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BE2E50" w:rsidRDefault="000F6063" w:rsidP="00B33C5A">
      <w:pPr>
        <w:pStyle w:val="ListParagraph"/>
        <w:numPr>
          <w:ilvl w:val="0"/>
          <w:numId w:val="1"/>
        </w:numPr>
        <w:ind w:left="426"/>
        <w:jc w:val="both"/>
        <w:rPr>
          <w:rFonts w:ascii="Avenir Next" w:hAnsi="Avenir Next" w:cs="Arial"/>
          <w:sz w:val="22"/>
          <w:szCs w:val="22"/>
          <w:highlight w:val="yellow"/>
          <w:lang w:val="en-GB"/>
        </w:rPr>
      </w:pPr>
      <w:r w:rsidRPr="00BE2E50">
        <w:rPr>
          <w:rFonts w:ascii="Avenir Next" w:hAnsi="Avenir Next" w:cs="Arial"/>
          <w:sz w:val="22"/>
          <w:szCs w:val="22"/>
          <w:highlight w:val="yellow"/>
          <w:lang w:val="en-GB"/>
        </w:rPr>
        <w:t xml:space="preserve">No action may be commenced against the company without </w:t>
      </w:r>
      <w:r w:rsidR="00E86DA6" w:rsidRPr="00BE2E50">
        <w:rPr>
          <w:rFonts w:ascii="Avenir Next" w:hAnsi="Avenir Next" w:cs="Arial"/>
          <w:sz w:val="22"/>
          <w:szCs w:val="22"/>
          <w:highlight w:val="yellow"/>
          <w:lang w:val="en-GB"/>
        </w:rPr>
        <w:t>permission</w:t>
      </w:r>
      <w:r w:rsidRPr="00BE2E50">
        <w:rPr>
          <w:rFonts w:ascii="Avenir Next" w:hAnsi="Avenir Next" w:cs="Arial"/>
          <w:sz w:val="22"/>
          <w:szCs w:val="22"/>
          <w:highlight w:val="yellow"/>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B33C5A">
      <w:pPr>
        <w:pStyle w:val="ListParagraph"/>
        <w:numPr>
          <w:ilvl w:val="0"/>
          <w:numId w:val="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BE2E50" w:rsidRDefault="00221152" w:rsidP="00B33C5A">
      <w:pPr>
        <w:pStyle w:val="ListParagraph"/>
        <w:numPr>
          <w:ilvl w:val="0"/>
          <w:numId w:val="1"/>
        </w:numPr>
        <w:ind w:left="426"/>
        <w:jc w:val="both"/>
        <w:rPr>
          <w:rFonts w:ascii="Avenir Next" w:hAnsi="Avenir Next" w:cs="Arial"/>
          <w:sz w:val="22"/>
          <w:szCs w:val="22"/>
          <w:lang w:val="en-GB"/>
        </w:rPr>
      </w:pPr>
      <w:r w:rsidRPr="00BE2E50">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B33C5A">
      <w:pPr>
        <w:pStyle w:val="ListParagraph"/>
        <w:numPr>
          <w:ilvl w:val="0"/>
          <w:numId w:val="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B33C5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B33C5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B33C5A">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BE2E50" w:rsidRDefault="000F6063" w:rsidP="00B33C5A">
      <w:pPr>
        <w:pStyle w:val="ListParagraph"/>
        <w:numPr>
          <w:ilvl w:val="0"/>
          <w:numId w:val="2"/>
        </w:numPr>
        <w:ind w:left="426"/>
        <w:rPr>
          <w:rFonts w:ascii="Avenir Next" w:hAnsi="Avenir Next" w:cs="Arial"/>
          <w:sz w:val="22"/>
          <w:szCs w:val="22"/>
          <w:highlight w:val="yellow"/>
          <w:lang w:val="en-GB"/>
        </w:rPr>
      </w:pPr>
      <w:r w:rsidRPr="00BE2E50">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B33C5A">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BE2E50" w:rsidRDefault="00210493" w:rsidP="00B33C5A">
      <w:pPr>
        <w:pStyle w:val="ListParagraph"/>
        <w:numPr>
          <w:ilvl w:val="0"/>
          <w:numId w:val="3"/>
        </w:numPr>
        <w:ind w:left="426"/>
        <w:jc w:val="both"/>
        <w:rPr>
          <w:rFonts w:ascii="Avenir Next" w:hAnsi="Avenir Next" w:cs="Arial"/>
          <w:color w:val="000000" w:themeColor="text1"/>
          <w:sz w:val="22"/>
          <w:szCs w:val="22"/>
          <w:highlight w:val="yellow"/>
          <w:lang w:val="en-GB"/>
        </w:rPr>
      </w:pPr>
      <w:r w:rsidRPr="00BE2E50">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BE2E50">
        <w:rPr>
          <w:rFonts w:ascii="Avenir Next" w:hAnsi="Avenir Next" w:cs="Arial"/>
          <w:color w:val="000000" w:themeColor="text1"/>
          <w:sz w:val="22"/>
          <w:szCs w:val="22"/>
          <w:highlight w:val="yellow"/>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B33C5A">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B33C5A">
      <w:pPr>
        <w:pStyle w:val="ListParagraph"/>
        <w:numPr>
          <w:ilvl w:val="0"/>
          <w:numId w:val="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B33C5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B33C5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B33C5A">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A63978" w:rsidRDefault="00CB2364" w:rsidP="00B33C5A">
      <w:pPr>
        <w:pStyle w:val="ListParagraph"/>
        <w:numPr>
          <w:ilvl w:val="0"/>
          <w:numId w:val="4"/>
        </w:numPr>
        <w:ind w:left="426"/>
        <w:rPr>
          <w:rFonts w:ascii="Avenir Next" w:hAnsi="Avenir Next" w:cs="Arial"/>
          <w:sz w:val="22"/>
          <w:szCs w:val="22"/>
          <w:highlight w:val="yellow"/>
          <w:lang w:val="en-GB"/>
        </w:rPr>
      </w:pPr>
      <w:r w:rsidRPr="00A63978">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B33C5A">
      <w:pPr>
        <w:pStyle w:val="ListParagraph"/>
        <w:numPr>
          <w:ilvl w:val="0"/>
          <w:numId w:val="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rsidP="00B33C5A">
      <w:pPr>
        <w:pStyle w:val="ListParagraph"/>
        <w:numPr>
          <w:ilvl w:val="0"/>
          <w:numId w:val="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5135E5" w:rsidRDefault="000F6063" w:rsidP="00B33C5A">
      <w:pPr>
        <w:pStyle w:val="ListParagraph"/>
        <w:numPr>
          <w:ilvl w:val="0"/>
          <w:numId w:val="5"/>
        </w:numPr>
        <w:ind w:left="426"/>
        <w:jc w:val="both"/>
        <w:rPr>
          <w:rFonts w:ascii="Avenir Next" w:hAnsi="Avenir Next" w:cs="Arial"/>
          <w:sz w:val="22"/>
          <w:szCs w:val="22"/>
          <w:highlight w:val="yellow"/>
          <w:lang w:val="en-GB"/>
        </w:rPr>
      </w:pPr>
      <w:r w:rsidRPr="005135E5">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B33C5A">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B33C5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BA0529" w:rsidRDefault="007914D4" w:rsidP="00B33C5A">
      <w:pPr>
        <w:pStyle w:val="ListParagraph"/>
        <w:numPr>
          <w:ilvl w:val="0"/>
          <w:numId w:val="6"/>
        </w:numPr>
        <w:ind w:left="426"/>
        <w:rPr>
          <w:rFonts w:ascii="Avenir Next" w:hAnsi="Avenir Next" w:cs="Arial"/>
          <w:sz w:val="22"/>
          <w:szCs w:val="22"/>
          <w:highlight w:val="yellow"/>
          <w:lang w:val="en-GB"/>
        </w:rPr>
      </w:pPr>
      <w:r w:rsidRPr="00BA0529">
        <w:rPr>
          <w:rFonts w:ascii="Avenir Next" w:hAnsi="Avenir Next" w:cs="Arial"/>
          <w:sz w:val="22"/>
          <w:szCs w:val="22"/>
          <w:highlight w:val="yellow"/>
          <w:lang w:val="en-GB"/>
        </w:rPr>
        <w:t>May enforce their security without leave of the court.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rsidP="00B33C5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B33C5A">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8B7CC7" w:rsidRDefault="00532745" w:rsidP="00B33C5A">
      <w:pPr>
        <w:pStyle w:val="ListParagraph"/>
        <w:numPr>
          <w:ilvl w:val="0"/>
          <w:numId w:val="7"/>
        </w:numPr>
        <w:ind w:left="426"/>
        <w:jc w:val="both"/>
        <w:rPr>
          <w:rFonts w:ascii="Avenir Next" w:hAnsi="Avenir Next" w:cs="Arial"/>
          <w:sz w:val="22"/>
          <w:szCs w:val="22"/>
          <w:highlight w:val="yellow"/>
          <w:lang w:val="en-GB"/>
        </w:rPr>
      </w:pPr>
      <w:r w:rsidRPr="008B7CC7">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rsidP="00B33C5A">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181C1F" w:rsidRDefault="00532745" w:rsidP="00B33C5A">
      <w:pPr>
        <w:pStyle w:val="ListParagraph"/>
        <w:numPr>
          <w:ilvl w:val="0"/>
          <w:numId w:val="7"/>
        </w:numPr>
        <w:ind w:left="426"/>
        <w:jc w:val="both"/>
        <w:rPr>
          <w:rFonts w:ascii="Avenir Next" w:hAnsi="Avenir Next" w:cs="Arial"/>
          <w:sz w:val="22"/>
          <w:szCs w:val="22"/>
          <w:lang w:val="en-GB"/>
        </w:rPr>
      </w:pPr>
      <w:r w:rsidRPr="00181C1F">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sidRPr="00181C1F">
        <w:rPr>
          <w:rFonts w:ascii="Avenir Next" w:hAnsi="Avenir Next" w:cs="Arial"/>
          <w:sz w:val="22"/>
          <w:szCs w:val="22"/>
          <w:lang w:val="en-GB"/>
        </w:rPr>
        <w:t>’</w:t>
      </w:r>
      <w:r w:rsidRPr="00181C1F">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B33C5A">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B33C5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B33C5A">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B33C5A">
      <w:pPr>
        <w:pStyle w:val="ListParagraph"/>
        <w:numPr>
          <w:ilvl w:val="0"/>
          <w:numId w:val="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rsidP="00B33C5A">
      <w:pPr>
        <w:pStyle w:val="ListParagraph"/>
        <w:numPr>
          <w:ilvl w:val="0"/>
          <w:numId w:val="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8B7CC7" w:rsidRDefault="00701D9F" w:rsidP="00B33C5A">
      <w:pPr>
        <w:pStyle w:val="ListParagraph"/>
        <w:numPr>
          <w:ilvl w:val="0"/>
          <w:numId w:val="8"/>
        </w:numPr>
        <w:ind w:left="426"/>
        <w:jc w:val="both"/>
        <w:rPr>
          <w:rFonts w:ascii="Avenir Next" w:hAnsi="Avenir Next" w:cs="Arial"/>
          <w:sz w:val="22"/>
          <w:szCs w:val="22"/>
          <w:highlight w:val="yellow"/>
          <w:lang w:val="en-GB"/>
        </w:rPr>
      </w:pPr>
      <w:r w:rsidRPr="008B7CC7">
        <w:rPr>
          <w:rFonts w:ascii="Avenir Next" w:hAnsi="Avenir Next" w:cs="Arial"/>
          <w:sz w:val="22"/>
          <w:szCs w:val="22"/>
          <w:highlight w:val="yellow"/>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B33C5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rsidP="00B33C5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rsidP="00B33C5A">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9B26ED" w:rsidRDefault="00155959" w:rsidP="00B33C5A">
      <w:pPr>
        <w:pStyle w:val="ListParagraph"/>
        <w:numPr>
          <w:ilvl w:val="0"/>
          <w:numId w:val="9"/>
        </w:numPr>
        <w:ind w:left="426"/>
        <w:jc w:val="both"/>
        <w:rPr>
          <w:rFonts w:ascii="Avenir Next" w:hAnsi="Avenir Next" w:cs="Arial"/>
          <w:sz w:val="22"/>
          <w:szCs w:val="22"/>
          <w:highlight w:val="yellow"/>
          <w:lang w:val="en-GB"/>
        </w:rPr>
      </w:pPr>
      <w:r w:rsidRPr="009B26ED">
        <w:rPr>
          <w:rFonts w:ascii="Avenir Next" w:hAnsi="Avenir Next" w:cs="Arial"/>
          <w:sz w:val="22"/>
          <w:szCs w:val="22"/>
          <w:highlight w:val="yellow"/>
          <w:lang w:val="en-GB"/>
        </w:rPr>
        <w:t>The company does not commence business within six months of incorporation.</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B33C5A">
      <w:pPr>
        <w:pStyle w:val="ListParagraph"/>
        <w:numPr>
          <w:ilvl w:val="0"/>
          <w:numId w:val="1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972979" w:rsidRDefault="0079520B" w:rsidP="00B33C5A">
      <w:pPr>
        <w:pStyle w:val="ListParagraph"/>
        <w:numPr>
          <w:ilvl w:val="0"/>
          <w:numId w:val="10"/>
        </w:numPr>
        <w:ind w:left="426"/>
        <w:jc w:val="both"/>
        <w:rPr>
          <w:rFonts w:ascii="Avenir Next" w:hAnsi="Avenir Next" w:cs="Arial"/>
          <w:sz w:val="22"/>
          <w:szCs w:val="22"/>
          <w:highlight w:val="yellow"/>
          <w:lang w:val="en-GB"/>
        </w:rPr>
      </w:pPr>
      <w:r w:rsidRPr="00972979">
        <w:rPr>
          <w:rFonts w:ascii="Avenir Next" w:hAnsi="Avenir Next" w:cs="Arial"/>
          <w:sz w:val="22"/>
          <w:szCs w:val="22"/>
          <w:highlight w:val="yellow"/>
          <w:lang w:val="en-GB"/>
        </w:rPr>
        <w:t>More than 50% in number representing 75% or more in value of the creditors must agree.</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rsidP="00B33C5A">
      <w:pPr>
        <w:pStyle w:val="ListParagraph"/>
        <w:numPr>
          <w:ilvl w:val="0"/>
          <w:numId w:val="1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490F04" w:rsidRDefault="0079520B" w:rsidP="00B33C5A">
      <w:pPr>
        <w:pStyle w:val="ListParagraph"/>
        <w:numPr>
          <w:ilvl w:val="0"/>
          <w:numId w:val="10"/>
        </w:numPr>
        <w:ind w:left="426"/>
        <w:jc w:val="both"/>
        <w:rPr>
          <w:rFonts w:ascii="Avenir Next" w:hAnsi="Avenir Next" w:cs="Arial"/>
          <w:sz w:val="22"/>
          <w:szCs w:val="22"/>
          <w:lang w:val="en-GB"/>
        </w:rPr>
      </w:pPr>
      <w:r w:rsidRPr="00490F04">
        <w:rPr>
          <w:rFonts w:ascii="Avenir Next" w:hAnsi="Avenir Next" w:cs="Arial"/>
          <w:sz w:val="22"/>
          <w:szCs w:val="22"/>
          <w:lang w:val="en-GB"/>
        </w:rPr>
        <w:t>More than 50%</w:t>
      </w:r>
      <w:r>
        <w:rPr>
          <w:rFonts w:ascii="Avenir Next" w:hAnsi="Avenir Next" w:cs="Arial"/>
          <w:sz w:val="22"/>
          <w:szCs w:val="22"/>
          <w:lang w:val="en-GB"/>
        </w:rPr>
        <w:t xml:space="preserve"> in number</w:t>
      </w:r>
      <w:r w:rsidRPr="00490F04">
        <w:rPr>
          <w:rFonts w:ascii="Avenir Next" w:hAnsi="Avenir Next" w:cs="Arial"/>
          <w:sz w:val="22"/>
          <w:szCs w:val="22"/>
          <w:lang w:val="en-GB"/>
        </w:rPr>
        <w:t xml:space="preserve">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37EF4E57" w14:textId="20030977" w:rsidR="00167D27" w:rsidRDefault="00167D27" w:rsidP="00167D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67D27">
        <w:rPr>
          <w:rFonts w:ascii="Avenir Next" w:hAnsi="Avenir Next" w:cs="Arial"/>
          <w:color w:val="808080" w:themeColor="background1" w:themeShade="80"/>
          <w:sz w:val="22"/>
          <w:szCs w:val="22"/>
        </w:rPr>
        <w:t xml:space="preserve">Grand Court of the Cayman Islands does have the power to assist foreign bankruptcy proceedings. This power is primarily derived from </w:t>
      </w:r>
      <w:r w:rsidRPr="00167D27">
        <w:rPr>
          <w:rFonts w:ascii="Avenir Next" w:hAnsi="Avenir Next" w:cs="Arial"/>
          <w:b/>
          <w:color w:val="808080" w:themeColor="background1" w:themeShade="80"/>
          <w:sz w:val="22"/>
          <w:szCs w:val="22"/>
        </w:rPr>
        <w:t>section 241 of the Companies Act</w:t>
      </w:r>
      <w:r>
        <w:rPr>
          <w:rFonts w:ascii="Avenir Next" w:hAnsi="Avenir Next" w:cs="Arial"/>
          <w:color w:val="808080" w:themeColor="background1" w:themeShade="80"/>
          <w:sz w:val="22"/>
          <w:szCs w:val="22"/>
        </w:rPr>
        <w:t xml:space="preserve"> which states that upon </w:t>
      </w:r>
      <w:r w:rsidRPr="00167D27">
        <w:rPr>
          <w:rFonts w:ascii="Avenir Next" w:hAnsi="Avenir Next" w:cs="Arial"/>
          <w:color w:val="808080" w:themeColor="background1" w:themeShade="80"/>
          <w:sz w:val="22"/>
          <w:szCs w:val="22"/>
          <w:lang w:val="en-GB"/>
        </w:rPr>
        <w:t>the application of a foreign representative the Court may make orders ancillary to a foreign</w:t>
      </w:r>
      <w:r>
        <w:rPr>
          <w:rFonts w:ascii="Avenir Next" w:hAnsi="Avenir Next" w:cs="Arial"/>
          <w:color w:val="808080" w:themeColor="background1" w:themeShade="80"/>
          <w:sz w:val="22"/>
          <w:szCs w:val="22"/>
          <w:lang w:val="en-GB"/>
        </w:rPr>
        <w:t xml:space="preserve"> </w:t>
      </w:r>
      <w:r w:rsidRPr="00167D27">
        <w:rPr>
          <w:rFonts w:ascii="Avenir Next" w:hAnsi="Avenir Next" w:cs="Arial"/>
          <w:color w:val="808080" w:themeColor="background1" w:themeShade="80"/>
          <w:sz w:val="22"/>
          <w:szCs w:val="22"/>
          <w:lang w:val="en-GB"/>
        </w:rPr>
        <w:t>bankruptcy proceeding for the purposes of</w:t>
      </w:r>
      <w:r>
        <w:rPr>
          <w:rFonts w:ascii="Avenir Next" w:hAnsi="Avenir Next" w:cs="Arial"/>
          <w:color w:val="808080" w:themeColor="background1" w:themeShade="80"/>
          <w:sz w:val="22"/>
          <w:szCs w:val="22"/>
          <w:lang w:val="en-GB"/>
        </w:rPr>
        <w:t xml:space="preserve">: - </w:t>
      </w:r>
    </w:p>
    <w:p w14:paraId="2F8ED26E" w14:textId="77777777" w:rsidR="00167D27" w:rsidRDefault="00167D27" w:rsidP="00167D27">
      <w:pPr>
        <w:jc w:val="both"/>
        <w:rPr>
          <w:rFonts w:ascii="Avenir Next" w:hAnsi="Avenir Next" w:cs="Arial"/>
          <w:color w:val="808080" w:themeColor="background1" w:themeShade="80"/>
          <w:sz w:val="22"/>
          <w:szCs w:val="22"/>
          <w:lang w:val="en-GB"/>
        </w:rPr>
      </w:pPr>
    </w:p>
    <w:p w14:paraId="48FA1A0F" w14:textId="152B8248" w:rsidR="00167D27" w:rsidRPr="00167D27" w:rsidRDefault="00167D27" w:rsidP="00B33C5A">
      <w:pPr>
        <w:pStyle w:val="ListParagraph"/>
        <w:numPr>
          <w:ilvl w:val="0"/>
          <w:numId w:val="12"/>
        </w:numPr>
        <w:contextualSpacing w:val="0"/>
        <w:jc w:val="both"/>
        <w:rPr>
          <w:rFonts w:ascii="Avenir Next" w:hAnsi="Avenir Next" w:cs="Arial"/>
          <w:color w:val="808080" w:themeColor="background1" w:themeShade="80"/>
          <w:sz w:val="22"/>
          <w:szCs w:val="22"/>
        </w:rPr>
      </w:pPr>
      <w:r w:rsidRPr="00167D27">
        <w:rPr>
          <w:rFonts w:ascii="Avenir Next" w:hAnsi="Avenir Next" w:cs="Arial"/>
          <w:color w:val="808080" w:themeColor="background1" w:themeShade="80"/>
          <w:sz w:val="22"/>
          <w:szCs w:val="22"/>
          <w:lang w:val="en-GB"/>
        </w:rPr>
        <w:t>recognising the right of a foreign representative to act in the Islands on behalf of or in the</w:t>
      </w:r>
      <w:r>
        <w:rPr>
          <w:rFonts w:ascii="Avenir Next" w:hAnsi="Avenir Next" w:cs="Arial"/>
          <w:color w:val="808080" w:themeColor="background1" w:themeShade="80"/>
          <w:sz w:val="22"/>
          <w:szCs w:val="22"/>
          <w:lang w:val="en-GB"/>
        </w:rPr>
        <w:t xml:space="preserve"> name</w:t>
      </w:r>
      <w:r w:rsidRPr="00167D27">
        <w:rPr>
          <w:rFonts w:ascii="Avenir Next" w:hAnsi="Avenir Next" w:cs="Arial"/>
          <w:color w:val="808080" w:themeColor="background1" w:themeShade="80"/>
          <w:sz w:val="22"/>
          <w:szCs w:val="22"/>
          <w:lang w:val="en-GB"/>
        </w:rPr>
        <w:t xml:space="preserve"> of a debtor;</w:t>
      </w:r>
    </w:p>
    <w:p w14:paraId="4131C019" w14:textId="77777777" w:rsidR="00167D27" w:rsidRPr="00167D27" w:rsidRDefault="00167D27" w:rsidP="00167D27">
      <w:pPr>
        <w:pStyle w:val="ListParagraph"/>
        <w:contextualSpacing w:val="0"/>
        <w:jc w:val="both"/>
        <w:rPr>
          <w:rFonts w:ascii="Avenir Next" w:hAnsi="Avenir Next" w:cs="Arial"/>
          <w:color w:val="808080" w:themeColor="background1" w:themeShade="80"/>
          <w:sz w:val="22"/>
          <w:szCs w:val="22"/>
        </w:rPr>
      </w:pPr>
    </w:p>
    <w:p w14:paraId="4D7E5FC8" w14:textId="2CA364E9" w:rsidR="00167D27" w:rsidRPr="00167D27" w:rsidRDefault="00167D27" w:rsidP="00B33C5A">
      <w:pPr>
        <w:pStyle w:val="ListParagraph"/>
        <w:numPr>
          <w:ilvl w:val="0"/>
          <w:numId w:val="12"/>
        </w:numPr>
        <w:contextualSpacing w:val="0"/>
        <w:jc w:val="both"/>
        <w:rPr>
          <w:rFonts w:ascii="Avenir Next" w:hAnsi="Avenir Next" w:cs="Arial"/>
          <w:color w:val="808080" w:themeColor="background1" w:themeShade="80"/>
          <w:sz w:val="22"/>
          <w:szCs w:val="22"/>
        </w:rPr>
      </w:pPr>
      <w:r w:rsidRPr="00167D27">
        <w:rPr>
          <w:rFonts w:ascii="Avenir Next" w:hAnsi="Avenir Next" w:cs="Arial"/>
          <w:color w:val="808080" w:themeColor="background1" w:themeShade="80"/>
          <w:sz w:val="22"/>
          <w:szCs w:val="22"/>
          <w:lang w:val="en-GB"/>
        </w:rPr>
        <w:t xml:space="preserve">enjoining the commencement or staying the continuation of legal proceedings against a </w:t>
      </w:r>
      <w:r>
        <w:rPr>
          <w:rFonts w:ascii="Avenir Next" w:hAnsi="Avenir Next" w:cs="Arial"/>
          <w:color w:val="808080" w:themeColor="background1" w:themeShade="80"/>
          <w:sz w:val="22"/>
          <w:szCs w:val="22"/>
          <w:lang w:val="en-GB"/>
        </w:rPr>
        <w:t>debtor</w:t>
      </w:r>
      <w:r w:rsidRPr="00167D27">
        <w:rPr>
          <w:rFonts w:ascii="Avenir Next" w:hAnsi="Avenir Next" w:cs="Arial"/>
          <w:color w:val="808080" w:themeColor="background1" w:themeShade="80"/>
          <w:sz w:val="22"/>
          <w:szCs w:val="22"/>
          <w:lang w:val="en-GB"/>
        </w:rPr>
        <w:t>;</w:t>
      </w:r>
    </w:p>
    <w:p w14:paraId="136312B8" w14:textId="77777777" w:rsidR="00167D27" w:rsidRPr="00167D27" w:rsidRDefault="00167D27" w:rsidP="00167D27">
      <w:pPr>
        <w:jc w:val="both"/>
        <w:rPr>
          <w:rFonts w:ascii="Avenir Next" w:hAnsi="Avenir Next" w:cs="Arial"/>
          <w:color w:val="808080" w:themeColor="background1" w:themeShade="80"/>
          <w:sz w:val="22"/>
          <w:szCs w:val="22"/>
        </w:rPr>
      </w:pPr>
    </w:p>
    <w:p w14:paraId="228D7EE8" w14:textId="68D2967E" w:rsidR="00167D27" w:rsidRPr="00167D27" w:rsidRDefault="00167D27" w:rsidP="00B33C5A">
      <w:pPr>
        <w:pStyle w:val="ListParagraph"/>
        <w:numPr>
          <w:ilvl w:val="0"/>
          <w:numId w:val="12"/>
        </w:numPr>
        <w:contextualSpacing w:val="0"/>
        <w:jc w:val="both"/>
        <w:rPr>
          <w:rFonts w:ascii="Avenir Next" w:hAnsi="Avenir Next" w:cs="Arial"/>
          <w:color w:val="808080" w:themeColor="background1" w:themeShade="80"/>
          <w:sz w:val="22"/>
          <w:szCs w:val="22"/>
        </w:rPr>
      </w:pPr>
      <w:r w:rsidRPr="00167D27">
        <w:rPr>
          <w:rFonts w:ascii="Avenir Next" w:hAnsi="Avenir Next" w:cs="Arial"/>
          <w:color w:val="808080" w:themeColor="background1" w:themeShade="80"/>
          <w:sz w:val="22"/>
          <w:szCs w:val="22"/>
          <w:lang w:val="en-GB"/>
        </w:rPr>
        <w:t>staying the enforcement of any judgment against a debtor;</w:t>
      </w:r>
    </w:p>
    <w:p w14:paraId="71E45E06" w14:textId="77777777" w:rsidR="00167D27" w:rsidRPr="00167D27" w:rsidRDefault="00167D27" w:rsidP="00167D27">
      <w:pPr>
        <w:jc w:val="both"/>
        <w:rPr>
          <w:rFonts w:ascii="Avenir Next" w:hAnsi="Avenir Next" w:cs="Arial"/>
          <w:color w:val="808080" w:themeColor="background1" w:themeShade="80"/>
          <w:sz w:val="22"/>
          <w:szCs w:val="22"/>
        </w:rPr>
      </w:pPr>
    </w:p>
    <w:p w14:paraId="5E216CDD" w14:textId="43901657" w:rsidR="00167D27" w:rsidRPr="00167D27" w:rsidRDefault="00167D27" w:rsidP="00B33C5A">
      <w:pPr>
        <w:pStyle w:val="ListParagraph"/>
        <w:numPr>
          <w:ilvl w:val="0"/>
          <w:numId w:val="12"/>
        </w:numPr>
        <w:contextualSpacing w:val="0"/>
        <w:jc w:val="both"/>
        <w:rPr>
          <w:rFonts w:ascii="Avenir Next" w:hAnsi="Avenir Next" w:cs="Arial"/>
          <w:color w:val="808080" w:themeColor="background1" w:themeShade="80"/>
          <w:sz w:val="22"/>
          <w:szCs w:val="22"/>
        </w:rPr>
      </w:pPr>
      <w:r w:rsidRPr="00167D27">
        <w:rPr>
          <w:rFonts w:ascii="Avenir Next" w:hAnsi="Avenir Next" w:cs="Arial"/>
          <w:color w:val="808080" w:themeColor="background1" w:themeShade="80"/>
          <w:sz w:val="22"/>
          <w:szCs w:val="22"/>
          <w:lang w:val="en-GB"/>
        </w:rPr>
        <w:t>requiring a person in possession of information relating to the business or affairs of a</w:t>
      </w:r>
      <w:r>
        <w:rPr>
          <w:rFonts w:ascii="Avenir Next" w:hAnsi="Avenir Next" w:cs="Arial"/>
          <w:color w:val="808080" w:themeColor="background1" w:themeShade="80"/>
          <w:sz w:val="22"/>
          <w:szCs w:val="22"/>
          <w:lang w:val="en-GB"/>
        </w:rPr>
        <w:t xml:space="preserve"> </w:t>
      </w:r>
      <w:r w:rsidRPr="00167D27">
        <w:rPr>
          <w:rFonts w:ascii="Avenir Next" w:hAnsi="Avenir Next" w:cs="Arial"/>
          <w:color w:val="808080" w:themeColor="background1" w:themeShade="80"/>
          <w:sz w:val="22"/>
          <w:szCs w:val="22"/>
          <w:lang w:val="en-GB"/>
        </w:rPr>
        <w:t>debtor to be examined by and produce documents to its foreign representative; and</w:t>
      </w:r>
      <w:r>
        <w:rPr>
          <w:rFonts w:ascii="Avenir Next" w:hAnsi="Avenir Next" w:cs="Arial"/>
          <w:color w:val="808080" w:themeColor="background1" w:themeShade="80"/>
          <w:sz w:val="22"/>
          <w:szCs w:val="22"/>
          <w:lang w:val="en-GB"/>
        </w:rPr>
        <w:t xml:space="preserve"> </w:t>
      </w:r>
    </w:p>
    <w:p w14:paraId="09B5F0F5" w14:textId="77777777" w:rsidR="00167D27" w:rsidRPr="00167D27" w:rsidRDefault="00167D27" w:rsidP="00167D27">
      <w:pPr>
        <w:jc w:val="both"/>
        <w:rPr>
          <w:rFonts w:ascii="Avenir Next" w:hAnsi="Avenir Next" w:cs="Arial"/>
          <w:color w:val="808080" w:themeColor="background1" w:themeShade="80"/>
          <w:sz w:val="22"/>
          <w:szCs w:val="22"/>
        </w:rPr>
      </w:pPr>
    </w:p>
    <w:p w14:paraId="716D06F2" w14:textId="1734C2CA" w:rsidR="00167D27" w:rsidRPr="00167D27" w:rsidRDefault="00167D27" w:rsidP="00B33C5A">
      <w:pPr>
        <w:pStyle w:val="ListParagraph"/>
        <w:numPr>
          <w:ilvl w:val="0"/>
          <w:numId w:val="12"/>
        </w:numPr>
        <w:contextualSpacing w:val="0"/>
        <w:jc w:val="both"/>
        <w:rPr>
          <w:rFonts w:ascii="Avenir Next" w:hAnsi="Avenir Next" w:cs="Arial"/>
          <w:color w:val="808080" w:themeColor="background1" w:themeShade="80"/>
          <w:sz w:val="22"/>
          <w:szCs w:val="22"/>
        </w:rPr>
      </w:pPr>
      <w:r w:rsidRPr="00167D27">
        <w:rPr>
          <w:rFonts w:ascii="Avenir Next" w:hAnsi="Avenir Next" w:cs="Arial"/>
          <w:color w:val="808080" w:themeColor="background1" w:themeShade="80"/>
          <w:sz w:val="22"/>
          <w:szCs w:val="22"/>
          <w:lang w:val="en-GB"/>
        </w:rPr>
        <w:t>ordering the turnover to a foreign representative of any property belonging to a debtor.</w:t>
      </w:r>
    </w:p>
    <w:p w14:paraId="4EA4B6BB" w14:textId="77777777" w:rsidR="00167D27" w:rsidRDefault="00167D27" w:rsidP="00167D27">
      <w:pPr>
        <w:jc w:val="both"/>
        <w:rPr>
          <w:rFonts w:ascii="Avenir Next" w:hAnsi="Avenir Next" w:cs="Arial"/>
          <w:color w:val="808080" w:themeColor="background1" w:themeShade="80"/>
          <w:sz w:val="22"/>
          <w:szCs w:val="22"/>
          <w:lang w:val="en-GB"/>
        </w:rPr>
      </w:pPr>
    </w:p>
    <w:p w14:paraId="310803E9" w14:textId="2D7916D4" w:rsidR="00167D27" w:rsidRDefault="00167D27" w:rsidP="00167D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 further states that a</w:t>
      </w:r>
      <w:r w:rsidRPr="00167D27">
        <w:rPr>
          <w:rFonts w:ascii="Avenir Next" w:hAnsi="Avenir Next" w:cs="Arial"/>
          <w:color w:val="808080" w:themeColor="background1" w:themeShade="80"/>
          <w:sz w:val="22"/>
          <w:szCs w:val="22"/>
          <w:lang w:val="en-GB"/>
        </w:rPr>
        <w:t>n ancillary order may only be made under subsection (1)(d) against</w:t>
      </w:r>
      <w:r>
        <w:rPr>
          <w:rFonts w:ascii="Avenir Next" w:hAnsi="Avenir Next" w:cs="Arial"/>
          <w:color w:val="808080" w:themeColor="background1" w:themeShade="80"/>
          <w:sz w:val="22"/>
          <w:szCs w:val="22"/>
          <w:lang w:val="en-GB"/>
        </w:rPr>
        <w:t xml:space="preserve"> </w:t>
      </w:r>
      <w:r w:rsidRPr="00167D27">
        <w:rPr>
          <w:rFonts w:ascii="Avenir Next" w:hAnsi="Avenir Next" w:cs="Arial"/>
          <w:color w:val="808080" w:themeColor="background1" w:themeShade="80"/>
          <w:sz w:val="22"/>
          <w:szCs w:val="22"/>
          <w:lang w:val="en-GB"/>
        </w:rPr>
        <w:t>the debtor itself</w:t>
      </w:r>
      <w:r>
        <w:rPr>
          <w:rFonts w:ascii="Avenir Next" w:hAnsi="Avenir Next" w:cs="Arial"/>
          <w:color w:val="808080" w:themeColor="background1" w:themeShade="80"/>
          <w:sz w:val="22"/>
          <w:szCs w:val="22"/>
          <w:lang w:val="en-GB"/>
        </w:rPr>
        <w:t xml:space="preserve"> or </w:t>
      </w:r>
      <w:r w:rsidRPr="00167D27">
        <w:rPr>
          <w:rFonts w:ascii="Avenir Next" w:hAnsi="Avenir Next" w:cs="Arial"/>
          <w:color w:val="808080" w:themeColor="background1" w:themeShade="80"/>
          <w:sz w:val="22"/>
          <w:szCs w:val="22"/>
          <w:lang w:val="en-GB"/>
        </w:rPr>
        <w:t>a person who was or is a relevant person as defined in section 103(1)</w:t>
      </w:r>
      <w:r>
        <w:rPr>
          <w:rFonts w:ascii="Avenir Next" w:hAnsi="Avenir Next" w:cs="Arial"/>
          <w:color w:val="808080" w:themeColor="background1" w:themeShade="80"/>
          <w:sz w:val="22"/>
          <w:szCs w:val="22"/>
          <w:lang w:val="en-GB"/>
        </w:rPr>
        <w:t xml:space="preserve">. </w:t>
      </w:r>
    </w:p>
    <w:p w14:paraId="196D8914" w14:textId="1A307160" w:rsidR="00746856" w:rsidRDefault="00746856" w:rsidP="00167D27">
      <w:pPr>
        <w:jc w:val="both"/>
        <w:rPr>
          <w:rFonts w:ascii="Avenir Next" w:hAnsi="Avenir Next" w:cs="Arial"/>
          <w:color w:val="808080" w:themeColor="background1" w:themeShade="80"/>
          <w:sz w:val="22"/>
          <w:szCs w:val="22"/>
          <w:lang w:val="en-GB"/>
        </w:rPr>
      </w:pPr>
    </w:p>
    <w:p w14:paraId="4496FFEA" w14:textId="7F97CB1C" w:rsidR="00746856" w:rsidRPr="00746856" w:rsidRDefault="00746856" w:rsidP="007468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w:t>
      </w:r>
      <w:r w:rsidR="00893AA1">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w:t>
      </w:r>
      <w:r w:rsidRPr="000B7960">
        <w:rPr>
          <w:rFonts w:ascii="Avenir Next" w:hAnsi="Avenir Next" w:cs="Arial"/>
          <w:b/>
          <w:color w:val="808080" w:themeColor="background1" w:themeShade="80"/>
          <w:sz w:val="22"/>
          <w:szCs w:val="22"/>
          <w:lang w:val="en-GB"/>
        </w:rPr>
        <w:t xml:space="preserve">Section 242 of the </w:t>
      </w:r>
      <w:r w:rsidR="000B7960">
        <w:rPr>
          <w:rFonts w:ascii="Avenir Next" w:hAnsi="Avenir Next" w:cs="Arial"/>
          <w:b/>
          <w:color w:val="808080" w:themeColor="background1" w:themeShade="80"/>
          <w:sz w:val="22"/>
          <w:szCs w:val="22"/>
          <w:lang w:val="en-GB"/>
        </w:rPr>
        <w:t xml:space="preserve">Companies </w:t>
      </w:r>
      <w:r w:rsidRPr="000B7960">
        <w:rPr>
          <w:rFonts w:ascii="Avenir Next" w:hAnsi="Avenir Next" w:cs="Arial"/>
          <w:b/>
          <w:color w:val="808080" w:themeColor="background1" w:themeShade="80"/>
          <w:sz w:val="22"/>
          <w:szCs w:val="22"/>
          <w:lang w:val="en-GB"/>
        </w:rPr>
        <w:t>Act</w:t>
      </w:r>
      <w:r>
        <w:rPr>
          <w:rFonts w:ascii="Avenir Next" w:hAnsi="Avenir Next" w:cs="Arial"/>
          <w:color w:val="808080" w:themeColor="background1" w:themeShade="80"/>
          <w:sz w:val="22"/>
          <w:szCs w:val="22"/>
          <w:lang w:val="en-GB"/>
        </w:rPr>
        <w:t xml:space="preserve">, the </w:t>
      </w:r>
      <w:r w:rsidRPr="00746856">
        <w:rPr>
          <w:rFonts w:ascii="Avenir Next" w:hAnsi="Avenir Next" w:cs="Arial"/>
          <w:color w:val="808080" w:themeColor="background1" w:themeShade="80"/>
          <w:sz w:val="22"/>
          <w:szCs w:val="22"/>
          <w:lang w:val="en-GB"/>
        </w:rPr>
        <w:t>Cayman Islands Grand Court is guided by several key considerations aimed at ensuring an efficient and fair handling of a debtor's estate. These considerations include ensuring equitable treatment for all claimants, safeguarding local claim holders from undue inconvenience, preventing fraudulent or preferential transactions, and adhering to the established order of creditor priority. Additionally, the Court focuses on upholding the enforcement of secured interests created by the debtor, avoiding the enforcement of foreign taxes, fines, and penalties, and maintaining respect for international legal principles (comity). For debtors registered under Part IX, the Court also evaluates the necessity of issuing a winding-up order for the local branch in conjunction with any ancillary order.</w:t>
      </w:r>
    </w:p>
    <w:p w14:paraId="6FE49E8E" w14:textId="77777777" w:rsidR="00746856" w:rsidRPr="00746856" w:rsidRDefault="00746856" w:rsidP="00746856">
      <w:pPr>
        <w:jc w:val="both"/>
        <w:rPr>
          <w:rFonts w:ascii="Avenir Next" w:hAnsi="Avenir Next" w:cs="Arial"/>
          <w:color w:val="808080" w:themeColor="background1" w:themeShade="80"/>
          <w:sz w:val="22"/>
          <w:szCs w:val="22"/>
          <w:lang w:val="en-GB"/>
        </w:rPr>
      </w:pPr>
    </w:p>
    <w:p w14:paraId="30A392AA" w14:textId="77777777" w:rsidR="00746856" w:rsidRPr="00746856" w:rsidRDefault="00746856" w:rsidP="00746856">
      <w:pPr>
        <w:jc w:val="both"/>
        <w:rPr>
          <w:rFonts w:ascii="Avenir Next" w:hAnsi="Avenir Next" w:cs="Arial"/>
          <w:color w:val="808080" w:themeColor="background1" w:themeShade="80"/>
          <w:sz w:val="22"/>
          <w:szCs w:val="22"/>
          <w:lang w:val="en-GB"/>
        </w:rPr>
      </w:pPr>
    </w:p>
    <w:p w14:paraId="0E3E5EF3" w14:textId="77777777" w:rsidR="00746856" w:rsidRPr="00746856" w:rsidRDefault="00746856" w:rsidP="00746856">
      <w:pPr>
        <w:jc w:val="both"/>
        <w:rPr>
          <w:rFonts w:ascii="Avenir Next" w:hAnsi="Avenir Next" w:cs="Arial"/>
          <w:color w:val="808080" w:themeColor="background1" w:themeShade="80"/>
          <w:sz w:val="22"/>
          <w:szCs w:val="22"/>
          <w:lang w:val="en-GB"/>
        </w:rPr>
      </w:pPr>
    </w:p>
    <w:p w14:paraId="09CD45EE" w14:textId="77777777" w:rsidR="00746856" w:rsidRPr="00746856" w:rsidRDefault="00746856" w:rsidP="00746856">
      <w:pPr>
        <w:jc w:val="both"/>
        <w:rPr>
          <w:rFonts w:ascii="Avenir Next" w:hAnsi="Avenir Next" w:cs="Arial"/>
          <w:color w:val="808080" w:themeColor="background1" w:themeShade="80"/>
          <w:sz w:val="22"/>
          <w:szCs w:val="22"/>
          <w:lang w:val="en-GB"/>
        </w:rPr>
      </w:pPr>
    </w:p>
    <w:p w14:paraId="23007109" w14:textId="77777777" w:rsidR="00746856" w:rsidRPr="00746856" w:rsidRDefault="00746856" w:rsidP="00746856">
      <w:pPr>
        <w:jc w:val="both"/>
        <w:rPr>
          <w:rFonts w:ascii="Avenir Next" w:hAnsi="Avenir Next" w:cs="Arial"/>
          <w:color w:val="808080" w:themeColor="background1" w:themeShade="80"/>
          <w:sz w:val="22"/>
          <w:szCs w:val="22"/>
          <w:lang w:val="en-GB"/>
        </w:rPr>
      </w:pPr>
    </w:p>
    <w:p w14:paraId="64464812" w14:textId="77777777" w:rsidR="00167D27" w:rsidRDefault="00167D27" w:rsidP="00167D27">
      <w:pPr>
        <w:jc w:val="both"/>
        <w:rPr>
          <w:rFonts w:ascii="Avenir Next" w:hAnsi="Avenir Next" w:cs="Arial"/>
          <w:color w:val="808080" w:themeColor="background1" w:themeShade="80"/>
          <w:sz w:val="22"/>
          <w:szCs w:val="22"/>
          <w:lang w:val="en-GB"/>
        </w:rPr>
      </w:pPr>
    </w:p>
    <w:p w14:paraId="5ACD8EE4" w14:textId="6F59F706" w:rsidR="00167D27" w:rsidRDefault="00167D27" w:rsidP="00167D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foregoing, the </w:t>
      </w:r>
      <w:r w:rsidRPr="00167D27">
        <w:rPr>
          <w:rFonts w:ascii="Avenir Next" w:hAnsi="Avenir Next" w:cs="Arial"/>
          <w:color w:val="808080" w:themeColor="background1" w:themeShade="80"/>
          <w:sz w:val="22"/>
          <w:szCs w:val="22"/>
          <w:lang w:val="en-GB"/>
        </w:rPr>
        <w:t>specific circumstances and conditions under which the court may assist are generally shaped by the needs of the foreign proceedings and can include actions like staying proceedings, enforcing orders, or providing mechanisms for the coordination of Cayman Islands proceedings with those in foreign jurisdictions.</w:t>
      </w:r>
    </w:p>
    <w:p w14:paraId="696681D6" w14:textId="1C8FD4DF" w:rsidR="00167D27" w:rsidRDefault="00167D27" w:rsidP="00167D27">
      <w:pPr>
        <w:jc w:val="both"/>
        <w:rPr>
          <w:rFonts w:ascii="Avenir Next" w:hAnsi="Avenir Next" w:cs="Arial"/>
          <w:color w:val="808080" w:themeColor="background1" w:themeShade="80"/>
          <w:sz w:val="22"/>
          <w:szCs w:val="22"/>
          <w:lang w:val="en-GB"/>
        </w:rPr>
      </w:pPr>
    </w:p>
    <w:p w14:paraId="54E63897" w14:textId="3A1E51F6" w:rsidR="00167D27" w:rsidRPr="00310533" w:rsidRDefault="00167D27" w:rsidP="00167D2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67D27">
        <w:rPr>
          <w:rFonts w:ascii="Avenir Next" w:hAnsi="Avenir Next" w:cs="Arial"/>
          <w:color w:val="808080" w:themeColor="background1" w:themeShade="80"/>
          <w:sz w:val="22"/>
          <w:szCs w:val="22"/>
          <w:lang w:val="en-GB"/>
        </w:rPr>
        <w:t>Grand Court can exercise this power when it is necessary to ensure the efficient administration of justice, the protection of creditors, and the treatment of stakeholders in a manner that is consistent with the treatment they would receive in domestic proceedings</w:t>
      </w:r>
      <w:r w:rsidR="00644677">
        <w:rPr>
          <w:rFonts w:ascii="Avenir Next" w:hAnsi="Avenir Next" w:cs="Arial"/>
          <w:color w:val="808080" w:themeColor="background1" w:themeShade="80"/>
          <w:sz w:val="22"/>
          <w:szCs w:val="22"/>
          <w:lang w:val="en-GB"/>
        </w:rPr>
        <w:t xml:space="preserve">. </w:t>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BE25F1" w:rsidRDefault="00D27CBC" w:rsidP="00D27CBC">
      <w:pPr>
        <w:jc w:val="both"/>
        <w:rPr>
          <w:rFonts w:ascii="Avenir Next Demi Bold" w:hAnsi="Avenir Next Demi Bold" w:cs="Arial"/>
          <w:b/>
          <w:bCs/>
          <w:sz w:val="22"/>
          <w:szCs w:val="22"/>
          <w:lang w:val="en-GB"/>
        </w:rPr>
      </w:pPr>
      <w:r w:rsidRPr="00BE25F1">
        <w:rPr>
          <w:rFonts w:ascii="Avenir Next Demi Bold" w:hAnsi="Avenir Next Demi Bold" w:cs="Arial"/>
          <w:b/>
          <w:bCs/>
          <w:sz w:val="22"/>
          <w:szCs w:val="22"/>
          <w:lang w:val="en-GB"/>
        </w:rPr>
        <w:t xml:space="preserve">Question 2.2 [maximum </w:t>
      </w:r>
      <w:r w:rsidR="003C0E39" w:rsidRPr="00BE25F1">
        <w:rPr>
          <w:rFonts w:ascii="Avenir Next Demi Bold" w:hAnsi="Avenir Next Demi Bold" w:cs="Arial"/>
          <w:b/>
          <w:bCs/>
          <w:sz w:val="22"/>
          <w:szCs w:val="22"/>
          <w:lang w:val="en-GB"/>
        </w:rPr>
        <w:t>3</w:t>
      </w:r>
      <w:r w:rsidRPr="00BE25F1">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0A10475C"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 xml:space="preserve">Outline the legal framework for the recognition of foreign </w:t>
      </w:r>
      <w:r w:rsidR="00BE25F1">
        <w:rPr>
          <w:rFonts w:ascii="Avenir Next" w:hAnsi="Avenir Next" w:cs="Arial"/>
          <w:sz w:val="22"/>
          <w:szCs w:val="22"/>
          <w:lang w:val="en-GB"/>
        </w:rPr>
        <w:t>judgments</w:t>
      </w:r>
      <w:r w:rsidRPr="00310533">
        <w:rPr>
          <w:rFonts w:ascii="Avenir Next" w:hAnsi="Avenir Next" w:cs="Arial"/>
          <w:sz w:val="22"/>
          <w:szCs w:val="22"/>
          <w:lang w:val="en-GB"/>
        </w:rPr>
        <w:t xml:space="preserve">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3B91007A" w14:textId="75CED8D8" w:rsidR="001D69E3" w:rsidRPr="001D69E3" w:rsidRDefault="00415760" w:rsidP="001D69E3">
      <w:pPr>
        <w:jc w:val="both"/>
        <w:rPr>
          <w:rFonts w:ascii="Avenir Next" w:hAnsi="Avenir Next" w:cs="Arial"/>
          <w:color w:val="808080" w:themeColor="background1" w:themeShade="80"/>
          <w:sz w:val="22"/>
          <w:szCs w:val="22"/>
        </w:rPr>
      </w:pPr>
      <w:r w:rsidRPr="00415760">
        <w:rPr>
          <w:rFonts w:ascii="Avenir Next" w:hAnsi="Avenir Next" w:cs="Arial"/>
          <w:color w:val="808080" w:themeColor="background1" w:themeShade="80"/>
          <w:sz w:val="22"/>
          <w:szCs w:val="22"/>
        </w:rPr>
        <w:t>In cross-border</w:t>
      </w:r>
      <w:r w:rsidR="001D69E3">
        <w:rPr>
          <w:rFonts w:ascii="Avenir Next" w:hAnsi="Avenir Next" w:cs="Arial"/>
          <w:color w:val="808080" w:themeColor="background1" w:themeShade="80"/>
          <w:sz w:val="22"/>
          <w:szCs w:val="22"/>
        </w:rPr>
        <w:t xml:space="preserve"> insolvency cases</w:t>
      </w:r>
      <w:r w:rsidRPr="00415760">
        <w:rPr>
          <w:rFonts w:ascii="Avenir Next" w:hAnsi="Avenir Next" w:cs="Arial"/>
          <w:color w:val="808080" w:themeColor="background1" w:themeShade="80"/>
          <w:sz w:val="22"/>
          <w:szCs w:val="22"/>
        </w:rPr>
        <w:t>, the Grand Court employs a collaborative approach to facilitate an efficient</w:t>
      </w:r>
      <w:r>
        <w:rPr>
          <w:rFonts w:ascii="Avenir Next" w:hAnsi="Avenir Next" w:cs="Arial"/>
          <w:color w:val="808080" w:themeColor="background1" w:themeShade="80"/>
          <w:sz w:val="22"/>
          <w:szCs w:val="22"/>
        </w:rPr>
        <w:t xml:space="preserve"> </w:t>
      </w:r>
      <w:r w:rsidRPr="00415760">
        <w:rPr>
          <w:rFonts w:ascii="Avenir Next" w:hAnsi="Avenir Next" w:cs="Arial"/>
          <w:color w:val="808080" w:themeColor="background1" w:themeShade="80"/>
          <w:sz w:val="22"/>
          <w:szCs w:val="22"/>
        </w:rPr>
        <w:t>winding-up process and safeguard the interests of creditors, regardless of their location.</w:t>
      </w:r>
      <w:r w:rsidR="001D69E3">
        <w:rPr>
          <w:rFonts w:ascii="Avenir Next" w:hAnsi="Avenir Next" w:cs="Arial"/>
          <w:color w:val="808080" w:themeColor="background1" w:themeShade="80"/>
          <w:sz w:val="22"/>
          <w:szCs w:val="22"/>
        </w:rPr>
        <w:t xml:space="preserve"> </w:t>
      </w:r>
      <w:r w:rsidR="001D69E3" w:rsidRPr="001D69E3">
        <w:rPr>
          <w:rFonts w:ascii="Avenir Next" w:hAnsi="Avenir Next" w:cs="Arial"/>
          <w:color w:val="808080" w:themeColor="background1" w:themeShade="80"/>
          <w:sz w:val="22"/>
          <w:szCs w:val="22"/>
        </w:rPr>
        <w:t>In the Cayman Islands, the recognition and enforcement of foreign judgments are primarily governed by a blend of statutory and common law mechanisms, reflecting the jurisdiction's cooperative stance in cross-border insolvency and legal cases to protect creditors' interests globally.</w:t>
      </w:r>
    </w:p>
    <w:p w14:paraId="44CC2E13" w14:textId="77777777" w:rsidR="001D69E3" w:rsidRPr="001D69E3" w:rsidRDefault="001D69E3" w:rsidP="001D69E3">
      <w:pPr>
        <w:jc w:val="both"/>
        <w:rPr>
          <w:rFonts w:ascii="Avenir Next" w:hAnsi="Avenir Next" w:cs="Arial"/>
          <w:color w:val="808080" w:themeColor="background1" w:themeShade="80"/>
          <w:sz w:val="22"/>
          <w:szCs w:val="22"/>
        </w:rPr>
      </w:pPr>
    </w:p>
    <w:p w14:paraId="490ABEA4" w14:textId="77777777" w:rsidR="001D69E3" w:rsidRPr="001D69E3" w:rsidRDefault="001D69E3" w:rsidP="001D69E3">
      <w:pPr>
        <w:jc w:val="both"/>
        <w:rPr>
          <w:rFonts w:ascii="Avenir Next" w:hAnsi="Avenir Next" w:cs="Arial"/>
          <w:color w:val="808080" w:themeColor="background1" w:themeShade="80"/>
          <w:sz w:val="22"/>
          <w:szCs w:val="22"/>
        </w:rPr>
      </w:pPr>
      <w:r w:rsidRPr="001D69E3">
        <w:rPr>
          <w:rFonts w:ascii="Avenir Next" w:hAnsi="Avenir Next" w:cs="Arial"/>
          <w:color w:val="808080" w:themeColor="background1" w:themeShade="80"/>
          <w:sz w:val="22"/>
          <w:szCs w:val="22"/>
        </w:rPr>
        <w:t xml:space="preserve">The Cayman Islands have not ratified international treaties for the reciprocal recognition of foreign judgments, except for the </w:t>
      </w:r>
      <w:r w:rsidRPr="009D2331">
        <w:rPr>
          <w:rFonts w:ascii="Avenir Next" w:hAnsi="Avenir Next" w:cs="Arial"/>
          <w:b/>
          <w:color w:val="808080" w:themeColor="background1" w:themeShade="80"/>
          <w:sz w:val="22"/>
          <w:szCs w:val="22"/>
        </w:rPr>
        <w:t>New York Convention on the Recognition and Enforcement of Foreign Arbitral Awards</w:t>
      </w:r>
      <w:r w:rsidRPr="001D69E3">
        <w:rPr>
          <w:rFonts w:ascii="Avenir Next" w:hAnsi="Avenir Next" w:cs="Arial"/>
          <w:color w:val="808080" w:themeColor="background1" w:themeShade="80"/>
          <w:sz w:val="22"/>
          <w:szCs w:val="22"/>
        </w:rPr>
        <w:t>. This absence extends to the Hague Convention on Recognition and Enforcement of Foreign Judgments in Civil and Commercial Matters.</w:t>
      </w:r>
    </w:p>
    <w:p w14:paraId="0FCF3F17" w14:textId="77777777" w:rsidR="001D69E3" w:rsidRPr="001D69E3" w:rsidRDefault="001D69E3" w:rsidP="001D69E3">
      <w:pPr>
        <w:jc w:val="both"/>
        <w:rPr>
          <w:rFonts w:ascii="Avenir Next" w:hAnsi="Avenir Next" w:cs="Arial"/>
          <w:color w:val="808080" w:themeColor="background1" w:themeShade="80"/>
          <w:sz w:val="22"/>
          <w:szCs w:val="22"/>
        </w:rPr>
      </w:pPr>
    </w:p>
    <w:p w14:paraId="1CB406D0" w14:textId="77777777" w:rsidR="001D69E3" w:rsidRPr="001D69E3" w:rsidRDefault="001D69E3" w:rsidP="001D69E3">
      <w:pPr>
        <w:jc w:val="both"/>
        <w:rPr>
          <w:rFonts w:ascii="Avenir Next" w:hAnsi="Avenir Next" w:cs="Arial"/>
          <w:color w:val="808080" w:themeColor="background1" w:themeShade="80"/>
          <w:sz w:val="22"/>
          <w:szCs w:val="22"/>
        </w:rPr>
      </w:pPr>
      <w:r w:rsidRPr="009F43EC">
        <w:rPr>
          <w:rFonts w:ascii="Avenir Next" w:hAnsi="Avenir Next" w:cs="Arial"/>
          <w:b/>
          <w:color w:val="808080" w:themeColor="background1" w:themeShade="80"/>
          <w:sz w:val="22"/>
          <w:szCs w:val="22"/>
        </w:rPr>
        <w:t>The Foreign Judgments Reciprocal Enforcement Act (1996 Revision)</w:t>
      </w:r>
      <w:r w:rsidRPr="001D69E3">
        <w:rPr>
          <w:rFonts w:ascii="Avenir Next" w:hAnsi="Avenir Next" w:cs="Arial"/>
          <w:color w:val="808080" w:themeColor="background1" w:themeShade="80"/>
          <w:sz w:val="22"/>
          <w:szCs w:val="22"/>
        </w:rPr>
        <w:t xml:space="preserve"> establishes a framework for the recognition and enforcement of foreign judgments, conditional upon substantial reciprocity from the originating country. To date, this statute has only been extended to judgments from Australia’s Superior Courts as per </w:t>
      </w:r>
      <w:r w:rsidRPr="009F43EC">
        <w:rPr>
          <w:rFonts w:ascii="Avenir Next" w:hAnsi="Avenir Next" w:cs="Arial"/>
          <w:b/>
          <w:color w:val="808080" w:themeColor="background1" w:themeShade="80"/>
          <w:sz w:val="22"/>
          <w:szCs w:val="22"/>
        </w:rPr>
        <w:t>Order 71 of the Grand Court Rules</w:t>
      </w:r>
      <w:r w:rsidRPr="001D69E3">
        <w:rPr>
          <w:rFonts w:ascii="Avenir Next" w:hAnsi="Avenir Next" w:cs="Arial"/>
          <w:color w:val="808080" w:themeColor="background1" w:themeShade="80"/>
          <w:sz w:val="22"/>
          <w:szCs w:val="22"/>
        </w:rPr>
        <w:t>. For enforcement under this Act, the judgment must be final, pecuniary, and issued after the Act’s extension to the foreign country.</w:t>
      </w:r>
    </w:p>
    <w:p w14:paraId="476C2496" w14:textId="77777777" w:rsidR="009F20B6" w:rsidRDefault="009F20B6" w:rsidP="001D69E3">
      <w:pPr>
        <w:jc w:val="both"/>
        <w:rPr>
          <w:rFonts w:ascii="Avenir Next" w:hAnsi="Avenir Next" w:cs="Arial"/>
          <w:color w:val="808080" w:themeColor="background1" w:themeShade="80"/>
          <w:sz w:val="22"/>
          <w:szCs w:val="22"/>
        </w:rPr>
      </w:pPr>
    </w:p>
    <w:p w14:paraId="552FABFA" w14:textId="74263178" w:rsidR="00FC5C80" w:rsidRDefault="001D69E3" w:rsidP="001D69E3">
      <w:pPr>
        <w:jc w:val="both"/>
        <w:rPr>
          <w:rFonts w:ascii="Avenir Next" w:hAnsi="Avenir Next" w:cs="Arial"/>
          <w:color w:val="808080" w:themeColor="background1" w:themeShade="80"/>
          <w:sz w:val="22"/>
          <w:szCs w:val="22"/>
        </w:rPr>
      </w:pPr>
      <w:r w:rsidRPr="007063B3">
        <w:rPr>
          <w:rFonts w:ascii="Avenir Next" w:hAnsi="Avenir Next" w:cs="Arial"/>
          <w:color w:val="808080" w:themeColor="background1" w:themeShade="80"/>
          <w:sz w:val="22"/>
          <w:szCs w:val="22"/>
        </w:rPr>
        <w:t xml:space="preserve">Outside of the statutory framework, foreign judgments may be enforced </w:t>
      </w:r>
      <w:r w:rsidR="009F43EC" w:rsidRPr="007063B3">
        <w:rPr>
          <w:rFonts w:ascii="Avenir Next" w:hAnsi="Avenir Next" w:cs="Arial"/>
          <w:color w:val="808080" w:themeColor="background1" w:themeShade="80"/>
          <w:sz w:val="22"/>
          <w:szCs w:val="22"/>
        </w:rPr>
        <w:t xml:space="preserve">under </w:t>
      </w:r>
      <w:r w:rsidR="007063B3">
        <w:rPr>
          <w:rFonts w:ascii="Avenir Next" w:hAnsi="Avenir Next" w:cs="Arial"/>
          <w:b/>
          <w:color w:val="808080" w:themeColor="background1" w:themeShade="80"/>
          <w:sz w:val="22"/>
          <w:szCs w:val="22"/>
        </w:rPr>
        <w:t>the provisions of the Grand Court Act and Rules</w:t>
      </w:r>
      <w:r w:rsidR="009F43EC" w:rsidRPr="007063B3">
        <w:rPr>
          <w:rFonts w:ascii="Avenir Next" w:hAnsi="Avenir Next" w:cs="Arial"/>
          <w:color w:val="808080" w:themeColor="background1" w:themeShade="80"/>
          <w:sz w:val="22"/>
          <w:szCs w:val="22"/>
        </w:rPr>
        <w:t xml:space="preserve">, </w:t>
      </w:r>
      <w:r w:rsidRPr="007063B3">
        <w:rPr>
          <w:rFonts w:ascii="Avenir Next" w:hAnsi="Avenir Next" w:cs="Arial"/>
          <w:color w:val="808080" w:themeColor="background1" w:themeShade="80"/>
          <w:sz w:val="22"/>
          <w:szCs w:val="22"/>
        </w:rPr>
        <w:t xml:space="preserve">through the </w:t>
      </w:r>
      <w:r w:rsidR="007063B3">
        <w:rPr>
          <w:rFonts w:ascii="Avenir Next" w:hAnsi="Avenir Next" w:cs="Arial"/>
          <w:color w:val="808080" w:themeColor="background1" w:themeShade="80"/>
          <w:sz w:val="22"/>
          <w:szCs w:val="22"/>
        </w:rPr>
        <w:t xml:space="preserve">filing of </w:t>
      </w:r>
      <w:r w:rsidRPr="007063B3">
        <w:rPr>
          <w:rFonts w:ascii="Avenir Next" w:hAnsi="Avenir Next" w:cs="Arial"/>
          <w:color w:val="808080" w:themeColor="background1" w:themeShade="80"/>
          <w:sz w:val="22"/>
          <w:szCs w:val="22"/>
        </w:rPr>
        <w:t>a new legal action in the Cayman Islands</w:t>
      </w:r>
      <w:r w:rsidR="009F20B6" w:rsidRPr="007063B3">
        <w:rPr>
          <w:rFonts w:ascii="Avenir Next" w:hAnsi="Avenir Next" w:cs="Arial"/>
          <w:color w:val="808080" w:themeColor="background1" w:themeShade="80"/>
          <w:sz w:val="22"/>
          <w:szCs w:val="22"/>
        </w:rPr>
        <w:t xml:space="preserve"> Grand Court</w:t>
      </w:r>
      <w:r w:rsidRPr="007063B3">
        <w:rPr>
          <w:rFonts w:ascii="Avenir Next" w:hAnsi="Avenir Next" w:cs="Arial"/>
          <w:color w:val="808080" w:themeColor="background1" w:themeShade="80"/>
          <w:sz w:val="22"/>
          <w:szCs w:val="22"/>
        </w:rPr>
        <w:t xml:space="preserve">, treating the foreign judgment as an unsatisfied debt. </w:t>
      </w:r>
      <w:r w:rsidR="007063B3">
        <w:rPr>
          <w:rFonts w:ascii="Avenir Next" w:hAnsi="Avenir Next" w:cs="Arial"/>
          <w:color w:val="808080" w:themeColor="background1" w:themeShade="80"/>
          <w:sz w:val="22"/>
          <w:szCs w:val="22"/>
        </w:rPr>
        <w:t xml:space="preserve">This will allow </w:t>
      </w:r>
      <w:r w:rsidRPr="007063B3">
        <w:rPr>
          <w:rFonts w:ascii="Avenir Next" w:hAnsi="Avenir Next" w:cs="Arial"/>
          <w:color w:val="808080" w:themeColor="background1" w:themeShade="80"/>
          <w:sz w:val="22"/>
          <w:szCs w:val="22"/>
        </w:rPr>
        <w:t>for the enforcement of both money and non-money judgments</w:t>
      </w:r>
      <w:r w:rsidR="007063B3">
        <w:rPr>
          <w:rFonts w:ascii="Avenir Next" w:hAnsi="Avenir Next" w:cs="Arial"/>
          <w:color w:val="808080" w:themeColor="background1" w:themeShade="80"/>
          <w:sz w:val="22"/>
          <w:szCs w:val="22"/>
        </w:rPr>
        <w:t xml:space="preserve"> </w:t>
      </w:r>
      <w:r w:rsidRPr="007063B3">
        <w:rPr>
          <w:rFonts w:ascii="Avenir Next" w:hAnsi="Avenir Next" w:cs="Arial"/>
          <w:color w:val="808080" w:themeColor="background1" w:themeShade="80"/>
          <w:sz w:val="22"/>
          <w:szCs w:val="22"/>
        </w:rPr>
        <w:t>provided they meet</w:t>
      </w:r>
      <w:r w:rsidR="007063B3">
        <w:rPr>
          <w:rFonts w:ascii="Avenir Next" w:hAnsi="Avenir Next" w:cs="Arial"/>
          <w:color w:val="808080" w:themeColor="background1" w:themeShade="80"/>
          <w:sz w:val="22"/>
          <w:szCs w:val="22"/>
        </w:rPr>
        <w:t xml:space="preserve"> the </w:t>
      </w:r>
      <w:r w:rsidRPr="007063B3">
        <w:rPr>
          <w:rFonts w:ascii="Avenir Next" w:hAnsi="Avenir Next" w:cs="Arial"/>
          <w:color w:val="808080" w:themeColor="background1" w:themeShade="80"/>
          <w:sz w:val="22"/>
          <w:szCs w:val="22"/>
        </w:rPr>
        <w:t>criteria</w:t>
      </w:r>
      <w:r w:rsidR="007063B3">
        <w:rPr>
          <w:rFonts w:ascii="Avenir Next" w:hAnsi="Avenir Next" w:cs="Arial"/>
          <w:color w:val="808080" w:themeColor="background1" w:themeShade="80"/>
          <w:sz w:val="22"/>
          <w:szCs w:val="22"/>
        </w:rPr>
        <w:t xml:space="preserve"> set down as follows</w:t>
      </w:r>
      <w:r w:rsidR="007063B3" w:rsidRPr="007063B3">
        <w:rPr>
          <w:rFonts w:ascii="Avenir Next" w:hAnsi="Avenir Next" w:cs="Arial"/>
          <w:color w:val="808080" w:themeColor="background1" w:themeShade="80"/>
          <w:sz w:val="22"/>
          <w:szCs w:val="22"/>
        </w:rPr>
        <w:t>:</w:t>
      </w:r>
      <w:r w:rsidR="007063B3">
        <w:rPr>
          <w:rFonts w:ascii="Avenir Next" w:hAnsi="Avenir Next" w:cs="Arial"/>
          <w:color w:val="808080" w:themeColor="background1" w:themeShade="80"/>
          <w:sz w:val="22"/>
          <w:szCs w:val="22"/>
        </w:rPr>
        <w:t xml:space="preserve"> -</w:t>
      </w:r>
      <w:r w:rsidRPr="007063B3">
        <w:rPr>
          <w:rFonts w:ascii="Avenir Next" w:hAnsi="Avenir Next" w:cs="Arial"/>
          <w:color w:val="808080" w:themeColor="background1" w:themeShade="80"/>
          <w:sz w:val="22"/>
          <w:szCs w:val="22"/>
        </w:rPr>
        <w:t xml:space="preserve"> the judgment is final</w:t>
      </w:r>
      <w:r w:rsidR="007063B3">
        <w:rPr>
          <w:rFonts w:ascii="Avenir Next" w:hAnsi="Avenir Next" w:cs="Arial"/>
          <w:color w:val="808080" w:themeColor="background1" w:themeShade="80"/>
          <w:sz w:val="22"/>
          <w:szCs w:val="22"/>
        </w:rPr>
        <w:t xml:space="preserve">, </w:t>
      </w:r>
      <w:r w:rsidRPr="007063B3">
        <w:rPr>
          <w:rFonts w:ascii="Avenir Next" w:hAnsi="Avenir Next" w:cs="Arial"/>
          <w:color w:val="808080" w:themeColor="background1" w:themeShade="80"/>
          <w:sz w:val="22"/>
          <w:szCs w:val="22"/>
        </w:rPr>
        <w:t>the foreign court had jurisdiction over the debtor</w:t>
      </w:r>
      <w:r w:rsidR="007063B3">
        <w:rPr>
          <w:rFonts w:ascii="Avenir Next" w:hAnsi="Avenir Next" w:cs="Arial"/>
          <w:color w:val="808080" w:themeColor="background1" w:themeShade="80"/>
          <w:sz w:val="22"/>
          <w:szCs w:val="22"/>
        </w:rPr>
        <w:t xml:space="preserve">, </w:t>
      </w:r>
      <w:r w:rsidRPr="007063B3">
        <w:rPr>
          <w:rFonts w:ascii="Avenir Next" w:hAnsi="Avenir Next" w:cs="Arial"/>
          <w:color w:val="808080" w:themeColor="background1" w:themeShade="80"/>
          <w:sz w:val="22"/>
          <w:szCs w:val="22"/>
        </w:rPr>
        <w:t>the judgment was not obtained by fraud</w:t>
      </w:r>
      <w:r w:rsidR="007063B3">
        <w:rPr>
          <w:rFonts w:ascii="Avenir Next" w:hAnsi="Avenir Next" w:cs="Arial"/>
          <w:color w:val="808080" w:themeColor="background1" w:themeShade="80"/>
          <w:sz w:val="22"/>
          <w:szCs w:val="22"/>
        </w:rPr>
        <w:t xml:space="preserve">, the judgment </w:t>
      </w:r>
      <w:r w:rsidRPr="007063B3">
        <w:rPr>
          <w:rFonts w:ascii="Avenir Next" w:hAnsi="Avenir Next" w:cs="Arial"/>
          <w:color w:val="808080" w:themeColor="background1" w:themeShade="80"/>
          <w:sz w:val="22"/>
          <w:szCs w:val="22"/>
        </w:rPr>
        <w:t>does not contravene the public policy of the Cayman Islands; and it adheres to the principles of natural justice.</w:t>
      </w:r>
    </w:p>
    <w:p w14:paraId="1D0217AE" w14:textId="77777777" w:rsidR="00FC5C80" w:rsidRDefault="00FC5C80" w:rsidP="001D69E3">
      <w:pPr>
        <w:jc w:val="both"/>
        <w:rPr>
          <w:rFonts w:ascii="Avenir Next" w:hAnsi="Avenir Next" w:cs="Arial"/>
          <w:color w:val="808080" w:themeColor="background1" w:themeShade="80"/>
          <w:sz w:val="22"/>
          <w:szCs w:val="22"/>
        </w:rPr>
      </w:pPr>
    </w:p>
    <w:p w14:paraId="2BDCC900" w14:textId="5ED0DBBE" w:rsidR="00415760" w:rsidRPr="00415760" w:rsidRDefault="001D69E3" w:rsidP="001D69E3">
      <w:pPr>
        <w:jc w:val="both"/>
        <w:rPr>
          <w:rFonts w:ascii="Avenir Next" w:hAnsi="Avenir Next" w:cs="Arial"/>
          <w:color w:val="808080" w:themeColor="background1" w:themeShade="80"/>
          <w:sz w:val="22"/>
          <w:szCs w:val="22"/>
        </w:rPr>
      </w:pPr>
      <w:r w:rsidRPr="001D69E3">
        <w:rPr>
          <w:rFonts w:ascii="Avenir Next" w:hAnsi="Avenir Next" w:cs="Arial"/>
          <w:color w:val="808080" w:themeColor="background1" w:themeShade="80"/>
          <w:sz w:val="22"/>
          <w:szCs w:val="22"/>
        </w:rPr>
        <w:t xml:space="preserve">Both </w:t>
      </w:r>
      <w:r w:rsidR="007063B3">
        <w:rPr>
          <w:rFonts w:ascii="Avenir Next" w:hAnsi="Avenir Next" w:cs="Arial"/>
          <w:color w:val="808080" w:themeColor="background1" w:themeShade="80"/>
          <w:sz w:val="22"/>
          <w:szCs w:val="22"/>
        </w:rPr>
        <w:t xml:space="preserve">routes </w:t>
      </w:r>
      <w:r w:rsidRPr="001D69E3">
        <w:rPr>
          <w:rFonts w:ascii="Avenir Next" w:hAnsi="Avenir Next" w:cs="Arial"/>
          <w:color w:val="808080" w:themeColor="background1" w:themeShade="80"/>
          <w:sz w:val="22"/>
          <w:szCs w:val="22"/>
        </w:rPr>
        <w:t>are subject to a six-year limitation period, starting from the date of the judgment or the final judgment if there were appeals.</w:t>
      </w:r>
    </w:p>
    <w:p w14:paraId="27DA0CDE" w14:textId="6EB91ED1" w:rsidR="00AB0E3A" w:rsidRPr="00310533" w:rsidRDefault="00AB0E3A" w:rsidP="00AB0E3A">
      <w:pPr>
        <w:jc w:val="both"/>
        <w:rPr>
          <w:rFonts w:ascii="Avenir Next" w:hAnsi="Avenir Next" w:cs="Arial"/>
          <w:color w:val="808080" w:themeColor="background1" w:themeShade="80"/>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1779E8E7" w14:textId="378F12F7" w:rsidR="00493337" w:rsidRDefault="00452432" w:rsidP="00493337">
      <w:pPr>
        <w:jc w:val="both"/>
        <w:rPr>
          <w:rFonts w:ascii="Avenir Next" w:hAnsi="Avenir Next" w:cs="Arial"/>
          <w:color w:val="808080" w:themeColor="background1" w:themeShade="80"/>
          <w:sz w:val="22"/>
          <w:szCs w:val="22"/>
          <w:lang w:val="en-GB"/>
        </w:rPr>
      </w:pPr>
      <w:r w:rsidRPr="00452432">
        <w:rPr>
          <w:rFonts w:ascii="Avenir Next" w:hAnsi="Avenir Next" w:cs="Arial"/>
          <w:color w:val="808080" w:themeColor="background1" w:themeShade="80"/>
          <w:sz w:val="22"/>
          <w:szCs w:val="22"/>
        </w:rPr>
        <w:t>Yes, it is</w:t>
      </w:r>
      <w:r w:rsidR="00821B30">
        <w:rPr>
          <w:rFonts w:ascii="Avenir Next" w:hAnsi="Avenir Next" w:cs="Arial"/>
          <w:color w:val="808080" w:themeColor="background1" w:themeShade="80"/>
          <w:sz w:val="22"/>
          <w:szCs w:val="22"/>
        </w:rPr>
        <w:t xml:space="preserve"> </w:t>
      </w:r>
      <w:r w:rsidRPr="00452432">
        <w:rPr>
          <w:rFonts w:ascii="Avenir Next" w:hAnsi="Avenir Next" w:cs="Arial"/>
          <w:color w:val="808080" w:themeColor="background1" w:themeShade="80"/>
          <w:sz w:val="22"/>
          <w:szCs w:val="22"/>
        </w:rPr>
        <w:t>possible for a creditor to register its security over an asset in the Cayman Islands. The registration process and its effects are specified under different regulations depending on the type of asset involved</w:t>
      </w:r>
      <w:r w:rsidR="00C85CA4">
        <w:rPr>
          <w:rFonts w:ascii="Avenir Next" w:hAnsi="Avenir Next" w:cs="Arial"/>
          <w:color w:val="808080" w:themeColor="background1" w:themeShade="80"/>
          <w:sz w:val="22"/>
          <w:szCs w:val="22"/>
        </w:rPr>
        <w:t>. S</w:t>
      </w:r>
      <w:r w:rsidR="00C85CA4" w:rsidRPr="00C85CA4">
        <w:rPr>
          <w:rFonts w:ascii="Avenir Next" w:hAnsi="Avenir Next" w:cs="Arial"/>
          <w:color w:val="808080" w:themeColor="background1" w:themeShade="80"/>
          <w:sz w:val="22"/>
          <w:szCs w:val="22"/>
        </w:rPr>
        <w:t>ecurity may be taken over immovable</w:t>
      </w:r>
      <w:r w:rsidR="00BC3BF2">
        <w:rPr>
          <w:rFonts w:ascii="Avenir Next" w:hAnsi="Avenir Next" w:cs="Arial"/>
          <w:color w:val="808080" w:themeColor="background1" w:themeShade="80"/>
          <w:sz w:val="22"/>
          <w:szCs w:val="22"/>
        </w:rPr>
        <w:t xml:space="preserve"> </w:t>
      </w:r>
      <w:r w:rsidR="00C85CA4" w:rsidRPr="00C85CA4">
        <w:rPr>
          <w:rFonts w:ascii="Avenir Next" w:hAnsi="Avenir Next" w:cs="Arial"/>
          <w:color w:val="808080" w:themeColor="background1" w:themeShade="80"/>
          <w:sz w:val="22"/>
          <w:szCs w:val="22"/>
        </w:rPr>
        <w:t>or movable assets.</w:t>
      </w:r>
      <w:r w:rsidR="00493337" w:rsidRPr="00493337">
        <w:rPr>
          <w:rFonts w:ascii="Avenir Next" w:hAnsi="Avenir Next" w:cs="Arial"/>
          <w:color w:val="808080" w:themeColor="background1" w:themeShade="80"/>
          <w:sz w:val="22"/>
          <w:szCs w:val="22"/>
          <w:lang w:val="en-GB"/>
        </w:rPr>
        <w:t xml:space="preserve"> </w:t>
      </w:r>
    </w:p>
    <w:p w14:paraId="389DE4EB" w14:textId="5092F8CD" w:rsidR="00493337" w:rsidRDefault="00493337" w:rsidP="00493337">
      <w:pPr>
        <w:jc w:val="both"/>
        <w:rPr>
          <w:rFonts w:ascii="Avenir Next" w:hAnsi="Avenir Next" w:cs="Arial"/>
          <w:color w:val="808080" w:themeColor="background1" w:themeShade="80"/>
          <w:sz w:val="22"/>
          <w:szCs w:val="22"/>
          <w:lang w:val="en-GB"/>
        </w:rPr>
      </w:pPr>
      <w:r w:rsidRPr="00493337">
        <w:rPr>
          <w:rFonts w:ascii="Avenir Next" w:hAnsi="Avenir Next" w:cs="Arial"/>
          <w:color w:val="808080" w:themeColor="background1" w:themeShade="80"/>
          <w:sz w:val="22"/>
          <w:szCs w:val="22"/>
          <w:lang w:val="en-GB"/>
        </w:rPr>
        <w:lastRenderedPageBreak/>
        <w:t>Some of the possible</w:t>
      </w:r>
      <w:r>
        <w:rPr>
          <w:rFonts w:ascii="Avenir Next" w:hAnsi="Avenir Next" w:cs="Arial"/>
          <w:color w:val="808080" w:themeColor="background1" w:themeShade="80"/>
          <w:sz w:val="22"/>
          <w:szCs w:val="22"/>
          <w:lang w:val="en-GB"/>
        </w:rPr>
        <w:t xml:space="preserve"> ways through which </w:t>
      </w:r>
      <w:r w:rsidRPr="00493337">
        <w:rPr>
          <w:rFonts w:ascii="Avenir Next" w:hAnsi="Avenir Next" w:cs="Arial"/>
          <w:color w:val="808080" w:themeColor="background1" w:themeShade="80"/>
          <w:sz w:val="22"/>
          <w:szCs w:val="22"/>
          <w:lang w:val="en-GB"/>
        </w:rPr>
        <w:t>security interests</w:t>
      </w:r>
      <w:r>
        <w:rPr>
          <w:rFonts w:ascii="Avenir Next" w:hAnsi="Avenir Next" w:cs="Arial"/>
          <w:color w:val="808080" w:themeColor="background1" w:themeShade="80"/>
          <w:sz w:val="22"/>
          <w:szCs w:val="22"/>
          <w:lang w:val="en-GB"/>
        </w:rPr>
        <w:t xml:space="preserve"> </w:t>
      </w:r>
      <w:r w:rsidRPr="00493337">
        <w:rPr>
          <w:rFonts w:ascii="Avenir Next" w:hAnsi="Avenir Next" w:cs="Arial"/>
          <w:color w:val="808080" w:themeColor="background1" w:themeShade="80"/>
          <w:sz w:val="22"/>
          <w:szCs w:val="22"/>
          <w:lang w:val="en-GB"/>
        </w:rPr>
        <w:t xml:space="preserve">can be created </w:t>
      </w:r>
      <w:r>
        <w:rPr>
          <w:rFonts w:ascii="Avenir Next" w:hAnsi="Avenir Next" w:cs="Arial"/>
          <w:color w:val="808080" w:themeColor="background1" w:themeShade="80"/>
          <w:sz w:val="22"/>
          <w:szCs w:val="22"/>
          <w:lang w:val="en-GB"/>
        </w:rPr>
        <w:t xml:space="preserve">over assets </w:t>
      </w:r>
      <w:r w:rsidRPr="00493337">
        <w:rPr>
          <w:rFonts w:ascii="Avenir Next" w:hAnsi="Avenir Next" w:cs="Arial"/>
          <w:color w:val="808080" w:themeColor="background1" w:themeShade="80"/>
          <w:sz w:val="22"/>
          <w:szCs w:val="22"/>
          <w:lang w:val="en-GB"/>
        </w:rPr>
        <w:t>include</w:t>
      </w:r>
      <w:r w:rsidR="00BC3BF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following</w:t>
      </w:r>
      <w:r w:rsidRPr="00493337">
        <w:rPr>
          <w:rFonts w:ascii="Avenir Next" w:hAnsi="Avenir Next" w:cs="Arial"/>
          <w:color w:val="808080" w:themeColor="background1" w:themeShade="80"/>
          <w:sz w:val="22"/>
          <w:szCs w:val="22"/>
          <w:lang w:val="en-GB"/>
        </w:rPr>
        <w:t xml:space="preserve">: - </w:t>
      </w:r>
    </w:p>
    <w:p w14:paraId="19752540" w14:textId="3E22C8B0" w:rsidR="00493337" w:rsidRDefault="00493337" w:rsidP="00493337">
      <w:pPr>
        <w:jc w:val="both"/>
        <w:rPr>
          <w:rFonts w:ascii="Avenir Next" w:hAnsi="Avenir Next" w:cs="Arial"/>
          <w:color w:val="808080" w:themeColor="background1" w:themeShade="80"/>
          <w:sz w:val="22"/>
          <w:szCs w:val="22"/>
          <w:lang w:val="en-GB"/>
        </w:rPr>
      </w:pPr>
    </w:p>
    <w:p w14:paraId="51E0BB0F" w14:textId="39B1A77D" w:rsidR="00493337" w:rsidRDefault="00493337" w:rsidP="00B33C5A">
      <w:pPr>
        <w:pStyle w:val="ListParagraph"/>
        <w:numPr>
          <w:ilvl w:val="0"/>
          <w:numId w:val="13"/>
        </w:numPr>
        <w:contextualSpacing w:val="0"/>
        <w:jc w:val="both"/>
        <w:rPr>
          <w:rFonts w:ascii="Avenir Next" w:hAnsi="Avenir Next" w:cs="Arial"/>
          <w:color w:val="808080" w:themeColor="background1" w:themeShade="80"/>
          <w:sz w:val="22"/>
          <w:szCs w:val="22"/>
          <w:lang w:val="en-GB"/>
        </w:rPr>
      </w:pPr>
      <w:r w:rsidRPr="00BC3DD2">
        <w:rPr>
          <w:rFonts w:ascii="Avenir Next" w:hAnsi="Avenir Next" w:cs="Arial"/>
          <w:b/>
          <w:color w:val="808080" w:themeColor="background1" w:themeShade="80"/>
          <w:sz w:val="22"/>
          <w:szCs w:val="22"/>
          <w:lang w:val="en-GB"/>
        </w:rPr>
        <w:t>Security over Real Property (Freehold or Leasehold)</w:t>
      </w:r>
      <w:r>
        <w:rPr>
          <w:rFonts w:ascii="Avenir Next" w:hAnsi="Avenir Next" w:cs="Arial"/>
          <w:color w:val="808080" w:themeColor="background1" w:themeShade="80"/>
          <w:sz w:val="22"/>
          <w:szCs w:val="22"/>
          <w:lang w:val="en-GB"/>
        </w:rPr>
        <w:t xml:space="preserve"> - s</w:t>
      </w:r>
      <w:r w:rsidRPr="00493337">
        <w:rPr>
          <w:rFonts w:ascii="Avenir Next" w:hAnsi="Avenir Next" w:cs="Arial"/>
          <w:color w:val="808080" w:themeColor="background1" w:themeShade="80"/>
          <w:sz w:val="22"/>
          <w:szCs w:val="22"/>
          <w:lang w:val="en-GB"/>
        </w:rPr>
        <w:t>ecurity over real property is</w:t>
      </w:r>
      <w:r w:rsidR="00BC3BF2">
        <w:rPr>
          <w:rFonts w:ascii="Avenir Next" w:hAnsi="Avenir Next" w:cs="Arial"/>
          <w:color w:val="808080" w:themeColor="background1" w:themeShade="80"/>
          <w:sz w:val="22"/>
          <w:szCs w:val="22"/>
          <w:lang w:val="en-GB"/>
        </w:rPr>
        <w:t xml:space="preserve"> </w:t>
      </w:r>
      <w:r w:rsidRPr="00493337">
        <w:rPr>
          <w:rFonts w:ascii="Avenir Next" w:hAnsi="Avenir Next" w:cs="Arial"/>
          <w:color w:val="808080" w:themeColor="background1" w:themeShade="80"/>
          <w:sz w:val="22"/>
          <w:szCs w:val="22"/>
          <w:lang w:val="en-GB"/>
        </w:rPr>
        <w:t xml:space="preserve">secured through mortgages. Legal mortgages require the lender (mortgagee) to hold legal title to the property as security, which must be created by </w:t>
      </w:r>
      <w:r w:rsidR="00BC3BF2">
        <w:rPr>
          <w:rFonts w:ascii="Avenir Next" w:hAnsi="Avenir Next" w:cs="Arial"/>
          <w:color w:val="808080" w:themeColor="background1" w:themeShade="80"/>
          <w:sz w:val="22"/>
          <w:szCs w:val="22"/>
          <w:lang w:val="en-GB"/>
        </w:rPr>
        <w:t xml:space="preserve">a Charge </w:t>
      </w:r>
      <w:r w:rsidRPr="00493337">
        <w:rPr>
          <w:rFonts w:ascii="Avenir Next" w:hAnsi="Avenir Next" w:cs="Arial"/>
          <w:color w:val="808080" w:themeColor="background1" w:themeShade="80"/>
          <w:sz w:val="22"/>
          <w:szCs w:val="22"/>
          <w:lang w:val="en-GB"/>
        </w:rPr>
        <w:t>and registered in the Register of Lands. This registration informs third parties of the mortgage and ensures that the mortgagee has priority over subsequent interests</w:t>
      </w:r>
      <w:r w:rsidR="00BC3BF2">
        <w:rPr>
          <w:rFonts w:ascii="Avenir Next" w:hAnsi="Avenir Next" w:cs="Arial"/>
          <w:color w:val="808080" w:themeColor="background1" w:themeShade="80"/>
          <w:sz w:val="22"/>
          <w:szCs w:val="22"/>
          <w:lang w:val="en-GB"/>
        </w:rPr>
        <w:t xml:space="preserve"> over the property. </w:t>
      </w:r>
    </w:p>
    <w:p w14:paraId="677AFD27" w14:textId="77777777" w:rsidR="00493337" w:rsidRDefault="00493337" w:rsidP="00493337">
      <w:pPr>
        <w:pStyle w:val="ListParagraph"/>
        <w:contextualSpacing w:val="0"/>
        <w:jc w:val="both"/>
        <w:rPr>
          <w:rFonts w:ascii="Avenir Next" w:hAnsi="Avenir Next" w:cs="Arial"/>
          <w:color w:val="808080" w:themeColor="background1" w:themeShade="80"/>
          <w:sz w:val="22"/>
          <w:szCs w:val="22"/>
          <w:lang w:val="en-GB"/>
        </w:rPr>
      </w:pPr>
    </w:p>
    <w:p w14:paraId="54B0F002" w14:textId="77777777" w:rsidR="00295B10" w:rsidRDefault="00493337" w:rsidP="00B33C5A">
      <w:pPr>
        <w:pStyle w:val="ListParagraph"/>
        <w:numPr>
          <w:ilvl w:val="0"/>
          <w:numId w:val="13"/>
        </w:numPr>
        <w:contextualSpacing w:val="0"/>
        <w:jc w:val="both"/>
        <w:rPr>
          <w:rFonts w:ascii="Avenir Next" w:hAnsi="Avenir Next" w:cs="Arial"/>
          <w:color w:val="808080" w:themeColor="background1" w:themeShade="80"/>
          <w:sz w:val="22"/>
          <w:szCs w:val="22"/>
          <w:lang w:val="en-GB"/>
        </w:rPr>
      </w:pPr>
      <w:r w:rsidRPr="00BC3DD2">
        <w:rPr>
          <w:rFonts w:ascii="Avenir Next" w:hAnsi="Avenir Next" w:cs="Arial"/>
          <w:b/>
          <w:color w:val="808080" w:themeColor="background1" w:themeShade="80"/>
          <w:sz w:val="22"/>
          <w:szCs w:val="22"/>
          <w:lang w:val="en-GB"/>
        </w:rPr>
        <w:t>Security over Movable Property</w:t>
      </w:r>
      <w:r>
        <w:rPr>
          <w:rFonts w:ascii="Avenir Next" w:hAnsi="Avenir Next" w:cs="Arial"/>
          <w:color w:val="808080" w:themeColor="background1" w:themeShade="80"/>
          <w:sz w:val="22"/>
          <w:szCs w:val="22"/>
          <w:lang w:val="en-GB"/>
        </w:rPr>
        <w:t xml:space="preserve"> - </w:t>
      </w:r>
      <w:bookmarkStart w:id="0" w:name="_Hlk170845407"/>
      <w:r w:rsidRPr="00493337">
        <w:rPr>
          <w:rFonts w:ascii="Avenir Next" w:hAnsi="Avenir Next" w:cs="Arial"/>
          <w:color w:val="808080" w:themeColor="background1" w:themeShade="80"/>
          <w:sz w:val="22"/>
          <w:szCs w:val="22"/>
          <w:lang w:val="en-GB"/>
        </w:rPr>
        <w:t>Security over movable assets like ships and aircraft also involves registration in the respective asset registers (vessel or aircraft register).</w:t>
      </w:r>
      <w:r>
        <w:rPr>
          <w:rFonts w:ascii="Avenir Next" w:hAnsi="Avenir Next" w:cs="Arial"/>
          <w:color w:val="808080" w:themeColor="background1" w:themeShade="80"/>
          <w:sz w:val="22"/>
          <w:szCs w:val="22"/>
          <w:lang w:val="en-GB"/>
        </w:rPr>
        <w:t xml:space="preserve"> </w:t>
      </w:r>
      <w:bookmarkEnd w:id="0"/>
    </w:p>
    <w:p w14:paraId="22F451D9" w14:textId="77777777" w:rsidR="00295B10" w:rsidRPr="00295B10" w:rsidRDefault="00295B10" w:rsidP="00295B10">
      <w:pPr>
        <w:pStyle w:val="ListParagraph"/>
        <w:rPr>
          <w:rFonts w:ascii="Avenir Next" w:hAnsi="Avenir Next" w:cs="Arial"/>
          <w:color w:val="808080" w:themeColor="background1" w:themeShade="80"/>
          <w:sz w:val="22"/>
          <w:szCs w:val="22"/>
          <w:lang w:val="en-GB"/>
        </w:rPr>
      </w:pPr>
    </w:p>
    <w:p w14:paraId="5EC3F312" w14:textId="3F366E0F" w:rsidR="00493337" w:rsidRPr="00493337" w:rsidRDefault="00493337" w:rsidP="00B33C5A">
      <w:pPr>
        <w:pStyle w:val="ListParagraph"/>
        <w:numPr>
          <w:ilvl w:val="0"/>
          <w:numId w:val="13"/>
        </w:numPr>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Security interest can also be registered over shares </w:t>
      </w:r>
      <w:r w:rsidR="0008350A">
        <w:rPr>
          <w:rFonts w:ascii="Avenir Next" w:hAnsi="Avenir Next" w:cs="Arial"/>
          <w:color w:val="808080" w:themeColor="background1" w:themeShade="80"/>
          <w:sz w:val="22"/>
          <w:szCs w:val="22"/>
          <w:lang w:val="en-GB"/>
        </w:rPr>
        <w:t>by</w:t>
      </w:r>
      <w:r>
        <w:rPr>
          <w:rFonts w:ascii="Avenir Next" w:hAnsi="Avenir Next" w:cs="Arial"/>
          <w:color w:val="808080" w:themeColor="background1" w:themeShade="80"/>
          <w:sz w:val="22"/>
          <w:szCs w:val="22"/>
          <w:lang w:val="en-GB"/>
        </w:rPr>
        <w:t xml:space="preserve"> entering the secured creditor’s name in the register of members as the </w:t>
      </w:r>
      <w:r w:rsidR="0008350A">
        <w:rPr>
          <w:rFonts w:ascii="Avenir Next" w:hAnsi="Avenir Next" w:cs="Arial"/>
          <w:color w:val="808080" w:themeColor="background1" w:themeShade="80"/>
          <w:sz w:val="22"/>
          <w:szCs w:val="22"/>
          <w:lang w:val="en-GB"/>
        </w:rPr>
        <w:t>shareholder</w:t>
      </w:r>
      <w:r>
        <w:rPr>
          <w:rFonts w:ascii="Avenir Next" w:hAnsi="Avenir Next" w:cs="Arial"/>
          <w:color w:val="808080" w:themeColor="background1" w:themeShade="80"/>
          <w:sz w:val="22"/>
          <w:szCs w:val="22"/>
          <w:lang w:val="en-GB"/>
        </w:rPr>
        <w:t xml:space="preserve"> and the deposit of the share certificate with the secured creditor. </w:t>
      </w:r>
    </w:p>
    <w:p w14:paraId="1E50F2B3" w14:textId="77777777" w:rsidR="00493337" w:rsidRPr="00493337" w:rsidRDefault="00493337" w:rsidP="00493337">
      <w:pPr>
        <w:jc w:val="both"/>
        <w:rPr>
          <w:rFonts w:ascii="Avenir Next" w:hAnsi="Avenir Next" w:cs="Arial"/>
          <w:color w:val="808080" w:themeColor="background1" w:themeShade="80"/>
          <w:sz w:val="22"/>
          <w:szCs w:val="22"/>
          <w:lang w:val="en-GB"/>
        </w:rPr>
      </w:pPr>
    </w:p>
    <w:p w14:paraId="787D69CA" w14:textId="0C1A39ED" w:rsidR="00BC3DD2" w:rsidRDefault="00BC3DD2" w:rsidP="0049333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w:t>
      </w:r>
      <w:r w:rsidR="00493337" w:rsidRPr="00493337">
        <w:rPr>
          <w:rFonts w:ascii="Avenir Next" w:hAnsi="Avenir Next" w:cs="Arial"/>
          <w:color w:val="808080" w:themeColor="background1" w:themeShade="80"/>
          <w:sz w:val="22"/>
          <w:szCs w:val="22"/>
          <w:lang w:val="en-GB"/>
        </w:rPr>
        <w:t>ffect of Registration</w:t>
      </w:r>
      <w:r>
        <w:rPr>
          <w:rFonts w:ascii="Avenir Next" w:hAnsi="Avenir Next" w:cs="Arial"/>
          <w:color w:val="808080" w:themeColor="background1" w:themeShade="80"/>
          <w:sz w:val="22"/>
          <w:szCs w:val="22"/>
          <w:lang w:val="en-GB"/>
        </w:rPr>
        <w:t xml:space="preserve"> of such security interests is as follows: - </w:t>
      </w:r>
    </w:p>
    <w:p w14:paraId="6B302F9A" w14:textId="77777777" w:rsidR="00BC3DD2" w:rsidRDefault="00BC3DD2" w:rsidP="00493337">
      <w:pPr>
        <w:jc w:val="both"/>
        <w:rPr>
          <w:rFonts w:ascii="Avenir Next" w:hAnsi="Avenir Next" w:cs="Arial"/>
          <w:color w:val="808080" w:themeColor="background1" w:themeShade="80"/>
          <w:sz w:val="22"/>
          <w:szCs w:val="22"/>
          <w:lang w:val="en-GB"/>
        </w:rPr>
      </w:pPr>
    </w:p>
    <w:p w14:paraId="0E46F43F" w14:textId="40593F8B" w:rsidR="00BC3DD2" w:rsidRDefault="00493337" w:rsidP="00B33C5A">
      <w:pPr>
        <w:pStyle w:val="ListParagraph"/>
        <w:numPr>
          <w:ilvl w:val="0"/>
          <w:numId w:val="14"/>
        </w:numPr>
        <w:contextualSpacing w:val="0"/>
        <w:jc w:val="both"/>
        <w:rPr>
          <w:rFonts w:ascii="Avenir Next" w:hAnsi="Avenir Next" w:cs="Arial"/>
          <w:color w:val="808080" w:themeColor="background1" w:themeShade="80"/>
          <w:sz w:val="22"/>
          <w:szCs w:val="22"/>
          <w:lang w:val="en-GB"/>
        </w:rPr>
      </w:pPr>
      <w:r w:rsidRPr="00BC3DD2">
        <w:rPr>
          <w:rFonts w:ascii="Avenir Next" w:hAnsi="Avenir Next" w:cs="Arial"/>
          <w:b/>
          <w:color w:val="808080" w:themeColor="background1" w:themeShade="80"/>
          <w:sz w:val="22"/>
          <w:szCs w:val="22"/>
          <w:lang w:val="en-GB"/>
        </w:rPr>
        <w:t>Notice to Third Parties</w:t>
      </w:r>
      <w:r w:rsidR="00BC3DD2">
        <w:rPr>
          <w:rFonts w:ascii="Avenir Next" w:hAnsi="Avenir Next" w:cs="Arial"/>
          <w:color w:val="808080" w:themeColor="background1" w:themeShade="80"/>
          <w:sz w:val="22"/>
          <w:szCs w:val="22"/>
          <w:lang w:val="en-GB"/>
        </w:rPr>
        <w:t xml:space="preserve"> - </w:t>
      </w:r>
      <w:r w:rsidRPr="00BC3DD2">
        <w:rPr>
          <w:rFonts w:ascii="Avenir Next" w:hAnsi="Avenir Next" w:cs="Arial"/>
          <w:color w:val="808080" w:themeColor="background1" w:themeShade="80"/>
          <w:sz w:val="22"/>
          <w:szCs w:val="22"/>
          <w:lang w:val="en-GB"/>
        </w:rPr>
        <w:t xml:space="preserve">Registration of a security interest provides </w:t>
      </w:r>
      <w:r w:rsidR="00BC3BF2">
        <w:rPr>
          <w:rFonts w:ascii="Avenir Next" w:hAnsi="Avenir Next" w:cs="Arial"/>
          <w:color w:val="808080" w:themeColor="background1" w:themeShade="80"/>
          <w:sz w:val="22"/>
          <w:szCs w:val="22"/>
          <w:lang w:val="en-GB"/>
        </w:rPr>
        <w:t>notice to third parties</w:t>
      </w:r>
      <w:r w:rsidRPr="00BC3DD2">
        <w:rPr>
          <w:rFonts w:ascii="Avenir Next" w:hAnsi="Avenir Next" w:cs="Arial"/>
          <w:color w:val="808080" w:themeColor="background1" w:themeShade="80"/>
          <w:sz w:val="22"/>
          <w:szCs w:val="22"/>
          <w:lang w:val="en-GB"/>
        </w:rPr>
        <w:t>, which is crucial for establishing legal priority over the asset against third-party claims.</w:t>
      </w:r>
    </w:p>
    <w:p w14:paraId="6F0B74E9" w14:textId="77777777" w:rsidR="00BC3DD2" w:rsidRPr="00BC3DD2" w:rsidRDefault="00BC3DD2" w:rsidP="00BC3DD2">
      <w:pPr>
        <w:ind w:left="360"/>
        <w:jc w:val="both"/>
        <w:rPr>
          <w:rFonts w:ascii="Avenir Next" w:hAnsi="Avenir Next" w:cs="Arial"/>
          <w:color w:val="808080" w:themeColor="background1" w:themeShade="80"/>
          <w:sz w:val="22"/>
          <w:szCs w:val="22"/>
          <w:lang w:val="en-GB"/>
        </w:rPr>
      </w:pPr>
    </w:p>
    <w:p w14:paraId="27A09A4C" w14:textId="5D9501FD" w:rsidR="00BC3DD2" w:rsidRDefault="00493337" w:rsidP="00B33C5A">
      <w:pPr>
        <w:pStyle w:val="ListParagraph"/>
        <w:numPr>
          <w:ilvl w:val="0"/>
          <w:numId w:val="14"/>
        </w:numPr>
        <w:contextualSpacing w:val="0"/>
        <w:jc w:val="both"/>
        <w:rPr>
          <w:rFonts w:ascii="Avenir Next" w:hAnsi="Avenir Next" w:cs="Arial"/>
          <w:color w:val="808080" w:themeColor="background1" w:themeShade="80"/>
          <w:sz w:val="22"/>
          <w:szCs w:val="22"/>
          <w:lang w:val="en-GB"/>
        </w:rPr>
      </w:pPr>
      <w:r w:rsidRPr="00BC3DD2">
        <w:rPr>
          <w:rFonts w:ascii="Avenir Next" w:hAnsi="Avenir Next" w:cs="Arial"/>
          <w:b/>
          <w:color w:val="808080" w:themeColor="background1" w:themeShade="80"/>
          <w:sz w:val="22"/>
          <w:szCs w:val="22"/>
          <w:lang w:val="en-GB"/>
        </w:rPr>
        <w:t>Priority</w:t>
      </w:r>
      <w:r w:rsidR="00BC3DD2">
        <w:rPr>
          <w:rFonts w:ascii="Avenir Next" w:hAnsi="Avenir Next" w:cs="Arial"/>
          <w:color w:val="808080" w:themeColor="background1" w:themeShade="80"/>
          <w:sz w:val="22"/>
          <w:szCs w:val="22"/>
          <w:lang w:val="en-GB"/>
        </w:rPr>
        <w:t xml:space="preserve"> - </w:t>
      </w:r>
      <w:r w:rsidRPr="00BC3DD2">
        <w:rPr>
          <w:rFonts w:ascii="Avenir Next" w:hAnsi="Avenir Next" w:cs="Arial"/>
          <w:color w:val="808080" w:themeColor="background1" w:themeShade="80"/>
          <w:sz w:val="22"/>
          <w:szCs w:val="22"/>
          <w:lang w:val="en-GB"/>
        </w:rPr>
        <w:t>Registered security interests have priority over later claims made by other creditors regarding the same asset</w:t>
      </w:r>
      <w:r w:rsidR="00BC3BF2">
        <w:rPr>
          <w:rFonts w:ascii="Avenir Next" w:hAnsi="Avenir Next" w:cs="Arial"/>
          <w:color w:val="808080" w:themeColor="background1" w:themeShade="80"/>
          <w:sz w:val="22"/>
          <w:szCs w:val="22"/>
          <w:lang w:val="en-GB"/>
        </w:rPr>
        <w:t xml:space="preserve">. It ensures that the </w:t>
      </w:r>
      <w:r w:rsidRPr="00BC3DD2">
        <w:rPr>
          <w:rFonts w:ascii="Avenir Next" w:hAnsi="Avenir Next" w:cs="Arial"/>
          <w:color w:val="808080" w:themeColor="background1" w:themeShade="80"/>
          <w:sz w:val="22"/>
          <w:szCs w:val="22"/>
          <w:lang w:val="en-GB"/>
        </w:rPr>
        <w:t>registered creditor is first in line for repayment from the proceeds of the asset if the debtor defaults.</w:t>
      </w:r>
    </w:p>
    <w:p w14:paraId="574C12C0" w14:textId="77777777" w:rsidR="00BC3DD2" w:rsidRPr="00BC3DD2" w:rsidRDefault="00BC3DD2" w:rsidP="00BC3DD2">
      <w:pPr>
        <w:pStyle w:val="ListParagraph"/>
        <w:contextualSpacing w:val="0"/>
        <w:rPr>
          <w:rFonts w:ascii="Avenir Next" w:hAnsi="Avenir Next" w:cs="Arial"/>
          <w:color w:val="808080" w:themeColor="background1" w:themeShade="80"/>
          <w:sz w:val="22"/>
          <w:szCs w:val="22"/>
          <w:lang w:val="en-GB"/>
        </w:rPr>
      </w:pPr>
    </w:p>
    <w:p w14:paraId="5779E9DE" w14:textId="47864DFC" w:rsidR="00493337" w:rsidRPr="00BC3DD2" w:rsidRDefault="00493337" w:rsidP="00B33C5A">
      <w:pPr>
        <w:pStyle w:val="ListParagraph"/>
        <w:numPr>
          <w:ilvl w:val="0"/>
          <w:numId w:val="14"/>
        </w:numPr>
        <w:contextualSpacing w:val="0"/>
        <w:jc w:val="both"/>
        <w:rPr>
          <w:rFonts w:ascii="Avenir Next" w:hAnsi="Avenir Next" w:cs="Arial"/>
          <w:color w:val="808080" w:themeColor="background1" w:themeShade="80"/>
          <w:sz w:val="22"/>
          <w:szCs w:val="22"/>
          <w:lang w:val="en-GB"/>
        </w:rPr>
      </w:pPr>
      <w:r w:rsidRPr="00BC3DD2">
        <w:rPr>
          <w:rFonts w:ascii="Avenir Next" w:hAnsi="Avenir Next" w:cs="Arial"/>
          <w:b/>
          <w:color w:val="808080" w:themeColor="background1" w:themeShade="80"/>
          <w:sz w:val="22"/>
          <w:szCs w:val="22"/>
          <w:lang w:val="en-GB"/>
        </w:rPr>
        <w:t>Enforcement</w:t>
      </w:r>
      <w:r w:rsidR="00BC3DD2">
        <w:rPr>
          <w:rFonts w:ascii="Avenir Next" w:hAnsi="Avenir Next" w:cs="Arial"/>
          <w:color w:val="808080" w:themeColor="background1" w:themeShade="80"/>
          <w:sz w:val="22"/>
          <w:szCs w:val="22"/>
          <w:lang w:val="en-GB"/>
        </w:rPr>
        <w:t xml:space="preserve"> - </w:t>
      </w:r>
      <w:r w:rsidRPr="00BC3DD2">
        <w:rPr>
          <w:rFonts w:ascii="Avenir Next" w:hAnsi="Avenir Next" w:cs="Arial"/>
          <w:color w:val="808080" w:themeColor="background1" w:themeShade="80"/>
          <w:sz w:val="22"/>
          <w:szCs w:val="22"/>
          <w:lang w:val="en-GB"/>
        </w:rPr>
        <w:t xml:space="preserve">Registered security can be enforced directly by the creditor, for </w:t>
      </w:r>
      <w:r w:rsidR="00BC3BF2" w:rsidRPr="00BC3DD2">
        <w:rPr>
          <w:rFonts w:ascii="Avenir Next" w:hAnsi="Avenir Next" w:cs="Arial"/>
          <w:color w:val="808080" w:themeColor="background1" w:themeShade="80"/>
          <w:sz w:val="22"/>
          <w:szCs w:val="22"/>
          <w:lang w:val="en-GB"/>
        </w:rPr>
        <w:t>instance</w:t>
      </w:r>
      <w:r w:rsidR="00BC3BF2">
        <w:rPr>
          <w:rFonts w:ascii="Avenir Next" w:hAnsi="Avenir Next" w:cs="Arial"/>
          <w:color w:val="808080" w:themeColor="background1" w:themeShade="80"/>
          <w:sz w:val="22"/>
          <w:szCs w:val="22"/>
          <w:lang w:val="en-GB"/>
        </w:rPr>
        <w:t xml:space="preserve"> by exercising the statutory power of sale without reference to the Court for leave to do so</w:t>
      </w:r>
      <w:r w:rsidRPr="00BC3DD2">
        <w:rPr>
          <w:rFonts w:ascii="Avenir Next" w:hAnsi="Avenir Next" w:cs="Arial"/>
          <w:color w:val="808080" w:themeColor="background1" w:themeShade="80"/>
          <w:sz w:val="22"/>
          <w:szCs w:val="22"/>
          <w:lang w:val="en-GB"/>
        </w:rPr>
        <w:t>.</w:t>
      </w:r>
    </w:p>
    <w:p w14:paraId="47A85C07" w14:textId="7E3ED451" w:rsidR="00C85CA4" w:rsidRDefault="00C85CA4" w:rsidP="00C85CA4">
      <w:pPr>
        <w:jc w:val="both"/>
        <w:rPr>
          <w:rFonts w:ascii="Avenir Next" w:hAnsi="Avenir Next" w:cs="Arial"/>
          <w:color w:val="808080" w:themeColor="background1" w:themeShade="80"/>
          <w:sz w:val="22"/>
          <w:szCs w:val="22"/>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311CA539" w14:textId="77777777" w:rsidR="00DF75F8" w:rsidRPr="00310533" w:rsidRDefault="00DF75F8" w:rsidP="002A37BB">
      <w:pPr>
        <w:jc w:val="both"/>
        <w:rPr>
          <w:rFonts w:ascii="Avenir Next" w:hAnsi="Avenir Next" w:cs="Arial"/>
          <w:sz w:val="22"/>
          <w:szCs w:val="22"/>
        </w:rPr>
      </w:pPr>
    </w:p>
    <w:p w14:paraId="776332F5" w14:textId="0B492660" w:rsidR="00CE4649" w:rsidRDefault="009546B2" w:rsidP="00CE4649">
      <w:pPr>
        <w:jc w:val="both"/>
        <w:rPr>
          <w:rFonts w:ascii="Avenir Next" w:hAnsi="Avenir Next" w:cs="Arial"/>
          <w:color w:val="808080" w:themeColor="background1" w:themeShade="80"/>
          <w:sz w:val="22"/>
          <w:szCs w:val="22"/>
          <w:lang w:val="en-GB"/>
        </w:rPr>
      </w:pPr>
      <w:bookmarkStart w:id="1" w:name="_Hlk170759855"/>
      <w:r w:rsidRPr="009546B2">
        <w:rPr>
          <w:rFonts w:ascii="Avenir Next" w:hAnsi="Avenir Next" w:cs="Arial"/>
          <w:color w:val="808080" w:themeColor="background1" w:themeShade="80"/>
          <w:sz w:val="22"/>
          <w:szCs w:val="22"/>
          <w:lang w:val="en-GB"/>
        </w:rPr>
        <w:t>The</w:t>
      </w:r>
      <w:r w:rsidR="00CE4649" w:rsidRPr="00CE4649">
        <w:rPr>
          <w:rFonts w:ascii="Avenir Next" w:hAnsi="Avenir Next" w:cs="Arial"/>
          <w:color w:val="808080" w:themeColor="background1" w:themeShade="80"/>
          <w:sz w:val="22"/>
          <w:szCs w:val="22"/>
          <w:lang w:val="en-GB"/>
        </w:rPr>
        <w:t xml:space="preserve"> statement that "</w:t>
      </w:r>
      <w:r w:rsidR="00CE4649" w:rsidRPr="00CE4649">
        <w:rPr>
          <w:rFonts w:ascii="Avenir Next" w:hAnsi="Avenir Next" w:cs="Arial"/>
          <w:i/>
          <w:color w:val="808080" w:themeColor="background1" w:themeShade="80"/>
          <w:sz w:val="22"/>
          <w:szCs w:val="22"/>
          <w:lang w:val="en-GB"/>
        </w:rPr>
        <w:t>receivers have no role to play in a Cayman Islands insolvency scenario</w:t>
      </w:r>
      <w:r w:rsidR="00CE4649" w:rsidRPr="00CE4649">
        <w:rPr>
          <w:rFonts w:ascii="Avenir Next" w:hAnsi="Avenir Next" w:cs="Arial"/>
          <w:color w:val="808080" w:themeColor="background1" w:themeShade="80"/>
          <w:sz w:val="22"/>
          <w:szCs w:val="22"/>
          <w:lang w:val="en-GB"/>
        </w:rPr>
        <w:t xml:space="preserve">" is not entirely accurate. Receivers do play a significant role in the Cayman Islands, although their functions and appointments are distinct from other insolvency practitioners like liquidators. A receiver is typically appointed as a temporary custodian of assets. There are </w:t>
      </w:r>
      <w:r w:rsidR="005D4325">
        <w:rPr>
          <w:rFonts w:ascii="Avenir Next" w:hAnsi="Avenir Next" w:cs="Arial"/>
          <w:color w:val="808080" w:themeColor="background1" w:themeShade="80"/>
          <w:sz w:val="22"/>
          <w:szCs w:val="22"/>
          <w:lang w:val="en-GB"/>
        </w:rPr>
        <w:t xml:space="preserve">different </w:t>
      </w:r>
      <w:r w:rsidR="00CE4649" w:rsidRPr="00CE4649">
        <w:rPr>
          <w:rFonts w:ascii="Avenir Next" w:hAnsi="Avenir Next" w:cs="Arial"/>
          <w:color w:val="808080" w:themeColor="background1" w:themeShade="80"/>
          <w:sz w:val="22"/>
          <w:szCs w:val="22"/>
          <w:lang w:val="en-GB"/>
        </w:rPr>
        <w:t xml:space="preserve">types of receivership available in the Cayman Islands, being private receivers and court appointed receiver. </w:t>
      </w:r>
    </w:p>
    <w:p w14:paraId="403FF5C6" w14:textId="77777777" w:rsidR="00CE4649" w:rsidRPr="00CE4649" w:rsidRDefault="00CE4649" w:rsidP="00CE4649">
      <w:pPr>
        <w:jc w:val="both"/>
        <w:rPr>
          <w:rFonts w:ascii="Avenir Next" w:hAnsi="Avenir Next" w:cs="Arial"/>
          <w:color w:val="808080" w:themeColor="background1" w:themeShade="80"/>
          <w:sz w:val="22"/>
          <w:szCs w:val="22"/>
          <w:lang w:val="en-GB"/>
        </w:rPr>
      </w:pPr>
    </w:p>
    <w:p w14:paraId="33A6D0DF" w14:textId="70C494A1" w:rsidR="00000000" w:rsidRPr="00CE4649" w:rsidRDefault="00CE4649" w:rsidP="00B33C5A">
      <w:pPr>
        <w:numPr>
          <w:ilvl w:val="0"/>
          <w:numId w:val="15"/>
        </w:numPr>
        <w:jc w:val="both"/>
        <w:rPr>
          <w:rFonts w:ascii="Avenir Next" w:hAnsi="Avenir Next" w:cs="Arial"/>
          <w:color w:val="808080" w:themeColor="background1" w:themeShade="80"/>
          <w:sz w:val="22"/>
          <w:szCs w:val="22"/>
          <w:lang w:val="en-GB"/>
        </w:rPr>
      </w:pPr>
      <w:r w:rsidRPr="00CE4649">
        <w:rPr>
          <w:rFonts w:ascii="Avenir Next" w:hAnsi="Avenir Next" w:cs="Arial"/>
          <w:b/>
          <w:color w:val="808080" w:themeColor="background1" w:themeShade="80"/>
          <w:sz w:val="22"/>
          <w:szCs w:val="22"/>
          <w:lang w:val="en-GB"/>
        </w:rPr>
        <w:t>Private</w:t>
      </w:r>
      <w:r w:rsidRPr="00CE4649">
        <w:rPr>
          <w:rFonts w:ascii="Avenir Next" w:hAnsi="Avenir Next" w:cs="Arial"/>
          <w:color w:val="808080" w:themeColor="background1" w:themeShade="80"/>
          <w:sz w:val="22"/>
          <w:szCs w:val="22"/>
          <w:lang w:val="en-GB"/>
        </w:rPr>
        <w:t xml:space="preserve"> </w:t>
      </w:r>
      <w:r w:rsidRPr="00CE4649">
        <w:rPr>
          <w:rFonts w:ascii="Avenir Next" w:hAnsi="Avenir Next" w:cs="Arial"/>
          <w:b/>
          <w:bCs/>
          <w:color w:val="808080" w:themeColor="background1" w:themeShade="80"/>
          <w:sz w:val="22"/>
          <w:szCs w:val="22"/>
          <w:lang w:val="en-GB"/>
        </w:rPr>
        <w:t>Appointed Receivers</w:t>
      </w:r>
    </w:p>
    <w:p w14:paraId="4086CD50" w14:textId="77777777" w:rsidR="00CE4649" w:rsidRPr="00CE4649" w:rsidRDefault="00CE4649" w:rsidP="00CE4649">
      <w:pPr>
        <w:ind w:left="720"/>
        <w:jc w:val="both"/>
        <w:rPr>
          <w:rFonts w:ascii="Avenir Next" w:hAnsi="Avenir Next" w:cs="Arial"/>
          <w:color w:val="808080" w:themeColor="background1" w:themeShade="80"/>
          <w:sz w:val="22"/>
          <w:szCs w:val="22"/>
          <w:lang w:val="en-GB"/>
        </w:rPr>
      </w:pPr>
    </w:p>
    <w:p w14:paraId="21A7DC32" w14:textId="0E7F5467" w:rsidR="00CE4649" w:rsidRDefault="00CE4649" w:rsidP="00CE4649">
      <w:pPr>
        <w:jc w:val="both"/>
        <w:rPr>
          <w:rFonts w:ascii="Avenir Next" w:hAnsi="Avenir Next" w:cs="Arial"/>
          <w:color w:val="808080" w:themeColor="background1" w:themeShade="80"/>
          <w:sz w:val="22"/>
          <w:szCs w:val="22"/>
          <w:lang w:val="en-GB"/>
        </w:rPr>
      </w:pPr>
      <w:r w:rsidRPr="00CE4649">
        <w:rPr>
          <w:rFonts w:ascii="Avenir Next" w:hAnsi="Avenir Next" w:cs="Arial"/>
          <w:color w:val="808080" w:themeColor="background1" w:themeShade="80"/>
          <w:sz w:val="22"/>
          <w:szCs w:val="22"/>
          <w:lang w:val="en-GB"/>
        </w:rPr>
        <w:t xml:space="preserve">Under </w:t>
      </w:r>
      <w:r w:rsidRPr="00CE4649">
        <w:rPr>
          <w:rFonts w:ascii="Avenir Next" w:hAnsi="Avenir Next" w:cs="Arial"/>
          <w:b/>
          <w:color w:val="808080" w:themeColor="background1" w:themeShade="80"/>
          <w:sz w:val="22"/>
          <w:szCs w:val="22"/>
          <w:lang w:val="en-GB"/>
        </w:rPr>
        <w:t>Section 72 of the Registered Land Act</w:t>
      </w:r>
      <w:r w:rsidRPr="00CE4649">
        <w:rPr>
          <w:rFonts w:ascii="Avenir Next" w:hAnsi="Avenir Next" w:cs="Arial"/>
          <w:color w:val="808080" w:themeColor="background1" w:themeShade="80"/>
          <w:sz w:val="22"/>
          <w:szCs w:val="22"/>
          <w:lang w:val="en-GB"/>
        </w:rPr>
        <w:t xml:space="preserve">, a receiver is privately appointed by a secured creditor pursuant to their contractual rights under a Charge document. Under the Act, if the Chargor defaults in payment or any agreement related to the charge and the default continues for one month, the Chargee can serve a written notice to the Chargor to remedy the default. Under subsection 2, if the Chargor does not comply within three months of the date of service, with a notice served on him under subsection (1), the Chargee may appoint a receiver of the income of the charged property; or sell the charged property. </w:t>
      </w:r>
    </w:p>
    <w:p w14:paraId="45D59AD5" w14:textId="77777777" w:rsidR="00CE4649" w:rsidRPr="00CE4649" w:rsidRDefault="00CE4649" w:rsidP="00CE4649">
      <w:pPr>
        <w:jc w:val="both"/>
        <w:rPr>
          <w:rFonts w:ascii="Avenir Next" w:hAnsi="Avenir Next" w:cs="Arial"/>
          <w:color w:val="808080" w:themeColor="background1" w:themeShade="80"/>
          <w:sz w:val="22"/>
          <w:szCs w:val="22"/>
          <w:lang w:val="en-GB"/>
        </w:rPr>
      </w:pPr>
    </w:p>
    <w:p w14:paraId="3FB73432" w14:textId="2EA1A5B0" w:rsidR="00CE4649" w:rsidRDefault="00CE4649" w:rsidP="00CE4649">
      <w:pPr>
        <w:jc w:val="both"/>
        <w:rPr>
          <w:rFonts w:ascii="Avenir Next" w:hAnsi="Avenir Next" w:cs="Arial"/>
          <w:color w:val="808080" w:themeColor="background1" w:themeShade="80"/>
          <w:sz w:val="22"/>
          <w:szCs w:val="22"/>
          <w:lang w:val="en-GB"/>
        </w:rPr>
      </w:pPr>
      <w:r w:rsidRPr="00CE4649">
        <w:rPr>
          <w:rFonts w:ascii="Avenir Next" w:hAnsi="Avenir Next" w:cs="Arial"/>
          <w:b/>
          <w:color w:val="808080" w:themeColor="background1" w:themeShade="80"/>
          <w:sz w:val="22"/>
          <w:szCs w:val="22"/>
          <w:lang w:val="en-GB"/>
        </w:rPr>
        <w:lastRenderedPageBreak/>
        <w:t xml:space="preserve">Section 73 of the Registered Land Act </w:t>
      </w:r>
      <w:r w:rsidRPr="00CE4649">
        <w:rPr>
          <w:rFonts w:ascii="Avenir Next" w:hAnsi="Avenir Next" w:cs="Arial"/>
          <w:color w:val="808080" w:themeColor="background1" w:themeShade="80"/>
          <w:sz w:val="22"/>
          <w:szCs w:val="22"/>
          <w:lang w:val="en-GB"/>
        </w:rPr>
        <w:t>on appointment of a Receiver, the Act states that a Receiver’s appointment must be in writing, signed by the Chargee, and a copy filed with the Registrar. The Chargee can remove and appoint a new receiver at any time, following the same process of written documentation and filing with the Registrar. The Receiver acts as the agent of the Chargor, making the Chargor solely responsible for the Receiver’s actions unless otherwise stated in the Charge. Such a Receiver has the power to demand and recover income in the Chargor’s name and provide valid receipts.</w:t>
      </w:r>
    </w:p>
    <w:p w14:paraId="0A5E0F48" w14:textId="77777777" w:rsidR="00CE4649" w:rsidRPr="00CE4649" w:rsidRDefault="00CE4649" w:rsidP="00CE4649">
      <w:pPr>
        <w:jc w:val="both"/>
        <w:rPr>
          <w:rFonts w:ascii="Avenir Next" w:hAnsi="Avenir Next" w:cs="Arial"/>
          <w:color w:val="808080" w:themeColor="background1" w:themeShade="80"/>
          <w:sz w:val="22"/>
          <w:szCs w:val="22"/>
          <w:lang w:val="en-GB"/>
        </w:rPr>
      </w:pPr>
    </w:p>
    <w:p w14:paraId="725A2752" w14:textId="0FA6E248" w:rsidR="00000000" w:rsidRPr="00CE4649" w:rsidRDefault="0008350A" w:rsidP="00B33C5A">
      <w:pPr>
        <w:numPr>
          <w:ilvl w:val="0"/>
          <w:numId w:val="15"/>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Court-appointed</w:t>
      </w:r>
      <w:r w:rsidR="00CE4649" w:rsidRPr="00CE4649">
        <w:rPr>
          <w:rFonts w:ascii="Avenir Next" w:hAnsi="Avenir Next" w:cs="Arial"/>
          <w:b/>
          <w:color w:val="808080" w:themeColor="background1" w:themeShade="80"/>
          <w:sz w:val="22"/>
          <w:szCs w:val="22"/>
          <w:lang w:val="en-GB"/>
        </w:rPr>
        <w:t xml:space="preserve"> Receivers</w:t>
      </w:r>
    </w:p>
    <w:p w14:paraId="35E0403F" w14:textId="77777777" w:rsidR="00CE4649" w:rsidRPr="00CE4649" w:rsidRDefault="00CE4649" w:rsidP="00CE4649">
      <w:pPr>
        <w:ind w:left="720"/>
        <w:jc w:val="both"/>
        <w:rPr>
          <w:rFonts w:ascii="Avenir Next" w:hAnsi="Avenir Next" w:cs="Arial"/>
          <w:color w:val="808080" w:themeColor="background1" w:themeShade="80"/>
          <w:sz w:val="22"/>
          <w:szCs w:val="22"/>
          <w:lang w:val="en-GB"/>
        </w:rPr>
      </w:pPr>
    </w:p>
    <w:p w14:paraId="4269B341" w14:textId="183EE03A" w:rsidR="00CE4649" w:rsidRDefault="00CE4649" w:rsidP="00CE4649">
      <w:pPr>
        <w:jc w:val="both"/>
        <w:rPr>
          <w:rFonts w:ascii="Avenir Next" w:hAnsi="Avenir Next" w:cs="Arial"/>
          <w:color w:val="808080" w:themeColor="background1" w:themeShade="80"/>
          <w:sz w:val="22"/>
          <w:szCs w:val="22"/>
          <w:lang w:val="en-GB"/>
        </w:rPr>
      </w:pPr>
      <w:bookmarkStart w:id="2" w:name="_Hlk170846640"/>
      <w:bookmarkStart w:id="3" w:name="_Hlk170761666"/>
      <w:r w:rsidRPr="00CE4649">
        <w:rPr>
          <w:rFonts w:ascii="Avenir Next" w:hAnsi="Avenir Next" w:cs="Arial"/>
          <w:color w:val="808080" w:themeColor="background1" w:themeShade="80"/>
          <w:sz w:val="22"/>
          <w:szCs w:val="22"/>
          <w:lang w:val="en-GB"/>
        </w:rPr>
        <w:t xml:space="preserve">Under </w:t>
      </w:r>
      <w:r w:rsidRPr="00CE4649">
        <w:rPr>
          <w:rFonts w:ascii="Avenir Next" w:hAnsi="Avenir Next" w:cs="Arial"/>
          <w:b/>
          <w:color w:val="808080" w:themeColor="background1" w:themeShade="80"/>
          <w:sz w:val="22"/>
          <w:szCs w:val="22"/>
          <w:lang w:val="en-GB"/>
        </w:rPr>
        <w:t>Section 11 [1] of the Grand Court Act</w:t>
      </w:r>
      <w:r w:rsidRPr="00CE4649">
        <w:rPr>
          <w:rFonts w:ascii="Avenir Next" w:hAnsi="Avenir Next" w:cs="Arial"/>
          <w:color w:val="808080" w:themeColor="background1" w:themeShade="80"/>
          <w:sz w:val="22"/>
          <w:szCs w:val="22"/>
          <w:lang w:val="en-GB"/>
        </w:rPr>
        <w:t xml:space="preserve">, the Grand Court is vested with the power to appoint a receiver in all cases in which it appears to the Court to be just and convenient to do so. </w:t>
      </w:r>
      <w:r w:rsidR="00670243" w:rsidRPr="00670243">
        <w:rPr>
          <w:rFonts w:ascii="Avenir Next" w:hAnsi="Avenir Next" w:cs="Arial"/>
          <w:color w:val="808080" w:themeColor="background1" w:themeShade="80"/>
          <w:sz w:val="22"/>
          <w:szCs w:val="22"/>
          <w:lang w:val="en-GB"/>
        </w:rPr>
        <w:t xml:space="preserve">The Court possesses and exercises similar jurisdiction within the Islands as the High Court of Justice and its Divisional Courts in England, as established by the </w:t>
      </w:r>
      <w:r w:rsidR="00670243" w:rsidRPr="009A6A88">
        <w:rPr>
          <w:rFonts w:ascii="Avenir Next" w:hAnsi="Avenir Next" w:cs="Arial"/>
          <w:b/>
          <w:color w:val="808080" w:themeColor="background1" w:themeShade="80"/>
          <w:sz w:val="22"/>
          <w:szCs w:val="22"/>
          <w:lang w:val="en-GB"/>
        </w:rPr>
        <w:t>Senior Courts Act, 1981</w:t>
      </w:r>
      <w:r w:rsidR="00670243" w:rsidRPr="00670243">
        <w:rPr>
          <w:rFonts w:ascii="Avenir Next" w:hAnsi="Avenir Next" w:cs="Arial"/>
          <w:color w:val="808080" w:themeColor="background1" w:themeShade="80"/>
          <w:sz w:val="22"/>
          <w:szCs w:val="22"/>
          <w:lang w:val="en-GB"/>
        </w:rPr>
        <w:t>, and any subsequent amendments or replacements</w:t>
      </w:r>
      <w:r w:rsidR="00670243">
        <w:rPr>
          <w:rFonts w:ascii="Avenir Next" w:hAnsi="Avenir Next" w:cs="Arial"/>
          <w:color w:val="808080" w:themeColor="background1" w:themeShade="80"/>
          <w:sz w:val="22"/>
          <w:szCs w:val="22"/>
          <w:lang w:val="en-GB"/>
        </w:rPr>
        <w:t xml:space="preserve">. </w:t>
      </w:r>
    </w:p>
    <w:bookmarkEnd w:id="2"/>
    <w:p w14:paraId="3F2CDCC0" w14:textId="0B64D52F" w:rsidR="00670243" w:rsidRDefault="00670243" w:rsidP="00CE4649">
      <w:pPr>
        <w:jc w:val="both"/>
        <w:rPr>
          <w:rFonts w:ascii="Avenir Next" w:hAnsi="Avenir Next" w:cs="Arial"/>
          <w:color w:val="808080" w:themeColor="background1" w:themeShade="80"/>
          <w:sz w:val="22"/>
          <w:szCs w:val="22"/>
          <w:lang w:val="en-GB"/>
        </w:rPr>
      </w:pPr>
    </w:p>
    <w:p w14:paraId="4C8726A0" w14:textId="77777777" w:rsidR="00D07CC2" w:rsidRDefault="00317046" w:rsidP="00D07C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317046">
        <w:rPr>
          <w:rFonts w:ascii="Avenir Next" w:hAnsi="Avenir Next" w:cs="Arial"/>
          <w:b/>
          <w:color w:val="808080" w:themeColor="background1" w:themeShade="80"/>
          <w:sz w:val="22"/>
          <w:szCs w:val="22"/>
          <w:lang w:val="en-GB"/>
        </w:rPr>
        <w:t>Section 37 [1] of the Senior Courts Act 1981</w:t>
      </w:r>
      <w:r>
        <w:rPr>
          <w:rFonts w:ascii="Avenir Next" w:hAnsi="Avenir Next" w:cs="Arial"/>
          <w:color w:val="808080" w:themeColor="background1" w:themeShade="80"/>
          <w:sz w:val="22"/>
          <w:szCs w:val="22"/>
          <w:lang w:val="en-GB"/>
        </w:rPr>
        <w:t xml:space="preserve">, the </w:t>
      </w:r>
      <w:r w:rsidRPr="00317046">
        <w:rPr>
          <w:rFonts w:ascii="Avenir Next" w:hAnsi="Avenir Next" w:cs="Arial"/>
          <w:color w:val="808080" w:themeColor="background1" w:themeShade="80"/>
          <w:sz w:val="22"/>
          <w:szCs w:val="22"/>
          <w:lang w:val="en-GB"/>
        </w:rPr>
        <w:t>High Court may by order (whether interlocutory or final) grant an injunction or appoint a receiver in all cases in which it appears to the court to be just and convenient to do so.</w:t>
      </w:r>
      <w:r w:rsidR="009A6A88">
        <w:rPr>
          <w:rFonts w:ascii="Avenir Next" w:hAnsi="Avenir Next" w:cs="Arial"/>
          <w:color w:val="808080" w:themeColor="background1" w:themeShade="80"/>
          <w:sz w:val="22"/>
          <w:szCs w:val="22"/>
          <w:lang w:val="en-GB"/>
        </w:rPr>
        <w:t xml:space="preserve"> </w:t>
      </w:r>
    </w:p>
    <w:p w14:paraId="23F2EAB8" w14:textId="77777777" w:rsidR="00D07CC2" w:rsidRDefault="00D07CC2" w:rsidP="00D07CC2">
      <w:pPr>
        <w:jc w:val="both"/>
        <w:rPr>
          <w:rFonts w:ascii="Avenir Next" w:hAnsi="Avenir Next" w:cs="Arial"/>
          <w:color w:val="808080" w:themeColor="background1" w:themeShade="80"/>
          <w:sz w:val="22"/>
          <w:szCs w:val="22"/>
          <w:lang w:val="en-GB"/>
        </w:rPr>
      </w:pPr>
    </w:p>
    <w:p w14:paraId="65407836" w14:textId="0F6A0D81" w:rsidR="009A6A88" w:rsidRDefault="0008350A" w:rsidP="00D07C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Court-appointed</w:t>
      </w:r>
      <w:r w:rsidR="009A6A88">
        <w:rPr>
          <w:rFonts w:ascii="Avenir Next" w:hAnsi="Avenir Next" w:cs="Arial"/>
          <w:color w:val="808080" w:themeColor="background1" w:themeShade="80"/>
          <w:sz w:val="22"/>
          <w:szCs w:val="22"/>
          <w:lang w:val="en-GB"/>
        </w:rPr>
        <w:t xml:space="preserve"> receivers are often appointed under </w:t>
      </w:r>
      <w:r w:rsidR="009A6A88" w:rsidRPr="00D07CC2">
        <w:rPr>
          <w:rFonts w:ascii="Avenir Next" w:hAnsi="Avenir Next" w:cs="Arial"/>
          <w:b/>
          <w:color w:val="808080" w:themeColor="background1" w:themeShade="80"/>
          <w:sz w:val="22"/>
          <w:szCs w:val="22"/>
          <w:lang w:val="en-GB"/>
        </w:rPr>
        <w:t xml:space="preserve">Order 45 Rule 1 </w:t>
      </w:r>
      <w:bookmarkStart w:id="4" w:name="_Hlk170846201"/>
      <w:r w:rsidR="00D07CC2" w:rsidRPr="00D07CC2">
        <w:rPr>
          <w:rFonts w:ascii="Avenir Next" w:hAnsi="Avenir Next" w:cs="Arial"/>
          <w:b/>
          <w:color w:val="808080" w:themeColor="background1" w:themeShade="80"/>
          <w:sz w:val="22"/>
          <w:szCs w:val="22"/>
          <w:lang w:val="en-GB"/>
        </w:rPr>
        <w:t>of the Grand Court Rules</w:t>
      </w:r>
      <w:bookmarkEnd w:id="4"/>
      <w:r w:rsidR="00D07CC2">
        <w:rPr>
          <w:rFonts w:ascii="Avenir Next" w:hAnsi="Avenir Next" w:cs="Arial"/>
          <w:color w:val="808080" w:themeColor="background1" w:themeShade="80"/>
          <w:sz w:val="22"/>
          <w:szCs w:val="22"/>
          <w:lang w:val="en-GB"/>
        </w:rPr>
        <w:t xml:space="preserve">, </w:t>
      </w:r>
      <w:proofErr w:type="gramStart"/>
      <w:r w:rsidR="00D07CC2">
        <w:rPr>
          <w:rFonts w:ascii="Avenir Next" w:hAnsi="Avenir Next" w:cs="Arial"/>
          <w:color w:val="808080" w:themeColor="background1" w:themeShade="80"/>
          <w:sz w:val="22"/>
          <w:szCs w:val="22"/>
          <w:lang w:val="en-GB"/>
        </w:rPr>
        <w:t xml:space="preserve">as </w:t>
      </w:r>
      <w:r w:rsidR="00D07CC2" w:rsidRPr="00D07CC2">
        <w:rPr>
          <w:rFonts w:ascii="Avenir Next" w:hAnsi="Avenir Next" w:cs="Arial"/>
          <w:color w:val="808080" w:themeColor="background1" w:themeShade="80"/>
          <w:sz w:val="22"/>
          <w:szCs w:val="22"/>
          <w:lang w:val="en-GB"/>
        </w:rPr>
        <w:t xml:space="preserve">a </w:t>
      </w:r>
      <w:r w:rsidR="00D07CC2">
        <w:rPr>
          <w:rFonts w:ascii="Avenir Next" w:hAnsi="Avenir Next" w:cs="Arial"/>
          <w:color w:val="808080" w:themeColor="background1" w:themeShade="80"/>
          <w:sz w:val="22"/>
          <w:szCs w:val="22"/>
          <w:lang w:val="en-GB"/>
        </w:rPr>
        <w:t>means to</w:t>
      </w:r>
      <w:proofErr w:type="gramEnd"/>
      <w:r w:rsidR="00D07CC2">
        <w:rPr>
          <w:rFonts w:ascii="Avenir Next" w:hAnsi="Avenir Next" w:cs="Arial"/>
          <w:color w:val="808080" w:themeColor="background1" w:themeShade="80"/>
          <w:sz w:val="22"/>
          <w:szCs w:val="22"/>
          <w:lang w:val="en-GB"/>
        </w:rPr>
        <w:t xml:space="preserve"> enforce a </w:t>
      </w:r>
      <w:r w:rsidR="00D07CC2" w:rsidRPr="00D07CC2">
        <w:rPr>
          <w:rFonts w:ascii="Avenir Next" w:hAnsi="Avenir Next" w:cs="Arial"/>
          <w:color w:val="808080" w:themeColor="background1" w:themeShade="80"/>
          <w:sz w:val="22"/>
          <w:szCs w:val="22"/>
          <w:lang w:val="en-GB"/>
        </w:rPr>
        <w:t>judgment or order for the payment o</w:t>
      </w:r>
      <w:r w:rsidR="00D07CC2">
        <w:rPr>
          <w:rFonts w:ascii="Avenir Next" w:hAnsi="Avenir Next" w:cs="Arial"/>
          <w:color w:val="808080" w:themeColor="background1" w:themeShade="80"/>
          <w:sz w:val="22"/>
          <w:szCs w:val="22"/>
          <w:lang w:val="en-GB"/>
        </w:rPr>
        <w:t xml:space="preserve">f </w:t>
      </w:r>
      <w:r w:rsidR="00D07CC2" w:rsidRPr="00D07CC2">
        <w:rPr>
          <w:rFonts w:ascii="Avenir Next" w:hAnsi="Avenir Next" w:cs="Arial"/>
          <w:color w:val="808080" w:themeColor="background1" w:themeShade="80"/>
          <w:sz w:val="22"/>
          <w:szCs w:val="22"/>
          <w:lang w:val="en-GB"/>
        </w:rPr>
        <w:t>money into Court</w:t>
      </w:r>
      <w:r w:rsidR="00D07CC2">
        <w:rPr>
          <w:rFonts w:ascii="Avenir Next" w:hAnsi="Avenir Next" w:cs="Arial"/>
          <w:color w:val="808080" w:themeColor="background1" w:themeShade="80"/>
          <w:sz w:val="22"/>
          <w:szCs w:val="22"/>
          <w:lang w:val="en-GB"/>
        </w:rPr>
        <w:t xml:space="preserve">. According to </w:t>
      </w:r>
      <w:r w:rsidR="00D07CC2" w:rsidRPr="000351DF">
        <w:rPr>
          <w:rFonts w:ascii="Avenir Next" w:hAnsi="Avenir Next" w:cs="Arial"/>
          <w:b/>
          <w:color w:val="808080" w:themeColor="background1" w:themeShade="80"/>
          <w:sz w:val="22"/>
          <w:szCs w:val="22"/>
          <w:lang w:val="en-GB"/>
        </w:rPr>
        <w:t>Order 30 of the Rules</w:t>
      </w:r>
      <w:r w:rsidR="00D07CC2">
        <w:rPr>
          <w:rFonts w:ascii="Avenir Next" w:hAnsi="Avenir Next" w:cs="Arial"/>
          <w:color w:val="808080" w:themeColor="background1" w:themeShade="80"/>
          <w:sz w:val="22"/>
          <w:szCs w:val="22"/>
          <w:lang w:val="en-GB"/>
        </w:rPr>
        <w:t xml:space="preserve">, </w:t>
      </w:r>
      <w:r w:rsidR="00D07CC2" w:rsidRPr="00D07CC2">
        <w:rPr>
          <w:rFonts w:ascii="Avenir Next" w:hAnsi="Avenir Next" w:cs="Arial"/>
          <w:color w:val="808080" w:themeColor="background1" w:themeShade="80"/>
          <w:sz w:val="22"/>
          <w:szCs w:val="22"/>
          <w:lang w:val="en-GB"/>
        </w:rPr>
        <w:t>an application for the appointment of a receiver may be made by summons or</w:t>
      </w:r>
      <w:r w:rsidR="00D07CC2">
        <w:rPr>
          <w:rFonts w:ascii="Avenir Next" w:hAnsi="Avenir Next" w:cs="Arial"/>
          <w:color w:val="808080" w:themeColor="background1" w:themeShade="80"/>
          <w:sz w:val="22"/>
          <w:szCs w:val="22"/>
          <w:lang w:val="en-GB"/>
        </w:rPr>
        <w:t xml:space="preserve"> </w:t>
      </w:r>
      <w:r w:rsidR="00D07CC2" w:rsidRPr="00D07CC2">
        <w:rPr>
          <w:rFonts w:ascii="Avenir Next" w:hAnsi="Avenir Next" w:cs="Arial"/>
          <w:color w:val="808080" w:themeColor="background1" w:themeShade="80"/>
          <w:sz w:val="22"/>
          <w:szCs w:val="22"/>
          <w:lang w:val="en-GB"/>
        </w:rPr>
        <w:t>motion</w:t>
      </w:r>
      <w:r w:rsidR="000351DF">
        <w:rPr>
          <w:rFonts w:ascii="Avenir Next" w:hAnsi="Avenir Next" w:cs="Arial"/>
          <w:color w:val="808080" w:themeColor="background1" w:themeShade="80"/>
          <w:sz w:val="22"/>
          <w:szCs w:val="22"/>
          <w:lang w:val="en-GB"/>
        </w:rPr>
        <w:t xml:space="preserve">. </w:t>
      </w:r>
      <w:r w:rsidR="000351DF" w:rsidRPr="000351DF">
        <w:rPr>
          <w:rFonts w:ascii="Avenir Next" w:hAnsi="Avenir Next" w:cs="Arial"/>
          <w:color w:val="808080" w:themeColor="background1" w:themeShade="80"/>
          <w:sz w:val="22"/>
          <w:szCs w:val="22"/>
        </w:rPr>
        <w:t xml:space="preserve">The receiver’s powers </w:t>
      </w:r>
      <w:r w:rsidR="000351DF">
        <w:rPr>
          <w:rFonts w:ascii="Avenir Next" w:hAnsi="Avenir Next" w:cs="Arial"/>
          <w:color w:val="808080" w:themeColor="background1" w:themeShade="80"/>
          <w:sz w:val="22"/>
          <w:szCs w:val="22"/>
        </w:rPr>
        <w:t xml:space="preserve">are </w:t>
      </w:r>
      <w:r w:rsidR="000351DF" w:rsidRPr="000351DF">
        <w:rPr>
          <w:rFonts w:ascii="Avenir Next" w:hAnsi="Avenir Next" w:cs="Arial"/>
          <w:color w:val="808080" w:themeColor="background1" w:themeShade="80"/>
          <w:sz w:val="22"/>
          <w:szCs w:val="22"/>
        </w:rPr>
        <w:t>set out in the court order that appoints them</w:t>
      </w:r>
      <w:r w:rsidR="000351DF">
        <w:rPr>
          <w:rFonts w:ascii="Avenir Next" w:hAnsi="Avenir Next" w:cs="Arial"/>
          <w:color w:val="808080" w:themeColor="background1" w:themeShade="80"/>
          <w:sz w:val="22"/>
          <w:szCs w:val="22"/>
        </w:rPr>
        <w:t xml:space="preserve"> and such </w:t>
      </w:r>
      <w:r w:rsidR="000351DF" w:rsidRPr="000351DF">
        <w:rPr>
          <w:rFonts w:ascii="Avenir Next" w:hAnsi="Avenir Next" w:cs="Arial"/>
          <w:color w:val="808080" w:themeColor="background1" w:themeShade="80"/>
          <w:sz w:val="22"/>
          <w:szCs w:val="22"/>
        </w:rPr>
        <w:t xml:space="preserve">receiver can request directions from the Court at any time. </w:t>
      </w:r>
      <w:r w:rsidR="000351DF">
        <w:rPr>
          <w:rFonts w:ascii="Avenir Next" w:hAnsi="Avenir Next" w:cs="Arial"/>
          <w:color w:val="808080" w:themeColor="background1" w:themeShade="80"/>
          <w:sz w:val="22"/>
          <w:szCs w:val="22"/>
        </w:rPr>
        <w:t xml:space="preserve">Such </w:t>
      </w:r>
      <w:r w:rsidR="000351DF" w:rsidRPr="000351DF">
        <w:rPr>
          <w:rFonts w:ascii="Avenir Next" w:hAnsi="Avenir Next" w:cs="Arial"/>
          <w:color w:val="808080" w:themeColor="background1" w:themeShade="80"/>
          <w:sz w:val="22"/>
          <w:szCs w:val="22"/>
        </w:rPr>
        <w:t xml:space="preserve">request </w:t>
      </w:r>
      <w:r w:rsidR="000351DF">
        <w:rPr>
          <w:rFonts w:ascii="Avenir Next" w:hAnsi="Avenir Next" w:cs="Arial"/>
          <w:color w:val="808080" w:themeColor="background1" w:themeShade="80"/>
          <w:sz w:val="22"/>
          <w:szCs w:val="22"/>
        </w:rPr>
        <w:t xml:space="preserve">by the Receiver </w:t>
      </w:r>
      <w:r w:rsidR="000351DF" w:rsidRPr="000351DF">
        <w:rPr>
          <w:rFonts w:ascii="Avenir Next" w:hAnsi="Avenir Next" w:cs="Arial"/>
          <w:color w:val="808080" w:themeColor="background1" w:themeShade="80"/>
          <w:sz w:val="22"/>
          <w:szCs w:val="22"/>
        </w:rPr>
        <w:t>must be in writing and specify the matter for which directions are needed</w:t>
      </w:r>
      <w:r w:rsidR="000351DF">
        <w:rPr>
          <w:rFonts w:ascii="Avenir Next" w:hAnsi="Avenir Next" w:cs="Arial"/>
          <w:color w:val="808080" w:themeColor="background1" w:themeShade="80"/>
          <w:sz w:val="22"/>
          <w:szCs w:val="22"/>
        </w:rPr>
        <w:t xml:space="preserve">. </w:t>
      </w:r>
    </w:p>
    <w:bookmarkEnd w:id="3"/>
    <w:p w14:paraId="3D6D7745" w14:textId="77777777" w:rsidR="00CE4649" w:rsidRPr="00CE4649" w:rsidRDefault="00CE4649" w:rsidP="00CE4649">
      <w:pPr>
        <w:jc w:val="both"/>
        <w:rPr>
          <w:rFonts w:ascii="Avenir Next" w:hAnsi="Avenir Next" w:cs="Arial"/>
          <w:color w:val="808080" w:themeColor="background1" w:themeShade="80"/>
          <w:sz w:val="22"/>
          <w:szCs w:val="22"/>
          <w:lang w:val="en-GB"/>
        </w:rPr>
      </w:pPr>
    </w:p>
    <w:p w14:paraId="5473AF8E" w14:textId="35A6CD32" w:rsidR="009546B2" w:rsidRPr="00670243" w:rsidRDefault="00CE4649" w:rsidP="00B33C5A">
      <w:pPr>
        <w:pStyle w:val="ListParagraph"/>
        <w:numPr>
          <w:ilvl w:val="0"/>
          <w:numId w:val="15"/>
        </w:numPr>
        <w:jc w:val="both"/>
        <w:rPr>
          <w:rFonts w:ascii="Avenir Next" w:hAnsi="Avenir Next" w:cs="Arial"/>
          <w:b/>
          <w:color w:val="808080" w:themeColor="background1" w:themeShade="80"/>
          <w:sz w:val="22"/>
          <w:szCs w:val="22"/>
          <w:lang w:val="en-GB"/>
        </w:rPr>
      </w:pPr>
      <w:r w:rsidRPr="00670243">
        <w:rPr>
          <w:rFonts w:ascii="Avenir Next" w:hAnsi="Avenir Next" w:cs="Arial"/>
          <w:b/>
          <w:color w:val="808080" w:themeColor="background1" w:themeShade="80"/>
          <w:sz w:val="22"/>
          <w:szCs w:val="22"/>
          <w:lang w:val="en-GB"/>
        </w:rPr>
        <w:t>Statutory Role in Segregated Portfolio Companies (SPCs)</w:t>
      </w:r>
    </w:p>
    <w:p w14:paraId="5B1AB86D" w14:textId="07C26820" w:rsidR="00CE4649" w:rsidRDefault="00CE4649" w:rsidP="00CE4649">
      <w:pPr>
        <w:jc w:val="both"/>
        <w:rPr>
          <w:rFonts w:ascii="Avenir Next" w:hAnsi="Avenir Next" w:cs="Arial"/>
          <w:color w:val="808080" w:themeColor="background1" w:themeShade="80"/>
          <w:sz w:val="22"/>
          <w:szCs w:val="22"/>
          <w:lang w:val="en-GB"/>
        </w:rPr>
      </w:pPr>
    </w:p>
    <w:p w14:paraId="226A8666" w14:textId="33A25E4C" w:rsidR="00114A6F" w:rsidRDefault="00114A6F" w:rsidP="00CE4649">
      <w:pPr>
        <w:jc w:val="both"/>
        <w:rPr>
          <w:rFonts w:ascii="Avenir Next" w:hAnsi="Avenir Next" w:cs="Arial"/>
          <w:color w:val="808080" w:themeColor="background1" w:themeShade="80"/>
          <w:sz w:val="22"/>
          <w:szCs w:val="22"/>
          <w:lang w:val="en-GB"/>
        </w:rPr>
      </w:pPr>
      <w:r w:rsidRPr="00114A6F">
        <w:rPr>
          <w:rFonts w:ascii="Avenir Next" w:hAnsi="Avenir Next" w:cs="Arial"/>
          <w:color w:val="808080" w:themeColor="background1" w:themeShade="80"/>
          <w:sz w:val="22"/>
          <w:szCs w:val="22"/>
          <w:lang w:val="en-GB"/>
        </w:rPr>
        <w:t>Receivers play a significant role in</w:t>
      </w:r>
      <w:r>
        <w:rPr>
          <w:rFonts w:ascii="Avenir Next" w:hAnsi="Avenir Next" w:cs="Arial"/>
          <w:color w:val="808080" w:themeColor="background1" w:themeShade="80"/>
          <w:sz w:val="22"/>
          <w:szCs w:val="22"/>
          <w:lang w:val="en-GB"/>
        </w:rPr>
        <w:t xml:space="preserve"> </w:t>
      </w:r>
      <w:r w:rsidRPr="00114A6F">
        <w:rPr>
          <w:rFonts w:ascii="Avenir Next" w:hAnsi="Avenir Next" w:cs="Arial"/>
          <w:color w:val="808080" w:themeColor="background1" w:themeShade="80"/>
          <w:sz w:val="22"/>
          <w:szCs w:val="22"/>
          <w:lang w:val="en-GB"/>
        </w:rPr>
        <w:t xml:space="preserve">segregated portfolio companies (SPCs). </w:t>
      </w:r>
      <w:r>
        <w:rPr>
          <w:rFonts w:ascii="Avenir Next" w:hAnsi="Avenir Next" w:cs="Arial"/>
          <w:color w:val="808080" w:themeColor="background1" w:themeShade="80"/>
          <w:sz w:val="22"/>
          <w:szCs w:val="22"/>
          <w:lang w:val="en-GB"/>
        </w:rPr>
        <w:t xml:space="preserve">Under </w:t>
      </w:r>
      <w:r w:rsidRPr="00114A6F">
        <w:rPr>
          <w:rFonts w:ascii="Avenir Next" w:hAnsi="Avenir Next" w:cs="Arial"/>
          <w:b/>
          <w:color w:val="808080" w:themeColor="background1" w:themeShade="80"/>
          <w:sz w:val="22"/>
          <w:szCs w:val="22"/>
          <w:lang w:val="en-GB"/>
        </w:rPr>
        <w:t>Section 224 of the Companies Act</w:t>
      </w:r>
      <w:r>
        <w:rPr>
          <w:rFonts w:ascii="Avenir Next" w:hAnsi="Avenir Next" w:cs="Arial"/>
          <w:color w:val="808080" w:themeColor="background1" w:themeShade="80"/>
          <w:sz w:val="22"/>
          <w:szCs w:val="22"/>
          <w:lang w:val="en-GB"/>
        </w:rPr>
        <w:t xml:space="preserve">, </w:t>
      </w:r>
      <w:r w:rsidRPr="00114A6F">
        <w:rPr>
          <w:rFonts w:ascii="Avenir Next" w:hAnsi="Avenir Next" w:cs="Arial"/>
          <w:color w:val="808080" w:themeColor="background1" w:themeShade="80"/>
          <w:sz w:val="22"/>
          <w:szCs w:val="22"/>
          <w:lang w:val="en-GB"/>
        </w:rPr>
        <w:t>a receivership order can be made if the court is satisfied that the assets attributable to a segregated portfolio are insufficient to discharge creditors' claims and that such an order would help in orderly closing down the business and distributing assets</w:t>
      </w:r>
      <w:r>
        <w:rPr>
          <w:rFonts w:ascii="Avenir Next" w:hAnsi="Avenir Next" w:cs="Arial"/>
          <w:color w:val="808080" w:themeColor="background1" w:themeShade="80"/>
          <w:sz w:val="22"/>
          <w:szCs w:val="22"/>
          <w:lang w:val="en-GB"/>
        </w:rPr>
        <w:t>.</w:t>
      </w:r>
      <w:r w:rsidRPr="00114A6F">
        <w:rPr>
          <w:rFonts w:ascii="Avenir Next" w:hAnsi="Avenir Next" w:cs="Arial"/>
          <w:color w:val="808080" w:themeColor="background1" w:themeShade="80"/>
          <w:sz w:val="22"/>
          <w:szCs w:val="22"/>
          <w:lang w:val="en-GB"/>
        </w:rPr>
        <w:t xml:space="preserve"> </w:t>
      </w:r>
    </w:p>
    <w:p w14:paraId="77085BF4" w14:textId="16BC9162" w:rsidR="00114A6F" w:rsidRDefault="00114A6F" w:rsidP="00CE4649">
      <w:pPr>
        <w:jc w:val="both"/>
        <w:rPr>
          <w:rFonts w:ascii="Avenir Next" w:hAnsi="Avenir Next" w:cs="Arial"/>
          <w:color w:val="808080" w:themeColor="background1" w:themeShade="80"/>
          <w:sz w:val="22"/>
          <w:szCs w:val="22"/>
          <w:lang w:val="en-GB"/>
        </w:rPr>
      </w:pPr>
    </w:p>
    <w:p w14:paraId="5EFA062A" w14:textId="26E62687" w:rsidR="00CE4649" w:rsidRPr="00CE4649" w:rsidRDefault="00114A6F" w:rsidP="00CE46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114A6F">
        <w:rPr>
          <w:rFonts w:ascii="Avenir Next" w:hAnsi="Avenir Next" w:cs="Arial"/>
          <w:b/>
          <w:color w:val="808080" w:themeColor="background1" w:themeShade="80"/>
          <w:sz w:val="22"/>
          <w:szCs w:val="22"/>
          <w:lang w:val="en-GB"/>
        </w:rPr>
        <w:t>Section 225 of the Act</w:t>
      </w:r>
      <w:r>
        <w:rPr>
          <w:rFonts w:ascii="Avenir Next" w:hAnsi="Avenir Next" w:cs="Arial"/>
          <w:color w:val="808080" w:themeColor="background1" w:themeShade="80"/>
          <w:sz w:val="22"/>
          <w:szCs w:val="22"/>
          <w:lang w:val="en-GB"/>
        </w:rPr>
        <w:t xml:space="preserve">, the </w:t>
      </w:r>
      <w:r w:rsidRPr="00114A6F">
        <w:rPr>
          <w:rFonts w:ascii="Avenir Next" w:hAnsi="Avenir Next" w:cs="Arial"/>
          <w:color w:val="808080" w:themeColor="background1" w:themeShade="80"/>
          <w:sz w:val="22"/>
          <w:szCs w:val="22"/>
          <w:lang w:val="en-GB"/>
        </w:rPr>
        <w:t>application for a receivership order can be made by</w:t>
      </w:r>
      <w:r>
        <w:rPr>
          <w:rFonts w:ascii="Avenir Next" w:hAnsi="Avenir Next" w:cs="Arial"/>
          <w:color w:val="808080" w:themeColor="background1" w:themeShade="80"/>
          <w:sz w:val="22"/>
          <w:szCs w:val="22"/>
          <w:lang w:val="en-GB"/>
        </w:rPr>
        <w:t xml:space="preserve"> </w:t>
      </w:r>
      <w:r w:rsidRPr="00114A6F">
        <w:rPr>
          <w:rFonts w:ascii="Avenir Next" w:hAnsi="Avenir Next" w:cs="Arial"/>
          <w:color w:val="808080" w:themeColor="background1" w:themeShade="80"/>
          <w:sz w:val="22"/>
          <w:szCs w:val="22"/>
          <w:lang w:val="en-GB"/>
        </w:rPr>
        <w:t>the company, its directors, creditors, shareholders, or the Cayman Islands Monetary Authority.</w:t>
      </w:r>
      <w:r>
        <w:rPr>
          <w:rFonts w:ascii="Avenir Next" w:hAnsi="Avenir Next" w:cs="Arial"/>
          <w:color w:val="808080" w:themeColor="background1" w:themeShade="80"/>
          <w:sz w:val="22"/>
          <w:szCs w:val="22"/>
          <w:lang w:val="en-GB"/>
        </w:rPr>
        <w:t xml:space="preserve"> Upon being appointed the Receivers have the power </w:t>
      </w:r>
      <w:r>
        <w:rPr>
          <w:rFonts w:ascii="Avenir Next" w:hAnsi="Avenir Next" w:cs="Arial"/>
          <w:i/>
          <w:color w:val="808080" w:themeColor="background1" w:themeShade="80"/>
          <w:sz w:val="22"/>
          <w:szCs w:val="22"/>
          <w:lang w:val="en-GB"/>
        </w:rPr>
        <w:t xml:space="preserve">inter alia </w:t>
      </w:r>
      <w:r>
        <w:rPr>
          <w:rFonts w:ascii="Avenir Next" w:hAnsi="Avenir Next" w:cs="Arial"/>
          <w:color w:val="808080" w:themeColor="background1" w:themeShade="80"/>
          <w:sz w:val="22"/>
          <w:szCs w:val="22"/>
          <w:lang w:val="en-GB"/>
        </w:rPr>
        <w:t xml:space="preserve">to manage the </w:t>
      </w:r>
      <w:r w:rsidRPr="00114A6F">
        <w:rPr>
          <w:rFonts w:ascii="Avenir Next" w:hAnsi="Avenir Next" w:cs="Arial"/>
          <w:color w:val="808080" w:themeColor="background1" w:themeShade="80"/>
          <w:sz w:val="22"/>
          <w:szCs w:val="22"/>
          <w:lang w:val="en-GB"/>
        </w:rPr>
        <w:t>segregated portfolio's business and assets, replacing the directors' powers in this context</w:t>
      </w:r>
      <w:r>
        <w:rPr>
          <w:rFonts w:ascii="Avenir Next" w:hAnsi="Avenir Next" w:cs="Arial"/>
          <w:color w:val="808080" w:themeColor="background1" w:themeShade="80"/>
          <w:sz w:val="22"/>
          <w:szCs w:val="22"/>
          <w:lang w:val="en-GB"/>
        </w:rPr>
        <w:t xml:space="preserve">, and </w:t>
      </w:r>
      <w:r w:rsidRPr="00114A6F">
        <w:rPr>
          <w:rFonts w:ascii="Avenir Next" w:hAnsi="Avenir Next" w:cs="Arial"/>
          <w:color w:val="808080" w:themeColor="background1" w:themeShade="80"/>
          <w:sz w:val="22"/>
          <w:szCs w:val="22"/>
          <w:lang w:val="en-GB"/>
        </w:rPr>
        <w:t>have the authority to seek court directions, vary, or discharge the receivership order as needed.</w:t>
      </w:r>
    </w:p>
    <w:bookmarkEnd w:id="1"/>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09C6DDE" w14:textId="59FAFE46" w:rsidR="00EA34F4" w:rsidRDefault="00E94DBB" w:rsidP="00E4294D">
      <w:pPr>
        <w:jc w:val="both"/>
        <w:rPr>
          <w:rFonts w:ascii="Avenir Next" w:hAnsi="Avenir Next" w:cs="Arial"/>
          <w:color w:val="808080" w:themeColor="background1" w:themeShade="80"/>
          <w:sz w:val="22"/>
          <w:szCs w:val="22"/>
        </w:rPr>
      </w:pPr>
      <w:r w:rsidRPr="00E94DBB">
        <w:rPr>
          <w:rFonts w:ascii="Avenir Next" w:hAnsi="Avenir Next" w:cs="Arial"/>
          <w:color w:val="808080" w:themeColor="background1" w:themeShade="80"/>
          <w:sz w:val="22"/>
          <w:szCs w:val="22"/>
        </w:rPr>
        <w:t xml:space="preserve">In the absence of a </w:t>
      </w:r>
      <w:bookmarkStart w:id="5" w:name="_Hlk170768655"/>
      <w:r w:rsidRPr="00E94DBB">
        <w:rPr>
          <w:rFonts w:ascii="Avenir Next" w:hAnsi="Avenir Next" w:cs="Arial"/>
          <w:color w:val="808080" w:themeColor="background1" w:themeShade="80"/>
          <w:sz w:val="22"/>
          <w:szCs w:val="22"/>
        </w:rPr>
        <w:t>statutory prohibition on insolvent trading in the Cayman Islands</w:t>
      </w:r>
      <w:bookmarkEnd w:id="5"/>
      <w:r w:rsidRPr="00E94DBB">
        <w:rPr>
          <w:rFonts w:ascii="Avenir Next" w:hAnsi="Avenir Next" w:cs="Arial"/>
          <w:color w:val="808080" w:themeColor="background1" w:themeShade="80"/>
          <w:sz w:val="22"/>
          <w:szCs w:val="22"/>
        </w:rPr>
        <w:t xml:space="preserve">, there are still mechanisms for holding directors accountable for their actions leading up to or during insolvency. Specifically, court-appointed liquidators or creditors can seek financial damages against former </w:t>
      </w:r>
      <w:r w:rsidRPr="00E94DBB">
        <w:rPr>
          <w:rFonts w:ascii="Avenir Next" w:hAnsi="Avenir Next" w:cs="Arial"/>
          <w:color w:val="808080" w:themeColor="background1" w:themeShade="80"/>
          <w:sz w:val="22"/>
          <w:szCs w:val="22"/>
        </w:rPr>
        <w:lastRenderedPageBreak/>
        <w:t>directors or attempt to "claw back" payments that should not have been made</w:t>
      </w:r>
      <w:r>
        <w:rPr>
          <w:rFonts w:ascii="Avenir Next" w:hAnsi="Avenir Next" w:cs="Arial"/>
          <w:color w:val="808080" w:themeColor="background1" w:themeShade="80"/>
          <w:sz w:val="22"/>
          <w:szCs w:val="22"/>
        </w:rPr>
        <w:t xml:space="preserve">. </w:t>
      </w:r>
      <w:r w:rsidR="00E429BF">
        <w:rPr>
          <w:rFonts w:ascii="Avenir Next" w:hAnsi="Avenir Next" w:cs="Arial"/>
          <w:color w:val="808080" w:themeColor="background1" w:themeShade="80"/>
          <w:sz w:val="22"/>
          <w:szCs w:val="22"/>
        </w:rPr>
        <w:t xml:space="preserve">Such mechanisms </w:t>
      </w:r>
      <w:r w:rsidR="00C05E72">
        <w:rPr>
          <w:rFonts w:ascii="Avenir Next" w:hAnsi="Avenir Next" w:cs="Arial"/>
          <w:color w:val="808080" w:themeColor="background1" w:themeShade="80"/>
          <w:sz w:val="22"/>
          <w:szCs w:val="22"/>
        </w:rPr>
        <w:t>include: -</w:t>
      </w:r>
      <w:r w:rsidR="00E429BF">
        <w:rPr>
          <w:rFonts w:ascii="Avenir Next" w:hAnsi="Avenir Next" w:cs="Arial"/>
          <w:color w:val="808080" w:themeColor="background1" w:themeShade="80"/>
          <w:sz w:val="22"/>
          <w:szCs w:val="22"/>
        </w:rPr>
        <w:t xml:space="preserve"> </w:t>
      </w:r>
    </w:p>
    <w:p w14:paraId="69FBD85B" w14:textId="77777777" w:rsidR="00EA34F4" w:rsidRDefault="00EA34F4" w:rsidP="00E4294D">
      <w:pPr>
        <w:jc w:val="both"/>
        <w:rPr>
          <w:rFonts w:ascii="Avenir Next" w:hAnsi="Avenir Next" w:cs="Arial"/>
          <w:color w:val="808080" w:themeColor="background1" w:themeShade="80"/>
          <w:sz w:val="22"/>
          <w:szCs w:val="22"/>
        </w:rPr>
      </w:pPr>
    </w:p>
    <w:p w14:paraId="2B298468" w14:textId="45209BA1" w:rsidR="00EA34F4" w:rsidRPr="00EC3CDE" w:rsidRDefault="00011002" w:rsidP="00B33C5A">
      <w:pPr>
        <w:pStyle w:val="ListParagraph"/>
        <w:numPr>
          <w:ilvl w:val="0"/>
          <w:numId w:val="16"/>
        </w:numPr>
        <w:contextualSpacing w:val="0"/>
        <w:jc w:val="both"/>
        <w:rPr>
          <w:rFonts w:ascii="Avenir Next" w:hAnsi="Avenir Next" w:cs="Arial"/>
          <w:b/>
          <w:color w:val="808080" w:themeColor="background1" w:themeShade="80"/>
          <w:sz w:val="22"/>
          <w:szCs w:val="22"/>
        </w:rPr>
      </w:pPr>
      <w:r w:rsidRPr="00EC3CDE">
        <w:rPr>
          <w:rFonts w:ascii="Avenir Next" w:hAnsi="Avenir Next" w:cs="Arial"/>
          <w:b/>
          <w:color w:val="808080" w:themeColor="background1" w:themeShade="80"/>
          <w:sz w:val="22"/>
          <w:szCs w:val="22"/>
        </w:rPr>
        <w:t xml:space="preserve">The offence of </w:t>
      </w:r>
      <w:r w:rsidR="00EA34F4" w:rsidRPr="00EC3CDE">
        <w:rPr>
          <w:rFonts w:ascii="Avenir Next" w:hAnsi="Avenir Next" w:cs="Arial"/>
          <w:b/>
          <w:color w:val="808080" w:themeColor="background1" w:themeShade="80"/>
          <w:sz w:val="22"/>
          <w:szCs w:val="22"/>
        </w:rPr>
        <w:t>Fraudulent Trading</w:t>
      </w:r>
    </w:p>
    <w:p w14:paraId="0EFF4F66" w14:textId="77777777" w:rsidR="00EC3CDE" w:rsidRPr="00EA34F4" w:rsidRDefault="00EC3CDE" w:rsidP="00EC3CDE">
      <w:pPr>
        <w:pStyle w:val="ListParagraph"/>
        <w:contextualSpacing w:val="0"/>
        <w:jc w:val="both"/>
        <w:rPr>
          <w:rFonts w:ascii="Avenir Next" w:hAnsi="Avenir Next" w:cs="Arial"/>
          <w:color w:val="808080" w:themeColor="background1" w:themeShade="80"/>
          <w:sz w:val="22"/>
          <w:szCs w:val="22"/>
        </w:rPr>
      </w:pPr>
    </w:p>
    <w:p w14:paraId="4613D167" w14:textId="77777777" w:rsidR="00EC3CDE" w:rsidRDefault="00011002" w:rsidP="00EC3C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EC3CDE">
        <w:rPr>
          <w:rFonts w:ascii="Avenir Next" w:hAnsi="Avenir Next" w:cs="Arial"/>
          <w:b/>
          <w:color w:val="808080" w:themeColor="background1" w:themeShade="80"/>
          <w:sz w:val="22"/>
          <w:szCs w:val="22"/>
          <w:lang w:val="en-GB"/>
        </w:rPr>
        <w:t>Section 147 of the Companies Act</w:t>
      </w:r>
      <w:r>
        <w:rPr>
          <w:rFonts w:ascii="Avenir Next" w:hAnsi="Avenir Next" w:cs="Arial"/>
          <w:color w:val="808080" w:themeColor="background1" w:themeShade="80"/>
          <w:sz w:val="22"/>
          <w:szCs w:val="22"/>
          <w:lang w:val="en-GB"/>
        </w:rPr>
        <w:t xml:space="preserve">, if </w:t>
      </w:r>
      <w:r w:rsidRPr="00011002">
        <w:rPr>
          <w:rFonts w:ascii="Avenir Next" w:hAnsi="Avenir Next" w:cs="Arial"/>
          <w:color w:val="808080" w:themeColor="background1" w:themeShade="80"/>
          <w:sz w:val="22"/>
          <w:szCs w:val="22"/>
          <w:lang w:val="en-GB"/>
        </w:rPr>
        <w:t>in the course of the winding up of a company it appears that any business of the company has</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been carried on with intent to defraud creditors of the company</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or creditors of any other person or for any</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fraudulent purpose the liquidator may apply to the Court for a declaration under this section.</w:t>
      </w:r>
      <w:r w:rsidR="00EC3CDE">
        <w:rPr>
          <w:rFonts w:ascii="Avenir Next" w:hAnsi="Avenir Next" w:cs="Arial"/>
          <w:color w:val="808080" w:themeColor="background1" w:themeShade="80"/>
          <w:sz w:val="22"/>
          <w:szCs w:val="22"/>
          <w:lang w:val="en-GB"/>
        </w:rPr>
        <w:t xml:space="preserve"> Upon considering such an application, the </w:t>
      </w:r>
      <w:r w:rsidRPr="00011002">
        <w:rPr>
          <w:rFonts w:ascii="Avenir Next" w:hAnsi="Avenir Next" w:cs="Arial"/>
          <w:color w:val="808080" w:themeColor="background1" w:themeShade="80"/>
          <w:sz w:val="22"/>
          <w:szCs w:val="22"/>
          <w:lang w:val="en-GB"/>
        </w:rPr>
        <w:t>Court may declare that any persons who were knowingly parties to the carrying on of the</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 xml:space="preserve">business </w:t>
      </w:r>
      <w:r w:rsidR="00EC3CDE" w:rsidRPr="00EC3CDE">
        <w:rPr>
          <w:rFonts w:ascii="Avenir Next" w:hAnsi="Avenir Next" w:cs="Arial"/>
          <w:color w:val="808080" w:themeColor="background1" w:themeShade="80"/>
          <w:sz w:val="22"/>
          <w:szCs w:val="22"/>
          <w:lang w:val="en-GB"/>
        </w:rPr>
        <w:t>with intent to defraud creditors of the company</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are liable to make such contributions, if any, to the</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company’s assets</w:t>
      </w:r>
      <w:r w:rsidR="00EC3CDE">
        <w:rPr>
          <w:rFonts w:ascii="Avenir Next" w:hAnsi="Avenir Next" w:cs="Arial"/>
          <w:color w:val="808080" w:themeColor="background1" w:themeShade="80"/>
          <w:sz w:val="22"/>
          <w:szCs w:val="22"/>
          <w:lang w:val="en-GB"/>
        </w:rPr>
        <w:t xml:space="preserve"> </w:t>
      </w:r>
      <w:r w:rsidRPr="00011002">
        <w:rPr>
          <w:rFonts w:ascii="Avenir Next" w:hAnsi="Avenir Next" w:cs="Arial"/>
          <w:color w:val="808080" w:themeColor="background1" w:themeShade="80"/>
          <w:sz w:val="22"/>
          <w:szCs w:val="22"/>
          <w:lang w:val="en-GB"/>
        </w:rPr>
        <w:t>as the Court thinks proper</w:t>
      </w:r>
      <w:r w:rsidR="00EC3CDE">
        <w:rPr>
          <w:rFonts w:ascii="Avenir Next" w:hAnsi="Avenir Next" w:cs="Arial"/>
          <w:color w:val="808080" w:themeColor="background1" w:themeShade="80"/>
          <w:sz w:val="22"/>
          <w:szCs w:val="22"/>
          <w:lang w:val="en-GB"/>
        </w:rPr>
        <w:t xml:space="preserve">. </w:t>
      </w:r>
    </w:p>
    <w:p w14:paraId="3EC43FFE" w14:textId="77777777" w:rsidR="00EC3CDE" w:rsidRDefault="00EC3CDE" w:rsidP="00EC3CDE">
      <w:pPr>
        <w:jc w:val="both"/>
        <w:rPr>
          <w:rFonts w:ascii="Avenir Next" w:hAnsi="Avenir Next" w:cs="Arial"/>
          <w:color w:val="808080" w:themeColor="background1" w:themeShade="80"/>
          <w:sz w:val="22"/>
          <w:szCs w:val="22"/>
        </w:rPr>
      </w:pPr>
    </w:p>
    <w:p w14:paraId="41A201E3" w14:textId="3731E744" w:rsidR="00C05E72" w:rsidRDefault="00EC3CDE" w:rsidP="00EC3CDE">
      <w:pPr>
        <w:jc w:val="both"/>
        <w:rPr>
          <w:rFonts w:ascii="Avenir Next" w:hAnsi="Avenir Next" w:cs="Arial"/>
          <w:color w:val="808080" w:themeColor="background1" w:themeShade="80"/>
          <w:sz w:val="22"/>
          <w:szCs w:val="22"/>
        </w:rPr>
      </w:pPr>
      <w:r w:rsidRPr="00EC3CDE">
        <w:rPr>
          <w:rFonts w:ascii="Avenir Next" w:hAnsi="Avenir Next" w:cs="Arial"/>
          <w:color w:val="808080" w:themeColor="background1" w:themeShade="80"/>
          <w:sz w:val="22"/>
          <w:szCs w:val="22"/>
        </w:rPr>
        <w:t>This provision aims to hold directors accountable for knowingly engaging in fraudulent activities that harm the company and its creditors</w:t>
      </w:r>
      <w:r w:rsidR="00C05E72">
        <w:rPr>
          <w:rFonts w:ascii="Avenir Next" w:hAnsi="Avenir Next" w:cs="Arial"/>
          <w:color w:val="808080" w:themeColor="background1" w:themeShade="80"/>
          <w:sz w:val="22"/>
          <w:szCs w:val="22"/>
        </w:rPr>
        <w:t xml:space="preserve">. </w:t>
      </w:r>
    </w:p>
    <w:p w14:paraId="1081F10D" w14:textId="77777777" w:rsidR="00C05E72" w:rsidRPr="00C05E72" w:rsidRDefault="00C05E72" w:rsidP="00EC3CDE">
      <w:pPr>
        <w:jc w:val="both"/>
        <w:rPr>
          <w:rFonts w:ascii="Avenir Next" w:hAnsi="Avenir Next" w:cs="Arial"/>
          <w:color w:val="808080" w:themeColor="background1" w:themeShade="80"/>
          <w:sz w:val="22"/>
          <w:szCs w:val="22"/>
        </w:rPr>
      </w:pPr>
    </w:p>
    <w:p w14:paraId="0EA912B5" w14:textId="49F73C36" w:rsidR="00EA34F4" w:rsidRDefault="00C05E72" w:rsidP="00B33C5A">
      <w:pPr>
        <w:pStyle w:val="ListParagraph"/>
        <w:numPr>
          <w:ilvl w:val="0"/>
          <w:numId w:val="16"/>
        </w:numPr>
        <w:contextualSpacing w:val="0"/>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t>An application for v</w:t>
      </w:r>
      <w:r w:rsidRPr="00C05E72">
        <w:rPr>
          <w:rFonts w:ascii="Avenir Next" w:hAnsi="Avenir Next" w:cs="Arial"/>
          <w:b/>
          <w:color w:val="808080" w:themeColor="background1" w:themeShade="80"/>
          <w:sz w:val="22"/>
          <w:szCs w:val="22"/>
          <w:lang w:val="en-GB"/>
        </w:rPr>
        <w:t xml:space="preserve">oidable preferences </w:t>
      </w:r>
    </w:p>
    <w:p w14:paraId="2CCDBC7C" w14:textId="77777777" w:rsidR="00D12F75" w:rsidRPr="00C05E72" w:rsidRDefault="00D12F75" w:rsidP="00D12F75">
      <w:pPr>
        <w:pStyle w:val="ListParagraph"/>
        <w:contextualSpacing w:val="0"/>
        <w:jc w:val="both"/>
        <w:rPr>
          <w:rFonts w:ascii="Avenir Next" w:hAnsi="Avenir Next" w:cs="Arial"/>
          <w:b/>
          <w:color w:val="808080" w:themeColor="background1" w:themeShade="80"/>
          <w:sz w:val="22"/>
          <w:szCs w:val="22"/>
          <w:lang w:val="en-GB"/>
        </w:rPr>
      </w:pPr>
    </w:p>
    <w:p w14:paraId="5D7DAFEB" w14:textId="4484A65D" w:rsidR="00D12F75" w:rsidRDefault="00D12F75" w:rsidP="00D12F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D12F75">
        <w:rPr>
          <w:rFonts w:ascii="Avenir Next" w:hAnsi="Avenir Next" w:cs="Arial"/>
          <w:b/>
          <w:color w:val="808080" w:themeColor="background1" w:themeShade="80"/>
          <w:sz w:val="22"/>
          <w:szCs w:val="22"/>
          <w:lang w:val="en-GB"/>
        </w:rPr>
        <w:t>Section 145 of the Companies Act</w:t>
      </w:r>
      <w:r>
        <w:rPr>
          <w:rFonts w:ascii="Avenir Next" w:hAnsi="Avenir Next" w:cs="Arial"/>
          <w:color w:val="808080" w:themeColor="background1" w:themeShade="80"/>
          <w:sz w:val="22"/>
          <w:szCs w:val="22"/>
          <w:lang w:val="en-GB"/>
        </w:rPr>
        <w:t xml:space="preserve">, any </w:t>
      </w:r>
      <w:r w:rsidRPr="00D12F75">
        <w:rPr>
          <w:rFonts w:ascii="Avenir Next" w:hAnsi="Avenir Next" w:cs="Arial"/>
          <w:color w:val="808080" w:themeColor="background1" w:themeShade="80"/>
          <w:sz w:val="22"/>
          <w:szCs w:val="22"/>
          <w:lang w:val="en-GB"/>
        </w:rPr>
        <w:t>conveyance or transfer of property, or charge thereon, and every payment obligation and</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judicial proceeding, made, incurred, taken or suffered by any</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company in favour of any creditor at a time</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when the company is unable to pay its debts</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with a view to giving such</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creditor a preference over the other creditors shall be voidable upon the application of</w:t>
      </w:r>
      <w:r>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the company’</w:t>
      </w:r>
      <w:r>
        <w:rPr>
          <w:rFonts w:ascii="Avenir Next" w:hAnsi="Avenir Next" w:cs="Arial"/>
          <w:color w:val="808080" w:themeColor="background1" w:themeShade="80"/>
          <w:sz w:val="22"/>
          <w:szCs w:val="22"/>
          <w:lang w:val="en-GB"/>
        </w:rPr>
        <w:t xml:space="preserve">s </w:t>
      </w:r>
      <w:r w:rsidRPr="00D12F75">
        <w:rPr>
          <w:rFonts w:ascii="Avenir Next" w:hAnsi="Avenir Next" w:cs="Arial"/>
          <w:color w:val="808080" w:themeColor="background1" w:themeShade="80"/>
          <w:sz w:val="22"/>
          <w:szCs w:val="22"/>
          <w:lang w:val="en-GB"/>
        </w:rPr>
        <w:t>liquidator</w:t>
      </w:r>
      <w:r w:rsidR="00CA1216">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 xml:space="preserve">if made, incurred, taken or suffered within </w:t>
      </w:r>
      <w:r w:rsidR="00CA1216">
        <w:rPr>
          <w:rFonts w:ascii="Avenir Next" w:hAnsi="Avenir Next" w:cs="Arial"/>
          <w:color w:val="808080" w:themeColor="background1" w:themeShade="80"/>
          <w:sz w:val="22"/>
          <w:szCs w:val="22"/>
          <w:lang w:val="en-GB"/>
        </w:rPr>
        <w:t xml:space="preserve">6 </w:t>
      </w:r>
      <w:r w:rsidRPr="00D12F75">
        <w:rPr>
          <w:rFonts w:ascii="Avenir Next" w:hAnsi="Avenir Next" w:cs="Arial"/>
          <w:color w:val="808080" w:themeColor="background1" w:themeShade="80"/>
          <w:sz w:val="22"/>
          <w:szCs w:val="22"/>
          <w:lang w:val="en-GB"/>
        </w:rPr>
        <w:t>months immediately preceding the</w:t>
      </w:r>
      <w:r w:rsidR="00CA1216">
        <w:rPr>
          <w:rFonts w:ascii="Avenir Next" w:hAnsi="Avenir Next" w:cs="Arial"/>
          <w:color w:val="808080" w:themeColor="background1" w:themeShade="80"/>
          <w:sz w:val="22"/>
          <w:szCs w:val="22"/>
          <w:lang w:val="en-GB"/>
        </w:rPr>
        <w:t xml:space="preserve"> </w:t>
      </w:r>
      <w:r w:rsidRPr="00D12F75">
        <w:rPr>
          <w:rFonts w:ascii="Avenir Next" w:hAnsi="Avenir Next" w:cs="Arial"/>
          <w:color w:val="808080" w:themeColor="background1" w:themeShade="80"/>
          <w:sz w:val="22"/>
          <w:szCs w:val="22"/>
          <w:lang w:val="en-GB"/>
        </w:rPr>
        <w:t>commencement of a liquidation.</w:t>
      </w:r>
    </w:p>
    <w:p w14:paraId="2FEF1B26" w14:textId="02F140B9" w:rsidR="00CA1216" w:rsidRDefault="00CA1216" w:rsidP="00D12F75">
      <w:pPr>
        <w:jc w:val="both"/>
        <w:rPr>
          <w:rFonts w:ascii="Avenir Next" w:hAnsi="Avenir Next" w:cs="Arial"/>
          <w:color w:val="808080" w:themeColor="background1" w:themeShade="80"/>
          <w:sz w:val="22"/>
          <w:szCs w:val="22"/>
          <w:lang w:val="en-GB"/>
        </w:rPr>
      </w:pPr>
    </w:p>
    <w:p w14:paraId="7C4CAA5B" w14:textId="140D1B11" w:rsidR="00CA1216" w:rsidRDefault="00CA1216" w:rsidP="00D12F75">
      <w:pPr>
        <w:jc w:val="both"/>
        <w:rPr>
          <w:rFonts w:ascii="Avenir Next" w:hAnsi="Avenir Next" w:cs="Arial"/>
          <w:color w:val="808080" w:themeColor="background1" w:themeShade="80"/>
          <w:sz w:val="22"/>
          <w:szCs w:val="22"/>
          <w:lang w:val="en-GB"/>
        </w:rPr>
      </w:pPr>
      <w:r w:rsidRPr="00CA1216">
        <w:rPr>
          <w:rFonts w:ascii="Avenir Next" w:hAnsi="Avenir Next" w:cs="Arial"/>
          <w:color w:val="808080" w:themeColor="background1" w:themeShade="80"/>
          <w:sz w:val="22"/>
          <w:szCs w:val="22"/>
          <w:lang w:val="en-GB"/>
        </w:rPr>
        <w:t>The liquidator may apply to the Grand Court to set aside such transactions, compelling the favoured creditor to return the assets or money and to prove their claim in the liquidation like any other creditor. This clawback mechanism ensures equitable treatment of all creditors and holds directors accountable for improper preferential payments</w:t>
      </w:r>
      <w:r>
        <w:rPr>
          <w:rFonts w:ascii="Avenir Next" w:hAnsi="Avenir Next" w:cs="Arial"/>
          <w:color w:val="808080" w:themeColor="background1" w:themeShade="80"/>
          <w:sz w:val="22"/>
          <w:szCs w:val="22"/>
          <w:lang w:val="en-GB"/>
        </w:rPr>
        <w:t xml:space="preserve">. </w:t>
      </w:r>
    </w:p>
    <w:p w14:paraId="55D404D6" w14:textId="41CA5F48" w:rsidR="00CA1216" w:rsidRDefault="00CA1216" w:rsidP="00D12F75">
      <w:pPr>
        <w:jc w:val="both"/>
        <w:rPr>
          <w:rFonts w:ascii="Avenir Next" w:hAnsi="Avenir Next" w:cs="Arial"/>
          <w:color w:val="808080" w:themeColor="background1" w:themeShade="80"/>
          <w:sz w:val="22"/>
          <w:szCs w:val="22"/>
          <w:lang w:val="en-GB"/>
        </w:rPr>
      </w:pPr>
    </w:p>
    <w:p w14:paraId="0BB62952" w14:textId="5A219344" w:rsidR="00CA1216" w:rsidRPr="006766DC" w:rsidRDefault="00CA1216" w:rsidP="00B33C5A">
      <w:pPr>
        <w:pStyle w:val="ListParagraph"/>
        <w:numPr>
          <w:ilvl w:val="0"/>
          <w:numId w:val="16"/>
        </w:numPr>
        <w:jc w:val="both"/>
        <w:rPr>
          <w:rFonts w:ascii="Avenir Next" w:hAnsi="Avenir Next" w:cs="Arial"/>
          <w:b/>
          <w:color w:val="808080" w:themeColor="background1" w:themeShade="80"/>
          <w:sz w:val="22"/>
          <w:szCs w:val="22"/>
          <w:lang w:val="en-GB"/>
        </w:rPr>
      </w:pPr>
      <w:r w:rsidRPr="006766DC">
        <w:rPr>
          <w:rFonts w:ascii="Avenir Next" w:hAnsi="Avenir Next" w:cs="Arial"/>
          <w:b/>
          <w:color w:val="808080" w:themeColor="background1" w:themeShade="80"/>
          <w:sz w:val="22"/>
          <w:szCs w:val="22"/>
          <w:lang w:val="en-GB"/>
        </w:rPr>
        <w:t xml:space="preserve">Transactions at </w:t>
      </w:r>
      <w:r w:rsidR="00DD3CBD" w:rsidRPr="006766DC">
        <w:rPr>
          <w:rFonts w:ascii="Avenir Next" w:hAnsi="Avenir Next" w:cs="Arial"/>
          <w:b/>
          <w:color w:val="808080" w:themeColor="background1" w:themeShade="80"/>
          <w:sz w:val="22"/>
          <w:szCs w:val="22"/>
          <w:lang w:val="en-GB"/>
        </w:rPr>
        <w:t xml:space="preserve">an </w:t>
      </w:r>
      <w:r w:rsidRPr="006766DC">
        <w:rPr>
          <w:rFonts w:ascii="Avenir Next" w:hAnsi="Avenir Next" w:cs="Arial"/>
          <w:b/>
          <w:color w:val="808080" w:themeColor="background1" w:themeShade="80"/>
          <w:sz w:val="22"/>
          <w:szCs w:val="22"/>
          <w:lang w:val="en-GB"/>
        </w:rPr>
        <w:t xml:space="preserve">undervalue </w:t>
      </w:r>
    </w:p>
    <w:p w14:paraId="4E43DAF6" w14:textId="77777777" w:rsidR="00CA1216" w:rsidRPr="00D12F75" w:rsidRDefault="00CA1216" w:rsidP="00D12F75">
      <w:pPr>
        <w:jc w:val="both"/>
        <w:rPr>
          <w:rFonts w:ascii="Avenir Next" w:hAnsi="Avenir Next" w:cs="Arial"/>
          <w:color w:val="808080" w:themeColor="background1" w:themeShade="80"/>
          <w:sz w:val="22"/>
          <w:szCs w:val="22"/>
          <w:lang w:val="en-GB"/>
        </w:rPr>
      </w:pPr>
    </w:p>
    <w:p w14:paraId="6ED7B6D0" w14:textId="77777777" w:rsidR="002C0117" w:rsidRDefault="002F4E5A" w:rsidP="00EC3C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2C0117">
        <w:rPr>
          <w:rFonts w:ascii="Avenir Next" w:hAnsi="Avenir Next" w:cs="Arial"/>
          <w:b/>
          <w:color w:val="808080" w:themeColor="background1" w:themeShade="80"/>
          <w:sz w:val="22"/>
          <w:szCs w:val="22"/>
          <w:lang w:val="en-GB"/>
        </w:rPr>
        <w:t xml:space="preserve">Section 146 </w:t>
      </w:r>
      <w:r w:rsidR="002C0117" w:rsidRPr="002C0117">
        <w:rPr>
          <w:rFonts w:ascii="Avenir Next" w:hAnsi="Avenir Next" w:cs="Arial"/>
          <w:b/>
          <w:color w:val="808080" w:themeColor="background1" w:themeShade="80"/>
          <w:sz w:val="22"/>
          <w:szCs w:val="22"/>
          <w:lang w:val="en-GB"/>
        </w:rPr>
        <w:t>of the Companies Act</w:t>
      </w:r>
      <w:r w:rsidR="002C0117">
        <w:rPr>
          <w:rFonts w:ascii="Avenir Next" w:hAnsi="Avenir Next" w:cs="Arial"/>
          <w:color w:val="808080" w:themeColor="background1" w:themeShade="80"/>
          <w:sz w:val="22"/>
          <w:szCs w:val="22"/>
          <w:lang w:val="en-GB"/>
        </w:rPr>
        <w:t xml:space="preserve">, the Act </w:t>
      </w:r>
      <w:r w:rsidRPr="002F4E5A">
        <w:rPr>
          <w:rFonts w:ascii="Avenir Next" w:hAnsi="Avenir Next" w:cs="Arial"/>
          <w:color w:val="808080" w:themeColor="background1" w:themeShade="80"/>
          <w:sz w:val="22"/>
          <w:szCs w:val="22"/>
          <w:lang w:val="en-GB"/>
        </w:rPr>
        <w:t xml:space="preserve">deals with transactions at an undervalue, where property is disposed of for no consideration or significantly less than its value, with the intention of defeating an obligation owed to a creditor. </w:t>
      </w:r>
    </w:p>
    <w:p w14:paraId="19820AE7" w14:textId="77777777" w:rsidR="002C0117" w:rsidRDefault="002C0117" w:rsidP="00EC3CDE">
      <w:pPr>
        <w:jc w:val="both"/>
        <w:rPr>
          <w:rFonts w:ascii="Avenir Next" w:hAnsi="Avenir Next" w:cs="Arial"/>
          <w:color w:val="808080" w:themeColor="background1" w:themeShade="80"/>
          <w:sz w:val="22"/>
          <w:szCs w:val="22"/>
          <w:lang w:val="en-GB"/>
        </w:rPr>
      </w:pPr>
    </w:p>
    <w:p w14:paraId="77E68164" w14:textId="53A0E867" w:rsidR="005E5377" w:rsidRDefault="002F4E5A" w:rsidP="00EC3CDE">
      <w:pPr>
        <w:jc w:val="both"/>
        <w:rPr>
          <w:rFonts w:ascii="Avenir Next" w:hAnsi="Avenir Next" w:cs="Arial"/>
          <w:color w:val="808080" w:themeColor="background1" w:themeShade="80"/>
          <w:sz w:val="22"/>
          <w:szCs w:val="22"/>
          <w:lang w:val="en-GB"/>
        </w:rPr>
      </w:pPr>
      <w:r w:rsidRPr="002F4E5A">
        <w:rPr>
          <w:rFonts w:ascii="Avenir Next" w:hAnsi="Avenir Next" w:cs="Arial"/>
          <w:color w:val="808080" w:themeColor="background1" w:themeShade="80"/>
          <w:sz w:val="22"/>
          <w:szCs w:val="22"/>
          <w:lang w:val="en-GB"/>
        </w:rPr>
        <w:t xml:space="preserve">These transactions are voidable upon application by the liquidator, who must prove an intent to defraud. This provision allows the liquidator to recover assets improperly disposed of, holding directors accountable for such </w:t>
      </w:r>
      <w:r w:rsidR="005E5377">
        <w:rPr>
          <w:rFonts w:ascii="Avenir Next" w:hAnsi="Avenir Next" w:cs="Arial"/>
          <w:color w:val="808080" w:themeColor="background1" w:themeShade="80"/>
          <w:sz w:val="22"/>
          <w:szCs w:val="22"/>
          <w:lang w:val="en-GB"/>
        </w:rPr>
        <w:t xml:space="preserve">transactions entered into at an undervalue. </w:t>
      </w:r>
    </w:p>
    <w:p w14:paraId="5F00A257" w14:textId="77777777" w:rsidR="005E5377" w:rsidRDefault="005E5377" w:rsidP="00EC3CDE">
      <w:pPr>
        <w:jc w:val="both"/>
        <w:rPr>
          <w:rFonts w:ascii="Avenir Next" w:hAnsi="Avenir Next" w:cs="Arial"/>
          <w:color w:val="808080" w:themeColor="background1" w:themeShade="80"/>
          <w:sz w:val="22"/>
          <w:szCs w:val="22"/>
          <w:lang w:val="en-GB"/>
        </w:rPr>
      </w:pPr>
    </w:p>
    <w:p w14:paraId="4475E96B" w14:textId="347A4951" w:rsidR="005E5377" w:rsidRPr="005E5377" w:rsidRDefault="005E5377" w:rsidP="00B33C5A">
      <w:pPr>
        <w:pStyle w:val="ListParagraph"/>
        <w:numPr>
          <w:ilvl w:val="0"/>
          <w:numId w:val="16"/>
        </w:numPr>
        <w:contextualSpacing w:val="0"/>
        <w:jc w:val="both"/>
        <w:rPr>
          <w:rFonts w:ascii="Avenir Next" w:hAnsi="Avenir Next" w:cs="Arial"/>
          <w:b/>
          <w:color w:val="808080" w:themeColor="background1" w:themeShade="80"/>
          <w:sz w:val="22"/>
          <w:szCs w:val="22"/>
          <w:lang w:val="en-GB"/>
        </w:rPr>
      </w:pPr>
      <w:r w:rsidRPr="005E5377">
        <w:rPr>
          <w:rFonts w:ascii="Avenir Next" w:hAnsi="Avenir Next" w:cs="Arial"/>
          <w:b/>
          <w:color w:val="808080" w:themeColor="background1" w:themeShade="80"/>
          <w:sz w:val="22"/>
          <w:szCs w:val="22"/>
          <w:lang w:val="en-GB"/>
        </w:rPr>
        <w:t>Obligation to file for insolvency</w:t>
      </w:r>
    </w:p>
    <w:p w14:paraId="525B870F" w14:textId="77777777" w:rsidR="005E5377" w:rsidRPr="005E5377" w:rsidRDefault="005E5377" w:rsidP="00544EF4">
      <w:pPr>
        <w:pStyle w:val="ListParagraph"/>
        <w:contextualSpacing w:val="0"/>
        <w:jc w:val="both"/>
        <w:rPr>
          <w:rFonts w:ascii="Avenir Next" w:hAnsi="Avenir Next" w:cs="Arial"/>
          <w:color w:val="808080" w:themeColor="background1" w:themeShade="80"/>
          <w:sz w:val="22"/>
          <w:szCs w:val="22"/>
          <w:lang w:val="en-GB"/>
        </w:rPr>
      </w:pPr>
    </w:p>
    <w:p w14:paraId="27C46003" w14:textId="1EB83802" w:rsidR="000A625D" w:rsidRDefault="00720804"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Court’s decision in </w:t>
      </w:r>
      <w:r w:rsidR="00544EF4" w:rsidRPr="00544EF4">
        <w:rPr>
          <w:rFonts w:ascii="Avenir Next" w:hAnsi="Avenir Next" w:cs="Arial"/>
          <w:b/>
          <w:color w:val="808080" w:themeColor="background1" w:themeShade="80"/>
          <w:sz w:val="22"/>
          <w:szCs w:val="22"/>
          <w:lang w:val="en-GB"/>
        </w:rPr>
        <w:t>Prospect Properties Limited v McNeill [1990–91 CILR 171</w:t>
      </w:r>
      <w:r w:rsidR="00544EF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Court</w:t>
      </w:r>
      <w:r w:rsidR="00544EF4">
        <w:rPr>
          <w:rFonts w:ascii="Avenir Next" w:hAnsi="Avenir Next" w:cs="Arial"/>
          <w:color w:val="808080" w:themeColor="background1" w:themeShade="80"/>
          <w:sz w:val="22"/>
          <w:szCs w:val="22"/>
          <w:lang w:val="en-GB"/>
        </w:rPr>
        <w:t xml:space="preserve"> reiterated </w:t>
      </w:r>
      <w:r w:rsidRPr="00720804">
        <w:rPr>
          <w:rFonts w:ascii="Avenir Next" w:hAnsi="Avenir Next" w:cs="Arial"/>
          <w:color w:val="808080" w:themeColor="background1" w:themeShade="80"/>
          <w:sz w:val="22"/>
          <w:szCs w:val="22"/>
          <w:lang w:val="en-GB"/>
        </w:rPr>
        <w:t>that one of the fiduciary duties owed by a</w:t>
      </w:r>
      <w:r>
        <w:rPr>
          <w:rFonts w:ascii="Avenir Next" w:hAnsi="Avenir Next" w:cs="Arial"/>
          <w:color w:val="808080" w:themeColor="background1" w:themeShade="80"/>
          <w:sz w:val="22"/>
          <w:szCs w:val="22"/>
          <w:lang w:val="en-GB"/>
        </w:rPr>
        <w:t xml:space="preserve"> </w:t>
      </w:r>
      <w:r w:rsidRPr="00720804">
        <w:rPr>
          <w:rFonts w:ascii="Avenir Next" w:hAnsi="Avenir Next" w:cs="Arial"/>
          <w:color w:val="808080" w:themeColor="background1" w:themeShade="80"/>
          <w:sz w:val="22"/>
          <w:szCs w:val="22"/>
          <w:lang w:val="en-GB"/>
        </w:rPr>
        <w:t>director to his company is the duty to act in the best interest of</w:t>
      </w:r>
      <w:r w:rsidR="00544EF4">
        <w:rPr>
          <w:rFonts w:ascii="Avenir Next" w:hAnsi="Avenir Next" w:cs="Arial"/>
          <w:color w:val="808080" w:themeColor="background1" w:themeShade="80"/>
          <w:sz w:val="22"/>
          <w:szCs w:val="22"/>
          <w:lang w:val="en-GB"/>
        </w:rPr>
        <w:t xml:space="preserve"> </w:t>
      </w:r>
      <w:r w:rsidRPr="00720804">
        <w:rPr>
          <w:rFonts w:ascii="Avenir Next" w:hAnsi="Avenir Next" w:cs="Arial"/>
          <w:color w:val="808080" w:themeColor="background1" w:themeShade="80"/>
          <w:sz w:val="22"/>
          <w:szCs w:val="22"/>
          <w:lang w:val="en-GB"/>
        </w:rPr>
        <w:t>that company.</w:t>
      </w:r>
      <w:r w:rsidR="00544EF4">
        <w:rPr>
          <w:rFonts w:ascii="Avenir Next" w:hAnsi="Avenir Next" w:cs="Arial"/>
          <w:color w:val="808080" w:themeColor="background1" w:themeShade="80"/>
          <w:sz w:val="22"/>
          <w:szCs w:val="22"/>
          <w:lang w:val="en-GB"/>
        </w:rPr>
        <w:t xml:space="preserve"> </w:t>
      </w:r>
      <w:r w:rsidR="000A625D">
        <w:rPr>
          <w:rFonts w:ascii="Avenir Next" w:hAnsi="Avenir Next" w:cs="Arial"/>
          <w:color w:val="808080" w:themeColor="background1" w:themeShade="80"/>
          <w:sz w:val="22"/>
          <w:szCs w:val="22"/>
          <w:lang w:val="en-GB"/>
        </w:rPr>
        <w:t xml:space="preserve">It is considered a </w:t>
      </w:r>
      <w:r w:rsidR="00544EF4" w:rsidRPr="00544EF4">
        <w:rPr>
          <w:rFonts w:ascii="Avenir Next" w:hAnsi="Avenir Next" w:cs="Arial"/>
          <w:color w:val="808080" w:themeColor="background1" w:themeShade="80"/>
          <w:sz w:val="22"/>
          <w:szCs w:val="22"/>
          <w:lang w:val="en-GB"/>
        </w:rPr>
        <w:t>breach of</w:t>
      </w:r>
      <w:r w:rsidR="000A625D">
        <w:rPr>
          <w:rFonts w:ascii="Avenir Next" w:hAnsi="Avenir Next" w:cs="Arial"/>
          <w:color w:val="808080" w:themeColor="background1" w:themeShade="80"/>
          <w:sz w:val="22"/>
          <w:szCs w:val="22"/>
          <w:lang w:val="en-GB"/>
        </w:rPr>
        <w:t xml:space="preserve"> </w:t>
      </w:r>
      <w:r w:rsidR="00544EF4" w:rsidRPr="00544EF4">
        <w:rPr>
          <w:rFonts w:ascii="Avenir Next" w:hAnsi="Avenir Next" w:cs="Arial"/>
          <w:color w:val="808080" w:themeColor="background1" w:themeShade="80"/>
          <w:sz w:val="22"/>
          <w:szCs w:val="22"/>
          <w:lang w:val="en-GB"/>
        </w:rPr>
        <w:t xml:space="preserve">fiduciary duty as directors of an apparently insolvent company </w:t>
      </w:r>
      <w:r w:rsidR="000A625D">
        <w:rPr>
          <w:rFonts w:ascii="Avenir Next" w:hAnsi="Avenir Next" w:cs="Arial"/>
          <w:color w:val="808080" w:themeColor="background1" w:themeShade="80"/>
          <w:sz w:val="22"/>
          <w:szCs w:val="22"/>
          <w:lang w:val="en-GB"/>
        </w:rPr>
        <w:t xml:space="preserve">where such directors do not </w:t>
      </w:r>
      <w:r w:rsidR="00544EF4" w:rsidRPr="00544EF4">
        <w:rPr>
          <w:rFonts w:ascii="Avenir Next" w:hAnsi="Avenir Next" w:cs="Arial"/>
          <w:color w:val="808080" w:themeColor="background1" w:themeShade="80"/>
          <w:sz w:val="22"/>
          <w:szCs w:val="22"/>
          <w:lang w:val="en-GB"/>
        </w:rPr>
        <w:t>act for the benefit of the company, its customers or creditors but solely for personal advantage</w:t>
      </w:r>
      <w:r w:rsidR="000A625D">
        <w:rPr>
          <w:rFonts w:ascii="Avenir Next" w:hAnsi="Avenir Next" w:cs="Arial"/>
          <w:color w:val="808080" w:themeColor="background1" w:themeShade="80"/>
          <w:sz w:val="22"/>
          <w:szCs w:val="22"/>
          <w:lang w:val="en-GB"/>
        </w:rPr>
        <w:t xml:space="preserve">. </w:t>
      </w:r>
    </w:p>
    <w:p w14:paraId="1C496CA9" w14:textId="47DA5142" w:rsidR="004A4428" w:rsidRDefault="004A4428" w:rsidP="002A37BB">
      <w:pPr>
        <w:jc w:val="both"/>
        <w:rPr>
          <w:rFonts w:ascii="Avenir Next" w:hAnsi="Avenir Next" w:cs="Arial"/>
          <w:color w:val="808080" w:themeColor="background1" w:themeShade="80"/>
          <w:sz w:val="22"/>
          <w:szCs w:val="22"/>
          <w:lang w:val="en-GB"/>
        </w:rPr>
      </w:pPr>
    </w:p>
    <w:p w14:paraId="700A1792" w14:textId="6BE65AAC" w:rsidR="004A4428" w:rsidRDefault="004A4428"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though there </w:t>
      </w:r>
      <w:r w:rsidRPr="005E5377">
        <w:rPr>
          <w:rFonts w:ascii="Avenir Next" w:hAnsi="Avenir Next" w:cs="Arial"/>
          <w:color w:val="808080" w:themeColor="background1" w:themeShade="80"/>
          <w:sz w:val="22"/>
          <w:szCs w:val="22"/>
          <w:lang w:val="en-GB"/>
        </w:rPr>
        <w:t>is no statutory obligation to file for insolvency, and the Companies Act does not prohibit wrongful trading</w:t>
      </w:r>
      <w:r>
        <w:rPr>
          <w:rFonts w:ascii="Avenir Next" w:hAnsi="Avenir Next" w:cs="Arial"/>
          <w:color w:val="808080" w:themeColor="background1" w:themeShade="80"/>
          <w:sz w:val="22"/>
          <w:szCs w:val="22"/>
          <w:lang w:val="en-GB"/>
        </w:rPr>
        <w:t xml:space="preserve">, i.e., </w:t>
      </w:r>
      <w:r w:rsidRPr="005E5377">
        <w:rPr>
          <w:rFonts w:ascii="Avenir Next" w:hAnsi="Avenir Next" w:cs="Arial"/>
          <w:color w:val="808080" w:themeColor="background1" w:themeShade="80"/>
          <w:sz w:val="22"/>
          <w:szCs w:val="22"/>
          <w:lang w:val="en-GB"/>
        </w:rPr>
        <w:t xml:space="preserve">continuing to trade while insolvent, directors can </w:t>
      </w:r>
      <w:r>
        <w:rPr>
          <w:rFonts w:ascii="Avenir Next" w:hAnsi="Avenir Next" w:cs="Arial"/>
          <w:color w:val="808080" w:themeColor="background1" w:themeShade="80"/>
          <w:sz w:val="22"/>
          <w:szCs w:val="22"/>
          <w:lang w:val="en-GB"/>
        </w:rPr>
        <w:t xml:space="preserve">still </w:t>
      </w:r>
      <w:r w:rsidRPr="005E5377">
        <w:rPr>
          <w:rFonts w:ascii="Avenir Next" w:hAnsi="Avenir Next" w:cs="Arial"/>
          <w:color w:val="808080" w:themeColor="background1" w:themeShade="80"/>
          <w:sz w:val="22"/>
          <w:szCs w:val="22"/>
          <w:lang w:val="en-GB"/>
        </w:rPr>
        <w:t xml:space="preserve">be held personally </w:t>
      </w:r>
      <w:r w:rsidRPr="005E5377">
        <w:rPr>
          <w:rFonts w:ascii="Avenir Next" w:hAnsi="Avenir Next" w:cs="Arial"/>
          <w:color w:val="808080" w:themeColor="background1" w:themeShade="80"/>
          <w:sz w:val="22"/>
          <w:szCs w:val="22"/>
          <w:lang w:val="en-GB"/>
        </w:rPr>
        <w:lastRenderedPageBreak/>
        <w:t>liable for any losses they cause to the company if they breach their fiduciary duty to act in the best interests of the company.</w:t>
      </w:r>
    </w:p>
    <w:p w14:paraId="7F316C65" w14:textId="77777777" w:rsidR="00E805DF" w:rsidRDefault="00E805DF" w:rsidP="002A37BB">
      <w:pPr>
        <w:jc w:val="both"/>
        <w:rPr>
          <w:rFonts w:ascii="Avenir Next" w:hAnsi="Avenir Next" w:cs="Arial"/>
          <w:color w:val="808080" w:themeColor="background1" w:themeShade="80"/>
          <w:sz w:val="22"/>
          <w:szCs w:val="22"/>
          <w:lang w:val="en-GB"/>
        </w:rPr>
      </w:pPr>
    </w:p>
    <w:p w14:paraId="4E5AE012" w14:textId="0E3F522D" w:rsidR="00E805DF" w:rsidRPr="00E805DF" w:rsidRDefault="00E805DF" w:rsidP="00B33C5A">
      <w:pPr>
        <w:pStyle w:val="ListParagraph"/>
        <w:numPr>
          <w:ilvl w:val="0"/>
          <w:numId w:val="16"/>
        </w:numPr>
        <w:jc w:val="both"/>
        <w:rPr>
          <w:rFonts w:ascii="Avenir Next" w:hAnsi="Avenir Next" w:cs="Arial"/>
          <w:b/>
          <w:color w:val="808080" w:themeColor="background1" w:themeShade="80"/>
          <w:sz w:val="22"/>
          <w:szCs w:val="22"/>
          <w:lang w:val="en-GB"/>
        </w:rPr>
      </w:pPr>
      <w:r w:rsidRPr="00E805DF">
        <w:rPr>
          <w:rFonts w:ascii="Avenir Next" w:hAnsi="Avenir Next" w:cs="Arial"/>
          <w:b/>
          <w:color w:val="808080" w:themeColor="background1" w:themeShade="80"/>
          <w:sz w:val="22"/>
          <w:szCs w:val="22"/>
          <w:lang w:val="en-GB"/>
        </w:rPr>
        <w:t>Avoidance of property dispositions</w:t>
      </w:r>
    </w:p>
    <w:p w14:paraId="3434F48E" w14:textId="77777777" w:rsidR="004A4428" w:rsidRDefault="004A4428" w:rsidP="002A37BB">
      <w:pPr>
        <w:jc w:val="both"/>
        <w:rPr>
          <w:rFonts w:ascii="Avenir Next" w:hAnsi="Avenir Next" w:cs="Arial"/>
          <w:color w:val="808080" w:themeColor="background1" w:themeShade="80"/>
          <w:sz w:val="22"/>
          <w:szCs w:val="22"/>
        </w:rPr>
      </w:pPr>
    </w:p>
    <w:p w14:paraId="16AC234E" w14:textId="5EEA670E" w:rsidR="00E805DF" w:rsidRDefault="00E805DF" w:rsidP="00E805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w:t>
      </w:r>
      <w:r w:rsidRPr="00E805DF">
        <w:rPr>
          <w:rFonts w:ascii="Avenir Next" w:hAnsi="Avenir Next" w:cs="Arial"/>
          <w:b/>
          <w:color w:val="808080" w:themeColor="background1" w:themeShade="80"/>
          <w:sz w:val="22"/>
          <w:szCs w:val="22"/>
        </w:rPr>
        <w:t>Section 99 of the Companies Act</w:t>
      </w:r>
      <w:r>
        <w:rPr>
          <w:rFonts w:ascii="Avenir Next" w:hAnsi="Avenir Next" w:cs="Arial"/>
          <w:color w:val="808080" w:themeColor="background1" w:themeShade="80"/>
          <w:sz w:val="22"/>
          <w:szCs w:val="22"/>
        </w:rPr>
        <w:t xml:space="preserve">, </w:t>
      </w:r>
      <w:r w:rsidRPr="00E805DF">
        <w:rPr>
          <w:rFonts w:ascii="Avenir Next" w:hAnsi="Avenir Next" w:cs="Arial"/>
          <w:color w:val="808080" w:themeColor="background1" w:themeShade="80"/>
          <w:sz w:val="22"/>
          <w:szCs w:val="22"/>
        </w:rPr>
        <w:t>when a winding up order has been made, any disposition of</w:t>
      </w:r>
      <w:r>
        <w:rPr>
          <w:rFonts w:ascii="Avenir Next" w:hAnsi="Avenir Next" w:cs="Arial"/>
          <w:color w:val="808080" w:themeColor="background1" w:themeShade="80"/>
          <w:sz w:val="22"/>
          <w:szCs w:val="22"/>
        </w:rPr>
        <w:t xml:space="preserve"> </w:t>
      </w:r>
      <w:r w:rsidRPr="00E805DF">
        <w:rPr>
          <w:rFonts w:ascii="Avenir Next" w:hAnsi="Avenir Next" w:cs="Arial"/>
          <w:color w:val="808080" w:themeColor="background1" w:themeShade="80"/>
          <w:sz w:val="22"/>
          <w:szCs w:val="22"/>
        </w:rPr>
        <w:t>the company’s property and any transfer of</w:t>
      </w:r>
      <w:r>
        <w:rPr>
          <w:rFonts w:ascii="Avenir Next" w:hAnsi="Avenir Next" w:cs="Arial"/>
          <w:color w:val="808080" w:themeColor="background1" w:themeShade="80"/>
          <w:sz w:val="22"/>
          <w:szCs w:val="22"/>
        </w:rPr>
        <w:t xml:space="preserve"> </w:t>
      </w:r>
      <w:r w:rsidRPr="00E805DF">
        <w:rPr>
          <w:rFonts w:ascii="Avenir Next" w:hAnsi="Avenir Next" w:cs="Arial"/>
          <w:color w:val="808080" w:themeColor="background1" w:themeShade="80"/>
          <w:sz w:val="22"/>
          <w:szCs w:val="22"/>
        </w:rPr>
        <w:t>shares or alteration in the status of the company’s</w:t>
      </w:r>
      <w:r>
        <w:rPr>
          <w:rFonts w:ascii="Avenir Next" w:hAnsi="Avenir Next" w:cs="Arial"/>
          <w:color w:val="808080" w:themeColor="background1" w:themeShade="80"/>
          <w:sz w:val="22"/>
          <w:szCs w:val="22"/>
        </w:rPr>
        <w:t xml:space="preserve"> </w:t>
      </w:r>
      <w:r w:rsidRPr="00E805DF">
        <w:rPr>
          <w:rFonts w:ascii="Avenir Next" w:hAnsi="Avenir Next" w:cs="Arial"/>
          <w:color w:val="808080" w:themeColor="background1" w:themeShade="80"/>
          <w:sz w:val="22"/>
          <w:szCs w:val="22"/>
        </w:rPr>
        <w:t>members made after the commencement of the</w:t>
      </w:r>
      <w:r>
        <w:rPr>
          <w:rFonts w:ascii="Avenir Next" w:hAnsi="Avenir Next" w:cs="Arial"/>
          <w:color w:val="808080" w:themeColor="background1" w:themeShade="80"/>
          <w:sz w:val="22"/>
          <w:szCs w:val="22"/>
        </w:rPr>
        <w:t xml:space="preserve"> </w:t>
      </w:r>
      <w:r w:rsidRPr="00E805DF">
        <w:rPr>
          <w:rFonts w:ascii="Avenir Next" w:hAnsi="Avenir Next" w:cs="Arial"/>
          <w:color w:val="808080" w:themeColor="background1" w:themeShade="80"/>
          <w:sz w:val="22"/>
          <w:szCs w:val="22"/>
        </w:rPr>
        <w:t>winding up is, unless the Court otherwise orders, void.</w:t>
      </w:r>
      <w:r>
        <w:rPr>
          <w:rFonts w:ascii="Avenir Next" w:hAnsi="Avenir Next" w:cs="Arial"/>
          <w:color w:val="808080" w:themeColor="background1" w:themeShade="80"/>
          <w:sz w:val="22"/>
          <w:szCs w:val="22"/>
        </w:rPr>
        <w:t xml:space="preserve"> Where such a disposition is made, the </w:t>
      </w:r>
      <w:r w:rsidRPr="00E805DF">
        <w:rPr>
          <w:rFonts w:ascii="Avenir Next" w:hAnsi="Avenir Next" w:cs="Arial"/>
          <w:color w:val="808080" w:themeColor="background1" w:themeShade="80"/>
          <w:sz w:val="22"/>
          <w:szCs w:val="22"/>
        </w:rPr>
        <w:t>liquidator</w:t>
      </w:r>
      <w:r>
        <w:rPr>
          <w:rFonts w:ascii="Avenir Next" w:hAnsi="Avenir Next" w:cs="Arial"/>
          <w:color w:val="808080" w:themeColor="background1" w:themeShade="80"/>
          <w:sz w:val="22"/>
          <w:szCs w:val="22"/>
        </w:rPr>
        <w:t xml:space="preserve"> can </w:t>
      </w:r>
      <w:r w:rsidRPr="00E805DF">
        <w:rPr>
          <w:rFonts w:ascii="Avenir Next" w:hAnsi="Avenir Next" w:cs="Arial"/>
          <w:color w:val="808080" w:themeColor="background1" w:themeShade="80"/>
          <w:sz w:val="22"/>
          <w:szCs w:val="22"/>
        </w:rPr>
        <w:t>apply for appropriate relief to require the repayment of the funds or the return of the asset</w:t>
      </w:r>
      <w:r>
        <w:rPr>
          <w:rFonts w:ascii="Avenir Next" w:hAnsi="Avenir Next" w:cs="Arial"/>
          <w:color w:val="808080" w:themeColor="background1" w:themeShade="80"/>
          <w:sz w:val="22"/>
          <w:szCs w:val="22"/>
        </w:rPr>
        <w:t xml:space="preserve"> to the Company. </w:t>
      </w:r>
    </w:p>
    <w:p w14:paraId="1544C65F" w14:textId="77777777" w:rsidR="00E805DF" w:rsidRDefault="00E805DF" w:rsidP="002A37BB">
      <w:pPr>
        <w:jc w:val="both"/>
        <w:rPr>
          <w:rFonts w:ascii="Avenir Next" w:hAnsi="Avenir Next" w:cs="Arial"/>
          <w:color w:val="808080" w:themeColor="background1" w:themeShade="80"/>
          <w:sz w:val="22"/>
          <w:szCs w:val="22"/>
        </w:rPr>
      </w:pPr>
    </w:p>
    <w:p w14:paraId="6DD9BB66" w14:textId="64D3327D" w:rsidR="00FA18CF" w:rsidRPr="000A625D" w:rsidRDefault="005E5377"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Based on the foregoing</w:t>
      </w:r>
      <w:r w:rsidRPr="005E5377">
        <w:rPr>
          <w:rFonts w:ascii="Avenir Next" w:hAnsi="Avenir Next" w:cs="Arial"/>
          <w:color w:val="808080" w:themeColor="background1" w:themeShade="80"/>
          <w:sz w:val="22"/>
          <w:szCs w:val="22"/>
        </w:rPr>
        <w:t>, while there is no statutory prohibition on insolvent trading in the Cayman Islands</w:t>
      </w:r>
      <w:r>
        <w:rPr>
          <w:rFonts w:ascii="Avenir Next" w:hAnsi="Avenir Next" w:cs="Arial"/>
          <w:color w:val="808080" w:themeColor="background1" w:themeShade="80"/>
          <w:sz w:val="22"/>
          <w:szCs w:val="22"/>
        </w:rPr>
        <w:t xml:space="preserve">, the </w:t>
      </w:r>
      <w:r w:rsidRPr="005E5377">
        <w:rPr>
          <w:rFonts w:ascii="Avenir Next" w:hAnsi="Avenir Next" w:cs="Arial"/>
          <w:color w:val="808080" w:themeColor="background1" w:themeShade="80"/>
          <w:sz w:val="22"/>
          <w:szCs w:val="22"/>
        </w:rPr>
        <w:t>legal framework provides several avenues for liquidators and creditors to hold directors accountable for improper actions leading up to insolvency, including seeking financial damages and clawing back improper payments</w:t>
      </w:r>
      <w:r>
        <w:rPr>
          <w:rFonts w:ascii="Avenir Next" w:hAnsi="Avenir Next" w:cs="Arial"/>
          <w:color w:val="808080" w:themeColor="background1" w:themeShade="80"/>
          <w:sz w:val="22"/>
          <w:szCs w:val="22"/>
        </w:rPr>
        <w:t xml:space="preserve">. </w:t>
      </w:r>
    </w:p>
    <w:p w14:paraId="2474EE4A" w14:textId="77777777" w:rsidR="005E5377" w:rsidRPr="00310533" w:rsidRDefault="005E5377"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6"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w:t>
      </w:r>
      <w:bookmarkStart w:id="7" w:name="_Hlk170845321"/>
      <w:r w:rsidRPr="004A3D56">
        <w:rPr>
          <w:rFonts w:ascii="Avenir Next" w:hAnsi="Avenir Next"/>
          <w:sz w:val="22"/>
          <w:szCs w:val="22"/>
          <w:lang w:val="en-GB"/>
        </w:rPr>
        <w:t>is secured by a mortgage over half of Punk Lizard’s fleet</w:t>
      </w:r>
      <w:bookmarkEnd w:id="7"/>
      <w:r w:rsidRPr="004A3D56">
        <w:rPr>
          <w:rFonts w:ascii="Avenir Next" w:hAnsi="Avenir Next"/>
          <w:sz w:val="22"/>
          <w:szCs w:val="22"/>
          <w:lang w:val="en-GB"/>
        </w:rPr>
        <w:t xml:space="preserve">).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6A15E85"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1CEEC23"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59992CF8" w14:textId="34F0F391" w:rsidR="001E4F2C" w:rsidRPr="00865836" w:rsidRDefault="001578E5" w:rsidP="00865836">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TNB has a security over the movable assets of Punk Lizard, and can </w:t>
      </w:r>
      <w:r w:rsidRPr="001578E5">
        <w:rPr>
          <w:rFonts w:ascii="Avenir Next" w:hAnsi="Avenir Next" w:cs="Arial"/>
          <w:color w:val="808080" w:themeColor="background1" w:themeShade="80"/>
          <w:sz w:val="22"/>
          <w:szCs w:val="22"/>
          <w:lang w:val="en-GB"/>
        </w:rPr>
        <w:t xml:space="preserve">enforce its security over half of Punk Lizard's fleet </w:t>
      </w:r>
      <w:r w:rsidR="00865836">
        <w:rPr>
          <w:rFonts w:ascii="Avenir Next" w:hAnsi="Avenir Next" w:cs="Arial"/>
          <w:color w:val="808080" w:themeColor="background1" w:themeShade="80"/>
          <w:sz w:val="22"/>
          <w:szCs w:val="22"/>
          <w:lang w:val="en-GB"/>
        </w:rPr>
        <w:t xml:space="preserve">as part of its loan </w:t>
      </w:r>
      <w:r w:rsidR="00865836" w:rsidRPr="00865836">
        <w:rPr>
          <w:rFonts w:ascii="Avenir Next" w:hAnsi="Avenir Next" w:cs="Arial"/>
          <w:color w:val="808080" w:themeColor="background1" w:themeShade="80"/>
          <w:sz w:val="22"/>
          <w:szCs w:val="22"/>
          <w:lang w:val="en-GB"/>
        </w:rPr>
        <w:t xml:space="preserve">is secured by a mortgage over </w:t>
      </w:r>
      <w:r w:rsidR="00865836">
        <w:rPr>
          <w:rFonts w:ascii="Avenir Next" w:hAnsi="Avenir Next" w:cs="Arial"/>
          <w:color w:val="808080" w:themeColor="background1" w:themeShade="80"/>
          <w:sz w:val="22"/>
          <w:szCs w:val="22"/>
          <w:lang w:val="en-GB"/>
        </w:rPr>
        <w:t>the said assets. In the Cayman Islands, s</w:t>
      </w:r>
      <w:r w:rsidR="00865836" w:rsidRPr="00865836">
        <w:rPr>
          <w:rFonts w:ascii="Avenir Next" w:hAnsi="Avenir Next" w:cs="Arial"/>
          <w:color w:val="808080" w:themeColor="background1" w:themeShade="80"/>
          <w:sz w:val="22"/>
          <w:szCs w:val="22"/>
          <w:lang w:val="en-GB"/>
        </w:rPr>
        <w:t>ecurity over movable assets like ships and aircraft also involves registration in the respective asset registers (vessel or aircraft register).</w:t>
      </w:r>
      <w:r w:rsidR="00865836">
        <w:rPr>
          <w:rFonts w:ascii="Avenir Next" w:hAnsi="Avenir Next" w:cs="Arial"/>
          <w:color w:val="808080" w:themeColor="background1" w:themeShade="80"/>
          <w:sz w:val="22"/>
          <w:szCs w:val="22"/>
          <w:lang w:val="en-GB"/>
        </w:rPr>
        <w:t xml:space="preserve"> Under the mortgage agreement, TNB has can appoint a receiver to take control of, manage and even sell the secured assets to recover the loan amounts due to TNB. </w:t>
      </w:r>
      <w:r w:rsidRPr="00865836">
        <w:rPr>
          <w:rFonts w:ascii="Avenir Next" w:hAnsi="Avenir Next" w:cs="Arial"/>
          <w:color w:val="808080" w:themeColor="background1" w:themeShade="80"/>
          <w:sz w:val="22"/>
          <w:szCs w:val="22"/>
          <w:lang w:val="en-GB"/>
        </w:rPr>
        <w:t>Additionally, TNB could seek a court-appointed receiver if there are concerns about the dissipation of assets not covered</w:t>
      </w:r>
      <w:r w:rsidR="00865836">
        <w:rPr>
          <w:rFonts w:ascii="Avenir Next" w:hAnsi="Avenir Next" w:cs="Arial"/>
          <w:color w:val="808080" w:themeColor="background1" w:themeShade="80"/>
          <w:sz w:val="22"/>
          <w:szCs w:val="22"/>
          <w:lang w:val="en-GB"/>
        </w:rPr>
        <w:t xml:space="preserve"> under the Security agreement</w:t>
      </w:r>
      <w:r w:rsidRPr="00865836">
        <w:rPr>
          <w:rFonts w:ascii="Avenir Next" w:hAnsi="Avenir Next" w:cs="Arial"/>
          <w:color w:val="808080" w:themeColor="background1" w:themeShade="80"/>
          <w:sz w:val="22"/>
          <w:szCs w:val="22"/>
          <w:lang w:val="en-GB"/>
        </w:rPr>
        <w:t>.</w:t>
      </w:r>
    </w:p>
    <w:p w14:paraId="3D5B42AD" w14:textId="77777777" w:rsidR="001E4F2C" w:rsidRDefault="001E4F2C" w:rsidP="001E4F2C">
      <w:pPr>
        <w:pStyle w:val="ListParagraph"/>
        <w:ind w:left="426"/>
        <w:jc w:val="both"/>
        <w:rPr>
          <w:rFonts w:ascii="Avenir Next" w:hAnsi="Avenir Next" w:cs="Arial"/>
          <w:sz w:val="22"/>
          <w:szCs w:val="22"/>
          <w:lang w:val="en-GB"/>
        </w:rPr>
      </w:pPr>
    </w:p>
    <w:p w14:paraId="023E706B"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27C1747"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3B913580" w14:textId="6C822F8D" w:rsidR="001E4F2C" w:rsidRPr="009A4436" w:rsidRDefault="008C606B" w:rsidP="009A4436">
      <w:pPr>
        <w:pStyle w:val="ListParagraph"/>
        <w:ind w:left="432"/>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 &amp; W should start by seeking the </w:t>
      </w:r>
      <w:r w:rsidR="003813B8">
        <w:rPr>
          <w:rFonts w:ascii="Avenir Next" w:hAnsi="Avenir Next" w:cs="Arial"/>
          <w:color w:val="808080" w:themeColor="background1" w:themeShade="80"/>
          <w:sz w:val="22"/>
          <w:szCs w:val="22"/>
          <w:lang w:val="en-GB"/>
        </w:rPr>
        <w:t xml:space="preserve">registration of the Arbitration award under </w:t>
      </w:r>
      <w:r w:rsidR="003813B8" w:rsidRPr="003813B8">
        <w:rPr>
          <w:rFonts w:ascii="Avenir Next" w:hAnsi="Avenir Next" w:cs="Arial"/>
          <w:b/>
          <w:color w:val="808080" w:themeColor="background1" w:themeShade="80"/>
          <w:sz w:val="22"/>
          <w:szCs w:val="22"/>
        </w:rPr>
        <w:t xml:space="preserve">Order 73, Rule 34 of </w:t>
      </w:r>
      <w:r w:rsidR="003813B8" w:rsidRPr="003813B8">
        <w:rPr>
          <w:rFonts w:ascii="Avenir Next" w:hAnsi="Avenir Next" w:cs="Arial"/>
          <w:b/>
          <w:color w:val="808080" w:themeColor="background1" w:themeShade="80"/>
          <w:sz w:val="22"/>
          <w:szCs w:val="22"/>
          <w:lang w:val="en-GB"/>
        </w:rPr>
        <w:t>the Grand Court Rules</w:t>
      </w:r>
      <w:r w:rsidR="003813B8">
        <w:rPr>
          <w:rFonts w:ascii="Avenir Next" w:hAnsi="Avenir Next" w:cs="Arial"/>
          <w:color w:val="808080" w:themeColor="background1" w:themeShade="80"/>
          <w:sz w:val="22"/>
          <w:szCs w:val="22"/>
          <w:lang w:val="en-GB"/>
        </w:rPr>
        <w:t xml:space="preserve">. This application is made by way of originating summons. </w:t>
      </w:r>
      <w:r w:rsidR="009A4436">
        <w:rPr>
          <w:rFonts w:ascii="Avenir Next" w:hAnsi="Avenir Next" w:cs="Arial"/>
          <w:color w:val="808080" w:themeColor="background1" w:themeShade="80"/>
          <w:sz w:val="22"/>
          <w:szCs w:val="22"/>
          <w:lang w:val="en-GB"/>
        </w:rPr>
        <w:t xml:space="preserve">Once the award is recognized as a local judgment, H &amp; W can move the Court for the enforcement of the judgment under </w:t>
      </w:r>
      <w:r w:rsidR="009A4436" w:rsidRPr="009A4436">
        <w:rPr>
          <w:rFonts w:ascii="Avenir Next" w:hAnsi="Avenir Next" w:cs="Arial"/>
          <w:b/>
          <w:color w:val="808080" w:themeColor="background1" w:themeShade="80"/>
          <w:sz w:val="22"/>
          <w:szCs w:val="22"/>
          <w:lang w:val="en-GB"/>
        </w:rPr>
        <w:t>Order 45, Rule 1 of the Grand Court Rules</w:t>
      </w:r>
      <w:r w:rsidR="009A4436">
        <w:rPr>
          <w:rFonts w:ascii="Avenir Next" w:hAnsi="Avenir Next" w:cs="Arial"/>
          <w:color w:val="808080" w:themeColor="background1" w:themeShade="80"/>
          <w:sz w:val="22"/>
          <w:szCs w:val="22"/>
          <w:lang w:val="en-GB"/>
        </w:rPr>
        <w:t xml:space="preserve"> which provides various enforcement mechanisms and states that </w:t>
      </w:r>
      <w:r w:rsidR="009A4436" w:rsidRPr="009A4436">
        <w:rPr>
          <w:rFonts w:ascii="Avenir Next" w:hAnsi="Avenir Next" w:cs="Arial"/>
          <w:color w:val="808080" w:themeColor="background1" w:themeShade="80"/>
          <w:sz w:val="22"/>
          <w:szCs w:val="22"/>
          <w:lang w:val="en-GB"/>
        </w:rPr>
        <w:t>a judgment or order for the payment of</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money, not being a judgment or order for the payment of money into Court, may</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be enforced by one or more of the following means, that is to say —</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writ of fieri facias</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garnishee proceedings;</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a charging order</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the appointment of a receiver;</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an order for committal</w:t>
      </w:r>
      <w:r w:rsidR="009A4436">
        <w:rPr>
          <w:rFonts w:ascii="Avenir Next" w:hAnsi="Avenir Next" w:cs="Arial"/>
          <w:color w:val="808080" w:themeColor="background1" w:themeShade="80"/>
          <w:sz w:val="22"/>
          <w:szCs w:val="22"/>
          <w:lang w:val="en-GB"/>
        </w:rPr>
        <w:t xml:space="preserve">; </w:t>
      </w:r>
      <w:r w:rsidR="009A4436" w:rsidRPr="009A4436">
        <w:rPr>
          <w:rFonts w:ascii="Avenir Next" w:hAnsi="Avenir Next" w:cs="Arial"/>
          <w:color w:val="808080" w:themeColor="background1" w:themeShade="80"/>
          <w:sz w:val="22"/>
          <w:szCs w:val="22"/>
          <w:lang w:val="en-GB"/>
        </w:rPr>
        <w:t>writ of sequestration;</w:t>
      </w:r>
      <w:r w:rsidR="009A4436">
        <w:rPr>
          <w:rFonts w:ascii="Avenir Next" w:hAnsi="Avenir Next" w:cs="Arial"/>
          <w:color w:val="808080" w:themeColor="background1" w:themeShade="80"/>
          <w:sz w:val="22"/>
          <w:szCs w:val="22"/>
          <w:lang w:val="en-GB"/>
        </w:rPr>
        <w:t xml:space="preserve"> or </w:t>
      </w:r>
      <w:r w:rsidR="009A4436" w:rsidRPr="009A4436">
        <w:rPr>
          <w:rFonts w:ascii="Avenir Next" w:hAnsi="Avenir Next" w:cs="Arial"/>
          <w:color w:val="808080" w:themeColor="background1" w:themeShade="80"/>
          <w:sz w:val="22"/>
          <w:szCs w:val="22"/>
          <w:lang w:val="en-GB"/>
        </w:rPr>
        <w:t>an attachment of earnings order</w:t>
      </w:r>
      <w:r w:rsidR="009A4436">
        <w:rPr>
          <w:rFonts w:ascii="Avenir Next" w:hAnsi="Avenir Next" w:cs="Arial"/>
          <w:color w:val="808080" w:themeColor="background1" w:themeShade="80"/>
          <w:sz w:val="22"/>
          <w:szCs w:val="22"/>
          <w:lang w:val="en-GB"/>
        </w:rPr>
        <w:t xml:space="preserve">. </w:t>
      </w:r>
      <w:r w:rsidR="00F67EE1">
        <w:rPr>
          <w:rFonts w:ascii="Avenir Next" w:hAnsi="Avenir Next" w:cs="Arial"/>
          <w:color w:val="808080" w:themeColor="background1" w:themeShade="80"/>
          <w:sz w:val="22"/>
          <w:szCs w:val="22"/>
          <w:lang w:val="en-GB"/>
        </w:rPr>
        <w:t xml:space="preserve">They can also get preservation orders to prevent the dissipation of the assets. </w:t>
      </w:r>
    </w:p>
    <w:p w14:paraId="3BC1506C" w14:textId="023720CC" w:rsidR="009A4436" w:rsidRDefault="009A4436" w:rsidP="003813B8">
      <w:pPr>
        <w:pStyle w:val="ListParagraph"/>
        <w:ind w:left="432"/>
        <w:contextualSpacing w:val="0"/>
        <w:jc w:val="both"/>
        <w:rPr>
          <w:rFonts w:ascii="Avenir Next" w:hAnsi="Avenir Next" w:cs="Arial"/>
          <w:sz w:val="22"/>
          <w:szCs w:val="22"/>
          <w:lang w:val="en-GB"/>
        </w:rPr>
      </w:pPr>
    </w:p>
    <w:p w14:paraId="5D68FA9D"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3D7AF7D6"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0E99DC3A" w14:textId="77777777" w:rsidR="00596F01" w:rsidRDefault="00163B11" w:rsidP="00870A63">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Pr="00163B11">
        <w:rPr>
          <w:rFonts w:ascii="Avenir Next" w:hAnsi="Avenir Next" w:cs="Arial"/>
          <w:b/>
          <w:color w:val="808080" w:themeColor="background1" w:themeShade="80"/>
          <w:sz w:val="22"/>
          <w:szCs w:val="22"/>
          <w:lang w:val="en-GB"/>
        </w:rPr>
        <w:t>Section 141 of the Companies Act</w:t>
      </w:r>
      <w:r w:rsidR="00870A63">
        <w:rPr>
          <w:rFonts w:ascii="Avenir Next" w:hAnsi="Avenir Next" w:cs="Arial"/>
          <w:b/>
          <w:color w:val="808080" w:themeColor="background1" w:themeShade="80"/>
          <w:sz w:val="22"/>
          <w:szCs w:val="22"/>
          <w:lang w:val="en-GB"/>
        </w:rPr>
        <w:t xml:space="preserve"> </w:t>
      </w:r>
      <w:r w:rsidR="00870A63" w:rsidRPr="00870A63">
        <w:rPr>
          <w:rFonts w:ascii="Avenir Next" w:hAnsi="Avenir Next" w:cs="Arial"/>
          <w:color w:val="808080" w:themeColor="background1" w:themeShade="80"/>
          <w:sz w:val="22"/>
          <w:szCs w:val="22"/>
          <w:lang w:val="en-GB"/>
        </w:rPr>
        <w:t>as read with</w:t>
      </w:r>
      <w:r w:rsidR="00870A63">
        <w:rPr>
          <w:rFonts w:ascii="Avenir Next" w:hAnsi="Avenir Next" w:cs="Arial"/>
          <w:b/>
          <w:color w:val="808080" w:themeColor="background1" w:themeShade="80"/>
          <w:sz w:val="22"/>
          <w:szCs w:val="22"/>
          <w:lang w:val="en-GB"/>
        </w:rPr>
        <w:t xml:space="preserve"> Schedule 2 of the Act</w:t>
      </w:r>
      <w:r>
        <w:rPr>
          <w:rFonts w:ascii="Avenir Next" w:hAnsi="Avenir Next" w:cs="Arial"/>
          <w:color w:val="808080" w:themeColor="background1" w:themeShade="80"/>
          <w:sz w:val="22"/>
          <w:szCs w:val="22"/>
          <w:lang w:val="en-GB"/>
        </w:rPr>
        <w:t xml:space="preserve">, </w:t>
      </w:r>
      <w:r w:rsidR="00870A63">
        <w:rPr>
          <w:rFonts w:ascii="Avenir Next" w:hAnsi="Avenir Next" w:cs="Arial"/>
          <w:color w:val="808080" w:themeColor="background1" w:themeShade="80"/>
          <w:sz w:val="22"/>
          <w:szCs w:val="22"/>
          <w:lang w:val="en-GB"/>
        </w:rPr>
        <w:t xml:space="preserve">sums due to employees as among the debts that rank in priority over other debts in the case of an </w:t>
      </w:r>
      <w:r w:rsidRPr="00163B11">
        <w:rPr>
          <w:rFonts w:ascii="Avenir Next" w:hAnsi="Avenir Next" w:cs="Arial"/>
          <w:color w:val="808080" w:themeColor="background1" w:themeShade="80"/>
          <w:sz w:val="22"/>
          <w:szCs w:val="22"/>
          <w:lang w:val="en-GB"/>
        </w:rPr>
        <w:t>insolvent company</w:t>
      </w:r>
      <w:r w:rsidR="00870A63">
        <w:rPr>
          <w:rFonts w:ascii="Avenir Next" w:hAnsi="Avenir Next" w:cs="Arial"/>
          <w:color w:val="808080" w:themeColor="background1" w:themeShade="80"/>
          <w:sz w:val="22"/>
          <w:szCs w:val="22"/>
          <w:lang w:val="en-GB"/>
        </w:rPr>
        <w:t xml:space="preserve">. These debts are referred to as preferential debts. </w:t>
      </w:r>
      <w:r w:rsidR="00596F01">
        <w:rPr>
          <w:rFonts w:ascii="Avenir Next" w:hAnsi="Avenir Next" w:cs="Arial"/>
          <w:color w:val="808080" w:themeColor="background1" w:themeShade="80"/>
          <w:sz w:val="22"/>
          <w:szCs w:val="22"/>
          <w:lang w:val="en-GB"/>
        </w:rPr>
        <w:t xml:space="preserve">The unpaid </w:t>
      </w:r>
      <w:r w:rsidR="00596F01" w:rsidRPr="00596F01">
        <w:rPr>
          <w:rFonts w:ascii="Avenir Next" w:hAnsi="Avenir Next" w:cs="Arial"/>
          <w:color w:val="808080" w:themeColor="background1" w:themeShade="80"/>
          <w:sz w:val="22"/>
          <w:szCs w:val="22"/>
          <w:lang w:val="en-GB"/>
        </w:rPr>
        <w:t xml:space="preserve">employees can claim their unpaid wages, salaries, and </w:t>
      </w:r>
      <w:r w:rsidR="00596F01">
        <w:rPr>
          <w:rFonts w:ascii="Avenir Next" w:hAnsi="Avenir Next" w:cs="Arial"/>
          <w:color w:val="808080" w:themeColor="background1" w:themeShade="80"/>
          <w:sz w:val="22"/>
          <w:szCs w:val="22"/>
          <w:lang w:val="en-GB"/>
        </w:rPr>
        <w:t xml:space="preserve">any </w:t>
      </w:r>
      <w:r w:rsidR="00596F01" w:rsidRPr="00596F01">
        <w:rPr>
          <w:rFonts w:ascii="Avenir Next" w:hAnsi="Avenir Next" w:cs="Arial"/>
          <w:color w:val="808080" w:themeColor="background1" w:themeShade="80"/>
          <w:sz w:val="22"/>
          <w:szCs w:val="22"/>
          <w:lang w:val="en-GB"/>
        </w:rPr>
        <w:t xml:space="preserve">other employment benefits as preferential debts in the event of Punk Lizard's liquidation. </w:t>
      </w:r>
    </w:p>
    <w:p w14:paraId="517FF674" w14:textId="77777777" w:rsidR="00596F01" w:rsidRDefault="00596F01" w:rsidP="00870A63">
      <w:pPr>
        <w:pStyle w:val="ListParagraph"/>
        <w:ind w:left="426"/>
        <w:jc w:val="both"/>
        <w:rPr>
          <w:rFonts w:ascii="Avenir Next" w:hAnsi="Avenir Next" w:cs="Arial"/>
          <w:color w:val="808080" w:themeColor="background1" w:themeShade="80"/>
          <w:sz w:val="22"/>
          <w:szCs w:val="22"/>
          <w:lang w:val="en-GB"/>
        </w:rPr>
      </w:pPr>
    </w:p>
    <w:p w14:paraId="02BB1CB6" w14:textId="5C472021" w:rsidR="00A21CBD" w:rsidRPr="00870A63" w:rsidRDefault="00596F01" w:rsidP="00870A63">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their position as creditors, they can petition the Grand Court for the Company to be wound up on the basis that the Company is </w:t>
      </w:r>
      <w:r w:rsidRPr="00596F01">
        <w:rPr>
          <w:rFonts w:ascii="Avenir Next" w:hAnsi="Avenir Next" w:cs="Arial"/>
          <w:color w:val="808080" w:themeColor="background1" w:themeShade="80"/>
          <w:sz w:val="22"/>
          <w:szCs w:val="22"/>
          <w:lang w:val="en-GB"/>
        </w:rPr>
        <w:t>unable to pay its debts</w:t>
      </w:r>
      <w:r>
        <w:rPr>
          <w:rFonts w:ascii="Avenir Next" w:hAnsi="Avenir Next" w:cs="Arial"/>
          <w:color w:val="808080" w:themeColor="background1" w:themeShade="80"/>
          <w:sz w:val="22"/>
          <w:szCs w:val="22"/>
          <w:lang w:val="en-GB"/>
        </w:rPr>
        <w:t xml:space="preserve">. </w:t>
      </w:r>
    </w:p>
    <w:p w14:paraId="3185726F" w14:textId="77777777" w:rsidR="001E4F2C" w:rsidRPr="001E4F2C" w:rsidRDefault="001E4F2C" w:rsidP="001E4F2C">
      <w:pPr>
        <w:ind w:left="66"/>
        <w:jc w:val="both"/>
        <w:rPr>
          <w:rFonts w:ascii="Avenir Next" w:hAnsi="Avenir Next" w:cs="Arial"/>
          <w:sz w:val="22"/>
          <w:szCs w:val="22"/>
          <w:lang w:val="en-GB"/>
        </w:rPr>
      </w:pPr>
    </w:p>
    <w:p w14:paraId="7BEA4BD0"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3F6D8FA9"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2AC0A77E" w14:textId="77777777" w:rsidR="00163B11" w:rsidRDefault="00163B11" w:rsidP="00163B11">
      <w:pPr>
        <w:pStyle w:val="ListParagraph"/>
        <w:ind w:left="432"/>
        <w:contextualSpacing w:val="0"/>
        <w:jc w:val="both"/>
        <w:rPr>
          <w:rFonts w:ascii="Avenir Next" w:hAnsi="Avenir Next" w:cs="Arial"/>
          <w:color w:val="808080" w:themeColor="background1" w:themeShade="80"/>
          <w:sz w:val="22"/>
          <w:szCs w:val="22"/>
          <w:lang w:val="en-GB"/>
        </w:rPr>
      </w:pPr>
      <w:r w:rsidRPr="00163B11">
        <w:rPr>
          <w:rFonts w:ascii="Avenir Next" w:hAnsi="Avenir Next" w:cs="Arial"/>
          <w:color w:val="808080" w:themeColor="background1" w:themeShade="80"/>
          <w:sz w:val="22"/>
          <w:szCs w:val="22"/>
          <w:lang w:val="en-GB"/>
        </w:rPr>
        <w:t xml:space="preserve">Under </w:t>
      </w:r>
      <w:r w:rsidRPr="00163B11">
        <w:rPr>
          <w:rFonts w:ascii="Avenir Next" w:hAnsi="Avenir Next" w:cs="Arial"/>
          <w:b/>
          <w:color w:val="808080" w:themeColor="background1" w:themeShade="80"/>
          <w:sz w:val="22"/>
          <w:szCs w:val="22"/>
          <w:lang w:val="en-GB"/>
        </w:rPr>
        <w:t>Section 11 [1] of the Grand Court Act</w:t>
      </w:r>
      <w:r w:rsidRPr="00163B11">
        <w:rPr>
          <w:rFonts w:ascii="Avenir Next" w:hAnsi="Avenir Next" w:cs="Arial"/>
          <w:color w:val="808080" w:themeColor="background1" w:themeShade="80"/>
          <w:sz w:val="22"/>
          <w:szCs w:val="22"/>
          <w:lang w:val="en-GB"/>
        </w:rPr>
        <w:t xml:space="preserve">, the Grand Court is vested with the power to appoint a receiver in all cases in which it appears to the Court to be just and convenient to do so. The Court possesses and exercises similar jurisdiction within the Islands as the High Court of Justice and its Divisional Courts in England, as established by the </w:t>
      </w:r>
      <w:r w:rsidRPr="00163B11">
        <w:rPr>
          <w:rFonts w:ascii="Avenir Next" w:hAnsi="Avenir Next" w:cs="Arial"/>
          <w:b/>
          <w:color w:val="808080" w:themeColor="background1" w:themeShade="80"/>
          <w:sz w:val="22"/>
          <w:szCs w:val="22"/>
          <w:lang w:val="en-GB"/>
        </w:rPr>
        <w:t>Senior Courts Act, 1981</w:t>
      </w:r>
      <w:r w:rsidRPr="00163B11">
        <w:rPr>
          <w:rFonts w:ascii="Avenir Next" w:hAnsi="Avenir Next" w:cs="Arial"/>
          <w:color w:val="808080" w:themeColor="background1" w:themeShade="80"/>
          <w:sz w:val="22"/>
          <w:szCs w:val="22"/>
          <w:lang w:val="en-GB"/>
        </w:rPr>
        <w:t xml:space="preserve">, and any subsequent amendments or replacements. </w:t>
      </w:r>
    </w:p>
    <w:p w14:paraId="111B054A" w14:textId="77777777" w:rsidR="00163B11" w:rsidRDefault="00163B11" w:rsidP="00163B11">
      <w:pPr>
        <w:pStyle w:val="ListParagraph"/>
        <w:ind w:left="432"/>
        <w:contextualSpacing w:val="0"/>
        <w:jc w:val="both"/>
        <w:rPr>
          <w:rFonts w:ascii="Avenir Next" w:hAnsi="Avenir Next" w:cs="Arial"/>
          <w:color w:val="808080" w:themeColor="background1" w:themeShade="80"/>
          <w:sz w:val="22"/>
          <w:szCs w:val="22"/>
          <w:lang w:val="en-GB"/>
        </w:rPr>
      </w:pPr>
    </w:p>
    <w:p w14:paraId="20A9F16A" w14:textId="3BE66770" w:rsidR="00A21CBD" w:rsidRPr="00163B11" w:rsidRDefault="00163B11" w:rsidP="00163B11">
      <w:pPr>
        <w:pStyle w:val="ListParagraph"/>
        <w:ind w:left="432"/>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163B11">
        <w:rPr>
          <w:rFonts w:ascii="Avenir Next" w:hAnsi="Avenir Next" w:cs="Arial"/>
          <w:color w:val="808080" w:themeColor="background1" w:themeShade="80"/>
          <w:sz w:val="22"/>
          <w:szCs w:val="22"/>
          <w:lang w:val="en-GB"/>
        </w:rPr>
        <w:t xml:space="preserve">he Cayman Islands Court has jurisdiction over Punk Lizard as it is a company registered in the Cayman Islands. The Grand Court of the Cayman Islands has the authority to hear matters concerning the winding up and restructuring of local companies. </w:t>
      </w:r>
    </w:p>
    <w:p w14:paraId="386A041B" w14:textId="77777777" w:rsidR="00A21CBD" w:rsidRDefault="00A21CBD" w:rsidP="00A21CBD">
      <w:pPr>
        <w:pStyle w:val="ListParagraph"/>
        <w:ind w:left="426"/>
        <w:jc w:val="both"/>
        <w:rPr>
          <w:rFonts w:ascii="Avenir Next" w:hAnsi="Avenir Next" w:cs="Arial"/>
          <w:sz w:val="22"/>
          <w:szCs w:val="22"/>
          <w:lang w:val="en-GB"/>
        </w:rPr>
      </w:pPr>
    </w:p>
    <w:p w14:paraId="6735D5B3"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11622FC5"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0F5A61D0" w14:textId="620B1AF4" w:rsidR="00A21CBD" w:rsidRDefault="006B066F" w:rsidP="006B066F">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Punk can consider appointing a restructuring officer under </w:t>
      </w:r>
      <w:r w:rsidRPr="006B066F">
        <w:rPr>
          <w:rFonts w:ascii="Avenir Next" w:hAnsi="Avenir Next" w:cs="Arial"/>
          <w:b/>
          <w:color w:val="808080" w:themeColor="background1" w:themeShade="80"/>
          <w:sz w:val="22"/>
          <w:szCs w:val="22"/>
          <w:lang w:val="en-GB"/>
        </w:rPr>
        <w:t xml:space="preserve">Section 91B of the Companies Act </w:t>
      </w:r>
      <w:r>
        <w:rPr>
          <w:rFonts w:ascii="Avenir Next" w:hAnsi="Avenir Next" w:cs="Arial"/>
          <w:color w:val="808080" w:themeColor="background1" w:themeShade="80"/>
          <w:sz w:val="22"/>
          <w:szCs w:val="22"/>
          <w:lang w:val="en-GB"/>
        </w:rPr>
        <w:t xml:space="preserve">which states that a </w:t>
      </w:r>
      <w:r w:rsidRPr="006B066F">
        <w:rPr>
          <w:rFonts w:ascii="Avenir Next" w:hAnsi="Avenir Next" w:cs="Arial"/>
          <w:color w:val="808080" w:themeColor="background1" w:themeShade="80"/>
          <w:sz w:val="22"/>
          <w:szCs w:val="22"/>
          <w:lang w:val="en-GB"/>
        </w:rPr>
        <w:t>company may present a petition to the Court for the appointment of a</w:t>
      </w:r>
      <w:r>
        <w:rPr>
          <w:rFonts w:ascii="Avenir Next" w:hAnsi="Avenir Next" w:cs="Arial"/>
          <w:color w:val="808080" w:themeColor="background1" w:themeShade="80"/>
          <w:sz w:val="22"/>
          <w:szCs w:val="22"/>
          <w:lang w:val="en-GB"/>
        </w:rPr>
        <w:t xml:space="preserve"> </w:t>
      </w:r>
      <w:r w:rsidRPr="006B066F">
        <w:rPr>
          <w:rFonts w:ascii="Avenir Next" w:hAnsi="Avenir Next" w:cs="Arial"/>
          <w:color w:val="808080" w:themeColor="background1" w:themeShade="80"/>
          <w:sz w:val="22"/>
          <w:szCs w:val="22"/>
          <w:lang w:val="en-GB"/>
        </w:rPr>
        <w:t>restructuring officer on</w:t>
      </w:r>
      <w:r>
        <w:rPr>
          <w:rFonts w:ascii="Avenir Next" w:hAnsi="Avenir Next" w:cs="Arial"/>
          <w:color w:val="808080" w:themeColor="background1" w:themeShade="80"/>
          <w:sz w:val="22"/>
          <w:szCs w:val="22"/>
          <w:lang w:val="en-GB"/>
        </w:rPr>
        <w:t xml:space="preserve"> </w:t>
      </w:r>
      <w:r w:rsidRPr="006B066F">
        <w:rPr>
          <w:rFonts w:ascii="Avenir Next" w:hAnsi="Avenir Next" w:cs="Arial"/>
          <w:color w:val="808080" w:themeColor="background1" w:themeShade="80"/>
          <w:sz w:val="22"/>
          <w:szCs w:val="22"/>
          <w:lang w:val="en-GB"/>
        </w:rPr>
        <w:t>the grounds that the company</w:t>
      </w:r>
      <w:r>
        <w:rPr>
          <w:rFonts w:ascii="Avenir Next" w:hAnsi="Avenir Next" w:cs="Arial"/>
          <w:color w:val="808080" w:themeColor="background1" w:themeShade="80"/>
          <w:sz w:val="22"/>
          <w:szCs w:val="22"/>
          <w:lang w:val="en-GB"/>
        </w:rPr>
        <w:t xml:space="preserve"> </w:t>
      </w:r>
      <w:r w:rsidRPr="006B066F">
        <w:rPr>
          <w:rFonts w:ascii="Avenir Next" w:hAnsi="Avenir Next" w:cs="Arial"/>
          <w:color w:val="808080" w:themeColor="background1" w:themeShade="80"/>
          <w:sz w:val="22"/>
          <w:szCs w:val="22"/>
          <w:lang w:val="en-GB"/>
        </w:rPr>
        <w:t>is or is likely to become unable to pay its debts; and</w:t>
      </w:r>
      <w:r>
        <w:rPr>
          <w:rFonts w:ascii="Avenir Next" w:hAnsi="Avenir Next" w:cs="Arial"/>
          <w:color w:val="808080" w:themeColor="background1" w:themeShade="80"/>
          <w:sz w:val="22"/>
          <w:szCs w:val="22"/>
          <w:lang w:val="en-GB"/>
        </w:rPr>
        <w:t xml:space="preserve"> </w:t>
      </w:r>
      <w:r w:rsidRPr="006B066F">
        <w:rPr>
          <w:rFonts w:ascii="Avenir Next" w:hAnsi="Avenir Next" w:cs="Arial"/>
          <w:color w:val="808080" w:themeColor="background1" w:themeShade="80"/>
          <w:sz w:val="22"/>
          <w:szCs w:val="22"/>
          <w:lang w:val="en-GB"/>
        </w:rPr>
        <w:t>intends to present a compromise or arrangement to</w:t>
      </w:r>
      <w:r>
        <w:rPr>
          <w:rFonts w:ascii="Avenir Next" w:hAnsi="Avenir Next" w:cs="Arial"/>
          <w:color w:val="808080" w:themeColor="background1" w:themeShade="80"/>
          <w:sz w:val="22"/>
          <w:szCs w:val="22"/>
          <w:lang w:val="en-GB"/>
        </w:rPr>
        <w:t xml:space="preserve"> </w:t>
      </w:r>
      <w:r w:rsidRPr="006B066F">
        <w:rPr>
          <w:rFonts w:ascii="Avenir Next" w:hAnsi="Avenir Next" w:cs="Arial"/>
          <w:color w:val="808080" w:themeColor="background1" w:themeShade="80"/>
          <w:sz w:val="22"/>
          <w:szCs w:val="22"/>
          <w:lang w:val="en-GB"/>
        </w:rPr>
        <w:t xml:space="preserve">its creditors </w:t>
      </w:r>
      <w:r>
        <w:rPr>
          <w:rFonts w:ascii="Avenir Next" w:hAnsi="Avenir Next" w:cs="Arial"/>
          <w:color w:val="808080" w:themeColor="background1" w:themeShade="80"/>
          <w:sz w:val="22"/>
          <w:szCs w:val="22"/>
          <w:lang w:val="en-GB"/>
        </w:rPr>
        <w:t>or a particular class of creditors</w:t>
      </w:r>
      <w:r w:rsidRPr="006B066F">
        <w:rPr>
          <w:rFonts w:ascii="Avenir Next" w:hAnsi="Avenir Next" w:cs="Arial"/>
          <w:color w:val="808080" w:themeColor="background1" w:themeShade="80"/>
          <w:sz w:val="22"/>
          <w:szCs w:val="22"/>
          <w:lang w:val="en-GB"/>
        </w:rPr>
        <w:t>.</w:t>
      </w:r>
    </w:p>
    <w:p w14:paraId="1724B83F" w14:textId="76BD007B" w:rsidR="006B066F" w:rsidRDefault="006B066F" w:rsidP="006B066F">
      <w:pPr>
        <w:pStyle w:val="ListParagraph"/>
        <w:ind w:left="426"/>
        <w:jc w:val="both"/>
        <w:rPr>
          <w:rFonts w:ascii="Avenir Next" w:hAnsi="Avenir Next" w:cs="Arial"/>
          <w:color w:val="808080" w:themeColor="background1" w:themeShade="80"/>
          <w:sz w:val="22"/>
          <w:szCs w:val="22"/>
          <w:lang w:val="en-GB"/>
        </w:rPr>
      </w:pPr>
    </w:p>
    <w:p w14:paraId="4BC86658" w14:textId="48F7F305" w:rsidR="006B066F" w:rsidRDefault="00367010" w:rsidP="006B066F">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w:t>
      </w:r>
      <w:r w:rsidRPr="00367010">
        <w:rPr>
          <w:rFonts w:ascii="Avenir Next" w:hAnsi="Avenir Next" w:cs="Arial"/>
          <w:b/>
          <w:color w:val="808080" w:themeColor="background1" w:themeShade="80"/>
          <w:sz w:val="22"/>
          <w:szCs w:val="22"/>
          <w:lang w:val="en-GB"/>
        </w:rPr>
        <w:t>Section 91G</w:t>
      </w:r>
      <w:r>
        <w:rPr>
          <w:rFonts w:ascii="Avenir Next" w:hAnsi="Avenir Next" w:cs="Arial"/>
          <w:color w:val="808080" w:themeColor="background1" w:themeShade="80"/>
          <w:sz w:val="22"/>
          <w:szCs w:val="22"/>
          <w:lang w:val="en-GB"/>
        </w:rPr>
        <w:t xml:space="preserve"> </w:t>
      </w:r>
      <w:r w:rsidRPr="00367010">
        <w:rPr>
          <w:rFonts w:ascii="Avenir Next" w:hAnsi="Avenir Next" w:cs="Arial"/>
          <w:b/>
          <w:color w:val="808080" w:themeColor="background1" w:themeShade="80"/>
          <w:sz w:val="22"/>
          <w:szCs w:val="22"/>
          <w:lang w:val="en-GB"/>
        </w:rPr>
        <w:t>of the Companies Act</w:t>
      </w:r>
      <w:r>
        <w:rPr>
          <w:rFonts w:ascii="Avenir Next" w:hAnsi="Avenir Next" w:cs="Arial"/>
          <w:color w:val="808080" w:themeColor="background1" w:themeShade="80"/>
          <w:sz w:val="22"/>
          <w:szCs w:val="22"/>
          <w:lang w:val="en-GB"/>
        </w:rPr>
        <w:t>, Punk Lizard will enjoy a moratorium over all legal proceedings thus preventing the creditors from</w:t>
      </w:r>
      <w:r w:rsidR="000E0B9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commencing any action against the Company. The enabling provision states that: - </w:t>
      </w:r>
    </w:p>
    <w:p w14:paraId="0B305038" w14:textId="57823D66" w:rsidR="00367010" w:rsidRDefault="00367010" w:rsidP="006B066F">
      <w:pPr>
        <w:pStyle w:val="ListParagraph"/>
        <w:ind w:left="426"/>
        <w:jc w:val="both"/>
        <w:rPr>
          <w:rFonts w:ascii="Avenir Next" w:hAnsi="Avenir Next" w:cs="Arial"/>
          <w:color w:val="808080" w:themeColor="background1" w:themeShade="80"/>
          <w:sz w:val="22"/>
          <w:szCs w:val="22"/>
          <w:lang w:val="en-GB"/>
        </w:rPr>
      </w:pPr>
    </w:p>
    <w:p w14:paraId="3A7A4FB7" w14:textId="6E84DA69" w:rsidR="00367010" w:rsidRDefault="00367010" w:rsidP="00D978D1">
      <w:pPr>
        <w:pStyle w:val="ListParagraph"/>
        <w:contextualSpacing w:val="0"/>
        <w:jc w:val="both"/>
        <w:rPr>
          <w:rFonts w:ascii="Avenir Next" w:hAnsi="Avenir Next" w:cs="Arial"/>
          <w:i/>
          <w:color w:val="808080" w:themeColor="background1" w:themeShade="80"/>
          <w:sz w:val="22"/>
          <w:szCs w:val="22"/>
          <w:lang w:val="en-GB"/>
        </w:rPr>
      </w:pPr>
      <w:r w:rsidRPr="00367010">
        <w:rPr>
          <w:rFonts w:ascii="Avenir Next" w:hAnsi="Avenir Next" w:cs="Arial"/>
          <w:i/>
          <w:color w:val="808080" w:themeColor="background1" w:themeShade="80"/>
          <w:sz w:val="22"/>
          <w:szCs w:val="22"/>
          <w:lang w:val="en-GB"/>
        </w:rPr>
        <w:t xml:space="preserve">“At any time after the presentation of a petition for the appointment of a restructuring officer under section 91B, but before an order for the appointment of a restructuring officer is made, and when the petition has not been withdrawn or dismissed; and when an order for the appointment of a restructuring officer is made, until the order appointing the restructuring officer has been discharged, </w:t>
      </w:r>
      <w:r w:rsidRPr="00367010">
        <w:rPr>
          <w:rFonts w:ascii="Avenir Next" w:hAnsi="Avenir Next" w:cs="Arial"/>
          <w:i/>
          <w:color w:val="808080" w:themeColor="background1" w:themeShade="80"/>
          <w:sz w:val="22"/>
          <w:szCs w:val="22"/>
          <w:u w:val="single"/>
          <w:lang w:val="en-GB"/>
        </w:rPr>
        <w:t xml:space="preserve">no suit, action or other proceedings, other than criminal </w:t>
      </w:r>
      <w:r w:rsidRPr="00367010">
        <w:rPr>
          <w:rFonts w:ascii="Avenir Next" w:hAnsi="Avenir Next" w:cs="Arial"/>
          <w:i/>
          <w:color w:val="808080" w:themeColor="background1" w:themeShade="80"/>
          <w:sz w:val="22"/>
          <w:szCs w:val="22"/>
          <w:u w:val="single"/>
          <w:lang w:val="en-GB"/>
        </w:rPr>
        <w:lastRenderedPageBreak/>
        <w:t>proceedings, shall be proceeded with or commenced against the company, no resolution shall be passed for the company to be wound up and no winding up petition may be presented against the company, except with the leave of the Court and subject to such terms as the Court may impose</w:t>
      </w:r>
      <w:r w:rsidRPr="00367010">
        <w:rPr>
          <w:rFonts w:ascii="Avenir Next" w:hAnsi="Avenir Next" w:cs="Arial"/>
          <w:i/>
          <w:color w:val="808080" w:themeColor="background1" w:themeShade="80"/>
          <w:sz w:val="22"/>
          <w:szCs w:val="22"/>
          <w:lang w:val="en-GB"/>
        </w:rPr>
        <w:t>.”</w:t>
      </w:r>
    </w:p>
    <w:p w14:paraId="3B24DF19" w14:textId="77777777" w:rsidR="00D978D1" w:rsidRDefault="00D978D1" w:rsidP="00D978D1">
      <w:pPr>
        <w:pStyle w:val="ListParagraph"/>
        <w:ind w:left="426"/>
        <w:contextualSpacing w:val="0"/>
        <w:jc w:val="both"/>
        <w:rPr>
          <w:rFonts w:ascii="Avenir Next" w:hAnsi="Avenir Next" w:cs="Arial"/>
          <w:color w:val="808080" w:themeColor="background1" w:themeShade="80"/>
          <w:sz w:val="22"/>
          <w:szCs w:val="22"/>
          <w:lang w:val="en-GB"/>
        </w:rPr>
      </w:pPr>
    </w:p>
    <w:p w14:paraId="7AC5A9C7" w14:textId="4D54DE51" w:rsidR="00D978D1" w:rsidRDefault="00D978D1" w:rsidP="00D978D1">
      <w:pPr>
        <w:pStyle w:val="ListParagraph"/>
        <w:ind w:left="426"/>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can also consider appointing a provisional liquidator under </w:t>
      </w:r>
      <w:r w:rsidRPr="00D978D1">
        <w:rPr>
          <w:rFonts w:ascii="Avenir Next" w:hAnsi="Avenir Next" w:cs="Arial"/>
          <w:b/>
          <w:bCs/>
          <w:color w:val="808080" w:themeColor="background1" w:themeShade="80"/>
          <w:sz w:val="22"/>
          <w:szCs w:val="22"/>
          <w:lang w:val="en-GB"/>
        </w:rPr>
        <w:t>Section 104 of the Companies Act</w:t>
      </w:r>
      <w:r>
        <w:rPr>
          <w:rFonts w:ascii="Avenir Next" w:hAnsi="Avenir Next" w:cs="Arial"/>
          <w:color w:val="808080" w:themeColor="background1" w:themeShade="80"/>
          <w:sz w:val="22"/>
          <w:szCs w:val="22"/>
          <w:lang w:val="en-GB"/>
        </w:rPr>
        <w:t xml:space="preserve">. </w:t>
      </w:r>
      <w:r w:rsidR="00553236">
        <w:rPr>
          <w:rFonts w:ascii="Avenir Next" w:hAnsi="Avenir Next" w:cs="Arial"/>
          <w:color w:val="808080" w:themeColor="background1" w:themeShade="80"/>
          <w:sz w:val="22"/>
          <w:szCs w:val="22"/>
          <w:lang w:val="en-GB"/>
        </w:rPr>
        <w:t>This can assist the Company in securing</w:t>
      </w:r>
      <w:r w:rsidR="00553236" w:rsidRPr="00553236">
        <w:rPr>
          <w:rFonts w:ascii="Avenir Next" w:hAnsi="Avenir Next" w:cs="Arial"/>
          <w:color w:val="808080" w:themeColor="background1" w:themeShade="80"/>
          <w:sz w:val="22"/>
          <w:szCs w:val="22"/>
          <w:lang w:val="en-GB"/>
        </w:rPr>
        <w:t xml:space="preserve"> a moratorium against </w:t>
      </w:r>
      <w:r w:rsidR="00553236">
        <w:rPr>
          <w:rFonts w:ascii="Avenir Next" w:hAnsi="Avenir Next" w:cs="Arial"/>
          <w:color w:val="808080" w:themeColor="background1" w:themeShade="80"/>
          <w:sz w:val="22"/>
          <w:szCs w:val="22"/>
          <w:lang w:val="en-GB"/>
        </w:rPr>
        <w:t xml:space="preserve">the </w:t>
      </w:r>
      <w:r w:rsidR="00553236" w:rsidRPr="00553236">
        <w:rPr>
          <w:rFonts w:ascii="Avenir Next" w:hAnsi="Avenir Next" w:cs="Arial"/>
          <w:color w:val="808080" w:themeColor="background1" w:themeShade="80"/>
          <w:sz w:val="22"/>
          <w:szCs w:val="22"/>
          <w:lang w:val="en-GB"/>
        </w:rPr>
        <w:t xml:space="preserve">creditor’s claims </w:t>
      </w:r>
      <w:r w:rsidR="00553236">
        <w:rPr>
          <w:rFonts w:ascii="Avenir Next" w:hAnsi="Avenir Next" w:cs="Arial"/>
          <w:color w:val="808080" w:themeColor="background1" w:themeShade="80"/>
          <w:sz w:val="22"/>
          <w:szCs w:val="22"/>
          <w:lang w:val="en-GB"/>
        </w:rPr>
        <w:t xml:space="preserve">while a </w:t>
      </w:r>
      <w:r w:rsidR="00553236" w:rsidRPr="00553236">
        <w:rPr>
          <w:rFonts w:ascii="Avenir Next" w:hAnsi="Avenir Next" w:cs="Arial"/>
          <w:color w:val="808080" w:themeColor="background1" w:themeShade="80"/>
          <w:sz w:val="22"/>
          <w:szCs w:val="22"/>
          <w:lang w:val="en-GB"/>
        </w:rPr>
        <w:t xml:space="preserve">compromise or </w:t>
      </w:r>
      <w:r w:rsidR="00553236">
        <w:rPr>
          <w:rFonts w:ascii="Avenir Next" w:hAnsi="Avenir Next" w:cs="Arial"/>
          <w:color w:val="808080" w:themeColor="background1" w:themeShade="80"/>
          <w:sz w:val="22"/>
          <w:szCs w:val="22"/>
          <w:lang w:val="en-GB"/>
        </w:rPr>
        <w:t xml:space="preserve">scheme of </w:t>
      </w:r>
      <w:r w:rsidR="00553236" w:rsidRPr="00553236">
        <w:rPr>
          <w:rFonts w:ascii="Avenir Next" w:hAnsi="Avenir Next" w:cs="Arial"/>
          <w:color w:val="808080" w:themeColor="background1" w:themeShade="80"/>
          <w:sz w:val="22"/>
          <w:szCs w:val="22"/>
          <w:lang w:val="en-GB"/>
        </w:rPr>
        <w:t>arrangement</w:t>
      </w:r>
      <w:r w:rsidR="00553236">
        <w:rPr>
          <w:rFonts w:ascii="Avenir Next" w:hAnsi="Avenir Next" w:cs="Arial"/>
          <w:color w:val="808080" w:themeColor="background1" w:themeShade="80"/>
          <w:sz w:val="22"/>
          <w:szCs w:val="22"/>
          <w:lang w:val="en-GB"/>
        </w:rPr>
        <w:t xml:space="preserve"> with the Company’s creditors is being negotiated. </w:t>
      </w:r>
      <w:r>
        <w:rPr>
          <w:rFonts w:ascii="Avenir Next" w:hAnsi="Avenir Next" w:cs="Arial"/>
          <w:color w:val="808080" w:themeColor="background1" w:themeShade="80"/>
          <w:sz w:val="22"/>
          <w:szCs w:val="22"/>
          <w:lang w:val="en-GB"/>
        </w:rPr>
        <w:t xml:space="preserve">This, however, may </w:t>
      </w:r>
      <w:r w:rsidR="00553236">
        <w:rPr>
          <w:rFonts w:ascii="Avenir Next" w:hAnsi="Avenir Next" w:cs="Arial"/>
          <w:color w:val="808080" w:themeColor="background1" w:themeShade="80"/>
          <w:sz w:val="22"/>
          <w:szCs w:val="22"/>
          <w:lang w:val="en-GB"/>
        </w:rPr>
        <w:t>bring</w:t>
      </w:r>
      <w:r>
        <w:rPr>
          <w:rFonts w:ascii="Avenir Next" w:hAnsi="Avenir Next" w:cs="Arial"/>
          <w:color w:val="808080" w:themeColor="background1" w:themeShade="80"/>
          <w:sz w:val="22"/>
          <w:szCs w:val="22"/>
          <w:lang w:val="en-GB"/>
        </w:rPr>
        <w:t xml:space="preserve"> bad repute to the Company </w:t>
      </w:r>
      <w:r w:rsidR="00553236">
        <w:rPr>
          <w:rFonts w:ascii="Avenir Next" w:hAnsi="Avenir Next" w:cs="Arial"/>
          <w:color w:val="808080" w:themeColor="background1" w:themeShade="80"/>
          <w:sz w:val="22"/>
          <w:szCs w:val="22"/>
          <w:lang w:val="en-GB"/>
        </w:rPr>
        <w:t xml:space="preserve">and damage the standing of the Company in the eyes of investors or suppliers. </w:t>
      </w:r>
      <w:r>
        <w:rPr>
          <w:rFonts w:ascii="Avenir Next" w:hAnsi="Avenir Next" w:cs="Arial"/>
          <w:color w:val="808080" w:themeColor="background1" w:themeShade="80"/>
          <w:sz w:val="22"/>
          <w:szCs w:val="22"/>
          <w:lang w:val="en-GB"/>
        </w:rPr>
        <w:t xml:space="preserve"> </w:t>
      </w:r>
    </w:p>
    <w:p w14:paraId="36F1082A" w14:textId="77777777" w:rsidR="00A21CBD" w:rsidRDefault="00A21CBD" w:rsidP="00D978D1">
      <w:pPr>
        <w:pStyle w:val="ListParagraph"/>
        <w:ind w:left="426"/>
        <w:contextualSpacing w:val="0"/>
        <w:jc w:val="both"/>
        <w:rPr>
          <w:rFonts w:ascii="Avenir Next" w:hAnsi="Avenir Next" w:cs="Arial"/>
          <w:sz w:val="22"/>
          <w:szCs w:val="22"/>
          <w:lang w:val="en-GB"/>
        </w:rPr>
      </w:pPr>
    </w:p>
    <w:p w14:paraId="55A5F397"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5006EB3A"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0FF795E6" w14:textId="77777777" w:rsidR="00C1597C" w:rsidRDefault="00107EB8" w:rsidP="00107EB8">
      <w:pPr>
        <w:pStyle w:val="ListParagraph"/>
        <w:ind w:left="432"/>
        <w:contextualSpacing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Based on </w:t>
      </w:r>
      <w:r w:rsidRPr="00107EB8">
        <w:rPr>
          <w:rFonts w:ascii="Avenir Next" w:hAnsi="Avenir Next" w:cs="Arial"/>
          <w:b/>
          <w:color w:val="808080" w:themeColor="background1" w:themeShade="80"/>
          <w:sz w:val="22"/>
          <w:szCs w:val="22"/>
        </w:rPr>
        <w:t>Section 91</w:t>
      </w:r>
      <w:r w:rsidR="000E0B90" w:rsidRPr="00107EB8">
        <w:rPr>
          <w:rFonts w:ascii="Avenir Next" w:hAnsi="Avenir Next" w:cs="Arial"/>
          <w:b/>
          <w:color w:val="808080" w:themeColor="background1" w:themeShade="80"/>
          <w:sz w:val="22"/>
          <w:szCs w:val="22"/>
        </w:rPr>
        <w:t>B (</w:t>
      </w:r>
      <w:r w:rsidRPr="00107EB8">
        <w:rPr>
          <w:rFonts w:ascii="Avenir Next" w:hAnsi="Avenir Next" w:cs="Arial"/>
          <w:b/>
          <w:color w:val="808080" w:themeColor="background1" w:themeShade="80"/>
          <w:sz w:val="22"/>
          <w:szCs w:val="22"/>
        </w:rPr>
        <w:t>4) of the Companies Act</w:t>
      </w:r>
      <w:r>
        <w:rPr>
          <w:rFonts w:ascii="Avenir Next" w:hAnsi="Avenir Next" w:cs="Arial"/>
          <w:color w:val="808080" w:themeColor="background1" w:themeShade="80"/>
          <w:sz w:val="22"/>
          <w:szCs w:val="22"/>
        </w:rPr>
        <w:t xml:space="preserve">, a </w:t>
      </w:r>
      <w:r w:rsidRPr="00107EB8">
        <w:rPr>
          <w:rFonts w:ascii="Avenir Next" w:hAnsi="Avenir Next" w:cs="Arial"/>
          <w:color w:val="808080" w:themeColor="background1" w:themeShade="80"/>
          <w:sz w:val="22"/>
          <w:szCs w:val="22"/>
        </w:rPr>
        <w:t>restructuring officer appointed by the Court</w:t>
      </w:r>
      <w:r w:rsidR="000E0B90">
        <w:rPr>
          <w:rFonts w:ascii="Avenir Next" w:hAnsi="Avenir Next" w:cs="Arial"/>
          <w:color w:val="808080" w:themeColor="background1" w:themeShade="80"/>
          <w:sz w:val="22"/>
          <w:szCs w:val="22"/>
        </w:rPr>
        <w:t xml:space="preserve"> </w:t>
      </w:r>
      <w:r w:rsidRPr="00107EB8">
        <w:rPr>
          <w:rFonts w:ascii="Avenir Next" w:hAnsi="Avenir Next" w:cs="Arial"/>
          <w:color w:val="808080" w:themeColor="background1" w:themeShade="80"/>
          <w:sz w:val="22"/>
          <w:szCs w:val="22"/>
        </w:rPr>
        <w:t xml:space="preserve">shall have the powers and carry out only such functions </w:t>
      </w:r>
      <w:r w:rsidRPr="000E0B90">
        <w:rPr>
          <w:rFonts w:ascii="Avenir Next" w:hAnsi="Avenir Next" w:cs="Arial"/>
          <w:color w:val="808080" w:themeColor="background1" w:themeShade="80"/>
          <w:sz w:val="22"/>
          <w:szCs w:val="22"/>
          <w:u w:val="single"/>
        </w:rPr>
        <w:t>as the Court may confer on the restructuring officer in the order appointing the restructuring officer, including the power to act on behalf of the company</w:t>
      </w:r>
      <w:r w:rsidRPr="00107EB8">
        <w:rPr>
          <w:rFonts w:ascii="Avenir Next" w:hAnsi="Avenir Next" w:cs="Arial"/>
          <w:color w:val="808080" w:themeColor="background1" w:themeShade="80"/>
          <w:sz w:val="22"/>
          <w:szCs w:val="22"/>
        </w:rPr>
        <w:t>.</w:t>
      </w:r>
      <w:r w:rsidR="000E0B90">
        <w:rPr>
          <w:rFonts w:ascii="Avenir Next" w:hAnsi="Avenir Next" w:cs="Arial"/>
          <w:color w:val="808080" w:themeColor="background1" w:themeShade="80"/>
          <w:sz w:val="22"/>
          <w:szCs w:val="22"/>
        </w:rPr>
        <w:t xml:space="preserve"> </w:t>
      </w:r>
    </w:p>
    <w:p w14:paraId="7A2572FF" w14:textId="77777777" w:rsidR="00C1597C" w:rsidRDefault="00C1597C" w:rsidP="00107EB8">
      <w:pPr>
        <w:pStyle w:val="ListParagraph"/>
        <w:ind w:left="432"/>
        <w:contextualSpacing w:val="0"/>
        <w:jc w:val="both"/>
        <w:rPr>
          <w:rFonts w:ascii="Avenir Next" w:hAnsi="Avenir Next" w:cs="Arial"/>
          <w:color w:val="808080" w:themeColor="background1" w:themeShade="80"/>
          <w:sz w:val="22"/>
          <w:szCs w:val="22"/>
        </w:rPr>
      </w:pPr>
    </w:p>
    <w:p w14:paraId="3791BF54" w14:textId="283E53E6" w:rsidR="00A21CBD" w:rsidRPr="00107EB8" w:rsidRDefault="000E0B90" w:rsidP="00107EB8">
      <w:pPr>
        <w:pStyle w:val="ListParagraph"/>
        <w:ind w:left="432"/>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Based on the directions to be given by the Court, </w:t>
      </w:r>
      <w:r w:rsidRPr="000E0B90">
        <w:rPr>
          <w:rFonts w:ascii="Avenir Next" w:hAnsi="Avenir Next" w:cs="Arial"/>
          <w:color w:val="808080" w:themeColor="background1" w:themeShade="80"/>
          <w:sz w:val="22"/>
          <w:szCs w:val="22"/>
        </w:rPr>
        <w:t xml:space="preserve">the Kraken family can continue to play a part in running Punk Lizard during the restructuring process if the court grants </w:t>
      </w:r>
      <w:r>
        <w:rPr>
          <w:rFonts w:ascii="Avenir Next" w:hAnsi="Avenir Next" w:cs="Arial"/>
          <w:color w:val="808080" w:themeColor="background1" w:themeShade="80"/>
          <w:sz w:val="22"/>
          <w:szCs w:val="22"/>
        </w:rPr>
        <w:t>such orders</w:t>
      </w:r>
      <w:r w:rsidRPr="000E0B9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existing management can </w:t>
      </w:r>
      <w:r w:rsidRPr="000E0B90">
        <w:rPr>
          <w:rFonts w:ascii="Avenir Next" w:hAnsi="Avenir Next" w:cs="Arial"/>
          <w:color w:val="808080" w:themeColor="background1" w:themeShade="80"/>
          <w:sz w:val="22"/>
          <w:szCs w:val="22"/>
        </w:rPr>
        <w:t xml:space="preserve">retain control over the day-to-day operations of the company under the </w:t>
      </w:r>
      <w:r>
        <w:rPr>
          <w:rFonts w:ascii="Avenir Next" w:hAnsi="Avenir Next" w:cs="Arial"/>
          <w:color w:val="808080" w:themeColor="background1" w:themeShade="80"/>
          <w:sz w:val="22"/>
          <w:szCs w:val="22"/>
        </w:rPr>
        <w:t xml:space="preserve">supervision of the restructuring officer. </w:t>
      </w:r>
    </w:p>
    <w:p w14:paraId="07FF2343" w14:textId="77777777" w:rsidR="004C447D" w:rsidRPr="004C447D" w:rsidRDefault="004C447D" w:rsidP="004C447D">
      <w:pPr>
        <w:jc w:val="both"/>
        <w:rPr>
          <w:rFonts w:ascii="Avenir Next" w:hAnsi="Avenir Next" w:cs="Arial"/>
          <w:sz w:val="22"/>
          <w:szCs w:val="22"/>
          <w:lang w:val="en-GB"/>
        </w:rPr>
      </w:pPr>
    </w:p>
    <w:p w14:paraId="6EC478DA" w14:textId="77777777" w:rsidR="00A21CBD" w:rsidRDefault="00D32180" w:rsidP="00B33C5A">
      <w:pPr>
        <w:pStyle w:val="ListParagraph"/>
        <w:numPr>
          <w:ilvl w:val="0"/>
          <w:numId w:val="1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bookmarkStart w:id="8" w:name="_Hlk170844632"/>
      <w:bookmarkEnd w:id="6"/>
    </w:p>
    <w:p w14:paraId="4C742E75" w14:textId="77777777" w:rsidR="00A21CBD" w:rsidRDefault="00A21CBD" w:rsidP="00A21CBD">
      <w:pPr>
        <w:pStyle w:val="ListParagraph"/>
        <w:ind w:left="426"/>
        <w:jc w:val="both"/>
        <w:rPr>
          <w:rFonts w:ascii="Avenir Next" w:hAnsi="Avenir Next" w:cs="Arial"/>
          <w:color w:val="808080" w:themeColor="background1" w:themeShade="80"/>
          <w:sz w:val="22"/>
          <w:szCs w:val="22"/>
          <w:lang w:val="en-GB"/>
        </w:rPr>
      </w:pPr>
    </w:p>
    <w:p w14:paraId="327E166D" w14:textId="313595D8" w:rsidR="00B33C5A" w:rsidRDefault="000D0F56" w:rsidP="00B33C5A">
      <w:pPr>
        <w:pStyle w:val="ListParagraph"/>
        <w:ind w:left="426"/>
        <w:contextualSpacing w:val="0"/>
        <w:jc w:val="both"/>
        <w:rPr>
          <w:rFonts w:ascii="Avenir Next" w:hAnsi="Avenir Next" w:cs="Arial"/>
          <w:color w:val="808080" w:themeColor="background1" w:themeShade="80"/>
          <w:sz w:val="22"/>
          <w:szCs w:val="22"/>
        </w:rPr>
      </w:pPr>
      <w:r w:rsidRPr="000D0F56">
        <w:rPr>
          <w:rFonts w:ascii="Avenir Next" w:hAnsi="Avenir Next" w:cs="Arial"/>
          <w:color w:val="808080" w:themeColor="background1" w:themeShade="80"/>
          <w:sz w:val="22"/>
          <w:szCs w:val="22"/>
        </w:rPr>
        <w:t xml:space="preserve">The Cayman Islands </w:t>
      </w:r>
      <w:r>
        <w:rPr>
          <w:rFonts w:ascii="Avenir Next" w:hAnsi="Avenir Next" w:cs="Arial"/>
          <w:color w:val="808080" w:themeColor="background1" w:themeShade="80"/>
          <w:sz w:val="22"/>
          <w:szCs w:val="22"/>
        </w:rPr>
        <w:t xml:space="preserve">Court </w:t>
      </w:r>
      <w:r w:rsidRPr="000D0F56">
        <w:rPr>
          <w:rFonts w:ascii="Avenir Next" w:hAnsi="Avenir Next" w:cs="Arial"/>
          <w:color w:val="808080" w:themeColor="background1" w:themeShade="80"/>
          <w:sz w:val="22"/>
          <w:szCs w:val="22"/>
        </w:rPr>
        <w:t>will consider several factors before approving any proposed restructuring</w:t>
      </w:r>
      <w:r w:rsidR="00B33C5A">
        <w:rPr>
          <w:rFonts w:ascii="Avenir Next" w:hAnsi="Avenir Next" w:cs="Arial"/>
          <w:color w:val="808080" w:themeColor="background1" w:themeShade="80"/>
          <w:sz w:val="22"/>
          <w:szCs w:val="22"/>
        </w:rPr>
        <w:t xml:space="preserve">. </w:t>
      </w:r>
      <w:bookmarkStart w:id="9" w:name="_Hlk170848983"/>
      <w:r w:rsidR="00B33C5A">
        <w:rPr>
          <w:rFonts w:ascii="Avenir Next" w:hAnsi="Avenir Next" w:cs="Arial"/>
          <w:color w:val="808080" w:themeColor="background1" w:themeShade="80"/>
          <w:sz w:val="22"/>
          <w:szCs w:val="22"/>
        </w:rPr>
        <w:t xml:space="preserve">These include but are not limited to: - </w:t>
      </w:r>
      <w:bookmarkEnd w:id="9"/>
    </w:p>
    <w:p w14:paraId="6FC24F1D" w14:textId="77777777" w:rsidR="00B33C5A" w:rsidRDefault="00B33C5A" w:rsidP="00B33C5A">
      <w:pPr>
        <w:pStyle w:val="ListParagraph"/>
        <w:ind w:left="426"/>
        <w:contextualSpacing w:val="0"/>
        <w:jc w:val="both"/>
        <w:rPr>
          <w:rFonts w:ascii="Avenir Next" w:hAnsi="Avenir Next" w:cs="Arial"/>
          <w:color w:val="808080" w:themeColor="background1" w:themeShade="80"/>
          <w:sz w:val="22"/>
          <w:szCs w:val="22"/>
        </w:rPr>
      </w:pPr>
    </w:p>
    <w:p w14:paraId="43F39323" w14:textId="697D617E" w:rsidR="00B33C5A" w:rsidRDefault="00B33C5A" w:rsidP="00B33C5A">
      <w:pPr>
        <w:pStyle w:val="ListParagraph"/>
        <w:numPr>
          <w:ilvl w:val="0"/>
          <w:numId w:val="17"/>
        </w:numPr>
        <w:jc w:val="both"/>
        <w:rPr>
          <w:rFonts w:ascii="Avenir Next" w:hAnsi="Avenir Next" w:cs="Arial"/>
          <w:color w:val="808080" w:themeColor="background1" w:themeShade="80"/>
          <w:sz w:val="22"/>
          <w:szCs w:val="22"/>
          <w:lang w:val="en-GB"/>
        </w:rPr>
      </w:pPr>
      <w:r w:rsidRPr="00B33C5A">
        <w:rPr>
          <w:rFonts w:ascii="Avenir Next" w:hAnsi="Avenir Next" w:cs="Arial"/>
          <w:b/>
          <w:color w:val="808080" w:themeColor="background1" w:themeShade="80"/>
          <w:sz w:val="22"/>
          <w:szCs w:val="22"/>
          <w:lang w:val="en-GB"/>
        </w:rPr>
        <w:t>Fair Representation and Approval by Creditors and Members</w:t>
      </w:r>
      <w:r>
        <w:rPr>
          <w:rFonts w:ascii="Avenir Next" w:hAnsi="Avenir Next" w:cs="Arial"/>
          <w:color w:val="808080" w:themeColor="background1" w:themeShade="80"/>
          <w:sz w:val="22"/>
          <w:szCs w:val="22"/>
          <w:lang w:val="en-GB"/>
        </w:rPr>
        <w:t xml:space="preserve"> – </w:t>
      </w:r>
      <w:r w:rsidRPr="00B33C5A">
        <w:rPr>
          <w:rFonts w:ascii="Avenir Next" w:hAnsi="Avenir Next" w:cs="Arial"/>
          <w:b/>
          <w:color w:val="808080" w:themeColor="background1" w:themeShade="80"/>
          <w:sz w:val="22"/>
          <w:szCs w:val="22"/>
          <w:lang w:val="en-GB"/>
        </w:rPr>
        <w:t>Section 91I of the Companies Act</w:t>
      </w:r>
      <w:r w:rsidRPr="00B33C5A">
        <w:rPr>
          <w:rFonts w:ascii="Avenir Next" w:hAnsi="Avenir Next" w:cs="Arial"/>
          <w:color w:val="808080" w:themeColor="background1" w:themeShade="80"/>
          <w:sz w:val="22"/>
          <w:szCs w:val="22"/>
          <w:lang w:val="en-GB"/>
        </w:rPr>
        <w:t xml:space="preserve"> requires that any proposed compromise or arrangement must be approved by a majority in number representing 75% in value of the creditors or class of creditors, or members or class of members present and voting at the meeting summoned by the court.</w:t>
      </w:r>
    </w:p>
    <w:p w14:paraId="4EAACE2A" w14:textId="77777777" w:rsidR="00B33C5A" w:rsidRPr="00B33C5A" w:rsidRDefault="00B33C5A" w:rsidP="00B33C5A">
      <w:pPr>
        <w:pStyle w:val="ListParagraph"/>
        <w:ind w:left="1170"/>
        <w:jc w:val="both"/>
        <w:rPr>
          <w:rFonts w:ascii="Avenir Next" w:hAnsi="Avenir Next" w:cs="Arial"/>
          <w:color w:val="808080" w:themeColor="background1" w:themeShade="80"/>
          <w:sz w:val="22"/>
          <w:szCs w:val="22"/>
          <w:lang w:val="en-GB"/>
        </w:rPr>
      </w:pPr>
    </w:p>
    <w:p w14:paraId="3305DA8A" w14:textId="77777777" w:rsidR="00606B0A" w:rsidRDefault="00B33C5A" w:rsidP="00606B0A">
      <w:pPr>
        <w:pStyle w:val="ListParagraph"/>
        <w:numPr>
          <w:ilvl w:val="0"/>
          <w:numId w:val="17"/>
        </w:numPr>
        <w:contextualSpacing w:val="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Whether </w:t>
      </w:r>
      <w:r w:rsidRPr="00B33C5A">
        <w:rPr>
          <w:rFonts w:ascii="Avenir Next" w:hAnsi="Avenir Next" w:cs="Arial"/>
          <w:color w:val="808080" w:themeColor="background1" w:themeShade="80"/>
          <w:sz w:val="22"/>
          <w:szCs w:val="22"/>
        </w:rPr>
        <w:t>the proposal has been made in good faith and is fair to all parties involved</w:t>
      </w:r>
      <w:r w:rsidR="00A41A8D">
        <w:rPr>
          <w:rFonts w:ascii="Avenir Next" w:hAnsi="Avenir Next" w:cs="Arial"/>
          <w:color w:val="808080" w:themeColor="background1" w:themeShade="80"/>
          <w:sz w:val="22"/>
          <w:szCs w:val="22"/>
        </w:rPr>
        <w:t xml:space="preserve">. </w:t>
      </w:r>
    </w:p>
    <w:p w14:paraId="029DA9A4" w14:textId="77777777" w:rsidR="00606B0A" w:rsidRPr="00606B0A" w:rsidRDefault="00606B0A" w:rsidP="00606B0A">
      <w:pPr>
        <w:pStyle w:val="ListParagraph"/>
        <w:rPr>
          <w:rFonts w:ascii="Avenir Next" w:hAnsi="Avenir Next" w:cs="Arial"/>
          <w:color w:val="808080" w:themeColor="background1" w:themeShade="80"/>
          <w:sz w:val="22"/>
          <w:szCs w:val="22"/>
        </w:rPr>
      </w:pPr>
    </w:p>
    <w:p w14:paraId="3A800E98" w14:textId="7E305D7C" w:rsidR="00601EC3" w:rsidRDefault="00606B0A" w:rsidP="00606B0A">
      <w:pPr>
        <w:pStyle w:val="ListParagraph"/>
        <w:numPr>
          <w:ilvl w:val="0"/>
          <w:numId w:val="17"/>
        </w:numPr>
        <w:contextualSpacing w:val="0"/>
        <w:jc w:val="both"/>
        <w:rPr>
          <w:rFonts w:ascii="Avenir Next" w:hAnsi="Avenir Next" w:cs="Arial"/>
          <w:color w:val="808080" w:themeColor="background1" w:themeShade="80"/>
          <w:sz w:val="22"/>
          <w:szCs w:val="22"/>
        </w:rPr>
      </w:pPr>
      <w:r w:rsidRPr="00606B0A">
        <w:rPr>
          <w:rFonts w:ascii="Avenir Next" w:hAnsi="Avenir Next" w:cs="Arial"/>
          <w:color w:val="808080" w:themeColor="background1" w:themeShade="80"/>
          <w:sz w:val="22"/>
          <w:szCs w:val="22"/>
        </w:rPr>
        <w:t xml:space="preserve">The court will verify that all procedural requirements have been met, including proper notice to creditors, members, and any relevant authorities, as stipulated </w:t>
      </w:r>
      <w:r>
        <w:rPr>
          <w:rFonts w:ascii="Avenir Next" w:hAnsi="Avenir Next" w:cs="Arial"/>
          <w:color w:val="808080" w:themeColor="background1" w:themeShade="80"/>
          <w:sz w:val="22"/>
          <w:szCs w:val="22"/>
        </w:rPr>
        <w:t xml:space="preserve">under </w:t>
      </w:r>
      <w:r w:rsidRPr="00606B0A">
        <w:rPr>
          <w:rFonts w:ascii="Avenir Next" w:hAnsi="Avenir Next" w:cs="Arial"/>
          <w:b/>
          <w:bCs/>
          <w:color w:val="808080" w:themeColor="background1" w:themeShade="80"/>
          <w:sz w:val="22"/>
          <w:szCs w:val="22"/>
        </w:rPr>
        <w:t xml:space="preserve">Sections </w:t>
      </w:r>
      <w:r w:rsidRPr="00606B0A">
        <w:rPr>
          <w:rFonts w:ascii="Avenir Next" w:hAnsi="Avenir Next" w:cs="Arial"/>
          <w:b/>
          <w:bCs/>
          <w:color w:val="808080" w:themeColor="background1" w:themeShade="80"/>
          <w:sz w:val="22"/>
          <w:szCs w:val="22"/>
        </w:rPr>
        <w:t>91</w:t>
      </w:r>
      <w:r w:rsidRPr="00606B0A">
        <w:rPr>
          <w:rFonts w:ascii="Avenir Next" w:hAnsi="Avenir Next" w:cs="Arial"/>
          <w:b/>
          <w:bCs/>
          <w:color w:val="808080" w:themeColor="background1" w:themeShade="80"/>
          <w:sz w:val="22"/>
          <w:szCs w:val="22"/>
        </w:rPr>
        <w:t>B (</w:t>
      </w:r>
      <w:r w:rsidRPr="00606B0A">
        <w:rPr>
          <w:rFonts w:ascii="Avenir Next" w:hAnsi="Avenir Next" w:cs="Arial"/>
          <w:b/>
          <w:bCs/>
          <w:color w:val="808080" w:themeColor="background1" w:themeShade="80"/>
          <w:sz w:val="22"/>
          <w:szCs w:val="22"/>
        </w:rPr>
        <w:t>5) and 91</w:t>
      </w:r>
      <w:proofErr w:type="gramStart"/>
      <w:r w:rsidRPr="00606B0A">
        <w:rPr>
          <w:rFonts w:ascii="Avenir Next" w:hAnsi="Avenir Next" w:cs="Arial"/>
          <w:b/>
          <w:bCs/>
          <w:color w:val="808080" w:themeColor="background1" w:themeShade="80"/>
          <w:sz w:val="22"/>
          <w:szCs w:val="22"/>
        </w:rPr>
        <w:t>C(</w:t>
      </w:r>
      <w:proofErr w:type="gramEnd"/>
      <w:r w:rsidRPr="00606B0A">
        <w:rPr>
          <w:rFonts w:ascii="Avenir Next" w:hAnsi="Avenir Next" w:cs="Arial"/>
          <w:b/>
          <w:bCs/>
          <w:color w:val="808080" w:themeColor="background1" w:themeShade="80"/>
          <w:sz w:val="22"/>
          <w:szCs w:val="22"/>
        </w:rPr>
        <w:t>5)</w:t>
      </w:r>
      <w:r w:rsidRPr="00606B0A">
        <w:rPr>
          <w:rFonts w:ascii="Avenir Next" w:hAnsi="Avenir Next" w:cs="Arial"/>
          <w:b/>
          <w:bCs/>
          <w:color w:val="808080" w:themeColor="background1" w:themeShade="80"/>
          <w:sz w:val="22"/>
          <w:szCs w:val="22"/>
        </w:rPr>
        <w:t xml:space="preserve"> of the Companies Act</w:t>
      </w:r>
      <w:r w:rsidRPr="00606B0A">
        <w:rPr>
          <w:rFonts w:ascii="Avenir Next" w:hAnsi="Avenir Next" w:cs="Arial"/>
          <w:color w:val="808080" w:themeColor="background1" w:themeShade="80"/>
          <w:sz w:val="22"/>
          <w:szCs w:val="22"/>
        </w:rPr>
        <w:t>.</w:t>
      </w:r>
    </w:p>
    <w:p w14:paraId="4C7D2ABD" w14:textId="77777777" w:rsidR="00606B0A" w:rsidRPr="00606B0A" w:rsidRDefault="00606B0A" w:rsidP="00606B0A">
      <w:pPr>
        <w:jc w:val="both"/>
        <w:rPr>
          <w:rFonts w:ascii="Avenir Next" w:hAnsi="Avenir Next" w:cs="Arial"/>
          <w:color w:val="808080" w:themeColor="background1" w:themeShade="80"/>
          <w:sz w:val="22"/>
          <w:szCs w:val="22"/>
        </w:rPr>
      </w:pPr>
    </w:p>
    <w:p w14:paraId="25BF6485" w14:textId="218331FB" w:rsidR="00601EC3" w:rsidRDefault="00606B0A" w:rsidP="00B33C5A">
      <w:pPr>
        <w:pStyle w:val="ListParagraph"/>
        <w:numPr>
          <w:ilvl w:val="0"/>
          <w:numId w:val="17"/>
        </w:numPr>
        <w:contextualSpacing w:val="0"/>
        <w:jc w:val="both"/>
        <w:rPr>
          <w:rFonts w:ascii="Avenir Next" w:hAnsi="Avenir Next" w:cs="Arial"/>
          <w:color w:val="808080" w:themeColor="background1" w:themeShade="80"/>
          <w:sz w:val="22"/>
          <w:szCs w:val="22"/>
        </w:rPr>
      </w:pPr>
      <w:r w:rsidRPr="00606B0A">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Court will consider the benefits of the restructuring plan to ensure that it is in the </w:t>
      </w:r>
      <w:r w:rsidRPr="00606B0A">
        <w:rPr>
          <w:rFonts w:ascii="Avenir Next" w:hAnsi="Avenir Next" w:cs="Arial"/>
          <w:color w:val="808080" w:themeColor="background1" w:themeShade="80"/>
          <w:sz w:val="22"/>
          <w:szCs w:val="22"/>
        </w:rPr>
        <w:t xml:space="preserve">best interests of the </w:t>
      </w:r>
      <w:r>
        <w:rPr>
          <w:rFonts w:ascii="Avenir Next" w:hAnsi="Avenir Next" w:cs="Arial"/>
          <w:color w:val="808080" w:themeColor="background1" w:themeShade="80"/>
          <w:sz w:val="22"/>
          <w:szCs w:val="22"/>
        </w:rPr>
        <w:t xml:space="preserve">stakeholders involved. </w:t>
      </w:r>
    </w:p>
    <w:p w14:paraId="074E3B87" w14:textId="77777777" w:rsidR="00A41A8D" w:rsidRPr="00CE4CAD" w:rsidRDefault="00A41A8D" w:rsidP="00CE4CAD">
      <w:pPr>
        <w:jc w:val="both"/>
        <w:rPr>
          <w:rFonts w:ascii="Avenir Next" w:hAnsi="Avenir Next" w:cs="Arial"/>
          <w:color w:val="808080" w:themeColor="background1" w:themeShade="80"/>
          <w:sz w:val="22"/>
          <w:szCs w:val="22"/>
        </w:rPr>
      </w:pPr>
    </w:p>
    <w:bookmarkEnd w:id="8"/>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92D35" w14:textId="77777777" w:rsidR="00240F0F" w:rsidRDefault="00240F0F" w:rsidP="00241B44">
      <w:r>
        <w:separator/>
      </w:r>
    </w:p>
  </w:endnote>
  <w:endnote w:type="continuationSeparator" w:id="0">
    <w:p w14:paraId="44130E5F" w14:textId="77777777" w:rsidR="00240F0F" w:rsidRDefault="00240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08F70BC" w:rsidR="00920BE7" w:rsidRPr="000423D1" w:rsidRDefault="000D33BB" w:rsidP="009B4976">
    <w:pPr>
      <w:pStyle w:val="Footer"/>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Pr="000423D1">
      <w:rPr>
        <w:rFonts w:ascii="Avenir Next" w:hAnsi="Avenir Next" w:cs="Arial"/>
        <w:sz w:val="18"/>
        <w:szCs w:val="18"/>
        <w:lang w:val="en-GB"/>
      </w:rPr>
      <w:fldChar w:fldCharType="end"/>
    </w:r>
    <w:r w:rsidR="003C31E8" w:rsidRPr="003C31E8">
      <w:rPr>
        <w:rFonts w:ascii="Avenir Next" w:hAnsi="Avenir Next" w:cs="Arial"/>
        <w:sz w:val="18"/>
        <w:szCs w:val="18"/>
        <w:lang w:val="en-GB"/>
      </w:rPr>
      <w:t>FC202324-1292.assessment</w:t>
    </w:r>
    <w:r w:rsidR="00920BE7" w:rsidRPr="000423D1">
      <w:rPr>
        <w:rFonts w:ascii="Avenir Next" w:hAnsi="Avenir Next"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D8462" w14:textId="77777777" w:rsidR="00240F0F" w:rsidRDefault="00240F0F" w:rsidP="00241B44">
      <w:r>
        <w:separator/>
      </w:r>
    </w:p>
  </w:footnote>
  <w:footnote w:type="continuationSeparator" w:id="0">
    <w:p w14:paraId="3160C86A" w14:textId="77777777" w:rsidR="00240F0F" w:rsidRDefault="00240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1A33"/>
    <w:multiLevelType w:val="hybridMultilevel"/>
    <w:tmpl w:val="8BFA97E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54E7"/>
    <w:multiLevelType w:val="hybridMultilevel"/>
    <w:tmpl w:val="D9A4230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65622"/>
    <w:multiLevelType w:val="hybridMultilevel"/>
    <w:tmpl w:val="28F24B8C"/>
    <w:lvl w:ilvl="0" w:tplc="D04C80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D35B9"/>
    <w:multiLevelType w:val="hybridMultilevel"/>
    <w:tmpl w:val="53BEFFF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17C2453"/>
    <w:multiLevelType w:val="hybridMultilevel"/>
    <w:tmpl w:val="8092FE42"/>
    <w:lvl w:ilvl="0" w:tplc="D26C10D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3CB2BAC"/>
    <w:multiLevelType w:val="hybridMultilevel"/>
    <w:tmpl w:val="0B761E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03859600">
    <w:abstractNumId w:val="12"/>
  </w:num>
  <w:num w:numId="2" w16cid:durableId="1633050155">
    <w:abstractNumId w:val="9"/>
  </w:num>
  <w:num w:numId="3" w16cid:durableId="623655882">
    <w:abstractNumId w:val="13"/>
  </w:num>
  <w:num w:numId="4" w16cid:durableId="9719797">
    <w:abstractNumId w:val="8"/>
  </w:num>
  <w:num w:numId="5" w16cid:durableId="782455219">
    <w:abstractNumId w:val="7"/>
  </w:num>
  <w:num w:numId="6" w16cid:durableId="887954257">
    <w:abstractNumId w:val="0"/>
  </w:num>
  <w:num w:numId="7" w16cid:durableId="1276904480">
    <w:abstractNumId w:val="14"/>
  </w:num>
  <w:num w:numId="8" w16cid:durableId="2061316976">
    <w:abstractNumId w:val="11"/>
  </w:num>
  <w:num w:numId="9" w16cid:durableId="1031763947">
    <w:abstractNumId w:val="17"/>
  </w:num>
  <w:num w:numId="10" w16cid:durableId="812331584">
    <w:abstractNumId w:val="15"/>
  </w:num>
  <w:num w:numId="11" w16cid:durableId="8526065">
    <w:abstractNumId w:val="3"/>
  </w:num>
  <w:num w:numId="12" w16cid:durableId="1651254059">
    <w:abstractNumId w:val="16"/>
  </w:num>
  <w:num w:numId="13" w16cid:durableId="599797710">
    <w:abstractNumId w:val="6"/>
  </w:num>
  <w:num w:numId="14" w16cid:durableId="1584533482">
    <w:abstractNumId w:val="4"/>
  </w:num>
  <w:num w:numId="15" w16cid:durableId="1753701894">
    <w:abstractNumId w:val="5"/>
  </w:num>
  <w:num w:numId="16" w16cid:durableId="608121269">
    <w:abstractNumId w:val="1"/>
  </w:num>
  <w:num w:numId="17" w16cid:durableId="130141770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1002"/>
    <w:rsid w:val="00016475"/>
    <w:rsid w:val="00020557"/>
    <w:rsid w:val="00021FC2"/>
    <w:rsid w:val="00023705"/>
    <w:rsid w:val="000250C7"/>
    <w:rsid w:val="00026F16"/>
    <w:rsid w:val="000342CB"/>
    <w:rsid w:val="000351DF"/>
    <w:rsid w:val="00037621"/>
    <w:rsid w:val="000423D1"/>
    <w:rsid w:val="00044D46"/>
    <w:rsid w:val="00045088"/>
    <w:rsid w:val="00045904"/>
    <w:rsid w:val="000502FD"/>
    <w:rsid w:val="000577D2"/>
    <w:rsid w:val="00065166"/>
    <w:rsid w:val="000659CF"/>
    <w:rsid w:val="00082609"/>
    <w:rsid w:val="0008350A"/>
    <w:rsid w:val="000851CC"/>
    <w:rsid w:val="00087F21"/>
    <w:rsid w:val="00093BE8"/>
    <w:rsid w:val="000A407B"/>
    <w:rsid w:val="000A625D"/>
    <w:rsid w:val="000A68ED"/>
    <w:rsid w:val="000A7BE7"/>
    <w:rsid w:val="000B5FF1"/>
    <w:rsid w:val="000B609F"/>
    <w:rsid w:val="000B7960"/>
    <w:rsid w:val="000C15AA"/>
    <w:rsid w:val="000C3F26"/>
    <w:rsid w:val="000C7A3D"/>
    <w:rsid w:val="000D0F56"/>
    <w:rsid w:val="000D33BB"/>
    <w:rsid w:val="000D55A8"/>
    <w:rsid w:val="000D69FB"/>
    <w:rsid w:val="000D6C0D"/>
    <w:rsid w:val="000E0B90"/>
    <w:rsid w:val="000E4841"/>
    <w:rsid w:val="000F1677"/>
    <w:rsid w:val="000F3D6C"/>
    <w:rsid w:val="000F6063"/>
    <w:rsid w:val="00101707"/>
    <w:rsid w:val="00102CC9"/>
    <w:rsid w:val="00103C92"/>
    <w:rsid w:val="0010593A"/>
    <w:rsid w:val="00107EB8"/>
    <w:rsid w:val="001108F8"/>
    <w:rsid w:val="0011473D"/>
    <w:rsid w:val="00114A6F"/>
    <w:rsid w:val="00115C85"/>
    <w:rsid w:val="00123855"/>
    <w:rsid w:val="00126A4D"/>
    <w:rsid w:val="001376D7"/>
    <w:rsid w:val="0014171F"/>
    <w:rsid w:val="0014622C"/>
    <w:rsid w:val="001463D6"/>
    <w:rsid w:val="00152348"/>
    <w:rsid w:val="0015456D"/>
    <w:rsid w:val="00155959"/>
    <w:rsid w:val="00155FA2"/>
    <w:rsid w:val="001578E5"/>
    <w:rsid w:val="00161F1B"/>
    <w:rsid w:val="00162829"/>
    <w:rsid w:val="00163644"/>
    <w:rsid w:val="00163B11"/>
    <w:rsid w:val="0016583A"/>
    <w:rsid w:val="00167D27"/>
    <w:rsid w:val="00176619"/>
    <w:rsid w:val="00180548"/>
    <w:rsid w:val="00180AC4"/>
    <w:rsid w:val="00180CCE"/>
    <w:rsid w:val="00181C1F"/>
    <w:rsid w:val="0018267A"/>
    <w:rsid w:val="00182779"/>
    <w:rsid w:val="001830DF"/>
    <w:rsid w:val="0018424C"/>
    <w:rsid w:val="00190BCB"/>
    <w:rsid w:val="001966D9"/>
    <w:rsid w:val="001A007A"/>
    <w:rsid w:val="001A7E9A"/>
    <w:rsid w:val="001B0F70"/>
    <w:rsid w:val="001B5016"/>
    <w:rsid w:val="001C45FC"/>
    <w:rsid w:val="001D0469"/>
    <w:rsid w:val="001D13A8"/>
    <w:rsid w:val="001D29C0"/>
    <w:rsid w:val="001D4862"/>
    <w:rsid w:val="001D69E3"/>
    <w:rsid w:val="001E25B9"/>
    <w:rsid w:val="001E49E0"/>
    <w:rsid w:val="001E4F2C"/>
    <w:rsid w:val="001E7B5A"/>
    <w:rsid w:val="001F16A2"/>
    <w:rsid w:val="001F7412"/>
    <w:rsid w:val="0020090A"/>
    <w:rsid w:val="00202DFE"/>
    <w:rsid w:val="0020725B"/>
    <w:rsid w:val="00210493"/>
    <w:rsid w:val="002110F1"/>
    <w:rsid w:val="002172B8"/>
    <w:rsid w:val="00221152"/>
    <w:rsid w:val="00227ED1"/>
    <w:rsid w:val="002356EA"/>
    <w:rsid w:val="00240F0F"/>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5B10"/>
    <w:rsid w:val="0029690F"/>
    <w:rsid w:val="00297C8A"/>
    <w:rsid w:val="002A2A60"/>
    <w:rsid w:val="002A2C21"/>
    <w:rsid w:val="002A37BB"/>
    <w:rsid w:val="002A4B95"/>
    <w:rsid w:val="002A7449"/>
    <w:rsid w:val="002B1C45"/>
    <w:rsid w:val="002B3A96"/>
    <w:rsid w:val="002C0117"/>
    <w:rsid w:val="002C13C8"/>
    <w:rsid w:val="002C3547"/>
    <w:rsid w:val="002C4B43"/>
    <w:rsid w:val="002D0021"/>
    <w:rsid w:val="002D299D"/>
    <w:rsid w:val="002D3473"/>
    <w:rsid w:val="002F1956"/>
    <w:rsid w:val="002F3440"/>
    <w:rsid w:val="002F4E5A"/>
    <w:rsid w:val="002F75A3"/>
    <w:rsid w:val="00303C2F"/>
    <w:rsid w:val="003042CB"/>
    <w:rsid w:val="00305564"/>
    <w:rsid w:val="00310533"/>
    <w:rsid w:val="003144EF"/>
    <w:rsid w:val="00317046"/>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67010"/>
    <w:rsid w:val="0037465A"/>
    <w:rsid w:val="00377065"/>
    <w:rsid w:val="003813B8"/>
    <w:rsid w:val="00382C98"/>
    <w:rsid w:val="0038533C"/>
    <w:rsid w:val="00386568"/>
    <w:rsid w:val="00387B22"/>
    <w:rsid w:val="00390B57"/>
    <w:rsid w:val="00391C9D"/>
    <w:rsid w:val="003938A1"/>
    <w:rsid w:val="003948D5"/>
    <w:rsid w:val="00396821"/>
    <w:rsid w:val="00397D3A"/>
    <w:rsid w:val="003A051E"/>
    <w:rsid w:val="003A2780"/>
    <w:rsid w:val="003B170F"/>
    <w:rsid w:val="003B3C5F"/>
    <w:rsid w:val="003B4858"/>
    <w:rsid w:val="003C0E39"/>
    <w:rsid w:val="003C31E8"/>
    <w:rsid w:val="003C4471"/>
    <w:rsid w:val="003C5BA5"/>
    <w:rsid w:val="003D051F"/>
    <w:rsid w:val="003D0A6D"/>
    <w:rsid w:val="003E0B16"/>
    <w:rsid w:val="003E67D1"/>
    <w:rsid w:val="003E7675"/>
    <w:rsid w:val="003F2C7C"/>
    <w:rsid w:val="00404329"/>
    <w:rsid w:val="00405DC1"/>
    <w:rsid w:val="00406382"/>
    <w:rsid w:val="00415760"/>
    <w:rsid w:val="00415F1F"/>
    <w:rsid w:val="00416D2B"/>
    <w:rsid w:val="0042108F"/>
    <w:rsid w:val="00430FED"/>
    <w:rsid w:val="00434A8C"/>
    <w:rsid w:val="00437297"/>
    <w:rsid w:val="00444284"/>
    <w:rsid w:val="00445CE6"/>
    <w:rsid w:val="00452432"/>
    <w:rsid w:val="004534C2"/>
    <w:rsid w:val="0045446F"/>
    <w:rsid w:val="0045683E"/>
    <w:rsid w:val="00460F33"/>
    <w:rsid w:val="00462886"/>
    <w:rsid w:val="00472DD9"/>
    <w:rsid w:val="00477C72"/>
    <w:rsid w:val="0048787C"/>
    <w:rsid w:val="00491675"/>
    <w:rsid w:val="00493337"/>
    <w:rsid w:val="00493855"/>
    <w:rsid w:val="00495E79"/>
    <w:rsid w:val="004A2D83"/>
    <w:rsid w:val="004A3D56"/>
    <w:rsid w:val="004A4428"/>
    <w:rsid w:val="004A57DD"/>
    <w:rsid w:val="004A7B51"/>
    <w:rsid w:val="004A7D71"/>
    <w:rsid w:val="004A7EF3"/>
    <w:rsid w:val="004B11FD"/>
    <w:rsid w:val="004B23A2"/>
    <w:rsid w:val="004C447D"/>
    <w:rsid w:val="004C5EAD"/>
    <w:rsid w:val="004D1A5A"/>
    <w:rsid w:val="004D2FFF"/>
    <w:rsid w:val="004D3721"/>
    <w:rsid w:val="004D4774"/>
    <w:rsid w:val="004D64F9"/>
    <w:rsid w:val="004E3A6B"/>
    <w:rsid w:val="004E622C"/>
    <w:rsid w:val="004F56FE"/>
    <w:rsid w:val="004F5FDF"/>
    <w:rsid w:val="004F7F27"/>
    <w:rsid w:val="00501EDC"/>
    <w:rsid w:val="005135E5"/>
    <w:rsid w:val="005177FE"/>
    <w:rsid w:val="0052263B"/>
    <w:rsid w:val="00524728"/>
    <w:rsid w:val="00527EDC"/>
    <w:rsid w:val="00532230"/>
    <w:rsid w:val="00532745"/>
    <w:rsid w:val="005327B7"/>
    <w:rsid w:val="005331CA"/>
    <w:rsid w:val="00537494"/>
    <w:rsid w:val="00537970"/>
    <w:rsid w:val="00540E3A"/>
    <w:rsid w:val="00544127"/>
    <w:rsid w:val="00544EF4"/>
    <w:rsid w:val="005463A9"/>
    <w:rsid w:val="00551038"/>
    <w:rsid w:val="00553236"/>
    <w:rsid w:val="00553EB2"/>
    <w:rsid w:val="00560534"/>
    <w:rsid w:val="0056181F"/>
    <w:rsid w:val="0056391B"/>
    <w:rsid w:val="005650E2"/>
    <w:rsid w:val="00567AD7"/>
    <w:rsid w:val="005709E5"/>
    <w:rsid w:val="00575B2D"/>
    <w:rsid w:val="005833D0"/>
    <w:rsid w:val="005846F3"/>
    <w:rsid w:val="0058622F"/>
    <w:rsid w:val="00592F82"/>
    <w:rsid w:val="00596F01"/>
    <w:rsid w:val="005A0CCA"/>
    <w:rsid w:val="005A2E18"/>
    <w:rsid w:val="005A6FF2"/>
    <w:rsid w:val="005A726D"/>
    <w:rsid w:val="005B67AC"/>
    <w:rsid w:val="005B79F4"/>
    <w:rsid w:val="005C5A6D"/>
    <w:rsid w:val="005D16DD"/>
    <w:rsid w:val="005D4325"/>
    <w:rsid w:val="005D43E0"/>
    <w:rsid w:val="005D58A3"/>
    <w:rsid w:val="005E1117"/>
    <w:rsid w:val="005E1B79"/>
    <w:rsid w:val="005E5377"/>
    <w:rsid w:val="005E6076"/>
    <w:rsid w:val="005E7008"/>
    <w:rsid w:val="005F026D"/>
    <w:rsid w:val="005F2AEA"/>
    <w:rsid w:val="005F2D0B"/>
    <w:rsid w:val="005F4B31"/>
    <w:rsid w:val="00601EC3"/>
    <w:rsid w:val="0060267E"/>
    <w:rsid w:val="00606B0A"/>
    <w:rsid w:val="00610388"/>
    <w:rsid w:val="00610AC7"/>
    <w:rsid w:val="00612CA5"/>
    <w:rsid w:val="006153EC"/>
    <w:rsid w:val="00621A17"/>
    <w:rsid w:val="00626933"/>
    <w:rsid w:val="00627CC9"/>
    <w:rsid w:val="00627E7B"/>
    <w:rsid w:val="00630542"/>
    <w:rsid w:val="00632E44"/>
    <w:rsid w:val="00633808"/>
    <w:rsid w:val="00634622"/>
    <w:rsid w:val="00636808"/>
    <w:rsid w:val="00641515"/>
    <w:rsid w:val="00644677"/>
    <w:rsid w:val="00650CB6"/>
    <w:rsid w:val="00650FE1"/>
    <w:rsid w:val="00654C2F"/>
    <w:rsid w:val="00657087"/>
    <w:rsid w:val="006574C0"/>
    <w:rsid w:val="00661556"/>
    <w:rsid w:val="006639DB"/>
    <w:rsid w:val="006661EF"/>
    <w:rsid w:val="00670243"/>
    <w:rsid w:val="0067256F"/>
    <w:rsid w:val="006766DC"/>
    <w:rsid w:val="0067763D"/>
    <w:rsid w:val="00677AEB"/>
    <w:rsid w:val="00680EF2"/>
    <w:rsid w:val="00687A1D"/>
    <w:rsid w:val="0069732C"/>
    <w:rsid w:val="00697EA1"/>
    <w:rsid w:val="006A2646"/>
    <w:rsid w:val="006A5375"/>
    <w:rsid w:val="006A6530"/>
    <w:rsid w:val="006A7786"/>
    <w:rsid w:val="006B066F"/>
    <w:rsid w:val="006B28CB"/>
    <w:rsid w:val="006B435A"/>
    <w:rsid w:val="006B4C64"/>
    <w:rsid w:val="006D3DC9"/>
    <w:rsid w:val="006D6BD5"/>
    <w:rsid w:val="006E481A"/>
    <w:rsid w:val="006E5298"/>
    <w:rsid w:val="006F4A78"/>
    <w:rsid w:val="006F72A2"/>
    <w:rsid w:val="006F734A"/>
    <w:rsid w:val="00700D83"/>
    <w:rsid w:val="00701D9F"/>
    <w:rsid w:val="00704852"/>
    <w:rsid w:val="007063B3"/>
    <w:rsid w:val="007074E9"/>
    <w:rsid w:val="00713DA4"/>
    <w:rsid w:val="00714BF1"/>
    <w:rsid w:val="00720804"/>
    <w:rsid w:val="00721383"/>
    <w:rsid w:val="0073158B"/>
    <w:rsid w:val="007333CC"/>
    <w:rsid w:val="0073399A"/>
    <w:rsid w:val="00740DAD"/>
    <w:rsid w:val="00746856"/>
    <w:rsid w:val="00756650"/>
    <w:rsid w:val="007603F5"/>
    <w:rsid w:val="00764DB0"/>
    <w:rsid w:val="0076764D"/>
    <w:rsid w:val="0077498C"/>
    <w:rsid w:val="00775E93"/>
    <w:rsid w:val="007808EB"/>
    <w:rsid w:val="007809BC"/>
    <w:rsid w:val="00784128"/>
    <w:rsid w:val="00787BCC"/>
    <w:rsid w:val="007914D4"/>
    <w:rsid w:val="00793173"/>
    <w:rsid w:val="0079520B"/>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1B30"/>
    <w:rsid w:val="0082483F"/>
    <w:rsid w:val="008279C0"/>
    <w:rsid w:val="00847166"/>
    <w:rsid w:val="00853516"/>
    <w:rsid w:val="00853B56"/>
    <w:rsid w:val="008603C4"/>
    <w:rsid w:val="00865836"/>
    <w:rsid w:val="00867701"/>
    <w:rsid w:val="00870A63"/>
    <w:rsid w:val="008723F3"/>
    <w:rsid w:val="00876F56"/>
    <w:rsid w:val="00881DE6"/>
    <w:rsid w:val="008837A6"/>
    <w:rsid w:val="00891116"/>
    <w:rsid w:val="0089145D"/>
    <w:rsid w:val="00893AA1"/>
    <w:rsid w:val="008959EB"/>
    <w:rsid w:val="008A4DF2"/>
    <w:rsid w:val="008A6BA0"/>
    <w:rsid w:val="008A6CFE"/>
    <w:rsid w:val="008B5333"/>
    <w:rsid w:val="008B6223"/>
    <w:rsid w:val="008B7CC7"/>
    <w:rsid w:val="008C606B"/>
    <w:rsid w:val="008C66E0"/>
    <w:rsid w:val="008D7C65"/>
    <w:rsid w:val="008E3339"/>
    <w:rsid w:val="008F20FC"/>
    <w:rsid w:val="008F4894"/>
    <w:rsid w:val="008F5FFE"/>
    <w:rsid w:val="008F6CAB"/>
    <w:rsid w:val="00905A43"/>
    <w:rsid w:val="00912C79"/>
    <w:rsid w:val="00920BE7"/>
    <w:rsid w:val="00921B8C"/>
    <w:rsid w:val="0092357E"/>
    <w:rsid w:val="00924973"/>
    <w:rsid w:val="00927C9D"/>
    <w:rsid w:val="00931FD7"/>
    <w:rsid w:val="00942123"/>
    <w:rsid w:val="0095207B"/>
    <w:rsid w:val="00952187"/>
    <w:rsid w:val="009546B2"/>
    <w:rsid w:val="00962045"/>
    <w:rsid w:val="00972979"/>
    <w:rsid w:val="00980E61"/>
    <w:rsid w:val="009830E2"/>
    <w:rsid w:val="009858FC"/>
    <w:rsid w:val="00991428"/>
    <w:rsid w:val="0099169D"/>
    <w:rsid w:val="00992676"/>
    <w:rsid w:val="009954B2"/>
    <w:rsid w:val="00996691"/>
    <w:rsid w:val="009A3AB7"/>
    <w:rsid w:val="009A4436"/>
    <w:rsid w:val="009A6A88"/>
    <w:rsid w:val="009B0723"/>
    <w:rsid w:val="009B07AD"/>
    <w:rsid w:val="009B0883"/>
    <w:rsid w:val="009B15E2"/>
    <w:rsid w:val="009B26ED"/>
    <w:rsid w:val="009B4976"/>
    <w:rsid w:val="009C0B8E"/>
    <w:rsid w:val="009C1BC8"/>
    <w:rsid w:val="009C2442"/>
    <w:rsid w:val="009D0811"/>
    <w:rsid w:val="009D0EE1"/>
    <w:rsid w:val="009D20B1"/>
    <w:rsid w:val="009D2331"/>
    <w:rsid w:val="009D3F45"/>
    <w:rsid w:val="009D47B8"/>
    <w:rsid w:val="009E2AEB"/>
    <w:rsid w:val="009E2E27"/>
    <w:rsid w:val="009E45DF"/>
    <w:rsid w:val="009E4DE3"/>
    <w:rsid w:val="009F20B6"/>
    <w:rsid w:val="009F275E"/>
    <w:rsid w:val="009F43EC"/>
    <w:rsid w:val="00A02163"/>
    <w:rsid w:val="00A047EE"/>
    <w:rsid w:val="00A21CBD"/>
    <w:rsid w:val="00A2274A"/>
    <w:rsid w:val="00A235B7"/>
    <w:rsid w:val="00A25392"/>
    <w:rsid w:val="00A26898"/>
    <w:rsid w:val="00A27A7A"/>
    <w:rsid w:val="00A30968"/>
    <w:rsid w:val="00A34ABE"/>
    <w:rsid w:val="00A407EF"/>
    <w:rsid w:val="00A41A8D"/>
    <w:rsid w:val="00A46B4C"/>
    <w:rsid w:val="00A46FE2"/>
    <w:rsid w:val="00A5117B"/>
    <w:rsid w:val="00A56D34"/>
    <w:rsid w:val="00A60074"/>
    <w:rsid w:val="00A63978"/>
    <w:rsid w:val="00A6627C"/>
    <w:rsid w:val="00A71019"/>
    <w:rsid w:val="00A81029"/>
    <w:rsid w:val="00A845F5"/>
    <w:rsid w:val="00A96489"/>
    <w:rsid w:val="00AA48CC"/>
    <w:rsid w:val="00AB0E3A"/>
    <w:rsid w:val="00AB2425"/>
    <w:rsid w:val="00AB685C"/>
    <w:rsid w:val="00AB6C2D"/>
    <w:rsid w:val="00AC08F7"/>
    <w:rsid w:val="00AC2F1F"/>
    <w:rsid w:val="00AC3839"/>
    <w:rsid w:val="00AC43F8"/>
    <w:rsid w:val="00AC7082"/>
    <w:rsid w:val="00AD12C7"/>
    <w:rsid w:val="00AD4BE8"/>
    <w:rsid w:val="00AF228E"/>
    <w:rsid w:val="00B016A8"/>
    <w:rsid w:val="00B03DC1"/>
    <w:rsid w:val="00B13AC0"/>
    <w:rsid w:val="00B14819"/>
    <w:rsid w:val="00B15E2F"/>
    <w:rsid w:val="00B17AA9"/>
    <w:rsid w:val="00B33C5A"/>
    <w:rsid w:val="00B36AB5"/>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0529"/>
    <w:rsid w:val="00BA3AE6"/>
    <w:rsid w:val="00BA4008"/>
    <w:rsid w:val="00BB0F2B"/>
    <w:rsid w:val="00BB6D1E"/>
    <w:rsid w:val="00BC3A55"/>
    <w:rsid w:val="00BC3BF2"/>
    <w:rsid w:val="00BC3DD2"/>
    <w:rsid w:val="00BE25F1"/>
    <w:rsid w:val="00BE2E50"/>
    <w:rsid w:val="00BE4FF3"/>
    <w:rsid w:val="00BF36EA"/>
    <w:rsid w:val="00BF43E7"/>
    <w:rsid w:val="00BF50F7"/>
    <w:rsid w:val="00C02F29"/>
    <w:rsid w:val="00C05E72"/>
    <w:rsid w:val="00C1597C"/>
    <w:rsid w:val="00C17718"/>
    <w:rsid w:val="00C20AFE"/>
    <w:rsid w:val="00C22A25"/>
    <w:rsid w:val="00C35671"/>
    <w:rsid w:val="00C35B77"/>
    <w:rsid w:val="00C376EB"/>
    <w:rsid w:val="00C41A0C"/>
    <w:rsid w:val="00C46A92"/>
    <w:rsid w:val="00C46EC1"/>
    <w:rsid w:val="00C522CC"/>
    <w:rsid w:val="00C52796"/>
    <w:rsid w:val="00C53E2C"/>
    <w:rsid w:val="00C550C8"/>
    <w:rsid w:val="00C55824"/>
    <w:rsid w:val="00C56B61"/>
    <w:rsid w:val="00C606C3"/>
    <w:rsid w:val="00C620F4"/>
    <w:rsid w:val="00C72848"/>
    <w:rsid w:val="00C7736C"/>
    <w:rsid w:val="00C82D87"/>
    <w:rsid w:val="00C85CA4"/>
    <w:rsid w:val="00C8712A"/>
    <w:rsid w:val="00C902C8"/>
    <w:rsid w:val="00C919D1"/>
    <w:rsid w:val="00C963D3"/>
    <w:rsid w:val="00CA1216"/>
    <w:rsid w:val="00CB1983"/>
    <w:rsid w:val="00CB2364"/>
    <w:rsid w:val="00CB2CBB"/>
    <w:rsid w:val="00CB7CAC"/>
    <w:rsid w:val="00CC5335"/>
    <w:rsid w:val="00CC5BA4"/>
    <w:rsid w:val="00CC6748"/>
    <w:rsid w:val="00CD4998"/>
    <w:rsid w:val="00CE1035"/>
    <w:rsid w:val="00CE4649"/>
    <w:rsid w:val="00CE4CAD"/>
    <w:rsid w:val="00CE6E50"/>
    <w:rsid w:val="00CF2819"/>
    <w:rsid w:val="00CF4F9D"/>
    <w:rsid w:val="00CF70DC"/>
    <w:rsid w:val="00D063C2"/>
    <w:rsid w:val="00D06A87"/>
    <w:rsid w:val="00D07CC2"/>
    <w:rsid w:val="00D12F75"/>
    <w:rsid w:val="00D148DC"/>
    <w:rsid w:val="00D17FDC"/>
    <w:rsid w:val="00D21D8C"/>
    <w:rsid w:val="00D27AC0"/>
    <w:rsid w:val="00D27CBC"/>
    <w:rsid w:val="00D32180"/>
    <w:rsid w:val="00D40D90"/>
    <w:rsid w:val="00D53719"/>
    <w:rsid w:val="00D53FC6"/>
    <w:rsid w:val="00D6188D"/>
    <w:rsid w:val="00D63EFD"/>
    <w:rsid w:val="00D73E9C"/>
    <w:rsid w:val="00D84752"/>
    <w:rsid w:val="00D86B3B"/>
    <w:rsid w:val="00D8748A"/>
    <w:rsid w:val="00D93196"/>
    <w:rsid w:val="00D978D1"/>
    <w:rsid w:val="00DA0DC0"/>
    <w:rsid w:val="00DA17E9"/>
    <w:rsid w:val="00DB243C"/>
    <w:rsid w:val="00DB482A"/>
    <w:rsid w:val="00DB50FB"/>
    <w:rsid w:val="00DB56F2"/>
    <w:rsid w:val="00DB6EF5"/>
    <w:rsid w:val="00DC2461"/>
    <w:rsid w:val="00DC3089"/>
    <w:rsid w:val="00DC4420"/>
    <w:rsid w:val="00DD0802"/>
    <w:rsid w:val="00DD262A"/>
    <w:rsid w:val="00DD2E11"/>
    <w:rsid w:val="00DD3CBD"/>
    <w:rsid w:val="00DE03AF"/>
    <w:rsid w:val="00DE121C"/>
    <w:rsid w:val="00DE6633"/>
    <w:rsid w:val="00DE68DE"/>
    <w:rsid w:val="00DF75F8"/>
    <w:rsid w:val="00DF7A3A"/>
    <w:rsid w:val="00E00C00"/>
    <w:rsid w:val="00E07C5A"/>
    <w:rsid w:val="00E11C54"/>
    <w:rsid w:val="00E15BA9"/>
    <w:rsid w:val="00E177F0"/>
    <w:rsid w:val="00E25582"/>
    <w:rsid w:val="00E26E19"/>
    <w:rsid w:val="00E31DF3"/>
    <w:rsid w:val="00E4294D"/>
    <w:rsid w:val="00E429BF"/>
    <w:rsid w:val="00E450A4"/>
    <w:rsid w:val="00E45C5C"/>
    <w:rsid w:val="00E506BE"/>
    <w:rsid w:val="00E50A3F"/>
    <w:rsid w:val="00E55547"/>
    <w:rsid w:val="00E55912"/>
    <w:rsid w:val="00E6302B"/>
    <w:rsid w:val="00E6452F"/>
    <w:rsid w:val="00E64F45"/>
    <w:rsid w:val="00E6742D"/>
    <w:rsid w:val="00E71CB0"/>
    <w:rsid w:val="00E77C3D"/>
    <w:rsid w:val="00E805DF"/>
    <w:rsid w:val="00E86DA6"/>
    <w:rsid w:val="00E90991"/>
    <w:rsid w:val="00E909F0"/>
    <w:rsid w:val="00E90D47"/>
    <w:rsid w:val="00E93993"/>
    <w:rsid w:val="00E94DBB"/>
    <w:rsid w:val="00E9597C"/>
    <w:rsid w:val="00E96067"/>
    <w:rsid w:val="00EA0913"/>
    <w:rsid w:val="00EA34F4"/>
    <w:rsid w:val="00EA5B00"/>
    <w:rsid w:val="00EA6EC9"/>
    <w:rsid w:val="00EB146B"/>
    <w:rsid w:val="00EB45AC"/>
    <w:rsid w:val="00EC39C2"/>
    <w:rsid w:val="00EC3CDE"/>
    <w:rsid w:val="00EC441F"/>
    <w:rsid w:val="00EC4755"/>
    <w:rsid w:val="00EC6D86"/>
    <w:rsid w:val="00ED0BC4"/>
    <w:rsid w:val="00ED447D"/>
    <w:rsid w:val="00ED5BDC"/>
    <w:rsid w:val="00EE425D"/>
    <w:rsid w:val="00EE4971"/>
    <w:rsid w:val="00EE6CB0"/>
    <w:rsid w:val="00EF090E"/>
    <w:rsid w:val="00EF5572"/>
    <w:rsid w:val="00F033DA"/>
    <w:rsid w:val="00F1258F"/>
    <w:rsid w:val="00F12BDF"/>
    <w:rsid w:val="00F13691"/>
    <w:rsid w:val="00F13FB1"/>
    <w:rsid w:val="00F27CD8"/>
    <w:rsid w:val="00F30351"/>
    <w:rsid w:val="00F3323E"/>
    <w:rsid w:val="00F341F4"/>
    <w:rsid w:val="00F34F9D"/>
    <w:rsid w:val="00F35CCE"/>
    <w:rsid w:val="00F5524B"/>
    <w:rsid w:val="00F60538"/>
    <w:rsid w:val="00F61DD2"/>
    <w:rsid w:val="00F62D28"/>
    <w:rsid w:val="00F66AFF"/>
    <w:rsid w:val="00F67EE1"/>
    <w:rsid w:val="00F71433"/>
    <w:rsid w:val="00F730FA"/>
    <w:rsid w:val="00F97C5B"/>
    <w:rsid w:val="00FA18CF"/>
    <w:rsid w:val="00FA3D50"/>
    <w:rsid w:val="00FB4F2E"/>
    <w:rsid w:val="00FB721C"/>
    <w:rsid w:val="00FB78D5"/>
    <w:rsid w:val="00FB7FBD"/>
    <w:rsid w:val="00FC374A"/>
    <w:rsid w:val="00FC5C80"/>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BD"/>
    <w:rPr>
      <w:rFonts w:eastAsia="Times New Roman"/>
      <w:sz w:val="20"/>
    </w:rPr>
  </w:style>
  <w:style w:type="paragraph" w:styleId="Heading1">
    <w:name w:val="heading 1"/>
    <w:basedOn w:val="Normal"/>
    <w:next w:val="Normal"/>
    <w:link w:val="Heading1Char"/>
    <w:uiPriority w:val="9"/>
    <w:qFormat/>
    <w:rsid w:val="003170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546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BodyText">
    <w:name w:val="Body Text"/>
    <w:basedOn w:val="Normal"/>
    <w:link w:val="BodyTextChar"/>
    <w:uiPriority w:val="99"/>
    <w:semiHidden/>
    <w:unhideWhenUsed/>
    <w:rsid w:val="00415760"/>
    <w:pPr>
      <w:spacing w:after="120"/>
    </w:pPr>
  </w:style>
  <w:style w:type="character" w:customStyle="1" w:styleId="BodyTextChar">
    <w:name w:val="Body Text Char"/>
    <w:basedOn w:val="DefaultParagraphFont"/>
    <w:link w:val="BodyText"/>
    <w:uiPriority w:val="99"/>
    <w:semiHidden/>
    <w:rsid w:val="00415760"/>
    <w:rPr>
      <w:rFonts w:eastAsia="Times New Roman"/>
      <w:sz w:val="20"/>
    </w:rPr>
  </w:style>
  <w:style w:type="character" w:customStyle="1" w:styleId="Heading4Char">
    <w:name w:val="Heading 4 Char"/>
    <w:basedOn w:val="DefaultParagraphFont"/>
    <w:link w:val="Heading4"/>
    <w:uiPriority w:val="9"/>
    <w:semiHidden/>
    <w:rsid w:val="009546B2"/>
    <w:rPr>
      <w:rFonts w:asciiTheme="majorHAnsi" w:eastAsiaTheme="majorEastAsia" w:hAnsiTheme="majorHAnsi" w:cstheme="majorBidi"/>
      <w:i/>
      <w:iCs/>
      <w:color w:val="2F5496" w:themeColor="accent1" w:themeShade="BF"/>
      <w:sz w:val="20"/>
    </w:rPr>
  </w:style>
  <w:style w:type="character" w:customStyle="1" w:styleId="Heading1Char">
    <w:name w:val="Heading 1 Char"/>
    <w:basedOn w:val="DefaultParagraphFont"/>
    <w:link w:val="Heading1"/>
    <w:uiPriority w:val="9"/>
    <w:rsid w:val="003170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3196831">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41341982">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742944117">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66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E6A5-A0F6-4B44-A4CC-E6020DA4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13</Pages>
  <Words>5276</Words>
  <Characters>26916</Characters>
  <Application>Microsoft Office Word</Application>
  <DocSecurity>0</DocSecurity>
  <Lines>629</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Wamuyu Mathenge</cp:lastModifiedBy>
  <cp:revision>114</cp:revision>
  <cp:lastPrinted>2019-08-27T05:42:00Z</cp:lastPrinted>
  <dcterms:created xsi:type="dcterms:W3CDTF">2023-01-20T08:18:00Z</dcterms:created>
  <dcterms:modified xsi:type="dcterms:W3CDTF">2024-07-03T17:10:00Z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GrammarlyDocumentId">
    <vt:lpwstr>d3be134ce826802ae2f5b239ec46c41d7333f6273d3798ef5042955f8d8aff14</vt:lpwstr>
  </property>
</Properties>
</file>