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77F97D00"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3619F5B9" w:rsidR="000F6063" w:rsidRPr="002D7CAC" w:rsidRDefault="000F6063" w:rsidP="000C7A3D">
      <w:pPr>
        <w:pStyle w:val="ListParagraph"/>
        <w:numPr>
          <w:ilvl w:val="0"/>
          <w:numId w:val="31"/>
        </w:numPr>
        <w:ind w:left="426"/>
        <w:jc w:val="both"/>
        <w:rPr>
          <w:rFonts w:ascii="Avenir Next" w:hAnsi="Avenir Next" w:cs="Arial"/>
          <w:sz w:val="22"/>
          <w:szCs w:val="22"/>
          <w:highlight w:val="yellow"/>
          <w:lang w:val="en-GB"/>
        </w:rPr>
      </w:pPr>
      <w:r w:rsidRPr="002D7CAC">
        <w:rPr>
          <w:rFonts w:ascii="Avenir Next" w:hAnsi="Avenir Next" w:cs="Arial"/>
          <w:sz w:val="22"/>
          <w:szCs w:val="22"/>
          <w:highlight w:val="yellow"/>
          <w:lang w:val="en-GB"/>
        </w:rPr>
        <w:t xml:space="preserve">No action may be commenced against the company without </w:t>
      </w:r>
      <w:r w:rsidR="00E86DA6" w:rsidRPr="002D7CAC">
        <w:rPr>
          <w:rFonts w:ascii="Avenir Next" w:hAnsi="Avenir Next" w:cs="Arial"/>
          <w:sz w:val="22"/>
          <w:szCs w:val="22"/>
          <w:highlight w:val="yellow"/>
          <w:lang w:val="en-GB"/>
        </w:rPr>
        <w:t>permission</w:t>
      </w:r>
      <w:r w:rsidRPr="002D7CAC">
        <w:rPr>
          <w:rFonts w:ascii="Avenir Next" w:hAnsi="Avenir Next" w:cs="Arial"/>
          <w:sz w:val="22"/>
          <w:szCs w:val="22"/>
          <w:highlight w:val="yellow"/>
          <w:lang w:val="en-GB"/>
        </w:rPr>
        <w:t xml:space="preserve"> of the court.</w:t>
      </w:r>
    </w:p>
    <w:p w14:paraId="4906B355" w14:textId="77777777" w:rsidR="007E03FA" w:rsidRPr="00310533" w:rsidRDefault="007E03FA" w:rsidP="000C7A3D">
      <w:pPr>
        <w:jc w:val="both"/>
        <w:rPr>
          <w:rFonts w:ascii="Avenir Next" w:hAnsi="Avenir Next" w:cs="Arial"/>
          <w:sz w:val="22"/>
          <w:szCs w:val="22"/>
          <w:lang w:val="en-GB"/>
        </w:rPr>
      </w:pPr>
    </w:p>
    <w:p w14:paraId="6BD73290" w14:textId="2EA2150E"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continued against the company without permission of the provisional liquidator.</w:t>
      </w:r>
    </w:p>
    <w:p w14:paraId="1477D526" w14:textId="77777777" w:rsidR="007E03FA" w:rsidRPr="00310533" w:rsidRDefault="007E03FA" w:rsidP="000C7A3D">
      <w:pPr>
        <w:jc w:val="both"/>
        <w:rPr>
          <w:rFonts w:ascii="Avenir Next" w:hAnsi="Avenir Next" w:cs="Arial"/>
          <w:sz w:val="22"/>
          <w:szCs w:val="22"/>
          <w:lang w:val="en-GB"/>
        </w:rPr>
      </w:pPr>
    </w:p>
    <w:p w14:paraId="0028DCC4" w14:textId="77E587AC" w:rsidR="00221152" w:rsidRPr="00310533" w:rsidRDefault="00221152" w:rsidP="000C7A3D">
      <w:pPr>
        <w:pStyle w:val="ListParagraph"/>
        <w:numPr>
          <w:ilvl w:val="0"/>
          <w:numId w:val="31"/>
        </w:numPr>
        <w:ind w:left="426"/>
        <w:jc w:val="both"/>
        <w:rPr>
          <w:rFonts w:ascii="Avenir Next" w:hAnsi="Avenir Next" w:cs="Arial"/>
          <w:sz w:val="22"/>
          <w:szCs w:val="22"/>
          <w:lang w:val="en-GB"/>
        </w:rPr>
      </w:pPr>
      <w:r>
        <w:rPr>
          <w:rFonts w:ascii="Avenir Next" w:hAnsi="Avenir Next" w:cs="Arial"/>
          <w:sz w:val="22"/>
          <w:szCs w:val="22"/>
          <w:lang w:val="en-GB"/>
        </w:rPr>
        <w:t>No action may be continued against the company without permission of the restructuring officer.</w:t>
      </w:r>
    </w:p>
    <w:p w14:paraId="22FB943C" w14:textId="77777777" w:rsidR="007E03FA" w:rsidRPr="00310533" w:rsidRDefault="007E03FA" w:rsidP="000C7A3D">
      <w:pPr>
        <w:jc w:val="both"/>
        <w:rPr>
          <w:rFonts w:ascii="Avenir Next" w:hAnsi="Avenir Next" w:cs="Arial"/>
          <w:sz w:val="22"/>
          <w:szCs w:val="22"/>
          <w:lang w:val="en-GB"/>
        </w:rPr>
      </w:pPr>
    </w:p>
    <w:p w14:paraId="6E8F0D7B" w14:textId="77777777"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20E257DD"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w:t>
      </w:r>
      <w:r w:rsidR="008A6BA0">
        <w:rPr>
          <w:rFonts w:ascii="Avenir Next" w:hAnsi="Avenir Next" w:cs="Arial"/>
          <w:sz w:val="22"/>
          <w:szCs w:val="22"/>
          <w:lang w:val="en-GB"/>
        </w:rPr>
        <w:t xml:space="preserve">corporate </w:t>
      </w:r>
      <w:r w:rsidR="00FD6094" w:rsidRPr="00310533">
        <w:rPr>
          <w:rFonts w:ascii="Avenir Next" w:hAnsi="Avenir Next" w:cs="Arial"/>
          <w:sz w:val="22"/>
          <w:szCs w:val="22"/>
          <w:lang w:val="en-GB"/>
        </w:rPr>
        <w:t xml:space="preserve">debtor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1003FC" w:rsidRDefault="000F6063" w:rsidP="007E03FA">
      <w:pPr>
        <w:pStyle w:val="ListParagraph"/>
        <w:numPr>
          <w:ilvl w:val="0"/>
          <w:numId w:val="32"/>
        </w:numPr>
        <w:ind w:left="426"/>
        <w:rPr>
          <w:rFonts w:ascii="Avenir Next" w:hAnsi="Avenir Next" w:cs="Arial"/>
          <w:sz w:val="22"/>
          <w:szCs w:val="22"/>
          <w:highlight w:val="yellow"/>
          <w:lang w:val="en-GB"/>
        </w:rPr>
      </w:pPr>
      <w:r w:rsidRPr="001003FC">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2D7CAC" w:rsidRDefault="000F6063" w:rsidP="007E03FA">
      <w:pPr>
        <w:pStyle w:val="ListParagraph"/>
        <w:numPr>
          <w:ilvl w:val="0"/>
          <w:numId w:val="32"/>
        </w:numPr>
        <w:ind w:left="426"/>
        <w:rPr>
          <w:rFonts w:ascii="Avenir Next" w:hAnsi="Avenir Next" w:cs="Arial"/>
          <w:sz w:val="22"/>
          <w:szCs w:val="22"/>
          <w:lang w:val="en-GB"/>
        </w:rPr>
      </w:pPr>
      <w:r w:rsidRPr="002D7CAC">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5FE49C8E" w14:textId="6056D810"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0C7A3D">
      <w:pPr>
        <w:jc w:val="both"/>
        <w:rPr>
          <w:rFonts w:ascii="Avenir Next" w:hAnsi="Avenir Next" w:cs="Arial"/>
          <w:color w:val="000000" w:themeColor="text1"/>
          <w:sz w:val="22"/>
          <w:szCs w:val="22"/>
          <w:lang w:val="en-GB"/>
        </w:rPr>
      </w:pPr>
    </w:p>
    <w:p w14:paraId="402E2D59" w14:textId="72345059" w:rsidR="00210493" w:rsidRPr="002D7CAC" w:rsidRDefault="00210493" w:rsidP="000C7A3D">
      <w:pPr>
        <w:pStyle w:val="ListParagraph"/>
        <w:numPr>
          <w:ilvl w:val="0"/>
          <w:numId w:val="33"/>
        </w:numPr>
        <w:ind w:left="426"/>
        <w:jc w:val="both"/>
        <w:rPr>
          <w:rFonts w:ascii="Avenir Next" w:hAnsi="Avenir Next" w:cs="Arial"/>
          <w:color w:val="000000" w:themeColor="text1"/>
          <w:sz w:val="22"/>
          <w:szCs w:val="22"/>
          <w:highlight w:val="yellow"/>
          <w:lang w:val="en-GB"/>
        </w:rPr>
      </w:pPr>
      <w:r w:rsidRPr="002D7CAC">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2D7CAC">
        <w:rPr>
          <w:rFonts w:ascii="Avenir Next" w:hAnsi="Avenir Next" w:cs="Arial"/>
          <w:color w:val="000000" w:themeColor="text1"/>
          <w:sz w:val="22"/>
          <w:szCs w:val="22"/>
          <w:highlight w:val="yellow"/>
          <w:lang w:val="en-GB"/>
        </w:rPr>
        <w:t>.</w:t>
      </w:r>
    </w:p>
    <w:p w14:paraId="5BFB6961" w14:textId="77777777" w:rsidR="007E03FA" w:rsidRPr="00310533" w:rsidRDefault="007E03FA" w:rsidP="000C7A3D">
      <w:pPr>
        <w:jc w:val="both"/>
        <w:rPr>
          <w:rFonts w:ascii="Avenir Next" w:hAnsi="Avenir Next" w:cs="Arial"/>
          <w:color w:val="000000" w:themeColor="text1"/>
          <w:sz w:val="22"/>
          <w:szCs w:val="22"/>
          <w:lang w:val="en-GB"/>
        </w:rPr>
      </w:pPr>
    </w:p>
    <w:p w14:paraId="32FB1A04" w14:textId="5706A29A"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0C7A3D">
      <w:pPr>
        <w:jc w:val="both"/>
        <w:rPr>
          <w:rFonts w:ascii="Avenir Next" w:hAnsi="Avenir Next" w:cs="Arial"/>
          <w:color w:val="000000" w:themeColor="text1"/>
          <w:sz w:val="22"/>
          <w:szCs w:val="22"/>
          <w:lang w:val="en-GB"/>
        </w:rPr>
      </w:pPr>
    </w:p>
    <w:p w14:paraId="322E7C99" w14:textId="5601C3B2"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2D7CAC" w:rsidRDefault="00CB2364" w:rsidP="00924973">
      <w:pPr>
        <w:pStyle w:val="ListParagraph"/>
        <w:numPr>
          <w:ilvl w:val="0"/>
          <w:numId w:val="34"/>
        </w:numPr>
        <w:ind w:left="426"/>
        <w:rPr>
          <w:rFonts w:ascii="Avenir Next" w:hAnsi="Avenir Next" w:cs="Arial"/>
          <w:sz w:val="22"/>
          <w:szCs w:val="22"/>
          <w:highlight w:val="yellow"/>
          <w:lang w:val="en-GB"/>
        </w:rPr>
      </w:pPr>
      <w:r w:rsidRPr="002D7CAC">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5E1117">
      <w:pPr>
        <w:jc w:val="both"/>
        <w:rPr>
          <w:rFonts w:ascii="Avenir Next" w:hAnsi="Avenir Next" w:cs="Arial"/>
          <w:sz w:val="22"/>
          <w:szCs w:val="22"/>
          <w:lang w:val="en-GB"/>
        </w:rPr>
      </w:pPr>
    </w:p>
    <w:p w14:paraId="35B57312" w14:textId="22733DCD"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5E1117">
      <w:pPr>
        <w:jc w:val="both"/>
        <w:rPr>
          <w:rFonts w:ascii="Avenir Next" w:hAnsi="Avenir Next" w:cs="Arial"/>
          <w:sz w:val="22"/>
          <w:szCs w:val="22"/>
          <w:lang w:val="en-GB"/>
        </w:rPr>
      </w:pPr>
    </w:p>
    <w:p w14:paraId="0D0C443F" w14:textId="0F1DC2CC" w:rsidR="000F6063" w:rsidRPr="002D7CAC" w:rsidRDefault="000F6063" w:rsidP="005E1117">
      <w:pPr>
        <w:pStyle w:val="ListParagraph"/>
        <w:numPr>
          <w:ilvl w:val="0"/>
          <w:numId w:val="35"/>
        </w:numPr>
        <w:ind w:left="426"/>
        <w:jc w:val="both"/>
        <w:rPr>
          <w:rFonts w:ascii="Avenir Next" w:hAnsi="Avenir Next" w:cs="Arial"/>
          <w:sz w:val="22"/>
          <w:szCs w:val="22"/>
          <w:highlight w:val="yellow"/>
          <w:lang w:val="en-GB"/>
        </w:rPr>
      </w:pPr>
      <w:r w:rsidRPr="002D7CA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5E1117">
      <w:pPr>
        <w:jc w:val="both"/>
        <w:rPr>
          <w:rFonts w:ascii="Avenir Next" w:hAnsi="Avenir Next" w:cs="Arial"/>
          <w:sz w:val="22"/>
          <w:szCs w:val="22"/>
          <w:lang w:val="en-GB"/>
        </w:rPr>
      </w:pPr>
    </w:p>
    <w:p w14:paraId="7B0FB38B" w14:textId="2BF66B25" w:rsidR="00F1258F" w:rsidRPr="00310533" w:rsidRDefault="00F1258F" w:rsidP="005E1117">
      <w:pPr>
        <w:pStyle w:val="ListParagraph"/>
        <w:numPr>
          <w:ilvl w:val="0"/>
          <w:numId w:val="35"/>
        </w:numPr>
        <w:ind w:left="426"/>
        <w:jc w:val="both"/>
        <w:rPr>
          <w:rFonts w:ascii="Avenir Next" w:hAnsi="Avenir Next" w:cs="Arial"/>
          <w:sz w:val="22"/>
          <w:szCs w:val="22"/>
          <w:lang w:val="en-GB"/>
        </w:rPr>
      </w:pPr>
      <w:r>
        <w:rPr>
          <w:rFonts w:ascii="Avenir Next" w:hAnsi="Avenir Next" w:cs="Arial"/>
          <w:sz w:val="22"/>
          <w:szCs w:val="22"/>
          <w:lang w:val="en-GB"/>
        </w:rPr>
        <w:t xml:space="preserve">Are prohibited from having any </w:t>
      </w:r>
      <w:r w:rsidRPr="00310533">
        <w:rPr>
          <w:rFonts w:ascii="Avenir Next" w:hAnsi="Avenir Next" w:cs="Arial"/>
          <w:sz w:val="22"/>
          <w:szCs w:val="22"/>
          <w:lang w:val="en-GB"/>
        </w:rPr>
        <w:t>control of the company.</w:t>
      </w:r>
    </w:p>
    <w:p w14:paraId="7512032C" w14:textId="77777777" w:rsidR="000F6063" w:rsidRPr="00F1258F" w:rsidRDefault="000F6063" w:rsidP="00C55824">
      <w:pPr>
        <w:jc w:val="both"/>
        <w:rPr>
          <w:rFonts w:ascii="Avenir Next" w:hAnsi="Avenir Next" w:cs="Arial"/>
          <w:b/>
          <w:bCs/>
          <w:sz w:val="22"/>
          <w:szCs w:val="22"/>
          <w:lang w:val="en-GB"/>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4071B45" w14:textId="3CBF46A0" w:rsidR="007914D4" w:rsidRPr="002D7CAC" w:rsidRDefault="007914D4" w:rsidP="007914D4">
      <w:pPr>
        <w:pStyle w:val="ListParagraph"/>
        <w:numPr>
          <w:ilvl w:val="0"/>
          <w:numId w:val="36"/>
        </w:numPr>
        <w:ind w:left="426"/>
        <w:rPr>
          <w:rFonts w:ascii="Avenir Next" w:hAnsi="Avenir Next" w:cs="Arial"/>
          <w:sz w:val="22"/>
          <w:szCs w:val="22"/>
          <w:highlight w:val="yellow"/>
          <w:lang w:val="en-GB"/>
        </w:rPr>
      </w:pPr>
      <w:r w:rsidRPr="002D7CAC">
        <w:rPr>
          <w:rFonts w:ascii="Avenir Next" w:hAnsi="Avenir Next" w:cs="Arial"/>
          <w:sz w:val="22"/>
          <w:szCs w:val="22"/>
          <w:highlight w:val="yellow"/>
          <w:lang w:val="en-GB"/>
        </w:rPr>
        <w:t>May enforce their security without leave of the court.</w:t>
      </w:r>
    </w:p>
    <w:p w14:paraId="6FADCF93" w14:textId="77777777" w:rsidR="007914D4" w:rsidRPr="007914D4" w:rsidRDefault="007914D4" w:rsidP="007914D4">
      <w:pPr>
        <w:pStyle w:val="ListParagraph"/>
        <w:rPr>
          <w:rFonts w:ascii="Avenir Next" w:hAnsi="Avenir Next" w:cs="Arial"/>
          <w:sz w:val="22"/>
          <w:szCs w:val="22"/>
          <w:lang w:val="en-GB"/>
        </w:rPr>
      </w:pPr>
    </w:p>
    <w:p w14:paraId="1851E1FD" w14:textId="5DDA1FE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40D1F1CD" w14:textId="77777777" w:rsidR="00532745" w:rsidRPr="00256802" w:rsidRDefault="00532745" w:rsidP="00532745">
      <w:pPr>
        <w:pStyle w:val="ListParagraph"/>
        <w:numPr>
          <w:ilvl w:val="0"/>
          <w:numId w:val="37"/>
        </w:numPr>
        <w:ind w:left="426"/>
        <w:jc w:val="both"/>
        <w:rPr>
          <w:rFonts w:ascii="Avenir Next" w:hAnsi="Avenir Next" w:cs="Arial"/>
          <w:sz w:val="22"/>
          <w:szCs w:val="22"/>
          <w:highlight w:val="yellow"/>
          <w:lang w:val="en-GB"/>
        </w:rPr>
      </w:pPr>
      <w:r w:rsidRPr="00256802">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51362D53" w14:textId="77777777" w:rsidR="00532745" w:rsidRDefault="00532745" w:rsidP="00532745">
      <w:pPr>
        <w:pStyle w:val="ListParagraph"/>
        <w:ind w:left="426"/>
        <w:jc w:val="both"/>
        <w:rPr>
          <w:rFonts w:ascii="Avenir Next" w:hAnsi="Avenir Next" w:cs="Arial"/>
          <w:sz w:val="22"/>
          <w:szCs w:val="22"/>
          <w:lang w:val="en-GB"/>
        </w:rPr>
      </w:pPr>
    </w:p>
    <w:p w14:paraId="2675998D" w14:textId="6D31C197"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0423D1">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8908C3E" w14:textId="77777777" w:rsidR="00532745" w:rsidRPr="00310533" w:rsidRDefault="00532745" w:rsidP="00532745">
      <w:pPr>
        <w:jc w:val="both"/>
        <w:rPr>
          <w:rFonts w:ascii="Avenir Next" w:hAnsi="Avenir Next" w:cs="Arial"/>
          <w:sz w:val="22"/>
          <w:szCs w:val="22"/>
          <w:lang w:val="en-GB"/>
        </w:rPr>
      </w:pPr>
    </w:p>
    <w:p w14:paraId="46889192" w14:textId="0229AC3D"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04573F2" w14:textId="77777777" w:rsidR="00532745" w:rsidRPr="00310533" w:rsidRDefault="00532745" w:rsidP="00532745">
      <w:pPr>
        <w:jc w:val="both"/>
        <w:rPr>
          <w:rFonts w:ascii="Avenir Next" w:hAnsi="Avenir Next" w:cs="Arial"/>
          <w:sz w:val="22"/>
          <w:szCs w:val="22"/>
          <w:lang w:val="en-GB"/>
        </w:rPr>
      </w:pPr>
    </w:p>
    <w:p w14:paraId="037DBF98" w14:textId="77777777" w:rsidR="00532745"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29F6131" w14:textId="77777777" w:rsidR="00532745" w:rsidRPr="00532745" w:rsidRDefault="00532745" w:rsidP="00532745">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7A8ED74A"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p>
    <w:p w14:paraId="54E62EB6" w14:textId="77777777" w:rsidR="00701D9F" w:rsidRPr="00310533" w:rsidRDefault="00701D9F" w:rsidP="00701D9F">
      <w:pPr>
        <w:jc w:val="both"/>
        <w:rPr>
          <w:rFonts w:ascii="Avenir Next" w:hAnsi="Avenir Next" w:cs="Arial"/>
          <w:sz w:val="22"/>
          <w:szCs w:val="22"/>
          <w:lang w:val="en-GB"/>
        </w:rPr>
      </w:pPr>
    </w:p>
    <w:p w14:paraId="1D9AEDA3"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p>
    <w:p w14:paraId="5B9B40CF" w14:textId="77777777" w:rsidR="00701D9F" w:rsidRPr="00310533" w:rsidRDefault="00701D9F" w:rsidP="00701D9F">
      <w:pPr>
        <w:jc w:val="both"/>
        <w:rPr>
          <w:rFonts w:ascii="Avenir Next" w:hAnsi="Avenir Next" w:cs="Arial"/>
          <w:sz w:val="22"/>
          <w:szCs w:val="22"/>
          <w:lang w:val="en-GB"/>
        </w:rPr>
      </w:pPr>
    </w:p>
    <w:p w14:paraId="777C6751" w14:textId="77777777" w:rsidR="00701D9F" w:rsidRPr="00490F04" w:rsidRDefault="00701D9F" w:rsidP="00701D9F">
      <w:pPr>
        <w:pStyle w:val="ListParagraph"/>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Sums due to depositors (if the company is a bank).</w:t>
      </w:r>
    </w:p>
    <w:p w14:paraId="7A948B41" w14:textId="77777777" w:rsidR="00701D9F" w:rsidRPr="00490F04" w:rsidRDefault="00701D9F" w:rsidP="00701D9F">
      <w:pPr>
        <w:jc w:val="both"/>
        <w:rPr>
          <w:rFonts w:ascii="Avenir Next" w:hAnsi="Avenir Next" w:cs="Arial"/>
          <w:sz w:val="22"/>
          <w:szCs w:val="22"/>
          <w:lang w:val="en-GB"/>
        </w:rPr>
      </w:pPr>
    </w:p>
    <w:p w14:paraId="2FAF2E22" w14:textId="77777777" w:rsidR="00701D9F" w:rsidRPr="00490F04" w:rsidRDefault="00701D9F" w:rsidP="00701D9F">
      <w:pPr>
        <w:pStyle w:val="ListParagraph"/>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Unsecured debts which are not subject to subordination agreements.</w:t>
      </w:r>
    </w:p>
    <w:p w14:paraId="6E898905" w14:textId="77777777" w:rsidR="00701D9F" w:rsidRDefault="00701D9F" w:rsidP="00701D9F">
      <w:pPr>
        <w:pStyle w:val="ListParagraph"/>
        <w:ind w:left="426"/>
        <w:jc w:val="both"/>
        <w:rPr>
          <w:rFonts w:ascii="Avenir Next" w:hAnsi="Avenir Next" w:cs="Arial"/>
          <w:sz w:val="22"/>
          <w:szCs w:val="22"/>
          <w:lang w:val="en-GB"/>
        </w:rPr>
      </w:pPr>
    </w:p>
    <w:p w14:paraId="2D5A6746" w14:textId="77777777" w:rsidR="00701D9F" w:rsidRPr="005A6C3A" w:rsidRDefault="00701D9F" w:rsidP="00701D9F">
      <w:pPr>
        <w:pStyle w:val="ListParagraph"/>
        <w:numPr>
          <w:ilvl w:val="0"/>
          <w:numId w:val="38"/>
        </w:numPr>
        <w:ind w:left="426"/>
        <w:jc w:val="both"/>
        <w:rPr>
          <w:rFonts w:ascii="Avenir Next" w:hAnsi="Avenir Next" w:cs="Arial"/>
          <w:sz w:val="22"/>
          <w:szCs w:val="22"/>
          <w:highlight w:val="yellow"/>
          <w:lang w:val="en-GB"/>
        </w:rPr>
      </w:pPr>
      <w:r w:rsidRPr="005A6C3A">
        <w:rPr>
          <w:rFonts w:ascii="Avenir Next" w:hAnsi="Avenir Next" w:cs="Arial"/>
          <w:sz w:val="22"/>
          <w:szCs w:val="22"/>
          <w:highlight w:val="yellow"/>
          <w:lang w:val="en-GB"/>
        </w:rPr>
        <w:t>Amounts due to preferred shareholders.</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0E35F688"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p>
    <w:p w14:paraId="473F6A31" w14:textId="77777777" w:rsidR="00155959" w:rsidRPr="00310533" w:rsidRDefault="00155959" w:rsidP="00155959">
      <w:pPr>
        <w:jc w:val="both"/>
        <w:rPr>
          <w:rFonts w:ascii="Avenir Next" w:hAnsi="Avenir Next" w:cs="Arial"/>
          <w:sz w:val="22"/>
          <w:szCs w:val="22"/>
          <w:lang w:val="en-GB"/>
        </w:rPr>
      </w:pPr>
    </w:p>
    <w:p w14:paraId="15DCB27F"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p>
    <w:p w14:paraId="4EB87067" w14:textId="77777777" w:rsidR="00155959" w:rsidRDefault="00155959" w:rsidP="00155959">
      <w:pPr>
        <w:pStyle w:val="ListParagraph"/>
        <w:ind w:left="426"/>
        <w:jc w:val="both"/>
        <w:rPr>
          <w:rFonts w:ascii="Avenir Next" w:hAnsi="Avenir Next" w:cs="Arial"/>
          <w:sz w:val="22"/>
          <w:szCs w:val="22"/>
          <w:lang w:val="en-GB"/>
        </w:rPr>
      </w:pPr>
    </w:p>
    <w:p w14:paraId="667DFCDD"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0A5A9403" w14:textId="77777777" w:rsidR="00155959" w:rsidRDefault="00155959" w:rsidP="00155959">
      <w:pPr>
        <w:pStyle w:val="ListParagraph"/>
        <w:ind w:left="426"/>
        <w:jc w:val="both"/>
        <w:rPr>
          <w:rFonts w:ascii="Avenir Next" w:hAnsi="Avenir Next" w:cs="Arial"/>
          <w:sz w:val="22"/>
          <w:szCs w:val="22"/>
          <w:lang w:val="en-GB"/>
        </w:rPr>
      </w:pPr>
    </w:p>
    <w:p w14:paraId="4FECF5E1"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400517">
        <w:rPr>
          <w:rFonts w:ascii="Avenir Next" w:hAnsi="Avenir Next" w:cs="Arial"/>
          <w:sz w:val="22"/>
          <w:szCs w:val="22"/>
          <w:highlight w:val="yellow"/>
          <w:lang w:val="en-GB"/>
        </w:rPr>
        <w:t>The company does not commence business within six months of incorporation.</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6BE5E51B"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933956" w14:textId="77777777" w:rsidR="0079520B" w:rsidRPr="00490F04" w:rsidRDefault="0079520B" w:rsidP="0079520B">
      <w:pPr>
        <w:jc w:val="both"/>
        <w:rPr>
          <w:rFonts w:ascii="Avenir Next" w:hAnsi="Avenir Next" w:cs="Arial"/>
          <w:sz w:val="22"/>
          <w:szCs w:val="22"/>
          <w:lang w:val="en-GB"/>
        </w:rPr>
      </w:pPr>
    </w:p>
    <w:p w14:paraId="2A251E60" w14:textId="77777777" w:rsidR="0079520B" w:rsidRPr="002D7CAC" w:rsidRDefault="0079520B" w:rsidP="0079520B">
      <w:pPr>
        <w:pStyle w:val="ListParagraph"/>
        <w:numPr>
          <w:ilvl w:val="0"/>
          <w:numId w:val="40"/>
        </w:numPr>
        <w:ind w:left="426"/>
        <w:jc w:val="both"/>
        <w:rPr>
          <w:rFonts w:ascii="Avenir Next" w:hAnsi="Avenir Next" w:cs="Arial"/>
          <w:sz w:val="22"/>
          <w:szCs w:val="22"/>
          <w:highlight w:val="yellow"/>
          <w:lang w:val="en-GB"/>
        </w:rPr>
      </w:pPr>
      <w:r w:rsidRPr="002D7CAC">
        <w:rPr>
          <w:rFonts w:ascii="Avenir Next" w:hAnsi="Avenir Next" w:cs="Arial"/>
          <w:sz w:val="22"/>
          <w:szCs w:val="22"/>
          <w:highlight w:val="yellow"/>
          <w:lang w:val="en-GB"/>
        </w:rPr>
        <w:t>More than 50% in number representing 75% or more in value of the creditors must agree.</w:t>
      </w:r>
    </w:p>
    <w:p w14:paraId="6D0B245C" w14:textId="77777777" w:rsidR="0079520B" w:rsidRPr="00490F04" w:rsidRDefault="0079520B" w:rsidP="0079520B">
      <w:pPr>
        <w:pStyle w:val="ListParagraph"/>
        <w:rPr>
          <w:rFonts w:ascii="Avenir Next" w:hAnsi="Avenir Next" w:cs="Arial"/>
          <w:sz w:val="22"/>
          <w:szCs w:val="22"/>
          <w:lang w:val="en-GB"/>
        </w:rPr>
      </w:pPr>
    </w:p>
    <w:p w14:paraId="5F7ED54E"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 xml:space="preserve">representing more than 75% </w:t>
      </w:r>
      <w:r>
        <w:rPr>
          <w:rFonts w:ascii="Avenir Next" w:hAnsi="Avenir Next" w:cs="Arial"/>
          <w:sz w:val="22"/>
          <w:szCs w:val="22"/>
          <w:lang w:val="en-GB"/>
        </w:rPr>
        <w:t>o</w:t>
      </w:r>
      <w:r w:rsidRPr="00490F04">
        <w:rPr>
          <w:rFonts w:ascii="Avenir Next" w:hAnsi="Avenir Next" w:cs="Arial"/>
          <w:sz w:val="22"/>
          <w:szCs w:val="22"/>
          <w:lang w:val="en-GB"/>
        </w:rPr>
        <w:t>f the creditors must agree.</w:t>
      </w:r>
    </w:p>
    <w:p w14:paraId="1FCA0328" w14:textId="77777777" w:rsidR="0079520B" w:rsidRPr="00490F04" w:rsidRDefault="0079520B" w:rsidP="0079520B">
      <w:pPr>
        <w:jc w:val="both"/>
        <w:rPr>
          <w:rFonts w:ascii="Avenir Next" w:hAnsi="Avenir Next" w:cs="Arial"/>
          <w:sz w:val="22"/>
          <w:szCs w:val="22"/>
          <w:lang w:val="en-GB"/>
        </w:rPr>
      </w:pPr>
    </w:p>
    <w:p w14:paraId="23E7C5A3" w14:textId="71F2383B" w:rsidR="0079520B" w:rsidRPr="002D7CAC" w:rsidRDefault="0079520B" w:rsidP="0079520B">
      <w:pPr>
        <w:pStyle w:val="ListParagraph"/>
        <w:numPr>
          <w:ilvl w:val="0"/>
          <w:numId w:val="40"/>
        </w:numPr>
        <w:ind w:left="426"/>
        <w:jc w:val="both"/>
        <w:rPr>
          <w:rFonts w:ascii="Avenir Next" w:hAnsi="Avenir Next" w:cs="Arial"/>
          <w:sz w:val="22"/>
          <w:szCs w:val="22"/>
          <w:lang w:val="en-GB"/>
        </w:rPr>
      </w:pPr>
      <w:r w:rsidRPr="002D7CAC">
        <w:rPr>
          <w:rFonts w:ascii="Avenir Next" w:hAnsi="Avenir Next" w:cs="Arial"/>
          <w:sz w:val="22"/>
          <w:szCs w:val="22"/>
          <w:lang w:val="en-GB"/>
        </w:rPr>
        <w:t>More than 50% in number representing more than 75% of the creditors must agree.</w:t>
      </w: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132B3204"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67256F">
        <w:rPr>
          <w:rFonts w:ascii="Avenir Next Demi Bold" w:hAnsi="Avenir Next Demi Bold" w:cs="Arial"/>
          <w:b/>
          <w:bCs/>
          <w:sz w:val="22"/>
          <w:szCs w:val="22"/>
          <w:lang w:val="en-GB"/>
        </w:rPr>
        <w:t>4</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EFD3220" w14:textId="77777777" w:rsidR="0067256F" w:rsidRPr="00310533" w:rsidRDefault="0067256F" w:rsidP="0067256F">
      <w:pPr>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Grand Court have the power to assist foreign bankruptcy proceedings? If so, what is the source of that power and in what circumstances may it exercise it? </w:t>
      </w:r>
    </w:p>
    <w:p w14:paraId="14F77008" w14:textId="73919960" w:rsidR="00A26898" w:rsidRPr="00310533" w:rsidRDefault="00A26898" w:rsidP="00D27CBC">
      <w:pPr>
        <w:jc w:val="both"/>
        <w:rPr>
          <w:rFonts w:ascii="Avenir Next" w:hAnsi="Avenir Next" w:cs="Arial"/>
          <w:sz w:val="22"/>
          <w:szCs w:val="22"/>
          <w:lang w:val="en-GB"/>
        </w:rPr>
      </w:pPr>
    </w:p>
    <w:p w14:paraId="16E19D36" w14:textId="0C758336" w:rsidR="002B3A96" w:rsidRDefault="00BE7DA7"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the Grand Court of the Cayman Islands</w:t>
      </w:r>
      <w:r w:rsidR="000B26C1">
        <w:rPr>
          <w:rFonts w:ascii="Avenir Next" w:hAnsi="Avenir Next" w:cs="Arial"/>
          <w:color w:val="808080" w:themeColor="background1" w:themeShade="80"/>
          <w:sz w:val="22"/>
          <w:szCs w:val="22"/>
          <w:lang w:val="en-GB"/>
        </w:rPr>
        <w:t xml:space="preserve"> (the </w:t>
      </w:r>
      <w:r w:rsidR="000B26C1" w:rsidRPr="000B26C1">
        <w:rPr>
          <w:rFonts w:ascii="Avenir Next" w:hAnsi="Avenir Next" w:cs="Arial"/>
          <w:b/>
          <w:bCs/>
          <w:color w:val="808080" w:themeColor="background1" w:themeShade="80"/>
          <w:sz w:val="22"/>
          <w:szCs w:val="22"/>
          <w:lang w:val="en-GB"/>
        </w:rPr>
        <w:t>GC</w:t>
      </w:r>
      <w:r w:rsidR="000B26C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does have the power to assist </w:t>
      </w:r>
      <w:r w:rsidRPr="00BE7DA7">
        <w:rPr>
          <w:rFonts w:ascii="Avenir Next" w:hAnsi="Avenir Next" w:cs="Arial"/>
          <w:color w:val="808080" w:themeColor="background1" w:themeShade="80"/>
          <w:sz w:val="22"/>
          <w:szCs w:val="22"/>
          <w:lang w:val="en-GB"/>
        </w:rPr>
        <w:t>foreign bankruptcy proceedings</w:t>
      </w:r>
      <w:r>
        <w:rPr>
          <w:rFonts w:ascii="Avenir Next" w:hAnsi="Avenir Next" w:cs="Arial"/>
          <w:color w:val="808080" w:themeColor="background1" w:themeShade="80"/>
          <w:sz w:val="22"/>
          <w:szCs w:val="22"/>
          <w:lang w:val="en-GB"/>
        </w:rPr>
        <w:t xml:space="preserve">. </w:t>
      </w:r>
    </w:p>
    <w:p w14:paraId="5E53F9C4" w14:textId="77777777" w:rsidR="00BE7DA7" w:rsidRDefault="00BE7DA7" w:rsidP="00D27CBC">
      <w:pPr>
        <w:jc w:val="both"/>
        <w:rPr>
          <w:rFonts w:ascii="Avenir Next" w:hAnsi="Avenir Next" w:cs="Arial"/>
          <w:color w:val="808080" w:themeColor="background1" w:themeShade="80"/>
          <w:sz w:val="22"/>
          <w:szCs w:val="22"/>
          <w:lang w:val="en-GB"/>
        </w:rPr>
      </w:pPr>
    </w:p>
    <w:p w14:paraId="14C1009C" w14:textId="03CCBAC3" w:rsidR="00BE7DA7" w:rsidRDefault="00BE7DA7"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source of that power is derived from </w:t>
      </w:r>
      <w:r w:rsidRPr="00BE7DA7">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 xml:space="preserve">art </w:t>
      </w:r>
      <w:r w:rsidRPr="00BE7DA7">
        <w:rPr>
          <w:rFonts w:ascii="Avenir Next" w:hAnsi="Avenir Next" w:cs="Arial"/>
          <w:color w:val="808080" w:themeColor="background1" w:themeShade="80"/>
          <w:sz w:val="22"/>
          <w:szCs w:val="22"/>
          <w:lang w:val="en-GB"/>
        </w:rPr>
        <w:t xml:space="preserve">XVII </w:t>
      </w:r>
      <w:r>
        <w:rPr>
          <w:rFonts w:ascii="Avenir Next" w:hAnsi="Avenir Next" w:cs="Arial"/>
          <w:color w:val="808080" w:themeColor="background1" w:themeShade="80"/>
          <w:sz w:val="22"/>
          <w:szCs w:val="22"/>
          <w:lang w:val="en-GB"/>
        </w:rPr>
        <w:t xml:space="preserve">of the Cayman Islands' </w:t>
      </w:r>
      <w:r w:rsidRPr="00BE7DA7">
        <w:rPr>
          <w:rFonts w:ascii="Avenir Next" w:hAnsi="Avenir Next" w:cs="Arial"/>
          <w:color w:val="808080" w:themeColor="background1" w:themeShade="80"/>
          <w:sz w:val="22"/>
          <w:szCs w:val="22"/>
          <w:lang w:val="en-GB"/>
        </w:rPr>
        <w:t xml:space="preserve">Companies Act (2023 Revision) </w:t>
      </w:r>
      <w:r>
        <w:rPr>
          <w:rFonts w:ascii="Avenir Next" w:hAnsi="Avenir Next" w:cs="Arial"/>
          <w:color w:val="808080" w:themeColor="background1" w:themeShade="80"/>
          <w:sz w:val="22"/>
          <w:szCs w:val="22"/>
          <w:lang w:val="en-GB"/>
        </w:rPr>
        <w:t xml:space="preserve">(the </w:t>
      </w:r>
      <w:r w:rsidRPr="00BE7DA7">
        <w:rPr>
          <w:rFonts w:ascii="Avenir Next" w:hAnsi="Avenir Next" w:cs="Arial"/>
          <w:b/>
          <w:bCs/>
          <w:color w:val="808080" w:themeColor="background1" w:themeShade="80"/>
          <w:sz w:val="22"/>
          <w:szCs w:val="22"/>
          <w:lang w:val="en-GB"/>
        </w:rPr>
        <w:t>CA</w:t>
      </w:r>
      <w:r>
        <w:rPr>
          <w:rFonts w:ascii="Avenir Next" w:hAnsi="Avenir Next" w:cs="Arial"/>
          <w:color w:val="808080" w:themeColor="background1" w:themeShade="80"/>
          <w:sz w:val="22"/>
          <w:szCs w:val="22"/>
          <w:lang w:val="en-GB"/>
        </w:rPr>
        <w:t>) which relates to i</w:t>
      </w:r>
      <w:r w:rsidRPr="00BE7DA7">
        <w:rPr>
          <w:rFonts w:ascii="Avenir Next" w:hAnsi="Avenir Next" w:cs="Arial"/>
          <w:color w:val="808080" w:themeColor="background1" w:themeShade="80"/>
          <w:sz w:val="22"/>
          <w:szCs w:val="22"/>
          <w:lang w:val="en-GB"/>
        </w:rPr>
        <w:t xml:space="preserve">nternational </w:t>
      </w:r>
      <w:r>
        <w:rPr>
          <w:rFonts w:ascii="Avenir Next" w:hAnsi="Avenir Next" w:cs="Arial"/>
          <w:color w:val="808080" w:themeColor="background1" w:themeShade="80"/>
          <w:sz w:val="22"/>
          <w:szCs w:val="22"/>
          <w:lang w:val="en-GB"/>
        </w:rPr>
        <w:t>c</w:t>
      </w:r>
      <w:r w:rsidRPr="00BE7DA7">
        <w:rPr>
          <w:rFonts w:ascii="Avenir Next" w:hAnsi="Avenir Next" w:cs="Arial"/>
          <w:color w:val="808080" w:themeColor="background1" w:themeShade="80"/>
          <w:sz w:val="22"/>
          <w:szCs w:val="22"/>
          <w:lang w:val="en-GB"/>
        </w:rPr>
        <w:t>o-operation.</w:t>
      </w:r>
      <w:r>
        <w:rPr>
          <w:rFonts w:ascii="Avenir Next" w:hAnsi="Avenir Next" w:cs="Arial"/>
          <w:color w:val="808080" w:themeColor="background1" w:themeShade="80"/>
          <w:sz w:val="22"/>
          <w:szCs w:val="22"/>
          <w:lang w:val="en-GB"/>
        </w:rPr>
        <w:t xml:space="preserve"> </w:t>
      </w:r>
      <w:r w:rsidRPr="00BE7DA7">
        <w:rPr>
          <w:rFonts w:ascii="Avenir Next" w:hAnsi="Avenir Next" w:cs="Arial"/>
          <w:color w:val="808080" w:themeColor="background1" w:themeShade="80"/>
          <w:sz w:val="22"/>
          <w:szCs w:val="22"/>
          <w:lang w:val="en-GB"/>
        </w:rPr>
        <w:cr/>
      </w:r>
    </w:p>
    <w:p w14:paraId="6AA8BA34" w14:textId="19D9FB09" w:rsidR="000B26C1" w:rsidRDefault="000B26C1" w:rsidP="000B26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section </w:t>
      </w:r>
      <w:r w:rsidRPr="000B26C1">
        <w:rPr>
          <w:rFonts w:ascii="Avenir Next" w:hAnsi="Avenir Next" w:cs="Arial"/>
          <w:color w:val="808080" w:themeColor="background1" w:themeShade="80"/>
          <w:sz w:val="22"/>
          <w:szCs w:val="22"/>
          <w:lang w:val="en-GB"/>
        </w:rPr>
        <w:t>241</w:t>
      </w:r>
      <w:r>
        <w:rPr>
          <w:rFonts w:ascii="Avenir Next" w:hAnsi="Avenir Next" w:cs="Arial"/>
          <w:color w:val="808080" w:themeColor="background1" w:themeShade="80"/>
          <w:sz w:val="22"/>
          <w:szCs w:val="22"/>
          <w:lang w:val="en-GB"/>
        </w:rPr>
        <w:t xml:space="preserve"> of the CA, the GC may upon </w:t>
      </w:r>
      <w:r w:rsidRPr="000B26C1">
        <w:rPr>
          <w:rFonts w:ascii="Avenir Next" w:hAnsi="Avenir Next" w:cs="Arial"/>
          <w:color w:val="808080" w:themeColor="background1" w:themeShade="80"/>
          <w:sz w:val="22"/>
          <w:szCs w:val="22"/>
          <w:lang w:val="en-GB"/>
        </w:rPr>
        <w:t>the application of a foreign representative make orders</w:t>
      </w:r>
      <w:r>
        <w:rPr>
          <w:rFonts w:ascii="Avenir Next" w:hAnsi="Avenir Next" w:cs="Arial"/>
          <w:color w:val="808080" w:themeColor="background1" w:themeShade="80"/>
          <w:sz w:val="22"/>
          <w:szCs w:val="22"/>
          <w:lang w:val="en-GB"/>
        </w:rPr>
        <w:t xml:space="preserve"> </w:t>
      </w:r>
      <w:r w:rsidRPr="000B26C1">
        <w:rPr>
          <w:rFonts w:ascii="Avenir Next" w:hAnsi="Avenir Next" w:cs="Arial"/>
          <w:color w:val="808080" w:themeColor="background1" w:themeShade="80"/>
          <w:sz w:val="22"/>
          <w:szCs w:val="22"/>
          <w:lang w:val="en-GB"/>
        </w:rPr>
        <w:t>ancillary to a foreign bankruptcy proceeding for the purposes of</w:t>
      </w:r>
      <w:r>
        <w:rPr>
          <w:rFonts w:ascii="Avenir Next" w:hAnsi="Avenir Next" w:cs="Arial"/>
          <w:color w:val="808080" w:themeColor="background1" w:themeShade="80"/>
          <w:sz w:val="22"/>
          <w:szCs w:val="22"/>
          <w:lang w:val="en-GB"/>
        </w:rPr>
        <w:t>:</w:t>
      </w:r>
    </w:p>
    <w:p w14:paraId="05051A1D" w14:textId="77777777" w:rsidR="000B26C1" w:rsidRPr="000B26C1" w:rsidRDefault="000B26C1" w:rsidP="000B26C1">
      <w:pPr>
        <w:jc w:val="both"/>
        <w:rPr>
          <w:rFonts w:ascii="Avenir Next" w:hAnsi="Avenir Next" w:cs="Arial"/>
          <w:color w:val="808080" w:themeColor="background1" w:themeShade="80"/>
          <w:sz w:val="22"/>
          <w:szCs w:val="22"/>
          <w:lang w:val="en-GB"/>
        </w:rPr>
      </w:pPr>
    </w:p>
    <w:p w14:paraId="1D94D301" w14:textId="0ED99502" w:rsidR="000B26C1" w:rsidRPr="000B26C1" w:rsidRDefault="000B26C1" w:rsidP="000B26C1">
      <w:pPr>
        <w:pStyle w:val="ListParagraph"/>
        <w:numPr>
          <w:ilvl w:val="0"/>
          <w:numId w:val="42"/>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 xml:space="preserve">recognising the right of a foreign representative to act in the Islands on behalf of or in the name of a </w:t>
      </w:r>
      <w:proofErr w:type="gramStart"/>
      <w:r w:rsidRPr="000B26C1">
        <w:rPr>
          <w:rFonts w:ascii="Avenir Next" w:hAnsi="Avenir Next" w:cs="Arial"/>
          <w:i/>
          <w:iCs/>
          <w:color w:val="808080" w:themeColor="background1" w:themeShade="80"/>
          <w:sz w:val="22"/>
          <w:szCs w:val="22"/>
          <w:lang w:val="en-GB"/>
        </w:rPr>
        <w:t>debtor;</w:t>
      </w:r>
      <w:proofErr w:type="gramEnd"/>
    </w:p>
    <w:p w14:paraId="0BE013E3" w14:textId="77777777" w:rsidR="000B26C1" w:rsidRPr="000B26C1" w:rsidRDefault="000B26C1" w:rsidP="000B26C1">
      <w:pPr>
        <w:pStyle w:val="ListParagraph"/>
        <w:jc w:val="both"/>
        <w:rPr>
          <w:rFonts w:ascii="Avenir Next" w:hAnsi="Avenir Next" w:cs="Arial"/>
          <w:i/>
          <w:iCs/>
          <w:color w:val="808080" w:themeColor="background1" w:themeShade="80"/>
          <w:sz w:val="22"/>
          <w:szCs w:val="22"/>
          <w:lang w:val="en-GB"/>
        </w:rPr>
      </w:pPr>
    </w:p>
    <w:p w14:paraId="40B4C9A1" w14:textId="77777777" w:rsidR="000B26C1" w:rsidRPr="000B26C1" w:rsidRDefault="000B26C1" w:rsidP="000B26C1">
      <w:pPr>
        <w:pStyle w:val="ListParagraph"/>
        <w:numPr>
          <w:ilvl w:val="0"/>
          <w:numId w:val="42"/>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 xml:space="preserve">enjoining the commencement or staying the continuation of legal proceedings against a </w:t>
      </w:r>
      <w:proofErr w:type="gramStart"/>
      <w:r w:rsidRPr="000B26C1">
        <w:rPr>
          <w:rFonts w:ascii="Avenir Next" w:hAnsi="Avenir Next" w:cs="Arial"/>
          <w:i/>
          <w:iCs/>
          <w:color w:val="808080" w:themeColor="background1" w:themeShade="80"/>
          <w:sz w:val="22"/>
          <w:szCs w:val="22"/>
          <w:lang w:val="en-GB"/>
        </w:rPr>
        <w:t>debtor;</w:t>
      </w:r>
      <w:proofErr w:type="gramEnd"/>
    </w:p>
    <w:p w14:paraId="5B26543E" w14:textId="77777777" w:rsidR="000B26C1" w:rsidRPr="000B26C1" w:rsidRDefault="000B26C1" w:rsidP="000B26C1">
      <w:pPr>
        <w:jc w:val="both"/>
        <w:rPr>
          <w:rFonts w:ascii="Avenir Next" w:hAnsi="Avenir Next" w:cs="Arial"/>
          <w:i/>
          <w:iCs/>
          <w:color w:val="808080" w:themeColor="background1" w:themeShade="80"/>
          <w:sz w:val="22"/>
          <w:szCs w:val="22"/>
          <w:lang w:val="en-GB"/>
        </w:rPr>
      </w:pPr>
    </w:p>
    <w:p w14:paraId="164F9035" w14:textId="77777777" w:rsidR="000B26C1" w:rsidRPr="000B26C1" w:rsidRDefault="000B26C1" w:rsidP="000B26C1">
      <w:pPr>
        <w:pStyle w:val="ListParagraph"/>
        <w:numPr>
          <w:ilvl w:val="0"/>
          <w:numId w:val="42"/>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 xml:space="preserve">staying the enforcement of any judgment against a </w:t>
      </w:r>
      <w:proofErr w:type="gramStart"/>
      <w:r w:rsidRPr="000B26C1">
        <w:rPr>
          <w:rFonts w:ascii="Avenir Next" w:hAnsi="Avenir Next" w:cs="Arial"/>
          <w:i/>
          <w:iCs/>
          <w:color w:val="808080" w:themeColor="background1" w:themeShade="80"/>
          <w:sz w:val="22"/>
          <w:szCs w:val="22"/>
          <w:lang w:val="en-GB"/>
        </w:rPr>
        <w:t>debtor;</w:t>
      </w:r>
      <w:proofErr w:type="gramEnd"/>
    </w:p>
    <w:p w14:paraId="3D79BFC5" w14:textId="77777777" w:rsidR="000B26C1" w:rsidRPr="000B26C1" w:rsidRDefault="000B26C1" w:rsidP="000B26C1">
      <w:pPr>
        <w:jc w:val="both"/>
        <w:rPr>
          <w:rFonts w:ascii="Avenir Next" w:hAnsi="Avenir Next" w:cs="Arial"/>
          <w:i/>
          <w:iCs/>
          <w:color w:val="808080" w:themeColor="background1" w:themeShade="80"/>
          <w:sz w:val="22"/>
          <w:szCs w:val="22"/>
          <w:lang w:val="en-GB"/>
        </w:rPr>
      </w:pPr>
    </w:p>
    <w:p w14:paraId="42E1C91E" w14:textId="77777777" w:rsidR="000B26C1" w:rsidRPr="000B26C1" w:rsidRDefault="000B26C1" w:rsidP="000B26C1">
      <w:pPr>
        <w:pStyle w:val="ListParagraph"/>
        <w:numPr>
          <w:ilvl w:val="0"/>
          <w:numId w:val="42"/>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requiring a person in possession of information relating to the business or affairs of a debtor to be examined by and produce documents to its foreign representative; and</w:t>
      </w:r>
    </w:p>
    <w:p w14:paraId="2BF9188E" w14:textId="77777777" w:rsidR="000B26C1" w:rsidRPr="000B26C1" w:rsidRDefault="000B26C1" w:rsidP="000B26C1">
      <w:pPr>
        <w:jc w:val="both"/>
        <w:rPr>
          <w:rFonts w:ascii="Avenir Next" w:hAnsi="Avenir Next" w:cs="Arial"/>
          <w:i/>
          <w:iCs/>
          <w:color w:val="808080" w:themeColor="background1" w:themeShade="80"/>
          <w:sz w:val="22"/>
          <w:szCs w:val="22"/>
          <w:lang w:val="en-GB"/>
        </w:rPr>
      </w:pPr>
    </w:p>
    <w:p w14:paraId="36385222" w14:textId="7067FFA5" w:rsidR="000B26C1" w:rsidRPr="000B26C1" w:rsidRDefault="000B26C1" w:rsidP="000B26C1">
      <w:pPr>
        <w:pStyle w:val="ListParagraph"/>
        <w:numPr>
          <w:ilvl w:val="0"/>
          <w:numId w:val="42"/>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ordering the turnover to a foreign representative of any property belonging to a debtor.</w:t>
      </w:r>
      <w:r>
        <w:rPr>
          <w:rStyle w:val="FootnoteReference"/>
          <w:rFonts w:ascii="Avenir Next" w:hAnsi="Avenir Next" w:cs="Arial"/>
          <w:i/>
          <w:iCs/>
          <w:color w:val="808080" w:themeColor="background1" w:themeShade="80"/>
          <w:sz w:val="22"/>
          <w:szCs w:val="22"/>
          <w:lang w:val="en-GB"/>
        </w:rPr>
        <w:footnoteReference w:id="1"/>
      </w:r>
    </w:p>
    <w:p w14:paraId="71279F0C" w14:textId="77777777" w:rsidR="00BE7DA7" w:rsidRDefault="00BE7DA7" w:rsidP="00D27CBC">
      <w:pPr>
        <w:jc w:val="both"/>
        <w:rPr>
          <w:rFonts w:ascii="Avenir Next" w:hAnsi="Avenir Next" w:cs="Arial"/>
          <w:color w:val="808080" w:themeColor="background1" w:themeShade="80"/>
          <w:sz w:val="22"/>
          <w:szCs w:val="22"/>
          <w:lang w:val="en-GB"/>
        </w:rPr>
      </w:pPr>
    </w:p>
    <w:p w14:paraId="729D3CD9" w14:textId="1D56B7C5" w:rsidR="00BE7DA7" w:rsidRDefault="00BE7DA7"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worth noting that the Cayman Islands </w:t>
      </w:r>
      <w:r w:rsidR="00BF4447">
        <w:rPr>
          <w:rFonts w:ascii="Avenir Next" w:hAnsi="Avenir Next" w:cs="Arial"/>
          <w:color w:val="808080" w:themeColor="background1" w:themeShade="80"/>
          <w:sz w:val="22"/>
          <w:szCs w:val="22"/>
          <w:lang w:val="en-GB"/>
        </w:rPr>
        <w:t>has</w:t>
      </w:r>
      <w:r>
        <w:rPr>
          <w:rFonts w:ascii="Avenir Next" w:hAnsi="Avenir Next" w:cs="Arial"/>
          <w:color w:val="808080" w:themeColor="background1" w:themeShade="80"/>
          <w:sz w:val="22"/>
          <w:szCs w:val="22"/>
          <w:lang w:val="en-GB"/>
        </w:rPr>
        <w:t xml:space="preserve"> not </w:t>
      </w:r>
      <w:r w:rsidRPr="00BE7DA7">
        <w:rPr>
          <w:rFonts w:ascii="Avenir Next" w:hAnsi="Avenir Next" w:cs="Arial"/>
          <w:color w:val="808080" w:themeColor="background1" w:themeShade="80"/>
          <w:sz w:val="22"/>
          <w:szCs w:val="22"/>
          <w:lang w:val="en-GB"/>
        </w:rPr>
        <w:t>implemented the UNCITRAL Model Law on Cross-Border</w:t>
      </w:r>
      <w:r>
        <w:rPr>
          <w:rFonts w:ascii="Avenir Next" w:hAnsi="Avenir Next" w:cs="Arial"/>
          <w:color w:val="808080" w:themeColor="background1" w:themeShade="80"/>
          <w:sz w:val="22"/>
          <w:szCs w:val="22"/>
          <w:lang w:val="en-GB"/>
        </w:rPr>
        <w:t xml:space="preserve"> </w:t>
      </w:r>
      <w:r w:rsidRPr="00BE7DA7">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nor is it a member of the European Union despite being a British Overseas Territory. </w:t>
      </w:r>
    </w:p>
    <w:p w14:paraId="1A2692B2" w14:textId="77777777" w:rsidR="00BE7DA7" w:rsidRDefault="00BE7DA7" w:rsidP="00D27CBC">
      <w:pPr>
        <w:jc w:val="both"/>
        <w:rPr>
          <w:rFonts w:ascii="Avenir Next" w:hAnsi="Avenir Next" w:cs="Arial"/>
          <w:color w:val="808080" w:themeColor="background1" w:themeShade="80"/>
          <w:sz w:val="22"/>
          <w:szCs w:val="22"/>
          <w:lang w:val="en-GB"/>
        </w:rPr>
      </w:pPr>
    </w:p>
    <w:p w14:paraId="4B43ECBA" w14:textId="26D78AA9" w:rsidR="000B26C1" w:rsidRDefault="00BE7DA7" w:rsidP="000B26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Ultimately the Grand Court has discretion to </w:t>
      </w:r>
      <w:r w:rsidRPr="00BE7DA7">
        <w:rPr>
          <w:rFonts w:ascii="Avenir Next" w:hAnsi="Avenir Next" w:cs="Arial"/>
          <w:color w:val="808080" w:themeColor="background1" w:themeShade="80"/>
          <w:sz w:val="22"/>
          <w:szCs w:val="22"/>
          <w:lang w:val="en-GB"/>
        </w:rPr>
        <w:t xml:space="preserve">grant relief sought in </w:t>
      </w:r>
      <w:r>
        <w:rPr>
          <w:rFonts w:ascii="Avenir Next" w:hAnsi="Avenir Next" w:cs="Arial"/>
          <w:color w:val="808080" w:themeColor="background1" w:themeShade="80"/>
          <w:sz w:val="22"/>
          <w:szCs w:val="22"/>
          <w:lang w:val="en-GB"/>
        </w:rPr>
        <w:t>a</w:t>
      </w:r>
      <w:r w:rsidRPr="00BE7DA7">
        <w:rPr>
          <w:rFonts w:ascii="Avenir Next" w:hAnsi="Avenir Next" w:cs="Arial"/>
          <w:color w:val="808080" w:themeColor="background1" w:themeShade="80"/>
          <w:sz w:val="22"/>
          <w:szCs w:val="22"/>
          <w:lang w:val="en-GB"/>
        </w:rPr>
        <w:t xml:space="preserve"> foreign representative’s application</w:t>
      </w:r>
      <w:r>
        <w:rPr>
          <w:rFonts w:ascii="Avenir Next" w:hAnsi="Avenir Next" w:cs="Arial"/>
          <w:color w:val="808080" w:themeColor="background1" w:themeShade="80"/>
          <w:sz w:val="22"/>
          <w:szCs w:val="22"/>
          <w:lang w:val="en-GB"/>
        </w:rPr>
        <w:t xml:space="preserve"> </w:t>
      </w:r>
      <w:r w:rsidR="000B26C1">
        <w:rPr>
          <w:rFonts w:ascii="Avenir Next" w:hAnsi="Avenir Next" w:cs="Arial"/>
          <w:color w:val="808080" w:themeColor="background1" w:themeShade="80"/>
          <w:sz w:val="22"/>
          <w:szCs w:val="22"/>
          <w:lang w:val="en-GB"/>
        </w:rPr>
        <w:t>and make ancillary orders</w:t>
      </w:r>
      <w:r w:rsidR="008070CA">
        <w:rPr>
          <w:rFonts w:ascii="Avenir Next" w:hAnsi="Avenir Next" w:cs="Arial"/>
          <w:color w:val="808080" w:themeColor="background1" w:themeShade="80"/>
          <w:sz w:val="22"/>
          <w:szCs w:val="22"/>
          <w:lang w:val="en-GB"/>
        </w:rPr>
        <w:t xml:space="preserve"> if it is satisfied that it is appropriate to do so</w:t>
      </w:r>
      <w:r w:rsidR="000B26C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in doing so it required to </w:t>
      </w:r>
      <w:proofErr w:type="gramStart"/>
      <w:r>
        <w:rPr>
          <w:rFonts w:ascii="Avenir Next" w:hAnsi="Avenir Next" w:cs="Arial"/>
          <w:color w:val="808080" w:themeColor="background1" w:themeShade="80"/>
          <w:sz w:val="22"/>
          <w:szCs w:val="22"/>
          <w:lang w:val="en-GB"/>
        </w:rPr>
        <w:t>take into account</w:t>
      </w:r>
      <w:proofErr w:type="gramEnd"/>
      <w:r>
        <w:rPr>
          <w:rFonts w:ascii="Avenir Next" w:hAnsi="Avenir Next" w:cs="Arial"/>
          <w:color w:val="808080" w:themeColor="background1" w:themeShade="80"/>
          <w:sz w:val="22"/>
          <w:szCs w:val="22"/>
          <w:lang w:val="en-GB"/>
        </w:rPr>
        <w:t xml:space="preserve"> the </w:t>
      </w:r>
      <w:r w:rsidR="000B26C1">
        <w:rPr>
          <w:rFonts w:ascii="Avenir Next" w:hAnsi="Avenir Next" w:cs="Arial"/>
          <w:color w:val="808080" w:themeColor="background1" w:themeShade="80"/>
          <w:sz w:val="22"/>
          <w:szCs w:val="22"/>
          <w:lang w:val="en-GB"/>
        </w:rPr>
        <w:t xml:space="preserve">criteria in section 242 of the CA (which are designed to </w:t>
      </w:r>
      <w:r w:rsidR="000B26C1" w:rsidRPr="000B26C1">
        <w:rPr>
          <w:rFonts w:ascii="Avenir Next" w:hAnsi="Avenir Next" w:cs="Arial"/>
          <w:color w:val="808080" w:themeColor="background1" w:themeShade="80"/>
          <w:sz w:val="22"/>
          <w:szCs w:val="22"/>
          <w:lang w:val="en-GB"/>
        </w:rPr>
        <w:t>assure an economic and expeditious</w:t>
      </w:r>
      <w:r w:rsidR="000B26C1">
        <w:rPr>
          <w:rFonts w:ascii="Avenir Next" w:hAnsi="Avenir Next" w:cs="Arial"/>
          <w:color w:val="808080" w:themeColor="background1" w:themeShade="80"/>
          <w:sz w:val="22"/>
          <w:szCs w:val="22"/>
          <w:lang w:val="en-GB"/>
        </w:rPr>
        <w:t xml:space="preserve"> </w:t>
      </w:r>
      <w:r w:rsidR="000B26C1" w:rsidRPr="000B26C1">
        <w:rPr>
          <w:rFonts w:ascii="Avenir Next" w:hAnsi="Avenir Next" w:cs="Arial"/>
          <w:color w:val="808080" w:themeColor="background1" w:themeShade="80"/>
          <w:sz w:val="22"/>
          <w:szCs w:val="22"/>
          <w:lang w:val="en-GB"/>
        </w:rPr>
        <w:t>administration of the debtor’s estate</w:t>
      </w:r>
      <w:r w:rsidR="000B26C1">
        <w:rPr>
          <w:rFonts w:ascii="Avenir Next" w:hAnsi="Avenir Next" w:cs="Arial"/>
          <w:color w:val="808080" w:themeColor="background1" w:themeShade="80"/>
          <w:sz w:val="22"/>
          <w:szCs w:val="22"/>
          <w:lang w:val="en-GB"/>
        </w:rPr>
        <w:t>):</w:t>
      </w:r>
    </w:p>
    <w:p w14:paraId="1AABFBBF" w14:textId="77777777" w:rsidR="000B26C1" w:rsidRPr="000B26C1" w:rsidRDefault="000B26C1" w:rsidP="000B26C1">
      <w:pPr>
        <w:jc w:val="both"/>
        <w:rPr>
          <w:rFonts w:ascii="Avenir Next" w:hAnsi="Avenir Next" w:cs="Arial"/>
          <w:color w:val="808080" w:themeColor="background1" w:themeShade="80"/>
          <w:sz w:val="22"/>
          <w:szCs w:val="22"/>
          <w:lang w:val="en-GB"/>
        </w:rPr>
      </w:pPr>
    </w:p>
    <w:p w14:paraId="57A5DB07" w14:textId="2DD0F858" w:rsidR="000B26C1" w:rsidRDefault="000B26C1" w:rsidP="000B26C1">
      <w:pPr>
        <w:pStyle w:val="ListParagraph"/>
        <w:numPr>
          <w:ilvl w:val="0"/>
          <w:numId w:val="43"/>
        </w:numPr>
        <w:jc w:val="both"/>
        <w:rPr>
          <w:rFonts w:ascii="Avenir Next" w:hAnsi="Avenir Next" w:cs="Arial"/>
          <w:i/>
          <w:iCs/>
          <w:color w:val="808080" w:themeColor="background1" w:themeShade="80"/>
          <w:sz w:val="22"/>
          <w:szCs w:val="22"/>
          <w:lang w:val="en-GB"/>
        </w:rPr>
      </w:pPr>
      <w:proofErr w:type="spellStart"/>
      <w:r w:rsidRPr="000B26C1">
        <w:rPr>
          <w:rFonts w:ascii="Avenir Next" w:hAnsi="Avenir Next" w:cs="Arial"/>
          <w:i/>
          <w:iCs/>
          <w:color w:val="808080" w:themeColor="background1" w:themeShade="80"/>
          <w:sz w:val="22"/>
          <w:szCs w:val="22"/>
          <w:lang w:val="en-GB"/>
        </w:rPr>
        <w:t>the</w:t>
      </w:r>
      <w:proofErr w:type="spellEnd"/>
      <w:r w:rsidRPr="000B26C1">
        <w:rPr>
          <w:rFonts w:ascii="Avenir Next" w:hAnsi="Avenir Next" w:cs="Arial"/>
          <w:i/>
          <w:iCs/>
          <w:color w:val="808080" w:themeColor="background1" w:themeShade="80"/>
          <w:sz w:val="22"/>
          <w:szCs w:val="22"/>
          <w:lang w:val="en-GB"/>
        </w:rPr>
        <w:t xml:space="preserve"> just treatment of all holders of claims against or interests in a debtor’s estate wherever they may be </w:t>
      </w:r>
      <w:proofErr w:type="gramStart"/>
      <w:r w:rsidRPr="000B26C1">
        <w:rPr>
          <w:rFonts w:ascii="Avenir Next" w:hAnsi="Avenir Next" w:cs="Arial"/>
          <w:i/>
          <w:iCs/>
          <w:color w:val="808080" w:themeColor="background1" w:themeShade="80"/>
          <w:sz w:val="22"/>
          <w:szCs w:val="22"/>
          <w:lang w:val="en-GB"/>
        </w:rPr>
        <w:t>domiciled;</w:t>
      </w:r>
      <w:proofErr w:type="gramEnd"/>
    </w:p>
    <w:p w14:paraId="169DF0D8" w14:textId="77777777" w:rsidR="000B26C1" w:rsidRPr="000B26C1" w:rsidRDefault="000B26C1" w:rsidP="000B26C1">
      <w:pPr>
        <w:jc w:val="both"/>
        <w:rPr>
          <w:rFonts w:ascii="Avenir Next" w:hAnsi="Avenir Next" w:cs="Arial"/>
          <w:i/>
          <w:iCs/>
          <w:color w:val="808080" w:themeColor="background1" w:themeShade="80"/>
          <w:sz w:val="22"/>
          <w:szCs w:val="22"/>
          <w:lang w:val="en-GB"/>
        </w:rPr>
      </w:pPr>
    </w:p>
    <w:p w14:paraId="561F1FE0" w14:textId="1D51DA13" w:rsidR="000B26C1" w:rsidRPr="000B26C1" w:rsidRDefault="000B26C1" w:rsidP="000B26C1">
      <w:pPr>
        <w:pStyle w:val="ListParagraph"/>
        <w:numPr>
          <w:ilvl w:val="0"/>
          <w:numId w:val="43"/>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lastRenderedPageBreak/>
        <w:t>the protection of claim holders in the Islands against prejudice and</w:t>
      </w:r>
      <w:r>
        <w:rPr>
          <w:rFonts w:ascii="Avenir Next" w:hAnsi="Avenir Next" w:cs="Arial"/>
          <w:i/>
          <w:iCs/>
          <w:color w:val="808080" w:themeColor="background1" w:themeShade="80"/>
          <w:sz w:val="22"/>
          <w:szCs w:val="22"/>
          <w:lang w:val="en-GB"/>
        </w:rPr>
        <w:t xml:space="preserve"> </w:t>
      </w:r>
      <w:r w:rsidRPr="000B26C1">
        <w:rPr>
          <w:rFonts w:ascii="Avenir Next" w:hAnsi="Avenir Next" w:cs="Arial"/>
          <w:i/>
          <w:iCs/>
          <w:color w:val="808080" w:themeColor="background1" w:themeShade="80"/>
          <w:sz w:val="22"/>
          <w:szCs w:val="22"/>
          <w:lang w:val="en-GB"/>
        </w:rPr>
        <w:t xml:space="preserve">inconvenience in the processing of claims in the foreign bankruptcy </w:t>
      </w:r>
      <w:proofErr w:type="gramStart"/>
      <w:r w:rsidRPr="000B26C1">
        <w:rPr>
          <w:rFonts w:ascii="Avenir Next" w:hAnsi="Avenir Next" w:cs="Arial"/>
          <w:i/>
          <w:iCs/>
          <w:color w:val="808080" w:themeColor="background1" w:themeShade="80"/>
          <w:sz w:val="22"/>
          <w:szCs w:val="22"/>
          <w:lang w:val="en-GB"/>
        </w:rPr>
        <w:t>proceeding;</w:t>
      </w:r>
      <w:proofErr w:type="gramEnd"/>
    </w:p>
    <w:p w14:paraId="65186B84" w14:textId="77777777" w:rsidR="00BF4447" w:rsidRDefault="00BF4447" w:rsidP="00754BDA">
      <w:pPr>
        <w:pStyle w:val="ListParagraph"/>
        <w:jc w:val="both"/>
        <w:rPr>
          <w:rFonts w:ascii="Avenir Next" w:hAnsi="Avenir Next" w:cs="Arial"/>
          <w:i/>
          <w:iCs/>
          <w:color w:val="808080" w:themeColor="background1" w:themeShade="80"/>
          <w:sz w:val="22"/>
          <w:szCs w:val="22"/>
          <w:lang w:val="en-GB"/>
        </w:rPr>
      </w:pPr>
    </w:p>
    <w:p w14:paraId="1ACCA722" w14:textId="0062B077" w:rsidR="000B26C1" w:rsidRDefault="000B26C1" w:rsidP="000B26C1">
      <w:pPr>
        <w:pStyle w:val="ListParagraph"/>
        <w:numPr>
          <w:ilvl w:val="0"/>
          <w:numId w:val="43"/>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the prevention of preferential or fraudulent dispositions of property</w:t>
      </w:r>
      <w:r>
        <w:rPr>
          <w:rFonts w:ascii="Avenir Next" w:hAnsi="Avenir Next" w:cs="Arial"/>
          <w:i/>
          <w:iCs/>
          <w:color w:val="808080" w:themeColor="background1" w:themeShade="80"/>
          <w:sz w:val="22"/>
          <w:szCs w:val="22"/>
          <w:lang w:val="en-GB"/>
        </w:rPr>
        <w:t xml:space="preserve"> </w:t>
      </w:r>
      <w:r w:rsidRPr="000B26C1">
        <w:rPr>
          <w:rFonts w:ascii="Avenir Next" w:hAnsi="Avenir Next" w:cs="Arial"/>
          <w:i/>
          <w:iCs/>
          <w:color w:val="808080" w:themeColor="background1" w:themeShade="80"/>
          <w:sz w:val="22"/>
          <w:szCs w:val="22"/>
          <w:lang w:val="en-GB"/>
        </w:rPr>
        <w:t xml:space="preserve">comprised in the debtor’s </w:t>
      </w:r>
      <w:proofErr w:type="gramStart"/>
      <w:r w:rsidRPr="000B26C1">
        <w:rPr>
          <w:rFonts w:ascii="Avenir Next" w:hAnsi="Avenir Next" w:cs="Arial"/>
          <w:i/>
          <w:iCs/>
          <w:color w:val="808080" w:themeColor="background1" w:themeShade="80"/>
          <w:sz w:val="22"/>
          <w:szCs w:val="22"/>
          <w:lang w:val="en-GB"/>
        </w:rPr>
        <w:t>estate;</w:t>
      </w:r>
      <w:proofErr w:type="gramEnd"/>
    </w:p>
    <w:p w14:paraId="45192C61" w14:textId="77777777" w:rsidR="000B26C1" w:rsidRPr="000B26C1" w:rsidRDefault="000B26C1" w:rsidP="000B26C1">
      <w:pPr>
        <w:pStyle w:val="ListParagraph"/>
        <w:jc w:val="both"/>
        <w:rPr>
          <w:rFonts w:ascii="Avenir Next" w:hAnsi="Avenir Next" w:cs="Arial"/>
          <w:i/>
          <w:iCs/>
          <w:color w:val="808080" w:themeColor="background1" w:themeShade="80"/>
          <w:sz w:val="22"/>
          <w:szCs w:val="22"/>
          <w:lang w:val="en-GB"/>
        </w:rPr>
      </w:pPr>
    </w:p>
    <w:p w14:paraId="5368A188" w14:textId="0813B984" w:rsidR="000B26C1" w:rsidRDefault="000B26C1" w:rsidP="000B26C1">
      <w:pPr>
        <w:pStyle w:val="ListParagraph"/>
        <w:numPr>
          <w:ilvl w:val="0"/>
          <w:numId w:val="43"/>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 xml:space="preserve"> the distribution of the debtor’s estate amongst creditors substantially in</w:t>
      </w:r>
      <w:r>
        <w:rPr>
          <w:rFonts w:ascii="Avenir Next" w:hAnsi="Avenir Next" w:cs="Arial"/>
          <w:i/>
          <w:iCs/>
          <w:color w:val="808080" w:themeColor="background1" w:themeShade="80"/>
          <w:sz w:val="22"/>
          <w:szCs w:val="22"/>
          <w:lang w:val="en-GB"/>
        </w:rPr>
        <w:t xml:space="preserve"> </w:t>
      </w:r>
      <w:r w:rsidRPr="000B26C1">
        <w:rPr>
          <w:rFonts w:ascii="Avenir Next" w:hAnsi="Avenir Next" w:cs="Arial"/>
          <w:i/>
          <w:iCs/>
          <w:color w:val="808080" w:themeColor="background1" w:themeShade="80"/>
          <w:sz w:val="22"/>
          <w:szCs w:val="22"/>
          <w:lang w:val="en-GB"/>
        </w:rPr>
        <w:t xml:space="preserve">accordance with the order prescribed by Part </w:t>
      </w:r>
      <w:proofErr w:type="gramStart"/>
      <w:r w:rsidRPr="000B26C1">
        <w:rPr>
          <w:rFonts w:ascii="Avenir Next" w:hAnsi="Avenir Next" w:cs="Arial"/>
          <w:i/>
          <w:iCs/>
          <w:color w:val="808080" w:themeColor="background1" w:themeShade="80"/>
          <w:sz w:val="22"/>
          <w:szCs w:val="22"/>
          <w:lang w:val="en-GB"/>
        </w:rPr>
        <w:t>V;</w:t>
      </w:r>
      <w:proofErr w:type="gramEnd"/>
    </w:p>
    <w:p w14:paraId="359C44E0" w14:textId="77777777" w:rsidR="000B26C1" w:rsidRPr="000B26C1" w:rsidRDefault="000B26C1" w:rsidP="000B26C1">
      <w:pPr>
        <w:jc w:val="both"/>
        <w:rPr>
          <w:rFonts w:ascii="Avenir Next" w:hAnsi="Avenir Next" w:cs="Arial"/>
          <w:i/>
          <w:iCs/>
          <w:color w:val="808080" w:themeColor="background1" w:themeShade="80"/>
          <w:sz w:val="22"/>
          <w:szCs w:val="22"/>
          <w:lang w:val="en-GB"/>
        </w:rPr>
      </w:pPr>
    </w:p>
    <w:p w14:paraId="7009ADFA" w14:textId="797AE6A5" w:rsidR="000B26C1" w:rsidRDefault="000B26C1" w:rsidP="000B26C1">
      <w:pPr>
        <w:pStyle w:val="ListParagraph"/>
        <w:numPr>
          <w:ilvl w:val="0"/>
          <w:numId w:val="43"/>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 xml:space="preserve">the recognition and enforcement of security interests created by the </w:t>
      </w:r>
      <w:proofErr w:type="gramStart"/>
      <w:r w:rsidRPr="000B26C1">
        <w:rPr>
          <w:rFonts w:ascii="Avenir Next" w:hAnsi="Avenir Next" w:cs="Arial"/>
          <w:i/>
          <w:iCs/>
          <w:color w:val="808080" w:themeColor="background1" w:themeShade="80"/>
          <w:sz w:val="22"/>
          <w:szCs w:val="22"/>
          <w:lang w:val="en-GB"/>
        </w:rPr>
        <w:t>debtor;</w:t>
      </w:r>
      <w:proofErr w:type="gramEnd"/>
    </w:p>
    <w:p w14:paraId="49228004" w14:textId="77777777" w:rsidR="000B26C1" w:rsidRPr="000B26C1" w:rsidRDefault="000B26C1" w:rsidP="000B26C1">
      <w:pPr>
        <w:jc w:val="both"/>
        <w:rPr>
          <w:rFonts w:ascii="Avenir Next" w:hAnsi="Avenir Next" w:cs="Arial"/>
          <w:i/>
          <w:iCs/>
          <w:color w:val="808080" w:themeColor="background1" w:themeShade="80"/>
          <w:sz w:val="22"/>
          <w:szCs w:val="22"/>
          <w:lang w:val="en-GB"/>
        </w:rPr>
      </w:pPr>
    </w:p>
    <w:p w14:paraId="3E644C47" w14:textId="7A20DB26" w:rsidR="000B26C1" w:rsidRPr="000B26C1" w:rsidRDefault="000B26C1" w:rsidP="000B26C1">
      <w:pPr>
        <w:pStyle w:val="ListParagraph"/>
        <w:numPr>
          <w:ilvl w:val="0"/>
          <w:numId w:val="43"/>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 xml:space="preserve">the non-enforcement of foreign taxes, </w:t>
      </w:r>
      <w:proofErr w:type="gramStart"/>
      <w:r w:rsidRPr="000B26C1">
        <w:rPr>
          <w:rFonts w:ascii="Avenir Next" w:hAnsi="Avenir Next" w:cs="Arial"/>
          <w:i/>
          <w:iCs/>
          <w:color w:val="808080" w:themeColor="background1" w:themeShade="80"/>
          <w:sz w:val="22"/>
          <w:szCs w:val="22"/>
          <w:lang w:val="en-GB"/>
        </w:rPr>
        <w:t>fines</w:t>
      </w:r>
      <w:proofErr w:type="gramEnd"/>
      <w:r w:rsidRPr="000B26C1">
        <w:rPr>
          <w:rFonts w:ascii="Avenir Next" w:hAnsi="Avenir Next" w:cs="Arial"/>
          <w:i/>
          <w:iCs/>
          <w:color w:val="808080" w:themeColor="background1" w:themeShade="80"/>
          <w:sz w:val="22"/>
          <w:szCs w:val="22"/>
          <w:lang w:val="en-GB"/>
        </w:rPr>
        <w:t xml:space="preserve"> and penalties; and</w:t>
      </w:r>
    </w:p>
    <w:p w14:paraId="4300ACFD" w14:textId="77777777" w:rsidR="000B26C1" w:rsidRDefault="000B26C1" w:rsidP="000B26C1">
      <w:pPr>
        <w:pStyle w:val="ListParagraph"/>
        <w:jc w:val="both"/>
        <w:rPr>
          <w:rFonts w:ascii="Avenir Next" w:hAnsi="Avenir Next" w:cs="Arial"/>
          <w:i/>
          <w:iCs/>
          <w:color w:val="808080" w:themeColor="background1" w:themeShade="80"/>
          <w:sz w:val="22"/>
          <w:szCs w:val="22"/>
          <w:lang w:val="en-GB"/>
        </w:rPr>
      </w:pPr>
    </w:p>
    <w:p w14:paraId="28CF0E65" w14:textId="5F43C277" w:rsidR="000B26C1" w:rsidRDefault="000B26C1" w:rsidP="000B26C1">
      <w:pPr>
        <w:pStyle w:val="ListParagraph"/>
        <w:numPr>
          <w:ilvl w:val="0"/>
          <w:numId w:val="43"/>
        </w:numPr>
        <w:jc w:val="both"/>
        <w:rPr>
          <w:rFonts w:ascii="Avenir Next" w:hAnsi="Avenir Next" w:cs="Arial"/>
          <w:i/>
          <w:iCs/>
          <w:color w:val="808080" w:themeColor="background1" w:themeShade="80"/>
          <w:sz w:val="22"/>
          <w:szCs w:val="22"/>
          <w:lang w:val="en-GB"/>
        </w:rPr>
      </w:pPr>
      <w:r w:rsidRPr="000B26C1">
        <w:rPr>
          <w:rFonts w:ascii="Avenir Next" w:hAnsi="Avenir Next" w:cs="Arial"/>
          <w:i/>
          <w:iCs/>
          <w:color w:val="808080" w:themeColor="background1" w:themeShade="80"/>
          <w:sz w:val="22"/>
          <w:szCs w:val="22"/>
          <w:lang w:val="en-GB"/>
        </w:rPr>
        <w:t>comity.</w:t>
      </w:r>
      <w:r w:rsidR="00304488">
        <w:rPr>
          <w:rStyle w:val="FootnoteReference"/>
          <w:rFonts w:ascii="Avenir Next" w:hAnsi="Avenir Next" w:cs="Arial"/>
          <w:i/>
          <w:iCs/>
          <w:color w:val="808080" w:themeColor="background1" w:themeShade="80"/>
          <w:sz w:val="22"/>
          <w:szCs w:val="22"/>
          <w:lang w:val="en-GB"/>
        </w:rPr>
        <w:footnoteReference w:id="2"/>
      </w:r>
    </w:p>
    <w:p w14:paraId="1C778CF7" w14:textId="77777777" w:rsidR="000B26C1" w:rsidRPr="000B26C1" w:rsidRDefault="000B26C1" w:rsidP="000B26C1">
      <w:pPr>
        <w:pStyle w:val="ListParagraph"/>
        <w:rPr>
          <w:rFonts w:ascii="Avenir Next" w:hAnsi="Avenir Next" w:cs="Arial"/>
          <w:i/>
          <w:iCs/>
          <w:color w:val="808080" w:themeColor="background1" w:themeShade="80"/>
          <w:sz w:val="22"/>
          <w:szCs w:val="22"/>
          <w:lang w:val="en-GB"/>
        </w:rPr>
      </w:pPr>
    </w:p>
    <w:p w14:paraId="1E51E0C2" w14:textId="65308142" w:rsidR="000B26C1" w:rsidRPr="00304488" w:rsidRDefault="00304488" w:rsidP="003044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debtor is a foreign company which is registered under part IX of the CA (being an overseas company that does business in the Cayman Islands)</w:t>
      </w:r>
      <w:r>
        <w:rPr>
          <w:rStyle w:val="FootnoteReference"/>
          <w:rFonts w:ascii="Avenir Next" w:hAnsi="Avenir Next" w:cs="Arial"/>
          <w:color w:val="808080" w:themeColor="background1" w:themeShade="80"/>
          <w:sz w:val="22"/>
          <w:szCs w:val="22"/>
          <w:lang w:val="en-GB"/>
        </w:rPr>
        <w:footnoteReference w:id="3"/>
      </w:r>
      <w:r>
        <w:rPr>
          <w:rFonts w:ascii="Avenir Next" w:hAnsi="Avenir Next" w:cs="Arial"/>
          <w:color w:val="808080" w:themeColor="background1" w:themeShade="80"/>
          <w:sz w:val="22"/>
          <w:szCs w:val="22"/>
          <w:lang w:val="en-GB"/>
        </w:rPr>
        <w:t xml:space="preserve"> then the Court </w:t>
      </w:r>
      <w:r w:rsidRPr="00304488">
        <w:rPr>
          <w:rFonts w:ascii="Avenir Next" w:hAnsi="Avenir Next" w:cs="Arial"/>
          <w:color w:val="808080" w:themeColor="background1" w:themeShade="80"/>
          <w:sz w:val="22"/>
          <w:szCs w:val="22"/>
          <w:lang w:val="en-GB"/>
        </w:rPr>
        <w:t>cannot make</w:t>
      </w:r>
      <w:r w:rsidR="000B26C1" w:rsidRPr="00304488">
        <w:rPr>
          <w:rFonts w:ascii="Avenir Next" w:hAnsi="Avenir Next" w:cs="Arial"/>
          <w:color w:val="808080" w:themeColor="background1" w:themeShade="80"/>
          <w:sz w:val="22"/>
          <w:szCs w:val="22"/>
          <w:lang w:val="en-GB"/>
        </w:rPr>
        <w:t xml:space="preserve"> an ancillary order under section 241 without also considering whether it</w:t>
      </w:r>
      <w:r w:rsidRPr="00304488">
        <w:rPr>
          <w:rFonts w:ascii="Avenir Next" w:hAnsi="Avenir Next" w:cs="Arial"/>
          <w:color w:val="808080" w:themeColor="background1" w:themeShade="80"/>
          <w:sz w:val="22"/>
          <w:szCs w:val="22"/>
          <w:lang w:val="en-GB"/>
        </w:rPr>
        <w:t xml:space="preserve"> </w:t>
      </w:r>
      <w:r w:rsidR="000B26C1" w:rsidRPr="00304488">
        <w:rPr>
          <w:rFonts w:ascii="Avenir Next" w:hAnsi="Avenir Next" w:cs="Arial"/>
          <w:color w:val="808080" w:themeColor="background1" w:themeShade="80"/>
          <w:sz w:val="22"/>
          <w:szCs w:val="22"/>
          <w:lang w:val="en-GB"/>
        </w:rPr>
        <w:t xml:space="preserve">should make a winding up order under Part V </w:t>
      </w:r>
      <w:r w:rsidRPr="00304488">
        <w:rPr>
          <w:rFonts w:ascii="Avenir Next" w:hAnsi="Avenir Next" w:cs="Arial"/>
          <w:color w:val="808080" w:themeColor="background1" w:themeShade="80"/>
          <w:sz w:val="22"/>
          <w:szCs w:val="22"/>
          <w:lang w:val="en-GB"/>
        </w:rPr>
        <w:t xml:space="preserve">of the CA </w:t>
      </w:r>
      <w:r w:rsidR="000B26C1" w:rsidRPr="00304488">
        <w:rPr>
          <w:rFonts w:ascii="Avenir Next" w:hAnsi="Avenir Next" w:cs="Arial"/>
          <w:color w:val="808080" w:themeColor="background1" w:themeShade="80"/>
          <w:sz w:val="22"/>
          <w:szCs w:val="22"/>
          <w:lang w:val="en-GB"/>
        </w:rPr>
        <w:t xml:space="preserve">in respect of </w:t>
      </w:r>
      <w:r w:rsidRPr="00304488">
        <w:rPr>
          <w:rFonts w:ascii="Avenir Next" w:hAnsi="Avenir Next" w:cs="Arial"/>
          <w:color w:val="808080" w:themeColor="background1" w:themeShade="80"/>
          <w:sz w:val="22"/>
          <w:szCs w:val="22"/>
          <w:lang w:val="en-GB"/>
        </w:rPr>
        <w:t>that foreign company's</w:t>
      </w:r>
      <w:r w:rsidR="000B26C1" w:rsidRPr="00304488">
        <w:rPr>
          <w:rFonts w:ascii="Avenir Next" w:hAnsi="Avenir Next" w:cs="Arial"/>
          <w:color w:val="808080" w:themeColor="background1" w:themeShade="80"/>
          <w:sz w:val="22"/>
          <w:szCs w:val="22"/>
          <w:lang w:val="en-GB"/>
        </w:rPr>
        <w:t xml:space="preserve"> local branch.</w:t>
      </w:r>
      <w:r>
        <w:rPr>
          <w:rStyle w:val="FootnoteReference"/>
          <w:rFonts w:ascii="Avenir Next" w:hAnsi="Avenir Next" w:cs="Arial"/>
          <w:color w:val="808080" w:themeColor="background1" w:themeShade="80"/>
          <w:sz w:val="22"/>
          <w:szCs w:val="22"/>
          <w:lang w:val="en-GB"/>
        </w:rPr>
        <w:footnoteReference w:id="4"/>
      </w:r>
    </w:p>
    <w:p w14:paraId="5DCFDFFB" w14:textId="77777777" w:rsidR="00D27CBC" w:rsidRPr="00310533" w:rsidRDefault="00D27CBC" w:rsidP="00D27CBC">
      <w:pPr>
        <w:jc w:val="both"/>
        <w:rPr>
          <w:rFonts w:ascii="Avenir Next" w:hAnsi="Avenir Next" w:cs="Arial"/>
          <w:sz w:val="22"/>
          <w:szCs w:val="22"/>
          <w:lang w:val="en-GB"/>
        </w:rPr>
      </w:pPr>
    </w:p>
    <w:p w14:paraId="0AD09321" w14:textId="122815B2"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2.2 [maximum </w:t>
      </w:r>
      <w:r w:rsidR="003C0E39">
        <w:rPr>
          <w:rFonts w:ascii="Avenir Next Demi Bold" w:hAnsi="Avenir Next Demi Bold" w:cs="Arial"/>
          <w:b/>
          <w:bCs/>
          <w:sz w:val="22"/>
          <w:szCs w:val="22"/>
          <w:lang w:val="en-GB"/>
        </w:rPr>
        <w:t>3</w:t>
      </w:r>
      <w:r w:rsidRPr="00310533">
        <w:rPr>
          <w:rFonts w:ascii="Avenir Next Demi Bold" w:hAnsi="Avenir Next Demi Bold" w:cs="Arial"/>
          <w:b/>
          <w:bCs/>
          <w:sz w:val="22"/>
          <w:szCs w:val="22"/>
          <w:lang w:val="en-GB"/>
        </w:rPr>
        <w:t xml:space="preserve"> marks]</w:t>
      </w:r>
    </w:p>
    <w:p w14:paraId="7EA8FE86" w14:textId="77777777" w:rsidR="00D27CBC" w:rsidRPr="00310533" w:rsidRDefault="00D27CBC" w:rsidP="00D27CBC">
      <w:pPr>
        <w:jc w:val="both"/>
        <w:rPr>
          <w:rFonts w:ascii="Avenir Next" w:hAnsi="Avenir Next" w:cs="Arial"/>
          <w:b/>
          <w:bCs/>
          <w:sz w:val="22"/>
          <w:szCs w:val="22"/>
          <w:lang w:val="en-GB"/>
        </w:rPr>
      </w:pPr>
    </w:p>
    <w:p w14:paraId="39545617" w14:textId="77777777" w:rsidR="008959EB" w:rsidRPr="00310533" w:rsidRDefault="008959EB" w:rsidP="008959EB">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30436367" w:rsidR="00AB0E3A" w:rsidRDefault="003251B6"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circumstances where t</w:t>
      </w:r>
      <w:r w:rsidRPr="003251B6">
        <w:rPr>
          <w:rFonts w:ascii="Avenir Next" w:hAnsi="Avenir Next" w:cs="Arial"/>
          <w:color w:val="808080" w:themeColor="background1" w:themeShade="80"/>
          <w:sz w:val="22"/>
          <w:szCs w:val="22"/>
          <w:lang w:val="en-GB"/>
        </w:rPr>
        <w:t xml:space="preserve">he Cayman Islands </w:t>
      </w: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Pr="003251B6">
        <w:rPr>
          <w:rFonts w:ascii="Avenir Next" w:hAnsi="Avenir Next" w:cs="Arial"/>
          <w:color w:val="808080" w:themeColor="background1" w:themeShade="80"/>
          <w:sz w:val="22"/>
          <w:szCs w:val="22"/>
          <w:lang w:val="en-GB"/>
        </w:rPr>
        <w:t>has not entered into any international treaties for the reciprocal recognition</w:t>
      </w:r>
      <w:r>
        <w:rPr>
          <w:rFonts w:ascii="Avenir Next" w:hAnsi="Avenir Next" w:cs="Arial"/>
          <w:color w:val="808080" w:themeColor="background1" w:themeShade="80"/>
          <w:sz w:val="22"/>
          <w:szCs w:val="22"/>
          <w:lang w:val="en-GB"/>
        </w:rPr>
        <w:t xml:space="preserve"> </w:t>
      </w:r>
      <w:r w:rsidRPr="003251B6">
        <w:rPr>
          <w:rFonts w:ascii="Avenir Next" w:hAnsi="Avenir Next" w:cs="Arial"/>
          <w:color w:val="808080" w:themeColor="background1" w:themeShade="80"/>
          <w:sz w:val="22"/>
          <w:szCs w:val="22"/>
          <w:lang w:val="en-GB"/>
        </w:rPr>
        <w:t>or enforcement of foreign judgments</w:t>
      </w:r>
      <w:r>
        <w:rPr>
          <w:rFonts w:ascii="Avenir Next" w:hAnsi="Avenir Next" w:cs="Arial"/>
          <w:color w:val="808080" w:themeColor="background1" w:themeShade="80"/>
          <w:sz w:val="22"/>
          <w:szCs w:val="22"/>
          <w:lang w:val="en-GB"/>
        </w:rPr>
        <w:t xml:space="preserve">; (ii) </w:t>
      </w:r>
      <w:r w:rsidRPr="003251B6">
        <w:rPr>
          <w:rFonts w:ascii="Avenir Next" w:hAnsi="Avenir Next" w:cs="Arial"/>
          <w:color w:val="808080" w:themeColor="background1" w:themeShade="80"/>
          <w:sz w:val="22"/>
          <w:szCs w:val="22"/>
          <w:lang w:val="en-GB"/>
        </w:rPr>
        <w:t>is not a signatory to the Hague Convention on the Recognition and</w:t>
      </w:r>
      <w:r>
        <w:rPr>
          <w:rFonts w:ascii="Avenir Next" w:hAnsi="Avenir Next" w:cs="Arial"/>
          <w:color w:val="808080" w:themeColor="background1" w:themeShade="80"/>
          <w:sz w:val="22"/>
          <w:szCs w:val="22"/>
          <w:lang w:val="en-GB"/>
        </w:rPr>
        <w:t xml:space="preserve"> </w:t>
      </w:r>
      <w:r w:rsidRPr="003251B6">
        <w:rPr>
          <w:rFonts w:ascii="Avenir Next" w:hAnsi="Avenir Next" w:cs="Arial"/>
          <w:color w:val="808080" w:themeColor="background1" w:themeShade="80"/>
          <w:sz w:val="22"/>
          <w:szCs w:val="22"/>
          <w:lang w:val="en-GB"/>
        </w:rPr>
        <w:t>Enforcement of Foreign Judgments in Civil and Commercial Matters</w:t>
      </w:r>
      <w:r>
        <w:rPr>
          <w:rFonts w:ascii="Avenir Next" w:hAnsi="Avenir Next" w:cs="Arial"/>
          <w:color w:val="808080" w:themeColor="background1" w:themeShade="80"/>
          <w:sz w:val="22"/>
          <w:szCs w:val="22"/>
          <w:lang w:val="en-GB"/>
        </w:rPr>
        <w:t xml:space="preserve"> and (iii) The</w:t>
      </w:r>
      <w:r w:rsidRPr="003251B6">
        <w:rPr>
          <w:rFonts w:ascii="Avenir Next" w:hAnsi="Avenir Next" w:cs="Arial"/>
          <w:color w:val="808080" w:themeColor="background1" w:themeShade="80"/>
          <w:sz w:val="22"/>
          <w:szCs w:val="22"/>
          <w:lang w:val="en-GB"/>
        </w:rPr>
        <w:t xml:space="preserve"> Foreign Judgments Reciprocal Enforcement Act (1996 Revision)</w:t>
      </w:r>
      <w:r>
        <w:rPr>
          <w:rFonts w:ascii="Avenir Next" w:hAnsi="Avenir Next" w:cs="Arial"/>
          <w:color w:val="808080" w:themeColor="background1" w:themeShade="80"/>
          <w:sz w:val="22"/>
          <w:szCs w:val="22"/>
          <w:lang w:val="en-GB"/>
        </w:rPr>
        <w:t xml:space="preserve"> </w:t>
      </w:r>
      <w:r w:rsidR="007F4666">
        <w:rPr>
          <w:rFonts w:ascii="Avenir Next" w:hAnsi="Avenir Next" w:cs="Arial"/>
          <w:color w:val="808080" w:themeColor="background1" w:themeShade="80"/>
          <w:sz w:val="22"/>
          <w:szCs w:val="22"/>
          <w:lang w:val="en-GB"/>
        </w:rPr>
        <w:t xml:space="preserve">(the </w:t>
      </w:r>
      <w:r w:rsidR="007F4666" w:rsidRPr="007F4666">
        <w:rPr>
          <w:rFonts w:ascii="Avenir Next" w:hAnsi="Avenir Next" w:cs="Arial"/>
          <w:b/>
          <w:bCs/>
          <w:color w:val="808080" w:themeColor="background1" w:themeShade="80"/>
          <w:sz w:val="22"/>
          <w:szCs w:val="22"/>
          <w:lang w:val="en-GB"/>
        </w:rPr>
        <w:t>1996 Act</w:t>
      </w:r>
      <w:r w:rsidR="007F466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currently has limited application because it only applies to </w:t>
      </w:r>
      <w:r w:rsidRPr="003251B6">
        <w:rPr>
          <w:rFonts w:ascii="Avenir Next" w:hAnsi="Avenir Next" w:cs="Arial"/>
          <w:color w:val="808080" w:themeColor="background1" w:themeShade="80"/>
          <w:sz w:val="22"/>
          <w:szCs w:val="22"/>
          <w:lang w:val="en-GB"/>
        </w:rPr>
        <w:t>judgments from the Superior Courts of Australia</w:t>
      </w:r>
      <w:r>
        <w:rPr>
          <w:rFonts w:ascii="Avenir Next" w:hAnsi="Avenir Next" w:cs="Arial"/>
          <w:color w:val="808080" w:themeColor="background1" w:themeShade="80"/>
          <w:sz w:val="22"/>
          <w:szCs w:val="22"/>
          <w:lang w:val="en-GB"/>
        </w:rPr>
        <w:t>, t</w:t>
      </w:r>
      <w:r w:rsidRPr="003251B6">
        <w:rPr>
          <w:rFonts w:ascii="Avenir Next" w:hAnsi="Avenir Next" w:cs="Arial"/>
          <w:color w:val="808080" w:themeColor="background1" w:themeShade="80"/>
          <w:sz w:val="22"/>
          <w:szCs w:val="22"/>
          <w:lang w:val="en-GB"/>
        </w:rPr>
        <w:t xml:space="preserve">he enforcement of foreign judgments is </w:t>
      </w:r>
      <w:r>
        <w:rPr>
          <w:rFonts w:ascii="Avenir Next" w:hAnsi="Avenir Next" w:cs="Arial"/>
          <w:color w:val="808080" w:themeColor="background1" w:themeShade="80"/>
          <w:sz w:val="22"/>
          <w:szCs w:val="22"/>
          <w:lang w:val="en-GB"/>
        </w:rPr>
        <w:t xml:space="preserve">typically </w:t>
      </w:r>
      <w:r w:rsidRPr="003251B6">
        <w:rPr>
          <w:rFonts w:ascii="Avenir Next" w:hAnsi="Avenir Next" w:cs="Arial"/>
          <w:color w:val="808080" w:themeColor="background1" w:themeShade="80"/>
          <w:sz w:val="22"/>
          <w:szCs w:val="22"/>
          <w:lang w:val="en-GB"/>
        </w:rPr>
        <w:t xml:space="preserve">achieved by </w:t>
      </w:r>
      <w:r w:rsidR="00CD5C25">
        <w:rPr>
          <w:rFonts w:ascii="Avenir Next" w:hAnsi="Avenir Next" w:cs="Arial"/>
          <w:color w:val="808080" w:themeColor="background1" w:themeShade="80"/>
          <w:sz w:val="22"/>
          <w:szCs w:val="22"/>
          <w:lang w:val="en-GB"/>
        </w:rPr>
        <w:t xml:space="preserve">way of the common law and by </w:t>
      </w:r>
      <w:r w:rsidRPr="003251B6">
        <w:rPr>
          <w:rFonts w:ascii="Avenir Next" w:hAnsi="Avenir Next" w:cs="Arial"/>
          <w:color w:val="808080" w:themeColor="background1" w:themeShade="80"/>
          <w:sz w:val="22"/>
          <w:szCs w:val="22"/>
          <w:lang w:val="en-GB"/>
        </w:rPr>
        <w:t>commencing new</w:t>
      </w:r>
      <w:r>
        <w:rPr>
          <w:rFonts w:ascii="Avenir Next" w:hAnsi="Avenir Next" w:cs="Arial"/>
          <w:color w:val="808080" w:themeColor="background1" w:themeShade="80"/>
          <w:sz w:val="22"/>
          <w:szCs w:val="22"/>
          <w:lang w:val="en-GB"/>
        </w:rPr>
        <w:t xml:space="preserve"> proceedings</w:t>
      </w:r>
      <w:r w:rsidRPr="003251B6">
        <w:rPr>
          <w:rFonts w:ascii="Avenir Next" w:hAnsi="Avenir Next" w:cs="Arial"/>
          <w:color w:val="808080" w:themeColor="background1" w:themeShade="80"/>
          <w:sz w:val="22"/>
          <w:szCs w:val="22"/>
          <w:lang w:val="en-GB"/>
        </w:rPr>
        <w:t xml:space="preserve"> in the Cayman Islands based upon the foreign judgment as an unsatisfied debt or other</w:t>
      </w:r>
      <w:r>
        <w:rPr>
          <w:rFonts w:ascii="Avenir Next" w:hAnsi="Avenir Next" w:cs="Arial"/>
          <w:color w:val="808080" w:themeColor="background1" w:themeShade="80"/>
          <w:sz w:val="22"/>
          <w:szCs w:val="22"/>
          <w:lang w:val="en-GB"/>
        </w:rPr>
        <w:t xml:space="preserve"> </w:t>
      </w:r>
      <w:r w:rsidRPr="003251B6">
        <w:rPr>
          <w:rFonts w:ascii="Avenir Next" w:hAnsi="Avenir Next" w:cs="Arial"/>
          <w:color w:val="808080" w:themeColor="background1" w:themeShade="80"/>
          <w:sz w:val="22"/>
          <w:szCs w:val="22"/>
          <w:lang w:val="en-GB"/>
        </w:rPr>
        <w:t>obligation</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xml:space="preserve"> </w:t>
      </w:r>
      <w:r w:rsidR="00CD5C25">
        <w:rPr>
          <w:rFonts w:ascii="Avenir Next" w:hAnsi="Avenir Next" w:cs="Arial"/>
          <w:color w:val="808080" w:themeColor="background1" w:themeShade="80"/>
          <w:sz w:val="22"/>
          <w:szCs w:val="22"/>
          <w:lang w:val="en-GB"/>
        </w:rPr>
        <w:t>Both money and non-monetary foreign judgments are enforceable at common law.</w:t>
      </w:r>
      <w:r w:rsidR="00CD5C25">
        <w:rPr>
          <w:rStyle w:val="FootnoteReference"/>
          <w:rFonts w:ascii="Avenir Next" w:hAnsi="Avenir Next" w:cs="Arial"/>
          <w:color w:val="808080" w:themeColor="background1" w:themeShade="80"/>
          <w:sz w:val="22"/>
          <w:szCs w:val="22"/>
          <w:lang w:val="en-GB"/>
        </w:rPr>
        <w:footnoteReference w:id="6"/>
      </w:r>
      <w:r w:rsidR="00CD5C25">
        <w:rPr>
          <w:rFonts w:ascii="Avenir Next" w:hAnsi="Avenir Next" w:cs="Arial"/>
          <w:color w:val="808080" w:themeColor="background1" w:themeShade="80"/>
          <w:sz w:val="22"/>
          <w:szCs w:val="22"/>
          <w:lang w:val="en-GB"/>
        </w:rPr>
        <w:t xml:space="preserve"> </w:t>
      </w:r>
    </w:p>
    <w:p w14:paraId="65E0A5C3" w14:textId="77777777" w:rsidR="00CD5C25" w:rsidRDefault="00CD5C25" w:rsidP="00AB0E3A">
      <w:pPr>
        <w:jc w:val="both"/>
        <w:rPr>
          <w:rFonts w:ascii="Avenir Next" w:hAnsi="Avenir Next" w:cs="Arial"/>
          <w:color w:val="808080" w:themeColor="background1" w:themeShade="80"/>
          <w:sz w:val="22"/>
          <w:szCs w:val="22"/>
          <w:lang w:val="en-GB"/>
        </w:rPr>
      </w:pPr>
    </w:p>
    <w:p w14:paraId="2F897F9E" w14:textId="3C57B745" w:rsidR="00CD5C25" w:rsidRDefault="00CD5C25"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Act (2015 Revision) and specifically the Grand Court Rules (2023 Revision) (the </w:t>
      </w:r>
      <w:r w:rsidRPr="00CD5C25">
        <w:rPr>
          <w:rFonts w:ascii="Avenir Next" w:hAnsi="Avenir Next" w:cs="Arial"/>
          <w:b/>
          <w:bCs/>
          <w:color w:val="808080" w:themeColor="background1" w:themeShade="80"/>
          <w:sz w:val="22"/>
          <w:szCs w:val="22"/>
          <w:lang w:val="en-GB"/>
        </w:rPr>
        <w:t>GCR</w:t>
      </w:r>
      <w:r>
        <w:rPr>
          <w:rFonts w:ascii="Avenir Next" w:hAnsi="Avenir Next" w:cs="Arial"/>
          <w:color w:val="808080" w:themeColor="background1" w:themeShade="80"/>
          <w:sz w:val="22"/>
          <w:szCs w:val="22"/>
          <w:lang w:val="en-GB"/>
        </w:rPr>
        <w:t xml:space="preserve">) regulate the procedure for such proceedings in the Cayman Islands. </w:t>
      </w:r>
      <w:r w:rsidR="007F4666">
        <w:rPr>
          <w:rFonts w:ascii="Avenir Next" w:hAnsi="Avenir Next" w:cs="Arial"/>
          <w:color w:val="808080" w:themeColor="background1" w:themeShade="80"/>
          <w:sz w:val="22"/>
          <w:szCs w:val="22"/>
          <w:lang w:val="en-GB"/>
        </w:rPr>
        <w:t xml:space="preserve"> In addition, o</w:t>
      </w:r>
      <w:r>
        <w:rPr>
          <w:rFonts w:ascii="Avenir Next" w:hAnsi="Avenir Next" w:cs="Arial"/>
          <w:color w:val="808080" w:themeColor="background1" w:themeShade="80"/>
          <w:sz w:val="22"/>
          <w:szCs w:val="22"/>
          <w:lang w:val="en-GB"/>
        </w:rPr>
        <w:t xml:space="preserve">rder 45 of the GCR sets out the rules that apply to the </w:t>
      </w:r>
      <w:r w:rsidR="007F4666">
        <w:rPr>
          <w:rFonts w:ascii="Avenir Next" w:hAnsi="Avenir Next" w:cs="Arial"/>
          <w:color w:val="808080" w:themeColor="background1" w:themeShade="80"/>
          <w:sz w:val="22"/>
          <w:szCs w:val="22"/>
          <w:lang w:val="en-GB"/>
        </w:rPr>
        <w:t xml:space="preserve">enforcement of judgments and orders in general. </w:t>
      </w:r>
    </w:p>
    <w:p w14:paraId="7401A698" w14:textId="77777777" w:rsidR="00CD5C25" w:rsidRDefault="00CD5C25" w:rsidP="00AB0E3A">
      <w:pPr>
        <w:jc w:val="both"/>
        <w:rPr>
          <w:rFonts w:ascii="Avenir Next" w:hAnsi="Avenir Next" w:cs="Arial"/>
          <w:color w:val="808080" w:themeColor="background1" w:themeShade="80"/>
          <w:sz w:val="22"/>
          <w:szCs w:val="22"/>
          <w:lang w:val="en-GB"/>
        </w:rPr>
      </w:pPr>
    </w:p>
    <w:p w14:paraId="6A0C2756" w14:textId="7F29E151" w:rsidR="00CD5C25" w:rsidRDefault="00CD5C25" w:rsidP="00CD5C25">
      <w:pPr>
        <w:jc w:val="both"/>
        <w:rPr>
          <w:rFonts w:ascii="Avenir Next" w:hAnsi="Avenir Next" w:cs="Arial"/>
          <w:color w:val="808080" w:themeColor="background1" w:themeShade="80"/>
          <w:sz w:val="22"/>
          <w:szCs w:val="22"/>
          <w:lang w:val="en-GB"/>
        </w:rPr>
      </w:pPr>
      <w:r w:rsidRPr="00CD5C25">
        <w:rPr>
          <w:rFonts w:ascii="Avenir Next" w:hAnsi="Avenir Next" w:cs="Arial"/>
          <w:color w:val="808080" w:themeColor="background1" w:themeShade="80"/>
          <w:sz w:val="22"/>
          <w:szCs w:val="22"/>
          <w:lang w:val="en-GB"/>
        </w:rPr>
        <w:t>The</w:t>
      </w:r>
      <w:r w:rsidR="007F4666">
        <w:rPr>
          <w:rFonts w:ascii="Avenir Next" w:hAnsi="Avenir Next" w:cs="Arial"/>
          <w:color w:val="808080" w:themeColor="background1" w:themeShade="80"/>
          <w:sz w:val="22"/>
          <w:szCs w:val="22"/>
          <w:lang w:val="en-GB"/>
        </w:rPr>
        <w:t>re are some</w:t>
      </w:r>
      <w:r w:rsidRPr="00CD5C25">
        <w:rPr>
          <w:rFonts w:ascii="Avenir Next" w:hAnsi="Avenir Next" w:cs="Arial"/>
          <w:color w:val="808080" w:themeColor="background1" w:themeShade="80"/>
          <w:sz w:val="22"/>
          <w:szCs w:val="22"/>
          <w:lang w:val="en-GB"/>
        </w:rPr>
        <w:t xml:space="preserve"> mandatory requirements </w:t>
      </w:r>
      <w:r w:rsidR="007F4666">
        <w:rPr>
          <w:rFonts w:ascii="Avenir Next" w:hAnsi="Avenir Next" w:cs="Arial"/>
          <w:color w:val="808080" w:themeColor="background1" w:themeShade="80"/>
          <w:sz w:val="22"/>
          <w:szCs w:val="22"/>
          <w:lang w:val="en-GB"/>
        </w:rPr>
        <w:t xml:space="preserve">that must be met </w:t>
      </w:r>
      <w:proofErr w:type="gramStart"/>
      <w:r w:rsidR="007F4666">
        <w:rPr>
          <w:rFonts w:ascii="Avenir Next" w:hAnsi="Avenir Next" w:cs="Arial"/>
          <w:color w:val="808080" w:themeColor="background1" w:themeShade="80"/>
          <w:sz w:val="22"/>
          <w:szCs w:val="22"/>
          <w:lang w:val="en-GB"/>
        </w:rPr>
        <w:t>in order to</w:t>
      </w:r>
      <w:proofErr w:type="gramEnd"/>
      <w:r w:rsidR="007F4666">
        <w:rPr>
          <w:rFonts w:ascii="Avenir Next" w:hAnsi="Avenir Next" w:cs="Arial"/>
          <w:color w:val="808080" w:themeColor="background1" w:themeShade="80"/>
          <w:sz w:val="22"/>
          <w:szCs w:val="22"/>
          <w:lang w:val="en-GB"/>
        </w:rPr>
        <w:t xml:space="preserve"> </w:t>
      </w:r>
      <w:r w:rsidRPr="00CD5C25">
        <w:rPr>
          <w:rFonts w:ascii="Avenir Next" w:hAnsi="Avenir Next" w:cs="Arial"/>
          <w:color w:val="808080" w:themeColor="background1" w:themeShade="80"/>
          <w:sz w:val="22"/>
          <w:szCs w:val="22"/>
          <w:lang w:val="en-GB"/>
        </w:rPr>
        <w:t>enf</w:t>
      </w:r>
      <w:r w:rsidR="007F4666">
        <w:rPr>
          <w:rFonts w:ascii="Avenir Next" w:hAnsi="Avenir Next" w:cs="Arial"/>
          <w:color w:val="808080" w:themeColor="background1" w:themeShade="80"/>
          <w:sz w:val="22"/>
          <w:szCs w:val="22"/>
          <w:lang w:val="en-GB"/>
        </w:rPr>
        <w:t>orce a</w:t>
      </w:r>
      <w:r w:rsidRPr="00CD5C25">
        <w:rPr>
          <w:rFonts w:ascii="Avenir Next" w:hAnsi="Avenir Next" w:cs="Arial"/>
          <w:color w:val="808080" w:themeColor="background1" w:themeShade="80"/>
          <w:sz w:val="22"/>
          <w:szCs w:val="22"/>
          <w:lang w:val="en-GB"/>
        </w:rPr>
        <w:t xml:space="preserve"> foreign judgment at common law </w:t>
      </w:r>
      <w:r w:rsidR="007F4666">
        <w:rPr>
          <w:rFonts w:ascii="Avenir Next" w:hAnsi="Avenir Next" w:cs="Arial"/>
          <w:color w:val="808080" w:themeColor="background1" w:themeShade="80"/>
          <w:sz w:val="22"/>
          <w:szCs w:val="22"/>
          <w:lang w:val="en-GB"/>
        </w:rPr>
        <w:t>in the Cayman Islands, including that the</w:t>
      </w:r>
    </w:p>
    <w:p w14:paraId="068F7D14" w14:textId="77777777" w:rsidR="007F4666" w:rsidRPr="00CD5C25" w:rsidRDefault="007F4666" w:rsidP="00CD5C25">
      <w:pPr>
        <w:jc w:val="both"/>
        <w:rPr>
          <w:rFonts w:ascii="Avenir Next" w:hAnsi="Avenir Next" w:cs="Arial"/>
          <w:color w:val="808080" w:themeColor="background1" w:themeShade="80"/>
          <w:sz w:val="22"/>
          <w:szCs w:val="22"/>
          <w:lang w:val="en-GB"/>
        </w:rPr>
      </w:pPr>
    </w:p>
    <w:p w14:paraId="30698C7A" w14:textId="231C997C" w:rsidR="007F4666" w:rsidRDefault="00CD5C25" w:rsidP="00CD5C25">
      <w:pPr>
        <w:pStyle w:val="ListParagraph"/>
        <w:numPr>
          <w:ilvl w:val="0"/>
          <w:numId w:val="44"/>
        </w:numPr>
        <w:jc w:val="both"/>
        <w:rPr>
          <w:rFonts w:ascii="Avenir Next" w:hAnsi="Avenir Next" w:cs="Arial"/>
          <w:i/>
          <w:iCs/>
          <w:color w:val="808080" w:themeColor="background1" w:themeShade="80"/>
          <w:sz w:val="22"/>
          <w:szCs w:val="22"/>
          <w:lang w:val="en-GB"/>
        </w:rPr>
      </w:pPr>
      <w:r w:rsidRPr="007F4666">
        <w:rPr>
          <w:rFonts w:ascii="Avenir Next" w:hAnsi="Avenir Next" w:cs="Arial"/>
          <w:i/>
          <w:iCs/>
          <w:color w:val="808080" w:themeColor="background1" w:themeShade="80"/>
          <w:sz w:val="22"/>
          <w:szCs w:val="22"/>
          <w:lang w:val="en-GB"/>
        </w:rPr>
        <w:t xml:space="preserve">judgment is </w:t>
      </w:r>
      <w:proofErr w:type="gramStart"/>
      <w:r w:rsidRPr="007F4666">
        <w:rPr>
          <w:rFonts w:ascii="Avenir Next" w:hAnsi="Avenir Next" w:cs="Arial"/>
          <w:i/>
          <w:iCs/>
          <w:color w:val="808080" w:themeColor="background1" w:themeShade="80"/>
          <w:sz w:val="22"/>
          <w:szCs w:val="22"/>
          <w:lang w:val="en-GB"/>
        </w:rPr>
        <w:t>final;</w:t>
      </w:r>
      <w:proofErr w:type="gramEnd"/>
    </w:p>
    <w:p w14:paraId="52EB813C" w14:textId="77777777" w:rsidR="007F4666" w:rsidRPr="007F4666" w:rsidRDefault="007F4666" w:rsidP="007F4666">
      <w:pPr>
        <w:pStyle w:val="ListParagraph"/>
        <w:jc w:val="both"/>
        <w:rPr>
          <w:rFonts w:ascii="Avenir Next" w:hAnsi="Avenir Next" w:cs="Arial"/>
          <w:i/>
          <w:iCs/>
          <w:color w:val="808080" w:themeColor="background1" w:themeShade="80"/>
          <w:sz w:val="22"/>
          <w:szCs w:val="22"/>
          <w:lang w:val="en-GB"/>
        </w:rPr>
      </w:pPr>
    </w:p>
    <w:p w14:paraId="1CB7D159" w14:textId="77777777" w:rsidR="007F4666" w:rsidRDefault="00CD5C25" w:rsidP="00CD5C25">
      <w:pPr>
        <w:pStyle w:val="ListParagraph"/>
        <w:numPr>
          <w:ilvl w:val="0"/>
          <w:numId w:val="44"/>
        </w:numPr>
        <w:jc w:val="both"/>
        <w:rPr>
          <w:rFonts w:ascii="Avenir Next" w:hAnsi="Avenir Next" w:cs="Arial"/>
          <w:i/>
          <w:iCs/>
          <w:color w:val="808080" w:themeColor="background1" w:themeShade="80"/>
          <w:sz w:val="22"/>
          <w:szCs w:val="22"/>
          <w:lang w:val="en-GB"/>
        </w:rPr>
      </w:pPr>
      <w:r w:rsidRPr="007F4666">
        <w:rPr>
          <w:rFonts w:ascii="Avenir Next" w:hAnsi="Avenir Next" w:cs="Arial"/>
          <w:i/>
          <w:iCs/>
          <w:color w:val="808080" w:themeColor="background1" w:themeShade="80"/>
          <w:sz w:val="22"/>
          <w:szCs w:val="22"/>
          <w:lang w:val="en-GB"/>
        </w:rPr>
        <w:t xml:space="preserve">foreign court had jurisdiction over the </w:t>
      </w:r>
      <w:proofErr w:type="gramStart"/>
      <w:r w:rsidRPr="007F4666">
        <w:rPr>
          <w:rFonts w:ascii="Avenir Next" w:hAnsi="Avenir Next" w:cs="Arial"/>
          <w:i/>
          <w:iCs/>
          <w:color w:val="808080" w:themeColor="background1" w:themeShade="80"/>
          <w:sz w:val="22"/>
          <w:szCs w:val="22"/>
          <w:lang w:val="en-GB"/>
        </w:rPr>
        <w:t>debtor;</w:t>
      </w:r>
      <w:proofErr w:type="gramEnd"/>
    </w:p>
    <w:p w14:paraId="693A7657" w14:textId="77777777" w:rsidR="007F4666" w:rsidRPr="007F4666" w:rsidRDefault="007F4666" w:rsidP="007F4666">
      <w:pPr>
        <w:jc w:val="both"/>
        <w:rPr>
          <w:rFonts w:ascii="Avenir Next" w:hAnsi="Avenir Next" w:cs="Arial"/>
          <w:i/>
          <w:iCs/>
          <w:color w:val="808080" w:themeColor="background1" w:themeShade="80"/>
          <w:sz w:val="22"/>
          <w:szCs w:val="22"/>
          <w:lang w:val="en-GB"/>
        </w:rPr>
      </w:pPr>
    </w:p>
    <w:p w14:paraId="30B05DEB" w14:textId="77777777" w:rsidR="007F4666" w:rsidRDefault="00CD5C25" w:rsidP="00CD5C25">
      <w:pPr>
        <w:pStyle w:val="ListParagraph"/>
        <w:numPr>
          <w:ilvl w:val="0"/>
          <w:numId w:val="44"/>
        </w:numPr>
        <w:jc w:val="both"/>
        <w:rPr>
          <w:rFonts w:ascii="Avenir Next" w:hAnsi="Avenir Next" w:cs="Arial"/>
          <w:i/>
          <w:iCs/>
          <w:color w:val="808080" w:themeColor="background1" w:themeShade="80"/>
          <w:sz w:val="22"/>
          <w:szCs w:val="22"/>
          <w:lang w:val="en-GB"/>
        </w:rPr>
      </w:pPr>
      <w:r w:rsidRPr="007F4666">
        <w:rPr>
          <w:rFonts w:ascii="Avenir Next" w:hAnsi="Avenir Next" w:cs="Arial"/>
          <w:i/>
          <w:iCs/>
          <w:color w:val="808080" w:themeColor="background1" w:themeShade="80"/>
          <w:sz w:val="22"/>
          <w:szCs w:val="22"/>
          <w:lang w:val="en-GB"/>
        </w:rPr>
        <w:t xml:space="preserve">foreign judgment was not obtained by </w:t>
      </w:r>
      <w:proofErr w:type="gramStart"/>
      <w:r w:rsidRPr="007F4666">
        <w:rPr>
          <w:rFonts w:ascii="Avenir Next" w:hAnsi="Avenir Next" w:cs="Arial"/>
          <w:i/>
          <w:iCs/>
          <w:color w:val="808080" w:themeColor="background1" w:themeShade="80"/>
          <w:sz w:val="22"/>
          <w:szCs w:val="22"/>
          <w:lang w:val="en-GB"/>
        </w:rPr>
        <w:t>fraud;</w:t>
      </w:r>
      <w:proofErr w:type="gramEnd"/>
    </w:p>
    <w:p w14:paraId="08E58BB5" w14:textId="77777777" w:rsidR="007F4666" w:rsidRPr="007F4666" w:rsidRDefault="007F4666" w:rsidP="007F4666">
      <w:pPr>
        <w:jc w:val="both"/>
        <w:rPr>
          <w:rFonts w:ascii="Avenir Next" w:hAnsi="Avenir Next" w:cs="Arial"/>
          <w:i/>
          <w:iCs/>
          <w:color w:val="808080" w:themeColor="background1" w:themeShade="80"/>
          <w:sz w:val="22"/>
          <w:szCs w:val="22"/>
          <w:lang w:val="en-GB"/>
        </w:rPr>
      </w:pPr>
    </w:p>
    <w:p w14:paraId="0D3DED78" w14:textId="6E5CE860" w:rsidR="007F4666" w:rsidRDefault="00CD5C25" w:rsidP="00CD5C25">
      <w:pPr>
        <w:pStyle w:val="ListParagraph"/>
        <w:numPr>
          <w:ilvl w:val="0"/>
          <w:numId w:val="44"/>
        </w:numPr>
        <w:jc w:val="both"/>
        <w:rPr>
          <w:rFonts w:ascii="Avenir Next" w:hAnsi="Avenir Next" w:cs="Arial"/>
          <w:i/>
          <w:iCs/>
          <w:color w:val="808080" w:themeColor="background1" w:themeShade="80"/>
          <w:sz w:val="22"/>
          <w:szCs w:val="22"/>
          <w:lang w:val="en-GB"/>
        </w:rPr>
      </w:pPr>
      <w:r w:rsidRPr="007F4666">
        <w:rPr>
          <w:rFonts w:ascii="Avenir Next" w:hAnsi="Avenir Next" w:cs="Arial"/>
          <w:i/>
          <w:iCs/>
          <w:color w:val="808080" w:themeColor="background1" w:themeShade="80"/>
          <w:sz w:val="22"/>
          <w:szCs w:val="22"/>
          <w:lang w:val="en-GB"/>
        </w:rPr>
        <w:t xml:space="preserve">foreign judgment is not contrary to public policy of the Cayman Islands; </w:t>
      </w:r>
      <w:r w:rsidR="007F4666" w:rsidRPr="007F4666">
        <w:rPr>
          <w:rFonts w:ascii="Avenir Next" w:hAnsi="Avenir Next" w:cs="Arial"/>
          <w:i/>
          <w:iCs/>
          <w:color w:val="808080" w:themeColor="background1" w:themeShade="80"/>
          <w:sz w:val="22"/>
          <w:szCs w:val="22"/>
          <w:lang w:val="en-GB"/>
        </w:rPr>
        <w:t>and</w:t>
      </w:r>
    </w:p>
    <w:p w14:paraId="08CA7481" w14:textId="77777777" w:rsidR="007F4666" w:rsidRPr="007F4666" w:rsidRDefault="007F4666" w:rsidP="007F4666">
      <w:pPr>
        <w:jc w:val="both"/>
        <w:rPr>
          <w:rFonts w:ascii="Avenir Next" w:hAnsi="Avenir Next" w:cs="Arial"/>
          <w:i/>
          <w:iCs/>
          <w:color w:val="808080" w:themeColor="background1" w:themeShade="80"/>
          <w:sz w:val="22"/>
          <w:szCs w:val="22"/>
          <w:lang w:val="en-GB"/>
        </w:rPr>
      </w:pPr>
    </w:p>
    <w:p w14:paraId="07422241" w14:textId="6E7FA78A" w:rsidR="00CD5C25" w:rsidRPr="007F4666" w:rsidRDefault="00CD5C25" w:rsidP="00CD5C25">
      <w:pPr>
        <w:pStyle w:val="ListParagraph"/>
        <w:numPr>
          <w:ilvl w:val="0"/>
          <w:numId w:val="44"/>
        </w:numPr>
        <w:jc w:val="both"/>
        <w:rPr>
          <w:rFonts w:ascii="Avenir Next" w:hAnsi="Avenir Next" w:cs="Arial"/>
          <w:i/>
          <w:iCs/>
          <w:color w:val="808080" w:themeColor="background1" w:themeShade="80"/>
          <w:sz w:val="22"/>
          <w:szCs w:val="22"/>
          <w:lang w:val="en-GB"/>
        </w:rPr>
      </w:pPr>
      <w:r w:rsidRPr="007F4666">
        <w:rPr>
          <w:rFonts w:ascii="Avenir Next" w:hAnsi="Avenir Next" w:cs="Arial"/>
          <w:i/>
          <w:iCs/>
          <w:color w:val="808080" w:themeColor="background1" w:themeShade="80"/>
          <w:sz w:val="22"/>
          <w:szCs w:val="22"/>
          <w:lang w:val="en-GB"/>
        </w:rPr>
        <w:t>foreign judgment was not obtained contrary to the rules of natural justice.</w:t>
      </w:r>
      <w:r w:rsidR="007F4666" w:rsidRPr="007F4666">
        <w:rPr>
          <w:rStyle w:val="FootnoteReference"/>
          <w:rFonts w:ascii="Avenir Next" w:hAnsi="Avenir Next" w:cs="Arial"/>
          <w:color w:val="808080" w:themeColor="background1" w:themeShade="80"/>
          <w:sz w:val="22"/>
          <w:szCs w:val="22"/>
          <w:lang w:val="en-GB"/>
        </w:rPr>
        <w:footnoteReference w:id="7"/>
      </w:r>
    </w:p>
    <w:p w14:paraId="11AFA43E" w14:textId="77777777" w:rsidR="007F4666" w:rsidRPr="007F4666" w:rsidRDefault="007F4666" w:rsidP="007F4666">
      <w:pPr>
        <w:pStyle w:val="ListParagraph"/>
        <w:rPr>
          <w:rFonts w:ascii="Avenir Next" w:hAnsi="Avenir Next" w:cs="Arial"/>
          <w:i/>
          <w:iCs/>
          <w:color w:val="808080" w:themeColor="background1" w:themeShade="80"/>
          <w:sz w:val="22"/>
          <w:szCs w:val="22"/>
          <w:lang w:val="en-GB"/>
        </w:rPr>
      </w:pPr>
    </w:p>
    <w:p w14:paraId="17722985" w14:textId="5003CCA9" w:rsidR="007F4666" w:rsidRPr="007F4666" w:rsidRDefault="007F4666" w:rsidP="007F46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foreign judgment has been recognised under either the 1996 Act or pursuant to the common law by way of a new proceeding, there is a six-year period within which the judgment can be enforced and that time starts to run from the </w:t>
      </w:r>
      <w:r w:rsidRPr="007F4666">
        <w:rPr>
          <w:rFonts w:ascii="Avenir Next" w:hAnsi="Avenir Next" w:cs="Arial"/>
          <w:color w:val="808080" w:themeColor="background1" w:themeShade="80"/>
          <w:sz w:val="22"/>
          <w:szCs w:val="22"/>
          <w:lang w:val="en-GB"/>
        </w:rPr>
        <w:t>date of the judgment or, when there have been appeals, the date of</w:t>
      </w:r>
      <w:r>
        <w:rPr>
          <w:rFonts w:ascii="Avenir Next" w:hAnsi="Avenir Next" w:cs="Arial"/>
          <w:color w:val="808080" w:themeColor="background1" w:themeShade="80"/>
          <w:sz w:val="22"/>
          <w:szCs w:val="22"/>
          <w:lang w:val="en-GB"/>
        </w:rPr>
        <w:t xml:space="preserve"> </w:t>
      </w:r>
      <w:r w:rsidRPr="007F4666">
        <w:rPr>
          <w:rFonts w:ascii="Avenir Next" w:hAnsi="Avenir Next" w:cs="Arial"/>
          <w:color w:val="808080" w:themeColor="background1" w:themeShade="80"/>
          <w:sz w:val="22"/>
          <w:szCs w:val="22"/>
          <w:lang w:val="en-GB"/>
        </w:rPr>
        <w:t>the last judgment</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8"/>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55AEA657" w14:textId="77777777" w:rsidR="00472DD9" w:rsidRPr="00310533" w:rsidRDefault="00472DD9" w:rsidP="00472DD9">
      <w:pPr>
        <w:jc w:val="both"/>
        <w:rPr>
          <w:rFonts w:ascii="Avenir Next" w:hAnsi="Avenir Next" w:cs="Arial"/>
          <w:sz w:val="22"/>
          <w:szCs w:val="22"/>
          <w:lang w:val="en-GB"/>
        </w:rPr>
      </w:pPr>
      <w:r w:rsidRPr="00310533">
        <w:rPr>
          <w:rFonts w:ascii="Avenir Next" w:hAnsi="Avenir Next" w:cs="Arial"/>
          <w:sz w:val="22"/>
          <w:szCs w:val="22"/>
          <w:lang w:val="en-GB"/>
        </w:rPr>
        <w:t>Is it possible for a creditor to register its security over an asset in the Cayman Islands? If so, how, and what is the effect of it doing so, if any?</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57D5A994" w:rsidR="00E4294D" w:rsidRDefault="002E5A9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for a creditor to register a mortgage or charge over real estate, ships, aircraft, motor vehicles and intellectual property on the specific ownership registers that exist in the Cayman Islands for these kinds of assets.  The effect of registration means that any third-party purchaser of the asset will be deemed to have notice of the security interest and will acquire the asset subject to the secured creditor's interest in the asset.</w:t>
      </w:r>
      <w:r>
        <w:rPr>
          <w:rStyle w:val="FootnoteReference"/>
          <w:rFonts w:ascii="Avenir Next" w:hAnsi="Avenir Next" w:cs="Arial"/>
          <w:color w:val="808080" w:themeColor="background1" w:themeShade="80"/>
          <w:sz w:val="22"/>
          <w:szCs w:val="22"/>
          <w:lang w:val="en-GB"/>
        </w:rPr>
        <w:footnoteReference w:id="9"/>
      </w:r>
      <w:r>
        <w:rPr>
          <w:rFonts w:ascii="Avenir Next" w:hAnsi="Avenir Next" w:cs="Arial"/>
          <w:color w:val="808080" w:themeColor="background1" w:themeShade="80"/>
          <w:sz w:val="22"/>
          <w:szCs w:val="22"/>
          <w:lang w:val="en-GB"/>
        </w:rPr>
        <w:t xml:space="preserve"> In a liquidation scenario, registration gives the secured and registered creditor </w:t>
      </w:r>
      <w:r w:rsidRPr="002E5A91">
        <w:rPr>
          <w:rFonts w:ascii="Avenir Next" w:hAnsi="Avenir Next" w:cs="Arial"/>
          <w:color w:val="808080" w:themeColor="background1" w:themeShade="80"/>
          <w:sz w:val="22"/>
          <w:szCs w:val="22"/>
          <w:lang w:val="en-GB"/>
        </w:rPr>
        <w:t>priority over non-registered creditors</w:t>
      </w:r>
      <w:r>
        <w:rPr>
          <w:rFonts w:ascii="Avenir Next" w:hAnsi="Avenir Next" w:cs="Arial"/>
          <w:color w:val="808080" w:themeColor="background1" w:themeShade="80"/>
          <w:sz w:val="22"/>
          <w:szCs w:val="22"/>
          <w:lang w:val="en-GB"/>
        </w:rPr>
        <w:t xml:space="preserve">. </w:t>
      </w:r>
    </w:p>
    <w:p w14:paraId="2385157D" w14:textId="77777777" w:rsidR="002E5A91" w:rsidRDefault="002E5A91" w:rsidP="00E4294D">
      <w:pPr>
        <w:jc w:val="both"/>
        <w:rPr>
          <w:rFonts w:ascii="Avenir Next" w:hAnsi="Avenir Next" w:cs="Arial"/>
          <w:color w:val="808080" w:themeColor="background1" w:themeShade="80"/>
          <w:sz w:val="22"/>
          <w:szCs w:val="22"/>
          <w:lang w:val="en-GB"/>
        </w:rPr>
      </w:pPr>
    </w:p>
    <w:p w14:paraId="0B835F37" w14:textId="641585C7" w:rsidR="00207387" w:rsidRDefault="00207387"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security </w:t>
      </w:r>
      <w:r w:rsidRPr="00207387">
        <w:rPr>
          <w:rFonts w:ascii="Avenir Next" w:hAnsi="Avenir Next" w:cs="Arial"/>
          <w:color w:val="808080" w:themeColor="background1" w:themeShade="80"/>
          <w:sz w:val="22"/>
          <w:szCs w:val="22"/>
          <w:lang w:val="en-GB"/>
        </w:rPr>
        <w:t>registration regime in the Cayman Islands for other types</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of assets</w:t>
      </w:r>
      <w:r>
        <w:rPr>
          <w:rFonts w:ascii="Avenir Next" w:hAnsi="Avenir Next" w:cs="Arial"/>
          <w:color w:val="808080" w:themeColor="background1" w:themeShade="80"/>
          <w:sz w:val="22"/>
          <w:szCs w:val="22"/>
          <w:lang w:val="en-GB"/>
        </w:rPr>
        <w:t xml:space="preserve"> outside of those mentioned above</w:t>
      </w:r>
      <w:r w:rsidRPr="0020738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 those circumstances, it is up to the</w:t>
      </w:r>
      <w:r w:rsidRPr="00207387">
        <w:rPr>
          <w:rFonts w:ascii="Avenir Next" w:hAnsi="Avenir Next" w:cs="Arial"/>
          <w:color w:val="808080" w:themeColor="background1" w:themeShade="80"/>
          <w:sz w:val="22"/>
          <w:szCs w:val="22"/>
          <w:lang w:val="en-GB"/>
        </w:rPr>
        <w:t xml:space="preserve"> creditor </w:t>
      </w:r>
      <w:r>
        <w:rPr>
          <w:rFonts w:ascii="Avenir Next" w:hAnsi="Avenir Next" w:cs="Arial"/>
          <w:color w:val="808080" w:themeColor="background1" w:themeShade="80"/>
          <w:sz w:val="22"/>
          <w:szCs w:val="22"/>
          <w:lang w:val="en-GB"/>
        </w:rPr>
        <w:t>to take</w:t>
      </w:r>
      <w:r w:rsidRPr="00207387">
        <w:rPr>
          <w:rFonts w:ascii="Avenir Next" w:hAnsi="Avenir Next" w:cs="Arial"/>
          <w:color w:val="808080" w:themeColor="background1" w:themeShade="80"/>
          <w:sz w:val="22"/>
          <w:szCs w:val="22"/>
          <w:lang w:val="en-GB"/>
        </w:rPr>
        <w:t xml:space="preserve"> steps to investigate whether a</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particular asset is already encumbered</w:t>
      </w:r>
      <w:r>
        <w:rPr>
          <w:rFonts w:ascii="Avenir Next" w:hAnsi="Avenir Next" w:cs="Arial"/>
          <w:color w:val="808080" w:themeColor="background1" w:themeShade="80"/>
          <w:sz w:val="22"/>
          <w:szCs w:val="22"/>
          <w:lang w:val="en-GB"/>
        </w:rPr>
        <w:t xml:space="preserve">. </w:t>
      </w:r>
    </w:p>
    <w:p w14:paraId="5CF87E48" w14:textId="77777777" w:rsidR="00207387" w:rsidRDefault="00207387" w:rsidP="00E4294D">
      <w:pPr>
        <w:jc w:val="both"/>
        <w:rPr>
          <w:rFonts w:ascii="Avenir Next" w:hAnsi="Avenir Next" w:cs="Arial"/>
          <w:color w:val="808080" w:themeColor="background1" w:themeShade="80"/>
          <w:sz w:val="22"/>
          <w:szCs w:val="22"/>
          <w:lang w:val="en-GB"/>
        </w:rPr>
      </w:pPr>
    </w:p>
    <w:p w14:paraId="6FF0D866" w14:textId="383C351F" w:rsidR="00207387" w:rsidRDefault="00207387"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companies, s</w:t>
      </w:r>
      <w:r w:rsidRPr="00207387">
        <w:rPr>
          <w:rFonts w:ascii="Avenir Next" w:hAnsi="Avenir Next" w:cs="Arial"/>
          <w:color w:val="808080" w:themeColor="background1" w:themeShade="80"/>
          <w:sz w:val="22"/>
          <w:szCs w:val="22"/>
          <w:lang w:val="en-GB"/>
        </w:rPr>
        <w:t xml:space="preserve">ection 54 of the </w:t>
      </w:r>
      <w:r>
        <w:rPr>
          <w:rFonts w:ascii="Avenir Next" w:hAnsi="Avenir Next" w:cs="Arial"/>
          <w:color w:val="808080" w:themeColor="background1" w:themeShade="80"/>
          <w:sz w:val="22"/>
          <w:szCs w:val="22"/>
          <w:lang w:val="en-GB"/>
        </w:rPr>
        <w:t>CA</w:t>
      </w:r>
      <w:r w:rsidRPr="00207387">
        <w:rPr>
          <w:rFonts w:ascii="Avenir Next" w:hAnsi="Avenir Next" w:cs="Arial"/>
          <w:color w:val="808080" w:themeColor="background1" w:themeShade="80"/>
          <w:sz w:val="22"/>
          <w:szCs w:val="22"/>
          <w:lang w:val="en-GB"/>
        </w:rPr>
        <w:t xml:space="preserve"> requires that security interests </w:t>
      </w:r>
      <w:r>
        <w:rPr>
          <w:rFonts w:ascii="Avenir Next" w:hAnsi="Avenir Next" w:cs="Arial"/>
          <w:color w:val="808080" w:themeColor="background1" w:themeShade="80"/>
          <w:sz w:val="22"/>
          <w:szCs w:val="22"/>
          <w:lang w:val="en-GB"/>
        </w:rPr>
        <w:t>are</w:t>
      </w:r>
      <w:r w:rsidRPr="00207387">
        <w:rPr>
          <w:rFonts w:ascii="Avenir Next" w:hAnsi="Avenir Next" w:cs="Arial"/>
          <w:color w:val="808080" w:themeColor="background1" w:themeShade="80"/>
          <w:sz w:val="22"/>
          <w:szCs w:val="22"/>
          <w:lang w:val="en-GB"/>
        </w:rPr>
        <w:t xml:space="preserve"> entered in the register of</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mortgages and charges of the debtor company</w:t>
      </w:r>
      <w:r>
        <w:rPr>
          <w:rFonts w:ascii="Avenir Next" w:hAnsi="Avenir Next" w:cs="Arial"/>
          <w:color w:val="808080" w:themeColor="background1" w:themeShade="80"/>
          <w:sz w:val="22"/>
          <w:szCs w:val="22"/>
          <w:lang w:val="en-GB"/>
        </w:rPr>
        <w:t xml:space="preserve"> and that such </w:t>
      </w:r>
      <w:r w:rsidRPr="00207387">
        <w:rPr>
          <w:rFonts w:ascii="Avenir Next" w:hAnsi="Avenir Next" w:cs="Arial"/>
          <w:color w:val="808080" w:themeColor="background1" w:themeShade="80"/>
          <w:sz w:val="22"/>
          <w:szCs w:val="22"/>
          <w:lang w:val="en-GB"/>
        </w:rPr>
        <w:t>register must be maintained by the</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company at its registered office in the Cayman Islands</w:t>
      </w:r>
      <w:r>
        <w:rPr>
          <w:rFonts w:ascii="Avenir Next" w:hAnsi="Avenir Next" w:cs="Arial"/>
          <w:color w:val="808080" w:themeColor="background1" w:themeShade="80"/>
          <w:sz w:val="22"/>
          <w:szCs w:val="22"/>
          <w:lang w:val="en-GB"/>
        </w:rPr>
        <w:t xml:space="preserve">. The reality is that not all companies comply with this obligation and </w:t>
      </w:r>
      <w:r w:rsidRPr="00207387">
        <w:rPr>
          <w:rFonts w:ascii="Avenir Next" w:hAnsi="Avenir Next" w:cs="Arial"/>
          <w:color w:val="808080" w:themeColor="background1" w:themeShade="80"/>
          <w:sz w:val="22"/>
          <w:szCs w:val="22"/>
          <w:lang w:val="en-GB"/>
        </w:rPr>
        <w:t>any failure of a company to update</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the register of mortgages and charges does not, in and of itself, invalidate any security interests</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that are not recorded.</w:t>
      </w:r>
      <w:r>
        <w:rPr>
          <w:rStyle w:val="FootnoteReference"/>
          <w:rFonts w:ascii="Avenir Next" w:hAnsi="Avenir Next" w:cs="Arial"/>
          <w:color w:val="808080" w:themeColor="background1" w:themeShade="80"/>
          <w:sz w:val="22"/>
          <w:szCs w:val="22"/>
          <w:lang w:val="en-GB"/>
        </w:rPr>
        <w:footnoteReference w:id="10"/>
      </w:r>
    </w:p>
    <w:p w14:paraId="042D9C23" w14:textId="77777777" w:rsidR="00207387" w:rsidRDefault="00207387" w:rsidP="00E4294D">
      <w:pPr>
        <w:jc w:val="both"/>
        <w:rPr>
          <w:rFonts w:ascii="Avenir Next" w:hAnsi="Avenir Next" w:cs="Arial"/>
          <w:color w:val="808080" w:themeColor="background1" w:themeShade="80"/>
          <w:sz w:val="22"/>
          <w:szCs w:val="22"/>
          <w:lang w:val="en-GB"/>
        </w:rPr>
      </w:pPr>
    </w:p>
    <w:p w14:paraId="59A85026" w14:textId="74C9A477" w:rsidR="002E5A91" w:rsidRDefault="00207387" w:rsidP="002073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there is </w:t>
      </w:r>
      <w:r w:rsidRPr="002E5A91">
        <w:rPr>
          <w:rFonts w:ascii="Avenir Next" w:hAnsi="Avenir Next" w:cs="Arial"/>
          <w:color w:val="808080" w:themeColor="background1" w:themeShade="80"/>
          <w:sz w:val="22"/>
          <w:szCs w:val="22"/>
          <w:lang w:val="en-GB"/>
        </w:rPr>
        <w:t>no statutory regime in the Cayman Islands that requires perfection of security interests.</w:t>
      </w:r>
      <w:r>
        <w:rPr>
          <w:rFonts w:ascii="Avenir Next" w:hAnsi="Avenir Next" w:cs="Arial"/>
          <w:color w:val="808080" w:themeColor="background1" w:themeShade="80"/>
          <w:sz w:val="22"/>
          <w:szCs w:val="22"/>
          <w:lang w:val="en-GB"/>
        </w:rPr>
        <w:t xml:space="preserve"> As such, as long as the </w:t>
      </w:r>
      <w:r w:rsidRPr="002E5A91">
        <w:rPr>
          <w:rFonts w:ascii="Avenir Next" w:hAnsi="Avenir Next" w:cs="Arial"/>
          <w:color w:val="808080" w:themeColor="background1" w:themeShade="80"/>
          <w:sz w:val="22"/>
          <w:szCs w:val="22"/>
          <w:lang w:val="en-GB"/>
        </w:rPr>
        <w:t xml:space="preserve">security interest </w:t>
      </w:r>
      <w:r>
        <w:rPr>
          <w:rFonts w:ascii="Avenir Next" w:hAnsi="Avenir Next" w:cs="Arial"/>
          <w:color w:val="808080" w:themeColor="background1" w:themeShade="80"/>
          <w:sz w:val="22"/>
          <w:szCs w:val="22"/>
          <w:lang w:val="en-GB"/>
        </w:rPr>
        <w:t xml:space="preserve">that is </w:t>
      </w:r>
      <w:r w:rsidRPr="002E5A91">
        <w:rPr>
          <w:rFonts w:ascii="Avenir Next" w:hAnsi="Avenir Next" w:cs="Arial"/>
          <w:color w:val="808080" w:themeColor="background1" w:themeShade="80"/>
          <w:sz w:val="22"/>
          <w:szCs w:val="22"/>
          <w:lang w:val="en-GB"/>
        </w:rPr>
        <w:t xml:space="preserve">granted in the </w:t>
      </w:r>
      <w:r>
        <w:rPr>
          <w:rFonts w:ascii="Avenir Next" w:hAnsi="Avenir Next" w:cs="Arial"/>
          <w:color w:val="808080" w:themeColor="background1" w:themeShade="80"/>
          <w:sz w:val="22"/>
          <w:szCs w:val="22"/>
          <w:lang w:val="en-GB"/>
        </w:rPr>
        <w:t xml:space="preserve">relevant </w:t>
      </w:r>
      <w:r w:rsidRPr="002E5A91">
        <w:rPr>
          <w:rFonts w:ascii="Avenir Next" w:hAnsi="Avenir Next" w:cs="Arial"/>
          <w:color w:val="808080" w:themeColor="background1" w:themeShade="80"/>
          <w:sz w:val="22"/>
          <w:szCs w:val="22"/>
          <w:lang w:val="en-GB"/>
        </w:rPr>
        <w:t>contract is valid, and not voidable for any other</w:t>
      </w:r>
      <w:r>
        <w:rPr>
          <w:rFonts w:ascii="Avenir Next" w:hAnsi="Avenir Next" w:cs="Arial"/>
          <w:color w:val="808080" w:themeColor="background1" w:themeShade="80"/>
          <w:sz w:val="22"/>
          <w:szCs w:val="22"/>
          <w:lang w:val="en-GB"/>
        </w:rPr>
        <w:t xml:space="preserve"> </w:t>
      </w:r>
      <w:r w:rsidRPr="002E5A91">
        <w:rPr>
          <w:rFonts w:ascii="Avenir Next" w:hAnsi="Avenir Next" w:cs="Arial"/>
          <w:color w:val="808080" w:themeColor="background1" w:themeShade="80"/>
          <w:sz w:val="22"/>
          <w:szCs w:val="22"/>
          <w:lang w:val="en-GB"/>
        </w:rPr>
        <w:t>reason, it will be enforceable</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1"/>
      </w:r>
      <w:r>
        <w:rPr>
          <w:rFonts w:ascii="Avenir Next" w:hAnsi="Avenir Next" w:cs="Arial"/>
          <w:color w:val="808080" w:themeColor="background1" w:themeShade="80"/>
          <w:sz w:val="22"/>
          <w:szCs w:val="22"/>
          <w:lang w:val="en-GB"/>
        </w:rPr>
        <w:t xml:space="preserve"> Being a secured creditor in a liquidation context has the benefit that their claims will </w:t>
      </w:r>
      <w:r w:rsidRPr="00207387">
        <w:rPr>
          <w:rFonts w:ascii="Avenir Next" w:hAnsi="Avenir Next" w:cs="Arial"/>
          <w:color w:val="808080" w:themeColor="background1" w:themeShade="80"/>
          <w:sz w:val="22"/>
          <w:szCs w:val="22"/>
          <w:lang w:val="en-GB"/>
        </w:rPr>
        <w:t xml:space="preserve">rank in priority to all other creditors and </w:t>
      </w:r>
      <w:r>
        <w:rPr>
          <w:rFonts w:ascii="Avenir Next" w:hAnsi="Avenir Next" w:cs="Arial"/>
          <w:color w:val="808080" w:themeColor="background1" w:themeShade="80"/>
          <w:sz w:val="22"/>
          <w:szCs w:val="22"/>
          <w:lang w:val="en-GB"/>
        </w:rPr>
        <w:t xml:space="preserve">they </w:t>
      </w:r>
      <w:r w:rsidRPr="00207387">
        <w:rPr>
          <w:rFonts w:ascii="Avenir Next" w:hAnsi="Avenir Next" w:cs="Arial"/>
          <w:color w:val="808080" w:themeColor="background1" w:themeShade="80"/>
          <w:sz w:val="22"/>
          <w:szCs w:val="22"/>
          <w:lang w:val="en-GB"/>
        </w:rPr>
        <w:t>can realise their security outside of the liquidation / restructuring process as they</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see fit.</w:t>
      </w:r>
      <w:r>
        <w:rPr>
          <w:rFonts w:ascii="Avenir Next" w:hAnsi="Avenir Next" w:cs="Arial"/>
          <w:color w:val="808080" w:themeColor="background1" w:themeShade="80"/>
          <w:sz w:val="22"/>
          <w:szCs w:val="22"/>
          <w:lang w:val="en-GB"/>
        </w:rPr>
        <w:t xml:space="preserve"> The only exception is that </w:t>
      </w:r>
      <w:r w:rsidRPr="00207387">
        <w:rPr>
          <w:rFonts w:ascii="Avenir Next" w:hAnsi="Avenir Next" w:cs="Arial"/>
          <w:color w:val="808080" w:themeColor="background1" w:themeShade="80"/>
          <w:sz w:val="22"/>
          <w:szCs w:val="22"/>
          <w:lang w:val="en-GB"/>
        </w:rPr>
        <w:t>preferred creditors</w:t>
      </w:r>
      <w:r>
        <w:rPr>
          <w:rFonts w:ascii="Avenir Next" w:hAnsi="Avenir Next" w:cs="Arial"/>
          <w:color w:val="808080" w:themeColor="background1" w:themeShade="80"/>
          <w:sz w:val="22"/>
          <w:szCs w:val="22"/>
          <w:lang w:val="en-GB"/>
        </w:rPr>
        <w:t xml:space="preserve"> (for example, employees, the Cayman Islands Government with respect to taxes and banks) </w:t>
      </w:r>
      <w:r w:rsidRPr="00207387">
        <w:rPr>
          <w:rFonts w:ascii="Avenir Next" w:hAnsi="Avenir Next" w:cs="Arial"/>
          <w:color w:val="808080" w:themeColor="background1" w:themeShade="80"/>
          <w:sz w:val="22"/>
          <w:szCs w:val="22"/>
          <w:lang w:val="en-GB"/>
        </w:rPr>
        <w:t>rank ahead of secured creditors where the secured creditor’s security is in the</w:t>
      </w:r>
      <w:r>
        <w:rPr>
          <w:rFonts w:ascii="Avenir Next" w:hAnsi="Avenir Next" w:cs="Arial"/>
          <w:color w:val="808080" w:themeColor="background1" w:themeShade="80"/>
          <w:sz w:val="22"/>
          <w:szCs w:val="22"/>
          <w:lang w:val="en-GB"/>
        </w:rPr>
        <w:t xml:space="preserve"> </w:t>
      </w:r>
      <w:r w:rsidRPr="00207387">
        <w:rPr>
          <w:rFonts w:ascii="Avenir Next" w:hAnsi="Avenir Next" w:cs="Arial"/>
          <w:color w:val="808080" w:themeColor="background1" w:themeShade="80"/>
          <w:sz w:val="22"/>
          <w:szCs w:val="22"/>
          <w:lang w:val="en-GB"/>
        </w:rPr>
        <w:t>form of a floating charge</w:t>
      </w:r>
      <w:r>
        <w:rPr>
          <w:rFonts w:ascii="Avenir Next" w:hAnsi="Avenir Next" w:cs="Arial"/>
          <w:color w:val="808080" w:themeColor="background1" w:themeShade="80"/>
          <w:sz w:val="22"/>
          <w:szCs w:val="22"/>
          <w:lang w:val="en-GB"/>
        </w:rPr>
        <w:t xml:space="preserve">. </w:t>
      </w:r>
    </w:p>
    <w:p w14:paraId="32338037" w14:textId="77777777" w:rsidR="00207387" w:rsidRDefault="00207387" w:rsidP="00207387">
      <w:pPr>
        <w:jc w:val="both"/>
        <w:rPr>
          <w:rFonts w:ascii="Avenir Next" w:hAnsi="Avenir Next" w:cs="Arial"/>
          <w:color w:val="808080" w:themeColor="background1" w:themeShade="80"/>
          <w:sz w:val="22"/>
          <w:szCs w:val="22"/>
          <w:lang w:val="en-GB"/>
        </w:rPr>
      </w:pPr>
    </w:p>
    <w:p w14:paraId="0004896F" w14:textId="2AA1F40E" w:rsidR="00207387" w:rsidRPr="00207387" w:rsidRDefault="00207387" w:rsidP="002073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means that s</w:t>
      </w:r>
      <w:r w:rsidRPr="00207387">
        <w:rPr>
          <w:rFonts w:ascii="Avenir Next" w:hAnsi="Avenir Next" w:cs="Arial"/>
          <w:color w:val="808080" w:themeColor="background1" w:themeShade="80"/>
          <w:sz w:val="22"/>
          <w:szCs w:val="22"/>
          <w:lang w:val="en-GB"/>
        </w:rPr>
        <w:t xml:space="preserve">ecured creditors </w:t>
      </w:r>
      <w:r>
        <w:rPr>
          <w:rFonts w:ascii="Avenir Next" w:hAnsi="Avenir Next" w:cs="Arial"/>
          <w:color w:val="808080" w:themeColor="background1" w:themeShade="80"/>
          <w:sz w:val="22"/>
          <w:szCs w:val="22"/>
          <w:lang w:val="en-GB"/>
        </w:rPr>
        <w:t>can proceed with any</w:t>
      </w:r>
      <w:r w:rsidRPr="00207387">
        <w:rPr>
          <w:rFonts w:ascii="Avenir Next" w:hAnsi="Avenir Next" w:cs="Arial"/>
          <w:color w:val="808080" w:themeColor="background1" w:themeShade="80"/>
          <w:sz w:val="22"/>
          <w:szCs w:val="22"/>
          <w:lang w:val="en-GB"/>
        </w:rPr>
        <w:t xml:space="preserve"> enforcement actions against the </w:t>
      </w:r>
      <w:r>
        <w:rPr>
          <w:rFonts w:ascii="Avenir Next" w:hAnsi="Avenir Next" w:cs="Arial"/>
          <w:color w:val="808080" w:themeColor="background1" w:themeShade="80"/>
          <w:sz w:val="22"/>
          <w:szCs w:val="22"/>
          <w:lang w:val="en-GB"/>
        </w:rPr>
        <w:t>secured asset as soon as there is</w:t>
      </w:r>
      <w:r w:rsidRPr="00207387">
        <w:rPr>
          <w:rFonts w:ascii="Avenir Next" w:hAnsi="Avenir Next" w:cs="Arial"/>
          <w:color w:val="808080" w:themeColor="background1" w:themeShade="80"/>
          <w:sz w:val="22"/>
          <w:szCs w:val="22"/>
          <w:lang w:val="en-GB"/>
        </w:rPr>
        <w:t xml:space="preserve"> event of default</w:t>
      </w:r>
      <w:r>
        <w:rPr>
          <w:rFonts w:ascii="Avenir Next" w:hAnsi="Avenir Next" w:cs="Arial"/>
          <w:color w:val="808080" w:themeColor="background1" w:themeShade="80"/>
          <w:sz w:val="22"/>
          <w:szCs w:val="22"/>
          <w:lang w:val="en-GB"/>
        </w:rPr>
        <w:t xml:space="preserve">. The commencement of liquidation proceedings in the Cayman Islands does not place any stay on the action of </w:t>
      </w:r>
      <w:r w:rsidRPr="00207387">
        <w:rPr>
          <w:rFonts w:ascii="Avenir Next" w:hAnsi="Avenir Next" w:cs="Arial"/>
          <w:color w:val="808080" w:themeColor="background1" w:themeShade="80"/>
          <w:sz w:val="22"/>
          <w:szCs w:val="22"/>
          <w:lang w:val="en-GB"/>
        </w:rPr>
        <w:t>secured creditors</w:t>
      </w:r>
      <w:r>
        <w:rPr>
          <w:rFonts w:ascii="Avenir Next" w:hAnsi="Avenir Next" w:cs="Arial"/>
          <w:color w:val="808080" w:themeColor="background1" w:themeShade="80"/>
          <w:sz w:val="22"/>
          <w:szCs w:val="22"/>
          <w:lang w:val="en-GB"/>
        </w:rPr>
        <w:t xml:space="preserve">. </w:t>
      </w:r>
    </w:p>
    <w:p w14:paraId="337A31CC" w14:textId="77777777" w:rsidR="00E4294D" w:rsidRDefault="00E4294D" w:rsidP="002A37BB">
      <w:pPr>
        <w:jc w:val="both"/>
        <w:rPr>
          <w:rFonts w:ascii="Avenir Next" w:hAnsi="Avenir Next" w:cs="Arial"/>
          <w:bCs/>
          <w:sz w:val="22"/>
          <w:szCs w:val="22"/>
          <w:lang w:val="en-GB"/>
        </w:rPr>
      </w:pPr>
    </w:p>
    <w:p w14:paraId="3ABD7777" w14:textId="77777777" w:rsidR="00207387" w:rsidRDefault="00207387" w:rsidP="002A37BB">
      <w:pPr>
        <w:jc w:val="both"/>
        <w:rPr>
          <w:rFonts w:ascii="Avenir Next" w:hAnsi="Avenir Next" w:cs="Arial"/>
          <w:bCs/>
          <w:sz w:val="22"/>
          <w:szCs w:val="22"/>
          <w:lang w:val="en-GB"/>
        </w:rPr>
      </w:pPr>
    </w:p>
    <w:p w14:paraId="49B5DE44" w14:textId="77777777" w:rsidR="00207387" w:rsidRPr="00310533" w:rsidRDefault="00207387"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3248C7C8"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 xml:space="preserve">maximum </w:t>
      </w:r>
      <w:r w:rsidR="008603C4">
        <w:rPr>
          <w:rFonts w:ascii="Avenir Next Demi Bold" w:hAnsi="Avenir Next Demi Bold" w:cs="Arial"/>
          <w:b/>
          <w:bCs/>
          <w:sz w:val="22"/>
          <w:szCs w:val="22"/>
          <w:lang w:val="en-GB"/>
        </w:rPr>
        <w:t>6</w:t>
      </w:r>
      <w:r w:rsidR="00962045" w:rsidRPr="00310533">
        <w:rPr>
          <w:rFonts w:ascii="Avenir Next Demi Bold" w:hAnsi="Avenir Next Demi Bold" w:cs="Arial"/>
          <w:b/>
          <w:bCs/>
          <w:sz w:val="22"/>
          <w:szCs w:val="22"/>
          <w:lang w:val="en-GB"/>
        </w:rPr>
        <w:t xml:space="preserve"> marks] </w:t>
      </w:r>
    </w:p>
    <w:p w14:paraId="61BA6288" w14:textId="77777777" w:rsidR="00962045" w:rsidRDefault="00962045" w:rsidP="002A37BB">
      <w:pPr>
        <w:jc w:val="both"/>
        <w:rPr>
          <w:rFonts w:ascii="Avenir Next" w:hAnsi="Avenir Next" w:cs="Arial"/>
          <w:sz w:val="22"/>
          <w:szCs w:val="22"/>
          <w:lang w:val="en-GB"/>
        </w:rPr>
      </w:pPr>
    </w:p>
    <w:p w14:paraId="211D925D" w14:textId="0684CBF3" w:rsidR="008603C4" w:rsidRPr="00310533" w:rsidRDefault="008603C4" w:rsidP="002A37BB">
      <w:pPr>
        <w:jc w:val="both"/>
        <w:rPr>
          <w:rFonts w:ascii="Avenir Next" w:hAnsi="Avenir Next" w:cs="Arial"/>
          <w:sz w:val="22"/>
          <w:szCs w:val="22"/>
          <w:lang w:val="en-GB"/>
        </w:rPr>
      </w:pPr>
      <w:r w:rsidRPr="00310533">
        <w:rPr>
          <w:rFonts w:ascii="Avenir Next" w:hAnsi="Avenir Next" w:cs="Arial"/>
          <w:sz w:val="22"/>
          <w:szCs w:val="22"/>
          <w:shd w:val="clear" w:color="auto" w:fill="FFFFFF"/>
        </w:rPr>
        <w:t xml:space="preserve">Receivers have no role to play in a Cayman </w:t>
      </w:r>
      <w:r w:rsidRPr="00DA017C">
        <w:rPr>
          <w:rFonts w:ascii="Avenir Next" w:hAnsi="Avenir Next" w:cs="Arial"/>
          <w:sz w:val="22"/>
          <w:szCs w:val="22"/>
          <w:shd w:val="clear" w:color="auto" w:fill="FFFFFF"/>
        </w:rPr>
        <w:t>Islands insolvency</w:t>
      </w:r>
      <w:r w:rsidRPr="00310533">
        <w:rPr>
          <w:rFonts w:ascii="Avenir Next" w:hAnsi="Avenir Next" w:cs="Arial"/>
          <w:sz w:val="22"/>
          <w:szCs w:val="22"/>
          <w:shd w:val="clear" w:color="auto" w:fill="FFFFFF"/>
        </w:rPr>
        <w:t xml:space="preserve"> scenario. Discuss.</w:t>
      </w:r>
    </w:p>
    <w:p w14:paraId="311CA539" w14:textId="77777777" w:rsidR="00DF75F8" w:rsidRPr="00310533" w:rsidRDefault="00DF75F8" w:rsidP="002A37BB">
      <w:pPr>
        <w:jc w:val="both"/>
        <w:rPr>
          <w:rFonts w:ascii="Avenir Next" w:hAnsi="Avenir Next" w:cs="Arial"/>
          <w:sz w:val="22"/>
          <w:szCs w:val="22"/>
        </w:rPr>
      </w:pPr>
    </w:p>
    <w:p w14:paraId="5386FFBB" w14:textId="27B0F2DE" w:rsidR="001A22F8" w:rsidRDefault="001A22F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suggestion that r</w:t>
      </w:r>
      <w:r w:rsidRPr="001A22F8">
        <w:rPr>
          <w:rFonts w:ascii="Avenir Next" w:hAnsi="Avenir Next" w:cs="Arial"/>
          <w:color w:val="808080" w:themeColor="background1" w:themeShade="80"/>
          <w:sz w:val="22"/>
          <w:szCs w:val="22"/>
          <w:lang w:val="en-GB"/>
        </w:rPr>
        <w:t>eceivers have no role to play in a Cayman Islands insolvency scenario</w:t>
      </w:r>
      <w:r>
        <w:rPr>
          <w:rFonts w:ascii="Avenir Next" w:hAnsi="Avenir Next" w:cs="Arial"/>
          <w:color w:val="808080" w:themeColor="background1" w:themeShade="80"/>
          <w:sz w:val="22"/>
          <w:szCs w:val="22"/>
          <w:lang w:val="en-GB"/>
        </w:rPr>
        <w:t xml:space="preserve"> is false, on the contrary</w:t>
      </w:r>
      <w:r w:rsidRPr="001A22F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receivers play a range of roles following private and Court appointments including with respect to s</w:t>
      </w:r>
      <w:r w:rsidRPr="001A22F8">
        <w:rPr>
          <w:rFonts w:ascii="Avenir Next" w:hAnsi="Avenir Next" w:cs="Arial"/>
          <w:color w:val="808080" w:themeColor="background1" w:themeShade="80"/>
          <w:sz w:val="22"/>
          <w:szCs w:val="22"/>
          <w:lang w:val="en-GB"/>
        </w:rPr>
        <w:t xml:space="preserve">egregated </w:t>
      </w:r>
      <w:r>
        <w:rPr>
          <w:rFonts w:ascii="Avenir Next" w:hAnsi="Avenir Next" w:cs="Arial"/>
          <w:color w:val="808080" w:themeColor="background1" w:themeShade="80"/>
          <w:sz w:val="22"/>
          <w:szCs w:val="22"/>
          <w:lang w:val="en-GB"/>
        </w:rPr>
        <w:t>p</w:t>
      </w:r>
      <w:r w:rsidRPr="001A22F8">
        <w:rPr>
          <w:rFonts w:ascii="Avenir Next" w:hAnsi="Avenir Next" w:cs="Arial"/>
          <w:color w:val="808080" w:themeColor="background1" w:themeShade="80"/>
          <w:sz w:val="22"/>
          <w:szCs w:val="22"/>
          <w:lang w:val="en-GB"/>
        </w:rPr>
        <w:t xml:space="preserve">ortfolio </w:t>
      </w:r>
      <w:r>
        <w:rPr>
          <w:rFonts w:ascii="Avenir Next" w:hAnsi="Avenir Next" w:cs="Arial"/>
          <w:color w:val="808080" w:themeColor="background1" w:themeShade="80"/>
          <w:sz w:val="22"/>
          <w:szCs w:val="22"/>
          <w:lang w:val="en-GB"/>
        </w:rPr>
        <w:t>c</w:t>
      </w:r>
      <w:r w:rsidRPr="001A22F8">
        <w:rPr>
          <w:rFonts w:ascii="Avenir Next" w:hAnsi="Avenir Next" w:cs="Arial"/>
          <w:color w:val="808080" w:themeColor="background1" w:themeShade="80"/>
          <w:sz w:val="22"/>
          <w:szCs w:val="22"/>
          <w:lang w:val="en-GB"/>
        </w:rPr>
        <w:t>ompanies (</w:t>
      </w:r>
      <w:r w:rsidRPr="001A22F8">
        <w:rPr>
          <w:rFonts w:ascii="Avenir Next" w:hAnsi="Avenir Next" w:cs="Arial"/>
          <w:b/>
          <w:bCs/>
          <w:color w:val="808080" w:themeColor="background1" w:themeShade="80"/>
          <w:sz w:val="22"/>
          <w:szCs w:val="22"/>
          <w:lang w:val="en-GB"/>
        </w:rPr>
        <w:t>SPCs</w:t>
      </w:r>
      <w:r w:rsidRPr="001A22F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This short essay discusses examples of the more specific roles that receivers can play in each of these contexts. </w:t>
      </w:r>
    </w:p>
    <w:p w14:paraId="0B250EAE" w14:textId="77777777" w:rsidR="001A22F8" w:rsidRDefault="001A22F8" w:rsidP="002A37BB">
      <w:pPr>
        <w:jc w:val="both"/>
        <w:rPr>
          <w:rFonts w:ascii="Avenir Next" w:hAnsi="Avenir Next" w:cs="Arial"/>
          <w:color w:val="808080" w:themeColor="background1" w:themeShade="80"/>
          <w:sz w:val="22"/>
          <w:szCs w:val="22"/>
          <w:lang w:val="en-GB"/>
        </w:rPr>
      </w:pPr>
    </w:p>
    <w:p w14:paraId="7F04BBE6" w14:textId="238D5BEF" w:rsidR="001A22F8" w:rsidRDefault="00FF1ED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private receivership, a secured creditor may appoint a receiver </w:t>
      </w:r>
      <w:r w:rsidRPr="00FF1ED8">
        <w:rPr>
          <w:rFonts w:ascii="Avenir Next" w:hAnsi="Avenir Next" w:cs="Arial"/>
          <w:color w:val="808080" w:themeColor="background1" w:themeShade="80"/>
          <w:sz w:val="22"/>
          <w:szCs w:val="22"/>
          <w:lang w:val="en-GB"/>
        </w:rPr>
        <w:t>pursuant to their contractual rights in the</w:t>
      </w:r>
      <w:r>
        <w:rPr>
          <w:rFonts w:ascii="Avenir Next" w:hAnsi="Avenir Next" w:cs="Arial"/>
          <w:color w:val="808080" w:themeColor="background1" w:themeShade="80"/>
          <w:sz w:val="22"/>
          <w:szCs w:val="22"/>
          <w:lang w:val="en-GB"/>
        </w:rPr>
        <w:t xml:space="preserve"> </w:t>
      </w:r>
      <w:r w:rsidRPr="00FF1ED8">
        <w:rPr>
          <w:rFonts w:ascii="Avenir Next" w:hAnsi="Avenir Next" w:cs="Arial"/>
          <w:color w:val="808080" w:themeColor="background1" w:themeShade="80"/>
          <w:sz w:val="22"/>
          <w:szCs w:val="22"/>
          <w:lang w:val="en-GB"/>
        </w:rPr>
        <w:t>relevant security documentation</w:t>
      </w:r>
      <w:r>
        <w:rPr>
          <w:rFonts w:ascii="Avenir Next" w:hAnsi="Avenir Next" w:cs="Arial"/>
          <w:color w:val="808080" w:themeColor="background1" w:themeShade="80"/>
          <w:sz w:val="22"/>
          <w:szCs w:val="22"/>
          <w:lang w:val="en-GB"/>
        </w:rPr>
        <w:t xml:space="preserve"> and typically the </w:t>
      </w:r>
      <w:r w:rsidR="00CD7D91">
        <w:rPr>
          <w:rFonts w:ascii="Avenir Next" w:hAnsi="Avenir Next" w:cs="Arial"/>
          <w:color w:val="808080" w:themeColor="background1" w:themeShade="80"/>
          <w:sz w:val="22"/>
          <w:szCs w:val="22"/>
          <w:lang w:val="en-GB"/>
        </w:rPr>
        <w:t>receiver's</w:t>
      </w:r>
      <w:r>
        <w:rPr>
          <w:rFonts w:ascii="Avenir Next" w:hAnsi="Avenir Next" w:cs="Arial"/>
          <w:color w:val="808080" w:themeColor="background1" w:themeShade="80"/>
          <w:sz w:val="22"/>
          <w:szCs w:val="22"/>
          <w:lang w:val="en-GB"/>
        </w:rPr>
        <w:t xml:space="preserve"> role is </w:t>
      </w:r>
      <w:r w:rsidRPr="00FF1ED8">
        <w:rPr>
          <w:rFonts w:ascii="Avenir Next" w:hAnsi="Avenir Next" w:cs="Arial"/>
          <w:color w:val="808080" w:themeColor="background1" w:themeShade="80"/>
          <w:sz w:val="22"/>
          <w:szCs w:val="22"/>
          <w:lang w:val="en-GB"/>
        </w:rPr>
        <w:t>to take custody and control of, collect income from, and (if</w:t>
      </w:r>
      <w:r>
        <w:rPr>
          <w:rFonts w:ascii="Avenir Next" w:hAnsi="Avenir Next" w:cs="Arial"/>
          <w:color w:val="808080" w:themeColor="background1" w:themeShade="80"/>
          <w:sz w:val="22"/>
          <w:szCs w:val="22"/>
          <w:lang w:val="en-GB"/>
        </w:rPr>
        <w:t xml:space="preserve"> </w:t>
      </w:r>
      <w:r w:rsidRPr="00FF1ED8">
        <w:rPr>
          <w:rFonts w:ascii="Avenir Next" w:hAnsi="Avenir Next" w:cs="Arial"/>
          <w:color w:val="808080" w:themeColor="background1" w:themeShade="80"/>
          <w:sz w:val="22"/>
          <w:szCs w:val="22"/>
          <w:lang w:val="en-GB"/>
        </w:rPr>
        <w:t>necessary) sell, the asset over which the secured creditor has taken security</w:t>
      </w:r>
      <w:r>
        <w:rPr>
          <w:rFonts w:ascii="Avenir Next" w:hAnsi="Avenir Next" w:cs="Arial"/>
          <w:color w:val="808080" w:themeColor="background1" w:themeShade="80"/>
          <w:sz w:val="22"/>
          <w:szCs w:val="22"/>
          <w:lang w:val="en-GB"/>
        </w:rPr>
        <w:t xml:space="preserve">. In a </w:t>
      </w:r>
      <w:r w:rsidR="006119AB">
        <w:rPr>
          <w:rFonts w:ascii="Avenir Next" w:hAnsi="Avenir Next" w:cs="Arial"/>
          <w:color w:val="808080" w:themeColor="background1" w:themeShade="80"/>
          <w:sz w:val="22"/>
          <w:szCs w:val="22"/>
          <w:lang w:val="en-GB"/>
        </w:rPr>
        <w:t xml:space="preserve">scenario where a Cayman Islands based debtor becomes insolvent and defaults on their </w:t>
      </w:r>
      <w:r w:rsidR="00CD7D91">
        <w:rPr>
          <w:rFonts w:ascii="Avenir Next" w:hAnsi="Avenir Next" w:cs="Arial"/>
          <w:color w:val="808080" w:themeColor="background1" w:themeShade="80"/>
          <w:sz w:val="22"/>
          <w:szCs w:val="22"/>
          <w:lang w:val="en-GB"/>
        </w:rPr>
        <w:t xml:space="preserve">payment obligations, a secured creditor's privately appointed receiver may take steps to realise the debt that they are owed (outside of any formal liquidation with respect to the debtor) with respect to the specific assets over which their receivership relates. This can involve selling the secured assets and taking all steps to ensure that the best price is obtained. </w:t>
      </w:r>
    </w:p>
    <w:p w14:paraId="3C64F34F" w14:textId="38E816B7" w:rsidR="00CD7D91" w:rsidRDefault="00CD7D91" w:rsidP="002A37BB">
      <w:pPr>
        <w:jc w:val="both"/>
        <w:rPr>
          <w:rFonts w:ascii="Avenir Next" w:hAnsi="Avenir Next" w:cs="Arial"/>
          <w:color w:val="808080" w:themeColor="background1" w:themeShade="80"/>
          <w:sz w:val="22"/>
          <w:szCs w:val="22"/>
          <w:lang w:val="en-GB"/>
        </w:rPr>
      </w:pPr>
    </w:p>
    <w:p w14:paraId="63119568" w14:textId="1F52BCD0" w:rsidR="00CD7D91" w:rsidRDefault="00CD7D9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real estate, a secured creditor has a statutory right under </w:t>
      </w:r>
      <w:r w:rsidR="00B31398">
        <w:rPr>
          <w:rFonts w:ascii="Avenir Next" w:hAnsi="Avenir Next" w:cs="Arial"/>
          <w:color w:val="808080" w:themeColor="background1" w:themeShade="80"/>
          <w:sz w:val="22"/>
          <w:szCs w:val="22"/>
          <w:lang w:val="en-GB"/>
        </w:rPr>
        <w:t xml:space="preserve">sections 72 and 73 of </w:t>
      </w:r>
      <w:r>
        <w:rPr>
          <w:rFonts w:ascii="Avenir Next" w:hAnsi="Avenir Next" w:cs="Arial"/>
          <w:color w:val="808080" w:themeColor="background1" w:themeShade="80"/>
          <w:sz w:val="22"/>
          <w:szCs w:val="22"/>
          <w:lang w:val="en-GB"/>
        </w:rPr>
        <w:t xml:space="preserve">the </w:t>
      </w:r>
      <w:r w:rsidR="00B31398">
        <w:rPr>
          <w:rFonts w:ascii="Avenir Next" w:hAnsi="Avenir Next" w:cs="Arial"/>
          <w:color w:val="808080" w:themeColor="background1" w:themeShade="80"/>
          <w:sz w:val="22"/>
          <w:szCs w:val="22"/>
          <w:lang w:val="en-GB"/>
        </w:rPr>
        <w:t xml:space="preserve">Registered Land Act (2018 Revision) to appoint a receiver in relation to their secured interest in the property. </w:t>
      </w:r>
    </w:p>
    <w:p w14:paraId="00834433" w14:textId="77777777" w:rsidR="00CD7D91" w:rsidRDefault="00CD7D91" w:rsidP="002A37BB">
      <w:pPr>
        <w:jc w:val="both"/>
        <w:rPr>
          <w:rFonts w:ascii="Avenir Next" w:hAnsi="Avenir Next" w:cs="Arial"/>
          <w:color w:val="808080" w:themeColor="background1" w:themeShade="80"/>
          <w:sz w:val="22"/>
          <w:szCs w:val="22"/>
          <w:lang w:val="en-GB"/>
        </w:rPr>
      </w:pPr>
    </w:p>
    <w:p w14:paraId="16CFA2F1" w14:textId="31F19B6D" w:rsidR="008672CD" w:rsidRPr="00E04BDF" w:rsidRDefault="008672CD"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Turning to court</w:t>
      </w:r>
      <w:r w:rsidR="00E04BD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appointed receiverships,</w:t>
      </w:r>
      <w:r w:rsidR="00E04BDF">
        <w:rPr>
          <w:rFonts w:ascii="Avenir Next" w:hAnsi="Avenir Next" w:cs="Arial"/>
          <w:color w:val="808080" w:themeColor="background1" w:themeShade="80"/>
          <w:sz w:val="22"/>
          <w:szCs w:val="22"/>
          <w:lang w:val="en-GB"/>
        </w:rPr>
        <w:t xml:space="preserve"> the GC has the power to appoint a receiver </w:t>
      </w:r>
      <w:r w:rsidR="00E04BDF" w:rsidRPr="00E04BDF">
        <w:rPr>
          <w:rFonts w:ascii="Avenir Next" w:hAnsi="Avenir Next" w:cs="Arial"/>
          <w:i/>
          <w:iCs/>
          <w:color w:val="808080" w:themeColor="background1" w:themeShade="80"/>
          <w:sz w:val="22"/>
          <w:szCs w:val="22"/>
          <w:lang w:val="en-GB"/>
        </w:rPr>
        <w:t>“in all cases in which it appears to the Court to be just and convenient to do so”</w:t>
      </w:r>
      <w:r w:rsidR="00E04BDF">
        <w:rPr>
          <w:rFonts w:ascii="Avenir Next" w:hAnsi="Avenir Next" w:cs="Arial"/>
          <w:color w:val="808080" w:themeColor="background1" w:themeShade="80"/>
          <w:sz w:val="22"/>
          <w:szCs w:val="22"/>
          <w:lang w:val="en-GB"/>
        </w:rPr>
        <w:t>. The source of this power is s</w:t>
      </w:r>
      <w:r w:rsidR="00E04BDF" w:rsidRPr="00E04BDF">
        <w:rPr>
          <w:rFonts w:ascii="Avenir Next" w:hAnsi="Avenir Next" w:cs="Arial"/>
          <w:color w:val="808080" w:themeColor="background1" w:themeShade="80"/>
          <w:sz w:val="22"/>
          <w:szCs w:val="22"/>
          <w:lang w:val="en-GB"/>
        </w:rPr>
        <w:t>ection 11(1) of the Grand Court Act, which states that the Grand Court</w:t>
      </w:r>
      <w:r w:rsidR="00E04BDF">
        <w:rPr>
          <w:rFonts w:ascii="Avenir Next" w:hAnsi="Avenir Next" w:cs="Arial"/>
          <w:color w:val="808080" w:themeColor="background1" w:themeShade="80"/>
          <w:sz w:val="22"/>
          <w:szCs w:val="22"/>
          <w:lang w:val="en-GB"/>
        </w:rPr>
        <w:t xml:space="preserve"> </w:t>
      </w:r>
      <w:r w:rsidR="00E04BDF" w:rsidRPr="00E04BDF">
        <w:rPr>
          <w:rFonts w:ascii="Avenir Next" w:hAnsi="Avenir Next" w:cs="Arial"/>
          <w:color w:val="808080" w:themeColor="background1" w:themeShade="80"/>
          <w:sz w:val="22"/>
          <w:szCs w:val="22"/>
          <w:lang w:val="en-GB"/>
        </w:rPr>
        <w:t>shall possess like jurisdiction within the Cayman Islands which is vested in England</w:t>
      </w:r>
      <w:r w:rsidR="00672E5B">
        <w:rPr>
          <w:rFonts w:ascii="Avenir Next" w:hAnsi="Avenir Next" w:cs="Arial"/>
          <w:color w:val="808080" w:themeColor="background1" w:themeShade="80"/>
          <w:sz w:val="22"/>
          <w:szCs w:val="22"/>
          <w:lang w:val="en-GB"/>
        </w:rPr>
        <w:t xml:space="preserve"> and in</w:t>
      </w:r>
      <w:r w:rsidR="00E04BDF" w:rsidRPr="00E04BDF">
        <w:rPr>
          <w:rFonts w:ascii="Avenir Next" w:hAnsi="Avenir Next" w:cs="Arial"/>
          <w:color w:val="808080" w:themeColor="background1" w:themeShade="80"/>
          <w:sz w:val="22"/>
          <w:szCs w:val="22"/>
          <w:lang w:val="en-GB"/>
        </w:rPr>
        <w:t xml:space="preserve"> England, section 37(1) of the Senior Courts Act 1981 states that the High Court may</w:t>
      </w:r>
      <w:r w:rsidR="00127805">
        <w:rPr>
          <w:rFonts w:ascii="Avenir Next" w:hAnsi="Avenir Next" w:cs="Arial"/>
          <w:color w:val="808080" w:themeColor="background1" w:themeShade="80"/>
          <w:sz w:val="22"/>
          <w:szCs w:val="22"/>
          <w:lang w:val="en-GB"/>
        </w:rPr>
        <w:t xml:space="preserve"> </w:t>
      </w:r>
      <w:r w:rsidR="00E04BDF" w:rsidRPr="00E04BDF">
        <w:rPr>
          <w:rFonts w:ascii="Avenir Next" w:hAnsi="Avenir Next" w:cs="Arial"/>
          <w:color w:val="808080" w:themeColor="background1" w:themeShade="80"/>
          <w:sz w:val="22"/>
          <w:szCs w:val="22"/>
          <w:lang w:val="en-GB"/>
        </w:rPr>
        <w:t>appoint a receiver in all cases in which it appears just and convenient to do so</w:t>
      </w:r>
      <w:r w:rsidR="00127805">
        <w:rPr>
          <w:rFonts w:ascii="Avenir Next" w:hAnsi="Avenir Next" w:cs="Arial"/>
          <w:color w:val="808080" w:themeColor="background1" w:themeShade="80"/>
          <w:sz w:val="22"/>
          <w:szCs w:val="22"/>
          <w:lang w:val="en-GB"/>
        </w:rPr>
        <w:t>.</w:t>
      </w:r>
      <w:r w:rsidR="00127805">
        <w:rPr>
          <w:rStyle w:val="FootnoteReference"/>
          <w:rFonts w:ascii="Avenir Next" w:hAnsi="Avenir Next" w:cs="Arial"/>
          <w:color w:val="808080" w:themeColor="background1" w:themeShade="80"/>
          <w:sz w:val="22"/>
          <w:szCs w:val="22"/>
          <w:lang w:val="en-GB"/>
        </w:rPr>
        <w:footnoteReference w:id="12"/>
      </w:r>
      <w:r w:rsidR="00896318">
        <w:rPr>
          <w:rFonts w:ascii="Avenir Next" w:hAnsi="Avenir Next" w:cs="Arial"/>
          <w:color w:val="808080" w:themeColor="background1" w:themeShade="80"/>
          <w:sz w:val="22"/>
          <w:szCs w:val="22"/>
          <w:lang w:val="en-GB"/>
        </w:rPr>
        <w:t xml:space="preserve"> When a receiver is appointed the Court will describe the powers that they have in the order that appoints them, as such, it is important for the applicant to have a clear understanding of what the receiver will be required to do so that can be encompassed by </w:t>
      </w:r>
      <w:r w:rsidR="008E33D5">
        <w:rPr>
          <w:rFonts w:ascii="Avenir Next" w:hAnsi="Avenir Next" w:cs="Arial"/>
          <w:color w:val="808080" w:themeColor="background1" w:themeShade="80"/>
          <w:sz w:val="22"/>
          <w:szCs w:val="22"/>
          <w:lang w:val="en-GB"/>
        </w:rPr>
        <w:t xml:space="preserve">the summons </w:t>
      </w:r>
      <w:r w:rsidR="00896318">
        <w:rPr>
          <w:rFonts w:ascii="Avenir Next" w:hAnsi="Avenir Next" w:cs="Arial"/>
          <w:color w:val="808080" w:themeColor="background1" w:themeShade="80"/>
          <w:sz w:val="22"/>
          <w:szCs w:val="22"/>
          <w:lang w:val="en-GB"/>
        </w:rPr>
        <w:t xml:space="preserve">the order. </w:t>
      </w:r>
    </w:p>
    <w:p w14:paraId="00BA2B94" w14:textId="010CA8BC" w:rsidR="00CD7D91" w:rsidRDefault="00CD7D91" w:rsidP="002A37BB">
      <w:pPr>
        <w:jc w:val="both"/>
        <w:rPr>
          <w:rFonts w:ascii="Avenir Next" w:hAnsi="Avenir Next" w:cs="Arial"/>
          <w:color w:val="808080" w:themeColor="background1" w:themeShade="80"/>
          <w:sz w:val="22"/>
          <w:szCs w:val="22"/>
          <w:lang w:val="en-GB"/>
        </w:rPr>
      </w:pPr>
    </w:p>
    <w:p w14:paraId="5F8CE8CC" w14:textId="12B7E623" w:rsidR="0074689A" w:rsidRDefault="0012780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it's certainly not the only use, a common application for the appointment of receivers in the Cayman Islands, arises in an insolvency context of a freezing injunction to preserve assets which are at risk of dissipation and receiver</w:t>
      </w:r>
      <w:r w:rsidR="00FD5A1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are appointed to take control of those assets and preserve them pending resolution of the insolvency proceedings. Receivers </w:t>
      </w:r>
      <w:r w:rsidR="004B2A7F">
        <w:rPr>
          <w:rFonts w:ascii="Avenir Next" w:hAnsi="Avenir Next" w:cs="Arial"/>
          <w:color w:val="808080" w:themeColor="background1" w:themeShade="80"/>
          <w:sz w:val="22"/>
          <w:szCs w:val="22"/>
          <w:lang w:val="en-GB"/>
        </w:rPr>
        <w:t xml:space="preserve">can also be used where a </w:t>
      </w:r>
      <w:r w:rsidR="00896318">
        <w:rPr>
          <w:rFonts w:ascii="Avenir Next" w:hAnsi="Avenir Next" w:cs="Arial"/>
          <w:color w:val="808080" w:themeColor="background1" w:themeShade="80"/>
          <w:sz w:val="22"/>
          <w:szCs w:val="22"/>
          <w:lang w:val="en-GB"/>
        </w:rPr>
        <w:t xml:space="preserve">monetary </w:t>
      </w:r>
      <w:r w:rsidR="004B2A7F">
        <w:rPr>
          <w:rFonts w:ascii="Avenir Next" w:hAnsi="Avenir Next" w:cs="Arial"/>
          <w:color w:val="808080" w:themeColor="background1" w:themeShade="80"/>
          <w:sz w:val="22"/>
          <w:szCs w:val="22"/>
          <w:lang w:val="en-GB"/>
        </w:rPr>
        <w:t>judgment has been issued and steps are being taken to enforce it</w:t>
      </w:r>
      <w:r w:rsidR="00896318">
        <w:rPr>
          <w:rFonts w:ascii="Avenir Next" w:hAnsi="Avenir Next" w:cs="Arial"/>
          <w:color w:val="808080" w:themeColor="background1" w:themeShade="80"/>
          <w:sz w:val="22"/>
          <w:szCs w:val="22"/>
          <w:lang w:val="en-GB"/>
        </w:rPr>
        <w:t xml:space="preserve">, however, in this scenario the Court will consider whether the cost of doing so is proportionate in keeping with the amount of the </w:t>
      </w:r>
      <w:r w:rsidR="008E33D5">
        <w:rPr>
          <w:rFonts w:ascii="Avenir Next" w:hAnsi="Avenir Next" w:cs="Arial"/>
          <w:color w:val="808080" w:themeColor="background1" w:themeShade="80"/>
          <w:sz w:val="22"/>
          <w:szCs w:val="22"/>
          <w:lang w:val="en-GB"/>
        </w:rPr>
        <w:t>judgment</w:t>
      </w:r>
      <w:r w:rsidR="004B2A7F">
        <w:rPr>
          <w:rFonts w:ascii="Avenir Next" w:hAnsi="Avenir Next" w:cs="Arial"/>
          <w:color w:val="808080" w:themeColor="background1" w:themeShade="80"/>
          <w:sz w:val="22"/>
          <w:szCs w:val="22"/>
          <w:lang w:val="en-GB"/>
        </w:rPr>
        <w:t>.</w:t>
      </w:r>
      <w:r w:rsidR="008E33D5">
        <w:rPr>
          <w:rStyle w:val="FootnoteReference"/>
          <w:rFonts w:ascii="Avenir Next" w:hAnsi="Avenir Next" w:cs="Arial"/>
          <w:color w:val="808080" w:themeColor="background1" w:themeShade="80"/>
          <w:sz w:val="22"/>
          <w:szCs w:val="22"/>
          <w:lang w:val="en-GB"/>
        </w:rPr>
        <w:footnoteReference w:id="13"/>
      </w:r>
      <w:r w:rsidR="004B2A7F">
        <w:rPr>
          <w:rFonts w:ascii="Avenir Next" w:hAnsi="Avenir Next" w:cs="Arial"/>
          <w:color w:val="808080" w:themeColor="background1" w:themeShade="80"/>
          <w:sz w:val="22"/>
          <w:szCs w:val="22"/>
          <w:lang w:val="en-GB"/>
        </w:rPr>
        <w:t xml:space="preserve"> In this situation, the receiver </w:t>
      </w:r>
      <w:r w:rsidR="00896318">
        <w:rPr>
          <w:rFonts w:ascii="Avenir Next" w:hAnsi="Avenir Next" w:cs="Arial"/>
          <w:color w:val="808080" w:themeColor="background1" w:themeShade="80"/>
          <w:sz w:val="22"/>
          <w:szCs w:val="22"/>
          <w:lang w:val="en-GB"/>
        </w:rPr>
        <w:t xml:space="preserve">is appointed and </w:t>
      </w:r>
      <w:r w:rsidR="004B2A7F">
        <w:rPr>
          <w:rFonts w:ascii="Avenir Next" w:hAnsi="Avenir Next" w:cs="Arial"/>
          <w:color w:val="808080" w:themeColor="background1" w:themeShade="80"/>
          <w:sz w:val="22"/>
          <w:szCs w:val="22"/>
          <w:lang w:val="en-GB"/>
        </w:rPr>
        <w:t>takes</w:t>
      </w:r>
      <w:r w:rsidR="00896318">
        <w:rPr>
          <w:rFonts w:ascii="Avenir Next" w:hAnsi="Avenir Next" w:cs="Arial"/>
          <w:color w:val="808080" w:themeColor="background1" w:themeShade="80"/>
          <w:sz w:val="22"/>
          <w:szCs w:val="22"/>
          <w:lang w:val="en-GB"/>
        </w:rPr>
        <w:t xml:space="preserve"> possession of the</w:t>
      </w:r>
      <w:r w:rsidR="004B2A7F">
        <w:rPr>
          <w:rFonts w:ascii="Avenir Next" w:hAnsi="Avenir Next" w:cs="Arial"/>
          <w:color w:val="808080" w:themeColor="background1" w:themeShade="80"/>
          <w:sz w:val="22"/>
          <w:szCs w:val="22"/>
          <w:lang w:val="en-GB"/>
        </w:rPr>
        <w:t xml:space="preserve"> </w:t>
      </w:r>
      <w:r w:rsidR="004B2A7F" w:rsidRPr="004B2A7F">
        <w:rPr>
          <w:rFonts w:ascii="Avenir Next" w:hAnsi="Avenir Next" w:cs="Arial"/>
          <w:color w:val="808080" w:themeColor="background1" w:themeShade="80"/>
          <w:sz w:val="22"/>
          <w:szCs w:val="22"/>
          <w:lang w:val="en-GB"/>
        </w:rPr>
        <w:t>judgment debtor’s property</w:t>
      </w:r>
      <w:r w:rsidR="004B2A7F">
        <w:rPr>
          <w:rFonts w:ascii="Avenir Next" w:hAnsi="Avenir Next" w:cs="Arial"/>
          <w:color w:val="808080" w:themeColor="background1" w:themeShade="80"/>
          <w:sz w:val="22"/>
          <w:szCs w:val="22"/>
          <w:lang w:val="en-GB"/>
        </w:rPr>
        <w:t xml:space="preserve"> </w:t>
      </w:r>
      <w:r w:rsidR="004B2A7F" w:rsidRPr="004B2A7F">
        <w:rPr>
          <w:rFonts w:ascii="Avenir Next" w:hAnsi="Avenir Next" w:cs="Arial"/>
          <w:color w:val="808080" w:themeColor="background1" w:themeShade="80"/>
          <w:sz w:val="22"/>
          <w:szCs w:val="22"/>
          <w:lang w:val="en-GB"/>
        </w:rPr>
        <w:t xml:space="preserve">and sells it to satisfy </w:t>
      </w:r>
      <w:r w:rsidR="00896318">
        <w:rPr>
          <w:rFonts w:ascii="Avenir Next" w:hAnsi="Avenir Next" w:cs="Arial"/>
          <w:color w:val="808080" w:themeColor="background1" w:themeShade="80"/>
          <w:sz w:val="22"/>
          <w:szCs w:val="22"/>
          <w:lang w:val="en-GB"/>
        </w:rPr>
        <w:t>the</w:t>
      </w:r>
      <w:r w:rsidR="004B2A7F" w:rsidRPr="004B2A7F">
        <w:rPr>
          <w:rFonts w:ascii="Avenir Next" w:hAnsi="Avenir Next" w:cs="Arial"/>
          <w:color w:val="808080" w:themeColor="background1" w:themeShade="80"/>
          <w:sz w:val="22"/>
          <w:szCs w:val="22"/>
          <w:lang w:val="en-GB"/>
        </w:rPr>
        <w:t xml:space="preserve"> judgment</w:t>
      </w:r>
      <w:r w:rsidR="00896318">
        <w:rPr>
          <w:rFonts w:ascii="Avenir Next" w:hAnsi="Avenir Next" w:cs="Arial"/>
          <w:color w:val="808080" w:themeColor="background1" w:themeShade="80"/>
          <w:sz w:val="22"/>
          <w:szCs w:val="22"/>
          <w:lang w:val="en-GB"/>
        </w:rPr>
        <w:t xml:space="preserve">.  </w:t>
      </w:r>
    </w:p>
    <w:p w14:paraId="5EC3F13D" w14:textId="77777777" w:rsidR="00DA017C" w:rsidRDefault="00DA017C" w:rsidP="002A37BB">
      <w:pPr>
        <w:jc w:val="both"/>
        <w:rPr>
          <w:rFonts w:ascii="Avenir Next" w:hAnsi="Avenir Next" w:cs="Arial"/>
          <w:color w:val="808080" w:themeColor="background1" w:themeShade="80"/>
          <w:sz w:val="22"/>
          <w:szCs w:val="22"/>
          <w:lang w:val="en-GB"/>
        </w:rPr>
      </w:pPr>
    </w:p>
    <w:p w14:paraId="17B6B754" w14:textId="4D5E0F46" w:rsidR="00DA017C" w:rsidRDefault="00DA017C"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insolvency context, commonly the receivers that are appointed are professional insolvency practitioners. The receiver's remuneration will be authorised by the Court, much like it is for official liquidators, and in fact the Court will have </w:t>
      </w:r>
      <w:r w:rsidRPr="00DA017C">
        <w:rPr>
          <w:rFonts w:ascii="Avenir Next" w:hAnsi="Avenir Next" w:cs="Arial"/>
          <w:color w:val="808080" w:themeColor="background1" w:themeShade="80"/>
          <w:sz w:val="22"/>
          <w:szCs w:val="22"/>
          <w:lang w:val="en-GB"/>
        </w:rPr>
        <w:t>regard to the Insolvency Practitioners’</w:t>
      </w:r>
      <w:r>
        <w:rPr>
          <w:rFonts w:ascii="Avenir Next" w:hAnsi="Avenir Next" w:cs="Arial"/>
          <w:color w:val="808080" w:themeColor="background1" w:themeShade="80"/>
          <w:sz w:val="22"/>
          <w:szCs w:val="22"/>
          <w:lang w:val="en-GB"/>
        </w:rPr>
        <w:t xml:space="preserve"> </w:t>
      </w:r>
      <w:r w:rsidRPr="00DA017C">
        <w:rPr>
          <w:rFonts w:ascii="Avenir Next" w:hAnsi="Avenir Next" w:cs="Arial"/>
          <w:color w:val="808080" w:themeColor="background1" w:themeShade="80"/>
          <w:sz w:val="22"/>
          <w:szCs w:val="22"/>
          <w:lang w:val="en-GB"/>
        </w:rPr>
        <w:t>Regulations</w:t>
      </w:r>
      <w:r>
        <w:rPr>
          <w:rFonts w:ascii="Avenir Next" w:hAnsi="Avenir Next" w:cs="Arial"/>
          <w:color w:val="808080" w:themeColor="background1" w:themeShade="80"/>
          <w:sz w:val="22"/>
          <w:szCs w:val="22"/>
          <w:lang w:val="en-GB"/>
        </w:rPr>
        <w:t xml:space="preserve"> as to what is appropriate as was the case in </w:t>
      </w:r>
      <w:r w:rsidRPr="00DA017C">
        <w:rPr>
          <w:rFonts w:ascii="Avenir Next" w:hAnsi="Avenir Next" w:cs="Arial"/>
          <w:i/>
          <w:iCs/>
          <w:color w:val="808080" w:themeColor="background1" w:themeShade="80"/>
          <w:sz w:val="22"/>
          <w:szCs w:val="22"/>
          <w:lang w:val="en-GB"/>
        </w:rPr>
        <w:t xml:space="preserve">Lea Lilly Perry v </w:t>
      </w:r>
      <w:proofErr w:type="spellStart"/>
      <w:r w:rsidRPr="00DA017C">
        <w:rPr>
          <w:rFonts w:ascii="Avenir Next" w:hAnsi="Avenir Next" w:cs="Arial"/>
          <w:i/>
          <w:iCs/>
          <w:color w:val="808080" w:themeColor="background1" w:themeShade="80"/>
          <w:sz w:val="22"/>
          <w:szCs w:val="22"/>
          <w:lang w:val="en-GB"/>
        </w:rPr>
        <w:t>Lopag</w:t>
      </w:r>
      <w:proofErr w:type="spellEnd"/>
      <w:r w:rsidRPr="00DA017C">
        <w:rPr>
          <w:rFonts w:ascii="Avenir Next" w:hAnsi="Avenir Next" w:cs="Arial"/>
          <w:i/>
          <w:iCs/>
          <w:color w:val="808080" w:themeColor="background1" w:themeShade="80"/>
          <w:sz w:val="22"/>
          <w:szCs w:val="22"/>
          <w:lang w:val="en-GB"/>
        </w:rPr>
        <w:t xml:space="preserve"> Trust Reg</w:t>
      </w:r>
      <w:r w:rsidRPr="00DA017C">
        <w:rPr>
          <w:rFonts w:ascii="Avenir Next" w:hAnsi="Avenir Next" w:cs="Arial"/>
          <w:color w:val="808080" w:themeColor="background1" w:themeShade="80"/>
          <w:sz w:val="22"/>
          <w:szCs w:val="22"/>
          <w:lang w:val="en-GB"/>
        </w:rPr>
        <w:t xml:space="preserve"> (Grand C</w:t>
      </w:r>
      <w:r>
        <w:rPr>
          <w:rFonts w:ascii="Avenir Next" w:hAnsi="Avenir Next" w:cs="Arial"/>
          <w:color w:val="808080" w:themeColor="background1" w:themeShade="80"/>
          <w:sz w:val="22"/>
          <w:szCs w:val="22"/>
          <w:lang w:val="en-GB"/>
        </w:rPr>
        <w:t>ourt</w:t>
      </w:r>
      <w:r w:rsidRPr="00DA017C">
        <w:rPr>
          <w:rFonts w:ascii="Avenir Next" w:hAnsi="Avenir Next" w:cs="Arial"/>
          <w:color w:val="808080" w:themeColor="background1" w:themeShade="80"/>
          <w:sz w:val="22"/>
          <w:szCs w:val="22"/>
          <w:lang w:val="en-GB"/>
        </w:rPr>
        <w:t xml:space="preserve">, 20 April 2020, </w:t>
      </w:r>
      <w:r>
        <w:rPr>
          <w:rFonts w:ascii="Avenir Next" w:hAnsi="Avenir Next" w:cs="Arial"/>
          <w:color w:val="808080" w:themeColor="background1" w:themeShade="80"/>
          <w:sz w:val="22"/>
          <w:szCs w:val="22"/>
          <w:lang w:val="en-GB"/>
        </w:rPr>
        <w:t>U</w:t>
      </w:r>
      <w:r w:rsidRPr="00DA017C">
        <w:rPr>
          <w:rFonts w:ascii="Avenir Next" w:hAnsi="Avenir Next" w:cs="Arial"/>
          <w:color w:val="808080" w:themeColor="background1" w:themeShade="80"/>
          <w:sz w:val="22"/>
          <w:szCs w:val="22"/>
          <w:lang w:val="en-GB"/>
        </w:rPr>
        <w:t>nreported)</w:t>
      </w:r>
      <w:r>
        <w:rPr>
          <w:rFonts w:ascii="Avenir Next" w:hAnsi="Avenir Next" w:cs="Arial"/>
          <w:color w:val="808080" w:themeColor="background1" w:themeShade="80"/>
          <w:sz w:val="22"/>
          <w:szCs w:val="22"/>
          <w:lang w:val="en-GB"/>
        </w:rPr>
        <w:t>.</w:t>
      </w:r>
    </w:p>
    <w:p w14:paraId="31304829" w14:textId="77777777" w:rsidR="0074689A" w:rsidRDefault="0074689A" w:rsidP="002A37BB">
      <w:pPr>
        <w:jc w:val="both"/>
        <w:rPr>
          <w:rFonts w:ascii="Avenir Next" w:hAnsi="Avenir Next" w:cs="Arial"/>
          <w:color w:val="808080" w:themeColor="background1" w:themeShade="80"/>
          <w:sz w:val="22"/>
          <w:szCs w:val="22"/>
          <w:lang w:val="en-GB"/>
        </w:rPr>
      </w:pPr>
    </w:p>
    <w:p w14:paraId="69B39CC6" w14:textId="6BA6D932" w:rsidR="00391568" w:rsidRDefault="00DA017C" w:rsidP="00391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GC also has the power to appoint receivers in </w:t>
      </w:r>
      <w:r w:rsidR="00391568">
        <w:rPr>
          <w:rFonts w:ascii="Avenir Next" w:hAnsi="Avenir Next" w:cs="Arial"/>
          <w:color w:val="808080" w:themeColor="background1" w:themeShade="80"/>
          <w:sz w:val="22"/>
          <w:szCs w:val="22"/>
          <w:lang w:val="en-GB"/>
        </w:rPr>
        <w:t>respect of an SPC</w:t>
      </w:r>
      <w:r w:rsidR="00BF6B8D">
        <w:rPr>
          <w:rFonts w:ascii="Avenir Next" w:hAnsi="Avenir Next" w:cs="Arial"/>
          <w:color w:val="808080" w:themeColor="background1" w:themeShade="80"/>
          <w:sz w:val="22"/>
          <w:szCs w:val="22"/>
          <w:lang w:val="en-GB"/>
        </w:rPr>
        <w:t xml:space="preserve"> and the process is regulated by the CA in relation to </w:t>
      </w:r>
      <w:proofErr w:type="gramStart"/>
      <w:r w:rsidR="00BF6B8D">
        <w:rPr>
          <w:rFonts w:ascii="Avenir Next" w:hAnsi="Avenir Next" w:cs="Arial"/>
          <w:color w:val="808080" w:themeColor="background1" w:themeShade="80"/>
          <w:sz w:val="22"/>
          <w:szCs w:val="22"/>
          <w:lang w:val="en-GB"/>
        </w:rPr>
        <w:t>particular kinds</w:t>
      </w:r>
      <w:proofErr w:type="gramEnd"/>
      <w:r w:rsidR="00BF6B8D">
        <w:rPr>
          <w:rFonts w:ascii="Avenir Next" w:hAnsi="Avenir Next" w:cs="Arial"/>
          <w:color w:val="808080" w:themeColor="background1" w:themeShade="80"/>
          <w:sz w:val="22"/>
          <w:szCs w:val="22"/>
          <w:lang w:val="en-GB"/>
        </w:rPr>
        <w:t xml:space="preserve"> of SPCs</w:t>
      </w:r>
      <w:r w:rsidR="00391568">
        <w:rPr>
          <w:rFonts w:ascii="Avenir Next" w:hAnsi="Avenir Next" w:cs="Arial"/>
          <w:color w:val="808080" w:themeColor="background1" w:themeShade="80"/>
          <w:sz w:val="22"/>
          <w:szCs w:val="22"/>
          <w:lang w:val="en-GB"/>
        </w:rPr>
        <w:t xml:space="preserve">. Such an application may be made by the SPC itself, its directors, a creditor or shareholder of the SPC or whether the SPC is licensed and regulated, the </w:t>
      </w:r>
      <w:r w:rsidR="00391568" w:rsidRPr="00391568">
        <w:rPr>
          <w:rFonts w:ascii="Avenir Next" w:hAnsi="Avenir Next" w:cs="Arial"/>
          <w:color w:val="808080" w:themeColor="background1" w:themeShade="80"/>
          <w:sz w:val="22"/>
          <w:szCs w:val="22"/>
          <w:lang w:val="en-GB"/>
        </w:rPr>
        <w:t>Cayman Islands Monetary Authority (</w:t>
      </w:r>
      <w:r w:rsidR="00391568" w:rsidRPr="00391568">
        <w:rPr>
          <w:rFonts w:ascii="Avenir Next" w:hAnsi="Avenir Next" w:cs="Arial"/>
          <w:b/>
          <w:bCs/>
          <w:color w:val="808080" w:themeColor="background1" w:themeShade="80"/>
          <w:sz w:val="22"/>
          <w:szCs w:val="22"/>
          <w:lang w:val="en-GB"/>
        </w:rPr>
        <w:t>CIMA</w:t>
      </w:r>
      <w:r w:rsidR="00391568" w:rsidRPr="00391568">
        <w:rPr>
          <w:rFonts w:ascii="Avenir Next" w:hAnsi="Avenir Next" w:cs="Arial"/>
          <w:color w:val="808080" w:themeColor="background1" w:themeShade="80"/>
          <w:sz w:val="22"/>
          <w:szCs w:val="22"/>
          <w:lang w:val="en-GB"/>
        </w:rPr>
        <w:t>).</w:t>
      </w:r>
      <w:r w:rsidR="00391568">
        <w:rPr>
          <w:rStyle w:val="FootnoteReference"/>
          <w:rFonts w:ascii="Avenir Next" w:hAnsi="Avenir Next" w:cs="Arial"/>
          <w:color w:val="808080" w:themeColor="background1" w:themeShade="80"/>
          <w:sz w:val="22"/>
          <w:szCs w:val="22"/>
          <w:lang w:val="en-GB"/>
        </w:rPr>
        <w:footnoteReference w:id="14"/>
      </w:r>
      <w:r w:rsidR="00391568">
        <w:rPr>
          <w:rFonts w:ascii="Avenir Next" w:hAnsi="Avenir Next" w:cs="Arial"/>
          <w:color w:val="808080" w:themeColor="background1" w:themeShade="80"/>
          <w:sz w:val="22"/>
          <w:szCs w:val="22"/>
          <w:lang w:val="en-GB"/>
        </w:rPr>
        <w:t xml:space="preserve"> Pursuant to the CA, the </w:t>
      </w:r>
      <w:r w:rsidR="006F05FA">
        <w:rPr>
          <w:rFonts w:ascii="Avenir Next" w:hAnsi="Avenir Next" w:cs="Arial"/>
          <w:color w:val="808080" w:themeColor="background1" w:themeShade="80"/>
          <w:sz w:val="22"/>
          <w:szCs w:val="22"/>
          <w:lang w:val="en-GB"/>
        </w:rPr>
        <w:t>C</w:t>
      </w:r>
      <w:r w:rsidR="00391568">
        <w:rPr>
          <w:rFonts w:ascii="Avenir Next" w:hAnsi="Avenir Next" w:cs="Arial"/>
          <w:color w:val="808080" w:themeColor="background1" w:themeShade="80"/>
          <w:sz w:val="22"/>
          <w:szCs w:val="22"/>
          <w:lang w:val="en-GB"/>
        </w:rPr>
        <w:t xml:space="preserve">ourt </w:t>
      </w:r>
      <w:r w:rsidR="00391568" w:rsidRPr="00391568">
        <w:rPr>
          <w:rFonts w:ascii="Avenir Next" w:hAnsi="Avenir Next" w:cs="Arial"/>
          <w:color w:val="808080" w:themeColor="background1" w:themeShade="80"/>
          <w:sz w:val="22"/>
          <w:szCs w:val="22"/>
          <w:lang w:val="en-GB"/>
        </w:rPr>
        <w:t>may make a receivership order if it is satisfied that</w:t>
      </w:r>
      <w:r w:rsidR="00391568">
        <w:rPr>
          <w:rFonts w:ascii="Avenir Next" w:hAnsi="Avenir Next" w:cs="Arial"/>
          <w:color w:val="808080" w:themeColor="background1" w:themeShade="80"/>
          <w:sz w:val="22"/>
          <w:szCs w:val="22"/>
          <w:lang w:val="en-GB"/>
        </w:rPr>
        <w:t xml:space="preserve"> (a) </w:t>
      </w:r>
      <w:r w:rsidR="00391568" w:rsidRPr="00391568">
        <w:rPr>
          <w:rFonts w:ascii="Avenir Next" w:hAnsi="Avenir Next" w:cs="Arial"/>
          <w:color w:val="808080" w:themeColor="background1" w:themeShade="80"/>
          <w:sz w:val="22"/>
          <w:szCs w:val="22"/>
          <w:lang w:val="en-GB"/>
        </w:rPr>
        <w:t>the SPC’s assets are or are likely to be insufficient to discharge the claims of the SPC’s</w:t>
      </w:r>
      <w:r w:rsidR="00BF6B8D">
        <w:rPr>
          <w:rFonts w:ascii="Avenir Next" w:hAnsi="Avenir Next" w:cs="Arial"/>
          <w:color w:val="808080" w:themeColor="background1" w:themeShade="80"/>
          <w:sz w:val="22"/>
          <w:szCs w:val="22"/>
          <w:lang w:val="en-GB"/>
        </w:rPr>
        <w:t xml:space="preserve"> </w:t>
      </w:r>
      <w:r w:rsidR="00391568" w:rsidRPr="00391568">
        <w:rPr>
          <w:rFonts w:ascii="Avenir Next" w:hAnsi="Avenir Next" w:cs="Arial"/>
          <w:color w:val="808080" w:themeColor="background1" w:themeShade="80"/>
          <w:sz w:val="22"/>
          <w:szCs w:val="22"/>
          <w:lang w:val="en-GB"/>
        </w:rPr>
        <w:t>creditors;</w:t>
      </w:r>
      <w:r w:rsidR="00BF6B8D">
        <w:rPr>
          <w:rStyle w:val="FootnoteReference"/>
          <w:rFonts w:ascii="Avenir Next" w:hAnsi="Avenir Next" w:cs="Arial"/>
          <w:color w:val="808080" w:themeColor="background1" w:themeShade="80"/>
          <w:sz w:val="22"/>
          <w:szCs w:val="22"/>
          <w:lang w:val="en-GB"/>
        </w:rPr>
        <w:footnoteReference w:id="15"/>
      </w:r>
      <w:r w:rsidR="00391568" w:rsidRPr="00391568">
        <w:rPr>
          <w:rFonts w:ascii="Avenir Next" w:hAnsi="Avenir Next" w:cs="Arial"/>
          <w:color w:val="808080" w:themeColor="background1" w:themeShade="80"/>
          <w:sz w:val="22"/>
          <w:szCs w:val="22"/>
          <w:lang w:val="en-GB"/>
        </w:rPr>
        <w:t xml:space="preserve"> and</w:t>
      </w:r>
      <w:r w:rsidR="00BF6B8D">
        <w:rPr>
          <w:rFonts w:ascii="Avenir Next" w:hAnsi="Avenir Next" w:cs="Arial"/>
          <w:color w:val="808080" w:themeColor="background1" w:themeShade="80"/>
          <w:sz w:val="22"/>
          <w:szCs w:val="22"/>
          <w:lang w:val="en-GB"/>
        </w:rPr>
        <w:t xml:space="preserve"> </w:t>
      </w:r>
      <w:r w:rsidR="00391568" w:rsidRPr="00391568">
        <w:rPr>
          <w:rFonts w:ascii="Avenir Next" w:hAnsi="Avenir Next" w:cs="Arial"/>
          <w:color w:val="808080" w:themeColor="background1" w:themeShade="80"/>
          <w:sz w:val="22"/>
          <w:szCs w:val="22"/>
          <w:lang w:val="en-GB"/>
        </w:rPr>
        <w:t>the making of a receivership order would achieve the orderly closing down of the SPC’s</w:t>
      </w:r>
      <w:r w:rsidR="00BF6B8D">
        <w:rPr>
          <w:rFonts w:ascii="Avenir Next" w:hAnsi="Avenir Next" w:cs="Arial"/>
          <w:color w:val="808080" w:themeColor="background1" w:themeShade="80"/>
          <w:sz w:val="22"/>
          <w:szCs w:val="22"/>
          <w:lang w:val="en-GB"/>
        </w:rPr>
        <w:t xml:space="preserve"> </w:t>
      </w:r>
      <w:r w:rsidR="00391568" w:rsidRPr="00391568">
        <w:rPr>
          <w:rFonts w:ascii="Avenir Next" w:hAnsi="Avenir Next" w:cs="Arial"/>
          <w:color w:val="808080" w:themeColor="background1" w:themeShade="80"/>
          <w:sz w:val="22"/>
          <w:szCs w:val="22"/>
          <w:lang w:val="en-GB"/>
        </w:rPr>
        <w:t>business and the distribution of the SPC’s assets to the persons so entitled.</w:t>
      </w:r>
      <w:r w:rsidR="00BF6B8D">
        <w:rPr>
          <w:rStyle w:val="FootnoteReference"/>
          <w:rFonts w:ascii="Avenir Next" w:hAnsi="Avenir Next" w:cs="Arial"/>
          <w:color w:val="808080" w:themeColor="background1" w:themeShade="80"/>
          <w:sz w:val="22"/>
          <w:szCs w:val="22"/>
          <w:lang w:val="en-GB"/>
        </w:rPr>
        <w:footnoteReference w:id="16"/>
      </w:r>
    </w:p>
    <w:p w14:paraId="4DFA49CF" w14:textId="77777777" w:rsidR="00391568" w:rsidRDefault="00391568" w:rsidP="002A37BB">
      <w:pPr>
        <w:jc w:val="both"/>
        <w:rPr>
          <w:rFonts w:ascii="Avenir Next" w:hAnsi="Avenir Next" w:cs="Arial"/>
          <w:color w:val="808080" w:themeColor="background1" w:themeShade="80"/>
          <w:sz w:val="22"/>
          <w:szCs w:val="22"/>
          <w:lang w:val="en-GB"/>
        </w:rPr>
      </w:pPr>
    </w:p>
    <w:p w14:paraId="633F7CD6" w14:textId="56BCBBAF" w:rsidR="00924973" w:rsidRDefault="00BF6B8D"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of receivers in respect of an SPC is particularly important in an insolvency scenario because while an SPC can be </w:t>
      </w:r>
      <w:r w:rsidRPr="00BF6B8D">
        <w:rPr>
          <w:rFonts w:ascii="Avenir Next" w:hAnsi="Avenir Next" w:cs="Arial"/>
          <w:color w:val="808080" w:themeColor="background1" w:themeShade="80"/>
          <w:sz w:val="22"/>
          <w:szCs w:val="22"/>
          <w:lang w:val="en-GB"/>
        </w:rPr>
        <w:t>wound up in accordance with the general winding up process set</w:t>
      </w:r>
      <w:r>
        <w:rPr>
          <w:rFonts w:ascii="Avenir Next" w:hAnsi="Avenir Next" w:cs="Arial"/>
          <w:color w:val="808080" w:themeColor="background1" w:themeShade="80"/>
          <w:sz w:val="22"/>
          <w:szCs w:val="22"/>
          <w:lang w:val="en-GB"/>
        </w:rPr>
        <w:t xml:space="preserve"> </w:t>
      </w:r>
      <w:r w:rsidRPr="00BF6B8D">
        <w:rPr>
          <w:rFonts w:ascii="Avenir Next" w:hAnsi="Avenir Next" w:cs="Arial"/>
          <w:color w:val="808080" w:themeColor="background1" w:themeShade="80"/>
          <w:sz w:val="22"/>
          <w:szCs w:val="22"/>
          <w:lang w:val="en-GB"/>
        </w:rPr>
        <w:t xml:space="preserve">out in the </w:t>
      </w:r>
      <w:r>
        <w:rPr>
          <w:rFonts w:ascii="Avenir Next" w:hAnsi="Avenir Next" w:cs="Arial"/>
          <w:color w:val="808080" w:themeColor="background1" w:themeShade="80"/>
          <w:sz w:val="22"/>
          <w:szCs w:val="22"/>
          <w:lang w:val="en-GB"/>
        </w:rPr>
        <w:t>CA</w:t>
      </w:r>
      <w:r w:rsidRPr="00BF6B8D">
        <w:rPr>
          <w:rFonts w:ascii="Avenir Next" w:hAnsi="Avenir Next" w:cs="Arial"/>
          <w:color w:val="808080" w:themeColor="background1" w:themeShade="80"/>
          <w:sz w:val="22"/>
          <w:szCs w:val="22"/>
          <w:lang w:val="en-GB"/>
        </w:rPr>
        <w:t>, the official liquidator of an SPC may only deal with the SPC’s assets in</w:t>
      </w:r>
      <w:r>
        <w:rPr>
          <w:rFonts w:ascii="Avenir Next" w:hAnsi="Avenir Next" w:cs="Arial"/>
          <w:color w:val="808080" w:themeColor="background1" w:themeShade="80"/>
          <w:sz w:val="22"/>
          <w:szCs w:val="22"/>
          <w:lang w:val="en-GB"/>
        </w:rPr>
        <w:t xml:space="preserve"> </w:t>
      </w:r>
      <w:r w:rsidRPr="00BF6B8D">
        <w:rPr>
          <w:rFonts w:ascii="Avenir Next" w:hAnsi="Avenir Next" w:cs="Arial"/>
          <w:color w:val="808080" w:themeColor="background1" w:themeShade="80"/>
          <w:sz w:val="22"/>
          <w:szCs w:val="22"/>
          <w:lang w:val="en-GB"/>
        </w:rPr>
        <w:t xml:space="preserve">a manner </w:t>
      </w:r>
      <w:r w:rsidR="00216D13">
        <w:rPr>
          <w:rFonts w:ascii="Avenir Next" w:hAnsi="Avenir Next" w:cs="Arial"/>
          <w:color w:val="808080" w:themeColor="background1" w:themeShade="80"/>
          <w:sz w:val="22"/>
          <w:szCs w:val="22"/>
          <w:lang w:val="en-GB"/>
        </w:rPr>
        <w:t xml:space="preserve">that is </w:t>
      </w:r>
      <w:r w:rsidRPr="00BF6B8D">
        <w:rPr>
          <w:rFonts w:ascii="Avenir Next" w:hAnsi="Avenir Next" w:cs="Arial"/>
          <w:color w:val="808080" w:themeColor="background1" w:themeShade="80"/>
          <w:sz w:val="22"/>
          <w:szCs w:val="22"/>
          <w:lang w:val="en-GB"/>
        </w:rPr>
        <w:t>consistent with t</w:t>
      </w:r>
      <w:r w:rsidR="00216D13">
        <w:rPr>
          <w:rFonts w:ascii="Avenir Next" w:hAnsi="Avenir Next" w:cs="Arial"/>
          <w:color w:val="808080" w:themeColor="background1" w:themeShade="80"/>
          <w:sz w:val="22"/>
          <w:szCs w:val="22"/>
          <w:lang w:val="en-GB"/>
        </w:rPr>
        <w:t xml:space="preserve">he </w:t>
      </w:r>
      <w:r w:rsidR="00113C9E">
        <w:rPr>
          <w:rFonts w:ascii="Avenir Next" w:hAnsi="Avenir Next" w:cs="Arial"/>
          <w:color w:val="808080" w:themeColor="background1" w:themeShade="80"/>
          <w:sz w:val="22"/>
          <w:szCs w:val="22"/>
          <w:lang w:val="en-GB"/>
        </w:rPr>
        <w:t xml:space="preserve">structure of the segregated portfolio. In other words, the liquidator can only deal with the assets and liabilities of each portfolio within the SPC as each is established and ring-fenced by statute. The liquidator can't deal with the SPC and </w:t>
      </w:r>
      <w:proofErr w:type="gramStart"/>
      <w:r w:rsidR="00113C9E">
        <w:rPr>
          <w:rFonts w:ascii="Avenir Next" w:hAnsi="Avenir Next" w:cs="Arial"/>
          <w:color w:val="808080" w:themeColor="background1" w:themeShade="80"/>
          <w:sz w:val="22"/>
          <w:szCs w:val="22"/>
          <w:lang w:val="en-GB"/>
        </w:rPr>
        <w:t>all of</w:t>
      </w:r>
      <w:proofErr w:type="gramEnd"/>
      <w:r w:rsidR="00113C9E">
        <w:rPr>
          <w:rFonts w:ascii="Avenir Next" w:hAnsi="Avenir Next" w:cs="Arial"/>
          <w:color w:val="808080" w:themeColor="background1" w:themeShade="80"/>
          <w:sz w:val="22"/>
          <w:szCs w:val="22"/>
          <w:lang w:val="en-GB"/>
        </w:rPr>
        <w:t xml:space="preserve"> its </w:t>
      </w:r>
      <w:r w:rsidR="00133FB6">
        <w:rPr>
          <w:rFonts w:ascii="Avenir Next" w:hAnsi="Avenir Next" w:cs="Arial"/>
          <w:color w:val="808080" w:themeColor="background1" w:themeShade="80"/>
          <w:sz w:val="22"/>
          <w:szCs w:val="22"/>
          <w:lang w:val="en-GB"/>
        </w:rPr>
        <w:t>portfolios</w:t>
      </w:r>
      <w:r w:rsidR="00113C9E">
        <w:rPr>
          <w:rFonts w:ascii="Avenir Next" w:hAnsi="Avenir Next" w:cs="Arial"/>
          <w:color w:val="808080" w:themeColor="background1" w:themeShade="80"/>
          <w:sz w:val="22"/>
          <w:szCs w:val="22"/>
          <w:lang w:val="en-GB"/>
        </w:rPr>
        <w:t xml:space="preserve"> as a whole, the ring fencing must be respected. In this scenario, receivers may be a useful tool </w:t>
      </w:r>
      <w:r w:rsidR="00A85208">
        <w:rPr>
          <w:rFonts w:ascii="Avenir Next" w:hAnsi="Avenir Next" w:cs="Arial"/>
          <w:color w:val="808080" w:themeColor="background1" w:themeShade="80"/>
          <w:sz w:val="22"/>
          <w:szCs w:val="22"/>
          <w:lang w:val="en-GB"/>
        </w:rPr>
        <w:t xml:space="preserve">and the statute sets out a process for this. </w:t>
      </w:r>
      <w:proofErr w:type="gramStart"/>
      <w:r w:rsidR="00A85208">
        <w:rPr>
          <w:rFonts w:ascii="Avenir Next" w:hAnsi="Avenir Next" w:cs="Arial"/>
          <w:color w:val="808080" w:themeColor="background1" w:themeShade="80"/>
          <w:sz w:val="22"/>
          <w:szCs w:val="22"/>
          <w:lang w:val="en-GB"/>
        </w:rPr>
        <w:t>In particular, if</w:t>
      </w:r>
      <w:proofErr w:type="gramEnd"/>
      <w:r w:rsidR="00A85208">
        <w:rPr>
          <w:rFonts w:ascii="Avenir Next" w:hAnsi="Avenir Next" w:cs="Arial"/>
          <w:color w:val="808080" w:themeColor="background1" w:themeShade="80"/>
          <w:sz w:val="22"/>
          <w:szCs w:val="22"/>
          <w:lang w:val="en-GB"/>
        </w:rPr>
        <w:t xml:space="preserve"> the GC</w:t>
      </w:r>
      <w:r w:rsidR="00A85208" w:rsidRPr="00A85208">
        <w:rPr>
          <w:rFonts w:ascii="Avenir Next" w:hAnsi="Avenir Next" w:cs="Arial"/>
          <w:color w:val="808080" w:themeColor="background1" w:themeShade="80"/>
          <w:sz w:val="22"/>
          <w:szCs w:val="22"/>
          <w:lang w:val="en-GB"/>
        </w:rPr>
        <w:t xml:space="preserve"> is satisfied that the SPC’s assets attributable to a particular portfolio of the</w:t>
      </w:r>
      <w:r w:rsidR="00A85208">
        <w:rPr>
          <w:rFonts w:ascii="Avenir Next" w:hAnsi="Avenir Next" w:cs="Arial"/>
          <w:color w:val="808080" w:themeColor="background1" w:themeShade="80"/>
          <w:sz w:val="22"/>
          <w:szCs w:val="22"/>
          <w:lang w:val="en-GB"/>
        </w:rPr>
        <w:t xml:space="preserve"> </w:t>
      </w:r>
      <w:r w:rsidR="00A85208" w:rsidRPr="00A85208">
        <w:rPr>
          <w:rFonts w:ascii="Avenir Next" w:hAnsi="Avenir Next" w:cs="Arial"/>
          <w:color w:val="808080" w:themeColor="background1" w:themeShade="80"/>
          <w:sz w:val="22"/>
          <w:szCs w:val="22"/>
          <w:lang w:val="en-GB"/>
        </w:rPr>
        <w:t>company are likely to be insufficient to discharge the claims of creditors in respect of that</w:t>
      </w:r>
      <w:r w:rsidR="00A85208">
        <w:rPr>
          <w:rFonts w:ascii="Avenir Next" w:hAnsi="Avenir Next" w:cs="Arial"/>
          <w:color w:val="808080" w:themeColor="background1" w:themeShade="80"/>
          <w:sz w:val="22"/>
          <w:szCs w:val="22"/>
          <w:lang w:val="en-GB"/>
        </w:rPr>
        <w:t xml:space="preserve"> </w:t>
      </w:r>
      <w:r w:rsidR="00A85208" w:rsidRPr="00A85208">
        <w:rPr>
          <w:rFonts w:ascii="Avenir Next" w:hAnsi="Avenir Next" w:cs="Arial"/>
          <w:color w:val="808080" w:themeColor="background1" w:themeShade="80"/>
          <w:sz w:val="22"/>
          <w:szCs w:val="22"/>
          <w:lang w:val="en-GB"/>
        </w:rPr>
        <w:t>portfolio, it may make a receivership order in respect of that portfolio.</w:t>
      </w:r>
      <w:r w:rsidR="00A85208">
        <w:rPr>
          <w:rStyle w:val="FootnoteReference"/>
          <w:rFonts w:ascii="Avenir Next" w:hAnsi="Avenir Next" w:cs="Arial"/>
          <w:color w:val="808080" w:themeColor="background1" w:themeShade="80"/>
          <w:sz w:val="22"/>
          <w:szCs w:val="22"/>
          <w:lang w:val="en-GB"/>
        </w:rPr>
        <w:footnoteReference w:id="17"/>
      </w:r>
      <w:r w:rsidR="00A85208" w:rsidRPr="00A85208">
        <w:rPr>
          <w:rFonts w:ascii="Avenir Next" w:hAnsi="Avenir Next" w:cs="Arial"/>
          <w:color w:val="808080" w:themeColor="background1" w:themeShade="80"/>
          <w:sz w:val="22"/>
          <w:szCs w:val="22"/>
          <w:lang w:val="en-GB"/>
        </w:rPr>
        <w:t xml:space="preserve"> </w:t>
      </w:r>
      <w:r w:rsidR="00A85208">
        <w:rPr>
          <w:rFonts w:ascii="Avenir Next" w:hAnsi="Avenir Next" w:cs="Arial"/>
          <w:color w:val="808080" w:themeColor="background1" w:themeShade="80"/>
          <w:sz w:val="22"/>
          <w:szCs w:val="22"/>
          <w:lang w:val="en-GB"/>
        </w:rPr>
        <w:t>This role essentially fulfils that of a liquidator.</w:t>
      </w:r>
    </w:p>
    <w:p w14:paraId="52353817" w14:textId="77777777" w:rsidR="00A85208" w:rsidRDefault="00A85208" w:rsidP="002A37BB">
      <w:pPr>
        <w:jc w:val="both"/>
        <w:rPr>
          <w:rFonts w:ascii="Avenir Next" w:hAnsi="Avenir Next" w:cs="Arial"/>
          <w:color w:val="808080" w:themeColor="background1" w:themeShade="80"/>
          <w:sz w:val="22"/>
          <w:szCs w:val="22"/>
          <w:lang w:val="en-GB"/>
        </w:rPr>
      </w:pPr>
    </w:p>
    <w:p w14:paraId="7A5D38D7" w14:textId="5AEBF022" w:rsidR="00A85208" w:rsidRDefault="00A8520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GC has considered the question of when a</w:t>
      </w:r>
      <w:r w:rsidRPr="00391568">
        <w:rPr>
          <w:rFonts w:ascii="Avenir Next" w:hAnsi="Avenir Next" w:cs="Arial"/>
          <w:color w:val="808080" w:themeColor="background1" w:themeShade="80"/>
          <w:sz w:val="22"/>
          <w:szCs w:val="22"/>
          <w:lang w:val="en-GB"/>
        </w:rPr>
        <w:t xml:space="preserve"> SPC’s assets are or are likely to be insufficient to discharge the claims of the SPC’s</w:t>
      </w:r>
      <w:r>
        <w:rPr>
          <w:rFonts w:ascii="Avenir Next" w:hAnsi="Avenir Next" w:cs="Arial"/>
          <w:color w:val="808080" w:themeColor="background1" w:themeShade="80"/>
          <w:sz w:val="22"/>
          <w:szCs w:val="22"/>
          <w:lang w:val="en-GB"/>
        </w:rPr>
        <w:t xml:space="preserve"> </w:t>
      </w:r>
      <w:r w:rsidRPr="00391568">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in </w:t>
      </w:r>
      <w:proofErr w:type="gramStart"/>
      <w:r w:rsidRPr="00A85208">
        <w:rPr>
          <w:rFonts w:ascii="Avenir Next" w:hAnsi="Avenir Next" w:cs="Arial"/>
          <w:i/>
          <w:iCs/>
          <w:color w:val="808080" w:themeColor="background1" w:themeShade="80"/>
          <w:sz w:val="22"/>
          <w:szCs w:val="22"/>
          <w:lang w:val="en-GB"/>
        </w:rPr>
        <w:t>In</w:t>
      </w:r>
      <w:proofErr w:type="gramEnd"/>
      <w:r w:rsidRPr="00A85208">
        <w:rPr>
          <w:rFonts w:ascii="Avenir Next" w:hAnsi="Avenir Next" w:cs="Arial"/>
          <w:i/>
          <w:iCs/>
          <w:color w:val="808080" w:themeColor="background1" w:themeShade="80"/>
          <w:sz w:val="22"/>
          <w:szCs w:val="22"/>
          <w:lang w:val="en-GB"/>
        </w:rPr>
        <w:t xml:space="preserve"> re Obelisk Global Fund SPC</w:t>
      </w:r>
      <w:r>
        <w:rPr>
          <w:rFonts w:ascii="Avenir Next" w:hAnsi="Avenir Next" w:cs="Arial"/>
          <w:color w:val="808080" w:themeColor="background1" w:themeShade="80"/>
          <w:sz w:val="22"/>
          <w:szCs w:val="22"/>
          <w:lang w:val="en-GB"/>
        </w:rPr>
        <w:t xml:space="preserve"> </w:t>
      </w:r>
      <w:r w:rsidRPr="00A85208">
        <w:rPr>
          <w:rFonts w:ascii="Avenir Next" w:hAnsi="Avenir Next" w:cs="Arial"/>
          <w:color w:val="808080" w:themeColor="background1" w:themeShade="80"/>
          <w:sz w:val="22"/>
          <w:szCs w:val="22"/>
          <w:lang w:val="en-GB"/>
        </w:rPr>
        <w:t>(Grand C</w:t>
      </w:r>
      <w:r>
        <w:rPr>
          <w:rFonts w:ascii="Avenir Next" w:hAnsi="Avenir Next" w:cs="Arial"/>
          <w:color w:val="808080" w:themeColor="background1" w:themeShade="80"/>
          <w:sz w:val="22"/>
          <w:szCs w:val="22"/>
          <w:lang w:val="en-GB"/>
        </w:rPr>
        <w:t>ourt</w:t>
      </w:r>
      <w:r w:rsidRPr="00A85208">
        <w:rPr>
          <w:rFonts w:ascii="Avenir Next" w:hAnsi="Avenir Next" w:cs="Arial"/>
          <w:color w:val="808080" w:themeColor="background1" w:themeShade="80"/>
          <w:sz w:val="22"/>
          <w:szCs w:val="22"/>
          <w:lang w:val="en-GB"/>
        </w:rPr>
        <w:t xml:space="preserve">, 12 August 2021, </w:t>
      </w:r>
      <w:r w:rsidR="005A7703">
        <w:rPr>
          <w:rFonts w:ascii="Avenir Next" w:hAnsi="Avenir Next" w:cs="Arial"/>
          <w:color w:val="808080" w:themeColor="background1" w:themeShade="80"/>
          <w:sz w:val="22"/>
          <w:szCs w:val="22"/>
          <w:lang w:val="en-GB"/>
        </w:rPr>
        <w:t>U</w:t>
      </w:r>
      <w:r w:rsidRPr="00A85208">
        <w:rPr>
          <w:rFonts w:ascii="Avenir Next" w:hAnsi="Avenir Next" w:cs="Arial"/>
          <w:color w:val="808080" w:themeColor="background1" w:themeShade="80"/>
          <w:sz w:val="22"/>
          <w:szCs w:val="22"/>
          <w:lang w:val="en-GB"/>
        </w:rPr>
        <w:t>nreported)</w:t>
      </w:r>
      <w:r>
        <w:rPr>
          <w:rFonts w:ascii="Avenir Next" w:hAnsi="Avenir Next" w:cs="Arial"/>
          <w:color w:val="808080" w:themeColor="background1" w:themeShade="80"/>
          <w:sz w:val="22"/>
          <w:szCs w:val="22"/>
          <w:lang w:val="en-GB"/>
        </w:rPr>
        <w:t xml:space="preserve"> </w:t>
      </w:r>
      <w:r w:rsidR="005A7703">
        <w:rPr>
          <w:rFonts w:ascii="Avenir Next" w:hAnsi="Avenir Next" w:cs="Arial"/>
          <w:color w:val="808080" w:themeColor="background1" w:themeShade="80"/>
          <w:sz w:val="22"/>
          <w:szCs w:val="22"/>
          <w:lang w:val="en-GB"/>
        </w:rPr>
        <w:t>(</w:t>
      </w:r>
      <w:r w:rsidR="005A7703" w:rsidRPr="005A7703">
        <w:rPr>
          <w:rFonts w:ascii="Avenir Next" w:hAnsi="Avenir Next" w:cs="Arial"/>
          <w:b/>
          <w:bCs/>
          <w:i/>
          <w:iCs/>
          <w:color w:val="808080" w:themeColor="background1" w:themeShade="80"/>
          <w:sz w:val="22"/>
          <w:szCs w:val="22"/>
          <w:lang w:val="en-GB"/>
        </w:rPr>
        <w:t>Obelisk</w:t>
      </w:r>
      <w:r w:rsidR="005A770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r w:rsidRPr="00A85208">
        <w:rPr>
          <w:rFonts w:ascii="Avenir Next" w:hAnsi="Avenir Next" w:cs="Arial"/>
          <w:i/>
          <w:iCs/>
          <w:color w:val="808080" w:themeColor="background1" w:themeShade="80"/>
          <w:sz w:val="22"/>
          <w:szCs w:val="22"/>
          <w:lang w:val="en-GB"/>
        </w:rPr>
        <w:t>In re Green Asia Restructure Fund SPC</w:t>
      </w:r>
      <w:r>
        <w:rPr>
          <w:rFonts w:ascii="Avenir Next" w:hAnsi="Avenir Next" w:cs="Arial"/>
          <w:i/>
          <w:iCs/>
          <w:color w:val="808080" w:themeColor="background1" w:themeShade="80"/>
          <w:sz w:val="22"/>
          <w:szCs w:val="22"/>
          <w:lang w:val="en-GB"/>
        </w:rPr>
        <w:t xml:space="preserve"> </w:t>
      </w:r>
      <w:r w:rsidR="005A7703" w:rsidRPr="005A7703">
        <w:rPr>
          <w:rFonts w:ascii="Avenir Next" w:hAnsi="Avenir Next" w:cs="Arial"/>
          <w:color w:val="808080" w:themeColor="background1" w:themeShade="80"/>
          <w:sz w:val="22"/>
          <w:szCs w:val="22"/>
          <w:lang w:val="en-GB"/>
        </w:rPr>
        <w:t xml:space="preserve">(Grand Court, 3 August 2022, </w:t>
      </w:r>
      <w:r w:rsidR="005A7703">
        <w:rPr>
          <w:rFonts w:ascii="Avenir Next" w:hAnsi="Avenir Next" w:cs="Arial"/>
          <w:color w:val="808080" w:themeColor="background1" w:themeShade="80"/>
          <w:sz w:val="22"/>
          <w:szCs w:val="22"/>
          <w:lang w:val="en-GB"/>
        </w:rPr>
        <w:t>U</w:t>
      </w:r>
      <w:r w:rsidR="005A7703" w:rsidRPr="005A7703">
        <w:rPr>
          <w:rFonts w:ascii="Avenir Next" w:hAnsi="Avenir Next" w:cs="Arial"/>
          <w:color w:val="808080" w:themeColor="background1" w:themeShade="80"/>
          <w:sz w:val="22"/>
          <w:szCs w:val="22"/>
          <w:lang w:val="en-GB"/>
        </w:rPr>
        <w:t>nreported)</w:t>
      </w:r>
      <w:r w:rsidR="005A7703">
        <w:rPr>
          <w:rFonts w:ascii="Avenir Next" w:hAnsi="Avenir Next" w:cs="Arial"/>
          <w:color w:val="808080" w:themeColor="background1" w:themeShade="80"/>
          <w:sz w:val="22"/>
          <w:szCs w:val="22"/>
          <w:lang w:val="en-GB"/>
        </w:rPr>
        <w:t xml:space="preserve"> and determined that it requires the </w:t>
      </w:r>
      <w:r w:rsidR="005A7703" w:rsidRPr="005A7703">
        <w:rPr>
          <w:rFonts w:ascii="Avenir Next" w:hAnsi="Avenir Next" w:cs="Arial"/>
          <w:color w:val="808080" w:themeColor="background1" w:themeShade="80"/>
          <w:sz w:val="22"/>
          <w:szCs w:val="22"/>
          <w:lang w:val="en-GB"/>
        </w:rPr>
        <w:t>use of a flexible balance sheet test</w:t>
      </w:r>
      <w:r w:rsidR="005A7703">
        <w:rPr>
          <w:rFonts w:ascii="Avenir Next" w:hAnsi="Avenir Next" w:cs="Arial"/>
          <w:color w:val="808080" w:themeColor="background1" w:themeShade="80"/>
          <w:sz w:val="22"/>
          <w:szCs w:val="22"/>
          <w:lang w:val="en-GB"/>
        </w:rPr>
        <w:t xml:space="preserve">. In </w:t>
      </w:r>
      <w:r w:rsidR="005A7703" w:rsidRPr="005A7703">
        <w:rPr>
          <w:rFonts w:ascii="Avenir Next" w:hAnsi="Avenir Next" w:cs="Arial"/>
          <w:i/>
          <w:iCs/>
          <w:color w:val="808080" w:themeColor="background1" w:themeShade="80"/>
          <w:sz w:val="22"/>
          <w:szCs w:val="22"/>
          <w:lang w:val="en-GB"/>
        </w:rPr>
        <w:t>Obelisk</w:t>
      </w:r>
      <w:r w:rsidR="005A7703">
        <w:rPr>
          <w:rFonts w:ascii="Avenir Next" w:hAnsi="Avenir Next" w:cs="Arial"/>
          <w:color w:val="808080" w:themeColor="background1" w:themeShade="80"/>
          <w:sz w:val="22"/>
          <w:szCs w:val="22"/>
          <w:lang w:val="en-GB"/>
        </w:rPr>
        <w:t xml:space="preserve">, the GC said that the </w:t>
      </w:r>
      <w:r w:rsidR="005A7703" w:rsidRPr="005A7703">
        <w:rPr>
          <w:rFonts w:ascii="Avenir Next" w:hAnsi="Avenir Next" w:cs="Arial"/>
          <w:color w:val="808080" w:themeColor="background1" w:themeShade="80"/>
          <w:sz w:val="22"/>
          <w:szCs w:val="22"/>
          <w:lang w:val="en-GB"/>
        </w:rPr>
        <w:t xml:space="preserve">Court must make </w:t>
      </w:r>
      <w:r w:rsidR="005A7703" w:rsidRPr="005A7703">
        <w:rPr>
          <w:rFonts w:ascii="Avenir Next" w:hAnsi="Avenir Next" w:cs="Arial"/>
          <w:i/>
          <w:iCs/>
          <w:color w:val="808080" w:themeColor="background1" w:themeShade="80"/>
          <w:sz w:val="22"/>
          <w:szCs w:val="22"/>
          <w:lang w:val="en-GB"/>
        </w:rPr>
        <w:t xml:space="preserve">“a determination on the available evidence of whether the assets are sufficient </w:t>
      </w:r>
      <w:proofErr w:type="gramStart"/>
      <w:r w:rsidR="005A7703" w:rsidRPr="005A7703">
        <w:rPr>
          <w:rFonts w:ascii="Avenir Next" w:hAnsi="Avenir Next" w:cs="Arial"/>
          <w:i/>
          <w:iCs/>
          <w:color w:val="808080" w:themeColor="background1" w:themeShade="80"/>
          <w:sz w:val="22"/>
          <w:szCs w:val="22"/>
          <w:lang w:val="en-GB"/>
        </w:rPr>
        <w:t>now, or</w:t>
      </w:r>
      <w:proofErr w:type="gramEnd"/>
      <w:r w:rsidR="005A7703" w:rsidRPr="005A7703">
        <w:rPr>
          <w:rFonts w:ascii="Avenir Next" w:hAnsi="Avenir Next" w:cs="Arial"/>
          <w:i/>
          <w:iCs/>
          <w:color w:val="808080" w:themeColor="background1" w:themeShade="80"/>
          <w:sz w:val="22"/>
          <w:szCs w:val="22"/>
          <w:lang w:val="en-GB"/>
        </w:rPr>
        <w:t xml:space="preserve"> are likely to be in the reasonably near future, when assessed against its liabilities (as well as its prospective and contingent liabilities), and are held in a form where they may be used to pay the claims of creditors”.</w:t>
      </w:r>
      <w:r w:rsidR="005A7703">
        <w:rPr>
          <w:rFonts w:ascii="Avenir Next" w:hAnsi="Avenir Next" w:cs="Arial"/>
          <w:i/>
          <w:iCs/>
          <w:color w:val="808080" w:themeColor="background1" w:themeShade="80"/>
          <w:sz w:val="22"/>
          <w:szCs w:val="22"/>
          <w:lang w:val="en-GB"/>
        </w:rPr>
        <w:t xml:space="preserve"> </w:t>
      </w:r>
      <w:r w:rsidR="005A7703">
        <w:rPr>
          <w:rFonts w:ascii="Avenir Next" w:hAnsi="Avenir Next" w:cs="Arial"/>
          <w:color w:val="808080" w:themeColor="background1" w:themeShade="80"/>
          <w:sz w:val="22"/>
          <w:szCs w:val="22"/>
          <w:lang w:val="en-GB"/>
        </w:rPr>
        <w:t xml:space="preserve">The GC rejected a contention that </w:t>
      </w:r>
      <w:r w:rsidR="005A7703" w:rsidRPr="005A7703">
        <w:rPr>
          <w:rFonts w:ascii="Avenir Next" w:hAnsi="Avenir Next" w:cs="Arial"/>
          <w:color w:val="808080" w:themeColor="background1" w:themeShade="80"/>
          <w:sz w:val="22"/>
          <w:szCs w:val="22"/>
          <w:lang w:val="en-GB"/>
        </w:rPr>
        <w:t>section 224(1)(a) created a</w:t>
      </w:r>
      <w:r w:rsidR="005A7703">
        <w:rPr>
          <w:rFonts w:ascii="Avenir Next" w:hAnsi="Avenir Next" w:cs="Arial"/>
          <w:color w:val="808080" w:themeColor="background1" w:themeShade="80"/>
          <w:sz w:val="22"/>
          <w:szCs w:val="22"/>
          <w:lang w:val="en-GB"/>
        </w:rPr>
        <w:t xml:space="preserve"> </w:t>
      </w:r>
      <w:r w:rsidR="005A7703" w:rsidRPr="005A7703">
        <w:rPr>
          <w:rFonts w:ascii="Avenir Next" w:hAnsi="Avenir Next" w:cs="Arial"/>
          <w:color w:val="808080" w:themeColor="background1" w:themeShade="80"/>
          <w:sz w:val="22"/>
          <w:szCs w:val="22"/>
          <w:lang w:val="en-GB"/>
        </w:rPr>
        <w:t>cashflow insolvency test as used for winding up companies.</w:t>
      </w:r>
    </w:p>
    <w:p w14:paraId="3E4ABF98" w14:textId="77777777" w:rsidR="005A7703" w:rsidRDefault="005A7703" w:rsidP="002A37BB">
      <w:pPr>
        <w:jc w:val="both"/>
        <w:rPr>
          <w:rFonts w:ascii="Avenir Next" w:hAnsi="Avenir Next" w:cs="Arial"/>
          <w:color w:val="808080" w:themeColor="background1" w:themeShade="80"/>
          <w:sz w:val="22"/>
          <w:szCs w:val="22"/>
          <w:lang w:val="en-GB"/>
        </w:rPr>
      </w:pPr>
    </w:p>
    <w:p w14:paraId="584094A4" w14:textId="50D7023B" w:rsidR="005A7703" w:rsidRDefault="005A7703"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an application for a receivership order is made with respect to a SPC, there is a stay on proceedings against the SPC in relation to the segregated portfolio that the receivership order applies to. The only exception is if leave of the Court is granted.</w:t>
      </w:r>
      <w:r>
        <w:rPr>
          <w:rStyle w:val="FootnoteReference"/>
          <w:rFonts w:ascii="Avenir Next" w:hAnsi="Avenir Next" w:cs="Arial"/>
          <w:color w:val="808080" w:themeColor="background1" w:themeShade="80"/>
          <w:sz w:val="22"/>
          <w:szCs w:val="22"/>
          <w:lang w:val="en-GB"/>
        </w:rPr>
        <w:footnoteReference w:id="18"/>
      </w:r>
      <w:r>
        <w:rPr>
          <w:rFonts w:ascii="Avenir Next" w:hAnsi="Avenir Next" w:cs="Arial"/>
          <w:color w:val="808080" w:themeColor="background1" w:themeShade="80"/>
          <w:sz w:val="22"/>
          <w:szCs w:val="22"/>
          <w:lang w:val="en-GB"/>
        </w:rPr>
        <w:t xml:space="preserve"> The Court will discharge the receivership order once its purposes have been achieved or become incapable of being achieved.</w:t>
      </w:r>
      <w:r>
        <w:rPr>
          <w:rStyle w:val="FootnoteReference"/>
          <w:rFonts w:ascii="Avenir Next" w:hAnsi="Avenir Next" w:cs="Arial"/>
          <w:color w:val="808080" w:themeColor="background1" w:themeShade="80"/>
          <w:sz w:val="22"/>
          <w:szCs w:val="22"/>
          <w:lang w:val="en-GB"/>
        </w:rPr>
        <w:footnoteReference w:id="19"/>
      </w:r>
      <w:r>
        <w:rPr>
          <w:rFonts w:ascii="Avenir Next" w:hAnsi="Avenir Next" w:cs="Arial"/>
          <w:color w:val="808080" w:themeColor="background1" w:themeShade="80"/>
          <w:sz w:val="22"/>
          <w:szCs w:val="22"/>
          <w:lang w:val="en-GB"/>
        </w:rPr>
        <w:t xml:space="preserve"> Similarly, </w:t>
      </w:r>
      <w:r w:rsidRPr="005A7703">
        <w:rPr>
          <w:rFonts w:ascii="Avenir Next" w:hAnsi="Avenir Next" w:cs="Arial"/>
          <w:color w:val="808080" w:themeColor="background1" w:themeShade="80"/>
          <w:sz w:val="22"/>
          <w:szCs w:val="22"/>
          <w:lang w:val="en-GB"/>
        </w:rPr>
        <w:t>a receivership order will cease to have effect if a winding up</w:t>
      </w:r>
      <w:r>
        <w:rPr>
          <w:rFonts w:ascii="Avenir Next" w:hAnsi="Avenir Next" w:cs="Arial"/>
          <w:color w:val="808080" w:themeColor="background1" w:themeShade="80"/>
          <w:sz w:val="22"/>
          <w:szCs w:val="22"/>
          <w:lang w:val="en-GB"/>
        </w:rPr>
        <w:t xml:space="preserve"> </w:t>
      </w:r>
      <w:r w:rsidRPr="005A7703">
        <w:rPr>
          <w:rFonts w:ascii="Avenir Next" w:hAnsi="Avenir Next" w:cs="Arial"/>
          <w:color w:val="808080" w:themeColor="background1" w:themeShade="80"/>
          <w:sz w:val="22"/>
          <w:szCs w:val="22"/>
          <w:lang w:val="en-GB"/>
        </w:rPr>
        <w:t>order is made in respect of the SPC</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0"/>
      </w:r>
    </w:p>
    <w:p w14:paraId="6C34916F" w14:textId="6A82A99C" w:rsidR="00746E37" w:rsidRPr="005A7703" w:rsidRDefault="00746E37"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 xml:space="preserve">As is demonstrated by the above examples, receivers have varied and important roles to play in an insolvency scenario in the Cayman Islands. Parties and the </w:t>
      </w:r>
      <w:r w:rsidR="00133FB6">
        <w:rPr>
          <w:rFonts w:ascii="Avenir Next" w:hAnsi="Avenir Next" w:cs="Arial"/>
          <w:color w:val="808080" w:themeColor="background1" w:themeShade="80"/>
          <w:sz w:val="22"/>
          <w:szCs w:val="22"/>
          <w:lang w:val="en-GB"/>
        </w:rPr>
        <w:t>Courts</w:t>
      </w:r>
      <w:r>
        <w:rPr>
          <w:rFonts w:ascii="Avenir Next" w:hAnsi="Avenir Next" w:cs="Arial"/>
          <w:color w:val="808080" w:themeColor="background1" w:themeShade="80"/>
          <w:sz w:val="22"/>
          <w:szCs w:val="22"/>
          <w:lang w:val="en-GB"/>
        </w:rPr>
        <w:t xml:space="preserve"> have a wide discretion as to their use and the CA solidifies their importance with respect to SPCs.    </w:t>
      </w:r>
    </w:p>
    <w:p w14:paraId="1E351DC8" w14:textId="77777777" w:rsidR="00A85208" w:rsidRPr="00A85208" w:rsidRDefault="00A85208" w:rsidP="002A37BB">
      <w:pPr>
        <w:jc w:val="both"/>
        <w:rPr>
          <w:rFonts w:ascii="Avenir Next" w:hAnsi="Avenir Next" w:cs="Arial"/>
          <w:color w:val="808080" w:themeColor="background1" w:themeShade="80"/>
          <w:sz w:val="22"/>
          <w:szCs w:val="22"/>
          <w:lang w:val="en-GB"/>
        </w:rPr>
      </w:pPr>
    </w:p>
    <w:p w14:paraId="740F5748" w14:textId="2BF8B229"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 xml:space="preserve">uestion 3.2 [maximum </w:t>
      </w:r>
      <w:r w:rsidR="008603C4">
        <w:rPr>
          <w:rFonts w:ascii="Avenir Next Demi Bold" w:hAnsi="Avenir Next Demi Bold" w:cs="Arial"/>
          <w:b/>
          <w:bCs/>
          <w:sz w:val="22"/>
          <w:szCs w:val="22"/>
          <w:shd w:val="clear" w:color="auto" w:fill="FFFFFF"/>
        </w:rPr>
        <w:t>9</w:t>
      </w:r>
      <w:r w:rsidR="00853B56" w:rsidRPr="00310533">
        <w:rPr>
          <w:rFonts w:ascii="Avenir Next Demi Bold" w:hAnsi="Avenir Next Demi Bold" w:cs="Arial"/>
          <w:b/>
          <w:bCs/>
          <w:sz w:val="22"/>
          <w:szCs w:val="22"/>
          <w:shd w:val="clear" w:color="auto" w:fill="FFFFFF"/>
        </w:rPr>
        <w:t xml:space="preserve">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BA7798A" w14:textId="77777777" w:rsidR="008603C4" w:rsidRPr="00310533" w:rsidRDefault="008603C4" w:rsidP="008603C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is it possible for court appointed liquidators of an insolvent company, or creditors of such a company, to hold its former directors </w:t>
      </w:r>
      <w:r w:rsidRPr="00310533">
        <w:rPr>
          <w:rFonts w:ascii="Avenir Next" w:hAnsi="Avenir Next" w:cs="Arial"/>
          <w:sz w:val="22"/>
          <w:szCs w:val="22"/>
          <w:lang w:val="en-GB"/>
        </w:rPr>
        <w:lastRenderedPageBreak/>
        <w:t xml:space="preserve">accountable by either seeking financial damages against those directors and / or by seeking to “claw back” any payments that those directors should not have made? If so, please explain the possible options. </w:t>
      </w:r>
    </w:p>
    <w:p w14:paraId="79CFB3CB" w14:textId="77777777" w:rsidR="00853B56" w:rsidRDefault="00853B56" w:rsidP="00853B56">
      <w:pPr>
        <w:jc w:val="both"/>
        <w:rPr>
          <w:rFonts w:ascii="Avenir Next" w:hAnsi="Avenir Next" w:cs="Arial"/>
          <w:color w:val="000000" w:themeColor="text1"/>
          <w:sz w:val="22"/>
          <w:szCs w:val="22"/>
          <w:lang w:val="en-GB"/>
        </w:rPr>
      </w:pPr>
    </w:p>
    <w:p w14:paraId="433D7A91" w14:textId="7D775F19" w:rsidR="000226DB" w:rsidRDefault="000226DB" w:rsidP="00853B56">
      <w:pPr>
        <w:jc w:val="both"/>
        <w:rPr>
          <w:rFonts w:ascii="Avenir Next" w:hAnsi="Avenir Next" w:cs="Arial"/>
          <w:color w:val="808080" w:themeColor="background1" w:themeShade="80"/>
          <w:sz w:val="22"/>
          <w:szCs w:val="22"/>
          <w:lang w:val="en-GB"/>
        </w:rPr>
      </w:pPr>
      <w:r w:rsidRPr="000226DB">
        <w:rPr>
          <w:rFonts w:ascii="Avenir Next" w:hAnsi="Avenir Next" w:cs="Arial"/>
          <w:color w:val="808080" w:themeColor="background1" w:themeShade="80"/>
          <w:sz w:val="22"/>
          <w:szCs w:val="22"/>
          <w:lang w:val="en-GB"/>
        </w:rPr>
        <w:t xml:space="preserve">Although the </w:t>
      </w:r>
      <w:r>
        <w:rPr>
          <w:rFonts w:ascii="Avenir Next" w:hAnsi="Avenir Next" w:cs="Arial"/>
          <w:color w:val="808080" w:themeColor="background1" w:themeShade="80"/>
          <w:sz w:val="22"/>
          <w:szCs w:val="22"/>
          <w:lang w:val="en-GB"/>
        </w:rPr>
        <w:t xml:space="preserve">CA does contain a statutory prohibition on insolvent trading, there are ways for </w:t>
      </w:r>
      <w:r w:rsidR="006F05FA">
        <w:rPr>
          <w:rFonts w:ascii="Avenir Next" w:hAnsi="Avenir Next" w:cs="Arial"/>
          <w:color w:val="808080" w:themeColor="background1" w:themeShade="80"/>
          <w:sz w:val="22"/>
          <w:szCs w:val="22"/>
          <w:lang w:val="en-GB"/>
        </w:rPr>
        <w:t>C</w:t>
      </w:r>
      <w:r w:rsidRPr="000226DB">
        <w:rPr>
          <w:rFonts w:ascii="Avenir Next" w:hAnsi="Avenir Next" w:cs="Arial"/>
          <w:color w:val="808080" w:themeColor="background1" w:themeShade="80"/>
          <w:sz w:val="22"/>
          <w:szCs w:val="22"/>
          <w:lang w:val="en-GB"/>
        </w:rPr>
        <w:t>ourt appointed liquidators of an insolvent company, or creditors of a</w:t>
      </w:r>
      <w:r>
        <w:rPr>
          <w:rFonts w:ascii="Avenir Next" w:hAnsi="Avenir Next" w:cs="Arial"/>
          <w:color w:val="808080" w:themeColor="background1" w:themeShade="80"/>
          <w:sz w:val="22"/>
          <w:szCs w:val="22"/>
          <w:lang w:val="en-GB"/>
        </w:rPr>
        <w:t xml:space="preserve">n </w:t>
      </w:r>
      <w:r w:rsidRPr="000226DB">
        <w:rPr>
          <w:rFonts w:ascii="Avenir Next" w:hAnsi="Avenir Next" w:cs="Arial"/>
          <w:color w:val="808080" w:themeColor="background1" w:themeShade="80"/>
          <w:sz w:val="22"/>
          <w:szCs w:val="22"/>
          <w:lang w:val="en-GB"/>
        </w:rPr>
        <w:t>insolvent company, to hold its former directors accountable and / or by seeking to “claw</w:t>
      </w:r>
      <w:r w:rsidR="002B6722">
        <w:rPr>
          <w:rFonts w:ascii="Avenir Next" w:hAnsi="Avenir Next" w:cs="Arial"/>
          <w:color w:val="808080" w:themeColor="background1" w:themeShade="80"/>
          <w:sz w:val="22"/>
          <w:szCs w:val="22"/>
          <w:lang w:val="en-GB"/>
        </w:rPr>
        <w:t>-</w:t>
      </w:r>
      <w:r w:rsidRPr="000226DB">
        <w:rPr>
          <w:rFonts w:ascii="Avenir Next" w:hAnsi="Avenir Next" w:cs="Arial"/>
          <w:color w:val="808080" w:themeColor="background1" w:themeShade="80"/>
          <w:sz w:val="22"/>
          <w:szCs w:val="22"/>
          <w:lang w:val="en-GB"/>
        </w:rPr>
        <w:t>back” any payments that those directors should not have made</w:t>
      </w:r>
      <w:r w:rsidR="002B6722">
        <w:rPr>
          <w:rFonts w:ascii="Avenir Next" w:hAnsi="Avenir Next" w:cs="Arial"/>
          <w:color w:val="808080" w:themeColor="background1" w:themeShade="80"/>
          <w:sz w:val="22"/>
          <w:szCs w:val="22"/>
          <w:lang w:val="en-GB"/>
        </w:rPr>
        <w:t xml:space="preserve">. The main avenues to achieve this in the Cayman Islands </w:t>
      </w:r>
      <w:r w:rsidR="00233AB4">
        <w:rPr>
          <w:rFonts w:ascii="Avenir Next" w:hAnsi="Avenir Next" w:cs="Arial"/>
          <w:color w:val="808080" w:themeColor="background1" w:themeShade="80"/>
          <w:sz w:val="22"/>
          <w:szCs w:val="22"/>
          <w:lang w:val="en-GB"/>
        </w:rPr>
        <w:t xml:space="preserve">are summarised below. </w:t>
      </w:r>
      <w:r w:rsidR="002B6722">
        <w:rPr>
          <w:rFonts w:ascii="Avenir Next" w:hAnsi="Avenir Next" w:cs="Arial"/>
          <w:color w:val="808080" w:themeColor="background1" w:themeShade="80"/>
          <w:sz w:val="22"/>
          <w:szCs w:val="22"/>
          <w:lang w:val="en-GB"/>
        </w:rPr>
        <w:t xml:space="preserve">   </w:t>
      </w:r>
    </w:p>
    <w:p w14:paraId="6869CA35" w14:textId="77777777" w:rsidR="002B6722" w:rsidRDefault="002B6722" w:rsidP="00853B56">
      <w:pPr>
        <w:jc w:val="both"/>
        <w:rPr>
          <w:rFonts w:ascii="Avenir Next" w:hAnsi="Avenir Next" w:cs="Arial"/>
          <w:color w:val="808080" w:themeColor="background1" w:themeShade="80"/>
          <w:sz w:val="22"/>
          <w:szCs w:val="22"/>
          <w:lang w:val="en-GB"/>
        </w:rPr>
      </w:pPr>
    </w:p>
    <w:p w14:paraId="5883833E" w14:textId="15BBA1F4" w:rsidR="002B6722" w:rsidRPr="002B6722" w:rsidRDefault="002B6722" w:rsidP="00853B56">
      <w:pPr>
        <w:jc w:val="both"/>
        <w:rPr>
          <w:rFonts w:ascii="Avenir Next" w:hAnsi="Avenir Next" w:cs="Arial"/>
          <w:color w:val="808080" w:themeColor="background1" w:themeShade="80"/>
          <w:sz w:val="22"/>
          <w:szCs w:val="22"/>
          <w:u w:val="single"/>
          <w:lang w:val="en-GB"/>
        </w:rPr>
      </w:pPr>
      <w:r w:rsidRPr="002B6722">
        <w:rPr>
          <w:rFonts w:ascii="Avenir Next" w:hAnsi="Avenir Next" w:cs="Arial"/>
          <w:color w:val="808080" w:themeColor="background1" w:themeShade="80"/>
          <w:sz w:val="22"/>
          <w:szCs w:val="22"/>
          <w:u w:val="single"/>
          <w:lang w:val="en-GB"/>
        </w:rPr>
        <w:t>Breach of fiduciary duty</w:t>
      </w:r>
    </w:p>
    <w:p w14:paraId="020F4422" w14:textId="77777777" w:rsidR="002B6722" w:rsidRDefault="002B6722" w:rsidP="00853B56">
      <w:pPr>
        <w:jc w:val="both"/>
        <w:rPr>
          <w:rFonts w:ascii="Avenir Next" w:hAnsi="Avenir Next" w:cs="Arial"/>
          <w:color w:val="808080" w:themeColor="background1" w:themeShade="80"/>
          <w:sz w:val="22"/>
          <w:szCs w:val="22"/>
          <w:lang w:val="en-GB"/>
        </w:rPr>
      </w:pPr>
    </w:p>
    <w:p w14:paraId="34CD4FFE" w14:textId="36BB0F2F" w:rsidR="002B6722" w:rsidRDefault="002B6722" w:rsidP="00853B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Directors have a fiduciary </w:t>
      </w:r>
      <w:r w:rsidR="0048389E">
        <w:rPr>
          <w:rFonts w:ascii="Avenir Next" w:hAnsi="Avenir Next" w:cs="Arial"/>
          <w:color w:val="808080" w:themeColor="background1" w:themeShade="80"/>
          <w:sz w:val="22"/>
          <w:szCs w:val="22"/>
          <w:lang w:val="en-GB"/>
        </w:rPr>
        <w:t xml:space="preserve">duty to act in the best interests of the company. If a director is found to have breached their fiduciary duty to act in the best interests of the company, then they can be made personally liable for any losses which they have caused. </w:t>
      </w:r>
      <w:r w:rsidR="006B580E">
        <w:rPr>
          <w:rFonts w:ascii="Avenir Next" w:hAnsi="Avenir Next" w:cs="Arial"/>
          <w:color w:val="808080" w:themeColor="background1" w:themeShade="80"/>
          <w:sz w:val="22"/>
          <w:szCs w:val="22"/>
          <w:lang w:val="en-GB"/>
        </w:rPr>
        <w:t xml:space="preserve">If a company is in official liquidation and liquidators have been appointed, then those liquidators could </w:t>
      </w:r>
      <w:r w:rsidR="00172ADA">
        <w:rPr>
          <w:rFonts w:ascii="Avenir Next" w:hAnsi="Avenir Next" w:cs="Arial"/>
          <w:color w:val="808080" w:themeColor="background1" w:themeShade="80"/>
          <w:sz w:val="22"/>
          <w:szCs w:val="22"/>
          <w:lang w:val="en-GB"/>
        </w:rPr>
        <w:t>bring a</w:t>
      </w:r>
      <w:r w:rsidR="0048389E">
        <w:rPr>
          <w:rFonts w:ascii="Avenir Next" w:hAnsi="Avenir Next" w:cs="Arial"/>
          <w:color w:val="808080" w:themeColor="background1" w:themeShade="80"/>
          <w:sz w:val="22"/>
          <w:szCs w:val="22"/>
          <w:lang w:val="en-GB"/>
        </w:rPr>
        <w:t xml:space="preserve"> claim for breach of fiduciary duty </w:t>
      </w:r>
      <w:r w:rsidR="00172ADA">
        <w:rPr>
          <w:rFonts w:ascii="Avenir Next" w:hAnsi="Avenir Next" w:cs="Arial"/>
          <w:color w:val="808080" w:themeColor="background1" w:themeShade="80"/>
          <w:sz w:val="22"/>
          <w:szCs w:val="22"/>
          <w:lang w:val="en-GB"/>
        </w:rPr>
        <w:t>in the name of the</w:t>
      </w:r>
      <w:r w:rsidR="0048389E">
        <w:rPr>
          <w:rFonts w:ascii="Avenir Next" w:hAnsi="Avenir Next" w:cs="Arial"/>
          <w:color w:val="808080" w:themeColor="background1" w:themeShade="80"/>
          <w:sz w:val="22"/>
          <w:szCs w:val="22"/>
          <w:lang w:val="en-GB"/>
        </w:rPr>
        <w:t xml:space="preserve"> insolvent company</w:t>
      </w:r>
      <w:r w:rsidR="006B580E">
        <w:rPr>
          <w:rFonts w:ascii="Avenir Next" w:hAnsi="Avenir Next" w:cs="Arial"/>
          <w:color w:val="808080" w:themeColor="background1" w:themeShade="80"/>
          <w:sz w:val="22"/>
          <w:szCs w:val="22"/>
          <w:lang w:val="en-GB"/>
        </w:rPr>
        <w:t xml:space="preserve"> </w:t>
      </w:r>
      <w:r w:rsidR="0048389E">
        <w:rPr>
          <w:rFonts w:ascii="Avenir Next" w:hAnsi="Avenir Next" w:cs="Arial"/>
          <w:color w:val="808080" w:themeColor="background1" w:themeShade="80"/>
          <w:sz w:val="22"/>
          <w:szCs w:val="22"/>
          <w:lang w:val="en-GB"/>
        </w:rPr>
        <w:t xml:space="preserve">if they consider that the directors haven’t acted in the best interests of the company by making payments during the period that the company has been insolvent. </w:t>
      </w:r>
      <w:r w:rsidR="006C40DB">
        <w:rPr>
          <w:rFonts w:ascii="Avenir Next" w:hAnsi="Avenir Next" w:cs="Arial"/>
          <w:color w:val="808080" w:themeColor="background1" w:themeShade="80"/>
          <w:sz w:val="22"/>
          <w:szCs w:val="22"/>
          <w:lang w:val="en-GB"/>
        </w:rPr>
        <w:t xml:space="preserve">When considering whether to bring the claim, the liquidators will need to </w:t>
      </w:r>
      <w:r w:rsidR="00952905">
        <w:rPr>
          <w:rFonts w:ascii="Avenir Next" w:hAnsi="Avenir Next" w:cs="Arial"/>
          <w:color w:val="808080" w:themeColor="background1" w:themeShade="80"/>
          <w:sz w:val="22"/>
          <w:szCs w:val="22"/>
          <w:lang w:val="en-GB"/>
        </w:rPr>
        <w:t>assess</w:t>
      </w:r>
      <w:r w:rsidR="006C40DB">
        <w:rPr>
          <w:rFonts w:ascii="Avenir Next" w:hAnsi="Avenir Next" w:cs="Arial"/>
          <w:color w:val="808080" w:themeColor="background1" w:themeShade="80"/>
          <w:sz w:val="22"/>
          <w:szCs w:val="22"/>
          <w:lang w:val="en-GB"/>
        </w:rPr>
        <w:t xml:space="preserve"> the value of the payments that have been made against the potential cost of the litigation to asses</w:t>
      </w:r>
      <w:r w:rsidR="006F05FA">
        <w:rPr>
          <w:rFonts w:ascii="Avenir Next" w:hAnsi="Avenir Next" w:cs="Arial"/>
          <w:color w:val="808080" w:themeColor="background1" w:themeShade="80"/>
          <w:sz w:val="22"/>
          <w:szCs w:val="22"/>
          <w:lang w:val="en-GB"/>
        </w:rPr>
        <w:t>s</w:t>
      </w:r>
      <w:r w:rsidR="006C40DB">
        <w:rPr>
          <w:rFonts w:ascii="Avenir Next" w:hAnsi="Avenir Next" w:cs="Arial"/>
          <w:color w:val="808080" w:themeColor="background1" w:themeShade="80"/>
          <w:sz w:val="22"/>
          <w:szCs w:val="22"/>
          <w:lang w:val="en-GB"/>
        </w:rPr>
        <w:t xml:space="preserve"> whether it should be brought and has the potential to allow for greater returns to the company's creditors. </w:t>
      </w:r>
    </w:p>
    <w:p w14:paraId="6ED95995" w14:textId="77777777" w:rsidR="006C40DB" w:rsidRDefault="006C40DB" w:rsidP="00853B56">
      <w:pPr>
        <w:jc w:val="both"/>
        <w:rPr>
          <w:rFonts w:ascii="Avenir Next" w:hAnsi="Avenir Next" w:cs="Arial"/>
          <w:color w:val="808080" w:themeColor="background1" w:themeShade="80"/>
          <w:sz w:val="22"/>
          <w:szCs w:val="22"/>
          <w:lang w:val="en-GB"/>
        </w:rPr>
      </w:pPr>
    </w:p>
    <w:p w14:paraId="2393DFB3" w14:textId="43A86E00" w:rsidR="00952905" w:rsidRDefault="006C40DB" w:rsidP="00F462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52905">
        <w:rPr>
          <w:rFonts w:ascii="Avenir Next" w:hAnsi="Avenir Next" w:cs="Arial"/>
          <w:color w:val="808080" w:themeColor="background1" w:themeShade="80"/>
          <w:sz w:val="22"/>
          <w:szCs w:val="22"/>
          <w:lang w:val="en-GB"/>
        </w:rPr>
        <w:t xml:space="preserve">GC held in the case </w:t>
      </w:r>
      <w:r w:rsidR="00F462DF" w:rsidRPr="00952905">
        <w:rPr>
          <w:rFonts w:ascii="Avenir Next" w:hAnsi="Avenir Next" w:cs="Arial"/>
          <w:i/>
          <w:iCs/>
          <w:color w:val="808080" w:themeColor="background1" w:themeShade="80"/>
          <w:sz w:val="22"/>
          <w:szCs w:val="22"/>
          <w:lang w:val="en-GB"/>
        </w:rPr>
        <w:t>Prospect Properties v McNeill</w:t>
      </w:r>
      <w:r w:rsidR="00952905">
        <w:rPr>
          <w:rFonts w:ascii="Avenir Next" w:hAnsi="Avenir Next" w:cs="Arial"/>
          <w:color w:val="808080" w:themeColor="background1" w:themeShade="80"/>
          <w:sz w:val="22"/>
          <w:szCs w:val="22"/>
          <w:lang w:val="en-GB"/>
        </w:rPr>
        <w:t xml:space="preserve"> </w:t>
      </w:r>
      <w:r w:rsidR="00952905" w:rsidRPr="00952905">
        <w:rPr>
          <w:rFonts w:ascii="Avenir Next" w:hAnsi="Avenir Next" w:cs="Arial"/>
          <w:color w:val="808080" w:themeColor="background1" w:themeShade="80"/>
          <w:sz w:val="22"/>
          <w:szCs w:val="22"/>
          <w:lang w:val="en-GB"/>
        </w:rPr>
        <w:t>[1990-91 CILR 171]</w:t>
      </w:r>
      <w:r w:rsidR="00F462DF" w:rsidRPr="00F462DF">
        <w:rPr>
          <w:rFonts w:ascii="Avenir Next" w:hAnsi="Avenir Next" w:cs="Arial"/>
          <w:color w:val="808080" w:themeColor="background1" w:themeShade="80"/>
          <w:sz w:val="22"/>
          <w:szCs w:val="22"/>
          <w:lang w:val="en-GB"/>
        </w:rPr>
        <w:t xml:space="preserve"> that where a company is insolvent</w:t>
      </w:r>
      <w:r w:rsidR="00952905">
        <w:rPr>
          <w:rFonts w:ascii="Avenir Next" w:hAnsi="Avenir Next" w:cs="Arial"/>
          <w:color w:val="808080" w:themeColor="background1" w:themeShade="80"/>
          <w:sz w:val="22"/>
          <w:szCs w:val="22"/>
          <w:lang w:val="en-GB"/>
        </w:rPr>
        <w:t xml:space="preserve">, a </w:t>
      </w:r>
      <w:r w:rsidR="00F462DF" w:rsidRPr="00F462DF">
        <w:rPr>
          <w:rFonts w:ascii="Avenir Next" w:hAnsi="Avenir Next" w:cs="Arial"/>
          <w:color w:val="808080" w:themeColor="background1" w:themeShade="80"/>
          <w:sz w:val="22"/>
          <w:szCs w:val="22"/>
          <w:lang w:val="en-GB"/>
        </w:rPr>
        <w:t>directors’ duty to act in the best interests of the company</w:t>
      </w:r>
      <w:r w:rsidR="00952905">
        <w:rPr>
          <w:rFonts w:ascii="Avenir Next" w:hAnsi="Avenir Next" w:cs="Arial"/>
          <w:color w:val="808080" w:themeColor="background1" w:themeShade="80"/>
          <w:sz w:val="22"/>
          <w:szCs w:val="22"/>
          <w:lang w:val="en-GB"/>
        </w:rPr>
        <w:t xml:space="preserve"> extends to requiring them to</w:t>
      </w:r>
      <w:r w:rsidR="00F462DF" w:rsidRPr="00F462DF">
        <w:rPr>
          <w:rFonts w:ascii="Avenir Next" w:hAnsi="Avenir Next" w:cs="Arial"/>
          <w:color w:val="808080" w:themeColor="background1" w:themeShade="80"/>
          <w:sz w:val="22"/>
          <w:szCs w:val="22"/>
          <w:lang w:val="en-GB"/>
        </w:rPr>
        <w:t xml:space="preserve"> have regard to the</w:t>
      </w:r>
      <w:r w:rsidR="00952905">
        <w:rPr>
          <w:rFonts w:ascii="Avenir Next" w:hAnsi="Avenir Next" w:cs="Arial"/>
          <w:color w:val="808080" w:themeColor="background1" w:themeShade="80"/>
          <w:sz w:val="22"/>
          <w:szCs w:val="22"/>
          <w:lang w:val="en-GB"/>
        </w:rPr>
        <w:t xml:space="preserve"> </w:t>
      </w:r>
      <w:r w:rsidR="00F462DF" w:rsidRPr="00F462DF">
        <w:rPr>
          <w:rFonts w:ascii="Avenir Next" w:hAnsi="Avenir Next" w:cs="Arial"/>
          <w:color w:val="808080" w:themeColor="background1" w:themeShade="80"/>
          <w:sz w:val="22"/>
          <w:szCs w:val="22"/>
          <w:lang w:val="en-GB"/>
        </w:rPr>
        <w:t>interests of its creditors</w:t>
      </w:r>
      <w:r w:rsidR="00952905">
        <w:rPr>
          <w:rFonts w:ascii="Avenir Next" w:hAnsi="Avenir Next" w:cs="Arial"/>
          <w:color w:val="808080" w:themeColor="background1" w:themeShade="80"/>
          <w:sz w:val="22"/>
          <w:szCs w:val="22"/>
          <w:lang w:val="en-GB"/>
        </w:rPr>
        <w:t xml:space="preserve"> and it is clearly in interest of creditors to be paid.  The recent </w:t>
      </w:r>
      <w:r w:rsidR="00952905" w:rsidRPr="00952905">
        <w:rPr>
          <w:rFonts w:ascii="Avenir Next" w:hAnsi="Avenir Next" w:cs="Arial"/>
          <w:color w:val="808080" w:themeColor="background1" w:themeShade="80"/>
          <w:sz w:val="22"/>
          <w:szCs w:val="22"/>
          <w:lang w:val="en-GB"/>
        </w:rPr>
        <w:t xml:space="preserve">UK Supreme Court </w:t>
      </w:r>
      <w:r w:rsidR="00952905">
        <w:rPr>
          <w:rFonts w:ascii="Avenir Next" w:hAnsi="Avenir Next" w:cs="Arial"/>
          <w:color w:val="808080" w:themeColor="background1" w:themeShade="80"/>
          <w:sz w:val="22"/>
          <w:szCs w:val="22"/>
          <w:lang w:val="en-GB"/>
        </w:rPr>
        <w:t>decision</w:t>
      </w:r>
      <w:r w:rsidR="00952905" w:rsidRPr="00952905">
        <w:rPr>
          <w:rFonts w:ascii="Avenir Next" w:hAnsi="Avenir Next" w:cs="Arial"/>
          <w:color w:val="808080" w:themeColor="background1" w:themeShade="80"/>
          <w:sz w:val="22"/>
          <w:szCs w:val="22"/>
          <w:lang w:val="en-GB"/>
        </w:rPr>
        <w:t xml:space="preserve"> in </w:t>
      </w:r>
      <w:r w:rsidR="00952905" w:rsidRPr="00952905">
        <w:rPr>
          <w:rFonts w:ascii="Avenir Next" w:hAnsi="Avenir Next" w:cs="Arial"/>
          <w:i/>
          <w:iCs/>
          <w:color w:val="808080" w:themeColor="background1" w:themeShade="80"/>
          <w:sz w:val="22"/>
          <w:szCs w:val="22"/>
          <w:lang w:val="en-GB"/>
        </w:rPr>
        <w:t xml:space="preserve">BTI v Sequana </w:t>
      </w:r>
      <w:r w:rsidR="00952905" w:rsidRPr="00952905">
        <w:rPr>
          <w:rFonts w:ascii="Avenir Next" w:hAnsi="Avenir Next" w:cs="Arial"/>
          <w:color w:val="808080" w:themeColor="background1" w:themeShade="80"/>
          <w:sz w:val="22"/>
          <w:szCs w:val="22"/>
          <w:lang w:val="en-GB"/>
        </w:rPr>
        <w:t>[2022] UKSC 25</w:t>
      </w:r>
      <w:r w:rsidR="00952905">
        <w:rPr>
          <w:rFonts w:ascii="Avenir Next" w:hAnsi="Avenir Next" w:cs="Arial"/>
          <w:color w:val="808080" w:themeColor="background1" w:themeShade="80"/>
          <w:sz w:val="22"/>
          <w:szCs w:val="22"/>
          <w:lang w:val="en-GB"/>
        </w:rPr>
        <w:t xml:space="preserve"> also relates to the question of when directors are required to consider the interests of creditors in an insolvency context and in circumstances where Cayman follows English law, this case will also be of relevance in the Cayman Islands. </w:t>
      </w:r>
    </w:p>
    <w:p w14:paraId="47FFC7A6" w14:textId="77777777" w:rsidR="00F40B00" w:rsidRDefault="00F40B00" w:rsidP="00F462DF">
      <w:pPr>
        <w:jc w:val="both"/>
        <w:rPr>
          <w:rFonts w:ascii="Avenir Next" w:hAnsi="Avenir Next" w:cs="Arial"/>
          <w:color w:val="808080" w:themeColor="background1" w:themeShade="80"/>
          <w:sz w:val="22"/>
          <w:szCs w:val="22"/>
          <w:lang w:val="en-GB"/>
        </w:rPr>
      </w:pPr>
    </w:p>
    <w:p w14:paraId="69B39C01" w14:textId="337EDCCC" w:rsidR="00F40B00" w:rsidRDefault="00F40B00" w:rsidP="00F462DF">
      <w:pPr>
        <w:jc w:val="both"/>
        <w:rPr>
          <w:rFonts w:ascii="Avenir Next" w:hAnsi="Avenir Next" w:cs="Arial"/>
          <w:color w:val="808080" w:themeColor="background1" w:themeShade="80"/>
          <w:sz w:val="22"/>
          <w:szCs w:val="22"/>
          <w:u w:val="single"/>
          <w:lang w:val="en-GB"/>
        </w:rPr>
      </w:pPr>
      <w:r w:rsidRPr="00F40B00">
        <w:rPr>
          <w:rFonts w:ascii="Avenir Next" w:hAnsi="Avenir Next" w:cs="Arial"/>
          <w:color w:val="808080" w:themeColor="background1" w:themeShade="80"/>
          <w:sz w:val="22"/>
          <w:szCs w:val="22"/>
          <w:u w:val="single"/>
          <w:lang w:val="en-GB"/>
        </w:rPr>
        <w:t>Winding</w:t>
      </w:r>
      <w:r>
        <w:rPr>
          <w:rFonts w:ascii="Avenir Next" w:hAnsi="Avenir Next" w:cs="Arial"/>
          <w:color w:val="808080" w:themeColor="background1" w:themeShade="80"/>
          <w:sz w:val="22"/>
          <w:szCs w:val="22"/>
          <w:u w:val="single"/>
          <w:lang w:val="en-GB"/>
        </w:rPr>
        <w:t>-</w:t>
      </w:r>
      <w:r w:rsidRPr="00F40B00">
        <w:rPr>
          <w:rFonts w:ascii="Avenir Next" w:hAnsi="Avenir Next" w:cs="Arial"/>
          <w:color w:val="808080" w:themeColor="background1" w:themeShade="80"/>
          <w:sz w:val="22"/>
          <w:szCs w:val="22"/>
          <w:u w:val="single"/>
          <w:lang w:val="en-GB"/>
        </w:rPr>
        <w:t xml:space="preserve">up proceedings  </w:t>
      </w:r>
    </w:p>
    <w:p w14:paraId="2783AF94" w14:textId="77777777" w:rsidR="00F40B00" w:rsidRDefault="00F40B00" w:rsidP="00F462DF">
      <w:pPr>
        <w:jc w:val="both"/>
        <w:rPr>
          <w:rFonts w:ascii="Avenir Next" w:hAnsi="Avenir Next" w:cs="Arial"/>
          <w:color w:val="808080" w:themeColor="background1" w:themeShade="80"/>
          <w:sz w:val="22"/>
          <w:szCs w:val="22"/>
          <w:u w:val="single"/>
          <w:lang w:val="en-GB"/>
        </w:rPr>
      </w:pPr>
    </w:p>
    <w:p w14:paraId="37B45432" w14:textId="77777777" w:rsidR="005108B1" w:rsidRDefault="007F6EDE" w:rsidP="00F40B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of an insolvent company can petition the GC to wind the company up on the grounds that it is insolvent. Section 92 of the CA sets out the groups upon which a company may be wound up and one of those reasons includes that </w:t>
      </w:r>
      <w:r w:rsidR="00F40B00" w:rsidRPr="00F462DF">
        <w:rPr>
          <w:rFonts w:ascii="Avenir Next" w:hAnsi="Avenir Next" w:cs="Arial"/>
          <w:color w:val="808080" w:themeColor="background1" w:themeShade="80"/>
          <w:sz w:val="22"/>
          <w:szCs w:val="22"/>
          <w:lang w:val="en-GB"/>
        </w:rPr>
        <w:t>the company is unable to pay its debts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1"/>
      </w:r>
      <w:r>
        <w:rPr>
          <w:rFonts w:ascii="Avenir Next" w:hAnsi="Avenir Next" w:cs="Arial"/>
          <w:color w:val="808080" w:themeColor="background1" w:themeShade="80"/>
          <w:sz w:val="22"/>
          <w:szCs w:val="22"/>
          <w:lang w:val="en-GB"/>
        </w:rPr>
        <w:t xml:space="preserve"> </w:t>
      </w:r>
      <w:r w:rsidR="005108B1">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company </w:t>
      </w:r>
      <w:r w:rsidR="005108B1">
        <w:rPr>
          <w:rFonts w:ascii="Avenir Next" w:hAnsi="Avenir Next" w:cs="Arial"/>
          <w:color w:val="808080" w:themeColor="background1" w:themeShade="80"/>
          <w:sz w:val="22"/>
          <w:szCs w:val="22"/>
          <w:lang w:val="en-GB"/>
        </w:rPr>
        <w:t>will be deemed</w:t>
      </w:r>
      <w:r>
        <w:rPr>
          <w:rFonts w:ascii="Avenir Next" w:hAnsi="Avenir Next" w:cs="Arial"/>
          <w:color w:val="808080" w:themeColor="background1" w:themeShade="80"/>
          <w:sz w:val="22"/>
          <w:szCs w:val="22"/>
          <w:lang w:val="en-GB"/>
        </w:rPr>
        <w:t xml:space="preserve"> unable to pay its debts</w:t>
      </w:r>
      <w:r w:rsidR="005108B1">
        <w:rPr>
          <w:rFonts w:ascii="Avenir Next" w:hAnsi="Avenir Next" w:cs="Arial"/>
          <w:color w:val="808080" w:themeColor="background1" w:themeShade="80"/>
          <w:sz w:val="22"/>
          <w:szCs w:val="22"/>
          <w:lang w:val="en-GB"/>
        </w:rPr>
        <w:t xml:space="preserve"> as per section 93 of the CA if: </w:t>
      </w:r>
      <w:r>
        <w:rPr>
          <w:rFonts w:ascii="Avenir Next" w:hAnsi="Avenir Next" w:cs="Arial"/>
          <w:color w:val="808080" w:themeColor="background1" w:themeShade="80"/>
          <w:sz w:val="22"/>
          <w:szCs w:val="22"/>
          <w:lang w:val="en-GB"/>
        </w:rPr>
        <w:t xml:space="preserve"> </w:t>
      </w:r>
    </w:p>
    <w:p w14:paraId="67C2CFB8" w14:textId="77777777" w:rsidR="005108B1" w:rsidRDefault="005108B1" w:rsidP="00F40B00">
      <w:pPr>
        <w:jc w:val="both"/>
        <w:rPr>
          <w:rFonts w:ascii="Avenir Next" w:hAnsi="Avenir Next" w:cs="Arial"/>
          <w:color w:val="808080" w:themeColor="background1" w:themeShade="80"/>
          <w:sz w:val="22"/>
          <w:szCs w:val="22"/>
          <w:lang w:val="en-GB"/>
        </w:rPr>
      </w:pPr>
    </w:p>
    <w:p w14:paraId="768AC692" w14:textId="7FFC5729" w:rsidR="005108B1" w:rsidRDefault="005108B1" w:rsidP="005108B1">
      <w:pPr>
        <w:jc w:val="both"/>
        <w:rPr>
          <w:rFonts w:ascii="Avenir Next" w:hAnsi="Avenir Next" w:cs="Arial"/>
          <w:i/>
          <w:iCs/>
          <w:color w:val="808080" w:themeColor="background1" w:themeShade="80"/>
          <w:sz w:val="22"/>
          <w:szCs w:val="22"/>
          <w:lang w:val="en-GB"/>
        </w:rPr>
      </w:pPr>
      <w:r w:rsidRPr="005108B1">
        <w:rPr>
          <w:rFonts w:ascii="Avenir Next" w:hAnsi="Avenir Next" w:cs="Arial"/>
          <w:i/>
          <w:iCs/>
          <w:color w:val="808080" w:themeColor="background1" w:themeShade="80"/>
          <w:sz w:val="22"/>
          <w:szCs w:val="22"/>
          <w:lang w:val="en-GB"/>
        </w:rPr>
        <w:t xml:space="preserve">"a) </w:t>
      </w:r>
      <w:r w:rsidR="00F40B00" w:rsidRPr="005108B1">
        <w:rPr>
          <w:rFonts w:ascii="Avenir Next" w:hAnsi="Avenir Next" w:cs="Arial"/>
          <w:i/>
          <w:iCs/>
          <w:color w:val="808080" w:themeColor="background1" w:themeShade="80"/>
          <w:sz w:val="22"/>
          <w:szCs w:val="22"/>
          <w:lang w:val="en-GB"/>
        </w:rPr>
        <w:t>a creditor to whom the company owes a sum exceeding KYD 100 has served on the</w:t>
      </w:r>
      <w:r w:rsidRPr="005108B1">
        <w:rPr>
          <w:rFonts w:ascii="Avenir Next" w:hAnsi="Avenir Next" w:cs="Arial"/>
          <w:i/>
          <w:iCs/>
          <w:color w:val="808080" w:themeColor="background1" w:themeShade="80"/>
          <w:sz w:val="22"/>
          <w:szCs w:val="22"/>
          <w:lang w:val="en-GB"/>
        </w:rPr>
        <w:t xml:space="preserve"> </w:t>
      </w:r>
      <w:r w:rsidR="00F40B00" w:rsidRPr="005108B1">
        <w:rPr>
          <w:rFonts w:ascii="Avenir Next" w:hAnsi="Avenir Next" w:cs="Arial"/>
          <w:i/>
          <w:iCs/>
          <w:color w:val="808080" w:themeColor="background1" w:themeShade="80"/>
          <w:sz w:val="22"/>
          <w:szCs w:val="22"/>
          <w:lang w:val="en-GB"/>
        </w:rPr>
        <w:t>company a demand requiring the company to pay the sum due and the company has not</w:t>
      </w:r>
      <w:r w:rsidRPr="005108B1">
        <w:rPr>
          <w:rFonts w:ascii="Avenir Next" w:hAnsi="Avenir Next" w:cs="Arial"/>
          <w:i/>
          <w:iCs/>
          <w:color w:val="808080" w:themeColor="background1" w:themeShade="80"/>
          <w:sz w:val="22"/>
          <w:szCs w:val="22"/>
          <w:lang w:val="en-GB"/>
        </w:rPr>
        <w:t xml:space="preserve"> </w:t>
      </w:r>
      <w:r w:rsidR="00F40B00" w:rsidRPr="005108B1">
        <w:rPr>
          <w:rFonts w:ascii="Avenir Next" w:hAnsi="Avenir Next" w:cs="Arial"/>
          <w:i/>
          <w:iCs/>
          <w:color w:val="808080" w:themeColor="background1" w:themeShade="80"/>
          <w:sz w:val="22"/>
          <w:szCs w:val="22"/>
          <w:lang w:val="en-GB"/>
        </w:rPr>
        <w:t>been paid for 21 days after the demand</w:t>
      </w:r>
      <w:r>
        <w:rPr>
          <w:rFonts w:ascii="Avenir Next" w:hAnsi="Avenir Next" w:cs="Arial"/>
          <w:i/>
          <w:iCs/>
          <w:color w:val="808080" w:themeColor="background1" w:themeShade="80"/>
          <w:sz w:val="22"/>
          <w:szCs w:val="22"/>
          <w:lang w:val="en-GB"/>
        </w:rPr>
        <w:t xml:space="preserve"> (and the debt is not disputed on substantial grounds</w:t>
      </w:r>
      <w:proofErr w:type="gramStart"/>
      <w:r>
        <w:rPr>
          <w:rFonts w:ascii="Avenir Next" w:hAnsi="Avenir Next" w:cs="Arial"/>
          <w:i/>
          <w:iCs/>
          <w:color w:val="808080" w:themeColor="background1" w:themeShade="80"/>
          <w:sz w:val="22"/>
          <w:szCs w:val="22"/>
          <w:lang w:val="en-GB"/>
        </w:rPr>
        <w:t>)</w:t>
      </w:r>
      <w:r w:rsidR="00F40B00" w:rsidRPr="005108B1">
        <w:rPr>
          <w:rFonts w:ascii="Avenir Next" w:hAnsi="Avenir Next" w:cs="Arial"/>
          <w:i/>
          <w:iCs/>
          <w:color w:val="808080" w:themeColor="background1" w:themeShade="80"/>
          <w:sz w:val="22"/>
          <w:szCs w:val="22"/>
          <w:lang w:val="en-GB"/>
        </w:rPr>
        <w:t>;</w:t>
      </w:r>
      <w:proofErr w:type="gramEnd"/>
    </w:p>
    <w:p w14:paraId="225C951B" w14:textId="77777777" w:rsidR="005108B1" w:rsidRPr="005108B1" w:rsidRDefault="005108B1" w:rsidP="005108B1">
      <w:pPr>
        <w:jc w:val="both"/>
        <w:rPr>
          <w:rFonts w:ascii="Avenir Next" w:hAnsi="Avenir Next" w:cs="Arial"/>
          <w:i/>
          <w:iCs/>
          <w:color w:val="808080" w:themeColor="background1" w:themeShade="80"/>
          <w:sz w:val="22"/>
          <w:szCs w:val="22"/>
          <w:lang w:val="en-GB"/>
        </w:rPr>
      </w:pPr>
    </w:p>
    <w:p w14:paraId="6DB1B13F" w14:textId="54E9BADE" w:rsidR="005108B1" w:rsidRDefault="005108B1" w:rsidP="005108B1">
      <w:pPr>
        <w:jc w:val="both"/>
        <w:rPr>
          <w:rFonts w:ascii="Avenir Next" w:hAnsi="Avenir Next" w:cs="Arial"/>
          <w:i/>
          <w:iCs/>
          <w:color w:val="808080" w:themeColor="background1" w:themeShade="80"/>
          <w:sz w:val="22"/>
          <w:szCs w:val="22"/>
          <w:lang w:val="en-GB"/>
        </w:rPr>
      </w:pPr>
      <w:r w:rsidRPr="005108B1">
        <w:rPr>
          <w:rFonts w:ascii="Avenir Next" w:hAnsi="Avenir Next" w:cs="Arial"/>
          <w:i/>
          <w:iCs/>
          <w:color w:val="808080" w:themeColor="background1" w:themeShade="80"/>
          <w:sz w:val="22"/>
          <w:szCs w:val="22"/>
          <w:lang w:val="en-GB"/>
        </w:rPr>
        <w:t xml:space="preserve">b) </w:t>
      </w:r>
      <w:r w:rsidR="00F40B00" w:rsidRPr="005108B1">
        <w:rPr>
          <w:rFonts w:ascii="Avenir Next" w:hAnsi="Avenir Next" w:cs="Arial"/>
          <w:i/>
          <w:iCs/>
          <w:color w:val="808080" w:themeColor="background1" w:themeShade="80"/>
          <w:sz w:val="22"/>
          <w:szCs w:val="22"/>
          <w:lang w:val="en-GB"/>
        </w:rPr>
        <w:t>execution of other process issued on a judgment, decree or order obtained in the Court in</w:t>
      </w:r>
      <w:r w:rsidRPr="005108B1">
        <w:rPr>
          <w:rFonts w:ascii="Avenir Next" w:hAnsi="Avenir Next" w:cs="Arial"/>
          <w:i/>
          <w:iCs/>
          <w:color w:val="808080" w:themeColor="background1" w:themeShade="80"/>
          <w:sz w:val="22"/>
          <w:szCs w:val="22"/>
          <w:lang w:val="en-GB"/>
        </w:rPr>
        <w:t xml:space="preserve"> </w:t>
      </w:r>
      <w:r w:rsidR="00F40B00" w:rsidRPr="005108B1">
        <w:rPr>
          <w:rFonts w:ascii="Avenir Next" w:hAnsi="Avenir Next" w:cs="Arial"/>
          <w:i/>
          <w:iCs/>
          <w:color w:val="808080" w:themeColor="background1" w:themeShade="80"/>
          <w:sz w:val="22"/>
          <w:szCs w:val="22"/>
          <w:lang w:val="en-GB"/>
        </w:rPr>
        <w:t>favour of any creditor in any proceedings instituted by such creditor against the company,</w:t>
      </w:r>
      <w:r w:rsidRPr="005108B1">
        <w:rPr>
          <w:rFonts w:ascii="Avenir Next" w:hAnsi="Avenir Next" w:cs="Arial"/>
          <w:i/>
          <w:iCs/>
          <w:color w:val="808080" w:themeColor="background1" w:themeShade="80"/>
          <w:sz w:val="22"/>
          <w:szCs w:val="22"/>
          <w:lang w:val="en-GB"/>
        </w:rPr>
        <w:t xml:space="preserve"> </w:t>
      </w:r>
      <w:r w:rsidR="00F40B00" w:rsidRPr="005108B1">
        <w:rPr>
          <w:rFonts w:ascii="Avenir Next" w:hAnsi="Avenir Next" w:cs="Arial"/>
          <w:i/>
          <w:iCs/>
          <w:color w:val="808080" w:themeColor="background1" w:themeShade="80"/>
          <w:sz w:val="22"/>
          <w:szCs w:val="22"/>
          <w:lang w:val="en-GB"/>
        </w:rPr>
        <w:t>is returned unsatisfied in whole or in part; or</w:t>
      </w:r>
    </w:p>
    <w:p w14:paraId="5306FEA2" w14:textId="77777777" w:rsidR="005108B1" w:rsidRPr="005108B1" w:rsidRDefault="005108B1" w:rsidP="005108B1">
      <w:pPr>
        <w:jc w:val="both"/>
        <w:rPr>
          <w:rFonts w:ascii="Avenir Next" w:hAnsi="Avenir Next" w:cs="Arial"/>
          <w:i/>
          <w:iCs/>
          <w:color w:val="808080" w:themeColor="background1" w:themeShade="80"/>
          <w:sz w:val="22"/>
          <w:szCs w:val="22"/>
          <w:lang w:val="en-GB"/>
        </w:rPr>
      </w:pPr>
    </w:p>
    <w:p w14:paraId="1A79FE6D" w14:textId="0EA8C4BF" w:rsidR="00F40B00" w:rsidRPr="005108B1" w:rsidRDefault="005108B1" w:rsidP="005108B1">
      <w:pPr>
        <w:jc w:val="both"/>
        <w:rPr>
          <w:rFonts w:ascii="Avenir Next" w:hAnsi="Avenir Next" w:cs="Arial"/>
          <w:color w:val="808080" w:themeColor="background1" w:themeShade="80"/>
          <w:sz w:val="22"/>
          <w:szCs w:val="22"/>
          <w:lang w:val="en-GB"/>
        </w:rPr>
      </w:pPr>
      <w:r w:rsidRPr="005108B1">
        <w:rPr>
          <w:rFonts w:ascii="Avenir Next" w:hAnsi="Avenir Next" w:cs="Arial"/>
          <w:i/>
          <w:iCs/>
          <w:color w:val="808080" w:themeColor="background1" w:themeShade="80"/>
          <w:sz w:val="22"/>
          <w:szCs w:val="22"/>
          <w:lang w:val="en-GB"/>
        </w:rPr>
        <w:t xml:space="preserve">c) </w:t>
      </w:r>
      <w:r w:rsidR="00F40B00" w:rsidRPr="005108B1">
        <w:rPr>
          <w:rFonts w:ascii="Avenir Next" w:hAnsi="Avenir Next" w:cs="Arial"/>
          <w:i/>
          <w:iCs/>
          <w:color w:val="808080" w:themeColor="background1" w:themeShade="80"/>
          <w:sz w:val="22"/>
          <w:szCs w:val="22"/>
          <w:lang w:val="en-GB"/>
        </w:rPr>
        <w:t>it is proved to the satisfaction of the Court that the company is unable to pay its debts.</w:t>
      </w:r>
      <w:r w:rsidRPr="005108B1">
        <w:rPr>
          <w:rFonts w:ascii="Avenir Next" w:hAnsi="Avenir Next" w:cs="Arial"/>
          <w:i/>
          <w:iCs/>
          <w:color w:val="808080" w:themeColor="background1" w:themeShade="80"/>
          <w:sz w:val="22"/>
          <w:szCs w:val="22"/>
          <w:lang w:val="en-GB"/>
        </w:rPr>
        <w:t>"</w:t>
      </w:r>
      <w:r w:rsidRPr="005108B1">
        <w:rPr>
          <w:rStyle w:val="FootnoteReference"/>
          <w:rFonts w:ascii="Avenir Next" w:hAnsi="Avenir Next" w:cs="Arial"/>
          <w:color w:val="808080" w:themeColor="background1" w:themeShade="80"/>
          <w:sz w:val="22"/>
          <w:szCs w:val="22"/>
          <w:lang w:val="en-GB"/>
        </w:rPr>
        <w:footnoteReference w:id="22"/>
      </w:r>
    </w:p>
    <w:p w14:paraId="4E32DE07" w14:textId="77777777" w:rsidR="0008678F" w:rsidRDefault="0008678F" w:rsidP="00F462DF">
      <w:pPr>
        <w:jc w:val="both"/>
        <w:rPr>
          <w:rFonts w:ascii="Avenir Next" w:hAnsi="Avenir Next" w:cs="Arial"/>
          <w:color w:val="808080" w:themeColor="background1" w:themeShade="80"/>
          <w:sz w:val="22"/>
          <w:szCs w:val="22"/>
          <w:lang w:val="en-GB"/>
        </w:rPr>
      </w:pPr>
    </w:p>
    <w:p w14:paraId="21152EBD" w14:textId="7707BD29" w:rsidR="005108B1" w:rsidRDefault="0008678F" w:rsidP="00F462DF">
      <w:pPr>
        <w:jc w:val="both"/>
        <w:rPr>
          <w:rFonts w:ascii="Avenir Next" w:hAnsi="Avenir Next" w:cs="Arial"/>
          <w:color w:val="808080" w:themeColor="background1" w:themeShade="80"/>
          <w:sz w:val="22"/>
          <w:szCs w:val="22"/>
          <w:lang w:val="en-GB"/>
        </w:rPr>
      </w:pPr>
      <w:r w:rsidRPr="0008678F">
        <w:rPr>
          <w:rFonts w:ascii="Avenir Next" w:hAnsi="Avenir Next" w:cs="Arial"/>
          <w:color w:val="808080" w:themeColor="background1" w:themeShade="80"/>
          <w:sz w:val="22"/>
          <w:szCs w:val="22"/>
          <w:lang w:val="en-GB"/>
        </w:rPr>
        <w:t>Once winding</w:t>
      </w:r>
      <w:r>
        <w:rPr>
          <w:rFonts w:ascii="Avenir Next" w:hAnsi="Avenir Next" w:cs="Arial"/>
          <w:color w:val="808080" w:themeColor="background1" w:themeShade="80"/>
          <w:sz w:val="22"/>
          <w:szCs w:val="22"/>
          <w:lang w:val="en-GB"/>
        </w:rPr>
        <w:t xml:space="preserve">-up proceedings are on foot, there are further tools that are available with respect to payments / property dispositions that have been made. </w:t>
      </w:r>
    </w:p>
    <w:p w14:paraId="77058811" w14:textId="77777777" w:rsidR="0008678F" w:rsidRDefault="0008678F" w:rsidP="00F462DF">
      <w:pPr>
        <w:jc w:val="both"/>
        <w:rPr>
          <w:rFonts w:ascii="Avenir Next" w:hAnsi="Avenir Next" w:cs="Arial"/>
          <w:color w:val="808080" w:themeColor="background1" w:themeShade="80"/>
          <w:sz w:val="22"/>
          <w:szCs w:val="22"/>
          <w:lang w:val="en-GB"/>
        </w:rPr>
      </w:pPr>
    </w:p>
    <w:p w14:paraId="3B60ABFE" w14:textId="75852A17" w:rsidR="0008678F" w:rsidRPr="0008678F" w:rsidRDefault="0008678F" w:rsidP="00F462DF">
      <w:pPr>
        <w:jc w:val="both"/>
        <w:rPr>
          <w:rFonts w:ascii="Avenir Next" w:hAnsi="Avenir Next" w:cs="Arial"/>
          <w:i/>
          <w:iCs/>
          <w:color w:val="808080" w:themeColor="background1" w:themeShade="80"/>
          <w:sz w:val="22"/>
          <w:szCs w:val="22"/>
          <w:lang w:val="en-GB"/>
        </w:rPr>
      </w:pPr>
      <w:r w:rsidRPr="0008678F">
        <w:rPr>
          <w:rFonts w:ascii="Avenir Next" w:hAnsi="Avenir Next" w:cs="Arial"/>
          <w:i/>
          <w:iCs/>
          <w:color w:val="808080" w:themeColor="background1" w:themeShade="80"/>
          <w:sz w:val="22"/>
          <w:szCs w:val="22"/>
          <w:lang w:val="en-GB"/>
        </w:rPr>
        <w:lastRenderedPageBreak/>
        <w:t>Avoidance of property dispositions</w:t>
      </w:r>
    </w:p>
    <w:p w14:paraId="4C1369A5" w14:textId="77777777" w:rsidR="0008678F" w:rsidRDefault="0008678F" w:rsidP="00F462DF">
      <w:pPr>
        <w:jc w:val="both"/>
        <w:rPr>
          <w:rFonts w:ascii="Avenir Next" w:hAnsi="Avenir Next" w:cs="Arial"/>
          <w:color w:val="808080" w:themeColor="background1" w:themeShade="80"/>
          <w:sz w:val="22"/>
          <w:szCs w:val="22"/>
          <w:u w:val="single"/>
          <w:lang w:val="en-GB"/>
        </w:rPr>
      </w:pPr>
    </w:p>
    <w:p w14:paraId="7DCB2559" w14:textId="085B13D2" w:rsidR="00F462DF" w:rsidRDefault="0008678F" w:rsidP="00F462D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particular, liquidators</w:t>
      </w:r>
      <w:proofErr w:type="gramEnd"/>
      <w:r>
        <w:rPr>
          <w:rFonts w:ascii="Avenir Next" w:hAnsi="Avenir Next" w:cs="Arial"/>
          <w:color w:val="808080" w:themeColor="background1" w:themeShade="80"/>
          <w:sz w:val="22"/>
          <w:szCs w:val="22"/>
          <w:lang w:val="en-GB"/>
        </w:rPr>
        <w:t xml:space="preserve"> or creditors may utilise </w:t>
      </w:r>
      <w:r w:rsidR="00F40B00">
        <w:rPr>
          <w:rFonts w:ascii="Avenir Next" w:hAnsi="Avenir Next" w:cs="Arial"/>
          <w:color w:val="808080" w:themeColor="background1" w:themeShade="80"/>
          <w:sz w:val="22"/>
          <w:szCs w:val="22"/>
          <w:lang w:val="en-GB"/>
        </w:rPr>
        <w:t>s</w:t>
      </w:r>
      <w:r w:rsidR="00F462DF" w:rsidRPr="00F462DF">
        <w:rPr>
          <w:rFonts w:ascii="Avenir Next" w:hAnsi="Avenir Next" w:cs="Arial"/>
          <w:color w:val="808080" w:themeColor="background1" w:themeShade="80"/>
          <w:sz w:val="22"/>
          <w:szCs w:val="22"/>
          <w:lang w:val="en-GB"/>
        </w:rPr>
        <w:t xml:space="preserve">ection 99 of the </w:t>
      </w:r>
      <w:r w:rsidR="00F40B00">
        <w:rPr>
          <w:rFonts w:ascii="Avenir Next" w:hAnsi="Avenir Next" w:cs="Arial"/>
          <w:color w:val="808080" w:themeColor="background1" w:themeShade="80"/>
          <w:sz w:val="22"/>
          <w:szCs w:val="22"/>
          <w:lang w:val="en-GB"/>
        </w:rPr>
        <w:t>CA</w:t>
      </w:r>
      <w:r w:rsidR="00EC7941">
        <w:rPr>
          <w:rFonts w:ascii="Avenir Next" w:hAnsi="Avenir Next" w:cs="Arial"/>
          <w:color w:val="808080" w:themeColor="background1" w:themeShade="80"/>
          <w:sz w:val="22"/>
          <w:szCs w:val="22"/>
          <w:lang w:val="en-GB"/>
        </w:rPr>
        <w:t>. Section 99</w:t>
      </w:r>
      <w:r w:rsidR="006D5494">
        <w:rPr>
          <w:rFonts w:ascii="Avenir Next" w:hAnsi="Avenir Next" w:cs="Arial"/>
          <w:color w:val="808080" w:themeColor="background1" w:themeShade="80"/>
          <w:sz w:val="22"/>
          <w:szCs w:val="22"/>
          <w:lang w:val="en-GB"/>
        </w:rPr>
        <w:t xml:space="preserve"> states that any</w:t>
      </w:r>
      <w:r w:rsidR="00EC7941">
        <w:rPr>
          <w:rFonts w:ascii="Avenir Next" w:hAnsi="Avenir Next" w:cs="Arial"/>
          <w:color w:val="808080" w:themeColor="background1" w:themeShade="80"/>
          <w:sz w:val="22"/>
          <w:szCs w:val="22"/>
          <w:lang w:val="en-GB"/>
        </w:rPr>
        <w:t xml:space="preserve"> </w:t>
      </w:r>
      <w:r w:rsidR="00F462DF" w:rsidRPr="00F462DF">
        <w:rPr>
          <w:rFonts w:ascii="Avenir Next" w:hAnsi="Avenir Next" w:cs="Arial"/>
          <w:color w:val="808080" w:themeColor="background1" w:themeShade="80"/>
          <w:sz w:val="22"/>
          <w:szCs w:val="22"/>
          <w:lang w:val="en-GB"/>
        </w:rPr>
        <w:t>dispositions of a company’s property made after</w:t>
      </w:r>
      <w:r w:rsidR="006D5494">
        <w:rPr>
          <w:rFonts w:ascii="Avenir Next" w:hAnsi="Avenir Next" w:cs="Arial"/>
          <w:color w:val="808080" w:themeColor="background1" w:themeShade="80"/>
          <w:sz w:val="22"/>
          <w:szCs w:val="22"/>
          <w:lang w:val="en-GB"/>
        </w:rPr>
        <w:t xml:space="preserve"> </w:t>
      </w:r>
      <w:r w:rsidR="00F462DF" w:rsidRPr="00F462DF">
        <w:rPr>
          <w:rFonts w:ascii="Avenir Next" w:hAnsi="Avenir Next" w:cs="Arial"/>
          <w:color w:val="808080" w:themeColor="background1" w:themeShade="80"/>
          <w:sz w:val="22"/>
          <w:szCs w:val="22"/>
          <w:lang w:val="en-GB"/>
        </w:rPr>
        <w:t xml:space="preserve">the deemed commencement of the winding-up </w:t>
      </w:r>
      <w:r w:rsidR="00DE1479">
        <w:rPr>
          <w:rFonts w:ascii="Avenir Next" w:hAnsi="Avenir Next" w:cs="Arial"/>
          <w:color w:val="808080" w:themeColor="background1" w:themeShade="80"/>
          <w:sz w:val="22"/>
          <w:szCs w:val="22"/>
          <w:lang w:val="en-GB"/>
        </w:rPr>
        <w:t xml:space="preserve">(the date on which the winding-up petition was filed) </w:t>
      </w:r>
      <w:r w:rsidR="00F462DF" w:rsidRPr="00F462DF">
        <w:rPr>
          <w:rFonts w:ascii="Avenir Next" w:hAnsi="Avenir Next" w:cs="Arial"/>
          <w:color w:val="808080" w:themeColor="background1" w:themeShade="80"/>
          <w:sz w:val="22"/>
          <w:szCs w:val="22"/>
          <w:lang w:val="en-GB"/>
        </w:rPr>
        <w:t>will be void if a winding-up order is</w:t>
      </w:r>
      <w:r w:rsidR="006D5494">
        <w:rPr>
          <w:rFonts w:ascii="Avenir Next" w:hAnsi="Avenir Next" w:cs="Arial"/>
          <w:color w:val="808080" w:themeColor="background1" w:themeShade="80"/>
          <w:sz w:val="22"/>
          <w:szCs w:val="22"/>
          <w:lang w:val="en-GB"/>
        </w:rPr>
        <w:t xml:space="preserve"> </w:t>
      </w:r>
      <w:r w:rsidR="00F462DF" w:rsidRPr="00F462DF">
        <w:rPr>
          <w:rFonts w:ascii="Avenir Next" w:hAnsi="Avenir Next" w:cs="Arial"/>
          <w:color w:val="808080" w:themeColor="background1" w:themeShade="80"/>
          <w:sz w:val="22"/>
          <w:szCs w:val="22"/>
          <w:lang w:val="en-GB"/>
        </w:rPr>
        <w:t>subsequently made</w:t>
      </w:r>
      <w:r w:rsidR="006D5494">
        <w:rPr>
          <w:rFonts w:ascii="Avenir Next" w:hAnsi="Avenir Next" w:cs="Arial"/>
          <w:color w:val="808080" w:themeColor="background1" w:themeShade="80"/>
          <w:sz w:val="22"/>
          <w:szCs w:val="22"/>
          <w:lang w:val="en-GB"/>
        </w:rPr>
        <w:t xml:space="preserve">, </w:t>
      </w:r>
      <w:r w:rsidR="00F462DF" w:rsidRPr="00F462DF">
        <w:rPr>
          <w:rFonts w:ascii="Avenir Next" w:hAnsi="Avenir Next" w:cs="Arial"/>
          <w:color w:val="808080" w:themeColor="background1" w:themeShade="80"/>
          <w:sz w:val="22"/>
          <w:szCs w:val="22"/>
          <w:lang w:val="en-GB"/>
        </w:rPr>
        <w:t xml:space="preserve">unless </w:t>
      </w:r>
      <w:r w:rsidR="006D5494">
        <w:rPr>
          <w:rFonts w:ascii="Avenir Next" w:hAnsi="Avenir Next" w:cs="Arial"/>
          <w:color w:val="808080" w:themeColor="background1" w:themeShade="80"/>
          <w:sz w:val="22"/>
          <w:szCs w:val="22"/>
          <w:lang w:val="en-GB"/>
        </w:rPr>
        <w:t xml:space="preserve">those dispositions are </w:t>
      </w:r>
      <w:r w:rsidR="00F462DF" w:rsidRPr="00F462DF">
        <w:rPr>
          <w:rFonts w:ascii="Avenir Next" w:hAnsi="Avenir Next" w:cs="Arial"/>
          <w:color w:val="808080" w:themeColor="background1" w:themeShade="80"/>
          <w:sz w:val="22"/>
          <w:szCs w:val="22"/>
          <w:lang w:val="en-GB"/>
        </w:rPr>
        <w:t>validated by the Grand Court.</w:t>
      </w:r>
      <w:r w:rsidR="00DE1479">
        <w:rPr>
          <w:rFonts w:ascii="Avenir Next" w:hAnsi="Avenir Next" w:cs="Arial"/>
          <w:color w:val="808080" w:themeColor="background1" w:themeShade="80"/>
          <w:sz w:val="22"/>
          <w:szCs w:val="22"/>
          <w:lang w:val="en-GB"/>
        </w:rPr>
        <w:t xml:space="preserve"> Validation applications are not uncommon, and can relate to past transactions or future transactions, but they require evidence and can be challenged. If a company is insolvent, the Court is unlikely to grant the validation orders sought unless it can be</w:t>
      </w:r>
      <w:r w:rsidR="00DE1479" w:rsidRPr="00F462DF">
        <w:rPr>
          <w:rFonts w:ascii="Avenir Next" w:hAnsi="Avenir Next" w:cs="Arial"/>
          <w:color w:val="808080" w:themeColor="background1" w:themeShade="80"/>
          <w:sz w:val="22"/>
          <w:szCs w:val="22"/>
          <w:lang w:val="en-GB"/>
        </w:rPr>
        <w:t xml:space="preserve"> shown that the </w:t>
      </w:r>
      <w:r w:rsidR="00DE1479">
        <w:rPr>
          <w:rFonts w:ascii="Avenir Next" w:hAnsi="Avenir Next" w:cs="Arial"/>
          <w:color w:val="808080" w:themeColor="background1" w:themeShade="80"/>
          <w:sz w:val="22"/>
          <w:szCs w:val="22"/>
          <w:lang w:val="en-GB"/>
        </w:rPr>
        <w:t>disposition has a</w:t>
      </w:r>
      <w:r w:rsidR="00DE1479" w:rsidRPr="00F462DF">
        <w:rPr>
          <w:rFonts w:ascii="Avenir Next" w:hAnsi="Avenir Next" w:cs="Arial"/>
          <w:color w:val="808080" w:themeColor="background1" w:themeShade="80"/>
          <w:sz w:val="22"/>
          <w:szCs w:val="22"/>
          <w:lang w:val="en-GB"/>
        </w:rPr>
        <w:t xml:space="preserve"> corresponding benefit to the</w:t>
      </w:r>
      <w:r w:rsidR="00DE1479">
        <w:rPr>
          <w:rFonts w:ascii="Avenir Next" w:hAnsi="Avenir Next" w:cs="Arial"/>
          <w:color w:val="808080" w:themeColor="background1" w:themeShade="80"/>
          <w:sz w:val="22"/>
          <w:szCs w:val="22"/>
          <w:lang w:val="en-GB"/>
        </w:rPr>
        <w:t xml:space="preserve"> </w:t>
      </w:r>
      <w:r w:rsidR="00DE1479" w:rsidRPr="00F462DF">
        <w:rPr>
          <w:rFonts w:ascii="Avenir Next" w:hAnsi="Avenir Next" w:cs="Arial"/>
          <w:color w:val="808080" w:themeColor="background1" w:themeShade="80"/>
          <w:sz w:val="22"/>
          <w:szCs w:val="22"/>
          <w:lang w:val="en-GB"/>
        </w:rPr>
        <w:t xml:space="preserve">company and enhances the value for </w:t>
      </w:r>
      <w:proofErr w:type="gramStart"/>
      <w:r w:rsidR="00DE1479" w:rsidRPr="00F462DF">
        <w:rPr>
          <w:rFonts w:ascii="Avenir Next" w:hAnsi="Avenir Next" w:cs="Arial"/>
          <w:color w:val="808080" w:themeColor="background1" w:themeShade="80"/>
          <w:sz w:val="22"/>
          <w:szCs w:val="22"/>
          <w:lang w:val="en-GB"/>
        </w:rPr>
        <w:t>creditors as a whole</w:t>
      </w:r>
      <w:proofErr w:type="gramEnd"/>
      <w:r w:rsidR="001E0B4A">
        <w:rPr>
          <w:rFonts w:ascii="Avenir Next" w:hAnsi="Avenir Next" w:cs="Arial"/>
          <w:color w:val="808080" w:themeColor="background1" w:themeShade="80"/>
          <w:sz w:val="22"/>
          <w:szCs w:val="22"/>
          <w:lang w:val="en-GB"/>
        </w:rPr>
        <w:t>.</w:t>
      </w:r>
      <w:r w:rsidR="00DE1479">
        <w:rPr>
          <w:rStyle w:val="FootnoteReference"/>
          <w:rFonts w:ascii="Avenir Next" w:hAnsi="Avenir Next" w:cs="Arial"/>
          <w:color w:val="808080" w:themeColor="background1" w:themeShade="80"/>
          <w:sz w:val="22"/>
          <w:szCs w:val="22"/>
          <w:lang w:val="en-GB"/>
        </w:rPr>
        <w:footnoteReference w:id="23"/>
      </w:r>
      <w:r w:rsidR="00D91479">
        <w:rPr>
          <w:rFonts w:ascii="Avenir Next" w:hAnsi="Avenir Next" w:cs="Arial"/>
          <w:color w:val="808080" w:themeColor="background1" w:themeShade="80"/>
          <w:sz w:val="22"/>
          <w:szCs w:val="22"/>
          <w:lang w:val="en-GB"/>
        </w:rPr>
        <w:t xml:space="preserve"> </w:t>
      </w:r>
    </w:p>
    <w:p w14:paraId="0CB5F4B4" w14:textId="77777777" w:rsidR="001E0B4A" w:rsidRDefault="001E0B4A" w:rsidP="00F462DF">
      <w:pPr>
        <w:jc w:val="both"/>
        <w:rPr>
          <w:rFonts w:ascii="Avenir Next" w:hAnsi="Avenir Next" w:cs="Arial"/>
          <w:color w:val="808080" w:themeColor="background1" w:themeShade="80"/>
          <w:sz w:val="22"/>
          <w:szCs w:val="22"/>
          <w:lang w:val="en-GB"/>
        </w:rPr>
      </w:pPr>
    </w:p>
    <w:p w14:paraId="3603BEA2" w14:textId="5F153161" w:rsidR="00F462DF" w:rsidRDefault="00677DC8" w:rsidP="00F462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no </w:t>
      </w:r>
      <w:r w:rsidR="00F462DF" w:rsidRPr="00F462DF">
        <w:rPr>
          <w:rFonts w:ascii="Avenir Next" w:hAnsi="Avenir Next" w:cs="Arial"/>
          <w:color w:val="808080" w:themeColor="background1" w:themeShade="80"/>
          <w:sz w:val="22"/>
          <w:szCs w:val="22"/>
          <w:lang w:val="en-GB"/>
        </w:rPr>
        <w:t>petition has been filed</w:t>
      </w:r>
      <w:r>
        <w:rPr>
          <w:rFonts w:ascii="Avenir Next" w:hAnsi="Avenir Next" w:cs="Arial"/>
          <w:color w:val="808080" w:themeColor="background1" w:themeShade="80"/>
          <w:sz w:val="22"/>
          <w:szCs w:val="22"/>
          <w:lang w:val="en-GB"/>
        </w:rPr>
        <w:t xml:space="preserve"> yet</w:t>
      </w:r>
      <w:r w:rsidR="00F462DF" w:rsidRPr="00F462D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relevant</w:t>
      </w:r>
      <w:r w:rsidR="00F462DF" w:rsidRPr="00F462DF">
        <w:rPr>
          <w:rFonts w:ascii="Avenir Next" w:hAnsi="Avenir Next" w:cs="Arial"/>
          <w:color w:val="808080" w:themeColor="background1" w:themeShade="80"/>
          <w:sz w:val="22"/>
          <w:szCs w:val="22"/>
          <w:lang w:val="en-GB"/>
        </w:rPr>
        <w:t xml:space="preserve"> transaction</w:t>
      </w:r>
      <w:r>
        <w:rPr>
          <w:rFonts w:ascii="Avenir Next" w:hAnsi="Avenir Next" w:cs="Arial"/>
          <w:color w:val="808080" w:themeColor="background1" w:themeShade="80"/>
          <w:sz w:val="22"/>
          <w:szCs w:val="22"/>
          <w:lang w:val="en-GB"/>
        </w:rPr>
        <w:t>s</w:t>
      </w:r>
      <w:r w:rsidR="00F462DF" w:rsidRPr="00F462D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are </w:t>
      </w:r>
      <w:r w:rsidR="00F462DF" w:rsidRPr="00F462DF">
        <w:rPr>
          <w:rFonts w:ascii="Avenir Next" w:hAnsi="Avenir Next" w:cs="Arial"/>
          <w:color w:val="808080" w:themeColor="background1" w:themeShade="80"/>
          <w:sz w:val="22"/>
          <w:szCs w:val="22"/>
          <w:lang w:val="en-GB"/>
        </w:rPr>
        <w:t>not caught by section 99</w:t>
      </w:r>
      <w:r>
        <w:rPr>
          <w:rFonts w:ascii="Avenir Next" w:hAnsi="Avenir Next" w:cs="Arial"/>
          <w:color w:val="808080" w:themeColor="background1" w:themeShade="80"/>
          <w:sz w:val="22"/>
          <w:szCs w:val="22"/>
          <w:lang w:val="en-GB"/>
        </w:rPr>
        <w:t>,</w:t>
      </w:r>
      <w:r w:rsidR="00F462DF" w:rsidRPr="00F462DF">
        <w:rPr>
          <w:rFonts w:ascii="Avenir Next" w:hAnsi="Avenir Next" w:cs="Arial"/>
          <w:color w:val="808080" w:themeColor="background1" w:themeShade="80"/>
          <w:sz w:val="22"/>
          <w:szCs w:val="22"/>
          <w:lang w:val="en-GB"/>
        </w:rPr>
        <w:t xml:space="preserve"> howeve</w:t>
      </w:r>
      <w:r>
        <w:rPr>
          <w:rFonts w:ascii="Avenir Next" w:hAnsi="Avenir Next" w:cs="Arial"/>
          <w:color w:val="808080" w:themeColor="background1" w:themeShade="80"/>
          <w:sz w:val="22"/>
          <w:szCs w:val="22"/>
          <w:lang w:val="en-GB"/>
        </w:rPr>
        <w:t xml:space="preserve">r, there are other </w:t>
      </w:r>
      <w:r w:rsidR="00F462DF" w:rsidRPr="00F462DF">
        <w:rPr>
          <w:rFonts w:ascii="Avenir Next" w:hAnsi="Avenir Next" w:cs="Arial"/>
          <w:color w:val="808080" w:themeColor="background1" w:themeShade="80"/>
          <w:sz w:val="22"/>
          <w:szCs w:val="22"/>
          <w:lang w:val="en-GB"/>
        </w:rPr>
        <w:t xml:space="preserve">claw-back mechanisms </w:t>
      </w:r>
      <w:r>
        <w:rPr>
          <w:rFonts w:ascii="Avenir Next" w:hAnsi="Avenir Next" w:cs="Arial"/>
          <w:color w:val="808080" w:themeColor="background1" w:themeShade="80"/>
          <w:sz w:val="22"/>
          <w:szCs w:val="22"/>
          <w:lang w:val="en-GB"/>
        </w:rPr>
        <w:t xml:space="preserve">that are </w:t>
      </w:r>
      <w:r w:rsidR="00133FB6">
        <w:rPr>
          <w:rFonts w:ascii="Avenir Next" w:hAnsi="Avenir Next" w:cs="Arial"/>
          <w:color w:val="808080" w:themeColor="background1" w:themeShade="80"/>
          <w:sz w:val="22"/>
          <w:szCs w:val="22"/>
          <w:lang w:val="en-GB"/>
        </w:rPr>
        <w:t>available,</w:t>
      </w:r>
      <w:r>
        <w:rPr>
          <w:rFonts w:ascii="Avenir Next" w:hAnsi="Avenir Next" w:cs="Arial"/>
          <w:color w:val="808080" w:themeColor="background1" w:themeShade="80"/>
          <w:sz w:val="22"/>
          <w:szCs w:val="22"/>
          <w:lang w:val="en-GB"/>
        </w:rPr>
        <w:t xml:space="preserve"> and these are explained below.  </w:t>
      </w:r>
    </w:p>
    <w:p w14:paraId="58DD9973" w14:textId="77777777" w:rsidR="00F462DF" w:rsidRDefault="00F462DF" w:rsidP="002A37BB">
      <w:pPr>
        <w:jc w:val="both"/>
        <w:rPr>
          <w:rFonts w:ascii="Avenir Next" w:hAnsi="Avenir Next" w:cs="Arial"/>
          <w:color w:val="808080" w:themeColor="background1" w:themeShade="80"/>
          <w:sz w:val="22"/>
          <w:szCs w:val="22"/>
          <w:lang w:val="en-GB"/>
        </w:rPr>
      </w:pPr>
    </w:p>
    <w:p w14:paraId="44FF3E4C" w14:textId="27B3F18B" w:rsidR="00F462DF" w:rsidRPr="00677DC8" w:rsidRDefault="00F462DF" w:rsidP="002A37BB">
      <w:pPr>
        <w:jc w:val="both"/>
        <w:rPr>
          <w:rFonts w:ascii="Avenir Next" w:hAnsi="Avenir Next" w:cs="Arial"/>
          <w:i/>
          <w:iCs/>
          <w:color w:val="808080" w:themeColor="background1" w:themeShade="80"/>
          <w:sz w:val="22"/>
          <w:szCs w:val="22"/>
          <w:lang w:val="en-GB"/>
        </w:rPr>
      </w:pPr>
      <w:r w:rsidRPr="00677DC8">
        <w:rPr>
          <w:rFonts w:ascii="Avenir Next" w:hAnsi="Avenir Next" w:cs="Arial"/>
          <w:i/>
          <w:iCs/>
          <w:color w:val="808080" w:themeColor="background1" w:themeShade="80"/>
          <w:sz w:val="22"/>
          <w:szCs w:val="22"/>
          <w:lang w:val="en-GB"/>
        </w:rPr>
        <w:t>Voidable preferences</w:t>
      </w:r>
    </w:p>
    <w:p w14:paraId="3D32833B" w14:textId="77777777" w:rsidR="00F462DF" w:rsidRDefault="00F462DF" w:rsidP="002A37BB">
      <w:pPr>
        <w:jc w:val="both"/>
        <w:rPr>
          <w:rFonts w:ascii="Avenir Next" w:hAnsi="Avenir Next" w:cs="Arial"/>
          <w:color w:val="808080" w:themeColor="background1" w:themeShade="80"/>
          <w:sz w:val="22"/>
          <w:szCs w:val="22"/>
          <w:lang w:val="en-GB"/>
        </w:rPr>
      </w:pPr>
    </w:p>
    <w:p w14:paraId="4F254B43" w14:textId="744CA200" w:rsidR="004F12C5" w:rsidRDefault="003D1E3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145 of the CA sets out the circumstances in which a </w:t>
      </w:r>
      <w:r w:rsidRPr="003D1E35">
        <w:rPr>
          <w:rFonts w:ascii="Avenir Next" w:hAnsi="Avenir Next" w:cs="Arial"/>
          <w:color w:val="808080" w:themeColor="background1" w:themeShade="80"/>
          <w:sz w:val="22"/>
          <w:szCs w:val="22"/>
          <w:lang w:val="en-GB"/>
        </w:rPr>
        <w:t>payment or disposal of property to a</w:t>
      </w:r>
      <w:r>
        <w:rPr>
          <w:rFonts w:ascii="Avenir Next" w:hAnsi="Avenir Next" w:cs="Arial"/>
          <w:color w:val="808080" w:themeColor="background1" w:themeShade="80"/>
          <w:sz w:val="22"/>
          <w:szCs w:val="22"/>
          <w:lang w:val="en-GB"/>
        </w:rPr>
        <w:t xml:space="preserve"> </w:t>
      </w:r>
      <w:r w:rsidRPr="003D1E35">
        <w:rPr>
          <w:rFonts w:ascii="Avenir Next" w:hAnsi="Avenir Next" w:cs="Arial"/>
          <w:color w:val="808080" w:themeColor="background1" w:themeShade="80"/>
          <w:sz w:val="22"/>
          <w:szCs w:val="22"/>
          <w:lang w:val="en-GB"/>
        </w:rPr>
        <w:t>creditor constitutes a voidable preference</w:t>
      </w:r>
      <w:r w:rsidR="004F12C5">
        <w:rPr>
          <w:rFonts w:ascii="Avenir Next" w:hAnsi="Avenir Next" w:cs="Arial"/>
          <w:color w:val="808080" w:themeColor="background1" w:themeShade="80"/>
          <w:sz w:val="22"/>
          <w:szCs w:val="22"/>
          <w:lang w:val="en-GB"/>
        </w:rPr>
        <w:t>, specifically if:</w:t>
      </w:r>
    </w:p>
    <w:p w14:paraId="7ABB03AE" w14:textId="77777777" w:rsidR="004F12C5" w:rsidRDefault="004F12C5" w:rsidP="002A37BB">
      <w:pPr>
        <w:jc w:val="both"/>
        <w:rPr>
          <w:rFonts w:ascii="Avenir Next" w:hAnsi="Avenir Next" w:cs="Arial"/>
          <w:color w:val="808080" w:themeColor="background1" w:themeShade="80"/>
          <w:sz w:val="22"/>
          <w:szCs w:val="22"/>
          <w:lang w:val="en-GB"/>
        </w:rPr>
      </w:pPr>
    </w:p>
    <w:p w14:paraId="7075699D" w14:textId="77777777" w:rsidR="004F12C5" w:rsidRDefault="004F12C5" w:rsidP="004F12C5">
      <w:pPr>
        <w:pStyle w:val="ListParagraph"/>
        <w:numPr>
          <w:ilvl w:val="0"/>
          <w:numId w:val="47"/>
        </w:numPr>
        <w:jc w:val="both"/>
        <w:rPr>
          <w:rFonts w:ascii="Avenir Next" w:hAnsi="Avenir Next" w:cs="Arial"/>
          <w:color w:val="808080" w:themeColor="background1" w:themeShade="80"/>
          <w:sz w:val="22"/>
          <w:szCs w:val="22"/>
          <w:lang w:val="en-GB"/>
        </w:rPr>
      </w:pPr>
      <w:r w:rsidRPr="004F12C5">
        <w:rPr>
          <w:rFonts w:ascii="Avenir Next" w:hAnsi="Avenir Next" w:cs="Arial"/>
          <w:color w:val="808080" w:themeColor="background1" w:themeShade="80"/>
          <w:sz w:val="22"/>
          <w:szCs w:val="22"/>
          <w:lang w:val="en-GB"/>
        </w:rPr>
        <w:t>it occurs in the six months before the deemed commencement of the company’s liquidation</w:t>
      </w:r>
      <w:r>
        <w:rPr>
          <w:rFonts w:ascii="Avenir Next" w:hAnsi="Avenir Next" w:cs="Arial"/>
          <w:color w:val="808080" w:themeColor="background1" w:themeShade="80"/>
          <w:sz w:val="22"/>
          <w:szCs w:val="22"/>
          <w:lang w:val="en-GB"/>
        </w:rPr>
        <w:t xml:space="preserve"> </w:t>
      </w:r>
      <w:r w:rsidRPr="004F12C5">
        <w:rPr>
          <w:rFonts w:ascii="Avenir Next" w:hAnsi="Avenir Next" w:cs="Arial"/>
          <w:color w:val="808080" w:themeColor="background1" w:themeShade="80"/>
          <w:sz w:val="22"/>
          <w:szCs w:val="22"/>
          <w:lang w:val="en-GB"/>
        </w:rPr>
        <w:t>and at a time when it is unable to pay its debts; and</w:t>
      </w:r>
    </w:p>
    <w:p w14:paraId="64E93302" w14:textId="0091B264" w:rsidR="003D1E35" w:rsidRPr="004F12C5" w:rsidRDefault="004F12C5" w:rsidP="004F12C5">
      <w:pPr>
        <w:pStyle w:val="ListParagraph"/>
        <w:numPr>
          <w:ilvl w:val="0"/>
          <w:numId w:val="47"/>
        </w:numPr>
        <w:jc w:val="both"/>
        <w:rPr>
          <w:rFonts w:ascii="Avenir Next" w:hAnsi="Avenir Next" w:cs="Arial"/>
          <w:color w:val="808080" w:themeColor="background1" w:themeShade="80"/>
          <w:sz w:val="22"/>
          <w:szCs w:val="22"/>
          <w:lang w:val="en-GB"/>
        </w:rPr>
      </w:pPr>
      <w:r w:rsidRPr="004F12C5">
        <w:rPr>
          <w:rFonts w:ascii="Avenir Next" w:hAnsi="Avenir Next" w:cs="Arial"/>
          <w:color w:val="808080" w:themeColor="background1" w:themeShade="80"/>
          <w:sz w:val="22"/>
          <w:szCs w:val="22"/>
          <w:lang w:val="en-GB"/>
        </w:rPr>
        <w:t>the dominant intention of the company’s directors was to give the applicable creditor a</w:t>
      </w:r>
      <w:r w:rsidRPr="004F12C5">
        <w:rPr>
          <w:rFonts w:ascii="Avenir Next" w:hAnsi="Avenir Next" w:cs="Arial"/>
          <w:color w:val="808080" w:themeColor="background1" w:themeShade="80"/>
          <w:sz w:val="22"/>
          <w:szCs w:val="22"/>
          <w:lang w:val="en-GB"/>
        </w:rPr>
        <w:cr/>
        <w:t>preference over other creditors.</w:t>
      </w:r>
    </w:p>
    <w:p w14:paraId="03B8E53F" w14:textId="2682DF67" w:rsidR="003D1E35" w:rsidRDefault="003D1E35" w:rsidP="002A37BB">
      <w:pPr>
        <w:jc w:val="both"/>
        <w:rPr>
          <w:rFonts w:ascii="Avenir Next" w:hAnsi="Avenir Next" w:cs="Arial"/>
          <w:color w:val="808080" w:themeColor="background1" w:themeShade="80"/>
          <w:sz w:val="22"/>
          <w:szCs w:val="22"/>
          <w:lang w:val="en-GB"/>
        </w:rPr>
      </w:pPr>
    </w:p>
    <w:p w14:paraId="5F44A370" w14:textId="4FD7413F" w:rsidR="004F12C5" w:rsidRPr="004F12C5" w:rsidRDefault="004F12C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test to determine whether there has been a voidable preference under s 145(1) of the CA was considered by the </w:t>
      </w:r>
      <w:r w:rsidRPr="004F12C5">
        <w:rPr>
          <w:rFonts w:ascii="Avenir Next" w:hAnsi="Avenir Next" w:cs="Arial"/>
          <w:color w:val="808080" w:themeColor="background1" w:themeShade="80"/>
          <w:sz w:val="22"/>
          <w:szCs w:val="22"/>
          <w:lang w:val="en-GB"/>
        </w:rPr>
        <w:t>Cayman Islands Court of</w:t>
      </w:r>
      <w:r>
        <w:rPr>
          <w:rFonts w:ascii="Avenir Next" w:hAnsi="Avenir Next" w:cs="Arial"/>
          <w:color w:val="808080" w:themeColor="background1" w:themeShade="80"/>
          <w:sz w:val="22"/>
          <w:szCs w:val="22"/>
          <w:lang w:val="en-GB"/>
        </w:rPr>
        <w:t xml:space="preserve"> </w:t>
      </w:r>
      <w:r w:rsidRPr="004F12C5">
        <w:rPr>
          <w:rFonts w:ascii="Avenir Next" w:hAnsi="Avenir Next" w:cs="Arial"/>
          <w:color w:val="808080" w:themeColor="background1" w:themeShade="80"/>
          <w:sz w:val="22"/>
          <w:szCs w:val="22"/>
          <w:lang w:val="en-GB"/>
        </w:rPr>
        <w:t>Appeal and Judicial Committee of the Privy Council</w:t>
      </w:r>
      <w:r>
        <w:rPr>
          <w:rFonts w:ascii="Avenir Next" w:hAnsi="Avenir Next" w:cs="Arial"/>
          <w:color w:val="808080" w:themeColor="background1" w:themeShade="80"/>
          <w:sz w:val="22"/>
          <w:szCs w:val="22"/>
          <w:lang w:val="en-GB"/>
        </w:rPr>
        <w:t xml:space="preserve"> (the </w:t>
      </w:r>
      <w:r w:rsidRPr="004F12C5">
        <w:rPr>
          <w:rFonts w:ascii="Avenir Next" w:hAnsi="Avenir Next" w:cs="Arial"/>
          <w:b/>
          <w:bCs/>
          <w:color w:val="808080" w:themeColor="background1" w:themeShade="80"/>
          <w:sz w:val="22"/>
          <w:szCs w:val="22"/>
          <w:lang w:val="en-GB"/>
        </w:rPr>
        <w:t>PC</w:t>
      </w:r>
      <w:r>
        <w:rPr>
          <w:rFonts w:ascii="Avenir Next" w:hAnsi="Avenir Next" w:cs="Arial"/>
          <w:color w:val="808080" w:themeColor="background1" w:themeShade="80"/>
          <w:sz w:val="22"/>
          <w:szCs w:val="22"/>
          <w:lang w:val="en-GB"/>
        </w:rPr>
        <w:t xml:space="preserve">) in </w:t>
      </w:r>
      <w:r w:rsidRPr="004F12C5">
        <w:rPr>
          <w:rFonts w:ascii="Avenir Next" w:hAnsi="Avenir Next" w:cs="Arial"/>
          <w:i/>
          <w:iCs/>
          <w:color w:val="808080" w:themeColor="background1" w:themeShade="80"/>
          <w:sz w:val="22"/>
          <w:szCs w:val="22"/>
          <w:lang w:val="en-GB"/>
        </w:rPr>
        <w:t>re</w:t>
      </w:r>
      <w:r>
        <w:rPr>
          <w:rFonts w:ascii="Avenir Next" w:hAnsi="Avenir Next" w:cs="Arial"/>
          <w:i/>
          <w:iCs/>
          <w:color w:val="808080" w:themeColor="background1" w:themeShade="80"/>
          <w:sz w:val="22"/>
          <w:szCs w:val="22"/>
          <w:lang w:val="en-GB"/>
        </w:rPr>
        <w:t xml:space="preserve"> </w:t>
      </w:r>
      <w:proofErr w:type="spellStart"/>
      <w:r w:rsidRPr="004F12C5">
        <w:rPr>
          <w:rFonts w:ascii="Avenir Next" w:hAnsi="Avenir Next" w:cs="Arial"/>
          <w:i/>
          <w:iCs/>
          <w:color w:val="808080" w:themeColor="background1" w:themeShade="80"/>
          <w:sz w:val="22"/>
          <w:szCs w:val="22"/>
          <w:lang w:val="en-GB"/>
        </w:rPr>
        <w:t>Weavering</w:t>
      </w:r>
      <w:proofErr w:type="spellEnd"/>
      <w:r w:rsidRPr="004F12C5">
        <w:rPr>
          <w:rFonts w:ascii="Avenir Next" w:hAnsi="Avenir Next" w:cs="Arial"/>
          <w:i/>
          <w:iCs/>
          <w:color w:val="808080" w:themeColor="background1" w:themeShade="80"/>
          <w:sz w:val="22"/>
          <w:szCs w:val="22"/>
          <w:lang w:val="en-GB"/>
        </w:rPr>
        <w:t xml:space="preserve"> Macro Fixed Income Fund Ltd (in Liquidation)</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4"/>
      </w:r>
      <w:r>
        <w:rPr>
          <w:rFonts w:ascii="Avenir Next" w:hAnsi="Avenir Next" w:cs="Arial"/>
          <w:color w:val="808080" w:themeColor="background1" w:themeShade="80"/>
          <w:sz w:val="22"/>
          <w:szCs w:val="22"/>
          <w:lang w:val="en-GB"/>
        </w:rPr>
        <w:t xml:space="preserve"> The PC held that </w:t>
      </w:r>
      <w:r w:rsidRPr="004F12C5">
        <w:rPr>
          <w:rFonts w:ascii="Avenir Next" w:hAnsi="Avenir Next" w:cs="Arial"/>
          <w:color w:val="808080" w:themeColor="background1" w:themeShade="80"/>
          <w:sz w:val="22"/>
          <w:szCs w:val="22"/>
          <w:lang w:val="en-GB"/>
        </w:rPr>
        <w:t>giving a preference over other creditors means putting that creditor in a better position than it</w:t>
      </w:r>
      <w:r w:rsidR="00D14548">
        <w:rPr>
          <w:rFonts w:ascii="Avenir Next" w:hAnsi="Avenir Next" w:cs="Arial"/>
          <w:color w:val="808080" w:themeColor="background1" w:themeShade="80"/>
          <w:sz w:val="22"/>
          <w:szCs w:val="22"/>
          <w:lang w:val="en-GB"/>
        </w:rPr>
        <w:t xml:space="preserve"> </w:t>
      </w:r>
      <w:r w:rsidRPr="004F12C5">
        <w:rPr>
          <w:rFonts w:ascii="Avenir Next" w:hAnsi="Avenir Next" w:cs="Arial"/>
          <w:color w:val="808080" w:themeColor="background1" w:themeShade="80"/>
          <w:sz w:val="22"/>
          <w:szCs w:val="22"/>
          <w:lang w:val="en-GB"/>
        </w:rPr>
        <w:t>otherwise would have been.</w:t>
      </w:r>
      <w:r w:rsidR="00D14548">
        <w:rPr>
          <w:rFonts w:ascii="Avenir Next" w:hAnsi="Avenir Next" w:cs="Arial"/>
          <w:color w:val="808080" w:themeColor="background1" w:themeShade="80"/>
          <w:sz w:val="22"/>
          <w:szCs w:val="22"/>
          <w:lang w:val="en-GB"/>
        </w:rPr>
        <w:t xml:space="preserve"> It is important that </w:t>
      </w:r>
      <w:proofErr w:type="gramStart"/>
      <w:r w:rsidR="00D14548">
        <w:rPr>
          <w:rFonts w:ascii="Avenir Next" w:hAnsi="Avenir Next" w:cs="Arial"/>
          <w:color w:val="808080" w:themeColor="background1" w:themeShade="80"/>
          <w:sz w:val="22"/>
          <w:szCs w:val="22"/>
          <w:lang w:val="en-GB"/>
        </w:rPr>
        <w:t>in order for</w:t>
      </w:r>
      <w:proofErr w:type="gramEnd"/>
      <w:r w:rsidR="00D14548">
        <w:rPr>
          <w:rFonts w:ascii="Avenir Next" w:hAnsi="Avenir Next" w:cs="Arial"/>
          <w:color w:val="808080" w:themeColor="background1" w:themeShade="80"/>
          <w:sz w:val="22"/>
          <w:szCs w:val="22"/>
          <w:lang w:val="en-GB"/>
        </w:rPr>
        <w:t xml:space="preserve"> the payment to be a voidable preference, the </w:t>
      </w:r>
      <w:r w:rsidR="00D14548" w:rsidRPr="00D14548">
        <w:rPr>
          <w:rFonts w:ascii="Avenir Next" w:hAnsi="Avenir Next" w:cs="Arial"/>
          <w:color w:val="808080" w:themeColor="background1" w:themeShade="80"/>
          <w:sz w:val="22"/>
          <w:szCs w:val="22"/>
          <w:lang w:val="en-GB"/>
        </w:rPr>
        <w:t>company’s dominant intention in making the payment or</w:t>
      </w:r>
      <w:r w:rsidR="00D14548">
        <w:rPr>
          <w:rFonts w:ascii="Avenir Next" w:hAnsi="Avenir Next" w:cs="Arial"/>
          <w:color w:val="808080" w:themeColor="background1" w:themeShade="80"/>
          <w:sz w:val="22"/>
          <w:szCs w:val="22"/>
          <w:lang w:val="en-GB"/>
        </w:rPr>
        <w:t xml:space="preserve"> </w:t>
      </w:r>
      <w:r w:rsidR="00D14548" w:rsidRPr="00D14548">
        <w:rPr>
          <w:rFonts w:ascii="Avenir Next" w:hAnsi="Avenir Next" w:cs="Arial"/>
          <w:color w:val="808080" w:themeColor="background1" w:themeShade="80"/>
          <w:sz w:val="22"/>
          <w:szCs w:val="22"/>
          <w:lang w:val="en-GB"/>
        </w:rPr>
        <w:t xml:space="preserve">granting the security was to achieve a different purpose (for example, </w:t>
      </w:r>
      <w:r w:rsidR="00D14548">
        <w:rPr>
          <w:rFonts w:ascii="Avenir Next" w:hAnsi="Avenir Next" w:cs="Arial"/>
          <w:color w:val="808080" w:themeColor="background1" w:themeShade="80"/>
          <w:sz w:val="22"/>
          <w:szCs w:val="22"/>
          <w:lang w:val="en-GB"/>
        </w:rPr>
        <w:t>a</w:t>
      </w:r>
      <w:r w:rsidR="00D14548" w:rsidRPr="00D14548">
        <w:rPr>
          <w:rFonts w:ascii="Avenir Next" w:hAnsi="Avenir Next" w:cs="Arial"/>
          <w:color w:val="808080" w:themeColor="background1" w:themeShade="80"/>
          <w:sz w:val="22"/>
          <w:szCs w:val="22"/>
          <w:lang w:val="en-GB"/>
        </w:rPr>
        <w:t xml:space="preserve"> good faith </w:t>
      </w:r>
      <w:r w:rsidR="00D14548">
        <w:rPr>
          <w:rFonts w:ascii="Avenir Next" w:hAnsi="Avenir Next" w:cs="Arial"/>
          <w:color w:val="808080" w:themeColor="background1" w:themeShade="80"/>
          <w:sz w:val="22"/>
          <w:szCs w:val="22"/>
          <w:lang w:val="en-GB"/>
        </w:rPr>
        <w:t xml:space="preserve">payment to an </w:t>
      </w:r>
      <w:r w:rsidR="00D14548" w:rsidRPr="00D14548">
        <w:rPr>
          <w:rFonts w:ascii="Avenir Next" w:hAnsi="Avenir Next" w:cs="Arial"/>
          <w:color w:val="808080" w:themeColor="background1" w:themeShade="80"/>
          <w:sz w:val="22"/>
          <w:szCs w:val="22"/>
          <w:lang w:val="en-GB"/>
        </w:rPr>
        <w:t>essential service provider)</w:t>
      </w:r>
      <w:r w:rsidR="00D14548">
        <w:rPr>
          <w:rFonts w:ascii="Avenir Next" w:hAnsi="Avenir Next" w:cs="Arial"/>
          <w:color w:val="808080" w:themeColor="background1" w:themeShade="80"/>
          <w:sz w:val="22"/>
          <w:szCs w:val="22"/>
          <w:lang w:val="en-GB"/>
        </w:rPr>
        <w:t xml:space="preserve"> then it</w:t>
      </w:r>
      <w:r w:rsidR="00D14548" w:rsidRPr="00D14548">
        <w:rPr>
          <w:rFonts w:ascii="Avenir Next" w:hAnsi="Avenir Next" w:cs="Arial"/>
          <w:color w:val="808080" w:themeColor="background1" w:themeShade="80"/>
          <w:sz w:val="22"/>
          <w:szCs w:val="22"/>
          <w:lang w:val="en-GB"/>
        </w:rPr>
        <w:t xml:space="preserve"> might not be classed as a voidable transaction</w:t>
      </w:r>
      <w:r w:rsidR="00D14548">
        <w:rPr>
          <w:rFonts w:ascii="Avenir Next" w:hAnsi="Avenir Next" w:cs="Arial"/>
          <w:color w:val="808080" w:themeColor="background1" w:themeShade="80"/>
          <w:sz w:val="22"/>
          <w:szCs w:val="22"/>
          <w:lang w:val="en-GB"/>
        </w:rPr>
        <w:t xml:space="preserve">. </w:t>
      </w:r>
      <w:r w:rsidR="00D14016">
        <w:rPr>
          <w:rFonts w:ascii="Avenir Next" w:hAnsi="Avenir Next" w:cs="Arial"/>
          <w:color w:val="808080" w:themeColor="background1" w:themeShade="80"/>
          <w:sz w:val="22"/>
          <w:szCs w:val="22"/>
          <w:lang w:val="en-GB"/>
        </w:rPr>
        <w:t xml:space="preserve">It is also possible that a payment to a related party of the company will be deemed to have been made with a view to giving a preference. </w:t>
      </w:r>
      <w:r w:rsidR="00D14548">
        <w:rPr>
          <w:rFonts w:ascii="Avenir Next" w:hAnsi="Avenir Next" w:cs="Arial"/>
          <w:color w:val="808080" w:themeColor="background1" w:themeShade="80"/>
          <w:sz w:val="22"/>
          <w:szCs w:val="22"/>
          <w:lang w:val="en-GB"/>
        </w:rPr>
        <w:t xml:space="preserve">The Court will assess and infer the company's </w:t>
      </w:r>
      <w:r w:rsidR="00D14548" w:rsidRPr="00D14548">
        <w:rPr>
          <w:rFonts w:ascii="Avenir Next" w:hAnsi="Avenir Next" w:cs="Arial"/>
          <w:color w:val="808080" w:themeColor="background1" w:themeShade="80"/>
          <w:sz w:val="22"/>
          <w:szCs w:val="22"/>
          <w:lang w:val="en-GB"/>
        </w:rPr>
        <w:t>dominant intention</w:t>
      </w:r>
      <w:r w:rsidR="00D14548">
        <w:rPr>
          <w:rFonts w:ascii="Avenir Next" w:hAnsi="Avenir Next" w:cs="Arial"/>
          <w:color w:val="808080" w:themeColor="background1" w:themeShade="80"/>
          <w:sz w:val="22"/>
          <w:szCs w:val="22"/>
          <w:lang w:val="en-GB"/>
        </w:rPr>
        <w:t xml:space="preserve"> in payment the payment</w:t>
      </w:r>
      <w:r w:rsidR="00D14548" w:rsidRPr="00D14548">
        <w:rPr>
          <w:rFonts w:ascii="Avenir Next" w:hAnsi="Avenir Next" w:cs="Arial"/>
          <w:color w:val="808080" w:themeColor="background1" w:themeShade="80"/>
          <w:sz w:val="22"/>
          <w:szCs w:val="22"/>
          <w:lang w:val="en-GB"/>
        </w:rPr>
        <w:t xml:space="preserve"> from the available evidence</w:t>
      </w:r>
      <w:r w:rsidR="00D14548">
        <w:rPr>
          <w:rFonts w:ascii="Avenir Next" w:hAnsi="Avenir Next" w:cs="Arial"/>
          <w:color w:val="808080" w:themeColor="background1" w:themeShade="80"/>
          <w:sz w:val="22"/>
          <w:szCs w:val="22"/>
          <w:lang w:val="en-GB"/>
        </w:rPr>
        <w:t>.</w:t>
      </w:r>
      <w:r w:rsidR="00D14016">
        <w:rPr>
          <w:rStyle w:val="FootnoteReference"/>
          <w:rFonts w:ascii="Avenir Next" w:hAnsi="Avenir Next" w:cs="Arial"/>
          <w:color w:val="808080" w:themeColor="background1" w:themeShade="80"/>
          <w:sz w:val="22"/>
          <w:szCs w:val="22"/>
          <w:lang w:val="en-GB"/>
        </w:rPr>
        <w:footnoteReference w:id="25"/>
      </w:r>
      <w:r w:rsidR="00D14548">
        <w:rPr>
          <w:rFonts w:ascii="Avenir Next" w:hAnsi="Avenir Next" w:cs="Arial"/>
          <w:color w:val="808080" w:themeColor="background1" w:themeShade="80"/>
          <w:sz w:val="22"/>
          <w:szCs w:val="22"/>
          <w:lang w:val="en-GB"/>
        </w:rPr>
        <w:t xml:space="preserve"> </w:t>
      </w:r>
    </w:p>
    <w:p w14:paraId="469D0008" w14:textId="77777777" w:rsidR="004F12C5" w:rsidRPr="004F12C5" w:rsidRDefault="004F12C5" w:rsidP="002A37BB">
      <w:pPr>
        <w:jc w:val="both"/>
        <w:rPr>
          <w:rFonts w:ascii="Avenir Next" w:hAnsi="Avenir Next" w:cs="Arial"/>
          <w:i/>
          <w:iCs/>
          <w:color w:val="808080" w:themeColor="background1" w:themeShade="80"/>
          <w:sz w:val="22"/>
          <w:szCs w:val="22"/>
          <w:lang w:val="en-GB"/>
        </w:rPr>
      </w:pPr>
    </w:p>
    <w:p w14:paraId="3C4B71DF" w14:textId="1E4FA94C" w:rsidR="00F462DF" w:rsidRPr="00D14016" w:rsidRDefault="003D1E35" w:rsidP="002A37BB">
      <w:pPr>
        <w:jc w:val="both"/>
        <w:rPr>
          <w:rFonts w:ascii="Avenir Next" w:hAnsi="Avenir Next" w:cs="Arial"/>
          <w:i/>
          <w:iCs/>
          <w:color w:val="808080" w:themeColor="background1" w:themeShade="80"/>
          <w:sz w:val="22"/>
          <w:szCs w:val="22"/>
          <w:lang w:val="en-GB"/>
        </w:rPr>
      </w:pPr>
      <w:r w:rsidRPr="00D14016">
        <w:rPr>
          <w:rFonts w:ascii="Avenir Next" w:hAnsi="Avenir Next" w:cs="Arial"/>
          <w:i/>
          <w:iCs/>
          <w:color w:val="808080" w:themeColor="background1" w:themeShade="80"/>
          <w:sz w:val="22"/>
          <w:szCs w:val="22"/>
          <w:lang w:val="en-GB"/>
        </w:rPr>
        <w:t>A</w:t>
      </w:r>
      <w:r w:rsidR="00F462DF" w:rsidRPr="00D14016">
        <w:rPr>
          <w:rFonts w:ascii="Avenir Next" w:hAnsi="Avenir Next" w:cs="Arial"/>
          <w:i/>
          <w:iCs/>
          <w:color w:val="808080" w:themeColor="background1" w:themeShade="80"/>
          <w:sz w:val="22"/>
          <w:szCs w:val="22"/>
          <w:lang w:val="en-GB"/>
        </w:rPr>
        <w:t xml:space="preserve">voidance of dispositions made at an </w:t>
      </w:r>
      <w:proofErr w:type="gramStart"/>
      <w:r w:rsidR="00F462DF" w:rsidRPr="00D14016">
        <w:rPr>
          <w:rFonts w:ascii="Avenir Next" w:hAnsi="Avenir Next" w:cs="Arial"/>
          <w:i/>
          <w:iCs/>
          <w:color w:val="808080" w:themeColor="background1" w:themeShade="80"/>
          <w:sz w:val="22"/>
          <w:szCs w:val="22"/>
          <w:lang w:val="en-GB"/>
        </w:rPr>
        <w:t>undervalue</w:t>
      </w:r>
      <w:proofErr w:type="gramEnd"/>
    </w:p>
    <w:p w14:paraId="051F7370" w14:textId="77777777" w:rsidR="000226DB" w:rsidRDefault="000226DB" w:rsidP="002A37BB">
      <w:pPr>
        <w:jc w:val="both"/>
        <w:rPr>
          <w:rFonts w:ascii="Avenir Next" w:hAnsi="Avenir Next" w:cs="Arial"/>
          <w:color w:val="808080" w:themeColor="background1" w:themeShade="80"/>
          <w:sz w:val="22"/>
          <w:szCs w:val="22"/>
          <w:lang w:val="en-GB"/>
        </w:rPr>
      </w:pPr>
    </w:p>
    <w:p w14:paraId="231FA638" w14:textId="0F908F9E" w:rsidR="00D14016" w:rsidRDefault="00D14016" w:rsidP="00D14016">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section 145, section 146 of the CA provides that a transaction in which property </w:t>
      </w:r>
      <w:r w:rsidRPr="00D14016">
        <w:rPr>
          <w:rFonts w:ascii="Avenir Next" w:hAnsi="Avenir Next" w:cs="Arial"/>
          <w:color w:val="808080" w:themeColor="background1" w:themeShade="80"/>
          <w:sz w:val="22"/>
          <w:szCs w:val="22"/>
          <w:lang w:val="en-GB"/>
        </w:rPr>
        <w:t>is disposed of at an undervalue</w:t>
      </w:r>
      <w:r>
        <w:rPr>
          <w:rFonts w:ascii="Avenir Next" w:hAnsi="Avenir Next" w:cs="Arial"/>
          <w:color w:val="808080" w:themeColor="background1" w:themeShade="80"/>
          <w:sz w:val="22"/>
          <w:szCs w:val="22"/>
          <w:lang w:val="en-GB"/>
        </w:rPr>
        <w:t xml:space="preserve"> </w:t>
      </w:r>
      <w:r w:rsidRPr="00D14016">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w:t>
      </w:r>
      <w:r w:rsidRPr="00D14016">
        <w:rPr>
          <w:rFonts w:ascii="Avenir Next" w:hAnsi="Avenir Next" w:cs="Arial"/>
          <w:color w:val="808080" w:themeColor="background1" w:themeShade="80"/>
          <w:sz w:val="22"/>
          <w:szCs w:val="22"/>
          <w:lang w:val="en-GB"/>
        </w:rPr>
        <w:t>with the intention of wilfully defeating an obligation owed to a creditor (</w:t>
      </w:r>
      <w:r>
        <w:rPr>
          <w:rFonts w:ascii="Avenir Next" w:hAnsi="Avenir Next" w:cs="Arial"/>
          <w:color w:val="808080" w:themeColor="background1" w:themeShade="80"/>
          <w:sz w:val="22"/>
          <w:szCs w:val="22"/>
          <w:lang w:val="en-GB"/>
        </w:rPr>
        <w:t>i.e. an</w:t>
      </w:r>
      <w:r w:rsidRPr="00D14016">
        <w:rPr>
          <w:rFonts w:ascii="Avenir Next" w:hAnsi="Avenir Next" w:cs="Arial"/>
          <w:color w:val="808080" w:themeColor="background1" w:themeShade="80"/>
          <w:sz w:val="22"/>
          <w:szCs w:val="22"/>
          <w:lang w:val="en-GB"/>
        </w:rPr>
        <w:t xml:space="preserve"> intent to</w:t>
      </w:r>
      <w:r>
        <w:rPr>
          <w:rFonts w:ascii="Avenir Next" w:hAnsi="Avenir Next" w:cs="Arial"/>
          <w:color w:val="808080" w:themeColor="background1" w:themeShade="80"/>
          <w:sz w:val="22"/>
          <w:szCs w:val="22"/>
          <w:lang w:val="en-GB"/>
        </w:rPr>
        <w:t xml:space="preserve"> </w:t>
      </w:r>
      <w:r w:rsidRPr="00D14016">
        <w:rPr>
          <w:rFonts w:ascii="Avenir Next" w:hAnsi="Avenir Next" w:cs="Arial"/>
          <w:color w:val="808080" w:themeColor="background1" w:themeShade="80"/>
          <w:sz w:val="22"/>
          <w:szCs w:val="22"/>
          <w:lang w:val="en-GB"/>
        </w:rPr>
        <w:t>defraud)</w:t>
      </w:r>
      <w:r>
        <w:rPr>
          <w:rFonts w:ascii="Avenir Next" w:hAnsi="Avenir Next" w:cs="Arial"/>
          <w:color w:val="808080" w:themeColor="background1" w:themeShade="80"/>
          <w:sz w:val="22"/>
          <w:szCs w:val="22"/>
          <w:lang w:val="en-GB"/>
        </w:rPr>
        <w:t xml:space="preserve"> </w:t>
      </w:r>
      <w:r w:rsidRPr="00D14016">
        <w:rPr>
          <w:rFonts w:ascii="Avenir Next" w:hAnsi="Avenir Next" w:cs="Arial"/>
          <w:color w:val="808080" w:themeColor="background1" w:themeShade="80"/>
          <w:sz w:val="22"/>
          <w:szCs w:val="22"/>
          <w:lang w:val="en-GB"/>
        </w:rPr>
        <w:t>is voidable on application of the liquidator.</w:t>
      </w:r>
      <w:r w:rsidR="00A724BF">
        <w:rPr>
          <w:rFonts w:ascii="Avenir Next" w:hAnsi="Avenir Next" w:cs="Arial"/>
          <w:color w:val="808080" w:themeColor="background1" w:themeShade="80"/>
          <w:sz w:val="22"/>
          <w:szCs w:val="22"/>
          <w:lang w:val="en-GB"/>
        </w:rPr>
        <w:t xml:space="preserve"> As such, the official liquidators of an insolvent company will consider if there has been any property which have been disposed of for either no consideration or  consideration which is significantly less than the value of the property and if there is evidence that the relevant disposition has been made with an intent to defraud, then they will apply to the Court to have that disposition set aside. In this scenario it is up to the liquidator to prove that the debtor held the relevant intention to defraud. </w:t>
      </w:r>
    </w:p>
    <w:p w14:paraId="1894C6AE" w14:textId="77777777" w:rsidR="00D14016" w:rsidRDefault="00D14016" w:rsidP="00D14016">
      <w:pPr>
        <w:jc w:val="both"/>
        <w:rPr>
          <w:rFonts w:ascii="Avenir Next" w:hAnsi="Avenir Next" w:cs="Arial"/>
          <w:color w:val="808080" w:themeColor="background1" w:themeShade="80"/>
          <w:sz w:val="22"/>
          <w:szCs w:val="22"/>
          <w:lang w:val="en-GB"/>
        </w:rPr>
      </w:pPr>
    </w:p>
    <w:p w14:paraId="0D0CE76D" w14:textId="77777777" w:rsidR="00685EA7" w:rsidRDefault="00685EA7" w:rsidP="002A37BB">
      <w:pPr>
        <w:jc w:val="both"/>
        <w:rPr>
          <w:rFonts w:ascii="Avenir Next" w:hAnsi="Avenir Next" w:cs="Arial"/>
          <w:i/>
          <w:iCs/>
          <w:color w:val="808080" w:themeColor="background1" w:themeShade="80"/>
          <w:sz w:val="22"/>
          <w:szCs w:val="22"/>
          <w:lang w:val="en-GB"/>
        </w:rPr>
      </w:pPr>
    </w:p>
    <w:p w14:paraId="607BABE9" w14:textId="7C6A174D" w:rsidR="000226DB" w:rsidRPr="00A724BF" w:rsidRDefault="000226DB" w:rsidP="002A37BB">
      <w:pPr>
        <w:jc w:val="both"/>
        <w:rPr>
          <w:rFonts w:ascii="Avenir Next" w:hAnsi="Avenir Next" w:cs="Arial"/>
          <w:i/>
          <w:iCs/>
          <w:color w:val="808080" w:themeColor="background1" w:themeShade="80"/>
          <w:sz w:val="22"/>
          <w:szCs w:val="22"/>
          <w:lang w:val="en-GB"/>
        </w:rPr>
      </w:pPr>
      <w:r w:rsidRPr="00A724BF">
        <w:rPr>
          <w:rFonts w:ascii="Avenir Next" w:hAnsi="Avenir Next" w:cs="Arial"/>
          <w:i/>
          <w:iCs/>
          <w:color w:val="808080" w:themeColor="background1" w:themeShade="80"/>
          <w:sz w:val="22"/>
          <w:szCs w:val="22"/>
          <w:lang w:val="en-GB"/>
        </w:rPr>
        <w:lastRenderedPageBreak/>
        <w:t>Fraudulent trading</w:t>
      </w:r>
    </w:p>
    <w:p w14:paraId="488A98FE" w14:textId="77777777" w:rsidR="00F462DF" w:rsidRDefault="00F462DF" w:rsidP="002A37BB">
      <w:pPr>
        <w:jc w:val="both"/>
        <w:rPr>
          <w:rFonts w:ascii="Avenir Next" w:hAnsi="Avenir Next" w:cs="Arial"/>
          <w:color w:val="808080" w:themeColor="background1" w:themeShade="80"/>
          <w:sz w:val="22"/>
          <w:szCs w:val="22"/>
          <w:lang w:val="en-GB"/>
        </w:rPr>
      </w:pPr>
    </w:p>
    <w:p w14:paraId="45815CC0" w14:textId="639F191F" w:rsidR="00976212" w:rsidRDefault="00A724BF"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topic of fraudulent activities, section 147 of the CA provides another protection for creditors in that if any business of a company as carried on with an intent to defraud creditors or for any fraudulent purpose, then a liquidator has recourse and can apply to the </w:t>
      </w:r>
      <w:r w:rsidR="00685EA7">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for an order requiring any persons who were knowingly parties to that fraudulent activity to make contributions to the company's assets.</w:t>
      </w:r>
      <w:r>
        <w:rPr>
          <w:rStyle w:val="FootnoteReference"/>
          <w:rFonts w:ascii="Avenir Next" w:hAnsi="Avenir Next" w:cs="Arial"/>
          <w:color w:val="808080" w:themeColor="background1" w:themeShade="80"/>
          <w:sz w:val="22"/>
          <w:szCs w:val="22"/>
          <w:lang w:val="en-GB"/>
        </w:rPr>
        <w:footnoteReference w:id="26"/>
      </w:r>
      <w:r w:rsidR="00270DB6">
        <w:rPr>
          <w:rFonts w:ascii="Avenir Next" w:hAnsi="Avenir Next" w:cs="Arial"/>
          <w:color w:val="808080" w:themeColor="background1" w:themeShade="80"/>
          <w:sz w:val="22"/>
          <w:szCs w:val="22"/>
          <w:lang w:val="en-GB"/>
        </w:rPr>
        <w:t xml:space="preserve"> This is important because the greater the company's assets the greater the return to creditors will be when it finally comes time for distribution </w:t>
      </w:r>
      <w:r w:rsidR="00976212">
        <w:rPr>
          <w:rFonts w:ascii="Avenir Next" w:hAnsi="Avenir Next" w:cs="Arial"/>
          <w:color w:val="808080" w:themeColor="background1" w:themeShade="80"/>
          <w:sz w:val="22"/>
          <w:szCs w:val="22"/>
          <w:lang w:val="en-GB"/>
        </w:rPr>
        <w:t xml:space="preserve">in accordance with the order of priorities set by section 140 of the CA. </w:t>
      </w:r>
    </w:p>
    <w:p w14:paraId="200128C0" w14:textId="77777777" w:rsidR="00A02415" w:rsidRDefault="00A02415" w:rsidP="002A37BB">
      <w:pPr>
        <w:jc w:val="both"/>
        <w:rPr>
          <w:rFonts w:ascii="Avenir Next" w:hAnsi="Avenir Next" w:cs="Arial"/>
          <w:color w:val="808080" w:themeColor="background1" w:themeShade="80"/>
          <w:sz w:val="22"/>
          <w:szCs w:val="22"/>
          <w:lang w:val="en-GB"/>
        </w:rPr>
      </w:pPr>
    </w:p>
    <w:p w14:paraId="755616B0" w14:textId="66678000" w:rsidR="00A02415" w:rsidRPr="00A02415" w:rsidRDefault="00A02415" w:rsidP="002A37BB">
      <w:pPr>
        <w:jc w:val="both"/>
        <w:rPr>
          <w:rFonts w:ascii="Avenir Next" w:hAnsi="Avenir Next" w:cs="Arial"/>
          <w:i/>
          <w:iCs/>
          <w:color w:val="808080" w:themeColor="background1" w:themeShade="80"/>
          <w:sz w:val="22"/>
          <w:szCs w:val="22"/>
          <w:lang w:val="en-GB"/>
        </w:rPr>
      </w:pPr>
      <w:r w:rsidRPr="00A02415">
        <w:rPr>
          <w:rFonts w:ascii="Avenir Next" w:hAnsi="Avenir Next" w:cs="Arial"/>
          <w:i/>
          <w:iCs/>
          <w:color w:val="808080" w:themeColor="background1" w:themeShade="80"/>
          <w:sz w:val="22"/>
          <w:szCs w:val="22"/>
          <w:lang w:val="en-GB"/>
        </w:rPr>
        <w:t xml:space="preserve">Restructure </w:t>
      </w:r>
    </w:p>
    <w:p w14:paraId="6005BE42" w14:textId="77777777" w:rsidR="00976212" w:rsidRDefault="00976212" w:rsidP="002A37BB">
      <w:pPr>
        <w:jc w:val="both"/>
        <w:rPr>
          <w:rFonts w:ascii="Avenir Next" w:hAnsi="Avenir Next" w:cs="Arial"/>
          <w:color w:val="808080" w:themeColor="background1" w:themeShade="80"/>
          <w:sz w:val="22"/>
          <w:szCs w:val="22"/>
          <w:lang w:val="en-GB"/>
        </w:rPr>
      </w:pPr>
    </w:p>
    <w:p w14:paraId="1442047F" w14:textId="743C075E" w:rsidR="00A02415" w:rsidRDefault="00A02415" w:rsidP="00A024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one further scenario that is worth mentioning where an official liquidator may be </w:t>
      </w:r>
      <w:proofErr w:type="gramStart"/>
      <w:r>
        <w:rPr>
          <w:rFonts w:ascii="Avenir Next" w:hAnsi="Avenir Next" w:cs="Arial"/>
          <w:color w:val="808080" w:themeColor="background1" w:themeShade="80"/>
          <w:sz w:val="22"/>
          <w:szCs w:val="22"/>
          <w:lang w:val="en-GB"/>
        </w:rPr>
        <w:t>in a position</w:t>
      </w:r>
      <w:proofErr w:type="gramEnd"/>
      <w:r>
        <w:rPr>
          <w:rFonts w:ascii="Avenir Next" w:hAnsi="Avenir Next" w:cs="Arial"/>
          <w:color w:val="808080" w:themeColor="background1" w:themeShade="80"/>
          <w:sz w:val="22"/>
          <w:szCs w:val="22"/>
          <w:lang w:val="en-GB"/>
        </w:rPr>
        <w:t xml:space="preserve"> to </w:t>
      </w:r>
      <w:r w:rsidRPr="000226DB">
        <w:rPr>
          <w:rFonts w:ascii="Avenir Next" w:hAnsi="Avenir Next" w:cs="Arial"/>
          <w:color w:val="808080" w:themeColor="background1" w:themeShade="80"/>
          <w:sz w:val="22"/>
          <w:szCs w:val="22"/>
          <w:lang w:val="en-GB"/>
        </w:rPr>
        <w:t xml:space="preserve">claw-back any preference payments made to creditors </w:t>
      </w:r>
      <w:r>
        <w:rPr>
          <w:rFonts w:ascii="Avenir Next" w:hAnsi="Avenir Next" w:cs="Arial"/>
          <w:color w:val="808080" w:themeColor="background1" w:themeShade="80"/>
          <w:sz w:val="22"/>
          <w:szCs w:val="22"/>
          <w:lang w:val="en-GB"/>
        </w:rPr>
        <w:t xml:space="preserve">and that is in the context of a restructure. Where a restructuring officer has been appointed, but the restructure is unsuccessful and the company is subsequently wound up, the official liquidator will be able to </w:t>
      </w:r>
      <w:r w:rsidR="00233AB4">
        <w:rPr>
          <w:rFonts w:ascii="Avenir Next" w:hAnsi="Avenir Next" w:cs="Arial"/>
          <w:color w:val="808080" w:themeColor="background1" w:themeShade="80"/>
          <w:sz w:val="22"/>
          <w:szCs w:val="22"/>
          <w:lang w:val="en-GB"/>
        </w:rPr>
        <w:t>claw back any preferences that are deemed to have been made</w:t>
      </w:r>
      <w:r>
        <w:rPr>
          <w:rFonts w:ascii="Avenir Next" w:hAnsi="Avenir Next" w:cs="Arial"/>
          <w:color w:val="808080" w:themeColor="background1" w:themeShade="80"/>
          <w:sz w:val="22"/>
          <w:szCs w:val="22"/>
          <w:lang w:val="en-GB"/>
        </w:rPr>
        <w:t xml:space="preserve"> </w:t>
      </w:r>
      <w:r w:rsidRPr="000226DB">
        <w:rPr>
          <w:rFonts w:ascii="Avenir Next" w:hAnsi="Avenir Next" w:cs="Arial"/>
          <w:color w:val="808080" w:themeColor="background1" w:themeShade="80"/>
          <w:sz w:val="22"/>
          <w:szCs w:val="22"/>
          <w:lang w:val="en-GB"/>
        </w:rPr>
        <w:t>within the six months</w:t>
      </w:r>
      <w:r w:rsidR="00233AB4">
        <w:rPr>
          <w:rFonts w:ascii="Avenir Next" w:hAnsi="Avenir Next" w:cs="Arial"/>
          <w:color w:val="808080" w:themeColor="background1" w:themeShade="80"/>
          <w:sz w:val="22"/>
          <w:szCs w:val="22"/>
          <w:lang w:val="en-GB"/>
        </w:rPr>
        <w:t xml:space="preserve"> </w:t>
      </w:r>
      <w:r w:rsidRPr="000226DB">
        <w:rPr>
          <w:rFonts w:ascii="Avenir Next" w:hAnsi="Avenir Next" w:cs="Arial"/>
          <w:color w:val="808080" w:themeColor="background1" w:themeShade="80"/>
          <w:sz w:val="22"/>
          <w:szCs w:val="22"/>
          <w:lang w:val="en-GB"/>
        </w:rPr>
        <w:t>immediately preceding the presentation of the Restructuring Petition.</w:t>
      </w:r>
      <w:r w:rsidR="00233AB4">
        <w:rPr>
          <w:rStyle w:val="FootnoteReference"/>
          <w:rFonts w:ascii="Avenir Next" w:hAnsi="Avenir Next" w:cs="Arial"/>
          <w:color w:val="808080" w:themeColor="background1" w:themeShade="80"/>
          <w:sz w:val="22"/>
          <w:szCs w:val="22"/>
          <w:lang w:val="en-GB"/>
        </w:rPr>
        <w:footnoteReference w:id="27"/>
      </w:r>
    </w:p>
    <w:p w14:paraId="07B3710D" w14:textId="1371C5CA" w:rsidR="00F462DF" w:rsidRDefault="00F462DF" w:rsidP="002A37BB">
      <w:pPr>
        <w:jc w:val="both"/>
        <w:rPr>
          <w:rFonts w:ascii="Avenir Next" w:hAnsi="Avenir Next" w:cs="Arial"/>
          <w:color w:val="808080" w:themeColor="background1" w:themeShade="80"/>
          <w:sz w:val="22"/>
          <w:szCs w:val="22"/>
          <w:lang w:val="en-GB"/>
        </w:rPr>
      </w:pPr>
    </w:p>
    <w:p w14:paraId="48596B9E" w14:textId="5AC3120C" w:rsidR="00233AB4" w:rsidRDefault="00233AB4"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it can be seen, although the Cayman Islands' CA does not in and of itself prohibit insolvent trading (a stark difference to other countries), the recourse that is available to creditors / liquidators in their efforts to realise assets for creditors are quite far reaching and the Court has a lot of flexibility to deal with differing scenarios. </w:t>
      </w:r>
    </w:p>
    <w:p w14:paraId="2B09E4EF" w14:textId="77777777" w:rsidR="00233AB4" w:rsidRPr="00F462DF" w:rsidRDefault="00233AB4" w:rsidP="002A37BB">
      <w:pPr>
        <w:jc w:val="both"/>
        <w:rPr>
          <w:rFonts w:ascii="Avenir Next" w:hAnsi="Avenir Next" w:cs="Arial"/>
          <w:color w:val="808080" w:themeColor="background1" w:themeShade="80"/>
          <w:sz w:val="22"/>
          <w:szCs w:val="22"/>
          <w:lang w:val="en-GB"/>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4C3A47C5" w14:textId="77777777" w:rsidR="00D32180" w:rsidRPr="004A3D56" w:rsidRDefault="00D32180" w:rsidP="00D32180">
      <w:pPr>
        <w:jc w:val="both"/>
        <w:rPr>
          <w:rFonts w:ascii="Avenir Next" w:hAnsi="Avenir Next"/>
          <w:sz w:val="22"/>
          <w:szCs w:val="22"/>
          <w:lang w:val="en-GB"/>
        </w:rPr>
      </w:pPr>
      <w:bookmarkStart w:id="0" w:name="_Hlk17745211"/>
      <w:r w:rsidRPr="004A3D56">
        <w:rPr>
          <w:rFonts w:ascii="Avenir Next" w:hAnsi="Avenir Next"/>
          <w:sz w:val="22"/>
          <w:szCs w:val="22"/>
          <w:lang w:val="en-GB"/>
        </w:rPr>
        <w:t>Punk Lizard is a company registered in the Cayman Islands. It operates liveaboard diving cruises across the Caribbean. Punk Lizard was founded by the Kraken family over 70 years ago. The family continues to own and manage the business.</w:t>
      </w:r>
    </w:p>
    <w:p w14:paraId="72E03531"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 </w:t>
      </w:r>
    </w:p>
    <w:p w14:paraId="1E6596D5" w14:textId="34C6C545"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Punk Lizard</w:t>
      </w:r>
      <w:r w:rsidR="004F56FE">
        <w:rPr>
          <w:rFonts w:ascii="Avenir Next" w:hAnsi="Avenir Next"/>
          <w:sz w:val="22"/>
          <w:szCs w:val="22"/>
          <w:lang w:val="en-GB"/>
        </w:rPr>
        <w:t>’</w:t>
      </w:r>
      <w:r w:rsidRPr="004A3D56">
        <w:rPr>
          <w:rFonts w:ascii="Avenir Next" w:hAnsi="Avenir Next"/>
          <w:sz w:val="22"/>
          <w:szCs w:val="22"/>
          <w:lang w:val="en-GB"/>
        </w:rPr>
        <w:t>s revenues are down in recent years, due to some well publicised safety issues. The business has only managed to stay afloat with the assistance of a very large loan from Turtle National Bank (TNB). TNB has lent Punk Lizard US</w:t>
      </w:r>
      <w:r w:rsidR="00DE68DE">
        <w:rPr>
          <w:rFonts w:ascii="Avenir Next" w:hAnsi="Avenir Next"/>
          <w:sz w:val="22"/>
          <w:szCs w:val="22"/>
          <w:lang w:val="en-GB"/>
        </w:rPr>
        <w:t xml:space="preserve">D </w:t>
      </w:r>
      <w:r w:rsidRPr="004A3D56">
        <w:rPr>
          <w:rFonts w:ascii="Avenir Next" w:hAnsi="Avenir Next"/>
          <w:sz w:val="22"/>
          <w:szCs w:val="22"/>
          <w:lang w:val="en-GB"/>
        </w:rPr>
        <w:t>900</w:t>
      </w:r>
      <w:r w:rsidR="00DE68DE">
        <w:rPr>
          <w:rFonts w:ascii="Avenir Next" w:hAnsi="Avenir Next"/>
          <w:sz w:val="22"/>
          <w:szCs w:val="22"/>
          <w:lang w:val="en-GB"/>
        </w:rPr>
        <w:t xml:space="preserve"> </w:t>
      </w:r>
      <w:r w:rsidRPr="004A3D56">
        <w:rPr>
          <w:rFonts w:ascii="Avenir Next" w:hAnsi="Avenir Next"/>
          <w:sz w:val="22"/>
          <w:szCs w:val="22"/>
          <w:lang w:val="en-GB"/>
        </w:rPr>
        <w:t>m</w:t>
      </w:r>
      <w:r w:rsidR="00DE68DE">
        <w:rPr>
          <w:rFonts w:ascii="Avenir Next" w:hAnsi="Avenir Next"/>
          <w:sz w:val="22"/>
          <w:szCs w:val="22"/>
          <w:lang w:val="en-GB"/>
        </w:rPr>
        <w:t>illion</w:t>
      </w:r>
      <w:r w:rsidRPr="004A3D56">
        <w:rPr>
          <w:rFonts w:ascii="Avenir Next" w:hAnsi="Avenir Next"/>
          <w:sz w:val="22"/>
          <w:szCs w:val="22"/>
          <w:lang w:val="en-GB"/>
        </w:rPr>
        <w:t xml:space="preserve"> (US</w:t>
      </w:r>
      <w:r w:rsidR="00DE68DE">
        <w:rPr>
          <w:rFonts w:ascii="Avenir Next" w:hAnsi="Avenir Next"/>
          <w:sz w:val="22"/>
          <w:szCs w:val="22"/>
          <w:lang w:val="en-GB"/>
        </w:rPr>
        <w:t xml:space="preserve">D </w:t>
      </w:r>
      <w:r w:rsidRPr="004A3D56">
        <w:rPr>
          <w:rFonts w:ascii="Avenir Next" w:hAnsi="Avenir Next"/>
          <w:sz w:val="22"/>
          <w:szCs w:val="22"/>
          <w:lang w:val="en-GB"/>
        </w:rPr>
        <w:t xml:space="preserve">450 million of which is secured by a mortgage over half of Punk Lizard’s fleet). </w:t>
      </w:r>
    </w:p>
    <w:p w14:paraId="3A5830F0" w14:textId="77777777" w:rsidR="00D32180" w:rsidRPr="004A3D56" w:rsidRDefault="00D32180" w:rsidP="00D32180">
      <w:pPr>
        <w:jc w:val="both"/>
        <w:rPr>
          <w:rFonts w:ascii="Avenir Next" w:hAnsi="Avenir Next"/>
          <w:sz w:val="22"/>
          <w:szCs w:val="22"/>
          <w:lang w:val="en-GB"/>
        </w:rPr>
      </w:pPr>
    </w:p>
    <w:p w14:paraId="645A2C92" w14:textId="5EB03E6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The market for liveaboard diving remains strong, and financial forecast for Punk Lizard is relatively bright, however Punk Lizard has immediate solvency issues. It cannot afford to pay the ongoing costs associated with maintaining its fleet (electricity, maintenance, insurance, staff costs, rum etc</w:t>
      </w:r>
      <w:r w:rsidR="00AA48CC">
        <w:rPr>
          <w:rFonts w:ascii="Avenir Next" w:hAnsi="Avenir Next"/>
          <w:sz w:val="22"/>
          <w:szCs w:val="22"/>
          <w:lang w:val="en-GB"/>
        </w:rPr>
        <w:t>etera</w:t>
      </w:r>
      <w:r w:rsidRPr="004A3D56">
        <w:rPr>
          <w:rFonts w:ascii="Avenir Next" w:hAnsi="Avenir Next"/>
          <w:sz w:val="22"/>
          <w:szCs w:val="22"/>
          <w:lang w:val="en-GB"/>
        </w:rPr>
        <w:t>) and it has fallen behind on the monthly repayments to TNB.</w:t>
      </w:r>
    </w:p>
    <w:p w14:paraId="726CBE85" w14:textId="77777777" w:rsidR="00D32180" w:rsidRPr="004A3D56" w:rsidRDefault="00D32180" w:rsidP="00D32180">
      <w:pPr>
        <w:jc w:val="both"/>
        <w:rPr>
          <w:rFonts w:ascii="Avenir Next" w:hAnsi="Avenir Next"/>
          <w:sz w:val="22"/>
          <w:szCs w:val="22"/>
          <w:lang w:val="en-GB"/>
        </w:rPr>
      </w:pPr>
    </w:p>
    <w:p w14:paraId="50D5DA38" w14:textId="66CC9BF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To make matters worse, Punk Lizard commissioned Harland &amp; Wolff (H&amp;W) to build </w:t>
      </w:r>
      <w:r w:rsidR="00AA48CC">
        <w:rPr>
          <w:rFonts w:ascii="Avenir Next" w:hAnsi="Avenir Next"/>
          <w:sz w:val="22"/>
          <w:szCs w:val="22"/>
          <w:lang w:val="en-GB"/>
        </w:rPr>
        <w:t>five</w:t>
      </w:r>
      <w:r w:rsidRPr="004A3D56">
        <w:rPr>
          <w:rFonts w:ascii="Avenir Next" w:hAnsi="Avenir Next"/>
          <w:sz w:val="22"/>
          <w:szCs w:val="22"/>
          <w:lang w:val="en-GB"/>
        </w:rPr>
        <w:t xml:space="preserve"> more dive boats shortly before the (lack of) safety issue hit the news. Punk Lizard has failed to pay for the H&amp;W </w:t>
      </w:r>
      <w:r w:rsidR="00AA48CC">
        <w:rPr>
          <w:rFonts w:ascii="Avenir Next" w:hAnsi="Avenir Next"/>
          <w:sz w:val="22"/>
          <w:szCs w:val="22"/>
          <w:lang w:val="en-GB"/>
        </w:rPr>
        <w:t>boats</w:t>
      </w:r>
      <w:r w:rsidRPr="004A3D56">
        <w:rPr>
          <w:rFonts w:ascii="Avenir Next" w:hAnsi="Avenir Next"/>
          <w:sz w:val="22"/>
          <w:szCs w:val="22"/>
          <w:lang w:val="en-GB"/>
        </w:rPr>
        <w:t>. H&amp;W has secured an arbitration judgment from the ICC in London for US</w:t>
      </w:r>
      <w:r w:rsidR="00AA48CC">
        <w:rPr>
          <w:rFonts w:ascii="Avenir Next" w:hAnsi="Avenir Next"/>
          <w:sz w:val="22"/>
          <w:szCs w:val="22"/>
          <w:lang w:val="en-GB"/>
        </w:rPr>
        <w:t xml:space="preserve">D </w:t>
      </w:r>
      <w:r w:rsidRPr="004A3D56">
        <w:rPr>
          <w:rFonts w:ascii="Avenir Next" w:hAnsi="Avenir Next"/>
          <w:sz w:val="22"/>
          <w:szCs w:val="22"/>
          <w:lang w:val="en-GB"/>
        </w:rPr>
        <w:t>150</w:t>
      </w:r>
      <w:r w:rsidR="00AA48CC">
        <w:rPr>
          <w:rFonts w:ascii="Avenir Next" w:hAnsi="Avenir Next"/>
          <w:sz w:val="22"/>
          <w:szCs w:val="22"/>
          <w:lang w:val="en-GB"/>
        </w:rPr>
        <w:t xml:space="preserve"> </w:t>
      </w:r>
      <w:r w:rsidRPr="004A3D56">
        <w:rPr>
          <w:rFonts w:ascii="Avenir Next" w:hAnsi="Avenir Next"/>
          <w:sz w:val="22"/>
          <w:szCs w:val="22"/>
          <w:lang w:val="en-GB"/>
        </w:rPr>
        <w:t>m</w:t>
      </w:r>
      <w:r w:rsidR="00AA48CC">
        <w:rPr>
          <w:rFonts w:ascii="Avenir Next" w:hAnsi="Avenir Next"/>
          <w:sz w:val="22"/>
          <w:szCs w:val="22"/>
          <w:lang w:val="en-GB"/>
        </w:rPr>
        <w:t>illion</w:t>
      </w:r>
      <w:r w:rsidRPr="004A3D56">
        <w:rPr>
          <w:rFonts w:ascii="Avenir Next" w:hAnsi="Avenir Next"/>
          <w:sz w:val="22"/>
          <w:szCs w:val="22"/>
          <w:lang w:val="en-GB"/>
        </w:rPr>
        <w:t xml:space="preserve">. The award is payable within 28 days.   </w:t>
      </w:r>
    </w:p>
    <w:p w14:paraId="37217162" w14:textId="77777777" w:rsidR="00D32180" w:rsidRPr="004A3D56" w:rsidRDefault="00D32180" w:rsidP="00D32180">
      <w:pPr>
        <w:jc w:val="both"/>
        <w:rPr>
          <w:rFonts w:ascii="Avenir Next" w:hAnsi="Avenir Next"/>
          <w:sz w:val="22"/>
          <w:szCs w:val="22"/>
          <w:lang w:val="en-GB"/>
        </w:rPr>
      </w:pPr>
    </w:p>
    <w:p w14:paraId="19078AAE"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You are a Cayman Islands-based insolvency professional and have been approached to provide advice on the following:</w:t>
      </w:r>
    </w:p>
    <w:p w14:paraId="515FF307" w14:textId="77777777" w:rsidR="00D32180" w:rsidRPr="00F239CA" w:rsidRDefault="00D32180" w:rsidP="00D32180">
      <w:pPr>
        <w:jc w:val="both"/>
        <w:rPr>
          <w:rFonts w:ascii="Avenir Next LT Pro" w:hAnsi="Avenir Next LT Pro"/>
          <w:sz w:val="22"/>
          <w:szCs w:val="22"/>
          <w:lang w:val="en-GB"/>
        </w:rPr>
      </w:pPr>
    </w:p>
    <w:p w14:paraId="68FB27C3" w14:textId="7843BAAE"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TNB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6D0B541D" w14:textId="77777777" w:rsidR="00784548" w:rsidRDefault="00784548" w:rsidP="00784548">
      <w:pPr>
        <w:jc w:val="both"/>
        <w:rPr>
          <w:rFonts w:ascii="Avenir Next" w:hAnsi="Avenir Next" w:cs="Arial"/>
          <w:sz w:val="22"/>
          <w:szCs w:val="22"/>
          <w:lang w:val="en-GB"/>
        </w:rPr>
      </w:pPr>
    </w:p>
    <w:p w14:paraId="412E9E86" w14:textId="4B8C43E2" w:rsidR="00784548" w:rsidRDefault="000F709F" w:rsidP="00784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TNB has lent </w:t>
      </w:r>
      <w:r w:rsidRPr="00784548">
        <w:rPr>
          <w:rFonts w:ascii="Avenir Next" w:hAnsi="Avenir Next" w:cs="Arial"/>
          <w:color w:val="808080" w:themeColor="background1" w:themeShade="80"/>
          <w:sz w:val="22"/>
          <w:szCs w:val="22"/>
          <w:lang w:val="en-GB"/>
        </w:rPr>
        <w:t>Punk Lizard</w:t>
      </w:r>
      <w:r>
        <w:rPr>
          <w:rFonts w:ascii="Avenir Next" w:hAnsi="Avenir Next" w:cs="Arial"/>
          <w:color w:val="808080" w:themeColor="background1" w:themeShade="80"/>
          <w:sz w:val="22"/>
          <w:szCs w:val="22"/>
          <w:lang w:val="en-GB"/>
        </w:rPr>
        <w:t xml:space="preserve"> (</w:t>
      </w:r>
      <w:r w:rsidRPr="00784548">
        <w:rPr>
          <w:rFonts w:ascii="Avenir Next" w:hAnsi="Avenir Next" w:cs="Arial"/>
          <w:b/>
          <w:bCs/>
          <w:color w:val="808080" w:themeColor="background1" w:themeShade="80"/>
          <w:sz w:val="22"/>
          <w:szCs w:val="22"/>
          <w:lang w:val="en-GB"/>
        </w:rPr>
        <w:t>PL</w:t>
      </w:r>
      <w:r>
        <w:rPr>
          <w:rFonts w:ascii="Avenir Next" w:hAnsi="Avenir Next" w:cs="Arial"/>
          <w:color w:val="808080" w:themeColor="background1" w:themeShade="80"/>
          <w:sz w:val="22"/>
          <w:szCs w:val="22"/>
          <w:lang w:val="en-GB"/>
        </w:rPr>
        <w:t>)</w:t>
      </w:r>
      <w:r w:rsidR="000433E4">
        <w:rPr>
          <w:rFonts w:ascii="Avenir Next" w:hAnsi="Avenir Next" w:cs="Arial"/>
          <w:color w:val="808080" w:themeColor="background1" w:themeShade="80"/>
          <w:sz w:val="22"/>
          <w:szCs w:val="22"/>
          <w:lang w:val="en-GB"/>
        </w:rPr>
        <w:t xml:space="preserve"> </w:t>
      </w:r>
      <w:r w:rsidR="000433E4" w:rsidRPr="000433E4">
        <w:rPr>
          <w:rFonts w:ascii="Avenir Next" w:hAnsi="Avenir Next" w:cs="Arial"/>
          <w:color w:val="808080" w:themeColor="background1" w:themeShade="80"/>
          <w:sz w:val="22"/>
          <w:szCs w:val="22"/>
          <w:lang w:val="en-GB"/>
        </w:rPr>
        <w:t>USD 900 million</w:t>
      </w:r>
      <w:r w:rsidR="000433E4">
        <w:rPr>
          <w:rFonts w:ascii="Avenir Next" w:hAnsi="Avenir Next" w:cs="Arial"/>
          <w:color w:val="808080" w:themeColor="background1" w:themeShade="80"/>
          <w:sz w:val="22"/>
          <w:szCs w:val="22"/>
          <w:lang w:val="en-GB"/>
        </w:rPr>
        <w:t xml:space="preserve">. Half of that amount, </w:t>
      </w:r>
      <w:r w:rsidR="000433E4" w:rsidRPr="000433E4">
        <w:rPr>
          <w:rFonts w:ascii="Avenir Next" w:hAnsi="Avenir Next" w:cs="Arial"/>
          <w:color w:val="808080" w:themeColor="background1" w:themeShade="80"/>
          <w:sz w:val="22"/>
          <w:szCs w:val="22"/>
          <w:lang w:val="en-GB"/>
        </w:rPr>
        <w:t>USD 450 million</w:t>
      </w:r>
      <w:r w:rsidR="000433E4">
        <w:rPr>
          <w:rFonts w:ascii="Avenir Next" w:hAnsi="Avenir Next" w:cs="Arial"/>
          <w:color w:val="808080" w:themeColor="background1" w:themeShade="80"/>
          <w:sz w:val="22"/>
          <w:szCs w:val="22"/>
          <w:lang w:val="en-GB"/>
        </w:rPr>
        <w:t xml:space="preserve">, </w:t>
      </w:r>
      <w:r w:rsidR="000433E4" w:rsidRPr="000433E4">
        <w:rPr>
          <w:rFonts w:ascii="Avenir Next" w:hAnsi="Avenir Next" w:cs="Arial"/>
          <w:color w:val="808080" w:themeColor="background1" w:themeShade="80"/>
          <w:sz w:val="22"/>
          <w:szCs w:val="22"/>
          <w:lang w:val="en-GB"/>
        </w:rPr>
        <w:t xml:space="preserve">is secured by a mortgage over </w:t>
      </w:r>
      <w:r w:rsidR="000433E4">
        <w:rPr>
          <w:rFonts w:ascii="Avenir Next" w:hAnsi="Avenir Next" w:cs="Arial"/>
          <w:color w:val="808080" w:themeColor="background1" w:themeShade="80"/>
          <w:sz w:val="22"/>
          <w:szCs w:val="22"/>
          <w:lang w:val="en-GB"/>
        </w:rPr>
        <w:t xml:space="preserve">half of PL's boats. We understand that the remaining $450 million is unsecured. </w:t>
      </w:r>
      <w:r w:rsidR="00F0524D">
        <w:rPr>
          <w:rFonts w:ascii="Avenir Next" w:hAnsi="Avenir Next" w:cs="Arial"/>
          <w:color w:val="808080" w:themeColor="background1" w:themeShade="80"/>
          <w:sz w:val="22"/>
          <w:szCs w:val="22"/>
          <w:lang w:val="en-GB"/>
        </w:rPr>
        <w:t>PL has fallen behind on its monthly repayments to TNB constituting a default. In the circumstances and as a secured creditor with a mortgage over half of PL's boats, TNB could take possession of those boats and exercise its power of sale with respect to the property to satisfy its debt, or alternatively appoint a receiver to realise the property.</w:t>
      </w:r>
    </w:p>
    <w:p w14:paraId="4480D585" w14:textId="77777777" w:rsidR="00F0524D" w:rsidRDefault="00F0524D" w:rsidP="00784548">
      <w:pPr>
        <w:jc w:val="both"/>
        <w:rPr>
          <w:rFonts w:ascii="Avenir Next" w:hAnsi="Avenir Next" w:cs="Arial"/>
          <w:color w:val="808080" w:themeColor="background1" w:themeShade="80"/>
          <w:sz w:val="22"/>
          <w:szCs w:val="22"/>
          <w:lang w:val="en-GB"/>
        </w:rPr>
      </w:pPr>
    </w:p>
    <w:p w14:paraId="5D63354B" w14:textId="6D0B4C1A" w:rsidR="00F0524D" w:rsidRDefault="00F0524D" w:rsidP="00784548">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PL continues to be unable to make the repayments on the loan, TNB's most powerful </w:t>
      </w:r>
      <w:r w:rsidR="00133FB6">
        <w:rPr>
          <w:rFonts w:ascii="Avenir Next" w:hAnsi="Avenir Next" w:cs="Arial"/>
          <w:color w:val="808080" w:themeColor="background1" w:themeShade="80"/>
          <w:sz w:val="22"/>
          <w:szCs w:val="22"/>
          <w:lang w:val="en-GB"/>
        </w:rPr>
        <w:t xml:space="preserve">tool </w:t>
      </w:r>
      <w:r>
        <w:rPr>
          <w:rFonts w:ascii="Avenir Next" w:hAnsi="Avenir Next" w:cs="Arial"/>
          <w:color w:val="808080" w:themeColor="background1" w:themeShade="80"/>
          <w:sz w:val="22"/>
          <w:szCs w:val="22"/>
          <w:lang w:val="en-GB"/>
        </w:rPr>
        <w:t xml:space="preserve">with respect to the unsecured amount would be to apply to wind up PL on the basis that it is unable to pay its debts. The first step for TNB would be to issue a statutory demand for the outstanding amounts and if PL does not pay for 21 days, that is grounds to issue a creditor's winding up petition seeking a winding up order on the basis that PL is unable to pay its debts. </w:t>
      </w:r>
    </w:p>
    <w:p w14:paraId="0D5CF687" w14:textId="77777777" w:rsidR="00E56D8F" w:rsidRDefault="00E56D8F" w:rsidP="00784548">
      <w:pPr>
        <w:jc w:val="both"/>
        <w:rPr>
          <w:rFonts w:ascii="Avenir Next" w:hAnsi="Avenir Next" w:cs="Arial"/>
          <w:color w:val="808080" w:themeColor="background1" w:themeShade="80"/>
          <w:sz w:val="22"/>
          <w:szCs w:val="22"/>
          <w:lang w:val="en-GB"/>
        </w:rPr>
      </w:pPr>
    </w:p>
    <w:p w14:paraId="03E971C7" w14:textId="5793B6D5" w:rsidR="00E56D8F" w:rsidRDefault="00E56D8F" w:rsidP="00784548">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succeed on the petition, TNB would need to prove that PL is insolvent. The normal test is whether PL can pay its debts and the fact of the unsatisfied statutory demand would indicate that it cannot. The outstanding ICC award would also be evidence that PL cannot pay its debts, particularly if that award has been recognised in the Cayman Islands (see below). However, it is noteworthy that the market for PL's activities remains strong and it has a reasonably positive financial future. The common law in the Cayman Islands suggests that future cash flow can be considered when determining whether a company can pay its debts. As such, if PL can demonstrate that it will be able to satisfy the outstanding amounts based on future expected cash flows, then the Cayman Court may not be satisfied that it is insolvent. Other major factors that would support TNB's case would be the fact that its fleet is reduced following the sale of any boa</w:t>
      </w:r>
      <w:r w:rsidR="00BE270A">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s to satisfy the secured portion of the debt, the bad media and the safety concerns which exist. We are also told that PL cannot currently</w:t>
      </w:r>
      <w:r w:rsidRPr="00E56D8F">
        <w:rPr>
          <w:rFonts w:ascii="Avenir Next" w:hAnsi="Avenir Next" w:cs="Arial"/>
          <w:color w:val="808080" w:themeColor="background1" w:themeShade="80"/>
          <w:sz w:val="22"/>
          <w:szCs w:val="22"/>
          <w:lang w:val="en-GB"/>
        </w:rPr>
        <w:t xml:space="preserve"> afford to pay the ongoing costs associated with maintaining its fleet (electricity, maintenance, insurance, staff costs, rum etcetera)</w:t>
      </w:r>
      <w:r>
        <w:rPr>
          <w:rFonts w:ascii="Avenir Next" w:hAnsi="Avenir Next" w:cs="Arial"/>
          <w:color w:val="808080" w:themeColor="background1" w:themeShade="80"/>
          <w:sz w:val="22"/>
          <w:szCs w:val="22"/>
          <w:lang w:val="en-GB"/>
        </w:rPr>
        <w:t xml:space="preserve">. </w:t>
      </w:r>
    </w:p>
    <w:p w14:paraId="0DBE26A4" w14:textId="77777777" w:rsidR="00E56D8F" w:rsidRDefault="00E56D8F" w:rsidP="00784548">
      <w:pPr>
        <w:jc w:val="both"/>
        <w:rPr>
          <w:rFonts w:ascii="Avenir Next" w:hAnsi="Avenir Next" w:cs="Arial"/>
          <w:color w:val="808080" w:themeColor="background1" w:themeShade="80"/>
          <w:sz w:val="22"/>
          <w:szCs w:val="22"/>
          <w:lang w:val="en-GB"/>
        </w:rPr>
      </w:pPr>
    </w:p>
    <w:p w14:paraId="61DE63E8" w14:textId="77777777" w:rsidR="00B14F07" w:rsidRDefault="00E56D8F" w:rsidP="00784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challenge for TNB in respect of the unsecured portion of its loan is that if there are any other creditors of PL, and we know that at least H&amp;W has an unsatisfied debt and there are likely others given that it hasn’t been paying </w:t>
      </w:r>
      <w:r w:rsidRPr="00E56D8F">
        <w:rPr>
          <w:rFonts w:ascii="Avenir Next" w:hAnsi="Avenir Next" w:cs="Arial"/>
          <w:color w:val="808080" w:themeColor="background1" w:themeShade="80"/>
          <w:sz w:val="22"/>
          <w:szCs w:val="22"/>
          <w:lang w:val="en-GB"/>
        </w:rPr>
        <w:t>electricity, maintenance, insurance, staff costs, rum etc</w:t>
      </w:r>
      <w:r>
        <w:rPr>
          <w:rFonts w:ascii="Avenir Next" w:hAnsi="Avenir Next" w:cs="Arial"/>
          <w:color w:val="808080" w:themeColor="background1" w:themeShade="80"/>
          <w:sz w:val="22"/>
          <w:szCs w:val="22"/>
          <w:lang w:val="en-GB"/>
        </w:rPr>
        <w:t>, then those creditors would also be entitled to share in any funds that are realised in the liquidation and TNB would be paid</w:t>
      </w:r>
      <w:r w:rsidR="00B14F07">
        <w:rPr>
          <w:rFonts w:ascii="Avenir Next" w:hAnsi="Avenir Next" w:cs="Arial"/>
          <w:color w:val="808080" w:themeColor="background1" w:themeShade="80"/>
          <w:sz w:val="22"/>
          <w:szCs w:val="22"/>
          <w:lang w:val="en-GB"/>
        </w:rPr>
        <w:t xml:space="preserve"> in accordance with the order of priorities and on a </w:t>
      </w:r>
      <w:proofErr w:type="spellStart"/>
      <w:r w:rsidR="00B14F07" w:rsidRPr="00B14F07">
        <w:rPr>
          <w:rFonts w:ascii="Avenir Next" w:hAnsi="Avenir Next" w:cs="Arial"/>
          <w:i/>
          <w:iCs/>
          <w:color w:val="808080" w:themeColor="background1" w:themeShade="80"/>
          <w:sz w:val="22"/>
          <w:szCs w:val="22"/>
          <w:lang w:val="en-GB"/>
        </w:rPr>
        <w:t>parri</w:t>
      </w:r>
      <w:proofErr w:type="spellEnd"/>
      <w:r w:rsidR="00B14F07" w:rsidRPr="00B14F07">
        <w:rPr>
          <w:rFonts w:ascii="Avenir Next" w:hAnsi="Avenir Next" w:cs="Arial"/>
          <w:i/>
          <w:iCs/>
          <w:color w:val="808080" w:themeColor="background1" w:themeShade="80"/>
          <w:sz w:val="22"/>
          <w:szCs w:val="22"/>
          <w:lang w:val="en-GB"/>
        </w:rPr>
        <w:t xml:space="preserve"> passu</w:t>
      </w:r>
      <w:r w:rsidR="00B14F07">
        <w:rPr>
          <w:rFonts w:ascii="Avenir Next" w:hAnsi="Avenir Next" w:cs="Arial"/>
          <w:color w:val="808080" w:themeColor="background1" w:themeShade="80"/>
          <w:sz w:val="22"/>
          <w:szCs w:val="22"/>
          <w:lang w:val="en-GB"/>
        </w:rPr>
        <w:t xml:space="preserve"> basis. Given that there are sums owed to employees, those sums would be considered preferential debts under s 141 of the CA and they would be paid out first before the remaining unsecured debts. </w:t>
      </w:r>
    </w:p>
    <w:p w14:paraId="708A57AC" w14:textId="77777777" w:rsidR="00B14F07" w:rsidRDefault="00B14F07" w:rsidP="00784548">
      <w:pPr>
        <w:jc w:val="both"/>
        <w:rPr>
          <w:rFonts w:ascii="Avenir Next" w:hAnsi="Avenir Next" w:cs="Arial"/>
          <w:color w:val="808080" w:themeColor="background1" w:themeShade="80"/>
          <w:sz w:val="22"/>
          <w:szCs w:val="22"/>
          <w:lang w:val="en-GB"/>
        </w:rPr>
      </w:pPr>
    </w:p>
    <w:p w14:paraId="09352C77" w14:textId="1A9855A6" w:rsidR="00E56D8F" w:rsidRPr="00784548" w:rsidRDefault="00B14F07" w:rsidP="00784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upshot of all of this is that TNB is unlikely to recover all of the $450 million that is unsecured, however, it </w:t>
      </w:r>
      <w:proofErr w:type="gramStart"/>
      <w:r>
        <w:rPr>
          <w:rFonts w:ascii="Avenir Next" w:hAnsi="Avenir Next" w:cs="Arial"/>
          <w:color w:val="808080" w:themeColor="background1" w:themeShade="80"/>
          <w:sz w:val="22"/>
          <w:szCs w:val="22"/>
          <w:lang w:val="en-GB"/>
        </w:rPr>
        <w:t>is will be</w:t>
      </w:r>
      <w:proofErr w:type="gramEnd"/>
      <w:r>
        <w:rPr>
          <w:rFonts w:ascii="Avenir Next" w:hAnsi="Avenir Next" w:cs="Arial"/>
          <w:color w:val="808080" w:themeColor="background1" w:themeShade="80"/>
          <w:sz w:val="22"/>
          <w:szCs w:val="22"/>
          <w:lang w:val="en-GB"/>
        </w:rPr>
        <w:t xml:space="preserve"> able to recover the secured $450 million and do so outside of any liquidation as long as the secured assets are sufficient to satisfy this amount (or the amount of the debt). </w:t>
      </w:r>
    </w:p>
    <w:p w14:paraId="2CE46DFC" w14:textId="77777777" w:rsidR="00EC39C2" w:rsidRPr="00D32180" w:rsidRDefault="00EC39C2" w:rsidP="00EC39C2">
      <w:pPr>
        <w:pStyle w:val="ListParagraph"/>
        <w:ind w:left="426"/>
        <w:jc w:val="both"/>
        <w:rPr>
          <w:rFonts w:ascii="Avenir Next" w:hAnsi="Avenir Next" w:cs="Arial"/>
          <w:sz w:val="22"/>
          <w:szCs w:val="22"/>
          <w:lang w:val="en-GB"/>
        </w:rPr>
      </w:pPr>
    </w:p>
    <w:p w14:paraId="063143FA" w14:textId="750AAE6F"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H&amp;W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48EB340A" w14:textId="77777777" w:rsidR="00784548" w:rsidRPr="00784548" w:rsidRDefault="00784548" w:rsidP="00784548">
      <w:pPr>
        <w:pStyle w:val="ListParagraph"/>
        <w:rPr>
          <w:rFonts w:ascii="Avenir Next" w:hAnsi="Avenir Next" w:cs="Arial"/>
          <w:sz w:val="22"/>
          <w:szCs w:val="22"/>
          <w:lang w:val="en-GB"/>
        </w:rPr>
      </w:pPr>
    </w:p>
    <w:p w14:paraId="756BF036" w14:textId="632EDB4C" w:rsidR="00784548" w:rsidRDefault="00784548" w:rsidP="00784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circumstances where H&amp;W has a foreign judgment from the ICC in London for </w:t>
      </w:r>
      <w:r w:rsidR="000F709F">
        <w:rPr>
          <w:rFonts w:ascii="Avenir Next" w:hAnsi="Avenir Next" w:cs="Arial"/>
          <w:color w:val="808080" w:themeColor="background1" w:themeShade="80"/>
          <w:sz w:val="22"/>
          <w:szCs w:val="22"/>
          <w:lang w:val="en-GB"/>
        </w:rPr>
        <w:t xml:space="preserve">PL </w:t>
      </w:r>
      <w:r>
        <w:rPr>
          <w:rFonts w:ascii="Avenir Next" w:hAnsi="Avenir Next" w:cs="Arial"/>
          <w:color w:val="808080" w:themeColor="background1" w:themeShade="80"/>
          <w:sz w:val="22"/>
          <w:szCs w:val="22"/>
          <w:lang w:val="en-GB"/>
        </w:rPr>
        <w:t xml:space="preserve">to pay it USD $150 million dollars, H&amp;W's priority will be to enforce that judgment against PL in the Cayman Islands where PL is registered. </w:t>
      </w:r>
    </w:p>
    <w:p w14:paraId="30E678FD" w14:textId="77777777" w:rsidR="00555B31" w:rsidRDefault="00555B31" w:rsidP="00784548">
      <w:pPr>
        <w:jc w:val="both"/>
        <w:rPr>
          <w:rFonts w:ascii="Avenir Next" w:hAnsi="Avenir Next" w:cs="Arial"/>
          <w:color w:val="808080" w:themeColor="background1" w:themeShade="80"/>
          <w:sz w:val="22"/>
          <w:szCs w:val="22"/>
          <w:lang w:val="en-GB"/>
        </w:rPr>
      </w:pPr>
    </w:p>
    <w:p w14:paraId="160229FD" w14:textId="5CBA82C7" w:rsidR="00555B31" w:rsidRDefault="00555B31" w:rsidP="00784548">
      <w:pPr>
        <w:jc w:val="both"/>
        <w:rPr>
          <w:rFonts w:ascii="Avenir Next" w:hAnsi="Avenir Next" w:cs="Arial"/>
          <w:color w:val="808080" w:themeColor="background1" w:themeShade="80"/>
          <w:sz w:val="22"/>
          <w:szCs w:val="22"/>
          <w:lang w:val="en-GB"/>
        </w:rPr>
      </w:pPr>
      <w:r w:rsidRPr="00256802">
        <w:rPr>
          <w:rFonts w:ascii="Avenir Next" w:hAnsi="Avenir Next" w:cs="Arial"/>
          <w:color w:val="808080" w:themeColor="background1" w:themeShade="80"/>
          <w:sz w:val="22"/>
          <w:szCs w:val="22"/>
          <w:lang w:val="en-GB"/>
        </w:rPr>
        <w:t>H&amp;W's first step would likely be to write to PL to seek payment of the ICC award, however, given PL's bad financial circumstances and the fact that it has fallen behind on its loan payments to TNB, this seems highly unlikely to eventuate.</w:t>
      </w:r>
      <w:r>
        <w:rPr>
          <w:rFonts w:ascii="Avenir Next" w:hAnsi="Avenir Next" w:cs="Arial"/>
          <w:color w:val="808080" w:themeColor="background1" w:themeShade="80"/>
          <w:sz w:val="22"/>
          <w:szCs w:val="22"/>
          <w:lang w:val="en-GB"/>
        </w:rPr>
        <w:t xml:space="preserve"> </w:t>
      </w:r>
    </w:p>
    <w:p w14:paraId="58633DA3" w14:textId="77777777" w:rsidR="00784548" w:rsidRDefault="00784548" w:rsidP="00784548">
      <w:pPr>
        <w:jc w:val="both"/>
        <w:rPr>
          <w:rFonts w:ascii="Avenir Next" w:hAnsi="Avenir Next" w:cs="Arial"/>
          <w:color w:val="808080" w:themeColor="background1" w:themeShade="80"/>
          <w:sz w:val="22"/>
          <w:szCs w:val="22"/>
          <w:lang w:val="en-GB"/>
        </w:rPr>
      </w:pPr>
    </w:p>
    <w:p w14:paraId="2F95BE0C" w14:textId="4E994F79" w:rsidR="00784548" w:rsidRDefault="00784548" w:rsidP="00784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circumstances where the judgment is made by the ICC in London, it will not be recognised under the </w:t>
      </w:r>
      <w:r w:rsidRPr="00784548">
        <w:rPr>
          <w:rFonts w:ascii="Avenir Next" w:hAnsi="Avenir Next" w:cs="Arial"/>
          <w:color w:val="808080" w:themeColor="background1" w:themeShade="80"/>
          <w:sz w:val="22"/>
          <w:szCs w:val="22"/>
          <w:lang w:val="en-GB"/>
        </w:rPr>
        <w:t>Foreign Judgments Reciprocal Enforcement Act (1996 Revision)</w:t>
      </w:r>
      <w:r>
        <w:rPr>
          <w:rFonts w:ascii="Avenir Next" w:hAnsi="Avenir Next" w:cs="Arial"/>
          <w:color w:val="808080" w:themeColor="background1" w:themeShade="80"/>
          <w:sz w:val="22"/>
          <w:szCs w:val="22"/>
          <w:lang w:val="en-GB"/>
        </w:rPr>
        <w:t xml:space="preserve"> which currently only applies to judgments from the superior Courts of Australia. </w:t>
      </w:r>
    </w:p>
    <w:p w14:paraId="684078AC" w14:textId="77777777" w:rsidR="00784548" w:rsidRDefault="00784548" w:rsidP="00784548">
      <w:pPr>
        <w:jc w:val="both"/>
        <w:rPr>
          <w:rFonts w:ascii="Avenir Next" w:hAnsi="Avenir Next" w:cs="Arial"/>
          <w:color w:val="808080" w:themeColor="background1" w:themeShade="80"/>
          <w:sz w:val="22"/>
          <w:szCs w:val="22"/>
          <w:lang w:val="en-GB"/>
        </w:rPr>
      </w:pPr>
    </w:p>
    <w:p w14:paraId="31E6397E" w14:textId="544F5697" w:rsidR="00784548" w:rsidRDefault="00784548" w:rsidP="007845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Cayman Islands has not </w:t>
      </w:r>
      <w:proofErr w:type="gramStart"/>
      <w:r w:rsidR="00555B31">
        <w:rPr>
          <w:rFonts w:ascii="Avenir Next" w:hAnsi="Avenir Next" w:cs="Arial"/>
          <w:color w:val="808080" w:themeColor="background1" w:themeShade="80"/>
          <w:sz w:val="22"/>
          <w:szCs w:val="22"/>
          <w:lang w:val="en-GB"/>
        </w:rPr>
        <w:t>e</w:t>
      </w:r>
      <w:r w:rsidR="00555B31" w:rsidRPr="00555B31">
        <w:rPr>
          <w:rFonts w:ascii="Avenir Next" w:hAnsi="Avenir Next" w:cs="Arial"/>
          <w:color w:val="808080" w:themeColor="background1" w:themeShade="80"/>
          <w:sz w:val="22"/>
          <w:szCs w:val="22"/>
          <w:lang w:val="en-GB"/>
        </w:rPr>
        <w:t>ntered into</w:t>
      </w:r>
      <w:proofErr w:type="gramEnd"/>
      <w:r w:rsidR="00555B31" w:rsidRPr="00555B31">
        <w:rPr>
          <w:rFonts w:ascii="Avenir Next" w:hAnsi="Avenir Next" w:cs="Arial"/>
          <w:color w:val="808080" w:themeColor="background1" w:themeShade="80"/>
          <w:sz w:val="22"/>
          <w:szCs w:val="22"/>
          <w:lang w:val="en-GB"/>
        </w:rPr>
        <w:t xml:space="preserve"> any international treaties for the reciprocal recognition</w:t>
      </w:r>
      <w:r w:rsidR="00555B31">
        <w:rPr>
          <w:rFonts w:ascii="Avenir Next" w:hAnsi="Avenir Next" w:cs="Arial"/>
          <w:color w:val="808080" w:themeColor="background1" w:themeShade="80"/>
          <w:sz w:val="22"/>
          <w:szCs w:val="22"/>
          <w:lang w:val="en-GB"/>
        </w:rPr>
        <w:t xml:space="preserve"> </w:t>
      </w:r>
      <w:r w:rsidR="00555B31" w:rsidRPr="00555B31">
        <w:rPr>
          <w:rFonts w:ascii="Avenir Next" w:hAnsi="Avenir Next" w:cs="Arial"/>
          <w:color w:val="808080" w:themeColor="background1" w:themeShade="80"/>
          <w:sz w:val="22"/>
          <w:szCs w:val="22"/>
          <w:lang w:val="en-GB"/>
        </w:rPr>
        <w:t>or enforcement of foreign judgments, neither has the UK extended its ratification of any such</w:t>
      </w:r>
      <w:r w:rsidR="00555B31">
        <w:rPr>
          <w:rFonts w:ascii="Avenir Next" w:hAnsi="Avenir Next" w:cs="Arial"/>
          <w:color w:val="808080" w:themeColor="background1" w:themeShade="80"/>
          <w:sz w:val="22"/>
          <w:szCs w:val="22"/>
          <w:lang w:val="en-GB"/>
        </w:rPr>
        <w:t xml:space="preserve"> </w:t>
      </w:r>
      <w:r w:rsidR="00555B31" w:rsidRPr="00555B31">
        <w:rPr>
          <w:rFonts w:ascii="Avenir Next" w:hAnsi="Avenir Next" w:cs="Arial"/>
          <w:color w:val="808080" w:themeColor="background1" w:themeShade="80"/>
          <w:sz w:val="22"/>
          <w:szCs w:val="22"/>
          <w:lang w:val="en-GB"/>
        </w:rPr>
        <w:t xml:space="preserve">treaties to the Cayman Islands </w:t>
      </w:r>
      <w:r w:rsidR="00555B31">
        <w:rPr>
          <w:rFonts w:ascii="Avenir Next" w:hAnsi="Avenir Next" w:cs="Arial"/>
          <w:color w:val="808080" w:themeColor="background1" w:themeShade="80"/>
          <w:sz w:val="22"/>
          <w:szCs w:val="22"/>
          <w:lang w:val="en-GB"/>
        </w:rPr>
        <w:t xml:space="preserve">which it has the power to do in circumstances where the Cayman Islands is a British Overseas Territory. </w:t>
      </w:r>
    </w:p>
    <w:p w14:paraId="3D28D2A0" w14:textId="77777777" w:rsidR="00784548" w:rsidRDefault="00784548" w:rsidP="00784548">
      <w:pPr>
        <w:jc w:val="both"/>
        <w:rPr>
          <w:rFonts w:ascii="Avenir Next" w:hAnsi="Avenir Next" w:cs="Arial"/>
          <w:color w:val="808080" w:themeColor="background1" w:themeShade="80"/>
          <w:sz w:val="22"/>
          <w:szCs w:val="22"/>
          <w:lang w:val="en-GB"/>
        </w:rPr>
      </w:pPr>
    </w:p>
    <w:p w14:paraId="5D10F1D9" w14:textId="528C47F4" w:rsidR="009F615B" w:rsidRDefault="00555B31" w:rsidP="009F61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w:t>
      </w: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H&amp;W to enforce its judgment, its best option is to commence a new action in the Cayman Islands based on the ICC's judgment</w:t>
      </w:r>
      <w:r w:rsidRPr="00555B31">
        <w:rPr>
          <w:rFonts w:ascii="Avenir Next" w:hAnsi="Avenir Next" w:cs="Arial"/>
          <w:color w:val="808080" w:themeColor="background1" w:themeShade="80"/>
          <w:sz w:val="22"/>
          <w:szCs w:val="22"/>
          <w:lang w:val="en-GB"/>
        </w:rPr>
        <w:t xml:space="preserve"> as an unsatisfied debt</w:t>
      </w:r>
      <w:r>
        <w:rPr>
          <w:rFonts w:ascii="Avenir Next" w:hAnsi="Avenir Next" w:cs="Arial"/>
          <w:color w:val="808080" w:themeColor="background1" w:themeShade="80"/>
          <w:sz w:val="22"/>
          <w:szCs w:val="22"/>
          <w:lang w:val="en-GB"/>
        </w:rPr>
        <w:t xml:space="preserve"> </w:t>
      </w:r>
      <w:r w:rsidR="009F615B">
        <w:rPr>
          <w:rFonts w:ascii="Avenir Next" w:hAnsi="Avenir Next" w:cs="Arial"/>
          <w:color w:val="808080" w:themeColor="background1" w:themeShade="80"/>
          <w:sz w:val="22"/>
          <w:szCs w:val="22"/>
          <w:lang w:val="en-GB"/>
        </w:rPr>
        <w:t>in accordance with the common law</w:t>
      </w:r>
      <w:r>
        <w:rPr>
          <w:rFonts w:ascii="Avenir Next" w:hAnsi="Avenir Next" w:cs="Arial"/>
          <w:color w:val="808080" w:themeColor="background1" w:themeShade="80"/>
          <w:sz w:val="22"/>
          <w:szCs w:val="22"/>
          <w:lang w:val="en-GB"/>
        </w:rPr>
        <w:t xml:space="preserve">. </w:t>
      </w:r>
      <w:r w:rsidR="009F615B">
        <w:rPr>
          <w:rFonts w:ascii="Avenir Next" w:hAnsi="Avenir Next" w:cs="Arial"/>
          <w:color w:val="808080" w:themeColor="background1" w:themeShade="80"/>
          <w:sz w:val="22"/>
          <w:szCs w:val="22"/>
          <w:lang w:val="en-GB"/>
        </w:rPr>
        <w:t>In order to satisfy the Cayman Islands Court that the ICC's award can be enforced in Cayman at common law, H&amp;W will need to prove that (</w:t>
      </w:r>
      <w:proofErr w:type="spellStart"/>
      <w:r w:rsidR="009F615B">
        <w:rPr>
          <w:rFonts w:ascii="Avenir Next" w:hAnsi="Avenir Next" w:cs="Arial"/>
          <w:color w:val="808080" w:themeColor="background1" w:themeShade="80"/>
          <w:sz w:val="22"/>
          <w:szCs w:val="22"/>
          <w:lang w:val="en-GB"/>
        </w:rPr>
        <w:t>i</w:t>
      </w:r>
      <w:proofErr w:type="spellEnd"/>
      <w:r w:rsidR="009F615B">
        <w:rPr>
          <w:rFonts w:ascii="Avenir Next" w:hAnsi="Avenir Next" w:cs="Arial"/>
          <w:color w:val="808080" w:themeColor="background1" w:themeShade="80"/>
          <w:sz w:val="22"/>
          <w:szCs w:val="22"/>
          <w:lang w:val="en-GB"/>
        </w:rPr>
        <w:t xml:space="preserve">) the ICC's award is final (i.e., it can't be appealed), </w:t>
      </w:r>
      <w:r w:rsidR="009F615B" w:rsidRPr="009F615B">
        <w:rPr>
          <w:rFonts w:ascii="Avenir Next" w:hAnsi="Avenir Next" w:cs="Arial"/>
          <w:color w:val="808080" w:themeColor="background1" w:themeShade="80"/>
          <w:sz w:val="22"/>
          <w:szCs w:val="22"/>
          <w:lang w:val="en-GB"/>
        </w:rPr>
        <w:t>(ii) the ICC had jurisdiction over PL, (iii</w:t>
      </w:r>
      <w:r w:rsidR="009F615B">
        <w:rPr>
          <w:rFonts w:ascii="Avenir Next" w:hAnsi="Avenir Next" w:cs="Arial"/>
          <w:color w:val="808080" w:themeColor="background1" w:themeShade="80"/>
          <w:sz w:val="22"/>
          <w:szCs w:val="22"/>
          <w:lang w:val="en-GB"/>
        </w:rPr>
        <w:t xml:space="preserve">) </w:t>
      </w:r>
      <w:r w:rsidR="009F615B" w:rsidRPr="009F615B">
        <w:rPr>
          <w:rFonts w:ascii="Avenir Next" w:hAnsi="Avenir Next" w:cs="Arial"/>
          <w:color w:val="808080" w:themeColor="background1" w:themeShade="80"/>
          <w:sz w:val="22"/>
          <w:szCs w:val="22"/>
          <w:lang w:val="en-GB"/>
        </w:rPr>
        <w:t xml:space="preserve">the </w:t>
      </w:r>
      <w:r w:rsidR="009F615B">
        <w:rPr>
          <w:rFonts w:ascii="Avenir Next" w:hAnsi="Avenir Next" w:cs="Arial"/>
          <w:color w:val="808080" w:themeColor="background1" w:themeShade="80"/>
          <w:sz w:val="22"/>
          <w:szCs w:val="22"/>
          <w:lang w:val="en-GB"/>
        </w:rPr>
        <w:t xml:space="preserve">ICC award </w:t>
      </w:r>
      <w:r w:rsidR="009F615B" w:rsidRPr="009F615B">
        <w:rPr>
          <w:rFonts w:ascii="Avenir Next" w:hAnsi="Avenir Next" w:cs="Arial"/>
          <w:color w:val="808080" w:themeColor="background1" w:themeShade="80"/>
          <w:sz w:val="22"/>
          <w:szCs w:val="22"/>
          <w:lang w:val="en-GB"/>
        </w:rPr>
        <w:t>was not obtained by fraud;</w:t>
      </w:r>
      <w:r w:rsidR="009F615B">
        <w:rPr>
          <w:rFonts w:ascii="Avenir Next" w:hAnsi="Avenir Next" w:cs="Arial"/>
          <w:color w:val="808080" w:themeColor="background1" w:themeShade="80"/>
          <w:sz w:val="22"/>
          <w:szCs w:val="22"/>
          <w:lang w:val="en-GB"/>
        </w:rPr>
        <w:t xml:space="preserve"> (iv) </w:t>
      </w:r>
      <w:r w:rsidR="009F615B" w:rsidRPr="009F615B">
        <w:rPr>
          <w:rFonts w:ascii="Avenir Next" w:hAnsi="Avenir Next" w:cs="Arial"/>
          <w:color w:val="808080" w:themeColor="background1" w:themeShade="80"/>
          <w:sz w:val="22"/>
          <w:szCs w:val="22"/>
          <w:lang w:val="en-GB"/>
        </w:rPr>
        <w:t xml:space="preserve">the </w:t>
      </w:r>
      <w:r w:rsidR="009F615B">
        <w:rPr>
          <w:rFonts w:ascii="Avenir Next" w:hAnsi="Avenir Next" w:cs="Arial"/>
          <w:color w:val="808080" w:themeColor="background1" w:themeShade="80"/>
          <w:sz w:val="22"/>
          <w:szCs w:val="22"/>
          <w:lang w:val="en-GB"/>
        </w:rPr>
        <w:t xml:space="preserve">ICC award </w:t>
      </w:r>
      <w:r w:rsidR="009F615B" w:rsidRPr="009F615B">
        <w:rPr>
          <w:rFonts w:ascii="Avenir Next" w:hAnsi="Avenir Next" w:cs="Arial"/>
          <w:color w:val="808080" w:themeColor="background1" w:themeShade="80"/>
          <w:sz w:val="22"/>
          <w:szCs w:val="22"/>
          <w:lang w:val="en-GB"/>
        </w:rPr>
        <w:t>is not contrary to public policy of the Cayman Islands; and</w:t>
      </w:r>
      <w:r w:rsidR="009F615B">
        <w:rPr>
          <w:rFonts w:ascii="Avenir Next" w:hAnsi="Avenir Next" w:cs="Arial"/>
          <w:color w:val="808080" w:themeColor="background1" w:themeShade="80"/>
          <w:sz w:val="22"/>
          <w:szCs w:val="22"/>
          <w:lang w:val="en-GB"/>
        </w:rPr>
        <w:t xml:space="preserve"> (v) </w:t>
      </w:r>
      <w:r w:rsidR="009F615B" w:rsidRPr="009F615B">
        <w:rPr>
          <w:rFonts w:ascii="Avenir Next" w:hAnsi="Avenir Next" w:cs="Arial"/>
          <w:color w:val="808080" w:themeColor="background1" w:themeShade="80"/>
          <w:sz w:val="22"/>
          <w:szCs w:val="22"/>
          <w:lang w:val="en-GB"/>
        </w:rPr>
        <w:t xml:space="preserve">the </w:t>
      </w:r>
      <w:r w:rsidR="009F615B">
        <w:rPr>
          <w:rFonts w:ascii="Avenir Next" w:hAnsi="Avenir Next" w:cs="Arial"/>
          <w:color w:val="808080" w:themeColor="background1" w:themeShade="80"/>
          <w:sz w:val="22"/>
          <w:szCs w:val="22"/>
          <w:lang w:val="en-GB"/>
        </w:rPr>
        <w:t>ICC award</w:t>
      </w:r>
      <w:r w:rsidR="009F615B" w:rsidRPr="009F615B">
        <w:rPr>
          <w:rFonts w:ascii="Avenir Next" w:hAnsi="Avenir Next" w:cs="Arial"/>
          <w:color w:val="808080" w:themeColor="background1" w:themeShade="80"/>
          <w:sz w:val="22"/>
          <w:szCs w:val="22"/>
          <w:lang w:val="en-GB"/>
        </w:rPr>
        <w:t xml:space="preserve"> was not obtained contrary to the rules of natural justice.</w:t>
      </w:r>
    </w:p>
    <w:p w14:paraId="55FCAB95" w14:textId="77777777" w:rsidR="009F615B" w:rsidRDefault="009F615B" w:rsidP="009F615B">
      <w:pPr>
        <w:jc w:val="both"/>
        <w:rPr>
          <w:rFonts w:ascii="Avenir Next" w:hAnsi="Avenir Next" w:cs="Arial"/>
          <w:color w:val="808080" w:themeColor="background1" w:themeShade="80"/>
          <w:sz w:val="22"/>
          <w:szCs w:val="22"/>
          <w:lang w:val="en-GB"/>
        </w:rPr>
      </w:pPr>
    </w:p>
    <w:p w14:paraId="51E6DC29" w14:textId="2F4C8B78" w:rsidR="009F615B" w:rsidRDefault="009F615B" w:rsidP="009F615B">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properly advise on the above, the </w:t>
      </w:r>
      <w:r w:rsidRPr="009F615B">
        <w:rPr>
          <w:rFonts w:ascii="Avenir Next" w:hAnsi="Avenir Next" w:cs="Arial"/>
          <w:color w:val="808080" w:themeColor="background1" w:themeShade="80"/>
          <w:sz w:val="22"/>
          <w:szCs w:val="22"/>
          <w:lang w:val="en-GB"/>
        </w:rPr>
        <w:t>Cayman Islands-based insolvency professional</w:t>
      </w:r>
      <w:r>
        <w:rPr>
          <w:rFonts w:ascii="Avenir Next" w:hAnsi="Avenir Next" w:cs="Arial"/>
          <w:color w:val="808080" w:themeColor="background1" w:themeShade="80"/>
          <w:sz w:val="22"/>
          <w:szCs w:val="22"/>
          <w:lang w:val="en-GB"/>
        </w:rPr>
        <w:t xml:space="preserve"> would likely need legal advice. </w:t>
      </w:r>
      <w:proofErr w:type="gramStart"/>
      <w:r>
        <w:rPr>
          <w:rFonts w:ascii="Avenir Next" w:hAnsi="Avenir Next" w:cs="Arial"/>
          <w:color w:val="808080" w:themeColor="background1" w:themeShade="80"/>
          <w:sz w:val="22"/>
          <w:szCs w:val="22"/>
          <w:lang w:val="en-GB"/>
        </w:rPr>
        <w:t>In particular, there</w:t>
      </w:r>
      <w:proofErr w:type="gramEnd"/>
      <w:r>
        <w:rPr>
          <w:rFonts w:ascii="Avenir Next" w:hAnsi="Avenir Next" w:cs="Arial"/>
          <w:color w:val="808080" w:themeColor="background1" w:themeShade="80"/>
          <w:sz w:val="22"/>
          <w:szCs w:val="22"/>
          <w:lang w:val="en-GB"/>
        </w:rPr>
        <w:t xml:space="preserve"> is a question regarding whether the ICC had jurisdiction over PL considering that it is a Cayman registered company. It may be that H&amp;W is a UK company </w:t>
      </w:r>
      <w:r w:rsidR="0065284B">
        <w:rPr>
          <w:rFonts w:ascii="Avenir Next" w:hAnsi="Avenir Next" w:cs="Arial"/>
          <w:color w:val="808080" w:themeColor="background1" w:themeShade="80"/>
          <w:sz w:val="22"/>
          <w:szCs w:val="22"/>
          <w:lang w:val="en-GB"/>
        </w:rPr>
        <w:t>and this is the reason that the ICC felt it had jurisdiction to determine a dispute regarding PLs failure to pay for the new dive boats, however, mor</w:t>
      </w:r>
      <w:r w:rsidR="00BE270A">
        <w:rPr>
          <w:rFonts w:ascii="Avenir Next" w:hAnsi="Avenir Next" w:cs="Arial"/>
          <w:color w:val="808080" w:themeColor="background1" w:themeShade="80"/>
          <w:sz w:val="22"/>
          <w:szCs w:val="22"/>
          <w:lang w:val="en-GB"/>
        </w:rPr>
        <w:t xml:space="preserve">e </w:t>
      </w:r>
      <w:r w:rsidR="0065284B">
        <w:rPr>
          <w:rFonts w:ascii="Avenir Next" w:hAnsi="Avenir Next" w:cs="Arial"/>
          <w:color w:val="808080" w:themeColor="background1" w:themeShade="80"/>
          <w:sz w:val="22"/>
          <w:szCs w:val="22"/>
          <w:lang w:val="en-GB"/>
        </w:rPr>
        <w:t xml:space="preserve">information is required to make a proper assessment. There are no indications that the other mandatory criteria wouldn’t be met. </w:t>
      </w:r>
    </w:p>
    <w:p w14:paraId="6BCF849D" w14:textId="77777777" w:rsidR="0065284B" w:rsidRDefault="0065284B" w:rsidP="009F615B">
      <w:pPr>
        <w:jc w:val="both"/>
        <w:rPr>
          <w:rFonts w:ascii="Avenir Next" w:hAnsi="Avenir Next" w:cs="Arial"/>
          <w:color w:val="808080" w:themeColor="background1" w:themeShade="80"/>
          <w:sz w:val="22"/>
          <w:szCs w:val="22"/>
          <w:lang w:val="en-GB"/>
        </w:rPr>
      </w:pPr>
    </w:p>
    <w:p w14:paraId="587442FD" w14:textId="0999D168" w:rsidR="009F615B" w:rsidRDefault="0065284B" w:rsidP="009F61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H&amp;W </w:t>
      </w:r>
      <w:proofErr w:type="gramStart"/>
      <w:r>
        <w:rPr>
          <w:rFonts w:ascii="Avenir Next" w:hAnsi="Avenir Next" w:cs="Arial"/>
          <w:color w:val="808080" w:themeColor="background1" w:themeShade="80"/>
          <w:sz w:val="22"/>
          <w:szCs w:val="22"/>
          <w:lang w:val="en-GB"/>
        </w:rPr>
        <w:t>is able to</w:t>
      </w:r>
      <w:proofErr w:type="gramEnd"/>
      <w:r>
        <w:rPr>
          <w:rFonts w:ascii="Avenir Next" w:hAnsi="Avenir Next" w:cs="Arial"/>
          <w:color w:val="808080" w:themeColor="background1" w:themeShade="80"/>
          <w:sz w:val="22"/>
          <w:szCs w:val="22"/>
          <w:lang w:val="en-GB"/>
        </w:rPr>
        <w:t xml:space="preserve"> get the ICC's award recognised in the Cayman Islands under the common law and a local judgment is issued against PL, then H&amp;W may start taking advantage of the full range of domestic enforcement remedies</w:t>
      </w:r>
      <w:r w:rsidR="000F709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 example, H&amp;W may issue a statutory demand and upon non-payment commence winding up proceedings on the basis that PL is unable to pay its debts. Or it may seek to appoint receivers or provisional liquidators over PL to ensure that its assets are protected pending such a liquidation. It may also apply to appoint receivers in aid of the enforcement which would entail receivers taking possession of PL's property and selling it to satisfy the $150 million dollar judgment. </w:t>
      </w:r>
    </w:p>
    <w:p w14:paraId="34633F60" w14:textId="77777777" w:rsidR="00EC39C2" w:rsidRPr="00EC39C2" w:rsidRDefault="00EC39C2" w:rsidP="00EC39C2">
      <w:pPr>
        <w:jc w:val="both"/>
        <w:rPr>
          <w:rFonts w:ascii="Avenir Next" w:hAnsi="Avenir Next" w:cs="Arial"/>
          <w:sz w:val="22"/>
          <w:szCs w:val="22"/>
          <w:lang w:val="en-GB"/>
        </w:rPr>
      </w:pPr>
    </w:p>
    <w:p w14:paraId="2B098305"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the unpaid employees take against Punk Lizard? (3 marks)</w:t>
      </w:r>
    </w:p>
    <w:p w14:paraId="104CAEAA" w14:textId="77777777" w:rsidR="00C7069E" w:rsidRDefault="00C7069E" w:rsidP="00176FF0">
      <w:pPr>
        <w:jc w:val="both"/>
        <w:rPr>
          <w:rFonts w:ascii="Avenir Next" w:hAnsi="Avenir Next" w:cs="Arial"/>
          <w:color w:val="808080" w:themeColor="background1" w:themeShade="80"/>
          <w:sz w:val="22"/>
          <w:szCs w:val="22"/>
          <w:lang w:val="en-GB"/>
        </w:rPr>
      </w:pPr>
    </w:p>
    <w:p w14:paraId="43D068DE" w14:textId="08253D30" w:rsidR="00176FF0" w:rsidRDefault="00C7069E" w:rsidP="00176F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mentioned above, any amounts owed by PL to its employees would be treated as preferred debts in a liquidation context. This means that aside from any liquidation expenses which can include the petitioner's cost, the costs of any</w:t>
      </w:r>
      <w:r w:rsidR="00096420">
        <w:rPr>
          <w:rFonts w:ascii="Avenir Next" w:hAnsi="Avenir Next" w:cs="Arial"/>
          <w:color w:val="808080" w:themeColor="background1" w:themeShade="80"/>
          <w:sz w:val="22"/>
          <w:szCs w:val="22"/>
          <w:lang w:val="en-GB"/>
        </w:rPr>
        <w:t xml:space="preserve"> restructuring officer and the official liquidator's fees and expenses, any amounts owed to PL's employees would be paid out as preferential debts pursuant to section 141 of the Companies Act. The statute thereby provides additional protection to employees meaning that they would be paid out ahead of other unsecured creditors such as TNB (with respect to the $450 million) and H&amp;W. </w:t>
      </w:r>
    </w:p>
    <w:p w14:paraId="3552AE4C" w14:textId="77777777" w:rsidR="006A43B3" w:rsidRDefault="006A43B3" w:rsidP="00176FF0">
      <w:pPr>
        <w:jc w:val="both"/>
        <w:rPr>
          <w:rFonts w:ascii="Avenir Next" w:hAnsi="Avenir Next" w:cs="Arial"/>
          <w:color w:val="808080" w:themeColor="background1" w:themeShade="80"/>
          <w:sz w:val="22"/>
          <w:szCs w:val="22"/>
          <w:lang w:val="en-GB"/>
        </w:rPr>
      </w:pPr>
    </w:p>
    <w:p w14:paraId="50B770D1" w14:textId="6E23134D" w:rsidR="00256802" w:rsidRPr="00176FF0" w:rsidRDefault="006A43B3" w:rsidP="00176F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we know that PL is a family owned and operated business having been </w:t>
      </w:r>
      <w:r w:rsidRPr="006A43B3">
        <w:rPr>
          <w:rFonts w:ascii="Avenir Next" w:hAnsi="Avenir Next" w:cs="Arial"/>
          <w:color w:val="808080" w:themeColor="background1" w:themeShade="80"/>
          <w:sz w:val="22"/>
          <w:szCs w:val="22"/>
          <w:lang w:val="en-GB"/>
        </w:rPr>
        <w:t>founded by the Kraken family over 70 years ago</w:t>
      </w:r>
      <w:r>
        <w:rPr>
          <w:rFonts w:ascii="Avenir Next" w:hAnsi="Avenir Next" w:cs="Arial"/>
          <w:color w:val="808080" w:themeColor="background1" w:themeShade="80"/>
          <w:sz w:val="22"/>
          <w:szCs w:val="22"/>
          <w:lang w:val="en-GB"/>
        </w:rPr>
        <w:t xml:space="preserve"> and the family members continue</w:t>
      </w:r>
      <w:r w:rsidRPr="006A43B3">
        <w:rPr>
          <w:rFonts w:ascii="Avenir Next" w:hAnsi="Avenir Next" w:cs="Arial"/>
          <w:color w:val="808080" w:themeColor="background1" w:themeShade="80"/>
          <w:sz w:val="22"/>
          <w:szCs w:val="22"/>
          <w:lang w:val="en-GB"/>
        </w:rPr>
        <w:t xml:space="preserve"> to own and manage the business.</w:t>
      </w:r>
      <w:r>
        <w:rPr>
          <w:rFonts w:ascii="Avenir Next" w:hAnsi="Avenir Next" w:cs="Arial"/>
          <w:color w:val="808080" w:themeColor="background1" w:themeShade="80"/>
          <w:sz w:val="22"/>
          <w:szCs w:val="22"/>
          <w:lang w:val="en-GB"/>
        </w:rPr>
        <w:t xml:space="preserve"> If the unpaid employees as</w:t>
      </w:r>
      <w:r w:rsidR="00213441">
        <w:rPr>
          <w:rFonts w:ascii="Avenir Next" w:hAnsi="Avenir Next" w:cs="Arial"/>
          <w:color w:val="808080" w:themeColor="background1" w:themeShade="80"/>
          <w:sz w:val="22"/>
          <w:szCs w:val="22"/>
          <w:lang w:val="en-GB"/>
        </w:rPr>
        <w:t xml:space="preserve"> are</w:t>
      </w:r>
      <w:r>
        <w:rPr>
          <w:rFonts w:ascii="Avenir Next" w:hAnsi="Avenir Next" w:cs="Arial"/>
          <w:color w:val="808080" w:themeColor="background1" w:themeShade="80"/>
          <w:sz w:val="22"/>
          <w:szCs w:val="22"/>
          <w:lang w:val="en-GB"/>
        </w:rPr>
        <w:t xml:space="preserve"> family members, they will likely have an interest </w:t>
      </w:r>
      <w:r w:rsidR="00096420">
        <w:rPr>
          <w:rFonts w:ascii="Avenir Next" w:hAnsi="Avenir Next" w:cs="Arial"/>
          <w:color w:val="808080" w:themeColor="background1" w:themeShade="80"/>
          <w:sz w:val="22"/>
          <w:szCs w:val="22"/>
          <w:lang w:val="en-GB"/>
        </w:rPr>
        <w:t>in seeing PL continue to operate as opposed to being would up</w:t>
      </w:r>
      <w:r>
        <w:rPr>
          <w:rFonts w:ascii="Avenir Next" w:hAnsi="Avenir Next" w:cs="Arial"/>
          <w:color w:val="808080" w:themeColor="background1" w:themeShade="80"/>
          <w:sz w:val="22"/>
          <w:szCs w:val="22"/>
          <w:lang w:val="en-GB"/>
        </w:rPr>
        <w:t xml:space="preserve">. In those circumstances, in their position as PL's owners they may take steps to restructure PL's debts. </w:t>
      </w:r>
      <w:r w:rsidR="00256802">
        <w:rPr>
          <w:rFonts w:ascii="Avenir Next" w:hAnsi="Avenir Next" w:cs="Arial"/>
          <w:color w:val="808080" w:themeColor="background1" w:themeShade="80"/>
          <w:sz w:val="22"/>
          <w:szCs w:val="22"/>
          <w:lang w:val="en-GB"/>
        </w:rPr>
        <w:t xml:space="preserve">This could include taking steps informally out of </w:t>
      </w:r>
      <w:r w:rsidR="00213441">
        <w:rPr>
          <w:rFonts w:ascii="Avenir Next" w:hAnsi="Avenir Next" w:cs="Arial"/>
          <w:color w:val="808080" w:themeColor="background1" w:themeShade="80"/>
          <w:sz w:val="22"/>
          <w:szCs w:val="22"/>
          <w:lang w:val="en-GB"/>
        </w:rPr>
        <w:t>C</w:t>
      </w:r>
      <w:r w:rsidR="00256802">
        <w:rPr>
          <w:rFonts w:ascii="Avenir Next" w:hAnsi="Avenir Next" w:cs="Arial"/>
          <w:color w:val="808080" w:themeColor="background1" w:themeShade="80"/>
          <w:sz w:val="22"/>
          <w:szCs w:val="22"/>
          <w:lang w:val="en-GB"/>
        </w:rPr>
        <w:t xml:space="preserve">ourt through an informal creditor workout or potentially by way of a more formal process such as via the new restructuring officer regime and/or a scheme of arrangement. It's worth mentioning that provisional liquidation can also be used to achieve restricting goals depending on the circumstances.  </w:t>
      </w:r>
    </w:p>
    <w:p w14:paraId="20FF345F" w14:textId="77777777" w:rsidR="00EC39C2" w:rsidRPr="00EC39C2" w:rsidRDefault="00EC39C2" w:rsidP="00EC39C2">
      <w:pPr>
        <w:jc w:val="both"/>
        <w:rPr>
          <w:rFonts w:ascii="Avenir Next" w:hAnsi="Avenir Next" w:cs="Arial"/>
          <w:sz w:val="22"/>
          <w:szCs w:val="22"/>
          <w:lang w:val="en-GB"/>
        </w:rPr>
      </w:pPr>
    </w:p>
    <w:p w14:paraId="26F42F4F"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lastRenderedPageBreak/>
        <w:t>Does the Cayman Islands Court have jurisdiction over Punk Lizard? (1.5 marks)</w:t>
      </w:r>
    </w:p>
    <w:p w14:paraId="6324A682" w14:textId="77777777" w:rsidR="006A43B3" w:rsidRDefault="006A43B3" w:rsidP="006A43B3">
      <w:pPr>
        <w:jc w:val="both"/>
        <w:rPr>
          <w:rFonts w:ascii="Avenir Next" w:hAnsi="Avenir Next" w:cs="Arial"/>
          <w:sz w:val="22"/>
          <w:szCs w:val="22"/>
          <w:lang w:val="en-GB"/>
        </w:rPr>
      </w:pPr>
    </w:p>
    <w:p w14:paraId="499DD3A1" w14:textId="178EA507" w:rsidR="006A43B3" w:rsidRPr="007643D5" w:rsidRDefault="006A43B3" w:rsidP="006A43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Court does have jurisdiction over PL because it is registered in the Cayman Islands. We aren’t told where it is incorporated, but even if it is incorporated elsewhere, by the fact that it is registered in Cayman </w:t>
      </w:r>
      <w:r w:rsidR="007643D5">
        <w:rPr>
          <w:rFonts w:ascii="Avenir Next" w:hAnsi="Avenir Next" w:cs="Arial"/>
          <w:color w:val="808080" w:themeColor="background1" w:themeShade="80"/>
          <w:sz w:val="22"/>
          <w:szCs w:val="22"/>
          <w:lang w:val="en-GB"/>
        </w:rPr>
        <w:t>it falls within the Cayman Court's jurisdiction.</w:t>
      </w:r>
      <w:r w:rsidR="007643D5">
        <w:rPr>
          <w:rStyle w:val="FootnoteReference"/>
          <w:rFonts w:ascii="Avenir Next" w:hAnsi="Avenir Next" w:cs="Arial"/>
          <w:color w:val="808080" w:themeColor="background1" w:themeShade="80"/>
          <w:sz w:val="22"/>
          <w:szCs w:val="22"/>
          <w:lang w:val="en-GB"/>
        </w:rPr>
        <w:footnoteReference w:id="28"/>
      </w:r>
      <w:r w:rsidR="007643D5">
        <w:rPr>
          <w:rFonts w:ascii="Avenir Next" w:hAnsi="Avenir Next" w:cs="Arial"/>
          <w:color w:val="808080" w:themeColor="background1" w:themeShade="80"/>
          <w:sz w:val="22"/>
          <w:szCs w:val="22"/>
          <w:lang w:val="en-GB"/>
        </w:rPr>
        <w:t xml:space="preserve">  Even if it wasn’t registered in the Cayman Islands and is a foreign company, the fact that it has property on the Cayman Islands and is carrying on a business in the Cayman Islands means that it falls within the Cayman Islands' Court's jurisdiction.</w:t>
      </w:r>
      <w:r w:rsidR="007643D5">
        <w:rPr>
          <w:rStyle w:val="FootnoteReference"/>
          <w:rFonts w:ascii="Avenir Next" w:hAnsi="Avenir Next" w:cs="Arial"/>
          <w:color w:val="808080" w:themeColor="background1" w:themeShade="80"/>
          <w:sz w:val="22"/>
          <w:szCs w:val="22"/>
          <w:lang w:val="en-GB"/>
        </w:rPr>
        <w:footnoteReference w:id="29"/>
      </w:r>
      <w:r w:rsidR="007643D5">
        <w:rPr>
          <w:rFonts w:ascii="Avenir Next" w:hAnsi="Avenir Next" w:cs="Arial"/>
          <w:color w:val="808080" w:themeColor="background1" w:themeShade="80"/>
          <w:sz w:val="22"/>
          <w:szCs w:val="22"/>
          <w:lang w:val="en-GB"/>
        </w:rPr>
        <w:t xml:space="preserve"> </w:t>
      </w:r>
    </w:p>
    <w:p w14:paraId="09647426" w14:textId="77777777" w:rsidR="00EC39C2" w:rsidRPr="00EC39C2" w:rsidRDefault="00EC39C2" w:rsidP="00EC39C2">
      <w:pPr>
        <w:jc w:val="both"/>
        <w:rPr>
          <w:rFonts w:ascii="Avenir Next" w:hAnsi="Avenir Next" w:cs="Arial"/>
          <w:sz w:val="22"/>
          <w:szCs w:val="22"/>
          <w:lang w:val="en-GB"/>
        </w:rPr>
      </w:pPr>
    </w:p>
    <w:p w14:paraId="00C7B109"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Is there a legal route via which Punk Lizard can protect itself and seek to restructure?  (3 marks)</w:t>
      </w:r>
    </w:p>
    <w:p w14:paraId="63965BE6" w14:textId="77777777" w:rsidR="007643D5" w:rsidRDefault="007643D5" w:rsidP="007643D5">
      <w:pPr>
        <w:jc w:val="both"/>
        <w:rPr>
          <w:rFonts w:ascii="Avenir Next" w:hAnsi="Avenir Next" w:cs="Arial"/>
          <w:sz w:val="22"/>
          <w:szCs w:val="22"/>
          <w:lang w:val="en-GB"/>
        </w:rPr>
      </w:pPr>
    </w:p>
    <w:p w14:paraId="2CB52565" w14:textId="6E1DFCC1" w:rsidR="00AD300F" w:rsidRDefault="007E0E63" w:rsidP="007643D5">
      <w:pPr>
        <w:jc w:val="both"/>
        <w:rPr>
          <w:rFonts w:ascii="Avenir Next" w:hAnsi="Avenir Next" w:cs="Arial"/>
          <w:color w:val="808080" w:themeColor="background1" w:themeShade="80"/>
          <w:sz w:val="22"/>
          <w:szCs w:val="22"/>
          <w:lang w:val="en-GB"/>
        </w:rPr>
      </w:pPr>
      <w:r w:rsidRPr="007E0E63">
        <w:rPr>
          <w:rFonts w:ascii="Avenir Next" w:hAnsi="Avenir Next" w:cs="Arial"/>
          <w:color w:val="808080" w:themeColor="background1" w:themeShade="80"/>
          <w:sz w:val="22"/>
          <w:szCs w:val="22"/>
          <w:lang w:val="en-GB"/>
        </w:rPr>
        <w:t>PL may seek to protect itself by taking advantage of the legal route that is available under sections 91A to 91J of the CA and the Companies Winding Up Rules (as revised)</w:t>
      </w:r>
      <w:r>
        <w:rPr>
          <w:rFonts w:ascii="Avenir Next" w:hAnsi="Avenir Next" w:cs="Arial"/>
          <w:color w:val="808080" w:themeColor="background1" w:themeShade="80"/>
          <w:sz w:val="22"/>
          <w:szCs w:val="22"/>
          <w:lang w:val="en-GB"/>
        </w:rPr>
        <w:t xml:space="preserve"> </w:t>
      </w:r>
      <w:r w:rsidR="0097302C">
        <w:rPr>
          <w:rFonts w:ascii="Avenir Next" w:hAnsi="Avenir Next" w:cs="Arial"/>
          <w:color w:val="808080" w:themeColor="background1" w:themeShade="80"/>
          <w:sz w:val="22"/>
          <w:szCs w:val="22"/>
          <w:lang w:val="en-GB"/>
        </w:rPr>
        <w:t xml:space="preserve">(the </w:t>
      </w:r>
      <w:r w:rsidR="0097302C" w:rsidRPr="0097302C">
        <w:rPr>
          <w:rFonts w:ascii="Avenir Next" w:hAnsi="Avenir Next" w:cs="Arial"/>
          <w:b/>
          <w:bCs/>
          <w:color w:val="808080" w:themeColor="background1" w:themeShade="80"/>
          <w:sz w:val="22"/>
          <w:szCs w:val="22"/>
          <w:lang w:val="en-GB"/>
        </w:rPr>
        <w:t>CWR</w:t>
      </w:r>
      <w:r w:rsidR="0097302C">
        <w:rPr>
          <w:rFonts w:ascii="Avenir Next" w:hAnsi="Avenir Next" w:cs="Arial"/>
          <w:color w:val="808080" w:themeColor="background1" w:themeShade="80"/>
          <w:sz w:val="22"/>
          <w:szCs w:val="22"/>
          <w:lang w:val="en-GB"/>
        </w:rPr>
        <w:t xml:space="preserve">) </w:t>
      </w:r>
      <w:r w:rsidRPr="007E0E63">
        <w:rPr>
          <w:rFonts w:ascii="Avenir Next" w:hAnsi="Avenir Next" w:cs="Arial"/>
          <w:color w:val="808080" w:themeColor="background1" w:themeShade="80"/>
          <w:sz w:val="22"/>
          <w:szCs w:val="22"/>
          <w:lang w:val="en-GB"/>
        </w:rPr>
        <w:t>and petition the Court to appoint a restructuring officer</w:t>
      </w:r>
      <w:r w:rsidR="00AD300F">
        <w:rPr>
          <w:rFonts w:ascii="Avenir Next" w:hAnsi="Avenir Next" w:cs="Arial"/>
          <w:color w:val="808080" w:themeColor="background1" w:themeShade="80"/>
          <w:sz w:val="22"/>
          <w:szCs w:val="22"/>
          <w:lang w:val="en-GB"/>
        </w:rPr>
        <w:t xml:space="preserve"> (the </w:t>
      </w:r>
      <w:r w:rsidR="00AD300F" w:rsidRPr="00AD300F">
        <w:rPr>
          <w:rFonts w:ascii="Avenir Next" w:hAnsi="Avenir Next" w:cs="Arial"/>
          <w:b/>
          <w:bCs/>
          <w:color w:val="808080" w:themeColor="background1" w:themeShade="80"/>
          <w:sz w:val="22"/>
          <w:szCs w:val="22"/>
          <w:lang w:val="en-GB"/>
        </w:rPr>
        <w:t>RO Regime</w:t>
      </w:r>
      <w:r w:rsidR="00AD300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0A92AADC" w14:textId="77777777" w:rsidR="00AD300F" w:rsidRDefault="00AD300F" w:rsidP="007643D5">
      <w:pPr>
        <w:jc w:val="both"/>
        <w:rPr>
          <w:rFonts w:ascii="Avenir Next" w:hAnsi="Avenir Next" w:cs="Arial"/>
          <w:color w:val="808080" w:themeColor="background1" w:themeShade="80"/>
          <w:sz w:val="22"/>
          <w:szCs w:val="22"/>
          <w:lang w:val="en-GB"/>
        </w:rPr>
      </w:pPr>
    </w:p>
    <w:p w14:paraId="25D7082E" w14:textId="45FD1074" w:rsidR="00AD300F" w:rsidRDefault="00AD300F" w:rsidP="007643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a relatively new regime which was only introduced in </w:t>
      </w:r>
      <w:r w:rsidRPr="00AD300F">
        <w:rPr>
          <w:rFonts w:ascii="Avenir Next" w:hAnsi="Avenir Next" w:cs="Arial"/>
          <w:color w:val="808080" w:themeColor="background1" w:themeShade="80"/>
          <w:sz w:val="22"/>
          <w:szCs w:val="22"/>
          <w:lang w:val="en-GB"/>
        </w:rPr>
        <w:t>2022 and</w:t>
      </w:r>
      <w:r>
        <w:rPr>
          <w:rFonts w:ascii="Avenir Next" w:hAnsi="Avenir Next" w:cs="Arial"/>
          <w:color w:val="808080" w:themeColor="background1" w:themeShade="80"/>
          <w:sz w:val="22"/>
          <w:szCs w:val="22"/>
          <w:lang w:val="en-GB"/>
        </w:rPr>
        <w:t xml:space="preserve"> provides another option to a company who wishes to restructure instead of provisional liquidation. </w:t>
      </w:r>
    </w:p>
    <w:p w14:paraId="2FEF0F00" w14:textId="77777777" w:rsidR="00AD300F" w:rsidRDefault="00AD300F" w:rsidP="007643D5">
      <w:pPr>
        <w:jc w:val="both"/>
        <w:rPr>
          <w:rFonts w:ascii="Avenir Next" w:hAnsi="Avenir Next" w:cs="Arial"/>
          <w:color w:val="808080" w:themeColor="background1" w:themeShade="80"/>
          <w:sz w:val="22"/>
          <w:szCs w:val="22"/>
          <w:lang w:val="en-GB"/>
        </w:rPr>
      </w:pPr>
    </w:p>
    <w:p w14:paraId="3B62A70C" w14:textId="567D5DD5" w:rsidR="007E0E63" w:rsidRDefault="007E0E63" w:rsidP="007643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filing of the </w:t>
      </w:r>
      <w:r w:rsidR="00AD300F">
        <w:rPr>
          <w:rFonts w:ascii="Avenir Next" w:hAnsi="Avenir Next" w:cs="Arial"/>
          <w:color w:val="808080" w:themeColor="background1" w:themeShade="80"/>
          <w:sz w:val="22"/>
          <w:szCs w:val="22"/>
          <w:lang w:val="en-GB"/>
        </w:rPr>
        <w:t xml:space="preserve">restructuring </w:t>
      </w:r>
      <w:r>
        <w:rPr>
          <w:rFonts w:ascii="Avenir Next" w:hAnsi="Avenir Next" w:cs="Arial"/>
          <w:color w:val="808080" w:themeColor="background1" w:themeShade="80"/>
          <w:sz w:val="22"/>
          <w:szCs w:val="22"/>
          <w:lang w:val="en-GB"/>
        </w:rPr>
        <w:t>petition, an automatic stay preventing the commencement of any other proceedings against PL (without the leave of the Court) will come into effect. This is a powerful tool for PL because it could prevent the commencement of liquidation proceedings by any of the known creditors mentioned above unless the Court grants leave.</w:t>
      </w:r>
      <w:r w:rsidR="00F81918">
        <w:rPr>
          <w:rFonts w:ascii="Avenir Next" w:hAnsi="Avenir Next" w:cs="Arial"/>
          <w:color w:val="808080" w:themeColor="background1" w:themeShade="80"/>
          <w:sz w:val="22"/>
          <w:szCs w:val="22"/>
          <w:lang w:val="en-GB"/>
        </w:rPr>
        <w:t xml:space="preserve"> </w:t>
      </w:r>
    </w:p>
    <w:p w14:paraId="12385411" w14:textId="77777777" w:rsidR="007E0E63" w:rsidRDefault="007E0E63" w:rsidP="007643D5">
      <w:pPr>
        <w:jc w:val="both"/>
        <w:rPr>
          <w:rFonts w:ascii="Avenir Next" w:hAnsi="Avenir Next" w:cs="Arial"/>
          <w:color w:val="808080" w:themeColor="background1" w:themeShade="80"/>
          <w:sz w:val="22"/>
          <w:szCs w:val="22"/>
          <w:lang w:val="en-GB"/>
        </w:rPr>
      </w:pPr>
    </w:p>
    <w:p w14:paraId="41C680AB" w14:textId="5A6F3D8E" w:rsidR="007E0E63" w:rsidRDefault="007E0E63" w:rsidP="007643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w:t>
      </w:r>
      <w:r w:rsidRPr="007E0E63">
        <w:rPr>
          <w:rFonts w:ascii="Avenir Next" w:hAnsi="Avenir Next" w:cs="Arial"/>
          <w:color w:val="808080" w:themeColor="background1" w:themeShade="80"/>
          <w:sz w:val="22"/>
          <w:szCs w:val="22"/>
          <w:lang w:val="en-GB"/>
        </w:rPr>
        <w:t>section 91</w:t>
      </w:r>
      <w:proofErr w:type="gramStart"/>
      <w:r w:rsidRPr="007E0E63">
        <w:rPr>
          <w:rFonts w:ascii="Avenir Next" w:hAnsi="Avenir Next" w:cs="Arial"/>
          <w:color w:val="808080" w:themeColor="background1" w:themeShade="80"/>
          <w:sz w:val="22"/>
          <w:szCs w:val="22"/>
          <w:lang w:val="en-GB"/>
        </w:rPr>
        <w:t>B(</w:t>
      </w:r>
      <w:proofErr w:type="gramEnd"/>
      <w:r w:rsidRPr="007E0E63">
        <w:rPr>
          <w:rFonts w:ascii="Avenir Next" w:hAnsi="Avenir Next" w:cs="Arial"/>
          <w:color w:val="808080" w:themeColor="background1" w:themeShade="80"/>
          <w:sz w:val="22"/>
          <w:szCs w:val="22"/>
          <w:lang w:val="en-GB"/>
        </w:rPr>
        <w:t xml:space="preserve">1) of the Companies Act, </w:t>
      </w:r>
      <w:r>
        <w:rPr>
          <w:rFonts w:ascii="Avenir Next" w:hAnsi="Avenir Next" w:cs="Arial"/>
          <w:color w:val="808080" w:themeColor="background1" w:themeShade="80"/>
          <w:sz w:val="22"/>
          <w:szCs w:val="22"/>
          <w:lang w:val="en-GB"/>
        </w:rPr>
        <w:t xml:space="preserve">PL would be entitled to present a petition seeking the appointment of a restructuring officer on the grounds that it is (a) is or is likely to become unable to pay its debts, or (b) </w:t>
      </w:r>
      <w:r w:rsidRPr="007E0E63">
        <w:rPr>
          <w:rFonts w:ascii="Avenir Next" w:hAnsi="Avenir Next" w:cs="Arial"/>
          <w:color w:val="808080" w:themeColor="background1" w:themeShade="80"/>
          <w:sz w:val="22"/>
          <w:szCs w:val="22"/>
          <w:lang w:val="en-GB"/>
        </w:rPr>
        <w:t>intends to present a compromise or arrangement to its creditors (Restructuring Petition)</w:t>
      </w:r>
      <w:r>
        <w:rPr>
          <w:rFonts w:ascii="Avenir Next" w:hAnsi="Avenir Next" w:cs="Arial"/>
          <w:color w:val="808080" w:themeColor="background1" w:themeShade="80"/>
          <w:sz w:val="22"/>
          <w:szCs w:val="22"/>
          <w:lang w:val="en-GB"/>
        </w:rPr>
        <w:t>.</w:t>
      </w:r>
      <w:r w:rsidR="00AD300F">
        <w:rPr>
          <w:rFonts w:ascii="Avenir Next" w:hAnsi="Avenir Next" w:cs="Arial"/>
          <w:color w:val="808080" w:themeColor="background1" w:themeShade="80"/>
          <w:sz w:val="22"/>
          <w:szCs w:val="22"/>
          <w:lang w:val="en-GB"/>
        </w:rPr>
        <w:t xml:space="preserve"> </w:t>
      </w:r>
    </w:p>
    <w:p w14:paraId="74D9612C" w14:textId="77777777" w:rsidR="007E0E63" w:rsidRDefault="007E0E63" w:rsidP="007643D5">
      <w:pPr>
        <w:jc w:val="both"/>
        <w:rPr>
          <w:rFonts w:ascii="Avenir Next" w:hAnsi="Avenir Next" w:cs="Arial"/>
          <w:color w:val="808080" w:themeColor="background1" w:themeShade="80"/>
          <w:sz w:val="22"/>
          <w:szCs w:val="22"/>
          <w:lang w:val="en-GB"/>
        </w:rPr>
      </w:pPr>
    </w:p>
    <w:p w14:paraId="02E80D35" w14:textId="5265528D" w:rsidR="007E0E63" w:rsidRDefault="007E0E63" w:rsidP="007643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basis that PL has already fallen behind on its payments to TNB it seems that it would easily meet the requirements of (a). </w:t>
      </w:r>
      <w:r w:rsidR="00AD300F">
        <w:rPr>
          <w:rFonts w:ascii="Avenir Next" w:hAnsi="Avenir Next" w:cs="Arial"/>
          <w:color w:val="808080" w:themeColor="background1" w:themeShade="80"/>
          <w:sz w:val="22"/>
          <w:szCs w:val="22"/>
          <w:lang w:val="en-GB"/>
        </w:rPr>
        <w:t xml:space="preserve">In addition, if </w:t>
      </w:r>
      <w:r>
        <w:rPr>
          <w:rFonts w:ascii="Avenir Next" w:hAnsi="Avenir Next" w:cs="Arial"/>
          <w:color w:val="808080" w:themeColor="background1" w:themeShade="80"/>
          <w:sz w:val="22"/>
          <w:szCs w:val="22"/>
          <w:lang w:val="en-GB"/>
        </w:rPr>
        <w:t xml:space="preserve">it has formulated a new plan that it wishes to present to its creditors which provides a compromise or a new arrangement for its creditors then it may satisfy (b). </w:t>
      </w:r>
      <w:r w:rsidR="00AD300F">
        <w:rPr>
          <w:rFonts w:ascii="Avenir Next" w:hAnsi="Avenir Next" w:cs="Arial"/>
          <w:color w:val="808080" w:themeColor="background1" w:themeShade="80"/>
          <w:sz w:val="22"/>
          <w:szCs w:val="22"/>
          <w:lang w:val="en-GB"/>
        </w:rPr>
        <w:t xml:space="preserve">A benefit of the RO Regime is that PL can present a compromise or a scheme or arrangement to its creditors within the content of the Restructuring Petition.  In essence a scheme or arrangement is intended to revitalise and restructure a company at a time of financial distress. </w:t>
      </w:r>
    </w:p>
    <w:p w14:paraId="271DDB9B" w14:textId="77777777" w:rsidR="0097302C" w:rsidRDefault="0097302C" w:rsidP="007643D5">
      <w:pPr>
        <w:jc w:val="both"/>
        <w:rPr>
          <w:rFonts w:ascii="Avenir Next" w:hAnsi="Avenir Next" w:cs="Arial"/>
          <w:color w:val="808080" w:themeColor="background1" w:themeShade="80"/>
          <w:sz w:val="22"/>
          <w:szCs w:val="22"/>
          <w:lang w:val="en-GB"/>
        </w:rPr>
      </w:pPr>
    </w:p>
    <w:p w14:paraId="740FCAF9" w14:textId="554B5354" w:rsidR="0097302C" w:rsidRDefault="0097302C" w:rsidP="007643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PL inten</w:t>
      </w:r>
      <w:r w:rsidR="00213441">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s to present a compromise or arrangement to its creditors by way of a Restructuring Petition, then such an application must be supported by: </w:t>
      </w:r>
    </w:p>
    <w:p w14:paraId="3FC06B1E" w14:textId="77777777" w:rsidR="007E0E63" w:rsidRDefault="007E0E63" w:rsidP="007643D5">
      <w:pPr>
        <w:jc w:val="both"/>
        <w:rPr>
          <w:rFonts w:ascii="Avenir Next" w:hAnsi="Avenir Next" w:cs="Arial"/>
          <w:color w:val="808080" w:themeColor="background1" w:themeShade="80"/>
          <w:sz w:val="22"/>
          <w:szCs w:val="22"/>
          <w:lang w:val="en-GB"/>
        </w:rPr>
      </w:pPr>
    </w:p>
    <w:p w14:paraId="1EF42747" w14:textId="19A9B742" w:rsidR="0097302C" w:rsidRDefault="0097302C" w:rsidP="0097302C">
      <w:pPr>
        <w:jc w:val="both"/>
        <w:rPr>
          <w:rFonts w:ascii="Avenir Next" w:hAnsi="Avenir Next" w:cs="Arial"/>
          <w:color w:val="808080" w:themeColor="background1" w:themeShade="80"/>
          <w:sz w:val="22"/>
          <w:szCs w:val="22"/>
          <w:lang w:val="en-GB"/>
        </w:rPr>
      </w:pPr>
      <w:r w:rsidRPr="0097302C">
        <w:rPr>
          <w:rFonts w:ascii="Avenir Next" w:hAnsi="Avenir Next" w:cs="Arial"/>
          <w:color w:val="808080" w:themeColor="background1" w:themeShade="80"/>
          <w:sz w:val="22"/>
          <w:szCs w:val="22"/>
          <w:lang w:val="en-GB"/>
        </w:rPr>
        <w:t xml:space="preserve">(a) an affidavit sworn by or on the authority of </w:t>
      </w:r>
      <w:r>
        <w:rPr>
          <w:rFonts w:ascii="Avenir Next" w:hAnsi="Avenir Next" w:cs="Arial"/>
          <w:color w:val="808080" w:themeColor="background1" w:themeShade="80"/>
          <w:sz w:val="22"/>
          <w:szCs w:val="22"/>
          <w:lang w:val="en-GB"/>
        </w:rPr>
        <w:t xml:space="preserve">PL </w:t>
      </w:r>
      <w:r w:rsidRPr="0097302C">
        <w:rPr>
          <w:rFonts w:ascii="Avenir Next" w:hAnsi="Avenir Next" w:cs="Arial"/>
          <w:color w:val="808080" w:themeColor="background1" w:themeShade="80"/>
          <w:sz w:val="22"/>
          <w:szCs w:val="22"/>
          <w:lang w:val="en-GB"/>
        </w:rPr>
        <w:t>board of directors containing,</w:t>
      </w:r>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amongst other things:</w:t>
      </w:r>
    </w:p>
    <w:p w14:paraId="13AB43B4" w14:textId="77777777" w:rsidR="0097302C" w:rsidRDefault="0097302C" w:rsidP="0097302C">
      <w:pPr>
        <w:jc w:val="both"/>
        <w:rPr>
          <w:rFonts w:ascii="Avenir Next" w:hAnsi="Avenir Next" w:cs="Arial"/>
          <w:color w:val="808080" w:themeColor="background1" w:themeShade="80"/>
          <w:sz w:val="22"/>
          <w:szCs w:val="22"/>
          <w:lang w:val="en-GB"/>
        </w:rPr>
      </w:pPr>
    </w:p>
    <w:p w14:paraId="3EF5E926" w14:textId="2AA7E7ED" w:rsidR="0097302C" w:rsidRDefault="0097302C" w:rsidP="0097302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 xml:space="preserve">a statement that, having </w:t>
      </w:r>
      <w:proofErr w:type="gramStart"/>
      <w:r w:rsidRPr="0097302C">
        <w:rPr>
          <w:rFonts w:ascii="Avenir Next" w:hAnsi="Avenir Next" w:cs="Arial"/>
          <w:color w:val="808080" w:themeColor="background1" w:themeShade="80"/>
          <w:sz w:val="22"/>
          <w:szCs w:val="22"/>
          <w:lang w:val="en-GB"/>
        </w:rPr>
        <w:t>made</w:t>
      </w:r>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due</w:t>
      </w:r>
      <w:proofErr w:type="gramEnd"/>
      <w:r w:rsidRPr="0097302C">
        <w:rPr>
          <w:rFonts w:ascii="Avenir Next" w:hAnsi="Avenir Next" w:cs="Arial"/>
          <w:color w:val="808080" w:themeColor="background1" w:themeShade="80"/>
          <w:sz w:val="22"/>
          <w:szCs w:val="22"/>
          <w:lang w:val="en-GB"/>
        </w:rPr>
        <w:t xml:space="preserve"> enquir</w:t>
      </w:r>
      <w:r>
        <w:rPr>
          <w:rFonts w:ascii="Avenir Next" w:hAnsi="Avenir Next" w:cs="Arial"/>
          <w:color w:val="808080" w:themeColor="background1" w:themeShade="80"/>
          <w:sz w:val="22"/>
          <w:szCs w:val="22"/>
          <w:lang w:val="en-GB"/>
        </w:rPr>
        <w:t>ies</w:t>
      </w:r>
      <w:r w:rsidRPr="0097302C">
        <w:rPr>
          <w:rFonts w:ascii="Avenir Next" w:hAnsi="Avenir Next" w:cs="Arial"/>
          <w:color w:val="808080" w:themeColor="background1" w:themeShade="80"/>
          <w:sz w:val="22"/>
          <w:szCs w:val="22"/>
          <w:lang w:val="en-GB"/>
        </w:rPr>
        <w:t xml:space="preserve"> and taken appropriate advice, the board believes that </w:t>
      </w:r>
      <w:r>
        <w:rPr>
          <w:rFonts w:ascii="Avenir Next" w:hAnsi="Avenir Next" w:cs="Arial"/>
          <w:color w:val="808080" w:themeColor="background1" w:themeShade="80"/>
          <w:sz w:val="22"/>
          <w:szCs w:val="22"/>
          <w:lang w:val="en-GB"/>
        </w:rPr>
        <w:t>PL</w:t>
      </w:r>
      <w:r w:rsidRPr="0097302C">
        <w:rPr>
          <w:rFonts w:ascii="Avenir Next" w:hAnsi="Avenir Next" w:cs="Arial"/>
          <w:color w:val="808080" w:themeColor="background1" w:themeShade="80"/>
          <w:sz w:val="22"/>
          <w:szCs w:val="22"/>
          <w:lang w:val="en-GB"/>
        </w:rPr>
        <w:t xml:space="preserve"> is or is likely to become unable to pay its debts (and the reason for the stated belief)</w:t>
      </w:r>
      <w:r>
        <w:rPr>
          <w:rFonts w:ascii="Avenir Next" w:hAnsi="Avenir Next" w:cs="Arial"/>
          <w:color w:val="808080" w:themeColor="background1" w:themeShade="80"/>
          <w:sz w:val="22"/>
          <w:szCs w:val="22"/>
          <w:lang w:val="en-GB"/>
        </w:rPr>
        <w:t>. This would likely encompass an explanation of the safety issues, the drop in business, the default on the bank loans and the money owed to H&amp;W.</w:t>
      </w:r>
    </w:p>
    <w:p w14:paraId="1970EF8B" w14:textId="77777777" w:rsidR="0097302C" w:rsidRPr="0097302C" w:rsidRDefault="0097302C" w:rsidP="0097302C">
      <w:pPr>
        <w:ind w:left="720"/>
        <w:jc w:val="both"/>
        <w:rPr>
          <w:rFonts w:ascii="Avenir Next" w:hAnsi="Avenir Next" w:cs="Arial"/>
          <w:color w:val="808080" w:themeColor="background1" w:themeShade="80"/>
          <w:sz w:val="22"/>
          <w:szCs w:val="22"/>
          <w:lang w:val="en-GB"/>
        </w:rPr>
      </w:pPr>
    </w:p>
    <w:p w14:paraId="5D98439F" w14:textId="77777777" w:rsidR="0097302C" w:rsidRDefault="0097302C" w:rsidP="0097302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(ii) </w:t>
      </w:r>
      <w:r w:rsidRPr="0097302C">
        <w:rPr>
          <w:rFonts w:ascii="Avenir Next" w:hAnsi="Avenir Next" w:cs="Arial"/>
          <w:color w:val="808080" w:themeColor="background1" w:themeShade="80"/>
          <w:sz w:val="22"/>
          <w:szCs w:val="22"/>
          <w:lang w:val="en-GB"/>
        </w:rPr>
        <w:t xml:space="preserve">a statement of </w:t>
      </w:r>
      <w:r>
        <w:rPr>
          <w:rFonts w:ascii="Avenir Next" w:hAnsi="Avenir Next" w:cs="Arial"/>
          <w:color w:val="808080" w:themeColor="background1" w:themeShade="80"/>
          <w:sz w:val="22"/>
          <w:szCs w:val="22"/>
          <w:lang w:val="en-GB"/>
        </w:rPr>
        <w:t>PL's</w:t>
      </w:r>
      <w:r w:rsidRPr="0097302C">
        <w:rPr>
          <w:rFonts w:ascii="Avenir Next" w:hAnsi="Avenir Next" w:cs="Arial"/>
          <w:color w:val="808080" w:themeColor="background1" w:themeShade="80"/>
          <w:sz w:val="22"/>
          <w:szCs w:val="22"/>
          <w:lang w:val="en-GB"/>
        </w:rPr>
        <w:t xml:space="preserve"> financial position specifying details regarding </w:t>
      </w:r>
      <w:r>
        <w:rPr>
          <w:rFonts w:ascii="Avenir Next" w:hAnsi="Avenir Next" w:cs="Arial"/>
          <w:color w:val="808080" w:themeColor="background1" w:themeShade="80"/>
          <w:sz w:val="22"/>
          <w:szCs w:val="22"/>
          <w:lang w:val="en-GB"/>
        </w:rPr>
        <w:t xml:space="preserve">PL's </w:t>
      </w:r>
      <w:r w:rsidRPr="0097302C">
        <w:rPr>
          <w:rFonts w:ascii="Avenir Next" w:hAnsi="Avenir Next" w:cs="Arial"/>
          <w:color w:val="808080" w:themeColor="background1" w:themeShade="80"/>
          <w:sz w:val="22"/>
          <w:szCs w:val="22"/>
          <w:lang w:val="en-GB"/>
        </w:rPr>
        <w:t>assets and liabilities (including contingent and prospective liabilities) and an</w:t>
      </w:r>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explanation of how the company will be funded in the event and during the</w:t>
      </w:r>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restructuring period; and</w:t>
      </w:r>
    </w:p>
    <w:p w14:paraId="50446A49" w14:textId="77777777" w:rsidR="0097302C" w:rsidRDefault="0097302C" w:rsidP="0097302C">
      <w:pPr>
        <w:ind w:left="720"/>
        <w:jc w:val="both"/>
        <w:rPr>
          <w:rFonts w:ascii="Avenir Next" w:hAnsi="Avenir Next" w:cs="Arial"/>
          <w:color w:val="808080" w:themeColor="background1" w:themeShade="80"/>
          <w:sz w:val="22"/>
          <w:szCs w:val="22"/>
          <w:lang w:val="en-GB"/>
        </w:rPr>
      </w:pPr>
    </w:p>
    <w:p w14:paraId="753196FD" w14:textId="33814119" w:rsidR="0097302C" w:rsidRDefault="0097302C" w:rsidP="00BE270A">
      <w:pPr>
        <w:ind w:left="720"/>
        <w:jc w:val="both"/>
        <w:rPr>
          <w:rFonts w:ascii="Avenir Next" w:hAnsi="Avenir Next" w:cs="Arial"/>
          <w:color w:val="808080" w:themeColor="background1" w:themeShade="80"/>
          <w:sz w:val="22"/>
          <w:szCs w:val="22"/>
          <w:lang w:val="en-GB"/>
        </w:rPr>
      </w:pPr>
      <w:r w:rsidRPr="0097302C">
        <w:rPr>
          <w:rFonts w:ascii="Avenir Next" w:hAnsi="Avenir Next" w:cs="Arial"/>
          <w:color w:val="808080" w:themeColor="background1" w:themeShade="80"/>
          <w:sz w:val="22"/>
          <w:szCs w:val="22"/>
          <w:lang w:val="en-GB"/>
        </w:rPr>
        <w:lastRenderedPageBreak/>
        <w:t xml:space="preserve">(iii) a statement of why the directors </w:t>
      </w:r>
      <w:proofErr w:type="gramStart"/>
      <w:r w:rsidRPr="0097302C">
        <w:rPr>
          <w:rFonts w:ascii="Avenir Next" w:hAnsi="Avenir Next" w:cs="Arial"/>
          <w:color w:val="808080" w:themeColor="background1" w:themeShade="80"/>
          <w:sz w:val="22"/>
          <w:szCs w:val="22"/>
          <w:lang w:val="en-GB"/>
        </w:rPr>
        <w:t>believe</w:t>
      </w:r>
      <w:proofErr w:type="gramEnd"/>
      <w:r w:rsidRPr="0097302C">
        <w:rPr>
          <w:rFonts w:ascii="Avenir Next" w:hAnsi="Avenir Next" w:cs="Arial"/>
          <w:color w:val="808080" w:themeColor="background1" w:themeShade="80"/>
          <w:sz w:val="22"/>
          <w:szCs w:val="22"/>
          <w:lang w:val="en-GB"/>
        </w:rPr>
        <w:t xml:space="preserve"> that the appointment of a restructuring officer</w:t>
      </w:r>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and the mortarium will be in the bests interest of the company and if relevant, its</w:t>
      </w:r>
      <w:r w:rsidR="00BE270A">
        <w:rPr>
          <w:rFonts w:ascii="Avenir Next" w:hAnsi="Avenir Next" w:cs="Arial"/>
          <w:color w:val="808080" w:themeColor="background1" w:themeShade="80"/>
          <w:sz w:val="22"/>
          <w:szCs w:val="22"/>
          <w:lang w:val="en-GB"/>
        </w:rPr>
        <w:t xml:space="preserve"> c</w:t>
      </w:r>
      <w:r w:rsidRPr="0097302C">
        <w:rPr>
          <w:rFonts w:ascii="Avenir Next" w:hAnsi="Avenir Next" w:cs="Arial"/>
          <w:color w:val="808080" w:themeColor="background1" w:themeShade="80"/>
          <w:sz w:val="22"/>
          <w:szCs w:val="22"/>
          <w:lang w:val="en-GB"/>
        </w:rPr>
        <w:t>reditors</w:t>
      </w:r>
      <w:r>
        <w:rPr>
          <w:rFonts w:ascii="Avenir Next" w:hAnsi="Avenir Next" w:cs="Arial"/>
          <w:color w:val="808080" w:themeColor="background1" w:themeShade="80"/>
          <w:sz w:val="22"/>
          <w:szCs w:val="22"/>
          <w:lang w:val="en-GB"/>
        </w:rPr>
        <w:t xml:space="preserve">. This may include an explanation that it will allow the </w:t>
      </w:r>
      <w:r w:rsidR="00BE270A">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ompany time to reorganise itself and the expected bright future which will result in a better outcome for creditors as opposed to liquidation which will result in creditors receiving less than what they are owed;</w:t>
      </w:r>
      <w:r>
        <w:rPr>
          <w:rStyle w:val="FootnoteReference"/>
          <w:rFonts w:ascii="Avenir Next" w:hAnsi="Avenir Next" w:cs="Arial"/>
          <w:color w:val="808080" w:themeColor="background1" w:themeShade="80"/>
          <w:sz w:val="22"/>
          <w:szCs w:val="22"/>
          <w:lang w:val="en-GB"/>
        </w:rPr>
        <w:footnoteReference w:id="30"/>
      </w:r>
      <w:r w:rsidRPr="0097302C">
        <w:rPr>
          <w:rFonts w:ascii="Avenir Next" w:hAnsi="Avenir Next" w:cs="Arial"/>
          <w:color w:val="808080" w:themeColor="background1" w:themeShade="80"/>
          <w:sz w:val="22"/>
          <w:szCs w:val="22"/>
          <w:lang w:val="en-GB"/>
        </w:rPr>
        <w:t xml:space="preserve"> and</w:t>
      </w:r>
    </w:p>
    <w:p w14:paraId="445AA2E6" w14:textId="77777777" w:rsidR="0097302C" w:rsidRPr="0097302C" w:rsidRDefault="0097302C" w:rsidP="0097302C">
      <w:pPr>
        <w:ind w:firstLine="720"/>
        <w:jc w:val="both"/>
        <w:rPr>
          <w:rFonts w:ascii="Avenir Next" w:hAnsi="Avenir Next" w:cs="Arial"/>
          <w:color w:val="808080" w:themeColor="background1" w:themeShade="80"/>
          <w:sz w:val="22"/>
          <w:szCs w:val="22"/>
          <w:lang w:val="en-GB"/>
        </w:rPr>
      </w:pPr>
    </w:p>
    <w:p w14:paraId="46656775" w14:textId="05CFC661" w:rsidR="007E0E63" w:rsidRDefault="0097302C" w:rsidP="0097302C">
      <w:pPr>
        <w:jc w:val="both"/>
        <w:rPr>
          <w:rFonts w:ascii="Avenir Next" w:hAnsi="Avenir Next" w:cs="Arial"/>
          <w:color w:val="808080" w:themeColor="background1" w:themeShade="80"/>
          <w:sz w:val="22"/>
          <w:szCs w:val="22"/>
          <w:lang w:val="en-GB"/>
        </w:rPr>
      </w:pPr>
      <w:r w:rsidRPr="0097302C">
        <w:rPr>
          <w:rFonts w:ascii="Avenir Next" w:hAnsi="Avenir Next" w:cs="Arial"/>
          <w:color w:val="808080" w:themeColor="background1" w:themeShade="80"/>
          <w:sz w:val="22"/>
          <w:szCs w:val="22"/>
          <w:lang w:val="en-GB"/>
        </w:rPr>
        <w:t>(b) an affidavit sworn by the person or persons nominated for the appointment as restructuring</w:t>
      </w:r>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officer containing matters which are specified in Order 3, rule 4 of the CWR, which relates</w:t>
      </w:r>
      <w:r>
        <w:rPr>
          <w:rFonts w:ascii="Avenir Next" w:hAnsi="Avenir Next" w:cs="Arial"/>
          <w:color w:val="808080" w:themeColor="background1" w:themeShade="80"/>
          <w:sz w:val="22"/>
          <w:szCs w:val="22"/>
          <w:lang w:val="en-GB"/>
        </w:rPr>
        <w:t xml:space="preserve"> </w:t>
      </w:r>
      <w:r w:rsidRPr="0097302C">
        <w:rPr>
          <w:rFonts w:ascii="Avenir Next" w:hAnsi="Avenir Next" w:cs="Arial"/>
          <w:color w:val="808080" w:themeColor="background1" w:themeShade="80"/>
          <w:sz w:val="22"/>
          <w:szCs w:val="22"/>
          <w:lang w:val="en-GB"/>
        </w:rPr>
        <w:t>to an official liquidator’s consent to act.</w:t>
      </w:r>
    </w:p>
    <w:p w14:paraId="2D540B04" w14:textId="77777777" w:rsidR="0097302C" w:rsidRDefault="0097302C" w:rsidP="0097302C">
      <w:pPr>
        <w:jc w:val="both"/>
        <w:rPr>
          <w:rFonts w:ascii="Avenir Next" w:hAnsi="Avenir Next" w:cs="Arial"/>
          <w:color w:val="808080" w:themeColor="background1" w:themeShade="80"/>
          <w:sz w:val="22"/>
          <w:szCs w:val="22"/>
          <w:lang w:val="en-GB"/>
        </w:rPr>
      </w:pPr>
    </w:p>
    <w:p w14:paraId="4639B824" w14:textId="207F44F7" w:rsidR="0097302C" w:rsidRDefault="0097302C" w:rsidP="009730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further requirements that need to be followed, for example the Restructuring Petition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be advertised in the Cayman Islands and in the countries where the petition will come to the attention of PL's creditors.</w:t>
      </w:r>
      <w:r>
        <w:rPr>
          <w:rStyle w:val="FootnoteReference"/>
          <w:rFonts w:ascii="Avenir Next" w:hAnsi="Avenir Next" w:cs="Arial"/>
          <w:color w:val="808080" w:themeColor="background1" w:themeShade="80"/>
          <w:sz w:val="22"/>
          <w:szCs w:val="22"/>
          <w:lang w:val="en-GB"/>
        </w:rPr>
        <w:footnoteReference w:id="31"/>
      </w:r>
      <w:r>
        <w:rPr>
          <w:rFonts w:ascii="Avenir Next" w:hAnsi="Avenir Next" w:cs="Arial"/>
          <w:color w:val="808080" w:themeColor="background1" w:themeShade="80"/>
          <w:sz w:val="22"/>
          <w:szCs w:val="22"/>
          <w:lang w:val="en-GB"/>
        </w:rPr>
        <w:t xml:space="preserve"> Based on the facts this would include other countries in the Caribbean and most likely the UK if that is where H&amp;W is based. The advertisement also </w:t>
      </w:r>
      <w:r w:rsidR="00281D8B">
        <w:rPr>
          <w:rFonts w:ascii="Avenir Next" w:hAnsi="Avenir Next" w:cs="Arial"/>
          <w:color w:val="808080" w:themeColor="background1" w:themeShade="80"/>
          <w:sz w:val="22"/>
          <w:szCs w:val="22"/>
          <w:lang w:val="en-GB"/>
        </w:rPr>
        <w:t xml:space="preserve">needs to occur with 7 days of the petition being filed and no less than 7 days before the hearing to ensure than interested stakeholders have proper notice and can participate. </w:t>
      </w:r>
    </w:p>
    <w:p w14:paraId="14AD8810" w14:textId="77777777" w:rsidR="00281D8B" w:rsidRDefault="00281D8B" w:rsidP="0097302C">
      <w:pPr>
        <w:jc w:val="both"/>
        <w:rPr>
          <w:rFonts w:ascii="Avenir Next" w:hAnsi="Avenir Next" w:cs="Arial"/>
          <w:color w:val="808080" w:themeColor="background1" w:themeShade="80"/>
          <w:sz w:val="22"/>
          <w:szCs w:val="22"/>
          <w:lang w:val="en-GB"/>
        </w:rPr>
      </w:pPr>
    </w:p>
    <w:p w14:paraId="01D76431" w14:textId="6555B42A" w:rsidR="00281D8B" w:rsidRDefault="00281D8B" w:rsidP="009730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hearing of the Restructuring Petition, the Court will either order the appointment of the Restructuring Officer (the </w:t>
      </w:r>
      <w:r w:rsidRPr="00281D8B">
        <w:rPr>
          <w:rFonts w:ascii="Avenir Next" w:hAnsi="Avenir Next" w:cs="Arial"/>
          <w:b/>
          <w:bCs/>
          <w:color w:val="808080" w:themeColor="background1" w:themeShade="80"/>
          <w:sz w:val="22"/>
          <w:szCs w:val="22"/>
          <w:lang w:val="en-GB"/>
        </w:rPr>
        <w:t>RO</w:t>
      </w:r>
      <w:r>
        <w:rPr>
          <w:rFonts w:ascii="Avenir Next" w:hAnsi="Avenir Next" w:cs="Arial"/>
          <w:color w:val="808080" w:themeColor="background1" w:themeShade="80"/>
          <w:sz w:val="22"/>
          <w:szCs w:val="22"/>
          <w:lang w:val="en-GB"/>
        </w:rPr>
        <w:t xml:space="preserve">), adjourn the hearing, dismiss the </w:t>
      </w:r>
      <w:r w:rsidR="00BE270A">
        <w:rPr>
          <w:rFonts w:ascii="Avenir Next" w:hAnsi="Avenir Next" w:cs="Arial"/>
          <w:color w:val="808080" w:themeColor="background1" w:themeShade="80"/>
          <w:sz w:val="22"/>
          <w:szCs w:val="22"/>
          <w:lang w:val="en-GB"/>
        </w:rPr>
        <w:t>petition,</w:t>
      </w:r>
      <w:r>
        <w:rPr>
          <w:rFonts w:ascii="Avenir Next" w:hAnsi="Avenir Next" w:cs="Arial"/>
          <w:color w:val="808080" w:themeColor="background1" w:themeShade="80"/>
          <w:sz w:val="22"/>
          <w:szCs w:val="22"/>
          <w:lang w:val="en-GB"/>
        </w:rPr>
        <w:t xml:space="preserve"> or make any other order that the Court sees f</w:t>
      </w:r>
      <w:r w:rsidR="00F81918">
        <w:rPr>
          <w:rFonts w:ascii="Avenir Next" w:hAnsi="Avenir Next" w:cs="Arial"/>
          <w:color w:val="808080" w:themeColor="background1" w:themeShade="80"/>
          <w:sz w:val="22"/>
          <w:szCs w:val="22"/>
          <w:lang w:val="en-GB"/>
        </w:rPr>
        <w:t>it</w:t>
      </w:r>
      <w:r>
        <w:rPr>
          <w:rFonts w:ascii="Avenir Next" w:hAnsi="Avenir Next" w:cs="Arial"/>
          <w:color w:val="808080" w:themeColor="background1" w:themeShade="80"/>
          <w:sz w:val="22"/>
          <w:szCs w:val="22"/>
          <w:lang w:val="en-GB"/>
        </w:rPr>
        <w:t xml:space="preserve"> (aside from a winding up order). It is noteworthy that the Cour</w:t>
      </w:r>
      <w:r w:rsidR="00213441">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can grant leave for a winding-up petition and then hear that petition and the Restructuring Petition at the same time.</w:t>
      </w:r>
      <w:r>
        <w:rPr>
          <w:rStyle w:val="FootnoteReference"/>
          <w:rFonts w:ascii="Avenir Next" w:hAnsi="Avenir Next" w:cs="Arial"/>
          <w:color w:val="808080" w:themeColor="background1" w:themeShade="80"/>
          <w:sz w:val="22"/>
          <w:szCs w:val="22"/>
          <w:lang w:val="en-GB"/>
        </w:rPr>
        <w:footnoteReference w:id="32"/>
      </w:r>
      <w:r>
        <w:rPr>
          <w:rFonts w:ascii="Avenir Next" w:hAnsi="Avenir Next" w:cs="Arial"/>
          <w:color w:val="808080" w:themeColor="background1" w:themeShade="80"/>
          <w:sz w:val="22"/>
          <w:szCs w:val="22"/>
          <w:lang w:val="en-GB"/>
        </w:rPr>
        <w:t xml:space="preserve"> </w:t>
      </w:r>
    </w:p>
    <w:p w14:paraId="40075A52" w14:textId="77777777" w:rsidR="009779EE" w:rsidRDefault="009779EE" w:rsidP="0097302C">
      <w:pPr>
        <w:jc w:val="both"/>
        <w:rPr>
          <w:rFonts w:ascii="Avenir Next" w:hAnsi="Avenir Next" w:cs="Arial"/>
          <w:color w:val="808080" w:themeColor="background1" w:themeShade="80"/>
          <w:sz w:val="22"/>
          <w:szCs w:val="22"/>
          <w:lang w:val="en-GB"/>
        </w:rPr>
      </w:pPr>
    </w:p>
    <w:p w14:paraId="775C9BCB" w14:textId="6B638DBC" w:rsidR="00AD300F" w:rsidRDefault="009779EE" w:rsidP="00EC39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noteworthy that the </w:t>
      </w:r>
      <w:r w:rsidRPr="009779EE">
        <w:rPr>
          <w:rFonts w:ascii="Avenir Next" w:hAnsi="Avenir Next" w:cs="Arial"/>
          <w:color w:val="808080" w:themeColor="background1" w:themeShade="80"/>
          <w:sz w:val="22"/>
          <w:szCs w:val="22"/>
          <w:lang w:val="en-GB"/>
        </w:rPr>
        <w:t>requirements for the appointment of restructuring officers are the same as the former</w:t>
      </w:r>
      <w:r>
        <w:rPr>
          <w:rFonts w:ascii="Avenir Next" w:hAnsi="Avenir Next" w:cs="Arial"/>
          <w:color w:val="808080" w:themeColor="background1" w:themeShade="80"/>
          <w:sz w:val="22"/>
          <w:szCs w:val="22"/>
          <w:lang w:val="en-GB"/>
        </w:rPr>
        <w:t xml:space="preserve"> </w:t>
      </w:r>
      <w:r w:rsidRPr="009779EE">
        <w:rPr>
          <w:rFonts w:ascii="Avenir Next" w:hAnsi="Avenir Next" w:cs="Arial"/>
          <w:color w:val="808080" w:themeColor="background1" w:themeShade="80"/>
          <w:sz w:val="22"/>
          <w:szCs w:val="22"/>
          <w:lang w:val="en-GB"/>
        </w:rPr>
        <w:t>requirements for the appointment of a provisional liquidator under section 104 (3) prior to the</w:t>
      </w:r>
      <w:r>
        <w:rPr>
          <w:rFonts w:ascii="Avenir Next" w:hAnsi="Avenir Next" w:cs="Arial"/>
          <w:color w:val="808080" w:themeColor="background1" w:themeShade="80"/>
          <w:sz w:val="22"/>
          <w:szCs w:val="22"/>
          <w:lang w:val="en-GB"/>
        </w:rPr>
        <w:t xml:space="preserve"> </w:t>
      </w:r>
      <w:r w:rsidRPr="009779EE">
        <w:rPr>
          <w:rFonts w:ascii="Avenir Next" w:hAnsi="Avenir Next" w:cs="Arial"/>
          <w:color w:val="808080" w:themeColor="background1" w:themeShade="80"/>
          <w:sz w:val="22"/>
          <w:szCs w:val="22"/>
          <w:lang w:val="en-GB"/>
        </w:rPr>
        <w:t>law being amended in 2022</w:t>
      </w:r>
      <w:r>
        <w:rPr>
          <w:rFonts w:ascii="Avenir Next" w:hAnsi="Avenir Next" w:cs="Arial"/>
          <w:color w:val="808080" w:themeColor="background1" w:themeShade="80"/>
          <w:sz w:val="22"/>
          <w:szCs w:val="22"/>
          <w:lang w:val="en-GB"/>
        </w:rPr>
        <w:t xml:space="preserve">. As a result, the case law on the </w:t>
      </w:r>
      <w:r w:rsidRPr="009779EE">
        <w:rPr>
          <w:rFonts w:ascii="Avenir Next" w:hAnsi="Avenir Next" w:cs="Arial"/>
          <w:color w:val="808080" w:themeColor="background1" w:themeShade="80"/>
          <w:sz w:val="22"/>
          <w:szCs w:val="22"/>
          <w:lang w:val="en-GB"/>
        </w:rPr>
        <w:t xml:space="preserve">appointment of provisional liquidators will likely inform the </w:t>
      </w:r>
      <w:r w:rsidR="00213441">
        <w:rPr>
          <w:rFonts w:ascii="Avenir Next" w:hAnsi="Avenir Next" w:cs="Arial"/>
          <w:color w:val="808080" w:themeColor="background1" w:themeShade="80"/>
          <w:sz w:val="22"/>
          <w:szCs w:val="22"/>
          <w:lang w:val="en-GB"/>
        </w:rPr>
        <w:t>C</w:t>
      </w:r>
      <w:r w:rsidRPr="009779EE">
        <w:rPr>
          <w:rFonts w:ascii="Avenir Next" w:hAnsi="Avenir Next" w:cs="Arial"/>
          <w:color w:val="808080" w:themeColor="background1" w:themeShade="80"/>
          <w:sz w:val="22"/>
          <w:szCs w:val="22"/>
          <w:lang w:val="en-GB"/>
        </w:rPr>
        <w:t xml:space="preserve">ourt’s approach to </w:t>
      </w:r>
      <w:r>
        <w:rPr>
          <w:rFonts w:ascii="Avenir Next" w:hAnsi="Avenir Next" w:cs="Arial"/>
          <w:color w:val="808080" w:themeColor="background1" w:themeShade="80"/>
          <w:sz w:val="22"/>
          <w:szCs w:val="22"/>
          <w:lang w:val="en-GB"/>
        </w:rPr>
        <w:t>the appointment of RO's</w:t>
      </w:r>
      <w:r w:rsidR="00BE270A">
        <w:rPr>
          <w:rFonts w:ascii="Avenir Next" w:hAnsi="Avenir Next" w:cs="Arial"/>
          <w:color w:val="808080" w:themeColor="background1" w:themeShade="80"/>
          <w:sz w:val="22"/>
          <w:szCs w:val="22"/>
          <w:lang w:val="en-GB"/>
        </w:rPr>
        <w:t>.</w:t>
      </w:r>
      <w:r w:rsidR="008C4FD6">
        <w:rPr>
          <w:rFonts w:ascii="Avenir Next" w:hAnsi="Avenir Next" w:cs="Arial"/>
          <w:color w:val="808080" w:themeColor="background1" w:themeShade="80"/>
          <w:sz w:val="22"/>
          <w:szCs w:val="22"/>
          <w:lang w:val="en-GB"/>
        </w:rPr>
        <w:t xml:space="preserve"> </w:t>
      </w:r>
    </w:p>
    <w:p w14:paraId="2020475B" w14:textId="77777777" w:rsidR="00AD300F" w:rsidRDefault="00AD300F" w:rsidP="00EC39C2">
      <w:pPr>
        <w:jc w:val="both"/>
        <w:rPr>
          <w:rFonts w:ascii="Avenir Next" w:hAnsi="Avenir Next" w:cs="Arial"/>
          <w:color w:val="808080" w:themeColor="background1" w:themeShade="80"/>
          <w:sz w:val="22"/>
          <w:szCs w:val="22"/>
          <w:lang w:val="en-GB"/>
        </w:rPr>
      </w:pPr>
    </w:p>
    <w:p w14:paraId="05F9BE23" w14:textId="6887FF18" w:rsidR="00AD300F" w:rsidRDefault="00AD300F" w:rsidP="00AD30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RO regime, it is still available to PL to apply to appoint provisional liquidators for the purpose of presenting a restructuring proposal to its creditors or members.  Section 104(3) of the CA simply provides that the </w:t>
      </w:r>
      <w:r w:rsidR="00213441">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may </w:t>
      </w:r>
      <w:r w:rsidRPr="009779EE">
        <w:rPr>
          <w:rFonts w:ascii="Avenir Next" w:hAnsi="Avenir Next" w:cs="Arial"/>
          <w:color w:val="808080" w:themeColor="background1" w:themeShade="80"/>
          <w:sz w:val="22"/>
          <w:szCs w:val="22"/>
          <w:lang w:val="en-GB"/>
        </w:rPr>
        <w:t>appoint a provisional liquidator if the Court considers it appropriate to do so</w:t>
      </w:r>
      <w:r>
        <w:rPr>
          <w:rFonts w:ascii="Avenir Next" w:hAnsi="Avenir Next" w:cs="Arial"/>
          <w:color w:val="808080" w:themeColor="background1" w:themeShade="80"/>
          <w:sz w:val="22"/>
          <w:szCs w:val="22"/>
          <w:lang w:val="en-GB"/>
        </w:rPr>
        <w:t xml:space="preserve">. In view of this broad drafting, PL may take advantage of this route too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restructure its affairs. There is a school of thought in the Cayman Islands that appointing a provisional liquidator may make it easier when it comes to seeking recognition of that insolvency professional overseas as opposed to seeking recognition of a restructuring officer. This could be important for PL if it needs the Cayman Court's order / appointment to be recognised in other countries for the purpose of its restructuring plan. </w:t>
      </w:r>
    </w:p>
    <w:p w14:paraId="6583BC0F" w14:textId="77777777" w:rsidR="00AD300F" w:rsidRPr="00AD300F" w:rsidRDefault="00AD300F" w:rsidP="00EC39C2">
      <w:pPr>
        <w:jc w:val="both"/>
        <w:rPr>
          <w:rFonts w:ascii="Avenir Next" w:hAnsi="Avenir Next" w:cs="Arial"/>
          <w:color w:val="808080" w:themeColor="background1" w:themeShade="80"/>
          <w:sz w:val="22"/>
          <w:szCs w:val="22"/>
          <w:lang w:val="en-GB"/>
        </w:rPr>
      </w:pPr>
    </w:p>
    <w:p w14:paraId="07DF56C0" w14:textId="77777777" w:rsidR="00D32180" w:rsidRDefault="00D32180" w:rsidP="004679FC">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Following on from (e) above, can the Kraken family continue play a part in running Punk Lizard during any restructuring process? (1 mark)</w:t>
      </w:r>
    </w:p>
    <w:p w14:paraId="1D11475D" w14:textId="77777777" w:rsidR="008C4FD6" w:rsidRDefault="008C4FD6" w:rsidP="008C4FD6">
      <w:pPr>
        <w:jc w:val="both"/>
        <w:rPr>
          <w:rFonts w:ascii="Avenir Next" w:hAnsi="Avenir Next" w:cs="Arial"/>
          <w:sz w:val="22"/>
          <w:szCs w:val="22"/>
          <w:lang w:val="en-GB"/>
        </w:rPr>
      </w:pPr>
    </w:p>
    <w:p w14:paraId="7814E29E" w14:textId="144E6485" w:rsidR="008C4FD6" w:rsidRPr="008C4FD6" w:rsidRDefault="008C4FD6" w:rsidP="008C4FD6">
      <w:pPr>
        <w:jc w:val="both"/>
        <w:rPr>
          <w:rFonts w:ascii="Avenir Next" w:hAnsi="Avenir Next" w:cs="Arial"/>
          <w:color w:val="808080" w:themeColor="background1" w:themeShade="80"/>
          <w:sz w:val="22"/>
          <w:szCs w:val="22"/>
          <w:lang w:val="en-GB"/>
        </w:rPr>
      </w:pPr>
      <w:r w:rsidRPr="008C4FD6">
        <w:rPr>
          <w:rFonts w:ascii="Avenir Next" w:hAnsi="Avenir Next" w:cs="Arial"/>
          <w:color w:val="808080" w:themeColor="background1" w:themeShade="80"/>
          <w:sz w:val="22"/>
          <w:szCs w:val="22"/>
          <w:lang w:val="en-GB"/>
        </w:rPr>
        <w:t xml:space="preserve">If an </w:t>
      </w:r>
      <w:r>
        <w:rPr>
          <w:rFonts w:ascii="Avenir Next" w:hAnsi="Avenir Next" w:cs="Arial"/>
          <w:color w:val="808080" w:themeColor="background1" w:themeShade="80"/>
          <w:sz w:val="22"/>
          <w:szCs w:val="22"/>
          <w:lang w:val="en-GB"/>
        </w:rPr>
        <w:t>RO has been appointed by the Court, in the context of making that appointment, the Court will have determined what powers are to be retained by the directors (if any). If the Court has allowed the</w:t>
      </w:r>
      <w:r w:rsidRPr="008C4FD6">
        <w:rPr>
          <w:rFonts w:ascii="Avenir Next" w:hAnsi="Avenir Next" w:cs="Arial"/>
          <w:color w:val="808080" w:themeColor="background1" w:themeShade="80"/>
          <w:sz w:val="22"/>
          <w:szCs w:val="22"/>
          <w:lang w:val="en-GB"/>
        </w:rPr>
        <w:t xml:space="preserve"> Kraken family to</w:t>
      </w:r>
      <w:r>
        <w:rPr>
          <w:rFonts w:ascii="Avenir Next" w:hAnsi="Avenir Next" w:cs="Arial"/>
          <w:color w:val="808080" w:themeColor="background1" w:themeShade="80"/>
          <w:sz w:val="22"/>
          <w:szCs w:val="22"/>
          <w:lang w:val="en-GB"/>
        </w:rPr>
        <w:t xml:space="preserve"> </w:t>
      </w:r>
      <w:r w:rsidRPr="008C4FD6">
        <w:rPr>
          <w:rFonts w:ascii="Avenir Next" w:hAnsi="Avenir Next" w:cs="Arial"/>
          <w:color w:val="808080" w:themeColor="background1" w:themeShade="80"/>
          <w:sz w:val="22"/>
          <w:szCs w:val="22"/>
          <w:lang w:val="en-GB"/>
        </w:rPr>
        <w:t xml:space="preserve">continue managing </w:t>
      </w:r>
      <w:r>
        <w:rPr>
          <w:rFonts w:ascii="Avenir Next" w:hAnsi="Avenir Next" w:cs="Arial"/>
          <w:color w:val="808080" w:themeColor="background1" w:themeShade="80"/>
          <w:sz w:val="22"/>
          <w:szCs w:val="22"/>
          <w:lang w:val="en-GB"/>
        </w:rPr>
        <w:t>PL's</w:t>
      </w:r>
      <w:r w:rsidRPr="008C4FD6">
        <w:rPr>
          <w:rFonts w:ascii="Avenir Next" w:hAnsi="Avenir Next" w:cs="Arial"/>
          <w:color w:val="808080" w:themeColor="background1" w:themeShade="80"/>
          <w:sz w:val="22"/>
          <w:szCs w:val="22"/>
          <w:lang w:val="en-GB"/>
        </w:rPr>
        <w:t xml:space="preserve"> affairs simultaneously with the restructuring appointment,</w:t>
      </w:r>
      <w:r>
        <w:rPr>
          <w:rFonts w:ascii="Avenir Next" w:hAnsi="Avenir Next" w:cs="Arial"/>
          <w:color w:val="808080" w:themeColor="background1" w:themeShade="80"/>
          <w:sz w:val="22"/>
          <w:szCs w:val="22"/>
          <w:lang w:val="en-GB"/>
        </w:rPr>
        <w:t xml:space="preserve"> then </w:t>
      </w:r>
      <w:r w:rsidRPr="008C4FD6">
        <w:rPr>
          <w:rFonts w:ascii="Avenir Next" w:hAnsi="Avenir Next" w:cs="Arial"/>
          <w:color w:val="808080" w:themeColor="background1" w:themeShade="80"/>
          <w:sz w:val="22"/>
          <w:szCs w:val="22"/>
          <w:lang w:val="en-GB"/>
        </w:rPr>
        <w:t>this is referred to as “light touch</w:t>
      </w:r>
      <w:r w:rsidR="0021344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Court's decision will likely depend on the proposals and the Court's confidence in the family's abilities based on the evidence.  </w:t>
      </w:r>
    </w:p>
    <w:p w14:paraId="07FF2343" w14:textId="77777777" w:rsidR="004C447D" w:rsidRPr="004C447D" w:rsidRDefault="004C447D" w:rsidP="004C447D">
      <w:pPr>
        <w:jc w:val="both"/>
        <w:rPr>
          <w:rFonts w:ascii="Avenir Next" w:hAnsi="Avenir Next" w:cs="Arial"/>
          <w:sz w:val="22"/>
          <w:szCs w:val="22"/>
          <w:lang w:val="en-GB"/>
        </w:rPr>
      </w:pPr>
    </w:p>
    <w:p w14:paraId="1E0FCB3C" w14:textId="77777777" w:rsidR="00D32180" w:rsidRPr="00D32180" w:rsidRDefault="00D32180" w:rsidP="004679FC">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factors will the Cayman Islands court take into consideration before approving any proposed restructuring? (2.5 marks)</w:t>
      </w:r>
    </w:p>
    <w:p w14:paraId="228B00A6" w14:textId="77777777" w:rsidR="00A30968" w:rsidRPr="00A30968" w:rsidRDefault="00A30968" w:rsidP="00103C92">
      <w:pPr>
        <w:jc w:val="both"/>
        <w:rPr>
          <w:rFonts w:ascii="Avenir Next" w:hAnsi="Avenir Next" w:cs="Arial"/>
          <w:sz w:val="22"/>
          <w:szCs w:val="22"/>
          <w:lang w:val="en-GB"/>
        </w:rPr>
      </w:pPr>
    </w:p>
    <w:bookmarkEnd w:id="0"/>
    <w:p w14:paraId="6EB4DCE2" w14:textId="165B27EE" w:rsidR="00D117F9" w:rsidRDefault="00D117F9" w:rsidP="00952187">
      <w:pPr>
        <w:jc w:val="both"/>
        <w:rPr>
          <w:rFonts w:ascii="Avenir Next" w:hAnsi="Avenir Next" w:cs="Arial"/>
          <w:color w:val="808080" w:themeColor="background1" w:themeShade="80"/>
          <w:sz w:val="22"/>
          <w:szCs w:val="22"/>
          <w:lang w:val="en-GB"/>
        </w:rPr>
      </w:pPr>
      <w:r w:rsidRPr="00D117F9">
        <w:rPr>
          <w:rFonts w:ascii="Avenir Next" w:hAnsi="Avenir Next" w:cs="Arial"/>
          <w:color w:val="808080" w:themeColor="background1" w:themeShade="80"/>
          <w:sz w:val="22"/>
          <w:szCs w:val="22"/>
          <w:lang w:val="en-GB"/>
        </w:rPr>
        <w:t xml:space="preserve">Before </w:t>
      </w:r>
      <w:r>
        <w:rPr>
          <w:rFonts w:ascii="Avenir Next" w:hAnsi="Avenir Next" w:cs="Arial"/>
          <w:color w:val="808080" w:themeColor="background1" w:themeShade="80"/>
          <w:sz w:val="22"/>
          <w:szCs w:val="22"/>
          <w:lang w:val="en-GB"/>
        </w:rPr>
        <w:t xml:space="preserve">approving any proposed restructuring of PL, the Court will consider </w:t>
      </w:r>
      <w:r w:rsidR="004679FC">
        <w:rPr>
          <w:rFonts w:ascii="Avenir Next" w:hAnsi="Avenir Next" w:cs="Arial"/>
          <w:color w:val="808080" w:themeColor="background1" w:themeShade="80"/>
          <w:sz w:val="22"/>
          <w:szCs w:val="22"/>
          <w:lang w:val="en-GB"/>
        </w:rPr>
        <w:t>whether:</w:t>
      </w:r>
    </w:p>
    <w:p w14:paraId="1EDB6F1C" w14:textId="77777777" w:rsidR="004679FC" w:rsidRDefault="004679FC" w:rsidP="00952187">
      <w:pPr>
        <w:jc w:val="both"/>
        <w:rPr>
          <w:rFonts w:ascii="Avenir Next" w:hAnsi="Avenir Next" w:cs="Arial"/>
          <w:color w:val="808080" w:themeColor="background1" w:themeShade="80"/>
          <w:sz w:val="22"/>
          <w:szCs w:val="22"/>
          <w:lang w:val="en-GB"/>
        </w:rPr>
      </w:pPr>
    </w:p>
    <w:p w14:paraId="4C962945" w14:textId="02ED7D01" w:rsidR="004679FC" w:rsidRDefault="004679FC" w:rsidP="004679F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statutory notice and advertising periods were </w:t>
      </w:r>
      <w:proofErr w:type="gramStart"/>
      <w:r>
        <w:rPr>
          <w:rFonts w:ascii="Avenir Next" w:hAnsi="Avenir Next" w:cs="Arial"/>
          <w:color w:val="808080" w:themeColor="background1" w:themeShade="80"/>
          <w:sz w:val="22"/>
          <w:szCs w:val="22"/>
          <w:lang w:val="en-GB"/>
        </w:rPr>
        <w:t>met;</w:t>
      </w:r>
      <w:proofErr w:type="gramEnd"/>
    </w:p>
    <w:p w14:paraId="3B1EABAB" w14:textId="48809B4B" w:rsidR="004679FC" w:rsidRDefault="004679FC" w:rsidP="004679F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Each class of creditors was </w:t>
      </w:r>
      <w:r w:rsidRPr="004679FC">
        <w:rPr>
          <w:rFonts w:ascii="Avenir Next" w:hAnsi="Avenir Next" w:cs="Arial"/>
          <w:color w:val="808080" w:themeColor="background1" w:themeShade="80"/>
          <w:sz w:val="22"/>
          <w:szCs w:val="22"/>
          <w:lang w:val="en-GB"/>
        </w:rPr>
        <w:t>fairly represented at the Scheme Meeting</w:t>
      </w:r>
      <w:r>
        <w:rPr>
          <w:rFonts w:ascii="Avenir Next" w:hAnsi="Avenir Next" w:cs="Arial"/>
          <w:color w:val="808080" w:themeColor="background1" w:themeShade="80"/>
          <w:sz w:val="22"/>
          <w:szCs w:val="22"/>
          <w:lang w:val="en-GB"/>
        </w:rPr>
        <w:t>(s</w:t>
      </w:r>
      <w:proofErr w:type="gramStart"/>
      <w:r>
        <w:rPr>
          <w:rFonts w:ascii="Avenir Next" w:hAnsi="Avenir Next" w:cs="Arial"/>
          <w:color w:val="808080" w:themeColor="background1" w:themeShade="80"/>
          <w:sz w:val="22"/>
          <w:szCs w:val="22"/>
          <w:lang w:val="en-GB"/>
        </w:rPr>
        <w:t>)</w:t>
      </w:r>
      <w:r w:rsidRPr="004679FC">
        <w:rPr>
          <w:rFonts w:ascii="Avenir Next" w:hAnsi="Avenir Next" w:cs="Arial"/>
          <w:color w:val="808080" w:themeColor="background1" w:themeShade="80"/>
          <w:sz w:val="22"/>
          <w:szCs w:val="22"/>
          <w:lang w:val="en-GB"/>
        </w:rPr>
        <w:t>;</w:t>
      </w:r>
      <w:proofErr w:type="gramEnd"/>
    </w:p>
    <w:p w14:paraId="6DE71851" w14:textId="11252486" w:rsidR="004679FC" w:rsidRDefault="004679FC" w:rsidP="004679F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support for the restructuring from all creditors / any </w:t>
      </w:r>
      <w:proofErr w:type="gramStart"/>
      <w:r>
        <w:rPr>
          <w:rFonts w:ascii="Avenir Next" w:hAnsi="Avenir Next" w:cs="Arial"/>
          <w:color w:val="808080" w:themeColor="background1" w:themeShade="80"/>
          <w:sz w:val="22"/>
          <w:szCs w:val="22"/>
          <w:lang w:val="en-GB"/>
        </w:rPr>
        <w:t>opposition;</w:t>
      </w:r>
      <w:proofErr w:type="gramEnd"/>
    </w:p>
    <w:p w14:paraId="11FB559C" w14:textId="7DB05DCB" w:rsidR="004679FC" w:rsidRDefault="004679FC" w:rsidP="004679F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restructuring is in the best interests of the PL and its </w:t>
      </w:r>
      <w:proofErr w:type="gramStart"/>
      <w:r>
        <w:rPr>
          <w:rFonts w:ascii="Avenir Next" w:hAnsi="Avenir Next" w:cs="Arial"/>
          <w:color w:val="808080" w:themeColor="background1" w:themeShade="80"/>
          <w:sz w:val="22"/>
          <w:szCs w:val="22"/>
          <w:lang w:val="en-GB"/>
        </w:rPr>
        <w:t>stakeholders;</w:t>
      </w:r>
      <w:proofErr w:type="gramEnd"/>
    </w:p>
    <w:p w14:paraId="3411F368" w14:textId="33CA21AC" w:rsidR="004679FC" w:rsidRDefault="004679FC" w:rsidP="004679F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54BDA">
        <w:rPr>
          <w:rFonts w:ascii="Avenir Next" w:hAnsi="Avenir Next" w:cs="Arial"/>
          <w:color w:val="808080" w:themeColor="background1" w:themeShade="80"/>
          <w:sz w:val="22"/>
          <w:szCs w:val="22"/>
          <w:lang w:val="en-GB"/>
        </w:rPr>
        <w:t xml:space="preserve"> </w:t>
      </w:r>
      <w:r w:rsidR="00213441">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plan is viable and PL's business exists (in this case we know that there is a viable business for PL as the </w:t>
      </w:r>
      <w:r w:rsidRPr="004679FC">
        <w:rPr>
          <w:rFonts w:ascii="Avenir Next" w:hAnsi="Avenir Next" w:cs="Arial"/>
          <w:color w:val="808080" w:themeColor="background1" w:themeShade="80"/>
          <w:sz w:val="22"/>
          <w:szCs w:val="22"/>
          <w:lang w:val="en-GB"/>
        </w:rPr>
        <w:t>market for liveaboard diving remains strong, and financial forecast is relatively bright</w:t>
      </w:r>
      <w:proofErr w:type="gramStart"/>
      <w:r>
        <w:rPr>
          <w:rFonts w:ascii="Avenir Next" w:hAnsi="Avenir Next" w:cs="Arial"/>
          <w:color w:val="808080" w:themeColor="background1" w:themeShade="80"/>
          <w:sz w:val="22"/>
          <w:szCs w:val="22"/>
          <w:lang w:val="en-GB"/>
        </w:rPr>
        <w:t>);</w:t>
      </w:r>
      <w:proofErr w:type="gramEnd"/>
    </w:p>
    <w:p w14:paraId="10419095" w14:textId="022FF0AB" w:rsidR="004679FC" w:rsidRDefault="004679FC" w:rsidP="004679F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resolutions were passed by the required majorities and that the majority acted bona fide; and</w:t>
      </w:r>
    </w:p>
    <w:p w14:paraId="154681F0" w14:textId="4F510F3A" w:rsidR="009D20B1" w:rsidRPr="00562475" w:rsidRDefault="004679FC" w:rsidP="00087F21">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w:t>
      </w:r>
      <w:r w:rsidRPr="004679FC">
        <w:rPr>
          <w:rFonts w:ascii="Avenir Next" w:hAnsi="Avenir Next" w:cs="Arial"/>
          <w:color w:val="808080" w:themeColor="background1" w:themeShade="80"/>
          <w:sz w:val="22"/>
          <w:szCs w:val="22"/>
          <w:lang w:val="en-GB"/>
        </w:rPr>
        <w:t>approval of the Scheme was reasonable (</w:t>
      </w:r>
      <w:r>
        <w:rPr>
          <w:rFonts w:ascii="Avenir Next" w:hAnsi="Avenir Next" w:cs="Arial"/>
          <w:color w:val="808080" w:themeColor="background1" w:themeShade="80"/>
          <w:sz w:val="22"/>
          <w:szCs w:val="22"/>
          <w:lang w:val="en-GB"/>
        </w:rPr>
        <w:t xml:space="preserve">in other words, </w:t>
      </w:r>
      <w:r w:rsidRPr="004679FC">
        <w:rPr>
          <w:rFonts w:ascii="Avenir Next" w:hAnsi="Avenir Next" w:cs="Arial"/>
          <w:color w:val="808080" w:themeColor="background1" w:themeShade="80"/>
          <w:sz w:val="22"/>
          <w:szCs w:val="22"/>
          <w:lang w:val="en-GB"/>
        </w:rPr>
        <w:t>whether an intelligent, honest member of the class</w:t>
      </w:r>
      <w:r>
        <w:rPr>
          <w:rFonts w:ascii="Avenir Next" w:hAnsi="Avenir Next" w:cs="Arial"/>
          <w:color w:val="808080" w:themeColor="background1" w:themeShade="80"/>
          <w:sz w:val="22"/>
          <w:szCs w:val="22"/>
          <w:lang w:val="en-GB"/>
        </w:rPr>
        <w:t xml:space="preserve"> </w:t>
      </w:r>
      <w:r w:rsidRPr="004679FC">
        <w:rPr>
          <w:rFonts w:ascii="Avenir Next" w:hAnsi="Avenir Next" w:cs="Arial"/>
          <w:color w:val="808080" w:themeColor="background1" w:themeShade="80"/>
          <w:sz w:val="22"/>
          <w:szCs w:val="22"/>
          <w:lang w:val="en-GB"/>
        </w:rPr>
        <w:t>convened, acting in his own interest, might reasonably have approved the Scheme)</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33"/>
      </w:r>
      <w:r>
        <w:rPr>
          <w:rFonts w:ascii="Avenir Next" w:hAnsi="Avenir Next" w:cs="Arial"/>
          <w:color w:val="808080" w:themeColor="background1" w:themeShade="80"/>
          <w:sz w:val="22"/>
          <w:szCs w:val="22"/>
          <w:lang w:val="en-GB"/>
        </w:rPr>
        <w:t xml:space="preserve"> </w:t>
      </w: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9F236" w14:textId="77777777" w:rsidR="000B7F75" w:rsidRDefault="000B7F75" w:rsidP="00241B44">
      <w:r>
        <w:separator/>
      </w:r>
    </w:p>
  </w:endnote>
  <w:endnote w:type="continuationSeparator" w:id="0">
    <w:p w14:paraId="3C646468" w14:textId="77777777" w:rsidR="000B7F75" w:rsidRDefault="000B7F7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FE766B1BC-Roman">
    <w:altName w:val="Cambria"/>
    <w:panose1 w:val="00000000000000000000"/>
    <w:charset w:val="00"/>
    <w:family w:val="roman"/>
    <w:notTrueType/>
    <w:pitch w:val="default"/>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E1992E9" w:rsidR="00920BE7" w:rsidRPr="000423D1" w:rsidRDefault="000D33BB" w:rsidP="009B4976">
    <w:pPr>
      <w:pStyle w:val="Footer"/>
      <w:ind w:right="360"/>
      <w:rPr>
        <w:rFonts w:ascii="Avenir Next" w:hAnsi="Avenir Next" w:cs="Arial"/>
        <w:sz w:val="18"/>
        <w:szCs w:val="18"/>
        <w:lang w:val="en-GB"/>
      </w:rPr>
    </w:pPr>
    <w:r w:rsidRPr="000423D1">
      <w:rPr>
        <w:rFonts w:ascii="Avenir Next" w:hAnsi="Avenir Next" w:cs="Arial"/>
        <w:sz w:val="18"/>
        <w:szCs w:val="18"/>
        <w:lang w:val="en-GB"/>
      </w:rPr>
      <w:fldChar w:fldCharType="begin"/>
    </w:r>
    <w:r w:rsidRPr="000423D1">
      <w:rPr>
        <w:rFonts w:ascii="Avenir Next" w:hAnsi="Avenir Next" w:cs="Arial"/>
        <w:sz w:val="18"/>
        <w:szCs w:val="18"/>
        <w:lang w:val="en-GB"/>
      </w:rPr>
      <w:instrText xml:space="preserve"> DOCPROPERTY iManageFooter \* MERGEFORMAT </w:instrText>
    </w:r>
    <w:r w:rsidR="00000000">
      <w:rPr>
        <w:rFonts w:ascii="Avenir Next" w:hAnsi="Avenir Next" w:cs="Arial"/>
        <w:sz w:val="18"/>
        <w:szCs w:val="18"/>
        <w:lang w:val="en-GB"/>
      </w:rPr>
      <w:fldChar w:fldCharType="separate"/>
    </w:r>
    <w:r w:rsidRPr="000423D1">
      <w:rPr>
        <w:rFonts w:ascii="Avenir Next" w:hAnsi="Avenir Next" w:cs="Arial"/>
        <w:sz w:val="18"/>
        <w:szCs w:val="18"/>
        <w:lang w:val="en-GB"/>
      </w:rPr>
      <w:fldChar w:fldCharType="end"/>
    </w:r>
    <w:r w:rsidR="00057257">
      <w:rPr>
        <w:rFonts w:ascii="Avenir Next" w:hAnsi="Avenir Next" w:cs="Arial"/>
        <w:sz w:val="18"/>
        <w:szCs w:val="18"/>
        <w:lang w:val="en-GB"/>
      </w:rPr>
      <w:t>FC202324-1328</w:t>
    </w:r>
    <w:r w:rsidR="00920BE7" w:rsidRPr="000423D1">
      <w:rPr>
        <w:rFonts w:ascii="Avenir Next" w:hAnsi="Avenir Next" w:cs="Arial"/>
        <w:sz w:val="18"/>
        <w:szCs w:val="18"/>
        <w:lang w:val="en-GB"/>
      </w:rPr>
      <w:t>.assessment5C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01F4D" w14:textId="77777777" w:rsidR="00133FB6" w:rsidRDefault="0013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F7A49" w14:textId="77777777" w:rsidR="000B7F75" w:rsidRDefault="000B7F75" w:rsidP="00241B44">
      <w:r>
        <w:separator/>
      </w:r>
    </w:p>
  </w:footnote>
  <w:footnote w:type="continuationSeparator" w:id="0">
    <w:p w14:paraId="051FBEB5" w14:textId="77777777" w:rsidR="000B7F75" w:rsidRDefault="000B7F75" w:rsidP="00241B44">
      <w:r>
        <w:continuationSeparator/>
      </w:r>
    </w:p>
  </w:footnote>
  <w:footnote w:id="1">
    <w:p w14:paraId="60C74949" w14:textId="00F5CE83" w:rsidR="000B26C1" w:rsidRDefault="000B26C1">
      <w:pPr>
        <w:pStyle w:val="FootnoteText"/>
      </w:pPr>
      <w:r>
        <w:rPr>
          <w:rStyle w:val="FootnoteReference"/>
        </w:rPr>
        <w:footnoteRef/>
      </w:r>
      <w:r>
        <w:t xml:space="preserve"> CA, section 241. </w:t>
      </w:r>
    </w:p>
  </w:footnote>
  <w:footnote w:id="2">
    <w:p w14:paraId="45882D0A" w14:textId="233978DE" w:rsidR="00304488" w:rsidRDefault="00304488">
      <w:pPr>
        <w:pStyle w:val="FootnoteText"/>
      </w:pPr>
      <w:r>
        <w:rPr>
          <w:rStyle w:val="FootnoteReference"/>
        </w:rPr>
        <w:footnoteRef/>
      </w:r>
      <w:r>
        <w:t xml:space="preserve"> CA, section 242. </w:t>
      </w:r>
    </w:p>
  </w:footnote>
  <w:footnote w:id="3">
    <w:p w14:paraId="10DB9E6A" w14:textId="04F4C81B" w:rsidR="00304488" w:rsidRDefault="00304488">
      <w:pPr>
        <w:pStyle w:val="FootnoteText"/>
      </w:pPr>
      <w:r>
        <w:rPr>
          <w:rStyle w:val="FootnoteReference"/>
        </w:rPr>
        <w:footnoteRef/>
      </w:r>
      <w:r>
        <w:t xml:space="preserve"> CA, section 183. </w:t>
      </w:r>
    </w:p>
  </w:footnote>
  <w:footnote w:id="4">
    <w:p w14:paraId="7650A1AA" w14:textId="226A5AF7" w:rsidR="00304488" w:rsidRDefault="00304488">
      <w:pPr>
        <w:pStyle w:val="FootnoteText"/>
      </w:pPr>
      <w:r>
        <w:rPr>
          <w:rStyle w:val="FootnoteReference"/>
        </w:rPr>
        <w:footnoteRef/>
      </w:r>
      <w:r>
        <w:t xml:space="preserve"> CA, section 242(2).</w:t>
      </w:r>
    </w:p>
  </w:footnote>
  <w:footnote w:id="5">
    <w:p w14:paraId="7706437C" w14:textId="62352F1B" w:rsidR="003251B6" w:rsidRDefault="003251B6">
      <w:pPr>
        <w:pStyle w:val="FootnoteText"/>
      </w:pPr>
      <w:r>
        <w:rPr>
          <w:rStyle w:val="FootnoteReference"/>
        </w:rPr>
        <w:footnoteRef/>
      </w:r>
      <w:r>
        <w:t xml:space="preserve"> </w:t>
      </w:r>
      <w:r w:rsidR="00CD5C25">
        <w:t>Module 5C Guidance Text, Cayman Islands 2023 / 2024 (</w:t>
      </w:r>
      <w:r w:rsidR="00CD5C25" w:rsidRPr="00CD5C25">
        <w:rPr>
          <w:b/>
          <w:bCs/>
        </w:rPr>
        <w:t>Guidance Text</w:t>
      </w:r>
      <w:r w:rsidR="00CD5C25">
        <w:t xml:space="preserve">), section 8, pages 69 – 71. </w:t>
      </w:r>
    </w:p>
  </w:footnote>
  <w:footnote w:id="6">
    <w:p w14:paraId="392CF12C" w14:textId="2C25EE83" w:rsidR="00CD5C25" w:rsidRDefault="00CD5C25">
      <w:pPr>
        <w:pStyle w:val="FootnoteText"/>
      </w:pPr>
      <w:r>
        <w:rPr>
          <w:rStyle w:val="FootnoteReference"/>
        </w:rPr>
        <w:footnoteRef/>
      </w:r>
      <w:r>
        <w:t xml:space="preserve"> </w:t>
      </w:r>
      <w:proofErr w:type="spellStart"/>
      <w:r w:rsidRPr="00CD5C25">
        <w:rPr>
          <w:i/>
          <w:iCs/>
        </w:rPr>
        <w:t>Bandone</w:t>
      </w:r>
      <w:proofErr w:type="spellEnd"/>
      <w:r w:rsidRPr="00CD5C25">
        <w:rPr>
          <w:i/>
          <w:iCs/>
        </w:rPr>
        <w:t xml:space="preserve"> v Sol Properties</w:t>
      </w:r>
      <w:r w:rsidRPr="00CD5C25">
        <w:t xml:space="preserve"> 2008 CILR 301</w:t>
      </w:r>
      <w:r>
        <w:t>.</w:t>
      </w:r>
    </w:p>
  </w:footnote>
  <w:footnote w:id="7">
    <w:p w14:paraId="324B38AB" w14:textId="6A70F83F" w:rsidR="007F4666" w:rsidRDefault="007F4666">
      <w:pPr>
        <w:pStyle w:val="FootnoteText"/>
      </w:pPr>
      <w:r>
        <w:rPr>
          <w:rStyle w:val="FootnoteReference"/>
        </w:rPr>
        <w:footnoteRef/>
      </w:r>
      <w:r>
        <w:t xml:space="preserve"> Guidance Text, section 8.3, pages 70 – 71. </w:t>
      </w:r>
    </w:p>
  </w:footnote>
  <w:footnote w:id="8">
    <w:p w14:paraId="64F2E31F" w14:textId="7836619E" w:rsidR="007F4666" w:rsidRDefault="007F4666">
      <w:pPr>
        <w:pStyle w:val="FootnoteText"/>
      </w:pPr>
      <w:r>
        <w:rPr>
          <w:rStyle w:val="FootnoteReference"/>
        </w:rPr>
        <w:footnoteRef/>
      </w:r>
      <w:r>
        <w:t xml:space="preserve"> Guidance Text, section 8.4, page 71. </w:t>
      </w:r>
    </w:p>
  </w:footnote>
  <w:footnote w:id="9">
    <w:p w14:paraId="04396704" w14:textId="5BC5AA7F" w:rsidR="002E5A91" w:rsidRDefault="002E5A91">
      <w:pPr>
        <w:pStyle w:val="FootnoteText"/>
      </w:pPr>
      <w:r>
        <w:rPr>
          <w:rStyle w:val="FootnoteReference"/>
        </w:rPr>
        <w:footnoteRef/>
      </w:r>
      <w:r>
        <w:t xml:space="preserve"> Guidance Text, section 5.3.3, page 11.</w:t>
      </w:r>
    </w:p>
  </w:footnote>
  <w:footnote w:id="10">
    <w:p w14:paraId="78CEC2B8" w14:textId="18F9AFDB" w:rsidR="00207387" w:rsidRDefault="00207387">
      <w:pPr>
        <w:pStyle w:val="FootnoteText"/>
      </w:pPr>
      <w:r>
        <w:rPr>
          <w:rStyle w:val="FootnoteReference"/>
        </w:rPr>
        <w:footnoteRef/>
      </w:r>
      <w:r>
        <w:t xml:space="preserve"> Ibid. </w:t>
      </w:r>
    </w:p>
  </w:footnote>
  <w:footnote w:id="11">
    <w:p w14:paraId="654087EB" w14:textId="77777777" w:rsidR="00207387" w:rsidRDefault="00207387" w:rsidP="00207387">
      <w:pPr>
        <w:pStyle w:val="FootnoteText"/>
      </w:pPr>
      <w:r>
        <w:rPr>
          <w:rStyle w:val="FootnoteReference"/>
        </w:rPr>
        <w:footnoteRef/>
      </w:r>
      <w:r>
        <w:t xml:space="preserve"> Ibid. </w:t>
      </w:r>
    </w:p>
  </w:footnote>
  <w:footnote w:id="12">
    <w:p w14:paraId="3F3B688D" w14:textId="7DA5DFBD" w:rsidR="00127805" w:rsidRDefault="00127805">
      <w:pPr>
        <w:pStyle w:val="FootnoteText"/>
      </w:pPr>
      <w:r>
        <w:rPr>
          <w:rStyle w:val="FootnoteReference"/>
        </w:rPr>
        <w:footnoteRef/>
      </w:r>
      <w:r>
        <w:t xml:space="preserve"> Guidance Text, Section 6.4.1.2, page 45.</w:t>
      </w:r>
    </w:p>
  </w:footnote>
  <w:footnote w:id="13">
    <w:p w14:paraId="1F06947C" w14:textId="02B1B0EC" w:rsidR="008E33D5" w:rsidRDefault="008E33D5">
      <w:pPr>
        <w:pStyle w:val="FootnoteText"/>
      </w:pPr>
      <w:r>
        <w:rPr>
          <w:rStyle w:val="FootnoteReference"/>
        </w:rPr>
        <w:footnoteRef/>
      </w:r>
      <w:r>
        <w:t xml:space="preserve"> GCR, Order 51, rule 1. </w:t>
      </w:r>
    </w:p>
  </w:footnote>
  <w:footnote w:id="14">
    <w:p w14:paraId="706E21CC" w14:textId="1580B8BF" w:rsidR="00391568" w:rsidRDefault="00391568">
      <w:pPr>
        <w:pStyle w:val="FootnoteText"/>
      </w:pPr>
      <w:r>
        <w:rPr>
          <w:rStyle w:val="FootnoteReference"/>
        </w:rPr>
        <w:footnoteRef/>
      </w:r>
      <w:r>
        <w:t xml:space="preserve"> CA, Section </w:t>
      </w:r>
      <w:r w:rsidRPr="00391568">
        <w:t>225(1).</w:t>
      </w:r>
    </w:p>
  </w:footnote>
  <w:footnote w:id="15">
    <w:p w14:paraId="6D69F853" w14:textId="484BEE3E" w:rsidR="00BF6B8D" w:rsidRDefault="00BF6B8D">
      <w:pPr>
        <w:pStyle w:val="FootnoteText"/>
      </w:pPr>
      <w:r>
        <w:rPr>
          <w:rStyle w:val="FootnoteReference"/>
        </w:rPr>
        <w:footnoteRef/>
      </w:r>
      <w:r>
        <w:t xml:space="preserve"> CA, Section </w:t>
      </w:r>
      <w:r w:rsidRPr="00BF6B8D">
        <w:t>s 224(1)</w:t>
      </w:r>
      <w:r>
        <w:t>.</w:t>
      </w:r>
    </w:p>
  </w:footnote>
  <w:footnote w:id="16">
    <w:p w14:paraId="62B491DC" w14:textId="4DF75510" w:rsidR="00BF6B8D" w:rsidRDefault="00BF6B8D">
      <w:pPr>
        <w:pStyle w:val="FootnoteText"/>
      </w:pPr>
      <w:r>
        <w:rPr>
          <w:rStyle w:val="FootnoteReference"/>
        </w:rPr>
        <w:footnoteRef/>
      </w:r>
      <w:r>
        <w:t xml:space="preserve"> CA, Section </w:t>
      </w:r>
      <w:r w:rsidRPr="00BF6B8D">
        <w:t>s 224(</w:t>
      </w:r>
      <w:r>
        <w:t>3</w:t>
      </w:r>
      <w:r w:rsidRPr="00BF6B8D">
        <w:t>)</w:t>
      </w:r>
      <w:r>
        <w:t>.</w:t>
      </w:r>
    </w:p>
  </w:footnote>
  <w:footnote w:id="17">
    <w:p w14:paraId="0C49733E" w14:textId="3B77A027" w:rsidR="00A85208" w:rsidRDefault="00A85208">
      <w:pPr>
        <w:pStyle w:val="FootnoteText"/>
      </w:pPr>
      <w:r>
        <w:rPr>
          <w:rStyle w:val="FootnoteReference"/>
        </w:rPr>
        <w:footnoteRef/>
      </w:r>
      <w:r>
        <w:t xml:space="preserve"> CA, Section </w:t>
      </w:r>
      <w:r w:rsidRPr="00BF6B8D">
        <w:t>s 224(1)</w:t>
      </w:r>
      <w:r>
        <w:t>.</w:t>
      </w:r>
    </w:p>
  </w:footnote>
  <w:footnote w:id="18">
    <w:p w14:paraId="0614F936" w14:textId="2F7708D1" w:rsidR="005A7703" w:rsidRDefault="005A7703">
      <w:pPr>
        <w:pStyle w:val="FootnoteText"/>
      </w:pPr>
      <w:r>
        <w:rPr>
          <w:rStyle w:val="FootnoteReference"/>
        </w:rPr>
        <w:footnoteRef/>
      </w:r>
      <w:r>
        <w:t xml:space="preserve"> CA, Section </w:t>
      </w:r>
      <w:r w:rsidRPr="00BF6B8D">
        <w:t xml:space="preserve">s </w:t>
      </w:r>
      <w:r>
        <w:t xml:space="preserve">226(6). </w:t>
      </w:r>
    </w:p>
  </w:footnote>
  <w:footnote w:id="19">
    <w:p w14:paraId="775C71D9" w14:textId="4BB8D00D" w:rsidR="005A7703" w:rsidRDefault="005A7703">
      <w:pPr>
        <w:pStyle w:val="FootnoteText"/>
      </w:pPr>
      <w:r>
        <w:rPr>
          <w:rStyle w:val="FootnoteReference"/>
        </w:rPr>
        <w:footnoteRef/>
      </w:r>
      <w:r>
        <w:t xml:space="preserve"> CA, Section </w:t>
      </w:r>
      <w:r w:rsidRPr="00BF6B8D">
        <w:t xml:space="preserve">s </w:t>
      </w:r>
      <w:r>
        <w:t>227(1).</w:t>
      </w:r>
    </w:p>
  </w:footnote>
  <w:footnote w:id="20">
    <w:p w14:paraId="637D6D85" w14:textId="484FC19C" w:rsidR="005A7703" w:rsidRDefault="005A7703">
      <w:pPr>
        <w:pStyle w:val="FootnoteText"/>
      </w:pPr>
      <w:r>
        <w:rPr>
          <w:rStyle w:val="FootnoteReference"/>
        </w:rPr>
        <w:footnoteRef/>
      </w:r>
      <w:r>
        <w:t xml:space="preserve"> CA, Section </w:t>
      </w:r>
      <w:r w:rsidRPr="00BF6B8D">
        <w:t xml:space="preserve">s </w:t>
      </w:r>
      <w:r>
        <w:t>224(4)(b).</w:t>
      </w:r>
    </w:p>
  </w:footnote>
  <w:footnote w:id="21">
    <w:p w14:paraId="003B36B3" w14:textId="34B9886F" w:rsidR="007F6EDE" w:rsidRDefault="007F6EDE">
      <w:pPr>
        <w:pStyle w:val="FootnoteText"/>
      </w:pPr>
      <w:r>
        <w:rPr>
          <w:rStyle w:val="FootnoteReference"/>
        </w:rPr>
        <w:footnoteRef/>
      </w:r>
      <w:r>
        <w:t xml:space="preserve"> CA, Section 92(e). </w:t>
      </w:r>
    </w:p>
  </w:footnote>
  <w:footnote w:id="22">
    <w:p w14:paraId="7B9088CF" w14:textId="08038A61" w:rsidR="005108B1" w:rsidRDefault="005108B1">
      <w:pPr>
        <w:pStyle w:val="FootnoteText"/>
      </w:pPr>
      <w:r>
        <w:rPr>
          <w:rStyle w:val="FootnoteReference"/>
        </w:rPr>
        <w:footnoteRef/>
      </w:r>
      <w:r>
        <w:t xml:space="preserve"> Guidance Text, Section 6.3.2.3, page 34. </w:t>
      </w:r>
    </w:p>
  </w:footnote>
  <w:footnote w:id="23">
    <w:p w14:paraId="05609965" w14:textId="78A3AF0F" w:rsidR="00DE1479" w:rsidRDefault="00DE1479" w:rsidP="00DE1479">
      <w:pPr>
        <w:pStyle w:val="FootnoteText"/>
      </w:pPr>
      <w:r>
        <w:rPr>
          <w:rStyle w:val="FootnoteReference"/>
        </w:rPr>
        <w:footnoteRef/>
      </w:r>
      <w:r>
        <w:t xml:space="preserve"> </w:t>
      </w:r>
      <w:r w:rsidRPr="00DE1479">
        <w:rPr>
          <w:i/>
          <w:iCs/>
        </w:rPr>
        <w:t>Tianrui (International) Holding Company Limited</w:t>
      </w:r>
      <w:r>
        <w:t xml:space="preserve"> [2020 (1) CILR 417]; </w:t>
      </w:r>
      <w:r w:rsidRPr="00DE1479">
        <w:rPr>
          <w:i/>
          <w:iCs/>
        </w:rPr>
        <w:t>In the Matter of Torchlight Fund LP</w:t>
      </w:r>
      <w:r>
        <w:t xml:space="preserve"> [2018 (1) CILR 290</w:t>
      </w:r>
      <w:r w:rsidR="004F12C5">
        <w:t xml:space="preserve">. </w:t>
      </w:r>
    </w:p>
  </w:footnote>
  <w:footnote w:id="24">
    <w:p w14:paraId="555108BF" w14:textId="0AF65C5A" w:rsidR="004F12C5" w:rsidRDefault="004F12C5">
      <w:pPr>
        <w:pStyle w:val="FootnoteText"/>
      </w:pPr>
      <w:r>
        <w:rPr>
          <w:rStyle w:val="FootnoteReference"/>
        </w:rPr>
        <w:footnoteRef/>
      </w:r>
      <w:r>
        <w:t xml:space="preserve"> </w:t>
      </w:r>
      <w:r w:rsidRPr="004F12C5">
        <w:t>[2016 (2) CILR 514]</w:t>
      </w:r>
      <w:r>
        <w:t xml:space="preserve">; </w:t>
      </w:r>
      <w:r w:rsidRPr="004F12C5">
        <w:t>[2019 (2) CILR 245]</w:t>
      </w:r>
      <w:r>
        <w:t xml:space="preserve">; </w:t>
      </w:r>
      <w:r w:rsidRPr="004F12C5">
        <w:t>[2019 (2) CILR 245]</w:t>
      </w:r>
      <w:r>
        <w:t xml:space="preserve">. </w:t>
      </w:r>
    </w:p>
  </w:footnote>
  <w:footnote w:id="25">
    <w:p w14:paraId="0FEEFB83" w14:textId="26688D22" w:rsidR="00D14016" w:rsidRDefault="00D14016">
      <w:pPr>
        <w:pStyle w:val="FootnoteText"/>
      </w:pPr>
      <w:r>
        <w:rPr>
          <w:rStyle w:val="FootnoteReference"/>
        </w:rPr>
        <w:footnoteRef/>
      </w:r>
      <w:r>
        <w:t xml:space="preserve"> Guidance Text, section 6.3.2.3, page 42. </w:t>
      </w:r>
    </w:p>
  </w:footnote>
  <w:footnote w:id="26">
    <w:p w14:paraId="12689B58" w14:textId="703B393B" w:rsidR="00A724BF" w:rsidRDefault="00A724BF">
      <w:pPr>
        <w:pStyle w:val="FootnoteText"/>
      </w:pPr>
      <w:r>
        <w:rPr>
          <w:rStyle w:val="FootnoteReference"/>
        </w:rPr>
        <w:footnoteRef/>
      </w:r>
      <w:r>
        <w:t xml:space="preserve"> CA, Section 147; Guidance Text, section 6.3.2.3, page 4</w:t>
      </w:r>
      <w:r w:rsidR="00270DB6">
        <w:t>3</w:t>
      </w:r>
      <w:r>
        <w:t>.</w:t>
      </w:r>
    </w:p>
  </w:footnote>
  <w:footnote w:id="27">
    <w:p w14:paraId="3DF38D45" w14:textId="7DA66D2E" w:rsidR="00233AB4" w:rsidRDefault="00233AB4">
      <w:pPr>
        <w:pStyle w:val="FootnoteText"/>
      </w:pPr>
      <w:r>
        <w:rPr>
          <w:rStyle w:val="FootnoteReference"/>
        </w:rPr>
        <w:footnoteRef/>
      </w:r>
      <w:r>
        <w:t xml:space="preserve"> Guidance Text, Section </w:t>
      </w:r>
      <w:r w:rsidRPr="00233AB4">
        <w:t>6.5.4.6</w:t>
      </w:r>
      <w:r>
        <w:t xml:space="preserve">. </w:t>
      </w:r>
    </w:p>
  </w:footnote>
  <w:footnote w:id="28">
    <w:p w14:paraId="514C741A" w14:textId="3F6A8D36" w:rsidR="007643D5" w:rsidRDefault="007643D5">
      <w:pPr>
        <w:pStyle w:val="FootnoteText"/>
      </w:pPr>
      <w:r>
        <w:rPr>
          <w:rStyle w:val="FootnoteReference"/>
        </w:rPr>
        <w:footnoteRef/>
      </w:r>
      <w:r>
        <w:t xml:space="preserve"> CA, Section 91.</w:t>
      </w:r>
    </w:p>
  </w:footnote>
  <w:footnote w:id="29">
    <w:p w14:paraId="140692E3" w14:textId="77BC8D88" w:rsidR="007643D5" w:rsidRDefault="007643D5">
      <w:pPr>
        <w:pStyle w:val="FootnoteText"/>
      </w:pPr>
      <w:r>
        <w:rPr>
          <w:rStyle w:val="FootnoteReference"/>
        </w:rPr>
        <w:footnoteRef/>
      </w:r>
      <w:r>
        <w:t xml:space="preserve"> CA, Section 91(d). </w:t>
      </w:r>
    </w:p>
  </w:footnote>
  <w:footnote w:id="30">
    <w:p w14:paraId="6DDFA5CC" w14:textId="246C1488" w:rsidR="0097302C" w:rsidRDefault="0097302C">
      <w:pPr>
        <w:pStyle w:val="FootnoteText"/>
      </w:pPr>
      <w:r>
        <w:rPr>
          <w:rStyle w:val="FootnoteReference"/>
        </w:rPr>
        <w:footnoteRef/>
      </w:r>
      <w:r>
        <w:t xml:space="preserve"> CWR</w:t>
      </w:r>
      <w:r w:rsidRPr="0097302C">
        <w:t>, O 1A, r 2(2)</w:t>
      </w:r>
      <w:r>
        <w:t>.</w:t>
      </w:r>
    </w:p>
  </w:footnote>
  <w:footnote w:id="31">
    <w:p w14:paraId="3AABBCAC" w14:textId="5C34A501" w:rsidR="0097302C" w:rsidRDefault="0097302C">
      <w:pPr>
        <w:pStyle w:val="FootnoteText"/>
      </w:pPr>
      <w:r>
        <w:rPr>
          <w:rStyle w:val="FootnoteReference"/>
        </w:rPr>
        <w:footnoteRef/>
      </w:r>
      <w:r>
        <w:t xml:space="preserve"> CWR</w:t>
      </w:r>
      <w:r w:rsidRPr="0097302C">
        <w:t xml:space="preserve">, O 1A, r </w:t>
      </w:r>
      <w:r>
        <w:t>1.</w:t>
      </w:r>
    </w:p>
  </w:footnote>
  <w:footnote w:id="32">
    <w:p w14:paraId="033F2D47" w14:textId="2ABE84F8" w:rsidR="00281D8B" w:rsidRDefault="00281D8B">
      <w:pPr>
        <w:pStyle w:val="FootnoteText"/>
      </w:pPr>
      <w:r>
        <w:rPr>
          <w:rStyle w:val="FootnoteReference"/>
        </w:rPr>
        <w:footnoteRef/>
      </w:r>
      <w:r>
        <w:t xml:space="preserve"> </w:t>
      </w:r>
      <w:r w:rsidRPr="00281D8B">
        <w:t>CWR, O 1A, r 5</w:t>
      </w:r>
      <w:r>
        <w:t xml:space="preserve">. </w:t>
      </w:r>
    </w:p>
  </w:footnote>
  <w:footnote w:id="33">
    <w:p w14:paraId="4E1B3FB8" w14:textId="3BB4F3C7" w:rsidR="004679FC" w:rsidRDefault="004679FC">
      <w:pPr>
        <w:pStyle w:val="FootnoteText"/>
      </w:pPr>
      <w:r>
        <w:rPr>
          <w:rStyle w:val="FootnoteReference"/>
        </w:rPr>
        <w:footnoteRef/>
      </w:r>
      <w:r>
        <w:t xml:space="preserve"> Guidance Text, page 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489E2" w14:textId="77777777" w:rsidR="00133FB6" w:rsidRDefault="00133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D65D8" w14:textId="77777777" w:rsidR="00133FB6" w:rsidRDefault="00133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30F2F" w14:textId="77777777" w:rsidR="00133FB6" w:rsidRDefault="0013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F9B043B"/>
    <w:multiLevelType w:val="hybridMultilevel"/>
    <w:tmpl w:val="25246322"/>
    <w:lvl w:ilvl="0" w:tplc="283E4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94045E"/>
    <w:multiLevelType w:val="hybridMultilevel"/>
    <w:tmpl w:val="FC18B6E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C946626"/>
    <w:multiLevelType w:val="hybridMultilevel"/>
    <w:tmpl w:val="3290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90574"/>
    <w:multiLevelType w:val="hybridMultilevel"/>
    <w:tmpl w:val="77AC9FEE"/>
    <w:lvl w:ilvl="0" w:tplc="283E4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6D138FD"/>
    <w:multiLevelType w:val="hybridMultilevel"/>
    <w:tmpl w:val="26249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F03487"/>
    <w:multiLevelType w:val="hybridMultilevel"/>
    <w:tmpl w:val="F6E68E8C"/>
    <w:lvl w:ilvl="0" w:tplc="9B6AE2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90539B"/>
    <w:multiLevelType w:val="hybridMultilevel"/>
    <w:tmpl w:val="4870599E"/>
    <w:lvl w:ilvl="0" w:tplc="8F46087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3097B"/>
    <w:multiLevelType w:val="hybridMultilevel"/>
    <w:tmpl w:val="252463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1432573">
    <w:abstractNumId w:val="45"/>
  </w:num>
  <w:num w:numId="2" w16cid:durableId="2037846713">
    <w:abstractNumId w:val="22"/>
  </w:num>
  <w:num w:numId="3" w16cid:durableId="1589196335">
    <w:abstractNumId w:val="18"/>
  </w:num>
  <w:num w:numId="4" w16cid:durableId="2012873476">
    <w:abstractNumId w:val="43"/>
  </w:num>
  <w:num w:numId="5" w16cid:durableId="1113859411">
    <w:abstractNumId w:val="19"/>
  </w:num>
  <w:num w:numId="6" w16cid:durableId="1529025903">
    <w:abstractNumId w:val="33"/>
  </w:num>
  <w:num w:numId="7" w16cid:durableId="979847781">
    <w:abstractNumId w:val="44"/>
  </w:num>
  <w:num w:numId="8" w16cid:durableId="1234704401">
    <w:abstractNumId w:val="38"/>
  </w:num>
  <w:num w:numId="9" w16cid:durableId="712460117">
    <w:abstractNumId w:val="16"/>
  </w:num>
  <w:num w:numId="10" w16cid:durableId="493376278">
    <w:abstractNumId w:val="10"/>
  </w:num>
  <w:num w:numId="11" w16cid:durableId="557210500">
    <w:abstractNumId w:val="12"/>
  </w:num>
  <w:num w:numId="12" w16cid:durableId="1152912494">
    <w:abstractNumId w:val="17"/>
  </w:num>
  <w:num w:numId="13" w16cid:durableId="702636961">
    <w:abstractNumId w:val="27"/>
  </w:num>
  <w:num w:numId="14" w16cid:durableId="1803687965">
    <w:abstractNumId w:val="3"/>
  </w:num>
  <w:num w:numId="15" w16cid:durableId="272172284">
    <w:abstractNumId w:val="13"/>
  </w:num>
  <w:num w:numId="16" w16cid:durableId="1099523622">
    <w:abstractNumId w:val="41"/>
  </w:num>
  <w:num w:numId="17" w16cid:durableId="1392998260">
    <w:abstractNumId w:val="6"/>
  </w:num>
  <w:num w:numId="18" w16cid:durableId="198199788">
    <w:abstractNumId w:val="8"/>
  </w:num>
  <w:num w:numId="19" w16cid:durableId="572545566">
    <w:abstractNumId w:val="30"/>
  </w:num>
  <w:num w:numId="20" w16cid:durableId="1835024117">
    <w:abstractNumId w:val="28"/>
  </w:num>
  <w:num w:numId="21" w16cid:durableId="1525054532">
    <w:abstractNumId w:val="2"/>
  </w:num>
  <w:num w:numId="22" w16cid:durableId="1281254726">
    <w:abstractNumId w:val="11"/>
  </w:num>
  <w:num w:numId="23" w16cid:durableId="1190410720">
    <w:abstractNumId w:val="47"/>
  </w:num>
  <w:num w:numId="24" w16cid:durableId="1378507901">
    <w:abstractNumId w:val="0"/>
  </w:num>
  <w:num w:numId="25" w16cid:durableId="763065536">
    <w:abstractNumId w:val="34"/>
  </w:num>
  <w:num w:numId="26" w16cid:durableId="1237937865">
    <w:abstractNumId w:val="9"/>
  </w:num>
  <w:num w:numId="27" w16cid:durableId="4215393">
    <w:abstractNumId w:val="14"/>
  </w:num>
  <w:num w:numId="28" w16cid:durableId="29916111">
    <w:abstractNumId w:val="4"/>
  </w:num>
  <w:num w:numId="29" w16cid:durableId="340201798">
    <w:abstractNumId w:val="7"/>
  </w:num>
  <w:num w:numId="30" w16cid:durableId="1777670066">
    <w:abstractNumId w:val="20"/>
  </w:num>
  <w:num w:numId="31" w16cid:durableId="1485774607">
    <w:abstractNumId w:val="29"/>
  </w:num>
  <w:num w:numId="32" w16cid:durableId="145172578">
    <w:abstractNumId w:val="24"/>
  </w:num>
  <w:num w:numId="33" w16cid:durableId="1676809188">
    <w:abstractNumId w:val="31"/>
  </w:num>
  <w:num w:numId="34" w16cid:durableId="1444419159">
    <w:abstractNumId w:val="21"/>
  </w:num>
  <w:num w:numId="35" w16cid:durableId="485165170">
    <w:abstractNumId w:val="15"/>
  </w:num>
  <w:num w:numId="36" w16cid:durableId="1258557534">
    <w:abstractNumId w:val="1"/>
  </w:num>
  <w:num w:numId="37" w16cid:durableId="261766110">
    <w:abstractNumId w:val="32"/>
  </w:num>
  <w:num w:numId="38" w16cid:durableId="955018065">
    <w:abstractNumId w:val="25"/>
  </w:num>
  <w:num w:numId="39" w16cid:durableId="1101485910">
    <w:abstractNumId w:val="39"/>
  </w:num>
  <w:num w:numId="40" w16cid:durableId="2095664648">
    <w:abstractNumId w:val="35"/>
  </w:num>
  <w:num w:numId="41" w16cid:durableId="13768560">
    <w:abstractNumId w:val="5"/>
  </w:num>
  <w:num w:numId="42" w16cid:durableId="2059553116">
    <w:abstractNumId w:val="23"/>
  </w:num>
  <w:num w:numId="43" w16cid:durableId="1693262052">
    <w:abstractNumId w:val="48"/>
  </w:num>
  <w:num w:numId="44" w16cid:durableId="1846481498">
    <w:abstractNumId w:val="37"/>
  </w:num>
  <w:num w:numId="45" w16cid:durableId="1599874268">
    <w:abstractNumId w:val="42"/>
  </w:num>
  <w:num w:numId="46" w16cid:durableId="506947757">
    <w:abstractNumId w:val="26"/>
  </w:num>
  <w:num w:numId="47" w16cid:durableId="2021932852">
    <w:abstractNumId w:val="40"/>
  </w:num>
  <w:num w:numId="48" w16cid:durableId="8992035">
    <w:abstractNumId w:val="46"/>
  </w:num>
  <w:num w:numId="49" w16cid:durableId="82327678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26DB"/>
    <w:rsid w:val="00023705"/>
    <w:rsid w:val="000250C7"/>
    <w:rsid w:val="00026F16"/>
    <w:rsid w:val="000342CB"/>
    <w:rsid w:val="00037621"/>
    <w:rsid w:val="000423D1"/>
    <w:rsid w:val="000433E4"/>
    <w:rsid w:val="00044D46"/>
    <w:rsid w:val="00045088"/>
    <w:rsid w:val="00045904"/>
    <w:rsid w:val="000502FD"/>
    <w:rsid w:val="00057257"/>
    <w:rsid w:val="000577D2"/>
    <w:rsid w:val="00065166"/>
    <w:rsid w:val="000659CF"/>
    <w:rsid w:val="00082609"/>
    <w:rsid w:val="000851CC"/>
    <w:rsid w:val="0008678F"/>
    <w:rsid w:val="00087F21"/>
    <w:rsid w:val="000925DA"/>
    <w:rsid w:val="00093BE8"/>
    <w:rsid w:val="00096420"/>
    <w:rsid w:val="000A407B"/>
    <w:rsid w:val="000A68ED"/>
    <w:rsid w:val="000A7BE7"/>
    <w:rsid w:val="000B26C1"/>
    <w:rsid w:val="000B5FF1"/>
    <w:rsid w:val="000B609F"/>
    <w:rsid w:val="000B7F75"/>
    <w:rsid w:val="000C15AA"/>
    <w:rsid w:val="000C3F26"/>
    <w:rsid w:val="000C7A3D"/>
    <w:rsid w:val="000D33BB"/>
    <w:rsid w:val="000D55A8"/>
    <w:rsid w:val="000E4841"/>
    <w:rsid w:val="000F1677"/>
    <w:rsid w:val="000F3D6C"/>
    <w:rsid w:val="000F6063"/>
    <w:rsid w:val="000F709F"/>
    <w:rsid w:val="001003FC"/>
    <w:rsid w:val="00101707"/>
    <w:rsid w:val="00102CC9"/>
    <w:rsid w:val="00103C92"/>
    <w:rsid w:val="0010593A"/>
    <w:rsid w:val="001108F8"/>
    <w:rsid w:val="00113C9E"/>
    <w:rsid w:val="0011473D"/>
    <w:rsid w:val="00115C85"/>
    <w:rsid w:val="00123855"/>
    <w:rsid w:val="00126A4D"/>
    <w:rsid w:val="00127805"/>
    <w:rsid w:val="00133FB6"/>
    <w:rsid w:val="0014171F"/>
    <w:rsid w:val="0014622C"/>
    <w:rsid w:val="001463D6"/>
    <w:rsid w:val="00152348"/>
    <w:rsid w:val="0015456D"/>
    <w:rsid w:val="00155959"/>
    <w:rsid w:val="00155FA2"/>
    <w:rsid w:val="00161F1B"/>
    <w:rsid w:val="00162829"/>
    <w:rsid w:val="00163644"/>
    <w:rsid w:val="0016583A"/>
    <w:rsid w:val="00172ADA"/>
    <w:rsid w:val="00176FF0"/>
    <w:rsid w:val="00180548"/>
    <w:rsid w:val="00180AC4"/>
    <w:rsid w:val="00180CCE"/>
    <w:rsid w:val="0018267A"/>
    <w:rsid w:val="00182779"/>
    <w:rsid w:val="001830DF"/>
    <w:rsid w:val="0018424C"/>
    <w:rsid w:val="00190BCB"/>
    <w:rsid w:val="001966D9"/>
    <w:rsid w:val="001A007A"/>
    <w:rsid w:val="001A22F8"/>
    <w:rsid w:val="001A7E9A"/>
    <w:rsid w:val="001B0F70"/>
    <w:rsid w:val="001B5016"/>
    <w:rsid w:val="001C45FC"/>
    <w:rsid w:val="001D0469"/>
    <w:rsid w:val="001D13A8"/>
    <w:rsid w:val="001D29C0"/>
    <w:rsid w:val="001D4862"/>
    <w:rsid w:val="001E0B4A"/>
    <w:rsid w:val="001E25B9"/>
    <w:rsid w:val="001E49E0"/>
    <w:rsid w:val="001E7B5A"/>
    <w:rsid w:val="001F16A2"/>
    <w:rsid w:val="001F7412"/>
    <w:rsid w:val="0020090A"/>
    <w:rsid w:val="00202DFE"/>
    <w:rsid w:val="0020725B"/>
    <w:rsid w:val="00207387"/>
    <w:rsid w:val="00210493"/>
    <w:rsid w:val="002110F1"/>
    <w:rsid w:val="00213441"/>
    <w:rsid w:val="00216D13"/>
    <w:rsid w:val="002172B8"/>
    <w:rsid w:val="00221152"/>
    <w:rsid w:val="00227ED1"/>
    <w:rsid w:val="00233AB4"/>
    <w:rsid w:val="002356EA"/>
    <w:rsid w:val="0024116D"/>
    <w:rsid w:val="00241B44"/>
    <w:rsid w:val="00241BC4"/>
    <w:rsid w:val="00241FA3"/>
    <w:rsid w:val="00245EFB"/>
    <w:rsid w:val="002476AF"/>
    <w:rsid w:val="0025386E"/>
    <w:rsid w:val="00256802"/>
    <w:rsid w:val="002638B0"/>
    <w:rsid w:val="0026647A"/>
    <w:rsid w:val="002668D3"/>
    <w:rsid w:val="00270DB6"/>
    <w:rsid w:val="0027299F"/>
    <w:rsid w:val="00281D8B"/>
    <w:rsid w:val="00284EBE"/>
    <w:rsid w:val="002903A7"/>
    <w:rsid w:val="00292804"/>
    <w:rsid w:val="0029433F"/>
    <w:rsid w:val="00294829"/>
    <w:rsid w:val="0029690F"/>
    <w:rsid w:val="00297C8A"/>
    <w:rsid w:val="002A2A60"/>
    <w:rsid w:val="002A2C21"/>
    <w:rsid w:val="002A37BB"/>
    <w:rsid w:val="002A4B95"/>
    <w:rsid w:val="002B1C45"/>
    <w:rsid w:val="002B3A96"/>
    <w:rsid w:val="002B6722"/>
    <w:rsid w:val="002C13C8"/>
    <w:rsid w:val="002C3547"/>
    <w:rsid w:val="002C4B43"/>
    <w:rsid w:val="002D0021"/>
    <w:rsid w:val="002D299D"/>
    <w:rsid w:val="002D3473"/>
    <w:rsid w:val="002D7CAC"/>
    <w:rsid w:val="002E5A91"/>
    <w:rsid w:val="002F1956"/>
    <w:rsid w:val="002F3440"/>
    <w:rsid w:val="002F49C5"/>
    <w:rsid w:val="002F75A3"/>
    <w:rsid w:val="00301C16"/>
    <w:rsid w:val="00303C2F"/>
    <w:rsid w:val="003042CB"/>
    <w:rsid w:val="00304488"/>
    <w:rsid w:val="00305564"/>
    <w:rsid w:val="00310533"/>
    <w:rsid w:val="003144EF"/>
    <w:rsid w:val="003251B6"/>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87B22"/>
    <w:rsid w:val="00390B57"/>
    <w:rsid w:val="00391568"/>
    <w:rsid w:val="00391C9D"/>
    <w:rsid w:val="003938A1"/>
    <w:rsid w:val="003948D5"/>
    <w:rsid w:val="00396821"/>
    <w:rsid w:val="00397D3A"/>
    <w:rsid w:val="003A051E"/>
    <w:rsid w:val="003A2780"/>
    <w:rsid w:val="003B170F"/>
    <w:rsid w:val="003B3C5F"/>
    <w:rsid w:val="003C0E39"/>
    <w:rsid w:val="003C4471"/>
    <w:rsid w:val="003D051F"/>
    <w:rsid w:val="003D0A6D"/>
    <w:rsid w:val="003D1E35"/>
    <w:rsid w:val="003E0B16"/>
    <w:rsid w:val="003E67D1"/>
    <w:rsid w:val="003E7675"/>
    <w:rsid w:val="003F2C7C"/>
    <w:rsid w:val="00400517"/>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679FC"/>
    <w:rsid w:val="00472DD9"/>
    <w:rsid w:val="00477C72"/>
    <w:rsid w:val="0048389E"/>
    <w:rsid w:val="0048787C"/>
    <w:rsid w:val="00491675"/>
    <w:rsid w:val="00493855"/>
    <w:rsid w:val="00495E79"/>
    <w:rsid w:val="004A2D83"/>
    <w:rsid w:val="004A3D56"/>
    <w:rsid w:val="004A57DD"/>
    <w:rsid w:val="004A7B51"/>
    <w:rsid w:val="004A7D71"/>
    <w:rsid w:val="004A7EF3"/>
    <w:rsid w:val="004B11FD"/>
    <w:rsid w:val="004B23A2"/>
    <w:rsid w:val="004B2A7F"/>
    <w:rsid w:val="004C447D"/>
    <w:rsid w:val="004C5EAD"/>
    <w:rsid w:val="004D1A5A"/>
    <w:rsid w:val="004D2FFF"/>
    <w:rsid w:val="004D3721"/>
    <w:rsid w:val="004D4774"/>
    <w:rsid w:val="004D64F9"/>
    <w:rsid w:val="004E3A6B"/>
    <w:rsid w:val="004E622C"/>
    <w:rsid w:val="004F12C5"/>
    <w:rsid w:val="004F56FE"/>
    <w:rsid w:val="004F5FDF"/>
    <w:rsid w:val="00501EDC"/>
    <w:rsid w:val="005108B1"/>
    <w:rsid w:val="005177FE"/>
    <w:rsid w:val="0052263B"/>
    <w:rsid w:val="00524728"/>
    <w:rsid w:val="00527EDC"/>
    <w:rsid w:val="00532230"/>
    <w:rsid w:val="00532745"/>
    <w:rsid w:val="005327B7"/>
    <w:rsid w:val="005331CA"/>
    <w:rsid w:val="00537970"/>
    <w:rsid w:val="00540E3A"/>
    <w:rsid w:val="00544127"/>
    <w:rsid w:val="005463A9"/>
    <w:rsid w:val="00551038"/>
    <w:rsid w:val="00553EB2"/>
    <w:rsid w:val="00555B31"/>
    <w:rsid w:val="00560534"/>
    <w:rsid w:val="00562475"/>
    <w:rsid w:val="0056391B"/>
    <w:rsid w:val="005650E2"/>
    <w:rsid w:val="00567AD7"/>
    <w:rsid w:val="00575B2D"/>
    <w:rsid w:val="005833D0"/>
    <w:rsid w:val="005846F3"/>
    <w:rsid w:val="0058622F"/>
    <w:rsid w:val="00592F82"/>
    <w:rsid w:val="005A0CCA"/>
    <w:rsid w:val="005A2E18"/>
    <w:rsid w:val="005A6C3A"/>
    <w:rsid w:val="005A6FF2"/>
    <w:rsid w:val="005A726D"/>
    <w:rsid w:val="005A7703"/>
    <w:rsid w:val="005B67AC"/>
    <w:rsid w:val="005B79F4"/>
    <w:rsid w:val="005C5A6D"/>
    <w:rsid w:val="005D16DD"/>
    <w:rsid w:val="005D43E0"/>
    <w:rsid w:val="005D58A3"/>
    <w:rsid w:val="005E1117"/>
    <w:rsid w:val="005E1B79"/>
    <w:rsid w:val="005E6076"/>
    <w:rsid w:val="005E7008"/>
    <w:rsid w:val="005F026D"/>
    <w:rsid w:val="005F2AEA"/>
    <w:rsid w:val="005F2D0B"/>
    <w:rsid w:val="005F4B31"/>
    <w:rsid w:val="0060267E"/>
    <w:rsid w:val="00610388"/>
    <w:rsid w:val="00610AC7"/>
    <w:rsid w:val="006119AB"/>
    <w:rsid w:val="00612CA5"/>
    <w:rsid w:val="006153EC"/>
    <w:rsid w:val="00621A17"/>
    <w:rsid w:val="00627CC9"/>
    <w:rsid w:val="00627E7B"/>
    <w:rsid w:val="00630542"/>
    <w:rsid w:val="00632E44"/>
    <w:rsid w:val="00633808"/>
    <w:rsid w:val="00634622"/>
    <w:rsid w:val="00636808"/>
    <w:rsid w:val="00641515"/>
    <w:rsid w:val="00650CB6"/>
    <w:rsid w:val="00650FE1"/>
    <w:rsid w:val="0065284B"/>
    <w:rsid w:val="00654C2F"/>
    <w:rsid w:val="00657087"/>
    <w:rsid w:val="006574C0"/>
    <w:rsid w:val="00661556"/>
    <w:rsid w:val="006639DB"/>
    <w:rsid w:val="006661EF"/>
    <w:rsid w:val="0067256F"/>
    <w:rsid w:val="00672E5B"/>
    <w:rsid w:val="0067763D"/>
    <w:rsid w:val="00677AEB"/>
    <w:rsid w:val="00677DC8"/>
    <w:rsid w:val="00680EF2"/>
    <w:rsid w:val="00685EA7"/>
    <w:rsid w:val="00687A1D"/>
    <w:rsid w:val="0069732C"/>
    <w:rsid w:val="00697EA1"/>
    <w:rsid w:val="006A2646"/>
    <w:rsid w:val="006A43B3"/>
    <w:rsid w:val="006A5375"/>
    <w:rsid w:val="006A6530"/>
    <w:rsid w:val="006B28CB"/>
    <w:rsid w:val="006B38D2"/>
    <w:rsid w:val="006B435A"/>
    <w:rsid w:val="006B4C64"/>
    <w:rsid w:val="006B580E"/>
    <w:rsid w:val="006C40DB"/>
    <w:rsid w:val="006D3DC9"/>
    <w:rsid w:val="006D5494"/>
    <w:rsid w:val="006D6BD5"/>
    <w:rsid w:val="006E481A"/>
    <w:rsid w:val="006E5298"/>
    <w:rsid w:val="006F05FA"/>
    <w:rsid w:val="006F4A78"/>
    <w:rsid w:val="006F734A"/>
    <w:rsid w:val="00700D83"/>
    <w:rsid w:val="00701D9F"/>
    <w:rsid w:val="00704852"/>
    <w:rsid w:val="007074E9"/>
    <w:rsid w:val="00713DA4"/>
    <w:rsid w:val="00714BF1"/>
    <w:rsid w:val="00721383"/>
    <w:rsid w:val="00727975"/>
    <w:rsid w:val="0073158B"/>
    <w:rsid w:val="007333CC"/>
    <w:rsid w:val="0073399A"/>
    <w:rsid w:val="00740DAD"/>
    <w:rsid w:val="0074689A"/>
    <w:rsid w:val="00746E37"/>
    <w:rsid w:val="00754BDA"/>
    <w:rsid w:val="00756650"/>
    <w:rsid w:val="007603F5"/>
    <w:rsid w:val="007643D5"/>
    <w:rsid w:val="00764DB0"/>
    <w:rsid w:val="0076764D"/>
    <w:rsid w:val="0077498C"/>
    <w:rsid w:val="00775E93"/>
    <w:rsid w:val="007808EB"/>
    <w:rsid w:val="007809BC"/>
    <w:rsid w:val="00784128"/>
    <w:rsid w:val="00784548"/>
    <w:rsid w:val="00787BCC"/>
    <w:rsid w:val="007914D4"/>
    <w:rsid w:val="00793173"/>
    <w:rsid w:val="0079520B"/>
    <w:rsid w:val="007A2A33"/>
    <w:rsid w:val="007B22CF"/>
    <w:rsid w:val="007B3A5E"/>
    <w:rsid w:val="007B5C89"/>
    <w:rsid w:val="007C1FCC"/>
    <w:rsid w:val="007C6201"/>
    <w:rsid w:val="007D11EE"/>
    <w:rsid w:val="007D7C92"/>
    <w:rsid w:val="007E03FA"/>
    <w:rsid w:val="007E0E63"/>
    <w:rsid w:val="007E1154"/>
    <w:rsid w:val="007E3906"/>
    <w:rsid w:val="007E6BA4"/>
    <w:rsid w:val="007F41F8"/>
    <w:rsid w:val="007F4666"/>
    <w:rsid w:val="007F659B"/>
    <w:rsid w:val="007F6EDE"/>
    <w:rsid w:val="00803C72"/>
    <w:rsid w:val="0080454E"/>
    <w:rsid w:val="00804C32"/>
    <w:rsid w:val="00806302"/>
    <w:rsid w:val="008070CA"/>
    <w:rsid w:val="00807119"/>
    <w:rsid w:val="0082483F"/>
    <w:rsid w:val="008279C0"/>
    <w:rsid w:val="00853516"/>
    <w:rsid w:val="00853B56"/>
    <w:rsid w:val="008603C4"/>
    <w:rsid w:val="008672CD"/>
    <w:rsid w:val="00867701"/>
    <w:rsid w:val="008723F3"/>
    <w:rsid w:val="00876F56"/>
    <w:rsid w:val="00881DE6"/>
    <w:rsid w:val="008837A6"/>
    <w:rsid w:val="00891116"/>
    <w:rsid w:val="0089145D"/>
    <w:rsid w:val="008959EB"/>
    <w:rsid w:val="00896318"/>
    <w:rsid w:val="008A4DF2"/>
    <w:rsid w:val="008A6BA0"/>
    <w:rsid w:val="008A6CFE"/>
    <w:rsid w:val="008B5333"/>
    <w:rsid w:val="008B6223"/>
    <w:rsid w:val="008C4FD6"/>
    <w:rsid w:val="008C66E0"/>
    <w:rsid w:val="008D7C65"/>
    <w:rsid w:val="008E3339"/>
    <w:rsid w:val="008E33D5"/>
    <w:rsid w:val="008F20FC"/>
    <w:rsid w:val="008F2742"/>
    <w:rsid w:val="008F5FFE"/>
    <w:rsid w:val="008F6CAB"/>
    <w:rsid w:val="00905A43"/>
    <w:rsid w:val="00912C79"/>
    <w:rsid w:val="00920BE7"/>
    <w:rsid w:val="00921B8C"/>
    <w:rsid w:val="00924973"/>
    <w:rsid w:val="00927C9D"/>
    <w:rsid w:val="00931FD7"/>
    <w:rsid w:val="00942123"/>
    <w:rsid w:val="0095207B"/>
    <w:rsid w:val="00952187"/>
    <w:rsid w:val="00952905"/>
    <w:rsid w:val="00962045"/>
    <w:rsid w:val="0097302C"/>
    <w:rsid w:val="0097532E"/>
    <w:rsid w:val="00976212"/>
    <w:rsid w:val="009779EE"/>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9F4B5E"/>
    <w:rsid w:val="009F615B"/>
    <w:rsid w:val="00A02163"/>
    <w:rsid w:val="00A02415"/>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724BF"/>
    <w:rsid w:val="00A81029"/>
    <w:rsid w:val="00A845F5"/>
    <w:rsid w:val="00A85208"/>
    <w:rsid w:val="00A96489"/>
    <w:rsid w:val="00AA48CC"/>
    <w:rsid w:val="00AB0E3A"/>
    <w:rsid w:val="00AB2425"/>
    <w:rsid w:val="00AB3A1D"/>
    <w:rsid w:val="00AB685C"/>
    <w:rsid w:val="00AB6C2D"/>
    <w:rsid w:val="00AC08F7"/>
    <w:rsid w:val="00AC2F1F"/>
    <w:rsid w:val="00AC3839"/>
    <w:rsid w:val="00AC43F8"/>
    <w:rsid w:val="00AC7082"/>
    <w:rsid w:val="00AD12C7"/>
    <w:rsid w:val="00AD300F"/>
    <w:rsid w:val="00AD4BE8"/>
    <w:rsid w:val="00AE06D9"/>
    <w:rsid w:val="00AE3365"/>
    <w:rsid w:val="00AF228E"/>
    <w:rsid w:val="00B016A8"/>
    <w:rsid w:val="00B14819"/>
    <w:rsid w:val="00B14F07"/>
    <w:rsid w:val="00B15E2F"/>
    <w:rsid w:val="00B17AA9"/>
    <w:rsid w:val="00B31398"/>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270A"/>
    <w:rsid w:val="00BE4FF3"/>
    <w:rsid w:val="00BE7DA7"/>
    <w:rsid w:val="00BF43E7"/>
    <w:rsid w:val="00BF4447"/>
    <w:rsid w:val="00BF50F7"/>
    <w:rsid w:val="00BF6B8D"/>
    <w:rsid w:val="00C02F29"/>
    <w:rsid w:val="00C12AB5"/>
    <w:rsid w:val="00C13B60"/>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069E"/>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D5C25"/>
    <w:rsid w:val="00CD7D91"/>
    <w:rsid w:val="00CE1035"/>
    <w:rsid w:val="00CE6E50"/>
    <w:rsid w:val="00CF2819"/>
    <w:rsid w:val="00CF4F9D"/>
    <w:rsid w:val="00CF70DC"/>
    <w:rsid w:val="00D063C2"/>
    <w:rsid w:val="00D06A87"/>
    <w:rsid w:val="00D117F9"/>
    <w:rsid w:val="00D14016"/>
    <w:rsid w:val="00D14548"/>
    <w:rsid w:val="00D148DC"/>
    <w:rsid w:val="00D17FDC"/>
    <w:rsid w:val="00D21D8C"/>
    <w:rsid w:val="00D27CBC"/>
    <w:rsid w:val="00D32180"/>
    <w:rsid w:val="00D40D90"/>
    <w:rsid w:val="00D53719"/>
    <w:rsid w:val="00D6188D"/>
    <w:rsid w:val="00D63EFD"/>
    <w:rsid w:val="00D73E9C"/>
    <w:rsid w:val="00D84752"/>
    <w:rsid w:val="00D86B3B"/>
    <w:rsid w:val="00D8748A"/>
    <w:rsid w:val="00D91479"/>
    <w:rsid w:val="00D93196"/>
    <w:rsid w:val="00DA017C"/>
    <w:rsid w:val="00DA0DC0"/>
    <w:rsid w:val="00DB243C"/>
    <w:rsid w:val="00DB482A"/>
    <w:rsid w:val="00DB50FB"/>
    <w:rsid w:val="00DB56F2"/>
    <w:rsid w:val="00DB6EF5"/>
    <w:rsid w:val="00DC3089"/>
    <w:rsid w:val="00DC4420"/>
    <w:rsid w:val="00DD0802"/>
    <w:rsid w:val="00DD262A"/>
    <w:rsid w:val="00DD2E11"/>
    <w:rsid w:val="00DE03AF"/>
    <w:rsid w:val="00DE121C"/>
    <w:rsid w:val="00DE1479"/>
    <w:rsid w:val="00DE6633"/>
    <w:rsid w:val="00DE68DE"/>
    <w:rsid w:val="00DF75F8"/>
    <w:rsid w:val="00DF7A3A"/>
    <w:rsid w:val="00E00C00"/>
    <w:rsid w:val="00E04BDF"/>
    <w:rsid w:val="00E07C5A"/>
    <w:rsid w:val="00E11C54"/>
    <w:rsid w:val="00E15BA9"/>
    <w:rsid w:val="00E177F0"/>
    <w:rsid w:val="00E25582"/>
    <w:rsid w:val="00E26E19"/>
    <w:rsid w:val="00E31DF3"/>
    <w:rsid w:val="00E4294D"/>
    <w:rsid w:val="00E450A4"/>
    <w:rsid w:val="00E45C5C"/>
    <w:rsid w:val="00E506BE"/>
    <w:rsid w:val="00E55547"/>
    <w:rsid w:val="00E55912"/>
    <w:rsid w:val="00E56D8F"/>
    <w:rsid w:val="00E6302B"/>
    <w:rsid w:val="00E6452F"/>
    <w:rsid w:val="00E64F45"/>
    <w:rsid w:val="00E6742D"/>
    <w:rsid w:val="00E71CB0"/>
    <w:rsid w:val="00E77C3D"/>
    <w:rsid w:val="00E86DA6"/>
    <w:rsid w:val="00E90991"/>
    <w:rsid w:val="00E909F0"/>
    <w:rsid w:val="00E90D47"/>
    <w:rsid w:val="00E93993"/>
    <w:rsid w:val="00E9597C"/>
    <w:rsid w:val="00E96067"/>
    <w:rsid w:val="00EA0913"/>
    <w:rsid w:val="00EA5B00"/>
    <w:rsid w:val="00EA6EC9"/>
    <w:rsid w:val="00EB146B"/>
    <w:rsid w:val="00EB45AC"/>
    <w:rsid w:val="00EC39C2"/>
    <w:rsid w:val="00EC441F"/>
    <w:rsid w:val="00EC4755"/>
    <w:rsid w:val="00EC6D86"/>
    <w:rsid w:val="00EC7941"/>
    <w:rsid w:val="00ED0BC4"/>
    <w:rsid w:val="00ED447D"/>
    <w:rsid w:val="00ED5BDC"/>
    <w:rsid w:val="00EE425D"/>
    <w:rsid w:val="00EE4971"/>
    <w:rsid w:val="00EE6CB0"/>
    <w:rsid w:val="00EF090E"/>
    <w:rsid w:val="00EF5572"/>
    <w:rsid w:val="00F033DA"/>
    <w:rsid w:val="00F0524D"/>
    <w:rsid w:val="00F1258F"/>
    <w:rsid w:val="00F13691"/>
    <w:rsid w:val="00F13FB1"/>
    <w:rsid w:val="00F27CD8"/>
    <w:rsid w:val="00F30351"/>
    <w:rsid w:val="00F3323E"/>
    <w:rsid w:val="00F341F4"/>
    <w:rsid w:val="00F34F9D"/>
    <w:rsid w:val="00F35CCE"/>
    <w:rsid w:val="00F40B00"/>
    <w:rsid w:val="00F462DF"/>
    <w:rsid w:val="00F5524B"/>
    <w:rsid w:val="00F60538"/>
    <w:rsid w:val="00F61DD2"/>
    <w:rsid w:val="00F66AFF"/>
    <w:rsid w:val="00F71433"/>
    <w:rsid w:val="00F730FA"/>
    <w:rsid w:val="00F81918"/>
    <w:rsid w:val="00F97C5B"/>
    <w:rsid w:val="00FA18CF"/>
    <w:rsid w:val="00FA25B9"/>
    <w:rsid w:val="00FA3D50"/>
    <w:rsid w:val="00FB721C"/>
    <w:rsid w:val="00FB78D5"/>
    <w:rsid w:val="00FB7FBD"/>
    <w:rsid w:val="00FC0C2C"/>
    <w:rsid w:val="00FC374A"/>
    <w:rsid w:val="00FC74C8"/>
    <w:rsid w:val="00FC7B47"/>
    <w:rsid w:val="00FD035C"/>
    <w:rsid w:val="00FD1A35"/>
    <w:rsid w:val="00FD2EA4"/>
    <w:rsid w:val="00FD36C5"/>
    <w:rsid w:val="00FD5A11"/>
    <w:rsid w:val="00FD6094"/>
    <w:rsid w:val="00FD6310"/>
    <w:rsid w:val="00FD7C7B"/>
    <w:rsid w:val="00FE08A2"/>
    <w:rsid w:val="00FE1D12"/>
    <w:rsid w:val="00FE2122"/>
    <w:rsid w:val="00FE2A86"/>
    <w:rsid w:val="00FE2DE2"/>
    <w:rsid w:val="00FF1E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customStyle="1" w:styleId="fontstyle01">
    <w:name w:val="fontstyle01"/>
    <w:basedOn w:val="DefaultParagraphFont"/>
    <w:rsid w:val="003251B6"/>
    <w:rPr>
      <w:rFonts w:ascii="FEFE766B1BC-Roman" w:hAnsi="FEFE766B1BC-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22334">
      <w:bodyDiv w:val="1"/>
      <w:marLeft w:val="0"/>
      <w:marRight w:val="0"/>
      <w:marTop w:val="0"/>
      <w:marBottom w:val="0"/>
      <w:divBdr>
        <w:top w:val="none" w:sz="0" w:space="0" w:color="auto"/>
        <w:left w:val="none" w:sz="0" w:space="0" w:color="auto"/>
        <w:bottom w:val="none" w:sz="0" w:space="0" w:color="auto"/>
        <w:right w:val="none" w:sz="0" w:space="0" w:color="auto"/>
      </w:divBdr>
    </w:div>
    <w:div w:id="198669306">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14715415">
      <w:bodyDiv w:val="1"/>
      <w:marLeft w:val="0"/>
      <w:marRight w:val="0"/>
      <w:marTop w:val="0"/>
      <w:marBottom w:val="0"/>
      <w:divBdr>
        <w:top w:val="none" w:sz="0" w:space="0" w:color="auto"/>
        <w:left w:val="none" w:sz="0" w:space="0" w:color="auto"/>
        <w:bottom w:val="none" w:sz="0" w:space="0" w:color="auto"/>
        <w:right w:val="none" w:sz="0" w:space="0" w:color="auto"/>
      </w:divBdr>
    </w:div>
    <w:div w:id="452869050">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47993192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40702747">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76805364">
      <w:bodyDiv w:val="1"/>
      <w:marLeft w:val="0"/>
      <w:marRight w:val="0"/>
      <w:marTop w:val="0"/>
      <w:marBottom w:val="0"/>
      <w:divBdr>
        <w:top w:val="none" w:sz="0" w:space="0" w:color="auto"/>
        <w:left w:val="none" w:sz="0" w:space="0" w:color="auto"/>
        <w:bottom w:val="none" w:sz="0" w:space="0" w:color="auto"/>
        <w:right w:val="none" w:sz="0" w:space="0" w:color="auto"/>
      </w:divBdr>
    </w:div>
    <w:div w:id="747075186">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4856939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4953382">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2074610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72206855">
      <w:bodyDiv w:val="1"/>
      <w:marLeft w:val="0"/>
      <w:marRight w:val="0"/>
      <w:marTop w:val="0"/>
      <w:marBottom w:val="0"/>
      <w:divBdr>
        <w:top w:val="none" w:sz="0" w:space="0" w:color="auto"/>
        <w:left w:val="none" w:sz="0" w:space="0" w:color="auto"/>
        <w:bottom w:val="none" w:sz="0" w:space="0" w:color="auto"/>
        <w:right w:val="none" w:sz="0" w:space="0" w:color="auto"/>
      </w:divBdr>
    </w:div>
    <w:div w:id="1478691870">
      <w:bodyDiv w:val="1"/>
      <w:marLeft w:val="0"/>
      <w:marRight w:val="0"/>
      <w:marTop w:val="0"/>
      <w:marBottom w:val="0"/>
      <w:divBdr>
        <w:top w:val="none" w:sz="0" w:space="0" w:color="auto"/>
        <w:left w:val="none" w:sz="0" w:space="0" w:color="auto"/>
        <w:bottom w:val="none" w:sz="0" w:space="0" w:color="auto"/>
        <w:right w:val="none" w:sz="0" w:space="0" w:color="auto"/>
      </w:divBdr>
    </w:div>
    <w:div w:id="14843934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546599366">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8055</Words>
  <Characters>39631</Characters>
  <Application>Microsoft Office Word</Application>
  <DocSecurity>0</DocSecurity>
  <Lines>843</Lines>
  <Paragraphs>262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Ella van der Schans</cp:lastModifiedBy>
  <cp:revision>2</cp:revision>
  <cp:lastPrinted>2019-08-27T05:42:00Z</cp:lastPrinted>
  <dcterms:created xsi:type="dcterms:W3CDTF">2024-07-01T21:14:00Z</dcterms:created>
  <dcterms:modified xsi:type="dcterms:W3CDTF">2024-07-01T21:14:00Z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#250375979v1&lt;LIVE&gt; - FC202324-1328.assessment5C</vt:lpwstr>
  </property>
</Properties>
</file>