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D31656" w:rsidRDefault="00AE5B6F" w:rsidP="00B04033">
      <w:pPr>
        <w:pStyle w:val="ListParagraph"/>
        <w:numPr>
          <w:ilvl w:val="0"/>
          <w:numId w:val="1"/>
        </w:numPr>
        <w:ind w:left="426"/>
        <w:jc w:val="both"/>
        <w:rPr>
          <w:rFonts w:ascii="Avenir Next" w:hAnsi="Avenir Next" w:cs="Arial"/>
          <w:sz w:val="22"/>
          <w:szCs w:val="22"/>
          <w:highlight w:val="yellow"/>
          <w:lang w:val="en-GB"/>
        </w:rPr>
      </w:pPr>
      <w:r w:rsidRPr="00D31656">
        <w:rPr>
          <w:rFonts w:ascii="Avenir Next" w:hAnsi="Avenir Next" w:cs="Arial"/>
          <w:sz w:val="22"/>
          <w:szCs w:val="22"/>
          <w:highlight w:val="yellow"/>
          <w:lang w:val="en-GB"/>
        </w:rPr>
        <w:t>w</w:t>
      </w:r>
      <w:r w:rsidR="00C91062" w:rsidRPr="00D31656">
        <w:rPr>
          <w:rFonts w:ascii="Avenir Next" w:hAnsi="Avenir Next" w:cs="Arial"/>
          <w:sz w:val="22"/>
          <w:szCs w:val="22"/>
          <w:highlight w:val="yellow"/>
          <w:lang w:val="en-GB"/>
        </w:rPr>
        <w:t xml:space="preserve">ithin </w:t>
      </w:r>
      <w:r w:rsidR="00733A34" w:rsidRPr="00D31656">
        <w:rPr>
          <w:rFonts w:ascii="Avenir Next" w:hAnsi="Avenir Next" w:cs="Arial"/>
          <w:sz w:val="22"/>
          <w:szCs w:val="22"/>
          <w:highlight w:val="yellow"/>
          <w:lang w:val="en-GB"/>
        </w:rPr>
        <w:t>eight</w:t>
      </w:r>
      <w:r w:rsidR="00C91062" w:rsidRPr="00D31656">
        <w:rPr>
          <w:rFonts w:ascii="Avenir Next" w:hAnsi="Avenir Next" w:cs="Arial"/>
          <w:sz w:val="22"/>
          <w:szCs w:val="22"/>
          <w:highlight w:val="yellow"/>
          <w:lang w:val="en-GB"/>
        </w:rPr>
        <w:t xml:space="preserve"> weeks of the commencement of the administration</w:t>
      </w:r>
      <w:r w:rsidR="00763348" w:rsidRPr="00D31656">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D31656" w:rsidRDefault="00E443D7" w:rsidP="00C55824">
      <w:pPr>
        <w:pStyle w:val="ListParagraph"/>
        <w:numPr>
          <w:ilvl w:val="0"/>
          <w:numId w:val="2"/>
        </w:numPr>
        <w:ind w:left="426"/>
        <w:jc w:val="both"/>
        <w:rPr>
          <w:rFonts w:ascii="Avenir Next" w:hAnsi="Avenir Next" w:cs="Arial"/>
          <w:sz w:val="22"/>
          <w:szCs w:val="22"/>
          <w:highlight w:val="yellow"/>
          <w:lang w:val="en-GB"/>
        </w:rPr>
      </w:pPr>
      <w:r w:rsidRPr="00D31656">
        <w:rPr>
          <w:rFonts w:ascii="Avenir Next" w:hAnsi="Avenir Next" w:cs="Arial"/>
          <w:sz w:val="22"/>
          <w:szCs w:val="22"/>
          <w:highlight w:val="yellow"/>
          <w:lang w:val="en-GB"/>
        </w:rPr>
        <w:t>One year</w:t>
      </w:r>
      <w:r w:rsidR="00763348" w:rsidRPr="00D31656">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w:t>
      </w:r>
      <w:proofErr w:type="gramStart"/>
      <w:r w:rsidRPr="00197F24">
        <w:rPr>
          <w:rFonts w:ascii="Avenir Next" w:hAnsi="Avenir Next" w:cs="Arial"/>
          <w:sz w:val="22"/>
          <w:szCs w:val="22"/>
          <w:lang w:val="en-GB"/>
        </w:rPr>
        <w:t>enter into</w:t>
      </w:r>
      <w:proofErr w:type="gramEnd"/>
      <w:r w:rsidRPr="00197F24">
        <w:rPr>
          <w:rFonts w:ascii="Avenir Next" w:hAnsi="Avenir Next" w:cs="Arial"/>
          <w:sz w:val="22"/>
          <w:szCs w:val="22"/>
          <w:lang w:val="en-GB"/>
        </w:rPr>
        <w:t xml:space="preserve">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D31656" w:rsidRDefault="00AE5B6F" w:rsidP="00B04033">
      <w:pPr>
        <w:pStyle w:val="ListParagraph"/>
        <w:numPr>
          <w:ilvl w:val="0"/>
          <w:numId w:val="3"/>
        </w:numPr>
        <w:ind w:left="426"/>
        <w:jc w:val="both"/>
        <w:rPr>
          <w:rFonts w:ascii="Avenir Next" w:hAnsi="Avenir Next" w:cs="Arial"/>
          <w:sz w:val="22"/>
          <w:szCs w:val="22"/>
          <w:highlight w:val="yellow"/>
          <w:lang w:val="en-GB"/>
        </w:rPr>
      </w:pPr>
      <w:r w:rsidRPr="00D31656">
        <w:rPr>
          <w:rFonts w:ascii="Avenir Next" w:hAnsi="Avenir Next" w:cs="Arial"/>
          <w:sz w:val="22"/>
          <w:szCs w:val="22"/>
          <w:highlight w:val="yellow"/>
          <w:lang w:val="en-GB"/>
        </w:rPr>
        <w:t>T</w:t>
      </w:r>
      <w:r w:rsidR="008D1616" w:rsidRPr="00D31656">
        <w:rPr>
          <w:rFonts w:ascii="Avenir Next" w:hAnsi="Avenir Next" w:cs="Arial"/>
          <w:sz w:val="22"/>
          <w:szCs w:val="22"/>
          <w:highlight w:val="yellow"/>
          <w:lang w:val="en-GB"/>
        </w:rPr>
        <w:t>he company is, or is likely to become, unable to pay their debts, as defined under s</w:t>
      </w:r>
      <w:r w:rsidR="00E833F4" w:rsidRPr="00D31656">
        <w:rPr>
          <w:rFonts w:ascii="Avenir Next" w:hAnsi="Avenir Next" w:cs="Arial"/>
          <w:sz w:val="22"/>
          <w:szCs w:val="22"/>
          <w:highlight w:val="yellow"/>
          <w:lang w:val="en-GB"/>
        </w:rPr>
        <w:t>ection</w:t>
      </w:r>
      <w:r w:rsidR="008D1616" w:rsidRPr="00D31656">
        <w:rPr>
          <w:rFonts w:ascii="Avenir Next" w:hAnsi="Avenir Next" w:cs="Arial"/>
          <w:sz w:val="22"/>
          <w:szCs w:val="22"/>
          <w:highlight w:val="yellow"/>
          <w:lang w:val="en-GB"/>
        </w:rPr>
        <w:t xml:space="preserve"> 123 of the Insolvency Act 1986</w:t>
      </w:r>
      <w:r w:rsidR="00763348" w:rsidRPr="00D31656">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3F689E" w:rsidRDefault="00C91062" w:rsidP="00B04033">
      <w:pPr>
        <w:pStyle w:val="ListParagraph"/>
        <w:numPr>
          <w:ilvl w:val="0"/>
          <w:numId w:val="4"/>
        </w:numPr>
        <w:ind w:left="426"/>
        <w:jc w:val="both"/>
        <w:rPr>
          <w:rFonts w:ascii="Avenir Next" w:hAnsi="Avenir Next" w:cs="Arial"/>
          <w:sz w:val="22"/>
          <w:szCs w:val="22"/>
          <w:highlight w:val="yellow"/>
          <w:lang w:val="en-GB"/>
        </w:rPr>
      </w:pPr>
      <w:r w:rsidRPr="003F689E">
        <w:rPr>
          <w:rFonts w:ascii="Avenir Next" w:hAnsi="Avenir Next" w:cs="Arial"/>
          <w:sz w:val="22"/>
          <w:szCs w:val="22"/>
          <w:highlight w:val="yellow"/>
          <w:lang w:val="en-GB"/>
        </w:rPr>
        <w:t>The purchaser</w:t>
      </w:r>
      <w:r w:rsidR="00763348" w:rsidRPr="003F689E">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3F689E" w:rsidRDefault="00BA1CFD" w:rsidP="00B04033">
      <w:pPr>
        <w:pStyle w:val="ListParagraph"/>
        <w:numPr>
          <w:ilvl w:val="0"/>
          <w:numId w:val="5"/>
        </w:numPr>
        <w:ind w:left="426"/>
        <w:jc w:val="both"/>
        <w:rPr>
          <w:rFonts w:ascii="Avenir Next" w:hAnsi="Avenir Next" w:cs="Arial"/>
          <w:sz w:val="22"/>
          <w:szCs w:val="22"/>
          <w:highlight w:val="yellow"/>
          <w:lang w:val="en-GB"/>
        </w:rPr>
      </w:pPr>
      <w:r w:rsidRPr="003F689E">
        <w:rPr>
          <w:rFonts w:ascii="Avenir Next" w:hAnsi="Avenir Next" w:cs="Arial"/>
          <w:sz w:val="22"/>
          <w:szCs w:val="22"/>
          <w:highlight w:val="yellow"/>
          <w:lang w:val="en-GB"/>
        </w:rPr>
        <w:t>Administration</w:t>
      </w:r>
      <w:r w:rsidR="00763348" w:rsidRPr="003F689E">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w:t>
      </w:r>
      <w:proofErr w:type="gramStart"/>
      <w:r w:rsidRPr="00197F24">
        <w:rPr>
          <w:rFonts w:ascii="Avenir Next" w:hAnsi="Avenir Next" w:cs="Arial"/>
          <w:sz w:val="22"/>
          <w:szCs w:val="22"/>
          <w:lang w:val="en-GB"/>
        </w:rPr>
        <w:t>provide assistance to</w:t>
      </w:r>
      <w:proofErr w:type="gramEnd"/>
      <w:r w:rsidRPr="00197F24">
        <w:rPr>
          <w:rFonts w:ascii="Avenir Next" w:hAnsi="Avenir Next" w:cs="Arial"/>
          <w:sz w:val="22"/>
          <w:szCs w:val="22"/>
          <w:lang w:val="en-GB"/>
        </w:rPr>
        <w:t xml:space="preserve">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626DE8" w:rsidRDefault="00221444" w:rsidP="00221444">
      <w:pPr>
        <w:pStyle w:val="ListParagraph"/>
        <w:numPr>
          <w:ilvl w:val="0"/>
          <w:numId w:val="6"/>
        </w:numPr>
        <w:ind w:left="426"/>
        <w:jc w:val="both"/>
        <w:rPr>
          <w:rFonts w:ascii="Avenir Next" w:hAnsi="Avenir Next" w:cs="Arial"/>
          <w:sz w:val="22"/>
          <w:szCs w:val="22"/>
          <w:highlight w:val="yellow"/>
          <w:lang w:val="en-GB"/>
        </w:rPr>
      </w:pPr>
      <w:r w:rsidRPr="00626DE8">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proofErr w:type="gramStart"/>
      <w:r w:rsidRPr="00197F24">
        <w:rPr>
          <w:rFonts w:ascii="Avenir Next" w:hAnsi="Avenir Next" w:cs="Arial"/>
          <w:sz w:val="22"/>
          <w:szCs w:val="22"/>
          <w:lang w:val="en-GB"/>
        </w:rPr>
        <w:t>, in itself, a</w:t>
      </w:r>
      <w:proofErr w:type="gramEnd"/>
      <w:r w:rsidRPr="00197F24">
        <w:rPr>
          <w:rFonts w:ascii="Avenir Next" w:hAnsi="Avenir Next" w:cs="Arial"/>
          <w:sz w:val="22"/>
          <w:szCs w:val="22"/>
          <w:lang w:val="en-GB"/>
        </w:rPr>
        <w:t xml:space="preserve">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777CC1" w:rsidRDefault="00BA1CFD" w:rsidP="00B04033">
      <w:pPr>
        <w:pStyle w:val="ListParagraph"/>
        <w:numPr>
          <w:ilvl w:val="0"/>
          <w:numId w:val="7"/>
        </w:numPr>
        <w:ind w:left="426"/>
        <w:jc w:val="both"/>
        <w:rPr>
          <w:rFonts w:ascii="Avenir Next" w:hAnsi="Avenir Next" w:cs="Arial"/>
          <w:sz w:val="22"/>
          <w:szCs w:val="22"/>
          <w:highlight w:val="yellow"/>
          <w:lang w:val="en-GB"/>
        </w:rPr>
      </w:pPr>
      <w:r w:rsidRPr="00777CC1">
        <w:rPr>
          <w:rFonts w:ascii="Avenir Next" w:hAnsi="Avenir Next" w:cs="Arial"/>
          <w:sz w:val="22"/>
          <w:szCs w:val="22"/>
          <w:highlight w:val="yellow"/>
          <w:lang w:val="en-GB"/>
        </w:rPr>
        <w:t>Breach of fiduciary duty</w:t>
      </w:r>
      <w:r w:rsidR="00763348" w:rsidRPr="00777CC1">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0C3075" w:rsidRDefault="00450393" w:rsidP="00450393">
      <w:pPr>
        <w:pStyle w:val="ListParagraph"/>
        <w:numPr>
          <w:ilvl w:val="0"/>
          <w:numId w:val="8"/>
        </w:numPr>
        <w:ind w:left="426"/>
        <w:jc w:val="both"/>
        <w:rPr>
          <w:rFonts w:ascii="Avenir Next" w:hAnsi="Avenir Next" w:cs="Arial"/>
          <w:sz w:val="22"/>
          <w:szCs w:val="22"/>
          <w:highlight w:val="yellow"/>
          <w:lang w:val="en-GB"/>
        </w:rPr>
      </w:pPr>
      <w:r w:rsidRPr="000C3075">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777CC1" w:rsidRDefault="00E833F4" w:rsidP="00B04033">
      <w:pPr>
        <w:pStyle w:val="ListParagraph"/>
        <w:numPr>
          <w:ilvl w:val="0"/>
          <w:numId w:val="9"/>
        </w:numPr>
        <w:ind w:left="426"/>
        <w:jc w:val="both"/>
        <w:rPr>
          <w:rFonts w:ascii="Avenir Next" w:hAnsi="Avenir Next" w:cs="Arial"/>
          <w:sz w:val="22"/>
          <w:szCs w:val="22"/>
          <w:highlight w:val="yellow"/>
          <w:lang w:val="en-GB"/>
        </w:rPr>
      </w:pPr>
      <w:r w:rsidRPr="00777CC1">
        <w:rPr>
          <w:rFonts w:ascii="Avenir Next" w:hAnsi="Avenir Next" w:cs="Arial"/>
          <w:sz w:val="22"/>
          <w:szCs w:val="22"/>
          <w:highlight w:val="yellow"/>
          <w:lang w:val="en-GB"/>
        </w:rPr>
        <w:t>A</w:t>
      </w:r>
      <w:r w:rsidR="000D10C6" w:rsidRPr="00777CC1">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444E0E" w:rsidRDefault="000D4CFA" w:rsidP="004C7A8F">
      <w:pPr>
        <w:pStyle w:val="ListParagraph"/>
        <w:numPr>
          <w:ilvl w:val="0"/>
          <w:numId w:val="10"/>
        </w:numPr>
        <w:ind w:left="426"/>
        <w:jc w:val="both"/>
        <w:rPr>
          <w:rFonts w:ascii="Avenir Next" w:hAnsi="Avenir Next" w:cs="Arial"/>
          <w:sz w:val="22"/>
          <w:szCs w:val="22"/>
          <w:highlight w:val="yellow"/>
          <w:lang w:val="en-GB"/>
        </w:rPr>
      </w:pPr>
      <w:r w:rsidRPr="00444E0E">
        <w:rPr>
          <w:rFonts w:ascii="Avenir Next" w:hAnsi="Avenir Next" w:cs="Arial"/>
          <w:sz w:val="22"/>
          <w:szCs w:val="22"/>
          <w:highlight w:val="yellow"/>
          <w:lang w:val="en-GB"/>
        </w:rPr>
        <w:t>Five</w:t>
      </w:r>
      <w:r w:rsidR="004C7A8F" w:rsidRPr="00444E0E">
        <w:rPr>
          <w:rFonts w:ascii="Avenir Next" w:hAnsi="Avenir Next" w:cs="Arial"/>
          <w:sz w:val="22"/>
          <w:szCs w:val="22"/>
          <w:highlight w:val="yellow"/>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Twelve</w:t>
      </w:r>
      <w:r w:rsidR="004C7A8F" w:rsidRPr="00197F24">
        <w:rPr>
          <w:rFonts w:ascii="Avenir Next" w:hAnsi="Avenir Next" w:cs="Arial"/>
          <w:sz w:val="22"/>
          <w:szCs w:val="22"/>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6DCADDE1" w14:textId="07F3D67B" w:rsidR="00197F24" w:rsidRDefault="00A371CF" w:rsidP="00A371CF">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Pursuant to </w:t>
      </w:r>
      <w:r w:rsidRPr="00A371CF">
        <w:rPr>
          <w:rFonts w:ascii="Avenir Next" w:hAnsi="Avenir Next" w:cs="Arial"/>
          <w:color w:val="7B7B7B" w:themeColor="accent3" w:themeShade="BF"/>
          <w:sz w:val="22"/>
          <w:szCs w:val="22"/>
          <w:lang w:val="en-GB"/>
        </w:rPr>
        <w:t>section 245 of the Insolvency Act 1986</w:t>
      </w:r>
      <w:r>
        <w:rPr>
          <w:rFonts w:ascii="Avenir Next" w:hAnsi="Avenir Next" w:cs="Arial"/>
          <w:color w:val="7B7B7B" w:themeColor="accent3" w:themeShade="BF"/>
          <w:sz w:val="22"/>
          <w:szCs w:val="22"/>
          <w:lang w:val="en-GB"/>
        </w:rPr>
        <w:t xml:space="preserve"> (the </w:t>
      </w:r>
      <w:r w:rsidRPr="00A371CF">
        <w:rPr>
          <w:rFonts w:ascii="Avenir Next" w:hAnsi="Avenir Next" w:cs="Arial"/>
          <w:b/>
          <w:bCs/>
          <w:color w:val="7B7B7B" w:themeColor="accent3" w:themeShade="BF"/>
          <w:sz w:val="22"/>
          <w:szCs w:val="22"/>
          <w:lang w:val="en-GB"/>
        </w:rPr>
        <w:t>IA</w:t>
      </w:r>
      <w:r>
        <w:rPr>
          <w:rFonts w:ascii="Avenir Next" w:hAnsi="Avenir Next" w:cs="Arial"/>
          <w:color w:val="7B7B7B" w:themeColor="accent3" w:themeShade="BF"/>
          <w:sz w:val="22"/>
          <w:szCs w:val="22"/>
          <w:lang w:val="en-GB"/>
        </w:rPr>
        <w:t xml:space="preserve">), an action to seek to avoid a floating charge may be made by a liquidator or an administrator depending on whether the company is in liquidation or administration. The section allows the liquidator or administrator to challenge any floating charges that were created in the period prior to the liquidation or administration to prevent </w:t>
      </w:r>
      <w:r w:rsidRPr="00A371CF">
        <w:rPr>
          <w:rFonts w:ascii="Avenir Next" w:hAnsi="Avenir Next" w:cs="Arial"/>
          <w:color w:val="7B7B7B" w:themeColor="accent3" w:themeShade="BF"/>
          <w:sz w:val="22"/>
          <w:szCs w:val="22"/>
          <w:lang w:val="en-GB"/>
        </w:rPr>
        <w:t xml:space="preserve">pre-existing unsecured creditors obtaining </w:t>
      </w:r>
      <w:r>
        <w:rPr>
          <w:rFonts w:ascii="Avenir Next" w:hAnsi="Avenir Next" w:cs="Arial"/>
          <w:color w:val="7B7B7B" w:themeColor="accent3" w:themeShade="BF"/>
          <w:sz w:val="22"/>
          <w:szCs w:val="22"/>
          <w:lang w:val="en-GB"/>
        </w:rPr>
        <w:t>security shortly prior to liquidation / administration.</w:t>
      </w:r>
      <w:r>
        <w:rPr>
          <w:rStyle w:val="FootnoteReference"/>
          <w:rFonts w:ascii="Avenir Next" w:hAnsi="Avenir Next" w:cs="Arial"/>
          <w:color w:val="7B7B7B" w:themeColor="accent3" w:themeShade="BF"/>
          <w:sz w:val="22"/>
          <w:szCs w:val="22"/>
          <w:lang w:val="en-GB"/>
        </w:rPr>
        <w:footnoteReference w:id="1"/>
      </w:r>
      <w:r>
        <w:rPr>
          <w:rFonts w:ascii="Avenir Next" w:hAnsi="Avenir Next" w:cs="Arial"/>
          <w:color w:val="7B7B7B" w:themeColor="accent3" w:themeShade="BF"/>
          <w:sz w:val="22"/>
          <w:szCs w:val="22"/>
          <w:lang w:val="en-GB"/>
        </w:rPr>
        <w:t xml:space="preserve"> </w:t>
      </w:r>
    </w:p>
    <w:p w14:paraId="66DE36D7" w14:textId="77777777" w:rsidR="00A371CF" w:rsidRDefault="00A371CF" w:rsidP="00A371CF">
      <w:pPr>
        <w:pStyle w:val="ListParagraph"/>
        <w:ind w:left="1080"/>
        <w:jc w:val="both"/>
        <w:rPr>
          <w:rFonts w:ascii="Avenir Next" w:hAnsi="Avenir Next" w:cs="Arial"/>
          <w:color w:val="7B7B7B" w:themeColor="accent3" w:themeShade="BF"/>
          <w:sz w:val="22"/>
          <w:szCs w:val="22"/>
          <w:lang w:val="en-GB"/>
        </w:rPr>
      </w:pPr>
    </w:p>
    <w:p w14:paraId="758157DA" w14:textId="65253387" w:rsidR="00A371CF" w:rsidRDefault="00A371CF" w:rsidP="00A371CF">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Pursuant to </w:t>
      </w:r>
      <w:r w:rsidRPr="00A371CF">
        <w:rPr>
          <w:rFonts w:ascii="Avenir Next" w:hAnsi="Avenir Next" w:cs="Arial"/>
          <w:color w:val="7B7B7B" w:themeColor="accent3" w:themeShade="BF"/>
          <w:sz w:val="22"/>
          <w:szCs w:val="22"/>
          <w:lang w:val="en-GB"/>
        </w:rPr>
        <w:t>section 6 of the Company Directors Disqualification Act 1986</w:t>
      </w:r>
      <w:r>
        <w:rPr>
          <w:rFonts w:ascii="Avenir Next" w:hAnsi="Avenir Next" w:cs="Arial"/>
          <w:color w:val="7B7B7B" w:themeColor="accent3" w:themeShade="BF"/>
          <w:sz w:val="22"/>
          <w:szCs w:val="22"/>
          <w:lang w:val="en-GB"/>
        </w:rPr>
        <w:t xml:space="preserve"> (the </w:t>
      </w:r>
      <w:r w:rsidRPr="00A371CF">
        <w:rPr>
          <w:rFonts w:ascii="Avenir Next" w:hAnsi="Avenir Next" w:cs="Arial"/>
          <w:b/>
          <w:bCs/>
          <w:color w:val="7B7B7B" w:themeColor="accent3" w:themeShade="BF"/>
          <w:sz w:val="22"/>
          <w:szCs w:val="22"/>
          <w:lang w:val="en-GB"/>
        </w:rPr>
        <w:t>CDDA</w:t>
      </w:r>
      <w:r>
        <w:rPr>
          <w:rFonts w:ascii="Avenir Next" w:hAnsi="Avenir Next" w:cs="Arial"/>
          <w:color w:val="7B7B7B" w:themeColor="accent3" w:themeShade="BF"/>
          <w:sz w:val="22"/>
          <w:szCs w:val="22"/>
          <w:lang w:val="en-GB"/>
        </w:rPr>
        <w:t>)</w:t>
      </w:r>
      <w:r w:rsidR="00DF313B">
        <w:rPr>
          <w:rFonts w:ascii="Avenir Next" w:hAnsi="Avenir Next" w:cs="Arial"/>
          <w:color w:val="7B7B7B" w:themeColor="accent3" w:themeShade="BF"/>
          <w:sz w:val="22"/>
          <w:szCs w:val="22"/>
          <w:lang w:val="en-GB"/>
        </w:rPr>
        <w:t xml:space="preserve">, the Official Receiver (initial Court appointed liquidator) may bring an </w:t>
      </w:r>
      <w:r w:rsidR="00DF313B" w:rsidRPr="00DF313B">
        <w:rPr>
          <w:rFonts w:ascii="Avenir Next" w:hAnsi="Avenir Next" w:cs="Arial"/>
          <w:color w:val="7B7B7B" w:themeColor="accent3" w:themeShade="BF"/>
          <w:sz w:val="22"/>
          <w:szCs w:val="22"/>
          <w:lang w:val="en-GB"/>
        </w:rPr>
        <w:t>action</w:t>
      </w:r>
      <w:r w:rsidR="00DF313B">
        <w:rPr>
          <w:rFonts w:ascii="Avenir Next" w:hAnsi="Avenir Next" w:cs="Arial"/>
          <w:color w:val="7B7B7B" w:themeColor="accent3" w:themeShade="BF"/>
          <w:sz w:val="22"/>
          <w:szCs w:val="22"/>
          <w:lang w:val="en-GB"/>
        </w:rPr>
        <w:t xml:space="preserve"> </w:t>
      </w:r>
      <w:r w:rsidR="00DF313B" w:rsidRPr="00DF313B">
        <w:rPr>
          <w:rFonts w:ascii="Avenir Next" w:hAnsi="Avenir Next" w:cs="Arial"/>
          <w:color w:val="7B7B7B" w:themeColor="accent3" w:themeShade="BF"/>
          <w:sz w:val="22"/>
          <w:szCs w:val="22"/>
          <w:lang w:val="en-GB"/>
        </w:rPr>
        <w:t xml:space="preserve">on the instructions of the Secretary of State for Business, </w:t>
      </w:r>
      <w:proofErr w:type="gramStart"/>
      <w:r w:rsidR="00DF313B" w:rsidRPr="00DF313B">
        <w:rPr>
          <w:rFonts w:ascii="Avenir Next" w:hAnsi="Avenir Next" w:cs="Arial"/>
          <w:color w:val="7B7B7B" w:themeColor="accent3" w:themeShade="BF"/>
          <w:sz w:val="22"/>
          <w:szCs w:val="22"/>
          <w:lang w:val="en-GB"/>
        </w:rPr>
        <w:t>Energy</w:t>
      </w:r>
      <w:proofErr w:type="gramEnd"/>
      <w:r w:rsidR="00DF313B" w:rsidRPr="00DF313B">
        <w:rPr>
          <w:rFonts w:ascii="Avenir Next" w:hAnsi="Avenir Next" w:cs="Arial"/>
          <w:color w:val="7B7B7B" w:themeColor="accent3" w:themeShade="BF"/>
          <w:sz w:val="22"/>
          <w:szCs w:val="22"/>
          <w:lang w:val="en-GB"/>
        </w:rPr>
        <w:t xml:space="preserve"> and Industrial Strategy</w:t>
      </w:r>
      <w:r w:rsidR="00DF313B">
        <w:rPr>
          <w:rFonts w:ascii="Avenir Next" w:hAnsi="Avenir Next" w:cs="Arial"/>
          <w:color w:val="7B7B7B" w:themeColor="accent3" w:themeShade="BF"/>
          <w:sz w:val="22"/>
          <w:szCs w:val="22"/>
          <w:lang w:val="en-GB"/>
        </w:rPr>
        <w:t xml:space="preserve">. The action may seek orders for </w:t>
      </w:r>
      <w:r w:rsidR="00DF313B" w:rsidRPr="00DF313B">
        <w:rPr>
          <w:rFonts w:ascii="Avenir Next" w:hAnsi="Avenir Next" w:cs="Arial"/>
          <w:color w:val="7B7B7B" w:themeColor="accent3" w:themeShade="BF"/>
          <w:sz w:val="22"/>
          <w:szCs w:val="22"/>
          <w:lang w:val="en-GB"/>
        </w:rPr>
        <w:t xml:space="preserve">the </w:t>
      </w:r>
      <w:r w:rsidR="00511B54" w:rsidRPr="00DF313B">
        <w:rPr>
          <w:rFonts w:ascii="Avenir Next" w:hAnsi="Avenir Next" w:cs="Arial"/>
          <w:color w:val="7B7B7B" w:themeColor="accent3" w:themeShade="BF"/>
          <w:sz w:val="22"/>
          <w:szCs w:val="22"/>
          <w:lang w:val="en-GB"/>
        </w:rPr>
        <w:t>director's</w:t>
      </w:r>
      <w:r w:rsidR="00DF313B" w:rsidRPr="00DF313B">
        <w:rPr>
          <w:rFonts w:ascii="Avenir Next" w:hAnsi="Avenir Next" w:cs="Arial"/>
          <w:color w:val="7B7B7B" w:themeColor="accent3" w:themeShade="BF"/>
          <w:sz w:val="22"/>
          <w:szCs w:val="22"/>
          <w:lang w:val="en-GB"/>
        </w:rPr>
        <w:t xml:space="preserve"> </w:t>
      </w:r>
      <w:r w:rsidR="00DF313B">
        <w:rPr>
          <w:rFonts w:ascii="Avenir Next" w:hAnsi="Avenir Next" w:cs="Arial"/>
          <w:color w:val="7B7B7B" w:themeColor="accent3" w:themeShade="BF"/>
          <w:sz w:val="22"/>
          <w:szCs w:val="22"/>
          <w:lang w:val="en-GB"/>
        </w:rPr>
        <w:t xml:space="preserve">disqualification </w:t>
      </w:r>
      <w:r w:rsidR="00DF313B" w:rsidRPr="00DF313B">
        <w:rPr>
          <w:rFonts w:ascii="Avenir Next" w:hAnsi="Avenir Next" w:cs="Arial"/>
          <w:color w:val="7B7B7B" w:themeColor="accent3" w:themeShade="BF"/>
          <w:sz w:val="22"/>
          <w:szCs w:val="22"/>
          <w:lang w:val="en-GB"/>
        </w:rPr>
        <w:t>from being involved in the management of a company for up to 15</w:t>
      </w:r>
      <w:r w:rsidR="00DF313B">
        <w:rPr>
          <w:rFonts w:ascii="Avenir Next" w:hAnsi="Avenir Next" w:cs="Arial"/>
          <w:color w:val="7B7B7B" w:themeColor="accent3" w:themeShade="BF"/>
          <w:sz w:val="22"/>
          <w:szCs w:val="22"/>
          <w:lang w:val="en-GB"/>
        </w:rPr>
        <w:t xml:space="preserve"> </w:t>
      </w:r>
      <w:r w:rsidR="00DF313B" w:rsidRPr="00DF313B">
        <w:rPr>
          <w:rFonts w:ascii="Avenir Next" w:hAnsi="Avenir Next" w:cs="Arial"/>
          <w:color w:val="7B7B7B" w:themeColor="accent3" w:themeShade="BF"/>
          <w:sz w:val="22"/>
          <w:szCs w:val="22"/>
          <w:lang w:val="en-GB"/>
        </w:rPr>
        <w:t>years</w:t>
      </w:r>
      <w:r w:rsidR="00DF313B">
        <w:rPr>
          <w:rFonts w:ascii="Avenir Next" w:hAnsi="Avenir Next" w:cs="Arial"/>
          <w:color w:val="7B7B7B" w:themeColor="accent3" w:themeShade="BF"/>
          <w:sz w:val="22"/>
          <w:szCs w:val="22"/>
          <w:lang w:val="en-GB"/>
        </w:rPr>
        <w:t>.</w:t>
      </w:r>
      <w:r w:rsidR="00DF313B">
        <w:rPr>
          <w:rStyle w:val="FootnoteReference"/>
          <w:rFonts w:ascii="Avenir Next" w:hAnsi="Avenir Next" w:cs="Arial"/>
          <w:color w:val="7B7B7B" w:themeColor="accent3" w:themeShade="BF"/>
          <w:sz w:val="22"/>
          <w:szCs w:val="22"/>
          <w:lang w:val="en-GB"/>
        </w:rPr>
        <w:footnoteReference w:id="2"/>
      </w:r>
    </w:p>
    <w:p w14:paraId="71ECF655" w14:textId="77777777" w:rsidR="00DF313B" w:rsidRPr="00DF313B" w:rsidRDefault="00DF313B" w:rsidP="00DF313B">
      <w:pPr>
        <w:pStyle w:val="ListParagraph"/>
        <w:rPr>
          <w:rFonts w:ascii="Avenir Next" w:hAnsi="Avenir Next" w:cs="Arial"/>
          <w:color w:val="7B7B7B" w:themeColor="accent3" w:themeShade="BF"/>
          <w:sz w:val="22"/>
          <w:szCs w:val="22"/>
          <w:lang w:val="en-GB"/>
        </w:rPr>
      </w:pPr>
    </w:p>
    <w:p w14:paraId="28DE443F" w14:textId="5A01B959" w:rsidR="00DF313B" w:rsidRDefault="00DF313B" w:rsidP="00A371CF">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Pursuant to </w:t>
      </w:r>
      <w:r w:rsidRPr="00DF313B">
        <w:rPr>
          <w:rFonts w:ascii="Avenir Next" w:hAnsi="Avenir Next" w:cs="Arial"/>
          <w:color w:val="7B7B7B" w:themeColor="accent3" w:themeShade="BF"/>
          <w:sz w:val="22"/>
          <w:szCs w:val="22"/>
          <w:lang w:val="en-GB"/>
        </w:rPr>
        <w:t xml:space="preserve">section 246ZB of the </w:t>
      </w:r>
      <w:r w:rsidR="0067541B">
        <w:rPr>
          <w:rFonts w:ascii="Avenir Next" w:hAnsi="Avenir Next" w:cs="Arial"/>
          <w:color w:val="7B7B7B" w:themeColor="accent3" w:themeShade="BF"/>
          <w:sz w:val="22"/>
          <w:szCs w:val="22"/>
          <w:lang w:val="en-GB"/>
        </w:rPr>
        <w:t>IA</w:t>
      </w:r>
      <w:r>
        <w:rPr>
          <w:rFonts w:ascii="Avenir Next" w:hAnsi="Avenir Next" w:cs="Arial"/>
          <w:color w:val="7B7B7B" w:themeColor="accent3" w:themeShade="BF"/>
          <w:sz w:val="22"/>
          <w:szCs w:val="22"/>
          <w:lang w:val="en-GB"/>
        </w:rPr>
        <w:t xml:space="preserve">, </w:t>
      </w:r>
      <w:r w:rsidR="0067541B">
        <w:rPr>
          <w:rFonts w:ascii="Avenir Next" w:hAnsi="Avenir Next" w:cs="Arial"/>
          <w:color w:val="7B7B7B" w:themeColor="accent3" w:themeShade="BF"/>
          <w:sz w:val="22"/>
          <w:szCs w:val="22"/>
          <w:lang w:val="en-GB"/>
        </w:rPr>
        <w:t xml:space="preserve">a liquidator may bring an action against a director (or former director) for a declaration that a </w:t>
      </w:r>
      <w:r w:rsidR="0067541B" w:rsidRPr="0067541B">
        <w:rPr>
          <w:rFonts w:ascii="Avenir Next" w:hAnsi="Avenir Next" w:cs="Arial"/>
          <w:color w:val="7B7B7B" w:themeColor="accent3" w:themeShade="BF"/>
          <w:sz w:val="22"/>
          <w:szCs w:val="22"/>
          <w:lang w:val="en-GB"/>
        </w:rPr>
        <w:t>director of a company which is in</w:t>
      </w:r>
      <w:r w:rsidR="0067541B">
        <w:rPr>
          <w:rFonts w:ascii="Avenir Next" w:hAnsi="Avenir Next" w:cs="Arial"/>
          <w:color w:val="7B7B7B" w:themeColor="accent3" w:themeShade="BF"/>
          <w:sz w:val="22"/>
          <w:szCs w:val="22"/>
          <w:lang w:val="en-GB"/>
        </w:rPr>
        <w:t xml:space="preserve"> </w:t>
      </w:r>
      <w:r w:rsidR="0067541B" w:rsidRPr="0067541B">
        <w:rPr>
          <w:rFonts w:ascii="Avenir Next" w:hAnsi="Avenir Next" w:cs="Arial"/>
          <w:color w:val="7B7B7B" w:themeColor="accent3" w:themeShade="BF"/>
          <w:sz w:val="22"/>
          <w:szCs w:val="22"/>
          <w:lang w:val="en-GB"/>
        </w:rPr>
        <w:t xml:space="preserve">insolvent liquidation should </w:t>
      </w:r>
      <w:proofErr w:type="gramStart"/>
      <w:r w:rsidR="0067541B" w:rsidRPr="0067541B">
        <w:rPr>
          <w:rFonts w:ascii="Avenir Next" w:hAnsi="Avenir Next" w:cs="Arial"/>
          <w:color w:val="7B7B7B" w:themeColor="accent3" w:themeShade="BF"/>
          <w:sz w:val="22"/>
          <w:szCs w:val="22"/>
          <w:lang w:val="en-GB"/>
        </w:rPr>
        <w:t>make a contribution</w:t>
      </w:r>
      <w:proofErr w:type="gramEnd"/>
      <w:r w:rsidR="0067541B" w:rsidRPr="0067541B">
        <w:rPr>
          <w:rFonts w:ascii="Avenir Next" w:hAnsi="Avenir Next" w:cs="Arial"/>
          <w:color w:val="7B7B7B" w:themeColor="accent3" w:themeShade="BF"/>
          <w:sz w:val="22"/>
          <w:szCs w:val="22"/>
          <w:lang w:val="en-GB"/>
        </w:rPr>
        <w:t xml:space="preserve"> to the company’s assets</w:t>
      </w:r>
      <w:r w:rsidR="0067541B">
        <w:rPr>
          <w:rFonts w:ascii="Avenir Next" w:hAnsi="Avenir Next" w:cs="Arial"/>
          <w:color w:val="7B7B7B" w:themeColor="accent3" w:themeShade="BF"/>
          <w:sz w:val="22"/>
          <w:szCs w:val="22"/>
          <w:lang w:val="en-GB"/>
        </w:rPr>
        <w:t xml:space="preserve"> on the basis that they are liable for wrongful trading. The action cannot be brought by a creditor or contributory of the company. An administrator of a company in administration may bring a similar kind of claim with respect to fraudulent trading under section </w:t>
      </w:r>
      <w:r w:rsidR="0067541B" w:rsidRPr="0067541B">
        <w:rPr>
          <w:rFonts w:ascii="Avenir Next" w:hAnsi="Avenir Next" w:cs="Arial"/>
          <w:color w:val="7B7B7B" w:themeColor="accent3" w:themeShade="BF"/>
          <w:sz w:val="22"/>
          <w:szCs w:val="22"/>
          <w:lang w:val="en-GB"/>
        </w:rPr>
        <w:t>246ZA</w:t>
      </w:r>
      <w:r w:rsidR="0067541B">
        <w:rPr>
          <w:rFonts w:ascii="Avenir Next" w:hAnsi="Avenir Next" w:cs="Arial"/>
          <w:color w:val="7B7B7B" w:themeColor="accent3" w:themeShade="BF"/>
          <w:sz w:val="22"/>
          <w:szCs w:val="22"/>
          <w:lang w:val="en-GB"/>
        </w:rPr>
        <w:t xml:space="preserve"> of the IA. </w:t>
      </w:r>
    </w:p>
    <w:p w14:paraId="786F4D51" w14:textId="77777777" w:rsidR="0067541B" w:rsidRPr="0067541B" w:rsidRDefault="0067541B" w:rsidP="0067541B">
      <w:pPr>
        <w:pStyle w:val="ListParagraph"/>
        <w:rPr>
          <w:rFonts w:ascii="Avenir Next" w:hAnsi="Avenir Next" w:cs="Arial"/>
          <w:color w:val="7B7B7B" w:themeColor="accent3" w:themeShade="BF"/>
          <w:sz w:val="22"/>
          <w:szCs w:val="22"/>
          <w:lang w:val="en-GB"/>
        </w:rPr>
      </w:pPr>
    </w:p>
    <w:p w14:paraId="09960A41" w14:textId="393B8AFE" w:rsidR="00DF313B" w:rsidRPr="007212A2" w:rsidRDefault="0067541B" w:rsidP="00AC7624">
      <w:pPr>
        <w:pStyle w:val="ListParagraph"/>
        <w:numPr>
          <w:ilvl w:val="0"/>
          <w:numId w:val="18"/>
        </w:numPr>
        <w:jc w:val="both"/>
        <w:rPr>
          <w:rFonts w:ascii="Avenir Next" w:hAnsi="Avenir Next" w:cs="Arial"/>
          <w:color w:val="7B7B7B" w:themeColor="accent3" w:themeShade="BF"/>
          <w:sz w:val="22"/>
          <w:szCs w:val="22"/>
          <w:lang w:val="en-GB"/>
        </w:rPr>
      </w:pPr>
      <w:r w:rsidRPr="007212A2">
        <w:rPr>
          <w:rFonts w:ascii="Avenir Next" w:hAnsi="Avenir Next" w:cs="Arial"/>
          <w:color w:val="7B7B7B" w:themeColor="accent3" w:themeShade="BF"/>
          <w:sz w:val="22"/>
          <w:szCs w:val="22"/>
          <w:lang w:val="en-GB"/>
        </w:rPr>
        <w:t>Section 127 of the IA does not specify who may apply for to the Court to validate transactions that would otherwise be void following the commencement of win</w:t>
      </w:r>
      <w:r w:rsidR="001875C0" w:rsidRPr="007212A2">
        <w:rPr>
          <w:rFonts w:ascii="Avenir Next" w:hAnsi="Avenir Next" w:cs="Arial"/>
          <w:color w:val="7B7B7B" w:themeColor="accent3" w:themeShade="BF"/>
          <w:sz w:val="22"/>
          <w:szCs w:val="22"/>
          <w:lang w:val="en-GB"/>
        </w:rPr>
        <w:t>ding up, however, practically speaking the application would be made by the company itself prior to any winding up order being made, or by the liquidator following their appointment. It is also possible for the application to be made by an interested party</w:t>
      </w:r>
      <w:r w:rsidR="007212A2">
        <w:rPr>
          <w:rFonts w:ascii="Avenir Next" w:hAnsi="Avenir Next" w:cs="Arial"/>
          <w:color w:val="7B7B7B" w:themeColor="accent3" w:themeShade="BF"/>
          <w:sz w:val="22"/>
          <w:szCs w:val="22"/>
          <w:lang w:val="en-GB"/>
        </w:rPr>
        <w:t>.</w:t>
      </w:r>
    </w:p>
    <w:p w14:paraId="75278E96" w14:textId="77777777" w:rsidR="00DF313B" w:rsidRPr="00DF313B" w:rsidRDefault="00DF313B" w:rsidP="00DF313B">
      <w:pPr>
        <w:jc w:val="both"/>
        <w:rPr>
          <w:rFonts w:ascii="Avenir Next" w:hAnsi="Avenir Next" w:cs="Arial"/>
          <w:color w:val="7B7B7B" w:themeColor="accent3" w:themeShade="BF"/>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4FF5947" w14:textId="49EEA50D" w:rsidR="00197F24" w:rsidRDefault="0089062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Five kinds of debts which do </w:t>
      </w:r>
      <w:r w:rsidRPr="0089062F">
        <w:rPr>
          <w:rFonts w:ascii="Avenir Next" w:hAnsi="Avenir Next" w:cs="Arial"/>
          <w:color w:val="7B7B7B" w:themeColor="accent3" w:themeShade="BF"/>
          <w:sz w:val="22"/>
          <w:szCs w:val="22"/>
          <w:lang w:val="en-GB"/>
        </w:rPr>
        <w:t>not form part of the payment holiday under Part A1 of the Insolvency Act 1986 when a company is subject to a Moratorium</w:t>
      </w:r>
      <w:r>
        <w:rPr>
          <w:rFonts w:ascii="Avenir Next" w:hAnsi="Avenir Next" w:cs="Arial"/>
          <w:color w:val="7B7B7B" w:themeColor="accent3" w:themeShade="BF"/>
          <w:sz w:val="22"/>
          <w:szCs w:val="22"/>
          <w:lang w:val="en-GB"/>
        </w:rPr>
        <w:t xml:space="preserve"> include amounts payable with respect to:</w:t>
      </w:r>
    </w:p>
    <w:p w14:paraId="7B1776AB" w14:textId="77777777" w:rsidR="0089062F" w:rsidRDefault="0089062F" w:rsidP="00197F24">
      <w:pPr>
        <w:jc w:val="both"/>
        <w:rPr>
          <w:rFonts w:ascii="Avenir Next" w:hAnsi="Avenir Next" w:cs="Arial"/>
          <w:color w:val="7B7B7B" w:themeColor="accent3" w:themeShade="BF"/>
          <w:sz w:val="22"/>
          <w:szCs w:val="22"/>
          <w:lang w:val="en-GB"/>
        </w:rPr>
      </w:pPr>
    </w:p>
    <w:p w14:paraId="443D99AD" w14:textId="7139A010" w:rsidR="0089062F" w:rsidRDefault="0089062F" w:rsidP="0089062F">
      <w:pPr>
        <w:pStyle w:val="ListParagraph"/>
        <w:numPr>
          <w:ilvl w:val="0"/>
          <w:numId w:val="19"/>
        </w:numPr>
        <w:jc w:val="both"/>
        <w:rPr>
          <w:rFonts w:ascii="Avenir Next" w:hAnsi="Avenir Next" w:cs="Arial"/>
          <w:color w:val="7B7B7B" w:themeColor="accent3" w:themeShade="BF"/>
          <w:sz w:val="22"/>
          <w:szCs w:val="22"/>
          <w:lang w:val="en-GB"/>
        </w:rPr>
      </w:pPr>
      <w:r w:rsidRPr="0089062F">
        <w:rPr>
          <w:rFonts w:ascii="Avenir Next" w:hAnsi="Avenir Next" w:cs="Arial"/>
          <w:color w:val="7B7B7B" w:themeColor="accent3" w:themeShade="BF"/>
          <w:sz w:val="22"/>
          <w:szCs w:val="22"/>
          <w:lang w:val="en-GB"/>
        </w:rPr>
        <w:t xml:space="preserve">the monitor’s remuneration or </w:t>
      </w:r>
      <w:proofErr w:type="gramStart"/>
      <w:r w:rsidRPr="0089062F">
        <w:rPr>
          <w:rFonts w:ascii="Avenir Next" w:hAnsi="Avenir Next" w:cs="Arial"/>
          <w:color w:val="7B7B7B" w:themeColor="accent3" w:themeShade="BF"/>
          <w:sz w:val="22"/>
          <w:szCs w:val="22"/>
          <w:lang w:val="en-GB"/>
        </w:rPr>
        <w:t>expenses;</w:t>
      </w:r>
      <w:proofErr w:type="gramEnd"/>
    </w:p>
    <w:p w14:paraId="23454D3F" w14:textId="77777777" w:rsidR="000C3075" w:rsidRDefault="000C3075" w:rsidP="000C3075">
      <w:pPr>
        <w:pStyle w:val="ListParagraph"/>
        <w:jc w:val="both"/>
        <w:rPr>
          <w:rFonts w:ascii="Avenir Next" w:hAnsi="Avenir Next" w:cs="Arial"/>
          <w:color w:val="7B7B7B" w:themeColor="accent3" w:themeShade="BF"/>
          <w:sz w:val="22"/>
          <w:szCs w:val="22"/>
          <w:lang w:val="en-GB"/>
        </w:rPr>
      </w:pPr>
    </w:p>
    <w:p w14:paraId="6E134B68" w14:textId="77777777" w:rsidR="0089062F" w:rsidRDefault="0089062F" w:rsidP="0089062F">
      <w:pPr>
        <w:pStyle w:val="ListParagraph"/>
        <w:numPr>
          <w:ilvl w:val="0"/>
          <w:numId w:val="19"/>
        </w:numPr>
        <w:jc w:val="both"/>
        <w:rPr>
          <w:rFonts w:ascii="Avenir Next" w:hAnsi="Avenir Next" w:cs="Arial"/>
          <w:color w:val="7B7B7B" w:themeColor="accent3" w:themeShade="BF"/>
          <w:sz w:val="22"/>
          <w:szCs w:val="22"/>
          <w:lang w:val="en-GB"/>
        </w:rPr>
      </w:pPr>
      <w:r w:rsidRPr="0089062F">
        <w:rPr>
          <w:rFonts w:ascii="Avenir Next" w:hAnsi="Avenir Next" w:cs="Arial"/>
          <w:color w:val="7B7B7B" w:themeColor="accent3" w:themeShade="BF"/>
          <w:sz w:val="22"/>
          <w:szCs w:val="22"/>
          <w:lang w:val="en-GB"/>
        </w:rPr>
        <w:lastRenderedPageBreak/>
        <w:t xml:space="preserve">goods or services supplied during the </w:t>
      </w:r>
      <w:proofErr w:type="gramStart"/>
      <w:r w:rsidRPr="0089062F">
        <w:rPr>
          <w:rFonts w:ascii="Avenir Next" w:hAnsi="Avenir Next" w:cs="Arial"/>
          <w:color w:val="7B7B7B" w:themeColor="accent3" w:themeShade="BF"/>
          <w:sz w:val="22"/>
          <w:szCs w:val="22"/>
          <w:lang w:val="en-GB"/>
        </w:rPr>
        <w:t>Moratorium;</w:t>
      </w:r>
      <w:proofErr w:type="gramEnd"/>
    </w:p>
    <w:p w14:paraId="0EF60E74" w14:textId="77777777" w:rsidR="000C3075" w:rsidRPr="000C3075" w:rsidRDefault="000C3075" w:rsidP="000C3075">
      <w:pPr>
        <w:jc w:val="both"/>
        <w:rPr>
          <w:rFonts w:ascii="Avenir Next" w:hAnsi="Avenir Next" w:cs="Arial"/>
          <w:color w:val="7B7B7B" w:themeColor="accent3" w:themeShade="BF"/>
          <w:sz w:val="22"/>
          <w:szCs w:val="22"/>
          <w:lang w:val="en-GB"/>
        </w:rPr>
      </w:pPr>
    </w:p>
    <w:p w14:paraId="038F13FB" w14:textId="77777777" w:rsidR="0089062F" w:rsidRDefault="0089062F" w:rsidP="0089062F">
      <w:pPr>
        <w:pStyle w:val="ListParagraph"/>
        <w:numPr>
          <w:ilvl w:val="0"/>
          <w:numId w:val="19"/>
        </w:numPr>
        <w:jc w:val="both"/>
        <w:rPr>
          <w:rFonts w:ascii="Avenir Next" w:hAnsi="Avenir Next" w:cs="Arial"/>
          <w:color w:val="7B7B7B" w:themeColor="accent3" w:themeShade="BF"/>
          <w:sz w:val="22"/>
          <w:szCs w:val="22"/>
          <w:lang w:val="en-GB"/>
        </w:rPr>
      </w:pPr>
      <w:r w:rsidRPr="0089062F">
        <w:rPr>
          <w:rFonts w:ascii="Avenir Next" w:hAnsi="Avenir Next" w:cs="Arial"/>
          <w:color w:val="7B7B7B" w:themeColor="accent3" w:themeShade="BF"/>
          <w:sz w:val="22"/>
          <w:szCs w:val="22"/>
          <w:lang w:val="en-GB"/>
        </w:rPr>
        <w:t xml:space="preserve">rent in respect of a period during the </w:t>
      </w:r>
      <w:proofErr w:type="gramStart"/>
      <w:r w:rsidRPr="0089062F">
        <w:rPr>
          <w:rFonts w:ascii="Avenir Next" w:hAnsi="Avenir Next" w:cs="Arial"/>
          <w:color w:val="7B7B7B" w:themeColor="accent3" w:themeShade="BF"/>
          <w:sz w:val="22"/>
          <w:szCs w:val="22"/>
          <w:lang w:val="en-GB"/>
        </w:rPr>
        <w:t>Moratorium;</w:t>
      </w:r>
      <w:proofErr w:type="gramEnd"/>
    </w:p>
    <w:p w14:paraId="3293F2F9" w14:textId="77777777" w:rsidR="000C3075" w:rsidRPr="000C3075" w:rsidRDefault="000C3075" w:rsidP="000C3075">
      <w:pPr>
        <w:jc w:val="both"/>
        <w:rPr>
          <w:rFonts w:ascii="Avenir Next" w:hAnsi="Avenir Next" w:cs="Arial"/>
          <w:color w:val="7B7B7B" w:themeColor="accent3" w:themeShade="BF"/>
          <w:sz w:val="22"/>
          <w:szCs w:val="22"/>
          <w:lang w:val="en-GB"/>
        </w:rPr>
      </w:pPr>
    </w:p>
    <w:p w14:paraId="6EDFF0D5" w14:textId="18092601" w:rsidR="0089062F" w:rsidRDefault="0089062F" w:rsidP="0089062F">
      <w:pPr>
        <w:pStyle w:val="ListParagraph"/>
        <w:numPr>
          <w:ilvl w:val="0"/>
          <w:numId w:val="19"/>
        </w:numPr>
        <w:jc w:val="both"/>
        <w:rPr>
          <w:rFonts w:ascii="Avenir Next" w:hAnsi="Avenir Next" w:cs="Arial"/>
          <w:color w:val="7B7B7B" w:themeColor="accent3" w:themeShade="BF"/>
          <w:sz w:val="22"/>
          <w:szCs w:val="22"/>
          <w:lang w:val="en-GB"/>
        </w:rPr>
      </w:pPr>
      <w:r w:rsidRPr="0089062F">
        <w:rPr>
          <w:rFonts w:ascii="Avenir Next" w:hAnsi="Avenir Next" w:cs="Arial"/>
          <w:color w:val="7B7B7B" w:themeColor="accent3" w:themeShade="BF"/>
          <w:sz w:val="22"/>
          <w:szCs w:val="22"/>
          <w:lang w:val="en-GB"/>
        </w:rPr>
        <w:t>wages or salary arising under a contract of employment;</w:t>
      </w:r>
      <w:r>
        <w:rPr>
          <w:rFonts w:ascii="Avenir Next" w:hAnsi="Avenir Next" w:cs="Arial"/>
          <w:color w:val="7B7B7B" w:themeColor="accent3" w:themeShade="BF"/>
          <w:sz w:val="22"/>
          <w:szCs w:val="22"/>
          <w:lang w:val="en-GB"/>
        </w:rPr>
        <w:t xml:space="preserve"> and</w:t>
      </w:r>
    </w:p>
    <w:p w14:paraId="3FE18776" w14:textId="77777777" w:rsidR="000C3075" w:rsidRPr="000C3075" w:rsidRDefault="000C3075" w:rsidP="000C3075">
      <w:pPr>
        <w:jc w:val="both"/>
        <w:rPr>
          <w:rFonts w:ascii="Avenir Next" w:hAnsi="Avenir Next" w:cs="Arial"/>
          <w:color w:val="7B7B7B" w:themeColor="accent3" w:themeShade="BF"/>
          <w:sz w:val="22"/>
          <w:szCs w:val="22"/>
          <w:lang w:val="en-GB"/>
        </w:rPr>
      </w:pPr>
    </w:p>
    <w:p w14:paraId="5BE1B3C9" w14:textId="50F7B1CB" w:rsidR="0089062F" w:rsidRPr="0089062F" w:rsidRDefault="0089062F" w:rsidP="00197F24">
      <w:pPr>
        <w:pStyle w:val="ListParagraph"/>
        <w:numPr>
          <w:ilvl w:val="0"/>
          <w:numId w:val="19"/>
        </w:numPr>
        <w:jc w:val="both"/>
        <w:rPr>
          <w:rFonts w:ascii="Avenir Next" w:hAnsi="Avenir Next" w:cs="Arial"/>
          <w:color w:val="7B7B7B" w:themeColor="accent3" w:themeShade="BF"/>
          <w:sz w:val="22"/>
          <w:szCs w:val="22"/>
          <w:lang w:val="en-GB"/>
        </w:rPr>
      </w:pPr>
      <w:r w:rsidRPr="0089062F">
        <w:rPr>
          <w:rFonts w:ascii="Avenir Next" w:hAnsi="Avenir Next" w:cs="Arial"/>
          <w:color w:val="7B7B7B" w:themeColor="accent3" w:themeShade="BF"/>
          <w:sz w:val="22"/>
          <w:szCs w:val="22"/>
          <w:lang w:val="en-GB"/>
        </w:rPr>
        <w:t>redundancy payments</w:t>
      </w:r>
      <w:r>
        <w:rPr>
          <w:rFonts w:ascii="Avenir Next" w:hAnsi="Avenir Next" w:cs="Arial"/>
          <w:color w:val="7B7B7B" w:themeColor="accent3" w:themeShade="BF"/>
          <w:sz w:val="22"/>
          <w:szCs w:val="22"/>
          <w:lang w:val="en-GB"/>
        </w:rPr>
        <w:t>.</w:t>
      </w:r>
      <w:r>
        <w:rPr>
          <w:rStyle w:val="FootnoteReference"/>
          <w:rFonts w:ascii="Avenir Next" w:hAnsi="Avenir Next" w:cs="Arial"/>
          <w:color w:val="7B7B7B" w:themeColor="accent3" w:themeShade="BF"/>
          <w:sz w:val="22"/>
          <w:szCs w:val="22"/>
          <w:lang w:val="en-GB"/>
        </w:rPr>
        <w:footnoteReference w:id="3"/>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 xml:space="preserve">Can an administrator </w:t>
      </w:r>
      <w:bookmarkStart w:id="0" w:name="_Hlk169531381"/>
      <w:r w:rsidRPr="006925C1">
        <w:rPr>
          <w:rFonts w:ascii="Avenir Next" w:hAnsi="Avenir Next" w:cs="Arial"/>
          <w:sz w:val="22"/>
          <w:szCs w:val="22"/>
          <w:lang w:val="en-GB"/>
        </w:rPr>
        <w:t>who wishes to continue to operate the business of the company in administration require suppliers of goods and services to continue to supply those goods and services during the administration?</w:t>
      </w:r>
      <w:bookmarkEnd w:id="0"/>
    </w:p>
    <w:p w14:paraId="23E3EACF" w14:textId="77777777" w:rsidR="00DA2469" w:rsidRPr="006925C1" w:rsidRDefault="00DA2469" w:rsidP="00FA417D">
      <w:pPr>
        <w:jc w:val="both"/>
        <w:rPr>
          <w:rFonts w:ascii="Avenir Next" w:hAnsi="Avenir Next" w:cs="Arial"/>
          <w:sz w:val="22"/>
          <w:szCs w:val="22"/>
          <w:lang w:val="en-GB"/>
        </w:rPr>
      </w:pPr>
    </w:p>
    <w:p w14:paraId="70B8B025" w14:textId="58755880" w:rsidR="00F03C9A" w:rsidRDefault="006B40F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essay explains why in general an administrator who </w:t>
      </w:r>
      <w:r w:rsidRPr="006B40FE">
        <w:rPr>
          <w:rFonts w:ascii="Avenir Next" w:hAnsi="Avenir Next" w:cs="Arial"/>
          <w:color w:val="7B7B7B" w:themeColor="accent3" w:themeShade="BF"/>
          <w:sz w:val="22"/>
          <w:szCs w:val="22"/>
          <w:lang w:val="en-GB"/>
        </w:rPr>
        <w:t xml:space="preserve">wishes to continue to operate the business of </w:t>
      </w:r>
      <w:r>
        <w:rPr>
          <w:rFonts w:ascii="Avenir Next" w:hAnsi="Avenir Next" w:cs="Arial"/>
          <w:color w:val="7B7B7B" w:themeColor="accent3" w:themeShade="BF"/>
          <w:sz w:val="22"/>
          <w:szCs w:val="22"/>
          <w:lang w:val="en-GB"/>
        </w:rPr>
        <w:t xml:space="preserve">a </w:t>
      </w:r>
      <w:r w:rsidRPr="006B40FE">
        <w:rPr>
          <w:rFonts w:ascii="Avenir Next" w:hAnsi="Avenir Next" w:cs="Arial"/>
          <w:color w:val="7B7B7B" w:themeColor="accent3" w:themeShade="BF"/>
          <w:sz w:val="22"/>
          <w:szCs w:val="22"/>
          <w:lang w:val="en-GB"/>
        </w:rPr>
        <w:t xml:space="preserve">company in administration </w:t>
      </w:r>
      <w:r>
        <w:rPr>
          <w:rFonts w:ascii="Avenir Next" w:hAnsi="Avenir Next" w:cs="Arial"/>
          <w:color w:val="7B7B7B" w:themeColor="accent3" w:themeShade="BF"/>
          <w:sz w:val="22"/>
          <w:szCs w:val="22"/>
          <w:lang w:val="en-GB"/>
        </w:rPr>
        <w:t xml:space="preserve">can </w:t>
      </w:r>
      <w:r w:rsidRPr="006B40FE">
        <w:rPr>
          <w:rFonts w:ascii="Avenir Next" w:hAnsi="Avenir Next" w:cs="Arial"/>
          <w:color w:val="7B7B7B" w:themeColor="accent3" w:themeShade="BF"/>
          <w:sz w:val="22"/>
          <w:szCs w:val="22"/>
          <w:lang w:val="en-GB"/>
        </w:rPr>
        <w:t>require suppliers of goods and services to continue to supply those goods and services during the administration</w:t>
      </w:r>
      <w:r>
        <w:rPr>
          <w:rFonts w:ascii="Avenir Next" w:hAnsi="Avenir Next" w:cs="Arial"/>
          <w:color w:val="7B7B7B" w:themeColor="accent3" w:themeShade="BF"/>
          <w:sz w:val="22"/>
          <w:szCs w:val="22"/>
          <w:lang w:val="en-GB"/>
        </w:rPr>
        <w:t xml:space="preserve">. There are of course some exceptions which are also explained below. </w:t>
      </w:r>
    </w:p>
    <w:p w14:paraId="740FA665" w14:textId="77777777" w:rsidR="006B40FE" w:rsidRDefault="006B40FE" w:rsidP="00197F24">
      <w:pPr>
        <w:jc w:val="both"/>
        <w:rPr>
          <w:rFonts w:ascii="Avenir Next" w:hAnsi="Avenir Next" w:cs="Arial"/>
          <w:color w:val="7B7B7B" w:themeColor="accent3" w:themeShade="BF"/>
          <w:sz w:val="22"/>
          <w:szCs w:val="22"/>
          <w:lang w:val="en-GB"/>
        </w:rPr>
      </w:pPr>
    </w:p>
    <w:p w14:paraId="2A9843F0" w14:textId="5C483FB5" w:rsidR="006B40FE" w:rsidRDefault="006B40F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Firstly, it is important to understand that a company's executory contracts are not automatically terminated upon an administrator's appointment. Contractual clauses which seek to achieve automatic termination upon certain events, such as insolvency, are known as </w:t>
      </w:r>
      <w:r w:rsidRPr="006B40FE">
        <w:rPr>
          <w:rFonts w:ascii="Avenir Next" w:hAnsi="Avenir Next" w:cs="Arial"/>
          <w:i/>
          <w:iCs/>
          <w:color w:val="7B7B7B" w:themeColor="accent3" w:themeShade="BF"/>
          <w:sz w:val="22"/>
          <w:szCs w:val="22"/>
          <w:lang w:val="en-GB"/>
        </w:rPr>
        <w:t>ipso facto</w:t>
      </w:r>
      <w:r>
        <w:rPr>
          <w:rFonts w:ascii="Avenir Next" w:hAnsi="Avenir Next" w:cs="Arial"/>
          <w:color w:val="7B7B7B" w:themeColor="accent3" w:themeShade="BF"/>
          <w:sz w:val="22"/>
          <w:szCs w:val="22"/>
          <w:lang w:val="en-GB"/>
        </w:rPr>
        <w:t xml:space="preserve"> clauses.  Historically, such clauses </w:t>
      </w:r>
      <w:r w:rsidR="00063BD9">
        <w:rPr>
          <w:rFonts w:ascii="Avenir Next" w:hAnsi="Avenir Next" w:cs="Arial"/>
          <w:color w:val="7B7B7B" w:themeColor="accent3" w:themeShade="BF"/>
          <w:sz w:val="22"/>
          <w:szCs w:val="22"/>
          <w:lang w:val="en-GB"/>
        </w:rPr>
        <w:t xml:space="preserve">were </w:t>
      </w:r>
      <w:r>
        <w:rPr>
          <w:rFonts w:ascii="Avenir Next" w:hAnsi="Avenir Next" w:cs="Arial"/>
          <w:color w:val="7B7B7B" w:themeColor="accent3" w:themeShade="BF"/>
          <w:sz w:val="22"/>
          <w:szCs w:val="22"/>
          <w:lang w:val="en-GB"/>
        </w:rPr>
        <w:t>generally effective, however, with the introduction of statutory measures, such clauses are less effective.</w:t>
      </w:r>
      <w:r w:rsidR="00907787">
        <w:rPr>
          <w:rFonts w:ascii="Avenir Next" w:hAnsi="Avenir Next" w:cs="Arial"/>
          <w:color w:val="7B7B7B" w:themeColor="accent3" w:themeShade="BF"/>
          <w:sz w:val="22"/>
          <w:szCs w:val="22"/>
          <w:lang w:val="en-GB"/>
        </w:rPr>
        <w:t xml:space="preserve"> By reference to the IA, the following sections explain some of these provisions.</w:t>
      </w:r>
    </w:p>
    <w:p w14:paraId="2B0360E4" w14:textId="77777777" w:rsidR="00907787" w:rsidRDefault="00907787" w:rsidP="00197F24">
      <w:pPr>
        <w:jc w:val="both"/>
        <w:rPr>
          <w:rFonts w:ascii="Avenir Next" w:hAnsi="Avenir Next" w:cs="Arial"/>
          <w:color w:val="7B7B7B" w:themeColor="accent3" w:themeShade="BF"/>
          <w:sz w:val="22"/>
          <w:szCs w:val="22"/>
          <w:lang w:val="en-GB"/>
        </w:rPr>
      </w:pPr>
    </w:p>
    <w:p w14:paraId="2ED202F2" w14:textId="0CC0179C" w:rsidR="00077770" w:rsidRDefault="00907787" w:rsidP="0007777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Firstly, section</w:t>
      </w:r>
      <w:r w:rsidR="006B40FE">
        <w:rPr>
          <w:rFonts w:ascii="Avenir Next" w:hAnsi="Avenir Next" w:cs="Arial"/>
          <w:color w:val="7B7B7B" w:themeColor="accent3" w:themeShade="BF"/>
          <w:sz w:val="22"/>
          <w:szCs w:val="22"/>
          <w:lang w:val="en-GB"/>
        </w:rPr>
        <w:t xml:space="preserve"> 233 </w:t>
      </w:r>
      <w:r>
        <w:rPr>
          <w:rFonts w:ascii="Avenir Next" w:hAnsi="Avenir Next" w:cs="Arial"/>
          <w:color w:val="7B7B7B" w:themeColor="accent3" w:themeShade="BF"/>
          <w:sz w:val="22"/>
          <w:szCs w:val="22"/>
          <w:lang w:val="en-GB"/>
        </w:rPr>
        <w:t xml:space="preserve">prevents suppliers of </w:t>
      </w:r>
      <w:r w:rsidRPr="00077770">
        <w:rPr>
          <w:rFonts w:ascii="Avenir Next" w:hAnsi="Avenir Next" w:cs="Arial"/>
          <w:color w:val="7B7B7B" w:themeColor="accent3" w:themeShade="BF"/>
          <w:sz w:val="22"/>
          <w:szCs w:val="22"/>
          <w:lang w:val="en-GB"/>
        </w:rPr>
        <w:t>gas, electricity, water and communications services</w:t>
      </w:r>
      <w:r>
        <w:rPr>
          <w:rFonts w:ascii="Avenir Next" w:hAnsi="Avenir Next" w:cs="Arial"/>
          <w:color w:val="7B7B7B" w:themeColor="accent3" w:themeShade="BF"/>
          <w:sz w:val="22"/>
          <w:szCs w:val="22"/>
          <w:lang w:val="en-GB"/>
        </w:rPr>
        <w:t xml:space="preserve"> from </w:t>
      </w:r>
      <w:r w:rsidRPr="00077770">
        <w:rPr>
          <w:rFonts w:ascii="Avenir Next" w:hAnsi="Avenir Next" w:cs="Arial"/>
          <w:color w:val="7B7B7B" w:themeColor="accent3" w:themeShade="BF"/>
          <w:sz w:val="22"/>
          <w:szCs w:val="22"/>
          <w:lang w:val="en-GB"/>
        </w:rPr>
        <w:t>requir</w:t>
      </w:r>
      <w:r>
        <w:rPr>
          <w:rFonts w:ascii="Avenir Next" w:hAnsi="Avenir Next" w:cs="Arial"/>
          <w:color w:val="7B7B7B" w:themeColor="accent3" w:themeShade="BF"/>
          <w:sz w:val="22"/>
          <w:szCs w:val="22"/>
          <w:lang w:val="en-GB"/>
        </w:rPr>
        <w:t>ing</w:t>
      </w:r>
      <w:r w:rsidRPr="00077770">
        <w:rPr>
          <w:rFonts w:ascii="Avenir Next" w:hAnsi="Avenir Next" w:cs="Arial"/>
          <w:color w:val="7B7B7B" w:themeColor="accent3" w:themeShade="BF"/>
          <w:sz w:val="22"/>
          <w:szCs w:val="22"/>
          <w:lang w:val="en-GB"/>
        </w:rPr>
        <w:t xml:space="preserve"> payment of outstanding debts </w:t>
      </w:r>
      <w:r>
        <w:rPr>
          <w:rFonts w:ascii="Avenir Next" w:hAnsi="Avenir Next" w:cs="Arial"/>
          <w:color w:val="7B7B7B" w:themeColor="accent3" w:themeShade="BF"/>
          <w:sz w:val="22"/>
          <w:szCs w:val="22"/>
          <w:lang w:val="en-GB"/>
        </w:rPr>
        <w:t xml:space="preserve">before supplying </w:t>
      </w:r>
      <w:r w:rsidRPr="00077770">
        <w:rPr>
          <w:rFonts w:ascii="Avenir Next" w:hAnsi="Avenir Next" w:cs="Arial"/>
          <w:color w:val="7B7B7B" w:themeColor="accent3" w:themeShade="BF"/>
          <w:sz w:val="22"/>
          <w:szCs w:val="22"/>
          <w:lang w:val="en-GB"/>
        </w:rPr>
        <w:t xml:space="preserve">new or </w:t>
      </w:r>
      <w:r>
        <w:rPr>
          <w:rFonts w:ascii="Avenir Next" w:hAnsi="Avenir Next" w:cs="Arial"/>
          <w:color w:val="7B7B7B" w:themeColor="accent3" w:themeShade="BF"/>
          <w:sz w:val="22"/>
          <w:szCs w:val="22"/>
          <w:lang w:val="en-GB"/>
        </w:rPr>
        <w:t>continued services</w:t>
      </w:r>
      <w:r w:rsidRPr="00077770">
        <w:rPr>
          <w:rFonts w:ascii="Avenir Next" w:hAnsi="Avenir Next" w:cs="Arial"/>
          <w:color w:val="7B7B7B" w:themeColor="accent3" w:themeShade="BF"/>
          <w:sz w:val="22"/>
          <w:szCs w:val="22"/>
          <w:lang w:val="en-GB"/>
        </w:rPr>
        <w:t xml:space="preserve"> to</w:t>
      </w:r>
      <w:r>
        <w:rPr>
          <w:rFonts w:ascii="Avenir Next" w:hAnsi="Avenir Next" w:cs="Arial"/>
          <w:color w:val="7B7B7B" w:themeColor="accent3" w:themeShade="BF"/>
          <w:sz w:val="22"/>
          <w:szCs w:val="22"/>
          <w:lang w:val="en-GB"/>
        </w:rPr>
        <w:t xml:space="preserve"> a </w:t>
      </w:r>
      <w:r w:rsidRPr="00077770">
        <w:rPr>
          <w:rFonts w:ascii="Avenir Next" w:hAnsi="Avenir Next" w:cs="Arial"/>
          <w:color w:val="7B7B7B" w:themeColor="accent3" w:themeShade="BF"/>
          <w:sz w:val="22"/>
          <w:szCs w:val="22"/>
          <w:lang w:val="en-GB"/>
        </w:rPr>
        <w:t>company in administration</w:t>
      </w:r>
      <w:r>
        <w:rPr>
          <w:rFonts w:ascii="Avenir Next" w:hAnsi="Avenir Next" w:cs="Arial"/>
          <w:color w:val="7B7B7B" w:themeColor="accent3" w:themeShade="BF"/>
          <w:sz w:val="22"/>
          <w:szCs w:val="22"/>
          <w:lang w:val="en-GB"/>
        </w:rPr>
        <w:t>.</w:t>
      </w:r>
      <w:r>
        <w:rPr>
          <w:rStyle w:val="FootnoteReference"/>
          <w:rFonts w:ascii="Avenir Next" w:hAnsi="Avenir Next" w:cs="Arial"/>
          <w:color w:val="7B7B7B" w:themeColor="accent3" w:themeShade="BF"/>
          <w:sz w:val="22"/>
          <w:szCs w:val="22"/>
          <w:lang w:val="en-GB"/>
        </w:rPr>
        <w:footnoteReference w:id="4"/>
      </w:r>
      <w:r>
        <w:rPr>
          <w:rFonts w:ascii="Avenir Next" w:hAnsi="Avenir Next" w:cs="Arial"/>
          <w:color w:val="7B7B7B" w:themeColor="accent3" w:themeShade="BF"/>
          <w:sz w:val="22"/>
          <w:szCs w:val="22"/>
          <w:lang w:val="en-GB"/>
        </w:rPr>
        <w:t xml:space="preserve"> Communication services </w:t>
      </w:r>
      <w:r w:rsidRPr="00907787">
        <w:rPr>
          <w:rFonts w:ascii="Avenir Next" w:hAnsi="Avenir Next" w:cs="Arial"/>
          <w:color w:val="7B7B7B" w:themeColor="accent3" w:themeShade="BF"/>
          <w:sz w:val="22"/>
          <w:szCs w:val="22"/>
          <w:lang w:val="en-GB"/>
        </w:rPr>
        <w:t xml:space="preserve">include </w:t>
      </w:r>
      <w:r w:rsidRPr="00907787">
        <w:rPr>
          <w:rFonts w:ascii="Avenir Next" w:hAnsi="Avenir Next" w:cs="Arial"/>
          <w:i/>
          <w:iCs/>
          <w:color w:val="7B7B7B" w:themeColor="accent3" w:themeShade="BF"/>
          <w:sz w:val="22"/>
          <w:szCs w:val="22"/>
          <w:lang w:val="en-GB"/>
        </w:rPr>
        <w:t>"the supply of goods and services such as point of sale terminals, computer hardware and software, information, advice, and technical assistance, data storage and processing and website hosting"</w:t>
      </w:r>
      <w:r>
        <w:rPr>
          <w:rFonts w:ascii="Avenir Next" w:hAnsi="Avenir Next" w:cs="Arial"/>
          <w:color w:val="7B7B7B" w:themeColor="accent3" w:themeShade="BF"/>
          <w:sz w:val="22"/>
          <w:szCs w:val="22"/>
          <w:lang w:val="en-GB"/>
        </w:rPr>
        <w:t>.</w:t>
      </w:r>
      <w:r>
        <w:rPr>
          <w:rStyle w:val="FootnoteReference"/>
          <w:rFonts w:ascii="Avenir Next" w:hAnsi="Avenir Next" w:cs="Arial"/>
          <w:color w:val="7B7B7B" w:themeColor="accent3" w:themeShade="BF"/>
          <w:sz w:val="22"/>
          <w:szCs w:val="22"/>
          <w:lang w:val="en-GB"/>
        </w:rPr>
        <w:footnoteReference w:id="5"/>
      </w:r>
      <w:r>
        <w:rPr>
          <w:rFonts w:ascii="Avenir Next" w:hAnsi="Avenir Next" w:cs="Arial"/>
          <w:color w:val="7B7B7B" w:themeColor="accent3" w:themeShade="BF"/>
          <w:sz w:val="22"/>
          <w:szCs w:val="22"/>
          <w:lang w:val="en-GB"/>
        </w:rPr>
        <w:t xml:space="preserve">  This section of the IA essentially recognises that these services are essential services that an administrator will need to obtain or retain in order to achieve a base level of operations. The IA does, however, still afford </w:t>
      </w:r>
      <w:r w:rsidR="00BC506E">
        <w:rPr>
          <w:rFonts w:ascii="Avenir Next" w:hAnsi="Avenir Next" w:cs="Arial"/>
          <w:color w:val="7B7B7B" w:themeColor="accent3" w:themeShade="BF"/>
          <w:sz w:val="22"/>
          <w:szCs w:val="22"/>
          <w:lang w:val="en-GB"/>
        </w:rPr>
        <w:t xml:space="preserve">certain protections to suppliers of these services including that such a supplier may require the </w:t>
      </w:r>
      <w:r w:rsidR="00077770" w:rsidRPr="00077770">
        <w:rPr>
          <w:rFonts w:ascii="Avenir Next" w:hAnsi="Avenir Next" w:cs="Arial"/>
          <w:color w:val="7B7B7B" w:themeColor="accent3" w:themeShade="BF"/>
          <w:sz w:val="22"/>
          <w:szCs w:val="22"/>
          <w:lang w:val="en-GB"/>
        </w:rPr>
        <w:t xml:space="preserve">administrator </w:t>
      </w:r>
      <w:r w:rsidR="00BC506E">
        <w:rPr>
          <w:rFonts w:ascii="Avenir Next" w:hAnsi="Avenir Next" w:cs="Arial"/>
          <w:color w:val="7B7B7B" w:themeColor="accent3" w:themeShade="BF"/>
          <w:sz w:val="22"/>
          <w:szCs w:val="22"/>
          <w:lang w:val="en-GB"/>
        </w:rPr>
        <w:t xml:space="preserve">to </w:t>
      </w:r>
      <w:r w:rsidR="00077770" w:rsidRPr="00077770">
        <w:rPr>
          <w:rFonts w:ascii="Avenir Next" w:hAnsi="Avenir Next" w:cs="Arial"/>
          <w:color w:val="7B7B7B" w:themeColor="accent3" w:themeShade="BF"/>
          <w:sz w:val="22"/>
          <w:szCs w:val="22"/>
          <w:lang w:val="en-GB"/>
        </w:rPr>
        <w:t xml:space="preserve">personally guarantee payment of charges in respect of </w:t>
      </w:r>
      <w:r w:rsidR="00BC506E">
        <w:rPr>
          <w:rFonts w:ascii="Avenir Next" w:hAnsi="Avenir Next" w:cs="Arial"/>
          <w:color w:val="7B7B7B" w:themeColor="accent3" w:themeShade="BF"/>
          <w:sz w:val="22"/>
          <w:szCs w:val="22"/>
          <w:lang w:val="en-GB"/>
        </w:rPr>
        <w:t xml:space="preserve">a </w:t>
      </w:r>
      <w:r w:rsidR="00077770" w:rsidRPr="00077770">
        <w:rPr>
          <w:rFonts w:ascii="Avenir Next" w:hAnsi="Avenir Next" w:cs="Arial"/>
          <w:color w:val="7B7B7B" w:themeColor="accent3" w:themeShade="BF"/>
          <w:sz w:val="22"/>
          <w:szCs w:val="22"/>
          <w:lang w:val="en-GB"/>
        </w:rPr>
        <w:t>new supply.</w:t>
      </w:r>
      <w:r w:rsidR="00BC506E">
        <w:rPr>
          <w:rStyle w:val="FootnoteReference"/>
          <w:rFonts w:ascii="Avenir Next" w:hAnsi="Avenir Next" w:cs="Arial"/>
          <w:color w:val="7B7B7B" w:themeColor="accent3" w:themeShade="BF"/>
          <w:sz w:val="22"/>
          <w:szCs w:val="22"/>
          <w:lang w:val="en-GB"/>
        </w:rPr>
        <w:footnoteReference w:id="6"/>
      </w:r>
    </w:p>
    <w:p w14:paraId="663C0F62" w14:textId="77777777" w:rsidR="00BC506E" w:rsidRDefault="00BC506E" w:rsidP="00077770">
      <w:pPr>
        <w:jc w:val="both"/>
        <w:rPr>
          <w:rFonts w:ascii="Avenir Next" w:hAnsi="Avenir Next" w:cs="Arial"/>
          <w:color w:val="7B7B7B" w:themeColor="accent3" w:themeShade="BF"/>
          <w:sz w:val="22"/>
          <w:szCs w:val="22"/>
          <w:lang w:val="en-GB"/>
        </w:rPr>
      </w:pPr>
    </w:p>
    <w:p w14:paraId="787ED819" w14:textId="50DBF849" w:rsidR="00BC506E" w:rsidRDefault="00BC506E" w:rsidP="0007777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233A of the IA applies to the same above-mentioned essential service providers and generally restricts a </w:t>
      </w:r>
      <w:r w:rsidR="008B2F8A">
        <w:rPr>
          <w:rFonts w:ascii="Avenir Next" w:hAnsi="Avenir Next" w:cs="Arial"/>
          <w:color w:val="7B7B7B" w:themeColor="accent3" w:themeShade="BF"/>
          <w:sz w:val="22"/>
          <w:szCs w:val="22"/>
          <w:lang w:val="en-GB"/>
        </w:rPr>
        <w:t xml:space="preserve">provider </w:t>
      </w:r>
      <w:r>
        <w:rPr>
          <w:rFonts w:ascii="Avenir Next" w:hAnsi="Avenir Next" w:cs="Arial"/>
          <w:color w:val="7B7B7B" w:themeColor="accent3" w:themeShade="BF"/>
          <w:sz w:val="22"/>
          <w:szCs w:val="22"/>
          <w:lang w:val="en-GB"/>
        </w:rPr>
        <w:t xml:space="preserve">from relying on a </w:t>
      </w:r>
      <w:r w:rsidR="00F40D99">
        <w:rPr>
          <w:rFonts w:ascii="Avenir Next" w:hAnsi="Avenir Next" w:cs="Arial"/>
          <w:color w:val="7B7B7B" w:themeColor="accent3" w:themeShade="BF"/>
          <w:sz w:val="22"/>
          <w:szCs w:val="22"/>
          <w:lang w:val="en-GB"/>
        </w:rPr>
        <w:t>contractual term</w:t>
      </w:r>
      <w:r>
        <w:rPr>
          <w:rFonts w:ascii="Avenir Next" w:hAnsi="Avenir Next" w:cs="Arial"/>
          <w:color w:val="7B7B7B" w:themeColor="accent3" w:themeShade="BF"/>
          <w:sz w:val="22"/>
          <w:szCs w:val="22"/>
          <w:lang w:val="en-GB"/>
        </w:rPr>
        <w:t xml:space="preserve"> which would otherwise mean that the supplier could terminate the supply, alter the </w:t>
      </w:r>
      <w:proofErr w:type="gramStart"/>
      <w:r>
        <w:rPr>
          <w:rFonts w:ascii="Avenir Next" w:hAnsi="Avenir Next" w:cs="Arial"/>
          <w:color w:val="7B7B7B" w:themeColor="accent3" w:themeShade="BF"/>
          <w:sz w:val="22"/>
          <w:szCs w:val="22"/>
          <w:lang w:val="en-GB"/>
        </w:rPr>
        <w:t>supply</w:t>
      </w:r>
      <w:proofErr w:type="gramEnd"/>
      <w:r>
        <w:rPr>
          <w:rFonts w:ascii="Avenir Next" w:hAnsi="Avenir Next" w:cs="Arial"/>
          <w:color w:val="7B7B7B" w:themeColor="accent3" w:themeShade="BF"/>
          <w:sz w:val="22"/>
          <w:szCs w:val="22"/>
          <w:lang w:val="en-GB"/>
        </w:rPr>
        <w:t xml:space="preserve"> or enforce more stringent payment terms for the continued supply in the circumstance of an insolvency related event.</w:t>
      </w:r>
      <w:r>
        <w:rPr>
          <w:rStyle w:val="FootnoteReference"/>
          <w:rFonts w:ascii="Avenir Next" w:hAnsi="Avenir Next" w:cs="Arial"/>
          <w:color w:val="7B7B7B" w:themeColor="accent3" w:themeShade="BF"/>
          <w:sz w:val="22"/>
          <w:szCs w:val="22"/>
          <w:lang w:val="en-GB"/>
        </w:rPr>
        <w:footnoteReference w:id="7"/>
      </w:r>
      <w:r>
        <w:rPr>
          <w:rFonts w:ascii="Avenir Next" w:hAnsi="Avenir Next" w:cs="Arial"/>
          <w:color w:val="7B7B7B" w:themeColor="accent3" w:themeShade="BF"/>
          <w:sz w:val="22"/>
          <w:szCs w:val="22"/>
          <w:lang w:val="en-GB"/>
        </w:rPr>
        <w:t xml:space="preserve"> </w:t>
      </w:r>
    </w:p>
    <w:p w14:paraId="4C5241DD" w14:textId="77777777" w:rsidR="00BC506E" w:rsidRDefault="00BC506E" w:rsidP="00077770">
      <w:pPr>
        <w:jc w:val="both"/>
        <w:rPr>
          <w:rFonts w:ascii="Avenir Next" w:hAnsi="Avenir Next" w:cs="Arial"/>
          <w:color w:val="7B7B7B" w:themeColor="accent3" w:themeShade="BF"/>
          <w:sz w:val="22"/>
          <w:szCs w:val="22"/>
          <w:lang w:val="en-GB"/>
        </w:rPr>
      </w:pPr>
    </w:p>
    <w:p w14:paraId="71610B39" w14:textId="7B80BA0C" w:rsidR="00F40D99" w:rsidRDefault="00BC506E" w:rsidP="00F40D9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20</w:t>
      </w:r>
      <w:r w:rsidR="00511B54">
        <w:rPr>
          <w:rFonts w:ascii="Avenir Next" w:hAnsi="Avenir Next" w:cs="Arial"/>
          <w:color w:val="7B7B7B" w:themeColor="accent3" w:themeShade="BF"/>
          <w:sz w:val="22"/>
          <w:szCs w:val="22"/>
          <w:lang w:val="en-GB"/>
        </w:rPr>
        <w:t>20</w:t>
      </w:r>
      <w:r>
        <w:rPr>
          <w:rFonts w:ascii="Avenir Next" w:hAnsi="Avenir Next" w:cs="Arial"/>
          <w:color w:val="7B7B7B" w:themeColor="accent3" w:themeShade="BF"/>
          <w:sz w:val="22"/>
          <w:szCs w:val="22"/>
          <w:lang w:val="en-GB"/>
        </w:rPr>
        <w:t xml:space="preserve">, the </w:t>
      </w:r>
      <w:r w:rsidRPr="00BC506E">
        <w:rPr>
          <w:rFonts w:ascii="Avenir Next" w:hAnsi="Avenir Next" w:cs="Arial"/>
          <w:color w:val="7B7B7B" w:themeColor="accent3" w:themeShade="BF"/>
          <w:sz w:val="22"/>
          <w:szCs w:val="22"/>
          <w:lang w:val="en-GB"/>
        </w:rPr>
        <w:t xml:space="preserve">Corporate Insolvency and Governance Act 2020 (the </w:t>
      </w:r>
      <w:r w:rsidRPr="00BC506E">
        <w:rPr>
          <w:rFonts w:ascii="Avenir Next" w:hAnsi="Avenir Next" w:cs="Arial"/>
          <w:b/>
          <w:bCs/>
          <w:color w:val="7B7B7B" w:themeColor="accent3" w:themeShade="BF"/>
          <w:sz w:val="22"/>
          <w:szCs w:val="22"/>
          <w:lang w:val="en-GB"/>
        </w:rPr>
        <w:t>2020 Act</w:t>
      </w:r>
      <w:r w:rsidRPr="00BC506E">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which has a debtor friendly rescue focus, expanded the protections that were available with respect to the above-mentioned essential services to </w:t>
      </w:r>
      <w:r w:rsidR="0012068B">
        <w:rPr>
          <w:rFonts w:ascii="Avenir Next" w:hAnsi="Avenir Next" w:cs="Arial"/>
          <w:color w:val="7B7B7B" w:themeColor="accent3" w:themeShade="BF"/>
          <w:sz w:val="22"/>
          <w:szCs w:val="22"/>
          <w:lang w:val="en-GB"/>
        </w:rPr>
        <w:t xml:space="preserve">other suppliers. The 2020 Act added section 233B to the IA </w:t>
      </w:r>
      <w:r w:rsidR="00F40D99">
        <w:rPr>
          <w:rFonts w:ascii="Avenir Next" w:hAnsi="Avenir Next" w:cs="Arial"/>
          <w:color w:val="7B7B7B" w:themeColor="accent3" w:themeShade="BF"/>
          <w:sz w:val="22"/>
          <w:szCs w:val="22"/>
          <w:lang w:val="en-GB"/>
        </w:rPr>
        <w:t xml:space="preserve">which </w:t>
      </w:r>
      <w:r w:rsidR="00F40D99">
        <w:rPr>
          <w:rFonts w:ascii="Avenir Next" w:hAnsi="Avenir Next" w:cs="Arial"/>
          <w:color w:val="7B7B7B" w:themeColor="accent3" w:themeShade="BF"/>
          <w:sz w:val="22"/>
          <w:szCs w:val="22"/>
          <w:lang w:val="en-GB"/>
        </w:rPr>
        <w:lastRenderedPageBreak/>
        <w:t xml:space="preserve">applies a much broader range of </w:t>
      </w:r>
      <w:r w:rsidR="00F40D99" w:rsidRPr="00077770">
        <w:rPr>
          <w:rFonts w:ascii="Avenir Next" w:hAnsi="Avenir Next" w:cs="Arial"/>
          <w:color w:val="7B7B7B" w:themeColor="accent3" w:themeShade="BF"/>
          <w:sz w:val="22"/>
          <w:szCs w:val="22"/>
          <w:lang w:val="en-GB"/>
        </w:rPr>
        <w:t>suppliers</w:t>
      </w:r>
      <w:r w:rsidR="00F40D99">
        <w:rPr>
          <w:rFonts w:ascii="Avenir Next" w:hAnsi="Avenir Next" w:cs="Arial"/>
          <w:color w:val="7B7B7B" w:themeColor="accent3" w:themeShade="BF"/>
          <w:sz w:val="22"/>
          <w:szCs w:val="22"/>
          <w:lang w:val="en-GB"/>
        </w:rPr>
        <w:t xml:space="preserve"> but excludes </w:t>
      </w:r>
      <w:r w:rsidR="00F40D99" w:rsidRPr="00077770">
        <w:rPr>
          <w:rFonts w:ascii="Avenir Next" w:hAnsi="Avenir Next" w:cs="Arial"/>
          <w:color w:val="7B7B7B" w:themeColor="accent3" w:themeShade="BF"/>
          <w:sz w:val="22"/>
          <w:szCs w:val="22"/>
          <w:lang w:val="en-GB"/>
        </w:rPr>
        <w:t>insurers; banks; electronic money institutions; recognised investment exchanges and</w:t>
      </w:r>
      <w:r w:rsidR="00F40D99">
        <w:rPr>
          <w:rFonts w:ascii="Avenir Next" w:hAnsi="Avenir Next" w:cs="Arial"/>
          <w:color w:val="7B7B7B" w:themeColor="accent3" w:themeShade="BF"/>
          <w:sz w:val="22"/>
          <w:szCs w:val="22"/>
          <w:lang w:val="en-GB"/>
        </w:rPr>
        <w:t xml:space="preserve"> </w:t>
      </w:r>
      <w:r w:rsidR="00F40D99" w:rsidRPr="00077770">
        <w:rPr>
          <w:rFonts w:ascii="Avenir Next" w:hAnsi="Avenir Next" w:cs="Arial"/>
          <w:color w:val="7B7B7B" w:themeColor="accent3" w:themeShade="BF"/>
          <w:sz w:val="22"/>
          <w:szCs w:val="22"/>
          <w:lang w:val="en-GB"/>
        </w:rPr>
        <w:t>clearing houses; securitisation companies; and overseas companies with corresponding</w:t>
      </w:r>
      <w:r w:rsidR="00F40D99">
        <w:rPr>
          <w:rFonts w:ascii="Avenir Next" w:hAnsi="Avenir Next" w:cs="Arial"/>
          <w:color w:val="7B7B7B" w:themeColor="accent3" w:themeShade="BF"/>
          <w:sz w:val="22"/>
          <w:szCs w:val="22"/>
          <w:lang w:val="en-GB"/>
        </w:rPr>
        <w:t xml:space="preserve"> </w:t>
      </w:r>
      <w:r w:rsidR="00F40D99" w:rsidRPr="00077770">
        <w:rPr>
          <w:rFonts w:ascii="Avenir Next" w:hAnsi="Avenir Next" w:cs="Arial"/>
          <w:color w:val="7B7B7B" w:themeColor="accent3" w:themeShade="BF"/>
          <w:sz w:val="22"/>
          <w:szCs w:val="22"/>
          <w:lang w:val="en-GB"/>
        </w:rPr>
        <w:t>functions</w:t>
      </w:r>
      <w:r w:rsidR="00F40D99">
        <w:rPr>
          <w:rFonts w:ascii="Avenir Next" w:hAnsi="Avenir Next" w:cs="Arial"/>
          <w:color w:val="7B7B7B" w:themeColor="accent3" w:themeShade="BF"/>
          <w:sz w:val="22"/>
          <w:szCs w:val="22"/>
          <w:lang w:val="en-GB"/>
        </w:rPr>
        <w:t>, among others.</w:t>
      </w:r>
      <w:r w:rsidR="00F40D99">
        <w:rPr>
          <w:rStyle w:val="FootnoteReference"/>
          <w:rFonts w:ascii="Avenir Next" w:hAnsi="Avenir Next" w:cs="Arial"/>
          <w:color w:val="7B7B7B" w:themeColor="accent3" w:themeShade="BF"/>
          <w:sz w:val="22"/>
          <w:szCs w:val="22"/>
          <w:lang w:val="en-GB"/>
        </w:rPr>
        <w:footnoteReference w:id="8"/>
      </w:r>
    </w:p>
    <w:p w14:paraId="5B53D09D" w14:textId="77777777" w:rsidR="00F40D99" w:rsidRDefault="00F40D99" w:rsidP="00077770">
      <w:pPr>
        <w:jc w:val="both"/>
        <w:rPr>
          <w:rFonts w:ascii="Avenir Next" w:hAnsi="Avenir Next" w:cs="Arial"/>
          <w:color w:val="7B7B7B" w:themeColor="accent3" w:themeShade="BF"/>
          <w:sz w:val="22"/>
          <w:szCs w:val="22"/>
          <w:lang w:val="en-GB"/>
        </w:rPr>
      </w:pPr>
    </w:p>
    <w:p w14:paraId="30E61203" w14:textId="51372824" w:rsidR="003636D7" w:rsidRDefault="00F40D99" w:rsidP="0007777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233B prevents</w:t>
      </w:r>
      <w:r w:rsidR="0012068B" w:rsidRPr="003636D7">
        <w:rPr>
          <w:rFonts w:ascii="Avenir Next" w:hAnsi="Avenir Next" w:cs="Arial"/>
          <w:color w:val="7B7B7B" w:themeColor="accent3" w:themeShade="BF"/>
          <w:sz w:val="22"/>
          <w:szCs w:val="22"/>
          <w:lang w:val="en-GB"/>
        </w:rPr>
        <w:t xml:space="preserve"> suppliers of goods and services from seeking to include clauses which allow them to terminate the supply (among other things) if the company being supplied to </w:t>
      </w:r>
      <w:proofErr w:type="gramStart"/>
      <w:r w:rsidR="0012068B" w:rsidRPr="003636D7">
        <w:rPr>
          <w:rFonts w:ascii="Avenir Next" w:hAnsi="Avenir Next" w:cs="Arial"/>
          <w:color w:val="7B7B7B" w:themeColor="accent3" w:themeShade="BF"/>
          <w:sz w:val="22"/>
          <w:szCs w:val="22"/>
          <w:lang w:val="en-GB"/>
        </w:rPr>
        <w:t>enters into</w:t>
      </w:r>
      <w:proofErr w:type="gramEnd"/>
      <w:r w:rsidR="0012068B" w:rsidRPr="003636D7">
        <w:rPr>
          <w:rFonts w:ascii="Avenir Next" w:hAnsi="Avenir Next" w:cs="Arial"/>
          <w:color w:val="7B7B7B" w:themeColor="accent3" w:themeShade="BF"/>
          <w:sz w:val="22"/>
          <w:szCs w:val="22"/>
          <w:lang w:val="en-GB"/>
        </w:rPr>
        <w:t xml:space="preserve"> an insolvency procedure. In essence, section 233B of the IA </w:t>
      </w:r>
      <w:r w:rsidR="00077770" w:rsidRPr="003636D7">
        <w:rPr>
          <w:rFonts w:ascii="Avenir Next" w:hAnsi="Avenir Next" w:cs="Arial"/>
          <w:color w:val="7B7B7B" w:themeColor="accent3" w:themeShade="BF"/>
          <w:sz w:val="22"/>
          <w:szCs w:val="22"/>
          <w:lang w:val="en-GB"/>
        </w:rPr>
        <w:t>prevents</w:t>
      </w:r>
      <w:r w:rsidR="0012068B" w:rsidRPr="003636D7">
        <w:rPr>
          <w:rFonts w:ascii="Avenir Next" w:hAnsi="Avenir Next" w:cs="Arial"/>
          <w:color w:val="7B7B7B" w:themeColor="accent3" w:themeShade="BF"/>
          <w:sz w:val="22"/>
          <w:szCs w:val="22"/>
          <w:lang w:val="en-GB"/>
        </w:rPr>
        <w:t xml:space="preserve"> </w:t>
      </w:r>
      <w:r w:rsidR="00077770" w:rsidRPr="003636D7">
        <w:rPr>
          <w:rFonts w:ascii="Avenir Next" w:hAnsi="Avenir Next" w:cs="Arial"/>
          <w:color w:val="7B7B7B" w:themeColor="accent3" w:themeShade="BF"/>
          <w:sz w:val="22"/>
          <w:szCs w:val="22"/>
          <w:lang w:val="en-GB"/>
        </w:rPr>
        <w:t xml:space="preserve">suppliers from </w:t>
      </w:r>
      <w:r w:rsidR="0012068B" w:rsidRPr="003636D7">
        <w:rPr>
          <w:rFonts w:ascii="Avenir Next" w:hAnsi="Avenir Next" w:cs="Arial"/>
          <w:color w:val="7B7B7B" w:themeColor="accent3" w:themeShade="BF"/>
          <w:sz w:val="22"/>
          <w:szCs w:val="22"/>
          <w:lang w:val="en-GB"/>
        </w:rPr>
        <w:t xml:space="preserve">(a) </w:t>
      </w:r>
      <w:r w:rsidR="00077770" w:rsidRPr="003636D7">
        <w:rPr>
          <w:rFonts w:ascii="Avenir Next" w:hAnsi="Avenir Next" w:cs="Arial"/>
          <w:color w:val="7B7B7B" w:themeColor="accent3" w:themeShade="BF"/>
          <w:sz w:val="22"/>
          <w:szCs w:val="22"/>
          <w:lang w:val="en-GB"/>
        </w:rPr>
        <w:t xml:space="preserve">terminating a supply upon </w:t>
      </w:r>
      <w:r w:rsidR="0012068B" w:rsidRPr="003636D7">
        <w:rPr>
          <w:rFonts w:ascii="Avenir Next" w:hAnsi="Avenir Next" w:cs="Arial"/>
          <w:color w:val="7B7B7B" w:themeColor="accent3" w:themeShade="BF"/>
          <w:sz w:val="22"/>
          <w:szCs w:val="22"/>
          <w:lang w:val="en-GB"/>
        </w:rPr>
        <w:t xml:space="preserve">an insolvency event; (b) </w:t>
      </w:r>
      <w:r w:rsidR="00077770" w:rsidRPr="003636D7">
        <w:rPr>
          <w:rFonts w:ascii="Avenir Next" w:hAnsi="Avenir Next" w:cs="Arial"/>
          <w:color w:val="7B7B7B" w:themeColor="accent3" w:themeShade="BF"/>
          <w:sz w:val="22"/>
          <w:szCs w:val="22"/>
          <w:lang w:val="en-GB"/>
        </w:rPr>
        <w:t>making</w:t>
      </w:r>
      <w:r w:rsidR="0012068B" w:rsidRPr="003636D7">
        <w:rPr>
          <w:rFonts w:ascii="Avenir Next" w:hAnsi="Avenir Next" w:cs="Arial"/>
          <w:color w:val="7B7B7B" w:themeColor="accent3" w:themeShade="BF"/>
          <w:sz w:val="22"/>
          <w:szCs w:val="22"/>
          <w:lang w:val="en-GB"/>
        </w:rPr>
        <w:t xml:space="preserve"> continued supply conditional upon payment of </w:t>
      </w:r>
      <w:r w:rsidR="00077770" w:rsidRPr="003636D7">
        <w:rPr>
          <w:rFonts w:ascii="Avenir Next" w:hAnsi="Avenir Next" w:cs="Arial"/>
          <w:color w:val="7B7B7B" w:themeColor="accent3" w:themeShade="BF"/>
          <w:sz w:val="22"/>
          <w:szCs w:val="22"/>
          <w:lang w:val="en-GB"/>
        </w:rPr>
        <w:t>arrears</w:t>
      </w:r>
      <w:r w:rsidR="0012068B" w:rsidRPr="003636D7">
        <w:rPr>
          <w:rFonts w:ascii="Avenir Next" w:hAnsi="Avenir Next" w:cs="Arial"/>
          <w:color w:val="7B7B7B" w:themeColor="accent3" w:themeShade="BF"/>
          <w:sz w:val="22"/>
          <w:szCs w:val="22"/>
          <w:lang w:val="en-GB"/>
        </w:rPr>
        <w:t>; and (c)</w:t>
      </w:r>
      <w:r w:rsidR="00077770" w:rsidRPr="003636D7">
        <w:rPr>
          <w:rFonts w:ascii="Avenir Next" w:hAnsi="Avenir Next" w:cs="Arial"/>
          <w:color w:val="7B7B7B" w:themeColor="accent3" w:themeShade="BF"/>
          <w:sz w:val="22"/>
          <w:szCs w:val="22"/>
          <w:lang w:val="en-GB"/>
        </w:rPr>
        <w:t xml:space="preserve"> </w:t>
      </w:r>
      <w:r w:rsidR="0012068B" w:rsidRPr="003636D7">
        <w:rPr>
          <w:rFonts w:ascii="Avenir Next" w:hAnsi="Avenir Next" w:cs="Arial"/>
          <w:color w:val="7B7B7B" w:themeColor="accent3" w:themeShade="BF"/>
          <w:sz w:val="22"/>
          <w:szCs w:val="22"/>
          <w:lang w:val="en-GB"/>
        </w:rPr>
        <w:t>making any other contractual changes such as price increases.</w:t>
      </w:r>
      <w:r w:rsidR="0012068B" w:rsidRPr="003636D7">
        <w:rPr>
          <w:rStyle w:val="FootnoteReference"/>
          <w:rFonts w:ascii="Avenir Next" w:hAnsi="Avenir Next" w:cs="Arial"/>
          <w:color w:val="7B7B7B" w:themeColor="accent3" w:themeShade="BF"/>
          <w:sz w:val="22"/>
          <w:szCs w:val="22"/>
          <w:lang w:val="en-GB"/>
        </w:rPr>
        <w:footnoteReference w:id="9"/>
      </w:r>
      <w:r w:rsidR="003636D7">
        <w:rPr>
          <w:rFonts w:ascii="Avenir Next" w:hAnsi="Avenir Next" w:cs="Arial"/>
          <w:color w:val="7B7B7B" w:themeColor="accent3" w:themeShade="BF"/>
          <w:sz w:val="22"/>
          <w:szCs w:val="22"/>
          <w:lang w:val="en-GB"/>
        </w:rPr>
        <w:t xml:space="preserve"> </w:t>
      </w:r>
    </w:p>
    <w:p w14:paraId="13279D92" w14:textId="77777777" w:rsidR="003636D7" w:rsidRDefault="003636D7" w:rsidP="00077770">
      <w:pPr>
        <w:jc w:val="both"/>
        <w:rPr>
          <w:rFonts w:ascii="Avenir Next" w:hAnsi="Avenir Next" w:cs="Arial"/>
          <w:color w:val="7B7B7B" w:themeColor="accent3" w:themeShade="BF"/>
          <w:sz w:val="22"/>
          <w:szCs w:val="22"/>
          <w:lang w:val="en-GB"/>
        </w:rPr>
      </w:pPr>
    </w:p>
    <w:p w14:paraId="3C3613A3" w14:textId="33941C6B" w:rsidR="00077770" w:rsidRDefault="003636D7" w:rsidP="0007777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Turing to the protections that are available to suppliers that are caught by section 233B of the IA, unlike section 233, it is not open to a supplier under section 233B to </w:t>
      </w:r>
      <w:r w:rsidR="00077770" w:rsidRPr="00077770">
        <w:rPr>
          <w:rFonts w:ascii="Avenir Next" w:hAnsi="Avenir Next" w:cs="Arial"/>
          <w:color w:val="7B7B7B" w:themeColor="accent3" w:themeShade="BF"/>
          <w:sz w:val="22"/>
          <w:szCs w:val="22"/>
          <w:lang w:val="en-GB"/>
        </w:rPr>
        <w:t xml:space="preserve">insist on a personal guarantee from the administrator </w:t>
      </w:r>
      <w:r>
        <w:rPr>
          <w:rFonts w:ascii="Avenir Next" w:hAnsi="Avenir Next" w:cs="Arial"/>
          <w:color w:val="7B7B7B" w:themeColor="accent3" w:themeShade="BF"/>
          <w:sz w:val="22"/>
          <w:szCs w:val="22"/>
          <w:lang w:val="en-GB"/>
        </w:rPr>
        <w:t xml:space="preserve">in relation to payment for the goods and services. </w:t>
      </w:r>
      <w:r w:rsidR="00F40D99">
        <w:rPr>
          <w:rFonts w:ascii="Avenir Next" w:hAnsi="Avenir Next" w:cs="Arial"/>
          <w:color w:val="7B7B7B" w:themeColor="accent3" w:themeShade="BF"/>
          <w:sz w:val="22"/>
          <w:szCs w:val="22"/>
          <w:lang w:val="en-GB"/>
        </w:rPr>
        <w:t xml:space="preserve">Executory contracts with such suppliers, may however, still be terminated in certain circumstances, including where the </w:t>
      </w:r>
      <w:r w:rsidR="00077770" w:rsidRPr="00077770">
        <w:rPr>
          <w:rFonts w:ascii="Avenir Next" w:hAnsi="Avenir Next" w:cs="Arial"/>
          <w:color w:val="7B7B7B" w:themeColor="accent3" w:themeShade="BF"/>
          <w:sz w:val="22"/>
          <w:szCs w:val="22"/>
          <w:lang w:val="en-GB"/>
        </w:rPr>
        <w:t>company or</w:t>
      </w:r>
      <w:r w:rsidR="00F40D99">
        <w:rPr>
          <w:rFonts w:ascii="Avenir Next" w:hAnsi="Avenir Next" w:cs="Arial"/>
          <w:color w:val="7B7B7B" w:themeColor="accent3" w:themeShade="BF"/>
          <w:sz w:val="22"/>
          <w:szCs w:val="22"/>
          <w:lang w:val="en-GB"/>
        </w:rPr>
        <w:t xml:space="preserve"> administrator agrees</w:t>
      </w:r>
      <w:r w:rsidR="00511B54">
        <w:rPr>
          <w:rFonts w:ascii="Avenir Next" w:hAnsi="Avenir Next" w:cs="Arial"/>
          <w:color w:val="7B7B7B" w:themeColor="accent3" w:themeShade="BF"/>
          <w:sz w:val="22"/>
          <w:szCs w:val="22"/>
          <w:lang w:val="en-GB"/>
        </w:rPr>
        <w:t>,</w:t>
      </w:r>
      <w:r w:rsidR="00F40D99">
        <w:rPr>
          <w:rFonts w:ascii="Avenir Next" w:hAnsi="Avenir Next" w:cs="Arial"/>
          <w:color w:val="7B7B7B" w:themeColor="accent3" w:themeShade="BF"/>
          <w:sz w:val="22"/>
          <w:szCs w:val="22"/>
          <w:lang w:val="en-GB"/>
        </w:rPr>
        <w:t xml:space="preserve"> or following court sanction if the supplier applies to court, and the court </w:t>
      </w:r>
      <w:r w:rsidR="00077770" w:rsidRPr="00077770">
        <w:rPr>
          <w:rFonts w:ascii="Avenir Next" w:hAnsi="Avenir Next" w:cs="Arial"/>
          <w:color w:val="7B7B7B" w:themeColor="accent3" w:themeShade="BF"/>
          <w:sz w:val="22"/>
          <w:szCs w:val="22"/>
          <w:lang w:val="en-GB"/>
        </w:rPr>
        <w:t>is satisfied that the</w:t>
      </w:r>
      <w:r w:rsidR="00F40D99">
        <w:rPr>
          <w:rFonts w:ascii="Avenir Next" w:hAnsi="Avenir Next" w:cs="Arial"/>
          <w:color w:val="7B7B7B" w:themeColor="accent3" w:themeShade="BF"/>
          <w:sz w:val="22"/>
          <w:szCs w:val="22"/>
          <w:lang w:val="en-GB"/>
        </w:rPr>
        <w:t xml:space="preserve"> </w:t>
      </w:r>
      <w:r w:rsidR="00077770" w:rsidRPr="00077770">
        <w:rPr>
          <w:rFonts w:ascii="Avenir Next" w:hAnsi="Avenir Next" w:cs="Arial"/>
          <w:color w:val="7B7B7B" w:themeColor="accent3" w:themeShade="BF"/>
          <w:sz w:val="22"/>
          <w:szCs w:val="22"/>
          <w:lang w:val="en-GB"/>
        </w:rPr>
        <w:t>continuation of the contract would cause the supplier hardshi</w:t>
      </w:r>
      <w:r w:rsidR="00F40D99">
        <w:rPr>
          <w:rFonts w:ascii="Avenir Next" w:hAnsi="Avenir Next" w:cs="Arial"/>
          <w:color w:val="7B7B7B" w:themeColor="accent3" w:themeShade="BF"/>
          <w:sz w:val="22"/>
          <w:szCs w:val="22"/>
          <w:lang w:val="en-GB"/>
        </w:rPr>
        <w:t>p.</w:t>
      </w:r>
      <w:r w:rsidR="00F40D99">
        <w:rPr>
          <w:rStyle w:val="FootnoteReference"/>
          <w:rFonts w:ascii="Avenir Next" w:hAnsi="Avenir Next" w:cs="Arial"/>
          <w:color w:val="7B7B7B" w:themeColor="accent3" w:themeShade="BF"/>
          <w:sz w:val="22"/>
          <w:szCs w:val="22"/>
          <w:lang w:val="en-GB"/>
        </w:rPr>
        <w:footnoteReference w:id="10"/>
      </w:r>
      <w:r w:rsidR="00F40D99">
        <w:rPr>
          <w:rFonts w:ascii="Avenir Next" w:hAnsi="Avenir Next" w:cs="Arial"/>
          <w:color w:val="7B7B7B" w:themeColor="accent3" w:themeShade="BF"/>
          <w:sz w:val="22"/>
          <w:szCs w:val="22"/>
          <w:lang w:val="en-GB"/>
        </w:rPr>
        <w:t xml:space="preserve"> </w:t>
      </w:r>
    </w:p>
    <w:p w14:paraId="7987C64D" w14:textId="77777777" w:rsidR="00F40D99" w:rsidRDefault="00F40D99" w:rsidP="00077770">
      <w:pPr>
        <w:jc w:val="both"/>
        <w:rPr>
          <w:rFonts w:ascii="Avenir Next" w:hAnsi="Avenir Next" w:cs="Arial"/>
          <w:color w:val="7B7B7B" w:themeColor="accent3" w:themeShade="BF"/>
          <w:sz w:val="22"/>
          <w:szCs w:val="22"/>
          <w:lang w:val="en-GB"/>
        </w:rPr>
      </w:pPr>
    </w:p>
    <w:p w14:paraId="7853BE56" w14:textId="30453930" w:rsidR="00F40D99" w:rsidRDefault="00F40D99" w:rsidP="0007777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it can be seen, the introduction and existence of these measures are debtor friendly and essentially recognise that </w:t>
      </w:r>
      <w:proofErr w:type="gramStart"/>
      <w:r>
        <w:rPr>
          <w:rFonts w:ascii="Avenir Next" w:hAnsi="Avenir Next" w:cs="Arial"/>
          <w:color w:val="7B7B7B" w:themeColor="accent3" w:themeShade="BF"/>
          <w:sz w:val="22"/>
          <w:szCs w:val="22"/>
          <w:lang w:val="en-GB"/>
        </w:rPr>
        <w:t>in order for</w:t>
      </w:r>
      <w:proofErr w:type="gramEnd"/>
      <w:r>
        <w:rPr>
          <w:rFonts w:ascii="Avenir Next" w:hAnsi="Avenir Next" w:cs="Arial"/>
          <w:color w:val="7B7B7B" w:themeColor="accent3" w:themeShade="BF"/>
          <w:sz w:val="22"/>
          <w:szCs w:val="22"/>
          <w:lang w:val="en-GB"/>
        </w:rPr>
        <w:t xml:space="preserve"> administration to succeed, particularly if the objective is to rescue the company, then continued trading can be necessary to achieve those goals.  </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A943AC">
        <w:rPr>
          <w:rFonts w:ascii="Avenir Next" w:hAnsi="Avenir Next" w:cs="Arial"/>
          <w:sz w:val="22"/>
          <w:szCs w:val="22"/>
          <w:lang w:val="en-GB"/>
        </w:rPr>
        <w:t xml:space="preserve">Explain the </w:t>
      </w:r>
      <w:r w:rsidR="00461F95" w:rsidRPr="00A943AC">
        <w:rPr>
          <w:rFonts w:ascii="Avenir Next" w:hAnsi="Avenir Next" w:cs="Arial"/>
          <w:sz w:val="22"/>
          <w:szCs w:val="22"/>
          <w:lang w:val="en-GB"/>
        </w:rPr>
        <w:t>order of priority of payments in a liquidation</w:t>
      </w:r>
      <w:r w:rsidR="00F70126" w:rsidRPr="00A943AC">
        <w:rPr>
          <w:rFonts w:ascii="Avenir Next" w:hAnsi="Avenir Next" w:cs="Arial"/>
          <w:sz w:val="22"/>
          <w:szCs w:val="22"/>
          <w:lang w:val="en-GB"/>
        </w:rPr>
        <w:t xml:space="preserve"> and explain </w:t>
      </w:r>
      <w:bookmarkStart w:id="1" w:name="_Hlk169953834"/>
      <w:r w:rsidR="00F70126" w:rsidRPr="00A943AC">
        <w:rPr>
          <w:rFonts w:ascii="Avenir Next" w:hAnsi="Avenir Next" w:cs="Arial"/>
          <w:sz w:val="22"/>
          <w:szCs w:val="22"/>
          <w:lang w:val="en-GB"/>
        </w:rPr>
        <w:t xml:space="preserve">the nature of </w:t>
      </w:r>
      <w:r w:rsidR="00311816" w:rsidRPr="00A943AC">
        <w:rPr>
          <w:rFonts w:ascii="Avenir Next" w:hAnsi="Avenir Next" w:cs="Arial"/>
          <w:sz w:val="22"/>
          <w:szCs w:val="22"/>
          <w:lang w:val="en-GB"/>
        </w:rPr>
        <w:t xml:space="preserve">the rights enjoyed by </w:t>
      </w:r>
      <w:r w:rsidR="00F70126" w:rsidRPr="00A943AC">
        <w:rPr>
          <w:rFonts w:ascii="Avenir Next" w:hAnsi="Avenir Next" w:cs="Arial"/>
          <w:sz w:val="22"/>
          <w:szCs w:val="22"/>
          <w:lang w:val="en-GB"/>
        </w:rPr>
        <w:t xml:space="preserve">each </w:t>
      </w:r>
      <w:r w:rsidR="00311816" w:rsidRPr="00A943AC">
        <w:rPr>
          <w:rFonts w:ascii="Avenir Next" w:hAnsi="Avenir Next" w:cs="Arial"/>
          <w:sz w:val="22"/>
          <w:szCs w:val="22"/>
          <w:lang w:val="en-GB"/>
        </w:rPr>
        <w:t xml:space="preserve">class of </w:t>
      </w:r>
      <w:r w:rsidR="00F70126" w:rsidRPr="00A943AC">
        <w:rPr>
          <w:rFonts w:ascii="Avenir Next" w:hAnsi="Avenir Next" w:cs="Arial"/>
          <w:sz w:val="22"/>
          <w:szCs w:val="22"/>
          <w:lang w:val="en-GB"/>
        </w:rPr>
        <w:t>creditor</w:t>
      </w:r>
      <w:r w:rsidR="00311816" w:rsidRPr="00A943AC">
        <w:rPr>
          <w:rFonts w:ascii="Avenir Next" w:hAnsi="Avenir Next" w:cs="Arial"/>
          <w:sz w:val="22"/>
          <w:szCs w:val="22"/>
          <w:lang w:val="en-GB"/>
        </w:rPr>
        <w:t xml:space="preserve"> or expense</w:t>
      </w:r>
      <w:r w:rsidR="00763348" w:rsidRPr="00A943AC">
        <w:rPr>
          <w:rFonts w:ascii="Avenir Next" w:hAnsi="Avenir Next" w:cs="Arial"/>
          <w:sz w:val="22"/>
          <w:szCs w:val="22"/>
          <w:lang w:val="en-GB"/>
        </w:rPr>
        <w:t>.</w:t>
      </w:r>
      <w:r w:rsidR="00871C74" w:rsidRPr="00A943AC">
        <w:rPr>
          <w:rFonts w:ascii="Avenir Next" w:hAnsi="Avenir Next" w:cs="Arial"/>
          <w:sz w:val="22"/>
          <w:szCs w:val="22"/>
          <w:lang w:val="en-GB"/>
        </w:rPr>
        <w:t xml:space="preserve"> </w:t>
      </w:r>
      <w:bookmarkEnd w:id="1"/>
      <w:r w:rsidR="00871C74" w:rsidRPr="00A943AC">
        <w:rPr>
          <w:rFonts w:ascii="Avenir Next" w:hAnsi="Avenir Next" w:cs="Arial"/>
          <w:sz w:val="22"/>
          <w:szCs w:val="22"/>
          <w:lang w:val="en-GB"/>
        </w:rPr>
        <w:t xml:space="preserve">How would this priority change if the company had been subject to a Moratorium under Part A1 of the Insolvency Act 1986 during the </w:t>
      </w:r>
      <w:r w:rsidR="00086C55" w:rsidRPr="00A943AC">
        <w:rPr>
          <w:rFonts w:ascii="Avenir Next" w:hAnsi="Avenir Next" w:cs="Arial"/>
          <w:sz w:val="22"/>
          <w:szCs w:val="22"/>
          <w:lang w:val="en-GB"/>
        </w:rPr>
        <w:t>12-week</w:t>
      </w:r>
      <w:r w:rsidR="00871C74" w:rsidRPr="00A943AC">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7E4C7534" w14:textId="07936222" w:rsidR="0033781E" w:rsidRDefault="0033781E"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essay provides an overview of the order of priority of payments in a liquidation in the United Kingdon (the </w:t>
      </w:r>
      <w:r w:rsidRPr="0033781E">
        <w:rPr>
          <w:rFonts w:ascii="Avenir Next" w:hAnsi="Avenir Next" w:cs="Arial"/>
          <w:b/>
          <w:bCs/>
          <w:color w:val="7B7B7B" w:themeColor="accent3" w:themeShade="BF"/>
          <w:sz w:val="22"/>
          <w:szCs w:val="22"/>
          <w:lang w:val="en-GB"/>
        </w:rPr>
        <w:t>UK</w:t>
      </w:r>
      <w:r>
        <w:rPr>
          <w:rFonts w:ascii="Avenir Next" w:hAnsi="Avenir Next" w:cs="Arial"/>
          <w:color w:val="7B7B7B" w:themeColor="accent3" w:themeShade="BF"/>
          <w:sz w:val="22"/>
          <w:szCs w:val="22"/>
          <w:lang w:val="en-GB"/>
        </w:rPr>
        <w:t>) with a focus on the</w:t>
      </w:r>
      <w:r w:rsidRPr="0033781E">
        <w:rPr>
          <w:rFonts w:ascii="Avenir Next" w:hAnsi="Avenir Next" w:cs="Arial"/>
          <w:color w:val="7B7B7B" w:themeColor="accent3" w:themeShade="BF"/>
          <w:sz w:val="22"/>
          <w:szCs w:val="22"/>
          <w:lang w:val="en-GB"/>
        </w:rPr>
        <w:t xml:space="preserve"> nature of the rights enjoyed by each class of creditor or expense.</w:t>
      </w:r>
      <w:r>
        <w:rPr>
          <w:rFonts w:ascii="Avenir Next" w:hAnsi="Avenir Next" w:cs="Arial"/>
          <w:color w:val="7B7B7B" w:themeColor="accent3" w:themeShade="BF"/>
          <w:sz w:val="22"/>
          <w:szCs w:val="22"/>
          <w:lang w:val="en-GB"/>
        </w:rPr>
        <w:t xml:space="preserve"> It then examines how the order of priorities are impacted in circumstances where a </w:t>
      </w:r>
      <w:r w:rsidRPr="0033781E">
        <w:rPr>
          <w:rFonts w:ascii="Avenir Next" w:hAnsi="Avenir Next" w:cs="Arial"/>
          <w:color w:val="7B7B7B" w:themeColor="accent3" w:themeShade="BF"/>
          <w:sz w:val="22"/>
          <w:szCs w:val="22"/>
          <w:lang w:val="en-GB"/>
        </w:rPr>
        <w:t>company ha</w:t>
      </w:r>
      <w:r>
        <w:rPr>
          <w:rFonts w:ascii="Avenir Next" w:hAnsi="Avenir Next" w:cs="Arial"/>
          <w:color w:val="7B7B7B" w:themeColor="accent3" w:themeShade="BF"/>
          <w:sz w:val="22"/>
          <w:szCs w:val="22"/>
          <w:lang w:val="en-GB"/>
        </w:rPr>
        <w:t xml:space="preserve">s </w:t>
      </w:r>
      <w:r w:rsidRPr="0033781E">
        <w:rPr>
          <w:rFonts w:ascii="Avenir Next" w:hAnsi="Avenir Next" w:cs="Arial"/>
          <w:color w:val="7B7B7B" w:themeColor="accent3" w:themeShade="BF"/>
          <w:sz w:val="22"/>
          <w:szCs w:val="22"/>
          <w:lang w:val="en-GB"/>
        </w:rPr>
        <w:t xml:space="preserve">been subject to a Moratorium under Part A1 of the </w:t>
      </w:r>
      <w:r w:rsidR="00784EC9">
        <w:rPr>
          <w:rFonts w:ascii="Avenir Next" w:hAnsi="Avenir Next" w:cs="Arial"/>
          <w:color w:val="7B7B7B" w:themeColor="accent3" w:themeShade="BF"/>
          <w:sz w:val="22"/>
          <w:szCs w:val="22"/>
          <w:lang w:val="en-GB"/>
        </w:rPr>
        <w:t>IA</w:t>
      </w:r>
      <w:r w:rsidRPr="0033781E">
        <w:rPr>
          <w:rFonts w:ascii="Avenir Next" w:hAnsi="Avenir Next" w:cs="Arial"/>
          <w:color w:val="7B7B7B" w:themeColor="accent3" w:themeShade="BF"/>
          <w:sz w:val="22"/>
          <w:szCs w:val="22"/>
          <w:lang w:val="en-GB"/>
        </w:rPr>
        <w:t xml:space="preserve"> during the 12-week period prior to the commencement of </w:t>
      </w:r>
      <w:r>
        <w:rPr>
          <w:rFonts w:ascii="Avenir Next" w:hAnsi="Avenir Next" w:cs="Arial"/>
          <w:color w:val="7B7B7B" w:themeColor="accent3" w:themeShade="BF"/>
          <w:sz w:val="22"/>
          <w:szCs w:val="22"/>
          <w:lang w:val="en-GB"/>
        </w:rPr>
        <w:t xml:space="preserve">the </w:t>
      </w:r>
      <w:r w:rsidRPr="0033781E">
        <w:rPr>
          <w:rFonts w:ascii="Avenir Next" w:hAnsi="Avenir Next" w:cs="Arial"/>
          <w:color w:val="7B7B7B" w:themeColor="accent3" w:themeShade="BF"/>
          <w:sz w:val="22"/>
          <w:szCs w:val="22"/>
          <w:lang w:val="en-GB"/>
        </w:rPr>
        <w:t>liquidation</w:t>
      </w:r>
      <w:r>
        <w:rPr>
          <w:rFonts w:ascii="Avenir Next" w:hAnsi="Avenir Next" w:cs="Arial"/>
          <w:color w:val="7B7B7B" w:themeColor="accent3" w:themeShade="BF"/>
          <w:sz w:val="22"/>
          <w:szCs w:val="22"/>
          <w:lang w:val="en-GB"/>
        </w:rPr>
        <w:t xml:space="preserve">. </w:t>
      </w:r>
    </w:p>
    <w:p w14:paraId="00E98BE5" w14:textId="77777777" w:rsidR="0033781E" w:rsidRDefault="0033781E" w:rsidP="002A37BB">
      <w:pPr>
        <w:jc w:val="both"/>
        <w:rPr>
          <w:rFonts w:ascii="Avenir Next" w:hAnsi="Avenir Next" w:cs="Arial"/>
          <w:color w:val="7B7B7B" w:themeColor="accent3" w:themeShade="BF"/>
          <w:sz w:val="22"/>
          <w:szCs w:val="22"/>
          <w:lang w:val="en-GB"/>
        </w:rPr>
      </w:pPr>
    </w:p>
    <w:p w14:paraId="6906C4E9" w14:textId="67FBCCD0" w:rsidR="001B6763" w:rsidRPr="00784EC9" w:rsidRDefault="0033781E"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By way of preliminary comment, it is worth noting that secured creditors (i.e. holders of fixed charges) are generally paid out first and outside of the formal insolvency process. Typically, the secured creditor will act on its right to sell the asset subject to the fixed charges and will seek to recoup any debt owed to it from that sale.</w:t>
      </w:r>
      <w:r>
        <w:rPr>
          <w:rStyle w:val="FootnoteReference"/>
          <w:rFonts w:ascii="Avenir Next" w:hAnsi="Avenir Next" w:cs="Arial"/>
          <w:color w:val="7B7B7B" w:themeColor="accent3" w:themeShade="BF"/>
          <w:sz w:val="22"/>
          <w:szCs w:val="22"/>
          <w:lang w:val="en-GB"/>
        </w:rPr>
        <w:footnoteReference w:id="11"/>
      </w:r>
      <w:r>
        <w:rPr>
          <w:rFonts w:ascii="Avenir Next" w:hAnsi="Avenir Next" w:cs="Arial"/>
          <w:color w:val="7B7B7B" w:themeColor="accent3" w:themeShade="BF"/>
          <w:sz w:val="22"/>
          <w:szCs w:val="22"/>
          <w:lang w:val="en-GB"/>
        </w:rPr>
        <w:t xml:space="preserve"> </w:t>
      </w:r>
      <w:r w:rsidR="001B6763">
        <w:rPr>
          <w:rFonts w:ascii="Avenir Next" w:hAnsi="Avenir Next" w:cs="Arial"/>
          <w:color w:val="7B7B7B" w:themeColor="accent3" w:themeShade="BF"/>
          <w:sz w:val="22"/>
          <w:szCs w:val="22"/>
          <w:lang w:val="en-GB"/>
        </w:rPr>
        <w:t xml:space="preserve">Holders of floating charges do not have the same right and or treatment as fixed charge holders, however, in some circumstances a holder of a </w:t>
      </w:r>
      <w:r w:rsidR="001B6763" w:rsidRPr="002146D1">
        <w:rPr>
          <w:rFonts w:ascii="Avenir Next" w:hAnsi="Avenir Next" w:cs="Arial"/>
          <w:color w:val="7B7B7B" w:themeColor="accent3" w:themeShade="BF"/>
          <w:sz w:val="22"/>
          <w:szCs w:val="22"/>
          <w:lang w:val="en-GB"/>
        </w:rPr>
        <w:t xml:space="preserve">floating charge may </w:t>
      </w:r>
      <w:r w:rsidR="001B6763">
        <w:rPr>
          <w:rFonts w:ascii="Avenir Next" w:hAnsi="Avenir Next" w:cs="Arial"/>
          <w:color w:val="7B7B7B" w:themeColor="accent3" w:themeShade="BF"/>
          <w:sz w:val="22"/>
          <w:szCs w:val="22"/>
          <w:lang w:val="en-GB"/>
        </w:rPr>
        <w:t>seek</w:t>
      </w:r>
      <w:r w:rsidR="001B6763" w:rsidRPr="002146D1">
        <w:rPr>
          <w:rFonts w:ascii="Avenir Next" w:hAnsi="Avenir Next" w:cs="Arial"/>
          <w:color w:val="7B7B7B" w:themeColor="accent3" w:themeShade="BF"/>
          <w:sz w:val="22"/>
          <w:szCs w:val="22"/>
          <w:lang w:val="en-GB"/>
        </w:rPr>
        <w:t xml:space="preserve"> to enforce its charge by appointing an</w:t>
      </w:r>
      <w:r w:rsidR="001B6763">
        <w:rPr>
          <w:rFonts w:ascii="Avenir Next" w:hAnsi="Avenir Next" w:cs="Arial"/>
          <w:color w:val="7B7B7B" w:themeColor="accent3" w:themeShade="BF"/>
          <w:sz w:val="22"/>
          <w:szCs w:val="22"/>
          <w:lang w:val="en-GB"/>
        </w:rPr>
        <w:t xml:space="preserve"> </w:t>
      </w:r>
      <w:r w:rsidR="001B6763" w:rsidRPr="002146D1">
        <w:rPr>
          <w:rFonts w:ascii="Avenir Next" w:hAnsi="Avenir Next" w:cs="Arial"/>
          <w:color w:val="7B7B7B" w:themeColor="accent3" w:themeShade="BF"/>
          <w:sz w:val="22"/>
          <w:szCs w:val="22"/>
          <w:lang w:val="en-GB"/>
        </w:rPr>
        <w:t xml:space="preserve">administrator which </w:t>
      </w:r>
      <w:r w:rsidR="001B6763">
        <w:rPr>
          <w:rFonts w:ascii="Avenir Next" w:hAnsi="Avenir Next" w:cs="Arial"/>
          <w:color w:val="7B7B7B" w:themeColor="accent3" w:themeShade="BF"/>
          <w:sz w:val="22"/>
          <w:szCs w:val="22"/>
          <w:lang w:val="en-GB"/>
        </w:rPr>
        <w:t>typically</w:t>
      </w:r>
      <w:r w:rsidR="001B6763" w:rsidRPr="002146D1">
        <w:rPr>
          <w:rFonts w:ascii="Avenir Next" w:hAnsi="Avenir Next" w:cs="Arial"/>
          <w:color w:val="7B7B7B" w:themeColor="accent3" w:themeShade="BF"/>
          <w:sz w:val="22"/>
          <w:szCs w:val="22"/>
          <w:lang w:val="en-GB"/>
        </w:rPr>
        <w:t xml:space="preserve"> prevent</w:t>
      </w:r>
      <w:r w:rsidR="001B6763">
        <w:rPr>
          <w:rFonts w:ascii="Avenir Next" w:hAnsi="Avenir Next" w:cs="Arial"/>
          <w:color w:val="7B7B7B" w:themeColor="accent3" w:themeShade="BF"/>
          <w:sz w:val="22"/>
          <w:szCs w:val="22"/>
          <w:lang w:val="en-GB"/>
        </w:rPr>
        <w:t>s</w:t>
      </w:r>
      <w:r w:rsidR="001B6763" w:rsidRPr="002146D1">
        <w:rPr>
          <w:rFonts w:ascii="Avenir Next" w:hAnsi="Avenir Next" w:cs="Arial"/>
          <w:color w:val="7B7B7B" w:themeColor="accent3" w:themeShade="BF"/>
          <w:sz w:val="22"/>
          <w:szCs w:val="22"/>
          <w:lang w:val="en-GB"/>
        </w:rPr>
        <w:t xml:space="preserve"> a liquidator</w:t>
      </w:r>
      <w:r w:rsidR="001B6763">
        <w:rPr>
          <w:rFonts w:ascii="Avenir Next" w:hAnsi="Avenir Next" w:cs="Arial"/>
          <w:color w:val="7B7B7B" w:themeColor="accent3" w:themeShade="BF"/>
          <w:sz w:val="22"/>
          <w:szCs w:val="22"/>
          <w:lang w:val="en-GB"/>
        </w:rPr>
        <w:t xml:space="preserve"> from</w:t>
      </w:r>
      <w:r w:rsidR="001B6763" w:rsidRPr="002146D1">
        <w:rPr>
          <w:rFonts w:ascii="Avenir Next" w:hAnsi="Avenir Next" w:cs="Arial"/>
          <w:color w:val="7B7B7B" w:themeColor="accent3" w:themeShade="BF"/>
          <w:sz w:val="22"/>
          <w:szCs w:val="22"/>
          <w:lang w:val="en-GB"/>
        </w:rPr>
        <w:t xml:space="preserve"> being appointed until the administration is</w:t>
      </w:r>
      <w:r w:rsidR="001B6763">
        <w:rPr>
          <w:rFonts w:ascii="Avenir Next" w:hAnsi="Avenir Next" w:cs="Arial"/>
          <w:color w:val="7B7B7B" w:themeColor="accent3" w:themeShade="BF"/>
          <w:sz w:val="22"/>
          <w:szCs w:val="22"/>
          <w:lang w:val="en-GB"/>
        </w:rPr>
        <w:t xml:space="preserve"> </w:t>
      </w:r>
      <w:r w:rsidR="001B6763" w:rsidRPr="002146D1">
        <w:rPr>
          <w:rFonts w:ascii="Avenir Next" w:hAnsi="Avenir Next" w:cs="Arial"/>
          <w:color w:val="7B7B7B" w:themeColor="accent3" w:themeShade="BF"/>
          <w:sz w:val="22"/>
          <w:szCs w:val="22"/>
          <w:lang w:val="en-GB"/>
        </w:rPr>
        <w:t>completed</w:t>
      </w:r>
      <w:r w:rsidR="001B6763">
        <w:rPr>
          <w:rFonts w:ascii="Avenir Next" w:hAnsi="Avenir Next" w:cs="Arial"/>
          <w:color w:val="7B7B7B" w:themeColor="accent3" w:themeShade="BF"/>
          <w:sz w:val="22"/>
          <w:szCs w:val="22"/>
          <w:lang w:val="en-GB"/>
        </w:rPr>
        <w:t>.</w:t>
      </w:r>
      <w:r w:rsidR="001B6763">
        <w:rPr>
          <w:rStyle w:val="FootnoteReference"/>
          <w:rFonts w:ascii="Avenir Next" w:hAnsi="Avenir Next" w:cs="Arial"/>
          <w:color w:val="7B7B7B" w:themeColor="accent3" w:themeShade="BF"/>
          <w:sz w:val="22"/>
          <w:szCs w:val="22"/>
          <w:lang w:val="en-GB"/>
        </w:rPr>
        <w:footnoteReference w:id="12"/>
      </w:r>
      <w:r w:rsidR="001B6763">
        <w:rPr>
          <w:rFonts w:ascii="Avenir Next" w:hAnsi="Avenir Next" w:cs="Arial"/>
          <w:color w:val="7B7B7B" w:themeColor="accent3" w:themeShade="BF"/>
          <w:sz w:val="22"/>
          <w:szCs w:val="22"/>
          <w:lang w:val="en-GB"/>
        </w:rPr>
        <w:t xml:space="preserve"> A floating</w:t>
      </w:r>
      <w:r w:rsidR="001B6763" w:rsidRPr="002146D1">
        <w:rPr>
          <w:rFonts w:ascii="Avenir Next" w:hAnsi="Avenir Next" w:cs="Arial"/>
          <w:color w:val="7B7B7B" w:themeColor="accent3" w:themeShade="BF"/>
          <w:sz w:val="22"/>
          <w:szCs w:val="22"/>
          <w:lang w:val="en-GB"/>
        </w:rPr>
        <w:t xml:space="preserve"> charge holder </w:t>
      </w:r>
      <w:r w:rsidR="001B6763">
        <w:rPr>
          <w:rFonts w:ascii="Avenir Next" w:hAnsi="Avenir Next" w:cs="Arial"/>
          <w:color w:val="7B7B7B" w:themeColor="accent3" w:themeShade="BF"/>
          <w:sz w:val="22"/>
          <w:szCs w:val="22"/>
          <w:lang w:val="en-GB"/>
        </w:rPr>
        <w:t>may also simply</w:t>
      </w:r>
      <w:r w:rsidR="001B6763" w:rsidRPr="002146D1">
        <w:rPr>
          <w:rFonts w:ascii="Avenir Next" w:hAnsi="Avenir Next" w:cs="Arial"/>
          <w:color w:val="7B7B7B" w:themeColor="accent3" w:themeShade="BF"/>
          <w:sz w:val="22"/>
          <w:szCs w:val="22"/>
          <w:lang w:val="en-GB"/>
        </w:rPr>
        <w:t xml:space="preserve"> consent to the appointment of a liquidator</w:t>
      </w:r>
      <w:r w:rsidR="001B6763">
        <w:rPr>
          <w:rFonts w:ascii="Avenir Next" w:hAnsi="Avenir Next" w:cs="Arial"/>
          <w:color w:val="7B7B7B" w:themeColor="accent3" w:themeShade="BF"/>
          <w:sz w:val="22"/>
          <w:szCs w:val="22"/>
          <w:lang w:val="en-GB"/>
        </w:rPr>
        <w:t xml:space="preserve"> which allows the</w:t>
      </w:r>
      <w:r w:rsidR="001B6763" w:rsidRPr="002146D1">
        <w:rPr>
          <w:rFonts w:ascii="Avenir Next" w:hAnsi="Avenir Next" w:cs="Arial"/>
          <w:color w:val="7B7B7B" w:themeColor="accent3" w:themeShade="BF"/>
          <w:sz w:val="22"/>
          <w:szCs w:val="22"/>
          <w:lang w:val="en-GB"/>
        </w:rPr>
        <w:t xml:space="preserve"> liquidator </w:t>
      </w:r>
      <w:r w:rsidR="001B6763">
        <w:rPr>
          <w:rFonts w:ascii="Avenir Next" w:hAnsi="Avenir Next" w:cs="Arial"/>
          <w:color w:val="7B7B7B" w:themeColor="accent3" w:themeShade="BF"/>
          <w:sz w:val="22"/>
          <w:szCs w:val="22"/>
          <w:lang w:val="en-GB"/>
        </w:rPr>
        <w:t xml:space="preserve">to </w:t>
      </w:r>
      <w:r w:rsidR="001B6763" w:rsidRPr="002146D1">
        <w:rPr>
          <w:rFonts w:ascii="Avenir Next" w:hAnsi="Avenir Next" w:cs="Arial"/>
          <w:color w:val="7B7B7B" w:themeColor="accent3" w:themeShade="BF"/>
          <w:sz w:val="22"/>
          <w:szCs w:val="22"/>
          <w:lang w:val="en-GB"/>
        </w:rPr>
        <w:t>realise the charged assets as part</w:t>
      </w:r>
      <w:r w:rsidR="001B6763">
        <w:rPr>
          <w:rFonts w:ascii="Avenir Next" w:hAnsi="Avenir Next" w:cs="Arial"/>
          <w:color w:val="7B7B7B" w:themeColor="accent3" w:themeShade="BF"/>
          <w:sz w:val="22"/>
          <w:szCs w:val="22"/>
          <w:lang w:val="en-GB"/>
        </w:rPr>
        <w:t xml:space="preserve"> </w:t>
      </w:r>
      <w:r w:rsidR="001B6763" w:rsidRPr="002146D1">
        <w:rPr>
          <w:rFonts w:ascii="Avenir Next" w:hAnsi="Avenir Next" w:cs="Arial"/>
          <w:color w:val="7B7B7B" w:themeColor="accent3" w:themeShade="BF"/>
          <w:sz w:val="22"/>
          <w:szCs w:val="22"/>
          <w:lang w:val="en-GB"/>
        </w:rPr>
        <w:t xml:space="preserve">of the </w:t>
      </w:r>
      <w:r w:rsidR="001B6763" w:rsidRPr="00784EC9">
        <w:rPr>
          <w:rFonts w:ascii="Avenir Next" w:hAnsi="Avenir Next" w:cs="Arial"/>
          <w:color w:val="7B7B7B" w:themeColor="accent3" w:themeShade="BF"/>
          <w:sz w:val="22"/>
          <w:szCs w:val="22"/>
          <w:lang w:val="en-GB"/>
        </w:rPr>
        <w:t>liquidation and pay out the floating charge holder according to the charge holder’s normal priority.</w:t>
      </w:r>
      <w:r w:rsidR="001B6763" w:rsidRPr="00784EC9">
        <w:rPr>
          <w:rStyle w:val="FootnoteReference"/>
          <w:rFonts w:ascii="Avenir Next" w:hAnsi="Avenir Next" w:cs="Arial"/>
          <w:color w:val="7B7B7B" w:themeColor="accent3" w:themeShade="BF"/>
          <w:sz w:val="22"/>
          <w:szCs w:val="22"/>
          <w:lang w:val="en-GB"/>
        </w:rPr>
        <w:footnoteReference w:id="13"/>
      </w:r>
    </w:p>
    <w:p w14:paraId="5C28E98C" w14:textId="77777777" w:rsidR="0033781E" w:rsidRPr="00784EC9" w:rsidRDefault="0033781E" w:rsidP="002A37BB">
      <w:pPr>
        <w:jc w:val="both"/>
        <w:rPr>
          <w:rFonts w:ascii="Avenir Next" w:hAnsi="Avenir Next" w:cs="Arial"/>
          <w:color w:val="7B7B7B" w:themeColor="accent3" w:themeShade="BF"/>
          <w:sz w:val="22"/>
          <w:szCs w:val="22"/>
          <w:lang w:val="en-GB"/>
        </w:rPr>
      </w:pPr>
    </w:p>
    <w:p w14:paraId="14DA9E89" w14:textId="1587E2BE" w:rsidR="001B6763" w:rsidRPr="00784EC9" w:rsidRDefault="0033781E" w:rsidP="002A37BB">
      <w:pPr>
        <w:jc w:val="both"/>
        <w:rPr>
          <w:rFonts w:ascii="Avenir Next" w:hAnsi="Avenir Next" w:cs="Arial"/>
          <w:color w:val="7B7B7B" w:themeColor="accent3" w:themeShade="BF"/>
          <w:sz w:val="22"/>
          <w:szCs w:val="22"/>
          <w:lang w:val="en-GB"/>
        </w:rPr>
      </w:pPr>
      <w:r w:rsidRPr="00784EC9">
        <w:rPr>
          <w:rFonts w:ascii="Avenir Next" w:hAnsi="Avenir Next" w:cs="Arial"/>
          <w:color w:val="7B7B7B" w:themeColor="accent3" w:themeShade="BF"/>
          <w:sz w:val="22"/>
          <w:szCs w:val="22"/>
          <w:lang w:val="en-GB"/>
        </w:rPr>
        <w:lastRenderedPageBreak/>
        <w:t xml:space="preserve">Turning now to the order of priority of payments within the formal insolvency </w:t>
      </w:r>
      <w:r w:rsidR="008B2F8A" w:rsidRPr="00784EC9">
        <w:rPr>
          <w:rFonts w:ascii="Avenir Next" w:hAnsi="Avenir Next" w:cs="Arial"/>
          <w:color w:val="7B7B7B" w:themeColor="accent3" w:themeShade="BF"/>
          <w:sz w:val="22"/>
          <w:szCs w:val="22"/>
          <w:lang w:val="en-GB"/>
        </w:rPr>
        <w:t>process and</w:t>
      </w:r>
      <w:r w:rsidR="001B6763" w:rsidRPr="00784EC9">
        <w:rPr>
          <w:rFonts w:ascii="Avenir Next" w:hAnsi="Avenir Next" w:cs="Arial"/>
          <w:color w:val="7B7B7B" w:themeColor="accent3" w:themeShade="BF"/>
          <w:sz w:val="22"/>
          <w:szCs w:val="22"/>
          <w:lang w:val="en-GB"/>
        </w:rPr>
        <w:t xml:space="preserve"> taking each in turn. </w:t>
      </w:r>
    </w:p>
    <w:p w14:paraId="1AED91EA" w14:textId="77777777" w:rsidR="005C209E" w:rsidRDefault="005C209E" w:rsidP="002A37BB">
      <w:pPr>
        <w:jc w:val="both"/>
        <w:rPr>
          <w:rFonts w:ascii="Avenir Next" w:hAnsi="Avenir Next" w:cs="Arial"/>
          <w:color w:val="7B7B7B" w:themeColor="accent3" w:themeShade="BF"/>
          <w:sz w:val="22"/>
          <w:szCs w:val="22"/>
          <w:lang w:val="en-GB"/>
        </w:rPr>
      </w:pPr>
    </w:p>
    <w:p w14:paraId="49DD96F4" w14:textId="07AB8511" w:rsidR="005C209E" w:rsidRPr="005C209E" w:rsidRDefault="005C209E" w:rsidP="002A37BB">
      <w:pPr>
        <w:jc w:val="both"/>
        <w:rPr>
          <w:rFonts w:ascii="Avenir Next" w:hAnsi="Avenir Next" w:cs="Arial"/>
          <w:color w:val="7B7B7B" w:themeColor="accent3" w:themeShade="BF"/>
          <w:sz w:val="22"/>
          <w:szCs w:val="22"/>
          <w:u w:val="single"/>
          <w:lang w:val="en-GB"/>
        </w:rPr>
      </w:pPr>
      <w:r w:rsidRPr="005C209E">
        <w:rPr>
          <w:rFonts w:ascii="Avenir Next" w:hAnsi="Avenir Next" w:cs="Arial"/>
          <w:color w:val="7B7B7B" w:themeColor="accent3" w:themeShade="BF"/>
          <w:sz w:val="22"/>
          <w:szCs w:val="22"/>
          <w:u w:val="single"/>
          <w:lang w:val="en-GB"/>
        </w:rPr>
        <w:t xml:space="preserve">Liquidation expenses </w:t>
      </w:r>
    </w:p>
    <w:p w14:paraId="2247FBF1" w14:textId="77777777" w:rsidR="002146D1" w:rsidRDefault="002146D1" w:rsidP="002A37BB">
      <w:pPr>
        <w:jc w:val="both"/>
        <w:rPr>
          <w:rFonts w:ascii="Avenir Next" w:hAnsi="Avenir Next" w:cs="Arial"/>
          <w:color w:val="7B7B7B" w:themeColor="accent3" w:themeShade="BF"/>
          <w:sz w:val="22"/>
          <w:szCs w:val="22"/>
          <w:lang w:val="en-GB"/>
        </w:rPr>
      </w:pPr>
    </w:p>
    <w:p w14:paraId="42675013" w14:textId="2277FE59" w:rsidR="00F6601F" w:rsidRDefault="001B6763"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First, pursuant to </w:t>
      </w:r>
      <w:r w:rsidR="00F6601F" w:rsidRPr="00F6601F">
        <w:rPr>
          <w:rFonts w:ascii="Avenir Next" w:hAnsi="Avenir Next" w:cs="Arial"/>
          <w:color w:val="7B7B7B" w:themeColor="accent3" w:themeShade="BF"/>
          <w:sz w:val="22"/>
          <w:szCs w:val="22"/>
          <w:lang w:val="en-GB"/>
        </w:rPr>
        <w:t>section 115 of</w:t>
      </w:r>
      <w:r>
        <w:rPr>
          <w:rFonts w:ascii="Avenir Next" w:hAnsi="Avenir Next" w:cs="Arial"/>
          <w:color w:val="7B7B7B" w:themeColor="accent3" w:themeShade="BF"/>
          <w:sz w:val="22"/>
          <w:szCs w:val="22"/>
          <w:lang w:val="en-GB"/>
        </w:rPr>
        <w:t xml:space="preserve"> the</w:t>
      </w:r>
      <w:r w:rsidR="00F6601F" w:rsidRPr="00F6601F">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IA</w:t>
      </w:r>
      <w:r w:rsidR="00F6601F" w:rsidRPr="00F6601F">
        <w:rPr>
          <w:rFonts w:ascii="Avenir Next" w:hAnsi="Avenir Next" w:cs="Arial"/>
          <w:color w:val="7B7B7B" w:themeColor="accent3" w:themeShade="BF"/>
          <w:sz w:val="22"/>
          <w:szCs w:val="22"/>
          <w:lang w:val="en-GB"/>
        </w:rPr>
        <w:t xml:space="preserve"> and rules 6.42 and 7.108 of the</w:t>
      </w:r>
      <w:r>
        <w:rPr>
          <w:rFonts w:ascii="Avenir Next" w:hAnsi="Avenir Next" w:cs="Arial"/>
          <w:color w:val="7B7B7B" w:themeColor="accent3" w:themeShade="BF"/>
          <w:sz w:val="22"/>
          <w:szCs w:val="22"/>
          <w:lang w:val="en-GB"/>
        </w:rPr>
        <w:t xml:space="preserve"> </w:t>
      </w:r>
      <w:r w:rsidRPr="001B6763">
        <w:rPr>
          <w:rFonts w:ascii="Avenir Next" w:hAnsi="Avenir Next" w:cs="Arial"/>
          <w:color w:val="7B7B7B" w:themeColor="accent3" w:themeShade="BF"/>
          <w:sz w:val="22"/>
          <w:szCs w:val="22"/>
          <w:lang w:val="en-GB"/>
        </w:rPr>
        <w:t>Insolvency Rules 2016 SI</w:t>
      </w:r>
      <w:r>
        <w:rPr>
          <w:rFonts w:ascii="Avenir Next" w:hAnsi="Avenir Next" w:cs="Arial"/>
          <w:color w:val="7B7B7B" w:themeColor="accent3" w:themeShade="BF"/>
          <w:sz w:val="22"/>
          <w:szCs w:val="22"/>
          <w:lang w:val="en-GB"/>
        </w:rPr>
        <w:t xml:space="preserve"> </w:t>
      </w:r>
      <w:r w:rsidRPr="001B6763">
        <w:rPr>
          <w:rFonts w:ascii="Avenir Next" w:hAnsi="Avenir Next" w:cs="Arial"/>
          <w:color w:val="7B7B7B" w:themeColor="accent3" w:themeShade="BF"/>
          <w:sz w:val="22"/>
          <w:szCs w:val="22"/>
          <w:lang w:val="en-GB"/>
        </w:rPr>
        <w:t xml:space="preserve">2016/1024 (the </w:t>
      </w:r>
      <w:r w:rsidRPr="001B6763">
        <w:rPr>
          <w:rFonts w:ascii="Avenir Next" w:hAnsi="Avenir Next" w:cs="Arial"/>
          <w:b/>
          <w:bCs/>
          <w:color w:val="7B7B7B" w:themeColor="accent3" w:themeShade="BF"/>
          <w:sz w:val="22"/>
          <w:szCs w:val="22"/>
          <w:lang w:val="en-GB"/>
        </w:rPr>
        <w:t>Rules</w:t>
      </w:r>
      <w:r w:rsidRPr="001B6763">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certain costs and </w:t>
      </w:r>
      <w:r w:rsidR="00F6601F" w:rsidRPr="00F6601F">
        <w:rPr>
          <w:rFonts w:ascii="Avenir Next" w:hAnsi="Avenir Next" w:cs="Arial"/>
          <w:color w:val="7B7B7B" w:themeColor="accent3" w:themeShade="BF"/>
          <w:sz w:val="22"/>
          <w:szCs w:val="22"/>
          <w:lang w:val="en-GB"/>
        </w:rPr>
        <w:t>expenses are</w:t>
      </w:r>
      <w:r>
        <w:rPr>
          <w:rFonts w:ascii="Avenir Next" w:hAnsi="Avenir Next" w:cs="Arial"/>
          <w:color w:val="7B7B7B" w:themeColor="accent3" w:themeShade="BF"/>
          <w:sz w:val="22"/>
          <w:szCs w:val="22"/>
          <w:lang w:val="en-GB"/>
        </w:rPr>
        <w:t xml:space="preserve"> prioritised over the </w:t>
      </w:r>
      <w:r w:rsidRPr="00F6601F">
        <w:rPr>
          <w:rFonts w:ascii="Avenir Next" w:hAnsi="Avenir Next" w:cs="Arial"/>
          <w:color w:val="7B7B7B" w:themeColor="accent3" w:themeShade="BF"/>
          <w:sz w:val="22"/>
          <w:szCs w:val="22"/>
          <w:lang w:val="en-GB"/>
        </w:rPr>
        <w:t>preferential</w:t>
      </w:r>
      <w:r w:rsidR="00F6601F" w:rsidRPr="00F6601F">
        <w:rPr>
          <w:rFonts w:ascii="Avenir Next" w:hAnsi="Avenir Next" w:cs="Arial"/>
          <w:color w:val="7B7B7B" w:themeColor="accent3" w:themeShade="BF"/>
          <w:sz w:val="22"/>
          <w:szCs w:val="22"/>
          <w:lang w:val="en-GB"/>
        </w:rPr>
        <w:t xml:space="preserve"> creditors, any holders of floating charges and unsecured creditors. </w:t>
      </w:r>
      <w:r>
        <w:rPr>
          <w:rFonts w:ascii="Avenir Next" w:hAnsi="Avenir Next" w:cs="Arial"/>
          <w:color w:val="7B7B7B" w:themeColor="accent3" w:themeShade="BF"/>
          <w:sz w:val="22"/>
          <w:szCs w:val="22"/>
          <w:lang w:val="en-GB"/>
        </w:rPr>
        <w:t>In order of priority, those include:</w:t>
      </w:r>
    </w:p>
    <w:p w14:paraId="11994061" w14:textId="77777777" w:rsidR="00F6601F" w:rsidRPr="00B724C7" w:rsidRDefault="00F6601F" w:rsidP="002A37BB">
      <w:pPr>
        <w:jc w:val="both"/>
        <w:rPr>
          <w:rFonts w:ascii="Avenir Next" w:hAnsi="Avenir Next" w:cs="Arial"/>
          <w:i/>
          <w:iCs/>
          <w:color w:val="7B7B7B" w:themeColor="accent3" w:themeShade="BF"/>
          <w:sz w:val="22"/>
          <w:szCs w:val="22"/>
          <w:lang w:val="en-GB"/>
        </w:rPr>
      </w:pPr>
    </w:p>
    <w:p w14:paraId="2000ED3C" w14:textId="0E69E60D" w:rsidR="00F6601F" w:rsidRPr="00B724C7" w:rsidRDefault="001B6763" w:rsidP="001B6763">
      <w:pPr>
        <w:ind w:left="720"/>
        <w:jc w:val="both"/>
        <w:rPr>
          <w:rFonts w:ascii="Avenir Next" w:hAnsi="Avenir Next" w:cs="Arial"/>
          <w:i/>
          <w:iCs/>
          <w:color w:val="7B7B7B" w:themeColor="accent3" w:themeShade="BF"/>
          <w:sz w:val="22"/>
          <w:szCs w:val="22"/>
          <w:lang w:val="en-GB"/>
        </w:rPr>
      </w:pPr>
      <w:r w:rsidRPr="00B724C7">
        <w:rPr>
          <w:rFonts w:ascii="Avenir Next" w:hAnsi="Avenir Next" w:cs="Arial"/>
          <w:i/>
          <w:iCs/>
          <w:color w:val="7B7B7B" w:themeColor="accent3" w:themeShade="BF"/>
          <w:sz w:val="22"/>
          <w:szCs w:val="22"/>
          <w:lang w:val="en-GB"/>
        </w:rPr>
        <w:t>"</w:t>
      </w:r>
      <w:r w:rsidR="00F6601F" w:rsidRPr="00B724C7">
        <w:rPr>
          <w:rFonts w:ascii="Avenir Next" w:hAnsi="Avenir Next" w:cs="Arial"/>
          <w:i/>
          <w:iCs/>
          <w:color w:val="7B7B7B" w:themeColor="accent3" w:themeShade="BF"/>
          <w:sz w:val="22"/>
          <w:szCs w:val="22"/>
          <w:lang w:val="en-GB"/>
        </w:rPr>
        <w:t>(a) expenses that are properly incurred by the liquidator in preserving, realising or getting in</w:t>
      </w:r>
      <w:r w:rsidRPr="00B724C7">
        <w:rPr>
          <w:rFonts w:ascii="Avenir Next" w:hAnsi="Avenir Next" w:cs="Arial"/>
          <w:i/>
          <w:iCs/>
          <w:color w:val="7B7B7B" w:themeColor="accent3" w:themeShade="BF"/>
          <w:sz w:val="22"/>
          <w:szCs w:val="22"/>
          <w:lang w:val="en-GB"/>
        </w:rPr>
        <w:t xml:space="preserve"> </w:t>
      </w:r>
      <w:r w:rsidR="00F6601F" w:rsidRPr="00B724C7">
        <w:rPr>
          <w:rFonts w:ascii="Avenir Next" w:hAnsi="Avenir Next" w:cs="Arial"/>
          <w:i/>
          <w:iCs/>
          <w:color w:val="7B7B7B" w:themeColor="accent3" w:themeShade="BF"/>
          <w:sz w:val="22"/>
          <w:szCs w:val="22"/>
          <w:lang w:val="en-GB"/>
        </w:rPr>
        <w:t>any of the assets of the company (including the conduct of any legal proceedings</w:t>
      </w:r>
      <w:proofErr w:type="gramStart"/>
      <w:r w:rsidR="00F6601F" w:rsidRPr="00B724C7">
        <w:rPr>
          <w:rFonts w:ascii="Avenir Next" w:hAnsi="Avenir Next" w:cs="Arial"/>
          <w:i/>
          <w:iCs/>
          <w:color w:val="7B7B7B" w:themeColor="accent3" w:themeShade="BF"/>
          <w:sz w:val="22"/>
          <w:szCs w:val="22"/>
          <w:lang w:val="en-GB"/>
        </w:rPr>
        <w:t>);</w:t>
      </w:r>
      <w:proofErr w:type="gramEnd"/>
    </w:p>
    <w:p w14:paraId="3620D8A6" w14:textId="77777777" w:rsidR="001B6763" w:rsidRPr="00B724C7" w:rsidRDefault="001B6763" w:rsidP="001B6763">
      <w:pPr>
        <w:ind w:left="720"/>
        <w:jc w:val="both"/>
        <w:rPr>
          <w:rFonts w:ascii="Avenir Next" w:hAnsi="Avenir Next" w:cs="Arial"/>
          <w:i/>
          <w:iCs/>
          <w:color w:val="7B7B7B" w:themeColor="accent3" w:themeShade="BF"/>
          <w:sz w:val="22"/>
          <w:szCs w:val="22"/>
          <w:lang w:val="en-GB"/>
        </w:rPr>
      </w:pPr>
    </w:p>
    <w:p w14:paraId="5E99E612" w14:textId="77777777" w:rsidR="00F6601F" w:rsidRPr="00B724C7" w:rsidRDefault="00F6601F" w:rsidP="001B6763">
      <w:pPr>
        <w:ind w:firstLine="720"/>
        <w:jc w:val="both"/>
        <w:rPr>
          <w:rFonts w:ascii="Avenir Next" w:hAnsi="Avenir Next" w:cs="Arial"/>
          <w:i/>
          <w:iCs/>
          <w:color w:val="7B7B7B" w:themeColor="accent3" w:themeShade="BF"/>
          <w:sz w:val="22"/>
          <w:szCs w:val="22"/>
          <w:lang w:val="en-GB"/>
        </w:rPr>
      </w:pPr>
      <w:r w:rsidRPr="00B724C7">
        <w:rPr>
          <w:rFonts w:ascii="Avenir Next" w:hAnsi="Avenir Next" w:cs="Arial"/>
          <w:i/>
          <w:iCs/>
          <w:color w:val="7B7B7B" w:themeColor="accent3" w:themeShade="BF"/>
          <w:sz w:val="22"/>
          <w:szCs w:val="22"/>
          <w:lang w:val="en-GB"/>
        </w:rPr>
        <w:t xml:space="preserve">(b) the cost of any security provided by the </w:t>
      </w:r>
      <w:proofErr w:type="gramStart"/>
      <w:r w:rsidRPr="00B724C7">
        <w:rPr>
          <w:rFonts w:ascii="Avenir Next" w:hAnsi="Avenir Next" w:cs="Arial"/>
          <w:i/>
          <w:iCs/>
          <w:color w:val="7B7B7B" w:themeColor="accent3" w:themeShade="BF"/>
          <w:sz w:val="22"/>
          <w:szCs w:val="22"/>
          <w:lang w:val="en-GB"/>
        </w:rPr>
        <w:t>liquidator;</w:t>
      </w:r>
      <w:proofErr w:type="gramEnd"/>
    </w:p>
    <w:p w14:paraId="76E9DB07" w14:textId="77777777" w:rsidR="001B6763" w:rsidRPr="00B724C7" w:rsidRDefault="001B6763" w:rsidP="00F6601F">
      <w:pPr>
        <w:jc w:val="both"/>
        <w:rPr>
          <w:rFonts w:ascii="Avenir Next" w:hAnsi="Avenir Next" w:cs="Arial"/>
          <w:i/>
          <w:iCs/>
          <w:color w:val="7B7B7B" w:themeColor="accent3" w:themeShade="BF"/>
          <w:sz w:val="22"/>
          <w:szCs w:val="22"/>
          <w:lang w:val="en-GB"/>
        </w:rPr>
      </w:pPr>
    </w:p>
    <w:p w14:paraId="3F2F8145" w14:textId="6BA5DF2B" w:rsidR="00F6601F" w:rsidRPr="00B724C7" w:rsidRDefault="00F6601F" w:rsidP="001B6763">
      <w:pPr>
        <w:ind w:left="720"/>
        <w:jc w:val="both"/>
        <w:rPr>
          <w:rFonts w:ascii="Avenir Next" w:hAnsi="Avenir Next" w:cs="Arial"/>
          <w:i/>
          <w:iCs/>
          <w:color w:val="7B7B7B" w:themeColor="accent3" w:themeShade="BF"/>
          <w:sz w:val="22"/>
          <w:szCs w:val="22"/>
          <w:lang w:val="en-GB"/>
        </w:rPr>
      </w:pPr>
      <w:r w:rsidRPr="00B724C7">
        <w:rPr>
          <w:rFonts w:ascii="Avenir Next" w:hAnsi="Avenir Next" w:cs="Arial"/>
          <w:i/>
          <w:iCs/>
          <w:color w:val="7B7B7B" w:themeColor="accent3" w:themeShade="BF"/>
          <w:sz w:val="22"/>
          <w:szCs w:val="22"/>
          <w:lang w:val="en-GB"/>
        </w:rPr>
        <w:t>(c) any amount payable to a person to assist in the preparation of a statement of affairs or</w:t>
      </w:r>
      <w:r w:rsidR="001B6763" w:rsidRPr="00B724C7">
        <w:rPr>
          <w:rFonts w:ascii="Avenir Next" w:hAnsi="Avenir Next" w:cs="Arial"/>
          <w:i/>
          <w:iCs/>
          <w:color w:val="7B7B7B" w:themeColor="accent3" w:themeShade="BF"/>
          <w:sz w:val="22"/>
          <w:szCs w:val="22"/>
          <w:lang w:val="en-GB"/>
        </w:rPr>
        <w:t xml:space="preserve"> </w:t>
      </w:r>
      <w:proofErr w:type="gramStart"/>
      <w:r w:rsidRPr="00B724C7">
        <w:rPr>
          <w:rFonts w:ascii="Avenir Next" w:hAnsi="Avenir Next" w:cs="Arial"/>
          <w:i/>
          <w:iCs/>
          <w:color w:val="7B7B7B" w:themeColor="accent3" w:themeShade="BF"/>
          <w:sz w:val="22"/>
          <w:szCs w:val="22"/>
          <w:lang w:val="en-GB"/>
        </w:rPr>
        <w:t>accounts;</w:t>
      </w:r>
      <w:proofErr w:type="gramEnd"/>
    </w:p>
    <w:p w14:paraId="2F99B7B5" w14:textId="77777777" w:rsidR="001B6763" w:rsidRPr="00B724C7" w:rsidRDefault="001B6763" w:rsidP="00F6601F">
      <w:pPr>
        <w:jc w:val="both"/>
        <w:rPr>
          <w:rFonts w:ascii="Avenir Next" w:hAnsi="Avenir Next" w:cs="Arial"/>
          <w:i/>
          <w:iCs/>
          <w:color w:val="7B7B7B" w:themeColor="accent3" w:themeShade="BF"/>
          <w:sz w:val="22"/>
          <w:szCs w:val="22"/>
          <w:lang w:val="en-GB"/>
        </w:rPr>
      </w:pPr>
    </w:p>
    <w:p w14:paraId="1C7F1A32" w14:textId="556F72F3" w:rsidR="00F6601F" w:rsidRPr="00B724C7" w:rsidRDefault="00F6601F" w:rsidP="001B6763">
      <w:pPr>
        <w:ind w:firstLine="720"/>
        <w:jc w:val="both"/>
        <w:rPr>
          <w:rFonts w:ascii="Avenir Next" w:hAnsi="Avenir Next" w:cs="Arial"/>
          <w:i/>
          <w:iCs/>
          <w:color w:val="7B7B7B" w:themeColor="accent3" w:themeShade="BF"/>
          <w:sz w:val="22"/>
          <w:szCs w:val="22"/>
          <w:lang w:val="en-GB"/>
        </w:rPr>
      </w:pPr>
      <w:r w:rsidRPr="00B724C7">
        <w:rPr>
          <w:rFonts w:ascii="Avenir Next" w:hAnsi="Avenir Next" w:cs="Arial"/>
          <w:i/>
          <w:iCs/>
          <w:color w:val="7B7B7B" w:themeColor="accent3" w:themeShade="BF"/>
          <w:sz w:val="22"/>
          <w:szCs w:val="22"/>
          <w:lang w:val="en-GB"/>
        </w:rPr>
        <w:t xml:space="preserve">(d) any necessary disbursements by the liquidator </w:t>
      </w:r>
      <w:proofErr w:type="gramStart"/>
      <w:r w:rsidRPr="00B724C7">
        <w:rPr>
          <w:rFonts w:ascii="Avenir Next" w:hAnsi="Avenir Next" w:cs="Arial"/>
          <w:i/>
          <w:iCs/>
          <w:color w:val="7B7B7B" w:themeColor="accent3" w:themeShade="BF"/>
          <w:sz w:val="22"/>
          <w:szCs w:val="22"/>
          <w:lang w:val="en-GB"/>
        </w:rPr>
        <w:t>in the course of</w:t>
      </w:r>
      <w:proofErr w:type="gramEnd"/>
      <w:r w:rsidRPr="00B724C7">
        <w:rPr>
          <w:rFonts w:ascii="Avenir Next" w:hAnsi="Avenir Next" w:cs="Arial"/>
          <w:i/>
          <w:iCs/>
          <w:color w:val="7B7B7B" w:themeColor="accent3" w:themeShade="BF"/>
          <w:sz w:val="22"/>
          <w:szCs w:val="22"/>
          <w:lang w:val="en-GB"/>
        </w:rPr>
        <w:t xml:space="preserve"> the winding up (including,</w:t>
      </w:r>
    </w:p>
    <w:p w14:paraId="531CB9BE" w14:textId="77777777" w:rsidR="00F6601F" w:rsidRPr="00B724C7" w:rsidRDefault="00F6601F" w:rsidP="001B6763">
      <w:pPr>
        <w:ind w:firstLine="720"/>
        <w:jc w:val="both"/>
        <w:rPr>
          <w:rFonts w:ascii="Avenir Next" w:hAnsi="Avenir Next" w:cs="Arial"/>
          <w:i/>
          <w:iCs/>
          <w:color w:val="7B7B7B" w:themeColor="accent3" w:themeShade="BF"/>
          <w:sz w:val="22"/>
          <w:szCs w:val="22"/>
          <w:lang w:val="en-GB"/>
        </w:rPr>
      </w:pPr>
      <w:r w:rsidRPr="00B724C7">
        <w:rPr>
          <w:rFonts w:ascii="Avenir Next" w:hAnsi="Avenir Next" w:cs="Arial"/>
          <w:i/>
          <w:iCs/>
          <w:color w:val="7B7B7B" w:themeColor="accent3" w:themeShade="BF"/>
          <w:sz w:val="22"/>
          <w:szCs w:val="22"/>
          <w:lang w:val="en-GB"/>
        </w:rPr>
        <w:t>for example, any expenses incurred by members of the liquidation committee</w:t>
      </w:r>
      <w:proofErr w:type="gramStart"/>
      <w:r w:rsidRPr="00B724C7">
        <w:rPr>
          <w:rFonts w:ascii="Avenir Next" w:hAnsi="Avenir Next" w:cs="Arial"/>
          <w:i/>
          <w:iCs/>
          <w:color w:val="7B7B7B" w:themeColor="accent3" w:themeShade="BF"/>
          <w:sz w:val="22"/>
          <w:szCs w:val="22"/>
          <w:lang w:val="en-GB"/>
        </w:rPr>
        <w:t>);</w:t>
      </w:r>
      <w:proofErr w:type="gramEnd"/>
    </w:p>
    <w:p w14:paraId="7405A2CD" w14:textId="77777777" w:rsidR="001B6763" w:rsidRPr="00B724C7" w:rsidRDefault="001B6763" w:rsidP="001B6763">
      <w:pPr>
        <w:ind w:firstLine="720"/>
        <w:jc w:val="both"/>
        <w:rPr>
          <w:rFonts w:ascii="Avenir Next" w:hAnsi="Avenir Next" w:cs="Arial"/>
          <w:i/>
          <w:iCs/>
          <w:color w:val="7B7B7B" w:themeColor="accent3" w:themeShade="BF"/>
          <w:sz w:val="22"/>
          <w:szCs w:val="22"/>
          <w:lang w:val="en-GB"/>
        </w:rPr>
      </w:pPr>
    </w:p>
    <w:p w14:paraId="100E961A" w14:textId="131D2E1A" w:rsidR="00F6601F" w:rsidRPr="00B724C7" w:rsidRDefault="00F6601F" w:rsidP="001B6763">
      <w:pPr>
        <w:ind w:left="720"/>
        <w:jc w:val="both"/>
        <w:rPr>
          <w:rFonts w:ascii="Avenir Next" w:hAnsi="Avenir Next" w:cs="Arial"/>
          <w:i/>
          <w:iCs/>
          <w:color w:val="7B7B7B" w:themeColor="accent3" w:themeShade="BF"/>
          <w:sz w:val="22"/>
          <w:szCs w:val="22"/>
          <w:lang w:val="en-GB"/>
        </w:rPr>
      </w:pPr>
      <w:r w:rsidRPr="00B724C7">
        <w:rPr>
          <w:rFonts w:ascii="Avenir Next" w:hAnsi="Avenir Next" w:cs="Arial"/>
          <w:i/>
          <w:iCs/>
          <w:color w:val="7B7B7B" w:themeColor="accent3" w:themeShade="BF"/>
          <w:sz w:val="22"/>
          <w:szCs w:val="22"/>
          <w:lang w:val="en-GB"/>
        </w:rPr>
        <w:t>(e) the remuneration of any person who has been employed by the liquidator to perform any</w:t>
      </w:r>
      <w:r w:rsidR="001B6763" w:rsidRPr="00B724C7">
        <w:rPr>
          <w:rFonts w:ascii="Avenir Next" w:hAnsi="Avenir Next" w:cs="Arial"/>
          <w:i/>
          <w:iCs/>
          <w:color w:val="7B7B7B" w:themeColor="accent3" w:themeShade="BF"/>
          <w:sz w:val="22"/>
          <w:szCs w:val="22"/>
          <w:lang w:val="en-GB"/>
        </w:rPr>
        <w:t xml:space="preserve"> </w:t>
      </w:r>
      <w:r w:rsidRPr="00B724C7">
        <w:rPr>
          <w:rFonts w:ascii="Avenir Next" w:hAnsi="Avenir Next" w:cs="Arial"/>
          <w:i/>
          <w:iCs/>
          <w:color w:val="7B7B7B" w:themeColor="accent3" w:themeShade="BF"/>
          <w:sz w:val="22"/>
          <w:szCs w:val="22"/>
          <w:lang w:val="en-GB"/>
        </w:rPr>
        <w:t xml:space="preserve">services for the </w:t>
      </w:r>
      <w:proofErr w:type="gramStart"/>
      <w:r w:rsidRPr="00B724C7">
        <w:rPr>
          <w:rFonts w:ascii="Avenir Next" w:hAnsi="Avenir Next" w:cs="Arial"/>
          <w:i/>
          <w:iCs/>
          <w:color w:val="7B7B7B" w:themeColor="accent3" w:themeShade="BF"/>
          <w:sz w:val="22"/>
          <w:szCs w:val="22"/>
          <w:lang w:val="en-GB"/>
        </w:rPr>
        <w:t>company;</w:t>
      </w:r>
      <w:proofErr w:type="gramEnd"/>
    </w:p>
    <w:p w14:paraId="4780D011" w14:textId="77777777" w:rsidR="001B6763" w:rsidRPr="00B724C7" w:rsidRDefault="001B6763" w:rsidP="00F6601F">
      <w:pPr>
        <w:jc w:val="both"/>
        <w:rPr>
          <w:rFonts w:ascii="Avenir Next" w:hAnsi="Avenir Next" w:cs="Arial"/>
          <w:i/>
          <w:iCs/>
          <w:color w:val="7B7B7B" w:themeColor="accent3" w:themeShade="BF"/>
          <w:sz w:val="22"/>
          <w:szCs w:val="22"/>
          <w:lang w:val="en-GB"/>
        </w:rPr>
      </w:pPr>
    </w:p>
    <w:p w14:paraId="32B0F99F" w14:textId="4E47D704" w:rsidR="00F6601F" w:rsidRPr="00B724C7" w:rsidRDefault="00F6601F" w:rsidP="00B724C7">
      <w:pPr>
        <w:ind w:left="720"/>
        <w:jc w:val="both"/>
        <w:rPr>
          <w:rFonts w:ascii="Avenir Next" w:hAnsi="Avenir Next" w:cs="Arial"/>
          <w:i/>
          <w:iCs/>
          <w:color w:val="7B7B7B" w:themeColor="accent3" w:themeShade="BF"/>
          <w:sz w:val="22"/>
          <w:szCs w:val="22"/>
          <w:lang w:val="en-GB"/>
        </w:rPr>
      </w:pPr>
      <w:r w:rsidRPr="00B724C7">
        <w:rPr>
          <w:rFonts w:ascii="Avenir Next" w:hAnsi="Avenir Next" w:cs="Arial"/>
          <w:i/>
          <w:iCs/>
          <w:color w:val="7B7B7B" w:themeColor="accent3" w:themeShade="BF"/>
          <w:sz w:val="22"/>
          <w:szCs w:val="22"/>
          <w:lang w:val="en-GB"/>
        </w:rPr>
        <w:t>(f) the remuneration of the liquidator (which is subject to effectively the same rules as those</w:t>
      </w:r>
      <w:r w:rsidR="00B724C7" w:rsidRPr="00B724C7">
        <w:rPr>
          <w:rFonts w:ascii="Avenir Next" w:hAnsi="Avenir Next" w:cs="Arial"/>
          <w:i/>
          <w:iCs/>
          <w:color w:val="7B7B7B" w:themeColor="accent3" w:themeShade="BF"/>
          <w:sz w:val="22"/>
          <w:szCs w:val="22"/>
          <w:lang w:val="en-GB"/>
        </w:rPr>
        <w:t xml:space="preserve"> </w:t>
      </w:r>
      <w:r w:rsidRPr="00B724C7">
        <w:rPr>
          <w:rFonts w:ascii="Avenir Next" w:hAnsi="Avenir Next" w:cs="Arial"/>
          <w:i/>
          <w:iCs/>
          <w:color w:val="7B7B7B" w:themeColor="accent3" w:themeShade="BF"/>
          <w:sz w:val="22"/>
          <w:szCs w:val="22"/>
          <w:lang w:val="en-GB"/>
        </w:rPr>
        <w:t>which apply to administrators, specifically including the fees estimate regime where a time</w:t>
      </w:r>
      <w:r w:rsidR="00B724C7" w:rsidRPr="00B724C7">
        <w:rPr>
          <w:rFonts w:ascii="Avenir Next" w:hAnsi="Avenir Next" w:cs="Arial"/>
          <w:i/>
          <w:iCs/>
          <w:color w:val="7B7B7B" w:themeColor="accent3" w:themeShade="BF"/>
          <w:sz w:val="22"/>
          <w:szCs w:val="22"/>
          <w:lang w:val="en-GB"/>
        </w:rPr>
        <w:t xml:space="preserve"> </w:t>
      </w:r>
      <w:r w:rsidRPr="00B724C7">
        <w:rPr>
          <w:rFonts w:ascii="Avenir Next" w:hAnsi="Avenir Next" w:cs="Arial"/>
          <w:i/>
          <w:iCs/>
          <w:color w:val="7B7B7B" w:themeColor="accent3" w:themeShade="BF"/>
          <w:sz w:val="22"/>
          <w:szCs w:val="22"/>
          <w:lang w:val="en-GB"/>
        </w:rPr>
        <w:t>cost basis for the liquidator’s fees is adopted</w:t>
      </w:r>
      <w:proofErr w:type="gramStart"/>
      <w:r w:rsidRPr="00B724C7">
        <w:rPr>
          <w:rFonts w:ascii="Avenir Next" w:hAnsi="Avenir Next" w:cs="Arial"/>
          <w:i/>
          <w:iCs/>
          <w:color w:val="7B7B7B" w:themeColor="accent3" w:themeShade="BF"/>
          <w:sz w:val="22"/>
          <w:szCs w:val="22"/>
          <w:lang w:val="en-GB"/>
        </w:rPr>
        <w:t>);</w:t>
      </w:r>
      <w:proofErr w:type="gramEnd"/>
    </w:p>
    <w:p w14:paraId="5871966F" w14:textId="77777777" w:rsidR="00B724C7" w:rsidRPr="00B724C7" w:rsidRDefault="00B724C7" w:rsidP="00F6601F">
      <w:pPr>
        <w:jc w:val="both"/>
        <w:rPr>
          <w:rFonts w:ascii="Avenir Next" w:hAnsi="Avenir Next" w:cs="Arial"/>
          <w:i/>
          <w:iCs/>
          <w:color w:val="7B7B7B" w:themeColor="accent3" w:themeShade="BF"/>
          <w:sz w:val="22"/>
          <w:szCs w:val="22"/>
          <w:lang w:val="en-GB"/>
        </w:rPr>
      </w:pPr>
    </w:p>
    <w:p w14:paraId="4D6EC2FB" w14:textId="351096AF" w:rsidR="00F6601F" w:rsidRPr="00B724C7" w:rsidRDefault="00F6601F" w:rsidP="00B724C7">
      <w:pPr>
        <w:ind w:firstLine="720"/>
        <w:jc w:val="both"/>
        <w:rPr>
          <w:rFonts w:ascii="Avenir Next" w:hAnsi="Avenir Next" w:cs="Arial"/>
          <w:i/>
          <w:iCs/>
          <w:color w:val="7B7B7B" w:themeColor="accent3" w:themeShade="BF"/>
          <w:sz w:val="22"/>
          <w:szCs w:val="22"/>
          <w:lang w:val="en-GB"/>
        </w:rPr>
      </w:pPr>
      <w:r w:rsidRPr="00B724C7">
        <w:rPr>
          <w:rFonts w:ascii="Avenir Next" w:hAnsi="Avenir Next" w:cs="Arial"/>
          <w:i/>
          <w:iCs/>
          <w:color w:val="7B7B7B" w:themeColor="accent3" w:themeShade="BF"/>
          <w:sz w:val="22"/>
          <w:szCs w:val="22"/>
          <w:lang w:val="en-GB"/>
        </w:rPr>
        <w:t>(g) the amount of any corporation tax on chargeable gains accruing on the realisation of any</w:t>
      </w:r>
    </w:p>
    <w:p w14:paraId="4A651171" w14:textId="77777777" w:rsidR="00F6601F" w:rsidRPr="00B724C7" w:rsidRDefault="00F6601F" w:rsidP="00B724C7">
      <w:pPr>
        <w:ind w:firstLine="720"/>
        <w:jc w:val="both"/>
        <w:rPr>
          <w:rFonts w:ascii="Avenir Next" w:hAnsi="Avenir Next" w:cs="Arial"/>
          <w:i/>
          <w:iCs/>
          <w:color w:val="7B7B7B" w:themeColor="accent3" w:themeShade="BF"/>
          <w:sz w:val="22"/>
          <w:szCs w:val="22"/>
          <w:lang w:val="en-GB"/>
        </w:rPr>
      </w:pPr>
      <w:r w:rsidRPr="00B724C7">
        <w:rPr>
          <w:rFonts w:ascii="Avenir Next" w:hAnsi="Avenir Next" w:cs="Arial"/>
          <w:i/>
          <w:iCs/>
          <w:color w:val="7B7B7B" w:themeColor="accent3" w:themeShade="BF"/>
          <w:sz w:val="22"/>
          <w:szCs w:val="22"/>
          <w:lang w:val="en-GB"/>
        </w:rPr>
        <w:t>asset of the company; and</w:t>
      </w:r>
    </w:p>
    <w:p w14:paraId="0BDEB1C7" w14:textId="77777777" w:rsidR="00B724C7" w:rsidRPr="00B724C7" w:rsidRDefault="00B724C7" w:rsidP="00F6601F">
      <w:pPr>
        <w:jc w:val="both"/>
        <w:rPr>
          <w:rFonts w:ascii="Avenir Next" w:hAnsi="Avenir Next" w:cs="Arial"/>
          <w:i/>
          <w:iCs/>
          <w:color w:val="7B7B7B" w:themeColor="accent3" w:themeShade="BF"/>
          <w:sz w:val="22"/>
          <w:szCs w:val="22"/>
          <w:lang w:val="en-GB"/>
        </w:rPr>
      </w:pPr>
    </w:p>
    <w:p w14:paraId="2D3AF597" w14:textId="18A4F884" w:rsidR="00F6601F" w:rsidRPr="00B724C7" w:rsidRDefault="00F6601F" w:rsidP="00B724C7">
      <w:pPr>
        <w:ind w:firstLine="720"/>
        <w:jc w:val="both"/>
        <w:rPr>
          <w:rFonts w:ascii="Avenir Next" w:hAnsi="Avenir Next" w:cs="Arial"/>
          <w:i/>
          <w:iCs/>
          <w:color w:val="7B7B7B" w:themeColor="accent3" w:themeShade="BF"/>
          <w:sz w:val="22"/>
          <w:szCs w:val="22"/>
          <w:lang w:val="en-GB"/>
        </w:rPr>
      </w:pPr>
      <w:r w:rsidRPr="00B724C7">
        <w:rPr>
          <w:rFonts w:ascii="Avenir Next" w:hAnsi="Avenir Next" w:cs="Arial"/>
          <w:i/>
          <w:iCs/>
          <w:color w:val="7B7B7B" w:themeColor="accent3" w:themeShade="BF"/>
          <w:sz w:val="22"/>
          <w:szCs w:val="22"/>
          <w:lang w:val="en-GB"/>
        </w:rPr>
        <w:t>(h) any other expenses properly chargeable by the liquidator in carrying out the liquidator's</w:t>
      </w:r>
    </w:p>
    <w:p w14:paraId="33B95377" w14:textId="4F9665B0" w:rsidR="00F6601F" w:rsidRPr="00B724C7" w:rsidRDefault="00F6601F" w:rsidP="00B724C7">
      <w:pPr>
        <w:ind w:firstLine="720"/>
        <w:jc w:val="both"/>
        <w:rPr>
          <w:rFonts w:ascii="Avenir Next" w:hAnsi="Avenir Next" w:cs="Arial"/>
          <w:color w:val="7B7B7B" w:themeColor="accent3" w:themeShade="BF"/>
          <w:sz w:val="22"/>
          <w:szCs w:val="22"/>
          <w:lang w:val="en-GB"/>
        </w:rPr>
      </w:pPr>
      <w:r w:rsidRPr="00B724C7">
        <w:rPr>
          <w:rFonts w:ascii="Avenir Next" w:hAnsi="Avenir Next" w:cs="Arial"/>
          <w:i/>
          <w:iCs/>
          <w:color w:val="7B7B7B" w:themeColor="accent3" w:themeShade="BF"/>
          <w:sz w:val="22"/>
          <w:szCs w:val="22"/>
          <w:lang w:val="en-GB"/>
        </w:rPr>
        <w:t>functions in the winding up.</w:t>
      </w:r>
      <w:r w:rsidR="00B724C7" w:rsidRPr="00B724C7">
        <w:rPr>
          <w:rFonts w:ascii="Avenir Next" w:hAnsi="Avenir Next" w:cs="Arial"/>
          <w:i/>
          <w:iCs/>
          <w:color w:val="7B7B7B" w:themeColor="accent3" w:themeShade="BF"/>
          <w:sz w:val="22"/>
          <w:szCs w:val="22"/>
          <w:lang w:val="en-GB"/>
        </w:rPr>
        <w:t>"</w:t>
      </w:r>
      <w:r w:rsidR="00B724C7" w:rsidRPr="00B724C7">
        <w:rPr>
          <w:rStyle w:val="FootnoteReference"/>
          <w:rFonts w:ascii="Avenir Next" w:hAnsi="Avenir Next" w:cs="Arial"/>
          <w:color w:val="7B7B7B" w:themeColor="accent3" w:themeShade="BF"/>
          <w:sz w:val="22"/>
          <w:szCs w:val="22"/>
          <w:lang w:val="en-GB"/>
        </w:rPr>
        <w:footnoteReference w:id="14"/>
      </w:r>
    </w:p>
    <w:p w14:paraId="16D97A2D" w14:textId="77777777" w:rsidR="00F6601F" w:rsidRDefault="00F6601F" w:rsidP="00F6601F">
      <w:pPr>
        <w:jc w:val="both"/>
        <w:rPr>
          <w:rFonts w:ascii="Avenir Next" w:hAnsi="Avenir Next" w:cs="Arial"/>
          <w:color w:val="7B7B7B" w:themeColor="accent3" w:themeShade="BF"/>
          <w:sz w:val="22"/>
          <w:szCs w:val="22"/>
          <w:lang w:val="en-GB"/>
        </w:rPr>
      </w:pPr>
    </w:p>
    <w:p w14:paraId="36FE61BC" w14:textId="1DEF834C" w:rsidR="005C209E" w:rsidRPr="005C209E" w:rsidRDefault="005C209E" w:rsidP="00B724C7">
      <w:pPr>
        <w:jc w:val="both"/>
        <w:rPr>
          <w:rFonts w:ascii="Avenir Next" w:hAnsi="Avenir Next" w:cs="Arial"/>
          <w:color w:val="7B7B7B" w:themeColor="accent3" w:themeShade="BF"/>
          <w:sz w:val="22"/>
          <w:szCs w:val="22"/>
          <w:u w:val="single"/>
          <w:lang w:val="en-GB"/>
        </w:rPr>
      </w:pPr>
      <w:r w:rsidRPr="005C209E">
        <w:rPr>
          <w:rFonts w:ascii="Avenir Next" w:hAnsi="Avenir Next" w:cs="Arial"/>
          <w:color w:val="7B7B7B" w:themeColor="accent3" w:themeShade="BF"/>
          <w:sz w:val="22"/>
          <w:szCs w:val="22"/>
          <w:u w:val="single"/>
          <w:lang w:val="en-GB"/>
        </w:rPr>
        <w:t xml:space="preserve">Preferential creditors </w:t>
      </w:r>
    </w:p>
    <w:p w14:paraId="6AC1410C" w14:textId="77777777" w:rsidR="005C209E" w:rsidRDefault="005C209E" w:rsidP="00B724C7">
      <w:pPr>
        <w:jc w:val="both"/>
        <w:rPr>
          <w:rFonts w:ascii="Avenir Next" w:hAnsi="Avenir Next" w:cs="Arial"/>
          <w:color w:val="7B7B7B" w:themeColor="accent3" w:themeShade="BF"/>
          <w:sz w:val="22"/>
          <w:szCs w:val="22"/>
          <w:lang w:val="en-GB"/>
        </w:rPr>
      </w:pPr>
    </w:p>
    <w:p w14:paraId="115F5B33" w14:textId="2CFDB114" w:rsidR="005F10B0" w:rsidRDefault="00B724C7" w:rsidP="005F10B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Second in the order of priority are p</w:t>
      </w:r>
      <w:r w:rsidR="00F6601F" w:rsidRPr="00F6601F">
        <w:rPr>
          <w:rFonts w:ascii="Avenir Next" w:hAnsi="Avenir Next" w:cs="Arial"/>
          <w:color w:val="7B7B7B" w:themeColor="accent3" w:themeShade="BF"/>
          <w:sz w:val="22"/>
          <w:szCs w:val="22"/>
          <w:lang w:val="en-GB"/>
        </w:rPr>
        <w:t>referential creditors, as defined in sections 386, 387 and Schedule 6: section 175</w:t>
      </w:r>
      <w:r>
        <w:rPr>
          <w:rFonts w:ascii="Avenir Next" w:hAnsi="Avenir Next" w:cs="Arial"/>
          <w:color w:val="7B7B7B" w:themeColor="accent3" w:themeShade="BF"/>
          <w:sz w:val="22"/>
          <w:szCs w:val="22"/>
          <w:lang w:val="en-GB"/>
        </w:rPr>
        <w:t xml:space="preserve"> of the IA.</w:t>
      </w:r>
      <w:r w:rsidR="00FD2D80">
        <w:rPr>
          <w:rFonts w:ascii="Avenir Next" w:hAnsi="Avenir Next" w:cs="Arial"/>
          <w:color w:val="7B7B7B" w:themeColor="accent3" w:themeShade="BF"/>
          <w:sz w:val="22"/>
          <w:szCs w:val="22"/>
          <w:lang w:val="en-GB"/>
        </w:rPr>
        <w:t xml:space="preserve"> </w:t>
      </w:r>
      <w:r w:rsidR="005C209E">
        <w:rPr>
          <w:rFonts w:ascii="Avenir Next" w:hAnsi="Avenir Next" w:cs="Arial"/>
          <w:color w:val="7B7B7B" w:themeColor="accent3" w:themeShade="BF"/>
          <w:sz w:val="22"/>
          <w:szCs w:val="22"/>
          <w:lang w:val="en-GB"/>
        </w:rPr>
        <w:t>P</w:t>
      </w:r>
      <w:r>
        <w:rPr>
          <w:rFonts w:ascii="Avenir Next" w:hAnsi="Avenir Next" w:cs="Arial"/>
          <w:color w:val="7B7B7B" w:themeColor="accent3" w:themeShade="BF"/>
          <w:sz w:val="22"/>
          <w:szCs w:val="22"/>
          <w:lang w:val="en-GB"/>
        </w:rPr>
        <w:t xml:space="preserve">referential debts </w:t>
      </w:r>
      <w:proofErr w:type="gramStart"/>
      <w:r>
        <w:rPr>
          <w:rFonts w:ascii="Avenir Next" w:hAnsi="Avenir Next" w:cs="Arial"/>
          <w:color w:val="7B7B7B" w:themeColor="accent3" w:themeShade="BF"/>
          <w:sz w:val="22"/>
          <w:szCs w:val="22"/>
          <w:lang w:val="en-GB"/>
        </w:rPr>
        <w:t>are</w:t>
      </w:r>
      <w:proofErr w:type="gramEnd"/>
      <w:r>
        <w:rPr>
          <w:rFonts w:ascii="Avenir Next" w:hAnsi="Avenir Next" w:cs="Arial"/>
          <w:color w:val="7B7B7B" w:themeColor="accent3" w:themeShade="BF"/>
          <w:sz w:val="22"/>
          <w:szCs w:val="22"/>
          <w:lang w:val="en-GB"/>
        </w:rPr>
        <w:t xml:space="preserve"> split into </w:t>
      </w:r>
      <w:r w:rsidRPr="00F6601F">
        <w:rPr>
          <w:rFonts w:ascii="Avenir Next" w:hAnsi="Avenir Next" w:cs="Arial"/>
          <w:color w:val="7B7B7B" w:themeColor="accent3" w:themeShade="BF"/>
          <w:sz w:val="22"/>
          <w:szCs w:val="22"/>
          <w:lang w:val="en-GB"/>
        </w:rPr>
        <w:t xml:space="preserve">two classes </w:t>
      </w:r>
      <w:r>
        <w:rPr>
          <w:rFonts w:ascii="Avenir Next" w:hAnsi="Avenir Next" w:cs="Arial"/>
          <w:color w:val="7B7B7B" w:themeColor="accent3" w:themeShade="BF"/>
          <w:sz w:val="22"/>
          <w:szCs w:val="22"/>
          <w:lang w:val="en-GB"/>
        </w:rPr>
        <w:t xml:space="preserve">- </w:t>
      </w:r>
      <w:r w:rsidRPr="00F6601F">
        <w:rPr>
          <w:rFonts w:ascii="Avenir Next" w:hAnsi="Avenir Next" w:cs="Arial"/>
          <w:color w:val="7B7B7B" w:themeColor="accent3" w:themeShade="BF"/>
          <w:sz w:val="22"/>
          <w:szCs w:val="22"/>
          <w:lang w:val="en-GB"/>
        </w:rPr>
        <w:t>ordinary and secondary. Ordinary preferential debts</w:t>
      </w:r>
      <w:r>
        <w:rPr>
          <w:rFonts w:ascii="Avenir Next" w:hAnsi="Avenir Next" w:cs="Arial"/>
          <w:color w:val="7B7B7B" w:themeColor="accent3" w:themeShade="BF"/>
          <w:sz w:val="22"/>
          <w:szCs w:val="22"/>
          <w:lang w:val="en-GB"/>
        </w:rPr>
        <w:t xml:space="preserve"> are prioritised over </w:t>
      </w:r>
      <w:r w:rsidRPr="00F6601F">
        <w:rPr>
          <w:rFonts w:ascii="Avenir Next" w:hAnsi="Avenir Next" w:cs="Arial"/>
          <w:color w:val="7B7B7B" w:themeColor="accent3" w:themeShade="BF"/>
          <w:sz w:val="22"/>
          <w:szCs w:val="22"/>
          <w:lang w:val="en-GB"/>
        </w:rPr>
        <w:t>secondary preferential debts</w:t>
      </w:r>
      <w:r>
        <w:rPr>
          <w:rFonts w:ascii="Avenir Next" w:hAnsi="Avenir Next" w:cs="Arial"/>
          <w:color w:val="7B7B7B" w:themeColor="accent3" w:themeShade="BF"/>
          <w:sz w:val="22"/>
          <w:szCs w:val="22"/>
          <w:lang w:val="en-GB"/>
        </w:rPr>
        <w:t xml:space="preserve"> but preferential debts within each of those classes </w:t>
      </w:r>
      <w:r w:rsidRPr="00F6601F">
        <w:rPr>
          <w:rFonts w:ascii="Avenir Next" w:hAnsi="Avenir Next" w:cs="Arial"/>
          <w:color w:val="7B7B7B" w:themeColor="accent3" w:themeShade="BF"/>
          <w:sz w:val="22"/>
          <w:szCs w:val="22"/>
          <w:lang w:val="en-GB"/>
        </w:rPr>
        <w:t>rank</w:t>
      </w:r>
      <w:r>
        <w:rPr>
          <w:rFonts w:ascii="Avenir Next" w:hAnsi="Avenir Next" w:cs="Arial"/>
          <w:color w:val="7B7B7B" w:themeColor="accent3" w:themeShade="BF"/>
          <w:sz w:val="22"/>
          <w:szCs w:val="22"/>
          <w:lang w:val="en-GB"/>
        </w:rPr>
        <w:t xml:space="preserve"> </w:t>
      </w:r>
      <w:r w:rsidRPr="00F6601F">
        <w:rPr>
          <w:rFonts w:ascii="Avenir Next" w:hAnsi="Avenir Next" w:cs="Arial"/>
          <w:color w:val="7B7B7B" w:themeColor="accent3" w:themeShade="BF"/>
          <w:sz w:val="22"/>
          <w:szCs w:val="22"/>
          <w:lang w:val="en-GB"/>
        </w:rPr>
        <w:t>equally amongst themselves</w:t>
      </w:r>
      <w:r>
        <w:rPr>
          <w:rFonts w:ascii="Avenir Next" w:hAnsi="Avenir Next" w:cs="Arial"/>
          <w:color w:val="7B7B7B" w:themeColor="accent3" w:themeShade="BF"/>
          <w:sz w:val="22"/>
          <w:szCs w:val="22"/>
          <w:lang w:val="en-GB"/>
        </w:rPr>
        <w:t>.</w:t>
      </w:r>
      <w:r w:rsidR="005F10B0">
        <w:rPr>
          <w:rFonts w:ascii="Avenir Next" w:hAnsi="Avenir Next" w:cs="Arial"/>
          <w:color w:val="7B7B7B" w:themeColor="accent3" w:themeShade="BF"/>
          <w:sz w:val="22"/>
          <w:szCs w:val="22"/>
          <w:lang w:val="en-GB"/>
        </w:rPr>
        <w:t xml:space="preserve"> </w:t>
      </w:r>
      <w:r w:rsidR="005F10B0" w:rsidRPr="00F6601F">
        <w:rPr>
          <w:rFonts w:ascii="Avenir Next" w:hAnsi="Avenir Next" w:cs="Arial"/>
          <w:color w:val="7B7B7B" w:themeColor="accent3" w:themeShade="BF"/>
          <w:sz w:val="22"/>
          <w:szCs w:val="22"/>
          <w:lang w:val="en-GB"/>
        </w:rPr>
        <w:t xml:space="preserve">The debts listed </w:t>
      </w:r>
      <w:r w:rsidR="005F10B0">
        <w:rPr>
          <w:rFonts w:ascii="Avenir Next" w:hAnsi="Avenir Next" w:cs="Arial"/>
          <w:color w:val="7B7B7B" w:themeColor="accent3" w:themeShade="BF"/>
          <w:sz w:val="22"/>
          <w:szCs w:val="22"/>
          <w:lang w:val="en-GB"/>
        </w:rPr>
        <w:t>below at</w:t>
      </w:r>
      <w:r w:rsidR="005F10B0" w:rsidRPr="00F6601F">
        <w:rPr>
          <w:rFonts w:ascii="Avenir Next" w:hAnsi="Avenir Next" w:cs="Arial"/>
          <w:color w:val="7B7B7B" w:themeColor="accent3" w:themeShade="BF"/>
          <w:sz w:val="22"/>
          <w:szCs w:val="22"/>
          <w:lang w:val="en-GB"/>
        </w:rPr>
        <w:t xml:space="preserve"> (9), (10) and (11) are defined as secondary preferential debts</w:t>
      </w:r>
      <w:r w:rsidR="005F10B0">
        <w:rPr>
          <w:rFonts w:ascii="Avenir Next" w:hAnsi="Avenir Next" w:cs="Arial"/>
          <w:color w:val="7B7B7B" w:themeColor="accent3" w:themeShade="BF"/>
          <w:sz w:val="22"/>
          <w:szCs w:val="22"/>
          <w:lang w:val="en-GB"/>
        </w:rPr>
        <w:t xml:space="preserve"> </w:t>
      </w:r>
      <w:r w:rsidR="005F10B0" w:rsidRPr="00F6601F">
        <w:rPr>
          <w:rFonts w:ascii="Avenir Next" w:hAnsi="Avenir Next" w:cs="Arial"/>
          <w:color w:val="7B7B7B" w:themeColor="accent3" w:themeShade="BF"/>
          <w:sz w:val="22"/>
          <w:szCs w:val="22"/>
          <w:lang w:val="en-GB"/>
        </w:rPr>
        <w:t xml:space="preserve">under section 386 of the </w:t>
      </w:r>
      <w:r w:rsidR="005F10B0">
        <w:rPr>
          <w:rFonts w:ascii="Avenir Next" w:hAnsi="Avenir Next" w:cs="Arial"/>
          <w:color w:val="7B7B7B" w:themeColor="accent3" w:themeShade="BF"/>
          <w:sz w:val="22"/>
          <w:szCs w:val="22"/>
          <w:lang w:val="en-GB"/>
        </w:rPr>
        <w:t xml:space="preserve">IA. </w:t>
      </w:r>
    </w:p>
    <w:p w14:paraId="5D983C00" w14:textId="386C1DE8" w:rsidR="00F6601F" w:rsidRDefault="00F6601F" w:rsidP="00F6601F">
      <w:pPr>
        <w:jc w:val="both"/>
        <w:rPr>
          <w:rFonts w:ascii="Avenir Next" w:hAnsi="Avenir Next" w:cs="Arial"/>
          <w:color w:val="7B7B7B" w:themeColor="accent3" w:themeShade="BF"/>
          <w:sz w:val="22"/>
          <w:szCs w:val="22"/>
          <w:lang w:val="en-GB"/>
        </w:rPr>
      </w:pPr>
    </w:p>
    <w:p w14:paraId="570D660B" w14:textId="25963360" w:rsidR="005C209E" w:rsidRDefault="005C209E" w:rsidP="005C209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Pursuant to </w:t>
      </w:r>
      <w:r w:rsidRPr="00F6601F">
        <w:rPr>
          <w:rFonts w:ascii="Avenir Next" w:hAnsi="Avenir Next" w:cs="Arial"/>
          <w:color w:val="7B7B7B" w:themeColor="accent3" w:themeShade="BF"/>
          <w:sz w:val="22"/>
          <w:szCs w:val="22"/>
          <w:lang w:val="en-GB"/>
        </w:rPr>
        <w:t>Schedule 6 of the</w:t>
      </w:r>
      <w:r>
        <w:rPr>
          <w:rFonts w:ascii="Avenir Next" w:hAnsi="Avenir Next" w:cs="Arial"/>
          <w:color w:val="7B7B7B" w:themeColor="accent3" w:themeShade="BF"/>
          <w:sz w:val="22"/>
          <w:szCs w:val="22"/>
          <w:lang w:val="en-GB"/>
        </w:rPr>
        <w:t xml:space="preserve"> IA, the following debts are classed </w:t>
      </w:r>
      <w:r w:rsidR="00D152E6">
        <w:rPr>
          <w:rFonts w:ascii="Avenir Next" w:hAnsi="Avenir Next" w:cs="Arial"/>
          <w:color w:val="7B7B7B" w:themeColor="accent3" w:themeShade="BF"/>
          <w:sz w:val="22"/>
          <w:szCs w:val="22"/>
          <w:lang w:val="en-GB"/>
        </w:rPr>
        <w:t xml:space="preserve">as </w:t>
      </w:r>
      <w:r>
        <w:rPr>
          <w:rFonts w:ascii="Avenir Next" w:hAnsi="Avenir Next" w:cs="Arial"/>
          <w:color w:val="7B7B7B" w:themeColor="accent3" w:themeShade="BF"/>
          <w:sz w:val="22"/>
          <w:szCs w:val="22"/>
          <w:lang w:val="en-GB"/>
        </w:rPr>
        <w:t>preferential debts:</w:t>
      </w:r>
    </w:p>
    <w:p w14:paraId="2B8D7B84" w14:textId="77777777" w:rsidR="005C209E" w:rsidRPr="00F6601F" w:rsidRDefault="005C209E" w:rsidP="005C209E">
      <w:pPr>
        <w:jc w:val="both"/>
        <w:rPr>
          <w:rFonts w:ascii="Avenir Next" w:hAnsi="Avenir Next" w:cs="Arial"/>
          <w:color w:val="7B7B7B" w:themeColor="accent3" w:themeShade="BF"/>
          <w:sz w:val="22"/>
          <w:szCs w:val="22"/>
          <w:lang w:val="en-GB"/>
        </w:rPr>
      </w:pPr>
    </w:p>
    <w:p w14:paraId="0BDEA901" w14:textId="091E3CBA" w:rsidR="005C209E" w:rsidRDefault="005C209E" w:rsidP="005C209E">
      <w:pPr>
        <w:jc w:val="both"/>
        <w:rPr>
          <w:rFonts w:ascii="Avenir Next" w:hAnsi="Avenir Next" w:cs="Arial"/>
          <w:color w:val="7B7B7B" w:themeColor="accent3" w:themeShade="BF"/>
          <w:sz w:val="22"/>
          <w:szCs w:val="22"/>
          <w:lang w:val="en-GB"/>
        </w:rPr>
      </w:pPr>
      <w:r w:rsidRPr="00F6601F">
        <w:rPr>
          <w:rFonts w:ascii="Avenir Next" w:hAnsi="Avenir Next" w:cs="Arial"/>
          <w:color w:val="7B7B7B" w:themeColor="accent3" w:themeShade="BF"/>
          <w:sz w:val="22"/>
          <w:szCs w:val="22"/>
          <w:lang w:val="en-GB"/>
        </w:rPr>
        <w:t>(1) sum</w:t>
      </w:r>
      <w:r>
        <w:rPr>
          <w:rFonts w:ascii="Avenir Next" w:hAnsi="Avenir Next" w:cs="Arial"/>
          <w:color w:val="7B7B7B" w:themeColor="accent3" w:themeShade="BF"/>
          <w:sz w:val="22"/>
          <w:szCs w:val="22"/>
          <w:lang w:val="en-GB"/>
        </w:rPr>
        <w:t>s</w:t>
      </w:r>
      <w:r w:rsidRPr="00F6601F">
        <w:rPr>
          <w:rFonts w:ascii="Avenir Next" w:hAnsi="Avenir Next" w:cs="Arial"/>
          <w:color w:val="7B7B7B" w:themeColor="accent3" w:themeShade="BF"/>
          <w:sz w:val="22"/>
          <w:szCs w:val="22"/>
          <w:lang w:val="en-GB"/>
        </w:rPr>
        <w:t xml:space="preserve"> owed on account </w:t>
      </w:r>
      <w:r w:rsidR="00D152E6">
        <w:rPr>
          <w:rFonts w:ascii="Avenir Next" w:hAnsi="Avenir Next" w:cs="Arial"/>
          <w:color w:val="7B7B7B" w:themeColor="accent3" w:themeShade="BF"/>
          <w:sz w:val="22"/>
          <w:szCs w:val="22"/>
          <w:lang w:val="en-GB"/>
        </w:rPr>
        <w:t>of</w:t>
      </w:r>
      <w:r w:rsidR="00D152E6" w:rsidRPr="00F6601F">
        <w:rPr>
          <w:rFonts w:ascii="Avenir Next" w:hAnsi="Avenir Next" w:cs="Arial"/>
          <w:color w:val="7B7B7B" w:themeColor="accent3" w:themeShade="BF"/>
          <w:sz w:val="22"/>
          <w:szCs w:val="22"/>
          <w:lang w:val="en-GB"/>
        </w:rPr>
        <w:t xml:space="preserve"> </w:t>
      </w:r>
      <w:r w:rsidRPr="00F6601F">
        <w:rPr>
          <w:rFonts w:ascii="Avenir Next" w:hAnsi="Avenir Next" w:cs="Arial"/>
          <w:color w:val="7B7B7B" w:themeColor="accent3" w:themeShade="BF"/>
          <w:sz w:val="22"/>
          <w:szCs w:val="22"/>
          <w:lang w:val="en-GB"/>
        </w:rPr>
        <w:t>an employee’s contribution to an occupational pension</w:t>
      </w:r>
      <w:r>
        <w:rPr>
          <w:rFonts w:ascii="Avenir Next" w:hAnsi="Avenir Next" w:cs="Arial"/>
          <w:color w:val="7B7B7B" w:themeColor="accent3" w:themeShade="BF"/>
          <w:sz w:val="22"/>
          <w:szCs w:val="22"/>
          <w:lang w:val="en-GB"/>
        </w:rPr>
        <w:t xml:space="preserve"> </w:t>
      </w:r>
      <w:r w:rsidRPr="00F6601F">
        <w:rPr>
          <w:rFonts w:ascii="Avenir Next" w:hAnsi="Avenir Next" w:cs="Arial"/>
          <w:color w:val="7B7B7B" w:themeColor="accent3" w:themeShade="BF"/>
          <w:sz w:val="22"/>
          <w:szCs w:val="22"/>
          <w:lang w:val="en-GB"/>
        </w:rPr>
        <w:t>scheme in</w:t>
      </w:r>
      <w:r>
        <w:rPr>
          <w:rFonts w:ascii="Avenir Next" w:hAnsi="Avenir Next" w:cs="Arial"/>
          <w:color w:val="7B7B7B" w:themeColor="accent3" w:themeShade="BF"/>
          <w:sz w:val="22"/>
          <w:szCs w:val="22"/>
          <w:lang w:val="en-GB"/>
        </w:rPr>
        <w:t xml:space="preserve"> </w:t>
      </w:r>
      <w:r w:rsidRPr="00F6601F">
        <w:rPr>
          <w:rFonts w:ascii="Avenir Next" w:hAnsi="Avenir Next" w:cs="Arial"/>
          <w:color w:val="7B7B7B" w:themeColor="accent3" w:themeShade="BF"/>
          <w:sz w:val="22"/>
          <w:szCs w:val="22"/>
          <w:lang w:val="en-GB"/>
        </w:rPr>
        <w:t xml:space="preserve">the period of four months prior to the commencement of the winding </w:t>
      </w:r>
      <w:proofErr w:type="gramStart"/>
      <w:r w:rsidRPr="00F6601F">
        <w:rPr>
          <w:rFonts w:ascii="Avenir Next" w:hAnsi="Avenir Next" w:cs="Arial"/>
          <w:color w:val="7B7B7B" w:themeColor="accent3" w:themeShade="BF"/>
          <w:sz w:val="22"/>
          <w:szCs w:val="22"/>
          <w:lang w:val="en-GB"/>
        </w:rPr>
        <w:t>up;</w:t>
      </w:r>
      <w:proofErr w:type="gramEnd"/>
    </w:p>
    <w:p w14:paraId="0CAA2D98" w14:textId="77777777" w:rsidR="005C209E" w:rsidRPr="00F6601F" w:rsidRDefault="005C209E" w:rsidP="005C209E">
      <w:pPr>
        <w:jc w:val="both"/>
        <w:rPr>
          <w:rFonts w:ascii="Avenir Next" w:hAnsi="Avenir Next" w:cs="Arial"/>
          <w:color w:val="7B7B7B" w:themeColor="accent3" w:themeShade="BF"/>
          <w:sz w:val="22"/>
          <w:szCs w:val="22"/>
          <w:lang w:val="en-GB"/>
        </w:rPr>
      </w:pPr>
    </w:p>
    <w:p w14:paraId="233B090E" w14:textId="749E8D5B" w:rsidR="005C209E" w:rsidRDefault="005C209E" w:rsidP="005C209E">
      <w:pPr>
        <w:jc w:val="both"/>
        <w:rPr>
          <w:rFonts w:ascii="Avenir Next" w:hAnsi="Avenir Next" w:cs="Arial"/>
          <w:color w:val="7B7B7B" w:themeColor="accent3" w:themeShade="BF"/>
          <w:sz w:val="22"/>
          <w:szCs w:val="22"/>
          <w:lang w:val="en-GB"/>
        </w:rPr>
      </w:pPr>
      <w:r w:rsidRPr="00F6601F">
        <w:rPr>
          <w:rFonts w:ascii="Avenir Next" w:hAnsi="Avenir Next" w:cs="Arial"/>
          <w:color w:val="7B7B7B" w:themeColor="accent3" w:themeShade="BF"/>
          <w:sz w:val="22"/>
          <w:szCs w:val="22"/>
          <w:lang w:val="en-GB"/>
        </w:rPr>
        <w:t>(2) sum</w:t>
      </w:r>
      <w:r>
        <w:rPr>
          <w:rFonts w:ascii="Avenir Next" w:hAnsi="Avenir Next" w:cs="Arial"/>
          <w:color w:val="7B7B7B" w:themeColor="accent3" w:themeShade="BF"/>
          <w:sz w:val="22"/>
          <w:szCs w:val="22"/>
          <w:lang w:val="en-GB"/>
        </w:rPr>
        <w:t>s</w:t>
      </w:r>
      <w:r w:rsidRPr="00F6601F">
        <w:rPr>
          <w:rFonts w:ascii="Avenir Next" w:hAnsi="Avenir Next" w:cs="Arial"/>
          <w:color w:val="7B7B7B" w:themeColor="accent3" w:themeShade="BF"/>
          <w:sz w:val="22"/>
          <w:szCs w:val="22"/>
          <w:lang w:val="en-GB"/>
        </w:rPr>
        <w:t xml:space="preserve"> owed by the company on account of an employer’s contribution to an occupational</w:t>
      </w:r>
      <w:r>
        <w:rPr>
          <w:rFonts w:ascii="Avenir Next" w:hAnsi="Avenir Next" w:cs="Arial"/>
          <w:color w:val="7B7B7B" w:themeColor="accent3" w:themeShade="BF"/>
          <w:sz w:val="22"/>
          <w:szCs w:val="22"/>
          <w:lang w:val="en-GB"/>
        </w:rPr>
        <w:t xml:space="preserve"> </w:t>
      </w:r>
      <w:r w:rsidRPr="00F6601F">
        <w:rPr>
          <w:rFonts w:ascii="Avenir Next" w:hAnsi="Avenir Next" w:cs="Arial"/>
          <w:color w:val="7B7B7B" w:themeColor="accent3" w:themeShade="BF"/>
          <w:sz w:val="22"/>
          <w:szCs w:val="22"/>
          <w:lang w:val="en-GB"/>
        </w:rPr>
        <w:t xml:space="preserve">pension scheme in the period of 12 months before the relevant </w:t>
      </w:r>
      <w:proofErr w:type="gramStart"/>
      <w:r w:rsidRPr="00F6601F">
        <w:rPr>
          <w:rFonts w:ascii="Avenir Next" w:hAnsi="Avenir Next" w:cs="Arial"/>
          <w:color w:val="7B7B7B" w:themeColor="accent3" w:themeShade="BF"/>
          <w:sz w:val="22"/>
          <w:szCs w:val="22"/>
          <w:lang w:val="en-GB"/>
        </w:rPr>
        <w:t>date;</w:t>
      </w:r>
      <w:proofErr w:type="gramEnd"/>
    </w:p>
    <w:p w14:paraId="7A5B3668" w14:textId="77777777" w:rsidR="005C209E" w:rsidRPr="00F6601F" w:rsidRDefault="005C209E" w:rsidP="005C209E">
      <w:pPr>
        <w:jc w:val="both"/>
        <w:rPr>
          <w:rFonts w:ascii="Avenir Next" w:hAnsi="Avenir Next" w:cs="Arial"/>
          <w:color w:val="7B7B7B" w:themeColor="accent3" w:themeShade="BF"/>
          <w:sz w:val="22"/>
          <w:szCs w:val="22"/>
          <w:lang w:val="en-GB"/>
        </w:rPr>
      </w:pPr>
    </w:p>
    <w:p w14:paraId="19CA3D97" w14:textId="6B7761D6" w:rsidR="005C209E" w:rsidRDefault="005C209E" w:rsidP="005C209E">
      <w:pPr>
        <w:jc w:val="both"/>
        <w:rPr>
          <w:rFonts w:ascii="Avenir Next" w:hAnsi="Avenir Next" w:cs="Arial"/>
          <w:color w:val="7B7B7B" w:themeColor="accent3" w:themeShade="BF"/>
          <w:sz w:val="22"/>
          <w:szCs w:val="22"/>
          <w:lang w:val="en-GB"/>
        </w:rPr>
      </w:pPr>
      <w:r w:rsidRPr="00F6601F">
        <w:rPr>
          <w:rFonts w:ascii="Avenir Next" w:hAnsi="Avenir Next" w:cs="Arial"/>
          <w:color w:val="7B7B7B" w:themeColor="accent3" w:themeShade="BF"/>
          <w:sz w:val="22"/>
          <w:szCs w:val="22"/>
          <w:lang w:val="en-GB"/>
        </w:rPr>
        <w:lastRenderedPageBreak/>
        <w:t>(3) remuneration owed by the company to a person who is or has been an employee of the</w:t>
      </w:r>
      <w:r>
        <w:rPr>
          <w:rFonts w:ascii="Avenir Next" w:hAnsi="Avenir Next" w:cs="Arial"/>
          <w:color w:val="7B7B7B" w:themeColor="accent3" w:themeShade="BF"/>
          <w:sz w:val="22"/>
          <w:szCs w:val="22"/>
          <w:lang w:val="en-GB"/>
        </w:rPr>
        <w:t xml:space="preserve"> </w:t>
      </w:r>
      <w:r w:rsidRPr="00F6601F">
        <w:rPr>
          <w:rFonts w:ascii="Avenir Next" w:hAnsi="Avenir Next" w:cs="Arial"/>
          <w:color w:val="7B7B7B" w:themeColor="accent3" w:themeShade="BF"/>
          <w:sz w:val="22"/>
          <w:szCs w:val="22"/>
          <w:lang w:val="en-GB"/>
        </w:rPr>
        <w:t>debtor and is payable in respect of the whole or any part of the four-month</w:t>
      </w:r>
      <w:r>
        <w:rPr>
          <w:rFonts w:ascii="Avenir Next" w:hAnsi="Avenir Next" w:cs="Arial"/>
          <w:color w:val="7B7B7B" w:themeColor="accent3" w:themeShade="BF"/>
          <w:sz w:val="22"/>
          <w:szCs w:val="22"/>
          <w:lang w:val="en-GB"/>
        </w:rPr>
        <w:t xml:space="preserve"> period</w:t>
      </w:r>
      <w:r w:rsidRPr="00F6601F">
        <w:rPr>
          <w:rFonts w:ascii="Avenir Next" w:hAnsi="Avenir Next" w:cs="Arial"/>
          <w:color w:val="7B7B7B" w:themeColor="accent3" w:themeShade="BF"/>
          <w:sz w:val="22"/>
          <w:szCs w:val="22"/>
          <w:lang w:val="en-GB"/>
        </w:rPr>
        <w:t xml:space="preserve"> prior</w:t>
      </w:r>
      <w:r>
        <w:rPr>
          <w:rFonts w:ascii="Avenir Next" w:hAnsi="Avenir Next" w:cs="Arial"/>
          <w:color w:val="7B7B7B" w:themeColor="accent3" w:themeShade="BF"/>
          <w:sz w:val="22"/>
          <w:szCs w:val="22"/>
          <w:lang w:val="en-GB"/>
        </w:rPr>
        <w:t xml:space="preserve"> </w:t>
      </w:r>
      <w:r w:rsidRPr="00F6601F">
        <w:rPr>
          <w:rFonts w:ascii="Avenir Next" w:hAnsi="Avenir Next" w:cs="Arial"/>
          <w:color w:val="7B7B7B" w:themeColor="accent3" w:themeShade="BF"/>
          <w:sz w:val="22"/>
          <w:szCs w:val="22"/>
          <w:lang w:val="en-GB"/>
        </w:rPr>
        <w:t xml:space="preserve">to the commencement of the winding up to a maximum </w:t>
      </w:r>
      <w:r>
        <w:rPr>
          <w:rFonts w:ascii="Avenir Next" w:hAnsi="Avenir Next" w:cs="Arial"/>
          <w:color w:val="7B7B7B" w:themeColor="accent3" w:themeShade="BF"/>
          <w:sz w:val="22"/>
          <w:szCs w:val="22"/>
          <w:lang w:val="en-GB"/>
        </w:rPr>
        <w:t>of</w:t>
      </w:r>
      <w:r w:rsidRPr="00F6601F">
        <w:rPr>
          <w:rFonts w:ascii="Avenir Next" w:hAnsi="Avenir Next" w:cs="Arial"/>
          <w:color w:val="7B7B7B" w:themeColor="accent3" w:themeShade="BF"/>
          <w:sz w:val="22"/>
          <w:szCs w:val="22"/>
          <w:lang w:val="en-GB"/>
        </w:rPr>
        <w:t xml:space="preserve"> GBP</w:t>
      </w:r>
      <w:r>
        <w:rPr>
          <w:rFonts w:ascii="Avenir Next" w:hAnsi="Avenir Next" w:cs="Arial"/>
          <w:color w:val="7B7B7B" w:themeColor="accent3" w:themeShade="BF"/>
          <w:sz w:val="22"/>
          <w:szCs w:val="22"/>
          <w:lang w:val="en-GB"/>
        </w:rPr>
        <w:t xml:space="preserve"> </w:t>
      </w:r>
      <w:proofErr w:type="gramStart"/>
      <w:r w:rsidRPr="00F6601F">
        <w:rPr>
          <w:rFonts w:ascii="Avenir Next" w:hAnsi="Avenir Next" w:cs="Arial"/>
          <w:color w:val="7B7B7B" w:themeColor="accent3" w:themeShade="BF"/>
          <w:sz w:val="22"/>
          <w:szCs w:val="22"/>
          <w:lang w:val="en-GB"/>
        </w:rPr>
        <w:t>800</w:t>
      </w:r>
      <w:r>
        <w:rPr>
          <w:rFonts w:ascii="Avenir Next" w:hAnsi="Avenir Next" w:cs="Arial"/>
          <w:color w:val="7B7B7B" w:themeColor="accent3" w:themeShade="BF"/>
          <w:sz w:val="22"/>
          <w:szCs w:val="22"/>
          <w:lang w:val="en-GB"/>
        </w:rPr>
        <w:t>;</w:t>
      </w:r>
      <w:proofErr w:type="gramEnd"/>
    </w:p>
    <w:p w14:paraId="35953DB6" w14:textId="77777777" w:rsidR="005C209E" w:rsidRPr="00F6601F" w:rsidRDefault="005C209E" w:rsidP="005C209E">
      <w:pPr>
        <w:jc w:val="both"/>
        <w:rPr>
          <w:rFonts w:ascii="Avenir Next" w:hAnsi="Avenir Next" w:cs="Arial"/>
          <w:color w:val="7B7B7B" w:themeColor="accent3" w:themeShade="BF"/>
          <w:sz w:val="22"/>
          <w:szCs w:val="22"/>
          <w:lang w:val="en-GB"/>
        </w:rPr>
      </w:pPr>
    </w:p>
    <w:p w14:paraId="4A5353DB" w14:textId="514BDD29" w:rsidR="005C209E" w:rsidRDefault="005C209E" w:rsidP="005C209E">
      <w:pPr>
        <w:jc w:val="both"/>
        <w:rPr>
          <w:rFonts w:ascii="Avenir Next" w:hAnsi="Avenir Next" w:cs="Arial"/>
          <w:color w:val="7B7B7B" w:themeColor="accent3" w:themeShade="BF"/>
          <w:sz w:val="22"/>
          <w:szCs w:val="22"/>
          <w:lang w:val="en-GB"/>
        </w:rPr>
      </w:pPr>
      <w:r w:rsidRPr="00F6601F">
        <w:rPr>
          <w:rFonts w:ascii="Avenir Next" w:hAnsi="Avenir Next" w:cs="Arial"/>
          <w:color w:val="7B7B7B" w:themeColor="accent3" w:themeShade="BF"/>
          <w:sz w:val="22"/>
          <w:szCs w:val="22"/>
          <w:lang w:val="en-GB"/>
        </w:rPr>
        <w:t xml:space="preserve">(4) amounts owed by the company by way of accrued holiday </w:t>
      </w:r>
      <w:proofErr w:type="gramStart"/>
      <w:r w:rsidRPr="00F6601F">
        <w:rPr>
          <w:rFonts w:ascii="Avenir Next" w:hAnsi="Avenir Next" w:cs="Arial"/>
          <w:color w:val="7B7B7B" w:themeColor="accent3" w:themeShade="BF"/>
          <w:sz w:val="22"/>
          <w:szCs w:val="22"/>
          <w:lang w:val="en-GB"/>
        </w:rPr>
        <w:t>remuneration</w:t>
      </w:r>
      <w:r>
        <w:rPr>
          <w:rFonts w:ascii="Avenir Next" w:hAnsi="Avenir Next" w:cs="Arial"/>
          <w:color w:val="7B7B7B" w:themeColor="accent3" w:themeShade="BF"/>
          <w:sz w:val="22"/>
          <w:szCs w:val="22"/>
          <w:lang w:val="en-GB"/>
        </w:rPr>
        <w:t>;</w:t>
      </w:r>
      <w:proofErr w:type="gramEnd"/>
      <w:r>
        <w:rPr>
          <w:rFonts w:ascii="Avenir Next" w:hAnsi="Avenir Next" w:cs="Arial"/>
          <w:color w:val="7B7B7B" w:themeColor="accent3" w:themeShade="BF"/>
          <w:sz w:val="22"/>
          <w:szCs w:val="22"/>
          <w:lang w:val="en-GB"/>
        </w:rPr>
        <w:t xml:space="preserve"> </w:t>
      </w:r>
    </w:p>
    <w:p w14:paraId="7A6997A3" w14:textId="77777777" w:rsidR="005C209E" w:rsidRPr="00F6601F" w:rsidRDefault="005C209E" w:rsidP="005C209E">
      <w:pPr>
        <w:jc w:val="both"/>
        <w:rPr>
          <w:rFonts w:ascii="Avenir Next" w:hAnsi="Avenir Next" w:cs="Arial"/>
          <w:color w:val="7B7B7B" w:themeColor="accent3" w:themeShade="BF"/>
          <w:sz w:val="22"/>
          <w:szCs w:val="22"/>
          <w:lang w:val="en-GB"/>
        </w:rPr>
      </w:pPr>
    </w:p>
    <w:p w14:paraId="3D851E00" w14:textId="2731B499" w:rsidR="005C209E" w:rsidRPr="00F6601F" w:rsidRDefault="005C209E" w:rsidP="005C209E">
      <w:pPr>
        <w:jc w:val="both"/>
        <w:rPr>
          <w:rFonts w:ascii="Avenir Next" w:hAnsi="Avenir Next" w:cs="Arial"/>
          <w:color w:val="7B7B7B" w:themeColor="accent3" w:themeShade="BF"/>
          <w:sz w:val="22"/>
          <w:szCs w:val="22"/>
          <w:lang w:val="en-GB"/>
        </w:rPr>
      </w:pPr>
      <w:r w:rsidRPr="00F6601F">
        <w:rPr>
          <w:rFonts w:ascii="Avenir Next" w:hAnsi="Avenir Next" w:cs="Arial"/>
          <w:color w:val="7B7B7B" w:themeColor="accent3" w:themeShade="BF"/>
          <w:sz w:val="22"/>
          <w:szCs w:val="22"/>
          <w:lang w:val="en-GB"/>
        </w:rPr>
        <w:t xml:space="preserve">(5) claims for monies advanced to pay wages or holiday </w:t>
      </w:r>
      <w:proofErr w:type="gramStart"/>
      <w:r w:rsidRPr="00F6601F">
        <w:rPr>
          <w:rFonts w:ascii="Avenir Next" w:hAnsi="Avenir Next" w:cs="Arial"/>
          <w:color w:val="7B7B7B" w:themeColor="accent3" w:themeShade="BF"/>
          <w:sz w:val="22"/>
          <w:szCs w:val="22"/>
          <w:lang w:val="en-GB"/>
        </w:rPr>
        <w:t>remuneration</w:t>
      </w:r>
      <w:r>
        <w:rPr>
          <w:rFonts w:ascii="Avenir Next" w:hAnsi="Avenir Next" w:cs="Arial"/>
          <w:color w:val="7B7B7B" w:themeColor="accent3" w:themeShade="BF"/>
          <w:sz w:val="22"/>
          <w:szCs w:val="22"/>
          <w:lang w:val="en-GB"/>
        </w:rPr>
        <w:t>;</w:t>
      </w:r>
      <w:proofErr w:type="gramEnd"/>
    </w:p>
    <w:p w14:paraId="3F04111A" w14:textId="77777777" w:rsidR="005C209E" w:rsidRDefault="005C209E" w:rsidP="005C209E">
      <w:pPr>
        <w:jc w:val="both"/>
        <w:rPr>
          <w:rFonts w:ascii="Avenir Next" w:hAnsi="Avenir Next" w:cs="Arial"/>
          <w:color w:val="7B7B7B" w:themeColor="accent3" w:themeShade="BF"/>
          <w:sz w:val="22"/>
          <w:szCs w:val="22"/>
          <w:lang w:val="en-GB"/>
        </w:rPr>
      </w:pPr>
    </w:p>
    <w:p w14:paraId="50E4655E" w14:textId="06B55E4E" w:rsidR="005C209E" w:rsidRDefault="005C209E" w:rsidP="005C209E">
      <w:pPr>
        <w:jc w:val="both"/>
        <w:rPr>
          <w:rFonts w:ascii="Avenir Next" w:hAnsi="Avenir Next" w:cs="Arial"/>
          <w:color w:val="7B7B7B" w:themeColor="accent3" w:themeShade="BF"/>
          <w:sz w:val="22"/>
          <w:szCs w:val="22"/>
          <w:lang w:val="en-GB"/>
        </w:rPr>
      </w:pPr>
      <w:r w:rsidRPr="00F6601F">
        <w:rPr>
          <w:rFonts w:ascii="Avenir Next" w:hAnsi="Avenir Next" w:cs="Arial"/>
          <w:color w:val="7B7B7B" w:themeColor="accent3" w:themeShade="BF"/>
          <w:sz w:val="22"/>
          <w:szCs w:val="22"/>
          <w:lang w:val="en-GB"/>
        </w:rPr>
        <w:t xml:space="preserve">(6) levies on the production of coal and steel </w:t>
      </w:r>
      <w:r>
        <w:rPr>
          <w:rFonts w:ascii="Avenir Next" w:hAnsi="Avenir Next" w:cs="Arial"/>
          <w:color w:val="7B7B7B" w:themeColor="accent3" w:themeShade="BF"/>
          <w:sz w:val="22"/>
          <w:szCs w:val="22"/>
          <w:lang w:val="en-GB"/>
        </w:rPr>
        <w:t>pursuant to</w:t>
      </w:r>
      <w:r w:rsidRPr="00F6601F">
        <w:rPr>
          <w:rFonts w:ascii="Avenir Next" w:hAnsi="Avenir Next" w:cs="Arial"/>
          <w:color w:val="7B7B7B" w:themeColor="accent3" w:themeShade="BF"/>
          <w:sz w:val="22"/>
          <w:szCs w:val="22"/>
          <w:lang w:val="en-GB"/>
        </w:rPr>
        <w:t xml:space="preserve"> article</w:t>
      </w:r>
      <w:r>
        <w:rPr>
          <w:rFonts w:ascii="Avenir Next" w:hAnsi="Avenir Next" w:cs="Arial"/>
          <w:color w:val="7B7B7B" w:themeColor="accent3" w:themeShade="BF"/>
          <w:sz w:val="22"/>
          <w:szCs w:val="22"/>
          <w:lang w:val="en-GB"/>
        </w:rPr>
        <w:t>s</w:t>
      </w:r>
      <w:r w:rsidRPr="00F6601F">
        <w:rPr>
          <w:rFonts w:ascii="Avenir Next" w:hAnsi="Avenir Next" w:cs="Arial"/>
          <w:color w:val="7B7B7B" w:themeColor="accent3" w:themeShade="BF"/>
          <w:sz w:val="22"/>
          <w:szCs w:val="22"/>
          <w:lang w:val="en-GB"/>
        </w:rPr>
        <w:t xml:space="preserve"> 49 and 50 of the</w:t>
      </w:r>
      <w:r>
        <w:rPr>
          <w:rFonts w:ascii="Avenir Next" w:hAnsi="Avenir Next" w:cs="Arial"/>
          <w:color w:val="7B7B7B" w:themeColor="accent3" w:themeShade="BF"/>
          <w:sz w:val="22"/>
          <w:szCs w:val="22"/>
          <w:lang w:val="en-GB"/>
        </w:rPr>
        <w:t xml:space="preserve"> </w:t>
      </w:r>
      <w:r w:rsidRPr="00F6601F">
        <w:rPr>
          <w:rFonts w:ascii="Avenir Next" w:hAnsi="Avenir Next" w:cs="Arial"/>
          <w:color w:val="7B7B7B" w:themeColor="accent3" w:themeShade="BF"/>
          <w:sz w:val="22"/>
          <w:szCs w:val="22"/>
          <w:lang w:val="en-GB"/>
        </w:rPr>
        <w:t xml:space="preserve">European Coal and Steel Community </w:t>
      </w:r>
      <w:proofErr w:type="gramStart"/>
      <w:r w:rsidRPr="00F6601F">
        <w:rPr>
          <w:rFonts w:ascii="Avenir Next" w:hAnsi="Avenir Next" w:cs="Arial"/>
          <w:color w:val="7B7B7B" w:themeColor="accent3" w:themeShade="BF"/>
          <w:sz w:val="22"/>
          <w:szCs w:val="22"/>
          <w:lang w:val="en-GB"/>
        </w:rPr>
        <w:t>Treaty</w:t>
      </w:r>
      <w:r>
        <w:rPr>
          <w:rFonts w:ascii="Avenir Next" w:hAnsi="Avenir Next" w:cs="Arial"/>
          <w:color w:val="7B7B7B" w:themeColor="accent3" w:themeShade="BF"/>
          <w:sz w:val="22"/>
          <w:szCs w:val="22"/>
          <w:lang w:val="en-GB"/>
        </w:rPr>
        <w:t>;</w:t>
      </w:r>
      <w:proofErr w:type="gramEnd"/>
    </w:p>
    <w:p w14:paraId="5D2AF1E2" w14:textId="77777777" w:rsidR="005C209E" w:rsidRPr="00F6601F" w:rsidRDefault="005C209E" w:rsidP="005C209E">
      <w:pPr>
        <w:jc w:val="both"/>
        <w:rPr>
          <w:rFonts w:ascii="Avenir Next" w:hAnsi="Avenir Next" w:cs="Arial"/>
          <w:color w:val="7B7B7B" w:themeColor="accent3" w:themeShade="BF"/>
          <w:sz w:val="22"/>
          <w:szCs w:val="22"/>
          <w:lang w:val="en-GB"/>
        </w:rPr>
      </w:pPr>
    </w:p>
    <w:p w14:paraId="61BC6C5C" w14:textId="652F9098" w:rsidR="005C209E" w:rsidRDefault="005C209E" w:rsidP="005F10B0">
      <w:pPr>
        <w:jc w:val="both"/>
        <w:rPr>
          <w:rFonts w:ascii="Avenir Next" w:hAnsi="Avenir Next" w:cs="Arial"/>
          <w:color w:val="7B7B7B" w:themeColor="accent3" w:themeShade="BF"/>
          <w:sz w:val="22"/>
          <w:szCs w:val="22"/>
          <w:lang w:val="en-GB"/>
        </w:rPr>
      </w:pPr>
      <w:r w:rsidRPr="00F6601F">
        <w:rPr>
          <w:rFonts w:ascii="Avenir Next" w:hAnsi="Avenir Next" w:cs="Arial"/>
          <w:color w:val="7B7B7B" w:themeColor="accent3" w:themeShade="BF"/>
          <w:sz w:val="22"/>
          <w:szCs w:val="22"/>
          <w:lang w:val="en-GB"/>
        </w:rPr>
        <w:t xml:space="preserve">(7) claims </w:t>
      </w:r>
      <w:r w:rsidR="00D152E6">
        <w:rPr>
          <w:rFonts w:ascii="Avenir Next" w:hAnsi="Avenir Next" w:cs="Arial"/>
          <w:color w:val="7B7B7B" w:themeColor="accent3" w:themeShade="BF"/>
          <w:sz w:val="22"/>
          <w:szCs w:val="22"/>
          <w:lang w:val="en-GB"/>
        </w:rPr>
        <w:t xml:space="preserve">on </w:t>
      </w:r>
      <w:r w:rsidRPr="00F6601F">
        <w:rPr>
          <w:rFonts w:ascii="Avenir Next" w:hAnsi="Avenir Next" w:cs="Arial"/>
          <w:color w:val="7B7B7B" w:themeColor="accent3" w:themeShade="BF"/>
          <w:sz w:val="22"/>
          <w:szCs w:val="22"/>
          <w:lang w:val="en-GB"/>
        </w:rPr>
        <w:t>any amount ordered to be paid by the company under the</w:t>
      </w:r>
      <w:r w:rsidR="005F10B0">
        <w:rPr>
          <w:rFonts w:ascii="Avenir Next" w:hAnsi="Avenir Next" w:cs="Arial"/>
          <w:color w:val="7B7B7B" w:themeColor="accent3" w:themeShade="BF"/>
          <w:sz w:val="22"/>
          <w:szCs w:val="22"/>
          <w:lang w:val="en-GB"/>
        </w:rPr>
        <w:t xml:space="preserve"> </w:t>
      </w:r>
      <w:r w:rsidRPr="00F6601F">
        <w:rPr>
          <w:rFonts w:ascii="Avenir Next" w:hAnsi="Avenir Next" w:cs="Arial"/>
          <w:color w:val="7B7B7B" w:themeColor="accent3" w:themeShade="BF"/>
          <w:sz w:val="22"/>
          <w:szCs w:val="22"/>
          <w:lang w:val="en-GB"/>
        </w:rPr>
        <w:t xml:space="preserve">Reserve Forces (Safeguard of Employment) Act </w:t>
      </w:r>
      <w:proofErr w:type="gramStart"/>
      <w:r w:rsidRPr="00F6601F">
        <w:rPr>
          <w:rFonts w:ascii="Avenir Next" w:hAnsi="Avenir Next" w:cs="Arial"/>
          <w:color w:val="7B7B7B" w:themeColor="accent3" w:themeShade="BF"/>
          <w:sz w:val="22"/>
          <w:szCs w:val="22"/>
          <w:lang w:val="en-GB"/>
        </w:rPr>
        <w:t>1985</w:t>
      </w:r>
      <w:r w:rsidR="005F10B0">
        <w:rPr>
          <w:rFonts w:ascii="Avenir Next" w:hAnsi="Avenir Next" w:cs="Arial"/>
          <w:color w:val="7B7B7B" w:themeColor="accent3" w:themeShade="BF"/>
          <w:sz w:val="22"/>
          <w:szCs w:val="22"/>
          <w:lang w:val="en-GB"/>
        </w:rPr>
        <w:t>;</w:t>
      </w:r>
      <w:proofErr w:type="gramEnd"/>
    </w:p>
    <w:p w14:paraId="61865E45" w14:textId="77777777" w:rsidR="005F10B0" w:rsidRDefault="005F10B0" w:rsidP="005F10B0">
      <w:pPr>
        <w:jc w:val="both"/>
        <w:rPr>
          <w:rFonts w:ascii="Avenir Next" w:hAnsi="Avenir Next" w:cs="Arial"/>
          <w:color w:val="7B7B7B" w:themeColor="accent3" w:themeShade="BF"/>
          <w:sz w:val="22"/>
          <w:szCs w:val="22"/>
          <w:lang w:val="en-GB"/>
        </w:rPr>
      </w:pPr>
    </w:p>
    <w:p w14:paraId="2BD9E8BC" w14:textId="7DA7E76F" w:rsidR="005F10B0" w:rsidRDefault="005F10B0" w:rsidP="005F10B0">
      <w:pPr>
        <w:jc w:val="both"/>
        <w:rPr>
          <w:rFonts w:ascii="Avenir Next" w:hAnsi="Avenir Next" w:cs="Arial"/>
          <w:color w:val="7B7B7B" w:themeColor="accent3" w:themeShade="BF"/>
          <w:sz w:val="22"/>
          <w:szCs w:val="22"/>
          <w:lang w:val="en-GB"/>
        </w:rPr>
      </w:pPr>
      <w:r w:rsidRPr="00F6601F">
        <w:rPr>
          <w:rFonts w:ascii="Avenir Next" w:hAnsi="Avenir Next" w:cs="Arial"/>
          <w:color w:val="7B7B7B" w:themeColor="accent3" w:themeShade="BF"/>
          <w:sz w:val="22"/>
          <w:szCs w:val="22"/>
          <w:lang w:val="en-GB"/>
        </w:rPr>
        <w:t>(8) any amount owed by the company in respect of an eligible deposit as does not</w:t>
      </w:r>
      <w:r>
        <w:rPr>
          <w:rFonts w:ascii="Avenir Next" w:hAnsi="Avenir Next" w:cs="Arial"/>
          <w:color w:val="7B7B7B" w:themeColor="accent3" w:themeShade="BF"/>
          <w:sz w:val="22"/>
          <w:szCs w:val="22"/>
          <w:lang w:val="en-GB"/>
        </w:rPr>
        <w:t xml:space="preserve"> </w:t>
      </w:r>
      <w:r w:rsidRPr="00F6601F">
        <w:rPr>
          <w:rFonts w:ascii="Avenir Next" w:hAnsi="Avenir Next" w:cs="Arial"/>
          <w:color w:val="7B7B7B" w:themeColor="accent3" w:themeShade="BF"/>
          <w:sz w:val="22"/>
          <w:szCs w:val="22"/>
          <w:lang w:val="en-GB"/>
        </w:rPr>
        <w:t>exceed the compensation that would be payable in respect of the deposit under the</w:t>
      </w:r>
      <w:r>
        <w:rPr>
          <w:rFonts w:ascii="Avenir Next" w:hAnsi="Avenir Next" w:cs="Arial"/>
          <w:color w:val="7B7B7B" w:themeColor="accent3" w:themeShade="BF"/>
          <w:sz w:val="22"/>
          <w:szCs w:val="22"/>
          <w:lang w:val="en-GB"/>
        </w:rPr>
        <w:t xml:space="preserve"> </w:t>
      </w:r>
      <w:r w:rsidRPr="00F6601F">
        <w:rPr>
          <w:rFonts w:ascii="Avenir Next" w:hAnsi="Avenir Next" w:cs="Arial"/>
          <w:color w:val="7B7B7B" w:themeColor="accent3" w:themeShade="BF"/>
          <w:sz w:val="22"/>
          <w:szCs w:val="22"/>
          <w:lang w:val="en-GB"/>
        </w:rPr>
        <w:t>Financial Services Compensation Scheme to the person or persons to whom the amount is</w:t>
      </w:r>
      <w:r>
        <w:rPr>
          <w:rFonts w:ascii="Avenir Next" w:hAnsi="Avenir Next" w:cs="Arial"/>
          <w:color w:val="7B7B7B" w:themeColor="accent3" w:themeShade="BF"/>
          <w:sz w:val="22"/>
          <w:szCs w:val="22"/>
          <w:lang w:val="en-GB"/>
        </w:rPr>
        <w:t xml:space="preserve"> </w:t>
      </w:r>
      <w:proofErr w:type="gramStart"/>
      <w:r w:rsidRPr="00F6601F">
        <w:rPr>
          <w:rFonts w:ascii="Avenir Next" w:hAnsi="Avenir Next" w:cs="Arial"/>
          <w:color w:val="7B7B7B" w:themeColor="accent3" w:themeShade="BF"/>
          <w:sz w:val="22"/>
          <w:szCs w:val="22"/>
          <w:lang w:val="en-GB"/>
        </w:rPr>
        <w:t>owed</w:t>
      </w:r>
      <w:r>
        <w:rPr>
          <w:rFonts w:ascii="Avenir Next" w:hAnsi="Avenir Next" w:cs="Arial"/>
          <w:color w:val="7B7B7B" w:themeColor="accent3" w:themeShade="BF"/>
          <w:sz w:val="22"/>
          <w:szCs w:val="22"/>
          <w:lang w:val="en-GB"/>
        </w:rPr>
        <w:t>;</w:t>
      </w:r>
      <w:proofErr w:type="gramEnd"/>
    </w:p>
    <w:p w14:paraId="618A4B33" w14:textId="77777777" w:rsidR="005F10B0" w:rsidRPr="00F6601F" w:rsidRDefault="005F10B0" w:rsidP="005F10B0">
      <w:pPr>
        <w:jc w:val="both"/>
        <w:rPr>
          <w:rFonts w:ascii="Avenir Next" w:hAnsi="Avenir Next" w:cs="Arial"/>
          <w:color w:val="7B7B7B" w:themeColor="accent3" w:themeShade="BF"/>
          <w:sz w:val="22"/>
          <w:szCs w:val="22"/>
          <w:lang w:val="en-GB"/>
        </w:rPr>
      </w:pPr>
    </w:p>
    <w:p w14:paraId="74B2981A" w14:textId="38768BFA" w:rsidR="005F10B0" w:rsidRDefault="005F10B0" w:rsidP="005F10B0">
      <w:pPr>
        <w:jc w:val="both"/>
        <w:rPr>
          <w:rFonts w:ascii="Avenir Next" w:hAnsi="Avenir Next" w:cs="Arial"/>
          <w:color w:val="7B7B7B" w:themeColor="accent3" w:themeShade="BF"/>
          <w:sz w:val="22"/>
          <w:szCs w:val="22"/>
          <w:lang w:val="en-GB"/>
        </w:rPr>
      </w:pPr>
      <w:r w:rsidRPr="00F6601F">
        <w:rPr>
          <w:rFonts w:ascii="Avenir Next" w:hAnsi="Avenir Next" w:cs="Arial"/>
          <w:color w:val="7B7B7B" w:themeColor="accent3" w:themeShade="BF"/>
          <w:sz w:val="22"/>
          <w:szCs w:val="22"/>
          <w:lang w:val="en-GB"/>
        </w:rPr>
        <w:t>(9) any amount owed by the company to one or more eligible persons in respect</w:t>
      </w:r>
      <w:r>
        <w:rPr>
          <w:rFonts w:ascii="Avenir Next" w:hAnsi="Avenir Next" w:cs="Arial"/>
          <w:color w:val="7B7B7B" w:themeColor="accent3" w:themeShade="BF"/>
          <w:sz w:val="22"/>
          <w:szCs w:val="22"/>
          <w:lang w:val="en-GB"/>
        </w:rPr>
        <w:t xml:space="preserve"> </w:t>
      </w:r>
      <w:r w:rsidRPr="00F6601F">
        <w:rPr>
          <w:rFonts w:ascii="Avenir Next" w:hAnsi="Avenir Next" w:cs="Arial"/>
          <w:color w:val="7B7B7B" w:themeColor="accent3" w:themeShade="BF"/>
          <w:sz w:val="22"/>
          <w:szCs w:val="22"/>
          <w:lang w:val="en-GB"/>
        </w:rPr>
        <w:t>of an eligible deposit as exceeds any compensation that would be payable in respect of the</w:t>
      </w:r>
      <w:r>
        <w:rPr>
          <w:rFonts w:ascii="Avenir Next" w:hAnsi="Avenir Next" w:cs="Arial"/>
          <w:color w:val="7B7B7B" w:themeColor="accent3" w:themeShade="BF"/>
          <w:sz w:val="22"/>
          <w:szCs w:val="22"/>
          <w:lang w:val="en-GB"/>
        </w:rPr>
        <w:t xml:space="preserve"> </w:t>
      </w:r>
      <w:r w:rsidRPr="00F6601F">
        <w:rPr>
          <w:rFonts w:ascii="Avenir Next" w:hAnsi="Avenir Next" w:cs="Arial"/>
          <w:color w:val="7B7B7B" w:themeColor="accent3" w:themeShade="BF"/>
          <w:sz w:val="22"/>
          <w:szCs w:val="22"/>
          <w:lang w:val="en-GB"/>
        </w:rPr>
        <w:t>deposit under the Financial Services Compensation Scheme to that person or those</w:t>
      </w:r>
      <w:r>
        <w:rPr>
          <w:rFonts w:ascii="Avenir Next" w:hAnsi="Avenir Next" w:cs="Arial"/>
          <w:color w:val="7B7B7B" w:themeColor="accent3" w:themeShade="BF"/>
          <w:sz w:val="22"/>
          <w:szCs w:val="22"/>
          <w:lang w:val="en-GB"/>
        </w:rPr>
        <w:t xml:space="preserve"> </w:t>
      </w:r>
      <w:proofErr w:type="gramStart"/>
      <w:r w:rsidRPr="00F6601F">
        <w:rPr>
          <w:rFonts w:ascii="Avenir Next" w:hAnsi="Avenir Next" w:cs="Arial"/>
          <w:color w:val="7B7B7B" w:themeColor="accent3" w:themeShade="BF"/>
          <w:sz w:val="22"/>
          <w:szCs w:val="22"/>
          <w:lang w:val="en-GB"/>
        </w:rPr>
        <w:t>persons</w:t>
      </w:r>
      <w:r>
        <w:rPr>
          <w:rFonts w:ascii="Avenir Next" w:hAnsi="Avenir Next" w:cs="Arial"/>
          <w:color w:val="7B7B7B" w:themeColor="accent3" w:themeShade="BF"/>
          <w:sz w:val="22"/>
          <w:szCs w:val="22"/>
          <w:lang w:val="en-GB"/>
        </w:rPr>
        <w:t>;</w:t>
      </w:r>
      <w:proofErr w:type="gramEnd"/>
    </w:p>
    <w:p w14:paraId="0F7D897F" w14:textId="77777777" w:rsidR="005F10B0" w:rsidRPr="00F6601F" w:rsidRDefault="005F10B0" w:rsidP="005F10B0">
      <w:pPr>
        <w:jc w:val="both"/>
        <w:rPr>
          <w:rFonts w:ascii="Avenir Next" w:hAnsi="Avenir Next" w:cs="Arial"/>
          <w:color w:val="7B7B7B" w:themeColor="accent3" w:themeShade="BF"/>
          <w:sz w:val="22"/>
          <w:szCs w:val="22"/>
          <w:lang w:val="en-GB"/>
        </w:rPr>
      </w:pPr>
    </w:p>
    <w:p w14:paraId="53062E81" w14:textId="3547614C" w:rsidR="005F10B0" w:rsidRPr="00F6601F" w:rsidRDefault="005F10B0" w:rsidP="005F10B0">
      <w:pPr>
        <w:jc w:val="both"/>
        <w:rPr>
          <w:rFonts w:ascii="Avenir Next" w:hAnsi="Avenir Next" w:cs="Arial"/>
          <w:color w:val="7B7B7B" w:themeColor="accent3" w:themeShade="BF"/>
          <w:sz w:val="22"/>
          <w:szCs w:val="22"/>
          <w:lang w:val="en-GB"/>
        </w:rPr>
      </w:pPr>
      <w:r w:rsidRPr="00F6601F">
        <w:rPr>
          <w:rFonts w:ascii="Avenir Next" w:hAnsi="Avenir Next" w:cs="Arial"/>
          <w:color w:val="7B7B7B" w:themeColor="accent3" w:themeShade="BF"/>
          <w:sz w:val="22"/>
          <w:szCs w:val="22"/>
          <w:lang w:val="en-GB"/>
        </w:rPr>
        <w:t xml:space="preserve">(10) </w:t>
      </w:r>
      <w:r>
        <w:rPr>
          <w:rFonts w:ascii="Avenir Next" w:hAnsi="Avenir Next" w:cs="Arial"/>
          <w:color w:val="7B7B7B" w:themeColor="accent3" w:themeShade="BF"/>
          <w:sz w:val="22"/>
          <w:szCs w:val="22"/>
          <w:lang w:val="en-GB"/>
        </w:rPr>
        <w:t>a</w:t>
      </w:r>
      <w:r w:rsidRPr="00F6601F">
        <w:rPr>
          <w:rFonts w:ascii="Avenir Next" w:hAnsi="Avenir Next" w:cs="Arial"/>
          <w:color w:val="7B7B7B" w:themeColor="accent3" w:themeShade="BF"/>
          <w:sz w:val="22"/>
          <w:szCs w:val="22"/>
          <w:lang w:val="en-GB"/>
        </w:rPr>
        <w:t>n amount owed by the company to one or more eligible persons in respect of a deposit</w:t>
      </w:r>
      <w:r>
        <w:rPr>
          <w:rFonts w:ascii="Avenir Next" w:hAnsi="Avenir Next" w:cs="Arial"/>
          <w:color w:val="7B7B7B" w:themeColor="accent3" w:themeShade="BF"/>
          <w:sz w:val="22"/>
          <w:szCs w:val="22"/>
          <w:lang w:val="en-GB"/>
        </w:rPr>
        <w:t xml:space="preserve"> </w:t>
      </w:r>
      <w:r w:rsidRPr="00F6601F">
        <w:rPr>
          <w:rFonts w:ascii="Avenir Next" w:hAnsi="Avenir Next" w:cs="Arial"/>
          <w:color w:val="7B7B7B" w:themeColor="accent3" w:themeShade="BF"/>
          <w:sz w:val="22"/>
          <w:szCs w:val="22"/>
          <w:lang w:val="en-GB"/>
        </w:rPr>
        <w:t>that—</w:t>
      </w:r>
    </w:p>
    <w:p w14:paraId="4FB0483A" w14:textId="6FCE0009" w:rsidR="005F10B0" w:rsidRPr="00F6601F" w:rsidRDefault="005F10B0" w:rsidP="005F10B0">
      <w:pPr>
        <w:ind w:left="720"/>
        <w:jc w:val="both"/>
        <w:rPr>
          <w:rFonts w:ascii="Avenir Next" w:hAnsi="Avenir Next" w:cs="Arial"/>
          <w:color w:val="7B7B7B" w:themeColor="accent3" w:themeShade="BF"/>
          <w:sz w:val="22"/>
          <w:szCs w:val="22"/>
          <w:lang w:val="en-GB"/>
        </w:rPr>
      </w:pPr>
      <w:r w:rsidRPr="00F6601F">
        <w:rPr>
          <w:rFonts w:ascii="Avenir Next" w:hAnsi="Avenir Next" w:cs="Arial"/>
          <w:color w:val="7B7B7B" w:themeColor="accent3" w:themeShade="BF"/>
          <w:sz w:val="22"/>
          <w:szCs w:val="22"/>
          <w:lang w:val="en-GB"/>
        </w:rPr>
        <w:t>(a) was made through a non-UK branch of a credit institution authorised by the competent</w:t>
      </w:r>
      <w:r>
        <w:rPr>
          <w:rFonts w:ascii="Avenir Next" w:hAnsi="Avenir Next" w:cs="Arial"/>
          <w:color w:val="7B7B7B" w:themeColor="accent3" w:themeShade="BF"/>
          <w:sz w:val="22"/>
          <w:szCs w:val="22"/>
          <w:lang w:val="en-GB"/>
        </w:rPr>
        <w:t xml:space="preserve"> </w:t>
      </w:r>
      <w:r w:rsidRPr="00F6601F">
        <w:rPr>
          <w:rFonts w:ascii="Avenir Next" w:hAnsi="Avenir Next" w:cs="Arial"/>
          <w:color w:val="7B7B7B" w:themeColor="accent3" w:themeShade="BF"/>
          <w:sz w:val="22"/>
          <w:szCs w:val="22"/>
          <w:lang w:val="en-GB"/>
        </w:rPr>
        <w:t>authority of the UK, and</w:t>
      </w:r>
    </w:p>
    <w:p w14:paraId="38CFBCCD" w14:textId="77777777" w:rsidR="005F10B0" w:rsidRPr="00F6601F" w:rsidRDefault="005F10B0" w:rsidP="005F10B0">
      <w:pPr>
        <w:ind w:firstLine="720"/>
        <w:jc w:val="both"/>
        <w:rPr>
          <w:rFonts w:ascii="Avenir Next" w:hAnsi="Avenir Next" w:cs="Arial"/>
          <w:color w:val="7B7B7B" w:themeColor="accent3" w:themeShade="BF"/>
          <w:sz w:val="22"/>
          <w:szCs w:val="22"/>
          <w:lang w:val="en-GB"/>
        </w:rPr>
      </w:pPr>
      <w:r w:rsidRPr="00F6601F">
        <w:rPr>
          <w:rFonts w:ascii="Avenir Next" w:hAnsi="Avenir Next" w:cs="Arial"/>
          <w:color w:val="7B7B7B" w:themeColor="accent3" w:themeShade="BF"/>
          <w:sz w:val="22"/>
          <w:szCs w:val="22"/>
          <w:lang w:val="en-GB"/>
        </w:rPr>
        <w:t>(b) would have been an eligible deposit if it had been made through a UK branch of that</w:t>
      </w:r>
    </w:p>
    <w:p w14:paraId="148AD540" w14:textId="014AA4F0" w:rsidR="005F10B0" w:rsidRDefault="005F10B0" w:rsidP="005F10B0">
      <w:pPr>
        <w:ind w:firstLine="720"/>
        <w:jc w:val="both"/>
        <w:rPr>
          <w:rFonts w:ascii="Avenir Next" w:hAnsi="Avenir Next" w:cs="Arial"/>
          <w:color w:val="7B7B7B" w:themeColor="accent3" w:themeShade="BF"/>
          <w:sz w:val="22"/>
          <w:szCs w:val="22"/>
          <w:lang w:val="en-GB"/>
        </w:rPr>
      </w:pPr>
      <w:r w:rsidRPr="00F6601F">
        <w:rPr>
          <w:rFonts w:ascii="Avenir Next" w:hAnsi="Avenir Next" w:cs="Arial"/>
          <w:color w:val="7B7B7B" w:themeColor="accent3" w:themeShade="BF"/>
          <w:sz w:val="22"/>
          <w:szCs w:val="22"/>
          <w:lang w:val="en-GB"/>
        </w:rPr>
        <w:t>credit institution</w:t>
      </w:r>
      <w:r>
        <w:rPr>
          <w:rFonts w:ascii="Avenir Next" w:hAnsi="Avenir Next" w:cs="Arial"/>
          <w:color w:val="7B7B7B" w:themeColor="accent3" w:themeShade="BF"/>
          <w:sz w:val="22"/>
          <w:szCs w:val="22"/>
          <w:lang w:val="en-GB"/>
        </w:rPr>
        <w:t>;</w:t>
      </w:r>
      <w:r w:rsidR="00511B54">
        <w:rPr>
          <w:rFonts w:ascii="Avenir Next" w:hAnsi="Avenir Next" w:cs="Arial"/>
          <w:color w:val="7B7B7B" w:themeColor="accent3" w:themeShade="BF"/>
          <w:sz w:val="22"/>
          <w:szCs w:val="22"/>
          <w:lang w:val="en-GB"/>
        </w:rPr>
        <w:t xml:space="preserve"> and</w:t>
      </w:r>
    </w:p>
    <w:p w14:paraId="4A5254BC" w14:textId="77777777" w:rsidR="005F10B0" w:rsidRPr="00F6601F" w:rsidRDefault="005F10B0" w:rsidP="005F10B0">
      <w:pPr>
        <w:jc w:val="both"/>
        <w:rPr>
          <w:rFonts w:ascii="Avenir Next" w:hAnsi="Avenir Next" w:cs="Arial"/>
          <w:color w:val="7B7B7B" w:themeColor="accent3" w:themeShade="BF"/>
          <w:sz w:val="22"/>
          <w:szCs w:val="22"/>
          <w:lang w:val="en-GB"/>
        </w:rPr>
      </w:pPr>
    </w:p>
    <w:p w14:paraId="0A96C762" w14:textId="4D80BA57" w:rsidR="00B724C7" w:rsidRPr="00F6601F" w:rsidRDefault="005F10B0" w:rsidP="00F6601F">
      <w:pPr>
        <w:jc w:val="both"/>
        <w:rPr>
          <w:rFonts w:ascii="Avenir Next" w:hAnsi="Avenir Next" w:cs="Arial"/>
          <w:color w:val="7B7B7B" w:themeColor="accent3" w:themeShade="BF"/>
          <w:sz w:val="22"/>
          <w:szCs w:val="22"/>
          <w:lang w:val="en-GB"/>
        </w:rPr>
      </w:pPr>
      <w:r w:rsidRPr="00F6601F">
        <w:rPr>
          <w:rFonts w:ascii="Avenir Next" w:hAnsi="Avenir Next" w:cs="Arial"/>
          <w:color w:val="7B7B7B" w:themeColor="accent3" w:themeShade="BF"/>
          <w:sz w:val="22"/>
          <w:szCs w:val="22"/>
          <w:lang w:val="en-GB"/>
        </w:rPr>
        <w:t>(11) PAYE income tax deductions, national insurance deductions, VAT payments, Construction</w:t>
      </w:r>
      <w:r>
        <w:rPr>
          <w:rFonts w:ascii="Avenir Next" w:hAnsi="Avenir Next" w:cs="Arial"/>
          <w:color w:val="7B7B7B" w:themeColor="accent3" w:themeShade="BF"/>
          <w:sz w:val="22"/>
          <w:szCs w:val="22"/>
          <w:lang w:val="en-GB"/>
        </w:rPr>
        <w:t xml:space="preserve"> </w:t>
      </w:r>
      <w:r w:rsidRPr="00F6601F">
        <w:rPr>
          <w:rFonts w:ascii="Avenir Next" w:hAnsi="Avenir Next" w:cs="Arial"/>
          <w:color w:val="7B7B7B" w:themeColor="accent3" w:themeShade="BF"/>
          <w:sz w:val="22"/>
          <w:szCs w:val="22"/>
          <w:lang w:val="en-GB"/>
        </w:rPr>
        <w:t>Industry Scheme deductions and student loan repayments.</w:t>
      </w:r>
      <w:r>
        <w:rPr>
          <w:rStyle w:val="FootnoteReference"/>
          <w:rFonts w:ascii="Avenir Next" w:hAnsi="Avenir Next" w:cs="Arial"/>
          <w:color w:val="7B7B7B" w:themeColor="accent3" w:themeShade="BF"/>
          <w:sz w:val="22"/>
          <w:szCs w:val="22"/>
          <w:lang w:val="en-GB"/>
        </w:rPr>
        <w:footnoteReference w:id="15"/>
      </w:r>
    </w:p>
    <w:p w14:paraId="45AF117C" w14:textId="77777777" w:rsidR="00F6601F" w:rsidRDefault="00F6601F" w:rsidP="00F6601F">
      <w:pPr>
        <w:jc w:val="both"/>
        <w:rPr>
          <w:rFonts w:ascii="Avenir Next" w:hAnsi="Avenir Next" w:cs="Arial"/>
          <w:color w:val="7B7B7B" w:themeColor="accent3" w:themeShade="BF"/>
          <w:sz w:val="22"/>
          <w:szCs w:val="22"/>
          <w:lang w:val="en-GB"/>
        </w:rPr>
      </w:pPr>
    </w:p>
    <w:p w14:paraId="381B910C" w14:textId="57327F86" w:rsidR="00F6601F" w:rsidRPr="006A0806" w:rsidRDefault="006A0806" w:rsidP="00F6601F">
      <w:pPr>
        <w:jc w:val="both"/>
        <w:rPr>
          <w:rFonts w:ascii="Avenir Next" w:hAnsi="Avenir Next" w:cs="Arial"/>
          <w:color w:val="7B7B7B" w:themeColor="accent3" w:themeShade="BF"/>
          <w:sz w:val="22"/>
          <w:szCs w:val="22"/>
          <w:u w:val="single"/>
          <w:lang w:val="en-GB"/>
        </w:rPr>
      </w:pPr>
      <w:r w:rsidRPr="006A0806">
        <w:rPr>
          <w:rFonts w:ascii="Avenir Next" w:hAnsi="Avenir Next" w:cs="Arial"/>
          <w:color w:val="7B7B7B" w:themeColor="accent3" w:themeShade="BF"/>
          <w:sz w:val="22"/>
          <w:szCs w:val="22"/>
          <w:u w:val="single"/>
          <w:lang w:val="en-GB"/>
        </w:rPr>
        <w:t xml:space="preserve">Floating charge holders </w:t>
      </w:r>
    </w:p>
    <w:p w14:paraId="182119AF" w14:textId="77777777" w:rsidR="00F6601F" w:rsidRPr="00F6601F" w:rsidRDefault="00F6601F" w:rsidP="00F6601F">
      <w:pPr>
        <w:jc w:val="both"/>
        <w:rPr>
          <w:rFonts w:ascii="Avenir Next" w:hAnsi="Avenir Next" w:cs="Arial"/>
          <w:color w:val="7B7B7B" w:themeColor="accent3" w:themeShade="BF"/>
          <w:sz w:val="22"/>
          <w:szCs w:val="22"/>
          <w:lang w:val="en-GB"/>
        </w:rPr>
      </w:pPr>
    </w:p>
    <w:p w14:paraId="59B15E3D" w14:textId="6AB1490F" w:rsidR="006A0806" w:rsidRDefault="00F111B5" w:rsidP="00F6601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Third in priority are </w:t>
      </w:r>
      <w:r w:rsidR="00F6601F" w:rsidRPr="00F6601F">
        <w:rPr>
          <w:rFonts w:ascii="Avenir Next" w:hAnsi="Avenir Next" w:cs="Arial"/>
          <w:color w:val="7B7B7B" w:themeColor="accent3" w:themeShade="BF"/>
          <w:sz w:val="22"/>
          <w:szCs w:val="22"/>
          <w:lang w:val="en-GB"/>
        </w:rPr>
        <w:t>any floating</w:t>
      </w:r>
      <w:r>
        <w:rPr>
          <w:rFonts w:ascii="Avenir Next" w:hAnsi="Avenir Next" w:cs="Arial"/>
          <w:color w:val="7B7B7B" w:themeColor="accent3" w:themeShade="BF"/>
          <w:sz w:val="22"/>
          <w:szCs w:val="22"/>
          <w:lang w:val="en-GB"/>
        </w:rPr>
        <w:t xml:space="preserve"> </w:t>
      </w:r>
      <w:r w:rsidR="00F6601F" w:rsidRPr="00F6601F">
        <w:rPr>
          <w:rFonts w:ascii="Avenir Next" w:hAnsi="Avenir Next" w:cs="Arial"/>
          <w:color w:val="7B7B7B" w:themeColor="accent3" w:themeShade="BF"/>
          <w:sz w:val="22"/>
          <w:szCs w:val="22"/>
          <w:lang w:val="en-GB"/>
        </w:rPr>
        <w:t>charge holder</w:t>
      </w:r>
      <w:r>
        <w:rPr>
          <w:rFonts w:ascii="Avenir Next" w:hAnsi="Avenir Next" w:cs="Arial"/>
          <w:color w:val="7B7B7B" w:themeColor="accent3" w:themeShade="BF"/>
          <w:sz w:val="22"/>
          <w:szCs w:val="22"/>
          <w:lang w:val="en-GB"/>
        </w:rPr>
        <w:t xml:space="preserve">s, with priority between them based on the order in which the </w:t>
      </w:r>
      <w:r w:rsidR="00F6601F" w:rsidRPr="00F6601F">
        <w:rPr>
          <w:rFonts w:ascii="Avenir Next" w:hAnsi="Avenir Next" w:cs="Arial"/>
          <w:color w:val="7B7B7B" w:themeColor="accent3" w:themeShade="BF"/>
          <w:sz w:val="22"/>
          <w:szCs w:val="22"/>
          <w:lang w:val="en-GB"/>
        </w:rPr>
        <w:t>floating charge was created first.</w:t>
      </w:r>
      <w:r w:rsidR="006A0806">
        <w:rPr>
          <w:rFonts w:ascii="Avenir Next" w:hAnsi="Avenir Next" w:cs="Arial"/>
          <w:color w:val="7B7B7B" w:themeColor="accent3" w:themeShade="BF"/>
          <w:sz w:val="22"/>
          <w:szCs w:val="22"/>
          <w:lang w:val="en-GB"/>
        </w:rPr>
        <w:t xml:space="preserve"> However, before making any payment to a floating charge holder, the liquidator is obliged to consider </w:t>
      </w:r>
      <w:r w:rsidR="006A0806" w:rsidRPr="00F6601F">
        <w:rPr>
          <w:rFonts w:ascii="Avenir Next" w:hAnsi="Avenir Next" w:cs="Arial"/>
          <w:color w:val="7B7B7B" w:themeColor="accent3" w:themeShade="BF"/>
          <w:sz w:val="22"/>
          <w:szCs w:val="22"/>
          <w:lang w:val="en-GB"/>
        </w:rPr>
        <w:t>section 176A of the</w:t>
      </w:r>
      <w:r w:rsidR="006A0806">
        <w:rPr>
          <w:rFonts w:ascii="Avenir Next" w:hAnsi="Avenir Next" w:cs="Arial"/>
          <w:color w:val="7B7B7B" w:themeColor="accent3" w:themeShade="BF"/>
          <w:sz w:val="22"/>
          <w:szCs w:val="22"/>
          <w:lang w:val="en-GB"/>
        </w:rPr>
        <w:t xml:space="preserve"> IA and whether any of the floating charges were </w:t>
      </w:r>
      <w:r w:rsidR="00F6601F" w:rsidRPr="00F6601F">
        <w:rPr>
          <w:rFonts w:ascii="Avenir Next" w:hAnsi="Avenir Next" w:cs="Arial"/>
          <w:color w:val="7B7B7B" w:themeColor="accent3" w:themeShade="BF"/>
          <w:sz w:val="22"/>
          <w:szCs w:val="22"/>
          <w:lang w:val="en-GB"/>
        </w:rPr>
        <w:t>created on or after 15 September 2003</w:t>
      </w:r>
      <w:r w:rsidR="006A0806">
        <w:rPr>
          <w:rFonts w:ascii="Avenir Next" w:hAnsi="Avenir Next" w:cs="Arial"/>
          <w:color w:val="7B7B7B" w:themeColor="accent3" w:themeShade="BF"/>
          <w:sz w:val="22"/>
          <w:szCs w:val="22"/>
          <w:lang w:val="en-GB"/>
        </w:rPr>
        <w:t xml:space="preserve">. If there are, the liquidator is required to reserve </w:t>
      </w:r>
      <w:r w:rsidR="006A0806" w:rsidRPr="00F6601F">
        <w:rPr>
          <w:rFonts w:ascii="Avenir Next" w:hAnsi="Avenir Next" w:cs="Arial"/>
          <w:color w:val="7B7B7B" w:themeColor="accent3" w:themeShade="BF"/>
          <w:sz w:val="22"/>
          <w:szCs w:val="22"/>
          <w:lang w:val="en-GB"/>
        </w:rPr>
        <w:t>a</w:t>
      </w:r>
      <w:r w:rsidR="00F6601F" w:rsidRPr="00F6601F">
        <w:rPr>
          <w:rFonts w:ascii="Avenir Next" w:hAnsi="Avenir Next" w:cs="Arial"/>
          <w:color w:val="7B7B7B" w:themeColor="accent3" w:themeShade="BF"/>
          <w:sz w:val="22"/>
          <w:szCs w:val="22"/>
          <w:lang w:val="en-GB"/>
        </w:rPr>
        <w:t xml:space="preserve"> </w:t>
      </w:r>
      <w:r w:rsidR="00F6601F" w:rsidRPr="006A0806">
        <w:rPr>
          <w:rFonts w:ascii="Avenir Next" w:hAnsi="Avenir Next" w:cs="Arial"/>
          <w:i/>
          <w:iCs/>
          <w:color w:val="7B7B7B" w:themeColor="accent3" w:themeShade="BF"/>
          <w:sz w:val="22"/>
          <w:szCs w:val="22"/>
          <w:lang w:val="en-GB"/>
        </w:rPr>
        <w:t>“prescribed part”</w:t>
      </w:r>
      <w:r w:rsidR="00F6601F" w:rsidRPr="00F6601F">
        <w:rPr>
          <w:rFonts w:ascii="Avenir Next" w:hAnsi="Avenir Next" w:cs="Arial"/>
          <w:color w:val="7B7B7B" w:themeColor="accent3" w:themeShade="BF"/>
          <w:sz w:val="22"/>
          <w:szCs w:val="22"/>
          <w:lang w:val="en-GB"/>
        </w:rPr>
        <w:t xml:space="preserve"> of the company’s</w:t>
      </w:r>
      <w:r w:rsidR="006A0806">
        <w:rPr>
          <w:rFonts w:ascii="Avenir Next" w:hAnsi="Avenir Next" w:cs="Arial"/>
          <w:color w:val="7B7B7B" w:themeColor="accent3" w:themeShade="BF"/>
          <w:sz w:val="22"/>
          <w:szCs w:val="22"/>
          <w:lang w:val="en-GB"/>
        </w:rPr>
        <w:t xml:space="preserve"> net property</w:t>
      </w:r>
      <w:r w:rsidR="00F6601F" w:rsidRPr="00F6601F">
        <w:rPr>
          <w:rFonts w:ascii="Avenir Next" w:hAnsi="Avenir Next" w:cs="Arial"/>
          <w:color w:val="7B7B7B" w:themeColor="accent3" w:themeShade="BF"/>
          <w:sz w:val="22"/>
          <w:szCs w:val="22"/>
          <w:lang w:val="en-GB"/>
        </w:rPr>
        <w:t xml:space="preserve"> </w:t>
      </w:r>
      <w:r w:rsidR="006A0806">
        <w:rPr>
          <w:rFonts w:ascii="Avenir Next" w:hAnsi="Avenir Next" w:cs="Arial"/>
          <w:color w:val="7B7B7B" w:themeColor="accent3" w:themeShade="BF"/>
          <w:sz w:val="22"/>
          <w:szCs w:val="22"/>
          <w:lang w:val="en-GB"/>
        </w:rPr>
        <w:t xml:space="preserve">(assets available after payment of liquidation expenses and preferential debts) </w:t>
      </w:r>
      <w:r w:rsidR="00F6601F" w:rsidRPr="00F6601F">
        <w:rPr>
          <w:rFonts w:ascii="Avenir Next" w:hAnsi="Avenir Next" w:cs="Arial"/>
          <w:color w:val="7B7B7B" w:themeColor="accent3" w:themeShade="BF"/>
          <w:sz w:val="22"/>
          <w:szCs w:val="22"/>
          <w:lang w:val="en-GB"/>
        </w:rPr>
        <w:t>for the satisfaction of unsecured debts and must not distribute any of this</w:t>
      </w:r>
      <w:r w:rsidR="006A0806">
        <w:rPr>
          <w:rFonts w:ascii="Avenir Next" w:hAnsi="Avenir Next" w:cs="Arial"/>
          <w:color w:val="7B7B7B" w:themeColor="accent3" w:themeShade="BF"/>
          <w:sz w:val="22"/>
          <w:szCs w:val="22"/>
          <w:lang w:val="en-GB"/>
        </w:rPr>
        <w:t xml:space="preserve"> </w:t>
      </w:r>
      <w:r w:rsidR="00F6601F" w:rsidRPr="00F6601F">
        <w:rPr>
          <w:rFonts w:ascii="Avenir Next" w:hAnsi="Avenir Next" w:cs="Arial"/>
          <w:color w:val="7B7B7B" w:themeColor="accent3" w:themeShade="BF"/>
          <w:sz w:val="22"/>
          <w:szCs w:val="22"/>
          <w:lang w:val="en-GB"/>
        </w:rPr>
        <w:t xml:space="preserve">prescribed part to a floating charge holder </w:t>
      </w:r>
      <w:r w:rsidR="006A0806">
        <w:rPr>
          <w:rFonts w:ascii="Avenir Next" w:hAnsi="Avenir Next" w:cs="Arial"/>
          <w:color w:val="7B7B7B" w:themeColor="accent3" w:themeShade="BF"/>
          <w:sz w:val="22"/>
          <w:szCs w:val="22"/>
          <w:lang w:val="en-GB"/>
        </w:rPr>
        <w:t xml:space="preserve">unless it exceeds the </w:t>
      </w:r>
      <w:r w:rsidR="00F6601F" w:rsidRPr="00F6601F">
        <w:rPr>
          <w:rFonts w:ascii="Avenir Next" w:hAnsi="Avenir Next" w:cs="Arial"/>
          <w:color w:val="7B7B7B" w:themeColor="accent3" w:themeShade="BF"/>
          <w:sz w:val="22"/>
          <w:szCs w:val="22"/>
          <w:lang w:val="en-GB"/>
        </w:rPr>
        <w:t>amount</w:t>
      </w:r>
      <w:r w:rsidR="006A0806">
        <w:rPr>
          <w:rFonts w:ascii="Avenir Next" w:hAnsi="Avenir Next" w:cs="Arial"/>
          <w:color w:val="7B7B7B" w:themeColor="accent3" w:themeShade="BF"/>
          <w:sz w:val="22"/>
          <w:szCs w:val="22"/>
          <w:lang w:val="en-GB"/>
        </w:rPr>
        <w:t xml:space="preserve"> </w:t>
      </w:r>
      <w:r w:rsidR="00F6601F" w:rsidRPr="00F6601F">
        <w:rPr>
          <w:rFonts w:ascii="Avenir Next" w:hAnsi="Avenir Next" w:cs="Arial"/>
          <w:color w:val="7B7B7B" w:themeColor="accent3" w:themeShade="BF"/>
          <w:sz w:val="22"/>
          <w:szCs w:val="22"/>
          <w:lang w:val="en-GB"/>
        </w:rPr>
        <w:t xml:space="preserve">required to satisfy all the unsecured debts. </w:t>
      </w:r>
    </w:p>
    <w:p w14:paraId="02CFE951" w14:textId="77777777" w:rsidR="006A0806" w:rsidRDefault="006A0806" w:rsidP="00F6601F">
      <w:pPr>
        <w:jc w:val="both"/>
        <w:rPr>
          <w:rFonts w:ascii="Avenir Next" w:hAnsi="Avenir Next" w:cs="Arial"/>
          <w:color w:val="7B7B7B" w:themeColor="accent3" w:themeShade="BF"/>
          <w:sz w:val="22"/>
          <w:szCs w:val="22"/>
          <w:lang w:val="en-GB"/>
        </w:rPr>
      </w:pPr>
    </w:p>
    <w:p w14:paraId="6D598A13" w14:textId="74EC1619" w:rsidR="00F6601F" w:rsidRDefault="006A0806" w:rsidP="00DD07C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amount of the "prescribed part" is calculated by reference to the amount of the company's available </w:t>
      </w:r>
      <w:r w:rsidR="00F6601F" w:rsidRPr="00F6601F">
        <w:rPr>
          <w:rFonts w:ascii="Avenir Next" w:hAnsi="Avenir Next" w:cs="Arial"/>
          <w:color w:val="7B7B7B" w:themeColor="accent3" w:themeShade="BF"/>
          <w:sz w:val="22"/>
          <w:szCs w:val="22"/>
          <w:lang w:val="en-GB"/>
        </w:rPr>
        <w:t>net property</w:t>
      </w:r>
      <w:r>
        <w:rPr>
          <w:rFonts w:ascii="Avenir Next" w:hAnsi="Avenir Next" w:cs="Arial"/>
          <w:color w:val="7B7B7B" w:themeColor="accent3" w:themeShade="BF"/>
          <w:sz w:val="22"/>
          <w:szCs w:val="22"/>
          <w:lang w:val="en-GB"/>
        </w:rPr>
        <w:t>. If that</w:t>
      </w:r>
      <w:r w:rsidR="00F6601F" w:rsidRPr="00F6601F">
        <w:rPr>
          <w:rFonts w:ascii="Avenir Next" w:hAnsi="Avenir Next" w:cs="Arial"/>
          <w:color w:val="7B7B7B" w:themeColor="accent3" w:themeShade="BF"/>
          <w:sz w:val="22"/>
          <w:szCs w:val="22"/>
          <w:lang w:val="en-GB"/>
        </w:rPr>
        <w:t xml:space="preserve"> does not exceed GBP 10,000,</w:t>
      </w:r>
      <w:r>
        <w:rPr>
          <w:rFonts w:ascii="Avenir Next" w:hAnsi="Avenir Next" w:cs="Arial"/>
          <w:color w:val="7B7B7B" w:themeColor="accent3" w:themeShade="BF"/>
          <w:sz w:val="22"/>
          <w:szCs w:val="22"/>
          <w:lang w:val="en-GB"/>
        </w:rPr>
        <w:t xml:space="preserve"> then</w:t>
      </w:r>
      <w:r w:rsidR="00F6601F" w:rsidRPr="00F6601F">
        <w:rPr>
          <w:rFonts w:ascii="Avenir Next" w:hAnsi="Avenir Next" w:cs="Arial"/>
          <w:color w:val="7B7B7B" w:themeColor="accent3" w:themeShade="BF"/>
          <w:sz w:val="22"/>
          <w:szCs w:val="22"/>
          <w:lang w:val="en-GB"/>
        </w:rPr>
        <w:t xml:space="preserve"> the prescribed part is 50% of</w:t>
      </w:r>
      <w:r w:rsidR="009A0D5B">
        <w:rPr>
          <w:rFonts w:ascii="Avenir Next" w:hAnsi="Avenir Next" w:cs="Arial"/>
          <w:color w:val="7B7B7B" w:themeColor="accent3" w:themeShade="BF"/>
          <w:sz w:val="22"/>
          <w:szCs w:val="22"/>
          <w:lang w:val="en-GB"/>
        </w:rPr>
        <w:t xml:space="preserve"> </w:t>
      </w:r>
      <w:r w:rsidR="00F6601F" w:rsidRPr="00F6601F">
        <w:rPr>
          <w:rFonts w:ascii="Avenir Next" w:hAnsi="Avenir Next" w:cs="Arial"/>
          <w:color w:val="7B7B7B" w:themeColor="accent3" w:themeShade="BF"/>
          <w:sz w:val="22"/>
          <w:szCs w:val="22"/>
          <w:lang w:val="en-GB"/>
        </w:rPr>
        <w:t xml:space="preserve">that property. However, </w:t>
      </w:r>
      <w:r w:rsidR="00DD07C2">
        <w:rPr>
          <w:rFonts w:ascii="Avenir Next" w:hAnsi="Avenir Next" w:cs="Arial"/>
          <w:color w:val="7B7B7B" w:themeColor="accent3" w:themeShade="BF"/>
          <w:sz w:val="22"/>
          <w:szCs w:val="22"/>
          <w:lang w:val="en-GB"/>
        </w:rPr>
        <w:t xml:space="preserve">the liquidator retains some discretion </w:t>
      </w:r>
      <w:r>
        <w:rPr>
          <w:rFonts w:ascii="Avenir Next" w:hAnsi="Avenir Next" w:cs="Arial"/>
          <w:color w:val="7B7B7B" w:themeColor="accent3" w:themeShade="BF"/>
          <w:sz w:val="22"/>
          <w:szCs w:val="22"/>
          <w:lang w:val="en-GB"/>
        </w:rPr>
        <w:t>if the company's net property is less than</w:t>
      </w:r>
      <w:r w:rsidR="00F6601F" w:rsidRPr="00F6601F">
        <w:rPr>
          <w:rFonts w:ascii="Avenir Next" w:hAnsi="Avenir Next" w:cs="Arial"/>
          <w:color w:val="7B7B7B" w:themeColor="accent3" w:themeShade="BF"/>
          <w:sz w:val="22"/>
          <w:szCs w:val="22"/>
          <w:lang w:val="en-GB"/>
        </w:rPr>
        <w:t xml:space="preserve"> GBP 10,000 and </w:t>
      </w:r>
      <w:r w:rsidR="00DD07C2">
        <w:rPr>
          <w:rFonts w:ascii="Avenir Next" w:hAnsi="Avenir Next" w:cs="Arial"/>
          <w:color w:val="7B7B7B" w:themeColor="accent3" w:themeShade="BF"/>
          <w:sz w:val="22"/>
          <w:szCs w:val="22"/>
          <w:lang w:val="en-GB"/>
        </w:rPr>
        <w:t>may decide not to make the distribution of the prescribed part if they consider</w:t>
      </w:r>
      <w:r w:rsidR="00F6601F" w:rsidRPr="00F6601F">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that</w:t>
      </w:r>
      <w:r w:rsidR="00F6601F" w:rsidRPr="00F6601F">
        <w:rPr>
          <w:rFonts w:ascii="Avenir Next" w:hAnsi="Avenir Next" w:cs="Arial"/>
          <w:color w:val="7B7B7B" w:themeColor="accent3" w:themeShade="BF"/>
          <w:sz w:val="22"/>
          <w:szCs w:val="22"/>
          <w:lang w:val="en-GB"/>
        </w:rPr>
        <w:t xml:space="preserve"> </w:t>
      </w:r>
      <w:r w:rsidR="00DD07C2">
        <w:rPr>
          <w:rFonts w:ascii="Avenir Next" w:hAnsi="Avenir Next" w:cs="Arial"/>
          <w:color w:val="7B7B7B" w:themeColor="accent3" w:themeShade="BF"/>
          <w:sz w:val="22"/>
          <w:szCs w:val="22"/>
          <w:lang w:val="en-GB"/>
        </w:rPr>
        <w:t xml:space="preserve">the distribution to unsecured creditors (over floating charge holders) </w:t>
      </w:r>
      <w:r w:rsidR="00F6601F" w:rsidRPr="00F6601F">
        <w:rPr>
          <w:rFonts w:ascii="Avenir Next" w:hAnsi="Avenir Next" w:cs="Arial"/>
          <w:color w:val="7B7B7B" w:themeColor="accent3" w:themeShade="BF"/>
          <w:sz w:val="22"/>
          <w:szCs w:val="22"/>
          <w:lang w:val="en-GB"/>
        </w:rPr>
        <w:t>would be disproportionate to the benefits</w:t>
      </w:r>
      <w:r w:rsidR="00DD07C2">
        <w:rPr>
          <w:rFonts w:ascii="Avenir Next" w:hAnsi="Avenir Next" w:cs="Arial"/>
          <w:color w:val="7B7B7B" w:themeColor="accent3" w:themeShade="BF"/>
          <w:sz w:val="22"/>
          <w:szCs w:val="22"/>
          <w:lang w:val="en-GB"/>
        </w:rPr>
        <w:t>.</w:t>
      </w:r>
      <w:r w:rsidR="00DD07C2">
        <w:rPr>
          <w:rStyle w:val="FootnoteReference"/>
          <w:rFonts w:ascii="Avenir Next" w:hAnsi="Avenir Next" w:cs="Arial"/>
          <w:color w:val="7B7B7B" w:themeColor="accent3" w:themeShade="BF"/>
          <w:sz w:val="22"/>
          <w:szCs w:val="22"/>
          <w:lang w:val="en-GB"/>
        </w:rPr>
        <w:footnoteReference w:id="16"/>
      </w:r>
      <w:r w:rsidR="00DD07C2">
        <w:rPr>
          <w:rFonts w:ascii="Avenir Next" w:hAnsi="Avenir Next" w:cs="Arial"/>
          <w:color w:val="7B7B7B" w:themeColor="accent3" w:themeShade="BF"/>
          <w:sz w:val="22"/>
          <w:szCs w:val="22"/>
          <w:lang w:val="en-GB"/>
        </w:rPr>
        <w:t xml:space="preserve"> On the other hand, if the </w:t>
      </w:r>
      <w:r w:rsidR="00F6601F" w:rsidRPr="00F6601F">
        <w:rPr>
          <w:rFonts w:ascii="Avenir Next" w:hAnsi="Avenir Next" w:cs="Arial"/>
          <w:color w:val="7B7B7B" w:themeColor="accent3" w:themeShade="BF"/>
          <w:sz w:val="22"/>
          <w:szCs w:val="22"/>
          <w:lang w:val="en-GB"/>
        </w:rPr>
        <w:t xml:space="preserve">company’s net property exceeds GBP 10,000, the prescribed </w:t>
      </w:r>
      <w:r w:rsidR="00F6601F" w:rsidRPr="00F6601F">
        <w:rPr>
          <w:rFonts w:ascii="Avenir Next" w:hAnsi="Avenir Next" w:cs="Arial"/>
          <w:color w:val="7B7B7B" w:themeColor="accent3" w:themeShade="BF"/>
          <w:sz w:val="22"/>
          <w:szCs w:val="22"/>
          <w:lang w:val="en-GB"/>
        </w:rPr>
        <w:lastRenderedPageBreak/>
        <w:t>part is the sum of 50%</w:t>
      </w:r>
      <w:r w:rsidR="00DD07C2">
        <w:rPr>
          <w:rFonts w:ascii="Avenir Next" w:hAnsi="Avenir Next" w:cs="Arial"/>
          <w:color w:val="7B7B7B" w:themeColor="accent3" w:themeShade="BF"/>
          <w:sz w:val="22"/>
          <w:szCs w:val="22"/>
          <w:lang w:val="en-GB"/>
        </w:rPr>
        <w:t xml:space="preserve"> </w:t>
      </w:r>
      <w:r w:rsidR="00F6601F" w:rsidRPr="00F6601F">
        <w:rPr>
          <w:rFonts w:ascii="Avenir Next" w:hAnsi="Avenir Next" w:cs="Arial"/>
          <w:color w:val="7B7B7B" w:themeColor="accent3" w:themeShade="BF"/>
          <w:sz w:val="22"/>
          <w:szCs w:val="22"/>
          <w:lang w:val="en-GB"/>
        </w:rPr>
        <w:t xml:space="preserve">of the first GBP 10,000 in value, plus 20% of the excess in value above the GBP 10,000, </w:t>
      </w:r>
      <w:r w:rsidR="00DD07C2">
        <w:rPr>
          <w:rFonts w:ascii="Avenir Next" w:hAnsi="Avenir Next" w:cs="Arial"/>
          <w:color w:val="7B7B7B" w:themeColor="accent3" w:themeShade="BF"/>
          <w:sz w:val="22"/>
          <w:szCs w:val="22"/>
          <w:lang w:val="en-GB"/>
        </w:rPr>
        <w:t>up to a</w:t>
      </w:r>
      <w:r w:rsidR="00F6601F" w:rsidRPr="00F6601F">
        <w:rPr>
          <w:rFonts w:ascii="Avenir Next" w:hAnsi="Avenir Next" w:cs="Arial"/>
          <w:color w:val="7B7B7B" w:themeColor="accent3" w:themeShade="BF"/>
          <w:sz w:val="22"/>
          <w:szCs w:val="22"/>
          <w:lang w:val="en-GB"/>
        </w:rPr>
        <w:t xml:space="preserve"> maximum amount of GBP 800,000.</w:t>
      </w:r>
      <w:r w:rsidR="00DD07C2">
        <w:rPr>
          <w:rStyle w:val="FootnoteReference"/>
          <w:rFonts w:ascii="Avenir Next" w:hAnsi="Avenir Next" w:cs="Arial"/>
          <w:color w:val="7B7B7B" w:themeColor="accent3" w:themeShade="BF"/>
          <w:sz w:val="22"/>
          <w:szCs w:val="22"/>
          <w:lang w:val="en-GB"/>
        </w:rPr>
        <w:footnoteReference w:id="17"/>
      </w:r>
      <w:r w:rsidR="00DD07C2">
        <w:rPr>
          <w:rFonts w:ascii="Avenir Next" w:hAnsi="Avenir Next" w:cs="Arial"/>
          <w:color w:val="7B7B7B" w:themeColor="accent3" w:themeShade="BF"/>
          <w:sz w:val="22"/>
          <w:szCs w:val="22"/>
          <w:lang w:val="en-GB"/>
        </w:rPr>
        <w:t xml:space="preserve"> </w:t>
      </w:r>
    </w:p>
    <w:p w14:paraId="30CD9F0C" w14:textId="77777777" w:rsidR="00DD07C2" w:rsidRDefault="00DD07C2" w:rsidP="00DD07C2">
      <w:pPr>
        <w:jc w:val="both"/>
        <w:rPr>
          <w:rFonts w:ascii="Avenir Next" w:hAnsi="Avenir Next" w:cs="Arial"/>
          <w:color w:val="7B7B7B" w:themeColor="accent3" w:themeShade="BF"/>
          <w:sz w:val="22"/>
          <w:szCs w:val="22"/>
          <w:lang w:val="en-GB"/>
        </w:rPr>
      </w:pPr>
    </w:p>
    <w:p w14:paraId="015EEB52" w14:textId="3B287875" w:rsidR="00DD07C2" w:rsidRDefault="00DD07C2" w:rsidP="00F6601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Following the High Court of England and Wales decision in </w:t>
      </w:r>
      <w:proofErr w:type="spellStart"/>
      <w:r w:rsidRPr="00DD07C2">
        <w:rPr>
          <w:rFonts w:ascii="Avenir Next" w:hAnsi="Avenir Next" w:cs="Arial"/>
          <w:i/>
          <w:iCs/>
          <w:color w:val="7B7B7B" w:themeColor="accent3" w:themeShade="BF"/>
          <w:sz w:val="22"/>
          <w:szCs w:val="22"/>
          <w:lang w:val="en-GB"/>
        </w:rPr>
        <w:t>Thorniley</w:t>
      </w:r>
      <w:proofErr w:type="spellEnd"/>
      <w:r w:rsidRPr="00DD07C2">
        <w:rPr>
          <w:rFonts w:ascii="Avenir Next" w:hAnsi="Avenir Next" w:cs="Arial"/>
          <w:i/>
          <w:iCs/>
          <w:color w:val="7B7B7B" w:themeColor="accent3" w:themeShade="BF"/>
          <w:sz w:val="22"/>
          <w:szCs w:val="22"/>
          <w:lang w:val="en-GB"/>
        </w:rPr>
        <w:t xml:space="preserve"> v Harris</w:t>
      </w:r>
      <w:r w:rsidRPr="00DD07C2">
        <w:rPr>
          <w:rFonts w:ascii="Avenir Next" w:hAnsi="Avenir Next" w:cs="Arial"/>
          <w:color w:val="7B7B7B" w:themeColor="accent3" w:themeShade="BF"/>
          <w:sz w:val="22"/>
          <w:szCs w:val="22"/>
          <w:lang w:val="en-GB"/>
        </w:rPr>
        <w:t xml:space="preserve"> [2008] EWHC 124 (Ch)</w:t>
      </w:r>
      <w:r>
        <w:rPr>
          <w:rFonts w:ascii="Avenir Next" w:hAnsi="Avenir Next" w:cs="Arial"/>
          <w:color w:val="7B7B7B" w:themeColor="accent3" w:themeShade="BF"/>
          <w:sz w:val="22"/>
          <w:szCs w:val="22"/>
          <w:lang w:val="en-GB"/>
        </w:rPr>
        <w:t xml:space="preserve">, floating charge holders who </w:t>
      </w:r>
      <w:r w:rsidR="00F6601F" w:rsidRPr="00F6601F">
        <w:rPr>
          <w:rFonts w:ascii="Avenir Next" w:hAnsi="Avenir Next" w:cs="Arial"/>
          <w:color w:val="7B7B7B" w:themeColor="accent3" w:themeShade="BF"/>
          <w:sz w:val="22"/>
          <w:szCs w:val="22"/>
          <w:lang w:val="en-GB"/>
        </w:rPr>
        <w:t>have an outstanding</w:t>
      </w:r>
      <w:r>
        <w:rPr>
          <w:rFonts w:ascii="Avenir Next" w:hAnsi="Avenir Next" w:cs="Arial"/>
          <w:color w:val="7B7B7B" w:themeColor="accent3" w:themeShade="BF"/>
          <w:sz w:val="22"/>
          <w:szCs w:val="22"/>
          <w:lang w:val="en-GB"/>
        </w:rPr>
        <w:t xml:space="preserve"> </w:t>
      </w:r>
      <w:r w:rsidR="00F6601F" w:rsidRPr="00F6601F">
        <w:rPr>
          <w:rFonts w:ascii="Avenir Next" w:hAnsi="Avenir Next" w:cs="Arial"/>
          <w:color w:val="7B7B7B" w:themeColor="accent3" w:themeShade="BF"/>
          <w:sz w:val="22"/>
          <w:szCs w:val="22"/>
          <w:lang w:val="en-GB"/>
        </w:rPr>
        <w:t xml:space="preserve">unsecured balance owing to </w:t>
      </w:r>
      <w:r>
        <w:rPr>
          <w:rFonts w:ascii="Avenir Next" w:hAnsi="Avenir Next" w:cs="Arial"/>
          <w:color w:val="7B7B7B" w:themeColor="accent3" w:themeShade="BF"/>
          <w:sz w:val="22"/>
          <w:szCs w:val="22"/>
          <w:lang w:val="en-GB"/>
        </w:rPr>
        <w:t>them are prohibited from participating in the</w:t>
      </w:r>
      <w:r w:rsidR="00F6601F" w:rsidRPr="00F6601F">
        <w:rPr>
          <w:rFonts w:ascii="Avenir Next" w:hAnsi="Avenir Next" w:cs="Arial"/>
          <w:color w:val="7B7B7B" w:themeColor="accent3" w:themeShade="BF"/>
          <w:sz w:val="22"/>
          <w:szCs w:val="22"/>
          <w:lang w:val="en-GB"/>
        </w:rPr>
        <w:t xml:space="preserve"> distribution of the</w:t>
      </w:r>
      <w:r>
        <w:rPr>
          <w:rFonts w:ascii="Avenir Next" w:hAnsi="Avenir Next" w:cs="Arial"/>
          <w:color w:val="7B7B7B" w:themeColor="accent3" w:themeShade="BF"/>
          <w:sz w:val="22"/>
          <w:szCs w:val="22"/>
          <w:lang w:val="en-GB"/>
        </w:rPr>
        <w:t xml:space="preserve"> </w:t>
      </w:r>
      <w:r w:rsidR="00F6601F" w:rsidRPr="00F6601F">
        <w:rPr>
          <w:rFonts w:ascii="Avenir Next" w:hAnsi="Avenir Next" w:cs="Arial"/>
          <w:color w:val="7B7B7B" w:themeColor="accent3" w:themeShade="BF"/>
          <w:sz w:val="22"/>
          <w:szCs w:val="22"/>
          <w:lang w:val="en-GB"/>
        </w:rPr>
        <w:t>prescribed part.</w:t>
      </w:r>
      <w:r>
        <w:rPr>
          <w:rFonts w:ascii="Avenir Next" w:hAnsi="Avenir Next" w:cs="Arial"/>
          <w:color w:val="7B7B7B" w:themeColor="accent3" w:themeShade="BF"/>
          <w:sz w:val="22"/>
          <w:szCs w:val="22"/>
          <w:lang w:val="en-GB"/>
        </w:rPr>
        <w:t xml:space="preserve"> This decision and section 176A of the IA demonstrates the UK's desire to protect unsecured creditors to some extent and to ensure that floating charges are not used to complete detriment of unsecured creditors in a liquidation context. </w:t>
      </w:r>
    </w:p>
    <w:p w14:paraId="3E121442" w14:textId="77777777" w:rsidR="00DD07C2" w:rsidRDefault="00DD07C2" w:rsidP="00F6601F">
      <w:pPr>
        <w:jc w:val="both"/>
        <w:rPr>
          <w:rFonts w:ascii="Avenir Next" w:hAnsi="Avenir Next" w:cs="Arial"/>
          <w:color w:val="7B7B7B" w:themeColor="accent3" w:themeShade="BF"/>
          <w:sz w:val="22"/>
          <w:szCs w:val="22"/>
          <w:lang w:val="en-GB"/>
        </w:rPr>
      </w:pPr>
    </w:p>
    <w:p w14:paraId="52FF85C5" w14:textId="7CB28D5D" w:rsidR="00DD07C2" w:rsidRPr="00DD07C2" w:rsidRDefault="00DD07C2" w:rsidP="00F6601F">
      <w:pPr>
        <w:jc w:val="both"/>
        <w:rPr>
          <w:rFonts w:ascii="Avenir Next" w:hAnsi="Avenir Next" w:cs="Arial"/>
          <w:color w:val="7B7B7B" w:themeColor="accent3" w:themeShade="BF"/>
          <w:sz w:val="22"/>
          <w:szCs w:val="22"/>
          <w:u w:val="single"/>
          <w:lang w:val="en-GB"/>
        </w:rPr>
      </w:pPr>
      <w:r w:rsidRPr="00DD07C2">
        <w:rPr>
          <w:rFonts w:ascii="Avenir Next" w:hAnsi="Avenir Next" w:cs="Arial"/>
          <w:color w:val="7B7B7B" w:themeColor="accent3" w:themeShade="BF"/>
          <w:sz w:val="22"/>
          <w:szCs w:val="22"/>
          <w:u w:val="single"/>
          <w:lang w:val="en-GB"/>
        </w:rPr>
        <w:t>Unsecured creditors</w:t>
      </w:r>
    </w:p>
    <w:p w14:paraId="4905986E" w14:textId="77777777" w:rsidR="00F6601F" w:rsidRDefault="00F6601F" w:rsidP="00F6601F">
      <w:pPr>
        <w:jc w:val="both"/>
        <w:rPr>
          <w:rFonts w:ascii="Avenir Next" w:hAnsi="Avenir Next" w:cs="Arial"/>
          <w:color w:val="7B7B7B" w:themeColor="accent3" w:themeShade="BF"/>
          <w:sz w:val="22"/>
          <w:szCs w:val="22"/>
          <w:lang w:val="en-GB"/>
        </w:rPr>
      </w:pPr>
    </w:p>
    <w:p w14:paraId="0A087D1F" w14:textId="3470A413" w:rsidR="00F6601F" w:rsidRDefault="00DD07C2" w:rsidP="00F6601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Fourth in priority are unsecured creditors who are typically </w:t>
      </w:r>
      <w:r w:rsidR="00F6601F" w:rsidRPr="00F6601F">
        <w:rPr>
          <w:rFonts w:ascii="Avenir Next" w:hAnsi="Avenir Next" w:cs="Arial"/>
          <w:color w:val="7B7B7B" w:themeColor="accent3" w:themeShade="BF"/>
          <w:sz w:val="22"/>
          <w:szCs w:val="22"/>
          <w:lang w:val="en-GB"/>
        </w:rPr>
        <w:t>ordinary trade creditors</w:t>
      </w:r>
      <w:r>
        <w:rPr>
          <w:rFonts w:ascii="Avenir Next" w:hAnsi="Avenir Next" w:cs="Arial"/>
          <w:color w:val="7B7B7B" w:themeColor="accent3" w:themeShade="BF"/>
          <w:sz w:val="22"/>
          <w:szCs w:val="22"/>
          <w:lang w:val="en-GB"/>
        </w:rPr>
        <w:t xml:space="preserve">. It is not uncommon that after </w:t>
      </w:r>
      <w:r w:rsidR="00F6601F" w:rsidRPr="00F6601F">
        <w:rPr>
          <w:rFonts w:ascii="Avenir Next" w:hAnsi="Avenir Next" w:cs="Arial"/>
          <w:color w:val="7B7B7B" w:themeColor="accent3" w:themeShade="BF"/>
          <w:sz w:val="22"/>
          <w:szCs w:val="22"/>
          <w:lang w:val="en-GB"/>
        </w:rPr>
        <w:t>the</w:t>
      </w:r>
      <w:r w:rsidR="003F26D5">
        <w:rPr>
          <w:rFonts w:ascii="Avenir Next" w:hAnsi="Avenir Next" w:cs="Arial"/>
          <w:color w:val="7B7B7B" w:themeColor="accent3" w:themeShade="BF"/>
          <w:sz w:val="22"/>
          <w:szCs w:val="22"/>
          <w:lang w:val="en-GB"/>
        </w:rPr>
        <w:t xml:space="preserve"> liquidation</w:t>
      </w:r>
      <w:r w:rsidR="00F6601F" w:rsidRPr="00F6601F">
        <w:rPr>
          <w:rFonts w:ascii="Avenir Next" w:hAnsi="Avenir Next" w:cs="Arial"/>
          <w:color w:val="7B7B7B" w:themeColor="accent3" w:themeShade="BF"/>
          <w:sz w:val="22"/>
          <w:szCs w:val="22"/>
          <w:lang w:val="en-GB"/>
        </w:rPr>
        <w:t xml:space="preserve"> expenses and distributions to secured and preferential creditors</w:t>
      </w:r>
      <w:r w:rsidR="003F26D5">
        <w:rPr>
          <w:rFonts w:ascii="Avenir Next" w:hAnsi="Avenir Next" w:cs="Arial"/>
          <w:color w:val="7B7B7B" w:themeColor="accent3" w:themeShade="BF"/>
          <w:sz w:val="22"/>
          <w:szCs w:val="22"/>
          <w:lang w:val="en-GB"/>
        </w:rPr>
        <w:t xml:space="preserve"> that </w:t>
      </w:r>
      <w:r w:rsidR="00F6601F" w:rsidRPr="00F6601F">
        <w:rPr>
          <w:rFonts w:ascii="Avenir Next" w:hAnsi="Avenir Next" w:cs="Arial"/>
          <w:color w:val="7B7B7B" w:themeColor="accent3" w:themeShade="BF"/>
          <w:sz w:val="22"/>
          <w:szCs w:val="22"/>
          <w:lang w:val="en-GB"/>
        </w:rPr>
        <w:t xml:space="preserve">there is </w:t>
      </w:r>
      <w:r w:rsidR="003F26D5" w:rsidRPr="00F6601F">
        <w:rPr>
          <w:rFonts w:ascii="Avenir Next" w:hAnsi="Avenir Next" w:cs="Arial"/>
          <w:color w:val="7B7B7B" w:themeColor="accent3" w:themeShade="BF"/>
          <w:sz w:val="22"/>
          <w:szCs w:val="22"/>
          <w:lang w:val="en-GB"/>
        </w:rPr>
        <w:t>little,</w:t>
      </w:r>
      <w:r w:rsidR="00F6601F" w:rsidRPr="00F6601F">
        <w:rPr>
          <w:rFonts w:ascii="Avenir Next" w:hAnsi="Avenir Next" w:cs="Arial"/>
          <w:color w:val="7B7B7B" w:themeColor="accent3" w:themeShade="BF"/>
          <w:sz w:val="22"/>
          <w:szCs w:val="22"/>
          <w:lang w:val="en-GB"/>
        </w:rPr>
        <w:t xml:space="preserve"> or nothing left </w:t>
      </w:r>
      <w:r w:rsidR="003F26D5">
        <w:rPr>
          <w:rFonts w:ascii="Avenir Next" w:hAnsi="Avenir Next" w:cs="Arial"/>
          <w:color w:val="7B7B7B" w:themeColor="accent3" w:themeShade="BF"/>
          <w:sz w:val="22"/>
          <w:szCs w:val="22"/>
          <w:lang w:val="en-GB"/>
        </w:rPr>
        <w:t xml:space="preserve">for </w:t>
      </w:r>
      <w:r w:rsidR="00F6601F" w:rsidRPr="00F6601F">
        <w:rPr>
          <w:rFonts w:ascii="Avenir Next" w:hAnsi="Avenir Next" w:cs="Arial"/>
          <w:color w:val="7B7B7B" w:themeColor="accent3" w:themeShade="BF"/>
          <w:sz w:val="22"/>
          <w:szCs w:val="22"/>
          <w:lang w:val="en-GB"/>
        </w:rPr>
        <w:t>unsecured creditors.</w:t>
      </w:r>
      <w:r w:rsidR="003F26D5">
        <w:rPr>
          <w:rStyle w:val="FootnoteReference"/>
          <w:rFonts w:ascii="Avenir Next" w:hAnsi="Avenir Next" w:cs="Arial"/>
          <w:color w:val="7B7B7B" w:themeColor="accent3" w:themeShade="BF"/>
          <w:sz w:val="22"/>
          <w:szCs w:val="22"/>
          <w:lang w:val="en-GB"/>
        </w:rPr>
        <w:footnoteReference w:id="18"/>
      </w:r>
      <w:r w:rsidR="003F26D5">
        <w:rPr>
          <w:rFonts w:ascii="Avenir Next" w:hAnsi="Avenir Next" w:cs="Arial"/>
          <w:color w:val="7B7B7B" w:themeColor="accent3" w:themeShade="BF"/>
          <w:sz w:val="22"/>
          <w:szCs w:val="22"/>
          <w:lang w:val="en-GB"/>
        </w:rPr>
        <w:t xml:space="preserve"> This reality also reinforces the importance of rationale behind section 176A of the IA as described above which does require the liquidator to reserve some funds for unsecured creditors over floating charge holders if certain conditions are met. </w:t>
      </w:r>
    </w:p>
    <w:p w14:paraId="6D90F1BF" w14:textId="77777777" w:rsidR="003F26D5" w:rsidRDefault="003F26D5" w:rsidP="00F6601F">
      <w:pPr>
        <w:jc w:val="both"/>
        <w:rPr>
          <w:rFonts w:ascii="Avenir Next" w:hAnsi="Avenir Next" w:cs="Arial"/>
          <w:color w:val="7B7B7B" w:themeColor="accent3" w:themeShade="BF"/>
          <w:sz w:val="22"/>
          <w:szCs w:val="22"/>
          <w:lang w:val="en-GB"/>
        </w:rPr>
      </w:pPr>
    </w:p>
    <w:p w14:paraId="7B96F10E" w14:textId="396AE153" w:rsidR="003F26D5" w:rsidRDefault="003F26D5" w:rsidP="00F6601F">
      <w:pPr>
        <w:jc w:val="both"/>
        <w:rPr>
          <w:rFonts w:ascii="Avenir Next" w:hAnsi="Avenir Next" w:cs="Arial"/>
          <w:color w:val="7B7B7B" w:themeColor="accent3" w:themeShade="BF"/>
          <w:sz w:val="22"/>
          <w:szCs w:val="22"/>
          <w:u w:val="single"/>
          <w:lang w:val="en-GB"/>
        </w:rPr>
      </w:pPr>
      <w:r w:rsidRPr="003F26D5">
        <w:rPr>
          <w:rFonts w:ascii="Avenir Next" w:hAnsi="Avenir Next" w:cs="Arial"/>
          <w:color w:val="7B7B7B" w:themeColor="accent3" w:themeShade="BF"/>
          <w:sz w:val="22"/>
          <w:szCs w:val="22"/>
          <w:u w:val="single"/>
          <w:lang w:val="en-GB"/>
        </w:rPr>
        <w:t>Shareholders</w:t>
      </w:r>
    </w:p>
    <w:p w14:paraId="0FFB130D" w14:textId="77777777" w:rsidR="003F26D5" w:rsidRPr="003F26D5" w:rsidRDefault="003F26D5" w:rsidP="00F6601F">
      <w:pPr>
        <w:jc w:val="both"/>
        <w:rPr>
          <w:rFonts w:ascii="Avenir Next" w:hAnsi="Avenir Next" w:cs="Arial"/>
          <w:color w:val="7B7B7B" w:themeColor="accent3" w:themeShade="BF"/>
          <w:sz w:val="22"/>
          <w:szCs w:val="22"/>
          <w:u w:val="single"/>
          <w:lang w:val="en-GB"/>
        </w:rPr>
      </w:pPr>
    </w:p>
    <w:p w14:paraId="30BCD2A0" w14:textId="73DFF74A" w:rsidR="00F6601F" w:rsidRDefault="003F26D5" w:rsidP="00F6601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Fifth in priority are shareholders, however, a distribution to shareholders will only occur if </w:t>
      </w:r>
      <w:r w:rsidR="00F6601F" w:rsidRPr="00F6601F">
        <w:rPr>
          <w:rFonts w:ascii="Avenir Next" w:hAnsi="Avenir Next" w:cs="Arial"/>
          <w:color w:val="7B7B7B" w:themeColor="accent3" w:themeShade="BF"/>
          <w:sz w:val="22"/>
          <w:szCs w:val="22"/>
          <w:lang w:val="en-GB"/>
        </w:rPr>
        <w:t>there are sufficient funds to pay all the creditors (and interest on their debts)</w:t>
      </w:r>
      <w:r>
        <w:rPr>
          <w:rFonts w:ascii="Avenir Next" w:hAnsi="Avenir Next" w:cs="Arial"/>
          <w:color w:val="7B7B7B" w:themeColor="accent3" w:themeShade="BF"/>
          <w:sz w:val="22"/>
          <w:szCs w:val="22"/>
          <w:lang w:val="en-GB"/>
        </w:rPr>
        <w:t xml:space="preserve">. Any payment to shareholders will be made in accordance with </w:t>
      </w:r>
      <w:r w:rsidR="00F6601F" w:rsidRPr="00F6601F">
        <w:rPr>
          <w:rFonts w:ascii="Avenir Next" w:hAnsi="Avenir Next" w:cs="Arial"/>
          <w:color w:val="7B7B7B" w:themeColor="accent3" w:themeShade="BF"/>
          <w:sz w:val="22"/>
          <w:szCs w:val="22"/>
          <w:lang w:val="en-GB"/>
        </w:rPr>
        <w:t xml:space="preserve">the company’s constitution, which </w:t>
      </w:r>
      <w:r>
        <w:rPr>
          <w:rFonts w:ascii="Avenir Next" w:hAnsi="Avenir Next" w:cs="Arial"/>
          <w:color w:val="7B7B7B" w:themeColor="accent3" w:themeShade="BF"/>
          <w:sz w:val="22"/>
          <w:szCs w:val="22"/>
          <w:lang w:val="en-GB"/>
        </w:rPr>
        <w:t>typically will allow for</w:t>
      </w:r>
      <w:r w:rsidR="00F6601F" w:rsidRPr="00F6601F">
        <w:rPr>
          <w:rFonts w:ascii="Avenir Next" w:hAnsi="Avenir Next" w:cs="Arial"/>
          <w:color w:val="7B7B7B" w:themeColor="accent3" w:themeShade="BF"/>
          <w:sz w:val="22"/>
          <w:szCs w:val="22"/>
          <w:lang w:val="en-GB"/>
        </w:rPr>
        <w:t xml:space="preserve"> a distribution pro rata</w:t>
      </w:r>
      <w:r w:rsidR="009A0D5B">
        <w:rPr>
          <w:rFonts w:ascii="Avenir Next" w:hAnsi="Avenir Next" w:cs="Arial"/>
          <w:color w:val="7B7B7B" w:themeColor="accent3" w:themeShade="BF"/>
          <w:sz w:val="22"/>
          <w:szCs w:val="22"/>
          <w:lang w:val="en-GB"/>
        </w:rPr>
        <w:t xml:space="preserve"> as per</w:t>
      </w:r>
      <w:r w:rsidR="00F6601F" w:rsidRPr="00F6601F">
        <w:rPr>
          <w:rFonts w:ascii="Avenir Next" w:hAnsi="Avenir Next" w:cs="Arial"/>
          <w:color w:val="7B7B7B" w:themeColor="accent3" w:themeShade="BF"/>
          <w:sz w:val="22"/>
          <w:szCs w:val="22"/>
          <w:lang w:val="en-GB"/>
        </w:rPr>
        <w:t xml:space="preserve"> the shareholders’ </w:t>
      </w:r>
      <w:r w:rsidRPr="00F6601F">
        <w:rPr>
          <w:rFonts w:ascii="Avenir Next" w:hAnsi="Avenir Next" w:cs="Arial"/>
          <w:color w:val="7B7B7B" w:themeColor="accent3" w:themeShade="BF"/>
          <w:sz w:val="22"/>
          <w:szCs w:val="22"/>
          <w:lang w:val="en-GB"/>
        </w:rPr>
        <w:t>respective shareholding</w:t>
      </w:r>
      <w:r w:rsidR="00F6601F" w:rsidRPr="00F6601F">
        <w:rPr>
          <w:rFonts w:ascii="Avenir Next" w:hAnsi="Avenir Next" w:cs="Arial"/>
          <w:color w:val="7B7B7B" w:themeColor="accent3" w:themeShade="BF"/>
          <w:sz w:val="22"/>
          <w:szCs w:val="22"/>
          <w:lang w:val="en-GB"/>
        </w:rPr>
        <w:t>.</w:t>
      </w:r>
    </w:p>
    <w:p w14:paraId="640BA7C2" w14:textId="77777777" w:rsidR="003F26D5" w:rsidRDefault="003F26D5" w:rsidP="00F6601F">
      <w:pPr>
        <w:jc w:val="both"/>
        <w:rPr>
          <w:rFonts w:ascii="Avenir Next" w:hAnsi="Avenir Next" w:cs="Arial"/>
          <w:color w:val="7B7B7B" w:themeColor="accent3" w:themeShade="BF"/>
          <w:sz w:val="22"/>
          <w:szCs w:val="22"/>
          <w:lang w:val="en-GB"/>
        </w:rPr>
      </w:pPr>
    </w:p>
    <w:p w14:paraId="72D28FD6" w14:textId="05EF0C4E" w:rsidR="003F26D5" w:rsidRPr="003F26D5" w:rsidRDefault="003F26D5" w:rsidP="00F6601F">
      <w:pPr>
        <w:jc w:val="both"/>
        <w:rPr>
          <w:rFonts w:ascii="Avenir Next" w:hAnsi="Avenir Next" w:cs="Arial"/>
          <w:color w:val="7B7B7B" w:themeColor="accent3" w:themeShade="BF"/>
          <w:sz w:val="22"/>
          <w:szCs w:val="22"/>
          <w:u w:val="single"/>
          <w:lang w:val="en-GB"/>
        </w:rPr>
      </w:pPr>
      <w:r w:rsidRPr="003F26D5">
        <w:rPr>
          <w:rFonts w:ascii="Avenir Next" w:hAnsi="Avenir Next" w:cs="Arial"/>
          <w:color w:val="7B7B7B" w:themeColor="accent3" w:themeShade="BF"/>
          <w:sz w:val="22"/>
          <w:szCs w:val="22"/>
          <w:u w:val="single"/>
          <w:lang w:val="en-GB"/>
        </w:rPr>
        <w:t xml:space="preserve">Modification to the order of priorities </w:t>
      </w:r>
    </w:p>
    <w:p w14:paraId="50D7A406" w14:textId="77777777" w:rsidR="003F26D5" w:rsidRDefault="003F26D5" w:rsidP="00F6601F">
      <w:pPr>
        <w:jc w:val="both"/>
        <w:rPr>
          <w:rFonts w:ascii="Avenir Next" w:hAnsi="Avenir Next" w:cs="Arial"/>
          <w:color w:val="7B7B7B" w:themeColor="accent3" w:themeShade="BF"/>
          <w:sz w:val="22"/>
          <w:szCs w:val="22"/>
          <w:lang w:val="en-GB"/>
        </w:rPr>
      </w:pPr>
    </w:p>
    <w:p w14:paraId="08DED9B5" w14:textId="4E5501F7" w:rsidR="00F6601F" w:rsidRDefault="003F26D5" w:rsidP="00F6601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Although the order of priorities is well established, there are some ways in which it can be modified. Firstly, creditors may agree between themselves to </w:t>
      </w:r>
      <w:r w:rsidR="00F6601F" w:rsidRPr="00F6601F">
        <w:rPr>
          <w:rFonts w:ascii="Avenir Next" w:hAnsi="Avenir Next" w:cs="Arial"/>
          <w:color w:val="7B7B7B" w:themeColor="accent3" w:themeShade="BF"/>
          <w:sz w:val="22"/>
          <w:szCs w:val="22"/>
          <w:lang w:val="en-GB"/>
        </w:rPr>
        <w:t>vary their priority.</w:t>
      </w:r>
      <w:r>
        <w:rPr>
          <w:rFonts w:ascii="Avenir Next" w:hAnsi="Avenir Next" w:cs="Arial"/>
          <w:color w:val="7B7B7B" w:themeColor="accent3" w:themeShade="BF"/>
          <w:sz w:val="22"/>
          <w:szCs w:val="22"/>
          <w:lang w:val="en-GB"/>
        </w:rPr>
        <w:t xml:space="preserve"> This is known as a subordination agreement and such an agreement can provide that certain funds will only be advanced on the condition that a certain priority is assured. These </w:t>
      </w:r>
      <w:r w:rsidR="00F6601F" w:rsidRPr="00F6601F">
        <w:rPr>
          <w:rFonts w:ascii="Avenir Next" w:hAnsi="Avenir Next" w:cs="Arial"/>
          <w:color w:val="7B7B7B" w:themeColor="accent3" w:themeShade="BF"/>
          <w:sz w:val="22"/>
          <w:szCs w:val="22"/>
          <w:lang w:val="en-GB"/>
        </w:rPr>
        <w:t>agreement</w:t>
      </w:r>
      <w:r>
        <w:rPr>
          <w:rFonts w:ascii="Avenir Next" w:hAnsi="Avenir Next" w:cs="Arial"/>
          <w:color w:val="7B7B7B" w:themeColor="accent3" w:themeShade="BF"/>
          <w:sz w:val="22"/>
          <w:szCs w:val="22"/>
          <w:lang w:val="en-GB"/>
        </w:rPr>
        <w:t>s will be</w:t>
      </w:r>
      <w:r w:rsidR="00F6601F" w:rsidRPr="00F6601F">
        <w:rPr>
          <w:rFonts w:ascii="Avenir Next" w:hAnsi="Avenir Next" w:cs="Arial"/>
          <w:color w:val="7B7B7B" w:themeColor="accent3" w:themeShade="BF"/>
          <w:sz w:val="22"/>
          <w:szCs w:val="22"/>
          <w:lang w:val="en-GB"/>
        </w:rPr>
        <w:t xml:space="preserve"> valid as they do not affect the priority of other</w:t>
      </w:r>
      <w:r>
        <w:rPr>
          <w:rFonts w:ascii="Avenir Next" w:hAnsi="Avenir Next" w:cs="Arial"/>
          <w:color w:val="7B7B7B" w:themeColor="accent3" w:themeShade="BF"/>
          <w:sz w:val="22"/>
          <w:szCs w:val="22"/>
          <w:lang w:val="en-GB"/>
        </w:rPr>
        <w:t xml:space="preserve"> </w:t>
      </w:r>
      <w:r w:rsidR="00F6601F" w:rsidRPr="00F6601F">
        <w:rPr>
          <w:rFonts w:ascii="Avenir Next" w:hAnsi="Avenir Next" w:cs="Arial"/>
          <w:color w:val="7B7B7B" w:themeColor="accent3" w:themeShade="BF"/>
          <w:sz w:val="22"/>
          <w:szCs w:val="22"/>
          <w:lang w:val="en-GB"/>
        </w:rPr>
        <w:t xml:space="preserve">creditors. </w:t>
      </w:r>
    </w:p>
    <w:p w14:paraId="6768A39A" w14:textId="77777777" w:rsidR="003F26D5" w:rsidRDefault="003F26D5" w:rsidP="00F6601F">
      <w:pPr>
        <w:jc w:val="both"/>
        <w:rPr>
          <w:rFonts w:ascii="Avenir Next" w:hAnsi="Avenir Next" w:cs="Arial"/>
          <w:color w:val="7B7B7B" w:themeColor="accent3" w:themeShade="BF"/>
          <w:sz w:val="22"/>
          <w:szCs w:val="22"/>
          <w:lang w:val="en-GB"/>
        </w:rPr>
      </w:pPr>
    </w:p>
    <w:p w14:paraId="4C02CD80" w14:textId="5E926CEB" w:rsidR="00784EC9" w:rsidRDefault="003F26D5"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other main way that the order of priorities is modified is </w:t>
      </w:r>
      <w:r w:rsidR="00784EC9">
        <w:rPr>
          <w:rFonts w:ascii="Avenir Next" w:hAnsi="Avenir Next" w:cs="Arial"/>
          <w:color w:val="7B7B7B" w:themeColor="accent3" w:themeShade="BF"/>
          <w:sz w:val="22"/>
          <w:szCs w:val="22"/>
          <w:lang w:val="en-GB"/>
        </w:rPr>
        <w:t>due to the application of the m</w:t>
      </w:r>
      <w:r w:rsidR="00784EC9" w:rsidRPr="0033781E">
        <w:rPr>
          <w:rFonts w:ascii="Avenir Next" w:hAnsi="Avenir Next" w:cs="Arial"/>
          <w:color w:val="7B7B7B" w:themeColor="accent3" w:themeShade="BF"/>
          <w:sz w:val="22"/>
          <w:szCs w:val="22"/>
          <w:lang w:val="en-GB"/>
        </w:rPr>
        <w:t xml:space="preserve">oratorium under Part A1 of the </w:t>
      </w:r>
      <w:r w:rsidR="00784EC9">
        <w:rPr>
          <w:rFonts w:ascii="Avenir Next" w:hAnsi="Avenir Next" w:cs="Arial"/>
          <w:color w:val="7B7B7B" w:themeColor="accent3" w:themeShade="BF"/>
          <w:sz w:val="22"/>
          <w:szCs w:val="22"/>
          <w:lang w:val="en-GB"/>
        </w:rPr>
        <w:t xml:space="preserve">IA. </w:t>
      </w:r>
      <w:r w:rsidR="0064462B" w:rsidRPr="0064462B">
        <w:rPr>
          <w:rFonts w:ascii="Avenir Next" w:hAnsi="Avenir Next" w:cs="Arial"/>
          <w:color w:val="7B7B7B" w:themeColor="accent3" w:themeShade="BF"/>
          <w:sz w:val="22"/>
          <w:szCs w:val="22"/>
          <w:lang w:val="en-GB"/>
        </w:rPr>
        <w:t xml:space="preserve">The </w:t>
      </w:r>
      <w:r w:rsidR="00784EC9">
        <w:rPr>
          <w:rFonts w:ascii="Avenir Next" w:hAnsi="Avenir Next" w:cs="Arial"/>
          <w:color w:val="7B7B7B" w:themeColor="accent3" w:themeShade="BF"/>
          <w:sz w:val="22"/>
          <w:szCs w:val="22"/>
          <w:lang w:val="en-GB"/>
        </w:rPr>
        <w:t>m</w:t>
      </w:r>
      <w:r w:rsidR="0064462B" w:rsidRPr="0064462B">
        <w:rPr>
          <w:rFonts w:ascii="Avenir Next" w:hAnsi="Avenir Next" w:cs="Arial"/>
          <w:color w:val="7B7B7B" w:themeColor="accent3" w:themeShade="BF"/>
          <w:sz w:val="22"/>
          <w:szCs w:val="22"/>
          <w:lang w:val="en-GB"/>
        </w:rPr>
        <w:t>oratorium is a debtor-in-possession procedure</w:t>
      </w:r>
      <w:r w:rsidR="00784EC9">
        <w:rPr>
          <w:rFonts w:ascii="Avenir Next" w:hAnsi="Avenir Next" w:cs="Arial"/>
          <w:color w:val="7B7B7B" w:themeColor="accent3" w:themeShade="BF"/>
          <w:sz w:val="22"/>
          <w:szCs w:val="22"/>
          <w:lang w:val="en-GB"/>
        </w:rPr>
        <w:t>,</w:t>
      </w:r>
      <w:r w:rsidR="0064462B" w:rsidRPr="0064462B">
        <w:rPr>
          <w:rFonts w:ascii="Avenir Next" w:hAnsi="Avenir Next" w:cs="Arial"/>
          <w:color w:val="7B7B7B" w:themeColor="accent3" w:themeShade="BF"/>
          <w:sz w:val="22"/>
          <w:szCs w:val="22"/>
          <w:lang w:val="en-GB"/>
        </w:rPr>
        <w:t xml:space="preserve"> whereby the directors remain in control of the company, subject to the supervision of a monitor</w:t>
      </w:r>
      <w:r w:rsidR="00784EC9">
        <w:rPr>
          <w:rFonts w:ascii="Avenir Next" w:hAnsi="Avenir Next" w:cs="Arial"/>
          <w:color w:val="7B7B7B" w:themeColor="accent3" w:themeShade="BF"/>
          <w:sz w:val="22"/>
          <w:szCs w:val="22"/>
          <w:lang w:val="en-GB"/>
        </w:rPr>
        <w:t xml:space="preserve"> with the aim of </w:t>
      </w:r>
      <w:r w:rsidR="0064462B" w:rsidRPr="0064462B">
        <w:rPr>
          <w:rFonts w:ascii="Avenir Next" w:hAnsi="Avenir Next" w:cs="Arial"/>
          <w:color w:val="7B7B7B" w:themeColor="accent3" w:themeShade="BF"/>
          <w:sz w:val="22"/>
          <w:szCs w:val="22"/>
          <w:lang w:val="en-GB"/>
        </w:rPr>
        <w:t>resc</w:t>
      </w:r>
      <w:r w:rsidR="00784EC9">
        <w:rPr>
          <w:rFonts w:ascii="Avenir Next" w:hAnsi="Avenir Next" w:cs="Arial"/>
          <w:color w:val="7B7B7B" w:themeColor="accent3" w:themeShade="BF"/>
          <w:sz w:val="22"/>
          <w:szCs w:val="22"/>
          <w:lang w:val="en-GB"/>
        </w:rPr>
        <w:t>uing</w:t>
      </w:r>
      <w:r w:rsidR="0064462B" w:rsidRPr="0064462B">
        <w:rPr>
          <w:rFonts w:ascii="Avenir Next" w:hAnsi="Avenir Next" w:cs="Arial"/>
          <w:color w:val="7B7B7B" w:themeColor="accent3" w:themeShade="BF"/>
          <w:sz w:val="22"/>
          <w:szCs w:val="22"/>
          <w:lang w:val="en-GB"/>
        </w:rPr>
        <w:t xml:space="preserve"> the company as a going concern</w:t>
      </w:r>
      <w:r w:rsidR="00784EC9">
        <w:rPr>
          <w:rFonts w:ascii="Avenir Next" w:hAnsi="Avenir Next" w:cs="Arial"/>
          <w:color w:val="7B7B7B" w:themeColor="accent3" w:themeShade="BF"/>
          <w:sz w:val="22"/>
          <w:szCs w:val="22"/>
          <w:lang w:val="en-GB"/>
        </w:rPr>
        <w:t>.</w:t>
      </w:r>
      <w:r w:rsidR="00784EC9">
        <w:rPr>
          <w:rStyle w:val="FootnoteReference"/>
          <w:rFonts w:ascii="Avenir Next" w:hAnsi="Avenir Next" w:cs="Arial"/>
          <w:color w:val="7B7B7B" w:themeColor="accent3" w:themeShade="BF"/>
          <w:sz w:val="22"/>
          <w:szCs w:val="22"/>
          <w:lang w:val="en-GB"/>
        </w:rPr>
        <w:footnoteReference w:id="19"/>
      </w:r>
      <w:r w:rsidR="00784EC9">
        <w:rPr>
          <w:rFonts w:ascii="Avenir Next" w:hAnsi="Avenir Next" w:cs="Arial"/>
          <w:color w:val="7B7B7B" w:themeColor="accent3" w:themeShade="BF"/>
          <w:sz w:val="22"/>
          <w:szCs w:val="22"/>
          <w:lang w:val="en-GB"/>
        </w:rPr>
        <w:t xml:space="preserve"> However, if </w:t>
      </w:r>
      <w:r w:rsidR="0064462B" w:rsidRPr="0064462B">
        <w:rPr>
          <w:rFonts w:ascii="Avenir Next" w:hAnsi="Avenir Next" w:cs="Arial"/>
          <w:color w:val="7B7B7B" w:themeColor="accent3" w:themeShade="BF"/>
          <w:sz w:val="22"/>
          <w:szCs w:val="22"/>
          <w:lang w:val="en-GB"/>
        </w:rPr>
        <w:t xml:space="preserve">the company is not rescued as a going </w:t>
      </w:r>
      <w:r w:rsidR="0064462B" w:rsidRPr="00784EC9">
        <w:rPr>
          <w:rFonts w:ascii="Avenir Next" w:hAnsi="Avenir Next" w:cs="Arial"/>
          <w:color w:val="7B7B7B" w:themeColor="accent3" w:themeShade="BF"/>
          <w:sz w:val="22"/>
          <w:szCs w:val="22"/>
          <w:lang w:val="en-GB"/>
        </w:rPr>
        <w:t xml:space="preserve">concern </w:t>
      </w:r>
      <w:r w:rsidR="00784EC9">
        <w:rPr>
          <w:rFonts w:ascii="Avenir Next" w:hAnsi="Avenir Next" w:cs="Arial"/>
          <w:color w:val="7B7B7B" w:themeColor="accent3" w:themeShade="BF"/>
          <w:sz w:val="22"/>
          <w:szCs w:val="22"/>
          <w:lang w:val="en-GB"/>
        </w:rPr>
        <w:t xml:space="preserve">and rather </w:t>
      </w:r>
      <w:r w:rsidR="0064462B" w:rsidRPr="0064462B">
        <w:rPr>
          <w:rFonts w:ascii="Avenir Next" w:hAnsi="Avenir Next" w:cs="Arial"/>
          <w:color w:val="7B7B7B" w:themeColor="accent3" w:themeShade="BF"/>
          <w:sz w:val="22"/>
          <w:szCs w:val="22"/>
          <w:lang w:val="en-GB"/>
        </w:rPr>
        <w:t xml:space="preserve">enters administration or liquidation within 12 weeks of the end of the </w:t>
      </w:r>
      <w:r w:rsidR="00784EC9">
        <w:rPr>
          <w:rFonts w:ascii="Avenir Next" w:hAnsi="Avenir Next" w:cs="Arial"/>
          <w:color w:val="7B7B7B" w:themeColor="accent3" w:themeShade="BF"/>
          <w:sz w:val="22"/>
          <w:szCs w:val="22"/>
          <w:lang w:val="en-GB"/>
        </w:rPr>
        <w:t>m</w:t>
      </w:r>
      <w:r w:rsidR="0064462B" w:rsidRPr="0064462B">
        <w:rPr>
          <w:rFonts w:ascii="Avenir Next" w:hAnsi="Avenir Next" w:cs="Arial"/>
          <w:color w:val="7B7B7B" w:themeColor="accent3" w:themeShade="BF"/>
          <w:sz w:val="22"/>
          <w:szCs w:val="22"/>
          <w:lang w:val="en-GB"/>
        </w:rPr>
        <w:t>oratorium</w:t>
      </w:r>
      <w:r w:rsidR="00784EC9">
        <w:rPr>
          <w:rFonts w:ascii="Avenir Next" w:hAnsi="Avenir Next" w:cs="Arial"/>
          <w:color w:val="7B7B7B" w:themeColor="accent3" w:themeShade="BF"/>
          <w:sz w:val="22"/>
          <w:szCs w:val="22"/>
          <w:lang w:val="en-GB"/>
        </w:rPr>
        <w:t xml:space="preserve"> (initially 20 days but it can be extended)</w:t>
      </w:r>
      <w:r w:rsidR="0064462B" w:rsidRPr="0064462B">
        <w:rPr>
          <w:rFonts w:ascii="Avenir Next" w:hAnsi="Avenir Next" w:cs="Arial"/>
          <w:color w:val="7B7B7B" w:themeColor="accent3" w:themeShade="BF"/>
          <w:sz w:val="22"/>
          <w:szCs w:val="22"/>
          <w:lang w:val="en-GB"/>
        </w:rPr>
        <w:t>, the</w:t>
      </w:r>
      <w:r w:rsidR="00784EC9">
        <w:rPr>
          <w:rFonts w:ascii="Avenir Next" w:hAnsi="Avenir Next" w:cs="Arial"/>
          <w:color w:val="7B7B7B" w:themeColor="accent3" w:themeShade="BF"/>
          <w:sz w:val="22"/>
          <w:szCs w:val="22"/>
          <w:lang w:val="en-GB"/>
        </w:rPr>
        <w:t xml:space="preserve"> order of </w:t>
      </w:r>
      <w:r w:rsidR="0064462B" w:rsidRPr="0064462B">
        <w:rPr>
          <w:rFonts w:ascii="Avenir Next" w:hAnsi="Avenir Next" w:cs="Arial"/>
          <w:color w:val="7B7B7B" w:themeColor="accent3" w:themeShade="BF"/>
          <w:sz w:val="22"/>
          <w:szCs w:val="22"/>
          <w:lang w:val="en-GB"/>
        </w:rPr>
        <w:t>priority of debts in th</w:t>
      </w:r>
      <w:r w:rsidR="00784EC9">
        <w:rPr>
          <w:rFonts w:ascii="Avenir Next" w:hAnsi="Avenir Next" w:cs="Arial"/>
          <w:color w:val="7B7B7B" w:themeColor="accent3" w:themeShade="BF"/>
          <w:sz w:val="22"/>
          <w:szCs w:val="22"/>
          <w:lang w:val="en-GB"/>
        </w:rPr>
        <w:t xml:space="preserve">e </w:t>
      </w:r>
      <w:r w:rsidR="0064462B" w:rsidRPr="0064462B">
        <w:rPr>
          <w:rFonts w:ascii="Avenir Next" w:hAnsi="Avenir Next" w:cs="Arial"/>
          <w:color w:val="7B7B7B" w:themeColor="accent3" w:themeShade="BF"/>
          <w:sz w:val="22"/>
          <w:szCs w:val="22"/>
          <w:lang w:val="en-GB"/>
        </w:rPr>
        <w:t xml:space="preserve">subsequent administration or liquidation </w:t>
      </w:r>
      <w:r w:rsidR="00784EC9">
        <w:rPr>
          <w:rFonts w:ascii="Avenir Next" w:hAnsi="Avenir Next" w:cs="Arial"/>
          <w:color w:val="7B7B7B" w:themeColor="accent3" w:themeShade="BF"/>
          <w:sz w:val="22"/>
          <w:szCs w:val="22"/>
          <w:lang w:val="en-GB"/>
        </w:rPr>
        <w:t>can differ to the order which would have applied but fo</w:t>
      </w:r>
      <w:r w:rsidR="00D53B45">
        <w:rPr>
          <w:rFonts w:ascii="Avenir Next" w:hAnsi="Avenir Next" w:cs="Arial"/>
          <w:color w:val="7B7B7B" w:themeColor="accent3" w:themeShade="BF"/>
          <w:sz w:val="22"/>
          <w:szCs w:val="22"/>
          <w:lang w:val="en-GB"/>
        </w:rPr>
        <w:t>r</w:t>
      </w:r>
      <w:r w:rsidR="00784EC9">
        <w:rPr>
          <w:rFonts w:ascii="Avenir Next" w:hAnsi="Avenir Next" w:cs="Arial"/>
          <w:color w:val="7B7B7B" w:themeColor="accent3" w:themeShade="BF"/>
          <w:sz w:val="22"/>
          <w:szCs w:val="22"/>
          <w:lang w:val="en-GB"/>
        </w:rPr>
        <w:t xml:space="preserve"> / prior to the moratorium. </w:t>
      </w:r>
      <w:proofErr w:type="gramStart"/>
      <w:r w:rsidR="00784EC9">
        <w:rPr>
          <w:rFonts w:ascii="Avenir Next" w:hAnsi="Avenir Next" w:cs="Arial"/>
          <w:color w:val="7B7B7B" w:themeColor="accent3" w:themeShade="BF"/>
          <w:sz w:val="22"/>
          <w:szCs w:val="22"/>
          <w:lang w:val="en-GB"/>
        </w:rPr>
        <w:t>In particular, section</w:t>
      </w:r>
      <w:proofErr w:type="gramEnd"/>
      <w:r w:rsidR="00784EC9">
        <w:rPr>
          <w:rFonts w:ascii="Avenir Next" w:hAnsi="Avenir Next" w:cs="Arial"/>
          <w:color w:val="7B7B7B" w:themeColor="accent3" w:themeShade="BF"/>
          <w:sz w:val="22"/>
          <w:szCs w:val="22"/>
          <w:lang w:val="en-GB"/>
        </w:rPr>
        <w:t xml:space="preserve"> </w:t>
      </w:r>
      <w:r w:rsidR="0064462B" w:rsidRPr="0064462B">
        <w:rPr>
          <w:rFonts w:ascii="Avenir Next" w:hAnsi="Avenir Next" w:cs="Arial"/>
          <w:color w:val="7B7B7B" w:themeColor="accent3" w:themeShade="BF"/>
          <w:sz w:val="22"/>
          <w:szCs w:val="22"/>
          <w:lang w:val="en-GB"/>
        </w:rPr>
        <w:t>174A</w:t>
      </w:r>
      <w:r w:rsidR="00784EC9">
        <w:rPr>
          <w:rFonts w:ascii="Avenir Next" w:hAnsi="Avenir Next" w:cs="Arial"/>
          <w:color w:val="7B7B7B" w:themeColor="accent3" w:themeShade="BF"/>
          <w:sz w:val="22"/>
          <w:szCs w:val="22"/>
          <w:lang w:val="en-GB"/>
        </w:rPr>
        <w:t xml:space="preserve"> of the IA</w:t>
      </w:r>
      <w:r w:rsidR="0064462B" w:rsidRPr="0064462B">
        <w:rPr>
          <w:rFonts w:ascii="Avenir Next" w:hAnsi="Avenir Next" w:cs="Arial"/>
          <w:color w:val="7B7B7B" w:themeColor="accent3" w:themeShade="BF"/>
          <w:sz w:val="22"/>
          <w:szCs w:val="22"/>
          <w:lang w:val="en-GB"/>
        </w:rPr>
        <w:t xml:space="preserve"> provides that certain unpaid pre</w:t>
      </w:r>
      <w:r w:rsidR="00784EC9">
        <w:rPr>
          <w:rFonts w:ascii="Avenir Next" w:hAnsi="Avenir Next" w:cs="Arial"/>
          <w:color w:val="7B7B7B" w:themeColor="accent3" w:themeShade="BF"/>
          <w:sz w:val="22"/>
          <w:szCs w:val="22"/>
          <w:lang w:val="en-GB"/>
        </w:rPr>
        <w:t>-m</w:t>
      </w:r>
      <w:r w:rsidR="0064462B" w:rsidRPr="0064462B">
        <w:rPr>
          <w:rFonts w:ascii="Avenir Next" w:hAnsi="Avenir Next" w:cs="Arial"/>
          <w:color w:val="7B7B7B" w:themeColor="accent3" w:themeShade="BF"/>
          <w:sz w:val="22"/>
          <w:szCs w:val="22"/>
          <w:lang w:val="en-GB"/>
        </w:rPr>
        <w:t xml:space="preserve">oratorium or </w:t>
      </w:r>
      <w:r w:rsidR="00784EC9">
        <w:rPr>
          <w:rFonts w:ascii="Avenir Next" w:hAnsi="Avenir Next" w:cs="Arial"/>
          <w:color w:val="7B7B7B" w:themeColor="accent3" w:themeShade="BF"/>
          <w:sz w:val="22"/>
          <w:szCs w:val="22"/>
          <w:lang w:val="en-GB"/>
        </w:rPr>
        <w:t>m</w:t>
      </w:r>
      <w:r w:rsidR="0064462B" w:rsidRPr="0064462B">
        <w:rPr>
          <w:rFonts w:ascii="Avenir Next" w:hAnsi="Avenir Next" w:cs="Arial"/>
          <w:color w:val="7B7B7B" w:themeColor="accent3" w:themeShade="BF"/>
          <w:sz w:val="22"/>
          <w:szCs w:val="22"/>
          <w:lang w:val="en-GB"/>
        </w:rPr>
        <w:t>oratorium debts such as</w:t>
      </w:r>
      <w:r w:rsidR="0064462B" w:rsidRPr="0064462B">
        <w:rPr>
          <w:rFonts w:ascii="Avenir Next" w:hAnsi="Avenir Next" w:cs="Arial"/>
          <w:color w:val="7B7B7B" w:themeColor="accent3" w:themeShade="BF"/>
          <w:sz w:val="22"/>
          <w:szCs w:val="22"/>
          <w:lang w:val="en-GB"/>
        </w:rPr>
        <w:cr/>
        <w:t>debts owed to employees or “financial services” debts</w:t>
      </w:r>
      <w:r w:rsidR="00784EC9">
        <w:rPr>
          <w:rFonts w:ascii="Avenir Next" w:hAnsi="Avenir Next" w:cs="Arial"/>
          <w:color w:val="7B7B7B" w:themeColor="accent3" w:themeShade="BF"/>
          <w:sz w:val="22"/>
          <w:szCs w:val="22"/>
          <w:lang w:val="en-GB"/>
        </w:rPr>
        <w:t xml:space="preserve"> (</w:t>
      </w:r>
      <w:r w:rsidR="00784EC9" w:rsidRPr="0064462B">
        <w:rPr>
          <w:rFonts w:ascii="Avenir Next" w:hAnsi="Avenir Next" w:cs="Arial"/>
          <w:color w:val="7B7B7B" w:themeColor="accent3" w:themeShade="BF"/>
          <w:sz w:val="22"/>
          <w:szCs w:val="22"/>
          <w:lang w:val="en-GB"/>
        </w:rPr>
        <w:t>debts which are not part of the payment holiday</w:t>
      </w:r>
      <w:r w:rsidR="00784EC9">
        <w:rPr>
          <w:rFonts w:ascii="Avenir Next" w:hAnsi="Avenir Next" w:cs="Arial"/>
          <w:color w:val="7B7B7B" w:themeColor="accent3" w:themeShade="BF"/>
          <w:sz w:val="22"/>
          <w:szCs w:val="22"/>
          <w:lang w:val="en-GB"/>
        </w:rPr>
        <w:t xml:space="preserve"> during the moratorium</w:t>
      </w:r>
      <w:r w:rsidR="00784EC9" w:rsidRPr="0064462B">
        <w:rPr>
          <w:rFonts w:ascii="Avenir Next" w:hAnsi="Avenir Next" w:cs="Arial"/>
          <w:color w:val="7B7B7B" w:themeColor="accent3" w:themeShade="BF"/>
          <w:sz w:val="22"/>
          <w:szCs w:val="22"/>
          <w:lang w:val="en-GB"/>
        </w:rPr>
        <w:t>)</w:t>
      </w:r>
      <w:r w:rsidR="0064462B" w:rsidRPr="0064462B">
        <w:rPr>
          <w:rFonts w:ascii="Avenir Next" w:hAnsi="Avenir Next" w:cs="Arial"/>
          <w:color w:val="7B7B7B" w:themeColor="accent3" w:themeShade="BF"/>
          <w:sz w:val="22"/>
          <w:szCs w:val="22"/>
          <w:lang w:val="en-GB"/>
        </w:rPr>
        <w:t>, are paid in the subsequent liquidation,</w:t>
      </w:r>
      <w:r w:rsidR="00784EC9">
        <w:rPr>
          <w:rFonts w:ascii="Avenir Next" w:hAnsi="Avenir Next" w:cs="Arial"/>
          <w:color w:val="7B7B7B" w:themeColor="accent3" w:themeShade="BF"/>
          <w:sz w:val="22"/>
          <w:szCs w:val="22"/>
          <w:lang w:val="en-GB"/>
        </w:rPr>
        <w:t xml:space="preserve"> </w:t>
      </w:r>
      <w:r w:rsidR="0064462B" w:rsidRPr="0064462B">
        <w:rPr>
          <w:rFonts w:ascii="Avenir Next" w:hAnsi="Avenir Next" w:cs="Arial"/>
          <w:color w:val="7B7B7B" w:themeColor="accent3" w:themeShade="BF"/>
          <w:sz w:val="22"/>
          <w:szCs w:val="22"/>
          <w:lang w:val="en-GB"/>
        </w:rPr>
        <w:t>in priority to even the liquidator’s fees and expenses.</w:t>
      </w:r>
      <w:r w:rsidR="00D53B45">
        <w:rPr>
          <w:rStyle w:val="FootnoteReference"/>
          <w:rFonts w:ascii="Avenir Next" w:hAnsi="Avenir Next" w:cs="Arial"/>
          <w:color w:val="7B7B7B" w:themeColor="accent3" w:themeShade="BF"/>
          <w:sz w:val="22"/>
          <w:szCs w:val="22"/>
          <w:lang w:val="en-GB"/>
        </w:rPr>
        <w:footnoteReference w:id="20"/>
      </w:r>
      <w:r w:rsidR="0064462B" w:rsidRPr="0064462B">
        <w:rPr>
          <w:rFonts w:ascii="Avenir Next" w:hAnsi="Avenir Next" w:cs="Arial"/>
          <w:color w:val="7B7B7B" w:themeColor="accent3" w:themeShade="BF"/>
          <w:sz w:val="22"/>
          <w:szCs w:val="22"/>
          <w:lang w:val="en-GB"/>
        </w:rPr>
        <w:t xml:space="preserve"> </w:t>
      </w:r>
    </w:p>
    <w:p w14:paraId="584AF6F2" w14:textId="77777777" w:rsidR="00784EC9" w:rsidRDefault="00784EC9" w:rsidP="002A37BB">
      <w:pPr>
        <w:jc w:val="both"/>
        <w:rPr>
          <w:rFonts w:ascii="Avenir Next" w:hAnsi="Avenir Next" w:cs="Arial"/>
          <w:color w:val="7B7B7B" w:themeColor="accent3" w:themeShade="BF"/>
          <w:sz w:val="22"/>
          <w:szCs w:val="22"/>
          <w:lang w:val="en-GB"/>
        </w:rPr>
      </w:pPr>
    </w:p>
    <w:p w14:paraId="185A7678" w14:textId="7A64A1C9" w:rsidR="0064462B" w:rsidRDefault="00784EC9"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a result, s</w:t>
      </w:r>
      <w:r w:rsidR="0064462B" w:rsidRPr="0064462B">
        <w:rPr>
          <w:rFonts w:ascii="Avenir Next" w:hAnsi="Avenir Next" w:cs="Arial"/>
          <w:color w:val="7B7B7B" w:themeColor="accent3" w:themeShade="BF"/>
          <w:sz w:val="22"/>
          <w:szCs w:val="22"/>
          <w:lang w:val="en-GB"/>
        </w:rPr>
        <w:t xml:space="preserve">ection 174A </w:t>
      </w:r>
      <w:r>
        <w:rPr>
          <w:rFonts w:ascii="Avenir Next" w:hAnsi="Avenir Next" w:cs="Arial"/>
          <w:color w:val="7B7B7B" w:themeColor="accent3" w:themeShade="BF"/>
          <w:sz w:val="22"/>
          <w:szCs w:val="22"/>
          <w:lang w:val="en-GB"/>
        </w:rPr>
        <w:t>and the moratorium is effectively a mechanism which allows for certain unsecured</w:t>
      </w:r>
      <w:r w:rsidR="0064462B" w:rsidRPr="0064462B">
        <w:rPr>
          <w:rFonts w:ascii="Avenir Next" w:hAnsi="Avenir Next" w:cs="Arial"/>
          <w:color w:val="7B7B7B" w:themeColor="accent3" w:themeShade="BF"/>
          <w:sz w:val="22"/>
          <w:szCs w:val="22"/>
          <w:lang w:val="en-GB"/>
        </w:rPr>
        <w:t xml:space="preserve"> debts </w:t>
      </w:r>
      <w:r>
        <w:rPr>
          <w:rFonts w:ascii="Avenir Next" w:hAnsi="Avenir Next" w:cs="Arial"/>
          <w:color w:val="7B7B7B" w:themeColor="accent3" w:themeShade="BF"/>
          <w:sz w:val="22"/>
          <w:szCs w:val="22"/>
          <w:lang w:val="en-GB"/>
        </w:rPr>
        <w:t xml:space="preserve">to be granted </w:t>
      </w:r>
      <w:r w:rsidR="0064462B" w:rsidRPr="0064462B">
        <w:rPr>
          <w:rFonts w:ascii="Avenir Next" w:hAnsi="Avenir Next" w:cs="Arial"/>
          <w:color w:val="7B7B7B" w:themeColor="accent3" w:themeShade="BF"/>
          <w:sz w:val="22"/>
          <w:szCs w:val="22"/>
          <w:lang w:val="en-GB"/>
        </w:rPr>
        <w:t xml:space="preserve">a form of </w:t>
      </w:r>
      <w:r w:rsidR="0064462B" w:rsidRPr="00784EC9">
        <w:rPr>
          <w:rFonts w:ascii="Avenir Next" w:hAnsi="Avenir Next" w:cs="Arial"/>
          <w:i/>
          <w:iCs/>
          <w:color w:val="7B7B7B" w:themeColor="accent3" w:themeShade="BF"/>
          <w:sz w:val="22"/>
          <w:szCs w:val="22"/>
          <w:lang w:val="en-GB"/>
        </w:rPr>
        <w:t>“super priority”</w:t>
      </w:r>
      <w:r w:rsidR="0064462B" w:rsidRPr="0064462B">
        <w:rPr>
          <w:rFonts w:ascii="Avenir Next" w:hAnsi="Avenir Next" w:cs="Arial"/>
          <w:color w:val="7B7B7B" w:themeColor="accent3" w:themeShade="BF"/>
          <w:sz w:val="22"/>
          <w:szCs w:val="22"/>
          <w:lang w:val="en-GB"/>
        </w:rPr>
        <w:t xml:space="preserve"> in </w:t>
      </w:r>
      <w:r>
        <w:rPr>
          <w:rFonts w:ascii="Avenir Next" w:hAnsi="Avenir Next" w:cs="Arial"/>
          <w:color w:val="7B7B7B" w:themeColor="accent3" w:themeShade="BF"/>
          <w:sz w:val="22"/>
          <w:szCs w:val="22"/>
          <w:lang w:val="en-GB"/>
        </w:rPr>
        <w:t>the event of a</w:t>
      </w:r>
      <w:r w:rsidR="0064462B" w:rsidRPr="0064462B">
        <w:rPr>
          <w:rFonts w:ascii="Avenir Next" w:hAnsi="Avenir Next" w:cs="Arial"/>
          <w:color w:val="7B7B7B" w:themeColor="accent3" w:themeShade="BF"/>
          <w:sz w:val="22"/>
          <w:szCs w:val="22"/>
          <w:lang w:val="en-GB"/>
        </w:rPr>
        <w:t xml:space="preserve"> subsequent liquidation.</w:t>
      </w:r>
      <w:r w:rsidR="00D53B45">
        <w:rPr>
          <w:rStyle w:val="FootnoteReference"/>
          <w:rFonts w:ascii="Avenir Next" w:hAnsi="Avenir Next" w:cs="Arial"/>
          <w:color w:val="7B7B7B" w:themeColor="accent3" w:themeShade="BF"/>
          <w:sz w:val="22"/>
          <w:szCs w:val="22"/>
          <w:lang w:val="en-GB"/>
        </w:rPr>
        <w:footnoteReference w:id="21"/>
      </w:r>
      <w:r w:rsidR="0064462B" w:rsidRPr="0064462B">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lastRenderedPageBreak/>
        <w:t xml:space="preserve">This outcome is particularly desirable for unsecured creditors who may otherwise receive nothing in a liquidation </w:t>
      </w:r>
      <w:proofErr w:type="gramStart"/>
      <w:r>
        <w:rPr>
          <w:rFonts w:ascii="Avenir Next" w:hAnsi="Avenir Next" w:cs="Arial"/>
          <w:color w:val="7B7B7B" w:themeColor="accent3" w:themeShade="BF"/>
          <w:sz w:val="22"/>
          <w:szCs w:val="22"/>
          <w:lang w:val="en-GB"/>
        </w:rPr>
        <w:t>due to the fact that</w:t>
      </w:r>
      <w:proofErr w:type="gramEnd"/>
      <w:r>
        <w:rPr>
          <w:rFonts w:ascii="Avenir Next" w:hAnsi="Avenir Next" w:cs="Arial"/>
          <w:color w:val="7B7B7B" w:themeColor="accent3" w:themeShade="BF"/>
          <w:sz w:val="22"/>
          <w:szCs w:val="22"/>
          <w:lang w:val="en-GB"/>
        </w:rPr>
        <w:t xml:space="preserve"> they are ordinarily paid out last. Given that payments to Directors </w:t>
      </w:r>
      <w:r w:rsidR="00D53B45">
        <w:rPr>
          <w:rFonts w:ascii="Avenir Next" w:hAnsi="Avenir Next" w:cs="Arial"/>
          <w:color w:val="7B7B7B" w:themeColor="accent3" w:themeShade="BF"/>
          <w:sz w:val="22"/>
          <w:szCs w:val="22"/>
          <w:lang w:val="en-GB"/>
        </w:rPr>
        <w:t xml:space="preserve">would be included, it may be seen that this is a motivator for the company's directors to seek to take steps to rescue the company before turning to liquidation. </w:t>
      </w:r>
    </w:p>
    <w:p w14:paraId="1C57A4D5" w14:textId="77777777" w:rsidR="0064462B" w:rsidRPr="006925C1" w:rsidRDefault="0064462B"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2"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195EE888" w14:textId="4E185719" w:rsidR="00D9496C" w:rsidRPr="006D6117" w:rsidRDefault="00D9496C" w:rsidP="00D9496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liquidator of the Company should be advised that they may take action to seek to avoid the floating charge p</w:t>
      </w:r>
      <w:r w:rsidRPr="006D6117">
        <w:rPr>
          <w:rFonts w:ascii="Avenir Next" w:hAnsi="Avenir Next" w:cs="Arial"/>
          <w:color w:val="7B7B7B" w:themeColor="accent3" w:themeShade="BF"/>
          <w:sz w:val="22"/>
          <w:szCs w:val="22"/>
          <w:lang w:val="en-GB"/>
        </w:rPr>
        <w:t xml:space="preserve">ursuant to section 245 of the </w:t>
      </w:r>
      <w:r>
        <w:rPr>
          <w:rFonts w:ascii="Avenir Next" w:hAnsi="Avenir Next" w:cs="Arial"/>
          <w:color w:val="7B7B7B" w:themeColor="accent3" w:themeShade="BF"/>
          <w:sz w:val="22"/>
          <w:szCs w:val="22"/>
          <w:lang w:val="en-GB"/>
        </w:rPr>
        <w:t xml:space="preserve">IA now that the Company is in liquidation. Section 245 is designed to prevent pre-existing unsecured creditors like </w:t>
      </w:r>
      <w:r w:rsidRPr="00D9496C">
        <w:rPr>
          <w:rFonts w:ascii="Avenir Next" w:hAnsi="Avenir Next" w:cs="Arial"/>
          <w:color w:val="7B7B7B" w:themeColor="accent3" w:themeShade="BF"/>
          <w:sz w:val="22"/>
          <w:szCs w:val="22"/>
          <w:lang w:val="en-GB"/>
        </w:rPr>
        <w:t>Ambitus Bank plc</w:t>
      </w:r>
      <w:r>
        <w:rPr>
          <w:rFonts w:ascii="Avenir Next" w:hAnsi="Avenir Next" w:cs="Arial"/>
          <w:color w:val="7B7B7B" w:themeColor="accent3" w:themeShade="BF"/>
          <w:sz w:val="22"/>
          <w:szCs w:val="22"/>
          <w:lang w:val="en-GB"/>
        </w:rPr>
        <w:t xml:space="preserve"> from obtaining security of a floating charge shortly before a company </w:t>
      </w:r>
      <w:proofErr w:type="gramStart"/>
      <w:r>
        <w:rPr>
          <w:rFonts w:ascii="Avenir Next" w:hAnsi="Avenir Next" w:cs="Arial"/>
          <w:color w:val="7B7B7B" w:themeColor="accent3" w:themeShade="BF"/>
          <w:sz w:val="22"/>
          <w:szCs w:val="22"/>
          <w:lang w:val="en-GB"/>
        </w:rPr>
        <w:t>enters into</w:t>
      </w:r>
      <w:proofErr w:type="gramEnd"/>
      <w:r>
        <w:rPr>
          <w:rFonts w:ascii="Avenir Next" w:hAnsi="Avenir Next" w:cs="Arial"/>
          <w:color w:val="7B7B7B" w:themeColor="accent3" w:themeShade="BF"/>
          <w:sz w:val="22"/>
          <w:szCs w:val="22"/>
          <w:lang w:val="en-GB"/>
        </w:rPr>
        <w:t xml:space="preserve"> insolvency and allows a liquidator to challenge and seek to avoid such charges which may otherwise result in a higher priority when it comes to making any distributions in the liquidation</w:t>
      </w:r>
      <w:r w:rsidRPr="006D6117">
        <w:rPr>
          <w:rFonts w:ascii="Avenir Next" w:hAnsi="Avenir Next" w:cs="Arial"/>
          <w:color w:val="7B7B7B" w:themeColor="accent3" w:themeShade="BF"/>
          <w:sz w:val="22"/>
          <w:szCs w:val="22"/>
          <w:lang w:val="en-GB"/>
        </w:rPr>
        <w:t>.</w:t>
      </w:r>
      <w:r>
        <w:rPr>
          <w:rStyle w:val="FootnoteReference"/>
          <w:rFonts w:ascii="Avenir Next" w:hAnsi="Avenir Next" w:cs="Arial"/>
          <w:color w:val="7B7B7B" w:themeColor="accent3" w:themeShade="BF"/>
          <w:sz w:val="22"/>
          <w:szCs w:val="22"/>
          <w:lang w:val="en-GB"/>
        </w:rPr>
        <w:footnoteReference w:id="22"/>
      </w:r>
      <w:r w:rsidRPr="006D6117">
        <w:rPr>
          <w:rFonts w:ascii="Avenir Next" w:hAnsi="Avenir Next" w:cs="Arial"/>
          <w:color w:val="7B7B7B" w:themeColor="accent3" w:themeShade="BF"/>
          <w:sz w:val="22"/>
          <w:szCs w:val="22"/>
          <w:lang w:val="en-GB"/>
        </w:rPr>
        <w:t xml:space="preserve"> </w:t>
      </w:r>
    </w:p>
    <w:p w14:paraId="09B80579" w14:textId="690B7289" w:rsidR="006D6117" w:rsidRDefault="006D6117" w:rsidP="006D6117">
      <w:pPr>
        <w:jc w:val="both"/>
        <w:rPr>
          <w:rFonts w:ascii="Avenir Next" w:hAnsi="Avenir Next" w:cs="Arial"/>
          <w:color w:val="7B7B7B" w:themeColor="accent3" w:themeShade="BF"/>
          <w:sz w:val="22"/>
          <w:szCs w:val="22"/>
          <w:lang w:val="en-GB"/>
        </w:rPr>
      </w:pPr>
    </w:p>
    <w:p w14:paraId="61CCC655" w14:textId="4C8F5E49" w:rsidR="003E0FB3" w:rsidRDefault="003E0FB3" w:rsidP="006D611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Company granted </w:t>
      </w:r>
      <w:r w:rsidRPr="006D6117">
        <w:rPr>
          <w:rFonts w:ascii="Avenir Next" w:hAnsi="Avenir Next" w:cs="Arial"/>
          <w:color w:val="7B7B7B" w:themeColor="accent3" w:themeShade="BF"/>
          <w:sz w:val="22"/>
          <w:szCs w:val="22"/>
          <w:lang w:val="en-GB"/>
        </w:rPr>
        <w:t>a debenture in favour of Ambitus Bank plc in June 2023</w:t>
      </w:r>
      <w:r>
        <w:rPr>
          <w:rFonts w:ascii="Avenir Next" w:hAnsi="Avenir Next" w:cs="Arial"/>
          <w:color w:val="7B7B7B" w:themeColor="accent3" w:themeShade="BF"/>
          <w:sz w:val="22"/>
          <w:szCs w:val="22"/>
          <w:lang w:val="en-GB"/>
        </w:rPr>
        <w:t xml:space="preserve"> which </w:t>
      </w:r>
      <w:r w:rsidRPr="006D6117">
        <w:rPr>
          <w:rFonts w:ascii="Avenir Next" w:hAnsi="Avenir Next" w:cs="Arial"/>
          <w:color w:val="7B7B7B" w:themeColor="accent3" w:themeShade="BF"/>
          <w:sz w:val="22"/>
          <w:szCs w:val="22"/>
          <w:lang w:val="en-GB"/>
        </w:rPr>
        <w:t>contained a floating charge over the whole of the Company’s undertaking.</w:t>
      </w:r>
      <w:r>
        <w:rPr>
          <w:rFonts w:ascii="Avenir Next" w:hAnsi="Avenir Next" w:cs="Arial"/>
          <w:color w:val="7B7B7B" w:themeColor="accent3" w:themeShade="BF"/>
          <w:sz w:val="22"/>
          <w:szCs w:val="22"/>
          <w:lang w:val="en-GB"/>
        </w:rPr>
        <w:t xml:space="preserve">  The Company did this in circumstances where it was under pressure from </w:t>
      </w:r>
      <w:r w:rsidRPr="006D6117">
        <w:rPr>
          <w:rFonts w:ascii="Avenir Next" w:hAnsi="Avenir Next" w:cs="Arial"/>
          <w:color w:val="7B7B7B" w:themeColor="accent3" w:themeShade="BF"/>
          <w:sz w:val="22"/>
          <w:szCs w:val="22"/>
          <w:lang w:val="en-GB"/>
        </w:rPr>
        <w:t>Ambitus Bank plc</w:t>
      </w:r>
      <w:r>
        <w:rPr>
          <w:rFonts w:ascii="Avenir Next" w:hAnsi="Avenir Next" w:cs="Arial"/>
          <w:color w:val="7B7B7B" w:themeColor="accent3" w:themeShade="BF"/>
          <w:sz w:val="22"/>
          <w:szCs w:val="22"/>
          <w:lang w:val="en-GB"/>
        </w:rPr>
        <w:t xml:space="preserve"> and </w:t>
      </w:r>
      <w:proofErr w:type="gramStart"/>
      <w:r>
        <w:rPr>
          <w:rFonts w:ascii="Avenir Next" w:hAnsi="Avenir Next" w:cs="Arial"/>
          <w:color w:val="7B7B7B" w:themeColor="accent3" w:themeShade="BF"/>
          <w:sz w:val="22"/>
          <w:szCs w:val="22"/>
          <w:lang w:val="en-GB"/>
        </w:rPr>
        <w:t>in order to</w:t>
      </w:r>
      <w:proofErr w:type="gramEnd"/>
      <w:r>
        <w:rPr>
          <w:rFonts w:ascii="Avenir Next" w:hAnsi="Avenir Next" w:cs="Arial"/>
          <w:color w:val="7B7B7B" w:themeColor="accent3" w:themeShade="BF"/>
          <w:sz w:val="22"/>
          <w:szCs w:val="22"/>
          <w:lang w:val="en-GB"/>
        </w:rPr>
        <w:t xml:space="preserve"> </w:t>
      </w:r>
      <w:r w:rsidRPr="006D6117">
        <w:rPr>
          <w:rFonts w:ascii="Avenir Next" w:hAnsi="Avenir Next" w:cs="Arial"/>
          <w:color w:val="7B7B7B" w:themeColor="accent3" w:themeShade="BF"/>
          <w:sz w:val="22"/>
          <w:szCs w:val="22"/>
          <w:lang w:val="en-GB"/>
        </w:rPr>
        <w:t xml:space="preserve">prevent it from demanding repayment of </w:t>
      </w:r>
      <w:r>
        <w:rPr>
          <w:rFonts w:ascii="Avenir Next" w:hAnsi="Avenir Next" w:cs="Arial"/>
          <w:color w:val="7B7B7B" w:themeColor="accent3" w:themeShade="BF"/>
          <w:sz w:val="22"/>
          <w:szCs w:val="22"/>
          <w:lang w:val="en-GB"/>
        </w:rPr>
        <w:t>its</w:t>
      </w:r>
      <w:r w:rsidRPr="006D6117">
        <w:rPr>
          <w:rFonts w:ascii="Avenir Next" w:hAnsi="Avenir Next" w:cs="Arial"/>
          <w:color w:val="7B7B7B" w:themeColor="accent3" w:themeShade="BF"/>
          <w:sz w:val="22"/>
          <w:szCs w:val="22"/>
          <w:lang w:val="en-GB"/>
        </w:rPr>
        <w:t xml:space="preserve"> loans</w:t>
      </w:r>
      <w:r>
        <w:rPr>
          <w:rFonts w:ascii="Avenir Next" w:hAnsi="Avenir Next" w:cs="Arial"/>
          <w:color w:val="7B7B7B" w:themeColor="accent3" w:themeShade="BF"/>
          <w:sz w:val="22"/>
          <w:szCs w:val="22"/>
          <w:lang w:val="en-GB"/>
        </w:rPr>
        <w:t xml:space="preserve">. </w:t>
      </w:r>
      <w:r w:rsidR="00D11494">
        <w:rPr>
          <w:rFonts w:ascii="Avenir Next" w:hAnsi="Avenir Next" w:cs="Arial"/>
          <w:color w:val="7B7B7B" w:themeColor="accent3" w:themeShade="BF"/>
          <w:sz w:val="22"/>
          <w:szCs w:val="22"/>
          <w:lang w:val="en-GB"/>
        </w:rPr>
        <w:t xml:space="preserve"> There is no evidence that any new consideration was provided for the charge (see below). </w:t>
      </w:r>
    </w:p>
    <w:p w14:paraId="606201FA" w14:textId="77777777" w:rsidR="003E0FB3" w:rsidRDefault="003E0FB3" w:rsidP="006D6117">
      <w:pPr>
        <w:jc w:val="both"/>
        <w:rPr>
          <w:rFonts w:ascii="Avenir Next" w:hAnsi="Avenir Next" w:cs="Arial"/>
          <w:color w:val="7B7B7B" w:themeColor="accent3" w:themeShade="BF"/>
          <w:sz w:val="22"/>
          <w:szCs w:val="22"/>
          <w:lang w:val="en-GB"/>
        </w:rPr>
      </w:pPr>
    </w:p>
    <w:p w14:paraId="7B8297A1" w14:textId="538A0225" w:rsidR="00E615CA" w:rsidRDefault="003E0FB3" w:rsidP="006D611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Company went into liquidation </w:t>
      </w:r>
      <w:r w:rsidR="006D6117" w:rsidRPr="006D6117">
        <w:rPr>
          <w:rFonts w:ascii="Avenir Next" w:hAnsi="Avenir Next" w:cs="Arial"/>
          <w:color w:val="7B7B7B" w:themeColor="accent3" w:themeShade="BF"/>
          <w:sz w:val="22"/>
          <w:szCs w:val="22"/>
          <w:lang w:val="en-GB"/>
        </w:rPr>
        <w:t>on 28 February 2024</w:t>
      </w:r>
      <w:r>
        <w:rPr>
          <w:rFonts w:ascii="Avenir Next" w:hAnsi="Avenir Next" w:cs="Arial"/>
          <w:color w:val="7B7B7B" w:themeColor="accent3" w:themeShade="BF"/>
          <w:sz w:val="22"/>
          <w:szCs w:val="22"/>
          <w:lang w:val="en-GB"/>
        </w:rPr>
        <w:t xml:space="preserve"> </w:t>
      </w:r>
      <w:r w:rsidR="00E615CA">
        <w:rPr>
          <w:rFonts w:ascii="Avenir Next" w:hAnsi="Avenir Next" w:cs="Arial"/>
          <w:color w:val="7B7B7B" w:themeColor="accent3" w:themeShade="BF"/>
          <w:sz w:val="22"/>
          <w:szCs w:val="22"/>
          <w:lang w:val="en-GB"/>
        </w:rPr>
        <w:t xml:space="preserve">following a </w:t>
      </w:r>
      <w:r w:rsidR="00E615CA" w:rsidRPr="00E615CA">
        <w:rPr>
          <w:rFonts w:ascii="Avenir Next" w:hAnsi="Avenir Next" w:cs="Arial"/>
          <w:color w:val="7B7B7B" w:themeColor="accent3" w:themeShade="BF"/>
          <w:sz w:val="22"/>
          <w:szCs w:val="22"/>
          <w:lang w:val="en-GB"/>
        </w:rPr>
        <w:t xml:space="preserve">creditor’s winding up petition </w:t>
      </w:r>
      <w:r w:rsidR="00E615CA">
        <w:rPr>
          <w:rFonts w:ascii="Avenir Next" w:hAnsi="Avenir Next" w:cs="Arial"/>
          <w:color w:val="7B7B7B" w:themeColor="accent3" w:themeShade="BF"/>
          <w:sz w:val="22"/>
          <w:szCs w:val="22"/>
          <w:lang w:val="en-GB"/>
        </w:rPr>
        <w:t xml:space="preserve">which was </w:t>
      </w:r>
      <w:r w:rsidR="00E615CA" w:rsidRPr="00E615CA">
        <w:rPr>
          <w:rFonts w:ascii="Avenir Next" w:hAnsi="Avenir Next" w:cs="Arial"/>
          <w:color w:val="7B7B7B" w:themeColor="accent3" w:themeShade="BF"/>
          <w:sz w:val="22"/>
          <w:szCs w:val="22"/>
          <w:lang w:val="en-GB"/>
        </w:rPr>
        <w:t>issued on 13 January 2024.</w:t>
      </w:r>
      <w:r w:rsidR="00E615CA">
        <w:rPr>
          <w:rFonts w:ascii="Avenir Next" w:hAnsi="Avenir Next" w:cs="Arial"/>
          <w:color w:val="7B7B7B" w:themeColor="accent3" w:themeShade="BF"/>
          <w:sz w:val="22"/>
          <w:szCs w:val="22"/>
          <w:lang w:val="en-GB"/>
        </w:rPr>
        <w:t xml:space="preserve"> This </w:t>
      </w:r>
      <w:r>
        <w:rPr>
          <w:rFonts w:ascii="Avenir Next" w:hAnsi="Avenir Next" w:cs="Arial"/>
          <w:color w:val="7B7B7B" w:themeColor="accent3" w:themeShade="BF"/>
          <w:sz w:val="22"/>
          <w:szCs w:val="22"/>
          <w:lang w:val="en-GB"/>
        </w:rPr>
        <w:t>mean</w:t>
      </w:r>
      <w:r w:rsidR="00A94763">
        <w:rPr>
          <w:rFonts w:ascii="Avenir Next" w:hAnsi="Avenir Next" w:cs="Arial"/>
          <w:color w:val="7B7B7B" w:themeColor="accent3" w:themeShade="BF"/>
          <w:sz w:val="22"/>
          <w:szCs w:val="22"/>
          <w:lang w:val="en-GB"/>
        </w:rPr>
        <w:t>t</w:t>
      </w:r>
      <w:r>
        <w:rPr>
          <w:rFonts w:ascii="Avenir Next" w:hAnsi="Avenir Next" w:cs="Arial"/>
          <w:color w:val="7B7B7B" w:themeColor="accent3" w:themeShade="BF"/>
          <w:sz w:val="22"/>
          <w:szCs w:val="22"/>
          <w:lang w:val="en-GB"/>
        </w:rPr>
        <w:t xml:space="preserve"> that the floating charge was provided approximately </w:t>
      </w:r>
      <w:r w:rsidR="00E615CA">
        <w:rPr>
          <w:rFonts w:ascii="Avenir Next" w:hAnsi="Avenir Next" w:cs="Arial"/>
          <w:color w:val="7B7B7B" w:themeColor="accent3" w:themeShade="BF"/>
          <w:sz w:val="22"/>
          <w:szCs w:val="22"/>
          <w:lang w:val="en-GB"/>
        </w:rPr>
        <w:t>seven months</w:t>
      </w:r>
      <w:r>
        <w:rPr>
          <w:rFonts w:ascii="Avenir Next" w:hAnsi="Avenir Next" w:cs="Arial"/>
          <w:color w:val="7B7B7B" w:themeColor="accent3" w:themeShade="BF"/>
          <w:sz w:val="22"/>
          <w:szCs w:val="22"/>
          <w:lang w:val="en-GB"/>
        </w:rPr>
        <w:t xml:space="preserve"> prior to the</w:t>
      </w:r>
      <w:r w:rsidR="00E615CA">
        <w:rPr>
          <w:rFonts w:ascii="Avenir Next" w:hAnsi="Avenir Next" w:cs="Arial"/>
          <w:color w:val="7B7B7B" w:themeColor="accent3" w:themeShade="BF"/>
          <w:sz w:val="22"/>
          <w:szCs w:val="22"/>
          <w:lang w:val="en-GB"/>
        </w:rPr>
        <w:t xml:space="preserve"> date of the petition which will mark the onset of insolvency in this compulsory liquidation</w:t>
      </w:r>
      <w:r w:rsidR="00D11494">
        <w:rPr>
          <w:rFonts w:ascii="Avenir Next" w:hAnsi="Avenir Next" w:cs="Arial"/>
          <w:color w:val="7B7B7B" w:themeColor="accent3" w:themeShade="BF"/>
          <w:sz w:val="22"/>
          <w:szCs w:val="22"/>
          <w:lang w:val="en-GB"/>
        </w:rPr>
        <w:t xml:space="preserve">. </w:t>
      </w:r>
    </w:p>
    <w:p w14:paraId="03CF84DA" w14:textId="77777777" w:rsidR="00E615CA" w:rsidRDefault="00E615CA" w:rsidP="006D6117">
      <w:pPr>
        <w:jc w:val="both"/>
        <w:rPr>
          <w:rFonts w:ascii="Avenir Next" w:hAnsi="Avenir Next" w:cs="Arial"/>
          <w:color w:val="7B7B7B" w:themeColor="accent3" w:themeShade="BF"/>
          <w:sz w:val="22"/>
          <w:szCs w:val="22"/>
          <w:lang w:val="en-GB"/>
        </w:rPr>
      </w:pPr>
    </w:p>
    <w:p w14:paraId="59A551A5" w14:textId="63D60F37" w:rsidR="00D11494" w:rsidRDefault="00D11494" w:rsidP="006D6117">
      <w:pPr>
        <w:jc w:val="both"/>
        <w:rPr>
          <w:rFonts w:ascii="Avenir Next" w:hAnsi="Avenir Next" w:cs="Arial"/>
          <w:color w:val="7B7B7B" w:themeColor="accent3" w:themeShade="BF"/>
          <w:sz w:val="22"/>
          <w:szCs w:val="22"/>
          <w:lang w:val="en-GB"/>
        </w:rPr>
      </w:pPr>
      <w:r w:rsidRPr="00D11494">
        <w:rPr>
          <w:rFonts w:ascii="Avenir Next" w:hAnsi="Avenir Next" w:cs="Arial"/>
          <w:color w:val="7B7B7B" w:themeColor="accent3" w:themeShade="BF"/>
          <w:sz w:val="22"/>
          <w:szCs w:val="22"/>
          <w:lang w:val="en-GB"/>
        </w:rPr>
        <w:t xml:space="preserve">Where the </w:t>
      </w:r>
      <w:r>
        <w:rPr>
          <w:rFonts w:ascii="Avenir Next" w:hAnsi="Avenir Next" w:cs="Arial"/>
          <w:color w:val="7B7B7B" w:themeColor="accent3" w:themeShade="BF"/>
          <w:sz w:val="22"/>
          <w:szCs w:val="22"/>
          <w:lang w:val="en-GB"/>
        </w:rPr>
        <w:t>entity</w:t>
      </w:r>
      <w:r w:rsidRPr="00D11494">
        <w:rPr>
          <w:rFonts w:ascii="Avenir Next" w:hAnsi="Avenir Next" w:cs="Arial"/>
          <w:color w:val="7B7B7B" w:themeColor="accent3" w:themeShade="BF"/>
          <w:sz w:val="22"/>
          <w:szCs w:val="22"/>
          <w:lang w:val="en-GB"/>
        </w:rPr>
        <w:t xml:space="preserve"> in whose favour the floating charge is created is not connected with th</w:t>
      </w:r>
      <w:r>
        <w:rPr>
          <w:rFonts w:ascii="Avenir Next" w:hAnsi="Avenir Next" w:cs="Arial"/>
          <w:color w:val="7B7B7B" w:themeColor="accent3" w:themeShade="BF"/>
          <w:sz w:val="22"/>
          <w:szCs w:val="22"/>
          <w:lang w:val="en-GB"/>
        </w:rPr>
        <w:t>e C</w:t>
      </w:r>
      <w:r w:rsidRPr="00D11494">
        <w:rPr>
          <w:rFonts w:ascii="Avenir Next" w:hAnsi="Avenir Next" w:cs="Arial"/>
          <w:color w:val="7B7B7B" w:themeColor="accent3" w:themeShade="BF"/>
          <w:sz w:val="22"/>
          <w:szCs w:val="22"/>
          <w:lang w:val="en-GB"/>
        </w:rPr>
        <w:t>ompany, the relevant time</w:t>
      </w:r>
      <w:r>
        <w:rPr>
          <w:rFonts w:ascii="Avenir Next" w:hAnsi="Avenir Next" w:cs="Arial"/>
          <w:color w:val="7B7B7B" w:themeColor="accent3" w:themeShade="BF"/>
          <w:sz w:val="22"/>
          <w:szCs w:val="22"/>
          <w:lang w:val="en-GB"/>
        </w:rPr>
        <w:t xml:space="preserve"> in which section 245 of the IA applies</w:t>
      </w:r>
      <w:r w:rsidRPr="00D11494">
        <w:rPr>
          <w:rFonts w:ascii="Avenir Next" w:hAnsi="Avenir Next" w:cs="Arial"/>
          <w:color w:val="7B7B7B" w:themeColor="accent3" w:themeShade="BF"/>
          <w:sz w:val="22"/>
          <w:szCs w:val="22"/>
          <w:lang w:val="en-GB"/>
        </w:rPr>
        <w:t xml:space="preserve"> is any time within the period of 12 months prior to the onset of</w:t>
      </w:r>
      <w:r w:rsidR="00E615CA">
        <w:rPr>
          <w:rFonts w:ascii="Avenir Next" w:hAnsi="Avenir Next" w:cs="Arial"/>
          <w:color w:val="7B7B7B" w:themeColor="accent3" w:themeShade="BF"/>
          <w:sz w:val="22"/>
          <w:szCs w:val="22"/>
          <w:lang w:val="en-GB"/>
        </w:rPr>
        <w:t xml:space="preserve"> </w:t>
      </w:r>
      <w:r w:rsidRPr="00D11494">
        <w:rPr>
          <w:rFonts w:ascii="Avenir Next" w:hAnsi="Avenir Next" w:cs="Arial"/>
          <w:color w:val="7B7B7B" w:themeColor="accent3" w:themeShade="BF"/>
          <w:sz w:val="22"/>
          <w:szCs w:val="22"/>
          <w:lang w:val="en-GB"/>
        </w:rPr>
        <w:t>insolvency, but only if at the time of the creation of the charge the company was either unable</w:t>
      </w:r>
      <w:r>
        <w:rPr>
          <w:rFonts w:ascii="Avenir Next" w:hAnsi="Avenir Next" w:cs="Arial"/>
          <w:color w:val="7B7B7B" w:themeColor="accent3" w:themeShade="BF"/>
          <w:sz w:val="22"/>
          <w:szCs w:val="22"/>
          <w:lang w:val="en-GB"/>
        </w:rPr>
        <w:t xml:space="preserve"> </w:t>
      </w:r>
      <w:r w:rsidRPr="00D11494">
        <w:rPr>
          <w:rFonts w:ascii="Avenir Next" w:hAnsi="Avenir Next" w:cs="Arial"/>
          <w:color w:val="7B7B7B" w:themeColor="accent3" w:themeShade="BF"/>
          <w:sz w:val="22"/>
          <w:szCs w:val="22"/>
          <w:lang w:val="en-GB"/>
        </w:rPr>
        <w:t xml:space="preserve">to pay its debts within the meaning in section 123 of the </w:t>
      </w:r>
      <w:r>
        <w:rPr>
          <w:rFonts w:ascii="Avenir Next" w:hAnsi="Avenir Next" w:cs="Arial"/>
          <w:color w:val="7B7B7B" w:themeColor="accent3" w:themeShade="BF"/>
          <w:sz w:val="22"/>
          <w:szCs w:val="22"/>
          <w:lang w:val="en-GB"/>
        </w:rPr>
        <w:t>IA</w:t>
      </w:r>
      <w:r w:rsidRPr="00D11494">
        <w:rPr>
          <w:rFonts w:ascii="Avenir Next" w:hAnsi="Avenir Next" w:cs="Arial"/>
          <w:color w:val="7B7B7B" w:themeColor="accent3" w:themeShade="BF"/>
          <w:sz w:val="22"/>
          <w:szCs w:val="22"/>
          <w:lang w:val="en-GB"/>
        </w:rPr>
        <w:t xml:space="preserve"> or became unable to do so in</w:t>
      </w:r>
      <w:r>
        <w:rPr>
          <w:rFonts w:ascii="Avenir Next" w:hAnsi="Avenir Next" w:cs="Arial"/>
          <w:color w:val="7B7B7B" w:themeColor="accent3" w:themeShade="BF"/>
          <w:sz w:val="22"/>
          <w:szCs w:val="22"/>
          <w:lang w:val="en-GB"/>
        </w:rPr>
        <w:t xml:space="preserve"> </w:t>
      </w:r>
      <w:r w:rsidRPr="00D11494">
        <w:rPr>
          <w:rFonts w:ascii="Avenir Next" w:hAnsi="Avenir Next" w:cs="Arial"/>
          <w:color w:val="7B7B7B" w:themeColor="accent3" w:themeShade="BF"/>
          <w:sz w:val="22"/>
          <w:szCs w:val="22"/>
          <w:lang w:val="en-GB"/>
        </w:rPr>
        <w:t xml:space="preserve">consequence of the transaction. </w:t>
      </w:r>
    </w:p>
    <w:p w14:paraId="3535947B" w14:textId="77777777" w:rsidR="00E615CA" w:rsidRDefault="00E615CA" w:rsidP="006D6117">
      <w:pPr>
        <w:jc w:val="both"/>
        <w:rPr>
          <w:rFonts w:ascii="Avenir Next" w:hAnsi="Avenir Next" w:cs="Arial"/>
          <w:color w:val="7B7B7B" w:themeColor="accent3" w:themeShade="BF"/>
          <w:sz w:val="22"/>
          <w:szCs w:val="22"/>
          <w:lang w:val="en-GB"/>
        </w:rPr>
      </w:pPr>
    </w:p>
    <w:p w14:paraId="7ADF9973" w14:textId="6EA92557" w:rsidR="006A77FA" w:rsidRDefault="00E615CA" w:rsidP="006D611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view of the above, the floating charge was provided in the relevant period, but more analysis will be required to determine if </w:t>
      </w:r>
      <w:r w:rsidRPr="00D11494">
        <w:rPr>
          <w:rFonts w:ascii="Avenir Next" w:hAnsi="Avenir Next" w:cs="Arial"/>
          <w:color w:val="7B7B7B" w:themeColor="accent3" w:themeShade="BF"/>
          <w:sz w:val="22"/>
          <w:szCs w:val="22"/>
          <w:lang w:val="en-GB"/>
        </w:rPr>
        <w:t>at the time of the creation of the charge the company was either unable</w:t>
      </w:r>
      <w:r>
        <w:rPr>
          <w:rFonts w:ascii="Avenir Next" w:hAnsi="Avenir Next" w:cs="Arial"/>
          <w:color w:val="7B7B7B" w:themeColor="accent3" w:themeShade="BF"/>
          <w:sz w:val="22"/>
          <w:szCs w:val="22"/>
          <w:lang w:val="en-GB"/>
        </w:rPr>
        <w:t xml:space="preserve"> </w:t>
      </w:r>
      <w:r w:rsidRPr="00D11494">
        <w:rPr>
          <w:rFonts w:ascii="Avenir Next" w:hAnsi="Avenir Next" w:cs="Arial"/>
          <w:color w:val="7B7B7B" w:themeColor="accent3" w:themeShade="BF"/>
          <w:sz w:val="22"/>
          <w:szCs w:val="22"/>
          <w:lang w:val="en-GB"/>
        </w:rPr>
        <w:t xml:space="preserve">to pay its debts within the meaning in section 123 of the </w:t>
      </w:r>
      <w:r>
        <w:rPr>
          <w:rFonts w:ascii="Avenir Next" w:hAnsi="Avenir Next" w:cs="Arial"/>
          <w:color w:val="7B7B7B" w:themeColor="accent3" w:themeShade="BF"/>
          <w:sz w:val="22"/>
          <w:szCs w:val="22"/>
          <w:lang w:val="en-GB"/>
        </w:rPr>
        <w:t>IA</w:t>
      </w:r>
      <w:r w:rsidRPr="00D11494">
        <w:rPr>
          <w:rFonts w:ascii="Avenir Next" w:hAnsi="Avenir Next" w:cs="Arial"/>
          <w:color w:val="7B7B7B" w:themeColor="accent3" w:themeShade="BF"/>
          <w:sz w:val="22"/>
          <w:szCs w:val="22"/>
          <w:lang w:val="en-GB"/>
        </w:rPr>
        <w:t xml:space="preserve"> or became unable to do so in</w:t>
      </w:r>
      <w:r>
        <w:rPr>
          <w:rFonts w:ascii="Avenir Next" w:hAnsi="Avenir Next" w:cs="Arial"/>
          <w:color w:val="7B7B7B" w:themeColor="accent3" w:themeShade="BF"/>
          <w:sz w:val="22"/>
          <w:szCs w:val="22"/>
          <w:lang w:val="en-GB"/>
        </w:rPr>
        <w:t xml:space="preserve"> </w:t>
      </w:r>
      <w:r w:rsidRPr="00D11494">
        <w:rPr>
          <w:rFonts w:ascii="Avenir Next" w:hAnsi="Avenir Next" w:cs="Arial"/>
          <w:color w:val="7B7B7B" w:themeColor="accent3" w:themeShade="BF"/>
          <w:sz w:val="22"/>
          <w:szCs w:val="22"/>
          <w:lang w:val="en-GB"/>
        </w:rPr>
        <w:t xml:space="preserve">consequence of the transaction. </w:t>
      </w:r>
      <w:r>
        <w:rPr>
          <w:rFonts w:ascii="Avenir Next" w:hAnsi="Avenir Next" w:cs="Arial"/>
          <w:color w:val="7B7B7B" w:themeColor="accent3" w:themeShade="BF"/>
          <w:sz w:val="22"/>
          <w:szCs w:val="22"/>
          <w:lang w:val="en-GB"/>
        </w:rPr>
        <w:t>B</w:t>
      </w:r>
      <w:r w:rsidR="00D11494">
        <w:rPr>
          <w:rFonts w:ascii="Avenir Next" w:hAnsi="Avenir Next" w:cs="Arial"/>
          <w:color w:val="7B7B7B" w:themeColor="accent3" w:themeShade="BF"/>
          <w:sz w:val="22"/>
          <w:szCs w:val="22"/>
          <w:lang w:val="en-GB"/>
        </w:rPr>
        <w:t xml:space="preserve">ased on the information </w:t>
      </w:r>
      <w:r>
        <w:rPr>
          <w:rFonts w:ascii="Avenir Next" w:hAnsi="Avenir Next" w:cs="Arial"/>
          <w:color w:val="7B7B7B" w:themeColor="accent3" w:themeShade="BF"/>
          <w:sz w:val="22"/>
          <w:szCs w:val="22"/>
          <w:lang w:val="en-GB"/>
        </w:rPr>
        <w:t xml:space="preserve">that </w:t>
      </w:r>
      <w:r w:rsidR="00D11494">
        <w:rPr>
          <w:rFonts w:ascii="Avenir Next" w:hAnsi="Avenir Next" w:cs="Arial"/>
          <w:color w:val="7B7B7B" w:themeColor="accent3" w:themeShade="BF"/>
          <w:sz w:val="22"/>
          <w:szCs w:val="22"/>
          <w:lang w:val="en-GB"/>
        </w:rPr>
        <w:t xml:space="preserve">we </w:t>
      </w:r>
      <w:r>
        <w:rPr>
          <w:rFonts w:ascii="Avenir Next" w:hAnsi="Avenir Next" w:cs="Arial"/>
          <w:color w:val="7B7B7B" w:themeColor="accent3" w:themeShade="BF"/>
          <w:sz w:val="22"/>
          <w:szCs w:val="22"/>
          <w:lang w:val="en-GB"/>
        </w:rPr>
        <w:t xml:space="preserve">do </w:t>
      </w:r>
      <w:r w:rsidR="00D11494">
        <w:rPr>
          <w:rFonts w:ascii="Avenir Next" w:hAnsi="Avenir Next" w:cs="Arial"/>
          <w:color w:val="7B7B7B" w:themeColor="accent3" w:themeShade="BF"/>
          <w:sz w:val="22"/>
          <w:szCs w:val="22"/>
          <w:lang w:val="en-GB"/>
        </w:rPr>
        <w:t>have to hand, we know that that the creditor's winding up petition which resulted in the winding up order was filed on 13 January 2024</w:t>
      </w:r>
      <w:r w:rsidR="006A77FA">
        <w:rPr>
          <w:rFonts w:ascii="Avenir Next" w:hAnsi="Avenir Next" w:cs="Arial"/>
          <w:color w:val="7B7B7B" w:themeColor="accent3" w:themeShade="BF"/>
          <w:sz w:val="22"/>
          <w:szCs w:val="22"/>
          <w:lang w:val="en-GB"/>
        </w:rPr>
        <w:t xml:space="preserve">, creditors were threatening to stop supply in January 2024 and that the Company was experiencing some cash flow issues as early as January 2023. </w:t>
      </w:r>
    </w:p>
    <w:p w14:paraId="25548BDD" w14:textId="77777777" w:rsidR="006A77FA" w:rsidRDefault="006A77FA" w:rsidP="006D6117">
      <w:pPr>
        <w:jc w:val="both"/>
        <w:rPr>
          <w:rFonts w:ascii="Avenir Next" w:hAnsi="Avenir Next" w:cs="Arial"/>
          <w:color w:val="7B7B7B" w:themeColor="accent3" w:themeShade="BF"/>
          <w:sz w:val="22"/>
          <w:szCs w:val="22"/>
          <w:lang w:val="en-GB"/>
        </w:rPr>
      </w:pPr>
    </w:p>
    <w:p w14:paraId="024A5709" w14:textId="77777777" w:rsidR="006A77FA" w:rsidRDefault="006A77FA" w:rsidP="006A77F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Whether or not the Company was insolvent in January 2023 will come down to a further investigation and reference to sections 123(c) and (d) of the IA which says that a debtor company is insolvent if it is either </w:t>
      </w:r>
      <w:r w:rsidRPr="006A77FA">
        <w:rPr>
          <w:rFonts w:ascii="Avenir Next" w:hAnsi="Avenir Next" w:cs="Arial"/>
          <w:color w:val="7B7B7B" w:themeColor="accent3" w:themeShade="BF"/>
          <w:sz w:val="22"/>
          <w:szCs w:val="22"/>
          <w:lang w:val="en-GB"/>
        </w:rPr>
        <w:t>unable to pay its debts as</w:t>
      </w:r>
      <w:r>
        <w:rPr>
          <w:rFonts w:ascii="Avenir Next" w:hAnsi="Avenir Next" w:cs="Arial"/>
          <w:color w:val="7B7B7B" w:themeColor="accent3" w:themeShade="BF"/>
          <w:sz w:val="22"/>
          <w:szCs w:val="22"/>
          <w:lang w:val="en-GB"/>
        </w:rPr>
        <w:t xml:space="preserve"> </w:t>
      </w:r>
      <w:r w:rsidRPr="006A77FA">
        <w:rPr>
          <w:rFonts w:ascii="Avenir Next" w:hAnsi="Avenir Next" w:cs="Arial"/>
          <w:color w:val="7B7B7B" w:themeColor="accent3" w:themeShade="BF"/>
          <w:sz w:val="22"/>
          <w:szCs w:val="22"/>
          <w:lang w:val="en-GB"/>
        </w:rPr>
        <w:t>they fall due (cash flow insolvency);</w:t>
      </w:r>
      <w:r>
        <w:rPr>
          <w:rFonts w:ascii="Avenir Next" w:hAnsi="Avenir Next" w:cs="Arial"/>
          <w:color w:val="7B7B7B" w:themeColor="accent3" w:themeShade="BF"/>
          <w:sz w:val="22"/>
          <w:szCs w:val="22"/>
          <w:lang w:val="en-GB"/>
        </w:rPr>
        <w:t xml:space="preserve"> or </w:t>
      </w:r>
      <w:r w:rsidRPr="006A77FA">
        <w:rPr>
          <w:rFonts w:ascii="Avenir Next" w:hAnsi="Avenir Next" w:cs="Arial"/>
          <w:color w:val="7B7B7B" w:themeColor="accent3" w:themeShade="BF"/>
          <w:sz w:val="22"/>
          <w:szCs w:val="22"/>
          <w:lang w:val="en-GB"/>
        </w:rPr>
        <w:t>proved to the satisfaction of the court that the value of the company’s assets is less than</w:t>
      </w:r>
      <w:r>
        <w:rPr>
          <w:rFonts w:ascii="Avenir Next" w:hAnsi="Avenir Next" w:cs="Arial"/>
          <w:color w:val="7B7B7B" w:themeColor="accent3" w:themeShade="BF"/>
          <w:sz w:val="22"/>
          <w:szCs w:val="22"/>
          <w:lang w:val="en-GB"/>
        </w:rPr>
        <w:t xml:space="preserve"> </w:t>
      </w:r>
      <w:r w:rsidRPr="006A77FA">
        <w:rPr>
          <w:rFonts w:ascii="Avenir Next" w:hAnsi="Avenir Next" w:cs="Arial"/>
          <w:color w:val="7B7B7B" w:themeColor="accent3" w:themeShade="BF"/>
          <w:sz w:val="22"/>
          <w:szCs w:val="22"/>
          <w:lang w:val="en-GB"/>
        </w:rPr>
        <w:t>the amount of its liabilities, taking into account its contingent and prospective liabilities</w:t>
      </w:r>
      <w:r>
        <w:rPr>
          <w:rFonts w:ascii="Avenir Next" w:hAnsi="Avenir Next" w:cs="Arial"/>
          <w:color w:val="7B7B7B" w:themeColor="accent3" w:themeShade="BF"/>
          <w:sz w:val="22"/>
          <w:szCs w:val="22"/>
          <w:lang w:val="en-GB"/>
        </w:rPr>
        <w:t xml:space="preserve"> </w:t>
      </w:r>
      <w:r w:rsidRPr="006A77FA">
        <w:rPr>
          <w:rFonts w:ascii="Avenir Next" w:hAnsi="Avenir Next" w:cs="Arial"/>
          <w:color w:val="7B7B7B" w:themeColor="accent3" w:themeShade="BF"/>
          <w:sz w:val="22"/>
          <w:szCs w:val="22"/>
          <w:lang w:val="en-GB"/>
        </w:rPr>
        <w:t>(balance sheet insolvency)</w:t>
      </w:r>
      <w:r>
        <w:rPr>
          <w:rFonts w:ascii="Avenir Next" w:hAnsi="Avenir Next" w:cs="Arial"/>
          <w:color w:val="7B7B7B" w:themeColor="accent3" w:themeShade="BF"/>
          <w:sz w:val="22"/>
          <w:szCs w:val="22"/>
          <w:lang w:val="en-GB"/>
        </w:rPr>
        <w:t>.</w:t>
      </w:r>
      <w:r>
        <w:rPr>
          <w:rStyle w:val="FootnoteReference"/>
          <w:rFonts w:ascii="Avenir Next" w:hAnsi="Avenir Next" w:cs="Arial"/>
          <w:color w:val="7B7B7B" w:themeColor="accent3" w:themeShade="BF"/>
          <w:sz w:val="22"/>
          <w:szCs w:val="22"/>
          <w:lang w:val="en-GB"/>
        </w:rPr>
        <w:footnoteReference w:id="23"/>
      </w:r>
      <w:r>
        <w:rPr>
          <w:rFonts w:ascii="Avenir Next" w:hAnsi="Avenir Next" w:cs="Arial"/>
          <w:color w:val="7B7B7B" w:themeColor="accent3" w:themeShade="BF"/>
          <w:sz w:val="22"/>
          <w:szCs w:val="22"/>
          <w:lang w:val="en-GB"/>
        </w:rPr>
        <w:t xml:space="preserve"> </w:t>
      </w:r>
    </w:p>
    <w:p w14:paraId="1B016EF2" w14:textId="77777777" w:rsidR="006A77FA" w:rsidRDefault="006A77FA" w:rsidP="006A77FA">
      <w:pPr>
        <w:jc w:val="both"/>
        <w:rPr>
          <w:rFonts w:ascii="Avenir Next" w:hAnsi="Avenir Next" w:cs="Arial"/>
          <w:color w:val="7B7B7B" w:themeColor="accent3" w:themeShade="BF"/>
          <w:sz w:val="22"/>
          <w:szCs w:val="22"/>
          <w:lang w:val="en-GB"/>
        </w:rPr>
      </w:pPr>
    </w:p>
    <w:p w14:paraId="38D986E5" w14:textId="6A0A5EEF" w:rsidR="00DF3540" w:rsidRDefault="006A77FA" w:rsidP="00DF354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other words, the Company will be </w:t>
      </w:r>
      <w:proofErr w:type="gramStart"/>
      <w:r w:rsidRPr="006A77FA">
        <w:rPr>
          <w:rFonts w:ascii="Avenir Next" w:hAnsi="Avenir Next" w:cs="Arial"/>
          <w:color w:val="7B7B7B" w:themeColor="accent3" w:themeShade="BF"/>
          <w:sz w:val="22"/>
          <w:szCs w:val="22"/>
          <w:lang w:val="en-GB"/>
        </w:rPr>
        <w:t>balanc</w:t>
      </w:r>
      <w:r>
        <w:rPr>
          <w:rFonts w:ascii="Avenir Next" w:hAnsi="Avenir Next" w:cs="Arial"/>
          <w:color w:val="7B7B7B" w:themeColor="accent3" w:themeShade="BF"/>
          <w:sz w:val="22"/>
          <w:szCs w:val="22"/>
          <w:lang w:val="en-GB"/>
        </w:rPr>
        <w:t>e</w:t>
      </w:r>
      <w:proofErr w:type="gramEnd"/>
      <w:r>
        <w:rPr>
          <w:rFonts w:ascii="Avenir Next" w:hAnsi="Avenir Next" w:cs="Arial"/>
          <w:color w:val="7B7B7B" w:themeColor="accent3" w:themeShade="BF"/>
          <w:sz w:val="22"/>
          <w:szCs w:val="22"/>
          <w:lang w:val="en-GB"/>
        </w:rPr>
        <w:t xml:space="preserve"> </w:t>
      </w:r>
      <w:r w:rsidRPr="006A77FA">
        <w:rPr>
          <w:rFonts w:ascii="Avenir Next" w:hAnsi="Avenir Next" w:cs="Arial"/>
          <w:color w:val="7B7B7B" w:themeColor="accent3" w:themeShade="BF"/>
          <w:sz w:val="22"/>
          <w:szCs w:val="22"/>
          <w:lang w:val="en-GB"/>
        </w:rPr>
        <w:t>sheet insolvent if the value of its assets is less than its liabilities</w:t>
      </w:r>
      <w:r>
        <w:rPr>
          <w:rFonts w:ascii="Avenir Next" w:hAnsi="Avenir Next" w:cs="Arial"/>
          <w:color w:val="7B7B7B" w:themeColor="accent3" w:themeShade="BF"/>
          <w:sz w:val="22"/>
          <w:szCs w:val="22"/>
          <w:lang w:val="en-GB"/>
        </w:rPr>
        <w:t xml:space="preserve"> </w:t>
      </w:r>
      <w:r w:rsidRPr="006A77FA">
        <w:rPr>
          <w:rFonts w:ascii="Avenir Next" w:hAnsi="Avenir Next" w:cs="Arial"/>
          <w:color w:val="7B7B7B" w:themeColor="accent3" w:themeShade="BF"/>
          <w:sz w:val="22"/>
          <w:szCs w:val="22"/>
          <w:lang w:val="en-GB"/>
        </w:rPr>
        <w:t>(taking into account any future or contingent liabilities as well as its current liabilities</w:t>
      </w:r>
      <w:r>
        <w:rPr>
          <w:rFonts w:ascii="Avenir Next" w:hAnsi="Avenir Next" w:cs="Arial"/>
          <w:color w:val="7B7B7B" w:themeColor="accent3" w:themeShade="BF"/>
          <w:sz w:val="22"/>
          <w:szCs w:val="22"/>
          <w:lang w:val="en-GB"/>
        </w:rPr>
        <w:t xml:space="preserve"> and/or </w:t>
      </w:r>
      <w:r w:rsidRPr="006A77FA">
        <w:rPr>
          <w:rFonts w:ascii="Avenir Next" w:hAnsi="Avenir Next" w:cs="Arial"/>
          <w:color w:val="7B7B7B" w:themeColor="accent3" w:themeShade="BF"/>
          <w:sz w:val="22"/>
          <w:szCs w:val="22"/>
          <w:lang w:val="en-GB"/>
        </w:rPr>
        <w:t xml:space="preserve">cash flow insolvent where it is unable to pay its debts as they fall due. </w:t>
      </w:r>
      <w:r>
        <w:rPr>
          <w:rFonts w:ascii="Avenir Next" w:hAnsi="Avenir Next" w:cs="Arial"/>
          <w:color w:val="7B7B7B" w:themeColor="accent3" w:themeShade="BF"/>
          <w:sz w:val="22"/>
          <w:szCs w:val="22"/>
          <w:lang w:val="en-GB"/>
        </w:rPr>
        <w:t>With that in mind, the fact that the Company was experiencing some cash flow issues in January 2023 when it sold the laser cutters doesn’t necessarily mean that it was insolvent at that time because it may have still had a strong balance sheet at that time.</w:t>
      </w:r>
      <w:r>
        <w:rPr>
          <w:rStyle w:val="FootnoteReference"/>
          <w:rFonts w:ascii="Avenir Next" w:hAnsi="Avenir Next" w:cs="Arial"/>
          <w:color w:val="7B7B7B" w:themeColor="accent3" w:themeShade="BF"/>
          <w:sz w:val="22"/>
          <w:szCs w:val="22"/>
          <w:lang w:val="en-GB"/>
        </w:rPr>
        <w:footnoteReference w:id="24"/>
      </w:r>
      <w:r>
        <w:rPr>
          <w:rFonts w:ascii="Avenir Next" w:hAnsi="Avenir Next" w:cs="Arial"/>
          <w:color w:val="7B7B7B" w:themeColor="accent3" w:themeShade="BF"/>
          <w:sz w:val="22"/>
          <w:szCs w:val="22"/>
          <w:lang w:val="en-GB"/>
        </w:rPr>
        <w:t xml:space="preserve"> </w:t>
      </w:r>
    </w:p>
    <w:p w14:paraId="1A34C5BA" w14:textId="77777777" w:rsidR="006A77FA" w:rsidRDefault="006A77FA" w:rsidP="006D6117">
      <w:pPr>
        <w:jc w:val="both"/>
        <w:rPr>
          <w:rFonts w:ascii="Avenir Next" w:hAnsi="Avenir Next" w:cs="Arial"/>
          <w:color w:val="7B7B7B" w:themeColor="accent3" w:themeShade="BF"/>
          <w:sz w:val="22"/>
          <w:szCs w:val="22"/>
          <w:lang w:val="en-GB"/>
        </w:rPr>
      </w:pPr>
    </w:p>
    <w:p w14:paraId="6774E006" w14:textId="2F451D41" w:rsidR="006D6117" w:rsidRDefault="002A001C" w:rsidP="006D611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w:t>
      </w:r>
      <w:r w:rsidRPr="006D6117">
        <w:rPr>
          <w:rFonts w:ascii="Avenir Next" w:hAnsi="Avenir Next" w:cs="Arial"/>
          <w:color w:val="7B7B7B" w:themeColor="accent3" w:themeShade="BF"/>
          <w:sz w:val="22"/>
          <w:szCs w:val="22"/>
          <w:lang w:val="en-GB"/>
        </w:rPr>
        <w:t>Ambitus Bank plc</w:t>
      </w:r>
      <w:r>
        <w:rPr>
          <w:rFonts w:ascii="Avenir Next" w:hAnsi="Avenir Next" w:cs="Arial"/>
          <w:color w:val="7B7B7B" w:themeColor="accent3" w:themeShade="BF"/>
          <w:sz w:val="22"/>
          <w:szCs w:val="22"/>
          <w:lang w:val="en-GB"/>
        </w:rPr>
        <w:t xml:space="preserve"> was a connected person to the Company, then the relevant </w:t>
      </w:r>
      <w:proofErr w:type="gramStart"/>
      <w:r>
        <w:rPr>
          <w:rFonts w:ascii="Avenir Next" w:hAnsi="Avenir Next" w:cs="Arial"/>
          <w:color w:val="7B7B7B" w:themeColor="accent3" w:themeShade="BF"/>
          <w:sz w:val="22"/>
          <w:szCs w:val="22"/>
          <w:lang w:val="en-GB"/>
        </w:rPr>
        <w:t>time period</w:t>
      </w:r>
      <w:proofErr w:type="gramEnd"/>
      <w:r>
        <w:rPr>
          <w:rFonts w:ascii="Avenir Next" w:hAnsi="Avenir Next" w:cs="Arial"/>
          <w:color w:val="7B7B7B" w:themeColor="accent3" w:themeShade="BF"/>
          <w:sz w:val="22"/>
          <w:szCs w:val="22"/>
          <w:lang w:val="en-GB"/>
        </w:rPr>
        <w:t xml:space="preserve"> for the purpose of section 245 of the IA </w:t>
      </w:r>
      <w:r w:rsidR="006D6117" w:rsidRPr="006D6117">
        <w:rPr>
          <w:rFonts w:ascii="Avenir Next" w:hAnsi="Avenir Next" w:cs="Arial"/>
          <w:color w:val="7B7B7B" w:themeColor="accent3" w:themeShade="BF"/>
          <w:sz w:val="22"/>
          <w:szCs w:val="22"/>
          <w:lang w:val="en-GB"/>
        </w:rPr>
        <w:t>is</w:t>
      </w:r>
      <w:r>
        <w:rPr>
          <w:rFonts w:ascii="Avenir Next" w:hAnsi="Avenir Next" w:cs="Arial"/>
          <w:color w:val="7B7B7B" w:themeColor="accent3" w:themeShade="BF"/>
          <w:sz w:val="22"/>
          <w:szCs w:val="22"/>
          <w:lang w:val="en-GB"/>
        </w:rPr>
        <w:t xml:space="preserve"> </w:t>
      </w:r>
      <w:r w:rsidR="006D6117" w:rsidRPr="006D6117">
        <w:rPr>
          <w:rFonts w:ascii="Avenir Next" w:hAnsi="Avenir Next" w:cs="Arial"/>
          <w:color w:val="7B7B7B" w:themeColor="accent3" w:themeShade="BF"/>
          <w:sz w:val="22"/>
          <w:szCs w:val="22"/>
          <w:lang w:val="en-GB"/>
        </w:rPr>
        <w:t>any time within the period of two years prior to the onset of insolvenc</w:t>
      </w:r>
      <w:r>
        <w:rPr>
          <w:rFonts w:ascii="Avenir Next" w:hAnsi="Avenir Next" w:cs="Arial"/>
          <w:color w:val="7B7B7B" w:themeColor="accent3" w:themeShade="BF"/>
          <w:sz w:val="22"/>
          <w:szCs w:val="22"/>
          <w:lang w:val="en-GB"/>
        </w:rPr>
        <w:t xml:space="preserve">y, however, there is no evidence that </w:t>
      </w:r>
      <w:r w:rsidRPr="006D6117">
        <w:rPr>
          <w:rFonts w:ascii="Avenir Next" w:hAnsi="Avenir Next" w:cs="Arial"/>
          <w:color w:val="7B7B7B" w:themeColor="accent3" w:themeShade="BF"/>
          <w:sz w:val="22"/>
          <w:szCs w:val="22"/>
          <w:lang w:val="en-GB"/>
        </w:rPr>
        <w:t>Ambitus Bank plc</w:t>
      </w:r>
      <w:r>
        <w:rPr>
          <w:rFonts w:ascii="Avenir Next" w:hAnsi="Avenir Next" w:cs="Arial"/>
          <w:color w:val="7B7B7B" w:themeColor="accent3" w:themeShade="BF"/>
          <w:sz w:val="22"/>
          <w:szCs w:val="22"/>
          <w:lang w:val="en-GB"/>
        </w:rPr>
        <w:t xml:space="preserve"> would meet the connected person test. </w:t>
      </w:r>
    </w:p>
    <w:p w14:paraId="4F6FEE70" w14:textId="77777777" w:rsidR="002A001C" w:rsidRDefault="002A001C" w:rsidP="006D6117">
      <w:pPr>
        <w:jc w:val="both"/>
        <w:rPr>
          <w:rFonts w:ascii="Avenir Next" w:hAnsi="Avenir Next" w:cs="Arial"/>
          <w:color w:val="7B7B7B" w:themeColor="accent3" w:themeShade="BF"/>
          <w:sz w:val="22"/>
          <w:szCs w:val="22"/>
          <w:lang w:val="en-GB"/>
        </w:rPr>
      </w:pPr>
    </w:p>
    <w:p w14:paraId="3FAE63BC" w14:textId="12E8AA49" w:rsidR="00C4069E" w:rsidRDefault="002A001C" w:rsidP="00C4069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previously mentioned, there is no evidence that </w:t>
      </w:r>
      <w:r w:rsidRPr="006D6117">
        <w:rPr>
          <w:rFonts w:ascii="Avenir Next" w:hAnsi="Avenir Next" w:cs="Arial"/>
          <w:color w:val="7B7B7B" w:themeColor="accent3" w:themeShade="BF"/>
          <w:sz w:val="22"/>
          <w:szCs w:val="22"/>
          <w:lang w:val="en-GB"/>
        </w:rPr>
        <w:t>Ambitus Bank plc</w:t>
      </w:r>
      <w:r>
        <w:rPr>
          <w:rFonts w:ascii="Avenir Next" w:hAnsi="Avenir Next" w:cs="Arial"/>
          <w:color w:val="7B7B7B" w:themeColor="accent3" w:themeShade="BF"/>
          <w:sz w:val="22"/>
          <w:szCs w:val="22"/>
          <w:lang w:val="en-GB"/>
        </w:rPr>
        <w:t xml:space="preserve"> provided any new consideration for the floating charge. This is important because section 245 of the IA provides that a floating charge will not be invalid if new consideration was provided. Based on the facts we are told that the floating charge was provided in respect of the Company's existing loans and to stop </w:t>
      </w:r>
      <w:r w:rsidRPr="006D6117">
        <w:rPr>
          <w:rFonts w:ascii="Avenir Next" w:hAnsi="Avenir Next" w:cs="Arial"/>
          <w:color w:val="7B7B7B" w:themeColor="accent3" w:themeShade="BF"/>
          <w:sz w:val="22"/>
          <w:szCs w:val="22"/>
          <w:lang w:val="en-GB"/>
        </w:rPr>
        <w:t>Ambitus Bank plc</w:t>
      </w:r>
      <w:r>
        <w:rPr>
          <w:rFonts w:ascii="Avenir Next" w:hAnsi="Avenir Next" w:cs="Arial"/>
          <w:color w:val="7B7B7B" w:themeColor="accent3" w:themeShade="BF"/>
          <w:sz w:val="22"/>
          <w:szCs w:val="22"/>
          <w:lang w:val="en-GB"/>
        </w:rPr>
        <w:t xml:space="preserve"> from requiring repayment. </w:t>
      </w:r>
      <w:r w:rsidR="00C4069E">
        <w:rPr>
          <w:rFonts w:ascii="Avenir Next" w:hAnsi="Avenir Next" w:cs="Arial"/>
          <w:color w:val="7B7B7B" w:themeColor="accent3" w:themeShade="BF"/>
          <w:sz w:val="22"/>
          <w:szCs w:val="22"/>
          <w:lang w:val="en-GB"/>
        </w:rPr>
        <w:t>For completeness the two categories of new consideration that are set out in section 245 of the IA as not being capable of invalidating a floating charge are t</w:t>
      </w:r>
      <w:r w:rsidR="00C4069E" w:rsidRPr="00C4069E">
        <w:rPr>
          <w:rFonts w:ascii="Avenir Next" w:hAnsi="Avenir Next" w:cs="Arial"/>
          <w:color w:val="7B7B7B" w:themeColor="accent3" w:themeShade="BF"/>
          <w:sz w:val="22"/>
          <w:szCs w:val="22"/>
          <w:lang w:val="en-GB"/>
        </w:rPr>
        <w:t>he value of so much of the consideration</w:t>
      </w:r>
      <w:r w:rsidR="00C4069E">
        <w:rPr>
          <w:rFonts w:ascii="Avenir Next" w:hAnsi="Avenir Next" w:cs="Arial"/>
          <w:color w:val="7B7B7B" w:themeColor="accent3" w:themeShade="BF"/>
          <w:sz w:val="22"/>
          <w:szCs w:val="22"/>
          <w:lang w:val="en-GB"/>
        </w:rPr>
        <w:t>:</w:t>
      </w:r>
    </w:p>
    <w:p w14:paraId="2E35DE7D" w14:textId="77777777" w:rsidR="00C4069E" w:rsidRDefault="00C4069E" w:rsidP="00C4069E">
      <w:pPr>
        <w:jc w:val="both"/>
        <w:rPr>
          <w:rFonts w:ascii="Avenir Next" w:hAnsi="Avenir Next" w:cs="Arial"/>
          <w:color w:val="7B7B7B" w:themeColor="accent3" w:themeShade="BF"/>
          <w:sz w:val="22"/>
          <w:szCs w:val="22"/>
          <w:lang w:val="en-GB"/>
        </w:rPr>
      </w:pPr>
    </w:p>
    <w:p w14:paraId="11AC47DC" w14:textId="20350CB9" w:rsidR="002A001C" w:rsidRDefault="00C4069E" w:rsidP="00C4069E">
      <w:pPr>
        <w:pStyle w:val="ListParagraph"/>
        <w:numPr>
          <w:ilvl w:val="0"/>
          <w:numId w:val="21"/>
        </w:numPr>
        <w:jc w:val="both"/>
        <w:rPr>
          <w:rFonts w:ascii="Avenir Next" w:hAnsi="Avenir Next" w:cs="Arial"/>
          <w:color w:val="7B7B7B" w:themeColor="accent3" w:themeShade="BF"/>
          <w:sz w:val="22"/>
          <w:szCs w:val="22"/>
          <w:lang w:val="en-GB"/>
        </w:rPr>
      </w:pPr>
      <w:r w:rsidRPr="00C4069E">
        <w:rPr>
          <w:rFonts w:ascii="Avenir Next" w:hAnsi="Avenir Next" w:cs="Arial"/>
          <w:color w:val="7B7B7B" w:themeColor="accent3" w:themeShade="BF"/>
          <w:sz w:val="22"/>
          <w:szCs w:val="22"/>
          <w:lang w:val="en-GB"/>
        </w:rPr>
        <w:t>for the creation of the charge as consists of money paid, or goods or services supplied, to the company at the same time as, or after, the creation of the charge; and</w:t>
      </w:r>
    </w:p>
    <w:p w14:paraId="7908E7AE" w14:textId="77777777" w:rsidR="00C4069E" w:rsidRPr="00C4069E" w:rsidRDefault="00C4069E" w:rsidP="00C4069E">
      <w:pPr>
        <w:pStyle w:val="ListParagraph"/>
        <w:jc w:val="both"/>
        <w:rPr>
          <w:rFonts w:ascii="Avenir Next" w:hAnsi="Avenir Next" w:cs="Arial"/>
          <w:color w:val="7B7B7B" w:themeColor="accent3" w:themeShade="BF"/>
          <w:sz w:val="22"/>
          <w:szCs w:val="22"/>
          <w:lang w:val="en-GB"/>
        </w:rPr>
      </w:pPr>
    </w:p>
    <w:p w14:paraId="3C5CC70B" w14:textId="4E169F39" w:rsidR="00C4069E" w:rsidRDefault="00C4069E" w:rsidP="00C4069E">
      <w:pPr>
        <w:pStyle w:val="ListParagraph"/>
        <w:numPr>
          <w:ilvl w:val="0"/>
          <w:numId w:val="21"/>
        </w:numPr>
        <w:jc w:val="both"/>
        <w:rPr>
          <w:rFonts w:ascii="Avenir Next" w:hAnsi="Avenir Next" w:cs="Arial"/>
          <w:color w:val="7B7B7B" w:themeColor="accent3" w:themeShade="BF"/>
          <w:sz w:val="22"/>
          <w:szCs w:val="22"/>
          <w:lang w:val="en-GB"/>
        </w:rPr>
      </w:pPr>
      <w:r w:rsidRPr="00C4069E">
        <w:rPr>
          <w:rFonts w:ascii="Avenir Next" w:hAnsi="Avenir Next" w:cs="Arial"/>
          <w:color w:val="7B7B7B" w:themeColor="accent3" w:themeShade="BF"/>
          <w:sz w:val="22"/>
          <w:szCs w:val="22"/>
          <w:lang w:val="en-GB"/>
        </w:rPr>
        <w:lastRenderedPageBreak/>
        <w:t>as consists of the discharge or reduction, at the</w:t>
      </w:r>
      <w:r>
        <w:rPr>
          <w:rFonts w:ascii="Avenir Next" w:hAnsi="Avenir Next" w:cs="Arial"/>
          <w:color w:val="7B7B7B" w:themeColor="accent3" w:themeShade="BF"/>
          <w:sz w:val="22"/>
          <w:szCs w:val="22"/>
          <w:lang w:val="en-GB"/>
        </w:rPr>
        <w:t xml:space="preserve"> </w:t>
      </w:r>
      <w:r w:rsidRPr="00C4069E">
        <w:rPr>
          <w:rFonts w:ascii="Avenir Next" w:hAnsi="Avenir Next" w:cs="Arial"/>
          <w:color w:val="7B7B7B" w:themeColor="accent3" w:themeShade="BF"/>
          <w:sz w:val="22"/>
          <w:szCs w:val="22"/>
          <w:lang w:val="en-GB"/>
        </w:rPr>
        <w:t>same time as, or after, the creation of the charge, of any debt of the company.</w:t>
      </w:r>
      <w:r>
        <w:rPr>
          <w:rStyle w:val="FootnoteReference"/>
          <w:rFonts w:ascii="Avenir Next" w:hAnsi="Avenir Next" w:cs="Arial"/>
          <w:color w:val="7B7B7B" w:themeColor="accent3" w:themeShade="BF"/>
          <w:sz w:val="22"/>
          <w:szCs w:val="22"/>
          <w:lang w:val="en-GB"/>
        </w:rPr>
        <w:footnoteReference w:id="25"/>
      </w:r>
      <w:r>
        <w:rPr>
          <w:rFonts w:ascii="Avenir Next" w:hAnsi="Avenir Next" w:cs="Arial"/>
          <w:color w:val="7B7B7B" w:themeColor="accent3" w:themeShade="BF"/>
          <w:sz w:val="22"/>
          <w:szCs w:val="22"/>
          <w:lang w:val="en-GB"/>
        </w:rPr>
        <w:t xml:space="preserve"> </w:t>
      </w:r>
      <w:r w:rsidRPr="00C4069E">
        <w:rPr>
          <w:rFonts w:ascii="Avenir Next" w:hAnsi="Avenir Next" w:cs="Arial"/>
          <w:color w:val="7B7B7B" w:themeColor="accent3" w:themeShade="BF"/>
          <w:sz w:val="22"/>
          <w:szCs w:val="22"/>
          <w:lang w:val="en-GB"/>
        </w:rPr>
        <w:t xml:space="preserve">This category </w:t>
      </w:r>
      <w:r>
        <w:rPr>
          <w:rFonts w:ascii="Avenir Next" w:hAnsi="Avenir Next" w:cs="Arial"/>
          <w:color w:val="7B7B7B" w:themeColor="accent3" w:themeShade="BF"/>
          <w:sz w:val="22"/>
          <w:szCs w:val="22"/>
          <w:lang w:val="en-GB"/>
        </w:rPr>
        <w:t xml:space="preserve">also </w:t>
      </w:r>
      <w:r w:rsidRPr="00C4069E">
        <w:rPr>
          <w:rFonts w:ascii="Avenir Next" w:hAnsi="Avenir Next" w:cs="Arial"/>
          <w:color w:val="7B7B7B" w:themeColor="accent3" w:themeShade="BF"/>
          <w:sz w:val="22"/>
          <w:szCs w:val="22"/>
          <w:lang w:val="en-GB"/>
        </w:rPr>
        <w:t>specifically provides that a floating charge is not to be</w:t>
      </w:r>
      <w:r>
        <w:rPr>
          <w:rFonts w:ascii="Avenir Next" w:hAnsi="Avenir Next" w:cs="Arial"/>
          <w:color w:val="7B7B7B" w:themeColor="accent3" w:themeShade="BF"/>
          <w:sz w:val="22"/>
          <w:szCs w:val="22"/>
          <w:lang w:val="en-GB"/>
        </w:rPr>
        <w:t xml:space="preserve"> </w:t>
      </w:r>
      <w:r w:rsidRPr="00C4069E">
        <w:rPr>
          <w:rFonts w:ascii="Avenir Next" w:hAnsi="Avenir Next" w:cs="Arial"/>
          <w:color w:val="7B7B7B" w:themeColor="accent3" w:themeShade="BF"/>
          <w:sz w:val="22"/>
          <w:szCs w:val="22"/>
          <w:lang w:val="en-GB"/>
        </w:rPr>
        <w:t>invalidated to the extent of consideration by way of discharge or reduction of a debt of the</w:t>
      </w:r>
      <w:r>
        <w:rPr>
          <w:rFonts w:ascii="Avenir Next" w:hAnsi="Avenir Next" w:cs="Arial"/>
          <w:color w:val="7B7B7B" w:themeColor="accent3" w:themeShade="BF"/>
          <w:sz w:val="22"/>
          <w:szCs w:val="22"/>
          <w:lang w:val="en-GB"/>
        </w:rPr>
        <w:t xml:space="preserve"> </w:t>
      </w:r>
      <w:r w:rsidRPr="00C4069E">
        <w:rPr>
          <w:rFonts w:ascii="Avenir Next" w:hAnsi="Avenir Next" w:cs="Arial"/>
          <w:color w:val="7B7B7B" w:themeColor="accent3" w:themeShade="BF"/>
          <w:sz w:val="22"/>
          <w:szCs w:val="22"/>
          <w:lang w:val="en-GB"/>
        </w:rPr>
        <w:t>company</w:t>
      </w:r>
      <w:r>
        <w:rPr>
          <w:rFonts w:ascii="Avenir Next" w:hAnsi="Avenir Next" w:cs="Arial"/>
          <w:color w:val="7B7B7B" w:themeColor="accent3" w:themeShade="BF"/>
          <w:sz w:val="22"/>
          <w:szCs w:val="22"/>
          <w:lang w:val="en-GB"/>
        </w:rPr>
        <w:t>.</w:t>
      </w:r>
    </w:p>
    <w:p w14:paraId="082DE7CE" w14:textId="77777777" w:rsidR="00C4069E" w:rsidRPr="00C4069E" w:rsidRDefault="00C4069E" w:rsidP="00C4069E">
      <w:pPr>
        <w:pStyle w:val="ListParagraph"/>
        <w:rPr>
          <w:rFonts w:ascii="Avenir Next" w:hAnsi="Avenir Next" w:cs="Arial"/>
          <w:color w:val="7B7B7B" w:themeColor="accent3" w:themeShade="BF"/>
          <w:sz w:val="22"/>
          <w:szCs w:val="22"/>
          <w:lang w:val="en-GB"/>
        </w:rPr>
      </w:pPr>
    </w:p>
    <w:p w14:paraId="4454E6FA" w14:textId="03BD1D9A" w:rsidR="00C4069E" w:rsidRDefault="00C4069E" w:rsidP="00C4069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Based on the facts that we have to </w:t>
      </w:r>
      <w:proofErr w:type="gramStart"/>
      <w:r>
        <w:rPr>
          <w:rFonts w:ascii="Avenir Next" w:hAnsi="Avenir Next" w:cs="Arial"/>
          <w:color w:val="7B7B7B" w:themeColor="accent3" w:themeShade="BF"/>
          <w:sz w:val="22"/>
          <w:szCs w:val="22"/>
          <w:lang w:val="en-GB"/>
        </w:rPr>
        <w:t>hand,</w:t>
      </w:r>
      <w:proofErr w:type="gramEnd"/>
      <w:r>
        <w:rPr>
          <w:rFonts w:ascii="Avenir Next" w:hAnsi="Avenir Next" w:cs="Arial"/>
          <w:color w:val="7B7B7B" w:themeColor="accent3" w:themeShade="BF"/>
          <w:sz w:val="22"/>
          <w:szCs w:val="22"/>
          <w:lang w:val="en-GB"/>
        </w:rPr>
        <w:t xml:space="preserve"> the liquidator should be advised that neither of the "new consideration" conditions appear to be met. No money was paid, or goods or services supplied at the time of or after the creation of the charge and there was no deduction of any debt of the Company at the same time as or after the creation of the charge.</w:t>
      </w:r>
    </w:p>
    <w:p w14:paraId="76184196" w14:textId="77777777" w:rsidR="00C4069E" w:rsidRDefault="00C4069E" w:rsidP="00C4069E">
      <w:pPr>
        <w:jc w:val="both"/>
        <w:rPr>
          <w:rFonts w:ascii="Avenir Next" w:hAnsi="Avenir Next" w:cs="Arial"/>
          <w:color w:val="7B7B7B" w:themeColor="accent3" w:themeShade="BF"/>
          <w:sz w:val="22"/>
          <w:szCs w:val="22"/>
          <w:lang w:val="en-GB"/>
        </w:rPr>
      </w:pPr>
    </w:p>
    <w:p w14:paraId="6839968F" w14:textId="4EA1D075" w:rsidR="006D6117" w:rsidRDefault="00C4069E" w:rsidP="006D611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circumstances, it seems likely that the floating charge in favour of </w:t>
      </w:r>
      <w:r w:rsidRPr="006D6117">
        <w:rPr>
          <w:rFonts w:ascii="Avenir Next" w:hAnsi="Avenir Next" w:cs="Arial"/>
          <w:color w:val="7B7B7B" w:themeColor="accent3" w:themeShade="BF"/>
          <w:sz w:val="22"/>
          <w:szCs w:val="22"/>
          <w:lang w:val="en-GB"/>
        </w:rPr>
        <w:t>Ambitus Bank plc</w:t>
      </w:r>
      <w:r>
        <w:rPr>
          <w:rFonts w:ascii="Avenir Next" w:hAnsi="Avenir Next" w:cs="Arial"/>
          <w:color w:val="7B7B7B" w:themeColor="accent3" w:themeShade="BF"/>
          <w:sz w:val="22"/>
          <w:szCs w:val="22"/>
          <w:lang w:val="en-GB"/>
        </w:rPr>
        <w:t xml:space="preserve"> will be capable of being caught and invalidated pursuant to section 245. </w:t>
      </w:r>
      <w:r w:rsidRPr="006D6117">
        <w:rPr>
          <w:rFonts w:ascii="Avenir Next" w:hAnsi="Avenir Next" w:cs="Arial"/>
          <w:color w:val="7B7B7B" w:themeColor="accent3" w:themeShade="BF"/>
          <w:sz w:val="22"/>
          <w:szCs w:val="22"/>
          <w:lang w:val="en-GB"/>
        </w:rPr>
        <w:t>Ambitus Bank pl</w:t>
      </w:r>
      <w:r>
        <w:rPr>
          <w:rFonts w:ascii="Avenir Next" w:hAnsi="Avenir Next" w:cs="Arial"/>
          <w:color w:val="7B7B7B" w:themeColor="accent3" w:themeShade="BF"/>
          <w:sz w:val="22"/>
          <w:szCs w:val="22"/>
          <w:lang w:val="en-GB"/>
        </w:rPr>
        <w:t xml:space="preserve">c's debt will remain valid, but it means that it will rank as an ordinary unsecured creditor in the liquidation and will not enjoy any preferential status when it comes to payment of any distributions. </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7AA02018" w14:textId="3E6E78EF" w:rsidR="00434B57" w:rsidRDefault="00434B57" w:rsidP="000C307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Turning to the Company's sale of the laser cutting machines to a director, </w:t>
      </w:r>
      <w:r w:rsidRPr="00434B57">
        <w:rPr>
          <w:rFonts w:ascii="Avenir Next" w:hAnsi="Avenir Next" w:cs="Arial"/>
          <w:color w:val="7B7B7B" w:themeColor="accent3" w:themeShade="BF"/>
          <w:sz w:val="22"/>
          <w:szCs w:val="22"/>
          <w:lang w:val="en-GB"/>
        </w:rPr>
        <w:t>Angela Bannister for GBP 40,000 in cash</w:t>
      </w:r>
      <w:r>
        <w:rPr>
          <w:rFonts w:ascii="Avenir Next" w:hAnsi="Avenir Next" w:cs="Arial"/>
          <w:color w:val="7B7B7B" w:themeColor="accent3" w:themeShade="BF"/>
          <w:sz w:val="22"/>
          <w:szCs w:val="22"/>
          <w:lang w:val="en-GB"/>
        </w:rPr>
        <w:t xml:space="preserve"> after the</w:t>
      </w:r>
      <w:r w:rsidRPr="00434B57">
        <w:rPr>
          <w:rFonts w:ascii="Avenir Next" w:hAnsi="Avenir Next" w:cs="Arial"/>
          <w:color w:val="7B7B7B" w:themeColor="accent3" w:themeShade="BF"/>
          <w:sz w:val="22"/>
          <w:szCs w:val="22"/>
          <w:lang w:val="en-GB"/>
        </w:rPr>
        <w:t xml:space="preserve"> machines had been bought for GBP 100,000 a year before</w:t>
      </w:r>
      <w:r w:rsidR="005F5D95">
        <w:rPr>
          <w:rFonts w:ascii="Avenir Next" w:hAnsi="Avenir Next" w:cs="Arial"/>
          <w:color w:val="7B7B7B" w:themeColor="accent3" w:themeShade="BF"/>
          <w:sz w:val="22"/>
          <w:szCs w:val="22"/>
          <w:lang w:val="en-GB"/>
        </w:rPr>
        <w:t xml:space="preserve">, the liquidator should be advised that this transaction is also open to challenge on the </w:t>
      </w:r>
      <w:r w:rsidR="00AA518D">
        <w:rPr>
          <w:rFonts w:ascii="Avenir Next" w:hAnsi="Avenir Next" w:cs="Arial"/>
          <w:color w:val="7B7B7B" w:themeColor="accent3" w:themeShade="BF"/>
          <w:sz w:val="22"/>
          <w:szCs w:val="22"/>
          <w:lang w:val="en-GB"/>
        </w:rPr>
        <w:t xml:space="preserve">basis that it is likely a transaction at undervalue. </w:t>
      </w:r>
    </w:p>
    <w:p w14:paraId="2B1A2AB0" w14:textId="77777777" w:rsidR="00AA518D" w:rsidRDefault="00AA518D" w:rsidP="000C3075">
      <w:pPr>
        <w:jc w:val="both"/>
        <w:rPr>
          <w:rFonts w:ascii="Avenir Next" w:hAnsi="Avenir Next" w:cs="Arial"/>
          <w:color w:val="7B7B7B" w:themeColor="accent3" w:themeShade="BF"/>
          <w:sz w:val="22"/>
          <w:szCs w:val="22"/>
          <w:lang w:val="en-GB"/>
        </w:rPr>
      </w:pPr>
    </w:p>
    <w:p w14:paraId="49A6D061" w14:textId="22E6A441" w:rsidR="00AA518D" w:rsidRDefault="00AA518D" w:rsidP="000C307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w:t>
      </w:r>
      <w:r w:rsidRPr="00AA518D">
        <w:rPr>
          <w:rFonts w:ascii="Avenir Next" w:hAnsi="Avenir Next" w:cs="Arial"/>
          <w:color w:val="7B7B7B" w:themeColor="accent3" w:themeShade="BF"/>
          <w:sz w:val="22"/>
          <w:szCs w:val="22"/>
          <w:lang w:val="en-GB"/>
        </w:rPr>
        <w:t xml:space="preserve"> 238 of the </w:t>
      </w:r>
      <w:r>
        <w:rPr>
          <w:rFonts w:ascii="Avenir Next" w:hAnsi="Avenir Next" w:cs="Arial"/>
          <w:color w:val="7B7B7B" w:themeColor="accent3" w:themeShade="BF"/>
          <w:sz w:val="22"/>
          <w:szCs w:val="22"/>
          <w:lang w:val="en-GB"/>
        </w:rPr>
        <w:t xml:space="preserve">IA allows </w:t>
      </w:r>
      <w:r w:rsidRPr="00AA518D">
        <w:rPr>
          <w:rFonts w:ascii="Avenir Next" w:hAnsi="Avenir Next" w:cs="Arial"/>
          <w:color w:val="7B7B7B" w:themeColor="accent3" w:themeShade="BF"/>
          <w:sz w:val="22"/>
          <w:szCs w:val="22"/>
          <w:lang w:val="en-GB"/>
        </w:rPr>
        <w:t>a liquidator (or</w:t>
      </w:r>
      <w:r>
        <w:rPr>
          <w:rFonts w:ascii="Avenir Next" w:hAnsi="Avenir Next" w:cs="Arial"/>
          <w:color w:val="7B7B7B" w:themeColor="accent3" w:themeShade="BF"/>
          <w:sz w:val="22"/>
          <w:szCs w:val="22"/>
          <w:lang w:val="en-GB"/>
        </w:rPr>
        <w:t xml:space="preserve"> </w:t>
      </w:r>
      <w:r w:rsidRPr="00AA518D">
        <w:rPr>
          <w:rFonts w:ascii="Avenir Next" w:hAnsi="Avenir Next" w:cs="Arial"/>
          <w:color w:val="7B7B7B" w:themeColor="accent3" w:themeShade="BF"/>
          <w:sz w:val="22"/>
          <w:szCs w:val="22"/>
          <w:lang w:val="en-GB"/>
        </w:rPr>
        <w:t xml:space="preserve">administrator) </w:t>
      </w:r>
      <w:r>
        <w:rPr>
          <w:rFonts w:ascii="Avenir Next" w:hAnsi="Avenir Next" w:cs="Arial"/>
          <w:color w:val="7B7B7B" w:themeColor="accent3" w:themeShade="BF"/>
          <w:sz w:val="22"/>
          <w:szCs w:val="22"/>
          <w:lang w:val="en-GB"/>
        </w:rPr>
        <w:t>to</w:t>
      </w:r>
      <w:r w:rsidRPr="00AA518D">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challenge </w:t>
      </w:r>
      <w:r w:rsidRPr="00AA518D">
        <w:rPr>
          <w:rFonts w:ascii="Avenir Next" w:hAnsi="Avenir Next" w:cs="Arial"/>
          <w:color w:val="7B7B7B" w:themeColor="accent3" w:themeShade="BF"/>
          <w:sz w:val="22"/>
          <w:szCs w:val="22"/>
          <w:lang w:val="en-GB"/>
        </w:rPr>
        <w:t>a transaction which was entered prior to</w:t>
      </w:r>
      <w:r>
        <w:rPr>
          <w:rFonts w:ascii="Avenir Next" w:hAnsi="Avenir Next" w:cs="Arial"/>
          <w:color w:val="7B7B7B" w:themeColor="accent3" w:themeShade="BF"/>
          <w:sz w:val="22"/>
          <w:szCs w:val="22"/>
          <w:lang w:val="en-GB"/>
        </w:rPr>
        <w:t xml:space="preserve"> a</w:t>
      </w:r>
      <w:r w:rsidRPr="00AA518D">
        <w:rPr>
          <w:rFonts w:ascii="Avenir Next" w:hAnsi="Avenir Next" w:cs="Arial"/>
          <w:color w:val="7B7B7B" w:themeColor="accent3" w:themeShade="BF"/>
          <w:sz w:val="22"/>
          <w:szCs w:val="22"/>
          <w:lang w:val="en-GB"/>
        </w:rPr>
        <w:t xml:space="preserve"> company entering</w:t>
      </w:r>
      <w:r>
        <w:rPr>
          <w:rFonts w:ascii="Avenir Next" w:hAnsi="Avenir Next" w:cs="Arial"/>
          <w:color w:val="7B7B7B" w:themeColor="accent3" w:themeShade="BF"/>
          <w:sz w:val="22"/>
          <w:szCs w:val="22"/>
          <w:lang w:val="en-GB"/>
        </w:rPr>
        <w:t xml:space="preserve"> </w:t>
      </w:r>
      <w:r w:rsidRPr="00AA518D">
        <w:rPr>
          <w:rFonts w:ascii="Avenir Next" w:hAnsi="Avenir Next" w:cs="Arial"/>
          <w:color w:val="7B7B7B" w:themeColor="accent3" w:themeShade="BF"/>
          <w:sz w:val="22"/>
          <w:szCs w:val="22"/>
          <w:lang w:val="en-GB"/>
        </w:rPr>
        <w:t xml:space="preserve">liquidation </w:t>
      </w:r>
      <w:r>
        <w:rPr>
          <w:rFonts w:ascii="Avenir Next" w:hAnsi="Avenir Next" w:cs="Arial"/>
          <w:color w:val="7B7B7B" w:themeColor="accent3" w:themeShade="BF"/>
          <w:sz w:val="22"/>
          <w:szCs w:val="22"/>
          <w:lang w:val="en-GB"/>
        </w:rPr>
        <w:t>(</w:t>
      </w:r>
      <w:r w:rsidRPr="00AA518D">
        <w:rPr>
          <w:rFonts w:ascii="Avenir Next" w:hAnsi="Avenir Next" w:cs="Arial"/>
          <w:color w:val="7B7B7B" w:themeColor="accent3" w:themeShade="BF"/>
          <w:sz w:val="22"/>
          <w:szCs w:val="22"/>
          <w:lang w:val="en-GB"/>
        </w:rPr>
        <w:t>or administration</w:t>
      </w:r>
      <w:r>
        <w:rPr>
          <w:rFonts w:ascii="Avenir Next" w:hAnsi="Avenir Next" w:cs="Arial"/>
          <w:color w:val="7B7B7B" w:themeColor="accent3" w:themeShade="BF"/>
          <w:sz w:val="22"/>
          <w:szCs w:val="22"/>
          <w:lang w:val="en-GB"/>
        </w:rPr>
        <w:t>)</w:t>
      </w:r>
      <w:r w:rsidRPr="00AA518D">
        <w:rPr>
          <w:rFonts w:ascii="Avenir Next" w:hAnsi="Avenir Next" w:cs="Arial"/>
          <w:color w:val="7B7B7B" w:themeColor="accent3" w:themeShade="BF"/>
          <w:sz w:val="22"/>
          <w:szCs w:val="22"/>
          <w:lang w:val="en-GB"/>
        </w:rPr>
        <w:t xml:space="preserve"> where the transaction was at an undervalue</w:t>
      </w:r>
      <w:r>
        <w:rPr>
          <w:rFonts w:ascii="Avenir Next" w:hAnsi="Avenir Next" w:cs="Arial"/>
          <w:color w:val="7B7B7B" w:themeColor="accent3" w:themeShade="BF"/>
          <w:sz w:val="22"/>
          <w:szCs w:val="22"/>
          <w:lang w:val="en-GB"/>
        </w:rPr>
        <w:t>.</w:t>
      </w:r>
      <w:r>
        <w:rPr>
          <w:rStyle w:val="FootnoteReference"/>
          <w:rFonts w:ascii="Avenir Next" w:hAnsi="Avenir Next" w:cs="Arial"/>
          <w:color w:val="7B7B7B" w:themeColor="accent3" w:themeShade="BF"/>
          <w:sz w:val="22"/>
          <w:szCs w:val="22"/>
          <w:lang w:val="en-GB"/>
        </w:rPr>
        <w:footnoteReference w:id="26"/>
      </w:r>
      <w:r>
        <w:rPr>
          <w:rFonts w:ascii="Avenir Next" w:hAnsi="Avenir Next" w:cs="Arial"/>
          <w:color w:val="7B7B7B" w:themeColor="accent3" w:themeShade="BF"/>
          <w:sz w:val="22"/>
          <w:szCs w:val="22"/>
          <w:lang w:val="en-GB"/>
        </w:rPr>
        <w:t xml:space="preserve"> </w:t>
      </w:r>
    </w:p>
    <w:p w14:paraId="56861735" w14:textId="77777777" w:rsidR="00AA518D" w:rsidRDefault="00AA518D" w:rsidP="000C3075">
      <w:pPr>
        <w:jc w:val="both"/>
        <w:rPr>
          <w:rFonts w:ascii="Avenir Next" w:hAnsi="Avenir Next" w:cs="Arial"/>
          <w:color w:val="7B7B7B" w:themeColor="accent3" w:themeShade="BF"/>
          <w:sz w:val="22"/>
          <w:szCs w:val="22"/>
          <w:lang w:val="en-GB"/>
        </w:rPr>
      </w:pPr>
    </w:p>
    <w:p w14:paraId="22B20DF9" w14:textId="4F82245E" w:rsidR="00AA518D" w:rsidRDefault="00AA518D" w:rsidP="000C307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Although there are three possible options under section 238, in the present case the liquidator will need to show that the Company </w:t>
      </w:r>
      <w:proofErr w:type="gramStart"/>
      <w:r w:rsidRPr="00AA518D">
        <w:rPr>
          <w:rFonts w:ascii="Avenir Next" w:hAnsi="Avenir Next" w:cs="Arial"/>
          <w:color w:val="7B7B7B" w:themeColor="accent3" w:themeShade="BF"/>
          <w:sz w:val="22"/>
          <w:szCs w:val="22"/>
          <w:lang w:val="en-GB"/>
        </w:rPr>
        <w:t>entered into</w:t>
      </w:r>
      <w:proofErr w:type="gramEnd"/>
      <w:r w:rsidRPr="00AA518D">
        <w:rPr>
          <w:rFonts w:ascii="Avenir Next" w:hAnsi="Avenir Next" w:cs="Arial"/>
          <w:color w:val="7B7B7B" w:themeColor="accent3" w:themeShade="BF"/>
          <w:sz w:val="22"/>
          <w:szCs w:val="22"/>
          <w:lang w:val="en-GB"/>
        </w:rPr>
        <w:t xml:space="preserve"> a transaction with another person for a consideration which, in money or</w:t>
      </w:r>
      <w:r>
        <w:rPr>
          <w:rFonts w:ascii="Avenir Next" w:hAnsi="Avenir Next" w:cs="Arial"/>
          <w:color w:val="7B7B7B" w:themeColor="accent3" w:themeShade="BF"/>
          <w:sz w:val="22"/>
          <w:szCs w:val="22"/>
          <w:lang w:val="en-GB"/>
        </w:rPr>
        <w:t xml:space="preserve"> </w:t>
      </w:r>
      <w:r w:rsidRPr="00AA518D">
        <w:rPr>
          <w:rFonts w:ascii="Avenir Next" w:hAnsi="Avenir Next" w:cs="Arial"/>
          <w:color w:val="7B7B7B" w:themeColor="accent3" w:themeShade="BF"/>
          <w:sz w:val="22"/>
          <w:szCs w:val="22"/>
          <w:lang w:val="en-GB"/>
        </w:rPr>
        <w:t>money’s worth, was, at the date of the transaction, significantly less than the value, in money</w:t>
      </w:r>
      <w:r>
        <w:rPr>
          <w:rFonts w:ascii="Avenir Next" w:hAnsi="Avenir Next" w:cs="Arial"/>
          <w:color w:val="7B7B7B" w:themeColor="accent3" w:themeShade="BF"/>
          <w:sz w:val="22"/>
          <w:szCs w:val="22"/>
          <w:lang w:val="en-GB"/>
        </w:rPr>
        <w:t xml:space="preserve"> </w:t>
      </w:r>
      <w:r w:rsidRPr="00AA518D">
        <w:rPr>
          <w:rFonts w:ascii="Avenir Next" w:hAnsi="Avenir Next" w:cs="Arial"/>
          <w:color w:val="7B7B7B" w:themeColor="accent3" w:themeShade="BF"/>
          <w:sz w:val="22"/>
          <w:szCs w:val="22"/>
          <w:lang w:val="en-GB"/>
        </w:rPr>
        <w:t xml:space="preserve">or money’s worth, of the consideration provided by the </w:t>
      </w:r>
      <w:r>
        <w:rPr>
          <w:rFonts w:ascii="Avenir Next" w:hAnsi="Avenir Next" w:cs="Arial"/>
          <w:color w:val="7B7B7B" w:themeColor="accent3" w:themeShade="BF"/>
          <w:sz w:val="22"/>
          <w:szCs w:val="22"/>
          <w:lang w:val="en-GB"/>
        </w:rPr>
        <w:t>C</w:t>
      </w:r>
      <w:r w:rsidRPr="00AA518D">
        <w:rPr>
          <w:rFonts w:ascii="Avenir Next" w:hAnsi="Avenir Next" w:cs="Arial"/>
          <w:color w:val="7B7B7B" w:themeColor="accent3" w:themeShade="BF"/>
          <w:sz w:val="22"/>
          <w:szCs w:val="22"/>
          <w:lang w:val="en-GB"/>
        </w:rPr>
        <w:t>ompany</w:t>
      </w:r>
      <w:r>
        <w:rPr>
          <w:rFonts w:ascii="Avenir Next" w:hAnsi="Avenir Next" w:cs="Arial"/>
          <w:color w:val="7B7B7B" w:themeColor="accent3" w:themeShade="BF"/>
          <w:sz w:val="22"/>
          <w:szCs w:val="22"/>
          <w:lang w:val="en-GB"/>
        </w:rPr>
        <w:t xml:space="preserve">.  </w:t>
      </w:r>
      <w:proofErr w:type="gramStart"/>
      <w:r>
        <w:rPr>
          <w:rFonts w:ascii="Avenir Next" w:hAnsi="Avenir Next" w:cs="Arial"/>
          <w:color w:val="7B7B7B" w:themeColor="accent3" w:themeShade="BF"/>
          <w:sz w:val="22"/>
          <w:szCs w:val="22"/>
          <w:lang w:val="en-GB"/>
        </w:rPr>
        <w:t>Based on the fact that</w:t>
      </w:r>
      <w:proofErr w:type="gramEnd"/>
      <w:r>
        <w:rPr>
          <w:rFonts w:ascii="Avenir Next" w:hAnsi="Avenir Next" w:cs="Arial"/>
          <w:color w:val="7B7B7B" w:themeColor="accent3" w:themeShade="BF"/>
          <w:sz w:val="22"/>
          <w:szCs w:val="22"/>
          <w:lang w:val="en-GB"/>
        </w:rPr>
        <w:t xml:space="preserve"> the laser cutting machines were worth </w:t>
      </w:r>
      <w:r w:rsidRPr="00434B57">
        <w:rPr>
          <w:rFonts w:ascii="Avenir Next" w:hAnsi="Avenir Next" w:cs="Arial"/>
          <w:color w:val="7B7B7B" w:themeColor="accent3" w:themeShade="BF"/>
          <w:sz w:val="22"/>
          <w:szCs w:val="22"/>
          <w:lang w:val="en-GB"/>
        </w:rPr>
        <w:t>GBP 100,000</w:t>
      </w:r>
      <w:r>
        <w:rPr>
          <w:rFonts w:ascii="Avenir Next" w:hAnsi="Avenir Next" w:cs="Arial"/>
          <w:color w:val="7B7B7B" w:themeColor="accent3" w:themeShade="BF"/>
          <w:sz w:val="22"/>
          <w:szCs w:val="22"/>
          <w:lang w:val="en-GB"/>
        </w:rPr>
        <w:t xml:space="preserve"> in January 2022, it is highly unlikely that their value </w:t>
      </w:r>
      <w:r w:rsidR="00D16602">
        <w:rPr>
          <w:rFonts w:ascii="Avenir Next" w:hAnsi="Avenir Next" w:cs="Arial"/>
          <w:color w:val="7B7B7B" w:themeColor="accent3" w:themeShade="BF"/>
          <w:sz w:val="22"/>
          <w:szCs w:val="22"/>
          <w:lang w:val="en-GB"/>
        </w:rPr>
        <w:t xml:space="preserve">has reduced to </w:t>
      </w:r>
      <w:r w:rsidR="00D16602" w:rsidRPr="00434B57">
        <w:rPr>
          <w:rFonts w:ascii="Avenir Next" w:hAnsi="Avenir Next" w:cs="Arial"/>
          <w:color w:val="7B7B7B" w:themeColor="accent3" w:themeShade="BF"/>
          <w:sz w:val="22"/>
          <w:szCs w:val="22"/>
          <w:lang w:val="en-GB"/>
        </w:rPr>
        <w:t xml:space="preserve">GBP </w:t>
      </w:r>
      <w:r w:rsidR="00D16602">
        <w:rPr>
          <w:rFonts w:ascii="Avenir Next" w:hAnsi="Avenir Next" w:cs="Arial"/>
          <w:color w:val="7B7B7B" w:themeColor="accent3" w:themeShade="BF"/>
          <w:sz w:val="22"/>
          <w:szCs w:val="22"/>
          <w:lang w:val="en-GB"/>
        </w:rPr>
        <w:t>40</w:t>
      </w:r>
      <w:r w:rsidR="00D16602" w:rsidRPr="00434B57">
        <w:rPr>
          <w:rFonts w:ascii="Avenir Next" w:hAnsi="Avenir Next" w:cs="Arial"/>
          <w:color w:val="7B7B7B" w:themeColor="accent3" w:themeShade="BF"/>
          <w:sz w:val="22"/>
          <w:szCs w:val="22"/>
          <w:lang w:val="en-GB"/>
        </w:rPr>
        <w:t>,000</w:t>
      </w:r>
      <w:r w:rsidR="00D16602">
        <w:rPr>
          <w:rFonts w:ascii="Avenir Next" w:hAnsi="Avenir Next" w:cs="Arial"/>
          <w:color w:val="7B7B7B" w:themeColor="accent3" w:themeShade="BF"/>
          <w:sz w:val="22"/>
          <w:szCs w:val="22"/>
          <w:lang w:val="en-GB"/>
        </w:rPr>
        <w:t xml:space="preserve"> in one year. Some further</w:t>
      </w:r>
      <w:r w:rsidR="00E41F45">
        <w:rPr>
          <w:rFonts w:ascii="Avenir Next" w:hAnsi="Avenir Next" w:cs="Arial"/>
          <w:color w:val="7B7B7B" w:themeColor="accent3" w:themeShade="BF"/>
          <w:sz w:val="22"/>
          <w:szCs w:val="22"/>
          <w:lang w:val="en-GB"/>
        </w:rPr>
        <w:t xml:space="preserve"> valuation</w:t>
      </w:r>
      <w:r w:rsidR="00D16602">
        <w:rPr>
          <w:rFonts w:ascii="Avenir Next" w:hAnsi="Avenir Next" w:cs="Arial"/>
          <w:color w:val="7B7B7B" w:themeColor="accent3" w:themeShade="BF"/>
          <w:sz w:val="22"/>
          <w:szCs w:val="22"/>
          <w:lang w:val="en-GB"/>
        </w:rPr>
        <w:t xml:space="preserve"> information may be required such as the general life span of the machines and how much use they have had</w:t>
      </w:r>
      <w:r w:rsidR="003B582F">
        <w:rPr>
          <w:rFonts w:ascii="Avenir Next" w:hAnsi="Avenir Next" w:cs="Arial"/>
          <w:color w:val="7B7B7B" w:themeColor="accent3" w:themeShade="BF"/>
          <w:sz w:val="22"/>
          <w:szCs w:val="22"/>
          <w:lang w:val="en-GB"/>
        </w:rPr>
        <w:t xml:space="preserve"> to make a final determination</w:t>
      </w:r>
      <w:r w:rsidR="00D16602">
        <w:rPr>
          <w:rFonts w:ascii="Avenir Next" w:hAnsi="Avenir Next" w:cs="Arial"/>
          <w:color w:val="7B7B7B" w:themeColor="accent3" w:themeShade="BF"/>
          <w:sz w:val="22"/>
          <w:szCs w:val="22"/>
          <w:lang w:val="en-GB"/>
        </w:rPr>
        <w:t xml:space="preserve">. </w:t>
      </w:r>
    </w:p>
    <w:p w14:paraId="13D19D75" w14:textId="77777777" w:rsidR="00E41F45" w:rsidRDefault="00E41F45" w:rsidP="000C3075">
      <w:pPr>
        <w:jc w:val="both"/>
        <w:rPr>
          <w:rFonts w:ascii="Avenir Next" w:hAnsi="Avenir Next" w:cs="Arial"/>
          <w:color w:val="7B7B7B" w:themeColor="accent3" w:themeShade="BF"/>
          <w:sz w:val="22"/>
          <w:szCs w:val="22"/>
          <w:lang w:val="en-GB"/>
        </w:rPr>
      </w:pPr>
    </w:p>
    <w:p w14:paraId="76B6CCCF" w14:textId="254DD6C5" w:rsidR="00AA518D" w:rsidRDefault="00E41F45" w:rsidP="000C307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the purposes of section 238, the transaction </w:t>
      </w:r>
      <w:r w:rsidRPr="00E41F45">
        <w:rPr>
          <w:rFonts w:ascii="Avenir Next" w:hAnsi="Avenir Next" w:cs="Arial"/>
          <w:color w:val="7B7B7B" w:themeColor="accent3" w:themeShade="BF"/>
          <w:sz w:val="22"/>
          <w:szCs w:val="22"/>
          <w:lang w:val="en-GB"/>
        </w:rPr>
        <w:t>must have taken place at a “relevant time”</w:t>
      </w:r>
      <w:r>
        <w:rPr>
          <w:rFonts w:ascii="Avenir Next" w:hAnsi="Avenir Next" w:cs="Arial"/>
          <w:color w:val="7B7B7B" w:themeColor="accent3" w:themeShade="BF"/>
          <w:sz w:val="22"/>
          <w:szCs w:val="22"/>
          <w:lang w:val="en-GB"/>
        </w:rPr>
        <w:t xml:space="preserve"> being</w:t>
      </w:r>
      <w:r w:rsidRPr="00E41F45">
        <w:rPr>
          <w:rFonts w:ascii="Avenir Next" w:hAnsi="Avenir Next" w:cs="Arial"/>
          <w:color w:val="7B7B7B" w:themeColor="accent3" w:themeShade="BF"/>
          <w:sz w:val="22"/>
          <w:szCs w:val="22"/>
          <w:lang w:val="en-GB"/>
        </w:rPr>
        <w:t xml:space="preserve"> in the</w:t>
      </w:r>
      <w:r>
        <w:rPr>
          <w:rFonts w:ascii="Avenir Next" w:hAnsi="Avenir Next" w:cs="Arial"/>
          <w:color w:val="7B7B7B" w:themeColor="accent3" w:themeShade="BF"/>
          <w:sz w:val="22"/>
          <w:szCs w:val="22"/>
          <w:lang w:val="en-GB"/>
        </w:rPr>
        <w:t xml:space="preserve"> </w:t>
      </w:r>
      <w:r w:rsidRPr="00E41F45">
        <w:rPr>
          <w:rFonts w:ascii="Avenir Next" w:hAnsi="Avenir Next" w:cs="Arial"/>
          <w:color w:val="7B7B7B" w:themeColor="accent3" w:themeShade="BF"/>
          <w:sz w:val="22"/>
          <w:szCs w:val="22"/>
          <w:lang w:val="en-GB"/>
        </w:rPr>
        <w:t xml:space="preserve">period of two years prior to the commencement of the liquidation </w:t>
      </w:r>
      <w:r>
        <w:rPr>
          <w:rFonts w:ascii="Avenir Next" w:hAnsi="Avenir Next" w:cs="Arial"/>
          <w:color w:val="7B7B7B" w:themeColor="accent3" w:themeShade="BF"/>
          <w:sz w:val="22"/>
          <w:szCs w:val="22"/>
          <w:lang w:val="en-GB"/>
        </w:rPr>
        <w:t>(</w:t>
      </w:r>
      <w:r w:rsidRPr="00E41F45">
        <w:rPr>
          <w:rFonts w:ascii="Avenir Next" w:hAnsi="Avenir Next" w:cs="Arial"/>
          <w:color w:val="7B7B7B" w:themeColor="accent3" w:themeShade="BF"/>
          <w:sz w:val="22"/>
          <w:szCs w:val="22"/>
          <w:lang w:val="en-GB"/>
        </w:rPr>
        <w:t>or administration</w:t>
      </w:r>
      <w:r>
        <w:rPr>
          <w:rFonts w:ascii="Avenir Next" w:hAnsi="Avenir Next" w:cs="Arial"/>
          <w:color w:val="7B7B7B" w:themeColor="accent3" w:themeShade="BF"/>
          <w:sz w:val="22"/>
          <w:szCs w:val="22"/>
          <w:lang w:val="en-GB"/>
        </w:rPr>
        <w:t>)</w:t>
      </w:r>
      <w:r w:rsidRPr="00E41F45">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In this case, we know that the sale occurred in January 2023 which was one year prior to the filing of the creditor's winding-up petition, hence falling in the relevant period.</w:t>
      </w:r>
    </w:p>
    <w:p w14:paraId="4A21FF46" w14:textId="77777777" w:rsidR="00E41F45" w:rsidRDefault="00E41F45" w:rsidP="000C3075">
      <w:pPr>
        <w:jc w:val="both"/>
        <w:rPr>
          <w:rFonts w:ascii="Avenir Next" w:hAnsi="Avenir Next" w:cs="Arial"/>
          <w:color w:val="7B7B7B" w:themeColor="accent3" w:themeShade="BF"/>
          <w:sz w:val="22"/>
          <w:szCs w:val="22"/>
          <w:lang w:val="en-GB"/>
        </w:rPr>
      </w:pPr>
    </w:p>
    <w:p w14:paraId="13DEC475" w14:textId="0D4D9C23" w:rsidR="0083462B" w:rsidRDefault="00E41F45" w:rsidP="000C307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One of the prerequisites of liability under section 238 of the IA is that at the time of the transaction, the Company was unable </w:t>
      </w:r>
      <w:r w:rsidRPr="00E41F45">
        <w:rPr>
          <w:rFonts w:ascii="Avenir Next" w:hAnsi="Avenir Next" w:cs="Arial"/>
          <w:color w:val="7B7B7B" w:themeColor="accent3" w:themeShade="BF"/>
          <w:sz w:val="22"/>
          <w:szCs w:val="22"/>
          <w:lang w:val="en-GB"/>
        </w:rPr>
        <w:t xml:space="preserve">pay its debts as they fell due within the meaning of section 123 </w:t>
      </w:r>
      <w:r>
        <w:rPr>
          <w:rFonts w:ascii="Avenir Next" w:hAnsi="Avenir Next" w:cs="Arial"/>
          <w:color w:val="7B7B7B" w:themeColor="accent3" w:themeShade="BF"/>
          <w:sz w:val="22"/>
          <w:szCs w:val="22"/>
          <w:lang w:val="en-GB"/>
        </w:rPr>
        <w:t xml:space="preserve">of the IA </w:t>
      </w:r>
      <w:r w:rsidRPr="00E41F45">
        <w:rPr>
          <w:rFonts w:ascii="Avenir Next" w:hAnsi="Avenir Next" w:cs="Arial"/>
          <w:color w:val="7B7B7B" w:themeColor="accent3" w:themeShade="BF"/>
          <w:sz w:val="22"/>
          <w:szCs w:val="22"/>
          <w:lang w:val="en-GB"/>
        </w:rPr>
        <w:t>or became unable to pay its</w:t>
      </w:r>
      <w:r>
        <w:rPr>
          <w:rFonts w:ascii="Avenir Next" w:hAnsi="Avenir Next" w:cs="Arial"/>
          <w:color w:val="7B7B7B" w:themeColor="accent3" w:themeShade="BF"/>
          <w:sz w:val="22"/>
          <w:szCs w:val="22"/>
          <w:lang w:val="en-GB"/>
        </w:rPr>
        <w:t xml:space="preserve"> </w:t>
      </w:r>
      <w:r w:rsidRPr="00E41F45">
        <w:rPr>
          <w:rFonts w:ascii="Avenir Next" w:hAnsi="Avenir Next" w:cs="Arial"/>
          <w:color w:val="7B7B7B" w:themeColor="accent3" w:themeShade="BF"/>
          <w:sz w:val="22"/>
          <w:szCs w:val="22"/>
          <w:lang w:val="en-GB"/>
        </w:rPr>
        <w:t xml:space="preserve">debts </w:t>
      </w:r>
      <w:proofErr w:type="gramStart"/>
      <w:r>
        <w:rPr>
          <w:rFonts w:ascii="Avenir Next" w:hAnsi="Avenir Next" w:cs="Arial"/>
          <w:color w:val="7B7B7B" w:themeColor="accent3" w:themeShade="BF"/>
          <w:sz w:val="22"/>
          <w:szCs w:val="22"/>
          <w:lang w:val="en-GB"/>
        </w:rPr>
        <w:t>as a result of</w:t>
      </w:r>
      <w:proofErr w:type="gramEnd"/>
      <w:r w:rsidRPr="00E41F45">
        <w:rPr>
          <w:rFonts w:ascii="Avenir Next" w:hAnsi="Avenir Next" w:cs="Arial"/>
          <w:color w:val="7B7B7B" w:themeColor="accent3" w:themeShade="BF"/>
          <w:sz w:val="22"/>
          <w:szCs w:val="22"/>
          <w:lang w:val="en-GB"/>
        </w:rPr>
        <w:t xml:space="preserve"> the transaction</w:t>
      </w:r>
      <w:r>
        <w:rPr>
          <w:rFonts w:ascii="Avenir Next" w:hAnsi="Avenir Next" w:cs="Arial"/>
          <w:color w:val="7B7B7B" w:themeColor="accent3" w:themeShade="BF"/>
          <w:sz w:val="22"/>
          <w:szCs w:val="22"/>
          <w:lang w:val="en-GB"/>
        </w:rPr>
        <w:t xml:space="preserve">. </w:t>
      </w:r>
      <w:r w:rsidR="0083462B">
        <w:rPr>
          <w:rFonts w:ascii="Avenir Next" w:hAnsi="Avenir Next" w:cs="Arial"/>
          <w:color w:val="7B7B7B" w:themeColor="accent3" w:themeShade="BF"/>
          <w:sz w:val="22"/>
          <w:szCs w:val="22"/>
          <w:lang w:val="en-GB"/>
        </w:rPr>
        <w:t>However, it is also important that the transaction was with a connected person, being one of the Company's Directors, Angela Bannister</w:t>
      </w:r>
      <w:r w:rsidR="0083462B">
        <w:rPr>
          <w:rStyle w:val="FootnoteReference"/>
          <w:rFonts w:ascii="Avenir Next" w:hAnsi="Avenir Next" w:cs="Arial"/>
          <w:color w:val="7B7B7B" w:themeColor="accent3" w:themeShade="BF"/>
          <w:sz w:val="22"/>
          <w:szCs w:val="22"/>
          <w:lang w:val="en-GB"/>
        </w:rPr>
        <w:footnoteReference w:id="27"/>
      </w:r>
      <w:r w:rsidR="0083462B">
        <w:rPr>
          <w:rFonts w:ascii="Avenir Next" w:hAnsi="Avenir Next" w:cs="Arial"/>
          <w:color w:val="7B7B7B" w:themeColor="accent3" w:themeShade="BF"/>
          <w:sz w:val="22"/>
          <w:szCs w:val="22"/>
          <w:lang w:val="en-GB"/>
        </w:rPr>
        <w:t xml:space="preserve"> because where the tra</w:t>
      </w:r>
      <w:r w:rsidR="0083462B" w:rsidRPr="00E41F45">
        <w:rPr>
          <w:rFonts w:ascii="Avenir Next" w:hAnsi="Avenir Next" w:cs="Arial"/>
          <w:color w:val="7B7B7B" w:themeColor="accent3" w:themeShade="BF"/>
          <w:sz w:val="22"/>
          <w:szCs w:val="22"/>
          <w:lang w:val="en-GB"/>
        </w:rPr>
        <w:t>n</w:t>
      </w:r>
      <w:r w:rsidR="0083462B">
        <w:rPr>
          <w:rFonts w:ascii="Avenir Next" w:hAnsi="Avenir Next" w:cs="Arial"/>
          <w:color w:val="7B7B7B" w:themeColor="accent3" w:themeShade="BF"/>
          <w:sz w:val="22"/>
          <w:szCs w:val="22"/>
          <w:lang w:val="en-GB"/>
        </w:rPr>
        <w:t xml:space="preserve">saction is with a </w:t>
      </w:r>
      <w:r w:rsidR="0083462B" w:rsidRPr="00E41F45">
        <w:rPr>
          <w:rFonts w:ascii="Avenir Next" w:hAnsi="Avenir Next" w:cs="Arial"/>
          <w:color w:val="7B7B7B" w:themeColor="accent3" w:themeShade="BF"/>
          <w:sz w:val="22"/>
          <w:szCs w:val="22"/>
          <w:lang w:val="en-GB"/>
        </w:rPr>
        <w:t xml:space="preserve">connected person, the </w:t>
      </w:r>
      <w:r w:rsidR="0083462B">
        <w:rPr>
          <w:rFonts w:ascii="Avenir Next" w:hAnsi="Avenir Next" w:cs="Arial"/>
          <w:color w:val="7B7B7B" w:themeColor="accent3" w:themeShade="BF"/>
          <w:sz w:val="22"/>
          <w:szCs w:val="22"/>
          <w:lang w:val="en-GB"/>
        </w:rPr>
        <w:t>C</w:t>
      </w:r>
      <w:r w:rsidR="0083462B" w:rsidRPr="00E41F45">
        <w:rPr>
          <w:rFonts w:ascii="Avenir Next" w:hAnsi="Avenir Next" w:cs="Arial"/>
          <w:color w:val="7B7B7B" w:themeColor="accent3" w:themeShade="BF"/>
          <w:sz w:val="22"/>
          <w:szCs w:val="22"/>
          <w:lang w:val="en-GB"/>
        </w:rPr>
        <w:t xml:space="preserve">ompany </w:t>
      </w:r>
      <w:r w:rsidR="0083462B">
        <w:rPr>
          <w:rFonts w:ascii="Avenir Next" w:hAnsi="Avenir Next" w:cs="Arial"/>
          <w:color w:val="7B7B7B" w:themeColor="accent3" w:themeShade="BF"/>
          <w:sz w:val="22"/>
          <w:szCs w:val="22"/>
          <w:lang w:val="en-GB"/>
        </w:rPr>
        <w:t>will be</w:t>
      </w:r>
      <w:r w:rsidR="0083462B" w:rsidRPr="00E41F45">
        <w:rPr>
          <w:rFonts w:ascii="Avenir Next" w:hAnsi="Avenir Next" w:cs="Arial"/>
          <w:color w:val="7B7B7B" w:themeColor="accent3" w:themeShade="BF"/>
          <w:sz w:val="22"/>
          <w:szCs w:val="22"/>
          <w:lang w:val="en-GB"/>
        </w:rPr>
        <w:t xml:space="preserve"> presumed to have </w:t>
      </w:r>
      <w:r w:rsidR="0083462B" w:rsidRPr="00E41F45">
        <w:rPr>
          <w:rFonts w:ascii="Avenir Next" w:hAnsi="Avenir Next" w:cs="Arial"/>
          <w:color w:val="7B7B7B" w:themeColor="accent3" w:themeShade="BF"/>
          <w:sz w:val="22"/>
          <w:szCs w:val="22"/>
          <w:lang w:val="en-GB"/>
        </w:rPr>
        <w:lastRenderedPageBreak/>
        <w:t>been</w:t>
      </w:r>
      <w:r w:rsidR="0083462B">
        <w:rPr>
          <w:rFonts w:ascii="Avenir Next" w:hAnsi="Avenir Next" w:cs="Arial"/>
          <w:color w:val="7B7B7B" w:themeColor="accent3" w:themeShade="BF"/>
          <w:sz w:val="22"/>
          <w:szCs w:val="22"/>
          <w:lang w:val="en-GB"/>
        </w:rPr>
        <w:t xml:space="preserve"> </w:t>
      </w:r>
      <w:r w:rsidR="0083462B" w:rsidRPr="00E41F45">
        <w:rPr>
          <w:rFonts w:ascii="Avenir Next" w:hAnsi="Avenir Next" w:cs="Arial"/>
          <w:color w:val="7B7B7B" w:themeColor="accent3" w:themeShade="BF"/>
          <w:sz w:val="22"/>
          <w:szCs w:val="22"/>
          <w:lang w:val="en-GB"/>
        </w:rPr>
        <w:t xml:space="preserve">insolvent, or to have become insolvent </w:t>
      </w:r>
      <w:proofErr w:type="gramStart"/>
      <w:r w:rsidR="0083462B" w:rsidRPr="00E41F45">
        <w:rPr>
          <w:rFonts w:ascii="Avenir Next" w:hAnsi="Avenir Next" w:cs="Arial"/>
          <w:color w:val="7B7B7B" w:themeColor="accent3" w:themeShade="BF"/>
          <w:sz w:val="22"/>
          <w:szCs w:val="22"/>
          <w:lang w:val="en-GB"/>
        </w:rPr>
        <w:t>as a result of</w:t>
      </w:r>
      <w:proofErr w:type="gramEnd"/>
      <w:r w:rsidR="0083462B" w:rsidRPr="00E41F45">
        <w:rPr>
          <w:rFonts w:ascii="Avenir Next" w:hAnsi="Avenir Next" w:cs="Arial"/>
          <w:color w:val="7B7B7B" w:themeColor="accent3" w:themeShade="BF"/>
          <w:sz w:val="22"/>
          <w:szCs w:val="22"/>
          <w:lang w:val="en-GB"/>
        </w:rPr>
        <w:t xml:space="preserve"> the transaction, unless </w:t>
      </w:r>
      <w:r w:rsidR="0083462B">
        <w:rPr>
          <w:rFonts w:ascii="Avenir Next" w:hAnsi="Avenir Next" w:cs="Arial"/>
          <w:color w:val="7B7B7B" w:themeColor="accent3" w:themeShade="BF"/>
          <w:sz w:val="22"/>
          <w:szCs w:val="22"/>
          <w:lang w:val="en-GB"/>
        </w:rPr>
        <w:t xml:space="preserve">it can be </w:t>
      </w:r>
      <w:r w:rsidR="0083462B" w:rsidRPr="00E41F45">
        <w:rPr>
          <w:rFonts w:ascii="Avenir Next" w:hAnsi="Avenir Next" w:cs="Arial"/>
          <w:color w:val="7B7B7B" w:themeColor="accent3" w:themeShade="BF"/>
          <w:sz w:val="22"/>
          <w:szCs w:val="22"/>
          <w:lang w:val="en-GB"/>
        </w:rPr>
        <w:t>proved</w:t>
      </w:r>
      <w:r w:rsidR="0083462B">
        <w:rPr>
          <w:rFonts w:ascii="Avenir Next" w:hAnsi="Avenir Next" w:cs="Arial"/>
          <w:color w:val="7B7B7B" w:themeColor="accent3" w:themeShade="BF"/>
          <w:sz w:val="22"/>
          <w:szCs w:val="22"/>
          <w:lang w:val="en-GB"/>
        </w:rPr>
        <w:t xml:space="preserve"> otherwise. </w:t>
      </w:r>
    </w:p>
    <w:p w14:paraId="3EC81F24" w14:textId="77777777" w:rsidR="0083462B" w:rsidRDefault="0083462B" w:rsidP="000C3075">
      <w:pPr>
        <w:jc w:val="both"/>
        <w:rPr>
          <w:rFonts w:ascii="Avenir Next" w:hAnsi="Avenir Next" w:cs="Arial"/>
          <w:color w:val="7B7B7B" w:themeColor="accent3" w:themeShade="BF"/>
          <w:sz w:val="22"/>
          <w:szCs w:val="22"/>
          <w:lang w:val="en-GB"/>
        </w:rPr>
      </w:pPr>
    </w:p>
    <w:p w14:paraId="46C80738" w14:textId="79BE977C" w:rsidR="0020690D" w:rsidRDefault="0083462B" w:rsidP="000C307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terms of whether the Company can prove that it wasn’t insolvent in January 2023, </w:t>
      </w:r>
      <w:r w:rsidR="00E41F45">
        <w:rPr>
          <w:rFonts w:ascii="Avenir Next" w:hAnsi="Avenir Next" w:cs="Arial"/>
          <w:color w:val="7B7B7B" w:themeColor="accent3" w:themeShade="BF"/>
          <w:sz w:val="22"/>
          <w:szCs w:val="22"/>
          <w:lang w:val="en-GB"/>
        </w:rPr>
        <w:t xml:space="preserve">further information is needed to complete the assessment. </w:t>
      </w:r>
      <w:r w:rsidR="0020690D">
        <w:rPr>
          <w:rFonts w:ascii="Avenir Next" w:hAnsi="Avenir Next" w:cs="Arial"/>
          <w:color w:val="7B7B7B" w:themeColor="accent3" w:themeShade="BF"/>
          <w:sz w:val="22"/>
          <w:szCs w:val="22"/>
          <w:lang w:val="en-GB"/>
        </w:rPr>
        <w:t>In considering whether the Company is cash flow insolvent and unable to pay its debts as they fall due</w:t>
      </w:r>
      <w:r w:rsidR="003B582F">
        <w:rPr>
          <w:rFonts w:ascii="Avenir Next" w:hAnsi="Avenir Next" w:cs="Arial"/>
          <w:color w:val="7B7B7B" w:themeColor="accent3" w:themeShade="BF"/>
          <w:sz w:val="22"/>
          <w:szCs w:val="22"/>
          <w:lang w:val="en-GB"/>
        </w:rPr>
        <w:t>.</w:t>
      </w:r>
      <w:r w:rsidR="0020690D">
        <w:rPr>
          <w:rFonts w:ascii="Avenir Next" w:hAnsi="Avenir Next" w:cs="Arial"/>
          <w:color w:val="7B7B7B" w:themeColor="accent3" w:themeShade="BF"/>
          <w:sz w:val="22"/>
          <w:szCs w:val="22"/>
          <w:lang w:val="en-GB"/>
        </w:rPr>
        <w:t xml:space="preserve"> </w:t>
      </w:r>
      <w:r w:rsidR="003B582F">
        <w:rPr>
          <w:rFonts w:ascii="Avenir Next" w:hAnsi="Avenir Next" w:cs="Arial"/>
          <w:color w:val="7B7B7B" w:themeColor="accent3" w:themeShade="BF"/>
          <w:sz w:val="22"/>
          <w:szCs w:val="22"/>
          <w:lang w:val="en-GB"/>
        </w:rPr>
        <w:t>T</w:t>
      </w:r>
      <w:r w:rsidR="0020690D">
        <w:rPr>
          <w:rFonts w:ascii="Avenir Next" w:hAnsi="Avenir Next" w:cs="Arial"/>
          <w:color w:val="7B7B7B" w:themeColor="accent3" w:themeShade="BF"/>
          <w:sz w:val="22"/>
          <w:szCs w:val="22"/>
          <w:lang w:val="en-GB"/>
        </w:rPr>
        <w:t>he Court would look not only at the</w:t>
      </w:r>
      <w:r w:rsidR="003B582F">
        <w:rPr>
          <w:rFonts w:ascii="Avenir Next" w:hAnsi="Avenir Next" w:cs="Arial"/>
          <w:color w:val="7B7B7B" w:themeColor="accent3" w:themeShade="BF"/>
          <w:sz w:val="22"/>
          <w:szCs w:val="22"/>
          <w:lang w:val="en-GB"/>
        </w:rPr>
        <w:t xml:space="preserve"> </w:t>
      </w:r>
      <w:r w:rsidR="0020690D">
        <w:rPr>
          <w:rFonts w:ascii="Avenir Next" w:hAnsi="Avenir Next" w:cs="Arial"/>
          <w:color w:val="7B7B7B" w:themeColor="accent3" w:themeShade="BF"/>
          <w:sz w:val="22"/>
          <w:szCs w:val="22"/>
          <w:lang w:val="en-GB"/>
        </w:rPr>
        <w:t xml:space="preserve">Company's current debts, but also </w:t>
      </w:r>
      <w:r w:rsidR="0020690D" w:rsidRPr="0020690D">
        <w:rPr>
          <w:rFonts w:ascii="Avenir Next" w:hAnsi="Avenir Next" w:cs="Arial"/>
          <w:color w:val="7B7B7B" w:themeColor="accent3" w:themeShade="BF"/>
          <w:sz w:val="22"/>
          <w:szCs w:val="22"/>
          <w:lang w:val="en-GB"/>
        </w:rPr>
        <w:t>debts falling due from time to time in the reasonably near futur</w:t>
      </w:r>
      <w:r w:rsidR="0020690D">
        <w:rPr>
          <w:rFonts w:ascii="Avenir Next" w:hAnsi="Avenir Next" w:cs="Arial"/>
          <w:color w:val="7B7B7B" w:themeColor="accent3" w:themeShade="BF"/>
          <w:sz w:val="22"/>
          <w:szCs w:val="22"/>
          <w:lang w:val="en-GB"/>
        </w:rPr>
        <w:t>e.</w:t>
      </w:r>
      <w:r w:rsidR="0020690D">
        <w:rPr>
          <w:rStyle w:val="FootnoteReference"/>
          <w:rFonts w:ascii="Avenir Next" w:hAnsi="Avenir Next" w:cs="Arial"/>
          <w:color w:val="7B7B7B" w:themeColor="accent3" w:themeShade="BF"/>
          <w:sz w:val="22"/>
          <w:szCs w:val="22"/>
          <w:lang w:val="en-GB"/>
        </w:rPr>
        <w:footnoteReference w:id="28"/>
      </w:r>
      <w:r w:rsidR="0020690D">
        <w:rPr>
          <w:rFonts w:ascii="Avenir Next" w:hAnsi="Avenir Next" w:cs="Arial"/>
          <w:color w:val="7B7B7B" w:themeColor="accent3" w:themeShade="BF"/>
          <w:sz w:val="22"/>
          <w:szCs w:val="22"/>
          <w:lang w:val="en-GB"/>
        </w:rPr>
        <w:t xml:space="preserve"> The Court's decision in the leading case of </w:t>
      </w:r>
      <w:r w:rsidR="0020690D" w:rsidRPr="0020690D">
        <w:rPr>
          <w:rFonts w:ascii="Avenir Next" w:hAnsi="Avenir Next" w:cs="Arial"/>
          <w:i/>
          <w:iCs/>
          <w:color w:val="7B7B7B" w:themeColor="accent3" w:themeShade="BF"/>
          <w:sz w:val="22"/>
          <w:szCs w:val="22"/>
          <w:lang w:val="en-GB"/>
        </w:rPr>
        <w:t xml:space="preserve">BNY Corporate Trustee Services Ltd v </w:t>
      </w:r>
      <w:proofErr w:type="spellStart"/>
      <w:r w:rsidR="0020690D" w:rsidRPr="0020690D">
        <w:rPr>
          <w:rFonts w:ascii="Avenir Next" w:hAnsi="Avenir Next" w:cs="Arial"/>
          <w:i/>
          <w:iCs/>
          <w:color w:val="7B7B7B" w:themeColor="accent3" w:themeShade="BF"/>
          <w:sz w:val="22"/>
          <w:szCs w:val="22"/>
          <w:lang w:val="en-GB"/>
        </w:rPr>
        <w:t>Eurosail</w:t>
      </w:r>
      <w:proofErr w:type="spellEnd"/>
      <w:r w:rsidR="0020690D" w:rsidRPr="0020690D">
        <w:rPr>
          <w:rFonts w:ascii="Avenir Next" w:hAnsi="Avenir Next" w:cs="Arial"/>
          <w:i/>
          <w:iCs/>
          <w:color w:val="7B7B7B" w:themeColor="accent3" w:themeShade="BF"/>
          <w:sz w:val="22"/>
          <w:szCs w:val="22"/>
          <w:lang w:val="en-GB"/>
        </w:rPr>
        <w:t>-UK 2007-3BL plc</w:t>
      </w:r>
      <w:r w:rsidR="0020690D" w:rsidRPr="0020690D">
        <w:rPr>
          <w:rFonts w:ascii="Avenir Next" w:hAnsi="Avenir Next" w:cs="Arial"/>
          <w:color w:val="7B7B7B" w:themeColor="accent3" w:themeShade="BF"/>
          <w:sz w:val="22"/>
          <w:szCs w:val="22"/>
          <w:lang w:val="en-GB"/>
        </w:rPr>
        <w:t xml:space="preserve"> [2013] UKSC 285</w:t>
      </w:r>
      <w:r w:rsidR="0020690D">
        <w:rPr>
          <w:rFonts w:ascii="Avenir Next" w:hAnsi="Avenir Next" w:cs="Arial"/>
          <w:color w:val="7B7B7B" w:themeColor="accent3" w:themeShade="BF"/>
          <w:sz w:val="22"/>
          <w:szCs w:val="22"/>
          <w:lang w:val="en-GB"/>
        </w:rPr>
        <w:t xml:space="preserve"> establishes </w:t>
      </w:r>
      <w:r w:rsidR="0020690D" w:rsidRPr="0020690D">
        <w:rPr>
          <w:rFonts w:ascii="Avenir Next" w:hAnsi="Avenir Next" w:cs="Arial"/>
          <w:color w:val="7B7B7B" w:themeColor="accent3" w:themeShade="BF"/>
          <w:sz w:val="22"/>
          <w:szCs w:val="22"/>
          <w:lang w:val="en-GB"/>
        </w:rPr>
        <w:t>that once the</w:t>
      </w:r>
      <w:r w:rsidR="0020690D">
        <w:rPr>
          <w:rFonts w:ascii="Avenir Next" w:hAnsi="Avenir Next" w:cs="Arial"/>
          <w:color w:val="7B7B7B" w:themeColor="accent3" w:themeShade="BF"/>
          <w:sz w:val="22"/>
          <w:szCs w:val="22"/>
          <w:lang w:val="en-GB"/>
        </w:rPr>
        <w:t xml:space="preserve"> </w:t>
      </w:r>
      <w:r w:rsidR="0020690D" w:rsidRPr="0020690D">
        <w:rPr>
          <w:rFonts w:ascii="Avenir Next" w:hAnsi="Avenir Next" w:cs="Arial"/>
          <w:color w:val="7B7B7B" w:themeColor="accent3" w:themeShade="BF"/>
          <w:sz w:val="22"/>
          <w:szCs w:val="22"/>
          <w:lang w:val="en-GB"/>
        </w:rPr>
        <w:t xml:space="preserve">consideration of the </w:t>
      </w:r>
      <w:r w:rsidR="0020690D">
        <w:rPr>
          <w:rFonts w:ascii="Avenir Next" w:hAnsi="Avenir Next" w:cs="Arial"/>
          <w:color w:val="7B7B7B" w:themeColor="accent3" w:themeShade="BF"/>
          <w:sz w:val="22"/>
          <w:szCs w:val="22"/>
          <w:lang w:val="en-GB"/>
        </w:rPr>
        <w:t>c</w:t>
      </w:r>
      <w:r w:rsidR="0020690D" w:rsidRPr="0020690D">
        <w:rPr>
          <w:rFonts w:ascii="Avenir Next" w:hAnsi="Avenir Next" w:cs="Arial"/>
          <w:color w:val="7B7B7B" w:themeColor="accent3" w:themeShade="BF"/>
          <w:sz w:val="22"/>
          <w:szCs w:val="22"/>
          <w:lang w:val="en-GB"/>
        </w:rPr>
        <w:t>ompany’s financial condition requires the court to move on from the</w:t>
      </w:r>
      <w:r w:rsidR="0020690D">
        <w:rPr>
          <w:rFonts w:ascii="Avenir Next" w:hAnsi="Avenir Next" w:cs="Arial"/>
          <w:color w:val="7B7B7B" w:themeColor="accent3" w:themeShade="BF"/>
          <w:sz w:val="22"/>
          <w:szCs w:val="22"/>
          <w:lang w:val="en-GB"/>
        </w:rPr>
        <w:t xml:space="preserve"> </w:t>
      </w:r>
      <w:r w:rsidR="0020690D" w:rsidRPr="0020690D">
        <w:rPr>
          <w:rFonts w:ascii="Avenir Next" w:hAnsi="Avenir Next" w:cs="Arial"/>
          <w:color w:val="7B7B7B" w:themeColor="accent3" w:themeShade="BF"/>
          <w:sz w:val="22"/>
          <w:szCs w:val="22"/>
          <w:lang w:val="en-GB"/>
        </w:rPr>
        <w:t>reasonably near future (</w:t>
      </w:r>
      <w:r w:rsidR="0020690D">
        <w:rPr>
          <w:rFonts w:ascii="Avenir Next" w:hAnsi="Avenir Next" w:cs="Arial"/>
          <w:color w:val="7B7B7B" w:themeColor="accent3" w:themeShade="BF"/>
          <w:sz w:val="22"/>
          <w:szCs w:val="22"/>
          <w:lang w:val="en-GB"/>
        </w:rPr>
        <w:t xml:space="preserve">of which the </w:t>
      </w:r>
      <w:r w:rsidR="0020690D" w:rsidRPr="0020690D">
        <w:rPr>
          <w:rFonts w:ascii="Avenir Next" w:hAnsi="Avenir Next" w:cs="Arial"/>
          <w:color w:val="7B7B7B" w:themeColor="accent3" w:themeShade="BF"/>
          <w:sz w:val="22"/>
          <w:szCs w:val="22"/>
          <w:lang w:val="en-GB"/>
        </w:rPr>
        <w:t>duration will vary depending upon the company’s individual</w:t>
      </w:r>
      <w:r w:rsidR="0020690D">
        <w:rPr>
          <w:rFonts w:ascii="Avenir Next" w:hAnsi="Avenir Next" w:cs="Arial"/>
          <w:color w:val="7B7B7B" w:themeColor="accent3" w:themeShade="BF"/>
          <w:sz w:val="22"/>
          <w:szCs w:val="22"/>
          <w:lang w:val="en-GB"/>
        </w:rPr>
        <w:t xml:space="preserve"> </w:t>
      </w:r>
      <w:r w:rsidR="0020690D" w:rsidRPr="0020690D">
        <w:rPr>
          <w:rFonts w:ascii="Avenir Next" w:hAnsi="Avenir Next" w:cs="Arial"/>
          <w:color w:val="7B7B7B" w:themeColor="accent3" w:themeShade="BF"/>
          <w:sz w:val="22"/>
          <w:szCs w:val="22"/>
          <w:lang w:val="en-GB"/>
        </w:rPr>
        <w:t>circumstances) any attempt to apply the “cash-flow”</w:t>
      </w:r>
      <w:r w:rsidR="0020690D">
        <w:rPr>
          <w:rFonts w:ascii="Avenir Next" w:hAnsi="Avenir Next" w:cs="Arial"/>
          <w:color w:val="7B7B7B" w:themeColor="accent3" w:themeShade="BF"/>
          <w:sz w:val="22"/>
          <w:szCs w:val="22"/>
          <w:lang w:val="en-GB"/>
        </w:rPr>
        <w:t xml:space="preserve"> </w:t>
      </w:r>
      <w:r w:rsidR="0020690D" w:rsidRPr="0020690D">
        <w:rPr>
          <w:rFonts w:ascii="Avenir Next" w:hAnsi="Avenir Next" w:cs="Arial"/>
          <w:color w:val="7B7B7B" w:themeColor="accent3" w:themeShade="BF"/>
          <w:sz w:val="22"/>
          <w:szCs w:val="22"/>
          <w:lang w:val="en-GB"/>
        </w:rPr>
        <w:t>test becomes merely speculative</w:t>
      </w:r>
      <w:r w:rsidR="0020690D">
        <w:rPr>
          <w:rFonts w:ascii="Avenir Next" w:hAnsi="Avenir Next" w:cs="Arial"/>
          <w:color w:val="7B7B7B" w:themeColor="accent3" w:themeShade="BF"/>
          <w:sz w:val="22"/>
          <w:szCs w:val="22"/>
          <w:lang w:val="en-GB"/>
        </w:rPr>
        <w:t xml:space="preserve"> and it is at this </w:t>
      </w:r>
      <w:r w:rsidR="0020690D" w:rsidRPr="0020690D">
        <w:rPr>
          <w:rFonts w:ascii="Avenir Next" w:hAnsi="Avenir Next" w:cs="Arial"/>
          <w:color w:val="7B7B7B" w:themeColor="accent3" w:themeShade="BF"/>
          <w:sz w:val="22"/>
          <w:szCs w:val="22"/>
          <w:lang w:val="en-GB"/>
        </w:rPr>
        <w:t>point that a court must consider the “balanc</w:t>
      </w:r>
      <w:r w:rsidR="0020690D">
        <w:rPr>
          <w:rFonts w:ascii="Avenir Next" w:hAnsi="Avenir Next" w:cs="Arial"/>
          <w:color w:val="7B7B7B" w:themeColor="accent3" w:themeShade="BF"/>
          <w:sz w:val="22"/>
          <w:szCs w:val="22"/>
          <w:lang w:val="en-GB"/>
        </w:rPr>
        <w:t>e sheet</w:t>
      </w:r>
      <w:r w:rsidR="0020690D" w:rsidRPr="0020690D">
        <w:rPr>
          <w:rFonts w:ascii="Avenir Next" w:hAnsi="Avenir Next" w:cs="Arial"/>
          <w:color w:val="7B7B7B" w:themeColor="accent3" w:themeShade="BF"/>
          <w:sz w:val="22"/>
          <w:szCs w:val="22"/>
          <w:lang w:val="en-GB"/>
        </w:rPr>
        <w:t>” test, that is, whether a company’s assets</w:t>
      </w:r>
      <w:r w:rsidR="0020690D">
        <w:rPr>
          <w:rFonts w:ascii="Avenir Next" w:hAnsi="Avenir Next" w:cs="Arial"/>
          <w:color w:val="7B7B7B" w:themeColor="accent3" w:themeShade="BF"/>
          <w:sz w:val="22"/>
          <w:szCs w:val="22"/>
          <w:lang w:val="en-GB"/>
        </w:rPr>
        <w:t xml:space="preserve"> </w:t>
      </w:r>
      <w:r w:rsidR="0020690D" w:rsidRPr="0020690D">
        <w:rPr>
          <w:rFonts w:ascii="Avenir Next" w:hAnsi="Avenir Next" w:cs="Arial"/>
          <w:color w:val="7B7B7B" w:themeColor="accent3" w:themeShade="BF"/>
          <w:sz w:val="22"/>
          <w:szCs w:val="22"/>
          <w:lang w:val="en-GB"/>
        </w:rPr>
        <w:t>outweigh its liabilities (which test includes a requirement to take account of future and</w:t>
      </w:r>
      <w:r w:rsidR="0020690D">
        <w:rPr>
          <w:rFonts w:ascii="Avenir Next" w:hAnsi="Avenir Next" w:cs="Arial"/>
          <w:color w:val="7B7B7B" w:themeColor="accent3" w:themeShade="BF"/>
          <w:sz w:val="22"/>
          <w:szCs w:val="22"/>
          <w:lang w:val="en-GB"/>
        </w:rPr>
        <w:t xml:space="preserve"> </w:t>
      </w:r>
      <w:r w:rsidR="0020690D" w:rsidRPr="0020690D">
        <w:rPr>
          <w:rFonts w:ascii="Avenir Next" w:hAnsi="Avenir Next" w:cs="Arial"/>
          <w:color w:val="7B7B7B" w:themeColor="accent3" w:themeShade="BF"/>
          <w:sz w:val="22"/>
          <w:szCs w:val="22"/>
          <w:lang w:val="en-GB"/>
        </w:rPr>
        <w:t>contingent as well as current liabilities).</w:t>
      </w:r>
      <w:r w:rsidR="0020690D">
        <w:rPr>
          <w:rStyle w:val="FootnoteReference"/>
          <w:rFonts w:ascii="Avenir Next" w:hAnsi="Avenir Next" w:cs="Arial"/>
          <w:color w:val="7B7B7B" w:themeColor="accent3" w:themeShade="BF"/>
          <w:sz w:val="22"/>
          <w:szCs w:val="22"/>
          <w:lang w:val="en-GB"/>
        </w:rPr>
        <w:footnoteReference w:id="29"/>
      </w:r>
    </w:p>
    <w:p w14:paraId="42A91CD8" w14:textId="77777777" w:rsidR="0083462B" w:rsidRDefault="0083462B" w:rsidP="000C3075">
      <w:pPr>
        <w:jc w:val="both"/>
        <w:rPr>
          <w:rFonts w:ascii="Avenir Next" w:hAnsi="Avenir Next" w:cs="Arial"/>
          <w:color w:val="7B7B7B" w:themeColor="accent3" w:themeShade="BF"/>
          <w:sz w:val="22"/>
          <w:szCs w:val="22"/>
          <w:lang w:val="en-GB"/>
        </w:rPr>
      </w:pPr>
    </w:p>
    <w:p w14:paraId="39E4909A" w14:textId="07BEB888" w:rsidR="00526540" w:rsidRDefault="00526540" w:rsidP="000C307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Applying the balance sheet test to the Company's </w:t>
      </w:r>
      <w:r w:rsidRPr="00526540">
        <w:rPr>
          <w:rFonts w:ascii="Avenir Next" w:hAnsi="Avenir Next" w:cs="Arial"/>
          <w:color w:val="7B7B7B" w:themeColor="accent3" w:themeShade="BF"/>
          <w:sz w:val="22"/>
          <w:szCs w:val="22"/>
          <w:lang w:val="en-GB"/>
        </w:rPr>
        <w:t>present liabilities</w:t>
      </w:r>
      <w:r>
        <w:rPr>
          <w:rFonts w:ascii="Avenir Next" w:hAnsi="Avenir Next" w:cs="Arial"/>
          <w:color w:val="7B7B7B" w:themeColor="accent3" w:themeShade="BF"/>
          <w:sz w:val="22"/>
          <w:szCs w:val="22"/>
          <w:lang w:val="en-GB"/>
        </w:rPr>
        <w:t xml:space="preserve"> is simple. However, </w:t>
      </w:r>
      <w:proofErr w:type="gramStart"/>
      <w:r>
        <w:rPr>
          <w:rFonts w:ascii="Avenir Next" w:hAnsi="Avenir Next" w:cs="Arial"/>
          <w:color w:val="7B7B7B" w:themeColor="accent3" w:themeShade="BF"/>
          <w:sz w:val="22"/>
          <w:szCs w:val="22"/>
          <w:lang w:val="en-GB"/>
        </w:rPr>
        <w:t>taking into</w:t>
      </w:r>
      <w:r w:rsidR="000C3075">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account</w:t>
      </w:r>
      <w:proofErr w:type="gramEnd"/>
      <w:r>
        <w:rPr>
          <w:rFonts w:ascii="Avenir Next" w:hAnsi="Avenir Next" w:cs="Arial"/>
          <w:color w:val="7B7B7B" w:themeColor="accent3" w:themeShade="BF"/>
          <w:sz w:val="22"/>
          <w:szCs w:val="22"/>
          <w:lang w:val="en-GB"/>
        </w:rPr>
        <w:t xml:space="preserve"> future contingencies is much harder. In </w:t>
      </w:r>
      <w:proofErr w:type="spellStart"/>
      <w:r w:rsidRPr="0020690D">
        <w:rPr>
          <w:rFonts w:ascii="Avenir Next" w:hAnsi="Avenir Next" w:cs="Arial"/>
          <w:i/>
          <w:iCs/>
          <w:color w:val="7B7B7B" w:themeColor="accent3" w:themeShade="BF"/>
          <w:sz w:val="22"/>
          <w:szCs w:val="22"/>
          <w:lang w:val="en-GB"/>
        </w:rPr>
        <w:t>Eurosail</w:t>
      </w:r>
      <w:proofErr w:type="spellEnd"/>
      <w:r>
        <w:rPr>
          <w:rFonts w:ascii="Avenir Next" w:hAnsi="Avenir Next" w:cs="Arial"/>
          <w:i/>
          <w:iCs/>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the Court found that this was far from </w:t>
      </w:r>
      <w:r w:rsidR="003B582F">
        <w:rPr>
          <w:rFonts w:ascii="Avenir Next" w:hAnsi="Avenir Next" w:cs="Arial"/>
          <w:color w:val="7B7B7B" w:themeColor="accent3" w:themeShade="BF"/>
          <w:sz w:val="22"/>
          <w:szCs w:val="22"/>
          <w:lang w:val="en-GB"/>
        </w:rPr>
        <w:t>an</w:t>
      </w:r>
      <w:r w:rsidR="000C3075">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exact process. When</w:t>
      </w:r>
      <w:r w:rsidRPr="00526540">
        <w:rPr>
          <w:rFonts w:ascii="Avenir Next" w:hAnsi="Avenir Next" w:cs="Arial"/>
          <w:color w:val="7B7B7B" w:themeColor="accent3" w:themeShade="BF"/>
          <w:sz w:val="22"/>
          <w:szCs w:val="22"/>
          <w:lang w:val="en-GB"/>
        </w:rPr>
        <w:t xml:space="preserve"> tak</w:t>
      </w:r>
      <w:r>
        <w:rPr>
          <w:rFonts w:ascii="Avenir Next" w:hAnsi="Avenir Next" w:cs="Arial"/>
          <w:color w:val="7B7B7B" w:themeColor="accent3" w:themeShade="BF"/>
          <w:sz w:val="22"/>
          <w:szCs w:val="22"/>
          <w:lang w:val="en-GB"/>
        </w:rPr>
        <w:t>ing</w:t>
      </w:r>
      <w:r w:rsidRPr="00526540">
        <w:rPr>
          <w:rFonts w:ascii="Avenir Next" w:hAnsi="Avenir Next" w:cs="Arial"/>
          <w:color w:val="7B7B7B" w:themeColor="accent3" w:themeShade="BF"/>
          <w:sz w:val="22"/>
          <w:szCs w:val="22"/>
          <w:lang w:val="en-GB"/>
        </w:rPr>
        <w:t xml:space="preserve"> account of future (and contingent)</w:t>
      </w:r>
      <w:r>
        <w:rPr>
          <w:rFonts w:ascii="Avenir Next" w:hAnsi="Avenir Next" w:cs="Arial"/>
          <w:color w:val="7B7B7B" w:themeColor="accent3" w:themeShade="BF"/>
          <w:sz w:val="22"/>
          <w:szCs w:val="22"/>
          <w:lang w:val="en-GB"/>
        </w:rPr>
        <w:t xml:space="preserve"> </w:t>
      </w:r>
      <w:r w:rsidRPr="00526540">
        <w:rPr>
          <w:rFonts w:ascii="Avenir Next" w:hAnsi="Avenir Next" w:cs="Arial"/>
          <w:color w:val="7B7B7B" w:themeColor="accent3" w:themeShade="BF"/>
          <w:sz w:val="22"/>
          <w:szCs w:val="22"/>
          <w:lang w:val="en-GB"/>
        </w:rPr>
        <w:t>liabilities, some discounting is</w:t>
      </w:r>
      <w:r w:rsidR="000C3075">
        <w:rPr>
          <w:rFonts w:ascii="Avenir Next" w:hAnsi="Avenir Next" w:cs="Arial"/>
          <w:color w:val="7B7B7B" w:themeColor="accent3" w:themeShade="BF"/>
          <w:sz w:val="22"/>
          <w:szCs w:val="22"/>
          <w:lang w:val="en-GB"/>
        </w:rPr>
        <w:t xml:space="preserve"> </w:t>
      </w:r>
      <w:r w:rsidRPr="00526540">
        <w:rPr>
          <w:rFonts w:ascii="Avenir Next" w:hAnsi="Avenir Next" w:cs="Arial"/>
          <w:color w:val="7B7B7B" w:themeColor="accent3" w:themeShade="BF"/>
          <w:sz w:val="22"/>
          <w:szCs w:val="22"/>
          <w:lang w:val="en-GB"/>
        </w:rPr>
        <w:t>required due to the long-term nature of some loans or other</w:t>
      </w:r>
      <w:r>
        <w:rPr>
          <w:rFonts w:ascii="Avenir Next" w:hAnsi="Avenir Next" w:cs="Arial"/>
          <w:color w:val="7B7B7B" w:themeColor="accent3" w:themeShade="BF"/>
          <w:sz w:val="22"/>
          <w:szCs w:val="22"/>
          <w:lang w:val="en-GB"/>
        </w:rPr>
        <w:t xml:space="preserve"> </w:t>
      </w:r>
      <w:r w:rsidRPr="00526540">
        <w:rPr>
          <w:rFonts w:ascii="Avenir Next" w:hAnsi="Avenir Next" w:cs="Arial"/>
          <w:color w:val="7B7B7B" w:themeColor="accent3" w:themeShade="BF"/>
          <w:sz w:val="22"/>
          <w:szCs w:val="22"/>
          <w:lang w:val="en-GB"/>
        </w:rPr>
        <w:t xml:space="preserve">liabilities. Future profits </w:t>
      </w:r>
      <w:r>
        <w:rPr>
          <w:rFonts w:ascii="Avenir Next" w:hAnsi="Avenir Next" w:cs="Arial"/>
          <w:color w:val="7B7B7B" w:themeColor="accent3" w:themeShade="BF"/>
          <w:sz w:val="22"/>
          <w:szCs w:val="22"/>
          <w:lang w:val="en-GB"/>
        </w:rPr>
        <w:t>must also be taken into consideration.</w:t>
      </w:r>
      <w:r>
        <w:rPr>
          <w:rStyle w:val="FootnoteReference"/>
          <w:rFonts w:ascii="Avenir Next" w:hAnsi="Avenir Next" w:cs="Arial"/>
          <w:color w:val="7B7B7B" w:themeColor="accent3" w:themeShade="BF"/>
          <w:sz w:val="22"/>
          <w:szCs w:val="22"/>
          <w:lang w:val="en-GB"/>
        </w:rPr>
        <w:footnoteReference w:id="30"/>
      </w:r>
      <w:r>
        <w:rPr>
          <w:rFonts w:ascii="Avenir Next" w:hAnsi="Avenir Next" w:cs="Arial"/>
          <w:color w:val="7B7B7B" w:themeColor="accent3" w:themeShade="BF"/>
          <w:sz w:val="22"/>
          <w:szCs w:val="22"/>
          <w:lang w:val="en-GB"/>
        </w:rPr>
        <w:t xml:space="preserve"> </w:t>
      </w:r>
    </w:p>
    <w:p w14:paraId="6D499F50" w14:textId="77777777" w:rsidR="00526540" w:rsidRDefault="00526540" w:rsidP="000C3075">
      <w:pPr>
        <w:jc w:val="both"/>
        <w:rPr>
          <w:rFonts w:ascii="Avenir Next" w:hAnsi="Avenir Next" w:cs="Arial"/>
          <w:color w:val="7B7B7B" w:themeColor="accent3" w:themeShade="BF"/>
          <w:sz w:val="22"/>
          <w:szCs w:val="22"/>
          <w:lang w:val="en-GB"/>
        </w:rPr>
      </w:pPr>
    </w:p>
    <w:p w14:paraId="768470DA" w14:textId="0AD30AF1" w:rsidR="00E41F45" w:rsidRDefault="00526540" w:rsidP="000C307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a result of the challenges with the balance sheet test, </w:t>
      </w:r>
      <w:r w:rsidRPr="00526540">
        <w:rPr>
          <w:rFonts w:ascii="Avenir Next" w:hAnsi="Avenir Next" w:cs="Arial"/>
          <w:color w:val="7B7B7B" w:themeColor="accent3" w:themeShade="BF"/>
          <w:sz w:val="22"/>
          <w:szCs w:val="22"/>
          <w:lang w:val="en-GB"/>
        </w:rPr>
        <w:t>overwhelmingly convincing</w:t>
      </w:r>
      <w:r>
        <w:rPr>
          <w:rFonts w:ascii="Avenir Next" w:hAnsi="Avenir Next" w:cs="Arial"/>
          <w:color w:val="7B7B7B" w:themeColor="accent3" w:themeShade="BF"/>
          <w:sz w:val="22"/>
          <w:szCs w:val="22"/>
          <w:lang w:val="en-GB"/>
        </w:rPr>
        <w:t xml:space="preserve"> </w:t>
      </w:r>
      <w:r w:rsidRPr="00526540">
        <w:rPr>
          <w:rFonts w:ascii="Avenir Next" w:hAnsi="Avenir Next" w:cs="Arial"/>
          <w:color w:val="7B7B7B" w:themeColor="accent3" w:themeShade="BF"/>
          <w:sz w:val="22"/>
          <w:szCs w:val="22"/>
          <w:lang w:val="en-GB"/>
        </w:rPr>
        <w:t xml:space="preserve">evidence </w:t>
      </w:r>
      <w:r>
        <w:rPr>
          <w:rFonts w:ascii="Avenir Next" w:hAnsi="Avenir Next" w:cs="Arial"/>
          <w:color w:val="7B7B7B" w:themeColor="accent3" w:themeShade="BF"/>
          <w:sz w:val="22"/>
          <w:szCs w:val="22"/>
          <w:lang w:val="en-GB"/>
        </w:rPr>
        <w:t>would be required to disprove the presumption that the Company was insolvent in January 2023. Much</w:t>
      </w:r>
      <w:r w:rsidR="003B582F">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more information would be needed about the Company's potential future financial position, but at</w:t>
      </w:r>
      <w:r w:rsidR="003B582F">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this point we know that the </w:t>
      </w:r>
      <w:r w:rsidR="00E41F45">
        <w:rPr>
          <w:rFonts w:ascii="Avenir Next" w:hAnsi="Avenir Next" w:cs="Arial"/>
          <w:color w:val="7B7B7B" w:themeColor="accent3" w:themeShade="BF"/>
          <w:sz w:val="22"/>
          <w:szCs w:val="22"/>
          <w:lang w:val="en-GB"/>
        </w:rPr>
        <w:t>transaction itself will notably impact the Company's balance sheet by</w:t>
      </w:r>
      <w:r w:rsidR="003B582F">
        <w:rPr>
          <w:rFonts w:ascii="Avenir Next" w:hAnsi="Avenir Next" w:cs="Arial"/>
          <w:color w:val="7B7B7B" w:themeColor="accent3" w:themeShade="BF"/>
          <w:sz w:val="22"/>
          <w:szCs w:val="22"/>
          <w:lang w:val="en-GB"/>
        </w:rPr>
        <w:t xml:space="preserve"> </w:t>
      </w:r>
      <w:r w:rsidR="00E41F45">
        <w:rPr>
          <w:rFonts w:ascii="Avenir Next" w:hAnsi="Avenir Next" w:cs="Arial"/>
          <w:color w:val="7B7B7B" w:themeColor="accent3" w:themeShade="BF"/>
          <w:sz w:val="22"/>
          <w:szCs w:val="22"/>
          <w:lang w:val="en-GB"/>
        </w:rPr>
        <w:t xml:space="preserve">reducing its assets by </w:t>
      </w:r>
      <w:r w:rsidR="00E41F45" w:rsidRPr="00E41F45">
        <w:rPr>
          <w:rFonts w:ascii="Avenir Next" w:hAnsi="Avenir Next" w:cs="Arial"/>
          <w:color w:val="7B7B7B" w:themeColor="accent3" w:themeShade="BF"/>
          <w:sz w:val="22"/>
          <w:szCs w:val="22"/>
          <w:lang w:val="en-GB"/>
        </w:rPr>
        <w:t xml:space="preserve">GBP </w:t>
      </w:r>
      <w:r w:rsidR="00E41F45">
        <w:rPr>
          <w:rFonts w:ascii="Avenir Next" w:hAnsi="Avenir Next" w:cs="Arial"/>
          <w:color w:val="7B7B7B" w:themeColor="accent3" w:themeShade="BF"/>
          <w:sz w:val="22"/>
          <w:szCs w:val="22"/>
          <w:lang w:val="en-GB"/>
        </w:rPr>
        <w:t>6</w:t>
      </w:r>
      <w:r w:rsidR="00E41F45" w:rsidRPr="00E41F45">
        <w:rPr>
          <w:rFonts w:ascii="Avenir Next" w:hAnsi="Avenir Next" w:cs="Arial"/>
          <w:color w:val="7B7B7B" w:themeColor="accent3" w:themeShade="BF"/>
          <w:sz w:val="22"/>
          <w:szCs w:val="22"/>
          <w:lang w:val="en-GB"/>
        </w:rPr>
        <w:t>0,000</w:t>
      </w:r>
      <w:r w:rsidR="00E41F45">
        <w:rPr>
          <w:rFonts w:ascii="Avenir Next" w:hAnsi="Avenir Next" w:cs="Arial"/>
          <w:color w:val="7B7B7B" w:themeColor="accent3" w:themeShade="BF"/>
          <w:sz w:val="22"/>
          <w:szCs w:val="22"/>
          <w:lang w:val="en-GB"/>
        </w:rPr>
        <w:t xml:space="preserve">. </w:t>
      </w:r>
      <w:r w:rsidR="0083462B">
        <w:rPr>
          <w:rFonts w:ascii="Avenir Next" w:hAnsi="Avenir Next" w:cs="Arial"/>
          <w:color w:val="7B7B7B" w:themeColor="accent3" w:themeShade="BF"/>
          <w:sz w:val="22"/>
          <w:szCs w:val="22"/>
          <w:lang w:val="en-GB"/>
        </w:rPr>
        <w:t>The fact that it also sold the machines for cash may also be relevant especially if the Company had a loan to purchase the machines in the first place.</w:t>
      </w:r>
    </w:p>
    <w:p w14:paraId="6C78AA41" w14:textId="77777777" w:rsidR="0083462B" w:rsidRDefault="0083462B" w:rsidP="000C3075">
      <w:pPr>
        <w:jc w:val="both"/>
        <w:rPr>
          <w:rFonts w:ascii="Avenir Next" w:hAnsi="Avenir Next" w:cs="Arial"/>
          <w:color w:val="7B7B7B" w:themeColor="accent3" w:themeShade="BF"/>
          <w:sz w:val="22"/>
          <w:szCs w:val="22"/>
          <w:lang w:val="en-GB"/>
        </w:rPr>
      </w:pPr>
    </w:p>
    <w:p w14:paraId="2B6036DD" w14:textId="34D305F4" w:rsidR="00E41F45" w:rsidRDefault="0083462B" w:rsidP="000C307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Court is also prevented from making an order under section 238 if the Company can </w:t>
      </w:r>
      <w:r w:rsidRPr="0083462B">
        <w:rPr>
          <w:rFonts w:ascii="Avenir Next" w:hAnsi="Avenir Next" w:cs="Arial"/>
          <w:color w:val="7B7B7B" w:themeColor="accent3" w:themeShade="BF"/>
          <w:sz w:val="22"/>
          <w:szCs w:val="22"/>
          <w:lang w:val="en-GB"/>
        </w:rPr>
        <w:t>satisf</w:t>
      </w:r>
      <w:r>
        <w:rPr>
          <w:rFonts w:ascii="Avenir Next" w:hAnsi="Avenir Next" w:cs="Arial"/>
          <w:color w:val="7B7B7B" w:themeColor="accent3" w:themeShade="BF"/>
          <w:sz w:val="22"/>
          <w:szCs w:val="22"/>
          <w:lang w:val="en-GB"/>
        </w:rPr>
        <w:t>y</w:t>
      </w:r>
      <w:r w:rsidRPr="0083462B">
        <w:rPr>
          <w:rFonts w:ascii="Avenir Next" w:hAnsi="Avenir Next" w:cs="Arial"/>
          <w:color w:val="7B7B7B" w:themeColor="accent3" w:themeShade="BF"/>
          <w:sz w:val="22"/>
          <w:szCs w:val="22"/>
          <w:lang w:val="en-GB"/>
        </w:rPr>
        <w:t xml:space="preserve"> the </w:t>
      </w:r>
      <w:r w:rsidR="00511B54">
        <w:rPr>
          <w:rFonts w:ascii="Avenir Next" w:hAnsi="Avenir Next" w:cs="Arial"/>
          <w:color w:val="7B7B7B" w:themeColor="accent3" w:themeShade="BF"/>
          <w:sz w:val="22"/>
          <w:szCs w:val="22"/>
          <w:lang w:val="en-GB"/>
        </w:rPr>
        <w:t>C</w:t>
      </w:r>
      <w:r w:rsidRPr="0083462B">
        <w:rPr>
          <w:rFonts w:ascii="Avenir Next" w:hAnsi="Avenir Next" w:cs="Arial"/>
          <w:color w:val="7B7B7B" w:themeColor="accent3" w:themeShade="BF"/>
          <w:sz w:val="22"/>
          <w:szCs w:val="22"/>
          <w:lang w:val="en-GB"/>
        </w:rPr>
        <w:t xml:space="preserve">ourt that </w:t>
      </w:r>
      <w:r>
        <w:rPr>
          <w:rFonts w:ascii="Avenir Next" w:hAnsi="Avenir Next" w:cs="Arial"/>
          <w:color w:val="7B7B7B" w:themeColor="accent3" w:themeShade="BF"/>
          <w:sz w:val="22"/>
          <w:szCs w:val="22"/>
          <w:lang w:val="en-GB"/>
        </w:rPr>
        <w:t>it</w:t>
      </w:r>
      <w:r w:rsidR="00511B54">
        <w:rPr>
          <w:rFonts w:ascii="Avenir Next" w:hAnsi="Avenir Next" w:cs="Arial"/>
          <w:color w:val="7B7B7B" w:themeColor="accent3" w:themeShade="BF"/>
          <w:sz w:val="22"/>
          <w:szCs w:val="22"/>
          <w:lang w:val="en-GB"/>
        </w:rPr>
        <w:t xml:space="preserve"> sold</w:t>
      </w:r>
      <w:r>
        <w:rPr>
          <w:rFonts w:ascii="Avenir Next" w:hAnsi="Avenir Next" w:cs="Arial"/>
          <w:color w:val="7B7B7B" w:themeColor="accent3" w:themeShade="BF"/>
          <w:sz w:val="22"/>
          <w:szCs w:val="22"/>
          <w:lang w:val="en-GB"/>
        </w:rPr>
        <w:t xml:space="preserve"> the laser machines </w:t>
      </w:r>
      <w:r w:rsidRPr="0083462B">
        <w:rPr>
          <w:rFonts w:ascii="Avenir Next" w:hAnsi="Avenir Next" w:cs="Arial"/>
          <w:color w:val="7B7B7B" w:themeColor="accent3" w:themeShade="BF"/>
          <w:sz w:val="22"/>
          <w:szCs w:val="22"/>
          <w:lang w:val="en-GB"/>
        </w:rPr>
        <w:t>in good faith and for the purpose of carrying on its business, and that there were reasonable grounds for believing that the transaction would benefit the</w:t>
      </w:r>
      <w:r>
        <w:rPr>
          <w:rFonts w:ascii="Avenir Next" w:hAnsi="Avenir Next" w:cs="Arial"/>
          <w:color w:val="7B7B7B" w:themeColor="accent3" w:themeShade="BF"/>
          <w:sz w:val="22"/>
          <w:szCs w:val="22"/>
          <w:lang w:val="en-GB"/>
        </w:rPr>
        <w:t xml:space="preserve"> C</w:t>
      </w:r>
      <w:r w:rsidRPr="0083462B">
        <w:rPr>
          <w:rFonts w:ascii="Avenir Next" w:hAnsi="Avenir Next" w:cs="Arial"/>
          <w:color w:val="7B7B7B" w:themeColor="accent3" w:themeShade="BF"/>
          <w:sz w:val="22"/>
          <w:szCs w:val="22"/>
          <w:lang w:val="en-GB"/>
        </w:rPr>
        <w:t>ompany</w:t>
      </w:r>
      <w:r>
        <w:rPr>
          <w:rFonts w:ascii="Avenir Next" w:hAnsi="Avenir Next" w:cs="Arial"/>
          <w:color w:val="7B7B7B" w:themeColor="accent3" w:themeShade="BF"/>
          <w:sz w:val="22"/>
          <w:szCs w:val="22"/>
          <w:lang w:val="en-GB"/>
        </w:rPr>
        <w:t>.</w:t>
      </w:r>
      <w:r>
        <w:rPr>
          <w:rStyle w:val="FootnoteReference"/>
          <w:rFonts w:ascii="Avenir Next" w:hAnsi="Avenir Next" w:cs="Arial"/>
          <w:color w:val="7B7B7B" w:themeColor="accent3" w:themeShade="BF"/>
          <w:sz w:val="22"/>
          <w:szCs w:val="22"/>
          <w:lang w:val="en-GB"/>
        </w:rPr>
        <w:footnoteReference w:id="31"/>
      </w:r>
      <w:r>
        <w:rPr>
          <w:rFonts w:ascii="Avenir Next" w:hAnsi="Avenir Next" w:cs="Arial"/>
          <w:color w:val="7B7B7B" w:themeColor="accent3" w:themeShade="BF"/>
          <w:sz w:val="22"/>
          <w:szCs w:val="22"/>
          <w:lang w:val="en-GB"/>
        </w:rPr>
        <w:t xml:space="preserve"> The Company may be able to rely on the fact that it needed the cash in order to continue operations and </w:t>
      </w:r>
      <w:r w:rsidR="005C4F75">
        <w:rPr>
          <w:rFonts w:ascii="Avenir Next" w:hAnsi="Avenir Next" w:cs="Arial"/>
          <w:color w:val="7B7B7B" w:themeColor="accent3" w:themeShade="BF"/>
          <w:sz w:val="22"/>
          <w:szCs w:val="22"/>
          <w:lang w:val="en-GB"/>
        </w:rPr>
        <w:t xml:space="preserve">genuinely considered that the sale would lead to better results for the Company in the future if it were able to continue. However, this seems a bit of a stretch when presumably the Company will be limited in its operations with less machines. </w:t>
      </w:r>
    </w:p>
    <w:p w14:paraId="428E709B" w14:textId="77777777" w:rsidR="00434B57" w:rsidRDefault="00434B57" w:rsidP="000C3075">
      <w:pPr>
        <w:jc w:val="both"/>
        <w:rPr>
          <w:rFonts w:ascii="Avenir Next" w:hAnsi="Avenir Next" w:cs="Arial"/>
          <w:color w:val="7B7B7B" w:themeColor="accent3" w:themeShade="BF"/>
          <w:sz w:val="22"/>
          <w:szCs w:val="22"/>
          <w:lang w:val="en-GB"/>
        </w:rPr>
      </w:pPr>
    </w:p>
    <w:p w14:paraId="7F516DF2" w14:textId="6D44CC1E" w:rsidR="0020690D" w:rsidRDefault="0020690D" w:rsidP="000C307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 Court concludes that the sale of the laser machines was a</w:t>
      </w:r>
      <w:r w:rsidRPr="0020690D">
        <w:rPr>
          <w:rFonts w:ascii="Avenir Next" w:hAnsi="Avenir Next" w:cs="Arial"/>
          <w:color w:val="7B7B7B" w:themeColor="accent3" w:themeShade="BF"/>
          <w:sz w:val="22"/>
          <w:szCs w:val="22"/>
          <w:lang w:val="en-GB"/>
        </w:rPr>
        <w:t xml:space="preserve"> transaction at an</w:t>
      </w:r>
      <w:r>
        <w:rPr>
          <w:rFonts w:ascii="Avenir Next" w:hAnsi="Avenir Next" w:cs="Arial"/>
          <w:color w:val="7B7B7B" w:themeColor="accent3" w:themeShade="BF"/>
          <w:sz w:val="22"/>
          <w:szCs w:val="22"/>
          <w:lang w:val="en-GB"/>
        </w:rPr>
        <w:t xml:space="preserve"> </w:t>
      </w:r>
      <w:r w:rsidRPr="0020690D">
        <w:rPr>
          <w:rFonts w:ascii="Avenir Next" w:hAnsi="Avenir Next" w:cs="Arial"/>
          <w:color w:val="7B7B7B" w:themeColor="accent3" w:themeShade="BF"/>
          <w:sz w:val="22"/>
          <w:szCs w:val="22"/>
          <w:lang w:val="en-GB"/>
        </w:rPr>
        <w:t>undervalue</w:t>
      </w:r>
      <w:r>
        <w:rPr>
          <w:rFonts w:ascii="Avenir Next" w:hAnsi="Avenir Next" w:cs="Arial"/>
          <w:color w:val="7B7B7B" w:themeColor="accent3" w:themeShade="BF"/>
          <w:sz w:val="22"/>
          <w:szCs w:val="22"/>
          <w:lang w:val="en-GB"/>
        </w:rPr>
        <w:t xml:space="preserve">, then it will </w:t>
      </w:r>
      <w:r w:rsidRPr="0020690D">
        <w:rPr>
          <w:rFonts w:ascii="Avenir Next" w:hAnsi="Avenir Next" w:cs="Arial"/>
          <w:color w:val="7B7B7B" w:themeColor="accent3" w:themeShade="BF"/>
          <w:sz w:val="22"/>
          <w:szCs w:val="22"/>
          <w:lang w:val="en-GB"/>
        </w:rPr>
        <w:t>make an order restoring the position to what it would have</w:t>
      </w:r>
      <w:r>
        <w:rPr>
          <w:rFonts w:ascii="Avenir Next" w:hAnsi="Avenir Next" w:cs="Arial"/>
          <w:color w:val="7B7B7B" w:themeColor="accent3" w:themeShade="BF"/>
          <w:sz w:val="22"/>
          <w:szCs w:val="22"/>
          <w:lang w:val="en-GB"/>
        </w:rPr>
        <w:t xml:space="preserve"> </w:t>
      </w:r>
      <w:r w:rsidRPr="0020690D">
        <w:rPr>
          <w:rFonts w:ascii="Avenir Next" w:hAnsi="Avenir Next" w:cs="Arial"/>
          <w:color w:val="7B7B7B" w:themeColor="accent3" w:themeShade="BF"/>
          <w:sz w:val="22"/>
          <w:szCs w:val="22"/>
          <w:lang w:val="en-GB"/>
        </w:rPr>
        <w:t xml:space="preserve">been if </w:t>
      </w:r>
      <w:r>
        <w:rPr>
          <w:rFonts w:ascii="Avenir Next" w:hAnsi="Avenir Next" w:cs="Arial"/>
          <w:color w:val="7B7B7B" w:themeColor="accent3" w:themeShade="BF"/>
          <w:sz w:val="22"/>
          <w:szCs w:val="22"/>
          <w:lang w:val="en-GB"/>
        </w:rPr>
        <w:t>the transaction</w:t>
      </w:r>
      <w:r w:rsidRPr="0020690D">
        <w:rPr>
          <w:rFonts w:ascii="Avenir Next" w:hAnsi="Avenir Next" w:cs="Arial"/>
          <w:color w:val="7B7B7B" w:themeColor="accent3" w:themeShade="BF"/>
          <w:sz w:val="22"/>
          <w:szCs w:val="22"/>
          <w:lang w:val="en-GB"/>
        </w:rPr>
        <w:t xml:space="preserve"> had </w:t>
      </w:r>
      <w:r>
        <w:rPr>
          <w:rFonts w:ascii="Avenir Next" w:hAnsi="Avenir Next" w:cs="Arial"/>
          <w:color w:val="7B7B7B" w:themeColor="accent3" w:themeShade="BF"/>
          <w:sz w:val="22"/>
          <w:szCs w:val="22"/>
          <w:lang w:val="en-GB"/>
        </w:rPr>
        <w:t xml:space="preserve">not occurred. </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0E92C8B9" w:rsidR="00B04033" w:rsidRPr="007232AE" w:rsidRDefault="00B04033" w:rsidP="00B04033">
      <w:pPr>
        <w:rPr>
          <w:rFonts w:ascii="Avenir Next" w:hAnsi="Avenir Next" w:cs="Arial"/>
          <w:bCs/>
          <w:sz w:val="22"/>
          <w:szCs w:val="22"/>
        </w:rPr>
      </w:pPr>
    </w:p>
    <w:p w14:paraId="04985846" w14:textId="5BA78833" w:rsidR="00E615CA" w:rsidRDefault="00E615CA" w:rsidP="00CF3708">
      <w:pPr>
        <w:jc w:val="both"/>
        <w:rPr>
          <w:rFonts w:ascii="Avenir Next" w:hAnsi="Avenir Next" w:cs="Arial"/>
          <w:color w:val="7B7B7B" w:themeColor="accent3" w:themeShade="BF"/>
          <w:sz w:val="22"/>
          <w:szCs w:val="22"/>
          <w:lang w:val="en-GB"/>
        </w:rPr>
      </w:pPr>
      <w:proofErr w:type="gramStart"/>
      <w:r w:rsidRPr="00700400">
        <w:rPr>
          <w:rFonts w:ascii="Avenir Next" w:hAnsi="Avenir Next" w:cs="Arial"/>
          <w:color w:val="7B7B7B" w:themeColor="accent3" w:themeShade="BF"/>
          <w:sz w:val="22"/>
          <w:szCs w:val="22"/>
          <w:lang w:val="en-GB"/>
        </w:rPr>
        <w:t>Similar to</w:t>
      </w:r>
      <w:proofErr w:type="gramEnd"/>
      <w:r w:rsidRPr="00700400">
        <w:rPr>
          <w:rFonts w:ascii="Avenir Next" w:hAnsi="Avenir Next" w:cs="Arial"/>
          <w:color w:val="7B7B7B" w:themeColor="accent3" w:themeShade="BF"/>
          <w:sz w:val="22"/>
          <w:szCs w:val="22"/>
          <w:lang w:val="en-GB"/>
        </w:rPr>
        <w:t xml:space="preserve"> the above transactions, the liquidator should be advised that the payments to Aluminium </w:t>
      </w:r>
      <w:proofErr w:type="spellStart"/>
      <w:r w:rsidRPr="00700400">
        <w:rPr>
          <w:rFonts w:ascii="Avenir Next" w:hAnsi="Avenir Next" w:cs="Arial"/>
          <w:color w:val="7B7B7B" w:themeColor="accent3" w:themeShade="BF"/>
          <w:sz w:val="22"/>
          <w:szCs w:val="22"/>
          <w:lang w:val="en-GB"/>
        </w:rPr>
        <w:t>Alumini</w:t>
      </w:r>
      <w:proofErr w:type="spellEnd"/>
      <w:r w:rsidRPr="00700400">
        <w:rPr>
          <w:rFonts w:ascii="Avenir Next" w:hAnsi="Avenir Next" w:cs="Arial"/>
          <w:color w:val="7B7B7B" w:themeColor="accent3" w:themeShade="BF"/>
          <w:sz w:val="22"/>
          <w:szCs w:val="22"/>
          <w:lang w:val="en-GB"/>
        </w:rPr>
        <w:t xml:space="preserve"> Ltd </w:t>
      </w:r>
      <w:r w:rsidR="00723C89" w:rsidRPr="00700400">
        <w:rPr>
          <w:rFonts w:ascii="Avenir Next" w:hAnsi="Avenir Next" w:cs="Arial"/>
          <w:color w:val="7B7B7B" w:themeColor="accent3" w:themeShade="BF"/>
          <w:sz w:val="22"/>
          <w:szCs w:val="22"/>
          <w:lang w:val="en-GB"/>
        </w:rPr>
        <w:t>(</w:t>
      </w:r>
      <w:r w:rsidR="00723C89" w:rsidRPr="00700400">
        <w:rPr>
          <w:rFonts w:ascii="Avenir Next" w:hAnsi="Avenir Next" w:cs="Arial"/>
          <w:b/>
          <w:bCs/>
          <w:color w:val="7B7B7B" w:themeColor="accent3" w:themeShade="BF"/>
          <w:sz w:val="22"/>
          <w:szCs w:val="22"/>
          <w:lang w:val="en-GB"/>
        </w:rPr>
        <w:t>AAL</w:t>
      </w:r>
      <w:r w:rsidR="00723C89" w:rsidRPr="00700400">
        <w:rPr>
          <w:rFonts w:ascii="Avenir Next" w:hAnsi="Avenir Next" w:cs="Arial"/>
          <w:color w:val="7B7B7B" w:themeColor="accent3" w:themeShade="BF"/>
          <w:sz w:val="22"/>
          <w:szCs w:val="22"/>
          <w:lang w:val="en-GB"/>
        </w:rPr>
        <w:t xml:space="preserve">) </w:t>
      </w:r>
      <w:r w:rsidR="00BF7BE7" w:rsidRPr="00700400">
        <w:rPr>
          <w:rFonts w:ascii="Avenir Next" w:hAnsi="Avenir Next" w:cs="Arial"/>
          <w:color w:val="7B7B7B" w:themeColor="accent3" w:themeShade="BF"/>
          <w:sz w:val="22"/>
          <w:szCs w:val="22"/>
          <w:lang w:val="en-GB"/>
        </w:rPr>
        <w:t>may</w:t>
      </w:r>
      <w:r w:rsidRPr="00700400">
        <w:rPr>
          <w:rFonts w:ascii="Avenir Next" w:hAnsi="Avenir Next" w:cs="Arial"/>
          <w:color w:val="7B7B7B" w:themeColor="accent3" w:themeShade="BF"/>
          <w:sz w:val="22"/>
          <w:szCs w:val="22"/>
          <w:lang w:val="en-GB"/>
        </w:rPr>
        <w:t xml:space="preserve"> be </w:t>
      </w:r>
      <w:r w:rsidR="00700400" w:rsidRPr="00700400">
        <w:rPr>
          <w:rFonts w:ascii="Avenir Next" w:hAnsi="Avenir Next" w:cs="Arial"/>
          <w:color w:val="7B7B7B" w:themeColor="accent3" w:themeShade="BF"/>
          <w:sz w:val="22"/>
          <w:szCs w:val="22"/>
          <w:lang w:val="en-GB"/>
        </w:rPr>
        <w:t>avoided on the basis that they are</w:t>
      </w:r>
      <w:r w:rsidR="00700400">
        <w:rPr>
          <w:rFonts w:ascii="Avenir Next" w:hAnsi="Avenir Next" w:cs="Arial"/>
          <w:color w:val="7B7B7B" w:themeColor="accent3" w:themeShade="BF"/>
          <w:sz w:val="22"/>
          <w:szCs w:val="22"/>
          <w:lang w:val="en-GB"/>
        </w:rPr>
        <w:t xml:space="preserve"> preferences (although there are significant challenges which are explained below) or void because they were not validated. </w:t>
      </w:r>
    </w:p>
    <w:p w14:paraId="1D9C5D20" w14:textId="77777777" w:rsidR="00E615CA" w:rsidRDefault="00E615CA" w:rsidP="00CF3708">
      <w:pPr>
        <w:jc w:val="both"/>
        <w:rPr>
          <w:rFonts w:ascii="Avenir Next" w:hAnsi="Avenir Next" w:cs="Arial"/>
          <w:color w:val="7B7B7B" w:themeColor="accent3" w:themeShade="BF"/>
          <w:sz w:val="22"/>
          <w:szCs w:val="22"/>
          <w:lang w:val="en-GB"/>
        </w:rPr>
      </w:pPr>
    </w:p>
    <w:p w14:paraId="19E906D7" w14:textId="5ECE2686" w:rsidR="00723C89" w:rsidRDefault="00E615CA"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239 of the IA </w:t>
      </w:r>
      <w:r w:rsidR="00723C89">
        <w:rPr>
          <w:rFonts w:ascii="Avenir Next" w:hAnsi="Avenir Next" w:cs="Arial"/>
          <w:color w:val="7B7B7B" w:themeColor="accent3" w:themeShade="BF"/>
          <w:sz w:val="22"/>
          <w:szCs w:val="22"/>
          <w:lang w:val="en-GB"/>
        </w:rPr>
        <w:t>precludes a</w:t>
      </w:r>
      <w:r w:rsidR="00723C89" w:rsidRPr="00723C89">
        <w:rPr>
          <w:rFonts w:ascii="Avenir Next" w:hAnsi="Avenir Next" w:cs="Arial"/>
          <w:color w:val="7B7B7B" w:themeColor="accent3" w:themeShade="BF"/>
          <w:sz w:val="22"/>
          <w:szCs w:val="22"/>
          <w:lang w:val="en-GB"/>
        </w:rPr>
        <w:t xml:space="preserve"> company from</w:t>
      </w:r>
      <w:r w:rsidR="00723C89">
        <w:rPr>
          <w:rFonts w:ascii="Avenir Next" w:hAnsi="Avenir Next" w:cs="Arial"/>
          <w:color w:val="7B7B7B" w:themeColor="accent3" w:themeShade="BF"/>
          <w:sz w:val="22"/>
          <w:szCs w:val="22"/>
          <w:lang w:val="en-GB"/>
        </w:rPr>
        <w:t xml:space="preserve"> doing anything that would</w:t>
      </w:r>
      <w:r w:rsidR="00723C89" w:rsidRPr="00723C89">
        <w:rPr>
          <w:rFonts w:ascii="Avenir Next" w:hAnsi="Avenir Next" w:cs="Arial"/>
          <w:color w:val="7B7B7B" w:themeColor="accent3" w:themeShade="BF"/>
          <w:sz w:val="22"/>
          <w:szCs w:val="22"/>
          <w:lang w:val="en-GB"/>
        </w:rPr>
        <w:t xml:space="preserve"> plac</w:t>
      </w:r>
      <w:r w:rsidR="00723C89">
        <w:rPr>
          <w:rFonts w:ascii="Avenir Next" w:hAnsi="Avenir Next" w:cs="Arial"/>
          <w:color w:val="7B7B7B" w:themeColor="accent3" w:themeShade="BF"/>
          <w:sz w:val="22"/>
          <w:szCs w:val="22"/>
          <w:lang w:val="en-GB"/>
        </w:rPr>
        <w:t>e</w:t>
      </w:r>
      <w:r w:rsidR="00723C89" w:rsidRPr="00723C89">
        <w:rPr>
          <w:rFonts w:ascii="Avenir Next" w:hAnsi="Avenir Next" w:cs="Arial"/>
          <w:color w:val="7B7B7B" w:themeColor="accent3" w:themeShade="BF"/>
          <w:sz w:val="22"/>
          <w:szCs w:val="22"/>
          <w:lang w:val="en-GB"/>
        </w:rPr>
        <w:t xml:space="preserve"> one of its creditors in a</w:t>
      </w:r>
      <w:r w:rsidR="00723C89">
        <w:rPr>
          <w:rFonts w:ascii="Avenir Next" w:hAnsi="Avenir Next" w:cs="Arial"/>
          <w:color w:val="7B7B7B" w:themeColor="accent3" w:themeShade="BF"/>
          <w:sz w:val="22"/>
          <w:szCs w:val="22"/>
          <w:lang w:val="en-GB"/>
        </w:rPr>
        <w:t xml:space="preserve"> </w:t>
      </w:r>
      <w:r w:rsidR="00723C89" w:rsidRPr="00723C89">
        <w:rPr>
          <w:rFonts w:ascii="Avenir Next" w:hAnsi="Avenir Next" w:cs="Arial"/>
          <w:color w:val="7B7B7B" w:themeColor="accent3" w:themeShade="BF"/>
          <w:sz w:val="22"/>
          <w:szCs w:val="22"/>
          <w:lang w:val="en-GB"/>
        </w:rPr>
        <w:t>better position than</w:t>
      </w:r>
      <w:r w:rsidR="00723C89">
        <w:rPr>
          <w:rFonts w:ascii="Avenir Next" w:hAnsi="Avenir Next" w:cs="Arial"/>
          <w:color w:val="7B7B7B" w:themeColor="accent3" w:themeShade="BF"/>
          <w:sz w:val="22"/>
          <w:szCs w:val="22"/>
          <w:lang w:val="en-GB"/>
        </w:rPr>
        <w:t xml:space="preserve"> other creditors </w:t>
      </w:r>
      <w:r w:rsidR="00723C89" w:rsidRPr="00723C89">
        <w:rPr>
          <w:rFonts w:ascii="Avenir Next" w:hAnsi="Avenir Next" w:cs="Arial"/>
          <w:color w:val="7B7B7B" w:themeColor="accent3" w:themeShade="BF"/>
          <w:sz w:val="22"/>
          <w:szCs w:val="22"/>
          <w:lang w:val="en-GB"/>
        </w:rPr>
        <w:t>shortly before entering a formal insolvency procedure</w:t>
      </w:r>
      <w:r w:rsidR="00723C89">
        <w:rPr>
          <w:rFonts w:ascii="Avenir Next" w:hAnsi="Avenir Next" w:cs="Arial"/>
          <w:color w:val="7B7B7B" w:themeColor="accent3" w:themeShade="BF"/>
          <w:sz w:val="22"/>
          <w:szCs w:val="22"/>
          <w:lang w:val="en-GB"/>
        </w:rPr>
        <w:t xml:space="preserve">. It is open to the liquidator to apply to the Court to avoid the payments now that the winding-up order has been made and the Company is in liquidation. The liquidator will need to establish </w:t>
      </w:r>
      <w:r w:rsidR="00D22518">
        <w:rPr>
          <w:rFonts w:ascii="Avenir Next" w:hAnsi="Avenir Next" w:cs="Arial"/>
          <w:color w:val="7B7B7B" w:themeColor="accent3" w:themeShade="BF"/>
          <w:sz w:val="22"/>
          <w:szCs w:val="22"/>
          <w:lang w:val="en-GB"/>
        </w:rPr>
        <w:t>that:</w:t>
      </w:r>
    </w:p>
    <w:p w14:paraId="13702818" w14:textId="77777777" w:rsidR="00723C89" w:rsidRDefault="00723C89" w:rsidP="00CF3708">
      <w:pPr>
        <w:jc w:val="both"/>
        <w:rPr>
          <w:rFonts w:ascii="Avenir Next" w:hAnsi="Avenir Next" w:cs="Arial"/>
          <w:color w:val="7B7B7B" w:themeColor="accent3" w:themeShade="BF"/>
          <w:sz w:val="22"/>
          <w:szCs w:val="22"/>
          <w:lang w:val="en-GB"/>
        </w:rPr>
      </w:pPr>
    </w:p>
    <w:p w14:paraId="1BEE1D1E" w14:textId="25A8D5C5" w:rsidR="00723C89" w:rsidRDefault="00723C89" w:rsidP="00723C89">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AAL</w:t>
      </w:r>
      <w:r w:rsidRPr="00723C89">
        <w:rPr>
          <w:rFonts w:ascii="Avenir Next" w:hAnsi="Avenir Next" w:cs="Arial"/>
          <w:color w:val="7B7B7B" w:themeColor="accent3" w:themeShade="BF"/>
          <w:sz w:val="22"/>
          <w:szCs w:val="22"/>
          <w:lang w:val="en-GB"/>
        </w:rPr>
        <w:t xml:space="preserve"> was, at the time of the transaction, a</w:t>
      </w:r>
      <w:r>
        <w:rPr>
          <w:rFonts w:ascii="Avenir Next" w:hAnsi="Avenir Next" w:cs="Arial"/>
          <w:color w:val="7B7B7B" w:themeColor="accent3" w:themeShade="BF"/>
          <w:sz w:val="22"/>
          <w:szCs w:val="22"/>
          <w:lang w:val="en-GB"/>
        </w:rPr>
        <w:t xml:space="preserve"> </w:t>
      </w:r>
      <w:r w:rsidRPr="00723C89">
        <w:rPr>
          <w:rFonts w:ascii="Avenir Next" w:hAnsi="Avenir Next" w:cs="Arial"/>
          <w:color w:val="7B7B7B" w:themeColor="accent3" w:themeShade="BF"/>
          <w:sz w:val="22"/>
          <w:szCs w:val="22"/>
          <w:lang w:val="en-GB"/>
        </w:rPr>
        <w:t>creditor of the company</w:t>
      </w:r>
      <w:r>
        <w:rPr>
          <w:rFonts w:ascii="Avenir Next" w:hAnsi="Avenir Next" w:cs="Arial"/>
          <w:color w:val="7B7B7B" w:themeColor="accent3" w:themeShade="BF"/>
          <w:sz w:val="22"/>
          <w:szCs w:val="22"/>
          <w:lang w:val="en-GB"/>
        </w:rPr>
        <w:t xml:space="preserve">. This may be established based on the contract between AAL and the Company and with further evidence of AAL's demands for payment and refusal to continue supply unless paid for outstanding debts and </w:t>
      </w:r>
      <w:r w:rsidR="00D22518">
        <w:rPr>
          <w:rFonts w:ascii="Avenir Next" w:hAnsi="Avenir Next" w:cs="Arial"/>
          <w:color w:val="7B7B7B" w:themeColor="accent3" w:themeShade="BF"/>
          <w:sz w:val="22"/>
          <w:szCs w:val="22"/>
          <w:lang w:val="en-GB"/>
        </w:rPr>
        <w:t xml:space="preserve">for future supply to be on a cash on delivery basis. </w:t>
      </w:r>
    </w:p>
    <w:p w14:paraId="6DFF4E19" w14:textId="77777777" w:rsidR="00D22518" w:rsidRPr="00D22518" w:rsidRDefault="00D22518" w:rsidP="00D22518">
      <w:pPr>
        <w:jc w:val="both"/>
        <w:rPr>
          <w:rFonts w:ascii="Avenir Next" w:hAnsi="Avenir Next" w:cs="Arial"/>
          <w:color w:val="7B7B7B" w:themeColor="accent3" w:themeShade="BF"/>
          <w:sz w:val="22"/>
          <w:szCs w:val="22"/>
          <w:lang w:val="en-GB"/>
        </w:rPr>
      </w:pPr>
    </w:p>
    <w:p w14:paraId="18DFD77A" w14:textId="4CA28290" w:rsidR="00723C89" w:rsidRDefault="00D22518" w:rsidP="00D22518">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w:t>
      </w:r>
      <w:r w:rsidR="00723C89" w:rsidRPr="00D22518">
        <w:rPr>
          <w:rFonts w:ascii="Avenir Next" w:hAnsi="Avenir Next" w:cs="Arial"/>
          <w:color w:val="7B7B7B" w:themeColor="accent3" w:themeShade="BF"/>
          <w:sz w:val="22"/>
          <w:szCs w:val="22"/>
          <w:lang w:val="en-GB"/>
        </w:rPr>
        <w:t>omething was done</w:t>
      </w:r>
      <w:r>
        <w:rPr>
          <w:rFonts w:ascii="Avenir Next" w:hAnsi="Avenir Next" w:cs="Arial"/>
          <w:color w:val="7B7B7B" w:themeColor="accent3" w:themeShade="BF"/>
          <w:sz w:val="22"/>
          <w:szCs w:val="22"/>
          <w:lang w:val="en-GB"/>
        </w:rPr>
        <w:t xml:space="preserve"> </w:t>
      </w:r>
      <w:r w:rsidR="00723C89" w:rsidRPr="00D22518">
        <w:rPr>
          <w:rFonts w:ascii="Avenir Next" w:hAnsi="Avenir Next" w:cs="Arial"/>
          <w:color w:val="7B7B7B" w:themeColor="accent3" w:themeShade="BF"/>
          <w:sz w:val="22"/>
          <w:szCs w:val="22"/>
          <w:lang w:val="en-GB"/>
        </w:rPr>
        <w:t xml:space="preserve">by the </w:t>
      </w:r>
      <w:r>
        <w:rPr>
          <w:rFonts w:ascii="Avenir Next" w:hAnsi="Avenir Next" w:cs="Arial"/>
          <w:color w:val="7B7B7B" w:themeColor="accent3" w:themeShade="BF"/>
          <w:sz w:val="22"/>
          <w:szCs w:val="22"/>
          <w:lang w:val="en-GB"/>
        </w:rPr>
        <w:t>C</w:t>
      </w:r>
      <w:r w:rsidR="00723C89" w:rsidRPr="00D22518">
        <w:rPr>
          <w:rFonts w:ascii="Avenir Next" w:hAnsi="Avenir Next" w:cs="Arial"/>
          <w:color w:val="7B7B7B" w:themeColor="accent3" w:themeShade="BF"/>
          <w:sz w:val="22"/>
          <w:szCs w:val="22"/>
          <w:lang w:val="en-GB"/>
        </w:rPr>
        <w:t>ompany which had the effect of</w:t>
      </w:r>
      <w:r>
        <w:rPr>
          <w:rFonts w:ascii="Avenir Next" w:hAnsi="Avenir Next" w:cs="Arial"/>
          <w:color w:val="7B7B7B" w:themeColor="accent3" w:themeShade="BF"/>
          <w:sz w:val="22"/>
          <w:szCs w:val="22"/>
          <w:lang w:val="en-GB"/>
        </w:rPr>
        <w:t xml:space="preserve"> </w:t>
      </w:r>
      <w:r w:rsidR="00723C89" w:rsidRPr="00D22518">
        <w:rPr>
          <w:rFonts w:ascii="Avenir Next" w:hAnsi="Avenir Next" w:cs="Arial"/>
          <w:color w:val="7B7B7B" w:themeColor="accent3" w:themeShade="BF"/>
          <w:sz w:val="22"/>
          <w:szCs w:val="22"/>
          <w:lang w:val="en-GB"/>
        </w:rPr>
        <w:t xml:space="preserve">putting </w:t>
      </w:r>
      <w:r>
        <w:rPr>
          <w:rFonts w:ascii="Avenir Next" w:hAnsi="Avenir Next" w:cs="Arial"/>
          <w:color w:val="7B7B7B" w:themeColor="accent3" w:themeShade="BF"/>
          <w:sz w:val="22"/>
          <w:szCs w:val="22"/>
          <w:lang w:val="en-GB"/>
        </w:rPr>
        <w:t>AAL</w:t>
      </w:r>
      <w:r w:rsidR="00723C89" w:rsidRPr="00D22518">
        <w:rPr>
          <w:rFonts w:ascii="Avenir Next" w:hAnsi="Avenir Next" w:cs="Arial"/>
          <w:color w:val="7B7B7B" w:themeColor="accent3" w:themeShade="BF"/>
          <w:sz w:val="22"/>
          <w:szCs w:val="22"/>
          <w:lang w:val="en-GB"/>
        </w:rPr>
        <w:t xml:space="preserve"> in a better position, in the event of the </w:t>
      </w:r>
      <w:r>
        <w:rPr>
          <w:rFonts w:ascii="Avenir Next" w:hAnsi="Avenir Next" w:cs="Arial"/>
          <w:color w:val="7B7B7B" w:themeColor="accent3" w:themeShade="BF"/>
          <w:sz w:val="22"/>
          <w:szCs w:val="22"/>
          <w:lang w:val="en-GB"/>
        </w:rPr>
        <w:t>C</w:t>
      </w:r>
      <w:r w:rsidR="00723C89" w:rsidRPr="00D22518">
        <w:rPr>
          <w:rFonts w:ascii="Avenir Next" w:hAnsi="Avenir Next" w:cs="Arial"/>
          <w:color w:val="7B7B7B" w:themeColor="accent3" w:themeShade="BF"/>
          <w:sz w:val="22"/>
          <w:szCs w:val="22"/>
          <w:lang w:val="en-GB"/>
        </w:rPr>
        <w:t>ompany going into insolvent</w:t>
      </w:r>
      <w:r>
        <w:rPr>
          <w:rFonts w:ascii="Avenir Next" w:hAnsi="Avenir Next" w:cs="Arial"/>
          <w:color w:val="7B7B7B" w:themeColor="accent3" w:themeShade="BF"/>
          <w:sz w:val="22"/>
          <w:szCs w:val="22"/>
          <w:lang w:val="en-GB"/>
        </w:rPr>
        <w:t xml:space="preserve"> </w:t>
      </w:r>
      <w:r w:rsidR="00723C89" w:rsidRPr="00D22518">
        <w:rPr>
          <w:rFonts w:ascii="Avenir Next" w:hAnsi="Avenir Next" w:cs="Arial"/>
          <w:color w:val="7B7B7B" w:themeColor="accent3" w:themeShade="BF"/>
          <w:sz w:val="22"/>
          <w:szCs w:val="22"/>
          <w:lang w:val="en-GB"/>
        </w:rPr>
        <w:t>liquidation, than the position they would have been in if that thing had not been done</w:t>
      </w:r>
      <w:r>
        <w:rPr>
          <w:rFonts w:ascii="Avenir Next" w:hAnsi="Avenir Next" w:cs="Arial"/>
          <w:color w:val="7B7B7B" w:themeColor="accent3" w:themeShade="BF"/>
          <w:sz w:val="22"/>
          <w:szCs w:val="22"/>
          <w:lang w:val="en-GB"/>
        </w:rPr>
        <w:t xml:space="preserve">. This factor may be established by evidence that the Company did in fact pay the </w:t>
      </w:r>
      <w:r w:rsidRPr="00D22518">
        <w:rPr>
          <w:rFonts w:ascii="Avenir Next" w:hAnsi="Avenir Next" w:cs="Arial"/>
          <w:color w:val="7B7B7B" w:themeColor="accent3" w:themeShade="BF"/>
          <w:sz w:val="22"/>
          <w:szCs w:val="22"/>
          <w:lang w:val="en-GB"/>
        </w:rPr>
        <w:t>GBP 20,000 to</w:t>
      </w:r>
      <w:r>
        <w:rPr>
          <w:rFonts w:ascii="Avenir Next" w:hAnsi="Avenir Next" w:cs="Arial"/>
          <w:color w:val="7B7B7B" w:themeColor="accent3" w:themeShade="BF"/>
          <w:sz w:val="22"/>
          <w:szCs w:val="22"/>
          <w:lang w:val="en-GB"/>
        </w:rPr>
        <w:t xml:space="preserve"> AAL to </w:t>
      </w:r>
      <w:r w:rsidRPr="00D22518">
        <w:rPr>
          <w:rFonts w:ascii="Avenir Next" w:hAnsi="Avenir Next" w:cs="Arial"/>
          <w:color w:val="7B7B7B" w:themeColor="accent3" w:themeShade="BF"/>
          <w:sz w:val="22"/>
          <w:szCs w:val="22"/>
          <w:lang w:val="en-GB"/>
        </w:rPr>
        <w:t>cover existing liabilities</w:t>
      </w:r>
      <w:r>
        <w:rPr>
          <w:rFonts w:ascii="Avenir Next" w:hAnsi="Avenir Next" w:cs="Arial"/>
          <w:color w:val="7B7B7B" w:themeColor="accent3" w:themeShade="BF"/>
          <w:sz w:val="22"/>
          <w:szCs w:val="22"/>
          <w:lang w:val="en-GB"/>
        </w:rPr>
        <w:t xml:space="preserve"> </w:t>
      </w:r>
      <w:proofErr w:type="gramStart"/>
      <w:r>
        <w:rPr>
          <w:rFonts w:ascii="Avenir Next" w:hAnsi="Avenir Next" w:cs="Arial"/>
          <w:color w:val="7B7B7B" w:themeColor="accent3" w:themeShade="BF"/>
          <w:sz w:val="22"/>
          <w:szCs w:val="22"/>
          <w:lang w:val="en-GB"/>
        </w:rPr>
        <w:t>and also</w:t>
      </w:r>
      <w:proofErr w:type="gramEnd"/>
      <w:r>
        <w:rPr>
          <w:rFonts w:ascii="Avenir Next" w:hAnsi="Avenir Next" w:cs="Arial"/>
          <w:color w:val="7B7B7B" w:themeColor="accent3" w:themeShade="BF"/>
          <w:sz w:val="22"/>
          <w:szCs w:val="22"/>
          <w:lang w:val="en-GB"/>
        </w:rPr>
        <w:t xml:space="preserve"> advanced </w:t>
      </w:r>
      <w:r w:rsidRPr="00D22518">
        <w:rPr>
          <w:rFonts w:ascii="Avenir Next" w:hAnsi="Avenir Next" w:cs="Arial"/>
          <w:color w:val="7B7B7B" w:themeColor="accent3" w:themeShade="BF"/>
          <w:sz w:val="22"/>
          <w:szCs w:val="22"/>
          <w:lang w:val="en-GB"/>
        </w:rPr>
        <w:t xml:space="preserve">GBP 8,000 </w:t>
      </w:r>
      <w:r>
        <w:rPr>
          <w:rFonts w:ascii="Avenir Next" w:hAnsi="Avenir Next" w:cs="Arial"/>
          <w:color w:val="7B7B7B" w:themeColor="accent3" w:themeShade="BF"/>
          <w:sz w:val="22"/>
          <w:szCs w:val="22"/>
          <w:lang w:val="en-GB"/>
        </w:rPr>
        <w:t xml:space="preserve">for orders </w:t>
      </w:r>
      <w:r w:rsidRPr="00D22518">
        <w:rPr>
          <w:rFonts w:ascii="Avenir Next" w:hAnsi="Avenir Next" w:cs="Arial"/>
          <w:color w:val="7B7B7B" w:themeColor="accent3" w:themeShade="BF"/>
          <w:sz w:val="22"/>
          <w:szCs w:val="22"/>
          <w:lang w:val="en-GB"/>
        </w:rPr>
        <w:t>up to the date of the winding up order</w:t>
      </w:r>
      <w:r>
        <w:rPr>
          <w:rFonts w:ascii="Avenir Next" w:hAnsi="Avenir Next" w:cs="Arial"/>
          <w:color w:val="7B7B7B" w:themeColor="accent3" w:themeShade="BF"/>
          <w:sz w:val="22"/>
          <w:szCs w:val="22"/>
          <w:lang w:val="en-GB"/>
        </w:rPr>
        <w:t xml:space="preserve">. </w:t>
      </w:r>
      <w:proofErr w:type="gramStart"/>
      <w:r>
        <w:rPr>
          <w:rFonts w:ascii="Avenir Next" w:hAnsi="Avenir Next" w:cs="Arial"/>
          <w:color w:val="7B7B7B" w:themeColor="accent3" w:themeShade="BF"/>
          <w:sz w:val="22"/>
          <w:szCs w:val="22"/>
          <w:lang w:val="en-GB"/>
        </w:rPr>
        <w:t>Both of these</w:t>
      </w:r>
      <w:proofErr w:type="gramEnd"/>
      <w:r>
        <w:rPr>
          <w:rFonts w:ascii="Avenir Next" w:hAnsi="Avenir Next" w:cs="Arial"/>
          <w:color w:val="7B7B7B" w:themeColor="accent3" w:themeShade="BF"/>
          <w:sz w:val="22"/>
          <w:szCs w:val="22"/>
          <w:lang w:val="en-GB"/>
        </w:rPr>
        <w:t xml:space="preserve"> payments put AAL in a better position that it would have otherwise been in because it has received full payment as opposed to waiting in line with other unsecured creditors and being paid on a </w:t>
      </w:r>
      <w:proofErr w:type="spellStart"/>
      <w:r w:rsidRPr="00D22518">
        <w:rPr>
          <w:rFonts w:ascii="Avenir Next" w:hAnsi="Avenir Next" w:cs="Arial"/>
          <w:i/>
          <w:iCs/>
          <w:color w:val="7B7B7B" w:themeColor="accent3" w:themeShade="BF"/>
          <w:sz w:val="22"/>
          <w:szCs w:val="22"/>
          <w:lang w:val="en-GB"/>
        </w:rPr>
        <w:t>pari</w:t>
      </w:r>
      <w:proofErr w:type="spellEnd"/>
      <w:r w:rsidRPr="00D22518">
        <w:rPr>
          <w:rFonts w:ascii="Avenir Next" w:hAnsi="Avenir Next" w:cs="Arial"/>
          <w:i/>
          <w:iCs/>
          <w:color w:val="7B7B7B" w:themeColor="accent3" w:themeShade="BF"/>
          <w:sz w:val="22"/>
          <w:szCs w:val="22"/>
          <w:lang w:val="en-GB"/>
        </w:rPr>
        <w:t xml:space="preserve"> passu</w:t>
      </w:r>
      <w:r>
        <w:rPr>
          <w:rFonts w:ascii="Avenir Next" w:hAnsi="Avenir Next" w:cs="Arial"/>
          <w:color w:val="7B7B7B" w:themeColor="accent3" w:themeShade="BF"/>
          <w:sz w:val="22"/>
          <w:szCs w:val="22"/>
          <w:lang w:val="en-GB"/>
        </w:rPr>
        <w:t xml:space="preserve"> basis after payment of preferential debts etc. </w:t>
      </w:r>
    </w:p>
    <w:p w14:paraId="5E5A130C" w14:textId="3F47337C" w:rsidR="00D22518" w:rsidRPr="00D22518" w:rsidRDefault="00D22518" w:rsidP="00D22518">
      <w:pPr>
        <w:jc w:val="both"/>
        <w:rPr>
          <w:rFonts w:ascii="Avenir Next" w:hAnsi="Avenir Next" w:cs="Arial"/>
          <w:color w:val="7B7B7B" w:themeColor="accent3" w:themeShade="BF"/>
          <w:sz w:val="22"/>
          <w:szCs w:val="22"/>
          <w:lang w:val="en-GB"/>
        </w:rPr>
      </w:pPr>
    </w:p>
    <w:p w14:paraId="731C9527" w14:textId="77777777" w:rsidR="00723C89" w:rsidRDefault="00D22518" w:rsidP="00D22518">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w:t>
      </w:r>
      <w:r w:rsidR="00723C89" w:rsidRPr="00723C89">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C</w:t>
      </w:r>
      <w:r w:rsidR="00723C89" w:rsidRPr="00723C89">
        <w:rPr>
          <w:rFonts w:ascii="Avenir Next" w:hAnsi="Avenir Next" w:cs="Arial"/>
          <w:color w:val="7B7B7B" w:themeColor="accent3" w:themeShade="BF"/>
          <w:sz w:val="22"/>
          <w:szCs w:val="22"/>
          <w:lang w:val="en-GB"/>
        </w:rPr>
        <w:t xml:space="preserve">ompany was, in giving the preference, influenced by a desire </w:t>
      </w:r>
      <w:r>
        <w:rPr>
          <w:rFonts w:ascii="Avenir Next" w:hAnsi="Avenir Next" w:cs="Arial"/>
          <w:color w:val="7B7B7B" w:themeColor="accent3" w:themeShade="BF"/>
          <w:sz w:val="22"/>
          <w:szCs w:val="22"/>
          <w:lang w:val="en-GB"/>
        </w:rPr>
        <w:t xml:space="preserve">to </w:t>
      </w:r>
      <w:r w:rsidR="00723C89" w:rsidRPr="00D22518">
        <w:rPr>
          <w:rFonts w:ascii="Avenir Next" w:hAnsi="Avenir Next" w:cs="Arial"/>
          <w:color w:val="7B7B7B" w:themeColor="accent3" w:themeShade="BF"/>
          <w:sz w:val="22"/>
          <w:szCs w:val="22"/>
          <w:lang w:val="en-GB"/>
        </w:rPr>
        <w:t>prefer</w:t>
      </w:r>
      <w:r>
        <w:rPr>
          <w:rFonts w:ascii="Avenir Next" w:hAnsi="Avenir Next" w:cs="Arial"/>
          <w:color w:val="7B7B7B" w:themeColor="accent3" w:themeShade="BF"/>
          <w:sz w:val="22"/>
          <w:szCs w:val="22"/>
          <w:lang w:val="en-GB"/>
        </w:rPr>
        <w:t xml:space="preserve"> AAL. We are told that the Company considered that a </w:t>
      </w:r>
      <w:r w:rsidRPr="00D22518">
        <w:rPr>
          <w:rFonts w:ascii="Avenir Next" w:hAnsi="Avenir Next" w:cs="Arial"/>
          <w:color w:val="7B7B7B" w:themeColor="accent3" w:themeShade="BF"/>
          <w:sz w:val="22"/>
          <w:szCs w:val="22"/>
          <w:lang w:val="en-GB"/>
        </w:rPr>
        <w:t>continued supply of metal was seen as essential by the Company</w:t>
      </w:r>
      <w:r>
        <w:rPr>
          <w:rFonts w:ascii="Avenir Next" w:hAnsi="Avenir Next" w:cs="Arial"/>
          <w:color w:val="7B7B7B" w:themeColor="accent3" w:themeShade="BF"/>
          <w:sz w:val="22"/>
          <w:szCs w:val="22"/>
          <w:lang w:val="en-GB"/>
        </w:rPr>
        <w:t xml:space="preserve">. </w:t>
      </w:r>
      <w:r w:rsidR="00BF7BE7">
        <w:rPr>
          <w:rFonts w:ascii="Avenir Next" w:hAnsi="Avenir Next" w:cs="Arial"/>
          <w:color w:val="7B7B7B" w:themeColor="accent3" w:themeShade="BF"/>
          <w:sz w:val="22"/>
          <w:szCs w:val="22"/>
          <w:lang w:val="en-GB"/>
        </w:rPr>
        <w:t xml:space="preserve">This will be the most difficult factor for the liquidator to establish </w:t>
      </w:r>
      <w:r>
        <w:rPr>
          <w:rFonts w:ascii="Avenir Next" w:hAnsi="Avenir Next" w:cs="Arial"/>
          <w:color w:val="7B7B7B" w:themeColor="accent3" w:themeShade="BF"/>
          <w:sz w:val="22"/>
          <w:szCs w:val="22"/>
          <w:lang w:val="en-GB"/>
        </w:rPr>
        <w:t xml:space="preserve">because the Company may be able to show that it didn’t have a desire to prefer AAL, but simply saw the supply of metal as being crucial to its survival. </w:t>
      </w:r>
      <w:r w:rsidR="00BF7BE7">
        <w:rPr>
          <w:rFonts w:ascii="Avenir Next" w:hAnsi="Avenir Next" w:cs="Arial"/>
          <w:color w:val="7B7B7B" w:themeColor="accent3" w:themeShade="BF"/>
          <w:sz w:val="22"/>
          <w:szCs w:val="22"/>
          <w:lang w:val="en-GB"/>
        </w:rPr>
        <w:t>The pressure that was being applied by AAL on the Company is not relevant to the analysis.</w:t>
      </w:r>
      <w:r w:rsidR="00BF7BE7">
        <w:rPr>
          <w:rStyle w:val="FootnoteReference"/>
          <w:rFonts w:ascii="Avenir Next" w:hAnsi="Avenir Next" w:cs="Arial"/>
          <w:color w:val="7B7B7B" w:themeColor="accent3" w:themeShade="BF"/>
          <w:sz w:val="22"/>
          <w:szCs w:val="22"/>
          <w:lang w:val="en-GB"/>
        </w:rPr>
        <w:footnoteReference w:id="32"/>
      </w:r>
      <w:r w:rsidR="00BF7BE7">
        <w:rPr>
          <w:rFonts w:ascii="Avenir Next" w:hAnsi="Avenir Next" w:cs="Arial"/>
          <w:color w:val="7B7B7B" w:themeColor="accent3" w:themeShade="BF"/>
          <w:sz w:val="22"/>
          <w:szCs w:val="22"/>
          <w:lang w:val="en-GB"/>
        </w:rPr>
        <w:t xml:space="preserve"> </w:t>
      </w:r>
      <w:r w:rsidR="00700400">
        <w:rPr>
          <w:rFonts w:ascii="Avenir Next" w:hAnsi="Avenir Next" w:cs="Arial"/>
          <w:color w:val="7B7B7B" w:themeColor="accent3" w:themeShade="BF"/>
          <w:sz w:val="22"/>
          <w:szCs w:val="22"/>
          <w:lang w:val="en-GB"/>
        </w:rPr>
        <w:t xml:space="preserve">In case law following the leading English decision of </w:t>
      </w:r>
      <w:r w:rsidR="00700400" w:rsidRPr="00700400">
        <w:rPr>
          <w:rFonts w:ascii="Avenir Next" w:hAnsi="Avenir Next" w:cs="Arial"/>
          <w:i/>
          <w:iCs/>
          <w:color w:val="7B7B7B" w:themeColor="accent3" w:themeShade="BF"/>
          <w:sz w:val="22"/>
          <w:szCs w:val="22"/>
          <w:lang w:val="en-GB"/>
        </w:rPr>
        <w:t>Re MC Bacon Ltd</w:t>
      </w:r>
      <w:r w:rsidR="00700400">
        <w:rPr>
          <w:rFonts w:ascii="Avenir Next" w:hAnsi="Avenir Next" w:cs="Arial"/>
          <w:i/>
          <w:iCs/>
          <w:color w:val="7B7B7B" w:themeColor="accent3" w:themeShade="BF"/>
          <w:sz w:val="22"/>
          <w:szCs w:val="22"/>
          <w:lang w:val="en-GB"/>
        </w:rPr>
        <w:t xml:space="preserve"> </w:t>
      </w:r>
      <w:r w:rsidR="00700400" w:rsidRPr="00700400">
        <w:rPr>
          <w:rFonts w:ascii="Avenir Next" w:hAnsi="Avenir Next" w:cs="Arial"/>
          <w:color w:val="7B7B7B" w:themeColor="accent3" w:themeShade="BF"/>
          <w:sz w:val="22"/>
          <w:szCs w:val="22"/>
          <w:lang w:val="en-GB"/>
        </w:rPr>
        <w:t>[1990] BCC 78</w:t>
      </w:r>
      <w:r w:rsidR="00700400">
        <w:rPr>
          <w:rFonts w:ascii="Avenir Next" w:hAnsi="Avenir Next" w:cs="Arial"/>
          <w:i/>
          <w:iCs/>
          <w:color w:val="7B7B7B" w:themeColor="accent3" w:themeShade="BF"/>
          <w:sz w:val="22"/>
          <w:szCs w:val="22"/>
          <w:lang w:val="en-GB"/>
        </w:rPr>
        <w:t xml:space="preserve"> </w:t>
      </w:r>
      <w:r w:rsidR="00700400" w:rsidRPr="00700400">
        <w:rPr>
          <w:rFonts w:ascii="Avenir Next" w:hAnsi="Avenir Next" w:cs="Arial"/>
          <w:i/>
          <w:iCs/>
          <w:color w:val="7B7B7B" w:themeColor="accent3" w:themeShade="BF"/>
          <w:sz w:val="22"/>
          <w:szCs w:val="22"/>
          <w:lang w:val="en-GB"/>
        </w:rPr>
        <w:t>"it has been held that where the company was influenced solely by commercial considerations, specifically attempts to ensure that the company continued trading, there could be no desire to prefer."</w:t>
      </w:r>
      <w:r w:rsidR="00700400">
        <w:rPr>
          <w:rStyle w:val="FootnoteReference"/>
          <w:rFonts w:ascii="Avenir Next" w:hAnsi="Avenir Next" w:cs="Arial"/>
          <w:i/>
          <w:iCs/>
          <w:color w:val="7B7B7B" w:themeColor="accent3" w:themeShade="BF"/>
          <w:sz w:val="22"/>
          <w:szCs w:val="22"/>
          <w:lang w:val="en-GB"/>
        </w:rPr>
        <w:footnoteReference w:id="33"/>
      </w:r>
      <w:r w:rsidR="00700400">
        <w:rPr>
          <w:rFonts w:ascii="Avenir Next" w:hAnsi="Avenir Next" w:cs="Arial"/>
          <w:i/>
          <w:iCs/>
          <w:color w:val="7B7B7B" w:themeColor="accent3" w:themeShade="BF"/>
          <w:sz w:val="22"/>
          <w:szCs w:val="22"/>
          <w:lang w:val="en-GB"/>
        </w:rPr>
        <w:t xml:space="preserve"> </w:t>
      </w:r>
      <w:r w:rsidR="00700400">
        <w:rPr>
          <w:rFonts w:ascii="Avenir Next" w:hAnsi="Avenir Next" w:cs="Arial"/>
          <w:color w:val="7B7B7B" w:themeColor="accent3" w:themeShade="BF"/>
          <w:sz w:val="22"/>
          <w:szCs w:val="22"/>
          <w:lang w:val="en-GB"/>
        </w:rPr>
        <w:t xml:space="preserve">Based on the facts to hand, it appears that this will be a valid defence for the Company which felt that the supply of metal was crucial for its ongoing commercial operations. </w:t>
      </w:r>
    </w:p>
    <w:p w14:paraId="4E886C79" w14:textId="77777777" w:rsidR="00D22518" w:rsidRPr="00D22518" w:rsidRDefault="00D22518" w:rsidP="00D22518">
      <w:pPr>
        <w:jc w:val="both"/>
        <w:rPr>
          <w:rFonts w:ascii="Avenir Next" w:hAnsi="Avenir Next" w:cs="Arial"/>
          <w:color w:val="7B7B7B" w:themeColor="accent3" w:themeShade="BF"/>
          <w:sz w:val="22"/>
          <w:szCs w:val="22"/>
          <w:lang w:val="en-GB"/>
        </w:rPr>
      </w:pPr>
    </w:p>
    <w:p w14:paraId="453E040F" w14:textId="5329E68A" w:rsidR="00723C89" w:rsidRDefault="00BF7BE7" w:rsidP="00723C89">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w:t>
      </w:r>
      <w:r w:rsidR="00723C89" w:rsidRPr="00723C89">
        <w:rPr>
          <w:rFonts w:ascii="Avenir Next" w:hAnsi="Avenir Next" w:cs="Arial"/>
          <w:color w:val="7B7B7B" w:themeColor="accent3" w:themeShade="BF"/>
          <w:sz w:val="22"/>
          <w:szCs w:val="22"/>
          <w:lang w:val="en-GB"/>
        </w:rPr>
        <w:t xml:space="preserve"> preference was given at a relevant time.</w:t>
      </w:r>
      <w:r>
        <w:rPr>
          <w:rFonts w:ascii="Avenir Next" w:hAnsi="Avenir Next" w:cs="Arial"/>
          <w:color w:val="7B7B7B" w:themeColor="accent3" w:themeShade="BF"/>
          <w:sz w:val="22"/>
          <w:szCs w:val="22"/>
          <w:lang w:val="en-GB"/>
        </w:rPr>
        <w:t xml:space="preserve"> On the basis that AAL is not connected to the Company, the preference must have occurred within six months prior to the onset of insolvency. As the Company is in compulsory liquidation, the onset of insolvency will be the date of the petition on 13 January 2024 meaning that the payments had to occur in the six months prior to that date. This factor may also cause some problems for the liquidator because we know that the winding up order was made on </w:t>
      </w:r>
      <w:r w:rsidRPr="00BF7BE7">
        <w:rPr>
          <w:rFonts w:ascii="Avenir Next" w:hAnsi="Avenir Next" w:cs="Arial"/>
          <w:color w:val="7B7B7B" w:themeColor="accent3" w:themeShade="BF"/>
          <w:sz w:val="22"/>
          <w:szCs w:val="22"/>
          <w:lang w:val="en-GB"/>
        </w:rPr>
        <w:t>28 February 2024</w:t>
      </w:r>
      <w:r>
        <w:rPr>
          <w:rFonts w:ascii="Avenir Next" w:hAnsi="Avenir Next" w:cs="Arial"/>
          <w:color w:val="7B7B7B" w:themeColor="accent3" w:themeShade="BF"/>
          <w:sz w:val="22"/>
          <w:szCs w:val="22"/>
          <w:lang w:val="en-GB"/>
        </w:rPr>
        <w:t xml:space="preserve"> and AAL's demand was approximately one month prior to that date with the payments coming later. In the circumstances the payments may not have occurred in the relevant period. </w:t>
      </w:r>
    </w:p>
    <w:p w14:paraId="58D0D8A6" w14:textId="77777777" w:rsidR="00700400" w:rsidRPr="00700400" w:rsidRDefault="00700400" w:rsidP="00700400">
      <w:pPr>
        <w:pStyle w:val="ListParagraph"/>
        <w:rPr>
          <w:rFonts w:ascii="Avenir Next" w:hAnsi="Avenir Next" w:cs="Arial"/>
          <w:color w:val="7B7B7B" w:themeColor="accent3" w:themeShade="BF"/>
          <w:sz w:val="22"/>
          <w:szCs w:val="22"/>
          <w:lang w:val="en-GB"/>
        </w:rPr>
      </w:pPr>
    </w:p>
    <w:p w14:paraId="1B5E2F08" w14:textId="0CD7265D" w:rsidR="002D3473" w:rsidRDefault="00700400" w:rsidP="0070040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circumstances where there are going to be significant challenges to seek to avoid these payments to AAL on the basis that they are preferences pursuant to section 239 of the AAL, the liquidator should be advised that the payments may be invalidated on the basis that they were made after the presentation of the winding-up petition on 13 January 2024 and prior to the winding-up order being made on 28 February 2024 but were not validated pursuant to section 127 of the IA. </w:t>
      </w:r>
    </w:p>
    <w:p w14:paraId="2FE232A4" w14:textId="77777777" w:rsidR="00700400" w:rsidRDefault="00700400" w:rsidP="00700400">
      <w:pPr>
        <w:jc w:val="both"/>
        <w:rPr>
          <w:rFonts w:ascii="Avenir Next" w:hAnsi="Avenir Next" w:cs="Arial"/>
          <w:color w:val="7B7B7B" w:themeColor="accent3" w:themeShade="BF"/>
          <w:sz w:val="22"/>
          <w:szCs w:val="22"/>
          <w:lang w:val="en-GB"/>
        </w:rPr>
      </w:pPr>
    </w:p>
    <w:p w14:paraId="67F9FCFC" w14:textId="652706E3" w:rsidR="00700400" w:rsidRDefault="00700400" w:rsidP="0070040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127 of the IA a</w:t>
      </w:r>
      <w:r w:rsidRPr="00700400">
        <w:rPr>
          <w:rFonts w:ascii="Avenir Next" w:hAnsi="Avenir Next" w:cs="Arial"/>
          <w:color w:val="7B7B7B" w:themeColor="accent3" w:themeShade="BF"/>
          <w:sz w:val="22"/>
          <w:szCs w:val="22"/>
          <w:lang w:val="en-GB"/>
        </w:rPr>
        <w:t xml:space="preserve">voids any disposition of property of the </w:t>
      </w:r>
      <w:r>
        <w:rPr>
          <w:rFonts w:ascii="Avenir Next" w:hAnsi="Avenir Next" w:cs="Arial"/>
          <w:color w:val="7B7B7B" w:themeColor="accent3" w:themeShade="BF"/>
          <w:sz w:val="22"/>
          <w:szCs w:val="22"/>
          <w:lang w:val="en-GB"/>
        </w:rPr>
        <w:t>C</w:t>
      </w:r>
      <w:r w:rsidRPr="00700400">
        <w:rPr>
          <w:rFonts w:ascii="Avenir Next" w:hAnsi="Avenir Next" w:cs="Arial"/>
          <w:color w:val="7B7B7B" w:themeColor="accent3" w:themeShade="BF"/>
          <w:sz w:val="22"/>
          <w:szCs w:val="22"/>
          <w:lang w:val="en-GB"/>
        </w:rPr>
        <w:t>ompany made after the</w:t>
      </w:r>
      <w:r>
        <w:rPr>
          <w:rFonts w:ascii="Avenir Next" w:hAnsi="Avenir Next" w:cs="Arial"/>
          <w:color w:val="7B7B7B" w:themeColor="accent3" w:themeShade="BF"/>
          <w:sz w:val="22"/>
          <w:szCs w:val="22"/>
          <w:lang w:val="en-GB"/>
        </w:rPr>
        <w:t xml:space="preserve"> </w:t>
      </w:r>
      <w:r w:rsidRPr="00700400">
        <w:rPr>
          <w:rFonts w:ascii="Avenir Next" w:hAnsi="Avenir Next" w:cs="Arial"/>
          <w:color w:val="7B7B7B" w:themeColor="accent3" w:themeShade="BF"/>
          <w:sz w:val="22"/>
          <w:szCs w:val="22"/>
          <w:lang w:val="en-GB"/>
        </w:rPr>
        <w:t>commencement of winding up, unless the court otherwise orders.</w:t>
      </w:r>
      <w:r>
        <w:rPr>
          <w:rStyle w:val="FootnoteReference"/>
          <w:rFonts w:ascii="Avenir Next" w:hAnsi="Avenir Next" w:cs="Arial"/>
          <w:color w:val="7B7B7B" w:themeColor="accent3" w:themeShade="BF"/>
          <w:sz w:val="22"/>
          <w:szCs w:val="22"/>
          <w:lang w:val="en-GB"/>
        </w:rPr>
        <w:footnoteReference w:id="34"/>
      </w:r>
      <w:r w:rsidR="00672D35">
        <w:rPr>
          <w:rFonts w:ascii="Avenir Next" w:hAnsi="Avenir Next" w:cs="Arial"/>
          <w:color w:val="7B7B7B" w:themeColor="accent3" w:themeShade="BF"/>
          <w:sz w:val="22"/>
          <w:szCs w:val="22"/>
          <w:lang w:val="en-GB"/>
        </w:rPr>
        <w:t xml:space="preserve"> Based on the facts there is no </w:t>
      </w:r>
      <w:r w:rsidR="00672D35">
        <w:rPr>
          <w:rFonts w:ascii="Avenir Next" w:hAnsi="Avenir Next" w:cs="Arial"/>
          <w:color w:val="7B7B7B" w:themeColor="accent3" w:themeShade="BF"/>
          <w:sz w:val="22"/>
          <w:szCs w:val="22"/>
          <w:lang w:val="en-GB"/>
        </w:rPr>
        <w:lastRenderedPageBreak/>
        <w:t xml:space="preserve">evidence that the Company applied to the Court to seek a validation order pursuant to section 127 of the IA with respect to either the payment of </w:t>
      </w:r>
      <w:r w:rsidR="00672D35" w:rsidRPr="00D22518">
        <w:rPr>
          <w:rFonts w:ascii="Avenir Next" w:hAnsi="Avenir Next" w:cs="Arial"/>
          <w:color w:val="7B7B7B" w:themeColor="accent3" w:themeShade="BF"/>
          <w:sz w:val="22"/>
          <w:szCs w:val="22"/>
          <w:lang w:val="en-GB"/>
        </w:rPr>
        <w:t>GBP 20,000 to</w:t>
      </w:r>
      <w:r w:rsidR="00672D35">
        <w:rPr>
          <w:rFonts w:ascii="Avenir Next" w:hAnsi="Avenir Next" w:cs="Arial"/>
          <w:color w:val="7B7B7B" w:themeColor="accent3" w:themeShade="BF"/>
          <w:sz w:val="22"/>
          <w:szCs w:val="22"/>
          <w:lang w:val="en-GB"/>
        </w:rPr>
        <w:t xml:space="preserve"> AAL to </w:t>
      </w:r>
      <w:r w:rsidR="00672D35" w:rsidRPr="00D22518">
        <w:rPr>
          <w:rFonts w:ascii="Avenir Next" w:hAnsi="Avenir Next" w:cs="Arial"/>
          <w:color w:val="7B7B7B" w:themeColor="accent3" w:themeShade="BF"/>
          <w:sz w:val="22"/>
          <w:szCs w:val="22"/>
          <w:lang w:val="en-GB"/>
        </w:rPr>
        <w:t>cover existing liabilities</w:t>
      </w:r>
      <w:r w:rsidR="00672D35">
        <w:rPr>
          <w:rFonts w:ascii="Avenir Next" w:hAnsi="Avenir Next" w:cs="Arial"/>
          <w:color w:val="7B7B7B" w:themeColor="accent3" w:themeShade="BF"/>
          <w:sz w:val="22"/>
          <w:szCs w:val="22"/>
          <w:lang w:val="en-GB"/>
        </w:rPr>
        <w:t xml:space="preserve"> or for the </w:t>
      </w:r>
      <w:r w:rsidR="00672D35" w:rsidRPr="00D22518">
        <w:rPr>
          <w:rFonts w:ascii="Avenir Next" w:hAnsi="Avenir Next" w:cs="Arial"/>
          <w:color w:val="7B7B7B" w:themeColor="accent3" w:themeShade="BF"/>
          <w:sz w:val="22"/>
          <w:szCs w:val="22"/>
          <w:lang w:val="en-GB"/>
        </w:rPr>
        <w:t xml:space="preserve">GBP 8,000 </w:t>
      </w:r>
      <w:r w:rsidR="00672D35">
        <w:rPr>
          <w:rFonts w:ascii="Avenir Next" w:hAnsi="Avenir Next" w:cs="Arial"/>
          <w:color w:val="7B7B7B" w:themeColor="accent3" w:themeShade="BF"/>
          <w:sz w:val="22"/>
          <w:szCs w:val="22"/>
          <w:lang w:val="en-GB"/>
        </w:rPr>
        <w:t xml:space="preserve">for cash on delivery orders. In those circumstances and now that a winding-up order has been made, it is open to the liquidator to </w:t>
      </w:r>
      <w:r w:rsidR="00672D35" w:rsidRPr="00672D35">
        <w:rPr>
          <w:rFonts w:ascii="Avenir Next" w:hAnsi="Avenir Next" w:cs="Arial"/>
          <w:color w:val="7B7B7B" w:themeColor="accent3" w:themeShade="BF"/>
          <w:sz w:val="22"/>
          <w:szCs w:val="22"/>
          <w:lang w:val="en-GB"/>
        </w:rPr>
        <w:t xml:space="preserve">take steps to enforce section 127 </w:t>
      </w:r>
      <w:proofErr w:type="gramStart"/>
      <w:r w:rsidR="00672D35" w:rsidRPr="00672D35">
        <w:rPr>
          <w:rFonts w:ascii="Avenir Next" w:hAnsi="Avenir Next" w:cs="Arial"/>
          <w:color w:val="7B7B7B" w:themeColor="accent3" w:themeShade="BF"/>
          <w:sz w:val="22"/>
          <w:szCs w:val="22"/>
          <w:lang w:val="en-GB"/>
        </w:rPr>
        <w:t>in order to</w:t>
      </w:r>
      <w:proofErr w:type="gramEnd"/>
      <w:r w:rsidR="00672D35" w:rsidRPr="00672D35">
        <w:rPr>
          <w:rFonts w:ascii="Avenir Next" w:hAnsi="Avenir Next" w:cs="Arial"/>
          <w:color w:val="7B7B7B" w:themeColor="accent3" w:themeShade="BF"/>
          <w:sz w:val="22"/>
          <w:szCs w:val="22"/>
          <w:lang w:val="en-GB"/>
        </w:rPr>
        <w:t xml:space="preserve"> retrieve </w:t>
      </w:r>
      <w:r w:rsidR="00672D35">
        <w:rPr>
          <w:rFonts w:ascii="Avenir Next" w:hAnsi="Avenir Next" w:cs="Arial"/>
          <w:color w:val="7B7B7B" w:themeColor="accent3" w:themeShade="BF"/>
          <w:sz w:val="22"/>
          <w:szCs w:val="22"/>
          <w:lang w:val="en-GB"/>
        </w:rPr>
        <w:t xml:space="preserve">payments that were made </w:t>
      </w:r>
      <w:r w:rsidR="00672D35" w:rsidRPr="00672D35">
        <w:rPr>
          <w:rFonts w:ascii="Avenir Next" w:hAnsi="Avenir Next" w:cs="Arial"/>
          <w:color w:val="7B7B7B" w:themeColor="accent3" w:themeShade="BF"/>
          <w:sz w:val="22"/>
          <w:szCs w:val="22"/>
          <w:lang w:val="en-GB"/>
        </w:rPr>
        <w:t>during the period between the petition and the winding</w:t>
      </w:r>
      <w:r w:rsidR="00672D35">
        <w:rPr>
          <w:rFonts w:ascii="Avenir Next" w:hAnsi="Avenir Next" w:cs="Arial"/>
          <w:color w:val="7B7B7B" w:themeColor="accent3" w:themeShade="BF"/>
          <w:sz w:val="22"/>
          <w:szCs w:val="22"/>
          <w:lang w:val="en-GB"/>
        </w:rPr>
        <w:t>-</w:t>
      </w:r>
      <w:r w:rsidR="00672D35" w:rsidRPr="00672D35">
        <w:rPr>
          <w:rFonts w:ascii="Avenir Next" w:hAnsi="Avenir Next" w:cs="Arial"/>
          <w:color w:val="7B7B7B" w:themeColor="accent3" w:themeShade="BF"/>
          <w:sz w:val="22"/>
          <w:szCs w:val="22"/>
          <w:lang w:val="en-GB"/>
        </w:rPr>
        <w:t>up order</w:t>
      </w:r>
      <w:r w:rsidR="00672D35">
        <w:rPr>
          <w:rFonts w:ascii="Avenir Next" w:hAnsi="Avenir Next" w:cs="Arial"/>
          <w:color w:val="7B7B7B" w:themeColor="accent3" w:themeShade="BF"/>
          <w:sz w:val="22"/>
          <w:szCs w:val="22"/>
          <w:lang w:val="en-GB"/>
        </w:rPr>
        <w:t>.</w:t>
      </w:r>
      <w:r w:rsidR="00672D35">
        <w:rPr>
          <w:rStyle w:val="FootnoteReference"/>
          <w:rFonts w:ascii="Avenir Next" w:hAnsi="Avenir Next" w:cs="Arial"/>
          <w:color w:val="7B7B7B" w:themeColor="accent3" w:themeShade="BF"/>
          <w:sz w:val="22"/>
          <w:szCs w:val="22"/>
          <w:lang w:val="en-GB"/>
        </w:rPr>
        <w:footnoteReference w:id="35"/>
      </w:r>
    </w:p>
    <w:p w14:paraId="746EA4B0" w14:textId="77777777" w:rsidR="00672D35" w:rsidRDefault="00672D35" w:rsidP="00700400">
      <w:pPr>
        <w:jc w:val="both"/>
        <w:rPr>
          <w:rFonts w:ascii="Avenir Next" w:hAnsi="Avenir Next" w:cs="Arial"/>
          <w:color w:val="7B7B7B" w:themeColor="accent3" w:themeShade="BF"/>
          <w:sz w:val="22"/>
          <w:szCs w:val="22"/>
          <w:lang w:val="en-GB"/>
        </w:rPr>
      </w:pPr>
    </w:p>
    <w:p w14:paraId="5E81B626" w14:textId="4B4F05A4" w:rsidR="006F13E6" w:rsidRPr="00BE77BB" w:rsidRDefault="00672D35" w:rsidP="00BE7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However, AAL may still seek to validate the payments and can apply under section 127 of the IA. The Court has a wide discretion in determining whether a validation order should be made, and it will be up to AAL to prove that the payments should be validated. AA</w:t>
      </w:r>
      <w:r w:rsidR="006F13E6">
        <w:rPr>
          <w:rFonts w:ascii="Avenir Next" w:hAnsi="Avenir Next" w:cs="Arial"/>
          <w:color w:val="7B7B7B" w:themeColor="accent3" w:themeShade="BF"/>
          <w:sz w:val="22"/>
          <w:szCs w:val="22"/>
          <w:lang w:val="en-GB"/>
        </w:rPr>
        <w:t>L</w:t>
      </w:r>
      <w:r>
        <w:rPr>
          <w:rFonts w:ascii="Avenir Next" w:hAnsi="Avenir Next" w:cs="Arial"/>
          <w:color w:val="7B7B7B" w:themeColor="accent3" w:themeShade="BF"/>
          <w:sz w:val="22"/>
          <w:szCs w:val="22"/>
          <w:lang w:val="en-GB"/>
        </w:rPr>
        <w:t xml:space="preserve"> will likely rely on the fact that</w:t>
      </w:r>
      <w:r w:rsidR="00BE77BB">
        <w:rPr>
          <w:rFonts w:ascii="Avenir Next" w:hAnsi="Avenir Next" w:cs="Arial"/>
          <w:color w:val="7B7B7B" w:themeColor="accent3" w:themeShade="BF"/>
          <w:sz w:val="22"/>
          <w:szCs w:val="22"/>
          <w:lang w:val="en-GB"/>
        </w:rPr>
        <w:t xml:space="preserve"> the </w:t>
      </w:r>
      <w:r w:rsidRPr="00BE77BB">
        <w:rPr>
          <w:rFonts w:ascii="Avenir Next" w:hAnsi="Avenir Next" w:cs="Arial"/>
          <w:color w:val="7B7B7B" w:themeColor="accent3" w:themeShade="BF"/>
          <w:sz w:val="22"/>
          <w:szCs w:val="22"/>
          <w:lang w:val="en-GB"/>
        </w:rPr>
        <w:t>payments were necessary to ensure continued supplies of metal which enabled the company to continue trading and</w:t>
      </w:r>
      <w:r w:rsidR="006F13E6">
        <w:rPr>
          <w:rFonts w:ascii="Avenir Next" w:hAnsi="Avenir Next" w:cs="Arial"/>
          <w:color w:val="7B7B7B" w:themeColor="accent3" w:themeShade="BF"/>
          <w:sz w:val="22"/>
          <w:szCs w:val="22"/>
          <w:lang w:val="en-GB"/>
        </w:rPr>
        <w:t xml:space="preserve"> that </w:t>
      </w:r>
      <w:r w:rsidRPr="00BE77BB">
        <w:rPr>
          <w:rFonts w:ascii="Avenir Next" w:hAnsi="Avenir Next" w:cs="Arial"/>
          <w:color w:val="7B7B7B" w:themeColor="accent3" w:themeShade="BF"/>
          <w:sz w:val="22"/>
          <w:szCs w:val="22"/>
          <w:lang w:val="en-GB"/>
        </w:rPr>
        <w:t>that was in the best interests of creditors</w:t>
      </w:r>
      <w:r w:rsidR="00BE77BB">
        <w:rPr>
          <w:rFonts w:ascii="Avenir Next" w:hAnsi="Avenir Next" w:cs="Arial"/>
          <w:color w:val="7B7B7B" w:themeColor="accent3" w:themeShade="BF"/>
          <w:sz w:val="22"/>
          <w:szCs w:val="22"/>
          <w:lang w:val="en-GB"/>
        </w:rPr>
        <w:t>.</w:t>
      </w:r>
      <w:r w:rsidR="00BE77BB">
        <w:rPr>
          <w:rStyle w:val="FootnoteReference"/>
          <w:rFonts w:ascii="Avenir Next" w:hAnsi="Avenir Next" w:cs="Arial"/>
          <w:color w:val="7B7B7B" w:themeColor="accent3" w:themeShade="BF"/>
          <w:sz w:val="22"/>
          <w:szCs w:val="22"/>
          <w:lang w:val="en-GB"/>
        </w:rPr>
        <w:footnoteReference w:id="36"/>
      </w:r>
      <w:r w:rsidR="00BE77BB">
        <w:rPr>
          <w:rFonts w:ascii="Avenir Next" w:hAnsi="Avenir Next" w:cs="Arial"/>
          <w:color w:val="7B7B7B" w:themeColor="accent3" w:themeShade="BF"/>
          <w:sz w:val="22"/>
          <w:szCs w:val="22"/>
          <w:lang w:val="en-GB"/>
        </w:rPr>
        <w:t xml:space="preserve"> The Court will also consider the fact that GDP 8,000 worth of goods were </w:t>
      </w:r>
      <w:r w:rsidR="00BE77BB" w:rsidRPr="00BE77BB">
        <w:rPr>
          <w:rFonts w:ascii="Avenir Next" w:hAnsi="Avenir Next" w:cs="Arial"/>
          <w:color w:val="7B7B7B" w:themeColor="accent3" w:themeShade="BF"/>
          <w:sz w:val="22"/>
          <w:szCs w:val="22"/>
          <w:lang w:val="en-GB"/>
        </w:rPr>
        <w:t xml:space="preserve">paid for on terms of cash on delivery </w:t>
      </w:r>
      <w:r w:rsidR="00BE77BB">
        <w:rPr>
          <w:rFonts w:ascii="Avenir Next" w:hAnsi="Avenir Next" w:cs="Arial"/>
          <w:color w:val="7B7B7B" w:themeColor="accent3" w:themeShade="BF"/>
          <w:sz w:val="22"/>
          <w:szCs w:val="22"/>
          <w:lang w:val="en-GB"/>
        </w:rPr>
        <w:t xml:space="preserve">and the </w:t>
      </w:r>
      <w:r w:rsidR="00BE77BB" w:rsidRPr="00BE77BB">
        <w:rPr>
          <w:rFonts w:ascii="Avenir Next" w:hAnsi="Avenir Next" w:cs="Arial"/>
          <w:color w:val="7B7B7B" w:themeColor="accent3" w:themeShade="BF"/>
          <w:sz w:val="22"/>
          <w:szCs w:val="22"/>
          <w:lang w:val="en-GB"/>
        </w:rPr>
        <w:t xml:space="preserve">benefit </w:t>
      </w:r>
      <w:r w:rsidR="00BE77BB">
        <w:rPr>
          <w:rFonts w:ascii="Avenir Next" w:hAnsi="Avenir Next" w:cs="Arial"/>
          <w:color w:val="7B7B7B" w:themeColor="accent3" w:themeShade="BF"/>
          <w:sz w:val="22"/>
          <w:szCs w:val="22"/>
          <w:lang w:val="en-GB"/>
        </w:rPr>
        <w:t xml:space="preserve">that this provided </w:t>
      </w:r>
      <w:r w:rsidR="00BE77BB" w:rsidRPr="00BE77BB">
        <w:rPr>
          <w:rFonts w:ascii="Avenir Next" w:hAnsi="Avenir Next" w:cs="Arial"/>
          <w:color w:val="7B7B7B" w:themeColor="accent3" w:themeShade="BF"/>
          <w:sz w:val="22"/>
          <w:szCs w:val="22"/>
          <w:lang w:val="en-GB"/>
        </w:rPr>
        <w:t xml:space="preserve">to the </w:t>
      </w:r>
      <w:r w:rsidR="00BE77BB">
        <w:rPr>
          <w:rFonts w:ascii="Avenir Next" w:hAnsi="Avenir Next" w:cs="Arial"/>
          <w:color w:val="7B7B7B" w:themeColor="accent3" w:themeShade="BF"/>
          <w:sz w:val="22"/>
          <w:szCs w:val="22"/>
          <w:lang w:val="en-GB"/>
        </w:rPr>
        <w:t>C</w:t>
      </w:r>
      <w:r w:rsidR="00BE77BB" w:rsidRPr="00BE77BB">
        <w:rPr>
          <w:rFonts w:ascii="Avenir Next" w:hAnsi="Avenir Next" w:cs="Arial"/>
          <w:color w:val="7B7B7B" w:themeColor="accent3" w:themeShade="BF"/>
          <w:sz w:val="22"/>
          <w:szCs w:val="22"/>
          <w:lang w:val="en-GB"/>
        </w:rPr>
        <w:t xml:space="preserve">ompany </w:t>
      </w:r>
      <w:r w:rsidR="00BE77BB">
        <w:rPr>
          <w:rFonts w:ascii="Avenir Next" w:hAnsi="Avenir Next" w:cs="Arial"/>
          <w:color w:val="7B7B7B" w:themeColor="accent3" w:themeShade="BF"/>
          <w:sz w:val="22"/>
          <w:szCs w:val="22"/>
          <w:lang w:val="en-GB"/>
        </w:rPr>
        <w:t xml:space="preserve">and whether it did in fact </w:t>
      </w:r>
      <w:r w:rsidR="00BE77BB" w:rsidRPr="00BE77BB">
        <w:rPr>
          <w:rFonts w:ascii="Avenir Next" w:hAnsi="Avenir Next" w:cs="Arial"/>
          <w:color w:val="7B7B7B" w:themeColor="accent3" w:themeShade="BF"/>
          <w:sz w:val="22"/>
          <w:szCs w:val="22"/>
          <w:lang w:val="en-GB"/>
        </w:rPr>
        <w:t>enable further supplies to be</w:t>
      </w:r>
      <w:r w:rsidR="00BE77BB">
        <w:rPr>
          <w:rFonts w:ascii="Avenir Next" w:hAnsi="Avenir Next" w:cs="Arial"/>
          <w:color w:val="7B7B7B" w:themeColor="accent3" w:themeShade="BF"/>
          <w:sz w:val="22"/>
          <w:szCs w:val="22"/>
          <w:lang w:val="en-GB"/>
        </w:rPr>
        <w:t xml:space="preserve"> </w:t>
      </w:r>
      <w:r w:rsidR="00BE77BB" w:rsidRPr="00BE77BB">
        <w:rPr>
          <w:rFonts w:ascii="Avenir Next" w:hAnsi="Avenir Next" w:cs="Arial"/>
          <w:color w:val="7B7B7B" w:themeColor="accent3" w:themeShade="BF"/>
          <w:sz w:val="22"/>
          <w:szCs w:val="22"/>
          <w:lang w:val="en-GB"/>
        </w:rPr>
        <w:t>received and so enable the business to continue</w:t>
      </w:r>
      <w:r w:rsidR="00BE77BB">
        <w:rPr>
          <w:rFonts w:ascii="Avenir Next" w:hAnsi="Avenir Next" w:cs="Arial"/>
          <w:color w:val="7B7B7B" w:themeColor="accent3" w:themeShade="BF"/>
          <w:sz w:val="22"/>
          <w:szCs w:val="22"/>
          <w:lang w:val="en-GB"/>
        </w:rPr>
        <w:t xml:space="preserve">. </w:t>
      </w:r>
      <w:r w:rsidR="006F13E6">
        <w:rPr>
          <w:rFonts w:ascii="Avenir Next" w:hAnsi="Avenir Next" w:cs="Arial"/>
          <w:color w:val="7B7B7B" w:themeColor="accent3" w:themeShade="BF"/>
          <w:sz w:val="22"/>
          <w:szCs w:val="22"/>
          <w:lang w:val="en-GB"/>
        </w:rPr>
        <w:t xml:space="preserve">If the Court finds that the continued trading did result in a better outcome for creditors, then the payments may be validated. However, if the liquidator can establish that there was no greater benefit aside from to AAL, then the payments are more likely to be voided. </w:t>
      </w: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2"/>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3652A5" w14:textId="77777777" w:rsidR="00187A28" w:rsidRDefault="00187A28" w:rsidP="00241B44">
      <w:r>
        <w:separator/>
      </w:r>
    </w:p>
  </w:endnote>
  <w:endnote w:type="continuationSeparator" w:id="0">
    <w:p w14:paraId="646CC606" w14:textId="77777777" w:rsidR="00187A28" w:rsidRDefault="00187A2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EF49E390EA-Roman">
    <w:altName w:val="Cambria"/>
    <w:panose1 w:val="00000000000000000000"/>
    <w:charset w:val="00"/>
    <w:family w:val="roman"/>
    <w:notTrueType/>
    <w:pitch w:val="default"/>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7D259A46" w:rsidR="00241FA3" w:rsidRPr="00A84235" w:rsidRDefault="00D25DE1" w:rsidP="009B4976">
    <w:pPr>
      <w:pStyle w:val="Footer"/>
      <w:ind w:right="360"/>
      <w:rPr>
        <w:rFonts w:ascii="Avenir Next" w:hAnsi="Avenir Next" w:cs="Arial"/>
        <w:sz w:val="22"/>
        <w:szCs w:val="22"/>
        <w:lang w:val="en-GB"/>
      </w:rPr>
    </w:pPr>
    <w:r w:rsidRPr="00D25DE1">
      <w:rPr>
        <w:rFonts w:ascii="Avenir Next" w:hAnsi="Avenir Next" w:cs="Arial"/>
        <w:sz w:val="22"/>
        <w:szCs w:val="22"/>
        <w:lang w:val="en-GB"/>
      </w:rPr>
      <w:t>FC202324-1328</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1C333" w14:textId="77777777" w:rsidR="00D25DE1" w:rsidRDefault="00D25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6F7BFF" w14:textId="77777777" w:rsidR="00187A28" w:rsidRDefault="00187A28" w:rsidP="00241B44">
      <w:r>
        <w:separator/>
      </w:r>
    </w:p>
  </w:footnote>
  <w:footnote w:type="continuationSeparator" w:id="0">
    <w:p w14:paraId="19601FA7" w14:textId="77777777" w:rsidR="00187A28" w:rsidRDefault="00187A28" w:rsidP="00241B44">
      <w:r>
        <w:continuationSeparator/>
      </w:r>
    </w:p>
  </w:footnote>
  <w:footnote w:id="1">
    <w:p w14:paraId="2DC1482F" w14:textId="42794B82" w:rsidR="00A371CF" w:rsidRDefault="00A371CF">
      <w:pPr>
        <w:pStyle w:val="FootnoteText"/>
      </w:pPr>
      <w:r>
        <w:rPr>
          <w:rStyle w:val="FootnoteReference"/>
        </w:rPr>
        <w:footnoteRef/>
      </w:r>
      <w:r>
        <w:t xml:space="preserve"> Module 3B Guidance Text, Insolvency System of the United Kingdom (England and Wales) 2023 / 2024 (</w:t>
      </w:r>
      <w:r w:rsidRPr="00A371CF">
        <w:rPr>
          <w:b/>
          <w:bCs/>
        </w:rPr>
        <w:t>Guidance Text</w:t>
      </w:r>
      <w:r>
        <w:t>), pages 70 – 71.</w:t>
      </w:r>
    </w:p>
  </w:footnote>
  <w:footnote w:id="2">
    <w:p w14:paraId="0C87C8A0" w14:textId="266244E0" w:rsidR="00DF313B" w:rsidRDefault="00DF313B">
      <w:pPr>
        <w:pStyle w:val="FootnoteText"/>
      </w:pPr>
      <w:r>
        <w:rPr>
          <w:rStyle w:val="FootnoteReference"/>
        </w:rPr>
        <w:footnoteRef/>
      </w:r>
      <w:r>
        <w:t xml:space="preserve"> Guidance Text, page 7. </w:t>
      </w:r>
    </w:p>
  </w:footnote>
  <w:footnote w:id="3">
    <w:p w14:paraId="496CA4DE" w14:textId="7B0E47D5" w:rsidR="0089062F" w:rsidRDefault="0089062F">
      <w:pPr>
        <w:pStyle w:val="FootnoteText"/>
      </w:pPr>
      <w:r>
        <w:rPr>
          <w:rStyle w:val="FootnoteReference"/>
        </w:rPr>
        <w:footnoteRef/>
      </w:r>
      <w:r>
        <w:t xml:space="preserve"> Guidance Text, page 38. </w:t>
      </w:r>
    </w:p>
  </w:footnote>
  <w:footnote w:id="4">
    <w:p w14:paraId="46FAA4CE" w14:textId="06B2F287" w:rsidR="00907787" w:rsidRDefault="00907787">
      <w:pPr>
        <w:pStyle w:val="FootnoteText"/>
      </w:pPr>
      <w:r>
        <w:rPr>
          <w:rStyle w:val="FootnoteReference"/>
        </w:rPr>
        <w:footnoteRef/>
      </w:r>
      <w:r>
        <w:t xml:space="preserve"> Guidance Text, page 20. </w:t>
      </w:r>
    </w:p>
  </w:footnote>
  <w:footnote w:id="5">
    <w:p w14:paraId="4F4306C6" w14:textId="16F5E24D" w:rsidR="00907787" w:rsidRDefault="00907787">
      <w:pPr>
        <w:pStyle w:val="FootnoteText"/>
      </w:pPr>
      <w:r>
        <w:rPr>
          <w:rStyle w:val="FootnoteReference"/>
        </w:rPr>
        <w:footnoteRef/>
      </w:r>
      <w:r>
        <w:t xml:space="preserve"> Ibid.</w:t>
      </w:r>
    </w:p>
  </w:footnote>
  <w:footnote w:id="6">
    <w:p w14:paraId="58816B38" w14:textId="25C41490" w:rsidR="00BC506E" w:rsidRDefault="00BC506E">
      <w:pPr>
        <w:pStyle w:val="FootnoteText"/>
      </w:pPr>
      <w:r>
        <w:rPr>
          <w:rStyle w:val="FootnoteReference"/>
        </w:rPr>
        <w:footnoteRef/>
      </w:r>
      <w:r>
        <w:t xml:space="preserve"> Ibid. </w:t>
      </w:r>
    </w:p>
  </w:footnote>
  <w:footnote w:id="7">
    <w:p w14:paraId="3C4BF2ED" w14:textId="6D92E3D7" w:rsidR="00BC506E" w:rsidRDefault="00BC506E">
      <w:pPr>
        <w:pStyle w:val="FootnoteText"/>
      </w:pPr>
      <w:r>
        <w:rPr>
          <w:rStyle w:val="FootnoteReference"/>
        </w:rPr>
        <w:footnoteRef/>
      </w:r>
      <w:r>
        <w:t xml:space="preserve"> Ibid.</w:t>
      </w:r>
    </w:p>
  </w:footnote>
  <w:footnote w:id="8">
    <w:p w14:paraId="5454BD61" w14:textId="51C2EEB8" w:rsidR="00F40D99" w:rsidRDefault="00F40D99">
      <w:pPr>
        <w:pStyle w:val="FootnoteText"/>
      </w:pPr>
      <w:r>
        <w:rPr>
          <w:rStyle w:val="FootnoteReference"/>
        </w:rPr>
        <w:footnoteRef/>
      </w:r>
      <w:r>
        <w:t xml:space="preserve"> Guidance Text, page 21. </w:t>
      </w:r>
    </w:p>
  </w:footnote>
  <w:footnote w:id="9">
    <w:p w14:paraId="23B48D59" w14:textId="0430A01A" w:rsidR="0012068B" w:rsidRDefault="0012068B">
      <w:pPr>
        <w:pStyle w:val="FootnoteText"/>
      </w:pPr>
      <w:r>
        <w:rPr>
          <w:rStyle w:val="FootnoteReference"/>
        </w:rPr>
        <w:footnoteRef/>
      </w:r>
      <w:r>
        <w:t xml:space="preserve"> Guidance Text, Page 21. </w:t>
      </w:r>
    </w:p>
  </w:footnote>
  <w:footnote w:id="10">
    <w:p w14:paraId="6249FF76" w14:textId="44E27DA4" w:rsidR="00F40D99" w:rsidRDefault="00F40D99">
      <w:pPr>
        <w:pStyle w:val="FootnoteText"/>
      </w:pPr>
      <w:r>
        <w:rPr>
          <w:rStyle w:val="FootnoteReference"/>
        </w:rPr>
        <w:footnoteRef/>
      </w:r>
      <w:r>
        <w:t xml:space="preserve"> Ibid. </w:t>
      </w:r>
    </w:p>
  </w:footnote>
  <w:footnote w:id="11">
    <w:p w14:paraId="635BBC41" w14:textId="7A41222A" w:rsidR="0033781E" w:rsidRDefault="0033781E">
      <w:pPr>
        <w:pStyle w:val="FootnoteText"/>
      </w:pPr>
      <w:r>
        <w:rPr>
          <w:rStyle w:val="FootnoteReference"/>
        </w:rPr>
        <w:footnoteRef/>
      </w:r>
      <w:r>
        <w:t xml:space="preserve"> Guidance Text, page 51.</w:t>
      </w:r>
    </w:p>
  </w:footnote>
  <w:footnote w:id="12">
    <w:p w14:paraId="6088FC03" w14:textId="539C74E3" w:rsidR="001B6763" w:rsidRDefault="001B6763">
      <w:pPr>
        <w:pStyle w:val="FootnoteText"/>
      </w:pPr>
      <w:r>
        <w:rPr>
          <w:rStyle w:val="FootnoteReference"/>
        </w:rPr>
        <w:footnoteRef/>
      </w:r>
      <w:r>
        <w:t xml:space="preserve"> Guidance Text, page 51. </w:t>
      </w:r>
    </w:p>
  </w:footnote>
  <w:footnote w:id="13">
    <w:p w14:paraId="005D8648" w14:textId="06E05A7B" w:rsidR="001B6763" w:rsidRDefault="001B6763">
      <w:pPr>
        <w:pStyle w:val="FootnoteText"/>
      </w:pPr>
      <w:r>
        <w:rPr>
          <w:rStyle w:val="FootnoteReference"/>
        </w:rPr>
        <w:footnoteRef/>
      </w:r>
      <w:r>
        <w:t xml:space="preserve"> Ibid. </w:t>
      </w:r>
    </w:p>
  </w:footnote>
  <w:footnote w:id="14">
    <w:p w14:paraId="57C7E6BB" w14:textId="689ED2E8" w:rsidR="00B724C7" w:rsidRDefault="00B724C7">
      <w:pPr>
        <w:pStyle w:val="FootnoteText"/>
      </w:pPr>
      <w:r>
        <w:rPr>
          <w:rStyle w:val="FootnoteReference"/>
        </w:rPr>
        <w:footnoteRef/>
      </w:r>
      <w:r>
        <w:t xml:space="preserve"> Guidance Text, pages 51 – 52.</w:t>
      </w:r>
    </w:p>
  </w:footnote>
  <w:footnote w:id="15">
    <w:p w14:paraId="7A32B770" w14:textId="1A6B0CF0" w:rsidR="005F10B0" w:rsidRDefault="005F10B0">
      <w:pPr>
        <w:pStyle w:val="FootnoteText"/>
      </w:pPr>
      <w:r>
        <w:rPr>
          <w:rStyle w:val="FootnoteReference"/>
        </w:rPr>
        <w:footnoteRef/>
      </w:r>
      <w:r>
        <w:t xml:space="preserve"> Guidance Text, pages 52 - 53</w:t>
      </w:r>
    </w:p>
  </w:footnote>
  <w:footnote w:id="16">
    <w:p w14:paraId="557C4E1E" w14:textId="50A463A8" w:rsidR="00DD07C2" w:rsidRDefault="00DD07C2">
      <w:pPr>
        <w:pStyle w:val="FootnoteText"/>
      </w:pPr>
      <w:r>
        <w:rPr>
          <w:rStyle w:val="FootnoteReference"/>
        </w:rPr>
        <w:footnoteRef/>
      </w:r>
      <w:r>
        <w:t xml:space="preserve"> Guidance Text, page 55. </w:t>
      </w:r>
    </w:p>
  </w:footnote>
  <w:footnote w:id="17">
    <w:p w14:paraId="050A0E8F" w14:textId="311935A0" w:rsidR="00DD07C2" w:rsidRDefault="00DD07C2">
      <w:pPr>
        <w:pStyle w:val="FootnoteText"/>
      </w:pPr>
      <w:r>
        <w:rPr>
          <w:rStyle w:val="FootnoteReference"/>
        </w:rPr>
        <w:footnoteRef/>
      </w:r>
      <w:r>
        <w:t xml:space="preserve"> Ibid.</w:t>
      </w:r>
    </w:p>
  </w:footnote>
  <w:footnote w:id="18">
    <w:p w14:paraId="60534624" w14:textId="72095D2D" w:rsidR="003F26D5" w:rsidRDefault="003F26D5">
      <w:pPr>
        <w:pStyle w:val="FootnoteText"/>
      </w:pPr>
      <w:r>
        <w:rPr>
          <w:rStyle w:val="FootnoteReference"/>
        </w:rPr>
        <w:footnoteRef/>
      </w:r>
      <w:r>
        <w:t xml:space="preserve"> Ibid.</w:t>
      </w:r>
    </w:p>
  </w:footnote>
  <w:footnote w:id="19">
    <w:p w14:paraId="43E5F12E" w14:textId="3AEB0DAC" w:rsidR="00784EC9" w:rsidRDefault="00784EC9">
      <w:pPr>
        <w:pStyle w:val="FootnoteText"/>
      </w:pPr>
      <w:r>
        <w:rPr>
          <w:rStyle w:val="FootnoteReference"/>
        </w:rPr>
        <w:footnoteRef/>
      </w:r>
      <w:r>
        <w:t xml:space="preserve"> Guidance Text, page 36.</w:t>
      </w:r>
    </w:p>
  </w:footnote>
  <w:footnote w:id="20">
    <w:p w14:paraId="32695AEC" w14:textId="4F59EBE0" w:rsidR="00D53B45" w:rsidRDefault="00D53B45">
      <w:pPr>
        <w:pStyle w:val="FootnoteText"/>
      </w:pPr>
      <w:r>
        <w:rPr>
          <w:rStyle w:val="FootnoteReference"/>
        </w:rPr>
        <w:footnoteRef/>
      </w:r>
      <w:r>
        <w:t xml:space="preserve"> Guidance Text, page 39.</w:t>
      </w:r>
    </w:p>
  </w:footnote>
  <w:footnote w:id="21">
    <w:p w14:paraId="019F9A0E" w14:textId="75E2D81B" w:rsidR="00D53B45" w:rsidRDefault="00D53B45">
      <w:pPr>
        <w:pStyle w:val="FootnoteText"/>
      </w:pPr>
      <w:r>
        <w:rPr>
          <w:rStyle w:val="FootnoteReference"/>
        </w:rPr>
        <w:footnoteRef/>
      </w:r>
      <w:r>
        <w:t xml:space="preserve"> Ibid.</w:t>
      </w:r>
    </w:p>
  </w:footnote>
  <w:footnote w:id="22">
    <w:p w14:paraId="7735D665" w14:textId="1835E0E2" w:rsidR="00D9496C" w:rsidRDefault="00D9496C" w:rsidP="00D9496C">
      <w:pPr>
        <w:pStyle w:val="FootnoteText"/>
      </w:pPr>
      <w:r>
        <w:rPr>
          <w:rStyle w:val="FootnoteReference"/>
        </w:rPr>
        <w:footnoteRef/>
      </w:r>
      <w:r>
        <w:t xml:space="preserve"> Guidance Text, pages 70 – 71.</w:t>
      </w:r>
    </w:p>
  </w:footnote>
  <w:footnote w:id="23">
    <w:p w14:paraId="3711F10D" w14:textId="5D862307" w:rsidR="006A77FA" w:rsidRDefault="006A77FA">
      <w:pPr>
        <w:pStyle w:val="FootnoteText"/>
      </w:pPr>
      <w:r>
        <w:rPr>
          <w:rStyle w:val="FootnoteReference"/>
        </w:rPr>
        <w:footnoteRef/>
      </w:r>
      <w:r>
        <w:t xml:space="preserve"> Sections 123(c) and (d) of the IA; Guidance Text, page 4.</w:t>
      </w:r>
    </w:p>
  </w:footnote>
  <w:footnote w:id="24">
    <w:p w14:paraId="7FD58CEF" w14:textId="0754FB97" w:rsidR="006A77FA" w:rsidRDefault="006A77FA">
      <w:pPr>
        <w:pStyle w:val="FootnoteText"/>
      </w:pPr>
      <w:r>
        <w:rPr>
          <w:rStyle w:val="FootnoteReference"/>
        </w:rPr>
        <w:footnoteRef/>
      </w:r>
      <w:r>
        <w:t xml:space="preserve"> Guidance Text, page 4.</w:t>
      </w:r>
    </w:p>
  </w:footnote>
  <w:footnote w:id="25">
    <w:p w14:paraId="1AC341BD" w14:textId="16BE4E3C" w:rsidR="00C4069E" w:rsidRDefault="00C4069E">
      <w:pPr>
        <w:pStyle w:val="FootnoteText"/>
      </w:pPr>
      <w:r>
        <w:rPr>
          <w:rStyle w:val="FootnoteReference"/>
        </w:rPr>
        <w:footnoteRef/>
      </w:r>
      <w:r>
        <w:t xml:space="preserve"> Guidance Text, page 70. </w:t>
      </w:r>
    </w:p>
  </w:footnote>
  <w:footnote w:id="26">
    <w:p w14:paraId="5DF7E0D3" w14:textId="199FCF76" w:rsidR="00AA518D" w:rsidRDefault="00AA518D">
      <w:pPr>
        <w:pStyle w:val="FootnoteText"/>
      </w:pPr>
      <w:r>
        <w:rPr>
          <w:rStyle w:val="FootnoteReference"/>
        </w:rPr>
        <w:footnoteRef/>
      </w:r>
      <w:r>
        <w:t xml:space="preserve"> Guidance Text, page 67.</w:t>
      </w:r>
    </w:p>
  </w:footnote>
  <w:footnote w:id="27">
    <w:p w14:paraId="1D4452C8" w14:textId="77777777" w:rsidR="0083462B" w:rsidRDefault="0083462B" w:rsidP="0083462B">
      <w:pPr>
        <w:pStyle w:val="FootnoteText"/>
      </w:pPr>
      <w:r>
        <w:rPr>
          <w:rStyle w:val="FootnoteReference"/>
        </w:rPr>
        <w:footnoteRef/>
      </w:r>
      <w:r>
        <w:t xml:space="preserve"> Guidance Text, page 60. </w:t>
      </w:r>
    </w:p>
  </w:footnote>
  <w:footnote w:id="28">
    <w:p w14:paraId="427C448C" w14:textId="260F5A37" w:rsidR="0020690D" w:rsidRDefault="0020690D">
      <w:pPr>
        <w:pStyle w:val="FootnoteText"/>
      </w:pPr>
      <w:r>
        <w:rPr>
          <w:rStyle w:val="FootnoteReference"/>
        </w:rPr>
        <w:footnoteRef/>
      </w:r>
      <w:r>
        <w:t xml:space="preserve"> </w:t>
      </w:r>
      <w:r w:rsidRPr="0020690D">
        <w:rPr>
          <w:i/>
          <w:iCs/>
        </w:rPr>
        <w:t xml:space="preserve">BNY Corporate Trustee Services Ltd v </w:t>
      </w:r>
      <w:proofErr w:type="spellStart"/>
      <w:r w:rsidRPr="0020690D">
        <w:rPr>
          <w:i/>
          <w:iCs/>
        </w:rPr>
        <w:t>Eurosail</w:t>
      </w:r>
      <w:proofErr w:type="spellEnd"/>
      <w:r w:rsidRPr="0020690D">
        <w:rPr>
          <w:i/>
          <w:iCs/>
        </w:rPr>
        <w:t>-UK 2007-3BL plc</w:t>
      </w:r>
      <w:r>
        <w:t xml:space="preserve"> </w:t>
      </w:r>
      <w:r w:rsidRPr="0020690D">
        <w:t>[2013] UKSC 285</w:t>
      </w:r>
      <w:r>
        <w:t>.</w:t>
      </w:r>
    </w:p>
  </w:footnote>
  <w:footnote w:id="29">
    <w:p w14:paraId="4CCFDE0C" w14:textId="693A2383" w:rsidR="0020690D" w:rsidRDefault="0020690D">
      <w:pPr>
        <w:pStyle w:val="FootnoteText"/>
      </w:pPr>
      <w:r>
        <w:rPr>
          <w:rStyle w:val="FootnoteReference"/>
        </w:rPr>
        <w:footnoteRef/>
      </w:r>
      <w:r>
        <w:t xml:space="preserve"> Guidance Text, page 49.</w:t>
      </w:r>
    </w:p>
  </w:footnote>
  <w:footnote w:id="30">
    <w:p w14:paraId="099E212F" w14:textId="55FD8123" w:rsidR="00526540" w:rsidRDefault="00526540">
      <w:pPr>
        <w:pStyle w:val="FootnoteText"/>
      </w:pPr>
      <w:r>
        <w:rPr>
          <w:rStyle w:val="FootnoteReference"/>
        </w:rPr>
        <w:footnoteRef/>
      </w:r>
      <w:r>
        <w:t xml:space="preserve"> Guidance Text, page 49.</w:t>
      </w:r>
    </w:p>
  </w:footnote>
  <w:footnote w:id="31">
    <w:p w14:paraId="21FAC198" w14:textId="3308ECEB" w:rsidR="0083462B" w:rsidRDefault="0083462B">
      <w:pPr>
        <w:pStyle w:val="FootnoteText"/>
      </w:pPr>
      <w:r>
        <w:rPr>
          <w:rStyle w:val="FootnoteReference"/>
        </w:rPr>
        <w:footnoteRef/>
      </w:r>
      <w:r>
        <w:t xml:space="preserve"> Guidance Text, page 67.</w:t>
      </w:r>
    </w:p>
  </w:footnote>
  <w:footnote w:id="32">
    <w:p w14:paraId="09E1B98F" w14:textId="1619B03A" w:rsidR="00BF7BE7" w:rsidRDefault="00BF7BE7">
      <w:pPr>
        <w:pStyle w:val="FootnoteText"/>
      </w:pPr>
      <w:r>
        <w:rPr>
          <w:rStyle w:val="FootnoteReference"/>
        </w:rPr>
        <w:footnoteRef/>
      </w:r>
      <w:r>
        <w:t xml:space="preserve"> Guidance text, pages 68 – 69.</w:t>
      </w:r>
    </w:p>
  </w:footnote>
  <w:footnote w:id="33">
    <w:p w14:paraId="784FEDEE" w14:textId="3A0C7ACA" w:rsidR="00700400" w:rsidRDefault="00700400">
      <w:pPr>
        <w:pStyle w:val="FootnoteText"/>
      </w:pPr>
      <w:r>
        <w:rPr>
          <w:rStyle w:val="FootnoteReference"/>
        </w:rPr>
        <w:footnoteRef/>
      </w:r>
      <w:r>
        <w:t xml:space="preserve"> Guidance test, page 69.</w:t>
      </w:r>
    </w:p>
  </w:footnote>
  <w:footnote w:id="34">
    <w:p w14:paraId="5676C851" w14:textId="35DBD6CB" w:rsidR="00700400" w:rsidRDefault="00700400">
      <w:pPr>
        <w:pStyle w:val="FootnoteText"/>
      </w:pPr>
      <w:r>
        <w:rPr>
          <w:rStyle w:val="FootnoteReference"/>
        </w:rPr>
        <w:footnoteRef/>
      </w:r>
      <w:r>
        <w:t xml:space="preserve"> Guidance Text, page 65.</w:t>
      </w:r>
    </w:p>
  </w:footnote>
  <w:footnote w:id="35">
    <w:p w14:paraId="254024BC" w14:textId="02A1720F" w:rsidR="00672D35" w:rsidRDefault="00672D35">
      <w:pPr>
        <w:pStyle w:val="FootnoteText"/>
      </w:pPr>
      <w:r>
        <w:rPr>
          <w:rStyle w:val="FootnoteReference"/>
        </w:rPr>
        <w:footnoteRef/>
      </w:r>
      <w:r>
        <w:t xml:space="preserve"> Ibid. </w:t>
      </w:r>
    </w:p>
  </w:footnote>
  <w:footnote w:id="36">
    <w:p w14:paraId="349AA2B8" w14:textId="2AC672D9" w:rsidR="00BE77BB" w:rsidRDefault="00BE77BB">
      <w:pPr>
        <w:pStyle w:val="FootnoteText"/>
      </w:pPr>
      <w:r>
        <w:rPr>
          <w:rStyle w:val="FootnoteReference"/>
        </w:rPr>
        <w:footnoteRef/>
      </w:r>
      <w:r>
        <w:t xml:space="preserve"> Guidance Text, page 66.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37D88" w14:textId="77777777" w:rsidR="00D25DE1" w:rsidRDefault="00D25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CDFAF0" w14:textId="77777777" w:rsidR="00D25DE1" w:rsidRDefault="00D25D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A164E" w14:textId="77777777" w:rsidR="00D25DE1" w:rsidRDefault="00D25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C55A9"/>
    <w:multiLevelType w:val="hybridMultilevel"/>
    <w:tmpl w:val="FAD0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165C28"/>
    <w:multiLevelType w:val="hybridMultilevel"/>
    <w:tmpl w:val="54022188"/>
    <w:lvl w:ilvl="0" w:tplc="97622B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C6E79"/>
    <w:multiLevelType w:val="hybridMultilevel"/>
    <w:tmpl w:val="A1629A8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C77C3B"/>
    <w:multiLevelType w:val="hybridMultilevel"/>
    <w:tmpl w:val="8B42C8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8E1425"/>
    <w:multiLevelType w:val="multilevel"/>
    <w:tmpl w:val="D430E8B8"/>
    <w:lvl w:ilvl="0">
      <w:start w:val="1"/>
      <w:numFmt w:val="decimal"/>
      <w:lvlText w:val="%1."/>
      <w:lvlJc w:val="left"/>
      <w:pPr>
        <w:ind w:left="720" w:hanging="720"/>
      </w:pPr>
      <w:rPr>
        <w:rFonts w:hint="default"/>
      </w:rPr>
    </w:lvl>
    <w:lvl w:ilvl="1">
      <w:start w:val="4"/>
      <w:numFmt w:val="decimal"/>
      <w:isLgl/>
      <w:lvlText w:val="%1.%2"/>
      <w:lvlJc w:val="left"/>
      <w:pPr>
        <w:ind w:left="660" w:hanging="660"/>
      </w:pPr>
      <w:rPr>
        <w:rFonts w:hint="default"/>
      </w:rPr>
    </w:lvl>
    <w:lvl w:ilvl="2">
      <w:start w:val="4"/>
      <w:numFmt w:val="decimal"/>
      <w:isLgl/>
      <w:lvlText w:val="%1.%2.%3"/>
      <w:lvlJc w:val="left"/>
      <w:pPr>
        <w:ind w:left="720" w:hanging="720"/>
      </w:pPr>
      <w:rPr>
        <w:rFonts w:hint="default"/>
      </w:rPr>
    </w:lvl>
    <w:lvl w:ilvl="3">
      <w:start w:val="4"/>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8A3D83"/>
    <w:multiLevelType w:val="hybridMultilevel"/>
    <w:tmpl w:val="5402218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9"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D10E41"/>
    <w:multiLevelType w:val="hybridMultilevel"/>
    <w:tmpl w:val="08C26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4"/>
  </w:num>
  <w:num w:numId="2" w16cid:durableId="1279876417">
    <w:abstractNumId w:val="1"/>
  </w:num>
  <w:num w:numId="3" w16cid:durableId="100541089">
    <w:abstractNumId w:val="0"/>
  </w:num>
  <w:num w:numId="4" w16cid:durableId="14042412">
    <w:abstractNumId w:val="12"/>
  </w:num>
  <w:num w:numId="5" w16cid:durableId="1338728706">
    <w:abstractNumId w:val="15"/>
  </w:num>
  <w:num w:numId="6" w16cid:durableId="376245857">
    <w:abstractNumId w:val="2"/>
  </w:num>
  <w:num w:numId="7" w16cid:durableId="1396392877">
    <w:abstractNumId w:val="17"/>
  </w:num>
  <w:num w:numId="8" w16cid:durableId="1599950421">
    <w:abstractNumId w:val="21"/>
  </w:num>
  <w:num w:numId="9" w16cid:durableId="858857530">
    <w:abstractNumId w:val="13"/>
  </w:num>
  <w:num w:numId="10" w16cid:durableId="619802517">
    <w:abstractNumId w:val="23"/>
  </w:num>
  <w:num w:numId="11" w16cid:durableId="1831171333">
    <w:abstractNumId w:val="8"/>
  </w:num>
  <w:num w:numId="12" w16cid:durableId="84155222">
    <w:abstractNumId w:val="19"/>
  </w:num>
  <w:num w:numId="13" w16cid:durableId="1163352382">
    <w:abstractNumId w:val="14"/>
  </w:num>
  <w:num w:numId="14" w16cid:durableId="19356955">
    <w:abstractNumId w:val="6"/>
  </w:num>
  <w:num w:numId="15" w16cid:durableId="439304345">
    <w:abstractNumId w:val="18"/>
  </w:num>
  <w:num w:numId="16" w16cid:durableId="1126969584">
    <w:abstractNumId w:val="20"/>
  </w:num>
  <w:num w:numId="17" w16cid:durableId="1710716489">
    <w:abstractNumId w:val="11"/>
  </w:num>
  <w:num w:numId="18" w16cid:durableId="1579972571">
    <w:abstractNumId w:val="5"/>
  </w:num>
  <w:num w:numId="19" w16cid:durableId="1278835681">
    <w:abstractNumId w:val="10"/>
  </w:num>
  <w:num w:numId="20" w16cid:durableId="371153185">
    <w:abstractNumId w:val="16"/>
  </w:num>
  <w:num w:numId="21" w16cid:durableId="1448548334">
    <w:abstractNumId w:val="7"/>
  </w:num>
  <w:num w:numId="22" w16cid:durableId="1491288818">
    <w:abstractNumId w:val="3"/>
  </w:num>
  <w:num w:numId="23" w16cid:durableId="1499660450">
    <w:abstractNumId w:val="22"/>
  </w:num>
  <w:num w:numId="24" w16cid:durableId="152347352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7621"/>
    <w:rsid w:val="0004444C"/>
    <w:rsid w:val="00044D46"/>
    <w:rsid w:val="00045088"/>
    <w:rsid w:val="00045904"/>
    <w:rsid w:val="000502FD"/>
    <w:rsid w:val="00063BD9"/>
    <w:rsid w:val="00065166"/>
    <w:rsid w:val="00077770"/>
    <w:rsid w:val="00082609"/>
    <w:rsid w:val="000851CC"/>
    <w:rsid w:val="00086C55"/>
    <w:rsid w:val="00087F21"/>
    <w:rsid w:val="00093BE8"/>
    <w:rsid w:val="000A407B"/>
    <w:rsid w:val="000A68ED"/>
    <w:rsid w:val="000B5FF1"/>
    <w:rsid w:val="000B609F"/>
    <w:rsid w:val="000C3075"/>
    <w:rsid w:val="000D10C6"/>
    <w:rsid w:val="000D4CFA"/>
    <w:rsid w:val="000D55A8"/>
    <w:rsid w:val="000E4841"/>
    <w:rsid w:val="000E5948"/>
    <w:rsid w:val="000F1677"/>
    <w:rsid w:val="000F3D6C"/>
    <w:rsid w:val="00101694"/>
    <w:rsid w:val="00101707"/>
    <w:rsid w:val="00102CC9"/>
    <w:rsid w:val="0010593A"/>
    <w:rsid w:val="0011473D"/>
    <w:rsid w:val="00115C85"/>
    <w:rsid w:val="00115FCB"/>
    <w:rsid w:val="0012068B"/>
    <w:rsid w:val="00123855"/>
    <w:rsid w:val="00126A4D"/>
    <w:rsid w:val="0014171F"/>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875C0"/>
    <w:rsid w:val="00187A28"/>
    <w:rsid w:val="001966D9"/>
    <w:rsid w:val="00197F24"/>
    <w:rsid w:val="001A007A"/>
    <w:rsid w:val="001A7E9A"/>
    <w:rsid w:val="001B0F70"/>
    <w:rsid w:val="001B5016"/>
    <w:rsid w:val="001B6763"/>
    <w:rsid w:val="001C45FC"/>
    <w:rsid w:val="001D0469"/>
    <w:rsid w:val="001D29C0"/>
    <w:rsid w:val="001D4862"/>
    <w:rsid w:val="001E01E7"/>
    <w:rsid w:val="001E25B9"/>
    <w:rsid w:val="001E49E0"/>
    <w:rsid w:val="001E5A66"/>
    <w:rsid w:val="001E7B5A"/>
    <w:rsid w:val="001F3C98"/>
    <w:rsid w:val="001F7412"/>
    <w:rsid w:val="0020090A"/>
    <w:rsid w:val="0020204E"/>
    <w:rsid w:val="00202DFE"/>
    <w:rsid w:val="0020690D"/>
    <w:rsid w:val="0020725B"/>
    <w:rsid w:val="002110F1"/>
    <w:rsid w:val="002146D1"/>
    <w:rsid w:val="00221444"/>
    <w:rsid w:val="002356EA"/>
    <w:rsid w:val="00237A00"/>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001C"/>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81E"/>
    <w:rsid w:val="00337938"/>
    <w:rsid w:val="00340769"/>
    <w:rsid w:val="00341AA6"/>
    <w:rsid w:val="00361A0A"/>
    <w:rsid w:val="003636D7"/>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B582F"/>
    <w:rsid w:val="003C4471"/>
    <w:rsid w:val="003D0A6D"/>
    <w:rsid w:val="003E0B16"/>
    <w:rsid w:val="003E0FB3"/>
    <w:rsid w:val="003E1BBF"/>
    <w:rsid w:val="003E67D1"/>
    <w:rsid w:val="003F26D5"/>
    <w:rsid w:val="003F689E"/>
    <w:rsid w:val="00404329"/>
    <w:rsid w:val="00405DC1"/>
    <w:rsid w:val="00415F1F"/>
    <w:rsid w:val="0042108F"/>
    <w:rsid w:val="00430FED"/>
    <w:rsid w:val="00434A8C"/>
    <w:rsid w:val="00434B57"/>
    <w:rsid w:val="00435114"/>
    <w:rsid w:val="00437297"/>
    <w:rsid w:val="00444284"/>
    <w:rsid w:val="00444E0E"/>
    <w:rsid w:val="00445CE6"/>
    <w:rsid w:val="00450393"/>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3A6B"/>
    <w:rsid w:val="004E622C"/>
    <w:rsid w:val="004F5FDF"/>
    <w:rsid w:val="005038A9"/>
    <w:rsid w:val="00511B54"/>
    <w:rsid w:val="005177FE"/>
    <w:rsid w:val="00520242"/>
    <w:rsid w:val="0052263B"/>
    <w:rsid w:val="00524728"/>
    <w:rsid w:val="00526540"/>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925B5"/>
    <w:rsid w:val="00592F82"/>
    <w:rsid w:val="005A0CCA"/>
    <w:rsid w:val="005A1083"/>
    <w:rsid w:val="005A6FF2"/>
    <w:rsid w:val="005A726D"/>
    <w:rsid w:val="005B67AC"/>
    <w:rsid w:val="005B79F4"/>
    <w:rsid w:val="005C209E"/>
    <w:rsid w:val="005C4F75"/>
    <w:rsid w:val="005D09BD"/>
    <w:rsid w:val="005D16DD"/>
    <w:rsid w:val="005D43E0"/>
    <w:rsid w:val="005D58A3"/>
    <w:rsid w:val="005E1B79"/>
    <w:rsid w:val="005E6076"/>
    <w:rsid w:val="005E7008"/>
    <w:rsid w:val="005F026D"/>
    <w:rsid w:val="005F10B0"/>
    <w:rsid w:val="005F2AEA"/>
    <w:rsid w:val="005F2D0B"/>
    <w:rsid w:val="005F4B31"/>
    <w:rsid w:val="005F5D95"/>
    <w:rsid w:val="006039EB"/>
    <w:rsid w:val="00610388"/>
    <w:rsid w:val="00610AC7"/>
    <w:rsid w:val="00612CA5"/>
    <w:rsid w:val="006153EC"/>
    <w:rsid w:val="00621A17"/>
    <w:rsid w:val="00626DE8"/>
    <w:rsid w:val="00627CC9"/>
    <w:rsid w:val="00627E7B"/>
    <w:rsid w:val="00630542"/>
    <w:rsid w:val="00632E44"/>
    <w:rsid w:val="0063381C"/>
    <w:rsid w:val="00634622"/>
    <w:rsid w:val="00636808"/>
    <w:rsid w:val="00641515"/>
    <w:rsid w:val="0064462B"/>
    <w:rsid w:val="00654C2F"/>
    <w:rsid w:val="00657087"/>
    <w:rsid w:val="00657F61"/>
    <w:rsid w:val="006624AB"/>
    <w:rsid w:val="006639DB"/>
    <w:rsid w:val="006661EF"/>
    <w:rsid w:val="00672D35"/>
    <w:rsid w:val="0067541B"/>
    <w:rsid w:val="00677AEB"/>
    <w:rsid w:val="00680EF2"/>
    <w:rsid w:val="00687A1D"/>
    <w:rsid w:val="006925C1"/>
    <w:rsid w:val="00697EA1"/>
    <w:rsid w:val="006A0806"/>
    <w:rsid w:val="006A2646"/>
    <w:rsid w:val="006A6530"/>
    <w:rsid w:val="006A77FA"/>
    <w:rsid w:val="006B31CE"/>
    <w:rsid w:val="006B40FE"/>
    <w:rsid w:val="006B435A"/>
    <w:rsid w:val="006B4C64"/>
    <w:rsid w:val="006D282B"/>
    <w:rsid w:val="006D6117"/>
    <w:rsid w:val="006D65FD"/>
    <w:rsid w:val="006D6BD5"/>
    <w:rsid w:val="006E0D3B"/>
    <w:rsid w:val="006E481A"/>
    <w:rsid w:val="006E5298"/>
    <w:rsid w:val="006F13E6"/>
    <w:rsid w:val="006F4A78"/>
    <w:rsid w:val="006F734A"/>
    <w:rsid w:val="00700400"/>
    <w:rsid w:val="00700D83"/>
    <w:rsid w:val="00704852"/>
    <w:rsid w:val="0070524B"/>
    <w:rsid w:val="007074E9"/>
    <w:rsid w:val="00713DA4"/>
    <w:rsid w:val="00714BF1"/>
    <w:rsid w:val="007212A2"/>
    <w:rsid w:val="00721383"/>
    <w:rsid w:val="007232AE"/>
    <w:rsid w:val="00723C89"/>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77CC1"/>
    <w:rsid w:val="007809BC"/>
    <w:rsid w:val="00784128"/>
    <w:rsid w:val="00784EC9"/>
    <w:rsid w:val="00787BCC"/>
    <w:rsid w:val="00793173"/>
    <w:rsid w:val="007A029A"/>
    <w:rsid w:val="007A2A33"/>
    <w:rsid w:val="007A5171"/>
    <w:rsid w:val="007B5C89"/>
    <w:rsid w:val="007C1FCC"/>
    <w:rsid w:val="007C6201"/>
    <w:rsid w:val="007D7C92"/>
    <w:rsid w:val="007E1154"/>
    <w:rsid w:val="007E2919"/>
    <w:rsid w:val="007E46A8"/>
    <w:rsid w:val="007E6BA4"/>
    <w:rsid w:val="007E6BD0"/>
    <w:rsid w:val="007F41F8"/>
    <w:rsid w:val="007F659B"/>
    <w:rsid w:val="0080441E"/>
    <w:rsid w:val="0080454E"/>
    <w:rsid w:val="00804C32"/>
    <w:rsid w:val="00806302"/>
    <w:rsid w:val="00807119"/>
    <w:rsid w:val="0082483F"/>
    <w:rsid w:val="008279C0"/>
    <w:rsid w:val="00831550"/>
    <w:rsid w:val="0083462B"/>
    <w:rsid w:val="008605A7"/>
    <w:rsid w:val="00867701"/>
    <w:rsid w:val="00871C74"/>
    <w:rsid w:val="008723F3"/>
    <w:rsid w:val="00876F56"/>
    <w:rsid w:val="00880059"/>
    <w:rsid w:val="00881DE6"/>
    <w:rsid w:val="008837A6"/>
    <w:rsid w:val="0089062F"/>
    <w:rsid w:val="0089145D"/>
    <w:rsid w:val="00891690"/>
    <w:rsid w:val="00895F76"/>
    <w:rsid w:val="008A4DF2"/>
    <w:rsid w:val="008A6CFE"/>
    <w:rsid w:val="008B2F8A"/>
    <w:rsid w:val="008B5333"/>
    <w:rsid w:val="008B58D5"/>
    <w:rsid w:val="008B6223"/>
    <w:rsid w:val="008B72B8"/>
    <w:rsid w:val="008C66E0"/>
    <w:rsid w:val="008D1616"/>
    <w:rsid w:val="008E3339"/>
    <w:rsid w:val="008F20FC"/>
    <w:rsid w:val="008F5FFE"/>
    <w:rsid w:val="00905A43"/>
    <w:rsid w:val="00907787"/>
    <w:rsid w:val="00912C79"/>
    <w:rsid w:val="00921B8C"/>
    <w:rsid w:val="00924DAF"/>
    <w:rsid w:val="00931D14"/>
    <w:rsid w:val="009359C0"/>
    <w:rsid w:val="00942123"/>
    <w:rsid w:val="00951AA8"/>
    <w:rsid w:val="0095207B"/>
    <w:rsid w:val="00962045"/>
    <w:rsid w:val="009677A1"/>
    <w:rsid w:val="00980E61"/>
    <w:rsid w:val="00991428"/>
    <w:rsid w:val="00992676"/>
    <w:rsid w:val="009954B2"/>
    <w:rsid w:val="00996691"/>
    <w:rsid w:val="009A0D5B"/>
    <w:rsid w:val="009A12DD"/>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14496"/>
    <w:rsid w:val="00A2274A"/>
    <w:rsid w:val="00A235B7"/>
    <w:rsid w:val="00A27A7A"/>
    <w:rsid w:val="00A34ABE"/>
    <w:rsid w:val="00A371CF"/>
    <w:rsid w:val="00A407EF"/>
    <w:rsid w:val="00A46B4C"/>
    <w:rsid w:val="00A5117B"/>
    <w:rsid w:val="00A56D34"/>
    <w:rsid w:val="00A60074"/>
    <w:rsid w:val="00A6627C"/>
    <w:rsid w:val="00A71019"/>
    <w:rsid w:val="00A81029"/>
    <w:rsid w:val="00A84235"/>
    <w:rsid w:val="00A845F5"/>
    <w:rsid w:val="00A943AC"/>
    <w:rsid w:val="00A94763"/>
    <w:rsid w:val="00A96489"/>
    <w:rsid w:val="00AA2435"/>
    <w:rsid w:val="00AA518D"/>
    <w:rsid w:val="00AB2425"/>
    <w:rsid w:val="00AB685C"/>
    <w:rsid w:val="00AB6C2D"/>
    <w:rsid w:val="00AC08F7"/>
    <w:rsid w:val="00AC317D"/>
    <w:rsid w:val="00AC3839"/>
    <w:rsid w:val="00AC7082"/>
    <w:rsid w:val="00AD4BE8"/>
    <w:rsid w:val="00AE3365"/>
    <w:rsid w:val="00AE5B6F"/>
    <w:rsid w:val="00AF228E"/>
    <w:rsid w:val="00B016A8"/>
    <w:rsid w:val="00B04033"/>
    <w:rsid w:val="00B14819"/>
    <w:rsid w:val="00B15E2F"/>
    <w:rsid w:val="00B17AA9"/>
    <w:rsid w:val="00B44713"/>
    <w:rsid w:val="00B455E5"/>
    <w:rsid w:val="00B502F1"/>
    <w:rsid w:val="00B51B95"/>
    <w:rsid w:val="00B56103"/>
    <w:rsid w:val="00B62753"/>
    <w:rsid w:val="00B64929"/>
    <w:rsid w:val="00B724C7"/>
    <w:rsid w:val="00B736DF"/>
    <w:rsid w:val="00B743D6"/>
    <w:rsid w:val="00B74FBD"/>
    <w:rsid w:val="00B77F46"/>
    <w:rsid w:val="00B82586"/>
    <w:rsid w:val="00B829A3"/>
    <w:rsid w:val="00B86DB1"/>
    <w:rsid w:val="00B87869"/>
    <w:rsid w:val="00B9639B"/>
    <w:rsid w:val="00BA1CFD"/>
    <w:rsid w:val="00BB0F2B"/>
    <w:rsid w:val="00BC231B"/>
    <w:rsid w:val="00BC506E"/>
    <w:rsid w:val="00BE4FF3"/>
    <w:rsid w:val="00BE77BB"/>
    <w:rsid w:val="00BF2C93"/>
    <w:rsid w:val="00BF3C3A"/>
    <w:rsid w:val="00BF50F7"/>
    <w:rsid w:val="00BF6641"/>
    <w:rsid w:val="00BF7BE7"/>
    <w:rsid w:val="00C02F29"/>
    <w:rsid w:val="00C17718"/>
    <w:rsid w:val="00C20AFE"/>
    <w:rsid w:val="00C22A25"/>
    <w:rsid w:val="00C305F5"/>
    <w:rsid w:val="00C35671"/>
    <w:rsid w:val="00C35B77"/>
    <w:rsid w:val="00C376EB"/>
    <w:rsid w:val="00C4069E"/>
    <w:rsid w:val="00C46A92"/>
    <w:rsid w:val="00C46EC1"/>
    <w:rsid w:val="00C52796"/>
    <w:rsid w:val="00C53E2C"/>
    <w:rsid w:val="00C550C8"/>
    <w:rsid w:val="00C55824"/>
    <w:rsid w:val="00C56B61"/>
    <w:rsid w:val="00C606C3"/>
    <w:rsid w:val="00C620F4"/>
    <w:rsid w:val="00C72848"/>
    <w:rsid w:val="00C7736C"/>
    <w:rsid w:val="00C82D87"/>
    <w:rsid w:val="00C8712A"/>
    <w:rsid w:val="00C87F08"/>
    <w:rsid w:val="00C902C8"/>
    <w:rsid w:val="00C91062"/>
    <w:rsid w:val="00C919D1"/>
    <w:rsid w:val="00C963D3"/>
    <w:rsid w:val="00CB09F0"/>
    <w:rsid w:val="00CB1983"/>
    <w:rsid w:val="00CB2CBB"/>
    <w:rsid w:val="00CB7CAC"/>
    <w:rsid w:val="00CC5335"/>
    <w:rsid w:val="00CC5BA4"/>
    <w:rsid w:val="00CD4998"/>
    <w:rsid w:val="00CE1035"/>
    <w:rsid w:val="00CE6E50"/>
    <w:rsid w:val="00CE74A4"/>
    <w:rsid w:val="00CF2819"/>
    <w:rsid w:val="00CF3708"/>
    <w:rsid w:val="00CF4F9D"/>
    <w:rsid w:val="00CF70DC"/>
    <w:rsid w:val="00D01697"/>
    <w:rsid w:val="00D11494"/>
    <w:rsid w:val="00D148DC"/>
    <w:rsid w:val="00D152E6"/>
    <w:rsid w:val="00D16602"/>
    <w:rsid w:val="00D17FDC"/>
    <w:rsid w:val="00D21D8C"/>
    <w:rsid w:val="00D22518"/>
    <w:rsid w:val="00D25DE1"/>
    <w:rsid w:val="00D31656"/>
    <w:rsid w:val="00D53719"/>
    <w:rsid w:val="00D53B45"/>
    <w:rsid w:val="00D63EFD"/>
    <w:rsid w:val="00D64F92"/>
    <w:rsid w:val="00D84752"/>
    <w:rsid w:val="00D86B3B"/>
    <w:rsid w:val="00D8748A"/>
    <w:rsid w:val="00D93196"/>
    <w:rsid w:val="00D9496C"/>
    <w:rsid w:val="00DA0DC0"/>
    <w:rsid w:val="00DA2469"/>
    <w:rsid w:val="00DB243C"/>
    <w:rsid w:val="00DB482A"/>
    <w:rsid w:val="00DB50FB"/>
    <w:rsid w:val="00DB56F2"/>
    <w:rsid w:val="00DB6EF5"/>
    <w:rsid w:val="00DC3089"/>
    <w:rsid w:val="00DC4420"/>
    <w:rsid w:val="00DD07C2"/>
    <w:rsid w:val="00DD0802"/>
    <w:rsid w:val="00DD2E11"/>
    <w:rsid w:val="00DE03AF"/>
    <w:rsid w:val="00DE121C"/>
    <w:rsid w:val="00DE6633"/>
    <w:rsid w:val="00DF313B"/>
    <w:rsid w:val="00DF3540"/>
    <w:rsid w:val="00DF75F8"/>
    <w:rsid w:val="00DF7A3A"/>
    <w:rsid w:val="00E00C00"/>
    <w:rsid w:val="00E07C5A"/>
    <w:rsid w:val="00E15BA9"/>
    <w:rsid w:val="00E26E19"/>
    <w:rsid w:val="00E31DF3"/>
    <w:rsid w:val="00E41F45"/>
    <w:rsid w:val="00E443D7"/>
    <w:rsid w:val="00E450A4"/>
    <w:rsid w:val="00E506BE"/>
    <w:rsid w:val="00E51AF2"/>
    <w:rsid w:val="00E55547"/>
    <w:rsid w:val="00E56312"/>
    <w:rsid w:val="00E615CA"/>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1AFC"/>
    <w:rsid w:val="00ED447D"/>
    <w:rsid w:val="00EE4971"/>
    <w:rsid w:val="00EE6CB0"/>
    <w:rsid w:val="00EE75BC"/>
    <w:rsid w:val="00EF090E"/>
    <w:rsid w:val="00EF5572"/>
    <w:rsid w:val="00F01D7D"/>
    <w:rsid w:val="00F033DA"/>
    <w:rsid w:val="00F03C9A"/>
    <w:rsid w:val="00F111B5"/>
    <w:rsid w:val="00F13691"/>
    <w:rsid w:val="00F13FB1"/>
    <w:rsid w:val="00F17F23"/>
    <w:rsid w:val="00F27CD8"/>
    <w:rsid w:val="00F30351"/>
    <w:rsid w:val="00F3323E"/>
    <w:rsid w:val="00F341F4"/>
    <w:rsid w:val="00F34F9D"/>
    <w:rsid w:val="00F35CCE"/>
    <w:rsid w:val="00F374A8"/>
    <w:rsid w:val="00F40D99"/>
    <w:rsid w:val="00F41146"/>
    <w:rsid w:val="00F422E3"/>
    <w:rsid w:val="00F5524B"/>
    <w:rsid w:val="00F60538"/>
    <w:rsid w:val="00F61DD2"/>
    <w:rsid w:val="00F62E7A"/>
    <w:rsid w:val="00F6601F"/>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D80"/>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fontstyle01">
    <w:name w:val="fontstyle01"/>
    <w:basedOn w:val="DefaultParagraphFont"/>
    <w:rsid w:val="00AA518D"/>
    <w:rPr>
      <w:rFonts w:ascii="FEF49E390EA-Roman" w:hAnsi="FEF49E390EA-Roman" w:hint="default"/>
      <w:b w:val="0"/>
      <w:bCs w:val="0"/>
      <w:i w:val="0"/>
      <w:iCs w:val="0"/>
      <w:color w:val="000000"/>
      <w:sz w:val="22"/>
      <w:szCs w:val="22"/>
    </w:rPr>
  </w:style>
  <w:style w:type="paragraph" w:styleId="Revision">
    <w:name w:val="Revision"/>
    <w:hidden/>
    <w:uiPriority w:val="99"/>
    <w:semiHidden/>
    <w:rsid w:val="00063BD9"/>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354447">
      <w:bodyDiv w:val="1"/>
      <w:marLeft w:val="0"/>
      <w:marRight w:val="0"/>
      <w:marTop w:val="0"/>
      <w:marBottom w:val="0"/>
      <w:divBdr>
        <w:top w:val="none" w:sz="0" w:space="0" w:color="auto"/>
        <w:left w:val="none" w:sz="0" w:space="0" w:color="auto"/>
        <w:bottom w:val="none" w:sz="0" w:space="0" w:color="auto"/>
        <w:right w:val="none" w:sz="0" w:space="0" w:color="auto"/>
      </w:divBdr>
    </w:div>
    <w:div w:id="152991501">
      <w:bodyDiv w:val="1"/>
      <w:marLeft w:val="0"/>
      <w:marRight w:val="0"/>
      <w:marTop w:val="0"/>
      <w:marBottom w:val="0"/>
      <w:divBdr>
        <w:top w:val="none" w:sz="0" w:space="0" w:color="auto"/>
        <w:left w:val="none" w:sz="0" w:space="0" w:color="auto"/>
        <w:bottom w:val="none" w:sz="0" w:space="0" w:color="auto"/>
        <w:right w:val="none" w:sz="0" w:space="0" w:color="auto"/>
      </w:divBdr>
    </w:div>
    <w:div w:id="52232812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26862388">
      <w:bodyDiv w:val="1"/>
      <w:marLeft w:val="0"/>
      <w:marRight w:val="0"/>
      <w:marTop w:val="0"/>
      <w:marBottom w:val="0"/>
      <w:divBdr>
        <w:top w:val="none" w:sz="0" w:space="0" w:color="auto"/>
        <w:left w:val="none" w:sz="0" w:space="0" w:color="auto"/>
        <w:bottom w:val="none" w:sz="0" w:space="0" w:color="auto"/>
        <w:right w:val="none" w:sz="0" w:space="0" w:color="auto"/>
      </w:divBdr>
    </w:div>
    <w:div w:id="705834341">
      <w:bodyDiv w:val="1"/>
      <w:marLeft w:val="0"/>
      <w:marRight w:val="0"/>
      <w:marTop w:val="0"/>
      <w:marBottom w:val="0"/>
      <w:divBdr>
        <w:top w:val="none" w:sz="0" w:space="0" w:color="auto"/>
        <w:left w:val="none" w:sz="0" w:space="0" w:color="auto"/>
        <w:bottom w:val="none" w:sz="0" w:space="0" w:color="auto"/>
        <w:right w:val="none" w:sz="0" w:space="0" w:color="auto"/>
      </w:divBdr>
    </w:div>
    <w:div w:id="816994293">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18400618">
      <w:bodyDiv w:val="1"/>
      <w:marLeft w:val="0"/>
      <w:marRight w:val="0"/>
      <w:marTop w:val="0"/>
      <w:marBottom w:val="0"/>
      <w:divBdr>
        <w:top w:val="none" w:sz="0" w:space="0" w:color="auto"/>
        <w:left w:val="none" w:sz="0" w:space="0" w:color="auto"/>
        <w:bottom w:val="none" w:sz="0" w:space="0" w:color="auto"/>
        <w:right w:val="none" w:sz="0" w:space="0" w:color="auto"/>
      </w:divBdr>
    </w:div>
    <w:div w:id="1241600192">
      <w:bodyDiv w:val="1"/>
      <w:marLeft w:val="0"/>
      <w:marRight w:val="0"/>
      <w:marTop w:val="0"/>
      <w:marBottom w:val="0"/>
      <w:divBdr>
        <w:top w:val="none" w:sz="0" w:space="0" w:color="auto"/>
        <w:left w:val="none" w:sz="0" w:space="0" w:color="auto"/>
        <w:bottom w:val="none" w:sz="0" w:space="0" w:color="auto"/>
        <w:right w:val="none" w:sz="0" w:space="0" w:color="auto"/>
      </w:divBdr>
    </w:div>
    <w:div w:id="1275864393">
      <w:bodyDiv w:val="1"/>
      <w:marLeft w:val="0"/>
      <w:marRight w:val="0"/>
      <w:marTop w:val="0"/>
      <w:marBottom w:val="0"/>
      <w:divBdr>
        <w:top w:val="none" w:sz="0" w:space="0" w:color="auto"/>
        <w:left w:val="none" w:sz="0" w:space="0" w:color="auto"/>
        <w:bottom w:val="none" w:sz="0" w:space="0" w:color="auto"/>
        <w:right w:val="none" w:sz="0" w:space="0" w:color="auto"/>
      </w:divBdr>
    </w:div>
    <w:div w:id="1552417923">
      <w:bodyDiv w:val="1"/>
      <w:marLeft w:val="0"/>
      <w:marRight w:val="0"/>
      <w:marTop w:val="0"/>
      <w:marBottom w:val="0"/>
      <w:divBdr>
        <w:top w:val="none" w:sz="0" w:space="0" w:color="auto"/>
        <w:left w:val="none" w:sz="0" w:space="0" w:color="auto"/>
        <w:bottom w:val="none" w:sz="0" w:space="0" w:color="auto"/>
        <w:right w:val="none" w:sz="0" w:space="0" w:color="auto"/>
      </w:divBdr>
    </w:div>
    <w:div w:id="1605841975">
      <w:bodyDiv w:val="1"/>
      <w:marLeft w:val="0"/>
      <w:marRight w:val="0"/>
      <w:marTop w:val="0"/>
      <w:marBottom w:val="0"/>
      <w:divBdr>
        <w:top w:val="none" w:sz="0" w:space="0" w:color="auto"/>
        <w:left w:val="none" w:sz="0" w:space="0" w:color="auto"/>
        <w:bottom w:val="none" w:sz="0" w:space="0" w:color="auto"/>
        <w:right w:val="none" w:sz="0" w:space="0" w:color="auto"/>
      </w:divBdr>
    </w:div>
    <w:div w:id="1641962347">
      <w:bodyDiv w:val="1"/>
      <w:marLeft w:val="0"/>
      <w:marRight w:val="0"/>
      <w:marTop w:val="0"/>
      <w:marBottom w:val="0"/>
      <w:divBdr>
        <w:top w:val="none" w:sz="0" w:space="0" w:color="auto"/>
        <w:left w:val="none" w:sz="0" w:space="0" w:color="auto"/>
        <w:bottom w:val="none" w:sz="0" w:space="0" w:color="auto"/>
        <w:right w:val="none" w:sz="0" w:space="0" w:color="auto"/>
      </w:divBdr>
    </w:div>
    <w:div w:id="1648897017">
      <w:bodyDiv w:val="1"/>
      <w:marLeft w:val="0"/>
      <w:marRight w:val="0"/>
      <w:marTop w:val="0"/>
      <w:marBottom w:val="0"/>
      <w:divBdr>
        <w:top w:val="none" w:sz="0" w:space="0" w:color="auto"/>
        <w:left w:val="none" w:sz="0" w:space="0" w:color="auto"/>
        <w:bottom w:val="none" w:sz="0" w:space="0" w:color="auto"/>
        <w:right w:val="none" w:sz="0" w:space="0" w:color="auto"/>
      </w:divBdr>
    </w:div>
    <w:div w:id="1652518989">
      <w:bodyDiv w:val="1"/>
      <w:marLeft w:val="0"/>
      <w:marRight w:val="0"/>
      <w:marTop w:val="0"/>
      <w:marBottom w:val="0"/>
      <w:divBdr>
        <w:top w:val="none" w:sz="0" w:space="0" w:color="auto"/>
        <w:left w:val="none" w:sz="0" w:space="0" w:color="auto"/>
        <w:bottom w:val="none" w:sz="0" w:space="0" w:color="auto"/>
        <w:right w:val="none" w:sz="0" w:space="0" w:color="auto"/>
      </w:divBdr>
    </w:div>
    <w:div w:id="189550535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35374265">
      <w:bodyDiv w:val="1"/>
      <w:marLeft w:val="0"/>
      <w:marRight w:val="0"/>
      <w:marTop w:val="0"/>
      <w:marBottom w:val="0"/>
      <w:divBdr>
        <w:top w:val="none" w:sz="0" w:space="0" w:color="auto"/>
        <w:left w:val="none" w:sz="0" w:space="0" w:color="auto"/>
        <w:bottom w:val="none" w:sz="0" w:space="0" w:color="auto"/>
        <w:right w:val="none" w:sz="0" w:space="0" w:color="auto"/>
      </w:divBdr>
    </w:div>
    <w:div w:id="213150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roperties xmlns="http://www.imanage.com/work/xmlschema">
  <documentid>LIVE!250376223.1</documentid>
  <senderid>VANDE</senderid>
  <senderemail>ELLA.VANDERSCHANS@MOURANT.COM</senderemail>
  <lastmodified>2024-06-23T16:42:00.0000000-05:00</lastmodified>
  <database>LIVE</database>
</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36F99059-892E-47DA-A9EA-B99831A9FC89}">
  <ds:schemaRefs>
    <ds:schemaRef ds:uri="http://www.imanage.com/work/xmlschema"/>
  </ds:schemaRefs>
</ds:datastoreItem>
</file>

<file path=customXml/itemProps5.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7528</Words>
  <Characters>37042</Characters>
  <Application>Microsoft Office Word</Application>
  <DocSecurity>0</DocSecurity>
  <Lines>788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Ella van der Schans</cp:lastModifiedBy>
  <cp:revision>2</cp:revision>
  <cp:lastPrinted>2019-08-27T05:42:00Z</cp:lastPrinted>
  <dcterms:created xsi:type="dcterms:W3CDTF">2024-07-01T20:44:00Z</dcterms:created>
  <dcterms:modified xsi:type="dcterms:W3CDTF">2024-07-01T20:44:00Z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