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1A2467C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474B8C6D"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5F6EB9">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sidR="005F6EB9">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30BA6297" w14:textId="60B0A2FD" w:rsidR="00F56F62" w:rsidRPr="00F56F62" w:rsidRDefault="00F56F62" w:rsidP="00F56F62">
      <w:pPr>
        <w:jc w:val="both"/>
        <w:rPr>
          <w:rFonts w:ascii="Avenir Next" w:hAnsi="Avenir Next" w:cs="Arial"/>
          <w:sz w:val="22"/>
          <w:szCs w:val="22"/>
          <w:lang w:val="en-GB"/>
        </w:rPr>
      </w:pPr>
      <w:r w:rsidRPr="00F56F62">
        <w:rPr>
          <w:rFonts w:ascii="Avenir Next" w:hAnsi="Avenir Next" w:cs="Arial"/>
          <w:sz w:val="22"/>
          <w:szCs w:val="22"/>
          <w:lang w:val="en-GB"/>
        </w:rPr>
        <w:t xml:space="preserve">For the purposes of a </w:t>
      </w:r>
      <w:r w:rsidRPr="00F51132">
        <w:rPr>
          <w:rFonts w:ascii="Avenir Next Demi Bold" w:hAnsi="Avenir Next Demi Bold" w:cs="Arial"/>
          <w:b/>
          <w:bCs/>
          <w:sz w:val="22"/>
          <w:szCs w:val="22"/>
          <w:u w:val="single"/>
          <w:lang w:val="en-GB"/>
        </w:rPr>
        <w:t>qualifying resolution</w:t>
      </w:r>
      <w:r w:rsidRPr="00F56F62">
        <w:rPr>
          <w:rFonts w:ascii="Avenir Next" w:hAnsi="Avenir Next" w:cs="Arial"/>
          <w:sz w:val="22"/>
          <w:szCs w:val="22"/>
          <w:lang w:val="en-GB"/>
        </w:rPr>
        <w:t xml:space="preserve"> for </w:t>
      </w:r>
      <w:r w:rsidR="00F51132">
        <w:rPr>
          <w:rFonts w:ascii="Avenir Next" w:hAnsi="Avenir Next" w:cs="Arial"/>
          <w:sz w:val="22"/>
          <w:szCs w:val="22"/>
          <w:lang w:val="en-GB"/>
        </w:rPr>
        <w:t xml:space="preserve">an </w:t>
      </w:r>
      <w:r w:rsidRPr="00F56F62">
        <w:rPr>
          <w:rFonts w:ascii="Avenir Next" w:hAnsi="Avenir Next" w:cs="Arial"/>
          <w:sz w:val="22"/>
          <w:szCs w:val="22"/>
          <w:lang w:val="en-GB"/>
        </w:rPr>
        <w:t xml:space="preserve">insolvent liquidation to </w:t>
      </w:r>
      <w:r w:rsidRPr="00F51132">
        <w:rPr>
          <w:rFonts w:ascii="Avenir Next Demi Bold" w:hAnsi="Avenir Next Demi Bold" w:cs="Arial"/>
          <w:b/>
          <w:bCs/>
          <w:sz w:val="22"/>
          <w:szCs w:val="22"/>
          <w:u w:val="single"/>
          <w:lang w:val="en-GB"/>
        </w:rPr>
        <w:t>appoint a liquidator</w:t>
      </w:r>
      <w:r w:rsidRPr="00F56F62">
        <w:rPr>
          <w:rFonts w:ascii="Avenir Next" w:hAnsi="Avenir Next" w:cs="Arial"/>
          <w:sz w:val="22"/>
          <w:szCs w:val="22"/>
          <w:lang w:val="en-GB"/>
        </w:rPr>
        <w:t xml:space="preserve"> under section 159 the Insolvency Act </w:t>
      </w:r>
      <w:r w:rsidR="00C01EB2">
        <w:rPr>
          <w:rFonts w:ascii="Avenir Next" w:hAnsi="Avenir Next" w:cs="Arial"/>
          <w:sz w:val="22"/>
          <w:szCs w:val="22"/>
          <w:lang w:val="en-GB"/>
        </w:rPr>
        <w:t xml:space="preserve">2003 </w:t>
      </w:r>
      <w:r w:rsidRPr="00F56F62">
        <w:rPr>
          <w:rFonts w:ascii="Avenir Next" w:hAnsi="Avenir Next" w:cs="Arial"/>
          <w:sz w:val="22"/>
          <w:szCs w:val="22"/>
          <w:lang w:val="en-GB"/>
        </w:rPr>
        <w:t>by the company’s members</w:t>
      </w:r>
      <w:r w:rsidR="00F51132">
        <w:rPr>
          <w:rFonts w:ascii="Avenir Next" w:hAnsi="Avenir Next" w:cs="Arial"/>
          <w:sz w:val="22"/>
          <w:szCs w:val="22"/>
          <w:lang w:val="en-GB"/>
        </w:rPr>
        <w:t>,</w:t>
      </w:r>
      <w:r w:rsidRPr="00F56F62">
        <w:rPr>
          <w:rFonts w:ascii="Avenir Next" w:hAnsi="Avenir Next" w:cs="Arial"/>
          <w:sz w:val="22"/>
          <w:szCs w:val="22"/>
          <w:lang w:val="en-GB"/>
        </w:rPr>
        <w:t xml:space="preserve"> what is the required majority of those who are present and entitled to vote? </w:t>
      </w:r>
    </w:p>
    <w:p w14:paraId="796511FE" w14:textId="77777777" w:rsidR="00F56F62" w:rsidRPr="00F56F62" w:rsidRDefault="00F56F62" w:rsidP="00F56F62">
      <w:pPr>
        <w:jc w:val="both"/>
        <w:rPr>
          <w:rFonts w:ascii="Avenir Next" w:hAnsi="Avenir Next" w:cs="Arial"/>
          <w:sz w:val="22"/>
          <w:szCs w:val="22"/>
          <w:lang w:val="en-GB"/>
        </w:rPr>
      </w:pPr>
    </w:p>
    <w:p w14:paraId="357046FE" w14:textId="77777777" w:rsidR="00F56F62" w:rsidRPr="00F56F62" w:rsidRDefault="00F56F62">
      <w:pPr>
        <w:pStyle w:val="ListParagraph"/>
        <w:numPr>
          <w:ilvl w:val="0"/>
          <w:numId w:val="1"/>
        </w:numPr>
        <w:ind w:left="426"/>
        <w:jc w:val="both"/>
        <w:rPr>
          <w:rFonts w:ascii="Avenir Next" w:hAnsi="Avenir Next" w:cs="Arial"/>
          <w:sz w:val="22"/>
          <w:szCs w:val="22"/>
          <w:lang w:val="en-GB"/>
        </w:rPr>
      </w:pPr>
      <w:r w:rsidRPr="00F56F62">
        <w:rPr>
          <w:rFonts w:ascii="Avenir Next" w:hAnsi="Avenir Next" w:cs="Arial"/>
          <w:sz w:val="22"/>
          <w:szCs w:val="22"/>
          <w:lang w:val="en-GB"/>
        </w:rPr>
        <w:t>50%.</w:t>
      </w:r>
    </w:p>
    <w:p w14:paraId="2F6052B8" w14:textId="77777777" w:rsidR="00F56F62" w:rsidRPr="00F56F62" w:rsidRDefault="00F56F62" w:rsidP="00F56F62">
      <w:pPr>
        <w:ind w:left="66"/>
        <w:jc w:val="both"/>
        <w:rPr>
          <w:rFonts w:ascii="Avenir Next" w:hAnsi="Avenir Next" w:cs="Arial"/>
          <w:sz w:val="22"/>
          <w:szCs w:val="22"/>
          <w:lang w:val="en-GB"/>
        </w:rPr>
      </w:pPr>
    </w:p>
    <w:p w14:paraId="1D522B85" w14:textId="77777777" w:rsidR="00F56F62" w:rsidRPr="00B466B2" w:rsidRDefault="00F56F62">
      <w:pPr>
        <w:pStyle w:val="ListParagraph"/>
        <w:numPr>
          <w:ilvl w:val="0"/>
          <w:numId w:val="1"/>
        </w:numPr>
        <w:ind w:left="426"/>
        <w:jc w:val="both"/>
        <w:rPr>
          <w:rFonts w:ascii="Avenir Next" w:hAnsi="Avenir Next" w:cs="Arial"/>
          <w:sz w:val="22"/>
          <w:szCs w:val="22"/>
          <w:highlight w:val="yellow"/>
          <w:lang w:val="en-GB"/>
        </w:rPr>
      </w:pPr>
      <w:r w:rsidRPr="00B466B2">
        <w:rPr>
          <w:rFonts w:ascii="Avenir Next" w:hAnsi="Avenir Next" w:cs="Arial"/>
          <w:sz w:val="22"/>
          <w:szCs w:val="22"/>
          <w:highlight w:val="yellow"/>
          <w:lang w:val="en-GB"/>
        </w:rPr>
        <w:t>75%.</w:t>
      </w:r>
    </w:p>
    <w:p w14:paraId="745C5C83" w14:textId="77777777" w:rsidR="00F56F62" w:rsidRPr="00F56F62" w:rsidRDefault="00F56F62" w:rsidP="00F56F62">
      <w:pPr>
        <w:pStyle w:val="ListParagraph"/>
        <w:rPr>
          <w:rFonts w:ascii="Avenir Next" w:hAnsi="Avenir Next" w:cs="Arial"/>
          <w:sz w:val="22"/>
          <w:szCs w:val="22"/>
          <w:lang w:val="en-GB"/>
        </w:rPr>
      </w:pPr>
    </w:p>
    <w:p w14:paraId="16560D92" w14:textId="77777777" w:rsidR="00F56F62" w:rsidRPr="00F56F62" w:rsidRDefault="00F56F62">
      <w:pPr>
        <w:pStyle w:val="ListParagraph"/>
        <w:numPr>
          <w:ilvl w:val="0"/>
          <w:numId w:val="1"/>
        </w:numPr>
        <w:ind w:left="426"/>
        <w:jc w:val="both"/>
        <w:rPr>
          <w:rFonts w:ascii="Avenir Next" w:hAnsi="Avenir Next" w:cs="Arial"/>
          <w:sz w:val="22"/>
          <w:szCs w:val="22"/>
          <w:lang w:val="en-GB"/>
        </w:rPr>
      </w:pPr>
      <w:r w:rsidRPr="00F56F62">
        <w:rPr>
          <w:rFonts w:ascii="Avenir Next" w:hAnsi="Avenir Next" w:cs="Arial"/>
          <w:sz w:val="22"/>
          <w:szCs w:val="22"/>
          <w:lang w:val="en-GB"/>
        </w:rPr>
        <w:t>100%.</w:t>
      </w:r>
    </w:p>
    <w:p w14:paraId="7E5356CD" w14:textId="77777777" w:rsidR="00F56F62" w:rsidRPr="00F56F62" w:rsidRDefault="00F56F62" w:rsidP="00F56F62">
      <w:pPr>
        <w:jc w:val="both"/>
        <w:rPr>
          <w:rFonts w:ascii="Avenir Next" w:hAnsi="Avenir Next" w:cs="Arial"/>
          <w:sz w:val="22"/>
          <w:szCs w:val="22"/>
          <w:lang w:val="en-GB"/>
        </w:rPr>
      </w:pPr>
    </w:p>
    <w:p w14:paraId="5E360296" w14:textId="77777777" w:rsidR="00F56F62" w:rsidRPr="00F56F62" w:rsidRDefault="00F56F62">
      <w:pPr>
        <w:pStyle w:val="ListParagraph"/>
        <w:numPr>
          <w:ilvl w:val="0"/>
          <w:numId w:val="1"/>
        </w:numPr>
        <w:ind w:left="426"/>
        <w:jc w:val="both"/>
        <w:rPr>
          <w:rFonts w:ascii="Avenir Next" w:hAnsi="Avenir Next" w:cs="Arial"/>
          <w:sz w:val="22"/>
          <w:szCs w:val="22"/>
          <w:lang w:val="en-GB"/>
        </w:rPr>
      </w:pPr>
      <w:r w:rsidRPr="00F56F62">
        <w:rPr>
          <w:rFonts w:ascii="Avenir Next" w:hAnsi="Avenir Next" w:cs="Arial"/>
          <w:sz w:val="22"/>
          <w:szCs w:val="22"/>
          <w:lang w:val="en-GB"/>
        </w:rPr>
        <w:t>90%.</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0635C393" w:rsidR="00511CB4" w:rsidRPr="005965BF" w:rsidRDefault="00666DF9" w:rsidP="008065CE">
      <w:pPr>
        <w:jc w:val="both"/>
        <w:rPr>
          <w:rFonts w:ascii="Avenir Next" w:hAnsi="Avenir Next" w:cs="Arial"/>
          <w:sz w:val="22"/>
          <w:szCs w:val="22"/>
          <w:lang w:val="en-GB"/>
        </w:rPr>
      </w:pP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C01EB2">
        <w:rPr>
          <w:rFonts w:ascii="Avenir Next" w:hAnsi="Avenir Next" w:cs="Arial"/>
          <w:sz w:val="22"/>
          <w:szCs w:val="22"/>
          <w:lang w:val="en-GB"/>
        </w:rPr>
        <w:t xml:space="preserve"> 2003</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pPr>
        <w:pStyle w:val="ListParagraph"/>
        <w:numPr>
          <w:ilvl w:val="0"/>
          <w:numId w:val="2"/>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pPr>
        <w:pStyle w:val="ListParagraph"/>
        <w:numPr>
          <w:ilvl w:val="0"/>
          <w:numId w:val="2"/>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B466B2" w:rsidRDefault="00516777">
      <w:pPr>
        <w:pStyle w:val="ListParagraph"/>
        <w:numPr>
          <w:ilvl w:val="0"/>
          <w:numId w:val="2"/>
        </w:numPr>
        <w:ind w:left="426"/>
        <w:jc w:val="both"/>
        <w:rPr>
          <w:rFonts w:ascii="Avenir Next" w:hAnsi="Avenir Next" w:cs="Arial"/>
          <w:sz w:val="22"/>
          <w:szCs w:val="22"/>
          <w:highlight w:val="yellow"/>
          <w:lang w:val="en-GB"/>
        </w:rPr>
      </w:pPr>
      <w:r w:rsidRPr="00B466B2">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pPr>
        <w:pStyle w:val="ListParagraph"/>
        <w:numPr>
          <w:ilvl w:val="0"/>
          <w:numId w:val="2"/>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pPr>
        <w:pStyle w:val="ListParagraph"/>
        <w:numPr>
          <w:ilvl w:val="0"/>
          <w:numId w:val="3"/>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pPr>
        <w:pStyle w:val="ListParagraph"/>
        <w:numPr>
          <w:ilvl w:val="0"/>
          <w:numId w:val="3"/>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pPr>
        <w:pStyle w:val="ListParagraph"/>
        <w:numPr>
          <w:ilvl w:val="0"/>
          <w:numId w:val="3"/>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B466B2" w:rsidRDefault="00617A39">
      <w:pPr>
        <w:pStyle w:val="ListParagraph"/>
        <w:numPr>
          <w:ilvl w:val="0"/>
          <w:numId w:val="3"/>
        </w:numPr>
        <w:ind w:left="426"/>
        <w:jc w:val="both"/>
        <w:rPr>
          <w:rFonts w:ascii="Avenir Next" w:hAnsi="Avenir Next" w:cs="Arial"/>
          <w:sz w:val="22"/>
          <w:szCs w:val="22"/>
          <w:highlight w:val="yellow"/>
          <w:lang w:val="en-GB"/>
        </w:rPr>
      </w:pPr>
      <w:r w:rsidRPr="00B466B2">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pPr>
        <w:pStyle w:val="ListParagraph"/>
        <w:numPr>
          <w:ilvl w:val="0"/>
          <w:numId w:val="4"/>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pPr>
        <w:pStyle w:val="ListParagraph"/>
        <w:numPr>
          <w:ilvl w:val="0"/>
          <w:numId w:val="4"/>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B466B2" w:rsidRDefault="00802DB8">
      <w:pPr>
        <w:pStyle w:val="ListParagraph"/>
        <w:numPr>
          <w:ilvl w:val="0"/>
          <w:numId w:val="4"/>
        </w:numPr>
        <w:ind w:left="426"/>
        <w:jc w:val="both"/>
        <w:rPr>
          <w:rFonts w:ascii="Avenir Next" w:hAnsi="Avenir Next" w:cs="Arial"/>
          <w:sz w:val="22"/>
          <w:szCs w:val="22"/>
          <w:highlight w:val="yellow"/>
          <w:lang w:val="en-GB"/>
        </w:rPr>
      </w:pPr>
      <w:r w:rsidRPr="00B466B2">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1397A" w:rsidRDefault="00966035" w:rsidP="00966035">
      <w:pPr>
        <w:ind w:left="66"/>
        <w:jc w:val="both"/>
        <w:rPr>
          <w:rFonts w:ascii="Avenir Next" w:hAnsi="Avenir Next" w:cs="Arial"/>
          <w:sz w:val="22"/>
          <w:szCs w:val="22"/>
          <w:lang w:val="en-GB"/>
        </w:rPr>
      </w:pPr>
    </w:p>
    <w:p w14:paraId="2C1A96BA" w14:textId="77777777" w:rsidR="00802DB8" w:rsidRPr="0051397A" w:rsidRDefault="00802DB8">
      <w:pPr>
        <w:pStyle w:val="ListParagraph"/>
        <w:numPr>
          <w:ilvl w:val="0"/>
          <w:numId w:val="4"/>
        </w:numPr>
        <w:ind w:left="426"/>
        <w:jc w:val="both"/>
        <w:rPr>
          <w:rFonts w:ascii="Avenir Next" w:hAnsi="Avenir Next" w:cs="Arial"/>
          <w:sz w:val="22"/>
          <w:szCs w:val="22"/>
          <w:lang w:val="en-GB"/>
        </w:rPr>
      </w:pPr>
      <w:r w:rsidRPr="0051397A">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331024B8" w14:textId="77777777" w:rsidR="005D29E3" w:rsidRDefault="005D29E3" w:rsidP="005D29E3">
      <w:pPr>
        <w:autoSpaceDE w:val="0"/>
        <w:autoSpaceDN w:val="0"/>
        <w:adjustRightInd w:val="0"/>
        <w:jc w:val="both"/>
        <w:rPr>
          <w:rFonts w:ascii="Avenir Next" w:hAnsi="Avenir Next" w:cs="Arial"/>
          <w:sz w:val="22"/>
          <w:szCs w:val="22"/>
          <w:lang w:val="en-GB"/>
        </w:rPr>
      </w:pPr>
    </w:p>
    <w:p w14:paraId="1A4862D0" w14:textId="2F5B3FB3" w:rsidR="005D29E3" w:rsidRPr="004B2642" w:rsidRDefault="005D29E3" w:rsidP="005D29E3">
      <w:pPr>
        <w:autoSpaceDE w:val="0"/>
        <w:autoSpaceDN w:val="0"/>
        <w:adjustRightInd w:val="0"/>
        <w:jc w:val="both"/>
        <w:rPr>
          <w:rFonts w:ascii="Avenir Next" w:hAnsi="Avenir Next" w:cs="Arial"/>
          <w:sz w:val="22"/>
          <w:szCs w:val="22"/>
          <w:lang w:val="en-GB"/>
        </w:rPr>
      </w:pPr>
      <w:r w:rsidRPr="004B2642">
        <w:rPr>
          <w:rFonts w:ascii="Avenir Next" w:hAnsi="Avenir Next" w:cs="Arial"/>
          <w:sz w:val="22"/>
          <w:szCs w:val="22"/>
          <w:lang w:val="en-GB"/>
        </w:rPr>
        <w:t xml:space="preserve">Who </w:t>
      </w:r>
      <w:r w:rsidRPr="004B2642">
        <w:rPr>
          <w:rFonts w:ascii="Avenir Next Demi Bold" w:hAnsi="Avenir Next Demi Bold" w:cs="Arial"/>
          <w:sz w:val="22"/>
          <w:szCs w:val="22"/>
          <w:u w:val="single"/>
          <w:lang w:val="en-GB"/>
        </w:rPr>
        <w:t>cannot</w:t>
      </w:r>
      <w:r w:rsidRPr="004B2642">
        <w:rPr>
          <w:rFonts w:ascii="Avenir Next" w:hAnsi="Avenir Next" w:cs="Arial"/>
          <w:sz w:val="22"/>
          <w:szCs w:val="22"/>
          <w:lang w:val="en-GB"/>
        </w:rPr>
        <w:t xml:space="preserve"> apply for a provisional liquidator to be appointed in a company?</w:t>
      </w:r>
    </w:p>
    <w:p w14:paraId="66038AB8" w14:textId="77777777" w:rsidR="005D29E3" w:rsidRPr="004B2642" w:rsidRDefault="005D29E3" w:rsidP="005D29E3">
      <w:pPr>
        <w:autoSpaceDE w:val="0"/>
        <w:autoSpaceDN w:val="0"/>
        <w:adjustRightInd w:val="0"/>
        <w:ind w:left="66"/>
        <w:jc w:val="both"/>
        <w:rPr>
          <w:rFonts w:ascii="Avenir Next" w:hAnsi="Avenir Next" w:cs="Arial"/>
          <w:sz w:val="22"/>
          <w:szCs w:val="22"/>
          <w:lang w:val="en-GB"/>
        </w:rPr>
      </w:pPr>
    </w:p>
    <w:p w14:paraId="30EDA7C9" w14:textId="5AA7908A" w:rsidR="005D29E3" w:rsidRPr="004B2642" w:rsidRDefault="005D29E3">
      <w:pPr>
        <w:pStyle w:val="ListParagraph"/>
        <w:numPr>
          <w:ilvl w:val="0"/>
          <w:numId w:val="5"/>
        </w:numPr>
        <w:autoSpaceDE w:val="0"/>
        <w:autoSpaceDN w:val="0"/>
        <w:adjustRightInd w:val="0"/>
        <w:ind w:left="426"/>
        <w:jc w:val="both"/>
        <w:rPr>
          <w:rFonts w:ascii="Avenir Next" w:hAnsi="Avenir Next" w:cs="Arial"/>
          <w:sz w:val="22"/>
          <w:szCs w:val="22"/>
          <w:lang w:val="en-GB"/>
        </w:rPr>
      </w:pPr>
      <w:r w:rsidRPr="004B2642">
        <w:rPr>
          <w:rFonts w:ascii="Avenir Next" w:hAnsi="Avenir Next" w:cs="Arial"/>
          <w:sz w:val="22"/>
          <w:szCs w:val="22"/>
          <w:lang w:val="en-GB"/>
        </w:rPr>
        <w:t>The Attorney General</w:t>
      </w:r>
      <w:r w:rsidR="00710148" w:rsidRPr="004B2642">
        <w:rPr>
          <w:rFonts w:ascii="Avenir Next" w:hAnsi="Avenir Next" w:cs="Arial"/>
          <w:sz w:val="22"/>
          <w:szCs w:val="22"/>
          <w:lang w:val="en-GB"/>
        </w:rPr>
        <w:t>.</w:t>
      </w:r>
    </w:p>
    <w:p w14:paraId="284A95EC" w14:textId="77777777" w:rsidR="005D29E3" w:rsidRPr="005D29E3" w:rsidRDefault="005D29E3" w:rsidP="005D29E3">
      <w:pPr>
        <w:pStyle w:val="ListParagraph"/>
        <w:autoSpaceDE w:val="0"/>
        <w:autoSpaceDN w:val="0"/>
        <w:adjustRightInd w:val="0"/>
        <w:ind w:left="426"/>
        <w:jc w:val="both"/>
        <w:rPr>
          <w:rFonts w:ascii="Avenir Next" w:hAnsi="Avenir Next" w:cs="Arial"/>
          <w:sz w:val="22"/>
          <w:szCs w:val="22"/>
          <w:lang w:val="en-GB"/>
        </w:rPr>
      </w:pPr>
    </w:p>
    <w:p w14:paraId="506658A6" w14:textId="60A8AE98" w:rsidR="005D29E3" w:rsidRPr="005D29E3" w:rsidRDefault="00710148">
      <w:pPr>
        <w:pStyle w:val="ListParagraph"/>
        <w:numPr>
          <w:ilvl w:val="0"/>
          <w:numId w:val="5"/>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The c</w:t>
      </w:r>
      <w:r w:rsidR="005D29E3" w:rsidRPr="005D29E3">
        <w:rPr>
          <w:rFonts w:ascii="Avenir Next" w:hAnsi="Avenir Next" w:cs="Arial"/>
          <w:sz w:val="22"/>
          <w:szCs w:val="22"/>
          <w:lang w:val="en-GB"/>
        </w:rPr>
        <w:t>ompany</w:t>
      </w:r>
      <w:r>
        <w:rPr>
          <w:rFonts w:ascii="Avenir Next" w:hAnsi="Avenir Next" w:cs="Arial"/>
          <w:sz w:val="22"/>
          <w:szCs w:val="22"/>
          <w:lang w:val="en-GB"/>
        </w:rPr>
        <w:t>.</w:t>
      </w:r>
    </w:p>
    <w:p w14:paraId="0163B0F3" w14:textId="77777777" w:rsidR="005D29E3" w:rsidRPr="005D29E3" w:rsidRDefault="005D29E3" w:rsidP="005D29E3">
      <w:pPr>
        <w:autoSpaceDE w:val="0"/>
        <w:autoSpaceDN w:val="0"/>
        <w:adjustRightInd w:val="0"/>
        <w:jc w:val="both"/>
        <w:rPr>
          <w:rFonts w:ascii="Avenir Next" w:hAnsi="Avenir Next" w:cs="Arial"/>
          <w:sz w:val="22"/>
          <w:szCs w:val="22"/>
          <w:lang w:val="en-GB"/>
        </w:rPr>
      </w:pPr>
    </w:p>
    <w:p w14:paraId="6888092E" w14:textId="747FBA65" w:rsidR="005D29E3" w:rsidRPr="005D29E3" w:rsidRDefault="00710148">
      <w:pPr>
        <w:pStyle w:val="ListParagraph"/>
        <w:numPr>
          <w:ilvl w:val="0"/>
          <w:numId w:val="5"/>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 c</w:t>
      </w:r>
      <w:r w:rsidR="005D29E3" w:rsidRPr="005D29E3">
        <w:rPr>
          <w:rFonts w:ascii="Avenir Next" w:hAnsi="Avenir Next" w:cs="Arial"/>
          <w:sz w:val="22"/>
          <w:szCs w:val="22"/>
          <w:lang w:val="en-GB"/>
        </w:rPr>
        <w:t>reditor</w:t>
      </w:r>
      <w:r>
        <w:rPr>
          <w:rFonts w:ascii="Avenir Next" w:hAnsi="Avenir Next" w:cs="Arial"/>
          <w:sz w:val="22"/>
          <w:szCs w:val="22"/>
          <w:lang w:val="en-GB"/>
        </w:rPr>
        <w:t>.</w:t>
      </w:r>
    </w:p>
    <w:p w14:paraId="45D51EAD" w14:textId="77777777" w:rsidR="005D29E3" w:rsidRPr="005D29E3" w:rsidRDefault="005D29E3" w:rsidP="005D29E3">
      <w:pPr>
        <w:autoSpaceDE w:val="0"/>
        <w:autoSpaceDN w:val="0"/>
        <w:adjustRightInd w:val="0"/>
        <w:jc w:val="both"/>
        <w:rPr>
          <w:rFonts w:ascii="Avenir Next" w:hAnsi="Avenir Next" w:cs="Arial"/>
          <w:sz w:val="22"/>
          <w:szCs w:val="22"/>
          <w:lang w:val="en-GB"/>
        </w:rPr>
      </w:pPr>
    </w:p>
    <w:p w14:paraId="1C06A68C" w14:textId="5149F3CA" w:rsidR="005D29E3" w:rsidRPr="004B2642" w:rsidRDefault="00710148">
      <w:pPr>
        <w:pStyle w:val="ListParagraph"/>
        <w:numPr>
          <w:ilvl w:val="0"/>
          <w:numId w:val="5"/>
        </w:numPr>
        <w:ind w:left="426"/>
        <w:rPr>
          <w:rFonts w:ascii="Avenir Next" w:hAnsi="Avenir Next" w:cs="Arial"/>
          <w:sz w:val="22"/>
          <w:szCs w:val="22"/>
          <w:highlight w:val="yellow"/>
          <w:lang w:val="en-GB"/>
        </w:rPr>
      </w:pPr>
      <w:r w:rsidRPr="004B2642">
        <w:rPr>
          <w:rFonts w:ascii="Avenir Next" w:hAnsi="Avenir Next" w:cs="Arial"/>
          <w:sz w:val="22"/>
          <w:szCs w:val="22"/>
          <w:highlight w:val="yellow"/>
          <w:lang w:val="en-GB"/>
        </w:rPr>
        <w:t>A s</w:t>
      </w:r>
      <w:r w:rsidR="005D29E3" w:rsidRPr="004B2642">
        <w:rPr>
          <w:rFonts w:ascii="Avenir Next" w:hAnsi="Avenir Next" w:cs="Arial"/>
          <w:sz w:val="22"/>
          <w:szCs w:val="22"/>
          <w:highlight w:val="yellow"/>
          <w:lang w:val="en-GB"/>
        </w:rPr>
        <w:t>ecured creditor.</w:t>
      </w:r>
    </w:p>
    <w:p w14:paraId="02038A1E" w14:textId="77777777" w:rsidR="00E9597C" w:rsidRPr="005965BF" w:rsidRDefault="00E9597C" w:rsidP="008065CE">
      <w:pPr>
        <w:keepNext/>
        <w:jc w:val="both"/>
        <w:rPr>
          <w:rFonts w:ascii="Avenir Next" w:hAnsi="Avenir Next" w:cs="Arial"/>
          <w:b/>
          <w:bCs/>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F97C46">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B466B2" w:rsidRDefault="00053BC1">
      <w:pPr>
        <w:pStyle w:val="ListParagraph"/>
        <w:numPr>
          <w:ilvl w:val="0"/>
          <w:numId w:val="6"/>
        </w:numPr>
        <w:autoSpaceDE w:val="0"/>
        <w:autoSpaceDN w:val="0"/>
        <w:adjustRightInd w:val="0"/>
        <w:ind w:left="426"/>
        <w:jc w:val="both"/>
        <w:rPr>
          <w:rFonts w:ascii="Avenir Next" w:hAnsi="Avenir Next" w:cs="Arial"/>
          <w:sz w:val="22"/>
          <w:szCs w:val="22"/>
          <w:highlight w:val="yellow"/>
          <w:lang w:val="en-GB"/>
        </w:rPr>
      </w:pPr>
      <w:r w:rsidRPr="00B466B2">
        <w:rPr>
          <w:rFonts w:ascii="Avenir Next" w:hAnsi="Avenir Next" w:cs="Arial"/>
          <w:sz w:val="22"/>
          <w:szCs w:val="22"/>
          <w:highlight w:val="yellow"/>
          <w:lang w:val="en-GB"/>
        </w:rPr>
        <w:t>Within 12 months of the date of judgment</w:t>
      </w:r>
      <w:r w:rsidR="0027374E" w:rsidRPr="00B466B2">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pPr>
        <w:pStyle w:val="ListParagraph"/>
        <w:numPr>
          <w:ilvl w:val="0"/>
          <w:numId w:val="6"/>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pPr>
        <w:pStyle w:val="ListParagraph"/>
        <w:numPr>
          <w:ilvl w:val="0"/>
          <w:numId w:val="6"/>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pPr>
        <w:pStyle w:val="ListParagraph"/>
        <w:numPr>
          <w:ilvl w:val="0"/>
          <w:numId w:val="6"/>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674EA1" w:rsidRDefault="00802DB8" w:rsidP="008065CE">
      <w:pPr>
        <w:jc w:val="both"/>
        <w:rPr>
          <w:rFonts w:ascii="Avenir Next" w:hAnsi="Avenir Next" w:cs="Arial"/>
          <w:sz w:val="22"/>
          <w:szCs w:val="22"/>
          <w:lang w:val="en-GB"/>
        </w:rPr>
      </w:pPr>
    </w:p>
    <w:p w14:paraId="6CB42ED6" w14:textId="77777777" w:rsidR="00674EA1" w:rsidRPr="00D7280D" w:rsidRDefault="00674EA1">
      <w:pPr>
        <w:pStyle w:val="ListParagraph"/>
        <w:numPr>
          <w:ilvl w:val="0"/>
          <w:numId w:val="7"/>
        </w:numPr>
        <w:ind w:left="426"/>
        <w:jc w:val="both"/>
        <w:rPr>
          <w:rFonts w:ascii="Avenir Next" w:hAnsi="Avenir Next" w:cs="Arial"/>
          <w:sz w:val="22"/>
          <w:szCs w:val="22"/>
          <w:highlight w:val="yellow"/>
          <w:lang w:val="en-GB"/>
        </w:rPr>
      </w:pPr>
      <w:r w:rsidRPr="00D7280D">
        <w:rPr>
          <w:rFonts w:ascii="Avenir Next" w:hAnsi="Avenir Next" w:cs="Arial"/>
          <w:sz w:val="22"/>
          <w:szCs w:val="22"/>
          <w:highlight w:val="yellow"/>
          <w:lang w:val="en-GB"/>
        </w:rPr>
        <w:t xml:space="preserve">The assets automatically vest in the liquidator. </w:t>
      </w:r>
    </w:p>
    <w:p w14:paraId="5775BC2E" w14:textId="77777777" w:rsidR="00674EA1" w:rsidRPr="00674EA1" w:rsidRDefault="00674EA1" w:rsidP="00674EA1">
      <w:pPr>
        <w:ind w:left="66"/>
        <w:jc w:val="both"/>
        <w:rPr>
          <w:rFonts w:ascii="Avenir Next" w:hAnsi="Avenir Next" w:cs="Arial"/>
          <w:sz w:val="22"/>
          <w:szCs w:val="22"/>
          <w:lang w:val="en-GB"/>
        </w:rPr>
      </w:pPr>
    </w:p>
    <w:p w14:paraId="5AC1150A" w14:textId="6E46207B" w:rsidR="00674EA1" w:rsidRPr="00674EA1" w:rsidRDefault="00674EA1">
      <w:pPr>
        <w:pStyle w:val="ListParagraph"/>
        <w:numPr>
          <w:ilvl w:val="0"/>
          <w:numId w:val="7"/>
        </w:numPr>
        <w:ind w:left="426"/>
        <w:jc w:val="both"/>
        <w:rPr>
          <w:rFonts w:ascii="Avenir Next" w:hAnsi="Avenir Next" w:cs="Arial"/>
          <w:sz w:val="22"/>
          <w:szCs w:val="22"/>
          <w:lang w:val="en-GB"/>
        </w:rPr>
      </w:pPr>
      <w:r w:rsidRPr="00674EA1">
        <w:rPr>
          <w:rFonts w:ascii="Avenir Next" w:hAnsi="Avenir Next" w:cs="Arial"/>
          <w:sz w:val="22"/>
          <w:szCs w:val="22"/>
          <w:lang w:val="en-GB"/>
        </w:rPr>
        <w:t xml:space="preserve">No amendment allowed </w:t>
      </w:r>
      <w:r w:rsidR="00311E06">
        <w:rPr>
          <w:rFonts w:ascii="Avenir Next" w:hAnsi="Avenir Next" w:cs="Arial"/>
          <w:sz w:val="22"/>
          <w:szCs w:val="22"/>
          <w:lang w:val="en-GB"/>
        </w:rPr>
        <w:t xml:space="preserve">to </w:t>
      </w:r>
      <w:r w:rsidRPr="00674EA1">
        <w:rPr>
          <w:rFonts w:ascii="Avenir Next" w:hAnsi="Avenir Next" w:cs="Arial"/>
          <w:sz w:val="22"/>
          <w:szCs w:val="22"/>
          <w:lang w:val="en-GB"/>
        </w:rPr>
        <w:t xml:space="preserve">the memorandum or articles of association of the company. </w:t>
      </w:r>
    </w:p>
    <w:p w14:paraId="3C5102CA" w14:textId="77777777" w:rsidR="00674EA1" w:rsidRPr="00674EA1" w:rsidRDefault="00674EA1" w:rsidP="00674EA1">
      <w:pPr>
        <w:ind w:left="66"/>
        <w:jc w:val="both"/>
        <w:rPr>
          <w:rFonts w:ascii="Avenir Next" w:hAnsi="Avenir Next" w:cs="Arial"/>
          <w:sz w:val="22"/>
          <w:szCs w:val="22"/>
          <w:lang w:val="en-GB"/>
        </w:rPr>
      </w:pPr>
    </w:p>
    <w:p w14:paraId="0AE4D747" w14:textId="77777777" w:rsidR="00674EA1" w:rsidRPr="00D7280D" w:rsidRDefault="00674EA1">
      <w:pPr>
        <w:pStyle w:val="ListParagraph"/>
        <w:numPr>
          <w:ilvl w:val="0"/>
          <w:numId w:val="7"/>
        </w:numPr>
        <w:ind w:left="426"/>
        <w:jc w:val="both"/>
        <w:rPr>
          <w:rFonts w:ascii="Avenir Next" w:hAnsi="Avenir Next" w:cs="Arial"/>
          <w:sz w:val="22"/>
          <w:szCs w:val="22"/>
          <w:lang w:val="en-GB"/>
        </w:rPr>
      </w:pPr>
      <w:r w:rsidRPr="00D7280D">
        <w:rPr>
          <w:rFonts w:ascii="Avenir Next" w:hAnsi="Avenir Next" w:cs="Arial"/>
          <w:sz w:val="22"/>
          <w:szCs w:val="22"/>
          <w:lang w:val="en-GB"/>
        </w:rPr>
        <w:t xml:space="preserve">Shares in the company can be transferred. </w:t>
      </w:r>
    </w:p>
    <w:p w14:paraId="082374BF" w14:textId="77777777" w:rsidR="00674EA1" w:rsidRPr="00674EA1" w:rsidRDefault="00674EA1" w:rsidP="00674EA1">
      <w:pPr>
        <w:pStyle w:val="ListParagraph"/>
        <w:rPr>
          <w:rFonts w:ascii="Avenir Next" w:hAnsi="Avenir Next" w:cs="Arial"/>
          <w:sz w:val="22"/>
          <w:szCs w:val="22"/>
          <w:lang w:val="en-GB"/>
        </w:rPr>
      </w:pPr>
    </w:p>
    <w:p w14:paraId="53426E78" w14:textId="77777777" w:rsidR="00674EA1" w:rsidRPr="00674EA1" w:rsidRDefault="00674EA1">
      <w:pPr>
        <w:pStyle w:val="ListParagraph"/>
        <w:numPr>
          <w:ilvl w:val="0"/>
          <w:numId w:val="7"/>
        </w:numPr>
        <w:ind w:left="426"/>
        <w:jc w:val="both"/>
        <w:rPr>
          <w:rFonts w:ascii="Avenir Next" w:hAnsi="Avenir Next" w:cs="Arial"/>
          <w:sz w:val="22"/>
          <w:szCs w:val="22"/>
          <w:lang w:val="en-GB"/>
        </w:rPr>
      </w:pPr>
      <w:r w:rsidRPr="00674EA1">
        <w:rPr>
          <w:rFonts w:ascii="Avenir Next" w:hAnsi="Avenir Next" w:cs="Arial"/>
          <w:sz w:val="22"/>
          <w:szCs w:val="22"/>
          <w:lang w:val="en-GB"/>
        </w:rPr>
        <w:t>No action can commence or proceed against the company unless ordered by the Court.</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51397A" w:rsidRDefault="00B54DB9">
      <w:pPr>
        <w:pStyle w:val="ListParagraph"/>
        <w:numPr>
          <w:ilvl w:val="0"/>
          <w:numId w:val="8"/>
        </w:numPr>
        <w:ind w:left="426"/>
        <w:jc w:val="both"/>
        <w:rPr>
          <w:rFonts w:ascii="Avenir Next" w:hAnsi="Avenir Next" w:cs="Arial"/>
          <w:sz w:val="22"/>
          <w:szCs w:val="22"/>
          <w:highlight w:val="yellow"/>
          <w:lang w:val="en-GB"/>
        </w:rPr>
      </w:pPr>
      <w:r w:rsidRPr="0051397A">
        <w:rPr>
          <w:rFonts w:ascii="Avenir Next" w:hAnsi="Avenir Next" w:cs="Arial"/>
          <w:sz w:val="22"/>
          <w:szCs w:val="22"/>
          <w:highlight w:val="yellow"/>
          <w:lang w:val="en-GB"/>
        </w:rPr>
        <w:t>Two (</w:t>
      </w:r>
      <w:r w:rsidR="00802DB8" w:rsidRPr="0051397A">
        <w:rPr>
          <w:rFonts w:ascii="Avenir Next" w:hAnsi="Avenir Next" w:cs="Arial"/>
          <w:sz w:val="22"/>
          <w:szCs w:val="22"/>
          <w:highlight w:val="yellow"/>
          <w:lang w:val="en-GB"/>
        </w:rPr>
        <w:t>2</w:t>
      </w:r>
      <w:r w:rsidRPr="0051397A">
        <w:rPr>
          <w:rFonts w:ascii="Avenir Next" w:hAnsi="Avenir Next" w:cs="Arial"/>
          <w:sz w:val="22"/>
          <w:szCs w:val="22"/>
          <w:highlight w:val="yellow"/>
          <w:lang w:val="en-GB"/>
        </w:rPr>
        <w:t>)</w:t>
      </w:r>
      <w:r w:rsidR="00802DB8" w:rsidRPr="0051397A">
        <w:rPr>
          <w:rFonts w:ascii="Avenir Next" w:hAnsi="Avenir Next" w:cs="Arial"/>
          <w:sz w:val="22"/>
          <w:szCs w:val="22"/>
          <w:highlight w:val="yellow"/>
          <w:lang w:val="en-GB"/>
        </w:rPr>
        <w:t xml:space="preserve"> years prior to the onset of insolvency</w:t>
      </w:r>
      <w:r w:rsidR="00CE62E7" w:rsidRPr="0051397A">
        <w:rPr>
          <w:rFonts w:ascii="Avenir Next" w:hAnsi="Avenir Next" w:cs="Arial"/>
          <w:sz w:val="22"/>
          <w:szCs w:val="22"/>
          <w:highlight w:val="yellow"/>
          <w:lang w:val="en-GB"/>
        </w:rPr>
        <w:t xml:space="preserve"> and ending on the appointment of the liquidator</w:t>
      </w:r>
      <w:r w:rsidR="009859BA" w:rsidRPr="0051397A">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pPr>
        <w:pStyle w:val="ListParagraph"/>
        <w:numPr>
          <w:ilvl w:val="0"/>
          <w:numId w:val="8"/>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pPr>
        <w:pStyle w:val="ListParagraph"/>
        <w:numPr>
          <w:ilvl w:val="0"/>
          <w:numId w:val="8"/>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pPr>
        <w:pStyle w:val="ListParagraph"/>
        <w:numPr>
          <w:ilvl w:val="0"/>
          <w:numId w:val="8"/>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6825C1" w:rsidRDefault="00936614">
      <w:pPr>
        <w:pStyle w:val="ListParagraph"/>
        <w:numPr>
          <w:ilvl w:val="0"/>
          <w:numId w:val="9"/>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32F3CB18" w14:textId="77777777" w:rsidR="006825C1" w:rsidRPr="005965BF" w:rsidRDefault="006825C1" w:rsidP="006825C1">
      <w:pPr>
        <w:pStyle w:val="ListParagraph"/>
        <w:ind w:left="426"/>
        <w:jc w:val="both"/>
        <w:rPr>
          <w:rFonts w:ascii="Avenir Next" w:hAnsi="Avenir Next" w:cs="Arial"/>
          <w:sz w:val="22"/>
          <w:szCs w:val="22"/>
          <w:lang w:val="en-GB"/>
        </w:rPr>
      </w:pPr>
    </w:p>
    <w:p w14:paraId="5FF4C291" w14:textId="6891879D" w:rsidR="00802DB8" w:rsidRPr="005965BF" w:rsidRDefault="00936614">
      <w:pPr>
        <w:pStyle w:val="ListParagraph"/>
        <w:numPr>
          <w:ilvl w:val="0"/>
          <w:numId w:val="9"/>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B466B2" w:rsidRDefault="00936614">
      <w:pPr>
        <w:pStyle w:val="ListParagraph"/>
        <w:numPr>
          <w:ilvl w:val="0"/>
          <w:numId w:val="9"/>
        </w:numPr>
        <w:ind w:left="426"/>
        <w:jc w:val="both"/>
        <w:rPr>
          <w:rFonts w:ascii="Avenir Next" w:hAnsi="Avenir Next" w:cs="Arial"/>
          <w:sz w:val="22"/>
          <w:szCs w:val="22"/>
          <w:highlight w:val="yellow"/>
          <w:lang w:val="en-GB"/>
        </w:rPr>
      </w:pPr>
      <w:r w:rsidRPr="00B466B2">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pPr>
        <w:pStyle w:val="ListParagraph"/>
        <w:numPr>
          <w:ilvl w:val="0"/>
          <w:numId w:val="9"/>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0379592B" w14:textId="77777777" w:rsidR="00B6183B" w:rsidRPr="00B6183B" w:rsidRDefault="00B6183B" w:rsidP="00B6183B">
      <w:pPr>
        <w:jc w:val="both"/>
        <w:rPr>
          <w:rFonts w:ascii="Avenir Next" w:hAnsi="Avenir Next" w:cs="Arial"/>
          <w:sz w:val="22"/>
          <w:szCs w:val="22"/>
          <w:lang w:val="en-GB"/>
        </w:rPr>
      </w:pPr>
      <w:r w:rsidRPr="00B6183B">
        <w:rPr>
          <w:rFonts w:ascii="Avenir Next" w:hAnsi="Avenir Next" w:cs="Arial"/>
          <w:sz w:val="22"/>
          <w:szCs w:val="22"/>
          <w:lang w:val="en-GB"/>
        </w:rPr>
        <w:t xml:space="preserve">What is </w:t>
      </w:r>
      <w:r w:rsidRPr="00B6183B">
        <w:rPr>
          <w:rFonts w:ascii="Avenir Next Demi Bold" w:hAnsi="Avenir Next Demi Bold" w:cs="Arial"/>
          <w:sz w:val="22"/>
          <w:szCs w:val="22"/>
          <w:u w:val="single"/>
          <w:lang w:val="en-GB"/>
        </w:rPr>
        <w:t>required</w:t>
      </w:r>
      <w:r w:rsidRPr="00B6183B">
        <w:rPr>
          <w:rFonts w:ascii="Avenir Next" w:hAnsi="Avenir Next" w:cs="Arial"/>
          <w:sz w:val="22"/>
          <w:szCs w:val="22"/>
          <w:lang w:val="en-GB"/>
        </w:rPr>
        <w:t xml:space="preserve"> to place a company into </w:t>
      </w:r>
      <w:r w:rsidRPr="00B6183B">
        <w:rPr>
          <w:rFonts w:ascii="Avenir Next Demi Bold" w:hAnsi="Avenir Next Demi Bold" w:cs="Arial"/>
          <w:sz w:val="22"/>
          <w:szCs w:val="22"/>
          <w:u w:val="single"/>
          <w:lang w:val="en-GB"/>
        </w:rPr>
        <w:t>voluntary liquidation</w:t>
      </w:r>
      <w:r w:rsidRPr="00B6183B">
        <w:rPr>
          <w:rFonts w:ascii="Avenir Next" w:hAnsi="Avenir Next" w:cs="Arial"/>
          <w:sz w:val="22"/>
          <w:szCs w:val="22"/>
          <w:lang w:val="en-GB"/>
        </w:rPr>
        <w:t>?</w:t>
      </w:r>
    </w:p>
    <w:p w14:paraId="615E82F0" w14:textId="77777777" w:rsidR="00B6183B" w:rsidRPr="00B6183B" w:rsidRDefault="00B6183B" w:rsidP="00B6183B">
      <w:pPr>
        <w:jc w:val="both"/>
        <w:rPr>
          <w:rFonts w:ascii="Avenir Next" w:hAnsi="Avenir Next" w:cs="Arial"/>
          <w:sz w:val="22"/>
          <w:szCs w:val="22"/>
          <w:lang w:val="en-GB"/>
        </w:rPr>
      </w:pPr>
    </w:p>
    <w:p w14:paraId="01D2137F" w14:textId="56641C6B" w:rsidR="00B6183B" w:rsidRPr="00B6183B" w:rsidRDefault="00B6183B">
      <w:pPr>
        <w:pStyle w:val="ListParagraph"/>
        <w:numPr>
          <w:ilvl w:val="0"/>
          <w:numId w:val="10"/>
        </w:numPr>
        <w:ind w:left="426"/>
        <w:jc w:val="both"/>
        <w:rPr>
          <w:rFonts w:ascii="Avenir Next" w:hAnsi="Avenir Next" w:cs="Arial"/>
          <w:sz w:val="22"/>
          <w:szCs w:val="22"/>
          <w:lang w:val="en-GB"/>
        </w:rPr>
      </w:pPr>
      <w:r w:rsidRPr="00B6183B">
        <w:rPr>
          <w:rFonts w:ascii="Avenir Next" w:hAnsi="Avenir Next" w:cs="Arial"/>
          <w:sz w:val="22"/>
          <w:szCs w:val="22"/>
          <w:lang w:val="en-GB"/>
        </w:rPr>
        <w:t>Directors</w:t>
      </w:r>
      <w:r>
        <w:rPr>
          <w:rFonts w:ascii="Avenir Next" w:hAnsi="Avenir Next" w:cs="Arial"/>
          <w:sz w:val="22"/>
          <w:szCs w:val="22"/>
          <w:lang w:val="en-GB"/>
        </w:rPr>
        <w:t>’</w:t>
      </w:r>
      <w:r w:rsidRPr="00B6183B">
        <w:rPr>
          <w:rFonts w:ascii="Avenir Next" w:hAnsi="Avenir Next" w:cs="Arial"/>
          <w:sz w:val="22"/>
          <w:szCs w:val="22"/>
          <w:lang w:val="en-GB"/>
        </w:rPr>
        <w:t xml:space="preserve"> resolution to appoint a voluntary liquidator.</w:t>
      </w:r>
    </w:p>
    <w:p w14:paraId="7342AE99" w14:textId="77777777" w:rsidR="00B6183B" w:rsidRPr="00B6183B" w:rsidRDefault="00B6183B" w:rsidP="00B6183B">
      <w:pPr>
        <w:ind w:left="426"/>
        <w:jc w:val="both"/>
        <w:rPr>
          <w:rFonts w:ascii="Avenir Next" w:hAnsi="Avenir Next" w:cs="Arial"/>
          <w:sz w:val="22"/>
          <w:szCs w:val="22"/>
          <w:lang w:val="en-GB"/>
        </w:rPr>
      </w:pPr>
    </w:p>
    <w:p w14:paraId="60311E04" w14:textId="59A32A82" w:rsidR="00B6183B" w:rsidRPr="00B6183B" w:rsidRDefault="00B6183B">
      <w:pPr>
        <w:pStyle w:val="ListParagraph"/>
        <w:numPr>
          <w:ilvl w:val="0"/>
          <w:numId w:val="10"/>
        </w:numPr>
        <w:ind w:left="426"/>
        <w:jc w:val="both"/>
        <w:rPr>
          <w:rFonts w:ascii="Avenir Next" w:hAnsi="Avenir Next" w:cs="Arial"/>
          <w:sz w:val="22"/>
          <w:szCs w:val="22"/>
          <w:lang w:val="en-GB"/>
        </w:rPr>
      </w:pPr>
      <w:r w:rsidRPr="00B6183B">
        <w:rPr>
          <w:rFonts w:ascii="Avenir Next" w:hAnsi="Avenir Next" w:cs="Arial"/>
          <w:sz w:val="22"/>
          <w:szCs w:val="22"/>
          <w:lang w:val="en-GB"/>
        </w:rPr>
        <w:t xml:space="preserve">A liquidation plan approved by the directors and a resolution passed by shareholders approving the liquidation plan. </w:t>
      </w:r>
    </w:p>
    <w:p w14:paraId="575968BA" w14:textId="77777777" w:rsidR="00B6183B" w:rsidRPr="00B6183B" w:rsidRDefault="00B6183B" w:rsidP="00B6183B">
      <w:pPr>
        <w:ind w:left="426"/>
        <w:jc w:val="both"/>
        <w:rPr>
          <w:rFonts w:ascii="Avenir Next" w:hAnsi="Avenir Next" w:cs="Arial"/>
          <w:sz w:val="22"/>
          <w:szCs w:val="22"/>
          <w:lang w:val="en-GB"/>
        </w:rPr>
      </w:pPr>
    </w:p>
    <w:p w14:paraId="1C138948" w14:textId="77777777" w:rsidR="00B6183B" w:rsidRPr="00B466B2" w:rsidRDefault="00B6183B">
      <w:pPr>
        <w:pStyle w:val="ListParagraph"/>
        <w:numPr>
          <w:ilvl w:val="0"/>
          <w:numId w:val="10"/>
        </w:numPr>
        <w:ind w:left="426"/>
        <w:jc w:val="both"/>
        <w:rPr>
          <w:rFonts w:ascii="Avenir Next" w:hAnsi="Avenir Next" w:cs="Arial"/>
          <w:sz w:val="22"/>
          <w:szCs w:val="22"/>
          <w:highlight w:val="yellow"/>
          <w:lang w:val="en-GB"/>
        </w:rPr>
      </w:pPr>
      <w:r w:rsidRPr="00B466B2">
        <w:rPr>
          <w:rFonts w:ascii="Avenir Next" w:hAnsi="Avenir Next" w:cs="Arial"/>
          <w:sz w:val="22"/>
          <w:szCs w:val="22"/>
          <w:highlight w:val="yellow"/>
          <w:lang w:val="en-GB"/>
        </w:rPr>
        <w:t xml:space="preserve">Declaration of Solvency. </w:t>
      </w:r>
    </w:p>
    <w:p w14:paraId="34863D3D" w14:textId="77777777" w:rsidR="00B6183B" w:rsidRPr="00B6183B" w:rsidRDefault="00B6183B" w:rsidP="00B6183B">
      <w:pPr>
        <w:jc w:val="both"/>
        <w:rPr>
          <w:rFonts w:ascii="Avenir Next" w:hAnsi="Avenir Next" w:cs="Arial"/>
          <w:sz w:val="22"/>
          <w:szCs w:val="22"/>
          <w:lang w:val="en-GB"/>
        </w:rPr>
      </w:pPr>
    </w:p>
    <w:p w14:paraId="1CE81BD6" w14:textId="77777777" w:rsidR="00B6183B" w:rsidRPr="00B6183B" w:rsidRDefault="00B6183B">
      <w:pPr>
        <w:pStyle w:val="ListParagraph"/>
        <w:numPr>
          <w:ilvl w:val="0"/>
          <w:numId w:val="10"/>
        </w:numPr>
        <w:ind w:left="426"/>
        <w:jc w:val="both"/>
        <w:rPr>
          <w:rFonts w:ascii="Avenir Next" w:hAnsi="Avenir Next" w:cs="Arial"/>
          <w:sz w:val="22"/>
          <w:szCs w:val="22"/>
          <w:lang w:val="en-GB"/>
        </w:rPr>
      </w:pPr>
      <w:r w:rsidRPr="00B6183B">
        <w:rPr>
          <w:rFonts w:ascii="Avenir Next" w:hAnsi="Avenir Next" w:cs="Arial"/>
          <w:sz w:val="22"/>
          <w:szCs w:val="22"/>
          <w:lang w:val="en-GB"/>
        </w:rPr>
        <w:t>All of the above.</w:t>
      </w:r>
    </w:p>
    <w:p w14:paraId="7B39B011" w14:textId="77777777" w:rsidR="007C29A4" w:rsidRDefault="007C29A4" w:rsidP="008065CE">
      <w:pPr>
        <w:jc w:val="both"/>
        <w:rPr>
          <w:rFonts w:ascii="Avenir Next" w:hAnsi="Avenir Next" w:cs="Arial"/>
          <w:bCs/>
          <w:sz w:val="22"/>
          <w:szCs w:val="22"/>
          <w:lang w:val="en-GB"/>
        </w:rPr>
      </w:pPr>
    </w:p>
    <w:p w14:paraId="230893AF" w14:textId="77777777" w:rsidR="00D47A33" w:rsidRDefault="00D47A33" w:rsidP="008065CE">
      <w:pPr>
        <w:jc w:val="both"/>
        <w:rPr>
          <w:rFonts w:ascii="Avenir Next" w:hAnsi="Avenir Next" w:cs="Arial"/>
          <w:bCs/>
          <w:sz w:val="22"/>
          <w:szCs w:val="22"/>
          <w:lang w:val="en-GB"/>
        </w:rPr>
      </w:pPr>
    </w:p>
    <w:p w14:paraId="47B96DCF" w14:textId="77777777" w:rsidR="00D47A33" w:rsidRDefault="00D47A33" w:rsidP="008065CE">
      <w:pPr>
        <w:jc w:val="both"/>
        <w:rPr>
          <w:rFonts w:ascii="Avenir Next" w:hAnsi="Avenir Next" w:cs="Arial"/>
          <w:bCs/>
          <w:sz w:val="22"/>
          <w:szCs w:val="22"/>
          <w:lang w:val="en-GB"/>
        </w:rPr>
      </w:pPr>
    </w:p>
    <w:p w14:paraId="0807F3B6" w14:textId="77777777" w:rsidR="00D47A33" w:rsidRDefault="00D47A33" w:rsidP="008065CE">
      <w:pPr>
        <w:jc w:val="both"/>
        <w:rPr>
          <w:rFonts w:ascii="Avenir Next" w:hAnsi="Avenir Next" w:cs="Arial"/>
          <w:bCs/>
          <w:sz w:val="22"/>
          <w:szCs w:val="22"/>
          <w:lang w:val="en-GB"/>
        </w:rPr>
      </w:pPr>
    </w:p>
    <w:p w14:paraId="618BB5A8" w14:textId="77777777" w:rsidR="00D47A33" w:rsidRDefault="00D47A33" w:rsidP="008065CE">
      <w:pPr>
        <w:jc w:val="both"/>
        <w:rPr>
          <w:rFonts w:ascii="Avenir Next" w:hAnsi="Avenir Next" w:cs="Arial"/>
          <w:bCs/>
          <w:sz w:val="22"/>
          <w:szCs w:val="22"/>
          <w:lang w:val="en-GB"/>
        </w:rPr>
      </w:pPr>
    </w:p>
    <w:p w14:paraId="64F213A3" w14:textId="77777777" w:rsidR="00D47A33" w:rsidRDefault="00D47A33" w:rsidP="008065CE">
      <w:pPr>
        <w:jc w:val="both"/>
        <w:rPr>
          <w:rFonts w:ascii="Avenir Next" w:hAnsi="Avenir Next" w:cs="Arial"/>
          <w:bCs/>
          <w:sz w:val="22"/>
          <w:szCs w:val="22"/>
          <w:lang w:val="en-GB"/>
        </w:rPr>
      </w:pPr>
    </w:p>
    <w:p w14:paraId="5E0AD943" w14:textId="77777777" w:rsidR="00D47A33" w:rsidRDefault="00D47A33" w:rsidP="008065CE">
      <w:pPr>
        <w:jc w:val="both"/>
        <w:rPr>
          <w:rFonts w:ascii="Avenir Next" w:hAnsi="Avenir Next" w:cs="Arial"/>
          <w:bCs/>
          <w:sz w:val="22"/>
          <w:szCs w:val="22"/>
          <w:lang w:val="en-GB"/>
        </w:rPr>
      </w:pPr>
    </w:p>
    <w:p w14:paraId="01B5B63A" w14:textId="77777777" w:rsidR="00D14FDB" w:rsidRDefault="00D14FDB" w:rsidP="008065CE">
      <w:pPr>
        <w:jc w:val="both"/>
        <w:rPr>
          <w:rFonts w:ascii="Avenir Next" w:hAnsi="Avenir Next" w:cs="Arial"/>
          <w:bCs/>
          <w:sz w:val="22"/>
          <w:szCs w:val="22"/>
          <w:lang w:val="en-GB"/>
        </w:rPr>
      </w:pPr>
    </w:p>
    <w:p w14:paraId="65C39DCF" w14:textId="77777777" w:rsidR="00D14FDB" w:rsidRDefault="00D14FDB" w:rsidP="008065CE">
      <w:pPr>
        <w:jc w:val="both"/>
        <w:rPr>
          <w:rFonts w:ascii="Avenir Next" w:hAnsi="Avenir Next" w:cs="Arial"/>
          <w:bCs/>
          <w:sz w:val="22"/>
          <w:szCs w:val="22"/>
          <w:lang w:val="en-GB"/>
        </w:rPr>
      </w:pPr>
    </w:p>
    <w:p w14:paraId="76E73C21" w14:textId="77777777" w:rsidR="00D14FDB" w:rsidRDefault="00D14FDB" w:rsidP="008065CE">
      <w:pPr>
        <w:jc w:val="both"/>
        <w:rPr>
          <w:rFonts w:ascii="Avenir Next" w:hAnsi="Avenir Next" w:cs="Arial"/>
          <w:bCs/>
          <w:sz w:val="22"/>
          <w:szCs w:val="22"/>
          <w:lang w:val="en-GB"/>
        </w:rPr>
      </w:pPr>
    </w:p>
    <w:p w14:paraId="7264C3DA" w14:textId="77777777" w:rsidR="00D14FDB" w:rsidRDefault="00D14FDB" w:rsidP="008065CE">
      <w:pPr>
        <w:jc w:val="both"/>
        <w:rPr>
          <w:rFonts w:ascii="Avenir Next" w:hAnsi="Avenir Next" w:cs="Arial"/>
          <w:bCs/>
          <w:sz w:val="22"/>
          <w:szCs w:val="22"/>
          <w:lang w:val="en-GB"/>
        </w:rPr>
      </w:pPr>
    </w:p>
    <w:p w14:paraId="71B990F0" w14:textId="77777777" w:rsidR="00D14FDB" w:rsidRPr="005965BF" w:rsidRDefault="00D14FDB"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1E2D9559" w14:textId="2ECB58F6" w:rsidR="002E0670" w:rsidRPr="002E0670" w:rsidRDefault="002E0670" w:rsidP="002E0670">
      <w:pPr>
        <w:jc w:val="both"/>
        <w:rPr>
          <w:rFonts w:ascii="Avenir Next" w:hAnsi="Avenir Next" w:cs="Arial"/>
          <w:sz w:val="22"/>
          <w:szCs w:val="22"/>
          <w:lang w:val="en-GB"/>
        </w:rPr>
      </w:pPr>
      <w:r w:rsidRPr="002E0670">
        <w:rPr>
          <w:rFonts w:ascii="Avenir Next" w:hAnsi="Avenir Next" w:cs="Arial"/>
          <w:sz w:val="22"/>
          <w:szCs w:val="22"/>
          <w:lang w:val="en-GB"/>
        </w:rPr>
        <w:t xml:space="preserve">When is an eligible licensed insolvency practitioner required to be appointed under the Insolvency Act 2003, and what is meant by </w:t>
      </w:r>
      <w:r>
        <w:rPr>
          <w:rFonts w:ascii="Avenir Next" w:hAnsi="Avenir Next" w:cs="Arial"/>
          <w:sz w:val="22"/>
          <w:szCs w:val="22"/>
          <w:lang w:val="en-GB"/>
        </w:rPr>
        <w:t>“</w:t>
      </w:r>
      <w:r w:rsidRPr="002E0670">
        <w:rPr>
          <w:rFonts w:ascii="Avenir Next" w:hAnsi="Avenir Next" w:cs="Arial"/>
          <w:sz w:val="22"/>
          <w:szCs w:val="22"/>
          <w:lang w:val="en-GB"/>
        </w:rPr>
        <w:t>eligible</w:t>
      </w:r>
      <w:r>
        <w:rPr>
          <w:rFonts w:ascii="Avenir Next" w:hAnsi="Avenir Next" w:cs="Arial"/>
          <w:sz w:val="22"/>
          <w:szCs w:val="22"/>
          <w:lang w:val="en-GB"/>
        </w:rPr>
        <w:t>”</w:t>
      </w:r>
      <w:r w:rsidRPr="002E0670">
        <w:rPr>
          <w:rFonts w:ascii="Avenir Next" w:hAnsi="Avenir Next" w:cs="Arial"/>
          <w:sz w:val="22"/>
          <w:szCs w:val="22"/>
          <w:lang w:val="en-GB"/>
        </w:rPr>
        <w:t>?</w:t>
      </w:r>
    </w:p>
    <w:p w14:paraId="13523F5F" w14:textId="28229159" w:rsidR="00E664FC" w:rsidRPr="005965BF" w:rsidRDefault="00E664FC" w:rsidP="009E0225">
      <w:pPr>
        <w:ind w:left="720" w:hanging="720"/>
        <w:jc w:val="both"/>
        <w:rPr>
          <w:rFonts w:ascii="Avenir Next" w:hAnsi="Avenir Next" w:cs="Arial"/>
          <w:sz w:val="22"/>
          <w:szCs w:val="22"/>
          <w:lang w:val="en-GB"/>
        </w:rPr>
      </w:pPr>
    </w:p>
    <w:p w14:paraId="07D3ED17" w14:textId="4DAEDC0D" w:rsidR="0009498F" w:rsidRDefault="00DC4D31" w:rsidP="009A6FA2">
      <w:pPr>
        <w:jc w:val="both"/>
        <w:rPr>
          <w:rFonts w:ascii="Arial" w:hAnsi="Arial" w:cs="Arial"/>
          <w:color w:val="7B7B7B" w:themeColor="accent3" w:themeShade="BF"/>
          <w:sz w:val="22"/>
          <w:szCs w:val="22"/>
          <w:lang w:val="en-GB"/>
        </w:rPr>
      </w:pPr>
      <w:r w:rsidRPr="008412B8">
        <w:rPr>
          <w:rFonts w:ascii="Arial" w:hAnsi="Arial" w:cs="Arial"/>
          <w:color w:val="7B7B7B" w:themeColor="accent3" w:themeShade="BF"/>
          <w:sz w:val="22"/>
          <w:szCs w:val="22"/>
          <w:lang w:val="en-GB"/>
        </w:rPr>
        <w:t>An eligible licen</w:t>
      </w:r>
      <w:r w:rsidR="00D47A33">
        <w:rPr>
          <w:rFonts w:ascii="Arial" w:hAnsi="Arial" w:cs="Arial"/>
          <w:color w:val="7B7B7B" w:themeColor="accent3" w:themeShade="BF"/>
          <w:sz w:val="22"/>
          <w:szCs w:val="22"/>
          <w:lang w:val="en-GB"/>
        </w:rPr>
        <w:t>s</w:t>
      </w:r>
      <w:r w:rsidRPr="008412B8">
        <w:rPr>
          <w:rFonts w:ascii="Arial" w:hAnsi="Arial" w:cs="Arial"/>
          <w:color w:val="7B7B7B" w:themeColor="accent3" w:themeShade="BF"/>
          <w:sz w:val="22"/>
          <w:szCs w:val="22"/>
          <w:lang w:val="en-GB"/>
        </w:rPr>
        <w:t xml:space="preserve">ed insolvency practitioner </w:t>
      </w:r>
      <w:r w:rsidR="0009498F">
        <w:rPr>
          <w:rFonts w:ascii="Arial" w:hAnsi="Arial" w:cs="Arial"/>
          <w:color w:val="7B7B7B" w:themeColor="accent3" w:themeShade="BF"/>
          <w:sz w:val="22"/>
          <w:szCs w:val="22"/>
          <w:lang w:val="en-GB"/>
        </w:rPr>
        <w:t>may be appointed over an insolven</w:t>
      </w:r>
      <w:r w:rsidR="00BF69B7">
        <w:rPr>
          <w:rFonts w:ascii="Arial" w:hAnsi="Arial" w:cs="Arial"/>
          <w:color w:val="7B7B7B" w:themeColor="accent3" w:themeShade="BF"/>
          <w:sz w:val="22"/>
          <w:szCs w:val="22"/>
          <w:lang w:val="en-GB"/>
        </w:rPr>
        <w:t>t</w:t>
      </w:r>
      <w:r w:rsidR="0009498F">
        <w:rPr>
          <w:rFonts w:ascii="Arial" w:hAnsi="Arial" w:cs="Arial"/>
          <w:color w:val="7B7B7B" w:themeColor="accent3" w:themeShade="BF"/>
          <w:sz w:val="22"/>
          <w:szCs w:val="22"/>
          <w:lang w:val="en-GB"/>
        </w:rPr>
        <w:t xml:space="preserve"> B</w:t>
      </w:r>
      <w:r w:rsidR="00BF69B7">
        <w:rPr>
          <w:rFonts w:ascii="Arial" w:hAnsi="Arial" w:cs="Arial"/>
          <w:color w:val="7B7B7B" w:themeColor="accent3" w:themeShade="BF"/>
          <w:sz w:val="22"/>
          <w:szCs w:val="22"/>
          <w:lang w:val="en-GB"/>
        </w:rPr>
        <w:t xml:space="preserve">ritish </w:t>
      </w:r>
      <w:r w:rsidR="0009498F">
        <w:rPr>
          <w:rFonts w:ascii="Arial" w:hAnsi="Arial" w:cs="Arial"/>
          <w:color w:val="7B7B7B" w:themeColor="accent3" w:themeShade="BF"/>
          <w:sz w:val="22"/>
          <w:szCs w:val="22"/>
          <w:lang w:val="en-GB"/>
        </w:rPr>
        <w:t>V</w:t>
      </w:r>
      <w:r w:rsidR="00BF69B7">
        <w:rPr>
          <w:rFonts w:ascii="Arial" w:hAnsi="Arial" w:cs="Arial"/>
          <w:color w:val="7B7B7B" w:themeColor="accent3" w:themeShade="BF"/>
          <w:sz w:val="22"/>
          <w:szCs w:val="22"/>
          <w:lang w:val="en-GB"/>
        </w:rPr>
        <w:t xml:space="preserve">irgin </w:t>
      </w:r>
      <w:r w:rsidR="0009498F">
        <w:rPr>
          <w:rFonts w:ascii="Arial" w:hAnsi="Arial" w:cs="Arial"/>
          <w:color w:val="7B7B7B" w:themeColor="accent3" w:themeShade="BF"/>
          <w:sz w:val="22"/>
          <w:szCs w:val="22"/>
          <w:lang w:val="en-GB"/>
        </w:rPr>
        <w:t>I</w:t>
      </w:r>
      <w:r w:rsidR="00BF69B7">
        <w:rPr>
          <w:rFonts w:ascii="Arial" w:hAnsi="Arial" w:cs="Arial"/>
          <w:color w:val="7B7B7B" w:themeColor="accent3" w:themeShade="BF"/>
          <w:sz w:val="22"/>
          <w:szCs w:val="22"/>
          <w:lang w:val="en-GB"/>
        </w:rPr>
        <w:t>slands</w:t>
      </w:r>
      <w:r w:rsidR="0009498F">
        <w:rPr>
          <w:rFonts w:ascii="Arial" w:hAnsi="Arial" w:cs="Arial"/>
          <w:color w:val="7B7B7B" w:themeColor="accent3" w:themeShade="BF"/>
          <w:sz w:val="22"/>
          <w:szCs w:val="22"/>
          <w:lang w:val="en-GB"/>
        </w:rPr>
        <w:t xml:space="preserve"> company, foreign company or an individual’s estate as a trustee in bankruptcy</w:t>
      </w:r>
      <w:r w:rsidR="009A6FA2" w:rsidRPr="008412B8">
        <w:rPr>
          <w:rStyle w:val="FootnoteReference"/>
          <w:rFonts w:ascii="Arial" w:hAnsi="Arial" w:cs="Arial"/>
          <w:color w:val="7B7B7B" w:themeColor="accent3" w:themeShade="BF"/>
          <w:sz w:val="22"/>
          <w:szCs w:val="22"/>
          <w:lang w:val="en-GB"/>
        </w:rPr>
        <w:footnoteReference w:id="1"/>
      </w:r>
      <w:r w:rsidR="0009498F">
        <w:rPr>
          <w:rFonts w:ascii="Arial" w:hAnsi="Arial" w:cs="Arial"/>
          <w:color w:val="7B7B7B" w:themeColor="accent3" w:themeShade="BF"/>
          <w:sz w:val="22"/>
          <w:szCs w:val="22"/>
          <w:lang w:val="en-GB"/>
        </w:rPr>
        <w:t xml:space="preserve"> under the </w:t>
      </w:r>
      <w:r w:rsidR="0009498F" w:rsidRPr="008412B8">
        <w:rPr>
          <w:rFonts w:ascii="Arial" w:hAnsi="Arial" w:cs="Arial"/>
          <w:color w:val="7B7B7B" w:themeColor="accent3" w:themeShade="BF"/>
          <w:sz w:val="22"/>
          <w:szCs w:val="22"/>
          <w:lang w:val="en-GB"/>
        </w:rPr>
        <w:t>Insolvency Act 2003 (“</w:t>
      </w:r>
      <w:r w:rsidR="00C96EEC">
        <w:rPr>
          <w:rFonts w:ascii="Arial" w:hAnsi="Arial" w:cs="Arial"/>
          <w:b/>
          <w:bCs/>
          <w:color w:val="7B7B7B" w:themeColor="accent3" w:themeShade="BF"/>
          <w:sz w:val="22"/>
          <w:szCs w:val="22"/>
          <w:lang w:val="en-GB"/>
        </w:rPr>
        <w:t>Insolvency</w:t>
      </w:r>
      <w:r w:rsidR="0009498F" w:rsidRPr="008412B8">
        <w:rPr>
          <w:rFonts w:ascii="Arial" w:hAnsi="Arial" w:cs="Arial"/>
          <w:b/>
          <w:bCs/>
          <w:color w:val="7B7B7B" w:themeColor="accent3" w:themeShade="BF"/>
          <w:sz w:val="22"/>
          <w:szCs w:val="22"/>
          <w:lang w:val="en-GB"/>
        </w:rPr>
        <w:t xml:space="preserve"> Act</w:t>
      </w:r>
      <w:r w:rsidR="0009498F" w:rsidRPr="008412B8">
        <w:rPr>
          <w:rFonts w:ascii="Arial" w:hAnsi="Arial" w:cs="Arial"/>
          <w:color w:val="7B7B7B" w:themeColor="accent3" w:themeShade="BF"/>
          <w:sz w:val="22"/>
          <w:szCs w:val="22"/>
          <w:lang w:val="en-GB"/>
        </w:rPr>
        <w:t>”)</w:t>
      </w:r>
      <w:r w:rsidR="0009498F">
        <w:rPr>
          <w:rFonts w:ascii="Arial" w:hAnsi="Arial" w:cs="Arial"/>
          <w:color w:val="7B7B7B" w:themeColor="accent3" w:themeShade="BF"/>
          <w:sz w:val="22"/>
          <w:szCs w:val="22"/>
          <w:lang w:val="en-GB"/>
        </w:rPr>
        <w:t>.</w:t>
      </w:r>
    </w:p>
    <w:p w14:paraId="458FAFE9" w14:textId="77777777" w:rsidR="0009498F" w:rsidRPr="00C33F87" w:rsidRDefault="0009498F" w:rsidP="009A6FA2">
      <w:pPr>
        <w:jc w:val="both"/>
        <w:rPr>
          <w:rFonts w:ascii="Arial" w:hAnsi="Arial" w:cs="Arial"/>
          <w:color w:val="7B7B7B" w:themeColor="accent3" w:themeShade="BF"/>
          <w:sz w:val="22"/>
          <w:szCs w:val="22"/>
          <w:lang w:val="en-GB"/>
        </w:rPr>
      </w:pPr>
    </w:p>
    <w:p w14:paraId="19991F4B" w14:textId="51F4E590" w:rsidR="00B56DAD" w:rsidRPr="009A6FA2" w:rsidRDefault="00847A31" w:rsidP="00EA5235">
      <w:pPr>
        <w:jc w:val="both"/>
        <w:rPr>
          <w:rFonts w:ascii="Arial" w:hAnsi="Arial" w:cs="Arial"/>
          <w:color w:val="7B7B7B" w:themeColor="accent3" w:themeShade="BF"/>
          <w:sz w:val="22"/>
          <w:szCs w:val="22"/>
          <w:lang w:val="en-GB"/>
        </w:rPr>
      </w:pPr>
      <w:r w:rsidRPr="00C33F87">
        <w:rPr>
          <w:rFonts w:ascii="Arial" w:hAnsi="Arial" w:cs="Arial"/>
          <w:color w:val="7B7B7B" w:themeColor="accent3" w:themeShade="BF"/>
          <w:sz w:val="22"/>
          <w:szCs w:val="22"/>
          <w:lang w:val="en-GB"/>
        </w:rPr>
        <w:t xml:space="preserve">Section 2 of the </w:t>
      </w:r>
      <w:r w:rsidR="00C96EEC">
        <w:rPr>
          <w:rFonts w:ascii="Arial" w:hAnsi="Arial" w:cs="Arial"/>
          <w:color w:val="7B7B7B" w:themeColor="accent3" w:themeShade="BF"/>
          <w:sz w:val="22"/>
          <w:szCs w:val="22"/>
          <w:lang w:val="en-GB"/>
        </w:rPr>
        <w:t>Insolvency</w:t>
      </w:r>
      <w:r w:rsidRPr="00C33F87">
        <w:rPr>
          <w:rFonts w:ascii="Arial" w:hAnsi="Arial" w:cs="Arial"/>
          <w:color w:val="7B7B7B" w:themeColor="accent3" w:themeShade="BF"/>
          <w:sz w:val="22"/>
          <w:szCs w:val="22"/>
          <w:lang w:val="en-GB"/>
        </w:rPr>
        <w:t xml:space="preserve"> Act defines “eligible insolvency practitioner” as “</w:t>
      </w:r>
      <w:r w:rsidRPr="00C33F87">
        <w:rPr>
          <w:rFonts w:ascii="Arial" w:hAnsi="Arial" w:cs="Arial"/>
          <w:i/>
          <w:iCs/>
          <w:color w:val="7B7B7B" w:themeColor="accent3" w:themeShade="BF"/>
          <w:sz w:val="22"/>
          <w:szCs w:val="22"/>
          <w:lang w:val="en-GB"/>
        </w:rPr>
        <w:t>an insolvency practitioner who is eligible to act in relation to a company, foreign company or individual in accordance with section 482</w:t>
      </w:r>
      <w:r w:rsidRPr="00C33F87">
        <w:rPr>
          <w:rFonts w:ascii="Arial" w:hAnsi="Arial" w:cs="Arial"/>
          <w:color w:val="7B7B7B" w:themeColor="accent3" w:themeShade="BF"/>
          <w:sz w:val="22"/>
          <w:szCs w:val="22"/>
          <w:lang w:val="en-GB"/>
        </w:rPr>
        <w:t>”</w:t>
      </w:r>
      <w:r w:rsidRPr="00C33F87">
        <w:rPr>
          <w:rStyle w:val="FootnoteReference"/>
          <w:rFonts w:ascii="Arial" w:hAnsi="Arial" w:cs="Arial"/>
          <w:color w:val="7B7B7B" w:themeColor="accent3" w:themeShade="BF"/>
          <w:sz w:val="22"/>
          <w:szCs w:val="22"/>
          <w:lang w:val="en-GB"/>
        </w:rPr>
        <w:footnoteReference w:id="2"/>
      </w:r>
      <w:r w:rsidRPr="00C33F87">
        <w:rPr>
          <w:rFonts w:ascii="Arial" w:hAnsi="Arial" w:cs="Arial"/>
          <w:color w:val="7B7B7B" w:themeColor="accent3" w:themeShade="BF"/>
          <w:sz w:val="22"/>
          <w:szCs w:val="22"/>
          <w:lang w:val="en-GB"/>
        </w:rPr>
        <w:t xml:space="preserve">. </w:t>
      </w:r>
      <w:r w:rsidR="00B56DAD" w:rsidRPr="00C33F87">
        <w:rPr>
          <w:rFonts w:ascii="Arial" w:hAnsi="Arial" w:cs="Arial"/>
          <w:color w:val="7B7B7B" w:themeColor="accent3" w:themeShade="BF"/>
          <w:sz w:val="22"/>
          <w:szCs w:val="22"/>
          <w:lang w:val="en-GB"/>
        </w:rPr>
        <w:t xml:space="preserve">Under </w:t>
      </w:r>
      <w:r w:rsidR="00EA5235" w:rsidRPr="00C33F87">
        <w:rPr>
          <w:rFonts w:ascii="Arial" w:hAnsi="Arial" w:cs="Arial"/>
          <w:color w:val="7B7B7B" w:themeColor="accent3" w:themeShade="BF"/>
          <w:sz w:val="22"/>
          <w:szCs w:val="22"/>
          <w:lang w:val="en-GB"/>
        </w:rPr>
        <w:t>section 482(1)</w:t>
      </w:r>
      <w:r w:rsidR="00B56DAD" w:rsidRPr="00C33F87">
        <w:rPr>
          <w:rFonts w:ascii="Arial" w:hAnsi="Arial" w:cs="Arial"/>
          <w:color w:val="7B7B7B" w:themeColor="accent3" w:themeShade="BF"/>
          <w:sz w:val="22"/>
          <w:szCs w:val="22"/>
          <w:lang w:val="en-GB"/>
        </w:rPr>
        <w:t xml:space="preserve">, a </w:t>
      </w:r>
      <w:r w:rsidR="00EA5235" w:rsidRPr="00C33F87">
        <w:rPr>
          <w:rFonts w:ascii="Arial" w:hAnsi="Arial" w:cs="Arial"/>
          <w:color w:val="7B7B7B" w:themeColor="accent3" w:themeShade="BF"/>
          <w:sz w:val="22"/>
          <w:szCs w:val="22"/>
          <w:lang w:val="en-GB"/>
        </w:rPr>
        <w:t>“</w:t>
      </w:r>
      <w:r w:rsidR="00B56DAD" w:rsidRPr="00C33F87">
        <w:rPr>
          <w:rFonts w:ascii="Arial" w:hAnsi="Arial" w:cs="Arial"/>
          <w:i/>
          <w:iCs/>
          <w:color w:val="7B7B7B" w:themeColor="accent3" w:themeShade="BF"/>
          <w:sz w:val="22"/>
          <w:szCs w:val="22"/>
          <w:lang w:val="en-GB"/>
        </w:rPr>
        <w:t>person is eligible to act as an insolvency practitioner in relation to a company, a foreign</w:t>
      </w:r>
      <w:r w:rsidR="00EA5235" w:rsidRPr="00C33F87">
        <w:rPr>
          <w:rFonts w:ascii="Arial" w:hAnsi="Arial" w:cs="Arial"/>
          <w:i/>
          <w:iCs/>
          <w:color w:val="7B7B7B" w:themeColor="accent3" w:themeShade="BF"/>
          <w:sz w:val="22"/>
          <w:szCs w:val="22"/>
          <w:lang w:val="en-GB"/>
        </w:rPr>
        <w:t xml:space="preserve"> </w:t>
      </w:r>
      <w:r w:rsidR="00B56DAD" w:rsidRPr="00C33F87">
        <w:rPr>
          <w:rFonts w:ascii="Arial" w:hAnsi="Arial" w:cs="Arial"/>
          <w:i/>
          <w:iCs/>
          <w:color w:val="7B7B7B" w:themeColor="accent3" w:themeShade="BF"/>
          <w:sz w:val="22"/>
          <w:szCs w:val="22"/>
          <w:lang w:val="en-GB"/>
        </w:rPr>
        <w:t>company or an individual</w:t>
      </w:r>
      <w:r w:rsidR="00EA5235" w:rsidRPr="00C33F87">
        <w:rPr>
          <w:rFonts w:ascii="Arial" w:hAnsi="Arial" w:cs="Arial"/>
          <w:color w:val="7B7B7B" w:themeColor="accent3" w:themeShade="BF"/>
          <w:sz w:val="22"/>
          <w:szCs w:val="22"/>
          <w:lang w:val="en-GB"/>
        </w:rPr>
        <w:t>”</w:t>
      </w:r>
      <w:r w:rsidR="00B56DAD" w:rsidRPr="00C33F87">
        <w:rPr>
          <w:rFonts w:ascii="Arial" w:hAnsi="Arial" w:cs="Arial"/>
          <w:color w:val="7B7B7B" w:themeColor="accent3" w:themeShade="BF"/>
          <w:sz w:val="22"/>
          <w:szCs w:val="22"/>
          <w:lang w:val="en-GB"/>
        </w:rPr>
        <w:t xml:space="preserve"> if</w:t>
      </w:r>
      <w:r w:rsidR="00EA5235" w:rsidRPr="00C33F87">
        <w:rPr>
          <w:rFonts w:ascii="Arial" w:hAnsi="Arial" w:cs="Arial"/>
          <w:color w:val="7B7B7B" w:themeColor="accent3" w:themeShade="BF"/>
          <w:sz w:val="22"/>
          <w:szCs w:val="22"/>
          <w:lang w:val="en-GB"/>
        </w:rPr>
        <w:t xml:space="preserve"> the following conditions are met: they are a licenced insolvency practitioner</w:t>
      </w:r>
      <w:r w:rsidR="00EA5235" w:rsidRPr="00C33F87">
        <w:rPr>
          <w:rStyle w:val="FootnoteReference"/>
          <w:rFonts w:ascii="Arial" w:hAnsi="Arial" w:cs="Arial"/>
          <w:color w:val="7B7B7B" w:themeColor="accent3" w:themeShade="BF"/>
          <w:sz w:val="22"/>
          <w:szCs w:val="22"/>
          <w:lang w:val="en-GB"/>
        </w:rPr>
        <w:footnoteReference w:id="3"/>
      </w:r>
      <w:r w:rsidR="00EA5235" w:rsidRPr="00C33F87">
        <w:rPr>
          <w:rFonts w:ascii="Arial" w:hAnsi="Arial" w:cs="Arial"/>
          <w:color w:val="7B7B7B" w:themeColor="accent3" w:themeShade="BF"/>
          <w:sz w:val="22"/>
          <w:szCs w:val="22"/>
          <w:lang w:val="en-GB"/>
        </w:rPr>
        <w:t xml:space="preserve">, they have given their </w:t>
      </w:r>
      <w:r w:rsidR="00B56DAD" w:rsidRPr="00C33F87">
        <w:rPr>
          <w:rFonts w:ascii="Arial" w:hAnsi="Arial" w:cs="Arial"/>
          <w:color w:val="7B7B7B" w:themeColor="accent3" w:themeShade="BF"/>
          <w:sz w:val="22"/>
          <w:szCs w:val="22"/>
          <w:lang w:val="en-GB"/>
        </w:rPr>
        <w:t>written consent to act in the prescribed form</w:t>
      </w:r>
      <w:r w:rsidR="00EA5235" w:rsidRPr="00C33F87">
        <w:rPr>
          <w:rStyle w:val="FootnoteReference"/>
          <w:rFonts w:ascii="Arial" w:hAnsi="Arial" w:cs="Arial"/>
          <w:color w:val="7B7B7B" w:themeColor="accent3" w:themeShade="BF"/>
          <w:sz w:val="22"/>
          <w:szCs w:val="22"/>
          <w:lang w:val="en-GB"/>
        </w:rPr>
        <w:footnoteReference w:id="4"/>
      </w:r>
      <w:r w:rsidR="00EA5235" w:rsidRPr="00C33F87">
        <w:rPr>
          <w:rFonts w:ascii="Arial" w:hAnsi="Arial" w:cs="Arial"/>
          <w:color w:val="7B7B7B" w:themeColor="accent3" w:themeShade="BF"/>
          <w:sz w:val="22"/>
          <w:szCs w:val="22"/>
          <w:lang w:val="en-GB"/>
        </w:rPr>
        <w:t>, they are not disqualified from holding a licence</w:t>
      </w:r>
      <w:r w:rsidR="00EA5235" w:rsidRPr="00C33F87">
        <w:rPr>
          <w:rStyle w:val="FootnoteReference"/>
          <w:rFonts w:ascii="Arial" w:hAnsi="Arial" w:cs="Arial"/>
          <w:color w:val="7B7B7B" w:themeColor="accent3" w:themeShade="BF"/>
          <w:sz w:val="22"/>
          <w:szCs w:val="22"/>
          <w:lang w:val="en-GB"/>
        </w:rPr>
        <w:footnoteReference w:id="5"/>
      </w:r>
      <w:r w:rsidR="00EA5235" w:rsidRPr="00C33F87">
        <w:rPr>
          <w:rFonts w:ascii="Arial" w:hAnsi="Arial" w:cs="Arial"/>
          <w:color w:val="7B7B7B" w:themeColor="accent3" w:themeShade="BF"/>
          <w:sz w:val="22"/>
          <w:szCs w:val="22"/>
          <w:lang w:val="en-GB"/>
        </w:rPr>
        <w:t>, they are not disqualified from acting for the company or foreign company</w:t>
      </w:r>
      <w:r w:rsidR="00EA5235" w:rsidRPr="00C33F87">
        <w:rPr>
          <w:rStyle w:val="FootnoteReference"/>
          <w:rFonts w:ascii="Arial" w:hAnsi="Arial" w:cs="Arial"/>
          <w:color w:val="7B7B7B" w:themeColor="accent3" w:themeShade="BF"/>
          <w:sz w:val="22"/>
          <w:szCs w:val="22"/>
          <w:lang w:val="en-GB"/>
        </w:rPr>
        <w:footnoteReference w:id="6"/>
      </w:r>
      <w:r w:rsidR="00EA5235" w:rsidRPr="00C33F87">
        <w:rPr>
          <w:rFonts w:ascii="Arial" w:hAnsi="Arial" w:cs="Arial"/>
          <w:color w:val="7B7B7B" w:themeColor="accent3" w:themeShade="BF"/>
          <w:sz w:val="22"/>
          <w:szCs w:val="22"/>
          <w:lang w:val="en-GB"/>
        </w:rPr>
        <w:t xml:space="preserve"> or individual</w:t>
      </w:r>
      <w:r w:rsidR="00EA5235" w:rsidRPr="00C33F87">
        <w:rPr>
          <w:rStyle w:val="FootnoteReference"/>
          <w:rFonts w:ascii="Arial" w:hAnsi="Arial" w:cs="Arial"/>
          <w:color w:val="7B7B7B" w:themeColor="accent3" w:themeShade="BF"/>
          <w:sz w:val="22"/>
          <w:szCs w:val="22"/>
          <w:lang w:val="en-GB"/>
        </w:rPr>
        <w:footnoteReference w:id="7"/>
      </w:r>
      <w:r w:rsidR="00EA5235" w:rsidRPr="00C33F87">
        <w:rPr>
          <w:rFonts w:ascii="Arial" w:hAnsi="Arial" w:cs="Arial"/>
          <w:color w:val="7B7B7B" w:themeColor="accent3" w:themeShade="BF"/>
          <w:sz w:val="22"/>
          <w:szCs w:val="22"/>
          <w:lang w:val="en-GB"/>
        </w:rPr>
        <w:t xml:space="preserve"> and there is in force such </w:t>
      </w:r>
      <w:r w:rsidR="00B56DAD" w:rsidRPr="00C33F87">
        <w:rPr>
          <w:rFonts w:ascii="Arial" w:hAnsi="Arial" w:cs="Arial"/>
          <w:color w:val="7B7B7B" w:themeColor="accent3" w:themeShade="BF"/>
          <w:sz w:val="22"/>
          <w:szCs w:val="22"/>
          <w:lang w:val="en-GB"/>
        </w:rPr>
        <w:t xml:space="preserve">security for the proper performance of </w:t>
      </w:r>
      <w:r w:rsidR="00C33F87" w:rsidRPr="00C33F87">
        <w:rPr>
          <w:rFonts w:ascii="Arial" w:hAnsi="Arial" w:cs="Arial"/>
          <w:color w:val="7B7B7B" w:themeColor="accent3" w:themeShade="BF"/>
          <w:sz w:val="22"/>
          <w:szCs w:val="22"/>
          <w:lang w:val="en-GB"/>
        </w:rPr>
        <w:t>their</w:t>
      </w:r>
      <w:r w:rsidR="00B56DAD" w:rsidRPr="00C33F87">
        <w:rPr>
          <w:rFonts w:ascii="Arial" w:hAnsi="Arial" w:cs="Arial"/>
          <w:color w:val="7B7B7B" w:themeColor="accent3" w:themeShade="BF"/>
          <w:sz w:val="22"/>
          <w:szCs w:val="22"/>
          <w:lang w:val="en-GB"/>
        </w:rPr>
        <w:t xml:space="preserve"> functions</w:t>
      </w:r>
      <w:r w:rsidR="00EA5235" w:rsidRPr="00C33F87">
        <w:rPr>
          <w:rStyle w:val="FootnoteReference"/>
          <w:rFonts w:ascii="Arial" w:hAnsi="Arial" w:cs="Arial"/>
          <w:color w:val="7B7B7B" w:themeColor="accent3" w:themeShade="BF"/>
          <w:sz w:val="22"/>
          <w:szCs w:val="22"/>
          <w:lang w:val="en-GB"/>
        </w:rPr>
        <w:footnoteReference w:id="8"/>
      </w:r>
      <w:r w:rsidR="009A6FA2" w:rsidRPr="00C33F87">
        <w:rPr>
          <w:rFonts w:ascii="Arial" w:hAnsi="Arial" w:cs="Arial"/>
          <w:color w:val="7B7B7B" w:themeColor="accent3" w:themeShade="BF"/>
          <w:sz w:val="22"/>
          <w:szCs w:val="22"/>
          <w:lang w:val="en-GB"/>
        </w:rPr>
        <w:t>.</w:t>
      </w:r>
    </w:p>
    <w:p w14:paraId="63DF208A" w14:textId="77777777" w:rsidR="00D52412" w:rsidRDefault="00D52412" w:rsidP="008065CE">
      <w:pPr>
        <w:jc w:val="both"/>
        <w:rPr>
          <w:rFonts w:ascii="Avenir Next" w:hAnsi="Avenir Next" w:cs="Arial"/>
          <w:color w:val="7B7B7B" w:themeColor="accent3" w:themeShade="BF"/>
          <w:sz w:val="22"/>
          <w:szCs w:val="22"/>
          <w:lang w:val="en-GB"/>
        </w:rPr>
      </w:pPr>
    </w:p>
    <w:p w14:paraId="140CAFE6" w14:textId="77777777" w:rsidR="00B01CA5" w:rsidRPr="005965BF" w:rsidRDefault="00B01CA5"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43B1C07" w14:textId="39444E73" w:rsidR="00B4331C" w:rsidRPr="00B4331C" w:rsidRDefault="00B4331C" w:rsidP="00B4331C">
      <w:pPr>
        <w:jc w:val="both"/>
        <w:rPr>
          <w:rFonts w:ascii="Avenir Next" w:hAnsi="Avenir Next" w:cs="Arial"/>
          <w:sz w:val="22"/>
          <w:szCs w:val="22"/>
          <w:lang w:val="en-GB"/>
        </w:rPr>
      </w:pPr>
      <w:r w:rsidRPr="00B4331C">
        <w:rPr>
          <w:rFonts w:ascii="Avenir Next" w:hAnsi="Avenir Next" w:cs="Arial"/>
          <w:sz w:val="22"/>
          <w:szCs w:val="22"/>
          <w:lang w:val="en-GB"/>
        </w:rPr>
        <w:t>In what circumstances can a statutory demand be issued under the Insolvency Act</w:t>
      </w:r>
      <w:r w:rsidR="00A411E9">
        <w:rPr>
          <w:rFonts w:ascii="Avenir Next" w:hAnsi="Avenir Next" w:cs="Arial"/>
          <w:sz w:val="22"/>
          <w:szCs w:val="22"/>
          <w:lang w:val="en-GB"/>
        </w:rPr>
        <w:t xml:space="preserve"> 2003</w:t>
      </w:r>
      <w:r>
        <w:rPr>
          <w:rFonts w:ascii="Avenir Next" w:hAnsi="Avenir Next" w:cs="Arial"/>
          <w:sz w:val="22"/>
          <w:szCs w:val="22"/>
          <w:lang w:val="en-GB"/>
        </w:rPr>
        <w:t>,</w:t>
      </w:r>
      <w:r w:rsidRPr="00B4331C">
        <w:rPr>
          <w:rFonts w:ascii="Avenir Next" w:hAnsi="Avenir Next" w:cs="Arial"/>
          <w:sz w:val="22"/>
          <w:szCs w:val="22"/>
          <w:lang w:val="en-GB"/>
        </w:rPr>
        <w:t xml:space="preserve"> and by whom?</w:t>
      </w:r>
    </w:p>
    <w:p w14:paraId="1FDFD986" w14:textId="77777777" w:rsidR="00967B37" w:rsidRDefault="00967B37" w:rsidP="00A411E9">
      <w:pPr>
        <w:jc w:val="both"/>
        <w:rPr>
          <w:rFonts w:ascii="Avenir Next" w:hAnsi="Avenir Next" w:cs="Arial"/>
          <w:color w:val="7B7B7B" w:themeColor="accent3" w:themeShade="BF"/>
          <w:sz w:val="22"/>
          <w:szCs w:val="22"/>
          <w:lang w:val="en-GB"/>
        </w:rPr>
      </w:pPr>
    </w:p>
    <w:p w14:paraId="21B4DD9A" w14:textId="51BCA983" w:rsidR="009E17E9" w:rsidRDefault="00D05414" w:rsidP="00A411E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Part V (section 149 to section 157) of t</w:t>
      </w:r>
      <w:r w:rsidRPr="008B0EF9">
        <w:rPr>
          <w:rFonts w:ascii="Arial" w:hAnsi="Arial" w:cs="Arial"/>
          <w:color w:val="7B7B7B" w:themeColor="accent3" w:themeShade="BF"/>
          <w:sz w:val="22"/>
          <w:szCs w:val="22"/>
          <w:lang w:val="en-GB"/>
        </w:rPr>
        <w:t>he Insolvency Act 2003 (“</w:t>
      </w:r>
      <w:r w:rsidR="002173E8">
        <w:rPr>
          <w:rFonts w:ascii="Arial" w:hAnsi="Arial" w:cs="Arial"/>
          <w:b/>
          <w:bCs/>
          <w:color w:val="7B7B7B" w:themeColor="accent3" w:themeShade="BF"/>
          <w:sz w:val="22"/>
          <w:szCs w:val="22"/>
          <w:lang w:val="en-GB"/>
        </w:rPr>
        <w:t>Insolvency</w:t>
      </w:r>
      <w:r w:rsidRPr="008B0EF9">
        <w:rPr>
          <w:rFonts w:ascii="Arial" w:hAnsi="Arial" w:cs="Arial"/>
          <w:b/>
          <w:bCs/>
          <w:color w:val="7B7B7B" w:themeColor="accent3" w:themeShade="BF"/>
          <w:sz w:val="22"/>
          <w:szCs w:val="22"/>
          <w:lang w:val="en-GB"/>
        </w:rPr>
        <w:t xml:space="preserve"> Act</w:t>
      </w:r>
      <w:r w:rsidRPr="008B0EF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9D4E2C">
        <w:rPr>
          <w:rFonts w:ascii="Arial" w:hAnsi="Arial" w:cs="Arial"/>
          <w:color w:val="7B7B7B" w:themeColor="accent3" w:themeShade="BF"/>
          <w:sz w:val="22"/>
          <w:szCs w:val="22"/>
          <w:lang w:val="en-GB"/>
        </w:rPr>
        <w:t>contains provisions which</w:t>
      </w:r>
      <w:r>
        <w:rPr>
          <w:rFonts w:ascii="Arial" w:hAnsi="Arial" w:cs="Arial"/>
          <w:color w:val="7B7B7B" w:themeColor="accent3" w:themeShade="BF"/>
          <w:sz w:val="22"/>
          <w:szCs w:val="22"/>
          <w:lang w:val="en-GB"/>
        </w:rPr>
        <w:t xml:space="preserve"> </w:t>
      </w:r>
      <w:r w:rsidR="009D4E2C">
        <w:rPr>
          <w:rFonts w:ascii="Arial" w:hAnsi="Arial" w:cs="Arial"/>
          <w:color w:val="7B7B7B" w:themeColor="accent3" w:themeShade="BF"/>
          <w:sz w:val="22"/>
          <w:szCs w:val="22"/>
          <w:lang w:val="en-GB"/>
        </w:rPr>
        <w:t xml:space="preserve">are </w:t>
      </w:r>
      <w:r>
        <w:rPr>
          <w:rFonts w:ascii="Arial" w:hAnsi="Arial" w:cs="Arial"/>
          <w:color w:val="7B7B7B" w:themeColor="accent3" w:themeShade="BF"/>
          <w:sz w:val="22"/>
          <w:szCs w:val="22"/>
          <w:lang w:val="en-GB"/>
        </w:rPr>
        <w:t>equally applicable to an insolvent company and a bankrupt, including statutory demands.</w:t>
      </w:r>
      <w:r>
        <w:rPr>
          <w:rStyle w:val="FootnoteReference"/>
          <w:rFonts w:ascii="Arial" w:hAnsi="Arial" w:cs="Arial"/>
          <w:color w:val="7B7B7B" w:themeColor="accent3" w:themeShade="BF"/>
          <w:sz w:val="22"/>
          <w:szCs w:val="22"/>
          <w:lang w:val="en-GB"/>
        </w:rPr>
        <w:footnoteReference w:id="9"/>
      </w:r>
      <w:r>
        <w:rPr>
          <w:rFonts w:ascii="Arial" w:hAnsi="Arial" w:cs="Arial"/>
          <w:color w:val="7B7B7B" w:themeColor="accent3" w:themeShade="BF"/>
          <w:sz w:val="22"/>
          <w:szCs w:val="22"/>
          <w:lang w:val="en-GB"/>
        </w:rPr>
        <w:t xml:space="preserve"> </w:t>
      </w:r>
      <w:r w:rsidR="00A77733" w:rsidRPr="008B0EF9">
        <w:rPr>
          <w:rFonts w:ascii="Arial" w:hAnsi="Arial" w:cs="Arial"/>
          <w:color w:val="7B7B7B" w:themeColor="accent3" w:themeShade="BF"/>
          <w:sz w:val="22"/>
          <w:szCs w:val="22"/>
          <w:lang w:val="en-GB"/>
        </w:rPr>
        <w:t xml:space="preserve">A statutory demand is a written demand </w:t>
      </w:r>
      <w:r w:rsidR="00967B37" w:rsidRPr="008B0EF9">
        <w:rPr>
          <w:rFonts w:ascii="Arial" w:hAnsi="Arial" w:cs="Arial"/>
          <w:color w:val="7B7B7B" w:themeColor="accent3" w:themeShade="BF"/>
          <w:sz w:val="22"/>
          <w:szCs w:val="22"/>
          <w:lang w:val="en-GB"/>
        </w:rPr>
        <w:t xml:space="preserve">to a debtor </w:t>
      </w:r>
      <w:r w:rsidR="00A77733" w:rsidRPr="008B0EF9">
        <w:rPr>
          <w:rFonts w:ascii="Arial" w:hAnsi="Arial" w:cs="Arial"/>
          <w:color w:val="7B7B7B" w:themeColor="accent3" w:themeShade="BF"/>
          <w:sz w:val="22"/>
          <w:szCs w:val="22"/>
          <w:lang w:val="en-GB"/>
        </w:rPr>
        <w:t xml:space="preserve">for payment </w:t>
      </w:r>
      <w:r w:rsidR="00967B37" w:rsidRPr="008B0EF9">
        <w:rPr>
          <w:rFonts w:ascii="Arial" w:hAnsi="Arial" w:cs="Arial"/>
          <w:color w:val="7B7B7B" w:themeColor="accent3" w:themeShade="BF"/>
          <w:sz w:val="22"/>
          <w:szCs w:val="22"/>
          <w:lang w:val="en-GB"/>
        </w:rPr>
        <w:t>of</w:t>
      </w:r>
      <w:r w:rsidR="00A77733" w:rsidRPr="008B0EF9">
        <w:rPr>
          <w:rFonts w:ascii="Arial" w:hAnsi="Arial" w:cs="Arial"/>
          <w:color w:val="7B7B7B" w:themeColor="accent3" w:themeShade="BF"/>
          <w:sz w:val="22"/>
          <w:szCs w:val="22"/>
          <w:lang w:val="en-GB"/>
        </w:rPr>
        <w:t xml:space="preserve"> a debt </w:t>
      </w:r>
      <w:r w:rsidR="00967B37" w:rsidRPr="008B0EF9">
        <w:rPr>
          <w:rFonts w:ascii="Arial" w:hAnsi="Arial" w:cs="Arial"/>
          <w:color w:val="7B7B7B" w:themeColor="accent3" w:themeShade="BF"/>
          <w:sz w:val="22"/>
          <w:szCs w:val="22"/>
          <w:lang w:val="en-GB"/>
        </w:rPr>
        <w:t xml:space="preserve">which </w:t>
      </w:r>
      <w:r w:rsidR="00A77733" w:rsidRPr="008B0EF9">
        <w:rPr>
          <w:rFonts w:ascii="Arial" w:hAnsi="Arial" w:cs="Arial"/>
          <w:color w:val="7B7B7B" w:themeColor="accent3" w:themeShade="BF"/>
          <w:sz w:val="22"/>
          <w:szCs w:val="22"/>
          <w:lang w:val="en-GB"/>
        </w:rPr>
        <w:t>is due and payable.</w:t>
      </w:r>
      <w:r w:rsidR="00967B37" w:rsidRPr="008B0EF9">
        <w:rPr>
          <w:rStyle w:val="FootnoteReference"/>
          <w:rFonts w:ascii="Arial" w:hAnsi="Arial" w:cs="Arial"/>
          <w:color w:val="7B7B7B" w:themeColor="accent3" w:themeShade="BF"/>
          <w:sz w:val="22"/>
          <w:szCs w:val="22"/>
          <w:lang w:val="en-GB"/>
        </w:rPr>
        <w:footnoteReference w:id="10"/>
      </w:r>
      <w:r w:rsidR="00967B37" w:rsidRPr="008B0EF9">
        <w:rPr>
          <w:rFonts w:ascii="Arial" w:hAnsi="Arial" w:cs="Arial"/>
          <w:color w:val="7B7B7B" w:themeColor="accent3" w:themeShade="BF"/>
          <w:sz w:val="22"/>
          <w:szCs w:val="22"/>
          <w:lang w:val="en-GB"/>
        </w:rPr>
        <w:t xml:space="preserve"> </w:t>
      </w:r>
      <w:r w:rsidR="00466A6C" w:rsidRPr="008B0EF9">
        <w:rPr>
          <w:rFonts w:ascii="Arial" w:hAnsi="Arial" w:cs="Arial"/>
          <w:color w:val="7B7B7B" w:themeColor="accent3" w:themeShade="BF"/>
          <w:sz w:val="22"/>
          <w:szCs w:val="22"/>
          <w:lang w:val="en-GB"/>
        </w:rPr>
        <w:t xml:space="preserve">Section 155(2)(a) of the </w:t>
      </w:r>
      <w:r w:rsidR="00E70CC5">
        <w:rPr>
          <w:rFonts w:ascii="Arial" w:hAnsi="Arial" w:cs="Arial"/>
          <w:color w:val="7B7B7B" w:themeColor="accent3" w:themeShade="BF"/>
          <w:sz w:val="22"/>
          <w:szCs w:val="22"/>
          <w:lang w:val="en-GB"/>
        </w:rPr>
        <w:t xml:space="preserve">Insolvency Act </w:t>
      </w:r>
      <w:r w:rsidR="00466A6C" w:rsidRPr="008B0EF9">
        <w:rPr>
          <w:rFonts w:ascii="Arial" w:hAnsi="Arial" w:cs="Arial"/>
          <w:color w:val="7B7B7B" w:themeColor="accent3" w:themeShade="BF"/>
          <w:sz w:val="22"/>
          <w:szCs w:val="22"/>
          <w:lang w:val="en-GB"/>
        </w:rPr>
        <w:t>states that a statutory demand shall be issued</w:t>
      </w:r>
      <w:r w:rsidR="00967B37" w:rsidRPr="008B0EF9">
        <w:rPr>
          <w:rFonts w:ascii="Arial" w:hAnsi="Arial" w:cs="Arial"/>
          <w:color w:val="7B7B7B" w:themeColor="accent3" w:themeShade="BF"/>
          <w:sz w:val="22"/>
          <w:szCs w:val="22"/>
          <w:lang w:val="en-GB"/>
        </w:rPr>
        <w:t xml:space="preserve"> </w:t>
      </w:r>
      <w:r w:rsidR="00466A6C" w:rsidRPr="008B0EF9">
        <w:rPr>
          <w:rFonts w:ascii="Arial" w:hAnsi="Arial" w:cs="Arial"/>
          <w:color w:val="7B7B7B" w:themeColor="accent3" w:themeShade="BF"/>
          <w:sz w:val="22"/>
          <w:szCs w:val="22"/>
          <w:lang w:val="en-GB"/>
        </w:rPr>
        <w:t>“</w:t>
      </w:r>
      <w:r w:rsidR="00466A6C" w:rsidRPr="008B0EF9">
        <w:rPr>
          <w:rFonts w:ascii="Arial" w:hAnsi="Arial" w:cs="Arial"/>
          <w:i/>
          <w:iCs/>
          <w:color w:val="7B7B7B" w:themeColor="accent3" w:themeShade="BF"/>
          <w:sz w:val="22"/>
          <w:szCs w:val="22"/>
          <w:lang w:val="en-GB"/>
        </w:rPr>
        <w:t xml:space="preserve">in respect of a debt that is due and payable at the time of the demand and that is not less than the </w:t>
      </w:r>
      <w:r w:rsidR="00466A6C" w:rsidRPr="008B0EF9">
        <w:rPr>
          <w:rFonts w:ascii="Arial" w:hAnsi="Arial" w:cs="Arial"/>
          <w:i/>
          <w:iCs/>
          <w:color w:val="7B7B7B" w:themeColor="accent3" w:themeShade="BF"/>
          <w:sz w:val="22"/>
          <w:szCs w:val="22"/>
          <w:u w:val="single"/>
          <w:lang w:val="en-GB"/>
        </w:rPr>
        <w:t>prescribed minimum</w:t>
      </w:r>
      <w:r w:rsidR="00466A6C" w:rsidRPr="008B0EF9">
        <w:rPr>
          <w:rFonts w:ascii="Arial" w:hAnsi="Arial" w:cs="Arial"/>
          <w:color w:val="7B7B7B" w:themeColor="accent3" w:themeShade="BF"/>
          <w:sz w:val="22"/>
          <w:szCs w:val="22"/>
          <w:lang w:val="en-GB"/>
        </w:rPr>
        <w:t xml:space="preserve"> [emphasis added]”.</w:t>
      </w:r>
      <w:r w:rsidR="00466A6C" w:rsidRPr="008B0EF9">
        <w:rPr>
          <w:rStyle w:val="FootnoteReference"/>
          <w:rFonts w:ascii="Arial" w:hAnsi="Arial" w:cs="Arial"/>
          <w:color w:val="7B7B7B" w:themeColor="accent3" w:themeShade="BF"/>
          <w:sz w:val="22"/>
          <w:szCs w:val="22"/>
          <w:lang w:val="en-GB"/>
        </w:rPr>
        <w:footnoteReference w:id="11"/>
      </w:r>
      <w:r w:rsidR="008B0EF9">
        <w:rPr>
          <w:rFonts w:ascii="Arial" w:hAnsi="Arial" w:cs="Arial"/>
          <w:color w:val="7B7B7B" w:themeColor="accent3" w:themeShade="BF"/>
          <w:sz w:val="22"/>
          <w:szCs w:val="22"/>
          <w:lang w:val="en-GB"/>
        </w:rPr>
        <w:t xml:space="preserve"> </w:t>
      </w:r>
      <w:r w:rsidR="009E17E9" w:rsidRPr="00193051">
        <w:rPr>
          <w:rFonts w:ascii="Arial" w:hAnsi="Arial" w:cs="Arial"/>
          <w:color w:val="7B7B7B" w:themeColor="accent3" w:themeShade="BF"/>
          <w:sz w:val="22"/>
          <w:szCs w:val="22"/>
          <w:lang w:val="en-GB"/>
        </w:rPr>
        <w:t>Rule 149(1) of the Insolvency Rules 2005 states that $2,000.00 is the minimum sum for which a statutory demand may be issued.</w:t>
      </w:r>
      <w:r w:rsidR="009E17E9">
        <w:rPr>
          <w:rStyle w:val="FootnoteReference"/>
          <w:rFonts w:ascii="Arial" w:hAnsi="Arial" w:cs="Arial"/>
          <w:color w:val="7B7B7B" w:themeColor="accent3" w:themeShade="BF"/>
          <w:sz w:val="22"/>
          <w:szCs w:val="22"/>
          <w:lang w:val="en-GB"/>
        </w:rPr>
        <w:footnoteReference w:id="12"/>
      </w:r>
    </w:p>
    <w:p w14:paraId="5DDF6423" w14:textId="77777777" w:rsidR="002173E8" w:rsidRDefault="002173E8" w:rsidP="00A411E9">
      <w:pPr>
        <w:jc w:val="both"/>
        <w:rPr>
          <w:rFonts w:ascii="Arial" w:hAnsi="Arial" w:cs="Arial"/>
          <w:color w:val="7B7B7B" w:themeColor="accent3" w:themeShade="BF"/>
          <w:sz w:val="22"/>
          <w:szCs w:val="22"/>
          <w:lang w:val="en-GB"/>
        </w:rPr>
      </w:pPr>
    </w:p>
    <w:p w14:paraId="7A037BA9" w14:textId="713FF46A" w:rsidR="00A77733" w:rsidRPr="00193051" w:rsidRDefault="00600EFE" w:rsidP="00A411E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statutory demand</w:t>
      </w:r>
      <w:r w:rsidR="008B0EF9">
        <w:rPr>
          <w:rFonts w:ascii="Arial" w:hAnsi="Arial" w:cs="Arial"/>
          <w:color w:val="7B7B7B" w:themeColor="accent3" w:themeShade="BF"/>
          <w:sz w:val="22"/>
          <w:szCs w:val="22"/>
          <w:lang w:val="en-GB"/>
        </w:rPr>
        <w:t xml:space="preserve"> shall also, </w:t>
      </w:r>
      <w:r w:rsidR="008B0EF9">
        <w:rPr>
          <w:rFonts w:ascii="Arial" w:hAnsi="Arial" w:cs="Arial"/>
          <w:i/>
          <w:iCs/>
          <w:color w:val="7B7B7B" w:themeColor="accent3" w:themeShade="BF"/>
          <w:sz w:val="22"/>
          <w:szCs w:val="22"/>
          <w:lang w:val="en-GB"/>
        </w:rPr>
        <w:t>inter alia</w:t>
      </w:r>
      <w:r w:rsidR="008B0EF9">
        <w:rPr>
          <w:rFonts w:ascii="Arial" w:hAnsi="Arial" w:cs="Arial"/>
          <w:color w:val="7B7B7B" w:themeColor="accent3" w:themeShade="BF"/>
          <w:sz w:val="22"/>
          <w:szCs w:val="22"/>
          <w:lang w:val="en-GB"/>
        </w:rPr>
        <w:t>, be in writing and specify the nature of the debt</w:t>
      </w:r>
      <w:r w:rsidR="008B0EF9">
        <w:rPr>
          <w:rStyle w:val="FootnoteReference"/>
          <w:rFonts w:ascii="Arial" w:hAnsi="Arial" w:cs="Arial"/>
          <w:color w:val="7B7B7B" w:themeColor="accent3" w:themeShade="BF"/>
          <w:sz w:val="22"/>
          <w:szCs w:val="22"/>
          <w:lang w:val="en-GB"/>
        </w:rPr>
        <w:footnoteReference w:id="13"/>
      </w:r>
      <w:r w:rsidR="008B0EF9">
        <w:rPr>
          <w:rFonts w:ascii="Arial" w:hAnsi="Arial" w:cs="Arial"/>
          <w:color w:val="7B7B7B" w:themeColor="accent3" w:themeShade="BF"/>
          <w:sz w:val="22"/>
          <w:szCs w:val="22"/>
          <w:lang w:val="en-GB"/>
        </w:rPr>
        <w:t xml:space="preserve"> and set out the </w:t>
      </w:r>
      <w:r w:rsidR="00133E42">
        <w:rPr>
          <w:rFonts w:ascii="Arial" w:hAnsi="Arial" w:cs="Arial"/>
          <w:color w:val="7B7B7B" w:themeColor="accent3" w:themeShade="BF"/>
          <w:sz w:val="22"/>
          <w:szCs w:val="22"/>
          <w:lang w:val="en-GB"/>
        </w:rPr>
        <w:t xml:space="preserve">debtor’s </w:t>
      </w:r>
      <w:r w:rsidR="008B0EF9">
        <w:rPr>
          <w:rFonts w:ascii="Arial" w:hAnsi="Arial" w:cs="Arial"/>
          <w:color w:val="7B7B7B" w:themeColor="accent3" w:themeShade="BF"/>
          <w:sz w:val="22"/>
          <w:szCs w:val="22"/>
          <w:lang w:val="en-GB"/>
        </w:rPr>
        <w:t>right to</w:t>
      </w:r>
      <w:r w:rsidR="00133E42">
        <w:rPr>
          <w:rFonts w:ascii="Arial" w:hAnsi="Arial" w:cs="Arial"/>
          <w:color w:val="7B7B7B" w:themeColor="accent3" w:themeShade="BF"/>
          <w:sz w:val="22"/>
          <w:szCs w:val="22"/>
          <w:lang w:val="en-GB"/>
        </w:rPr>
        <w:t xml:space="preserve"> apply</w:t>
      </w:r>
      <w:r w:rsidR="008B0EF9">
        <w:rPr>
          <w:rFonts w:ascii="Arial" w:hAnsi="Arial" w:cs="Arial"/>
          <w:color w:val="7B7B7B" w:themeColor="accent3" w:themeShade="BF"/>
          <w:sz w:val="22"/>
          <w:szCs w:val="22"/>
          <w:lang w:val="en-GB"/>
        </w:rPr>
        <w:t xml:space="preserve"> to set the statutory demand aside under section 156.</w:t>
      </w:r>
      <w:r w:rsidR="008B0EF9">
        <w:rPr>
          <w:rStyle w:val="FootnoteReference"/>
          <w:rFonts w:ascii="Arial" w:hAnsi="Arial" w:cs="Arial"/>
          <w:color w:val="7B7B7B" w:themeColor="accent3" w:themeShade="BF"/>
          <w:sz w:val="22"/>
          <w:szCs w:val="22"/>
          <w:lang w:val="en-GB"/>
        </w:rPr>
        <w:footnoteReference w:id="14"/>
      </w:r>
    </w:p>
    <w:p w14:paraId="041E503B" w14:textId="77777777" w:rsidR="00A77733" w:rsidRPr="008B0EF9" w:rsidRDefault="00A77733" w:rsidP="00A411E9">
      <w:pPr>
        <w:jc w:val="both"/>
        <w:rPr>
          <w:rFonts w:ascii="Arial" w:hAnsi="Arial" w:cs="Arial"/>
          <w:color w:val="7B7B7B" w:themeColor="accent3" w:themeShade="BF"/>
          <w:sz w:val="22"/>
          <w:szCs w:val="22"/>
          <w:lang w:val="en-GB"/>
        </w:rPr>
      </w:pPr>
    </w:p>
    <w:p w14:paraId="0ED72156" w14:textId="54360B51" w:rsidR="00010D4B" w:rsidRPr="009D4E2C" w:rsidRDefault="009D4E2C" w:rsidP="00A411E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010D4B" w:rsidRPr="008B0EF9">
        <w:rPr>
          <w:rFonts w:ascii="Arial" w:hAnsi="Arial" w:cs="Arial"/>
          <w:color w:val="7B7B7B" w:themeColor="accent3" w:themeShade="BF"/>
          <w:sz w:val="22"/>
          <w:szCs w:val="22"/>
          <w:lang w:val="en-GB"/>
        </w:rPr>
        <w:t xml:space="preserve">ection 155(1) </w:t>
      </w:r>
      <w:r>
        <w:rPr>
          <w:rFonts w:ascii="Arial" w:hAnsi="Arial" w:cs="Arial"/>
          <w:color w:val="7B7B7B" w:themeColor="accent3" w:themeShade="BF"/>
          <w:sz w:val="22"/>
          <w:szCs w:val="22"/>
          <w:lang w:val="en-GB"/>
        </w:rPr>
        <w:t>states that</w:t>
      </w:r>
      <w:r w:rsidR="00010D4B" w:rsidRPr="008B0EF9">
        <w:rPr>
          <w:rFonts w:ascii="Arial" w:hAnsi="Arial" w:cs="Arial"/>
          <w:color w:val="7B7B7B" w:themeColor="accent3" w:themeShade="BF"/>
          <w:sz w:val="22"/>
          <w:szCs w:val="22"/>
          <w:lang w:val="en-GB"/>
        </w:rPr>
        <w:t xml:space="preserve"> a creditor may </w:t>
      </w:r>
      <w:r>
        <w:rPr>
          <w:rFonts w:ascii="Arial" w:hAnsi="Arial" w:cs="Arial"/>
          <w:color w:val="7B7B7B" w:themeColor="accent3" w:themeShade="BF"/>
          <w:sz w:val="22"/>
          <w:szCs w:val="22"/>
          <w:lang w:val="en-GB"/>
        </w:rPr>
        <w:t>issue</w:t>
      </w:r>
      <w:r w:rsidR="00010D4B" w:rsidRPr="008B0EF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 </w:t>
      </w:r>
      <w:r w:rsidR="00010D4B" w:rsidRPr="008B0EF9">
        <w:rPr>
          <w:rFonts w:ascii="Arial" w:hAnsi="Arial" w:cs="Arial"/>
          <w:color w:val="7B7B7B" w:themeColor="accent3" w:themeShade="BF"/>
          <w:sz w:val="22"/>
          <w:szCs w:val="22"/>
          <w:lang w:val="en-GB"/>
        </w:rPr>
        <w:t>statutory demand “</w:t>
      </w:r>
      <w:r w:rsidR="00010D4B" w:rsidRPr="008B0EF9">
        <w:rPr>
          <w:rFonts w:ascii="Arial" w:hAnsi="Arial" w:cs="Arial"/>
          <w:i/>
          <w:iCs/>
          <w:color w:val="7B7B7B" w:themeColor="accent3" w:themeShade="BF"/>
          <w:sz w:val="22"/>
          <w:szCs w:val="22"/>
          <w:lang w:val="en-GB"/>
        </w:rPr>
        <w:t>on a person for payment of a debt owed by that person to him</w:t>
      </w:r>
      <w:r w:rsidR="00010D4B" w:rsidRPr="008B0EF9">
        <w:rPr>
          <w:rFonts w:ascii="Arial" w:hAnsi="Arial" w:cs="Arial"/>
          <w:color w:val="7B7B7B" w:themeColor="accent3" w:themeShade="BF"/>
          <w:sz w:val="22"/>
          <w:szCs w:val="22"/>
          <w:lang w:val="en-GB"/>
        </w:rPr>
        <w:t>.”</w:t>
      </w:r>
      <w:r w:rsidR="00010D4B" w:rsidRPr="008B0EF9">
        <w:rPr>
          <w:rStyle w:val="FootnoteReference"/>
          <w:rFonts w:ascii="Arial" w:hAnsi="Arial" w:cs="Arial"/>
          <w:color w:val="7B7B7B" w:themeColor="accent3" w:themeShade="BF"/>
          <w:sz w:val="22"/>
          <w:szCs w:val="22"/>
          <w:lang w:val="en-GB"/>
        </w:rPr>
        <w:footnoteReference w:id="15"/>
      </w:r>
    </w:p>
    <w:p w14:paraId="29BA0495" w14:textId="39179F1F" w:rsidR="00C72848" w:rsidRPr="00A339C4" w:rsidRDefault="00C72848" w:rsidP="007C29A4">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73904EF1" w14:textId="7E1649FF" w:rsidR="00937670" w:rsidRPr="00726CC2" w:rsidRDefault="00937670" w:rsidP="00726CC2">
      <w:pPr>
        <w:jc w:val="both"/>
        <w:rPr>
          <w:rFonts w:ascii="Avenir Next" w:hAnsi="Avenir Next" w:cs="Arial"/>
          <w:sz w:val="22"/>
          <w:szCs w:val="22"/>
          <w:lang w:val="en-GB"/>
        </w:rPr>
      </w:pPr>
      <w:r w:rsidRPr="00726CC2">
        <w:rPr>
          <w:rFonts w:ascii="Avenir Next" w:hAnsi="Avenir Next" w:cs="Arial"/>
          <w:sz w:val="22"/>
          <w:szCs w:val="22"/>
          <w:lang w:val="en-GB"/>
        </w:rPr>
        <w:t xml:space="preserve">Under the BVI Business Companies </w:t>
      </w:r>
      <w:r w:rsidR="00660FCD" w:rsidRPr="00726CC2">
        <w:rPr>
          <w:rFonts w:ascii="Avenir Next" w:hAnsi="Avenir Next" w:cs="Arial"/>
          <w:sz w:val="22"/>
          <w:szCs w:val="22"/>
          <w:lang w:val="en-GB"/>
        </w:rPr>
        <w:t xml:space="preserve">Act </w:t>
      </w:r>
      <w:r w:rsidRPr="00726CC2">
        <w:rPr>
          <w:rFonts w:ascii="Avenir Next" w:hAnsi="Avenir Next" w:cs="Arial"/>
          <w:sz w:val="22"/>
          <w:szCs w:val="22"/>
          <w:lang w:val="en-GB"/>
        </w:rPr>
        <w:t>2004</w:t>
      </w:r>
      <w:r w:rsidR="00726CC2" w:rsidRPr="00726CC2">
        <w:rPr>
          <w:rFonts w:ascii="Avenir Next" w:hAnsi="Avenir Next" w:cs="Arial"/>
          <w:sz w:val="22"/>
          <w:szCs w:val="22"/>
          <w:lang w:val="en-GB"/>
        </w:rPr>
        <w:t xml:space="preserve">, </w:t>
      </w:r>
      <w:r w:rsidRPr="00726CC2">
        <w:rPr>
          <w:rFonts w:ascii="Avenir Next" w:hAnsi="Avenir Next" w:cs="Arial"/>
          <w:sz w:val="22"/>
          <w:szCs w:val="22"/>
          <w:lang w:val="en-GB"/>
        </w:rPr>
        <w:t>when is a company required to have a registered agent and when is one not required?</w:t>
      </w:r>
    </w:p>
    <w:p w14:paraId="3FFE2E7E" w14:textId="75430499" w:rsidR="00967B37" w:rsidRDefault="00967B37" w:rsidP="00B57222">
      <w:pPr>
        <w:jc w:val="both"/>
        <w:rPr>
          <w:rFonts w:ascii="Avenir Next" w:hAnsi="Avenir Next" w:cs="Arial"/>
          <w:color w:val="7B7B7B" w:themeColor="accent3" w:themeShade="BF"/>
          <w:sz w:val="22"/>
          <w:szCs w:val="22"/>
          <w:lang w:val="en-GB"/>
        </w:rPr>
      </w:pPr>
    </w:p>
    <w:p w14:paraId="6DDD6426" w14:textId="362DC4B0" w:rsidR="00D21C98" w:rsidRDefault="00967B37" w:rsidP="000A7D47">
      <w:pPr>
        <w:jc w:val="both"/>
        <w:rPr>
          <w:rFonts w:ascii="Arial" w:hAnsi="Arial" w:cs="Arial"/>
          <w:color w:val="7B7B7B" w:themeColor="accent3" w:themeShade="BF"/>
          <w:sz w:val="22"/>
          <w:szCs w:val="22"/>
          <w:lang w:val="en-GB"/>
        </w:rPr>
      </w:pPr>
      <w:r w:rsidRPr="00AB165E">
        <w:rPr>
          <w:rFonts w:ascii="Arial" w:hAnsi="Arial" w:cs="Arial"/>
          <w:color w:val="7B7B7B" w:themeColor="accent3" w:themeShade="BF"/>
          <w:sz w:val="22"/>
          <w:szCs w:val="22"/>
          <w:lang w:val="en-GB"/>
        </w:rPr>
        <w:t xml:space="preserve">Under </w:t>
      </w:r>
      <w:r w:rsidR="00B57222" w:rsidRPr="00AB165E">
        <w:rPr>
          <w:rFonts w:ascii="Arial" w:hAnsi="Arial" w:cs="Arial"/>
          <w:color w:val="7B7B7B" w:themeColor="accent3" w:themeShade="BF"/>
          <w:sz w:val="22"/>
          <w:szCs w:val="22"/>
          <w:lang w:val="en-GB"/>
        </w:rPr>
        <w:t xml:space="preserve">section 91(1) of the </w:t>
      </w:r>
      <w:r w:rsidRPr="00AB165E">
        <w:rPr>
          <w:rFonts w:ascii="Arial" w:hAnsi="Arial" w:cs="Arial"/>
          <w:color w:val="7B7B7B" w:themeColor="accent3" w:themeShade="BF"/>
          <w:sz w:val="22"/>
          <w:szCs w:val="22"/>
          <w:lang w:val="en-GB"/>
        </w:rPr>
        <w:t>BVI Business Companies Act 2004</w:t>
      </w:r>
      <w:r w:rsidR="0044186F">
        <w:rPr>
          <w:rFonts w:ascii="Arial" w:hAnsi="Arial" w:cs="Arial"/>
          <w:color w:val="7B7B7B" w:themeColor="accent3" w:themeShade="BF"/>
          <w:sz w:val="22"/>
          <w:szCs w:val="22"/>
          <w:lang w:val="en-GB"/>
        </w:rPr>
        <w:t xml:space="preserve"> (“</w:t>
      </w:r>
      <w:r w:rsidR="0044186F">
        <w:rPr>
          <w:rFonts w:ascii="Arial" w:hAnsi="Arial" w:cs="Arial"/>
          <w:b/>
          <w:bCs/>
          <w:color w:val="7B7B7B" w:themeColor="accent3" w:themeShade="BF"/>
          <w:sz w:val="22"/>
          <w:szCs w:val="22"/>
          <w:lang w:val="en-GB"/>
        </w:rPr>
        <w:t>BCA</w:t>
      </w:r>
      <w:r w:rsidR="0044186F">
        <w:rPr>
          <w:rFonts w:ascii="Arial" w:hAnsi="Arial" w:cs="Arial"/>
          <w:color w:val="7B7B7B" w:themeColor="accent3" w:themeShade="BF"/>
          <w:sz w:val="22"/>
          <w:szCs w:val="22"/>
          <w:lang w:val="en-GB"/>
        </w:rPr>
        <w:t>”)</w:t>
      </w:r>
      <w:r w:rsidRPr="00AB165E">
        <w:rPr>
          <w:rFonts w:ascii="Arial" w:hAnsi="Arial" w:cs="Arial"/>
          <w:color w:val="7B7B7B" w:themeColor="accent3" w:themeShade="BF"/>
          <w:sz w:val="22"/>
          <w:szCs w:val="22"/>
          <w:lang w:val="en-GB"/>
        </w:rPr>
        <w:t xml:space="preserve">, </w:t>
      </w:r>
      <w:r w:rsidR="00B57222" w:rsidRPr="00AB165E">
        <w:rPr>
          <w:rFonts w:ascii="Arial" w:hAnsi="Arial" w:cs="Arial"/>
          <w:color w:val="7B7B7B" w:themeColor="accent3" w:themeShade="BF"/>
          <w:sz w:val="22"/>
          <w:szCs w:val="22"/>
          <w:lang w:val="en-GB"/>
        </w:rPr>
        <w:t xml:space="preserve">a company shall, at all times, </w:t>
      </w:r>
      <w:r w:rsidR="00B57222" w:rsidRPr="0031156A">
        <w:rPr>
          <w:rFonts w:ascii="Arial" w:hAnsi="Arial" w:cs="Arial"/>
          <w:color w:val="7B7B7B" w:themeColor="accent3" w:themeShade="BF"/>
          <w:sz w:val="22"/>
          <w:szCs w:val="22"/>
          <w:lang w:val="en-GB"/>
        </w:rPr>
        <w:t>have a registered agent in the B</w:t>
      </w:r>
      <w:r w:rsidR="00D21C98">
        <w:rPr>
          <w:rFonts w:ascii="Arial" w:hAnsi="Arial" w:cs="Arial"/>
          <w:color w:val="7B7B7B" w:themeColor="accent3" w:themeShade="BF"/>
          <w:sz w:val="22"/>
          <w:szCs w:val="22"/>
          <w:lang w:val="en-GB"/>
        </w:rPr>
        <w:t>VI</w:t>
      </w:r>
      <w:r w:rsidR="00B57222" w:rsidRPr="0031156A">
        <w:rPr>
          <w:rStyle w:val="FootnoteReference"/>
          <w:rFonts w:ascii="Arial" w:hAnsi="Arial" w:cs="Arial"/>
          <w:color w:val="7B7B7B" w:themeColor="accent3" w:themeShade="BF"/>
          <w:sz w:val="22"/>
          <w:szCs w:val="22"/>
          <w:lang w:val="en-GB"/>
        </w:rPr>
        <w:footnoteReference w:id="16"/>
      </w:r>
      <w:r w:rsidR="00B57222" w:rsidRPr="0031156A">
        <w:rPr>
          <w:rFonts w:ascii="Arial" w:hAnsi="Arial" w:cs="Arial"/>
          <w:color w:val="7B7B7B" w:themeColor="accent3" w:themeShade="BF"/>
          <w:sz w:val="22"/>
          <w:szCs w:val="22"/>
          <w:lang w:val="en-GB"/>
        </w:rPr>
        <w:t xml:space="preserve">, </w:t>
      </w:r>
      <w:r w:rsidR="00B57222" w:rsidRPr="0031156A">
        <w:rPr>
          <w:rFonts w:ascii="Arial" w:hAnsi="Arial" w:cs="Arial"/>
          <w:color w:val="7B7B7B" w:themeColor="accent3" w:themeShade="BF"/>
          <w:sz w:val="22"/>
          <w:szCs w:val="22"/>
          <w:u w:val="single"/>
          <w:lang w:val="en-GB"/>
        </w:rPr>
        <w:t>unless</w:t>
      </w:r>
      <w:r w:rsidR="00B57222" w:rsidRPr="0031156A">
        <w:rPr>
          <w:rFonts w:ascii="Arial" w:hAnsi="Arial" w:cs="Arial"/>
          <w:color w:val="7B7B7B" w:themeColor="accent3" w:themeShade="BF"/>
          <w:sz w:val="22"/>
          <w:szCs w:val="22"/>
          <w:lang w:val="en-GB"/>
        </w:rPr>
        <w:t xml:space="preserve"> it is in insolvent liquidation</w:t>
      </w:r>
      <w:r w:rsidR="0044186F">
        <w:rPr>
          <w:rFonts w:ascii="Arial" w:hAnsi="Arial" w:cs="Arial"/>
          <w:color w:val="7B7B7B" w:themeColor="accent3" w:themeShade="BF"/>
          <w:sz w:val="22"/>
          <w:szCs w:val="22"/>
          <w:lang w:val="en-GB"/>
        </w:rPr>
        <w:t xml:space="preserve"> (then it does not require a registered agent)</w:t>
      </w:r>
      <w:r w:rsidR="00B57222" w:rsidRPr="0031156A">
        <w:rPr>
          <w:rStyle w:val="FootnoteReference"/>
          <w:rFonts w:ascii="Arial" w:hAnsi="Arial" w:cs="Arial"/>
          <w:color w:val="7B7B7B" w:themeColor="accent3" w:themeShade="BF"/>
          <w:sz w:val="22"/>
          <w:szCs w:val="22"/>
          <w:lang w:val="en-GB"/>
        </w:rPr>
        <w:footnoteReference w:id="17"/>
      </w:r>
      <w:r w:rsidR="00B57222" w:rsidRPr="0031156A">
        <w:rPr>
          <w:rFonts w:ascii="Arial" w:hAnsi="Arial" w:cs="Arial"/>
          <w:color w:val="7B7B7B" w:themeColor="accent3" w:themeShade="BF"/>
          <w:sz w:val="22"/>
          <w:szCs w:val="22"/>
          <w:lang w:val="en-GB"/>
        </w:rPr>
        <w:t>.</w:t>
      </w:r>
      <w:r w:rsidR="00E5365D" w:rsidRPr="0031156A">
        <w:rPr>
          <w:rFonts w:ascii="Arial" w:hAnsi="Arial" w:cs="Arial"/>
          <w:color w:val="7B7B7B" w:themeColor="accent3" w:themeShade="BF"/>
          <w:sz w:val="22"/>
          <w:szCs w:val="22"/>
          <w:lang w:val="en-GB"/>
        </w:rPr>
        <w:t xml:space="preserve"> </w:t>
      </w:r>
    </w:p>
    <w:p w14:paraId="09254C33" w14:textId="77777777" w:rsidR="00D21C98" w:rsidRDefault="00D21C98" w:rsidP="000A7D47">
      <w:pPr>
        <w:jc w:val="both"/>
        <w:rPr>
          <w:rFonts w:ascii="Arial" w:hAnsi="Arial" w:cs="Arial"/>
          <w:color w:val="7B7B7B" w:themeColor="accent3" w:themeShade="BF"/>
          <w:sz w:val="22"/>
          <w:szCs w:val="22"/>
          <w:lang w:val="en-GB"/>
        </w:rPr>
      </w:pPr>
    </w:p>
    <w:p w14:paraId="13A1116D" w14:textId="1BC61D76" w:rsidR="000A7D47" w:rsidRPr="00D21C98" w:rsidRDefault="00D21C98" w:rsidP="000A7D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91A(1) </w:t>
      </w:r>
      <w:r w:rsidR="0044186F">
        <w:rPr>
          <w:rFonts w:ascii="Arial" w:hAnsi="Arial" w:cs="Arial"/>
          <w:color w:val="7B7B7B" w:themeColor="accent3" w:themeShade="BF"/>
          <w:sz w:val="22"/>
          <w:szCs w:val="22"/>
          <w:lang w:val="en-GB"/>
        </w:rPr>
        <w:t xml:space="preserve">of the BCA </w:t>
      </w:r>
      <w:r>
        <w:rPr>
          <w:rFonts w:ascii="Arial" w:hAnsi="Arial" w:cs="Arial"/>
          <w:color w:val="7B7B7B" w:themeColor="accent3" w:themeShade="BF"/>
          <w:sz w:val="22"/>
          <w:szCs w:val="22"/>
          <w:lang w:val="en-GB"/>
        </w:rPr>
        <w:t>states that if at any time the company does not have a registered agent, it shall immediately, by resolution of either the members or directors, appoint a register</w:t>
      </w:r>
      <w:r w:rsidR="0044186F">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agent.</w:t>
      </w:r>
      <w:r>
        <w:rPr>
          <w:rStyle w:val="FootnoteReference"/>
          <w:rFonts w:ascii="Arial" w:hAnsi="Arial" w:cs="Arial"/>
          <w:color w:val="7B7B7B" w:themeColor="accent3" w:themeShade="BF"/>
          <w:sz w:val="22"/>
          <w:szCs w:val="22"/>
          <w:lang w:val="en-GB"/>
        </w:rPr>
        <w:footnoteReference w:id="18"/>
      </w:r>
      <w:r>
        <w:rPr>
          <w:rFonts w:ascii="Arial" w:hAnsi="Arial" w:cs="Arial"/>
          <w:color w:val="7B7B7B" w:themeColor="accent3" w:themeShade="BF"/>
          <w:sz w:val="22"/>
          <w:szCs w:val="22"/>
          <w:lang w:val="en-GB"/>
        </w:rPr>
        <w:t xml:space="preserve"> </w:t>
      </w:r>
      <w:r w:rsidR="000A7D47" w:rsidRPr="0031156A">
        <w:rPr>
          <w:rFonts w:ascii="Arial" w:hAnsi="Arial" w:cs="Arial"/>
          <w:color w:val="7B7B7B" w:themeColor="accent3" w:themeShade="BF"/>
          <w:sz w:val="22"/>
          <w:szCs w:val="22"/>
          <w:lang w:val="en-GB"/>
        </w:rPr>
        <w:t>If the company does not have a registered agent (contrary to section 91(1)), the company commits an offence and is liable on summary conviction to a fine of $10,000.</w:t>
      </w:r>
      <w:r w:rsidR="000A7D47" w:rsidRPr="0031156A">
        <w:rPr>
          <w:rStyle w:val="FootnoteReference"/>
          <w:rFonts w:ascii="Arial" w:hAnsi="Arial" w:cs="Arial"/>
          <w:color w:val="7B7B7B" w:themeColor="accent3" w:themeShade="BF"/>
          <w:sz w:val="22"/>
          <w:szCs w:val="22"/>
          <w:lang w:val="en-GB"/>
        </w:rPr>
        <w:footnoteReference w:id="19"/>
      </w:r>
      <w:r w:rsidR="0031156A">
        <w:rPr>
          <w:rFonts w:ascii="Arial" w:hAnsi="Arial" w:cs="Arial"/>
          <w:color w:val="7B7B7B" w:themeColor="accent3" w:themeShade="BF"/>
          <w:sz w:val="22"/>
          <w:szCs w:val="22"/>
          <w:lang w:val="en-GB"/>
        </w:rPr>
        <w:t xml:space="preserve"> Further, it should be noted that the Registrar of Corporate Affairs has the power to strike the name of a company off the Register of Companies if a company does not have a registered agent</w:t>
      </w:r>
      <w:r w:rsidR="0031156A">
        <w:rPr>
          <w:rStyle w:val="FootnoteReference"/>
          <w:rFonts w:ascii="Arial" w:hAnsi="Arial" w:cs="Arial"/>
          <w:color w:val="7B7B7B" w:themeColor="accent3" w:themeShade="BF"/>
          <w:sz w:val="22"/>
          <w:szCs w:val="22"/>
          <w:lang w:val="en-GB"/>
        </w:rPr>
        <w:footnoteReference w:id="20"/>
      </w:r>
      <w:r w:rsidR="0031156A">
        <w:rPr>
          <w:rFonts w:ascii="Arial" w:hAnsi="Arial" w:cs="Arial"/>
          <w:color w:val="7B7B7B" w:themeColor="accent3" w:themeShade="BF"/>
          <w:sz w:val="22"/>
          <w:szCs w:val="22"/>
          <w:lang w:val="en-GB"/>
        </w:rPr>
        <w:t>.</w:t>
      </w:r>
    </w:p>
    <w:p w14:paraId="39693B93" w14:textId="77777777" w:rsidR="00E5365D" w:rsidRPr="0031156A" w:rsidRDefault="00E5365D" w:rsidP="00E5365D">
      <w:pPr>
        <w:jc w:val="both"/>
        <w:rPr>
          <w:rFonts w:ascii="Arial" w:hAnsi="Arial" w:cs="Arial"/>
          <w:color w:val="7B7B7B" w:themeColor="accent3" w:themeShade="BF"/>
          <w:sz w:val="22"/>
          <w:szCs w:val="22"/>
          <w:lang w:val="en-GB"/>
        </w:rPr>
      </w:pPr>
    </w:p>
    <w:p w14:paraId="0D70FF21" w14:textId="077AB9FC" w:rsidR="00E5365D" w:rsidRPr="0021017F" w:rsidRDefault="0021017F" w:rsidP="00E5365D">
      <w:pPr>
        <w:jc w:val="both"/>
        <w:rPr>
          <w:rFonts w:ascii="Arial" w:hAnsi="Arial" w:cs="Arial"/>
          <w:color w:val="7B7B7B" w:themeColor="accent3" w:themeShade="BF"/>
          <w:sz w:val="22"/>
          <w:szCs w:val="22"/>
          <w:lang w:val="en-GB"/>
        </w:rPr>
      </w:pPr>
      <w:r w:rsidRPr="0031156A">
        <w:rPr>
          <w:rFonts w:ascii="Arial" w:hAnsi="Arial" w:cs="Arial"/>
          <w:color w:val="7B7B7B" w:themeColor="accent3" w:themeShade="BF"/>
          <w:sz w:val="22"/>
          <w:szCs w:val="22"/>
          <w:lang w:val="en-GB"/>
        </w:rPr>
        <w:t>Section</w:t>
      </w:r>
      <w:r w:rsidR="000A7D47" w:rsidRPr="0031156A">
        <w:rPr>
          <w:rFonts w:ascii="Arial" w:hAnsi="Arial" w:cs="Arial"/>
          <w:color w:val="7B7B7B" w:themeColor="accent3" w:themeShade="BF"/>
          <w:sz w:val="22"/>
          <w:szCs w:val="22"/>
          <w:lang w:val="en-GB"/>
        </w:rPr>
        <w:t xml:space="preserve"> 91(3)</w:t>
      </w:r>
      <w:r w:rsidR="000A7D47" w:rsidRPr="0031156A">
        <w:rPr>
          <w:rFonts w:ascii="Arial" w:hAnsi="Arial" w:cs="Arial"/>
        </w:rPr>
        <w:t xml:space="preserve"> </w:t>
      </w:r>
      <w:r w:rsidR="00D90609" w:rsidRPr="0031156A">
        <w:rPr>
          <w:rFonts w:ascii="Arial" w:hAnsi="Arial" w:cs="Arial"/>
          <w:color w:val="7B7B7B" w:themeColor="accent3" w:themeShade="BF"/>
          <w:sz w:val="22"/>
          <w:szCs w:val="22"/>
          <w:lang w:val="en-GB"/>
        </w:rPr>
        <w:t>states that</w:t>
      </w:r>
      <w:r w:rsidR="000A7D47" w:rsidRPr="0031156A">
        <w:rPr>
          <w:rFonts w:ascii="Arial" w:hAnsi="Arial" w:cs="Arial"/>
          <w:color w:val="7B7B7B" w:themeColor="accent3" w:themeShade="BF"/>
          <w:sz w:val="22"/>
          <w:szCs w:val="22"/>
          <w:lang w:val="en-GB"/>
        </w:rPr>
        <w:t xml:space="preserve"> n</w:t>
      </w:r>
      <w:r w:rsidR="00E5365D" w:rsidRPr="0031156A">
        <w:rPr>
          <w:rFonts w:ascii="Arial" w:hAnsi="Arial" w:cs="Arial"/>
          <w:color w:val="7B7B7B" w:themeColor="accent3" w:themeShade="BF"/>
          <w:sz w:val="22"/>
          <w:szCs w:val="22"/>
          <w:lang w:val="en-GB"/>
        </w:rPr>
        <w:t xml:space="preserve">o person is to be, or shall agree to be, a company’s registered agent unless they hold a licence </w:t>
      </w:r>
      <w:r w:rsidR="000A7D47" w:rsidRPr="0031156A">
        <w:rPr>
          <w:rFonts w:ascii="Arial" w:hAnsi="Arial" w:cs="Arial"/>
          <w:color w:val="7B7B7B" w:themeColor="accent3" w:themeShade="BF"/>
          <w:sz w:val="22"/>
          <w:szCs w:val="22"/>
          <w:lang w:val="en-GB"/>
        </w:rPr>
        <w:t xml:space="preserve">under </w:t>
      </w:r>
      <w:r w:rsidR="00E5365D" w:rsidRPr="0031156A">
        <w:rPr>
          <w:rFonts w:ascii="Arial" w:hAnsi="Arial" w:cs="Arial"/>
          <w:color w:val="7B7B7B" w:themeColor="accent3" w:themeShade="BF"/>
          <w:sz w:val="22"/>
          <w:szCs w:val="22"/>
          <w:lang w:val="en-GB"/>
        </w:rPr>
        <w:t>eith</w:t>
      </w:r>
      <w:r w:rsidR="000A7D47" w:rsidRPr="0031156A">
        <w:rPr>
          <w:rFonts w:ascii="Arial" w:hAnsi="Arial" w:cs="Arial"/>
          <w:color w:val="7B7B7B" w:themeColor="accent3" w:themeShade="BF"/>
          <w:sz w:val="22"/>
          <w:szCs w:val="22"/>
          <w:lang w:val="en-GB"/>
        </w:rPr>
        <w:t xml:space="preserve">er </w:t>
      </w:r>
      <w:r w:rsidR="00E5365D" w:rsidRPr="0031156A">
        <w:rPr>
          <w:rFonts w:ascii="Arial" w:hAnsi="Arial" w:cs="Arial"/>
          <w:color w:val="7B7B7B" w:themeColor="accent3" w:themeShade="BF"/>
          <w:sz w:val="22"/>
          <w:szCs w:val="22"/>
          <w:lang w:val="en-GB"/>
        </w:rPr>
        <w:t>the Company Management Act</w:t>
      </w:r>
      <w:r w:rsidR="000A7D47" w:rsidRPr="0031156A">
        <w:rPr>
          <w:rStyle w:val="FootnoteReference"/>
          <w:rFonts w:ascii="Arial" w:hAnsi="Arial" w:cs="Arial"/>
          <w:color w:val="7B7B7B" w:themeColor="accent3" w:themeShade="BF"/>
          <w:sz w:val="22"/>
          <w:szCs w:val="22"/>
          <w:lang w:val="en-GB"/>
        </w:rPr>
        <w:footnoteReference w:id="21"/>
      </w:r>
      <w:r w:rsidR="000A7D47" w:rsidRPr="0031156A">
        <w:rPr>
          <w:rFonts w:ascii="Arial" w:hAnsi="Arial" w:cs="Arial"/>
          <w:color w:val="7B7B7B" w:themeColor="accent3" w:themeShade="BF"/>
          <w:sz w:val="22"/>
          <w:szCs w:val="22"/>
          <w:lang w:val="en-GB"/>
        </w:rPr>
        <w:t xml:space="preserve"> or </w:t>
      </w:r>
      <w:r w:rsidR="00E5365D" w:rsidRPr="0031156A">
        <w:rPr>
          <w:rFonts w:ascii="Arial" w:hAnsi="Arial" w:cs="Arial"/>
          <w:color w:val="7B7B7B" w:themeColor="accent3" w:themeShade="BF"/>
          <w:sz w:val="22"/>
          <w:szCs w:val="22"/>
          <w:lang w:val="en-GB"/>
        </w:rPr>
        <w:t>the Banks and Trust Companies Act that authorises it to provide</w:t>
      </w:r>
      <w:r w:rsidR="000A7D47" w:rsidRPr="0031156A">
        <w:rPr>
          <w:rFonts w:ascii="Arial" w:hAnsi="Arial" w:cs="Arial"/>
          <w:color w:val="7B7B7B" w:themeColor="accent3" w:themeShade="BF"/>
          <w:sz w:val="22"/>
          <w:szCs w:val="22"/>
          <w:lang w:val="en-GB"/>
        </w:rPr>
        <w:t xml:space="preserve"> </w:t>
      </w:r>
      <w:r w:rsidR="00E5365D" w:rsidRPr="0031156A">
        <w:rPr>
          <w:rFonts w:ascii="Arial" w:hAnsi="Arial" w:cs="Arial"/>
          <w:color w:val="7B7B7B" w:themeColor="accent3" w:themeShade="BF"/>
          <w:sz w:val="22"/>
          <w:szCs w:val="22"/>
          <w:lang w:val="en-GB"/>
        </w:rPr>
        <w:t>registered agent services</w:t>
      </w:r>
      <w:r w:rsidR="000A7D47" w:rsidRPr="0031156A">
        <w:rPr>
          <w:rStyle w:val="FootnoteReference"/>
          <w:rFonts w:ascii="Arial" w:hAnsi="Arial" w:cs="Arial"/>
          <w:color w:val="7B7B7B" w:themeColor="accent3" w:themeShade="BF"/>
          <w:sz w:val="22"/>
          <w:szCs w:val="22"/>
          <w:lang w:val="en-GB"/>
        </w:rPr>
        <w:footnoteReference w:id="22"/>
      </w:r>
      <w:r w:rsidR="000A7D47" w:rsidRPr="0031156A">
        <w:rPr>
          <w:rFonts w:ascii="Arial" w:hAnsi="Arial" w:cs="Arial"/>
          <w:color w:val="7B7B7B" w:themeColor="accent3" w:themeShade="BF"/>
          <w:sz w:val="22"/>
          <w:szCs w:val="22"/>
          <w:lang w:val="en-GB"/>
        </w:rPr>
        <w:t>.</w:t>
      </w:r>
    </w:p>
    <w:p w14:paraId="1C07732B" w14:textId="77777777" w:rsidR="00D52412" w:rsidRDefault="00D52412" w:rsidP="008065CE">
      <w:pPr>
        <w:jc w:val="both"/>
        <w:rPr>
          <w:rFonts w:ascii="Avenir Next" w:hAnsi="Avenir Next" w:cs="Arial"/>
          <w:bCs/>
          <w:sz w:val="22"/>
          <w:szCs w:val="22"/>
          <w:lang w:val="en-GB"/>
        </w:rPr>
      </w:pPr>
    </w:p>
    <w:p w14:paraId="5D71D025" w14:textId="77777777" w:rsidR="000A7D47" w:rsidRPr="005965BF" w:rsidRDefault="000A7D47"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56034EB9" w14:textId="37D48A89" w:rsidR="00196B1B" w:rsidRPr="00196B1B" w:rsidRDefault="00196B1B" w:rsidP="00196B1B">
      <w:pPr>
        <w:jc w:val="both"/>
        <w:rPr>
          <w:rFonts w:ascii="Avenir Next" w:hAnsi="Avenir Next" w:cs="Arial"/>
          <w:bCs/>
          <w:sz w:val="22"/>
          <w:szCs w:val="22"/>
          <w:lang w:val="en-GB"/>
        </w:rPr>
      </w:pPr>
      <w:r w:rsidRPr="00196B1B">
        <w:rPr>
          <w:rFonts w:ascii="Avenir Next" w:hAnsi="Avenir Next" w:cs="Arial"/>
          <w:bCs/>
          <w:sz w:val="22"/>
          <w:szCs w:val="22"/>
          <w:lang w:val="en-GB"/>
        </w:rPr>
        <w:t xml:space="preserve">When can the Court appoint a </w:t>
      </w:r>
      <w:r>
        <w:rPr>
          <w:rFonts w:ascii="Avenir Next" w:hAnsi="Avenir Next" w:cs="Arial"/>
          <w:bCs/>
          <w:sz w:val="22"/>
          <w:szCs w:val="22"/>
          <w:lang w:val="en-GB"/>
        </w:rPr>
        <w:t>l</w:t>
      </w:r>
      <w:r w:rsidRPr="00196B1B">
        <w:rPr>
          <w:rFonts w:ascii="Avenir Next" w:hAnsi="Avenir Next" w:cs="Arial"/>
          <w:bCs/>
          <w:sz w:val="22"/>
          <w:szCs w:val="22"/>
          <w:lang w:val="en-GB"/>
        </w:rPr>
        <w:t>iquidator under the Insolvency Act 2003? And who can make an application for such an appointment?</w:t>
      </w:r>
    </w:p>
    <w:p w14:paraId="3B080E52" w14:textId="77777777" w:rsidR="00DC4053" w:rsidRDefault="00DC4053" w:rsidP="00DC4053">
      <w:pPr>
        <w:jc w:val="both"/>
        <w:rPr>
          <w:rFonts w:ascii="Avenir Next" w:hAnsi="Avenir Next" w:cs="Arial"/>
          <w:bCs/>
          <w:sz w:val="22"/>
          <w:szCs w:val="22"/>
          <w:lang w:val="en-GB"/>
        </w:rPr>
      </w:pPr>
    </w:p>
    <w:p w14:paraId="2976A376" w14:textId="0F2BF239" w:rsidR="00B73A83" w:rsidRPr="00084E3C" w:rsidRDefault="00B73A83" w:rsidP="00DC4053">
      <w:pPr>
        <w:jc w:val="both"/>
        <w:rPr>
          <w:rFonts w:ascii="Arial" w:hAnsi="Arial" w:cs="Arial"/>
          <w:color w:val="7B7B7B" w:themeColor="accent3" w:themeShade="BF"/>
          <w:sz w:val="22"/>
          <w:szCs w:val="22"/>
          <w:lang w:val="en-GB"/>
        </w:rPr>
      </w:pPr>
      <w:r w:rsidRPr="00084E3C">
        <w:rPr>
          <w:rFonts w:ascii="Arial" w:hAnsi="Arial" w:cs="Arial"/>
          <w:color w:val="7B7B7B" w:themeColor="accent3" w:themeShade="BF"/>
          <w:sz w:val="22"/>
          <w:szCs w:val="22"/>
          <w:lang w:val="en-GB"/>
        </w:rPr>
        <w:t>Under section 1</w:t>
      </w:r>
      <w:r w:rsidR="00DC4053" w:rsidRPr="00084E3C">
        <w:rPr>
          <w:rFonts w:ascii="Arial" w:hAnsi="Arial" w:cs="Arial"/>
          <w:color w:val="7B7B7B" w:themeColor="accent3" w:themeShade="BF"/>
          <w:sz w:val="22"/>
          <w:szCs w:val="22"/>
          <w:lang w:val="en-GB"/>
        </w:rPr>
        <w:t>59(1) of the Insolvency Act 2003</w:t>
      </w:r>
      <w:r w:rsidR="009F0D1E" w:rsidRPr="00084E3C">
        <w:rPr>
          <w:rFonts w:ascii="Arial" w:hAnsi="Arial" w:cs="Arial"/>
          <w:color w:val="7B7B7B" w:themeColor="accent3" w:themeShade="BF"/>
          <w:sz w:val="22"/>
          <w:szCs w:val="22"/>
          <w:lang w:val="en-GB"/>
        </w:rPr>
        <w:t xml:space="preserve"> (“</w:t>
      </w:r>
      <w:r w:rsidR="008517F5">
        <w:rPr>
          <w:rFonts w:ascii="Arial" w:hAnsi="Arial" w:cs="Arial"/>
          <w:b/>
          <w:bCs/>
          <w:color w:val="7B7B7B" w:themeColor="accent3" w:themeShade="BF"/>
          <w:sz w:val="22"/>
          <w:szCs w:val="22"/>
          <w:lang w:val="en-GB"/>
        </w:rPr>
        <w:t>Insolvency</w:t>
      </w:r>
      <w:r w:rsidR="009F0D1E" w:rsidRPr="00084E3C">
        <w:rPr>
          <w:rFonts w:ascii="Arial" w:hAnsi="Arial" w:cs="Arial"/>
          <w:b/>
          <w:bCs/>
          <w:color w:val="7B7B7B" w:themeColor="accent3" w:themeShade="BF"/>
          <w:sz w:val="22"/>
          <w:szCs w:val="22"/>
          <w:lang w:val="en-GB"/>
        </w:rPr>
        <w:t xml:space="preserve"> Act</w:t>
      </w:r>
      <w:r w:rsidR="009F0D1E" w:rsidRPr="00084E3C">
        <w:rPr>
          <w:rFonts w:ascii="Arial" w:hAnsi="Arial" w:cs="Arial"/>
          <w:color w:val="7B7B7B" w:themeColor="accent3" w:themeShade="BF"/>
          <w:sz w:val="22"/>
          <w:szCs w:val="22"/>
          <w:lang w:val="en-GB"/>
        </w:rPr>
        <w:t>”)</w:t>
      </w:r>
      <w:r w:rsidR="00DC4053" w:rsidRPr="00084E3C">
        <w:rPr>
          <w:rFonts w:ascii="Arial" w:hAnsi="Arial" w:cs="Arial"/>
          <w:color w:val="7B7B7B" w:themeColor="accent3" w:themeShade="BF"/>
          <w:sz w:val="22"/>
          <w:szCs w:val="22"/>
          <w:lang w:val="en-GB"/>
        </w:rPr>
        <w:t xml:space="preserve">, the </w:t>
      </w:r>
      <w:r w:rsidR="006866E7">
        <w:rPr>
          <w:rFonts w:ascii="Arial" w:hAnsi="Arial" w:cs="Arial"/>
          <w:color w:val="7B7B7B" w:themeColor="accent3" w:themeShade="BF"/>
          <w:sz w:val="22"/>
          <w:szCs w:val="22"/>
          <w:lang w:val="en-GB"/>
        </w:rPr>
        <w:t>c</w:t>
      </w:r>
      <w:r w:rsidR="00DC4053" w:rsidRPr="00084E3C">
        <w:rPr>
          <w:rFonts w:ascii="Arial" w:hAnsi="Arial" w:cs="Arial"/>
          <w:color w:val="7B7B7B" w:themeColor="accent3" w:themeShade="BF"/>
          <w:sz w:val="22"/>
          <w:szCs w:val="22"/>
          <w:lang w:val="en-GB"/>
        </w:rPr>
        <w:t>ourt may appoint the Official Receiver or an eligible insolvency practitioner as liquidator of</w:t>
      </w:r>
      <w:r w:rsidR="00D809C5" w:rsidRPr="00084E3C">
        <w:rPr>
          <w:rFonts w:ascii="Arial" w:hAnsi="Arial" w:cs="Arial"/>
          <w:color w:val="7B7B7B" w:themeColor="accent3" w:themeShade="BF"/>
          <w:sz w:val="22"/>
          <w:szCs w:val="22"/>
          <w:lang w:val="en-GB"/>
        </w:rPr>
        <w:t xml:space="preserve"> a</w:t>
      </w:r>
      <w:r w:rsidR="00DC4053" w:rsidRPr="00084E3C">
        <w:rPr>
          <w:rFonts w:ascii="Arial" w:hAnsi="Arial" w:cs="Arial"/>
          <w:color w:val="7B7B7B" w:themeColor="accent3" w:themeShade="BF"/>
          <w:sz w:val="22"/>
          <w:szCs w:val="22"/>
          <w:lang w:val="en-GB"/>
        </w:rPr>
        <w:t>:</w:t>
      </w:r>
    </w:p>
    <w:p w14:paraId="3248F911" w14:textId="6984D2C1" w:rsidR="00D809C5" w:rsidRPr="006F14F2" w:rsidRDefault="00943905" w:rsidP="006F14F2">
      <w:pPr>
        <w:pStyle w:val="ListParagraph"/>
        <w:numPr>
          <w:ilvl w:val="0"/>
          <w:numId w:val="14"/>
        </w:numPr>
        <w:jc w:val="both"/>
        <w:rPr>
          <w:rFonts w:ascii="Arial" w:hAnsi="Arial" w:cs="Arial"/>
          <w:color w:val="7B7B7B" w:themeColor="accent3" w:themeShade="BF"/>
          <w:sz w:val="22"/>
          <w:szCs w:val="22"/>
        </w:rPr>
      </w:pPr>
      <w:r w:rsidRPr="006F14F2">
        <w:rPr>
          <w:rFonts w:ascii="Arial" w:hAnsi="Arial" w:cs="Arial"/>
          <w:color w:val="7B7B7B" w:themeColor="accent3" w:themeShade="BF"/>
          <w:sz w:val="22"/>
          <w:szCs w:val="22"/>
        </w:rPr>
        <w:t xml:space="preserve">BVI </w:t>
      </w:r>
      <w:r w:rsidR="00B73A83" w:rsidRPr="006F14F2">
        <w:rPr>
          <w:rFonts w:ascii="Arial" w:hAnsi="Arial" w:cs="Arial"/>
          <w:color w:val="7B7B7B" w:themeColor="accent3" w:themeShade="BF"/>
          <w:sz w:val="22"/>
          <w:szCs w:val="22"/>
        </w:rPr>
        <w:t>company</w:t>
      </w:r>
      <w:r w:rsidR="00D809C5" w:rsidRPr="006F14F2">
        <w:rPr>
          <w:rFonts w:ascii="Arial" w:hAnsi="Arial" w:cs="Arial"/>
          <w:color w:val="7B7B7B" w:themeColor="accent3" w:themeShade="BF"/>
          <w:sz w:val="22"/>
          <w:szCs w:val="22"/>
        </w:rPr>
        <w:t xml:space="preserve"> (</w:t>
      </w:r>
      <w:r w:rsidR="00B73A83" w:rsidRPr="006F14F2">
        <w:rPr>
          <w:rFonts w:ascii="Arial" w:hAnsi="Arial" w:cs="Arial"/>
          <w:color w:val="7B7B7B" w:themeColor="accent3" w:themeShade="BF"/>
          <w:sz w:val="22"/>
          <w:szCs w:val="22"/>
        </w:rPr>
        <w:t>on an application under section 162</w:t>
      </w:r>
      <w:r w:rsidR="00D809C5" w:rsidRPr="006F14F2">
        <w:rPr>
          <w:rFonts w:ascii="Arial" w:hAnsi="Arial" w:cs="Arial"/>
          <w:color w:val="7B7B7B" w:themeColor="accent3" w:themeShade="BF"/>
          <w:sz w:val="22"/>
          <w:szCs w:val="22"/>
        </w:rPr>
        <w:t>)</w:t>
      </w:r>
      <w:r w:rsidR="002B0B2D" w:rsidRPr="00084E3C">
        <w:rPr>
          <w:rStyle w:val="FootnoteReference"/>
          <w:rFonts w:ascii="Arial" w:hAnsi="Arial" w:cs="Arial"/>
          <w:color w:val="7B7B7B" w:themeColor="accent3" w:themeShade="BF"/>
          <w:sz w:val="22"/>
          <w:szCs w:val="22"/>
        </w:rPr>
        <w:footnoteReference w:id="23"/>
      </w:r>
      <w:r w:rsidR="00B73A83" w:rsidRPr="006F14F2">
        <w:rPr>
          <w:rFonts w:ascii="Arial" w:hAnsi="Arial" w:cs="Arial"/>
          <w:color w:val="7B7B7B" w:themeColor="accent3" w:themeShade="BF"/>
          <w:sz w:val="22"/>
          <w:szCs w:val="22"/>
        </w:rPr>
        <w:t>;</w:t>
      </w:r>
      <w:r w:rsidR="00D809C5" w:rsidRPr="006F14F2">
        <w:rPr>
          <w:rFonts w:ascii="Arial" w:hAnsi="Arial" w:cs="Arial"/>
          <w:color w:val="7B7B7B" w:themeColor="accent3" w:themeShade="BF"/>
          <w:sz w:val="22"/>
          <w:szCs w:val="22"/>
        </w:rPr>
        <w:t xml:space="preserve"> or</w:t>
      </w:r>
    </w:p>
    <w:p w14:paraId="4B1CCDBF" w14:textId="19D62604" w:rsidR="009E0225" w:rsidRPr="00084E3C" w:rsidRDefault="00B73A83">
      <w:pPr>
        <w:pStyle w:val="ListParagraph"/>
        <w:numPr>
          <w:ilvl w:val="0"/>
          <w:numId w:val="14"/>
        </w:numPr>
        <w:jc w:val="both"/>
        <w:rPr>
          <w:rFonts w:ascii="Arial" w:hAnsi="Arial" w:cs="Arial"/>
          <w:color w:val="7B7B7B" w:themeColor="accent3" w:themeShade="BF"/>
          <w:sz w:val="22"/>
          <w:szCs w:val="22"/>
        </w:rPr>
      </w:pPr>
      <w:r w:rsidRPr="00084E3C">
        <w:rPr>
          <w:rFonts w:ascii="Arial" w:hAnsi="Arial" w:cs="Arial"/>
          <w:color w:val="7B7B7B" w:themeColor="accent3" w:themeShade="BF"/>
          <w:sz w:val="22"/>
          <w:szCs w:val="22"/>
        </w:rPr>
        <w:t>foreign company</w:t>
      </w:r>
      <w:r w:rsidR="00D809C5" w:rsidRPr="00084E3C">
        <w:rPr>
          <w:rFonts w:ascii="Arial" w:hAnsi="Arial" w:cs="Arial"/>
          <w:color w:val="7B7B7B" w:themeColor="accent3" w:themeShade="BF"/>
          <w:sz w:val="22"/>
          <w:szCs w:val="22"/>
        </w:rPr>
        <w:t xml:space="preserve"> (</w:t>
      </w:r>
      <w:r w:rsidRPr="00084E3C">
        <w:rPr>
          <w:rFonts w:ascii="Arial" w:hAnsi="Arial" w:cs="Arial"/>
          <w:color w:val="7B7B7B" w:themeColor="accent3" w:themeShade="BF"/>
          <w:sz w:val="22"/>
          <w:szCs w:val="22"/>
        </w:rPr>
        <w:t>on an application under section 163</w:t>
      </w:r>
      <w:r w:rsidR="00D809C5" w:rsidRPr="00084E3C">
        <w:rPr>
          <w:rFonts w:ascii="Arial" w:hAnsi="Arial" w:cs="Arial"/>
          <w:color w:val="7B7B7B" w:themeColor="accent3" w:themeShade="BF"/>
          <w:sz w:val="22"/>
          <w:szCs w:val="22"/>
        </w:rPr>
        <w:t>)</w:t>
      </w:r>
      <w:r w:rsidR="002B0B2D" w:rsidRPr="00084E3C">
        <w:rPr>
          <w:rStyle w:val="FootnoteReference"/>
          <w:rFonts w:ascii="Arial" w:hAnsi="Arial" w:cs="Arial"/>
          <w:color w:val="7B7B7B" w:themeColor="accent3" w:themeShade="BF"/>
          <w:sz w:val="22"/>
          <w:szCs w:val="22"/>
        </w:rPr>
        <w:footnoteReference w:id="24"/>
      </w:r>
      <w:r w:rsidRPr="00084E3C">
        <w:rPr>
          <w:rFonts w:ascii="Arial" w:hAnsi="Arial" w:cs="Arial"/>
          <w:color w:val="7B7B7B" w:themeColor="accent3" w:themeShade="BF"/>
          <w:sz w:val="22"/>
          <w:szCs w:val="22"/>
        </w:rPr>
        <w:t>.</w:t>
      </w:r>
    </w:p>
    <w:p w14:paraId="72942D0C" w14:textId="77777777" w:rsidR="009E0225" w:rsidRPr="00084E3C" w:rsidRDefault="009E0225" w:rsidP="009E0225">
      <w:pPr>
        <w:jc w:val="both"/>
        <w:rPr>
          <w:rFonts w:ascii="Arial" w:hAnsi="Arial" w:cs="Arial"/>
          <w:color w:val="7B7B7B" w:themeColor="accent3" w:themeShade="BF"/>
          <w:sz w:val="22"/>
          <w:szCs w:val="22"/>
        </w:rPr>
      </w:pPr>
    </w:p>
    <w:p w14:paraId="73C31851" w14:textId="5BF40EB2" w:rsidR="009E0225" w:rsidRPr="007F299E" w:rsidRDefault="009E0225" w:rsidP="009E0225">
      <w:pPr>
        <w:jc w:val="both"/>
        <w:rPr>
          <w:rFonts w:ascii="Arial" w:hAnsi="Arial" w:cs="Arial"/>
          <w:b/>
          <w:bCs/>
          <w:color w:val="7B7B7B" w:themeColor="accent3" w:themeShade="BF"/>
          <w:sz w:val="22"/>
          <w:szCs w:val="22"/>
          <w:u w:val="single"/>
        </w:rPr>
      </w:pPr>
      <w:r w:rsidRPr="007F299E">
        <w:rPr>
          <w:rFonts w:ascii="Arial" w:hAnsi="Arial" w:cs="Arial"/>
          <w:b/>
          <w:bCs/>
          <w:color w:val="7B7B7B" w:themeColor="accent3" w:themeShade="BF"/>
          <w:sz w:val="22"/>
          <w:szCs w:val="22"/>
          <w:u w:val="single"/>
        </w:rPr>
        <w:t xml:space="preserve">Appointment of liquidator </w:t>
      </w:r>
      <w:r w:rsidR="00084E3C" w:rsidRPr="007F299E">
        <w:rPr>
          <w:rFonts w:ascii="Arial" w:hAnsi="Arial" w:cs="Arial"/>
          <w:b/>
          <w:bCs/>
          <w:color w:val="7B7B7B" w:themeColor="accent3" w:themeShade="BF"/>
          <w:sz w:val="22"/>
          <w:szCs w:val="22"/>
          <w:u w:val="single"/>
        </w:rPr>
        <w:t xml:space="preserve">by </w:t>
      </w:r>
      <w:r w:rsidR="006866E7">
        <w:rPr>
          <w:rFonts w:ascii="Arial" w:hAnsi="Arial" w:cs="Arial"/>
          <w:b/>
          <w:bCs/>
          <w:color w:val="7B7B7B" w:themeColor="accent3" w:themeShade="BF"/>
          <w:sz w:val="22"/>
          <w:szCs w:val="22"/>
          <w:u w:val="single"/>
        </w:rPr>
        <w:t>c</w:t>
      </w:r>
      <w:r w:rsidR="00084E3C" w:rsidRPr="007F299E">
        <w:rPr>
          <w:rFonts w:ascii="Arial" w:hAnsi="Arial" w:cs="Arial"/>
          <w:b/>
          <w:bCs/>
          <w:color w:val="7B7B7B" w:themeColor="accent3" w:themeShade="BF"/>
          <w:sz w:val="22"/>
          <w:szCs w:val="22"/>
          <w:u w:val="single"/>
        </w:rPr>
        <w:t>ourt</w:t>
      </w:r>
      <w:r w:rsidR="00872541" w:rsidRPr="007F299E">
        <w:rPr>
          <w:rFonts w:ascii="Arial" w:hAnsi="Arial" w:cs="Arial"/>
          <w:b/>
          <w:bCs/>
          <w:color w:val="7B7B7B" w:themeColor="accent3" w:themeShade="BF"/>
          <w:sz w:val="22"/>
          <w:szCs w:val="22"/>
          <w:u w:val="single"/>
        </w:rPr>
        <w:t xml:space="preserve"> – section 162</w:t>
      </w:r>
    </w:p>
    <w:p w14:paraId="2B3E3706" w14:textId="65D763C2" w:rsidR="00B73A83" w:rsidRPr="007F299E" w:rsidRDefault="009E0225" w:rsidP="009E0225">
      <w:pPr>
        <w:jc w:val="both"/>
        <w:rPr>
          <w:rFonts w:ascii="Arial" w:hAnsi="Arial" w:cs="Arial"/>
          <w:color w:val="7B7B7B" w:themeColor="accent3" w:themeShade="BF"/>
          <w:sz w:val="22"/>
          <w:szCs w:val="22"/>
        </w:rPr>
      </w:pPr>
      <w:r w:rsidRPr="007F299E">
        <w:rPr>
          <w:rFonts w:ascii="Arial" w:hAnsi="Arial" w:cs="Arial"/>
          <w:color w:val="7B7B7B" w:themeColor="accent3" w:themeShade="BF"/>
          <w:sz w:val="22"/>
          <w:szCs w:val="22"/>
        </w:rPr>
        <w:t xml:space="preserve">Under section 162(1) of the </w:t>
      </w:r>
      <w:r w:rsidR="008517F5">
        <w:rPr>
          <w:rFonts w:ascii="Arial" w:hAnsi="Arial" w:cs="Arial"/>
          <w:color w:val="7B7B7B" w:themeColor="accent3" w:themeShade="BF"/>
          <w:sz w:val="22"/>
          <w:szCs w:val="22"/>
        </w:rPr>
        <w:t>Insolvency</w:t>
      </w:r>
      <w:r w:rsidR="009F0D1E" w:rsidRPr="007F299E">
        <w:rPr>
          <w:rFonts w:ascii="Arial" w:hAnsi="Arial" w:cs="Arial"/>
          <w:color w:val="7B7B7B" w:themeColor="accent3" w:themeShade="BF"/>
          <w:sz w:val="22"/>
          <w:szCs w:val="22"/>
        </w:rPr>
        <w:t xml:space="preserve"> Act</w:t>
      </w:r>
      <w:r w:rsidRPr="007F299E">
        <w:rPr>
          <w:rFonts w:ascii="Arial" w:hAnsi="Arial" w:cs="Arial"/>
          <w:color w:val="7B7B7B" w:themeColor="accent3" w:themeShade="BF"/>
          <w:sz w:val="22"/>
          <w:szCs w:val="22"/>
        </w:rPr>
        <w:t xml:space="preserve">, the </w:t>
      </w:r>
      <w:r w:rsidR="006866E7">
        <w:rPr>
          <w:rFonts w:ascii="Arial" w:hAnsi="Arial" w:cs="Arial"/>
          <w:color w:val="7B7B7B" w:themeColor="accent3" w:themeShade="BF"/>
          <w:sz w:val="22"/>
          <w:szCs w:val="22"/>
        </w:rPr>
        <w:t>c</w:t>
      </w:r>
      <w:r w:rsidRPr="007F299E">
        <w:rPr>
          <w:rFonts w:ascii="Arial" w:hAnsi="Arial" w:cs="Arial"/>
          <w:color w:val="7B7B7B" w:themeColor="accent3" w:themeShade="BF"/>
          <w:sz w:val="22"/>
          <w:szCs w:val="22"/>
        </w:rPr>
        <w:t>ourt may appoint a liquidator of a company under section 159(1) if one of the following conditions is met:</w:t>
      </w:r>
    </w:p>
    <w:p w14:paraId="166380DD" w14:textId="4E7128C9" w:rsidR="009E0225" w:rsidRPr="006F14F2" w:rsidRDefault="009E0225" w:rsidP="006F14F2">
      <w:pPr>
        <w:pStyle w:val="ListParagraph"/>
        <w:numPr>
          <w:ilvl w:val="0"/>
          <w:numId w:val="15"/>
        </w:numPr>
        <w:jc w:val="both"/>
        <w:rPr>
          <w:rFonts w:ascii="Arial" w:hAnsi="Arial" w:cs="Arial"/>
          <w:color w:val="7B7B7B" w:themeColor="accent3" w:themeShade="BF"/>
          <w:sz w:val="22"/>
          <w:szCs w:val="22"/>
        </w:rPr>
      </w:pPr>
      <w:r w:rsidRPr="006F14F2">
        <w:rPr>
          <w:rFonts w:ascii="Arial" w:hAnsi="Arial" w:cs="Arial"/>
          <w:color w:val="7B7B7B" w:themeColor="accent3" w:themeShade="BF"/>
          <w:sz w:val="22"/>
          <w:szCs w:val="22"/>
        </w:rPr>
        <w:t>“</w:t>
      </w:r>
      <w:r w:rsidRPr="006F14F2">
        <w:rPr>
          <w:rFonts w:ascii="Arial" w:hAnsi="Arial" w:cs="Arial"/>
          <w:i/>
          <w:iCs/>
          <w:color w:val="7B7B7B" w:themeColor="accent3" w:themeShade="BF"/>
          <w:sz w:val="22"/>
          <w:szCs w:val="22"/>
        </w:rPr>
        <w:t>the company is insolvent</w:t>
      </w:r>
      <w:r w:rsidR="00784358" w:rsidRPr="006F14F2">
        <w:rPr>
          <w:rFonts w:ascii="Arial" w:hAnsi="Arial" w:cs="Arial"/>
          <w:color w:val="7B7B7B" w:themeColor="accent3" w:themeShade="BF"/>
          <w:sz w:val="22"/>
          <w:szCs w:val="22"/>
        </w:rPr>
        <w:t>”</w:t>
      </w:r>
      <w:r w:rsidRPr="007F299E">
        <w:rPr>
          <w:rStyle w:val="FootnoteReference"/>
          <w:rFonts w:ascii="Arial" w:hAnsi="Arial" w:cs="Arial"/>
          <w:color w:val="7B7B7B" w:themeColor="accent3" w:themeShade="BF"/>
          <w:sz w:val="22"/>
          <w:szCs w:val="22"/>
        </w:rPr>
        <w:footnoteReference w:id="25"/>
      </w:r>
      <w:r w:rsidRPr="006F14F2">
        <w:rPr>
          <w:rFonts w:ascii="Arial" w:hAnsi="Arial" w:cs="Arial"/>
          <w:color w:val="7B7B7B" w:themeColor="accent3" w:themeShade="BF"/>
          <w:sz w:val="22"/>
          <w:szCs w:val="22"/>
        </w:rPr>
        <w:t>;</w:t>
      </w:r>
    </w:p>
    <w:p w14:paraId="51F5D1B1" w14:textId="0B8F0226" w:rsidR="009E0225" w:rsidRPr="007F299E" w:rsidRDefault="00784358">
      <w:pPr>
        <w:pStyle w:val="ListParagraph"/>
        <w:numPr>
          <w:ilvl w:val="0"/>
          <w:numId w:val="15"/>
        </w:numPr>
        <w:jc w:val="both"/>
        <w:rPr>
          <w:rFonts w:ascii="Arial" w:hAnsi="Arial" w:cs="Arial"/>
          <w:color w:val="7B7B7B" w:themeColor="accent3" w:themeShade="BF"/>
          <w:sz w:val="22"/>
          <w:szCs w:val="22"/>
        </w:rPr>
      </w:pPr>
      <w:r w:rsidRPr="007F299E">
        <w:rPr>
          <w:rFonts w:ascii="Arial" w:hAnsi="Arial" w:cs="Arial"/>
          <w:color w:val="7B7B7B" w:themeColor="accent3" w:themeShade="BF"/>
          <w:sz w:val="22"/>
          <w:szCs w:val="22"/>
        </w:rPr>
        <w:t>“</w:t>
      </w:r>
      <w:r w:rsidR="009E0225" w:rsidRPr="007F299E">
        <w:rPr>
          <w:rFonts w:ascii="Arial" w:hAnsi="Arial" w:cs="Arial"/>
          <w:i/>
          <w:iCs/>
          <w:color w:val="7B7B7B" w:themeColor="accent3" w:themeShade="BF"/>
          <w:sz w:val="22"/>
          <w:szCs w:val="22"/>
        </w:rPr>
        <w:t xml:space="preserve">the Court is of the opinion that it is </w:t>
      </w:r>
      <w:r w:rsidR="009E0225" w:rsidRPr="005C3B2C">
        <w:rPr>
          <w:rFonts w:ascii="Arial" w:hAnsi="Arial" w:cs="Arial"/>
          <w:i/>
          <w:iCs/>
          <w:color w:val="7B7B7B" w:themeColor="accent3" w:themeShade="BF"/>
          <w:sz w:val="22"/>
          <w:szCs w:val="22"/>
          <w:u w:val="single"/>
        </w:rPr>
        <w:t>just and equitable</w:t>
      </w:r>
      <w:r w:rsidR="009E0225" w:rsidRPr="007F299E">
        <w:rPr>
          <w:rFonts w:ascii="Arial" w:hAnsi="Arial" w:cs="Arial"/>
          <w:i/>
          <w:iCs/>
          <w:color w:val="7B7B7B" w:themeColor="accent3" w:themeShade="BF"/>
          <w:sz w:val="22"/>
          <w:szCs w:val="22"/>
        </w:rPr>
        <w:t xml:space="preserve"> that a liquidator should be appointed</w:t>
      </w:r>
      <w:r w:rsidR="005C3B2C">
        <w:rPr>
          <w:rFonts w:ascii="Arial" w:hAnsi="Arial" w:cs="Arial"/>
          <w:color w:val="7B7B7B" w:themeColor="accent3" w:themeShade="BF"/>
          <w:sz w:val="22"/>
          <w:szCs w:val="22"/>
        </w:rPr>
        <w:t xml:space="preserve"> [emphasis added]</w:t>
      </w:r>
      <w:r w:rsidRPr="007F299E">
        <w:rPr>
          <w:rFonts w:ascii="Arial" w:hAnsi="Arial" w:cs="Arial"/>
          <w:color w:val="7B7B7B" w:themeColor="accent3" w:themeShade="BF"/>
          <w:sz w:val="22"/>
          <w:szCs w:val="22"/>
        </w:rPr>
        <w:t>”</w:t>
      </w:r>
      <w:r w:rsidR="009E0225" w:rsidRPr="007F299E">
        <w:rPr>
          <w:rStyle w:val="FootnoteReference"/>
          <w:rFonts w:ascii="Arial" w:hAnsi="Arial" w:cs="Arial"/>
          <w:color w:val="7B7B7B" w:themeColor="accent3" w:themeShade="BF"/>
          <w:sz w:val="22"/>
          <w:szCs w:val="22"/>
        </w:rPr>
        <w:footnoteReference w:id="26"/>
      </w:r>
      <w:r w:rsidR="009E0225" w:rsidRPr="007F299E">
        <w:rPr>
          <w:rFonts w:ascii="Arial" w:hAnsi="Arial" w:cs="Arial"/>
          <w:color w:val="7B7B7B" w:themeColor="accent3" w:themeShade="BF"/>
          <w:sz w:val="22"/>
          <w:szCs w:val="22"/>
        </w:rPr>
        <w:t xml:space="preserve">; </w:t>
      </w:r>
      <w:r w:rsidR="009E0225" w:rsidRPr="007F299E">
        <w:rPr>
          <w:rFonts w:ascii="Arial" w:hAnsi="Arial" w:cs="Arial"/>
          <w:b/>
          <w:bCs/>
          <w:color w:val="7B7B7B" w:themeColor="accent3" w:themeShade="BF"/>
          <w:sz w:val="22"/>
          <w:szCs w:val="22"/>
          <w:u w:val="single"/>
        </w:rPr>
        <w:t>or</w:t>
      </w:r>
    </w:p>
    <w:p w14:paraId="602C7819" w14:textId="53BAD2CD" w:rsidR="00B73A83" w:rsidRPr="007F299E" w:rsidRDefault="00784358">
      <w:pPr>
        <w:pStyle w:val="ListParagraph"/>
        <w:numPr>
          <w:ilvl w:val="0"/>
          <w:numId w:val="15"/>
        </w:numPr>
        <w:jc w:val="both"/>
        <w:rPr>
          <w:rFonts w:ascii="Arial" w:hAnsi="Arial" w:cs="Arial"/>
          <w:color w:val="7B7B7B" w:themeColor="accent3" w:themeShade="BF"/>
          <w:sz w:val="22"/>
          <w:szCs w:val="22"/>
        </w:rPr>
      </w:pPr>
      <w:r w:rsidRPr="007F299E">
        <w:rPr>
          <w:rFonts w:ascii="Arial" w:hAnsi="Arial" w:cs="Arial"/>
          <w:color w:val="7B7B7B" w:themeColor="accent3" w:themeShade="BF"/>
          <w:sz w:val="22"/>
          <w:szCs w:val="22"/>
        </w:rPr>
        <w:t>“</w:t>
      </w:r>
      <w:r w:rsidR="009E0225" w:rsidRPr="007F299E">
        <w:rPr>
          <w:rFonts w:ascii="Arial" w:hAnsi="Arial" w:cs="Arial"/>
          <w:i/>
          <w:iCs/>
          <w:color w:val="7B7B7B" w:themeColor="accent3" w:themeShade="BF"/>
          <w:sz w:val="22"/>
          <w:szCs w:val="22"/>
        </w:rPr>
        <w:t>the Court is of the opinion that it is in the public interest for a liquidator to be appointed</w:t>
      </w:r>
      <w:r w:rsidR="009E0225" w:rsidRPr="007F299E">
        <w:rPr>
          <w:rFonts w:ascii="Arial" w:hAnsi="Arial" w:cs="Arial"/>
          <w:color w:val="7B7B7B" w:themeColor="accent3" w:themeShade="BF"/>
          <w:sz w:val="22"/>
          <w:szCs w:val="22"/>
        </w:rPr>
        <w:t>.</w:t>
      </w:r>
      <w:r w:rsidRPr="007F299E">
        <w:rPr>
          <w:rFonts w:ascii="Arial" w:hAnsi="Arial" w:cs="Arial"/>
          <w:color w:val="7B7B7B" w:themeColor="accent3" w:themeShade="BF"/>
          <w:sz w:val="22"/>
          <w:szCs w:val="22"/>
        </w:rPr>
        <w:t>”</w:t>
      </w:r>
      <w:r w:rsidR="004A6B21" w:rsidRPr="007F299E">
        <w:rPr>
          <w:rStyle w:val="FootnoteReference"/>
          <w:rFonts w:ascii="Arial" w:hAnsi="Arial" w:cs="Arial"/>
          <w:color w:val="7B7B7B" w:themeColor="accent3" w:themeShade="BF"/>
          <w:sz w:val="22"/>
          <w:szCs w:val="22"/>
        </w:rPr>
        <w:footnoteReference w:id="27"/>
      </w:r>
    </w:p>
    <w:p w14:paraId="0BDF9176" w14:textId="77777777" w:rsidR="008517F5" w:rsidRDefault="008517F5" w:rsidP="004A6B21">
      <w:pPr>
        <w:jc w:val="both"/>
        <w:rPr>
          <w:rFonts w:ascii="Arial" w:hAnsi="Arial" w:cs="Arial"/>
          <w:color w:val="7B7B7B" w:themeColor="accent3" w:themeShade="BF"/>
          <w:sz w:val="22"/>
          <w:szCs w:val="22"/>
        </w:rPr>
      </w:pPr>
    </w:p>
    <w:p w14:paraId="1D607590" w14:textId="77777777" w:rsidR="00CF7B40" w:rsidRPr="003167EB" w:rsidRDefault="00CF7B40" w:rsidP="00CF7B40">
      <w:pPr>
        <w:jc w:val="both"/>
        <w:rPr>
          <w:rFonts w:ascii="Arial" w:hAnsi="Arial" w:cs="Arial"/>
          <w:color w:val="7B7B7B" w:themeColor="accent3" w:themeShade="BF"/>
          <w:sz w:val="22"/>
          <w:szCs w:val="22"/>
          <w:u w:val="single"/>
        </w:rPr>
      </w:pPr>
      <w:r>
        <w:rPr>
          <w:rFonts w:ascii="Arial" w:hAnsi="Arial" w:cs="Arial"/>
          <w:color w:val="7B7B7B" w:themeColor="accent3" w:themeShade="BF"/>
          <w:sz w:val="22"/>
          <w:szCs w:val="22"/>
          <w:u w:val="single"/>
        </w:rPr>
        <w:t>Standing to bring application under section 162</w:t>
      </w:r>
    </w:p>
    <w:p w14:paraId="188AEA22" w14:textId="77777777" w:rsidR="00CF7B40" w:rsidRDefault="00CF7B40" w:rsidP="00CF7B40">
      <w:pPr>
        <w:jc w:val="both"/>
        <w:rPr>
          <w:rFonts w:ascii="Arial" w:hAnsi="Arial" w:cs="Arial"/>
          <w:color w:val="7B7B7B" w:themeColor="accent3" w:themeShade="BF"/>
          <w:sz w:val="22"/>
          <w:szCs w:val="22"/>
        </w:rPr>
      </w:pPr>
      <w:r w:rsidRPr="005C3B2C">
        <w:rPr>
          <w:rFonts w:ascii="Arial" w:hAnsi="Arial" w:cs="Arial"/>
          <w:color w:val="7B7B7B" w:themeColor="accent3" w:themeShade="BF"/>
          <w:sz w:val="22"/>
          <w:szCs w:val="22"/>
        </w:rPr>
        <w:t xml:space="preserve">In terms of who has standing to make an application for such an appointment under section 162(1), section 162(2) states that an application may be made by one or more of the following: </w:t>
      </w:r>
      <w:r w:rsidRPr="005C3B2C">
        <w:rPr>
          <w:rFonts w:ascii="Arial" w:hAnsi="Arial" w:cs="Arial"/>
          <w:color w:val="7B7B7B" w:themeColor="accent3" w:themeShade="BF"/>
          <w:sz w:val="22"/>
          <w:szCs w:val="22"/>
        </w:rPr>
        <w:lastRenderedPageBreak/>
        <w:t>the company</w:t>
      </w:r>
      <w:r w:rsidRPr="005C3B2C">
        <w:rPr>
          <w:rStyle w:val="FootnoteReference"/>
          <w:rFonts w:ascii="Arial" w:hAnsi="Arial" w:cs="Arial"/>
          <w:color w:val="7B7B7B" w:themeColor="accent3" w:themeShade="BF"/>
          <w:sz w:val="22"/>
          <w:szCs w:val="22"/>
        </w:rPr>
        <w:footnoteReference w:id="28"/>
      </w:r>
      <w:r w:rsidRPr="005C3B2C">
        <w:rPr>
          <w:rFonts w:ascii="Arial" w:hAnsi="Arial" w:cs="Arial"/>
          <w:color w:val="7B7B7B" w:themeColor="accent3" w:themeShade="BF"/>
          <w:sz w:val="22"/>
          <w:szCs w:val="22"/>
        </w:rPr>
        <w:t>, a creditor</w:t>
      </w:r>
      <w:r w:rsidRPr="005C3B2C">
        <w:rPr>
          <w:rStyle w:val="FootnoteReference"/>
          <w:rFonts w:ascii="Arial" w:hAnsi="Arial" w:cs="Arial"/>
          <w:color w:val="7B7B7B" w:themeColor="accent3" w:themeShade="BF"/>
          <w:sz w:val="22"/>
          <w:szCs w:val="22"/>
        </w:rPr>
        <w:footnoteReference w:id="29"/>
      </w:r>
      <w:r w:rsidRPr="005C3B2C">
        <w:rPr>
          <w:rFonts w:ascii="Arial" w:hAnsi="Arial" w:cs="Arial"/>
          <w:color w:val="7B7B7B" w:themeColor="accent3" w:themeShade="BF"/>
          <w:sz w:val="22"/>
          <w:szCs w:val="22"/>
        </w:rPr>
        <w:t>, a member</w:t>
      </w:r>
      <w:r w:rsidRPr="005C3B2C">
        <w:rPr>
          <w:rStyle w:val="FootnoteReference"/>
          <w:rFonts w:ascii="Arial" w:hAnsi="Arial" w:cs="Arial"/>
          <w:color w:val="7B7B7B" w:themeColor="accent3" w:themeShade="BF"/>
          <w:sz w:val="22"/>
          <w:szCs w:val="22"/>
        </w:rPr>
        <w:footnoteReference w:id="30"/>
      </w:r>
      <w:r w:rsidRPr="005C3B2C">
        <w:rPr>
          <w:rFonts w:ascii="Arial" w:hAnsi="Arial" w:cs="Arial"/>
          <w:color w:val="7B7B7B" w:themeColor="accent3" w:themeShade="BF"/>
          <w:sz w:val="22"/>
          <w:szCs w:val="22"/>
        </w:rPr>
        <w:t>, the supervisor of a creditors’ arrangement in respect of the company</w:t>
      </w:r>
      <w:r w:rsidRPr="005C3B2C">
        <w:rPr>
          <w:rStyle w:val="FootnoteReference"/>
          <w:rFonts w:ascii="Arial" w:hAnsi="Arial" w:cs="Arial"/>
          <w:color w:val="7B7B7B" w:themeColor="accent3" w:themeShade="BF"/>
          <w:sz w:val="22"/>
          <w:szCs w:val="22"/>
        </w:rPr>
        <w:footnoteReference w:id="31"/>
      </w:r>
      <w:r w:rsidRPr="005C3B2C">
        <w:rPr>
          <w:rFonts w:ascii="Arial" w:hAnsi="Arial" w:cs="Arial"/>
          <w:color w:val="7B7B7B" w:themeColor="accent3" w:themeShade="BF"/>
          <w:sz w:val="22"/>
          <w:szCs w:val="22"/>
        </w:rPr>
        <w:t>, the Financial Services Commission (the “</w:t>
      </w:r>
      <w:r w:rsidRPr="005C3B2C">
        <w:rPr>
          <w:rFonts w:ascii="Arial" w:hAnsi="Arial" w:cs="Arial"/>
          <w:b/>
          <w:bCs/>
          <w:color w:val="7B7B7B" w:themeColor="accent3" w:themeShade="BF"/>
          <w:sz w:val="22"/>
          <w:szCs w:val="22"/>
        </w:rPr>
        <w:t>Commission</w:t>
      </w:r>
      <w:r w:rsidRPr="005C3B2C">
        <w:rPr>
          <w:rFonts w:ascii="Arial" w:hAnsi="Arial" w:cs="Arial"/>
          <w:color w:val="7B7B7B" w:themeColor="accent3" w:themeShade="BF"/>
          <w:sz w:val="22"/>
          <w:szCs w:val="22"/>
        </w:rPr>
        <w:t>”)</w:t>
      </w:r>
      <w:r w:rsidRPr="005C3B2C">
        <w:rPr>
          <w:rStyle w:val="FootnoteReference"/>
          <w:rFonts w:ascii="Arial" w:hAnsi="Arial" w:cs="Arial"/>
          <w:color w:val="7B7B7B" w:themeColor="accent3" w:themeShade="BF"/>
          <w:sz w:val="22"/>
          <w:szCs w:val="22"/>
        </w:rPr>
        <w:footnoteReference w:id="32"/>
      </w:r>
      <w:r w:rsidRPr="005C3B2C">
        <w:rPr>
          <w:rFonts w:ascii="Arial" w:hAnsi="Arial" w:cs="Arial"/>
          <w:color w:val="7B7B7B" w:themeColor="accent3" w:themeShade="BF"/>
          <w:sz w:val="22"/>
          <w:szCs w:val="22"/>
        </w:rPr>
        <w:t xml:space="preserve"> and the Attorney </w:t>
      </w:r>
      <w:r w:rsidRPr="00067C8D">
        <w:rPr>
          <w:rFonts w:ascii="Arial" w:hAnsi="Arial" w:cs="Arial"/>
          <w:color w:val="7B7B7B" w:themeColor="accent3" w:themeShade="BF"/>
          <w:sz w:val="22"/>
          <w:szCs w:val="22"/>
        </w:rPr>
        <w:t>General</w:t>
      </w:r>
      <w:r w:rsidRPr="00067C8D">
        <w:rPr>
          <w:rStyle w:val="FootnoteReference"/>
          <w:rFonts w:ascii="Arial" w:hAnsi="Arial" w:cs="Arial"/>
          <w:color w:val="7B7B7B" w:themeColor="accent3" w:themeShade="BF"/>
          <w:sz w:val="22"/>
          <w:szCs w:val="22"/>
        </w:rPr>
        <w:footnoteReference w:id="33"/>
      </w:r>
      <w:r w:rsidRPr="00067C8D">
        <w:rPr>
          <w:rFonts w:ascii="Arial" w:hAnsi="Arial" w:cs="Arial"/>
          <w:color w:val="7B7B7B" w:themeColor="accent3" w:themeShade="BF"/>
          <w:sz w:val="22"/>
          <w:szCs w:val="22"/>
        </w:rPr>
        <w:t>.</w:t>
      </w:r>
    </w:p>
    <w:p w14:paraId="2444E582" w14:textId="77777777" w:rsidR="00CF7B40" w:rsidRDefault="00CF7B40" w:rsidP="00CF7B40">
      <w:pPr>
        <w:jc w:val="both"/>
        <w:rPr>
          <w:rFonts w:ascii="Arial" w:hAnsi="Arial" w:cs="Arial"/>
          <w:color w:val="7B7B7B" w:themeColor="accent3" w:themeShade="BF"/>
          <w:sz w:val="22"/>
          <w:szCs w:val="22"/>
        </w:rPr>
      </w:pPr>
    </w:p>
    <w:p w14:paraId="04ED4443" w14:textId="433BF6E2" w:rsidR="00CF7B40" w:rsidRDefault="00CF7B40" w:rsidP="004A6B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168(1) states that an application for the appointment of a liquidator shall be determined within 6 months after the application is filed.</w:t>
      </w:r>
      <w:r>
        <w:rPr>
          <w:rStyle w:val="FootnoteReference"/>
          <w:rFonts w:ascii="Arial" w:hAnsi="Arial" w:cs="Arial"/>
          <w:color w:val="7B7B7B" w:themeColor="accent3" w:themeShade="BF"/>
          <w:sz w:val="22"/>
          <w:szCs w:val="22"/>
        </w:rPr>
        <w:footnoteReference w:id="34"/>
      </w:r>
      <w:r>
        <w:rPr>
          <w:rFonts w:ascii="Arial" w:hAnsi="Arial" w:cs="Arial"/>
          <w:color w:val="7B7B7B" w:themeColor="accent3" w:themeShade="BF"/>
          <w:sz w:val="22"/>
          <w:szCs w:val="22"/>
        </w:rPr>
        <w:t xml:space="preserve"> The court may, as it considers fit, extend the period up to 3 months</w:t>
      </w:r>
      <w:r>
        <w:rPr>
          <w:rStyle w:val="FootnoteReference"/>
          <w:rFonts w:ascii="Arial" w:hAnsi="Arial" w:cs="Arial"/>
          <w:color w:val="7B7B7B" w:themeColor="accent3" w:themeShade="BF"/>
          <w:sz w:val="22"/>
          <w:szCs w:val="22"/>
        </w:rPr>
        <w:footnoteReference w:id="35"/>
      </w:r>
      <w:r>
        <w:rPr>
          <w:rFonts w:ascii="Arial" w:hAnsi="Arial" w:cs="Arial"/>
          <w:color w:val="7B7B7B" w:themeColor="accent3" w:themeShade="BF"/>
          <w:sz w:val="22"/>
          <w:szCs w:val="22"/>
        </w:rPr>
        <w:t xml:space="preserve"> if there were special circumstances justifying such an extension</w:t>
      </w:r>
      <w:r>
        <w:rPr>
          <w:rStyle w:val="FootnoteReference"/>
          <w:rFonts w:ascii="Arial" w:hAnsi="Arial" w:cs="Arial"/>
          <w:color w:val="7B7B7B" w:themeColor="accent3" w:themeShade="BF"/>
          <w:sz w:val="22"/>
          <w:szCs w:val="22"/>
        </w:rPr>
        <w:footnoteReference w:id="36"/>
      </w:r>
      <w:r>
        <w:rPr>
          <w:rFonts w:ascii="Arial" w:hAnsi="Arial" w:cs="Arial"/>
          <w:color w:val="7B7B7B" w:themeColor="accent3" w:themeShade="BF"/>
          <w:sz w:val="22"/>
          <w:szCs w:val="22"/>
        </w:rPr>
        <w:t xml:space="preserve"> and the order extending the period is made before the expiry of that period.</w:t>
      </w:r>
      <w:r>
        <w:rPr>
          <w:rStyle w:val="FootnoteReference"/>
          <w:rFonts w:ascii="Arial" w:hAnsi="Arial" w:cs="Arial"/>
          <w:color w:val="7B7B7B" w:themeColor="accent3" w:themeShade="BF"/>
          <w:sz w:val="22"/>
          <w:szCs w:val="22"/>
        </w:rPr>
        <w:footnoteReference w:id="37"/>
      </w:r>
    </w:p>
    <w:p w14:paraId="41F1CB6A" w14:textId="77777777" w:rsidR="00CF7B40" w:rsidRDefault="00CF7B40" w:rsidP="004A6B21">
      <w:pPr>
        <w:jc w:val="both"/>
        <w:rPr>
          <w:rFonts w:ascii="Arial" w:hAnsi="Arial" w:cs="Arial"/>
          <w:color w:val="7B7B7B" w:themeColor="accent3" w:themeShade="BF"/>
          <w:sz w:val="22"/>
          <w:szCs w:val="22"/>
        </w:rPr>
      </w:pPr>
    </w:p>
    <w:p w14:paraId="158AFCFB" w14:textId="77777777" w:rsidR="00A33601" w:rsidRPr="00A33601" w:rsidRDefault="00A33601" w:rsidP="00A33601">
      <w:pPr>
        <w:jc w:val="both"/>
        <w:rPr>
          <w:rFonts w:ascii="Arial" w:hAnsi="Arial" w:cs="Arial"/>
          <w:color w:val="7B7B7B" w:themeColor="accent3" w:themeShade="BF"/>
          <w:sz w:val="22"/>
          <w:szCs w:val="22"/>
        </w:rPr>
      </w:pPr>
      <w:r w:rsidRPr="00067C8D">
        <w:rPr>
          <w:rFonts w:ascii="Arial" w:hAnsi="Arial" w:cs="Arial"/>
          <w:color w:val="7B7B7B" w:themeColor="accent3" w:themeShade="BF"/>
          <w:sz w:val="22"/>
          <w:szCs w:val="22"/>
        </w:rPr>
        <w:t>It should be noted that:</w:t>
      </w:r>
    </w:p>
    <w:p w14:paraId="7E0EB5D9" w14:textId="16F047C7" w:rsidR="00A33601" w:rsidRPr="001A6310" w:rsidRDefault="00A33601" w:rsidP="00A33601">
      <w:pPr>
        <w:pStyle w:val="ListParagraph"/>
        <w:numPr>
          <w:ilvl w:val="0"/>
          <w:numId w:val="16"/>
        </w:numPr>
        <w:jc w:val="both"/>
        <w:rPr>
          <w:rFonts w:ascii="Arial" w:hAnsi="Arial" w:cs="Arial"/>
          <w:color w:val="7B7B7B" w:themeColor="accent3" w:themeShade="BF"/>
          <w:sz w:val="22"/>
          <w:szCs w:val="22"/>
        </w:rPr>
      </w:pPr>
      <w:r w:rsidRPr="00067C8D">
        <w:rPr>
          <w:rFonts w:ascii="Arial" w:hAnsi="Arial" w:cs="Arial"/>
          <w:color w:val="7B7B7B" w:themeColor="accent3" w:themeShade="BF"/>
          <w:sz w:val="22"/>
          <w:szCs w:val="22"/>
        </w:rPr>
        <w:t>If the company is insolvent, an application by a member “</w:t>
      </w:r>
      <w:r w:rsidRPr="00067C8D">
        <w:rPr>
          <w:rFonts w:ascii="Arial" w:hAnsi="Arial" w:cs="Arial"/>
          <w:i/>
          <w:iCs/>
          <w:color w:val="7B7B7B" w:themeColor="accent3" w:themeShade="BF"/>
          <w:sz w:val="22"/>
          <w:szCs w:val="22"/>
        </w:rPr>
        <w:t>may only be made with the leave of the Court, which shall not be granted unless the Court is satisfied that there is a prima facie case that the company is insolvent.</w:t>
      </w:r>
      <w:r w:rsidRPr="00067C8D">
        <w:rPr>
          <w:rFonts w:ascii="Arial" w:hAnsi="Arial" w:cs="Arial"/>
          <w:color w:val="7B7B7B" w:themeColor="accent3" w:themeShade="BF"/>
          <w:sz w:val="22"/>
          <w:szCs w:val="22"/>
        </w:rPr>
        <w:t>”</w:t>
      </w:r>
      <w:r w:rsidRPr="00067C8D">
        <w:rPr>
          <w:rStyle w:val="FootnoteReference"/>
          <w:rFonts w:ascii="Arial" w:hAnsi="Arial" w:cs="Arial"/>
          <w:color w:val="7B7B7B" w:themeColor="accent3" w:themeShade="BF"/>
          <w:sz w:val="22"/>
          <w:szCs w:val="22"/>
        </w:rPr>
        <w:footnoteReference w:id="38"/>
      </w:r>
      <w:r w:rsidRPr="00067C8D">
        <w:rPr>
          <w:rFonts w:ascii="Arial" w:hAnsi="Arial" w:cs="Arial"/>
          <w:color w:val="7B7B7B" w:themeColor="accent3" w:themeShade="BF"/>
          <w:sz w:val="22"/>
          <w:szCs w:val="22"/>
        </w:rPr>
        <w:t>;</w:t>
      </w:r>
    </w:p>
    <w:p w14:paraId="1C4BFB67" w14:textId="1B3AB724" w:rsidR="00A33601" w:rsidRPr="001A6310" w:rsidRDefault="00A33601" w:rsidP="00A33601">
      <w:pPr>
        <w:pStyle w:val="ListParagraph"/>
        <w:numPr>
          <w:ilvl w:val="0"/>
          <w:numId w:val="16"/>
        </w:numPr>
        <w:jc w:val="both"/>
        <w:rPr>
          <w:rFonts w:ascii="Arial" w:hAnsi="Arial" w:cs="Arial"/>
          <w:color w:val="7B7B7B" w:themeColor="accent3" w:themeShade="BF"/>
          <w:sz w:val="22"/>
          <w:szCs w:val="22"/>
        </w:rPr>
      </w:pPr>
      <w:r w:rsidRPr="00A33601">
        <w:rPr>
          <w:rFonts w:ascii="Arial" w:hAnsi="Arial" w:cs="Arial"/>
          <w:color w:val="7B7B7B" w:themeColor="accent3" w:themeShade="BF"/>
          <w:sz w:val="22"/>
          <w:szCs w:val="22"/>
        </w:rPr>
        <w:t>Appointing a liquidator over a BVI company on “</w:t>
      </w:r>
      <w:r w:rsidRPr="00E26F2F">
        <w:rPr>
          <w:rFonts w:ascii="Arial" w:hAnsi="Arial" w:cs="Arial"/>
          <w:i/>
          <w:iCs/>
          <w:color w:val="7B7B7B" w:themeColor="accent3" w:themeShade="BF"/>
          <w:sz w:val="22"/>
          <w:szCs w:val="22"/>
        </w:rPr>
        <w:t>just and equitable grounds</w:t>
      </w:r>
      <w:r w:rsidRPr="00A33601">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has been given a wide meaning under case law including where there is no justification for the company continuing to exist;</w:t>
      </w:r>
      <w:r>
        <w:rPr>
          <w:rStyle w:val="FootnoteReference"/>
          <w:rFonts w:ascii="Arial" w:hAnsi="Arial" w:cs="Arial"/>
          <w:color w:val="7B7B7B" w:themeColor="accent3" w:themeShade="BF"/>
          <w:sz w:val="22"/>
          <w:szCs w:val="22"/>
        </w:rPr>
        <w:footnoteReference w:id="39"/>
      </w:r>
      <w:r w:rsidRPr="00A33601">
        <w:rPr>
          <w:rFonts w:ascii="Arial" w:hAnsi="Arial" w:cs="Arial"/>
          <w:color w:val="7B7B7B" w:themeColor="accent3" w:themeShade="BF"/>
          <w:sz w:val="22"/>
          <w:szCs w:val="22"/>
        </w:rPr>
        <w:t xml:space="preserve"> and</w:t>
      </w:r>
    </w:p>
    <w:p w14:paraId="29F85305" w14:textId="0C969710" w:rsidR="00A33601" w:rsidRPr="00067C8D" w:rsidRDefault="00A33601" w:rsidP="00A33601">
      <w:pPr>
        <w:pStyle w:val="ListParagraph"/>
        <w:numPr>
          <w:ilvl w:val="0"/>
          <w:numId w:val="16"/>
        </w:numPr>
        <w:jc w:val="both"/>
        <w:rPr>
          <w:rFonts w:ascii="Arial" w:hAnsi="Arial" w:cs="Arial"/>
          <w:color w:val="7B7B7B" w:themeColor="accent3" w:themeShade="BF"/>
          <w:sz w:val="22"/>
          <w:szCs w:val="22"/>
        </w:rPr>
      </w:pPr>
      <w:r w:rsidRPr="00067C8D">
        <w:rPr>
          <w:rFonts w:ascii="Arial" w:hAnsi="Arial" w:cs="Arial"/>
          <w:color w:val="7B7B7B" w:themeColor="accent3" w:themeShade="BF"/>
          <w:sz w:val="22"/>
          <w:szCs w:val="22"/>
        </w:rPr>
        <w:t xml:space="preserve">Only the Commission or the Attorney General may apply to appoint a liquidator if the </w:t>
      </w:r>
      <w:r w:rsidR="006866E7">
        <w:rPr>
          <w:rFonts w:ascii="Arial" w:hAnsi="Arial" w:cs="Arial"/>
          <w:color w:val="7B7B7B" w:themeColor="accent3" w:themeShade="BF"/>
          <w:sz w:val="22"/>
          <w:szCs w:val="22"/>
        </w:rPr>
        <w:t>c</w:t>
      </w:r>
      <w:r w:rsidRPr="00067C8D">
        <w:rPr>
          <w:rFonts w:ascii="Arial" w:hAnsi="Arial" w:cs="Arial"/>
          <w:color w:val="7B7B7B" w:themeColor="accent3" w:themeShade="BF"/>
          <w:sz w:val="22"/>
          <w:szCs w:val="22"/>
        </w:rPr>
        <w:t>ourt is of the opinion that it is in the public interest for a liquidator to be appointed</w:t>
      </w:r>
      <w:r w:rsidRPr="00067C8D">
        <w:rPr>
          <w:rStyle w:val="FootnoteReference"/>
          <w:rFonts w:ascii="Arial" w:hAnsi="Arial" w:cs="Arial"/>
          <w:color w:val="7B7B7B" w:themeColor="accent3" w:themeShade="BF"/>
          <w:sz w:val="22"/>
          <w:szCs w:val="22"/>
        </w:rPr>
        <w:footnoteReference w:id="40"/>
      </w:r>
      <w:r w:rsidRPr="00067C8D">
        <w:rPr>
          <w:rFonts w:ascii="Arial" w:hAnsi="Arial" w:cs="Arial"/>
          <w:color w:val="7B7B7B" w:themeColor="accent3" w:themeShade="BF"/>
          <w:sz w:val="22"/>
          <w:szCs w:val="22"/>
        </w:rPr>
        <w:t>. In this situation, the Commission may only apply to appoint a liquidator if the company in question “</w:t>
      </w:r>
      <w:r w:rsidRPr="00067C8D">
        <w:rPr>
          <w:rFonts w:ascii="Arial" w:hAnsi="Arial" w:cs="Arial"/>
          <w:i/>
          <w:iCs/>
          <w:color w:val="7B7B7B" w:themeColor="accent3" w:themeShade="BF"/>
          <w:sz w:val="22"/>
          <w:szCs w:val="22"/>
        </w:rPr>
        <w:t>is, or at any time has been, a regulated person or the company is carrying on, or at any time has carried on, unlicensed financial services business</w:t>
      </w:r>
      <w:r w:rsidRPr="00067C8D">
        <w:rPr>
          <w:rFonts w:ascii="Arial" w:hAnsi="Arial" w:cs="Arial"/>
          <w:color w:val="7B7B7B" w:themeColor="accent3" w:themeShade="BF"/>
          <w:sz w:val="22"/>
          <w:szCs w:val="22"/>
        </w:rPr>
        <w:t>.”</w:t>
      </w:r>
      <w:r w:rsidRPr="00067C8D">
        <w:rPr>
          <w:rStyle w:val="FootnoteReference"/>
          <w:rFonts w:ascii="Arial" w:hAnsi="Arial" w:cs="Arial"/>
          <w:color w:val="7B7B7B" w:themeColor="accent3" w:themeShade="BF"/>
          <w:sz w:val="22"/>
          <w:szCs w:val="22"/>
        </w:rPr>
        <w:footnoteReference w:id="41"/>
      </w:r>
    </w:p>
    <w:p w14:paraId="22A16867" w14:textId="77777777" w:rsidR="00784358" w:rsidRPr="000C501D" w:rsidRDefault="00784358" w:rsidP="008065CE">
      <w:pPr>
        <w:jc w:val="both"/>
        <w:rPr>
          <w:rFonts w:ascii="Arial" w:hAnsi="Arial" w:cs="Arial"/>
          <w:bCs/>
          <w:sz w:val="22"/>
          <w:szCs w:val="22"/>
          <w:lang w:val="en-GB"/>
        </w:rPr>
      </w:pPr>
    </w:p>
    <w:p w14:paraId="7FD105B6" w14:textId="4D498782" w:rsidR="00EE6994" w:rsidRPr="000C501D" w:rsidRDefault="00EE6994" w:rsidP="00EE6994">
      <w:pPr>
        <w:jc w:val="both"/>
        <w:rPr>
          <w:rFonts w:ascii="Arial" w:hAnsi="Arial" w:cs="Arial"/>
          <w:b/>
          <w:bCs/>
          <w:color w:val="7B7B7B" w:themeColor="accent3" w:themeShade="BF"/>
          <w:sz w:val="22"/>
          <w:szCs w:val="22"/>
          <w:u w:val="single"/>
        </w:rPr>
      </w:pPr>
      <w:r w:rsidRPr="000C501D">
        <w:rPr>
          <w:rFonts w:ascii="Arial" w:hAnsi="Arial" w:cs="Arial"/>
          <w:b/>
          <w:bCs/>
          <w:color w:val="7B7B7B" w:themeColor="accent3" w:themeShade="BF"/>
          <w:sz w:val="22"/>
          <w:szCs w:val="22"/>
          <w:u w:val="single"/>
        </w:rPr>
        <w:t xml:space="preserve">Appointment of liquidator of </w:t>
      </w:r>
      <w:r w:rsidR="000C501D" w:rsidRPr="000C501D">
        <w:rPr>
          <w:rFonts w:ascii="Arial" w:hAnsi="Arial" w:cs="Arial"/>
          <w:b/>
          <w:bCs/>
          <w:color w:val="7B7B7B" w:themeColor="accent3" w:themeShade="BF"/>
          <w:sz w:val="22"/>
          <w:szCs w:val="22"/>
          <w:u w:val="single"/>
        </w:rPr>
        <w:t xml:space="preserve">a </w:t>
      </w:r>
      <w:r w:rsidRPr="000C501D">
        <w:rPr>
          <w:rFonts w:ascii="Arial" w:hAnsi="Arial" w:cs="Arial"/>
          <w:b/>
          <w:bCs/>
          <w:color w:val="7B7B7B" w:themeColor="accent3" w:themeShade="BF"/>
          <w:sz w:val="22"/>
          <w:szCs w:val="22"/>
          <w:u w:val="single"/>
        </w:rPr>
        <w:t>foreign company</w:t>
      </w:r>
      <w:r w:rsidR="00872541" w:rsidRPr="000C501D">
        <w:rPr>
          <w:rFonts w:ascii="Arial" w:hAnsi="Arial" w:cs="Arial"/>
          <w:b/>
          <w:bCs/>
          <w:color w:val="7B7B7B" w:themeColor="accent3" w:themeShade="BF"/>
          <w:sz w:val="22"/>
          <w:szCs w:val="22"/>
          <w:u w:val="single"/>
        </w:rPr>
        <w:t xml:space="preserve"> – section 163</w:t>
      </w:r>
    </w:p>
    <w:p w14:paraId="10D51500" w14:textId="7D93A20E" w:rsidR="00EE6994" w:rsidRPr="000C501D" w:rsidRDefault="00EE6994" w:rsidP="00EE6994">
      <w:pPr>
        <w:jc w:val="both"/>
        <w:rPr>
          <w:rFonts w:ascii="Arial" w:hAnsi="Arial" w:cs="Arial"/>
          <w:color w:val="7B7B7B" w:themeColor="accent3" w:themeShade="BF"/>
          <w:sz w:val="22"/>
          <w:szCs w:val="22"/>
        </w:rPr>
      </w:pPr>
      <w:r w:rsidRPr="000C501D">
        <w:rPr>
          <w:rFonts w:ascii="Arial" w:hAnsi="Arial" w:cs="Arial"/>
          <w:color w:val="7B7B7B" w:themeColor="accent3" w:themeShade="BF"/>
          <w:sz w:val="22"/>
          <w:szCs w:val="22"/>
        </w:rPr>
        <w:t>Under section 16</w:t>
      </w:r>
      <w:r w:rsidR="00784358" w:rsidRPr="000C501D">
        <w:rPr>
          <w:rFonts w:ascii="Arial" w:hAnsi="Arial" w:cs="Arial"/>
          <w:color w:val="7B7B7B" w:themeColor="accent3" w:themeShade="BF"/>
          <w:sz w:val="22"/>
          <w:szCs w:val="22"/>
        </w:rPr>
        <w:t>3</w:t>
      </w:r>
      <w:r w:rsidRPr="000C501D">
        <w:rPr>
          <w:rFonts w:ascii="Arial" w:hAnsi="Arial" w:cs="Arial"/>
          <w:color w:val="7B7B7B" w:themeColor="accent3" w:themeShade="BF"/>
          <w:sz w:val="22"/>
          <w:szCs w:val="22"/>
        </w:rPr>
        <w:t xml:space="preserve">(1) </w:t>
      </w:r>
      <w:r w:rsidR="009F0D1E" w:rsidRPr="000C501D">
        <w:rPr>
          <w:rFonts w:ascii="Arial" w:hAnsi="Arial" w:cs="Arial"/>
          <w:color w:val="7B7B7B" w:themeColor="accent3" w:themeShade="BF"/>
          <w:sz w:val="22"/>
          <w:szCs w:val="22"/>
        </w:rPr>
        <w:t xml:space="preserve">of the </w:t>
      </w:r>
      <w:r w:rsidR="008517F5">
        <w:rPr>
          <w:rFonts w:ascii="Arial" w:hAnsi="Arial" w:cs="Arial"/>
          <w:color w:val="7B7B7B" w:themeColor="accent3" w:themeShade="BF"/>
          <w:sz w:val="22"/>
          <w:szCs w:val="22"/>
        </w:rPr>
        <w:t>Insolvency</w:t>
      </w:r>
      <w:r w:rsidR="009F0D1E" w:rsidRPr="000C501D">
        <w:rPr>
          <w:rFonts w:ascii="Arial" w:hAnsi="Arial" w:cs="Arial"/>
          <w:color w:val="7B7B7B" w:themeColor="accent3" w:themeShade="BF"/>
          <w:sz w:val="22"/>
          <w:szCs w:val="22"/>
        </w:rPr>
        <w:t xml:space="preserve"> Act</w:t>
      </w:r>
      <w:r w:rsidRPr="000C501D">
        <w:rPr>
          <w:rFonts w:ascii="Arial" w:hAnsi="Arial" w:cs="Arial"/>
          <w:color w:val="7B7B7B" w:themeColor="accent3" w:themeShade="BF"/>
          <w:sz w:val="22"/>
          <w:szCs w:val="22"/>
        </w:rPr>
        <w:t xml:space="preserve">, the </w:t>
      </w:r>
      <w:r w:rsidR="006866E7">
        <w:rPr>
          <w:rFonts w:ascii="Arial" w:hAnsi="Arial" w:cs="Arial"/>
          <w:color w:val="7B7B7B" w:themeColor="accent3" w:themeShade="BF"/>
          <w:sz w:val="22"/>
          <w:szCs w:val="22"/>
        </w:rPr>
        <w:t>c</w:t>
      </w:r>
      <w:r w:rsidRPr="000C501D">
        <w:rPr>
          <w:rFonts w:ascii="Arial" w:hAnsi="Arial" w:cs="Arial"/>
          <w:color w:val="7B7B7B" w:themeColor="accent3" w:themeShade="BF"/>
          <w:sz w:val="22"/>
          <w:szCs w:val="22"/>
        </w:rPr>
        <w:t>ourt may appoint a liquidator of a</w:t>
      </w:r>
      <w:r w:rsidR="00784358" w:rsidRPr="000C501D">
        <w:rPr>
          <w:rFonts w:ascii="Arial" w:hAnsi="Arial" w:cs="Arial"/>
          <w:color w:val="7B7B7B" w:themeColor="accent3" w:themeShade="BF"/>
          <w:sz w:val="22"/>
          <w:szCs w:val="22"/>
        </w:rPr>
        <w:t xml:space="preserve"> foreign</w:t>
      </w:r>
      <w:r w:rsidRPr="000C501D">
        <w:rPr>
          <w:rFonts w:ascii="Arial" w:hAnsi="Arial" w:cs="Arial"/>
          <w:color w:val="7B7B7B" w:themeColor="accent3" w:themeShade="BF"/>
          <w:sz w:val="22"/>
          <w:szCs w:val="22"/>
        </w:rPr>
        <w:t xml:space="preserve"> company under section 159(1) if</w:t>
      </w:r>
      <w:r w:rsidR="00784358" w:rsidRPr="000C501D">
        <w:rPr>
          <w:rFonts w:ascii="Arial" w:hAnsi="Arial" w:cs="Arial"/>
          <w:color w:val="7B7B7B" w:themeColor="accent3" w:themeShade="BF"/>
          <w:sz w:val="22"/>
          <w:szCs w:val="22"/>
        </w:rPr>
        <w:t xml:space="preserve"> the </w:t>
      </w:r>
      <w:r w:rsidR="006866E7">
        <w:rPr>
          <w:rFonts w:ascii="Arial" w:hAnsi="Arial" w:cs="Arial"/>
          <w:color w:val="7B7B7B" w:themeColor="accent3" w:themeShade="BF"/>
          <w:sz w:val="22"/>
          <w:szCs w:val="22"/>
        </w:rPr>
        <w:t>c</w:t>
      </w:r>
      <w:r w:rsidR="00784358" w:rsidRPr="000C501D">
        <w:rPr>
          <w:rFonts w:ascii="Arial" w:hAnsi="Arial" w:cs="Arial"/>
          <w:color w:val="7B7B7B" w:themeColor="accent3" w:themeShade="BF"/>
          <w:sz w:val="22"/>
          <w:szCs w:val="22"/>
        </w:rPr>
        <w:t>ourt is satisfied th</w:t>
      </w:r>
      <w:r w:rsidR="000C501D" w:rsidRPr="000C501D">
        <w:rPr>
          <w:rFonts w:ascii="Arial" w:hAnsi="Arial" w:cs="Arial"/>
          <w:color w:val="7B7B7B" w:themeColor="accent3" w:themeShade="BF"/>
          <w:sz w:val="22"/>
          <w:szCs w:val="22"/>
        </w:rPr>
        <w:t>at th</w:t>
      </w:r>
      <w:r w:rsidR="00784358" w:rsidRPr="000C501D">
        <w:rPr>
          <w:rFonts w:ascii="Arial" w:hAnsi="Arial" w:cs="Arial"/>
          <w:color w:val="7B7B7B" w:themeColor="accent3" w:themeShade="BF"/>
          <w:sz w:val="22"/>
          <w:szCs w:val="22"/>
        </w:rPr>
        <w:t xml:space="preserve">e company in question has a </w:t>
      </w:r>
      <w:r w:rsidR="00784358" w:rsidRPr="000C501D">
        <w:rPr>
          <w:rFonts w:ascii="Arial" w:hAnsi="Arial" w:cs="Arial"/>
          <w:color w:val="7B7B7B" w:themeColor="accent3" w:themeShade="BF"/>
          <w:sz w:val="22"/>
          <w:szCs w:val="22"/>
          <w:u w:val="single"/>
        </w:rPr>
        <w:t>connection</w:t>
      </w:r>
      <w:r w:rsidR="00784358" w:rsidRPr="000C501D">
        <w:rPr>
          <w:rFonts w:ascii="Arial" w:hAnsi="Arial" w:cs="Arial"/>
          <w:color w:val="7B7B7B" w:themeColor="accent3" w:themeShade="BF"/>
          <w:sz w:val="22"/>
          <w:szCs w:val="22"/>
        </w:rPr>
        <w:t xml:space="preserve"> with the BVI </w:t>
      </w:r>
      <w:r w:rsidR="00784358" w:rsidRPr="009439C3">
        <w:rPr>
          <w:rFonts w:ascii="Arial" w:hAnsi="Arial" w:cs="Arial"/>
          <w:color w:val="7B7B7B" w:themeColor="accent3" w:themeShade="BF"/>
          <w:sz w:val="22"/>
          <w:szCs w:val="22"/>
          <w:u w:val="single"/>
        </w:rPr>
        <w:t>and</w:t>
      </w:r>
      <w:r w:rsidRPr="000C501D">
        <w:rPr>
          <w:rFonts w:ascii="Arial" w:hAnsi="Arial" w:cs="Arial"/>
          <w:color w:val="7B7B7B" w:themeColor="accent3" w:themeShade="BF"/>
          <w:sz w:val="22"/>
          <w:szCs w:val="22"/>
        </w:rPr>
        <w:t xml:space="preserve"> one of the following conditions is met:</w:t>
      </w:r>
    </w:p>
    <w:p w14:paraId="59935A78" w14:textId="3F930467" w:rsidR="00EE6994" w:rsidRPr="006F14F2" w:rsidRDefault="00EE6994" w:rsidP="006F14F2">
      <w:pPr>
        <w:pStyle w:val="ListParagraph"/>
        <w:numPr>
          <w:ilvl w:val="0"/>
          <w:numId w:val="17"/>
        </w:numPr>
        <w:jc w:val="both"/>
        <w:rPr>
          <w:rFonts w:ascii="Arial" w:hAnsi="Arial" w:cs="Arial"/>
          <w:i/>
          <w:iCs/>
          <w:color w:val="7B7B7B" w:themeColor="accent3" w:themeShade="BF"/>
          <w:sz w:val="22"/>
          <w:szCs w:val="22"/>
        </w:rPr>
      </w:pPr>
      <w:r w:rsidRPr="006F14F2">
        <w:rPr>
          <w:rFonts w:ascii="Arial" w:hAnsi="Arial" w:cs="Arial"/>
          <w:color w:val="7B7B7B" w:themeColor="accent3" w:themeShade="BF"/>
          <w:sz w:val="22"/>
          <w:szCs w:val="22"/>
        </w:rPr>
        <w:t>“</w:t>
      </w:r>
      <w:r w:rsidRPr="006F14F2">
        <w:rPr>
          <w:rFonts w:ascii="Arial" w:hAnsi="Arial" w:cs="Arial"/>
          <w:i/>
          <w:iCs/>
          <w:color w:val="7B7B7B" w:themeColor="accent3" w:themeShade="BF"/>
          <w:sz w:val="22"/>
          <w:szCs w:val="22"/>
        </w:rPr>
        <w:t>the company is insolvent</w:t>
      </w:r>
      <w:r w:rsidR="00784358" w:rsidRPr="006F14F2">
        <w:rPr>
          <w:rFonts w:ascii="Arial" w:hAnsi="Arial" w:cs="Arial"/>
          <w:color w:val="7B7B7B" w:themeColor="accent3" w:themeShade="BF"/>
          <w:sz w:val="22"/>
          <w:szCs w:val="22"/>
        </w:rPr>
        <w:t>”</w:t>
      </w:r>
      <w:r w:rsidRPr="000C501D">
        <w:rPr>
          <w:rStyle w:val="FootnoteReference"/>
          <w:rFonts w:ascii="Arial" w:hAnsi="Arial" w:cs="Arial"/>
          <w:color w:val="7B7B7B" w:themeColor="accent3" w:themeShade="BF"/>
          <w:sz w:val="22"/>
          <w:szCs w:val="22"/>
        </w:rPr>
        <w:footnoteReference w:id="42"/>
      </w:r>
      <w:r w:rsidRPr="006F14F2">
        <w:rPr>
          <w:rFonts w:ascii="Arial" w:hAnsi="Arial" w:cs="Arial"/>
          <w:color w:val="7B7B7B" w:themeColor="accent3" w:themeShade="BF"/>
          <w:sz w:val="22"/>
          <w:szCs w:val="22"/>
        </w:rPr>
        <w:t>;</w:t>
      </w:r>
    </w:p>
    <w:p w14:paraId="01D1AC26" w14:textId="010F4D00" w:rsidR="00784358" w:rsidRPr="000C501D" w:rsidRDefault="00784358">
      <w:pPr>
        <w:pStyle w:val="ListParagraph"/>
        <w:numPr>
          <w:ilvl w:val="0"/>
          <w:numId w:val="17"/>
        </w:numPr>
        <w:jc w:val="both"/>
        <w:rPr>
          <w:rFonts w:ascii="Arial" w:hAnsi="Arial" w:cs="Arial"/>
          <w:i/>
          <w:iCs/>
          <w:color w:val="7B7B7B" w:themeColor="accent3" w:themeShade="BF"/>
          <w:sz w:val="22"/>
          <w:szCs w:val="22"/>
        </w:rPr>
      </w:pPr>
      <w:r w:rsidRPr="000C501D">
        <w:rPr>
          <w:rFonts w:ascii="Arial" w:hAnsi="Arial" w:cs="Arial"/>
          <w:color w:val="7B7B7B" w:themeColor="accent3" w:themeShade="BF"/>
          <w:sz w:val="22"/>
          <w:szCs w:val="22"/>
        </w:rPr>
        <w:t>“</w:t>
      </w:r>
      <w:r w:rsidRPr="000C501D">
        <w:rPr>
          <w:rFonts w:ascii="Arial" w:hAnsi="Arial" w:cs="Arial"/>
          <w:i/>
          <w:iCs/>
          <w:color w:val="7B7B7B" w:themeColor="accent3" w:themeShade="BF"/>
          <w:sz w:val="22"/>
          <w:szCs w:val="22"/>
        </w:rPr>
        <w:t>the Court is of the opinion that it is just and equitable that a liquidator should be appointed</w:t>
      </w:r>
      <w:r w:rsidRPr="000C501D">
        <w:rPr>
          <w:rFonts w:ascii="Arial" w:hAnsi="Arial" w:cs="Arial"/>
          <w:color w:val="7B7B7B" w:themeColor="accent3" w:themeShade="BF"/>
          <w:sz w:val="22"/>
          <w:szCs w:val="22"/>
        </w:rPr>
        <w:t>”</w:t>
      </w:r>
      <w:r w:rsidRPr="000C501D">
        <w:rPr>
          <w:rStyle w:val="FootnoteReference"/>
          <w:rFonts w:ascii="Arial" w:hAnsi="Arial" w:cs="Arial"/>
          <w:color w:val="7B7B7B" w:themeColor="accent3" w:themeShade="BF"/>
          <w:sz w:val="22"/>
          <w:szCs w:val="22"/>
        </w:rPr>
        <w:footnoteReference w:id="43"/>
      </w:r>
      <w:r w:rsidRPr="000C501D">
        <w:rPr>
          <w:rFonts w:ascii="Arial" w:hAnsi="Arial" w:cs="Arial"/>
          <w:color w:val="7B7B7B" w:themeColor="accent3" w:themeShade="BF"/>
          <w:sz w:val="22"/>
          <w:szCs w:val="22"/>
        </w:rPr>
        <w:t>;</w:t>
      </w:r>
    </w:p>
    <w:p w14:paraId="3771EF13" w14:textId="6D1275D9" w:rsidR="00784358" w:rsidRPr="000C501D" w:rsidRDefault="00784358">
      <w:pPr>
        <w:pStyle w:val="ListParagraph"/>
        <w:numPr>
          <w:ilvl w:val="0"/>
          <w:numId w:val="17"/>
        </w:numPr>
        <w:jc w:val="both"/>
        <w:rPr>
          <w:rFonts w:ascii="Arial" w:hAnsi="Arial" w:cs="Arial"/>
          <w:color w:val="7B7B7B" w:themeColor="accent3" w:themeShade="BF"/>
          <w:sz w:val="22"/>
          <w:szCs w:val="22"/>
        </w:rPr>
      </w:pPr>
      <w:r w:rsidRPr="000C501D">
        <w:rPr>
          <w:rFonts w:ascii="Arial" w:hAnsi="Arial" w:cs="Arial"/>
          <w:color w:val="7B7B7B" w:themeColor="accent3" w:themeShade="BF"/>
          <w:sz w:val="22"/>
          <w:szCs w:val="22"/>
        </w:rPr>
        <w:t>“</w:t>
      </w:r>
      <w:r w:rsidRPr="000C501D">
        <w:rPr>
          <w:rFonts w:ascii="Arial" w:hAnsi="Arial" w:cs="Arial"/>
          <w:i/>
          <w:iCs/>
          <w:color w:val="7B7B7B" w:themeColor="accent3" w:themeShade="BF"/>
          <w:sz w:val="22"/>
          <w:szCs w:val="22"/>
        </w:rPr>
        <w:t>the Court is of the opinion that it is in the public interest for a liquidator to be appointed</w:t>
      </w:r>
      <w:r w:rsidRPr="000C501D">
        <w:rPr>
          <w:rFonts w:ascii="Arial" w:hAnsi="Arial" w:cs="Arial"/>
          <w:color w:val="7B7B7B" w:themeColor="accent3" w:themeShade="BF"/>
          <w:sz w:val="22"/>
          <w:szCs w:val="22"/>
        </w:rPr>
        <w:t>”</w:t>
      </w:r>
      <w:r w:rsidRPr="000C501D">
        <w:rPr>
          <w:rStyle w:val="FootnoteReference"/>
          <w:rFonts w:ascii="Arial" w:hAnsi="Arial" w:cs="Arial"/>
          <w:color w:val="7B7B7B" w:themeColor="accent3" w:themeShade="BF"/>
          <w:sz w:val="22"/>
          <w:szCs w:val="22"/>
        </w:rPr>
        <w:footnoteReference w:id="44"/>
      </w:r>
      <w:r w:rsidRPr="000C501D">
        <w:rPr>
          <w:rFonts w:ascii="Arial" w:hAnsi="Arial" w:cs="Arial"/>
          <w:color w:val="7B7B7B" w:themeColor="accent3" w:themeShade="BF"/>
          <w:sz w:val="22"/>
          <w:szCs w:val="22"/>
        </w:rPr>
        <w:t>;</w:t>
      </w:r>
    </w:p>
    <w:p w14:paraId="3B8F776E" w14:textId="0D269173" w:rsidR="00784358" w:rsidRPr="000C501D" w:rsidRDefault="00784358">
      <w:pPr>
        <w:pStyle w:val="ListParagraph"/>
        <w:numPr>
          <w:ilvl w:val="0"/>
          <w:numId w:val="17"/>
        </w:numPr>
        <w:jc w:val="both"/>
        <w:rPr>
          <w:rFonts w:ascii="Arial" w:hAnsi="Arial" w:cs="Arial"/>
          <w:color w:val="7B7B7B" w:themeColor="accent3" w:themeShade="BF"/>
          <w:sz w:val="22"/>
          <w:szCs w:val="22"/>
        </w:rPr>
      </w:pPr>
      <w:r w:rsidRPr="000C501D">
        <w:rPr>
          <w:rFonts w:ascii="Arial" w:hAnsi="Arial" w:cs="Arial"/>
          <w:color w:val="7B7B7B" w:themeColor="accent3" w:themeShade="BF"/>
          <w:sz w:val="22"/>
          <w:szCs w:val="22"/>
        </w:rPr>
        <w:t>“</w:t>
      </w:r>
      <w:r w:rsidRPr="000C501D">
        <w:rPr>
          <w:rFonts w:ascii="Arial" w:hAnsi="Arial" w:cs="Arial"/>
          <w:i/>
          <w:iCs/>
          <w:color w:val="7B7B7B" w:themeColor="accent3" w:themeShade="BF"/>
          <w:sz w:val="22"/>
          <w:szCs w:val="22"/>
        </w:rPr>
        <w:t>the company is dissolved or has otherwise ceased to exist under or by virtue of the laws of the country in which it was last registered</w:t>
      </w:r>
      <w:r w:rsidRPr="000C501D">
        <w:rPr>
          <w:rFonts w:ascii="Arial" w:hAnsi="Arial" w:cs="Arial"/>
          <w:color w:val="7B7B7B" w:themeColor="accent3" w:themeShade="BF"/>
          <w:sz w:val="22"/>
          <w:szCs w:val="22"/>
        </w:rPr>
        <w:t>”</w:t>
      </w:r>
      <w:r w:rsidRPr="000C501D">
        <w:rPr>
          <w:rStyle w:val="FootnoteReference"/>
          <w:rFonts w:ascii="Arial" w:hAnsi="Arial" w:cs="Arial"/>
          <w:color w:val="7B7B7B" w:themeColor="accent3" w:themeShade="BF"/>
          <w:sz w:val="22"/>
          <w:szCs w:val="22"/>
        </w:rPr>
        <w:footnoteReference w:id="45"/>
      </w:r>
      <w:r w:rsidRPr="000C501D">
        <w:rPr>
          <w:rFonts w:ascii="Arial" w:hAnsi="Arial" w:cs="Arial"/>
          <w:color w:val="7B7B7B" w:themeColor="accent3" w:themeShade="BF"/>
          <w:sz w:val="22"/>
          <w:szCs w:val="22"/>
        </w:rPr>
        <w:t>;</w:t>
      </w:r>
    </w:p>
    <w:p w14:paraId="09E57B73" w14:textId="517A5F9C" w:rsidR="00784358" w:rsidRPr="000C501D" w:rsidRDefault="00784358">
      <w:pPr>
        <w:pStyle w:val="ListParagraph"/>
        <w:numPr>
          <w:ilvl w:val="0"/>
          <w:numId w:val="17"/>
        </w:numPr>
        <w:jc w:val="both"/>
        <w:rPr>
          <w:rFonts w:ascii="Arial" w:hAnsi="Arial" w:cs="Arial"/>
          <w:color w:val="7B7B7B" w:themeColor="accent3" w:themeShade="BF"/>
          <w:sz w:val="22"/>
          <w:szCs w:val="22"/>
        </w:rPr>
      </w:pPr>
      <w:r w:rsidRPr="000C501D">
        <w:rPr>
          <w:rFonts w:ascii="Arial" w:hAnsi="Arial" w:cs="Arial"/>
          <w:color w:val="7B7B7B" w:themeColor="accent3" w:themeShade="BF"/>
          <w:sz w:val="22"/>
          <w:szCs w:val="22"/>
        </w:rPr>
        <w:t>“</w:t>
      </w:r>
      <w:r w:rsidRPr="000C501D">
        <w:rPr>
          <w:rFonts w:ascii="Arial" w:hAnsi="Arial" w:cs="Arial"/>
          <w:i/>
          <w:iCs/>
          <w:color w:val="7B7B7B" w:themeColor="accent3" w:themeShade="BF"/>
          <w:sz w:val="22"/>
          <w:szCs w:val="22"/>
        </w:rPr>
        <w:t>the company has ceased to carry on business</w:t>
      </w:r>
      <w:r w:rsidRPr="000C501D">
        <w:rPr>
          <w:rFonts w:ascii="Arial" w:hAnsi="Arial" w:cs="Arial"/>
          <w:color w:val="7B7B7B" w:themeColor="accent3" w:themeShade="BF"/>
          <w:sz w:val="22"/>
          <w:szCs w:val="22"/>
        </w:rPr>
        <w:t>”</w:t>
      </w:r>
      <w:r w:rsidRPr="000C501D">
        <w:rPr>
          <w:rStyle w:val="FootnoteReference"/>
          <w:rFonts w:ascii="Arial" w:hAnsi="Arial" w:cs="Arial"/>
          <w:color w:val="7B7B7B" w:themeColor="accent3" w:themeShade="BF"/>
          <w:sz w:val="22"/>
          <w:szCs w:val="22"/>
        </w:rPr>
        <w:footnoteReference w:id="46"/>
      </w:r>
      <w:r w:rsidRPr="000C501D">
        <w:rPr>
          <w:rFonts w:ascii="Arial" w:hAnsi="Arial" w:cs="Arial"/>
          <w:color w:val="7B7B7B" w:themeColor="accent3" w:themeShade="BF"/>
          <w:sz w:val="22"/>
          <w:szCs w:val="22"/>
        </w:rPr>
        <w:t>; or</w:t>
      </w:r>
    </w:p>
    <w:p w14:paraId="1932922B" w14:textId="5CE419FF" w:rsidR="00784358" w:rsidRPr="000C501D" w:rsidRDefault="00784358">
      <w:pPr>
        <w:pStyle w:val="ListParagraph"/>
        <w:numPr>
          <w:ilvl w:val="0"/>
          <w:numId w:val="17"/>
        </w:numPr>
        <w:jc w:val="both"/>
        <w:rPr>
          <w:rFonts w:ascii="Arial" w:hAnsi="Arial" w:cs="Arial"/>
          <w:color w:val="7B7B7B" w:themeColor="accent3" w:themeShade="BF"/>
          <w:sz w:val="22"/>
          <w:szCs w:val="22"/>
        </w:rPr>
      </w:pPr>
      <w:r w:rsidRPr="000C501D">
        <w:rPr>
          <w:rFonts w:ascii="Arial" w:hAnsi="Arial" w:cs="Arial"/>
          <w:color w:val="7B7B7B" w:themeColor="accent3" w:themeShade="BF"/>
          <w:sz w:val="22"/>
          <w:szCs w:val="22"/>
        </w:rPr>
        <w:t>“</w:t>
      </w:r>
      <w:r w:rsidRPr="000C501D">
        <w:rPr>
          <w:rFonts w:ascii="Arial" w:hAnsi="Arial" w:cs="Arial"/>
          <w:i/>
          <w:iCs/>
          <w:color w:val="7B7B7B" w:themeColor="accent3" w:themeShade="BF"/>
          <w:sz w:val="22"/>
          <w:szCs w:val="22"/>
        </w:rPr>
        <w:t>the company is carrying on business only for the purpose of winding up its affairs.</w:t>
      </w:r>
      <w:r w:rsidRPr="000C501D">
        <w:rPr>
          <w:rFonts w:ascii="Arial" w:hAnsi="Arial" w:cs="Arial"/>
          <w:color w:val="7B7B7B" w:themeColor="accent3" w:themeShade="BF"/>
          <w:sz w:val="22"/>
          <w:szCs w:val="22"/>
        </w:rPr>
        <w:t>”</w:t>
      </w:r>
      <w:r w:rsidRPr="000C501D">
        <w:rPr>
          <w:rStyle w:val="FootnoteReference"/>
          <w:rFonts w:ascii="Arial" w:hAnsi="Arial" w:cs="Arial"/>
          <w:color w:val="7B7B7B" w:themeColor="accent3" w:themeShade="BF"/>
          <w:sz w:val="22"/>
          <w:szCs w:val="22"/>
        </w:rPr>
        <w:footnoteReference w:id="47"/>
      </w:r>
    </w:p>
    <w:p w14:paraId="10744235" w14:textId="77777777" w:rsidR="00EE6994" w:rsidRPr="000C501D" w:rsidRDefault="00EE6994" w:rsidP="00EE6994">
      <w:pPr>
        <w:jc w:val="both"/>
        <w:rPr>
          <w:rFonts w:ascii="Arial" w:hAnsi="Arial" w:cs="Arial"/>
          <w:color w:val="7B7B7B" w:themeColor="accent3" w:themeShade="BF"/>
          <w:sz w:val="22"/>
          <w:szCs w:val="22"/>
        </w:rPr>
      </w:pPr>
    </w:p>
    <w:p w14:paraId="3C95939B" w14:textId="77777777" w:rsidR="006F14F2" w:rsidRDefault="00621FF2" w:rsidP="00EE6994">
      <w:pPr>
        <w:jc w:val="both"/>
        <w:rPr>
          <w:rFonts w:ascii="Arial" w:hAnsi="Arial" w:cs="Arial"/>
          <w:color w:val="7B7B7B" w:themeColor="accent3" w:themeShade="BF"/>
          <w:sz w:val="22"/>
          <w:szCs w:val="22"/>
        </w:rPr>
      </w:pPr>
      <w:r w:rsidRPr="000C501D">
        <w:rPr>
          <w:rFonts w:ascii="Arial" w:hAnsi="Arial" w:cs="Arial"/>
          <w:color w:val="7B7B7B" w:themeColor="accent3" w:themeShade="BF"/>
          <w:sz w:val="22"/>
          <w:szCs w:val="22"/>
        </w:rPr>
        <w:t>Section 163(2) states that a foreign company will only have a connection with the BVI if</w:t>
      </w:r>
      <w:r w:rsidR="00872541" w:rsidRPr="000C501D">
        <w:rPr>
          <w:rFonts w:ascii="Arial" w:hAnsi="Arial" w:cs="Arial"/>
          <w:color w:val="7B7B7B" w:themeColor="accent3" w:themeShade="BF"/>
          <w:sz w:val="22"/>
          <w:szCs w:val="22"/>
        </w:rPr>
        <w:t>:</w:t>
      </w:r>
    </w:p>
    <w:p w14:paraId="6FF60FEC" w14:textId="5FF57F73" w:rsidR="006F14F2" w:rsidRDefault="00621FF2" w:rsidP="006F14F2">
      <w:pPr>
        <w:pStyle w:val="ListParagraph"/>
        <w:numPr>
          <w:ilvl w:val="0"/>
          <w:numId w:val="36"/>
        </w:numPr>
        <w:jc w:val="both"/>
        <w:rPr>
          <w:rFonts w:ascii="Arial" w:hAnsi="Arial" w:cs="Arial"/>
          <w:color w:val="7B7B7B" w:themeColor="accent3" w:themeShade="BF"/>
          <w:sz w:val="22"/>
          <w:szCs w:val="22"/>
        </w:rPr>
      </w:pPr>
      <w:r w:rsidRPr="006F14F2">
        <w:rPr>
          <w:rFonts w:ascii="Arial" w:hAnsi="Arial" w:cs="Arial"/>
          <w:color w:val="7B7B7B" w:themeColor="accent3" w:themeShade="BF"/>
          <w:sz w:val="22"/>
          <w:szCs w:val="22"/>
        </w:rPr>
        <w:t>it has or appears to have assets in the jurisdiction</w:t>
      </w:r>
      <w:r w:rsidR="006F14F2">
        <w:rPr>
          <w:rFonts w:ascii="Arial" w:hAnsi="Arial" w:cs="Arial"/>
          <w:color w:val="7B7B7B" w:themeColor="accent3" w:themeShade="BF"/>
          <w:sz w:val="22"/>
          <w:szCs w:val="22"/>
        </w:rPr>
        <w:t>;</w:t>
      </w:r>
      <w:r w:rsidRPr="000C501D">
        <w:rPr>
          <w:rStyle w:val="FootnoteReference"/>
          <w:rFonts w:ascii="Arial" w:hAnsi="Arial" w:cs="Arial"/>
          <w:color w:val="7B7B7B" w:themeColor="accent3" w:themeShade="BF"/>
          <w:sz w:val="22"/>
          <w:szCs w:val="22"/>
        </w:rPr>
        <w:footnoteReference w:id="48"/>
      </w:r>
    </w:p>
    <w:p w14:paraId="32663B85" w14:textId="45ECFD77" w:rsidR="006F14F2" w:rsidRDefault="00621FF2" w:rsidP="006F14F2">
      <w:pPr>
        <w:pStyle w:val="ListParagraph"/>
        <w:numPr>
          <w:ilvl w:val="0"/>
          <w:numId w:val="36"/>
        </w:numPr>
        <w:jc w:val="both"/>
        <w:rPr>
          <w:rFonts w:ascii="Arial" w:hAnsi="Arial" w:cs="Arial"/>
          <w:color w:val="7B7B7B" w:themeColor="accent3" w:themeShade="BF"/>
          <w:sz w:val="22"/>
          <w:szCs w:val="22"/>
        </w:rPr>
      </w:pPr>
      <w:r w:rsidRPr="006F14F2">
        <w:rPr>
          <w:rFonts w:ascii="Arial" w:hAnsi="Arial" w:cs="Arial"/>
          <w:color w:val="7B7B7B" w:themeColor="accent3" w:themeShade="BF"/>
          <w:sz w:val="22"/>
          <w:szCs w:val="22"/>
        </w:rPr>
        <w:lastRenderedPageBreak/>
        <w:t>it carries on, or has carried on business in the</w:t>
      </w:r>
      <w:r w:rsidR="000C501D" w:rsidRPr="006F14F2">
        <w:rPr>
          <w:rFonts w:ascii="Arial" w:hAnsi="Arial" w:cs="Arial"/>
          <w:color w:val="7B7B7B" w:themeColor="accent3" w:themeShade="BF"/>
          <w:sz w:val="22"/>
          <w:szCs w:val="22"/>
        </w:rPr>
        <w:t xml:space="preserve"> jurisdiction</w:t>
      </w:r>
      <w:r w:rsidR="006F14F2">
        <w:rPr>
          <w:rFonts w:ascii="Arial" w:hAnsi="Arial" w:cs="Arial"/>
          <w:color w:val="7B7B7B" w:themeColor="accent3" w:themeShade="BF"/>
          <w:sz w:val="22"/>
          <w:szCs w:val="22"/>
        </w:rPr>
        <w:t>;</w:t>
      </w:r>
      <w:r w:rsidRPr="000C501D">
        <w:rPr>
          <w:rStyle w:val="FootnoteReference"/>
          <w:rFonts w:ascii="Arial" w:hAnsi="Arial" w:cs="Arial"/>
          <w:color w:val="7B7B7B" w:themeColor="accent3" w:themeShade="BF"/>
          <w:sz w:val="22"/>
          <w:szCs w:val="22"/>
        </w:rPr>
        <w:footnoteReference w:id="49"/>
      </w:r>
      <w:r w:rsidRPr="006F14F2">
        <w:rPr>
          <w:rFonts w:ascii="Arial" w:hAnsi="Arial" w:cs="Arial"/>
          <w:color w:val="7B7B7B" w:themeColor="accent3" w:themeShade="BF"/>
          <w:sz w:val="22"/>
          <w:szCs w:val="22"/>
        </w:rPr>
        <w:t xml:space="preserve"> or</w:t>
      </w:r>
    </w:p>
    <w:p w14:paraId="677734D2" w14:textId="7A232C45" w:rsidR="00621FF2" w:rsidRPr="006F14F2" w:rsidRDefault="00621FF2" w:rsidP="006F14F2">
      <w:pPr>
        <w:pStyle w:val="ListParagraph"/>
        <w:numPr>
          <w:ilvl w:val="0"/>
          <w:numId w:val="36"/>
        </w:numPr>
        <w:jc w:val="both"/>
        <w:rPr>
          <w:rFonts w:ascii="Arial" w:hAnsi="Arial" w:cs="Arial"/>
          <w:color w:val="7B7B7B" w:themeColor="accent3" w:themeShade="BF"/>
          <w:sz w:val="22"/>
          <w:szCs w:val="22"/>
        </w:rPr>
      </w:pPr>
      <w:r w:rsidRPr="006F14F2">
        <w:rPr>
          <w:rFonts w:ascii="Arial" w:hAnsi="Arial" w:cs="Arial"/>
          <w:color w:val="7B7B7B" w:themeColor="accent3" w:themeShade="BF"/>
          <w:sz w:val="22"/>
          <w:szCs w:val="22"/>
        </w:rPr>
        <w:t>there is a reasonable prospect that appointing a liquidator of the company will benefit the company’s creditors.</w:t>
      </w:r>
      <w:r w:rsidRPr="000C501D">
        <w:rPr>
          <w:rStyle w:val="FootnoteReference"/>
          <w:rFonts w:ascii="Arial" w:hAnsi="Arial" w:cs="Arial"/>
          <w:color w:val="7B7B7B" w:themeColor="accent3" w:themeShade="BF"/>
          <w:sz w:val="22"/>
          <w:szCs w:val="22"/>
        </w:rPr>
        <w:footnoteReference w:id="50"/>
      </w:r>
    </w:p>
    <w:p w14:paraId="4A136C7C" w14:textId="77777777" w:rsidR="00621FF2" w:rsidRDefault="00621FF2" w:rsidP="00EE6994">
      <w:pPr>
        <w:jc w:val="both"/>
        <w:rPr>
          <w:rFonts w:ascii="Arial" w:hAnsi="Arial" w:cs="Arial"/>
          <w:color w:val="7B7B7B" w:themeColor="accent3" w:themeShade="BF"/>
          <w:sz w:val="22"/>
          <w:szCs w:val="22"/>
          <w:highlight w:val="yellow"/>
        </w:rPr>
      </w:pPr>
    </w:p>
    <w:p w14:paraId="4A666913" w14:textId="0D4F9487" w:rsidR="000C501D" w:rsidRPr="003E0760" w:rsidRDefault="000C501D" w:rsidP="00EE6994">
      <w:pPr>
        <w:jc w:val="both"/>
        <w:rPr>
          <w:rFonts w:ascii="Arial" w:hAnsi="Arial" w:cs="Arial"/>
          <w:color w:val="7B7B7B" w:themeColor="accent3" w:themeShade="BF"/>
          <w:sz w:val="22"/>
          <w:szCs w:val="22"/>
          <w:u w:val="single"/>
        </w:rPr>
      </w:pPr>
      <w:r w:rsidRPr="003E0760">
        <w:rPr>
          <w:rFonts w:ascii="Arial" w:hAnsi="Arial" w:cs="Arial"/>
          <w:color w:val="7B7B7B" w:themeColor="accent3" w:themeShade="BF"/>
          <w:sz w:val="22"/>
          <w:szCs w:val="22"/>
          <w:u w:val="single"/>
        </w:rPr>
        <w:t>Standing to bring application under section 163</w:t>
      </w:r>
    </w:p>
    <w:p w14:paraId="0CA91B7C" w14:textId="77777777" w:rsidR="003E0760" w:rsidRDefault="00EE6994" w:rsidP="00B219A4">
      <w:pPr>
        <w:jc w:val="both"/>
        <w:rPr>
          <w:rFonts w:ascii="Arial" w:hAnsi="Arial" w:cs="Arial"/>
          <w:color w:val="7B7B7B" w:themeColor="accent3" w:themeShade="BF"/>
          <w:sz w:val="22"/>
          <w:szCs w:val="22"/>
        </w:rPr>
      </w:pPr>
      <w:r w:rsidRPr="003E0760">
        <w:rPr>
          <w:rFonts w:ascii="Arial" w:hAnsi="Arial" w:cs="Arial"/>
          <w:color w:val="7B7B7B" w:themeColor="accent3" w:themeShade="BF"/>
          <w:sz w:val="22"/>
          <w:szCs w:val="22"/>
        </w:rPr>
        <w:t>In terms of who has standing to make an application for such an appointment under section 16</w:t>
      </w:r>
      <w:r w:rsidR="00621FF2" w:rsidRPr="003E0760">
        <w:rPr>
          <w:rFonts w:ascii="Arial" w:hAnsi="Arial" w:cs="Arial"/>
          <w:color w:val="7B7B7B" w:themeColor="accent3" w:themeShade="BF"/>
          <w:sz w:val="22"/>
          <w:szCs w:val="22"/>
        </w:rPr>
        <w:t>3</w:t>
      </w:r>
      <w:r w:rsidRPr="003E0760">
        <w:rPr>
          <w:rFonts w:ascii="Arial" w:hAnsi="Arial" w:cs="Arial"/>
          <w:color w:val="7B7B7B" w:themeColor="accent3" w:themeShade="BF"/>
          <w:sz w:val="22"/>
          <w:szCs w:val="22"/>
        </w:rPr>
        <w:t xml:space="preserve">, </w:t>
      </w:r>
      <w:r w:rsidR="00872541" w:rsidRPr="003E0760">
        <w:rPr>
          <w:rFonts w:ascii="Arial" w:hAnsi="Arial" w:cs="Arial"/>
          <w:color w:val="7B7B7B" w:themeColor="accent3" w:themeShade="BF"/>
          <w:sz w:val="22"/>
          <w:szCs w:val="22"/>
        </w:rPr>
        <w:t xml:space="preserve">section 163(1) states that </w:t>
      </w:r>
      <w:r w:rsidRPr="003E0760">
        <w:rPr>
          <w:rFonts w:ascii="Arial" w:hAnsi="Arial" w:cs="Arial"/>
          <w:color w:val="7B7B7B" w:themeColor="accent3" w:themeShade="BF"/>
          <w:sz w:val="22"/>
          <w:szCs w:val="22"/>
        </w:rPr>
        <w:t xml:space="preserve">an application may be made by </w:t>
      </w:r>
      <w:r w:rsidR="00872541" w:rsidRPr="003E0760">
        <w:rPr>
          <w:rFonts w:ascii="Arial" w:hAnsi="Arial" w:cs="Arial"/>
          <w:color w:val="7B7B7B" w:themeColor="accent3" w:themeShade="BF"/>
          <w:sz w:val="22"/>
          <w:szCs w:val="22"/>
        </w:rPr>
        <w:t>those</w:t>
      </w:r>
      <w:r w:rsidR="003E0760" w:rsidRPr="003E0760">
        <w:rPr>
          <w:rFonts w:ascii="Arial" w:hAnsi="Arial" w:cs="Arial"/>
          <w:color w:val="7B7B7B" w:themeColor="accent3" w:themeShade="BF"/>
          <w:sz w:val="22"/>
          <w:szCs w:val="22"/>
        </w:rPr>
        <w:t xml:space="preserve"> persons</w:t>
      </w:r>
      <w:r w:rsidR="00872541" w:rsidRPr="003E0760">
        <w:rPr>
          <w:rFonts w:ascii="Arial" w:hAnsi="Arial" w:cs="Arial"/>
          <w:color w:val="7B7B7B" w:themeColor="accent3" w:themeShade="BF"/>
          <w:sz w:val="22"/>
          <w:szCs w:val="22"/>
        </w:rPr>
        <w:t xml:space="preserve"> listed under section 162(2),</w:t>
      </w:r>
      <w:r w:rsidR="003E0760" w:rsidRPr="003E0760">
        <w:rPr>
          <w:rFonts w:ascii="Arial" w:hAnsi="Arial" w:cs="Arial"/>
          <w:color w:val="7B7B7B" w:themeColor="accent3" w:themeShade="BF"/>
          <w:sz w:val="22"/>
          <w:szCs w:val="22"/>
        </w:rPr>
        <w:t xml:space="preserve"> namely</w:t>
      </w:r>
      <w:r w:rsidRPr="003E0760">
        <w:rPr>
          <w:rFonts w:ascii="Arial" w:hAnsi="Arial" w:cs="Arial"/>
          <w:color w:val="7B7B7B" w:themeColor="accent3" w:themeShade="BF"/>
          <w:sz w:val="22"/>
          <w:szCs w:val="22"/>
        </w:rPr>
        <w:t>: the company</w:t>
      </w:r>
      <w:r w:rsidRPr="003E0760">
        <w:rPr>
          <w:rStyle w:val="FootnoteReference"/>
          <w:rFonts w:ascii="Arial" w:hAnsi="Arial" w:cs="Arial"/>
          <w:color w:val="7B7B7B" w:themeColor="accent3" w:themeShade="BF"/>
          <w:sz w:val="22"/>
          <w:szCs w:val="22"/>
        </w:rPr>
        <w:footnoteReference w:id="51"/>
      </w:r>
      <w:r w:rsidRPr="003E0760">
        <w:rPr>
          <w:rFonts w:ascii="Arial" w:hAnsi="Arial" w:cs="Arial"/>
          <w:color w:val="7B7B7B" w:themeColor="accent3" w:themeShade="BF"/>
          <w:sz w:val="22"/>
          <w:szCs w:val="22"/>
        </w:rPr>
        <w:t>, a creditor</w:t>
      </w:r>
      <w:r w:rsidRPr="003E0760">
        <w:rPr>
          <w:rStyle w:val="FootnoteReference"/>
          <w:rFonts w:ascii="Arial" w:hAnsi="Arial" w:cs="Arial"/>
          <w:color w:val="7B7B7B" w:themeColor="accent3" w:themeShade="BF"/>
          <w:sz w:val="22"/>
          <w:szCs w:val="22"/>
        </w:rPr>
        <w:footnoteReference w:id="52"/>
      </w:r>
      <w:r w:rsidRPr="003E0760">
        <w:rPr>
          <w:rFonts w:ascii="Arial" w:hAnsi="Arial" w:cs="Arial"/>
          <w:color w:val="7B7B7B" w:themeColor="accent3" w:themeShade="BF"/>
          <w:sz w:val="22"/>
          <w:szCs w:val="22"/>
        </w:rPr>
        <w:t>, a member</w:t>
      </w:r>
      <w:r w:rsidRPr="003E0760">
        <w:rPr>
          <w:rStyle w:val="FootnoteReference"/>
          <w:rFonts w:ascii="Arial" w:hAnsi="Arial" w:cs="Arial"/>
          <w:color w:val="7B7B7B" w:themeColor="accent3" w:themeShade="BF"/>
          <w:sz w:val="22"/>
          <w:szCs w:val="22"/>
        </w:rPr>
        <w:footnoteReference w:id="53"/>
      </w:r>
      <w:r w:rsidRPr="003E0760">
        <w:rPr>
          <w:rFonts w:ascii="Arial" w:hAnsi="Arial" w:cs="Arial"/>
          <w:color w:val="7B7B7B" w:themeColor="accent3" w:themeShade="BF"/>
          <w:sz w:val="22"/>
          <w:szCs w:val="22"/>
        </w:rPr>
        <w:t>, the supervisor of a creditors’ arrangement in respect of the company</w:t>
      </w:r>
      <w:r w:rsidRPr="003E0760">
        <w:rPr>
          <w:rStyle w:val="FootnoteReference"/>
          <w:rFonts w:ascii="Arial" w:hAnsi="Arial" w:cs="Arial"/>
          <w:color w:val="7B7B7B" w:themeColor="accent3" w:themeShade="BF"/>
          <w:sz w:val="22"/>
          <w:szCs w:val="22"/>
        </w:rPr>
        <w:footnoteReference w:id="54"/>
      </w:r>
      <w:r w:rsidRPr="003E0760">
        <w:rPr>
          <w:rFonts w:ascii="Arial" w:hAnsi="Arial" w:cs="Arial"/>
          <w:color w:val="7B7B7B" w:themeColor="accent3" w:themeShade="BF"/>
          <w:sz w:val="22"/>
          <w:szCs w:val="22"/>
        </w:rPr>
        <w:t>, the Commission</w:t>
      </w:r>
      <w:r w:rsidRPr="003E0760">
        <w:rPr>
          <w:rStyle w:val="FootnoteReference"/>
          <w:rFonts w:ascii="Arial" w:hAnsi="Arial" w:cs="Arial"/>
          <w:color w:val="7B7B7B" w:themeColor="accent3" w:themeShade="BF"/>
          <w:sz w:val="22"/>
          <w:szCs w:val="22"/>
        </w:rPr>
        <w:footnoteReference w:id="55"/>
      </w:r>
      <w:r w:rsidRPr="003E0760">
        <w:rPr>
          <w:rFonts w:ascii="Arial" w:hAnsi="Arial" w:cs="Arial"/>
          <w:color w:val="7B7B7B" w:themeColor="accent3" w:themeShade="BF"/>
          <w:sz w:val="22"/>
          <w:szCs w:val="22"/>
        </w:rPr>
        <w:t xml:space="preserve"> and the Attorney General</w:t>
      </w:r>
      <w:r w:rsidRPr="003E0760">
        <w:rPr>
          <w:rStyle w:val="FootnoteReference"/>
          <w:rFonts w:ascii="Arial" w:hAnsi="Arial" w:cs="Arial"/>
          <w:color w:val="7B7B7B" w:themeColor="accent3" w:themeShade="BF"/>
          <w:sz w:val="22"/>
          <w:szCs w:val="22"/>
        </w:rPr>
        <w:footnoteReference w:id="56"/>
      </w:r>
      <w:r w:rsidRPr="003E0760">
        <w:rPr>
          <w:rFonts w:ascii="Arial" w:hAnsi="Arial" w:cs="Arial"/>
          <w:color w:val="7B7B7B" w:themeColor="accent3" w:themeShade="BF"/>
          <w:sz w:val="22"/>
          <w:szCs w:val="22"/>
        </w:rPr>
        <w:t>.</w:t>
      </w:r>
    </w:p>
    <w:p w14:paraId="0A870578" w14:textId="77777777" w:rsidR="003E0760" w:rsidRDefault="003E0760" w:rsidP="00B219A4">
      <w:pPr>
        <w:jc w:val="both"/>
        <w:rPr>
          <w:rFonts w:ascii="Arial" w:hAnsi="Arial" w:cs="Arial"/>
          <w:color w:val="7B7B7B" w:themeColor="accent3" w:themeShade="BF"/>
          <w:sz w:val="22"/>
          <w:szCs w:val="22"/>
        </w:rPr>
      </w:pPr>
    </w:p>
    <w:p w14:paraId="65FDCB43" w14:textId="5E4B9E7B" w:rsidR="00EE6994" w:rsidRPr="00CB6FB3" w:rsidRDefault="003E0760" w:rsidP="00B219A4">
      <w:pPr>
        <w:jc w:val="both"/>
        <w:rPr>
          <w:rFonts w:ascii="Arial" w:hAnsi="Arial" w:cs="Arial"/>
          <w:color w:val="7B7B7B" w:themeColor="accent3" w:themeShade="BF"/>
          <w:sz w:val="22"/>
          <w:szCs w:val="22"/>
        </w:rPr>
      </w:pPr>
      <w:r w:rsidRPr="003E0760">
        <w:rPr>
          <w:rFonts w:ascii="Arial" w:hAnsi="Arial" w:cs="Arial"/>
          <w:color w:val="7B7B7B" w:themeColor="accent3" w:themeShade="BF"/>
          <w:sz w:val="22"/>
          <w:szCs w:val="22"/>
        </w:rPr>
        <w:t>It should be noted that, s</w:t>
      </w:r>
      <w:r w:rsidR="00B219A4" w:rsidRPr="003E0760">
        <w:rPr>
          <w:rFonts w:ascii="Arial" w:hAnsi="Arial" w:cs="Arial"/>
          <w:color w:val="7B7B7B" w:themeColor="accent3" w:themeShade="BF"/>
          <w:sz w:val="22"/>
          <w:szCs w:val="22"/>
        </w:rPr>
        <w:t>imilar to section 162(4), o</w:t>
      </w:r>
      <w:r w:rsidR="00EE6994" w:rsidRPr="003E0760">
        <w:rPr>
          <w:rFonts w:ascii="Arial" w:hAnsi="Arial" w:cs="Arial"/>
          <w:color w:val="7B7B7B" w:themeColor="accent3" w:themeShade="BF"/>
          <w:sz w:val="22"/>
          <w:szCs w:val="22"/>
        </w:rPr>
        <w:t>nly the Commission or the Attorney General may apply to appoint a liquidator</w:t>
      </w:r>
      <w:r w:rsidR="00B219A4" w:rsidRPr="003E0760">
        <w:rPr>
          <w:rFonts w:ascii="Arial" w:hAnsi="Arial" w:cs="Arial"/>
          <w:color w:val="7B7B7B" w:themeColor="accent3" w:themeShade="BF"/>
          <w:sz w:val="22"/>
          <w:szCs w:val="22"/>
        </w:rPr>
        <w:t xml:space="preserve"> </w:t>
      </w:r>
      <w:r w:rsidR="00EE6994" w:rsidRPr="003E0760">
        <w:rPr>
          <w:rFonts w:ascii="Arial" w:hAnsi="Arial" w:cs="Arial"/>
          <w:color w:val="7B7B7B" w:themeColor="accent3" w:themeShade="BF"/>
          <w:sz w:val="22"/>
          <w:szCs w:val="22"/>
        </w:rPr>
        <w:t xml:space="preserve">if the </w:t>
      </w:r>
      <w:r w:rsidR="006866E7">
        <w:rPr>
          <w:rFonts w:ascii="Arial" w:hAnsi="Arial" w:cs="Arial"/>
          <w:color w:val="7B7B7B" w:themeColor="accent3" w:themeShade="BF"/>
          <w:sz w:val="22"/>
          <w:szCs w:val="22"/>
        </w:rPr>
        <w:t>c</w:t>
      </w:r>
      <w:r w:rsidR="00EE6994" w:rsidRPr="003E0760">
        <w:rPr>
          <w:rFonts w:ascii="Arial" w:hAnsi="Arial" w:cs="Arial"/>
          <w:color w:val="7B7B7B" w:themeColor="accent3" w:themeShade="BF"/>
          <w:sz w:val="22"/>
          <w:szCs w:val="22"/>
        </w:rPr>
        <w:t>ourt is of the opinion that it is in the public interest for a liquidator to be appointed</w:t>
      </w:r>
      <w:r w:rsidR="00EE6994" w:rsidRPr="003E0760">
        <w:rPr>
          <w:rStyle w:val="FootnoteReference"/>
          <w:rFonts w:ascii="Arial" w:hAnsi="Arial" w:cs="Arial"/>
          <w:color w:val="7B7B7B" w:themeColor="accent3" w:themeShade="BF"/>
          <w:sz w:val="22"/>
          <w:szCs w:val="22"/>
        </w:rPr>
        <w:footnoteReference w:id="57"/>
      </w:r>
      <w:r w:rsidR="00EE6994" w:rsidRPr="003E0760">
        <w:rPr>
          <w:rFonts w:ascii="Arial" w:hAnsi="Arial" w:cs="Arial"/>
          <w:color w:val="7B7B7B" w:themeColor="accent3" w:themeShade="BF"/>
          <w:sz w:val="22"/>
          <w:szCs w:val="22"/>
        </w:rPr>
        <w:t>. In this situation, the Commission may only apply to appoint a liquidator under section 16</w:t>
      </w:r>
      <w:r w:rsidR="00B219A4" w:rsidRPr="003E0760">
        <w:rPr>
          <w:rFonts w:ascii="Arial" w:hAnsi="Arial" w:cs="Arial"/>
          <w:color w:val="7B7B7B" w:themeColor="accent3" w:themeShade="BF"/>
          <w:sz w:val="22"/>
          <w:szCs w:val="22"/>
        </w:rPr>
        <w:t>3</w:t>
      </w:r>
      <w:r w:rsidR="00EE6994" w:rsidRPr="003E0760">
        <w:rPr>
          <w:rFonts w:ascii="Arial" w:hAnsi="Arial" w:cs="Arial"/>
          <w:color w:val="7B7B7B" w:themeColor="accent3" w:themeShade="BF"/>
          <w:sz w:val="22"/>
          <w:szCs w:val="22"/>
        </w:rPr>
        <w:t xml:space="preserve">(1)(c) </w:t>
      </w:r>
      <w:r w:rsidR="00B219A4" w:rsidRPr="003E0760">
        <w:rPr>
          <w:rFonts w:ascii="Arial" w:hAnsi="Arial" w:cs="Arial"/>
          <w:color w:val="7B7B7B" w:themeColor="accent3" w:themeShade="BF"/>
          <w:sz w:val="22"/>
          <w:szCs w:val="22"/>
        </w:rPr>
        <w:t>“</w:t>
      </w:r>
      <w:r w:rsidR="00B219A4" w:rsidRPr="003E0760">
        <w:rPr>
          <w:rFonts w:ascii="Arial" w:hAnsi="Arial" w:cs="Arial"/>
          <w:i/>
          <w:iCs/>
          <w:color w:val="7B7B7B" w:themeColor="accent3" w:themeShade="BF"/>
          <w:sz w:val="22"/>
          <w:szCs w:val="22"/>
        </w:rPr>
        <w:t>if the foreign company concerned is or at any time has been, a regulated person or the company is carrying on, or at any time has carried on, unlicensed financial services business</w:t>
      </w:r>
      <w:r w:rsidR="00EE6994" w:rsidRPr="003E0760">
        <w:rPr>
          <w:rFonts w:ascii="Arial" w:hAnsi="Arial" w:cs="Arial"/>
          <w:color w:val="7B7B7B" w:themeColor="accent3" w:themeShade="BF"/>
          <w:sz w:val="22"/>
          <w:szCs w:val="22"/>
        </w:rPr>
        <w:t>.”</w:t>
      </w:r>
      <w:r w:rsidR="00EE6994" w:rsidRPr="003E0760">
        <w:rPr>
          <w:rStyle w:val="FootnoteReference"/>
          <w:rFonts w:ascii="Arial" w:hAnsi="Arial" w:cs="Arial"/>
          <w:color w:val="7B7B7B" w:themeColor="accent3" w:themeShade="BF"/>
          <w:sz w:val="22"/>
          <w:szCs w:val="22"/>
        </w:rPr>
        <w:footnoteReference w:id="58"/>
      </w:r>
    </w:p>
    <w:p w14:paraId="6ACDCE00" w14:textId="77777777" w:rsidR="00B70BCC" w:rsidRDefault="00B70BCC" w:rsidP="008065CE">
      <w:pPr>
        <w:jc w:val="both"/>
        <w:rPr>
          <w:rFonts w:ascii="Avenir Next" w:hAnsi="Avenir Next" w:cs="Arial"/>
          <w:bCs/>
          <w:sz w:val="22"/>
          <w:szCs w:val="22"/>
          <w:lang w:val="en-GB"/>
        </w:rPr>
      </w:pPr>
    </w:p>
    <w:p w14:paraId="3CDF76FB" w14:textId="77777777" w:rsidR="009F0D1E" w:rsidRPr="005965BF" w:rsidRDefault="009F0D1E"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71B98ABD"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571E88" w:rsidRPr="00571E88">
        <w:rPr>
          <w:rFonts w:ascii="Avenir Next" w:hAnsi="Avenir Next" w:cs="Arial"/>
          <w:bCs/>
          <w:sz w:val="22"/>
          <w:szCs w:val="22"/>
          <w:lang w:val="en-GB"/>
        </w:rPr>
        <w:t>what are the requirements to be appointed as a voluntary liquidator in the BVI after 1 January 2023?</w:t>
      </w:r>
    </w:p>
    <w:p w14:paraId="7FF38DE2" w14:textId="77777777" w:rsidR="00241FA3" w:rsidRPr="00D6425B" w:rsidRDefault="00241FA3" w:rsidP="008065CE">
      <w:pPr>
        <w:jc w:val="both"/>
        <w:rPr>
          <w:rFonts w:ascii="Arial" w:hAnsi="Arial" w:cs="Arial"/>
          <w:sz w:val="22"/>
          <w:szCs w:val="22"/>
          <w:lang w:val="en-GB"/>
        </w:rPr>
      </w:pPr>
    </w:p>
    <w:p w14:paraId="56CC5A6B" w14:textId="2CE8043F" w:rsidR="0058170D" w:rsidRPr="00B85344" w:rsidRDefault="00F723B3" w:rsidP="0058170D">
      <w:pPr>
        <w:jc w:val="both"/>
        <w:rPr>
          <w:rFonts w:ascii="Arial" w:hAnsi="Arial" w:cs="Arial"/>
          <w:color w:val="7B7B7B" w:themeColor="accent3" w:themeShade="BF"/>
          <w:sz w:val="22"/>
          <w:szCs w:val="22"/>
          <w:lang w:val="en-HK"/>
        </w:rPr>
      </w:pPr>
      <w:r w:rsidRPr="00B85344">
        <w:rPr>
          <w:rFonts w:ascii="Arial" w:hAnsi="Arial" w:cs="Arial"/>
          <w:color w:val="7B7B7B" w:themeColor="accent3" w:themeShade="BF"/>
          <w:sz w:val="22"/>
          <w:szCs w:val="22"/>
          <w:lang w:val="en-HK"/>
        </w:rPr>
        <w:t>Voluntary liquidation is for the predominant purpose of dealing with the company’s assets and liabilities (if any) in order to dissolve the (solvent) company.</w:t>
      </w:r>
      <w:r w:rsidRPr="00B85344">
        <w:rPr>
          <w:rStyle w:val="FootnoteReference"/>
          <w:rFonts w:ascii="Arial" w:hAnsi="Arial" w:cs="Arial"/>
          <w:color w:val="7B7B7B" w:themeColor="accent3" w:themeShade="BF"/>
          <w:sz w:val="22"/>
          <w:szCs w:val="22"/>
          <w:lang w:val="en-HK"/>
        </w:rPr>
        <w:footnoteReference w:id="59"/>
      </w:r>
      <w:r w:rsidRPr="00B85344">
        <w:rPr>
          <w:rFonts w:ascii="Arial" w:hAnsi="Arial" w:cs="Arial"/>
          <w:color w:val="7B7B7B" w:themeColor="accent3" w:themeShade="BF"/>
          <w:sz w:val="22"/>
          <w:szCs w:val="22"/>
          <w:lang w:val="en-HK"/>
        </w:rPr>
        <w:t xml:space="preserve"> </w:t>
      </w:r>
      <w:r w:rsidR="0058170D" w:rsidRPr="00B85344">
        <w:rPr>
          <w:rFonts w:ascii="Arial" w:hAnsi="Arial" w:cs="Arial"/>
          <w:color w:val="7B7B7B" w:themeColor="accent3" w:themeShade="BF"/>
          <w:sz w:val="22"/>
          <w:szCs w:val="22"/>
          <w:lang w:val="en-HK"/>
        </w:rPr>
        <w:t xml:space="preserve">Amendments to legislation in recent years has increased the focus of the voluntary liquidator’s role in the </w:t>
      </w:r>
      <w:r w:rsidR="001E627B">
        <w:rPr>
          <w:rFonts w:ascii="Arial" w:hAnsi="Arial" w:cs="Arial"/>
          <w:color w:val="7B7B7B" w:themeColor="accent3" w:themeShade="BF"/>
          <w:sz w:val="22"/>
          <w:szCs w:val="22"/>
          <w:lang w:val="en-HK"/>
        </w:rPr>
        <w:t>British Virgin Islands (“</w:t>
      </w:r>
      <w:r w:rsidR="001E627B">
        <w:rPr>
          <w:rFonts w:ascii="Arial" w:hAnsi="Arial" w:cs="Arial"/>
          <w:b/>
          <w:bCs/>
          <w:color w:val="7B7B7B" w:themeColor="accent3" w:themeShade="BF"/>
          <w:sz w:val="22"/>
          <w:szCs w:val="22"/>
          <w:lang w:val="en-HK"/>
        </w:rPr>
        <w:t>BVI</w:t>
      </w:r>
      <w:r w:rsidR="001E627B">
        <w:rPr>
          <w:rFonts w:ascii="Arial" w:hAnsi="Arial" w:cs="Arial"/>
          <w:color w:val="7B7B7B" w:themeColor="accent3" w:themeShade="BF"/>
          <w:sz w:val="22"/>
          <w:szCs w:val="22"/>
          <w:lang w:val="en-HK"/>
        </w:rPr>
        <w:t>”)</w:t>
      </w:r>
      <w:r w:rsidR="0058170D" w:rsidRPr="00B85344">
        <w:rPr>
          <w:rFonts w:ascii="Arial" w:hAnsi="Arial" w:cs="Arial"/>
          <w:color w:val="7B7B7B" w:themeColor="accent3" w:themeShade="BF"/>
          <w:sz w:val="22"/>
          <w:szCs w:val="22"/>
          <w:vertAlign w:val="superscript"/>
          <w:lang w:val="en-HK"/>
        </w:rPr>
        <w:footnoteReference w:id="60"/>
      </w:r>
      <w:r w:rsidR="0058170D" w:rsidRPr="00B85344">
        <w:rPr>
          <w:rFonts w:ascii="Arial" w:hAnsi="Arial" w:cs="Arial"/>
          <w:color w:val="7B7B7B" w:themeColor="accent3" w:themeShade="BF"/>
          <w:sz w:val="22"/>
          <w:szCs w:val="22"/>
          <w:lang w:val="en-HK"/>
        </w:rPr>
        <w:t>.</w:t>
      </w:r>
      <w:r w:rsidRPr="00B85344">
        <w:rPr>
          <w:rFonts w:ascii="Arial" w:hAnsi="Arial" w:cs="Arial"/>
          <w:color w:val="7B7B7B" w:themeColor="accent3" w:themeShade="BF"/>
          <w:sz w:val="22"/>
          <w:szCs w:val="22"/>
          <w:lang w:val="en-HK"/>
        </w:rPr>
        <w:t xml:space="preserve"> </w:t>
      </w:r>
      <w:r w:rsidR="0058170D" w:rsidRPr="00B85344">
        <w:rPr>
          <w:rFonts w:ascii="Arial" w:hAnsi="Arial" w:cs="Arial"/>
          <w:color w:val="7B7B7B" w:themeColor="accent3" w:themeShade="BF"/>
          <w:sz w:val="22"/>
          <w:szCs w:val="22"/>
          <w:lang w:val="en-HK"/>
        </w:rPr>
        <w:t xml:space="preserve">The requirements to be appointed as a voluntary liquidator in the BVI after 1 January 2023 </w:t>
      </w:r>
      <w:r w:rsidR="00B85344" w:rsidRPr="00B85344">
        <w:rPr>
          <w:rFonts w:ascii="Arial" w:hAnsi="Arial" w:cs="Arial"/>
          <w:color w:val="7B7B7B" w:themeColor="accent3" w:themeShade="BF"/>
          <w:sz w:val="22"/>
          <w:szCs w:val="22"/>
          <w:lang w:val="en-HK"/>
        </w:rPr>
        <w:t>is</w:t>
      </w:r>
      <w:r w:rsidR="0058170D" w:rsidRPr="00B85344">
        <w:rPr>
          <w:rFonts w:ascii="Arial" w:hAnsi="Arial" w:cs="Arial"/>
          <w:color w:val="7B7B7B" w:themeColor="accent3" w:themeShade="BF"/>
          <w:sz w:val="22"/>
          <w:szCs w:val="22"/>
          <w:lang w:val="en-HK"/>
        </w:rPr>
        <w:t xml:space="preserve"> set out in the BVI Business Companies (Amendment) Act 2022 (“</w:t>
      </w:r>
      <w:r w:rsidR="0058170D" w:rsidRPr="00B85344">
        <w:rPr>
          <w:rFonts w:ascii="Arial" w:hAnsi="Arial" w:cs="Arial"/>
          <w:b/>
          <w:bCs/>
          <w:color w:val="7B7B7B" w:themeColor="accent3" w:themeShade="BF"/>
          <w:sz w:val="22"/>
          <w:szCs w:val="22"/>
          <w:lang w:val="en-HK"/>
        </w:rPr>
        <w:t>BCA 2022</w:t>
      </w:r>
      <w:r w:rsidR="0058170D" w:rsidRPr="00B85344">
        <w:rPr>
          <w:rFonts w:ascii="Arial" w:hAnsi="Arial" w:cs="Arial"/>
          <w:color w:val="7B7B7B" w:themeColor="accent3" w:themeShade="BF"/>
          <w:sz w:val="22"/>
          <w:szCs w:val="22"/>
          <w:lang w:val="en-HK"/>
        </w:rPr>
        <w:t>”) and the BVI Business Companies (Amendment) Regulations 2022 (“</w:t>
      </w:r>
      <w:r w:rsidR="0058170D" w:rsidRPr="00B85344">
        <w:rPr>
          <w:rFonts w:ascii="Arial" w:hAnsi="Arial" w:cs="Arial"/>
          <w:b/>
          <w:bCs/>
          <w:color w:val="7B7B7B" w:themeColor="accent3" w:themeShade="BF"/>
          <w:sz w:val="22"/>
          <w:szCs w:val="22"/>
          <w:lang w:val="en-HK"/>
        </w:rPr>
        <w:t>Regulations 2022</w:t>
      </w:r>
      <w:r w:rsidR="0058170D" w:rsidRPr="00B85344">
        <w:rPr>
          <w:rFonts w:ascii="Arial" w:hAnsi="Arial" w:cs="Arial"/>
          <w:color w:val="7B7B7B" w:themeColor="accent3" w:themeShade="BF"/>
          <w:sz w:val="22"/>
          <w:szCs w:val="22"/>
          <w:lang w:val="en-HK"/>
        </w:rPr>
        <w:t>”).</w:t>
      </w:r>
    </w:p>
    <w:p w14:paraId="6D3C4E88" w14:textId="77777777" w:rsidR="00376D1F" w:rsidRPr="001E627B" w:rsidRDefault="00376D1F" w:rsidP="0058170D">
      <w:pPr>
        <w:jc w:val="both"/>
        <w:rPr>
          <w:rFonts w:ascii="Arial" w:hAnsi="Arial" w:cs="Arial"/>
          <w:color w:val="7B7B7B" w:themeColor="accent3" w:themeShade="BF"/>
          <w:sz w:val="22"/>
          <w:szCs w:val="22"/>
          <w:lang w:val="en-HK"/>
        </w:rPr>
      </w:pPr>
    </w:p>
    <w:p w14:paraId="6A577666" w14:textId="77777777" w:rsidR="0058170D" w:rsidRPr="0031287B" w:rsidRDefault="0058170D" w:rsidP="0058170D">
      <w:pPr>
        <w:jc w:val="both"/>
        <w:rPr>
          <w:rFonts w:ascii="Arial" w:hAnsi="Arial" w:cs="Arial"/>
          <w:b/>
          <w:bCs/>
          <w:color w:val="7B7B7B" w:themeColor="accent3" w:themeShade="BF"/>
          <w:sz w:val="22"/>
          <w:szCs w:val="22"/>
          <w:u w:val="single"/>
          <w:lang w:val="en-HK"/>
        </w:rPr>
      </w:pPr>
      <w:r w:rsidRPr="0031287B">
        <w:rPr>
          <w:rFonts w:ascii="Arial" w:hAnsi="Arial" w:cs="Arial"/>
          <w:b/>
          <w:bCs/>
          <w:color w:val="7B7B7B" w:themeColor="accent3" w:themeShade="BF"/>
          <w:sz w:val="22"/>
          <w:szCs w:val="22"/>
          <w:u w:val="single"/>
          <w:lang w:val="en-HK"/>
        </w:rPr>
        <w:t>Residency requirement</w:t>
      </w:r>
    </w:p>
    <w:p w14:paraId="765F7CAA" w14:textId="0F80F399" w:rsidR="0058170D" w:rsidRPr="0031287B" w:rsidRDefault="001E1A40" w:rsidP="0058170D">
      <w:pPr>
        <w:jc w:val="both"/>
        <w:rPr>
          <w:rFonts w:ascii="Arial" w:hAnsi="Arial" w:cs="Arial"/>
          <w:color w:val="7B7B7B" w:themeColor="accent3" w:themeShade="BF"/>
          <w:sz w:val="22"/>
          <w:szCs w:val="22"/>
          <w:lang w:val="en-HK"/>
        </w:rPr>
      </w:pPr>
      <w:r w:rsidRPr="0031287B">
        <w:rPr>
          <w:rFonts w:ascii="Arial" w:hAnsi="Arial" w:cs="Arial"/>
          <w:color w:val="7B7B7B" w:themeColor="accent3" w:themeShade="BF"/>
          <w:sz w:val="22"/>
          <w:szCs w:val="22"/>
          <w:lang w:val="en-HK"/>
        </w:rPr>
        <w:t xml:space="preserve">A key legislative change is the residency requirement introduced for a voluntary liquidator. </w:t>
      </w:r>
      <w:r w:rsidR="0058170D" w:rsidRPr="0031287B">
        <w:rPr>
          <w:rFonts w:ascii="Arial" w:hAnsi="Arial" w:cs="Arial"/>
          <w:color w:val="7B7B7B" w:themeColor="accent3" w:themeShade="BF"/>
          <w:sz w:val="22"/>
          <w:szCs w:val="22"/>
          <w:lang w:val="en-HK"/>
        </w:rPr>
        <w:t>Section 2</w:t>
      </w:r>
      <w:r w:rsidRPr="0031287B">
        <w:rPr>
          <w:rFonts w:ascii="Arial" w:hAnsi="Arial" w:cs="Arial"/>
          <w:color w:val="7B7B7B" w:themeColor="accent3" w:themeShade="BF"/>
          <w:sz w:val="22"/>
          <w:szCs w:val="22"/>
          <w:lang w:val="en-HK"/>
        </w:rPr>
        <w:t>(1)</w:t>
      </w:r>
      <w:r w:rsidR="0058170D" w:rsidRPr="0031287B">
        <w:rPr>
          <w:rFonts w:ascii="Arial" w:hAnsi="Arial" w:cs="Arial"/>
          <w:color w:val="7B7B7B" w:themeColor="accent3" w:themeShade="BF"/>
          <w:sz w:val="22"/>
          <w:szCs w:val="22"/>
          <w:lang w:val="en-HK"/>
        </w:rPr>
        <w:t xml:space="preserve"> of </w:t>
      </w:r>
      <w:r w:rsidR="00B42AFC" w:rsidRPr="0031287B">
        <w:rPr>
          <w:rFonts w:ascii="Arial" w:hAnsi="Arial" w:cs="Arial"/>
          <w:color w:val="7B7B7B" w:themeColor="accent3" w:themeShade="BF"/>
          <w:sz w:val="22"/>
          <w:szCs w:val="22"/>
          <w:lang w:val="en-HK"/>
        </w:rPr>
        <w:t>the</w:t>
      </w:r>
      <w:r w:rsidR="0058170D" w:rsidRPr="0031287B">
        <w:rPr>
          <w:rFonts w:ascii="Arial" w:hAnsi="Arial" w:cs="Arial"/>
          <w:color w:val="7B7B7B" w:themeColor="accent3" w:themeShade="BF"/>
          <w:sz w:val="22"/>
          <w:szCs w:val="22"/>
          <w:lang w:val="en-HK"/>
        </w:rPr>
        <w:t xml:space="preserve"> BCA 2022 </w:t>
      </w:r>
      <w:r w:rsidRPr="0031287B">
        <w:rPr>
          <w:rFonts w:ascii="Arial" w:hAnsi="Arial" w:cs="Arial"/>
          <w:color w:val="7B7B7B" w:themeColor="accent3" w:themeShade="BF"/>
          <w:sz w:val="22"/>
          <w:szCs w:val="22"/>
          <w:lang w:val="en-HK"/>
        </w:rPr>
        <w:t>defines</w:t>
      </w:r>
      <w:r w:rsidR="0058170D" w:rsidRPr="0031287B">
        <w:rPr>
          <w:rFonts w:ascii="Arial" w:hAnsi="Arial" w:cs="Arial"/>
          <w:color w:val="7B7B7B" w:themeColor="accent3" w:themeShade="BF"/>
          <w:sz w:val="22"/>
          <w:szCs w:val="22"/>
          <w:lang w:val="en-HK"/>
        </w:rPr>
        <w:t xml:space="preserve"> “voluntary liquidator” as “</w:t>
      </w:r>
      <w:r w:rsidR="0058170D" w:rsidRPr="0031287B">
        <w:rPr>
          <w:rFonts w:ascii="Arial" w:hAnsi="Arial" w:cs="Arial"/>
          <w:i/>
          <w:iCs/>
          <w:color w:val="7B7B7B" w:themeColor="accent3" w:themeShade="BF"/>
          <w:sz w:val="22"/>
          <w:szCs w:val="22"/>
          <w:lang w:val="en-HK"/>
        </w:rPr>
        <w:t xml:space="preserve">a liquidator who is </w:t>
      </w:r>
      <w:r w:rsidR="0058170D" w:rsidRPr="0031287B">
        <w:rPr>
          <w:rFonts w:ascii="Arial" w:hAnsi="Arial" w:cs="Arial"/>
          <w:i/>
          <w:iCs/>
          <w:color w:val="7B7B7B" w:themeColor="accent3" w:themeShade="BF"/>
          <w:sz w:val="22"/>
          <w:szCs w:val="22"/>
          <w:u w:val="single"/>
          <w:lang w:val="en-HK"/>
        </w:rPr>
        <w:t>resident</w:t>
      </w:r>
      <w:r w:rsidR="0058170D" w:rsidRPr="0031287B">
        <w:rPr>
          <w:rFonts w:ascii="Arial" w:hAnsi="Arial" w:cs="Arial"/>
          <w:i/>
          <w:iCs/>
          <w:color w:val="7B7B7B" w:themeColor="accent3" w:themeShade="BF"/>
          <w:sz w:val="22"/>
          <w:szCs w:val="22"/>
          <w:lang w:val="en-HK"/>
        </w:rPr>
        <w:t xml:space="preserve"> in the Virgin Islands and </w:t>
      </w:r>
      <w:r w:rsidR="0058170D" w:rsidRPr="0031287B">
        <w:rPr>
          <w:rFonts w:ascii="Arial" w:hAnsi="Arial" w:cs="Arial"/>
          <w:i/>
          <w:iCs/>
          <w:color w:val="7B7B7B" w:themeColor="accent3" w:themeShade="BF"/>
          <w:sz w:val="22"/>
          <w:szCs w:val="22"/>
          <w:u w:val="single"/>
          <w:lang w:val="en-HK"/>
        </w:rPr>
        <w:t>appointed under section 199</w:t>
      </w:r>
      <w:r w:rsidR="0058170D" w:rsidRPr="0031287B">
        <w:rPr>
          <w:rFonts w:ascii="Arial" w:hAnsi="Arial" w:cs="Arial"/>
          <w:i/>
          <w:iCs/>
          <w:color w:val="7B7B7B" w:themeColor="accent3" w:themeShade="BF"/>
          <w:sz w:val="22"/>
          <w:szCs w:val="22"/>
          <w:lang w:val="en-HK"/>
        </w:rPr>
        <w:t xml:space="preserve"> </w:t>
      </w:r>
      <w:r w:rsidR="0058170D" w:rsidRPr="0031287B">
        <w:rPr>
          <w:rFonts w:ascii="Arial" w:hAnsi="Arial" w:cs="Arial"/>
          <w:color w:val="7B7B7B" w:themeColor="accent3" w:themeShade="BF"/>
          <w:sz w:val="22"/>
          <w:szCs w:val="22"/>
          <w:lang w:val="en-HK"/>
        </w:rPr>
        <w:t>[emphasis added]”</w:t>
      </w:r>
      <w:r w:rsidR="0058170D" w:rsidRPr="0031287B">
        <w:rPr>
          <w:rFonts w:ascii="Arial" w:hAnsi="Arial" w:cs="Arial"/>
          <w:color w:val="7B7B7B" w:themeColor="accent3" w:themeShade="BF"/>
          <w:sz w:val="22"/>
          <w:szCs w:val="22"/>
          <w:vertAlign w:val="superscript"/>
          <w:lang w:val="en-HK"/>
        </w:rPr>
        <w:footnoteReference w:id="61"/>
      </w:r>
      <w:r w:rsidR="0058170D" w:rsidRPr="0031287B">
        <w:rPr>
          <w:rFonts w:ascii="Arial" w:hAnsi="Arial" w:cs="Arial"/>
          <w:color w:val="7B7B7B" w:themeColor="accent3" w:themeShade="BF"/>
          <w:sz w:val="22"/>
          <w:szCs w:val="22"/>
          <w:lang w:val="en-HK"/>
        </w:rPr>
        <w:t>.</w:t>
      </w:r>
      <w:r w:rsidR="00376D1F" w:rsidRPr="0031287B">
        <w:rPr>
          <w:rFonts w:ascii="Arial" w:hAnsi="Arial" w:cs="Arial"/>
          <w:color w:val="7B7B7B" w:themeColor="accent3" w:themeShade="BF"/>
          <w:sz w:val="22"/>
          <w:szCs w:val="22"/>
          <w:lang w:val="en-HK"/>
        </w:rPr>
        <w:t xml:space="preserve"> </w:t>
      </w:r>
      <w:r w:rsidR="0058170D" w:rsidRPr="0031287B">
        <w:rPr>
          <w:rFonts w:ascii="Arial" w:hAnsi="Arial" w:cs="Arial"/>
          <w:color w:val="7B7B7B" w:themeColor="accent3" w:themeShade="BF"/>
          <w:sz w:val="22"/>
          <w:szCs w:val="22"/>
          <w:lang w:val="en-HK"/>
        </w:rPr>
        <w:t>The residency requirement is set out in section 2(</w:t>
      </w:r>
      <w:r w:rsidR="00376D1F" w:rsidRPr="0031287B">
        <w:rPr>
          <w:rFonts w:ascii="Arial" w:hAnsi="Arial" w:cs="Arial"/>
          <w:color w:val="7B7B7B" w:themeColor="accent3" w:themeShade="BF"/>
          <w:sz w:val="22"/>
          <w:szCs w:val="22"/>
          <w:lang w:val="en-HK"/>
        </w:rPr>
        <w:t>2</w:t>
      </w:r>
      <w:r w:rsidR="0058170D" w:rsidRPr="0031287B">
        <w:rPr>
          <w:rFonts w:ascii="Arial" w:hAnsi="Arial" w:cs="Arial"/>
          <w:color w:val="7B7B7B" w:themeColor="accent3" w:themeShade="BF"/>
          <w:sz w:val="22"/>
          <w:szCs w:val="22"/>
          <w:lang w:val="en-HK"/>
        </w:rPr>
        <w:t>). A liquidator will be considered resident in the BVI if, prior to their appoint</w:t>
      </w:r>
      <w:r w:rsidR="00376D1F" w:rsidRPr="0031287B">
        <w:rPr>
          <w:rFonts w:ascii="Arial" w:hAnsi="Arial" w:cs="Arial"/>
          <w:color w:val="7B7B7B" w:themeColor="accent3" w:themeShade="BF"/>
          <w:sz w:val="22"/>
          <w:szCs w:val="22"/>
          <w:lang w:val="en-HK"/>
        </w:rPr>
        <w:t>ment</w:t>
      </w:r>
      <w:r w:rsidR="0058170D" w:rsidRPr="0031287B">
        <w:rPr>
          <w:rFonts w:ascii="Arial" w:hAnsi="Arial" w:cs="Arial"/>
          <w:color w:val="7B7B7B" w:themeColor="accent3" w:themeShade="BF"/>
          <w:sz w:val="22"/>
          <w:szCs w:val="22"/>
          <w:lang w:val="en-HK"/>
        </w:rPr>
        <w:t xml:space="preserve"> as a voluntary liquidator, they </w:t>
      </w:r>
      <w:r w:rsidR="00376D1F" w:rsidRPr="0031287B">
        <w:rPr>
          <w:rFonts w:ascii="Arial" w:hAnsi="Arial" w:cs="Arial"/>
          <w:color w:val="7B7B7B" w:themeColor="accent3" w:themeShade="BF"/>
          <w:sz w:val="22"/>
          <w:szCs w:val="22"/>
          <w:lang w:val="en-HK"/>
        </w:rPr>
        <w:t>were</w:t>
      </w:r>
      <w:r w:rsidR="0058170D" w:rsidRPr="0031287B">
        <w:rPr>
          <w:rFonts w:ascii="Arial" w:hAnsi="Arial" w:cs="Arial"/>
          <w:color w:val="7B7B7B" w:themeColor="accent3" w:themeShade="BF"/>
          <w:sz w:val="22"/>
          <w:szCs w:val="22"/>
          <w:lang w:val="en-HK"/>
        </w:rPr>
        <w:t xml:space="preserve"> “</w:t>
      </w:r>
      <w:r w:rsidR="0058170D" w:rsidRPr="0031287B">
        <w:rPr>
          <w:rFonts w:ascii="Arial" w:hAnsi="Arial" w:cs="Arial"/>
          <w:i/>
          <w:iCs/>
          <w:color w:val="7B7B7B" w:themeColor="accent3" w:themeShade="BF"/>
          <w:sz w:val="22"/>
          <w:szCs w:val="22"/>
          <w:lang w:val="en-HK"/>
        </w:rPr>
        <w:t>living physically in the Virgin Islands for a period of not less than 180 days, whether continuously or in aggregate</w:t>
      </w:r>
      <w:r w:rsidR="0058170D" w:rsidRPr="0031287B">
        <w:rPr>
          <w:rFonts w:ascii="Arial" w:hAnsi="Arial" w:cs="Arial"/>
          <w:color w:val="7B7B7B" w:themeColor="accent3" w:themeShade="BF"/>
          <w:sz w:val="22"/>
          <w:szCs w:val="22"/>
          <w:lang w:val="en-HK"/>
        </w:rPr>
        <w:t>.”</w:t>
      </w:r>
      <w:r w:rsidR="0058170D" w:rsidRPr="0031287B">
        <w:rPr>
          <w:rFonts w:ascii="Arial" w:hAnsi="Arial" w:cs="Arial"/>
          <w:color w:val="7B7B7B" w:themeColor="accent3" w:themeShade="BF"/>
          <w:sz w:val="22"/>
          <w:szCs w:val="22"/>
          <w:vertAlign w:val="superscript"/>
          <w:lang w:val="en-HK"/>
        </w:rPr>
        <w:footnoteReference w:id="62"/>
      </w:r>
    </w:p>
    <w:p w14:paraId="483E8A28" w14:textId="77777777" w:rsidR="0058170D" w:rsidRPr="0031287B" w:rsidRDefault="0058170D" w:rsidP="0058170D">
      <w:pPr>
        <w:jc w:val="both"/>
        <w:rPr>
          <w:rFonts w:ascii="Arial" w:hAnsi="Arial" w:cs="Arial"/>
          <w:color w:val="7B7B7B" w:themeColor="accent3" w:themeShade="BF"/>
          <w:sz w:val="22"/>
          <w:szCs w:val="22"/>
          <w:lang w:val="en-HK"/>
        </w:rPr>
      </w:pPr>
    </w:p>
    <w:p w14:paraId="30C7FEA7" w14:textId="59BAA27E" w:rsidR="0058170D" w:rsidRPr="001859DD" w:rsidRDefault="0058170D" w:rsidP="0058170D">
      <w:pPr>
        <w:jc w:val="both"/>
        <w:rPr>
          <w:rFonts w:ascii="Arial" w:hAnsi="Arial" w:cs="Arial"/>
          <w:color w:val="7B7B7B" w:themeColor="accent3" w:themeShade="BF"/>
          <w:sz w:val="22"/>
          <w:szCs w:val="22"/>
          <w:lang w:val="en-HK"/>
        </w:rPr>
      </w:pPr>
      <w:r w:rsidRPr="001859DD">
        <w:rPr>
          <w:rFonts w:ascii="Arial" w:hAnsi="Arial" w:cs="Arial"/>
          <w:color w:val="7B7B7B" w:themeColor="accent3" w:themeShade="BF"/>
          <w:sz w:val="22"/>
          <w:szCs w:val="22"/>
          <w:lang w:val="en-HK"/>
        </w:rPr>
        <w:lastRenderedPageBreak/>
        <w:t xml:space="preserve">In the event that joint liquidators are appointed over the BVI company </w:t>
      </w:r>
      <w:r w:rsidRPr="001859DD">
        <w:rPr>
          <w:rFonts w:ascii="Arial" w:hAnsi="Arial" w:cs="Arial"/>
          <w:color w:val="7B7B7B" w:themeColor="accent3" w:themeShade="BF"/>
          <w:sz w:val="22"/>
          <w:szCs w:val="22"/>
          <w:u w:val="single"/>
          <w:lang w:val="en-HK"/>
        </w:rPr>
        <w:t>after 1 January 2023</w:t>
      </w:r>
      <w:r w:rsidRPr="001859DD">
        <w:rPr>
          <w:rFonts w:ascii="Arial" w:hAnsi="Arial" w:cs="Arial"/>
          <w:color w:val="7B7B7B" w:themeColor="accent3" w:themeShade="BF"/>
          <w:sz w:val="22"/>
          <w:szCs w:val="22"/>
          <w:lang w:val="en-HK"/>
        </w:rPr>
        <w:t>, it is a requirement that at least one of the joint voluntary liquidators is resident in the jurisdiction</w:t>
      </w:r>
      <w:r w:rsidR="00486E13" w:rsidRPr="001859DD">
        <w:rPr>
          <w:rFonts w:ascii="Arial" w:hAnsi="Arial" w:cs="Arial"/>
          <w:color w:val="7B7B7B" w:themeColor="accent3" w:themeShade="BF"/>
          <w:sz w:val="22"/>
          <w:szCs w:val="22"/>
          <w:lang w:val="en-HK"/>
        </w:rPr>
        <w:t xml:space="preserve"> (as </w:t>
      </w:r>
      <w:r w:rsidR="001859DD" w:rsidRPr="001859DD">
        <w:rPr>
          <w:rFonts w:ascii="Arial" w:hAnsi="Arial" w:cs="Arial"/>
          <w:color w:val="7B7B7B" w:themeColor="accent3" w:themeShade="BF"/>
          <w:sz w:val="22"/>
          <w:szCs w:val="22"/>
          <w:lang w:val="en-HK"/>
        </w:rPr>
        <w:t>per</w:t>
      </w:r>
      <w:r w:rsidR="00486E13" w:rsidRPr="001859DD">
        <w:rPr>
          <w:rFonts w:ascii="Arial" w:hAnsi="Arial" w:cs="Arial"/>
          <w:color w:val="7B7B7B" w:themeColor="accent3" w:themeShade="BF"/>
          <w:sz w:val="22"/>
          <w:szCs w:val="22"/>
          <w:lang w:val="en-HK"/>
        </w:rPr>
        <w:t xml:space="preserve"> section 2(2))</w:t>
      </w:r>
      <w:r w:rsidR="00486E13" w:rsidRPr="001859DD">
        <w:rPr>
          <w:rStyle w:val="FootnoteReference"/>
          <w:rFonts w:ascii="Arial" w:hAnsi="Arial" w:cs="Arial"/>
          <w:color w:val="7B7B7B" w:themeColor="accent3" w:themeShade="BF"/>
          <w:sz w:val="22"/>
          <w:szCs w:val="22"/>
          <w:lang w:val="en-HK"/>
        </w:rPr>
        <w:footnoteReference w:id="63"/>
      </w:r>
      <w:r w:rsidRPr="001859DD">
        <w:rPr>
          <w:rFonts w:ascii="Arial" w:hAnsi="Arial" w:cs="Arial"/>
          <w:color w:val="7B7B7B" w:themeColor="accent3" w:themeShade="BF"/>
          <w:sz w:val="22"/>
          <w:szCs w:val="22"/>
          <w:lang w:val="en-HK"/>
        </w:rPr>
        <w:t>. The residency requirement will not apply to the other joint liquidator if they are resident outside of the BVI</w:t>
      </w:r>
      <w:r w:rsidRPr="001859DD">
        <w:rPr>
          <w:rFonts w:ascii="Arial" w:hAnsi="Arial" w:cs="Arial"/>
          <w:color w:val="7B7B7B" w:themeColor="accent3" w:themeShade="BF"/>
          <w:sz w:val="22"/>
          <w:szCs w:val="22"/>
          <w:vertAlign w:val="superscript"/>
          <w:lang w:val="en-HK"/>
        </w:rPr>
        <w:footnoteReference w:id="64"/>
      </w:r>
      <w:r w:rsidRPr="001859DD">
        <w:rPr>
          <w:rFonts w:ascii="Arial" w:hAnsi="Arial" w:cs="Arial"/>
          <w:color w:val="7B7B7B" w:themeColor="accent3" w:themeShade="BF"/>
          <w:sz w:val="22"/>
          <w:szCs w:val="22"/>
          <w:lang w:val="en-HK"/>
        </w:rPr>
        <w:t>.</w:t>
      </w:r>
      <w:r w:rsidR="00486E13" w:rsidRPr="001859DD">
        <w:rPr>
          <w:rFonts w:ascii="Arial" w:hAnsi="Arial" w:cs="Arial"/>
          <w:color w:val="7B7B7B" w:themeColor="accent3" w:themeShade="BF"/>
          <w:sz w:val="22"/>
          <w:szCs w:val="22"/>
          <w:lang w:val="en-HK"/>
        </w:rPr>
        <w:t xml:space="preserve"> </w:t>
      </w:r>
      <w:r w:rsidRPr="001859DD">
        <w:rPr>
          <w:rFonts w:ascii="Arial" w:hAnsi="Arial" w:cs="Arial"/>
          <w:color w:val="7B7B7B" w:themeColor="accent3" w:themeShade="BF"/>
          <w:sz w:val="22"/>
          <w:szCs w:val="22"/>
          <w:lang w:val="en-HK"/>
        </w:rPr>
        <w:t xml:space="preserve">It should be noted that the residency requirement </w:t>
      </w:r>
      <w:r w:rsidR="001859DD" w:rsidRPr="001859DD">
        <w:rPr>
          <w:rFonts w:ascii="Arial" w:hAnsi="Arial" w:cs="Arial"/>
          <w:color w:val="7B7B7B" w:themeColor="accent3" w:themeShade="BF"/>
          <w:sz w:val="22"/>
          <w:szCs w:val="22"/>
          <w:lang w:val="en-HK"/>
        </w:rPr>
        <w:t xml:space="preserve">set out above </w:t>
      </w:r>
      <w:r w:rsidRPr="001859DD">
        <w:rPr>
          <w:rFonts w:ascii="Arial" w:hAnsi="Arial" w:cs="Arial"/>
          <w:color w:val="7B7B7B" w:themeColor="accent3" w:themeShade="BF"/>
          <w:sz w:val="22"/>
          <w:szCs w:val="22"/>
          <w:lang w:val="en-HK"/>
        </w:rPr>
        <w:t xml:space="preserve">applies only for appointments made </w:t>
      </w:r>
      <w:r w:rsidRPr="001859DD">
        <w:rPr>
          <w:rFonts w:ascii="Arial" w:hAnsi="Arial" w:cs="Arial"/>
          <w:color w:val="7B7B7B" w:themeColor="accent3" w:themeShade="BF"/>
          <w:sz w:val="22"/>
          <w:szCs w:val="22"/>
          <w:u w:val="single"/>
          <w:lang w:val="en-HK"/>
        </w:rPr>
        <w:t>after 1 January 2023</w:t>
      </w:r>
      <w:r w:rsidRPr="001859DD">
        <w:rPr>
          <w:rFonts w:ascii="Arial" w:hAnsi="Arial" w:cs="Arial"/>
          <w:color w:val="7B7B7B" w:themeColor="accent3" w:themeShade="BF"/>
          <w:sz w:val="22"/>
          <w:szCs w:val="22"/>
          <w:lang w:val="en-HK"/>
        </w:rPr>
        <w:t xml:space="preserve">. Voluntary liquidators who </w:t>
      </w:r>
      <w:r w:rsidR="00486E13" w:rsidRPr="001859DD">
        <w:rPr>
          <w:rFonts w:ascii="Arial" w:hAnsi="Arial" w:cs="Arial"/>
          <w:color w:val="7B7B7B" w:themeColor="accent3" w:themeShade="BF"/>
          <w:sz w:val="22"/>
          <w:szCs w:val="22"/>
          <w:lang w:val="en-HK"/>
        </w:rPr>
        <w:t>were</w:t>
      </w:r>
      <w:r w:rsidRPr="001859DD">
        <w:rPr>
          <w:rFonts w:ascii="Arial" w:hAnsi="Arial" w:cs="Arial"/>
          <w:color w:val="7B7B7B" w:themeColor="accent3" w:themeShade="BF"/>
          <w:sz w:val="22"/>
          <w:szCs w:val="22"/>
          <w:lang w:val="en-HK"/>
        </w:rPr>
        <w:t xml:space="preserve"> appointed </w:t>
      </w:r>
      <w:r w:rsidRPr="001859DD">
        <w:rPr>
          <w:rFonts w:ascii="Arial" w:hAnsi="Arial" w:cs="Arial"/>
          <w:color w:val="7B7B7B" w:themeColor="accent3" w:themeShade="BF"/>
          <w:sz w:val="22"/>
          <w:szCs w:val="22"/>
          <w:u w:val="single"/>
          <w:lang w:val="en-HK"/>
        </w:rPr>
        <w:t>before 1 January 2023</w:t>
      </w:r>
      <w:r w:rsidRPr="001859DD">
        <w:rPr>
          <w:rFonts w:ascii="Arial" w:hAnsi="Arial" w:cs="Arial"/>
          <w:color w:val="7B7B7B" w:themeColor="accent3" w:themeShade="BF"/>
          <w:sz w:val="22"/>
          <w:szCs w:val="22"/>
          <w:lang w:val="en-HK"/>
        </w:rPr>
        <w:t xml:space="preserve"> are not affected by the legislative changes</w:t>
      </w:r>
      <w:r w:rsidRPr="001859DD">
        <w:rPr>
          <w:rFonts w:ascii="Arial" w:hAnsi="Arial" w:cs="Arial"/>
          <w:color w:val="7B7B7B" w:themeColor="accent3" w:themeShade="BF"/>
          <w:sz w:val="22"/>
          <w:szCs w:val="22"/>
          <w:vertAlign w:val="superscript"/>
          <w:lang w:val="en-HK"/>
        </w:rPr>
        <w:footnoteReference w:id="65"/>
      </w:r>
      <w:r w:rsidRPr="001859DD">
        <w:rPr>
          <w:rFonts w:ascii="Arial" w:hAnsi="Arial" w:cs="Arial"/>
          <w:color w:val="7B7B7B" w:themeColor="accent3" w:themeShade="BF"/>
          <w:sz w:val="22"/>
          <w:szCs w:val="22"/>
          <w:lang w:val="en-HK"/>
        </w:rPr>
        <w:t xml:space="preserve"> and can continue to act in the existing liquidation until they </w:t>
      </w:r>
      <w:r w:rsidR="001859DD" w:rsidRPr="001859DD">
        <w:rPr>
          <w:rFonts w:ascii="Arial" w:hAnsi="Arial" w:cs="Arial"/>
          <w:color w:val="7B7B7B" w:themeColor="accent3" w:themeShade="BF"/>
          <w:sz w:val="22"/>
          <w:szCs w:val="22"/>
          <w:lang w:val="en-HK"/>
        </w:rPr>
        <w:t xml:space="preserve">are </w:t>
      </w:r>
      <w:r w:rsidRPr="001859DD">
        <w:rPr>
          <w:rFonts w:ascii="Arial" w:hAnsi="Arial" w:cs="Arial"/>
          <w:color w:val="7B7B7B" w:themeColor="accent3" w:themeShade="BF"/>
          <w:sz w:val="22"/>
          <w:szCs w:val="22"/>
          <w:lang w:val="en-HK"/>
        </w:rPr>
        <w:t>conclude</w:t>
      </w:r>
      <w:r w:rsidR="001859DD" w:rsidRPr="001859DD">
        <w:rPr>
          <w:rFonts w:ascii="Arial" w:hAnsi="Arial" w:cs="Arial"/>
          <w:color w:val="7B7B7B" w:themeColor="accent3" w:themeShade="BF"/>
          <w:sz w:val="22"/>
          <w:szCs w:val="22"/>
          <w:lang w:val="en-HK"/>
        </w:rPr>
        <w:t>d</w:t>
      </w:r>
      <w:r w:rsidRPr="001859DD">
        <w:rPr>
          <w:rFonts w:ascii="Arial" w:hAnsi="Arial" w:cs="Arial"/>
          <w:color w:val="7B7B7B" w:themeColor="accent3" w:themeShade="BF"/>
          <w:sz w:val="22"/>
          <w:szCs w:val="22"/>
          <w:lang w:val="en-HK"/>
        </w:rPr>
        <w:t xml:space="preserve"> without having to satisfy the new residency and </w:t>
      </w:r>
      <w:r w:rsidR="001859DD" w:rsidRPr="001859DD">
        <w:rPr>
          <w:rFonts w:ascii="Arial" w:hAnsi="Arial" w:cs="Arial"/>
          <w:color w:val="7B7B7B" w:themeColor="accent3" w:themeShade="BF"/>
          <w:sz w:val="22"/>
          <w:szCs w:val="22"/>
          <w:lang w:val="en-HK"/>
        </w:rPr>
        <w:t>experience</w:t>
      </w:r>
      <w:r w:rsidR="00EB20A6">
        <w:rPr>
          <w:rFonts w:ascii="Arial" w:hAnsi="Arial" w:cs="Arial"/>
          <w:color w:val="7B7B7B" w:themeColor="accent3" w:themeShade="BF"/>
          <w:sz w:val="22"/>
          <w:szCs w:val="22"/>
          <w:lang w:val="en-HK"/>
        </w:rPr>
        <w:t xml:space="preserve"> / qualification</w:t>
      </w:r>
      <w:r w:rsidRPr="001859DD">
        <w:rPr>
          <w:rFonts w:ascii="Arial" w:hAnsi="Arial" w:cs="Arial"/>
          <w:color w:val="7B7B7B" w:themeColor="accent3" w:themeShade="BF"/>
          <w:sz w:val="22"/>
          <w:szCs w:val="22"/>
          <w:lang w:val="en-HK"/>
        </w:rPr>
        <w:t xml:space="preserve"> (see below) requirements</w:t>
      </w:r>
      <w:r w:rsidRPr="001859DD">
        <w:rPr>
          <w:rFonts w:ascii="Arial" w:hAnsi="Arial" w:cs="Arial"/>
          <w:color w:val="7B7B7B" w:themeColor="accent3" w:themeShade="BF"/>
          <w:sz w:val="22"/>
          <w:szCs w:val="22"/>
          <w:vertAlign w:val="superscript"/>
          <w:lang w:val="en-HK"/>
        </w:rPr>
        <w:footnoteReference w:id="66"/>
      </w:r>
      <w:r w:rsidRPr="001859DD">
        <w:rPr>
          <w:rFonts w:ascii="Arial" w:hAnsi="Arial" w:cs="Arial"/>
          <w:color w:val="7B7B7B" w:themeColor="accent3" w:themeShade="BF"/>
          <w:sz w:val="22"/>
          <w:szCs w:val="22"/>
          <w:lang w:val="en-HK"/>
        </w:rPr>
        <w:t>.</w:t>
      </w:r>
    </w:p>
    <w:p w14:paraId="057C6A08" w14:textId="77777777" w:rsidR="000F59A9" w:rsidRPr="001859DD" w:rsidRDefault="000F59A9" w:rsidP="0058170D">
      <w:pPr>
        <w:jc w:val="both"/>
        <w:rPr>
          <w:rFonts w:ascii="Arial" w:hAnsi="Arial" w:cs="Arial"/>
          <w:color w:val="7B7B7B" w:themeColor="accent3" w:themeShade="BF"/>
          <w:sz w:val="22"/>
          <w:szCs w:val="22"/>
          <w:lang w:val="en-HK"/>
        </w:rPr>
      </w:pPr>
    </w:p>
    <w:p w14:paraId="09D21BE1" w14:textId="1E17BEBC" w:rsidR="0058170D" w:rsidRPr="00EB20A6" w:rsidRDefault="00EB20A6" w:rsidP="0058170D">
      <w:pPr>
        <w:jc w:val="both"/>
        <w:rPr>
          <w:rFonts w:ascii="Arial" w:hAnsi="Arial" w:cs="Arial"/>
          <w:b/>
          <w:bCs/>
          <w:color w:val="7B7B7B" w:themeColor="accent3" w:themeShade="BF"/>
          <w:sz w:val="22"/>
          <w:szCs w:val="22"/>
          <w:u w:val="single"/>
          <w:lang w:val="en-HK"/>
        </w:rPr>
      </w:pPr>
      <w:r>
        <w:rPr>
          <w:rFonts w:ascii="Arial" w:hAnsi="Arial" w:cs="Arial"/>
          <w:b/>
          <w:bCs/>
          <w:color w:val="7B7B7B" w:themeColor="accent3" w:themeShade="BF"/>
          <w:sz w:val="22"/>
          <w:szCs w:val="22"/>
          <w:u w:val="single"/>
          <w:lang w:val="en-HK"/>
        </w:rPr>
        <w:t>E</w:t>
      </w:r>
      <w:r w:rsidR="001859DD" w:rsidRPr="00EB20A6">
        <w:rPr>
          <w:rFonts w:ascii="Arial" w:hAnsi="Arial" w:cs="Arial"/>
          <w:b/>
          <w:bCs/>
          <w:color w:val="7B7B7B" w:themeColor="accent3" w:themeShade="BF"/>
          <w:sz w:val="22"/>
          <w:szCs w:val="22"/>
          <w:u w:val="single"/>
          <w:lang w:val="en-HK"/>
        </w:rPr>
        <w:t xml:space="preserve">xperience </w:t>
      </w:r>
      <w:r>
        <w:rPr>
          <w:rFonts w:ascii="Arial" w:hAnsi="Arial" w:cs="Arial"/>
          <w:b/>
          <w:bCs/>
          <w:color w:val="7B7B7B" w:themeColor="accent3" w:themeShade="BF"/>
          <w:sz w:val="22"/>
          <w:szCs w:val="22"/>
          <w:u w:val="single"/>
          <w:lang w:val="en-HK"/>
        </w:rPr>
        <w:t xml:space="preserve">/ qualification </w:t>
      </w:r>
      <w:r w:rsidR="0058170D" w:rsidRPr="00EB20A6">
        <w:rPr>
          <w:rFonts w:ascii="Arial" w:hAnsi="Arial" w:cs="Arial"/>
          <w:b/>
          <w:bCs/>
          <w:color w:val="7B7B7B" w:themeColor="accent3" w:themeShade="BF"/>
          <w:sz w:val="22"/>
          <w:szCs w:val="22"/>
          <w:u w:val="single"/>
          <w:lang w:val="en-HK"/>
        </w:rPr>
        <w:t>requirements</w:t>
      </w:r>
    </w:p>
    <w:p w14:paraId="5C8448D3" w14:textId="54FB32BA" w:rsidR="0058170D" w:rsidRPr="00EB20A6" w:rsidRDefault="0058170D" w:rsidP="0058170D">
      <w:pPr>
        <w:jc w:val="both"/>
        <w:rPr>
          <w:rFonts w:ascii="Arial" w:hAnsi="Arial" w:cs="Arial"/>
          <w:color w:val="7B7B7B" w:themeColor="accent3" w:themeShade="BF"/>
          <w:sz w:val="22"/>
          <w:szCs w:val="22"/>
          <w:lang w:val="en-HK"/>
        </w:rPr>
      </w:pPr>
      <w:r w:rsidRPr="00EB20A6">
        <w:rPr>
          <w:rFonts w:ascii="Arial" w:hAnsi="Arial" w:cs="Arial"/>
          <w:color w:val="7B7B7B" w:themeColor="accent3" w:themeShade="BF"/>
          <w:sz w:val="22"/>
          <w:szCs w:val="22"/>
          <w:lang w:val="en-HK"/>
        </w:rPr>
        <w:t xml:space="preserve">Regulation </w:t>
      </w:r>
      <w:r w:rsidR="003C4D7F" w:rsidRPr="00EB20A6">
        <w:rPr>
          <w:rFonts w:ascii="Arial" w:hAnsi="Arial" w:cs="Arial"/>
          <w:color w:val="7B7B7B" w:themeColor="accent3" w:themeShade="BF"/>
          <w:sz w:val="22"/>
          <w:szCs w:val="22"/>
          <w:lang w:val="en-HK"/>
        </w:rPr>
        <w:t>19</w:t>
      </w:r>
      <w:r w:rsidRPr="00EB20A6">
        <w:rPr>
          <w:rFonts w:ascii="Arial" w:hAnsi="Arial" w:cs="Arial"/>
          <w:color w:val="7B7B7B" w:themeColor="accent3" w:themeShade="BF"/>
          <w:sz w:val="22"/>
          <w:szCs w:val="22"/>
          <w:lang w:val="en-HK"/>
        </w:rPr>
        <w:t xml:space="preserve"> of the Regulations</w:t>
      </w:r>
      <w:r w:rsidR="006A19B1" w:rsidRPr="00EB20A6">
        <w:rPr>
          <w:rFonts w:ascii="Arial" w:hAnsi="Arial" w:cs="Arial"/>
          <w:color w:val="7B7B7B" w:themeColor="accent3" w:themeShade="BF"/>
          <w:sz w:val="22"/>
          <w:szCs w:val="22"/>
          <w:lang w:val="en-HK"/>
        </w:rPr>
        <w:t xml:space="preserve"> 2022</w:t>
      </w:r>
      <w:r w:rsidRPr="00EB20A6">
        <w:rPr>
          <w:rFonts w:ascii="Arial" w:hAnsi="Arial" w:cs="Arial"/>
          <w:color w:val="7B7B7B" w:themeColor="accent3" w:themeShade="BF"/>
          <w:sz w:val="22"/>
          <w:szCs w:val="22"/>
          <w:lang w:val="en-HK"/>
        </w:rPr>
        <w:t xml:space="preserve"> sets out the qualification requirements for an individual to be appointed and to act as a voluntary liquidator of a BVI company. An individual is eligible to be appointed and to act as a company’s voluntary liquidator if they are qualified to act as a voluntary liquidator</w:t>
      </w:r>
      <w:r w:rsidR="00FB3F48" w:rsidRPr="00EB20A6">
        <w:rPr>
          <w:rFonts w:ascii="Arial" w:hAnsi="Arial" w:cs="Arial"/>
          <w:color w:val="7B7B7B" w:themeColor="accent3" w:themeShade="BF"/>
          <w:sz w:val="22"/>
          <w:szCs w:val="22"/>
          <w:lang w:val="en-HK"/>
        </w:rPr>
        <w:t xml:space="preserve"> under regulation 19(1A)</w:t>
      </w:r>
      <w:r w:rsidR="00FB3F48" w:rsidRPr="00EB20A6">
        <w:rPr>
          <w:rStyle w:val="FootnoteReference"/>
          <w:rFonts w:ascii="Arial" w:hAnsi="Arial" w:cs="Arial"/>
          <w:color w:val="7B7B7B" w:themeColor="accent3" w:themeShade="BF"/>
          <w:sz w:val="22"/>
          <w:szCs w:val="22"/>
          <w:lang w:val="en-HK"/>
        </w:rPr>
        <w:footnoteReference w:id="67"/>
      </w:r>
      <w:r w:rsidRPr="00EB20A6">
        <w:rPr>
          <w:rFonts w:ascii="Arial" w:hAnsi="Arial" w:cs="Arial"/>
          <w:color w:val="7B7B7B" w:themeColor="accent3" w:themeShade="BF"/>
          <w:sz w:val="22"/>
          <w:szCs w:val="22"/>
          <w:lang w:val="en-HK"/>
        </w:rPr>
        <w:t xml:space="preserve"> and are not disqualified from acting as a voluntary liquidator</w:t>
      </w:r>
      <w:r w:rsidR="00FB3F48" w:rsidRPr="00EB20A6">
        <w:rPr>
          <w:rFonts w:ascii="Arial" w:hAnsi="Arial" w:cs="Arial"/>
          <w:color w:val="7B7B7B" w:themeColor="accent3" w:themeShade="BF"/>
          <w:sz w:val="22"/>
          <w:szCs w:val="22"/>
          <w:lang w:val="en-HK"/>
        </w:rPr>
        <w:t xml:space="preserve"> under regulation 19(2)</w:t>
      </w:r>
      <w:r w:rsidRPr="00EB20A6">
        <w:rPr>
          <w:rFonts w:ascii="Arial" w:hAnsi="Arial" w:cs="Arial"/>
          <w:color w:val="7B7B7B" w:themeColor="accent3" w:themeShade="BF"/>
          <w:sz w:val="22"/>
          <w:szCs w:val="22"/>
          <w:lang w:val="en-HK"/>
        </w:rPr>
        <w:t>.</w:t>
      </w:r>
      <w:r w:rsidRPr="00EB20A6">
        <w:rPr>
          <w:rFonts w:ascii="Arial" w:hAnsi="Arial" w:cs="Arial"/>
          <w:color w:val="7B7B7B" w:themeColor="accent3" w:themeShade="BF"/>
          <w:sz w:val="22"/>
          <w:szCs w:val="22"/>
          <w:vertAlign w:val="superscript"/>
          <w:lang w:val="en-HK"/>
        </w:rPr>
        <w:footnoteReference w:id="68"/>
      </w:r>
    </w:p>
    <w:p w14:paraId="59EAA86F" w14:textId="77777777" w:rsidR="0058170D" w:rsidRPr="00EB20A6" w:rsidRDefault="0058170D" w:rsidP="0058170D">
      <w:pPr>
        <w:jc w:val="both"/>
        <w:rPr>
          <w:rFonts w:ascii="Arial" w:hAnsi="Arial" w:cs="Arial"/>
          <w:color w:val="7B7B7B" w:themeColor="accent3" w:themeShade="BF"/>
          <w:sz w:val="22"/>
          <w:szCs w:val="22"/>
          <w:lang w:val="en-HK"/>
        </w:rPr>
      </w:pPr>
    </w:p>
    <w:p w14:paraId="1A4C85BD" w14:textId="3D13477A" w:rsidR="0058170D" w:rsidRPr="00EB20A6" w:rsidRDefault="0058170D" w:rsidP="0058170D">
      <w:pPr>
        <w:jc w:val="both"/>
        <w:rPr>
          <w:rFonts w:ascii="Arial" w:hAnsi="Arial" w:cs="Arial"/>
          <w:color w:val="7B7B7B" w:themeColor="accent3" w:themeShade="BF"/>
          <w:sz w:val="22"/>
          <w:szCs w:val="22"/>
          <w:lang w:val="en-HK"/>
        </w:rPr>
      </w:pPr>
      <w:r w:rsidRPr="00EB20A6">
        <w:rPr>
          <w:rFonts w:ascii="Arial" w:hAnsi="Arial" w:cs="Arial"/>
          <w:color w:val="7B7B7B" w:themeColor="accent3" w:themeShade="BF"/>
          <w:sz w:val="22"/>
          <w:szCs w:val="22"/>
          <w:lang w:val="en-HK"/>
        </w:rPr>
        <w:t xml:space="preserve">In terms of qualification, </w:t>
      </w:r>
      <w:r w:rsidR="00FB3F48" w:rsidRPr="00EB20A6">
        <w:rPr>
          <w:rFonts w:ascii="Arial" w:hAnsi="Arial" w:cs="Arial"/>
          <w:color w:val="7B7B7B" w:themeColor="accent3" w:themeShade="BF"/>
          <w:sz w:val="22"/>
          <w:szCs w:val="22"/>
          <w:lang w:val="en-HK"/>
        </w:rPr>
        <w:t>r</w:t>
      </w:r>
      <w:r w:rsidRPr="00EB20A6">
        <w:rPr>
          <w:rFonts w:ascii="Arial" w:hAnsi="Arial" w:cs="Arial"/>
          <w:color w:val="7B7B7B" w:themeColor="accent3" w:themeShade="BF"/>
          <w:sz w:val="22"/>
          <w:szCs w:val="22"/>
          <w:lang w:val="en-HK"/>
        </w:rPr>
        <w:t xml:space="preserve">egulation </w:t>
      </w:r>
      <w:r w:rsidR="00FB3F48" w:rsidRPr="00EB20A6">
        <w:rPr>
          <w:rFonts w:ascii="Arial" w:hAnsi="Arial" w:cs="Arial"/>
          <w:color w:val="7B7B7B" w:themeColor="accent3" w:themeShade="BF"/>
          <w:sz w:val="22"/>
          <w:szCs w:val="22"/>
          <w:lang w:val="en-HK"/>
        </w:rPr>
        <w:t>19(1A)</w:t>
      </w:r>
      <w:r w:rsidRPr="00EB20A6">
        <w:rPr>
          <w:rFonts w:ascii="Arial" w:hAnsi="Arial" w:cs="Arial"/>
          <w:color w:val="7B7B7B" w:themeColor="accent3" w:themeShade="BF"/>
          <w:sz w:val="22"/>
          <w:szCs w:val="22"/>
          <w:lang w:val="en-HK"/>
        </w:rPr>
        <w:t xml:space="preserve"> states that an individual is qualified to appointed and act as a voluntary liquidator </w:t>
      </w:r>
      <w:r w:rsidR="00FB3F48" w:rsidRPr="00EB20A6">
        <w:rPr>
          <w:rFonts w:ascii="Arial" w:hAnsi="Arial" w:cs="Arial"/>
          <w:color w:val="7B7B7B" w:themeColor="accent3" w:themeShade="BF"/>
          <w:sz w:val="22"/>
          <w:szCs w:val="22"/>
          <w:lang w:val="en-HK"/>
        </w:rPr>
        <w:t xml:space="preserve">of a company </w:t>
      </w:r>
      <w:r w:rsidRPr="00EB20A6">
        <w:rPr>
          <w:rFonts w:ascii="Arial" w:hAnsi="Arial" w:cs="Arial"/>
          <w:color w:val="7B7B7B" w:themeColor="accent3" w:themeShade="BF"/>
          <w:sz w:val="22"/>
          <w:szCs w:val="22"/>
          <w:lang w:val="en-HK"/>
        </w:rPr>
        <w:t>if they:</w:t>
      </w:r>
    </w:p>
    <w:p w14:paraId="04B36E38" w14:textId="27A9F135" w:rsidR="0058170D" w:rsidRPr="00EB20A6" w:rsidRDefault="0058170D">
      <w:pPr>
        <w:numPr>
          <w:ilvl w:val="0"/>
          <w:numId w:val="18"/>
        </w:numPr>
        <w:jc w:val="both"/>
        <w:rPr>
          <w:rFonts w:ascii="Arial" w:hAnsi="Arial" w:cs="Arial"/>
          <w:color w:val="7B7B7B" w:themeColor="accent3" w:themeShade="BF"/>
          <w:sz w:val="22"/>
          <w:szCs w:val="22"/>
          <w:lang w:val="en-HK"/>
        </w:rPr>
      </w:pPr>
      <w:r w:rsidRPr="00EB20A6">
        <w:rPr>
          <w:rFonts w:ascii="Arial" w:hAnsi="Arial" w:cs="Arial"/>
          <w:color w:val="7B7B7B" w:themeColor="accent3" w:themeShade="BF"/>
          <w:sz w:val="22"/>
          <w:szCs w:val="22"/>
          <w:lang w:val="en-HK"/>
        </w:rPr>
        <w:t>have not less than 2 years liquidation experience</w:t>
      </w:r>
      <w:r w:rsidR="00FB3F48" w:rsidRPr="00EB20A6">
        <w:rPr>
          <w:rStyle w:val="FootnoteReference"/>
          <w:rFonts w:ascii="Arial" w:hAnsi="Arial" w:cs="Arial"/>
          <w:color w:val="7B7B7B" w:themeColor="accent3" w:themeShade="BF"/>
          <w:sz w:val="22"/>
          <w:szCs w:val="22"/>
          <w:lang w:val="en-HK"/>
        </w:rPr>
        <w:footnoteReference w:id="69"/>
      </w:r>
      <w:r w:rsidRPr="00EB20A6">
        <w:rPr>
          <w:rFonts w:ascii="Arial" w:hAnsi="Arial" w:cs="Arial"/>
          <w:color w:val="7B7B7B" w:themeColor="accent3" w:themeShade="BF"/>
          <w:sz w:val="22"/>
          <w:szCs w:val="22"/>
          <w:lang w:val="en-HK"/>
        </w:rPr>
        <w:t>;</w:t>
      </w:r>
    </w:p>
    <w:p w14:paraId="7298038D" w14:textId="7B9B7286" w:rsidR="0058170D" w:rsidRPr="00EB20A6" w:rsidRDefault="0058170D">
      <w:pPr>
        <w:numPr>
          <w:ilvl w:val="0"/>
          <w:numId w:val="18"/>
        </w:numPr>
        <w:jc w:val="both"/>
        <w:rPr>
          <w:rFonts w:ascii="Arial" w:hAnsi="Arial" w:cs="Arial"/>
          <w:color w:val="7B7B7B" w:themeColor="accent3" w:themeShade="BF"/>
          <w:sz w:val="22"/>
          <w:szCs w:val="22"/>
          <w:lang w:val="en-HK"/>
        </w:rPr>
      </w:pPr>
      <w:r w:rsidRPr="00EB20A6">
        <w:rPr>
          <w:rFonts w:ascii="Arial" w:hAnsi="Arial" w:cs="Arial"/>
          <w:color w:val="7B7B7B" w:themeColor="accent3" w:themeShade="BF"/>
          <w:sz w:val="22"/>
          <w:szCs w:val="22"/>
          <w:lang w:val="en-HK"/>
        </w:rPr>
        <w:t xml:space="preserve">have </w:t>
      </w:r>
      <w:r w:rsidR="00FB3F48" w:rsidRPr="00EB20A6">
        <w:rPr>
          <w:rFonts w:ascii="Arial" w:hAnsi="Arial" w:cs="Arial"/>
          <w:color w:val="7B7B7B" w:themeColor="accent3" w:themeShade="BF"/>
          <w:sz w:val="22"/>
          <w:szCs w:val="22"/>
          <w:lang w:val="en-HK"/>
        </w:rPr>
        <w:t xml:space="preserve">the </w:t>
      </w:r>
      <w:r w:rsidRPr="00EB20A6">
        <w:rPr>
          <w:rFonts w:ascii="Arial" w:hAnsi="Arial" w:cs="Arial"/>
          <w:color w:val="7B7B7B" w:themeColor="accent3" w:themeShade="BF"/>
          <w:sz w:val="22"/>
          <w:szCs w:val="22"/>
          <w:lang w:val="en-HK"/>
        </w:rPr>
        <w:t>professional competence to liquidate the company concerned</w:t>
      </w:r>
      <w:r w:rsidR="00FB3F48" w:rsidRPr="00EB20A6">
        <w:rPr>
          <w:rStyle w:val="FootnoteReference"/>
          <w:rFonts w:ascii="Arial" w:hAnsi="Arial" w:cs="Arial"/>
          <w:color w:val="7B7B7B" w:themeColor="accent3" w:themeShade="BF"/>
          <w:sz w:val="22"/>
          <w:szCs w:val="22"/>
          <w:lang w:val="en-HK"/>
        </w:rPr>
        <w:footnoteReference w:id="70"/>
      </w:r>
      <w:r w:rsidRPr="00EB20A6">
        <w:rPr>
          <w:rFonts w:ascii="Arial" w:hAnsi="Arial" w:cs="Arial"/>
          <w:color w:val="7B7B7B" w:themeColor="accent3" w:themeShade="BF"/>
          <w:sz w:val="22"/>
          <w:szCs w:val="22"/>
          <w:lang w:val="en-HK"/>
        </w:rPr>
        <w:t>;</w:t>
      </w:r>
    </w:p>
    <w:p w14:paraId="4CCD34AE" w14:textId="14276DF8" w:rsidR="0058170D" w:rsidRPr="00EB20A6" w:rsidRDefault="0058170D">
      <w:pPr>
        <w:numPr>
          <w:ilvl w:val="0"/>
          <w:numId w:val="18"/>
        </w:numPr>
        <w:jc w:val="both"/>
        <w:rPr>
          <w:rFonts w:ascii="Arial" w:hAnsi="Arial" w:cs="Arial"/>
          <w:color w:val="7B7B7B" w:themeColor="accent3" w:themeShade="BF"/>
          <w:sz w:val="22"/>
          <w:szCs w:val="22"/>
          <w:lang w:val="en-HK"/>
        </w:rPr>
      </w:pPr>
      <w:r w:rsidRPr="00EB20A6">
        <w:rPr>
          <w:rFonts w:ascii="Arial" w:hAnsi="Arial" w:cs="Arial"/>
          <w:color w:val="7B7B7B" w:themeColor="accent3" w:themeShade="BF"/>
          <w:sz w:val="22"/>
          <w:szCs w:val="22"/>
          <w:lang w:val="en-HK"/>
        </w:rPr>
        <w:t>h</w:t>
      </w:r>
      <w:r w:rsidR="00FB3F48" w:rsidRPr="00EB20A6">
        <w:rPr>
          <w:rFonts w:ascii="Arial" w:hAnsi="Arial" w:cs="Arial"/>
          <w:color w:val="7B7B7B" w:themeColor="accent3" w:themeShade="BF"/>
          <w:sz w:val="22"/>
          <w:szCs w:val="22"/>
          <w:lang w:val="en-HK"/>
        </w:rPr>
        <w:t>old</w:t>
      </w:r>
      <w:r w:rsidRPr="00EB20A6">
        <w:rPr>
          <w:rFonts w:ascii="Arial" w:hAnsi="Arial" w:cs="Arial"/>
          <w:color w:val="7B7B7B" w:themeColor="accent3" w:themeShade="BF"/>
          <w:sz w:val="22"/>
          <w:szCs w:val="22"/>
          <w:lang w:val="en-HK"/>
        </w:rPr>
        <w:t xml:space="preserve"> an insolvency practitioner’s licence issued by the Financial Services Commission</w:t>
      </w:r>
      <w:r w:rsidR="004930D5" w:rsidRPr="00EB20A6">
        <w:rPr>
          <w:rStyle w:val="FootnoteReference"/>
          <w:rFonts w:ascii="Arial" w:hAnsi="Arial" w:cs="Arial"/>
          <w:color w:val="7B7B7B" w:themeColor="accent3" w:themeShade="BF"/>
          <w:sz w:val="22"/>
          <w:szCs w:val="22"/>
          <w:lang w:val="en-HK"/>
        </w:rPr>
        <w:footnoteReference w:id="71"/>
      </w:r>
      <w:r w:rsidRPr="00EB20A6">
        <w:rPr>
          <w:rFonts w:ascii="Arial" w:hAnsi="Arial" w:cs="Arial"/>
          <w:color w:val="7B7B7B" w:themeColor="accent3" w:themeShade="BF"/>
          <w:sz w:val="22"/>
          <w:szCs w:val="22"/>
          <w:lang w:val="en-HK"/>
        </w:rPr>
        <w:t xml:space="preserve"> </w:t>
      </w:r>
      <w:r w:rsidR="00636BDD" w:rsidRPr="00EB20A6">
        <w:rPr>
          <w:rFonts w:ascii="Arial" w:hAnsi="Arial" w:cs="Arial"/>
          <w:color w:val="7B7B7B" w:themeColor="accent3" w:themeShade="BF"/>
          <w:sz w:val="22"/>
          <w:szCs w:val="22"/>
          <w:lang w:val="en-HK"/>
        </w:rPr>
        <w:t>(“</w:t>
      </w:r>
      <w:r w:rsidR="00636BDD" w:rsidRPr="00EB20A6">
        <w:rPr>
          <w:rFonts w:ascii="Arial" w:hAnsi="Arial" w:cs="Arial"/>
          <w:b/>
          <w:bCs/>
          <w:color w:val="7B7B7B" w:themeColor="accent3" w:themeShade="BF"/>
          <w:sz w:val="22"/>
          <w:szCs w:val="22"/>
          <w:lang w:val="en-HK"/>
        </w:rPr>
        <w:t>Commission</w:t>
      </w:r>
      <w:r w:rsidR="00636BDD" w:rsidRPr="00EB20A6">
        <w:rPr>
          <w:rFonts w:ascii="Arial" w:hAnsi="Arial" w:cs="Arial"/>
          <w:color w:val="7B7B7B" w:themeColor="accent3" w:themeShade="BF"/>
          <w:sz w:val="22"/>
          <w:szCs w:val="22"/>
          <w:lang w:val="en-HK"/>
        </w:rPr>
        <w:t xml:space="preserve">”) </w:t>
      </w:r>
      <w:r w:rsidRPr="00EB20A6">
        <w:rPr>
          <w:rFonts w:ascii="Arial" w:hAnsi="Arial" w:cs="Arial"/>
          <w:color w:val="7B7B7B" w:themeColor="accent3" w:themeShade="BF"/>
          <w:sz w:val="22"/>
          <w:szCs w:val="22"/>
          <w:lang w:val="en-HK"/>
        </w:rPr>
        <w:t xml:space="preserve">or </w:t>
      </w:r>
      <w:r w:rsidR="004930D5" w:rsidRPr="00EB20A6">
        <w:rPr>
          <w:rFonts w:ascii="Arial" w:hAnsi="Arial" w:cs="Arial"/>
          <w:color w:val="7B7B7B" w:themeColor="accent3" w:themeShade="BF"/>
          <w:sz w:val="22"/>
          <w:szCs w:val="22"/>
          <w:lang w:val="en-HK"/>
        </w:rPr>
        <w:t xml:space="preserve">can demonstrate </w:t>
      </w:r>
      <w:r w:rsidRPr="00EB20A6">
        <w:rPr>
          <w:rFonts w:ascii="Arial" w:hAnsi="Arial" w:cs="Arial"/>
          <w:color w:val="7B7B7B" w:themeColor="accent3" w:themeShade="BF"/>
          <w:sz w:val="22"/>
          <w:szCs w:val="22"/>
          <w:lang w:val="en-HK"/>
        </w:rPr>
        <w:t xml:space="preserve">an appropriate professional qualification (for example </w:t>
      </w:r>
      <w:r w:rsidR="004930D5" w:rsidRPr="00EB20A6">
        <w:rPr>
          <w:rFonts w:ascii="Arial" w:hAnsi="Arial" w:cs="Arial"/>
          <w:color w:val="7B7B7B" w:themeColor="accent3" w:themeShade="BF"/>
          <w:sz w:val="22"/>
          <w:szCs w:val="22"/>
          <w:lang w:val="en-HK"/>
        </w:rPr>
        <w:t xml:space="preserve">in </w:t>
      </w:r>
      <w:r w:rsidRPr="00EB20A6">
        <w:rPr>
          <w:rFonts w:ascii="Arial" w:hAnsi="Arial" w:cs="Arial"/>
          <w:color w:val="7B7B7B" w:themeColor="accent3" w:themeShade="BF"/>
          <w:sz w:val="22"/>
          <w:szCs w:val="22"/>
          <w:lang w:val="en-HK"/>
        </w:rPr>
        <w:t>law) and “</w:t>
      </w:r>
      <w:r w:rsidRPr="00EB20A6">
        <w:rPr>
          <w:rFonts w:ascii="Arial" w:hAnsi="Arial" w:cs="Arial"/>
          <w:i/>
          <w:iCs/>
          <w:color w:val="7B7B7B" w:themeColor="accent3" w:themeShade="BF"/>
          <w:sz w:val="22"/>
          <w:szCs w:val="22"/>
          <w:lang w:val="en-HK"/>
        </w:rPr>
        <w:t>experience of providing legal or financial advice or support to companies in the financial services sector</w:t>
      </w:r>
      <w:r w:rsidRPr="00EB20A6">
        <w:rPr>
          <w:rFonts w:ascii="Arial" w:hAnsi="Arial" w:cs="Arial"/>
          <w:color w:val="7B7B7B" w:themeColor="accent3" w:themeShade="BF"/>
          <w:sz w:val="22"/>
          <w:szCs w:val="22"/>
          <w:lang w:val="en-HK"/>
        </w:rPr>
        <w:t>”</w:t>
      </w:r>
      <w:r w:rsidRPr="00EB20A6">
        <w:rPr>
          <w:rFonts w:ascii="Arial" w:hAnsi="Arial" w:cs="Arial"/>
          <w:color w:val="7B7B7B" w:themeColor="accent3" w:themeShade="BF"/>
          <w:sz w:val="22"/>
          <w:szCs w:val="22"/>
          <w:vertAlign w:val="superscript"/>
          <w:lang w:val="en-HK"/>
        </w:rPr>
        <w:footnoteReference w:id="72"/>
      </w:r>
      <w:r w:rsidRPr="00EB20A6">
        <w:rPr>
          <w:rFonts w:ascii="Arial" w:hAnsi="Arial" w:cs="Arial"/>
          <w:color w:val="7B7B7B" w:themeColor="accent3" w:themeShade="BF"/>
          <w:sz w:val="22"/>
          <w:szCs w:val="22"/>
          <w:lang w:val="en-HK"/>
        </w:rPr>
        <w:t>; and</w:t>
      </w:r>
    </w:p>
    <w:p w14:paraId="776AC5CF" w14:textId="23B4AB2D" w:rsidR="0058170D" w:rsidRPr="00EB20A6" w:rsidRDefault="0058170D">
      <w:pPr>
        <w:numPr>
          <w:ilvl w:val="0"/>
          <w:numId w:val="18"/>
        </w:numPr>
        <w:jc w:val="both"/>
        <w:rPr>
          <w:rFonts w:ascii="Arial" w:hAnsi="Arial" w:cs="Arial"/>
          <w:color w:val="7B7B7B" w:themeColor="accent3" w:themeShade="BF"/>
          <w:sz w:val="22"/>
          <w:szCs w:val="22"/>
          <w:lang w:val="en-HK"/>
        </w:rPr>
      </w:pPr>
      <w:r w:rsidRPr="00EB20A6">
        <w:rPr>
          <w:rFonts w:ascii="Arial" w:hAnsi="Arial" w:cs="Arial"/>
          <w:color w:val="7B7B7B" w:themeColor="accent3" w:themeShade="BF"/>
          <w:sz w:val="22"/>
          <w:szCs w:val="22"/>
          <w:lang w:val="en-HK"/>
        </w:rPr>
        <w:t xml:space="preserve">are familiar with the relevant financial services legislation connected to the </w:t>
      </w:r>
      <w:r w:rsidR="004930D5" w:rsidRPr="00EB20A6">
        <w:rPr>
          <w:rFonts w:ascii="Arial" w:hAnsi="Arial" w:cs="Arial"/>
          <w:color w:val="7B7B7B" w:themeColor="accent3" w:themeShade="BF"/>
          <w:sz w:val="22"/>
          <w:szCs w:val="22"/>
          <w:lang w:val="en-HK"/>
        </w:rPr>
        <w:t xml:space="preserve">company’s business </w:t>
      </w:r>
      <w:r w:rsidRPr="00EB20A6">
        <w:rPr>
          <w:rFonts w:ascii="Arial" w:hAnsi="Arial" w:cs="Arial"/>
          <w:color w:val="7B7B7B" w:themeColor="accent3" w:themeShade="BF"/>
          <w:sz w:val="22"/>
          <w:szCs w:val="22"/>
          <w:lang w:val="en-HK"/>
        </w:rPr>
        <w:t>including the Financial Services Commission Act</w:t>
      </w:r>
      <w:r w:rsidR="004930D5" w:rsidRPr="00EB20A6">
        <w:rPr>
          <w:rStyle w:val="FootnoteReference"/>
          <w:rFonts w:ascii="Arial" w:hAnsi="Arial" w:cs="Arial"/>
          <w:color w:val="7B7B7B" w:themeColor="accent3" w:themeShade="BF"/>
          <w:sz w:val="22"/>
          <w:szCs w:val="22"/>
          <w:lang w:val="en-HK"/>
        </w:rPr>
        <w:footnoteReference w:id="73"/>
      </w:r>
      <w:r w:rsidRPr="00EB20A6">
        <w:rPr>
          <w:rFonts w:ascii="Arial" w:hAnsi="Arial" w:cs="Arial"/>
          <w:color w:val="7B7B7B" w:themeColor="accent3" w:themeShade="BF"/>
          <w:sz w:val="22"/>
          <w:szCs w:val="22"/>
          <w:lang w:val="en-HK"/>
        </w:rPr>
        <w:t>.</w:t>
      </w:r>
    </w:p>
    <w:p w14:paraId="1B51765C" w14:textId="74A39D70" w:rsidR="001C3E8A" w:rsidRPr="00D6425B" w:rsidRDefault="001C3E8A" w:rsidP="0058170D">
      <w:pPr>
        <w:jc w:val="both"/>
        <w:rPr>
          <w:rFonts w:ascii="Arial" w:hAnsi="Arial" w:cs="Arial"/>
          <w:color w:val="7B7B7B" w:themeColor="accent3" w:themeShade="BF"/>
          <w:sz w:val="22"/>
          <w:szCs w:val="22"/>
          <w:highlight w:val="green"/>
          <w:lang w:val="en-HK"/>
        </w:rPr>
      </w:pPr>
    </w:p>
    <w:p w14:paraId="65D76624" w14:textId="764901B2" w:rsidR="00FB3F48" w:rsidRPr="00EB20A6" w:rsidRDefault="001C3E8A" w:rsidP="0058170D">
      <w:pPr>
        <w:jc w:val="both"/>
        <w:rPr>
          <w:rFonts w:ascii="Arial" w:hAnsi="Arial" w:cs="Arial"/>
          <w:color w:val="7B7B7B" w:themeColor="accent3" w:themeShade="BF"/>
          <w:sz w:val="22"/>
          <w:szCs w:val="22"/>
          <w:lang w:val="en-HK"/>
        </w:rPr>
      </w:pPr>
      <w:r w:rsidRPr="00EB20A6">
        <w:rPr>
          <w:rFonts w:ascii="Arial" w:hAnsi="Arial" w:cs="Arial"/>
          <w:color w:val="7B7B7B" w:themeColor="accent3" w:themeShade="BF"/>
          <w:sz w:val="22"/>
          <w:szCs w:val="22"/>
          <w:lang w:val="en-HK"/>
        </w:rPr>
        <w:t xml:space="preserve">A distinction can be made between </w:t>
      </w:r>
      <w:r w:rsidR="00EB20A6">
        <w:rPr>
          <w:rFonts w:ascii="Arial" w:hAnsi="Arial" w:cs="Arial"/>
          <w:color w:val="7B7B7B" w:themeColor="accent3" w:themeShade="BF"/>
          <w:sz w:val="22"/>
          <w:szCs w:val="22"/>
          <w:lang w:val="en-HK"/>
        </w:rPr>
        <w:t xml:space="preserve">a </w:t>
      </w:r>
      <w:r w:rsidRPr="00EB20A6">
        <w:rPr>
          <w:rFonts w:ascii="Arial" w:hAnsi="Arial" w:cs="Arial"/>
          <w:color w:val="7B7B7B" w:themeColor="accent3" w:themeShade="BF"/>
          <w:sz w:val="22"/>
          <w:szCs w:val="22"/>
          <w:lang w:val="en-HK"/>
        </w:rPr>
        <w:t xml:space="preserve">liquidator </w:t>
      </w:r>
      <w:r w:rsidR="00224A17" w:rsidRPr="00EB20A6">
        <w:rPr>
          <w:rFonts w:ascii="Arial" w:hAnsi="Arial" w:cs="Arial"/>
          <w:color w:val="7B7B7B" w:themeColor="accent3" w:themeShade="BF"/>
          <w:sz w:val="22"/>
          <w:szCs w:val="22"/>
          <w:lang w:val="en-HK"/>
        </w:rPr>
        <w:t xml:space="preserve">in an insolvent </w:t>
      </w:r>
      <w:r w:rsidR="00EB20A6">
        <w:rPr>
          <w:rFonts w:ascii="Arial" w:hAnsi="Arial" w:cs="Arial"/>
          <w:color w:val="7B7B7B" w:themeColor="accent3" w:themeShade="BF"/>
          <w:sz w:val="22"/>
          <w:szCs w:val="22"/>
          <w:lang w:val="en-HK"/>
        </w:rPr>
        <w:t xml:space="preserve">liquidation </w:t>
      </w:r>
      <w:r w:rsidR="00224A17" w:rsidRPr="00EB20A6">
        <w:rPr>
          <w:rFonts w:ascii="Arial" w:hAnsi="Arial" w:cs="Arial"/>
          <w:color w:val="7B7B7B" w:themeColor="accent3" w:themeShade="BF"/>
          <w:sz w:val="22"/>
          <w:szCs w:val="22"/>
          <w:lang w:val="en-HK"/>
        </w:rPr>
        <w:t xml:space="preserve">and </w:t>
      </w:r>
      <w:r w:rsidR="00EB20A6">
        <w:rPr>
          <w:rFonts w:ascii="Arial" w:hAnsi="Arial" w:cs="Arial"/>
          <w:color w:val="7B7B7B" w:themeColor="accent3" w:themeShade="BF"/>
          <w:sz w:val="22"/>
          <w:szCs w:val="22"/>
          <w:lang w:val="en-HK"/>
        </w:rPr>
        <w:t xml:space="preserve">in a </w:t>
      </w:r>
      <w:r w:rsidR="00224A17" w:rsidRPr="00EB20A6">
        <w:rPr>
          <w:rFonts w:ascii="Arial" w:hAnsi="Arial" w:cs="Arial"/>
          <w:color w:val="7B7B7B" w:themeColor="accent3" w:themeShade="BF"/>
          <w:sz w:val="22"/>
          <w:szCs w:val="22"/>
          <w:lang w:val="en-HK"/>
        </w:rPr>
        <w:t>voluntary liqui</w:t>
      </w:r>
      <w:r w:rsidR="00EB20A6">
        <w:rPr>
          <w:rFonts w:ascii="Arial" w:hAnsi="Arial" w:cs="Arial"/>
          <w:color w:val="7B7B7B" w:themeColor="accent3" w:themeShade="BF"/>
          <w:sz w:val="22"/>
          <w:szCs w:val="22"/>
          <w:lang w:val="en-HK"/>
        </w:rPr>
        <w:t>dation</w:t>
      </w:r>
      <w:r w:rsidR="00224A17" w:rsidRPr="00EB20A6">
        <w:rPr>
          <w:rFonts w:ascii="Arial" w:hAnsi="Arial" w:cs="Arial"/>
          <w:color w:val="7B7B7B" w:themeColor="accent3" w:themeShade="BF"/>
          <w:sz w:val="22"/>
          <w:szCs w:val="22"/>
          <w:lang w:val="en-HK"/>
        </w:rPr>
        <w:t>. In the latter, the liquidator need not be a licenced insolvency practitioner (unless the company is a regulated one) but the person must be an “eligible individual”.</w:t>
      </w:r>
      <w:r w:rsidR="00224A17" w:rsidRPr="00EB20A6">
        <w:rPr>
          <w:rStyle w:val="FootnoteReference"/>
          <w:rFonts w:ascii="Arial" w:hAnsi="Arial" w:cs="Arial"/>
          <w:color w:val="7B7B7B" w:themeColor="accent3" w:themeShade="BF"/>
          <w:sz w:val="22"/>
          <w:szCs w:val="22"/>
          <w:lang w:val="en-HK"/>
        </w:rPr>
        <w:footnoteReference w:id="74"/>
      </w:r>
      <w:r w:rsidR="00224A17" w:rsidRPr="00EB20A6">
        <w:rPr>
          <w:rFonts w:ascii="Arial" w:hAnsi="Arial" w:cs="Arial"/>
          <w:color w:val="7B7B7B" w:themeColor="accent3" w:themeShade="BF"/>
          <w:sz w:val="22"/>
          <w:szCs w:val="22"/>
          <w:lang w:val="en-HK"/>
        </w:rPr>
        <w:t xml:space="preserve"> </w:t>
      </w:r>
      <w:r w:rsidR="004930D5" w:rsidRPr="00EB20A6">
        <w:rPr>
          <w:rFonts w:ascii="Arial" w:hAnsi="Arial" w:cs="Arial"/>
          <w:color w:val="7B7B7B" w:themeColor="accent3" w:themeShade="BF"/>
          <w:sz w:val="22"/>
          <w:szCs w:val="22"/>
          <w:lang w:val="en-HK"/>
        </w:rPr>
        <w:t>Regulation 19(2)</w:t>
      </w:r>
      <w:r w:rsidR="001D65F2" w:rsidRPr="00EB20A6">
        <w:rPr>
          <w:rFonts w:ascii="Arial" w:hAnsi="Arial" w:cs="Arial"/>
          <w:color w:val="7B7B7B" w:themeColor="accent3" w:themeShade="BF"/>
          <w:sz w:val="22"/>
          <w:szCs w:val="22"/>
          <w:lang w:val="en-HK"/>
        </w:rPr>
        <w:t xml:space="preserve"> states that an individual is disqualified from being appointed or acting as a voluntary liquidator of a company if, </w:t>
      </w:r>
      <w:r w:rsidR="001D65F2" w:rsidRPr="00EB20A6">
        <w:rPr>
          <w:rFonts w:ascii="Arial" w:hAnsi="Arial" w:cs="Arial"/>
          <w:i/>
          <w:iCs/>
          <w:color w:val="7B7B7B" w:themeColor="accent3" w:themeShade="BF"/>
          <w:sz w:val="22"/>
          <w:szCs w:val="22"/>
          <w:lang w:val="en-HK"/>
        </w:rPr>
        <w:t>inter alia</w:t>
      </w:r>
      <w:r w:rsidR="001D65F2" w:rsidRPr="00EB20A6">
        <w:rPr>
          <w:rFonts w:ascii="Arial" w:hAnsi="Arial" w:cs="Arial"/>
          <w:color w:val="7B7B7B" w:themeColor="accent3" w:themeShade="BF"/>
          <w:sz w:val="22"/>
          <w:szCs w:val="22"/>
          <w:lang w:val="en-HK"/>
        </w:rPr>
        <w:t>, they are not resident in the BVI in accordance with section 2(2)</w:t>
      </w:r>
      <w:r w:rsidR="001D65F2" w:rsidRPr="00EB20A6">
        <w:rPr>
          <w:rStyle w:val="FootnoteReference"/>
          <w:rFonts w:ascii="Arial" w:hAnsi="Arial" w:cs="Arial"/>
          <w:color w:val="7B7B7B" w:themeColor="accent3" w:themeShade="BF"/>
          <w:sz w:val="22"/>
          <w:szCs w:val="22"/>
          <w:lang w:val="en-HK"/>
        </w:rPr>
        <w:footnoteReference w:id="75"/>
      </w:r>
      <w:r w:rsidR="001D65F2" w:rsidRPr="00EB20A6">
        <w:rPr>
          <w:rFonts w:ascii="Arial" w:hAnsi="Arial" w:cs="Arial"/>
          <w:color w:val="7B7B7B" w:themeColor="accent3" w:themeShade="BF"/>
          <w:sz w:val="22"/>
          <w:szCs w:val="22"/>
          <w:lang w:val="en-HK"/>
        </w:rPr>
        <w:t>.</w:t>
      </w:r>
    </w:p>
    <w:p w14:paraId="46E70CDF" w14:textId="77777777" w:rsidR="00224A17" w:rsidRPr="00C61DE4" w:rsidRDefault="00224A17" w:rsidP="0058170D">
      <w:pPr>
        <w:jc w:val="both"/>
        <w:rPr>
          <w:rFonts w:ascii="Arial" w:hAnsi="Arial" w:cs="Arial"/>
          <w:color w:val="7B7B7B" w:themeColor="accent3" w:themeShade="BF"/>
          <w:sz w:val="22"/>
          <w:szCs w:val="22"/>
          <w:lang w:val="en-HK"/>
        </w:rPr>
      </w:pPr>
    </w:p>
    <w:p w14:paraId="117A3D7C" w14:textId="6C6276C2" w:rsidR="0058170D" w:rsidRPr="00C61DE4" w:rsidRDefault="0058170D" w:rsidP="0058170D">
      <w:pPr>
        <w:jc w:val="both"/>
        <w:rPr>
          <w:rFonts w:ascii="Arial" w:hAnsi="Arial" w:cs="Arial"/>
          <w:b/>
          <w:bCs/>
          <w:color w:val="7B7B7B" w:themeColor="accent3" w:themeShade="BF"/>
          <w:sz w:val="22"/>
          <w:szCs w:val="22"/>
          <w:u w:val="single"/>
          <w:lang w:val="en-HK"/>
        </w:rPr>
      </w:pPr>
      <w:r w:rsidRPr="00C61DE4">
        <w:rPr>
          <w:rFonts w:ascii="Arial" w:hAnsi="Arial" w:cs="Arial"/>
          <w:b/>
          <w:bCs/>
          <w:color w:val="7B7B7B" w:themeColor="accent3" w:themeShade="BF"/>
          <w:sz w:val="22"/>
          <w:szCs w:val="22"/>
          <w:u w:val="single"/>
          <w:lang w:val="en-HK"/>
        </w:rPr>
        <w:t xml:space="preserve">Appointment </w:t>
      </w:r>
      <w:r w:rsidR="000F03B8" w:rsidRPr="00C61DE4">
        <w:rPr>
          <w:rFonts w:ascii="Arial" w:hAnsi="Arial" w:cs="Arial"/>
          <w:b/>
          <w:bCs/>
          <w:color w:val="7B7B7B" w:themeColor="accent3" w:themeShade="BF"/>
          <w:sz w:val="22"/>
          <w:szCs w:val="22"/>
          <w:u w:val="single"/>
          <w:lang w:val="en-HK"/>
        </w:rPr>
        <w:t xml:space="preserve">of voluntary liquidator </w:t>
      </w:r>
      <w:r w:rsidRPr="00C61DE4">
        <w:rPr>
          <w:rFonts w:ascii="Arial" w:hAnsi="Arial" w:cs="Arial"/>
          <w:b/>
          <w:bCs/>
          <w:color w:val="7B7B7B" w:themeColor="accent3" w:themeShade="BF"/>
          <w:sz w:val="22"/>
          <w:szCs w:val="22"/>
          <w:u w:val="single"/>
          <w:lang w:val="en-HK"/>
        </w:rPr>
        <w:t>under section 199 of the BCA 2022</w:t>
      </w:r>
    </w:p>
    <w:p w14:paraId="19957A71" w14:textId="4B70060C" w:rsidR="0058170D" w:rsidRPr="00D6425B" w:rsidRDefault="0047089B" w:rsidP="0058170D">
      <w:pPr>
        <w:jc w:val="both"/>
        <w:rPr>
          <w:rFonts w:ascii="Arial" w:hAnsi="Arial" w:cs="Arial"/>
          <w:color w:val="7B7B7B" w:themeColor="accent3" w:themeShade="BF"/>
          <w:sz w:val="22"/>
          <w:szCs w:val="22"/>
          <w:highlight w:val="green"/>
          <w:lang w:val="en-HK"/>
        </w:rPr>
      </w:pPr>
      <w:r w:rsidRPr="00C61DE4">
        <w:rPr>
          <w:rFonts w:ascii="Arial" w:hAnsi="Arial" w:cs="Arial"/>
          <w:color w:val="7B7B7B" w:themeColor="accent3" w:themeShade="BF"/>
          <w:sz w:val="22"/>
          <w:szCs w:val="22"/>
          <w:lang w:val="en-HK"/>
        </w:rPr>
        <w:t>In addition to the residency and</w:t>
      </w:r>
      <w:r w:rsidR="00C61DE4" w:rsidRPr="00C61DE4">
        <w:rPr>
          <w:rFonts w:ascii="Arial" w:hAnsi="Arial" w:cs="Arial"/>
          <w:color w:val="7B7B7B" w:themeColor="accent3" w:themeShade="BF"/>
          <w:sz w:val="22"/>
          <w:szCs w:val="22"/>
          <w:lang w:val="en-HK"/>
        </w:rPr>
        <w:t xml:space="preserve"> experience /</w:t>
      </w:r>
      <w:r w:rsidRPr="00C61DE4">
        <w:rPr>
          <w:rFonts w:ascii="Arial" w:hAnsi="Arial" w:cs="Arial"/>
          <w:color w:val="7B7B7B" w:themeColor="accent3" w:themeShade="BF"/>
          <w:sz w:val="22"/>
          <w:szCs w:val="22"/>
          <w:lang w:val="en-HK"/>
        </w:rPr>
        <w:t xml:space="preserve"> qualification requirements (detailed above) for appointing a voluntary liquidator, s</w:t>
      </w:r>
      <w:r w:rsidR="0058170D" w:rsidRPr="00C61DE4">
        <w:rPr>
          <w:rFonts w:ascii="Arial" w:hAnsi="Arial" w:cs="Arial"/>
          <w:color w:val="7B7B7B" w:themeColor="accent3" w:themeShade="BF"/>
          <w:sz w:val="22"/>
          <w:szCs w:val="22"/>
          <w:lang w:val="en-HK"/>
        </w:rPr>
        <w:t>ection 199</w:t>
      </w:r>
      <w:r w:rsidRPr="00C61DE4">
        <w:rPr>
          <w:rFonts w:ascii="Arial" w:hAnsi="Arial" w:cs="Arial"/>
          <w:color w:val="7B7B7B" w:themeColor="accent3" w:themeShade="BF"/>
          <w:sz w:val="22"/>
          <w:szCs w:val="22"/>
          <w:lang w:val="en-HK"/>
        </w:rPr>
        <w:t xml:space="preserve"> sets out the procedure for appointing a voluntary liquidator. </w:t>
      </w:r>
      <w:r w:rsidR="0093237C" w:rsidRPr="00C61DE4">
        <w:rPr>
          <w:rFonts w:ascii="Arial" w:hAnsi="Arial" w:cs="Arial"/>
          <w:color w:val="7B7B7B" w:themeColor="accent3" w:themeShade="BF"/>
          <w:sz w:val="22"/>
          <w:szCs w:val="22"/>
          <w:lang w:val="en-HK"/>
        </w:rPr>
        <w:t>Section 199(1) states that a</w:t>
      </w:r>
      <w:r w:rsidRPr="00C61DE4">
        <w:rPr>
          <w:rFonts w:ascii="Arial" w:hAnsi="Arial" w:cs="Arial"/>
          <w:color w:val="7B7B7B" w:themeColor="accent3" w:themeShade="BF"/>
          <w:sz w:val="22"/>
          <w:szCs w:val="22"/>
          <w:lang w:val="en-HK"/>
        </w:rPr>
        <w:t xml:space="preserve"> </w:t>
      </w:r>
      <w:r w:rsidR="0058170D" w:rsidRPr="00C61DE4">
        <w:rPr>
          <w:rFonts w:ascii="Arial" w:hAnsi="Arial" w:cs="Arial"/>
          <w:color w:val="7B7B7B" w:themeColor="accent3" w:themeShade="BF"/>
          <w:sz w:val="22"/>
          <w:szCs w:val="22"/>
          <w:lang w:val="en-HK"/>
        </w:rPr>
        <w:t>voluntary liquidator (or two or more joint voluntary liquidators) may be appointed either by a resolution of the directors</w:t>
      </w:r>
      <w:r w:rsidR="0058170D" w:rsidRPr="00C61DE4">
        <w:rPr>
          <w:rFonts w:ascii="Arial" w:hAnsi="Arial" w:cs="Arial"/>
          <w:color w:val="7B7B7B" w:themeColor="accent3" w:themeShade="BF"/>
          <w:sz w:val="22"/>
          <w:szCs w:val="22"/>
          <w:vertAlign w:val="superscript"/>
          <w:lang w:val="en-HK"/>
        </w:rPr>
        <w:footnoteReference w:id="76"/>
      </w:r>
      <w:r w:rsidR="0058170D" w:rsidRPr="00C61DE4">
        <w:rPr>
          <w:rFonts w:ascii="Arial" w:hAnsi="Arial" w:cs="Arial"/>
          <w:color w:val="7B7B7B" w:themeColor="accent3" w:themeShade="BF"/>
          <w:sz w:val="22"/>
          <w:szCs w:val="22"/>
          <w:lang w:val="en-HK"/>
        </w:rPr>
        <w:t xml:space="preserve"> or a resolution of members</w:t>
      </w:r>
      <w:r w:rsidR="0058170D" w:rsidRPr="00C61DE4">
        <w:rPr>
          <w:rFonts w:ascii="Arial" w:hAnsi="Arial" w:cs="Arial"/>
          <w:color w:val="7B7B7B" w:themeColor="accent3" w:themeShade="BF"/>
          <w:sz w:val="22"/>
          <w:szCs w:val="22"/>
          <w:vertAlign w:val="superscript"/>
          <w:lang w:val="en-HK"/>
        </w:rPr>
        <w:footnoteReference w:id="77"/>
      </w:r>
      <w:r w:rsidR="0058170D" w:rsidRPr="00C61DE4">
        <w:rPr>
          <w:rFonts w:ascii="Arial" w:hAnsi="Arial" w:cs="Arial"/>
          <w:color w:val="7B7B7B" w:themeColor="accent3" w:themeShade="BF"/>
          <w:sz w:val="22"/>
          <w:szCs w:val="22"/>
          <w:lang w:val="en-HK"/>
        </w:rPr>
        <w:t>.</w:t>
      </w:r>
    </w:p>
    <w:p w14:paraId="7B06753B" w14:textId="77777777" w:rsidR="00224A17" w:rsidRPr="00C61DE4" w:rsidRDefault="00224A17" w:rsidP="0058170D">
      <w:pPr>
        <w:jc w:val="both"/>
        <w:rPr>
          <w:rFonts w:ascii="Arial" w:hAnsi="Arial" w:cs="Arial"/>
          <w:color w:val="7B7B7B" w:themeColor="accent3" w:themeShade="BF"/>
          <w:sz w:val="22"/>
          <w:szCs w:val="22"/>
          <w:lang w:val="en-HK"/>
        </w:rPr>
      </w:pPr>
    </w:p>
    <w:p w14:paraId="30C319F8" w14:textId="77777777" w:rsidR="0047089B" w:rsidRPr="00C61DE4" w:rsidRDefault="0058170D" w:rsidP="0058170D">
      <w:pPr>
        <w:jc w:val="both"/>
        <w:rPr>
          <w:rFonts w:ascii="Arial" w:hAnsi="Arial" w:cs="Arial"/>
          <w:color w:val="7B7B7B" w:themeColor="accent3" w:themeShade="BF"/>
          <w:sz w:val="22"/>
          <w:szCs w:val="22"/>
          <w:u w:val="single"/>
          <w:lang w:val="en-HK"/>
        </w:rPr>
      </w:pPr>
      <w:r w:rsidRPr="00C61DE4">
        <w:rPr>
          <w:rFonts w:ascii="Arial" w:hAnsi="Arial" w:cs="Arial"/>
          <w:color w:val="7B7B7B" w:themeColor="accent3" w:themeShade="BF"/>
          <w:sz w:val="22"/>
          <w:szCs w:val="22"/>
          <w:u w:val="single"/>
          <w:lang w:val="en-HK"/>
        </w:rPr>
        <w:lastRenderedPageBreak/>
        <w:t>Appointment by resolution of directors</w:t>
      </w:r>
    </w:p>
    <w:p w14:paraId="0B110D08" w14:textId="4DABC732" w:rsidR="0058170D" w:rsidRPr="00C61DE4" w:rsidRDefault="0047089B" w:rsidP="0041352B">
      <w:pPr>
        <w:jc w:val="both"/>
        <w:rPr>
          <w:rFonts w:ascii="Arial" w:hAnsi="Arial" w:cs="Arial"/>
          <w:color w:val="7B7B7B" w:themeColor="accent3" w:themeShade="BF"/>
          <w:sz w:val="22"/>
          <w:szCs w:val="22"/>
          <w:lang w:val="en-HK"/>
        </w:rPr>
      </w:pPr>
      <w:r w:rsidRPr="00C61DE4">
        <w:rPr>
          <w:rFonts w:ascii="Arial" w:hAnsi="Arial" w:cs="Arial"/>
          <w:color w:val="7B7B7B" w:themeColor="accent3" w:themeShade="BF"/>
          <w:sz w:val="22"/>
          <w:szCs w:val="22"/>
          <w:lang w:val="en-HK"/>
        </w:rPr>
        <w:t>S</w:t>
      </w:r>
      <w:r w:rsidR="0058170D" w:rsidRPr="00C61DE4">
        <w:rPr>
          <w:rFonts w:ascii="Arial" w:hAnsi="Arial" w:cs="Arial"/>
          <w:color w:val="7B7B7B" w:themeColor="accent3" w:themeShade="BF"/>
          <w:sz w:val="22"/>
          <w:szCs w:val="22"/>
          <w:lang w:val="en-HK"/>
        </w:rPr>
        <w:t>ection 199(2)</w:t>
      </w:r>
      <w:r w:rsidRPr="00C61DE4">
        <w:rPr>
          <w:rFonts w:ascii="Arial" w:hAnsi="Arial" w:cs="Arial"/>
          <w:color w:val="7B7B7B" w:themeColor="accent3" w:themeShade="BF"/>
          <w:sz w:val="22"/>
          <w:szCs w:val="22"/>
          <w:lang w:val="en-HK"/>
        </w:rPr>
        <w:t xml:space="preserve"> states the circumstances in which a</w:t>
      </w:r>
      <w:r w:rsidR="0058170D" w:rsidRPr="00C61DE4">
        <w:rPr>
          <w:rFonts w:ascii="Arial" w:hAnsi="Arial" w:cs="Arial"/>
          <w:color w:val="7B7B7B" w:themeColor="accent3" w:themeShade="BF"/>
          <w:sz w:val="22"/>
          <w:szCs w:val="22"/>
          <w:lang w:val="en-HK"/>
        </w:rPr>
        <w:t xml:space="preserve">n eligible individual may be appointed voluntary liquidator of the company </w:t>
      </w:r>
      <w:r w:rsidR="0041352B" w:rsidRPr="00C61DE4">
        <w:rPr>
          <w:rFonts w:ascii="Arial" w:hAnsi="Arial" w:cs="Arial"/>
          <w:color w:val="7B7B7B" w:themeColor="accent3" w:themeShade="BF"/>
          <w:sz w:val="22"/>
          <w:szCs w:val="22"/>
          <w:lang w:val="en-HK"/>
        </w:rPr>
        <w:t>(</w:t>
      </w:r>
      <w:r w:rsidR="0058170D" w:rsidRPr="00C61DE4">
        <w:rPr>
          <w:rFonts w:ascii="Arial" w:hAnsi="Arial" w:cs="Arial"/>
          <w:color w:val="7B7B7B" w:themeColor="accent3" w:themeShade="BF"/>
          <w:sz w:val="22"/>
          <w:szCs w:val="22"/>
          <w:lang w:val="en-HK"/>
        </w:rPr>
        <w:t>by way of a resolution of the directors</w:t>
      </w:r>
      <w:r w:rsidR="0041352B" w:rsidRPr="00C61DE4">
        <w:rPr>
          <w:rFonts w:ascii="Arial" w:hAnsi="Arial" w:cs="Arial"/>
          <w:color w:val="7B7B7B" w:themeColor="accent3" w:themeShade="BF"/>
          <w:sz w:val="22"/>
          <w:szCs w:val="22"/>
          <w:lang w:val="en-HK"/>
        </w:rPr>
        <w:t>)</w:t>
      </w:r>
      <w:r w:rsidR="0058170D" w:rsidRPr="00C61DE4">
        <w:rPr>
          <w:rFonts w:ascii="Arial" w:hAnsi="Arial" w:cs="Arial"/>
          <w:color w:val="7B7B7B" w:themeColor="accent3" w:themeShade="BF"/>
          <w:sz w:val="22"/>
          <w:szCs w:val="22"/>
          <w:lang w:val="en-HK"/>
        </w:rPr>
        <w:t xml:space="preserve"> </w:t>
      </w:r>
      <w:r w:rsidRPr="00C61DE4">
        <w:rPr>
          <w:rFonts w:ascii="Arial" w:hAnsi="Arial" w:cs="Arial"/>
          <w:color w:val="7B7B7B" w:themeColor="accent3" w:themeShade="BF"/>
          <w:sz w:val="22"/>
          <w:szCs w:val="22"/>
          <w:lang w:val="en-HK"/>
        </w:rPr>
        <w:t xml:space="preserve">including </w:t>
      </w:r>
      <w:r w:rsidR="0058170D" w:rsidRPr="00C61DE4">
        <w:rPr>
          <w:rFonts w:ascii="Arial" w:hAnsi="Arial" w:cs="Arial"/>
          <w:color w:val="7B7B7B" w:themeColor="accent3" w:themeShade="BF"/>
          <w:sz w:val="22"/>
          <w:szCs w:val="22"/>
          <w:lang w:val="en-HK"/>
        </w:rPr>
        <w:t>if the</w:t>
      </w:r>
      <w:r w:rsidR="0041352B" w:rsidRPr="00C61DE4">
        <w:rPr>
          <w:rFonts w:ascii="Arial" w:hAnsi="Arial" w:cs="Arial"/>
          <w:color w:val="7B7B7B" w:themeColor="accent3" w:themeShade="BF"/>
          <w:sz w:val="22"/>
          <w:szCs w:val="22"/>
          <w:lang w:val="en-HK"/>
        </w:rPr>
        <w:t xml:space="preserve"> company’s</w:t>
      </w:r>
      <w:r w:rsidR="0058170D" w:rsidRPr="00C61DE4">
        <w:rPr>
          <w:rFonts w:ascii="Arial" w:hAnsi="Arial" w:cs="Arial"/>
          <w:color w:val="7B7B7B" w:themeColor="accent3" w:themeShade="BF"/>
          <w:sz w:val="22"/>
          <w:szCs w:val="22"/>
          <w:lang w:val="en-HK"/>
        </w:rPr>
        <w:t xml:space="preserve"> memorandum or articles permit</w:t>
      </w:r>
      <w:r w:rsidR="0041352B" w:rsidRPr="00C61DE4">
        <w:rPr>
          <w:rFonts w:ascii="Arial" w:hAnsi="Arial" w:cs="Arial"/>
          <w:color w:val="7B7B7B" w:themeColor="accent3" w:themeShade="BF"/>
          <w:sz w:val="22"/>
          <w:szCs w:val="22"/>
          <w:lang w:val="en-HK"/>
        </w:rPr>
        <w:t xml:space="preserve"> the directors</w:t>
      </w:r>
      <w:r w:rsidR="0058170D" w:rsidRPr="00C61DE4">
        <w:rPr>
          <w:rFonts w:ascii="Arial" w:hAnsi="Arial" w:cs="Arial"/>
          <w:color w:val="7B7B7B" w:themeColor="accent3" w:themeShade="BF"/>
          <w:sz w:val="22"/>
          <w:szCs w:val="22"/>
          <w:lang w:val="en-HK"/>
        </w:rPr>
        <w:t xml:space="preserve"> to pass a resolution for the appointment of a voluntary liquidator and the members have, by resolution, approved the liquidation plan.</w:t>
      </w:r>
      <w:r w:rsidR="00F577F2" w:rsidRPr="00C61DE4">
        <w:rPr>
          <w:rStyle w:val="FootnoteReference"/>
          <w:rFonts w:ascii="Arial" w:hAnsi="Arial" w:cs="Arial"/>
          <w:color w:val="7B7B7B" w:themeColor="accent3" w:themeShade="BF"/>
          <w:sz w:val="22"/>
          <w:szCs w:val="22"/>
          <w:lang w:val="en-HK"/>
        </w:rPr>
        <w:footnoteReference w:id="78"/>
      </w:r>
    </w:p>
    <w:p w14:paraId="0DC2C3EF" w14:textId="77777777" w:rsidR="000A7A28" w:rsidRPr="00C61DE4" w:rsidRDefault="000A7A28" w:rsidP="0058170D">
      <w:pPr>
        <w:jc w:val="both"/>
        <w:rPr>
          <w:rFonts w:ascii="Arial" w:hAnsi="Arial" w:cs="Arial"/>
          <w:color w:val="7B7B7B" w:themeColor="accent3" w:themeShade="BF"/>
          <w:sz w:val="22"/>
          <w:szCs w:val="22"/>
          <w:lang w:val="en-HK"/>
        </w:rPr>
      </w:pPr>
    </w:p>
    <w:p w14:paraId="674B7025" w14:textId="77777777" w:rsidR="0041352B" w:rsidRPr="00DA5B74" w:rsidRDefault="0058170D" w:rsidP="0058170D">
      <w:pPr>
        <w:jc w:val="both"/>
        <w:rPr>
          <w:rFonts w:ascii="Arial" w:hAnsi="Arial" w:cs="Arial"/>
          <w:color w:val="7B7B7B" w:themeColor="accent3" w:themeShade="BF"/>
          <w:sz w:val="22"/>
          <w:szCs w:val="22"/>
          <w:u w:val="single"/>
          <w:lang w:val="en-HK"/>
        </w:rPr>
      </w:pPr>
      <w:r w:rsidRPr="00DA5B74">
        <w:rPr>
          <w:rFonts w:ascii="Arial" w:hAnsi="Arial" w:cs="Arial"/>
          <w:color w:val="7B7B7B" w:themeColor="accent3" w:themeShade="BF"/>
          <w:sz w:val="22"/>
          <w:szCs w:val="22"/>
          <w:u w:val="single"/>
          <w:lang w:val="en-HK"/>
        </w:rPr>
        <w:t>Appointment by resolution of members</w:t>
      </w:r>
    </w:p>
    <w:p w14:paraId="30EBF258" w14:textId="0C1C04F3" w:rsidR="0058170D" w:rsidRPr="00DA5B74" w:rsidRDefault="0041352B" w:rsidP="0058170D">
      <w:pPr>
        <w:jc w:val="both"/>
        <w:rPr>
          <w:rFonts w:ascii="Arial" w:hAnsi="Arial" w:cs="Arial"/>
          <w:color w:val="7B7B7B" w:themeColor="accent3" w:themeShade="BF"/>
          <w:sz w:val="22"/>
          <w:szCs w:val="22"/>
          <w:lang w:val="en-HK"/>
        </w:rPr>
      </w:pPr>
      <w:r w:rsidRPr="00DA5B74">
        <w:rPr>
          <w:rFonts w:ascii="Arial" w:hAnsi="Arial" w:cs="Arial"/>
          <w:color w:val="7B7B7B" w:themeColor="accent3" w:themeShade="BF"/>
          <w:sz w:val="22"/>
          <w:szCs w:val="22"/>
          <w:lang w:val="en-HK"/>
        </w:rPr>
        <w:t>S</w:t>
      </w:r>
      <w:r w:rsidR="0058170D" w:rsidRPr="00DA5B74">
        <w:rPr>
          <w:rFonts w:ascii="Arial" w:hAnsi="Arial" w:cs="Arial"/>
          <w:color w:val="7B7B7B" w:themeColor="accent3" w:themeShade="BF"/>
          <w:sz w:val="22"/>
          <w:szCs w:val="22"/>
          <w:lang w:val="en-HK"/>
        </w:rPr>
        <w:t>ection 199(3)</w:t>
      </w:r>
      <w:r w:rsidRPr="00DA5B74">
        <w:rPr>
          <w:rFonts w:ascii="Arial" w:hAnsi="Arial" w:cs="Arial"/>
          <w:color w:val="7B7B7B" w:themeColor="accent3" w:themeShade="BF"/>
          <w:sz w:val="22"/>
          <w:szCs w:val="22"/>
          <w:lang w:val="en-HK"/>
        </w:rPr>
        <w:t xml:space="preserve"> states that a</w:t>
      </w:r>
      <w:r w:rsidR="0058170D" w:rsidRPr="00DA5B74">
        <w:rPr>
          <w:rFonts w:ascii="Arial" w:hAnsi="Arial" w:cs="Arial"/>
          <w:color w:val="7B7B7B" w:themeColor="accent3" w:themeShade="BF"/>
          <w:sz w:val="22"/>
          <w:szCs w:val="22"/>
          <w:lang w:val="en-HK"/>
        </w:rPr>
        <w:t xml:space="preserve"> company’s members may, by resolution, approve the liquidation plan</w:t>
      </w:r>
      <w:r w:rsidR="0058170D" w:rsidRPr="00DA5B74">
        <w:rPr>
          <w:rFonts w:ascii="Arial" w:hAnsi="Arial" w:cs="Arial"/>
          <w:color w:val="7B7B7B" w:themeColor="accent3" w:themeShade="BF"/>
          <w:sz w:val="22"/>
          <w:szCs w:val="22"/>
          <w:vertAlign w:val="superscript"/>
          <w:lang w:val="en-HK"/>
        </w:rPr>
        <w:footnoteReference w:id="79"/>
      </w:r>
      <w:r w:rsidR="0058170D" w:rsidRPr="00DA5B74">
        <w:rPr>
          <w:rFonts w:ascii="Arial" w:hAnsi="Arial" w:cs="Arial"/>
          <w:color w:val="7B7B7B" w:themeColor="accent3" w:themeShade="BF"/>
          <w:sz w:val="22"/>
          <w:szCs w:val="22"/>
          <w:lang w:val="en-HK"/>
        </w:rPr>
        <w:t xml:space="preserve"> and appoint an eligible individual as the company’s voluntary liquidator</w:t>
      </w:r>
      <w:r w:rsidR="0058170D" w:rsidRPr="00DA5B74">
        <w:rPr>
          <w:rFonts w:ascii="Arial" w:hAnsi="Arial" w:cs="Arial"/>
          <w:color w:val="7B7B7B" w:themeColor="accent3" w:themeShade="BF"/>
          <w:sz w:val="22"/>
          <w:szCs w:val="22"/>
          <w:vertAlign w:val="superscript"/>
          <w:lang w:val="en-HK"/>
        </w:rPr>
        <w:footnoteReference w:id="80"/>
      </w:r>
      <w:r w:rsidR="0058170D" w:rsidRPr="00DA5B74">
        <w:rPr>
          <w:rFonts w:ascii="Arial" w:hAnsi="Arial" w:cs="Arial"/>
          <w:color w:val="7B7B7B" w:themeColor="accent3" w:themeShade="BF"/>
          <w:sz w:val="22"/>
          <w:szCs w:val="22"/>
          <w:lang w:val="en-HK"/>
        </w:rPr>
        <w:t xml:space="preserve">. </w:t>
      </w:r>
    </w:p>
    <w:p w14:paraId="7F2117FF" w14:textId="77777777" w:rsidR="00B70BCC" w:rsidRPr="00DA5B74" w:rsidRDefault="00B70BCC" w:rsidP="0058170D">
      <w:pPr>
        <w:jc w:val="both"/>
        <w:rPr>
          <w:rFonts w:ascii="Arial" w:hAnsi="Arial" w:cs="Arial"/>
          <w:color w:val="7B7B7B" w:themeColor="accent3" w:themeShade="BF"/>
          <w:sz w:val="22"/>
          <w:szCs w:val="22"/>
          <w:lang w:val="en-HK"/>
        </w:rPr>
      </w:pPr>
    </w:p>
    <w:p w14:paraId="74817C6D" w14:textId="7E98653C" w:rsidR="0041352B" w:rsidRPr="00974035" w:rsidRDefault="0058170D" w:rsidP="0058170D">
      <w:pPr>
        <w:jc w:val="both"/>
        <w:rPr>
          <w:rFonts w:ascii="Arial" w:hAnsi="Arial" w:cs="Arial"/>
          <w:color w:val="7B7B7B" w:themeColor="accent3" w:themeShade="BF"/>
          <w:sz w:val="22"/>
          <w:szCs w:val="22"/>
          <w:u w:val="single"/>
          <w:lang w:val="en-HK"/>
        </w:rPr>
      </w:pPr>
      <w:r w:rsidRPr="00974035">
        <w:rPr>
          <w:rFonts w:ascii="Arial" w:hAnsi="Arial" w:cs="Arial"/>
          <w:color w:val="7B7B7B" w:themeColor="accent3" w:themeShade="BF"/>
          <w:sz w:val="22"/>
          <w:szCs w:val="22"/>
          <w:u w:val="single"/>
          <w:lang w:val="en-HK"/>
        </w:rPr>
        <w:t>Appointment of voluntary liquidator of regulated person</w:t>
      </w:r>
    </w:p>
    <w:p w14:paraId="6F4F79B3" w14:textId="4246AD6B" w:rsidR="0058170D" w:rsidRPr="00974035" w:rsidRDefault="0041352B" w:rsidP="0058170D">
      <w:pPr>
        <w:jc w:val="both"/>
        <w:rPr>
          <w:rFonts w:ascii="Arial" w:hAnsi="Arial" w:cs="Arial"/>
          <w:color w:val="7B7B7B" w:themeColor="accent3" w:themeShade="BF"/>
          <w:sz w:val="22"/>
          <w:szCs w:val="22"/>
          <w:lang w:val="en-HK"/>
        </w:rPr>
      </w:pPr>
      <w:r w:rsidRPr="00974035">
        <w:rPr>
          <w:rFonts w:ascii="Arial" w:hAnsi="Arial" w:cs="Arial"/>
          <w:color w:val="7B7B7B" w:themeColor="accent3" w:themeShade="BF"/>
          <w:sz w:val="22"/>
          <w:szCs w:val="22"/>
          <w:lang w:val="en-HK"/>
        </w:rPr>
        <w:t>S</w:t>
      </w:r>
      <w:r w:rsidR="0058170D" w:rsidRPr="00974035">
        <w:rPr>
          <w:rFonts w:ascii="Arial" w:hAnsi="Arial" w:cs="Arial"/>
          <w:color w:val="7B7B7B" w:themeColor="accent3" w:themeShade="BF"/>
          <w:sz w:val="22"/>
          <w:szCs w:val="22"/>
          <w:lang w:val="en-HK"/>
        </w:rPr>
        <w:t>ection 200</w:t>
      </w:r>
      <w:r w:rsidRPr="00974035">
        <w:rPr>
          <w:rFonts w:ascii="Arial" w:hAnsi="Arial" w:cs="Arial"/>
          <w:color w:val="7B7B7B" w:themeColor="accent3" w:themeShade="BF"/>
          <w:sz w:val="22"/>
          <w:szCs w:val="22"/>
          <w:lang w:val="en-HK"/>
        </w:rPr>
        <w:t xml:space="preserve"> states that w</w:t>
      </w:r>
      <w:r w:rsidR="0058170D" w:rsidRPr="00974035">
        <w:rPr>
          <w:rFonts w:ascii="Arial" w:hAnsi="Arial" w:cs="Arial"/>
          <w:color w:val="7B7B7B" w:themeColor="accent3" w:themeShade="BF"/>
          <w:sz w:val="22"/>
          <w:szCs w:val="22"/>
          <w:lang w:val="en-HK"/>
        </w:rPr>
        <w:t xml:space="preserve">here the company is a regulated person, a resolution </w:t>
      </w:r>
      <w:r w:rsidR="00636BDD" w:rsidRPr="00974035">
        <w:rPr>
          <w:rFonts w:ascii="Arial" w:hAnsi="Arial" w:cs="Arial"/>
          <w:color w:val="7B7B7B" w:themeColor="accent3" w:themeShade="BF"/>
          <w:sz w:val="22"/>
          <w:szCs w:val="22"/>
          <w:lang w:val="en-HK"/>
        </w:rPr>
        <w:t>appointing</w:t>
      </w:r>
      <w:r w:rsidR="0058170D" w:rsidRPr="00974035">
        <w:rPr>
          <w:rFonts w:ascii="Arial" w:hAnsi="Arial" w:cs="Arial"/>
          <w:color w:val="7B7B7B" w:themeColor="accent3" w:themeShade="BF"/>
          <w:sz w:val="22"/>
          <w:szCs w:val="22"/>
          <w:lang w:val="en-HK"/>
        </w:rPr>
        <w:t xml:space="preserve"> a voluntary liquidator shall not be passed under section 199 (by either the directors or members) unless the Commission has “</w:t>
      </w:r>
      <w:r w:rsidR="0058170D" w:rsidRPr="00974035">
        <w:rPr>
          <w:rFonts w:ascii="Arial" w:hAnsi="Arial" w:cs="Arial"/>
          <w:i/>
          <w:iCs/>
          <w:color w:val="7B7B7B" w:themeColor="accent3" w:themeShade="BF"/>
          <w:sz w:val="22"/>
          <w:szCs w:val="22"/>
          <w:lang w:val="en-HK"/>
        </w:rPr>
        <w:t>given its prior written consent to the company being put into voluntary liquidation</w:t>
      </w:r>
      <w:r w:rsidR="0058170D" w:rsidRPr="00974035">
        <w:rPr>
          <w:rFonts w:ascii="Arial" w:hAnsi="Arial" w:cs="Arial"/>
          <w:color w:val="7B7B7B" w:themeColor="accent3" w:themeShade="BF"/>
          <w:sz w:val="22"/>
          <w:szCs w:val="22"/>
          <w:lang w:val="en-HK"/>
        </w:rPr>
        <w:t>”</w:t>
      </w:r>
      <w:r w:rsidR="0058170D" w:rsidRPr="00974035">
        <w:rPr>
          <w:rFonts w:ascii="Arial" w:hAnsi="Arial" w:cs="Arial"/>
          <w:color w:val="7B7B7B" w:themeColor="accent3" w:themeShade="BF"/>
          <w:sz w:val="22"/>
          <w:szCs w:val="22"/>
          <w:vertAlign w:val="superscript"/>
          <w:lang w:val="en-HK"/>
        </w:rPr>
        <w:footnoteReference w:id="81"/>
      </w:r>
      <w:r w:rsidR="0058170D" w:rsidRPr="00974035">
        <w:rPr>
          <w:rFonts w:ascii="Arial" w:hAnsi="Arial" w:cs="Arial"/>
          <w:color w:val="7B7B7B" w:themeColor="accent3" w:themeShade="BF"/>
          <w:sz w:val="22"/>
          <w:szCs w:val="22"/>
          <w:lang w:val="en-HK"/>
        </w:rPr>
        <w:t xml:space="preserve"> and “</w:t>
      </w:r>
      <w:r w:rsidR="0058170D" w:rsidRPr="00974035">
        <w:rPr>
          <w:rFonts w:ascii="Arial" w:hAnsi="Arial" w:cs="Arial"/>
          <w:i/>
          <w:iCs/>
          <w:color w:val="7B7B7B" w:themeColor="accent3" w:themeShade="BF"/>
          <w:sz w:val="22"/>
          <w:szCs w:val="22"/>
          <w:lang w:val="en-HK"/>
        </w:rPr>
        <w:t>approved the appointment of the individual proposed as voluntary liquidator</w:t>
      </w:r>
      <w:r w:rsidR="0058170D" w:rsidRPr="00974035">
        <w:rPr>
          <w:rFonts w:ascii="Arial" w:hAnsi="Arial" w:cs="Arial"/>
          <w:color w:val="7B7B7B" w:themeColor="accent3" w:themeShade="BF"/>
          <w:sz w:val="22"/>
          <w:szCs w:val="22"/>
          <w:lang w:val="en-HK"/>
        </w:rPr>
        <w:t>.”</w:t>
      </w:r>
      <w:r w:rsidR="0058170D" w:rsidRPr="00974035">
        <w:rPr>
          <w:rFonts w:ascii="Arial" w:hAnsi="Arial" w:cs="Arial"/>
          <w:color w:val="7B7B7B" w:themeColor="accent3" w:themeShade="BF"/>
          <w:sz w:val="22"/>
          <w:szCs w:val="22"/>
          <w:vertAlign w:val="superscript"/>
          <w:lang w:val="en-HK"/>
        </w:rPr>
        <w:footnoteReference w:id="82"/>
      </w:r>
      <w:r w:rsidR="00EF78F8" w:rsidRPr="00974035">
        <w:rPr>
          <w:rFonts w:ascii="Arial" w:hAnsi="Arial" w:cs="Arial"/>
          <w:color w:val="7B7B7B" w:themeColor="accent3" w:themeShade="BF"/>
          <w:sz w:val="22"/>
          <w:szCs w:val="22"/>
          <w:lang w:val="en-HK"/>
        </w:rPr>
        <w:t xml:space="preserve"> If section 200(3)(a) and section 200(3)(b) are not complied with, any resolution passed in contravention to these sections will be void and of no effect</w:t>
      </w:r>
      <w:r w:rsidR="00EF78F8" w:rsidRPr="00974035">
        <w:rPr>
          <w:rStyle w:val="FootnoteReference"/>
          <w:rFonts w:ascii="Arial" w:hAnsi="Arial" w:cs="Arial"/>
          <w:color w:val="7B7B7B" w:themeColor="accent3" w:themeShade="BF"/>
          <w:sz w:val="22"/>
          <w:szCs w:val="22"/>
          <w:lang w:val="en-HK"/>
        </w:rPr>
        <w:footnoteReference w:id="83"/>
      </w:r>
      <w:r w:rsidR="00EF78F8" w:rsidRPr="00974035">
        <w:rPr>
          <w:rFonts w:ascii="Arial" w:hAnsi="Arial" w:cs="Arial"/>
          <w:color w:val="7B7B7B" w:themeColor="accent3" w:themeShade="BF"/>
          <w:sz w:val="22"/>
          <w:szCs w:val="22"/>
          <w:lang w:val="en-HK"/>
        </w:rPr>
        <w:t>.</w:t>
      </w:r>
    </w:p>
    <w:p w14:paraId="56FCB366" w14:textId="77777777" w:rsidR="0058170D" w:rsidRPr="00974035" w:rsidRDefault="0058170D" w:rsidP="0058170D">
      <w:pPr>
        <w:jc w:val="both"/>
        <w:rPr>
          <w:rFonts w:ascii="Arial" w:hAnsi="Arial" w:cs="Arial"/>
          <w:color w:val="7B7B7B" w:themeColor="accent3" w:themeShade="BF"/>
          <w:sz w:val="22"/>
          <w:szCs w:val="22"/>
          <w:lang w:val="en-HK"/>
        </w:rPr>
      </w:pPr>
    </w:p>
    <w:p w14:paraId="377B3522" w14:textId="5B2D153C" w:rsidR="0058170D" w:rsidRPr="00974035" w:rsidRDefault="00636BDD" w:rsidP="0058170D">
      <w:pPr>
        <w:jc w:val="both"/>
        <w:rPr>
          <w:rFonts w:ascii="Arial" w:hAnsi="Arial" w:cs="Arial"/>
          <w:color w:val="7B7B7B" w:themeColor="accent3" w:themeShade="BF"/>
          <w:sz w:val="22"/>
          <w:szCs w:val="22"/>
          <w:lang w:val="en-HK"/>
        </w:rPr>
      </w:pPr>
      <w:r w:rsidRPr="00974035">
        <w:rPr>
          <w:rFonts w:ascii="Arial" w:hAnsi="Arial" w:cs="Arial"/>
          <w:color w:val="7B7B7B" w:themeColor="accent3" w:themeShade="BF"/>
          <w:sz w:val="22"/>
          <w:szCs w:val="22"/>
          <w:lang w:val="en-HK"/>
        </w:rPr>
        <w:t>It should be noted that c</w:t>
      </w:r>
      <w:r w:rsidR="0058170D" w:rsidRPr="00974035">
        <w:rPr>
          <w:rFonts w:ascii="Arial" w:hAnsi="Arial" w:cs="Arial"/>
          <w:color w:val="7B7B7B" w:themeColor="accent3" w:themeShade="BF"/>
          <w:sz w:val="22"/>
          <w:szCs w:val="22"/>
          <w:lang w:val="en-HK"/>
        </w:rPr>
        <w:t>ertain specified categories or descriptions of regulated persons may mean that the voluntary liquidator or at least one of the voluntary liquidators (where joint voluntary liquidators are appointed), shall be a licensed insolvency practitioner</w:t>
      </w:r>
      <w:r w:rsidR="0058170D" w:rsidRPr="00974035">
        <w:rPr>
          <w:rFonts w:ascii="Arial" w:hAnsi="Arial" w:cs="Arial"/>
          <w:color w:val="7B7B7B" w:themeColor="accent3" w:themeShade="BF"/>
          <w:sz w:val="22"/>
          <w:szCs w:val="22"/>
          <w:vertAlign w:val="superscript"/>
          <w:lang w:val="en-HK"/>
        </w:rPr>
        <w:footnoteReference w:id="84"/>
      </w:r>
      <w:r w:rsidR="0058170D" w:rsidRPr="00974035">
        <w:rPr>
          <w:rFonts w:ascii="Arial" w:hAnsi="Arial" w:cs="Arial"/>
          <w:color w:val="7B7B7B" w:themeColor="accent3" w:themeShade="BF"/>
          <w:sz w:val="22"/>
          <w:szCs w:val="22"/>
          <w:lang w:val="en-HK"/>
        </w:rPr>
        <w:t>.</w:t>
      </w:r>
    </w:p>
    <w:p w14:paraId="51706CEA" w14:textId="77777777" w:rsidR="00B70BCC" w:rsidRPr="00974035" w:rsidRDefault="00B70BCC" w:rsidP="0058170D">
      <w:pPr>
        <w:jc w:val="both"/>
        <w:rPr>
          <w:rFonts w:ascii="Arial" w:hAnsi="Arial" w:cs="Arial"/>
          <w:color w:val="7B7B7B" w:themeColor="accent3" w:themeShade="BF"/>
          <w:sz w:val="22"/>
          <w:szCs w:val="22"/>
          <w:lang w:val="en-HK"/>
        </w:rPr>
      </w:pPr>
    </w:p>
    <w:p w14:paraId="16ED0425" w14:textId="77777777" w:rsidR="00EF78F8" w:rsidRPr="00717EAD" w:rsidRDefault="0058170D" w:rsidP="0058170D">
      <w:pPr>
        <w:jc w:val="both"/>
        <w:rPr>
          <w:rFonts w:ascii="Arial" w:hAnsi="Arial" w:cs="Arial"/>
          <w:b/>
          <w:bCs/>
          <w:color w:val="7B7B7B" w:themeColor="accent3" w:themeShade="BF"/>
          <w:sz w:val="22"/>
          <w:szCs w:val="22"/>
          <w:u w:val="single"/>
          <w:lang w:val="en-HK"/>
        </w:rPr>
      </w:pPr>
      <w:r w:rsidRPr="00717EAD">
        <w:rPr>
          <w:rFonts w:ascii="Arial" w:hAnsi="Arial" w:cs="Arial"/>
          <w:b/>
          <w:bCs/>
          <w:color w:val="7B7B7B" w:themeColor="accent3" w:themeShade="BF"/>
          <w:sz w:val="22"/>
          <w:szCs w:val="22"/>
          <w:u w:val="single"/>
          <w:lang w:val="en-HK"/>
        </w:rPr>
        <w:t>Notice and advertisement of liquidation</w:t>
      </w:r>
    </w:p>
    <w:p w14:paraId="56C5F37D" w14:textId="2705DE0D" w:rsidR="0058170D" w:rsidRPr="00717EAD" w:rsidRDefault="00EF78F8" w:rsidP="0058170D">
      <w:pPr>
        <w:jc w:val="both"/>
        <w:rPr>
          <w:rFonts w:ascii="Arial" w:hAnsi="Arial" w:cs="Arial"/>
          <w:color w:val="7B7B7B" w:themeColor="accent3" w:themeShade="BF"/>
          <w:sz w:val="22"/>
          <w:szCs w:val="22"/>
          <w:lang w:val="en-HK"/>
        </w:rPr>
      </w:pPr>
      <w:r w:rsidRPr="00717EAD">
        <w:rPr>
          <w:rFonts w:ascii="Arial" w:hAnsi="Arial" w:cs="Arial"/>
          <w:color w:val="7B7B7B" w:themeColor="accent3" w:themeShade="BF"/>
          <w:sz w:val="22"/>
          <w:szCs w:val="22"/>
          <w:lang w:val="en-HK"/>
        </w:rPr>
        <w:t>S</w:t>
      </w:r>
      <w:r w:rsidR="0058170D" w:rsidRPr="00717EAD">
        <w:rPr>
          <w:rFonts w:ascii="Arial" w:hAnsi="Arial" w:cs="Arial"/>
          <w:color w:val="7B7B7B" w:themeColor="accent3" w:themeShade="BF"/>
          <w:sz w:val="22"/>
          <w:szCs w:val="22"/>
          <w:lang w:val="en-HK"/>
        </w:rPr>
        <w:t>ection 204</w:t>
      </w:r>
      <w:r w:rsidRPr="00717EAD">
        <w:rPr>
          <w:rFonts w:ascii="Arial" w:hAnsi="Arial" w:cs="Arial"/>
          <w:color w:val="7B7B7B" w:themeColor="accent3" w:themeShade="BF"/>
          <w:sz w:val="22"/>
          <w:szCs w:val="22"/>
          <w:lang w:val="en-HK"/>
        </w:rPr>
        <w:t xml:space="preserve"> states that a</w:t>
      </w:r>
      <w:r w:rsidR="0058170D" w:rsidRPr="00717EAD">
        <w:rPr>
          <w:rFonts w:ascii="Arial" w:hAnsi="Arial" w:cs="Arial"/>
          <w:color w:val="7B7B7B" w:themeColor="accent3" w:themeShade="BF"/>
          <w:sz w:val="22"/>
          <w:szCs w:val="22"/>
          <w:lang w:val="en-HK"/>
        </w:rPr>
        <w:t xml:space="preserve"> voluntary liquidator appointed under section 199 shall within 14 days of the date of the</w:t>
      </w:r>
      <w:r w:rsidRPr="00717EAD">
        <w:rPr>
          <w:rFonts w:ascii="Arial" w:hAnsi="Arial" w:cs="Arial"/>
          <w:color w:val="7B7B7B" w:themeColor="accent3" w:themeShade="BF"/>
          <w:sz w:val="22"/>
          <w:szCs w:val="22"/>
          <w:lang w:val="en-HK"/>
        </w:rPr>
        <w:t>ir</w:t>
      </w:r>
      <w:r w:rsidR="0058170D" w:rsidRPr="00717EAD">
        <w:rPr>
          <w:rFonts w:ascii="Arial" w:hAnsi="Arial" w:cs="Arial"/>
          <w:color w:val="7B7B7B" w:themeColor="accent3" w:themeShade="BF"/>
          <w:sz w:val="22"/>
          <w:szCs w:val="22"/>
          <w:lang w:val="en-HK"/>
        </w:rPr>
        <w:t xml:space="preserve"> appointment file a notice of their appointment in the approved form</w:t>
      </w:r>
      <w:r w:rsidR="0058170D" w:rsidRPr="00717EAD">
        <w:rPr>
          <w:rFonts w:ascii="Arial" w:hAnsi="Arial" w:cs="Arial"/>
          <w:color w:val="7B7B7B" w:themeColor="accent3" w:themeShade="BF"/>
          <w:sz w:val="22"/>
          <w:szCs w:val="22"/>
          <w:vertAlign w:val="superscript"/>
          <w:lang w:val="en-HK"/>
        </w:rPr>
        <w:footnoteReference w:id="85"/>
      </w:r>
      <w:r w:rsidR="0058170D" w:rsidRPr="00717EAD">
        <w:rPr>
          <w:rFonts w:ascii="Arial" w:hAnsi="Arial" w:cs="Arial"/>
          <w:color w:val="7B7B7B" w:themeColor="accent3" w:themeShade="BF"/>
          <w:sz w:val="22"/>
          <w:szCs w:val="22"/>
          <w:lang w:val="en-HK"/>
        </w:rPr>
        <w:t>, the declaration of solvency made by the directors</w:t>
      </w:r>
      <w:r w:rsidR="0058170D" w:rsidRPr="00717EAD">
        <w:rPr>
          <w:rFonts w:ascii="Arial" w:hAnsi="Arial" w:cs="Arial"/>
          <w:color w:val="7B7B7B" w:themeColor="accent3" w:themeShade="BF"/>
          <w:sz w:val="22"/>
          <w:szCs w:val="22"/>
          <w:vertAlign w:val="superscript"/>
          <w:lang w:val="en-HK"/>
        </w:rPr>
        <w:footnoteReference w:id="86"/>
      </w:r>
      <w:r w:rsidR="0058170D" w:rsidRPr="00717EAD">
        <w:rPr>
          <w:rFonts w:ascii="Arial" w:hAnsi="Arial" w:cs="Arial"/>
          <w:color w:val="7B7B7B" w:themeColor="accent3" w:themeShade="BF"/>
          <w:sz w:val="22"/>
          <w:szCs w:val="22"/>
          <w:lang w:val="en-HK"/>
        </w:rPr>
        <w:t xml:space="preserve"> and a copy of the liquidation plan</w:t>
      </w:r>
      <w:r w:rsidR="0058170D" w:rsidRPr="00717EAD">
        <w:rPr>
          <w:rFonts w:ascii="Arial" w:hAnsi="Arial" w:cs="Arial"/>
          <w:color w:val="7B7B7B" w:themeColor="accent3" w:themeShade="BF"/>
          <w:sz w:val="22"/>
          <w:szCs w:val="22"/>
          <w:vertAlign w:val="superscript"/>
          <w:lang w:val="en-HK"/>
        </w:rPr>
        <w:footnoteReference w:id="87"/>
      </w:r>
      <w:r w:rsidR="0058170D" w:rsidRPr="00717EAD">
        <w:rPr>
          <w:rFonts w:ascii="Arial" w:hAnsi="Arial" w:cs="Arial"/>
          <w:color w:val="7B7B7B" w:themeColor="accent3" w:themeShade="BF"/>
          <w:sz w:val="22"/>
          <w:szCs w:val="22"/>
          <w:lang w:val="en-HK"/>
        </w:rPr>
        <w:t>. The voluntary liquidator</w:t>
      </w:r>
      <w:r w:rsidRPr="00717EAD">
        <w:rPr>
          <w:rFonts w:ascii="Arial" w:hAnsi="Arial" w:cs="Arial"/>
          <w:color w:val="7B7B7B" w:themeColor="accent3" w:themeShade="BF"/>
          <w:sz w:val="22"/>
          <w:szCs w:val="22"/>
          <w:lang w:val="en-HK"/>
        </w:rPr>
        <w:t xml:space="preserve"> appointed</w:t>
      </w:r>
      <w:r w:rsidR="0058170D" w:rsidRPr="00717EAD">
        <w:rPr>
          <w:rFonts w:ascii="Arial" w:hAnsi="Arial" w:cs="Arial"/>
          <w:color w:val="7B7B7B" w:themeColor="accent3" w:themeShade="BF"/>
          <w:sz w:val="22"/>
          <w:szCs w:val="22"/>
          <w:lang w:val="en-HK"/>
        </w:rPr>
        <w:t xml:space="preserve"> shall also, within 30 days of commencement of the liquidation, advertise notice of their appointment.</w:t>
      </w:r>
      <w:r w:rsidR="0058170D" w:rsidRPr="00717EAD">
        <w:rPr>
          <w:rFonts w:ascii="Arial" w:hAnsi="Arial" w:cs="Arial"/>
          <w:color w:val="7B7B7B" w:themeColor="accent3" w:themeShade="BF"/>
          <w:sz w:val="22"/>
          <w:szCs w:val="22"/>
          <w:vertAlign w:val="superscript"/>
          <w:lang w:val="en-HK"/>
        </w:rPr>
        <w:footnoteReference w:id="88"/>
      </w:r>
    </w:p>
    <w:p w14:paraId="031AD702" w14:textId="77777777" w:rsidR="0058170D" w:rsidRPr="00717EAD" w:rsidRDefault="0058170D" w:rsidP="0058170D">
      <w:pPr>
        <w:jc w:val="both"/>
        <w:rPr>
          <w:rFonts w:ascii="Arial" w:hAnsi="Arial" w:cs="Arial"/>
          <w:color w:val="7B7B7B" w:themeColor="accent3" w:themeShade="BF"/>
          <w:sz w:val="22"/>
          <w:szCs w:val="22"/>
          <w:lang w:val="en-HK"/>
        </w:rPr>
      </w:pPr>
    </w:p>
    <w:p w14:paraId="1B8400FE" w14:textId="79A44CF5" w:rsidR="00E03D61" w:rsidRPr="00717EAD" w:rsidRDefault="0058170D" w:rsidP="0058170D">
      <w:pPr>
        <w:jc w:val="both"/>
        <w:rPr>
          <w:rFonts w:ascii="Arial" w:hAnsi="Arial" w:cs="Arial"/>
          <w:color w:val="7B7B7B" w:themeColor="accent3" w:themeShade="BF"/>
          <w:sz w:val="22"/>
          <w:szCs w:val="22"/>
          <w:lang w:val="en-HK"/>
        </w:rPr>
      </w:pPr>
      <w:r w:rsidRPr="00717EAD">
        <w:rPr>
          <w:rFonts w:ascii="Arial" w:hAnsi="Arial" w:cs="Arial"/>
          <w:color w:val="7B7B7B" w:themeColor="accent3" w:themeShade="BF"/>
          <w:sz w:val="22"/>
          <w:szCs w:val="22"/>
          <w:lang w:val="en-HK"/>
        </w:rPr>
        <w:t xml:space="preserve">It is a requirement that the declaration of solvency, together with the statement setting out the company’s assets and liabilities, are kept </w:t>
      </w:r>
      <w:r w:rsidR="00D905C6">
        <w:rPr>
          <w:rFonts w:ascii="Arial" w:hAnsi="Arial" w:cs="Arial"/>
          <w:color w:val="7B7B7B" w:themeColor="accent3" w:themeShade="BF"/>
          <w:sz w:val="22"/>
          <w:szCs w:val="22"/>
          <w:lang w:val="en-HK"/>
        </w:rPr>
        <w:t>at</w:t>
      </w:r>
      <w:r w:rsidR="00EF78F8" w:rsidRPr="00717EAD">
        <w:rPr>
          <w:rFonts w:ascii="Arial" w:hAnsi="Arial" w:cs="Arial"/>
          <w:color w:val="7B7B7B" w:themeColor="accent3" w:themeShade="BF"/>
          <w:sz w:val="22"/>
          <w:szCs w:val="22"/>
          <w:lang w:val="en-HK"/>
        </w:rPr>
        <w:t xml:space="preserve"> the</w:t>
      </w:r>
      <w:r w:rsidR="00717EAD">
        <w:rPr>
          <w:rFonts w:ascii="Arial" w:hAnsi="Arial" w:cs="Arial"/>
          <w:color w:val="7B7B7B" w:themeColor="accent3" w:themeShade="BF"/>
          <w:sz w:val="22"/>
          <w:szCs w:val="22"/>
          <w:lang w:val="en-HK"/>
        </w:rPr>
        <w:t xml:space="preserve"> office of the company’s </w:t>
      </w:r>
      <w:r w:rsidRPr="00717EAD">
        <w:rPr>
          <w:rFonts w:ascii="Arial" w:hAnsi="Arial" w:cs="Arial"/>
          <w:color w:val="7B7B7B" w:themeColor="accent3" w:themeShade="BF"/>
          <w:sz w:val="22"/>
          <w:szCs w:val="22"/>
          <w:lang w:val="en-HK"/>
        </w:rPr>
        <w:t>registered agent</w:t>
      </w:r>
      <w:r w:rsidRPr="00717EAD">
        <w:rPr>
          <w:rFonts w:ascii="Arial" w:hAnsi="Arial" w:cs="Arial"/>
          <w:color w:val="7B7B7B" w:themeColor="accent3" w:themeShade="BF"/>
          <w:sz w:val="22"/>
          <w:szCs w:val="22"/>
          <w:vertAlign w:val="superscript"/>
          <w:lang w:val="en-HK"/>
        </w:rPr>
        <w:footnoteReference w:id="89"/>
      </w:r>
      <w:r w:rsidRPr="00717EAD">
        <w:rPr>
          <w:rFonts w:ascii="Arial" w:hAnsi="Arial" w:cs="Arial"/>
          <w:color w:val="7B7B7B" w:themeColor="accent3" w:themeShade="BF"/>
          <w:sz w:val="22"/>
          <w:szCs w:val="22"/>
          <w:lang w:val="en-HK"/>
        </w:rPr>
        <w:t>. The company will commit an offence and be liable on summary conviction to a fine of $5,000 if it contravenes this requirement.</w:t>
      </w:r>
      <w:r w:rsidRPr="00717EAD">
        <w:rPr>
          <w:rFonts w:ascii="Arial" w:hAnsi="Arial" w:cs="Arial"/>
          <w:color w:val="7B7B7B" w:themeColor="accent3" w:themeShade="BF"/>
          <w:sz w:val="22"/>
          <w:szCs w:val="22"/>
          <w:vertAlign w:val="superscript"/>
          <w:lang w:val="en-HK"/>
        </w:rPr>
        <w:footnoteReference w:id="90"/>
      </w:r>
    </w:p>
    <w:p w14:paraId="2A292422" w14:textId="77777777" w:rsidR="00F26E1F" w:rsidRPr="00717EAD" w:rsidRDefault="00F26E1F" w:rsidP="0058170D">
      <w:pPr>
        <w:jc w:val="both"/>
        <w:rPr>
          <w:rFonts w:ascii="Arial" w:hAnsi="Arial" w:cs="Arial"/>
          <w:color w:val="7B7B7B" w:themeColor="accent3" w:themeShade="BF"/>
          <w:sz w:val="22"/>
          <w:szCs w:val="22"/>
          <w:lang w:val="en-HK"/>
        </w:rPr>
      </w:pPr>
    </w:p>
    <w:p w14:paraId="37B71DFA" w14:textId="3226BE21" w:rsidR="0058170D" w:rsidRPr="00D905C6" w:rsidRDefault="00E03D61" w:rsidP="0058170D">
      <w:pPr>
        <w:jc w:val="both"/>
        <w:rPr>
          <w:rFonts w:ascii="Arial" w:hAnsi="Arial" w:cs="Arial"/>
          <w:b/>
          <w:bCs/>
          <w:color w:val="7B7B7B" w:themeColor="accent3" w:themeShade="BF"/>
          <w:sz w:val="22"/>
          <w:szCs w:val="22"/>
          <w:u w:val="single"/>
          <w:lang w:val="en-HK"/>
        </w:rPr>
      </w:pPr>
      <w:r w:rsidRPr="00D905C6">
        <w:rPr>
          <w:rFonts w:ascii="Arial" w:hAnsi="Arial" w:cs="Arial"/>
          <w:b/>
          <w:bCs/>
          <w:color w:val="7B7B7B" w:themeColor="accent3" w:themeShade="BF"/>
          <w:sz w:val="22"/>
          <w:szCs w:val="22"/>
          <w:u w:val="single"/>
          <w:lang w:val="en-HK"/>
        </w:rPr>
        <w:t>Conclusion</w:t>
      </w:r>
    </w:p>
    <w:p w14:paraId="39B591A3" w14:textId="798347AD" w:rsidR="002910FF" w:rsidRPr="00D6425B" w:rsidRDefault="00F26E1F" w:rsidP="00571E88">
      <w:pPr>
        <w:jc w:val="both"/>
        <w:rPr>
          <w:rFonts w:ascii="Arial" w:hAnsi="Arial" w:cs="Arial"/>
          <w:color w:val="7B7B7B" w:themeColor="accent3" w:themeShade="BF"/>
          <w:sz w:val="22"/>
          <w:szCs w:val="22"/>
          <w:lang w:val="en-GB"/>
        </w:rPr>
      </w:pPr>
      <w:r w:rsidRPr="00D905C6">
        <w:rPr>
          <w:rFonts w:ascii="Arial" w:hAnsi="Arial" w:cs="Arial"/>
          <w:color w:val="7B7B7B" w:themeColor="accent3" w:themeShade="BF"/>
          <w:sz w:val="22"/>
          <w:szCs w:val="22"/>
          <w:lang w:val="en-GB"/>
        </w:rPr>
        <w:t xml:space="preserve">Even though voluntary liquidations are generally more straightforward that an insolvent liquidation, as set out above, certain legislative changes have taken place in the last </w:t>
      </w:r>
      <w:r w:rsidR="00D6425B" w:rsidRPr="00D905C6">
        <w:rPr>
          <w:rFonts w:ascii="Arial" w:hAnsi="Arial" w:cs="Arial"/>
          <w:color w:val="7B7B7B" w:themeColor="accent3" w:themeShade="BF"/>
          <w:sz w:val="22"/>
          <w:szCs w:val="22"/>
          <w:lang w:val="en-GB"/>
        </w:rPr>
        <w:t>2 years and</w:t>
      </w:r>
      <w:r w:rsidRPr="00D905C6">
        <w:rPr>
          <w:rFonts w:ascii="Arial" w:hAnsi="Arial" w:cs="Arial"/>
          <w:color w:val="7B7B7B" w:themeColor="accent3" w:themeShade="BF"/>
          <w:sz w:val="22"/>
          <w:szCs w:val="22"/>
          <w:lang w:val="en-GB"/>
        </w:rPr>
        <w:t xml:space="preserve"> there are certain </w:t>
      </w:r>
      <w:r w:rsidR="00BC161A">
        <w:rPr>
          <w:rFonts w:ascii="Arial" w:hAnsi="Arial" w:cs="Arial"/>
          <w:color w:val="7B7B7B" w:themeColor="accent3" w:themeShade="BF"/>
          <w:sz w:val="22"/>
          <w:szCs w:val="22"/>
          <w:lang w:val="en-GB"/>
        </w:rPr>
        <w:t xml:space="preserve">additional </w:t>
      </w:r>
      <w:r w:rsidRPr="00D905C6">
        <w:rPr>
          <w:rFonts w:ascii="Arial" w:hAnsi="Arial" w:cs="Arial"/>
          <w:color w:val="7B7B7B" w:themeColor="accent3" w:themeShade="BF"/>
          <w:sz w:val="22"/>
          <w:szCs w:val="22"/>
          <w:lang w:val="en-GB"/>
        </w:rPr>
        <w:t xml:space="preserve">requirements to comply with to ensure that </w:t>
      </w:r>
      <w:r w:rsidR="001E4896">
        <w:rPr>
          <w:rFonts w:ascii="Arial" w:hAnsi="Arial" w:cs="Arial"/>
          <w:color w:val="7B7B7B" w:themeColor="accent3" w:themeShade="BF"/>
          <w:sz w:val="22"/>
          <w:szCs w:val="22"/>
          <w:lang w:val="en-GB"/>
        </w:rPr>
        <w:t>a</w:t>
      </w:r>
      <w:r w:rsidRPr="00D905C6">
        <w:rPr>
          <w:rFonts w:ascii="Arial" w:hAnsi="Arial" w:cs="Arial"/>
          <w:color w:val="7B7B7B" w:themeColor="accent3" w:themeShade="BF"/>
          <w:sz w:val="22"/>
          <w:szCs w:val="22"/>
          <w:lang w:val="en-GB"/>
        </w:rPr>
        <w:t xml:space="preserve"> voluntary liquidator is proper</w:t>
      </w:r>
      <w:r w:rsidR="00717EAD" w:rsidRPr="00D905C6">
        <w:rPr>
          <w:rFonts w:ascii="Arial" w:hAnsi="Arial" w:cs="Arial"/>
          <w:color w:val="7B7B7B" w:themeColor="accent3" w:themeShade="BF"/>
          <w:sz w:val="22"/>
          <w:szCs w:val="22"/>
          <w:lang w:val="en-GB"/>
        </w:rPr>
        <w:t>l</w:t>
      </w:r>
      <w:r w:rsidRPr="00D905C6">
        <w:rPr>
          <w:rFonts w:ascii="Arial" w:hAnsi="Arial" w:cs="Arial"/>
          <w:color w:val="7B7B7B" w:themeColor="accent3" w:themeShade="BF"/>
          <w:sz w:val="22"/>
          <w:szCs w:val="22"/>
          <w:lang w:val="en-GB"/>
        </w:rPr>
        <w:t>y appointed.</w:t>
      </w:r>
    </w:p>
    <w:p w14:paraId="33CB5732" w14:textId="77777777" w:rsidR="00424093" w:rsidRDefault="00424093" w:rsidP="00AC17DF">
      <w:pPr>
        <w:jc w:val="both"/>
        <w:rPr>
          <w:rFonts w:ascii="Avenir Next Demi Bold" w:hAnsi="Avenir Next Demi Bold" w:cs="Arial"/>
          <w:b/>
          <w:bCs/>
          <w:sz w:val="22"/>
          <w:szCs w:val="22"/>
          <w:lang w:val="en-GB"/>
        </w:rPr>
      </w:pPr>
    </w:p>
    <w:p w14:paraId="291B6245" w14:textId="77777777" w:rsidR="00424093" w:rsidRDefault="00424093" w:rsidP="00AC17DF">
      <w:pPr>
        <w:jc w:val="both"/>
        <w:rPr>
          <w:rFonts w:ascii="Avenir Next Demi Bold" w:hAnsi="Avenir Next Demi Bold" w:cs="Arial"/>
          <w:b/>
          <w:bCs/>
          <w:sz w:val="22"/>
          <w:szCs w:val="22"/>
          <w:lang w:val="en-GB"/>
        </w:rPr>
      </w:pPr>
    </w:p>
    <w:p w14:paraId="7DB5ED8C" w14:textId="77777777" w:rsidR="00424093" w:rsidRDefault="00424093" w:rsidP="00AC17DF">
      <w:pPr>
        <w:jc w:val="both"/>
        <w:rPr>
          <w:rFonts w:ascii="Avenir Next Demi Bold" w:hAnsi="Avenir Next Demi Bold" w:cs="Arial"/>
          <w:b/>
          <w:bCs/>
          <w:sz w:val="22"/>
          <w:szCs w:val="22"/>
          <w:lang w:val="en-GB"/>
        </w:rPr>
      </w:pPr>
    </w:p>
    <w:p w14:paraId="580F206B" w14:textId="77777777" w:rsidR="00424093" w:rsidRDefault="00424093" w:rsidP="00AC17DF">
      <w:pPr>
        <w:jc w:val="both"/>
        <w:rPr>
          <w:rFonts w:ascii="Avenir Next Demi Bold" w:hAnsi="Avenir Next Demi Bold" w:cs="Arial"/>
          <w:b/>
          <w:bCs/>
          <w:sz w:val="22"/>
          <w:szCs w:val="22"/>
          <w:lang w:val="en-GB"/>
        </w:rPr>
      </w:pPr>
    </w:p>
    <w:p w14:paraId="2D9D7BAF" w14:textId="4767114A" w:rsidR="00C550C8" w:rsidRPr="00167872" w:rsidRDefault="00C550C8" w:rsidP="00AC17DF">
      <w:pPr>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lastRenderedPageBreak/>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7FC18901" w14:textId="722DDC37" w:rsidR="00327844" w:rsidRPr="00327844" w:rsidRDefault="00327844" w:rsidP="00327844">
      <w:pPr>
        <w:jc w:val="both"/>
        <w:rPr>
          <w:rFonts w:ascii="Avenir Next" w:hAnsi="Avenir Next" w:cs="Arial"/>
          <w:sz w:val="22"/>
          <w:szCs w:val="22"/>
          <w:lang w:val="en-GB"/>
        </w:rPr>
      </w:pPr>
      <w:r w:rsidRPr="00327844">
        <w:rPr>
          <w:rFonts w:ascii="Avenir Next" w:hAnsi="Avenir Next" w:cs="Arial"/>
          <w:sz w:val="22"/>
          <w:szCs w:val="22"/>
          <w:lang w:val="en-GB"/>
        </w:rPr>
        <w:t>What can be included in an order granted by the Court following a request by a foreign representative to aid in a foreign proceeding under section 467 of the Insolvency Act 2003?</w:t>
      </w:r>
    </w:p>
    <w:p w14:paraId="1DA877AB" w14:textId="77777777" w:rsidR="00802DB8" w:rsidRPr="00256621" w:rsidRDefault="00802DB8" w:rsidP="008065CE">
      <w:pPr>
        <w:jc w:val="both"/>
        <w:rPr>
          <w:rFonts w:ascii="Arial" w:hAnsi="Arial" w:cs="Arial"/>
          <w:sz w:val="22"/>
          <w:szCs w:val="22"/>
          <w:lang w:val="en-GB"/>
        </w:rPr>
      </w:pPr>
    </w:p>
    <w:p w14:paraId="6BAA21F5" w14:textId="33645420" w:rsidR="007B2EDE" w:rsidRPr="00327982" w:rsidRDefault="00D32228" w:rsidP="008065CE">
      <w:p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 xml:space="preserve">There are two </w:t>
      </w:r>
      <w:r w:rsidR="00CF3695" w:rsidRPr="00327982">
        <w:rPr>
          <w:rFonts w:ascii="Arial" w:hAnsi="Arial" w:cs="Arial"/>
          <w:color w:val="7B7B7B" w:themeColor="accent3" w:themeShade="BF"/>
          <w:sz w:val="22"/>
          <w:szCs w:val="22"/>
          <w:lang w:val="en-GB"/>
        </w:rPr>
        <w:t>parts</w:t>
      </w:r>
      <w:r w:rsidRPr="00327982">
        <w:rPr>
          <w:rFonts w:ascii="Arial" w:hAnsi="Arial" w:cs="Arial"/>
          <w:color w:val="7B7B7B" w:themeColor="accent3" w:themeShade="BF"/>
          <w:sz w:val="22"/>
          <w:szCs w:val="22"/>
          <w:lang w:val="en-GB"/>
        </w:rPr>
        <w:t xml:space="preserve"> </w:t>
      </w:r>
      <w:r w:rsidR="00187E38">
        <w:rPr>
          <w:rFonts w:ascii="Arial" w:hAnsi="Arial" w:cs="Arial"/>
          <w:color w:val="7B7B7B" w:themeColor="accent3" w:themeShade="BF"/>
          <w:sz w:val="22"/>
          <w:szCs w:val="22"/>
          <w:lang w:val="en-GB"/>
        </w:rPr>
        <w:t>of</w:t>
      </w:r>
      <w:r w:rsidRPr="00327982">
        <w:rPr>
          <w:rFonts w:ascii="Arial" w:hAnsi="Arial" w:cs="Arial"/>
          <w:color w:val="7B7B7B" w:themeColor="accent3" w:themeShade="BF"/>
          <w:sz w:val="22"/>
          <w:szCs w:val="22"/>
          <w:lang w:val="en-GB"/>
        </w:rPr>
        <w:t xml:space="preserve"> the Insolvency Act </w:t>
      </w:r>
      <w:r w:rsidR="007B2EDE" w:rsidRPr="00327982">
        <w:rPr>
          <w:rFonts w:ascii="Arial" w:hAnsi="Arial" w:cs="Arial"/>
          <w:color w:val="7B7B7B" w:themeColor="accent3" w:themeShade="BF"/>
          <w:sz w:val="22"/>
          <w:szCs w:val="22"/>
          <w:lang w:val="en-GB"/>
        </w:rPr>
        <w:t>2003</w:t>
      </w:r>
      <w:r w:rsidR="00F02643" w:rsidRPr="00327982">
        <w:rPr>
          <w:rFonts w:ascii="Arial" w:hAnsi="Arial" w:cs="Arial"/>
          <w:color w:val="7B7B7B" w:themeColor="accent3" w:themeShade="BF"/>
          <w:sz w:val="22"/>
          <w:szCs w:val="22"/>
          <w:lang w:val="en-GB"/>
        </w:rPr>
        <w:t xml:space="preserve"> (“</w:t>
      </w:r>
      <w:r w:rsidR="00AC17DF">
        <w:rPr>
          <w:rFonts w:ascii="Arial" w:hAnsi="Arial" w:cs="Arial"/>
          <w:b/>
          <w:bCs/>
          <w:color w:val="7B7B7B" w:themeColor="accent3" w:themeShade="BF"/>
          <w:sz w:val="22"/>
          <w:szCs w:val="22"/>
          <w:lang w:val="en-GB"/>
        </w:rPr>
        <w:t>Insolvency</w:t>
      </w:r>
      <w:r w:rsidR="00CF3695" w:rsidRPr="00327982">
        <w:rPr>
          <w:rFonts w:ascii="Arial" w:hAnsi="Arial" w:cs="Arial"/>
          <w:b/>
          <w:bCs/>
          <w:color w:val="7B7B7B" w:themeColor="accent3" w:themeShade="BF"/>
          <w:sz w:val="22"/>
          <w:szCs w:val="22"/>
          <w:lang w:val="en-GB"/>
        </w:rPr>
        <w:t xml:space="preserve"> </w:t>
      </w:r>
      <w:r w:rsidR="00F02643" w:rsidRPr="00327982">
        <w:rPr>
          <w:rFonts w:ascii="Arial" w:hAnsi="Arial" w:cs="Arial"/>
          <w:b/>
          <w:bCs/>
          <w:color w:val="7B7B7B" w:themeColor="accent3" w:themeShade="BF"/>
          <w:sz w:val="22"/>
          <w:szCs w:val="22"/>
          <w:lang w:val="en-GB"/>
        </w:rPr>
        <w:t>Act</w:t>
      </w:r>
      <w:r w:rsidR="00F02643" w:rsidRPr="00327982">
        <w:rPr>
          <w:rFonts w:ascii="Arial" w:hAnsi="Arial" w:cs="Arial"/>
          <w:color w:val="7B7B7B" w:themeColor="accent3" w:themeShade="BF"/>
          <w:sz w:val="22"/>
          <w:szCs w:val="22"/>
          <w:lang w:val="en-GB"/>
        </w:rPr>
        <w:t>”)</w:t>
      </w:r>
      <w:r w:rsidR="007B2EDE" w:rsidRPr="00327982">
        <w:rPr>
          <w:rFonts w:ascii="Arial" w:hAnsi="Arial" w:cs="Arial"/>
          <w:color w:val="7B7B7B" w:themeColor="accent3" w:themeShade="BF"/>
          <w:sz w:val="22"/>
          <w:szCs w:val="22"/>
          <w:lang w:val="en-GB"/>
        </w:rPr>
        <w:t xml:space="preserve"> </w:t>
      </w:r>
      <w:r w:rsidRPr="00327982">
        <w:rPr>
          <w:rFonts w:ascii="Arial" w:hAnsi="Arial" w:cs="Arial"/>
          <w:color w:val="7B7B7B" w:themeColor="accent3" w:themeShade="BF"/>
          <w:sz w:val="22"/>
          <w:szCs w:val="22"/>
          <w:lang w:val="en-GB"/>
        </w:rPr>
        <w:t xml:space="preserve">that </w:t>
      </w:r>
      <w:r w:rsidR="003C28FD" w:rsidRPr="00327982">
        <w:rPr>
          <w:rFonts w:ascii="Arial" w:hAnsi="Arial" w:cs="Arial"/>
          <w:color w:val="7B7B7B" w:themeColor="accent3" w:themeShade="BF"/>
          <w:sz w:val="22"/>
          <w:szCs w:val="22"/>
          <w:lang w:val="en-GB"/>
        </w:rPr>
        <w:t>deal with cross-border insolvency</w:t>
      </w:r>
      <w:r w:rsidR="003C28FD" w:rsidRPr="00327982">
        <w:rPr>
          <w:rStyle w:val="FootnoteReference"/>
          <w:rFonts w:ascii="Arial" w:hAnsi="Arial" w:cs="Arial"/>
          <w:color w:val="7B7B7B" w:themeColor="accent3" w:themeShade="BF"/>
          <w:sz w:val="22"/>
          <w:szCs w:val="22"/>
          <w:lang w:val="en-GB"/>
        </w:rPr>
        <w:footnoteReference w:id="91"/>
      </w:r>
      <w:r w:rsidR="007B2EDE" w:rsidRPr="00327982">
        <w:rPr>
          <w:rFonts w:ascii="Arial" w:hAnsi="Arial" w:cs="Arial"/>
          <w:color w:val="7B7B7B" w:themeColor="accent3" w:themeShade="BF"/>
          <w:sz w:val="22"/>
          <w:szCs w:val="22"/>
          <w:lang w:val="en-GB"/>
        </w:rPr>
        <w:t>, namely Part XVIII (Cross-Border Insolvency General Provisions) and Part XIX (Orders in Aid of Foreign Proceedings).</w:t>
      </w:r>
      <w:r w:rsidR="003C28FD" w:rsidRPr="00327982">
        <w:rPr>
          <w:rFonts w:ascii="Arial" w:hAnsi="Arial" w:cs="Arial"/>
          <w:color w:val="7B7B7B" w:themeColor="accent3" w:themeShade="BF"/>
          <w:sz w:val="22"/>
          <w:szCs w:val="22"/>
          <w:lang w:val="en-GB"/>
        </w:rPr>
        <w:t xml:space="preserve"> Part XVIII sets out the provisions which are </w:t>
      </w:r>
      <w:r w:rsidR="007B2EDE" w:rsidRPr="00327982">
        <w:rPr>
          <w:rFonts w:ascii="Arial" w:hAnsi="Arial" w:cs="Arial"/>
          <w:color w:val="7B7B7B" w:themeColor="accent3" w:themeShade="BF"/>
          <w:sz w:val="22"/>
          <w:szCs w:val="22"/>
          <w:lang w:val="en-GB"/>
        </w:rPr>
        <w:t xml:space="preserve">based </w:t>
      </w:r>
      <w:r w:rsidR="003C28FD" w:rsidRPr="00327982">
        <w:rPr>
          <w:rFonts w:ascii="Arial" w:hAnsi="Arial" w:cs="Arial"/>
          <w:color w:val="7B7B7B" w:themeColor="accent3" w:themeShade="BF"/>
          <w:sz w:val="22"/>
          <w:szCs w:val="22"/>
          <w:lang w:val="en-GB"/>
        </w:rPr>
        <w:t>on the UNCITRAL Model Law on Cross-Border Insolvency</w:t>
      </w:r>
      <w:r w:rsidR="00C25FD6" w:rsidRPr="00327982">
        <w:rPr>
          <w:rFonts w:ascii="Arial" w:hAnsi="Arial" w:cs="Arial"/>
          <w:color w:val="7B7B7B" w:themeColor="accent3" w:themeShade="BF"/>
          <w:sz w:val="22"/>
          <w:szCs w:val="22"/>
          <w:lang w:val="en-GB"/>
        </w:rPr>
        <w:t xml:space="preserve"> - however</w:t>
      </w:r>
      <w:r w:rsidR="007B2EDE" w:rsidRPr="00327982">
        <w:rPr>
          <w:rFonts w:ascii="Arial" w:hAnsi="Arial" w:cs="Arial"/>
          <w:color w:val="7B7B7B" w:themeColor="accent3" w:themeShade="BF"/>
          <w:sz w:val="22"/>
          <w:szCs w:val="22"/>
          <w:lang w:val="en-GB"/>
        </w:rPr>
        <w:t xml:space="preserve">, to date, </w:t>
      </w:r>
      <w:r w:rsidR="00C25FD6" w:rsidRPr="00327982">
        <w:rPr>
          <w:rFonts w:ascii="Arial" w:hAnsi="Arial" w:cs="Arial"/>
          <w:color w:val="7B7B7B" w:themeColor="accent3" w:themeShade="BF"/>
          <w:sz w:val="22"/>
          <w:szCs w:val="22"/>
          <w:lang w:val="en-GB"/>
        </w:rPr>
        <w:t xml:space="preserve">it </w:t>
      </w:r>
      <w:r w:rsidR="007B2EDE" w:rsidRPr="00327982">
        <w:rPr>
          <w:rFonts w:ascii="Arial" w:hAnsi="Arial" w:cs="Arial"/>
          <w:color w:val="7B7B7B" w:themeColor="accent3" w:themeShade="BF"/>
          <w:sz w:val="22"/>
          <w:szCs w:val="22"/>
          <w:lang w:val="en-GB"/>
        </w:rPr>
        <w:t>is still not in force.</w:t>
      </w:r>
    </w:p>
    <w:p w14:paraId="1B87B1BC" w14:textId="77777777" w:rsidR="007B2EDE" w:rsidRPr="00327982" w:rsidRDefault="007B2EDE" w:rsidP="008065CE">
      <w:pPr>
        <w:jc w:val="both"/>
        <w:rPr>
          <w:rFonts w:ascii="Arial" w:hAnsi="Arial" w:cs="Arial"/>
          <w:color w:val="7B7B7B" w:themeColor="accent3" w:themeShade="BF"/>
          <w:sz w:val="22"/>
          <w:szCs w:val="22"/>
          <w:lang w:val="en-GB"/>
        </w:rPr>
      </w:pPr>
    </w:p>
    <w:p w14:paraId="3EBB6092" w14:textId="41DD3B9B" w:rsidR="004F0E0B" w:rsidRPr="00327982" w:rsidRDefault="004F0E0B" w:rsidP="008065CE">
      <w:pPr>
        <w:jc w:val="both"/>
        <w:rPr>
          <w:rFonts w:ascii="Arial" w:hAnsi="Arial" w:cs="Arial"/>
          <w:b/>
          <w:bCs/>
          <w:color w:val="7B7B7B" w:themeColor="accent3" w:themeShade="BF"/>
          <w:sz w:val="22"/>
          <w:szCs w:val="22"/>
          <w:u w:val="single"/>
          <w:lang w:val="en-GB"/>
        </w:rPr>
      </w:pPr>
      <w:r w:rsidRPr="00327982">
        <w:rPr>
          <w:rFonts w:ascii="Arial" w:hAnsi="Arial" w:cs="Arial"/>
          <w:b/>
          <w:bCs/>
          <w:color w:val="7B7B7B" w:themeColor="accent3" w:themeShade="BF"/>
          <w:sz w:val="22"/>
          <w:szCs w:val="22"/>
          <w:u w:val="single"/>
          <w:lang w:val="en-GB"/>
        </w:rPr>
        <w:t>Part XIX (Orders in Aid of Foreign Proceedings)</w:t>
      </w:r>
    </w:p>
    <w:p w14:paraId="0C9309D2" w14:textId="64AE3888" w:rsidR="0042706D" w:rsidRPr="00327982" w:rsidRDefault="007B2EDE" w:rsidP="006354EB">
      <w:p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Part XIX</w:t>
      </w:r>
      <w:r w:rsidR="006354EB" w:rsidRPr="00327982">
        <w:rPr>
          <w:rFonts w:ascii="Arial" w:hAnsi="Arial" w:cs="Arial"/>
          <w:color w:val="7B7B7B" w:themeColor="accent3" w:themeShade="BF"/>
          <w:sz w:val="22"/>
          <w:szCs w:val="22"/>
          <w:lang w:val="en-GB"/>
        </w:rPr>
        <w:t xml:space="preserve"> (section 466 to section 472)</w:t>
      </w:r>
      <w:r w:rsidRPr="00327982">
        <w:rPr>
          <w:rFonts w:ascii="Arial" w:hAnsi="Arial" w:cs="Arial"/>
          <w:color w:val="7B7B7B" w:themeColor="accent3" w:themeShade="BF"/>
          <w:sz w:val="22"/>
          <w:szCs w:val="22"/>
          <w:lang w:val="en-GB"/>
        </w:rPr>
        <w:t xml:space="preserve">, which is in force, </w:t>
      </w:r>
      <w:r w:rsidR="002124F1" w:rsidRPr="00327982">
        <w:rPr>
          <w:rFonts w:ascii="Arial" w:hAnsi="Arial" w:cs="Arial"/>
          <w:color w:val="7B7B7B" w:themeColor="accent3" w:themeShade="BF"/>
          <w:sz w:val="22"/>
          <w:szCs w:val="22"/>
          <w:lang w:val="en-GB"/>
        </w:rPr>
        <w:t>sets out the powers provided to the BVI courts to make orders in aid of “foreign proceedings” - i.e. the BVI courts can recognise certain foreign insolvency proceedings and can assist the “foreign representative”.</w:t>
      </w:r>
      <w:r w:rsidR="002124F1" w:rsidRPr="00327982">
        <w:rPr>
          <w:rStyle w:val="FootnoteReference"/>
          <w:rFonts w:ascii="Arial" w:hAnsi="Arial" w:cs="Arial"/>
          <w:color w:val="7B7B7B" w:themeColor="accent3" w:themeShade="BF"/>
          <w:sz w:val="22"/>
          <w:szCs w:val="22"/>
          <w:lang w:val="en-GB"/>
        </w:rPr>
        <w:footnoteReference w:id="92"/>
      </w:r>
      <w:r w:rsidR="006354EB" w:rsidRPr="00327982">
        <w:rPr>
          <w:rFonts w:ascii="Arial" w:hAnsi="Arial" w:cs="Arial"/>
          <w:color w:val="7B7B7B" w:themeColor="accent3" w:themeShade="BF"/>
          <w:sz w:val="22"/>
          <w:szCs w:val="22"/>
          <w:lang w:val="en-GB"/>
        </w:rPr>
        <w:t xml:space="preserve"> </w:t>
      </w:r>
      <w:r w:rsidR="0042706D" w:rsidRPr="00327982">
        <w:rPr>
          <w:rFonts w:ascii="Arial" w:hAnsi="Arial" w:cs="Arial"/>
          <w:color w:val="7B7B7B" w:themeColor="accent3" w:themeShade="BF"/>
          <w:sz w:val="22"/>
          <w:szCs w:val="22"/>
          <w:lang w:val="en-GB"/>
        </w:rPr>
        <w:t>The BVI courts ha</w:t>
      </w:r>
      <w:r w:rsidR="009B57F2" w:rsidRPr="00327982">
        <w:rPr>
          <w:rFonts w:ascii="Arial" w:hAnsi="Arial" w:cs="Arial"/>
          <w:color w:val="7B7B7B" w:themeColor="accent3" w:themeShade="BF"/>
          <w:sz w:val="22"/>
          <w:szCs w:val="22"/>
          <w:lang w:val="en-GB"/>
        </w:rPr>
        <w:t>ve</w:t>
      </w:r>
      <w:r w:rsidR="0042706D" w:rsidRPr="00327982">
        <w:rPr>
          <w:rFonts w:ascii="Arial" w:hAnsi="Arial" w:cs="Arial"/>
          <w:color w:val="7B7B7B" w:themeColor="accent3" w:themeShade="BF"/>
          <w:sz w:val="22"/>
          <w:szCs w:val="22"/>
          <w:lang w:val="en-GB"/>
        </w:rPr>
        <w:t xml:space="preserve"> the powe</w:t>
      </w:r>
      <w:r w:rsidR="009B57F2" w:rsidRPr="00327982">
        <w:rPr>
          <w:rFonts w:ascii="Arial" w:hAnsi="Arial" w:cs="Arial"/>
          <w:color w:val="7B7B7B" w:themeColor="accent3" w:themeShade="BF"/>
          <w:sz w:val="22"/>
          <w:szCs w:val="22"/>
          <w:lang w:val="en-GB"/>
        </w:rPr>
        <w:t>r</w:t>
      </w:r>
      <w:r w:rsidR="0042706D" w:rsidRPr="00327982">
        <w:rPr>
          <w:rFonts w:ascii="Arial" w:hAnsi="Arial" w:cs="Arial"/>
          <w:color w:val="7B7B7B" w:themeColor="accent3" w:themeShade="BF"/>
          <w:sz w:val="22"/>
          <w:szCs w:val="22"/>
          <w:lang w:val="en-GB"/>
        </w:rPr>
        <w:t xml:space="preserve"> to make orders assisting foreign representatives in certain specified jurisdictions including Hong Kong</w:t>
      </w:r>
      <w:r w:rsidR="00E631AD" w:rsidRPr="00327982">
        <w:rPr>
          <w:rFonts w:ascii="Arial" w:hAnsi="Arial" w:cs="Arial"/>
          <w:color w:val="7B7B7B" w:themeColor="accent3" w:themeShade="BF"/>
          <w:sz w:val="22"/>
          <w:szCs w:val="22"/>
          <w:lang w:val="en-GB"/>
        </w:rPr>
        <w:t xml:space="preserve"> and</w:t>
      </w:r>
      <w:r w:rsidR="0042706D" w:rsidRPr="00327982">
        <w:rPr>
          <w:rFonts w:ascii="Arial" w:hAnsi="Arial" w:cs="Arial"/>
          <w:color w:val="7B7B7B" w:themeColor="accent3" w:themeShade="BF"/>
          <w:sz w:val="22"/>
          <w:szCs w:val="22"/>
          <w:lang w:val="en-GB"/>
        </w:rPr>
        <w:t xml:space="preserve"> the United Kingdom.</w:t>
      </w:r>
    </w:p>
    <w:p w14:paraId="4FC0D85B" w14:textId="77777777" w:rsidR="0042706D" w:rsidRPr="00327982" w:rsidRDefault="0042706D" w:rsidP="006354EB">
      <w:pPr>
        <w:jc w:val="both"/>
        <w:rPr>
          <w:rFonts w:ascii="Arial" w:hAnsi="Arial" w:cs="Arial"/>
          <w:color w:val="7B7B7B" w:themeColor="accent3" w:themeShade="BF"/>
          <w:sz w:val="22"/>
          <w:szCs w:val="22"/>
          <w:lang w:val="en-GB"/>
        </w:rPr>
      </w:pPr>
    </w:p>
    <w:p w14:paraId="54DF959D" w14:textId="387B742F" w:rsidR="005B7A2D" w:rsidRPr="00327982" w:rsidRDefault="006354EB" w:rsidP="006354EB">
      <w:p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Under section 466(1), “foreign proceeding” is defined as “</w:t>
      </w:r>
      <w:r w:rsidRPr="00327982">
        <w:rPr>
          <w:rFonts w:ascii="Arial" w:hAnsi="Arial" w:cs="Arial"/>
          <w:i/>
          <w:iCs/>
          <w:color w:val="7B7B7B" w:themeColor="accent3" w:themeShade="BF"/>
          <w:sz w:val="22"/>
          <w:szCs w:val="22"/>
          <w:lang w:val="en-GB"/>
        </w:rPr>
        <w:t>a collective judicial or administrative proceeding in a relevant foreign country</w:t>
      </w:r>
      <w:r w:rsidR="00E631AD" w:rsidRPr="00327982">
        <w:rPr>
          <w:rFonts w:ascii="Arial" w:hAnsi="Arial" w:cs="Arial"/>
          <w:i/>
          <w:iCs/>
          <w:color w:val="7B7B7B" w:themeColor="accent3" w:themeShade="BF"/>
          <w:sz w:val="22"/>
          <w:szCs w:val="22"/>
          <w:lang w:val="en-GB"/>
        </w:rPr>
        <w:t>…</w:t>
      </w:r>
      <w:r w:rsidRPr="00327982">
        <w:rPr>
          <w:rFonts w:ascii="Arial" w:hAnsi="Arial" w:cs="Arial"/>
          <w:i/>
          <w:iCs/>
          <w:color w:val="7B7B7B" w:themeColor="accent3" w:themeShade="BF"/>
          <w:sz w:val="22"/>
          <w:szCs w:val="22"/>
          <w:lang w:val="en-GB"/>
        </w:rPr>
        <w:t>pursuant to a law relating to insolvency in which proceeding the property and affairs of the debtor are subject to control or supervision by a foreign court, for the purpose of reorganisation, liquidation or bankruptcy</w:t>
      </w:r>
      <w:r w:rsidRPr="00327982">
        <w:rPr>
          <w:rFonts w:ascii="Arial" w:hAnsi="Arial" w:cs="Arial"/>
          <w:color w:val="7B7B7B" w:themeColor="accent3" w:themeShade="BF"/>
          <w:sz w:val="22"/>
          <w:szCs w:val="22"/>
          <w:lang w:val="en-GB"/>
        </w:rPr>
        <w:t>”</w:t>
      </w:r>
      <w:r w:rsidRPr="00327982">
        <w:rPr>
          <w:rStyle w:val="FootnoteReference"/>
          <w:rFonts w:ascii="Arial" w:hAnsi="Arial" w:cs="Arial"/>
          <w:color w:val="7B7B7B" w:themeColor="accent3" w:themeShade="BF"/>
          <w:sz w:val="22"/>
          <w:szCs w:val="22"/>
          <w:lang w:val="en-GB"/>
        </w:rPr>
        <w:footnoteReference w:id="93"/>
      </w:r>
      <w:r w:rsidRPr="00327982">
        <w:rPr>
          <w:rFonts w:ascii="Arial" w:hAnsi="Arial" w:cs="Arial"/>
          <w:color w:val="7B7B7B" w:themeColor="accent3" w:themeShade="BF"/>
          <w:sz w:val="22"/>
          <w:szCs w:val="22"/>
          <w:lang w:val="en-GB"/>
        </w:rPr>
        <w:t>. A “foreign representative” is “</w:t>
      </w:r>
      <w:r w:rsidRPr="00327982">
        <w:rPr>
          <w:rFonts w:ascii="Arial" w:hAnsi="Arial" w:cs="Arial"/>
          <w:i/>
          <w:iCs/>
          <w:color w:val="7B7B7B" w:themeColor="accent3" w:themeShade="BF"/>
          <w:sz w:val="22"/>
          <w:szCs w:val="22"/>
          <w:lang w:val="en-GB"/>
        </w:rPr>
        <w:t>a person or body</w:t>
      </w:r>
      <w:r w:rsidR="00E631AD" w:rsidRPr="00327982">
        <w:rPr>
          <w:rFonts w:ascii="Arial" w:hAnsi="Arial" w:cs="Arial"/>
          <w:i/>
          <w:iCs/>
          <w:color w:val="7B7B7B" w:themeColor="accent3" w:themeShade="BF"/>
          <w:sz w:val="22"/>
          <w:szCs w:val="22"/>
          <w:lang w:val="en-GB"/>
        </w:rPr>
        <w:t>…</w:t>
      </w:r>
      <w:r w:rsidRPr="00327982">
        <w:rPr>
          <w:rFonts w:ascii="Arial" w:hAnsi="Arial" w:cs="Arial"/>
          <w:i/>
          <w:iCs/>
          <w:color w:val="7B7B7B" w:themeColor="accent3" w:themeShade="BF"/>
          <w:sz w:val="22"/>
          <w:szCs w:val="22"/>
          <w:lang w:val="en-GB"/>
        </w:rPr>
        <w:t>authorized in a foreign proceeding to administer the reorganisation or the liquidation of the debtor's property or affairs or to act as a representative of the foreign proceeding</w:t>
      </w:r>
      <w:r w:rsidRPr="00327982">
        <w:rPr>
          <w:rFonts w:ascii="Arial" w:hAnsi="Arial" w:cs="Arial"/>
          <w:color w:val="7B7B7B" w:themeColor="accent3" w:themeShade="BF"/>
          <w:sz w:val="22"/>
          <w:szCs w:val="22"/>
          <w:lang w:val="en-GB"/>
        </w:rPr>
        <w:t>”</w:t>
      </w:r>
      <w:r w:rsidR="007D1A3F" w:rsidRPr="00327982">
        <w:rPr>
          <w:rStyle w:val="FootnoteReference"/>
          <w:rFonts w:ascii="Arial" w:hAnsi="Arial" w:cs="Arial"/>
          <w:color w:val="7B7B7B" w:themeColor="accent3" w:themeShade="BF"/>
          <w:sz w:val="22"/>
          <w:szCs w:val="22"/>
          <w:lang w:val="en-GB"/>
        </w:rPr>
        <w:footnoteReference w:id="94"/>
      </w:r>
      <w:r w:rsidRPr="00327982">
        <w:rPr>
          <w:rFonts w:ascii="Arial" w:hAnsi="Arial" w:cs="Arial"/>
          <w:color w:val="7B7B7B" w:themeColor="accent3" w:themeShade="BF"/>
          <w:sz w:val="22"/>
          <w:szCs w:val="22"/>
          <w:lang w:val="en-GB"/>
        </w:rPr>
        <w:t>.</w:t>
      </w:r>
    </w:p>
    <w:p w14:paraId="03E0B781" w14:textId="77777777" w:rsidR="000C62E3" w:rsidRPr="00327982" w:rsidRDefault="000C62E3" w:rsidP="006354EB">
      <w:pPr>
        <w:jc w:val="both"/>
        <w:rPr>
          <w:rFonts w:ascii="Arial" w:hAnsi="Arial" w:cs="Arial"/>
          <w:color w:val="7B7B7B" w:themeColor="accent3" w:themeShade="BF"/>
          <w:sz w:val="22"/>
          <w:szCs w:val="22"/>
          <w:lang w:val="en-GB"/>
        </w:rPr>
      </w:pPr>
    </w:p>
    <w:p w14:paraId="4F944D2A" w14:textId="03538BC0" w:rsidR="000C62E3" w:rsidRPr="00327982" w:rsidRDefault="001F09F6" w:rsidP="006354EB">
      <w:pPr>
        <w:jc w:val="both"/>
        <w:rPr>
          <w:rFonts w:ascii="Arial" w:hAnsi="Arial" w:cs="Arial"/>
          <w:color w:val="7B7B7B" w:themeColor="accent3" w:themeShade="BF"/>
          <w:sz w:val="22"/>
          <w:szCs w:val="22"/>
          <w:u w:val="single"/>
          <w:lang w:val="en-GB"/>
        </w:rPr>
      </w:pPr>
      <w:r w:rsidRPr="00327982">
        <w:rPr>
          <w:rFonts w:ascii="Arial" w:hAnsi="Arial" w:cs="Arial"/>
          <w:color w:val="7B7B7B" w:themeColor="accent3" w:themeShade="BF"/>
          <w:sz w:val="22"/>
          <w:szCs w:val="22"/>
          <w:u w:val="single"/>
          <w:lang w:val="en-GB"/>
        </w:rPr>
        <w:t xml:space="preserve">Section 467 - </w:t>
      </w:r>
      <w:r w:rsidR="000C62E3" w:rsidRPr="00327982">
        <w:rPr>
          <w:rFonts w:ascii="Arial" w:hAnsi="Arial" w:cs="Arial"/>
          <w:color w:val="7B7B7B" w:themeColor="accent3" w:themeShade="BF"/>
          <w:sz w:val="22"/>
          <w:szCs w:val="22"/>
          <w:u w:val="single"/>
          <w:lang w:val="en-GB"/>
        </w:rPr>
        <w:t>Order in aid of foreign proceeding</w:t>
      </w:r>
    </w:p>
    <w:p w14:paraId="34494B90" w14:textId="25EBAF14" w:rsidR="007D1A3F" w:rsidRPr="00327982" w:rsidRDefault="0017339A" w:rsidP="006354EB">
      <w:p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 xml:space="preserve">Section 467(2) states that a foreign representative may apply to the BVI court for an order </w:t>
      </w:r>
      <w:r w:rsidR="0088472C" w:rsidRPr="00327982">
        <w:rPr>
          <w:rFonts w:ascii="Arial" w:hAnsi="Arial" w:cs="Arial"/>
          <w:color w:val="7B7B7B" w:themeColor="accent3" w:themeShade="BF"/>
          <w:sz w:val="22"/>
          <w:szCs w:val="22"/>
          <w:lang w:val="en-GB"/>
        </w:rPr>
        <w:t>(</w:t>
      </w:r>
      <w:r w:rsidRPr="00327982">
        <w:rPr>
          <w:rFonts w:ascii="Arial" w:hAnsi="Arial" w:cs="Arial"/>
          <w:color w:val="7B7B7B" w:themeColor="accent3" w:themeShade="BF"/>
          <w:sz w:val="22"/>
          <w:szCs w:val="22"/>
          <w:lang w:val="en-GB"/>
        </w:rPr>
        <w:t>under section 467(3)</w:t>
      </w:r>
      <w:r w:rsidR="0088472C" w:rsidRPr="00327982">
        <w:rPr>
          <w:rFonts w:ascii="Arial" w:hAnsi="Arial" w:cs="Arial"/>
          <w:color w:val="7B7B7B" w:themeColor="accent3" w:themeShade="BF"/>
          <w:sz w:val="22"/>
          <w:szCs w:val="22"/>
          <w:lang w:val="en-GB"/>
        </w:rPr>
        <w:t>)</w:t>
      </w:r>
      <w:r w:rsidRPr="00327982">
        <w:rPr>
          <w:rFonts w:ascii="Arial" w:hAnsi="Arial" w:cs="Arial"/>
          <w:color w:val="7B7B7B" w:themeColor="accent3" w:themeShade="BF"/>
          <w:sz w:val="22"/>
          <w:szCs w:val="22"/>
          <w:lang w:val="en-GB"/>
        </w:rPr>
        <w:t xml:space="preserve"> in aid of the foreign proceeding which they are administering</w:t>
      </w:r>
      <w:r w:rsidRPr="00327982">
        <w:rPr>
          <w:rStyle w:val="FootnoteReference"/>
          <w:rFonts w:ascii="Arial" w:hAnsi="Arial" w:cs="Arial"/>
          <w:color w:val="7B7B7B" w:themeColor="accent3" w:themeShade="BF"/>
          <w:sz w:val="22"/>
          <w:szCs w:val="22"/>
          <w:lang w:val="en-GB"/>
        </w:rPr>
        <w:footnoteReference w:id="95"/>
      </w:r>
      <w:r w:rsidRPr="00327982">
        <w:rPr>
          <w:rFonts w:ascii="Arial" w:hAnsi="Arial" w:cs="Arial"/>
          <w:color w:val="7B7B7B" w:themeColor="accent3" w:themeShade="BF"/>
          <w:sz w:val="22"/>
          <w:szCs w:val="22"/>
          <w:lang w:val="en-GB"/>
        </w:rPr>
        <w:t xml:space="preserve">. </w:t>
      </w:r>
      <w:r w:rsidR="008D010A" w:rsidRPr="00327982">
        <w:rPr>
          <w:rFonts w:ascii="Arial" w:hAnsi="Arial" w:cs="Arial"/>
          <w:color w:val="7B7B7B" w:themeColor="accent3" w:themeShade="BF"/>
          <w:sz w:val="22"/>
          <w:szCs w:val="22"/>
          <w:lang w:val="en-GB"/>
        </w:rPr>
        <w:t>Under section 471, an application by a foreign representative under Part XIX shall be made to the BVI court in accordance with the Insolvency Rules.</w:t>
      </w:r>
      <w:r w:rsidR="008D010A" w:rsidRPr="00327982">
        <w:rPr>
          <w:rStyle w:val="FootnoteReference"/>
          <w:rFonts w:ascii="Arial" w:hAnsi="Arial" w:cs="Arial"/>
          <w:color w:val="7B7B7B" w:themeColor="accent3" w:themeShade="BF"/>
          <w:sz w:val="22"/>
          <w:szCs w:val="22"/>
          <w:lang w:val="en-GB"/>
        </w:rPr>
        <w:footnoteReference w:id="96"/>
      </w:r>
      <w:r w:rsidR="008D010A" w:rsidRPr="00327982">
        <w:rPr>
          <w:rFonts w:ascii="Arial" w:hAnsi="Arial" w:cs="Arial"/>
          <w:color w:val="7B7B7B" w:themeColor="accent3" w:themeShade="BF"/>
          <w:sz w:val="22"/>
          <w:szCs w:val="22"/>
          <w:lang w:val="en-GB"/>
        </w:rPr>
        <w:t xml:space="preserve"> </w:t>
      </w:r>
      <w:r w:rsidRPr="00327982">
        <w:rPr>
          <w:rFonts w:ascii="Arial" w:hAnsi="Arial" w:cs="Arial"/>
          <w:color w:val="7B7B7B" w:themeColor="accent3" w:themeShade="BF"/>
          <w:sz w:val="22"/>
          <w:szCs w:val="22"/>
          <w:lang w:val="en-GB"/>
        </w:rPr>
        <w:t>The</w:t>
      </w:r>
      <w:r w:rsidR="007D1A3F" w:rsidRPr="00327982">
        <w:rPr>
          <w:rFonts w:ascii="Arial" w:hAnsi="Arial" w:cs="Arial"/>
          <w:color w:val="7B7B7B" w:themeColor="accent3" w:themeShade="BF"/>
          <w:sz w:val="22"/>
          <w:szCs w:val="22"/>
          <w:lang w:val="en-GB"/>
        </w:rPr>
        <w:t xml:space="preserve"> </w:t>
      </w:r>
      <w:r w:rsidR="00FB4D0B" w:rsidRPr="00327982">
        <w:rPr>
          <w:rFonts w:ascii="Arial" w:hAnsi="Arial" w:cs="Arial"/>
          <w:color w:val="7B7B7B" w:themeColor="accent3" w:themeShade="BF"/>
          <w:sz w:val="22"/>
          <w:szCs w:val="22"/>
          <w:lang w:val="en-GB"/>
        </w:rPr>
        <w:t xml:space="preserve">BVI </w:t>
      </w:r>
      <w:r w:rsidR="007D1A3F" w:rsidRPr="00327982">
        <w:rPr>
          <w:rFonts w:ascii="Arial" w:hAnsi="Arial" w:cs="Arial"/>
          <w:color w:val="7B7B7B" w:themeColor="accent3" w:themeShade="BF"/>
          <w:sz w:val="22"/>
          <w:szCs w:val="22"/>
          <w:lang w:val="en-GB"/>
        </w:rPr>
        <w:t>court</w:t>
      </w:r>
      <w:r w:rsidR="00FB4D0B" w:rsidRPr="00327982">
        <w:rPr>
          <w:rFonts w:ascii="Arial" w:hAnsi="Arial" w:cs="Arial"/>
          <w:color w:val="7B7B7B" w:themeColor="accent3" w:themeShade="BF"/>
          <w:sz w:val="22"/>
          <w:szCs w:val="22"/>
          <w:lang w:val="en-GB"/>
        </w:rPr>
        <w:t>s</w:t>
      </w:r>
      <w:r w:rsidR="007D1A3F" w:rsidRPr="00327982">
        <w:rPr>
          <w:rFonts w:ascii="Arial" w:hAnsi="Arial" w:cs="Arial"/>
          <w:color w:val="7B7B7B" w:themeColor="accent3" w:themeShade="BF"/>
          <w:sz w:val="22"/>
          <w:szCs w:val="22"/>
          <w:lang w:val="en-GB"/>
        </w:rPr>
        <w:t xml:space="preserve"> ha</w:t>
      </w:r>
      <w:r w:rsidR="00FB4D0B" w:rsidRPr="00327982">
        <w:rPr>
          <w:rFonts w:ascii="Arial" w:hAnsi="Arial" w:cs="Arial"/>
          <w:color w:val="7B7B7B" w:themeColor="accent3" w:themeShade="BF"/>
          <w:sz w:val="22"/>
          <w:szCs w:val="22"/>
          <w:lang w:val="en-GB"/>
        </w:rPr>
        <w:t>ve</w:t>
      </w:r>
      <w:r w:rsidR="007D1A3F" w:rsidRPr="00327982">
        <w:rPr>
          <w:rFonts w:ascii="Arial" w:hAnsi="Arial" w:cs="Arial"/>
          <w:color w:val="7B7B7B" w:themeColor="accent3" w:themeShade="BF"/>
          <w:sz w:val="22"/>
          <w:szCs w:val="22"/>
          <w:lang w:val="en-GB"/>
        </w:rPr>
        <w:t xml:space="preserve"> broad powers</w:t>
      </w:r>
      <w:r w:rsidR="0088472C" w:rsidRPr="00327982">
        <w:rPr>
          <w:rFonts w:ascii="Arial" w:hAnsi="Arial" w:cs="Arial"/>
          <w:color w:val="7B7B7B" w:themeColor="accent3" w:themeShade="BF"/>
          <w:sz w:val="22"/>
          <w:szCs w:val="22"/>
          <w:lang w:val="en-GB"/>
        </w:rPr>
        <w:t xml:space="preserve"> to order assistance in applications by foreign representatives</w:t>
      </w:r>
      <w:r w:rsidR="00477008" w:rsidRPr="00327982">
        <w:rPr>
          <w:rFonts w:ascii="Arial" w:hAnsi="Arial" w:cs="Arial"/>
          <w:color w:val="7B7B7B" w:themeColor="accent3" w:themeShade="BF"/>
          <w:sz w:val="22"/>
          <w:szCs w:val="22"/>
          <w:lang w:val="en-GB"/>
        </w:rPr>
        <w:t xml:space="preserve"> </w:t>
      </w:r>
      <w:r w:rsidR="0088472C" w:rsidRPr="00327982">
        <w:rPr>
          <w:rFonts w:ascii="Arial" w:hAnsi="Arial" w:cs="Arial"/>
          <w:color w:val="7B7B7B" w:themeColor="accent3" w:themeShade="BF"/>
          <w:sz w:val="22"/>
          <w:szCs w:val="22"/>
          <w:lang w:val="en-GB"/>
        </w:rPr>
        <w:t>under Part XIX.</w:t>
      </w:r>
      <w:r w:rsidR="007D1A3F" w:rsidRPr="00327982">
        <w:rPr>
          <w:rStyle w:val="FootnoteReference"/>
          <w:rFonts w:ascii="Arial" w:hAnsi="Arial" w:cs="Arial"/>
          <w:color w:val="7B7B7B" w:themeColor="accent3" w:themeShade="BF"/>
          <w:sz w:val="22"/>
          <w:szCs w:val="22"/>
          <w:lang w:val="en-GB"/>
        </w:rPr>
        <w:footnoteReference w:id="97"/>
      </w:r>
      <w:r w:rsidR="007D1A3F" w:rsidRPr="00327982">
        <w:rPr>
          <w:rFonts w:ascii="Arial" w:hAnsi="Arial" w:cs="Arial"/>
          <w:color w:val="7B7B7B" w:themeColor="accent3" w:themeShade="BF"/>
          <w:sz w:val="22"/>
          <w:szCs w:val="22"/>
          <w:lang w:val="en-GB"/>
        </w:rPr>
        <w:t xml:space="preserve"> </w:t>
      </w:r>
      <w:r w:rsidR="00F02643" w:rsidRPr="00327982">
        <w:rPr>
          <w:rFonts w:ascii="Arial" w:hAnsi="Arial" w:cs="Arial"/>
          <w:color w:val="7B7B7B" w:themeColor="accent3" w:themeShade="BF"/>
          <w:sz w:val="22"/>
          <w:szCs w:val="22"/>
          <w:lang w:val="en-GB"/>
        </w:rPr>
        <w:t>The orders that can be made are set out in section 467(3)</w:t>
      </w:r>
      <w:r w:rsidR="00477008" w:rsidRPr="00327982">
        <w:rPr>
          <w:rFonts w:ascii="Arial" w:hAnsi="Arial" w:cs="Arial"/>
          <w:color w:val="7B7B7B" w:themeColor="accent3" w:themeShade="BF"/>
          <w:sz w:val="22"/>
          <w:szCs w:val="22"/>
          <w:lang w:val="en-GB"/>
        </w:rPr>
        <w:t>.</w:t>
      </w:r>
      <w:r w:rsidR="00FB4D0B" w:rsidRPr="00327982">
        <w:rPr>
          <w:rFonts w:ascii="Arial" w:hAnsi="Arial" w:cs="Arial"/>
          <w:color w:val="7B7B7B" w:themeColor="accent3" w:themeShade="BF"/>
          <w:sz w:val="22"/>
          <w:szCs w:val="22"/>
          <w:lang w:val="en-GB"/>
        </w:rPr>
        <w:t xml:space="preserve"> </w:t>
      </w:r>
      <w:r w:rsidR="00477008" w:rsidRPr="00327982">
        <w:rPr>
          <w:rFonts w:ascii="Arial" w:hAnsi="Arial" w:cs="Arial"/>
          <w:color w:val="7B7B7B" w:themeColor="accent3" w:themeShade="BF"/>
          <w:sz w:val="22"/>
          <w:szCs w:val="22"/>
          <w:lang w:val="en-GB"/>
        </w:rPr>
        <w:t>T</w:t>
      </w:r>
      <w:r w:rsidR="00FB4D0B" w:rsidRPr="00327982">
        <w:rPr>
          <w:rFonts w:ascii="Arial" w:hAnsi="Arial" w:cs="Arial"/>
          <w:color w:val="7B7B7B" w:themeColor="accent3" w:themeShade="BF"/>
          <w:sz w:val="22"/>
          <w:szCs w:val="22"/>
          <w:lang w:val="en-GB"/>
        </w:rPr>
        <w:t>he BVI court</w:t>
      </w:r>
      <w:r w:rsidRPr="00327982">
        <w:rPr>
          <w:rFonts w:ascii="Arial" w:hAnsi="Arial" w:cs="Arial"/>
          <w:color w:val="7B7B7B" w:themeColor="accent3" w:themeShade="BF"/>
          <w:sz w:val="22"/>
          <w:szCs w:val="22"/>
          <w:lang w:val="en-GB"/>
        </w:rPr>
        <w:t xml:space="preserve"> may:</w:t>
      </w:r>
    </w:p>
    <w:p w14:paraId="35A1AC13" w14:textId="024A1891" w:rsidR="00F02643" w:rsidRPr="00327982" w:rsidRDefault="0017339A">
      <w:pPr>
        <w:pStyle w:val="ListParagraph"/>
        <w:numPr>
          <w:ilvl w:val="0"/>
          <w:numId w:val="21"/>
        </w:num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w:t>
      </w:r>
      <w:r w:rsidR="00F02643" w:rsidRPr="00327982">
        <w:rPr>
          <w:rFonts w:ascii="Arial" w:hAnsi="Arial" w:cs="Arial"/>
          <w:i/>
          <w:iCs/>
          <w:color w:val="7B7B7B" w:themeColor="accent3" w:themeShade="BF"/>
          <w:sz w:val="22"/>
          <w:szCs w:val="22"/>
          <w:lang w:val="en-GB"/>
        </w:rPr>
        <w:t>restrain the commencement or continuation of any proceedings, execution or</w:t>
      </w:r>
      <w:r w:rsidRPr="00327982">
        <w:rPr>
          <w:rFonts w:ascii="Arial" w:hAnsi="Arial" w:cs="Arial"/>
          <w:i/>
          <w:iCs/>
          <w:color w:val="7B7B7B" w:themeColor="accent3" w:themeShade="BF"/>
          <w:sz w:val="22"/>
          <w:szCs w:val="22"/>
          <w:lang w:val="en-GB"/>
        </w:rPr>
        <w:t xml:space="preserve"> </w:t>
      </w:r>
      <w:r w:rsidR="00F02643" w:rsidRPr="00327982">
        <w:rPr>
          <w:rFonts w:ascii="Arial" w:hAnsi="Arial" w:cs="Arial"/>
          <w:i/>
          <w:iCs/>
          <w:color w:val="7B7B7B" w:themeColor="accent3" w:themeShade="BF"/>
          <w:sz w:val="22"/>
          <w:szCs w:val="22"/>
          <w:lang w:val="en-GB"/>
        </w:rPr>
        <w:t>other legal process or the levying of any distress against a debtor or</w:t>
      </w:r>
      <w:r w:rsidR="00C25FD6" w:rsidRPr="00327982">
        <w:rPr>
          <w:rFonts w:ascii="Arial" w:hAnsi="Arial" w:cs="Arial"/>
          <w:i/>
          <w:iCs/>
          <w:color w:val="7B7B7B" w:themeColor="accent3" w:themeShade="BF"/>
          <w:sz w:val="22"/>
          <w:szCs w:val="22"/>
          <w:lang w:val="en-GB"/>
        </w:rPr>
        <w:t>…</w:t>
      </w:r>
      <w:r w:rsidR="00F02643" w:rsidRPr="00327982">
        <w:rPr>
          <w:rFonts w:ascii="Arial" w:hAnsi="Arial" w:cs="Arial"/>
          <w:i/>
          <w:iCs/>
          <w:color w:val="7B7B7B" w:themeColor="accent3" w:themeShade="BF"/>
          <w:sz w:val="22"/>
          <w:szCs w:val="22"/>
          <w:lang w:val="en-GB"/>
        </w:rPr>
        <w:t>debtor’s property</w:t>
      </w:r>
      <w:r w:rsidRPr="00327982">
        <w:rPr>
          <w:rFonts w:ascii="Arial" w:hAnsi="Arial" w:cs="Arial"/>
          <w:color w:val="7B7B7B" w:themeColor="accent3" w:themeShade="BF"/>
          <w:sz w:val="22"/>
          <w:szCs w:val="22"/>
          <w:lang w:val="en-GB"/>
        </w:rPr>
        <w:t>”;</w:t>
      </w:r>
      <w:r w:rsidRPr="00327982">
        <w:rPr>
          <w:rStyle w:val="FootnoteReference"/>
          <w:rFonts w:ascii="Arial" w:hAnsi="Arial" w:cs="Arial"/>
          <w:color w:val="7B7B7B" w:themeColor="accent3" w:themeShade="BF"/>
          <w:sz w:val="22"/>
          <w:szCs w:val="22"/>
          <w:lang w:val="en-GB"/>
        </w:rPr>
        <w:footnoteReference w:id="98"/>
      </w:r>
    </w:p>
    <w:p w14:paraId="10743DDA" w14:textId="272C10DF" w:rsidR="00F02643" w:rsidRPr="00327982" w:rsidRDefault="000C62E3">
      <w:pPr>
        <w:pStyle w:val="ListParagraph"/>
        <w:numPr>
          <w:ilvl w:val="0"/>
          <w:numId w:val="21"/>
        </w:num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w:t>
      </w:r>
      <w:r w:rsidR="00F02643" w:rsidRPr="00327982">
        <w:rPr>
          <w:rFonts w:ascii="Arial" w:hAnsi="Arial" w:cs="Arial"/>
          <w:i/>
          <w:iCs/>
          <w:color w:val="7B7B7B" w:themeColor="accent3" w:themeShade="BF"/>
          <w:sz w:val="22"/>
          <w:szCs w:val="22"/>
          <w:lang w:val="en-GB"/>
        </w:rPr>
        <w:t>restrain the creation, exercise or enforcement of any</w:t>
      </w:r>
      <w:r w:rsidRPr="00327982">
        <w:rPr>
          <w:rFonts w:ascii="Arial" w:hAnsi="Arial" w:cs="Arial"/>
          <w:i/>
          <w:iCs/>
          <w:color w:val="7B7B7B" w:themeColor="accent3" w:themeShade="BF"/>
          <w:sz w:val="22"/>
          <w:szCs w:val="22"/>
          <w:lang w:val="en-GB"/>
        </w:rPr>
        <w:t xml:space="preserve"> </w:t>
      </w:r>
      <w:r w:rsidR="00F02643" w:rsidRPr="00327982">
        <w:rPr>
          <w:rFonts w:ascii="Arial" w:hAnsi="Arial" w:cs="Arial"/>
          <w:i/>
          <w:iCs/>
          <w:color w:val="7B7B7B" w:themeColor="accent3" w:themeShade="BF"/>
          <w:sz w:val="22"/>
          <w:szCs w:val="22"/>
          <w:lang w:val="en-GB"/>
        </w:rPr>
        <w:t>right or remedy over or against any of the debtor’s property</w:t>
      </w:r>
      <w:r w:rsidRPr="00327982">
        <w:rPr>
          <w:rFonts w:ascii="Arial" w:hAnsi="Arial" w:cs="Arial"/>
          <w:color w:val="7B7B7B" w:themeColor="accent3" w:themeShade="BF"/>
          <w:sz w:val="22"/>
          <w:szCs w:val="22"/>
          <w:lang w:val="en-GB"/>
        </w:rPr>
        <w:t>”;</w:t>
      </w:r>
      <w:r w:rsidRPr="00327982">
        <w:rPr>
          <w:rStyle w:val="FootnoteReference"/>
          <w:rFonts w:ascii="Arial" w:hAnsi="Arial" w:cs="Arial"/>
          <w:color w:val="7B7B7B" w:themeColor="accent3" w:themeShade="BF"/>
          <w:sz w:val="22"/>
          <w:szCs w:val="22"/>
          <w:lang w:val="en-GB"/>
        </w:rPr>
        <w:footnoteReference w:id="99"/>
      </w:r>
    </w:p>
    <w:p w14:paraId="2D741F61" w14:textId="70A642AA" w:rsidR="000C62E3" w:rsidRPr="00327982" w:rsidRDefault="000C62E3">
      <w:pPr>
        <w:pStyle w:val="ListParagraph"/>
        <w:numPr>
          <w:ilvl w:val="0"/>
          <w:numId w:val="21"/>
        </w:num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w:t>
      </w:r>
      <w:r w:rsidRPr="00327982">
        <w:rPr>
          <w:rFonts w:ascii="Arial" w:hAnsi="Arial" w:cs="Arial"/>
          <w:i/>
          <w:iCs/>
          <w:color w:val="7B7B7B" w:themeColor="accent3" w:themeShade="BF"/>
          <w:sz w:val="22"/>
          <w:szCs w:val="22"/>
          <w:lang w:val="en-GB"/>
        </w:rPr>
        <w:t>require any person to deliver up to the foreign representative any property of the debtor or the proceeds of such property</w:t>
      </w:r>
      <w:r w:rsidRPr="00327982">
        <w:rPr>
          <w:rFonts w:ascii="Arial" w:hAnsi="Arial" w:cs="Arial"/>
          <w:color w:val="7B7B7B" w:themeColor="accent3" w:themeShade="BF"/>
          <w:sz w:val="22"/>
          <w:szCs w:val="22"/>
          <w:lang w:val="en-GB"/>
        </w:rPr>
        <w:t>”;</w:t>
      </w:r>
      <w:r w:rsidRPr="00327982">
        <w:rPr>
          <w:rStyle w:val="FootnoteReference"/>
          <w:rFonts w:ascii="Arial" w:hAnsi="Arial" w:cs="Arial"/>
          <w:color w:val="7B7B7B" w:themeColor="accent3" w:themeShade="BF"/>
          <w:sz w:val="22"/>
          <w:szCs w:val="22"/>
          <w:lang w:val="en-GB"/>
        </w:rPr>
        <w:footnoteReference w:id="100"/>
      </w:r>
    </w:p>
    <w:p w14:paraId="29C7E083" w14:textId="7A1276E0" w:rsidR="000C62E3" w:rsidRPr="00327982" w:rsidRDefault="000C62E3">
      <w:pPr>
        <w:pStyle w:val="ListParagraph"/>
        <w:numPr>
          <w:ilvl w:val="0"/>
          <w:numId w:val="21"/>
        </w:num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w:t>
      </w:r>
      <w:r w:rsidRPr="00327982">
        <w:rPr>
          <w:rFonts w:ascii="Arial" w:hAnsi="Arial" w:cs="Arial"/>
          <w:i/>
          <w:iCs/>
          <w:color w:val="7B7B7B" w:themeColor="accent3" w:themeShade="BF"/>
          <w:sz w:val="22"/>
          <w:szCs w:val="22"/>
          <w:lang w:val="en-GB"/>
        </w:rPr>
        <w:t>make such order or grant such relief as it considers appropriate to facilitate, approve or implement arrangements that will result in a co-ordination of a Virgin Islands insolvency proceeding with a foreign proceeding</w:t>
      </w:r>
      <w:r w:rsidRPr="00327982">
        <w:rPr>
          <w:rFonts w:ascii="Arial" w:hAnsi="Arial" w:cs="Arial"/>
          <w:color w:val="7B7B7B" w:themeColor="accent3" w:themeShade="BF"/>
          <w:sz w:val="22"/>
          <w:szCs w:val="22"/>
          <w:lang w:val="en-GB"/>
        </w:rPr>
        <w:t>”;</w:t>
      </w:r>
      <w:r w:rsidRPr="00327982">
        <w:rPr>
          <w:rStyle w:val="FootnoteReference"/>
          <w:rFonts w:ascii="Arial" w:hAnsi="Arial" w:cs="Arial"/>
          <w:color w:val="7B7B7B" w:themeColor="accent3" w:themeShade="BF"/>
          <w:sz w:val="22"/>
          <w:szCs w:val="22"/>
          <w:lang w:val="en-GB"/>
        </w:rPr>
        <w:footnoteReference w:id="101"/>
      </w:r>
    </w:p>
    <w:p w14:paraId="4147F883" w14:textId="7166934F" w:rsidR="000C62E3" w:rsidRPr="00327982" w:rsidRDefault="000C62E3">
      <w:pPr>
        <w:pStyle w:val="ListParagraph"/>
        <w:numPr>
          <w:ilvl w:val="0"/>
          <w:numId w:val="21"/>
        </w:num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w:t>
      </w:r>
      <w:r w:rsidRPr="00327982">
        <w:rPr>
          <w:rFonts w:ascii="Arial" w:hAnsi="Arial" w:cs="Arial"/>
          <w:i/>
          <w:iCs/>
          <w:color w:val="7B7B7B" w:themeColor="accent3" w:themeShade="BF"/>
          <w:sz w:val="22"/>
          <w:szCs w:val="22"/>
          <w:lang w:val="en-GB"/>
        </w:rPr>
        <w:t>appoint an interim receiver of any property of the debtor</w:t>
      </w:r>
      <w:r w:rsidR="00C25FD6" w:rsidRPr="00327982">
        <w:rPr>
          <w:rFonts w:ascii="Arial" w:hAnsi="Arial" w:cs="Arial"/>
          <w:i/>
          <w:iCs/>
          <w:color w:val="7B7B7B" w:themeColor="accent3" w:themeShade="BF"/>
          <w:sz w:val="22"/>
          <w:szCs w:val="22"/>
          <w:lang w:val="en-GB"/>
        </w:rPr>
        <w:t>…</w:t>
      </w:r>
      <w:r w:rsidRPr="00327982">
        <w:rPr>
          <w:rFonts w:ascii="Arial" w:hAnsi="Arial" w:cs="Arial"/>
          <w:color w:val="7B7B7B" w:themeColor="accent3" w:themeShade="BF"/>
          <w:sz w:val="22"/>
          <w:szCs w:val="22"/>
          <w:lang w:val="en-GB"/>
        </w:rPr>
        <w:t>”;</w:t>
      </w:r>
      <w:r w:rsidRPr="00327982">
        <w:rPr>
          <w:rStyle w:val="FootnoteReference"/>
          <w:rFonts w:ascii="Arial" w:hAnsi="Arial" w:cs="Arial"/>
          <w:color w:val="7B7B7B" w:themeColor="accent3" w:themeShade="BF"/>
          <w:sz w:val="22"/>
          <w:szCs w:val="22"/>
          <w:lang w:val="en-GB"/>
        </w:rPr>
        <w:footnoteReference w:id="102"/>
      </w:r>
    </w:p>
    <w:p w14:paraId="742D9B8C" w14:textId="7266CC3A" w:rsidR="000C62E3" w:rsidRPr="00327982" w:rsidRDefault="000C62E3">
      <w:pPr>
        <w:pStyle w:val="ListParagraph"/>
        <w:numPr>
          <w:ilvl w:val="0"/>
          <w:numId w:val="21"/>
        </w:num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lastRenderedPageBreak/>
        <w:t>“</w:t>
      </w:r>
      <w:r w:rsidRPr="00327982">
        <w:rPr>
          <w:rFonts w:ascii="Arial" w:hAnsi="Arial" w:cs="Arial"/>
          <w:i/>
          <w:iCs/>
          <w:color w:val="7B7B7B" w:themeColor="accent3" w:themeShade="BF"/>
          <w:sz w:val="22"/>
          <w:szCs w:val="22"/>
          <w:lang w:val="en-GB"/>
        </w:rPr>
        <w:t>authorize the examination by the foreign representative of the debtor or of any person who could be examined in a Virgin Islands insolvency proceeding</w:t>
      </w:r>
      <w:r w:rsidR="00C25FD6" w:rsidRPr="00327982">
        <w:rPr>
          <w:rFonts w:ascii="Arial" w:hAnsi="Arial" w:cs="Arial"/>
          <w:i/>
          <w:iCs/>
          <w:color w:val="7B7B7B" w:themeColor="accent3" w:themeShade="BF"/>
          <w:sz w:val="22"/>
          <w:szCs w:val="22"/>
          <w:lang w:val="en-GB"/>
        </w:rPr>
        <w:t>…</w:t>
      </w:r>
      <w:r w:rsidRPr="00327982">
        <w:rPr>
          <w:rFonts w:ascii="Arial" w:hAnsi="Arial" w:cs="Arial"/>
          <w:color w:val="7B7B7B" w:themeColor="accent3" w:themeShade="BF"/>
          <w:sz w:val="22"/>
          <w:szCs w:val="22"/>
          <w:lang w:val="en-GB"/>
        </w:rPr>
        <w:t>”;</w:t>
      </w:r>
      <w:r w:rsidRPr="00327982">
        <w:rPr>
          <w:rStyle w:val="FootnoteReference"/>
          <w:rFonts w:ascii="Arial" w:hAnsi="Arial" w:cs="Arial"/>
          <w:color w:val="7B7B7B" w:themeColor="accent3" w:themeShade="BF"/>
          <w:sz w:val="22"/>
          <w:szCs w:val="22"/>
          <w:lang w:val="en-GB"/>
        </w:rPr>
        <w:footnoteReference w:id="103"/>
      </w:r>
    </w:p>
    <w:p w14:paraId="4953E904" w14:textId="71B75C3E" w:rsidR="000C62E3" w:rsidRPr="00327982" w:rsidRDefault="000C62E3">
      <w:pPr>
        <w:pStyle w:val="ListParagraph"/>
        <w:numPr>
          <w:ilvl w:val="0"/>
          <w:numId w:val="21"/>
        </w:num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w:t>
      </w:r>
      <w:r w:rsidRPr="00327982">
        <w:rPr>
          <w:rFonts w:ascii="Arial" w:hAnsi="Arial" w:cs="Arial"/>
          <w:i/>
          <w:iCs/>
          <w:color w:val="7B7B7B" w:themeColor="accent3" w:themeShade="BF"/>
          <w:sz w:val="22"/>
          <w:szCs w:val="22"/>
          <w:lang w:val="en-GB"/>
        </w:rPr>
        <w:t>stay or terminate or make any other order it considers appropriate in relation to a Virgin Islands insolvency proceeding</w:t>
      </w:r>
      <w:r w:rsidRPr="00327982">
        <w:rPr>
          <w:rFonts w:ascii="Arial" w:hAnsi="Arial" w:cs="Arial"/>
          <w:color w:val="7B7B7B" w:themeColor="accent3" w:themeShade="BF"/>
          <w:sz w:val="22"/>
          <w:szCs w:val="22"/>
          <w:lang w:val="en-GB"/>
        </w:rPr>
        <w:t>”;</w:t>
      </w:r>
      <w:r w:rsidRPr="00327982">
        <w:rPr>
          <w:rStyle w:val="FootnoteReference"/>
          <w:rFonts w:ascii="Arial" w:hAnsi="Arial" w:cs="Arial"/>
          <w:color w:val="7B7B7B" w:themeColor="accent3" w:themeShade="BF"/>
          <w:sz w:val="22"/>
          <w:szCs w:val="22"/>
          <w:lang w:val="en-GB"/>
        </w:rPr>
        <w:footnoteReference w:id="104"/>
      </w:r>
      <w:r w:rsidRPr="00327982">
        <w:rPr>
          <w:rFonts w:ascii="Arial" w:hAnsi="Arial" w:cs="Arial"/>
          <w:color w:val="7B7B7B" w:themeColor="accent3" w:themeShade="BF"/>
          <w:sz w:val="22"/>
          <w:szCs w:val="22"/>
          <w:lang w:val="en-GB"/>
        </w:rPr>
        <w:t xml:space="preserve"> or</w:t>
      </w:r>
    </w:p>
    <w:p w14:paraId="6A644BAC" w14:textId="27B1767A" w:rsidR="00F02643" w:rsidRPr="00327982" w:rsidRDefault="000C62E3">
      <w:pPr>
        <w:pStyle w:val="ListParagraph"/>
        <w:numPr>
          <w:ilvl w:val="0"/>
          <w:numId w:val="21"/>
        </w:num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w:t>
      </w:r>
      <w:r w:rsidRPr="00327982">
        <w:rPr>
          <w:rFonts w:ascii="Arial" w:hAnsi="Arial" w:cs="Arial"/>
          <w:i/>
          <w:iCs/>
          <w:color w:val="7B7B7B" w:themeColor="accent3" w:themeShade="BF"/>
          <w:sz w:val="22"/>
          <w:szCs w:val="22"/>
          <w:lang w:val="en-GB"/>
        </w:rPr>
        <w:t>make such other or grant such other relief as it considers appropriate</w:t>
      </w:r>
      <w:r w:rsidRPr="00327982">
        <w:rPr>
          <w:rFonts w:ascii="Arial" w:hAnsi="Arial" w:cs="Arial"/>
          <w:color w:val="7B7B7B" w:themeColor="accent3" w:themeShade="BF"/>
          <w:sz w:val="22"/>
          <w:szCs w:val="22"/>
          <w:lang w:val="en-GB"/>
        </w:rPr>
        <w:t>.”</w:t>
      </w:r>
      <w:r w:rsidR="00A24B73" w:rsidRPr="00327982">
        <w:rPr>
          <w:rStyle w:val="FootnoteReference"/>
          <w:rFonts w:ascii="Arial" w:hAnsi="Arial" w:cs="Arial"/>
          <w:color w:val="7B7B7B" w:themeColor="accent3" w:themeShade="BF"/>
          <w:sz w:val="22"/>
          <w:szCs w:val="22"/>
          <w:lang w:val="en-GB"/>
        </w:rPr>
        <w:footnoteReference w:id="105"/>
      </w:r>
    </w:p>
    <w:p w14:paraId="4021D751" w14:textId="77777777" w:rsidR="0088472C" w:rsidRPr="00327982" w:rsidRDefault="0088472C" w:rsidP="006354EB">
      <w:pPr>
        <w:jc w:val="both"/>
        <w:rPr>
          <w:rFonts w:ascii="Arial" w:hAnsi="Arial" w:cs="Arial"/>
          <w:color w:val="7B7B7B" w:themeColor="accent3" w:themeShade="BF"/>
          <w:sz w:val="22"/>
          <w:szCs w:val="22"/>
          <w:highlight w:val="yellow"/>
          <w:lang w:val="en-GB"/>
        </w:rPr>
      </w:pPr>
    </w:p>
    <w:p w14:paraId="62F477D4" w14:textId="4AD65B31" w:rsidR="000C62E3" w:rsidRPr="00327982" w:rsidRDefault="0096474D" w:rsidP="000C62E3">
      <w:p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An order under section 467(3) shall not affect the right of a secured creditor to deal with the debtor’s property over which they have a security interest</w:t>
      </w:r>
      <w:r w:rsidRPr="00327982">
        <w:rPr>
          <w:rStyle w:val="FootnoteReference"/>
          <w:rFonts w:ascii="Arial" w:hAnsi="Arial" w:cs="Arial"/>
          <w:color w:val="7B7B7B" w:themeColor="accent3" w:themeShade="BF"/>
          <w:sz w:val="22"/>
          <w:szCs w:val="22"/>
          <w:lang w:val="en-GB"/>
        </w:rPr>
        <w:footnoteReference w:id="106"/>
      </w:r>
      <w:r w:rsidRPr="00327982">
        <w:rPr>
          <w:rFonts w:ascii="Arial" w:hAnsi="Arial" w:cs="Arial"/>
          <w:color w:val="7B7B7B" w:themeColor="accent3" w:themeShade="BF"/>
          <w:sz w:val="22"/>
          <w:szCs w:val="22"/>
          <w:lang w:val="en-GB"/>
        </w:rPr>
        <w:t xml:space="preserve">. </w:t>
      </w:r>
      <w:r w:rsidR="00B7757F" w:rsidRPr="00327982">
        <w:rPr>
          <w:rFonts w:ascii="Arial" w:hAnsi="Arial" w:cs="Arial"/>
          <w:color w:val="7B7B7B" w:themeColor="accent3" w:themeShade="BF"/>
          <w:sz w:val="22"/>
          <w:szCs w:val="22"/>
          <w:lang w:val="en-GB"/>
        </w:rPr>
        <w:t>Section 467(5) states that t</w:t>
      </w:r>
      <w:r w:rsidR="000C62E3" w:rsidRPr="00327982">
        <w:rPr>
          <w:rFonts w:ascii="Arial" w:hAnsi="Arial" w:cs="Arial"/>
          <w:color w:val="7B7B7B" w:themeColor="accent3" w:themeShade="BF"/>
          <w:sz w:val="22"/>
          <w:szCs w:val="22"/>
          <w:lang w:val="en-GB"/>
        </w:rPr>
        <w:t>he BVI court, when making an order in aid of foreign proceedings under section 467(3), is able to apply either</w:t>
      </w:r>
      <w:r w:rsidR="00B7757F" w:rsidRPr="00327982">
        <w:rPr>
          <w:rFonts w:ascii="Arial" w:hAnsi="Arial" w:cs="Arial"/>
          <w:color w:val="7B7B7B" w:themeColor="accent3" w:themeShade="BF"/>
          <w:sz w:val="22"/>
          <w:szCs w:val="22"/>
          <w:lang w:val="en-GB"/>
        </w:rPr>
        <w:t xml:space="preserve"> the applicable</w:t>
      </w:r>
      <w:r w:rsidR="000C62E3" w:rsidRPr="00327982">
        <w:rPr>
          <w:rFonts w:ascii="Arial" w:hAnsi="Arial" w:cs="Arial"/>
          <w:color w:val="7B7B7B" w:themeColor="accent3" w:themeShade="BF"/>
          <w:sz w:val="22"/>
          <w:szCs w:val="22"/>
          <w:lang w:val="en-GB"/>
        </w:rPr>
        <w:t xml:space="preserve"> BVI law</w:t>
      </w:r>
      <w:r w:rsidR="00B7757F" w:rsidRPr="00327982">
        <w:rPr>
          <w:rFonts w:ascii="Arial" w:hAnsi="Arial" w:cs="Arial"/>
          <w:color w:val="7B7B7B" w:themeColor="accent3" w:themeShade="BF"/>
          <w:sz w:val="22"/>
          <w:szCs w:val="22"/>
          <w:lang w:val="en-GB"/>
        </w:rPr>
        <w:t>s</w:t>
      </w:r>
      <w:r w:rsidR="000C62E3" w:rsidRPr="00327982">
        <w:rPr>
          <w:rFonts w:ascii="Arial" w:hAnsi="Arial" w:cs="Arial"/>
          <w:color w:val="7B7B7B" w:themeColor="accent3" w:themeShade="BF"/>
          <w:sz w:val="22"/>
          <w:szCs w:val="22"/>
          <w:lang w:val="en-GB"/>
        </w:rPr>
        <w:t xml:space="preserve"> or the law which is applicable in the foreign proceeding</w:t>
      </w:r>
      <w:r w:rsidR="000C62E3" w:rsidRPr="00327982">
        <w:rPr>
          <w:rStyle w:val="FootnoteReference"/>
          <w:rFonts w:ascii="Arial" w:hAnsi="Arial" w:cs="Arial"/>
          <w:color w:val="7B7B7B" w:themeColor="accent3" w:themeShade="BF"/>
          <w:sz w:val="22"/>
          <w:szCs w:val="22"/>
          <w:lang w:val="en-GB"/>
        </w:rPr>
        <w:footnoteReference w:id="107"/>
      </w:r>
      <w:r w:rsidR="000C62E3" w:rsidRPr="00327982">
        <w:rPr>
          <w:rFonts w:ascii="Arial" w:hAnsi="Arial" w:cs="Arial"/>
          <w:color w:val="7B7B7B" w:themeColor="accent3" w:themeShade="BF"/>
          <w:sz w:val="22"/>
          <w:szCs w:val="22"/>
          <w:lang w:val="en-GB"/>
        </w:rPr>
        <w:t>.</w:t>
      </w:r>
    </w:p>
    <w:p w14:paraId="53688958" w14:textId="77777777" w:rsidR="00B7757F" w:rsidRPr="00327982" w:rsidRDefault="00B7757F" w:rsidP="006354EB">
      <w:pPr>
        <w:jc w:val="both"/>
        <w:rPr>
          <w:rFonts w:ascii="Arial" w:hAnsi="Arial" w:cs="Arial"/>
          <w:color w:val="7B7B7B" w:themeColor="accent3" w:themeShade="BF"/>
          <w:sz w:val="22"/>
          <w:szCs w:val="22"/>
          <w:highlight w:val="yellow"/>
          <w:lang w:val="en-GB"/>
        </w:rPr>
      </w:pPr>
    </w:p>
    <w:p w14:paraId="2D4CDCBF" w14:textId="0933ECAE" w:rsidR="00962E41" w:rsidRPr="00327982" w:rsidRDefault="00DE3195" w:rsidP="006354EB">
      <w:p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 xml:space="preserve">As can be seen from above, the BVI court has wide powers under section 467 when making an order in aid of foreign proceedings. For example, by authorising the examination by the foreign representative of the debtor </w:t>
      </w:r>
      <w:r w:rsidR="00B153D5" w:rsidRPr="00327982">
        <w:rPr>
          <w:rFonts w:ascii="Arial" w:hAnsi="Arial" w:cs="Arial"/>
          <w:color w:val="7B7B7B" w:themeColor="accent3" w:themeShade="BF"/>
          <w:sz w:val="22"/>
          <w:szCs w:val="22"/>
          <w:lang w:val="en-GB"/>
        </w:rPr>
        <w:t xml:space="preserve">under section 467(3)(f), </w:t>
      </w:r>
      <w:r w:rsidR="00803176" w:rsidRPr="00327982">
        <w:rPr>
          <w:rFonts w:ascii="Arial" w:hAnsi="Arial" w:cs="Arial"/>
          <w:color w:val="7B7B7B" w:themeColor="accent3" w:themeShade="BF"/>
          <w:sz w:val="22"/>
          <w:szCs w:val="22"/>
          <w:lang w:val="en-GB"/>
        </w:rPr>
        <w:t>a former officer of the company in liquidation may appear before the court “</w:t>
      </w:r>
      <w:r w:rsidRPr="00327982">
        <w:rPr>
          <w:rFonts w:ascii="Arial" w:hAnsi="Arial" w:cs="Arial"/>
          <w:i/>
          <w:iCs/>
          <w:color w:val="7B7B7B" w:themeColor="accent3" w:themeShade="BF"/>
          <w:sz w:val="22"/>
          <w:szCs w:val="22"/>
          <w:lang w:val="en-GB"/>
        </w:rPr>
        <w:t>for examination</w:t>
      </w:r>
      <w:r w:rsidR="00803176" w:rsidRPr="00327982">
        <w:rPr>
          <w:rFonts w:ascii="Arial" w:hAnsi="Arial" w:cs="Arial"/>
          <w:i/>
          <w:iCs/>
          <w:color w:val="7B7B7B" w:themeColor="accent3" w:themeShade="BF"/>
          <w:sz w:val="22"/>
          <w:szCs w:val="22"/>
          <w:lang w:val="en-GB"/>
        </w:rPr>
        <w:t xml:space="preserve"> </w:t>
      </w:r>
      <w:r w:rsidRPr="00327982">
        <w:rPr>
          <w:rFonts w:ascii="Arial" w:hAnsi="Arial" w:cs="Arial"/>
          <w:i/>
          <w:iCs/>
          <w:color w:val="7B7B7B" w:themeColor="accent3" w:themeShade="BF"/>
          <w:sz w:val="22"/>
          <w:szCs w:val="22"/>
          <w:lang w:val="en-GB"/>
        </w:rPr>
        <w:t>concerning the company, or a connected company, including the promotion,</w:t>
      </w:r>
      <w:r w:rsidR="00803176" w:rsidRPr="00327982">
        <w:rPr>
          <w:rFonts w:ascii="Arial" w:hAnsi="Arial" w:cs="Arial"/>
          <w:i/>
          <w:iCs/>
          <w:color w:val="7B7B7B" w:themeColor="accent3" w:themeShade="BF"/>
          <w:sz w:val="22"/>
          <w:szCs w:val="22"/>
          <w:lang w:val="en-GB"/>
        </w:rPr>
        <w:t xml:space="preserve"> </w:t>
      </w:r>
      <w:r w:rsidRPr="00327982">
        <w:rPr>
          <w:rFonts w:ascii="Arial" w:hAnsi="Arial" w:cs="Arial"/>
          <w:i/>
          <w:iCs/>
          <w:color w:val="7B7B7B" w:themeColor="accent3" w:themeShade="BF"/>
          <w:sz w:val="22"/>
          <w:szCs w:val="22"/>
          <w:lang w:val="en-GB"/>
        </w:rPr>
        <w:t>formation, business, dealings, accounts, assets, liabilities or affairs of the</w:t>
      </w:r>
      <w:r w:rsidR="00803176" w:rsidRPr="00327982">
        <w:rPr>
          <w:rFonts w:ascii="Arial" w:hAnsi="Arial" w:cs="Arial"/>
          <w:i/>
          <w:iCs/>
          <w:color w:val="7B7B7B" w:themeColor="accent3" w:themeShade="BF"/>
          <w:sz w:val="22"/>
          <w:szCs w:val="22"/>
          <w:lang w:val="en-GB"/>
        </w:rPr>
        <w:t xml:space="preserve"> </w:t>
      </w:r>
      <w:r w:rsidRPr="00327982">
        <w:rPr>
          <w:rFonts w:ascii="Arial" w:hAnsi="Arial" w:cs="Arial"/>
          <w:i/>
          <w:iCs/>
          <w:color w:val="7B7B7B" w:themeColor="accent3" w:themeShade="BF"/>
          <w:sz w:val="22"/>
          <w:szCs w:val="22"/>
          <w:lang w:val="en-GB"/>
        </w:rPr>
        <w:t>company or connected company</w:t>
      </w:r>
      <w:r w:rsidRPr="00327982">
        <w:rPr>
          <w:rFonts w:ascii="Arial" w:hAnsi="Arial" w:cs="Arial"/>
          <w:color w:val="7B7B7B" w:themeColor="accent3" w:themeShade="BF"/>
          <w:sz w:val="22"/>
          <w:szCs w:val="22"/>
          <w:lang w:val="en-GB"/>
        </w:rPr>
        <w:t>.</w:t>
      </w:r>
      <w:r w:rsidR="00803176" w:rsidRPr="00327982">
        <w:rPr>
          <w:rFonts w:ascii="Arial" w:hAnsi="Arial" w:cs="Arial"/>
          <w:color w:val="7B7B7B" w:themeColor="accent3" w:themeShade="BF"/>
          <w:sz w:val="22"/>
          <w:szCs w:val="22"/>
          <w:lang w:val="en-GB"/>
        </w:rPr>
        <w:t>”</w:t>
      </w:r>
      <w:r w:rsidR="00803176" w:rsidRPr="00327982">
        <w:rPr>
          <w:rStyle w:val="FootnoteReference"/>
          <w:rFonts w:ascii="Arial" w:hAnsi="Arial" w:cs="Arial"/>
          <w:color w:val="7B7B7B" w:themeColor="accent3" w:themeShade="BF"/>
          <w:sz w:val="22"/>
          <w:szCs w:val="22"/>
          <w:lang w:val="en-GB"/>
        </w:rPr>
        <w:footnoteReference w:id="108"/>
      </w:r>
      <w:r w:rsidR="00803176" w:rsidRPr="00327982">
        <w:rPr>
          <w:rFonts w:ascii="Arial" w:hAnsi="Arial" w:cs="Arial"/>
          <w:color w:val="7B7B7B" w:themeColor="accent3" w:themeShade="BF"/>
          <w:sz w:val="22"/>
          <w:szCs w:val="22"/>
          <w:lang w:val="en-GB"/>
        </w:rPr>
        <w:t xml:space="preserve"> The court’s wide discretion in ordering assistance in foreign proceedings is further emphasised by section 467(3)(h) which states that if the court considers it appropriate, it has the power to make any such order or grant any other relief.</w:t>
      </w:r>
      <w:r w:rsidR="00803176" w:rsidRPr="00327982">
        <w:rPr>
          <w:rStyle w:val="FootnoteReference"/>
          <w:rFonts w:ascii="Arial" w:hAnsi="Arial" w:cs="Arial"/>
          <w:color w:val="7B7B7B" w:themeColor="accent3" w:themeShade="BF"/>
          <w:sz w:val="22"/>
          <w:szCs w:val="22"/>
          <w:lang w:val="en-GB"/>
        </w:rPr>
        <w:footnoteReference w:id="109"/>
      </w:r>
    </w:p>
    <w:p w14:paraId="1417FCCC" w14:textId="77777777" w:rsidR="00962E41" w:rsidRPr="00327982" w:rsidRDefault="00962E41" w:rsidP="006354EB">
      <w:pPr>
        <w:jc w:val="both"/>
        <w:rPr>
          <w:rFonts w:ascii="Arial" w:hAnsi="Arial" w:cs="Arial"/>
          <w:color w:val="7B7B7B" w:themeColor="accent3" w:themeShade="BF"/>
          <w:sz w:val="22"/>
          <w:szCs w:val="22"/>
          <w:lang w:val="en-GB"/>
        </w:rPr>
      </w:pPr>
    </w:p>
    <w:p w14:paraId="3169327B" w14:textId="76BA3848" w:rsidR="007D1A3F" w:rsidRPr="00327982" w:rsidRDefault="001F09F6" w:rsidP="006354EB">
      <w:pPr>
        <w:jc w:val="both"/>
        <w:rPr>
          <w:rFonts w:ascii="Arial" w:hAnsi="Arial" w:cs="Arial"/>
          <w:color w:val="7B7B7B" w:themeColor="accent3" w:themeShade="BF"/>
          <w:sz w:val="22"/>
          <w:szCs w:val="22"/>
          <w:u w:val="single"/>
          <w:lang w:val="en-GB"/>
        </w:rPr>
      </w:pPr>
      <w:r w:rsidRPr="00327982">
        <w:rPr>
          <w:rFonts w:ascii="Arial" w:hAnsi="Arial" w:cs="Arial"/>
          <w:color w:val="7B7B7B" w:themeColor="accent3" w:themeShade="BF"/>
          <w:sz w:val="22"/>
          <w:szCs w:val="22"/>
          <w:u w:val="single"/>
          <w:lang w:val="en-GB"/>
        </w:rPr>
        <w:t xml:space="preserve">Section 468 - Matters to be considered by </w:t>
      </w:r>
      <w:r w:rsidR="008E6A25" w:rsidRPr="00327982">
        <w:rPr>
          <w:rFonts w:ascii="Arial" w:hAnsi="Arial" w:cs="Arial"/>
          <w:color w:val="7B7B7B" w:themeColor="accent3" w:themeShade="BF"/>
          <w:sz w:val="22"/>
          <w:szCs w:val="22"/>
          <w:u w:val="single"/>
          <w:lang w:val="en-GB"/>
        </w:rPr>
        <w:t>c</w:t>
      </w:r>
      <w:r w:rsidRPr="00327982">
        <w:rPr>
          <w:rFonts w:ascii="Arial" w:hAnsi="Arial" w:cs="Arial"/>
          <w:color w:val="7B7B7B" w:themeColor="accent3" w:themeShade="BF"/>
          <w:sz w:val="22"/>
          <w:szCs w:val="22"/>
          <w:u w:val="single"/>
          <w:lang w:val="en-GB"/>
        </w:rPr>
        <w:t>ourt in determining application under section 467</w:t>
      </w:r>
    </w:p>
    <w:p w14:paraId="49383F47" w14:textId="0F3DF9C4" w:rsidR="008E6A25" w:rsidRPr="00327982" w:rsidRDefault="00481C74" w:rsidP="008E6A25">
      <w:p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Notwithstanding the court’s wide discretion to grant an order in aid of foreign proceedings under section 467, it should be noted that t</w:t>
      </w:r>
      <w:r w:rsidR="008E6A25" w:rsidRPr="00327982">
        <w:rPr>
          <w:rFonts w:ascii="Arial" w:hAnsi="Arial" w:cs="Arial"/>
          <w:color w:val="7B7B7B" w:themeColor="accent3" w:themeShade="BF"/>
          <w:sz w:val="22"/>
          <w:szCs w:val="22"/>
          <w:lang w:val="en-GB"/>
        </w:rPr>
        <w:t xml:space="preserve">he Part XIX regime is </w:t>
      </w:r>
      <w:r w:rsidRPr="00327982">
        <w:rPr>
          <w:rFonts w:ascii="Arial" w:hAnsi="Arial" w:cs="Arial"/>
          <w:color w:val="7B7B7B" w:themeColor="accent3" w:themeShade="BF"/>
          <w:sz w:val="22"/>
          <w:szCs w:val="22"/>
          <w:lang w:val="en-GB"/>
        </w:rPr>
        <w:t>largely based</w:t>
      </w:r>
      <w:r w:rsidR="008E6A25" w:rsidRPr="00327982">
        <w:rPr>
          <w:rFonts w:ascii="Arial" w:hAnsi="Arial" w:cs="Arial"/>
          <w:color w:val="7B7B7B" w:themeColor="accent3" w:themeShade="BF"/>
          <w:sz w:val="22"/>
          <w:szCs w:val="22"/>
          <w:lang w:val="en-GB"/>
        </w:rPr>
        <w:t xml:space="preserve"> </w:t>
      </w:r>
      <w:r w:rsidRPr="00327982">
        <w:rPr>
          <w:rFonts w:ascii="Arial" w:hAnsi="Arial" w:cs="Arial"/>
          <w:color w:val="7B7B7B" w:themeColor="accent3" w:themeShade="BF"/>
          <w:sz w:val="22"/>
          <w:szCs w:val="22"/>
          <w:lang w:val="en-GB"/>
        </w:rPr>
        <w:t xml:space="preserve">on </w:t>
      </w:r>
      <w:r w:rsidR="008E6A25" w:rsidRPr="00327982">
        <w:rPr>
          <w:rFonts w:ascii="Arial" w:hAnsi="Arial" w:cs="Arial"/>
          <w:color w:val="7B7B7B" w:themeColor="accent3" w:themeShade="BF"/>
          <w:sz w:val="22"/>
          <w:szCs w:val="22"/>
          <w:lang w:val="en-GB"/>
        </w:rPr>
        <w:t xml:space="preserve">an </w:t>
      </w:r>
      <w:r w:rsidRPr="00327982">
        <w:rPr>
          <w:rFonts w:ascii="Arial" w:hAnsi="Arial" w:cs="Arial"/>
          <w:color w:val="7B7B7B" w:themeColor="accent3" w:themeShade="BF"/>
          <w:sz w:val="22"/>
          <w:szCs w:val="22"/>
          <w:lang w:val="en-GB"/>
        </w:rPr>
        <w:t>“</w:t>
      </w:r>
      <w:r w:rsidR="008E6A25" w:rsidRPr="00327982">
        <w:rPr>
          <w:rFonts w:ascii="Arial" w:hAnsi="Arial" w:cs="Arial"/>
          <w:color w:val="7B7B7B" w:themeColor="accent3" w:themeShade="BF"/>
          <w:sz w:val="22"/>
          <w:szCs w:val="22"/>
          <w:lang w:val="en-GB"/>
        </w:rPr>
        <w:t>application-by-application</w:t>
      </w:r>
      <w:r w:rsidRPr="00327982">
        <w:rPr>
          <w:rFonts w:ascii="Arial" w:hAnsi="Arial" w:cs="Arial"/>
          <w:color w:val="7B7B7B" w:themeColor="accent3" w:themeShade="BF"/>
          <w:sz w:val="22"/>
          <w:szCs w:val="22"/>
          <w:lang w:val="en-GB"/>
        </w:rPr>
        <w:t xml:space="preserve">” basis. Recognition will not provide the officeholder with the rights they would have been granted had they been appointed locally under the </w:t>
      </w:r>
      <w:r w:rsidR="00AC17DF">
        <w:rPr>
          <w:rFonts w:ascii="Arial" w:hAnsi="Arial" w:cs="Arial"/>
          <w:color w:val="7B7B7B" w:themeColor="accent3" w:themeShade="BF"/>
          <w:sz w:val="22"/>
          <w:szCs w:val="22"/>
          <w:lang w:val="en-GB"/>
        </w:rPr>
        <w:t>Insolvency</w:t>
      </w:r>
      <w:r w:rsidRPr="00327982">
        <w:rPr>
          <w:rFonts w:ascii="Arial" w:hAnsi="Arial" w:cs="Arial"/>
          <w:color w:val="7B7B7B" w:themeColor="accent3" w:themeShade="BF"/>
          <w:sz w:val="22"/>
          <w:szCs w:val="22"/>
          <w:lang w:val="en-GB"/>
        </w:rPr>
        <w:t xml:space="preserve"> Act</w:t>
      </w:r>
      <w:r w:rsidR="001F7841" w:rsidRPr="00327982">
        <w:rPr>
          <w:rStyle w:val="FootnoteReference"/>
          <w:rFonts w:ascii="Arial" w:hAnsi="Arial" w:cs="Arial"/>
          <w:color w:val="7B7B7B" w:themeColor="accent3" w:themeShade="BF"/>
          <w:sz w:val="22"/>
          <w:szCs w:val="22"/>
          <w:lang w:val="en-GB"/>
        </w:rPr>
        <w:footnoteReference w:id="110"/>
      </w:r>
      <w:r w:rsidR="008F7FB0">
        <w:rPr>
          <w:rFonts w:ascii="Arial" w:hAnsi="Arial" w:cs="Arial"/>
          <w:color w:val="7B7B7B" w:themeColor="accent3" w:themeShade="BF"/>
          <w:sz w:val="22"/>
          <w:szCs w:val="22"/>
          <w:lang w:val="en-GB"/>
        </w:rPr>
        <w:t xml:space="preserve"> (see below).</w:t>
      </w:r>
    </w:p>
    <w:p w14:paraId="6037250A" w14:textId="77777777" w:rsidR="00552C7B" w:rsidRPr="00327982" w:rsidRDefault="00552C7B" w:rsidP="00832AAF">
      <w:pPr>
        <w:jc w:val="both"/>
        <w:rPr>
          <w:rFonts w:ascii="Arial" w:hAnsi="Arial" w:cs="Arial"/>
          <w:color w:val="7B7B7B" w:themeColor="accent3" w:themeShade="BF"/>
          <w:sz w:val="22"/>
          <w:szCs w:val="22"/>
          <w:highlight w:val="yellow"/>
          <w:lang w:val="en-GB"/>
        </w:rPr>
      </w:pPr>
    </w:p>
    <w:p w14:paraId="64F5E616" w14:textId="1F3A32F8" w:rsidR="00832AAF" w:rsidRPr="00327982" w:rsidRDefault="001F09F6" w:rsidP="00832AAF">
      <w:p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 xml:space="preserve">Section 468 sets out the matters that the </w:t>
      </w:r>
      <w:r w:rsidR="00832AAF" w:rsidRPr="00327982">
        <w:rPr>
          <w:rFonts w:ascii="Arial" w:hAnsi="Arial" w:cs="Arial"/>
          <w:color w:val="7B7B7B" w:themeColor="accent3" w:themeShade="BF"/>
          <w:sz w:val="22"/>
          <w:szCs w:val="22"/>
          <w:lang w:val="en-GB"/>
        </w:rPr>
        <w:t>BVI court</w:t>
      </w:r>
      <w:r w:rsidRPr="00327982">
        <w:rPr>
          <w:rFonts w:ascii="Arial" w:hAnsi="Arial" w:cs="Arial"/>
          <w:color w:val="7B7B7B" w:themeColor="accent3" w:themeShade="BF"/>
          <w:sz w:val="22"/>
          <w:szCs w:val="22"/>
          <w:lang w:val="en-GB"/>
        </w:rPr>
        <w:t xml:space="preserve"> is required to consider when making an order under section 467. </w:t>
      </w:r>
      <w:r w:rsidR="00832AAF" w:rsidRPr="00327982">
        <w:rPr>
          <w:rFonts w:ascii="Arial" w:hAnsi="Arial" w:cs="Arial"/>
          <w:color w:val="7B7B7B" w:themeColor="accent3" w:themeShade="BF"/>
          <w:sz w:val="22"/>
          <w:szCs w:val="22"/>
          <w:lang w:val="en-GB"/>
        </w:rPr>
        <w:t>The BVI court is to be</w:t>
      </w:r>
      <w:r w:rsidR="00D77764" w:rsidRPr="00327982">
        <w:rPr>
          <w:rFonts w:ascii="Arial" w:hAnsi="Arial" w:cs="Arial"/>
          <w:color w:val="7B7B7B" w:themeColor="accent3" w:themeShade="BF"/>
          <w:sz w:val="22"/>
          <w:szCs w:val="22"/>
          <w:lang w:val="en-GB"/>
        </w:rPr>
        <w:t xml:space="preserve"> guided by what will</w:t>
      </w:r>
      <w:r w:rsidR="00832AAF" w:rsidRPr="00327982">
        <w:rPr>
          <w:rFonts w:ascii="Arial" w:hAnsi="Arial" w:cs="Arial"/>
          <w:color w:val="7B7B7B" w:themeColor="accent3" w:themeShade="BF"/>
          <w:sz w:val="22"/>
          <w:szCs w:val="22"/>
          <w:lang w:val="en-GB"/>
        </w:rPr>
        <w:t xml:space="preserve"> “</w:t>
      </w:r>
      <w:r w:rsidR="00832AAF" w:rsidRPr="00327982">
        <w:rPr>
          <w:rFonts w:ascii="Arial" w:hAnsi="Arial" w:cs="Arial"/>
          <w:i/>
          <w:iCs/>
          <w:color w:val="7B7B7B" w:themeColor="accent3" w:themeShade="BF"/>
          <w:sz w:val="22"/>
          <w:szCs w:val="22"/>
          <w:lang w:val="en-GB"/>
        </w:rPr>
        <w:t>ensure the economic and expeditious administration of the foreign proceeding to the extent consistent with</w:t>
      </w:r>
      <w:r w:rsidR="00832AAF" w:rsidRPr="00327982">
        <w:rPr>
          <w:rFonts w:ascii="Arial" w:hAnsi="Arial" w:cs="Arial"/>
          <w:color w:val="7B7B7B" w:themeColor="accent3" w:themeShade="BF"/>
          <w:sz w:val="22"/>
          <w:szCs w:val="22"/>
          <w:lang w:val="en-GB"/>
        </w:rPr>
        <w:t>”</w:t>
      </w:r>
      <w:r w:rsidR="00832AAF" w:rsidRPr="00327982">
        <w:rPr>
          <w:rStyle w:val="FootnoteReference"/>
          <w:rFonts w:ascii="Arial" w:hAnsi="Arial" w:cs="Arial"/>
          <w:color w:val="7B7B7B" w:themeColor="accent3" w:themeShade="BF"/>
          <w:sz w:val="22"/>
          <w:szCs w:val="22"/>
          <w:lang w:val="en-GB"/>
        </w:rPr>
        <w:footnoteReference w:id="111"/>
      </w:r>
      <w:r w:rsidR="00832AAF" w:rsidRPr="00327982">
        <w:rPr>
          <w:rFonts w:ascii="Arial" w:hAnsi="Arial" w:cs="Arial"/>
          <w:color w:val="7B7B7B" w:themeColor="accent3" w:themeShade="BF"/>
          <w:sz w:val="22"/>
          <w:szCs w:val="22"/>
          <w:lang w:val="en-GB"/>
        </w:rPr>
        <w:t>:</w:t>
      </w:r>
    </w:p>
    <w:p w14:paraId="4888C61D" w14:textId="15330458" w:rsidR="00832AAF" w:rsidRPr="00327982" w:rsidRDefault="00832AAF">
      <w:pPr>
        <w:pStyle w:val="ListParagraph"/>
        <w:numPr>
          <w:ilvl w:val="0"/>
          <w:numId w:val="22"/>
        </w:num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w:t>
      </w:r>
      <w:proofErr w:type="spellStart"/>
      <w:r w:rsidRPr="00327982">
        <w:rPr>
          <w:rFonts w:ascii="Arial" w:hAnsi="Arial" w:cs="Arial"/>
          <w:i/>
          <w:iCs/>
          <w:color w:val="7B7B7B" w:themeColor="accent3" w:themeShade="BF"/>
          <w:sz w:val="22"/>
          <w:szCs w:val="22"/>
          <w:lang w:val="en-GB"/>
        </w:rPr>
        <w:t>the</w:t>
      </w:r>
      <w:proofErr w:type="spellEnd"/>
      <w:r w:rsidRPr="00327982">
        <w:rPr>
          <w:rFonts w:ascii="Arial" w:hAnsi="Arial" w:cs="Arial"/>
          <w:i/>
          <w:iCs/>
          <w:color w:val="7B7B7B" w:themeColor="accent3" w:themeShade="BF"/>
          <w:sz w:val="22"/>
          <w:szCs w:val="22"/>
          <w:lang w:val="en-GB"/>
        </w:rPr>
        <w:t xml:space="preserve"> just treatment of all persons claiming in the foreign proceeding</w:t>
      </w:r>
      <w:r w:rsidRPr="00327982">
        <w:rPr>
          <w:rFonts w:ascii="Arial" w:hAnsi="Arial" w:cs="Arial"/>
          <w:color w:val="7B7B7B" w:themeColor="accent3" w:themeShade="BF"/>
          <w:sz w:val="22"/>
          <w:szCs w:val="22"/>
          <w:lang w:val="en-GB"/>
        </w:rPr>
        <w:t>”</w:t>
      </w:r>
      <w:r w:rsidRPr="00327982">
        <w:rPr>
          <w:rStyle w:val="FootnoteReference"/>
          <w:rFonts w:ascii="Arial" w:hAnsi="Arial" w:cs="Arial"/>
          <w:color w:val="7B7B7B" w:themeColor="accent3" w:themeShade="BF"/>
          <w:sz w:val="22"/>
          <w:szCs w:val="22"/>
          <w:lang w:val="en-GB"/>
        </w:rPr>
        <w:footnoteReference w:id="112"/>
      </w:r>
      <w:r w:rsidRPr="00327982">
        <w:rPr>
          <w:rFonts w:ascii="Arial" w:hAnsi="Arial" w:cs="Arial"/>
          <w:color w:val="7B7B7B" w:themeColor="accent3" w:themeShade="BF"/>
          <w:sz w:val="22"/>
          <w:szCs w:val="22"/>
          <w:lang w:val="en-GB"/>
        </w:rPr>
        <w:t>;</w:t>
      </w:r>
    </w:p>
    <w:p w14:paraId="66A2983C" w14:textId="58E373F6" w:rsidR="00832AAF" w:rsidRPr="00327982" w:rsidRDefault="00832AAF">
      <w:pPr>
        <w:pStyle w:val="ListParagraph"/>
        <w:numPr>
          <w:ilvl w:val="0"/>
          <w:numId w:val="22"/>
        </w:num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w:t>
      </w:r>
      <w:r w:rsidRPr="00327982">
        <w:rPr>
          <w:rFonts w:ascii="Arial" w:hAnsi="Arial" w:cs="Arial"/>
          <w:i/>
          <w:iCs/>
          <w:color w:val="7B7B7B" w:themeColor="accent3" w:themeShade="BF"/>
          <w:sz w:val="22"/>
          <w:szCs w:val="22"/>
          <w:lang w:val="en-GB"/>
        </w:rPr>
        <w:t>the protection of persons in the Virgin Islands who have claims against the debtor against prejudice and inconvenience in the processing of claims in the foreign proceeding</w:t>
      </w:r>
      <w:r w:rsidRPr="00327982">
        <w:rPr>
          <w:rFonts w:ascii="Arial" w:hAnsi="Arial" w:cs="Arial"/>
          <w:color w:val="7B7B7B" w:themeColor="accent3" w:themeShade="BF"/>
          <w:sz w:val="22"/>
          <w:szCs w:val="22"/>
          <w:lang w:val="en-GB"/>
        </w:rPr>
        <w:t>”</w:t>
      </w:r>
      <w:r w:rsidRPr="00327982">
        <w:rPr>
          <w:rStyle w:val="FootnoteReference"/>
          <w:rFonts w:ascii="Arial" w:hAnsi="Arial" w:cs="Arial"/>
          <w:color w:val="7B7B7B" w:themeColor="accent3" w:themeShade="BF"/>
          <w:sz w:val="22"/>
          <w:szCs w:val="22"/>
          <w:lang w:val="en-GB"/>
        </w:rPr>
        <w:footnoteReference w:id="113"/>
      </w:r>
      <w:r w:rsidRPr="00327982">
        <w:rPr>
          <w:rFonts w:ascii="Arial" w:hAnsi="Arial" w:cs="Arial"/>
          <w:color w:val="7B7B7B" w:themeColor="accent3" w:themeShade="BF"/>
          <w:sz w:val="22"/>
          <w:szCs w:val="22"/>
          <w:lang w:val="en-GB"/>
        </w:rPr>
        <w:t>;</w:t>
      </w:r>
    </w:p>
    <w:p w14:paraId="3938A25E" w14:textId="6DAC050F" w:rsidR="00832AAF" w:rsidRPr="00327982" w:rsidRDefault="00832AAF">
      <w:pPr>
        <w:pStyle w:val="ListParagraph"/>
        <w:numPr>
          <w:ilvl w:val="0"/>
          <w:numId w:val="22"/>
        </w:num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w:t>
      </w:r>
      <w:r w:rsidRPr="00327982">
        <w:rPr>
          <w:rFonts w:ascii="Arial" w:hAnsi="Arial" w:cs="Arial"/>
          <w:i/>
          <w:iCs/>
          <w:color w:val="7B7B7B" w:themeColor="accent3" w:themeShade="BF"/>
          <w:sz w:val="22"/>
          <w:szCs w:val="22"/>
          <w:lang w:val="en-GB"/>
        </w:rPr>
        <w:t>the prevention of preferential or fraudulent dispositions of property subject to the foreign proceeding, or the proceeds of such property</w:t>
      </w:r>
      <w:r w:rsidRPr="00327982">
        <w:rPr>
          <w:rFonts w:ascii="Arial" w:hAnsi="Arial" w:cs="Arial"/>
          <w:color w:val="7B7B7B" w:themeColor="accent3" w:themeShade="BF"/>
          <w:sz w:val="22"/>
          <w:szCs w:val="22"/>
          <w:lang w:val="en-GB"/>
        </w:rPr>
        <w:t>”</w:t>
      </w:r>
      <w:r w:rsidRPr="00327982">
        <w:rPr>
          <w:rStyle w:val="FootnoteReference"/>
          <w:rFonts w:ascii="Arial" w:hAnsi="Arial" w:cs="Arial"/>
          <w:color w:val="7B7B7B" w:themeColor="accent3" w:themeShade="BF"/>
          <w:sz w:val="22"/>
          <w:szCs w:val="22"/>
          <w:lang w:val="en-GB"/>
        </w:rPr>
        <w:footnoteReference w:id="114"/>
      </w:r>
      <w:r w:rsidRPr="00327982">
        <w:rPr>
          <w:rFonts w:ascii="Arial" w:hAnsi="Arial" w:cs="Arial"/>
          <w:color w:val="7B7B7B" w:themeColor="accent3" w:themeShade="BF"/>
          <w:sz w:val="22"/>
          <w:szCs w:val="22"/>
          <w:lang w:val="en-GB"/>
        </w:rPr>
        <w:t>;</w:t>
      </w:r>
    </w:p>
    <w:p w14:paraId="6C579C0D" w14:textId="702BB013" w:rsidR="00832AAF" w:rsidRPr="00327982" w:rsidRDefault="00832AAF">
      <w:pPr>
        <w:pStyle w:val="ListParagraph"/>
        <w:numPr>
          <w:ilvl w:val="0"/>
          <w:numId w:val="22"/>
        </w:num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w:t>
      </w:r>
      <w:r w:rsidRPr="00327982">
        <w:rPr>
          <w:rFonts w:ascii="Arial" w:hAnsi="Arial" w:cs="Arial"/>
          <w:i/>
          <w:iCs/>
          <w:color w:val="7B7B7B" w:themeColor="accent3" w:themeShade="BF"/>
          <w:sz w:val="22"/>
          <w:szCs w:val="22"/>
          <w:lang w:val="en-GB"/>
        </w:rPr>
        <w:t>the need for distributions to claimants in the foreign proceedings to be substantially in accordance with the order of distributions in a Virgin Islands insolvency</w:t>
      </w:r>
      <w:r w:rsidRPr="00327982">
        <w:rPr>
          <w:rFonts w:ascii="Arial" w:hAnsi="Arial" w:cs="Arial"/>
          <w:color w:val="7B7B7B" w:themeColor="accent3" w:themeShade="BF"/>
          <w:sz w:val="22"/>
          <w:szCs w:val="22"/>
          <w:lang w:val="en-GB"/>
        </w:rPr>
        <w:t>”</w:t>
      </w:r>
      <w:r w:rsidR="00063063" w:rsidRPr="00327982">
        <w:rPr>
          <w:rStyle w:val="FootnoteReference"/>
          <w:rFonts w:ascii="Arial" w:hAnsi="Arial" w:cs="Arial"/>
          <w:color w:val="7B7B7B" w:themeColor="accent3" w:themeShade="BF"/>
          <w:sz w:val="22"/>
          <w:szCs w:val="22"/>
          <w:lang w:val="en-GB"/>
        </w:rPr>
        <w:footnoteReference w:id="115"/>
      </w:r>
      <w:r w:rsidRPr="00327982">
        <w:rPr>
          <w:rFonts w:ascii="Arial" w:hAnsi="Arial" w:cs="Arial"/>
          <w:color w:val="7B7B7B" w:themeColor="accent3" w:themeShade="BF"/>
          <w:sz w:val="22"/>
          <w:szCs w:val="22"/>
          <w:lang w:val="en-GB"/>
        </w:rPr>
        <w:t>; and</w:t>
      </w:r>
    </w:p>
    <w:p w14:paraId="110A75C1" w14:textId="7C4E046A" w:rsidR="00832AAF" w:rsidRPr="00327982" w:rsidRDefault="00832AAF">
      <w:pPr>
        <w:pStyle w:val="ListParagraph"/>
        <w:numPr>
          <w:ilvl w:val="0"/>
          <w:numId w:val="22"/>
        </w:num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w:t>
      </w:r>
      <w:r w:rsidRPr="00327982">
        <w:rPr>
          <w:rFonts w:ascii="Arial" w:hAnsi="Arial" w:cs="Arial"/>
          <w:i/>
          <w:iCs/>
          <w:color w:val="7B7B7B" w:themeColor="accent3" w:themeShade="BF"/>
          <w:sz w:val="22"/>
          <w:szCs w:val="22"/>
          <w:lang w:val="en-GB"/>
        </w:rPr>
        <w:t>comity</w:t>
      </w:r>
      <w:r w:rsidRPr="00327982">
        <w:rPr>
          <w:rFonts w:ascii="Arial" w:hAnsi="Arial" w:cs="Arial"/>
          <w:color w:val="7B7B7B" w:themeColor="accent3" w:themeShade="BF"/>
          <w:sz w:val="22"/>
          <w:szCs w:val="22"/>
          <w:lang w:val="en-GB"/>
        </w:rPr>
        <w:t>.”</w:t>
      </w:r>
      <w:r w:rsidR="00063063" w:rsidRPr="00327982">
        <w:rPr>
          <w:rStyle w:val="FootnoteReference"/>
          <w:rFonts w:ascii="Arial" w:hAnsi="Arial" w:cs="Arial"/>
          <w:color w:val="7B7B7B" w:themeColor="accent3" w:themeShade="BF"/>
          <w:sz w:val="22"/>
          <w:szCs w:val="22"/>
          <w:lang w:val="en-GB"/>
        </w:rPr>
        <w:footnoteReference w:id="116"/>
      </w:r>
    </w:p>
    <w:p w14:paraId="0F0AE925" w14:textId="5D4A53C6" w:rsidR="00832AAF" w:rsidRPr="00327982" w:rsidRDefault="00832AAF" w:rsidP="006354EB">
      <w:pPr>
        <w:jc w:val="both"/>
        <w:rPr>
          <w:rFonts w:ascii="Arial" w:hAnsi="Arial" w:cs="Arial"/>
          <w:color w:val="7B7B7B" w:themeColor="accent3" w:themeShade="BF"/>
          <w:sz w:val="22"/>
          <w:szCs w:val="22"/>
          <w:highlight w:val="yellow"/>
          <w:lang w:val="en-GB"/>
        </w:rPr>
      </w:pPr>
    </w:p>
    <w:p w14:paraId="342EF641" w14:textId="036C2A96" w:rsidR="000C62E3" w:rsidRPr="00327982" w:rsidRDefault="0096474D" w:rsidP="006354EB">
      <w:p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lastRenderedPageBreak/>
        <w:t>It should be noted that an order under section 467 shall not, without the consent of the person concerned, affect</w:t>
      </w:r>
      <w:r w:rsidR="001269CE" w:rsidRPr="00327982">
        <w:rPr>
          <w:rFonts w:ascii="Arial" w:hAnsi="Arial" w:cs="Arial"/>
          <w:color w:val="7B7B7B" w:themeColor="accent3" w:themeShade="BF"/>
          <w:sz w:val="22"/>
          <w:szCs w:val="22"/>
          <w:lang w:val="en-GB"/>
        </w:rPr>
        <w:t xml:space="preserve"> the right of any creditor to set-off</w:t>
      </w:r>
      <w:r w:rsidR="001269CE" w:rsidRPr="00327982">
        <w:rPr>
          <w:rStyle w:val="FootnoteReference"/>
          <w:rFonts w:ascii="Arial" w:hAnsi="Arial" w:cs="Arial"/>
          <w:color w:val="7B7B7B" w:themeColor="accent3" w:themeShade="BF"/>
          <w:sz w:val="22"/>
          <w:szCs w:val="22"/>
          <w:lang w:val="en-GB"/>
        </w:rPr>
        <w:footnoteReference w:id="117"/>
      </w:r>
      <w:r w:rsidR="001269CE" w:rsidRPr="00327982">
        <w:rPr>
          <w:rFonts w:ascii="Arial" w:hAnsi="Arial" w:cs="Arial"/>
          <w:color w:val="7B7B7B" w:themeColor="accent3" w:themeShade="BF"/>
          <w:sz w:val="22"/>
          <w:szCs w:val="22"/>
          <w:lang w:val="en-GB"/>
        </w:rPr>
        <w:t xml:space="preserve"> or result in a person who is a preferential creditor from receiving less than they would have in a BVI insolvency proceeding</w:t>
      </w:r>
      <w:r w:rsidR="001269CE" w:rsidRPr="00327982">
        <w:rPr>
          <w:rStyle w:val="FootnoteReference"/>
          <w:rFonts w:ascii="Arial" w:hAnsi="Arial" w:cs="Arial"/>
          <w:color w:val="7B7B7B" w:themeColor="accent3" w:themeShade="BF"/>
          <w:sz w:val="22"/>
          <w:szCs w:val="22"/>
          <w:lang w:val="en-GB"/>
        </w:rPr>
        <w:footnoteReference w:id="118"/>
      </w:r>
      <w:r w:rsidR="001269CE" w:rsidRPr="00327982">
        <w:rPr>
          <w:rFonts w:ascii="Arial" w:hAnsi="Arial" w:cs="Arial"/>
          <w:color w:val="7B7B7B" w:themeColor="accent3" w:themeShade="BF"/>
          <w:sz w:val="22"/>
          <w:szCs w:val="22"/>
          <w:lang w:val="en-GB"/>
        </w:rPr>
        <w:t>.</w:t>
      </w:r>
    </w:p>
    <w:p w14:paraId="1CE9F74B" w14:textId="77777777" w:rsidR="008D010A" w:rsidRPr="00327982" w:rsidRDefault="008D010A" w:rsidP="006354EB">
      <w:pPr>
        <w:jc w:val="both"/>
        <w:rPr>
          <w:rFonts w:ascii="Arial" w:hAnsi="Arial" w:cs="Arial"/>
          <w:color w:val="7B7B7B" w:themeColor="accent3" w:themeShade="BF"/>
          <w:sz w:val="22"/>
          <w:szCs w:val="22"/>
          <w:u w:val="single"/>
          <w:lang w:val="en-GB"/>
        </w:rPr>
      </w:pPr>
    </w:p>
    <w:p w14:paraId="7B8CAF0E" w14:textId="5DA84EF5" w:rsidR="003D562F" w:rsidRPr="00327982" w:rsidRDefault="00DE6D06" w:rsidP="006354EB">
      <w:pPr>
        <w:jc w:val="both"/>
        <w:rPr>
          <w:rFonts w:ascii="Arial" w:hAnsi="Arial" w:cs="Arial"/>
          <w:color w:val="7B7B7B" w:themeColor="accent3" w:themeShade="BF"/>
          <w:sz w:val="22"/>
          <w:szCs w:val="22"/>
          <w:u w:val="single"/>
          <w:lang w:val="en-GB"/>
        </w:rPr>
      </w:pPr>
      <w:r w:rsidRPr="00327982">
        <w:rPr>
          <w:rFonts w:ascii="Arial" w:hAnsi="Arial" w:cs="Arial"/>
          <w:color w:val="7B7B7B" w:themeColor="accent3" w:themeShade="BF"/>
          <w:sz w:val="22"/>
          <w:szCs w:val="22"/>
          <w:u w:val="single"/>
          <w:lang w:val="en-GB"/>
        </w:rPr>
        <w:t xml:space="preserve">Section 469 - </w:t>
      </w:r>
      <w:r w:rsidR="003D562F" w:rsidRPr="00327982">
        <w:rPr>
          <w:rFonts w:ascii="Arial" w:hAnsi="Arial" w:cs="Arial"/>
          <w:color w:val="7B7B7B" w:themeColor="accent3" w:themeShade="BF"/>
          <w:sz w:val="22"/>
          <w:szCs w:val="22"/>
          <w:u w:val="single"/>
          <w:lang w:val="en-GB"/>
        </w:rPr>
        <w:t>Limitation on effect of application under Part XIX</w:t>
      </w:r>
    </w:p>
    <w:p w14:paraId="7D6CB4BB" w14:textId="53236DE7" w:rsidR="000C62E3" w:rsidRPr="00327982" w:rsidRDefault="003D562F" w:rsidP="006354EB">
      <w:p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 xml:space="preserve">Section 469(2) states that the </w:t>
      </w:r>
      <w:r w:rsidR="00DE6D06" w:rsidRPr="00327982">
        <w:rPr>
          <w:rFonts w:ascii="Arial" w:hAnsi="Arial" w:cs="Arial"/>
          <w:color w:val="7B7B7B" w:themeColor="accent3" w:themeShade="BF"/>
          <w:sz w:val="22"/>
          <w:szCs w:val="22"/>
          <w:lang w:val="en-GB"/>
        </w:rPr>
        <w:t>BVI c</w:t>
      </w:r>
      <w:r w:rsidRPr="00327982">
        <w:rPr>
          <w:rFonts w:ascii="Arial" w:hAnsi="Arial" w:cs="Arial"/>
          <w:color w:val="7B7B7B" w:themeColor="accent3" w:themeShade="BF"/>
          <w:sz w:val="22"/>
          <w:szCs w:val="22"/>
          <w:lang w:val="en-GB"/>
        </w:rPr>
        <w:t xml:space="preserve">ourt may make an order under Part XIX conditional on the foreign representative complying with any other order of the </w:t>
      </w:r>
      <w:r w:rsidR="00BA45D2">
        <w:rPr>
          <w:rFonts w:ascii="Arial" w:hAnsi="Arial" w:cs="Arial"/>
          <w:color w:val="7B7B7B" w:themeColor="accent3" w:themeShade="BF"/>
          <w:sz w:val="22"/>
          <w:szCs w:val="22"/>
          <w:lang w:val="en-GB"/>
        </w:rPr>
        <w:t>c</w:t>
      </w:r>
      <w:r w:rsidRPr="00327982">
        <w:rPr>
          <w:rFonts w:ascii="Arial" w:hAnsi="Arial" w:cs="Arial"/>
          <w:color w:val="7B7B7B" w:themeColor="accent3" w:themeShade="BF"/>
          <w:sz w:val="22"/>
          <w:szCs w:val="22"/>
          <w:lang w:val="en-GB"/>
        </w:rPr>
        <w:t>ourt.</w:t>
      </w:r>
      <w:r w:rsidR="00DE6D06" w:rsidRPr="00327982">
        <w:rPr>
          <w:rStyle w:val="FootnoteReference"/>
          <w:rFonts w:ascii="Arial" w:hAnsi="Arial" w:cs="Arial"/>
          <w:color w:val="7B7B7B" w:themeColor="accent3" w:themeShade="BF"/>
          <w:sz w:val="22"/>
          <w:szCs w:val="22"/>
          <w:lang w:val="en-GB"/>
        </w:rPr>
        <w:footnoteReference w:id="119"/>
      </w:r>
    </w:p>
    <w:p w14:paraId="1F000185" w14:textId="77777777" w:rsidR="003D562F" w:rsidRPr="00327982" w:rsidRDefault="003D562F" w:rsidP="00B57529">
      <w:pPr>
        <w:jc w:val="both"/>
        <w:rPr>
          <w:rFonts w:ascii="Arial" w:hAnsi="Arial" w:cs="Arial"/>
          <w:color w:val="7B7B7B" w:themeColor="accent3" w:themeShade="BF"/>
          <w:sz w:val="22"/>
          <w:szCs w:val="22"/>
          <w:lang w:val="en-GB"/>
        </w:rPr>
      </w:pPr>
    </w:p>
    <w:p w14:paraId="40F00DC2" w14:textId="491C755C" w:rsidR="00B57529" w:rsidRPr="00327982" w:rsidRDefault="00DE6D06" w:rsidP="00B57529">
      <w:pPr>
        <w:jc w:val="both"/>
        <w:rPr>
          <w:rFonts w:ascii="Arial" w:hAnsi="Arial" w:cs="Arial"/>
          <w:color w:val="7B7B7B" w:themeColor="accent3" w:themeShade="BF"/>
          <w:sz w:val="22"/>
          <w:szCs w:val="22"/>
          <w:u w:val="single"/>
          <w:lang w:val="en-GB"/>
        </w:rPr>
      </w:pPr>
      <w:r w:rsidRPr="00327982">
        <w:rPr>
          <w:rFonts w:ascii="Arial" w:hAnsi="Arial" w:cs="Arial"/>
          <w:color w:val="7B7B7B" w:themeColor="accent3" w:themeShade="BF"/>
          <w:sz w:val="22"/>
          <w:szCs w:val="22"/>
          <w:u w:val="single"/>
          <w:lang w:val="en-GB"/>
        </w:rPr>
        <w:t xml:space="preserve">Section 470- </w:t>
      </w:r>
      <w:r w:rsidR="00B57529" w:rsidRPr="00327982">
        <w:rPr>
          <w:rFonts w:ascii="Arial" w:hAnsi="Arial" w:cs="Arial"/>
          <w:color w:val="7B7B7B" w:themeColor="accent3" w:themeShade="BF"/>
          <w:sz w:val="22"/>
          <w:szCs w:val="22"/>
          <w:u w:val="single"/>
          <w:lang w:val="en-GB"/>
        </w:rPr>
        <w:t>Additional assistance</w:t>
      </w:r>
    </w:p>
    <w:p w14:paraId="608131A8" w14:textId="56D395A3" w:rsidR="008D010A" w:rsidRPr="00327982" w:rsidRDefault="003D562F" w:rsidP="00B57529">
      <w:p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Section 470 states that</w:t>
      </w:r>
      <w:r w:rsidR="00B57529" w:rsidRPr="00327982">
        <w:rPr>
          <w:rFonts w:ascii="Arial" w:hAnsi="Arial" w:cs="Arial"/>
          <w:color w:val="7B7B7B" w:themeColor="accent3" w:themeShade="BF"/>
          <w:sz w:val="22"/>
          <w:szCs w:val="22"/>
          <w:lang w:val="en-GB"/>
        </w:rPr>
        <w:t xml:space="preserve"> nothing in </w:t>
      </w:r>
      <w:r w:rsidRPr="00327982">
        <w:rPr>
          <w:rFonts w:ascii="Arial" w:hAnsi="Arial" w:cs="Arial"/>
          <w:color w:val="7B7B7B" w:themeColor="accent3" w:themeShade="BF"/>
          <w:sz w:val="22"/>
          <w:szCs w:val="22"/>
          <w:lang w:val="en-GB"/>
        </w:rPr>
        <w:t>Part XIX</w:t>
      </w:r>
      <w:r w:rsidR="00B57529" w:rsidRPr="00327982">
        <w:rPr>
          <w:rFonts w:ascii="Arial" w:hAnsi="Arial" w:cs="Arial"/>
          <w:color w:val="7B7B7B" w:themeColor="accent3" w:themeShade="BF"/>
          <w:sz w:val="22"/>
          <w:szCs w:val="22"/>
          <w:lang w:val="en-GB"/>
        </w:rPr>
        <w:t xml:space="preserve"> limits </w:t>
      </w:r>
      <w:r w:rsidR="00DE6D06" w:rsidRPr="00327982">
        <w:rPr>
          <w:rFonts w:ascii="Arial" w:hAnsi="Arial" w:cs="Arial"/>
          <w:color w:val="7B7B7B" w:themeColor="accent3" w:themeShade="BF"/>
          <w:sz w:val="22"/>
          <w:szCs w:val="22"/>
          <w:lang w:val="en-GB"/>
        </w:rPr>
        <w:t>the</w:t>
      </w:r>
      <w:r w:rsidRPr="00327982">
        <w:rPr>
          <w:rFonts w:ascii="Arial" w:hAnsi="Arial" w:cs="Arial"/>
          <w:color w:val="7B7B7B" w:themeColor="accent3" w:themeShade="BF"/>
          <w:sz w:val="22"/>
          <w:szCs w:val="22"/>
          <w:lang w:val="en-GB"/>
        </w:rPr>
        <w:t xml:space="preserve"> </w:t>
      </w:r>
      <w:r w:rsidR="00DE6D06" w:rsidRPr="00327982">
        <w:rPr>
          <w:rFonts w:ascii="Arial" w:hAnsi="Arial" w:cs="Arial"/>
          <w:color w:val="7B7B7B" w:themeColor="accent3" w:themeShade="BF"/>
          <w:sz w:val="22"/>
          <w:szCs w:val="22"/>
          <w:lang w:val="en-GB"/>
        </w:rPr>
        <w:t>BVI c</w:t>
      </w:r>
      <w:r w:rsidRPr="00327982">
        <w:rPr>
          <w:rFonts w:ascii="Arial" w:hAnsi="Arial" w:cs="Arial"/>
          <w:color w:val="7B7B7B" w:themeColor="accent3" w:themeShade="BF"/>
          <w:sz w:val="22"/>
          <w:szCs w:val="22"/>
          <w:lang w:val="en-GB"/>
        </w:rPr>
        <w:t xml:space="preserve">ourt or </w:t>
      </w:r>
      <w:r w:rsidR="00DE6D06" w:rsidRPr="00327982">
        <w:rPr>
          <w:rFonts w:ascii="Arial" w:hAnsi="Arial" w:cs="Arial"/>
          <w:color w:val="7B7B7B" w:themeColor="accent3" w:themeShade="BF"/>
          <w:sz w:val="22"/>
          <w:szCs w:val="22"/>
          <w:lang w:val="en-GB"/>
        </w:rPr>
        <w:t xml:space="preserve">an </w:t>
      </w:r>
      <w:r w:rsidRPr="00327982">
        <w:rPr>
          <w:rFonts w:ascii="Arial" w:hAnsi="Arial" w:cs="Arial"/>
          <w:color w:val="7B7B7B" w:themeColor="accent3" w:themeShade="BF"/>
          <w:sz w:val="22"/>
          <w:szCs w:val="22"/>
          <w:lang w:val="en-GB"/>
        </w:rPr>
        <w:t>insolvency officer’s power to provide additional assistance to a foreign representative where permitted under any other</w:t>
      </w:r>
      <w:r w:rsidR="00DE6D06" w:rsidRPr="00327982">
        <w:rPr>
          <w:rFonts w:ascii="Arial" w:hAnsi="Arial" w:cs="Arial"/>
          <w:color w:val="7B7B7B" w:themeColor="accent3" w:themeShade="BF"/>
          <w:sz w:val="22"/>
          <w:szCs w:val="22"/>
          <w:lang w:val="en-GB"/>
        </w:rPr>
        <w:t xml:space="preserve"> p</w:t>
      </w:r>
      <w:r w:rsidRPr="00327982">
        <w:rPr>
          <w:rFonts w:ascii="Arial" w:hAnsi="Arial" w:cs="Arial"/>
          <w:color w:val="7B7B7B" w:themeColor="accent3" w:themeShade="BF"/>
          <w:sz w:val="22"/>
          <w:szCs w:val="22"/>
          <w:lang w:val="en-GB"/>
        </w:rPr>
        <w:t xml:space="preserve">art of the </w:t>
      </w:r>
      <w:r w:rsidR="00AC17DF">
        <w:rPr>
          <w:rFonts w:ascii="Arial" w:hAnsi="Arial" w:cs="Arial"/>
          <w:color w:val="7B7B7B" w:themeColor="accent3" w:themeShade="BF"/>
          <w:sz w:val="22"/>
          <w:szCs w:val="22"/>
          <w:lang w:val="en-GB"/>
        </w:rPr>
        <w:t>Insolvency</w:t>
      </w:r>
      <w:r w:rsidR="00DE6D06" w:rsidRPr="00327982">
        <w:rPr>
          <w:rFonts w:ascii="Arial" w:hAnsi="Arial" w:cs="Arial"/>
          <w:color w:val="7B7B7B" w:themeColor="accent3" w:themeShade="BF"/>
          <w:sz w:val="22"/>
          <w:szCs w:val="22"/>
          <w:lang w:val="en-GB"/>
        </w:rPr>
        <w:t xml:space="preserve"> </w:t>
      </w:r>
      <w:r w:rsidRPr="00327982">
        <w:rPr>
          <w:rFonts w:ascii="Arial" w:hAnsi="Arial" w:cs="Arial"/>
          <w:color w:val="7B7B7B" w:themeColor="accent3" w:themeShade="BF"/>
          <w:sz w:val="22"/>
          <w:szCs w:val="22"/>
          <w:lang w:val="en-GB"/>
        </w:rPr>
        <w:t xml:space="preserve">Act or under any </w:t>
      </w:r>
      <w:r w:rsidR="00DE6D06" w:rsidRPr="00327982">
        <w:rPr>
          <w:rFonts w:ascii="Arial" w:hAnsi="Arial" w:cs="Arial"/>
          <w:color w:val="7B7B7B" w:themeColor="accent3" w:themeShade="BF"/>
          <w:sz w:val="22"/>
          <w:szCs w:val="22"/>
          <w:lang w:val="en-GB"/>
        </w:rPr>
        <w:t xml:space="preserve">other </w:t>
      </w:r>
      <w:r w:rsidRPr="00327982">
        <w:rPr>
          <w:rFonts w:ascii="Arial" w:hAnsi="Arial" w:cs="Arial"/>
          <w:color w:val="7B7B7B" w:themeColor="accent3" w:themeShade="BF"/>
          <w:sz w:val="22"/>
          <w:szCs w:val="22"/>
          <w:lang w:val="en-GB"/>
        </w:rPr>
        <w:t>rule of law in the BVI.</w:t>
      </w:r>
      <w:r w:rsidR="008D010A" w:rsidRPr="00327982">
        <w:rPr>
          <w:rFonts w:ascii="Arial" w:hAnsi="Arial" w:cs="Arial"/>
          <w:color w:val="7B7B7B" w:themeColor="accent3" w:themeShade="BF"/>
          <w:sz w:val="22"/>
          <w:szCs w:val="22"/>
          <w:lang w:val="en-GB"/>
        </w:rPr>
        <w:t xml:space="preserve"> </w:t>
      </w:r>
    </w:p>
    <w:p w14:paraId="52FA7E1F" w14:textId="77777777" w:rsidR="008D010A" w:rsidRPr="00327982" w:rsidRDefault="008D010A" w:rsidP="00B57529">
      <w:pPr>
        <w:jc w:val="both"/>
        <w:rPr>
          <w:rFonts w:ascii="Arial" w:hAnsi="Arial" w:cs="Arial"/>
          <w:color w:val="7B7B7B" w:themeColor="accent3" w:themeShade="BF"/>
          <w:sz w:val="22"/>
          <w:szCs w:val="22"/>
          <w:lang w:val="en-GB"/>
        </w:rPr>
      </w:pPr>
    </w:p>
    <w:p w14:paraId="73320ED2" w14:textId="572C0FF1" w:rsidR="008B222B" w:rsidRPr="00327982" w:rsidRDefault="008B222B" w:rsidP="00B57529">
      <w:pPr>
        <w:jc w:val="both"/>
        <w:rPr>
          <w:rFonts w:ascii="Arial" w:hAnsi="Arial" w:cs="Arial"/>
          <w:b/>
          <w:bCs/>
          <w:color w:val="7B7B7B" w:themeColor="accent3" w:themeShade="BF"/>
          <w:sz w:val="22"/>
          <w:szCs w:val="22"/>
          <w:u w:val="single"/>
          <w:lang w:val="en-GB"/>
        </w:rPr>
      </w:pPr>
      <w:r w:rsidRPr="00327982">
        <w:rPr>
          <w:rFonts w:ascii="Arial" w:hAnsi="Arial" w:cs="Arial"/>
          <w:b/>
          <w:bCs/>
          <w:color w:val="7B7B7B" w:themeColor="accent3" w:themeShade="BF"/>
          <w:sz w:val="22"/>
          <w:szCs w:val="22"/>
          <w:u w:val="single"/>
          <w:lang w:val="en-GB"/>
        </w:rPr>
        <w:t>Common law</w:t>
      </w:r>
    </w:p>
    <w:p w14:paraId="6AA37023" w14:textId="5DF58406" w:rsidR="00F87A43" w:rsidRPr="00327982" w:rsidRDefault="002542E0" w:rsidP="00B57529">
      <w:pPr>
        <w:jc w:val="both"/>
        <w:rPr>
          <w:rFonts w:ascii="Arial" w:hAnsi="Arial" w:cs="Arial"/>
          <w:color w:val="7B7B7B" w:themeColor="accent3" w:themeShade="BF"/>
          <w:sz w:val="22"/>
          <w:szCs w:val="22"/>
          <w:lang w:val="en-GB"/>
        </w:rPr>
      </w:pPr>
      <w:r w:rsidRPr="00327982">
        <w:rPr>
          <w:rFonts w:ascii="Arial" w:hAnsi="Arial" w:cs="Arial"/>
          <w:color w:val="7B7B7B" w:themeColor="accent3" w:themeShade="BF"/>
          <w:sz w:val="22"/>
          <w:szCs w:val="22"/>
          <w:lang w:val="en-GB"/>
        </w:rPr>
        <w:t xml:space="preserve">It should be noted that </w:t>
      </w:r>
      <w:r w:rsidR="00327982" w:rsidRPr="00327982">
        <w:rPr>
          <w:rFonts w:ascii="Arial" w:hAnsi="Arial" w:cs="Arial"/>
          <w:color w:val="7B7B7B" w:themeColor="accent3" w:themeShade="BF"/>
          <w:sz w:val="22"/>
          <w:szCs w:val="22"/>
          <w:lang w:val="en-GB"/>
        </w:rPr>
        <w:t xml:space="preserve">even though the BVI court has wide discretion under Part XIX (section 467) of the </w:t>
      </w:r>
      <w:r w:rsidR="005A1557">
        <w:rPr>
          <w:rFonts w:ascii="Arial" w:hAnsi="Arial" w:cs="Arial"/>
          <w:color w:val="7B7B7B" w:themeColor="accent3" w:themeShade="BF"/>
          <w:sz w:val="22"/>
          <w:szCs w:val="22"/>
          <w:lang w:val="en-GB"/>
        </w:rPr>
        <w:t>Insolvency</w:t>
      </w:r>
      <w:r w:rsidR="00327982" w:rsidRPr="00327982">
        <w:rPr>
          <w:rFonts w:ascii="Arial" w:hAnsi="Arial" w:cs="Arial"/>
          <w:color w:val="7B7B7B" w:themeColor="accent3" w:themeShade="BF"/>
          <w:sz w:val="22"/>
          <w:szCs w:val="22"/>
          <w:lang w:val="en-GB"/>
        </w:rPr>
        <w:t xml:space="preserve"> Act to aid a foreign representative in foreign proceedings, </w:t>
      </w:r>
      <w:r w:rsidRPr="00327982">
        <w:rPr>
          <w:rFonts w:ascii="Arial" w:hAnsi="Arial" w:cs="Arial"/>
          <w:color w:val="7B7B7B" w:themeColor="accent3" w:themeShade="BF"/>
          <w:sz w:val="22"/>
          <w:szCs w:val="22"/>
          <w:lang w:val="en-GB"/>
        </w:rPr>
        <w:t xml:space="preserve">Part XIX </w:t>
      </w:r>
      <w:r w:rsidR="0035532E" w:rsidRPr="00327982">
        <w:rPr>
          <w:rFonts w:ascii="Arial" w:hAnsi="Arial" w:cs="Arial"/>
          <w:color w:val="7B7B7B" w:themeColor="accent3" w:themeShade="BF"/>
          <w:sz w:val="22"/>
          <w:szCs w:val="22"/>
          <w:lang w:val="en-GB"/>
        </w:rPr>
        <w:t xml:space="preserve">does not confer </w:t>
      </w:r>
      <w:r w:rsidR="0066765C" w:rsidRPr="00327982">
        <w:rPr>
          <w:rFonts w:ascii="Arial" w:hAnsi="Arial" w:cs="Arial"/>
          <w:color w:val="7B7B7B" w:themeColor="accent3" w:themeShade="BF"/>
          <w:sz w:val="22"/>
          <w:szCs w:val="22"/>
          <w:lang w:val="en-GB"/>
        </w:rPr>
        <w:t xml:space="preserve">any </w:t>
      </w:r>
      <w:r w:rsidR="0035532E" w:rsidRPr="00327982">
        <w:rPr>
          <w:rFonts w:ascii="Arial" w:hAnsi="Arial" w:cs="Arial"/>
          <w:color w:val="7B7B7B" w:themeColor="accent3" w:themeShade="BF"/>
          <w:sz w:val="22"/>
          <w:szCs w:val="22"/>
          <w:lang w:val="en-GB"/>
        </w:rPr>
        <w:t xml:space="preserve">status upon the applicant – it only provides discretionary relief. </w:t>
      </w:r>
      <w:r w:rsidR="00F87A43" w:rsidRPr="00327982">
        <w:rPr>
          <w:rFonts w:ascii="Arial" w:hAnsi="Arial" w:cs="Arial"/>
          <w:color w:val="7B7B7B" w:themeColor="accent3" w:themeShade="BF"/>
          <w:sz w:val="22"/>
          <w:szCs w:val="22"/>
          <w:lang w:val="en-GB"/>
        </w:rPr>
        <w:t xml:space="preserve">In </w:t>
      </w:r>
      <w:r w:rsidR="00F87A43" w:rsidRPr="00327982">
        <w:rPr>
          <w:rFonts w:ascii="Arial" w:hAnsi="Arial" w:cs="Arial"/>
          <w:i/>
          <w:iCs/>
          <w:color w:val="7B7B7B" w:themeColor="accent3" w:themeShade="BF"/>
          <w:sz w:val="22"/>
          <w:szCs w:val="22"/>
          <w:lang w:val="en-GB"/>
        </w:rPr>
        <w:t>Irving H Picard v Bernard L Madoff Investment Securities LLC (in Securities Investor Protection Act Liquidation)</w:t>
      </w:r>
      <w:r w:rsidR="00F87A43" w:rsidRPr="00327982">
        <w:rPr>
          <w:rStyle w:val="FootnoteReference"/>
          <w:rFonts w:ascii="Arial" w:hAnsi="Arial" w:cs="Arial"/>
          <w:color w:val="7B7B7B" w:themeColor="accent3" w:themeShade="BF"/>
          <w:sz w:val="22"/>
          <w:szCs w:val="22"/>
          <w:lang w:val="en-GB"/>
        </w:rPr>
        <w:footnoteReference w:id="120"/>
      </w:r>
      <w:r w:rsidR="00F87A43" w:rsidRPr="00327982">
        <w:rPr>
          <w:rFonts w:ascii="Arial" w:hAnsi="Arial" w:cs="Arial"/>
          <w:color w:val="7B7B7B" w:themeColor="accent3" w:themeShade="BF"/>
          <w:sz w:val="22"/>
          <w:szCs w:val="22"/>
          <w:lang w:val="en-GB"/>
        </w:rPr>
        <w:t xml:space="preserve">, the trustee applied for orders seeking, </w:t>
      </w:r>
      <w:r w:rsidR="00F87A43" w:rsidRPr="00327982">
        <w:rPr>
          <w:rFonts w:ascii="Arial" w:hAnsi="Arial" w:cs="Arial"/>
          <w:i/>
          <w:iCs/>
          <w:color w:val="7B7B7B" w:themeColor="accent3" w:themeShade="BF"/>
          <w:sz w:val="22"/>
          <w:szCs w:val="22"/>
          <w:lang w:val="en-GB"/>
        </w:rPr>
        <w:t>inter alia</w:t>
      </w:r>
      <w:r w:rsidR="00F87A43" w:rsidRPr="00327982">
        <w:rPr>
          <w:rFonts w:ascii="Arial" w:hAnsi="Arial" w:cs="Arial"/>
          <w:color w:val="7B7B7B" w:themeColor="accent3" w:themeShade="BF"/>
          <w:sz w:val="22"/>
          <w:szCs w:val="22"/>
          <w:lang w:val="en-GB"/>
        </w:rPr>
        <w:t>, recognition as a foreign representative under Part XIX.</w:t>
      </w:r>
      <w:r w:rsidR="0035532E" w:rsidRPr="00327982">
        <w:rPr>
          <w:rFonts w:ascii="Arial" w:hAnsi="Arial" w:cs="Arial"/>
          <w:color w:val="7B7B7B" w:themeColor="accent3" w:themeShade="BF"/>
          <w:sz w:val="22"/>
          <w:szCs w:val="22"/>
          <w:lang w:val="en-GB"/>
        </w:rPr>
        <w:t xml:space="preserve"> Bannister J stated that, the fundamental difference between Part XVIII (not in force yet) and Part XIX is that Part XVIII “</w:t>
      </w:r>
      <w:r w:rsidR="0035532E" w:rsidRPr="000A718E">
        <w:rPr>
          <w:rFonts w:ascii="Arial" w:hAnsi="Arial" w:cs="Arial"/>
          <w:i/>
          <w:iCs/>
          <w:color w:val="7B7B7B" w:themeColor="accent3" w:themeShade="BF"/>
          <w:sz w:val="22"/>
          <w:szCs w:val="22"/>
          <w:u w:val="single"/>
        </w:rPr>
        <w:t>confers status</w:t>
      </w:r>
      <w:r w:rsidR="0035532E" w:rsidRPr="000A718E">
        <w:rPr>
          <w:rFonts w:ascii="Arial" w:hAnsi="Arial" w:cs="Arial"/>
          <w:i/>
          <w:iCs/>
          <w:color w:val="7B7B7B" w:themeColor="accent3" w:themeShade="BF"/>
          <w:sz w:val="22"/>
          <w:szCs w:val="22"/>
        </w:rPr>
        <w:t xml:space="preserve"> on the foreign representative through the recognition of the foreign proceedings</w:t>
      </w:r>
      <w:r w:rsidR="0066765C" w:rsidRPr="000A718E">
        <w:rPr>
          <w:rFonts w:ascii="Arial" w:hAnsi="Arial" w:cs="Arial"/>
          <w:i/>
          <w:iCs/>
          <w:color w:val="7B7B7B" w:themeColor="accent3" w:themeShade="BF"/>
          <w:sz w:val="22"/>
          <w:szCs w:val="22"/>
        </w:rPr>
        <w:t>…</w:t>
      </w:r>
      <w:r w:rsidR="0035532E" w:rsidRPr="000A718E">
        <w:rPr>
          <w:rFonts w:ascii="Arial" w:hAnsi="Arial" w:cs="Arial"/>
          <w:i/>
          <w:iCs/>
          <w:color w:val="7B7B7B" w:themeColor="accent3" w:themeShade="BF"/>
          <w:sz w:val="22"/>
          <w:szCs w:val="22"/>
        </w:rPr>
        <w:t>whereas Part XIX merely gives a foreign representative from a relevant country express rights to apply</w:t>
      </w:r>
      <w:r w:rsidR="00327982" w:rsidRPr="000A718E">
        <w:rPr>
          <w:rFonts w:ascii="Arial" w:hAnsi="Arial" w:cs="Arial"/>
          <w:i/>
          <w:iCs/>
          <w:color w:val="7B7B7B" w:themeColor="accent3" w:themeShade="BF"/>
          <w:sz w:val="22"/>
          <w:szCs w:val="22"/>
        </w:rPr>
        <w:t>…</w:t>
      </w:r>
      <w:r w:rsidR="0035532E" w:rsidRPr="000A718E">
        <w:rPr>
          <w:rFonts w:ascii="Arial" w:hAnsi="Arial" w:cs="Arial"/>
          <w:i/>
          <w:iCs/>
          <w:color w:val="7B7B7B" w:themeColor="accent3" w:themeShade="BF"/>
          <w:sz w:val="22"/>
          <w:szCs w:val="22"/>
        </w:rPr>
        <w:t xml:space="preserve">for orders in aid, </w:t>
      </w:r>
      <w:r w:rsidR="0035532E" w:rsidRPr="000A718E">
        <w:rPr>
          <w:rFonts w:ascii="Arial" w:hAnsi="Arial" w:cs="Arial"/>
          <w:i/>
          <w:iCs/>
          <w:color w:val="7B7B7B" w:themeColor="accent3" w:themeShade="BF"/>
          <w:sz w:val="22"/>
          <w:szCs w:val="22"/>
          <w:u w:val="single"/>
        </w:rPr>
        <w:t>but without conferring status</w:t>
      </w:r>
      <w:r w:rsidR="0035532E" w:rsidRPr="00327982">
        <w:rPr>
          <w:rFonts w:ascii="Arial" w:hAnsi="Arial" w:cs="Arial"/>
          <w:color w:val="7B7B7B" w:themeColor="accent3" w:themeShade="BF"/>
          <w:sz w:val="22"/>
          <w:szCs w:val="22"/>
        </w:rPr>
        <w:t>.</w:t>
      </w:r>
      <w:r w:rsidR="000A718E">
        <w:rPr>
          <w:rFonts w:ascii="Arial" w:hAnsi="Arial" w:cs="Arial"/>
          <w:color w:val="7B7B7B" w:themeColor="accent3" w:themeShade="BF"/>
          <w:sz w:val="22"/>
          <w:szCs w:val="22"/>
        </w:rPr>
        <w:t xml:space="preserve"> [emphasis added]</w:t>
      </w:r>
      <w:r w:rsidR="0035532E" w:rsidRPr="00327982">
        <w:rPr>
          <w:rFonts w:ascii="Arial" w:hAnsi="Arial" w:cs="Arial"/>
          <w:color w:val="7B7B7B" w:themeColor="accent3" w:themeShade="BF"/>
          <w:sz w:val="22"/>
          <w:szCs w:val="22"/>
        </w:rPr>
        <w:t>”</w:t>
      </w:r>
      <w:r w:rsidR="0035532E" w:rsidRPr="00327982">
        <w:rPr>
          <w:rStyle w:val="FootnoteReference"/>
          <w:rFonts w:ascii="Arial" w:hAnsi="Arial" w:cs="Arial"/>
          <w:color w:val="7B7B7B" w:themeColor="accent3" w:themeShade="BF"/>
          <w:sz w:val="22"/>
          <w:szCs w:val="22"/>
        </w:rPr>
        <w:footnoteReference w:id="121"/>
      </w:r>
      <w:r w:rsidR="0035532E" w:rsidRPr="00327982">
        <w:rPr>
          <w:rFonts w:ascii="Arial" w:hAnsi="Arial" w:cs="Arial"/>
          <w:color w:val="7B7B7B" w:themeColor="accent3" w:themeShade="BF"/>
          <w:sz w:val="22"/>
          <w:szCs w:val="22"/>
        </w:rPr>
        <w:t xml:space="preserve"> Bannister J held that recognition was codified under Part XVIII. The concept of </w:t>
      </w:r>
      <w:proofErr w:type="spellStart"/>
      <w:r w:rsidR="0035532E" w:rsidRPr="00327982">
        <w:rPr>
          <w:rFonts w:ascii="Arial" w:hAnsi="Arial" w:cs="Arial"/>
          <w:color w:val="7B7B7B" w:themeColor="accent3" w:themeShade="BF"/>
          <w:sz w:val="22"/>
          <w:szCs w:val="22"/>
        </w:rPr>
        <w:t>recognising</w:t>
      </w:r>
      <w:proofErr w:type="spellEnd"/>
      <w:r w:rsidR="0035532E" w:rsidRPr="00327982">
        <w:rPr>
          <w:rFonts w:ascii="Arial" w:hAnsi="Arial" w:cs="Arial"/>
          <w:color w:val="7B7B7B" w:themeColor="accent3" w:themeShade="BF"/>
          <w:sz w:val="22"/>
          <w:szCs w:val="22"/>
        </w:rPr>
        <w:t xml:space="preserve"> an individual foreign representative was absent from Part XIX which meant that the consequences of making such a recognition order would be uncertain. The legislation currently in force did not envisage or empower the court to confer status in the BVI.</w:t>
      </w:r>
      <w:r w:rsidR="0035532E" w:rsidRPr="00327982">
        <w:rPr>
          <w:rStyle w:val="FootnoteReference"/>
          <w:rFonts w:ascii="Arial" w:hAnsi="Arial" w:cs="Arial"/>
          <w:color w:val="7B7B7B" w:themeColor="accent3" w:themeShade="BF"/>
          <w:sz w:val="22"/>
          <w:szCs w:val="22"/>
        </w:rPr>
        <w:footnoteReference w:id="122"/>
      </w:r>
      <w:r w:rsidR="00681993" w:rsidRPr="00327982">
        <w:rPr>
          <w:rFonts w:ascii="Arial" w:hAnsi="Arial" w:cs="Arial"/>
          <w:color w:val="7B7B7B" w:themeColor="accent3" w:themeShade="BF"/>
          <w:sz w:val="22"/>
          <w:szCs w:val="22"/>
        </w:rPr>
        <w:t xml:space="preserve"> For the court to confer authority on an applicant, the source of that authority had to be identified and the nature and extent of that power had to be strictly delimited.</w:t>
      </w:r>
      <w:r w:rsidR="00681993" w:rsidRPr="00327982">
        <w:rPr>
          <w:rStyle w:val="FootnoteReference"/>
          <w:rFonts w:ascii="Arial" w:hAnsi="Arial" w:cs="Arial"/>
          <w:color w:val="7B7B7B" w:themeColor="accent3" w:themeShade="BF"/>
          <w:sz w:val="22"/>
          <w:szCs w:val="22"/>
        </w:rPr>
        <w:footnoteReference w:id="123"/>
      </w:r>
    </w:p>
    <w:p w14:paraId="1624EBCB" w14:textId="77777777" w:rsidR="00F87A43" w:rsidRPr="00327982" w:rsidRDefault="00F87A43" w:rsidP="00B57529">
      <w:pPr>
        <w:jc w:val="both"/>
        <w:rPr>
          <w:rFonts w:ascii="Arial" w:hAnsi="Arial" w:cs="Arial"/>
          <w:color w:val="7B7B7B" w:themeColor="accent3" w:themeShade="BF"/>
          <w:sz w:val="22"/>
          <w:szCs w:val="22"/>
          <w:lang w:val="en-GB"/>
        </w:rPr>
      </w:pPr>
    </w:p>
    <w:p w14:paraId="4CEE4AEF" w14:textId="050B027B" w:rsidR="00F87A43" w:rsidRPr="00327982" w:rsidRDefault="008F5A07" w:rsidP="008F5A07">
      <w:pPr>
        <w:jc w:val="both"/>
        <w:rPr>
          <w:rFonts w:ascii="Arial" w:hAnsi="Arial" w:cs="Arial"/>
          <w:i/>
          <w:iCs/>
          <w:color w:val="7B7B7B" w:themeColor="accent3" w:themeShade="BF"/>
          <w:sz w:val="22"/>
          <w:szCs w:val="22"/>
          <w:lang w:val="en-GB"/>
        </w:rPr>
      </w:pPr>
      <w:r w:rsidRPr="00327982">
        <w:rPr>
          <w:rFonts w:ascii="Arial" w:hAnsi="Arial" w:cs="Arial"/>
          <w:color w:val="7B7B7B" w:themeColor="accent3" w:themeShade="BF"/>
          <w:sz w:val="22"/>
          <w:szCs w:val="22"/>
          <w:lang w:val="en-GB"/>
        </w:rPr>
        <w:t xml:space="preserve">Further, in </w:t>
      </w:r>
      <w:r w:rsidRPr="00327982">
        <w:rPr>
          <w:rFonts w:ascii="Arial" w:hAnsi="Arial" w:cs="Arial"/>
          <w:i/>
          <w:iCs/>
          <w:color w:val="7B7B7B" w:themeColor="accent3" w:themeShade="BF"/>
          <w:sz w:val="22"/>
          <w:szCs w:val="22"/>
          <w:lang w:val="en-GB"/>
        </w:rPr>
        <w:t>C (a bankrupt)</w:t>
      </w:r>
      <w:r w:rsidRPr="00327982">
        <w:rPr>
          <w:rStyle w:val="FootnoteReference"/>
          <w:rFonts w:ascii="Arial" w:hAnsi="Arial" w:cs="Arial"/>
          <w:color w:val="7B7B7B" w:themeColor="accent3" w:themeShade="BF"/>
          <w:sz w:val="22"/>
          <w:szCs w:val="22"/>
          <w:lang w:val="en-GB"/>
        </w:rPr>
        <w:footnoteReference w:id="124"/>
      </w:r>
      <w:r w:rsidRPr="00327982">
        <w:rPr>
          <w:rFonts w:ascii="Arial" w:hAnsi="Arial" w:cs="Arial"/>
          <w:color w:val="7B7B7B" w:themeColor="accent3" w:themeShade="BF"/>
          <w:sz w:val="22"/>
          <w:szCs w:val="22"/>
          <w:lang w:val="en-GB"/>
        </w:rPr>
        <w:t>, the Hong Kong trustees in bankruptcy applied for recognition at common law of the bankruptcy proceedings and their standing as trustees.</w:t>
      </w:r>
      <w:r w:rsidRPr="00327982">
        <w:rPr>
          <w:rStyle w:val="FootnoteReference"/>
          <w:rFonts w:ascii="Arial" w:hAnsi="Arial" w:cs="Arial"/>
          <w:color w:val="7B7B7B" w:themeColor="accent3" w:themeShade="BF"/>
          <w:sz w:val="22"/>
          <w:szCs w:val="22"/>
          <w:lang w:val="en-GB"/>
        </w:rPr>
        <w:footnoteReference w:id="125"/>
      </w:r>
      <w:r w:rsidRPr="00327982">
        <w:rPr>
          <w:rFonts w:ascii="Arial" w:hAnsi="Arial" w:cs="Arial"/>
          <w:color w:val="7B7B7B" w:themeColor="accent3" w:themeShade="BF"/>
          <w:sz w:val="22"/>
          <w:szCs w:val="22"/>
          <w:lang w:val="en-GB"/>
        </w:rPr>
        <w:t xml:space="preserve"> The trustees sought, </w:t>
      </w:r>
      <w:r w:rsidRPr="00327982">
        <w:rPr>
          <w:rFonts w:ascii="Arial" w:hAnsi="Arial" w:cs="Arial"/>
          <w:i/>
          <w:iCs/>
          <w:color w:val="7B7B7B" w:themeColor="accent3" w:themeShade="BF"/>
          <w:sz w:val="22"/>
          <w:szCs w:val="22"/>
          <w:lang w:val="en-GB"/>
        </w:rPr>
        <w:t>inter alia</w:t>
      </w:r>
      <w:r w:rsidRPr="00327982">
        <w:rPr>
          <w:rFonts w:ascii="Arial" w:hAnsi="Arial" w:cs="Arial"/>
          <w:color w:val="7B7B7B" w:themeColor="accent3" w:themeShade="BF"/>
          <w:sz w:val="22"/>
          <w:szCs w:val="22"/>
          <w:lang w:val="en-GB"/>
        </w:rPr>
        <w:t xml:space="preserve">, that they be granted the powers that they would have had had they been appointed under the </w:t>
      </w:r>
      <w:r w:rsidR="005A1557">
        <w:rPr>
          <w:rFonts w:ascii="Arial" w:hAnsi="Arial" w:cs="Arial"/>
          <w:color w:val="7B7B7B" w:themeColor="accent3" w:themeShade="BF"/>
          <w:sz w:val="22"/>
          <w:szCs w:val="22"/>
          <w:lang w:val="en-GB"/>
        </w:rPr>
        <w:t>Insolvency</w:t>
      </w:r>
      <w:r w:rsidRPr="00327982">
        <w:rPr>
          <w:rFonts w:ascii="Arial" w:hAnsi="Arial" w:cs="Arial"/>
          <w:color w:val="7B7B7B" w:themeColor="accent3" w:themeShade="BF"/>
          <w:sz w:val="22"/>
          <w:szCs w:val="22"/>
          <w:lang w:val="en-GB"/>
        </w:rPr>
        <w:t xml:space="preserve"> Act. Bannister J rejected the proposition that a foreign insolvency practitioner would be granted by the BVI court the same rights and powers of an officeholder appointed under the </w:t>
      </w:r>
      <w:r w:rsidR="005A1557">
        <w:rPr>
          <w:rFonts w:ascii="Arial" w:hAnsi="Arial" w:cs="Arial"/>
          <w:color w:val="7B7B7B" w:themeColor="accent3" w:themeShade="BF"/>
          <w:sz w:val="22"/>
          <w:szCs w:val="22"/>
          <w:lang w:val="en-GB"/>
        </w:rPr>
        <w:t>Insolvency</w:t>
      </w:r>
      <w:r w:rsidRPr="00327982">
        <w:rPr>
          <w:rFonts w:ascii="Arial" w:hAnsi="Arial" w:cs="Arial"/>
          <w:color w:val="7B7B7B" w:themeColor="accent3" w:themeShade="BF"/>
          <w:sz w:val="22"/>
          <w:szCs w:val="22"/>
          <w:lang w:val="en-GB"/>
        </w:rPr>
        <w:t xml:space="preserve"> Act by virtue of nothing more than recognition.</w:t>
      </w:r>
      <w:r w:rsidRPr="00327982">
        <w:rPr>
          <w:rStyle w:val="FootnoteReference"/>
          <w:rFonts w:ascii="Arial" w:hAnsi="Arial" w:cs="Arial"/>
          <w:color w:val="7B7B7B" w:themeColor="accent3" w:themeShade="BF"/>
          <w:sz w:val="22"/>
          <w:szCs w:val="22"/>
          <w:lang w:val="en-GB"/>
        </w:rPr>
        <w:footnoteReference w:id="126"/>
      </w:r>
      <w:r w:rsidRPr="00327982">
        <w:rPr>
          <w:rFonts w:ascii="Arial" w:hAnsi="Arial" w:cs="Arial"/>
          <w:color w:val="7B7B7B" w:themeColor="accent3" w:themeShade="BF"/>
          <w:sz w:val="22"/>
          <w:szCs w:val="22"/>
          <w:lang w:val="en-GB"/>
        </w:rPr>
        <w:t xml:space="preserve"> The court “</w:t>
      </w:r>
      <w:r w:rsidRPr="00327982">
        <w:rPr>
          <w:rFonts w:ascii="Arial" w:hAnsi="Arial" w:cs="Arial"/>
          <w:i/>
          <w:iCs/>
          <w:color w:val="7B7B7B" w:themeColor="accent3" w:themeShade="BF"/>
          <w:sz w:val="22"/>
          <w:szCs w:val="22"/>
          <w:lang w:val="en-GB"/>
        </w:rPr>
        <w:t>had no jurisdiction to confer upon a stranger powers which a statute confers only upon</w:t>
      </w:r>
      <w:r w:rsidR="00327982" w:rsidRPr="00327982">
        <w:rPr>
          <w:rFonts w:ascii="Arial" w:hAnsi="Arial" w:cs="Arial"/>
          <w:i/>
          <w:iCs/>
          <w:color w:val="7B7B7B" w:themeColor="accent3" w:themeShade="BF"/>
          <w:sz w:val="22"/>
          <w:szCs w:val="22"/>
          <w:lang w:val="en-GB"/>
        </w:rPr>
        <w:t xml:space="preserve"> </w:t>
      </w:r>
      <w:r w:rsidRPr="00327982">
        <w:rPr>
          <w:rFonts w:ascii="Arial" w:hAnsi="Arial" w:cs="Arial"/>
          <w:i/>
          <w:iCs/>
          <w:color w:val="7B7B7B" w:themeColor="accent3" w:themeShade="BF"/>
          <w:sz w:val="22"/>
          <w:szCs w:val="22"/>
          <w:lang w:val="en-GB"/>
        </w:rPr>
        <w:t>individuals accepting specified appointments under the statute</w:t>
      </w:r>
      <w:r w:rsidRPr="00327982">
        <w:rPr>
          <w:rFonts w:ascii="Arial" w:hAnsi="Arial" w:cs="Arial"/>
          <w:color w:val="7B7B7B" w:themeColor="accent3" w:themeShade="BF"/>
          <w:sz w:val="22"/>
          <w:szCs w:val="22"/>
          <w:lang w:val="en-GB"/>
        </w:rPr>
        <w:t>”.</w:t>
      </w:r>
      <w:r w:rsidRPr="00327982">
        <w:rPr>
          <w:rStyle w:val="FootnoteReference"/>
          <w:rFonts w:ascii="Arial" w:hAnsi="Arial" w:cs="Arial"/>
          <w:color w:val="7B7B7B" w:themeColor="accent3" w:themeShade="BF"/>
          <w:sz w:val="22"/>
          <w:szCs w:val="22"/>
          <w:lang w:val="en-GB"/>
        </w:rPr>
        <w:footnoteReference w:id="127"/>
      </w:r>
    </w:p>
    <w:p w14:paraId="0F3009E6" w14:textId="77777777" w:rsidR="008F5A07" w:rsidRPr="00327982" w:rsidRDefault="008F5A07" w:rsidP="00B57529">
      <w:pPr>
        <w:jc w:val="both"/>
        <w:rPr>
          <w:rFonts w:ascii="Arial" w:hAnsi="Arial" w:cs="Arial"/>
          <w:color w:val="7B7B7B" w:themeColor="accent3" w:themeShade="BF"/>
          <w:sz w:val="22"/>
          <w:szCs w:val="22"/>
          <w:lang w:val="en-GB"/>
        </w:rPr>
      </w:pPr>
    </w:p>
    <w:p w14:paraId="544C95BB" w14:textId="575AD717" w:rsidR="00B57529" w:rsidRPr="00327982" w:rsidRDefault="008D010A" w:rsidP="00B57529">
      <w:pPr>
        <w:jc w:val="both"/>
        <w:rPr>
          <w:rFonts w:ascii="Arial" w:hAnsi="Arial" w:cs="Arial"/>
          <w:b/>
          <w:bCs/>
          <w:color w:val="7B7B7B" w:themeColor="accent3" w:themeShade="BF"/>
          <w:sz w:val="22"/>
          <w:szCs w:val="22"/>
          <w:u w:val="single"/>
          <w:lang w:val="en-GB"/>
        </w:rPr>
      </w:pPr>
      <w:r w:rsidRPr="00327982">
        <w:rPr>
          <w:rFonts w:ascii="Arial" w:hAnsi="Arial" w:cs="Arial"/>
          <w:b/>
          <w:bCs/>
          <w:color w:val="7B7B7B" w:themeColor="accent3" w:themeShade="BF"/>
          <w:sz w:val="22"/>
          <w:szCs w:val="22"/>
          <w:u w:val="single"/>
          <w:lang w:val="en-GB"/>
        </w:rPr>
        <w:t>Conclusion</w:t>
      </w:r>
    </w:p>
    <w:p w14:paraId="088D13C3" w14:textId="531EA935" w:rsidR="005B7A2D" w:rsidRPr="00327982" w:rsidRDefault="000A718E"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8D010A" w:rsidRPr="00327982">
        <w:rPr>
          <w:rFonts w:ascii="Arial" w:hAnsi="Arial" w:cs="Arial"/>
          <w:color w:val="7B7B7B" w:themeColor="accent3" w:themeShade="BF"/>
          <w:sz w:val="22"/>
          <w:szCs w:val="22"/>
          <w:lang w:val="en-GB"/>
        </w:rPr>
        <w:t>he BVI court has a range of powers to assist in foreign proceedings. The type of assistance granted by the BVI court will depend on the facts of each specific application.</w:t>
      </w:r>
      <w:r>
        <w:rPr>
          <w:rFonts w:ascii="Arial" w:hAnsi="Arial" w:cs="Arial"/>
          <w:color w:val="7B7B7B" w:themeColor="accent3" w:themeShade="BF"/>
          <w:sz w:val="22"/>
          <w:szCs w:val="22"/>
          <w:lang w:val="en-GB"/>
        </w:rPr>
        <w:t xml:space="preserve"> As shown in the case law above, one order that the BVI court cannot grant is the recognition of a foreign insolvency practitioner’s status under Part XIX.</w:t>
      </w:r>
    </w:p>
    <w:p w14:paraId="5D79B52D" w14:textId="423F1FA2" w:rsidR="00802DB8" w:rsidRPr="00167872" w:rsidRDefault="00802DB8" w:rsidP="000A718E">
      <w:pPr>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lastRenderedPageBreak/>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75FCAE48" w14:textId="6FD251C3" w:rsidR="005123BC" w:rsidRPr="00C75A2D" w:rsidRDefault="005123BC" w:rsidP="005123BC">
      <w:pPr>
        <w:jc w:val="both"/>
        <w:rPr>
          <w:rFonts w:ascii="Avenir Next" w:hAnsi="Avenir Next" w:cs="Arial"/>
          <w:sz w:val="22"/>
          <w:szCs w:val="22"/>
          <w:lang w:val="en-GB"/>
        </w:rPr>
      </w:pPr>
      <w:r w:rsidRPr="00C75A2D">
        <w:rPr>
          <w:rFonts w:ascii="Avenir Next" w:hAnsi="Avenir Next" w:cs="Arial"/>
          <w:sz w:val="22"/>
          <w:szCs w:val="22"/>
          <w:lang w:val="en-GB"/>
        </w:rPr>
        <w:t>What is a scheme of arrangement under the Insolvency Act 2003?  When can such an application be made to the Court, by whom and what are the requisites</w:t>
      </w:r>
      <w:r w:rsidR="00C75A2D" w:rsidRPr="00C75A2D">
        <w:rPr>
          <w:rFonts w:ascii="Avenir Next" w:hAnsi="Avenir Next" w:cs="Arial"/>
          <w:sz w:val="22"/>
          <w:szCs w:val="22"/>
          <w:lang w:val="en-GB"/>
        </w:rPr>
        <w:t xml:space="preserve"> </w:t>
      </w:r>
      <w:r w:rsidRPr="00C75A2D">
        <w:rPr>
          <w:rFonts w:ascii="Avenir Next" w:hAnsi="Avenir Next" w:cs="Arial"/>
          <w:sz w:val="22"/>
          <w:szCs w:val="22"/>
          <w:lang w:val="en-GB"/>
        </w:rPr>
        <w:t xml:space="preserve">for it </w:t>
      </w:r>
      <w:r w:rsidR="00C75A2D" w:rsidRPr="00C75A2D">
        <w:rPr>
          <w:rFonts w:ascii="Avenir Next" w:hAnsi="Avenir Next" w:cs="Arial"/>
          <w:sz w:val="22"/>
          <w:szCs w:val="22"/>
          <w:lang w:val="en-GB"/>
        </w:rPr>
        <w:t xml:space="preserve">to </w:t>
      </w:r>
      <w:r w:rsidRPr="00C75A2D">
        <w:rPr>
          <w:rFonts w:ascii="Avenir Next" w:hAnsi="Avenir Next" w:cs="Arial"/>
          <w:sz w:val="22"/>
          <w:szCs w:val="22"/>
          <w:lang w:val="en-GB"/>
        </w:rPr>
        <w:t>be approved?</w:t>
      </w:r>
    </w:p>
    <w:p w14:paraId="279775E9" w14:textId="77777777" w:rsidR="002124F1" w:rsidRDefault="002124F1" w:rsidP="00CB6FB3">
      <w:pPr>
        <w:jc w:val="both"/>
        <w:rPr>
          <w:rFonts w:ascii="Avenir Next" w:hAnsi="Avenir Next" w:cs="Arial"/>
          <w:color w:val="7B7B7B" w:themeColor="accent3" w:themeShade="BF"/>
          <w:sz w:val="22"/>
          <w:szCs w:val="22"/>
          <w:lang w:val="en-GB"/>
        </w:rPr>
      </w:pPr>
    </w:p>
    <w:p w14:paraId="7122C81E" w14:textId="12497209" w:rsidR="00257AA4" w:rsidRPr="00E06995" w:rsidRDefault="00257AA4" w:rsidP="00CB6FB3">
      <w:pPr>
        <w:jc w:val="both"/>
        <w:rPr>
          <w:rFonts w:ascii="Arial" w:hAnsi="Arial" w:cs="Arial"/>
          <w:i/>
          <w:iCs/>
          <w:color w:val="7B7B7B" w:themeColor="accent3" w:themeShade="BF"/>
          <w:sz w:val="22"/>
          <w:szCs w:val="22"/>
          <w:lang w:val="en-GB"/>
        </w:rPr>
      </w:pPr>
      <w:r w:rsidRPr="00E06995">
        <w:rPr>
          <w:rFonts w:ascii="Arial" w:hAnsi="Arial" w:cs="Arial"/>
          <w:i/>
          <w:iCs/>
          <w:color w:val="7B7B7B" w:themeColor="accent3" w:themeShade="BF"/>
          <w:sz w:val="22"/>
          <w:szCs w:val="22"/>
          <w:lang w:val="en-GB"/>
        </w:rPr>
        <w:t xml:space="preserve">(* </w:t>
      </w:r>
      <w:r w:rsidR="00DC182A" w:rsidRPr="00E06995">
        <w:rPr>
          <w:rFonts w:ascii="Arial" w:hAnsi="Arial" w:cs="Arial"/>
          <w:i/>
          <w:iCs/>
          <w:color w:val="7B7B7B" w:themeColor="accent3" w:themeShade="BF"/>
          <w:sz w:val="22"/>
          <w:szCs w:val="22"/>
          <w:lang w:val="en-GB"/>
        </w:rPr>
        <w:t xml:space="preserve">As per </w:t>
      </w:r>
      <w:proofErr w:type="spellStart"/>
      <w:r w:rsidR="00DC182A" w:rsidRPr="00E06995">
        <w:rPr>
          <w:rFonts w:ascii="Arial" w:hAnsi="Arial" w:cs="Arial"/>
          <w:i/>
          <w:iCs/>
          <w:color w:val="7B7B7B" w:themeColor="accent3" w:themeShade="BF"/>
          <w:sz w:val="22"/>
          <w:szCs w:val="22"/>
          <w:lang w:val="en-GB"/>
        </w:rPr>
        <w:t>Sanrie</w:t>
      </w:r>
      <w:proofErr w:type="spellEnd"/>
      <w:r w:rsidR="00DC182A" w:rsidRPr="00E06995">
        <w:rPr>
          <w:rFonts w:ascii="Arial" w:hAnsi="Arial" w:cs="Arial"/>
          <w:i/>
          <w:iCs/>
          <w:color w:val="7B7B7B" w:themeColor="accent3" w:themeShade="BF"/>
          <w:sz w:val="22"/>
          <w:szCs w:val="22"/>
          <w:lang w:val="en-GB"/>
        </w:rPr>
        <w:t xml:space="preserve"> Lawrenson’s email dated 7 May 2024, t</w:t>
      </w:r>
      <w:r w:rsidRPr="00E06995">
        <w:rPr>
          <w:rFonts w:ascii="Arial" w:hAnsi="Arial" w:cs="Arial"/>
          <w:i/>
          <w:iCs/>
          <w:color w:val="7B7B7B" w:themeColor="accent3" w:themeShade="BF"/>
          <w:sz w:val="22"/>
          <w:szCs w:val="22"/>
          <w:lang w:val="en-GB"/>
        </w:rPr>
        <w:t xml:space="preserve">he answer to </w:t>
      </w:r>
      <w:r w:rsidR="00A85888" w:rsidRPr="00E06995">
        <w:rPr>
          <w:rFonts w:ascii="Arial" w:hAnsi="Arial" w:cs="Arial"/>
          <w:i/>
          <w:iCs/>
          <w:color w:val="7B7B7B" w:themeColor="accent3" w:themeShade="BF"/>
          <w:sz w:val="22"/>
          <w:szCs w:val="22"/>
          <w:lang w:val="en-GB"/>
        </w:rPr>
        <w:t>Question 3.3</w:t>
      </w:r>
      <w:r w:rsidRPr="00E06995">
        <w:rPr>
          <w:rFonts w:ascii="Arial" w:hAnsi="Arial" w:cs="Arial"/>
          <w:i/>
          <w:iCs/>
          <w:color w:val="7B7B7B" w:themeColor="accent3" w:themeShade="BF"/>
          <w:sz w:val="22"/>
          <w:szCs w:val="22"/>
          <w:lang w:val="en-GB"/>
        </w:rPr>
        <w:t xml:space="preserve"> refers to the BVI Business Companies Act 2004, and not the Insolvency Act 2003)</w:t>
      </w:r>
    </w:p>
    <w:p w14:paraId="72AF7F3C" w14:textId="77777777" w:rsidR="00A85888" w:rsidRPr="00E06995" w:rsidRDefault="00A85888" w:rsidP="00CB6FB3">
      <w:pPr>
        <w:jc w:val="both"/>
        <w:rPr>
          <w:rFonts w:ascii="Arial" w:hAnsi="Arial" w:cs="Arial"/>
          <w:color w:val="7B7B7B" w:themeColor="accent3" w:themeShade="BF"/>
          <w:sz w:val="22"/>
          <w:szCs w:val="22"/>
          <w:lang w:val="en-GB"/>
        </w:rPr>
      </w:pPr>
    </w:p>
    <w:p w14:paraId="6474BD99" w14:textId="12311981" w:rsidR="00CB6FB3" w:rsidRPr="00E06995" w:rsidRDefault="00CB6FB3" w:rsidP="00BD0DA6">
      <w:pPr>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In the B</w:t>
      </w:r>
      <w:r w:rsidR="005354A4" w:rsidRPr="00E06995">
        <w:rPr>
          <w:rFonts w:ascii="Arial" w:hAnsi="Arial" w:cs="Arial"/>
          <w:color w:val="7B7B7B" w:themeColor="accent3" w:themeShade="BF"/>
          <w:sz w:val="22"/>
          <w:szCs w:val="22"/>
          <w:lang w:val="en-HK"/>
        </w:rPr>
        <w:t>ritish Virgin Islands (“</w:t>
      </w:r>
      <w:r w:rsidR="005354A4" w:rsidRPr="00E06995">
        <w:rPr>
          <w:rFonts w:ascii="Arial" w:hAnsi="Arial" w:cs="Arial"/>
          <w:b/>
          <w:bCs/>
          <w:color w:val="7B7B7B" w:themeColor="accent3" w:themeShade="BF"/>
          <w:sz w:val="22"/>
          <w:szCs w:val="22"/>
          <w:lang w:val="en-HK"/>
        </w:rPr>
        <w:t>BVI</w:t>
      </w:r>
      <w:r w:rsidR="005354A4" w:rsidRPr="00E06995">
        <w:rPr>
          <w:rFonts w:ascii="Arial" w:hAnsi="Arial" w:cs="Arial"/>
          <w:color w:val="7B7B7B" w:themeColor="accent3" w:themeShade="BF"/>
          <w:sz w:val="22"/>
          <w:szCs w:val="22"/>
          <w:lang w:val="en-HK"/>
        </w:rPr>
        <w:t>”)</w:t>
      </w:r>
      <w:r w:rsidRPr="00E06995">
        <w:rPr>
          <w:rFonts w:ascii="Arial" w:hAnsi="Arial" w:cs="Arial"/>
          <w:color w:val="7B7B7B" w:themeColor="accent3" w:themeShade="BF"/>
          <w:sz w:val="22"/>
          <w:szCs w:val="22"/>
          <w:lang w:val="en-HK"/>
        </w:rPr>
        <w:t>, there are three main ways that a company can restructure or reorganise</w:t>
      </w:r>
      <w:r w:rsidRPr="00E06995">
        <w:rPr>
          <w:rFonts w:ascii="Arial" w:hAnsi="Arial" w:cs="Arial"/>
          <w:color w:val="7B7B7B" w:themeColor="accent3" w:themeShade="BF"/>
          <w:sz w:val="22"/>
          <w:szCs w:val="22"/>
          <w:vertAlign w:val="superscript"/>
          <w:lang w:val="en-HK"/>
        </w:rPr>
        <w:footnoteReference w:id="128"/>
      </w:r>
      <w:r w:rsidRPr="00E06995">
        <w:rPr>
          <w:rFonts w:ascii="Arial" w:hAnsi="Arial" w:cs="Arial"/>
          <w:color w:val="7B7B7B" w:themeColor="accent3" w:themeShade="BF"/>
          <w:sz w:val="22"/>
          <w:szCs w:val="22"/>
          <w:lang w:val="en-HK"/>
        </w:rPr>
        <w:t>. These are via a:</w:t>
      </w:r>
    </w:p>
    <w:p w14:paraId="6D9A87B9" w14:textId="475C62A2" w:rsidR="00CB6FB3" w:rsidRPr="00E06995" w:rsidRDefault="00CB6FB3">
      <w:pPr>
        <w:numPr>
          <w:ilvl w:val="0"/>
          <w:numId w:val="19"/>
        </w:numPr>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 xml:space="preserve">plan of arrangement </w:t>
      </w:r>
      <w:r w:rsidR="00A97747" w:rsidRPr="00E06995">
        <w:rPr>
          <w:rFonts w:ascii="Arial" w:hAnsi="Arial" w:cs="Arial"/>
          <w:color w:val="7B7B7B" w:themeColor="accent3" w:themeShade="BF"/>
          <w:sz w:val="22"/>
          <w:szCs w:val="22"/>
          <w:lang w:val="en-HK"/>
        </w:rPr>
        <w:t xml:space="preserve">- </w:t>
      </w:r>
      <w:r w:rsidRPr="00E06995">
        <w:rPr>
          <w:rFonts w:ascii="Arial" w:hAnsi="Arial" w:cs="Arial"/>
          <w:color w:val="7B7B7B" w:themeColor="accent3" w:themeShade="BF"/>
          <w:sz w:val="22"/>
          <w:szCs w:val="22"/>
          <w:lang w:val="en-HK"/>
        </w:rPr>
        <w:t>governed by the BVI Business Companies Act</w:t>
      </w:r>
      <w:r w:rsidR="00257AA4" w:rsidRPr="00E06995">
        <w:rPr>
          <w:rFonts w:ascii="Arial" w:hAnsi="Arial" w:cs="Arial"/>
          <w:color w:val="7B7B7B" w:themeColor="accent3" w:themeShade="BF"/>
          <w:sz w:val="22"/>
          <w:szCs w:val="22"/>
          <w:lang w:val="en-HK"/>
        </w:rPr>
        <w:t xml:space="preserve"> 2004 (as amended)</w:t>
      </w:r>
      <w:r w:rsidRPr="00E06995">
        <w:rPr>
          <w:rFonts w:ascii="Arial" w:hAnsi="Arial" w:cs="Arial"/>
          <w:color w:val="7B7B7B" w:themeColor="accent3" w:themeShade="BF"/>
          <w:sz w:val="22"/>
          <w:szCs w:val="22"/>
          <w:lang w:val="en-HK"/>
        </w:rPr>
        <w:t xml:space="preserve"> (“</w:t>
      </w:r>
      <w:r w:rsidRPr="00E06995">
        <w:rPr>
          <w:rFonts w:ascii="Arial" w:hAnsi="Arial" w:cs="Arial"/>
          <w:b/>
          <w:bCs/>
          <w:color w:val="7B7B7B" w:themeColor="accent3" w:themeShade="BF"/>
          <w:sz w:val="22"/>
          <w:szCs w:val="22"/>
          <w:lang w:val="en-HK"/>
        </w:rPr>
        <w:t>BCA</w:t>
      </w:r>
      <w:r w:rsidRPr="00E06995">
        <w:rPr>
          <w:rFonts w:ascii="Arial" w:hAnsi="Arial" w:cs="Arial"/>
          <w:color w:val="7B7B7B" w:themeColor="accent3" w:themeShade="BF"/>
          <w:sz w:val="22"/>
          <w:szCs w:val="22"/>
          <w:lang w:val="en-HK"/>
        </w:rPr>
        <w:t>”);</w:t>
      </w:r>
    </w:p>
    <w:p w14:paraId="5C55A8AF" w14:textId="24B31B75" w:rsidR="00CB6FB3" w:rsidRPr="00E06995" w:rsidRDefault="00CB6FB3">
      <w:pPr>
        <w:numPr>
          <w:ilvl w:val="0"/>
          <w:numId w:val="19"/>
        </w:numPr>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scheme</w:t>
      </w:r>
      <w:r w:rsidR="00676EC8" w:rsidRPr="00E06995">
        <w:rPr>
          <w:rFonts w:ascii="Arial" w:hAnsi="Arial" w:cs="Arial"/>
          <w:color w:val="7B7B7B" w:themeColor="accent3" w:themeShade="BF"/>
          <w:sz w:val="22"/>
          <w:szCs w:val="22"/>
          <w:lang w:val="en-HK"/>
        </w:rPr>
        <w:t>s</w:t>
      </w:r>
      <w:r w:rsidRPr="00E06995">
        <w:rPr>
          <w:rFonts w:ascii="Arial" w:hAnsi="Arial" w:cs="Arial"/>
          <w:color w:val="7B7B7B" w:themeColor="accent3" w:themeShade="BF"/>
          <w:sz w:val="22"/>
          <w:szCs w:val="22"/>
          <w:lang w:val="en-HK"/>
        </w:rPr>
        <w:t xml:space="preserve"> of arrangement </w:t>
      </w:r>
      <w:r w:rsidR="00D73EF4" w:rsidRPr="00E06995">
        <w:rPr>
          <w:rFonts w:ascii="Arial" w:hAnsi="Arial" w:cs="Arial"/>
          <w:color w:val="7B7B7B" w:themeColor="accent3" w:themeShade="BF"/>
          <w:sz w:val="22"/>
          <w:szCs w:val="22"/>
          <w:lang w:val="en-HK"/>
        </w:rPr>
        <w:t>–</w:t>
      </w:r>
      <w:r w:rsidR="00A97747" w:rsidRPr="00E06995">
        <w:rPr>
          <w:rFonts w:ascii="Arial" w:hAnsi="Arial" w:cs="Arial"/>
          <w:color w:val="7B7B7B" w:themeColor="accent3" w:themeShade="BF"/>
          <w:sz w:val="22"/>
          <w:szCs w:val="22"/>
          <w:lang w:val="en-HK"/>
        </w:rPr>
        <w:t xml:space="preserve"> </w:t>
      </w:r>
      <w:r w:rsidR="00D73EF4" w:rsidRPr="00E06995">
        <w:rPr>
          <w:rFonts w:ascii="Arial" w:hAnsi="Arial" w:cs="Arial"/>
          <w:color w:val="7B7B7B" w:themeColor="accent3" w:themeShade="BF"/>
          <w:sz w:val="22"/>
          <w:szCs w:val="22"/>
          <w:lang w:val="en-HK"/>
        </w:rPr>
        <w:t xml:space="preserve">also </w:t>
      </w:r>
      <w:r w:rsidRPr="00E06995">
        <w:rPr>
          <w:rFonts w:ascii="Arial" w:hAnsi="Arial" w:cs="Arial"/>
          <w:color w:val="7B7B7B" w:themeColor="accent3" w:themeShade="BF"/>
          <w:sz w:val="22"/>
          <w:szCs w:val="22"/>
          <w:lang w:val="en-HK"/>
        </w:rPr>
        <w:t>governed by the BCA; and</w:t>
      </w:r>
    </w:p>
    <w:p w14:paraId="5D3531BE" w14:textId="603294C9" w:rsidR="00CB6FB3" w:rsidRPr="00E06995" w:rsidRDefault="00CB6FB3">
      <w:pPr>
        <w:numPr>
          <w:ilvl w:val="0"/>
          <w:numId w:val="19"/>
        </w:numPr>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 xml:space="preserve">creditors’ arrangement </w:t>
      </w:r>
      <w:r w:rsidR="00A97747" w:rsidRPr="00E06995">
        <w:rPr>
          <w:rFonts w:ascii="Arial" w:hAnsi="Arial" w:cs="Arial"/>
          <w:color w:val="7B7B7B" w:themeColor="accent3" w:themeShade="BF"/>
          <w:sz w:val="22"/>
          <w:szCs w:val="22"/>
          <w:lang w:val="en-HK"/>
        </w:rPr>
        <w:t xml:space="preserve">- </w:t>
      </w:r>
      <w:r w:rsidRPr="00E06995">
        <w:rPr>
          <w:rFonts w:ascii="Arial" w:hAnsi="Arial" w:cs="Arial"/>
          <w:color w:val="7B7B7B" w:themeColor="accent3" w:themeShade="BF"/>
          <w:sz w:val="22"/>
          <w:szCs w:val="22"/>
          <w:lang w:val="en-HK"/>
        </w:rPr>
        <w:t>governed by the Insolvency Act</w:t>
      </w:r>
      <w:r w:rsidR="00257AA4" w:rsidRPr="00E06995">
        <w:rPr>
          <w:rFonts w:ascii="Arial" w:hAnsi="Arial" w:cs="Arial"/>
          <w:color w:val="7B7B7B" w:themeColor="accent3" w:themeShade="BF"/>
          <w:sz w:val="22"/>
          <w:szCs w:val="22"/>
          <w:lang w:val="en-HK"/>
        </w:rPr>
        <w:t xml:space="preserve"> 20</w:t>
      </w:r>
      <w:r w:rsidR="00A97747" w:rsidRPr="00E06995">
        <w:rPr>
          <w:rFonts w:ascii="Arial" w:hAnsi="Arial" w:cs="Arial"/>
          <w:color w:val="7B7B7B" w:themeColor="accent3" w:themeShade="BF"/>
          <w:sz w:val="22"/>
          <w:szCs w:val="22"/>
          <w:lang w:val="en-HK"/>
        </w:rPr>
        <w:t>0</w:t>
      </w:r>
      <w:r w:rsidR="00257AA4" w:rsidRPr="00E06995">
        <w:rPr>
          <w:rFonts w:ascii="Arial" w:hAnsi="Arial" w:cs="Arial"/>
          <w:color w:val="7B7B7B" w:themeColor="accent3" w:themeShade="BF"/>
          <w:sz w:val="22"/>
          <w:szCs w:val="22"/>
          <w:lang w:val="en-HK"/>
        </w:rPr>
        <w:t>3</w:t>
      </w:r>
      <w:r w:rsidR="003143FF">
        <w:rPr>
          <w:rFonts w:ascii="Arial" w:hAnsi="Arial" w:cs="Arial"/>
          <w:color w:val="7B7B7B" w:themeColor="accent3" w:themeShade="BF"/>
          <w:sz w:val="22"/>
          <w:szCs w:val="22"/>
          <w:lang w:val="en-HK"/>
        </w:rPr>
        <w:t xml:space="preserve"> (“</w:t>
      </w:r>
      <w:r w:rsidR="003143FF">
        <w:rPr>
          <w:rFonts w:ascii="Arial" w:hAnsi="Arial" w:cs="Arial"/>
          <w:b/>
          <w:bCs/>
          <w:color w:val="7B7B7B" w:themeColor="accent3" w:themeShade="BF"/>
          <w:sz w:val="22"/>
          <w:szCs w:val="22"/>
          <w:lang w:val="en-HK"/>
        </w:rPr>
        <w:t>Insolvency Act</w:t>
      </w:r>
      <w:r w:rsidR="003143FF">
        <w:rPr>
          <w:rFonts w:ascii="Arial" w:hAnsi="Arial" w:cs="Arial"/>
          <w:color w:val="7B7B7B" w:themeColor="accent3" w:themeShade="BF"/>
          <w:sz w:val="22"/>
          <w:szCs w:val="22"/>
          <w:lang w:val="en-HK"/>
        </w:rPr>
        <w:t>”)</w:t>
      </w:r>
      <w:r w:rsidRPr="00E06995">
        <w:rPr>
          <w:rFonts w:ascii="Arial" w:hAnsi="Arial" w:cs="Arial"/>
          <w:color w:val="7B7B7B" w:themeColor="accent3" w:themeShade="BF"/>
          <w:sz w:val="22"/>
          <w:szCs w:val="22"/>
          <w:lang w:val="en-HK"/>
        </w:rPr>
        <w:t>.</w:t>
      </w:r>
    </w:p>
    <w:p w14:paraId="5CC21CA4" w14:textId="77777777" w:rsidR="00CB6FB3" w:rsidRPr="00E06995" w:rsidRDefault="00CB6FB3" w:rsidP="00CB6FB3">
      <w:pPr>
        <w:ind w:left="720" w:hanging="720"/>
        <w:jc w:val="both"/>
        <w:rPr>
          <w:rFonts w:ascii="Arial" w:hAnsi="Arial" w:cs="Arial"/>
          <w:color w:val="7B7B7B" w:themeColor="accent3" w:themeShade="BF"/>
          <w:sz w:val="22"/>
          <w:szCs w:val="22"/>
          <w:lang w:val="en-HK"/>
        </w:rPr>
      </w:pPr>
    </w:p>
    <w:p w14:paraId="1DD19885" w14:textId="203A65AB" w:rsidR="00CB6FB3" w:rsidRPr="00E06995" w:rsidRDefault="00F56D2A" w:rsidP="00CB6FB3">
      <w:pPr>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This essay will discuss schemes of arrange</w:t>
      </w:r>
      <w:r w:rsidR="005354A4" w:rsidRPr="00E06995">
        <w:rPr>
          <w:rFonts w:ascii="Arial" w:hAnsi="Arial" w:cs="Arial"/>
          <w:color w:val="7B7B7B" w:themeColor="accent3" w:themeShade="BF"/>
          <w:sz w:val="22"/>
          <w:szCs w:val="22"/>
          <w:lang w:val="en-HK"/>
        </w:rPr>
        <w:t>ment</w:t>
      </w:r>
      <w:r w:rsidRPr="00E06995">
        <w:rPr>
          <w:rFonts w:ascii="Arial" w:hAnsi="Arial" w:cs="Arial"/>
          <w:color w:val="7B7B7B" w:themeColor="accent3" w:themeShade="BF"/>
          <w:sz w:val="22"/>
          <w:szCs w:val="22"/>
          <w:lang w:val="en-HK"/>
        </w:rPr>
        <w:t xml:space="preserve"> under the BCA.</w:t>
      </w:r>
    </w:p>
    <w:p w14:paraId="36CF11E1" w14:textId="77777777" w:rsidR="00C827AE" w:rsidRPr="00E06995" w:rsidRDefault="00C827AE" w:rsidP="00C827AE">
      <w:pPr>
        <w:jc w:val="both"/>
        <w:rPr>
          <w:rFonts w:ascii="Arial" w:hAnsi="Arial" w:cs="Arial"/>
          <w:color w:val="7B7B7B" w:themeColor="accent3" w:themeShade="BF"/>
          <w:sz w:val="22"/>
          <w:szCs w:val="22"/>
          <w:lang w:val="en-HK"/>
        </w:rPr>
      </w:pPr>
    </w:p>
    <w:p w14:paraId="60320A32" w14:textId="77777777" w:rsidR="00CB6FB3" w:rsidRPr="00E06995" w:rsidRDefault="00CB6FB3" w:rsidP="00CB6FB3">
      <w:pPr>
        <w:ind w:left="720" w:hanging="720"/>
        <w:jc w:val="both"/>
        <w:rPr>
          <w:rFonts w:ascii="Arial" w:hAnsi="Arial" w:cs="Arial"/>
          <w:b/>
          <w:bCs/>
          <w:color w:val="7B7B7B" w:themeColor="accent3" w:themeShade="BF"/>
          <w:sz w:val="22"/>
          <w:szCs w:val="22"/>
          <w:u w:val="single"/>
          <w:lang w:val="en-HK"/>
        </w:rPr>
      </w:pPr>
      <w:r w:rsidRPr="00E06995">
        <w:rPr>
          <w:rFonts w:ascii="Arial" w:hAnsi="Arial" w:cs="Arial"/>
          <w:b/>
          <w:bCs/>
          <w:color w:val="7B7B7B" w:themeColor="accent3" w:themeShade="BF"/>
          <w:sz w:val="22"/>
          <w:szCs w:val="22"/>
          <w:u w:val="single"/>
          <w:lang w:val="en-HK"/>
        </w:rPr>
        <w:t>Schemes of arrangement</w:t>
      </w:r>
    </w:p>
    <w:p w14:paraId="63DBC5B1" w14:textId="5FE00BA5" w:rsidR="00C827AE" w:rsidRPr="00E06995" w:rsidRDefault="00CB6FB3" w:rsidP="00BD0DA6">
      <w:pPr>
        <w:jc w:val="both"/>
        <w:rPr>
          <w:rFonts w:ascii="Arial" w:hAnsi="Arial" w:cs="Arial"/>
          <w:color w:val="7B7B7B" w:themeColor="accent3" w:themeShade="BF"/>
          <w:sz w:val="22"/>
          <w:szCs w:val="22"/>
          <w:highlight w:val="yellow"/>
          <w:lang w:val="en-HK"/>
        </w:rPr>
      </w:pPr>
      <w:r w:rsidRPr="00E06995">
        <w:rPr>
          <w:rFonts w:ascii="Arial" w:hAnsi="Arial" w:cs="Arial"/>
          <w:color w:val="7B7B7B" w:themeColor="accent3" w:themeShade="BF"/>
          <w:sz w:val="22"/>
          <w:szCs w:val="22"/>
          <w:lang w:val="en-HK"/>
        </w:rPr>
        <w:t>Schemes of arrangement are governed by section 179A of the BCA. A scheme of arrangement is a statutory mechanism that enables the “</w:t>
      </w:r>
      <w:r w:rsidRPr="00E06995">
        <w:rPr>
          <w:rFonts w:ascii="Arial" w:hAnsi="Arial" w:cs="Arial"/>
          <w:i/>
          <w:iCs/>
          <w:color w:val="7B7B7B" w:themeColor="accent3" w:themeShade="BF"/>
          <w:sz w:val="22"/>
          <w:szCs w:val="22"/>
          <w:lang w:val="en-HK"/>
        </w:rPr>
        <w:t>company to enter into a compromise or arrangement between the company and its creditors, or between the company and its shareholders</w:t>
      </w:r>
      <w:r w:rsidRPr="00E06995">
        <w:rPr>
          <w:rFonts w:ascii="Arial" w:hAnsi="Arial" w:cs="Arial"/>
          <w:color w:val="7B7B7B" w:themeColor="accent3" w:themeShade="BF"/>
          <w:sz w:val="22"/>
          <w:szCs w:val="22"/>
          <w:lang w:val="en-HK"/>
        </w:rPr>
        <w:t>.”</w:t>
      </w:r>
      <w:r w:rsidRPr="00E06995">
        <w:rPr>
          <w:rFonts w:ascii="Arial" w:hAnsi="Arial" w:cs="Arial"/>
          <w:color w:val="7B7B7B" w:themeColor="accent3" w:themeShade="BF"/>
          <w:sz w:val="22"/>
          <w:szCs w:val="22"/>
          <w:vertAlign w:val="superscript"/>
          <w:lang w:val="en-HK"/>
        </w:rPr>
        <w:footnoteReference w:id="129"/>
      </w:r>
      <w:r w:rsidRPr="00E06995">
        <w:rPr>
          <w:rFonts w:ascii="Arial" w:hAnsi="Arial" w:cs="Arial"/>
          <w:color w:val="7B7B7B" w:themeColor="accent3" w:themeShade="BF"/>
          <w:sz w:val="22"/>
          <w:szCs w:val="22"/>
          <w:lang w:val="en-HK"/>
        </w:rPr>
        <w:t xml:space="preserve"> The compromise or arrangement is proposed and the </w:t>
      </w:r>
      <w:r w:rsidR="00E72567" w:rsidRPr="00E06995">
        <w:rPr>
          <w:rFonts w:ascii="Arial" w:hAnsi="Arial" w:cs="Arial"/>
          <w:color w:val="7B7B7B" w:themeColor="accent3" w:themeShade="BF"/>
          <w:sz w:val="22"/>
          <w:szCs w:val="22"/>
          <w:lang w:val="en-HK"/>
        </w:rPr>
        <w:t>c</w:t>
      </w:r>
      <w:r w:rsidRPr="00E06995">
        <w:rPr>
          <w:rFonts w:ascii="Arial" w:hAnsi="Arial" w:cs="Arial"/>
          <w:color w:val="7B7B7B" w:themeColor="accent3" w:themeShade="BF"/>
          <w:sz w:val="22"/>
          <w:szCs w:val="22"/>
          <w:lang w:val="en-HK"/>
        </w:rPr>
        <w:t>ourt may, on the application of persons specified under section 179A(2), order a meeting of the creditors</w:t>
      </w:r>
      <w:r w:rsidR="00E72567" w:rsidRPr="00E06995">
        <w:rPr>
          <w:rFonts w:ascii="Arial" w:hAnsi="Arial" w:cs="Arial"/>
          <w:color w:val="7B7B7B" w:themeColor="accent3" w:themeShade="BF"/>
          <w:sz w:val="22"/>
          <w:szCs w:val="22"/>
          <w:lang w:val="en-HK"/>
        </w:rPr>
        <w:t xml:space="preserve"> or members </w:t>
      </w:r>
      <w:r w:rsidRPr="00E06995">
        <w:rPr>
          <w:rFonts w:ascii="Arial" w:hAnsi="Arial" w:cs="Arial"/>
          <w:color w:val="7B7B7B" w:themeColor="accent3" w:themeShade="BF"/>
          <w:sz w:val="22"/>
          <w:szCs w:val="22"/>
          <w:lang w:val="en-HK"/>
        </w:rPr>
        <w:t>(or</w:t>
      </w:r>
      <w:r w:rsidR="00E72567" w:rsidRPr="00E06995">
        <w:rPr>
          <w:rFonts w:ascii="Arial" w:hAnsi="Arial" w:cs="Arial"/>
          <w:color w:val="7B7B7B" w:themeColor="accent3" w:themeShade="BF"/>
          <w:sz w:val="22"/>
          <w:szCs w:val="22"/>
          <w:lang w:val="en-HK"/>
        </w:rPr>
        <w:t xml:space="preserve"> class of </w:t>
      </w:r>
      <w:r w:rsidR="00B553EE" w:rsidRPr="00E06995">
        <w:rPr>
          <w:rFonts w:ascii="Arial" w:hAnsi="Arial" w:cs="Arial"/>
          <w:color w:val="7B7B7B" w:themeColor="accent3" w:themeShade="BF"/>
          <w:sz w:val="22"/>
          <w:szCs w:val="22"/>
          <w:lang w:val="en-HK"/>
        </w:rPr>
        <w:t>either</w:t>
      </w:r>
      <w:r w:rsidR="00E72567" w:rsidRPr="00E06995">
        <w:rPr>
          <w:rFonts w:ascii="Arial" w:hAnsi="Arial" w:cs="Arial"/>
          <w:color w:val="7B7B7B" w:themeColor="accent3" w:themeShade="BF"/>
          <w:sz w:val="22"/>
          <w:szCs w:val="22"/>
          <w:lang w:val="en-HK"/>
        </w:rPr>
        <w:t>)</w:t>
      </w:r>
      <w:r w:rsidRPr="00E06995">
        <w:rPr>
          <w:rFonts w:ascii="Arial" w:hAnsi="Arial" w:cs="Arial"/>
          <w:color w:val="7B7B7B" w:themeColor="accent3" w:themeShade="BF"/>
          <w:sz w:val="22"/>
          <w:szCs w:val="22"/>
          <w:lang w:val="en-HK"/>
        </w:rPr>
        <w:t xml:space="preserve"> “</w:t>
      </w:r>
      <w:r w:rsidRPr="00E06995">
        <w:rPr>
          <w:rFonts w:ascii="Arial" w:hAnsi="Arial" w:cs="Arial"/>
          <w:i/>
          <w:iCs/>
          <w:color w:val="7B7B7B" w:themeColor="accent3" w:themeShade="BF"/>
          <w:sz w:val="22"/>
          <w:szCs w:val="22"/>
          <w:lang w:val="en-HK"/>
        </w:rPr>
        <w:t>to be summoned in such manner as the Court directs</w:t>
      </w:r>
      <w:r w:rsidRPr="00E06995">
        <w:rPr>
          <w:rFonts w:ascii="Arial" w:hAnsi="Arial" w:cs="Arial"/>
          <w:color w:val="7B7B7B" w:themeColor="accent3" w:themeShade="BF"/>
          <w:sz w:val="22"/>
          <w:szCs w:val="22"/>
          <w:lang w:val="en-HK"/>
        </w:rPr>
        <w:t>.”</w:t>
      </w:r>
      <w:r w:rsidRPr="00E06995">
        <w:rPr>
          <w:rFonts w:ascii="Arial" w:hAnsi="Arial" w:cs="Arial"/>
          <w:color w:val="7B7B7B" w:themeColor="accent3" w:themeShade="BF"/>
          <w:sz w:val="22"/>
          <w:szCs w:val="22"/>
          <w:vertAlign w:val="superscript"/>
          <w:lang w:val="en-HK"/>
        </w:rPr>
        <w:footnoteReference w:id="130"/>
      </w:r>
    </w:p>
    <w:p w14:paraId="5564E879" w14:textId="77777777" w:rsidR="00401260" w:rsidRPr="00E06995" w:rsidRDefault="00401260" w:rsidP="00C827AE">
      <w:pPr>
        <w:jc w:val="both"/>
        <w:rPr>
          <w:rFonts w:ascii="Arial" w:hAnsi="Arial" w:cs="Arial"/>
          <w:color w:val="7B7B7B" w:themeColor="accent3" w:themeShade="BF"/>
          <w:sz w:val="22"/>
          <w:szCs w:val="22"/>
          <w:u w:val="single"/>
          <w:lang w:val="en-HK"/>
        </w:rPr>
      </w:pPr>
    </w:p>
    <w:p w14:paraId="4CE164ED" w14:textId="16EC2BEB" w:rsidR="006063F2" w:rsidRPr="00E06995" w:rsidRDefault="006063F2" w:rsidP="006063F2">
      <w:pPr>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 xml:space="preserve">Section 179A(6) states that an </w:t>
      </w:r>
      <w:r w:rsidR="000D5DB0" w:rsidRPr="00E06995">
        <w:rPr>
          <w:rFonts w:ascii="Arial" w:hAnsi="Arial" w:cs="Arial"/>
          <w:color w:val="7B7B7B" w:themeColor="accent3" w:themeShade="BF"/>
          <w:sz w:val="22"/>
          <w:szCs w:val="22"/>
          <w:lang w:val="en-HK"/>
        </w:rPr>
        <w:t>“</w:t>
      </w:r>
      <w:r w:rsidRPr="00E06995">
        <w:rPr>
          <w:rFonts w:ascii="Arial" w:hAnsi="Arial" w:cs="Arial"/>
          <w:color w:val="7B7B7B" w:themeColor="accent3" w:themeShade="BF"/>
          <w:sz w:val="22"/>
          <w:szCs w:val="22"/>
          <w:lang w:val="en-HK"/>
        </w:rPr>
        <w:t>arrangement</w:t>
      </w:r>
      <w:r w:rsidR="000D5DB0" w:rsidRPr="00E06995">
        <w:rPr>
          <w:rFonts w:ascii="Arial" w:hAnsi="Arial" w:cs="Arial"/>
          <w:color w:val="7B7B7B" w:themeColor="accent3" w:themeShade="BF"/>
          <w:sz w:val="22"/>
          <w:szCs w:val="22"/>
          <w:lang w:val="en-HK"/>
        </w:rPr>
        <w:t>”</w:t>
      </w:r>
      <w:r w:rsidRPr="00E06995">
        <w:rPr>
          <w:rFonts w:ascii="Arial" w:hAnsi="Arial" w:cs="Arial"/>
          <w:color w:val="7B7B7B" w:themeColor="accent3" w:themeShade="BF"/>
          <w:sz w:val="22"/>
          <w:szCs w:val="22"/>
          <w:lang w:val="en-HK"/>
        </w:rPr>
        <w:t xml:space="preserve"> includes the “</w:t>
      </w:r>
      <w:r w:rsidRPr="00E06995">
        <w:rPr>
          <w:rFonts w:ascii="Arial" w:hAnsi="Arial" w:cs="Arial"/>
          <w:i/>
          <w:iCs/>
          <w:color w:val="7B7B7B" w:themeColor="accent3" w:themeShade="BF"/>
          <w:sz w:val="22"/>
          <w:szCs w:val="22"/>
          <w:lang w:val="en-HK"/>
        </w:rPr>
        <w:t>reorganisation of the company’s share capital by the consolidation of shares of different classes or by the division of shares into shares of different classes, or by both of those methods</w:t>
      </w:r>
      <w:r w:rsidRPr="00E06995">
        <w:rPr>
          <w:rFonts w:ascii="Arial" w:hAnsi="Arial" w:cs="Arial"/>
          <w:color w:val="7B7B7B" w:themeColor="accent3" w:themeShade="BF"/>
          <w:sz w:val="22"/>
          <w:szCs w:val="22"/>
          <w:lang w:val="en-HK"/>
        </w:rPr>
        <w:t>.”</w:t>
      </w:r>
      <w:r w:rsidRPr="00E06995">
        <w:rPr>
          <w:rStyle w:val="FootnoteReference"/>
          <w:rFonts w:ascii="Arial" w:hAnsi="Arial" w:cs="Arial"/>
          <w:color w:val="7B7B7B" w:themeColor="accent3" w:themeShade="BF"/>
          <w:sz w:val="22"/>
          <w:szCs w:val="22"/>
          <w:lang w:val="en-HK"/>
        </w:rPr>
        <w:footnoteReference w:id="131"/>
      </w:r>
    </w:p>
    <w:p w14:paraId="4F002EBD" w14:textId="77777777" w:rsidR="006063F2" w:rsidRPr="00E06995" w:rsidRDefault="006063F2" w:rsidP="00C827AE">
      <w:pPr>
        <w:jc w:val="both"/>
        <w:rPr>
          <w:rFonts w:ascii="Arial" w:hAnsi="Arial" w:cs="Arial"/>
          <w:color w:val="7B7B7B" w:themeColor="accent3" w:themeShade="BF"/>
          <w:sz w:val="22"/>
          <w:szCs w:val="22"/>
          <w:u w:val="single"/>
          <w:lang w:val="en-HK"/>
        </w:rPr>
      </w:pPr>
    </w:p>
    <w:p w14:paraId="1592D1B7" w14:textId="157D810E" w:rsidR="00CB6FB3" w:rsidRPr="00E06995" w:rsidRDefault="00CB6FB3" w:rsidP="00CB6FB3">
      <w:pPr>
        <w:ind w:left="720" w:hanging="720"/>
        <w:jc w:val="both"/>
        <w:rPr>
          <w:rFonts w:ascii="Arial" w:hAnsi="Arial" w:cs="Arial"/>
          <w:color w:val="7B7B7B" w:themeColor="accent3" w:themeShade="BF"/>
          <w:sz w:val="22"/>
          <w:szCs w:val="22"/>
          <w:u w:val="single"/>
          <w:lang w:val="en-HK"/>
        </w:rPr>
      </w:pPr>
      <w:r w:rsidRPr="00E06995">
        <w:rPr>
          <w:rFonts w:ascii="Arial" w:hAnsi="Arial" w:cs="Arial"/>
          <w:color w:val="7B7B7B" w:themeColor="accent3" w:themeShade="BF"/>
          <w:sz w:val="22"/>
          <w:szCs w:val="22"/>
          <w:u w:val="single"/>
          <w:lang w:val="en-HK"/>
        </w:rPr>
        <w:t>By whom can an application be made</w:t>
      </w:r>
    </w:p>
    <w:p w14:paraId="3C841726" w14:textId="50070030" w:rsidR="00CB6FB3" w:rsidRPr="00E06995" w:rsidRDefault="00E72567" w:rsidP="00CB6FB3">
      <w:pPr>
        <w:ind w:left="720" w:hanging="720"/>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Section 179A(2) states that a</w:t>
      </w:r>
      <w:r w:rsidR="00CB6FB3" w:rsidRPr="00E06995">
        <w:rPr>
          <w:rFonts w:ascii="Arial" w:hAnsi="Arial" w:cs="Arial"/>
          <w:color w:val="7B7B7B" w:themeColor="accent3" w:themeShade="BF"/>
          <w:sz w:val="22"/>
          <w:szCs w:val="22"/>
          <w:lang w:val="en-HK"/>
        </w:rPr>
        <w:t>n application for a scheme of arrangement may be made by:</w:t>
      </w:r>
    </w:p>
    <w:p w14:paraId="3278D317" w14:textId="77777777" w:rsidR="00CB6FB3" w:rsidRPr="00E06995" w:rsidRDefault="00CB6FB3">
      <w:pPr>
        <w:numPr>
          <w:ilvl w:val="0"/>
          <w:numId w:val="20"/>
        </w:numPr>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the company</w:t>
      </w:r>
      <w:r w:rsidRPr="00E06995">
        <w:rPr>
          <w:rFonts w:ascii="Arial" w:hAnsi="Arial" w:cs="Arial"/>
          <w:color w:val="7B7B7B" w:themeColor="accent3" w:themeShade="BF"/>
          <w:sz w:val="22"/>
          <w:szCs w:val="22"/>
          <w:vertAlign w:val="superscript"/>
          <w:lang w:val="en-HK"/>
        </w:rPr>
        <w:footnoteReference w:id="132"/>
      </w:r>
      <w:r w:rsidRPr="00E06995">
        <w:rPr>
          <w:rFonts w:ascii="Arial" w:hAnsi="Arial" w:cs="Arial"/>
          <w:color w:val="7B7B7B" w:themeColor="accent3" w:themeShade="BF"/>
          <w:sz w:val="22"/>
          <w:szCs w:val="22"/>
          <w:lang w:val="en-HK"/>
        </w:rPr>
        <w:t>;</w:t>
      </w:r>
    </w:p>
    <w:p w14:paraId="6046DB5E" w14:textId="77777777" w:rsidR="00CB6FB3" w:rsidRPr="00E06995" w:rsidRDefault="00CB6FB3">
      <w:pPr>
        <w:numPr>
          <w:ilvl w:val="0"/>
          <w:numId w:val="20"/>
        </w:numPr>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a creditor of the company</w:t>
      </w:r>
      <w:r w:rsidRPr="00E06995">
        <w:rPr>
          <w:rFonts w:ascii="Arial" w:hAnsi="Arial" w:cs="Arial"/>
          <w:color w:val="7B7B7B" w:themeColor="accent3" w:themeShade="BF"/>
          <w:sz w:val="22"/>
          <w:szCs w:val="22"/>
          <w:vertAlign w:val="superscript"/>
          <w:lang w:val="en-HK"/>
        </w:rPr>
        <w:footnoteReference w:id="133"/>
      </w:r>
      <w:r w:rsidRPr="00E06995">
        <w:rPr>
          <w:rFonts w:ascii="Arial" w:hAnsi="Arial" w:cs="Arial"/>
          <w:color w:val="7B7B7B" w:themeColor="accent3" w:themeShade="BF"/>
          <w:sz w:val="22"/>
          <w:szCs w:val="22"/>
          <w:lang w:val="en-HK"/>
        </w:rPr>
        <w:t>;</w:t>
      </w:r>
    </w:p>
    <w:p w14:paraId="195A7FF7" w14:textId="77777777" w:rsidR="00CB6FB3" w:rsidRPr="00E06995" w:rsidRDefault="00CB6FB3">
      <w:pPr>
        <w:numPr>
          <w:ilvl w:val="0"/>
          <w:numId w:val="20"/>
        </w:numPr>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a member of the company</w:t>
      </w:r>
      <w:r w:rsidRPr="00E06995">
        <w:rPr>
          <w:rFonts w:ascii="Arial" w:hAnsi="Arial" w:cs="Arial"/>
          <w:color w:val="7B7B7B" w:themeColor="accent3" w:themeShade="BF"/>
          <w:sz w:val="22"/>
          <w:szCs w:val="22"/>
          <w:vertAlign w:val="superscript"/>
          <w:lang w:val="en-HK"/>
        </w:rPr>
        <w:footnoteReference w:id="134"/>
      </w:r>
      <w:r w:rsidRPr="00E06995">
        <w:rPr>
          <w:rFonts w:ascii="Arial" w:hAnsi="Arial" w:cs="Arial"/>
          <w:color w:val="7B7B7B" w:themeColor="accent3" w:themeShade="BF"/>
          <w:sz w:val="22"/>
          <w:szCs w:val="22"/>
          <w:lang w:val="en-HK"/>
        </w:rPr>
        <w:t>;</w:t>
      </w:r>
    </w:p>
    <w:p w14:paraId="3FEBDFE7" w14:textId="77777777" w:rsidR="00CB6FB3" w:rsidRPr="00E06995" w:rsidRDefault="00CB6FB3">
      <w:pPr>
        <w:numPr>
          <w:ilvl w:val="0"/>
          <w:numId w:val="20"/>
        </w:numPr>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the administrator (if the company is in administration)</w:t>
      </w:r>
      <w:r w:rsidRPr="00E06995">
        <w:rPr>
          <w:rFonts w:ascii="Arial" w:hAnsi="Arial" w:cs="Arial"/>
          <w:color w:val="7B7B7B" w:themeColor="accent3" w:themeShade="BF"/>
          <w:sz w:val="22"/>
          <w:szCs w:val="22"/>
          <w:vertAlign w:val="superscript"/>
          <w:lang w:val="en-HK"/>
        </w:rPr>
        <w:footnoteReference w:id="135"/>
      </w:r>
      <w:r w:rsidRPr="00E06995">
        <w:rPr>
          <w:rFonts w:ascii="Arial" w:hAnsi="Arial" w:cs="Arial"/>
          <w:color w:val="7B7B7B" w:themeColor="accent3" w:themeShade="BF"/>
          <w:sz w:val="22"/>
          <w:szCs w:val="22"/>
          <w:lang w:val="en-HK"/>
        </w:rPr>
        <w:t>;</w:t>
      </w:r>
    </w:p>
    <w:p w14:paraId="56F96B19" w14:textId="77777777" w:rsidR="00CB6FB3" w:rsidRPr="00E06995" w:rsidRDefault="00CB6FB3">
      <w:pPr>
        <w:numPr>
          <w:ilvl w:val="0"/>
          <w:numId w:val="20"/>
        </w:numPr>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the voluntary liquidator (if the company is in voluntary liquidation)</w:t>
      </w:r>
      <w:r w:rsidRPr="00E06995">
        <w:rPr>
          <w:rFonts w:ascii="Arial" w:hAnsi="Arial" w:cs="Arial"/>
          <w:color w:val="7B7B7B" w:themeColor="accent3" w:themeShade="BF"/>
          <w:sz w:val="22"/>
          <w:szCs w:val="22"/>
          <w:vertAlign w:val="superscript"/>
          <w:lang w:val="en-HK"/>
        </w:rPr>
        <w:footnoteReference w:id="136"/>
      </w:r>
      <w:r w:rsidRPr="00E06995">
        <w:rPr>
          <w:rFonts w:ascii="Arial" w:hAnsi="Arial" w:cs="Arial"/>
          <w:color w:val="7B7B7B" w:themeColor="accent3" w:themeShade="BF"/>
          <w:sz w:val="22"/>
          <w:szCs w:val="22"/>
          <w:lang w:val="en-HK"/>
        </w:rPr>
        <w:t xml:space="preserve"> or</w:t>
      </w:r>
    </w:p>
    <w:p w14:paraId="398E712E" w14:textId="21E053D1" w:rsidR="00CB6FB3" w:rsidRPr="00E06995" w:rsidRDefault="00CB6FB3">
      <w:pPr>
        <w:numPr>
          <w:ilvl w:val="0"/>
          <w:numId w:val="20"/>
        </w:numPr>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the liquidator (if an Insolvency Act</w:t>
      </w:r>
      <w:r w:rsidR="00D73EF4" w:rsidRPr="00E06995">
        <w:rPr>
          <w:rFonts w:ascii="Arial" w:hAnsi="Arial" w:cs="Arial"/>
          <w:color w:val="7B7B7B" w:themeColor="accent3" w:themeShade="BF"/>
          <w:sz w:val="22"/>
          <w:szCs w:val="22"/>
          <w:lang w:val="en-HK"/>
        </w:rPr>
        <w:t xml:space="preserve"> </w:t>
      </w:r>
      <w:r w:rsidRPr="00E06995">
        <w:rPr>
          <w:rFonts w:ascii="Arial" w:hAnsi="Arial" w:cs="Arial"/>
          <w:color w:val="7B7B7B" w:themeColor="accent3" w:themeShade="BF"/>
          <w:sz w:val="22"/>
          <w:szCs w:val="22"/>
          <w:lang w:val="en-HK"/>
        </w:rPr>
        <w:t>liquidator has been appointed).</w:t>
      </w:r>
      <w:r w:rsidRPr="00E06995">
        <w:rPr>
          <w:rFonts w:ascii="Arial" w:hAnsi="Arial" w:cs="Arial"/>
          <w:color w:val="7B7B7B" w:themeColor="accent3" w:themeShade="BF"/>
          <w:sz w:val="22"/>
          <w:szCs w:val="22"/>
          <w:vertAlign w:val="superscript"/>
          <w:lang w:val="en-HK"/>
        </w:rPr>
        <w:footnoteReference w:id="137"/>
      </w:r>
    </w:p>
    <w:p w14:paraId="36798600" w14:textId="77777777" w:rsidR="006A62CD" w:rsidRPr="00E06995" w:rsidRDefault="006A62CD" w:rsidP="00C827AE">
      <w:pPr>
        <w:jc w:val="both"/>
        <w:rPr>
          <w:rFonts w:ascii="Arial" w:hAnsi="Arial" w:cs="Arial"/>
          <w:color w:val="7B7B7B" w:themeColor="accent3" w:themeShade="BF"/>
          <w:sz w:val="22"/>
          <w:szCs w:val="22"/>
          <w:lang w:val="en-HK"/>
        </w:rPr>
      </w:pPr>
    </w:p>
    <w:p w14:paraId="058CB704" w14:textId="5583DABF" w:rsidR="00CB6FB3" w:rsidRPr="00E06995" w:rsidRDefault="00CB6FB3" w:rsidP="00CB6FB3">
      <w:pPr>
        <w:ind w:left="720" w:hanging="720"/>
        <w:jc w:val="both"/>
        <w:rPr>
          <w:rFonts w:ascii="Arial" w:hAnsi="Arial" w:cs="Arial"/>
          <w:color w:val="7B7B7B" w:themeColor="accent3" w:themeShade="BF"/>
          <w:sz w:val="22"/>
          <w:szCs w:val="22"/>
          <w:u w:val="single"/>
          <w:lang w:val="en-HK"/>
        </w:rPr>
      </w:pPr>
      <w:r w:rsidRPr="00E06995">
        <w:rPr>
          <w:rFonts w:ascii="Arial" w:hAnsi="Arial" w:cs="Arial"/>
          <w:color w:val="7B7B7B" w:themeColor="accent3" w:themeShade="BF"/>
          <w:sz w:val="22"/>
          <w:szCs w:val="22"/>
          <w:u w:val="single"/>
          <w:lang w:val="en-HK"/>
        </w:rPr>
        <w:t xml:space="preserve">When can an application </w:t>
      </w:r>
      <w:r w:rsidR="006E64EF" w:rsidRPr="00E06995">
        <w:rPr>
          <w:rFonts w:ascii="Arial" w:hAnsi="Arial" w:cs="Arial"/>
          <w:color w:val="7B7B7B" w:themeColor="accent3" w:themeShade="BF"/>
          <w:sz w:val="22"/>
          <w:szCs w:val="22"/>
          <w:u w:val="single"/>
          <w:lang w:val="en-HK"/>
        </w:rPr>
        <w:t>be made to the</w:t>
      </w:r>
      <w:r w:rsidRPr="00E06995">
        <w:rPr>
          <w:rFonts w:ascii="Arial" w:hAnsi="Arial" w:cs="Arial"/>
          <w:color w:val="7B7B7B" w:themeColor="accent3" w:themeShade="BF"/>
          <w:sz w:val="22"/>
          <w:szCs w:val="22"/>
          <w:u w:val="single"/>
          <w:lang w:val="en-HK"/>
        </w:rPr>
        <w:t xml:space="preserve"> </w:t>
      </w:r>
      <w:r w:rsidR="00E72567" w:rsidRPr="00E06995">
        <w:rPr>
          <w:rFonts w:ascii="Arial" w:hAnsi="Arial" w:cs="Arial"/>
          <w:color w:val="7B7B7B" w:themeColor="accent3" w:themeShade="BF"/>
          <w:sz w:val="22"/>
          <w:szCs w:val="22"/>
          <w:u w:val="single"/>
          <w:lang w:val="en-HK"/>
        </w:rPr>
        <w:t>c</w:t>
      </w:r>
      <w:r w:rsidRPr="00E06995">
        <w:rPr>
          <w:rFonts w:ascii="Arial" w:hAnsi="Arial" w:cs="Arial"/>
          <w:color w:val="7B7B7B" w:themeColor="accent3" w:themeShade="BF"/>
          <w:sz w:val="22"/>
          <w:szCs w:val="22"/>
          <w:u w:val="single"/>
          <w:lang w:val="en-HK"/>
        </w:rPr>
        <w:t>ourt</w:t>
      </w:r>
    </w:p>
    <w:p w14:paraId="47294AB8" w14:textId="66283E85" w:rsidR="00AB09DC" w:rsidRPr="00E06995" w:rsidRDefault="00AB09DC" w:rsidP="00AB09DC">
      <w:pPr>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 xml:space="preserve">An application for a scheme of arrangement can be made to court at any time. </w:t>
      </w:r>
      <w:r w:rsidR="00CB6FB3" w:rsidRPr="00E06995">
        <w:rPr>
          <w:rFonts w:ascii="Arial" w:hAnsi="Arial" w:cs="Arial"/>
          <w:color w:val="7B7B7B" w:themeColor="accent3" w:themeShade="BF"/>
          <w:sz w:val="22"/>
          <w:szCs w:val="22"/>
          <w:lang w:val="en-HK"/>
        </w:rPr>
        <w:t xml:space="preserve">There is no requirement that the company is insolvent at the time the application to the </w:t>
      </w:r>
      <w:r w:rsidR="00E72567" w:rsidRPr="00E06995">
        <w:rPr>
          <w:rFonts w:ascii="Arial" w:hAnsi="Arial" w:cs="Arial"/>
          <w:color w:val="7B7B7B" w:themeColor="accent3" w:themeShade="BF"/>
          <w:sz w:val="22"/>
          <w:szCs w:val="22"/>
          <w:lang w:val="en-HK"/>
        </w:rPr>
        <w:t>c</w:t>
      </w:r>
      <w:r w:rsidR="00CB6FB3" w:rsidRPr="00E06995">
        <w:rPr>
          <w:rFonts w:ascii="Arial" w:hAnsi="Arial" w:cs="Arial"/>
          <w:color w:val="7B7B7B" w:themeColor="accent3" w:themeShade="BF"/>
          <w:sz w:val="22"/>
          <w:szCs w:val="22"/>
          <w:lang w:val="en-HK"/>
        </w:rPr>
        <w:t>ourt is made under section 197A</w:t>
      </w:r>
      <w:r w:rsidR="00CB6FB3" w:rsidRPr="00E06995">
        <w:rPr>
          <w:rFonts w:ascii="Arial" w:hAnsi="Arial" w:cs="Arial"/>
          <w:color w:val="7B7B7B" w:themeColor="accent3" w:themeShade="BF"/>
          <w:sz w:val="22"/>
          <w:szCs w:val="22"/>
          <w:vertAlign w:val="superscript"/>
          <w:lang w:val="en-HK"/>
        </w:rPr>
        <w:footnoteReference w:id="138"/>
      </w:r>
      <w:r w:rsidR="00CB6FB3" w:rsidRPr="00E06995">
        <w:rPr>
          <w:rFonts w:ascii="Arial" w:hAnsi="Arial" w:cs="Arial"/>
          <w:color w:val="7B7B7B" w:themeColor="accent3" w:themeShade="BF"/>
          <w:sz w:val="22"/>
          <w:szCs w:val="22"/>
          <w:lang w:val="en-HK"/>
        </w:rPr>
        <w:t>.</w:t>
      </w:r>
      <w:r w:rsidR="00676EC8" w:rsidRPr="00E06995">
        <w:rPr>
          <w:rFonts w:ascii="Arial" w:hAnsi="Arial" w:cs="Arial"/>
          <w:color w:val="7B7B7B" w:themeColor="accent3" w:themeShade="BF"/>
          <w:sz w:val="22"/>
          <w:szCs w:val="22"/>
          <w:lang w:val="en-HK"/>
        </w:rPr>
        <w:t xml:space="preserve"> Schemes of arrangement focus on restructuring equity</w:t>
      </w:r>
      <w:r w:rsidR="00676EC8" w:rsidRPr="00E06995">
        <w:rPr>
          <w:rStyle w:val="FootnoteReference"/>
          <w:rFonts w:ascii="Arial" w:hAnsi="Arial" w:cs="Arial"/>
          <w:color w:val="7B7B7B" w:themeColor="accent3" w:themeShade="BF"/>
          <w:sz w:val="22"/>
          <w:szCs w:val="22"/>
          <w:lang w:val="en-HK"/>
        </w:rPr>
        <w:footnoteReference w:id="139"/>
      </w:r>
      <w:r w:rsidR="00676EC8" w:rsidRPr="00E06995">
        <w:rPr>
          <w:rFonts w:ascii="Arial" w:hAnsi="Arial" w:cs="Arial"/>
          <w:color w:val="7B7B7B" w:themeColor="accent3" w:themeShade="BF"/>
          <w:sz w:val="22"/>
          <w:szCs w:val="22"/>
          <w:lang w:val="en-HK"/>
        </w:rPr>
        <w:t xml:space="preserve"> and </w:t>
      </w:r>
      <w:r w:rsidR="00E72567" w:rsidRPr="00E06995">
        <w:rPr>
          <w:rFonts w:ascii="Arial" w:hAnsi="Arial" w:cs="Arial"/>
          <w:color w:val="7B7B7B" w:themeColor="accent3" w:themeShade="BF"/>
          <w:sz w:val="22"/>
          <w:szCs w:val="22"/>
          <w:lang w:val="en-HK"/>
        </w:rPr>
        <w:t xml:space="preserve">can </w:t>
      </w:r>
      <w:r w:rsidR="00676EC8" w:rsidRPr="00E06995">
        <w:rPr>
          <w:rFonts w:ascii="Arial" w:hAnsi="Arial" w:cs="Arial"/>
          <w:color w:val="7B7B7B" w:themeColor="accent3" w:themeShade="BF"/>
          <w:sz w:val="22"/>
          <w:szCs w:val="22"/>
          <w:lang w:val="en-HK"/>
        </w:rPr>
        <w:t xml:space="preserve">allow </w:t>
      </w:r>
      <w:r w:rsidR="00676EC8" w:rsidRPr="00E06995">
        <w:rPr>
          <w:rFonts w:ascii="Arial" w:hAnsi="Arial" w:cs="Arial"/>
          <w:color w:val="7B7B7B" w:themeColor="accent3" w:themeShade="BF"/>
          <w:sz w:val="22"/>
          <w:szCs w:val="22"/>
          <w:lang w:val="en-HK"/>
        </w:rPr>
        <w:lastRenderedPageBreak/>
        <w:t>the company to restructure and avoid entering into a formal insolvency process</w:t>
      </w:r>
      <w:r w:rsidR="00676EC8" w:rsidRPr="00E06995">
        <w:rPr>
          <w:rStyle w:val="FootnoteReference"/>
          <w:rFonts w:ascii="Arial" w:hAnsi="Arial" w:cs="Arial"/>
          <w:color w:val="7B7B7B" w:themeColor="accent3" w:themeShade="BF"/>
          <w:sz w:val="22"/>
          <w:szCs w:val="22"/>
          <w:lang w:val="en-HK"/>
        </w:rPr>
        <w:footnoteReference w:id="140"/>
      </w:r>
      <w:r w:rsidR="00676EC8" w:rsidRPr="00E06995">
        <w:rPr>
          <w:rFonts w:ascii="Arial" w:hAnsi="Arial" w:cs="Arial"/>
          <w:color w:val="7B7B7B" w:themeColor="accent3" w:themeShade="BF"/>
          <w:sz w:val="22"/>
          <w:szCs w:val="22"/>
          <w:lang w:val="en-HK"/>
        </w:rPr>
        <w:t>.</w:t>
      </w:r>
      <w:r w:rsidR="00D9760C">
        <w:rPr>
          <w:rFonts w:ascii="Arial" w:hAnsi="Arial" w:cs="Arial"/>
          <w:color w:val="7B7B7B" w:themeColor="accent3" w:themeShade="BF"/>
          <w:sz w:val="22"/>
          <w:szCs w:val="22"/>
          <w:lang w:val="en-HK"/>
        </w:rPr>
        <w:t xml:space="preserve"> </w:t>
      </w:r>
      <w:r w:rsidRPr="00E06995">
        <w:rPr>
          <w:rFonts w:ascii="Arial" w:hAnsi="Arial" w:cs="Arial"/>
          <w:color w:val="7B7B7B" w:themeColor="accent3" w:themeShade="BF"/>
          <w:sz w:val="22"/>
          <w:szCs w:val="22"/>
          <w:lang w:val="en-HK"/>
        </w:rPr>
        <w:t>Another example of when a scheme of arrangement can be used i</w:t>
      </w:r>
      <w:r w:rsidR="006E64EF" w:rsidRPr="00E06995">
        <w:rPr>
          <w:rFonts w:ascii="Arial" w:hAnsi="Arial" w:cs="Arial"/>
          <w:color w:val="7B7B7B" w:themeColor="accent3" w:themeShade="BF"/>
          <w:sz w:val="22"/>
          <w:szCs w:val="22"/>
          <w:lang w:val="en-HK"/>
        </w:rPr>
        <w:t>s</w:t>
      </w:r>
      <w:r w:rsidRPr="00E06995">
        <w:rPr>
          <w:rFonts w:ascii="Arial" w:hAnsi="Arial" w:cs="Arial"/>
          <w:color w:val="7B7B7B" w:themeColor="accent3" w:themeShade="BF"/>
          <w:sz w:val="22"/>
          <w:szCs w:val="22"/>
          <w:lang w:val="en-HK"/>
        </w:rPr>
        <w:t xml:space="preserve"> when the company’s directors do not have sufficient support from members or creditors in relation to a proposed action or where it is otherwise desirable to have a proposed action endorsed by the court via the scheme.</w:t>
      </w:r>
      <w:r w:rsidRPr="00E06995">
        <w:rPr>
          <w:rStyle w:val="FootnoteReference"/>
          <w:rFonts w:ascii="Arial" w:hAnsi="Arial" w:cs="Arial"/>
          <w:color w:val="7B7B7B" w:themeColor="accent3" w:themeShade="BF"/>
          <w:sz w:val="22"/>
          <w:szCs w:val="22"/>
          <w:lang w:val="en-HK"/>
        </w:rPr>
        <w:footnoteReference w:id="141"/>
      </w:r>
    </w:p>
    <w:p w14:paraId="3EEC8383" w14:textId="77777777" w:rsidR="00AB09DC" w:rsidRPr="00E06995" w:rsidRDefault="00AB09DC" w:rsidP="00CB6FB3">
      <w:pPr>
        <w:jc w:val="both"/>
        <w:rPr>
          <w:rFonts w:ascii="Arial" w:hAnsi="Arial" w:cs="Arial"/>
          <w:color w:val="7B7B7B" w:themeColor="accent3" w:themeShade="BF"/>
          <w:sz w:val="22"/>
          <w:szCs w:val="22"/>
          <w:highlight w:val="yellow"/>
          <w:lang w:val="en-HK"/>
        </w:rPr>
      </w:pPr>
    </w:p>
    <w:p w14:paraId="48A7827A" w14:textId="3D84DB3A" w:rsidR="00CB6FB3" w:rsidRPr="00E06995" w:rsidRDefault="00CB6FB3" w:rsidP="00CB6FB3">
      <w:pPr>
        <w:ind w:left="720" w:hanging="720"/>
        <w:jc w:val="both"/>
        <w:rPr>
          <w:rFonts w:ascii="Arial" w:hAnsi="Arial" w:cs="Arial"/>
          <w:color w:val="7B7B7B" w:themeColor="accent3" w:themeShade="BF"/>
          <w:sz w:val="22"/>
          <w:szCs w:val="22"/>
          <w:u w:val="single"/>
          <w:lang w:val="en-HK"/>
        </w:rPr>
      </w:pPr>
      <w:r w:rsidRPr="00E06995">
        <w:rPr>
          <w:rFonts w:ascii="Arial" w:hAnsi="Arial" w:cs="Arial"/>
          <w:color w:val="7B7B7B" w:themeColor="accent3" w:themeShade="BF"/>
          <w:sz w:val="22"/>
          <w:szCs w:val="22"/>
          <w:u w:val="single"/>
          <w:lang w:val="en-HK"/>
        </w:rPr>
        <w:t xml:space="preserve">The requisites for </w:t>
      </w:r>
      <w:r w:rsidR="007D5486" w:rsidRPr="00E06995">
        <w:rPr>
          <w:rFonts w:ascii="Arial" w:hAnsi="Arial" w:cs="Arial"/>
          <w:color w:val="7B7B7B" w:themeColor="accent3" w:themeShade="BF"/>
          <w:sz w:val="22"/>
          <w:szCs w:val="22"/>
          <w:u w:val="single"/>
          <w:lang w:val="en-HK"/>
        </w:rPr>
        <w:t>a</w:t>
      </w:r>
      <w:r w:rsidRPr="00E06995">
        <w:rPr>
          <w:rFonts w:ascii="Arial" w:hAnsi="Arial" w:cs="Arial"/>
          <w:color w:val="7B7B7B" w:themeColor="accent3" w:themeShade="BF"/>
          <w:sz w:val="22"/>
          <w:szCs w:val="22"/>
          <w:u w:val="single"/>
          <w:lang w:val="en-HK"/>
        </w:rPr>
        <w:t xml:space="preserve"> </w:t>
      </w:r>
      <w:r w:rsidR="007C6A30" w:rsidRPr="00E06995">
        <w:rPr>
          <w:rFonts w:ascii="Arial" w:hAnsi="Arial" w:cs="Arial"/>
          <w:color w:val="7B7B7B" w:themeColor="accent3" w:themeShade="BF"/>
          <w:sz w:val="22"/>
          <w:szCs w:val="22"/>
          <w:u w:val="single"/>
          <w:lang w:val="en-HK"/>
        </w:rPr>
        <w:t>scheme of arrangement</w:t>
      </w:r>
      <w:r w:rsidRPr="00E06995">
        <w:rPr>
          <w:rFonts w:ascii="Arial" w:hAnsi="Arial" w:cs="Arial"/>
          <w:color w:val="7B7B7B" w:themeColor="accent3" w:themeShade="BF"/>
          <w:sz w:val="22"/>
          <w:szCs w:val="22"/>
          <w:u w:val="single"/>
          <w:lang w:val="en-HK"/>
        </w:rPr>
        <w:t xml:space="preserve"> to be approved</w:t>
      </w:r>
    </w:p>
    <w:p w14:paraId="3924F41A" w14:textId="37C51EAA" w:rsidR="007C4B80" w:rsidRPr="00E06995" w:rsidRDefault="007D5486" w:rsidP="00CB6FB3">
      <w:pPr>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A</w:t>
      </w:r>
      <w:r w:rsidR="00CB6FB3" w:rsidRPr="00E06995">
        <w:rPr>
          <w:rFonts w:ascii="Arial" w:hAnsi="Arial" w:cs="Arial"/>
          <w:color w:val="7B7B7B" w:themeColor="accent3" w:themeShade="BF"/>
          <w:sz w:val="22"/>
          <w:szCs w:val="22"/>
          <w:lang w:val="en-HK"/>
        </w:rPr>
        <w:t xml:space="preserve"> meeting will be called and the scheme </w:t>
      </w:r>
      <w:r w:rsidRPr="00E06995">
        <w:rPr>
          <w:rFonts w:ascii="Arial" w:hAnsi="Arial" w:cs="Arial"/>
          <w:color w:val="7B7B7B" w:themeColor="accent3" w:themeShade="BF"/>
          <w:sz w:val="22"/>
          <w:szCs w:val="22"/>
          <w:lang w:val="en-HK"/>
        </w:rPr>
        <w:t xml:space="preserve">proposed </w:t>
      </w:r>
      <w:r w:rsidR="00CB6FB3" w:rsidRPr="00E06995">
        <w:rPr>
          <w:rFonts w:ascii="Arial" w:hAnsi="Arial" w:cs="Arial"/>
          <w:color w:val="7B7B7B" w:themeColor="accent3" w:themeShade="BF"/>
          <w:sz w:val="22"/>
          <w:szCs w:val="22"/>
          <w:lang w:val="en-HK"/>
        </w:rPr>
        <w:t>will be voted on</w:t>
      </w:r>
      <w:r w:rsidR="00CB6FB3" w:rsidRPr="00E06995">
        <w:rPr>
          <w:rFonts w:ascii="Arial" w:hAnsi="Arial" w:cs="Arial"/>
          <w:color w:val="7B7B7B" w:themeColor="accent3" w:themeShade="BF"/>
          <w:sz w:val="22"/>
          <w:szCs w:val="22"/>
          <w:vertAlign w:val="superscript"/>
          <w:lang w:val="en-HK"/>
        </w:rPr>
        <w:footnoteReference w:id="142"/>
      </w:r>
      <w:r w:rsidR="00CB6FB3" w:rsidRPr="00E06995">
        <w:rPr>
          <w:rFonts w:ascii="Arial" w:hAnsi="Arial" w:cs="Arial"/>
          <w:color w:val="7B7B7B" w:themeColor="accent3" w:themeShade="BF"/>
          <w:sz w:val="22"/>
          <w:szCs w:val="22"/>
          <w:lang w:val="en-HK"/>
        </w:rPr>
        <w:t xml:space="preserve">. </w:t>
      </w:r>
      <w:r w:rsidRPr="00E06995">
        <w:rPr>
          <w:rFonts w:ascii="Arial" w:hAnsi="Arial" w:cs="Arial"/>
          <w:color w:val="7B7B7B" w:themeColor="accent3" w:themeShade="BF"/>
          <w:sz w:val="22"/>
          <w:szCs w:val="22"/>
          <w:lang w:val="en-HK"/>
        </w:rPr>
        <w:t xml:space="preserve">Section 179A(3) states that </w:t>
      </w:r>
      <w:r w:rsidR="00CB6FB3" w:rsidRPr="00E06995">
        <w:rPr>
          <w:rFonts w:ascii="Arial" w:hAnsi="Arial" w:cs="Arial"/>
          <w:color w:val="7B7B7B" w:themeColor="accent3" w:themeShade="BF"/>
          <w:sz w:val="22"/>
          <w:szCs w:val="22"/>
          <w:lang w:val="en-HK"/>
        </w:rPr>
        <w:t xml:space="preserve">a majority in number representing 75% in value of the </w:t>
      </w:r>
      <w:r w:rsidRPr="00E06995">
        <w:rPr>
          <w:rFonts w:ascii="Arial" w:hAnsi="Arial" w:cs="Arial"/>
          <w:color w:val="7B7B7B" w:themeColor="accent3" w:themeShade="BF"/>
          <w:sz w:val="22"/>
          <w:szCs w:val="22"/>
          <w:lang w:val="en-HK"/>
        </w:rPr>
        <w:t xml:space="preserve">creditors or members (or class of </w:t>
      </w:r>
      <w:r w:rsidR="00B553EE" w:rsidRPr="00E06995">
        <w:rPr>
          <w:rFonts w:ascii="Arial" w:hAnsi="Arial" w:cs="Arial"/>
          <w:color w:val="7B7B7B" w:themeColor="accent3" w:themeShade="BF"/>
          <w:sz w:val="22"/>
          <w:szCs w:val="22"/>
          <w:lang w:val="en-HK"/>
        </w:rPr>
        <w:t>either</w:t>
      </w:r>
      <w:r w:rsidRPr="00E06995">
        <w:rPr>
          <w:rFonts w:ascii="Arial" w:hAnsi="Arial" w:cs="Arial"/>
          <w:color w:val="7B7B7B" w:themeColor="accent3" w:themeShade="BF"/>
          <w:sz w:val="22"/>
          <w:szCs w:val="22"/>
          <w:lang w:val="en-HK"/>
        </w:rPr>
        <w:t xml:space="preserve">) </w:t>
      </w:r>
      <w:r w:rsidR="00CB6FB3" w:rsidRPr="00E06995">
        <w:rPr>
          <w:rFonts w:ascii="Arial" w:hAnsi="Arial" w:cs="Arial"/>
          <w:color w:val="7B7B7B" w:themeColor="accent3" w:themeShade="BF"/>
          <w:sz w:val="22"/>
          <w:szCs w:val="22"/>
          <w:lang w:val="en-HK"/>
        </w:rPr>
        <w:t xml:space="preserve">present and voting </w:t>
      </w:r>
      <w:r w:rsidRPr="00E06995">
        <w:rPr>
          <w:rFonts w:ascii="Arial" w:hAnsi="Arial" w:cs="Arial"/>
          <w:color w:val="7B7B7B" w:themeColor="accent3" w:themeShade="BF"/>
          <w:sz w:val="22"/>
          <w:szCs w:val="22"/>
          <w:lang w:val="en-HK"/>
        </w:rPr>
        <w:t>at the meeting need to vote in favour of</w:t>
      </w:r>
      <w:r w:rsidR="00CB6FB3" w:rsidRPr="00E06995">
        <w:rPr>
          <w:rFonts w:ascii="Arial" w:hAnsi="Arial" w:cs="Arial"/>
          <w:color w:val="7B7B7B" w:themeColor="accent3" w:themeShade="BF"/>
          <w:sz w:val="22"/>
          <w:szCs w:val="22"/>
          <w:lang w:val="en-HK"/>
        </w:rPr>
        <w:t xml:space="preserve"> any compromise or arrangement.</w:t>
      </w:r>
      <w:r w:rsidR="00CB6FB3" w:rsidRPr="00E06995">
        <w:rPr>
          <w:rFonts w:ascii="Arial" w:hAnsi="Arial" w:cs="Arial"/>
          <w:color w:val="7B7B7B" w:themeColor="accent3" w:themeShade="BF"/>
          <w:sz w:val="22"/>
          <w:szCs w:val="22"/>
          <w:vertAlign w:val="superscript"/>
          <w:lang w:val="en-HK"/>
        </w:rPr>
        <w:footnoteReference w:id="143"/>
      </w:r>
      <w:r w:rsidR="00CB6FB3" w:rsidRPr="00E06995">
        <w:rPr>
          <w:rFonts w:ascii="Arial" w:hAnsi="Arial" w:cs="Arial"/>
          <w:color w:val="7B7B7B" w:themeColor="accent3" w:themeShade="BF"/>
          <w:sz w:val="22"/>
          <w:szCs w:val="22"/>
          <w:lang w:val="en-HK"/>
        </w:rPr>
        <w:t xml:space="preserve"> </w:t>
      </w:r>
      <w:r w:rsidR="0000127B">
        <w:rPr>
          <w:rFonts w:ascii="Arial" w:hAnsi="Arial" w:cs="Arial"/>
          <w:color w:val="7B7B7B" w:themeColor="accent3" w:themeShade="BF"/>
          <w:sz w:val="22"/>
          <w:szCs w:val="22"/>
          <w:lang w:val="en-HK"/>
        </w:rPr>
        <w:t>If</w:t>
      </w:r>
      <w:r w:rsidR="00CB6FB3" w:rsidRPr="00E06995">
        <w:rPr>
          <w:rFonts w:ascii="Arial" w:hAnsi="Arial" w:cs="Arial"/>
          <w:color w:val="7B7B7B" w:themeColor="accent3" w:themeShade="BF"/>
          <w:sz w:val="22"/>
          <w:szCs w:val="22"/>
          <w:lang w:val="en-HK"/>
        </w:rPr>
        <w:t xml:space="preserve"> t</w:t>
      </w:r>
      <w:r w:rsidR="007C4B80" w:rsidRPr="00E06995">
        <w:rPr>
          <w:rFonts w:ascii="Arial" w:hAnsi="Arial" w:cs="Arial"/>
          <w:color w:val="7B7B7B" w:themeColor="accent3" w:themeShade="BF"/>
          <w:sz w:val="22"/>
          <w:szCs w:val="22"/>
          <w:lang w:val="en-HK"/>
        </w:rPr>
        <w:t xml:space="preserve">he requisite </w:t>
      </w:r>
      <w:r w:rsidR="00CB6FB3" w:rsidRPr="00E06995">
        <w:rPr>
          <w:rFonts w:ascii="Arial" w:hAnsi="Arial" w:cs="Arial"/>
          <w:color w:val="7B7B7B" w:themeColor="accent3" w:themeShade="BF"/>
          <w:sz w:val="22"/>
          <w:szCs w:val="22"/>
          <w:lang w:val="en-HK"/>
        </w:rPr>
        <w:t xml:space="preserve">number of creditors or </w:t>
      </w:r>
      <w:r w:rsidRPr="00E06995">
        <w:rPr>
          <w:rFonts w:ascii="Arial" w:hAnsi="Arial" w:cs="Arial"/>
          <w:color w:val="7B7B7B" w:themeColor="accent3" w:themeShade="BF"/>
          <w:sz w:val="22"/>
          <w:szCs w:val="22"/>
          <w:lang w:val="en-HK"/>
        </w:rPr>
        <w:t xml:space="preserve">members (or class of </w:t>
      </w:r>
      <w:r w:rsidR="00B553EE" w:rsidRPr="00E06995">
        <w:rPr>
          <w:rFonts w:ascii="Arial" w:hAnsi="Arial" w:cs="Arial"/>
          <w:color w:val="7B7B7B" w:themeColor="accent3" w:themeShade="BF"/>
          <w:sz w:val="22"/>
          <w:szCs w:val="22"/>
          <w:lang w:val="en-HK"/>
        </w:rPr>
        <w:t>either</w:t>
      </w:r>
      <w:r w:rsidR="00CB6FB3" w:rsidRPr="00E06995">
        <w:rPr>
          <w:rFonts w:ascii="Arial" w:hAnsi="Arial" w:cs="Arial"/>
          <w:color w:val="7B7B7B" w:themeColor="accent3" w:themeShade="BF"/>
          <w:sz w:val="22"/>
          <w:szCs w:val="22"/>
          <w:lang w:val="en-HK"/>
        </w:rPr>
        <w:t>)</w:t>
      </w:r>
      <w:r w:rsidR="007C4B80" w:rsidRPr="00E06995">
        <w:rPr>
          <w:rFonts w:ascii="Arial" w:hAnsi="Arial" w:cs="Arial"/>
          <w:color w:val="7B7B7B" w:themeColor="accent3" w:themeShade="BF"/>
          <w:sz w:val="22"/>
          <w:szCs w:val="22"/>
          <w:lang w:val="en-HK"/>
        </w:rPr>
        <w:t xml:space="preserve"> vote in favour of the propos</w:t>
      </w:r>
      <w:r w:rsidR="000E3466" w:rsidRPr="00E06995">
        <w:rPr>
          <w:rFonts w:ascii="Arial" w:hAnsi="Arial" w:cs="Arial"/>
          <w:color w:val="7B7B7B" w:themeColor="accent3" w:themeShade="BF"/>
          <w:sz w:val="22"/>
          <w:szCs w:val="22"/>
          <w:lang w:val="en-HK"/>
        </w:rPr>
        <w:t>al</w:t>
      </w:r>
      <w:r w:rsidR="00CB6FB3" w:rsidRPr="00E06995">
        <w:rPr>
          <w:rFonts w:ascii="Arial" w:hAnsi="Arial" w:cs="Arial"/>
          <w:color w:val="7B7B7B" w:themeColor="accent3" w:themeShade="BF"/>
          <w:sz w:val="22"/>
          <w:szCs w:val="22"/>
          <w:lang w:val="en-HK"/>
        </w:rPr>
        <w:t xml:space="preserve">, the applicant(s) must return to </w:t>
      </w:r>
      <w:r w:rsidRPr="00E06995">
        <w:rPr>
          <w:rFonts w:ascii="Arial" w:hAnsi="Arial" w:cs="Arial"/>
          <w:color w:val="7B7B7B" w:themeColor="accent3" w:themeShade="BF"/>
          <w:sz w:val="22"/>
          <w:szCs w:val="22"/>
          <w:lang w:val="en-HK"/>
        </w:rPr>
        <w:t>the c</w:t>
      </w:r>
      <w:r w:rsidR="00CB6FB3" w:rsidRPr="00E06995">
        <w:rPr>
          <w:rFonts w:ascii="Arial" w:hAnsi="Arial" w:cs="Arial"/>
          <w:color w:val="7B7B7B" w:themeColor="accent3" w:themeShade="BF"/>
          <w:sz w:val="22"/>
          <w:szCs w:val="22"/>
          <w:lang w:val="en-HK"/>
        </w:rPr>
        <w:t>ourt for the scheme’s approval.</w:t>
      </w:r>
      <w:r w:rsidR="00CB6FB3" w:rsidRPr="00E06995">
        <w:rPr>
          <w:rFonts w:ascii="Arial" w:hAnsi="Arial" w:cs="Arial"/>
          <w:color w:val="7B7B7B" w:themeColor="accent3" w:themeShade="BF"/>
          <w:sz w:val="22"/>
          <w:szCs w:val="22"/>
          <w:vertAlign w:val="superscript"/>
          <w:lang w:val="en-HK"/>
        </w:rPr>
        <w:footnoteReference w:id="144"/>
      </w:r>
    </w:p>
    <w:p w14:paraId="20104949" w14:textId="77777777" w:rsidR="007C4B80" w:rsidRPr="00E06995" w:rsidRDefault="007C4B80" w:rsidP="00CB6FB3">
      <w:pPr>
        <w:jc w:val="both"/>
        <w:rPr>
          <w:rFonts w:ascii="Arial" w:hAnsi="Arial" w:cs="Arial"/>
          <w:color w:val="7B7B7B" w:themeColor="accent3" w:themeShade="BF"/>
          <w:sz w:val="22"/>
          <w:szCs w:val="22"/>
          <w:lang w:val="en-HK"/>
        </w:rPr>
      </w:pPr>
    </w:p>
    <w:p w14:paraId="5D454E5F" w14:textId="38C25FD7" w:rsidR="00CB6FB3" w:rsidRPr="00E06995" w:rsidRDefault="00CB6FB3" w:rsidP="00CB6FB3">
      <w:pPr>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 xml:space="preserve">Section 179A(3) states that if sanctioned by the </w:t>
      </w:r>
      <w:r w:rsidR="007C4B80" w:rsidRPr="00E06995">
        <w:rPr>
          <w:rFonts w:ascii="Arial" w:hAnsi="Arial" w:cs="Arial"/>
          <w:color w:val="7B7B7B" w:themeColor="accent3" w:themeShade="BF"/>
          <w:sz w:val="22"/>
          <w:szCs w:val="22"/>
          <w:lang w:val="en-HK"/>
        </w:rPr>
        <w:t>c</w:t>
      </w:r>
      <w:r w:rsidRPr="00E06995">
        <w:rPr>
          <w:rFonts w:ascii="Arial" w:hAnsi="Arial" w:cs="Arial"/>
          <w:color w:val="7B7B7B" w:themeColor="accent3" w:themeShade="BF"/>
          <w:sz w:val="22"/>
          <w:szCs w:val="22"/>
          <w:lang w:val="en-HK"/>
        </w:rPr>
        <w:t>ourt, the compromise or arrangement will be binding on all creditors</w:t>
      </w:r>
      <w:r w:rsidR="007C4B80" w:rsidRPr="00E06995">
        <w:rPr>
          <w:rFonts w:ascii="Arial" w:hAnsi="Arial" w:cs="Arial"/>
          <w:color w:val="7B7B7B" w:themeColor="accent3" w:themeShade="BF"/>
          <w:sz w:val="22"/>
          <w:szCs w:val="22"/>
          <w:lang w:val="en-HK"/>
        </w:rPr>
        <w:t xml:space="preserve"> or members (or class of </w:t>
      </w:r>
      <w:r w:rsidR="00B553EE" w:rsidRPr="00E06995">
        <w:rPr>
          <w:rFonts w:ascii="Arial" w:hAnsi="Arial" w:cs="Arial"/>
          <w:color w:val="7B7B7B" w:themeColor="accent3" w:themeShade="BF"/>
          <w:sz w:val="22"/>
          <w:szCs w:val="22"/>
          <w:lang w:val="en-HK"/>
        </w:rPr>
        <w:t>either</w:t>
      </w:r>
      <w:r w:rsidR="007C4B80" w:rsidRPr="00E06995">
        <w:rPr>
          <w:rFonts w:ascii="Arial" w:hAnsi="Arial" w:cs="Arial"/>
          <w:color w:val="7B7B7B" w:themeColor="accent3" w:themeShade="BF"/>
          <w:sz w:val="22"/>
          <w:szCs w:val="22"/>
          <w:lang w:val="en-HK"/>
        </w:rPr>
        <w:t xml:space="preserve">) </w:t>
      </w:r>
      <w:r w:rsidRPr="00E06995">
        <w:rPr>
          <w:rFonts w:ascii="Arial" w:hAnsi="Arial" w:cs="Arial"/>
          <w:color w:val="7B7B7B" w:themeColor="accent3" w:themeShade="BF"/>
          <w:sz w:val="22"/>
          <w:szCs w:val="22"/>
          <w:lang w:val="en-HK"/>
        </w:rPr>
        <w:t xml:space="preserve">as well as the company or if the company is in liquidation (voluntary or </w:t>
      </w:r>
      <w:r w:rsidR="00BB3CBC">
        <w:rPr>
          <w:rFonts w:ascii="Arial" w:hAnsi="Arial" w:cs="Arial"/>
          <w:color w:val="7B7B7B" w:themeColor="accent3" w:themeShade="BF"/>
          <w:sz w:val="22"/>
          <w:szCs w:val="22"/>
          <w:lang w:val="en-HK"/>
        </w:rPr>
        <w:t>insolvent</w:t>
      </w:r>
      <w:r w:rsidRPr="00E06995">
        <w:rPr>
          <w:rFonts w:ascii="Arial" w:hAnsi="Arial" w:cs="Arial"/>
          <w:color w:val="7B7B7B" w:themeColor="accent3" w:themeShade="BF"/>
          <w:sz w:val="22"/>
          <w:szCs w:val="22"/>
          <w:lang w:val="en-HK"/>
        </w:rPr>
        <w:t>), on the liquidator and every person who is liable to contribute to the company’s assets in the event that the company is liquidated.</w:t>
      </w:r>
      <w:r w:rsidRPr="00E06995">
        <w:rPr>
          <w:rFonts w:ascii="Arial" w:hAnsi="Arial" w:cs="Arial"/>
          <w:color w:val="7B7B7B" w:themeColor="accent3" w:themeShade="BF"/>
          <w:sz w:val="22"/>
          <w:szCs w:val="22"/>
          <w:vertAlign w:val="superscript"/>
          <w:lang w:val="en-HK"/>
        </w:rPr>
        <w:footnoteReference w:id="145"/>
      </w:r>
    </w:p>
    <w:p w14:paraId="46DC7A5D" w14:textId="77777777" w:rsidR="00CB6FB3" w:rsidRPr="00E06995" w:rsidRDefault="00CB6FB3" w:rsidP="00CB6FB3">
      <w:pPr>
        <w:ind w:left="720" w:hanging="720"/>
        <w:jc w:val="both"/>
        <w:rPr>
          <w:rFonts w:ascii="Arial" w:hAnsi="Arial" w:cs="Arial"/>
          <w:color w:val="7B7B7B" w:themeColor="accent3" w:themeShade="BF"/>
          <w:sz w:val="22"/>
          <w:szCs w:val="22"/>
          <w:highlight w:val="yellow"/>
          <w:lang w:val="en-HK"/>
        </w:rPr>
      </w:pPr>
    </w:p>
    <w:p w14:paraId="319E4750" w14:textId="7BA42278" w:rsidR="004633E4" w:rsidRPr="00E06995" w:rsidRDefault="004633E4" w:rsidP="00CB6FB3">
      <w:pPr>
        <w:ind w:left="720" w:hanging="720"/>
        <w:jc w:val="both"/>
        <w:rPr>
          <w:rFonts w:ascii="Arial" w:hAnsi="Arial" w:cs="Arial"/>
          <w:color w:val="7B7B7B" w:themeColor="accent3" w:themeShade="BF"/>
          <w:sz w:val="22"/>
          <w:szCs w:val="22"/>
          <w:u w:val="single"/>
          <w:lang w:val="en-HK"/>
        </w:rPr>
      </w:pPr>
      <w:r w:rsidRPr="00E06995">
        <w:rPr>
          <w:rFonts w:ascii="Arial" w:hAnsi="Arial" w:cs="Arial"/>
          <w:color w:val="7B7B7B" w:themeColor="accent3" w:themeShade="BF"/>
          <w:sz w:val="22"/>
          <w:szCs w:val="22"/>
          <w:u w:val="single"/>
          <w:lang w:val="en-HK"/>
        </w:rPr>
        <w:t xml:space="preserve">Post-court sanction </w:t>
      </w:r>
      <w:r w:rsidR="004F731F">
        <w:rPr>
          <w:rFonts w:ascii="Arial" w:hAnsi="Arial" w:cs="Arial"/>
          <w:color w:val="7B7B7B" w:themeColor="accent3" w:themeShade="BF"/>
          <w:sz w:val="22"/>
          <w:szCs w:val="22"/>
          <w:u w:val="single"/>
          <w:lang w:val="en-HK"/>
        </w:rPr>
        <w:t>administrative duties</w:t>
      </w:r>
    </w:p>
    <w:p w14:paraId="134F1230" w14:textId="7857D725" w:rsidR="00CB6FB3" w:rsidRPr="00E06995" w:rsidRDefault="00565A40" w:rsidP="00CB6FB3">
      <w:pPr>
        <w:jc w:val="both"/>
        <w:rPr>
          <w:rFonts w:ascii="Arial" w:hAnsi="Arial" w:cs="Arial"/>
          <w:color w:val="7B7B7B" w:themeColor="accent3" w:themeShade="BF"/>
          <w:sz w:val="22"/>
          <w:szCs w:val="22"/>
          <w:highlight w:val="yellow"/>
          <w:lang w:val="en-HK"/>
        </w:rPr>
      </w:pPr>
      <w:r w:rsidRPr="00E06995">
        <w:rPr>
          <w:rFonts w:ascii="Arial" w:hAnsi="Arial" w:cs="Arial"/>
          <w:color w:val="7B7B7B" w:themeColor="accent3" w:themeShade="BF"/>
          <w:sz w:val="22"/>
          <w:szCs w:val="22"/>
          <w:lang w:val="en-HK"/>
        </w:rPr>
        <w:t>Section 179A(4) states that t</w:t>
      </w:r>
      <w:r w:rsidR="00CB6FB3" w:rsidRPr="00E06995">
        <w:rPr>
          <w:rFonts w:ascii="Arial" w:hAnsi="Arial" w:cs="Arial"/>
          <w:color w:val="7B7B7B" w:themeColor="accent3" w:themeShade="BF"/>
          <w:sz w:val="22"/>
          <w:szCs w:val="22"/>
          <w:lang w:val="en-HK"/>
        </w:rPr>
        <w:t xml:space="preserve">he </w:t>
      </w:r>
      <w:r w:rsidRPr="00E06995">
        <w:rPr>
          <w:rFonts w:ascii="Arial" w:hAnsi="Arial" w:cs="Arial"/>
          <w:color w:val="7B7B7B" w:themeColor="accent3" w:themeShade="BF"/>
          <w:sz w:val="22"/>
          <w:szCs w:val="22"/>
          <w:lang w:val="en-HK"/>
        </w:rPr>
        <w:t>c</w:t>
      </w:r>
      <w:r w:rsidR="00CB6FB3" w:rsidRPr="00E06995">
        <w:rPr>
          <w:rFonts w:ascii="Arial" w:hAnsi="Arial" w:cs="Arial"/>
          <w:color w:val="7B7B7B" w:themeColor="accent3" w:themeShade="BF"/>
          <w:sz w:val="22"/>
          <w:szCs w:val="22"/>
          <w:lang w:val="en-HK"/>
        </w:rPr>
        <w:t xml:space="preserve">ourt order made under section 179A(3) shall not have effect until a copy of the court </w:t>
      </w:r>
      <w:r w:rsidRPr="00E06995">
        <w:rPr>
          <w:rFonts w:ascii="Arial" w:hAnsi="Arial" w:cs="Arial"/>
          <w:color w:val="7B7B7B" w:themeColor="accent3" w:themeShade="BF"/>
          <w:sz w:val="22"/>
          <w:szCs w:val="22"/>
          <w:lang w:val="en-HK"/>
        </w:rPr>
        <w:t xml:space="preserve">order </w:t>
      </w:r>
      <w:r w:rsidR="00CB6FB3" w:rsidRPr="00E06995">
        <w:rPr>
          <w:rFonts w:ascii="Arial" w:hAnsi="Arial" w:cs="Arial"/>
          <w:color w:val="7B7B7B" w:themeColor="accent3" w:themeShade="BF"/>
          <w:sz w:val="22"/>
          <w:szCs w:val="22"/>
          <w:lang w:val="en-HK"/>
        </w:rPr>
        <w:t>has been filed with the Registrar</w:t>
      </w:r>
      <w:r w:rsidR="006063F2" w:rsidRPr="00E06995">
        <w:rPr>
          <w:rFonts w:ascii="Arial" w:hAnsi="Arial" w:cs="Arial"/>
          <w:color w:val="7B7B7B" w:themeColor="accent3" w:themeShade="BF"/>
          <w:sz w:val="22"/>
          <w:szCs w:val="22"/>
          <w:lang w:val="en-HK"/>
        </w:rPr>
        <w:t xml:space="preserve"> of Corporate Affairs</w:t>
      </w:r>
      <w:r w:rsidR="00CB6FB3" w:rsidRPr="00E06995">
        <w:rPr>
          <w:rFonts w:ascii="Arial" w:hAnsi="Arial" w:cs="Arial"/>
          <w:color w:val="7B7B7B" w:themeColor="accent3" w:themeShade="BF"/>
          <w:sz w:val="22"/>
          <w:szCs w:val="22"/>
          <w:lang w:val="en-HK"/>
        </w:rPr>
        <w:t>.</w:t>
      </w:r>
      <w:r w:rsidR="00CB6FB3" w:rsidRPr="00E06995">
        <w:rPr>
          <w:rFonts w:ascii="Arial" w:hAnsi="Arial" w:cs="Arial"/>
          <w:color w:val="7B7B7B" w:themeColor="accent3" w:themeShade="BF"/>
          <w:sz w:val="22"/>
          <w:szCs w:val="22"/>
          <w:vertAlign w:val="superscript"/>
          <w:lang w:val="en-HK"/>
        </w:rPr>
        <w:footnoteReference w:id="146"/>
      </w:r>
      <w:r w:rsidR="00CB6FB3" w:rsidRPr="00E06995">
        <w:rPr>
          <w:rFonts w:ascii="Arial" w:hAnsi="Arial" w:cs="Arial"/>
          <w:color w:val="7B7B7B" w:themeColor="accent3" w:themeShade="BF"/>
          <w:sz w:val="22"/>
          <w:szCs w:val="22"/>
          <w:lang w:val="en-HK"/>
        </w:rPr>
        <w:t xml:space="preserve"> Further, section 179A(5) states that the </w:t>
      </w:r>
      <w:r w:rsidR="006063F2" w:rsidRPr="00E06995">
        <w:rPr>
          <w:rFonts w:ascii="Arial" w:hAnsi="Arial" w:cs="Arial"/>
          <w:color w:val="7B7B7B" w:themeColor="accent3" w:themeShade="BF"/>
          <w:sz w:val="22"/>
          <w:szCs w:val="22"/>
          <w:lang w:val="en-HK"/>
        </w:rPr>
        <w:t>c</w:t>
      </w:r>
      <w:r w:rsidR="00CB6FB3" w:rsidRPr="00E06995">
        <w:rPr>
          <w:rFonts w:ascii="Arial" w:hAnsi="Arial" w:cs="Arial"/>
          <w:color w:val="7B7B7B" w:themeColor="accent3" w:themeShade="BF"/>
          <w:sz w:val="22"/>
          <w:szCs w:val="22"/>
          <w:lang w:val="en-HK"/>
        </w:rPr>
        <w:t>ourt order made under section 179A(3) shall be annexed to every copy of the company’s memorandum which is issued after the order has been made.</w:t>
      </w:r>
      <w:r w:rsidR="00CB6FB3" w:rsidRPr="00E06995">
        <w:rPr>
          <w:rFonts w:ascii="Arial" w:hAnsi="Arial" w:cs="Arial"/>
          <w:color w:val="7B7B7B" w:themeColor="accent3" w:themeShade="BF"/>
          <w:sz w:val="22"/>
          <w:szCs w:val="22"/>
          <w:vertAlign w:val="superscript"/>
          <w:lang w:val="en-HK"/>
        </w:rPr>
        <w:footnoteReference w:id="147"/>
      </w:r>
      <w:r w:rsidR="00CB6FB3" w:rsidRPr="00E06995">
        <w:rPr>
          <w:rFonts w:ascii="Arial" w:hAnsi="Arial" w:cs="Arial"/>
          <w:color w:val="7B7B7B" w:themeColor="accent3" w:themeShade="BF"/>
          <w:sz w:val="22"/>
          <w:szCs w:val="22"/>
          <w:lang w:val="en-HK"/>
        </w:rPr>
        <w:t xml:space="preserve"> If the company </w:t>
      </w:r>
      <w:r w:rsidR="006063F2" w:rsidRPr="00E06995">
        <w:rPr>
          <w:rFonts w:ascii="Arial" w:hAnsi="Arial" w:cs="Arial"/>
          <w:color w:val="7B7B7B" w:themeColor="accent3" w:themeShade="BF"/>
          <w:sz w:val="22"/>
          <w:szCs w:val="22"/>
          <w:lang w:val="en-HK"/>
        </w:rPr>
        <w:t>contravenes section 179A(5)</w:t>
      </w:r>
      <w:r w:rsidR="00CB6FB3" w:rsidRPr="00E06995">
        <w:rPr>
          <w:rFonts w:ascii="Arial" w:hAnsi="Arial" w:cs="Arial"/>
          <w:color w:val="7B7B7B" w:themeColor="accent3" w:themeShade="BF"/>
          <w:sz w:val="22"/>
          <w:szCs w:val="22"/>
          <w:lang w:val="en-HK"/>
        </w:rPr>
        <w:t>, the company commits an offence and will be liable on summary conviction to a $5,000 fine.</w:t>
      </w:r>
      <w:r w:rsidR="00CB6FB3" w:rsidRPr="00E06995">
        <w:rPr>
          <w:rFonts w:ascii="Arial" w:hAnsi="Arial" w:cs="Arial"/>
          <w:color w:val="7B7B7B" w:themeColor="accent3" w:themeShade="BF"/>
          <w:sz w:val="22"/>
          <w:szCs w:val="22"/>
          <w:vertAlign w:val="superscript"/>
          <w:lang w:val="en-HK"/>
        </w:rPr>
        <w:footnoteReference w:id="148"/>
      </w:r>
    </w:p>
    <w:p w14:paraId="70D2E35D" w14:textId="77777777" w:rsidR="00EF6C43" w:rsidRPr="00E06995" w:rsidRDefault="00EF6C43" w:rsidP="00C827AE">
      <w:pPr>
        <w:jc w:val="both"/>
        <w:rPr>
          <w:rFonts w:ascii="Arial" w:hAnsi="Arial" w:cs="Arial"/>
          <w:b/>
          <w:bCs/>
          <w:color w:val="7B7B7B" w:themeColor="accent3" w:themeShade="BF"/>
          <w:sz w:val="22"/>
          <w:szCs w:val="22"/>
          <w:u w:val="single"/>
          <w:lang w:val="en-HK"/>
        </w:rPr>
      </w:pPr>
    </w:p>
    <w:p w14:paraId="5C0E3F46" w14:textId="5BAB36D0" w:rsidR="00CB6FB3" w:rsidRPr="00E06995" w:rsidRDefault="00CB6FB3" w:rsidP="00CB6FB3">
      <w:pPr>
        <w:ind w:left="720" w:hanging="720"/>
        <w:jc w:val="both"/>
        <w:rPr>
          <w:rFonts w:ascii="Arial" w:hAnsi="Arial" w:cs="Arial"/>
          <w:b/>
          <w:bCs/>
          <w:color w:val="7B7B7B" w:themeColor="accent3" w:themeShade="BF"/>
          <w:sz w:val="22"/>
          <w:szCs w:val="22"/>
          <w:u w:val="single"/>
          <w:lang w:val="en-HK"/>
        </w:rPr>
      </w:pPr>
      <w:r w:rsidRPr="00E06995">
        <w:rPr>
          <w:rFonts w:ascii="Arial" w:hAnsi="Arial" w:cs="Arial"/>
          <w:b/>
          <w:bCs/>
          <w:color w:val="7B7B7B" w:themeColor="accent3" w:themeShade="BF"/>
          <w:sz w:val="22"/>
          <w:szCs w:val="22"/>
          <w:u w:val="single"/>
          <w:lang w:val="en-HK"/>
        </w:rPr>
        <w:t>Points to note</w:t>
      </w:r>
    </w:p>
    <w:p w14:paraId="3DE7BEFC" w14:textId="4FCB82AB" w:rsidR="004633E4" w:rsidRPr="00E06995" w:rsidRDefault="00CB6FB3" w:rsidP="008065CE">
      <w:pPr>
        <w:jc w:val="both"/>
        <w:rPr>
          <w:rFonts w:ascii="Arial" w:hAnsi="Arial" w:cs="Arial"/>
          <w:color w:val="7B7B7B" w:themeColor="accent3" w:themeShade="BF"/>
          <w:sz w:val="22"/>
          <w:szCs w:val="22"/>
          <w:lang w:val="en-HK"/>
        </w:rPr>
      </w:pPr>
      <w:r w:rsidRPr="00E06995">
        <w:rPr>
          <w:rFonts w:ascii="Arial" w:hAnsi="Arial" w:cs="Arial"/>
          <w:color w:val="7B7B7B" w:themeColor="accent3" w:themeShade="BF"/>
          <w:sz w:val="22"/>
          <w:szCs w:val="22"/>
          <w:lang w:val="en-HK"/>
        </w:rPr>
        <w:t xml:space="preserve">A key benefit of schemes of arrangement is that once the requisite resolution has been passed by </w:t>
      </w:r>
      <w:r w:rsidR="004633E4" w:rsidRPr="00E06995">
        <w:rPr>
          <w:rFonts w:ascii="Arial" w:hAnsi="Arial" w:cs="Arial"/>
          <w:color w:val="7B7B7B" w:themeColor="accent3" w:themeShade="BF"/>
          <w:sz w:val="22"/>
          <w:szCs w:val="22"/>
          <w:lang w:val="en-HK"/>
        </w:rPr>
        <w:t xml:space="preserve">the creditors or members (or class of </w:t>
      </w:r>
      <w:r w:rsidR="00B553EE" w:rsidRPr="00E06995">
        <w:rPr>
          <w:rFonts w:ascii="Arial" w:hAnsi="Arial" w:cs="Arial"/>
          <w:color w:val="7B7B7B" w:themeColor="accent3" w:themeShade="BF"/>
          <w:sz w:val="22"/>
          <w:szCs w:val="22"/>
          <w:lang w:val="en-HK"/>
        </w:rPr>
        <w:t>either</w:t>
      </w:r>
      <w:r w:rsidR="004633E4" w:rsidRPr="00E06995">
        <w:rPr>
          <w:rFonts w:ascii="Arial" w:hAnsi="Arial" w:cs="Arial"/>
          <w:color w:val="7B7B7B" w:themeColor="accent3" w:themeShade="BF"/>
          <w:sz w:val="22"/>
          <w:szCs w:val="22"/>
          <w:lang w:val="en-HK"/>
        </w:rPr>
        <w:t xml:space="preserve">) </w:t>
      </w:r>
      <w:r w:rsidRPr="00E06995">
        <w:rPr>
          <w:rFonts w:ascii="Arial" w:hAnsi="Arial" w:cs="Arial"/>
          <w:color w:val="7B7B7B" w:themeColor="accent3" w:themeShade="BF"/>
          <w:sz w:val="22"/>
          <w:szCs w:val="22"/>
          <w:lang w:val="en-HK"/>
        </w:rPr>
        <w:t xml:space="preserve">and sanctioned by the </w:t>
      </w:r>
      <w:r w:rsidR="004633E4" w:rsidRPr="00E06995">
        <w:rPr>
          <w:rFonts w:ascii="Arial" w:hAnsi="Arial" w:cs="Arial"/>
          <w:color w:val="7B7B7B" w:themeColor="accent3" w:themeShade="BF"/>
          <w:sz w:val="22"/>
          <w:szCs w:val="22"/>
          <w:lang w:val="en-HK"/>
        </w:rPr>
        <w:t>c</w:t>
      </w:r>
      <w:r w:rsidRPr="00E06995">
        <w:rPr>
          <w:rFonts w:ascii="Arial" w:hAnsi="Arial" w:cs="Arial"/>
          <w:color w:val="7B7B7B" w:themeColor="accent3" w:themeShade="BF"/>
          <w:sz w:val="22"/>
          <w:szCs w:val="22"/>
          <w:lang w:val="en-HK"/>
        </w:rPr>
        <w:t>ourt, there are no statutory rights for dissenters</w:t>
      </w:r>
      <w:r w:rsidRPr="00E06995">
        <w:rPr>
          <w:rFonts w:ascii="Arial" w:hAnsi="Arial" w:cs="Arial"/>
          <w:color w:val="7B7B7B" w:themeColor="accent3" w:themeShade="BF"/>
          <w:sz w:val="22"/>
          <w:szCs w:val="22"/>
          <w:vertAlign w:val="superscript"/>
          <w:lang w:val="en-HK"/>
        </w:rPr>
        <w:footnoteReference w:id="149"/>
      </w:r>
      <w:r w:rsidRPr="00E06995">
        <w:rPr>
          <w:rFonts w:ascii="Arial" w:hAnsi="Arial" w:cs="Arial"/>
          <w:color w:val="7B7B7B" w:themeColor="accent3" w:themeShade="BF"/>
          <w:sz w:val="22"/>
          <w:szCs w:val="22"/>
          <w:lang w:val="en-HK"/>
        </w:rPr>
        <w:t xml:space="preserve"> (unlike in a plan of arrangement). Therefore, even though the threshold for consent is higher than for a plan of arrangement (being a majority in number representing 75% in value of the creditors or members), there is greater certainty once the threshold is reached.</w:t>
      </w:r>
      <w:r w:rsidRPr="00E06995">
        <w:rPr>
          <w:rFonts w:ascii="Arial" w:hAnsi="Arial" w:cs="Arial"/>
          <w:color w:val="7B7B7B" w:themeColor="accent3" w:themeShade="BF"/>
          <w:sz w:val="22"/>
          <w:szCs w:val="22"/>
          <w:vertAlign w:val="superscript"/>
          <w:lang w:val="en-HK"/>
        </w:rPr>
        <w:footnoteReference w:id="150"/>
      </w:r>
      <w:r w:rsidR="00B553EE" w:rsidRPr="00E06995">
        <w:rPr>
          <w:rFonts w:ascii="Arial" w:hAnsi="Arial" w:cs="Arial"/>
          <w:color w:val="7B7B7B" w:themeColor="accent3" w:themeShade="BF"/>
          <w:sz w:val="22"/>
          <w:szCs w:val="22"/>
          <w:lang w:val="en-HK"/>
        </w:rPr>
        <w:t xml:space="preserve"> </w:t>
      </w:r>
      <w:r w:rsidR="00EF6C43" w:rsidRPr="00E06995">
        <w:rPr>
          <w:rFonts w:ascii="Arial" w:hAnsi="Arial" w:cs="Arial"/>
          <w:color w:val="7B7B7B" w:themeColor="accent3" w:themeShade="BF"/>
          <w:sz w:val="22"/>
          <w:szCs w:val="22"/>
          <w:lang w:val="en-HK"/>
        </w:rPr>
        <w:t xml:space="preserve">The court will however refuse to approve </w:t>
      </w:r>
      <w:r w:rsidR="00403FD0" w:rsidRPr="00E06995">
        <w:rPr>
          <w:rFonts w:ascii="Arial" w:hAnsi="Arial" w:cs="Arial"/>
          <w:color w:val="7B7B7B" w:themeColor="accent3" w:themeShade="BF"/>
          <w:sz w:val="22"/>
          <w:szCs w:val="22"/>
          <w:lang w:val="en-HK"/>
        </w:rPr>
        <w:t>a</w:t>
      </w:r>
      <w:r w:rsidR="00EF6C43" w:rsidRPr="00E06995">
        <w:rPr>
          <w:rFonts w:ascii="Arial" w:hAnsi="Arial" w:cs="Arial"/>
          <w:color w:val="7B7B7B" w:themeColor="accent3" w:themeShade="BF"/>
          <w:sz w:val="22"/>
          <w:szCs w:val="22"/>
          <w:lang w:val="en-HK"/>
        </w:rPr>
        <w:t xml:space="preserve"> scheme of arrangement if it considers it unfair </w:t>
      </w:r>
      <w:r w:rsidR="00403FD0" w:rsidRPr="00E06995">
        <w:rPr>
          <w:rFonts w:ascii="Arial" w:hAnsi="Arial" w:cs="Arial"/>
          <w:color w:val="7B7B7B" w:themeColor="accent3" w:themeShade="BF"/>
          <w:sz w:val="22"/>
          <w:szCs w:val="22"/>
          <w:lang w:val="en-HK"/>
        </w:rPr>
        <w:t>in light of there</w:t>
      </w:r>
      <w:r w:rsidR="00EF6C43" w:rsidRPr="00E06995">
        <w:rPr>
          <w:rFonts w:ascii="Arial" w:hAnsi="Arial" w:cs="Arial"/>
          <w:color w:val="7B7B7B" w:themeColor="accent3" w:themeShade="BF"/>
          <w:sz w:val="22"/>
          <w:szCs w:val="22"/>
          <w:lang w:val="en-HK"/>
        </w:rPr>
        <w:t xml:space="preserve"> </w:t>
      </w:r>
      <w:r w:rsidR="00403FD0" w:rsidRPr="00E06995">
        <w:rPr>
          <w:rFonts w:ascii="Arial" w:hAnsi="Arial" w:cs="Arial"/>
          <w:color w:val="7B7B7B" w:themeColor="accent3" w:themeShade="BF"/>
          <w:sz w:val="22"/>
          <w:szCs w:val="22"/>
          <w:lang w:val="en-HK"/>
        </w:rPr>
        <w:t>being</w:t>
      </w:r>
      <w:r w:rsidR="00EF6C43" w:rsidRPr="00E06995">
        <w:rPr>
          <w:rFonts w:ascii="Arial" w:hAnsi="Arial" w:cs="Arial"/>
          <w:color w:val="7B7B7B" w:themeColor="accent3" w:themeShade="BF"/>
          <w:sz w:val="22"/>
          <w:szCs w:val="22"/>
          <w:lang w:val="en-HK"/>
        </w:rPr>
        <w:t xml:space="preserve"> </w:t>
      </w:r>
      <w:r w:rsidR="000D5DB0" w:rsidRPr="00E06995">
        <w:rPr>
          <w:rFonts w:ascii="Arial" w:hAnsi="Arial" w:cs="Arial"/>
          <w:color w:val="7B7B7B" w:themeColor="accent3" w:themeShade="BF"/>
          <w:sz w:val="22"/>
          <w:szCs w:val="22"/>
          <w:lang w:val="en-HK"/>
        </w:rPr>
        <w:t xml:space="preserve">no statutory right for dissenters </w:t>
      </w:r>
      <w:r w:rsidR="00EF6C43" w:rsidRPr="00E06995">
        <w:rPr>
          <w:rFonts w:ascii="Arial" w:hAnsi="Arial" w:cs="Arial"/>
          <w:color w:val="7B7B7B" w:themeColor="accent3" w:themeShade="BF"/>
          <w:sz w:val="22"/>
          <w:szCs w:val="22"/>
          <w:lang w:val="en-HK"/>
        </w:rPr>
        <w:t xml:space="preserve">– this is </w:t>
      </w:r>
      <w:r w:rsidR="000D5DB0" w:rsidRPr="00E06995">
        <w:rPr>
          <w:rFonts w:ascii="Arial" w:hAnsi="Arial" w:cs="Arial"/>
          <w:color w:val="7B7B7B" w:themeColor="accent3" w:themeShade="BF"/>
          <w:sz w:val="22"/>
          <w:szCs w:val="22"/>
          <w:lang w:val="en-HK"/>
        </w:rPr>
        <w:t>even if this has</w:t>
      </w:r>
      <w:r w:rsidR="00EF6C43" w:rsidRPr="00E06995">
        <w:rPr>
          <w:rFonts w:ascii="Arial" w:hAnsi="Arial" w:cs="Arial"/>
          <w:color w:val="7B7B7B" w:themeColor="accent3" w:themeShade="BF"/>
          <w:sz w:val="22"/>
          <w:szCs w:val="22"/>
          <w:lang w:val="en-HK"/>
        </w:rPr>
        <w:t xml:space="preserve"> already</w:t>
      </w:r>
      <w:r w:rsidR="000D5DB0" w:rsidRPr="00E06995">
        <w:rPr>
          <w:rFonts w:ascii="Arial" w:hAnsi="Arial" w:cs="Arial"/>
          <w:color w:val="7B7B7B" w:themeColor="accent3" w:themeShade="BF"/>
          <w:sz w:val="22"/>
          <w:szCs w:val="22"/>
          <w:lang w:val="en-HK"/>
        </w:rPr>
        <w:t xml:space="preserve"> been approved by the creditors or members (or class of either).</w:t>
      </w:r>
      <w:r w:rsidR="000D5DB0" w:rsidRPr="00E06995">
        <w:rPr>
          <w:rStyle w:val="FootnoteReference"/>
          <w:rFonts w:ascii="Arial" w:hAnsi="Arial" w:cs="Arial"/>
          <w:color w:val="7B7B7B" w:themeColor="accent3" w:themeShade="BF"/>
          <w:sz w:val="22"/>
          <w:szCs w:val="22"/>
          <w:lang w:val="en-HK"/>
        </w:rPr>
        <w:footnoteReference w:id="151"/>
      </w:r>
      <w:r w:rsidR="000D5DB0" w:rsidRPr="00E06995">
        <w:rPr>
          <w:rFonts w:ascii="Arial" w:hAnsi="Arial" w:cs="Arial"/>
          <w:color w:val="7B7B7B" w:themeColor="accent3" w:themeShade="BF"/>
          <w:sz w:val="22"/>
          <w:szCs w:val="22"/>
          <w:lang w:val="en-HK"/>
        </w:rPr>
        <w:t xml:space="preserve"> </w:t>
      </w:r>
      <w:r w:rsidR="00B553EE" w:rsidRPr="00E06995">
        <w:rPr>
          <w:rFonts w:ascii="Arial" w:hAnsi="Arial" w:cs="Arial"/>
          <w:color w:val="7B7B7B" w:themeColor="accent3" w:themeShade="BF"/>
          <w:sz w:val="22"/>
          <w:szCs w:val="22"/>
          <w:lang w:val="en-HK"/>
        </w:rPr>
        <w:t>Further putting a scheme of arrangement in place is simpler than a plan of arrangement.</w:t>
      </w:r>
      <w:r w:rsidR="00B553EE" w:rsidRPr="00E06995">
        <w:rPr>
          <w:rStyle w:val="FootnoteReference"/>
          <w:rFonts w:ascii="Arial" w:hAnsi="Arial" w:cs="Arial"/>
          <w:color w:val="7B7B7B" w:themeColor="accent3" w:themeShade="BF"/>
          <w:sz w:val="22"/>
          <w:szCs w:val="22"/>
          <w:lang w:val="en-HK"/>
        </w:rPr>
        <w:footnoteReference w:id="152"/>
      </w:r>
    </w:p>
    <w:p w14:paraId="7F66180C" w14:textId="77777777" w:rsidR="00C827AE" w:rsidRPr="00E06995" w:rsidRDefault="00C827AE" w:rsidP="008065CE">
      <w:pPr>
        <w:jc w:val="both"/>
        <w:rPr>
          <w:rFonts w:ascii="Arial" w:hAnsi="Arial" w:cs="Arial"/>
          <w:color w:val="7B7B7B" w:themeColor="accent3" w:themeShade="BF"/>
          <w:sz w:val="22"/>
          <w:szCs w:val="22"/>
          <w:lang w:val="en-HK"/>
        </w:rPr>
      </w:pPr>
    </w:p>
    <w:p w14:paraId="149976E0" w14:textId="77777777" w:rsidR="00C74DE2" w:rsidRPr="00E06995" w:rsidRDefault="00C74DE2" w:rsidP="008065CE">
      <w:pPr>
        <w:jc w:val="both"/>
        <w:rPr>
          <w:rFonts w:ascii="Arial" w:hAnsi="Arial" w:cs="Arial"/>
          <w:color w:val="7B7B7B" w:themeColor="accent3" w:themeShade="BF"/>
          <w:sz w:val="22"/>
          <w:szCs w:val="22"/>
          <w:lang w:val="en-HK"/>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lastRenderedPageBreak/>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4"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45273CF2" w14:textId="368BF5D6" w:rsidR="00690E15" w:rsidRPr="000A27A3" w:rsidRDefault="00690E15" w:rsidP="00690E15">
      <w:pPr>
        <w:jc w:val="both"/>
        <w:rPr>
          <w:rFonts w:ascii="Avenir Next" w:hAnsi="Avenir Next" w:cs="Arial"/>
          <w:sz w:val="22"/>
          <w:szCs w:val="22"/>
          <w:lang w:val="en-GB"/>
        </w:rPr>
      </w:pPr>
      <w:r w:rsidRPr="000A27A3">
        <w:rPr>
          <w:rFonts w:ascii="Avenir Next" w:hAnsi="Avenir Next" w:cs="Arial"/>
          <w:sz w:val="22"/>
          <w:szCs w:val="22"/>
          <w:lang w:val="en-GB"/>
        </w:rPr>
        <w:t>In 2019 Yellow Limited, a company incorporated in the BVI entered into a 10-year mortgage with Orange Mortgages Limited</w:t>
      </w:r>
      <w:r w:rsidR="00600E79" w:rsidRPr="000A27A3">
        <w:rPr>
          <w:rFonts w:ascii="Avenir Next" w:hAnsi="Avenir Next" w:cs="Arial"/>
          <w:sz w:val="22"/>
          <w:szCs w:val="22"/>
          <w:lang w:val="en-GB"/>
        </w:rPr>
        <w:t>,</w:t>
      </w:r>
      <w:r w:rsidRPr="000A27A3">
        <w:rPr>
          <w:rFonts w:ascii="Avenir Next" w:hAnsi="Avenir Next" w:cs="Arial"/>
          <w:sz w:val="22"/>
          <w:szCs w:val="22"/>
          <w:lang w:val="en-GB"/>
        </w:rPr>
        <w:t xml:space="preserve"> a company registered in the UK, </w:t>
      </w:r>
      <w:r w:rsidR="00600E79" w:rsidRPr="000A27A3">
        <w:rPr>
          <w:rFonts w:ascii="Avenir Next" w:hAnsi="Avenir Next" w:cs="Arial"/>
          <w:sz w:val="22"/>
          <w:szCs w:val="22"/>
          <w:lang w:val="en-GB"/>
        </w:rPr>
        <w:t>for a property situated in the BVI</w:t>
      </w:r>
      <w:r w:rsidR="0070256F">
        <w:rPr>
          <w:rFonts w:ascii="Avenir Next" w:hAnsi="Avenir Next" w:cs="Arial"/>
          <w:sz w:val="22"/>
          <w:szCs w:val="22"/>
          <w:lang w:val="en-GB"/>
        </w:rPr>
        <w:t>,</w:t>
      </w:r>
      <w:r w:rsidR="00600E79" w:rsidRPr="000A27A3">
        <w:rPr>
          <w:rFonts w:ascii="Avenir Next" w:hAnsi="Avenir Next" w:cs="Arial"/>
          <w:sz w:val="22"/>
          <w:szCs w:val="22"/>
          <w:lang w:val="en-GB"/>
        </w:rPr>
        <w:t xml:space="preserve"> </w:t>
      </w:r>
      <w:r w:rsidRPr="000A27A3">
        <w:rPr>
          <w:rFonts w:ascii="Avenir Next" w:hAnsi="Avenir Next" w:cs="Arial"/>
          <w:sz w:val="22"/>
          <w:szCs w:val="22"/>
          <w:lang w:val="en-GB"/>
        </w:rPr>
        <w:t xml:space="preserve">which </w:t>
      </w:r>
      <w:r w:rsidR="0070256F">
        <w:rPr>
          <w:rFonts w:ascii="Avenir Next" w:hAnsi="Avenir Next" w:cs="Arial"/>
          <w:sz w:val="22"/>
          <w:szCs w:val="22"/>
          <w:lang w:val="en-GB"/>
        </w:rPr>
        <w:t xml:space="preserve">mortgage </w:t>
      </w:r>
      <w:r w:rsidRPr="000A27A3">
        <w:rPr>
          <w:rFonts w:ascii="Avenir Next" w:hAnsi="Avenir Next" w:cs="Arial"/>
          <w:sz w:val="22"/>
          <w:szCs w:val="22"/>
          <w:lang w:val="en-GB"/>
        </w:rPr>
        <w:t>was due to be paid monthly. Under the terms of the mortgage</w:t>
      </w:r>
      <w:r w:rsidR="00595AE2" w:rsidRPr="000A27A3">
        <w:rPr>
          <w:rFonts w:ascii="Avenir Next" w:hAnsi="Avenir Next" w:cs="Arial"/>
          <w:sz w:val="22"/>
          <w:szCs w:val="22"/>
          <w:lang w:val="en-GB"/>
        </w:rPr>
        <w:t>,</w:t>
      </w:r>
      <w:r w:rsidRPr="000A27A3">
        <w:rPr>
          <w:rFonts w:ascii="Avenir Next" w:hAnsi="Avenir Next" w:cs="Arial"/>
          <w:sz w:val="22"/>
          <w:szCs w:val="22"/>
          <w:lang w:val="en-GB"/>
        </w:rPr>
        <w:t xml:space="preserve"> if Yellow Limited defaulted on one payment, then the mortgage was repayable immediately. Yellow Limited is now </w:t>
      </w:r>
      <w:r w:rsidR="00595AE2" w:rsidRPr="000A27A3">
        <w:rPr>
          <w:rFonts w:ascii="Avenir Next" w:hAnsi="Avenir Next" w:cs="Arial"/>
          <w:sz w:val="22"/>
          <w:szCs w:val="22"/>
          <w:lang w:val="en-GB"/>
        </w:rPr>
        <w:t>four</w:t>
      </w:r>
      <w:r w:rsidRPr="000A27A3">
        <w:rPr>
          <w:rFonts w:ascii="Avenir Next" w:hAnsi="Avenir Next" w:cs="Arial"/>
          <w:sz w:val="22"/>
          <w:szCs w:val="22"/>
          <w:lang w:val="en-GB"/>
        </w:rPr>
        <w:t xml:space="preserve"> months in arrears on the mortgage.</w:t>
      </w:r>
    </w:p>
    <w:p w14:paraId="0D59E363" w14:textId="77777777" w:rsidR="00690E15" w:rsidRPr="000A27A3" w:rsidRDefault="00690E15" w:rsidP="00690E15">
      <w:pPr>
        <w:jc w:val="both"/>
        <w:rPr>
          <w:rFonts w:ascii="Avenir Next" w:hAnsi="Avenir Next" w:cs="Arial"/>
          <w:sz w:val="22"/>
          <w:szCs w:val="22"/>
          <w:lang w:val="en-GB"/>
        </w:rPr>
      </w:pPr>
    </w:p>
    <w:p w14:paraId="4C750DC7" w14:textId="2313C41E" w:rsidR="00690E15" w:rsidRPr="000A27A3" w:rsidRDefault="00690E15" w:rsidP="00690E15">
      <w:pPr>
        <w:jc w:val="both"/>
        <w:rPr>
          <w:rFonts w:ascii="Avenir Next" w:hAnsi="Avenir Next" w:cs="Arial"/>
          <w:sz w:val="22"/>
          <w:szCs w:val="22"/>
          <w:lang w:val="en-GB"/>
        </w:rPr>
      </w:pPr>
      <w:r w:rsidRPr="000A27A3">
        <w:rPr>
          <w:rFonts w:ascii="Avenir Next" w:hAnsi="Avenir Next" w:cs="Arial"/>
          <w:sz w:val="22"/>
          <w:szCs w:val="22"/>
          <w:lang w:val="en-GB"/>
        </w:rPr>
        <w:t>Providing reasons, with particular reference to the Insolvency Act</w:t>
      </w:r>
      <w:r w:rsidR="00595AE2" w:rsidRPr="000A27A3">
        <w:rPr>
          <w:rFonts w:ascii="Avenir Next" w:hAnsi="Avenir Next" w:cs="Arial"/>
          <w:sz w:val="22"/>
          <w:szCs w:val="22"/>
          <w:lang w:val="en-GB"/>
        </w:rPr>
        <w:t xml:space="preserve"> 2003</w:t>
      </w:r>
      <w:r w:rsidR="00AE14D0" w:rsidRPr="000A27A3">
        <w:rPr>
          <w:rFonts w:ascii="Avenir Next" w:hAnsi="Avenir Next" w:cs="Arial"/>
          <w:sz w:val="22"/>
          <w:szCs w:val="22"/>
          <w:lang w:val="en-GB"/>
        </w:rPr>
        <w:t>, answer the following question</w:t>
      </w:r>
      <w:r w:rsidRPr="000A27A3">
        <w:rPr>
          <w:rFonts w:ascii="Avenir Next" w:hAnsi="Avenir Next" w:cs="Arial"/>
          <w:sz w:val="22"/>
          <w:szCs w:val="22"/>
          <w:lang w:val="en-GB"/>
        </w:rPr>
        <w:t>:</w:t>
      </w:r>
    </w:p>
    <w:p w14:paraId="419E69B4" w14:textId="77777777" w:rsidR="00690E15" w:rsidRPr="000A27A3" w:rsidRDefault="00690E15" w:rsidP="00690E15">
      <w:pPr>
        <w:jc w:val="both"/>
        <w:rPr>
          <w:rFonts w:ascii="Avenir Next" w:hAnsi="Avenir Next" w:cs="Arial"/>
          <w:sz w:val="22"/>
          <w:szCs w:val="22"/>
          <w:lang w:val="en-GB"/>
        </w:rPr>
      </w:pPr>
    </w:p>
    <w:p w14:paraId="7549F322" w14:textId="59DD9B14" w:rsidR="00690E15" w:rsidRPr="000A27A3" w:rsidRDefault="00690E15">
      <w:pPr>
        <w:pStyle w:val="ListParagraph"/>
        <w:numPr>
          <w:ilvl w:val="0"/>
          <w:numId w:val="11"/>
        </w:numPr>
        <w:ind w:left="426"/>
        <w:jc w:val="both"/>
        <w:rPr>
          <w:rFonts w:ascii="Avenir Next" w:hAnsi="Avenir Next" w:cs="Arial"/>
          <w:sz w:val="22"/>
          <w:szCs w:val="22"/>
          <w:lang w:val="en-GB"/>
        </w:rPr>
      </w:pPr>
      <w:r w:rsidRPr="000A27A3">
        <w:rPr>
          <w:rFonts w:ascii="Avenir Next" w:hAnsi="Avenir Next" w:cs="Arial"/>
          <w:sz w:val="22"/>
          <w:szCs w:val="22"/>
          <w:lang w:val="en-GB"/>
        </w:rPr>
        <w:t>What are the options open to Orange Mortgages Limited in respect of any redress against Yellow Limited?</w:t>
      </w:r>
    </w:p>
    <w:p w14:paraId="1BB73B64" w14:textId="77777777" w:rsidR="00887E34" w:rsidRPr="002B3315" w:rsidRDefault="00887E34" w:rsidP="0059686D">
      <w:pPr>
        <w:jc w:val="both"/>
        <w:rPr>
          <w:rFonts w:ascii="Arial" w:hAnsi="Arial" w:cs="Arial"/>
          <w:sz w:val="22"/>
          <w:szCs w:val="22"/>
          <w:lang w:val="en-GB"/>
        </w:rPr>
      </w:pPr>
    </w:p>
    <w:p w14:paraId="44BF621C" w14:textId="0C168C89" w:rsidR="00DE45FE" w:rsidRPr="002B3315" w:rsidRDefault="001953C1"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Orange Mortgages Limited (“</w:t>
      </w:r>
      <w:r w:rsidRPr="002B3315">
        <w:rPr>
          <w:rFonts w:ascii="Arial" w:hAnsi="Arial" w:cs="Arial"/>
          <w:b/>
          <w:bCs/>
          <w:color w:val="7B7B7B" w:themeColor="accent3" w:themeShade="BF"/>
          <w:sz w:val="22"/>
          <w:szCs w:val="22"/>
          <w:lang w:val="en-GB"/>
        </w:rPr>
        <w:t>Orange</w:t>
      </w:r>
      <w:r w:rsidRPr="002B3315">
        <w:rPr>
          <w:rFonts w:ascii="Arial" w:hAnsi="Arial" w:cs="Arial"/>
          <w:color w:val="7B7B7B" w:themeColor="accent3" w:themeShade="BF"/>
          <w:sz w:val="22"/>
          <w:szCs w:val="22"/>
          <w:lang w:val="en-GB"/>
        </w:rPr>
        <w:t xml:space="preserve">”) </w:t>
      </w:r>
      <w:r w:rsidR="00FE3013" w:rsidRPr="002B3315">
        <w:rPr>
          <w:rFonts w:ascii="Arial" w:hAnsi="Arial" w:cs="Arial"/>
          <w:color w:val="7B7B7B" w:themeColor="accent3" w:themeShade="BF"/>
          <w:sz w:val="22"/>
          <w:szCs w:val="22"/>
          <w:lang w:val="en-GB"/>
        </w:rPr>
        <w:t xml:space="preserve">has the following options </w:t>
      </w:r>
      <w:r w:rsidR="007010DE" w:rsidRPr="002B3315">
        <w:rPr>
          <w:rFonts w:ascii="Arial" w:hAnsi="Arial" w:cs="Arial"/>
          <w:color w:val="7B7B7B" w:themeColor="accent3" w:themeShade="BF"/>
          <w:sz w:val="22"/>
          <w:szCs w:val="22"/>
          <w:lang w:val="en-GB"/>
        </w:rPr>
        <w:t>in respect of any redress against Yellow Limited (“</w:t>
      </w:r>
      <w:r w:rsidR="007010DE" w:rsidRPr="002B3315">
        <w:rPr>
          <w:rFonts w:ascii="Arial" w:hAnsi="Arial" w:cs="Arial"/>
          <w:b/>
          <w:bCs/>
          <w:color w:val="7B7B7B" w:themeColor="accent3" w:themeShade="BF"/>
          <w:sz w:val="22"/>
          <w:szCs w:val="22"/>
          <w:lang w:val="en-GB"/>
        </w:rPr>
        <w:t>Yellow</w:t>
      </w:r>
      <w:r w:rsidR="007010DE" w:rsidRPr="002B3315">
        <w:rPr>
          <w:rFonts w:ascii="Arial" w:hAnsi="Arial" w:cs="Arial"/>
          <w:color w:val="7B7B7B" w:themeColor="accent3" w:themeShade="BF"/>
          <w:sz w:val="22"/>
          <w:szCs w:val="22"/>
          <w:lang w:val="en-GB"/>
        </w:rPr>
        <w:t>”)</w:t>
      </w:r>
      <w:r w:rsidR="00FE3013" w:rsidRPr="002B3315">
        <w:rPr>
          <w:rFonts w:ascii="Arial" w:hAnsi="Arial" w:cs="Arial"/>
          <w:color w:val="7B7B7B" w:themeColor="accent3" w:themeShade="BF"/>
          <w:sz w:val="22"/>
          <w:szCs w:val="22"/>
          <w:lang w:val="en-GB"/>
        </w:rPr>
        <w:t xml:space="preserve"> for the four months arrears on the mortgage</w:t>
      </w:r>
      <w:r w:rsidR="00CF4396" w:rsidRPr="002B3315">
        <w:rPr>
          <w:rFonts w:ascii="Arial" w:hAnsi="Arial" w:cs="Arial"/>
          <w:color w:val="7B7B7B" w:themeColor="accent3" w:themeShade="BF"/>
          <w:sz w:val="22"/>
          <w:szCs w:val="22"/>
          <w:lang w:val="en-GB"/>
        </w:rPr>
        <w:t xml:space="preserve"> over the property (“</w:t>
      </w:r>
      <w:r w:rsidR="00CF4396" w:rsidRPr="002B3315">
        <w:rPr>
          <w:rFonts w:ascii="Arial" w:hAnsi="Arial" w:cs="Arial"/>
          <w:b/>
          <w:bCs/>
          <w:color w:val="7B7B7B" w:themeColor="accent3" w:themeShade="BF"/>
          <w:sz w:val="22"/>
          <w:szCs w:val="22"/>
          <w:lang w:val="en-GB"/>
        </w:rPr>
        <w:t>Property</w:t>
      </w:r>
      <w:r w:rsidR="00CF4396" w:rsidRPr="002B3315">
        <w:rPr>
          <w:rFonts w:ascii="Arial" w:hAnsi="Arial" w:cs="Arial"/>
          <w:color w:val="7B7B7B" w:themeColor="accent3" w:themeShade="BF"/>
          <w:sz w:val="22"/>
          <w:szCs w:val="22"/>
          <w:lang w:val="en-GB"/>
        </w:rPr>
        <w:t>”) situated in the British Virgin Islands (“</w:t>
      </w:r>
      <w:r w:rsidR="00CF4396" w:rsidRPr="002B3315">
        <w:rPr>
          <w:rFonts w:ascii="Arial" w:hAnsi="Arial" w:cs="Arial"/>
          <w:b/>
          <w:bCs/>
          <w:color w:val="7B7B7B" w:themeColor="accent3" w:themeShade="BF"/>
          <w:sz w:val="22"/>
          <w:szCs w:val="22"/>
          <w:lang w:val="en-GB"/>
        </w:rPr>
        <w:t>BVI</w:t>
      </w:r>
      <w:r w:rsidR="00CF4396" w:rsidRPr="002B3315">
        <w:rPr>
          <w:rFonts w:ascii="Arial" w:hAnsi="Arial" w:cs="Arial"/>
          <w:color w:val="7B7B7B" w:themeColor="accent3" w:themeShade="BF"/>
          <w:sz w:val="22"/>
          <w:szCs w:val="22"/>
          <w:lang w:val="en-GB"/>
        </w:rPr>
        <w:t>”)</w:t>
      </w:r>
      <w:r w:rsidR="007010DE" w:rsidRPr="002B3315">
        <w:rPr>
          <w:rFonts w:ascii="Arial" w:hAnsi="Arial" w:cs="Arial"/>
          <w:color w:val="7B7B7B" w:themeColor="accent3" w:themeShade="BF"/>
          <w:sz w:val="22"/>
          <w:szCs w:val="22"/>
          <w:lang w:val="en-GB"/>
        </w:rPr>
        <w:t>:</w:t>
      </w:r>
    </w:p>
    <w:p w14:paraId="4F90C316" w14:textId="60D594FA" w:rsidR="009E116E" w:rsidRPr="002B3315" w:rsidRDefault="009E116E" w:rsidP="0059686D">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Appoint a </w:t>
      </w:r>
      <w:proofErr w:type="gramStart"/>
      <w:r w:rsidRPr="002B3315">
        <w:rPr>
          <w:rFonts w:ascii="Arial" w:hAnsi="Arial" w:cs="Arial"/>
          <w:color w:val="7B7B7B" w:themeColor="accent3" w:themeShade="BF"/>
          <w:sz w:val="22"/>
          <w:szCs w:val="22"/>
          <w:lang w:val="en-GB"/>
        </w:rPr>
        <w:t>receiver;</w:t>
      </w:r>
      <w:proofErr w:type="gramEnd"/>
    </w:p>
    <w:p w14:paraId="15FD6C2C" w14:textId="3E2A18D5" w:rsidR="00CC0780" w:rsidRPr="002B3315" w:rsidRDefault="00CC0780" w:rsidP="0059686D">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Statutory demand; and</w:t>
      </w:r>
    </w:p>
    <w:p w14:paraId="69E8A430" w14:textId="7BB8DE67" w:rsidR="00CC0780" w:rsidRPr="002B3315" w:rsidRDefault="00CC0780" w:rsidP="0059686D">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Debt action.</w:t>
      </w:r>
    </w:p>
    <w:p w14:paraId="58DEB827" w14:textId="77777777" w:rsidR="00C90A60" w:rsidRPr="002B3315" w:rsidRDefault="00C90A60" w:rsidP="0059686D">
      <w:pPr>
        <w:autoSpaceDE w:val="0"/>
        <w:autoSpaceDN w:val="0"/>
        <w:adjustRightInd w:val="0"/>
        <w:jc w:val="both"/>
        <w:rPr>
          <w:rFonts w:ascii="Arial" w:hAnsi="Arial" w:cs="Arial"/>
          <w:b/>
          <w:bCs/>
          <w:color w:val="7B7B7B" w:themeColor="accent3" w:themeShade="BF"/>
          <w:sz w:val="22"/>
          <w:szCs w:val="22"/>
          <w:u w:val="single"/>
          <w:lang w:val="en-GB"/>
        </w:rPr>
      </w:pPr>
    </w:p>
    <w:p w14:paraId="04214FB1" w14:textId="347A74C7" w:rsidR="009E116E" w:rsidRPr="002B3315" w:rsidRDefault="00EF766C" w:rsidP="0059686D">
      <w:pPr>
        <w:autoSpaceDE w:val="0"/>
        <w:autoSpaceDN w:val="0"/>
        <w:adjustRightInd w:val="0"/>
        <w:jc w:val="both"/>
        <w:rPr>
          <w:rFonts w:ascii="Arial" w:hAnsi="Arial" w:cs="Arial"/>
          <w:b/>
          <w:bCs/>
          <w:color w:val="7B7B7B" w:themeColor="accent3" w:themeShade="BF"/>
          <w:sz w:val="22"/>
          <w:szCs w:val="22"/>
          <w:u w:val="single"/>
          <w:lang w:val="en-GB"/>
        </w:rPr>
      </w:pPr>
      <w:r w:rsidRPr="002B3315">
        <w:rPr>
          <w:rFonts w:ascii="Arial" w:hAnsi="Arial" w:cs="Arial"/>
          <w:b/>
          <w:bCs/>
          <w:color w:val="7B7B7B" w:themeColor="accent3" w:themeShade="BF"/>
          <w:sz w:val="22"/>
          <w:szCs w:val="22"/>
          <w:u w:val="single"/>
          <w:lang w:val="en-GB"/>
        </w:rPr>
        <w:t>Appoint a receiver</w:t>
      </w:r>
    </w:p>
    <w:p w14:paraId="4F1DB1AC" w14:textId="00DA60E2" w:rsidR="003B1A74" w:rsidRPr="002B3315" w:rsidRDefault="003B1A74"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The appointment of receiver</w:t>
      </w:r>
      <w:r w:rsidR="006B4E08" w:rsidRPr="002B3315">
        <w:rPr>
          <w:rFonts w:ascii="Arial" w:hAnsi="Arial" w:cs="Arial"/>
          <w:color w:val="7B7B7B" w:themeColor="accent3" w:themeShade="BF"/>
          <w:sz w:val="22"/>
          <w:szCs w:val="22"/>
          <w:lang w:val="en-GB"/>
        </w:rPr>
        <w:t xml:space="preserve">s in the </w:t>
      </w:r>
      <w:r w:rsidR="00CF4396" w:rsidRPr="002B3315">
        <w:rPr>
          <w:rFonts w:ascii="Arial" w:hAnsi="Arial" w:cs="Arial"/>
          <w:color w:val="7B7B7B" w:themeColor="accent3" w:themeShade="BF"/>
          <w:sz w:val="22"/>
          <w:szCs w:val="22"/>
          <w:lang w:val="en-GB"/>
        </w:rPr>
        <w:t>BVI</w:t>
      </w:r>
      <w:r w:rsidR="006B4E08" w:rsidRPr="002B3315">
        <w:rPr>
          <w:rFonts w:ascii="Arial" w:hAnsi="Arial" w:cs="Arial"/>
          <w:color w:val="7B7B7B" w:themeColor="accent3" w:themeShade="BF"/>
          <w:sz w:val="22"/>
          <w:szCs w:val="22"/>
          <w:lang w:val="en-GB"/>
        </w:rPr>
        <w:t xml:space="preserve"> is </w:t>
      </w:r>
      <w:r w:rsidRPr="002B3315">
        <w:rPr>
          <w:rFonts w:ascii="Arial" w:hAnsi="Arial" w:cs="Arial"/>
          <w:color w:val="7B7B7B" w:themeColor="accent3" w:themeShade="BF"/>
          <w:sz w:val="22"/>
          <w:szCs w:val="22"/>
          <w:lang w:val="en-GB"/>
        </w:rPr>
        <w:t>“</w:t>
      </w:r>
      <w:r w:rsidR="00FE3013" w:rsidRPr="002B3315">
        <w:rPr>
          <w:rFonts w:ascii="Arial" w:hAnsi="Arial" w:cs="Arial"/>
          <w:i/>
          <w:iCs/>
          <w:color w:val="7B7B7B" w:themeColor="accent3" w:themeShade="BF"/>
          <w:sz w:val="22"/>
          <w:szCs w:val="22"/>
          <w:lang w:val="en-GB"/>
        </w:rPr>
        <w:t xml:space="preserve">commonly </w:t>
      </w:r>
      <w:r w:rsidRPr="002B3315">
        <w:rPr>
          <w:rFonts w:ascii="Arial" w:hAnsi="Arial" w:cs="Arial"/>
          <w:i/>
          <w:iCs/>
          <w:color w:val="7B7B7B" w:themeColor="accent3" w:themeShade="BF"/>
          <w:sz w:val="22"/>
          <w:szCs w:val="22"/>
          <w:lang w:val="en-GB"/>
        </w:rPr>
        <w:t>used as a</w:t>
      </w:r>
      <w:r w:rsidR="006B4E08" w:rsidRPr="002B3315">
        <w:rPr>
          <w:rFonts w:ascii="Arial" w:hAnsi="Arial" w:cs="Arial"/>
          <w:i/>
          <w:iCs/>
          <w:color w:val="7B7B7B" w:themeColor="accent3" w:themeShade="BF"/>
          <w:sz w:val="22"/>
          <w:szCs w:val="22"/>
          <w:lang w:val="en-GB"/>
        </w:rPr>
        <w:t xml:space="preserve"> </w:t>
      </w:r>
      <w:r w:rsidRPr="002B3315">
        <w:rPr>
          <w:rFonts w:ascii="Arial" w:hAnsi="Arial" w:cs="Arial"/>
          <w:i/>
          <w:iCs/>
          <w:color w:val="7B7B7B" w:themeColor="accent3" w:themeShade="BF"/>
          <w:sz w:val="22"/>
          <w:szCs w:val="22"/>
          <w:lang w:val="en-GB"/>
        </w:rPr>
        <w:t>remedy by which a secured creditor can enforce its security</w:t>
      </w:r>
      <w:r w:rsidR="006B4E08" w:rsidRPr="002B3315">
        <w:rPr>
          <w:rFonts w:ascii="Arial" w:hAnsi="Arial" w:cs="Arial"/>
          <w:i/>
          <w:iCs/>
          <w:color w:val="7B7B7B" w:themeColor="accent3" w:themeShade="BF"/>
          <w:sz w:val="22"/>
          <w:szCs w:val="22"/>
          <w:lang w:val="en-GB"/>
        </w:rPr>
        <w:t xml:space="preserve"> </w:t>
      </w:r>
      <w:r w:rsidRPr="002B3315">
        <w:rPr>
          <w:rFonts w:ascii="Arial" w:hAnsi="Arial" w:cs="Arial"/>
          <w:i/>
          <w:iCs/>
          <w:color w:val="7B7B7B" w:themeColor="accent3" w:themeShade="BF"/>
          <w:sz w:val="22"/>
          <w:szCs w:val="22"/>
          <w:lang w:val="en-GB"/>
        </w:rPr>
        <w:t>against assets of a company that is in financial difficulty or in</w:t>
      </w:r>
      <w:r w:rsidR="006B4E08" w:rsidRPr="002B3315">
        <w:rPr>
          <w:rFonts w:ascii="Arial" w:hAnsi="Arial" w:cs="Arial"/>
          <w:i/>
          <w:iCs/>
          <w:color w:val="7B7B7B" w:themeColor="accent3" w:themeShade="BF"/>
          <w:sz w:val="22"/>
          <w:szCs w:val="22"/>
          <w:lang w:val="en-GB"/>
        </w:rPr>
        <w:t xml:space="preserve"> </w:t>
      </w:r>
      <w:r w:rsidRPr="002B3315">
        <w:rPr>
          <w:rFonts w:ascii="Arial" w:hAnsi="Arial" w:cs="Arial"/>
          <w:i/>
          <w:iCs/>
          <w:color w:val="7B7B7B" w:themeColor="accent3" w:themeShade="BF"/>
          <w:sz w:val="22"/>
          <w:szCs w:val="22"/>
          <w:lang w:val="en-GB"/>
        </w:rPr>
        <w:t>breach of a debt obligation.</w:t>
      </w:r>
      <w:r w:rsidRPr="002B3315">
        <w:rPr>
          <w:rFonts w:ascii="Arial" w:hAnsi="Arial" w:cs="Arial"/>
          <w:color w:val="7B7B7B" w:themeColor="accent3" w:themeShade="BF"/>
          <w:sz w:val="22"/>
          <w:szCs w:val="22"/>
          <w:lang w:val="en-GB"/>
        </w:rPr>
        <w:t>”</w:t>
      </w:r>
      <w:r w:rsidRPr="002B3315">
        <w:rPr>
          <w:rStyle w:val="FootnoteReference"/>
          <w:rFonts w:ascii="Arial" w:hAnsi="Arial" w:cs="Arial"/>
          <w:color w:val="7B7B7B" w:themeColor="accent3" w:themeShade="BF"/>
          <w:sz w:val="22"/>
          <w:szCs w:val="22"/>
          <w:lang w:val="en-GB"/>
        </w:rPr>
        <w:footnoteReference w:id="153"/>
      </w:r>
      <w:r w:rsidR="006B4E08" w:rsidRPr="002B3315">
        <w:rPr>
          <w:rFonts w:ascii="Arial" w:hAnsi="Arial" w:cs="Arial"/>
          <w:color w:val="7B7B7B" w:themeColor="accent3" w:themeShade="BF"/>
          <w:sz w:val="22"/>
          <w:szCs w:val="22"/>
          <w:lang w:val="en-GB"/>
        </w:rPr>
        <w:t xml:space="preserve"> Receiverships in the BVI are governed</w:t>
      </w:r>
      <w:r w:rsidRPr="002B3315">
        <w:rPr>
          <w:rFonts w:ascii="Arial" w:hAnsi="Arial" w:cs="Arial"/>
          <w:color w:val="7B7B7B" w:themeColor="accent3" w:themeShade="BF"/>
          <w:sz w:val="22"/>
          <w:szCs w:val="22"/>
          <w:lang w:val="en-GB"/>
        </w:rPr>
        <w:t xml:space="preserve"> by the Insolvency Act 2003 (“</w:t>
      </w:r>
      <w:r w:rsidR="005A1557" w:rsidRPr="002B3315">
        <w:rPr>
          <w:rFonts w:ascii="Arial" w:hAnsi="Arial" w:cs="Arial"/>
          <w:b/>
          <w:bCs/>
          <w:color w:val="7B7B7B" w:themeColor="accent3" w:themeShade="BF"/>
          <w:sz w:val="22"/>
          <w:szCs w:val="22"/>
          <w:lang w:val="en-GB"/>
        </w:rPr>
        <w:t>Insolvency</w:t>
      </w:r>
      <w:r w:rsidR="006B4E08" w:rsidRPr="002B3315">
        <w:rPr>
          <w:rFonts w:ascii="Arial" w:hAnsi="Arial" w:cs="Arial"/>
          <w:b/>
          <w:bCs/>
          <w:color w:val="7B7B7B" w:themeColor="accent3" w:themeShade="BF"/>
          <w:sz w:val="22"/>
          <w:szCs w:val="22"/>
          <w:lang w:val="en-GB"/>
        </w:rPr>
        <w:t xml:space="preserve"> Act</w:t>
      </w:r>
      <w:r w:rsidRPr="002B3315">
        <w:rPr>
          <w:rFonts w:ascii="Arial" w:hAnsi="Arial" w:cs="Arial"/>
          <w:color w:val="7B7B7B" w:themeColor="accent3" w:themeShade="BF"/>
          <w:sz w:val="22"/>
          <w:szCs w:val="22"/>
          <w:lang w:val="en-GB"/>
        </w:rPr>
        <w:t>”) and Insolvency Rules</w:t>
      </w:r>
      <w:r w:rsidR="00FE3013" w:rsidRPr="002B3315">
        <w:rPr>
          <w:rFonts w:ascii="Arial" w:hAnsi="Arial" w:cs="Arial"/>
          <w:color w:val="7B7B7B" w:themeColor="accent3" w:themeShade="BF"/>
          <w:sz w:val="22"/>
          <w:szCs w:val="22"/>
          <w:lang w:val="en-GB"/>
        </w:rPr>
        <w:t xml:space="preserve"> 2005</w:t>
      </w:r>
      <w:r w:rsidRPr="002B3315">
        <w:rPr>
          <w:rFonts w:ascii="Arial" w:hAnsi="Arial" w:cs="Arial"/>
          <w:color w:val="7B7B7B" w:themeColor="accent3" w:themeShade="BF"/>
          <w:sz w:val="22"/>
          <w:szCs w:val="22"/>
          <w:lang w:val="en-GB"/>
        </w:rPr>
        <w:t xml:space="preserve"> (“</w:t>
      </w:r>
      <w:r w:rsidR="007C57A1" w:rsidRPr="002B3315">
        <w:rPr>
          <w:rFonts w:ascii="Arial" w:hAnsi="Arial" w:cs="Arial"/>
          <w:b/>
          <w:bCs/>
          <w:color w:val="7B7B7B" w:themeColor="accent3" w:themeShade="BF"/>
          <w:sz w:val="22"/>
          <w:szCs w:val="22"/>
          <w:lang w:val="en-GB"/>
        </w:rPr>
        <w:t>Insolvency</w:t>
      </w:r>
      <w:r w:rsidRPr="002B3315">
        <w:rPr>
          <w:rFonts w:ascii="Arial" w:hAnsi="Arial" w:cs="Arial"/>
          <w:b/>
          <w:bCs/>
          <w:color w:val="7B7B7B" w:themeColor="accent3" w:themeShade="BF"/>
          <w:sz w:val="22"/>
          <w:szCs w:val="22"/>
          <w:lang w:val="en-GB"/>
        </w:rPr>
        <w:t xml:space="preserve"> Rules</w:t>
      </w:r>
      <w:r w:rsidRPr="002B3315">
        <w:rPr>
          <w:rFonts w:ascii="Arial" w:hAnsi="Arial" w:cs="Arial"/>
          <w:color w:val="7B7B7B" w:themeColor="accent3" w:themeShade="BF"/>
          <w:sz w:val="22"/>
          <w:szCs w:val="22"/>
          <w:lang w:val="en-GB"/>
        </w:rPr>
        <w:t>”).</w:t>
      </w:r>
    </w:p>
    <w:p w14:paraId="6AF3ABEF" w14:textId="77777777" w:rsidR="003B1A74" w:rsidRPr="002B3315" w:rsidRDefault="003B1A74" w:rsidP="0059686D">
      <w:pPr>
        <w:autoSpaceDE w:val="0"/>
        <w:autoSpaceDN w:val="0"/>
        <w:adjustRightInd w:val="0"/>
        <w:jc w:val="both"/>
        <w:rPr>
          <w:rFonts w:ascii="Arial" w:hAnsi="Arial" w:cs="Arial"/>
          <w:color w:val="7B7B7B" w:themeColor="accent3" w:themeShade="BF"/>
          <w:sz w:val="22"/>
          <w:szCs w:val="22"/>
          <w:lang w:val="en-GB"/>
        </w:rPr>
      </w:pPr>
    </w:p>
    <w:p w14:paraId="435EDFD8" w14:textId="2E5D9EA6" w:rsidR="008B3227" w:rsidRPr="002B3315" w:rsidRDefault="00127DA0"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From the fact pattern, </w:t>
      </w:r>
      <w:r w:rsidR="009E116E" w:rsidRPr="002B3315">
        <w:rPr>
          <w:rFonts w:ascii="Arial" w:hAnsi="Arial" w:cs="Arial"/>
          <w:color w:val="7B7B7B" w:themeColor="accent3" w:themeShade="BF"/>
          <w:sz w:val="22"/>
          <w:szCs w:val="22"/>
          <w:lang w:val="en-GB"/>
        </w:rPr>
        <w:t>it is not clear if</w:t>
      </w:r>
      <w:r w:rsidR="00207707" w:rsidRPr="002B3315">
        <w:rPr>
          <w:rFonts w:ascii="Arial" w:hAnsi="Arial" w:cs="Arial"/>
          <w:color w:val="7B7B7B" w:themeColor="accent3" w:themeShade="BF"/>
          <w:sz w:val="22"/>
          <w:szCs w:val="22"/>
          <w:lang w:val="en-GB"/>
        </w:rPr>
        <w:t xml:space="preserve"> the terms of the mortgage between Orange</w:t>
      </w:r>
      <w:r w:rsidR="00B0556E" w:rsidRPr="002B3315">
        <w:rPr>
          <w:rFonts w:ascii="Arial" w:hAnsi="Arial" w:cs="Arial"/>
          <w:color w:val="7B7B7B" w:themeColor="accent3" w:themeShade="BF"/>
          <w:sz w:val="22"/>
          <w:szCs w:val="22"/>
          <w:lang w:val="en-GB"/>
        </w:rPr>
        <w:t xml:space="preserve"> </w:t>
      </w:r>
      <w:r w:rsidR="00207707" w:rsidRPr="002B3315">
        <w:rPr>
          <w:rFonts w:ascii="Arial" w:hAnsi="Arial" w:cs="Arial"/>
          <w:color w:val="7B7B7B" w:themeColor="accent3" w:themeShade="BF"/>
          <w:sz w:val="22"/>
          <w:szCs w:val="22"/>
          <w:lang w:val="en-GB"/>
        </w:rPr>
        <w:t>and Yell</w:t>
      </w:r>
      <w:r w:rsidR="009E116E" w:rsidRPr="002B3315">
        <w:rPr>
          <w:rFonts w:ascii="Arial" w:hAnsi="Arial" w:cs="Arial"/>
          <w:color w:val="7B7B7B" w:themeColor="accent3" w:themeShade="BF"/>
          <w:sz w:val="22"/>
          <w:szCs w:val="22"/>
          <w:lang w:val="en-GB"/>
        </w:rPr>
        <w:t>ow enable</w:t>
      </w:r>
      <w:r w:rsidR="007B33D3" w:rsidRPr="002B3315">
        <w:rPr>
          <w:rFonts w:ascii="Arial" w:hAnsi="Arial" w:cs="Arial"/>
          <w:color w:val="7B7B7B" w:themeColor="accent3" w:themeShade="BF"/>
          <w:sz w:val="22"/>
          <w:szCs w:val="22"/>
          <w:lang w:val="en-GB"/>
        </w:rPr>
        <w:t>s</w:t>
      </w:r>
      <w:r w:rsidR="009E116E" w:rsidRPr="002B3315">
        <w:rPr>
          <w:rFonts w:ascii="Arial" w:hAnsi="Arial" w:cs="Arial"/>
          <w:color w:val="7B7B7B" w:themeColor="accent3" w:themeShade="BF"/>
          <w:sz w:val="22"/>
          <w:szCs w:val="22"/>
          <w:lang w:val="en-GB"/>
        </w:rPr>
        <w:t xml:space="preserve"> the </w:t>
      </w:r>
      <w:r w:rsidR="00207707" w:rsidRPr="002B3315">
        <w:rPr>
          <w:rFonts w:ascii="Arial" w:hAnsi="Arial" w:cs="Arial"/>
          <w:color w:val="7B7B7B" w:themeColor="accent3" w:themeShade="BF"/>
          <w:sz w:val="22"/>
          <w:szCs w:val="22"/>
          <w:lang w:val="en-GB"/>
        </w:rPr>
        <w:t>appoint</w:t>
      </w:r>
      <w:r w:rsidR="009E116E" w:rsidRPr="002B3315">
        <w:rPr>
          <w:rFonts w:ascii="Arial" w:hAnsi="Arial" w:cs="Arial"/>
          <w:color w:val="7B7B7B" w:themeColor="accent3" w:themeShade="BF"/>
          <w:sz w:val="22"/>
          <w:szCs w:val="22"/>
          <w:lang w:val="en-GB"/>
        </w:rPr>
        <w:t>ment</w:t>
      </w:r>
      <w:r w:rsidR="00207707" w:rsidRPr="002B3315">
        <w:rPr>
          <w:rFonts w:ascii="Arial" w:hAnsi="Arial" w:cs="Arial"/>
          <w:color w:val="7B7B7B" w:themeColor="accent3" w:themeShade="BF"/>
          <w:sz w:val="22"/>
          <w:szCs w:val="22"/>
          <w:lang w:val="en-GB"/>
        </w:rPr>
        <w:t xml:space="preserve"> </w:t>
      </w:r>
      <w:r w:rsidR="009E116E" w:rsidRPr="002B3315">
        <w:rPr>
          <w:rFonts w:ascii="Arial" w:hAnsi="Arial" w:cs="Arial"/>
          <w:color w:val="7B7B7B" w:themeColor="accent3" w:themeShade="BF"/>
          <w:sz w:val="22"/>
          <w:szCs w:val="22"/>
          <w:lang w:val="en-GB"/>
        </w:rPr>
        <w:t xml:space="preserve">of </w:t>
      </w:r>
      <w:r w:rsidR="00207707" w:rsidRPr="002B3315">
        <w:rPr>
          <w:rFonts w:ascii="Arial" w:hAnsi="Arial" w:cs="Arial"/>
          <w:color w:val="7B7B7B" w:themeColor="accent3" w:themeShade="BF"/>
          <w:sz w:val="22"/>
          <w:szCs w:val="22"/>
          <w:lang w:val="en-GB"/>
        </w:rPr>
        <w:t>a receiver.</w:t>
      </w:r>
      <w:r w:rsidR="009E116E" w:rsidRPr="002B3315">
        <w:rPr>
          <w:rFonts w:ascii="Arial" w:hAnsi="Arial" w:cs="Arial"/>
          <w:color w:val="7B7B7B" w:themeColor="accent3" w:themeShade="BF"/>
          <w:sz w:val="22"/>
          <w:szCs w:val="22"/>
          <w:lang w:val="en-GB"/>
        </w:rPr>
        <w:t xml:space="preserve"> However,</w:t>
      </w:r>
      <w:r w:rsidR="00207707" w:rsidRPr="002B3315">
        <w:rPr>
          <w:rFonts w:ascii="Arial" w:hAnsi="Arial" w:cs="Arial"/>
          <w:color w:val="7B7B7B" w:themeColor="accent3" w:themeShade="BF"/>
          <w:sz w:val="22"/>
          <w:szCs w:val="22"/>
          <w:lang w:val="en-GB"/>
        </w:rPr>
        <w:t xml:space="preserve"> </w:t>
      </w:r>
      <w:r w:rsidR="00A87384" w:rsidRPr="002B3315">
        <w:rPr>
          <w:rFonts w:ascii="Arial" w:hAnsi="Arial" w:cs="Arial"/>
          <w:color w:val="7B7B7B" w:themeColor="accent3" w:themeShade="BF"/>
          <w:sz w:val="22"/>
          <w:szCs w:val="22"/>
          <w:lang w:val="en-GB"/>
        </w:rPr>
        <w:t xml:space="preserve">assuming </w:t>
      </w:r>
      <w:r w:rsidR="00B0556E" w:rsidRPr="002B3315">
        <w:rPr>
          <w:rFonts w:ascii="Arial" w:hAnsi="Arial" w:cs="Arial"/>
          <w:color w:val="7B7B7B" w:themeColor="accent3" w:themeShade="BF"/>
          <w:sz w:val="22"/>
          <w:szCs w:val="22"/>
          <w:lang w:val="en-GB"/>
        </w:rPr>
        <w:t>it</w:t>
      </w:r>
      <w:r w:rsidR="00A87384" w:rsidRPr="002B3315">
        <w:rPr>
          <w:rFonts w:ascii="Arial" w:hAnsi="Arial" w:cs="Arial"/>
          <w:color w:val="7B7B7B" w:themeColor="accent3" w:themeShade="BF"/>
          <w:sz w:val="22"/>
          <w:szCs w:val="22"/>
          <w:lang w:val="en-GB"/>
        </w:rPr>
        <w:t xml:space="preserve"> does</w:t>
      </w:r>
      <w:r w:rsidR="007B33D3" w:rsidRPr="002B3315">
        <w:rPr>
          <w:rFonts w:ascii="Arial" w:hAnsi="Arial" w:cs="Arial"/>
          <w:color w:val="7B7B7B" w:themeColor="accent3" w:themeShade="BF"/>
          <w:sz w:val="22"/>
          <w:szCs w:val="22"/>
          <w:lang w:val="en-GB"/>
        </w:rPr>
        <w:t xml:space="preserve"> (and this is likely</w:t>
      </w:r>
      <w:r w:rsidR="006C0048" w:rsidRPr="002B3315">
        <w:rPr>
          <w:rFonts w:ascii="Arial" w:hAnsi="Arial" w:cs="Arial"/>
          <w:color w:val="7B7B7B" w:themeColor="accent3" w:themeShade="BF"/>
          <w:sz w:val="22"/>
          <w:szCs w:val="22"/>
          <w:lang w:val="en-GB"/>
        </w:rPr>
        <w:t xml:space="preserve"> as it is a commercial term to protect lenders</w:t>
      </w:r>
      <w:r w:rsidR="007B33D3" w:rsidRPr="002B3315">
        <w:rPr>
          <w:rFonts w:ascii="Arial" w:hAnsi="Arial" w:cs="Arial"/>
          <w:color w:val="7B7B7B" w:themeColor="accent3" w:themeShade="BF"/>
          <w:sz w:val="22"/>
          <w:szCs w:val="22"/>
          <w:lang w:val="en-GB"/>
        </w:rPr>
        <w:t>)</w:t>
      </w:r>
      <w:r w:rsidR="00597F67" w:rsidRPr="002B3315">
        <w:rPr>
          <w:rFonts w:ascii="Arial" w:hAnsi="Arial" w:cs="Arial"/>
          <w:color w:val="7B7B7B" w:themeColor="accent3" w:themeShade="BF"/>
          <w:sz w:val="22"/>
          <w:szCs w:val="22"/>
          <w:lang w:val="en-GB"/>
        </w:rPr>
        <w:t xml:space="preserve">, </w:t>
      </w:r>
      <w:r w:rsidR="00C05DAE" w:rsidRPr="002B3315">
        <w:rPr>
          <w:rFonts w:ascii="Arial" w:hAnsi="Arial" w:cs="Arial"/>
          <w:color w:val="7B7B7B" w:themeColor="accent3" w:themeShade="BF"/>
          <w:sz w:val="22"/>
          <w:szCs w:val="22"/>
          <w:lang w:val="en-GB"/>
        </w:rPr>
        <w:t>Orange</w:t>
      </w:r>
      <w:r w:rsidR="00B06CE1" w:rsidRPr="002B3315">
        <w:rPr>
          <w:rFonts w:ascii="Arial" w:hAnsi="Arial" w:cs="Arial"/>
          <w:color w:val="7B7B7B" w:themeColor="accent3" w:themeShade="BF"/>
          <w:sz w:val="22"/>
          <w:szCs w:val="22"/>
          <w:lang w:val="en-GB"/>
        </w:rPr>
        <w:t>, as a secured creditor</w:t>
      </w:r>
      <w:r w:rsidR="00207707" w:rsidRPr="002B3315">
        <w:rPr>
          <w:rFonts w:ascii="Arial" w:hAnsi="Arial" w:cs="Arial"/>
          <w:color w:val="7B7B7B" w:themeColor="accent3" w:themeShade="BF"/>
          <w:sz w:val="22"/>
          <w:szCs w:val="22"/>
          <w:lang w:val="en-GB"/>
        </w:rPr>
        <w:t>,</w:t>
      </w:r>
      <w:r w:rsidR="00C05DAE" w:rsidRPr="002B3315">
        <w:rPr>
          <w:rFonts w:ascii="Arial" w:hAnsi="Arial" w:cs="Arial"/>
          <w:color w:val="7B7B7B" w:themeColor="accent3" w:themeShade="BF"/>
          <w:sz w:val="22"/>
          <w:szCs w:val="22"/>
          <w:lang w:val="en-GB"/>
        </w:rPr>
        <w:t xml:space="preserve"> </w:t>
      </w:r>
      <w:r w:rsidR="00B06CE1" w:rsidRPr="002B3315">
        <w:rPr>
          <w:rFonts w:ascii="Arial" w:hAnsi="Arial" w:cs="Arial"/>
          <w:color w:val="7B7B7B" w:themeColor="accent3" w:themeShade="BF"/>
          <w:sz w:val="22"/>
          <w:szCs w:val="22"/>
          <w:lang w:val="en-GB"/>
        </w:rPr>
        <w:t>can</w:t>
      </w:r>
      <w:r w:rsidR="00C05DAE" w:rsidRPr="002B3315">
        <w:rPr>
          <w:rFonts w:ascii="Arial" w:hAnsi="Arial" w:cs="Arial"/>
          <w:color w:val="7B7B7B" w:themeColor="accent3" w:themeShade="BF"/>
          <w:sz w:val="22"/>
          <w:szCs w:val="22"/>
          <w:lang w:val="en-GB"/>
        </w:rPr>
        <w:t xml:space="preserve"> enforce its security </w:t>
      </w:r>
      <w:r w:rsidR="00B06CE1" w:rsidRPr="002B3315">
        <w:rPr>
          <w:rFonts w:ascii="Arial" w:hAnsi="Arial" w:cs="Arial"/>
          <w:color w:val="7B7B7B" w:themeColor="accent3" w:themeShade="BF"/>
          <w:sz w:val="22"/>
          <w:szCs w:val="22"/>
          <w:lang w:val="en-GB"/>
        </w:rPr>
        <w:t>(</w:t>
      </w:r>
      <w:r w:rsidR="007B33D3" w:rsidRPr="002B3315">
        <w:rPr>
          <w:rFonts w:ascii="Arial" w:hAnsi="Arial" w:cs="Arial"/>
          <w:color w:val="7B7B7B" w:themeColor="accent3" w:themeShade="BF"/>
          <w:sz w:val="22"/>
          <w:szCs w:val="22"/>
          <w:lang w:val="en-GB"/>
        </w:rPr>
        <w:t>the Prope</w:t>
      </w:r>
      <w:r w:rsidR="00051672" w:rsidRPr="002B3315">
        <w:rPr>
          <w:rFonts w:ascii="Arial" w:hAnsi="Arial" w:cs="Arial"/>
          <w:color w:val="7B7B7B" w:themeColor="accent3" w:themeShade="BF"/>
          <w:sz w:val="22"/>
          <w:szCs w:val="22"/>
          <w:lang w:val="en-GB"/>
        </w:rPr>
        <w:t>rty</w:t>
      </w:r>
      <w:r w:rsidR="00B06CE1" w:rsidRPr="002B3315">
        <w:rPr>
          <w:rFonts w:ascii="Arial" w:hAnsi="Arial" w:cs="Arial"/>
          <w:color w:val="7B7B7B" w:themeColor="accent3" w:themeShade="BF"/>
          <w:sz w:val="22"/>
          <w:szCs w:val="22"/>
          <w:lang w:val="en-GB"/>
        </w:rPr>
        <w:t xml:space="preserve">) </w:t>
      </w:r>
      <w:r w:rsidR="00C05DAE" w:rsidRPr="002B3315">
        <w:rPr>
          <w:rFonts w:ascii="Arial" w:hAnsi="Arial" w:cs="Arial"/>
          <w:color w:val="7B7B7B" w:themeColor="accent3" w:themeShade="BF"/>
          <w:sz w:val="22"/>
          <w:szCs w:val="22"/>
          <w:lang w:val="en-GB"/>
        </w:rPr>
        <w:t xml:space="preserve">against </w:t>
      </w:r>
      <w:r w:rsidR="00B06CE1" w:rsidRPr="002B3315">
        <w:rPr>
          <w:rFonts w:ascii="Arial" w:hAnsi="Arial" w:cs="Arial"/>
          <w:color w:val="7B7B7B" w:themeColor="accent3" w:themeShade="BF"/>
          <w:sz w:val="22"/>
          <w:szCs w:val="22"/>
          <w:lang w:val="en-GB"/>
        </w:rPr>
        <w:t xml:space="preserve">Yellow. </w:t>
      </w:r>
      <w:r w:rsidR="00EF766C" w:rsidRPr="002B3315">
        <w:rPr>
          <w:rFonts w:ascii="Arial" w:hAnsi="Arial" w:cs="Arial"/>
          <w:color w:val="7B7B7B" w:themeColor="accent3" w:themeShade="BF"/>
          <w:sz w:val="22"/>
          <w:szCs w:val="22"/>
          <w:lang w:val="en-GB"/>
        </w:rPr>
        <w:t>Under section 115(2)(b) of the</w:t>
      </w:r>
      <w:r w:rsidR="005A1557" w:rsidRPr="002B3315">
        <w:rPr>
          <w:rFonts w:ascii="Arial" w:hAnsi="Arial" w:cs="Arial"/>
          <w:color w:val="7B7B7B" w:themeColor="accent3" w:themeShade="BF"/>
          <w:sz w:val="22"/>
          <w:szCs w:val="22"/>
          <w:lang w:val="en-GB"/>
        </w:rPr>
        <w:t xml:space="preserve"> Insolvency</w:t>
      </w:r>
      <w:r w:rsidR="00EF766C" w:rsidRPr="002B3315">
        <w:rPr>
          <w:rFonts w:ascii="Arial" w:hAnsi="Arial" w:cs="Arial"/>
          <w:color w:val="7B7B7B" w:themeColor="accent3" w:themeShade="BF"/>
          <w:sz w:val="22"/>
          <w:szCs w:val="22"/>
          <w:lang w:val="en-GB"/>
        </w:rPr>
        <w:t xml:space="preserve"> Act, a</w:t>
      </w:r>
      <w:r w:rsidR="006B4E08" w:rsidRPr="002B3315">
        <w:rPr>
          <w:rFonts w:ascii="Arial" w:hAnsi="Arial" w:cs="Arial"/>
          <w:color w:val="7B7B7B" w:themeColor="accent3" w:themeShade="BF"/>
          <w:sz w:val="22"/>
          <w:szCs w:val="22"/>
          <w:lang w:val="en-GB"/>
        </w:rPr>
        <w:t xml:space="preserve"> receiver can be appointed</w:t>
      </w:r>
      <w:r w:rsidR="00EF766C" w:rsidRPr="002B3315">
        <w:rPr>
          <w:rFonts w:ascii="Arial" w:hAnsi="Arial" w:cs="Arial"/>
          <w:color w:val="7B7B7B" w:themeColor="accent3" w:themeShade="BF"/>
          <w:sz w:val="22"/>
          <w:szCs w:val="22"/>
          <w:lang w:val="en-GB"/>
        </w:rPr>
        <w:t xml:space="preserve"> “</w:t>
      </w:r>
      <w:r w:rsidR="00EF766C" w:rsidRPr="002B3315">
        <w:rPr>
          <w:rFonts w:ascii="Arial" w:hAnsi="Arial" w:cs="Arial"/>
          <w:i/>
          <w:iCs/>
          <w:color w:val="7B7B7B" w:themeColor="accent3" w:themeShade="BF"/>
          <w:sz w:val="22"/>
          <w:szCs w:val="22"/>
          <w:lang w:val="en-GB"/>
        </w:rPr>
        <w:t>under a debenture or other instrument</w:t>
      </w:r>
      <w:r w:rsidR="00EF766C" w:rsidRPr="002B3315">
        <w:rPr>
          <w:rFonts w:ascii="Arial" w:hAnsi="Arial" w:cs="Arial"/>
          <w:color w:val="7B7B7B" w:themeColor="accent3" w:themeShade="BF"/>
          <w:sz w:val="22"/>
          <w:szCs w:val="22"/>
          <w:lang w:val="en-GB"/>
        </w:rPr>
        <w:t>”</w:t>
      </w:r>
      <w:r w:rsidR="00EF766C" w:rsidRPr="002B3315">
        <w:rPr>
          <w:rStyle w:val="FootnoteReference"/>
          <w:rFonts w:ascii="Arial" w:hAnsi="Arial" w:cs="Arial"/>
          <w:color w:val="7B7B7B" w:themeColor="accent3" w:themeShade="BF"/>
          <w:sz w:val="22"/>
          <w:szCs w:val="22"/>
          <w:lang w:val="en-GB"/>
        </w:rPr>
        <w:footnoteReference w:id="154"/>
      </w:r>
      <w:r w:rsidR="00EF766C" w:rsidRPr="002B3315">
        <w:rPr>
          <w:rFonts w:ascii="Arial" w:hAnsi="Arial" w:cs="Arial"/>
          <w:color w:val="7B7B7B" w:themeColor="accent3" w:themeShade="BF"/>
          <w:sz w:val="22"/>
          <w:szCs w:val="22"/>
          <w:lang w:val="en-GB"/>
        </w:rPr>
        <w:t>.</w:t>
      </w:r>
      <w:r w:rsidR="00122E6B" w:rsidRPr="002B3315">
        <w:rPr>
          <w:rFonts w:ascii="Arial" w:hAnsi="Arial" w:cs="Arial"/>
          <w:color w:val="7B7B7B" w:themeColor="accent3" w:themeShade="BF"/>
          <w:sz w:val="22"/>
          <w:szCs w:val="22"/>
          <w:lang w:val="en-GB"/>
        </w:rPr>
        <w:t xml:space="preserve"> Even if </w:t>
      </w:r>
      <w:r w:rsidR="00EE2A98" w:rsidRPr="002B3315">
        <w:rPr>
          <w:rFonts w:ascii="Arial" w:hAnsi="Arial" w:cs="Arial"/>
          <w:color w:val="7B7B7B" w:themeColor="accent3" w:themeShade="BF"/>
          <w:sz w:val="22"/>
          <w:szCs w:val="22"/>
          <w:lang w:val="en-GB"/>
        </w:rPr>
        <w:t>the</w:t>
      </w:r>
      <w:r w:rsidR="00B0556E" w:rsidRPr="002B3315">
        <w:rPr>
          <w:rFonts w:ascii="Arial" w:hAnsi="Arial" w:cs="Arial"/>
          <w:color w:val="7B7B7B" w:themeColor="accent3" w:themeShade="BF"/>
          <w:sz w:val="22"/>
          <w:szCs w:val="22"/>
          <w:lang w:val="en-GB"/>
        </w:rPr>
        <w:t xml:space="preserve"> mortgage does not confer </w:t>
      </w:r>
      <w:r w:rsidR="00EE2A98" w:rsidRPr="002B3315">
        <w:rPr>
          <w:rFonts w:ascii="Arial" w:hAnsi="Arial" w:cs="Arial"/>
          <w:color w:val="7B7B7B" w:themeColor="accent3" w:themeShade="BF"/>
          <w:sz w:val="22"/>
          <w:szCs w:val="22"/>
          <w:lang w:val="en-GB"/>
        </w:rPr>
        <w:t xml:space="preserve">on Orange the right to appoint a receiver, a </w:t>
      </w:r>
      <w:r w:rsidR="00122E6B" w:rsidRPr="002B3315">
        <w:rPr>
          <w:rFonts w:ascii="Arial" w:hAnsi="Arial" w:cs="Arial"/>
          <w:color w:val="7B7B7B" w:themeColor="accent3" w:themeShade="BF"/>
          <w:sz w:val="22"/>
          <w:szCs w:val="22"/>
          <w:lang w:val="en-GB"/>
        </w:rPr>
        <w:t>receiver can also be appointed “</w:t>
      </w:r>
      <w:r w:rsidR="00122E6B" w:rsidRPr="002B3315">
        <w:rPr>
          <w:rFonts w:ascii="Arial" w:hAnsi="Arial" w:cs="Arial"/>
          <w:i/>
          <w:iCs/>
          <w:color w:val="7B7B7B" w:themeColor="accent3" w:themeShade="BF"/>
          <w:sz w:val="22"/>
          <w:szCs w:val="22"/>
          <w:lang w:val="en-GB"/>
        </w:rPr>
        <w:t>by the Court</w:t>
      </w:r>
      <w:r w:rsidR="00122E6B" w:rsidRPr="002B3315">
        <w:rPr>
          <w:rFonts w:ascii="Arial" w:hAnsi="Arial" w:cs="Arial"/>
          <w:color w:val="7B7B7B" w:themeColor="accent3" w:themeShade="BF"/>
          <w:sz w:val="22"/>
          <w:szCs w:val="22"/>
          <w:lang w:val="en-GB"/>
        </w:rPr>
        <w:t>” on an application under section 115(2)(a)</w:t>
      </w:r>
      <w:r w:rsidR="00EE2A98" w:rsidRPr="002B3315">
        <w:rPr>
          <w:rFonts w:ascii="Arial" w:hAnsi="Arial" w:cs="Arial"/>
          <w:color w:val="7B7B7B" w:themeColor="accent3" w:themeShade="BF"/>
          <w:sz w:val="22"/>
          <w:szCs w:val="22"/>
          <w:lang w:val="en-GB"/>
        </w:rPr>
        <w:t>.</w:t>
      </w:r>
      <w:r w:rsidR="00EE2A98" w:rsidRPr="002B3315">
        <w:rPr>
          <w:rStyle w:val="FootnoteReference"/>
          <w:rFonts w:ascii="Arial" w:hAnsi="Arial" w:cs="Arial"/>
          <w:color w:val="7B7B7B" w:themeColor="accent3" w:themeShade="BF"/>
          <w:sz w:val="22"/>
          <w:szCs w:val="22"/>
          <w:lang w:val="en-GB"/>
        </w:rPr>
        <w:footnoteReference w:id="155"/>
      </w:r>
      <w:r w:rsidR="008B3227" w:rsidRPr="002B3315">
        <w:rPr>
          <w:rFonts w:ascii="Arial" w:hAnsi="Arial" w:cs="Arial"/>
          <w:color w:val="7B7B7B" w:themeColor="accent3" w:themeShade="BF"/>
          <w:sz w:val="22"/>
          <w:szCs w:val="22"/>
          <w:lang w:val="en-GB"/>
        </w:rPr>
        <w:t xml:space="preserve"> In most cases, a receiver will be appointed out of court (rather than by the court) because it is quicker and cheaper.</w:t>
      </w:r>
      <w:r w:rsidR="008B3227" w:rsidRPr="002B3315">
        <w:rPr>
          <w:rStyle w:val="FootnoteReference"/>
          <w:rFonts w:ascii="Arial" w:hAnsi="Arial" w:cs="Arial"/>
          <w:color w:val="7B7B7B" w:themeColor="accent3" w:themeShade="BF"/>
          <w:sz w:val="22"/>
          <w:szCs w:val="22"/>
          <w:lang w:val="en-GB"/>
        </w:rPr>
        <w:footnoteReference w:id="156"/>
      </w:r>
    </w:p>
    <w:p w14:paraId="5E9B706A" w14:textId="77777777" w:rsidR="009B2F14" w:rsidRPr="002B3315" w:rsidRDefault="009B2F14" w:rsidP="0059686D">
      <w:pPr>
        <w:autoSpaceDE w:val="0"/>
        <w:autoSpaceDN w:val="0"/>
        <w:adjustRightInd w:val="0"/>
        <w:jc w:val="both"/>
        <w:rPr>
          <w:rFonts w:ascii="Arial" w:hAnsi="Arial" w:cs="Arial"/>
          <w:color w:val="7B7B7B" w:themeColor="accent3" w:themeShade="BF"/>
          <w:sz w:val="22"/>
          <w:szCs w:val="22"/>
          <w:lang w:val="en-GB"/>
        </w:rPr>
      </w:pPr>
    </w:p>
    <w:p w14:paraId="5AAED5F3" w14:textId="5CA4BB41" w:rsidR="00EF766C" w:rsidRPr="002B3315" w:rsidRDefault="00EF766C" w:rsidP="0059686D">
      <w:pPr>
        <w:autoSpaceDE w:val="0"/>
        <w:autoSpaceDN w:val="0"/>
        <w:adjustRightInd w:val="0"/>
        <w:jc w:val="both"/>
        <w:rPr>
          <w:rFonts w:ascii="Arial" w:hAnsi="Arial" w:cs="Arial"/>
          <w:color w:val="7B7B7B" w:themeColor="accent3" w:themeShade="BF"/>
          <w:sz w:val="22"/>
          <w:szCs w:val="22"/>
          <w:u w:val="single"/>
          <w:lang w:val="en-GB"/>
        </w:rPr>
      </w:pPr>
      <w:r w:rsidRPr="002B3315">
        <w:rPr>
          <w:rFonts w:ascii="Arial" w:hAnsi="Arial" w:cs="Arial"/>
          <w:color w:val="7B7B7B" w:themeColor="accent3" w:themeShade="BF"/>
          <w:sz w:val="22"/>
          <w:szCs w:val="22"/>
          <w:u w:val="single"/>
          <w:lang w:val="en-GB"/>
        </w:rPr>
        <w:t>Notices</w:t>
      </w:r>
      <w:r w:rsidR="00E42920" w:rsidRPr="002B3315">
        <w:rPr>
          <w:rFonts w:ascii="Arial" w:hAnsi="Arial" w:cs="Arial"/>
          <w:color w:val="7B7B7B" w:themeColor="accent3" w:themeShade="BF"/>
          <w:sz w:val="22"/>
          <w:szCs w:val="22"/>
          <w:u w:val="single"/>
          <w:lang w:val="en-GB"/>
        </w:rPr>
        <w:t>,</w:t>
      </w:r>
      <w:r w:rsidRPr="002B3315">
        <w:rPr>
          <w:rFonts w:ascii="Arial" w:hAnsi="Arial" w:cs="Arial"/>
          <w:color w:val="7B7B7B" w:themeColor="accent3" w:themeShade="BF"/>
          <w:sz w:val="22"/>
          <w:szCs w:val="22"/>
          <w:u w:val="single"/>
          <w:lang w:val="en-GB"/>
        </w:rPr>
        <w:t xml:space="preserve"> notifications </w:t>
      </w:r>
      <w:r w:rsidR="00E42920" w:rsidRPr="002B3315">
        <w:rPr>
          <w:rFonts w:ascii="Arial" w:hAnsi="Arial" w:cs="Arial"/>
          <w:color w:val="7B7B7B" w:themeColor="accent3" w:themeShade="BF"/>
          <w:sz w:val="22"/>
          <w:szCs w:val="22"/>
          <w:u w:val="single"/>
          <w:lang w:val="en-GB"/>
        </w:rPr>
        <w:t>and other requirements for the</w:t>
      </w:r>
      <w:r w:rsidRPr="002B3315">
        <w:rPr>
          <w:rFonts w:ascii="Arial" w:hAnsi="Arial" w:cs="Arial"/>
          <w:color w:val="7B7B7B" w:themeColor="accent3" w:themeShade="BF"/>
          <w:sz w:val="22"/>
          <w:szCs w:val="22"/>
          <w:u w:val="single"/>
          <w:lang w:val="en-GB"/>
        </w:rPr>
        <w:t xml:space="preserve"> appointment of </w:t>
      </w:r>
      <w:r w:rsidR="00E42920" w:rsidRPr="002B3315">
        <w:rPr>
          <w:rFonts w:ascii="Arial" w:hAnsi="Arial" w:cs="Arial"/>
          <w:color w:val="7B7B7B" w:themeColor="accent3" w:themeShade="BF"/>
          <w:sz w:val="22"/>
          <w:szCs w:val="22"/>
          <w:u w:val="single"/>
          <w:lang w:val="en-GB"/>
        </w:rPr>
        <w:t xml:space="preserve">a </w:t>
      </w:r>
      <w:r w:rsidRPr="002B3315">
        <w:rPr>
          <w:rFonts w:ascii="Arial" w:hAnsi="Arial" w:cs="Arial"/>
          <w:color w:val="7B7B7B" w:themeColor="accent3" w:themeShade="BF"/>
          <w:sz w:val="22"/>
          <w:szCs w:val="22"/>
          <w:u w:val="single"/>
          <w:lang w:val="en-GB"/>
        </w:rPr>
        <w:t>receiver</w:t>
      </w:r>
    </w:p>
    <w:p w14:paraId="7BCFBCA7" w14:textId="589C1474" w:rsidR="00237E20" w:rsidRPr="002B3315" w:rsidRDefault="00237E20"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Section 118</w:t>
      </w:r>
      <w:r w:rsidR="00E42920" w:rsidRPr="002B3315">
        <w:rPr>
          <w:rFonts w:ascii="Arial" w:hAnsi="Arial" w:cs="Arial"/>
          <w:color w:val="7B7B7B" w:themeColor="accent3" w:themeShade="BF"/>
          <w:sz w:val="22"/>
          <w:szCs w:val="22"/>
          <w:lang w:val="en-GB"/>
        </w:rPr>
        <w:t xml:space="preserve"> </w:t>
      </w:r>
      <w:r w:rsidR="00801B68" w:rsidRPr="002B3315">
        <w:rPr>
          <w:rFonts w:ascii="Arial" w:hAnsi="Arial" w:cs="Arial"/>
          <w:color w:val="7B7B7B" w:themeColor="accent3" w:themeShade="BF"/>
          <w:sz w:val="22"/>
          <w:szCs w:val="22"/>
          <w:lang w:val="en-GB"/>
        </w:rPr>
        <w:t xml:space="preserve">states that the </w:t>
      </w:r>
      <w:r w:rsidR="00E42920" w:rsidRPr="002B3315">
        <w:rPr>
          <w:rFonts w:ascii="Arial" w:hAnsi="Arial" w:cs="Arial"/>
          <w:color w:val="7B7B7B" w:themeColor="accent3" w:themeShade="BF"/>
          <w:sz w:val="22"/>
          <w:szCs w:val="22"/>
          <w:lang w:val="en-GB"/>
        </w:rPr>
        <w:t>receiver appointed shall</w:t>
      </w:r>
      <w:r w:rsidR="004D3BC0" w:rsidRPr="002B3315">
        <w:rPr>
          <w:rFonts w:ascii="Arial" w:hAnsi="Arial" w:cs="Arial"/>
          <w:color w:val="7B7B7B" w:themeColor="accent3" w:themeShade="BF"/>
          <w:sz w:val="22"/>
          <w:szCs w:val="22"/>
          <w:lang w:val="en-GB"/>
        </w:rPr>
        <w:t>,</w:t>
      </w:r>
      <w:r w:rsidR="00E42920" w:rsidRPr="002B3315">
        <w:rPr>
          <w:rFonts w:ascii="Arial" w:hAnsi="Arial" w:cs="Arial"/>
          <w:color w:val="7B7B7B" w:themeColor="accent3" w:themeShade="BF"/>
          <w:sz w:val="22"/>
          <w:szCs w:val="22"/>
          <w:lang w:val="en-GB"/>
        </w:rPr>
        <w:t xml:space="preserve"> forthwith upon being appointed, send </w:t>
      </w:r>
      <w:r w:rsidRPr="002B3315">
        <w:rPr>
          <w:rFonts w:ascii="Arial" w:hAnsi="Arial" w:cs="Arial"/>
          <w:color w:val="7B7B7B" w:themeColor="accent3" w:themeShade="BF"/>
          <w:sz w:val="22"/>
          <w:szCs w:val="22"/>
          <w:lang w:val="en-GB"/>
        </w:rPr>
        <w:t>notice of their appointment to the company</w:t>
      </w:r>
      <w:r w:rsidR="00C05DAE" w:rsidRPr="002B3315">
        <w:rPr>
          <w:rFonts w:ascii="Arial" w:hAnsi="Arial" w:cs="Arial"/>
          <w:color w:val="7B7B7B" w:themeColor="accent3" w:themeShade="BF"/>
          <w:sz w:val="22"/>
          <w:szCs w:val="22"/>
          <w:lang w:val="en-GB"/>
        </w:rPr>
        <w:t>,</w:t>
      </w:r>
      <w:r w:rsidR="00C05DAE" w:rsidRPr="002B3315">
        <w:rPr>
          <w:rStyle w:val="FootnoteReference"/>
          <w:rFonts w:ascii="Arial" w:hAnsi="Arial" w:cs="Arial"/>
          <w:color w:val="7B7B7B" w:themeColor="accent3" w:themeShade="BF"/>
          <w:sz w:val="22"/>
          <w:szCs w:val="22"/>
          <w:lang w:val="en-GB"/>
        </w:rPr>
        <w:footnoteReference w:id="157"/>
      </w:r>
      <w:r w:rsidR="00C05DAE" w:rsidRPr="002B3315">
        <w:rPr>
          <w:rFonts w:ascii="Arial" w:hAnsi="Arial" w:cs="Arial"/>
          <w:color w:val="7B7B7B" w:themeColor="accent3" w:themeShade="BF"/>
          <w:sz w:val="22"/>
          <w:szCs w:val="22"/>
          <w:lang w:val="en-GB"/>
        </w:rPr>
        <w:t xml:space="preserve"> i.e. </w:t>
      </w:r>
      <w:r w:rsidR="00E42920" w:rsidRPr="002B3315">
        <w:rPr>
          <w:rFonts w:ascii="Arial" w:hAnsi="Arial" w:cs="Arial"/>
          <w:color w:val="7B7B7B" w:themeColor="accent3" w:themeShade="BF"/>
          <w:sz w:val="22"/>
          <w:szCs w:val="22"/>
          <w:lang w:val="en-GB"/>
        </w:rPr>
        <w:t xml:space="preserve">to </w:t>
      </w:r>
      <w:r w:rsidR="00C05DAE" w:rsidRPr="002B3315">
        <w:rPr>
          <w:rFonts w:ascii="Arial" w:hAnsi="Arial" w:cs="Arial"/>
          <w:color w:val="7B7B7B" w:themeColor="accent3" w:themeShade="BF"/>
          <w:sz w:val="22"/>
          <w:szCs w:val="22"/>
          <w:lang w:val="en-GB"/>
        </w:rPr>
        <w:t>Yellow</w:t>
      </w:r>
      <w:r w:rsidR="00E42920" w:rsidRPr="002B3315">
        <w:rPr>
          <w:rFonts w:ascii="Arial" w:hAnsi="Arial" w:cs="Arial"/>
          <w:color w:val="7B7B7B" w:themeColor="accent3" w:themeShade="BF"/>
          <w:sz w:val="22"/>
          <w:szCs w:val="22"/>
          <w:lang w:val="en-GB"/>
        </w:rPr>
        <w:t xml:space="preserve"> and </w:t>
      </w:r>
      <w:r w:rsidR="00F724EA" w:rsidRPr="002B3315">
        <w:rPr>
          <w:rFonts w:ascii="Arial" w:hAnsi="Arial" w:cs="Arial"/>
          <w:color w:val="7B7B7B" w:themeColor="accent3" w:themeShade="BF"/>
          <w:sz w:val="22"/>
          <w:szCs w:val="22"/>
          <w:lang w:val="en-GB"/>
        </w:rPr>
        <w:t xml:space="preserve">as well as file notice </w:t>
      </w:r>
      <w:r w:rsidR="00E42920" w:rsidRPr="002B3315">
        <w:rPr>
          <w:rFonts w:ascii="Arial" w:hAnsi="Arial" w:cs="Arial"/>
          <w:color w:val="7B7B7B" w:themeColor="accent3" w:themeShade="BF"/>
          <w:sz w:val="22"/>
          <w:szCs w:val="22"/>
          <w:lang w:val="en-GB"/>
        </w:rPr>
        <w:t>with the Registrar of Corporate Affairs</w:t>
      </w:r>
      <w:r w:rsidR="00E42920" w:rsidRPr="002B3315">
        <w:rPr>
          <w:rStyle w:val="FootnoteReference"/>
          <w:rFonts w:ascii="Arial" w:hAnsi="Arial" w:cs="Arial"/>
          <w:color w:val="7B7B7B" w:themeColor="accent3" w:themeShade="BF"/>
          <w:sz w:val="22"/>
          <w:szCs w:val="22"/>
          <w:lang w:val="en-GB"/>
        </w:rPr>
        <w:footnoteReference w:id="158"/>
      </w:r>
      <w:r w:rsidR="00C05DAE" w:rsidRPr="002B3315">
        <w:rPr>
          <w:rFonts w:ascii="Arial" w:hAnsi="Arial" w:cs="Arial"/>
          <w:color w:val="7B7B7B" w:themeColor="accent3" w:themeShade="BF"/>
          <w:sz w:val="22"/>
          <w:szCs w:val="22"/>
          <w:lang w:val="en-GB"/>
        </w:rPr>
        <w:t>.</w:t>
      </w:r>
      <w:r w:rsidR="009B2F14" w:rsidRPr="002B3315">
        <w:rPr>
          <w:rFonts w:ascii="Arial" w:hAnsi="Arial" w:cs="Arial"/>
          <w:color w:val="7B7B7B" w:themeColor="accent3" w:themeShade="BF"/>
          <w:sz w:val="22"/>
          <w:szCs w:val="22"/>
          <w:lang w:val="en-GB"/>
        </w:rPr>
        <w:t xml:space="preserve"> </w:t>
      </w:r>
      <w:r w:rsidR="00146771" w:rsidRPr="002B3315">
        <w:rPr>
          <w:rFonts w:ascii="Arial" w:hAnsi="Arial" w:cs="Arial"/>
          <w:color w:val="7B7B7B" w:themeColor="accent3" w:themeShade="BF"/>
          <w:sz w:val="22"/>
          <w:szCs w:val="22"/>
          <w:lang w:val="en-GB"/>
        </w:rPr>
        <w:t xml:space="preserve">Further, section 119 </w:t>
      </w:r>
      <w:r w:rsidR="00E42920" w:rsidRPr="002B3315">
        <w:rPr>
          <w:rFonts w:ascii="Arial" w:hAnsi="Arial" w:cs="Arial"/>
          <w:color w:val="7B7B7B" w:themeColor="accent3" w:themeShade="BF"/>
          <w:sz w:val="22"/>
          <w:szCs w:val="22"/>
          <w:lang w:val="en-GB"/>
        </w:rPr>
        <w:t xml:space="preserve">sets out the </w:t>
      </w:r>
      <w:r w:rsidR="00510F88" w:rsidRPr="002B3315">
        <w:rPr>
          <w:rFonts w:ascii="Arial" w:hAnsi="Arial" w:cs="Arial"/>
          <w:color w:val="7B7B7B" w:themeColor="accent3" w:themeShade="BF"/>
          <w:sz w:val="22"/>
          <w:szCs w:val="22"/>
          <w:lang w:val="en-GB"/>
        </w:rPr>
        <w:t xml:space="preserve">requirements in relation to the </w:t>
      </w:r>
      <w:r w:rsidR="00E42920" w:rsidRPr="002B3315">
        <w:rPr>
          <w:rFonts w:ascii="Arial" w:hAnsi="Arial" w:cs="Arial"/>
          <w:color w:val="7B7B7B" w:themeColor="accent3" w:themeShade="BF"/>
          <w:sz w:val="22"/>
          <w:szCs w:val="22"/>
          <w:lang w:val="en-GB"/>
        </w:rPr>
        <w:t xml:space="preserve">notification of </w:t>
      </w:r>
      <w:r w:rsidR="00510F88" w:rsidRPr="002B3315">
        <w:rPr>
          <w:rFonts w:ascii="Arial" w:hAnsi="Arial" w:cs="Arial"/>
          <w:color w:val="7B7B7B" w:themeColor="accent3" w:themeShade="BF"/>
          <w:sz w:val="22"/>
          <w:szCs w:val="22"/>
          <w:lang w:val="en-GB"/>
        </w:rPr>
        <w:t xml:space="preserve">the </w:t>
      </w:r>
      <w:r w:rsidR="00E42920" w:rsidRPr="002B3315">
        <w:rPr>
          <w:rFonts w:ascii="Arial" w:hAnsi="Arial" w:cs="Arial"/>
          <w:color w:val="7B7B7B" w:themeColor="accent3" w:themeShade="BF"/>
          <w:sz w:val="22"/>
          <w:szCs w:val="22"/>
          <w:lang w:val="en-GB"/>
        </w:rPr>
        <w:t xml:space="preserve">receivership. </w:t>
      </w:r>
      <w:r w:rsidR="00510F88" w:rsidRPr="002B3315">
        <w:rPr>
          <w:rFonts w:ascii="Arial" w:hAnsi="Arial" w:cs="Arial"/>
          <w:color w:val="7B7B7B" w:themeColor="accent3" w:themeShade="BF"/>
          <w:sz w:val="22"/>
          <w:szCs w:val="22"/>
          <w:lang w:val="en-GB"/>
        </w:rPr>
        <w:t>W</w:t>
      </w:r>
      <w:r w:rsidR="00146771" w:rsidRPr="002B3315">
        <w:rPr>
          <w:rFonts w:ascii="Arial" w:hAnsi="Arial" w:cs="Arial"/>
          <w:color w:val="7B7B7B" w:themeColor="accent3" w:themeShade="BF"/>
          <w:sz w:val="22"/>
          <w:szCs w:val="22"/>
          <w:lang w:val="en-GB"/>
        </w:rPr>
        <w:t xml:space="preserve">here a company is in receivership, the documents </w:t>
      </w:r>
      <w:r w:rsidR="004D3BC0" w:rsidRPr="002B3315">
        <w:rPr>
          <w:rFonts w:ascii="Arial" w:hAnsi="Arial" w:cs="Arial"/>
          <w:color w:val="7B7B7B" w:themeColor="accent3" w:themeShade="BF"/>
          <w:sz w:val="22"/>
          <w:szCs w:val="22"/>
          <w:lang w:val="en-GB"/>
        </w:rPr>
        <w:t>listed</w:t>
      </w:r>
      <w:r w:rsidR="00146771" w:rsidRPr="002B3315">
        <w:rPr>
          <w:rFonts w:ascii="Arial" w:hAnsi="Arial" w:cs="Arial"/>
          <w:color w:val="7B7B7B" w:themeColor="accent3" w:themeShade="BF"/>
          <w:sz w:val="22"/>
          <w:szCs w:val="22"/>
          <w:lang w:val="en-GB"/>
        </w:rPr>
        <w:t xml:space="preserve"> in section 119</w:t>
      </w:r>
      <w:r w:rsidR="00510F88" w:rsidRPr="002B3315">
        <w:rPr>
          <w:rFonts w:ascii="Arial" w:hAnsi="Arial" w:cs="Arial"/>
          <w:color w:val="7B7B7B" w:themeColor="accent3" w:themeShade="BF"/>
          <w:sz w:val="22"/>
          <w:szCs w:val="22"/>
          <w:lang w:val="en-GB"/>
        </w:rPr>
        <w:t>(2)</w:t>
      </w:r>
      <w:r w:rsidR="00146771" w:rsidRPr="002B3315">
        <w:rPr>
          <w:rFonts w:ascii="Arial" w:hAnsi="Arial" w:cs="Arial"/>
          <w:color w:val="7B7B7B" w:themeColor="accent3" w:themeShade="BF"/>
          <w:sz w:val="22"/>
          <w:szCs w:val="22"/>
          <w:lang w:val="en-GB"/>
        </w:rPr>
        <w:t xml:space="preserve"> are to contain a statement that a receiver has been appointed.</w:t>
      </w:r>
      <w:r w:rsidR="00146771" w:rsidRPr="002B3315">
        <w:rPr>
          <w:rStyle w:val="FootnoteReference"/>
          <w:rFonts w:ascii="Arial" w:hAnsi="Arial" w:cs="Arial"/>
          <w:color w:val="7B7B7B" w:themeColor="accent3" w:themeShade="BF"/>
          <w:sz w:val="22"/>
          <w:szCs w:val="22"/>
          <w:lang w:val="en-GB"/>
        </w:rPr>
        <w:footnoteReference w:id="159"/>
      </w:r>
      <w:r w:rsidR="00510F88" w:rsidRPr="002B3315">
        <w:rPr>
          <w:rFonts w:ascii="Arial" w:hAnsi="Arial" w:cs="Arial"/>
          <w:color w:val="7B7B7B" w:themeColor="accent3" w:themeShade="BF"/>
          <w:sz w:val="22"/>
          <w:szCs w:val="22"/>
          <w:lang w:val="en-GB"/>
        </w:rPr>
        <w:t xml:space="preserve"> Section </w:t>
      </w:r>
      <w:r w:rsidR="00510F88" w:rsidRPr="002B3315">
        <w:rPr>
          <w:rFonts w:ascii="Arial" w:hAnsi="Arial" w:cs="Arial"/>
          <w:color w:val="7B7B7B" w:themeColor="accent3" w:themeShade="BF"/>
          <w:sz w:val="22"/>
          <w:szCs w:val="22"/>
          <w:lang w:val="en-GB"/>
        </w:rPr>
        <w:lastRenderedPageBreak/>
        <w:t>119(2) includes every public document issued by o</w:t>
      </w:r>
      <w:r w:rsidR="00664D55" w:rsidRPr="002B3315">
        <w:rPr>
          <w:rFonts w:ascii="Arial" w:hAnsi="Arial" w:cs="Arial"/>
          <w:color w:val="7B7B7B" w:themeColor="accent3" w:themeShade="BF"/>
          <w:sz w:val="22"/>
          <w:szCs w:val="22"/>
          <w:lang w:val="en-GB"/>
        </w:rPr>
        <w:t>r</w:t>
      </w:r>
      <w:r w:rsidR="00510F88" w:rsidRPr="002B3315">
        <w:rPr>
          <w:rFonts w:ascii="Arial" w:hAnsi="Arial" w:cs="Arial"/>
          <w:color w:val="7B7B7B" w:themeColor="accent3" w:themeShade="BF"/>
          <w:sz w:val="22"/>
          <w:szCs w:val="22"/>
          <w:lang w:val="en-GB"/>
        </w:rPr>
        <w:t xml:space="preserve"> o</w:t>
      </w:r>
      <w:r w:rsidR="00664D55" w:rsidRPr="002B3315">
        <w:rPr>
          <w:rFonts w:ascii="Arial" w:hAnsi="Arial" w:cs="Arial"/>
          <w:color w:val="7B7B7B" w:themeColor="accent3" w:themeShade="BF"/>
          <w:sz w:val="22"/>
          <w:szCs w:val="22"/>
          <w:lang w:val="en-GB"/>
        </w:rPr>
        <w:t>n</w:t>
      </w:r>
      <w:r w:rsidR="00510F88" w:rsidRPr="002B3315">
        <w:rPr>
          <w:rFonts w:ascii="Arial" w:hAnsi="Arial" w:cs="Arial"/>
          <w:color w:val="7B7B7B" w:themeColor="accent3" w:themeShade="BF"/>
          <w:sz w:val="22"/>
          <w:szCs w:val="22"/>
          <w:lang w:val="en-GB"/>
        </w:rPr>
        <w:t xml:space="preserve"> behalf of Yellow or the receiver that relates to </w:t>
      </w:r>
      <w:r w:rsidR="00646011" w:rsidRPr="002B3315">
        <w:rPr>
          <w:rFonts w:ascii="Arial" w:hAnsi="Arial" w:cs="Arial"/>
          <w:color w:val="7B7B7B" w:themeColor="accent3" w:themeShade="BF"/>
          <w:sz w:val="22"/>
          <w:szCs w:val="22"/>
          <w:lang w:val="en-GB"/>
        </w:rPr>
        <w:t>the Property</w:t>
      </w:r>
      <w:r w:rsidR="00510F88" w:rsidRPr="002B3315">
        <w:rPr>
          <w:rFonts w:ascii="Arial" w:hAnsi="Arial" w:cs="Arial"/>
          <w:color w:val="7B7B7B" w:themeColor="accent3" w:themeShade="BF"/>
          <w:sz w:val="22"/>
          <w:szCs w:val="22"/>
          <w:lang w:val="en-GB"/>
        </w:rPr>
        <w:t>.</w:t>
      </w:r>
      <w:r w:rsidR="00510F88" w:rsidRPr="002B3315">
        <w:rPr>
          <w:rStyle w:val="FootnoteReference"/>
          <w:rFonts w:ascii="Arial" w:hAnsi="Arial" w:cs="Arial"/>
          <w:color w:val="7B7B7B" w:themeColor="accent3" w:themeShade="BF"/>
          <w:sz w:val="22"/>
          <w:szCs w:val="22"/>
          <w:lang w:val="en-GB"/>
        </w:rPr>
        <w:footnoteReference w:id="160"/>
      </w:r>
    </w:p>
    <w:p w14:paraId="0ECC5AFE" w14:textId="77777777" w:rsidR="00510F88" w:rsidRPr="002B3315" w:rsidRDefault="00510F88" w:rsidP="0059686D">
      <w:pPr>
        <w:autoSpaceDE w:val="0"/>
        <w:autoSpaceDN w:val="0"/>
        <w:adjustRightInd w:val="0"/>
        <w:jc w:val="both"/>
        <w:rPr>
          <w:rFonts w:ascii="Arial" w:hAnsi="Arial" w:cs="Arial"/>
          <w:color w:val="7B7B7B" w:themeColor="accent3" w:themeShade="BF"/>
          <w:sz w:val="22"/>
          <w:szCs w:val="22"/>
          <w:lang w:val="en-GB"/>
        </w:rPr>
      </w:pPr>
    </w:p>
    <w:p w14:paraId="28D893C5" w14:textId="776CE8B7" w:rsidR="00510F88" w:rsidRPr="002B3315" w:rsidRDefault="004D3BC0"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If</w:t>
      </w:r>
      <w:r w:rsidR="00EE2A98" w:rsidRPr="002B3315">
        <w:rPr>
          <w:rFonts w:ascii="Arial" w:hAnsi="Arial" w:cs="Arial"/>
          <w:color w:val="7B7B7B" w:themeColor="accent3" w:themeShade="BF"/>
          <w:sz w:val="22"/>
          <w:szCs w:val="22"/>
          <w:lang w:val="en-GB"/>
        </w:rPr>
        <w:t xml:space="preserve"> Orange</w:t>
      </w:r>
      <w:r w:rsidR="00AB78D0" w:rsidRPr="002B3315">
        <w:rPr>
          <w:rFonts w:ascii="Arial" w:hAnsi="Arial" w:cs="Arial"/>
          <w:color w:val="7B7B7B" w:themeColor="accent3" w:themeShade="BF"/>
          <w:sz w:val="22"/>
          <w:szCs w:val="22"/>
          <w:lang w:val="en-GB"/>
        </w:rPr>
        <w:t xml:space="preserve"> appoint</w:t>
      </w:r>
      <w:r w:rsidR="00EE2A98" w:rsidRPr="002B3315">
        <w:rPr>
          <w:rFonts w:ascii="Arial" w:hAnsi="Arial" w:cs="Arial"/>
          <w:color w:val="7B7B7B" w:themeColor="accent3" w:themeShade="BF"/>
          <w:sz w:val="22"/>
          <w:szCs w:val="22"/>
          <w:lang w:val="en-GB"/>
        </w:rPr>
        <w:t>s</w:t>
      </w:r>
      <w:r w:rsidR="00AB78D0" w:rsidRPr="002B3315">
        <w:rPr>
          <w:rFonts w:ascii="Arial" w:hAnsi="Arial" w:cs="Arial"/>
          <w:color w:val="7B7B7B" w:themeColor="accent3" w:themeShade="BF"/>
          <w:sz w:val="22"/>
          <w:szCs w:val="22"/>
          <w:lang w:val="en-GB"/>
        </w:rPr>
        <w:t xml:space="preserve"> </w:t>
      </w:r>
      <w:r w:rsidR="00EE2A98" w:rsidRPr="002B3315">
        <w:rPr>
          <w:rFonts w:ascii="Arial" w:hAnsi="Arial" w:cs="Arial"/>
          <w:color w:val="7B7B7B" w:themeColor="accent3" w:themeShade="BF"/>
          <w:sz w:val="22"/>
          <w:szCs w:val="22"/>
          <w:lang w:val="en-GB"/>
        </w:rPr>
        <w:t xml:space="preserve">a </w:t>
      </w:r>
      <w:r w:rsidR="00AB78D0" w:rsidRPr="002B3315">
        <w:rPr>
          <w:rFonts w:ascii="Arial" w:hAnsi="Arial" w:cs="Arial"/>
          <w:color w:val="7B7B7B" w:themeColor="accent3" w:themeShade="BF"/>
          <w:sz w:val="22"/>
          <w:szCs w:val="22"/>
          <w:lang w:val="en-GB"/>
        </w:rPr>
        <w:t xml:space="preserve">receiver out of court, section 139 sets out further provisions in relation to the receiver’s appointment, including </w:t>
      </w:r>
      <w:r w:rsidR="00927204" w:rsidRPr="002B3315">
        <w:rPr>
          <w:rFonts w:ascii="Arial" w:hAnsi="Arial" w:cs="Arial"/>
          <w:color w:val="7B7B7B" w:themeColor="accent3" w:themeShade="BF"/>
          <w:sz w:val="22"/>
          <w:szCs w:val="22"/>
          <w:lang w:val="en-GB"/>
        </w:rPr>
        <w:t>the receiver</w:t>
      </w:r>
      <w:r w:rsidR="00664D55" w:rsidRPr="002B3315">
        <w:rPr>
          <w:rFonts w:ascii="Arial" w:hAnsi="Arial" w:cs="Arial"/>
          <w:color w:val="7B7B7B" w:themeColor="accent3" w:themeShade="BF"/>
          <w:sz w:val="22"/>
          <w:szCs w:val="22"/>
          <w:lang w:val="en-GB"/>
        </w:rPr>
        <w:t xml:space="preserve"> (</w:t>
      </w:r>
      <w:r w:rsidR="00927204" w:rsidRPr="002B3315">
        <w:rPr>
          <w:rFonts w:ascii="Arial" w:hAnsi="Arial" w:cs="Arial"/>
          <w:color w:val="7B7B7B" w:themeColor="accent3" w:themeShade="BF"/>
          <w:sz w:val="22"/>
          <w:szCs w:val="22"/>
          <w:lang w:val="en-GB"/>
        </w:rPr>
        <w:t>if they accept the appointment</w:t>
      </w:r>
      <w:r w:rsidR="00664D55" w:rsidRPr="002B3315">
        <w:rPr>
          <w:rFonts w:ascii="Arial" w:hAnsi="Arial" w:cs="Arial"/>
          <w:color w:val="7B7B7B" w:themeColor="accent3" w:themeShade="BF"/>
          <w:sz w:val="22"/>
          <w:szCs w:val="22"/>
          <w:lang w:val="en-GB"/>
        </w:rPr>
        <w:t>)</w:t>
      </w:r>
      <w:r w:rsidR="00927204" w:rsidRPr="002B3315">
        <w:rPr>
          <w:rFonts w:ascii="Arial" w:hAnsi="Arial" w:cs="Arial"/>
          <w:color w:val="7B7B7B" w:themeColor="accent3" w:themeShade="BF"/>
          <w:sz w:val="22"/>
          <w:szCs w:val="22"/>
          <w:lang w:val="en-GB"/>
        </w:rPr>
        <w:t xml:space="preserve"> confirm</w:t>
      </w:r>
      <w:r w:rsidR="00664D55" w:rsidRPr="002B3315">
        <w:rPr>
          <w:rFonts w:ascii="Arial" w:hAnsi="Arial" w:cs="Arial"/>
          <w:color w:val="7B7B7B" w:themeColor="accent3" w:themeShade="BF"/>
          <w:sz w:val="22"/>
          <w:szCs w:val="22"/>
          <w:lang w:val="en-GB"/>
        </w:rPr>
        <w:t>ing</w:t>
      </w:r>
      <w:r w:rsidR="00927204" w:rsidRPr="002B3315">
        <w:rPr>
          <w:rFonts w:ascii="Arial" w:hAnsi="Arial" w:cs="Arial"/>
          <w:color w:val="7B7B7B" w:themeColor="accent3" w:themeShade="BF"/>
          <w:sz w:val="22"/>
          <w:szCs w:val="22"/>
          <w:lang w:val="en-GB"/>
        </w:rPr>
        <w:t xml:space="preserve"> within 7 days their acceptance in writing to the </w:t>
      </w:r>
      <w:r w:rsidR="00A87384" w:rsidRPr="002B3315">
        <w:rPr>
          <w:rFonts w:ascii="Arial" w:hAnsi="Arial" w:cs="Arial"/>
          <w:color w:val="7B7B7B" w:themeColor="accent3" w:themeShade="BF"/>
          <w:sz w:val="22"/>
          <w:szCs w:val="22"/>
          <w:lang w:val="en-GB"/>
        </w:rPr>
        <w:t>Orange</w:t>
      </w:r>
      <w:r w:rsidR="005628E2" w:rsidRPr="002B3315">
        <w:rPr>
          <w:rFonts w:ascii="Arial" w:hAnsi="Arial" w:cs="Arial"/>
          <w:color w:val="7B7B7B" w:themeColor="accent3" w:themeShade="BF"/>
          <w:sz w:val="22"/>
          <w:szCs w:val="22"/>
          <w:lang w:val="en-GB"/>
        </w:rPr>
        <w:t>.</w:t>
      </w:r>
      <w:r w:rsidR="005628E2" w:rsidRPr="002B3315">
        <w:rPr>
          <w:rStyle w:val="FootnoteReference"/>
          <w:rFonts w:ascii="Arial" w:hAnsi="Arial" w:cs="Arial"/>
          <w:color w:val="7B7B7B" w:themeColor="accent3" w:themeShade="BF"/>
          <w:sz w:val="22"/>
          <w:szCs w:val="22"/>
          <w:lang w:val="en-GB"/>
        </w:rPr>
        <w:footnoteReference w:id="161"/>
      </w:r>
    </w:p>
    <w:p w14:paraId="50296DA8" w14:textId="77777777" w:rsidR="009E116E" w:rsidRPr="002B3315" w:rsidRDefault="009E116E" w:rsidP="0059686D">
      <w:pPr>
        <w:autoSpaceDE w:val="0"/>
        <w:autoSpaceDN w:val="0"/>
        <w:adjustRightInd w:val="0"/>
        <w:jc w:val="both"/>
        <w:rPr>
          <w:rFonts w:ascii="Arial" w:hAnsi="Arial" w:cs="Arial"/>
          <w:color w:val="7B7B7B" w:themeColor="accent3" w:themeShade="BF"/>
          <w:sz w:val="22"/>
          <w:szCs w:val="22"/>
          <w:lang w:val="en-GB"/>
        </w:rPr>
      </w:pPr>
    </w:p>
    <w:p w14:paraId="778E4C69" w14:textId="2A2FD4CD" w:rsidR="009E116E" w:rsidRPr="002B3315" w:rsidRDefault="00F028DE" w:rsidP="0059686D">
      <w:pPr>
        <w:autoSpaceDE w:val="0"/>
        <w:autoSpaceDN w:val="0"/>
        <w:adjustRightInd w:val="0"/>
        <w:jc w:val="both"/>
        <w:rPr>
          <w:rFonts w:ascii="Arial" w:hAnsi="Arial" w:cs="Arial"/>
          <w:color w:val="7B7B7B" w:themeColor="accent3" w:themeShade="BF"/>
          <w:sz w:val="22"/>
          <w:szCs w:val="22"/>
          <w:u w:val="single"/>
          <w:lang w:val="en-GB"/>
        </w:rPr>
      </w:pPr>
      <w:r w:rsidRPr="002B3315">
        <w:rPr>
          <w:rFonts w:ascii="Arial" w:hAnsi="Arial" w:cs="Arial"/>
          <w:color w:val="7B7B7B" w:themeColor="accent3" w:themeShade="BF"/>
          <w:sz w:val="22"/>
          <w:szCs w:val="22"/>
          <w:u w:val="single"/>
          <w:lang w:val="en-GB"/>
        </w:rPr>
        <w:t>Powers of the receiver</w:t>
      </w:r>
    </w:p>
    <w:p w14:paraId="10C05336" w14:textId="05BD3CE3" w:rsidR="00597F67" w:rsidRPr="002B3315" w:rsidRDefault="005B06E1"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Under section 127, t</w:t>
      </w:r>
      <w:r w:rsidR="00207707" w:rsidRPr="002B3315">
        <w:rPr>
          <w:rFonts w:ascii="Arial" w:hAnsi="Arial" w:cs="Arial"/>
          <w:color w:val="7B7B7B" w:themeColor="accent3" w:themeShade="BF"/>
          <w:sz w:val="22"/>
          <w:szCs w:val="22"/>
          <w:lang w:val="en-GB"/>
        </w:rPr>
        <w:t>he receiver</w:t>
      </w:r>
      <w:r w:rsidR="00B55FDD" w:rsidRPr="002B3315">
        <w:rPr>
          <w:rFonts w:ascii="Arial" w:hAnsi="Arial" w:cs="Arial"/>
          <w:color w:val="7B7B7B" w:themeColor="accent3" w:themeShade="BF"/>
          <w:sz w:val="22"/>
          <w:szCs w:val="22"/>
          <w:lang w:val="en-GB"/>
        </w:rPr>
        <w:t xml:space="preserve"> (if</w:t>
      </w:r>
      <w:r w:rsidR="008C0124" w:rsidRPr="002B3315">
        <w:rPr>
          <w:rFonts w:ascii="Arial" w:hAnsi="Arial" w:cs="Arial"/>
          <w:color w:val="7B7B7B" w:themeColor="accent3" w:themeShade="BF"/>
          <w:sz w:val="22"/>
          <w:szCs w:val="22"/>
          <w:lang w:val="en-GB"/>
        </w:rPr>
        <w:t xml:space="preserve"> appointed</w:t>
      </w:r>
      <w:r w:rsidR="00B55FDD" w:rsidRPr="002B3315">
        <w:rPr>
          <w:rFonts w:ascii="Arial" w:hAnsi="Arial" w:cs="Arial"/>
          <w:color w:val="7B7B7B" w:themeColor="accent3" w:themeShade="BF"/>
          <w:sz w:val="22"/>
          <w:szCs w:val="22"/>
          <w:lang w:val="en-GB"/>
        </w:rPr>
        <w:t xml:space="preserve"> out of court)</w:t>
      </w:r>
      <w:r w:rsidR="008C0124" w:rsidRPr="002B3315">
        <w:rPr>
          <w:rFonts w:ascii="Arial" w:hAnsi="Arial" w:cs="Arial"/>
          <w:color w:val="7B7B7B" w:themeColor="accent3" w:themeShade="BF"/>
          <w:sz w:val="22"/>
          <w:szCs w:val="22"/>
          <w:lang w:val="en-GB"/>
        </w:rPr>
        <w:t>, has the powers expressly or impliedly conferred on</w:t>
      </w:r>
      <w:r w:rsidR="00917C06" w:rsidRPr="002B3315">
        <w:rPr>
          <w:rFonts w:ascii="Arial" w:hAnsi="Arial" w:cs="Arial"/>
          <w:color w:val="7B7B7B" w:themeColor="accent3" w:themeShade="BF"/>
          <w:sz w:val="22"/>
          <w:szCs w:val="22"/>
          <w:lang w:val="en-GB"/>
        </w:rPr>
        <w:t xml:space="preserve"> them</w:t>
      </w:r>
      <w:r w:rsidR="008C0124" w:rsidRPr="002B3315">
        <w:rPr>
          <w:rStyle w:val="FootnoteReference"/>
          <w:rFonts w:ascii="Arial" w:hAnsi="Arial" w:cs="Arial"/>
          <w:color w:val="7B7B7B" w:themeColor="accent3" w:themeShade="BF"/>
          <w:sz w:val="22"/>
          <w:szCs w:val="22"/>
          <w:lang w:val="en-GB"/>
        </w:rPr>
        <w:footnoteReference w:id="162"/>
      </w:r>
      <w:r w:rsidR="00207707" w:rsidRPr="002B3315">
        <w:rPr>
          <w:rFonts w:ascii="Arial" w:hAnsi="Arial" w:cs="Arial"/>
          <w:color w:val="7B7B7B" w:themeColor="accent3" w:themeShade="BF"/>
          <w:sz w:val="22"/>
          <w:szCs w:val="22"/>
          <w:lang w:val="en-GB"/>
        </w:rPr>
        <w:t xml:space="preserve"> </w:t>
      </w:r>
      <w:r w:rsidR="008C0124" w:rsidRPr="002B3315">
        <w:rPr>
          <w:rFonts w:ascii="Arial" w:hAnsi="Arial" w:cs="Arial"/>
          <w:color w:val="7B7B7B" w:themeColor="accent3" w:themeShade="BF"/>
          <w:sz w:val="22"/>
          <w:szCs w:val="22"/>
          <w:lang w:val="en-GB"/>
        </w:rPr>
        <w:t xml:space="preserve">by the </w:t>
      </w:r>
      <w:r w:rsidR="00B55FDD" w:rsidRPr="002B3315">
        <w:rPr>
          <w:rFonts w:ascii="Arial" w:hAnsi="Arial" w:cs="Arial"/>
          <w:color w:val="7B7B7B" w:themeColor="accent3" w:themeShade="BF"/>
          <w:sz w:val="22"/>
          <w:szCs w:val="22"/>
          <w:lang w:val="en-GB"/>
        </w:rPr>
        <w:t xml:space="preserve">charge or </w:t>
      </w:r>
      <w:r w:rsidR="008C0124" w:rsidRPr="002B3315">
        <w:rPr>
          <w:rFonts w:ascii="Arial" w:hAnsi="Arial" w:cs="Arial"/>
          <w:color w:val="7B7B7B" w:themeColor="accent3" w:themeShade="BF"/>
          <w:sz w:val="22"/>
          <w:szCs w:val="22"/>
          <w:lang w:val="en-GB"/>
        </w:rPr>
        <w:t>instrument</w:t>
      </w:r>
      <w:r w:rsidR="00917C06" w:rsidRPr="002B3315">
        <w:rPr>
          <w:rFonts w:ascii="Arial" w:hAnsi="Arial" w:cs="Arial"/>
          <w:color w:val="7B7B7B" w:themeColor="accent3" w:themeShade="BF"/>
          <w:sz w:val="22"/>
          <w:szCs w:val="22"/>
          <w:lang w:val="en-GB"/>
        </w:rPr>
        <w:t xml:space="preserve"> by which they were appointed</w:t>
      </w:r>
      <w:r w:rsidR="008C0124" w:rsidRPr="002B3315">
        <w:rPr>
          <w:rStyle w:val="FootnoteReference"/>
          <w:rFonts w:ascii="Arial" w:hAnsi="Arial" w:cs="Arial"/>
          <w:color w:val="7B7B7B" w:themeColor="accent3" w:themeShade="BF"/>
          <w:sz w:val="22"/>
          <w:szCs w:val="22"/>
          <w:lang w:val="en-GB"/>
        </w:rPr>
        <w:footnoteReference w:id="163"/>
      </w:r>
      <w:r w:rsidR="008C0124" w:rsidRPr="002B3315">
        <w:rPr>
          <w:rFonts w:ascii="Arial" w:hAnsi="Arial" w:cs="Arial"/>
          <w:color w:val="7B7B7B" w:themeColor="accent3" w:themeShade="BF"/>
          <w:sz w:val="22"/>
          <w:szCs w:val="22"/>
          <w:lang w:val="en-GB"/>
        </w:rPr>
        <w:t xml:space="preserve"> </w:t>
      </w:r>
      <w:r w:rsidR="00917C06" w:rsidRPr="002B3315">
        <w:rPr>
          <w:rFonts w:ascii="Arial" w:hAnsi="Arial" w:cs="Arial"/>
          <w:color w:val="7B7B7B" w:themeColor="accent3" w:themeShade="BF"/>
          <w:sz w:val="22"/>
          <w:szCs w:val="22"/>
          <w:lang w:val="en-GB"/>
        </w:rPr>
        <w:t>(</w:t>
      </w:r>
      <w:r w:rsidR="00341A5D" w:rsidRPr="002B3315">
        <w:rPr>
          <w:rFonts w:ascii="Arial" w:hAnsi="Arial" w:cs="Arial"/>
          <w:color w:val="7B7B7B" w:themeColor="accent3" w:themeShade="BF"/>
          <w:sz w:val="22"/>
          <w:szCs w:val="22"/>
          <w:lang w:val="en-GB"/>
        </w:rPr>
        <w:t xml:space="preserve">or </w:t>
      </w:r>
      <w:r w:rsidR="00697184" w:rsidRPr="002B3315">
        <w:rPr>
          <w:rFonts w:ascii="Arial" w:hAnsi="Arial" w:cs="Arial"/>
          <w:color w:val="7B7B7B" w:themeColor="accent3" w:themeShade="BF"/>
          <w:sz w:val="22"/>
          <w:szCs w:val="22"/>
          <w:lang w:val="en-GB"/>
        </w:rPr>
        <w:t xml:space="preserve">the </w:t>
      </w:r>
      <w:r w:rsidR="00341A5D" w:rsidRPr="002B3315">
        <w:rPr>
          <w:rFonts w:ascii="Arial" w:hAnsi="Arial" w:cs="Arial"/>
          <w:color w:val="7B7B7B" w:themeColor="accent3" w:themeShade="BF"/>
          <w:sz w:val="22"/>
          <w:szCs w:val="22"/>
          <w:lang w:val="en-GB"/>
        </w:rPr>
        <w:t xml:space="preserve">court order </w:t>
      </w:r>
      <w:r w:rsidR="004F35DC" w:rsidRPr="002B3315">
        <w:rPr>
          <w:rFonts w:ascii="Arial" w:hAnsi="Arial" w:cs="Arial"/>
          <w:color w:val="7B7B7B" w:themeColor="accent3" w:themeShade="BF"/>
          <w:sz w:val="22"/>
          <w:szCs w:val="22"/>
          <w:lang w:val="en-GB"/>
        </w:rPr>
        <w:t>if</w:t>
      </w:r>
      <w:r w:rsidR="008C0124" w:rsidRPr="002B3315">
        <w:rPr>
          <w:rFonts w:ascii="Arial" w:hAnsi="Arial" w:cs="Arial"/>
          <w:color w:val="7B7B7B" w:themeColor="accent3" w:themeShade="BF"/>
          <w:sz w:val="22"/>
          <w:szCs w:val="22"/>
          <w:lang w:val="en-GB"/>
        </w:rPr>
        <w:t xml:space="preserve"> appointed by</w:t>
      </w:r>
      <w:r w:rsidR="004F35DC" w:rsidRPr="002B3315">
        <w:rPr>
          <w:rFonts w:ascii="Arial" w:hAnsi="Arial" w:cs="Arial"/>
          <w:color w:val="7B7B7B" w:themeColor="accent3" w:themeShade="BF"/>
          <w:sz w:val="22"/>
          <w:szCs w:val="22"/>
          <w:lang w:val="en-GB"/>
        </w:rPr>
        <w:t xml:space="preserve"> the</w:t>
      </w:r>
      <w:r w:rsidR="008C0124" w:rsidRPr="002B3315">
        <w:rPr>
          <w:rFonts w:ascii="Arial" w:hAnsi="Arial" w:cs="Arial"/>
          <w:color w:val="7B7B7B" w:themeColor="accent3" w:themeShade="BF"/>
          <w:sz w:val="22"/>
          <w:szCs w:val="22"/>
          <w:lang w:val="en-GB"/>
        </w:rPr>
        <w:t xml:space="preserve"> court</w:t>
      </w:r>
      <w:r w:rsidR="00917C06" w:rsidRPr="002B3315">
        <w:rPr>
          <w:rFonts w:ascii="Arial" w:hAnsi="Arial" w:cs="Arial"/>
          <w:color w:val="7B7B7B" w:themeColor="accent3" w:themeShade="BF"/>
          <w:sz w:val="22"/>
          <w:szCs w:val="22"/>
          <w:lang w:val="en-GB"/>
        </w:rPr>
        <w:t>)</w:t>
      </w:r>
      <w:r w:rsidR="008C0124" w:rsidRPr="002B3315">
        <w:rPr>
          <w:rStyle w:val="FootnoteReference"/>
          <w:rFonts w:ascii="Arial" w:hAnsi="Arial" w:cs="Arial"/>
          <w:color w:val="7B7B7B" w:themeColor="accent3" w:themeShade="BF"/>
          <w:sz w:val="22"/>
          <w:szCs w:val="22"/>
          <w:lang w:val="en-GB"/>
        </w:rPr>
        <w:footnoteReference w:id="164"/>
      </w:r>
      <w:r w:rsidR="00917C06" w:rsidRPr="002B3315">
        <w:rPr>
          <w:rFonts w:ascii="Arial" w:hAnsi="Arial" w:cs="Arial"/>
          <w:color w:val="7B7B7B" w:themeColor="accent3" w:themeShade="BF"/>
          <w:sz w:val="22"/>
          <w:szCs w:val="22"/>
          <w:lang w:val="en-GB"/>
        </w:rPr>
        <w:t>.</w:t>
      </w:r>
      <w:r w:rsidR="008C0124" w:rsidRPr="002B3315">
        <w:rPr>
          <w:rFonts w:ascii="Arial" w:hAnsi="Arial" w:cs="Arial"/>
          <w:color w:val="7B7B7B" w:themeColor="accent3" w:themeShade="BF"/>
          <w:sz w:val="22"/>
          <w:szCs w:val="22"/>
          <w:lang w:val="en-GB"/>
        </w:rPr>
        <w:t xml:space="preserve"> Unless the</w:t>
      </w:r>
      <w:r w:rsidR="00B55FDD" w:rsidRPr="002B3315">
        <w:rPr>
          <w:rFonts w:ascii="Arial" w:hAnsi="Arial" w:cs="Arial"/>
          <w:color w:val="7B7B7B" w:themeColor="accent3" w:themeShade="BF"/>
          <w:sz w:val="22"/>
          <w:szCs w:val="22"/>
          <w:lang w:val="en-GB"/>
        </w:rPr>
        <w:t xml:space="preserve"> charge or</w:t>
      </w:r>
      <w:r w:rsidR="008C0124" w:rsidRPr="002B3315">
        <w:rPr>
          <w:rFonts w:ascii="Arial" w:hAnsi="Arial" w:cs="Arial"/>
          <w:color w:val="7B7B7B" w:themeColor="accent3" w:themeShade="BF"/>
          <w:sz w:val="22"/>
          <w:szCs w:val="22"/>
          <w:lang w:val="en-GB"/>
        </w:rPr>
        <w:t xml:space="preserve"> instrument </w:t>
      </w:r>
      <w:r w:rsidR="00EE2A98" w:rsidRPr="002B3315">
        <w:rPr>
          <w:rFonts w:ascii="Arial" w:hAnsi="Arial" w:cs="Arial"/>
          <w:color w:val="7B7B7B" w:themeColor="accent3" w:themeShade="BF"/>
          <w:sz w:val="22"/>
          <w:szCs w:val="22"/>
          <w:lang w:val="en-GB"/>
        </w:rPr>
        <w:t xml:space="preserve">(or court order if applicable) </w:t>
      </w:r>
      <w:r w:rsidR="008C0124" w:rsidRPr="002B3315">
        <w:rPr>
          <w:rFonts w:ascii="Arial" w:hAnsi="Arial" w:cs="Arial"/>
          <w:color w:val="7B7B7B" w:themeColor="accent3" w:themeShade="BF"/>
          <w:sz w:val="22"/>
          <w:szCs w:val="22"/>
          <w:lang w:val="en-GB"/>
        </w:rPr>
        <w:t xml:space="preserve">provides otherwise, the receiver </w:t>
      </w:r>
      <w:r w:rsidR="00917C06" w:rsidRPr="002B3315">
        <w:rPr>
          <w:rFonts w:ascii="Arial" w:hAnsi="Arial" w:cs="Arial"/>
          <w:color w:val="7B7B7B" w:themeColor="accent3" w:themeShade="BF"/>
          <w:sz w:val="22"/>
          <w:szCs w:val="22"/>
          <w:lang w:val="en-GB"/>
        </w:rPr>
        <w:t xml:space="preserve">appointed </w:t>
      </w:r>
      <w:r w:rsidR="008C0124" w:rsidRPr="002B3315">
        <w:rPr>
          <w:rFonts w:ascii="Arial" w:hAnsi="Arial" w:cs="Arial"/>
          <w:color w:val="7B7B7B" w:themeColor="accent3" w:themeShade="BF"/>
          <w:sz w:val="22"/>
          <w:szCs w:val="22"/>
          <w:lang w:val="en-GB"/>
        </w:rPr>
        <w:t xml:space="preserve">may, </w:t>
      </w:r>
      <w:r w:rsidR="008C0124" w:rsidRPr="002B3315">
        <w:rPr>
          <w:rFonts w:ascii="Arial" w:hAnsi="Arial" w:cs="Arial"/>
          <w:i/>
          <w:iCs/>
          <w:color w:val="7B7B7B" w:themeColor="accent3" w:themeShade="BF"/>
          <w:sz w:val="22"/>
          <w:szCs w:val="22"/>
          <w:lang w:val="en-GB"/>
        </w:rPr>
        <w:t>inter alia</w:t>
      </w:r>
      <w:r w:rsidR="008C0124" w:rsidRPr="002B3315">
        <w:rPr>
          <w:rFonts w:ascii="Arial" w:hAnsi="Arial" w:cs="Arial"/>
          <w:color w:val="7B7B7B" w:themeColor="accent3" w:themeShade="BF"/>
          <w:sz w:val="22"/>
          <w:szCs w:val="22"/>
          <w:lang w:val="en-GB"/>
        </w:rPr>
        <w:t xml:space="preserve">, </w:t>
      </w:r>
      <w:r w:rsidR="00207707" w:rsidRPr="002B3315">
        <w:rPr>
          <w:rFonts w:ascii="Arial" w:hAnsi="Arial" w:cs="Arial"/>
          <w:color w:val="7B7B7B" w:themeColor="accent3" w:themeShade="BF"/>
          <w:sz w:val="22"/>
          <w:szCs w:val="22"/>
          <w:lang w:val="en-GB"/>
        </w:rPr>
        <w:t>demand and recover</w:t>
      </w:r>
      <w:r w:rsidR="00B62853" w:rsidRPr="002B3315">
        <w:rPr>
          <w:rFonts w:ascii="Arial" w:hAnsi="Arial" w:cs="Arial"/>
          <w:color w:val="7B7B7B" w:themeColor="accent3" w:themeShade="BF"/>
          <w:sz w:val="22"/>
          <w:szCs w:val="22"/>
          <w:lang w:val="en-GB"/>
        </w:rPr>
        <w:t xml:space="preserve"> (</w:t>
      </w:r>
      <w:r w:rsidR="00207707" w:rsidRPr="002B3315">
        <w:rPr>
          <w:rFonts w:ascii="Arial" w:hAnsi="Arial" w:cs="Arial"/>
          <w:color w:val="7B7B7B" w:themeColor="accent3" w:themeShade="BF"/>
          <w:sz w:val="22"/>
          <w:szCs w:val="22"/>
          <w:lang w:val="en-GB"/>
        </w:rPr>
        <w:t>by action or otherwise</w:t>
      </w:r>
      <w:r w:rsidR="00B62853" w:rsidRPr="002B3315">
        <w:rPr>
          <w:rFonts w:ascii="Arial" w:hAnsi="Arial" w:cs="Arial"/>
          <w:color w:val="7B7B7B" w:themeColor="accent3" w:themeShade="BF"/>
          <w:sz w:val="22"/>
          <w:szCs w:val="22"/>
          <w:lang w:val="en-GB"/>
        </w:rPr>
        <w:t>)</w:t>
      </w:r>
      <w:r w:rsidR="00207707" w:rsidRPr="002B3315">
        <w:rPr>
          <w:rFonts w:ascii="Arial" w:hAnsi="Arial" w:cs="Arial"/>
          <w:color w:val="7B7B7B" w:themeColor="accent3" w:themeShade="BF"/>
          <w:sz w:val="22"/>
          <w:szCs w:val="22"/>
          <w:lang w:val="en-GB"/>
        </w:rPr>
        <w:t xml:space="preserve"> income of the assets in respect of</w:t>
      </w:r>
      <w:r w:rsidR="00B62853" w:rsidRPr="002B3315">
        <w:rPr>
          <w:rFonts w:ascii="Arial" w:hAnsi="Arial" w:cs="Arial"/>
          <w:color w:val="7B7B7B" w:themeColor="accent3" w:themeShade="BF"/>
          <w:sz w:val="22"/>
          <w:szCs w:val="22"/>
          <w:lang w:val="en-GB"/>
        </w:rPr>
        <w:t xml:space="preserve"> </w:t>
      </w:r>
      <w:r w:rsidR="00207707" w:rsidRPr="002B3315">
        <w:rPr>
          <w:rFonts w:ascii="Arial" w:hAnsi="Arial" w:cs="Arial"/>
          <w:color w:val="7B7B7B" w:themeColor="accent3" w:themeShade="BF"/>
          <w:sz w:val="22"/>
          <w:szCs w:val="22"/>
          <w:lang w:val="en-GB"/>
        </w:rPr>
        <w:t xml:space="preserve">which </w:t>
      </w:r>
      <w:r w:rsidR="00B55FDD" w:rsidRPr="002B3315">
        <w:rPr>
          <w:rFonts w:ascii="Arial" w:hAnsi="Arial" w:cs="Arial"/>
          <w:color w:val="7B7B7B" w:themeColor="accent3" w:themeShade="BF"/>
          <w:sz w:val="22"/>
          <w:szCs w:val="22"/>
          <w:lang w:val="en-GB"/>
        </w:rPr>
        <w:t>they</w:t>
      </w:r>
      <w:r w:rsidR="00207707" w:rsidRPr="002B3315">
        <w:rPr>
          <w:rFonts w:ascii="Arial" w:hAnsi="Arial" w:cs="Arial"/>
          <w:color w:val="7B7B7B" w:themeColor="accent3" w:themeShade="BF"/>
          <w:sz w:val="22"/>
          <w:szCs w:val="22"/>
          <w:lang w:val="en-GB"/>
        </w:rPr>
        <w:t xml:space="preserve"> w</w:t>
      </w:r>
      <w:r w:rsidR="00B55FDD" w:rsidRPr="002B3315">
        <w:rPr>
          <w:rFonts w:ascii="Arial" w:hAnsi="Arial" w:cs="Arial"/>
          <w:color w:val="7B7B7B" w:themeColor="accent3" w:themeShade="BF"/>
          <w:sz w:val="22"/>
          <w:szCs w:val="22"/>
          <w:lang w:val="en-GB"/>
        </w:rPr>
        <w:t>ere</w:t>
      </w:r>
      <w:r w:rsidR="00207707" w:rsidRPr="002B3315">
        <w:rPr>
          <w:rFonts w:ascii="Arial" w:hAnsi="Arial" w:cs="Arial"/>
          <w:color w:val="7B7B7B" w:themeColor="accent3" w:themeShade="BF"/>
          <w:sz w:val="22"/>
          <w:szCs w:val="22"/>
          <w:lang w:val="en-GB"/>
        </w:rPr>
        <w:t xml:space="preserve"> appointed</w:t>
      </w:r>
      <w:r w:rsidR="00B62853" w:rsidRPr="002B3315">
        <w:rPr>
          <w:rStyle w:val="FootnoteReference"/>
          <w:rFonts w:ascii="Arial" w:hAnsi="Arial" w:cs="Arial"/>
          <w:color w:val="7B7B7B" w:themeColor="accent3" w:themeShade="BF"/>
          <w:sz w:val="22"/>
          <w:szCs w:val="22"/>
          <w:lang w:val="en-GB"/>
        </w:rPr>
        <w:footnoteReference w:id="165"/>
      </w:r>
      <w:r w:rsidR="00597F67" w:rsidRPr="002B3315">
        <w:rPr>
          <w:rFonts w:ascii="Arial" w:hAnsi="Arial" w:cs="Arial"/>
          <w:color w:val="7B7B7B" w:themeColor="accent3" w:themeShade="BF"/>
          <w:sz w:val="22"/>
          <w:szCs w:val="22"/>
          <w:lang w:val="en-GB"/>
        </w:rPr>
        <w:t>.</w:t>
      </w:r>
    </w:p>
    <w:p w14:paraId="44CC5748" w14:textId="77777777" w:rsidR="009E116E" w:rsidRPr="002B3315" w:rsidRDefault="009E116E" w:rsidP="0059686D">
      <w:pPr>
        <w:autoSpaceDE w:val="0"/>
        <w:autoSpaceDN w:val="0"/>
        <w:adjustRightInd w:val="0"/>
        <w:jc w:val="both"/>
        <w:rPr>
          <w:rFonts w:ascii="Arial" w:hAnsi="Arial" w:cs="Arial"/>
          <w:color w:val="7B7B7B" w:themeColor="accent3" w:themeShade="BF"/>
          <w:sz w:val="22"/>
          <w:szCs w:val="22"/>
          <w:lang w:val="en-GB"/>
        </w:rPr>
      </w:pPr>
    </w:p>
    <w:p w14:paraId="17ED7E75" w14:textId="4ED0296D" w:rsidR="00917C06" w:rsidRPr="002B3315" w:rsidRDefault="00CF0ABD"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The fact pattern does not state</w:t>
      </w:r>
      <w:r w:rsidR="0004403F" w:rsidRPr="002B3315">
        <w:rPr>
          <w:rFonts w:ascii="Arial" w:hAnsi="Arial" w:cs="Arial"/>
          <w:color w:val="7B7B7B" w:themeColor="accent3" w:themeShade="BF"/>
          <w:sz w:val="22"/>
          <w:szCs w:val="22"/>
          <w:lang w:val="en-GB"/>
        </w:rPr>
        <w:t xml:space="preserve"> what the powers of any receiver appointed under the mortgage</w:t>
      </w:r>
      <w:r w:rsidR="00917C06" w:rsidRPr="002B3315">
        <w:rPr>
          <w:rFonts w:ascii="Arial" w:hAnsi="Arial" w:cs="Arial"/>
          <w:color w:val="7B7B7B" w:themeColor="accent3" w:themeShade="BF"/>
          <w:sz w:val="22"/>
          <w:szCs w:val="22"/>
          <w:lang w:val="en-GB"/>
        </w:rPr>
        <w:t xml:space="preserve"> between Orange and Yellow </w:t>
      </w:r>
      <w:r w:rsidR="0004403F" w:rsidRPr="002B3315">
        <w:rPr>
          <w:rFonts w:ascii="Arial" w:hAnsi="Arial" w:cs="Arial"/>
          <w:color w:val="7B7B7B" w:themeColor="accent3" w:themeShade="BF"/>
          <w:sz w:val="22"/>
          <w:szCs w:val="22"/>
          <w:lang w:val="en-GB"/>
        </w:rPr>
        <w:t>are</w:t>
      </w:r>
      <w:r w:rsidR="00917C06" w:rsidRPr="002B3315">
        <w:rPr>
          <w:rFonts w:ascii="Arial" w:hAnsi="Arial" w:cs="Arial"/>
          <w:color w:val="7B7B7B" w:themeColor="accent3" w:themeShade="BF"/>
          <w:sz w:val="22"/>
          <w:szCs w:val="22"/>
          <w:lang w:val="en-GB"/>
        </w:rPr>
        <w:t>.</w:t>
      </w:r>
      <w:r w:rsidR="0004403F" w:rsidRPr="002B3315">
        <w:rPr>
          <w:rFonts w:ascii="Arial" w:hAnsi="Arial" w:cs="Arial"/>
          <w:color w:val="7B7B7B" w:themeColor="accent3" w:themeShade="BF"/>
          <w:sz w:val="22"/>
          <w:szCs w:val="22"/>
          <w:lang w:val="en-GB"/>
        </w:rPr>
        <w:t xml:space="preserve"> If a receiver is appointed by way of court application, the court order should be drafted carefully as a court appointed receiver’s powers are derived from the court order.</w:t>
      </w:r>
      <w:r w:rsidR="0004403F" w:rsidRPr="002B3315">
        <w:rPr>
          <w:rStyle w:val="FootnoteReference"/>
          <w:rFonts w:ascii="Arial" w:hAnsi="Arial" w:cs="Arial"/>
          <w:color w:val="7B7B7B" w:themeColor="accent3" w:themeShade="BF"/>
          <w:sz w:val="22"/>
          <w:szCs w:val="22"/>
          <w:lang w:val="en-GB"/>
        </w:rPr>
        <w:footnoteReference w:id="166"/>
      </w:r>
      <w:r w:rsidR="00697184" w:rsidRPr="002B3315">
        <w:rPr>
          <w:rFonts w:ascii="Arial" w:hAnsi="Arial" w:cs="Arial"/>
          <w:color w:val="7B7B7B" w:themeColor="accent3" w:themeShade="BF"/>
          <w:sz w:val="22"/>
          <w:szCs w:val="22"/>
          <w:lang w:val="en-GB"/>
        </w:rPr>
        <w:t xml:space="preserve"> There should be a power of sale included.</w:t>
      </w:r>
    </w:p>
    <w:p w14:paraId="1705A279" w14:textId="77777777" w:rsidR="00917C06" w:rsidRPr="002B3315" w:rsidRDefault="00917C06" w:rsidP="0059686D">
      <w:pPr>
        <w:autoSpaceDE w:val="0"/>
        <w:autoSpaceDN w:val="0"/>
        <w:adjustRightInd w:val="0"/>
        <w:jc w:val="both"/>
        <w:rPr>
          <w:rFonts w:ascii="Arial" w:hAnsi="Arial" w:cs="Arial"/>
          <w:color w:val="7B7B7B" w:themeColor="accent3" w:themeShade="BF"/>
          <w:sz w:val="22"/>
          <w:szCs w:val="22"/>
          <w:lang w:val="en-GB"/>
        </w:rPr>
      </w:pPr>
    </w:p>
    <w:p w14:paraId="0A0C7872" w14:textId="3966D1D1" w:rsidR="00917C06" w:rsidRPr="002B3315" w:rsidRDefault="005B0A61" w:rsidP="0059686D">
      <w:pPr>
        <w:autoSpaceDE w:val="0"/>
        <w:autoSpaceDN w:val="0"/>
        <w:adjustRightInd w:val="0"/>
        <w:jc w:val="both"/>
        <w:rPr>
          <w:rFonts w:ascii="Arial" w:hAnsi="Arial" w:cs="Arial"/>
          <w:color w:val="7B7B7B" w:themeColor="accent3" w:themeShade="BF"/>
          <w:sz w:val="22"/>
          <w:szCs w:val="22"/>
          <w:u w:val="single"/>
          <w:lang w:val="en-GB"/>
        </w:rPr>
      </w:pPr>
      <w:r w:rsidRPr="002B3315">
        <w:rPr>
          <w:rFonts w:ascii="Arial" w:hAnsi="Arial" w:cs="Arial"/>
          <w:color w:val="7B7B7B" w:themeColor="accent3" w:themeShade="BF"/>
          <w:sz w:val="22"/>
          <w:szCs w:val="22"/>
          <w:u w:val="single"/>
          <w:lang w:val="en-GB"/>
        </w:rPr>
        <w:t>General d</w:t>
      </w:r>
      <w:r w:rsidR="00917C06" w:rsidRPr="002B3315">
        <w:rPr>
          <w:rFonts w:ascii="Arial" w:hAnsi="Arial" w:cs="Arial"/>
          <w:color w:val="7B7B7B" w:themeColor="accent3" w:themeShade="BF"/>
          <w:sz w:val="22"/>
          <w:szCs w:val="22"/>
          <w:u w:val="single"/>
          <w:lang w:val="en-GB"/>
        </w:rPr>
        <w:t>uties of the receiver</w:t>
      </w:r>
    </w:p>
    <w:p w14:paraId="57C84B69" w14:textId="207E3163" w:rsidR="008909C3" w:rsidRPr="002B3315" w:rsidRDefault="005B0A61"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Under section 128,</w:t>
      </w:r>
      <w:r w:rsidR="00DF6841" w:rsidRPr="002B3315">
        <w:rPr>
          <w:rFonts w:ascii="Arial" w:hAnsi="Arial" w:cs="Arial"/>
          <w:color w:val="7B7B7B" w:themeColor="accent3" w:themeShade="BF"/>
          <w:sz w:val="22"/>
          <w:szCs w:val="22"/>
          <w:lang w:val="en-GB"/>
        </w:rPr>
        <w:t xml:space="preserve"> </w:t>
      </w:r>
      <w:r w:rsidR="00281B72" w:rsidRPr="002B3315">
        <w:rPr>
          <w:rFonts w:ascii="Arial" w:hAnsi="Arial" w:cs="Arial"/>
          <w:color w:val="7B7B7B" w:themeColor="accent3" w:themeShade="BF"/>
          <w:sz w:val="22"/>
          <w:szCs w:val="22"/>
          <w:lang w:val="en-GB"/>
        </w:rPr>
        <w:t>the</w:t>
      </w:r>
      <w:r w:rsidRPr="002B3315">
        <w:rPr>
          <w:rFonts w:ascii="Arial" w:hAnsi="Arial" w:cs="Arial"/>
          <w:color w:val="7B7B7B" w:themeColor="accent3" w:themeShade="BF"/>
          <w:sz w:val="22"/>
          <w:szCs w:val="22"/>
          <w:lang w:val="en-GB"/>
        </w:rPr>
        <w:t xml:space="preserve"> receiver’s </w:t>
      </w:r>
      <w:r w:rsidR="002E381B" w:rsidRPr="002B3315">
        <w:rPr>
          <w:rFonts w:ascii="Arial" w:hAnsi="Arial" w:cs="Arial"/>
          <w:color w:val="7B7B7B" w:themeColor="accent3" w:themeShade="BF"/>
          <w:sz w:val="22"/>
          <w:szCs w:val="22"/>
          <w:lang w:val="en-GB"/>
        </w:rPr>
        <w:t>primary duty is to exercise their power in good faith and for a proper purpose</w:t>
      </w:r>
      <w:r w:rsidR="002E381B" w:rsidRPr="002B3315">
        <w:rPr>
          <w:rStyle w:val="FootnoteReference"/>
          <w:rFonts w:ascii="Arial" w:hAnsi="Arial" w:cs="Arial"/>
          <w:color w:val="7B7B7B" w:themeColor="accent3" w:themeShade="BF"/>
          <w:sz w:val="22"/>
          <w:szCs w:val="22"/>
          <w:lang w:val="en-GB"/>
        </w:rPr>
        <w:footnoteReference w:id="167"/>
      </w:r>
      <w:r w:rsidR="002E381B" w:rsidRPr="002B3315">
        <w:rPr>
          <w:rFonts w:ascii="Arial" w:hAnsi="Arial" w:cs="Arial"/>
          <w:color w:val="7B7B7B" w:themeColor="accent3" w:themeShade="BF"/>
          <w:sz w:val="22"/>
          <w:szCs w:val="22"/>
          <w:lang w:val="en-GB"/>
        </w:rPr>
        <w:t xml:space="preserve"> as well as in a way they believe (on reasonable grounds) are in the best interests of the person in whose interest they were appointed</w:t>
      </w:r>
      <w:r w:rsidR="002E381B" w:rsidRPr="002B3315">
        <w:rPr>
          <w:rStyle w:val="FootnoteReference"/>
          <w:rFonts w:ascii="Arial" w:hAnsi="Arial" w:cs="Arial"/>
          <w:color w:val="7B7B7B" w:themeColor="accent3" w:themeShade="BF"/>
          <w:sz w:val="22"/>
          <w:szCs w:val="22"/>
          <w:lang w:val="en-GB"/>
        </w:rPr>
        <w:footnoteReference w:id="168"/>
      </w:r>
      <w:r w:rsidR="002E381B" w:rsidRPr="002B3315">
        <w:rPr>
          <w:rFonts w:ascii="Arial" w:hAnsi="Arial" w:cs="Arial"/>
          <w:color w:val="7B7B7B" w:themeColor="accent3" w:themeShade="BF"/>
          <w:sz w:val="22"/>
          <w:szCs w:val="22"/>
          <w:lang w:val="en-GB"/>
        </w:rPr>
        <w:t>, i.e. Orange.</w:t>
      </w:r>
      <w:r w:rsidR="00C62523" w:rsidRPr="002B3315">
        <w:rPr>
          <w:rFonts w:ascii="Arial" w:hAnsi="Arial" w:cs="Arial"/>
          <w:color w:val="7B7B7B" w:themeColor="accent3" w:themeShade="BF"/>
          <w:sz w:val="22"/>
          <w:szCs w:val="22"/>
          <w:lang w:val="en-GB"/>
        </w:rPr>
        <w:t xml:space="preserve"> To the extent consistent with these powers, </w:t>
      </w:r>
      <w:r w:rsidR="00DF6841" w:rsidRPr="002B3315">
        <w:rPr>
          <w:rFonts w:ascii="Arial" w:hAnsi="Arial" w:cs="Arial"/>
          <w:color w:val="7B7B7B" w:themeColor="accent3" w:themeShade="BF"/>
          <w:sz w:val="22"/>
          <w:szCs w:val="22"/>
          <w:lang w:val="en-GB"/>
        </w:rPr>
        <w:t xml:space="preserve">the </w:t>
      </w:r>
      <w:r w:rsidR="00C62523" w:rsidRPr="002B3315">
        <w:rPr>
          <w:rFonts w:ascii="Arial" w:hAnsi="Arial" w:cs="Arial"/>
          <w:color w:val="7B7B7B" w:themeColor="accent3" w:themeShade="BF"/>
          <w:sz w:val="22"/>
          <w:szCs w:val="22"/>
          <w:lang w:val="en-GB"/>
        </w:rPr>
        <w:t xml:space="preserve">receiver shall exercise their powers with reasonable regard to, </w:t>
      </w:r>
      <w:r w:rsidR="00C62523" w:rsidRPr="002B3315">
        <w:rPr>
          <w:rFonts w:ascii="Arial" w:hAnsi="Arial" w:cs="Arial"/>
          <w:i/>
          <w:iCs/>
          <w:color w:val="7B7B7B" w:themeColor="accent3" w:themeShade="BF"/>
          <w:sz w:val="22"/>
          <w:szCs w:val="22"/>
          <w:lang w:val="en-GB"/>
        </w:rPr>
        <w:t>inter alia</w:t>
      </w:r>
      <w:r w:rsidR="00C62523" w:rsidRPr="002B3315">
        <w:rPr>
          <w:rFonts w:ascii="Arial" w:hAnsi="Arial" w:cs="Arial"/>
          <w:color w:val="7B7B7B" w:themeColor="accent3" w:themeShade="BF"/>
          <w:sz w:val="22"/>
          <w:szCs w:val="22"/>
          <w:lang w:val="en-GB"/>
        </w:rPr>
        <w:t>, the interests of Yellow’s creditors and Yellow</w:t>
      </w:r>
      <w:r w:rsidR="00DF6841" w:rsidRPr="002B3315">
        <w:rPr>
          <w:rFonts w:ascii="Arial" w:hAnsi="Arial" w:cs="Arial"/>
          <w:color w:val="7B7B7B" w:themeColor="accent3" w:themeShade="BF"/>
          <w:sz w:val="22"/>
          <w:szCs w:val="22"/>
          <w:lang w:val="en-GB"/>
        </w:rPr>
        <w:t xml:space="preserve"> itself</w:t>
      </w:r>
      <w:r w:rsidR="00C62523" w:rsidRPr="002B3315">
        <w:rPr>
          <w:rFonts w:ascii="Arial" w:hAnsi="Arial" w:cs="Arial"/>
          <w:color w:val="7B7B7B" w:themeColor="accent3" w:themeShade="BF"/>
          <w:sz w:val="22"/>
          <w:szCs w:val="22"/>
          <w:lang w:val="en-GB"/>
        </w:rPr>
        <w:t>.</w:t>
      </w:r>
      <w:r w:rsidR="00C62523" w:rsidRPr="002B3315">
        <w:rPr>
          <w:rStyle w:val="FootnoteReference"/>
          <w:rFonts w:ascii="Arial" w:hAnsi="Arial" w:cs="Arial"/>
          <w:color w:val="7B7B7B" w:themeColor="accent3" w:themeShade="BF"/>
          <w:sz w:val="22"/>
          <w:szCs w:val="22"/>
          <w:lang w:val="en-GB"/>
        </w:rPr>
        <w:footnoteReference w:id="169"/>
      </w:r>
    </w:p>
    <w:p w14:paraId="74C76888" w14:textId="77777777" w:rsidR="008909C3" w:rsidRPr="002B3315" w:rsidRDefault="008909C3" w:rsidP="009E433E">
      <w:pPr>
        <w:autoSpaceDE w:val="0"/>
        <w:autoSpaceDN w:val="0"/>
        <w:adjustRightInd w:val="0"/>
        <w:jc w:val="both"/>
        <w:rPr>
          <w:rFonts w:ascii="Arial" w:hAnsi="Arial" w:cs="Arial"/>
          <w:color w:val="7B7B7B" w:themeColor="accent3" w:themeShade="BF"/>
          <w:sz w:val="22"/>
          <w:szCs w:val="22"/>
          <w:lang w:val="en-GB"/>
        </w:rPr>
      </w:pPr>
    </w:p>
    <w:p w14:paraId="094C38AF" w14:textId="20DE0BFD" w:rsidR="009E433E" w:rsidRPr="002B3315" w:rsidRDefault="009E433E" w:rsidP="009E433E">
      <w:pPr>
        <w:autoSpaceDE w:val="0"/>
        <w:autoSpaceDN w:val="0"/>
        <w:adjustRightInd w:val="0"/>
        <w:jc w:val="both"/>
        <w:rPr>
          <w:rFonts w:ascii="Arial" w:hAnsi="Arial" w:cs="Arial"/>
          <w:color w:val="7B7B7B" w:themeColor="accent3" w:themeShade="BF"/>
          <w:sz w:val="22"/>
          <w:szCs w:val="22"/>
          <w:u w:val="single"/>
          <w:lang w:val="en-GB"/>
        </w:rPr>
      </w:pPr>
      <w:r w:rsidRPr="002B3315">
        <w:rPr>
          <w:rFonts w:ascii="Arial" w:hAnsi="Arial" w:cs="Arial"/>
          <w:color w:val="7B7B7B" w:themeColor="accent3" w:themeShade="BF"/>
          <w:sz w:val="22"/>
          <w:szCs w:val="22"/>
          <w:u w:val="single"/>
          <w:lang w:val="en-GB"/>
        </w:rPr>
        <w:t>Powers of sale</w:t>
      </w:r>
    </w:p>
    <w:p w14:paraId="1F889EAE" w14:textId="3181D281" w:rsidR="00FE440F" w:rsidRPr="002B3315" w:rsidRDefault="008909C3"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If the receiver</w:t>
      </w:r>
      <w:r w:rsidR="009E433E" w:rsidRPr="002B3315">
        <w:rPr>
          <w:rFonts w:ascii="Arial" w:hAnsi="Arial" w:cs="Arial"/>
          <w:color w:val="7B7B7B" w:themeColor="accent3" w:themeShade="BF"/>
          <w:sz w:val="22"/>
          <w:szCs w:val="22"/>
          <w:lang w:val="en-GB"/>
        </w:rPr>
        <w:t xml:space="preserve"> appointed</w:t>
      </w:r>
      <w:r w:rsidRPr="002B3315">
        <w:rPr>
          <w:rFonts w:ascii="Arial" w:hAnsi="Arial" w:cs="Arial"/>
          <w:color w:val="7B7B7B" w:themeColor="accent3" w:themeShade="BF"/>
          <w:sz w:val="22"/>
          <w:szCs w:val="22"/>
          <w:lang w:val="en-GB"/>
        </w:rPr>
        <w:t xml:space="preserve"> exercises a power of sale</w:t>
      </w:r>
      <w:r w:rsidR="00DF6841" w:rsidRPr="002B3315">
        <w:rPr>
          <w:rFonts w:ascii="Arial" w:hAnsi="Arial" w:cs="Arial"/>
          <w:color w:val="7B7B7B" w:themeColor="accent3" w:themeShade="BF"/>
          <w:sz w:val="22"/>
          <w:szCs w:val="22"/>
          <w:lang w:val="en-GB"/>
        </w:rPr>
        <w:t xml:space="preserve"> of the </w:t>
      </w:r>
      <w:r w:rsidR="005B0A61" w:rsidRPr="002B3315">
        <w:rPr>
          <w:rFonts w:ascii="Arial" w:hAnsi="Arial" w:cs="Arial"/>
          <w:color w:val="7B7B7B" w:themeColor="accent3" w:themeShade="BF"/>
          <w:sz w:val="22"/>
          <w:szCs w:val="22"/>
          <w:lang w:val="en-GB"/>
        </w:rPr>
        <w:t>Property</w:t>
      </w:r>
      <w:r w:rsidRPr="002B3315">
        <w:rPr>
          <w:rFonts w:ascii="Arial" w:hAnsi="Arial" w:cs="Arial"/>
          <w:color w:val="7B7B7B" w:themeColor="accent3" w:themeShade="BF"/>
          <w:sz w:val="22"/>
          <w:szCs w:val="22"/>
          <w:lang w:val="en-GB"/>
        </w:rPr>
        <w:t>, there is a duty to obtain the best price reasonably obtainable at the time of the sale. This duty is owed to</w:t>
      </w:r>
      <w:r w:rsidR="00DF6841" w:rsidRPr="002B3315">
        <w:rPr>
          <w:rFonts w:ascii="Arial" w:hAnsi="Arial" w:cs="Arial"/>
          <w:color w:val="7B7B7B" w:themeColor="accent3" w:themeShade="BF"/>
          <w:sz w:val="22"/>
          <w:szCs w:val="22"/>
          <w:lang w:val="en-GB"/>
        </w:rPr>
        <w:t xml:space="preserve"> </w:t>
      </w:r>
      <w:r w:rsidRPr="002B3315">
        <w:rPr>
          <w:rFonts w:ascii="Arial" w:hAnsi="Arial" w:cs="Arial"/>
          <w:color w:val="7B7B7B" w:themeColor="accent3" w:themeShade="BF"/>
          <w:sz w:val="22"/>
          <w:szCs w:val="22"/>
          <w:lang w:val="en-GB"/>
        </w:rPr>
        <w:t>Yellow</w:t>
      </w:r>
      <w:r w:rsidRPr="002B3315">
        <w:rPr>
          <w:rStyle w:val="FootnoteReference"/>
          <w:rFonts w:ascii="Arial" w:hAnsi="Arial" w:cs="Arial"/>
          <w:color w:val="7B7B7B" w:themeColor="accent3" w:themeShade="BF"/>
          <w:sz w:val="22"/>
          <w:szCs w:val="22"/>
          <w:lang w:val="en-GB"/>
        </w:rPr>
        <w:footnoteReference w:id="170"/>
      </w:r>
      <w:r w:rsidRPr="002B3315">
        <w:rPr>
          <w:rFonts w:ascii="Arial" w:hAnsi="Arial" w:cs="Arial"/>
          <w:color w:val="7B7B7B" w:themeColor="accent3" w:themeShade="BF"/>
          <w:sz w:val="22"/>
          <w:szCs w:val="22"/>
          <w:lang w:val="en-GB"/>
        </w:rPr>
        <w:t>.</w:t>
      </w:r>
    </w:p>
    <w:p w14:paraId="3EC1289D" w14:textId="77777777" w:rsidR="00FE440F" w:rsidRPr="002B3315" w:rsidRDefault="00FE440F" w:rsidP="0059686D">
      <w:pPr>
        <w:autoSpaceDE w:val="0"/>
        <w:autoSpaceDN w:val="0"/>
        <w:adjustRightInd w:val="0"/>
        <w:jc w:val="both"/>
        <w:rPr>
          <w:rFonts w:ascii="Arial" w:hAnsi="Arial" w:cs="Arial"/>
          <w:color w:val="7B7B7B" w:themeColor="accent3" w:themeShade="BF"/>
          <w:sz w:val="22"/>
          <w:szCs w:val="22"/>
          <w:lang w:val="en-GB"/>
        </w:rPr>
      </w:pPr>
    </w:p>
    <w:p w14:paraId="3B99AA78" w14:textId="12A553B7" w:rsidR="00CA3337" w:rsidRPr="002B3315" w:rsidRDefault="00CA3337" w:rsidP="0059686D">
      <w:pPr>
        <w:autoSpaceDE w:val="0"/>
        <w:autoSpaceDN w:val="0"/>
        <w:adjustRightInd w:val="0"/>
        <w:jc w:val="both"/>
        <w:rPr>
          <w:rFonts w:ascii="Arial" w:hAnsi="Arial" w:cs="Arial"/>
          <w:color w:val="7B7B7B" w:themeColor="accent3" w:themeShade="BF"/>
          <w:sz w:val="22"/>
          <w:szCs w:val="22"/>
          <w:u w:val="single"/>
          <w:lang w:val="en-GB"/>
        </w:rPr>
      </w:pPr>
      <w:r w:rsidRPr="002B3315">
        <w:rPr>
          <w:rFonts w:ascii="Arial" w:hAnsi="Arial" w:cs="Arial"/>
          <w:color w:val="7B7B7B" w:themeColor="accent3" w:themeShade="BF"/>
          <w:sz w:val="22"/>
          <w:szCs w:val="22"/>
          <w:u w:val="single"/>
          <w:lang w:val="en-GB"/>
        </w:rPr>
        <w:t>Advantages of appointing a receiver</w:t>
      </w:r>
    </w:p>
    <w:p w14:paraId="4C939882" w14:textId="57643C81" w:rsidR="00FE440F" w:rsidRPr="002B3315" w:rsidRDefault="00065246"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The a</w:t>
      </w:r>
      <w:r w:rsidR="00FE440F" w:rsidRPr="002B3315">
        <w:rPr>
          <w:rFonts w:ascii="Arial" w:hAnsi="Arial" w:cs="Arial"/>
          <w:color w:val="7B7B7B" w:themeColor="accent3" w:themeShade="BF"/>
          <w:sz w:val="22"/>
          <w:szCs w:val="22"/>
          <w:lang w:val="en-GB"/>
        </w:rPr>
        <w:t xml:space="preserve">dvantages for Orange </w:t>
      </w:r>
      <w:r w:rsidR="00FB5617" w:rsidRPr="002B3315">
        <w:rPr>
          <w:rFonts w:ascii="Arial" w:hAnsi="Arial" w:cs="Arial"/>
          <w:color w:val="7B7B7B" w:themeColor="accent3" w:themeShade="BF"/>
          <w:sz w:val="22"/>
          <w:szCs w:val="22"/>
          <w:lang w:val="en-GB"/>
        </w:rPr>
        <w:t>of a receiver being appointed</w:t>
      </w:r>
      <w:r w:rsidR="00FE440F" w:rsidRPr="002B3315">
        <w:rPr>
          <w:rFonts w:ascii="Arial" w:hAnsi="Arial" w:cs="Arial"/>
          <w:color w:val="7B7B7B" w:themeColor="accent3" w:themeShade="BF"/>
          <w:sz w:val="22"/>
          <w:szCs w:val="22"/>
          <w:lang w:val="en-GB"/>
        </w:rPr>
        <w:t xml:space="preserve"> </w:t>
      </w:r>
      <w:r w:rsidRPr="002B3315">
        <w:rPr>
          <w:rFonts w:ascii="Arial" w:hAnsi="Arial" w:cs="Arial"/>
          <w:color w:val="7B7B7B" w:themeColor="accent3" w:themeShade="BF"/>
          <w:sz w:val="22"/>
          <w:szCs w:val="22"/>
          <w:lang w:val="en-GB"/>
        </w:rPr>
        <w:t>are</w:t>
      </w:r>
      <w:r w:rsidR="00FE440F" w:rsidRPr="002B3315">
        <w:rPr>
          <w:rFonts w:ascii="Arial" w:hAnsi="Arial" w:cs="Arial"/>
          <w:color w:val="7B7B7B" w:themeColor="accent3" w:themeShade="BF"/>
          <w:sz w:val="22"/>
          <w:szCs w:val="22"/>
          <w:lang w:val="en-GB"/>
        </w:rPr>
        <w:t xml:space="preserve"> that:</w:t>
      </w:r>
    </w:p>
    <w:p w14:paraId="2A319178" w14:textId="5144329B" w:rsidR="00F028DE" w:rsidRPr="002B3315" w:rsidRDefault="00FE440F" w:rsidP="0059686D">
      <w:pPr>
        <w:pStyle w:val="ListParagraph"/>
        <w:numPr>
          <w:ilvl w:val="0"/>
          <w:numId w:val="38"/>
        </w:num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under section 126(1), a receiver appointed out of court </w:t>
      </w:r>
      <w:r w:rsidR="00CF0ABD" w:rsidRPr="002B3315">
        <w:rPr>
          <w:rFonts w:ascii="Arial" w:hAnsi="Arial" w:cs="Arial"/>
          <w:color w:val="7B7B7B" w:themeColor="accent3" w:themeShade="BF"/>
          <w:sz w:val="22"/>
          <w:szCs w:val="22"/>
          <w:lang w:val="en-GB"/>
        </w:rPr>
        <w:t>will be</w:t>
      </w:r>
      <w:r w:rsidRPr="002B3315">
        <w:rPr>
          <w:rFonts w:ascii="Arial" w:hAnsi="Arial" w:cs="Arial"/>
          <w:color w:val="7B7B7B" w:themeColor="accent3" w:themeShade="BF"/>
          <w:sz w:val="22"/>
          <w:szCs w:val="22"/>
          <w:lang w:val="en-GB"/>
        </w:rPr>
        <w:t xml:space="preserve"> deemed to be </w:t>
      </w:r>
      <w:r w:rsidR="00F47BAD" w:rsidRPr="002B3315">
        <w:rPr>
          <w:rFonts w:ascii="Arial" w:hAnsi="Arial" w:cs="Arial"/>
          <w:color w:val="7B7B7B" w:themeColor="accent3" w:themeShade="BF"/>
          <w:sz w:val="22"/>
          <w:szCs w:val="22"/>
          <w:lang w:val="en-GB"/>
        </w:rPr>
        <w:t xml:space="preserve">Yellow’s agent </w:t>
      </w:r>
      <w:r w:rsidRPr="002B3315">
        <w:rPr>
          <w:rFonts w:ascii="Arial" w:hAnsi="Arial" w:cs="Arial"/>
          <w:color w:val="7B7B7B" w:themeColor="accent3" w:themeShade="BF"/>
          <w:sz w:val="22"/>
          <w:szCs w:val="22"/>
          <w:lang w:val="en-GB"/>
        </w:rPr>
        <w:t>unless the</w:t>
      </w:r>
      <w:r w:rsidR="00C818EC" w:rsidRPr="002B3315">
        <w:rPr>
          <w:rFonts w:ascii="Arial" w:hAnsi="Arial" w:cs="Arial"/>
          <w:color w:val="7B7B7B" w:themeColor="accent3" w:themeShade="BF"/>
          <w:sz w:val="22"/>
          <w:szCs w:val="22"/>
          <w:lang w:val="en-GB"/>
        </w:rPr>
        <w:t xml:space="preserve"> </w:t>
      </w:r>
      <w:r w:rsidR="00CF0ABD" w:rsidRPr="002B3315">
        <w:rPr>
          <w:rFonts w:ascii="Arial" w:hAnsi="Arial" w:cs="Arial"/>
          <w:color w:val="7B7B7B" w:themeColor="accent3" w:themeShade="BF"/>
          <w:sz w:val="22"/>
          <w:szCs w:val="22"/>
          <w:lang w:val="en-GB"/>
        </w:rPr>
        <w:t>mortgage</w:t>
      </w:r>
      <w:r w:rsidRPr="002B3315">
        <w:rPr>
          <w:rFonts w:ascii="Arial" w:hAnsi="Arial" w:cs="Arial"/>
          <w:color w:val="7B7B7B" w:themeColor="accent3" w:themeShade="BF"/>
          <w:sz w:val="22"/>
          <w:szCs w:val="22"/>
          <w:lang w:val="en-GB"/>
        </w:rPr>
        <w:t xml:space="preserve"> under which they were appointed expressly states otherwise</w:t>
      </w:r>
      <w:r w:rsidRPr="002B3315">
        <w:rPr>
          <w:rStyle w:val="FootnoteReference"/>
          <w:rFonts w:ascii="Arial" w:hAnsi="Arial" w:cs="Arial"/>
          <w:color w:val="7B7B7B" w:themeColor="accent3" w:themeShade="BF"/>
          <w:sz w:val="22"/>
          <w:szCs w:val="22"/>
          <w:lang w:val="en-GB"/>
        </w:rPr>
        <w:footnoteReference w:id="171"/>
      </w:r>
      <w:r w:rsidRPr="002B3315">
        <w:rPr>
          <w:rFonts w:ascii="Arial" w:hAnsi="Arial" w:cs="Arial"/>
          <w:color w:val="7B7B7B" w:themeColor="accent3" w:themeShade="BF"/>
          <w:sz w:val="22"/>
          <w:szCs w:val="22"/>
          <w:lang w:val="en-GB"/>
        </w:rPr>
        <w:t xml:space="preserve">. Without requiring it to go into possession, Orange, as mortgagee, can ensure, via the receiver, that the </w:t>
      </w:r>
      <w:r w:rsidR="005B0A61" w:rsidRPr="002B3315">
        <w:rPr>
          <w:rFonts w:ascii="Arial" w:hAnsi="Arial" w:cs="Arial"/>
          <w:color w:val="7B7B7B" w:themeColor="accent3" w:themeShade="BF"/>
          <w:sz w:val="22"/>
          <w:szCs w:val="22"/>
          <w:lang w:val="en-GB"/>
        </w:rPr>
        <w:t>P</w:t>
      </w:r>
      <w:r w:rsidRPr="002B3315">
        <w:rPr>
          <w:rFonts w:ascii="Arial" w:hAnsi="Arial" w:cs="Arial"/>
          <w:color w:val="7B7B7B" w:themeColor="accent3" w:themeShade="BF"/>
          <w:sz w:val="22"/>
          <w:szCs w:val="22"/>
          <w:lang w:val="en-GB"/>
        </w:rPr>
        <w:t>roperty is managed and protect</w:t>
      </w:r>
      <w:r w:rsidR="009E433E" w:rsidRPr="002B3315">
        <w:rPr>
          <w:rFonts w:ascii="Arial" w:hAnsi="Arial" w:cs="Arial"/>
          <w:color w:val="7B7B7B" w:themeColor="accent3" w:themeShade="BF"/>
          <w:sz w:val="22"/>
          <w:szCs w:val="22"/>
          <w:lang w:val="en-GB"/>
        </w:rPr>
        <w:t>ed</w:t>
      </w:r>
      <w:r w:rsidRPr="002B3315">
        <w:rPr>
          <w:rFonts w:ascii="Arial" w:hAnsi="Arial" w:cs="Arial"/>
          <w:color w:val="7B7B7B" w:themeColor="accent3" w:themeShade="BF"/>
          <w:sz w:val="22"/>
          <w:szCs w:val="22"/>
          <w:lang w:val="en-GB"/>
        </w:rPr>
        <w:t xml:space="preserve"> properly</w:t>
      </w:r>
      <w:r w:rsidRPr="002B3315">
        <w:rPr>
          <w:rStyle w:val="FootnoteReference"/>
          <w:rFonts w:ascii="Arial" w:hAnsi="Arial" w:cs="Arial"/>
          <w:color w:val="7B7B7B" w:themeColor="accent3" w:themeShade="BF"/>
          <w:sz w:val="22"/>
          <w:szCs w:val="22"/>
          <w:lang w:val="en-GB"/>
        </w:rPr>
        <w:footnoteReference w:id="172"/>
      </w:r>
      <w:r w:rsidR="00C54050" w:rsidRPr="002B3315">
        <w:rPr>
          <w:rFonts w:ascii="Arial" w:hAnsi="Arial" w:cs="Arial"/>
          <w:color w:val="7B7B7B" w:themeColor="accent3" w:themeShade="BF"/>
          <w:sz w:val="22"/>
          <w:szCs w:val="22"/>
          <w:lang w:val="en-GB"/>
        </w:rPr>
        <w:t xml:space="preserve">. </w:t>
      </w:r>
      <w:r w:rsidR="00CF0ABD" w:rsidRPr="002B3315">
        <w:rPr>
          <w:rFonts w:ascii="Arial" w:hAnsi="Arial" w:cs="Arial"/>
          <w:color w:val="7B7B7B" w:themeColor="accent3" w:themeShade="BF"/>
          <w:sz w:val="22"/>
          <w:szCs w:val="22"/>
          <w:lang w:val="en-GB"/>
        </w:rPr>
        <w:t>Further, a</w:t>
      </w:r>
      <w:r w:rsidR="00C54050" w:rsidRPr="002B3315">
        <w:rPr>
          <w:rFonts w:ascii="Arial" w:hAnsi="Arial" w:cs="Arial"/>
          <w:color w:val="7B7B7B" w:themeColor="accent3" w:themeShade="BF"/>
          <w:sz w:val="22"/>
          <w:szCs w:val="22"/>
          <w:lang w:val="en-GB"/>
        </w:rPr>
        <w:t xml:space="preserve"> receiver appointed by the court is an agent of the court </w:t>
      </w:r>
      <w:r w:rsidR="00CE6545" w:rsidRPr="002B3315">
        <w:rPr>
          <w:rFonts w:ascii="Arial" w:hAnsi="Arial" w:cs="Arial"/>
          <w:color w:val="7B7B7B" w:themeColor="accent3" w:themeShade="BF"/>
          <w:sz w:val="22"/>
          <w:szCs w:val="22"/>
          <w:lang w:val="en-GB"/>
        </w:rPr>
        <w:t>(</w:t>
      </w:r>
      <w:r w:rsidR="00C54050" w:rsidRPr="002B3315">
        <w:rPr>
          <w:rFonts w:ascii="Arial" w:hAnsi="Arial" w:cs="Arial"/>
          <w:color w:val="7B7B7B" w:themeColor="accent3" w:themeShade="BF"/>
          <w:sz w:val="22"/>
          <w:szCs w:val="22"/>
          <w:lang w:val="en-GB"/>
        </w:rPr>
        <w:t xml:space="preserve">and not of </w:t>
      </w:r>
      <w:r w:rsidR="009E433E" w:rsidRPr="002B3315">
        <w:rPr>
          <w:rFonts w:ascii="Arial" w:hAnsi="Arial" w:cs="Arial"/>
          <w:color w:val="7B7B7B" w:themeColor="accent3" w:themeShade="BF"/>
          <w:sz w:val="22"/>
          <w:szCs w:val="22"/>
          <w:lang w:val="en-GB"/>
        </w:rPr>
        <w:t>Yellow</w:t>
      </w:r>
      <w:r w:rsidR="00CE6545" w:rsidRPr="002B3315">
        <w:rPr>
          <w:rFonts w:ascii="Arial" w:hAnsi="Arial" w:cs="Arial"/>
          <w:color w:val="7B7B7B" w:themeColor="accent3" w:themeShade="BF"/>
          <w:sz w:val="22"/>
          <w:szCs w:val="22"/>
          <w:lang w:val="en-GB"/>
        </w:rPr>
        <w:t>)</w:t>
      </w:r>
      <w:r w:rsidR="00C54050" w:rsidRPr="002B3315">
        <w:rPr>
          <w:rStyle w:val="FootnoteReference"/>
          <w:rFonts w:ascii="Arial" w:hAnsi="Arial" w:cs="Arial"/>
          <w:color w:val="7B7B7B" w:themeColor="accent3" w:themeShade="BF"/>
          <w:sz w:val="22"/>
          <w:szCs w:val="22"/>
          <w:lang w:val="en-GB"/>
        </w:rPr>
        <w:footnoteReference w:id="173"/>
      </w:r>
      <w:r w:rsidRPr="002B3315">
        <w:rPr>
          <w:rFonts w:ascii="Arial" w:hAnsi="Arial" w:cs="Arial"/>
          <w:color w:val="7B7B7B" w:themeColor="accent3" w:themeShade="BF"/>
          <w:sz w:val="22"/>
          <w:szCs w:val="22"/>
          <w:lang w:val="en-GB"/>
        </w:rPr>
        <w:t>;</w:t>
      </w:r>
    </w:p>
    <w:p w14:paraId="1C9B2C1D" w14:textId="42F69402" w:rsidR="00F028DE" w:rsidRPr="002B3315" w:rsidRDefault="00FE440F" w:rsidP="0059686D">
      <w:pPr>
        <w:pStyle w:val="ListParagraph"/>
        <w:numPr>
          <w:ilvl w:val="0"/>
          <w:numId w:val="38"/>
        </w:num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appoin</w:t>
      </w:r>
      <w:r w:rsidR="00D754A7" w:rsidRPr="002B3315">
        <w:rPr>
          <w:rFonts w:ascii="Arial" w:hAnsi="Arial" w:cs="Arial"/>
          <w:color w:val="7B7B7B" w:themeColor="accent3" w:themeShade="BF"/>
          <w:sz w:val="22"/>
          <w:szCs w:val="22"/>
          <w:lang w:val="en-GB"/>
        </w:rPr>
        <w:t>ting</w:t>
      </w:r>
      <w:r w:rsidRPr="002B3315">
        <w:rPr>
          <w:rFonts w:ascii="Arial" w:hAnsi="Arial" w:cs="Arial"/>
          <w:color w:val="7B7B7B" w:themeColor="accent3" w:themeShade="BF"/>
          <w:sz w:val="22"/>
          <w:szCs w:val="22"/>
          <w:lang w:val="en-GB"/>
        </w:rPr>
        <w:t xml:space="preserve"> a receiver might put Yellow unde</w:t>
      </w:r>
      <w:r w:rsidR="004D09BC" w:rsidRPr="002B3315">
        <w:rPr>
          <w:rFonts w:ascii="Arial" w:hAnsi="Arial" w:cs="Arial"/>
          <w:color w:val="7B7B7B" w:themeColor="accent3" w:themeShade="BF"/>
          <w:sz w:val="22"/>
          <w:szCs w:val="22"/>
          <w:lang w:val="en-GB"/>
        </w:rPr>
        <w:t>r</w:t>
      </w:r>
      <w:r w:rsidRPr="002B3315">
        <w:rPr>
          <w:rFonts w:ascii="Arial" w:hAnsi="Arial" w:cs="Arial"/>
          <w:color w:val="7B7B7B" w:themeColor="accent3" w:themeShade="BF"/>
          <w:sz w:val="22"/>
          <w:szCs w:val="22"/>
          <w:lang w:val="en-GB"/>
        </w:rPr>
        <w:t xml:space="preserve"> economic pressure</w:t>
      </w:r>
      <w:r w:rsidR="00385F1F" w:rsidRPr="002B3315">
        <w:rPr>
          <w:rFonts w:ascii="Arial" w:hAnsi="Arial" w:cs="Arial"/>
          <w:color w:val="7B7B7B" w:themeColor="accent3" w:themeShade="BF"/>
          <w:sz w:val="22"/>
          <w:szCs w:val="22"/>
          <w:lang w:val="en-GB"/>
        </w:rPr>
        <w:t>. T</w:t>
      </w:r>
      <w:r w:rsidRPr="002B3315">
        <w:rPr>
          <w:rFonts w:ascii="Arial" w:hAnsi="Arial" w:cs="Arial"/>
          <w:color w:val="7B7B7B" w:themeColor="accent3" w:themeShade="BF"/>
          <w:sz w:val="22"/>
          <w:szCs w:val="22"/>
          <w:lang w:val="en-GB"/>
        </w:rPr>
        <w:t>he receiver will divert rent and profit away from Yellow</w:t>
      </w:r>
      <w:r w:rsidR="00385F1F" w:rsidRPr="002B3315">
        <w:rPr>
          <w:rFonts w:ascii="Arial" w:hAnsi="Arial" w:cs="Arial"/>
          <w:color w:val="7B7B7B" w:themeColor="accent3" w:themeShade="BF"/>
          <w:sz w:val="22"/>
          <w:szCs w:val="22"/>
          <w:lang w:val="en-GB"/>
        </w:rPr>
        <w:t xml:space="preserve"> (debtor)</w:t>
      </w:r>
      <w:r w:rsidRPr="002B3315">
        <w:rPr>
          <w:rFonts w:ascii="Arial" w:hAnsi="Arial" w:cs="Arial"/>
          <w:color w:val="7B7B7B" w:themeColor="accent3" w:themeShade="BF"/>
          <w:sz w:val="22"/>
          <w:szCs w:val="22"/>
          <w:lang w:val="en-GB"/>
        </w:rPr>
        <w:t>, and therefore c</w:t>
      </w:r>
      <w:r w:rsidR="00385F1F" w:rsidRPr="002B3315">
        <w:rPr>
          <w:rFonts w:ascii="Arial" w:hAnsi="Arial" w:cs="Arial"/>
          <w:color w:val="7B7B7B" w:themeColor="accent3" w:themeShade="BF"/>
          <w:sz w:val="22"/>
          <w:szCs w:val="22"/>
          <w:lang w:val="en-GB"/>
        </w:rPr>
        <w:t>an c</w:t>
      </w:r>
      <w:r w:rsidRPr="002B3315">
        <w:rPr>
          <w:rFonts w:ascii="Arial" w:hAnsi="Arial" w:cs="Arial"/>
          <w:color w:val="7B7B7B" w:themeColor="accent3" w:themeShade="BF"/>
          <w:sz w:val="22"/>
          <w:szCs w:val="22"/>
          <w:lang w:val="en-GB"/>
        </w:rPr>
        <w:t>reat</w:t>
      </w:r>
      <w:r w:rsidR="00385F1F" w:rsidRPr="002B3315">
        <w:rPr>
          <w:rFonts w:ascii="Arial" w:hAnsi="Arial" w:cs="Arial"/>
          <w:color w:val="7B7B7B" w:themeColor="accent3" w:themeShade="BF"/>
          <w:sz w:val="22"/>
          <w:szCs w:val="22"/>
          <w:lang w:val="en-GB"/>
        </w:rPr>
        <w:t xml:space="preserve">e further </w:t>
      </w:r>
      <w:r w:rsidRPr="002B3315">
        <w:rPr>
          <w:rFonts w:ascii="Arial" w:hAnsi="Arial" w:cs="Arial"/>
          <w:color w:val="7B7B7B" w:themeColor="accent3" w:themeShade="BF"/>
          <w:sz w:val="22"/>
          <w:szCs w:val="22"/>
          <w:lang w:val="en-GB"/>
        </w:rPr>
        <w:t>cash flow problems</w:t>
      </w:r>
      <w:r w:rsidR="00385F1F" w:rsidRPr="002B3315">
        <w:rPr>
          <w:rFonts w:ascii="Arial" w:hAnsi="Arial" w:cs="Arial"/>
          <w:color w:val="7B7B7B" w:themeColor="accent3" w:themeShade="BF"/>
          <w:sz w:val="22"/>
          <w:szCs w:val="22"/>
          <w:lang w:val="en-GB"/>
        </w:rPr>
        <w:t xml:space="preserve"> for Yellow</w:t>
      </w:r>
      <w:r w:rsidRPr="002B3315">
        <w:rPr>
          <w:rFonts w:ascii="Arial" w:hAnsi="Arial" w:cs="Arial"/>
          <w:color w:val="7B7B7B" w:themeColor="accent3" w:themeShade="BF"/>
          <w:sz w:val="22"/>
          <w:szCs w:val="22"/>
          <w:lang w:val="en-GB"/>
        </w:rPr>
        <w:t xml:space="preserve">. As the receiver is at arms-length from Orange (and not its agent), the receiver can deal with the </w:t>
      </w:r>
      <w:r w:rsidR="005B0A61" w:rsidRPr="002B3315">
        <w:rPr>
          <w:rFonts w:ascii="Arial" w:hAnsi="Arial" w:cs="Arial"/>
          <w:color w:val="7B7B7B" w:themeColor="accent3" w:themeShade="BF"/>
          <w:sz w:val="22"/>
          <w:szCs w:val="22"/>
          <w:lang w:val="en-GB"/>
        </w:rPr>
        <w:t>P</w:t>
      </w:r>
      <w:r w:rsidRPr="002B3315">
        <w:rPr>
          <w:rFonts w:ascii="Arial" w:hAnsi="Arial" w:cs="Arial"/>
          <w:color w:val="7B7B7B" w:themeColor="accent3" w:themeShade="BF"/>
          <w:sz w:val="22"/>
          <w:szCs w:val="22"/>
          <w:lang w:val="en-GB"/>
        </w:rPr>
        <w:t xml:space="preserve">roperty without Orange being at risk of </w:t>
      </w:r>
      <w:r w:rsidRPr="002B3315">
        <w:rPr>
          <w:rFonts w:ascii="Arial" w:hAnsi="Arial" w:cs="Arial"/>
          <w:color w:val="7B7B7B" w:themeColor="accent3" w:themeShade="BF"/>
          <w:sz w:val="22"/>
          <w:szCs w:val="22"/>
          <w:lang w:val="en-GB"/>
        </w:rPr>
        <w:lastRenderedPageBreak/>
        <w:t>allegations of bad faith or self</w:t>
      </w:r>
      <w:r w:rsidR="00CE6545" w:rsidRPr="002B3315">
        <w:rPr>
          <w:rFonts w:ascii="Arial" w:hAnsi="Arial" w:cs="Arial"/>
          <w:color w:val="7B7B7B" w:themeColor="accent3" w:themeShade="BF"/>
          <w:sz w:val="22"/>
          <w:szCs w:val="22"/>
          <w:lang w:val="en-GB"/>
        </w:rPr>
        <w:t>-</w:t>
      </w:r>
      <w:r w:rsidRPr="002B3315">
        <w:rPr>
          <w:rFonts w:ascii="Arial" w:hAnsi="Arial" w:cs="Arial"/>
          <w:color w:val="7B7B7B" w:themeColor="accent3" w:themeShade="BF"/>
          <w:sz w:val="22"/>
          <w:szCs w:val="22"/>
          <w:lang w:val="en-GB"/>
        </w:rPr>
        <w:t>dealing</w:t>
      </w:r>
      <w:r w:rsidRPr="002B3315">
        <w:rPr>
          <w:rStyle w:val="FootnoteReference"/>
          <w:rFonts w:ascii="Arial" w:hAnsi="Arial" w:cs="Arial"/>
          <w:color w:val="7B7B7B" w:themeColor="accent3" w:themeShade="BF"/>
          <w:sz w:val="22"/>
          <w:szCs w:val="22"/>
          <w:lang w:val="en-GB"/>
        </w:rPr>
        <w:footnoteReference w:id="174"/>
      </w:r>
      <w:r w:rsidR="00CE6545" w:rsidRPr="002B3315">
        <w:rPr>
          <w:rFonts w:ascii="Arial" w:hAnsi="Arial" w:cs="Arial"/>
          <w:color w:val="7B7B7B" w:themeColor="accent3" w:themeShade="BF"/>
          <w:sz w:val="22"/>
          <w:szCs w:val="22"/>
          <w:lang w:val="en-GB"/>
        </w:rPr>
        <w:t>. This would also apply to a court appointed receiver (as they are the agent of the court)</w:t>
      </w:r>
      <w:r w:rsidRPr="002B3315">
        <w:rPr>
          <w:rFonts w:ascii="Arial" w:hAnsi="Arial" w:cs="Arial"/>
          <w:color w:val="7B7B7B" w:themeColor="accent3" w:themeShade="BF"/>
          <w:sz w:val="22"/>
          <w:szCs w:val="22"/>
          <w:lang w:val="en-GB"/>
        </w:rPr>
        <w:t>; and</w:t>
      </w:r>
    </w:p>
    <w:p w14:paraId="00D71B55" w14:textId="0D5C1BC5" w:rsidR="00FE440F" w:rsidRPr="002B3315" w:rsidRDefault="00FE440F" w:rsidP="0059686D">
      <w:pPr>
        <w:pStyle w:val="ListParagraph"/>
        <w:numPr>
          <w:ilvl w:val="0"/>
          <w:numId w:val="38"/>
        </w:num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as Yellow has defaulted, th</w:t>
      </w:r>
      <w:r w:rsidR="00471E6C" w:rsidRPr="002B3315">
        <w:rPr>
          <w:rFonts w:ascii="Arial" w:hAnsi="Arial" w:cs="Arial"/>
          <w:color w:val="7B7B7B" w:themeColor="accent3" w:themeShade="BF"/>
          <w:sz w:val="22"/>
          <w:szCs w:val="22"/>
          <w:lang w:val="en-GB"/>
        </w:rPr>
        <w:t>ere might be</w:t>
      </w:r>
      <w:r w:rsidRPr="002B3315">
        <w:rPr>
          <w:rFonts w:ascii="Arial" w:hAnsi="Arial" w:cs="Arial"/>
          <w:color w:val="7B7B7B" w:themeColor="accent3" w:themeShade="BF"/>
          <w:sz w:val="22"/>
          <w:szCs w:val="22"/>
          <w:lang w:val="en-GB"/>
        </w:rPr>
        <w:t xml:space="preserve"> cashflow</w:t>
      </w:r>
      <w:r w:rsidR="00471E6C" w:rsidRPr="002B3315">
        <w:rPr>
          <w:rFonts w:ascii="Arial" w:hAnsi="Arial" w:cs="Arial"/>
          <w:color w:val="7B7B7B" w:themeColor="accent3" w:themeShade="BF"/>
          <w:sz w:val="22"/>
          <w:szCs w:val="22"/>
          <w:lang w:val="en-GB"/>
        </w:rPr>
        <w:t xml:space="preserve"> issues</w:t>
      </w:r>
      <w:r w:rsidRPr="002B3315">
        <w:rPr>
          <w:rFonts w:ascii="Arial" w:hAnsi="Arial" w:cs="Arial"/>
          <w:color w:val="7B7B7B" w:themeColor="accent3" w:themeShade="BF"/>
          <w:sz w:val="22"/>
          <w:szCs w:val="22"/>
          <w:lang w:val="en-GB"/>
        </w:rPr>
        <w:t xml:space="preserve">, and insolvency proceedings </w:t>
      </w:r>
      <w:r w:rsidR="00471E6C" w:rsidRPr="002B3315">
        <w:rPr>
          <w:rFonts w:ascii="Arial" w:hAnsi="Arial" w:cs="Arial"/>
          <w:color w:val="7B7B7B" w:themeColor="accent3" w:themeShade="BF"/>
          <w:sz w:val="22"/>
          <w:szCs w:val="22"/>
          <w:lang w:val="en-GB"/>
        </w:rPr>
        <w:t xml:space="preserve">initiated by other creditors </w:t>
      </w:r>
      <w:r w:rsidRPr="002B3315">
        <w:rPr>
          <w:rFonts w:ascii="Arial" w:hAnsi="Arial" w:cs="Arial"/>
          <w:color w:val="7B7B7B" w:themeColor="accent3" w:themeShade="BF"/>
          <w:sz w:val="22"/>
          <w:szCs w:val="22"/>
          <w:lang w:val="en-GB"/>
        </w:rPr>
        <w:t xml:space="preserve">might be imminent. </w:t>
      </w:r>
      <w:r w:rsidR="00D754A7" w:rsidRPr="002B3315">
        <w:rPr>
          <w:rFonts w:ascii="Arial" w:hAnsi="Arial" w:cs="Arial"/>
          <w:color w:val="7B7B7B" w:themeColor="accent3" w:themeShade="BF"/>
          <w:sz w:val="22"/>
          <w:szCs w:val="22"/>
          <w:lang w:val="en-GB"/>
        </w:rPr>
        <w:t>The appointment of a</w:t>
      </w:r>
      <w:r w:rsidRPr="002B3315">
        <w:rPr>
          <w:rFonts w:ascii="Arial" w:hAnsi="Arial" w:cs="Arial"/>
          <w:color w:val="7B7B7B" w:themeColor="accent3" w:themeShade="BF"/>
          <w:sz w:val="22"/>
          <w:szCs w:val="22"/>
          <w:lang w:val="en-GB"/>
        </w:rPr>
        <w:t xml:space="preserve"> receiver will not be terminated by any liquidation and so </w:t>
      </w:r>
      <w:r w:rsidR="00305D09" w:rsidRPr="002B3315">
        <w:rPr>
          <w:rFonts w:ascii="Arial" w:hAnsi="Arial" w:cs="Arial"/>
          <w:color w:val="7B7B7B" w:themeColor="accent3" w:themeShade="BF"/>
          <w:sz w:val="22"/>
          <w:szCs w:val="22"/>
          <w:lang w:val="en-GB"/>
        </w:rPr>
        <w:t xml:space="preserve">Orange </w:t>
      </w:r>
      <w:r w:rsidRPr="002B3315">
        <w:rPr>
          <w:rFonts w:ascii="Arial" w:hAnsi="Arial" w:cs="Arial"/>
          <w:color w:val="7B7B7B" w:themeColor="accent3" w:themeShade="BF"/>
          <w:sz w:val="22"/>
          <w:szCs w:val="22"/>
          <w:lang w:val="en-GB"/>
        </w:rPr>
        <w:t xml:space="preserve">can sell the secured asset during </w:t>
      </w:r>
      <w:r w:rsidR="008259A7" w:rsidRPr="002B3315">
        <w:rPr>
          <w:rFonts w:ascii="Arial" w:hAnsi="Arial" w:cs="Arial"/>
          <w:color w:val="7B7B7B" w:themeColor="accent3" w:themeShade="BF"/>
          <w:sz w:val="22"/>
          <w:szCs w:val="22"/>
          <w:lang w:val="en-GB"/>
        </w:rPr>
        <w:t>any</w:t>
      </w:r>
      <w:r w:rsidRPr="002B3315">
        <w:rPr>
          <w:rFonts w:ascii="Arial" w:hAnsi="Arial" w:cs="Arial"/>
          <w:color w:val="7B7B7B" w:themeColor="accent3" w:themeShade="BF"/>
          <w:sz w:val="22"/>
          <w:szCs w:val="22"/>
          <w:lang w:val="en-GB"/>
        </w:rPr>
        <w:t xml:space="preserve"> insolvency process.</w:t>
      </w:r>
      <w:r w:rsidR="00E75470" w:rsidRPr="002B3315">
        <w:rPr>
          <w:rStyle w:val="FootnoteReference"/>
          <w:rFonts w:ascii="Arial" w:hAnsi="Arial" w:cs="Arial"/>
          <w:color w:val="7B7B7B" w:themeColor="accent3" w:themeShade="BF"/>
          <w:sz w:val="22"/>
          <w:szCs w:val="22"/>
          <w:lang w:val="en-GB"/>
        </w:rPr>
        <w:footnoteReference w:id="175"/>
      </w:r>
      <w:r w:rsidR="00E75470" w:rsidRPr="002B3315">
        <w:rPr>
          <w:rFonts w:ascii="Arial" w:hAnsi="Arial" w:cs="Arial"/>
          <w:color w:val="7B7B7B" w:themeColor="accent3" w:themeShade="BF"/>
          <w:sz w:val="22"/>
          <w:szCs w:val="22"/>
          <w:lang w:val="en-GB"/>
        </w:rPr>
        <w:t xml:space="preserve"> </w:t>
      </w:r>
      <w:r w:rsidR="008259A7" w:rsidRPr="002B3315">
        <w:rPr>
          <w:rFonts w:ascii="Arial" w:hAnsi="Arial" w:cs="Arial"/>
          <w:color w:val="7B7B7B" w:themeColor="accent3" w:themeShade="BF"/>
          <w:sz w:val="22"/>
          <w:szCs w:val="22"/>
          <w:lang w:val="en-GB"/>
        </w:rPr>
        <w:t>Receiverships “</w:t>
      </w:r>
      <w:r w:rsidR="008259A7" w:rsidRPr="002B3315">
        <w:rPr>
          <w:rFonts w:ascii="Arial" w:hAnsi="Arial" w:cs="Arial"/>
          <w:i/>
          <w:iCs/>
          <w:color w:val="7B7B7B" w:themeColor="accent3" w:themeShade="BF"/>
          <w:sz w:val="22"/>
          <w:szCs w:val="22"/>
          <w:lang w:val="en-GB"/>
        </w:rPr>
        <w:t>contrasts with liquidation in that it is not a collective insolvency procedure for the benefit of the general body of creditors or the company</w:t>
      </w:r>
      <w:r w:rsidR="008259A7" w:rsidRPr="002B3315">
        <w:rPr>
          <w:rFonts w:ascii="Arial" w:hAnsi="Arial" w:cs="Arial"/>
          <w:color w:val="7B7B7B" w:themeColor="accent3" w:themeShade="BF"/>
          <w:sz w:val="22"/>
          <w:szCs w:val="22"/>
          <w:lang w:val="en-GB"/>
        </w:rPr>
        <w:t>.”</w:t>
      </w:r>
      <w:r w:rsidR="008259A7" w:rsidRPr="002B3315">
        <w:rPr>
          <w:rStyle w:val="FootnoteReference"/>
          <w:rFonts w:ascii="Arial" w:hAnsi="Arial" w:cs="Arial"/>
          <w:color w:val="7B7B7B" w:themeColor="accent3" w:themeShade="BF"/>
          <w:sz w:val="22"/>
          <w:szCs w:val="22"/>
          <w:lang w:val="en-GB"/>
        </w:rPr>
        <w:footnoteReference w:id="176"/>
      </w:r>
      <w:r w:rsidR="008259A7" w:rsidRPr="002B3315">
        <w:rPr>
          <w:rFonts w:ascii="Arial" w:hAnsi="Arial" w:cs="Arial"/>
          <w:color w:val="7B7B7B" w:themeColor="accent3" w:themeShade="BF"/>
          <w:sz w:val="22"/>
          <w:szCs w:val="22"/>
          <w:lang w:val="en-GB"/>
        </w:rPr>
        <w:t xml:space="preserve"> </w:t>
      </w:r>
      <w:r w:rsidR="00E75470" w:rsidRPr="002B3315">
        <w:rPr>
          <w:rFonts w:ascii="Arial" w:hAnsi="Arial" w:cs="Arial"/>
          <w:color w:val="7B7B7B" w:themeColor="accent3" w:themeShade="BF"/>
          <w:sz w:val="22"/>
          <w:szCs w:val="22"/>
          <w:lang w:val="en-GB"/>
        </w:rPr>
        <w:t xml:space="preserve">Orange’s claim will be directly against the </w:t>
      </w:r>
      <w:r w:rsidR="00CE6545" w:rsidRPr="002B3315">
        <w:rPr>
          <w:rFonts w:ascii="Arial" w:hAnsi="Arial" w:cs="Arial"/>
          <w:color w:val="7B7B7B" w:themeColor="accent3" w:themeShade="BF"/>
          <w:sz w:val="22"/>
          <w:szCs w:val="22"/>
          <w:lang w:val="en-GB"/>
        </w:rPr>
        <w:t>Property</w:t>
      </w:r>
      <w:r w:rsidR="00E75470" w:rsidRPr="002B3315">
        <w:rPr>
          <w:rFonts w:ascii="Arial" w:hAnsi="Arial" w:cs="Arial"/>
          <w:color w:val="7B7B7B" w:themeColor="accent3" w:themeShade="BF"/>
          <w:sz w:val="22"/>
          <w:szCs w:val="22"/>
          <w:lang w:val="en-GB"/>
        </w:rPr>
        <w:t xml:space="preserve"> and would </w:t>
      </w:r>
      <w:r w:rsidR="008259A7" w:rsidRPr="002B3315">
        <w:rPr>
          <w:rFonts w:ascii="Arial" w:hAnsi="Arial" w:cs="Arial"/>
          <w:color w:val="7B7B7B" w:themeColor="accent3" w:themeShade="BF"/>
          <w:sz w:val="22"/>
          <w:szCs w:val="22"/>
          <w:lang w:val="en-GB"/>
        </w:rPr>
        <w:t xml:space="preserve">therefore </w:t>
      </w:r>
      <w:r w:rsidR="00E75470" w:rsidRPr="002B3315">
        <w:rPr>
          <w:rFonts w:ascii="Arial" w:hAnsi="Arial" w:cs="Arial"/>
          <w:color w:val="7B7B7B" w:themeColor="accent3" w:themeShade="BF"/>
          <w:sz w:val="22"/>
          <w:szCs w:val="22"/>
          <w:lang w:val="en-GB"/>
        </w:rPr>
        <w:t>fall outside any liquidation.</w:t>
      </w:r>
      <w:r w:rsidR="00E75470" w:rsidRPr="002B3315">
        <w:rPr>
          <w:rStyle w:val="FootnoteReference"/>
          <w:rFonts w:ascii="Arial" w:hAnsi="Arial" w:cs="Arial"/>
          <w:color w:val="7B7B7B" w:themeColor="accent3" w:themeShade="BF"/>
          <w:sz w:val="22"/>
          <w:szCs w:val="22"/>
          <w:lang w:val="en-GB"/>
        </w:rPr>
        <w:footnoteReference w:id="177"/>
      </w:r>
      <w:r w:rsidR="00AB3623" w:rsidRPr="002B3315">
        <w:rPr>
          <w:rFonts w:ascii="Arial" w:hAnsi="Arial" w:cs="Arial"/>
          <w:color w:val="7B7B7B" w:themeColor="accent3" w:themeShade="BF"/>
          <w:sz w:val="22"/>
          <w:szCs w:val="22"/>
          <w:lang w:val="en-GB"/>
        </w:rPr>
        <w:t xml:space="preserve"> The </w:t>
      </w:r>
      <w:r w:rsidR="005A1557" w:rsidRPr="002B3315">
        <w:rPr>
          <w:rFonts w:ascii="Arial" w:hAnsi="Arial" w:cs="Arial"/>
          <w:color w:val="7B7B7B" w:themeColor="accent3" w:themeShade="BF"/>
          <w:sz w:val="22"/>
          <w:szCs w:val="22"/>
          <w:lang w:val="en-GB"/>
        </w:rPr>
        <w:t>Insolvency</w:t>
      </w:r>
      <w:r w:rsidR="00AB3623" w:rsidRPr="002B3315">
        <w:rPr>
          <w:rFonts w:ascii="Arial" w:hAnsi="Arial" w:cs="Arial"/>
          <w:color w:val="7B7B7B" w:themeColor="accent3" w:themeShade="BF"/>
          <w:sz w:val="22"/>
          <w:szCs w:val="22"/>
          <w:lang w:val="en-GB"/>
        </w:rPr>
        <w:t xml:space="preserve"> Act specifically recognises and protects a secured creditor’s right to enforce its security.</w:t>
      </w:r>
      <w:r w:rsidR="00AB3623" w:rsidRPr="002B3315">
        <w:rPr>
          <w:rStyle w:val="FootnoteReference"/>
          <w:rFonts w:ascii="Arial" w:hAnsi="Arial" w:cs="Arial"/>
          <w:color w:val="7B7B7B" w:themeColor="accent3" w:themeShade="BF"/>
          <w:sz w:val="22"/>
          <w:szCs w:val="22"/>
          <w:lang w:val="en-GB"/>
        </w:rPr>
        <w:footnoteReference w:id="178"/>
      </w:r>
      <w:r w:rsidR="00B54316" w:rsidRPr="002B3315">
        <w:rPr>
          <w:rFonts w:ascii="Arial" w:hAnsi="Arial" w:cs="Arial"/>
          <w:color w:val="7B7B7B" w:themeColor="accent3" w:themeShade="BF"/>
          <w:sz w:val="22"/>
          <w:szCs w:val="22"/>
          <w:lang w:val="en-GB"/>
        </w:rPr>
        <w:t xml:space="preserve"> The Property can be realised with the proceeds distributed to Orange</w:t>
      </w:r>
      <w:r w:rsidR="00295F67" w:rsidRPr="002B3315">
        <w:rPr>
          <w:rFonts w:ascii="Arial" w:hAnsi="Arial" w:cs="Arial"/>
          <w:color w:val="7B7B7B" w:themeColor="accent3" w:themeShade="BF"/>
          <w:sz w:val="22"/>
          <w:szCs w:val="22"/>
          <w:lang w:val="en-GB"/>
        </w:rPr>
        <w:t xml:space="preserve"> (to the extent of the debt)</w:t>
      </w:r>
      <w:r w:rsidR="00B54316" w:rsidRPr="002B3315">
        <w:rPr>
          <w:rFonts w:ascii="Arial" w:hAnsi="Arial" w:cs="Arial"/>
          <w:color w:val="7B7B7B" w:themeColor="accent3" w:themeShade="BF"/>
          <w:sz w:val="22"/>
          <w:szCs w:val="22"/>
          <w:lang w:val="en-GB"/>
        </w:rPr>
        <w:t>.</w:t>
      </w:r>
    </w:p>
    <w:p w14:paraId="0085AC90" w14:textId="77777777" w:rsidR="006521DF" w:rsidRPr="002B3315" w:rsidRDefault="006521DF" w:rsidP="0059686D">
      <w:pPr>
        <w:autoSpaceDE w:val="0"/>
        <w:autoSpaceDN w:val="0"/>
        <w:adjustRightInd w:val="0"/>
        <w:jc w:val="both"/>
        <w:rPr>
          <w:rFonts w:ascii="Arial" w:hAnsi="Arial" w:cs="Arial"/>
          <w:color w:val="7B7B7B" w:themeColor="accent3" w:themeShade="BF"/>
          <w:sz w:val="22"/>
          <w:szCs w:val="22"/>
          <w:lang w:val="en-GB"/>
        </w:rPr>
      </w:pPr>
    </w:p>
    <w:p w14:paraId="386CBA35" w14:textId="0752CB8C" w:rsidR="0030610C" w:rsidRPr="002B3315" w:rsidRDefault="00554B4E" w:rsidP="0059686D">
      <w:pPr>
        <w:autoSpaceDE w:val="0"/>
        <w:autoSpaceDN w:val="0"/>
        <w:adjustRightInd w:val="0"/>
        <w:jc w:val="both"/>
        <w:rPr>
          <w:rFonts w:ascii="Arial" w:hAnsi="Arial" w:cs="Arial"/>
          <w:b/>
          <w:bCs/>
          <w:color w:val="7B7B7B" w:themeColor="accent3" w:themeShade="BF"/>
          <w:sz w:val="22"/>
          <w:szCs w:val="22"/>
          <w:u w:val="single"/>
          <w:lang w:val="en-GB"/>
        </w:rPr>
      </w:pPr>
      <w:r w:rsidRPr="002B3315">
        <w:rPr>
          <w:rFonts w:ascii="Arial" w:hAnsi="Arial" w:cs="Arial"/>
          <w:b/>
          <w:bCs/>
          <w:color w:val="7B7B7B" w:themeColor="accent3" w:themeShade="BF"/>
          <w:sz w:val="22"/>
          <w:szCs w:val="22"/>
          <w:u w:val="single"/>
          <w:lang w:val="en-GB"/>
        </w:rPr>
        <w:t>Statutory demand</w:t>
      </w:r>
    </w:p>
    <w:p w14:paraId="244ADE77" w14:textId="6E3AED17" w:rsidR="00CC0780" w:rsidRPr="002B3315" w:rsidRDefault="00DA3150"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As an alternative to appointing a receiver, Orange may, under section 155(1) of the Insolvency Act, </w:t>
      </w:r>
      <w:r w:rsidR="00CC0780" w:rsidRPr="002B3315">
        <w:rPr>
          <w:rFonts w:ascii="Arial" w:hAnsi="Arial" w:cs="Arial"/>
          <w:color w:val="7B7B7B" w:themeColor="accent3" w:themeShade="BF"/>
          <w:sz w:val="22"/>
          <w:szCs w:val="22"/>
          <w:lang w:val="en-GB"/>
        </w:rPr>
        <w:t>ma</w:t>
      </w:r>
      <w:r w:rsidR="00980E71" w:rsidRPr="002B3315">
        <w:rPr>
          <w:rFonts w:ascii="Arial" w:hAnsi="Arial" w:cs="Arial"/>
          <w:color w:val="7B7B7B" w:themeColor="accent3" w:themeShade="BF"/>
          <w:sz w:val="22"/>
          <w:szCs w:val="22"/>
          <w:lang w:val="en-GB"/>
        </w:rPr>
        <w:t>ke</w:t>
      </w:r>
      <w:r w:rsidR="00CC0780" w:rsidRPr="002B3315">
        <w:rPr>
          <w:rFonts w:ascii="Arial" w:hAnsi="Arial" w:cs="Arial"/>
          <w:color w:val="7B7B7B" w:themeColor="accent3" w:themeShade="BF"/>
          <w:sz w:val="22"/>
          <w:szCs w:val="22"/>
          <w:lang w:val="en-GB"/>
        </w:rPr>
        <w:t xml:space="preserve"> a demand on Yellow for payment of </w:t>
      </w:r>
      <w:r w:rsidRPr="002B3315">
        <w:rPr>
          <w:rFonts w:ascii="Arial" w:hAnsi="Arial" w:cs="Arial"/>
          <w:color w:val="7B7B7B" w:themeColor="accent3" w:themeShade="BF"/>
          <w:sz w:val="22"/>
          <w:szCs w:val="22"/>
          <w:lang w:val="en-GB"/>
        </w:rPr>
        <w:t>the</w:t>
      </w:r>
      <w:r w:rsidR="00CC0780" w:rsidRPr="002B3315">
        <w:rPr>
          <w:rFonts w:ascii="Arial" w:hAnsi="Arial" w:cs="Arial"/>
          <w:color w:val="7B7B7B" w:themeColor="accent3" w:themeShade="BF"/>
          <w:sz w:val="22"/>
          <w:szCs w:val="22"/>
          <w:lang w:val="en-GB"/>
        </w:rPr>
        <w:t xml:space="preserve"> debt ow</w:t>
      </w:r>
      <w:r w:rsidRPr="002B3315">
        <w:rPr>
          <w:rFonts w:ascii="Arial" w:hAnsi="Arial" w:cs="Arial"/>
          <w:color w:val="7B7B7B" w:themeColor="accent3" w:themeShade="BF"/>
          <w:sz w:val="22"/>
          <w:szCs w:val="22"/>
          <w:lang w:val="en-GB"/>
        </w:rPr>
        <w:t>ed</w:t>
      </w:r>
      <w:r w:rsidR="00CC0780" w:rsidRPr="002B3315">
        <w:rPr>
          <w:rFonts w:ascii="Arial" w:hAnsi="Arial" w:cs="Arial"/>
          <w:color w:val="7B7B7B" w:themeColor="accent3" w:themeShade="BF"/>
          <w:sz w:val="22"/>
          <w:szCs w:val="22"/>
          <w:lang w:val="en-GB"/>
        </w:rPr>
        <w:t xml:space="preserve">. </w:t>
      </w:r>
      <w:r w:rsidRPr="002B3315">
        <w:rPr>
          <w:rFonts w:ascii="Arial" w:hAnsi="Arial" w:cs="Arial"/>
          <w:color w:val="7B7B7B" w:themeColor="accent3" w:themeShade="BF"/>
          <w:sz w:val="22"/>
          <w:szCs w:val="22"/>
          <w:lang w:val="en-GB"/>
        </w:rPr>
        <w:t>T</w:t>
      </w:r>
      <w:r w:rsidR="00CC0780" w:rsidRPr="002B3315">
        <w:rPr>
          <w:rFonts w:ascii="Arial" w:hAnsi="Arial" w:cs="Arial"/>
          <w:color w:val="7B7B7B" w:themeColor="accent3" w:themeShade="BF"/>
          <w:sz w:val="22"/>
          <w:szCs w:val="22"/>
          <w:lang w:val="en-GB"/>
        </w:rPr>
        <w:t xml:space="preserve">he demand shall, </w:t>
      </w:r>
      <w:r w:rsidR="00CC0780" w:rsidRPr="002B3315">
        <w:rPr>
          <w:rFonts w:ascii="Arial" w:hAnsi="Arial" w:cs="Arial"/>
          <w:i/>
          <w:iCs/>
          <w:color w:val="7B7B7B" w:themeColor="accent3" w:themeShade="BF"/>
          <w:sz w:val="22"/>
          <w:szCs w:val="22"/>
          <w:lang w:val="en-GB"/>
        </w:rPr>
        <w:t>inter alia</w:t>
      </w:r>
      <w:r w:rsidR="00CC0780" w:rsidRPr="002B3315">
        <w:rPr>
          <w:rFonts w:ascii="Arial" w:hAnsi="Arial" w:cs="Arial"/>
          <w:color w:val="7B7B7B" w:themeColor="accent3" w:themeShade="BF"/>
          <w:sz w:val="22"/>
          <w:szCs w:val="22"/>
          <w:lang w:val="en-GB"/>
        </w:rPr>
        <w:t>:</w:t>
      </w:r>
    </w:p>
    <w:p w14:paraId="67454E66" w14:textId="02F0AD66" w:rsidR="00CC0780" w:rsidRPr="002B3315" w:rsidRDefault="00CC0780" w:rsidP="0059686D">
      <w:pPr>
        <w:pStyle w:val="ListParagraph"/>
        <w:numPr>
          <w:ilvl w:val="0"/>
          <w:numId w:val="40"/>
        </w:numPr>
        <w:autoSpaceDE w:val="0"/>
        <w:autoSpaceDN w:val="0"/>
        <w:adjustRightInd w:val="0"/>
        <w:ind w:left="714" w:hanging="357"/>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w:t>
      </w:r>
      <w:proofErr w:type="gramStart"/>
      <w:r w:rsidRPr="002B3315">
        <w:rPr>
          <w:rFonts w:ascii="Arial" w:hAnsi="Arial" w:cs="Arial"/>
          <w:i/>
          <w:iCs/>
          <w:color w:val="7B7B7B" w:themeColor="accent3" w:themeShade="BF"/>
          <w:sz w:val="22"/>
          <w:szCs w:val="22"/>
          <w:lang w:val="en-GB"/>
        </w:rPr>
        <w:t>be</w:t>
      </w:r>
      <w:proofErr w:type="gramEnd"/>
      <w:r w:rsidRPr="002B3315">
        <w:rPr>
          <w:rFonts w:ascii="Arial" w:hAnsi="Arial" w:cs="Arial"/>
          <w:i/>
          <w:iCs/>
          <w:color w:val="7B7B7B" w:themeColor="accent3" w:themeShade="BF"/>
          <w:sz w:val="22"/>
          <w:szCs w:val="22"/>
          <w:lang w:val="en-GB"/>
        </w:rPr>
        <w:t xml:space="preserve"> in respect of a debt that is due and payable…and that is not less than the </w:t>
      </w:r>
      <w:r w:rsidRPr="002B3315">
        <w:rPr>
          <w:rFonts w:ascii="Arial" w:hAnsi="Arial" w:cs="Arial"/>
          <w:i/>
          <w:iCs/>
          <w:color w:val="7B7B7B" w:themeColor="accent3" w:themeShade="BF"/>
          <w:sz w:val="22"/>
          <w:szCs w:val="22"/>
          <w:u w:val="single"/>
          <w:lang w:val="en-GB"/>
        </w:rPr>
        <w:t>prescribed minimum</w:t>
      </w:r>
      <w:r w:rsidRPr="002B3315">
        <w:rPr>
          <w:rFonts w:ascii="Arial" w:hAnsi="Arial" w:cs="Arial"/>
          <w:color w:val="7B7B7B" w:themeColor="accent3" w:themeShade="BF"/>
          <w:sz w:val="22"/>
          <w:szCs w:val="22"/>
          <w:lang w:val="en-GB"/>
        </w:rPr>
        <w:t xml:space="preserve"> [emphasis added]”</w:t>
      </w:r>
      <w:r w:rsidRPr="002B3315">
        <w:rPr>
          <w:rStyle w:val="FootnoteReference"/>
          <w:rFonts w:ascii="Arial" w:hAnsi="Arial" w:cs="Arial"/>
          <w:color w:val="7B7B7B" w:themeColor="accent3" w:themeShade="BF"/>
          <w:sz w:val="22"/>
          <w:szCs w:val="22"/>
          <w:lang w:val="en-GB"/>
        </w:rPr>
        <w:footnoteReference w:id="179"/>
      </w:r>
      <w:r w:rsidRPr="002B3315">
        <w:rPr>
          <w:rFonts w:ascii="Arial" w:hAnsi="Arial" w:cs="Arial"/>
          <w:color w:val="7B7B7B" w:themeColor="accent3" w:themeShade="BF"/>
          <w:sz w:val="22"/>
          <w:szCs w:val="22"/>
          <w:lang w:val="en-GB"/>
        </w:rPr>
        <w:t>;</w:t>
      </w:r>
    </w:p>
    <w:p w14:paraId="397AD034" w14:textId="1FE5E37F" w:rsidR="002E058A" w:rsidRPr="002B3315" w:rsidRDefault="00130633" w:rsidP="0059686D">
      <w:pPr>
        <w:pStyle w:val="ListParagraph"/>
        <w:numPr>
          <w:ilvl w:val="0"/>
          <w:numId w:val="40"/>
        </w:numPr>
        <w:autoSpaceDE w:val="0"/>
        <w:autoSpaceDN w:val="0"/>
        <w:adjustRightInd w:val="0"/>
        <w:ind w:left="714" w:hanging="357"/>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b</w:t>
      </w:r>
      <w:r w:rsidR="002E058A" w:rsidRPr="002B3315">
        <w:rPr>
          <w:rFonts w:ascii="Arial" w:hAnsi="Arial" w:cs="Arial"/>
          <w:color w:val="7B7B7B" w:themeColor="accent3" w:themeShade="BF"/>
          <w:sz w:val="22"/>
          <w:szCs w:val="22"/>
          <w:lang w:val="en-GB"/>
        </w:rPr>
        <w:t>e in writing and shall state the nature of the debt and the amount due</w:t>
      </w:r>
      <w:r w:rsidR="002E058A" w:rsidRPr="002B3315">
        <w:rPr>
          <w:rStyle w:val="FootnoteReference"/>
          <w:rFonts w:ascii="Arial" w:hAnsi="Arial" w:cs="Arial"/>
          <w:color w:val="7B7B7B" w:themeColor="accent3" w:themeShade="BF"/>
          <w:sz w:val="22"/>
          <w:szCs w:val="22"/>
          <w:lang w:val="en-GB"/>
        </w:rPr>
        <w:footnoteReference w:id="180"/>
      </w:r>
      <w:r w:rsidR="002E058A" w:rsidRPr="002B3315">
        <w:rPr>
          <w:rFonts w:ascii="Arial" w:hAnsi="Arial" w:cs="Arial"/>
          <w:color w:val="7B7B7B" w:themeColor="accent3" w:themeShade="BF"/>
          <w:sz w:val="22"/>
          <w:szCs w:val="22"/>
          <w:lang w:val="en-GB"/>
        </w:rPr>
        <w:t>;</w:t>
      </w:r>
    </w:p>
    <w:p w14:paraId="1F2E70C8" w14:textId="2C5E1D88" w:rsidR="00973790" w:rsidRPr="002B3315" w:rsidRDefault="00CC0780" w:rsidP="0059686D">
      <w:pPr>
        <w:pStyle w:val="ListParagraph"/>
        <w:numPr>
          <w:ilvl w:val="0"/>
          <w:numId w:val="40"/>
        </w:numPr>
        <w:autoSpaceDE w:val="0"/>
        <w:autoSpaceDN w:val="0"/>
        <w:adjustRightInd w:val="0"/>
        <w:ind w:left="714" w:hanging="357"/>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require Yellow to pay the debt or to secure or compound for the debt to Orange</w:t>
      </w:r>
      <w:r w:rsidR="00DA3150" w:rsidRPr="002B3315">
        <w:rPr>
          <w:rFonts w:ascii="Arial" w:hAnsi="Arial" w:cs="Arial"/>
          <w:color w:val="7B7B7B" w:themeColor="accent3" w:themeShade="BF"/>
          <w:sz w:val="22"/>
          <w:szCs w:val="22"/>
          <w:lang w:val="en-GB"/>
        </w:rPr>
        <w:t>’s reasonable satisfaction</w:t>
      </w:r>
      <w:r w:rsidRPr="002B3315">
        <w:rPr>
          <w:rFonts w:ascii="Arial" w:hAnsi="Arial" w:cs="Arial"/>
          <w:color w:val="7B7B7B" w:themeColor="accent3" w:themeShade="BF"/>
          <w:sz w:val="22"/>
          <w:szCs w:val="22"/>
          <w:lang w:val="en-GB"/>
        </w:rPr>
        <w:t xml:space="preserve"> within 21 days of the date of service of the demand</w:t>
      </w:r>
      <w:r w:rsidRPr="002B3315">
        <w:rPr>
          <w:rStyle w:val="FootnoteReference"/>
          <w:rFonts w:ascii="Arial" w:hAnsi="Arial" w:cs="Arial"/>
          <w:color w:val="7B7B7B" w:themeColor="accent3" w:themeShade="BF"/>
          <w:sz w:val="22"/>
          <w:szCs w:val="22"/>
          <w:lang w:val="en-GB"/>
        </w:rPr>
        <w:footnoteReference w:id="181"/>
      </w:r>
      <w:r w:rsidRPr="002B3315">
        <w:rPr>
          <w:rFonts w:ascii="Arial" w:hAnsi="Arial" w:cs="Arial"/>
          <w:color w:val="7B7B7B" w:themeColor="accent3" w:themeShade="BF"/>
          <w:sz w:val="22"/>
          <w:szCs w:val="22"/>
          <w:lang w:val="en-GB"/>
        </w:rPr>
        <w:t>; and</w:t>
      </w:r>
    </w:p>
    <w:p w14:paraId="1705D1BE" w14:textId="353DCEAC" w:rsidR="00CC0780" w:rsidRPr="002B3315" w:rsidRDefault="00CC0780" w:rsidP="0059686D">
      <w:pPr>
        <w:pStyle w:val="ListParagraph"/>
        <w:numPr>
          <w:ilvl w:val="0"/>
          <w:numId w:val="40"/>
        </w:numPr>
        <w:autoSpaceDE w:val="0"/>
        <w:autoSpaceDN w:val="0"/>
        <w:adjustRightInd w:val="0"/>
        <w:ind w:left="714" w:hanging="357"/>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state that if the demand is not complied with, an application may be made to the court to appoint a liquidator</w:t>
      </w:r>
      <w:r w:rsidRPr="002B3315">
        <w:rPr>
          <w:rStyle w:val="FootnoteReference"/>
          <w:rFonts w:ascii="Arial" w:hAnsi="Arial" w:cs="Arial"/>
          <w:color w:val="7B7B7B" w:themeColor="accent3" w:themeShade="BF"/>
          <w:sz w:val="22"/>
          <w:szCs w:val="22"/>
          <w:lang w:val="en-GB"/>
        </w:rPr>
        <w:footnoteReference w:id="182"/>
      </w:r>
      <w:r w:rsidRPr="002B3315">
        <w:rPr>
          <w:rFonts w:ascii="Arial" w:hAnsi="Arial" w:cs="Arial"/>
          <w:color w:val="7B7B7B" w:themeColor="accent3" w:themeShade="BF"/>
          <w:sz w:val="22"/>
          <w:szCs w:val="22"/>
          <w:lang w:val="en-GB"/>
        </w:rPr>
        <w:t>.</w:t>
      </w:r>
    </w:p>
    <w:p w14:paraId="253D1F22" w14:textId="77777777" w:rsidR="00973790" w:rsidRPr="002B3315" w:rsidRDefault="00973790" w:rsidP="0059686D">
      <w:pPr>
        <w:autoSpaceDE w:val="0"/>
        <w:autoSpaceDN w:val="0"/>
        <w:adjustRightInd w:val="0"/>
        <w:jc w:val="both"/>
        <w:rPr>
          <w:rFonts w:ascii="Arial" w:hAnsi="Arial" w:cs="Arial"/>
          <w:color w:val="7B7B7B" w:themeColor="accent3" w:themeShade="BF"/>
          <w:sz w:val="22"/>
          <w:szCs w:val="22"/>
          <w:lang w:val="en-GB"/>
        </w:rPr>
      </w:pPr>
    </w:p>
    <w:p w14:paraId="627E208D" w14:textId="21A20499" w:rsidR="00CC0780" w:rsidRPr="002B3315" w:rsidRDefault="00CC0780"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If Orange serves a statutory demand for the </w:t>
      </w:r>
      <w:r w:rsidR="007353D7" w:rsidRPr="002B3315">
        <w:rPr>
          <w:rFonts w:ascii="Arial" w:hAnsi="Arial" w:cs="Arial"/>
          <w:color w:val="7B7B7B" w:themeColor="accent3" w:themeShade="BF"/>
          <w:sz w:val="22"/>
          <w:szCs w:val="22"/>
          <w:lang w:val="en-GB"/>
        </w:rPr>
        <w:t>four</w:t>
      </w:r>
      <w:r w:rsidRPr="002B3315">
        <w:rPr>
          <w:rFonts w:ascii="Arial" w:hAnsi="Arial" w:cs="Arial"/>
          <w:color w:val="7B7B7B" w:themeColor="accent3" w:themeShade="BF"/>
          <w:sz w:val="22"/>
          <w:szCs w:val="22"/>
          <w:lang w:val="en-GB"/>
        </w:rPr>
        <w:t xml:space="preserve"> months arrears </w:t>
      </w:r>
      <w:r w:rsidR="00C97AA6" w:rsidRPr="002B3315">
        <w:rPr>
          <w:rFonts w:ascii="Arial" w:hAnsi="Arial" w:cs="Arial"/>
          <w:color w:val="7B7B7B" w:themeColor="accent3" w:themeShade="BF"/>
          <w:sz w:val="22"/>
          <w:szCs w:val="22"/>
          <w:lang w:val="en-GB"/>
        </w:rPr>
        <w:t>on the</w:t>
      </w:r>
      <w:r w:rsidRPr="002B3315">
        <w:rPr>
          <w:rFonts w:ascii="Arial" w:hAnsi="Arial" w:cs="Arial"/>
          <w:color w:val="7B7B7B" w:themeColor="accent3" w:themeShade="BF"/>
          <w:sz w:val="22"/>
          <w:szCs w:val="22"/>
          <w:lang w:val="en-GB"/>
        </w:rPr>
        <w:t xml:space="preserve"> mortgage, it would be making the demand as a secured creditor in respect of the debt. In this situation, section 155(3) provides that the demand shall specify the full amount of the debt but:</w:t>
      </w:r>
    </w:p>
    <w:p w14:paraId="1BB3ABFF" w14:textId="07EF1CA4" w:rsidR="00CC0780" w:rsidRPr="002B3315" w:rsidRDefault="00CC0780" w:rsidP="0059686D">
      <w:pPr>
        <w:pStyle w:val="ListParagraph"/>
        <w:numPr>
          <w:ilvl w:val="0"/>
          <w:numId w:val="29"/>
        </w:numPr>
        <w:autoSpaceDE w:val="0"/>
        <w:autoSpaceDN w:val="0"/>
        <w:adjustRightInd w:val="0"/>
        <w:ind w:left="714" w:hanging="357"/>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the demand shall specify the nature of the security interest</w:t>
      </w:r>
      <w:r w:rsidR="00C97AA6" w:rsidRPr="002B3315">
        <w:rPr>
          <w:rFonts w:ascii="Arial" w:hAnsi="Arial" w:cs="Arial"/>
          <w:color w:val="7B7B7B" w:themeColor="accent3" w:themeShade="BF"/>
          <w:sz w:val="22"/>
          <w:szCs w:val="22"/>
          <w:lang w:val="en-GB"/>
        </w:rPr>
        <w:t xml:space="preserve"> (i.e. a mortgage)</w:t>
      </w:r>
      <w:r w:rsidRPr="002B3315">
        <w:rPr>
          <w:rFonts w:ascii="Arial" w:hAnsi="Arial" w:cs="Arial"/>
          <w:color w:val="7B7B7B" w:themeColor="accent3" w:themeShade="BF"/>
          <w:sz w:val="22"/>
          <w:szCs w:val="22"/>
          <w:lang w:val="en-GB"/>
        </w:rPr>
        <w:t xml:space="preserve">, and the value Orange </w:t>
      </w:r>
      <w:r w:rsidR="00C97AA6" w:rsidRPr="002B3315">
        <w:rPr>
          <w:rFonts w:ascii="Arial" w:hAnsi="Arial" w:cs="Arial"/>
          <w:color w:val="7B7B7B" w:themeColor="accent3" w:themeShade="BF"/>
          <w:sz w:val="22"/>
          <w:szCs w:val="22"/>
          <w:lang w:val="en-GB"/>
        </w:rPr>
        <w:t>(</w:t>
      </w:r>
      <w:r w:rsidRPr="002B3315">
        <w:rPr>
          <w:rFonts w:ascii="Arial" w:hAnsi="Arial" w:cs="Arial"/>
          <w:color w:val="7B7B7B" w:themeColor="accent3" w:themeShade="BF"/>
          <w:sz w:val="22"/>
          <w:szCs w:val="22"/>
          <w:lang w:val="en-GB"/>
        </w:rPr>
        <w:t xml:space="preserve">as </w:t>
      </w:r>
      <w:r w:rsidR="00C97AA6" w:rsidRPr="002B3315">
        <w:rPr>
          <w:rFonts w:ascii="Arial" w:hAnsi="Arial" w:cs="Arial"/>
          <w:color w:val="7B7B7B" w:themeColor="accent3" w:themeShade="BF"/>
          <w:sz w:val="22"/>
          <w:szCs w:val="22"/>
          <w:lang w:val="en-GB"/>
        </w:rPr>
        <w:t xml:space="preserve">the </w:t>
      </w:r>
      <w:r w:rsidRPr="002B3315">
        <w:rPr>
          <w:rFonts w:ascii="Arial" w:hAnsi="Arial" w:cs="Arial"/>
          <w:color w:val="7B7B7B" w:themeColor="accent3" w:themeShade="BF"/>
          <w:sz w:val="22"/>
          <w:szCs w:val="22"/>
          <w:lang w:val="en-GB"/>
        </w:rPr>
        <w:t>creditor</w:t>
      </w:r>
      <w:r w:rsidR="00C97AA6" w:rsidRPr="002B3315">
        <w:rPr>
          <w:rFonts w:ascii="Arial" w:hAnsi="Arial" w:cs="Arial"/>
          <w:color w:val="7B7B7B" w:themeColor="accent3" w:themeShade="BF"/>
          <w:sz w:val="22"/>
          <w:szCs w:val="22"/>
          <w:lang w:val="en-GB"/>
        </w:rPr>
        <w:t>)</w:t>
      </w:r>
      <w:r w:rsidRPr="002B3315">
        <w:rPr>
          <w:rFonts w:ascii="Arial" w:hAnsi="Arial" w:cs="Arial"/>
          <w:color w:val="7B7B7B" w:themeColor="accent3" w:themeShade="BF"/>
          <w:sz w:val="22"/>
          <w:szCs w:val="22"/>
          <w:lang w:val="en-GB"/>
        </w:rPr>
        <w:t xml:space="preserve"> places on it at the date of the demand</w:t>
      </w:r>
      <w:r w:rsidR="00C97AA6" w:rsidRPr="002B3315">
        <w:rPr>
          <w:rStyle w:val="FootnoteReference"/>
          <w:rFonts w:ascii="Arial" w:hAnsi="Arial" w:cs="Arial"/>
          <w:color w:val="7B7B7B" w:themeColor="accent3" w:themeShade="BF"/>
          <w:sz w:val="22"/>
          <w:szCs w:val="22"/>
          <w:lang w:val="en-GB"/>
        </w:rPr>
        <w:footnoteReference w:id="183"/>
      </w:r>
      <w:r w:rsidRPr="002B3315">
        <w:rPr>
          <w:rFonts w:ascii="Arial" w:hAnsi="Arial" w:cs="Arial"/>
          <w:color w:val="7B7B7B" w:themeColor="accent3" w:themeShade="BF"/>
          <w:sz w:val="22"/>
          <w:szCs w:val="22"/>
          <w:lang w:val="en-GB"/>
        </w:rPr>
        <w:t>; and</w:t>
      </w:r>
    </w:p>
    <w:p w14:paraId="56DA2941" w14:textId="77777777" w:rsidR="00CC0780" w:rsidRPr="002B3315" w:rsidRDefault="00CC0780" w:rsidP="0059686D">
      <w:pPr>
        <w:pStyle w:val="ListParagraph"/>
        <w:numPr>
          <w:ilvl w:val="0"/>
          <w:numId w:val="29"/>
        </w:numPr>
        <w:autoSpaceDE w:val="0"/>
        <w:autoSpaceDN w:val="0"/>
        <w:adjustRightInd w:val="0"/>
        <w:ind w:left="714" w:hanging="357"/>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the amount claimed “</w:t>
      </w:r>
      <w:r w:rsidRPr="002B3315">
        <w:rPr>
          <w:rFonts w:ascii="Arial" w:hAnsi="Arial" w:cs="Arial"/>
          <w:i/>
          <w:iCs/>
          <w:color w:val="7B7B7B" w:themeColor="accent3" w:themeShade="BF"/>
          <w:sz w:val="22"/>
          <w:szCs w:val="22"/>
          <w:lang w:val="en-GB"/>
        </w:rPr>
        <w:t xml:space="preserve">shall be the full amount of the debt </w:t>
      </w:r>
      <w:r w:rsidRPr="002B3315">
        <w:rPr>
          <w:rFonts w:ascii="Arial" w:hAnsi="Arial" w:cs="Arial"/>
          <w:i/>
          <w:iCs/>
          <w:color w:val="7B7B7B" w:themeColor="accent3" w:themeShade="BF"/>
          <w:sz w:val="22"/>
          <w:szCs w:val="22"/>
          <w:u w:val="single"/>
          <w:lang w:val="en-GB"/>
        </w:rPr>
        <w:t>less</w:t>
      </w:r>
      <w:r w:rsidRPr="002B3315">
        <w:rPr>
          <w:rFonts w:ascii="Arial" w:hAnsi="Arial" w:cs="Arial"/>
          <w:i/>
          <w:iCs/>
          <w:color w:val="7B7B7B" w:themeColor="accent3" w:themeShade="BF"/>
          <w:sz w:val="22"/>
          <w:szCs w:val="22"/>
          <w:lang w:val="en-GB"/>
        </w:rPr>
        <w:t xml:space="preserve"> the amount specified as the value of the security interest and shall </w:t>
      </w:r>
      <w:r w:rsidRPr="002B3315">
        <w:rPr>
          <w:rFonts w:ascii="Arial" w:hAnsi="Arial" w:cs="Arial"/>
          <w:i/>
          <w:iCs/>
          <w:color w:val="7B7B7B" w:themeColor="accent3" w:themeShade="BF"/>
          <w:sz w:val="22"/>
          <w:szCs w:val="22"/>
          <w:u w:val="single"/>
          <w:lang w:val="en-GB"/>
        </w:rPr>
        <w:t>equal or exceed</w:t>
      </w:r>
      <w:r w:rsidRPr="002B3315">
        <w:rPr>
          <w:rFonts w:ascii="Arial" w:hAnsi="Arial" w:cs="Arial"/>
          <w:i/>
          <w:iCs/>
          <w:color w:val="7B7B7B" w:themeColor="accent3" w:themeShade="BF"/>
          <w:sz w:val="22"/>
          <w:szCs w:val="22"/>
          <w:lang w:val="en-GB"/>
        </w:rPr>
        <w:t xml:space="preserve"> the </w:t>
      </w:r>
      <w:r w:rsidRPr="002B3315">
        <w:rPr>
          <w:rFonts w:ascii="Arial" w:hAnsi="Arial" w:cs="Arial"/>
          <w:i/>
          <w:iCs/>
          <w:color w:val="7B7B7B" w:themeColor="accent3" w:themeShade="BF"/>
          <w:sz w:val="22"/>
          <w:szCs w:val="22"/>
          <w:u w:val="single"/>
          <w:lang w:val="en-GB"/>
        </w:rPr>
        <w:t>prescribed minimum</w:t>
      </w:r>
      <w:r w:rsidRPr="002B3315">
        <w:rPr>
          <w:rFonts w:ascii="Arial" w:hAnsi="Arial" w:cs="Arial"/>
          <w:color w:val="7B7B7B" w:themeColor="accent3" w:themeShade="BF"/>
          <w:sz w:val="22"/>
          <w:szCs w:val="22"/>
          <w:lang w:val="en-GB"/>
        </w:rPr>
        <w:t>. [emphasis added]”</w:t>
      </w:r>
      <w:r w:rsidRPr="002B3315">
        <w:rPr>
          <w:rStyle w:val="FootnoteReference"/>
          <w:rFonts w:ascii="Arial" w:hAnsi="Arial" w:cs="Arial"/>
          <w:color w:val="7B7B7B" w:themeColor="accent3" w:themeShade="BF"/>
          <w:sz w:val="22"/>
          <w:szCs w:val="22"/>
          <w:lang w:val="en-GB"/>
        </w:rPr>
        <w:footnoteReference w:id="184"/>
      </w:r>
    </w:p>
    <w:p w14:paraId="0A6D97BB" w14:textId="77777777" w:rsidR="00CC0780" w:rsidRPr="002B3315" w:rsidRDefault="00CC0780" w:rsidP="0059686D">
      <w:pPr>
        <w:autoSpaceDE w:val="0"/>
        <w:autoSpaceDN w:val="0"/>
        <w:adjustRightInd w:val="0"/>
        <w:jc w:val="both"/>
        <w:rPr>
          <w:rFonts w:ascii="Arial" w:hAnsi="Arial" w:cs="Arial"/>
          <w:color w:val="7B7B7B" w:themeColor="accent3" w:themeShade="BF"/>
          <w:sz w:val="22"/>
          <w:szCs w:val="22"/>
          <w:lang w:val="en-GB"/>
        </w:rPr>
      </w:pPr>
    </w:p>
    <w:p w14:paraId="296290BD" w14:textId="4DB67E38" w:rsidR="00CC0780" w:rsidRPr="002B3315" w:rsidRDefault="00CC0780"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The demand shall be for the prescribed minimum</w:t>
      </w:r>
      <w:r w:rsidRPr="002B3315">
        <w:rPr>
          <w:rStyle w:val="FootnoteReference"/>
          <w:rFonts w:ascii="Arial" w:hAnsi="Arial" w:cs="Arial"/>
          <w:color w:val="7B7B7B" w:themeColor="accent3" w:themeShade="BF"/>
          <w:sz w:val="22"/>
          <w:szCs w:val="22"/>
          <w:lang w:val="en-GB"/>
        </w:rPr>
        <w:footnoteReference w:id="185"/>
      </w:r>
      <w:r w:rsidRPr="002B3315">
        <w:rPr>
          <w:rFonts w:ascii="Arial" w:hAnsi="Arial" w:cs="Arial"/>
          <w:color w:val="7B7B7B" w:themeColor="accent3" w:themeShade="BF"/>
          <w:sz w:val="22"/>
          <w:szCs w:val="22"/>
          <w:lang w:val="en-GB"/>
        </w:rPr>
        <w:t xml:space="preserve"> </w:t>
      </w:r>
      <w:r w:rsidR="00130633" w:rsidRPr="002B3315">
        <w:rPr>
          <w:rFonts w:ascii="Arial" w:hAnsi="Arial" w:cs="Arial"/>
          <w:color w:val="7B7B7B" w:themeColor="accent3" w:themeShade="BF"/>
          <w:sz w:val="22"/>
          <w:szCs w:val="22"/>
          <w:lang w:val="en-GB"/>
        </w:rPr>
        <w:t>which,</w:t>
      </w:r>
      <w:r w:rsidRPr="002B3315">
        <w:rPr>
          <w:rFonts w:ascii="Arial" w:hAnsi="Arial" w:cs="Arial"/>
          <w:color w:val="7B7B7B" w:themeColor="accent3" w:themeShade="BF"/>
          <w:sz w:val="22"/>
          <w:szCs w:val="22"/>
          <w:lang w:val="en-GB"/>
        </w:rPr>
        <w:t xml:space="preserve"> </w:t>
      </w:r>
      <w:r w:rsidR="00130633" w:rsidRPr="002B3315">
        <w:rPr>
          <w:rFonts w:ascii="Arial" w:hAnsi="Arial" w:cs="Arial"/>
          <w:color w:val="7B7B7B" w:themeColor="accent3" w:themeShade="BF"/>
          <w:sz w:val="22"/>
          <w:szCs w:val="22"/>
          <w:lang w:val="en-GB"/>
        </w:rPr>
        <w:t xml:space="preserve">as per </w:t>
      </w:r>
      <w:r w:rsidRPr="002B3315">
        <w:rPr>
          <w:rFonts w:ascii="Arial" w:hAnsi="Arial" w:cs="Arial"/>
          <w:color w:val="7B7B7B" w:themeColor="accent3" w:themeShade="BF"/>
          <w:sz w:val="22"/>
          <w:szCs w:val="22"/>
          <w:lang w:val="en-GB"/>
        </w:rPr>
        <w:t>rule 149</w:t>
      </w:r>
      <w:r w:rsidR="0036486E" w:rsidRPr="002B3315">
        <w:rPr>
          <w:rFonts w:ascii="Arial" w:hAnsi="Arial" w:cs="Arial"/>
          <w:color w:val="7B7B7B" w:themeColor="accent3" w:themeShade="BF"/>
          <w:sz w:val="22"/>
          <w:szCs w:val="22"/>
          <w:lang w:val="en-GB"/>
        </w:rPr>
        <w:t>(1)</w:t>
      </w:r>
      <w:r w:rsidRPr="002B3315">
        <w:rPr>
          <w:rFonts w:ascii="Arial" w:hAnsi="Arial" w:cs="Arial"/>
          <w:color w:val="7B7B7B" w:themeColor="accent3" w:themeShade="BF"/>
          <w:sz w:val="22"/>
          <w:szCs w:val="22"/>
          <w:lang w:val="en-GB"/>
        </w:rPr>
        <w:t xml:space="preserve"> of the Insolvency Rules</w:t>
      </w:r>
      <w:r w:rsidR="00130633" w:rsidRPr="002B3315">
        <w:rPr>
          <w:rFonts w:ascii="Arial" w:hAnsi="Arial" w:cs="Arial"/>
          <w:color w:val="7B7B7B" w:themeColor="accent3" w:themeShade="BF"/>
          <w:sz w:val="22"/>
          <w:szCs w:val="22"/>
          <w:lang w:val="en-GB"/>
        </w:rPr>
        <w:t>,</w:t>
      </w:r>
      <w:r w:rsidRPr="002B3315">
        <w:rPr>
          <w:rFonts w:ascii="Arial" w:hAnsi="Arial" w:cs="Arial"/>
          <w:color w:val="7B7B7B" w:themeColor="accent3" w:themeShade="BF"/>
          <w:sz w:val="22"/>
          <w:szCs w:val="22"/>
          <w:lang w:val="en-GB"/>
        </w:rPr>
        <w:t xml:space="preserve"> </w:t>
      </w:r>
      <w:r w:rsidR="00130633" w:rsidRPr="002B3315">
        <w:rPr>
          <w:rFonts w:ascii="Arial" w:hAnsi="Arial" w:cs="Arial"/>
          <w:color w:val="7B7B7B" w:themeColor="accent3" w:themeShade="BF"/>
          <w:sz w:val="22"/>
          <w:szCs w:val="22"/>
          <w:lang w:val="en-GB"/>
        </w:rPr>
        <w:t>is $2,000</w:t>
      </w:r>
      <w:r w:rsidRPr="002B3315">
        <w:rPr>
          <w:rStyle w:val="FootnoteReference"/>
          <w:rFonts w:ascii="Arial" w:hAnsi="Arial" w:cs="Arial"/>
          <w:color w:val="7B7B7B" w:themeColor="accent3" w:themeShade="BF"/>
          <w:sz w:val="22"/>
          <w:szCs w:val="22"/>
          <w:lang w:val="en-GB"/>
        </w:rPr>
        <w:footnoteReference w:id="186"/>
      </w:r>
      <w:r w:rsidRPr="002B3315">
        <w:rPr>
          <w:rFonts w:ascii="Arial" w:hAnsi="Arial" w:cs="Arial"/>
          <w:color w:val="7B7B7B" w:themeColor="accent3" w:themeShade="BF"/>
          <w:sz w:val="22"/>
          <w:szCs w:val="22"/>
          <w:lang w:val="en-GB"/>
        </w:rPr>
        <w:t xml:space="preserve">. Although the fact pattern does not state the amount of monthly mortgage payments or </w:t>
      </w:r>
      <w:r w:rsidR="00471E6C" w:rsidRPr="002B3315">
        <w:rPr>
          <w:rFonts w:ascii="Arial" w:hAnsi="Arial" w:cs="Arial"/>
          <w:color w:val="7B7B7B" w:themeColor="accent3" w:themeShade="BF"/>
          <w:sz w:val="22"/>
          <w:szCs w:val="22"/>
          <w:lang w:val="en-GB"/>
        </w:rPr>
        <w:t xml:space="preserve">how much </w:t>
      </w:r>
      <w:r w:rsidR="0036486E" w:rsidRPr="002B3315">
        <w:rPr>
          <w:rFonts w:ascii="Arial" w:hAnsi="Arial" w:cs="Arial"/>
          <w:color w:val="7B7B7B" w:themeColor="accent3" w:themeShade="BF"/>
          <w:sz w:val="22"/>
          <w:szCs w:val="22"/>
          <w:lang w:val="en-GB"/>
        </w:rPr>
        <w:t>Yellow is</w:t>
      </w:r>
      <w:r w:rsidRPr="002B3315">
        <w:rPr>
          <w:rFonts w:ascii="Arial" w:hAnsi="Arial" w:cs="Arial"/>
          <w:color w:val="7B7B7B" w:themeColor="accent3" w:themeShade="BF"/>
          <w:sz w:val="22"/>
          <w:szCs w:val="22"/>
          <w:lang w:val="en-GB"/>
        </w:rPr>
        <w:t xml:space="preserve"> in arrears, it is assumed that the amount </w:t>
      </w:r>
      <w:r w:rsidR="00471E6C" w:rsidRPr="002B3315">
        <w:rPr>
          <w:rFonts w:ascii="Arial" w:hAnsi="Arial" w:cs="Arial"/>
          <w:color w:val="7B7B7B" w:themeColor="accent3" w:themeShade="BF"/>
          <w:sz w:val="22"/>
          <w:szCs w:val="22"/>
          <w:lang w:val="en-GB"/>
        </w:rPr>
        <w:t xml:space="preserve">owed to Orange </w:t>
      </w:r>
      <w:r w:rsidRPr="002B3315">
        <w:rPr>
          <w:rFonts w:ascii="Arial" w:hAnsi="Arial" w:cs="Arial"/>
          <w:color w:val="7B7B7B" w:themeColor="accent3" w:themeShade="BF"/>
          <w:sz w:val="22"/>
          <w:szCs w:val="22"/>
          <w:lang w:val="en-GB"/>
        </w:rPr>
        <w:t xml:space="preserve">is over </w:t>
      </w:r>
      <w:r w:rsidR="00130633" w:rsidRPr="002B3315">
        <w:rPr>
          <w:rFonts w:ascii="Arial" w:hAnsi="Arial" w:cs="Arial"/>
          <w:color w:val="7B7B7B" w:themeColor="accent3" w:themeShade="BF"/>
          <w:sz w:val="22"/>
          <w:szCs w:val="22"/>
          <w:lang w:val="en-GB"/>
        </w:rPr>
        <w:t xml:space="preserve">the minimum threshold of </w:t>
      </w:r>
      <w:r w:rsidRPr="002B3315">
        <w:rPr>
          <w:rFonts w:ascii="Arial" w:hAnsi="Arial" w:cs="Arial"/>
          <w:color w:val="7B7B7B" w:themeColor="accent3" w:themeShade="BF"/>
          <w:sz w:val="22"/>
          <w:szCs w:val="22"/>
          <w:lang w:val="en-GB"/>
        </w:rPr>
        <w:t>$2,000 and therefore Orange can issue a statutory demand.</w:t>
      </w:r>
    </w:p>
    <w:p w14:paraId="45BB988D" w14:textId="77777777" w:rsidR="00471E6C" w:rsidRPr="002B3315" w:rsidRDefault="00471E6C" w:rsidP="0059686D">
      <w:pPr>
        <w:autoSpaceDE w:val="0"/>
        <w:autoSpaceDN w:val="0"/>
        <w:adjustRightInd w:val="0"/>
        <w:jc w:val="both"/>
        <w:rPr>
          <w:rFonts w:ascii="Arial" w:hAnsi="Arial" w:cs="Arial"/>
          <w:color w:val="7B7B7B" w:themeColor="accent3" w:themeShade="BF"/>
          <w:sz w:val="22"/>
          <w:szCs w:val="22"/>
          <w:highlight w:val="green"/>
          <w:lang w:val="en-GB"/>
        </w:rPr>
      </w:pPr>
    </w:p>
    <w:p w14:paraId="47A953AC" w14:textId="0E15EBAA" w:rsidR="00CC0780" w:rsidRPr="002B3315" w:rsidRDefault="00CC0780"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Yellow, as a BVI company, will be considered insolvent </w:t>
      </w:r>
      <w:r w:rsidR="00947B11" w:rsidRPr="002B3315">
        <w:rPr>
          <w:rFonts w:ascii="Arial" w:hAnsi="Arial" w:cs="Arial"/>
          <w:color w:val="7B7B7B" w:themeColor="accent3" w:themeShade="BF"/>
          <w:sz w:val="22"/>
          <w:szCs w:val="22"/>
          <w:lang w:val="en-GB"/>
        </w:rPr>
        <w:t>(under the statutory test set out in section 8(1)(a))</w:t>
      </w:r>
      <w:r w:rsidRPr="002B3315">
        <w:rPr>
          <w:rFonts w:ascii="Arial" w:hAnsi="Arial" w:cs="Arial"/>
          <w:color w:val="7B7B7B" w:themeColor="accent3" w:themeShade="BF"/>
          <w:sz w:val="22"/>
          <w:szCs w:val="22"/>
          <w:lang w:val="en-GB"/>
        </w:rPr>
        <w:t xml:space="preserve"> if it does not set aside the statutory demand and fails to comply with its requirements</w:t>
      </w:r>
      <w:r w:rsidRPr="002B3315">
        <w:rPr>
          <w:rStyle w:val="FootnoteReference"/>
          <w:rFonts w:ascii="Arial" w:hAnsi="Arial" w:cs="Arial"/>
          <w:color w:val="7B7B7B" w:themeColor="accent3" w:themeShade="BF"/>
          <w:sz w:val="22"/>
          <w:szCs w:val="22"/>
          <w:lang w:val="en-GB"/>
        </w:rPr>
        <w:footnoteReference w:id="187"/>
      </w:r>
      <w:r w:rsidRPr="002B3315">
        <w:rPr>
          <w:rFonts w:ascii="Arial" w:hAnsi="Arial" w:cs="Arial"/>
          <w:color w:val="7B7B7B" w:themeColor="accent3" w:themeShade="BF"/>
          <w:sz w:val="22"/>
          <w:szCs w:val="22"/>
          <w:lang w:val="en-GB"/>
        </w:rPr>
        <w:t xml:space="preserve">. The </w:t>
      </w:r>
      <w:proofErr w:type="gramStart"/>
      <w:r w:rsidRPr="002B3315">
        <w:rPr>
          <w:rFonts w:ascii="Arial" w:hAnsi="Arial" w:cs="Arial"/>
          <w:color w:val="7B7B7B" w:themeColor="accent3" w:themeShade="BF"/>
          <w:sz w:val="22"/>
          <w:szCs w:val="22"/>
          <w:lang w:val="en-GB"/>
        </w:rPr>
        <w:t>fairly short</w:t>
      </w:r>
      <w:proofErr w:type="gramEnd"/>
      <w:r w:rsidRPr="002B3315">
        <w:rPr>
          <w:rFonts w:ascii="Arial" w:hAnsi="Arial" w:cs="Arial"/>
          <w:color w:val="7B7B7B" w:themeColor="accent3" w:themeShade="BF"/>
          <w:sz w:val="22"/>
          <w:szCs w:val="22"/>
          <w:lang w:val="en-GB"/>
        </w:rPr>
        <w:t xml:space="preserve"> window of 21 days (of the date of service) to pay or secure or compound the debt to the reasonable satisfaction </w:t>
      </w:r>
      <w:r w:rsidR="00947B11" w:rsidRPr="002B3315">
        <w:rPr>
          <w:rFonts w:ascii="Arial" w:hAnsi="Arial" w:cs="Arial"/>
          <w:color w:val="7B7B7B" w:themeColor="accent3" w:themeShade="BF"/>
          <w:sz w:val="22"/>
          <w:szCs w:val="22"/>
          <w:lang w:val="en-GB"/>
        </w:rPr>
        <w:t xml:space="preserve">of </w:t>
      </w:r>
      <w:r w:rsidRPr="002B3315">
        <w:rPr>
          <w:rFonts w:ascii="Arial" w:hAnsi="Arial" w:cs="Arial"/>
          <w:color w:val="7B7B7B" w:themeColor="accent3" w:themeShade="BF"/>
          <w:sz w:val="22"/>
          <w:szCs w:val="22"/>
          <w:lang w:val="en-GB"/>
        </w:rPr>
        <w:t xml:space="preserve">Orange is an effective way </w:t>
      </w:r>
      <w:r w:rsidR="00947B11" w:rsidRPr="002B3315">
        <w:rPr>
          <w:rFonts w:ascii="Arial" w:hAnsi="Arial" w:cs="Arial"/>
          <w:color w:val="7B7B7B" w:themeColor="accent3" w:themeShade="BF"/>
          <w:sz w:val="22"/>
          <w:szCs w:val="22"/>
          <w:lang w:val="en-GB"/>
        </w:rPr>
        <w:t xml:space="preserve">for Orange </w:t>
      </w:r>
      <w:r w:rsidRPr="002B3315">
        <w:rPr>
          <w:rFonts w:ascii="Arial" w:hAnsi="Arial" w:cs="Arial"/>
          <w:color w:val="7B7B7B" w:themeColor="accent3" w:themeShade="BF"/>
          <w:sz w:val="22"/>
          <w:szCs w:val="22"/>
          <w:lang w:val="en-GB"/>
        </w:rPr>
        <w:t xml:space="preserve">to </w:t>
      </w:r>
      <w:r w:rsidRPr="002B3315">
        <w:rPr>
          <w:rFonts w:ascii="Arial" w:hAnsi="Arial" w:cs="Arial"/>
          <w:color w:val="7B7B7B" w:themeColor="accent3" w:themeShade="BF"/>
          <w:sz w:val="22"/>
          <w:szCs w:val="22"/>
          <w:lang w:val="en-GB"/>
        </w:rPr>
        <w:lastRenderedPageBreak/>
        <w:t>put pressure on Yellow to settle the amount in arrears, especially as an application can be made to court to wind up the company and appoint a liquidator</w:t>
      </w:r>
      <w:r w:rsidRPr="002B3315">
        <w:rPr>
          <w:rStyle w:val="FootnoteReference"/>
          <w:rFonts w:ascii="Arial" w:hAnsi="Arial" w:cs="Arial"/>
          <w:color w:val="7B7B7B" w:themeColor="accent3" w:themeShade="BF"/>
          <w:sz w:val="22"/>
          <w:szCs w:val="22"/>
          <w:lang w:val="en-GB"/>
        </w:rPr>
        <w:footnoteReference w:id="188"/>
      </w:r>
      <w:r w:rsidRPr="002B3315">
        <w:rPr>
          <w:rFonts w:ascii="Arial" w:hAnsi="Arial" w:cs="Arial"/>
          <w:color w:val="7B7B7B" w:themeColor="accent3" w:themeShade="BF"/>
          <w:sz w:val="22"/>
          <w:szCs w:val="22"/>
          <w:lang w:val="en-GB"/>
        </w:rPr>
        <w:t>.</w:t>
      </w:r>
    </w:p>
    <w:p w14:paraId="12FF3ED5" w14:textId="77777777" w:rsidR="00CC0780" w:rsidRPr="002B3315" w:rsidRDefault="00CC0780" w:rsidP="0059686D">
      <w:pPr>
        <w:autoSpaceDE w:val="0"/>
        <w:autoSpaceDN w:val="0"/>
        <w:adjustRightInd w:val="0"/>
        <w:jc w:val="both"/>
        <w:rPr>
          <w:rFonts w:ascii="Arial" w:hAnsi="Arial" w:cs="Arial"/>
          <w:b/>
          <w:bCs/>
          <w:color w:val="7B7B7B" w:themeColor="accent3" w:themeShade="BF"/>
          <w:sz w:val="22"/>
          <w:szCs w:val="22"/>
          <w:u w:val="single"/>
          <w:lang w:val="en-GB"/>
        </w:rPr>
      </w:pPr>
    </w:p>
    <w:p w14:paraId="41E616BC" w14:textId="32B8D16A" w:rsidR="005F3BDB" w:rsidRPr="002B3315" w:rsidRDefault="00CC0780"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b/>
          <w:bCs/>
          <w:color w:val="7B7B7B" w:themeColor="accent3" w:themeShade="BF"/>
          <w:sz w:val="22"/>
          <w:szCs w:val="22"/>
          <w:u w:val="single"/>
          <w:lang w:val="en-GB"/>
        </w:rPr>
        <w:t>D</w:t>
      </w:r>
      <w:r w:rsidR="00554B4E" w:rsidRPr="002B3315">
        <w:rPr>
          <w:rFonts w:ascii="Arial" w:hAnsi="Arial" w:cs="Arial"/>
          <w:b/>
          <w:bCs/>
          <w:color w:val="7B7B7B" w:themeColor="accent3" w:themeShade="BF"/>
          <w:sz w:val="22"/>
          <w:szCs w:val="22"/>
          <w:u w:val="single"/>
          <w:lang w:val="en-GB"/>
        </w:rPr>
        <w:t>ebt action</w:t>
      </w:r>
    </w:p>
    <w:p w14:paraId="23A86443" w14:textId="37FBF4C9" w:rsidR="00CC0780" w:rsidRPr="002B3315" w:rsidRDefault="00CC0780"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A further option for Orange is to sue in contract on Yellow’s covenants to repay the mortgage sum. An advantage of a debt action is that it would enable Orange, as mortgagee</w:t>
      </w:r>
      <w:r w:rsidR="00322461" w:rsidRPr="002B3315">
        <w:rPr>
          <w:rFonts w:ascii="Arial" w:hAnsi="Arial" w:cs="Arial"/>
          <w:color w:val="7B7B7B" w:themeColor="accent3" w:themeShade="BF"/>
          <w:sz w:val="22"/>
          <w:szCs w:val="22"/>
          <w:lang w:val="en-GB"/>
        </w:rPr>
        <w:t>,</w:t>
      </w:r>
      <w:r w:rsidRPr="002B3315">
        <w:rPr>
          <w:rFonts w:ascii="Arial" w:hAnsi="Arial" w:cs="Arial"/>
          <w:color w:val="7B7B7B" w:themeColor="accent3" w:themeShade="BF"/>
          <w:sz w:val="22"/>
          <w:szCs w:val="22"/>
          <w:lang w:val="en-GB"/>
        </w:rPr>
        <w:t xml:space="preserve"> to enforce against Yellow’s other assets (if any) without limiting itself</w:t>
      </w:r>
      <w:r w:rsidR="00322461" w:rsidRPr="002B3315">
        <w:rPr>
          <w:rFonts w:ascii="Arial" w:hAnsi="Arial" w:cs="Arial"/>
          <w:color w:val="7B7B7B" w:themeColor="accent3" w:themeShade="BF"/>
          <w:sz w:val="22"/>
          <w:szCs w:val="22"/>
          <w:lang w:val="en-GB"/>
        </w:rPr>
        <w:t xml:space="preserve"> at first</w:t>
      </w:r>
      <w:r w:rsidRPr="002B3315">
        <w:rPr>
          <w:rFonts w:ascii="Arial" w:hAnsi="Arial" w:cs="Arial"/>
          <w:color w:val="7B7B7B" w:themeColor="accent3" w:themeShade="BF"/>
          <w:sz w:val="22"/>
          <w:szCs w:val="22"/>
          <w:lang w:val="en-GB"/>
        </w:rPr>
        <w:t xml:space="preserve"> to the </w:t>
      </w:r>
      <w:r w:rsidR="005B0A61" w:rsidRPr="002B3315">
        <w:rPr>
          <w:rFonts w:ascii="Arial" w:hAnsi="Arial" w:cs="Arial"/>
          <w:color w:val="7B7B7B" w:themeColor="accent3" w:themeShade="BF"/>
          <w:sz w:val="22"/>
          <w:szCs w:val="22"/>
          <w:lang w:val="en-GB"/>
        </w:rPr>
        <w:t>P</w:t>
      </w:r>
      <w:r w:rsidRPr="002B3315">
        <w:rPr>
          <w:rFonts w:ascii="Arial" w:hAnsi="Arial" w:cs="Arial"/>
          <w:color w:val="7B7B7B" w:themeColor="accent3" w:themeShade="BF"/>
          <w:sz w:val="22"/>
          <w:szCs w:val="22"/>
          <w:lang w:val="en-GB"/>
        </w:rPr>
        <w:t>roperty.</w:t>
      </w:r>
      <w:r w:rsidRPr="002B3315">
        <w:rPr>
          <w:rStyle w:val="FootnoteReference"/>
          <w:rFonts w:ascii="Arial" w:hAnsi="Arial" w:cs="Arial"/>
          <w:color w:val="7B7B7B" w:themeColor="accent3" w:themeShade="BF"/>
          <w:sz w:val="22"/>
          <w:szCs w:val="22"/>
          <w:lang w:val="en-GB"/>
        </w:rPr>
        <w:footnoteReference w:id="189"/>
      </w:r>
      <w:r w:rsidR="00322461" w:rsidRPr="002B3315">
        <w:rPr>
          <w:rFonts w:ascii="Arial" w:hAnsi="Arial" w:cs="Arial"/>
          <w:color w:val="7B7B7B" w:themeColor="accent3" w:themeShade="BF"/>
          <w:sz w:val="22"/>
          <w:szCs w:val="22"/>
          <w:lang w:val="en-GB"/>
        </w:rPr>
        <w:t xml:space="preserve"> Yellow would be considered insolvent if it fails to satisfy (wholly or partly) execution or other process issued on a judgment of the</w:t>
      </w:r>
      <w:r w:rsidR="00F744B0" w:rsidRPr="002B3315">
        <w:rPr>
          <w:rFonts w:ascii="Arial" w:hAnsi="Arial" w:cs="Arial"/>
          <w:color w:val="7B7B7B" w:themeColor="accent3" w:themeShade="BF"/>
          <w:sz w:val="22"/>
          <w:szCs w:val="22"/>
          <w:lang w:val="en-GB"/>
        </w:rPr>
        <w:t xml:space="preserve"> BVI</w:t>
      </w:r>
      <w:r w:rsidR="00322461" w:rsidRPr="002B3315">
        <w:rPr>
          <w:rFonts w:ascii="Arial" w:hAnsi="Arial" w:cs="Arial"/>
          <w:color w:val="7B7B7B" w:themeColor="accent3" w:themeShade="BF"/>
          <w:sz w:val="22"/>
          <w:szCs w:val="22"/>
          <w:lang w:val="en-GB"/>
        </w:rPr>
        <w:t xml:space="preserve"> court in favour of Orange as the creditor of the company.</w:t>
      </w:r>
      <w:r w:rsidR="00322461" w:rsidRPr="002B3315">
        <w:rPr>
          <w:rStyle w:val="FootnoteReference"/>
          <w:rFonts w:ascii="Arial" w:hAnsi="Arial" w:cs="Arial"/>
          <w:color w:val="7B7B7B" w:themeColor="accent3" w:themeShade="BF"/>
          <w:sz w:val="22"/>
          <w:szCs w:val="22"/>
          <w:lang w:val="en-GB"/>
        </w:rPr>
        <w:footnoteReference w:id="190"/>
      </w:r>
    </w:p>
    <w:p w14:paraId="0E1B1D35" w14:textId="77777777" w:rsidR="00CC0780" w:rsidRPr="002B3315" w:rsidRDefault="00CC0780" w:rsidP="0059686D">
      <w:pPr>
        <w:autoSpaceDE w:val="0"/>
        <w:autoSpaceDN w:val="0"/>
        <w:adjustRightInd w:val="0"/>
        <w:jc w:val="both"/>
        <w:rPr>
          <w:rFonts w:ascii="Arial" w:hAnsi="Arial" w:cs="Arial"/>
          <w:color w:val="7B7B7B" w:themeColor="accent3" w:themeShade="BF"/>
          <w:sz w:val="22"/>
          <w:szCs w:val="22"/>
          <w:lang w:val="en-GB"/>
        </w:rPr>
      </w:pPr>
    </w:p>
    <w:p w14:paraId="413C3CF1" w14:textId="744A5DDE" w:rsidR="00CC0780" w:rsidRPr="002B3315" w:rsidRDefault="00CC0780" w:rsidP="0059686D">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It is not known from the fact pattern whether the mortgage payments in arrears is disputed between Orange and Yellow. </w:t>
      </w:r>
      <w:r w:rsidR="00D754A7" w:rsidRPr="002B3315">
        <w:rPr>
          <w:rFonts w:ascii="Arial" w:hAnsi="Arial" w:cs="Arial"/>
          <w:color w:val="7B7B7B" w:themeColor="accent3" w:themeShade="BF"/>
          <w:sz w:val="22"/>
          <w:szCs w:val="22"/>
          <w:lang w:val="en-GB"/>
        </w:rPr>
        <w:t>T</w:t>
      </w:r>
      <w:r w:rsidRPr="002B3315">
        <w:rPr>
          <w:rFonts w:ascii="Arial" w:hAnsi="Arial" w:cs="Arial"/>
          <w:color w:val="7B7B7B" w:themeColor="accent3" w:themeShade="BF"/>
          <w:sz w:val="22"/>
          <w:szCs w:val="22"/>
          <w:lang w:val="en-GB"/>
        </w:rPr>
        <w:t xml:space="preserve">his will determine whether </w:t>
      </w:r>
      <w:r w:rsidR="00195D71" w:rsidRPr="002B3315">
        <w:rPr>
          <w:rFonts w:ascii="Arial" w:hAnsi="Arial" w:cs="Arial"/>
          <w:color w:val="7B7B7B" w:themeColor="accent3" w:themeShade="BF"/>
          <w:sz w:val="22"/>
          <w:szCs w:val="22"/>
          <w:lang w:val="en-GB"/>
        </w:rPr>
        <w:t>a</w:t>
      </w:r>
      <w:r w:rsidRPr="002B3315">
        <w:rPr>
          <w:rFonts w:ascii="Arial" w:hAnsi="Arial" w:cs="Arial"/>
          <w:color w:val="7B7B7B" w:themeColor="accent3" w:themeShade="BF"/>
          <w:sz w:val="22"/>
          <w:szCs w:val="22"/>
          <w:lang w:val="en-GB"/>
        </w:rPr>
        <w:t xml:space="preserve"> statutory demand or debt action is </w:t>
      </w:r>
      <w:r w:rsidR="00195D71" w:rsidRPr="002B3315">
        <w:rPr>
          <w:rFonts w:ascii="Arial" w:hAnsi="Arial" w:cs="Arial"/>
          <w:color w:val="7B7B7B" w:themeColor="accent3" w:themeShade="BF"/>
          <w:sz w:val="22"/>
          <w:szCs w:val="22"/>
          <w:lang w:val="en-GB"/>
        </w:rPr>
        <w:t xml:space="preserve">the </w:t>
      </w:r>
      <w:r w:rsidRPr="002B3315">
        <w:rPr>
          <w:rFonts w:ascii="Arial" w:hAnsi="Arial" w:cs="Arial"/>
          <w:color w:val="7B7B7B" w:themeColor="accent3" w:themeShade="BF"/>
          <w:sz w:val="22"/>
          <w:szCs w:val="22"/>
          <w:lang w:val="en-GB"/>
        </w:rPr>
        <w:t>most appropriate</w:t>
      </w:r>
      <w:r w:rsidR="00195D71" w:rsidRPr="002B3315">
        <w:rPr>
          <w:rFonts w:ascii="Arial" w:hAnsi="Arial" w:cs="Arial"/>
          <w:color w:val="7B7B7B" w:themeColor="accent3" w:themeShade="BF"/>
          <w:sz w:val="22"/>
          <w:szCs w:val="22"/>
          <w:lang w:val="en-GB"/>
        </w:rPr>
        <w:t xml:space="preserve"> course of action</w:t>
      </w:r>
      <w:r w:rsidRPr="002B3315">
        <w:rPr>
          <w:rFonts w:ascii="Arial" w:hAnsi="Arial" w:cs="Arial"/>
          <w:color w:val="7B7B7B" w:themeColor="accent3" w:themeShade="BF"/>
          <w:sz w:val="22"/>
          <w:szCs w:val="22"/>
          <w:lang w:val="en-GB"/>
        </w:rPr>
        <w:t xml:space="preserve">. It is assumed that the </w:t>
      </w:r>
      <w:r w:rsidR="00322461" w:rsidRPr="002B3315">
        <w:rPr>
          <w:rFonts w:ascii="Arial" w:hAnsi="Arial" w:cs="Arial"/>
          <w:color w:val="7B7B7B" w:themeColor="accent3" w:themeShade="BF"/>
          <w:sz w:val="22"/>
          <w:szCs w:val="22"/>
          <w:lang w:val="en-GB"/>
        </w:rPr>
        <w:t>four</w:t>
      </w:r>
      <w:r w:rsidRPr="002B3315">
        <w:rPr>
          <w:rFonts w:ascii="Arial" w:hAnsi="Arial" w:cs="Arial"/>
          <w:color w:val="7B7B7B" w:themeColor="accent3" w:themeShade="BF"/>
          <w:sz w:val="22"/>
          <w:szCs w:val="22"/>
          <w:lang w:val="en-GB"/>
        </w:rPr>
        <w:t xml:space="preserve"> months default in mortgage payments is not disputed and therefore </w:t>
      </w:r>
      <w:r w:rsidR="00D754A7" w:rsidRPr="002B3315">
        <w:rPr>
          <w:rFonts w:ascii="Arial" w:hAnsi="Arial" w:cs="Arial"/>
          <w:color w:val="7B7B7B" w:themeColor="accent3" w:themeShade="BF"/>
          <w:sz w:val="22"/>
          <w:szCs w:val="22"/>
          <w:lang w:val="en-GB"/>
        </w:rPr>
        <w:t>a</w:t>
      </w:r>
      <w:r w:rsidRPr="002B3315">
        <w:rPr>
          <w:rFonts w:ascii="Arial" w:hAnsi="Arial" w:cs="Arial"/>
          <w:color w:val="7B7B7B" w:themeColor="accent3" w:themeShade="BF"/>
          <w:sz w:val="22"/>
          <w:szCs w:val="22"/>
          <w:lang w:val="en-GB"/>
        </w:rPr>
        <w:t xml:space="preserve"> statutory demand </w:t>
      </w:r>
      <w:r w:rsidR="00D754A7" w:rsidRPr="002B3315">
        <w:rPr>
          <w:rFonts w:ascii="Arial" w:hAnsi="Arial" w:cs="Arial"/>
          <w:color w:val="7B7B7B" w:themeColor="accent3" w:themeShade="BF"/>
          <w:sz w:val="22"/>
          <w:szCs w:val="22"/>
          <w:lang w:val="en-GB"/>
        </w:rPr>
        <w:t>would be</w:t>
      </w:r>
      <w:r w:rsidRPr="002B3315">
        <w:rPr>
          <w:rFonts w:ascii="Arial" w:hAnsi="Arial" w:cs="Arial"/>
          <w:color w:val="7B7B7B" w:themeColor="accent3" w:themeShade="BF"/>
          <w:sz w:val="22"/>
          <w:szCs w:val="22"/>
          <w:lang w:val="en-GB"/>
        </w:rPr>
        <w:t xml:space="preserve"> more appropriate.</w:t>
      </w:r>
      <w:r w:rsidRPr="002B3315">
        <w:rPr>
          <w:rStyle w:val="FootnoteReference"/>
          <w:rFonts w:ascii="Arial" w:hAnsi="Arial" w:cs="Arial"/>
          <w:color w:val="7B7B7B" w:themeColor="accent3" w:themeShade="BF"/>
          <w:sz w:val="22"/>
          <w:szCs w:val="22"/>
          <w:lang w:val="en-GB"/>
        </w:rPr>
        <w:footnoteReference w:id="191"/>
      </w:r>
    </w:p>
    <w:p w14:paraId="38E0D385" w14:textId="77777777" w:rsidR="00B41C3C" w:rsidRPr="002B3315" w:rsidRDefault="00B41C3C" w:rsidP="0059686D">
      <w:pPr>
        <w:jc w:val="both"/>
        <w:rPr>
          <w:rFonts w:ascii="Arial" w:hAnsi="Arial" w:cs="Arial"/>
          <w:sz w:val="22"/>
          <w:szCs w:val="22"/>
          <w:lang w:val="en-GB"/>
        </w:rPr>
      </w:pPr>
    </w:p>
    <w:p w14:paraId="37B5537E" w14:textId="77777777" w:rsidR="00305D09" w:rsidRPr="002B3315" w:rsidRDefault="00305D09" w:rsidP="0059686D">
      <w:pPr>
        <w:jc w:val="both"/>
        <w:rPr>
          <w:rFonts w:ascii="Arial" w:hAnsi="Arial" w:cs="Arial"/>
          <w:sz w:val="22"/>
          <w:szCs w:val="22"/>
          <w:lang w:val="en-GB"/>
        </w:rPr>
      </w:pPr>
    </w:p>
    <w:p w14:paraId="197CE1C9" w14:textId="77777777" w:rsidR="00690E15" w:rsidRPr="0059686D" w:rsidRDefault="00690E15" w:rsidP="0059686D">
      <w:pPr>
        <w:pStyle w:val="ListParagraph"/>
        <w:numPr>
          <w:ilvl w:val="0"/>
          <w:numId w:val="11"/>
        </w:numPr>
        <w:ind w:left="426"/>
        <w:jc w:val="both"/>
        <w:rPr>
          <w:rFonts w:ascii="Arial" w:hAnsi="Arial" w:cs="Arial"/>
          <w:sz w:val="22"/>
          <w:szCs w:val="22"/>
          <w:lang w:val="en-GB"/>
        </w:rPr>
      </w:pPr>
      <w:r w:rsidRPr="0059686D">
        <w:rPr>
          <w:rFonts w:ascii="Arial" w:hAnsi="Arial" w:cs="Arial"/>
          <w:sz w:val="22"/>
          <w:szCs w:val="22"/>
          <w:lang w:val="en-GB"/>
        </w:rPr>
        <w:t>What would be the options available to Orange Mortgages if the loan was unsecured?</w:t>
      </w:r>
    </w:p>
    <w:p w14:paraId="4CCF68AA" w14:textId="77777777" w:rsidR="008E73F9" w:rsidRPr="0059686D" w:rsidRDefault="008E73F9" w:rsidP="0059686D">
      <w:pPr>
        <w:jc w:val="both"/>
        <w:rPr>
          <w:rFonts w:ascii="Arial" w:hAnsi="Arial" w:cs="Arial"/>
          <w:sz w:val="22"/>
          <w:szCs w:val="22"/>
          <w:lang w:val="en-GB"/>
        </w:rPr>
      </w:pPr>
    </w:p>
    <w:p w14:paraId="413761DF" w14:textId="008D8097" w:rsidR="001B3A81" w:rsidRPr="00DD34B9" w:rsidRDefault="001B3A81" w:rsidP="0059686D">
      <w:pPr>
        <w:autoSpaceDE w:val="0"/>
        <w:autoSpaceDN w:val="0"/>
        <w:adjustRightInd w:val="0"/>
        <w:jc w:val="both"/>
        <w:rPr>
          <w:rFonts w:ascii="Arial" w:hAnsi="Arial" w:cs="Arial"/>
          <w:color w:val="7B7B7B" w:themeColor="accent3" w:themeShade="BF"/>
          <w:sz w:val="22"/>
          <w:szCs w:val="22"/>
          <w:lang w:val="en-GB"/>
        </w:rPr>
      </w:pPr>
      <w:r w:rsidRPr="00DD34B9">
        <w:rPr>
          <w:rFonts w:ascii="Arial" w:hAnsi="Arial" w:cs="Arial"/>
          <w:color w:val="7B7B7B" w:themeColor="accent3" w:themeShade="BF"/>
          <w:sz w:val="22"/>
          <w:szCs w:val="22"/>
          <w:lang w:val="en-GB"/>
        </w:rPr>
        <w:t xml:space="preserve">The </w:t>
      </w:r>
      <w:r w:rsidR="00467954" w:rsidRPr="00DD34B9">
        <w:rPr>
          <w:rFonts w:ascii="Arial" w:hAnsi="Arial" w:cs="Arial"/>
          <w:color w:val="7B7B7B" w:themeColor="accent3" w:themeShade="BF"/>
          <w:sz w:val="22"/>
          <w:szCs w:val="22"/>
          <w:lang w:val="en-GB"/>
        </w:rPr>
        <w:t xml:space="preserve">following </w:t>
      </w:r>
      <w:r w:rsidRPr="00DD34B9">
        <w:rPr>
          <w:rFonts w:ascii="Arial" w:hAnsi="Arial" w:cs="Arial"/>
          <w:color w:val="7B7B7B" w:themeColor="accent3" w:themeShade="BF"/>
          <w:sz w:val="22"/>
          <w:szCs w:val="22"/>
          <w:lang w:val="en-GB"/>
        </w:rPr>
        <w:t>option</w:t>
      </w:r>
      <w:r w:rsidR="002E058A" w:rsidRPr="00DD34B9">
        <w:rPr>
          <w:rFonts w:ascii="Arial" w:hAnsi="Arial" w:cs="Arial"/>
          <w:color w:val="7B7B7B" w:themeColor="accent3" w:themeShade="BF"/>
          <w:sz w:val="22"/>
          <w:szCs w:val="22"/>
          <w:lang w:val="en-GB"/>
        </w:rPr>
        <w:t>s</w:t>
      </w:r>
      <w:r w:rsidRPr="00DD34B9">
        <w:rPr>
          <w:rFonts w:ascii="Arial" w:hAnsi="Arial" w:cs="Arial"/>
          <w:color w:val="7B7B7B" w:themeColor="accent3" w:themeShade="BF"/>
          <w:sz w:val="22"/>
          <w:szCs w:val="22"/>
          <w:lang w:val="en-GB"/>
        </w:rPr>
        <w:t xml:space="preserve"> </w:t>
      </w:r>
      <w:r w:rsidR="00467954" w:rsidRPr="00DD34B9">
        <w:rPr>
          <w:rFonts w:ascii="Arial" w:hAnsi="Arial" w:cs="Arial"/>
          <w:color w:val="7B7B7B" w:themeColor="accent3" w:themeShade="BF"/>
          <w:sz w:val="22"/>
          <w:szCs w:val="22"/>
          <w:lang w:val="en-GB"/>
        </w:rPr>
        <w:t xml:space="preserve">are </w:t>
      </w:r>
      <w:r w:rsidRPr="00DD34B9">
        <w:rPr>
          <w:rFonts w:ascii="Arial" w:hAnsi="Arial" w:cs="Arial"/>
          <w:color w:val="7B7B7B" w:themeColor="accent3" w:themeShade="BF"/>
          <w:sz w:val="22"/>
          <w:szCs w:val="22"/>
          <w:lang w:val="en-GB"/>
        </w:rPr>
        <w:t>available to Orange if the loan was unsecured</w:t>
      </w:r>
      <w:r w:rsidR="00467954" w:rsidRPr="00DD34B9">
        <w:rPr>
          <w:rFonts w:ascii="Arial" w:hAnsi="Arial" w:cs="Arial"/>
          <w:color w:val="7B7B7B" w:themeColor="accent3" w:themeShade="BF"/>
          <w:sz w:val="22"/>
          <w:szCs w:val="22"/>
          <w:lang w:val="en-GB"/>
        </w:rPr>
        <w:t>:</w:t>
      </w:r>
    </w:p>
    <w:p w14:paraId="1BB8B5CA" w14:textId="1BA534B4" w:rsidR="00467954" w:rsidRPr="00DD34B9" w:rsidRDefault="00467954" w:rsidP="00467954">
      <w:pPr>
        <w:pStyle w:val="ListParagraph"/>
        <w:numPr>
          <w:ilvl w:val="0"/>
          <w:numId w:val="41"/>
        </w:numPr>
        <w:autoSpaceDE w:val="0"/>
        <w:autoSpaceDN w:val="0"/>
        <w:adjustRightInd w:val="0"/>
        <w:jc w:val="both"/>
        <w:rPr>
          <w:rFonts w:ascii="Arial" w:hAnsi="Arial" w:cs="Arial"/>
          <w:color w:val="7B7B7B" w:themeColor="accent3" w:themeShade="BF"/>
          <w:sz w:val="22"/>
          <w:szCs w:val="22"/>
          <w:lang w:val="en-GB"/>
        </w:rPr>
      </w:pPr>
      <w:r w:rsidRPr="00DD34B9">
        <w:rPr>
          <w:rFonts w:ascii="Arial" w:hAnsi="Arial" w:cs="Arial"/>
          <w:color w:val="7B7B7B" w:themeColor="accent3" w:themeShade="BF"/>
          <w:sz w:val="22"/>
          <w:szCs w:val="22"/>
          <w:lang w:val="en-GB"/>
        </w:rPr>
        <w:t>Statutory demand; and</w:t>
      </w:r>
    </w:p>
    <w:p w14:paraId="584FB73F" w14:textId="37560CBD" w:rsidR="00467954" w:rsidRPr="00DD34B9" w:rsidRDefault="00467954" w:rsidP="00467954">
      <w:pPr>
        <w:pStyle w:val="ListParagraph"/>
        <w:numPr>
          <w:ilvl w:val="0"/>
          <w:numId w:val="41"/>
        </w:numPr>
        <w:autoSpaceDE w:val="0"/>
        <w:autoSpaceDN w:val="0"/>
        <w:adjustRightInd w:val="0"/>
        <w:jc w:val="both"/>
        <w:rPr>
          <w:rFonts w:ascii="Arial" w:hAnsi="Arial" w:cs="Arial"/>
          <w:color w:val="7B7B7B" w:themeColor="accent3" w:themeShade="BF"/>
          <w:sz w:val="22"/>
          <w:szCs w:val="22"/>
          <w:lang w:val="en-GB"/>
        </w:rPr>
      </w:pPr>
      <w:r w:rsidRPr="00DD34B9">
        <w:rPr>
          <w:rFonts w:ascii="Arial" w:hAnsi="Arial" w:cs="Arial"/>
          <w:color w:val="7B7B7B" w:themeColor="accent3" w:themeShade="BF"/>
          <w:sz w:val="22"/>
          <w:szCs w:val="22"/>
          <w:lang w:val="en-GB"/>
        </w:rPr>
        <w:t>Debt action.</w:t>
      </w:r>
    </w:p>
    <w:p w14:paraId="50C04A29" w14:textId="46BA0CED" w:rsidR="0054099F" w:rsidRPr="00DA360D" w:rsidRDefault="0054099F" w:rsidP="0059686D">
      <w:pPr>
        <w:autoSpaceDE w:val="0"/>
        <w:autoSpaceDN w:val="0"/>
        <w:adjustRightInd w:val="0"/>
        <w:jc w:val="both"/>
        <w:rPr>
          <w:rFonts w:ascii="Arial" w:hAnsi="Arial" w:cs="Arial"/>
          <w:color w:val="7B7B7B" w:themeColor="accent3" w:themeShade="BF"/>
          <w:sz w:val="22"/>
          <w:szCs w:val="22"/>
          <w:lang w:val="en-GB"/>
        </w:rPr>
      </w:pPr>
    </w:p>
    <w:p w14:paraId="2D876859" w14:textId="77777777" w:rsidR="0054099F" w:rsidRPr="00DA360D" w:rsidRDefault="001620B7" w:rsidP="0059686D">
      <w:pPr>
        <w:autoSpaceDE w:val="0"/>
        <w:autoSpaceDN w:val="0"/>
        <w:adjustRightInd w:val="0"/>
        <w:jc w:val="both"/>
        <w:rPr>
          <w:rFonts w:ascii="Arial" w:hAnsi="Arial" w:cs="Arial"/>
          <w:b/>
          <w:bCs/>
          <w:color w:val="7B7B7B" w:themeColor="accent3" w:themeShade="BF"/>
          <w:sz w:val="22"/>
          <w:szCs w:val="22"/>
          <w:u w:val="single"/>
          <w:lang w:val="en-GB"/>
        </w:rPr>
      </w:pPr>
      <w:r w:rsidRPr="00DA360D">
        <w:rPr>
          <w:rFonts w:ascii="Arial" w:hAnsi="Arial" w:cs="Arial"/>
          <w:b/>
          <w:bCs/>
          <w:color w:val="7B7B7B" w:themeColor="accent3" w:themeShade="BF"/>
          <w:sz w:val="22"/>
          <w:szCs w:val="22"/>
          <w:u w:val="single"/>
          <w:lang w:val="en-GB"/>
        </w:rPr>
        <w:t>Statutory demand</w:t>
      </w:r>
    </w:p>
    <w:p w14:paraId="1C673461" w14:textId="4F75D619" w:rsidR="001620B7" w:rsidRPr="00DA360D" w:rsidRDefault="0054099F" w:rsidP="0059686D">
      <w:pPr>
        <w:autoSpaceDE w:val="0"/>
        <w:autoSpaceDN w:val="0"/>
        <w:adjustRightInd w:val="0"/>
        <w:jc w:val="both"/>
        <w:rPr>
          <w:rFonts w:ascii="Arial" w:hAnsi="Arial" w:cs="Arial"/>
          <w:color w:val="7B7B7B" w:themeColor="accent3" w:themeShade="BF"/>
          <w:sz w:val="22"/>
          <w:szCs w:val="22"/>
          <w:lang w:val="en-GB"/>
        </w:rPr>
      </w:pPr>
      <w:r w:rsidRPr="00DA360D">
        <w:rPr>
          <w:rFonts w:ascii="Arial" w:hAnsi="Arial" w:cs="Arial"/>
          <w:color w:val="7B7B7B" w:themeColor="accent3" w:themeShade="BF"/>
          <w:sz w:val="22"/>
          <w:szCs w:val="22"/>
          <w:lang w:val="en-GB"/>
        </w:rPr>
        <w:t>S</w:t>
      </w:r>
      <w:r w:rsidR="00644162" w:rsidRPr="00DA360D">
        <w:rPr>
          <w:rFonts w:ascii="Arial" w:hAnsi="Arial" w:cs="Arial"/>
          <w:color w:val="7B7B7B" w:themeColor="accent3" w:themeShade="BF"/>
          <w:sz w:val="22"/>
          <w:szCs w:val="22"/>
          <w:lang w:val="en-GB"/>
        </w:rPr>
        <w:t>imilar to</w:t>
      </w:r>
      <w:r w:rsidR="002F4ADE" w:rsidRPr="00DA360D">
        <w:rPr>
          <w:rFonts w:ascii="Arial" w:hAnsi="Arial" w:cs="Arial"/>
          <w:color w:val="7B7B7B" w:themeColor="accent3" w:themeShade="BF"/>
          <w:sz w:val="22"/>
          <w:szCs w:val="22"/>
          <w:lang w:val="en-GB"/>
        </w:rPr>
        <w:t xml:space="preserve"> Question 4.1(a</w:t>
      </w:r>
      <w:r w:rsidR="00644162" w:rsidRPr="00DA360D">
        <w:rPr>
          <w:rFonts w:ascii="Arial" w:hAnsi="Arial" w:cs="Arial"/>
          <w:color w:val="7B7B7B" w:themeColor="accent3" w:themeShade="BF"/>
          <w:sz w:val="22"/>
          <w:szCs w:val="22"/>
          <w:lang w:val="en-GB"/>
        </w:rPr>
        <w:t>)</w:t>
      </w:r>
      <w:r w:rsidR="002F4ADE" w:rsidRPr="00DA360D">
        <w:rPr>
          <w:rFonts w:ascii="Arial" w:hAnsi="Arial" w:cs="Arial"/>
          <w:color w:val="7B7B7B" w:themeColor="accent3" w:themeShade="BF"/>
          <w:sz w:val="22"/>
          <w:szCs w:val="22"/>
          <w:lang w:val="en-GB"/>
        </w:rPr>
        <w:t xml:space="preserve"> above</w:t>
      </w:r>
      <w:r w:rsidR="00644162" w:rsidRPr="00DA360D">
        <w:rPr>
          <w:rFonts w:ascii="Arial" w:hAnsi="Arial" w:cs="Arial"/>
          <w:color w:val="7B7B7B" w:themeColor="accent3" w:themeShade="BF"/>
          <w:sz w:val="22"/>
          <w:szCs w:val="22"/>
          <w:lang w:val="en-GB"/>
        </w:rPr>
        <w:t xml:space="preserve">, Orange can </w:t>
      </w:r>
      <w:r w:rsidR="00467954" w:rsidRPr="00DA360D">
        <w:rPr>
          <w:rFonts w:ascii="Arial" w:hAnsi="Arial" w:cs="Arial"/>
          <w:color w:val="7B7B7B" w:themeColor="accent3" w:themeShade="BF"/>
          <w:sz w:val="22"/>
          <w:szCs w:val="22"/>
          <w:lang w:val="en-GB"/>
        </w:rPr>
        <w:t xml:space="preserve">make </w:t>
      </w:r>
      <w:r w:rsidR="00DA360D" w:rsidRPr="00DA360D">
        <w:rPr>
          <w:rFonts w:ascii="Arial" w:hAnsi="Arial" w:cs="Arial"/>
          <w:color w:val="7B7B7B" w:themeColor="accent3" w:themeShade="BF"/>
          <w:sz w:val="22"/>
          <w:szCs w:val="22"/>
          <w:lang w:val="en-GB"/>
        </w:rPr>
        <w:t xml:space="preserve">a written </w:t>
      </w:r>
      <w:r w:rsidR="00644162" w:rsidRPr="00DA360D">
        <w:rPr>
          <w:rFonts w:ascii="Arial" w:hAnsi="Arial" w:cs="Arial"/>
          <w:color w:val="7B7B7B" w:themeColor="accent3" w:themeShade="BF"/>
          <w:sz w:val="22"/>
          <w:szCs w:val="22"/>
          <w:lang w:val="en-GB"/>
        </w:rPr>
        <w:t xml:space="preserve">demand </w:t>
      </w:r>
      <w:r w:rsidR="00467954" w:rsidRPr="00DA360D">
        <w:rPr>
          <w:rFonts w:ascii="Arial" w:hAnsi="Arial" w:cs="Arial"/>
          <w:color w:val="7B7B7B" w:themeColor="accent3" w:themeShade="BF"/>
          <w:sz w:val="22"/>
          <w:szCs w:val="22"/>
          <w:lang w:val="en-GB"/>
        </w:rPr>
        <w:t>on</w:t>
      </w:r>
      <w:r w:rsidR="00644162" w:rsidRPr="00DA360D">
        <w:rPr>
          <w:rFonts w:ascii="Arial" w:hAnsi="Arial" w:cs="Arial"/>
          <w:color w:val="7B7B7B" w:themeColor="accent3" w:themeShade="BF"/>
          <w:sz w:val="22"/>
          <w:szCs w:val="22"/>
          <w:lang w:val="en-GB"/>
        </w:rPr>
        <w:t xml:space="preserve"> Yellow </w:t>
      </w:r>
      <w:r w:rsidR="00467954" w:rsidRPr="00DA360D">
        <w:rPr>
          <w:rFonts w:ascii="Arial" w:hAnsi="Arial" w:cs="Arial"/>
          <w:color w:val="7B7B7B" w:themeColor="accent3" w:themeShade="BF"/>
          <w:sz w:val="22"/>
          <w:szCs w:val="22"/>
          <w:lang w:val="en-GB"/>
        </w:rPr>
        <w:t xml:space="preserve">for </w:t>
      </w:r>
      <w:r w:rsidR="00644162" w:rsidRPr="00DA360D">
        <w:rPr>
          <w:rFonts w:ascii="Arial" w:hAnsi="Arial" w:cs="Arial"/>
          <w:color w:val="7B7B7B" w:themeColor="accent3" w:themeShade="BF"/>
          <w:sz w:val="22"/>
          <w:szCs w:val="22"/>
          <w:lang w:val="en-GB"/>
        </w:rPr>
        <w:t xml:space="preserve">payment of the debt (in this situation, </w:t>
      </w:r>
      <w:r w:rsidR="002E058A" w:rsidRPr="00DA360D">
        <w:rPr>
          <w:rFonts w:ascii="Arial" w:hAnsi="Arial" w:cs="Arial"/>
          <w:color w:val="7B7B7B" w:themeColor="accent3" w:themeShade="BF"/>
          <w:sz w:val="22"/>
          <w:szCs w:val="22"/>
          <w:lang w:val="en-GB"/>
        </w:rPr>
        <w:t>the</w:t>
      </w:r>
      <w:r w:rsidR="00644162" w:rsidRPr="00DA360D">
        <w:rPr>
          <w:rFonts w:ascii="Arial" w:hAnsi="Arial" w:cs="Arial"/>
          <w:color w:val="7B7B7B" w:themeColor="accent3" w:themeShade="BF"/>
          <w:sz w:val="22"/>
          <w:szCs w:val="22"/>
          <w:lang w:val="en-GB"/>
        </w:rPr>
        <w:t xml:space="preserve"> unsecured </w:t>
      </w:r>
      <w:r w:rsidR="009C4784">
        <w:rPr>
          <w:rFonts w:ascii="Arial" w:hAnsi="Arial" w:cs="Arial"/>
          <w:color w:val="7B7B7B" w:themeColor="accent3" w:themeShade="BF"/>
          <w:sz w:val="22"/>
          <w:szCs w:val="22"/>
          <w:lang w:val="en-GB"/>
        </w:rPr>
        <w:t>sum</w:t>
      </w:r>
      <w:r w:rsidR="00644162" w:rsidRPr="00DA360D">
        <w:rPr>
          <w:rFonts w:ascii="Arial" w:hAnsi="Arial" w:cs="Arial"/>
          <w:color w:val="7B7B7B" w:themeColor="accent3" w:themeShade="BF"/>
          <w:sz w:val="22"/>
          <w:szCs w:val="22"/>
          <w:lang w:val="en-GB"/>
        </w:rPr>
        <w:t>) owed to it. The same rules set out above will apply apart from the fact that Orange will be making the demand on an unsecured debt and therefore the requirement</w:t>
      </w:r>
      <w:r w:rsidR="00467954" w:rsidRPr="00DA360D">
        <w:rPr>
          <w:rFonts w:ascii="Arial" w:hAnsi="Arial" w:cs="Arial"/>
          <w:color w:val="7B7B7B" w:themeColor="accent3" w:themeShade="BF"/>
          <w:sz w:val="22"/>
          <w:szCs w:val="22"/>
          <w:lang w:val="en-GB"/>
        </w:rPr>
        <w:t>s</w:t>
      </w:r>
      <w:r w:rsidR="00644162" w:rsidRPr="00DA360D">
        <w:rPr>
          <w:rFonts w:ascii="Arial" w:hAnsi="Arial" w:cs="Arial"/>
          <w:color w:val="7B7B7B" w:themeColor="accent3" w:themeShade="BF"/>
          <w:sz w:val="22"/>
          <w:szCs w:val="22"/>
          <w:lang w:val="en-GB"/>
        </w:rPr>
        <w:t xml:space="preserve"> set out in section 155(3) will </w:t>
      </w:r>
      <w:r w:rsidR="00644162" w:rsidRPr="00DA360D">
        <w:rPr>
          <w:rFonts w:ascii="Arial" w:hAnsi="Arial" w:cs="Arial"/>
          <w:color w:val="7B7B7B" w:themeColor="accent3" w:themeShade="BF"/>
          <w:sz w:val="22"/>
          <w:szCs w:val="22"/>
          <w:u w:val="single"/>
          <w:lang w:val="en-GB"/>
        </w:rPr>
        <w:t>not</w:t>
      </w:r>
      <w:r w:rsidR="00644162" w:rsidRPr="00DA360D">
        <w:rPr>
          <w:rFonts w:ascii="Arial" w:hAnsi="Arial" w:cs="Arial"/>
          <w:color w:val="7B7B7B" w:themeColor="accent3" w:themeShade="BF"/>
          <w:sz w:val="22"/>
          <w:szCs w:val="22"/>
          <w:lang w:val="en-GB"/>
        </w:rPr>
        <w:t xml:space="preserve"> apply</w:t>
      </w:r>
      <w:r w:rsidR="00467954" w:rsidRPr="00DA360D">
        <w:rPr>
          <w:rFonts w:ascii="Arial" w:hAnsi="Arial" w:cs="Arial"/>
          <w:color w:val="7B7B7B" w:themeColor="accent3" w:themeShade="BF"/>
          <w:sz w:val="22"/>
          <w:szCs w:val="22"/>
          <w:lang w:val="en-GB"/>
        </w:rPr>
        <w:t xml:space="preserve"> as </w:t>
      </w:r>
      <w:r w:rsidR="009C4784">
        <w:rPr>
          <w:rFonts w:ascii="Arial" w:hAnsi="Arial" w:cs="Arial"/>
          <w:color w:val="7B7B7B" w:themeColor="accent3" w:themeShade="BF"/>
          <w:sz w:val="22"/>
          <w:szCs w:val="22"/>
          <w:lang w:val="en-GB"/>
        </w:rPr>
        <w:t>Orange</w:t>
      </w:r>
      <w:r w:rsidR="00467954" w:rsidRPr="00DA360D">
        <w:rPr>
          <w:rFonts w:ascii="Arial" w:hAnsi="Arial" w:cs="Arial"/>
          <w:color w:val="7B7B7B" w:themeColor="accent3" w:themeShade="BF"/>
          <w:sz w:val="22"/>
          <w:szCs w:val="22"/>
          <w:lang w:val="en-GB"/>
        </w:rPr>
        <w:t xml:space="preserve"> would not be a secured creditor in this s</w:t>
      </w:r>
      <w:r w:rsidR="009C4784">
        <w:rPr>
          <w:rFonts w:ascii="Arial" w:hAnsi="Arial" w:cs="Arial"/>
          <w:color w:val="7B7B7B" w:themeColor="accent3" w:themeShade="BF"/>
          <w:sz w:val="22"/>
          <w:szCs w:val="22"/>
          <w:lang w:val="en-GB"/>
        </w:rPr>
        <w:t>cenario</w:t>
      </w:r>
      <w:r w:rsidR="00644162" w:rsidRPr="00DA360D">
        <w:rPr>
          <w:rFonts w:ascii="Arial" w:hAnsi="Arial" w:cs="Arial"/>
          <w:color w:val="7B7B7B" w:themeColor="accent3" w:themeShade="BF"/>
          <w:sz w:val="22"/>
          <w:szCs w:val="22"/>
          <w:lang w:val="en-GB"/>
        </w:rPr>
        <w:t>.</w:t>
      </w:r>
    </w:p>
    <w:p w14:paraId="4BFEA005" w14:textId="77777777" w:rsidR="001620B7" w:rsidRPr="00DA360D" w:rsidRDefault="001620B7" w:rsidP="0059686D">
      <w:pPr>
        <w:autoSpaceDE w:val="0"/>
        <w:autoSpaceDN w:val="0"/>
        <w:adjustRightInd w:val="0"/>
        <w:ind w:left="720"/>
        <w:jc w:val="both"/>
        <w:rPr>
          <w:rFonts w:ascii="Arial" w:hAnsi="Arial" w:cs="Arial"/>
          <w:color w:val="7B7B7B" w:themeColor="accent3" w:themeShade="BF"/>
          <w:sz w:val="22"/>
          <w:szCs w:val="22"/>
          <w:lang w:val="en-GB"/>
        </w:rPr>
      </w:pPr>
    </w:p>
    <w:p w14:paraId="0A75AF85" w14:textId="6000145B" w:rsidR="006A09B9" w:rsidRPr="00DA360D" w:rsidRDefault="00644162" w:rsidP="0059686D">
      <w:pPr>
        <w:autoSpaceDE w:val="0"/>
        <w:autoSpaceDN w:val="0"/>
        <w:adjustRightInd w:val="0"/>
        <w:jc w:val="both"/>
        <w:rPr>
          <w:rFonts w:ascii="Arial" w:hAnsi="Arial" w:cs="Arial"/>
          <w:color w:val="7B7B7B" w:themeColor="accent3" w:themeShade="BF"/>
          <w:sz w:val="22"/>
          <w:szCs w:val="22"/>
          <w:lang w:val="en-GB"/>
        </w:rPr>
      </w:pPr>
      <w:r w:rsidRPr="00DA360D">
        <w:rPr>
          <w:rFonts w:ascii="Arial" w:hAnsi="Arial" w:cs="Arial"/>
          <w:color w:val="7B7B7B" w:themeColor="accent3" w:themeShade="BF"/>
          <w:sz w:val="22"/>
          <w:szCs w:val="22"/>
          <w:lang w:val="en-GB"/>
        </w:rPr>
        <w:t xml:space="preserve">Assuming the </w:t>
      </w:r>
      <w:r w:rsidR="000429E0" w:rsidRPr="00DA360D">
        <w:rPr>
          <w:rFonts w:ascii="Arial" w:hAnsi="Arial" w:cs="Arial"/>
          <w:color w:val="7B7B7B" w:themeColor="accent3" w:themeShade="BF"/>
          <w:sz w:val="22"/>
          <w:szCs w:val="22"/>
          <w:lang w:val="en-GB"/>
        </w:rPr>
        <w:t>four</w:t>
      </w:r>
      <w:r w:rsidRPr="00DA360D">
        <w:rPr>
          <w:rFonts w:ascii="Arial" w:hAnsi="Arial" w:cs="Arial"/>
          <w:color w:val="7B7B7B" w:themeColor="accent3" w:themeShade="BF"/>
          <w:sz w:val="22"/>
          <w:szCs w:val="22"/>
          <w:lang w:val="en-GB"/>
        </w:rPr>
        <w:t xml:space="preserve"> months arrears is over the presided minimum</w:t>
      </w:r>
      <w:r w:rsidRPr="00DA360D">
        <w:rPr>
          <w:rStyle w:val="FootnoteReference"/>
          <w:rFonts w:ascii="Arial" w:hAnsi="Arial" w:cs="Arial"/>
          <w:color w:val="7B7B7B" w:themeColor="accent3" w:themeShade="BF"/>
          <w:sz w:val="22"/>
          <w:szCs w:val="22"/>
          <w:lang w:val="en-GB"/>
        </w:rPr>
        <w:footnoteReference w:id="192"/>
      </w:r>
      <w:r w:rsidRPr="00DA360D">
        <w:rPr>
          <w:rFonts w:ascii="Arial" w:hAnsi="Arial" w:cs="Arial"/>
          <w:color w:val="7B7B7B" w:themeColor="accent3" w:themeShade="BF"/>
          <w:sz w:val="22"/>
          <w:szCs w:val="22"/>
          <w:lang w:val="en-GB"/>
        </w:rPr>
        <w:t xml:space="preserve"> of $2,000</w:t>
      </w:r>
      <w:r w:rsidRPr="00DA360D">
        <w:rPr>
          <w:rStyle w:val="FootnoteReference"/>
          <w:rFonts w:ascii="Arial" w:hAnsi="Arial" w:cs="Arial"/>
          <w:color w:val="7B7B7B" w:themeColor="accent3" w:themeShade="BF"/>
          <w:sz w:val="22"/>
          <w:szCs w:val="22"/>
          <w:lang w:val="en-GB"/>
        </w:rPr>
        <w:footnoteReference w:id="193"/>
      </w:r>
      <w:r w:rsidRPr="00DA360D">
        <w:rPr>
          <w:rFonts w:ascii="Arial" w:hAnsi="Arial" w:cs="Arial"/>
          <w:color w:val="7B7B7B" w:themeColor="accent3" w:themeShade="BF"/>
          <w:sz w:val="22"/>
          <w:szCs w:val="22"/>
          <w:lang w:val="en-GB"/>
        </w:rPr>
        <w:t xml:space="preserve"> and a statutory demand is issued</w:t>
      </w:r>
      <w:r w:rsidR="006D6C90" w:rsidRPr="00DA360D">
        <w:rPr>
          <w:rFonts w:ascii="Arial" w:hAnsi="Arial" w:cs="Arial"/>
          <w:color w:val="7B7B7B" w:themeColor="accent3" w:themeShade="BF"/>
          <w:sz w:val="22"/>
          <w:szCs w:val="22"/>
          <w:lang w:val="en-GB"/>
        </w:rPr>
        <w:t xml:space="preserve"> </w:t>
      </w:r>
      <w:r w:rsidR="004877B5" w:rsidRPr="00DA360D">
        <w:rPr>
          <w:rFonts w:ascii="Arial" w:hAnsi="Arial" w:cs="Arial"/>
          <w:color w:val="7B7B7B" w:themeColor="accent3" w:themeShade="BF"/>
          <w:sz w:val="22"/>
          <w:szCs w:val="22"/>
          <w:lang w:val="en-GB"/>
        </w:rPr>
        <w:t xml:space="preserve">by Orange, Yellow will have </w:t>
      </w:r>
      <w:r w:rsidRPr="00DA360D">
        <w:rPr>
          <w:rFonts w:ascii="Arial" w:hAnsi="Arial" w:cs="Arial"/>
          <w:color w:val="7B7B7B" w:themeColor="accent3" w:themeShade="BF"/>
          <w:sz w:val="22"/>
          <w:szCs w:val="22"/>
          <w:lang w:val="en-GB"/>
        </w:rPr>
        <w:t>21 days (</w:t>
      </w:r>
      <w:r w:rsidR="004877B5" w:rsidRPr="00DA360D">
        <w:rPr>
          <w:rFonts w:ascii="Arial" w:hAnsi="Arial" w:cs="Arial"/>
          <w:color w:val="7B7B7B" w:themeColor="accent3" w:themeShade="BF"/>
          <w:sz w:val="22"/>
          <w:szCs w:val="22"/>
          <w:lang w:val="en-GB"/>
        </w:rPr>
        <w:t xml:space="preserve">from </w:t>
      </w:r>
      <w:r w:rsidRPr="00DA360D">
        <w:rPr>
          <w:rFonts w:ascii="Arial" w:hAnsi="Arial" w:cs="Arial"/>
          <w:color w:val="7B7B7B" w:themeColor="accent3" w:themeShade="BF"/>
          <w:sz w:val="22"/>
          <w:szCs w:val="22"/>
          <w:lang w:val="en-GB"/>
        </w:rPr>
        <w:t xml:space="preserve">the date of service) to pay or secure or compound the debt to the reasonable satisfaction Orange, especially as an application can be made to court to wind up </w:t>
      </w:r>
      <w:r w:rsidR="0069210D">
        <w:rPr>
          <w:rFonts w:ascii="Arial" w:hAnsi="Arial" w:cs="Arial"/>
          <w:color w:val="7B7B7B" w:themeColor="accent3" w:themeShade="BF"/>
          <w:sz w:val="22"/>
          <w:szCs w:val="22"/>
          <w:lang w:val="en-GB"/>
        </w:rPr>
        <w:t>Yellow</w:t>
      </w:r>
      <w:r w:rsidRPr="00DA360D">
        <w:rPr>
          <w:rFonts w:ascii="Arial" w:hAnsi="Arial" w:cs="Arial"/>
          <w:color w:val="7B7B7B" w:themeColor="accent3" w:themeShade="BF"/>
          <w:sz w:val="22"/>
          <w:szCs w:val="22"/>
          <w:lang w:val="en-GB"/>
        </w:rPr>
        <w:t xml:space="preserve"> and appoint a liquidator</w:t>
      </w:r>
      <w:r w:rsidRPr="00DA360D">
        <w:rPr>
          <w:rStyle w:val="FootnoteReference"/>
          <w:rFonts w:ascii="Arial" w:hAnsi="Arial" w:cs="Arial"/>
          <w:color w:val="7B7B7B" w:themeColor="accent3" w:themeShade="BF"/>
          <w:sz w:val="22"/>
          <w:szCs w:val="22"/>
          <w:lang w:val="en-GB"/>
        </w:rPr>
        <w:footnoteReference w:id="194"/>
      </w:r>
      <w:r w:rsidRPr="00DA360D">
        <w:rPr>
          <w:rFonts w:ascii="Arial" w:hAnsi="Arial" w:cs="Arial"/>
          <w:color w:val="7B7B7B" w:themeColor="accent3" w:themeShade="BF"/>
          <w:sz w:val="22"/>
          <w:szCs w:val="22"/>
          <w:lang w:val="en-GB"/>
        </w:rPr>
        <w:t>.</w:t>
      </w:r>
      <w:r w:rsidR="00E13E59" w:rsidRPr="00DA360D">
        <w:rPr>
          <w:rFonts w:ascii="Arial" w:hAnsi="Arial" w:cs="Arial"/>
          <w:color w:val="7B7B7B" w:themeColor="accent3" w:themeShade="BF"/>
          <w:sz w:val="22"/>
          <w:szCs w:val="22"/>
          <w:lang w:val="en-GB"/>
        </w:rPr>
        <w:t xml:space="preserve"> Yellow,</w:t>
      </w:r>
      <w:r w:rsidR="00F26F30" w:rsidRPr="00DA360D">
        <w:rPr>
          <w:rFonts w:ascii="Arial" w:hAnsi="Arial" w:cs="Arial"/>
          <w:color w:val="7B7B7B" w:themeColor="accent3" w:themeShade="BF"/>
          <w:sz w:val="22"/>
          <w:szCs w:val="22"/>
          <w:lang w:val="en-GB"/>
        </w:rPr>
        <w:t xml:space="preserve"> as a BVI company, will be considered insolvent (under the statutory test set out in section 8(1)(a)) if it does not set aside the statutory demand and fails to comply with its requirements</w:t>
      </w:r>
      <w:r w:rsidR="00F26F30" w:rsidRPr="00DA360D">
        <w:rPr>
          <w:rStyle w:val="FootnoteReference"/>
          <w:rFonts w:ascii="Arial" w:hAnsi="Arial" w:cs="Arial"/>
          <w:color w:val="7B7B7B" w:themeColor="accent3" w:themeShade="BF"/>
          <w:sz w:val="22"/>
          <w:szCs w:val="22"/>
          <w:lang w:val="en-GB"/>
        </w:rPr>
        <w:footnoteReference w:id="195"/>
      </w:r>
      <w:r w:rsidR="00F26F30" w:rsidRPr="00DA360D">
        <w:rPr>
          <w:rFonts w:ascii="Arial" w:hAnsi="Arial" w:cs="Arial"/>
          <w:color w:val="7B7B7B" w:themeColor="accent3" w:themeShade="BF"/>
          <w:sz w:val="22"/>
          <w:szCs w:val="22"/>
          <w:lang w:val="en-GB"/>
        </w:rPr>
        <w:t xml:space="preserve">. </w:t>
      </w:r>
      <w:r w:rsidR="00E13E59" w:rsidRPr="00DA360D">
        <w:rPr>
          <w:rFonts w:ascii="Arial" w:hAnsi="Arial" w:cs="Arial"/>
          <w:color w:val="7B7B7B" w:themeColor="accent3" w:themeShade="BF"/>
          <w:sz w:val="22"/>
          <w:szCs w:val="22"/>
          <w:lang w:val="en-GB"/>
        </w:rPr>
        <w:t xml:space="preserve">The court may, on application by Orange </w:t>
      </w:r>
      <w:r w:rsidR="00467954" w:rsidRPr="00DA360D">
        <w:rPr>
          <w:rFonts w:ascii="Arial" w:hAnsi="Arial" w:cs="Arial"/>
          <w:color w:val="7B7B7B" w:themeColor="accent3" w:themeShade="BF"/>
          <w:sz w:val="22"/>
          <w:szCs w:val="22"/>
          <w:lang w:val="en-GB"/>
        </w:rPr>
        <w:t>(</w:t>
      </w:r>
      <w:r w:rsidR="00E13E59" w:rsidRPr="00DA360D">
        <w:rPr>
          <w:rFonts w:ascii="Arial" w:hAnsi="Arial" w:cs="Arial"/>
          <w:color w:val="7B7B7B" w:themeColor="accent3" w:themeShade="BF"/>
          <w:sz w:val="22"/>
          <w:szCs w:val="22"/>
          <w:lang w:val="en-GB"/>
        </w:rPr>
        <w:t xml:space="preserve">as </w:t>
      </w:r>
      <w:r w:rsidR="00467954" w:rsidRPr="00DA360D">
        <w:rPr>
          <w:rFonts w:ascii="Arial" w:hAnsi="Arial" w:cs="Arial"/>
          <w:color w:val="7B7B7B" w:themeColor="accent3" w:themeShade="BF"/>
          <w:sz w:val="22"/>
          <w:szCs w:val="22"/>
          <w:lang w:val="en-GB"/>
        </w:rPr>
        <w:t xml:space="preserve">a </w:t>
      </w:r>
      <w:r w:rsidR="00E13E59" w:rsidRPr="00DA360D">
        <w:rPr>
          <w:rFonts w:ascii="Arial" w:hAnsi="Arial" w:cs="Arial"/>
          <w:color w:val="7B7B7B" w:themeColor="accent3" w:themeShade="BF"/>
          <w:sz w:val="22"/>
          <w:szCs w:val="22"/>
          <w:lang w:val="en-GB"/>
        </w:rPr>
        <w:t>creditor</w:t>
      </w:r>
      <w:r w:rsidR="00467954" w:rsidRPr="00DA360D">
        <w:rPr>
          <w:rFonts w:ascii="Arial" w:hAnsi="Arial" w:cs="Arial"/>
          <w:color w:val="7B7B7B" w:themeColor="accent3" w:themeShade="BF"/>
          <w:sz w:val="22"/>
          <w:szCs w:val="22"/>
          <w:lang w:val="en-GB"/>
        </w:rPr>
        <w:t>)</w:t>
      </w:r>
      <w:r w:rsidR="00E13E59" w:rsidRPr="00DA360D">
        <w:rPr>
          <w:rStyle w:val="FootnoteReference"/>
          <w:rFonts w:ascii="Arial" w:hAnsi="Arial" w:cs="Arial"/>
          <w:color w:val="7B7B7B" w:themeColor="accent3" w:themeShade="BF"/>
          <w:sz w:val="22"/>
          <w:szCs w:val="22"/>
          <w:lang w:val="en-GB"/>
        </w:rPr>
        <w:footnoteReference w:id="196"/>
      </w:r>
      <w:r w:rsidR="00E13E59" w:rsidRPr="00DA360D">
        <w:rPr>
          <w:rFonts w:ascii="Arial" w:hAnsi="Arial" w:cs="Arial"/>
          <w:color w:val="7B7B7B" w:themeColor="accent3" w:themeShade="BF"/>
          <w:sz w:val="22"/>
          <w:szCs w:val="22"/>
          <w:lang w:val="en-GB"/>
        </w:rPr>
        <w:t>, appoint a liquidator over Yellow</w:t>
      </w:r>
      <w:r w:rsidR="00E13E59" w:rsidRPr="00DA360D">
        <w:rPr>
          <w:rStyle w:val="FootnoteReference"/>
          <w:rFonts w:ascii="Arial" w:hAnsi="Arial" w:cs="Arial"/>
          <w:color w:val="7B7B7B" w:themeColor="accent3" w:themeShade="BF"/>
          <w:sz w:val="22"/>
          <w:szCs w:val="22"/>
          <w:lang w:val="en-GB"/>
        </w:rPr>
        <w:footnoteReference w:id="197"/>
      </w:r>
      <w:r w:rsidR="00E13E59" w:rsidRPr="00DA360D">
        <w:rPr>
          <w:rFonts w:ascii="Arial" w:hAnsi="Arial" w:cs="Arial"/>
          <w:color w:val="7B7B7B" w:themeColor="accent3" w:themeShade="BF"/>
          <w:sz w:val="22"/>
          <w:szCs w:val="22"/>
          <w:lang w:val="en-GB"/>
        </w:rPr>
        <w:t xml:space="preserve"> as it </w:t>
      </w:r>
      <w:r w:rsidR="00467954" w:rsidRPr="00DA360D">
        <w:rPr>
          <w:rFonts w:ascii="Arial" w:hAnsi="Arial" w:cs="Arial"/>
          <w:color w:val="7B7B7B" w:themeColor="accent3" w:themeShade="BF"/>
          <w:sz w:val="22"/>
          <w:szCs w:val="22"/>
          <w:lang w:val="en-GB"/>
        </w:rPr>
        <w:t>would be</w:t>
      </w:r>
      <w:r w:rsidR="00E13E59" w:rsidRPr="00DA360D">
        <w:rPr>
          <w:rFonts w:ascii="Arial" w:hAnsi="Arial" w:cs="Arial"/>
          <w:color w:val="7B7B7B" w:themeColor="accent3" w:themeShade="BF"/>
          <w:sz w:val="22"/>
          <w:szCs w:val="22"/>
          <w:lang w:val="en-GB"/>
        </w:rPr>
        <w:t xml:space="preserve"> insolvent</w:t>
      </w:r>
      <w:r w:rsidR="00E13E59" w:rsidRPr="00DA360D">
        <w:rPr>
          <w:rStyle w:val="FootnoteReference"/>
          <w:rFonts w:ascii="Arial" w:hAnsi="Arial" w:cs="Arial"/>
          <w:color w:val="7B7B7B" w:themeColor="accent3" w:themeShade="BF"/>
          <w:sz w:val="22"/>
          <w:szCs w:val="22"/>
          <w:lang w:val="en-GB"/>
        </w:rPr>
        <w:footnoteReference w:id="198"/>
      </w:r>
      <w:r w:rsidR="00DA360D">
        <w:rPr>
          <w:rFonts w:ascii="Arial" w:hAnsi="Arial" w:cs="Arial"/>
          <w:color w:val="7B7B7B" w:themeColor="accent3" w:themeShade="BF"/>
          <w:sz w:val="22"/>
          <w:szCs w:val="22"/>
          <w:lang w:val="en-GB"/>
        </w:rPr>
        <w:t xml:space="preserve"> according to the statutory test.</w:t>
      </w:r>
      <w:r w:rsidR="00DA6FD3">
        <w:rPr>
          <w:rFonts w:ascii="Arial" w:hAnsi="Arial" w:cs="Arial"/>
          <w:color w:val="7B7B7B" w:themeColor="accent3" w:themeShade="BF"/>
          <w:sz w:val="22"/>
          <w:szCs w:val="22"/>
          <w:lang w:val="en-GB"/>
        </w:rPr>
        <w:t xml:space="preserve"> </w:t>
      </w:r>
      <w:r w:rsidR="006A09B9" w:rsidRPr="00DA360D">
        <w:rPr>
          <w:rFonts w:ascii="Arial" w:hAnsi="Arial" w:cs="Arial"/>
          <w:color w:val="7B7B7B" w:themeColor="accent3" w:themeShade="BF"/>
          <w:sz w:val="22"/>
          <w:szCs w:val="22"/>
          <w:lang w:val="en-GB"/>
        </w:rPr>
        <w:t xml:space="preserve">The </w:t>
      </w:r>
      <w:proofErr w:type="spellStart"/>
      <w:r w:rsidR="006A09B9" w:rsidRPr="00DA360D">
        <w:rPr>
          <w:rFonts w:ascii="Arial" w:hAnsi="Arial" w:cs="Arial"/>
          <w:i/>
          <w:iCs/>
          <w:color w:val="7B7B7B" w:themeColor="accent3" w:themeShade="BF"/>
          <w:sz w:val="22"/>
          <w:szCs w:val="22"/>
          <w:lang w:val="en-GB"/>
        </w:rPr>
        <w:t>pari</w:t>
      </w:r>
      <w:proofErr w:type="spellEnd"/>
      <w:r w:rsidR="006A09B9" w:rsidRPr="00DA360D">
        <w:rPr>
          <w:rFonts w:ascii="Arial" w:hAnsi="Arial" w:cs="Arial"/>
          <w:i/>
          <w:iCs/>
          <w:color w:val="7B7B7B" w:themeColor="accent3" w:themeShade="BF"/>
          <w:sz w:val="22"/>
          <w:szCs w:val="22"/>
          <w:lang w:val="en-GB"/>
        </w:rPr>
        <w:t xml:space="preserve"> passu</w:t>
      </w:r>
      <w:r w:rsidR="006A09B9" w:rsidRPr="00DA360D">
        <w:rPr>
          <w:rFonts w:ascii="Arial" w:hAnsi="Arial" w:cs="Arial"/>
          <w:color w:val="7B7B7B" w:themeColor="accent3" w:themeShade="BF"/>
          <w:sz w:val="22"/>
          <w:szCs w:val="22"/>
          <w:lang w:val="en-GB"/>
        </w:rPr>
        <w:t xml:space="preserve"> principle </w:t>
      </w:r>
      <w:r w:rsidR="00DA6FD3">
        <w:rPr>
          <w:rFonts w:ascii="Arial" w:hAnsi="Arial" w:cs="Arial"/>
          <w:color w:val="7B7B7B" w:themeColor="accent3" w:themeShade="BF"/>
          <w:sz w:val="22"/>
          <w:szCs w:val="22"/>
          <w:lang w:val="en-GB"/>
        </w:rPr>
        <w:t xml:space="preserve">would </w:t>
      </w:r>
      <w:r w:rsidR="006A09B9" w:rsidRPr="00DA360D">
        <w:rPr>
          <w:rFonts w:ascii="Arial" w:hAnsi="Arial" w:cs="Arial"/>
          <w:color w:val="7B7B7B" w:themeColor="accent3" w:themeShade="BF"/>
          <w:sz w:val="22"/>
          <w:szCs w:val="22"/>
          <w:lang w:val="en-GB"/>
        </w:rPr>
        <w:t>appl</w:t>
      </w:r>
      <w:r w:rsidR="00DA6FD3">
        <w:rPr>
          <w:rFonts w:ascii="Arial" w:hAnsi="Arial" w:cs="Arial"/>
          <w:color w:val="7B7B7B" w:themeColor="accent3" w:themeShade="BF"/>
          <w:sz w:val="22"/>
          <w:szCs w:val="22"/>
          <w:lang w:val="en-GB"/>
        </w:rPr>
        <w:t>y</w:t>
      </w:r>
      <w:r w:rsidR="006A09B9" w:rsidRPr="00DA360D">
        <w:rPr>
          <w:rFonts w:ascii="Arial" w:hAnsi="Arial" w:cs="Arial"/>
          <w:color w:val="7B7B7B" w:themeColor="accent3" w:themeShade="BF"/>
          <w:sz w:val="22"/>
          <w:szCs w:val="22"/>
          <w:lang w:val="en-GB"/>
        </w:rPr>
        <w:t xml:space="preserve"> under the </w:t>
      </w:r>
      <w:r w:rsidR="005A1557" w:rsidRPr="00DA360D">
        <w:rPr>
          <w:rFonts w:ascii="Arial" w:hAnsi="Arial" w:cs="Arial"/>
          <w:color w:val="7B7B7B" w:themeColor="accent3" w:themeShade="BF"/>
          <w:sz w:val="22"/>
          <w:szCs w:val="22"/>
          <w:lang w:val="en-GB"/>
        </w:rPr>
        <w:t>Insolvency</w:t>
      </w:r>
      <w:r w:rsidR="006A09B9" w:rsidRPr="00DA360D">
        <w:rPr>
          <w:rFonts w:ascii="Arial" w:hAnsi="Arial" w:cs="Arial"/>
          <w:color w:val="7B7B7B" w:themeColor="accent3" w:themeShade="BF"/>
          <w:sz w:val="22"/>
          <w:szCs w:val="22"/>
          <w:lang w:val="en-GB"/>
        </w:rPr>
        <w:t xml:space="preserve"> Act. </w:t>
      </w:r>
      <w:r w:rsidR="00DA360D">
        <w:rPr>
          <w:rFonts w:ascii="Arial" w:hAnsi="Arial" w:cs="Arial"/>
          <w:color w:val="7B7B7B" w:themeColor="accent3" w:themeShade="BF"/>
          <w:sz w:val="22"/>
          <w:szCs w:val="22"/>
          <w:lang w:val="en-GB"/>
        </w:rPr>
        <w:t>In light of this,</w:t>
      </w:r>
      <w:r w:rsidR="006A09B9" w:rsidRPr="00DA360D">
        <w:rPr>
          <w:rFonts w:ascii="Arial" w:hAnsi="Arial" w:cs="Arial"/>
          <w:color w:val="7B7B7B" w:themeColor="accent3" w:themeShade="BF"/>
          <w:sz w:val="22"/>
          <w:szCs w:val="22"/>
          <w:lang w:val="en-GB"/>
        </w:rPr>
        <w:t xml:space="preserve"> all unsecured creditors (including Orange</w:t>
      </w:r>
      <w:r w:rsidR="00DA6FD3">
        <w:rPr>
          <w:rFonts w:ascii="Arial" w:hAnsi="Arial" w:cs="Arial"/>
          <w:color w:val="7B7B7B" w:themeColor="accent3" w:themeShade="BF"/>
          <w:sz w:val="22"/>
          <w:szCs w:val="22"/>
          <w:lang w:val="en-GB"/>
        </w:rPr>
        <w:t xml:space="preserve"> in this scenario</w:t>
      </w:r>
      <w:r w:rsidR="006A09B9" w:rsidRPr="00DA360D">
        <w:rPr>
          <w:rFonts w:ascii="Arial" w:hAnsi="Arial" w:cs="Arial"/>
          <w:color w:val="7B7B7B" w:themeColor="accent3" w:themeShade="BF"/>
          <w:sz w:val="22"/>
          <w:szCs w:val="22"/>
          <w:lang w:val="en-GB"/>
        </w:rPr>
        <w:t>) of the insolvent company (Yellow)</w:t>
      </w:r>
      <w:r w:rsidR="006328D9" w:rsidRPr="00DA360D">
        <w:rPr>
          <w:rFonts w:ascii="Arial" w:hAnsi="Arial" w:cs="Arial"/>
          <w:color w:val="7B7B7B" w:themeColor="accent3" w:themeShade="BF"/>
          <w:sz w:val="22"/>
          <w:szCs w:val="22"/>
          <w:lang w:val="en-GB"/>
        </w:rPr>
        <w:t xml:space="preserve"> which is liquidated</w:t>
      </w:r>
      <w:r w:rsidR="006A09B9" w:rsidRPr="00DA360D">
        <w:rPr>
          <w:rFonts w:ascii="Arial" w:hAnsi="Arial" w:cs="Arial"/>
          <w:color w:val="7B7B7B" w:themeColor="accent3" w:themeShade="BF"/>
          <w:sz w:val="22"/>
          <w:szCs w:val="22"/>
          <w:lang w:val="en-GB"/>
        </w:rPr>
        <w:t xml:space="preserve"> will “</w:t>
      </w:r>
      <w:r w:rsidR="006A09B9" w:rsidRPr="00DA360D">
        <w:rPr>
          <w:rFonts w:ascii="Arial" w:hAnsi="Arial" w:cs="Arial"/>
          <w:i/>
          <w:iCs/>
          <w:color w:val="7B7B7B" w:themeColor="accent3" w:themeShade="BF"/>
          <w:sz w:val="22"/>
          <w:szCs w:val="22"/>
          <w:lang w:val="en-GB"/>
        </w:rPr>
        <w:t>share equally and rateably in the assets of the company (that are not subject to a valid security interest) remaining after payment of any preferential claims and the liquidation expenses</w:t>
      </w:r>
      <w:r w:rsidR="006A09B9" w:rsidRPr="00DA360D">
        <w:rPr>
          <w:rFonts w:ascii="Arial" w:hAnsi="Arial" w:cs="Arial"/>
          <w:color w:val="7B7B7B" w:themeColor="accent3" w:themeShade="BF"/>
          <w:sz w:val="22"/>
          <w:szCs w:val="22"/>
          <w:lang w:val="en-GB"/>
        </w:rPr>
        <w:t>.”</w:t>
      </w:r>
      <w:r w:rsidR="002E7EE6" w:rsidRPr="00DA360D">
        <w:rPr>
          <w:rStyle w:val="FootnoteReference"/>
          <w:rFonts w:ascii="Arial" w:hAnsi="Arial" w:cs="Arial"/>
          <w:color w:val="7B7B7B" w:themeColor="accent3" w:themeShade="BF"/>
          <w:sz w:val="22"/>
          <w:szCs w:val="22"/>
          <w:lang w:val="en-GB"/>
        </w:rPr>
        <w:footnoteReference w:id="199"/>
      </w:r>
    </w:p>
    <w:p w14:paraId="05BDAC1C" w14:textId="77777777" w:rsidR="0054099F" w:rsidRPr="00DA360D" w:rsidRDefault="00B14BCF" w:rsidP="0059686D">
      <w:pPr>
        <w:autoSpaceDE w:val="0"/>
        <w:autoSpaceDN w:val="0"/>
        <w:adjustRightInd w:val="0"/>
        <w:jc w:val="both"/>
        <w:rPr>
          <w:rFonts w:ascii="Arial" w:hAnsi="Arial" w:cs="Arial"/>
          <w:b/>
          <w:bCs/>
          <w:color w:val="7B7B7B" w:themeColor="accent3" w:themeShade="BF"/>
          <w:sz w:val="22"/>
          <w:szCs w:val="22"/>
          <w:u w:val="single"/>
          <w:lang w:val="en-GB"/>
        </w:rPr>
      </w:pPr>
      <w:r w:rsidRPr="00DA360D">
        <w:rPr>
          <w:rFonts w:ascii="Arial" w:hAnsi="Arial" w:cs="Arial"/>
          <w:b/>
          <w:bCs/>
          <w:color w:val="7B7B7B" w:themeColor="accent3" w:themeShade="BF"/>
          <w:sz w:val="22"/>
          <w:szCs w:val="22"/>
          <w:u w:val="single"/>
          <w:lang w:val="en-GB"/>
        </w:rPr>
        <w:lastRenderedPageBreak/>
        <w:t>Debt action</w:t>
      </w:r>
    </w:p>
    <w:p w14:paraId="77DD75B3" w14:textId="54B5BCF4" w:rsidR="00F744B0" w:rsidRDefault="0054099F" w:rsidP="0059686D">
      <w:pPr>
        <w:autoSpaceDE w:val="0"/>
        <w:autoSpaceDN w:val="0"/>
        <w:adjustRightInd w:val="0"/>
        <w:jc w:val="both"/>
        <w:rPr>
          <w:rFonts w:ascii="Arial" w:hAnsi="Arial" w:cs="Arial"/>
          <w:color w:val="7B7B7B" w:themeColor="accent3" w:themeShade="BF"/>
          <w:sz w:val="22"/>
          <w:szCs w:val="22"/>
          <w:lang w:val="en-GB"/>
        </w:rPr>
      </w:pPr>
      <w:r w:rsidRPr="00DA360D">
        <w:rPr>
          <w:rFonts w:ascii="Arial" w:hAnsi="Arial" w:cs="Arial"/>
          <w:color w:val="7B7B7B" w:themeColor="accent3" w:themeShade="BF"/>
          <w:sz w:val="22"/>
          <w:szCs w:val="22"/>
          <w:lang w:val="en-GB"/>
        </w:rPr>
        <w:t>A</w:t>
      </w:r>
      <w:r w:rsidR="001620B7" w:rsidRPr="00DA360D">
        <w:rPr>
          <w:rFonts w:ascii="Arial" w:hAnsi="Arial" w:cs="Arial"/>
          <w:color w:val="7B7B7B" w:themeColor="accent3" w:themeShade="BF"/>
          <w:sz w:val="22"/>
          <w:szCs w:val="22"/>
          <w:lang w:val="en-GB"/>
        </w:rPr>
        <w:t>s stated above, i</w:t>
      </w:r>
      <w:r w:rsidR="00B14BCF" w:rsidRPr="00DA360D">
        <w:rPr>
          <w:rFonts w:ascii="Arial" w:hAnsi="Arial" w:cs="Arial"/>
          <w:color w:val="7B7B7B" w:themeColor="accent3" w:themeShade="BF"/>
          <w:sz w:val="22"/>
          <w:szCs w:val="22"/>
          <w:lang w:val="en-GB"/>
        </w:rPr>
        <w:t xml:space="preserve">t is not known from the fact pattern whether the </w:t>
      </w:r>
      <w:r w:rsidR="00672701" w:rsidRPr="00DA360D">
        <w:rPr>
          <w:rFonts w:ascii="Arial" w:hAnsi="Arial" w:cs="Arial"/>
          <w:color w:val="7B7B7B" w:themeColor="accent3" w:themeShade="BF"/>
          <w:sz w:val="22"/>
          <w:szCs w:val="22"/>
          <w:lang w:val="en-GB"/>
        </w:rPr>
        <w:t xml:space="preserve">four months in arrears on the </w:t>
      </w:r>
      <w:r w:rsidR="00B14BCF" w:rsidRPr="00DA360D">
        <w:rPr>
          <w:rFonts w:ascii="Arial" w:hAnsi="Arial" w:cs="Arial"/>
          <w:color w:val="7B7B7B" w:themeColor="accent3" w:themeShade="BF"/>
          <w:sz w:val="22"/>
          <w:szCs w:val="22"/>
          <w:lang w:val="en-GB"/>
        </w:rPr>
        <w:t xml:space="preserve">mortgage is disputed between Orange and Yellow. If </w:t>
      </w:r>
      <w:r w:rsidR="00E01B16">
        <w:rPr>
          <w:rFonts w:ascii="Arial" w:hAnsi="Arial" w:cs="Arial"/>
          <w:color w:val="7B7B7B" w:themeColor="accent3" w:themeShade="BF"/>
          <w:sz w:val="22"/>
          <w:szCs w:val="22"/>
          <w:lang w:val="en-GB"/>
        </w:rPr>
        <w:t>it is</w:t>
      </w:r>
      <w:r w:rsidR="00B14BCF" w:rsidRPr="00DA360D">
        <w:rPr>
          <w:rFonts w:ascii="Arial" w:hAnsi="Arial" w:cs="Arial"/>
          <w:color w:val="7B7B7B" w:themeColor="accent3" w:themeShade="BF"/>
          <w:sz w:val="22"/>
          <w:szCs w:val="22"/>
          <w:lang w:val="en-GB"/>
        </w:rPr>
        <w:t xml:space="preserve"> not disputed</w:t>
      </w:r>
      <w:r w:rsidR="001620B7" w:rsidRPr="00DA360D">
        <w:rPr>
          <w:rFonts w:ascii="Arial" w:hAnsi="Arial" w:cs="Arial"/>
          <w:color w:val="7B7B7B" w:themeColor="accent3" w:themeShade="BF"/>
          <w:sz w:val="22"/>
          <w:szCs w:val="22"/>
          <w:lang w:val="en-GB"/>
        </w:rPr>
        <w:t xml:space="preserve">, </w:t>
      </w:r>
      <w:r w:rsidR="00B14BCF" w:rsidRPr="00DA360D">
        <w:rPr>
          <w:rFonts w:ascii="Arial" w:hAnsi="Arial" w:cs="Arial"/>
          <w:color w:val="7B7B7B" w:themeColor="accent3" w:themeShade="BF"/>
          <w:sz w:val="22"/>
          <w:szCs w:val="22"/>
          <w:lang w:val="en-GB"/>
        </w:rPr>
        <w:t xml:space="preserve">the statutory demand route </w:t>
      </w:r>
      <w:r w:rsidR="001620B7" w:rsidRPr="00DA360D">
        <w:rPr>
          <w:rFonts w:ascii="Arial" w:hAnsi="Arial" w:cs="Arial"/>
          <w:color w:val="7B7B7B" w:themeColor="accent3" w:themeShade="BF"/>
          <w:sz w:val="22"/>
          <w:szCs w:val="22"/>
          <w:lang w:val="en-GB"/>
        </w:rPr>
        <w:t xml:space="preserve">(see above) </w:t>
      </w:r>
      <w:r w:rsidR="00B14BCF" w:rsidRPr="00DA360D">
        <w:rPr>
          <w:rFonts w:ascii="Arial" w:hAnsi="Arial" w:cs="Arial"/>
          <w:color w:val="7B7B7B" w:themeColor="accent3" w:themeShade="BF"/>
          <w:sz w:val="22"/>
          <w:szCs w:val="22"/>
          <w:lang w:val="en-GB"/>
        </w:rPr>
        <w:t>would be more appropriate.</w:t>
      </w:r>
      <w:r w:rsidR="00672701" w:rsidRPr="00DA360D">
        <w:rPr>
          <w:rFonts w:ascii="Arial" w:hAnsi="Arial" w:cs="Arial"/>
          <w:color w:val="7B7B7B" w:themeColor="accent3" w:themeShade="BF"/>
          <w:sz w:val="22"/>
          <w:szCs w:val="22"/>
          <w:lang w:val="en-GB"/>
        </w:rPr>
        <w:t xml:space="preserve"> However, if</w:t>
      </w:r>
      <w:r w:rsidR="00F744B0" w:rsidRPr="00DA360D">
        <w:rPr>
          <w:rFonts w:ascii="Arial" w:hAnsi="Arial" w:cs="Arial"/>
          <w:color w:val="7B7B7B" w:themeColor="accent3" w:themeShade="BF"/>
          <w:sz w:val="22"/>
          <w:szCs w:val="22"/>
          <w:lang w:val="en-GB"/>
        </w:rPr>
        <w:t xml:space="preserve"> it is</w:t>
      </w:r>
      <w:r w:rsidR="00DA360D">
        <w:rPr>
          <w:rFonts w:ascii="Arial" w:hAnsi="Arial" w:cs="Arial"/>
          <w:color w:val="7B7B7B" w:themeColor="accent3" w:themeShade="BF"/>
          <w:sz w:val="22"/>
          <w:szCs w:val="22"/>
          <w:lang w:val="en-GB"/>
        </w:rPr>
        <w:t xml:space="preserve"> genuinely</w:t>
      </w:r>
      <w:r w:rsidR="00F744B0" w:rsidRPr="00DA360D">
        <w:rPr>
          <w:rFonts w:ascii="Arial" w:hAnsi="Arial" w:cs="Arial"/>
          <w:color w:val="7B7B7B" w:themeColor="accent3" w:themeShade="BF"/>
          <w:sz w:val="22"/>
          <w:szCs w:val="22"/>
          <w:lang w:val="en-GB"/>
        </w:rPr>
        <w:t xml:space="preserve"> </w:t>
      </w:r>
      <w:r w:rsidR="00672701" w:rsidRPr="00DA360D">
        <w:rPr>
          <w:rFonts w:ascii="Arial" w:hAnsi="Arial" w:cs="Arial"/>
          <w:color w:val="7B7B7B" w:themeColor="accent3" w:themeShade="BF"/>
          <w:sz w:val="22"/>
          <w:szCs w:val="22"/>
          <w:lang w:val="en-GB"/>
        </w:rPr>
        <w:t>disputed, a debt action would be a more appropriate course of action</w:t>
      </w:r>
      <w:r w:rsidR="00F744B0" w:rsidRPr="00DA360D">
        <w:rPr>
          <w:rFonts w:ascii="Arial" w:hAnsi="Arial" w:cs="Arial"/>
          <w:color w:val="7B7B7B" w:themeColor="accent3" w:themeShade="BF"/>
          <w:sz w:val="22"/>
          <w:szCs w:val="22"/>
          <w:lang w:val="en-GB"/>
        </w:rPr>
        <w:t>. In the event that Orange obtains judgment from the BVI court</w:t>
      </w:r>
      <w:r w:rsidR="00DA360D">
        <w:rPr>
          <w:rFonts w:ascii="Arial" w:hAnsi="Arial" w:cs="Arial"/>
          <w:color w:val="7B7B7B" w:themeColor="accent3" w:themeShade="BF"/>
          <w:sz w:val="22"/>
          <w:szCs w:val="22"/>
          <w:lang w:val="en-GB"/>
        </w:rPr>
        <w:t xml:space="preserve"> following a debt action</w:t>
      </w:r>
      <w:r w:rsidR="00F744B0" w:rsidRPr="00DA360D">
        <w:rPr>
          <w:rFonts w:ascii="Arial" w:hAnsi="Arial" w:cs="Arial"/>
          <w:color w:val="7B7B7B" w:themeColor="accent3" w:themeShade="BF"/>
          <w:sz w:val="22"/>
          <w:szCs w:val="22"/>
          <w:lang w:val="en-GB"/>
        </w:rPr>
        <w:t>, Yellow would be considered insolvent if it fails to satisfy (wholly or partly) execution or other process issued on the judgment.</w:t>
      </w:r>
      <w:r w:rsidR="00F744B0" w:rsidRPr="00DA360D">
        <w:rPr>
          <w:rStyle w:val="FootnoteReference"/>
          <w:rFonts w:ascii="Arial" w:hAnsi="Arial" w:cs="Arial"/>
          <w:color w:val="7B7B7B" w:themeColor="accent3" w:themeShade="BF"/>
          <w:sz w:val="22"/>
          <w:szCs w:val="22"/>
          <w:lang w:val="en-GB"/>
        </w:rPr>
        <w:footnoteReference w:id="200"/>
      </w:r>
    </w:p>
    <w:p w14:paraId="00FFEFB0" w14:textId="77777777" w:rsidR="002452E7" w:rsidRDefault="002452E7" w:rsidP="008065CE">
      <w:pPr>
        <w:autoSpaceDE w:val="0"/>
        <w:autoSpaceDN w:val="0"/>
        <w:adjustRightInd w:val="0"/>
        <w:jc w:val="both"/>
        <w:rPr>
          <w:rFonts w:ascii="Avenir Next" w:hAnsi="Avenir Next" w:cs="Arial"/>
          <w:sz w:val="22"/>
          <w:szCs w:val="22"/>
          <w:lang w:val="en-GB"/>
        </w:rPr>
      </w:pPr>
    </w:p>
    <w:p w14:paraId="7EF5FD0F" w14:textId="77777777" w:rsidR="000F782F" w:rsidRPr="005965BF" w:rsidRDefault="000F782F" w:rsidP="008065CE">
      <w:pPr>
        <w:autoSpaceDE w:val="0"/>
        <w:autoSpaceDN w:val="0"/>
        <w:adjustRightInd w:val="0"/>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217F242A" w14:textId="79730F28" w:rsidR="00930C3A" w:rsidRPr="00DB29B2" w:rsidRDefault="00930C3A" w:rsidP="00930C3A">
      <w:pPr>
        <w:jc w:val="both"/>
        <w:rPr>
          <w:rFonts w:ascii="Avenir Next" w:hAnsi="Avenir Next" w:cs="Arial"/>
          <w:sz w:val="22"/>
          <w:szCs w:val="22"/>
          <w:lang w:val="en-GB"/>
        </w:rPr>
      </w:pPr>
      <w:r w:rsidRPr="00DB29B2">
        <w:rPr>
          <w:rFonts w:ascii="Avenir Next" w:hAnsi="Avenir Next" w:cs="Arial"/>
          <w:sz w:val="22"/>
          <w:szCs w:val="22"/>
          <w:lang w:val="en-GB"/>
        </w:rPr>
        <w:t xml:space="preserve">In 2023 Owed Limited, a company registered in England, was awarded a judgment for an unsecured debt in the English High Court against Indebted Limited, also incorporated in England, of GBP 10 million. </w:t>
      </w:r>
      <w:proofErr w:type="gramStart"/>
      <w:r w:rsidRPr="00DB29B2">
        <w:rPr>
          <w:rFonts w:ascii="Avenir Next" w:hAnsi="Avenir Next" w:cs="Arial"/>
          <w:sz w:val="22"/>
          <w:szCs w:val="22"/>
          <w:lang w:val="en-GB"/>
        </w:rPr>
        <w:t>In an attempt to</w:t>
      </w:r>
      <w:proofErr w:type="gramEnd"/>
      <w:r w:rsidRPr="00DB29B2">
        <w:rPr>
          <w:rFonts w:ascii="Avenir Next" w:hAnsi="Avenir Next" w:cs="Arial"/>
          <w:sz w:val="22"/>
          <w:szCs w:val="22"/>
          <w:lang w:val="en-GB"/>
        </w:rPr>
        <w:t xml:space="preserve"> enforce its judgment, Owed Limited has discovered that Indebted Limited</w:t>
      </w:r>
      <w:r w:rsidR="00BE492F">
        <w:rPr>
          <w:rFonts w:ascii="Avenir Next" w:hAnsi="Avenir Next" w:cs="Arial"/>
          <w:sz w:val="22"/>
          <w:szCs w:val="22"/>
          <w:lang w:val="en-GB"/>
        </w:rPr>
        <w:t>’</w:t>
      </w:r>
      <w:r w:rsidRPr="00DB29B2">
        <w:rPr>
          <w:rFonts w:ascii="Avenir Next" w:hAnsi="Avenir Next" w:cs="Arial"/>
          <w:sz w:val="22"/>
          <w:szCs w:val="22"/>
          <w:lang w:val="en-GB"/>
        </w:rPr>
        <w:t xml:space="preserve">s only asset is a 100% owned subsidiary, </w:t>
      </w:r>
      <w:proofErr w:type="spellStart"/>
      <w:r w:rsidRPr="00DB29B2">
        <w:rPr>
          <w:rFonts w:ascii="Avenir Next" w:hAnsi="Avenir Next" w:cs="Arial"/>
          <w:sz w:val="22"/>
          <w:szCs w:val="22"/>
          <w:lang w:val="en-GB"/>
        </w:rPr>
        <w:t>Subco</w:t>
      </w:r>
      <w:proofErr w:type="spellEnd"/>
      <w:r w:rsidRPr="00DB29B2">
        <w:rPr>
          <w:rFonts w:ascii="Avenir Next" w:hAnsi="Avenir Next" w:cs="Arial"/>
          <w:sz w:val="22"/>
          <w:szCs w:val="22"/>
          <w:lang w:val="en-GB"/>
        </w:rPr>
        <w:t xml:space="preserve"> Limited, a company incorporated in the BVI, which itself owns a number of unencumbered properties in </w:t>
      </w:r>
      <w:r w:rsidR="00FC6FD0" w:rsidRPr="00DB29B2">
        <w:rPr>
          <w:rFonts w:ascii="Avenir Next" w:hAnsi="Avenir Next" w:cs="Arial"/>
          <w:sz w:val="22"/>
          <w:szCs w:val="22"/>
          <w:lang w:val="en-GB"/>
        </w:rPr>
        <w:t xml:space="preserve">the </w:t>
      </w:r>
      <w:r w:rsidRPr="00DB29B2">
        <w:rPr>
          <w:rFonts w:ascii="Avenir Next" w:hAnsi="Avenir Next" w:cs="Arial"/>
          <w:sz w:val="22"/>
          <w:szCs w:val="22"/>
          <w:lang w:val="en-GB"/>
        </w:rPr>
        <w:t xml:space="preserve">BVI but has been struck off of the Register and is now dissolved. The sole shareholder and sole director of Indebted Limited has recently </w:t>
      </w:r>
      <w:r w:rsidR="00FC6FD0" w:rsidRPr="00DB29B2">
        <w:rPr>
          <w:rFonts w:ascii="Avenir Next" w:hAnsi="Avenir Next" w:cs="Arial"/>
          <w:sz w:val="22"/>
          <w:szCs w:val="22"/>
          <w:lang w:val="en-GB"/>
        </w:rPr>
        <w:t>passed away</w:t>
      </w:r>
      <w:r w:rsidRPr="00DB29B2">
        <w:rPr>
          <w:rFonts w:ascii="Avenir Next" w:hAnsi="Avenir Next" w:cs="Arial"/>
          <w:sz w:val="22"/>
          <w:szCs w:val="22"/>
          <w:lang w:val="en-GB"/>
        </w:rPr>
        <w:t>.</w:t>
      </w:r>
    </w:p>
    <w:p w14:paraId="259B1103" w14:textId="77777777" w:rsidR="00930C3A" w:rsidRPr="00DB29B2" w:rsidRDefault="00930C3A" w:rsidP="00930C3A">
      <w:pPr>
        <w:jc w:val="both"/>
        <w:rPr>
          <w:rFonts w:ascii="Avenir Next" w:hAnsi="Avenir Next" w:cs="Arial"/>
          <w:sz w:val="22"/>
          <w:szCs w:val="22"/>
          <w:lang w:val="en-GB"/>
        </w:rPr>
      </w:pPr>
    </w:p>
    <w:p w14:paraId="48E86AF1" w14:textId="38FD2226" w:rsidR="00930C3A" w:rsidRPr="00DB29B2" w:rsidRDefault="00930C3A" w:rsidP="00930C3A">
      <w:pPr>
        <w:jc w:val="both"/>
        <w:rPr>
          <w:rFonts w:ascii="Avenir Next" w:hAnsi="Avenir Next" w:cs="Arial"/>
          <w:sz w:val="22"/>
          <w:szCs w:val="22"/>
          <w:lang w:val="en-GB"/>
        </w:rPr>
      </w:pPr>
      <w:r w:rsidRPr="00DB29B2">
        <w:rPr>
          <w:rFonts w:ascii="Avenir Next" w:hAnsi="Avenir Next" w:cs="Arial"/>
          <w:sz w:val="22"/>
          <w:szCs w:val="22"/>
          <w:lang w:val="en-GB"/>
        </w:rPr>
        <w:t xml:space="preserve">You have been tasked by your principal to prepare a memorandum to advise Owed Limited to assist it in recovering </w:t>
      </w:r>
      <w:r w:rsidR="00DB29B2" w:rsidRPr="00DB29B2">
        <w:rPr>
          <w:rFonts w:ascii="Avenir Next" w:hAnsi="Avenir Next" w:cs="Arial"/>
          <w:sz w:val="22"/>
          <w:szCs w:val="22"/>
          <w:lang w:val="en-GB"/>
        </w:rPr>
        <w:t>the</w:t>
      </w:r>
      <w:r w:rsidRPr="00DB29B2">
        <w:rPr>
          <w:rFonts w:ascii="Avenir Next" w:hAnsi="Avenir Next" w:cs="Arial"/>
          <w:sz w:val="22"/>
          <w:szCs w:val="22"/>
          <w:lang w:val="en-GB"/>
        </w:rPr>
        <w:t xml:space="preserve"> judgement debt by detailing: </w:t>
      </w:r>
    </w:p>
    <w:p w14:paraId="175B8B00" w14:textId="77777777" w:rsidR="00930C3A" w:rsidRPr="0048440A" w:rsidRDefault="00930C3A" w:rsidP="00930C3A">
      <w:pPr>
        <w:jc w:val="both"/>
        <w:rPr>
          <w:rFonts w:ascii="Avenir Next" w:hAnsi="Avenir Next" w:cs="Arial"/>
          <w:color w:val="FF0000"/>
          <w:sz w:val="22"/>
          <w:szCs w:val="22"/>
          <w:lang w:val="en-GB"/>
        </w:rPr>
      </w:pPr>
    </w:p>
    <w:p w14:paraId="2DF0449C" w14:textId="308331F0" w:rsidR="00930C3A" w:rsidRDefault="00DB29B2">
      <w:pPr>
        <w:pStyle w:val="ListParagraph"/>
        <w:numPr>
          <w:ilvl w:val="0"/>
          <w:numId w:val="12"/>
        </w:numPr>
        <w:ind w:left="426"/>
        <w:jc w:val="both"/>
        <w:rPr>
          <w:rFonts w:ascii="Avenir Next" w:hAnsi="Avenir Next" w:cs="Arial"/>
          <w:sz w:val="22"/>
          <w:szCs w:val="22"/>
          <w:lang w:val="en-GB"/>
        </w:rPr>
      </w:pPr>
      <w:r>
        <w:rPr>
          <w:rFonts w:ascii="Avenir Next" w:hAnsi="Avenir Next" w:cs="Arial"/>
          <w:sz w:val="22"/>
          <w:szCs w:val="22"/>
          <w:lang w:val="en-GB"/>
        </w:rPr>
        <w:t>t</w:t>
      </w:r>
      <w:r w:rsidR="00930C3A" w:rsidRPr="00930C3A">
        <w:rPr>
          <w:rFonts w:ascii="Avenir Next" w:hAnsi="Avenir Next" w:cs="Arial"/>
          <w:sz w:val="22"/>
          <w:szCs w:val="22"/>
          <w:lang w:val="en-GB"/>
        </w:rPr>
        <w:t xml:space="preserve">he number of obstacles Owed Limited </w:t>
      </w:r>
      <w:proofErr w:type="gramStart"/>
      <w:r w:rsidR="00930C3A" w:rsidRPr="00930C3A">
        <w:rPr>
          <w:rFonts w:ascii="Avenir Next" w:hAnsi="Avenir Next" w:cs="Arial"/>
          <w:sz w:val="22"/>
          <w:szCs w:val="22"/>
          <w:lang w:val="en-GB"/>
        </w:rPr>
        <w:t>has to</w:t>
      </w:r>
      <w:proofErr w:type="gramEnd"/>
      <w:r w:rsidR="00930C3A" w:rsidRPr="00930C3A">
        <w:rPr>
          <w:rFonts w:ascii="Avenir Next" w:hAnsi="Avenir Next" w:cs="Arial"/>
          <w:sz w:val="22"/>
          <w:szCs w:val="22"/>
          <w:lang w:val="en-GB"/>
        </w:rPr>
        <w:t xml:space="preserve"> overcome first before any recovery is possible; and</w:t>
      </w:r>
    </w:p>
    <w:p w14:paraId="3849AEE5" w14:textId="77777777" w:rsidR="00DB29B2" w:rsidRPr="00930C3A" w:rsidRDefault="00DB29B2" w:rsidP="00DB29B2">
      <w:pPr>
        <w:pStyle w:val="ListParagraph"/>
        <w:ind w:left="426"/>
        <w:jc w:val="both"/>
        <w:rPr>
          <w:rFonts w:ascii="Avenir Next" w:hAnsi="Avenir Next" w:cs="Arial"/>
          <w:sz w:val="22"/>
          <w:szCs w:val="22"/>
          <w:lang w:val="en-GB"/>
        </w:rPr>
      </w:pPr>
    </w:p>
    <w:p w14:paraId="7584E4B1" w14:textId="61A666D2" w:rsidR="00930C3A" w:rsidRPr="00930C3A" w:rsidRDefault="00DB29B2">
      <w:pPr>
        <w:pStyle w:val="ListParagraph"/>
        <w:numPr>
          <w:ilvl w:val="0"/>
          <w:numId w:val="12"/>
        </w:numPr>
        <w:ind w:left="426"/>
        <w:jc w:val="both"/>
        <w:rPr>
          <w:rFonts w:ascii="Avenir Next" w:hAnsi="Avenir Next" w:cs="Arial"/>
          <w:sz w:val="22"/>
          <w:szCs w:val="22"/>
          <w:lang w:val="en-GB"/>
        </w:rPr>
      </w:pPr>
      <w:r>
        <w:rPr>
          <w:rFonts w:ascii="Avenir Next" w:hAnsi="Avenir Next" w:cs="Arial"/>
          <w:sz w:val="22"/>
          <w:szCs w:val="22"/>
          <w:lang w:val="en-GB"/>
        </w:rPr>
        <w:t>i</w:t>
      </w:r>
      <w:r w:rsidR="00930C3A" w:rsidRPr="00930C3A">
        <w:rPr>
          <w:rFonts w:ascii="Avenir Next" w:hAnsi="Avenir Next" w:cs="Arial"/>
          <w:sz w:val="22"/>
          <w:szCs w:val="22"/>
          <w:lang w:val="en-GB"/>
        </w:rPr>
        <w:t>ts options to recover the judgment debt owed by Indebted Limited.</w:t>
      </w:r>
    </w:p>
    <w:p w14:paraId="78A2F49B" w14:textId="77777777" w:rsidR="00F5578F" w:rsidRPr="002B3315" w:rsidRDefault="00F5578F" w:rsidP="008065CE">
      <w:pPr>
        <w:jc w:val="both"/>
        <w:rPr>
          <w:rFonts w:ascii="Arial" w:hAnsi="Arial" w:cs="Arial"/>
          <w:sz w:val="22"/>
          <w:szCs w:val="22"/>
          <w:lang w:val="en-GB"/>
        </w:rPr>
      </w:pPr>
    </w:p>
    <w:p w14:paraId="740A66C9" w14:textId="59938E9D" w:rsidR="002E619A" w:rsidRPr="002B3315" w:rsidRDefault="002E619A" w:rsidP="002E619A">
      <w:pPr>
        <w:autoSpaceDE w:val="0"/>
        <w:autoSpaceDN w:val="0"/>
        <w:adjustRightInd w:val="0"/>
        <w:jc w:val="center"/>
        <w:rPr>
          <w:rFonts w:ascii="Arial" w:hAnsi="Arial" w:cs="Arial"/>
          <w:b/>
          <w:bCs/>
          <w:color w:val="7B7B7B" w:themeColor="accent3" w:themeShade="BF"/>
          <w:sz w:val="22"/>
          <w:szCs w:val="22"/>
          <w:u w:val="single"/>
          <w:lang w:val="en-GB"/>
        </w:rPr>
      </w:pPr>
      <w:r w:rsidRPr="002B3315">
        <w:rPr>
          <w:rFonts w:ascii="Arial" w:hAnsi="Arial" w:cs="Arial"/>
          <w:b/>
          <w:bCs/>
          <w:color w:val="7B7B7B" w:themeColor="accent3" w:themeShade="BF"/>
          <w:sz w:val="22"/>
          <w:szCs w:val="22"/>
          <w:u w:val="single"/>
          <w:lang w:val="en-GB"/>
        </w:rPr>
        <w:t>Memorandum</w:t>
      </w:r>
    </w:p>
    <w:p w14:paraId="1507F908" w14:textId="77777777" w:rsidR="002E619A" w:rsidRPr="002B3315" w:rsidRDefault="002E619A" w:rsidP="008065CE">
      <w:pPr>
        <w:autoSpaceDE w:val="0"/>
        <w:autoSpaceDN w:val="0"/>
        <w:adjustRightInd w:val="0"/>
        <w:jc w:val="both"/>
        <w:rPr>
          <w:rFonts w:ascii="Arial" w:hAnsi="Arial" w:cs="Arial"/>
          <w:b/>
          <w:bCs/>
          <w:color w:val="7B7B7B" w:themeColor="accent3" w:themeShade="BF"/>
          <w:sz w:val="22"/>
          <w:szCs w:val="22"/>
          <w:u w:val="single"/>
          <w:lang w:val="en-GB"/>
        </w:rPr>
      </w:pPr>
    </w:p>
    <w:p w14:paraId="0103B414" w14:textId="0CD2FB86" w:rsidR="002009DA" w:rsidRPr="002B3315" w:rsidRDefault="002009DA" w:rsidP="008065CE">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b/>
          <w:bCs/>
          <w:color w:val="7B7B7B" w:themeColor="accent3" w:themeShade="BF"/>
          <w:sz w:val="22"/>
          <w:szCs w:val="22"/>
          <w:u w:val="single"/>
          <w:lang w:val="en-GB"/>
        </w:rPr>
        <w:t>To:</w:t>
      </w:r>
      <w:r w:rsidRPr="002B3315">
        <w:rPr>
          <w:rFonts w:ascii="Arial" w:hAnsi="Arial" w:cs="Arial"/>
          <w:color w:val="7B7B7B" w:themeColor="accent3" w:themeShade="BF"/>
          <w:sz w:val="22"/>
          <w:szCs w:val="22"/>
          <w:lang w:val="en-GB"/>
        </w:rPr>
        <w:t xml:space="preserve"> Owed Limited</w:t>
      </w:r>
    </w:p>
    <w:p w14:paraId="265D6F6E" w14:textId="108C3B2C" w:rsidR="002009DA" w:rsidRPr="002B3315" w:rsidRDefault="002009DA" w:rsidP="008065CE">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b/>
          <w:bCs/>
          <w:color w:val="7B7B7B" w:themeColor="accent3" w:themeShade="BF"/>
          <w:sz w:val="22"/>
          <w:szCs w:val="22"/>
          <w:u w:val="single"/>
          <w:lang w:val="en-GB"/>
        </w:rPr>
        <w:t>From:</w:t>
      </w:r>
      <w:r w:rsidRPr="002B3315">
        <w:rPr>
          <w:rFonts w:ascii="Arial" w:hAnsi="Arial" w:cs="Arial"/>
          <w:color w:val="7B7B7B" w:themeColor="accent3" w:themeShade="BF"/>
          <w:sz w:val="22"/>
          <w:szCs w:val="22"/>
          <w:lang w:val="en-GB"/>
        </w:rPr>
        <w:t xml:space="preserve"> 202324-1433</w:t>
      </w:r>
    </w:p>
    <w:p w14:paraId="5A284450" w14:textId="755CE94C" w:rsidR="002009DA" w:rsidRPr="002B3315" w:rsidRDefault="002009DA" w:rsidP="008065CE">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b/>
          <w:bCs/>
          <w:color w:val="7B7B7B" w:themeColor="accent3" w:themeShade="BF"/>
          <w:sz w:val="22"/>
          <w:szCs w:val="22"/>
          <w:u w:val="single"/>
          <w:lang w:val="en-GB"/>
        </w:rPr>
        <w:t>Date:</w:t>
      </w:r>
      <w:r w:rsidRPr="002B3315">
        <w:rPr>
          <w:rFonts w:ascii="Arial" w:hAnsi="Arial" w:cs="Arial"/>
          <w:color w:val="7B7B7B" w:themeColor="accent3" w:themeShade="BF"/>
          <w:sz w:val="22"/>
          <w:szCs w:val="22"/>
          <w:lang w:val="en-GB"/>
        </w:rPr>
        <w:t xml:space="preserve"> </w:t>
      </w:r>
      <w:r w:rsidR="004D68C4" w:rsidRPr="002B3315">
        <w:rPr>
          <w:rFonts w:ascii="Arial" w:hAnsi="Arial" w:cs="Arial"/>
          <w:color w:val="7B7B7B" w:themeColor="accent3" w:themeShade="BF"/>
          <w:sz w:val="22"/>
          <w:szCs w:val="22"/>
          <w:lang w:val="en-GB"/>
        </w:rPr>
        <w:t>2</w:t>
      </w:r>
      <w:r w:rsidR="008B4700" w:rsidRPr="002B3315">
        <w:rPr>
          <w:rFonts w:ascii="Arial" w:hAnsi="Arial" w:cs="Arial"/>
          <w:color w:val="7B7B7B" w:themeColor="accent3" w:themeShade="BF"/>
          <w:sz w:val="22"/>
          <w:szCs w:val="22"/>
          <w:lang w:val="en-GB"/>
        </w:rPr>
        <w:t>1</w:t>
      </w:r>
      <w:r w:rsidRPr="002B3315">
        <w:rPr>
          <w:rFonts w:ascii="Arial" w:hAnsi="Arial" w:cs="Arial"/>
          <w:color w:val="7B7B7B" w:themeColor="accent3" w:themeShade="BF"/>
          <w:sz w:val="22"/>
          <w:szCs w:val="22"/>
          <w:lang w:val="en-GB"/>
        </w:rPr>
        <w:t xml:space="preserve"> June 2024</w:t>
      </w:r>
    </w:p>
    <w:p w14:paraId="716C20F7" w14:textId="1CABDFF0" w:rsidR="002009DA" w:rsidRPr="002B3315" w:rsidRDefault="002009DA" w:rsidP="008065CE">
      <w:pPr>
        <w:autoSpaceDE w:val="0"/>
        <w:autoSpaceDN w:val="0"/>
        <w:adjustRightInd w:val="0"/>
        <w:jc w:val="both"/>
        <w:rPr>
          <w:rFonts w:ascii="Arial" w:hAnsi="Arial" w:cs="Arial"/>
          <w:color w:val="7B7B7B" w:themeColor="accent3" w:themeShade="BF"/>
          <w:sz w:val="22"/>
          <w:szCs w:val="22"/>
          <w:lang w:val="en-GB"/>
        </w:rPr>
      </w:pPr>
      <w:r w:rsidRPr="002B3315">
        <w:rPr>
          <w:rFonts w:ascii="Arial" w:hAnsi="Arial" w:cs="Arial"/>
          <w:b/>
          <w:bCs/>
          <w:color w:val="7B7B7B" w:themeColor="accent3" w:themeShade="BF"/>
          <w:sz w:val="22"/>
          <w:szCs w:val="22"/>
          <w:u w:val="single"/>
          <w:lang w:val="en-GB"/>
        </w:rPr>
        <w:t>Subject line:</w:t>
      </w:r>
      <w:r w:rsidRPr="002B3315">
        <w:rPr>
          <w:rFonts w:ascii="Arial" w:hAnsi="Arial" w:cs="Arial"/>
          <w:color w:val="7B7B7B" w:themeColor="accent3" w:themeShade="BF"/>
          <w:sz w:val="22"/>
          <w:szCs w:val="22"/>
          <w:lang w:val="en-GB"/>
        </w:rPr>
        <w:t xml:space="preserve"> Recovery of judgment debt</w:t>
      </w:r>
    </w:p>
    <w:p w14:paraId="7FFDBDE3" w14:textId="77777777" w:rsidR="002009DA" w:rsidRPr="002B3315" w:rsidRDefault="002009DA" w:rsidP="008065CE">
      <w:pPr>
        <w:autoSpaceDE w:val="0"/>
        <w:autoSpaceDN w:val="0"/>
        <w:adjustRightInd w:val="0"/>
        <w:jc w:val="both"/>
        <w:rPr>
          <w:rFonts w:ascii="Arial" w:hAnsi="Arial" w:cs="Arial"/>
          <w:color w:val="7B7B7B" w:themeColor="accent3" w:themeShade="BF"/>
          <w:sz w:val="22"/>
          <w:szCs w:val="22"/>
          <w:lang w:val="en-GB"/>
        </w:rPr>
      </w:pPr>
    </w:p>
    <w:bookmarkEnd w:id="4"/>
    <w:p w14:paraId="384B9928" w14:textId="3833117E" w:rsidR="000725C3" w:rsidRPr="002B3315" w:rsidRDefault="002E619A" w:rsidP="008065CE">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This memorandum is intended to assist Owed Limited (“</w:t>
      </w:r>
      <w:r w:rsidRPr="002B3315">
        <w:rPr>
          <w:rFonts w:ascii="Arial" w:hAnsi="Arial" w:cs="Arial"/>
          <w:b/>
          <w:bCs/>
          <w:color w:val="7B7B7B" w:themeColor="accent3" w:themeShade="BF"/>
          <w:sz w:val="22"/>
          <w:szCs w:val="22"/>
          <w:lang w:val="en-GB"/>
        </w:rPr>
        <w:t>Owed</w:t>
      </w:r>
      <w:r w:rsidRPr="002B3315">
        <w:rPr>
          <w:rFonts w:ascii="Arial" w:hAnsi="Arial" w:cs="Arial"/>
          <w:color w:val="7B7B7B" w:themeColor="accent3" w:themeShade="BF"/>
          <w:sz w:val="22"/>
          <w:szCs w:val="22"/>
          <w:lang w:val="en-GB"/>
        </w:rPr>
        <w:t>”) in recovering the judgment debt against Indebted Limited (“</w:t>
      </w:r>
      <w:r w:rsidRPr="002B3315">
        <w:rPr>
          <w:rFonts w:ascii="Arial" w:hAnsi="Arial" w:cs="Arial"/>
          <w:b/>
          <w:bCs/>
          <w:color w:val="7B7B7B" w:themeColor="accent3" w:themeShade="BF"/>
          <w:sz w:val="22"/>
          <w:szCs w:val="22"/>
          <w:lang w:val="en-GB"/>
        </w:rPr>
        <w:t>Indebted</w:t>
      </w:r>
      <w:r w:rsidRPr="002B3315">
        <w:rPr>
          <w:rFonts w:ascii="Arial" w:hAnsi="Arial" w:cs="Arial"/>
          <w:color w:val="7B7B7B" w:themeColor="accent3" w:themeShade="BF"/>
          <w:sz w:val="22"/>
          <w:szCs w:val="22"/>
          <w:lang w:val="en-GB"/>
        </w:rPr>
        <w:t>”)</w:t>
      </w:r>
      <w:r w:rsidR="0086136B" w:rsidRPr="002B3315">
        <w:rPr>
          <w:rFonts w:ascii="Arial" w:hAnsi="Arial" w:cs="Arial"/>
          <w:color w:val="7B7B7B" w:themeColor="accent3" w:themeShade="BF"/>
          <w:sz w:val="22"/>
          <w:szCs w:val="22"/>
          <w:lang w:val="en-GB"/>
        </w:rPr>
        <w:t>. In 2023,</w:t>
      </w:r>
      <w:r w:rsidRPr="002B3315">
        <w:rPr>
          <w:rFonts w:ascii="Arial" w:hAnsi="Arial" w:cs="Arial"/>
          <w:color w:val="7B7B7B" w:themeColor="accent3" w:themeShade="BF"/>
          <w:sz w:val="22"/>
          <w:szCs w:val="22"/>
          <w:lang w:val="en-GB"/>
        </w:rPr>
        <w:t xml:space="preserve"> Owed </w:t>
      </w:r>
      <w:r w:rsidR="0086136B" w:rsidRPr="002B3315">
        <w:rPr>
          <w:rFonts w:ascii="Arial" w:hAnsi="Arial" w:cs="Arial"/>
          <w:color w:val="7B7B7B" w:themeColor="accent3" w:themeShade="BF"/>
          <w:sz w:val="22"/>
          <w:szCs w:val="22"/>
          <w:lang w:val="en-GB"/>
        </w:rPr>
        <w:t>was awarded judgment for an unsecured debt</w:t>
      </w:r>
      <w:r w:rsidR="00B71F76" w:rsidRPr="002B3315">
        <w:rPr>
          <w:rFonts w:ascii="Arial" w:hAnsi="Arial" w:cs="Arial"/>
          <w:color w:val="7B7B7B" w:themeColor="accent3" w:themeShade="BF"/>
          <w:sz w:val="22"/>
          <w:szCs w:val="22"/>
          <w:lang w:val="en-GB"/>
        </w:rPr>
        <w:t xml:space="preserve"> </w:t>
      </w:r>
      <w:r w:rsidR="0086136B" w:rsidRPr="002B3315">
        <w:rPr>
          <w:rFonts w:ascii="Arial" w:hAnsi="Arial" w:cs="Arial"/>
          <w:color w:val="7B7B7B" w:themeColor="accent3" w:themeShade="BF"/>
          <w:sz w:val="22"/>
          <w:szCs w:val="22"/>
          <w:lang w:val="en-GB"/>
        </w:rPr>
        <w:t xml:space="preserve">in the English High Court </w:t>
      </w:r>
      <w:r w:rsidR="00B71F76" w:rsidRPr="002B3315">
        <w:rPr>
          <w:rFonts w:ascii="Arial" w:hAnsi="Arial" w:cs="Arial"/>
          <w:color w:val="7B7B7B" w:themeColor="accent3" w:themeShade="BF"/>
          <w:sz w:val="22"/>
          <w:szCs w:val="22"/>
          <w:lang w:val="en-GB"/>
        </w:rPr>
        <w:t xml:space="preserve">against Indebted </w:t>
      </w:r>
      <w:r w:rsidR="0086136B" w:rsidRPr="002B3315">
        <w:rPr>
          <w:rFonts w:ascii="Arial" w:hAnsi="Arial" w:cs="Arial"/>
          <w:color w:val="7B7B7B" w:themeColor="accent3" w:themeShade="BF"/>
          <w:sz w:val="22"/>
          <w:szCs w:val="22"/>
          <w:lang w:val="en-GB"/>
        </w:rPr>
        <w:t xml:space="preserve">of </w:t>
      </w:r>
      <w:r w:rsidRPr="002B3315">
        <w:rPr>
          <w:rFonts w:ascii="Arial" w:hAnsi="Arial" w:cs="Arial"/>
          <w:color w:val="7B7B7B" w:themeColor="accent3" w:themeShade="BF"/>
          <w:sz w:val="22"/>
          <w:szCs w:val="22"/>
          <w:lang w:val="en-GB"/>
        </w:rPr>
        <w:t>GBP 10 million</w:t>
      </w:r>
      <w:r w:rsidR="00920346" w:rsidRPr="002B3315">
        <w:rPr>
          <w:rFonts w:ascii="Arial" w:hAnsi="Arial" w:cs="Arial"/>
          <w:color w:val="7B7B7B" w:themeColor="accent3" w:themeShade="BF"/>
          <w:sz w:val="22"/>
          <w:szCs w:val="22"/>
          <w:lang w:val="en-GB"/>
        </w:rPr>
        <w:t xml:space="preserve"> (“</w:t>
      </w:r>
      <w:r w:rsidR="00920346" w:rsidRPr="002B3315">
        <w:rPr>
          <w:rFonts w:ascii="Arial" w:hAnsi="Arial" w:cs="Arial"/>
          <w:b/>
          <w:bCs/>
          <w:color w:val="7B7B7B" w:themeColor="accent3" w:themeShade="BF"/>
          <w:sz w:val="22"/>
          <w:szCs w:val="22"/>
          <w:lang w:val="en-GB"/>
        </w:rPr>
        <w:t>English Judgment</w:t>
      </w:r>
      <w:r w:rsidR="00920346" w:rsidRPr="002B3315">
        <w:rPr>
          <w:rFonts w:ascii="Arial" w:hAnsi="Arial" w:cs="Arial"/>
          <w:color w:val="7B7B7B" w:themeColor="accent3" w:themeShade="BF"/>
          <w:sz w:val="22"/>
          <w:szCs w:val="22"/>
          <w:lang w:val="en-GB"/>
        </w:rPr>
        <w:t>”)</w:t>
      </w:r>
      <w:r w:rsidRPr="002B3315">
        <w:rPr>
          <w:rFonts w:ascii="Arial" w:hAnsi="Arial" w:cs="Arial"/>
          <w:color w:val="7B7B7B" w:themeColor="accent3" w:themeShade="BF"/>
          <w:sz w:val="22"/>
          <w:szCs w:val="22"/>
          <w:lang w:val="en-GB"/>
        </w:rPr>
        <w:t>.</w:t>
      </w:r>
      <w:r w:rsidR="00782383" w:rsidRPr="002B3315">
        <w:rPr>
          <w:rFonts w:ascii="Arial" w:hAnsi="Arial" w:cs="Arial"/>
          <w:color w:val="7B7B7B" w:themeColor="accent3" w:themeShade="BF"/>
          <w:sz w:val="22"/>
          <w:szCs w:val="22"/>
          <w:lang w:val="en-GB"/>
        </w:rPr>
        <w:t xml:space="preserve"> This memorandum will address the following points:</w:t>
      </w:r>
    </w:p>
    <w:p w14:paraId="6D93F706" w14:textId="52550109" w:rsidR="00782383" w:rsidRPr="002B3315" w:rsidRDefault="00782383" w:rsidP="00FB7871">
      <w:pPr>
        <w:pStyle w:val="ListParagraph"/>
        <w:numPr>
          <w:ilvl w:val="0"/>
          <w:numId w:val="23"/>
        </w:num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the obstacles Owed </w:t>
      </w:r>
      <w:proofErr w:type="gramStart"/>
      <w:r w:rsidRPr="002B3315">
        <w:rPr>
          <w:rFonts w:ascii="Arial" w:hAnsi="Arial" w:cs="Arial"/>
          <w:color w:val="7B7B7B" w:themeColor="accent3" w:themeShade="BF"/>
          <w:sz w:val="22"/>
          <w:szCs w:val="22"/>
          <w:lang w:val="en-GB"/>
        </w:rPr>
        <w:t>has to</w:t>
      </w:r>
      <w:proofErr w:type="gramEnd"/>
      <w:r w:rsidRPr="002B3315">
        <w:rPr>
          <w:rFonts w:ascii="Arial" w:hAnsi="Arial" w:cs="Arial"/>
          <w:color w:val="7B7B7B" w:themeColor="accent3" w:themeShade="BF"/>
          <w:sz w:val="22"/>
          <w:szCs w:val="22"/>
          <w:lang w:val="en-GB"/>
        </w:rPr>
        <w:t xml:space="preserve"> overcome first before any recovery is possible; and</w:t>
      </w:r>
    </w:p>
    <w:p w14:paraId="4302EC33" w14:textId="71B13DF9" w:rsidR="002E619A" w:rsidRPr="002B3315" w:rsidRDefault="00782383">
      <w:pPr>
        <w:pStyle w:val="ListParagraph"/>
        <w:numPr>
          <w:ilvl w:val="0"/>
          <w:numId w:val="23"/>
        </w:numPr>
        <w:jc w:val="both"/>
        <w:rPr>
          <w:rFonts w:ascii="Arial" w:hAnsi="Arial" w:cs="Arial"/>
          <w:color w:val="7B7B7B" w:themeColor="accent3" w:themeShade="BF"/>
          <w:sz w:val="22"/>
          <w:szCs w:val="22"/>
          <w:lang w:val="en-GB"/>
        </w:rPr>
      </w:pPr>
      <w:proofErr w:type="spellStart"/>
      <w:r w:rsidRPr="002B3315">
        <w:rPr>
          <w:rFonts w:ascii="Arial" w:hAnsi="Arial" w:cs="Arial"/>
          <w:color w:val="7B7B7B" w:themeColor="accent3" w:themeShade="BF"/>
          <w:sz w:val="22"/>
          <w:szCs w:val="22"/>
          <w:lang w:val="en-GB"/>
        </w:rPr>
        <w:t>Owed’s</w:t>
      </w:r>
      <w:proofErr w:type="spellEnd"/>
      <w:r w:rsidRPr="002B3315">
        <w:rPr>
          <w:rFonts w:ascii="Arial" w:hAnsi="Arial" w:cs="Arial"/>
          <w:color w:val="7B7B7B" w:themeColor="accent3" w:themeShade="BF"/>
          <w:sz w:val="22"/>
          <w:szCs w:val="22"/>
          <w:lang w:val="en-GB"/>
        </w:rPr>
        <w:t xml:space="preserve"> options to recover the judgment debt owed by Indebted.</w:t>
      </w:r>
    </w:p>
    <w:p w14:paraId="68215312" w14:textId="77777777" w:rsidR="00782383" w:rsidRPr="002B3315" w:rsidRDefault="00782383" w:rsidP="008065CE">
      <w:pPr>
        <w:jc w:val="both"/>
        <w:rPr>
          <w:rFonts w:ascii="Arial" w:hAnsi="Arial" w:cs="Arial"/>
          <w:color w:val="7B7B7B" w:themeColor="accent3" w:themeShade="BF"/>
          <w:sz w:val="22"/>
          <w:szCs w:val="22"/>
          <w:lang w:val="en-GB"/>
        </w:rPr>
      </w:pPr>
    </w:p>
    <w:p w14:paraId="22B804CF" w14:textId="11402AAE" w:rsidR="002009DA" w:rsidRPr="002B3315" w:rsidRDefault="00300B1D" w:rsidP="008065CE">
      <w:pPr>
        <w:jc w:val="both"/>
        <w:rPr>
          <w:rFonts w:ascii="Arial" w:hAnsi="Arial" w:cs="Arial"/>
          <w:b/>
          <w:bCs/>
          <w:color w:val="7B7B7B" w:themeColor="accent3" w:themeShade="BF"/>
          <w:sz w:val="22"/>
          <w:szCs w:val="22"/>
          <w:u w:val="single"/>
          <w:lang w:val="en-GB"/>
        </w:rPr>
      </w:pPr>
      <w:r w:rsidRPr="002B3315">
        <w:rPr>
          <w:rFonts w:ascii="Arial" w:hAnsi="Arial" w:cs="Arial"/>
          <w:b/>
          <w:bCs/>
          <w:color w:val="7B7B7B" w:themeColor="accent3" w:themeShade="BF"/>
          <w:sz w:val="22"/>
          <w:szCs w:val="22"/>
          <w:u w:val="single"/>
          <w:lang w:val="en-GB"/>
        </w:rPr>
        <w:t xml:space="preserve">Obstacle 1 - </w:t>
      </w:r>
      <w:r w:rsidR="002009DA" w:rsidRPr="002B3315">
        <w:rPr>
          <w:rFonts w:ascii="Arial" w:hAnsi="Arial" w:cs="Arial"/>
          <w:b/>
          <w:bCs/>
          <w:color w:val="7B7B7B" w:themeColor="accent3" w:themeShade="BF"/>
          <w:sz w:val="22"/>
          <w:szCs w:val="22"/>
          <w:u w:val="single"/>
          <w:lang w:val="en-GB"/>
        </w:rPr>
        <w:t xml:space="preserve">Registration of </w:t>
      </w:r>
      <w:r w:rsidR="00923A6D" w:rsidRPr="002B3315">
        <w:rPr>
          <w:rFonts w:ascii="Arial" w:hAnsi="Arial" w:cs="Arial"/>
          <w:b/>
          <w:bCs/>
          <w:color w:val="7B7B7B" w:themeColor="accent3" w:themeShade="BF"/>
          <w:sz w:val="22"/>
          <w:szCs w:val="22"/>
          <w:u w:val="single"/>
          <w:lang w:val="en-GB"/>
        </w:rPr>
        <w:t>English Judgment</w:t>
      </w:r>
    </w:p>
    <w:p w14:paraId="2CF013B7" w14:textId="3001D8E7" w:rsidR="00D10DD9" w:rsidRPr="002B3315" w:rsidRDefault="00C373F5" w:rsidP="00457BF4">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A</w:t>
      </w:r>
      <w:r w:rsidR="008E58B7" w:rsidRPr="002B3315">
        <w:rPr>
          <w:rFonts w:ascii="Arial" w:hAnsi="Arial" w:cs="Arial"/>
          <w:color w:val="7B7B7B" w:themeColor="accent3" w:themeShade="BF"/>
          <w:sz w:val="22"/>
          <w:szCs w:val="22"/>
          <w:lang w:val="en-GB"/>
        </w:rPr>
        <w:t>s a first step, the English Judgment</w:t>
      </w:r>
      <w:r w:rsidR="006D7B0C" w:rsidRPr="002B3315">
        <w:rPr>
          <w:rFonts w:ascii="Arial" w:hAnsi="Arial" w:cs="Arial"/>
          <w:color w:val="7B7B7B" w:themeColor="accent3" w:themeShade="BF"/>
          <w:sz w:val="22"/>
          <w:szCs w:val="22"/>
          <w:lang w:val="en-GB"/>
        </w:rPr>
        <w:t xml:space="preserve"> (as a foreign judgment)</w:t>
      </w:r>
      <w:r w:rsidR="008E58B7" w:rsidRPr="002B3315">
        <w:rPr>
          <w:rFonts w:ascii="Arial" w:hAnsi="Arial" w:cs="Arial"/>
          <w:color w:val="7B7B7B" w:themeColor="accent3" w:themeShade="BF"/>
          <w:sz w:val="22"/>
          <w:szCs w:val="22"/>
          <w:lang w:val="en-GB"/>
        </w:rPr>
        <w:t xml:space="preserve"> will need to </w:t>
      </w:r>
      <w:r w:rsidRPr="002B3315">
        <w:rPr>
          <w:rFonts w:ascii="Arial" w:hAnsi="Arial" w:cs="Arial"/>
          <w:color w:val="7B7B7B" w:themeColor="accent3" w:themeShade="BF"/>
          <w:sz w:val="22"/>
          <w:szCs w:val="22"/>
          <w:lang w:val="en-GB"/>
        </w:rPr>
        <w:t xml:space="preserve">be </w:t>
      </w:r>
      <w:r w:rsidR="008E58B7" w:rsidRPr="002B3315">
        <w:rPr>
          <w:rFonts w:ascii="Arial" w:hAnsi="Arial" w:cs="Arial"/>
          <w:color w:val="7B7B7B" w:themeColor="accent3" w:themeShade="BF"/>
          <w:sz w:val="22"/>
          <w:szCs w:val="22"/>
          <w:lang w:val="en-GB"/>
        </w:rPr>
        <w:t>recognised in the B</w:t>
      </w:r>
      <w:r w:rsidR="00920346" w:rsidRPr="002B3315">
        <w:rPr>
          <w:rFonts w:ascii="Arial" w:hAnsi="Arial" w:cs="Arial"/>
          <w:color w:val="7B7B7B" w:themeColor="accent3" w:themeShade="BF"/>
          <w:sz w:val="22"/>
          <w:szCs w:val="22"/>
          <w:lang w:val="en-GB"/>
        </w:rPr>
        <w:t>ritish Virgin Islands (“</w:t>
      </w:r>
      <w:r w:rsidR="00920346" w:rsidRPr="002B3315">
        <w:rPr>
          <w:rFonts w:ascii="Arial" w:hAnsi="Arial" w:cs="Arial"/>
          <w:b/>
          <w:bCs/>
          <w:color w:val="7B7B7B" w:themeColor="accent3" w:themeShade="BF"/>
          <w:sz w:val="22"/>
          <w:szCs w:val="22"/>
          <w:lang w:val="en-GB"/>
        </w:rPr>
        <w:t>BVI</w:t>
      </w:r>
      <w:r w:rsidR="00920346" w:rsidRPr="002B3315">
        <w:rPr>
          <w:rFonts w:ascii="Arial" w:hAnsi="Arial" w:cs="Arial"/>
          <w:color w:val="7B7B7B" w:themeColor="accent3" w:themeShade="BF"/>
          <w:sz w:val="22"/>
          <w:szCs w:val="22"/>
          <w:lang w:val="en-GB"/>
        </w:rPr>
        <w:t>”)</w:t>
      </w:r>
      <w:r w:rsidR="008E58B7" w:rsidRPr="002B3315">
        <w:rPr>
          <w:rFonts w:ascii="Arial" w:hAnsi="Arial" w:cs="Arial"/>
          <w:color w:val="7B7B7B" w:themeColor="accent3" w:themeShade="BF"/>
          <w:sz w:val="22"/>
          <w:szCs w:val="22"/>
          <w:lang w:val="en-GB"/>
        </w:rPr>
        <w:t>.</w:t>
      </w:r>
      <w:r w:rsidR="006D7B0C" w:rsidRPr="002B3315">
        <w:rPr>
          <w:rFonts w:ascii="Arial" w:hAnsi="Arial" w:cs="Arial"/>
          <w:color w:val="7B7B7B" w:themeColor="accent3" w:themeShade="BF"/>
          <w:sz w:val="22"/>
          <w:szCs w:val="22"/>
          <w:lang w:val="en-GB"/>
        </w:rPr>
        <w:t xml:space="preserve"> </w:t>
      </w:r>
      <w:r w:rsidR="00CC70C3" w:rsidRPr="002B3315">
        <w:rPr>
          <w:rFonts w:ascii="Arial" w:hAnsi="Arial" w:cs="Arial"/>
          <w:color w:val="7B7B7B" w:themeColor="accent3" w:themeShade="BF"/>
          <w:sz w:val="22"/>
          <w:szCs w:val="22"/>
          <w:lang w:val="en-GB"/>
        </w:rPr>
        <w:t>This</w:t>
      </w:r>
      <w:r w:rsidR="006D7B0C" w:rsidRPr="002B3315">
        <w:rPr>
          <w:rFonts w:ascii="Arial" w:hAnsi="Arial" w:cs="Arial"/>
          <w:color w:val="7B7B7B" w:themeColor="accent3" w:themeShade="BF"/>
          <w:sz w:val="22"/>
          <w:szCs w:val="22"/>
          <w:lang w:val="en-GB"/>
        </w:rPr>
        <w:t xml:space="preserve"> </w:t>
      </w:r>
      <w:r w:rsidR="007D38CB" w:rsidRPr="002B3315">
        <w:rPr>
          <w:rFonts w:ascii="Arial" w:hAnsi="Arial" w:cs="Arial"/>
          <w:color w:val="7B7B7B" w:themeColor="accent3" w:themeShade="BF"/>
          <w:sz w:val="22"/>
          <w:szCs w:val="22"/>
          <w:lang w:val="en-GB"/>
        </w:rPr>
        <w:t>“</w:t>
      </w:r>
      <w:r w:rsidR="007D38CB" w:rsidRPr="002B3315">
        <w:rPr>
          <w:rFonts w:ascii="Arial" w:hAnsi="Arial" w:cs="Arial"/>
          <w:i/>
          <w:iCs/>
          <w:color w:val="7B7B7B" w:themeColor="accent3" w:themeShade="BF"/>
          <w:sz w:val="22"/>
          <w:szCs w:val="22"/>
          <w:lang w:val="en-GB"/>
        </w:rPr>
        <w:t>effectively provides the judgment creditor with a BVI judgment on the same terms as the foreign judgment. The judgment can then be enforced in the same way as any other BVI judgment</w:t>
      </w:r>
      <w:r w:rsidR="007D38CB" w:rsidRPr="002B3315">
        <w:rPr>
          <w:rFonts w:ascii="Arial" w:hAnsi="Arial" w:cs="Arial"/>
          <w:color w:val="7B7B7B" w:themeColor="accent3" w:themeShade="BF"/>
          <w:sz w:val="22"/>
          <w:szCs w:val="22"/>
          <w:lang w:val="en-GB"/>
        </w:rPr>
        <w:t>.”</w:t>
      </w:r>
      <w:r w:rsidR="006D7B0C" w:rsidRPr="002B3315">
        <w:rPr>
          <w:rStyle w:val="FootnoteReference"/>
          <w:rFonts w:ascii="Arial" w:hAnsi="Arial" w:cs="Arial"/>
          <w:color w:val="7B7B7B" w:themeColor="accent3" w:themeShade="BF"/>
          <w:sz w:val="22"/>
          <w:szCs w:val="22"/>
          <w:lang w:val="en-GB"/>
        </w:rPr>
        <w:footnoteReference w:id="201"/>
      </w:r>
      <w:r w:rsidRPr="002B3315">
        <w:rPr>
          <w:rFonts w:ascii="Arial" w:hAnsi="Arial" w:cs="Arial"/>
          <w:color w:val="7B7B7B" w:themeColor="accent3" w:themeShade="BF"/>
          <w:sz w:val="22"/>
          <w:szCs w:val="22"/>
          <w:lang w:val="en-GB"/>
        </w:rPr>
        <w:t xml:space="preserve"> </w:t>
      </w:r>
      <w:r w:rsidR="008E58B7" w:rsidRPr="002B3315">
        <w:rPr>
          <w:rFonts w:ascii="Arial" w:hAnsi="Arial" w:cs="Arial"/>
          <w:color w:val="7B7B7B" w:themeColor="accent3" w:themeShade="BF"/>
          <w:sz w:val="22"/>
          <w:szCs w:val="22"/>
          <w:lang w:val="en-GB"/>
        </w:rPr>
        <w:t>The power to recognise foreign judgments in the BVI is based on the Reciprocal Enforcement of Judgments Act 1922 (“</w:t>
      </w:r>
      <w:r w:rsidRPr="002B3315">
        <w:rPr>
          <w:rFonts w:ascii="Arial" w:hAnsi="Arial" w:cs="Arial"/>
          <w:b/>
          <w:bCs/>
          <w:color w:val="7B7B7B" w:themeColor="accent3" w:themeShade="BF"/>
          <w:sz w:val="22"/>
          <w:szCs w:val="22"/>
          <w:lang w:val="en-GB"/>
        </w:rPr>
        <w:t>1922 Act</w:t>
      </w:r>
      <w:r w:rsidR="008E58B7" w:rsidRPr="002B3315">
        <w:rPr>
          <w:rFonts w:ascii="Arial" w:hAnsi="Arial" w:cs="Arial"/>
          <w:color w:val="7B7B7B" w:themeColor="accent3" w:themeShade="BF"/>
          <w:sz w:val="22"/>
          <w:szCs w:val="22"/>
          <w:lang w:val="en-GB"/>
        </w:rPr>
        <w:t>”) and the common law.</w:t>
      </w:r>
      <w:r w:rsidR="00D10DD9" w:rsidRPr="002B3315">
        <w:rPr>
          <w:rFonts w:ascii="Arial" w:hAnsi="Arial" w:cs="Arial"/>
          <w:color w:val="7B7B7B" w:themeColor="accent3" w:themeShade="BF"/>
          <w:sz w:val="22"/>
          <w:szCs w:val="22"/>
          <w:lang w:val="en-GB"/>
        </w:rPr>
        <w:t xml:space="preserve"> The </w:t>
      </w:r>
      <w:r w:rsidRPr="002B3315">
        <w:rPr>
          <w:rFonts w:ascii="Arial" w:hAnsi="Arial" w:cs="Arial"/>
          <w:color w:val="7B7B7B" w:themeColor="accent3" w:themeShade="BF"/>
          <w:sz w:val="22"/>
          <w:szCs w:val="22"/>
          <w:lang w:val="en-GB"/>
        </w:rPr>
        <w:t xml:space="preserve">1922 </w:t>
      </w:r>
      <w:r w:rsidR="00D10DD9" w:rsidRPr="002B3315">
        <w:rPr>
          <w:rFonts w:ascii="Arial" w:hAnsi="Arial" w:cs="Arial"/>
          <w:color w:val="7B7B7B" w:themeColor="accent3" w:themeShade="BF"/>
          <w:sz w:val="22"/>
          <w:szCs w:val="22"/>
          <w:lang w:val="en-GB"/>
        </w:rPr>
        <w:t xml:space="preserve">Act is the </w:t>
      </w:r>
      <w:proofErr w:type="gramStart"/>
      <w:r w:rsidR="00D10DD9" w:rsidRPr="002B3315">
        <w:rPr>
          <w:rFonts w:ascii="Arial" w:hAnsi="Arial" w:cs="Arial"/>
          <w:color w:val="7B7B7B" w:themeColor="accent3" w:themeShade="BF"/>
          <w:sz w:val="22"/>
          <w:szCs w:val="22"/>
          <w:lang w:val="en-GB"/>
        </w:rPr>
        <w:t>most commonly used</w:t>
      </w:r>
      <w:proofErr w:type="gramEnd"/>
      <w:r w:rsidR="00D10DD9" w:rsidRPr="002B3315">
        <w:rPr>
          <w:rFonts w:ascii="Arial" w:hAnsi="Arial" w:cs="Arial"/>
          <w:color w:val="7B7B7B" w:themeColor="accent3" w:themeShade="BF"/>
          <w:sz w:val="22"/>
          <w:szCs w:val="22"/>
          <w:lang w:val="en-GB"/>
        </w:rPr>
        <w:t xml:space="preserve"> procedure but only applies to certain jurisdictions</w:t>
      </w:r>
      <w:r w:rsidR="00D10DD9" w:rsidRPr="002B3315">
        <w:rPr>
          <w:rStyle w:val="FootnoteReference"/>
          <w:rFonts w:ascii="Arial" w:hAnsi="Arial" w:cs="Arial"/>
          <w:color w:val="7B7B7B" w:themeColor="accent3" w:themeShade="BF"/>
          <w:sz w:val="22"/>
          <w:szCs w:val="22"/>
          <w:lang w:val="en-GB"/>
        </w:rPr>
        <w:footnoteReference w:id="202"/>
      </w:r>
      <w:r w:rsidRPr="002B3315">
        <w:rPr>
          <w:rFonts w:ascii="Arial" w:hAnsi="Arial" w:cs="Arial"/>
          <w:color w:val="7B7B7B" w:themeColor="accent3" w:themeShade="BF"/>
          <w:sz w:val="22"/>
          <w:szCs w:val="22"/>
          <w:lang w:val="en-GB"/>
        </w:rPr>
        <w:t xml:space="preserve"> including judgments from the High Court of England and Wales.</w:t>
      </w:r>
    </w:p>
    <w:p w14:paraId="0E23334A" w14:textId="77777777" w:rsidR="00D10DD9" w:rsidRPr="002B3315" w:rsidRDefault="00D10DD9" w:rsidP="00457BF4">
      <w:pPr>
        <w:jc w:val="both"/>
        <w:rPr>
          <w:rFonts w:ascii="Arial" w:hAnsi="Arial" w:cs="Arial"/>
          <w:color w:val="7B7B7B" w:themeColor="accent3" w:themeShade="BF"/>
          <w:sz w:val="22"/>
          <w:szCs w:val="22"/>
          <w:highlight w:val="yellow"/>
          <w:lang w:val="en-GB"/>
        </w:rPr>
      </w:pPr>
    </w:p>
    <w:p w14:paraId="1D8D73E6" w14:textId="12EBC714" w:rsidR="006D7B0C" w:rsidRPr="002B3315" w:rsidRDefault="008931C1" w:rsidP="00457BF4">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lastRenderedPageBreak/>
        <w:t>I</w:t>
      </w:r>
      <w:r w:rsidR="008E58B7" w:rsidRPr="002B3315">
        <w:rPr>
          <w:rFonts w:ascii="Arial" w:hAnsi="Arial" w:cs="Arial"/>
          <w:color w:val="7B7B7B" w:themeColor="accent3" w:themeShade="BF"/>
          <w:sz w:val="22"/>
          <w:szCs w:val="22"/>
          <w:lang w:val="en-GB"/>
        </w:rPr>
        <w:t xml:space="preserve">t is helpful that Indebted has </w:t>
      </w:r>
      <w:r w:rsidR="00920346" w:rsidRPr="002B3315">
        <w:rPr>
          <w:rFonts w:ascii="Arial" w:hAnsi="Arial" w:cs="Arial"/>
          <w:color w:val="7B7B7B" w:themeColor="accent3" w:themeShade="BF"/>
          <w:sz w:val="22"/>
          <w:szCs w:val="22"/>
          <w:lang w:val="en-GB"/>
        </w:rPr>
        <w:t xml:space="preserve">an </w:t>
      </w:r>
      <w:r w:rsidR="008E58B7" w:rsidRPr="002B3315">
        <w:rPr>
          <w:rFonts w:ascii="Arial" w:hAnsi="Arial" w:cs="Arial"/>
          <w:color w:val="7B7B7B" w:themeColor="accent3" w:themeShade="BF"/>
          <w:sz w:val="22"/>
          <w:szCs w:val="22"/>
          <w:lang w:val="en-GB"/>
        </w:rPr>
        <w:t xml:space="preserve">asset in the BVI </w:t>
      </w:r>
      <w:r w:rsidR="00920346" w:rsidRPr="002B3315">
        <w:rPr>
          <w:rFonts w:ascii="Arial" w:hAnsi="Arial" w:cs="Arial"/>
          <w:color w:val="7B7B7B" w:themeColor="accent3" w:themeShade="BF"/>
          <w:sz w:val="22"/>
          <w:szCs w:val="22"/>
          <w:lang w:val="en-GB"/>
        </w:rPr>
        <w:t xml:space="preserve">(the 100% </w:t>
      </w:r>
      <w:proofErr w:type="spellStart"/>
      <w:r w:rsidR="00920346" w:rsidRPr="002B3315">
        <w:rPr>
          <w:rFonts w:ascii="Arial" w:hAnsi="Arial" w:cs="Arial"/>
          <w:color w:val="7B7B7B" w:themeColor="accent3" w:themeShade="BF"/>
          <w:sz w:val="22"/>
          <w:szCs w:val="22"/>
          <w:lang w:val="en-GB"/>
        </w:rPr>
        <w:t>owed</w:t>
      </w:r>
      <w:proofErr w:type="spellEnd"/>
      <w:r w:rsidR="00920346" w:rsidRPr="002B3315">
        <w:rPr>
          <w:rFonts w:ascii="Arial" w:hAnsi="Arial" w:cs="Arial"/>
          <w:color w:val="7B7B7B" w:themeColor="accent3" w:themeShade="BF"/>
          <w:sz w:val="22"/>
          <w:szCs w:val="22"/>
          <w:lang w:val="en-GB"/>
        </w:rPr>
        <w:t xml:space="preserve"> subsidiary, </w:t>
      </w:r>
      <w:proofErr w:type="spellStart"/>
      <w:r w:rsidR="00920346" w:rsidRPr="002B3315">
        <w:rPr>
          <w:rFonts w:ascii="Arial" w:hAnsi="Arial" w:cs="Arial"/>
          <w:color w:val="7B7B7B" w:themeColor="accent3" w:themeShade="BF"/>
          <w:sz w:val="22"/>
          <w:szCs w:val="22"/>
          <w:lang w:val="en-GB"/>
        </w:rPr>
        <w:t>Subco</w:t>
      </w:r>
      <w:proofErr w:type="spellEnd"/>
      <w:r w:rsidR="00920346" w:rsidRPr="002B3315">
        <w:rPr>
          <w:rFonts w:ascii="Arial" w:hAnsi="Arial" w:cs="Arial"/>
          <w:color w:val="7B7B7B" w:themeColor="accent3" w:themeShade="BF"/>
          <w:sz w:val="22"/>
          <w:szCs w:val="22"/>
          <w:lang w:val="en-GB"/>
        </w:rPr>
        <w:t xml:space="preserve"> Limited (“</w:t>
      </w:r>
      <w:proofErr w:type="spellStart"/>
      <w:r w:rsidR="00920346" w:rsidRPr="002B3315">
        <w:rPr>
          <w:rFonts w:ascii="Arial" w:hAnsi="Arial" w:cs="Arial"/>
          <w:b/>
          <w:bCs/>
          <w:color w:val="7B7B7B" w:themeColor="accent3" w:themeShade="BF"/>
          <w:sz w:val="22"/>
          <w:szCs w:val="22"/>
          <w:lang w:val="en-GB"/>
        </w:rPr>
        <w:t>Subco</w:t>
      </w:r>
      <w:proofErr w:type="spellEnd"/>
      <w:r w:rsidR="00920346" w:rsidRPr="002B3315">
        <w:rPr>
          <w:rFonts w:ascii="Arial" w:hAnsi="Arial" w:cs="Arial"/>
          <w:color w:val="7B7B7B" w:themeColor="accent3" w:themeShade="BF"/>
          <w:sz w:val="22"/>
          <w:szCs w:val="22"/>
          <w:lang w:val="en-GB"/>
        </w:rPr>
        <w:t xml:space="preserve">”)) </w:t>
      </w:r>
      <w:r w:rsidR="008E58B7" w:rsidRPr="002B3315">
        <w:rPr>
          <w:rFonts w:ascii="Arial" w:hAnsi="Arial" w:cs="Arial"/>
          <w:color w:val="7B7B7B" w:themeColor="accent3" w:themeShade="BF"/>
          <w:sz w:val="22"/>
          <w:szCs w:val="22"/>
          <w:lang w:val="en-GB"/>
        </w:rPr>
        <w:t>as the enforc</w:t>
      </w:r>
      <w:r w:rsidR="001D7EF0" w:rsidRPr="002B3315">
        <w:rPr>
          <w:rFonts w:ascii="Arial" w:hAnsi="Arial" w:cs="Arial"/>
          <w:color w:val="7B7B7B" w:themeColor="accent3" w:themeShade="BF"/>
          <w:sz w:val="22"/>
          <w:szCs w:val="22"/>
          <w:lang w:val="en-GB"/>
        </w:rPr>
        <w:t>ement</w:t>
      </w:r>
      <w:r w:rsidR="008E58B7" w:rsidRPr="002B3315">
        <w:rPr>
          <w:rFonts w:ascii="Arial" w:hAnsi="Arial" w:cs="Arial"/>
          <w:color w:val="7B7B7B" w:themeColor="accent3" w:themeShade="BF"/>
          <w:sz w:val="22"/>
          <w:szCs w:val="22"/>
          <w:lang w:val="en-GB"/>
        </w:rPr>
        <w:t xml:space="preserve"> </w:t>
      </w:r>
      <w:r w:rsidR="001D7EF0" w:rsidRPr="002B3315">
        <w:rPr>
          <w:rFonts w:ascii="Arial" w:hAnsi="Arial" w:cs="Arial"/>
          <w:color w:val="7B7B7B" w:themeColor="accent3" w:themeShade="BF"/>
          <w:sz w:val="22"/>
          <w:szCs w:val="22"/>
          <w:lang w:val="en-GB"/>
        </w:rPr>
        <w:t xml:space="preserve">of </w:t>
      </w:r>
      <w:r w:rsidR="008E58B7" w:rsidRPr="002B3315">
        <w:rPr>
          <w:rFonts w:ascii="Arial" w:hAnsi="Arial" w:cs="Arial"/>
          <w:color w:val="7B7B7B" w:themeColor="accent3" w:themeShade="BF"/>
          <w:sz w:val="22"/>
          <w:szCs w:val="22"/>
          <w:lang w:val="en-GB"/>
        </w:rPr>
        <w:t>a foreign judgment in the BVI is only effective</w:t>
      </w:r>
      <w:r w:rsidR="001D7EF0" w:rsidRPr="002B3315">
        <w:rPr>
          <w:rFonts w:ascii="Arial" w:hAnsi="Arial" w:cs="Arial"/>
          <w:color w:val="7B7B7B" w:themeColor="accent3" w:themeShade="BF"/>
          <w:sz w:val="22"/>
          <w:szCs w:val="22"/>
          <w:lang w:val="en-GB"/>
        </w:rPr>
        <w:t xml:space="preserve"> </w:t>
      </w:r>
      <w:r w:rsidR="008E58B7" w:rsidRPr="002B3315">
        <w:rPr>
          <w:rFonts w:ascii="Arial" w:hAnsi="Arial" w:cs="Arial"/>
          <w:color w:val="7B7B7B" w:themeColor="accent3" w:themeShade="BF"/>
          <w:sz w:val="22"/>
          <w:szCs w:val="22"/>
          <w:lang w:val="en-GB"/>
        </w:rPr>
        <w:t>if the judgment debtor has assets in the jurisdiction</w:t>
      </w:r>
      <w:r w:rsidRPr="002B3315">
        <w:rPr>
          <w:rFonts w:ascii="Arial" w:hAnsi="Arial" w:cs="Arial"/>
          <w:color w:val="7B7B7B" w:themeColor="accent3" w:themeShade="BF"/>
          <w:sz w:val="22"/>
          <w:szCs w:val="22"/>
          <w:lang w:val="en-GB"/>
        </w:rPr>
        <w:t xml:space="preserve"> (against which to enforce).</w:t>
      </w:r>
      <w:r w:rsidR="008E58B7" w:rsidRPr="002B3315">
        <w:rPr>
          <w:rStyle w:val="FootnoteReference"/>
          <w:rFonts w:ascii="Arial" w:hAnsi="Arial" w:cs="Arial"/>
          <w:color w:val="7B7B7B" w:themeColor="accent3" w:themeShade="BF"/>
          <w:sz w:val="22"/>
          <w:szCs w:val="22"/>
          <w:lang w:val="en-GB"/>
        </w:rPr>
        <w:footnoteReference w:id="203"/>
      </w:r>
      <w:r w:rsidR="008E58B7" w:rsidRPr="002B3315">
        <w:rPr>
          <w:rFonts w:ascii="Arial" w:hAnsi="Arial" w:cs="Arial"/>
          <w:color w:val="7B7B7B" w:themeColor="accent3" w:themeShade="BF"/>
          <w:sz w:val="22"/>
          <w:szCs w:val="22"/>
          <w:lang w:val="en-GB"/>
        </w:rPr>
        <w:t xml:space="preserve"> </w:t>
      </w:r>
      <w:r w:rsidR="00137827" w:rsidRPr="002B3315">
        <w:rPr>
          <w:rFonts w:ascii="Arial" w:hAnsi="Arial" w:cs="Arial"/>
          <w:color w:val="7B7B7B" w:themeColor="accent3" w:themeShade="BF"/>
          <w:sz w:val="22"/>
          <w:szCs w:val="22"/>
          <w:lang w:val="en-GB"/>
        </w:rPr>
        <w:t xml:space="preserve">Section 2 </w:t>
      </w:r>
      <w:r w:rsidR="00457BF4" w:rsidRPr="002B3315">
        <w:rPr>
          <w:rFonts w:ascii="Arial" w:hAnsi="Arial" w:cs="Arial"/>
          <w:color w:val="7B7B7B" w:themeColor="accent3" w:themeShade="BF"/>
          <w:sz w:val="22"/>
          <w:szCs w:val="22"/>
          <w:lang w:val="en-GB"/>
        </w:rPr>
        <w:t xml:space="preserve">of the 1922 Act </w:t>
      </w:r>
      <w:r w:rsidR="002F6BE2" w:rsidRPr="002B3315">
        <w:rPr>
          <w:rFonts w:ascii="Arial" w:hAnsi="Arial" w:cs="Arial"/>
          <w:color w:val="7B7B7B" w:themeColor="accent3" w:themeShade="BF"/>
          <w:sz w:val="22"/>
          <w:szCs w:val="22"/>
          <w:lang w:val="en-GB"/>
        </w:rPr>
        <w:t>defines</w:t>
      </w:r>
      <w:r w:rsidR="00137827" w:rsidRPr="002B3315">
        <w:rPr>
          <w:rFonts w:ascii="Arial" w:hAnsi="Arial" w:cs="Arial"/>
          <w:color w:val="7B7B7B" w:themeColor="accent3" w:themeShade="BF"/>
          <w:sz w:val="22"/>
          <w:szCs w:val="22"/>
          <w:lang w:val="en-GB"/>
        </w:rPr>
        <w:t xml:space="preserve"> a judgment as</w:t>
      </w:r>
      <w:r w:rsidRPr="002B3315">
        <w:rPr>
          <w:rFonts w:ascii="Arial" w:hAnsi="Arial" w:cs="Arial"/>
          <w:color w:val="7B7B7B" w:themeColor="accent3" w:themeShade="BF"/>
          <w:sz w:val="22"/>
          <w:szCs w:val="22"/>
          <w:lang w:val="en-GB"/>
        </w:rPr>
        <w:t xml:space="preserve"> one</w:t>
      </w:r>
      <w:r w:rsidR="00137827" w:rsidRPr="002B3315">
        <w:rPr>
          <w:rFonts w:ascii="Arial" w:hAnsi="Arial" w:cs="Arial"/>
          <w:color w:val="7B7B7B" w:themeColor="accent3" w:themeShade="BF"/>
          <w:sz w:val="22"/>
          <w:szCs w:val="22"/>
          <w:lang w:val="en-GB"/>
        </w:rPr>
        <w:t xml:space="preserve"> “</w:t>
      </w:r>
      <w:r w:rsidR="00137827" w:rsidRPr="002B3315">
        <w:rPr>
          <w:rFonts w:ascii="Arial" w:hAnsi="Arial" w:cs="Arial"/>
          <w:i/>
          <w:iCs/>
          <w:color w:val="7B7B7B" w:themeColor="accent3" w:themeShade="BF"/>
          <w:sz w:val="22"/>
          <w:szCs w:val="22"/>
          <w:lang w:val="en-GB"/>
        </w:rPr>
        <w:t>given or made by a court in any civil proceedings…whereby any sum of money is made payable</w:t>
      </w:r>
      <w:r w:rsidR="00137827" w:rsidRPr="002B3315">
        <w:rPr>
          <w:rFonts w:ascii="Arial" w:hAnsi="Arial" w:cs="Arial"/>
          <w:color w:val="7B7B7B" w:themeColor="accent3" w:themeShade="BF"/>
          <w:sz w:val="22"/>
          <w:szCs w:val="22"/>
          <w:lang w:val="en-GB"/>
        </w:rPr>
        <w:t>”.</w:t>
      </w:r>
      <w:r w:rsidR="00137827" w:rsidRPr="002B3315">
        <w:rPr>
          <w:rStyle w:val="FootnoteReference"/>
          <w:rFonts w:ascii="Arial" w:hAnsi="Arial" w:cs="Arial"/>
          <w:color w:val="7B7B7B" w:themeColor="accent3" w:themeShade="BF"/>
          <w:sz w:val="22"/>
          <w:szCs w:val="22"/>
          <w:lang w:val="en-GB"/>
        </w:rPr>
        <w:footnoteReference w:id="204"/>
      </w:r>
      <w:r w:rsidR="00137827" w:rsidRPr="002B3315">
        <w:rPr>
          <w:rFonts w:ascii="Arial" w:hAnsi="Arial" w:cs="Arial"/>
          <w:color w:val="7B7B7B" w:themeColor="accent3" w:themeShade="BF"/>
          <w:sz w:val="22"/>
          <w:szCs w:val="22"/>
          <w:lang w:val="en-GB"/>
        </w:rPr>
        <w:t xml:space="preserve"> </w:t>
      </w:r>
      <w:r w:rsidR="002F6BE2" w:rsidRPr="002B3315">
        <w:rPr>
          <w:rFonts w:ascii="Arial" w:hAnsi="Arial" w:cs="Arial"/>
          <w:color w:val="7B7B7B" w:themeColor="accent3" w:themeShade="BF"/>
          <w:sz w:val="22"/>
          <w:szCs w:val="22"/>
          <w:lang w:val="en-GB"/>
        </w:rPr>
        <w:t>From the fact pattern, the English Judgment is final and is for a conclusive monetary sum</w:t>
      </w:r>
      <w:r w:rsidR="00920346" w:rsidRPr="002B3315">
        <w:rPr>
          <w:rFonts w:ascii="Arial" w:hAnsi="Arial" w:cs="Arial"/>
          <w:color w:val="7B7B7B" w:themeColor="accent3" w:themeShade="BF"/>
          <w:sz w:val="22"/>
          <w:szCs w:val="22"/>
          <w:lang w:val="en-GB"/>
        </w:rPr>
        <w:t xml:space="preserve"> (GBP 10 million)</w:t>
      </w:r>
      <w:r w:rsidR="002F6BE2" w:rsidRPr="002B3315">
        <w:rPr>
          <w:rFonts w:ascii="Arial" w:hAnsi="Arial" w:cs="Arial"/>
          <w:color w:val="7B7B7B" w:themeColor="accent3" w:themeShade="BF"/>
          <w:sz w:val="22"/>
          <w:szCs w:val="22"/>
          <w:lang w:val="en-GB"/>
        </w:rPr>
        <w:t xml:space="preserve"> and so therefore can be enforced</w:t>
      </w:r>
      <w:r w:rsidR="00E85E53" w:rsidRPr="002B3315">
        <w:rPr>
          <w:rFonts w:ascii="Arial" w:hAnsi="Arial" w:cs="Arial"/>
          <w:color w:val="7B7B7B" w:themeColor="accent3" w:themeShade="BF"/>
          <w:sz w:val="22"/>
          <w:szCs w:val="22"/>
          <w:lang w:val="en-GB"/>
        </w:rPr>
        <w:t xml:space="preserve"> in the BVI.</w:t>
      </w:r>
    </w:p>
    <w:p w14:paraId="57DB05DF" w14:textId="77777777" w:rsidR="00E85E53" w:rsidRPr="002B3315" w:rsidRDefault="00E85E53" w:rsidP="00457BF4">
      <w:pPr>
        <w:jc w:val="both"/>
        <w:rPr>
          <w:rFonts w:ascii="Arial" w:hAnsi="Arial" w:cs="Arial"/>
          <w:color w:val="7B7B7B" w:themeColor="accent3" w:themeShade="BF"/>
          <w:sz w:val="22"/>
          <w:szCs w:val="22"/>
          <w:lang w:val="en-GB"/>
        </w:rPr>
      </w:pPr>
    </w:p>
    <w:p w14:paraId="1F50CE74" w14:textId="0C7AA2E7" w:rsidR="007D38CB" w:rsidRPr="002B3315" w:rsidRDefault="00457BF4" w:rsidP="008065CE">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Another key provision </w:t>
      </w:r>
      <w:r w:rsidR="009235D9" w:rsidRPr="002B3315">
        <w:rPr>
          <w:rFonts w:ascii="Arial" w:hAnsi="Arial" w:cs="Arial"/>
          <w:color w:val="7B7B7B" w:themeColor="accent3" w:themeShade="BF"/>
          <w:sz w:val="22"/>
          <w:szCs w:val="22"/>
          <w:lang w:val="en-GB"/>
        </w:rPr>
        <w:t>is</w:t>
      </w:r>
      <w:r w:rsidRPr="002B3315">
        <w:rPr>
          <w:rFonts w:ascii="Arial" w:hAnsi="Arial" w:cs="Arial"/>
          <w:color w:val="7B7B7B" w:themeColor="accent3" w:themeShade="BF"/>
          <w:sz w:val="22"/>
          <w:szCs w:val="22"/>
          <w:lang w:val="en-GB"/>
        </w:rPr>
        <w:t xml:space="preserve"> section 3(1).</w:t>
      </w:r>
      <w:r w:rsidR="00E85E53" w:rsidRPr="002B3315">
        <w:rPr>
          <w:rFonts w:ascii="Arial" w:hAnsi="Arial" w:cs="Arial"/>
          <w:color w:val="7B7B7B" w:themeColor="accent3" w:themeShade="BF"/>
          <w:sz w:val="22"/>
          <w:szCs w:val="22"/>
          <w:lang w:val="en-GB"/>
        </w:rPr>
        <w:t xml:space="preserve"> The English Judgment </w:t>
      </w:r>
      <w:proofErr w:type="gramStart"/>
      <w:r w:rsidR="00E85E53" w:rsidRPr="002B3315">
        <w:rPr>
          <w:rFonts w:ascii="Arial" w:hAnsi="Arial" w:cs="Arial"/>
          <w:color w:val="7B7B7B" w:themeColor="accent3" w:themeShade="BF"/>
          <w:sz w:val="22"/>
          <w:szCs w:val="22"/>
          <w:lang w:val="en-GB"/>
        </w:rPr>
        <w:t>has to</w:t>
      </w:r>
      <w:proofErr w:type="gramEnd"/>
      <w:r w:rsidR="00E85E53" w:rsidRPr="002B3315">
        <w:rPr>
          <w:rFonts w:ascii="Arial" w:hAnsi="Arial" w:cs="Arial"/>
          <w:color w:val="7B7B7B" w:themeColor="accent3" w:themeShade="BF"/>
          <w:sz w:val="22"/>
          <w:szCs w:val="22"/>
          <w:lang w:val="en-GB"/>
        </w:rPr>
        <w:t xml:space="preserve"> be registered</w:t>
      </w:r>
      <w:r w:rsidR="006D7B0C" w:rsidRPr="002B3315">
        <w:rPr>
          <w:rFonts w:ascii="Arial" w:hAnsi="Arial" w:cs="Arial"/>
          <w:color w:val="7B7B7B" w:themeColor="accent3" w:themeShade="BF"/>
          <w:sz w:val="22"/>
          <w:szCs w:val="22"/>
          <w:lang w:val="en-GB"/>
        </w:rPr>
        <w:t xml:space="preserve"> </w:t>
      </w:r>
      <w:r w:rsidR="007A1CC3" w:rsidRPr="002B3315">
        <w:rPr>
          <w:rFonts w:ascii="Arial" w:hAnsi="Arial" w:cs="Arial"/>
          <w:color w:val="7B7B7B" w:themeColor="accent3" w:themeShade="BF"/>
          <w:sz w:val="22"/>
          <w:szCs w:val="22"/>
          <w:lang w:val="en-GB"/>
        </w:rPr>
        <w:t xml:space="preserve">by Owed (judgment creditor) </w:t>
      </w:r>
      <w:r w:rsidR="006D7B0C" w:rsidRPr="002B3315">
        <w:rPr>
          <w:rFonts w:ascii="Arial" w:hAnsi="Arial" w:cs="Arial"/>
          <w:color w:val="7B7B7B" w:themeColor="accent3" w:themeShade="BF"/>
          <w:sz w:val="22"/>
          <w:szCs w:val="22"/>
          <w:lang w:val="en-GB"/>
        </w:rPr>
        <w:t>within 12 months</w:t>
      </w:r>
      <w:r w:rsidR="007A1CC3" w:rsidRPr="002B3315">
        <w:rPr>
          <w:rFonts w:ascii="Arial" w:hAnsi="Arial" w:cs="Arial"/>
          <w:color w:val="7B7B7B" w:themeColor="accent3" w:themeShade="BF"/>
          <w:sz w:val="22"/>
          <w:szCs w:val="22"/>
          <w:lang w:val="en-GB"/>
        </w:rPr>
        <w:t xml:space="preserve"> </w:t>
      </w:r>
      <w:r w:rsidR="006D7B0C" w:rsidRPr="002B3315">
        <w:rPr>
          <w:rFonts w:ascii="Arial" w:hAnsi="Arial" w:cs="Arial"/>
          <w:color w:val="7B7B7B" w:themeColor="accent3" w:themeShade="BF"/>
          <w:sz w:val="22"/>
          <w:szCs w:val="22"/>
          <w:lang w:val="en-GB"/>
        </w:rPr>
        <w:t>after the date of the judgment</w:t>
      </w:r>
      <w:r w:rsidR="00E85E53" w:rsidRPr="002B3315">
        <w:rPr>
          <w:rFonts w:ascii="Arial" w:hAnsi="Arial" w:cs="Arial"/>
          <w:color w:val="7B7B7B" w:themeColor="accent3" w:themeShade="BF"/>
          <w:sz w:val="22"/>
          <w:szCs w:val="22"/>
          <w:lang w:val="en-GB"/>
        </w:rPr>
        <w:t>.</w:t>
      </w:r>
      <w:r w:rsidR="001D7EF0" w:rsidRPr="002B3315">
        <w:rPr>
          <w:rStyle w:val="FootnoteReference"/>
          <w:rFonts w:ascii="Arial" w:hAnsi="Arial" w:cs="Arial"/>
          <w:color w:val="7B7B7B" w:themeColor="accent3" w:themeShade="BF"/>
          <w:sz w:val="22"/>
          <w:szCs w:val="22"/>
          <w:lang w:val="en-GB"/>
        </w:rPr>
        <w:footnoteReference w:id="205"/>
      </w:r>
      <w:r w:rsidR="00010F4A" w:rsidRPr="002B3315">
        <w:rPr>
          <w:rFonts w:ascii="Arial" w:hAnsi="Arial" w:cs="Arial"/>
          <w:color w:val="7B7B7B" w:themeColor="accent3" w:themeShade="BF"/>
          <w:sz w:val="22"/>
          <w:szCs w:val="22"/>
          <w:lang w:val="en-GB"/>
        </w:rPr>
        <w:t xml:space="preserve"> </w:t>
      </w:r>
      <w:r w:rsidR="007A1CC3" w:rsidRPr="002B3315">
        <w:rPr>
          <w:rFonts w:ascii="Arial" w:hAnsi="Arial" w:cs="Arial"/>
          <w:color w:val="7B7B7B" w:themeColor="accent3" w:themeShade="BF"/>
          <w:sz w:val="22"/>
          <w:szCs w:val="22"/>
          <w:lang w:val="en-GB"/>
        </w:rPr>
        <w:t>T</w:t>
      </w:r>
      <w:r w:rsidR="00010F4A" w:rsidRPr="002B3315">
        <w:rPr>
          <w:rFonts w:ascii="Arial" w:hAnsi="Arial" w:cs="Arial"/>
          <w:color w:val="7B7B7B" w:themeColor="accent3" w:themeShade="BF"/>
          <w:sz w:val="22"/>
          <w:szCs w:val="22"/>
          <w:lang w:val="en-GB"/>
        </w:rPr>
        <w:t>he English Judgment was obtained in 2023. As of the date of this memorandum (</w:t>
      </w:r>
      <w:r w:rsidR="00C31C0F" w:rsidRPr="002B3315">
        <w:rPr>
          <w:rFonts w:ascii="Arial" w:hAnsi="Arial" w:cs="Arial"/>
          <w:color w:val="7B7B7B" w:themeColor="accent3" w:themeShade="BF"/>
          <w:sz w:val="22"/>
          <w:szCs w:val="22"/>
          <w:lang w:val="en-GB"/>
        </w:rPr>
        <w:t>21</w:t>
      </w:r>
      <w:r w:rsidR="00010F4A" w:rsidRPr="002B3315">
        <w:rPr>
          <w:rFonts w:ascii="Arial" w:hAnsi="Arial" w:cs="Arial"/>
          <w:color w:val="7B7B7B" w:themeColor="accent3" w:themeShade="BF"/>
          <w:sz w:val="22"/>
          <w:szCs w:val="22"/>
          <w:lang w:val="en-GB"/>
        </w:rPr>
        <w:t xml:space="preserve"> June 2024), it is not certain if the 12-month period for registering the English Judgment has expired. Notwithstanding this, the court may permit a longer period of registering </w:t>
      </w:r>
      <w:r w:rsidR="007A1CC3" w:rsidRPr="002B3315">
        <w:rPr>
          <w:rFonts w:ascii="Arial" w:hAnsi="Arial" w:cs="Arial"/>
          <w:color w:val="7B7B7B" w:themeColor="accent3" w:themeShade="BF"/>
          <w:sz w:val="22"/>
          <w:szCs w:val="22"/>
          <w:lang w:val="en-GB"/>
        </w:rPr>
        <w:t>a</w:t>
      </w:r>
      <w:r w:rsidR="00010F4A" w:rsidRPr="002B3315">
        <w:rPr>
          <w:rFonts w:ascii="Arial" w:hAnsi="Arial" w:cs="Arial"/>
          <w:color w:val="7B7B7B" w:themeColor="accent3" w:themeShade="BF"/>
          <w:sz w:val="22"/>
          <w:szCs w:val="22"/>
          <w:lang w:val="en-GB"/>
        </w:rPr>
        <w:t xml:space="preserve"> judgment.</w:t>
      </w:r>
      <w:r w:rsidR="001D7EF0" w:rsidRPr="002B3315">
        <w:rPr>
          <w:rStyle w:val="FootnoteReference"/>
          <w:rFonts w:ascii="Arial" w:hAnsi="Arial" w:cs="Arial"/>
          <w:color w:val="7B7B7B" w:themeColor="accent3" w:themeShade="BF"/>
          <w:sz w:val="22"/>
          <w:szCs w:val="22"/>
          <w:lang w:val="en-GB"/>
        </w:rPr>
        <w:footnoteReference w:id="206"/>
      </w:r>
      <w:r w:rsidR="00010F4A" w:rsidRPr="002B3315">
        <w:rPr>
          <w:rFonts w:ascii="Arial" w:hAnsi="Arial" w:cs="Arial"/>
          <w:color w:val="7B7B7B" w:themeColor="accent3" w:themeShade="BF"/>
          <w:sz w:val="22"/>
          <w:szCs w:val="22"/>
          <w:lang w:val="en-GB"/>
        </w:rPr>
        <w:t xml:space="preserve"> </w:t>
      </w:r>
      <w:r w:rsidR="00E85E53" w:rsidRPr="002B3315">
        <w:rPr>
          <w:rFonts w:ascii="Arial" w:hAnsi="Arial" w:cs="Arial"/>
          <w:color w:val="7B7B7B" w:themeColor="accent3" w:themeShade="BF"/>
          <w:sz w:val="22"/>
          <w:szCs w:val="22"/>
          <w:lang w:val="en-GB"/>
        </w:rPr>
        <w:t>The court may, if it considers it just and convenient that judgment should be enforced in the BVI, order the judgment to be registered.</w:t>
      </w:r>
      <w:r w:rsidR="00E85E53" w:rsidRPr="002B3315">
        <w:rPr>
          <w:rStyle w:val="FootnoteReference"/>
          <w:rFonts w:ascii="Arial" w:hAnsi="Arial" w:cs="Arial"/>
          <w:color w:val="7B7B7B" w:themeColor="accent3" w:themeShade="BF"/>
          <w:sz w:val="22"/>
          <w:szCs w:val="22"/>
          <w:lang w:val="en-GB"/>
        </w:rPr>
        <w:footnoteReference w:id="207"/>
      </w:r>
      <w:r w:rsidR="009235D9" w:rsidRPr="002B3315">
        <w:rPr>
          <w:rFonts w:ascii="Arial" w:hAnsi="Arial" w:cs="Arial"/>
          <w:color w:val="7B7B7B" w:themeColor="accent3" w:themeShade="BF"/>
          <w:sz w:val="22"/>
          <w:szCs w:val="22"/>
          <w:lang w:val="en-GB"/>
        </w:rPr>
        <w:t xml:space="preserve"> </w:t>
      </w:r>
      <w:r w:rsidR="00552AC6" w:rsidRPr="002B3315">
        <w:rPr>
          <w:rFonts w:ascii="Arial" w:hAnsi="Arial" w:cs="Arial"/>
          <w:color w:val="7B7B7B" w:themeColor="accent3" w:themeShade="BF"/>
          <w:sz w:val="22"/>
          <w:szCs w:val="22"/>
          <w:lang w:val="en-GB"/>
        </w:rPr>
        <w:t xml:space="preserve">To register the English Judgment, an application </w:t>
      </w:r>
      <w:r w:rsidR="007A1CC3" w:rsidRPr="002B3315">
        <w:rPr>
          <w:rFonts w:ascii="Arial" w:hAnsi="Arial" w:cs="Arial"/>
          <w:color w:val="7B7B7B" w:themeColor="accent3" w:themeShade="BF"/>
          <w:sz w:val="22"/>
          <w:szCs w:val="22"/>
          <w:lang w:val="en-GB"/>
        </w:rPr>
        <w:t xml:space="preserve">to court </w:t>
      </w:r>
      <w:r w:rsidR="00552AC6" w:rsidRPr="002B3315">
        <w:rPr>
          <w:rFonts w:ascii="Arial" w:hAnsi="Arial" w:cs="Arial"/>
          <w:color w:val="7B7B7B" w:themeColor="accent3" w:themeShade="BF"/>
          <w:sz w:val="22"/>
          <w:szCs w:val="22"/>
          <w:lang w:val="en-GB"/>
        </w:rPr>
        <w:t>will need to be made by Owed under Part 74 (Reciprocal Enforcement of Judgments) of the Eastern Caribbean Supreme Court Civil Procedure Rules 2023 (“</w:t>
      </w:r>
      <w:r w:rsidR="00552AC6" w:rsidRPr="002B3315">
        <w:rPr>
          <w:rFonts w:ascii="Arial" w:hAnsi="Arial" w:cs="Arial"/>
          <w:b/>
          <w:bCs/>
          <w:color w:val="7B7B7B" w:themeColor="accent3" w:themeShade="BF"/>
          <w:sz w:val="22"/>
          <w:szCs w:val="22"/>
          <w:lang w:val="en-GB"/>
        </w:rPr>
        <w:t>CPR</w:t>
      </w:r>
      <w:r w:rsidR="00552AC6" w:rsidRPr="002B3315">
        <w:rPr>
          <w:rFonts w:ascii="Arial" w:hAnsi="Arial" w:cs="Arial"/>
          <w:color w:val="7B7B7B" w:themeColor="accent3" w:themeShade="BF"/>
          <w:sz w:val="22"/>
          <w:szCs w:val="22"/>
          <w:lang w:val="en-GB"/>
        </w:rPr>
        <w:t xml:space="preserve">”). CPR Part 74.2 </w:t>
      </w:r>
      <w:r w:rsidR="009025DF" w:rsidRPr="002B3315">
        <w:rPr>
          <w:rFonts w:ascii="Arial" w:hAnsi="Arial" w:cs="Arial"/>
          <w:color w:val="7B7B7B" w:themeColor="accent3" w:themeShade="BF"/>
          <w:sz w:val="22"/>
          <w:szCs w:val="22"/>
          <w:lang w:val="en-GB"/>
        </w:rPr>
        <w:t xml:space="preserve">states that the application can be </w:t>
      </w:r>
      <w:r w:rsidR="00E70BFE" w:rsidRPr="002B3315">
        <w:rPr>
          <w:rFonts w:ascii="Arial" w:hAnsi="Arial" w:cs="Arial"/>
          <w:color w:val="7B7B7B" w:themeColor="accent3" w:themeShade="BF"/>
          <w:sz w:val="22"/>
          <w:szCs w:val="22"/>
          <w:lang w:val="en-GB"/>
        </w:rPr>
        <w:t xml:space="preserve">made </w:t>
      </w:r>
      <w:r w:rsidR="009025DF" w:rsidRPr="002B3315">
        <w:rPr>
          <w:rFonts w:ascii="Arial" w:hAnsi="Arial" w:cs="Arial"/>
          <w:color w:val="7B7B7B" w:themeColor="accent3" w:themeShade="BF"/>
          <w:sz w:val="22"/>
          <w:szCs w:val="22"/>
          <w:lang w:val="en-GB"/>
        </w:rPr>
        <w:t xml:space="preserve">without notice but must be supported by affidavit. To comply with the CPR Part 74.2 requirements, the affidavit on behalf of Owed will have to, </w:t>
      </w:r>
      <w:r w:rsidR="009025DF" w:rsidRPr="002B3315">
        <w:rPr>
          <w:rFonts w:ascii="Arial" w:hAnsi="Arial" w:cs="Arial"/>
          <w:i/>
          <w:iCs/>
          <w:color w:val="7B7B7B" w:themeColor="accent3" w:themeShade="BF"/>
          <w:sz w:val="22"/>
          <w:szCs w:val="22"/>
          <w:lang w:val="en-GB"/>
        </w:rPr>
        <w:t>inter alia</w:t>
      </w:r>
      <w:r w:rsidR="009025DF" w:rsidRPr="002B3315">
        <w:rPr>
          <w:rFonts w:ascii="Arial" w:hAnsi="Arial" w:cs="Arial"/>
          <w:color w:val="7B7B7B" w:themeColor="accent3" w:themeShade="BF"/>
          <w:sz w:val="22"/>
          <w:szCs w:val="22"/>
          <w:lang w:val="en-GB"/>
        </w:rPr>
        <w:t>:</w:t>
      </w:r>
    </w:p>
    <w:p w14:paraId="31A1ACD0" w14:textId="5C53A834" w:rsidR="00552AC6" w:rsidRPr="002B3315" w:rsidRDefault="00552AC6" w:rsidP="00E70BFE">
      <w:pPr>
        <w:pStyle w:val="ListParagraph"/>
        <w:numPr>
          <w:ilvl w:val="0"/>
          <w:numId w:val="24"/>
        </w:num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exhibit the </w:t>
      </w:r>
      <w:r w:rsidR="009025DF" w:rsidRPr="002B3315">
        <w:rPr>
          <w:rFonts w:ascii="Arial" w:hAnsi="Arial" w:cs="Arial"/>
          <w:color w:val="7B7B7B" w:themeColor="accent3" w:themeShade="BF"/>
          <w:sz w:val="22"/>
          <w:szCs w:val="22"/>
          <w:lang w:val="en-GB"/>
        </w:rPr>
        <w:t>English Ju</w:t>
      </w:r>
      <w:r w:rsidRPr="002B3315">
        <w:rPr>
          <w:rFonts w:ascii="Arial" w:hAnsi="Arial" w:cs="Arial"/>
          <w:color w:val="7B7B7B" w:themeColor="accent3" w:themeShade="BF"/>
          <w:sz w:val="22"/>
          <w:szCs w:val="22"/>
          <w:lang w:val="en-GB"/>
        </w:rPr>
        <w:t>dgment or a verified, certified or otherwise duly</w:t>
      </w:r>
      <w:r w:rsidR="009025DF" w:rsidRPr="002B3315">
        <w:rPr>
          <w:rFonts w:ascii="Arial" w:hAnsi="Arial" w:cs="Arial"/>
          <w:color w:val="7B7B7B" w:themeColor="accent3" w:themeShade="BF"/>
          <w:sz w:val="22"/>
          <w:szCs w:val="22"/>
          <w:lang w:val="en-GB"/>
        </w:rPr>
        <w:t xml:space="preserve"> </w:t>
      </w:r>
      <w:r w:rsidRPr="002B3315">
        <w:rPr>
          <w:rFonts w:ascii="Arial" w:hAnsi="Arial" w:cs="Arial"/>
          <w:color w:val="7B7B7B" w:themeColor="accent3" w:themeShade="BF"/>
          <w:sz w:val="22"/>
          <w:szCs w:val="22"/>
          <w:lang w:val="en-GB"/>
        </w:rPr>
        <w:t>authenticated copy of i</w:t>
      </w:r>
      <w:r w:rsidR="009025DF" w:rsidRPr="002B3315">
        <w:rPr>
          <w:rFonts w:ascii="Arial" w:hAnsi="Arial" w:cs="Arial"/>
          <w:color w:val="7B7B7B" w:themeColor="accent3" w:themeShade="BF"/>
          <w:sz w:val="22"/>
          <w:szCs w:val="22"/>
          <w:lang w:val="en-GB"/>
        </w:rPr>
        <w:t>t</w:t>
      </w:r>
      <w:r w:rsidR="00E70BFE" w:rsidRPr="002B3315">
        <w:rPr>
          <w:rStyle w:val="FootnoteReference"/>
          <w:rFonts w:ascii="Arial" w:hAnsi="Arial" w:cs="Arial"/>
          <w:color w:val="7B7B7B" w:themeColor="accent3" w:themeShade="BF"/>
          <w:sz w:val="22"/>
          <w:szCs w:val="22"/>
          <w:lang w:val="en-GB"/>
        </w:rPr>
        <w:footnoteReference w:id="208"/>
      </w:r>
      <w:r w:rsidR="009025DF" w:rsidRPr="002B3315">
        <w:rPr>
          <w:rFonts w:ascii="Arial" w:hAnsi="Arial" w:cs="Arial"/>
          <w:color w:val="7B7B7B" w:themeColor="accent3" w:themeShade="BF"/>
          <w:sz w:val="22"/>
          <w:szCs w:val="22"/>
          <w:lang w:val="en-GB"/>
        </w:rPr>
        <w:t>;</w:t>
      </w:r>
      <w:r w:rsidR="00E70BFE" w:rsidRPr="002B3315">
        <w:rPr>
          <w:rFonts w:ascii="Arial" w:hAnsi="Arial" w:cs="Arial"/>
          <w:color w:val="7B7B7B" w:themeColor="accent3" w:themeShade="BF"/>
          <w:sz w:val="22"/>
          <w:szCs w:val="22"/>
          <w:lang w:val="en-GB"/>
        </w:rPr>
        <w:t xml:space="preserve"> </w:t>
      </w:r>
      <w:r w:rsidR="009025DF" w:rsidRPr="002B3315">
        <w:rPr>
          <w:rFonts w:ascii="Arial" w:hAnsi="Arial" w:cs="Arial"/>
          <w:color w:val="7B7B7B" w:themeColor="accent3" w:themeShade="BF"/>
          <w:sz w:val="22"/>
          <w:szCs w:val="22"/>
          <w:lang w:val="en-GB"/>
        </w:rPr>
        <w:t>and</w:t>
      </w:r>
    </w:p>
    <w:p w14:paraId="44740B75" w14:textId="6B88ED9D" w:rsidR="00E70BFE" w:rsidRPr="002B3315" w:rsidRDefault="00552AC6" w:rsidP="00E70BFE">
      <w:pPr>
        <w:pStyle w:val="ListParagraph"/>
        <w:numPr>
          <w:ilvl w:val="0"/>
          <w:numId w:val="24"/>
        </w:num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stat</w:t>
      </w:r>
      <w:r w:rsidR="00E62863" w:rsidRPr="002B3315">
        <w:rPr>
          <w:rFonts w:ascii="Arial" w:hAnsi="Arial" w:cs="Arial"/>
          <w:color w:val="7B7B7B" w:themeColor="accent3" w:themeShade="BF"/>
          <w:sz w:val="22"/>
          <w:szCs w:val="22"/>
          <w:lang w:val="en-GB"/>
        </w:rPr>
        <w:t>e</w:t>
      </w:r>
      <w:r w:rsidRPr="002B3315">
        <w:rPr>
          <w:rFonts w:ascii="Arial" w:hAnsi="Arial" w:cs="Arial"/>
          <w:color w:val="7B7B7B" w:themeColor="accent3" w:themeShade="BF"/>
          <w:sz w:val="22"/>
          <w:szCs w:val="22"/>
          <w:lang w:val="en-GB"/>
        </w:rPr>
        <w:t xml:space="preserve"> to the best of the information or belief of the deponent that </w:t>
      </w:r>
      <w:r w:rsidR="009025DF" w:rsidRPr="002B3315">
        <w:rPr>
          <w:rFonts w:ascii="Arial" w:hAnsi="Arial" w:cs="Arial"/>
          <w:color w:val="7B7B7B" w:themeColor="accent3" w:themeShade="BF"/>
          <w:sz w:val="22"/>
          <w:szCs w:val="22"/>
          <w:lang w:val="en-GB"/>
        </w:rPr>
        <w:t>Owed</w:t>
      </w:r>
      <w:r w:rsidRPr="002B3315">
        <w:rPr>
          <w:rFonts w:ascii="Arial" w:hAnsi="Arial" w:cs="Arial"/>
          <w:color w:val="7B7B7B" w:themeColor="accent3" w:themeShade="BF"/>
          <w:sz w:val="22"/>
          <w:szCs w:val="22"/>
          <w:lang w:val="en-GB"/>
        </w:rPr>
        <w:t xml:space="preserve"> is entitled to enforce the</w:t>
      </w:r>
      <w:r w:rsidR="009025DF" w:rsidRPr="002B3315">
        <w:rPr>
          <w:rFonts w:ascii="Arial" w:hAnsi="Arial" w:cs="Arial"/>
          <w:color w:val="7B7B7B" w:themeColor="accent3" w:themeShade="BF"/>
          <w:sz w:val="22"/>
          <w:szCs w:val="22"/>
          <w:lang w:val="en-GB"/>
        </w:rPr>
        <w:t xml:space="preserve"> English J</w:t>
      </w:r>
      <w:r w:rsidRPr="002B3315">
        <w:rPr>
          <w:rFonts w:ascii="Arial" w:hAnsi="Arial" w:cs="Arial"/>
          <w:color w:val="7B7B7B" w:themeColor="accent3" w:themeShade="BF"/>
          <w:sz w:val="22"/>
          <w:szCs w:val="22"/>
          <w:lang w:val="en-GB"/>
        </w:rPr>
        <w:t>udgment</w:t>
      </w:r>
      <w:r w:rsidR="00E70BFE" w:rsidRPr="002B3315">
        <w:rPr>
          <w:rFonts w:ascii="Arial" w:hAnsi="Arial" w:cs="Arial"/>
          <w:color w:val="7B7B7B" w:themeColor="accent3" w:themeShade="BF"/>
          <w:sz w:val="22"/>
          <w:szCs w:val="22"/>
          <w:lang w:val="en-GB"/>
        </w:rPr>
        <w:t xml:space="preserve"> and the amount remains unsatisfied.</w:t>
      </w:r>
      <w:r w:rsidR="00E70BFE" w:rsidRPr="002B3315">
        <w:rPr>
          <w:rStyle w:val="FootnoteReference"/>
          <w:rFonts w:ascii="Arial" w:hAnsi="Arial" w:cs="Arial"/>
          <w:color w:val="7B7B7B" w:themeColor="accent3" w:themeShade="BF"/>
          <w:sz w:val="22"/>
          <w:szCs w:val="22"/>
          <w:lang w:val="en-GB"/>
        </w:rPr>
        <w:footnoteReference w:id="209"/>
      </w:r>
    </w:p>
    <w:p w14:paraId="00131C3D" w14:textId="77777777" w:rsidR="00552AC6" w:rsidRPr="002B3315" w:rsidRDefault="00552AC6" w:rsidP="007D38CB">
      <w:pPr>
        <w:jc w:val="both"/>
        <w:rPr>
          <w:rFonts w:ascii="Arial" w:hAnsi="Arial" w:cs="Arial"/>
          <w:color w:val="7B7B7B" w:themeColor="accent3" w:themeShade="BF"/>
          <w:sz w:val="22"/>
          <w:szCs w:val="22"/>
          <w:lang w:val="en-GB"/>
        </w:rPr>
      </w:pPr>
    </w:p>
    <w:p w14:paraId="248DC782" w14:textId="089D499A" w:rsidR="00E62863" w:rsidRPr="002B3315" w:rsidRDefault="00817D63" w:rsidP="00E62863">
      <w:pPr>
        <w:jc w:val="both"/>
        <w:rPr>
          <w:rFonts w:ascii="Arial" w:hAnsi="Arial" w:cs="Arial"/>
          <w:color w:val="7B7B7B" w:themeColor="accent3" w:themeShade="BF"/>
          <w:sz w:val="22"/>
          <w:szCs w:val="22"/>
          <w:highlight w:val="yellow"/>
          <w:lang w:val="en-GB"/>
        </w:rPr>
      </w:pPr>
      <w:r w:rsidRPr="002B3315">
        <w:rPr>
          <w:rFonts w:ascii="Arial" w:hAnsi="Arial" w:cs="Arial"/>
          <w:color w:val="7B7B7B" w:themeColor="accent3" w:themeShade="BF"/>
          <w:sz w:val="22"/>
          <w:szCs w:val="22"/>
          <w:lang w:val="en-GB"/>
        </w:rPr>
        <w:t>It should be noted that t</w:t>
      </w:r>
      <w:r w:rsidR="00E62863" w:rsidRPr="002B3315">
        <w:rPr>
          <w:rFonts w:ascii="Arial" w:hAnsi="Arial" w:cs="Arial"/>
          <w:color w:val="7B7B7B" w:themeColor="accent3" w:themeShade="BF"/>
          <w:sz w:val="22"/>
          <w:szCs w:val="22"/>
          <w:lang w:val="en-GB"/>
        </w:rPr>
        <w:t>he court may, under CPR Part 74.3</w:t>
      </w:r>
      <w:r w:rsidR="00011459" w:rsidRPr="002B3315">
        <w:rPr>
          <w:rFonts w:ascii="Arial" w:hAnsi="Arial" w:cs="Arial"/>
          <w:color w:val="7B7B7B" w:themeColor="accent3" w:themeShade="BF"/>
          <w:sz w:val="22"/>
          <w:szCs w:val="22"/>
          <w:lang w:val="en-GB"/>
        </w:rPr>
        <w:t>,</w:t>
      </w:r>
      <w:r w:rsidR="00E62863" w:rsidRPr="002B3315">
        <w:rPr>
          <w:rFonts w:ascii="Arial" w:hAnsi="Arial" w:cs="Arial"/>
          <w:color w:val="7B7B7B" w:themeColor="accent3" w:themeShade="BF"/>
          <w:sz w:val="22"/>
          <w:szCs w:val="22"/>
          <w:lang w:val="en-GB"/>
        </w:rPr>
        <w:t xml:space="preserve"> order Owed “</w:t>
      </w:r>
      <w:r w:rsidR="00E62863" w:rsidRPr="002B3315">
        <w:rPr>
          <w:rFonts w:ascii="Arial" w:hAnsi="Arial" w:cs="Arial"/>
          <w:i/>
          <w:iCs/>
          <w:color w:val="7B7B7B" w:themeColor="accent3" w:themeShade="BF"/>
          <w:sz w:val="22"/>
          <w:szCs w:val="22"/>
          <w:lang w:val="en-GB"/>
        </w:rPr>
        <w:t>to give security for the costs of</w:t>
      </w:r>
      <w:r w:rsidR="00E62863" w:rsidRPr="002B3315">
        <w:rPr>
          <w:rFonts w:ascii="Arial" w:hAnsi="Arial" w:cs="Arial"/>
          <w:color w:val="7B7B7B" w:themeColor="accent3" w:themeShade="BF"/>
          <w:sz w:val="22"/>
          <w:szCs w:val="22"/>
          <w:lang w:val="en-GB"/>
        </w:rPr>
        <w:t xml:space="preserve"> </w:t>
      </w:r>
      <w:r w:rsidR="00E62863" w:rsidRPr="002B3315">
        <w:rPr>
          <w:rFonts w:ascii="Arial" w:hAnsi="Arial" w:cs="Arial"/>
          <w:i/>
          <w:iCs/>
          <w:color w:val="7B7B7B" w:themeColor="accent3" w:themeShade="BF"/>
          <w:sz w:val="22"/>
          <w:szCs w:val="22"/>
          <w:lang w:val="en-GB"/>
        </w:rPr>
        <w:t>the application for registration and of any proceedings which may be brought to set aside the registration</w:t>
      </w:r>
      <w:r w:rsidR="00E62863" w:rsidRPr="002B3315">
        <w:rPr>
          <w:rFonts w:ascii="Arial" w:hAnsi="Arial" w:cs="Arial"/>
          <w:color w:val="7B7B7B" w:themeColor="accent3" w:themeShade="BF"/>
          <w:sz w:val="22"/>
          <w:szCs w:val="22"/>
          <w:lang w:val="en-GB"/>
        </w:rPr>
        <w:t>.”</w:t>
      </w:r>
      <w:r w:rsidR="00E62863" w:rsidRPr="002B3315">
        <w:rPr>
          <w:rStyle w:val="FootnoteReference"/>
          <w:rFonts w:ascii="Arial" w:hAnsi="Arial" w:cs="Arial"/>
          <w:color w:val="7B7B7B" w:themeColor="accent3" w:themeShade="BF"/>
          <w:sz w:val="22"/>
          <w:szCs w:val="22"/>
          <w:lang w:val="en-GB"/>
        </w:rPr>
        <w:footnoteReference w:id="210"/>
      </w:r>
      <w:r w:rsidR="00E62863" w:rsidRPr="002B3315">
        <w:rPr>
          <w:rFonts w:ascii="Arial" w:hAnsi="Arial" w:cs="Arial"/>
          <w:color w:val="7B7B7B" w:themeColor="accent3" w:themeShade="BF"/>
          <w:sz w:val="22"/>
          <w:szCs w:val="22"/>
          <w:lang w:val="en-GB"/>
        </w:rPr>
        <w:t xml:space="preserve"> </w:t>
      </w:r>
      <w:r w:rsidRPr="002B3315">
        <w:rPr>
          <w:rFonts w:ascii="Arial" w:hAnsi="Arial" w:cs="Arial"/>
          <w:color w:val="7B7B7B" w:themeColor="accent3" w:themeShade="BF"/>
          <w:sz w:val="22"/>
          <w:szCs w:val="22"/>
          <w:lang w:val="en-GB"/>
        </w:rPr>
        <w:t>Further, a</w:t>
      </w:r>
      <w:r w:rsidR="00E62863" w:rsidRPr="002B3315">
        <w:rPr>
          <w:rFonts w:ascii="Arial" w:hAnsi="Arial" w:cs="Arial"/>
          <w:color w:val="7B7B7B" w:themeColor="accent3" w:themeShade="BF"/>
          <w:sz w:val="22"/>
          <w:szCs w:val="22"/>
          <w:lang w:val="en-GB"/>
        </w:rPr>
        <w:t xml:space="preserve">n application to set aside the registration of the English Judgment can be made </w:t>
      </w:r>
      <w:r w:rsidRPr="002B3315">
        <w:rPr>
          <w:rFonts w:ascii="Arial" w:hAnsi="Arial" w:cs="Arial"/>
          <w:color w:val="7B7B7B" w:themeColor="accent3" w:themeShade="BF"/>
          <w:sz w:val="22"/>
          <w:szCs w:val="22"/>
          <w:lang w:val="en-GB"/>
        </w:rPr>
        <w:t xml:space="preserve">by Indebted </w:t>
      </w:r>
      <w:r w:rsidR="00E62863" w:rsidRPr="002B3315">
        <w:rPr>
          <w:rFonts w:ascii="Arial" w:hAnsi="Arial" w:cs="Arial"/>
          <w:color w:val="7B7B7B" w:themeColor="accent3" w:themeShade="BF"/>
          <w:sz w:val="22"/>
          <w:szCs w:val="22"/>
          <w:lang w:val="en-GB"/>
        </w:rPr>
        <w:t>under CPR Part 74.7.</w:t>
      </w:r>
    </w:p>
    <w:p w14:paraId="1558DB06" w14:textId="77777777" w:rsidR="00E62863" w:rsidRPr="002B3315" w:rsidRDefault="00E62863" w:rsidP="007D38CB">
      <w:pPr>
        <w:jc w:val="both"/>
        <w:rPr>
          <w:rFonts w:ascii="Arial" w:hAnsi="Arial" w:cs="Arial"/>
          <w:color w:val="7B7B7B" w:themeColor="accent3" w:themeShade="BF"/>
          <w:sz w:val="22"/>
          <w:szCs w:val="22"/>
          <w:lang w:val="en-GB"/>
        </w:rPr>
      </w:pPr>
    </w:p>
    <w:p w14:paraId="77D5FD79" w14:textId="1FBEE045" w:rsidR="00843C79" w:rsidRPr="002B3315" w:rsidRDefault="00E62863" w:rsidP="00843C79">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The court office must keep a register of the judgments which are ordered to be registered.</w:t>
      </w:r>
      <w:r w:rsidRPr="002B3315">
        <w:rPr>
          <w:rStyle w:val="FootnoteReference"/>
          <w:rFonts w:ascii="Arial" w:hAnsi="Arial" w:cs="Arial"/>
          <w:color w:val="7B7B7B" w:themeColor="accent3" w:themeShade="BF"/>
          <w:sz w:val="22"/>
          <w:szCs w:val="22"/>
          <w:lang w:val="en-GB"/>
        </w:rPr>
        <w:footnoteReference w:id="211"/>
      </w:r>
      <w:r w:rsidRPr="002B3315">
        <w:rPr>
          <w:rFonts w:ascii="Arial" w:hAnsi="Arial" w:cs="Arial"/>
          <w:color w:val="7B7B7B" w:themeColor="accent3" w:themeShade="BF"/>
          <w:sz w:val="22"/>
          <w:szCs w:val="22"/>
          <w:lang w:val="en-GB"/>
        </w:rPr>
        <w:t xml:space="preserve"> In the event that the English Judgment is registered, notice of the registration must be served on Indebted</w:t>
      </w:r>
      <w:r w:rsidR="008F0316" w:rsidRPr="002B3315">
        <w:rPr>
          <w:rFonts w:ascii="Arial" w:hAnsi="Arial" w:cs="Arial"/>
          <w:color w:val="7B7B7B" w:themeColor="accent3" w:themeShade="BF"/>
          <w:sz w:val="22"/>
          <w:szCs w:val="22"/>
          <w:lang w:val="en-GB"/>
        </w:rPr>
        <w:t xml:space="preserve"> as the judgment debtor</w:t>
      </w:r>
      <w:r w:rsidRPr="002B3315">
        <w:rPr>
          <w:rFonts w:ascii="Arial" w:hAnsi="Arial" w:cs="Arial"/>
          <w:color w:val="7B7B7B" w:themeColor="accent3" w:themeShade="BF"/>
          <w:sz w:val="22"/>
          <w:szCs w:val="22"/>
          <w:lang w:val="en-GB"/>
        </w:rPr>
        <w:t>.</w:t>
      </w:r>
      <w:r w:rsidRPr="002B3315">
        <w:rPr>
          <w:rStyle w:val="FootnoteReference"/>
          <w:rFonts w:ascii="Arial" w:hAnsi="Arial" w:cs="Arial"/>
          <w:color w:val="7B7B7B" w:themeColor="accent3" w:themeShade="BF"/>
          <w:sz w:val="22"/>
          <w:szCs w:val="22"/>
          <w:lang w:val="en-GB"/>
        </w:rPr>
        <w:footnoteReference w:id="212"/>
      </w:r>
      <w:r w:rsidR="00011459" w:rsidRPr="002B3315">
        <w:rPr>
          <w:rFonts w:ascii="Arial" w:hAnsi="Arial" w:cs="Arial"/>
          <w:color w:val="7B7B7B" w:themeColor="accent3" w:themeShade="BF"/>
          <w:sz w:val="22"/>
          <w:szCs w:val="22"/>
          <w:lang w:val="en-GB"/>
        </w:rPr>
        <w:t xml:space="preserve"> </w:t>
      </w:r>
      <w:r w:rsidR="00843C79" w:rsidRPr="002B3315">
        <w:rPr>
          <w:rFonts w:ascii="Arial" w:hAnsi="Arial" w:cs="Arial"/>
          <w:color w:val="7B7B7B" w:themeColor="accent3" w:themeShade="BF"/>
          <w:sz w:val="22"/>
          <w:szCs w:val="22"/>
          <w:lang w:val="en-GB"/>
        </w:rPr>
        <w:t xml:space="preserve">Once the English Judgment is registered </w:t>
      </w:r>
      <w:r w:rsidR="00767807" w:rsidRPr="002B3315">
        <w:rPr>
          <w:rFonts w:ascii="Arial" w:hAnsi="Arial" w:cs="Arial"/>
          <w:color w:val="7B7B7B" w:themeColor="accent3" w:themeShade="BF"/>
          <w:sz w:val="22"/>
          <w:szCs w:val="22"/>
          <w:lang w:val="en-GB"/>
        </w:rPr>
        <w:t>under the 1922 Act</w:t>
      </w:r>
      <w:r w:rsidR="00843C79" w:rsidRPr="002B3315">
        <w:rPr>
          <w:rFonts w:ascii="Arial" w:hAnsi="Arial" w:cs="Arial"/>
          <w:color w:val="7B7B7B" w:themeColor="accent3" w:themeShade="BF"/>
          <w:sz w:val="22"/>
          <w:szCs w:val="22"/>
          <w:lang w:val="en-GB"/>
        </w:rPr>
        <w:t>, it will be treated (from the date of registration), as being of the same force and effect as if such judgment was obtained in the BVI</w:t>
      </w:r>
      <w:r w:rsidR="00843C79" w:rsidRPr="002B3315">
        <w:rPr>
          <w:rStyle w:val="FootnoteReference"/>
          <w:rFonts w:ascii="Arial" w:hAnsi="Arial" w:cs="Arial"/>
          <w:color w:val="7B7B7B" w:themeColor="accent3" w:themeShade="BF"/>
          <w:sz w:val="22"/>
          <w:szCs w:val="22"/>
          <w:lang w:val="en-GB"/>
        </w:rPr>
        <w:footnoteReference w:id="213"/>
      </w:r>
      <w:r w:rsidR="00843C79" w:rsidRPr="002B3315">
        <w:rPr>
          <w:rFonts w:ascii="Arial" w:hAnsi="Arial" w:cs="Arial"/>
          <w:color w:val="7B7B7B" w:themeColor="accent3" w:themeShade="BF"/>
          <w:sz w:val="22"/>
          <w:szCs w:val="22"/>
          <w:lang w:val="en-GB"/>
        </w:rPr>
        <w:t>. Th</w:t>
      </w:r>
      <w:r w:rsidR="005D4AE0" w:rsidRPr="002B3315">
        <w:rPr>
          <w:rFonts w:ascii="Arial" w:hAnsi="Arial" w:cs="Arial"/>
          <w:color w:val="7B7B7B" w:themeColor="accent3" w:themeShade="BF"/>
          <w:sz w:val="22"/>
          <w:szCs w:val="22"/>
          <w:lang w:val="en-GB"/>
        </w:rPr>
        <w:t xml:space="preserve">is would mean </w:t>
      </w:r>
      <w:r w:rsidR="00843C79" w:rsidRPr="002B3315">
        <w:rPr>
          <w:rFonts w:ascii="Arial" w:hAnsi="Arial" w:cs="Arial"/>
          <w:color w:val="7B7B7B" w:themeColor="accent3" w:themeShade="BF"/>
          <w:sz w:val="22"/>
          <w:szCs w:val="22"/>
          <w:lang w:val="en-GB"/>
        </w:rPr>
        <w:t xml:space="preserve">all the remedies for enforcing money judgments under CPR Part 45.2 </w:t>
      </w:r>
      <w:r w:rsidR="005D4AE0" w:rsidRPr="002B3315">
        <w:rPr>
          <w:rFonts w:ascii="Arial" w:hAnsi="Arial" w:cs="Arial"/>
          <w:color w:val="7B7B7B" w:themeColor="accent3" w:themeShade="BF"/>
          <w:sz w:val="22"/>
          <w:szCs w:val="22"/>
          <w:lang w:val="en-GB"/>
        </w:rPr>
        <w:t>would be</w:t>
      </w:r>
      <w:r w:rsidR="00843C79" w:rsidRPr="002B3315">
        <w:rPr>
          <w:rFonts w:ascii="Arial" w:hAnsi="Arial" w:cs="Arial"/>
          <w:color w:val="7B7B7B" w:themeColor="accent3" w:themeShade="BF"/>
          <w:sz w:val="22"/>
          <w:szCs w:val="22"/>
          <w:lang w:val="en-GB"/>
        </w:rPr>
        <w:t xml:space="preserve"> available, including appoint</w:t>
      </w:r>
      <w:r w:rsidR="005D4AE0" w:rsidRPr="002B3315">
        <w:rPr>
          <w:rFonts w:ascii="Arial" w:hAnsi="Arial" w:cs="Arial"/>
          <w:color w:val="7B7B7B" w:themeColor="accent3" w:themeShade="BF"/>
          <w:sz w:val="22"/>
          <w:szCs w:val="22"/>
          <w:lang w:val="en-GB"/>
        </w:rPr>
        <w:t>ing</w:t>
      </w:r>
      <w:r w:rsidR="00843C79" w:rsidRPr="002B3315">
        <w:rPr>
          <w:rFonts w:ascii="Arial" w:hAnsi="Arial" w:cs="Arial"/>
          <w:color w:val="7B7B7B" w:themeColor="accent3" w:themeShade="BF"/>
          <w:sz w:val="22"/>
          <w:szCs w:val="22"/>
          <w:lang w:val="en-GB"/>
        </w:rPr>
        <w:t xml:space="preserve"> a receiver under CPR Part 51</w:t>
      </w:r>
      <w:r w:rsidR="00843C79" w:rsidRPr="002B3315">
        <w:rPr>
          <w:rStyle w:val="FootnoteReference"/>
          <w:rFonts w:ascii="Arial" w:hAnsi="Arial" w:cs="Arial"/>
          <w:color w:val="7B7B7B" w:themeColor="accent3" w:themeShade="BF"/>
          <w:sz w:val="22"/>
          <w:szCs w:val="22"/>
          <w:lang w:val="en-GB"/>
        </w:rPr>
        <w:footnoteReference w:id="214"/>
      </w:r>
      <w:r w:rsidR="00843C79" w:rsidRPr="002B3315">
        <w:rPr>
          <w:rFonts w:ascii="Arial" w:hAnsi="Arial" w:cs="Arial"/>
          <w:color w:val="7B7B7B" w:themeColor="accent3" w:themeShade="BF"/>
          <w:sz w:val="22"/>
          <w:szCs w:val="22"/>
          <w:lang w:val="en-GB"/>
        </w:rPr>
        <w:t xml:space="preserve"> (see below).</w:t>
      </w:r>
    </w:p>
    <w:p w14:paraId="241C96E8" w14:textId="77777777" w:rsidR="00843C79" w:rsidRPr="002B3315" w:rsidRDefault="00843C79" w:rsidP="00923A6D">
      <w:pPr>
        <w:jc w:val="both"/>
        <w:rPr>
          <w:rFonts w:ascii="Arial" w:hAnsi="Arial" w:cs="Arial"/>
          <w:b/>
          <w:bCs/>
          <w:color w:val="7B7B7B" w:themeColor="accent3" w:themeShade="BF"/>
          <w:sz w:val="22"/>
          <w:szCs w:val="22"/>
          <w:u w:val="single"/>
          <w:lang w:val="en-GB"/>
        </w:rPr>
      </w:pPr>
    </w:p>
    <w:p w14:paraId="4F6605B6" w14:textId="3C124638" w:rsidR="00923A6D" w:rsidRPr="002B3315" w:rsidRDefault="00300B1D" w:rsidP="00923A6D">
      <w:pPr>
        <w:jc w:val="both"/>
        <w:rPr>
          <w:rFonts w:ascii="Arial" w:hAnsi="Arial" w:cs="Arial"/>
          <w:b/>
          <w:bCs/>
          <w:color w:val="7B7B7B" w:themeColor="accent3" w:themeShade="BF"/>
          <w:sz w:val="22"/>
          <w:szCs w:val="22"/>
          <w:u w:val="single"/>
          <w:lang w:val="en-GB"/>
        </w:rPr>
      </w:pPr>
      <w:r w:rsidRPr="002B3315">
        <w:rPr>
          <w:rFonts w:ascii="Arial" w:hAnsi="Arial" w:cs="Arial"/>
          <w:b/>
          <w:bCs/>
          <w:color w:val="7B7B7B" w:themeColor="accent3" w:themeShade="BF"/>
          <w:sz w:val="22"/>
          <w:szCs w:val="22"/>
          <w:u w:val="single"/>
          <w:lang w:val="en-GB"/>
        </w:rPr>
        <w:t xml:space="preserve">Obstacle 2 - </w:t>
      </w:r>
      <w:r w:rsidR="0007497A" w:rsidRPr="002B3315">
        <w:rPr>
          <w:rFonts w:ascii="Arial" w:hAnsi="Arial" w:cs="Arial"/>
          <w:b/>
          <w:bCs/>
          <w:color w:val="7B7B7B" w:themeColor="accent3" w:themeShade="BF"/>
          <w:sz w:val="22"/>
          <w:szCs w:val="22"/>
          <w:u w:val="single"/>
          <w:lang w:val="en-GB"/>
        </w:rPr>
        <w:t>S</w:t>
      </w:r>
      <w:r w:rsidR="00923A6D" w:rsidRPr="002B3315">
        <w:rPr>
          <w:rFonts w:ascii="Arial" w:hAnsi="Arial" w:cs="Arial"/>
          <w:b/>
          <w:bCs/>
          <w:color w:val="7B7B7B" w:themeColor="accent3" w:themeShade="BF"/>
          <w:sz w:val="22"/>
          <w:szCs w:val="22"/>
          <w:u w:val="single"/>
          <w:lang w:val="en-GB"/>
        </w:rPr>
        <w:t>harehold</w:t>
      </w:r>
      <w:r w:rsidR="0007497A" w:rsidRPr="002B3315">
        <w:rPr>
          <w:rFonts w:ascii="Arial" w:hAnsi="Arial" w:cs="Arial"/>
          <w:b/>
          <w:bCs/>
          <w:color w:val="7B7B7B" w:themeColor="accent3" w:themeShade="BF"/>
          <w:sz w:val="22"/>
          <w:szCs w:val="22"/>
          <w:u w:val="single"/>
          <w:lang w:val="en-GB"/>
        </w:rPr>
        <w:t xml:space="preserve">ing and directorship </w:t>
      </w:r>
      <w:r w:rsidR="00923A6D" w:rsidRPr="002B3315">
        <w:rPr>
          <w:rFonts w:ascii="Arial" w:hAnsi="Arial" w:cs="Arial"/>
          <w:b/>
          <w:bCs/>
          <w:color w:val="7B7B7B" w:themeColor="accent3" w:themeShade="BF"/>
          <w:sz w:val="22"/>
          <w:szCs w:val="22"/>
          <w:u w:val="single"/>
          <w:lang w:val="en-GB"/>
        </w:rPr>
        <w:t>of Indebted</w:t>
      </w:r>
    </w:p>
    <w:p w14:paraId="42EB0EDF" w14:textId="1CEA2600" w:rsidR="0094156A" w:rsidRPr="002B3315" w:rsidRDefault="00E51359" w:rsidP="0094156A">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Another obstacle</w:t>
      </w:r>
      <w:r w:rsidR="007706DC" w:rsidRPr="002B3315">
        <w:rPr>
          <w:rFonts w:ascii="Arial" w:hAnsi="Arial" w:cs="Arial"/>
          <w:color w:val="7B7B7B" w:themeColor="accent3" w:themeShade="BF"/>
          <w:sz w:val="22"/>
          <w:szCs w:val="22"/>
          <w:lang w:val="en-GB"/>
        </w:rPr>
        <w:t xml:space="preserve"> for Owed</w:t>
      </w:r>
      <w:r w:rsidRPr="002B3315">
        <w:rPr>
          <w:rFonts w:ascii="Arial" w:hAnsi="Arial" w:cs="Arial"/>
          <w:color w:val="7B7B7B" w:themeColor="accent3" w:themeShade="BF"/>
          <w:sz w:val="22"/>
          <w:szCs w:val="22"/>
          <w:lang w:val="en-GB"/>
        </w:rPr>
        <w:t xml:space="preserve"> is that the sole shareholder and sole director of Indebted has recently passed away. </w:t>
      </w:r>
      <w:r w:rsidR="0094156A" w:rsidRPr="002B3315">
        <w:rPr>
          <w:rFonts w:ascii="Arial" w:hAnsi="Arial" w:cs="Arial"/>
          <w:color w:val="7B7B7B" w:themeColor="accent3" w:themeShade="BF"/>
          <w:sz w:val="22"/>
          <w:szCs w:val="22"/>
          <w:lang w:val="en-GB"/>
        </w:rPr>
        <w:t>Indebted is incorporated in England</w:t>
      </w:r>
      <w:r w:rsidR="00B260BD" w:rsidRPr="002B3315">
        <w:rPr>
          <w:rFonts w:ascii="Arial" w:hAnsi="Arial" w:cs="Arial"/>
          <w:color w:val="7B7B7B" w:themeColor="accent3" w:themeShade="BF"/>
          <w:sz w:val="22"/>
          <w:szCs w:val="22"/>
          <w:lang w:val="en-GB"/>
        </w:rPr>
        <w:t xml:space="preserve"> and Wales</w:t>
      </w:r>
      <w:r w:rsidR="0094156A" w:rsidRPr="002B3315">
        <w:rPr>
          <w:rFonts w:ascii="Arial" w:hAnsi="Arial" w:cs="Arial"/>
          <w:color w:val="7B7B7B" w:themeColor="accent3" w:themeShade="BF"/>
          <w:sz w:val="22"/>
          <w:szCs w:val="22"/>
          <w:lang w:val="en-GB"/>
        </w:rPr>
        <w:t xml:space="preserve">. Under English law, a company’s business and affairs are </w:t>
      </w:r>
      <w:r w:rsidR="005F6E8A" w:rsidRPr="002B3315">
        <w:rPr>
          <w:rFonts w:ascii="Arial" w:hAnsi="Arial" w:cs="Arial"/>
          <w:color w:val="7B7B7B" w:themeColor="accent3" w:themeShade="BF"/>
          <w:sz w:val="22"/>
          <w:szCs w:val="22"/>
          <w:lang w:val="en-GB"/>
        </w:rPr>
        <w:t xml:space="preserve">usually </w:t>
      </w:r>
      <w:r w:rsidR="0094156A" w:rsidRPr="002B3315">
        <w:rPr>
          <w:rFonts w:ascii="Arial" w:hAnsi="Arial" w:cs="Arial"/>
          <w:color w:val="7B7B7B" w:themeColor="accent3" w:themeShade="BF"/>
          <w:sz w:val="22"/>
          <w:szCs w:val="22"/>
          <w:lang w:val="en-GB"/>
        </w:rPr>
        <w:t>conducted by the director(s) and the</w:t>
      </w:r>
      <w:r w:rsidR="00B260BD" w:rsidRPr="002B3315">
        <w:rPr>
          <w:rFonts w:ascii="Arial" w:hAnsi="Arial" w:cs="Arial"/>
          <w:color w:val="7B7B7B" w:themeColor="accent3" w:themeShade="BF"/>
          <w:sz w:val="22"/>
          <w:szCs w:val="22"/>
          <w:lang w:val="en-GB"/>
        </w:rPr>
        <w:t>y</w:t>
      </w:r>
      <w:r w:rsidR="0094156A" w:rsidRPr="002B3315">
        <w:rPr>
          <w:rFonts w:ascii="Arial" w:hAnsi="Arial" w:cs="Arial"/>
          <w:color w:val="7B7B7B" w:themeColor="accent3" w:themeShade="BF"/>
          <w:sz w:val="22"/>
          <w:szCs w:val="22"/>
          <w:lang w:val="en-GB"/>
        </w:rPr>
        <w:t xml:space="preserve"> are</w:t>
      </w:r>
      <w:r w:rsidR="005F6E8A" w:rsidRPr="002B3315">
        <w:rPr>
          <w:rFonts w:ascii="Arial" w:hAnsi="Arial" w:cs="Arial"/>
          <w:color w:val="7B7B7B" w:themeColor="accent3" w:themeShade="BF"/>
          <w:sz w:val="22"/>
          <w:szCs w:val="22"/>
          <w:lang w:val="en-GB"/>
        </w:rPr>
        <w:t xml:space="preserve"> usually</w:t>
      </w:r>
      <w:r w:rsidR="0094156A" w:rsidRPr="002B3315">
        <w:rPr>
          <w:rFonts w:ascii="Arial" w:hAnsi="Arial" w:cs="Arial"/>
          <w:color w:val="7B7B7B" w:themeColor="accent3" w:themeShade="BF"/>
          <w:sz w:val="22"/>
          <w:szCs w:val="22"/>
          <w:lang w:val="en-GB"/>
        </w:rPr>
        <w:t xml:space="preserve"> appointed by the member</w:t>
      </w:r>
      <w:r w:rsidR="005F6E8A" w:rsidRPr="002B3315">
        <w:rPr>
          <w:rFonts w:ascii="Arial" w:hAnsi="Arial" w:cs="Arial"/>
          <w:color w:val="7B7B7B" w:themeColor="accent3" w:themeShade="BF"/>
          <w:sz w:val="22"/>
          <w:szCs w:val="22"/>
          <w:lang w:val="en-GB"/>
        </w:rPr>
        <w:t>(</w:t>
      </w:r>
      <w:r w:rsidR="0094156A" w:rsidRPr="002B3315">
        <w:rPr>
          <w:rFonts w:ascii="Arial" w:hAnsi="Arial" w:cs="Arial"/>
          <w:color w:val="7B7B7B" w:themeColor="accent3" w:themeShade="BF"/>
          <w:sz w:val="22"/>
          <w:szCs w:val="22"/>
          <w:lang w:val="en-GB"/>
        </w:rPr>
        <w:t>s</w:t>
      </w:r>
      <w:r w:rsidR="005F6E8A" w:rsidRPr="002B3315">
        <w:rPr>
          <w:rFonts w:ascii="Arial" w:hAnsi="Arial" w:cs="Arial"/>
          <w:color w:val="7B7B7B" w:themeColor="accent3" w:themeShade="BF"/>
          <w:sz w:val="22"/>
          <w:szCs w:val="22"/>
          <w:lang w:val="en-GB"/>
        </w:rPr>
        <w:t>)</w:t>
      </w:r>
      <w:r w:rsidR="0094156A" w:rsidRPr="002B3315">
        <w:rPr>
          <w:rFonts w:ascii="Arial" w:hAnsi="Arial" w:cs="Arial"/>
          <w:color w:val="7B7B7B" w:themeColor="accent3" w:themeShade="BF"/>
          <w:sz w:val="22"/>
          <w:szCs w:val="22"/>
          <w:lang w:val="en-GB"/>
        </w:rPr>
        <w:t xml:space="preserve"> o</w:t>
      </w:r>
      <w:r w:rsidR="0046597B" w:rsidRPr="002B3315">
        <w:rPr>
          <w:rFonts w:ascii="Arial" w:hAnsi="Arial" w:cs="Arial"/>
          <w:color w:val="7B7B7B" w:themeColor="accent3" w:themeShade="BF"/>
          <w:sz w:val="22"/>
          <w:szCs w:val="22"/>
          <w:lang w:val="en-GB"/>
        </w:rPr>
        <w:t>r</w:t>
      </w:r>
      <w:r w:rsidR="0094156A" w:rsidRPr="002B3315">
        <w:rPr>
          <w:rFonts w:ascii="Arial" w:hAnsi="Arial" w:cs="Arial"/>
          <w:color w:val="7B7B7B" w:themeColor="accent3" w:themeShade="BF"/>
          <w:sz w:val="22"/>
          <w:szCs w:val="22"/>
          <w:lang w:val="en-GB"/>
        </w:rPr>
        <w:t xml:space="preserve"> director(s)</w:t>
      </w:r>
      <w:r w:rsidR="005F6E8A" w:rsidRPr="002B3315">
        <w:rPr>
          <w:rFonts w:ascii="Arial" w:hAnsi="Arial" w:cs="Arial"/>
          <w:color w:val="7B7B7B" w:themeColor="accent3" w:themeShade="BF"/>
          <w:sz w:val="22"/>
          <w:szCs w:val="22"/>
          <w:lang w:val="en-GB"/>
        </w:rPr>
        <w:t xml:space="preserve">. </w:t>
      </w:r>
      <w:r w:rsidR="0007497A" w:rsidRPr="002B3315">
        <w:rPr>
          <w:rFonts w:ascii="Arial" w:hAnsi="Arial" w:cs="Arial"/>
          <w:color w:val="7B7B7B" w:themeColor="accent3" w:themeShade="BF"/>
          <w:sz w:val="22"/>
          <w:szCs w:val="22"/>
          <w:lang w:val="en-GB"/>
        </w:rPr>
        <w:t xml:space="preserve">The death of </w:t>
      </w:r>
      <w:proofErr w:type="spellStart"/>
      <w:r w:rsidR="00287284" w:rsidRPr="002B3315">
        <w:rPr>
          <w:rFonts w:ascii="Arial" w:hAnsi="Arial" w:cs="Arial"/>
          <w:color w:val="7B7B7B" w:themeColor="accent3" w:themeShade="BF"/>
          <w:sz w:val="22"/>
          <w:szCs w:val="22"/>
          <w:lang w:val="en-GB"/>
        </w:rPr>
        <w:t>Indebted’s</w:t>
      </w:r>
      <w:proofErr w:type="spellEnd"/>
      <w:r w:rsidR="0094156A" w:rsidRPr="002B3315">
        <w:rPr>
          <w:rFonts w:ascii="Arial" w:hAnsi="Arial" w:cs="Arial"/>
          <w:color w:val="7B7B7B" w:themeColor="accent3" w:themeShade="BF"/>
          <w:sz w:val="22"/>
          <w:szCs w:val="22"/>
          <w:lang w:val="en-GB"/>
        </w:rPr>
        <w:t xml:space="preserve"> sole shareholder and sole director</w:t>
      </w:r>
      <w:r w:rsidR="0007497A" w:rsidRPr="002B3315">
        <w:rPr>
          <w:rFonts w:ascii="Arial" w:hAnsi="Arial" w:cs="Arial"/>
          <w:color w:val="7B7B7B" w:themeColor="accent3" w:themeShade="BF"/>
          <w:sz w:val="22"/>
          <w:szCs w:val="22"/>
          <w:lang w:val="en-GB"/>
        </w:rPr>
        <w:t xml:space="preserve"> </w:t>
      </w:r>
      <w:r w:rsidR="0094156A" w:rsidRPr="002B3315">
        <w:rPr>
          <w:rFonts w:ascii="Arial" w:hAnsi="Arial" w:cs="Arial"/>
          <w:color w:val="7B7B7B" w:themeColor="accent3" w:themeShade="BF"/>
          <w:sz w:val="22"/>
          <w:szCs w:val="22"/>
          <w:lang w:val="en-GB"/>
        </w:rPr>
        <w:t xml:space="preserve">has two consequences </w:t>
      </w:r>
      <w:r w:rsidR="003B0238" w:rsidRPr="002B3315">
        <w:rPr>
          <w:rFonts w:ascii="Arial" w:hAnsi="Arial" w:cs="Arial"/>
          <w:color w:val="7B7B7B" w:themeColor="accent3" w:themeShade="BF"/>
          <w:sz w:val="22"/>
          <w:szCs w:val="22"/>
          <w:lang w:val="en-GB"/>
        </w:rPr>
        <w:t xml:space="preserve">- </w:t>
      </w:r>
      <w:r w:rsidR="005F6E8A" w:rsidRPr="002B3315">
        <w:rPr>
          <w:rFonts w:ascii="Arial" w:hAnsi="Arial" w:cs="Arial"/>
          <w:color w:val="7B7B7B" w:themeColor="accent3" w:themeShade="BF"/>
          <w:sz w:val="22"/>
          <w:szCs w:val="22"/>
          <w:lang w:val="en-GB"/>
        </w:rPr>
        <w:t>first</w:t>
      </w:r>
      <w:r w:rsidR="00B260BD" w:rsidRPr="002B3315">
        <w:rPr>
          <w:rFonts w:ascii="Arial" w:hAnsi="Arial" w:cs="Arial"/>
          <w:color w:val="7B7B7B" w:themeColor="accent3" w:themeShade="BF"/>
          <w:sz w:val="22"/>
          <w:szCs w:val="22"/>
          <w:lang w:val="en-GB"/>
        </w:rPr>
        <w:t>ly</w:t>
      </w:r>
      <w:r w:rsidR="005F6E8A" w:rsidRPr="002B3315">
        <w:rPr>
          <w:rFonts w:ascii="Arial" w:hAnsi="Arial" w:cs="Arial"/>
          <w:color w:val="7B7B7B" w:themeColor="accent3" w:themeShade="BF"/>
          <w:sz w:val="22"/>
          <w:szCs w:val="22"/>
          <w:lang w:val="en-GB"/>
        </w:rPr>
        <w:t xml:space="preserve"> no one </w:t>
      </w:r>
      <w:proofErr w:type="gramStart"/>
      <w:r w:rsidR="005F6E8A" w:rsidRPr="002B3315">
        <w:rPr>
          <w:rFonts w:ascii="Arial" w:hAnsi="Arial" w:cs="Arial"/>
          <w:color w:val="7B7B7B" w:themeColor="accent3" w:themeShade="BF"/>
          <w:sz w:val="22"/>
          <w:szCs w:val="22"/>
          <w:lang w:val="en-GB"/>
        </w:rPr>
        <w:t>is able to</w:t>
      </w:r>
      <w:proofErr w:type="gramEnd"/>
      <w:r w:rsidR="005F6E8A" w:rsidRPr="002B3315">
        <w:rPr>
          <w:rFonts w:ascii="Arial" w:hAnsi="Arial" w:cs="Arial"/>
          <w:color w:val="7B7B7B" w:themeColor="accent3" w:themeShade="BF"/>
          <w:sz w:val="22"/>
          <w:szCs w:val="22"/>
          <w:lang w:val="en-GB"/>
        </w:rPr>
        <w:t xml:space="preserve"> carry on </w:t>
      </w:r>
      <w:r w:rsidR="003B0238" w:rsidRPr="002B3315">
        <w:rPr>
          <w:rFonts w:ascii="Arial" w:hAnsi="Arial" w:cs="Arial"/>
          <w:color w:val="7B7B7B" w:themeColor="accent3" w:themeShade="BF"/>
          <w:sz w:val="22"/>
          <w:szCs w:val="22"/>
          <w:lang w:val="en-GB"/>
        </w:rPr>
        <w:t>its</w:t>
      </w:r>
      <w:r w:rsidR="005F6E8A" w:rsidRPr="002B3315">
        <w:rPr>
          <w:rFonts w:ascii="Arial" w:hAnsi="Arial" w:cs="Arial"/>
          <w:color w:val="7B7B7B" w:themeColor="accent3" w:themeShade="BF"/>
          <w:sz w:val="22"/>
          <w:szCs w:val="22"/>
          <w:lang w:val="en-GB"/>
        </w:rPr>
        <w:t xml:space="preserve"> business and affairs</w:t>
      </w:r>
      <w:r w:rsidR="00B260BD" w:rsidRPr="002B3315">
        <w:rPr>
          <w:rFonts w:ascii="Arial" w:hAnsi="Arial" w:cs="Arial"/>
          <w:color w:val="7B7B7B" w:themeColor="accent3" w:themeShade="BF"/>
          <w:sz w:val="22"/>
          <w:szCs w:val="22"/>
          <w:lang w:val="en-GB"/>
        </w:rPr>
        <w:t>, and secondly,</w:t>
      </w:r>
      <w:r w:rsidR="005F6E8A" w:rsidRPr="002B3315">
        <w:rPr>
          <w:rFonts w:ascii="Arial" w:hAnsi="Arial" w:cs="Arial"/>
          <w:color w:val="7B7B7B" w:themeColor="accent3" w:themeShade="BF"/>
          <w:sz w:val="22"/>
          <w:szCs w:val="22"/>
          <w:lang w:val="en-GB"/>
        </w:rPr>
        <w:t xml:space="preserve"> no one can </w:t>
      </w:r>
      <w:r w:rsidR="003B0238" w:rsidRPr="002B3315">
        <w:rPr>
          <w:rFonts w:ascii="Arial" w:hAnsi="Arial" w:cs="Arial"/>
          <w:color w:val="7B7B7B" w:themeColor="accent3" w:themeShade="BF"/>
          <w:sz w:val="22"/>
          <w:szCs w:val="22"/>
          <w:lang w:val="en-GB"/>
        </w:rPr>
        <w:t>be appointed in place of the deceased individual.</w:t>
      </w:r>
      <w:r w:rsidR="00320F30" w:rsidRPr="002B3315">
        <w:rPr>
          <w:rFonts w:ascii="Arial" w:hAnsi="Arial" w:cs="Arial"/>
          <w:color w:val="7B7B7B" w:themeColor="accent3" w:themeShade="BF"/>
          <w:sz w:val="22"/>
          <w:szCs w:val="22"/>
          <w:lang w:val="en-GB"/>
        </w:rPr>
        <w:t xml:space="preserve"> A</w:t>
      </w:r>
      <w:r w:rsidR="007706DC" w:rsidRPr="002B3315">
        <w:rPr>
          <w:rFonts w:ascii="Arial" w:hAnsi="Arial" w:cs="Arial"/>
          <w:color w:val="7B7B7B" w:themeColor="accent3" w:themeShade="BF"/>
          <w:sz w:val="22"/>
          <w:szCs w:val="22"/>
          <w:lang w:val="en-GB"/>
        </w:rPr>
        <w:t xml:space="preserve">s a minimum, a </w:t>
      </w:r>
      <w:r w:rsidR="00320F30" w:rsidRPr="002B3315">
        <w:rPr>
          <w:rFonts w:ascii="Arial" w:hAnsi="Arial" w:cs="Arial"/>
          <w:color w:val="7B7B7B" w:themeColor="accent3" w:themeShade="BF"/>
          <w:sz w:val="22"/>
          <w:szCs w:val="22"/>
          <w:lang w:val="en-GB"/>
        </w:rPr>
        <w:t xml:space="preserve">new </w:t>
      </w:r>
      <w:r w:rsidR="007706DC" w:rsidRPr="002B3315">
        <w:rPr>
          <w:rFonts w:ascii="Arial" w:hAnsi="Arial" w:cs="Arial"/>
          <w:color w:val="7B7B7B" w:themeColor="accent3" w:themeShade="BF"/>
          <w:sz w:val="22"/>
          <w:szCs w:val="22"/>
          <w:lang w:val="en-GB"/>
        </w:rPr>
        <w:t xml:space="preserve">member would need to be entered onto the register of members </w:t>
      </w:r>
      <w:r w:rsidR="00320F30" w:rsidRPr="002B3315">
        <w:rPr>
          <w:rFonts w:ascii="Arial" w:hAnsi="Arial" w:cs="Arial"/>
          <w:color w:val="7B7B7B" w:themeColor="accent3" w:themeShade="BF"/>
          <w:sz w:val="22"/>
          <w:szCs w:val="22"/>
          <w:lang w:val="en-GB"/>
        </w:rPr>
        <w:t xml:space="preserve">and </w:t>
      </w:r>
      <w:r w:rsidR="007706DC" w:rsidRPr="002B3315">
        <w:rPr>
          <w:rFonts w:ascii="Arial" w:hAnsi="Arial" w:cs="Arial"/>
          <w:color w:val="7B7B7B" w:themeColor="accent3" w:themeShade="BF"/>
          <w:sz w:val="22"/>
          <w:szCs w:val="22"/>
          <w:lang w:val="en-GB"/>
        </w:rPr>
        <w:t xml:space="preserve">a </w:t>
      </w:r>
      <w:r w:rsidR="00320F30" w:rsidRPr="002B3315">
        <w:rPr>
          <w:rFonts w:ascii="Arial" w:hAnsi="Arial" w:cs="Arial"/>
          <w:color w:val="7B7B7B" w:themeColor="accent3" w:themeShade="BF"/>
          <w:sz w:val="22"/>
          <w:szCs w:val="22"/>
          <w:lang w:val="en-GB"/>
        </w:rPr>
        <w:t xml:space="preserve">new director </w:t>
      </w:r>
      <w:r w:rsidR="007706DC" w:rsidRPr="002B3315">
        <w:rPr>
          <w:rFonts w:ascii="Arial" w:hAnsi="Arial" w:cs="Arial"/>
          <w:color w:val="7B7B7B" w:themeColor="accent3" w:themeShade="BF"/>
          <w:sz w:val="22"/>
          <w:szCs w:val="22"/>
          <w:lang w:val="en-GB"/>
        </w:rPr>
        <w:t>appointed.</w:t>
      </w:r>
    </w:p>
    <w:p w14:paraId="32F6A4DB" w14:textId="5F8221BD" w:rsidR="006B3B1A" w:rsidRPr="002B3315" w:rsidRDefault="006B3B1A" w:rsidP="005F6E8A">
      <w:pPr>
        <w:jc w:val="both"/>
        <w:rPr>
          <w:rFonts w:ascii="Arial" w:hAnsi="Arial" w:cs="Arial"/>
          <w:color w:val="7B7B7B" w:themeColor="accent3" w:themeShade="BF"/>
          <w:sz w:val="22"/>
          <w:szCs w:val="22"/>
          <w:u w:val="single"/>
          <w:lang w:val="en-GB"/>
        </w:rPr>
      </w:pPr>
      <w:r w:rsidRPr="002B3315">
        <w:rPr>
          <w:rFonts w:ascii="Arial" w:hAnsi="Arial" w:cs="Arial"/>
          <w:color w:val="7B7B7B" w:themeColor="accent3" w:themeShade="BF"/>
          <w:sz w:val="22"/>
          <w:szCs w:val="22"/>
          <w:u w:val="single"/>
          <w:lang w:val="en-GB"/>
        </w:rPr>
        <w:lastRenderedPageBreak/>
        <w:t>Shareholding</w:t>
      </w:r>
    </w:p>
    <w:p w14:paraId="7005CDE5" w14:textId="73E59B8E" w:rsidR="005F6E8A" w:rsidRPr="002B3315" w:rsidRDefault="005F6E8A" w:rsidP="005F6E8A">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If the shareholder die</w:t>
      </w:r>
      <w:r w:rsidR="007D7802" w:rsidRPr="002B3315">
        <w:rPr>
          <w:rFonts w:ascii="Arial" w:hAnsi="Arial" w:cs="Arial"/>
          <w:color w:val="7B7B7B" w:themeColor="accent3" w:themeShade="BF"/>
          <w:sz w:val="22"/>
          <w:szCs w:val="22"/>
          <w:lang w:val="en-GB"/>
        </w:rPr>
        <w:t>d</w:t>
      </w:r>
      <w:r w:rsidRPr="002B3315">
        <w:rPr>
          <w:rFonts w:ascii="Arial" w:hAnsi="Arial" w:cs="Arial"/>
          <w:color w:val="7B7B7B" w:themeColor="accent3" w:themeShade="BF"/>
          <w:sz w:val="22"/>
          <w:szCs w:val="22"/>
          <w:lang w:val="en-GB"/>
        </w:rPr>
        <w:t xml:space="preserve"> </w:t>
      </w:r>
      <w:r w:rsidR="007D7802" w:rsidRPr="002B3315">
        <w:rPr>
          <w:rFonts w:ascii="Arial" w:hAnsi="Arial" w:cs="Arial"/>
          <w:color w:val="7B7B7B" w:themeColor="accent3" w:themeShade="BF"/>
          <w:sz w:val="22"/>
          <w:szCs w:val="22"/>
          <w:lang w:val="en-GB"/>
        </w:rPr>
        <w:t xml:space="preserve">with a </w:t>
      </w:r>
      <w:r w:rsidRPr="002B3315">
        <w:rPr>
          <w:rFonts w:ascii="Arial" w:hAnsi="Arial" w:cs="Arial"/>
          <w:color w:val="7B7B7B" w:themeColor="accent3" w:themeShade="BF"/>
          <w:sz w:val="22"/>
          <w:szCs w:val="22"/>
          <w:lang w:val="en-GB"/>
        </w:rPr>
        <w:t xml:space="preserve">valid will appointing executors, the administrators </w:t>
      </w:r>
      <w:r w:rsidR="007D7802" w:rsidRPr="002B3315">
        <w:rPr>
          <w:rFonts w:ascii="Arial" w:hAnsi="Arial" w:cs="Arial"/>
          <w:color w:val="7B7B7B" w:themeColor="accent3" w:themeShade="BF"/>
          <w:sz w:val="22"/>
          <w:szCs w:val="22"/>
          <w:lang w:val="en-GB"/>
        </w:rPr>
        <w:t xml:space="preserve">would, upon the grant of probate being issued, </w:t>
      </w:r>
      <w:r w:rsidRPr="002B3315">
        <w:rPr>
          <w:rFonts w:ascii="Arial" w:hAnsi="Arial" w:cs="Arial"/>
          <w:color w:val="7B7B7B" w:themeColor="accent3" w:themeShade="BF"/>
          <w:sz w:val="22"/>
          <w:szCs w:val="22"/>
          <w:lang w:val="en-GB"/>
        </w:rPr>
        <w:t xml:space="preserve">become the personal representatives. </w:t>
      </w:r>
      <w:r w:rsidR="00944D9A" w:rsidRPr="002B3315">
        <w:rPr>
          <w:rFonts w:ascii="Arial" w:hAnsi="Arial" w:cs="Arial"/>
          <w:color w:val="7B7B7B" w:themeColor="accent3" w:themeShade="BF"/>
          <w:sz w:val="22"/>
          <w:szCs w:val="22"/>
          <w:lang w:val="en-GB"/>
        </w:rPr>
        <w:t>If</w:t>
      </w:r>
      <w:r w:rsidRPr="002B3315">
        <w:rPr>
          <w:rFonts w:ascii="Arial" w:hAnsi="Arial" w:cs="Arial"/>
          <w:color w:val="7B7B7B" w:themeColor="accent3" w:themeShade="BF"/>
          <w:sz w:val="22"/>
          <w:szCs w:val="22"/>
          <w:lang w:val="en-GB"/>
        </w:rPr>
        <w:t xml:space="preserve"> the shares </w:t>
      </w:r>
      <w:r w:rsidR="007D7802" w:rsidRPr="002B3315">
        <w:rPr>
          <w:rFonts w:ascii="Arial" w:hAnsi="Arial" w:cs="Arial"/>
          <w:color w:val="7B7B7B" w:themeColor="accent3" w:themeShade="BF"/>
          <w:sz w:val="22"/>
          <w:szCs w:val="22"/>
          <w:lang w:val="en-GB"/>
        </w:rPr>
        <w:t xml:space="preserve">in Indebted </w:t>
      </w:r>
      <w:r w:rsidRPr="002B3315">
        <w:rPr>
          <w:rFonts w:ascii="Arial" w:hAnsi="Arial" w:cs="Arial"/>
          <w:color w:val="7B7B7B" w:themeColor="accent3" w:themeShade="BF"/>
          <w:sz w:val="22"/>
          <w:szCs w:val="22"/>
          <w:lang w:val="en-GB"/>
        </w:rPr>
        <w:t xml:space="preserve">were registered in the deceased’s name, the legal title </w:t>
      </w:r>
      <w:r w:rsidR="007D7802" w:rsidRPr="002B3315">
        <w:rPr>
          <w:rFonts w:ascii="Arial" w:hAnsi="Arial" w:cs="Arial"/>
          <w:color w:val="7B7B7B" w:themeColor="accent3" w:themeShade="BF"/>
          <w:sz w:val="22"/>
          <w:szCs w:val="22"/>
          <w:lang w:val="en-GB"/>
        </w:rPr>
        <w:t xml:space="preserve">would vest </w:t>
      </w:r>
      <w:r w:rsidR="00944D9A" w:rsidRPr="002B3315">
        <w:rPr>
          <w:rFonts w:ascii="Arial" w:hAnsi="Arial" w:cs="Arial"/>
          <w:color w:val="7B7B7B" w:themeColor="accent3" w:themeShade="BF"/>
          <w:sz w:val="22"/>
          <w:szCs w:val="22"/>
          <w:lang w:val="en-GB"/>
        </w:rPr>
        <w:t xml:space="preserve">automatically </w:t>
      </w:r>
      <w:r w:rsidR="007D7802" w:rsidRPr="002B3315">
        <w:rPr>
          <w:rFonts w:ascii="Arial" w:hAnsi="Arial" w:cs="Arial"/>
          <w:color w:val="7B7B7B" w:themeColor="accent3" w:themeShade="BF"/>
          <w:sz w:val="22"/>
          <w:szCs w:val="22"/>
          <w:lang w:val="en-GB"/>
        </w:rPr>
        <w:t>in the personal representative</w:t>
      </w:r>
      <w:r w:rsidR="00944D9A" w:rsidRPr="002B3315">
        <w:rPr>
          <w:rFonts w:ascii="Arial" w:hAnsi="Arial" w:cs="Arial"/>
          <w:color w:val="7B7B7B" w:themeColor="accent3" w:themeShade="BF"/>
          <w:sz w:val="22"/>
          <w:szCs w:val="22"/>
          <w:lang w:val="en-GB"/>
        </w:rPr>
        <w:t>s</w:t>
      </w:r>
      <w:r w:rsidRPr="002B3315">
        <w:rPr>
          <w:rFonts w:ascii="Arial" w:hAnsi="Arial" w:cs="Arial"/>
          <w:color w:val="7B7B7B" w:themeColor="accent3" w:themeShade="BF"/>
          <w:sz w:val="22"/>
          <w:szCs w:val="22"/>
          <w:lang w:val="en-GB"/>
        </w:rPr>
        <w:t>.</w:t>
      </w:r>
      <w:r w:rsidR="007D7802" w:rsidRPr="002B3315">
        <w:rPr>
          <w:rFonts w:ascii="Arial" w:hAnsi="Arial" w:cs="Arial"/>
          <w:color w:val="7B7B7B" w:themeColor="accent3" w:themeShade="BF"/>
          <w:sz w:val="22"/>
          <w:szCs w:val="22"/>
          <w:lang w:val="en-GB"/>
        </w:rPr>
        <w:t xml:space="preserve"> I</w:t>
      </w:r>
      <w:r w:rsidR="00752610" w:rsidRPr="002B3315">
        <w:rPr>
          <w:rFonts w:ascii="Arial" w:hAnsi="Arial" w:cs="Arial"/>
          <w:color w:val="7B7B7B" w:themeColor="accent3" w:themeShade="BF"/>
          <w:sz w:val="22"/>
          <w:szCs w:val="22"/>
          <w:lang w:val="en-GB"/>
        </w:rPr>
        <w:t>n</w:t>
      </w:r>
      <w:r w:rsidR="007D7802" w:rsidRPr="002B3315">
        <w:rPr>
          <w:rFonts w:ascii="Arial" w:hAnsi="Arial" w:cs="Arial"/>
          <w:color w:val="7B7B7B" w:themeColor="accent3" w:themeShade="BF"/>
          <w:sz w:val="22"/>
          <w:szCs w:val="22"/>
          <w:lang w:val="en-GB"/>
        </w:rPr>
        <w:t xml:space="preserve"> th</w:t>
      </w:r>
      <w:r w:rsidR="00944D9A" w:rsidRPr="002B3315">
        <w:rPr>
          <w:rFonts w:ascii="Arial" w:hAnsi="Arial" w:cs="Arial"/>
          <w:color w:val="7B7B7B" w:themeColor="accent3" w:themeShade="BF"/>
          <w:sz w:val="22"/>
          <w:szCs w:val="22"/>
          <w:lang w:val="en-GB"/>
        </w:rPr>
        <w:t>e absence of a</w:t>
      </w:r>
      <w:r w:rsidR="007D7802" w:rsidRPr="002B3315">
        <w:rPr>
          <w:rFonts w:ascii="Arial" w:hAnsi="Arial" w:cs="Arial"/>
          <w:color w:val="7B7B7B" w:themeColor="accent3" w:themeShade="BF"/>
          <w:sz w:val="22"/>
          <w:szCs w:val="22"/>
          <w:lang w:val="en-GB"/>
        </w:rPr>
        <w:t xml:space="preserve"> valid will or </w:t>
      </w:r>
      <w:r w:rsidR="00944D9A" w:rsidRPr="002B3315">
        <w:rPr>
          <w:rFonts w:ascii="Arial" w:hAnsi="Arial" w:cs="Arial"/>
          <w:color w:val="7B7B7B" w:themeColor="accent3" w:themeShade="BF"/>
          <w:sz w:val="22"/>
          <w:szCs w:val="22"/>
          <w:lang w:val="en-GB"/>
        </w:rPr>
        <w:t>one</w:t>
      </w:r>
      <w:r w:rsidR="007D7802" w:rsidRPr="002B3315">
        <w:rPr>
          <w:rFonts w:ascii="Arial" w:hAnsi="Arial" w:cs="Arial"/>
          <w:color w:val="7B7B7B" w:themeColor="accent3" w:themeShade="BF"/>
          <w:sz w:val="22"/>
          <w:szCs w:val="22"/>
          <w:lang w:val="en-GB"/>
        </w:rPr>
        <w:t xml:space="preserve"> that appoints executors, the estate cannot be administered until there is a grant of representation (and the shares </w:t>
      </w:r>
      <w:r w:rsidR="00944D9A" w:rsidRPr="002B3315">
        <w:rPr>
          <w:rFonts w:ascii="Arial" w:hAnsi="Arial" w:cs="Arial"/>
          <w:color w:val="7B7B7B" w:themeColor="accent3" w:themeShade="BF"/>
          <w:sz w:val="22"/>
          <w:szCs w:val="22"/>
          <w:lang w:val="en-GB"/>
        </w:rPr>
        <w:t>will not vest in the administrators until the grant</w:t>
      </w:r>
      <w:r w:rsidR="007D7802" w:rsidRPr="002B3315">
        <w:rPr>
          <w:rFonts w:ascii="Arial" w:hAnsi="Arial" w:cs="Arial"/>
          <w:color w:val="7B7B7B" w:themeColor="accent3" w:themeShade="BF"/>
          <w:sz w:val="22"/>
          <w:szCs w:val="22"/>
          <w:lang w:val="en-GB"/>
        </w:rPr>
        <w:t>). Once authority is established (either as executor</w:t>
      </w:r>
      <w:r w:rsidR="00944D9A" w:rsidRPr="002B3315">
        <w:rPr>
          <w:rFonts w:ascii="Arial" w:hAnsi="Arial" w:cs="Arial"/>
          <w:color w:val="7B7B7B" w:themeColor="accent3" w:themeShade="BF"/>
          <w:sz w:val="22"/>
          <w:szCs w:val="22"/>
          <w:lang w:val="en-GB"/>
        </w:rPr>
        <w:t>s</w:t>
      </w:r>
      <w:r w:rsidR="007D7802" w:rsidRPr="002B3315">
        <w:rPr>
          <w:rFonts w:ascii="Arial" w:hAnsi="Arial" w:cs="Arial"/>
          <w:color w:val="7B7B7B" w:themeColor="accent3" w:themeShade="BF"/>
          <w:sz w:val="22"/>
          <w:szCs w:val="22"/>
          <w:lang w:val="en-GB"/>
        </w:rPr>
        <w:t xml:space="preserve"> or administrator</w:t>
      </w:r>
      <w:r w:rsidR="00944D9A" w:rsidRPr="002B3315">
        <w:rPr>
          <w:rFonts w:ascii="Arial" w:hAnsi="Arial" w:cs="Arial"/>
          <w:color w:val="7B7B7B" w:themeColor="accent3" w:themeShade="BF"/>
          <w:sz w:val="22"/>
          <w:szCs w:val="22"/>
          <w:lang w:val="en-GB"/>
        </w:rPr>
        <w:t>s</w:t>
      </w:r>
      <w:r w:rsidR="007D7802" w:rsidRPr="002B3315">
        <w:rPr>
          <w:rFonts w:ascii="Arial" w:hAnsi="Arial" w:cs="Arial"/>
          <w:color w:val="7B7B7B" w:themeColor="accent3" w:themeShade="BF"/>
          <w:sz w:val="22"/>
          <w:szCs w:val="22"/>
          <w:lang w:val="en-GB"/>
        </w:rPr>
        <w:t xml:space="preserve">), </w:t>
      </w:r>
      <w:proofErr w:type="spellStart"/>
      <w:r w:rsidR="007D7802" w:rsidRPr="002B3315">
        <w:rPr>
          <w:rFonts w:ascii="Arial" w:hAnsi="Arial" w:cs="Arial"/>
          <w:color w:val="7B7B7B" w:themeColor="accent3" w:themeShade="BF"/>
          <w:sz w:val="22"/>
          <w:szCs w:val="22"/>
          <w:lang w:val="en-GB"/>
        </w:rPr>
        <w:t>Indebted’s</w:t>
      </w:r>
      <w:proofErr w:type="spellEnd"/>
      <w:r w:rsidR="007D7802" w:rsidRPr="002B3315">
        <w:rPr>
          <w:rFonts w:ascii="Arial" w:hAnsi="Arial" w:cs="Arial"/>
          <w:color w:val="7B7B7B" w:themeColor="accent3" w:themeShade="BF"/>
          <w:sz w:val="22"/>
          <w:szCs w:val="22"/>
          <w:lang w:val="en-GB"/>
        </w:rPr>
        <w:t xml:space="preserve"> articles </w:t>
      </w:r>
      <w:r w:rsidR="003B0238" w:rsidRPr="002B3315">
        <w:rPr>
          <w:rFonts w:ascii="Arial" w:hAnsi="Arial" w:cs="Arial"/>
          <w:color w:val="7B7B7B" w:themeColor="accent3" w:themeShade="BF"/>
          <w:sz w:val="22"/>
          <w:szCs w:val="22"/>
          <w:lang w:val="en-GB"/>
        </w:rPr>
        <w:t xml:space="preserve">of association </w:t>
      </w:r>
      <w:r w:rsidR="007D7802" w:rsidRPr="002B3315">
        <w:rPr>
          <w:rFonts w:ascii="Arial" w:hAnsi="Arial" w:cs="Arial"/>
          <w:color w:val="7B7B7B" w:themeColor="accent3" w:themeShade="BF"/>
          <w:sz w:val="22"/>
          <w:szCs w:val="22"/>
          <w:lang w:val="en-GB"/>
        </w:rPr>
        <w:t xml:space="preserve">should be checked to determine </w:t>
      </w:r>
      <w:r w:rsidR="00944D9A" w:rsidRPr="002B3315">
        <w:rPr>
          <w:rFonts w:ascii="Arial" w:hAnsi="Arial" w:cs="Arial"/>
          <w:color w:val="7B7B7B" w:themeColor="accent3" w:themeShade="BF"/>
          <w:sz w:val="22"/>
          <w:szCs w:val="22"/>
          <w:lang w:val="en-GB"/>
        </w:rPr>
        <w:t>how</w:t>
      </w:r>
      <w:r w:rsidR="007D7802" w:rsidRPr="002B3315">
        <w:rPr>
          <w:rFonts w:ascii="Arial" w:hAnsi="Arial" w:cs="Arial"/>
          <w:color w:val="7B7B7B" w:themeColor="accent3" w:themeShade="BF"/>
          <w:sz w:val="22"/>
          <w:szCs w:val="22"/>
          <w:lang w:val="en-GB"/>
        </w:rPr>
        <w:t xml:space="preserve"> the personal representative</w:t>
      </w:r>
      <w:r w:rsidR="00944D9A" w:rsidRPr="002B3315">
        <w:rPr>
          <w:rFonts w:ascii="Arial" w:hAnsi="Arial" w:cs="Arial"/>
          <w:color w:val="7B7B7B" w:themeColor="accent3" w:themeShade="BF"/>
          <w:sz w:val="22"/>
          <w:szCs w:val="22"/>
          <w:lang w:val="en-GB"/>
        </w:rPr>
        <w:t>s</w:t>
      </w:r>
      <w:r w:rsidR="007D7802" w:rsidRPr="002B3315">
        <w:rPr>
          <w:rFonts w:ascii="Arial" w:hAnsi="Arial" w:cs="Arial"/>
          <w:color w:val="7B7B7B" w:themeColor="accent3" w:themeShade="BF"/>
          <w:sz w:val="22"/>
          <w:szCs w:val="22"/>
          <w:lang w:val="en-GB"/>
        </w:rPr>
        <w:t xml:space="preserve"> can be registered as a member of the company.</w:t>
      </w:r>
      <w:r w:rsidR="007D7802" w:rsidRPr="002B3315">
        <w:rPr>
          <w:rStyle w:val="FootnoteReference"/>
          <w:rFonts w:ascii="Arial" w:hAnsi="Arial" w:cs="Arial"/>
          <w:color w:val="7B7B7B" w:themeColor="accent3" w:themeShade="BF"/>
          <w:sz w:val="22"/>
          <w:szCs w:val="22"/>
          <w:lang w:val="en-GB"/>
        </w:rPr>
        <w:footnoteReference w:id="215"/>
      </w:r>
    </w:p>
    <w:p w14:paraId="16A2DA9D" w14:textId="77777777" w:rsidR="00752610" w:rsidRPr="002B3315" w:rsidRDefault="00752610" w:rsidP="00282F51">
      <w:pPr>
        <w:jc w:val="both"/>
        <w:rPr>
          <w:rFonts w:ascii="Arial" w:hAnsi="Arial" w:cs="Arial"/>
          <w:color w:val="7B7B7B" w:themeColor="accent3" w:themeShade="BF"/>
          <w:sz w:val="22"/>
          <w:szCs w:val="22"/>
          <w:lang w:val="en-GB"/>
        </w:rPr>
      </w:pPr>
    </w:p>
    <w:p w14:paraId="442E84C9" w14:textId="6BBD1CA9" w:rsidR="006B3B1A" w:rsidRPr="002B3315" w:rsidRDefault="006B3B1A" w:rsidP="00282F51">
      <w:pPr>
        <w:jc w:val="both"/>
        <w:rPr>
          <w:rFonts w:ascii="Arial" w:hAnsi="Arial" w:cs="Arial"/>
          <w:color w:val="7B7B7B" w:themeColor="accent3" w:themeShade="BF"/>
          <w:sz w:val="22"/>
          <w:szCs w:val="22"/>
          <w:u w:val="single"/>
          <w:lang w:val="en-GB"/>
        </w:rPr>
      </w:pPr>
      <w:r w:rsidRPr="002B3315">
        <w:rPr>
          <w:rFonts w:ascii="Arial" w:hAnsi="Arial" w:cs="Arial"/>
          <w:color w:val="7B7B7B" w:themeColor="accent3" w:themeShade="BF"/>
          <w:sz w:val="22"/>
          <w:szCs w:val="22"/>
          <w:u w:val="single"/>
          <w:lang w:val="en-GB"/>
        </w:rPr>
        <w:t>Directorship</w:t>
      </w:r>
    </w:p>
    <w:p w14:paraId="3C3F0F2B" w14:textId="4CB3FB42" w:rsidR="00E73AE5" w:rsidRPr="002B3315" w:rsidRDefault="006B3B1A" w:rsidP="00E73AE5">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An English company must have at least one director. </w:t>
      </w:r>
      <w:r w:rsidR="00E73AE5" w:rsidRPr="002B3315">
        <w:rPr>
          <w:rFonts w:ascii="Arial" w:hAnsi="Arial" w:cs="Arial"/>
          <w:color w:val="7B7B7B" w:themeColor="accent3" w:themeShade="BF"/>
          <w:sz w:val="22"/>
          <w:szCs w:val="22"/>
          <w:lang w:val="en-HK"/>
        </w:rPr>
        <w:t xml:space="preserve">How </w:t>
      </w:r>
      <w:proofErr w:type="spellStart"/>
      <w:r w:rsidR="00ED47BD" w:rsidRPr="002B3315">
        <w:rPr>
          <w:rFonts w:ascii="Arial" w:hAnsi="Arial" w:cs="Arial"/>
          <w:color w:val="7B7B7B" w:themeColor="accent3" w:themeShade="BF"/>
          <w:sz w:val="22"/>
          <w:szCs w:val="22"/>
          <w:lang w:val="en-HK"/>
        </w:rPr>
        <w:t>Indebted’s</w:t>
      </w:r>
      <w:proofErr w:type="spellEnd"/>
      <w:r w:rsidR="00ED47BD" w:rsidRPr="002B3315">
        <w:rPr>
          <w:rFonts w:ascii="Arial" w:hAnsi="Arial" w:cs="Arial"/>
          <w:color w:val="7B7B7B" w:themeColor="accent3" w:themeShade="BF"/>
          <w:sz w:val="22"/>
          <w:szCs w:val="22"/>
          <w:lang w:val="en-HK"/>
        </w:rPr>
        <w:t xml:space="preserve"> new director</w:t>
      </w:r>
      <w:r w:rsidR="00E73AE5" w:rsidRPr="002B3315">
        <w:rPr>
          <w:rFonts w:ascii="Arial" w:hAnsi="Arial" w:cs="Arial"/>
          <w:color w:val="7B7B7B" w:themeColor="accent3" w:themeShade="BF"/>
          <w:sz w:val="22"/>
          <w:szCs w:val="22"/>
          <w:lang w:val="en-HK"/>
        </w:rPr>
        <w:t xml:space="preserve"> is appointed would depend on when </w:t>
      </w:r>
      <w:r w:rsidR="00ED47BD" w:rsidRPr="002B3315">
        <w:rPr>
          <w:rFonts w:ascii="Arial" w:hAnsi="Arial" w:cs="Arial"/>
          <w:color w:val="7B7B7B" w:themeColor="accent3" w:themeShade="BF"/>
          <w:sz w:val="22"/>
          <w:szCs w:val="22"/>
          <w:lang w:val="en-HK"/>
        </w:rPr>
        <w:t>it</w:t>
      </w:r>
      <w:r w:rsidR="00E73AE5" w:rsidRPr="002B3315">
        <w:rPr>
          <w:rFonts w:ascii="Arial" w:hAnsi="Arial" w:cs="Arial"/>
          <w:color w:val="7B7B7B" w:themeColor="accent3" w:themeShade="BF"/>
          <w:sz w:val="22"/>
          <w:szCs w:val="22"/>
          <w:lang w:val="en-HK"/>
        </w:rPr>
        <w:t xml:space="preserve"> was incorporated – i.e. under the United Kingdom Companies Act 1985 (“</w:t>
      </w:r>
      <w:r w:rsidR="00E73AE5" w:rsidRPr="002B3315">
        <w:rPr>
          <w:rFonts w:ascii="Arial" w:hAnsi="Arial" w:cs="Arial"/>
          <w:b/>
          <w:bCs/>
          <w:color w:val="7B7B7B" w:themeColor="accent3" w:themeShade="BF"/>
          <w:sz w:val="22"/>
          <w:szCs w:val="22"/>
          <w:lang w:val="en-HK"/>
        </w:rPr>
        <w:t>1985 Act</w:t>
      </w:r>
      <w:r w:rsidR="00E73AE5" w:rsidRPr="002B3315">
        <w:rPr>
          <w:rFonts w:ascii="Arial" w:hAnsi="Arial" w:cs="Arial"/>
          <w:color w:val="7B7B7B" w:themeColor="accent3" w:themeShade="BF"/>
          <w:sz w:val="22"/>
          <w:szCs w:val="22"/>
          <w:lang w:val="en-HK"/>
        </w:rPr>
        <w:t>”) (i.e. before 1 October 2009) or Companies Act 2006 (“</w:t>
      </w:r>
      <w:r w:rsidR="00E73AE5" w:rsidRPr="002B3315">
        <w:rPr>
          <w:rFonts w:ascii="Arial" w:hAnsi="Arial" w:cs="Arial"/>
          <w:b/>
          <w:bCs/>
          <w:color w:val="7B7B7B" w:themeColor="accent3" w:themeShade="BF"/>
          <w:sz w:val="22"/>
          <w:szCs w:val="22"/>
          <w:lang w:val="en-HK"/>
        </w:rPr>
        <w:t>2006 Act</w:t>
      </w:r>
      <w:r w:rsidR="00E73AE5" w:rsidRPr="002B3315">
        <w:rPr>
          <w:rFonts w:ascii="Arial" w:hAnsi="Arial" w:cs="Arial"/>
          <w:color w:val="7B7B7B" w:themeColor="accent3" w:themeShade="BF"/>
          <w:sz w:val="22"/>
          <w:szCs w:val="22"/>
          <w:lang w:val="en-HK"/>
        </w:rPr>
        <w:t>”).</w:t>
      </w:r>
    </w:p>
    <w:p w14:paraId="58964A8A" w14:textId="77777777" w:rsidR="00E73AE5" w:rsidRPr="002B3315" w:rsidRDefault="00E73AE5" w:rsidP="00282F51">
      <w:pPr>
        <w:jc w:val="both"/>
        <w:rPr>
          <w:rFonts w:ascii="Arial" w:hAnsi="Arial" w:cs="Arial"/>
          <w:color w:val="7B7B7B" w:themeColor="accent3" w:themeShade="BF"/>
          <w:sz w:val="22"/>
          <w:szCs w:val="22"/>
          <w:highlight w:val="yellow"/>
          <w:lang w:val="en-GB"/>
        </w:rPr>
      </w:pPr>
    </w:p>
    <w:p w14:paraId="07839151" w14:textId="18131592" w:rsidR="00E73AE5" w:rsidRPr="002B3315" w:rsidRDefault="00E73AE5" w:rsidP="00E73AE5">
      <w:pPr>
        <w:jc w:val="both"/>
        <w:rPr>
          <w:rFonts w:ascii="Arial" w:hAnsi="Arial" w:cs="Arial"/>
          <w:color w:val="7B7B7B" w:themeColor="accent3" w:themeShade="BF"/>
          <w:sz w:val="22"/>
          <w:szCs w:val="22"/>
          <w:lang w:val="en-HK"/>
        </w:rPr>
      </w:pPr>
      <w:r w:rsidRPr="002B3315">
        <w:rPr>
          <w:rFonts w:ascii="Arial" w:hAnsi="Arial" w:cs="Arial"/>
          <w:color w:val="7B7B7B" w:themeColor="accent3" w:themeShade="BF"/>
          <w:sz w:val="22"/>
          <w:szCs w:val="22"/>
          <w:lang w:val="en-HK"/>
        </w:rPr>
        <w:t>If Indebted was incorporated under the 1985</w:t>
      </w:r>
      <w:r w:rsidR="00ED47BD" w:rsidRPr="002B3315">
        <w:rPr>
          <w:rFonts w:ascii="Arial" w:hAnsi="Arial" w:cs="Arial"/>
          <w:color w:val="7B7B7B" w:themeColor="accent3" w:themeShade="BF"/>
          <w:sz w:val="22"/>
          <w:szCs w:val="22"/>
          <w:lang w:val="en-HK"/>
        </w:rPr>
        <w:t xml:space="preserve"> Act</w:t>
      </w:r>
      <w:r w:rsidRPr="002B3315">
        <w:rPr>
          <w:rFonts w:ascii="Arial" w:hAnsi="Arial" w:cs="Arial"/>
          <w:color w:val="7B7B7B" w:themeColor="accent3" w:themeShade="BF"/>
          <w:sz w:val="22"/>
          <w:szCs w:val="22"/>
          <w:lang w:val="en-HK"/>
        </w:rPr>
        <w:t xml:space="preserve"> and had adopted Table A articles, the personal representatives would not have the automatic authority to appoint a new director – they would need to be added to the register of members (which cannot be done until a grant of probate is issued). Once added, they would then pass a resolution appointing a new director. This will then mean that the company can continue its normal activities. </w:t>
      </w:r>
      <w:r w:rsidR="00ED47BD" w:rsidRPr="002B3315">
        <w:rPr>
          <w:rFonts w:ascii="Arial" w:hAnsi="Arial" w:cs="Arial"/>
          <w:color w:val="7B7B7B" w:themeColor="accent3" w:themeShade="BF"/>
          <w:sz w:val="22"/>
          <w:szCs w:val="22"/>
          <w:lang w:val="en-HK"/>
        </w:rPr>
        <w:t>O</w:t>
      </w:r>
      <w:r w:rsidRPr="002B3315">
        <w:rPr>
          <w:rFonts w:ascii="Arial" w:hAnsi="Arial" w:cs="Arial"/>
          <w:color w:val="7B7B7B" w:themeColor="accent3" w:themeShade="BF"/>
          <w:sz w:val="22"/>
          <w:szCs w:val="22"/>
          <w:lang w:val="en-HK"/>
        </w:rPr>
        <w:t>btaining a grant of probate can be a lengthy process.</w:t>
      </w:r>
      <w:r w:rsidRPr="002B3315">
        <w:rPr>
          <w:rFonts w:ascii="Arial" w:hAnsi="Arial" w:cs="Arial"/>
          <w:color w:val="7B7B7B" w:themeColor="accent3" w:themeShade="BF"/>
          <w:sz w:val="22"/>
          <w:szCs w:val="22"/>
          <w:vertAlign w:val="superscript"/>
          <w:lang w:val="en-HK"/>
        </w:rPr>
        <w:footnoteReference w:id="216"/>
      </w:r>
    </w:p>
    <w:p w14:paraId="2A2BBA33" w14:textId="77777777" w:rsidR="00E73AE5" w:rsidRPr="002B3315" w:rsidRDefault="00E73AE5" w:rsidP="00282F51">
      <w:pPr>
        <w:jc w:val="both"/>
        <w:rPr>
          <w:rFonts w:ascii="Arial" w:hAnsi="Arial" w:cs="Arial"/>
          <w:color w:val="7B7B7B" w:themeColor="accent3" w:themeShade="BF"/>
          <w:sz w:val="22"/>
          <w:szCs w:val="22"/>
          <w:lang w:val="en-GB"/>
        </w:rPr>
      </w:pPr>
    </w:p>
    <w:p w14:paraId="41C740F5" w14:textId="1CA03D17" w:rsidR="008737A2" w:rsidRPr="002B3315" w:rsidRDefault="00ED47BD" w:rsidP="00ED47BD">
      <w:pPr>
        <w:jc w:val="both"/>
        <w:rPr>
          <w:rFonts w:ascii="Arial" w:hAnsi="Arial" w:cs="Arial"/>
          <w:color w:val="7B7B7B" w:themeColor="accent3" w:themeShade="BF"/>
          <w:sz w:val="22"/>
          <w:szCs w:val="22"/>
          <w:lang w:val="en-HK"/>
        </w:rPr>
      </w:pPr>
      <w:r w:rsidRPr="002B3315">
        <w:rPr>
          <w:rFonts w:ascii="Arial" w:hAnsi="Arial" w:cs="Arial"/>
          <w:color w:val="7B7B7B" w:themeColor="accent3" w:themeShade="BF"/>
          <w:sz w:val="22"/>
          <w:szCs w:val="22"/>
          <w:lang w:val="en-HK"/>
        </w:rPr>
        <w:t>If Indebted was incorporated under the 2006 Act and had adopted the model articles, then model article 17(2) is relevant.</w:t>
      </w:r>
      <w:r w:rsidR="004B1083" w:rsidRPr="002B3315">
        <w:rPr>
          <w:rFonts w:ascii="Arial" w:hAnsi="Arial" w:cs="Arial"/>
          <w:color w:val="7B7B7B" w:themeColor="accent3" w:themeShade="BF"/>
          <w:sz w:val="22"/>
          <w:szCs w:val="22"/>
          <w:lang w:val="en-HK"/>
        </w:rPr>
        <w:t xml:space="preserve"> It</w:t>
      </w:r>
      <w:r w:rsidRPr="002B3315">
        <w:rPr>
          <w:rFonts w:ascii="Arial" w:hAnsi="Arial" w:cs="Arial"/>
          <w:color w:val="7B7B7B" w:themeColor="accent3" w:themeShade="BF"/>
          <w:sz w:val="22"/>
          <w:szCs w:val="22"/>
          <w:lang w:val="en-HK"/>
        </w:rPr>
        <w:t xml:space="preserve"> states that where, </w:t>
      </w:r>
      <w:proofErr w:type="gramStart"/>
      <w:r w:rsidRPr="002B3315">
        <w:rPr>
          <w:rFonts w:ascii="Arial" w:hAnsi="Arial" w:cs="Arial"/>
          <w:color w:val="7B7B7B" w:themeColor="accent3" w:themeShade="BF"/>
          <w:sz w:val="22"/>
          <w:szCs w:val="22"/>
          <w:lang w:val="en-HK"/>
        </w:rPr>
        <w:t>as a result of</w:t>
      </w:r>
      <w:proofErr w:type="gramEnd"/>
      <w:r w:rsidRPr="002B3315">
        <w:rPr>
          <w:rFonts w:ascii="Arial" w:hAnsi="Arial" w:cs="Arial"/>
          <w:color w:val="7B7B7B" w:themeColor="accent3" w:themeShade="BF"/>
          <w:sz w:val="22"/>
          <w:szCs w:val="22"/>
          <w:lang w:val="en-HK"/>
        </w:rPr>
        <w:t xml:space="preserve"> death, a company has no shareholders and no directors, the personal representatives of the last shareholder to have died will have the right (by notice in writing) to appoint a director</w:t>
      </w:r>
      <w:r w:rsidRPr="002B3315">
        <w:rPr>
          <w:rFonts w:ascii="Arial" w:hAnsi="Arial" w:cs="Arial"/>
          <w:color w:val="7B7B7B" w:themeColor="accent3" w:themeShade="BF"/>
          <w:sz w:val="22"/>
          <w:szCs w:val="22"/>
          <w:vertAlign w:val="superscript"/>
          <w:lang w:val="en-HK"/>
        </w:rPr>
        <w:footnoteReference w:id="217"/>
      </w:r>
      <w:r w:rsidRPr="002B3315">
        <w:rPr>
          <w:rFonts w:ascii="Arial" w:hAnsi="Arial" w:cs="Arial"/>
          <w:color w:val="7B7B7B" w:themeColor="accent3" w:themeShade="BF"/>
          <w:sz w:val="22"/>
          <w:szCs w:val="22"/>
          <w:lang w:val="en-HK"/>
        </w:rPr>
        <w:t xml:space="preserve"> (of Indebted). This would avoid the need for protracted court applications and means Indebted can operate normally. </w:t>
      </w:r>
    </w:p>
    <w:p w14:paraId="7AA95ADC" w14:textId="77777777" w:rsidR="008737A2" w:rsidRPr="002B3315" w:rsidRDefault="008737A2" w:rsidP="00ED47BD">
      <w:pPr>
        <w:jc w:val="both"/>
        <w:rPr>
          <w:rFonts w:ascii="Arial" w:hAnsi="Arial" w:cs="Arial"/>
          <w:color w:val="7B7B7B" w:themeColor="accent3" w:themeShade="BF"/>
          <w:sz w:val="22"/>
          <w:szCs w:val="22"/>
          <w:lang w:val="en-HK"/>
        </w:rPr>
      </w:pPr>
    </w:p>
    <w:p w14:paraId="7E7BE2D8" w14:textId="5E4B817D" w:rsidR="00877829" w:rsidRPr="002B3315" w:rsidRDefault="00ED47BD" w:rsidP="00282F51">
      <w:pPr>
        <w:jc w:val="both"/>
        <w:rPr>
          <w:rFonts w:ascii="Arial" w:hAnsi="Arial" w:cs="Arial"/>
          <w:color w:val="7B7B7B" w:themeColor="accent3" w:themeShade="BF"/>
          <w:sz w:val="22"/>
          <w:szCs w:val="22"/>
          <w:lang w:val="en-HK"/>
        </w:rPr>
      </w:pPr>
      <w:r w:rsidRPr="002B3315">
        <w:rPr>
          <w:rFonts w:ascii="Arial" w:hAnsi="Arial" w:cs="Arial"/>
          <w:color w:val="7B7B7B" w:themeColor="accent3" w:themeShade="BF"/>
          <w:sz w:val="22"/>
          <w:szCs w:val="22"/>
          <w:lang w:val="en-HK"/>
        </w:rPr>
        <w:t>If Indebted ha</w:t>
      </w:r>
      <w:r w:rsidR="008737A2" w:rsidRPr="002B3315">
        <w:rPr>
          <w:rFonts w:ascii="Arial" w:hAnsi="Arial" w:cs="Arial"/>
          <w:color w:val="7B7B7B" w:themeColor="accent3" w:themeShade="BF"/>
          <w:sz w:val="22"/>
          <w:szCs w:val="22"/>
          <w:lang w:val="en-HK"/>
        </w:rPr>
        <w:t>s</w:t>
      </w:r>
      <w:r w:rsidRPr="002B3315">
        <w:rPr>
          <w:rFonts w:ascii="Arial" w:hAnsi="Arial" w:cs="Arial"/>
          <w:color w:val="7B7B7B" w:themeColor="accent3" w:themeShade="BF"/>
          <w:sz w:val="22"/>
          <w:szCs w:val="22"/>
          <w:lang w:val="en-HK"/>
        </w:rPr>
        <w:t xml:space="preserve"> adopted bespoke articles, the articles would need to be reviewed to see if it allows the personal representative to appoint a new director.</w:t>
      </w:r>
      <w:r w:rsidRPr="002B3315">
        <w:rPr>
          <w:rFonts w:ascii="Arial" w:hAnsi="Arial" w:cs="Arial"/>
          <w:color w:val="7B7B7B" w:themeColor="accent3" w:themeShade="BF"/>
          <w:sz w:val="22"/>
          <w:szCs w:val="22"/>
          <w:vertAlign w:val="superscript"/>
          <w:lang w:val="en-HK"/>
        </w:rPr>
        <w:footnoteReference w:id="218"/>
      </w:r>
      <w:r w:rsidR="008737A2" w:rsidRPr="002B3315">
        <w:rPr>
          <w:rFonts w:ascii="Arial" w:hAnsi="Arial" w:cs="Arial"/>
          <w:color w:val="7B7B7B" w:themeColor="accent3" w:themeShade="BF"/>
          <w:sz w:val="22"/>
          <w:szCs w:val="22"/>
          <w:lang w:val="en-HK"/>
        </w:rPr>
        <w:t xml:space="preserve"> </w:t>
      </w:r>
      <w:r w:rsidR="008B0178" w:rsidRPr="002B3315">
        <w:rPr>
          <w:rFonts w:ascii="Arial" w:hAnsi="Arial" w:cs="Arial"/>
          <w:color w:val="7B7B7B" w:themeColor="accent3" w:themeShade="BF"/>
          <w:sz w:val="22"/>
          <w:szCs w:val="22"/>
          <w:lang w:val="en-GB"/>
        </w:rPr>
        <w:t xml:space="preserve">The situation is complicated if the articles </w:t>
      </w:r>
      <w:r w:rsidR="00944D9A" w:rsidRPr="002B3315">
        <w:rPr>
          <w:rFonts w:ascii="Arial" w:hAnsi="Arial" w:cs="Arial"/>
          <w:color w:val="7B7B7B" w:themeColor="accent3" w:themeShade="BF"/>
          <w:sz w:val="22"/>
          <w:szCs w:val="22"/>
          <w:lang w:val="en-GB"/>
        </w:rPr>
        <w:t>prohibit</w:t>
      </w:r>
      <w:r w:rsidR="008B0178" w:rsidRPr="002B3315">
        <w:rPr>
          <w:rFonts w:ascii="Arial" w:hAnsi="Arial" w:cs="Arial"/>
          <w:color w:val="7B7B7B" w:themeColor="accent3" w:themeShade="BF"/>
          <w:sz w:val="22"/>
          <w:szCs w:val="22"/>
          <w:lang w:val="en-GB"/>
        </w:rPr>
        <w:t xml:space="preserve"> the personal representative</w:t>
      </w:r>
      <w:r w:rsidR="00944D9A" w:rsidRPr="002B3315">
        <w:rPr>
          <w:rFonts w:ascii="Arial" w:hAnsi="Arial" w:cs="Arial"/>
          <w:color w:val="7B7B7B" w:themeColor="accent3" w:themeShade="BF"/>
          <w:sz w:val="22"/>
          <w:szCs w:val="22"/>
          <w:lang w:val="en-GB"/>
        </w:rPr>
        <w:t>s</w:t>
      </w:r>
      <w:r w:rsidR="008B0178" w:rsidRPr="002B3315">
        <w:rPr>
          <w:rFonts w:ascii="Arial" w:hAnsi="Arial" w:cs="Arial"/>
          <w:color w:val="7B7B7B" w:themeColor="accent3" w:themeShade="BF"/>
          <w:sz w:val="22"/>
          <w:szCs w:val="22"/>
          <w:lang w:val="en-GB"/>
        </w:rPr>
        <w:t xml:space="preserve"> </w:t>
      </w:r>
      <w:r w:rsidR="00944D9A" w:rsidRPr="002B3315">
        <w:rPr>
          <w:rFonts w:ascii="Arial" w:hAnsi="Arial" w:cs="Arial"/>
          <w:color w:val="7B7B7B" w:themeColor="accent3" w:themeShade="BF"/>
          <w:sz w:val="22"/>
          <w:szCs w:val="22"/>
          <w:lang w:val="en-GB"/>
        </w:rPr>
        <w:t>from</w:t>
      </w:r>
      <w:r w:rsidR="008B0178" w:rsidRPr="002B3315">
        <w:rPr>
          <w:rFonts w:ascii="Arial" w:hAnsi="Arial" w:cs="Arial"/>
          <w:color w:val="7B7B7B" w:themeColor="accent3" w:themeShade="BF"/>
          <w:sz w:val="22"/>
          <w:szCs w:val="22"/>
          <w:lang w:val="en-GB"/>
        </w:rPr>
        <w:t xml:space="preserve"> appoint</w:t>
      </w:r>
      <w:r w:rsidR="00944D9A" w:rsidRPr="002B3315">
        <w:rPr>
          <w:rFonts w:ascii="Arial" w:hAnsi="Arial" w:cs="Arial"/>
          <w:color w:val="7B7B7B" w:themeColor="accent3" w:themeShade="BF"/>
          <w:sz w:val="22"/>
          <w:szCs w:val="22"/>
          <w:lang w:val="en-GB"/>
        </w:rPr>
        <w:t>ing</w:t>
      </w:r>
      <w:r w:rsidR="008B0178" w:rsidRPr="002B3315">
        <w:rPr>
          <w:rFonts w:ascii="Arial" w:hAnsi="Arial" w:cs="Arial"/>
          <w:color w:val="7B7B7B" w:themeColor="accent3" w:themeShade="BF"/>
          <w:sz w:val="22"/>
          <w:szCs w:val="22"/>
          <w:lang w:val="en-GB"/>
        </w:rPr>
        <w:t xml:space="preserve"> a new director. This can make it difficult to register new members. Under </w:t>
      </w:r>
      <w:r w:rsidR="00D63632" w:rsidRPr="002B3315">
        <w:rPr>
          <w:rFonts w:ascii="Arial" w:hAnsi="Arial" w:cs="Arial"/>
          <w:color w:val="7B7B7B" w:themeColor="accent3" w:themeShade="BF"/>
          <w:sz w:val="22"/>
          <w:szCs w:val="22"/>
          <w:lang w:val="en-GB"/>
        </w:rPr>
        <w:t>the 2006 Act</w:t>
      </w:r>
      <w:r w:rsidR="008B0178" w:rsidRPr="002B3315">
        <w:rPr>
          <w:rFonts w:ascii="Arial" w:hAnsi="Arial" w:cs="Arial"/>
          <w:color w:val="7B7B7B" w:themeColor="accent3" w:themeShade="BF"/>
          <w:sz w:val="22"/>
          <w:szCs w:val="22"/>
          <w:lang w:val="en-GB"/>
        </w:rPr>
        <w:t xml:space="preserve">, a member </w:t>
      </w:r>
      <w:r w:rsidR="00944D9A" w:rsidRPr="002B3315">
        <w:rPr>
          <w:rFonts w:ascii="Arial" w:hAnsi="Arial" w:cs="Arial"/>
          <w:color w:val="7B7B7B" w:themeColor="accent3" w:themeShade="BF"/>
          <w:sz w:val="22"/>
          <w:szCs w:val="22"/>
          <w:lang w:val="en-GB"/>
        </w:rPr>
        <w:t>will</w:t>
      </w:r>
      <w:r w:rsidR="008B0178" w:rsidRPr="002B3315">
        <w:rPr>
          <w:rFonts w:ascii="Arial" w:hAnsi="Arial" w:cs="Arial"/>
          <w:color w:val="7B7B7B" w:themeColor="accent3" w:themeShade="BF"/>
          <w:sz w:val="22"/>
          <w:szCs w:val="22"/>
          <w:lang w:val="en-GB"/>
        </w:rPr>
        <w:t xml:space="preserve"> not </w:t>
      </w:r>
      <w:r w:rsidR="00944D9A" w:rsidRPr="002B3315">
        <w:rPr>
          <w:rFonts w:ascii="Arial" w:hAnsi="Arial" w:cs="Arial"/>
          <w:color w:val="7B7B7B" w:themeColor="accent3" w:themeShade="BF"/>
          <w:sz w:val="22"/>
          <w:szCs w:val="22"/>
          <w:lang w:val="en-GB"/>
        </w:rPr>
        <w:t xml:space="preserve">be </w:t>
      </w:r>
      <w:r w:rsidR="008B0178" w:rsidRPr="002B3315">
        <w:rPr>
          <w:rFonts w:ascii="Arial" w:hAnsi="Arial" w:cs="Arial"/>
          <w:color w:val="7B7B7B" w:themeColor="accent3" w:themeShade="BF"/>
          <w:sz w:val="22"/>
          <w:szCs w:val="22"/>
          <w:lang w:val="en-GB"/>
        </w:rPr>
        <w:t xml:space="preserve">recognised as the legal owner of shares until they are entered onto the register of members. If there is no </w:t>
      </w:r>
      <w:r w:rsidR="00944D9A" w:rsidRPr="002B3315">
        <w:rPr>
          <w:rFonts w:ascii="Arial" w:hAnsi="Arial" w:cs="Arial"/>
          <w:color w:val="7B7B7B" w:themeColor="accent3" w:themeShade="BF"/>
          <w:sz w:val="22"/>
          <w:szCs w:val="22"/>
          <w:lang w:val="en-GB"/>
        </w:rPr>
        <w:t xml:space="preserve">(surviving) </w:t>
      </w:r>
      <w:r w:rsidR="008B0178" w:rsidRPr="002B3315">
        <w:rPr>
          <w:rFonts w:ascii="Arial" w:hAnsi="Arial" w:cs="Arial"/>
          <w:color w:val="7B7B7B" w:themeColor="accent3" w:themeShade="BF"/>
          <w:sz w:val="22"/>
          <w:szCs w:val="22"/>
          <w:lang w:val="en-GB"/>
        </w:rPr>
        <w:t>director, the register of members cannot be updated</w:t>
      </w:r>
      <w:r w:rsidR="00CE691C" w:rsidRPr="002B3315">
        <w:rPr>
          <w:rFonts w:ascii="Arial" w:hAnsi="Arial" w:cs="Arial"/>
          <w:color w:val="7B7B7B" w:themeColor="accent3" w:themeShade="BF"/>
          <w:sz w:val="22"/>
          <w:szCs w:val="22"/>
          <w:lang w:val="en-GB"/>
        </w:rPr>
        <w:t>.</w:t>
      </w:r>
      <w:r w:rsidR="008B0178" w:rsidRPr="002B3315">
        <w:rPr>
          <w:rStyle w:val="FootnoteReference"/>
          <w:rFonts w:ascii="Arial" w:hAnsi="Arial" w:cs="Arial"/>
          <w:color w:val="7B7B7B" w:themeColor="accent3" w:themeShade="BF"/>
          <w:sz w:val="22"/>
          <w:szCs w:val="22"/>
          <w:lang w:val="en-GB"/>
        </w:rPr>
        <w:footnoteReference w:id="219"/>
      </w:r>
      <w:r w:rsidR="00D63632" w:rsidRPr="002B3315">
        <w:rPr>
          <w:rFonts w:ascii="Arial" w:hAnsi="Arial" w:cs="Arial"/>
          <w:color w:val="7B7B7B" w:themeColor="accent3" w:themeShade="BF"/>
          <w:sz w:val="22"/>
          <w:szCs w:val="22"/>
          <w:lang w:val="en-GB"/>
        </w:rPr>
        <w:t xml:space="preserve"> </w:t>
      </w:r>
      <w:r w:rsidR="00CE691C" w:rsidRPr="002B3315">
        <w:rPr>
          <w:rFonts w:ascii="Arial" w:hAnsi="Arial" w:cs="Arial"/>
          <w:color w:val="7B7B7B" w:themeColor="accent3" w:themeShade="BF"/>
          <w:sz w:val="22"/>
          <w:szCs w:val="22"/>
          <w:lang w:val="en-GB"/>
        </w:rPr>
        <w:t>Section 125</w:t>
      </w:r>
      <w:r w:rsidR="007D7802" w:rsidRPr="002B3315">
        <w:rPr>
          <w:rFonts w:ascii="Arial" w:hAnsi="Arial" w:cs="Arial"/>
          <w:color w:val="7B7B7B" w:themeColor="accent3" w:themeShade="BF"/>
          <w:sz w:val="22"/>
          <w:szCs w:val="22"/>
          <w:lang w:val="en-GB"/>
        </w:rPr>
        <w:t xml:space="preserve"> </w:t>
      </w:r>
      <w:r w:rsidR="00CE691C" w:rsidRPr="002B3315">
        <w:rPr>
          <w:rFonts w:ascii="Arial" w:hAnsi="Arial" w:cs="Arial"/>
          <w:color w:val="7B7B7B" w:themeColor="accent3" w:themeShade="BF"/>
          <w:sz w:val="22"/>
          <w:szCs w:val="22"/>
          <w:lang w:val="en-GB"/>
        </w:rPr>
        <w:t xml:space="preserve">contains a </w:t>
      </w:r>
      <w:r w:rsidR="007D7802" w:rsidRPr="002B3315">
        <w:rPr>
          <w:rFonts w:ascii="Arial" w:hAnsi="Arial" w:cs="Arial"/>
          <w:color w:val="7B7B7B" w:themeColor="accent3" w:themeShade="BF"/>
          <w:sz w:val="22"/>
          <w:szCs w:val="22"/>
          <w:lang w:val="en-GB"/>
        </w:rPr>
        <w:t xml:space="preserve">possible solution. </w:t>
      </w:r>
      <w:r w:rsidR="00877829" w:rsidRPr="002B3315">
        <w:rPr>
          <w:rFonts w:ascii="Arial" w:hAnsi="Arial" w:cs="Arial"/>
          <w:color w:val="7B7B7B" w:themeColor="accent3" w:themeShade="BF"/>
          <w:sz w:val="22"/>
          <w:szCs w:val="22"/>
          <w:lang w:val="en-GB"/>
        </w:rPr>
        <w:t>Section 125 states that if a company’s register of members does not include information that is required or it includes information that is not required, “</w:t>
      </w:r>
      <w:r w:rsidR="00877829" w:rsidRPr="002B3315">
        <w:rPr>
          <w:rFonts w:ascii="Arial" w:hAnsi="Arial" w:cs="Arial"/>
          <w:i/>
          <w:iCs/>
          <w:color w:val="7B7B7B" w:themeColor="accent3" w:themeShade="BF"/>
          <w:sz w:val="22"/>
          <w:szCs w:val="22"/>
          <w:lang w:val="en-GB"/>
        </w:rPr>
        <w:t>the person aggrieved, or any member of the company, or the company, may apply to the court for rectification of the register</w:t>
      </w:r>
      <w:r w:rsidR="00877829" w:rsidRPr="002B3315">
        <w:rPr>
          <w:rFonts w:ascii="Arial" w:hAnsi="Arial" w:cs="Arial"/>
          <w:color w:val="7B7B7B" w:themeColor="accent3" w:themeShade="BF"/>
          <w:sz w:val="22"/>
          <w:szCs w:val="22"/>
          <w:lang w:val="en-GB"/>
        </w:rPr>
        <w:t>.”</w:t>
      </w:r>
      <w:r w:rsidR="00877829" w:rsidRPr="002B3315">
        <w:rPr>
          <w:rStyle w:val="FootnoteReference"/>
          <w:rFonts w:ascii="Arial" w:hAnsi="Arial" w:cs="Arial"/>
          <w:color w:val="7B7B7B" w:themeColor="accent3" w:themeShade="BF"/>
          <w:sz w:val="22"/>
          <w:szCs w:val="22"/>
          <w:lang w:val="en-GB"/>
        </w:rPr>
        <w:footnoteReference w:id="220"/>
      </w:r>
      <w:r w:rsidR="00E44B97" w:rsidRPr="002B3315">
        <w:rPr>
          <w:rFonts w:ascii="Arial" w:hAnsi="Arial" w:cs="Arial"/>
          <w:color w:val="7B7B7B" w:themeColor="accent3" w:themeShade="BF"/>
          <w:sz w:val="22"/>
          <w:szCs w:val="22"/>
          <w:lang w:val="en-GB"/>
        </w:rPr>
        <w:t xml:space="preserve"> </w:t>
      </w:r>
      <w:r w:rsidR="00877829" w:rsidRPr="002B3315">
        <w:rPr>
          <w:rFonts w:ascii="Arial" w:hAnsi="Arial" w:cs="Arial"/>
          <w:color w:val="707070"/>
          <w:sz w:val="22"/>
          <w:szCs w:val="22"/>
          <w:shd w:val="clear" w:color="auto" w:fill="FFFFFF"/>
        </w:rPr>
        <w:t>In </w:t>
      </w:r>
      <w:r w:rsidR="00877829" w:rsidRPr="002B3315">
        <w:rPr>
          <w:rStyle w:val="Emphasis"/>
          <w:rFonts w:ascii="Arial" w:hAnsi="Arial" w:cs="Arial"/>
          <w:color w:val="707070"/>
          <w:sz w:val="22"/>
          <w:szCs w:val="22"/>
          <w:bdr w:val="none" w:sz="0" w:space="0" w:color="auto" w:frame="1"/>
          <w:shd w:val="clear" w:color="auto" w:fill="FFFFFF"/>
        </w:rPr>
        <w:t xml:space="preserve">Ellott v Cimarron UK Ltd </w:t>
      </w:r>
      <w:r w:rsidR="00877829" w:rsidRPr="002B3315">
        <w:rPr>
          <w:rStyle w:val="Emphasis"/>
          <w:rFonts w:ascii="Arial" w:hAnsi="Arial" w:cs="Arial"/>
          <w:i w:val="0"/>
          <w:iCs w:val="0"/>
          <w:color w:val="707070"/>
          <w:sz w:val="22"/>
          <w:szCs w:val="22"/>
          <w:bdr w:val="none" w:sz="0" w:space="0" w:color="auto" w:frame="1"/>
          <w:shd w:val="clear" w:color="auto" w:fill="FFFFFF"/>
        </w:rPr>
        <w:t>[2017]</w:t>
      </w:r>
      <w:r w:rsidR="00E44B97" w:rsidRPr="002B3315">
        <w:rPr>
          <w:rStyle w:val="FootnoteReference"/>
          <w:rFonts w:ascii="Arial" w:hAnsi="Arial" w:cs="Arial"/>
          <w:color w:val="707070"/>
          <w:sz w:val="22"/>
          <w:szCs w:val="22"/>
          <w:bdr w:val="none" w:sz="0" w:space="0" w:color="auto" w:frame="1"/>
          <w:shd w:val="clear" w:color="auto" w:fill="FFFFFF"/>
        </w:rPr>
        <w:footnoteReference w:id="221"/>
      </w:r>
      <w:r w:rsidR="00877829" w:rsidRPr="002B3315">
        <w:rPr>
          <w:rFonts w:ascii="Arial" w:hAnsi="Arial" w:cs="Arial"/>
          <w:color w:val="707070"/>
          <w:sz w:val="22"/>
          <w:szCs w:val="22"/>
          <w:shd w:val="clear" w:color="auto" w:fill="FFFFFF"/>
        </w:rPr>
        <w:t xml:space="preserve">, </w:t>
      </w:r>
      <w:r w:rsidR="00D63632" w:rsidRPr="002B3315">
        <w:rPr>
          <w:rFonts w:ascii="Arial" w:hAnsi="Arial" w:cs="Arial"/>
          <w:color w:val="7B7B7B" w:themeColor="accent3" w:themeShade="BF"/>
          <w:sz w:val="22"/>
          <w:szCs w:val="22"/>
          <w:lang w:val="en-HK"/>
        </w:rPr>
        <w:t xml:space="preserve">the executor did not have the authority to vote on a resolution to appoint new directors. The company’s articles (Table A) meant that the executor would have had to wait for the grant of probate to be issued before he could appoint new directors. </w:t>
      </w:r>
      <w:r w:rsidR="00D63632" w:rsidRPr="002B3315">
        <w:rPr>
          <w:rFonts w:ascii="Arial" w:hAnsi="Arial" w:cs="Arial"/>
          <w:color w:val="707070"/>
          <w:sz w:val="22"/>
          <w:szCs w:val="22"/>
          <w:shd w:val="clear" w:color="auto" w:fill="FFFFFF"/>
        </w:rPr>
        <w:t>T</w:t>
      </w:r>
      <w:r w:rsidR="00877829" w:rsidRPr="002B3315">
        <w:rPr>
          <w:rFonts w:ascii="Arial" w:hAnsi="Arial" w:cs="Arial"/>
          <w:color w:val="707070"/>
          <w:sz w:val="22"/>
          <w:szCs w:val="22"/>
          <w:shd w:val="clear" w:color="auto" w:fill="FFFFFF"/>
        </w:rPr>
        <w:t xml:space="preserve">he </w:t>
      </w:r>
      <w:r w:rsidR="00E44B97" w:rsidRPr="002B3315">
        <w:rPr>
          <w:rFonts w:ascii="Arial" w:hAnsi="Arial" w:cs="Arial"/>
          <w:color w:val="707070"/>
          <w:sz w:val="22"/>
          <w:szCs w:val="22"/>
          <w:shd w:val="clear" w:color="auto" w:fill="FFFFFF"/>
        </w:rPr>
        <w:t xml:space="preserve">English </w:t>
      </w:r>
      <w:r w:rsidR="00877829" w:rsidRPr="002B3315">
        <w:rPr>
          <w:rFonts w:ascii="Arial" w:hAnsi="Arial" w:cs="Arial"/>
          <w:color w:val="707070"/>
          <w:sz w:val="22"/>
          <w:szCs w:val="22"/>
          <w:shd w:val="clear" w:color="auto" w:fill="FFFFFF"/>
        </w:rPr>
        <w:t xml:space="preserve">High Court ordered rectification of </w:t>
      </w:r>
      <w:r w:rsidR="00E44B97" w:rsidRPr="002B3315">
        <w:rPr>
          <w:rFonts w:ascii="Arial" w:hAnsi="Arial" w:cs="Arial"/>
          <w:color w:val="707070"/>
          <w:sz w:val="22"/>
          <w:szCs w:val="22"/>
          <w:shd w:val="clear" w:color="auto" w:fill="FFFFFF"/>
        </w:rPr>
        <w:t>the</w:t>
      </w:r>
      <w:r w:rsidR="00877829" w:rsidRPr="002B3315">
        <w:rPr>
          <w:rFonts w:ascii="Arial" w:hAnsi="Arial" w:cs="Arial"/>
          <w:color w:val="707070"/>
          <w:sz w:val="22"/>
          <w:szCs w:val="22"/>
          <w:shd w:val="clear" w:color="auto" w:fill="FFFFFF"/>
        </w:rPr>
        <w:t xml:space="preserve"> co</w:t>
      </w:r>
      <w:r w:rsidR="004B1083" w:rsidRPr="002B3315">
        <w:rPr>
          <w:rFonts w:ascii="Arial" w:hAnsi="Arial" w:cs="Arial"/>
          <w:color w:val="707070"/>
          <w:sz w:val="22"/>
          <w:szCs w:val="22"/>
          <w:shd w:val="clear" w:color="auto" w:fill="FFFFFF"/>
        </w:rPr>
        <w:t xml:space="preserve">mpany’s </w:t>
      </w:r>
      <w:r w:rsidR="00877829" w:rsidRPr="002B3315">
        <w:rPr>
          <w:rFonts w:ascii="Arial" w:hAnsi="Arial" w:cs="Arial"/>
          <w:color w:val="707070"/>
          <w:sz w:val="22"/>
          <w:szCs w:val="22"/>
          <w:shd w:val="clear" w:color="auto" w:fill="FFFFFF"/>
        </w:rPr>
        <w:t>register of members</w:t>
      </w:r>
      <w:r w:rsidR="00CE691C" w:rsidRPr="002B3315">
        <w:rPr>
          <w:rFonts w:ascii="Arial" w:hAnsi="Arial" w:cs="Arial"/>
          <w:color w:val="707070"/>
          <w:sz w:val="22"/>
          <w:szCs w:val="22"/>
          <w:shd w:val="clear" w:color="auto" w:fill="FFFFFF"/>
        </w:rPr>
        <w:t xml:space="preserve"> </w:t>
      </w:r>
      <w:r w:rsidR="00E44B97" w:rsidRPr="002B3315">
        <w:rPr>
          <w:rFonts w:ascii="Arial" w:hAnsi="Arial" w:cs="Arial"/>
          <w:color w:val="707070"/>
          <w:sz w:val="22"/>
          <w:szCs w:val="22"/>
          <w:shd w:val="clear" w:color="auto" w:fill="FFFFFF"/>
        </w:rPr>
        <w:t>- this was</w:t>
      </w:r>
      <w:r w:rsidR="00877829" w:rsidRPr="002B3315">
        <w:rPr>
          <w:rFonts w:ascii="Arial" w:hAnsi="Arial" w:cs="Arial"/>
          <w:color w:val="707070"/>
          <w:sz w:val="22"/>
          <w:szCs w:val="22"/>
          <w:shd w:val="clear" w:color="auto" w:fill="FFFFFF"/>
        </w:rPr>
        <w:t xml:space="preserve"> to replace the deceased sole</w:t>
      </w:r>
      <w:r w:rsidR="00E44B97" w:rsidRPr="002B3315">
        <w:rPr>
          <w:rFonts w:ascii="Arial" w:hAnsi="Arial" w:cs="Arial"/>
          <w:color w:val="707070"/>
          <w:sz w:val="22"/>
          <w:szCs w:val="22"/>
          <w:shd w:val="clear" w:color="auto" w:fill="FFFFFF"/>
        </w:rPr>
        <w:t xml:space="preserve"> shareholder</w:t>
      </w:r>
      <w:r w:rsidR="00877829" w:rsidRPr="002B3315">
        <w:rPr>
          <w:rFonts w:ascii="Arial" w:hAnsi="Arial" w:cs="Arial"/>
          <w:color w:val="707070"/>
          <w:sz w:val="22"/>
          <w:szCs w:val="22"/>
          <w:shd w:val="clear" w:color="auto" w:fill="FFFFFF"/>
        </w:rPr>
        <w:t xml:space="preserve"> and </w:t>
      </w:r>
      <w:r w:rsidR="00E44B97" w:rsidRPr="002B3315">
        <w:rPr>
          <w:rFonts w:ascii="Arial" w:hAnsi="Arial" w:cs="Arial"/>
          <w:color w:val="707070"/>
          <w:sz w:val="22"/>
          <w:szCs w:val="22"/>
          <w:shd w:val="clear" w:color="auto" w:fill="FFFFFF"/>
        </w:rPr>
        <w:t xml:space="preserve">sole </w:t>
      </w:r>
      <w:r w:rsidR="00877829" w:rsidRPr="002B3315">
        <w:rPr>
          <w:rFonts w:ascii="Arial" w:hAnsi="Arial" w:cs="Arial"/>
          <w:color w:val="707070"/>
          <w:sz w:val="22"/>
          <w:szCs w:val="22"/>
          <w:shd w:val="clear" w:color="auto" w:fill="FFFFFF"/>
        </w:rPr>
        <w:t xml:space="preserve">director with </w:t>
      </w:r>
      <w:r w:rsidR="00E44B97" w:rsidRPr="002B3315">
        <w:rPr>
          <w:rFonts w:ascii="Arial" w:hAnsi="Arial" w:cs="Arial"/>
          <w:color w:val="707070"/>
          <w:sz w:val="22"/>
          <w:szCs w:val="22"/>
          <w:shd w:val="clear" w:color="auto" w:fill="FFFFFF"/>
        </w:rPr>
        <w:t>the</w:t>
      </w:r>
      <w:r w:rsidR="00877829" w:rsidRPr="002B3315">
        <w:rPr>
          <w:rFonts w:ascii="Arial" w:hAnsi="Arial" w:cs="Arial"/>
          <w:color w:val="707070"/>
          <w:sz w:val="22"/>
          <w:szCs w:val="22"/>
          <w:shd w:val="clear" w:color="auto" w:fill="FFFFFF"/>
        </w:rPr>
        <w:t xml:space="preserve"> executor after an application for a grant of proba</w:t>
      </w:r>
      <w:r w:rsidR="008737A2" w:rsidRPr="002B3315">
        <w:rPr>
          <w:rFonts w:ascii="Arial" w:hAnsi="Arial" w:cs="Arial"/>
          <w:color w:val="707070"/>
          <w:sz w:val="22"/>
          <w:szCs w:val="22"/>
          <w:shd w:val="clear" w:color="auto" w:fill="FFFFFF"/>
        </w:rPr>
        <w:t>te</w:t>
      </w:r>
      <w:r w:rsidR="00877829" w:rsidRPr="002B3315">
        <w:rPr>
          <w:rFonts w:ascii="Arial" w:hAnsi="Arial" w:cs="Arial"/>
          <w:color w:val="707070"/>
          <w:sz w:val="22"/>
          <w:szCs w:val="22"/>
          <w:shd w:val="clear" w:color="auto" w:fill="FFFFFF"/>
        </w:rPr>
        <w:t xml:space="preserve"> </w:t>
      </w:r>
      <w:r w:rsidR="00E44B97" w:rsidRPr="002B3315">
        <w:rPr>
          <w:rFonts w:ascii="Arial" w:hAnsi="Arial" w:cs="Arial"/>
          <w:color w:val="707070"/>
          <w:sz w:val="22"/>
          <w:szCs w:val="22"/>
          <w:shd w:val="clear" w:color="auto" w:fill="FFFFFF"/>
        </w:rPr>
        <w:t>(</w:t>
      </w:r>
      <w:r w:rsidR="00877829" w:rsidRPr="002B3315">
        <w:rPr>
          <w:rFonts w:ascii="Arial" w:hAnsi="Arial" w:cs="Arial"/>
          <w:color w:val="707070"/>
          <w:sz w:val="22"/>
          <w:szCs w:val="22"/>
          <w:shd w:val="clear" w:color="auto" w:fill="FFFFFF"/>
        </w:rPr>
        <w:t xml:space="preserve">but before the grant </w:t>
      </w:r>
      <w:r w:rsidR="00E44B97" w:rsidRPr="002B3315">
        <w:rPr>
          <w:rFonts w:ascii="Arial" w:hAnsi="Arial" w:cs="Arial"/>
          <w:color w:val="707070"/>
          <w:sz w:val="22"/>
          <w:szCs w:val="22"/>
          <w:shd w:val="clear" w:color="auto" w:fill="FFFFFF"/>
        </w:rPr>
        <w:t>was</w:t>
      </w:r>
      <w:r w:rsidR="00877829" w:rsidRPr="002B3315">
        <w:rPr>
          <w:rFonts w:ascii="Arial" w:hAnsi="Arial" w:cs="Arial"/>
          <w:color w:val="707070"/>
          <w:sz w:val="22"/>
          <w:szCs w:val="22"/>
          <w:shd w:val="clear" w:color="auto" w:fill="FFFFFF"/>
        </w:rPr>
        <w:t xml:space="preserve"> obtained</w:t>
      </w:r>
      <w:r w:rsidR="00E44B97" w:rsidRPr="002B3315">
        <w:rPr>
          <w:rFonts w:ascii="Arial" w:hAnsi="Arial" w:cs="Arial"/>
          <w:color w:val="707070"/>
          <w:sz w:val="22"/>
          <w:szCs w:val="22"/>
          <w:shd w:val="clear" w:color="auto" w:fill="FFFFFF"/>
        </w:rPr>
        <w:t>)</w:t>
      </w:r>
      <w:r w:rsidR="00877829" w:rsidRPr="002B3315">
        <w:rPr>
          <w:rFonts w:ascii="Arial" w:hAnsi="Arial" w:cs="Arial"/>
          <w:color w:val="707070"/>
          <w:sz w:val="22"/>
          <w:szCs w:val="22"/>
          <w:shd w:val="clear" w:color="auto" w:fill="FFFFFF"/>
        </w:rPr>
        <w:t>.</w:t>
      </w:r>
      <w:r w:rsidR="00877829" w:rsidRPr="002B3315">
        <w:rPr>
          <w:rStyle w:val="FootnoteReference"/>
          <w:rFonts w:ascii="Arial" w:hAnsi="Arial" w:cs="Arial"/>
          <w:color w:val="707070"/>
          <w:sz w:val="22"/>
          <w:szCs w:val="22"/>
          <w:shd w:val="clear" w:color="auto" w:fill="FFFFFF"/>
        </w:rPr>
        <w:footnoteReference w:id="222"/>
      </w:r>
      <w:r w:rsidR="00E44B97" w:rsidRPr="002B3315">
        <w:rPr>
          <w:rFonts w:ascii="Arial" w:hAnsi="Arial" w:cs="Arial"/>
          <w:color w:val="707070"/>
          <w:sz w:val="22"/>
          <w:szCs w:val="22"/>
          <w:shd w:val="clear" w:color="auto" w:fill="FFFFFF"/>
        </w:rPr>
        <w:t xml:space="preserve"> </w:t>
      </w:r>
      <w:r w:rsidR="00E44B97" w:rsidRPr="002B3315">
        <w:rPr>
          <w:rFonts w:ascii="Arial" w:hAnsi="Arial" w:cs="Arial"/>
          <w:color w:val="7B7B7B" w:themeColor="accent3" w:themeShade="BF"/>
          <w:sz w:val="22"/>
          <w:szCs w:val="22"/>
          <w:lang w:val="en-GB"/>
        </w:rPr>
        <w:lastRenderedPageBreak/>
        <w:t xml:space="preserve">The </w:t>
      </w:r>
      <w:r w:rsidR="00CE691C" w:rsidRPr="002B3315">
        <w:rPr>
          <w:rFonts w:ascii="Arial" w:hAnsi="Arial" w:cs="Arial"/>
          <w:color w:val="7B7B7B" w:themeColor="accent3" w:themeShade="BF"/>
          <w:sz w:val="22"/>
          <w:szCs w:val="22"/>
          <w:lang w:val="en-GB"/>
        </w:rPr>
        <w:t xml:space="preserve">rationale for this was that the </w:t>
      </w:r>
      <w:r w:rsidR="00E44B97" w:rsidRPr="002B3315">
        <w:rPr>
          <w:rFonts w:ascii="Arial" w:hAnsi="Arial" w:cs="Arial"/>
          <w:color w:val="7B7B7B" w:themeColor="accent3" w:themeShade="BF"/>
          <w:sz w:val="22"/>
          <w:szCs w:val="22"/>
          <w:lang w:val="en-GB"/>
        </w:rPr>
        <w:t xml:space="preserve">court had considered the potential risk to the company which arose from its inability to trade </w:t>
      </w:r>
      <w:r w:rsidR="00CE691C" w:rsidRPr="002B3315">
        <w:rPr>
          <w:rFonts w:ascii="Arial" w:hAnsi="Arial" w:cs="Arial"/>
          <w:color w:val="7B7B7B" w:themeColor="accent3" w:themeShade="BF"/>
          <w:sz w:val="22"/>
          <w:szCs w:val="22"/>
          <w:lang w:val="en-GB"/>
        </w:rPr>
        <w:t xml:space="preserve">– this </w:t>
      </w:r>
      <w:r w:rsidR="00E44B97" w:rsidRPr="002B3315">
        <w:rPr>
          <w:rFonts w:ascii="Arial" w:hAnsi="Arial" w:cs="Arial"/>
          <w:color w:val="7B7B7B" w:themeColor="accent3" w:themeShade="BF"/>
          <w:sz w:val="22"/>
          <w:szCs w:val="22"/>
          <w:lang w:val="en-GB"/>
        </w:rPr>
        <w:t xml:space="preserve">justified the </w:t>
      </w:r>
      <w:r w:rsidR="00CE691C" w:rsidRPr="002B3315">
        <w:rPr>
          <w:rFonts w:ascii="Arial" w:hAnsi="Arial" w:cs="Arial"/>
          <w:color w:val="7B7B7B" w:themeColor="accent3" w:themeShade="BF"/>
          <w:sz w:val="22"/>
          <w:szCs w:val="22"/>
          <w:lang w:val="en-GB"/>
        </w:rPr>
        <w:t xml:space="preserve">granting of the </w:t>
      </w:r>
      <w:r w:rsidR="00E44B97" w:rsidRPr="002B3315">
        <w:rPr>
          <w:rFonts w:ascii="Arial" w:hAnsi="Arial" w:cs="Arial"/>
          <w:color w:val="7B7B7B" w:themeColor="accent3" w:themeShade="BF"/>
          <w:sz w:val="22"/>
          <w:szCs w:val="22"/>
          <w:lang w:val="en-GB"/>
        </w:rPr>
        <w:t>order.</w:t>
      </w:r>
    </w:p>
    <w:p w14:paraId="6C49F23E" w14:textId="77777777" w:rsidR="00ED47BD" w:rsidRPr="002B3315" w:rsidRDefault="00ED47BD" w:rsidP="00282F51">
      <w:pPr>
        <w:jc w:val="both"/>
        <w:rPr>
          <w:rFonts w:ascii="Arial" w:hAnsi="Arial" w:cs="Arial"/>
          <w:color w:val="7B7B7B" w:themeColor="accent3" w:themeShade="BF"/>
          <w:sz w:val="22"/>
          <w:szCs w:val="22"/>
          <w:lang w:val="en-GB"/>
        </w:rPr>
      </w:pPr>
    </w:p>
    <w:p w14:paraId="0159863A" w14:textId="6919BE36" w:rsidR="003C2445" w:rsidRPr="002B3315" w:rsidRDefault="00300B1D" w:rsidP="008065CE">
      <w:pPr>
        <w:jc w:val="both"/>
        <w:rPr>
          <w:rFonts w:ascii="Arial" w:hAnsi="Arial" w:cs="Arial"/>
          <w:b/>
          <w:bCs/>
          <w:color w:val="7B7B7B" w:themeColor="accent3" w:themeShade="BF"/>
          <w:sz w:val="22"/>
          <w:szCs w:val="22"/>
          <w:u w:val="single"/>
          <w:lang w:val="en-GB"/>
        </w:rPr>
      </w:pPr>
      <w:r w:rsidRPr="002B3315">
        <w:rPr>
          <w:rFonts w:ascii="Arial" w:hAnsi="Arial" w:cs="Arial"/>
          <w:b/>
          <w:bCs/>
          <w:color w:val="7B7B7B" w:themeColor="accent3" w:themeShade="BF"/>
          <w:sz w:val="22"/>
          <w:szCs w:val="22"/>
          <w:u w:val="single"/>
          <w:lang w:val="en-GB"/>
        </w:rPr>
        <w:t xml:space="preserve">Obstacle 3 - </w:t>
      </w:r>
      <w:r w:rsidR="002009DA" w:rsidRPr="002B3315">
        <w:rPr>
          <w:rFonts w:ascii="Arial" w:hAnsi="Arial" w:cs="Arial"/>
          <w:b/>
          <w:bCs/>
          <w:color w:val="7B7B7B" w:themeColor="accent3" w:themeShade="BF"/>
          <w:sz w:val="22"/>
          <w:szCs w:val="22"/>
          <w:u w:val="single"/>
          <w:lang w:val="en-GB"/>
        </w:rPr>
        <w:t xml:space="preserve">Restoration of </w:t>
      </w:r>
      <w:proofErr w:type="spellStart"/>
      <w:r w:rsidR="003C2445" w:rsidRPr="002B3315">
        <w:rPr>
          <w:rFonts w:ascii="Arial" w:hAnsi="Arial" w:cs="Arial"/>
          <w:b/>
          <w:bCs/>
          <w:color w:val="7B7B7B" w:themeColor="accent3" w:themeShade="BF"/>
          <w:sz w:val="22"/>
          <w:szCs w:val="22"/>
          <w:u w:val="single"/>
          <w:lang w:val="en-GB"/>
        </w:rPr>
        <w:t>Subco</w:t>
      </w:r>
      <w:proofErr w:type="spellEnd"/>
    </w:p>
    <w:p w14:paraId="6DC48D4B" w14:textId="6B367E77" w:rsidR="00BD6C29" w:rsidRPr="002B3315" w:rsidRDefault="00920346" w:rsidP="008065CE">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An</w:t>
      </w:r>
      <w:r w:rsidR="00CE691C" w:rsidRPr="002B3315">
        <w:rPr>
          <w:rFonts w:ascii="Arial" w:hAnsi="Arial" w:cs="Arial"/>
          <w:color w:val="7B7B7B" w:themeColor="accent3" w:themeShade="BF"/>
          <w:sz w:val="22"/>
          <w:szCs w:val="22"/>
          <w:lang w:val="en-GB"/>
        </w:rPr>
        <w:t>other</w:t>
      </w:r>
      <w:r w:rsidRPr="002B3315">
        <w:rPr>
          <w:rFonts w:ascii="Arial" w:hAnsi="Arial" w:cs="Arial"/>
          <w:color w:val="7B7B7B" w:themeColor="accent3" w:themeShade="BF"/>
          <w:sz w:val="22"/>
          <w:szCs w:val="22"/>
          <w:lang w:val="en-GB"/>
        </w:rPr>
        <w:t xml:space="preserve"> obstacle that Owed </w:t>
      </w:r>
      <w:proofErr w:type="gramStart"/>
      <w:r w:rsidRPr="002B3315">
        <w:rPr>
          <w:rFonts w:ascii="Arial" w:hAnsi="Arial" w:cs="Arial"/>
          <w:color w:val="7B7B7B" w:themeColor="accent3" w:themeShade="BF"/>
          <w:sz w:val="22"/>
          <w:szCs w:val="22"/>
          <w:lang w:val="en-GB"/>
        </w:rPr>
        <w:t>has to</w:t>
      </w:r>
      <w:proofErr w:type="gramEnd"/>
      <w:r w:rsidRPr="002B3315">
        <w:rPr>
          <w:rFonts w:ascii="Arial" w:hAnsi="Arial" w:cs="Arial"/>
          <w:color w:val="7B7B7B" w:themeColor="accent3" w:themeShade="BF"/>
          <w:sz w:val="22"/>
          <w:szCs w:val="22"/>
          <w:lang w:val="en-GB"/>
        </w:rPr>
        <w:t xml:space="preserve"> overcome is the fact that </w:t>
      </w:r>
      <w:proofErr w:type="spellStart"/>
      <w:r w:rsidR="00CE691C" w:rsidRPr="002B3315">
        <w:rPr>
          <w:rFonts w:ascii="Arial" w:hAnsi="Arial" w:cs="Arial"/>
          <w:color w:val="7B7B7B" w:themeColor="accent3" w:themeShade="BF"/>
          <w:sz w:val="22"/>
          <w:szCs w:val="22"/>
          <w:lang w:val="en-GB"/>
        </w:rPr>
        <w:t>Subco</w:t>
      </w:r>
      <w:proofErr w:type="spellEnd"/>
      <w:r w:rsidR="00CE691C" w:rsidRPr="002B3315">
        <w:rPr>
          <w:rFonts w:ascii="Arial" w:hAnsi="Arial" w:cs="Arial"/>
          <w:color w:val="7B7B7B" w:themeColor="accent3" w:themeShade="BF"/>
          <w:sz w:val="22"/>
          <w:szCs w:val="22"/>
          <w:lang w:val="en-GB"/>
        </w:rPr>
        <w:t xml:space="preserve"> </w:t>
      </w:r>
      <w:r w:rsidR="003C2445" w:rsidRPr="002B3315">
        <w:rPr>
          <w:rFonts w:ascii="Arial" w:hAnsi="Arial" w:cs="Arial"/>
          <w:color w:val="7B7B7B" w:themeColor="accent3" w:themeShade="BF"/>
          <w:sz w:val="22"/>
          <w:szCs w:val="22"/>
          <w:lang w:val="en-GB"/>
        </w:rPr>
        <w:t xml:space="preserve">has a number of unencumbered BVI properties but has been struck off the </w:t>
      </w:r>
      <w:r w:rsidR="00AB22B9" w:rsidRPr="002B3315">
        <w:rPr>
          <w:rFonts w:ascii="Arial" w:hAnsi="Arial" w:cs="Arial"/>
          <w:color w:val="7B7B7B" w:themeColor="accent3" w:themeShade="BF"/>
          <w:sz w:val="22"/>
          <w:szCs w:val="22"/>
          <w:lang w:val="en-GB"/>
        </w:rPr>
        <w:t xml:space="preserve">BVI </w:t>
      </w:r>
      <w:r w:rsidR="003C2445" w:rsidRPr="002B3315">
        <w:rPr>
          <w:rFonts w:ascii="Arial" w:hAnsi="Arial" w:cs="Arial"/>
          <w:color w:val="7B7B7B" w:themeColor="accent3" w:themeShade="BF"/>
          <w:sz w:val="22"/>
          <w:szCs w:val="22"/>
          <w:lang w:val="en-GB"/>
        </w:rPr>
        <w:t>Register of Companies (“</w:t>
      </w:r>
      <w:r w:rsidR="003C2445" w:rsidRPr="002B3315">
        <w:rPr>
          <w:rFonts w:ascii="Arial" w:hAnsi="Arial" w:cs="Arial"/>
          <w:b/>
          <w:bCs/>
          <w:color w:val="7B7B7B" w:themeColor="accent3" w:themeShade="BF"/>
          <w:sz w:val="22"/>
          <w:szCs w:val="22"/>
          <w:lang w:val="en-GB"/>
        </w:rPr>
        <w:t>Register</w:t>
      </w:r>
      <w:r w:rsidR="003C2445" w:rsidRPr="002B3315">
        <w:rPr>
          <w:rFonts w:ascii="Arial" w:hAnsi="Arial" w:cs="Arial"/>
          <w:color w:val="7B7B7B" w:themeColor="accent3" w:themeShade="BF"/>
          <w:sz w:val="22"/>
          <w:szCs w:val="22"/>
          <w:lang w:val="en-GB"/>
        </w:rPr>
        <w:t xml:space="preserve">”) and is dissolved. </w:t>
      </w:r>
      <w:proofErr w:type="spellStart"/>
      <w:r w:rsidR="00BD6C29" w:rsidRPr="002B3315">
        <w:rPr>
          <w:rFonts w:ascii="Arial" w:hAnsi="Arial" w:cs="Arial"/>
          <w:color w:val="7B7B7B" w:themeColor="accent3" w:themeShade="BF"/>
          <w:sz w:val="22"/>
          <w:szCs w:val="22"/>
          <w:lang w:val="en-GB"/>
        </w:rPr>
        <w:t>Subco</w:t>
      </w:r>
      <w:r w:rsidR="00AB22B9" w:rsidRPr="002B3315">
        <w:rPr>
          <w:rFonts w:ascii="Arial" w:hAnsi="Arial" w:cs="Arial"/>
          <w:color w:val="7B7B7B" w:themeColor="accent3" w:themeShade="BF"/>
          <w:sz w:val="22"/>
          <w:szCs w:val="22"/>
          <w:lang w:val="en-GB"/>
        </w:rPr>
        <w:t>’s</w:t>
      </w:r>
      <w:proofErr w:type="spellEnd"/>
      <w:r w:rsidR="00AB22B9" w:rsidRPr="002B3315">
        <w:rPr>
          <w:rFonts w:ascii="Arial" w:hAnsi="Arial" w:cs="Arial"/>
          <w:color w:val="7B7B7B" w:themeColor="accent3" w:themeShade="BF"/>
          <w:sz w:val="22"/>
          <w:szCs w:val="22"/>
          <w:lang w:val="en-GB"/>
        </w:rPr>
        <w:t xml:space="preserve"> assets</w:t>
      </w:r>
      <w:r w:rsidR="00BD6C29" w:rsidRPr="002B3315">
        <w:rPr>
          <w:rFonts w:ascii="Arial" w:hAnsi="Arial" w:cs="Arial"/>
          <w:color w:val="7B7B7B" w:themeColor="accent3" w:themeShade="BF"/>
          <w:sz w:val="22"/>
          <w:szCs w:val="22"/>
          <w:lang w:val="en-GB"/>
        </w:rPr>
        <w:t xml:space="preserve"> have vested in the Crown </w:t>
      </w:r>
      <w:r w:rsidR="00BD6C29" w:rsidRPr="002B3315">
        <w:rPr>
          <w:rFonts w:ascii="Arial" w:hAnsi="Arial" w:cs="Arial"/>
          <w:i/>
          <w:iCs/>
          <w:color w:val="7B7B7B" w:themeColor="accent3" w:themeShade="BF"/>
          <w:sz w:val="22"/>
          <w:szCs w:val="22"/>
          <w:lang w:val="en-GB"/>
        </w:rPr>
        <w:t>bona vacantia</w:t>
      </w:r>
      <w:r w:rsidR="00BD6C29" w:rsidRPr="002B3315">
        <w:rPr>
          <w:rFonts w:ascii="Arial" w:hAnsi="Arial" w:cs="Arial"/>
          <w:color w:val="7B7B7B" w:themeColor="accent3" w:themeShade="BF"/>
          <w:sz w:val="22"/>
          <w:szCs w:val="22"/>
          <w:lang w:val="en-GB"/>
        </w:rPr>
        <w:t xml:space="preserve"> and will need to be returned to </w:t>
      </w:r>
      <w:proofErr w:type="spellStart"/>
      <w:r w:rsidR="00BB639D" w:rsidRPr="002B3315">
        <w:rPr>
          <w:rFonts w:ascii="Arial" w:hAnsi="Arial" w:cs="Arial"/>
          <w:color w:val="7B7B7B" w:themeColor="accent3" w:themeShade="BF"/>
          <w:sz w:val="22"/>
          <w:szCs w:val="22"/>
          <w:lang w:val="en-GB"/>
        </w:rPr>
        <w:t>Subco</w:t>
      </w:r>
      <w:proofErr w:type="spellEnd"/>
      <w:r w:rsidR="00144845" w:rsidRPr="002B3315">
        <w:rPr>
          <w:rFonts w:ascii="Arial" w:hAnsi="Arial" w:cs="Arial"/>
          <w:color w:val="7B7B7B" w:themeColor="accent3" w:themeShade="BF"/>
          <w:sz w:val="22"/>
          <w:szCs w:val="22"/>
          <w:lang w:val="en-GB"/>
        </w:rPr>
        <w:t xml:space="preserve"> (before Owed can try and recover the judgment debt owed by Indebted)</w:t>
      </w:r>
      <w:r w:rsidR="00BD6C29" w:rsidRPr="002B3315">
        <w:rPr>
          <w:rFonts w:ascii="Arial" w:hAnsi="Arial" w:cs="Arial"/>
          <w:color w:val="7B7B7B" w:themeColor="accent3" w:themeShade="BF"/>
          <w:sz w:val="22"/>
          <w:szCs w:val="22"/>
          <w:lang w:val="en-GB"/>
        </w:rPr>
        <w:t xml:space="preserve">. </w:t>
      </w:r>
      <w:proofErr w:type="spellStart"/>
      <w:r w:rsidR="00BD6C29" w:rsidRPr="002B3315">
        <w:rPr>
          <w:rFonts w:ascii="Arial" w:hAnsi="Arial" w:cs="Arial"/>
          <w:color w:val="7B7B7B" w:themeColor="accent3" w:themeShade="BF"/>
          <w:sz w:val="22"/>
          <w:szCs w:val="22"/>
          <w:lang w:val="en-GB"/>
        </w:rPr>
        <w:t>Subco</w:t>
      </w:r>
      <w:proofErr w:type="spellEnd"/>
      <w:r w:rsidR="00BB639D" w:rsidRPr="002B3315">
        <w:rPr>
          <w:rFonts w:ascii="Arial" w:hAnsi="Arial" w:cs="Arial"/>
          <w:color w:val="7B7B7B" w:themeColor="accent3" w:themeShade="BF"/>
          <w:sz w:val="22"/>
          <w:szCs w:val="22"/>
          <w:lang w:val="en-GB"/>
        </w:rPr>
        <w:t xml:space="preserve"> will need to be restored to the Register. It is unclear from the fact pattern</w:t>
      </w:r>
      <w:r w:rsidR="00BD6C29" w:rsidRPr="002B3315">
        <w:rPr>
          <w:rFonts w:ascii="Arial" w:hAnsi="Arial" w:cs="Arial"/>
          <w:color w:val="7B7B7B" w:themeColor="accent3" w:themeShade="BF"/>
          <w:sz w:val="22"/>
          <w:szCs w:val="22"/>
          <w:lang w:val="en-GB"/>
        </w:rPr>
        <w:t>:</w:t>
      </w:r>
    </w:p>
    <w:p w14:paraId="423B624C" w14:textId="2ED59EB3" w:rsidR="00BD6C29" w:rsidRPr="002B3315" w:rsidRDefault="00144845" w:rsidP="00DF0CBE">
      <w:pPr>
        <w:pStyle w:val="ListParagraph"/>
        <w:numPr>
          <w:ilvl w:val="0"/>
          <w:numId w:val="34"/>
        </w:num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when </w:t>
      </w:r>
      <w:proofErr w:type="spellStart"/>
      <w:r w:rsidR="00BB639D" w:rsidRPr="002B3315">
        <w:rPr>
          <w:rFonts w:ascii="Arial" w:hAnsi="Arial" w:cs="Arial"/>
          <w:color w:val="7B7B7B" w:themeColor="accent3" w:themeShade="BF"/>
          <w:sz w:val="22"/>
          <w:szCs w:val="22"/>
          <w:lang w:val="en-GB"/>
        </w:rPr>
        <w:t>Subco</w:t>
      </w:r>
      <w:proofErr w:type="spellEnd"/>
      <w:r w:rsidR="00BB639D" w:rsidRPr="002B3315">
        <w:rPr>
          <w:rFonts w:ascii="Arial" w:hAnsi="Arial" w:cs="Arial"/>
          <w:color w:val="7B7B7B" w:themeColor="accent3" w:themeShade="BF"/>
          <w:sz w:val="22"/>
          <w:szCs w:val="22"/>
          <w:lang w:val="en-GB"/>
        </w:rPr>
        <w:t xml:space="preserve"> was struck off and </w:t>
      </w:r>
      <w:proofErr w:type="gramStart"/>
      <w:r w:rsidR="00BB639D" w:rsidRPr="002B3315">
        <w:rPr>
          <w:rFonts w:ascii="Arial" w:hAnsi="Arial" w:cs="Arial"/>
          <w:color w:val="7B7B7B" w:themeColor="accent3" w:themeShade="BF"/>
          <w:sz w:val="22"/>
          <w:szCs w:val="22"/>
          <w:lang w:val="en-GB"/>
        </w:rPr>
        <w:t>dissolved</w:t>
      </w:r>
      <w:r w:rsidR="00BD6C29" w:rsidRPr="002B3315">
        <w:rPr>
          <w:rFonts w:ascii="Arial" w:hAnsi="Arial" w:cs="Arial"/>
          <w:color w:val="7B7B7B" w:themeColor="accent3" w:themeShade="BF"/>
          <w:sz w:val="22"/>
          <w:szCs w:val="22"/>
          <w:lang w:val="en-GB"/>
        </w:rPr>
        <w:t>;</w:t>
      </w:r>
      <w:proofErr w:type="gramEnd"/>
    </w:p>
    <w:p w14:paraId="191DBD8E" w14:textId="77777777" w:rsidR="00F90994" w:rsidRPr="002B3315" w:rsidRDefault="00EB5F1D" w:rsidP="00F90994">
      <w:pPr>
        <w:pStyle w:val="ListParagraph"/>
        <w:numPr>
          <w:ilvl w:val="0"/>
          <w:numId w:val="34"/>
        </w:num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why it was struck off and dissolved</w:t>
      </w:r>
      <w:r w:rsidR="00BD6C29" w:rsidRPr="002B3315">
        <w:rPr>
          <w:rFonts w:ascii="Arial" w:hAnsi="Arial" w:cs="Arial"/>
          <w:color w:val="7B7B7B" w:themeColor="accent3" w:themeShade="BF"/>
          <w:sz w:val="22"/>
          <w:szCs w:val="22"/>
          <w:lang w:val="en-GB"/>
        </w:rPr>
        <w:t>; and</w:t>
      </w:r>
    </w:p>
    <w:p w14:paraId="31B7AB2F" w14:textId="313E2EFA" w:rsidR="00BD6C29" w:rsidRPr="002B3315" w:rsidRDefault="00F90994" w:rsidP="00F90994">
      <w:pPr>
        <w:pStyle w:val="ListParagraph"/>
        <w:numPr>
          <w:ilvl w:val="0"/>
          <w:numId w:val="34"/>
        </w:num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if</w:t>
      </w:r>
      <w:r w:rsidR="00BD6C29" w:rsidRPr="002B3315">
        <w:rPr>
          <w:rFonts w:ascii="Arial" w:hAnsi="Arial" w:cs="Arial"/>
          <w:color w:val="7B7B7B" w:themeColor="accent3" w:themeShade="BF"/>
          <w:sz w:val="22"/>
          <w:szCs w:val="22"/>
          <w:lang w:val="en-GB"/>
        </w:rPr>
        <w:t xml:space="preserve"> it was carrying on business or in operation when it was struck off and dissolved.</w:t>
      </w:r>
    </w:p>
    <w:p w14:paraId="1B196E00" w14:textId="6E2F0243" w:rsidR="00BD6C29" w:rsidRPr="002B3315" w:rsidRDefault="00BD6C29" w:rsidP="00BD6C29">
      <w:pPr>
        <w:jc w:val="both"/>
        <w:rPr>
          <w:rFonts w:ascii="Arial" w:hAnsi="Arial" w:cs="Arial"/>
          <w:color w:val="7B7B7B" w:themeColor="accent3" w:themeShade="BF"/>
          <w:sz w:val="22"/>
          <w:szCs w:val="22"/>
          <w:lang w:val="en-GB"/>
        </w:rPr>
      </w:pPr>
    </w:p>
    <w:p w14:paraId="46FC1406" w14:textId="575C391D" w:rsidR="00923A6D" w:rsidRPr="002B3315" w:rsidRDefault="00BB639D" w:rsidP="008065CE">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With the commencement of the BVI Business Companies (Amendment) Act 2022 (“</w:t>
      </w:r>
      <w:r w:rsidRPr="002B3315">
        <w:rPr>
          <w:rFonts w:ascii="Arial" w:hAnsi="Arial" w:cs="Arial"/>
          <w:b/>
          <w:bCs/>
          <w:color w:val="7B7B7B" w:themeColor="accent3" w:themeShade="BF"/>
          <w:sz w:val="22"/>
          <w:szCs w:val="22"/>
          <w:lang w:val="en-GB"/>
        </w:rPr>
        <w:t>Amendment Act</w:t>
      </w:r>
      <w:r w:rsidRPr="002B3315">
        <w:rPr>
          <w:rFonts w:ascii="Arial" w:hAnsi="Arial" w:cs="Arial"/>
          <w:color w:val="7B7B7B" w:themeColor="accent3" w:themeShade="BF"/>
          <w:sz w:val="22"/>
          <w:szCs w:val="22"/>
          <w:lang w:val="en-GB"/>
        </w:rPr>
        <w:t xml:space="preserve">”) on 1 January 2023, the date </w:t>
      </w:r>
      <w:proofErr w:type="spellStart"/>
      <w:r w:rsidRPr="002B3315">
        <w:rPr>
          <w:rFonts w:ascii="Arial" w:hAnsi="Arial" w:cs="Arial"/>
          <w:color w:val="7B7B7B" w:themeColor="accent3" w:themeShade="BF"/>
          <w:sz w:val="22"/>
          <w:szCs w:val="22"/>
          <w:lang w:val="en-GB"/>
        </w:rPr>
        <w:t>Subco</w:t>
      </w:r>
      <w:proofErr w:type="spellEnd"/>
      <w:r w:rsidRPr="002B3315">
        <w:rPr>
          <w:rFonts w:ascii="Arial" w:hAnsi="Arial" w:cs="Arial"/>
          <w:color w:val="7B7B7B" w:themeColor="accent3" w:themeShade="BF"/>
          <w:sz w:val="22"/>
          <w:szCs w:val="22"/>
          <w:lang w:val="en-GB"/>
        </w:rPr>
        <w:t xml:space="preserve"> was struck off and dissolved is important as it will determine how </w:t>
      </w:r>
      <w:proofErr w:type="spellStart"/>
      <w:r w:rsidRPr="002B3315">
        <w:rPr>
          <w:rFonts w:ascii="Arial" w:hAnsi="Arial" w:cs="Arial"/>
          <w:color w:val="7B7B7B" w:themeColor="accent3" w:themeShade="BF"/>
          <w:sz w:val="22"/>
          <w:szCs w:val="22"/>
          <w:lang w:val="en-GB"/>
        </w:rPr>
        <w:t>Subco</w:t>
      </w:r>
      <w:proofErr w:type="spellEnd"/>
      <w:r w:rsidRPr="002B3315">
        <w:rPr>
          <w:rFonts w:ascii="Arial" w:hAnsi="Arial" w:cs="Arial"/>
          <w:color w:val="7B7B7B" w:themeColor="accent3" w:themeShade="BF"/>
          <w:sz w:val="22"/>
          <w:szCs w:val="22"/>
          <w:lang w:val="en-GB"/>
        </w:rPr>
        <w:t xml:space="preserve"> will be restored to the Register</w:t>
      </w:r>
      <w:r w:rsidR="00FF324A" w:rsidRPr="002B3315">
        <w:rPr>
          <w:rFonts w:ascii="Arial" w:hAnsi="Arial" w:cs="Arial"/>
          <w:color w:val="7B7B7B" w:themeColor="accent3" w:themeShade="BF"/>
          <w:sz w:val="22"/>
          <w:szCs w:val="22"/>
          <w:lang w:val="en-GB"/>
        </w:rPr>
        <w:t>:</w:t>
      </w:r>
    </w:p>
    <w:p w14:paraId="79BD56F7" w14:textId="77777777" w:rsidR="00BB639D" w:rsidRPr="002B3315" w:rsidRDefault="00BB639D" w:rsidP="008065CE">
      <w:pPr>
        <w:jc w:val="both"/>
        <w:rPr>
          <w:rFonts w:ascii="Arial" w:hAnsi="Arial" w:cs="Arial"/>
          <w:color w:val="7B7B7B" w:themeColor="accent3" w:themeShade="BF"/>
          <w:sz w:val="22"/>
          <w:szCs w:val="22"/>
          <w:lang w:val="en-GB"/>
        </w:rPr>
      </w:pPr>
    </w:p>
    <w:p w14:paraId="6DFA81EA" w14:textId="6F7798A4" w:rsidR="00BB639D" w:rsidRPr="002B3315" w:rsidRDefault="00BB639D" w:rsidP="008065CE">
      <w:pPr>
        <w:jc w:val="both"/>
        <w:rPr>
          <w:rFonts w:ascii="Arial" w:hAnsi="Arial" w:cs="Arial"/>
          <w:color w:val="7B7B7B" w:themeColor="accent3" w:themeShade="BF"/>
          <w:sz w:val="22"/>
          <w:szCs w:val="22"/>
          <w:u w:val="single"/>
          <w:lang w:val="en-GB"/>
        </w:rPr>
      </w:pPr>
      <w:r w:rsidRPr="002B3315">
        <w:rPr>
          <w:rFonts w:ascii="Arial" w:hAnsi="Arial" w:cs="Arial"/>
          <w:color w:val="7B7B7B" w:themeColor="accent3" w:themeShade="BF"/>
          <w:sz w:val="22"/>
          <w:szCs w:val="22"/>
          <w:u w:val="single"/>
          <w:lang w:val="en-GB"/>
        </w:rPr>
        <w:t>Struck o</w:t>
      </w:r>
      <w:r w:rsidR="009B23AC" w:rsidRPr="002B3315">
        <w:rPr>
          <w:rFonts w:ascii="Arial" w:hAnsi="Arial" w:cs="Arial"/>
          <w:color w:val="7B7B7B" w:themeColor="accent3" w:themeShade="BF"/>
          <w:sz w:val="22"/>
          <w:szCs w:val="22"/>
          <w:u w:val="single"/>
          <w:lang w:val="en-GB"/>
        </w:rPr>
        <w:t>ff and d</w:t>
      </w:r>
      <w:r w:rsidRPr="002B3315">
        <w:rPr>
          <w:rFonts w:ascii="Arial" w:hAnsi="Arial" w:cs="Arial"/>
          <w:color w:val="7B7B7B" w:themeColor="accent3" w:themeShade="BF"/>
          <w:sz w:val="22"/>
          <w:szCs w:val="22"/>
          <w:u w:val="single"/>
          <w:lang w:val="en-GB"/>
        </w:rPr>
        <w:t>issolved before 1 January 2023</w:t>
      </w:r>
    </w:p>
    <w:p w14:paraId="2207624D" w14:textId="522FF3C9" w:rsidR="0021471E" w:rsidRPr="002B3315" w:rsidRDefault="0021471E" w:rsidP="008065CE">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A </w:t>
      </w:r>
      <w:r w:rsidR="00AB5A66" w:rsidRPr="002B3315">
        <w:rPr>
          <w:rFonts w:ascii="Arial" w:hAnsi="Arial" w:cs="Arial"/>
          <w:color w:val="7B7B7B" w:themeColor="accent3" w:themeShade="BF"/>
          <w:sz w:val="22"/>
          <w:szCs w:val="22"/>
          <w:lang w:val="en-GB"/>
        </w:rPr>
        <w:t>company dissolved before 1 January 2023</w:t>
      </w:r>
      <w:r w:rsidRPr="002B3315">
        <w:rPr>
          <w:rFonts w:ascii="Arial" w:hAnsi="Arial" w:cs="Arial"/>
          <w:color w:val="7B7B7B" w:themeColor="accent3" w:themeShade="BF"/>
          <w:sz w:val="22"/>
          <w:szCs w:val="22"/>
          <w:lang w:val="en-GB"/>
        </w:rPr>
        <w:t xml:space="preserve"> c</w:t>
      </w:r>
      <w:r w:rsidR="00DD36E1" w:rsidRPr="002B3315">
        <w:rPr>
          <w:rFonts w:ascii="Arial" w:hAnsi="Arial" w:cs="Arial"/>
          <w:color w:val="7B7B7B" w:themeColor="accent3" w:themeShade="BF"/>
          <w:sz w:val="22"/>
          <w:szCs w:val="22"/>
          <w:lang w:val="en-GB"/>
        </w:rPr>
        <w:t>an</w:t>
      </w:r>
      <w:r w:rsidRPr="002B3315">
        <w:rPr>
          <w:rFonts w:ascii="Arial" w:hAnsi="Arial" w:cs="Arial"/>
          <w:color w:val="7B7B7B" w:themeColor="accent3" w:themeShade="BF"/>
          <w:sz w:val="22"/>
          <w:szCs w:val="22"/>
          <w:lang w:val="en-GB"/>
        </w:rPr>
        <w:t xml:space="preserve"> be restored</w:t>
      </w:r>
      <w:r w:rsidR="009B23AC" w:rsidRPr="002B3315">
        <w:rPr>
          <w:rFonts w:ascii="Arial" w:hAnsi="Arial" w:cs="Arial"/>
          <w:color w:val="7B7B7B" w:themeColor="accent3" w:themeShade="BF"/>
          <w:sz w:val="22"/>
          <w:szCs w:val="22"/>
          <w:lang w:val="en-GB"/>
        </w:rPr>
        <w:t xml:space="preserve"> to the Register.</w:t>
      </w:r>
      <w:r w:rsidRPr="002B3315">
        <w:rPr>
          <w:rFonts w:ascii="Arial" w:hAnsi="Arial" w:cs="Arial"/>
          <w:color w:val="7B7B7B" w:themeColor="accent3" w:themeShade="BF"/>
          <w:sz w:val="22"/>
          <w:szCs w:val="22"/>
          <w:lang w:val="en-GB"/>
        </w:rPr>
        <w:t xml:space="preserve"> Any application to restore </w:t>
      </w:r>
      <w:r w:rsidR="00DD36E1" w:rsidRPr="002B3315">
        <w:rPr>
          <w:rFonts w:ascii="Arial" w:hAnsi="Arial" w:cs="Arial"/>
          <w:color w:val="7B7B7B" w:themeColor="accent3" w:themeShade="BF"/>
          <w:sz w:val="22"/>
          <w:szCs w:val="22"/>
          <w:lang w:val="en-GB"/>
        </w:rPr>
        <w:t>a dissolved</w:t>
      </w:r>
      <w:r w:rsidRPr="002B3315">
        <w:rPr>
          <w:rFonts w:ascii="Arial" w:hAnsi="Arial" w:cs="Arial"/>
          <w:color w:val="7B7B7B" w:themeColor="accent3" w:themeShade="BF"/>
          <w:sz w:val="22"/>
          <w:szCs w:val="22"/>
          <w:lang w:val="en-GB"/>
        </w:rPr>
        <w:t xml:space="preserve"> company </w:t>
      </w:r>
      <w:proofErr w:type="gramStart"/>
      <w:r w:rsidRPr="002B3315">
        <w:rPr>
          <w:rFonts w:ascii="Arial" w:hAnsi="Arial" w:cs="Arial"/>
          <w:color w:val="7B7B7B" w:themeColor="accent3" w:themeShade="BF"/>
          <w:sz w:val="22"/>
          <w:szCs w:val="22"/>
          <w:lang w:val="en-GB"/>
        </w:rPr>
        <w:t>ha</w:t>
      </w:r>
      <w:r w:rsidR="00144845" w:rsidRPr="002B3315">
        <w:rPr>
          <w:rFonts w:ascii="Arial" w:hAnsi="Arial" w:cs="Arial"/>
          <w:color w:val="7B7B7B" w:themeColor="accent3" w:themeShade="BF"/>
          <w:sz w:val="22"/>
          <w:szCs w:val="22"/>
          <w:lang w:val="en-GB"/>
        </w:rPr>
        <w:t>s</w:t>
      </w:r>
      <w:r w:rsidRPr="002B3315">
        <w:rPr>
          <w:rFonts w:ascii="Arial" w:hAnsi="Arial" w:cs="Arial"/>
          <w:color w:val="7B7B7B" w:themeColor="accent3" w:themeShade="BF"/>
          <w:sz w:val="22"/>
          <w:szCs w:val="22"/>
          <w:lang w:val="en-GB"/>
        </w:rPr>
        <w:t xml:space="preserve"> to</w:t>
      </w:r>
      <w:proofErr w:type="gramEnd"/>
      <w:r w:rsidRPr="002B3315">
        <w:rPr>
          <w:rFonts w:ascii="Arial" w:hAnsi="Arial" w:cs="Arial"/>
          <w:color w:val="7B7B7B" w:themeColor="accent3" w:themeShade="BF"/>
          <w:sz w:val="22"/>
          <w:szCs w:val="22"/>
          <w:lang w:val="en-GB"/>
        </w:rPr>
        <w:t xml:space="preserve"> be made within 10 years </w:t>
      </w:r>
      <w:r w:rsidR="00DD36E1" w:rsidRPr="002B3315">
        <w:rPr>
          <w:rFonts w:ascii="Arial" w:hAnsi="Arial" w:cs="Arial"/>
          <w:color w:val="7B7B7B" w:themeColor="accent3" w:themeShade="BF"/>
          <w:sz w:val="22"/>
          <w:szCs w:val="22"/>
          <w:lang w:val="en-GB"/>
        </w:rPr>
        <w:t>after</w:t>
      </w:r>
      <w:r w:rsidRPr="002B3315">
        <w:rPr>
          <w:rFonts w:ascii="Arial" w:hAnsi="Arial" w:cs="Arial"/>
          <w:color w:val="7B7B7B" w:themeColor="accent3" w:themeShade="BF"/>
          <w:sz w:val="22"/>
          <w:szCs w:val="22"/>
          <w:lang w:val="en-GB"/>
        </w:rPr>
        <w:t xml:space="preserve"> the date of dissolution and could be made by a creditor, former director, former member, former liquidator or any person who could establish an interest in the company</w:t>
      </w:r>
      <w:r w:rsidR="00DD36E1" w:rsidRPr="002B3315">
        <w:rPr>
          <w:rFonts w:ascii="Arial" w:hAnsi="Arial" w:cs="Arial"/>
          <w:color w:val="7B7B7B" w:themeColor="accent3" w:themeShade="BF"/>
          <w:sz w:val="22"/>
          <w:szCs w:val="22"/>
          <w:lang w:val="en-GB"/>
        </w:rPr>
        <w:t xml:space="preserve"> being restored</w:t>
      </w:r>
      <w:r w:rsidR="00DD36E1" w:rsidRPr="002B3315">
        <w:rPr>
          <w:rStyle w:val="FootnoteReference"/>
          <w:rFonts w:ascii="Arial" w:hAnsi="Arial" w:cs="Arial"/>
          <w:color w:val="7B7B7B" w:themeColor="accent3" w:themeShade="BF"/>
          <w:sz w:val="22"/>
          <w:szCs w:val="22"/>
          <w:lang w:val="en-GB"/>
        </w:rPr>
        <w:footnoteReference w:id="223"/>
      </w:r>
      <w:r w:rsidRPr="002B3315">
        <w:rPr>
          <w:rFonts w:ascii="Arial" w:hAnsi="Arial" w:cs="Arial"/>
          <w:color w:val="7B7B7B" w:themeColor="accent3" w:themeShade="BF"/>
          <w:sz w:val="22"/>
          <w:szCs w:val="22"/>
          <w:lang w:val="en-GB"/>
        </w:rPr>
        <w:t>.</w:t>
      </w:r>
    </w:p>
    <w:p w14:paraId="23EC4642" w14:textId="77777777" w:rsidR="00DD36E1" w:rsidRPr="002B3315" w:rsidRDefault="00DD36E1" w:rsidP="008065CE">
      <w:pPr>
        <w:jc w:val="both"/>
        <w:rPr>
          <w:rFonts w:ascii="Arial" w:hAnsi="Arial" w:cs="Arial"/>
          <w:color w:val="7B7B7B" w:themeColor="accent3" w:themeShade="BF"/>
          <w:sz w:val="22"/>
          <w:szCs w:val="22"/>
          <w:lang w:val="en-GB"/>
        </w:rPr>
      </w:pPr>
    </w:p>
    <w:p w14:paraId="7B77853A" w14:textId="2D6E53C8" w:rsidR="0021471E" w:rsidRPr="002B3315" w:rsidRDefault="0021471E" w:rsidP="00BB639D">
      <w:pPr>
        <w:jc w:val="both"/>
        <w:rPr>
          <w:rFonts w:ascii="Arial" w:hAnsi="Arial" w:cs="Arial"/>
          <w:color w:val="7B7B7B" w:themeColor="accent3" w:themeShade="BF"/>
          <w:sz w:val="22"/>
          <w:szCs w:val="22"/>
          <w:u w:val="single"/>
          <w:lang w:val="en-GB"/>
        </w:rPr>
      </w:pPr>
      <w:r w:rsidRPr="002B3315">
        <w:rPr>
          <w:rFonts w:ascii="Arial" w:hAnsi="Arial" w:cs="Arial"/>
          <w:color w:val="7B7B7B" w:themeColor="accent3" w:themeShade="BF"/>
          <w:sz w:val="22"/>
          <w:szCs w:val="22"/>
          <w:u w:val="single"/>
          <w:lang w:val="en-GB"/>
        </w:rPr>
        <w:t>Transitional arrangements</w:t>
      </w:r>
    </w:p>
    <w:p w14:paraId="5EFFE2FB" w14:textId="14A84ACD" w:rsidR="0021471E" w:rsidRPr="002B3315" w:rsidRDefault="0021471E" w:rsidP="00BB639D">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The Amendment Act </w:t>
      </w:r>
      <w:r w:rsidR="009B23AC" w:rsidRPr="002B3315">
        <w:rPr>
          <w:rFonts w:ascii="Arial" w:hAnsi="Arial" w:cs="Arial"/>
          <w:color w:val="7B7B7B" w:themeColor="accent3" w:themeShade="BF"/>
          <w:sz w:val="22"/>
          <w:szCs w:val="22"/>
          <w:lang w:val="en-GB"/>
        </w:rPr>
        <w:t>contains transitional arrangements. A company wh</w:t>
      </w:r>
      <w:r w:rsidR="00DD36E1" w:rsidRPr="002B3315">
        <w:rPr>
          <w:rFonts w:ascii="Arial" w:hAnsi="Arial" w:cs="Arial"/>
          <w:color w:val="7B7B7B" w:themeColor="accent3" w:themeShade="BF"/>
          <w:sz w:val="22"/>
          <w:szCs w:val="22"/>
          <w:lang w:val="en-GB"/>
        </w:rPr>
        <w:t>ich,</w:t>
      </w:r>
      <w:r w:rsidR="00EB5F1D" w:rsidRPr="002B3315">
        <w:rPr>
          <w:rFonts w:ascii="Arial" w:hAnsi="Arial" w:cs="Arial"/>
          <w:color w:val="7B7B7B" w:themeColor="accent3" w:themeShade="BF"/>
          <w:sz w:val="22"/>
          <w:szCs w:val="22"/>
          <w:lang w:val="en-GB"/>
        </w:rPr>
        <w:t xml:space="preserve"> as of</w:t>
      </w:r>
      <w:r w:rsidR="009B23AC" w:rsidRPr="002B3315">
        <w:rPr>
          <w:rFonts w:ascii="Arial" w:hAnsi="Arial" w:cs="Arial"/>
          <w:color w:val="7B7B7B" w:themeColor="accent3" w:themeShade="BF"/>
          <w:sz w:val="22"/>
          <w:szCs w:val="22"/>
          <w:lang w:val="en-GB"/>
        </w:rPr>
        <w:t xml:space="preserve"> 1 January 2023</w:t>
      </w:r>
      <w:r w:rsidR="00DD36E1" w:rsidRPr="002B3315">
        <w:rPr>
          <w:rFonts w:ascii="Arial" w:hAnsi="Arial" w:cs="Arial"/>
          <w:color w:val="7B7B7B" w:themeColor="accent3" w:themeShade="BF"/>
          <w:sz w:val="22"/>
          <w:szCs w:val="22"/>
          <w:lang w:val="en-GB"/>
        </w:rPr>
        <w:t>,</w:t>
      </w:r>
      <w:r w:rsidR="00EB5F1D" w:rsidRPr="002B3315">
        <w:rPr>
          <w:rFonts w:ascii="Arial" w:hAnsi="Arial" w:cs="Arial"/>
          <w:color w:val="7B7B7B" w:themeColor="accent3" w:themeShade="BF"/>
          <w:sz w:val="22"/>
          <w:szCs w:val="22"/>
          <w:lang w:val="en-GB"/>
        </w:rPr>
        <w:t xml:space="preserve"> was dissolved</w:t>
      </w:r>
      <w:r w:rsidR="009B23AC" w:rsidRPr="002B3315">
        <w:rPr>
          <w:rFonts w:ascii="Arial" w:hAnsi="Arial" w:cs="Arial"/>
          <w:color w:val="7B7B7B" w:themeColor="accent3" w:themeShade="BF"/>
          <w:sz w:val="22"/>
          <w:szCs w:val="22"/>
          <w:lang w:val="en-GB"/>
        </w:rPr>
        <w:t xml:space="preserve"> </w:t>
      </w:r>
      <w:r w:rsidR="00EB5F1D" w:rsidRPr="002B3315">
        <w:rPr>
          <w:rFonts w:ascii="Arial" w:hAnsi="Arial" w:cs="Arial"/>
          <w:color w:val="7B7B7B" w:themeColor="accent3" w:themeShade="BF"/>
          <w:sz w:val="22"/>
          <w:szCs w:val="22"/>
          <w:lang w:val="en-GB"/>
        </w:rPr>
        <w:t>will have</w:t>
      </w:r>
      <w:r w:rsidR="009B23AC" w:rsidRPr="002B3315">
        <w:rPr>
          <w:rFonts w:ascii="Arial" w:hAnsi="Arial" w:cs="Arial"/>
          <w:color w:val="7B7B7B" w:themeColor="accent3" w:themeShade="BF"/>
          <w:sz w:val="22"/>
          <w:szCs w:val="22"/>
          <w:lang w:val="en-GB"/>
        </w:rPr>
        <w:t xml:space="preserve"> until 1 January 2028 to apply to restore the company unless:</w:t>
      </w:r>
    </w:p>
    <w:p w14:paraId="6953AA7E" w14:textId="27065E75" w:rsidR="009B23AC" w:rsidRPr="002B3315" w:rsidRDefault="009B23AC" w:rsidP="00DF0CBE">
      <w:pPr>
        <w:pStyle w:val="ListParagraph"/>
        <w:numPr>
          <w:ilvl w:val="1"/>
          <w:numId w:val="32"/>
        </w:numPr>
        <w:ind w:left="714" w:hanging="357"/>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the 10-year period (see above) ended </w:t>
      </w:r>
      <w:r w:rsidR="00DD36E1" w:rsidRPr="002B3315">
        <w:rPr>
          <w:rFonts w:ascii="Arial" w:hAnsi="Arial" w:cs="Arial"/>
          <w:color w:val="7B7B7B" w:themeColor="accent3" w:themeShade="BF"/>
          <w:sz w:val="22"/>
          <w:szCs w:val="22"/>
          <w:lang w:val="en-GB"/>
        </w:rPr>
        <w:t>before</w:t>
      </w:r>
      <w:r w:rsidRPr="002B3315">
        <w:rPr>
          <w:rFonts w:ascii="Arial" w:hAnsi="Arial" w:cs="Arial"/>
          <w:color w:val="7B7B7B" w:themeColor="accent3" w:themeShade="BF"/>
          <w:sz w:val="22"/>
          <w:szCs w:val="22"/>
          <w:lang w:val="en-GB"/>
        </w:rPr>
        <w:t xml:space="preserve"> </w:t>
      </w:r>
      <w:r w:rsidR="00DD36E1" w:rsidRPr="002B3315">
        <w:rPr>
          <w:rFonts w:ascii="Arial" w:hAnsi="Arial" w:cs="Arial"/>
          <w:color w:val="7B7B7B" w:themeColor="accent3" w:themeShade="BF"/>
          <w:sz w:val="22"/>
          <w:szCs w:val="22"/>
          <w:lang w:val="en-GB"/>
        </w:rPr>
        <w:t>this</w:t>
      </w:r>
      <w:r w:rsidRPr="002B3315">
        <w:rPr>
          <w:rFonts w:ascii="Arial" w:hAnsi="Arial" w:cs="Arial"/>
          <w:color w:val="7B7B7B" w:themeColor="accent3" w:themeShade="BF"/>
          <w:sz w:val="22"/>
          <w:szCs w:val="22"/>
          <w:lang w:val="en-GB"/>
        </w:rPr>
        <w:t xml:space="preserve"> date, in which case the deadline would be the earlier date; or</w:t>
      </w:r>
    </w:p>
    <w:p w14:paraId="02DCF03C" w14:textId="36769C10" w:rsidR="009B23AC" w:rsidRPr="002B3315" w:rsidRDefault="009B23AC" w:rsidP="00DF0CBE">
      <w:pPr>
        <w:pStyle w:val="ListParagraph"/>
        <w:numPr>
          <w:ilvl w:val="1"/>
          <w:numId w:val="32"/>
        </w:numPr>
        <w:ind w:left="714" w:hanging="357"/>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the 10-year period is due to end after 1 January 2028</w:t>
      </w:r>
      <w:r w:rsidR="00DD36E1" w:rsidRPr="002B3315">
        <w:rPr>
          <w:rFonts w:ascii="Arial" w:hAnsi="Arial" w:cs="Arial"/>
          <w:color w:val="7B7B7B" w:themeColor="accent3" w:themeShade="BF"/>
          <w:sz w:val="22"/>
          <w:szCs w:val="22"/>
          <w:lang w:val="en-GB"/>
        </w:rPr>
        <w:t>,</w:t>
      </w:r>
      <w:r w:rsidRPr="002B3315">
        <w:rPr>
          <w:rFonts w:ascii="Arial" w:hAnsi="Arial" w:cs="Arial"/>
          <w:color w:val="7B7B7B" w:themeColor="accent3" w:themeShade="BF"/>
          <w:sz w:val="22"/>
          <w:szCs w:val="22"/>
          <w:lang w:val="en-GB"/>
        </w:rPr>
        <w:t xml:space="preserve"> in which case 1 January 2028 would be the deadline</w:t>
      </w:r>
      <w:r w:rsidR="00EB5F1D" w:rsidRPr="002B3315">
        <w:rPr>
          <w:rFonts w:ascii="Arial" w:hAnsi="Arial" w:cs="Arial"/>
          <w:color w:val="7B7B7B" w:themeColor="accent3" w:themeShade="BF"/>
          <w:sz w:val="22"/>
          <w:szCs w:val="22"/>
          <w:lang w:val="en-GB"/>
        </w:rPr>
        <w:t xml:space="preserve"> for applying for restoration</w:t>
      </w:r>
      <w:r w:rsidRPr="002B3315">
        <w:rPr>
          <w:rFonts w:ascii="Arial" w:hAnsi="Arial" w:cs="Arial"/>
          <w:color w:val="7B7B7B" w:themeColor="accent3" w:themeShade="BF"/>
          <w:sz w:val="22"/>
          <w:szCs w:val="22"/>
          <w:lang w:val="en-GB"/>
        </w:rPr>
        <w:t>.</w:t>
      </w:r>
      <w:r w:rsidR="00DD36E1" w:rsidRPr="002B3315">
        <w:rPr>
          <w:rStyle w:val="FootnoteReference"/>
          <w:rFonts w:ascii="Arial" w:hAnsi="Arial" w:cs="Arial"/>
          <w:color w:val="7B7B7B" w:themeColor="accent3" w:themeShade="BF"/>
          <w:sz w:val="22"/>
          <w:szCs w:val="22"/>
          <w:lang w:val="en-GB"/>
        </w:rPr>
        <w:footnoteReference w:id="224"/>
      </w:r>
    </w:p>
    <w:p w14:paraId="1A6080A6" w14:textId="77777777" w:rsidR="00AB5A66" w:rsidRPr="002B3315" w:rsidRDefault="00AB5A66" w:rsidP="00BB639D">
      <w:pPr>
        <w:jc w:val="both"/>
        <w:rPr>
          <w:rFonts w:ascii="Arial" w:hAnsi="Arial" w:cs="Arial"/>
          <w:color w:val="7B7B7B" w:themeColor="accent3" w:themeShade="BF"/>
          <w:sz w:val="22"/>
          <w:szCs w:val="22"/>
          <w:u w:val="single"/>
          <w:lang w:val="en-GB"/>
        </w:rPr>
      </w:pPr>
    </w:p>
    <w:p w14:paraId="4FC55DF9" w14:textId="79CC0454" w:rsidR="00BB639D" w:rsidRPr="002B3315" w:rsidRDefault="0021471E" w:rsidP="00BB639D">
      <w:pPr>
        <w:jc w:val="both"/>
        <w:rPr>
          <w:rFonts w:ascii="Arial" w:hAnsi="Arial" w:cs="Arial"/>
          <w:color w:val="7B7B7B" w:themeColor="accent3" w:themeShade="BF"/>
          <w:sz w:val="22"/>
          <w:szCs w:val="22"/>
          <w:u w:val="single"/>
          <w:lang w:val="en-GB"/>
        </w:rPr>
      </w:pPr>
      <w:r w:rsidRPr="002B3315">
        <w:rPr>
          <w:rFonts w:ascii="Arial" w:hAnsi="Arial" w:cs="Arial"/>
          <w:color w:val="7B7B7B" w:themeColor="accent3" w:themeShade="BF"/>
          <w:sz w:val="22"/>
          <w:szCs w:val="22"/>
          <w:u w:val="single"/>
          <w:lang w:val="en-GB"/>
        </w:rPr>
        <w:t>S</w:t>
      </w:r>
      <w:r w:rsidR="00BB639D" w:rsidRPr="002B3315">
        <w:rPr>
          <w:rFonts w:ascii="Arial" w:hAnsi="Arial" w:cs="Arial"/>
          <w:color w:val="7B7B7B" w:themeColor="accent3" w:themeShade="BF"/>
          <w:sz w:val="22"/>
          <w:szCs w:val="22"/>
          <w:u w:val="single"/>
          <w:lang w:val="en-GB"/>
        </w:rPr>
        <w:t>truck off and dissolved after 1 January 2023</w:t>
      </w:r>
    </w:p>
    <w:p w14:paraId="44C82074" w14:textId="6D87AF84" w:rsidR="00281CBD" w:rsidRPr="002B3315" w:rsidRDefault="00EB5F1D" w:rsidP="008065CE">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After 1 January 2023, a company which is struck off for administrative reasons will have only 90 days to settle any outstanding fees and penalties and be restored. Failing to do this will </w:t>
      </w:r>
      <w:r w:rsidR="0051415E" w:rsidRPr="002B3315">
        <w:rPr>
          <w:rFonts w:ascii="Arial" w:hAnsi="Arial" w:cs="Arial"/>
          <w:color w:val="7B7B7B" w:themeColor="accent3" w:themeShade="BF"/>
          <w:sz w:val="22"/>
          <w:szCs w:val="22"/>
          <w:lang w:val="en-GB"/>
        </w:rPr>
        <w:t>mean</w:t>
      </w:r>
      <w:r w:rsidRPr="002B3315">
        <w:rPr>
          <w:rFonts w:ascii="Arial" w:hAnsi="Arial" w:cs="Arial"/>
          <w:color w:val="7B7B7B" w:themeColor="accent3" w:themeShade="BF"/>
          <w:sz w:val="22"/>
          <w:szCs w:val="22"/>
          <w:lang w:val="en-GB"/>
        </w:rPr>
        <w:t xml:space="preserve"> that the Registrar may publish a notice striking off the company in the BVI Gazette.</w:t>
      </w:r>
      <w:r w:rsidR="0056046E" w:rsidRPr="002B3315">
        <w:rPr>
          <w:rStyle w:val="FootnoteReference"/>
          <w:rFonts w:ascii="Arial" w:hAnsi="Arial" w:cs="Arial"/>
          <w:color w:val="7B7B7B" w:themeColor="accent3" w:themeShade="BF"/>
          <w:sz w:val="22"/>
          <w:szCs w:val="22"/>
          <w:lang w:val="en-GB"/>
        </w:rPr>
        <w:footnoteReference w:id="225"/>
      </w:r>
      <w:r w:rsidR="00B6547E" w:rsidRPr="002B3315">
        <w:rPr>
          <w:rFonts w:ascii="Arial" w:hAnsi="Arial" w:cs="Arial"/>
          <w:color w:val="7B7B7B" w:themeColor="accent3" w:themeShade="BF"/>
          <w:sz w:val="22"/>
          <w:szCs w:val="22"/>
          <w:lang w:val="en-GB"/>
        </w:rPr>
        <w:t xml:space="preserve"> The process of strike off and dissolution </w:t>
      </w:r>
      <w:r w:rsidR="00281CBD" w:rsidRPr="002B3315">
        <w:rPr>
          <w:rFonts w:ascii="Arial" w:hAnsi="Arial" w:cs="Arial"/>
          <w:color w:val="7B7B7B" w:themeColor="accent3" w:themeShade="BF"/>
          <w:sz w:val="22"/>
          <w:szCs w:val="22"/>
          <w:lang w:val="en-GB"/>
        </w:rPr>
        <w:t xml:space="preserve">now almost </w:t>
      </w:r>
      <w:r w:rsidR="00B6547E" w:rsidRPr="002B3315">
        <w:rPr>
          <w:rFonts w:ascii="Arial" w:hAnsi="Arial" w:cs="Arial"/>
          <w:color w:val="7B7B7B" w:themeColor="accent3" w:themeShade="BF"/>
          <w:sz w:val="22"/>
          <w:szCs w:val="22"/>
          <w:lang w:val="en-GB"/>
        </w:rPr>
        <w:t>happens simultaneously.</w:t>
      </w:r>
      <w:r w:rsidR="00B6547E" w:rsidRPr="002B3315">
        <w:rPr>
          <w:rStyle w:val="FootnoteReference"/>
          <w:rFonts w:ascii="Arial" w:hAnsi="Arial" w:cs="Arial"/>
          <w:color w:val="7B7B7B" w:themeColor="accent3" w:themeShade="BF"/>
          <w:sz w:val="22"/>
          <w:szCs w:val="22"/>
          <w:lang w:val="en-GB"/>
        </w:rPr>
        <w:footnoteReference w:id="226"/>
      </w:r>
      <w:r w:rsidR="00BC6EDA" w:rsidRPr="002B3315">
        <w:rPr>
          <w:rFonts w:ascii="Arial" w:hAnsi="Arial" w:cs="Arial"/>
          <w:color w:val="7B7B7B" w:themeColor="accent3" w:themeShade="BF"/>
          <w:sz w:val="22"/>
          <w:szCs w:val="22"/>
          <w:lang w:val="en-GB"/>
        </w:rPr>
        <w:t xml:space="preserve"> Assuming </w:t>
      </w:r>
      <w:proofErr w:type="spellStart"/>
      <w:r w:rsidR="00BC6EDA" w:rsidRPr="002B3315">
        <w:rPr>
          <w:rFonts w:ascii="Arial" w:hAnsi="Arial" w:cs="Arial"/>
          <w:color w:val="7B7B7B" w:themeColor="accent3" w:themeShade="BF"/>
          <w:sz w:val="22"/>
          <w:szCs w:val="22"/>
          <w:lang w:val="en-GB"/>
        </w:rPr>
        <w:t>Subco</w:t>
      </w:r>
      <w:proofErr w:type="spellEnd"/>
      <w:r w:rsidR="00BC6EDA" w:rsidRPr="002B3315">
        <w:rPr>
          <w:rFonts w:ascii="Arial" w:hAnsi="Arial" w:cs="Arial"/>
          <w:color w:val="7B7B7B" w:themeColor="accent3" w:themeShade="BF"/>
          <w:sz w:val="22"/>
          <w:szCs w:val="22"/>
          <w:lang w:val="en-GB"/>
        </w:rPr>
        <w:t xml:space="preserve"> was</w:t>
      </w:r>
      <w:r w:rsidR="00B6547E" w:rsidRPr="002B3315">
        <w:rPr>
          <w:rFonts w:ascii="Arial" w:hAnsi="Arial" w:cs="Arial"/>
          <w:color w:val="7B7B7B" w:themeColor="accent3" w:themeShade="BF"/>
          <w:sz w:val="22"/>
          <w:szCs w:val="22"/>
          <w:lang w:val="en-GB"/>
        </w:rPr>
        <w:t xml:space="preserve"> struck off and dissolved</w:t>
      </w:r>
      <w:r w:rsidR="00BC6EDA" w:rsidRPr="002B3315">
        <w:rPr>
          <w:rFonts w:ascii="Arial" w:hAnsi="Arial" w:cs="Arial"/>
          <w:color w:val="7B7B7B" w:themeColor="accent3" w:themeShade="BF"/>
          <w:sz w:val="22"/>
          <w:szCs w:val="22"/>
          <w:lang w:val="en-GB"/>
        </w:rPr>
        <w:t xml:space="preserve"> after 1 January 2023</w:t>
      </w:r>
      <w:r w:rsidR="00B6547E" w:rsidRPr="002B3315">
        <w:rPr>
          <w:rFonts w:ascii="Arial" w:hAnsi="Arial" w:cs="Arial"/>
          <w:color w:val="7B7B7B" w:themeColor="accent3" w:themeShade="BF"/>
          <w:sz w:val="22"/>
          <w:szCs w:val="22"/>
          <w:lang w:val="en-GB"/>
        </w:rPr>
        <w:t xml:space="preserve">, </w:t>
      </w:r>
      <w:r w:rsidR="00BC6EDA" w:rsidRPr="002B3315">
        <w:rPr>
          <w:rFonts w:ascii="Arial" w:hAnsi="Arial" w:cs="Arial"/>
          <w:color w:val="7B7B7B" w:themeColor="accent3" w:themeShade="BF"/>
          <w:sz w:val="22"/>
          <w:szCs w:val="22"/>
          <w:lang w:val="en-GB"/>
        </w:rPr>
        <w:t xml:space="preserve">it </w:t>
      </w:r>
      <w:r w:rsidR="00B6547E" w:rsidRPr="002B3315">
        <w:rPr>
          <w:rFonts w:ascii="Arial" w:hAnsi="Arial" w:cs="Arial"/>
          <w:color w:val="7B7B7B" w:themeColor="accent3" w:themeShade="BF"/>
          <w:sz w:val="22"/>
          <w:szCs w:val="22"/>
          <w:lang w:val="en-GB"/>
        </w:rPr>
        <w:t xml:space="preserve">can be </w:t>
      </w:r>
      <w:r w:rsidR="00BD6C29" w:rsidRPr="002B3315">
        <w:rPr>
          <w:rFonts w:ascii="Arial" w:hAnsi="Arial" w:cs="Arial"/>
          <w:color w:val="7B7B7B" w:themeColor="accent3" w:themeShade="BF"/>
          <w:sz w:val="22"/>
          <w:szCs w:val="22"/>
          <w:lang w:val="en-GB"/>
        </w:rPr>
        <w:t xml:space="preserve">restored </w:t>
      </w:r>
      <w:r w:rsidR="003B4490" w:rsidRPr="002B3315">
        <w:rPr>
          <w:rFonts w:ascii="Arial" w:hAnsi="Arial" w:cs="Arial"/>
          <w:color w:val="7B7B7B" w:themeColor="accent3" w:themeShade="BF"/>
          <w:sz w:val="22"/>
          <w:szCs w:val="22"/>
          <w:lang w:val="en-GB"/>
        </w:rPr>
        <w:t xml:space="preserve">either </w:t>
      </w:r>
      <w:r w:rsidR="00BD6C29" w:rsidRPr="002B3315">
        <w:rPr>
          <w:rFonts w:ascii="Arial" w:hAnsi="Arial" w:cs="Arial"/>
          <w:color w:val="7B7B7B" w:themeColor="accent3" w:themeShade="BF"/>
          <w:sz w:val="22"/>
          <w:szCs w:val="22"/>
          <w:lang w:val="en-GB"/>
        </w:rPr>
        <w:t>by</w:t>
      </w:r>
      <w:r w:rsidR="00281CBD" w:rsidRPr="002B3315">
        <w:rPr>
          <w:rFonts w:ascii="Arial" w:hAnsi="Arial" w:cs="Arial"/>
          <w:color w:val="7B7B7B" w:themeColor="accent3" w:themeShade="BF"/>
          <w:sz w:val="22"/>
          <w:szCs w:val="22"/>
          <w:lang w:val="en-GB"/>
        </w:rPr>
        <w:t>:</w:t>
      </w:r>
    </w:p>
    <w:p w14:paraId="6EB5677B" w14:textId="404FBD90" w:rsidR="00281CBD" w:rsidRPr="002B3315" w:rsidRDefault="00BD6C29" w:rsidP="00281CBD">
      <w:pPr>
        <w:pStyle w:val="ListParagraph"/>
        <w:numPr>
          <w:ilvl w:val="0"/>
          <w:numId w:val="42"/>
        </w:num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the Registrar</w:t>
      </w:r>
      <w:r w:rsidR="0051415E" w:rsidRPr="002B3315">
        <w:rPr>
          <w:rFonts w:ascii="Arial" w:hAnsi="Arial" w:cs="Arial"/>
          <w:color w:val="7B7B7B" w:themeColor="accent3" w:themeShade="BF"/>
          <w:sz w:val="22"/>
          <w:szCs w:val="22"/>
          <w:lang w:val="en-GB"/>
        </w:rPr>
        <w:t xml:space="preserve"> of Corporate Affairs (“</w:t>
      </w:r>
      <w:r w:rsidR="0051415E" w:rsidRPr="002B3315">
        <w:rPr>
          <w:rFonts w:ascii="Arial" w:hAnsi="Arial" w:cs="Arial"/>
          <w:b/>
          <w:bCs/>
          <w:color w:val="7B7B7B" w:themeColor="accent3" w:themeShade="BF"/>
          <w:sz w:val="22"/>
          <w:szCs w:val="22"/>
          <w:lang w:val="en-GB"/>
        </w:rPr>
        <w:t>Registrar</w:t>
      </w:r>
      <w:r w:rsidR="0051415E" w:rsidRPr="002B3315">
        <w:rPr>
          <w:rFonts w:ascii="Arial" w:hAnsi="Arial" w:cs="Arial"/>
          <w:color w:val="7B7B7B" w:themeColor="accent3" w:themeShade="BF"/>
          <w:sz w:val="22"/>
          <w:szCs w:val="22"/>
          <w:lang w:val="en-GB"/>
        </w:rPr>
        <w:t>”)</w:t>
      </w:r>
      <w:r w:rsidRPr="002B3315">
        <w:rPr>
          <w:rFonts w:ascii="Arial" w:hAnsi="Arial" w:cs="Arial"/>
          <w:color w:val="7B7B7B" w:themeColor="accent3" w:themeShade="BF"/>
          <w:sz w:val="22"/>
          <w:szCs w:val="22"/>
          <w:lang w:val="en-GB"/>
        </w:rPr>
        <w:t xml:space="preserve"> </w:t>
      </w:r>
      <w:r w:rsidR="00580F2D" w:rsidRPr="002B3315">
        <w:rPr>
          <w:rFonts w:ascii="Arial" w:hAnsi="Arial" w:cs="Arial"/>
          <w:color w:val="7B7B7B" w:themeColor="accent3" w:themeShade="BF"/>
          <w:sz w:val="22"/>
          <w:szCs w:val="22"/>
          <w:lang w:val="en-GB"/>
        </w:rPr>
        <w:t>(</w:t>
      </w:r>
      <w:r w:rsidRPr="002B3315">
        <w:rPr>
          <w:rFonts w:ascii="Arial" w:hAnsi="Arial" w:cs="Arial"/>
          <w:color w:val="7B7B7B" w:themeColor="accent3" w:themeShade="BF"/>
          <w:sz w:val="22"/>
          <w:szCs w:val="22"/>
          <w:lang w:val="en-GB"/>
        </w:rPr>
        <w:t>under section 217</w:t>
      </w:r>
      <w:r w:rsidR="00580F2D" w:rsidRPr="002B3315">
        <w:rPr>
          <w:rFonts w:ascii="Arial" w:hAnsi="Arial" w:cs="Arial"/>
          <w:color w:val="7B7B7B" w:themeColor="accent3" w:themeShade="BF"/>
          <w:sz w:val="22"/>
          <w:szCs w:val="22"/>
          <w:lang w:val="en-GB"/>
        </w:rPr>
        <w:t>)</w:t>
      </w:r>
      <w:r w:rsidR="00281CBD" w:rsidRPr="002B3315">
        <w:rPr>
          <w:rFonts w:ascii="Arial" w:hAnsi="Arial" w:cs="Arial"/>
          <w:color w:val="7B7B7B" w:themeColor="accent3" w:themeShade="BF"/>
          <w:sz w:val="22"/>
          <w:szCs w:val="22"/>
          <w:lang w:val="en-GB"/>
        </w:rPr>
        <w:t>;</w:t>
      </w:r>
      <w:r w:rsidR="00580F2D" w:rsidRPr="002B3315">
        <w:rPr>
          <w:rFonts w:ascii="Arial" w:hAnsi="Arial" w:cs="Arial"/>
          <w:color w:val="7B7B7B" w:themeColor="accent3" w:themeShade="BF"/>
          <w:sz w:val="22"/>
          <w:szCs w:val="22"/>
          <w:lang w:val="en-GB"/>
        </w:rPr>
        <w:t xml:space="preserve"> or</w:t>
      </w:r>
    </w:p>
    <w:p w14:paraId="7C5284BD" w14:textId="77777777" w:rsidR="00281CBD" w:rsidRPr="002B3315" w:rsidRDefault="00580F2D" w:rsidP="00281CBD">
      <w:pPr>
        <w:pStyle w:val="ListParagraph"/>
        <w:numPr>
          <w:ilvl w:val="0"/>
          <w:numId w:val="42"/>
        </w:num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by the court (under section 218).</w:t>
      </w:r>
    </w:p>
    <w:p w14:paraId="40F8A0E9" w14:textId="77777777" w:rsidR="00281CBD" w:rsidRPr="002B3315" w:rsidRDefault="00281CBD" w:rsidP="00281CBD">
      <w:pPr>
        <w:jc w:val="both"/>
        <w:rPr>
          <w:rFonts w:ascii="Arial" w:hAnsi="Arial" w:cs="Arial"/>
          <w:color w:val="7B7B7B" w:themeColor="accent3" w:themeShade="BF"/>
          <w:sz w:val="22"/>
          <w:szCs w:val="22"/>
          <w:lang w:val="en-GB"/>
        </w:rPr>
      </w:pPr>
    </w:p>
    <w:p w14:paraId="569084AD" w14:textId="29859860" w:rsidR="008C1932" w:rsidRPr="002B3315" w:rsidRDefault="00BC6EDA" w:rsidP="00281CBD">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S</w:t>
      </w:r>
      <w:r w:rsidR="00580F2D" w:rsidRPr="002B3315">
        <w:rPr>
          <w:rFonts w:ascii="Arial" w:hAnsi="Arial" w:cs="Arial"/>
          <w:color w:val="7B7B7B" w:themeColor="accent3" w:themeShade="BF"/>
          <w:sz w:val="22"/>
          <w:szCs w:val="22"/>
          <w:lang w:val="en-GB"/>
        </w:rPr>
        <w:t xml:space="preserve">ection 217 and section 218 restorations are </w:t>
      </w:r>
      <w:r w:rsidRPr="002B3315">
        <w:rPr>
          <w:rFonts w:ascii="Arial" w:hAnsi="Arial" w:cs="Arial"/>
          <w:color w:val="7B7B7B" w:themeColor="accent3" w:themeShade="BF"/>
          <w:sz w:val="22"/>
          <w:szCs w:val="22"/>
          <w:lang w:val="en-GB"/>
        </w:rPr>
        <w:t xml:space="preserve">determined by </w:t>
      </w:r>
      <w:r w:rsidR="00580F2D" w:rsidRPr="002B3315">
        <w:rPr>
          <w:rFonts w:ascii="Arial" w:hAnsi="Arial" w:cs="Arial"/>
          <w:color w:val="7B7B7B" w:themeColor="accent3" w:themeShade="BF"/>
          <w:sz w:val="22"/>
          <w:szCs w:val="22"/>
          <w:lang w:val="en-GB"/>
        </w:rPr>
        <w:t>whether the company was struck off and dissolved after the conclusion of its liquidation</w:t>
      </w:r>
      <w:r w:rsidR="00BF2A2F" w:rsidRPr="002B3315">
        <w:rPr>
          <w:rFonts w:ascii="Arial" w:hAnsi="Arial" w:cs="Arial"/>
          <w:color w:val="7B7B7B" w:themeColor="accent3" w:themeShade="BF"/>
          <w:sz w:val="22"/>
          <w:szCs w:val="22"/>
          <w:lang w:val="en-GB"/>
        </w:rPr>
        <w:t xml:space="preserve"> (whether voluntary or involuntary)</w:t>
      </w:r>
      <w:r w:rsidR="008C1932" w:rsidRPr="002B3315">
        <w:rPr>
          <w:rStyle w:val="FootnoteReference"/>
          <w:rFonts w:ascii="Arial" w:hAnsi="Arial" w:cs="Arial"/>
          <w:color w:val="7B7B7B" w:themeColor="accent3" w:themeShade="BF"/>
          <w:sz w:val="22"/>
          <w:szCs w:val="22"/>
          <w:lang w:val="en-GB"/>
        </w:rPr>
        <w:footnoteReference w:id="227"/>
      </w:r>
      <w:r w:rsidR="00580F2D" w:rsidRPr="002B3315">
        <w:rPr>
          <w:rFonts w:ascii="Arial" w:hAnsi="Arial" w:cs="Arial"/>
          <w:color w:val="7B7B7B" w:themeColor="accent3" w:themeShade="BF"/>
          <w:sz w:val="22"/>
          <w:szCs w:val="22"/>
          <w:lang w:val="en-GB"/>
        </w:rPr>
        <w:t xml:space="preserve"> and </w:t>
      </w:r>
      <w:r w:rsidR="008C1932" w:rsidRPr="002B3315">
        <w:rPr>
          <w:rFonts w:ascii="Arial" w:hAnsi="Arial" w:cs="Arial"/>
          <w:color w:val="7B7B7B" w:themeColor="accent3" w:themeShade="BF"/>
          <w:sz w:val="22"/>
          <w:szCs w:val="22"/>
          <w:lang w:val="en-GB"/>
        </w:rPr>
        <w:t xml:space="preserve">whether </w:t>
      </w:r>
      <w:r w:rsidR="00580F2D" w:rsidRPr="002B3315">
        <w:rPr>
          <w:rFonts w:ascii="Arial" w:hAnsi="Arial" w:cs="Arial"/>
          <w:color w:val="7B7B7B" w:themeColor="accent3" w:themeShade="BF"/>
          <w:sz w:val="22"/>
          <w:szCs w:val="22"/>
          <w:lang w:val="en-GB"/>
        </w:rPr>
        <w:t>the company was carrying on business or in operation at the time of its dissolution</w:t>
      </w:r>
      <w:r w:rsidR="008C1932" w:rsidRPr="002B3315">
        <w:rPr>
          <w:rFonts w:ascii="Arial" w:hAnsi="Arial" w:cs="Arial"/>
          <w:color w:val="7B7B7B" w:themeColor="accent3" w:themeShade="BF"/>
          <w:sz w:val="22"/>
          <w:szCs w:val="22"/>
          <w:lang w:val="en-GB"/>
        </w:rPr>
        <w:t>.</w:t>
      </w:r>
      <w:r w:rsidR="008C1932" w:rsidRPr="002B3315">
        <w:rPr>
          <w:rStyle w:val="FootnoteReference"/>
          <w:rFonts w:ascii="Arial" w:hAnsi="Arial" w:cs="Arial"/>
          <w:color w:val="7B7B7B" w:themeColor="accent3" w:themeShade="BF"/>
          <w:sz w:val="22"/>
          <w:szCs w:val="22"/>
          <w:lang w:val="en-GB"/>
        </w:rPr>
        <w:footnoteReference w:id="228"/>
      </w:r>
      <w:r w:rsidR="008C1932" w:rsidRPr="002B3315">
        <w:rPr>
          <w:rFonts w:ascii="Arial" w:hAnsi="Arial" w:cs="Arial"/>
          <w:color w:val="7B7B7B" w:themeColor="accent3" w:themeShade="BF"/>
          <w:sz w:val="22"/>
          <w:szCs w:val="22"/>
          <w:lang w:val="en-GB"/>
        </w:rPr>
        <w:t xml:space="preserve"> As stated above, it is unclear when </w:t>
      </w:r>
      <w:proofErr w:type="spellStart"/>
      <w:r w:rsidR="008C1932" w:rsidRPr="002B3315">
        <w:rPr>
          <w:rFonts w:ascii="Arial" w:hAnsi="Arial" w:cs="Arial"/>
          <w:color w:val="7B7B7B" w:themeColor="accent3" w:themeShade="BF"/>
          <w:sz w:val="22"/>
          <w:szCs w:val="22"/>
          <w:lang w:val="en-GB"/>
        </w:rPr>
        <w:t>Subco</w:t>
      </w:r>
      <w:proofErr w:type="spellEnd"/>
      <w:r w:rsidR="008C1932" w:rsidRPr="002B3315">
        <w:rPr>
          <w:rFonts w:ascii="Arial" w:hAnsi="Arial" w:cs="Arial"/>
          <w:color w:val="7B7B7B" w:themeColor="accent3" w:themeShade="BF"/>
          <w:sz w:val="22"/>
          <w:szCs w:val="22"/>
          <w:lang w:val="en-GB"/>
        </w:rPr>
        <w:t xml:space="preserve"> was struck off and dissolved, or why it was struck off and dissolved or whether it was carrying on business or in operation </w:t>
      </w:r>
      <w:r w:rsidR="00EF16A5" w:rsidRPr="002B3315">
        <w:rPr>
          <w:rFonts w:ascii="Arial" w:hAnsi="Arial" w:cs="Arial"/>
          <w:color w:val="7B7B7B" w:themeColor="accent3" w:themeShade="BF"/>
          <w:sz w:val="22"/>
          <w:szCs w:val="22"/>
          <w:lang w:val="en-GB"/>
        </w:rPr>
        <w:t>at the time</w:t>
      </w:r>
      <w:r w:rsidR="008C1932" w:rsidRPr="002B3315">
        <w:rPr>
          <w:rFonts w:ascii="Arial" w:hAnsi="Arial" w:cs="Arial"/>
          <w:color w:val="7B7B7B" w:themeColor="accent3" w:themeShade="BF"/>
          <w:sz w:val="22"/>
          <w:szCs w:val="22"/>
          <w:lang w:val="en-GB"/>
        </w:rPr>
        <w:t xml:space="preserve">. </w:t>
      </w:r>
      <w:r w:rsidR="00BA72F0" w:rsidRPr="002B3315">
        <w:rPr>
          <w:rFonts w:ascii="Arial" w:hAnsi="Arial" w:cs="Arial"/>
          <w:color w:val="7B7B7B" w:themeColor="accent3" w:themeShade="BF"/>
          <w:sz w:val="22"/>
          <w:szCs w:val="22"/>
          <w:lang w:val="en-GB"/>
        </w:rPr>
        <w:t xml:space="preserve">More information is therefore needed in relation to these questions. </w:t>
      </w:r>
      <w:r w:rsidR="008C1932" w:rsidRPr="002B3315">
        <w:rPr>
          <w:rFonts w:ascii="Arial" w:hAnsi="Arial" w:cs="Arial"/>
          <w:color w:val="7B7B7B" w:themeColor="accent3" w:themeShade="BF"/>
          <w:sz w:val="22"/>
          <w:szCs w:val="22"/>
          <w:lang w:val="en-GB"/>
        </w:rPr>
        <w:t>Notwithstanding this, an application for restoring a struck off and dissolved company via the Registrar or the court</w:t>
      </w:r>
      <w:r w:rsidR="00BF2A2F" w:rsidRPr="002B3315">
        <w:rPr>
          <w:rFonts w:ascii="Arial" w:hAnsi="Arial" w:cs="Arial"/>
          <w:color w:val="7B7B7B" w:themeColor="accent3" w:themeShade="BF"/>
          <w:sz w:val="22"/>
          <w:szCs w:val="22"/>
          <w:lang w:val="en-GB"/>
        </w:rPr>
        <w:t xml:space="preserve"> </w:t>
      </w:r>
      <w:r w:rsidR="00BF2A2F" w:rsidRPr="002B3315">
        <w:rPr>
          <w:rFonts w:ascii="Arial" w:hAnsi="Arial" w:cs="Arial"/>
          <w:color w:val="7B7B7B" w:themeColor="accent3" w:themeShade="BF"/>
          <w:sz w:val="22"/>
          <w:szCs w:val="22"/>
          <w:lang w:val="en-GB"/>
        </w:rPr>
        <w:lastRenderedPageBreak/>
        <w:t>is five years</w:t>
      </w:r>
      <w:r w:rsidR="008C1932" w:rsidRPr="002B3315">
        <w:rPr>
          <w:rStyle w:val="FootnoteReference"/>
          <w:rFonts w:ascii="Arial" w:hAnsi="Arial" w:cs="Arial"/>
          <w:color w:val="7B7B7B" w:themeColor="accent3" w:themeShade="BF"/>
          <w:sz w:val="22"/>
          <w:szCs w:val="22"/>
          <w:lang w:val="en-GB"/>
        </w:rPr>
        <w:footnoteReference w:id="229"/>
      </w:r>
      <w:r w:rsidR="008C1932" w:rsidRPr="002B3315">
        <w:rPr>
          <w:rFonts w:ascii="Arial" w:hAnsi="Arial" w:cs="Arial"/>
          <w:color w:val="7B7B7B" w:themeColor="accent3" w:themeShade="BF"/>
          <w:sz w:val="22"/>
          <w:szCs w:val="22"/>
          <w:lang w:val="en-GB"/>
        </w:rPr>
        <w:t xml:space="preserve"> of the date of the company’s dissolution. </w:t>
      </w:r>
      <w:r w:rsidR="00580F2D" w:rsidRPr="002B3315">
        <w:rPr>
          <w:rFonts w:ascii="Arial" w:hAnsi="Arial" w:cs="Arial"/>
          <w:color w:val="7B7B7B" w:themeColor="accent3" w:themeShade="BF"/>
          <w:sz w:val="22"/>
          <w:szCs w:val="22"/>
          <w:lang w:val="en-GB"/>
        </w:rPr>
        <w:t xml:space="preserve">If the dissolved company is restored, the company is deemed to have never been </w:t>
      </w:r>
      <w:r w:rsidR="00EF16A5" w:rsidRPr="002B3315">
        <w:rPr>
          <w:rFonts w:ascii="Arial" w:hAnsi="Arial" w:cs="Arial"/>
          <w:color w:val="7B7B7B" w:themeColor="accent3" w:themeShade="BF"/>
          <w:sz w:val="22"/>
          <w:szCs w:val="22"/>
          <w:lang w:val="en-GB"/>
        </w:rPr>
        <w:t xml:space="preserve">struck off and </w:t>
      </w:r>
      <w:r w:rsidR="00580F2D" w:rsidRPr="002B3315">
        <w:rPr>
          <w:rFonts w:ascii="Arial" w:hAnsi="Arial" w:cs="Arial"/>
          <w:color w:val="7B7B7B" w:themeColor="accent3" w:themeShade="BF"/>
          <w:sz w:val="22"/>
          <w:szCs w:val="22"/>
          <w:lang w:val="en-GB"/>
        </w:rPr>
        <w:t>dissolved</w:t>
      </w:r>
      <w:r w:rsidR="008C1932" w:rsidRPr="002B3315">
        <w:rPr>
          <w:rStyle w:val="FootnoteReference"/>
          <w:rFonts w:ascii="Arial" w:hAnsi="Arial" w:cs="Arial"/>
          <w:color w:val="7B7B7B" w:themeColor="accent3" w:themeShade="BF"/>
          <w:sz w:val="22"/>
          <w:szCs w:val="22"/>
          <w:lang w:val="en-GB"/>
        </w:rPr>
        <w:footnoteReference w:id="230"/>
      </w:r>
      <w:r w:rsidR="00580F2D" w:rsidRPr="002B3315">
        <w:rPr>
          <w:rFonts w:ascii="Arial" w:hAnsi="Arial" w:cs="Arial"/>
          <w:color w:val="7B7B7B" w:themeColor="accent3" w:themeShade="BF"/>
          <w:sz w:val="22"/>
          <w:szCs w:val="22"/>
          <w:lang w:val="en-GB"/>
        </w:rPr>
        <w:t>.</w:t>
      </w:r>
    </w:p>
    <w:p w14:paraId="5D565193" w14:textId="77777777" w:rsidR="008C1932" w:rsidRPr="002B3315" w:rsidRDefault="008C1932" w:rsidP="008065CE">
      <w:pPr>
        <w:jc w:val="both"/>
        <w:rPr>
          <w:rFonts w:ascii="Arial" w:hAnsi="Arial" w:cs="Arial"/>
          <w:color w:val="7B7B7B" w:themeColor="accent3" w:themeShade="BF"/>
          <w:sz w:val="22"/>
          <w:szCs w:val="22"/>
          <w:lang w:val="en-GB"/>
        </w:rPr>
      </w:pPr>
    </w:p>
    <w:p w14:paraId="4490C3C9" w14:textId="3C8235FA" w:rsidR="00B24514" w:rsidRPr="002B3315" w:rsidRDefault="00B24514" w:rsidP="00B24514">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The company</w:t>
      </w:r>
      <w:r w:rsidR="00EF16A5" w:rsidRPr="002B3315">
        <w:rPr>
          <w:rFonts w:ascii="Arial" w:hAnsi="Arial" w:cs="Arial"/>
          <w:color w:val="7B7B7B" w:themeColor="accent3" w:themeShade="BF"/>
          <w:sz w:val="22"/>
          <w:szCs w:val="22"/>
          <w:lang w:val="en-GB"/>
        </w:rPr>
        <w:t>,</w:t>
      </w:r>
      <w:r w:rsidRPr="002B3315">
        <w:rPr>
          <w:rFonts w:ascii="Arial" w:hAnsi="Arial" w:cs="Arial"/>
          <w:color w:val="7B7B7B" w:themeColor="accent3" w:themeShade="BF"/>
          <w:sz w:val="22"/>
          <w:szCs w:val="22"/>
          <w:lang w:val="en-GB"/>
        </w:rPr>
        <w:t xml:space="preserve"> a creditor</w:t>
      </w:r>
      <w:r w:rsidR="00EF16A5" w:rsidRPr="002B3315">
        <w:rPr>
          <w:rFonts w:ascii="Arial" w:hAnsi="Arial" w:cs="Arial"/>
          <w:color w:val="7B7B7B" w:themeColor="accent3" w:themeShade="BF"/>
          <w:sz w:val="22"/>
          <w:szCs w:val="22"/>
          <w:lang w:val="en-GB"/>
        </w:rPr>
        <w:t>, a member or liquidator of the company</w:t>
      </w:r>
      <w:r w:rsidRPr="002B3315">
        <w:rPr>
          <w:rStyle w:val="FootnoteReference"/>
          <w:rFonts w:ascii="Arial" w:hAnsi="Arial" w:cs="Arial"/>
          <w:color w:val="7B7B7B" w:themeColor="accent3" w:themeShade="BF"/>
          <w:sz w:val="22"/>
          <w:szCs w:val="22"/>
          <w:lang w:val="en-GB"/>
        </w:rPr>
        <w:footnoteReference w:id="231"/>
      </w:r>
      <w:r w:rsidRPr="002B3315">
        <w:rPr>
          <w:rFonts w:ascii="Arial" w:hAnsi="Arial" w:cs="Arial"/>
          <w:color w:val="7B7B7B" w:themeColor="accent3" w:themeShade="BF"/>
          <w:sz w:val="22"/>
          <w:szCs w:val="22"/>
          <w:lang w:val="en-GB"/>
        </w:rPr>
        <w:t xml:space="preserve"> has standing to apply to restore </w:t>
      </w:r>
      <w:proofErr w:type="spellStart"/>
      <w:r w:rsidRPr="002B3315">
        <w:rPr>
          <w:rFonts w:ascii="Arial" w:hAnsi="Arial" w:cs="Arial"/>
          <w:color w:val="7B7B7B" w:themeColor="accent3" w:themeShade="BF"/>
          <w:sz w:val="22"/>
          <w:szCs w:val="22"/>
          <w:lang w:val="en-GB"/>
        </w:rPr>
        <w:t>Subco</w:t>
      </w:r>
      <w:proofErr w:type="spellEnd"/>
      <w:r w:rsidRPr="002B3315">
        <w:rPr>
          <w:rFonts w:ascii="Arial" w:hAnsi="Arial" w:cs="Arial"/>
          <w:color w:val="7B7B7B" w:themeColor="accent3" w:themeShade="BF"/>
          <w:sz w:val="22"/>
          <w:szCs w:val="22"/>
          <w:lang w:val="en-GB"/>
        </w:rPr>
        <w:t xml:space="preserve"> to the Register by the Registrar. A creditor, former director, former member or former liquidator of </w:t>
      </w:r>
      <w:proofErr w:type="spellStart"/>
      <w:r w:rsidRPr="002B3315">
        <w:rPr>
          <w:rFonts w:ascii="Arial" w:hAnsi="Arial" w:cs="Arial"/>
          <w:color w:val="7B7B7B" w:themeColor="accent3" w:themeShade="BF"/>
          <w:sz w:val="22"/>
          <w:szCs w:val="22"/>
          <w:lang w:val="en-GB"/>
        </w:rPr>
        <w:t>Subco</w:t>
      </w:r>
      <w:proofErr w:type="spellEnd"/>
      <w:r w:rsidRPr="002B3315">
        <w:rPr>
          <w:rStyle w:val="FootnoteReference"/>
          <w:rFonts w:ascii="Arial" w:hAnsi="Arial" w:cs="Arial"/>
          <w:color w:val="7B7B7B" w:themeColor="accent3" w:themeShade="BF"/>
          <w:sz w:val="22"/>
          <w:szCs w:val="22"/>
          <w:lang w:val="en-GB"/>
        </w:rPr>
        <w:footnoteReference w:id="232"/>
      </w:r>
      <w:r w:rsidRPr="002B3315">
        <w:rPr>
          <w:rFonts w:ascii="Arial" w:hAnsi="Arial" w:cs="Arial"/>
          <w:color w:val="7B7B7B" w:themeColor="accent3" w:themeShade="BF"/>
          <w:sz w:val="22"/>
          <w:szCs w:val="22"/>
          <w:lang w:val="en-GB"/>
        </w:rPr>
        <w:t xml:space="preserve"> or any other person who can establish an interest in having </w:t>
      </w:r>
      <w:proofErr w:type="spellStart"/>
      <w:r w:rsidRPr="002B3315">
        <w:rPr>
          <w:rFonts w:ascii="Arial" w:hAnsi="Arial" w:cs="Arial"/>
          <w:color w:val="7B7B7B" w:themeColor="accent3" w:themeShade="BF"/>
          <w:sz w:val="22"/>
          <w:szCs w:val="22"/>
          <w:lang w:val="en-GB"/>
        </w:rPr>
        <w:t>Subco</w:t>
      </w:r>
      <w:proofErr w:type="spellEnd"/>
      <w:r w:rsidRPr="002B3315">
        <w:rPr>
          <w:rFonts w:ascii="Arial" w:hAnsi="Arial" w:cs="Arial"/>
          <w:color w:val="7B7B7B" w:themeColor="accent3" w:themeShade="BF"/>
          <w:sz w:val="22"/>
          <w:szCs w:val="22"/>
          <w:lang w:val="en-GB"/>
        </w:rPr>
        <w:t xml:space="preserve"> restored to the Register</w:t>
      </w:r>
      <w:r w:rsidRPr="002B3315">
        <w:rPr>
          <w:rStyle w:val="FootnoteReference"/>
          <w:rFonts w:ascii="Arial" w:hAnsi="Arial" w:cs="Arial"/>
          <w:color w:val="7B7B7B" w:themeColor="accent3" w:themeShade="BF"/>
          <w:sz w:val="22"/>
          <w:szCs w:val="22"/>
          <w:lang w:val="en-GB"/>
        </w:rPr>
        <w:footnoteReference w:id="233"/>
      </w:r>
      <w:r w:rsidRPr="002B3315">
        <w:rPr>
          <w:rFonts w:ascii="Arial" w:hAnsi="Arial" w:cs="Arial"/>
          <w:color w:val="7B7B7B" w:themeColor="accent3" w:themeShade="BF"/>
          <w:sz w:val="22"/>
          <w:szCs w:val="22"/>
          <w:lang w:val="en-GB"/>
        </w:rPr>
        <w:t xml:space="preserve"> can apply to the court to restore </w:t>
      </w:r>
      <w:proofErr w:type="spellStart"/>
      <w:r w:rsidR="00EF16A5" w:rsidRPr="002B3315">
        <w:rPr>
          <w:rFonts w:ascii="Arial" w:hAnsi="Arial" w:cs="Arial"/>
          <w:color w:val="7B7B7B" w:themeColor="accent3" w:themeShade="BF"/>
          <w:sz w:val="22"/>
          <w:szCs w:val="22"/>
          <w:lang w:val="en-GB"/>
        </w:rPr>
        <w:t>Subco</w:t>
      </w:r>
      <w:proofErr w:type="spellEnd"/>
      <w:r w:rsidRPr="002B3315">
        <w:rPr>
          <w:rFonts w:ascii="Arial" w:hAnsi="Arial" w:cs="Arial"/>
          <w:color w:val="7B7B7B" w:themeColor="accent3" w:themeShade="BF"/>
          <w:sz w:val="22"/>
          <w:szCs w:val="22"/>
          <w:lang w:val="en-GB"/>
        </w:rPr>
        <w:t>.</w:t>
      </w:r>
    </w:p>
    <w:p w14:paraId="5205D387" w14:textId="77777777" w:rsidR="00B24514" w:rsidRPr="002B3315" w:rsidRDefault="00B24514" w:rsidP="008065CE">
      <w:pPr>
        <w:jc w:val="both"/>
        <w:rPr>
          <w:rFonts w:ascii="Arial" w:hAnsi="Arial" w:cs="Arial"/>
          <w:color w:val="7B7B7B" w:themeColor="accent3" w:themeShade="BF"/>
          <w:sz w:val="22"/>
          <w:szCs w:val="22"/>
          <w:lang w:val="en-GB"/>
        </w:rPr>
      </w:pPr>
    </w:p>
    <w:p w14:paraId="7EE1287A" w14:textId="648346E6" w:rsidR="009E2DFD" w:rsidRPr="002B3315" w:rsidRDefault="008C1932" w:rsidP="008065CE">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As </w:t>
      </w:r>
      <w:r w:rsidR="007A589F" w:rsidRPr="002B3315">
        <w:rPr>
          <w:rFonts w:ascii="Arial" w:hAnsi="Arial" w:cs="Arial"/>
          <w:color w:val="7B7B7B" w:themeColor="accent3" w:themeShade="BF"/>
          <w:sz w:val="22"/>
          <w:szCs w:val="22"/>
          <w:lang w:val="en-GB"/>
        </w:rPr>
        <w:t xml:space="preserve">the property of </w:t>
      </w:r>
      <w:proofErr w:type="spellStart"/>
      <w:r w:rsidR="007A589F" w:rsidRPr="002B3315">
        <w:rPr>
          <w:rFonts w:ascii="Arial" w:hAnsi="Arial" w:cs="Arial"/>
          <w:color w:val="7B7B7B" w:themeColor="accent3" w:themeShade="BF"/>
          <w:sz w:val="22"/>
          <w:szCs w:val="22"/>
          <w:lang w:val="en-GB"/>
        </w:rPr>
        <w:t>Subco</w:t>
      </w:r>
      <w:proofErr w:type="spellEnd"/>
      <w:r w:rsidR="007A589F" w:rsidRPr="002B3315">
        <w:rPr>
          <w:rFonts w:ascii="Arial" w:hAnsi="Arial" w:cs="Arial"/>
          <w:color w:val="7B7B7B" w:themeColor="accent3" w:themeShade="BF"/>
          <w:sz w:val="22"/>
          <w:szCs w:val="22"/>
          <w:lang w:val="en-GB"/>
        </w:rPr>
        <w:t xml:space="preserve"> has vested in the Crown </w:t>
      </w:r>
      <w:r w:rsidR="007A589F" w:rsidRPr="002B3315">
        <w:rPr>
          <w:rFonts w:ascii="Arial" w:hAnsi="Arial" w:cs="Arial"/>
          <w:i/>
          <w:iCs/>
          <w:color w:val="7B7B7B" w:themeColor="accent3" w:themeShade="BF"/>
          <w:sz w:val="22"/>
          <w:szCs w:val="22"/>
          <w:lang w:val="en-GB"/>
        </w:rPr>
        <w:t>bona vacantia</w:t>
      </w:r>
      <w:r w:rsidR="007A589F" w:rsidRPr="002B3315">
        <w:rPr>
          <w:rFonts w:ascii="Arial" w:hAnsi="Arial" w:cs="Arial"/>
          <w:color w:val="7B7B7B" w:themeColor="accent3" w:themeShade="BF"/>
          <w:sz w:val="22"/>
          <w:szCs w:val="22"/>
          <w:lang w:val="en-GB"/>
        </w:rPr>
        <w:t xml:space="preserve">, any application to restore the company (whether via section 217 or section 218) will need to include the Crown’s consent to the company’s restoration (via the Financial Secretary) or the Financial Secretary’s refusal to consent to the application or </w:t>
      </w:r>
      <w:r w:rsidR="009939B5" w:rsidRPr="002B3315">
        <w:rPr>
          <w:rFonts w:ascii="Arial" w:hAnsi="Arial" w:cs="Arial"/>
          <w:color w:val="7B7B7B" w:themeColor="accent3" w:themeShade="BF"/>
          <w:sz w:val="22"/>
          <w:szCs w:val="22"/>
          <w:lang w:val="en-GB"/>
        </w:rPr>
        <w:t>whether</w:t>
      </w:r>
      <w:r w:rsidR="008125F0" w:rsidRPr="002B3315">
        <w:rPr>
          <w:rFonts w:ascii="Arial" w:hAnsi="Arial" w:cs="Arial"/>
          <w:color w:val="7B7B7B" w:themeColor="accent3" w:themeShade="BF"/>
          <w:sz w:val="22"/>
          <w:szCs w:val="22"/>
          <w:lang w:val="en-GB"/>
        </w:rPr>
        <w:t xml:space="preserve"> </w:t>
      </w:r>
      <w:r w:rsidR="007A589F" w:rsidRPr="002B3315">
        <w:rPr>
          <w:rFonts w:ascii="Arial" w:hAnsi="Arial" w:cs="Arial"/>
          <w:color w:val="7B7B7B" w:themeColor="accent3" w:themeShade="BF"/>
          <w:sz w:val="22"/>
          <w:szCs w:val="22"/>
          <w:lang w:val="en-GB"/>
        </w:rPr>
        <w:t>the Financial Secretary has failed to respond to a request within 7 days to give the Crown’s consent.</w:t>
      </w:r>
      <w:r w:rsidR="007A589F" w:rsidRPr="002B3315">
        <w:rPr>
          <w:rStyle w:val="FootnoteReference"/>
          <w:rFonts w:ascii="Arial" w:hAnsi="Arial" w:cs="Arial"/>
          <w:color w:val="7B7B7B" w:themeColor="accent3" w:themeShade="BF"/>
          <w:sz w:val="22"/>
          <w:szCs w:val="22"/>
          <w:lang w:val="en-GB"/>
        </w:rPr>
        <w:footnoteReference w:id="234"/>
      </w:r>
      <w:r w:rsidR="009E2DFD" w:rsidRPr="002B3315">
        <w:rPr>
          <w:rFonts w:ascii="Arial" w:hAnsi="Arial" w:cs="Arial"/>
          <w:color w:val="7B7B7B" w:themeColor="accent3" w:themeShade="BF"/>
          <w:sz w:val="22"/>
          <w:szCs w:val="22"/>
          <w:lang w:val="en-GB"/>
        </w:rPr>
        <w:t xml:space="preserve"> </w:t>
      </w:r>
    </w:p>
    <w:p w14:paraId="7A8FFE51" w14:textId="77777777" w:rsidR="0056046E" w:rsidRPr="002B3315" w:rsidRDefault="0056046E" w:rsidP="008065CE">
      <w:pPr>
        <w:jc w:val="both"/>
        <w:rPr>
          <w:rFonts w:ascii="Arial" w:hAnsi="Arial" w:cs="Arial"/>
          <w:b/>
          <w:bCs/>
          <w:color w:val="000000" w:themeColor="text1"/>
          <w:sz w:val="22"/>
          <w:szCs w:val="22"/>
          <w:u w:val="single"/>
          <w:lang w:val="en-GB"/>
        </w:rPr>
      </w:pPr>
    </w:p>
    <w:p w14:paraId="5C98E08D" w14:textId="30458CF0" w:rsidR="0094121D" w:rsidRPr="002B3315" w:rsidRDefault="00300B1D" w:rsidP="0094121D">
      <w:pPr>
        <w:jc w:val="both"/>
        <w:rPr>
          <w:rFonts w:ascii="Arial" w:hAnsi="Arial" w:cs="Arial"/>
          <w:b/>
          <w:bCs/>
          <w:color w:val="7B7B7B" w:themeColor="accent3" w:themeShade="BF"/>
          <w:sz w:val="22"/>
          <w:szCs w:val="22"/>
          <w:u w:val="single"/>
          <w:lang w:val="en-GB"/>
        </w:rPr>
      </w:pPr>
      <w:r w:rsidRPr="002B3315">
        <w:rPr>
          <w:rFonts w:ascii="Arial" w:hAnsi="Arial" w:cs="Arial"/>
          <w:b/>
          <w:bCs/>
          <w:color w:val="7B7B7B" w:themeColor="accent3" w:themeShade="BF"/>
          <w:sz w:val="22"/>
          <w:szCs w:val="22"/>
          <w:u w:val="single"/>
          <w:lang w:val="en-GB"/>
        </w:rPr>
        <w:t>Recovering</w:t>
      </w:r>
      <w:r w:rsidR="0094121D" w:rsidRPr="002B3315">
        <w:rPr>
          <w:rFonts w:ascii="Arial" w:hAnsi="Arial" w:cs="Arial"/>
          <w:b/>
          <w:bCs/>
          <w:color w:val="7B7B7B" w:themeColor="accent3" w:themeShade="BF"/>
          <w:sz w:val="22"/>
          <w:szCs w:val="22"/>
          <w:u w:val="single"/>
          <w:lang w:val="en-GB"/>
        </w:rPr>
        <w:t xml:space="preserve"> the judgment debt owed by Indebted</w:t>
      </w:r>
    </w:p>
    <w:p w14:paraId="1B3360A6" w14:textId="3E57E991" w:rsidR="0018221F" w:rsidRPr="002B3315" w:rsidRDefault="00BB639D" w:rsidP="0062649B">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Assuming </w:t>
      </w:r>
      <w:r w:rsidR="00300B1D" w:rsidRPr="002B3315">
        <w:rPr>
          <w:rFonts w:ascii="Arial" w:hAnsi="Arial" w:cs="Arial"/>
          <w:color w:val="7B7B7B" w:themeColor="accent3" w:themeShade="BF"/>
          <w:sz w:val="22"/>
          <w:szCs w:val="22"/>
          <w:lang w:val="en-GB"/>
        </w:rPr>
        <w:t>the English Judgment is registered</w:t>
      </w:r>
      <w:r w:rsidR="00320F30" w:rsidRPr="002B3315">
        <w:rPr>
          <w:rFonts w:ascii="Arial" w:hAnsi="Arial" w:cs="Arial"/>
          <w:color w:val="7B7B7B" w:themeColor="accent3" w:themeShade="BF"/>
          <w:sz w:val="22"/>
          <w:szCs w:val="22"/>
          <w:lang w:val="en-GB"/>
        </w:rPr>
        <w:t xml:space="preserve">, Indebted has a new director appointed and </w:t>
      </w:r>
      <w:proofErr w:type="spellStart"/>
      <w:r w:rsidRPr="002B3315">
        <w:rPr>
          <w:rFonts w:ascii="Arial" w:hAnsi="Arial" w:cs="Arial"/>
          <w:color w:val="7B7B7B" w:themeColor="accent3" w:themeShade="BF"/>
          <w:sz w:val="22"/>
          <w:szCs w:val="22"/>
          <w:lang w:val="en-GB"/>
        </w:rPr>
        <w:t>Subco</w:t>
      </w:r>
      <w:proofErr w:type="spellEnd"/>
      <w:r w:rsidRPr="002B3315">
        <w:rPr>
          <w:rFonts w:ascii="Arial" w:hAnsi="Arial" w:cs="Arial"/>
          <w:color w:val="7B7B7B" w:themeColor="accent3" w:themeShade="BF"/>
          <w:sz w:val="22"/>
          <w:szCs w:val="22"/>
          <w:lang w:val="en-GB"/>
        </w:rPr>
        <w:t xml:space="preserve"> i</w:t>
      </w:r>
      <w:r w:rsidR="00BA4695" w:rsidRPr="002B3315">
        <w:rPr>
          <w:rFonts w:ascii="Arial" w:hAnsi="Arial" w:cs="Arial"/>
          <w:color w:val="7B7B7B" w:themeColor="accent3" w:themeShade="BF"/>
          <w:sz w:val="22"/>
          <w:szCs w:val="22"/>
          <w:lang w:val="en-GB"/>
        </w:rPr>
        <w:t>s</w:t>
      </w:r>
      <w:r w:rsidRPr="002B3315">
        <w:rPr>
          <w:rFonts w:ascii="Arial" w:hAnsi="Arial" w:cs="Arial"/>
          <w:color w:val="7B7B7B" w:themeColor="accent3" w:themeShade="BF"/>
          <w:sz w:val="22"/>
          <w:szCs w:val="22"/>
          <w:lang w:val="en-GB"/>
        </w:rPr>
        <w:t xml:space="preserve"> restored</w:t>
      </w:r>
      <w:r w:rsidR="00320F30" w:rsidRPr="002B3315">
        <w:rPr>
          <w:rFonts w:ascii="Arial" w:hAnsi="Arial" w:cs="Arial"/>
          <w:color w:val="7B7B7B" w:themeColor="accent3" w:themeShade="BF"/>
          <w:sz w:val="22"/>
          <w:szCs w:val="22"/>
          <w:lang w:val="en-GB"/>
        </w:rPr>
        <w:t xml:space="preserve"> to the Register</w:t>
      </w:r>
      <w:r w:rsidRPr="002B3315">
        <w:rPr>
          <w:rFonts w:ascii="Arial" w:hAnsi="Arial" w:cs="Arial"/>
          <w:color w:val="7B7B7B" w:themeColor="accent3" w:themeShade="BF"/>
          <w:sz w:val="22"/>
          <w:szCs w:val="22"/>
          <w:lang w:val="en-GB"/>
        </w:rPr>
        <w:t xml:space="preserve">, </w:t>
      </w:r>
      <w:r w:rsidR="0007020D" w:rsidRPr="002B3315">
        <w:rPr>
          <w:rFonts w:ascii="Arial" w:hAnsi="Arial" w:cs="Arial"/>
          <w:color w:val="7B7B7B" w:themeColor="accent3" w:themeShade="BF"/>
          <w:sz w:val="22"/>
          <w:szCs w:val="22"/>
          <w:lang w:val="en-GB"/>
        </w:rPr>
        <w:t>the next step for Owed to take to recover the judgment debt is by appoint</w:t>
      </w:r>
      <w:r w:rsidR="00941285" w:rsidRPr="002B3315">
        <w:rPr>
          <w:rFonts w:ascii="Arial" w:hAnsi="Arial" w:cs="Arial"/>
          <w:color w:val="7B7B7B" w:themeColor="accent3" w:themeShade="BF"/>
          <w:sz w:val="22"/>
          <w:szCs w:val="22"/>
          <w:lang w:val="en-GB"/>
        </w:rPr>
        <w:t>ing</w:t>
      </w:r>
      <w:r w:rsidR="0007020D" w:rsidRPr="002B3315">
        <w:rPr>
          <w:rFonts w:ascii="Arial" w:hAnsi="Arial" w:cs="Arial"/>
          <w:color w:val="7B7B7B" w:themeColor="accent3" w:themeShade="BF"/>
          <w:sz w:val="22"/>
          <w:szCs w:val="22"/>
          <w:lang w:val="en-GB"/>
        </w:rPr>
        <w:t xml:space="preserve"> a</w:t>
      </w:r>
      <w:r w:rsidR="00AA1178" w:rsidRPr="002B3315">
        <w:rPr>
          <w:rFonts w:ascii="Arial" w:hAnsi="Arial" w:cs="Arial"/>
          <w:color w:val="7B7B7B" w:themeColor="accent3" w:themeShade="BF"/>
          <w:sz w:val="22"/>
          <w:szCs w:val="22"/>
          <w:lang w:val="en-GB"/>
        </w:rPr>
        <w:t xml:space="preserve"> receiver in aid of equitable execution of the English Judgment</w:t>
      </w:r>
      <w:r w:rsidR="0070428F" w:rsidRPr="002B3315">
        <w:rPr>
          <w:rFonts w:ascii="Arial" w:hAnsi="Arial" w:cs="Arial"/>
          <w:color w:val="7B7B7B" w:themeColor="accent3" w:themeShade="BF"/>
          <w:sz w:val="22"/>
          <w:szCs w:val="22"/>
          <w:lang w:val="en-GB"/>
        </w:rPr>
        <w:t>.</w:t>
      </w:r>
      <w:r w:rsidR="0018221F" w:rsidRPr="002B3315">
        <w:rPr>
          <w:rFonts w:ascii="Arial" w:hAnsi="Arial" w:cs="Arial"/>
          <w:color w:val="7B7B7B" w:themeColor="accent3" w:themeShade="BF"/>
          <w:sz w:val="22"/>
          <w:szCs w:val="22"/>
          <w:lang w:val="en-GB"/>
        </w:rPr>
        <w:t xml:space="preserve"> Such a tool is “</w:t>
      </w:r>
      <w:r w:rsidR="0018221F" w:rsidRPr="002B3315">
        <w:rPr>
          <w:rFonts w:ascii="Arial" w:hAnsi="Arial" w:cs="Arial"/>
          <w:i/>
          <w:iCs/>
          <w:color w:val="7B7B7B" w:themeColor="accent3" w:themeShade="BF"/>
          <w:sz w:val="22"/>
          <w:szCs w:val="22"/>
          <w:lang w:val="en-GB"/>
        </w:rPr>
        <w:t>very helpful where the debtor holds assets through</w:t>
      </w:r>
      <w:r w:rsidR="000E1BDA" w:rsidRPr="002B3315">
        <w:rPr>
          <w:rFonts w:ascii="Arial" w:hAnsi="Arial" w:cs="Arial"/>
          <w:i/>
          <w:iCs/>
          <w:color w:val="7B7B7B" w:themeColor="accent3" w:themeShade="BF"/>
          <w:sz w:val="22"/>
          <w:szCs w:val="22"/>
          <w:lang w:val="en-GB"/>
        </w:rPr>
        <w:t>…</w:t>
      </w:r>
      <w:r w:rsidR="0018221F" w:rsidRPr="002B3315">
        <w:rPr>
          <w:rFonts w:ascii="Arial" w:hAnsi="Arial" w:cs="Arial"/>
          <w:i/>
          <w:iCs/>
          <w:color w:val="7B7B7B" w:themeColor="accent3" w:themeShade="BF"/>
          <w:sz w:val="22"/>
          <w:szCs w:val="22"/>
          <w:lang w:val="en-GB"/>
        </w:rPr>
        <w:t>corporate entities</w:t>
      </w:r>
      <w:r w:rsidR="0018221F" w:rsidRPr="002B3315">
        <w:rPr>
          <w:rFonts w:ascii="Arial" w:hAnsi="Arial" w:cs="Arial"/>
          <w:color w:val="7B7B7B" w:themeColor="accent3" w:themeShade="BF"/>
          <w:sz w:val="22"/>
          <w:szCs w:val="22"/>
          <w:lang w:val="en-GB"/>
        </w:rPr>
        <w:t>.”</w:t>
      </w:r>
      <w:r w:rsidR="0018221F" w:rsidRPr="002B3315">
        <w:rPr>
          <w:rStyle w:val="FootnoteReference"/>
          <w:rFonts w:ascii="Arial" w:hAnsi="Arial" w:cs="Arial"/>
          <w:color w:val="7B7B7B" w:themeColor="accent3" w:themeShade="BF"/>
          <w:sz w:val="22"/>
          <w:szCs w:val="22"/>
          <w:lang w:val="en-GB"/>
        </w:rPr>
        <w:footnoteReference w:id="235"/>
      </w:r>
    </w:p>
    <w:p w14:paraId="231FDE55" w14:textId="77777777" w:rsidR="0018221F" w:rsidRPr="002B3315" w:rsidRDefault="0018221F" w:rsidP="0062649B">
      <w:pPr>
        <w:jc w:val="both"/>
        <w:rPr>
          <w:rFonts w:ascii="Arial" w:hAnsi="Arial" w:cs="Arial"/>
          <w:color w:val="7B7B7B" w:themeColor="accent3" w:themeShade="BF"/>
          <w:sz w:val="22"/>
          <w:szCs w:val="22"/>
          <w:lang w:val="en-GB"/>
        </w:rPr>
      </w:pPr>
    </w:p>
    <w:p w14:paraId="2AF31951" w14:textId="5F5DC064" w:rsidR="002C1005" w:rsidRPr="002B3315" w:rsidRDefault="00FB0E3D" w:rsidP="00F921EA">
      <w:pPr>
        <w:jc w:val="both"/>
        <w:rPr>
          <w:rFonts w:ascii="Arial" w:hAnsi="Arial" w:cs="Arial"/>
          <w:color w:val="7B7B7B" w:themeColor="accent3" w:themeShade="BF"/>
          <w:sz w:val="22"/>
          <w:szCs w:val="22"/>
          <w:u w:val="single"/>
          <w:lang w:val="en-GB"/>
        </w:rPr>
      </w:pPr>
      <w:r w:rsidRPr="002B3315">
        <w:rPr>
          <w:rFonts w:ascii="Arial" w:hAnsi="Arial" w:cs="Arial"/>
          <w:i/>
          <w:iCs/>
          <w:color w:val="7B7B7B" w:themeColor="accent3" w:themeShade="BF"/>
          <w:sz w:val="22"/>
          <w:szCs w:val="22"/>
          <w:u w:val="single"/>
          <w:lang w:val="en-GB"/>
        </w:rPr>
        <w:t>Industrial Bank Financial Limited Leasing Co Ltd v Xing Libin</w:t>
      </w:r>
      <w:r w:rsidR="00F921EA" w:rsidRPr="002B3315">
        <w:rPr>
          <w:rStyle w:val="FootnoteReference"/>
          <w:rFonts w:ascii="Arial" w:hAnsi="Arial" w:cs="Arial"/>
          <w:color w:val="7B7B7B" w:themeColor="accent3" w:themeShade="BF"/>
          <w:sz w:val="22"/>
          <w:szCs w:val="22"/>
          <w:u w:val="single"/>
          <w:lang w:val="en-GB"/>
        </w:rPr>
        <w:footnoteReference w:id="236"/>
      </w:r>
      <w:r w:rsidR="002C1005" w:rsidRPr="002B3315">
        <w:rPr>
          <w:rFonts w:ascii="Arial" w:hAnsi="Arial" w:cs="Arial"/>
          <w:color w:val="7B7B7B" w:themeColor="accent3" w:themeShade="BF"/>
          <w:sz w:val="22"/>
          <w:szCs w:val="22"/>
          <w:u w:val="single"/>
          <w:lang w:val="en-GB"/>
        </w:rPr>
        <w:t xml:space="preserve"> (“</w:t>
      </w:r>
      <w:r w:rsidR="002C1005" w:rsidRPr="002B3315">
        <w:rPr>
          <w:rFonts w:ascii="Arial" w:hAnsi="Arial" w:cs="Arial"/>
          <w:b/>
          <w:bCs/>
          <w:i/>
          <w:iCs/>
          <w:color w:val="7B7B7B" w:themeColor="accent3" w:themeShade="BF"/>
          <w:sz w:val="22"/>
          <w:szCs w:val="22"/>
          <w:u w:val="single"/>
          <w:lang w:val="en-GB"/>
        </w:rPr>
        <w:t>Xing Libin</w:t>
      </w:r>
      <w:r w:rsidR="002C1005" w:rsidRPr="002B3315">
        <w:rPr>
          <w:rFonts w:ascii="Arial" w:hAnsi="Arial" w:cs="Arial"/>
          <w:color w:val="7B7B7B" w:themeColor="accent3" w:themeShade="BF"/>
          <w:sz w:val="22"/>
          <w:szCs w:val="22"/>
          <w:u w:val="single"/>
          <w:lang w:val="en-GB"/>
        </w:rPr>
        <w:t>”)</w:t>
      </w:r>
    </w:p>
    <w:p w14:paraId="24555E40" w14:textId="0C0A981B" w:rsidR="00F921EA" w:rsidRPr="002B3315" w:rsidRDefault="002C1005" w:rsidP="00F921EA">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The position of Owed</w:t>
      </w:r>
      <w:r w:rsidR="000E1665" w:rsidRPr="002B3315">
        <w:rPr>
          <w:rFonts w:ascii="Arial" w:hAnsi="Arial" w:cs="Arial"/>
          <w:color w:val="7B7B7B" w:themeColor="accent3" w:themeShade="BF"/>
          <w:sz w:val="22"/>
          <w:szCs w:val="22"/>
          <w:lang w:val="en-GB"/>
        </w:rPr>
        <w:t>, Indebted</w:t>
      </w:r>
      <w:r w:rsidRPr="002B3315">
        <w:rPr>
          <w:rFonts w:ascii="Arial" w:hAnsi="Arial" w:cs="Arial"/>
          <w:color w:val="7B7B7B" w:themeColor="accent3" w:themeShade="BF"/>
          <w:sz w:val="22"/>
          <w:szCs w:val="22"/>
          <w:lang w:val="en-GB"/>
        </w:rPr>
        <w:t xml:space="preserve"> and </w:t>
      </w:r>
      <w:proofErr w:type="spellStart"/>
      <w:r w:rsidRPr="002B3315">
        <w:rPr>
          <w:rFonts w:ascii="Arial" w:hAnsi="Arial" w:cs="Arial"/>
          <w:color w:val="7B7B7B" w:themeColor="accent3" w:themeShade="BF"/>
          <w:sz w:val="22"/>
          <w:szCs w:val="22"/>
          <w:lang w:val="en-GB"/>
        </w:rPr>
        <w:t>Subco</w:t>
      </w:r>
      <w:proofErr w:type="spellEnd"/>
      <w:r w:rsidRPr="002B3315">
        <w:rPr>
          <w:rFonts w:ascii="Arial" w:hAnsi="Arial" w:cs="Arial"/>
          <w:color w:val="7B7B7B" w:themeColor="accent3" w:themeShade="BF"/>
          <w:sz w:val="22"/>
          <w:szCs w:val="22"/>
          <w:lang w:val="en-GB"/>
        </w:rPr>
        <w:t xml:space="preserve"> is </w:t>
      </w:r>
      <w:proofErr w:type="gramStart"/>
      <w:r w:rsidRPr="002B3315">
        <w:rPr>
          <w:rFonts w:ascii="Arial" w:hAnsi="Arial" w:cs="Arial"/>
          <w:color w:val="7B7B7B" w:themeColor="accent3" w:themeShade="BF"/>
          <w:sz w:val="22"/>
          <w:szCs w:val="22"/>
          <w:lang w:val="en-GB"/>
        </w:rPr>
        <w:t>similar to</w:t>
      </w:r>
      <w:proofErr w:type="gramEnd"/>
      <w:r w:rsidRPr="002B3315">
        <w:rPr>
          <w:rFonts w:ascii="Arial" w:hAnsi="Arial" w:cs="Arial"/>
          <w:color w:val="7B7B7B" w:themeColor="accent3" w:themeShade="BF"/>
          <w:sz w:val="22"/>
          <w:szCs w:val="22"/>
          <w:lang w:val="en-GB"/>
        </w:rPr>
        <w:t xml:space="preserve"> that of </w:t>
      </w:r>
      <w:r w:rsidRPr="002B3315">
        <w:rPr>
          <w:rFonts w:ascii="Arial" w:hAnsi="Arial" w:cs="Arial"/>
          <w:i/>
          <w:iCs/>
          <w:color w:val="7B7B7B" w:themeColor="accent3" w:themeShade="BF"/>
          <w:sz w:val="22"/>
          <w:szCs w:val="22"/>
          <w:lang w:val="en-GB"/>
        </w:rPr>
        <w:t>Xing Libin</w:t>
      </w:r>
      <w:r w:rsidRPr="002B3315">
        <w:rPr>
          <w:rFonts w:ascii="Arial" w:hAnsi="Arial" w:cs="Arial"/>
          <w:color w:val="7B7B7B" w:themeColor="accent3" w:themeShade="BF"/>
          <w:sz w:val="22"/>
          <w:szCs w:val="22"/>
          <w:lang w:val="en-GB"/>
        </w:rPr>
        <w:t xml:space="preserve">. </w:t>
      </w:r>
      <w:r w:rsidR="00F921EA" w:rsidRPr="002B3315">
        <w:rPr>
          <w:rFonts w:ascii="Arial" w:hAnsi="Arial" w:cs="Arial"/>
          <w:i/>
          <w:iCs/>
          <w:color w:val="7B7B7B" w:themeColor="accent3" w:themeShade="BF"/>
          <w:sz w:val="22"/>
          <w:szCs w:val="22"/>
          <w:lang w:val="en-GB"/>
        </w:rPr>
        <w:t>Xing Libin</w:t>
      </w:r>
      <w:r w:rsidR="00F921EA" w:rsidRPr="002B3315">
        <w:rPr>
          <w:rFonts w:ascii="Arial" w:hAnsi="Arial" w:cs="Arial"/>
          <w:color w:val="7B7B7B" w:themeColor="accent3" w:themeShade="BF"/>
          <w:sz w:val="22"/>
          <w:szCs w:val="22"/>
          <w:lang w:val="en-GB"/>
        </w:rPr>
        <w:t xml:space="preserve"> involved a BVI company called </w:t>
      </w:r>
      <w:proofErr w:type="spellStart"/>
      <w:r w:rsidR="00F921EA" w:rsidRPr="002B3315">
        <w:rPr>
          <w:rFonts w:ascii="Arial" w:hAnsi="Arial" w:cs="Arial"/>
          <w:color w:val="7B7B7B" w:themeColor="accent3" w:themeShade="BF"/>
          <w:sz w:val="22"/>
          <w:szCs w:val="22"/>
          <w:lang w:val="en-GB"/>
        </w:rPr>
        <w:t>Firstwealth</w:t>
      </w:r>
      <w:proofErr w:type="spellEnd"/>
      <w:r w:rsidR="00F921EA" w:rsidRPr="002B3315">
        <w:rPr>
          <w:rFonts w:ascii="Arial" w:hAnsi="Arial" w:cs="Arial"/>
          <w:color w:val="7B7B7B" w:themeColor="accent3" w:themeShade="BF"/>
          <w:sz w:val="22"/>
          <w:szCs w:val="22"/>
          <w:lang w:val="en-GB"/>
        </w:rPr>
        <w:t xml:space="preserve"> Holdings Ltd (“</w:t>
      </w:r>
      <w:proofErr w:type="spellStart"/>
      <w:r w:rsidR="00F921EA" w:rsidRPr="002B3315">
        <w:rPr>
          <w:rFonts w:ascii="Arial" w:hAnsi="Arial" w:cs="Arial"/>
          <w:b/>
          <w:bCs/>
          <w:color w:val="7B7B7B" w:themeColor="accent3" w:themeShade="BF"/>
          <w:sz w:val="22"/>
          <w:szCs w:val="22"/>
          <w:lang w:val="en-GB"/>
        </w:rPr>
        <w:t>Firstwealth</w:t>
      </w:r>
      <w:proofErr w:type="spellEnd"/>
      <w:r w:rsidR="00F921EA" w:rsidRPr="002B3315">
        <w:rPr>
          <w:rFonts w:ascii="Arial" w:hAnsi="Arial" w:cs="Arial"/>
          <w:color w:val="7B7B7B" w:themeColor="accent3" w:themeShade="BF"/>
          <w:sz w:val="22"/>
          <w:szCs w:val="22"/>
          <w:lang w:val="en-GB"/>
        </w:rPr>
        <w:t>”)</w:t>
      </w:r>
      <w:r w:rsidR="000E1665" w:rsidRPr="002B3315">
        <w:rPr>
          <w:rFonts w:ascii="Arial" w:hAnsi="Arial" w:cs="Arial"/>
          <w:color w:val="7B7B7B" w:themeColor="accent3" w:themeShade="BF"/>
          <w:sz w:val="22"/>
          <w:szCs w:val="22"/>
          <w:lang w:val="en-GB"/>
        </w:rPr>
        <w:t xml:space="preserve"> which was 100% owned by the defendant. </w:t>
      </w:r>
      <w:r w:rsidR="00F921EA" w:rsidRPr="002B3315">
        <w:rPr>
          <w:rFonts w:ascii="Arial" w:hAnsi="Arial" w:cs="Arial"/>
          <w:color w:val="7B7B7B" w:themeColor="accent3" w:themeShade="BF"/>
          <w:sz w:val="22"/>
          <w:szCs w:val="22"/>
          <w:lang w:val="en-GB"/>
        </w:rPr>
        <w:t>The claimant sought to appoint equitable receivers “</w:t>
      </w:r>
      <w:r w:rsidR="00F921EA" w:rsidRPr="002B3315">
        <w:rPr>
          <w:rFonts w:ascii="Arial" w:hAnsi="Arial" w:cs="Arial"/>
          <w:i/>
          <w:iCs/>
          <w:color w:val="7B7B7B" w:themeColor="accent3" w:themeShade="BF"/>
          <w:sz w:val="22"/>
          <w:szCs w:val="22"/>
          <w:lang w:val="en-GB"/>
        </w:rPr>
        <w:t>over all issued shares in [</w:t>
      </w:r>
      <w:proofErr w:type="spellStart"/>
      <w:r w:rsidR="00F921EA" w:rsidRPr="002B3315">
        <w:rPr>
          <w:rFonts w:ascii="Arial" w:hAnsi="Arial" w:cs="Arial"/>
          <w:i/>
          <w:iCs/>
          <w:color w:val="7B7B7B" w:themeColor="accent3" w:themeShade="BF"/>
          <w:sz w:val="22"/>
          <w:szCs w:val="22"/>
          <w:lang w:val="en-GB"/>
        </w:rPr>
        <w:t>Firstwealth</w:t>
      </w:r>
      <w:proofErr w:type="spellEnd"/>
      <w:r w:rsidR="00F921EA" w:rsidRPr="002B3315">
        <w:rPr>
          <w:rFonts w:ascii="Arial" w:hAnsi="Arial" w:cs="Arial"/>
          <w:i/>
          <w:iCs/>
          <w:color w:val="7B7B7B" w:themeColor="accent3" w:themeShade="BF"/>
          <w:sz w:val="22"/>
          <w:szCs w:val="22"/>
          <w:lang w:val="en-GB"/>
        </w:rPr>
        <w:t>], its business and undertaking and any and all rights the company may have whatsoever and howsoever found</w:t>
      </w:r>
      <w:r w:rsidR="00F921EA" w:rsidRPr="002B3315">
        <w:rPr>
          <w:rFonts w:ascii="Arial" w:hAnsi="Arial" w:cs="Arial"/>
          <w:color w:val="7B7B7B" w:themeColor="accent3" w:themeShade="BF"/>
          <w:sz w:val="22"/>
          <w:szCs w:val="22"/>
          <w:lang w:val="en-GB"/>
        </w:rPr>
        <w:t>.”</w:t>
      </w:r>
      <w:r w:rsidR="00F921EA" w:rsidRPr="002B3315">
        <w:rPr>
          <w:rStyle w:val="FootnoteReference"/>
          <w:rFonts w:ascii="Arial" w:hAnsi="Arial" w:cs="Arial"/>
          <w:color w:val="7B7B7B" w:themeColor="accent3" w:themeShade="BF"/>
          <w:sz w:val="22"/>
          <w:szCs w:val="22"/>
          <w:lang w:val="en-GB"/>
        </w:rPr>
        <w:footnoteReference w:id="237"/>
      </w:r>
      <w:r w:rsidR="00F921EA" w:rsidRPr="002B3315">
        <w:rPr>
          <w:rFonts w:ascii="Arial" w:hAnsi="Arial" w:cs="Arial"/>
          <w:color w:val="7B7B7B" w:themeColor="accent3" w:themeShade="BF"/>
          <w:sz w:val="22"/>
          <w:szCs w:val="22"/>
          <w:lang w:val="en-GB"/>
        </w:rPr>
        <w:t xml:space="preserve"> </w:t>
      </w:r>
      <w:r w:rsidR="00FB0E3D" w:rsidRPr="002B3315">
        <w:rPr>
          <w:rFonts w:ascii="Arial" w:hAnsi="Arial" w:cs="Arial"/>
          <w:color w:val="7B7B7B" w:themeColor="accent3" w:themeShade="BF"/>
          <w:sz w:val="22"/>
          <w:szCs w:val="22"/>
          <w:lang w:val="en-GB"/>
        </w:rPr>
        <w:t xml:space="preserve">The claimant had obtained three monetary judgments against the defendant in the People’s Republic of China. By orders of the High Court of the Hong Kong Special Administrative Region, these judgments were registered in Hong Kong. The claimant </w:t>
      </w:r>
      <w:r w:rsidR="000E1665" w:rsidRPr="002B3315">
        <w:rPr>
          <w:rFonts w:ascii="Arial" w:hAnsi="Arial" w:cs="Arial"/>
          <w:color w:val="7B7B7B" w:themeColor="accent3" w:themeShade="BF"/>
          <w:sz w:val="22"/>
          <w:szCs w:val="22"/>
          <w:lang w:val="en-GB"/>
        </w:rPr>
        <w:t xml:space="preserve">then </w:t>
      </w:r>
      <w:r w:rsidR="00FB0E3D" w:rsidRPr="002B3315">
        <w:rPr>
          <w:rFonts w:ascii="Arial" w:hAnsi="Arial" w:cs="Arial"/>
          <w:color w:val="7B7B7B" w:themeColor="accent3" w:themeShade="BF"/>
          <w:sz w:val="22"/>
          <w:szCs w:val="22"/>
          <w:lang w:val="en-GB"/>
        </w:rPr>
        <w:t>applied for the judgments to be recognised in the BVI.</w:t>
      </w:r>
    </w:p>
    <w:p w14:paraId="28817FFD" w14:textId="77777777" w:rsidR="00FB0E3D" w:rsidRPr="002B3315" w:rsidRDefault="00FB0E3D" w:rsidP="00F921EA">
      <w:pPr>
        <w:jc w:val="both"/>
        <w:rPr>
          <w:rFonts w:ascii="Arial" w:hAnsi="Arial" w:cs="Arial"/>
          <w:color w:val="7B7B7B" w:themeColor="accent3" w:themeShade="BF"/>
          <w:sz w:val="22"/>
          <w:szCs w:val="22"/>
          <w:lang w:val="en-GB"/>
        </w:rPr>
      </w:pPr>
    </w:p>
    <w:p w14:paraId="5653AF1B" w14:textId="67CFFAE9" w:rsidR="000E1665" w:rsidRPr="002B3315" w:rsidRDefault="00F921EA" w:rsidP="00F921EA">
      <w:pPr>
        <w:jc w:val="both"/>
        <w:rPr>
          <w:rFonts w:ascii="Arial" w:hAnsi="Arial" w:cs="Arial"/>
          <w:color w:val="7B7B7B" w:themeColor="accent3" w:themeShade="BF"/>
          <w:sz w:val="22"/>
          <w:szCs w:val="22"/>
          <w:lang w:val="en-GB"/>
        </w:rPr>
      </w:pPr>
      <w:r w:rsidRPr="002B3315">
        <w:rPr>
          <w:rFonts w:ascii="Arial" w:hAnsi="Arial" w:cs="Arial"/>
          <w:i/>
          <w:iCs/>
          <w:color w:val="7B7B7B" w:themeColor="accent3" w:themeShade="BF"/>
          <w:sz w:val="22"/>
          <w:szCs w:val="22"/>
          <w:lang w:val="en-GB"/>
        </w:rPr>
        <w:t>Xing Libin</w:t>
      </w:r>
      <w:r w:rsidRPr="002B3315">
        <w:rPr>
          <w:rFonts w:ascii="Arial" w:hAnsi="Arial" w:cs="Arial"/>
          <w:color w:val="7B7B7B" w:themeColor="accent3" w:themeShade="BF"/>
          <w:sz w:val="22"/>
          <w:szCs w:val="22"/>
          <w:lang w:val="en-GB"/>
        </w:rPr>
        <w:t xml:space="preserve"> reaffirmed the position that equitable receivers by way of execution would be appointed where there were “</w:t>
      </w:r>
      <w:r w:rsidRPr="002B3315">
        <w:rPr>
          <w:rFonts w:ascii="Arial" w:hAnsi="Arial" w:cs="Arial"/>
          <w:i/>
          <w:iCs/>
          <w:color w:val="7B7B7B" w:themeColor="accent3" w:themeShade="BF"/>
          <w:sz w:val="22"/>
          <w:szCs w:val="22"/>
          <w:lang w:val="en-GB"/>
        </w:rPr>
        <w:t>special circumstances</w:t>
      </w:r>
      <w:r w:rsidRPr="002B3315">
        <w:rPr>
          <w:rFonts w:ascii="Arial" w:hAnsi="Arial" w:cs="Arial"/>
          <w:color w:val="7B7B7B" w:themeColor="accent3" w:themeShade="BF"/>
          <w:sz w:val="22"/>
          <w:szCs w:val="22"/>
          <w:lang w:val="en-GB"/>
        </w:rPr>
        <w:t>” which rendered it just and convenient to do so when it would otherwise be difficult to enforce judgment in any other way and that the appointment of a receiver was the only realistic prospect for the judgment creditor to enforce its judgment.</w:t>
      </w:r>
      <w:r w:rsidRPr="002B3315">
        <w:rPr>
          <w:rStyle w:val="FootnoteReference"/>
          <w:rFonts w:ascii="Arial" w:hAnsi="Arial" w:cs="Arial"/>
          <w:color w:val="7B7B7B" w:themeColor="accent3" w:themeShade="BF"/>
          <w:sz w:val="22"/>
          <w:szCs w:val="22"/>
          <w:lang w:val="en-GB"/>
        </w:rPr>
        <w:footnoteReference w:id="238"/>
      </w:r>
      <w:r w:rsidRPr="002B3315">
        <w:rPr>
          <w:rFonts w:ascii="Arial" w:hAnsi="Arial" w:cs="Arial"/>
          <w:color w:val="7B7B7B" w:themeColor="accent3" w:themeShade="BF"/>
          <w:sz w:val="22"/>
          <w:szCs w:val="22"/>
          <w:lang w:val="en-GB"/>
        </w:rPr>
        <w:t xml:space="preserve"> </w:t>
      </w:r>
      <w:r w:rsidR="000E1665" w:rsidRPr="002B3315">
        <w:rPr>
          <w:rFonts w:ascii="Arial" w:hAnsi="Arial" w:cs="Arial"/>
          <w:color w:val="7B7B7B" w:themeColor="accent3" w:themeShade="BF"/>
          <w:sz w:val="22"/>
          <w:szCs w:val="22"/>
          <w:lang w:val="en-GB"/>
        </w:rPr>
        <w:t xml:space="preserve">It was held that </w:t>
      </w:r>
      <w:proofErr w:type="spellStart"/>
      <w:r w:rsidRPr="002B3315">
        <w:rPr>
          <w:rFonts w:ascii="Arial" w:hAnsi="Arial" w:cs="Arial"/>
          <w:color w:val="7B7B7B" w:themeColor="accent3" w:themeShade="BF"/>
          <w:sz w:val="22"/>
          <w:szCs w:val="22"/>
          <w:lang w:val="en-GB"/>
        </w:rPr>
        <w:t>Firstwealth</w:t>
      </w:r>
      <w:r w:rsidR="000E1665" w:rsidRPr="002B3315">
        <w:rPr>
          <w:rFonts w:ascii="Arial" w:hAnsi="Arial" w:cs="Arial"/>
          <w:color w:val="7B7B7B" w:themeColor="accent3" w:themeShade="BF"/>
          <w:sz w:val="22"/>
          <w:szCs w:val="22"/>
          <w:lang w:val="en-GB"/>
        </w:rPr>
        <w:t>’s</w:t>
      </w:r>
      <w:proofErr w:type="spellEnd"/>
      <w:r w:rsidR="000E1665" w:rsidRPr="002B3315">
        <w:rPr>
          <w:rFonts w:ascii="Arial" w:hAnsi="Arial" w:cs="Arial"/>
          <w:color w:val="7B7B7B" w:themeColor="accent3" w:themeShade="BF"/>
          <w:sz w:val="22"/>
          <w:szCs w:val="22"/>
          <w:lang w:val="en-GB"/>
        </w:rPr>
        <w:t xml:space="preserve"> assets</w:t>
      </w:r>
      <w:r w:rsidRPr="002B3315">
        <w:rPr>
          <w:rFonts w:ascii="Arial" w:hAnsi="Arial" w:cs="Arial"/>
          <w:color w:val="7B7B7B" w:themeColor="accent3" w:themeShade="BF"/>
          <w:sz w:val="22"/>
          <w:szCs w:val="22"/>
          <w:lang w:val="en-GB"/>
        </w:rPr>
        <w:t xml:space="preserve"> were the </w:t>
      </w:r>
      <w:r w:rsidRPr="002B3315">
        <w:rPr>
          <w:rFonts w:ascii="Arial" w:hAnsi="Arial" w:cs="Arial"/>
          <w:i/>
          <w:iCs/>
          <w:color w:val="7B7B7B" w:themeColor="accent3" w:themeShade="BF"/>
          <w:sz w:val="22"/>
          <w:szCs w:val="22"/>
          <w:lang w:val="en-GB"/>
        </w:rPr>
        <w:t>de facto</w:t>
      </w:r>
      <w:r w:rsidRPr="002B3315">
        <w:rPr>
          <w:rFonts w:ascii="Arial" w:hAnsi="Arial" w:cs="Arial"/>
          <w:color w:val="7B7B7B" w:themeColor="accent3" w:themeShade="BF"/>
          <w:sz w:val="22"/>
          <w:szCs w:val="22"/>
          <w:lang w:val="en-GB"/>
        </w:rPr>
        <w:t xml:space="preserve"> control of the defendant so that appoint</w:t>
      </w:r>
      <w:r w:rsidR="000E1665" w:rsidRPr="002B3315">
        <w:rPr>
          <w:rFonts w:ascii="Arial" w:hAnsi="Arial" w:cs="Arial"/>
          <w:color w:val="7B7B7B" w:themeColor="accent3" w:themeShade="BF"/>
          <w:sz w:val="22"/>
          <w:szCs w:val="22"/>
          <w:lang w:val="en-GB"/>
        </w:rPr>
        <w:t>ing</w:t>
      </w:r>
      <w:r w:rsidRPr="002B3315">
        <w:rPr>
          <w:rFonts w:ascii="Arial" w:hAnsi="Arial" w:cs="Arial"/>
          <w:color w:val="7B7B7B" w:themeColor="accent3" w:themeShade="BF"/>
          <w:sz w:val="22"/>
          <w:szCs w:val="22"/>
          <w:lang w:val="en-GB"/>
        </w:rPr>
        <w:t xml:space="preserve"> an equitable receiver of its assets would be (at least potentially) legally permissible. </w:t>
      </w:r>
      <w:proofErr w:type="spellStart"/>
      <w:r w:rsidRPr="002B3315">
        <w:rPr>
          <w:rFonts w:ascii="Arial" w:hAnsi="Arial" w:cs="Arial"/>
          <w:color w:val="7B7B7B" w:themeColor="accent3" w:themeShade="BF"/>
          <w:sz w:val="22"/>
          <w:szCs w:val="22"/>
          <w:lang w:val="en-GB"/>
        </w:rPr>
        <w:t>Firstwealth</w:t>
      </w:r>
      <w:r w:rsidR="000E1665" w:rsidRPr="002B3315">
        <w:rPr>
          <w:rFonts w:ascii="Arial" w:hAnsi="Arial" w:cs="Arial"/>
          <w:color w:val="7B7B7B" w:themeColor="accent3" w:themeShade="BF"/>
          <w:sz w:val="22"/>
          <w:szCs w:val="22"/>
          <w:lang w:val="en-GB"/>
        </w:rPr>
        <w:t>’s</w:t>
      </w:r>
      <w:proofErr w:type="spellEnd"/>
      <w:r w:rsidR="000E1665" w:rsidRPr="002B3315">
        <w:rPr>
          <w:rFonts w:ascii="Arial" w:hAnsi="Arial" w:cs="Arial"/>
          <w:color w:val="7B7B7B" w:themeColor="accent3" w:themeShade="BF"/>
          <w:sz w:val="22"/>
          <w:szCs w:val="22"/>
          <w:lang w:val="en-GB"/>
        </w:rPr>
        <w:t xml:space="preserve"> assets</w:t>
      </w:r>
      <w:r w:rsidRPr="002B3315">
        <w:rPr>
          <w:rFonts w:ascii="Arial" w:hAnsi="Arial" w:cs="Arial"/>
          <w:color w:val="7B7B7B" w:themeColor="accent3" w:themeShade="BF"/>
          <w:sz w:val="22"/>
          <w:szCs w:val="22"/>
          <w:lang w:val="en-GB"/>
        </w:rPr>
        <w:t xml:space="preserve"> were, however, </w:t>
      </w:r>
      <w:r w:rsidRPr="002B3315">
        <w:rPr>
          <w:rFonts w:ascii="Arial" w:hAnsi="Arial" w:cs="Arial"/>
          <w:color w:val="7B7B7B" w:themeColor="accent3" w:themeShade="BF"/>
          <w:sz w:val="22"/>
          <w:szCs w:val="22"/>
          <w:u w:val="single"/>
          <w:lang w:val="en-GB"/>
        </w:rPr>
        <w:t>not</w:t>
      </w:r>
      <w:r w:rsidRPr="002B3315">
        <w:rPr>
          <w:rFonts w:ascii="Arial" w:hAnsi="Arial" w:cs="Arial"/>
          <w:color w:val="7B7B7B" w:themeColor="accent3" w:themeShade="BF"/>
          <w:sz w:val="22"/>
          <w:szCs w:val="22"/>
          <w:lang w:val="en-GB"/>
        </w:rPr>
        <w:t xml:space="preserve"> under the </w:t>
      </w:r>
      <w:r w:rsidRPr="002B3315">
        <w:rPr>
          <w:rFonts w:ascii="Arial" w:hAnsi="Arial" w:cs="Arial"/>
          <w:i/>
          <w:iCs/>
          <w:color w:val="7B7B7B" w:themeColor="accent3" w:themeShade="BF"/>
          <w:sz w:val="22"/>
          <w:szCs w:val="22"/>
          <w:lang w:val="en-GB"/>
        </w:rPr>
        <w:t>de jure</w:t>
      </w:r>
      <w:r w:rsidRPr="002B3315">
        <w:rPr>
          <w:rFonts w:ascii="Arial" w:hAnsi="Arial" w:cs="Arial"/>
          <w:color w:val="7B7B7B" w:themeColor="accent3" w:themeShade="BF"/>
          <w:sz w:val="22"/>
          <w:szCs w:val="22"/>
          <w:lang w:val="en-GB"/>
        </w:rPr>
        <w:t xml:space="preserve"> ownership of the defendant. </w:t>
      </w:r>
      <w:r w:rsidR="000E1665" w:rsidRPr="002B3315">
        <w:rPr>
          <w:rFonts w:ascii="Arial" w:hAnsi="Arial" w:cs="Arial"/>
          <w:color w:val="7B7B7B" w:themeColor="accent3" w:themeShade="BF"/>
          <w:sz w:val="22"/>
          <w:szCs w:val="22"/>
          <w:lang w:val="en-GB"/>
        </w:rPr>
        <w:t>It was</w:t>
      </w:r>
      <w:r w:rsidRPr="002B3315">
        <w:rPr>
          <w:rFonts w:ascii="Arial" w:hAnsi="Arial" w:cs="Arial"/>
          <w:color w:val="7B7B7B" w:themeColor="accent3" w:themeShade="BF"/>
          <w:sz w:val="22"/>
          <w:szCs w:val="22"/>
          <w:lang w:val="en-GB"/>
        </w:rPr>
        <w:t xml:space="preserve"> “</w:t>
      </w:r>
      <w:r w:rsidRPr="002B3315">
        <w:rPr>
          <w:rFonts w:ascii="Arial" w:hAnsi="Arial" w:cs="Arial"/>
          <w:i/>
          <w:iCs/>
          <w:color w:val="7B7B7B" w:themeColor="accent3" w:themeShade="BF"/>
          <w:sz w:val="22"/>
          <w:szCs w:val="22"/>
          <w:lang w:val="en-GB"/>
        </w:rPr>
        <w:t>trite law that the assets of a company are not the assets of even a 100% shareholder</w:t>
      </w:r>
      <w:r w:rsidRPr="002B3315">
        <w:rPr>
          <w:rFonts w:ascii="Arial" w:hAnsi="Arial" w:cs="Arial"/>
          <w:color w:val="7B7B7B" w:themeColor="accent3" w:themeShade="BF"/>
          <w:sz w:val="22"/>
          <w:szCs w:val="22"/>
          <w:lang w:val="en-GB"/>
        </w:rPr>
        <w:t>”.</w:t>
      </w:r>
      <w:r w:rsidRPr="002B3315">
        <w:rPr>
          <w:rStyle w:val="FootnoteReference"/>
          <w:rFonts w:ascii="Arial" w:hAnsi="Arial" w:cs="Arial"/>
          <w:color w:val="7B7B7B" w:themeColor="accent3" w:themeShade="BF"/>
          <w:sz w:val="22"/>
          <w:szCs w:val="22"/>
          <w:lang w:val="en-GB"/>
        </w:rPr>
        <w:footnoteReference w:id="239"/>
      </w:r>
      <w:r w:rsidRPr="002B3315">
        <w:rPr>
          <w:rFonts w:ascii="Arial" w:hAnsi="Arial" w:cs="Arial"/>
          <w:color w:val="7B7B7B" w:themeColor="accent3" w:themeShade="BF"/>
          <w:sz w:val="22"/>
          <w:szCs w:val="22"/>
          <w:lang w:val="en-GB"/>
        </w:rPr>
        <w:t xml:space="preserve"> </w:t>
      </w:r>
      <w:r w:rsidR="00941285" w:rsidRPr="002B3315">
        <w:rPr>
          <w:rFonts w:ascii="Arial" w:hAnsi="Arial" w:cs="Arial"/>
          <w:color w:val="7B7B7B" w:themeColor="accent3" w:themeShade="BF"/>
          <w:sz w:val="22"/>
          <w:szCs w:val="22"/>
          <w:lang w:val="en-GB"/>
        </w:rPr>
        <w:t>In light of this, the BVI court held that an</w:t>
      </w:r>
      <w:r w:rsidR="000E1665" w:rsidRPr="002B3315">
        <w:rPr>
          <w:rFonts w:ascii="Arial" w:hAnsi="Arial" w:cs="Arial"/>
          <w:color w:val="7B7B7B" w:themeColor="accent3" w:themeShade="BF"/>
          <w:sz w:val="22"/>
          <w:szCs w:val="22"/>
          <w:lang w:val="en-GB"/>
        </w:rPr>
        <w:t>:</w:t>
      </w:r>
    </w:p>
    <w:p w14:paraId="1561B0A2" w14:textId="397233DB" w:rsidR="000E1665" w:rsidRPr="002B3315" w:rsidRDefault="00941285" w:rsidP="000E1665">
      <w:pPr>
        <w:ind w:left="567" w:right="567"/>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w:t>
      </w:r>
      <w:proofErr w:type="gramStart"/>
      <w:r w:rsidRPr="002B3315">
        <w:rPr>
          <w:rFonts w:ascii="Arial" w:hAnsi="Arial" w:cs="Arial"/>
          <w:i/>
          <w:iCs/>
          <w:color w:val="7B7B7B" w:themeColor="accent3" w:themeShade="BF"/>
          <w:sz w:val="22"/>
          <w:szCs w:val="22"/>
          <w:lang w:val="en-GB"/>
        </w:rPr>
        <w:t>equitable</w:t>
      </w:r>
      <w:proofErr w:type="gramEnd"/>
      <w:r w:rsidRPr="002B3315">
        <w:rPr>
          <w:rFonts w:ascii="Arial" w:hAnsi="Arial" w:cs="Arial"/>
          <w:i/>
          <w:iCs/>
          <w:color w:val="7B7B7B" w:themeColor="accent3" w:themeShade="BF"/>
          <w:sz w:val="22"/>
          <w:szCs w:val="22"/>
          <w:lang w:val="en-GB"/>
        </w:rPr>
        <w:t xml:space="preserve"> receiver can be appointed over the shares. He can then use his powers as receiver to replace the existing director with a new director, usually himself. He can then use his power as a director to convert the assets of the company into money. Alternatively, he can put the company into voluntary liquidation.</w:t>
      </w:r>
      <w:r w:rsidRPr="002B3315">
        <w:rPr>
          <w:rFonts w:ascii="Arial" w:hAnsi="Arial" w:cs="Arial"/>
          <w:color w:val="7B7B7B" w:themeColor="accent3" w:themeShade="BF"/>
          <w:sz w:val="22"/>
          <w:szCs w:val="22"/>
          <w:lang w:val="en-GB"/>
        </w:rPr>
        <w:t>”</w:t>
      </w:r>
      <w:r w:rsidRPr="002B3315">
        <w:rPr>
          <w:rStyle w:val="FootnoteReference"/>
          <w:rFonts w:ascii="Arial" w:hAnsi="Arial" w:cs="Arial"/>
          <w:color w:val="7B7B7B" w:themeColor="accent3" w:themeShade="BF"/>
          <w:sz w:val="22"/>
          <w:szCs w:val="22"/>
          <w:lang w:val="en-GB"/>
        </w:rPr>
        <w:footnoteReference w:id="240"/>
      </w:r>
    </w:p>
    <w:p w14:paraId="2CE5AE96" w14:textId="77777777" w:rsidR="000E1665" w:rsidRPr="002B3315" w:rsidRDefault="000E1665" w:rsidP="000E1665">
      <w:pPr>
        <w:jc w:val="both"/>
        <w:rPr>
          <w:rFonts w:ascii="Arial" w:hAnsi="Arial" w:cs="Arial"/>
          <w:color w:val="7B7B7B" w:themeColor="accent3" w:themeShade="BF"/>
          <w:sz w:val="22"/>
          <w:szCs w:val="22"/>
          <w:highlight w:val="yellow"/>
          <w:lang w:val="en-GB"/>
        </w:rPr>
      </w:pPr>
    </w:p>
    <w:p w14:paraId="566B8C58" w14:textId="2A4918E5" w:rsidR="00F921EA" w:rsidRPr="002B3315" w:rsidRDefault="00F921EA" w:rsidP="000E1665">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lastRenderedPageBreak/>
        <w:t xml:space="preserve">The court </w:t>
      </w:r>
      <w:r w:rsidR="00F307F4" w:rsidRPr="002B3315">
        <w:rPr>
          <w:rFonts w:ascii="Arial" w:hAnsi="Arial" w:cs="Arial"/>
          <w:color w:val="7B7B7B" w:themeColor="accent3" w:themeShade="BF"/>
          <w:sz w:val="22"/>
          <w:szCs w:val="22"/>
          <w:lang w:val="en-GB"/>
        </w:rPr>
        <w:t xml:space="preserve">in </w:t>
      </w:r>
      <w:r w:rsidR="00F307F4" w:rsidRPr="002B3315">
        <w:rPr>
          <w:rFonts w:ascii="Arial" w:hAnsi="Arial" w:cs="Arial"/>
          <w:i/>
          <w:iCs/>
          <w:color w:val="7B7B7B" w:themeColor="accent3" w:themeShade="BF"/>
          <w:sz w:val="22"/>
          <w:szCs w:val="22"/>
          <w:lang w:val="en-GB"/>
        </w:rPr>
        <w:t>Xing Libin</w:t>
      </w:r>
      <w:r w:rsidR="00F307F4" w:rsidRPr="002B3315">
        <w:rPr>
          <w:rFonts w:ascii="Arial" w:hAnsi="Arial" w:cs="Arial"/>
          <w:color w:val="7B7B7B" w:themeColor="accent3" w:themeShade="BF"/>
          <w:sz w:val="22"/>
          <w:szCs w:val="22"/>
          <w:lang w:val="en-GB"/>
        </w:rPr>
        <w:t xml:space="preserve"> </w:t>
      </w:r>
      <w:r w:rsidRPr="002B3315">
        <w:rPr>
          <w:rFonts w:ascii="Arial" w:hAnsi="Arial" w:cs="Arial"/>
          <w:color w:val="7B7B7B" w:themeColor="accent3" w:themeShade="BF"/>
          <w:sz w:val="22"/>
          <w:szCs w:val="22"/>
          <w:lang w:val="en-GB"/>
        </w:rPr>
        <w:t>appoint</w:t>
      </w:r>
      <w:r w:rsidR="00C267A5" w:rsidRPr="002B3315">
        <w:rPr>
          <w:rFonts w:ascii="Arial" w:hAnsi="Arial" w:cs="Arial"/>
          <w:color w:val="7B7B7B" w:themeColor="accent3" w:themeShade="BF"/>
          <w:sz w:val="22"/>
          <w:szCs w:val="22"/>
          <w:lang w:val="en-GB"/>
        </w:rPr>
        <w:t>ed</w:t>
      </w:r>
      <w:r w:rsidRPr="002B3315">
        <w:rPr>
          <w:rFonts w:ascii="Arial" w:hAnsi="Arial" w:cs="Arial"/>
          <w:color w:val="7B7B7B" w:themeColor="accent3" w:themeShade="BF"/>
          <w:sz w:val="22"/>
          <w:szCs w:val="22"/>
          <w:lang w:val="en-GB"/>
        </w:rPr>
        <w:t xml:space="preserve"> equitable receivers over the shares in </w:t>
      </w:r>
      <w:proofErr w:type="spellStart"/>
      <w:r w:rsidRPr="002B3315">
        <w:rPr>
          <w:rFonts w:ascii="Arial" w:hAnsi="Arial" w:cs="Arial"/>
          <w:color w:val="7B7B7B" w:themeColor="accent3" w:themeShade="BF"/>
          <w:sz w:val="22"/>
          <w:szCs w:val="22"/>
          <w:lang w:val="en-GB"/>
        </w:rPr>
        <w:t>Firstwealth</w:t>
      </w:r>
      <w:proofErr w:type="spellEnd"/>
      <w:r w:rsidRPr="002B3315">
        <w:rPr>
          <w:rFonts w:ascii="Arial" w:hAnsi="Arial" w:cs="Arial"/>
          <w:color w:val="7B7B7B" w:themeColor="accent3" w:themeShade="BF"/>
          <w:sz w:val="22"/>
          <w:szCs w:val="22"/>
          <w:lang w:val="en-GB"/>
        </w:rPr>
        <w:t xml:space="preserve"> (but not over </w:t>
      </w:r>
      <w:proofErr w:type="gramStart"/>
      <w:r w:rsidRPr="002B3315">
        <w:rPr>
          <w:rFonts w:ascii="Arial" w:hAnsi="Arial" w:cs="Arial"/>
          <w:color w:val="7B7B7B" w:themeColor="accent3" w:themeShade="BF"/>
          <w:sz w:val="22"/>
          <w:szCs w:val="22"/>
          <w:lang w:val="en-GB"/>
        </w:rPr>
        <w:t>any and all</w:t>
      </w:r>
      <w:proofErr w:type="gramEnd"/>
      <w:r w:rsidRPr="002B3315">
        <w:rPr>
          <w:rFonts w:ascii="Arial" w:hAnsi="Arial" w:cs="Arial"/>
          <w:color w:val="7B7B7B" w:themeColor="accent3" w:themeShade="BF"/>
          <w:sz w:val="22"/>
          <w:szCs w:val="22"/>
          <w:lang w:val="en-GB"/>
        </w:rPr>
        <w:t xml:space="preserve"> rights </w:t>
      </w:r>
      <w:proofErr w:type="spellStart"/>
      <w:r w:rsidRPr="002B3315">
        <w:rPr>
          <w:rFonts w:ascii="Arial" w:hAnsi="Arial" w:cs="Arial"/>
          <w:color w:val="7B7B7B" w:themeColor="accent3" w:themeShade="BF"/>
          <w:sz w:val="22"/>
          <w:szCs w:val="22"/>
          <w:lang w:val="en-GB"/>
        </w:rPr>
        <w:t>Firstwealth</w:t>
      </w:r>
      <w:proofErr w:type="spellEnd"/>
      <w:r w:rsidRPr="002B3315">
        <w:rPr>
          <w:rFonts w:ascii="Arial" w:hAnsi="Arial" w:cs="Arial"/>
          <w:color w:val="7B7B7B" w:themeColor="accent3" w:themeShade="BF"/>
          <w:sz w:val="22"/>
          <w:szCs w:val="22"/>
          <w:lang w:val="en-GB"/>
        </w:rPr>
        <w:t xml:space="preserve"> may have as a company’s rights are not the assets of a sole shareholder, so there is no jurisdiction</w:t>
      </w:r>
      <w:r w:rsidR="00193C5C" w:rsidRPr="002B3315">
        <w:rPr>
          <w:rFonts w:ascii="Arial" w:hAnsi="Arial" w:cs="Arial"/>
          <w:color w:val="7B7B7B" w:themeColor="accent3" w:themeShade="BF"/>
          <w:sz w:val="22"/>
          <w:szCs w:val="22"/>
          <w:lang w:val="en-GB"/>
        </w:rPr>
        <w:t xml:space="preserve"> to</w:t>
      </w:r>
      <w:r w:rsidRPr="002B3315">
        <w:rPr>
          <w:rFonts w:ascii="Arial" w:hAnsi="Arial" w:cs="Arial"/>
          <w:color w:val="7B7B7B" w:themeColor="accent3" w:themeShade="BF"/>
          <w:sz w:val="22"/>
          <w:szCs w:val="22"/>
          <w:lang w:val="en-GB"/>
        </w:rPr>
        <w:t xml:space="preserve"> appoint a receiver over those assets.)</w:t>
      </w:r>
    </w:p>
    <w:p w14:paraId="38BCFCCC" w14:textId="77777777" w:rsidR="00F921EA" w:rsidRPr="002B3315" w:rsidRDefault="00F921EA" w:rsidP="0062649B">
      <w:pPr>
        <w:jc w:val="both"/>
        <w:rPr>
          <w:rFonts w:ascii="Arial" w:hAnsi="Arial" w:cs="Arial"/>
          <w:color w:val="7B7B7B" w:themeColor="accent3" w:themeShade="BF"/>
          <w:sz w:val="22"/>
          <w:szCs w:val="22"/>
          <w:lang w:val="en-GB"/>
        </w:rPr>
      </w:pPr>
    </w:p>
    <w:p w14:paraId="094775B6" w14:textId="74D76C74" w:rsidR="00FB0E3D" w:rsidRPr="002B3315" w:rsidRDefault="00FB0E3D" w:rsidP="0062649B">
      <w:pPr>
        <w:jc w:val="both"/>
        <w:rPr>
          <w:rFonts w:ascii="Arial" w:hAnsi="Arial" w:cs="Arial"/>
          <w:color w:val="7B7B7B" w:themeColor="accent3" w:themeShade="BF"/>
          <w:sz w:val="22"/>
          <w:szCs w:val="22"/>
          <w:u w:val="single"/>
          <w:lang w:val="en-GB"/>
        </w:rPr>
      </w:pPr>
      <w:r w:rsidRPr="002B3315">
        <w:rPr>
          <w:rFonts w:ascii="Arial" w:hAnsi="Arial" w:cs="Arial"/>
          <w:color w:val="7B7B7B" w:themeColor="accent3" w:themeShade="BF"/>
          <w:sz w:val="22"/>
          <w:szCs w:val="22"/>
          <w:u w:val="single"/>
          <w:lang w:val="en-GB"/>
        </w:rPr>
        <w:t>Appointment of receiver by way of court application</w:t>
      </w:r>
    </w:p>
    <w:p w14:paraId="6873B5F6" w14:textId="4E9F6AEF" w:rsidR="009D4808" w:rsidRPr="002B3315" w:rsidRDefault="00F921EA" w:rsidP="0062649B">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Pursuant to CPR Part 51, a</w:t>
      </w:r>
      <w:r w:rsidR="0070428F" w:rsidRPr="002B3315">
        <w:rPr>
          <w:rFonts w:ascii="Arial" w:hAnsi="Arial" w:cs="Arial"/>
          <w:color w:val="7B7B7B" w:themeColor="accent3" w:themeShade="BF"/>
          <w:sz w:val="22"/>
          <w:szCs w:val="22"/>
          <w:lang w:val="en-GB"/>
        </w:rPr>
        <w:t xml:space="preserve">n application by Owed </w:t>
      </w:r>
      <w:r w:rsidR="009C66C7" w:rsidRPr="002B3315">
        <w:rPr>
          <w:rFonts w:ascii="Arial" w:hAnsi="Arial" w:cs="Arial"/>
          <w:color w:val="7B7B7B" w:themeColor="accent3" w:themeShade="BF"/>
          <w:sz w:val="22"/>
          <w:szCs w:val="22"/>
          <w:lang w:val="en-GB"/>
        </w:rPr>
        <w:t xml:space="preserve">to appoint a receiver </w:t>
      </w:r>
      <w:r w:rsidR="0070428F" w:rsidRPr="002B3315">
        <w:rPr>
          <w:rFonts w:ascii="Arial" w:hAnsi="Arial" w:cs="Arial"/>
          <w:color w:val="7B7B7B" w:themeColor="accent3" w:themeShade="BF"/>
          <w:sz w:val="22"/>
          <w:szCs w:val="22"/>
          <w:lang w:val="en-GB"/>
        </w:rPr>
        <w:t>must be supported by evidence on affidavit</w:t>
      </w:r>
      <w:r w:rsidR="003B1122" w:rsidRPr="002B3315">
        <w:rPr>
          <w:rStyle w:val="FootnoteReference"/>
          <w:rFonts w:ascii="Arial" w:hAnsi="Arial" w:cs="Arial"/>
          <w:color w:val="7B7B7B" w:themeColor="accent3" w:themeShade="BF"/>
          <w:sz w:val="22"/>
          <w:szCs w:val="22"/>
          <w:lang w:val="en-GB"/>
        </w:rPr>
        <w:footnoteReference w:id="241"/>
      </w:r>
      <w:r w:rsidR="0070428F" w:rsidRPr="002B3315">
        <w:rPr>
          <w:rFonts w:ascii="Arial" w:hAnsi="Arial" w:cs="Arial"/>
          <w:color w:val="7B7B7B" w:themeColor="accent3" w:themeShade="BF"/>
          <w:sz w:val="22"/>
          <w:szCs w:val="22"/>
          <w:lang w:val="en-GB"/>
        </w:rPr>
        <w:t xml:space="preserve">. It </w:t>
      </w:r>
      <w:r w:rsidR="004611F0" w:rsidRPr="002B3315">
        <w:rPr>
          <w:rFonts w:ascii="Arial" w:hAnsi="Arial" w:cs="Arial"/>
          <w:color w:val="7B7B7B" w:themeColor="accent3" w:themeShade="BF"/>
          <w:sz w:val="22"/>
          <w:szCs w:val="22"/>
          <w:lang w:val="en-GB"/>
        </w:rPr>
        <w:t>may be necessary</w:t>
      </w:r>
      <w:r w:rsidR="0070428F" w:rsidRPr="002B3315">
        <w:rPr>
          <w:rFonts w:ascii="Arial" w:hAnsi="Arial" w:cs="Arial"/>
          <w:color w:val="7B7B7B" w:themeColor="accent3" w:themeShade="BF"/>
          <w:sz w:val="22"/>
          <w:szCs w:val="22"/>
          <w:lang w:val="en-GB"/>
        </w:rPr>
        <w:t xml:space="preserve"> to (in the same application) apply for an injunction to restrain </w:t>
      </w:r>
      <w:proofErr w:type="spellStart"/>
      <w:r w:rsidR="0070428F" w:rsidRPr="002B3315">
        <w:rPr>
          <w:rFonts w:ascii="Arial" w:hAnsi="Arial" w:cs="Arial"/>
          <w:color w:val="7B7B7B" w:themeColor="accent3" w:themeShade="BF"/>
          <w:sz w:val="22"/>
          <w:szCs w:val="22"/>
          <w:lang w:val="en-GB"/>
        </w:rPr>
        <w:t>Subco</w:t>
      </w:r>
      <w:proofErr w:type="spellEnd"/>
      <w:r w:rsidR="0070428F" w:rsidRPr="002B3315">
        <w:rPr>
          <w:rFonts w:ascii="Arial" w:hAnsi="Arial" w:cs="Arial"/>
          <w:color w:val="7B7B7B" w:themeColor="accent3" w:themeShade="BF"/>
          <w:sz w:val="22"/>
          <w:szCs w:val="22"/>
          <w:lang w:val="en-GB"/>
        </w:rPr>
        <w:t xml:space="preserve"> (or Indebted) from assigning, charging or otherwise dealing</w:t>
      </w:r>
      <w:r w:rsidR="003B1122" w:rsidRPr="002B3315">
        <w:rPr>
          <w:rStyle w:val="FootnoteReference"/>
          <w:rFonts w:ascii="Arial" w:hAnsi="Arial" w:cs="Arial"/>
          <w:color w:val="7B7B7B" w:themeColor="accent3" w:themeShade="BF"/>
          <w:sz w:val="22"/>
          <w:szCs w:val="22"/>
          <w:lang w:val="en-GB"/>
        </w:rPr>
        <w:footnoteReference w:id="242"/>
      </w:r>
      <w:r w:rsidR="0070428F" w:rsidRPr="002B3315">
        <w:rPr>
          <w:rFonts w:ascii="Arial" w:hAnsi="Arial" w:cs="Arial"/>
          <w:color w:val="7B7B7B" w:themeColor="accent3" w:themeShade="BF"/>
          <w:sz w:val="22"/>
          <w:szCs w:val="22"/>
          <w:lang w:val="en-GB"/>
        </w:rPr>
        <w:t xml:space="preserve"> with the BVI propert</w:t>
      </w:r>
      <w:r w:rsidR="004611F0" w:rsidRPr="002B3315">
        <w:rPr>
          <w:rFonts w:ascii="Arial" w:hAnsi="Arial" w:cs="Arial"/>
          <w:color w:val="7B7B7B" w:themeColor="accent3" w:themeShade="BF"/>
          <w:sz w:val="22"/>
          <w:szCs w:val="22"/>
          <w:lang w:val="en-GB"/>
        </w:rPr>
        <w:t>ies</w:t>
      </w:r>
      <w:r w:rsidR="00561F90" w:rsidRPr="002B3315">
        <w:rPr>
          <w:rFonts w:ascii="Arial" w:hAnsi="Arial" w:cs="Arial"/>
          <w:color w:val="7B7B7B" w:themeColor="accent3" w:themeShade="BF"/>
          <w:sz w:val="22"/>
          <w:szCs w:val="22"/>
          <w:lang w:val="en-GB"/>
        </w:rPr>
        <w:t>. More information is</w:t>
      </w:r>
      <w:r w:rsidR="008F6B8D" w:rsidRPr="002B3315">
        <w:rPr>
          <w:rFonts w:ascii="Arial" w:hAnsi="Arial" w:cs="Arial"/>
          <w:color w:val="7B7B7B" w:themeColor="accent3" w:themeShade="BF"/>
          <w:sz w:val="22"/>
          <w:szCs w:val="22"/>
          <w:lang w:val="en-GB"/>
        </w:rPr>
        <w:t xml:space="preserve"> </w:t>
      </w:r>
      <w:r w:rsidR="00561F90" w:rsidRPr="002B3315">
        <w:rPr>
          <w:rFonts w:ascii="Arial" w:hAnsi="Arial" w:cs="Arial"/>
          <w:color w:val="7B7B7B" w:themeColor="accent3" w:themeShade="BF"/>
          <w:sz w:val="22"/>
          <w:szCs w:val="22"/>
          <w:lang w:val="en-GB"/>
        </w:rPr>
        <w:t xml:space="preserve">needed on the risk of dissipation of the </w:t>
      </w:r>
      <w:r w:rsidR="00193C5C" w:rsidRPr="002B3315">
        <w:rPr>
          <w:rFonts w:ascii="Arial" w:hAnsi="Arial" w:cs="Arial"/>
          <w:color w:val="7B7B7B" w:themeColor="accent3" w:themeShade="BF"/>
          <w:sz w:val="22"/>
          <w:szCs w:val="22"/>
          <w:lang w:val="en-GB"/>
        </w:rPr>
        <w:t>BVI</w:t>
      </w:r>
      <w:r w:rsidR="00561F90" w:rsidRPr="002B3315">
        <w:rPr>
          <w:rFonts w:ascii="Arial" w:hAnsi="Arial" w:cs="Arial"/>
          <w:color w:val="7B7B7B" w:themeColor="accent3" w:themeShade="BF"/>
          <w:sz w:val="22"/>
          <w:szCs w:val="22"/>
          <w:lang w:val="en-GB"/>
        </w:rPr>
        <w:t xml:space="preserve"> properties.</w:t>
      </w:r>
    </w:p>
    <w:p w14:paraId="5CD8C099" w14:textId="77777777" w:rsidR="009D4808" w:rsidRPr="002B3315" w:rsidRDefault="009D4808" w:rsidP="0062649B">
      <w:pPr>
        <w:jc w:val="both"/>
        <w:rPr>
          <w:rFonts w:ascii="Arial" w:hAnsi="Arial" w:cs="Arial"/>
          <w:color w:val="7B7B7B" w:themeColor="accent3" w:themeShade="BF"/>
          <w:sz w:val="22"/>
          <w:szCs w:val="22"/>
          <w:lang w:val="en-GB"/>
        </w:rPr>
      </w:pPr>
    </w:p>
    <w:p w14:paraId="77443627" w14:textId="04F978E2" w:rsidR="009D4808" w:rsidRPr="002B3315" w:rsidRDefault="007E2EF9" w:rsidP="009D4808">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Owed would need to satisfy the court that the usual methods of enforcing a judgment are inadequate (i.e. the defendant</w:t>
      </w:r>
      <w:r w:rsidR="00193C5C" w:rsidRPr="002B3315">
        <w:rPr>
          <w:rFonts w:ascii="Arial" w:hAnsi="Arial" w:cs="Arial"/>
          <w:color w:val="7B7B7B" w:themeColor="accent3" w:themeShade="BF"/>
          <w:sz w:val="22"/>
          <w:szCs w:val="22"/>
          <w:lang w:val="en-GB"/>
        </w:rPr>
        <w:t>/judgment debtor</w:t>
      </w:r>
      <w:r w:rsidRPr="002B3315">
        <w:rPr>
          <w:rFonts w:ascii="Arial" w:hAnsi="Arial" w:cs="Arial"/>
          <w:color w:val="7B7B7B" w:themeColor="accent3" w:themeShade="BF"/>
          <w:sz w:val="22"/>
          <w:szCs w:val="22"/>
          <w:lang w:val="en-GB"/>
        </w:rPr>
        <w:t xml:space="preserve"> Indebted only has one asset which is </w:t>
      </w:r>
      <w:proofErr w:type="spellStart"/>
      <w:r w:rsidRPr="002B3315">
        <w:rPr>
          <w:rFonts w:ascii="Arial" w:hAnsi="Arial" w:cs="Arial"/>
          <w:color w:val="7B7B7B" w:themeColor="accent3" w:themeShade="BF"/>
          <w:sz w:val="22"/>
          <w:szCs w:val="22"/>
          <w:lang w:val="en-GB"/>
        </w:rPr>
        <w:t>Subco</w:t>
      </w:r>
      <w:proofErr w:type="spellEnd"/>
      <w:r w:rsidRPr="002B3315">
        <w:rPr>
          <w:rFonts w:ascii="Arial" w:hAnsi="Arial" w:cs="Arial"/>
          <w:color w:val="7B7B7B" w:themeColor="accent3" w:themeShade="BF"/>
          <w:sz w:val="22"/>
          <w:szCs w:val="22"/>
          <w:lang w:val="en-GB"/>
        </w:rPr>
        <w:t xml:space="preserve"> who in turn </w:t>
      </w:r>
      <w:r w:rsidR="00193C5C" w:rsidRPr="002B3315">
        <w:rPr>
          <w:rFonts w:ascii="Arial" w:hAnsi="Arial" w:cs="Arial"/>
          <w:color w:val="7B7B7B" w:themeColor="accent3" w:themeShade="BF"/>
          <w:sz w:val="22"/>
          <w:szCs w:val="22"/>
          <w:lang w:val="en-GB"/>
        </w:rPr>
        <w:t>owns</w:t>
      </w:r>
      <w:r w:rsidRPr="002B3315">
        <w:rPr>
          <w:rFonts w:ascii="Arial" w:hAnsi="Arial" w:cs="Arial"/>
          <w:color w:val="7B7B7B" w:themeColor="accent3" w:themeShade="BF"/>
          <w:sz w:val="22"/>
          <w:szCs w:val="22"/>
          <w:lang w:val="en-GB"/>
        </w:rPr>
        <w:t xml:space="preserve"> </w:t>
      </w:r>
      <w:proofErr w:type="gramStart"/>
      <w:r w:rsidRPr="002B3315">
        <w:rPr>
          <w:rFonts w:ascii="Arial" w:hAnsi="Arial" w:cs="Arial"/>
          <w:color w:val="7B7B7B" w:themeColor="accent3" w:themeShade="BF"/>
          <w:sz w:val="22"/>
          <w:szCs w:val="22"/>
          <w:lang w:val="en-GB"/>
        </w:rPr>
        <w:t>a number of</w:t>
      </w:r>
      <w:proofErr w:type="gramEnd"/>
      <w:r w:rsidRPr="002B3315">
        <w:rPr>
          <w:rFonts w:ascii="Arial" w:hAnsi="Arial" w:cs="Arial"/>
          <w:color w:val="7B7B7B" w:themeColor="accent3" w:themeShade="BF"/>
          <w:sz w:val="22"/>
          <w:szCs w:val="22"/>
          <w:lang w:val="en-GB"/>
        </w:rPr>
        <w:t xml:space="preserve"> </w:t>
      </w:r>
      <w:r w:rsidR="00193C5C" w:rsidRPr="002B3315">
        <w:rPr>
          <w:rFonts w:ascii="Arial" w:hAnsi="Arial" w:cs="Arial"/>
          <w:color w:val="7B7B7B" w:themeColor="accent3" w:themeShade="BF"/>
          <w:sz w:val="22"/>
          <w:szCs w:val="22"/>
          <w:lang w:val="en-GB"/>
        </w:rPr>
        <w:t xml:space="preserve">BVI </w:t>
      </w:r>
      <w:r w:rsidRPr="002B3315">
        <w:rPr>
          <w:rFonts w:ascii="Arial" w:hAnsi="Arial" w:cs="Arial"/>
          <w:color w:val="7B7B7B" w:themeColor="accent3" w:themeShade="BF"/>
          <w:sz w:val="22"/>
          <w:szCs w:val="22"/>
          <w:lang w:val="en-GB"/>
        </w:rPr>
        <w:t xml:space="preserve">properties). </w:t>
      </w:r>
      <w:r w:rsidR="0062649B" w:rsidRPr="002B3315">
        <w:rPr>
          <w:rFonts w:ascii="Arial" w:hAnsi="Arial" w:cs="Arial"/>
          <w:color w:val="7B7B7B" w:themeColor="accent3" w:themeShade="BF"/>
          <w:sz w:val="22"/>
          <w:szCs w:val="22"/>
          <w:lang w:val="en-GB"/>
        </w:rPr>
        <w:t>The BVI court has demonstrated flexibility to appointing receivers and has showed a willingness to appoint receivers in aid of the equitable execution of judgments.</w:t>
      </w:r>
      <w:r w:rsidR="0062649B" w:rsidRPr="002B3315">
        <w:rPr>
          <w:rStyle w:val="FootnoteReference"/>
          <w:rFonts w:ascii="Arial" w:hAnsi="Arial" w:cs="Arial"/>
          <w:color w:val="7B7B7B" w:themeColor="accent3" w:themeShade="BF"/>
          <w:sz w:val="22"/>
          <w:szCs w:val="22"/>
          <w:lang w:val="en-GB"/>
        </w:rPr>
        <w:footnoteReference w:id="243"/>
      </w:r>
      <w:r w:rsidR="00DF35C0" w:rsidRPr="002B3315">
        <w:rPr>
          <w:rFonts w:ascii="Arial" w:hAnsi="Arial" w:cs="Arial"/>
          <w:color w:val="7B7B7B" w:themeColor="accent3" w:themeShade="BF"/>
          <w:sz w:val="22"/>
          <w:szCs w:val="22"/>
          <w:lang w:val="en-GB"/>
        </w:rPr>
        <w:t xml:space="preserve"> </w:t>
      </w:r>
      <w:r w:rsidR="009D4808" w:rsidRPr="002B3315">
        <w:rPr>
          <w:rFonts w:ascii="Arial" w:hAnsi="Arial" w:cs="Arial"/>
          <w:color w:val="7B7B7B" w:themeColor="accent3" w:themeShade="BF"/>
          <w:sz w:val="22"/>
          <w:szCs w:val="22"/>
          <w:lang w:val="en-GB"/>
        </w:rPr>
        <w:t>Owed will need to make an application to the court for a final order for an appointment of a</w:t>
      </w:r>
      <w:r w:rsidR="00DF35C0" w:rsidRPr="002B3315">
        <w:rPr>
          <w:rFonts w:ascii="Arial" w:hAnsi="Arial" w:cs="Arial"/>
          <w:color w:val="7B7B7B" w:themeColor="accent3" w:themeShade="BF"/>
          <w:sz w:val="22"/>
          <w:szCs w:val="22"/>
          <w:lang w:val="en-GB"/>
        </w:rPr>
        <w:t>n equitable</w:t>
      </w:r>
      <w:r w:rsidR="009D4808" w:rsidRPr="002B3315">
        <w:rPr>
          <w:rFonts w:ascii="Arial" w:hAnsi="Arial" w:cs="Arial"/>
          <w:color w:val="7B7B7B" w:themeColor="accent3" w:themeShade="BF"/>
          <w:sz w:val="22"/>
          <w:szCs w:val="22"/>
          <w:lang w:val="en-GB"/>
        </w:rPr>
        <w:t xml:space="preserve"> receive</w:t>
      </w:r>
      <w:r w:rsidR="00DF35C0" w:rsidRPr="002B3315">
        <w:rPr>
          <w:rFonts w:ascii="Arial" w:hAnsi="Arial" w:cs="Arial"/>
          <w:color w:val="7B7B7B" w:themeColor="accent3" w:themeShade="BF"/>
          <w:sz w:val="22"/>
          <w:szCs w:val="22"/>
          <w:lang w:val="en-GB"/>
        </w:rPr>
        <w:t>r</w:t>
      </w:r>
      <w:r w:rsidR="009D4808" w:rsidRPr="002B3315">
        <w:rPr>
          <w:rFonts w:ascii="Arial" w:hAnsi="Arial" w:cs="Arial"/>
          <w:color w:val="7B7B7B" w:themeColor="accent3" w:themeShade="BF"/>
          <w:sz w:val="22"/>
          <w:szCs w:val="22"/>
          <w:lang w:val="en-GB"/>
        </w:rPr>
        <w:t>.</w:t>
      </w:r>
      <w:r w:rsidR="00B31D39" w:rsidRPr="002B3315">
        <w:rPr>
          <w:rFonts w:ascii="Arial" w:hAnsi="Arial" w:cs="Arial"/>
          <w:color w:val="7B7B7B" w:themeColor="accent3" w:themeShade="BF"/>
          <w:sz w:val="22"/>
          <w:szCs w:val="22"/>
          <w:lang w:val="en-GB"/>
        </w:rPr>
        <w:t xml:space="preserve"> A final order is a form of execution in itself.</w:t>
      </w:r>
      <w:r w:rsidR="00B31D39" w:rsidRPr="002B3315">
        <w:rPr>
          <w:rStyle w:val="FootnoteReference"/>
          <w:rFonts w:ascii="Arial" w:hAnsi="Arial" w:cs="Arial"/>
          <w:color w:val="7B7B7B" w:themeColor="accent3" w:themeShade="BF"/>
          <w:sz w:val="22"/>
          <w:szCs w:val="22"/>
          <w:lang w:val="en-GB"/>
        </w:rPr>
        <w:footnoteReference w:id="244"/>
      </w:r>
      <w:r w:rsidR="009D4808" w:rsidRPr="002B3315">
        <w:rPr>
          <w:rFonts w:ascii="Arial" w:hAnsi="Arial" w:cs="Arial"/>
          <w:color w:val="7B7B7B" w:themeColor="accent3" w:themeShade="BF"/>
          <w:sz w:val="22"/>
          <w:szCs w:val="22"/>
          <w:lang w:val="en-GB"/>
        </w:rPr>
        <w:t xml:space="preserve"> As discussed by Justice Jack in </w:t>
      </w:r>
      <w:r w:rsidR="009D4808" w:rsidRPr="002B3315">
        <w:rPr>
          <w:rFonts w:ascii="Arial" w:hAnsi="Arial" w:cs="Arial"/>
          <w:i/>
          <w:iCs/>
          <w:color w:val="7B7B7B" w:themeColor="accent3" w:themeShade="BF"/>
          <w:sz w:val="22"/>
          <w:szCs w:val="22"/>
          <w:lang w:val="en-GB"/>
        </w:rPr>
        <w:t xml:space="preserve">VTB Bank (Public Joint Stock Company) v </w:t>
      </w:r>
      <w:proofErr w:type="spellStart"/>
      <w:r w:rsidR="009D4808" w:rsidRPr="002B3315">
        <w:rPr>
          <w:rFonts w:ascii="Arial" w:hAnsi="Arial" w:cs="Arial"/>
          <w:i/>
          <w:iCs/>
          <w:color w:val="7B7B7B" w:themeColor="accent3" w:themeShade="BF"/>
          <w:sz w:val="22"/>
          <w:szCs w:val="22"/>
          <w:lang w:val="en-GB"/>
        </w:rPr>
        <w:t>Miccros</w:t>
      </w:r>
      <w:proofErr w:type="spellEnd"/>
      <w:r w:rsidR="009D4808" w:rsidRPr="002B3315">
        <w:rPr>
          <w:rFonts w:ascii="Arial" w:hAnsi="Arial" w:cs="Arial"/>
          <w:i/>
          <w:iCs/>
          <w:color w:val="7B7B7B" w:themeColor="accent3" w:themeShade="BF"/>
          <w:sz w:val="22"/>
          <w:szCs w:val="22"/>
          <w:lang w:val="en-GB"/>
        </w:rPr>
        <w:t xml:space="preserve"> Group Ltd and another</w:t>
      </w:r>
      <w:r w:rsidR="009D4808" w:rsidRPr="002B3315">
        <w:rPr>
          <w:rStyle w:val="FootnoteReference"/>
          <w:rFonts w:ascii="Arial" w:hAnsi="Arial" w:cs="Arial"/>
          <w:color w:val="7B7B7B" w:themeColor="accent3" w:themeShade="BF"/>
          <w:sz w:val="22"/>
          <w:szCs w:val="22"/>
          <w:lang w:val="en-GB"/>
        </w:rPr>
        <w:footnoteReference w:id="245"/>
      </w:r>
      <w:r w:rsidR="00DF35C0" w:rsidRPr="002B3315">
        <w:rPr>
          <w:rFonts w:ascii="Arial" w:hAnsi="Arial" w:cs="Arial"/>
          <w:color w:val="7B7B7B" w:themeColor="accent3" w:themeShade="BF"/>
          <w:sz w:val="22"/>
          <w:szCs w:val="22"/>
          <w:lang w:val="en-GB"/>
        </w:rPr>
        <w:t xml:space="preserve"> (</w:t>
      </w:r>
      <w:proofErr w:type="spellStart"/>
      <w:r w:rsidR="00DF35C0" w:rsidRPr="002B3315">
        <w:rPr>
          <w:rFonts w:ascii="Arial" w:hAnsi="Arial" w:cs="Arial"/>
          <w:b/>
          <w:bCs/>
          <w:i/>
          <w:iCs/>
          <w:color w:val="7B7B7B" w:themeColor="accent3" w:themeShade="BF"/>
          <w:sz w:val="22"/>
          <w:szCs w:val="22"/>
          <w:lang w:val="en-GB"/>
        </w:rPr>
        <w:t>Miccros</w:t>
      </w:r>
      <w:proofErr w:type="spellEnd"/>
      <w:r w:rsidR="00DF35C0" w:rsidRPr="002B3315">
        <w:rPr>
          <w:rFonts w:ascii="Arial" w:hAnsi="Arial" w:cs="Arial"/>
          <w:color w:val="7B7B7B" w:themeColor="accent3" w:themeShade="BF"/>
          <w:sz w:val="22"/>
          <w:szCs w:val="22"/>
          <w:lang w:val="en-GB"/>
        </w:rPr>
        <w:t>)</w:t>
      </w:r>
      <w:r w:rsidR="009D4808" w:rsidRPr="002B3315">
        <w:rPr>
          <w:rFonts w:ascii="Arial" w:hAnsi="Arial" w:cs="Arial"/>
          <w:color w:val="7B7B7B" w:themeColor="accent3" w:themeShade="BF"/>
          <w:sz w:val="22"/>
          <w:szCs w:val="22"/>
          <w:lang w:val="en-GB"/>
        </w:rPr>
        <w:t>, the “</w:t>
      </w:r>
      <w:r w:rsidR="009D4808" w:rsidRPr="002B3315">
        <w:rPr>
          <w:rFonts w:ascii="Arial" w:hAnsi="Arial" w:cs="Arial"/>
          <w:i/>
          <w:iCs/>
          <w:color w:val="7B7B7B" w:themeColor="accent3" w:themeShade="BF"/>
          <w:sz w:val="22"/>
          <w:szCs w:val="22"/>
          <w:lang w:val="en-GB"/>
        </w:rPr>
        <w:t>judgment creditor must prove on balance of probabilities that</w:t>
      </w:r>
      <w:r w:rsidR="00DF35C0" w:rsidRPr="002B3315">
        <w:rPr>
          <w:rFonts w:ascii="Arial" w:hAnsi="Arial" w:cs="Arial"/>
          <w:color w:val="7B7B7B" w:themeColor="accent3" w:themeShade="BF"/>
          <w:sz w:val="22"/>
          <w:szCs w:val="22"/>
          <w:lang w:val="en-GB"/>
        </w:rPr>
        <w:t xml:space="preserve"> </w:t>
      </w:r>
      <w:r w:rsidR="009D4808" w:rsidRPr="002B3315">
        <w:rPr>
          <w:rFonts w:ascii="Arial" w:hAnsi="Arial" w:cs="Arial"/>
          <w:i/>
          <w:iCs/>
          <w:color w:val="7B7B7B" w:themeColor="accent3" w:themeShade="BF"/>
          <w:sz w:val="22"/>
          <w:szCs w:val="22"/>
          <w:lang w:val="en-GB"/>
        </w:rPr>
        <w:t>the asset in respect of which the receiver is appointed is owned legally or beneficially by the judgment debtor</w:t>
      </w:r>
      <w:r w:rsidR="009D4808" w:rsidRPr="002B3315">
        <w:rPr>
          <w:rFonts w:ascii="Arial" w:hAnsi="Arial" w:cs="Arial"/>
          <w:color w:val="7B7B7B" w:themeColor="accent3" w:themeShade="BF"/>
          <w:sz w:val="22"/>
          <w:szCs w:val="22"/>
          <w:lang w:val="en-GB"/>
        </w:rPr>
        <w:t>.”</w:t>
      </w:r>
      <w:r w:rsidR="009D4808" w:rsidRPr="002B3315">
        <w:rPr>
          <w:rStyle w:val="FootnoteReference"/>
          <w:rFonts w:ascii="Arial" w:hAnsi="Arial" w:cs="Arial"/>
          <w:color w:val="7B7B7B" w:themeColor="accent3" w:themeShade="BF"/>
          <w:sz w:val="22"/>
          <w:szCs w:val="22"/>
          <w:lang w:val="en-GB"/>
        </w:rPr>
        <w:footnoteReference w:id="246"/>
      </w:r>
      <w:r w:rsidR="00DF35C0" w:rsidRPr="002B3315">
        <w:rPr>
          <w:rFonts w:ascii="Arial" w:hAnsi="Arial" w:cs="Arial"/>
          <w:color w:val="7B7B7B" w:themeColor="accent3" w:themeShade="BF"/>
          <w:sz w:val="22"/>
          <w:szCs w:val="22"/>
          <w:lang w:val="en-GB"/>
        </w:rPr>
        <w:t xml:space="preserve"> Applying </w:t>
      </w:r>
      <w:proofErr w:type="spellStart"/>
      <w:r w:rsidR="00DF35C0" w:rsidRPr="002B3315">
        <w:rPr>
          <w:rFonts w:ascii="Arial" w:hAnsi="Arial" w:cs="Arial"/>
          <w:i/>
          <w:iCs/>
          <w:color w:val="7B7B7B" w:themeColor="accent3" w:themeShade="BF"/>
          <w:sz w:val="22"/>
          <w:szCs w:val="22"/>
          <w:lang w:val="en-GB"/>
        </w:rPr>
        <w:t>Miccros</w:t>
      </w:r>
      <w:proofErr w:type="spellEnd"/>
      <w:r w:rsidR="00DF35C0" w:rsidRPr="002B3315">
        <w:rPr>
          <w:rFonts w:ascii="Arial" w:hAnsi="Arial" w:cs="Arial"/>
          <w:color w:val="7B7B7B" w:themeColor="accent3" w:themeShade="BF"/>
          <w:sz w:val="22"/>
          <w:szCs w:val="22"/>
          <w:lang w:val="en-GB"/>
        </w:rPr>
        <w:t xml:space="preserve"> to </w:t>
      </w:r>
      <w:proofErr w:type="spellStart"/>
      <w:r w:rsidR="00DF35C0" w:rsidRPr="002B3315">
        <w:rPr>
          <w:rFonts w:ascii="Arial" w:hAnsi="Arial" w:cs="Arial"/>
          <w:color w:val="7B7B7B" w:themeColor="accent3" w:themeShade="BF"/>
          <w:sz w:val="22"/>
          <w:szCs w:val="22"/>
          <w:lang w:val="en-GB"/>
        </w:rPr>
        <w:t>Owed’s</w:t>
      </w:r>
      <w:proofErr w:type="spellEnd"/>
      <w:r w:rsidR="00DF35C0" w:rsidRPr="002B3315">
        <w:rPr>
          <w:rFonts w:ascii="Arial" w:hAnsi="Arial" w:cs="Arial"/>
          <w:color w:val="7B7B7B" w:themeColor="accent3" w:themeShade="BF"/>
          <w:sz w:val="22"/>
          <w:szCs w:val="22"/>
          <w:lang w:val="en-GB"/>
        </w:rPr>
        <w:t xml:space="preserve"> situation, </w:t>
      </w:r>
      <w:r w:rsidR="006A7F5F" w:rsidRPr="002B3315">
        <w:rPr>
          <w:rFonts w:ascii="Arial" w:hAnsi="Arial" w:cs="Arial"/>
          <w:color w:val="7B7B7B" w:themeColor="accent3" w:themeShade="BF"/>
          <w:sz w:val="22"/>
          <w:szCs w:val="22"/>
          <w:lang w:val="en-GB"/>
        </w:rPr>
        <w:t>t</w:t>
      </w:r>
      <w:r w:rsidR="00DF35C0" w:rsidRPr="002B3315">
        <w:rPr>
          <w:rFonts w:ascii="Arial" w:hAnsi="Arial" w:cs="Arial"/>
          <w:color w:val="7B7B7B" w:themeColor="accent3" w:themeShade="BF"/>
          <w:sz w:val="22"/>
          <w:szCs w:val="22"/>
          <w:lang w:val="en-GB"/>
        </w:rPr>
        <w:t xml:space="preserve">his should not be difficult to prove given that the fact pattern informs us that </w:t>
      </w:r>
      <w:proofErr w:type="spellStart"/>
      <w:r w:rsidR="00DF35C0" w:rsidRPr="002B3315">
        <w:rPr>
          <w:rFonts w:ascii="Arial" w:hAnsi="Arial" w:cs="Arial"/>
          <w:color w:val="7B7B7B" w:themeColor="accent3" w:themeShade="BF"/>
          <w:sz w:val="22"/>
          <w:szCs w:val="22"/>
          <w:lang w:val="en-GB"/>
        </w:rPr>
        <w:t>Subco</w:t>
      </w:r>
      <w:proofErr w:type="spellEnd"/>
      <w:r w:rsidR="00DF35C0" w:rsidRPr="002B3315">
        <w:rPr>
          <w:rFonts w:ascii="Arial" w:hAnsi="Arial" w:cs="Arial"/>
          <w:color w:val="7B7B7B" w:themeColor="accent3" w:themeShade="BF"/>
          <w:sz w:val="22"/>
          <w:szCs w:val="22"/>
          <w:lang w:val="en-GB"/>
        </w:rPr>
        <w:t xml:space="preserve"> </w:t>
      </w:r>
      <w:r w:rsidR="00193C5C" w:rsidRPr="002B3315">
        <w:rPr>
          <w:rFonts w:ascii="Arial" w:hAnsi="Arial" w:cs="Arial"/>
          <w:color w:val="7B7B7B" w:themeColor="accent3" w:themeShade="BF"/>
          <w:sz w:val="22"/>
          <w:szCs w:val="22"/>
          <w:lang w:val="en-GB"/>
        </w:rPr>
        <w:t>is</w:t>
      </w:r>
      <w:r w:rsidR="00DF35C0" w:rsidRPr="002B3315">
        <w:rPr>
          <w:rFonts w:ascii="Arial" w:hAnsi="Arial" w:cs="Arial"/>
          <w:color w:val="7B7B7B" w:themeColor="accent3" w:themeShade="BF"/>
          <w:sz w:val="22"/>
          <w:szCs w:val="22"/>
          <w:lang w:val="en-GB"/>
        </w:rPr>
        <w:t xml:space="preserve"> </w:t>
      </w:r>
      <w:r w:rsidR="00193C5C" w:rsidRPr="002B3315">
        <w:rPr>
          <w:rFonts w:ascii="Arial" w:hAnsi="Arial" w:cs="Arial"/>
          <w:color w:val="7B7B7B" w:themeColor="accent3" w:themeShade="BF"/>
          <w:sz w:val="22"/>
          <w:szCs w:val="22"/>
          <w:lang w:val="en-GB"/>
        </w:rPr>
        <w:t xml:space="preserve">a </w:t>
      </w:r>
      <w:r w:rsidR="00DF35C0" w:rsidRPr="002B3315">
        <w:rPr>
          <w:rFonts w:ascii="Arial" w:hAnsi="Arial" w:cs="Arial"/>
          <w:color w:val="7B7B7B" w:themeColor="accent3" w:themeShade="BF"/>
          <w:sz w:val="22"/>
          <w:szCs w:val="22"/>
          <w:lang w:val="en-GB"/>
        </w:rPr>
        <w:t xml:space="preserve">100% </w:t>
      </w:r>
      <w:proofErr w:type="spellStart"/>
      <w:r w:rsidR="00DF35C0" w:rsidRPr="002B3315">
        <w:rPr>
          <w:rFonts w:ascii="Arial" w:hAnsi="Arial" w:cs="Arial"/>
          <w:color w:val="7B7B7B" w:themeColor="accent3" w:themeShade="BF"/>
          <w:sz w:val="22"/>
          <w:szCs w:val="22"/>
          <w:lang w:val="en-GB"/>
        </w:rPr>
        <w:t>owed</w:t>
      </w:r>
      <w:proofErr w:type="spellEnd"/>
      <w:r w:rsidR="00DF35C0" w:rsidRPr="002B3315">
        <w:rPr>
          <w:rFonts w:ascii="Arial" w:hAnsi="Arial" w:cs="Arial"/>
          <w:color w:val="7B7B7B" w:themeColor="accent3" w:themeShade="BF"/>
          <w:sz w:val="22"/>
          <w:szCs w:val="22"/>
          <w:lang w:val="en-GB"/>
        </w:rPr>
        <w:t xml:space="preserve"> subsidiary of Indebted.</w:t>
      </w:r>
    </w:p>
    <w:p w14:paraId="2DF2BE62" w14:textId="77777777" w:rsidR="00DF35C0" w:rsidRPr="002B3315" w:rsidRDefault="00DF35C0" w:rsidP="008065CE">
      <w:pPr>
        <w:jc w:val="both"/>
        <w:rPr>
          <w:rFonts w:ascii="Arial" w:hAnsi="Arial" w:cs="Arial"/>
          <w:color w:val="7B7B7B" w:themeColor="accent3" w:themeShade="BF"/>
          <w:sz w:val="22"/>
          <w:szCs w:val="22"/>
          <w:highlight w:val="yellow"/>
          <w:lang w:val="en-GB"/>
        </w:rPr>
      </w:pPr>
    </w:p>
    <w:p w14:paraId="36593901" w14:textId="279D313B" w:rsidR="0007020D" w:rsidRPr="002B3315" w:rsidRDefault="0070428F" w:rsidP="008065CE">
      <w:pPr>
        <w:jc w:val="both"/>
        <w:rPr>
          <w:rFonts w:ascii="Arial" w:hAnsi="Arial" w:cs="Arial"/>
          <w:color w:val="7B7B7B" w:themeColor="accent3" w:themeShade="BF"/>
          <w:sz w:val="22"/>
          <w:szCs w:val="22"/>
          <w:highlight w:val="yellow"/>
          <w:lang w:val="en-GB"/>
        </w:rPr>
      </w:pPr>
      <w:r w:rsidRPr="002B3315">
        <w:rPr>
          <w:rFonts w:ascii="Arial" w:hAnsi="Arial" w:cs="Arial"/>
          <w:color w:val="7B7B7B" w:themeColor="accent3" w:themeShade="BF"/>
          <w:sz w:val="22"/>
          <w:szCs w:val="22"/>
          <w:lang w:val="en-GB"/>
        </w:rPr>
        <w:t>The court</w:t>
      </w:r>
      <w:r w:rsidR="00825EC4" w:rsidRPr="002B3315">
        <w:rPr>
          <w:rFonts w:ascii="Arial" w:hAnsi="Arial" w:cs="Arial"/>
          <w:color w:val="7B7B7B" w:themeColor="accent3" w:themeShade="BF"/>
          <w:sz w:val="22"/>
          <w:szCs w:val="22"/>
          <w:lang w:val="en-GB"/>
        </w:rPr>
        <w:t>, in its discretion to appoint a receiver to recover a judgment debt, must have regard to the amount likely to be obtained, the amount of the judgment debt and the probable cost of appointing and remunerating the receiver</w:t>
      </w:r>
      <w:r w:rsidR="003B1122" w:rsidRPr="002B3315">
        <w:rPr>
          <w:rStyle w:val="FootnoteReference"/>
          <w:rFonts w:ascii="Arial" w:hAnsi="Arial" w:cs="Arial"/>
          <w:color w:val="7B7B7B" w:themeColor="accent3" w:themeShade="BF"/>
          <w:sz w:val="22"/>
          <w:szCs w:val="22"/>
          <w:lang w:val="en-GB"/>
        </w:rPr>
        <w:footnoteReference w:id="247"/>
      </w:r>
      <w:r w:rsidR="00825EC4" w:rsidRPr="002B3315">
        <w:rPr>
          <w:rFonts w:ascii="Arial" w:hAnsi="Arial" w:cs="Arial"/>
          <w:color w:val="7B7B7B" w:themeColor="accent3" w:themeShade="BF"/>
          <w:sz w:val="22"/>
          <w:szCs w:val="22"/>
          <w:lang w:val="en-GB"/>
        </w:rPr>
        <w:t>.</w:t>
      </w:r>
      <w:r w:rsidR="00604781" w:rsidRPr="002B3315">
        <w:rPr>
          <w:rFonts w:ascii="Arial" w:hAnsi="Arial" w:cs="Arial"/>
          <w:color w:val="7B7B7B" w:themeColor="accent3" w:themeShade="BF"/>
          <w:sz w:val="22"/>
          <w:szCs w:val="22"/>
          <w:lang w:val="en-GB"/>
        </w:rPr>
        <w:t xml:space="preserve"> A court appointed receiver is an officer of the court and will have the powers set out in the order which appointed them.</w:t>
      </w:r>
      <w:r w:rsidR="00604781" w:rsidRPr="002B3315">
        <w:rPr>
          <w:rStyle w:val="FootnoteReference"/>
          <w:rFonts w:ascii="Arial" w:hAnsi="Arial" w:cs="Arial"/>
          <w:color w:val="7B7B7B" w:themeColor="accent3" w:themeShade="BF"/>
          <w:sz w:val="22"/>
          <w:szCs w:val="22"/>
          <w:lang w:val="en-GB"/>
        </w:rPr>
        <w:footnoteReference w:id="248"/>
      </w:r>
      <w:r w:rsidR="00EE1EE1" w:rsidRPr="002B3315">
        <w:rPr>
          <w:rFonts w:ascii="Arial" w:hAnsi="Arial" w:cs="Arial"/>
          <w:color w:val="7B7B7B" w:themeColor="accent3" w:themeShade="BF"/>
          <w:sz w:val="22"/>
          <w:szCs w:val="22"/>
          <w:lang w:val="en-GB"/>
        </w:rPr>
        <w:t xml:space="preserve"> A person</w:t>
      </w:r>
      <w:r w:rsidR="006E2EC9" w:rsidRPr="002B3315">
        <w:rPr>
          <w:rFonts w:ascii="Arial" w:hAnsi="Arial" w:cs="Arial"/>
          <w:color w:val="7B7B7B" w:themeColor="accent3" w:themeShade="BF"/>
          <w:sz w:val="22"/>
          <w:szCs w:val="22"/>
          <w:lang w:val="en-GB"/>
        </w:rPr>
        <w:t xml:space="preserve"> generally</w:t>
      </w:r>
      <w:r w:rsidR="00EE1EE1" w:rsidRPr="002B3315">
        <w:rPr>
          <w:rFonts w:ascii="Arial" w:hAnsi="Arial" w:cs="Arial"/>
          <w:color w:val="7B7B7B" w:themeColor="accent3" w:themeShade="BF"/>
          <w:sz w:val="22"/>
          <w:szCs w:val="22"/>
          <w:lang w:val="en-GB"/>
        </w:rPr>
        <w:t xml:space="preserve"> cannot be appointed receiver until they have given security</w:t>
      </w:r>
      <w:r w:rsidR="00AA61D4" w:rsidRPr="002B3315">
        <w:rPr>
          <w:rStyle w:val="FootnoteReference"/>
          <w:rFonts w:ascii="Arial" w:hAnsi="Arial" w:cs="Arial"/>
          <w:color w:val="7B7B7B" w:themeColor="accent3" w:themeShade="BF"/>
          <w:sz w:val="22"/>
          <w:szCs w:val="22"/>
          <w:lang w:val="en-GB"/>
        </w:rPr>
        <w:footnoteReference w:id="249"/>
      </w:r>
      <w:r w:rsidR="00AA61D4" w:rsidRPr="002B3315">
        <w:rPr>
          <w:rFonts w:ascii="Arial" w:hAnsi="Arial" w:cs="Arial"/>
          <w:color w:val="7B7B7B" w:themeColor="accent3" w:themeShade="BF"/>
          <w:sz w:val="22"/>
          <w:szCs w:val="22"/>
          <w:lang w:val="en-GB"/>
        </w:rPr>
        <w:t>. The order which appoints the receiver must state the amount of security to be given</w:t>
      </w:r>
      <w:r w:rsidR="00AA61D4" w:rsidRPr="002B3315">
        <w:rPr>
          <w:rStyle w:val="FootnoteReference"/>
          <w:rFonts w:ascii="Arial" w:hAnsi="Arial" w:cs="Arial"/>
          <w:color w:val="7B7B7B" w:themeColor="accent3" w:themeShade="BF"/>
          <w:sz w:val="22"/>
          <w:szCs w:val="22"/>
          <w:lang w:val="en-GB"/>
        </w:rPr>
        <w:footnoteReference w:id="250"/>
      </w:r>
      <w:r w:rsidR="00AA61D4" w:rsidRPr="002B3315">
        <w:rPr>
          <w:rFonts w:ascii="Arial" w:hAnsi="Arial" w:cs="Arial"/>
          <w:color w:val="7B7B7B" w:themeColor="accent3" w:themeShade="BF"/>
          <w:sz w:val="22"/>
          <w:szCs w:val="22"/>
          <w:lang w:val="en-GB"/>
        </w:rPr>
        <w:t xml:space="preserve"> and the security must be by guarantee (unless the court allows some other form of security)</w:t>
      </w:r>
      <w:r w:rsidR="00AA61D4" w:rsidRPr="002B3315">
        <w:rPr>
          <w:rStyle w:val="FootnoteReference"/>
          <w:rFonts w:ascii="Arial" w:hAnsi="Arial" w:cs="Arial"/>
          <w:color w:val="7B7B7B" w:themeColor="accent3" w:themeShade="BF"/>
          <w:sz w:val="22"/>
          <w:szCs w:val="22"/>
          <w:lang w:val="en-GB"/>
        </w:rPr>
        <w:footnoteReference w:id="251"/>
      </w:r>
      <w:r w:rsidR="00AA61D4" w:rsidRPr="002B3315">
        <w:rPr>
          <w:rFonts w:ascii="Arial" w:hAnsi="Arial" w:cs="Arial"/>
          <w:color w:val="7B7B7B" w:themeColor="accent3" w:themeShade="BF"/>
          <w:sz w:val="22"/>
          <w:szCs w:val="22"/>
          <w:lang w:val="en-GB"/>
        </w:rPr>
        <w:t>.</w:t>
      </w:r>
    </w:p>
    <w:p w14:paraId="6F563A92" w14:textId="77777777" w:rsidR="00DF35C0" w:rsidRPr="002B3315" w:rsidRDefault="00DF35C0" w:rsidP="008065CE">
      <w:pPr>
        <w:jc w:val="both"/>
        <w:rPr>
          <w:rFonts w:ascii="Arial" w:hAnsi="Arial" w:cs="Arial"/>
          <w:color w:val="7B7B7B" w:themeColor="accent3" w:themeShade="BF"/>
          <w:sz w:val="22"/>
          <w:szCs w:val="22"/>
          <w:lang w:val="en-GB"/>
        </w:rPr>
      </w:pPr>
    </w:p>
    <w:p w14:paraId="4E23A34C" w14:textId="24C60D3E" w:rsidR="007F2F0C" w:rsidRPr="002B3315" w:rsidRDefault="00DF35C0" w:rsidP="008065CE">
      <w:pPr>
        <w:jc w:val="both"/>
        <w:rPr>
          <w:rFonts w:ascii="Arial" w:hAnsi="Arial" w:cs="Arial"/>
          <w:color w:val="7B7B7B" w:themeColor="accent3" w:themeShade="BF"/>
          <w:sz w:val="22"/>
          <w:szCs w:val="22"/>
          <w:u w:val="single"/>
          <w:lang w:val="en-GB"/>
        </w:rPr>
      </w:pPr>
      <w:r w:rsidRPr="002B3315">
        <w:rPr>
          <w:rFonts w:ascii="Arial" w:hAnsi="Arial" w:cs="Arial"/>
          <w:color w:val="7B7B7B" w:themeColor="accent3" w:themeShade="BF"/>
          <w:sz w:val="22"/>
          <w:szCs w:val="22"/>
          <w:u w:val="single"/>
          <w:lang w:val="en-GB"/>
        </w:rPr>
        <w:t>Receiver’s options</w:t>
      </w:r>
    </w:p>
    <w:p w14:paraId="22C6EEFC" w14:textId="0E73D909" w:rsidR="007F2F0C" w:rsidRPr="002B3315" w:rsidRDefault="00DF35C0" w:rsidP="00C7574D">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Assuming an equitable receiver is appointed over the shares of </w:t>
      </w:r>
      <w:proofErr w:type="spellStart"/>
      <w:r w:rsidRPr="002B3315">
        <w:rPr>
          <w:rFonts w:ascii="Arial" w:hAnsi="Arial" w:cs="Arial"/>
          <w:color w:val="7B7B7B" w:themeColor="accent3" w:themeShade="BF"/>
          <w:sz w:val="22"/>
          <w:szCs w:val="22"/>
          <w:lang w:val="en-GB"/>
        </w:rPr>
        <w:t>Subco</w:t>
      </w:r>
      <w:proofErr w:type="spellEnd"/>
      <w:r w:rsidRPr="002B3315">
        <w:rPr>
          <w:rFonts w:ascii="Arial" w:hAnsi="Arial" w:cs="Arial"/>
          <w:color w:val="7B7B7B" w:themeColor="accent3" w:themeShade="BF"/>
          <w:sz w:val="22"/>
          <w:szCs w:val="22"/>
          <w:lang w:val="en-GB"/>
        </w:rPr>
        <w:t xml:space="preserve">, the final step for Owed </w:t>
      </w:r>
      <w:r w:rsidR="00C7574D" w:rsidRPr="002B3315">
        <w:rPr>
          <w:rFonts w:ascii="Arial" w:hAnsi="Arial" w:cs="Arial"/>
          <w:color w:val="7B7B7B" w:themeColor="accent3" w:themeShade="BF"/>
          <w:sz w:val="22"/>
          <w:szCs w:val="22"/>
          <w:lang w:val="en-GB"/>
        </w:rPr>
        <w:t xml:space="preserve">(applying </w:t>
      </w:r>
      <w:r w:rsidR="00F307F4" w:rsidRPr="002B3315">
        <w:rPr>
          <w:rFonts w:ascii="Arial" w:hAnsi="Arial" w:cs="Arial"/>
          <w:i/>
          <w:iCs/>
          <w:color w:val="7B7B7B" w:themeColor="accent3" w:themeShade="BF"/>
          <w:sz w:val="22"/>
          <w:szCs w:val="22"/>
          <w:lang w:val="en-GB"/>
        </w:rPr>
        <w:t>Xing Libin</w:t>
      </w:r>
      <w:r w:rsidR="00C7574D" w:rsidRPr="002B3315">
        <w:rPr>
          <w:rFonts w:ascii="Arial" w:hAnsi="Arial" w:cs="Arial"/>
          <w:color w:val="7B7B7B" w:themeColor="accent3" w:themeShade="BF"/>
          <w:sz w:val="22"/>
          <w:szCs w:val="22"/>
          <w:lang w:val="en-GB"/>
        </w:rPr>
        <w:t xml:space="preserve">) </w:t>
      </w:r>
      <w:r w:rsidRPr="002B3315">
        <w:rPr>
          <w:rFonts w:ascii="Arial" w:hAnsi="Arial" w:cs="Arial"/>
          <w:color w:val="7B7B7B" w:themeColor="accent3" w:themeShade="BF"/>
          <w:sz w:val="22"/>
          <w:szCs w:val="22"/>
          <w:lang w:val="en-GB"/>
        </w:rPr>
        <w:t xml:space="preserve">to recover </w:t>
      </w:r>
      <w:r w:rsidR="00C7574D" w:rsidRPr="002B3315">
        <w:rPr>
          <w:rFonts w:ascii="Arial" w:hAnsi="Arial" w:cs="Arial"/>
          <w:color w:val="7B7B7B" w:themeColor="accent3" w:themeShade="BF"/>
          <w:sz w:val="22"/>
          <w:szCs w:val="22"/>
          <w:lang w:val="en-GB"/>
        </w:rPr>
        <w:t>the judgment debt is for the receiver to either:</w:t>
      </w:r>
    </w:p>
    <w:p w14:paraId="0647ED28" w14:textId="20375813" w:rsidR="00C7574D" w:rsidRPr="002B3315" w:rsidRDefault="00C7574D" w:rsidP="00DF0CBE">
      <w:pPr>
        <w:pStyle w:val="ListParagraph"/>
        <w:numPr>
          <w:ilvl w:val="7"/>
          <w:numId w:val="21"/>
        </w:numPr>
        <w:ind w:left="714" w:hanging="357"/>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use his powers as receiver to replace </w:t>
      </w:r>
      <w:proofErr w:type="spellStart"/>
      <w:r w:rsidRPr="002B3315">
        <w:rPr>
          <w:rFonts w:ascii="Arial" w:hAnsi="Arial" w:cs="Arial"/>
          <w:color w:val="7B7B7B" w:themeColor="accent3" w:themeShade="BF"/>
          <w:sz w:val="22"/>
          <w:szCs w:val="22"/>
          <w:lang w:val="en-GB"/>
        </w:rPr>
        <w:t>Subco’s</w:t>
      </w:r>
      <w:proofErr w:type="spellEnd"/>
      <w:r w:rsidRPr="002B3315">
        <w:rPr>
          <w:rFonts w:ascii="Arial" w:hAnsi="Arial" w:cs="Arial"/>
          <w:color w:val="7B7B7B" w:themeColor="accent3" w:themeShade="BF"/>
          <w:sz w:val="22"/>
          <w:szCs w:val="22"/>
          <w:lang w:val="en-GB"/>
        </w:rPr>
        <w:t xml:space="preserve"> existing director(s) with new director(s), for example, himself, and use his power as a director to convert </w:t>
      </w:r>
      <w:proofErr w:type="spellStart"/>
      <w:r w:rsidRPr="002B3315">
        <w:rPr>
          <w:rFonts w:ascii="Arial" w:hAnsi="Arial" w:cs="Arial"/>
          <w:color w:val="7B7B7B" w:themeColor="accent3" w:themeShade="BF"/>
          <w:sz w:val="22"/>
          <w:szCs w:val="22"/>
          <w:lang w:val="en-GB"/>
        </w:rPr>
        <w:t>Subco’s</w:t>
      </w:r>
      <w:proofErr w:type="spellEnd"/>
      <w:r w:rsidRPr="002B3315">
        <w:rPr>
          <w:rFonts w:ascii="Arial" w:hAnsi="Arial" w:cs="Arial"/>
          <w:color w:val="7B7B7B" w:themeColor="accent3" w:themeShade="BF"/>
          <w:sz w:val="22"/>
          <w:szCs w:val="22"/>
          <w:lang w:val="en-GB"/>
        </w:rPr>
        <w:t xml:space="preserve"> assets into money; or</w:t>
      </w:r>
    </w:p>
    <w:p w14:paraId="47D5C7CF" w14:textId="5E0DBBC2" w:rsidR="00C7574D" w:rsidRPr="002B3315" w:rsidRDefault="00C7574D" w:rsidP="00DF0CBE">
      <w:pPr>
        <w:pStyle w:val="ListParagraph"/>
        <w:numPr>
          <w:ilvl w:val="7"/>
          <w:numId w:val="21"/>
        </w:numPr>
        <w:ind w:left="714" w:hanging="357"/>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place </w:t>
      </w:r>
      <w:proofErr w:type="spellStart"/>
      <w:r w:rsidRPr="002B3315">
        <w:rPr>
          <w:rFonts w:ascii="Arial" w:hAnsi="Arial" w:cs="Arial"/>
          <w:color w:val="7B7B7B" w:themeColor="accent3" w:themeShade="BF"/>
          <w:sz w:val="22"/>
          <w:szCs w:val="22"/>
          <w:lang w:val="en-GB"/>
        </w:rPr>
        <w:t>Subco</w:t>
      </w:r>
      <w:proofErr w:type="spellEnd"/>
      <w:r w:rsidRPr="002B3315">
        <w:rPr>
          <w:rFonts w:ascii="Arial" w:hAnsi="Arial" w:cs="Arial"/>
          <w:color w:val="7B7B7B" w:themeColor="accent3" w:themeShade="BF"/>
          <w:sz w:val="22"/>
          <w:szCs w:val="22"/>
          <w:lang w:val="en-GB"/>
        </w:rPr>
        <w:t xml:space="preserve"> into voluntary liquidation.</w:t>
      </w:r>
    </w:p>
    <w:p w14:paraId="500EDA93" w14:textId="77777777" w:rsidR="00C7574D" w:rsidRPr="002B3315" w:rsidRDefault="00C7574D" w:rsidP="00C7574D">
      <w:pPr>
        <w:jc w:val="both"/>
        <w:rPr>
          <w:rFonts w:ascii="Arial" w:hAnsi="Arial" w:cs="Arial"/>
          <w:color w:val="7B7B7B" w:themeColor="accent3" w:themeShade="BF"/>
          <w:sz w:val="22"/>
          <w:szCs w:val="22"/>
          <w:lang w:val="en-GB"/>
        </w:rPr>
      </w:pPr>
    </w:p>
    <w:p w14:paraId="399DD301" w14:textId="1AED503E" w:rsidR="00F335DA" w:rsidRPr="002B3315" w:rsidRDefault="003F66E4" w:rsidP="008065CE">
      <w:pPr>
        <w:jc w:val="both"/>
        <w:rPr>
          <w:rFonts w:ascii="Arial" w:hAnsi="Arial" w:cs="Arial"/>
          <w:color w:val="7B7B7B" w:themeColor="accent3" w:themeShade="BF"/>
          <w:sz w:val="22"/>
          <w:szCs w:val="22"/>
          <w:lang w:val="en-GB"/>
        </w:rPr>
      </w:pPr>
      <w:r w:rsidRPr="002B3315">
        <w:rPr>
          <w:rFonts w:ascii="Arial" w:hAnsi="Arial" w:cs="Arial"/>
          <w:color w:val="7B7B7B" w:themeColor="accent3" w:themeShade="BF"/>
          <w:sz w:val="22"/>
          <w:szCs w:val="22"/>
          <w:lang w:val="en-GB"/>
        </w:rPr>
        <w:t xml:space="preserve">In the event of </w:t>
      </w:r>
      <w:proofErr w:type="spellStart"/>
      <w:r w:rsidRPr="002B3315">
        <w:rPr>
          <w:rFonts w:ascii="Arial" w:hAnsi="Arial" w:cs="Arial"/>
          <w:color w:val="7B7B7B" w:themeColor="accent3" w:themeShade="BF"/>
          <w:sz w:val="22"/>
          <w:szCs w:val="22"/>
          <w:lang w:val="en-GB"/>
        </w:rPr>
        <w:t>Subco’s</w:t>
      </w:r>
      <w:proofErr w:type="spellEnd"/>
      <w:r w:rsidRPr="002B3315">
        <w:rPr>
          <w:rFonts w:ascii="Arial" w:hAnsi="Arial" w:cs="Arial"/>
          <w:color w:val="7B7B7B" w:themeColor="accent3" w:themeShade="BF"/>
          <w:sz w:val="22"/>
          <w:szCs w:val="22"/>
          <w:lang w:val="en-GB"/>
        </w:rPr>
        <w:t xml:space="preserve"> liquidation, </w:t>
      </w:r>
      <w:proofErr w:type="spellStart"/>
      <w:r w:rsidR="00063F5B" w:rsidRPr="002B3315">
        <w:rPr>
          <w:rFonts w:ascii="Arial" w:hAnsi="Arial" w:cs="Arial"/>
          <w:color w:val="7B7B7B" w:themeColor="accent3" w:themeShade="BF"/>
          <w:sz w:val="22"/>
          <w:szCs w:val="22"/>
          <w:lang w:val="en-GB"/>
        </w:rPr>
        <w:t>Subco</w:t>
      </w:r>
      <w:r w:rsidR="005F1542" w:rsidRPr="002B3315">
        <w:rPr>
          <w:rFonts w:ascii="Arial" w:hAnsi="Arial" w:cs="Arial"/>
          <w:color w:val="7B7B7B" w:themeColor="accent3" w:themeShade="BF"/>
          <w:sz w:val="22"/>
          <w:szCs w:val="22"/>
          <w:lang w:val="en-GB"/>
        </w:rPr>
        <w:t>’s</w:t>
      </w:r>
      <w:proofErr w:type="spellEnd"/>
      <w:r w:rsidR="005F1542" w:rsidRPr="002B3315">
        <w:rPr>
          <w:rFonts w:ascii="Arial" w:hAnsi="Arial" w:cs="Arial"/>
          <w:color w:val="7B7B7B" w:themeColor="accent3" w:themeShade="BF"/>
          <w:sz w:val="22"/>
          <w:szCs w:val="22"/>
          <w:lang w:val="en-GB"/>
        </w:rPr>
        <w:t xml:space="preserve"> assets</w:t>
      </w:r>
      <w:r w:rsidR="00063F5B" w:rsidRPr="002B3315">
        <w:rPr>
          <w:rFonts w:ascii="Arial" w:hAnsi="Arial" w:cs="Arial"/>
          <w:color w:val="7B7B7B" w:themeColor="accent3" w:themeShade="BF"/>
          <w:sz w:val="22"/>
          <w:szCs w:val="22"/>
          <w:lang w:val="en-GB"/>
        </w:rPr>
        <w:t xml:space="preserve"> (i.e. the unencumbered BVI properties) </w:t>
      </w:r>
      <w:r w:rsidR="003E4587" w:rsidRPr="002B3315">
        <w:rPr>
          <w:rFonts w:ascii="Arial" w:hAnsi="Arial" w:cs="Arial"/>
          <w:color w:val="7B7B7B" w:themeColor="accent3" w:themeShade="BF"/>
          <w:sz w:val="22"/>
          <w:szCs w:val="22"/>
          <w:lang w:val="en-GB"/>
        </w:rPr>
        <w:t xml:space="preserve">are to be distributed as per section 207(1) of the </w:t>
      </w:r>
      <w:r w:rsidR="005A1557" w:rsidRPr="002B3315">
        <w:rPr>
          <w:rFonts w:ascii="Arial" w:hAnsi="Arial" w:cs="Arial"/>
          <w:color w:val="7B7B7B" w:themeColor="accent3" w:themeShade="BF"/>
          <w:sz w:val="22"/>
          <w:szCs w:val="22"/>
          <w:lang w:val="en-GB"/>
        </w:rPr>
        <w:t>Insolvency</w:t>
      </w:r>
      <w:r w:rsidR="003E4587" w:rsidRPr="002B3315">
        <w:rPr>
          <w:rFonts w:ascii="Arial" w:hAnsi="Arial" w:cs="Arial"/>
          <w:color w:val="7B7B7B" w:themeColor="accent3" w:themeShade="BF"/>
          <w:sz w:val="22"/>
          <w:szCs w:val="22"/>
          <w:lang w:val="en-GB"/>
        </w:rPr>
        <w:t xml:space="preserve"> Act</w:t>
      </w:r>
      <w:r w:rsidR="00896328" w:rsidRPr="002B3315">
        <w:rPr>
          <w:rFonts w:ascii="Arial" w:hAnsi="Arial" w:cs="Arial"/>
          <w:color w:val="7B7B7B" w:themeColor="accent3" w:themeShade="BF"/>
          <w:sz w:val="22"/>
          <w:szCs w:val="22"/>
          <w:lang w:val="en-GB"/>
        </w:rPr>
        <w:t xml:space="preserve"> 2003</w:t>
      </w:r>
      <w:r w:rsidR="003E4587" w:rsidRPr="002B3315">
        <w:rPr>
          <w:rFonts w:ascii="Arial" w:hAnsi="Arial" w:cs="Arial"/>
          <w:color w:val="7B7B7B" w:themeColor="accent3" w:themeShade="BF"/>
          <w:sz w:val="22"/>
          <w:szCs w:val="22"/>
          <w:lang w:val="en-GB"/>
        </w:rPr>
        <w:t xml:space="preserve">. This would mean that </w:t>
      </w:r>
      <w:proofErr w:type="spellStart"/>
      <w:r w:rsidR="003E4587" w:rsidRPr="002B3315">
        <w:rPr>
          <w:rFonts w:ascii="Arial" w:hAnsi="Arial" w:cs="Arial"/>
          <w:color w:val="7B7B7B" w:themeColor="accent3" w:themeShade="BF"/>
          <w:sz w:val="22"/>
          <w:szCs w:val="22"/>
          <w:lang w:val="en-GB"/>
        </w:rPr>
        <w:t>Subco’s</w:t>
      </w:r>
      <w:proofErr w:type="spellEnd"/>
      <w:r w:rsidR="003E4587" w:rsidRPr="002B3315">
        <w:rPr>
          <w:rFonts w:ascii="Arial" w:hAnsi="Arial" w:cs="Arial"/>
          <w:color w:val="7B7B7B" w:themeColor="accent3" w:themeShade="BF"/>
          <w:sz w:val="22"/>
          <w:szCs w:val="22"/>
          <w:lang w:val="en-GB"/>
        </w:rPr>
        <w:t xml:space="preserve"> </w:t>
      </w:r>
      <w:r w:rsidR="005F1542" w:rsidRPr="002B3315">
        <w:rPr>
          <w:rFonts w:ascii="Arial" w:hAnsi="Arial" w:cs="Arial"/>
          <w:color w:val="7B7B7B" w:themeColor="accent3" w:themeShade="BF"/>
          <w:sz w:val="22"/>
          <w:szCs w:val="22"/>
          <w:lang w:val="en-GB"/>
        </w:rPr>
        <w:t xml:space="preserve">preferential </w:t>
      </w:r>
      <w:r w:rsidR="003E4587" w:rsidRPr="002B3315">
        <w:rPr>
          <w:rFonts w:ascii="Arial" w:hAnsi="Arial" w:cs="Arial"/>
          <w:color w:val="7B7B7B" w:themeColor="accent3" w:themeShade="BF"/>
          <w:sz w:val="22"/>
          <w:szCs w:val="22"/>
          <w:lang w:val="en-GB"/>
        </w:rPr>
        <w:t>creditors will be paid before the English Judgment amount is recovered.</w:t>
      </w:r>
    </w:p>
    <w:p w14:paraId="34A1F2C0" w14:textId="77777777" w:rsidR="00F335DA" w:rsidRPr="005965BF" w:rsidRDefault="00F335DA" w:rsidP="008065CE">
      <w:pPr>
        <w:jc w:val="both"/>
        <w:rPr>
          <w:rFonts w:ascii="Avenir Next" w:hAnsi="Avenir Next" w:cs="Arial"/>
          <w:color w:val="000000" w:themeColor="text1"/>
          <w:sz w:val="22"/>
          <w:szCs w:val="22"/>
          <w:lang w:val="en-GB"/>
        </w:rPr>
      </w:pPr>
    </w:p>
    <w:p w14:paraId="7A206F98" w14:textId="1BA5AEDA" w:rsidR="001973D9" w:rsidRPr="005F1542" w:rsidRDefault="00C606C3" w:rsidP="005F1542">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sectPr w:rsidR="001973D9" w:rsidRPr="005F1542" w:rsidSect="00A3078F">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7429C" w14:textId="77777777" w:rsidR="001E26F8" w:rsidRDefault="001E26F8" w:rsidP="00241B44">
      <w:r>
        <w:separator/>
      </w:r>
    </w:p>
  </w:endnote>
  <w:endnote w:type="continuationSeparator" w:id="0">
    <w:p w14:paraId="474CE88A" w14:textId="77777777" w:rsidR="001E26F8" w:rsidRDefault="001E26F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3EA3CD76" w:rsidR="00241FA3" w:rsidRPr="00B24DB4" w:rsidRDefault="0062385D" w:rsidP="009B4976">
    <w:pPr>
      <w:pStyle w:val="Footer"/>
      <w:ind w:right="360"/>
      <w:rPr>
        <w:rFonts w:ascii="Avenir Next" w:hAnsi="Avenir Next" w:cs="Arial"/>
        <w:sz w:val="22"/>
        <w:szCs w:val="22"/>
        <w:lang w:val="en-GB"/>
      </w:rPr>
    </w:pPr>
    <w:r w:rsidRPr="0062385D">
      <w:rPr>
        <w:rFonts w:ascii="Avenir Next" w:hAnsi="Avenir Next" w:cs="Arial"/>
        <w:sz w:val="22"/>
        <w:szCs w:val="22"/>
        <w:lang w:val="en-GB"/>
      </w:rPr>
      <w:t>202324-1433</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05A2C" w14:textId="77777777" w:rsidR="001E26F8" w:rsidRDefault="001E26F8" w:rsidP="00241B44">
      <w:r>
        <w:separator/>
      </w:r>
    </w:p>
  </w:footnote>
  <w:footnote w:type="continuationSeparator" w:id="0">
    <w:p w14:paraId="43486890" w14:textId="77777777" w:rsidR="001E26F8" w:rsidRDefault="001E26F8" w:rsidP="00241B44">
      <w:r>
        <w:continuationSeparator/>
      </w:r>
    </w:p>
  </w:footnote>
  <w:footnote w:id="1">
    <w:p w14:paraId="5C85B005" w14:textId="055151E9" w:rsidR="009A6FA2" w:rsidRPr="009D4E2C" w:rsidRDefault="009A6FA2" w:rsidP="009D4E2C">
      <w:pPr>
        <w:jc w:val="both"/>
        <w:rPr>
          <w:rFonts w:ascii="Arial" w:hAnsi="Arial" w:cs="Arial"/>
          <w:color w:val="7B7B7B" w:themeColor="accent3" w:themeShade="BF"/>
          <w:sz w:val="16"/>
          <w:szCs w:val="16"/>
          <w:lang w:val="en-GB"/>
        </w:rPr>
      </w:pPr>
      <w:r w:rsidRPr="009D4E2C">
        <w:rPr>
          <w:rStyle w:val="FootnoteReference"/>
          <w:rFonts w:ascii="Arial" w:hAnsi="Arial" w:cs="Arial"/>
          <w:sz w:val="16"/>
          <w:szCs w:val="16"/>
        </w:rPr>
        <w:footnoteRef/>
      </w:r>
      <w:r w:rsidRPr="009D4E2C">
        <w:rPr>
          <w:rFonts w:ascii="Arial" w:hAnsi="Arial" w:cs="Arial"/>
          <w:sz w:val="16"/>
          <w:szCs w:val="16"/>
        </w:rPr>
        <w:t xml:space="preserve"> </w:t>
      </w:r>
      <w:r w:rsidRPr="009D4E2C">
        <w:rPr>
          <w:rFonts w:ascii="Arial" w:hAnsi="Arial" w:cs="Arial"/>
          <w:color w:val="808080" w:themeColor="background1" w:themeShade="80"/>
          <w:sz w:val="16"/>
          <w:szCs w:val="16"/>
          <w:lang w:val="en-GB"/>
        </w:rPr>
        <w:t>Charlotte Walker,</w:t>
      </w:r>
      <w:r w:rsidRPr="009D4E2C">
        <w:rPr>
          <w:rFonts w:ascii="Arial" w:hAnsi="Arial" w:cs="Arial"/>
          <w:color w:val="808080" w:themeColor="background1" w:themeShade="80"/>
          <w:sz w:val="16"/>
          <w:szCs w:val="16"/>
        </w:rPr>
        <w:t xml:space="preserve"> text updated for 2022/2023 and 2023/2024 by Janet Watson,</w:t>
      </w:r>
      <w:r w:rsidRPr="009D4E2C">
        <w:rPr>
          <w:rFonts w:ascii="Arial" w:hAnsi="Arial" w:cs="Arial"/>
          <w:color w:val="808080" w:themeColor="background1" w:themeShade="80"/>
          <w:sz w:val="16"/>
          <w:szCs w:val="16"/>
          <w:lang w:val="en-GB"/>
        </w:rPr>
        <w:t xml:space="preserve"> “INSOL International, Foundation Certificate in International Insolvency Law, Module 5B Guidance Text, British Virgin Islands, 2023/2024”, p </w:t>
      </w:r>
      <w:r w:rsidR="0009498F">
        <w:rPr>
          <w:rFonts w:ascii="Arial" w:hAnsi="Arial" w:cs="Arial"/>
          <w:color w:val="808080" w:themeColor="background1" w:themeShade="80"/>
          <w:sz w:val="16"/>
          <w:szCs w:val="16"/>
          <w:lang w:val="en-GB"/>
        </w:rPr>
        <w:t>14</w:t>
      </w:r>
    </w:p>
  </w:footnote>
  <w:footnote w:id="2">
    <w:p w14:paraId="38299E88" w14:textId="4F41FBA6" w:rsidR="00847A31" w:rsidRPr="009D4E2C" w:rsidRDefault="00847A31" w:rsidP="009D4E2C">
      <w:pPr>
        <w:pStyle w:val="FootnoteText"/>
        <w:jc w:val="both"/>
        <w:rPr>
          <w:rFonts w:ascii="Arial" w:hAnsi="Arial" w:cs="Arial"/>
          <w:sz w:val="16"/>
          <w:szCs w:val="16"/>
          <w:lang w:val="en-GB"/>
        </w:rPr>
      </w:pPr>
      <w:r w:rsidRPr="009D4E2C">
        <w:rPr>
          <w:rStyle w:val="FootnoteReference"/>
          <w:rFonts w:ascii="Arial" w:hAnsi="Arial" w:cs="Arial"/>
          <w:sz w:val="16"/>
          <w:szCs w:val="16"/>
        </w:rPr>
        <w:footnoteRef/>
      </w:r>
      <w:r w:rsidRPr="009D4E2C">
        <w:rPr>
          <w:rFonts w:ascii="Arial" w:hAnsi="Arial" w:cs="Arial"/>
          <w:sz w:val="16"/>
          <w:szCs w:val="16"/>
        </w:rPr>
        <w:t xml:space="preserve"> </w:t>
      </w:r>
      <w:r w:rsidR="00DA0889" w:rsidRPr="009D4E2C">
        <w:rPr>
          <w:rFonts w:ascii="Arial" w:hAnsi="Arial" w:cs="Arial"/>
          <w:color w:val="7B7B7B" w:themeColor="accent3" w:themeShade="BF"/>
          <w:sz w:val="16"/>
          <w:szCs w:val="16"/>
          <w:lang w:val="en-GB"/>
        </w:rPr>
        <w:t>Insolvency Act 2003, s</w:t>
      </w:r>
      <w:r w:rsidRPr="009D4E2C">
        <w:rPr>
          <w:rFonts w:ascii="Arial" w:hAnsi="Arial" w:cs="Arial"/>
          <w:color w:val="7B7B7B" w:themeColor="accent3" w:themeShade="BF"/>
          <w:sz w:val="16"/>
          <w:szCs w:val="16"/>
          <w:lang w:val="en-GB"/>
        </w:rPr>
        <w:t>ection 2</w:t>
      </w:r>
    </w:p>
  </w:footnote>
  <w:footnote w:id="3">
    <w:p w14:paraId="3E7AB4E1" w14:textId="6D268C6D" w:rsidR="00EA5235" w:rsidRPr="009D4E2C" w:rsidRDefault="00EA5235" w:rsidP="009D4E2C">
      <w:pPr>
        <w:pStyle w:val="FootnoteText"/>
        <w:jc w:val="both"/>
        <w:rPr>
          <w:rFonts w:ascii="Arial" w:hAnsi="Arial" w:cs="Arial"/>
          <w:sz w:val="16"/>
          <w:szCs w:val="16"/>
          <w:highlight w:val="yellow"/>
          <w:lang w:val="en-GB"/>
        </w:rPr>
      </w:pPr>
      <w:r w:rsidRPr="009D4E2C">
        <w:rPr>
          <w:rStyle w:val="FootnoteReference"/>
          <w:rFonts w:ascii="Arial" w:hAnsi="Arial" w:cs="Arial"/>
          <w:sz w:val="16"/>
          <w:szCs w:val="16"/>
        </w:rPr>
        <w:footnoteRef/>
      </w:r>
      <w:r w:rsidRPr="009D4E2C">
        <w:rPr>
          <w:rFonts w:ascii="Arial" w:hAnsi="Arial" w:cs="Arial"/>
          <w:sz w:val="16"/>
          <w:szCs w:val="16"/>
        </w:rPr>
        <w:t xml:space="preserve"> </w:t>
      </w:r>
      <w:r w:rsidR="00DA0889" w:rsidRPr="009D4E2C">
        <w:rPr>
          <w:rFonts w:ascii="Arial" w:hAnsi="Arial" w:cs="Arial"/>
          <w:color w:val="7B7B7B" w:themeColor="accent3" w:themeShade="BF"/>
          <w:sz w:val="16"/>
          <w:szCs w:val="16"/>
          <w:lang w:val="en-GB"/>
        </w:rPr>
        <w:t>Ibid., s</w:t>
      </w:r>
      <w:r w:rsidRPr="009D4E2C">
        <w:rPr>
          <w:rFonts w:ascii="Arial" w:hAnsi="Arial" w:cs="Arial"/>
          <w:color w:val="7B7B7B" w:themeColor="accent3" w:themeShade="BF"/>
          <w:sz w:val="16"/>
          <w:szCs w:val="16"/>
          <w:lang w:val="en-GB"/>
        </w:rPr>
        <w:t>ection 482(1)(a)</w:t>
      </w:r>
    </w:p>
  </w:footnote>
  <w:footnote w:id="4">
    <w:p w14:paraId="213EC73A" w14:textId="6A63F195" w:rsidR="00EA5235" w:rsidRPr="009D4E2C" w:rsidRDefault="00EA5235" w:rsidP="009D4E2C">
      <w:pPr>
        <w:pStyle w:val="FootnoteText"/>
        <w:jc w:val="both"/>
        <w:rPr>
          <w:rFonts w:ascii="Arial" w:hAnsi="Arial" w:cs="Arial"/>
          <w:sz w:val="16"/>
          <w:szCs w:val="16"/>
          <w:highlight w:val="yellow"/>
          <w:lang w:val="en-GB"/>
        </w:rPr>
      </w:pPr>
      <w:r w:rsidRPr="009D4E2C">
        <w:rPr>
          <w:rStyle w:val="FootnoteReference"/>
          <w:rFonts w:ascii="Arial" w:hAnsi="Arial" w:cs="Arial"/>
          <w:sz w:val="16"/>
          <w:szCs w:val="16"/>
        </w:rPr>
        <w:footnoteRef/>
      </w:r>
      <w:r w:rsidRPr="009D4E2C">
        <w:rPr>
          <w:rFonts w:ascii="Arial" w:hAnsi="Arial" w:cs="Arial"/>
          <w:sz w:val="16"/>
          <w:szCs w:val="16"/>
        </w:rPr>
        <w:t xml:space="preserve"> </w:t>
      </w:r>
      <w:r w:rsidR="00DA0889" w:rsidRPr="009D4E2C">
        <w:rPr>
          <w:rFonts w:ascii="Arial" w:hAnsi="Arial" w:cs="Arial"/>
          <w:color w:val="7B7B7B" w:themeColor="accent3" w:themeShade="BF"/>
          <w:sz w:val="16"/>
          <w:szCs w:val="16"/>
          <w:lang w:val="en-GB"/>
        </w:rPr>
        <w:t>Ibid., s</w:t>
      </w:r>
      <w:r w:rsidRPr="009D4E2C">
        <w:rPr>
          <w:rFonts w:ascii="Arial" w:hAnsi="Arial" w:cs="Arial"/>
          <w:color w:val="7B7B7B" w:themeColor="accent3" w:themeShade="BF"/>
          <w:sz w:val="16"/>
          <w:szCs w:val="16"/>
          <w:lang w:val="en-GB"/>
        </w:rPr>
        <w:t>ection 482(1)(b)</w:t>
      </w:r>
    </w:p>
  </w:footnote>
  <w:footnote w:id="5">
    <w:p w14:paraId="607DD17D" w14:textId="6EAD4571" w:rsidR="00EA5235" w:rsidRPr="009D4E2C" w:rsidRDefault="00EA5235" w:rsidP="009D4E2C">
      <w:pPr>
        <w:pStyle w:val="FootnoteText"/>
        <w:jc w:val="both"/>
        <w:rPr>
          <w:rFonts w:ascii="Arial" w:hAnsi="Arial" w:cs="Arial"/>
          <w:sz w:val="16"/>
          <w:szCs w:val="16"/>
          <w:lang w:val="en-GB"/>
        </w:rPr>
      </w:pPr>
      <w:r w:rsidRPr="009D4E2C">
        <w:rPr>
          <w:rStyle w:val="FootnoteReference"/>
          <w:rFonts w:ascii="Arial" w:hAnsi="Arial" w:cs="Arial"/>
          <w:sz w:val="16"/>
          <w:szCs w:val="16"/>
        </w:rPr>
        <w:footnoteRef/>
      </w:r>
      <w:r w:rsidRPr="009D4E2C">
        <w:rPr>
          <w:rFonts w:ascii="Arial" w:hAnsi="Arial" w:cs="Arial"/>
          <w:sz w:val="16"/>
          <w:szCs w:val="16"/>
        </w:rPr>
        <w:t xml:space="preserve"> </w:t>
      </w:r>
      <w:r w:rsidR="00DA0889" w:rsidRPr="009D4E2C">
        <w:rPr>
          <w:rFonts w:ascii="Arial" w:hAnsi="Arial" w:cs="Arial"/>
          <w:color w:val="7B7B7B" w:themeColor="accent3" w:themeShade="BF"/>
          <w:sz w:val="16"/>
          <w:szCs w:val="16"/>
          <w:lang w:val="en-GB"/>
        </w:rPr>
        <w:t>Ibid., s</w:t>
      </w:r>
      <w:r w:rsidRPr="009D4E2C">
        <w:rPr>
          <w:rFonts w:ascii="Arial" w:hAnsi="Arial" w:cs="Arial"/>
          <w:color w:val="7B7B7B" w:themeColor="accent3" w:themeShade="BF"/>
          <w:sz w:val="16"/>
          <w:szCs w:val="16"/>
          <w:lang w:val="en-GB"/>
        </w:rPr>
        <w:t>ection 482(1)(c)</w:t>
      </w:r>
    </w:p>
  </w:footnote>
  <w:footnote w:id="6">
    <w:p w14:paraId="6DDE1ECB" w14:textId="48B9BB9A" w:rsidR="00EA5235" w:rsidRPr="009D4E2C" w:rsidRDefault="00EA5235" w:rsidP="009D4E2C">
      <w:pPr>
        <w:pStyle w:val="FootnoteText"/>
        <w:jc w:val="both"/>
        <w:rPr>
          <w:rFonts w:ascii="Arial" w:hAnsi="Arial" w:cs="Arial"/>
          <w:sz w:val="16"/>
          <w:szCs w:val="16"/>
          <w:lang w:val="en-GB"/>
        </w:rPr>
      </w:pPr>
      <w:r w:rsidRPr="009D4E2C">
        <w:rPr>
          <w:rStyle w:val="FootnoteReference"/>
          <w:rFonts w:ascii="Arial" w:hAnsi="Arial" w:cs="Arial"/>
          <w:sz w:val="16"/>
          <w:szCs w:val="16"/>
        </w:rPr>
        <w:footnoteRef/>
      </w:r>
      <w:r w:rsidRPr="009D4E2C">
        <w:rPr>
          <w:rFonts w:ascii="Arial" w:hAnsi="Arial" w:cs="Arial"/>
          <w:sz w:val="16"/>
          <w:szCs w:val="16"/>
        </w:rPr>
        <w:t xml:space="preserve"> </w:t>
      </w:r>
      <w:r w:rsidR="00DA0889" w:rsidRPr="009D4E2C">
        <w:rPr>
          <w:rFonts w:ascii="Arial" w:hAnsi="Arial" w:cs="Arial"/>
          <w:color w:val="7B7B7B" w:themeColor="accent3" w:themeShade="BF"/>
          <w:sz w:val="16"/>
          <w:szCs w:val="16"/>
          <w:lang w:val="en-GB"/>
        </w:rPr>
        <w:t>Ibid., s</w:t>
      </w:r>
      <w:r w:rsidRPr="009D4E2C">
        <w:rPr>
          <w:rFonts w:ascii="Arial" w:hAnsi="Arial" w:cs="Arial"/>
          <w:color w:val="7B7B7B" w:themeColor="accent3" w:themeShade="BF"/>
          <w:sz w:val="16"/>
          <w:szCs w:val="16"/>
          <w:lang w:val="en-GB"/>
        </w:rPr>
        <w:t>ection 482(1)(d)(i) and section 482(2)</w:t>
      </w:r>
    </w:p>
  </w:footnote>
  <w:footnote w:id="7">
    <w:p w14:paraId="264857D9" w14:textId="55B53AE6" w:rsidR="00EA5235" w:rsidRPr="009D4E2C" w:rsidRDefault="00EA5235" w:rsidP="009D4E2C">
      <w:pPr>
        <w:pStyle w:val="FootnoteText"/>
        <w:jc w:val="both"/>
        <w:rPr>
          <w:rFonts w:ascii="Arial" w:hAnsi="Arial" w:cs="Arial"/>
          <w:sz w:val="16"/>
          <w:szCs w:val="16"/>
          <w:lang w:val="en-GB"/>
        </w:rPr>
      </w:pPr>
      <w:r w:rsidRPr="009D4E2C">
        <w:rPr>
          <w:rStyle w:val="FootnoteReference"/>
          <w:rFonts w:ascii="Arial" w:hAnsi="Arial" w:cs="Arial"/>
          <w:sz w:val="16"/>
          <w:szCs w:val="16"/>
        </w:rPr>
        <w:footnoteRef/>
      </w:r>
      <w:r w:rsidRPr="009D4E2C">
        <w:rPr>
          <w:rFonts w:ascii="Arial" w:hAnsi="Arial" w:cs="Arial"/>
          <w:sz w:val="16"/>
          <w:szCs w:val="16"/>
        </w:rPr>
        <w:t xml:space="preserve"> </w:t>
      </w:r>
      <w:r w:rsidR="00DA0889" w:rsidRPr="009D4E2C">
        <w:rPr>
          <w:rFonts w:ascii="Arial" w:hAnsi="Arial" w:cs="Arial"/>
          <w:color w:val="7B7B7B" w:themeColor="accent3" w:themeShade="BF"/>
          <w:sz w:val="16"/>
          <w:szCs w:val="16"/>
          <w:lang w:val="en-GB"/>
        </w:rPr>
        <w:t>Ibid., s</w:t>
      </w:r>
      <w:r w:rsidRPr="009D4E2C">
        <w:rPr>
          <w:rFonts w:ascii="Arial" w:hAnsi="Arial" w:cs="Arial"/>
          <w:color w:val="7B7B7B" w:themeColor="accent3" w:themeShade="BF"/>
          <w:sz w:val="16"/>
          <w:szCs w:val="16"/>
          <w:lang w:val="en-GB"/>
        </w:rPr>
        <w:t>ection 482(1)(d)(ii) and section 482(3)</w:t>
      </w:r>
    </w:p>
  </w:footnote>
  <w:footnote w:id="8">
    <w:p w14:paraId="125F9692" w14:textId="5FD8CDC7" w:rsidR="00EA5235" w:rsidRPr="009D4E2C" w:rsidRDefault="00EA5235" w:rsidP="009D4E2C">
      <w:pPr>
        <w:pStyle w:val="FootnoteText"/>
        <w:jc w:val="both"/>
        <w:rPr>
          <w:rFonts w:ascii="Arial" w:hAnsi="Arial" w:cs="Arial"/>
          <w:sz w:val="16"/>
          <w:szCs w:val="16"/>
          <w:lang w:val="en-GB"/>
        </w:rPr>
      </w:pPr>
      <w:r w:rsidRPr="009D4E2C">
        <w:rPr>
          <w:rStyle w:val="FootnoteReference"/>
          <w:rFonts w:ascii="Arial" w:hAnsi="Arial" w:cs="Arial"/>
          <w:sz w:val="16"/>
          <w:szCs w:val="16"/>
        </w:rPr>
        <w:footnoteRef/>
      </w:r>
      <w:r w:rsidRPr="009D4E2C">
        <w:rPr>
          <w:rFonts w:ascii="Arial" w:hAnsi="Arial" w:cs="Arial"/>
          <w:sz w:val="16"/>
          <w:szCs w:val="16"/>
        </w:rPr>
        <w:t xml:space="preserve"> </w:t>
      </w:r>
      <w:r w:rsidR="00DA0889" w:rsidRPr="009D4E2C">
        <w:rPr>
          <w:rFonts w:ascii="Arial" w:hAnsi="Arial" w:cs="Arial"/>
          <w:color w:val="7B7B7B" w:themeColor="accent3" w:themeShade="BF"/>
          <w:sz w:val="16"/>
          <w:szCs w:val="16"/>
          <w:lang w:val="en-GB"/>
        </w:rPr>
        <w:t>Ibid., s</w:t>
      </w:r>
      <w:r w:rsidRPr="009D4E2C">
        <w:rPr>
          <w:rFonts w:ascii="Arial" w:hAnsi="Arial" w:cs="Arial"/>
          <w:color w:val="7B7B7B" w:themeColor="accent3" w:themeShade="BF"/>
          <w:sz w:val="16"/>
          <w:szCs w:val="16"/>
          <w:lang w:val="en-GB"/>
        </w:rPr>
        <w:t>ection 482(1)(e)</w:t>
      </w:r>
    </w:p>
  </w:footnote>
  <w:footnote w:id="9">
    <w:p w14:paraId="26B1567D" w14:textId="5B42F8C3" w:rsidR="00D05414" w:rsidRPr="009D4E2C" w:rsidRDefault="00D05414" w:rsidP="009D4E2C">
      <w:pPr>
        <w:pStyle w:val="FootnoteText"/>
        <w:jc w:val="both"/>
        <w:rPr>
          <w:rFonts w:ascii="Arial" w:hAnsi="Arial" w:cs="Arial"/>
          <w:sz w:val="16"/>
          <w:szCs w:val="16"/>
          <w:lang w:val="en-GB"/>
        </w:rPr>
      </w:pPr>
      <w:r w:rsidRPr="009D4E2C">
        <w:rPr>
          <w:rStyle w:val="FootnoteReference"/>
          <w:rFonts w:ascii="Arial" w:hAnsi="Arial" w:cs="Arial"/>
          <w:sz w:val="16"/>
          <w:szCs w:val="16"/>
        </w:rPr>
        <w:footnoteRef/>
      </w:r>
      <w:r w:rsidRPr="009D4E2C">
        <w:rPr>
          <w:rFonts w:ascii="Arial" w:hAnsi="Arial" w:cs="Arial"/>
          <w:sz w:val="16"/>
          <w:szCs w:val="16"/>
        </w:rPr>
        <w:t xml:space="preserve"> </w:t>
      </w:r>
      <w:r w:rsidRPr="009D4E2C">
        <w:rPr>
          <w:rFonts w:ascii="Arial" w:hAnsi="Arial" w:cs="Arial"/>
          <w:color w:val="808080" w:themeColor="background1" w:themeShade="80"/>
          <w:sz w:val="16"/>
          <w:szCs w:val="16"/>
          <w:lang w:val="en-GB"/>
        </w:rPr>
        <w:t>Charlotte Walker,</w:t>
      </w:r>
      <w:r w:rsidRPr="009D4E2C">
        <w:rPr>
          <w:rFonts w:ascii="Arial" w:hAnsi="Arial" w:cs="Arial"/>
          <w:color w:val="808080" w:themeColor="background1" w:themeShade="80"/>
          <w:sz w:val="16"/>
          <w:szCs w:val="16"/>
        </w:rPr>
        <w:t xml:space="preserve"> text updated for 2022/2023 and 2023/2024 by Janet Watson,</w:t>
      </w:r>
      <w:r w:rsidRPr="009D4E2C">
        <w:rPr>
          <w:rFonts w:ascii="Arial" w:hAnsi="Arial" w:cs="Arial"/>
          <w:color w:val="808080" w:themeColor="background1" w:themeShade="80"/>
          <w:sz w:val="16"/>
          <w:szCs w:val="16"/>
          <w:lang w:val="en-GB"/>
        </w:rPr>
        <w:t xml:space="preserve"> “INSOL International, Foundation Certificate in International Insolvency Law, Module 5B Guidance Text, British Virgin Islands, 2023/2024”, p 16</w:t>
      </w:r>
    </w:p>
  </w:footnote>
  <w:footnote w:id="10">
    <w:p w14:paraId="6F3221CF" w14:textId="799BAD64" w:rsidR="00967B37" w:rsidRPr="009D4E2C" w:rsidRDefault="00967B37" w:rsidP="009D4E2C">
      <w:pPr>
        <w:pStyle w:val="FootnoteText"/>
        <w:jc w:val="both"/>
        <w:rPr>
          <w:rFonts w:ascii="Arial" w:hAnsi="Arial" w:cs="Arial"/>
          <w:sz w:val="16"/>
          <w:szCs w:val="16"/>
          <w:lang w:val="en-GB"/>
        </w:rPr>
      </w:pPr>
      <w:r w:rsidRPr="009D4E2C">
        <w:rPr>
          <w:rStyle w:val="FootnoteReference"/>
          <w:rFonts w:ascii="Arial" w:hAnsi="Arial" w:cs="Arial"/>
          <w:sz w:val="16"/>
          <w:szCs w:val="16"/>
        </w:rPr>
        <w:footnoteRef/>
      </w:r>
      <w:r w:rsidRPr="009D4E2C">
        <w:rPr>
          <w:rFonts w:ascii="Arial" w:hAnsi="Arial" w:cs="Arial"/>
          <w:sz w:val="16"/>
          <w:szCs w:val="16"/>
        </w:rPr>
        <w:t xml:space="preserve"> </w:t>
      </w:r>
      <w:r w:rsidR="00D05414" w:rsidRPr="009D4E2C">
        <w:rPr>
          <w:rFonts w:ascii="Arial" w:hAnsi="Arial" w:cs="Arial"/>
          <w:color w:val="808080" w:themeColor="background1" w:themeShade="80"/>
          <w:sz w:val="16"/>
          <w:szCs w:val="16"/>
          <w:lang w:val="en-GB"/>
        </w:rPr>
        <w:t xml:space="preserve">Ibid., </w:t>
      </w:r>
      <w:r w:rsidRPr="009D4E2C">
        <w:rPr>
          <w:rFonts w:ascii="Arial" w:hAnsi="Arial" w:cs="Arial"/>
          <w:color w:val="808080" w:themeColor="background1" w:themeShade="80"/>
          <w:sz w:val="16"/>
          <w:szCs w:val="16"/>
          <w:lang w:val="en-GB"/>
        </w:rPr>
        <w:t>p 33</w:t>
      </w:r>
    </w:p>
  </w:footnote>
  <w:footnote w:id="11">
    <w:p w14:paraId="65EEDB4A" w14:textId="2B480327" w:rsidR="00466A6C" w:rsidRPr="009D4E2C" w:rsidRDefault="00466A6C" w:rsidP="009D4E2C">
      <w:pPr>
        <w:pStyle w:val="FootnoteText"/>
        <w:jc w:val="both"/>
        <w:rPr>
          <w:rFonts w:ascii="Arial" w:hAnsi="Arial" w:cs="Arial"/>
          <w:sz w:val="16"/>
          <w:szCs w:val="16"/>
          <w:lang w:val="en-GB"/>
        </w:rPr>
      </w:pPr>
      <w:r w:rsidRPr="009D4E2C">
        <w:rPr>
          <w:rStyle w:val="FootnoteReference"/>
          <w:rFonts w:ascii="Arial" w:hAnsi="Arial" w:cs="Arial"/>
          <w:sz w:val="16"/>
          <w:szCs w:val="16"/>
        </w:rPr>
        <w:footnoteRef/>
      </w:r>
      <w:r w:rsidRPr="009D4E2C">
        <w:rPr>
          <w:rFonts w:ascii="Arial" w:hAnsi="Arial" w:cs="Arial"/>
          <w:sz w:val="16"/>
          <w:szCs w:val="16"/>
        </w:rPr>
        <w:t xml:space="preserve"> </w:t>
      </w:r>
      <w:r w:rsidR="00DA0889" w:rsidRPr="009D4E2C">
        <w:rPr>
          <w:rFonts w:ascii="Arial" w:hAnsi="Arial" w:cs="Arial"/>
          <w:color w:val="7B7B7B" w:themeColor="accent3" w:themeShade="BF"/>
          <w:sz w:val="16"/>
          <w:szCs w:val="16"/>
          <w:lang w:val="en-GB"/>
        </w:rPr>
        <w:t>I</w:t>
      </w:r>
      <w:r w:rsidR="008B0EF9" w:rsidRPr="009D4E2C">
        <w:rPr>
          <w:rFonts w:ascii="Arial" w:hAnsi="Arial" w:cs="Arial"/>
          <w:color w:val="7B7B7B" w:themeColor="accent3" w:themeShade="BF"/>
          <w:sz w:val="16"/>
          <w:szCs w:val="16"/>
          <w:lang w:val="en-GB"/>
        </w:rPr>
        <w:t>nsolvency Act 20</w:t>
      </w:r>
      <w:r w:rsidR="003143FF">
        <w:rPr>
          <w:rFonts w:ascii="Arial" w:hAnsi="Arial" w:cs="Arial"/>
          <w:color w:val="7B7B7B" w:themeColor="accent3" w:themeShade="BF"/>
          <w:sz w:val="16"/>
          <w:szCs w:val="16"/>
          <w:lang w:val="en-GB"/>
        </w:rPr>
        <w:t>0</w:t>
      </w:r>
      <w:r w:rsidR="008B0EF9" w:rsidRPr="009D4E2C">
        <w:rPr>
          <w:rFonts w:ascii="Arial" w:hAnsi="Arial" w:cs="Arial"/>
          <w:color w:val="7B7B7B" w:themeColor="accent3" w:themeShade="BF"/>
          <w:sz w:val="16"/>
          <w:szCs w:val="16"/>
          <w:lang w:val="en-GB"/>
        </w:rPr>
        <w:t>3</w:t>
      </w:r>
      <w:r w:rsidR="00DA0889" w:rsidRPr="009D4E2C">
        <w:rPr>
          <w:rFonts w:ascii="Arial" w:hAnsi="Arial" w:cs="Arial"/>
          <w:color w:val="7B7B7B" w:themeColor="accent3" w:themeShade="BF"/>
          <w:sz w:val="16"/>
          <w:szCs w:val="16"/>
          <w:lang w:val="en-GB"/>
        </w:rPr>
        <w:t>, s</w:t>
      </w:r>
      <w:r w:rsidRPr="009D4E2C">
        <w:rPr>
          <w:rFonts w:ascii="Arial" w:hAnsi="Arial" w:cs="Arial"/>
          <w:color w:val="7B7B7B" w:themeColor="accent3" w:themeShade="BF"/>
          <w:sz w:val="16"/>
          <w:szCs w:val="16"/>
          <w:lang w:val="en-GB"/>
        </w:rPr>
        <w:t>ection 155(2)(a)</w:t>
      </w:r>
    </w:p>
  </w:footnote>
  <w:footnote w:id="12">
    <w:p w14:paraId="4B5446E4" w14:textId="77777777" w:rsidR="009E17E9" w:rsidRPr="00BD1E62" w:rsidRDefault="009E17E9" w:rsidP="009E17E9">
      <w:pPr>
        <w:pStyle w:val="FootnoteText"/>
        <w:jc w:val="both"/>
        <w:rPr>
          <w:rFonts w:ascii="Arial" w:hAnsi="Arial" w:cs="Arial"/>
          <w:sz w:val="16"/>
          <w:szCs w:val="16"/>
          <w:lang w:val="en-GB"/>
        </w:rPr>
      </w:pPr>
      <w:r w:rsidRPr="009D4E2C">
        <w:rPr>
          <w:rStyle w:val="FootnoteReference"/>
          <w:rFonts w:ascii="Arial" w:hAnsi="Arial" w:cs="Arial"/>
          <w:sz w:val="16"/>
          <w:szCs w:val="16"/>
        </w:rPr>
        <w:footnoteRef/>
      </w:r>
      <w:r w:rsidRPr="009D4E2C">
        <w:rPr>
          <w:rFonts w:ascii="Arial" w:hAnsi="Arial" w:cs="Arial"/>
          <w:sz w:val="16"/>
          <w:szCs w:val="16"/>
        </w:rPr>
        <w:t xml:space="preserve"> </w:t>
      </w:r>
      <w:r w:rsidRPr="009D4E2C">
        <w:rPr>
          <w:rFonts w:ascii="Arial" w:hAnsi="Arial" w:cs="Arial"/>
          <w:color w:val="7B7B7B" w:themeColor="accent3" w:themeShade="BF"/>
          <w:sz w:val="16"/>
          <w:szCs w:val="16"/>
          <w:lang w:val="en-GB"/>
        </w:rPr>
        <w:t>Insolvency Rules 2005, rule 149(1)</w:t>
      </w:r>
    </w:p>
  </w:footnote>
  <w:footnote w:id="13">
    <w:p w14:paraId="334781A7" w14:textId="193BEC74" w:rsidR="008B0EF9" w:rsidRPr="009D4E2C" w:rsidRDefault="008B0EF9" w:rsidP="009D4E2C">
      <w:pPr>
        <w:pStyle w:val="FootnoteText"/>
        <w:jc w:val="both"/>
        <w:rPr>
          <w:rFonts w:ascii="Arial" w:hAnsi="Arial" w:cs="Arial"/>
          <w:sz w:val="16"/>
          <w:szCs w:val="16"/>
          <w:lang w:val="en-GB"/>
        </w:rPr>
      </w:pPr>
      <w:r w:rsidRPr="009D4E2C">
        <w:rPr>
          <w:rStyle w:val="FootnoteReference"/>
          <w:rFonts w:ascii="Arial" w:hAnsi="Arial" w:cs="Arial"/>
          <w:sz w:val="16"/>
          <w:szCs w:val="16"/>
        </w:rPr>
        <w:footnoteRef/>
      </w:r>
      <w:r w:rsidRPr="009D4E2C">
        <w:rPr>
          <w:rFonts w:ascii="Arial" w:hAnsi="Arial" w:cs="Arial"/>
          <w:sz w:val="16"/>
          <w:szCs w:val="16"/>
        </w:rPr>
        <w:t xml:space="preserve"> </w:t>
      </w:r>
      <w:r w:rsidR="009E17E9" w:rsidRPr="009D4E2C">
        <w:rPr>
          <w:rFonts w:ascii="Arial" w:hAnsi="Arial" w:cs="Arial"/>
          <w:color w:val="7B7B7B" w:themeColor="accent3" w:themeShade="BF"/>
          <w:sz w:val="16"/>
          <w:szCs w:val="16"/>
          <w:lang w:val="en-GB"/>
        </w:rPr>
        <w:t>Insolvency Act 20</w:t>
      </w:r>
      <w:r w:rsidR="003143FF">
        <w:rPr>
          <w:rFonts w:ascii="Arial" w:hAnsi="Arial" w:cs="Arial"/>
          <w:color w:val="7B7B7B" w:themeColor="accent3" w:themeShade="BF"/>
          <w:sz w:val="16"/>
          <w:szCs w:val="16"/>
          <w:lang w:val="en-GB"/>
        </w:rPr>
        <w:t>0</w:t>
      </w:r>
      <w:r w:rsidR="009E17E9" w:rsidRPr="009D4E2C">
        <w:rPr>
          <w:rFonts w:ascii="Arial" w:hAnsi="Arial" w:cs="Arial"/>
          <w:color w:val="7B7B7B" w:themeColor="accent3" w:themeShade="BF"/>
          <w:sz w:val="16"/>
          <w:szCs w:val="16"/>
          <w:lang w:val="en-GB"/>
        </w:rPr>
        <w:t xml:space="preserve">3, </w:t>
      </w:r>
      <w:r w:rsidRPr="009D4E2C">
        <w:rPr>
          <w:rFonts w:ascii="Arial" w:hAnsi="Arial" w:cs="Arial"/>
          <w:color w:val="7B7B7B" w:themeColor="accent3" w:themeShade="BF"/>
          <w:sz w:val="16"/>
          <w:szCs w:val="16"/>
          <w:lang w:val="en-GB"/>
        </w:rPr>
        <w:t>section 155(2)(b)</w:t>
      </w:r>
    </w:p>
  </w:footnote>
  <w:footnote w:id="14">
    <w:p w14:paraId="01B8A9BA" w14:textId="0E07D1E6" w:rsidR="008B0EF9" w:rsidRPr="009D4E2C" w:rsidRDefault="008B0EF9" w:rsidP="009D4E2C">
      <w:pPr>
        <w:pStyle w:val="FootnoteText"/>
        <w:jc w:val="both"/>
        <w:rPr>
          <w:rFonts w:ascii="Arial" w:hAnsi="Arial" w:cs="Arial"/>
          <w:sz w:val="16"/>
          <w:szCs w:val="16"/>
          <w:lang w:val="en-GB"/>
        </w:rPr>
      </w:pPr>
      <w:r w:rsidRPr="009D4E2C">
        <w:rPr>
          <w:rStyle w:val="FootnoteReference"/>
          <w:rFonts w:ascii="Arial" w:hAnsi="Arial" w:cs="Arial"/>
          <w:sz w:val="16"/>
          <w:szCs w:val="16"/>
        </w:rPr>
        <w:footnoteRef/>
      </w:r>
      <w:r w:rsidRPr="009D4E2C">
        <w:rPr>
          <w:rFonts w:ascii="Arial" w:hAnsi="Arial" w:cs="Arial"/>
          <w:sz w:val="16"/>
          <w:szCs w:val="16"/>
        </w:rPr>
        <w:t xml:space="preserve"> </w:t>
      </w:r>
      <w:r w:rsidRPr="009D4E2C">
        <w:rPr>
          <w:rFonts w:ascii="Arial" w:hAnsi="Arial" w:cs="Arial"/>
          <w:color w:val="7B7B7B" w:themeColor="accent3" w:themeShade="BF"/>
          <w:sz w:val="16"/>
          <w:szCs w:val="16"/>
          <w:lang w:val="en-GB"/>
        </w:rPr>
        <w:t>Ibid., section 155(2)(f)</w:t>
      </w:r>
    </w:p>
  </w:footnote>
  <w:footnote w:id="15">
    <w:p w14:paraId="0BA5648B" w14:textId="3C92CDCB" w:rsidR="00010D4B" w:rsidRPr="00847A31" w:rsidRDefault="00010D4B" w:rsidP="00BD1E62">
      <w:pPr>
        <w:pStyle w:val="FootnoteText"/>
        <w:jc w:val="both"/>
        <w:rPr>
          <w:rFonts w:ascii="Arial" w:hAnsi="Arial" w:cs="Arial"/>
          <w:sz w:val="16"/>
          <w:szCs w:val="16"/>
          <w:lang w:val="en-GB"/>
        </w:rPr>
      </w:pPr>
      <w:r w:rsidRPr="00BD1E62">
        <w:rPr>
          <w:rStyle w:val="FootnoteReference"/>
          <w:rFonts w:ascii="Arial" w:hAnsi="Arial" w:cs="Arial"/>
          <w:sz w:val="16"/>
          <w:szCs w:val="16"/>
        </w:rPr>
        <w:footnoteRef/>
      </w:r>
      <w:r w:rsidRPr="00BD1E62">
        <w:rPr>
          <w:rFonts w:ascii="Arial" w:hAnsi="Arial" w:cs="Arial"/>
          <w:sz w:val="16"/>
          <w:szCs w:val="16"/>
        </w:rPr>
        <w:t xml:space="preserve"> </w:t>
      </w:r>
      <w:r w:rsidR="00DA0889" w:rsidRPr="00BD1E62">
        <w:rPr>
          <w:rFonts w:ascii="Arial" w:hAnsi="Arial" w:cs="Arial"/>
          <w:color w:val="7B7B7B" w:themeColor="accent3" w:themeShade="BF"/>
          <w:sz w:val="16"/>
          <w:szCs w:val="16"/>
          <w:lang w:val="en-GB"/>
        </w:rPr>
        <w:t>I</w:t>
      </w:r>
      <w:r w:rsidR="009E17E9">
        <w:rPr>
          <w:rFonts w:ascii="Arial" w:hAnsi="Arial" w:cs="Arial"/>
          <w:color w:val="7B7B7B" w:themeColor="accent3" w:themeShade="BF"/>
          <w:sz w:val="16"/>
          <w:szCs w:val="16"/>
          <w:lang w:val="en-GB"/>
        </w:rPr>
        <w:t>bid.</w:t>
      </w:r>
      <w:r w:rsidR="00DA0889" w:rsidRPr="00BD1E62">
        <w:rPr>
          <w:rFonts w:ascii="Arial" w:hAnsi="Arial" w:cs="Arial"/>
          <w:color w:val="7B7B7B" w:themeColor="accent3" w:themeShade="BF"/>
          <w:sz w:val="16"/>
          <w:szCs w:val="16"/>
          <w:lang w:val="en-GB"/>
        </w:rPr>
        <w:t>, s</w:t>
      </w:r>
      <w:r w:rsidRPr="00BD1E62">
        <w:rPr>
          <w:rFonts w:ascii="Arial" w:hAnsi="Arial" w:cs="Arial"/>
          <w:color w:val="7B7B7B" w:themeColor="accent3" w:themeShade="BF"/>
          <w:sz w:val="16"/>
          <w:szCs w:val="16"/>
          <w:lang w:val="en-GB"/>
        </w:rPr>
        <w:t>ection 155(1)</w:t>
      </w:r>
    </w:p>
  </w:footnote>
  <w:footnote w:id="16">
    <w:p w14:paraId="201FB244" w14:textId="56FBA7B6" w:rsidR="00B57222" w:rsidRPr="0044186F" w:rsidRDefault="00B57222" w:rsidP="000F59A9">
      <w:pPr>
        <w:pStyle w:val="FootnoteText"/>
        <w:jc w:val="both"/>
        <w:rPr>
          <w:rFonts w:ascii="Arial" w:hAnsi="Arial" w:cs="Arial"/>
          <w:sz w:val="16"/>
          <w:szCs w:val="16"/>
          <w:lang w:val="en-GB"/>
        </w:rPr>
      </w:pPr>
      <w:r w:rsidRPr="0044186F">
        <w:rPr>
          <w:rStyle w:val="FootnoteReference"/>
          <w:rFonts w:ascii="Arial" w:hAnsi="Arial" w:cs="Arial"/>
          <w:sz w:val="16"/>
          <w:szCs w:val="16"/>
        </w:rPr>
        <w:footnoteRef/>
      </w:r>
      <w:r w:rsidRPr="0044186F">
        <w:rPr>
          <w:rFonts w:ascii="Arial" w:hAnsi="Arial" w:cs="Arial"/>
          <w:sz w:val="16"/>
          <w:szCs w:val="16"/>
        </w:rPr>
        <w:t xml:space="preserve"> </w:t>
      </w:r>
      <w:r w:rsidR="003962B1" w:rsidRPr="0044186F">
        <w:rPr>
          <w:rFonts w:ascii="Arial" w:hAnsi="Arial" w:cs="Arial"/>
          <w:color w:val="7B7B7B" w:themeColor="accent3" w:themeShade="BF"/>
          <w:sz w:val="16"/>
          <w:szCs w:val="16"/>
          <w:lang w:val="en-GB"/>
        </w:rPr>
        <w:t>BVI Business Companies Act 2004, s</w:t>
      </w:r>
      <w:r w:rsidRPr="0044186F">
        <w:rPr>
          <w:rFonts w:ascii="Arial" w:hAnsi="Arial" w:cs="Arial"/>
          <w:color w:val="7B7B7B" w:themeColor="accent3" w:themeShade="BF"/>
          <w:sz w:val="16"/>
          <w:szCs w:val="16"/>
          <w:lang w:val="en-GB"/>
        </w:rPr>
        <w:t>ection 91(1)</w:t>
      </w:r>
    </w:p>
  </w:footnote>
  <w:footnote w:id="17">
    <w:p w14:paraId="419A27F6" w14:textId="5B57997A" w:rsidR="00B57222" w:rsidRPr="0044186F" w:rsidRDefault="00B57222" w:rsidP="000F59A9">
      <w:pPr>
        <w:pStyle w:val="FootnoteText"/>
        <w:jc w:val="both"/>
        <w:rPr>
          <w:rFonts w:ascii="Arial" w:hAnsi="Arial" w:cs="Arial"/>
          <w:sz w:val="16"/>
          <w:szCs w:val="16"/>
          <w:lang w:val="en-GB"/>
        </w:rPr>
      </w:pPr>
      <w:r w:rsidRPr="0044186F">
        <w:rPr>
          <w:rStyle w:val="FootnoteReference"/>
          <w:rFonts w:ascii="Arial" w:hAnsi="Arial" w:cs="Arial"/>
          <w:sz w:val="16"/>
          <w:szCs w:val="16"/>
        </w:rPr>
        <w:footnoteRef/>
      </w:r>
      <w:r w:rsidRPr="0044186F">
        <w:rPr>
          <w:rFonts w:ascii="Arial" w:hAnsi="Arial" w:cs="Arial"/>
          <w:sz w:val="16"/>
          <w:szCs w:val="16"/>
        </w:rPr>
        <w:t xml:space="preserve"> </w:t>
      </w:r>
      <w:r w:rsidR="003962B1" w:rsidRPr="0044186F">
        <w:rPr>
          <w:rFonts w:ascii="Arial" w:hAnsi="Arial" w:cs="Arial"/>
          <w:color w:val="7B7B7B" w:themeColor="accent3" w:themeShade="BF"/>
          <w:sz w:val="16"/>
          <w:szCs w:val="16"/>
          <w:lang w:val="en-GB"/>
        </w:rPr>
        <w:t>Ibid., s</w:t>
      </w:r>
      <w:r w:rsidRPr="0044186F">
        <w:rPr>
          <w:rFonts w:ascii="Arial" w:hAnsi="Arial" w:cs="Arial"/>
          <w:color w:val="7B7B7B" w:themeColor="accent3" w:themeShade="BF"/>
          <w:sz w:val="16"/>
          <w:szCs w:val="16"/>
          <w:lang w:val="en-GB"/>
        </w:rPr>
        <w:t>ection 91(5)</w:t>
      </w:r>
    </w:p>
  </w:footnote>
  <w:footnote w:id="18">
    <w:p w14:paraId="0B1D5B1F" w14:textId="16FDAA28" w:rsidR="00D21C98" w:rsidRPr="0044186F" w:rsidRDefault="00D21C98">
      <w:pPr>
        <w:pStyle w:val="FootnoteText"/>
        <w:rPr>
          <w:rFonts w:ascii="Arial" w:hAnsi="Arial" w:cs="Arial"/>
          <w:sz w:val="16"/>
          <w:szCs w:val="16"/>
          <w:lang w:val="en-GB"/>
        </w:rPr>
      </w:pPr>
      <w:r w:rsidRPr="0044186F">
        <w:rPr>
          <w:rStyle w:val="FootnoteReference"/>
          <w:rFonts w:ascii="Arial" w:hAnsi="Arial" w:cs="Arial"/>
          <w:sz w:val="16"/>
          <w:szCs w:val="16"/>
        </w:rPr>
        <w:footnoteRef/>
      </w:r>
      <w:r w:rsidRPr="0044186F">
        <w:rPr>
          <w:rFonts w:ascii="Arial" w:hAnsi="Arial" w:cs="Arial"/>
          <w:sz w:val="16"/>
          <w:szCs w:val="16"/>
        </w:rPr>
        <w:t xml:space="preserve"> </w:t>
      </w:r>
      <w:r w:rsidRPr="0044186F">
        <w:rPr>
          <w:rFonts w:ascii="Arial" w:hAnsi="Arial" w:cs="Arial"/>
          <w:color w:val="7B7B7B" w:themeColor="accent3" w:themeShade="BF"/>
          <w:sz w:val="16"/>
          <w:szCs w:val="16"/>
          <w:lang w:val="en-GB"/>
        </w:rPr>
        <w:t>Ibid., section 91A(1)</w:t>
      </w:r>
    </w:p>
  </w:footnote>
  <w:footnote w:id="19">
    <w:p w14:paraId="64B763B6" w14:textId="3EAD0ECA" w:rsidR="000A7D47" w:rsidRPr="0044186F" w:rsidRDefault="000A7D47">
      <w:pPr>
        <w:pStyle w:val="FootnoteText"/>
        <w:rPr>
          <w:rFonts w:ascii="Arial" w:hAnsi="Arial" w:cs="Arial"/>
          <w:sz w:val="16"/>
          <w:szCs w:val="16"/>
          <w:highlight w:val="cyan"/>
          <w:lang w:val="en-GB"/>
        </w:rPr>
      </w:pPr>
      <w:r w:rsidRPr="0044186F">
        <w:rPr>
          <w:rStyle w:val="FootnoteReference"/>
          <w:rFonts w:ascii="Arial" w:hAnsi="Arial" w:cs="Arial"/>
          <w:sz w:val="16"/>
          <w:szCs w:val="16"/>
        </w:rPr>
        <w:footnoteRef/>
      </w:r>
      <w:r w:rsidRPr="0044186F">
        <w:rPr>
          <w:rFonts w:ascii="Arial" w:hAnsi="Arial" w:cs="Arial"/>
          <w:sz w:val="16"/>
          <w:szCs w:val="16"/>
        </w:rPr>
        <w:t xml:space="preserve"> </w:t>
      </w:r>
      <w:r w:rsidR="003962B1" w:rsidRPr="0044186F">
        <w:rPr>
          <w:rFonts w:ascii="Arial" w:hAnsi="Arial" w:cs="Arial"/>
          <w:color w:val="7B7B7B" w:themeColor="accent3" w:themeShade="BF"/>
          <w:sz w:val="16"/>
          <w:szCs w:val="16"/>
          <w:lang w:val="en-GB"/>
        </w:rPr>
        <w:t>Ibid., s</w:t>
      </w:r>
      <w:r w:rsidRPr="0044186F">
        <w:rPr>
          <w:rFonts w:ascii="Arial" w:hAnsi="Arial" w:cs="Arial"/>
          <w:color w:val="7B7B7B" w:themeColor="accent3" w:themeShade="BF"/>
          <w:sz w:val="16"/>
          <w:szCs w:val="16"/>
          <w:lang w:val="en-GB"/>
        </w:rPr>
        <w:t>ection 91(6)</w:t>
      </w:r>
    </w:p>
  </w:footnote>
  <w:footnote w:id="20">
    <w:p w14:paraId="6EB8ABE8" w14:textId="76CE7D60" w:rsidR="0031156A" w:rsidRPr="0044186F" w:rsidRDefault="0031156A">
      <w:pPr>
        <w:pStyle w:val="FootnoteText"/>
        <w:rPr>
          <w:rFonts w:ascii="Arial" w:hAnsi="Arial" w:cs="Arial"/>
          <w:sz w:val="16"/>
          <w:szCs w:val="16"/>
          <w:lang w:val="en-GB"/>
        </w:rPr>
      </w:pPr>
      <w:r w:rsidRPr="0044186F">
        <w:rPr>
          <w:rStyle w:val="FootnoteReference"/>
          <w:rFonts w:ascii="Arial" w:hAnsi="Arial" w:cs="Arial"/>
          <w:sz w:val="16"/>
          <w:szCs w:val="16"/>
        </w:rPr>
        <w:footnoteRef/>
      </w:r>
      <w:r w:rsidRPr="0044186F">
        <w:rPr>
          <w:rFonts w:ascii="Arial" w:hAnsi="Arial" w:cs="Arial"/>
          <w:sz w:val="16"/>
          <w:szCs w:val="16"/>
        </w:rPr>
        <w:t xml:space="preserve"> </w:t>
      </w:r>
      <w:r w:rsidRPr="0044186F">
        <w:rPr>
          <w:rFonts w:ascii="Arial" w:hAnsi="Arial" w:cs="Arial"/>
          <w:color w:val="7B7B7B" w:themeColor="accent3" w:themeShade="BF"/>
          <w:sz w:val="16"/>
          <w:szCs w:val="16"/>
          <w:lang w:val="en-GB"/>
        </w:rPr>
        <w:t>Ibid., section 213(1)(a)(i)</w:t>
      </w:r>
    </w:p>
  </w:footnote>
  <w:footnote w:id="21">
    <w:p w14:paraId="35EC30F4" w14:textId="54FFF4CF" w:rsidR="000A7D47" w:rsidRPr="0044186F" w:rsidRDefault="000A7D47">
      <w:pPr>
        <w:pStyle w:val="FootnoteText"/>
        <w:rPr>
          <w:rFonts w:ascii="Arial" w:hAnsi="Arial" w:cs="Arial"/>
          <w:sz w:val="16"/>
          <w:szCs w:val="16"/>
          <w:lang w:val="en-GB"/>
        </w:rPr>
      </w:pPr>
      <w:r w:rsidRPr="0044186F">
        <w:rPr>
          <w:rStyle w:val="FootnoteReference"/>
          <w:rFonts w:ascii="Arial" w:hAnsi="Arial" w:cs="Arial"/>
          <w:sz w:val="16"/>
          <w:szCs w:val="16"/>
        </w:rPr>
        <w:footnoteRef/>
      </w:r>
      <w:r w:rsidRPr="0044186F">
        <w:rPr>
          <w:rFonts w:ascii="Arial" w:hAnsi="Arial" w:cs="Arial"/>
          <w:sz w:val="16"/>
          <w:szCs w:val="16"/>
        </w:rPr>
        <w:t xml:space="preserve"> </w:t>
      </w:r>
      <w:r w:rsidR="003962B1" w:rsidRPr="0044186F">
        <w:rPr>
          <w:rFonts w:ascii="Arial" w:hAnsi="Arial" w:cs="Arial"/>
          <w:color w:val="7B7B7B" w:themeColor="accent3" w:themeShade="BF"/>
          <w:sz w:val="16"/>
          <w:szCs w:val="16"/>
          <w:lang w:val="en-GB"/>
        </w:rPr>
        <w:t>Ibid., s</w:t>
      </w:r>
      <w:r w:rsidRPr="0044186F">
        <w:rPr>
          <w:rFonts w:ascii="Arial" w:hAnsi="Arial" w:cs="Arial"/>
          <w:color w:val="7B7B7B" w:themeColor="accent3" w:themeShade="BF"/>
          <w:sz w:val="16"/>
          <w:szCs w:val="16"/>
          <w:lang w:val="en-GB"/>
        </w:rPr>
        <w:t>ection 91(3)(a)</w:t>
      </w:r>
    </w:p>
  </w:footnote>
  <w:footnote w:id="22">
    <w:p w14:paraId="37BA6DB6" w14:textId="36283612" w:rsidR="000A7D47" w:rsidRPr="0044186F" w:rsidRDefault="000A7D47">
      <w:pPr>
        <w:pStyle w:val="FootnoteText"/>
        <w:rPr>
          <w:rFonts w:ascii="Arial" w:hAnsi="Arial" w:cs="Arial"/>
          <w:sz w:val="16"/>
          <w:szCs w:val="16"/>
          <w:lang w:val="en-GB"/>
        </w:rPr>
      </w:pPr>
      <w:r w:rsidRPr="0044186F">
        <w:rPr>
          <w:rStyle w:val="FootnoteReference"/>
          <w:rFonts w:ascii="Arial" w:hAnsi="Arial" w:cs="Arial"/>
          <w:sz w:val="16"/>
          <w:szCs w:val="16"/>
        </w:rPr>
        <w:footnoteRef/>
      </w:r>
      <w:r w:rsidRPr="0044186F">
        <w:rPr>
          <w:rFonts w:ascii="Arial" w:hAnsi="Arial" w:cs="Arial"/>
          <w:sz w:val="16"/>
          <w:szCs w:val="16"/>
        </w:rPr>
        <w:t xml:space="preserve"> </w:t>
      </w:r>
      <w:r w:rsidR="003962B1" w:rsidRPr="0044186F">
        <w:rPr>
          <w:rFonts w:ascii="Arial" w:hAnsi="Arial" w:cs="Arial"/>
          <w:color w:val="7B7B7B" w:themeColor="accent3" w:themeShade="BF"/>
          <w:sz w:val="16"/>
          <w:szCs w:val="16"/>
          <w:lang w:val="en-GB"/>
        </w:rPr>
        <w:t>Ibid., s</w:t>
      </w:r>
      <w:r w:rsidRPr="0044186F">
        <w:rPr>
          <w:rFonts w:ascii="Arial" w:hAnsi="Arial" w:cs="Arial"/>
          <w:color w:val="7B7B7B" w:themeColor="accent3" w:themeShade="BF"/>
          <w:sz w:val="16"/>
          <w:szCs w:val="16"/>
          <w:lang w:val="en-GB"/>
        </w:rPr>
        <w:t>ection 91(3)(b)</w:t>
      </w:r>
    </w:p>
  </w:footnote>
  <w:footnote w:id="23">
    <w:p w14:paraId="28EAFB32" w14:textId="6551F415" w:rsidR="002B0B2D" w:rsidRPr="00084E3C" w:rsidRDefault="002B0B2D">
      <w:pPr>
        <w:pStyle w:val="FootnoteText"/>
        <w:rPr>
          <w:rFonts w:ascii="Arial" w:hAnsi="Arial" w:cs="Arial"/>
          <w:sz w:val="16"/>
          <w:szCs w:val="16"/>
          <w:lang w:val="en-GB"/>
        </w:rPr>
      </w:pPr>
      <w:r w:rsidRPr="00084E3C">
        <w:rPr>
          <w:rStyle w:val="FootnoteReference"/>
          <w:rFonts w:ascii="Arial" w:hAnsi="Arial" w:cs="Arial"/>
          <w:sz w:val="16"/>
          <w:szCs w:val="16"/>
        </w:rPr>
        <w:footnoteRef/>
      </w:r>
      <w:r w:rsidRPr="00084E3C">
        <w:rPr>
          <w:rFonts w:ascii="Arial" w:hAnsi="Arial" w:cs="Arial"/>
          <w:sz w:val="16"/>
          <w:szCs w:val="16"/>
        </w:rPr>
        <w:t xml:space="preserve"> </w:t>
      </w:r>
      <w:r w:rsidR="00BB043A" w:rsidRPr="00084E3C">
        <w:rPr>
          <w:rFonts w:ascii="Arial" w:hAnsi="Arial" w:cs="Arial"/>
          <w:color w:val="7B7B7B" w:themeColor="accent3" w:themeShade="BF"/>
          <w:sz w:val="16"/>
          <w:szCs w:val="16"/>
          <w:lang w:val="en-GB"/>
        </w:rPr>
        <w:t>Insolvency Act 2003, s</w:t>
      </w:r>
      <w:r w:rsidRPr="00084E3C">
        <w:rPr>
          <w:rFonts w:ascii="Arial" w:hAnsi="Arial" w:cs="Arial"/>
          <w:color w:val="7B7B7B" w:themeColor="accent3" w:themeShade="BF"/>
          <w:sz w:val="16"/>
          <w:szCs w:val="16"/>
          <w:lang w:val="en-GB"/>
        </w:rPr>
        <w:t>ection 159(1)(a)</w:t>
      </w:r>
    </w:p>
  </w:footnote>
  <w:footnote w:id="24">
    <w:p w14:paraId="4E69A8DB" w14:textId="74403996" w:rsidR="002B0B2D" w:rsidRPr="0044186F" w:rsidRDefault="002B0B2D">
      <w:pPr>
        <w:pStyle w:val="FootnoteText"/>
        <w:rPr>
          <w:rFonts w:ascii="Arial" w:hAnsi="Arial" w:cs="Arial"/>
          <w:sz w:val="16"/>
          <w:szCs w:val="16"/>
          <w:highlight w:val="magenta"/>
          <w:lang w:val="en-GB"/>
        </w:rPr>
      </w:pPr>
      <w:r w:rsidRPr="00084E3C">
        <w:rPr>
          <w:rStyle w:val="FootnoteReference"/>
          <w:rFonts w:ascii="Arial" w:hAnsi="Arial" w:cs="Arial"/>
          <w:sz w:val="16"/>
          <w:szCs w:val="16"/>
        </w:rPr>
        <w:footnoteRef/>
      </w:r>
      <w:r w:rsidRPr="00084E3C">
        <w:rPr>
          <w:rFonts w:ascii="Arial" w:hAnsi="Arial" w:cs="Arial"/>
          <w:sz w:val="16"/>
          <w:szCs w:val="16"/>
        </w:rPr>
        <w:t xml:space="preserve"> </w:t>
      </w:r>
      <w:r w:rsidR="00BB043A" w:rsidRPr="00084E3C">
        <w:rPr>
          <w:rFonts w:ascii="Arial" w:hAnsi="Arial" w:cs="Arial"/>
          <w:color w:val="7B7B7B" w:themeColor="accent3" w:themeShade="BF"/>
          <w:sz w:val="16"/>
          <w:szCs w:val="16"/>
          <w:lang w:val="en-GB"/>
        </w:rPr>
        <w:t>Ibid., s</w:t>
      </w:r>
      <w:r w:rsidRPr="00084E3C">
        <w:rPr>
          <w:rFonts w:ascii="Arial" w:hAnsi="Arial" w:cs="Arial"/>
          <w:color w:val="7B7B7B" w:themeColor="accent3" w:themeShade="BF"/>
          <w:sz w:val="16"/>
          <w:szCs w:val="16"/>
          <w:lang w:val="en-GB"/>
        </w:rPr>
        <w:t>ection 159(1)(b)</w:t>
      </w:r>
    </w:p>
  </w:footnote>
  <w:footnote w:id="25">
    <w:p w14:paraId="0B27EF3C" w14:textId="1FD7B30C" w:rsidR="009E0225" w:rsidRPr="007F299E" w:rsidRDefault="009E0225">
      <w:pPr>
        <w:pStyle w:val="FootnoteText"/>
        <w:rPr>
          <w:rFonts w:ascii="Arial" w:hAnsi="Arial" w:cs="Arial"/>
          <w:sz w:val="16"/>
          <w:szCs w:val="16"/>
          <w:lang w:val="en-GB"/>
        </w:rPr>
      </w:pPr>
      <w:r w:rsidRPr="007F299E">
        <w:rPr>
          <w:rStyle w:val="FootnoteReference"/>
          <w:rFonts w:ascii="Arial" w:hAnsi="Arial" w:cs="Arial"/>
          <w:sz w:val="16"/>
          <w:szCs w:val="16"/>
        </w:rPr>
        <w:footnoteRef/>
      </w:r>
      <w:r w:rsidRPr="007F299E">
        <w:rPr>
          <w:rFonts w:ascii="Arial" w:hAnsi="Arial" w:cs="Arial"/>
          <w:sz w:val="16"/>
          <w:szCs w:val="16"/>
        </w:rPr>
        <w:t xml:space="preserve"> </w:t>
      </w:r>
      <w:r w:rsidR="00BB043A" w:rsidRPr="007F299E">
        <w:rPr>
          <w:rFonts w:ascii="Arial" w:hAnsi="Arial" w:cs="Arial"/>
          <w:color w:val="7B7B7B" w:themeColor="accent3" w:themeShade="BF"/>
          <w:sz w:val="16"/>
          <w:szCs w:val="16"/>
          <w:lang w:val="en-GB"/>
        </w:rPr>
        <w:t>Ibid., s</w:t>
      </w:r>
      <w:r w:rsidRPr="007F299E">
        <w:rPr>
          <w:rFonts w:ascii="Arial" w:hAnsi="Arial" w:cs="Arial"/>
          <w:color w:val="7B7B7B" w:themeColor="accent3" w:themeShade="BF"/>
          <w:sz w:val="16"/>
          <w:szCs w:val="16"/>
          <w:lang w:val="en-GB"/>
        </w:rPr>
        <w:t>ection 162(1)(a)</w:t>
      </w:r>
    </w:p>
  </w:footnote>
  <w:footnote w:id="26">
    <w:p w14:paraId="188CA609" w14:textId="0396F006" w:rsidR="009E0225" w:rsidRPr="007F299E" w:rsidRDefault="009E0225">
      <w:pPr>
        <w:pStyle w:val="FootnoteText"/>
        <w:rPr>
          <w:rFonts w:ascii="Arial" w:hAnsi="Arial" w:cs="Arial"/>
          <w:sz w:val="16"/>
          <w:szCs w:val="16"/>
          <w:lang w:val="en-GB"/>
        </w:rPr>
      </w:pPr>
      <w:r w:rsidRPr="007F299E">
        <w:rPr>
          <w:rStyle w:val="FootnoteReference"/>
          <w:rFonts w:ascii="Arial" w:hAnsi="Arial" w:cs="Arial"/>
          <w:sz w:val="16"/>
          <w:szCs w:val="16"/>
        </w:rPr>
        <w:footnoteRef/>
      </w:r>
      <w:r w:rsidRPr="007F299E">
        <w:rPr>
          <w:rFonts w:ascii="Arial" w:hAnsi="Arial" w:cs="Arial"/>
          <w:sz w:val="16"/>
          <w:szCs w:val="16"/>
        </w:rPr>
        <w:t xml:space="preserve"> </w:t>
      </w:r>
      <w:r w:rsidR="00BB043A" w:rsidRPr="007F299E">
        <w:rPr>
          <w:rFonts w:ascii="Arial" w:hAnsi="Arial" w:cs="Arial"/>
          <w:color w:val="7B7B7B" w:themeColor="accent3" w:themeShade="BF"/>
          <w:sz w:val="16"/>
          <w:szCs w:val="16"/>
          <w:lang w:val="en-GB"/>
        </w:rPr>
        <w:t>Ibid., s</w:t>
      </w:r>
      <w:r w:rsidRPr="007F299E">
        <w:rPr>
          <w:rFonts w:ascii="Arial" w:hAnsi="Arial" w:cs="Arial"/>
          <w:color w:val="7B7B7B" w:themeColor="accent3" w:themeShade="BF"/>
          <w:sz w:val="16"/>
          <w:szCs w:val="16"/>
          <w:lang w:val="en-GB"/>
        </w:rPr>
        <w:t>ection 162(1)(b)</w:t>
      </w:r>
    </w:p>
  </w:footnote>
  <w:footnote w:id="27">
    <w:p w14:paraId="7AFC4827" w14:textId="55731CB5" w:rsidR="004A6B21" w:rsidRPr="0031156A" w:rsidRDefault="004A6B21">
      <w:pPr>
        <w:pStyle w:val="FootnoteText"/>
        <w:rPr>
          <w:rFonts w:ascii="Arial" w:hAnsi="Arial" w:cs="Arial"/>
          <w:sz w:val="16"/>
          <w:szCs w:val="16"/>
          <w:highlight w:val="magenta"/>
          <w:lang w:val="en-GB"/>
        </w:rPr>
      </w:pPr>
      <w:r w:rsidRPr="007F299E">
        <w:rPr>
          <w:rStyle w:val="FootnoteReference"/>
          <w:rFonts w:ascii="Arial" w:hAnsi="Arial" w:cs="Arial"/>
          <w:sz w:val="16"/>
          <w:szCs w:val="16"/>
        </w:rPr>
        <w:footnoteRef/>
      </w:r>
      <w:r w:rsidRPr="007F299E">
        <w:rPr>
          <w:rFonts w:ascii="Arial" w:hAnsi="Arial" w:cs="Arial"/>
          <w:sz w:val="16"/>
          <w:szCs w:val="16"/>
        </w:rPr>
        <w:t xml:space="preserve"> </w:t>
      </w:r>
      <w:r w:rsidR="00BB043A" w:rsidRPr="007F299E">
        <w:rPr>
          <w:rFonts w:ascii="Arial" w:hAnsi="Arial" w:cs="Arial"/>
          <w:color w:val="7B7B7B" w:themeColor="accent3" w:themeShade="BF"/>
          <w:sz w:val="16"/>
          <w:szCs w:val="16"/>
          <w:lang w:val="en-GB"/>
        </w:rPr>
        <w:t>Ibid., s</w:t>
      </w:r>
      <w:r w:rsidRPr="007F299E">
        <w:rPr>
          <w:rFonts w:ascii="Arial" w:hAnsi="Arial" w:cs="Arial"/>
          <w:color w:val="7B7B7B" w:themeColor="accent3" w:themeShade="BF"/>
          <w:sz w:val="16"/>
          <w:szCs w:val="16"/>
          <w:lang w:val="en-GB"/>
        </w:rPr>
        <w:t>ection 162(1)(c)</w:t>
      </w:r>
    </w:p>
  </w:footnote>
  <w:footnote w:id="28">
    <w:p w14:paraId="6FE661C6" w14:textId="77777777" w:rsidR="00CF7B40" w:rsidRPr="003E0760" w:rsidRDefault="00CF7B40" w:rsidP="003E0760">
      <w:pPr>
        <w:pStyle w:val="FootnoteText"/>
        <w:jc w:val="both"/>
        <w:rPr>
          <w:rFonts w:ascii="Arial" w:hAnsi="Arial" w:cs="Arial"/>
          <w:sz w:val="16"/>
          <w:szCs w:val="16"/>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Pr="003E0760">
        <w:rPr>
          <w:rFonts w:ascii="Arial" w:hAnsi="Arial" w:cs="Arial"/>
          <w:color w:val="7B7B7B" w:themeColor="accent3" w:themeShade="BF"/>
          <w:sz w:val="16"/>
          <w:szCs w:val="16"/>
          <w:lang w:val="en-GB"/>
        </w:rPr>
        <w:t>Ibid., section 162(2)(a)</w:t>
      </w:r>
    </w:p>
  </w:footnote>
  <w:footnote w:id="29">
    <w:p w14:paraId="7441E0D0" w14:textId="77777777" w:rsidR="00CF7B40" w:rsidRPr="003E0760" w:rsidRDefault="00CF7B40" w:rsidP="003E0760">
      <w:pPr>
        <w:pStyle w:val="FootnoteText"/>
        <w:jc w:val="both"/>
        <w:rPr>
          <w:rFonts w:ascii="Arial" w:hAnsi="Arial" w:cs="Arial"/>
          <w:sz w:val="16"/>
          <w:szCs w:val="16"/>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Pr="003E0760">
        <w:rPr>
          <w:rFonts w:ascii="Arial" w:hAnsi="Arial" w:cs="Arial"/>
          <w:color w:val="7B7B7B" w:themeColor="accent3" w:themeShade="BF"/>
          <w:sz w:val="16"/>
          <w:szCs w:val="16"/>
          <w:lang w:val="en-GB"/>
        </w:rPr>
        <w:t>Ibid., section 162(2)(b)</w:t>
      </w:r>
    </w:p>
  </w:footnote>
  <w:footnote w:id="30">
    <w:p w14:paraId="1E5A9475" w14:textId="77777777" w:rsidR="00CF7B40" w:rsidRPr="003E0760" w:rsidRDefault="00CF7B40" w:rsidP="003E0760">
      <w:pPr>
        <w:pStyle w:val="FootnoteText"/>
        <w:jc w:val="both"/>
        <w:rPr>
          <w:rFonts w:ascii="Arial" w:hAnsi="Arial" w:cs="Arial"/>
          <w:sz w:val="16"/>
          <w:szCs w:val="16"/>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Pr="003E0760">
        <w:rPr>
          <w:rFonts w:ascii="Arial" w:hAnsi="Arial" w:cs="Arial"/>
          <w:color w:val="7B7B7B" w:themeColor="accent3" w:themeShade="BF"/>
          <w:sz w:val="16"/>
          <w:szCs w:val="16"/>
          <w:lang w:val="en-GB"/>
        </w:rPr>
        <w:t>Ibid., section 162(2)(c)</w:t>
      </w:r>
    </w:p>
  </w:footnote>
  <w:footnote w:id="31">
    <w:p w14:paraId="13FE20F3" w14:textId="77777777" w:rsidR="00CF7B40" w:rsidRPr="003E0760" w:rsidRDefault="00CF7B40" w:rsidP="003E0760">
      <w:pPr>
        <w:pStyle w:val="FootnoteText"/>
        <w:jc w:val="both"/>
        <w:rPr>
          <w:rFonts w:ascii="Arial" w:hAnsi="Arial" w:cs="Arial"/>
          <w:sz w:val="16"/>
          <w:szCs w:val="16"/>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Pr="003E0760">
        <w:rPr>
          <w:rFonts w:ascii="Arial" w:hAnsi="Arial" w:cs="Arial"/>
          <w:color w:val="7B7B7B" w:themeColor="accent3" w:themeShade="BF"/>
          <w:sz w:val="16"/>
          <w:szCs w:val="16"/>
          <w:lang w:val="en-GB"/>
        </w:rPr>
        <w:t>Ibid., section 162(2)(d)</w:t>
      </w:r>
    </w:p>
  </w:footnote>
  <w:footnote w:id="32">
    <w:p w14:paraId="1742D8F4" w14:textId="77777777" w:rsidR="00CF7B40" w:rsidRPr="003E0760" w:rsidRDefault="00CF7B40" w:rsidP="003E0760">
      <w:pPr>
        <w:pStyle w:val="FootnoteText"/>
        <w:jc w:val="both"/>
        <w:rPr>
          <w:rFonts w:ascii="Arial" w:hAnsi="Arial" w:cs="Arial"/>
          <w:sz w:val="16"/>
          <w:szCs w:val="16"/>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Pr="003E0760">
        <w:rPr>
          <w:rFonts w:ascii="Arial" w:hAnsi="Arial" w:cs="Arial"/>
          <w:color w:val="7B7B7B" w:themeColor="accent3" w:themeShade="BF"/>
          <w:sz w:val="16"/>
          <w:szCs w:val="16"/>
          <w:lang w:val="en-GB"/>
        </w:rPr>
        <w:t>Ibid., section 162(2)(e)</w:t>
      </w:r>
    </w:p>
  </w:footnote>
  <w:footnote w:id="33">
    <w:p w14:paraId="7A89D7D6" w14:textId="77777777" w:rsidR="00CF7B40" w:rsidRPr="003E0760" w:rsidRDefault="00CF7B40" w:rsidP="003E0760">
      <w:pPr>
        <w:pStyle w:val="FootnoteText"/>
        <w:jc w:val="both"/>
        <w:rPr>
          <w:rFonts w:ascii="Arial" w:hAnsi="Arial" w:cs="Arial"/>
          <w:sz w:val="16"/>
          <w:szCs w:val="16"/>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Pr="003E0760">
        <w:rPr>
          <w:rFonts w:ascii="Arial" w:hAnsi="Arial" w:cs="Arial"/>
          <w:color w:val="7B7B7B" w:themeColor="accent3" w:themeShade="BF"/>
          <w:sz w:val="16"/>
          <w:szCs w:val="16"/>
          <w:lang w:val="en-GB"/>
        </w:rPr>
        <w:t>Ibid., section 162(2)(f)</w:t>
      </w:r>
    </w:p>
  </w:footnote>
  <w:footnote w:id="34">
    <w:p w14:paraId="152A2CB9" w14:textId="77777777" w:rsidR="00CF7B40" w:rsidRPr="003E0760" w:rsidRDefault="00CF7B40" w:rsidP="003E0760">
      <w:pPr>
        <w:pStyle w:val="FootnoteText"/>
        <w:jc w:val="both"/>
        <w:rPr>
          <w:rFonts w:ascii="Arial" w:hAnsi="Arial" w:cs="Arial"/>
          <w:sz w:val="16"/>
          <w:szCs w:val="16"/>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Pr="003E0760">
        <w:rPr>
          <w:rFonts w:ascii="Arial" w:hAnsi="Arial" w:cs="Arial"/>
          <w:color w:val="7B7B7B" w:themeColor="accent3" w:themeShade="BF"/>
          <w:sz w:val="16"/>
          <w:szCs w:val="16"/>
          <w:lang w:val="en-GB"/>
        </w:rPr>
        <w:t>Ibid., section 168(1)</w:t>
      </w:r>
    </w:p>
  </w:footnote>
  <w:footnote w:id="35">
    <w:p w14:paraId="0E0271FA" w14:textId="77777777" w:rsidR="00CF7B40" w:rsidRPr="003E0760" w:rsidRDefault="00CF7B40" w:rsidP="003E0760">
      <w:pPr>
        <w:pStyle w:val="FootnoteText"/>
        <w:jc w:val="both"/>
        <w:rPr>
          <w:rFonts w:ascii="Arial" w:hAnsi="Arial" w:cs="Arial"/>
          <w:sz w:val="16"/>
          <w:szCs w:val="16"/>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Pr="003E0760">
        <w:rPr>
          <w:rFonts w:ascii="Arial" w:hAnsi="Arial" w:cs="Arial"/>
          <w:color w:val="7B7B7B" w:themeColor="accent3" w:themeShade="BF"/>
          <w:sz w:val="16"/>
          <w:szCs w:val="16"/>
        </w:rPr>
        <w:t>Ibid., section 168(2)</w:t>
      </w:r>
    </w:p>
  </w:footnote>
  <w:footnote w:id="36">
    <w:p w14:paraId="0EDB4337" w14:textId="77777777" w:rsidR="00CF7B40" w:rsidRPr="003E0760" w:rsidRDefault="00CF7B40" w:rsidP="003E0760">
      <w:pPr>
        <w:pStyle w:val="FootnoteText"/>
        <w:jc w:val="both"/>
        <w:rPr>
          <w:rFonts w:ascii="Arial" w:hAnsi="Arial" w:cs="Arial"/>
          <w:sz w:val="16"/>
          <w:szCs w:val="16"/>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Pr="003E0760">
        <w:rPr>
          <w:rFonts w:ascii="Arial" w:hAnsi="Arial" w:cs="Arial"/>
          <w:color w:val="7B7B7B" w:themeColor="accent3" w:themeShade="BF"/>
          <w:sz w:val="16"/>
          <w:szCs w:val="16"/>
        </w:rPr>
        <w:t>Ibid., section 168(2)(a)</w:t>
      </w:r>
    </w:p>
  </w:footnote>
  <w:footnote w:id="37">
    <w:p w14:paraId="0CAE3BB9" w14:textId="77777777" w:rsidR="00CF7B40" w:rsidRPr="003E0760" w:rsidRDefault="00CF7B40" w:rsidP="003E0760">
      <w:pPr>
        <w:pStyle w:val="FootnoteText"/>
        <w:jc w:val="both"/>
        <w:rPr>
          <w:rFonts w:ascii="Arial" w:hAnsi="Arial" w:cs="Arial"/>
          <w:sz w:val="16"/>
          <w:szCs w:val="16"/>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Pr="003E0760">
        <w:rPr>
          <w:rFonts w:ascii="Arial" w:hAnsi="Arial" w:cs="Arial"/>
          <w:color w:val="7B7B7B" w:themeColor="accent3" w:themeShade="BF"/>
          <w:sz w:val="16"/>
          <w:szCs w:val="16"/>
        </w:rPr>
        <w:t>Ibid., section 168(2)(b)</w:t>
      </w:r>
    </w:p>
  </w:footnote>
  <w:footnote w:id="38">
    <w:p w14:paraId="3695ADED" w14:textId="77777777" w:rsidR="00A33601" w:rsidRPr="003E0760" w:rsidRDefault="00A33601" w:rsidP="003E0760">
      <w:pPr>
        <w:pStyle w:val="FootnoteText"/>
        <w:jc w:val="both"/>
        <w:rPr>
          <w:rFonts w:ascii="Arial" w:hAnsi="Arial" w:cs="Arial"/>
          <w:sz w:val="16"/>
          <w:szCs w:val="16"/>
          <w:highlight w:val="magenta"/>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Pr="003E0760">
        <w:rPr>
          <w:rFonts w:ascii="Arial" w:hAnsi="Arial" w:cs="Arial"/>
          <w:color w:val="7B7B7B" w:themeColor="accent3" w:themeShade="BF"/>
          <w:sz w:val="16"/>
          <w:szCs w:val="16"/>
          <w:lang w:val="en-GB"/>
        </w:rPr>
        <w:t>Ibid., section 162(3)</w:t>
      </w:r>
    </w:p>
  </w:footnote>
  <w:footnote w:id="39">
    <w:p w14:paraId="273E1F09" w14:textId="77777777" w:rsidR="00A33601" w:rsidRPr="003E0760" w:rsidRDefault="00A33601" w:rsidP="003E0760">
      <w:pPr>
        <w:pStyle w:val="FootnoteText"/>
        <w:jc w:val="both"/>
        <w:rPr>
          <w:rFonts w:ascii="Arial" w:hAnsi="Arial" w:cs="Arial"/>
          <w:sz w:val="16"/>
          <w:szCs w:val="16"/>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Pr="003E0760">
        <w:rPr>
          <w:rFonts w:ascii="Arial" w:hAnsi="Arial" w:cs="Arial"/>
          <w:color w:val="808080" w:themeColor="background1" w:themeShade="80"/>
          <w:sz w:val="16"/>
          <w:szCs w:val="16"/>
          <w:lang w:val="en-GB"/>
        </w:rPr>
        <w:t>Charlotte Walker,</w:t>
      </w:r>
      <w:r w:rsidRPr="003E0760">
        <w:rPr>
          <w:rFonts w:ascii="Arial" w:hAnsi="Arial" w:cs="Arial"/>
          <w:color w:val="808080" w:themeColor="background1" w:themeShade="80"/>
          <w:sz w:val="16"/>
          <w:szCs w:val="16"/>
        </w:rPr>
        <w:t xml:space="preserve"> text updated for 2022/2023 and 2023/2024 by Janet Watson,</w:t>
      </w:r>
      <w:r w:rsidRPr="003E0760">
        <w:rPr>
          <w:rFonts w:ascii="Arial" w:hAnsi="Arial" w:cs="Arial"/>
          <w:color w:val="808080" w:themeColor="background1" w:themeShade="80"/>
          <w:sz w:val="16"/>
          <w:szCs w:val="16"/>
          <w:lang w:val="en-GB"/>
        </w:rPr>
        <w:t xml:space="preserve"> “INSOL International, Foundation Certificate in International Insolvency Law, Module 5B Guidance Text, British Virgin Islands, 2023/2024”, p 35</w:t>
      </w:r>
    </w:p>
  </w:footnote>
  <w:footnote w:id="40">
    <w:p w14:paraId="1539701E" w14:textId="26674ED7" w:rsidR="00A33601" w:rsidRPr="003E0760" w:rsidRDefault="00A33601" w:rsidP="003E0760">
      <w:pPr>
        <w:pStyle w:val="FootnoteText"/>
        <w:jc w:val="both"/>
        <w:rPr>
          <w:rFonts w:ascii="Arial" w:hAnsi="Arial" w:cs="Arial"/>
          <w:sz w:val="16"/>
          <w:szCs w:val="16"/>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00841775" w:rsidRPr="00084E3C">
        <w:rPr>
          <w:rFonts w:ascii="Arial" w:hAnsi="Arial" w:cs="Arial"/>
          <w:color w:val="7B7B7B" w:themeColor="accent3" w:themeShade="BF"/>
          <w:sz w:val="16"/>
          <w:szCs w:val="16"/>
          <w:lang w:val="en-GB"/>
        </w:rPr>
        <w:t>Insolvency Act 2003</w:t>
      </w:r>
      <w:r w:rsidR="00841775">
        <w:rPr>
          <w:rFonts w:ascii="Arial" w:hAnsi="Arial" w:cs="Arial"/>
          <w:color w:val="7B7B7B" w:themeColor="accent3" w:themeShade="BF"/>
          <w:sz w:val="16"/>
          <w:szCs w:val="16"/>
          <w:lang w:val="en-GB"/>
        </w:rPr>
        <w:t xml:space="preserve">, </w:t>
      </w:r>
      <w:r w:rsidRPr="003E0760">
        <w:rPr>
          <w:rFonts w:ascii="Arial" w:hAnsi="Arial" w:cs="Arial"/>
          <w:color w:val="7B7B7B" w:themeColor="accent3" w:themeShade="BF"/>
          <w:sz w:val="16"/>
          <w:szCs w:val="16"/>
          <w:lang w:val="en-GB"/>
        </w:rPr>
        <w:t>section 162(4)</w:t>
      </w:r>
    </w:p>
  </w:footnote>
  <w:footnote w:id="41">
    <w:p w14:paraId="578EEC30" w14:textId="77777777" w:rsidR="00A33601" w:rsidRPr="003E0760" w:rsidRDefault="00A33601" w:rsidP="003E0760">
      <w:pPr>
        <w:pStyle w:val="FootnoteText"/>
        <w:jc w:val="both"/>
        <w:rPr>
          <w:rFonts w:ascii="Arial" w:hAnsi="Arial" w:cs="Arial"/>
          <w:sz w:val="16"/>
          <w:szCs w:val="16"/>
          <w:highlight w:val="magenta"/>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Pr="003E0760">
        <w:rPr>
          <w:rFonts w:ascii="Arial" w:hAnsi="Arial" w:cs="Arial"/>
          <w:color w:val="7B7B7B" w:themeColor="accent3" w:themeShade="BF"/>
          <w:sz w:val="16"/>
          <w:szCs w:val="16"/>
          <w:lang w:val="en-GB"/>
        </w:rPr>
        <w:t>Ibid., section 162(5)</w:t>
      </w:r>
    </w:p>
  </w:footnote>
  <w:footnote w:id="42">
    <w:p w14:paraId="546BBBFB" w14:textId="2C2396F3" w:rsidR="00EE6994" w:rsidRPr="003E0760" w:rsidRDefault="00EE6994" w:rsidP="003E0760">
      <w:pPr>
        <w:pStyle w:val="FootnoteText"/>
        <w:jc w:val="both"/>
        <w:rPr>
          <w:rFonts w:ascii="Arial" w:hAnsi="Arial" w:cs="Arial"/>
          <w:sz w:val="16"/>
          <w:szCs w:val="16"/>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007836FD" w:rsidRPr="003E0760">
        <w:rPr>
          <w:rFonts w:ascii="Arial" w:hAnsi="Arial" w:cs="Arial"/>
          <w:color w:val="7B7B7B" w:themeColor="accent3" w:themeShade="BF"/>
          <w:sz w:val="16"/>
          <w:szCs w:val="16"/>
          <w:lang w:val="en-GB"/>
        </w:rPr>
        <w:t>Ibid., s</w:t>
      </w:r>
      <w:r w:rsidRPr="003E0760">
        <w:rPr>
          <w:rFonts w:ascii="Arial" w:hAnsi="Arial" w:cs="Arial"/>
          <w:color w:val="7B7B7B" w:themeColor="accent3" w:themeShade="BF"/>
          <w:sz w:val="16"/>
          <w:szCs w:val="16"/>
          <w:lang w:val="en-GB"/>
        </w:rPr>
        <w:t>ection 16</w:t>
      </w:r>
      <w:r w:rsidR="00B219A4" w:rsidRPr="003E0760">
        <w:rPr>
          <w:rFonts w:ascii="Arial" w:hAnsi="Arial" w:cs="Arial"/>
          <w:color w:val="7B7B7B" w:themeColor="accent3" w:themeShade="BF"/>
          <w:sz w:val="16"/>
          <w:szCs w:val="16"/>
          <w:lang w:val="en-GB"/>
        </w:rPr>
        <w:t>3</w:t>
      </w:r>
      <w:r w:rsidRPr="003E0760">
        <w:rPr>
          <w:rFonts w:ascii="Arial" w:hAnsi="Arial" w:cs="Arial"/>
          <w:color w:val="7B7B7B" w:themeColor="accent3" w:themeShade="BF"/>
          <w:sz w:val="16"/>
          <w:szCs w:val="16"/>
          <w:lang w:val="en-GB"/>
        </w:rPr>
        <w:t>(1)(a)</w:t>
      </w:r>
    </w:p>
  </w:footnote>
  <w:footnote w:id="43">
    <w:p w14:paraId="4309B864" w14:textId="2000A124" w:rsidR="00784358" w:rsidRPr="003E0760" w:rsidRDefault="00784358" w:rsidP="003E0760">
      <w:pPr>
        <w:pStyle w:val="FootnoteText"/>
        <w:jc w:val="both"/>
        <w:rPr>
          <w:rFonts w:ascii="Arial" w:hAnsi="Arial" w:cs="Arial"/>
          <w:sz w:val="16"/>
          <w:szCs w:val="16"/>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007836FD" w:rsidRPr="003E0760">
        <w:rPr>
          <w:rFonts w:ascii="Arial" w:hAnsi="Arial" w:cs="Arial"/>
          <w:color w:val="7B7B7B" w:themeColor="accent3" w:themeShade="BF"/>
          <w:sz w:val="16"/>
          <w:szCs w:val="16"/>
          <w:lang w:val="en-GB"/>
        </w:rPr>
        <w:t>Ibid., s</w:t>
      </w:r>
      <w:r w:rsidR="00621FF2" w:rsidRPr="003E0760">
        <w:rPr>
          <w:rFonts w:ascii="Arial" w:hAnsi="Arial" w:cs="Arial"/>
          <w:color w:val="7B7B7B" w:themeColor="accent3" w:themeShade="BF"/>
          <w:sz w:val="16"/>
          <w:szCs w:val="16"/>
          <w:lang w:val="en-GB"/>
        </w:rPr>
        <w:t>ection 16</w:t>
      </w:r>
      <w:r w:rsidR="00B219A4" w:rsidRPr="003E0760">
        <w:rPr>
          <w:rFonts w:ascii="Arial" w:hAnsi="Arial" w:cs="Arial"/>
          <w:color w:val="7B7B7B" w:themeColor="accent3" w:themeShade="BF"/>
          <w:sz w:val="16"/>
          <w:szCs w:val="16"/>
          <w:lang w:val="en-GB"/>
        </w:rPr>
        <w:t>3</w:t>
      </w:r>
      <w:r w:rsidR="00621FF2" w:rsidRPr="003E0760">
        <w:rPr>
          <w:rFonts w:ascii="Arial" w:hAnsi="Arial" w:cs="Arial"/>
          <w:color w:val="7B7B7B" w:themeColor="accent3" w:themeShade="BF"/>
          <w:sz w:val="16"/>
          <w:szCs w:val="16"/>
          <w:lang w:val="en-GB"/>
        </w:rPr>
        <w:t>(1)(b)</w:t>
      </w:r>
    </w:p>
  </w:footnote>
  <w:footnote w:id="44">
    <w:p w14:paraId="7840055B" w14:textId="5774F0B0" w:rsidR="00784358" w:rsidRPr="003E0760" w:rsidRDefault="00784358" w:rsidP="003E0760">
      <w:pPr>
        <w:pStyle w:val="FootnoteText"/>
        <w:jc w:val="both"/>
        <w:rPr>
          <w:rFonts w:ascii="Arial" w:hAnsi="Arial" w:cs="Arial"/>
          <w:sz w:val="16"/>
          <w:szCs w:val="16"/>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007836FD" w:rsidRPr="003E0760">
        <w:rPr>
          <w:rFonts w:ascii="Arial" w:hAnsi="Arial" w:cs="Arial"/>
          <w:color w:val="7B7B7B" w:themeColor="accent3" w:themeShade="BF"/>
          <w:sz w:val="16"/>
          <w:szCs w:val="16"/>
          <w:lang w:val="en-GB"/>
        </w:rPr>
        <w:t>Ibid., s</w:t>
      </w:r>
      <w:r w:rsidR="00621FF2" w:rsidRPr="003E0760">
        <w:rPr>
          <w:rFonts w:ascii="Arial" w:hAnsi="Arial" w:cs="Arial"/>
          <w:color w:val="7B7B7B" w:themeColor="accent3" w:themeShade="BF"/>
          <w:sz w:val="16"/>
          <w:szCs w:val="16"/>
          <w:lang w:val="en-GB"/>
        </w:rPr>
        <w:t>ection 16</w:t>
      </w:r>
      <w:r w:rsidR="00B219A4" w:rsidRPr="003E0760">
        <w:rPr>
          <w:rFonts w:ascii="Arial" w:hAnsi="Arial" w:cs="Arial"/>
          <w:color w:val="7B7B7B" w:themeColor="accent3" w:themeShade="BF"/>
          <w:sz w:val="16"/>
          <w:szCs w:val="16"/>
          <w:lang w:val="en-GB"/>
        </w:rPr>
        <w:t>3</w:t>
      </w:r>
      <w:r w:rsidR="00621FF2" w:rsidRPr="003E0760">
        <w:rPr>
          <w:rFonts w:ascii="Arial" w:hAnsi="Arial" w:cs="Arial"/>
          <w:color w:val="7B7B7B" w:themeColor="accent3" w:themeShade="BF"/>
          <w:sz w:val="16"/>
          <w:szCs w:val="16"/>
          <w:lang w:val="en-GB"/>
        </w:rPr>
        <w:t>(1)(c)</w:t>
      </w:r>
    </w:p>
  </w:footnote>
  <w:footnote w:id="45">
    <w:p w14:paraId="1BA6A9F8" w14:textId="5B1A4661" w:rsidR="00784358" w:rsidRPr="003E0760" w:rsidRDefault="00784358" w:rsidP="003E0760">
      <w:pPr>
        <w:pStyle w:val="FootnoteText"/>
        <w:jc w:val="both"/>
        <w:rPr>
          <w:rFonts w:ascii="Arial" w:hAnsi="Arial" w:cs="Arial"/>
          <w:sz w:val="16"/>
          <w:szCs w:val="16"/>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007836FD" w:rsidRPr="003E0760">
        <w:rPr>
          <w:rFonts w:ascii="Arial" w:hAnsi="Arial" w:cs="Arial"/>
          <w:color w:val="7B7B7B" w:themeColor="accent3" w:themeShade="BF"/>
          <w:sz w:val="16"/>
          <w:szCs w:val="16"/>
          <w:lang w:val="en-GB"/>
        </w:rPr>
        <w:t>Ibid., s</w:t>
      </w:r>
      <w:r w:rsidR="00621FF2" w:rsidRPr="003E0760">
        <w:rPr>
          <w:rFonts w:ascii="Arial" w:hAnsi="Arial" w:cs="Arial"/>
          <w:color w:val="7B7B7B" w:themeColor="accent3" w:themeShade="BF"/>
          <w:sz w:val="16"/>
          <w:szCs w:val="16"/>
          <w:lang w:val="en-GB"/>
        </w:rPr>
        <w:t>ection 16</w:t>
      </w:r>
      <w:r w:rsidR="00B219A4" w:rsidRPr="003E0760">
        <w:rPr>
          <w:rFonts w:ascii="Arial" w:hAnsi="Arial" w:cs="Arial"/>
          <w:color w:val="7B7B7B" w:themeColor="accent3" w:themeShade="BF"/>
          <w:sz w:val="16"/>
          <w:szCs w:val="16"/>
          <w:lang w:val="en-GB"/>
        </w:rPr>
        <w:t>3</w:t>
      </w:r>
      <w:r w:rsidR="00621FF2" w:rsidRPr="003E0760">
        <w:rPr>
          <w:rFonts w:ascii="Arial" w:hAnsi="Arial" w:cs="Arial"/>
          <w:color w:val="7B7B7B" w:themeColor="accent3" w:themeShade="BF"/>
          <w:sz w:val="16"/>
          <w:szCs w:val="16"/>
          <w:lang w:val="en-GB"/>
        </w:rPr>
        <w:t>(1)(d)</w:t>
      </w:r>
    </w:p>
  </w:footnote>
  <w:footnote w:id="46">
    <w:p w14:paraId="5EB2CEE5" w14:textId="777D3038" w:rsidR="00784358" w:rsidRPr="003E0760" w:rsidRDefault="00784358" w:rsidP="003E0760">
      <w:pPr>
        <w:pStyle w:val="FootnoteText"/>
        <w:jc w:val="both"/>
        <w:rPr>
          <w:rFonts w:ascii="Arial" w:hAnsi="Arial" w:cs="Arial"/>
          <w:sz w:val="16"/>
          <w:szCs w:val="16"/>
          <w:highlight w:val="magenta"/>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00F10C56" w:rsidRPr="003E0760">
        <w:rPr>
          <w:rFonts w:ascii="Arial" w:hAnsi="Arial" w:cs="Arial"/>
          <w:color w:val="7B7B7B" w:themeColor="accent3" w:themeShade="BF"/>
          <w:sz w:val="16"/>
          <w:szCs w:val="16"/>
          <w:lang w:val="en-GB"/>
        </w:rPr>
        <w:t>Ibid., s</w:t>
      </w:r>
      <w:r w:rsidR="00621FF2" w:rsidRPr="003E0760">
        <w:rPr>
          <w:rFonts w:ascii="Arial" w:hAnsi="Arial" w:cs="Arial"/>
          <w:color w:val="7B7B7B" w:themeColor="accent3" w:themeShade="BF"/>
          <w:sz w:val="16"/>
          <w:szCs w:val="16"/>
          <w:lang w:val="en-GB"/>
        </w:rPr>
        <w:t>ection 16</w:t>
      </w:r>
      <w:r w:rsidR="00B219A4" w:rsidRPr="003E0760">
        <w:rPr>
          <w:rFonts w:ascii="Arial" w:hAnsi="Arial" w:cs="Arial"/>
          <w:color w:val="7B7B7B" w:themeColor="accent3" w:themeShade="BF"/>
          <w:sz w:val="16"/>
          <w:szCs w:val="16"/>
          <w:lang w:val="en-GB"/>
        </w:rPr>
        <w:t>3</w:t>
      </w:r>
      <w:r w:rsidR="00621FF2" w:rsidRPr="003E0760">
        <w:rPr>
          <w:rFonts w:ascii="Arial" w:hAnsi="Arial" w:cs="Arial"/>
          <w:color w:val="7B7B7B" w:themeColor="accent3" w:themeShade="BF"/>
          <w:sz w:val="16"/>
          <w:szCs w:val="16"/>
          <w:lang w:val="en-GB"/>
        </w:rPr>
        <w:t>(1)(e)</w:t>
      </w:r>
    </w:p>
  </w:footnote>
  <w:footnote w:id="47">
    <w:p w14:paraId="35C64519" w14:textId="2CCA4CFD" w:rsidR="00784358" w:rsidRPr="00BB043A" w:rsidRDefault="00784358" w:rsidP="003E0760">
      <w:pPr>
        <w:pStyle w:val="FootnoteText"/>
        <w:jc w:val="both"/>
        <w:rPr>
          <w:rFonts w:ascii="Arial" w:hAnsi="Arial" w:cs="Arial"/>
          <w:sz w:val="16"/>
          <w:szCs w:val="16"/>
          <w:highlight w:val="magenta"/>
          <w:lang w:val="en-GB"/>
        </w:rPr>
      </w:pPr>
      <w:r w:rsidRPr="003E0760">
        <w:rPr>
          <w:rStyle w:val="FootnoteReference"/>
          <w:rFonts w:ascii="Arial" w:hAnsi="Arial" w:cs="Arial"/>
          <w:sz w:val="16"/>
          <w:szCs w:val="16"/>
        </w:rPr>
        <w:footnoteRef/>
      </w:r>
      <w:r w:rsidRPr="003E0760">
        <w:rPr>
          <w:rFonts w:ascii="Arial" w:hAnsi="Arial" w:cs="Arial"/>
          <w:sz w:val="16"/>
          <w:szCs w:val="16"/>
        </w:rPr>
        <w:t xml:space="preserve"> </w:t>
      </w:r>
      <w:r w:rsidR="00F10C56" w:rsidRPr="003E0760">
        <w:rPr>
          <w:rFonts w:ascii="Arial" w:hAnsi="Arial" w:cs="Arial"/>
          <w:color w:val="7B7B7B" w:themeColor="accent3" w:themeShade="BF"/>
          <w:sz w:val="16"/>
          <w:szCs w:val="16"/>
          <w:lang w:val="en-GB"/>
        </w:rPr>
        <w:t>Ibid., s</w:t>
      </w:r>
      <w:r w:rsidR="00621FF2" w:rsidRPr="003E0760">
        <w:rPr>
          <w:rFonts w:ascii="Arial" w:hAnsi="Arial" w:cs="Arial"/>
          <w:color w:val="7B7B7B" w:themeColor="accent3" w:themeShade="BF"/>
          <w:sz w:val="16"/>
          <w:szCs w:val="16"/>
          <w:lang w:val="en-GB"/>
        </w:rPr>
        <w:t>ection 16</w:t>
      </w:r>
      <w:r w:rsidR="00B219A4" w:rsidRPr="003E0760">
        <w:rPr>
          <w:rFonts w:ascii="Arial" w:hAnsi="Arial" w:cs="Arial"/>
          <w:color w:val="7B7B7B" w:themeColor="accent3" w:themeShade="BF"/>
          <w:sz w:val="16"/>
          <w:szCs w:val="16"/>
          <w:lang w:val="en-GB"/>
        </w:rPr>
        <w:t>3</w:t>
      </w:r>
      <w:r w:rsidR="00621FF2" w:rsidRPr="003E0760">
        <w:rPr>
          <w:rFonts w:ascii="Arial" w:hAnsi="Arial" w:cs="Arial"/>
          <w:color w:val="7B7B7B" w:themeColor="accent3" w:themeShade="BF"/>
          <w:sz w:val="16"/>
          <w:szCs w:val="16"/>
          <w:lang w:val="en-GB"/>
        </w:rPr>
        <w:t>(1)(f)</w:t>
      </w:r>
    </w:p>
  </w:footnote>
  <w:footnote w:id="48">
    <w:p w14:paraId="459DC6A7" w14:textId="1E4F2F89" w:rsidR="00621FF2" w:rsidRPr="001E627B" w:rsidRDefault="00621FF2" w:rsidP="00841775">
      <w:pPr>
        <w:pStyle w:val="FootnoteText"/>
        <w:jc w:val="both"/>
        <w:rPr>
          <w:rFonts w:ascii="Arial" w:hAnsi="Arial" w:cs="Arial"/>
          <w:sz w:val="16"/>
          <w:szCs w:val="16"/>
          <w:lang w:val="en-GB"/>
        </w:rPr>
      </w:pPr>
      <w:r w:rsidRPr="001E627B">
        <w:rPr>
          <w:rStyle w:val="FootnoteReference"/>
          <w:rFonts w:ascii="Arial" w:hAnsi="Arial" w:cs="Arial"/>
          <w:sz w:val="16"/>
          <w:szCs w:val="16"/>
        </w:rPr>
        <w:footnoteRef/>
      </w:r>
      <w:r w:rsidRPr="001E627B">
        <w:rPr>
          <w:rFonts w:ascii="Arial" w:hAnsi="Arial" w:cs="Arial"/>
          <w:sz w:val="16"/>
          <w:szCs w:val="16"/>
        </w:rPr>
        <w:t xml:space="preserve"> </w:t>
      </w:r>
      <w:r w:rsidR="00277304" w:rsidRPr="001E627B">
        <w:rPr>
          <w:rFonts w:ascii="Arial" w:hAnsi="Arial" w:cs="Arial"/>
          <w:color w:val="7B7B7B" w:themeColor="accent3" w:themeShade="BF"/>
          <w:sz w:val="16"/>
          <w:szCs w:val="16"/>
          <w:lang w:val="en-GB"/>
        </w:rPr>
        <w:t>Ibid., s</w:t>
      </w:r>
      <w:r w:rsidRPr="001E627B">
        <w:rPr>
          <w:rFonts w:ascii="Arial" w:hAnsi="Arial" w:cs="Arial"/>
          <w:color w:val="7B7B7B" w:themeColor="accent3" w:themeShade="BF"/>
          <w:sz w:val="16"/>
          <w:szCs w:val="16"/>
          <w:lang w:val="en-GB"/>
        </w:rPr>
        <w:t>ection 163(2)(a)</w:t>
      </w:r>
    </w:p>
  </w:footnote>
  <w:footnote w:id="49">
    <w:p w14:paraId="2F0B36DA" w14:textId="389B6F1E" w:rsidR="00621FF2" w:rsidRPr="002B3315" w:rsidRDefault="00621FF2" w:rsidP="0084177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77304"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163(2)(b)</w:t>
      </w:r>
    </w:p>
  </w:footnote>
  <w:footnote w:id="50">
    <w:p w14:paraId="157899ED" w14:textId="085AD9A3" w:rsidR="00621FF2" w:rsidRPr="002B3315" w:rsidRDefault="00621FF2" w:rsidP="00841775">
      <w:pPr>
        <w:pStyle w:val="FootnoteText"/>
        <w:jc w:val="both"/>
        <w:rPr>
          <w:rFonts w:ascii="Arial" w:hAnsi="Arial" w:cs="Arial"/>
          <w:sz w:val="16"/>
          <w:szCs w:val="16"/>
          <w:highlight w:val="magenta"/>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77304"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163(2)(c)</w:t>
      </w:r>
    </w:p>
  </w:footnote>
  <w:footnote w:id="51">
    <w:p w14:paraId="7E590E9C" w14:textId="0288BD81" w:rsidR="00EE6994" w:rsidRPr="002B3315" w:rsidRDefault="00EE6994" w:rsidP="0084177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77304"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162(2)(a)</w:t>
      </w:r>
    </w:p>
  </w:footnote>
  <w:footnote w:id="52">
    <w:p w14:paraId="39928064" w14:textId="295F58F7" w:rsidR="00EE6994" w:rsidRPr="002B3315" w:rsidRDefault="00EE6994" w:rsidP="0084177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77304"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162(2)(b)</w:t>
      </w:r>
    </w:p>
  </w:footnote>
  <w:footnote w:id="53">
    <w:p w14:paraId="445450C6" w14:textId="67B1B870" w:rsidR="00EE6994" w:rsidRPr="002B3315" w:rsidRDefault="00EE6994" w:rsidP="0084177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77304"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162(2)(c)</w:t>
      </w:r>
    </w:p>
  </w:footnote>
  <w:footnote w:id="54">
    <w:p w14:paraId="71AB8A9A" w14:textId="452C7DDE" w:rsidR="00EE6994" w:rsidRPr="002B3315" w:rsidRDefault="00EE6994" w:rsidP="0084177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77304"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162(2)(d)</w:t>
      </w:r>
    </w:p>
  </w:footnote>
  <w:footnote w:id="55">
    <w:p w14:paraId="5CF12B82" w14:textId="3CD6ABBD" w:rsidR="00EE6994" w:rsidRPr="002B3315" w:rsidRDefault="00EE6994" w:rsidP="0084177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77304"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162(2)(e)</w:t>
      </w:r>
    </w:p>
  </w:footnote>
  <w:footnote w:id="56">
    <w:p w14:paraId="2B1EF3EB" w14:textId="6D39EA38" w:rsidR="00EE6994" w:rsidRPr="002B3315" w:rsidRDefault="00EE6994" w:rsidP="00841775">
      <w:pPr>
        <w:pStyle w:val="FootnoteText"/>
        <w:jc w:val="both"/>
        <w:rPr>
          <w:rFonts w:ascii="Arial" w:hAnsi="Arial" w:cs="Arial"/>
          <w:sz w:val="16"/>
          <w:szCs w:val="16"/>
          <w:highlight w:val="magenta"/>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77304"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162(2)(f)</w:t>
      </w:r>
    </w:p>
  </w:footnote>
  <w:footnote w:id="57">
    <w:p w14:paraId="1C74E771" w14:textId="36987606" w:rsidR="00EE6994" w:rsidRPr="002B3315" w:rsidRDefault="00EE6994" w:rsidP="0084177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77304" w:rsidRPr="002B3315">
        <w:rPr>
          <w:rFonts w:ascii="Arial" w:hAnsi="Arial" w:cs="Arial"/>
          <w:color w:val="7B7B7B" w:themeColor="accent3" w:themeShade="BF"/>
          <w:sz w:val="16"/>
          <w:szCs w:val="16"/>
          <w:lang w:val="en-GB"/>
        </w:rPr>
        <w:t xml:space="preserve">Ibid., </w:t>
      </w:r>
      <w:r w:rsidR="00BB043A" w:rsidRPr="002B3315">
        <w:rPr>
          <w:rFonts w:ascii="Arial" w:hAnsi="Arial" w:cs="Arial"/>
          <w:color w:val="7B7B7B" w:themeColor="accent3" w:themeShade="BF"/>
          <w:sz w:val="16"/>
          <w:szCs w:val="16"/>
          <w:lang w:val="en-GB"/>
        </w:rPr>
        <w:t>s</w:t>
      </w:r>
      <w:r w:rsidRPr="002B3315">
        <w:rPr>
          <w:rFonts w:ascii="Arial" w:hAnsi="Arial" w:cs="Arial"/>
          <w:color w:val="7B7B7B" w:themeColor="accent3" w:themeShade="BF"/>
          <w:sz w:val="16"/>
          <w:szCs w:val="16"/>
          <w:lang w:val="en-GB"/>
        </w:rPr>
        <w:t xml:space="preserve">ection </w:t>
      </w:r>
      <w:r w:rsidR="00872541" w:rsidRPr="002B3315">
        <w:rPr>
          <w:rFonts w:ascii="Arial" w:hAnsi="Arial" w:cs="Arial"/>
          <w:color w:val="7B7B7B" w:themeColor="accent3" w:themeShade="BF"/>
          <w:sz w:val="16"/>
          <w:szCs w:val="16"/>
          <w:lang w:val="en-GB"/>
        </w:rPr>
        <w:t>163(3A)</w:t>
      </w:r>
    </w:p>
  </w:footnote>
  <w:footnote w:id="58">
    <w:p w14:paraId="4BDFA787" w14:textId="700B9B3C" w:rsidR="00EE6994" w:rsidRPr="002B3315" w:rsidRDefault="00EE6994" w:rsidP="0084177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77304"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16</w:t>
      </w:r>
      <w:r w:rsidR="00B219A4" w:rsidRPr="002B3315">
        <w:rPr>
          <w:rFonts w:ascii="Arial" w:hAnsi="Arial" w:cs="Arial"/>
          <w:color w:val="7B7B7B" w:themeColor="accent3" w:themeShade="BF"/>
          <w:sz w:val="16"/>
          <w:szCs w:val="16"/>
          <w:lang w:val="en-GB"/>
        </w:rPr>
        <w:t>3</w:t>
      </w:r>
      <w:r w:rsidRPr="002B3315">
        <w:rPr>
          <w:rFonts w:ascii="Arial" w:hAnsi="Arial" w:cs="Arial"/>
          <w:color w:val="7B7B7B" w:themeColor="accent3" w:themeShade="BF"/>
          <w:sz w:val="16"/>
          <w:szCs w:val="16"/>
          <w:lang w:val="en-GB"/>
        </w:rPr>
        <w:t>(</w:t>
      </w:r>
      <w:r w:rsidR="00B219A4" w:rsidRPr="002B3315">
        <w:rPr>
          <w:rFonts w:ascii="Arial" w:hAnsi="Arial" w:cs="Arial"/>
          <w:color w:val="7B7B7B" w:themeColor="accent3" w:themeShade="BF"/>
          <w:sz w:val="16"/>
          <w:szCs w:val="16"/>
          <w:lang w:val="en-GB"/>
        </w:rPr>
        <w:t>3B</w:t>
      </w:r>
      <w:r w:rsidRPr="002B3315">
        <w:rPr>
          <w:rFonts w:ascii="Arial" w:hAnsi="Arial" w:cs="Arial"/>
          <w:color w:val="7B7B7B" w:themeColor="accent3" w:themeShade="BF"/>
          <w:sz w:val="16"/>
          <w:szCs w:val="16"/>
          <w:lang w:val="en-GB"/>
        </w:rPr>
        <w:t>)</w:t>
      </w:r>
    </w:p>
  </w:footnote>
  <w:footnote w:id="59">
    <w:p w14:paraId="196A81A8" w14:textId="77777777" w:rsidR="00F723B3" w:rsidRPr="002B3315" w:rsidRDefault="00F723B3" w:rsidP="00F723B3">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808080" w:themeColor="background1" w:themeShade="80"/>
          <w:sz w:val="16"/>
          <w:szCs w:val="16"/>
          <w:lang w:val="en-GB"/>
        </w:rPr>
        <w:t>Charlotte Walker,</w:t>
      </w:r>
      <w:r w:rsidRPr="002B3315">
        <w:rPr>
          <w:rFonts w:ascii="Arial" w:hAnsi="Arial" w:cs="Arial"/>
          <w:color w:val="808080" w:themeColor="background1" w:themeShade="80"/>
          <w:sz w:val="16"/>
          <w:szCs w:val="16"/>
        </w:rPr>
        <w:t xml:space="preserve"> text updated for 2022/2023 and 2023/2024 by Janet Watson,</w:t>
      </w:r>
      <w:r w:rsidRPr="002B3315">
        <w:rPr>
          <w:rFonts w:ascii="Arial" w:hAnsi="Arial" w:cs="Arial"/>
          <w:color w:val="808080" w:themeColor="background1" w:themeShade="80"/>
          <w:sz w:val="16"/>
          <w:szCs w:val="16"/>
          <w:lang w:val="en-GB"/>
        </w:rPr>
        <w:t xml:space="preserve"> “INSOL International, Foundation Certificate in International Insolvency Law, Module 5B Guidance Text, British Virgin Islands, 2023/2024”, p 29</w:t>
      </w:r>
    </w:p>
  </w:footnote>
  <w:footnote w:id="60">
    <w:p w14:paraId="0705C6C9" w14:textId="05418704" w:rsidR="0058170D" w:rsidRPr="002B3315" w:rsidRDefault="0058170D" w:rsidP="007235E2">
      <w:pPr>
        <w:jc w:val="both"/>
        <w:rPr>
          <w:rFonts w:ascii="Arial" w:hAnsi="Arial" w:cs="Arial"/>
          <w:color w:val="7B7B7B" w:themeColor="accent3" w:themeShade="BF"/>
          <w:sz w:val="16"/>
          <w:szCs w:val="16"/>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F59A9" w:rsidRPr="002B3315">
        <w:rPr>
          <w:rFonts w:ascii="Arial" w:hAnsi="Arial" w:cs="Arial"/>
          <w:color w:val="7B7B7B" w:themeColor="accent3" w:themeShade="BF"/>
          <w:sz w:val="16"/>
          <w:szCs w:val="16"/>
          <w:lang w:val="en-HK"/>
        </w:rPr>
        <w:t xml:space="preserve">Maples Group, Analysis &amp; Insights, “BVI Voluntary Liquidations Now Require a Locally Resident Voluntary Liquidator”, </w:t>
      </w:r>
      <w:hyperlink r:id="rId1" w:history="1">
        <w:r w:rsidR="000F59A9" w:rsidRPr="002B3315">
          <w:rPr>
            <w:rStyle w:val="Hyperlink"/>
            <w:rFonts w:ascii="Arial" w:hAnsi="Arial" w:cs="Arial"/>
            <w:sz w:val="16"/>
            <w:szCs w:val="16"/>
            <w:lang w:val="en-HK"/>
          </w:rPr>
          <w:t>https://maples.com/en/knowledge-centre/2022/12/bvi-voluntary-liquidations-now-require-a-locally-resident-voluntary-liquidator</w:t>
        </w:r>
      </w:hyperlink>
      <w:r w:rsidR="000F59A9" w:rsidRPr="002B3315">
        <w:rPr>
          <w:rFonts w:ascii="Arial" w:hAnsi="Arial" w:cs="Arial"/>
          <w:color w:val="7B7B7B" w:themeColor="accent3" w:themeShade="BF"/>
          <w:sz w:val="16"/>
          <w:szCs w:val="16"/>
          <w:lang w:val="en-HK"/>
        </w:rPr>
        <w:t xml:space="preserve">, published on 7 December 2022, accessed on </w:t>
      </w:r>
      <w:r w:rsidR="00C31C0F" w:rsidRPr="002B3315">
        <w:rPr>
          <w:rFonts w:ascii="Arial" w:hAnsi="Arial" w:cs="Arial"/>
          <w:color w:val="7B7B7B" w:themeColor="accent3" w:themeShade="BF"/>
          <w:sz w:val="16"/>
          <w:szCs w:val="16"/>
          <w:lang w:val="en-HK"/>
        </w:rPr>
        <w:t>21</w:t>
      </w:r>
      <w:r w:rsidR="00D27C95" w:rsidRPr="002B3315">
        <w:rPr>
          <w:rFonts w:ascii="Arial" w:hAnsi="Arial" w:cs="Arial"/>
          <w:color w:val="7B7B7B" w:themeColor="accent3" w:themeShade="BF"/>
          <w:sz w:val="16"/>
          <w:szCs w:val="16"/>
          <w:lang w:val="en-HK"/>
        </w:rPr>
        <w:t xml:space="preserve"> June</w:t>
      </w:r>
      <w:r w:rsidR="000F59A9" w:rsidRPr="002B3315">
        <w:rPr>
          <w:rFonts w:ascii="Arial" w:hAnsi="Arial" w:cs="Arial"/>
          <w:color w:val="7B7B7B" w:themeColor="accent3" w:themeShade="BF"/>
          <w:sz w:val="16"/>
          <w:szCs w:val="16"/>
          <w:lang w:val="en-HK"/>
        </w:rPr>
        <w:t xml:space="preserve"> 2024</w:t>
      </w:r>
    </w:p>
  </w:footnote>
  <w:footnote w:id="61">
    <w:p w14:paraId="03A7B1AA" w14:textId="7E6F4376" w:rsidR="0058170D" w:rsidRPr="002B3315" w:rsidRDefault="0058170D" w:rsidP="000A7A28">
      <w:pPr>
        <w:jc w:val="both"/>
        <w:rPr>
          <w:rFonts w:ascii="Arial" w:hAnsi="Arial" w:cs="Arial"/>
          <w:color w:val="7B7B7B" w:themeColor="accent3" w:themeShade="BF"/>
          <w:sz w:val="16"/>
          <w:szCs w:val="16"/>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bookmarkStart w:id="0" w:name="_Hlk169645896"/>
      <w:r w:rsidR="00277304" w:rsidRPr="002B3315">
        <w:rPr>
          <w:rFonts w:ascii="Arial" w:hAnsi="Arial" w:cs="Arial"/>
          <w:color w:val="7B7B7B" w:themeColor="accent3" w:themeShade="BF"/>
          <w:sz w:val="16"/>
          <w:szCs w:val="16"/>
          <w:lang w:val="en-HK"/>
        </w:rPr>
        <w:t>BVI Business Companies (Amendment) Act 2022, s</w:t>
      </w:r>
      <w:bookmarkEnd w:id="0"/>
      <w:r w:rsidR="000A7A28" w:rsidRPr="002B3315">
        <w:rPr>
          <w:rFonts w:ascii="Arial" w:hAnsi="Arial" w:cs="Arial"/>
          <w:color w:val="7B7B7B" w:themeColor="accent3" w:themeShade="BF"/>
          <w:sz w:val="16"/>
          <w:szCs w:val="16"/>
          <w:lang w:val="en-HK"/>
        </w:rPr>
        <w:t>ection 2(</w:t>
      </w:r>
      <w:r w:rsidR="001E1A40" w:rsidRPr="002B3315">
        <w:rPr>
          <w:rFonts w:ascii="Arial" w:hAnsi="Arial" w:cs="Arial"/>
          <w:color w:val="7B7B7B" w:themeColor="accent3" w:themeShade="BF"/>
          <w:sz w:val="16"/>
          <w:szCs w:val="16"/>
          <w:lang w:val="en-HK"/>
        </w:rPr>
        <w:t>1)</w:t>
      </w:r>
    </w:p>
  </w:footnote>
  <w:footnote w:id="62">
    <w:p w14:paraId="5357736A" w14:textId="2B7264FD" w:rsidR="0058170D" w:rsidRPr="00D6425B" w:rsidRDefault="0058170D" w:rsidP="009654F1">
      <w:pPr>
        <w:jc w:val="both"/>
        <w:rPr>
          <w:rFonts w:ascii="Arial" w:hAnsi="Arial" w:cs="Arial"/>
          <w:color w:val="7B7B7B" w:themeColor="accent3" w:themeShade="BF"/>
          <w:sz w:val="16"/>
          <w:szCs w:val="16"/>
          <w:highlight w:val="blue"/>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bookmarkStart w:id="1" w:name="_Hlk165624471"/>
      <w:r w:rsidR="00277304" w:rsidRPr="002B3315">
        <w:rPr>
          <w:rFonts w:ascii="Arial" w:hAnsi="Arial" w:cs="Arial"/>
          <w:color w:val="7B7B7B" w:themeColor="accent3" w:themeShade="BF"/>
          <w:sz w:val="16"/>
          <w:szCs w:val="16"/>
          <w:lang w:val="en-HK"/>
        </w:rPr>
        <w:t>Ibid., s</w:t>
      </w:r>
      <w:r w:rsidR="000A7A28" w:rsidRPr="002B3315">
        <w:rPr>
          <w:rFonts w:ascii="Arial" w:hAnsi="Arial" w:cs="Arial"/>
          <w:color w:val="7B7B7B" w:themeColor="accent3" w:themeShade="BF"/>
          <w:sz w:val="16"/>
          <w:szCs w:val="16"/>
        </w:rPr>
        <w:t>ection 2</w:t>
      </w:r>
      <w:r w:rsidR="00376D1F" w:rsidRPr="002B3315">
        <w:rPr>
          <w:rFonts w:ascii="Arial" w:hAnsi="Arial" w:cs="Arial"/>
          <w:color w:val="7B7B7B" w:themeColor="accent3" w:themeShade="BF"/>
          <w:sz w:val="16"/>
          <w:szCs w:val="16"/>
        </w:rPr>
        <w:t>(2</w:t>
      </w:r>
      <w:r w:rsidR="000A7A28" w:rsidRPr="002B3315">
        <w:rPr>
          <w:rFonts w:ascii="Arial" w:hAnsi="Arial" w:cs="Arial"/>
          <w:color w:val="7B7B7B" w:themeColor="accent3" w:themeShade="BF"/>
          <w:sz w:val="16"/>
          <w:szCs w:val="16"/>
        </w:rPr>
        <w:t>)</w:t>
      </w:r>
      <w:bookmarkEnd w:id="1"/>
    </w:p>
  </w:footnote>
  <w:footnote w:id="63">
    <w:p w14:paraId="0DB853BD" w14:textId="7D3CB7BC" w:rsidR="00486E13" w:rsidRPr="002B3315" w:rsidRDefault="00486E13"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HK"/>
        </w:rPr>
        <w:t>Ibid., s</w:t>
      </w:r>
      <w:r w:rsidRPr="002B3315">
        <w:rPr>
          <w:rFonts w:ascii="Arial" w:hAnsi="Arial" w:cs="Arial"/>
          <w:color w:val="7B7B7B" w:themeColor="accent3" w:themeShade="BF"/>
          <w:sz w:val="16"/>
          <w:szCs w:val="16"/>
        </w:rPr>
        <w:t>ection 2(3)(a)</w:t>
      </w:r>
    </w:p>
  </w:footnote>
  <w:footnote w:id="64">
    <w:p w14:paraId="5CF38D3C" w14:textId="11A11454" w:rsidR="0058170D" w:rsidRPr="002B3315" w:rsidRDefault="0058170D" w:rsidP="002B3315">
      <w:pPr>
        <w:jc w:val="both"/>
        <w:rPr>
          <w:rFonts w:ascii="Arial" w:hAnsi="Arial" w:cs="Arial"/>
          <w:color w:val="7B7B7B" w:themeColor="accent3" w:themeShade="BF"/>
          <w:sz w:val="16"/>
          <w:szCs w:val="16"/>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77304" w:rsidRPr="002B3315">
        <w:rPr>
          <w:rFonts w:ascii="Arial" w:hAnsi="Arial" w:cs="Arial"/>
          <w:color w:val="7B7B7B" w:themeColor="accent3" w:themeShade="BF"/>
          <w:sz w:val="16"/>
          <w:szCs w:val="16"/>
          <w:lang w:val="en-HK"/>
        </w:rPr>
        <w:t>Ibid., s</w:t>
      </w:r>
      <w:r w:rsidR="000A7A28" w:rsidRPr="002B3315">
        <w:rPr>
          <w:rFonts w:ascii="Arial" w:hAnsi="Arial" w:cs="Arial"/>
          <w:color w:val="7B7B7B" w:themeColor="accent3" w:themeShade="BF"/>
          <w:sz w:val="16"/>
          <w:szCs w:val="16"/>
          <w:lang w:val="en-HK"/>
        </w:rPr>
        <w:t xml:space="preserve">ection </w:t>
      </w:r>
      <w:r w:rsidR="00486E13" w:rsidRPr="002B3315">
        <w:rPr>
          <w:rFonts w:ascii="Arial" w:hAnsi="Arial" w:cs="Arial"/>
          <w:color w:val="7B7B7B" w:themeColor="accent3" w:themeShade="BF"/>
          <w:sz w:val="16"/>
          <w:szCs w:val="16"/>
          <w:lang w:val="en-HK"/>
        </w:rPr>
        <w:t>2(3)</w:t>
      </w:r>
      <w:r w:rsidR="000A7A28" w:rsidRPr="002B3315">
        <w:rPr>
          <w:rFonts w:ascii="Arial" w:hAnsi="Arial" w:cs="Arial"/>
          <w:color w:val="7B7B7B" w:themeColor="accent3" w:themeShade="BF"/>
          <w:sz w:val="16"/>
          <w:szCs w:val="16"/>
          <w:lang w:val="en-HK"/>
        </w:rPr>
        <w:t>(</w:t>
      </w:r>
      <w:r w:rsidR="00486E13" w:rsidRPr="002B3315">
        <w:rPr>
          <w:rFonts w:ascii="Arial" w:hAnsi="Arial" w:cs="Arial"/>
          <w:color w:val="7B7B7B" w:themeColor="accent3" w:themeShade="BF"/>
          <w:sz w:val="16"/>
          <w:szCs w:val="16"/>
          <w:lang w:val="en-HK"/>
        </w:rPr>
        <w:t>b</w:t>
      </w:r>
      <w:r w:rsidR="000A7A28" w:rsidRPr="002B3315">
        <w:rPr>
          <w:rFonts w:ascii="Arial" w:hAnsi="Arial" w:cs="Arial"/>
          <w:color w:val="7B7B7B" w:themeColor="accent3" w:themeShade="BF"/>
          <w:sz w:val="16"/>
          <w:szCs w:val="16"/>
          <w:lang w:val="en-HK"/>
        </w:rPr>
        <w:t>)</w:t>
      </w:r>
    </w:p>
  </w:footnote>
  <w:footnote w:id="65">
    <w:p w14:paraId="067E2DF0" w14:textId="104E6A28" w:rsidR="0058170D" w:rsidRPr="002B3315" w:rsidRDefault="0058170D" w:rsidP="002B3315">
      <w:pPr>
        <w:jc w:val="both"/>
        <w:rPr>
          <w:rFonts w:ascii="Arial" w:hAnsi="Arial" w:cs="Arial"/>
          <w:color w:val="7B7B7B" w:themeColor="accent3" w:themeShade="BF"/>
          <w:sz w:val="16"/>
          <w:szCs w:val="16"/>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77304" w:rsidRPr="002B3315">
        <w:rPr>
          <w:rFonts w:ascii="Arial" w:hAnsi="Arial" w:cs="Arial"/>
          <w:color w:val="7B7B7B" w:themeColor="accent3" w:themeShade="BF"/>
          <w:sz w:val="16"/>
          <w:szCs w:val="16"/>
          <w:lang w:val="en-HK"/>
        </w:rPr>
        <w:t>Ibid., s</w:t>
      </w:r>
      <w:r w:rsidR="000A7A28" w:rsidRPr="002B3315">
        <w:rPr>
          <w:rFonts w:ascii="Arial" w:hAnsi="Arial" w:cs="Arial"/>
          <w:color w:val="7B7B7B" w:themeColor="accent3" w:themeShade="BF"/>
          <w:sz w:val="16"/>
          <w:szCs w:val="16"/>
        </w:rPr>
        <w:t xml:space="preserve">ection </w:t>
      </w:r>
      <w:r w:rsidR="00486E13" w:rsidRPr="002B3315">
        <w:rPr>
          <w:rFonts w:ascii="Arial" w:hAnsi="Arial" w:cs="Arial"/>
          <w:color w:val="7B7B7B" w:themeColor="accent3" w:themeShade="BF"/>
          <w:sz w:val="16"/>
          <w:szCs w:val="16"/>
        </w:rPr>
        <w:t>2(4)</w:t>
      </w:r>
    </w:p>
  </w:footnote>
  <w:footnote w:id="66">
    <w:p w14:paraId="31B4FC52" w14:textId="38B3F9E3" w:rsidR="0058170D" w:rsidRPr="002B3315" w:rsidRDefault="0058170D" w:rsidP="002B3315">
      <w:pPr>
        <w:jc w:val="both"/>
        <w:rPr>
          <w:rFonts w:ascii="Arial" w:hAnsi="Arial" w:cs="Arial"/>
          <w:color w:val="7B7B7B" w:themeColor="accent3" w:themeShade="BF"/>
          <w:sz w:val="16"/>
          <w:szCs w:val="16"/>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A7A28" w:rsidRPr="002B3315">
        <w:rPr>
          <w:rFonts w:ascii="Arial" w:hAnsi="Arial" w:cs="Arial"/>
          <w:color w:val="7B7B7B" w:themeColor="accent3" w:themeShade="BF"/>
          <w:sz w:val="16"/>
          <w:szCs w:val="16"/>
          <w:lang w:val="en-HK"/>
        </w:rPr>
        <w:t xml:space="preserve">Elizabeth Killeen, Carey Olsen, “Amendments to the BVI Business Companies Act”, </w:t>
      </w:r>
      <w:hyperlink r:id="rId2" w:history="1">
        <w:r w:rsidR="000A7A28" w:rsidRPr="002B3315">
          <w:rPr>
            <w:rStyle w:val="Hyperlink"/>
            <w:rFonts w:ascii="Arial" w:hAnsi="Arial" w:cs="Arial"/>
            <w:sz w:val="16"/>
            <w:szCs w:val="16"/>
            <w:lang w:val="en-HK"/>
          </w:rPr>
          <w:t>https://www.careyolsen.com/insights/briefings/amendments-bvi-business-companies-act</w:t>
        </w:r>
      </w:hyperlink>
      <w:r w:rsidR="000A7A28" w:rsidRPr="002B3315">
        <w:rPr>
          <w:rFonts w:ascii="Arial" w:hAnsi="Arial" w:cs="Arial"/>
          <w:color w:val="7B7B7B" w:themeColor="accent3" w:themeShade="BF"/>
          <w:sz w:val="16"/>
          <w:szCs w:val="16"/>
          <w:lang w:val="en-HK"/>
        </w:rPr>
        <w:t xml:space="preserve">, published on 9 December 2022, accessed on </w:t>
      </w:r>
      <w:r w:rsidR="00C31C0F" w:rsidRPr="002B3315">
        <w:rPr>
          <w:rFonts w:ascii="Arial" w:hAnsi="Arial" w:cs="Arial"/>
          <w:color w:val="7B7B7B" w:themeColor="accent3" w:themeShade="BF"/>
          <w:sz w:val="16"/>
          <w:szCs w:val="16"/>
          <w:lang w:val="en-HK"/>
        </w:rPr>
        <w:t>21</w:t>
      </w:r>
      <w:r w:rsidR="00D27C95" w:rsidRPr="002B3315">
        <w:rPr>
          <w:rFonts w:ascii="Arial" w:hAnsi="Arial" w:cs="Arial"/>
          <w:color w:val="7B7B7B" w:themeColor="accent3" w:themeShade="BF"/>
          <w:sz w:val="16"/>
          <w:szCs w:val="16"/>
          <w:lang w:val="en-HK"/>
        </w:rPr>
        <w:t xml:space="preserve"> June</w:t>
      </w:r>
      <w:r w:rsidR="000A7A28" w:rsidRPr="002B3315">
        <w:rPr>
          <w:rFonts w:ascii="Arial" w:hAnsi="Arial" w:cs="Arial"/>
          <w:color w:val="7B7B7B" w:themeColor="accent3" w:themeShade="BF"/>
          <w:sz w:val="16"/>
          <w:szCs w:val="16"/>
          <w:lang w:val="en-HK"/>
        </w:rPr>
        <w:t xml:space="preserve"> 2024</w:t>
      </w:r>
    </w:p>
  </w:footnote>
  <w:footnote w:id="67">
    <w:p w14:paraId="4EAE2EF6" w14:textId="787A8459" w:rsidR="00FB3F48" w:rsidRPr="002B3315" w:rsidRDefault="00FB3F48"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HK"/>
        </w:rPr>
        <w:t>BVI Business Companies (Amendment) Regulations 2022, regulation 19(1)(a)</w:t>
      </w:r>
    </w:p>
  </w:footnote>
  <w:footnote w:id="68">
    <w:p w14:paraId="0740AF1B" w14:textId="14524DE3" w:rsidR="0058170D" w:rsidRPr="002B3315" w:rsidRDefault="0058170D" w:rsidP="002B3315">
      <w:pPr>
        <w:pStyle w:val="FootnoteText"/>
        <w:jc w:val="both"/>
        <w:rPr>
          <w:rFonts w:ascii="Arial" w:hAnsi="Arial" w:cs="Arial"/>
          <w:sz w:val="16"/>
          <w:szCs w:val="16"/>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FB3F48" w:rsidRPr="002B3315">
        <w:rPr>
          <w:rFonts w:ascii="Arial" w:hAnsi="Arial" w:cs="Arial"/>
          <w:color w:val="7B7B7B" w:themeColor="accent3" w:themeShade="BF"/>
          <w:sz w:val="16"/>
          <w:szCs w:val="16"/>
          <w:lang w:val="en-HK"/>
        </w:rPr>
        <w:t>Ibid.</w:t>
      </w:r>
      <w:r w:rsidR="007E0610" w:rsidRPr="002B3315">
        <w:rPr>
          <w:rFonts w:ascii="Arial" w:hAnsi="Arial" w:cs="Arial"/>
          <w:color w:val="7B7B7B" w:themeColor="accent3" w:themeShade="BF"/>
          <w:sz w:val="16"/>
          <w:szCs w:val="16"/>
          <w:lang w:val="en-HK"/>
        </w:rPr>
        <w:t>, r</w:t>
      </w:r>
      <w:r w:rsidR="000A7A28" w:rsidRPr="002B3315">
        <w:rPr>
          <w:rFonts w:ascii="Arial" w:hAnsi="Arial" w:cs="Arial"/>
          <w:color w:val="7B7B7B" w:themeColor="accent3" w:themeShade="BF"/>
          <w:sz w:val="16"/>
          <w:szCs w:val="16"/>
          <w:lang w:val="en-HK"/>
        </w:rPr>
        <w:t xml:space="preserve">egulation </w:t>
      </w:r>
      <w:r w:rsidR="00FB3F48" w:rsidRPr="002B3315">
        <w:rPr>
          <w:rFonts w:ascii="Arial" w:hAnsi="Arial" w:cs="Arial"/>
          <w:color w:val="7B7B7B" w:themeColor="accent3" w:themeShade="BF"/>
          <w:sz w:val="16"/>
          <w:szCs w:val="16"/>
          <w:lang w:val="en-HK"/>
        </w:rPr>
        <w:t>19(1)(b)</w:t>
      </w:r>
    </w:p>
  </w:footnote>
  <w:footnote w:id="69">
    <w:p w14:paraId="3D974895" w14:textId="5A25F7B7" w:rsidR="00FB3F48" w:rsidRPr="002B3315" w:rsidRDefault="00FB3F48"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HK"/>
        </w:rPr>
        <w:t>Ibid., regulation 19(1A)(a)</w:t>
      </w:r>
    </w:p>
  </w:footnote>
  <w:footnote w:id="70">
    <w:p w14:paraId="15857DFC" w14:textId="6963F905" w:rsidR="00FB3F48" w:rsidRPr="002B3315" w:rsidRDefault="00FB3F48"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HK"/>
        </w:rPr>
        <w:t>Ibid., regulation 19(1A)(b)</w:t>
      </w:r>
    </w:p>
  </w:footnote>
  <w:footnote w:id="71">
    <w:p w14:paraId="1C6A6278" w14:textId="1BDA6203" w:rsidR="004930D5" w:rsidRPr="002B3315" w:rsidRDefault="004930D5"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HK"/>
        </w:rPr>
        <w:t>Ibid., regulation 19(1A)(c)(i)</w:t>
      </w:r>
    </w:p>
  </w:footnote>
  <w:footnote w:id="72">
    <w:p w14:paraId="578A6610" w14:textId="272B7C6A" w:rsidR="0058170D" w:rsidRPr="002B3315" w:rsidRDefault="0058170D" w:rsidP="002B3315">
      <w:pPr>
        <w:pStyle w:val="FootnoteText"/>
        <w:jc w:val="both"/>
        <w:rPr>
          <w:rFonts w:ascii="Arial" w:hAnsi="Arial" w:cs="Arial"/>
          <w:sz w:val="16"/>
          <w:szCs w:val="16"/>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4930D5" w:rsidRPr="002B3315">
        <w:rPr>
          <w:rFonts w:ascii="Arial" w:hAnsi="Arial" w:cs="Arial"/>
          <w:color w:val="7B7B7B" w:themeColor="accent3" w:themeShade="BF"/>
          <w:sz w:val="16"/>
          <w:szCs w:val="16"/>
          <w:lang w:val="en-HK"/>
        </w:rPr>
        <w:t>Ibid., regulation 19(1A)(c)(ii)</w:t>
      </w:r>
    </w:p>
  </w:footnote>
  <w:footnote w:id="73">
    <w:p w14:paraId="6517958B" w14:textId="7A7281E3" w:rsidR="004930D5" w:rsidRPr="002B3315" w:rsidRDefault="004930D5"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HK"/>
        </w:rPr>
        <w:t>Ibid., regulation 19(1A)(d)</w:t>
      </w:r>
    </w:p>
  </w:footnote>
  <w:footnote w:id="74">
    <w:p w14:paraId="0D949B9F" w14:textId="408C41B2" w:rsidR="00224A17" w:rsidRPr="002B3315" w:rsidRDefault="00224A17"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808080" w:themeColor="background1" w:themeShade="80"/>
          <w:sz w:val="16"/>
          <w:szCs w:val="16"/>
          <w:lang w:val="en-GB"/>
        </w:rPr>
        <w:t>Charlotte Walker,</w:t>
      </w:r>
      <w:r w:rsidRPr="002B3315">
        <w:rPr>
          <w:rFonts w:ascii="Arial" w:hAnsi="Arial" w:cs="Arial"/>
          <w:color w:val="808080" w:themeColor="background1" w:themeShade="80"/>
          <w:sz w:val="16"/>
          <w:szCs w:val="16"/>
        </w:rPr>
        <w:t xml:space="preserve"> text updated for 2022/2023 and 2023/2024 by Janet Watson,</w:t>
      </w:r>
      <w:r w:rsidRPr="002B3315">
        <w:rPr>
          <w:rFonts w:ascii="Arial" w:hAnsi="Arial" w:cs="Arial"/>
          <w:color w:val="808080" w:themeColor="background1" w:themeShade="80"/>
          <w:sz w:val="16"/>
          <w:szCs w:val="16"/>
          <w:lang w:val="en-GB"/>
        </w:rPr>
        <w:t xml:space="preserve"> “INSOL International, Foundation Certificate in International Insolvency Law, Module 5B Guidance Text, British Virgin Islands, 2023/2024”, p 30</w:t>
      </w:r>
    </w:p>
  </w:footnote>
  <w:footnote w:id="75">
    <w:p w14:paraId="1537935D" w14:textId="46A9FC7B" w:rsidR="001D65F2" w:rsidRPr="002B3315" w:rsidRDefault="001D65F2"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1C3E8A" w:rsidRPr="002B3315">
        <w:rPr>
          <w:rFonts w:ascii="Arial" w:hAnsi="Arial" w:cs="Arial"/>
          <w:color w:val="7B7B7B" w:themeColor="accent3" w:themeShade="BF"/>
          <w:sz w:val="16"/>
          <w:szCs w:val="16"/>
          <w:lang w:val="en-HK"/>
        </w:rPr>
        <w:t xml:space="preserve">BVI Business Companies (Amendment) Regulations 2022, </w:t>
      </w:r>
      <w:r w:rsidRPr="002B3315">
        <w:rPr>
          <w:rFonts w:ascii="Arial" w:hAnsi="Arial" w:cs="Arial"/>
          <w:color w:val="7B7B7B" w:themeColor="accent3" w:themeShade="BF"/>
          <w:sz w:val="16"/>
          <w:szCs w:val="16"/>
          <w:lang w:val="en-HK"/>
        </w:rPr>
        <w:t>regulation 19(2)(h)</w:t>
      </w:r>
    </w:p>
  </w:footnote>
  <w:footnote w:id="76">
    <w:p w14:paraId="737A6A0C" w14:textId="40577B0D" w:rsidR="0058170D" w:rsidRPr="002B3315" w:rsidRDefault="0058170D" w:rsidP="002B3315">
      <w:pPr>
        <w:jc w:val="both"/>
        <w:rPr>
          <w:rFonts w:ascii="Arial" w:hAnsi="Arial" w:cs="Arial"/>
          <w:color w:val="7B7B7B" w:themeColor="accent3" w:themeShade="BF"/>
          <w:sz w:val="16"/>
          <w:szCs w:val="16"/>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7E0610" w:rsidRPr="002B3315">
        <w:rPr>
          <w:rFonts w:ascii="Arial" w:hAnsi="Arial" w:cs="Arial"/>
          <w:color w:val="7B7B7B" w:themeColor="accent3" w:themeShade="BF"/>
          <w:sz w:val="16"/>
          <w:szCs w:val="16"/>
          <w:lang w:val="en-HK"/>
        </w:rPr>
        <w:t>BVI Business Companies (Amendment) Act 2022, s</w:t>
      </w:r>
      <w:r w:rsidR="002910FF" w:rsidRPr="002B3315">
        <w:rPr>
          <w:rFonts w:ascii="Arial" w:hAnsi="Arial" w:cs="Arial"/>
          <w:color w:val="7B7B7B" w:themeColor="accent3" w:themeShade="BF"/>
          <w:sz w:val="16"/>
          <w:szCs w:val="16"/>
          <w:lang w:val="en-HK"/>
        </w:rPr>
        <w:t>ection 199(1)(a)</w:t>
      </w:r>
    </w:p>
  </w:footnote>
  <w:footnote w:id="77">
    <w:p w14:paraId="3A434053" w14:textId="49856FFC" w:rsidR="0058170D" w:rsidRPr="00F26E1F" w:rsidRDefault="0058170D" w:rsidP="002B3315">
      <w:pPr>
        <w:jc w:val="both"/>
        <w:rPr>
          <w:rFonts w:ascii="Arial" w:hAnsi="Arial" w:cs="Arial"/>
          <w:color w:val="7B7B7B" w:themeColor="accent3" w:themeShade="BF"/>
          <w:sz w:val="16"/>
          <w:szCs w:val="16"/>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7E0610" w:rsidRPr="002B3315">
        <w:rPr>
          <w:rFonts w:ascii="Arial" w:hAnsi="Arial" w:cs="Arial"/>
          <w:color w:val="7B7B7B" w:themeColor="accent3" w:themeShade="BF"/>
          <w:sz w:val="16"/>
          <w:szCs w:val="16"/>
          <w:lang w:val="en-HK"/>
        </w:rPr>
        <w:t>Ibid., s</w:t>
      </w:r>
      <w:r w:rsidR="002910FF" w:rsidRPr="002B3315">
        <w:rPr>
          <w:rFonts w:ascii="Arial" w:hAnsi="Arial" w:cs="Arial"/>
          <w:color w:val="7B7B7B" w:themeColor="accent3" w:themeShade="BF"/>
          <w:sz w:val="16"/>
          <w:szCs w:val="16"/>
          <w:lang w:val="en-HK"/>
        </w:rPr>
        <w:t>ection 199(1)(</w:t>
      </w:r>
      <w:r w:rsidR="0047089B" w:rsidRPr="002B3315">
        <w:rPr>
          <w:rFonts w:ascii="Arial" w:hAnsi="Arial" w:cs="Arial"/>
          <w:color w:val="7B7B7B" w:themeColor="accent3" w:themeShade="BF"/>
          <w:sz w:val="16"/>
          <w:szCs w:val="16"/>
          <w:lang w:val="en-HK"/>
        </w:rPr>
        <w:t>b</w:t>
      </w:r>
      <w:r w:rsidR="002910FF" w:rsidRPr="002B3315">
        <w:rPr>
          <w:rFonts w:ascii="Arial" w:hAnsi="Arial" w:cs="Arial"/>
          <w:color w:val="7B7B7B" w:themeColor="accent3" w:themeShade="BF"/>
          <w:sz w:val="16"/>
          <w:szCs w:val="16"/>
          <w:lang w:val="en-HK"/>
        </w:rPr>
        <w:t>)</w:t>
      </w:r>
    </w:p>
  </w:footnote>
  <w:footnote w:id="78">
    <w:p w14:paraId="25DD7E1B" w14:textId="0FB9D44A" w:rsidR="00F577F2" w:rsidRPr="00F26E1F" w:rsidRDefault="00F577F2" w:rsidP="00F26E1F">
      <w:pPr>
        <w:pStyle w:val="FootnoteText"/>
        <w:jc w:val="both"/>
        <w:rPr>
          <w:rFonts w:ascii="Arial" w:hAnsi="Arial" w:cs="Arial"/>
          <w:sz w:val="16"/>
          <w:szCs w:val="16"/>
          <w:lang w:val="en-GB"/>
        </w:rPr>
      </w:pPr>
      <w:r w:rsidRPr="00F26E1F">
        <w:rPr>
          <w:rStyle w:val="FootnoteReference"/>
          <w:rFonts w:ascii="Arial" w:hAnsi="Arial" w:cs="Arial"/>
          <w:sz w:val="16"/>
          <w:szCs w:val="16"/>
        </w:rPr>
        <w:footnoteRef/>
      </w:r>
      <w:r w:rsidRPr="00F26E1F">
        <w:rPr>
          <w:rFonts w:ascii="Arial" w:hAnsi="Arial" w:cs="Arial"/>
          <w:sz w:val="16"/>
          <w:szCs w:val="16"/>
        </w:rPr>
        <w:t xml:space="preserve"> </w:t>
      </w:r>
      <w:r w:rsidRPr="00F26E1F">
        <w:rPr>
          <w:rFonts w:ascii="Arial" w:hAnsi="Arial" w:cs="Arial"/>
          <w:color w:val="7B7B7B" w:themeColor="accent3" w:themeShade="BF"/>
          <w:sz w:val="16"/>
          <w:szCs w:val="16"/>
          <w:lang w:val="en-HK"/>
        </w:rPr>
        <w:t>Ibid., section 199(2)(d)</w:t>
      </w:r>
    </w:p>
  </w:footnote>
  <w:footnote w:id="79">
    <w:p w14:paraId="7BF89F76" w14:textId="326BC4E1" w:rsidR="0058170D" w:rsidRPr="00F26E1F" w:rsidRDefault="0058170D" w:rsidP="00F26E1F">
      <w:pPr>
        <w:jc w:val="both"/>
        <w:rPr>
          <w:rFonts w:ascii="Arial" w:hAnsi="Arial" w:cs="Arial"/>
          <w:color w:val="7B7B7B" w:themeColor="accent3" w:themeShade="BF"/>
          <w:sz w:val="16"/>
          <w:szCs w:val="16"/>
          <w:lang w:val="en-HK"/>
        </w:rPr>
      </w:pPr>
      <w:r w:rsidRPr="00F26E1F">
        <w:rPr>
          <w:rStyle w:val="FootnoteReference"/>
          <w:rFonts w:ascii="Arial" w:hAnsi="Arial" w:cs="Arial"/>
          <w:sz w:val="16"/>
          <w:szCs w:val="16"/>
        </w:rPr>
        <w:footnoteRef/>
      </w:r>
      <w:r w:rsidRPr="00F26E1F">
        <w:rPr>
          <w:rFonts w:ascii="Arial" w:hAnsi="Arial" w:cs="Arial"/>
          <w:sz w:val="16"/>
          <w:szCs w:val="16"/>
        </w:rPr>
        <w:t xml:space="preserve"> </w:t>
      </w:r>
      <w:r w:rsidR="007E0610" w:rsidRPr="00F26E1F">
        <w:rPr>
          <w:rFonts w:ascii="Arial" w:hAnsi="Arial" w:cs="Arial"/>
          <w:color w:val="7B7B7B" w:themeColor="accent3" w:themeShade="BF"/>
          <w:sz w:val="16"/>
          <w:szCs w:val="16"/>
          <w:lang w:val="en-HK"/>
        </w:rPr>
        <w:t>Ibid., s</w:t>
      </w:r>
      <w:r w:rsidR="00B70BCC" w:rsidRPr="00F26E1F">
        <w:rPr>
          <w:rFonts w:ascii="Arial" w:hAnsi="Arial" w:cs="Arial"/>
          <w:color w:val="7B7B7B" w:themeColor="accent3" w:themeShade="BF"/>
          <w:sz w:val="16"/>
          <w:szCs w:val="16"/>
          <w:lang w:val="en-HK"/>
        </w:rPr>
        <w:t>ection 199(3)(a)</w:t>
      </w:r>
    </w:p>
  </w:footnote>
  <w:footnote w:id="80">
    <w:p w14:paraId="0C0A59F2" w14:textId="46605663" w:rsidR="0058170D" w:rsidRPr="00F26E1F" w:rsidRDefault="0058170D" w:rsidP="00F26E1F">
      <w:pPr>
        <w:jc w:val="both"/>
        <w:rPr>
          <w:rFonts w:ascii="Arial" w:hAnsi="Arial" w:cs="Arial"/>
          <w:color w:val="7B7B7B" w:themeColor="accent3" w:themeShade="BF"/>
          <w:sz w:val="16"/>
          <w:szCs w:val="16"/>
          <w:lang w:val="en-HK"/>
        </w:rPr>
      </w:pPr>
      <w:r w:rsidRPr="00F26E1F">
        <w:rPr>
          <w:rStyle w:val="FootnoteReference"/>
          <w:rFonts w:ascii="Arial" w:hAnsi="Arial" w:cs="Arial"/>
          <w:sz w:val="16"/>
          <w:szCs w:val="16"/>
        </w:rPr>
        <w:footnoteRef/>
      </w:r>
      <w:r w:rsidRPr="00F26E1F">
        <w:rPr>
          <w:rFonts w:ascii="Arial" w:hAnsi="Arial" w:cs="Arial"/>
          <w:sz w:val="16"/>
          <w:szCs w:val="16"/>
        </w:rPr>
        <w:t xml:space="preserve"> </w:t>
      </w:r>
      <w:r w:rsidR="007E0610" w:rsidRPr="00F26E1F">
        <w:rPr>
          <w:rFonts w:ascii="Arial" w:hAnsi="Arial" w:cs="Arial"/>
          <w:color w:val="7B7B7B" w:themeColor="accent3" w:themeShade="BF"/>
          <w:sz w:val="16"/>
          <w:szCs w:val="16"/>
          <w:lang w:val="en-HK"/>
        </w:rPr>
        <w:t>Ibid., s</w:t>
      </w:r>
      <w:r w:rsidR="00B70BCC" w:rsidRPr="00F26E1F">
        <w:rPr>
          <w:rFonts w:ascii="Arial" w:hAnsi="Arial" w:cs="Arial"/>
          <w:color w:val="7B7B7B" w:themeColor="accent3" w:themeShade="BF"/>
          <w:sz w:val="16"/>
          <w:szCs w:val="16"/>
          <w:lang w:val="en-HK"/>
        </w:rPr>
        <w:t>ection 199(3)(b)</w:t>
      </w:r>
    </w:p>
  </w:footnote>
  <w:footnote w:id="81">
    <w:p w14:paraId="042957EF" w14:textId="28F91405" w:rsidR="0058170D" w:rsidRPr="00F26E1F" w:rsidRDefault="0058170D" w:rsidP="00F26E1F">
      <w:pPr>
        <w:jc w:val="both"/>
        <w:rPr>
          <w:rFonts w:ascii="Arial" w:hAnsi="Arial" w:cs="Arial"/>
          <w:color w:val="7B7B7B" w:themeColor="accent3" w:themeShade="BF"/>
          <w:sz w:val="16"/>
          <w:szCs w:val="16"/>
          <w:lang w:val="en-HK"/>
        </w:rPr>
      </w:pPr>
      <w:r w:rsidRPr="00F26E1F">
        <w:rPr>
          <w:rStyle w:val="FootnoteReference"/>
          <w:rFonts w:ascii="Arial" w:hAnsi="Arial" w:cs="Arial"/>
          <w:sz w:val="16"/>
          <w:szCs w:val="16"/>
        </w:rPr>
        <w:footnoteRef/>
      </w:r>
      <w:r w:rsidRPr="00F26E1F">
        <w:rPr>
          <w:rFonts w:ascii="Arial" w:hAnsi="Arial" w:cs="Arial"/>
          <w:sz w:val="16"/>
          <w:szCs w:val="16"/>
        </w:rPr>
        <w:t xml:space="preserve"> </w:t>
      </w:r>
      <w:r w:rsidR="00B63AE5" w:rsidRPr="00F26E1F">
        <w:rPr>
          <w:rFonts w:ascii="Arial" w:hAnsi="Arial" w:cs="Arial"/>
          <w:color w:val="7B7B7B" w:themeColor="accent3" w:themeShade="BF"/>
          <w:sz w:val="16"/>
          <w:szCs w:val="16"/>
          <w:lang w:val="en-HK"/>
        </w:rPr>
        <w:t>Ibid., s</w:t>
      </w:r>
      <w:r w:rsidR="00B70BCC" w:rsidRPr="00F26E1F">
        <w:rPr>
          <w:rFonts w:ascii="Arial" w:hAnsi="Arial" w:cs="Arial"/>
          <w:color w:val="7B7B7B" w:themeColor="accent3" w:themeShade="BF"/>
          <w:sz w:val="16"/>
          <w:szCs w:val="16"/>
          <w:lang w:val="en-HK"/>
        </w:rPr>
        <w:t>ection 200(3)(a)</w:t>
      </w:r>
    </w:p>
  </w:footnote>
  <w:footnote w:id="82">
    <w:p w14:paraId="411F1616" w14:textId="6CF680A9" w:rsidR="0058170D" w:rsidRPr="00F26E1F" w:rsidRDefault="0058170D" w:rsidP="00F26E1F">
      <w:pPr>
        <w:jc w:val="both"/>
        <w:rPr>
          <w:rFonts w:ascii="Arial" w:hAnsi="Arial" w:cs="Arial"/>
          <w:color w:val="7B7B7B" w:themeColor="accent3" w:themeShade="BF"/>
          <w:sz w:val="16"/>
          <w:szCs w:val="16"/>
          <w:lang w:val="en-HK"/>
        </w:rPr>
      </w:pPr>
      <w:r w:rsidRPr="00F26E1F">
        <w:rPr>
          <w:rStyle w:val="FootnoteReference"/>
          <w:rFonts w:ascii="Arial" w:hAnsi="Arial" w:cs="Arial"/>
          <w:sz w:val="16"/>
          <w:szCs w:val="16"/>
        </w:rPr>
        <w:footnoteRef/>
      </w:r>
      <w:r w:rsidRPr="00F26E1F">
        <w:rPr>
          <w:rFonts w:ascii="Arial" w:hAnsi="Arial" w:cs="Arial"/>
          <w:sz w:val="16"/>
          <w:szCs w:val="16"/>
        </w:rPr>
        <w:t xml:space="preserve"> </w:t>
      </w:r>
      <w:r w:rsidR="00B63AE5" w:rsidRPr="00F26E1F">
        <w:rPr>
          <w:rFonts w:ascii="Arial" w:hAnsi="Arial" w:cs="Arial"/>
          <w:color w:val="7B7B7B" w:themeColor="accent3" w:themeShade="BF"/>
          <w:sz w:val="16"/>
          <w:szCs w:val="16"/>
          <w:lang w:val="en-HK"/>
        </w:rPr>
        <w:t>Ibid., s</w:t>
      </w:r>
      <w:r w:rsidR="00B70BCC" w:rsidRPr="00F26E1F">
        <w:rPr>
          <w:rFonts w:ascii="Arial" w:hAnsi="Arial" w:cs="Arial"/>
          <w:color w:val="7B7B7B" w:themeColor="accent3" w:themeShade="BF"/>
          <w:sz w:val="16"/>
          <w:szCs w:val="16"/>
          <w:lang w:val="en-HK"/>
        </w:rPr>
        <w:t>ection 200(3)(b)</w:t>
      </w:r>
    </w:p>
  </w:footnote>
  <w:footnote w:id="83">
    <w:p w14:paraId="2C77AD2D" w14:textId="69A92C72" w:rsidR="00EF78F8" w:rsidRPr="00F26E1F" w:rsidRDefault="00EF78F8" w:rsidP="00F26E1F">
      <w:pPr>
        <w:pStyle w:val="FootnoteText"/>
        <w:jc w:val="both"/>
        <w:rPr>
          <w:rFonts w:ascii="Arial" w:hAnsi="Arial" w:cs="Arial"/>
          <w:sz w:val="16"/>
          <w:szCs w:val="16"/>
          <w:lang w:val="en-GB"/>
        </w:rPr>
      </w:pPr>
      <w:r w:rsidRPr="00F26E1F">
        <w:rPr>
          <w:rStyle w:val="FootnoteReference"/>
          <w:rFonts w:ascii="Arial" w:hAnsi="Arial" w:cs="Arial"/>
          <w:sz w:val="16"/>
          <w:szCs w:val="16"/>
        </w:rPr>
        <w:footnoteRef/>
      </w:r>
      <w:r w:rsidRPr="00F26E1F">
        <w:rPr>
          <w:rFonts w:ascii="Arial" w:hAnsi="Arial" w:cs="Arial"/>
          <w:sz w:val="16"/>
          <w:szCs w:val="16"/>
        </w:rPr>
        <w:t xml:space="preserve"> </w:t>
      </w:r>
      <w:r w:rsidRPr="00F26E1F">
        <w:rPr>
          <w:rFonts w:ascii="Arial" w:hAnsi="Arial" w:cs="Arial"/>
          <w:color w:val="7B7B7B" w:themeColor="accent3" w:themeShade="BF"/>
          <w:sz w:val="16"/>
          <w:szCs w:val="16"/>
          <w:lang w:val="en-HK"/>
        </w:rPr>
        <w:t>Ibid., section 200(4)</w:t>
      </w:r>
    </w:p>
  </w:footnote>
  <w:footnote w:id="84">
    <w:p w14:paraId="609F0E8D" w14:textId="30D438B2" w:rsidR="0058170D" w:rsidRPr="00F26E1F" w:rsidRDefault="0058170D" w:rsidP="00F26E1F">
      <w:pPr>
        <w:jc w:val="both"/>
        <w:rPr>
          <w:rFonts w:ascii="Arial" w:hAnsi="Arial" w:cs="Arial"/>
          <w:color w:val="7B7B7B" w:themeColor="accent3" w:themeShade="BF"/>
          <w:sz w:val="16"/>
          <w:szCs w:val="16"/>
          <w:highlight w:val="darkCyan"/>
          <w:lang w:val="en-HK"/>
        </w:rPr>
      </w:pPr>
      <w:r w:rsidRPr="00F26E1F">
        <w:rPr>
          <w:rStyle w:val="FootnoteReference"/>
          <w:rFonts w:ascii="Arial" w:hAnsi="Arial" w:cs="Arial"/>
          <w:sz w:val="16"/>
          <w:szCs w:val="16"/>
        </w:rPr>
        <w:footnoteRef/>
      </w:r>
      <w:r w:rsidRPr="00F26E1F">
        <w:rPr>
          <w:rFonts w:ascii="Arial" w:hAnsi="Arial" w:cs="Arial"/>
          <w:sz w:val="16"/>
          <w:szCs w:val="16"/>
        </w:rPr>
        <w:t xml:space="preserve"> </w:t>
      </w:r>
      <w:bookmarkStart w:id="2" w:name="_Hlk165627355"/>
      <w:r w:rsidR="00B63AE5" w:rsidRPr="00F26E1F">
        <w:rPr>
          <w:rFonts w:ascii="Arial" w:hAnsi="Arial" w:cs="Arial"/>
          <w:color w:val="7B7B7B" w:themeColor="accent3" w:themeShade="BF"/>
          <w:sz w:val="16"/>
          <w:szCs w:val="16"/>
          <w:lang w:val="en-HK"/>
        </w:rPr>
        <w:t>Ibid., s</w:t>
      </w:r>
      <w:r w:rsidR="00B70BCC" w:rsidRPr="00F26E1F">
        <w:rPr>
          <w:rFonts w:ascii="Arial" w:hAnsi="Arial" w:cs="Arial"/>
          <w:color w:val="7B7B7B" w:themeColor="accent3" w:themeShade="BF"/>
          <w:sz w:val="16"/>
          <w:szCs w:val="16"/>
          <w:lang w:val="en-HK"/>
        </w:rPr>
        <w:t>ection 200(3A)</w:t>
      </w:r>
    </w:p>
    <w:bookmarkEnd w:id="2"/>
  </w:footnote>
  <w:footnote w:id="85">
    <w:p w14:paraId="50FE18C7" w14:textId="1F07D2B0" w:rsidR="0058170D" w:rsidRPr="00F26E1F" w:rsidRDefault="0058170D" w:rsidP="00F26E1F">
      <w:pPr>
        <w:jc w:val="both"/>
        <w:rPr>
          <w:rFonts w:ascii="Arial" w:hAnsi="Arial" w:cs="Arial"/>
          <w:color w:val="7B7B7B" w:themeColor="accent3" w:themeShade="BF"/>
          <w:sz w:val="16"/>
          <w:szCs w:val="16"/>
          <w:lang w:val="en-GB"/>
        </w:rPr>
      </w:pPr>
      <w:r w:rsidRPr="00F26E1F">
        <w:rPr>
          <w:rStyle w:val="FootnoteReference"/>
          <w:rFonts w:ascii="Arial" w:hAnsi="Arial" w:cs="Arial"/>
          <w:sz w:val="16"/>
          <w:szCs w:val="16"/>
        </w:rPr>
        <w:footnoteRef/>
      </w:r>
      <w:r w:rsidRPr="00F26E1F">
        <w:rPr>
          <w:rFonts w:ascii="Arial" w:hAnsi="Arial" w:cs="Arial"/>
          <w:sz w:val="16"/>
          <w:szCs w:val="16"/>
        </w:rPr>
        <w:t xml:space="preserve"> </w:t>
      </w:r>
      <w:r w:rsidR="00B63AE5" w:rsidRPr="00F26E1F">
        <w:rPr>
          <w:rFonts w:ascii="Arial" w:hAnsi="Arial" w:cs="Arial"/>
          <w:color w:val="7B7B7B" w:themeColor="accent3" w:themeShade="BF"/>
          <w:sz w:val="16"/>
          <w:szCs w:val="16"/>
          <w:lang w:val="en-HK"/>
        </w:rPr>
        <w:t>Ibid., s</w:t>
      </w:r>
      <w:r w:rsidR="00B70BCC" w:rsidRPr="00F26E1F">
        <w:rPr>
          <w:rFonts w:ascii="Arial" w:hAnsi="Arial" w:cs="Arial"/>
          <w:color w:val="7B7B7B" w:themeColor="accent3" w:themeShade="BF"/>
          <w:sz w:val="16"/>
          <w:szCs w:val="16"/>
          <w:lang w:val="en-GB"/>
        </w:rPr>
        <w:t>ection 204(1)(a)(i)</w:t>
      </w:r>
    </w:p>
  </w:footnote>
  <w:footnote w:id="86">
    <w:p w14:paraId="3F09772A" w14:textId="1A33F04E" w:rsidR="0058170D" w:rsidRPr="00F26E1F" w:rsidRDefault="0058170D" w:rsidP="00F26E1F">
      <w:pPr>
        <w:jc w:val="both"/>
        <w:rPr>
          <w:rFonts w:ascii="Arial" w:hAnsi="Arial" w:cs="Arial"/>
          <w:color w:val="7B7B7B" w:themeColor="accent3" w:themeShade="BF"/>
          <w:sz w:val="16"/>
          <w:szCs w:val="16"/>
          <w:lang w:val="en-GB"/>
        </w:rPr>
      </w:pPr>
      <w:r w:rsidRPr="00F26E1F">
        <w:rPr>
          <w:rStyle w:val="FootnoteReference"/>
          <w:rFonts w:ascii="Arial" w:hAnsi="Arial" w:cs="Arial"/>
          <w:sz w:val="16"/>
          <w:szCs w:val="16"/>
        </w:rPr>
        <w:footnoteRef/>
      </w:r>
      <w:r w:rsidRPr="00F26E1F">
        <w:rPr>
          <w:rFonts w:ascii="Arial" w:hAnsi="Arial" w:cs="Arial"/>
          <w:sz w:val="16"/>
          <w:szCs w:val="16"/>
        </w:rPr>
        <w:t xml:space="preserve"> </w:t>
      </w:r>
      <w:r w:rsidR="00B63AE5" w:rsidRPr="00F26E1F">
        <w:rPr>
          <w:rFonts w:ascii="Arial" w:hAnsi="Arial" w:cs="Arial"/>
          <w:color w:val="7B7B7B" w:themeColor="accent3" w:themeShade="BF"/>
          <w:sz w:val="16"/>
          <w:szCs w:val="16"/>
          <w:lang w:val="en-HK"/>
        </w:rPr>
        <w:t>Ibid., s</w:t>
      </w:r>
      <w:r w:rsidR="00B70BCC" w:rsidRPr="00F26E1F">
        <w:rPr>
          <w:rFonts w:ascii="Arial" w:hAnsi="Arial" w:cs="Arial"/>
          <w:color w:val="7B7B7B" w:themeColor="accent3" w:themeShade="BF"/>
          <w:sz w:val="16"/>
          <w:szCs w:val="16"/>
          <w:lang w:val="en-GB"/>
        </w:rPr>
        <w:t>ection 204(1)(a)(ii)</w:t>
      </w:r>
    </w:p>
  </w:footnote>
  <w:footnote w:id="87">
    <w:p w14:paraId="692D5D2C" w14:textId="10CA9509" w:rsidR="0058170D" w:rsidRPr="00F26E1F" w:rsidRDefault="0058170D" w:rsidP="00F26E1F">
      <w:pPr>
        <w:jc w:val="both"/>
        <w:rPr>
          <w:rFonts w:ascii="Arial" w:hAnsi="Arial" w:cs="Arial"/>
          <w:color w:val="7B7B7B" w:themeColor="accent3" w:themeShade="BF"/>
          <w:sz w:val="16"/>
          <w:szCs w:val="16"/>
          <w:highlight w:val="darkCyan"/>
          <w:lang w:val="en-GB"/>
        </w:rPr>
      </w:pPr>
      <w:r w:rsidRPr="00F26E1F">
        <w:rPr>
          <w:rStyle w:val="FootnoteReference"/>
          <w:rFonts w:ascii="Arial" w:hAnsi="Arial" w:cs="Arial"/>
          <w:sz w:val="16"/>
          <w:szCs w:val="16"/>
        </w:rPr>
        <w:footnoteRef/>
      </w:r>
      <w:r w:rsidRPr="00F26E1F">
        <w:rPr>
          <w:rFonts w:ascii="Arial" w:hAnsi="Arial" w:cs="Arial"/>
          <w:sz w:val="16"/>
          <w:szCs w:val="16"/>
        </w:rPr>
        <w:t xml:space="preserve"> </w:t>
      </w:r>
      <w:r w:rsidR="00B63AE5" w:rsidRPr="00F26E1F">
        <w:rPr>
          <w:rFonts w:ascii="Arial" w:hAnsi="Arial" w:cs="Arial"/>
          <w:color w:val="7B7B7B" w:themeColor="accent3" w:themeShade="BF"/>
          <w:sz w:val="16"/>
          <w:szCs w:val="16"/>
          <w:lang w:val="en-HK"/>
        </w:rPr>
        <w:t>Ibid., s</w:t>
      </w:r>
      <w:r w:rsidR="00B70BCC" w:rsidRPr="00F26E1F">
        <w:rPr>
          <w:rFonts w:ascii="Arial" w:hAnsi="Arial" w:cs="Arial"/>
          <w:color w:val="7B7B7B" w:themeColor="accent3" w:themeShade="BF"/>
          <w:sz w:val="16"/>
          <w:szCs w:val="16"/>
          <w:lang w:val="en-GB"/>
        </w:rPr>
        <w:t>ection 204(1)(a)(iii)</w:t>
      </w:r>
    </w:p>
  </w:footnote>
  <w:footnote w:id="88">
    <w:p w14:paraId="0C5C55CD" w14:textId="6DD6F8AB" w:rsidR="0058170D" w:rsidRPr="00F26E1F" w:rsidRDefault="0058170D" w:rsidP="00F26E1F">
      <w:pPr>
        <w:jc w:val="both"/>
        <w:rPr>
          <w:rFonts w:ascii="Arial" w:hAnsi="Arial" w:cs="Arial"/>
          <w:color w:val="7B7B7B" w:themeColor="accent3" w:themeShade="BF"/>
          <w:sz w:val="16"/>
          <w:szCs w:val="16"/>
          <w:lang w:val="en-GB"/>
        </w:rPr>
      </w:pPr>
      <w:r w:rsidRPr="00F26E1F">
        <w:rPr>
          <w:rStyle w:val="FootnoteReference"/>
          <w:rFonts w:ascii="Arial" w:hAnsi="Arial" w:cs="Arial"/>
          <w:sz w:val="16"/>
          <w:szCs w:val="16"/>
        </w:rPr>
        <w:footnoteRef/>
      </w:r>
      <w:r w:rsidRPr="00F26E1F">
        <w:rPr>
          <w:rFonts w:ascii="Arial" w:hAnsi="Arial" w:cs="Arial"/>
          <w:sz w:val="16"/>
          <w:szCs w:val="16"/>
        </w:rPr>
        <w:t xml:space="preserve"> </w:t>
      </w:r>
      <w:r w:rsidR="00B63AE5" w:rsidRPr="00F26E1F">
        <w:rPr>
          <w:rFonts w:ascii="Arial" w:hAnsi="Arial" w:cs="Arial"/>
          <w:color w:val="7B7B7B" w:themeColor="accent3" w:themeShade="BF"/>
          <w:sz w:val="16"/>
          <w:szCs w:val="16"/>
          <w:lang w:val="en-HK"/>
        </w:rPr>
        <w:t>Ibid., s</w:t>
      </w:r>
      <w:r w:rsidR="00B70BCC" w:rsidRPr="00F26E1F">
        <w:rPr>
          <w:rFonts w:ascii="Arial" w:hAnsi="Arial" w:cs="Arial"/>
          <w:color w:val="7B7B7B" w:themeColor="accent3" w:themeShade="BF"/>
          <w:sz w:val="16"/>
          <w:szCs w:val="16"/>
          <w:lang w:val="en-GB"/>
        </w:rPr>
        <w:t>ection 204(1)(b)</w:t>
      </w:r>
    </w:p>
  </w:footnote>
  <w:footnote w:id="89">
    <w:p w14:paraId="4D5453C4" w14:textId="2F7CF16B" w:rsidR="0058170D" w:rsidRPr="00F26E1F" w:rsidRDefault="0058170D" w:rsidP="00F26E1F">
      <w:pPr>
        <w:jc w:val="both"/>
        <w:rPr>
          <w:rFonts w:ascii="Arial" w:hAnsi="Arial" w:cs="Arial"/>
          <w:color w:val="7B7B7B" w:themeColor="accent3" w:themeShade="BF"/>
          <w:sz w:val="16"/>
          <w:szCs w:val="16"/>
          <w:lang w:val="en-GB"/>
        </w:rPr>
      </w:pPr>
      <w:r w:rsidRPr="00F26E1F">
        <w:rPr>
          <w:rStyle w:val="FootnoteReference"/>
          <w:rFonts w:ascii="Arial" w:hAnsi="Arial" w:cs="Arial"/>
          <w:sz w:val="16"/>
          <w:szCs w:val="16"/>
        </w:rPr>
        <w:footnoteRef/>
      </w:r>
      <w:r w:rsidRPr="00F26E1F">
        <w:rPr>
          <w:rFonts w:ascii="Arial" w:hAnsi="Arial" w:cs="Arial"/>
          <w:sz w:val="16"/>
          <w:szCs w:val="16"/>
        </w:rPr>
        <w:t xml:space="preserve"> </w:t>
      </w:r>
      <w:r w:rsidR="00B63AE5" w:rsidRPr="00F26E1F">
        <w:rPr>
          <w:rFonts w:ascii="Arial" w:hAnsi="Arial" w:cs="Arial"/>
          <w:color w:val="7B7B7B" w:themeColor="accent3" w:themeShade="BF"/>
          <w:sz w:val="16"/>
          <w:szCs w:val="16"/>
          <w:lang w:val="en-HK"/>
        </w:rPr>
        <w:t>Ibid., s</w:t>
      </w:r>
      <w:r w:rsidR="00B70BCC" w:rsidRPr="00F26E1F">
        <w:rPr>
          <w:rFonts w:ascii="Arial" w:hAnsi="Arial" w:cs="Arial"/>
          <w:color w:val="7B7B7B" w:themeColor="accent3" w:themeShade="BF"/>
          <w:sz w:val="16"/>
          <w:szCs w:val="16"/>
          <w:lang w:val="en-GB"/>
        </w:rPr>
        <w:t>ection 204(3)</w:t>
      </w:r>
    </w:p>
  </w:footnote>
  <w:footnote w:id="90">
    <w:p w14:paraId="371E6C2E" w14:textId="1443EA46" w:rsidR="0058170D" w:rsidRPr="0017339A" w:rsidRDefault="0058170D" w:rsidP="00F26E1F">
      <w:pPr>
        <w:jc w:val="both"/>
        <w:rPr>
          <w:rFonts w:ascii="Arial" w:hAnsi="Arial" w:cs="Arial"/>
          <w:color w:val="7B7B7B" w:themeColor="accent3" w:themeShade="BF"/>
          <w:sz w:val="16"/>
          <w:szCs w:val="16"/>
          <w:lang w:val="en-GB"/>
        </w:rPr>
      </w:pPr>
      <w:r w:rsidRPr="00F26E1F">
        <w:rPr>
          <w:rStyle w:val="FootnoteReference"/>
          <w:rFonts w:ascii="Arial" w:hAnsi="Arial" w:cs="Arial"/>
          <w:sz w:val="16"/>
          <w:szCs w:val="16"/>
        </w:rPr>
        <w:footnoteRef/>
      </w:r>
      <w:r w:rsidRPr="00F26E1F">
        <w:rPr>
          <w:rFonts w:ascii="Arial" w:hAnsi="Arial" w:cs="Arial"/>
          <w:sz w:val="16"/>
          <w:szCs w:val="16"/>
        </w:rPr>
        <w:t xml:space="preserve"> </w:t>
      </w:r>
      <w:r w:rsidR="00B63AE5" w:rsidRPr="00F26E1F">
        <w:rPr>
          <w:rFonts w:ascii="Arial" w:hAnsi="Arial" w:cs="Arial"/>
          <w:color w:val="7B7B7B" w:themeColor="accent3" w:themeShade="BF"/>
          <w:sz w:val="16"/>
          <w:szCs w:val="16"/>
          <w:lang w:val="en-HK"/>
        </w:rPr>
        <w:t>Ibid., s</w:t>
      </w:r>
      <w:r w:rsidR="00B70BCC" w:rsidRPr="00F26E1F">
        <w:rPr>
          <w:rFonts w:ascii="Arial" w:hAnsi="Arial" w:cs="Arial"/>
          <w:color w:val="7B7B7B" w:themeColor="accent3" w:themeShade="BF"/>
          <w:sz w:val="16"/>
          <w:szCs w:val="16"/>
          <w:lang w:val="en-GB"/>
        </w:rPr>
        <w:t>ection 204(4)</w:t>
      </w:r>
    </w:p>
  </w:footnote>
  <w:footnote w:id="91">
    <w:p w14:paraId="1F886538" w14:textId="7408647D" w:rsidR="003C28FD" w:rsidRPr="002B3315" w:rsidRDefault="003C28FD"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808080" w:themeColor="background1" w:themeShade="80"/>
          <w:sz w:val="16"/>
          <w:szCs w:val="16"/>
          <w:lang w:val="en-GB"/>
        </w:rPr>
        <w:t>Charlotte Walker,</w:t>
      </w:r>
      <w:r w:rsidRPr="002B3315">
        <w:rPr>
          <w:rFonts w:ascii="Arial" w:hAnsi="Arial" w:cs="Arial"/>
          <w:color w:val="808080" w:themeColor="background1" w:themeShade="80"/>
          <w:sz w:val="16"/>
          <w:szCs w:val="16"/>
        </w:rPr>
        <w:t xml:space="preserve"> text updated for 2022/2023 and 2023/2024 by Janet Watson,</w:t>
      </w:r>
      <w:r w:rsidRPr="002B3315">
        <w:rPr>
          <w:rFonts w:ascii="Arial" w:hAnsi="Arial" w:cs="Arial"/>
          <w:color w:val="808080" w:themeColor="background1" w:themeShade="80"/>
          <w:sz w:val="16"/>
          <w:szCs w:val="16"/>
          <w:lang w:val="en-GB"/>
        </w:rPr>
        <w:t xml:space="preserve"> “INSOL International, Foundation Certificate in International Insolvency Law, Module 5B Guidance Text, British Virgin Islands, 2023/2024”, p 61</w:t>
      </w:r>
    </w:p>
  </w:footnote>
  <w:footnote w:id="92">
    <w:p w14:paraId="4A700FA8" w14:textId="3B88FCE8" w:rsidR="002124F1" w:rsidRPr="002B3315" w:rsidRDefault="002124F1"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4A50BB" w:rsidRPr="002B3315">
        <w:rPr>
          <w:rFonts w:ascii="Arial" w:hAnsi="Arial" w:cs="Arial"/>
          <w:color w:val="808080" w:themeColor="background1" w:themeShade="80"/>
          <w:sz w:val="16"/>
          <w:szCs w:val="16"/>
          <w:lang w:val="en-GB"/>
        </w:rPr>
        <w:t>Ibid.</w:t>
      </w:r>
    </w:p>
  </w:footnote>
  <w:footnote w:id="93">
    <w:p w14:paraId="400CBD33" w14:textId="3808B789" w:rsidR="006354EB" w:rsidRPr="002B3315" w:rsidRDefault="006354EB" w:rsidP="002B3315">
      <w:pPr>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B63AE5" w:rsidRPr="002B3315">
        <w:rPr>
          <w:rFonts w:ascii="Arial" w:hAnsi="Arial" w:cs="Arial"/>
          <w:color w:val="7B7B7B" w:themeColor="accent3" w:themeShade="BF"/>
          <w:sz w:val="16"/>
          <w:szCs w:val="16"/>
          <w:lang w:val="en-GB"/>
        </w:rPr>
        <w:t>I</w:t>
      </w:r>
      <w:r w:rsidR="00B7757F" w:rsidRPr="002B3315">
        <w:rPr>
          <w:rFonts w:ascii="Arial" w:hAnsi="Arial" w:cs="Arial"/>
          <w:color w:val="7B7B7B" w:themeColor="accent3" w:themeShade="BF"/>
          <w:sz w:val="16"/>
          <w:szCs w:val="16"/>
          <w:lang w:val="en-GB"/>
        </w:rPr>
        <w:t>nsolvency Act 2003</w:t>
      </w:r>
      <w:r w:rsidR="00B63AE5" w:rsidRPr="002B3315">
        <w:rPr>
          <w:rFonts w:ascii="Arial" w:hAnsi="Arial" w:cs="Arial"/>
          <w:color w:val="7B7B7B" w:themeColor="accent3" w:themeShade="BF"/>
          <w:sz w:val="16"/>
          <w:szCs w:val="16"/>
          <w:lang w:val="en-GB"/>
        </w:rPr>
        <w:t>, s</w:t>
      </w:r>
      <w:r w:rsidRPr="002B3315">
        <w:rPr>
          <w:rFonts w:ascii="Arial" w:hAnsi="Arial" w:cs="Arial"/>
          <w:color w:val="7B7B7B" w:themeColor="accent3" w:themeShade="BF"/>
          <w:sz w:val="16"/>
          <w:szCs w:val="16"/>
          <w:lang w:val="en-GB"/>
        </w:rPr>
        <w:t>ection 466(1)</w:t>
      </w:r>
    </w:p>
  </w:footnote>
  <w:footnote w:id="94">
    <w:p w14:paraId="3F8DDDBD" w14:textId="6EC76FAF" w:rsidR="007D1A3F" w:rsidRPr="002B3315" w:rsidRDefault="007D1A3F"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B63AE5" w:rsidRPr="002B3315">
        <w:rPr>
          <w:rFonts w:ascii="Arial" w:hAnsi="Arial" w:cs="Arial"/>
          <w:color w:val="7B7B7B" w:themeColor="accent3" w:themeShade="BF"/>
          <w:sz w:val="16"/>
          <w:szCs w:val="16"/>
          <w:lang w:val="en-GB"/>
        </w:rPr>
        <w:t>Ibid.</w:t>
      </w:r>
    </w:p>
  </w:footnote>
  <w:footnote w:id="95">
    <w:p w14:paraId="2374E354" w14:textId="5BAA0804" w:rsidR="0017339A" w:rsidRPr="002B3315" w:rsidRDefault="0017339A"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C31C0F"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467(2)</w:t>
      </w:r>
    </w:p>
  </w:footnote>
  <w:footnote w:id="96">
    <w:p w14:paraId="54DC5AEB" w14:textId="43952999" w:rsidR="008D010A" w:rsidRPr="002B3315" w:rsidRDefault="008D010A"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Ibid., section 471</w:t>
      </w:r>
    </w:p>
  </w:footnote>
  <w:footnote w:id="97">
    <w:p w14:paraId="77E94B90" w14:textId="786AC95B" w:rsidR="007D1A3F" w:rsidRPr="002B3315" w:rsidRDefault="007D1A3F" w:rsidP="002B3315">
      <w:pPr>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 xml:space="preserve">Mourant, Guide, “Recognition of foreign insolvency proceedings and foreign insolvency practitioners in the BVI”, </w:t>
      </w:r>
      <w:hyperlink r:id="rId3" w:history="1">
        <w:r w:rsidRPr="002B3315">
          <w:rPr>
            <w:rStyle w:val="Hyperlink"/>
            <w:rFonts w:ascii="Arial" w:hAnsi="Arial" w:cs="Arial"/>
            <w:sz w:val="16"/>
            <w:szCs w:val="16"/>
            <w:lang w:val="en-GB"/>
          </w:rPr>
          <w:t>https://www.mourant.com/file-library/media---2017/2017-guides/recognition-of-foreign-insolvency-proceedings-and-foreign-insolvency-practitioners-in-the-bvi-(updated).pdf</w:t>
        </w:r>
      </w:hyperlink>
      <w:r w:rsidRPr="002B3315">
        <w:rPr>
          <w:rFonts w:ascii="Arial" w:hAnsi="Arial" w:cs="Arial"/>
          <w:color w:val="7B7B7B" w:themeColor="accent3" w:themeShade="BF"/>
          <w:sz w:val="16"/>
          <w:szCs w:val="16"/>
          <w:lang w:val="en-GB"/>
        </w:rPr>
        <w:t xml:space="preserve">, published in April 2017, accessed on </w:t>
      </w:r>
      <w:r w:rsidR="00C31C0F" w:rsidRPr="002B3315">
        <w:rPr>
          <w:rFonts w:ascii="Arial" w:hAnsi="Arial" w:cs="Arial"/>
          <w:color w:val="7B7B7B" w:themeColor="accent3" w:themeShade="BF"/>
          <w:sz w:val="16"/>
          <w:szCs w:val="16"/>
          <w:lang w:val="en-HK"/>
        </w:rPr>
        <w:t>21</w:t>
      </w:r>
      <w:r w:rsidR="00D27C95" w:rsidRPr="002B3315">
        <w:rPr>
          <w:rFonts w:ascii="Arial" w:hAnsi="Arial" w:cs="Arial"/>
          <w:color w:val="7B7B7B" w:themeColor="accent3" w:themeShade="BF"/>
          <w:sz w:val="16"/>
          <w:szCs w:val="16"/>
          <w:lang w:val="en-HK"/>
        </w:rPr>
        <w:t xml:space="preserve"> June</w:t>
      </w:r>
      <w:r w:rsidRPr="002B3315">
        <w:rPr>
          <w:rFonts w:ascii="Arial" w:hAnsi="Arial" w:cs="Arial"/>
          <w:color w:val="7B7B7B" w:themeColor="accent3" w:themeShade="BF"/>
          <w:sz w:val="16"/>
          <w:szCs w:val="16"/>
          <w:lang w:val="en-HK"/>
        </w:rPr>
        <w:t xml:space="preserve"> 2024</w:t>
      </w:r>
    </w:p>
  </w:footnote>
  <w:footnote w:id="98">
    <w:p w14:paraId="0B936317" w14:textId="1F30FE04" w:rsidR="0017339A" w:rsidRPr="002B3315" w:rsidRDefault="0017339A" w:rsidP="002B3315">
      <w:pPr>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Insolvency Act 2003, s</w:t>
      </w:r>
      <w:r w:rsidRPr="002B3315">
        <w:rPr>
          <w:rFonts w:ascii="Arial" w:hAnsi="Arial" w:cs="Arial"/>
          <w:color w:val="7B7B7B" w:themeColor="accent3" w:themeShade="BF"/>
          <w:sz w:val="16"/>
          <w:szCs w:val="16"/>
          <w:lang w:val="en-GB"/>
        </w:rPr>
        <w:t>ection 467(3)(a)</w:t>
      </w:r>
    </w:p>
  </w:footnote>
  <w:footnote w:id="99">
    <w:p w14:paraId="60900D48" w14:textId="0C3E2A1A" w:rsidR="000C62E3" w:rsidRPr="002B3315" w:rsidRDefault="000C62E3"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bookmarkStart w:id="3" w:name="_Hlk165874512"/>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467(3)(b)</w:t>
      </w:r>
    </w:p>
    <w:bookmarkEnd w:id="3"/>
  </w:footnote>
  <w:footnote w:id="100">
    <w:p w14:paraId="355859BC" w14:textId="1F779BB3" w:rsidR="000C62E3" w:rsidRPr="002B3315" w:rsidRDefault="000C62E3" w:rsidP="002B3315">
      <w:pPr>
        <w:pStyle w:val="FootnoteText"/>
        <w:jc w:val="both"/>
        <w:rPr>
          <w:rFonts w:ascii="Arial" w:hAnsi="Arial" w:cs="Arial"/>
          <w:sz w:val="16"/>
          <w:szCs w:val="16"/>
          <w:highlight w:val="darkRed"/>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467(3)(c)</w:t>
      </w:r>
    </w:p>
  </w:footnote>
  <w:footnote w:id="101">
    <w:p w14:paraId="3167786C" w14:textId="01DF17B0" w:rsidR="000C62E3" w:rsidRPr="002B3315" w:rsidRDefault="000C62E3"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467(3)(d)</w:t>
      </w:r>
    </w:p>
  </w:footnote>
  <w:footnote w:id="102">
    <w:p w14:paraId="2F13EB26" w14:textId="1BA91A26" w:rsidR="000C62E3" w:rsidRPr="001F7841" w:rsidRDefault="000C62E3"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467(3)(e)</w:t>
      </w:r>
    </w:p>
  </w:footnote>
  <w:footnote w:id="103">
    <w:p w14:paraId="1693FC63" w14:textId="395C9BC9" w:rsidR="000C62E3" w:rsidRPr="002B3315" w:rsidRDefault="000C62E3" w:rsidP="00327982">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467(3)(f)</w:t>
      </w:r>
    </w:p>
  </w:footnote>
  <w:footnote w:id="104">
    <w:p w14:paraId="225AA678" w14:textId="6811F0D7" w:rsidR="000C62E3" w:rsidRPr="002B3315" w:rsidRDefault="000C62E3" w:rsidP="00327982">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467(3)(g)</w:t>
      </w:r>
    </w:p>
  </w:footnote>
  <w:footnote w:id="105">
    <w:p w14:paraId="5E1AF093" w14:textId="346098C7" w:rsidR="00A24B73" w:rsidRPr="002B3315" w:rsidRDefault="00A24B73" w:rsidP="00327982">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467(3)(h)</w:t>
      </w:r>
    </w:p>
  </w:footnote>
  <w:footnote w:id="106">
    <w:p w14:paraId="2A0CC575" w14:textId="26FE9FF7" w:rsidR="0096474D" w:rsidRPr="002B3315" w:rsidRDefault="0096474D" w:rsidP="00327982">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467(4)</w:t>
      </w:r>
    </w:p>
  </w:footnote>
  <w:footnote w:id="107">
    <w:p w14:paraId="57A5DDF9" w14:textId="1B116D19" w:rsidR="000C62E3" w:rsidRPr="002B3315" w:rsidRDefault="000C62E3" w:rsidP="00327982">
      <w:pPr>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467(5)</w:t>
      </w:r>
    </w:p>
  </w:footnote>
  <w:footnote w:id="108">
    <w:p w14:paraId="224474E5" w14:textId="519F8516" w:rsidR="00803176" w:rsidRPr="002B3315" w:rsidRDefault="00803176" w:rsidP="00327982">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284(1)</w:t>
      </w:r>
    </w:p>
  </w:footnote>
  <w:footnote w:id="109">
    <w:p w14:paraId="2D303ABA" w14:textId="6E098341" w:rsidR="00803176" w:rsidRPr="002B3315" w:rsidRDefault="00803176" w:rsidP="00327982">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467(3)(h</w:t>
      </w:r>
      <w:r w:rsidR="000D0630" w:rsidRPr="002B3315">
        <w:rPr>
          <w:rFonts w:ascii="Arial" w:hAnsi="Arial" w:cs="Arial"/>
          <w:color w:val="7B7B7B" w:themeColor="accent3" w:themeShade="BF"/>
          <w:sz w:val="16"/>
          <w:szCs w:val="16"/>
          <w:lang w:val="en-GB"/>
        </w:rPr>
        <w:t>)</w:t>
      </w:r>
    </w:p>
  </w:footnote>
  <w:footnote w:id="110">
    <w:p w14:paraId="573D8711" w14:textId="1883132F" w:rsidR="001F7841" w:rsidRPr="002B3315" w:rsidRDefault="001F7841" w:rsidP="00327982">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 xml:space="preserve">Mourant, Guide, “Recognition of foreign insolvency proceedings and foreign insolvency practitioners in the BVI”, </w:t>
      </w:r>
      <w:hyperlink r:id="rId4" w:history="1">
        <w:r w:rsidRPr="002B3315">
          <w:rPr>
            <w:rStyle w:val="Hyperlink"/>
            <w:rFonts w:ascii="Arial" w:hAnsi="Arial" w:cs="Arial"/>
            <w:sz w:val="16"/>
            <w:szCs w:val="16"/>
            <w:lang w:val="en-GB"/>
          </w:rPr>
          <w:t>https://www.mourant.com/file-library/media---2017/2017-guides/recognition-of-foreign-insolvency-proceedings-and-foreign-insolvency-practitioners-in-the-bvi-(updated).pdf</w:t>
        </w:r>
      </w:hyperlink>
      <w:r w:rsidRPr="002B3315">
        <w:rPr>
          <w:rFonts w:ascii="Arial" w:hAnsi="Arial" w:cs="Arial"/>
          <w:color w:val="7B7B7B" w:themeColor="accent3" w:themeShade="BF"/>
          <w:sz w:val="16"/>
          <w:szCs w:val="16"/>
          <w:lang w:val="en-GB"/>
        </w:rPr>
        <w:t xml:space="preserve">, published in April 2017, accessed on </w:t>
      </w:r>
      <w:r w:rsidRPr="002B3315">
        <w:rPr>
          <w:rFonts w:ascii="Arial" w:hAnsi="Arial" w:cs="Arial"/>
          <w:color w:val="7B7B7B" w:themeColor="accent3" w:themeShade="BF"/>
          <w:sz w:val="16"/>
          <w:szCs w:val="16"/>
          <w:lang w:val="en-HK"/>
        </w:rPr>
        <w:t>21 June 2024</w:t>
      </w:r>
    </w:p>
  </w:footnote>
  <w:footnote w:id="111">
    <w:p w14:paraId="5DA5F8CD" w14:textId="1DDCA427" w:rsidR="00832AAF" w:rsidRPr="002B3315" w:rsidRDefault="00832AAF" w:rsidP="00327982">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1F7841" w:rsidRPr="002B3315">
        <w:rPr>
          <w:rFonts w:ascii="Arial" w:hAnsi="Arial" w:cs="Arial"/>
          <w:color w:val="7B7B7B" w:themeColor="accent3" w:themeShade="BF"/>
          <w:sz w:val="16"/>
          <w:szCs w:val="16"/>
          <w:lang w:val="en-GB"/>
        </w:rPr>
        <w:t>Insolvency Act 2003</w:t>
      </w:r>
      <w:r w:rsidR="000D0630" w:rsidRPr="002B3315">
        <w:rPr>
          <w:rFonts w:ascii="Arial" w:hAnsi="Arial" w:cs="Arial"/>
          <w:color w:val="7B7B7B" w:themeColor="accent3" w:themeShade="BF"/>
          <w:sz w:val="16"/>
          <w:szCs w:val="16"/>
          <w:lang w:val="en-GB"/>
        </w:rPr>
        <w:t>, s</w:t>
      </w:r>
      <w:r w:rsidRPr="002B3315">
        <w:rPr>
          <w:rFonts w:ascii="Arial" w:hAnsi="Arial" w:cs="Arial"/>
          <w:color w:val="7B7B7B" w:themeColor="accent3" w:themeShade="BF"/>
          <w:sz w:val="16"/>
          <w:szCs w:val="16"/>
          <w:lang w:val="en-GB"/>
        </w:rPr>
        <w:t>ection 468(1)</w:t>
      </w:r>
    </w:p>
  </w:footnote>
  <w:footnote w:id="112">
    <w:p w14:paraId="613A66F4" w14:textId="727FF75F" w:rsidR="00832AAF" w:rsidRPr="002B3315" w:rsidRDefault="00832AAF" w:rsidP="00327982">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468(1)(a)</w:t>
      </w:r>
    </w:p>
  </w:footnote>
  <w:footnote w:id="113">
    <w:p w14:paraId="28E48AA5" w14:textId="28C5F963" w:rsidR="00832AAF" w:rsidRPr="002B3315" w:rsidRDefault="00832AAF" w:rsidP="00327982">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468(1)(b)</w:t>
      </w:r>
    </w:p>
  </w:footnote>
  <w:footnote w:id="114">
    <w:p w14:paraId="7B4B03FC" w14:textId="01B0B913" w:rsidR="00832AAF" w:rsidRPr="002B3315" w:rsidRDefault="00832AAF" w:rsidP="00327982">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468(1)(c)</w:t>
      </w:r>
    </w:p>
  </w:footnote>
  <w:footnote w:id="115">
    <w:p w14:paraId="570ECA3A" w14:textId="12441364" w:rsidR="00063063" w:rsidRPr="002B3315" w:rsidRDefault="00063063" w:rsidP="00327982">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468(1)(d)</w:t>
      </w:r>
    </w:p>
  </w:footnote>
  <w:footnote w:id="116">
    <w:p w14:paraId="580C5283" w14:textId="55B139E3" w:rsidR="00063063" w:rsidRPr="000D0630" w:rsidRDefault="00063063" w:rsidP="00327982">
      <w:pPr>
        <w:pStyle w:val="FootnoteText"/>
        <w:jc w:val="both"/>
        <w:rPr>
          <w:rFonts w:ascii="Arial" w:hAnsi="Arial" w:cs="Arial"/>
          <w:sz w:val="16"/>
          <w:szCs w:val="16"/>
          <w:highlight w:val="darkRed"/>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468(1)(e)</w:t>
      </w:r>
    </w:p>
  </w:footnote>
  <w:footnote w:id="117">
    <w:p w14:paraId="25862792" w14:textId="18D78BC8" w:rsidR="001269CE" w:rsidRPr="00327982" w:rsidRDefault="001269CE" w:rsidP="00327982">
      <w:pPr>
        <w:pStyle w:val="FootnoteText"/>
        <w:jc w:val="both"/>
        <w:rPr>
          <w:rFonts w:ascii="Arial" w:hAnsi="Arial" w:cs="Arial"/>
          <w:sz w:val="16"/>
          <w:szCs w:val="16"/>
          <w:lang w:val="en-GB"/>
        </w:rPr>
      </w:pPr>
      <w:r w:rsidRPr="00327982">
        <w:rPr>
          <w:rStyle w:val="FootnoteReference"/>
          <w:rFonts w:ascii="Arial" w:hAnsi="Arial" w:cs="Arial"/>
          <w:sz w:val="16"/>
          <w:szCs w:val="16"/>
        </w:rPr>
        <w:footnoteRef/>
      </w:r>
      <w:r w:rsidRPr="00327982">
        <w:rPr>
          <w:rFonts w:ascii="Arial" w:hAnsi="Arial" w:cs="Arial"/>
          <w:sz w:val="16"/>
          <w:szCs w:val="16"/>
        </w:rPr>
        <w:t xml:space="preserve"> </w:t>
      </w:r>
      <w:r w:rsidR="000D0630" w:rsidRPr="00327982">
        <w:rPr>
          <w:rFonts w:ascii="Arial" w:hAnsi="Arial" w:cs="Arial"/>
          <w:color w:val="7B7B7B" w:themeColor="accent3" w:themeShade="BF"/>
          <w:sz w:val="16"/>
          <w:szCs w:val="16"/>
          <w:lang w:val="en-GB"/>
        </w:rPr>
        <w:t>Ibid., s</w:t>
      </w:r>
      <w:r w:rsidRPr="00327982">
        <w:rPr>
          <w:rFonts w:ascii="Arial" w:hAnsi="Arial" w:cs="Arial"/>
          <w:color w:val="7B7B7B" w:themeColor="accent3" w:themeShade="BF"/>
          <w:sz w:val="16"/>
          <w:szCs w:val="16"/>
          <w:lang w:val="en-GB"/>
        </w:rPr>
        <w:t>ection 468(2)(a)</w:t>
      </w:r>
    </w:p>
  </w:footnote>
  <w:footnote w:id="118">
    <w:p w14:paraId="67AA61CE" w14:textId="2B0BD9F3" w:rsidR="001269CE" w:rsidRPr="00327982" w:rsidRDefault="001269CE" w:rsidP="00327982">
      <w:pPr>
        <w:pStyle w:val="FootnoteText"/>
        <w:jc w:val="both"/>
        <w:rPr>
          <w:rFonts w:ascii="Arial" w:hAnsi="Arial" w:cs="Arial"/>
          <w:sz w:val="16"/>
          <w:szCs w:val="16"/>
          <w:lang w:val="en-GB"/>
        </w:rPr>
      </w:pPr>
      <w:r w:rsidRPr="00327982">
        <w:rPr>
          <w:rStyle w:val="FootnoteReference"/>
          <w:rFonts w:ascii="Arial" w:hAnsi="Arial" w:cs="Arial"/>
          <w:sz w:val="16"/>
          <w:szCs w:val="16"/>
        </w:rPr>
        <w:footnoteRef/>
      </w:r>
      <w:r w:rsidRPr="00327982">
        <w:rPr>
          <w:rFonts w:ascii="Arial" w:hAnsi="Arial" w:cs="Arial"/>
          <w:sz w:val="16"/>
          <w:szCs w:val="16"/>
        </w:rPr>
        <w:t xml:space="preserve"> </w:t>
      </w:r>
      <w:r w:rsidR="000D0630" w:rsidRPr="00327982">
        <w:rPr>
          <w:rFonts w:ascii="Arial" w:hAnsi="Arial" w:cs="Arial"/>
          <w:color w:val="7B7B7B" w:themeColor="accent3" w:themeShade="BF"/>
          <w:sz w:val="16"/>
          <w:szCs w:val="16"/>
          <w:lang w:val="en-GB"/>
        </w:rPr>
        <w:t>Ibid., s</w:t>
      </w:r>
      <w:r w:rsidRPr="00327982">
        <w:rPr>
          <w:rFonts w:ascii="Arial" w:hAnsi="Arial" w:cs="Arial"/>
          <w:color w:val="7B7B7B" w:themeColor="accent3" w:themeShade="BF"/>
          <w:sz w:val="16"/>
          <w:szCs w:val="16"/>
          <w:lang w:val="en-GB"/>
        </w:rPr>
        <w:t>ection 468(2)(b)</w:t>
      </w:r>
    </w:p>
  </w:footnote>
  <w:footnote w:id="119">
    <w:p w14:paraId="45E183AA" w14:textId="4AC11467" w:rsidR="00DE6D06" w:rsidRPr="00327982" w:rsidRDefault="00DE6D06" w:rsidP="00327982">
      <w:pPr>
        <w:pStyle w:val="FootnoteText"/>
        <w:jc w:val="both"/>
        <w:rPr>
          <w:rFonts w:ascii="Arial" w:hAnsi="Arial" w:cs="Arial"/>
          <w:sz w:val="16"/>
          <w:szCs w:val="16"/>
          <w:lang w:val="en-GB"/>
        </w:rPr>
      </w:pPr>
      <w:r w:rsidRPr="00327982">
        <w:rPr>
          <w:rStyle w:val="FootnoteReference"/>
          <w:rFonts w:ascii="Arial" w:hAnsi="Arial" w:cs="Arial"/>
          <w:sz w:val="16"/>
          <w:szCs w:val="16"/>
        </w:rPr>
        <w:footnoteRef/>
      </w:r>
      <w:r w:rsidRPr="00327982">
        <w:rPr>
          <w:rFonts w:ascii="Arial" w:hAnsi="Arial" w:cs="Arial"/>
          <w:sz w:val="16"/>
          <w:szCs w:val="16"/>
        </w:rPr>
        <w:t xml:space="preserve"> </w:t>
      </w:r>
      <w:r w:rsidRPr="00327982">
        <w:rPr>
          <w:rFonts w:ascii="Arial" w:hAnsi="Arial" w:cs="Arial"/>
          <w:color w:val="7B7B7B" w:themeColor="accent3" w:themeShade="BF"/>
          <w:sz w:val="16"/>
          <w:szCs w:val="16"/>
          <w:lang w:val="en-GB"/>
        </w:rPr>
        <w:t>Ibid., section 469(2)</w:t>
      </w:r>
    </w:p>
  </w:footnote>
  <w:footnote w:id="120">
    <w:p w14:paraId="560DCCAA" w14:textId="2EF9221F" w:rsidR="00F87A43" w:rsidRPr="00327982" w:rsidRDefault="00F87A43" w:rsidP="00327982">
      <w:pPr>
        <w:pStyle w:val="FootnoteText"/>
        <w:jc w:val="both"/>
        <w:rPr>
          <w:rFonts w:ascii="Arial" w:hAnsi="Arial" w:cs="Arial"/>
          <w:sz w:val="16"/>
          <w:szCs w:val="16"/>
          <w:lang w:val="en-GB"/>
        </w:rPr>
      </w:pPr>
      <w:r w:rsidRPr="00327982">
        <w:rPr>
          <w:rStyle w:val="FootnoteReference"/>
          <w:rFonts w:ascii="Arial" w:hAnsi="Arial" w:cs="Arial"/>
          <w:sz w:val="16"/>
          <w:szCs w:val="16"/>
        </w:rPr>
        <w:footnoteRef/>
      </w:r>
      <w:r w:rsidRPr="00327982">
        <w:rPr>
          <w:rFonts w:ascii="Arial" w:hAnsi="Arial" w:cs="Arial"/>
          <w:sz w:val="16"/>
          <w:szCs w:val="16"/>
        </w:rPr>
        <w:t xml:space="preserve"> </w:t>
      </w:r>
      <w:r w:rsidRPr="00327982">
        <w:rPr>
          <w:rFonts w:ascii="Arial" w:hAnsi="Arial" w:cs="Arial"/>
          <w:color w:val="7B7B7B" w:themeColor="accent3" w:themeShade="BF"/>
          <w:sz w:val="16"/>
          <w:szCs w:val="16"/>
          <w:lang w:val="en-GB"/>
        </w:rPr>
        <w:t>BVIHCV0140 of 2010</w:t>
      </w:r>
    </w:p>
  </w:footnote>
  <w:footnote w:id="121">
    <w:p w14:paraId="3BD059EB" w14:textId="2D856498" w:rsidR="0035532E" w:rsidRPr="00327982" w:rsidRDefault="0035532E" w:rsidP="00327982">
      <w:pPr>
        <w:pStyle w:val="FootnoteText"/>
        <w:jc w:val="both"/>
        <w:rPr>
          <w:rFonts w:ascii="Arial" w:hAnsi="Arial" w:cs="Arial"/>
          <w:sz w:val="16"/>
          <w:szCs w:val="16"/>
          <w:lang w:val="en-GB"/>
        </w:rPr>
      </w:pPr>
      <w:r w:rsidRPr="00327982">
        <w:rPr>
          <w:rStyle w:val="FootnoteReference"/>
          <w:rFonts w:ascii="Arial" w:hAnsi="Arial" w:cs="Arial"/>
          <w:sz w:val="16"/>
          <w:szCs w:val="16"/>
        </w:rPr>
        <w:footnoteRef/>
      </w:r>
      <w:r w:rsidRPr="00327982">
        <w:rPr>
          <w:rFonts w:ascii="Arial" w:hAnsi="Arial" w:cs="Arial"/>
          <w:sz w:val="16"/>
          <w:szCs w:val="16"/>
        </w:rPr>
        <w:t xml:space="preserve"> </w:t>
      </w:r>
      <w:r w:rsidRPr="00327982">
        <w:rPr>
          <w:rFonts w:ascii="Arial" w:hAnsi="Arial" w:cs="Arial"/>
          <w:color w:val="7B7B7B" w:themeColor="accent3" w:themeShade="BF"/>
          <w:sz w:val="16"/>
          <w:szCs w:val="16"/>
          <w:lang w:val="en-GB"/>
        </w:rPr>
        <w:t>I</w:t>
      </w:r>
      <w:r w:rsidR="007718A4">
        <w:rPr>
          <w:rFonts w:ascii="Arial" w:hAnsi="Arial" w:cs="Arial"/>
          <w:color w:val="7B7B7B" w:themeColor="accent3" w:themeShade="BF"/>
          <w:sz w:val="16"/>
          <w:szCs w:val="16"/>
          <w:lang w:val="en-GB"/>
        </w:rPr>
        <w:t>bid.</w:t>
      </w:r>
      <w:r w:rsidRPr="00327982">
        <w:rPr>
          <w:rFonts w:ascii="Arial" w:hAnsi="Arial" w:cs="Arial"/>
          <w:color w:val="7B7B7B" w:themeColor="accent3" w:themeShade="BF"/>
          <w:sz w:val="16"/>
          <w:szCs w:val="16"/>
          <w:lang w:val="en-GB"/>
        </w:rPr>
        <w:t>, paragraph 7</w:t>
      </w:r>
    </w:p>
  </w:footnote>
  <w:footnote w:id="122">
    <w:p w14:paraId="05772010" w14:textId="133D534D" w:rsidR="0035532E" w:rsidRPr="00327982" w:rsidRDefault="0035532E" w:rsidP="00327982">
      <w:pPr>
        <w:pStyle w:val="FootnoteText"/>
        <w:jc w:val="both"/>
        <w:rPr>
          <w:rFonts w:ascii="Arial" w:hAnsi="Arial" w:cs="Arial"/>
          <w:sz w:val="16"/>
          <w:szCs w:val="16"/>
          <w:lang w:val="en-GB"/>
        </w:rPr>
      </w:pPr>
      <w:r w:rsidRPr="00327982">
        <w:rPr>
          <w:rStyle w:val="FootnoteReference"/>
          <w:rFonts w:ascii="Arial" w:hAnsi="Arial" w:cs="Arial"/>
          <w:sz w:val="16"/>
          <w:szCs w:val="16"/>
        </w:rPr>
        <w:footnoteRef/>
      </w:r>
      <w:r w:rsidRPr="00327982">
        <w:rPr>
          <w:rFonts w:ascii="Arial" w:hAnsi="Arial" w:cs="Arial"/>
          <w:sz w:val="16"/>
          <w:szCs w:val="16"/>
        </w:rPr>
        <w:t xml:space="preserve"> </w:t>
      </w:r>
      <w:r w:rsidR="007718A4">
        <w:rPr>
          <w:rFonts w:ascii="Arial" w:hAnsi="Arial" w:cs="Arial"/>
          <w:color w:val="7B7B7B" w:themeColor="accent3" w:themeShade="BF"/>
          <w:sz w:val="16"/>
          <w:szCs w:val="16"/>
          <w:lang w:val="en-GB"/>
        </w:rPr>
        <w:t>Ibid.</w:t>
      </w:r>
      <w:r w:rsidRPr="00327982">
        <w:rPr>
          <w:rFonts w:ascii="Arial" w:hAnsi="Arial" w:cs="Arial"/>
          <w:color w:val="7B7B7B" w:themeColor="accent3" w:themeShade="BF"/>
          <w:sz w:val="16"/>
          <w:szCs w:val="16"/>
          <w:lang w:val="en-GB"/>
        </w:rPr>
        <w:t>, paragraph 8</w:t>
      </w:r>
    </w:p>
  </w:footnote>
  <w:footnote w:id="123">
    <w:p w14:paraId="65323B20" w14:textId="361EA33B" w:rsidR="00681993" w:rsidRPr="00327982" w:rsidRDefault="00681993" w:rsidP="00327982">
      <w:pPr>
        <w:pStyle w:val="FootnoteText"/>
        <w:jc w:val="both"/>
        <w:rPr>
          <w:rFonts w:ascii="Arial" w:hAnsi="Arial" w:cs="Arial"/>
          <w:sz w:val="16"/>
          <w:szCs w:val="16"/>
          <w:lang w:val="en-GB"/>
        </w:rPr>
      </w:pPr>
      <w:r w:rsidRPr="00327982">
        <w:rPr>
          <w:rStyle w:val="FootnoteReference"/>
          <w:rFonts w:ascii="Arial" w:hAnsi="Arial" w:cs="Arial"/>
          <w:sz w:val="16"/>
          <w:szCs w:val="16"/>
        </w:rPr>
        <w:footnoteRef/>
      </w:r>
      <w:r w:rsidRPr="00327982">
        <w:rPr>
          <w:rFonts w:ascii="Arial" w:hAnsi="Arial" w:cs="Arial"/>
          <w:sz w:val="16"/>
          <w:szCs w:val="16"/>
        </w:rPr>
        <w:t xml:space="preserve"> </w:t>
      </w:r>
      <w:r w:rsidR="007718A4">
        <w:rPr>
          <w:rFonts w:ascii="Arial" w:hAnsi="Arial" w:cs="Arial"/>
          <w:color w:val="7B7B7B" w:themeColor="accent3" w:themeShade="BF"/>
          <w:sz w:val="16"/>
          <w:szCs w:val="16"/>
          <w:lang w:val="en-GB"/>
        </w:rPr>
        <w:t>Ibid.</w:t>
      </w:r>
      <w:r w:rsidRPr="00327982">
        <w:rPr>
          <w:rFonts w:ascii="Arial" w:hAnsi="Arial" w:cs="Arial"/>
          <w:color w:val="7B7B7B" w:themeColor="accent3" w:themeShade="BF"/>
          <w:sz w:val="16"/>
          <w:szCs w:val="16"/>
          <w:lang w:val="en-GB"/>
        </w:rPr>
        <w:t>, paragraph 9</w:t>
      </w:r>
    </w:p>
  </w:footnote>
  <w:footnote w:id="124">
    <w:p w14:paraId="67E50921" w14:textId="719E40F7" w:rsidR="008F5A07" w:rsidRPr="00327982" w:rsidRDefault="008F5A07" w:rsidP="00327982">
      <w:pPr>
        <w:pStyle w:val="FootnoteText"/>
        <w:jc w:val="both"/>
        <w:rPr>
          <w:rFonts w:ascii="Arial" w:hAnsi="Arial" w:cs="Arial"/>
          <w:sz w:val="16"/>
          <w:szCs w:val="16"/>
          <w:lang w:val="en-GB"/>
        </w:rPr>
      </w:pPr>
      <w:r w:rsidRPr="00327982">
        <w:rPr>
          <w:rStyle w:val="FootnoteReference"/>
          <w:rFonts w:ascii="Arial" w:hAnsi="Arial" w:cs="Arial"/>
          <w:sz w:val="16"/>
          <w:szCs w:val="16"/>
        </w:rPr>
        <w:footnoteRef/>
      </w:r>
      <w:r w:rsidRPr="00327982">
        <w:rPr>
          <w:rFonts w:ascii="Arial" w:hAnsi="Arial" w:cs="Arial"/>
          <w:sz w:val="16"/>
          <w:szCs w:val="16"/>
        </w:rPr>
        <w:t xml:space="preserve"> </w:t>
      </w:r>
      <w:r w:rsidRPr="00327982">
        <w:rPr>
          <w:rFonts w:ascii="Arial" w:hAnsi="Arial" w:cs="Arial"/>
          <w:color w:val="7B7B7B" w:themeColor="accent3" w:themeShade="BF"/>
          <w:sz w:val="16"/>
          <w:szCs w:val="16"/>
          <w:lang w:val="en-GB"/>
        </w:rPr>
        <w:t>BVIHC (COM) 80 of 2013</w:t>
      </w:r>
    </w:p>
  </w:footnote>
  <w:footnote w:id="125">
    <w:p w14:paraId="543D4FCF" w14:textId="3194D2B0" w:rsidR="008F5A07" w:rsidRPr="00327982" w:rsidRDefault="008F5A07" w:rsidP="00327982">
      <w:pPr>
        <w:pStyle w:val="FootnoteText"/>
        <w:jc w:val="both"/>
        <w:rPr>
          <w:rFonts w:ascii="Arial" w:hAnsi="Arial" w:cs="Arial"/>
          <w:sz w:val="16"/>
          <w:szCs w:val="16"/>
          <w:lang w:val="en-GB"/>
        </w:rPr>
      </w:pPr>
      <w:r w:rsidRPr="00327982">
        <w:rPr>
          <w:rStyle w:val="FootnoteReference"/>
          <w:rFonts w:ascii="Arial" w:hAnsi="Arial" w:cs="Arial"/>
          <w:sz w:val="16"/>
          <w:szCs w:val="16"/>
        </w:rPr>
        <w:footnoteRef/>
      </w:r>
      <w:r w:rsidRPr="00327982">
        <w:rPr>
          <w:rFonts w:ascii="Arial" w:hAnsi="Arial" w:cs="Arial"/>
          <w:sz w:val="16"/>
          <w:szCs w:val="16"/>
        </w:rPr>
        <w:t xml:space="preserve"> </w:t>
      </w:r>
      <w:r w:rsidRPr="00327982">
        <w:rPr>
          <w:rFonts w:ascii="Arial" w:hAnsi="Arial" w:cs="Arial"/>
          <w:color w:val="808080" w:themeColor="background1" w:themeShade="80"/>
          <w:sz w:val="16"/>
          <w:szCs w:val="16"/>
          <w:lang w:val="en-GB"/>
        </w:rPr>
        <w:t>Charlotte Walker,</w:t>
      </w:r>
      <w:r w:rsidRPr="00327982">
        <w:rPr>
          <w:rFonts w:ascii="Arial" w:hAnsi="Arial" w:cs="Arial"/>
          <w:color w:val="808080" w:themeColor="background1" w:themeShade="80"/>
          <w:sz w:val="16"/>
          <w:szCs w:val="16"/>
        </w:rPr>
        <w:t xml:space="preserve"> text updated for 2022/2023 and 2023/2024 by Janet Watson,</w:t>
      </w:r>
      <w:r w:rsidRPr="00327982">
        <w:rPr>
          <w:rFonts w:ascii="Arial" w:hAnsi="Arial" w:cs="Arial"/>
          <w:color w:val="808080" w:themeColor="background1" w:themeShade="80"/>
          <w:sz w:val="16"/>
          <w:szCs w:val="16"/>
          <w:lang w:val="en-GB"/>
        </w:rPr>
        <w:t xml:space="preserve"> “INSOL International, Foundation Certificate in International Insolvency Law, Module 5B Guidance Text, British Virgin Islands, 2023/2024”, p 63</w:t>
      </w:r>
    </w:p>
  </w:footnote>
  <w:footnote w:id="126">
    <w:p w14:paraId="39156F28" w14:textId="73CFB526" w:rsidR="008F5A07" w:rsidRPr="00327982" w:rsidRDefault="008F5A07" w:rsidP="00327982">
      <w:pPr>
        <w:pStyle w:val="FootnoteText"/>
        <w:jc w:val="both"/>
        <w:rPr>
          <w:rFonts w:ascii="Arial" w:hAnsi="Arial" w:cs="Arial"/>
          <w:sz w:val="16"/>
          <w:szCs w:val="16"/>
          <w:lang w:val="en-GB"/>
        </w:rPr>
      </w:pPr>
      <w:r w:rsidRPr="00327982">
        <w:rPr>
          <w:rStyle w:val="FootnoteReference"/>
          <w:rFonts w:ascii="Arial" w:hAnsi="Arial" w:cs="Arial"/>
          <w:sz w:val="16"/>
          <w:szCs w:val="16"/>
        </w:rPr>
        <w:footnoteRef/>
      </w:r>
      <w:r w:rsidRPr="00327982">
        <w:rPr>
          <w:rFonts w:ascii="Arial" w:hAnsi="Arial" w:cs="Arial"/>
          <w:sz w:val="16"/>
          <w:szCs w:val="16"/>
        </w:rPr>
        <w:t xml:space="preserve"> </w:t>
      </w:r>
      <w:r w:rsidRPr="00327982">
        <w:rPr>
          <w:rFonts w:ascii="Arial" w:hAnsi="Arial" w:cs="Arial"/>
          <w:color w:val="7B7B7B" w:themeColor="accent3" w:themeShade="BF"/>
          <w:sz w:val="16"/>
          <w:szCs w:val="16"/>
          <w:lang w:val="en-GB"/>
        </w:rPr>
        <w:t>BVIHC (COM) 80 of 2013, paragraph 20</w:t>
      </w:r>
    </w:p>
  </w:footnote>
  <w:footnote w:id="127">
    <w:p w14:paraId="6ADFF69C" w14:textId="6D3D398A" w:rsidR="008F5A07" w:rsidRPr="00327982" w:rsidRDefault="008F5A07" w:rsidP="00327982">
      <w:pPr>
        <w:pStyle w:val="FootnoteText"/>
        <w:jc w:val="both"/>
        <w:rPr>
          <w:rFonts w:ascii="Arial" w:hAnsi="Arial" w:cs="Arial"/>
          <w:sz w:val="16"/>
          <w:szCs w:val="16"/>
          <w:lang w:val="en-GB"/>
        </w:rPr>
      </w:pPr>
      <w:r w:rsidRPr="00327982">
        <w:rPr>
          <w:rStyle w:val="FootnoteReference"/>
          <w:rFonts w:ascii="Arial" w:hAnsi="Arial" w:cs="Arial"/>
          <w:sz w:val="16"/>
          <w:szCs w:val="16"/>
        </w:rPr>
        <w:footnoteRef/>
      </w:r>
      <w:r w:rsidRPr="00327982">
        <w:rPr>
          <w:rFonts w:ascii="Arial" w:hAnsi="Arial" w:cs="Arial"/>
          <w:sz w:val="16"/>
          <w:szCs w:val="16"/>
        </w:rPr>
        <w:t xml:space="preserve"> </w:t>
      </w:r>
      <w:r w:rsidR="007718A4">
        <w:rPr>
          <w:rFonts w:ascii="Arial" w:hAnsi="Arial" w:cs="Arial"/>
          <w:color w:val="7B7B7B" w:themeColor="accent3" w:themeShade="BF"/>
          <w:sz w:val="16"/>
          <w:szCs w:val="16"/>
          <w:lang w:val="en-GB"/>
        </w:rPr>
        <w:t>Ibid.</w:t>
      </w:r>
      <w:r w:rsidRPr="00327982">
        <w:rPr>
          <w:rFonts w:ascii="Arial" w:hAnsi="Arial" w:cs="Arial"/>
          <w:color w:val="7B7B7B" w:themeColor="accent3" w:themeShade="BF"/>
          <w:sz w:val="16"/>
          <w:szCs w:val="16"/>
          <w:lang w:val="en-GB"/>
        </w:rPr>
        <w:t>, paragraph 15</w:t>
      </w:r>
    </w:p>
  </w:footnote>
  <w:footnote w:id="128">
    <w:p w14:paraId="1A4D19EC" w14:textId="150F059D" w:rsidR="00CB6FB3" w:rsidRPr="00A85888" w:rsidRDefault="00CB6FB3" w:rsidP="00A85888">
      <w:pPr>
        <w:pStyle w:val="FootnoteText"/>
        <w:jc w:val="both"/>
        <w:rPr>
          <w:rFonts w:ascii="Arial" w:hAnsi="Arial" w:cs="Arial"/>
          <w:sz w:val="16"/>
          <w:szCs w:val="16"/>
        </w:rPr>
      </w:pPr>
      <w:r w:rsidRPr="00A85888">
        <w:rPr>
          <w:rStyle w:val="FootnoteReference"/>
          <w:rFonts w:ascii="Arial" w:hAnsi="Arial" w:cs="Arial"/>
          <w:sz w:val="16"/>
          <w:szCs w:val="16"/>
        </w:rPr>
        <w:footnoteRef/>
      </w:r>
      <w:r w:rsidRPr="00A85888">
        <w:rPr>
          <w:rFonts w:ascii="Arial" w:hAnsi="Arial" w:cs="Arial"/>
          <w:sz w:val="16"/>
          <w:szCs w:val="16"/>
        </w:rPr>
        <w:t xml:space="preserve"> </w:t>
      </w:r>
      <w:r w:rsidR="00C827AE" w:rsidRPr="00A85888">
        <w:rPr>
          <w:rFonts w:ascii="Arial" w:hAnsi="Arial" w:cs="Arial"/>
          <w:color w:val="808080" w:themeColor="background1" w:themeShade="80"/>
          <w:sz w:val="16"/>
          <w:szCs w:val="16"/>
          <w:lang w:val="en-GB"/>
        </w:rPr>
        <w:t>Charlotte Walker,</w:t>
      </w:r>
      <w:r w:rsidR="00C827AE" w:rsidRPr="00A85888">
        <w:rPr>
          <w:rFonts w:ascii="Arial" w:hAnsi="Arial" w:cs="Arial"/>
          <w:color w:val="808080" w:themeColor="background1" w:themeShade="80"/>
          <w:sz w:val="16"/>
          <w:szCs w:val="16"/>
        </w:rPr>
        <w:t xml:space="preserve"> text updated for 2022/2023 and 2023/2024 by Janet Watson,</w:t>
      </w:r>
      <w:r w:rsidR="00C827AE" w:rsidRPr="00A85888">
        <w:rPr>
          <w:rFonts w:ascii="Arial" w:hAnsi="Arial" w:cs="Arial"/>
          <w:color w:val="808080" w:themeColor="background1" w:themeShade="80"/>
          <w:sz w:val="16"/>
          <w:szCs w:val="16"/>
          <w:lang w:val="en-GB"/>
        </w:rPr>
        <w:t xml:space="preserve"> “INSOL International, Foundation Certificate in International Insolvency Law, Module 5B Guidance Text, British Virgin Islands, 2023/2024”, p 56</w:t>
      </w:r>
    </w:p>
  </w:footnote>
  <w:footnote w:id="129">
    <w:p w14:paraId="573CB538" w14:textId="61CE1A34" w:rsidR="00CB6FB3" w:rsidRPr="00A85888" w:rsidRDefault="00CB6FB3" w:rsidP="00A85888">
      <w:pPr>
        <w:pStyle w:val="FootnoteText"/>
        <w:jc w:val="both"/>
        <w:rPr>
          <w:rFonts w:ascii="Arial" w:hAnsi="Arial" w:cs="Arial"/>
          <w:sz w:val="16"/>
          <w:szCs w:val="16"/>
        </w:rPr>
      </w:pPr>
      <w:r w:rsidRPr="00A85888">
        <w:rPr>
          <w:rStyle w:val="FootnoteReference"/>
          <w:rFonts w:ascii="Arial" w:hAnsi="Arial" w:cs="Arial"/>
          <w:sz w:val="16"/>
          <w:szCs w:val="16"/>
        </w:rPr>
        <w:footnoteRef/>
      </w:r>
      <w:r w:rsidRPr="00A85888">
        <w:rPr>
          <w:rFonts w:ascii="Arial" w:hAnsi="Arial" w:cs="Arial"/>
          <w:sz w:val="16"/>
          <w:szCs w:val="16"/>
        </w:rPr>
        <w:t xml:space="preserve"> </w:t>
      </w:r>
      <w:r w:rsidR="004A50BB" w:rsidRPr="00A85888">
        <w:rPr>
          <w:rFonts w:ascii="Arial" w:hAnsi="Arial" w:cs="Arial"/>
          <w:color w:val="808080" w:themeColor="background1" w:themeShade="80"/>
          <w:sz w:val="16"/>
          <w:szCs w:val="16"/>
          <w:lang w:val="en-GB"/>
        </w:rPr>
        <w:t>Ibid.</w:t>
      </w:r>
      <w:r w:rsidR="00C827AE" w:rsidRPr="00A85888">
        <w:rPr>
          <w:rFonts w:ascii="Arial" w:hAnsi="Arial" w:cs="Arial"/>
          <w:color w:val="808080" w:themeColor="background1" w:themeShade="80"/>
          <w:sz w:val="16"/>
          <w:szCs w:val="16"/>
          <w:lang w:val="en-GB"/>
        </w:rPr>
        <w:t>, p 58</w:t>
      </w:r>
    </w:p>
  </w:footnote>
  <w:footnote w:id="130">
    <w:p w14:paraId="4F010986" w14:textId="2A967926" w:rsidR="00CB6FB3" w:rsidRPr="00A85888" w:rsidRDefault="00CB6FB3" w:rsidP="00A85888">
      <w:pPr>
        <w:ind w:left="720" w:hanging="720"/>
        <w:jc w:val="both"/>
        <w:rPr>
          <w:rFonts w:ascii="Arial" w:hAnsi="Arial" w:cs="Arial"/>
          <w:color w:val="7B7B7B" w:themeColor="accent3" w:themeShade="BF"/>
          <w:sz w:val="16"/>
          <w:szCs w:val="16"/>
          <w:lang w:val="en-HK"/>
        </w:rPr>
      </w:pPr>
      <w:r w:rsidRPr="00A85888">
        <w:rPr>
          <w:rStyle w:val="FootnoteReference"/>
          <w:rFonts w:ascii="Arial" w:hAnsi="Arial" w:cs="Arial"/>
          <w:sz w:val="16"/>
          <w:szCs w:val="16"/>
        </w:rPr>
        <w:footnoteRef/>
      </w:r>
      <w:r w:rsidRPr="00A85888">
        <w:rPr>
          <w:rFonts w:ascii="Arial" w:hAnsi="Arial" w:cs="Arial"/>
          <w:sz w:val="16"/>
          <w:szCs w:val="16"/>
        </w:rPr>
        <w:t xml:space="preserve"> </w:t>
      </w:r>
      <w:r w:rsidR="00E72567" w:rsidRPr="00A85888">
        <w:rPr>
          <w:rFonts w:ascii="Arial" w:hAnsi="Arial" w:cs="Arial"/>
          <w:color w:val="7B7B7B" w:themeColor="accent3" w:themeShade="BF"/>
          <w:sz w:val="16"/>
          <w:szCs w:val="16"/>
          <w:lang w:val="en-HK"/>
        </w:rPr>
        <w:t>BVI Business Companies Act 2004 (as amended)</w:t>
      </w:r>
      <w:r w:rsidR="000D0630" w:rsidRPr="00A85888">
        <w:rPr>
          <w:rFonts w:ascii="Arial" w:hAnsi="Arial" w:cs="Arial"/>
          <w:color w:val="7B7B7B" w:themeColor="accent3" w:themeShade="BF"/>
          <w:sz w:val="16"/>
          <w:szCs w:val="16"/>
          <w:lang w:val="en-HK"/>
        </w:rPr>
        <w:t>, s</w:t>
      </w:r>
      <w:r w:rsidR="00C827AE" w:rsidRPr="00A85888">
        <w:rPr>
          <w:rFonts w:ascii="Arial" w:hAnsi="Arial" w:cs="Arial"/>
          <w:color w:val="7B7B7B" w:themeColor="accent3" w:themeShade="BF"/>
          <w:sz w:val="16"/>
          <w:szCs w:val="16"/>
          <w:lang w:val="en-HK"/>
        </w:rPr>
        <w:t>ection 179A(1)</w:t>
      </w:r>
    </w:p>
  </w:footnote>
  <w:footnote w:id="131">
    <w:p w14:paraId="78AE53B1" w14:textId="3CC77A59" w:rsidR="006063F2" w:rsidRPr="00A85888" w:rsidRDefault="006063F2" w:rsidP="00A85888">
      <w:pPr>
        <w:pStyle w:val="FootnoteText"/>
        <w:jc w:val="both"/>
        <w:rPr>
          <w:rFonts w:ascii="Arial" w:hAnsi="Arial" w:cs="Arial"/>
          <w:sz w:val="16"/>
          <w:szCs w:val="16"/>
          <w:lang w:val="en-GB"/>
        </w:rPr>
      </w:pPr>
      <w:r w:rsidRPr="00A85888">
        <w:rPr>
          <w:rStyle w:val="FootnoteReference"/>
          <w:rFonts w:ascii="Arial" w:hAnsi="Arial" w:cs="Arial"/>
          <w:sz w:val="16"/>
          <w:szCs w:val="16"/>
        </w:rPr>
        <w:footnoteRef/>
      </w:r>
      <w:r w:rsidRPr="00A85888">
        <w:rPr>
          <w:rFonts w:ascii="Arial" w:hAnsi="Arial" w:cs="Arial"/>
          <w:sz w:val="16"/>
          <w:szCs w:val="16"/>
        </w:rPr>
        <w:t xml:space="preserve"> </w:t>
      </w:r>
      <w:r w:rsidRPr="00A85888">
        <w:rPr>
          <w:rFonts w:ascii="Arial" w:hAnsi="Arial" w:cs="Arial"/>
          <w:color w:val="7B7B7B" w:themeColor="accent3" w:themeShade="BF"/>
          <w:sz w:val="16"/>
          <w:szCs w:val="16"/>
          <w:lang w:val="en-HK"/>
        </w:rPr>
        <w:t>Ibid., section 179A(6)</w:t>
      </w:r>
    </w:p>
  </w:footnote>
  <w:footnote w:id="132">
    <w:p w14:paraId="75D72DE5" w14:textId="6E35354B" w:rsidR="00CB6FB3" w:rsidRPr="00A85888" w:rsidRDefault="00CB6FB3" w:rsidP="00A85888">
      <w:pPr>
        <w:ind w:left="720" w:hanging="720"/>
        <w:jc w:val="both"/>
        <w:rPr>
          <w:rFonts w:ascii="Arial" w:hAnsi="Arial" w:cs="Arial"/>
          <w:color w:val="7B7B7B" w:themeColor="accent3" w:themeShade="BF"/>
          <w:sz w:val="16"/>
          <w:szCs w:val="16"/>
          <w:lang w:val="en-HK"/>
        </w:rPr>
      </w:pPr>
      <w:r w:rsidRPr="00A85888">
        <w:rPr>
          <w:rStyle w:val="FootnoteReference"/>
          <w:rFonts w:ascii="Arial" w:hAnsi="Arial" w:cs="Arial"/>
          <w:sz w:val="16"/>
          <w:szCs w:val="16"/>
        </w:rPr>
        <w:footnoteRef/>
      </w:r>
      <w:r w:rsidRPr="00A85888">
        <w:rPr>
          <w:rFonts w:ascii="Arial" w:hAnsi="Arial" w:cs="Arial"/>
          <w:sz w:val="16"/>
          <w:szCs w:val="16"/>
        </w:rPr>
        <w:t xml:space="preserve"> </w:t>
      </w:r>
      <w:r w:rsidR="000D0630" w:rsidRPr="00A85888">
        <w:rPr>
          <w:rFonts w:ascii="Arial" w:hAnsi="Arial" w:cs="Arial"/>
          <w:color w:val="7B7B7B" w:themeColor="accent3" w:themeShade="BF"/>
          <w:sz w:val="16"/>
          <w:szCs w:val="16"/>
          <w:lang w:val="en-HK"/>
        </w:rPr>
        <w:t>Ibid., s</w:t>
      </w:r>
      <w:r w:rsidR="00C827AE" w:rsidRPr="00A85888">
        <w:rPr>
          <w:rFonts w:ascii="Arial" w:hAnsi="Arial" w:cs="Arial"/>
          <w:color w:val="7B7B7B" w:themeColor="accent3" w:themeShade="BF"/>
          <w:sz w:val="16"/>
          <w:szCs w:val="16"/>
          <w:lang w:val="en-HK"/>
        </w:rPr>
        <w:t>ection 17</w:t>
      </w:r>
      <w:r w:rsidR="00E72567" w:rsidRPr="00A85888">
        <w:rPr>
          <w:rFonts w:ascii="Arial" w:hAnsi="Arial" w:cs="Arial"/>
          <w:color w:val="7B7B7B" w:themeColor="accent3" w:themeShade="BF"/>
          <w:sz w:val="16"/>
          <w:szCs w:val="16"/>
          <w:lang w:val="en-HK"/>
        </w:rPr>
        <w:t>9</w:t>
      </w:r>
      <w:r w:rsidR="00C827AE" w:rsidRPr="00A85888">
        <w:rPr>
          <w:rFonts w:ascii="Arial" w:hAnsi="Arial" w:cs="Arial"/>
          <w:color w:val="7B7B7B" w:themeColor="accent3" w:themeShade="BF"/>
          <w:sz w:val="16"/>
          <w:szCs w:val="16"/>
          <w:lang w:val="en-HK"/>
        </w:rPr>
        <w:t>A(2)(a)</w:t>
      </w:r>
    </w:p>
  </w:footnote>
  <w:footnote w:id="133">
    <w:p w14:paraId="5B08B0B0" w14:textId="67746D00" w:rsidR="00CB6FB3" w:rsidRPr="00A85888" w:rsidRDefault="00CB6FB3" w:rsidP="00A85888">
      <w:pPr>
        <w:ind w:left="720" w:hanging="720"/>
        <w:jc w:val="both"/>
        <w:rPr>
          <w:rFonts w:ascii="Arial" w:hAnsi="Arial" w:cs="Arial"/>
          <w:color w:val="7B7B7B" w:themeColor="accent3" w:themeShade="BF"/>
          <w:sz w:val="16"/>
          <w:szCs w:val="16"/>
          <w:lang w:val="en-HK"/>
        </w:rPr>
      </w:pPr>
      <w:r w:rsidRPr="00A85888">
        <w:rPr>
          <w:rStyle w:val="FootnoteReference"/>
          <w:rFonts w:ascii="Arial" w:hAnsi="Arial" w:cs="Arial"/>
          <w:sz w:val="16"/>
          <w:szCs w:val="16"/>
        </w:rPr>
        <w:footnoteRef/>
      </w:r>
      <w:r w:rsidRPr="00A85888">
        <w:rPr>
          <w:rFonts w:ascii="Arial" w:hAnsi="Arial" w:cs="Arial"/>
          <w:sz w:val="16"/>
          <w:szCs w:val="16"/>
        </w:rPr>
        <w:t xml:space="preserve"> </w:t>
      </w:r>
      <w:r w:rsidR="000D0630" w:rsidRPr="00A85888">
        <w:rPr>
          <w:rFonts w:ascii="Arial" w:hAnsi="Arial" w:cs="Arial"/>
          <w:color w:val="7B7B7B" w:themeColor="accent3" w:themeShade="BF"/>
          <w:sz w:val="16"/>
          <w:szCs w:val="16"/>
          <w:lang w:val="en-HK"/>
        </w:rPr>
        <w:t>Ibid., s</w:t>
      </w:r>
      <w:r w:rsidR="00C827AE" w:rsidRPr="00A85888">
        <w:rPr>
          <w:rFonts w:ascii="Arial" w:hAnsi="Arial" w:cs="Arial"/>
          <w:color w:val="7B7B7B" w:themeColor="accent3" w:themeShade="BF"/>
          <w:sz w:val="16"/>
          <w:szCs w:val="16"/>
          <w:lang w:val="en-HK"/>
        </w:rPr>
        <w:t>ection 1</w:t>
      </w:r>
      <w:r w:rsidR="00E72567" w:rsidRPr="00A85888">
        <w:rPr>
          <w:rFonts w:ascii="Arial" w:hAnsi="Arial" w:cs="Arial"/>
          <w:color w:val="7B7B7B" w:themeColor="accent3" w:themeShade="BF"/>
          <w:sz w:val="16"/>
          <w:szCs w:val="16"/>
          <w:lang w:val="en-HK"/>
        </w:rPr>
        <w:t>7</w:t>
      </w:r>
      <w:r w:rsidR="00C827AE" w:rsidRPr="00A85888">
        <w:rPr>
          <w:rFonts w:ascii="Arial" w:hAnsi="Arial" w:cs="Arial"/>
          <w:color w:val="7B7B7B" w:themeColor="accent3" w:themeShade="BF"/>
          <w:sz w:val="16"/>
          <w:szCs w:val="16"/>
          <w:lang w:val="en-HK"/>
        </w:rPr>
        <w:t>9A(2)(b)</w:t>
      </w:r>
    </w:p>
  </w:footnote>
  <w:footnote w:id="134">
    <w:p w14:paraId="776F2B92" w14:textId="5DF559F8" w:rsidR="00CB6FB3" w:rsidRPr="00A85888" w:rsidRDefault="00CB6FB3" w:rsidP="00A85888">
      <w:pPr>
        <w:ind w:left="720" w:hanging="720"/>
        <w:jc w:val="both"/>
        <w:rPr>
          <w:rFonts w:ascii="Arial" w:hAnsi="Arial" w:cs="Arial"/>
          <w:color w:val="7B7B7B" w:themeColor="accent3" w:themeShade="BF"/>
          <w:sz w:val="16"/>
          <w:szCs w:val="16"/>
          <w:lang w:val="en-HK"/>
        </w:rPr>
      </w:pPr>
      <w:r w:rsidRPr="00A85888">
        <w:rPr>
          <w:rStyle w:val="FootnoteReference"/>
          <w:rFonts w:ascii="Arial" w:hAnsi="Arial" w:cs="Arial"/>
          <w:sz w:val="16"/>
          <w:szCs w:val="16"/>
        </w:rPr>
        <w:footnoteRef/>
      </w:r>
      <w:r w:rsidRPr="00A85888">
        <w:rPr>
          <w:rFonts w:ascii="Arial" w:hAnsi="Arial" w:cs="Arial"/>
          <w:sz w:val="16"/>
          <w:szCs w:val="16"/>
        </w:rPr>
        <w:t xml:space="preserve"> </w:t>
      </w:r>
      <w:r w:rsidR="000D0630" w:rsidRPr="00A85888">
        <w:rPr>
          <w:rFonts w:ascii="Arial" w:hAnsi="Arial" w:cs="Arial"/>
          <w:color w:val="7B7B7B" w:themeColor="accent3" w:themeShade="BF"/>
          <w:sz w:val="16"/>
          <w:szCs w:val="16"/>
          <w:lang w:val="en-HK"/>
        </w:rPr>
        <w:t>Ibid., s</w:t>
      </w:r>
      <w:r w:rsidR="00C827AE" w:rsidRPr="00A85888">
        <w:rPr>
          <w:rFonts w:ascii="Arial" w:hAnsi="Arial" w:cs="Arial"/>
          <w:color w:val="7B7B7B" w:themeColor="accent3" w:themeShade="BF"/>
          <w:sz w:val="16"/>
          <w:szCs w:val="16"/>
          <w:lang w:val="en-HK"/>
        </w:rPr>
        <w:t>ection 1</w:t>
      </w:r>
      <w:r w:rsidR="00E72567" w:rsidRPr="00A85888">
        <w:rPr>
          <w:rFonts w:ascii="Arial" w:hAnsi="Arial" w:cs="Arial"/>
          <w:color w:val="7B7B7B" w:themeColor="accent3" w:themeShade="BF"/>
          <w:sz w:val="16"/>
          <w:szCs w:val="16"/>
          <w:lang w:val="en-HK"/>
        </w:rPr>
        <w:t>7</w:t>
      </w:r>
      <w:r w:rsidR="00C827AE" w:rsidRPr="00A85888">
        <w:rPr>
          <w:rFonts w:ascii="Arial" w:hAnsi="Arial" w:cs="Arial"/>
          <w:color w:val="7B7B7B" w:themeColor="accent3" w:themeShade="BF"/>
          <w:sz w:val="16"/>
          <w:szCs w:val="16"/>
          <w:lang w:val="en-HK"/>
        </w:rPr>
        <w:t>9A(2)(c)</w:t>
      </w:r>
    </w:p>
  </w:footnote>
  <w:footnote w:id="135">
    <w:p w14:paraId="7EE785DC" w14:textId="37FD5C4F" w:rsidR="00CB6FB3" w:rsidRPr="00A85888" w:rsidRDefault="00CB6FB3" w:rsidP="00A85888">
      <w:pPr>
        <w:ind w:left="720" w:hanging="720"/>
        <w:jc w:val="both"/>
        <w:rPr>
          <w:rFonts w:ascii="Arial" w:hAnsi="Arial" w:cs="Arial"/>
          <w:color w:val="7B7B7B" w:themeColor="accent3" w:themeShade="BF"/>
          <w:sz w:val="16"/>
          <w:szCs w:val="16"/>
          <w:lang w:val="en-HK"/>
        </w:rPr>
      </w:pPr>
      <w:r w:rsidRPr="00A85888">
        <w:rPr>
          <w:rStyle w:val="FootnoteReference"/>
          <w:rFonts w:ascii="Arial" w:hAnsi="Arial" w:cs="Arial"/>
          <w:sz w:val="16"/>
          <w:szCs w:val="16"/>
        </w:rPr>
        <w:footnoteRef/>
      </w:r>
      <w:r w:rsidRPr="00A85888">
        <w:rPr>
          <w:rFonts w:ascii="Arial" w:hAnsi="Arial" w:cs="Arial"/>
          <w:sz w:val="16"/>
          <w:szCs w:val="16"/>
        </w:rPr>
        <w:t xml:space="preserve"> </w:t>
      </w:r>
      <w:r w:rsidR="000D0630" w:rsidRPr="00A85888">
        <w:rPr>
          <w:rFonts w:ascii="Arial" w:hAnsi="Arial" w:cs="Arial"/>
          <w:color w:val="7B7B7B" w:themeColor="accent3" w:themeShade="BF"/>
          <w:sz w:val="16"/>
          <w:szCs w:val="16"/>
          <w:lang w:val="en-HK"/>
        </w:rPr>
        <w:t>Ibid., s</w:t>
      </w:r>
      <w:r w:rsidR="00C827AE" w:rsidRPr="00A85888">
        <w:rPr>
          <w:rFonts w:ascii="Arial" w:hAnsi="Arial" w:cs="Arial"/>
          <w:color w:val="7B7B7B" w:themeColor="accent3" w:themeShade="BF"/>
          <w:sz w:val="16"/>
          <w:szCs w:val="16"/>
          <w:lang w:val="en-HK"/>
        </w:rPr>
        <w:t>ection 1</w:t>
      </w:r>
      <w:r w:rsidR="00E72567" w:rsidRPr="00A85888">
        <w:rPr>
          <w:rFonts w:ascii="Arial" w:hAnsi="Arial" w:cs="Arial"/>
          <w:color w:val="7B7B7B" w:themeColor="accent3" w:themeShade="BF"/>
          <w:sz w:val="16"/>
          <w:szCs w:val="16"/>
          <w:lang w:val="en-HK"/>
        </w:rPr>
        <w:t>7</w:t>
      </w:r>
      <w:r w:rsidR="00C827AE" w:rsidRPr="00A85888">
        <w:rPr>
          <w:rFonts w:ascii="Arial" w:hAnsi="Arial" w:cs="Arial"/>
          <w:color w:val="7B7B7B" w:themeColor="accent3" w:themeShade="BF"/>
          <w:sz w:val="16"/>
          <w:szCs w:val="16"/>
          <w:lang w:val="en-HK"/>
        </w:rPr>
        <w:t>9A(2)(d)</w:t>
      </w:r>
    </w:p>
  </w:footnote>
  <w:footnote w:id="136">
    <w:p w14:paraId="130732A6" w14:textId="41274D6E" w:rsidR="00CB6FB3" w:rsidRPr="00A85888" w:rsidRDefault="00CB6FB3" w:rsidP="00A85888">
      <w:pPr>
        <w:ind w:left="720" w:hanging="720"/>
        <w:jc w:val="both"/>
        <w:rPr>
          <w:rFonts w:ascii="Arial" w:hAnsi="Arial" w:cs="Arial"/>
          <w:color w:val="7B7B7B" w:themeColor="accent3" w:themeShade="BF"/>
          <w:sz w:val="16"/>
          <w:szCs w:val="16"/>
          <w:lang w:val="en-HK"/>
        </w:rPr>
      </w:pPr>
      <w:r w:rsidRPr="00A85888">
        <w:rPr>
          <w:rStyle w:val="FootnoteReference"/>
          <w:rFonts w:ascii="Arial" w:hAnsi="Arial" w:cs="Arial"/>
          <w:sz w:val="16"/>
          <w:szCs w:val="16"/>
        </w:rPr>
        <w:footnoteRef/>
      </w:r>
      <w:r w:rsidRPr="00A85888">
        <w:rPr>
          <w:rFonts w:ascii="Arial" w:hAnsi="Arial" w:cs="Arial"/>
          <w:sz w:val="16"/>
          <w:szCs w:val="16"/>
        </w:rPr>
        <w:t xml:space="preserve"> </w:t>
      </w:r>
      <w:r w:rsidR="000D0630" w:rsidRPr="00A85888">
        <w:rPr>
          <w:rFonts w:ascii="Arial" w:hAnsi="Arial" w:cs="Arial"/>
          <w:color w:val="7B7B7B" w:themeColor="accent3" w:themeShade="BF"/>
          <w:sz w:val="16"/>
          <w:szCs w:val="16"/>
          <w:lang w:val="en-HK"/>
        </w:rPr>
        <w:t>Ibid., s</w:t>
      </w:r>
      <w:r w:rsidR="00C827AE" w:rsidRPr="00A85888">
        <w:rPr>
          <w:rFonts w:ascii="Arial" w:hAnsi="Arial" w:cs="Arial"/>
          <w:color w:val="7B7B7B" w:themeColor="accent3" w:themeShade="BF"/>
          <w:sz w:val="16"/>
          <w:szCs w:val="16"/>
          <w:lang w:val="en-HK"/>
        </w:rPr>
        <w:t>ection 1</w:t>
      </w:r>
      <w:r w:rsidR="00E72567" w:rsidRPr="00A85888">
        <w:rPr>
          <w:rFonts w:ascii="Arial" w:hAnsi="Arial" w:cs="Arial"/>
          <w:color w:val="7B7B7B" w:themeColor="accent3" w:themeShade="BF"/>
          <w:sz w:val="16"/>
          <w:szCs w:val="16"/>
          <w:lang w:val="en-HK"/>
        </w:rPr>
        <w:t>7</w:t>
      </w:r>
      <w:r w:rsidR="00C827AE" w:rsidRPr="00A85888">
        <w:rPr>
          <w:rFonts w:ascii="Arial" w:hAnsi="Arial" w:cs="Arial"/>
          <w:color w:val="7B7B7B" w:themeColor="accent3" w:themeShade="BF"/>
          <w:sz w:val="16"/>
          <w:szCs w:val="16"/>
          <w:lang w:val="en-HK"/>
        </w:rPr>
        <w:t>9A(2)(e)</w:t>
      </w:r>
    </w:p>
  </w:footnote>
  <w:footnote w:id="137">
    <w:p w14:paraId="162EC92C" w14:textId="6DAD2593" w:rsidR="00CB6FB3" w:rsidRPr="007C6A30" w:rsidRDefault="00CB6FB3" w:rsidP="00A85888">
      <w:pPr>
        <w:ind w:left="720" w:hanging="720"/>
        <w:jc w:val="both"/>
        <w:rPr>
          <w:rFonts w:ascii="Arial" w:hAnsi="Arial" w:cs="Arial"/>
          <w:color w:val="7B7B7B" w:themeColor="accent3" w:themeShade="BF"/>
          <w:sz w:val="16"/>
          <w:szCs w:val="16"/>
          <w:lang w:val="en-HK"/>
        </w:rPr>
      </w:pPr>
      <w:r w:rsidRPr="00A85888">
        <w:rPr>
          <w:rStyle w:val="FootnoteReference"/>
          <w:rFonts w:ascii="Arial" w:hAnsi="Arial" w:cs="Arial"/>
          <w:sz w:val="16"/>
          <w:szCs w:val="16"/>
        </w:rPr>
        <w:footnoteRef/>
      </w:r>
      <w:r w:rsidRPr="00A85888">
        <w:rPr>
          <w:rFonts w:ascii="Arial" w:hAnsi="Arial" w:cs="Arial"/>
          <w:sz w:val="16"/>
          <w:szCs w:val="16"/>
        </w:rPr>
        <w:t xml:space="preserve"> </w:t>
      </w:r>
      <w:r w:rsidR="000D0630" w:rsidRPr="00A85888">
        <w:rPr>
          <w:rFonts w:ascii="Arial" w:hAnsi="Arial" w:cs="Arial"/>
          <w:color w:val="7B7B7B" w:themeColor="accent3" w:themeShade="BF"/>
          <w:sz w:val="16"/>
          <w:szCs w:val="16"/>
          <w:lang w:val="en-HK"/>
        </w:rPr>
        <w:t>Ibid., s</w:t>
      </w:r>
      <w:r w:rsidR="00C827AE" w:rsidRPr="00A85888">
        <w:rPr>
          <w:rFonts w:ascii="Arial" w:hAnsi="Arial" w:cs="Arial"/>
          <w:color w:val="7B7B7B" w:themeColor="accent3" w:themeShade="BF"/>
          <w:sz w:val="16"/>
          <w:szCs w:val="16"/>
          <w:lang w:val="en-HK"/>
        </w:rPr>
        <w:t>ection 1</w:t>
      </w:r>
      <w:r w:rsidR="00E72567" w:rsidRPr="00A85888">
        <w:rPr>
          <w:rFonts w:ascii="Arial" w:hAnsi="Arial" w:cs="Arial"/>
          <w:color w:val="7B7B7B" w:themeColor="accent3" w:themeShade="BF"/>
          <w:sz w:val="16"/>
          <w:szCs w:val="16"/>
          <w:lang w:val="en-HK"/>
        </w:rPr>
        <w:t>7</w:t>
      </w:r>
      <w:r w:rsidR="00C827AE" w:rsidRPr="00A85888">
        <w:rPr>
          <w:rFonts w:ascii="Arial" w:hAnsi="Arial" w:cs="Arial"/>
          <w:color w:val="7B7B7B" w:themeColor="accent3" w:themeShade="BF"/>
          <w:sz w:val="16"/>
          <w:szCs w:val="16"/>
          <w:lang w:val="en-HK"/>
        </w:rPr>
        <w:t>9A(2)(f)</w:t>
      </w:r>
    </w:p>
  </w:footnote>
  <w:footnote w:id="138">
    <w:p w14:paraId="1BE85FAC" w14:textId="7144C809" w:rsidR="00CB6FB3" w:rsidRPr="00E06995" w:rsidRDefault="00CB6FB3" w:rsidP="00E06995">
      <w:pPr>
        <w:pStyle w:val="FootnoteText"/>
        <w:jc w:val="both"/>
        <w:rPr>
          <w:rFonts w:ascii="Arial" w:hAnsi="Arial" w:cs="Arial"/>
          <w:sz w:val="16"/>
          <w:szCs w:val="16"/>
        </w:rPr>
      </w:pPr>
      <w:r w:rsidRPr="00E06995">
        <w:rPr>
          <w:rStyle w:val="FootnoteReference"/>
          <w:rFonts w:ascii="Arial" w:hAnsi="Arial" w:cs="Arial"/>
          <w:sz w:val="16"/>
          <w:szCs w:val="16"/>
        </w:rPr>
        <w:footnoteRef/>
      </w:r>
      <w:r w:rsidRPr="00E06995">
        <w:rPr>
          <w:rFonts w:ascii="Arial" w:hAnsi="Arial" w:cs="Arial"/>
          <w:sz w:val="16"/>
          <w:szCs w:val="16"/>
        </w:rPr>
        <w:t xml:space="preserve"> </w:t>
      </w:r>
      <w:r w:rsidR="00C827AE" w:rsidRPr="00E06995">
        <w:rPr>
          <w:rFonts w:ascii="Arial" w:hAnsi="Arial" w:cs="Arial"/>
          <w:color w:val="808080" w:themeColor="background1" w:themeShade="80"/>
          <w:sz w:val="16"/>
          <w:szCs w:val="16"/>
          <w:lang w:val="en-GB"/>
        </w:rPr>
        <w:t>Charlotte Walker,</w:t>
      </w:r>
      <w:r w:rsidR="00C827AE" w:rsidRPr="00E06995">
        <w:rPr>
          <w:rFonts w:ascii="Arial" w:hAnsi="Arial" w:cs="Arial"/>
          <w:color w:val="808080" w:themeColor="background1" w:themeShade="80"/>
          <w:sz w:val="16"/>
          <w:szCs w:val="16"/>
        </w:rPr>
        <w:t xml:space="preserve"> text updated for 2022/2023 and 2023/2024 by Janet Watson,</w:t>
      </w:r>
      <w:r w:rsidR="00C827AE" w:rsidRPr="00E06995">
        <w:rPr>
          <w:rFonts w:ascii="Arial" w:hAnsi="Arial" w:cs="Arial"/>
          <w:color w:val="808080" w:themeColor="background1" w:themeShade="80"/>
          <w:sz w:val="16"/>
          <w:szCs w:val="16"/>
          <w:lang w:val="en-GB"/>
        </w:rPr>
        <w:t xml:space="preserve"> “INSOL International, Foundation Certificate in International Insolvency Law, Module 5B Guidance Text, British Virgin Islands, 2023/2024”, p 58</w:t>
      </w:r>
    </w:p>
  </w:footnote>
  <w:footnote w:id="139">
    <w:p w14:paraId="2CD8C3D7" w14:textId="167A19A4" w:rsidR="00676EC8" w:rsidRPr="00E06995" w:rsidRDefault="00676EC8" w:rsidP="00E06995">
      <w:pPr>
        <w:pStyle w:val="FootnoteText"/>
        <w:jc w:val="both"/>
        <w:rPr>
          <w:rFonts w:ascii="Arial" w:hAnsi="Arial" w:cs="Arial"/>
          <w:sz w:val="16"/>
          <w:szCs w:val="16"/>
          <w:lang w:val="en-GB"/>
        </w:rPr>
      </w:pPr>
      <w:r w:rsidRPr="00E06995">
        <w:rPr>
          <w:rStyle w:val="FootnoteReference"/>
          <w:rFonts w:ascii="Arial" w:hAnsi="Arial" w:cs="Arial"/>
          <w:sz w:val="16"/>
          <w:szCs w:val="16"/>
        </w:rPr>
        <w:footnoteRef/>
      </w:r>
      <w:r w:rsidRPr="00E06995">
        <w:rPr>
          <w:rFonts w:ascii="Arial" w:hAnsi="Arial" w:cs="Arial"/>
          <w:sz w:val="16"/>
          <w:szCs w:val="16"/>
        </w:rPr>
        <w:t xml:space="preserve"> </w:t>
      </w:r>
      <w:r w:rsidR="00E72567" w:rsidRPr="00E06995">
        <w:rPr>
          <w:rFonts w:ascii="Arial" w:hAnsi="Arial" w:cs="Arial"/>
          <w:color w:val="808080" w:themeColor="background1" w:themeShade="80"/>
          <w:sz w:val="16"/>
          <w:szCs w:val="16"/>
          <w:lang w:val="en-GB"/>
        </w:rPr>
        <w:t>Ibid.</w:t>
      </w:r>
      <w:r w:rsidRPr="00E06995">
        <w:rPr>
          <w:rFonts w:ascii="Arial" w:hAnsi="Arial" w:cs="Arial"/>
          <w:color w:val="808080" w:themeColor="background1" w:themeShade="80"/>
          <w:sz w:val="16"/>
          <w:szCs w:val="16"/>
          <w:lang w:val="en-GB"/>
        </w:rPr>
        <w:t>, p 56</w:t>
      </w:r>
    </w:p>
  </w:footnote>
  <w:footnote w:id="140">
    <w:p w14:paraId="7A7286A8" w14:textId="4D4DDD70" w:rsidR="00676EC8" w:rsidRPr="002B3315" w:rsidRDefault="00676EC8" w:rsidP="00E0699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7C6A30" w:rsidRPr="002B3315">
        <w:rPr>
          <w:rFonts w:ascii="Arial" w:hAnsi="Arial" w:cs="Arial"/>
          <w:color w:val="808080" w:themeColor="background1" w:themeShade="80"/>
          <w:sz w:val="16"/>
          <w:szCs w:val="16"/>
          <w:lang w:val="en-GB"/>
        </w:rPr>
        <w:t>Ibid.</w:t>
      </w:r>
      <w:r w:rsidRPr="002B3315">
        <w:rPr>
          <w:rFonts w:ascii="Arial" w:hAnsi="Arial" w:cs="Arial"/>
          <w:color w:val="808080" w:themeColor="background1" w:themeShade="80"/>
          <w:sz w:val="16"/>
          <w:szCs w:val="16"/>
          <w:lang w:val="en-GB"/>
        </w:rPr>
        <w:t>, p 58</w:t>
      </w:r>
    </w:p>
  </w:footnote>
  <w:footnote w:id="141">
    <w:p w14:paraId="092F1CDD" w14:textId="7CF8563E" w:rsidR="00AB09DC" w:rsidRPr="002B3315" w:rsidRDefault="00AB09DC" w:rsidP="00E06995">
      <w:pPr>
        <w:jc w:val="both"/>
        <w:rPr>
          <w:rFonts w:ascii="Arial" w:hAnsi="Arial" w:cs="Arial"/>
          <w:color w:val="7B7B7B" w:themeColor="accent3" w:themeShade="BF"/>
          <w:sz w:val="16"/>
          <w:szCs w:val="16"/>
          <w:u w:val="single"/>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HK"/>
        </w:rPr>
        <w:t xml:space="preserve">Carey Olsen, “Plans and schemes of arrangement in the British Virgin Islands”, </w:t>
      </w:r>
      <w:hyperlink r:id="rId5" w:history="1">
        <w:r w:rsidRPr="002B3315">
          <w:rPr>
            <w:rStyle w:val="Hyperlink"/>
            <w:rFonts w:ascii="Arial" w:hAnsi="Arial" w:cs="Arial"/>
            <w:sz w:val="16"/>
            <w:szCs w:val="16"/>
            <w:lang w:val="en-HK"/>
          </w:rPr>
          <w:t>https://www.careyolsen.com/sites/default/files/CO_BVI_CORP_Plans%20and%20schemes%20of%20arrangement%20in%20the%20BVI_3.17_0.pdf</w:t>
        </w:r>
      </w:hyperlink>
      <w:r w:rsidRPr="002B3315">
        <w:rPr>
          <w:rFonts w:ascii="Arial" w:hAnsi="Arial" w:cs="Arial"/>
          <w:color w:val="7B7B7B" w:themeColor="accent3" w:themeShade="BF"/>
          <w:sz w:val="16"/>
          <w:szCs w:val="16"/>
          <w:lang w:val="en-HK"/>
        </w:rPr>
        <w:t>, published in March 2017, accessed on 21 June 2024</w:t>
      </w:r>
    </w:p>
  </w:footnote>
  <w:footnote w:id="142">
    <w:p w14:paraId="3CAB1649" w14:textId="468E746E" w:rsidR="00CB6FB3" w:rsidRPr="002B3315" w:rsidRDefault="00CB6FB3" w:rsidP="00E06995">
      <w:pPr>
        <w:pStyle w:val="FootnoteText"/>
        <w:jc w:val="both"/>
        <w:rPr>
          <w:rFonts w:ascii="Arial" w:hAnsi="Arial" w:cs="Arial"/>
          <w:sz w:val="16"/>
          <w:szCs w:val="16"/>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AB09DC" w:rsidRPr="002B3315">
        <w:rPr>
          <w:rFonts w:ascii="Arial" w:hAnsi="Arial" w:cs="Arial"/>
          <w:color w:val="808080" w:themeColor="background1" w:themeShade="80"/>
          <w:sz w:val="16"/>
          <w:szCs w:val="16"/>
          <w:lang w:val="en-GB"/>
        </w:rPr>
        <w:t>Charlotte Walker,</w:t>
      </w:r>
      <w:r w:rsidR="00AB09DC" w:rsidRPr="002B3315">
        <w:rPr>
          <w:rFonts w:ascii="Arial" w:hAnsi="Arial" w:cs="Arial"/>
          <w:color w:val="808080" w:themeColor="background1" w:themeShade="80"/>
          <w:sz w:val="16"/>
          <w:szCs w:val="16"/>
        </w:rPr>
        <w:t xml:space="preserve"> text updated for 2022/2023 and 2023/2024 by Janet Watson,</w:t>
      </w:r>
      <w:r w:rsidR="00AB09DC" w:rsidRPr="002B3315">
        <w:rPr>
          <w:rFonts w:ascii="Arial" w:hAnsi="Arial" w:cs="Arial"/>
          <w:color w:val="808080" w:themeColor="background1" w:themeShade="80"/>
          <w:sz w:val="16"/>
          <w:szCs w:val="16"/>
          <w:lang w:val="en-GB"/>
        </w:rPr>
        <w:t xml:space="preserve"> “INSOL International, Foundation Certificate in International Insolvency Law, Module 5B Guidance Text, British Virgin Islands, 2023/2024”, p 58</w:t>
      </w:r>
    </w:p>
  </w:footnote>
  <w:footnote w:id="143">
    <w:p w14:paraId="0A82CF55" w14:textId="1B79BE09" w:rsidR="00CB6FB3" w:rsidRPr="002B3315" w:rsidRDefault="00CB6FB3" w:rsidP="00E06995">
      <w:pPr>
        <w:ind w:left="720" w:hanging="720"/>
        <w:jc w:val="both"/>
        <w:rPr>
          <w:rFonts w:ascii="Arial" w:hAnsi="Arial" w:cs="Arial"/>
          <w:color w:val="7B7B7B" w:themeColor="accent3" w:themeShade="BF"/>
          <w:sz w:val="16"/>
          <w:szCs w:val="16"/>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HK"/>
        </w:rPr>
        <w:t>BVI Business Companies Act, s</w:t>
      </w:r>
      <w:r w:rsidR="00C827AE" w:rsidRPr="002B3315">
        <w:rPr>
          <w:rFonts w:ascii="Arial" w:hAnsi="Arial" w:cs="Arial"/>
          <w:color w:val="7B7B7B" w:themeColor="accent3" w:themeShade="BF"/>
          <w:sz w:val="16"/>
          <w:szCs w:val="16"/>
          <w:lang w:val="en-HK"/>
        </w:rPr>
        <w:t>ection 197A(3)</w:t>
      </w:r>
    </w:p>
  </w:footnote>
  <w:footnote w:id="144">
    <w:p w14:paraId="57589711" w14:textId="6F5E5D48" w:rsidR="00CB6FB3" w:rsidRPr="002B3315" w:rsidRDefault="00CB6FB3" w:rsidP="00E06995">
      <w:pPr>
        <w:pStyle w:val="FootnoteText"/>
        <w:jc w:val="both"/>
        <w:rPr>
          <w:rFonts w:ascii="Arial" w:hAnsi="Arial" w:cs="Arial"/>
          <w:sz w:val="16"/>
          <w:szCs w:val="16"/>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C827AE" w:rsidRPr="002B3315">
        <w:rPr>
          <w:rFonts w:ascii="Arial" w:hAnsi="Arial" w:cs="Arial"/>
          <w:color w:val="808080" w:themeColor="background1" w:themeShade="80"/>
          <w:sz w:val="16"/>
          <w:szCs w:val="16"/>
          <w:lang w:val="en-GB"/>
        </w:rPr>
        <w:t>Charlotte Walker,</w:t>
      </w:r>
      <w:r w:rsidR="00C827AE" w:rsidRPr="002B3315">
        <w:rPr>
          <w:rFonts w:ascii="Arial" w:hAnsi="Arial" w:cs="Arial"/>
          <w:color w:val="808080" w:themeColor="background1" w:themeShade="80"/>
          <w:sz w:val="16"/>
          <w:szCs w:val="16"/>
        </w:rPr>
        <w:t xml:space="preserve"> text updated for 2022/2023 and 2023/2024 by Janet Watson,</w:t>
      </w:r>
      <w:r w:rsidR="00C827AE" w:rsidRPr="002B3315">
        <w:rPr>
          <w:rFonts w:ascii="Arial" w:hAnsi="Arial" w:cs="Arial"/>
          <w:color w:val="808080" w:themeColor="background1" w:themeShade="80"/>
          <w:sz w:val="16"/>
          <w:szCs w:val="16"/>
          <w:lang w:val="en-GB"/>
        </w:rPr>
        <w:t xml:space="preserve"> “INSOL International, Foundation Certificate in International Insolvency Law, Module 5B Guidance Text, British Virgin Islands, 2023/2024”, p 58</w:t>
      </w:r>
    </w:p>
  </w:footnote>
  <w:footnote w:id="145">
    <w:p w14:paraId="7CA840F0" w14:textId="5D5DB5DB" w:rsidR="00CB6FB3" w:rsidRPr="002B3315" w:rsidRDefault="00CB6FB3" w:rsidP="00E06995">
      <w:pPr>
        <w:ind w:left="720" w:hanging="720"/>
        <w:jc w:val="both"/>
        <w:rPr>
          <w:rFonts w:ascii="Arial" w:hAnsi="Arial" w:cs="Arial"/>
          <w:color w:val="7B7B7B" w:themeColor="accent3" w:themeShade="BF"/>
          <w:sz w:val="16"/>
          <w:szCs w:val="16"/>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HK"/>
        </w:rPr>
        <w:t>BVI Business Companies Act, s</w:t>
      </w:r>
      <w:r w:rsidR="00C827AE" w:rsidRPr="002B3315">
        <w:rPr>
          <w:rFonts w:ascii="Arial" w:hAnsi="Arial" w:cs="Arial"/>
          <w:color w:val="7B7B7B" w:themeColor="accent3" w:themeShade="BF"/>
          <w:sz w:val="16"/>
          <w:szCs w:val="16"/>
          <w:lang w:val="en-HK"/>
        </w:rPr>
        <w:t>ection 197A(3)</w:t>
      </w:r>
    </w:p>
  </w:footnote>
  <w:footnote w:id="146">
    <w:p w14:paraId="5DD02841" w14:textId="1A63F717" w:rsidR="00CB6FB3" w:rsidRPr="002B3315" w:rsidRDefault="00CB6FB3" w:rsidP="00E06995">
      <w:pPr>
        <w:ind w:left="720" w:hanging="720"/>
        <w:jc w:val="both"/>
        <w:rPr>
          <w:rFonts w:ascii="Arial" w:hAnsi="Arial" w:cs="Arial"/>
          <w:color w:val="7B7B7B" w:themeColor="accent3" w:themeShade="BF"/>
          <w:sz w:val="16"/>
          <w:szCs w:val="16"/>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HK"/>
        </w:rPr>
        <w:t>Ibid., s</w:t>
      </w:r>
      <w:r w:rsidR="00C827AE" w:rsidRPr="002B3315">
        <w:rPr>
          <w:rFonts w:ascii="Arial" w:hAnsi="Arial" w:cs="Arial"/>
          <w:color w:val="7B7B7B" w:themeColor="accent3" w:themeShade="BF"/>
          <w:sz w:val="16"/>
          <w:szCs w:val="16"/>
          <w:lang w:val="en-HK"/>
        </w:rPr>
        <w:t>ection 197A(4)</w:t>
      </w:r>
    </w:p>
  </w:footnote>
  <w:footnote w:id="147">
    <w:p w14:paraId="15A52334" w14:textId="60327354" w:rsidR="00CB6FB3" w:rsidRPr="002B3315" w:rsidRDefault="00CB6FB3" w:rsidP="00E06995">
      <w:pPr>
        <w:ind w:left="720" w:hanging="720"/>
        <w:jc w:val="both"/>
        <w:rPr>
          <w:rFonts w:ascii="Arial" w:hAnsi="Arial" w:cs="Arial"/>
          <w:color w:val="7B7B7B" w:themeColor="accent3" w:themeShade="BF"/>
          <w:sz w:val="16"/>
          <w:szCs w:val="16"/>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HK"/>
        </w:rPr>
        <w:t>Ibid., s</w:t>
      </w:r>
      <w:r w:rsidR="00C827AE" w:rsidRPr="002B3315">
        <w:rPr>
          <w:rFonts w:ascii="Arial" w:hAnsi="Arial" w:cs="Arial"/>
          <w:color w:val="7B7B7B" w:themeColor="accent3" w:themeShade="BF"/>
          <w:sz w:val="16"/>
          <w:szCs w:val="16"/>
          <w:lang w:val="en-HK"/>
        </w:rPr>
        <w:t>ection 197A(5)</w:t>
      </w:r>
    </w:p>
  </w:footnote>
  <w:footnote w:id="148">
    <w:p w14:paraId="7B443058" w14:textId="4D13F463" w:rsidR="00CB6FB3" w:rsidRPr="002B3315" w:rsidRDefault="00CB6FB3" w:rsidP="00E06995">
      <w:pPr>
        <w:ind w:left="720" w:hanging="720"/>
        <w:jc w:val="both"/>
        <w:rPr>
          <w:rFonts w:ascii="Arial" w:hAnsi="Arial" w:cs="Arial"/>
          <w:color w:val="7B7B7B" w:themeColor="accent3" w:themeShade="BF"/>
          <w:sz w:val="16"/>
          <w:szCs w:val="16"/>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HK"/>
        </w:rPr>
        <w:t>Ibid., s</w:t>
      </w:r>
      <w:r w:rsidR="00C827AE" w:rsidRPr="002B3315">
        <w:rPr>
          <w:rFonts w:ascii="Arial" w:hAnsi="Arial" w:cs="Arial"/>
          <w:color w:val="7B7B7B" w:themeColor="accent3" w:themeShade="BF"/>
          <w:sz w:val="16"/>
          <w:szCs w:val="16"/>
          <w:lang w:val="en-HK"/>
        </w:rPr>
        <w:t>ection 197A(9)</w:t>
      </w:r>
    </w:p>
  </w:footnote>
  <w:footnote w:id="149">
    <w:p w14:paraId="01FF917D" w14:textId="17A775BC" w:rsidR="00CB6FB3" w:rsidRPr="002B3315" w:rsidRDefault="00CB6FB3" w:rsidP="00E06995">
      <w:pPr>
        <w:jc w:val="both"/>
        <w:rPr>
          <w:rFonts w:ascii="Arial" w:hAnsi="Arial" w:cs="Arial"/>
          <w:color w:val="7B7B7B" w:themeColor="accent3" w:themeShade="BF"/>
          <w:sz w:val="16"/>
          <w:szCs w:val="16"/>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C827AE" w:rsidRPr="002B3315">
        <w:rPr>
          <w:rFonts w:ascii="Arial" w:hAnsi="Arial" w:cs="Arial"/>
          <w:color w:val="7B7B7B" w:themeColor="accent3" w:themeShade="BF"/>
          <w:sz w:val="16"/>
          <w:szCs w:val="16"/>
          <w:lang w:val="en-HK"/>
        </w:rPr>
        <w:t xml:space="preserve">Ogier, Insight, “Plans and schemes of arrangement in the British Virgin Islands”, </w:t>
      </w:r>
      <w:hyperlink r:id="rId6" w:history="1">
        <w:r w:rsidR="00C827AE" w:rsidRPr="002B3315">
          <w:rPr>
            <w:rStyle w:val="Hyperlink"/>
            <w:rFonts w:ascii="Arial" w:hAnsi="Arial" w:cs="Arial"/>
            <w:sz w:val="16"/>
            <w:szCs w:val="16"/>
            <w:lang w:val="en-HK"/>
          </w:rPr>
          <w:t>https://www.ogier.com/news-and-insights/insights/plans-and-schemes-of-arrangement-in-the-british-virgin-islands/</w:t>
        </w:r>
      </w:hyperlink>
      <w:r w:rsidR="00C827AE" w:rsidRPr="002B3315">
        <w:rPr>
          <w:rFonts w:ascii="Arial" w:hAnsi="Arial" w:cs="Arial"/>
          <w:color w:val="7B7B7B" w:themeColor="accent3" w:themeShade="BF"/>
          <w:sz w:val="16"/>
          <w:szCs w:val="16"/>
          <w:lang w:val="en-HK"/>
        </w:rPr>
        <w:t xml:space="preserve">, published on 7 January 2022, accessed on </w:t>
      </w:r>
      <w:r w:rsidR="00C31C0F" w:rsidRPr="002B3315">
        <w:rPr>
          <w:rFonts w:ascii="Arial" w:hAnsi="Arial" w:cs="Arial"/>
          <w:color w:val="7B7B7B" w:themeColor="accent3" w:themeShade="BF"/>
          <w:sz w:val="16"/>
          <w:szCs w:val="16"/>
          <w:lang w:val="en-HK"/>
        </w:rPr>
        <w:t>21</w:t>
      </w:r>
      <w:r w:rsidR="00D27C95" w:rsidRPr="002B3315">
        <w:rPr>
          <w:rFonts w:ascii="Arial" w:hAnsi="Arial" w:cs="Arial"/>
          <w:color w:val="7B7B7B" w:themeColor="accent3" w:themeShade="BF"/>
          <w:sz w:val="16"/>
          <w:szCs w:val="16"/>
          <w:lang w:val="en-HK"/>
        </w:rPr>
        <w:t xml:space="preserve"> June</w:t>
      </w:r>
      <w:r w:rsidR="00C827AE" w:rsidRPr="002B3315">
        <w:rPr>
          <w:rFonts w:ascii="Arial" w:hAnsi="Arial" w:cs="Arial"/>
          <w:color w:val="7B7B7B" w:themeColor="accent3" w:themeShade="BF"/>
          <w:sz w:val="16"/>
          <w:szCs w:val="16"/>
          <w:lang w:val="en-HK"/>
        </w:rPr>
        <w:t xml:space="preserve"> 2024</w:t>
      </w:r>
    </w:p>
  </w:footnote>
  <w:footnote w:id="150">
    <w:p w14:paraId="447D2314" w14:textId="7811786D" w:rsidR="00CB6FB3" w:rsidRPr="002B3315" w:rsidRDefault="00CB6FB3" w:rsidP="00E06995">
      <w:pPr>
        <w:jc w:val="both"/>
        <w:rPr>
          <w:rFonts w:ascii="Arial" w:hAnsi="Arial" w:cs="Arial"/>
          <w:color w:val="7B7B7B" w:themeColor="accent3" w:themeShade="BF"/>
          <w:sz w:val="16"/>
          <w:szCs w:val="16"/>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4A50BB" w:rsidRPr="002B3315">
        <w:rPr>
          <w:rFonts w:ascii="Arial" w:hAnsi="Arial" w:cs="Arial"/>
          <w:color w:val="7B7B7B" w:themeColor="accent3" w:themeShade="BF"/>
          <w:sz w:val="16"/>
          <w:szCs w:val="16"/>
          <w:lang w:val="en-HK"/>
        </w:rPr>
        <w:t>Ibid.</w:t>
      </w:r>
    </w:p>
  </w:footnote>
  <w:footnote w:id="151">
    <w:p w14:paraId="0EB8605D" w14:textId="0A3818E4" w:rsidR="000D5DB0" w:rsidRPr="002B3315" w:rsidRDefault="000D5DB0" w:rsidP="00E06995">
      <w:pPr>
        <w:jc w:val="both"/>
        <w:rPr>
          <w:rFonts w:ascii="Arial" w:hAnsi="Arial" w:cs="Arial"/>
          <w:color w:val="7B7B7B" w:themeColor="accent3" w:themeShade="BF"/>
          <w:sz w:val="16"/>
          <w:szCs w:val="16"/>
          <w:lang w:val="en-HK"/>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HK"/>
        </w:rPr>
        <w:t xml:space="preserve">Carey Olsen, “Plans and schemes of arrangement in the British Virgin Islands”, </w:t>
      </w:r>
      <w:hyperlink r:id="rId7" w:history="1">
        <w:r w:rsidRPr="002B3315">
          <w:rPr>
            <w:rStyle w:val="Hyperlink"/>
            <w:rFonts w:ascii="Arial" w:hAnsi="Arial" w:cs="Arial"/>
            <w:sz w:val="16"/>
            <w:szCs w:val="16"/>
            <w:lang w:val="en-HK"/>
          </w:rPr>
          <w:t>https://www.careyolsen.com/sites/default/files/CO_BVI_CORP_Plans%20and%20schemes%20of%20arrangement%20in%20the%20BVI_3.17_0.pdf</w:t>
        </w:r>
      </w:hyperlink>
      <w:r w:rsidRPr="002B3315">
        <w:rPr>
          <w:rFonts w:ascii="Arial" w:hAnsi="Arial" w:cs="Arial"/>
          <w:color w:val="7B7B7B" w:themeColor="accent3" w:themeShade="BF"/>
          <w:sz w:val="16"/>
          <w:szCs w:val="16"/>
          <w:lang w:val="en-HK"/>
        </w:rPr>
        <w:t>, published in March 2017, accessed on 21 June 2024</w:t>
      </w:r>
    </w:p>
  </w:footnote>
  <w:footnote w:id="152">
    <w:p w14:paraId="6372195A" w14:textId="56F6166C" w:rsidR="00B553EE" w:rsidRPr="000D5DB0" w:rsidRDefault="00B553EE" w:rsidP="00E0699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5DB0" w:rsidRPr="002B3315">
        <w:rPr>
          <w:rFonts w:ascii="Arial" w:hAnsi="Arial" w:cs="Arial"/>
          <w:color w:val="7B7B7B" w:themeColor="accent3" w:themeShade="BF"/>
          <w:sz w:val="16"/>
          <w:szCs w:val="16"/>
          <w:lang w:val="en-HK"/>
        </w:rPr>
        <w:t xml:space="preserve">Ogier, Insight, “Plans and schemes of arrangement in the British Virgin Islands”, </w:t>
      </w:r>
      <w:hyperlink r:id="rId8" w:history="1">
        <w:r w:rsidR="000D5DB0" w:rsidRPr="002B3315">
          <w:rPr>
            <w:rStyle w:val="Hyperlink"/>
            <w:rFonts w:ascii="Arial" w:hAnsi="Arial" w:cs="Arial"/>
            <w:sz w:val="16"/>
            <w:szCs w:val="16"/>
            <w:lang w:val="en-HK"/>
          </w:rPr>
          <w:t>https://www.ogier.com/news-and-insights/insights/plans-and-schemes-of-arrangement-in-the-british-virgin-islands/</w:t>
        </w:r>
      </w:hyperlink>
      <w:r w:rsidR="000D5DB0" w:rsidRPr="002B3315">
        <w:rPr>
          <w:rFonts w:ascii="Arial" w:hAnsi="Arial" w:cs="Arial"/>
          <w:color w:val="7B7B7B" w:themeColor="accent3" w:themeShade="BF"/>
          <w:sz w:val="16"/>
          <w:szCs w:val="16"/>
          <w:lang w:val="en-HK"/>
        </w:rPr>
        <w:t>, published on 7 January 2022, accessed on 21 June 2024</w:t>
      </w:r>
    </w:p>
  </w:footnote>
  <w:footnote w:id="153">
    <w:p w14:paraId="0FEEE7A7" w14:textId="3E353877" w:rsidR="003B1A74" w:rsidRPr="002B3315" w:rsidRDefault="003B1A74" w:rsidP="002B3315">
      <w:pPr>
        <w:autoSpaceDE w:val="0"/>
        <w:autoSpaceDN w:val="0"/>
        <w:adjustRightInd w:val="0"/>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Carey Olsen, “Receiverships in the BVI”,</w:t>
      </w:r>
      <w:r w:rsidRPr="002B3315">
        <w:rPr>
          <w:rFonts w:ascii="Arial" w:hAnsi="Arial" w:cs="Arial"/>
          <w:sz w:val="16"/>
          <w:szCs w:val="16"/>
        </w:rPr>
        <w:t xml:space="preserve"> </w:t>
      </w:r>
      <w:hyperlink r:id="rId9" w:history="1">
        <w:r w:rsidRPr="002B3315">
          <w:rPr>
            <w:rStyle w:val="Hyperlink"/>
            <w:rFonts w:ascii="Arial" w:hAnsi="Arial" w:cs="Arial"/>
            <w:sz w:val="16"/>
            <w:szCs w:val="16"/>
            <w:lang w:val="en-GB"/>
          </w:rPr>
          <w:t>https://www.careyolsen.com/sites/default/files/CO_BVI_HK_SING_DRL_Receiverships-in-the-BVI_3_20%20%281%29.pdf</w:t>
        </w:r>
      </w:hyperlink>
      <w:r w:rsidRPr="002B3315">
        <w:rPr>
          <w:rFonts w:ascii="Arial" w:hAnsi="Arial" w:cs="Arial"/>
          <w:color w:val="7B7B7B" w:themeColor="accent3" w:themeShade="BF"/>
          <w:sz w:val="16"/>
          <w:szCs w:val="16"/>
          <w:lang w:val="en-GB"/>
        </w:rPr>
        <w:t xml:space="preserve">, published in March 2020, </w:t>
      </w:r>
      <w:r w:rsidRPr="002B3315">
        <w:rPr>
          <w:rFonts w:ascii="Arial" w:hAnsi="Arial" w:cs="Arial"/>
          <w:color w:val="7B7B7B" w:themeColor="accent3" w:themeShade="BF"/>
          <w:sz w:val="16"/>
          <w:szCs w:val="16"/>
          <w:lang w:val="en-HK"/>
        </w:rPr>
        <w:t xml:space="preserve">accessed on </w:t>
      </w:r>
      <w:r w:rsidR="00C31C0F" w:rsidRPr="002B3315">
        <w:rPr>
          <w:rFonts w:ascii="Arial" w:hAnsi="Arial" w:cs="Arial"/>
          <w:color w:val="7B7B7B" w:themeColor="accent3" w:themeShade="BF"/>
          <w:sz w:val="16"/>
          <w:szCs w:val="16"/>
          <w:lang w:val="en-HK"/>
        </w:rPr>
        <w:t>21</w:t>
      </w:r>
      <w:r w:rsidR="00D27C95" w:rsidRPr="002B3315">
        <w:rPr>
          <w:rFonts w:ascii="Arial" w:hAnsi="Arial" w:cs="Arial"/>
          <w:color w:val="7B7B7B" w:themeColor="accent3" w:themeShade="BF"/>
          <w:sz w:val="16"/>
          <w:szCs w:val="16"/>
          <w:lang w:val="en-HK"/>
        </w:rPr>
        <w:t xml:space="preserve"> June</w:t>
      </w:r>
      <w:r w:rsidRPr="002B3315">
        <w:rPr>
          <w:rFonts w:ascii="Arial" w:hAnsi="Arial" w:cs="Arial"/>
          <w:color w:val="7B7B7B" w:themeColor="accent3" w:themeShade="BF"/>
          <w:sz w:val="16"/>
          <w:szCs w:val="16"/>
          <w:lang w:val="en-HK"/>
        </w:rPr>
        <w:t xml:space="preserve"> 2024</w:t>
      </w:r>
    </w:p>
  </w:footnote>
  <w:footnote w:id="154">
    <w:p w14:paraId="1F6F04D4" w14:textId="642A1A6B" w:rsidR="00EF766C" w:rsidRPr="002B3315" w:rsidRDefault="00EF766C" w:rsidP="002B3315">
      <w:pPr>
        <w:autoSpaceDE w:val="0"/>
        <w:autoSpaceDN w:val="0"/>
        <w:adjustRightInd w:val="0"/>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Insolvency Act 2003, section 115(2)(b)</w:t>
      </w:r>
    </w:p>
  </w:footnote>
  <w:footnote w:id="155">
    <w:p w14:paraId="5F91E8DA" w14:textId="4C1124E6" w:rsidR="00EE2A98" w:rsidRPr="002B3315" w:rsidRDefault="00EE2A98"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w:t>
      </w:r>
      <w:r w:rsidR="0059686D" w:rsidRPr="002B3315">
        <w:rPr>
          <w:rFonts w:ascii="Arial" w:hAnsi="Arial" w:cs="Arial"/>
          <w:color w:val="7B7B7B" w:themeColor="accent3" w:themeShade="BF"/>
          <w:sz w:val="16"/>
          <w:szCs w:val="16"/>
          <w:lang w:val="en-GB"/>
        </w:rPr>
        <w:t>bid.</w:t>
      </w:r>
      <w:r w:rsidRPr="002B3315">
        <w:rPr>
          <w:rFonts w:ascii="Arial" w:hAnsi="Arial" w:cs="Arial"/>
          <w:color w:val="7B7B7B" w:themeColor="accent3" w:themeShade="BF"/>
          <w:sz w:val="16"/>
          <w:szCs w:val="16"/>
          <w:lang w:val="en-GB"/>
        </w:rPr>
        <w:t>, section 115(2)(a)</w:t>
      </w:r>
    </w:p>
  </w:footnote>
  <w:footnote w:id="156">
    <w:p w14:paraId="762F15DA" w14:textId="16BB9507" w:rsidR="008B3227" w:rsidRPr="002B3315" w:rsidRDefault="008B3227" w:rsidP="002B3315">
      <w:pPr>
        <w:autoSpaceDE w:val="0"/>
        <w:autoSpaceDN w:val="0"/>
        <w:adjustRightInd w:val="0"/>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 xml:space="preserve">Mourant, Guide, “The things a security taker needs to know about receivership under BVI law”, </w:t>
      </w:r>
      <w:hyperlink r:id="rId10" w:history="1">
        <w:r w:rsidRPr="002B3315">
          <w:rPr>
            <w:rStyle w:val="Hyperlink"/>
            <w:rFonts w:ascii="Arial" w:hAnsi="Arial" w:cs="Arial"/>
            <w:sz w:val="16"/>
            <w:szCs w:val="16"/>
            <w:lang w:val="en-GB"/>
          </w:rPr>
          <w:t>https://www.mourant.com/2016-guides/the-things-a-security-taker-needs-to-know-about-receivership-under-bvi-law-(updated).pdf</w:t>
        </w:r>
      </w:hyperlink>
      <w:r w:rsidRPr="002B3315">
        <w:rPr>
          <w:rFonts w:ascii="Arial" w:hAnsi="Arial" w:cs="Arial"/>
          <w:color w:val="7B7B7B" w:themeColor="accent3" w:themeShade="BF"/>
          <w:sz w:val="16"/>
          <w:szCs w:val="16"/>
          <w:lang w:val="en-GB"/>
        </w:rPr>
        <w:t>, p 3, published in December 2016, accessed on 21 June 2024</w:t>
      </w:r>
    </w:p>
  </w:footnote>
  <w:footnote w:id="157">
    <w:p w14:paraId="20F595E1" w14:textId="51DE8554" w:rsidR="00C05DAE" w:rsidRPr="002B3315" w:rsidRDefault="00C05DAE" w:rsidP="002B3315">
      <w:pPr>
        <w:pStyle w:val="FootnoteText"/>
        <w:jc w:val="both"/>
        <w:rPr>
          <w:rFonts w:ascii="Arial" w:hAnsi="Arial" w:cs="Arial"/>
          <w:sz w:val="16"/>
          <w:szCs w:val="16"/>
          <w:highlight w:val="darkBlue"/>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bookmarkStart w:id="5" w:name="_Hlk169647463"/>
      <w:r w:rsidR="008B3227" w:rsidRPr="002B3315">
        <w:rPr>
          <w:rFonts w:ascii="Arial" w:hAnsi="Arial" w:cs="Arial"/>
          <w:color w:val="7B7B7B" w:themeColor="accent3" w:themeShade="BF"/>
          <w:sz w:val="16"/>
          <w:szCs w:val="16"/>
          <w:lang w:val="en-GB"/>
        </w:rPr>
        <w:t xml:space="preserve">Insolvency Act 2003, </w:t>
      </w:r>
      <w:r w:rsidR="000D0630" w:rsidRPr="002B3315">
        <w:rPr>
          <w:rFonts w:ascii="Arial" w:hAnsi="Arial" w:cs="Arial"/>
          <w:color w:val="7B7B7B" w:themeColor="accent3" w:themeShade="BF"/>
          <w:sz w:val="16"/>
          <w:szCs w:val="16"/>
          <w:lang w:val="en-GB"/>
        </w:rPr>
        <w:t>s</w:t>
      </w:r>
      <w:bookmarkEnd w:id="5"/>
      <w:r w:rsidRPr="002B3315">
        <w:rPr>
          <w:rFonts w:ascii="Arial" w:hAnsi="Arial" w:cs="Arial"/>
          <w:color w:val="7B7B7B" w:themeColor="accent3" w:themeShade="BF"/>
          <w:sz w:val="16"/>
          <w:szCs w:val="16"/>
          <w:lang w:val="en-GB"/>
        </w:rPr>
        <w:t>ection 118(1)(a)</w:t>
      </w:r>
    </w:p>
  </w:footnote>
  <w:footnote w:id="158">
    <w:p w14:paraId="12341493" w14:textId="67272585" w:rsidR="00E42920" w:rsidRPr="002B3315" w:rsidRDefault="00E42920"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Ibid., section 118(1)(b)(i)</w:t>
      </w:r>
    </w:p>
  </w:footnote>
  <w:footnote w:id="159">
    <w:p w14:paraId="4695E25E" w14:textId="20E3F7E3" w:rsidR="00146771" w:rsidRPr="0004403F" w:rsidRDefault="00146771" w:rsidP="002B3315">
      <w:pPr>
        <w:pStyle w:val="FootnoteText"/>
        <w:jc w:val="both"/>
        <w:rPr>
          <w:rFonts w:ascii="Arial" w:hAnsi="Arial" w:cs="Arial"/>
          <w:sz w:val="16"/>
          <w:szCs w:val="16"/>
          <w:highlight w:val="darkBlue"/>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0D0630"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119(1)</w:t>
      </w:r>
    </w:p>
  </w:footnote>
  <w:footnote w:id="160">
    <w:p w14:paraId="6EBA9BA3" w14:textId="2B0DF603" w:rsidR="00510F88" w:rsidRPr="0004403F" w:rsidRDefault="00510F88" w:rsidP="0004403F">
      <w:pPr>
        <w:pStyle w:val="FootnoteText"/>
        <w:jc w:val="both"/>
        <w:rPr>
          <w:rFonts w:ascii="Arial" w:hAnsi="Arial" w:cs="Arial"/>
          <w:sz w:val="16"/>
          <w:szCs w:val="16"/>
          <w:lang w:val="en-GB"/>
        </w:rPr>
      </w:pPr>
      <w:r w:rsidRPr="0004403F">
        <w:rPr>
          <w:rStyle w:val="FootnoteReference"/>
          <w:rFonts w:ascii="Arial" w:hAnsi="Arial" w:cs="Arial"/>
          <w:sz w:val="16"/>
          <w:szCs w:val="16"/>
        </w:rPr>
        <w:footnoteRef/>
      </w:r>
      <w:r w:rsidRPr="0004403F">
        <w:rPr>
          <w:rFonts w:ascii="Arial" w:hAnsi="Arial" w:cs="Arial"/>
          <w:sz w:val="16"/>
          <w:szCs w:val="16"/>
        </w:rPr>
        <w:t xml:space="preserve"> </w:t>
      </w:r>
      <w:r w:rsidRPr="0004403F">
        <w:rPr>
          <w:rFonts w:ascii="Arial" w:hAnsi="Arial" w:cs="Arial"/>
          <w:color w:val="7B7B7B" w:themeColor="accent3" w:themeShade="BF"/>
          <w:sz w:val="16"/>
          <w:szCs w:val="16"/>
          <w:lang w:val="en-GB"/>
        </w:rPr>
        <w:t>Ibid., section 119(2)(c)</w:t>
      </w:r>
    </w:p>
  </w:footnote>
  <w:footnote w:id="161">
    <w:p w14:paraId="3CEDC4C9" w14:textId="4E1F917C" w:rsidR="005628E2" w:rsidRPr="0004403F" w:rsidRDefault="005628E2" w:rsidP="0004403F">
      <w:pPr>
        <w:pStyle w:val="FootnoteText"/>
        <w:jc w:val="both"/>
        <w:rPr>
          <w:rFonts w:ascii="Arial" w:hAnsi="Arial" w:cs="Arial"/>
          <w:sz w:val="16"/>
          <w:szCs w:val="16"/>
          <w:lang w:val="en-GB"/>
        </w:rPr>
      </w:pPr>
      <w:r w:rsidRPr="0004403F">
        <w:rPr>
          <w:rStyle w:val="FootnoteReference"/>
          <w:rFonts w:ascii="Arial" w:hAnsi="Arial" w:cs="Arial"/>
          <w:sz w:val="16"/>
          <w:szCs w:val="16"/>
        </w:rPr>
        <w:footnoteRef/>
      </w:r>
      <w:r w:rsidRPr="0004403F">
        <w:rPr>
          <w:rFonts w:ascii="Arial" w:hAnsi="Arial" w:cs="Arial"/>
          <w:sz w:val="16"/>
          <w:szCs w:val="16"/>
        </w:rPr>
        <w:t xml:space="preserve"> </w:t>
      </w:r>
      <w:r w:rsidRPr="0004403F">
        <w:rPr>
          <w:rFonts w:ascii="Arial" w:hAnsi="Arial" w:cs="Arial"/>
          <w:color w:val="7B7B7B" w:themeColor="accent3" w:themeShade="BF"/>
          <w:sz w:val="16"/>
          <w:szCs w:val="16"/>
          <w:lang w:val="en-GB"/>
        </w:rPr>
        <w:t>Ibid., section 139(5)</w:t>
      </w:r>
    </w:p>
  </w:footnote>
  <w:footnote w:id="162">
    <w:p w14:paraId="5E8A8506" w14:textId="53BF7851" w:rsidR="008C0124" w:rsidRPr="0004403F" w:rsidRDefault="008C0124" w:rsidP="0004403F">
      <w:pPr>
        <w:pStyle w:val="FootnoteText"/>
        <w:jc w:val="both"/>
        <w:rPr>
          <w:rFonts w:ascii="Arial" w:hAnsi="Arial" w:cs="Arial"/>
          <w:sz w:val="16"/>
          <w:szCs w:val="16"/>
          <w:lang w:val="en-GB"/>
        </w:rPr>
      </w:pPr>
      <w:r w:rsidRPr="0004403F">
        <w:rPr>
          <w:rStyle w:val="FootnoteReference"/>
          <w:rFonts w:ascii="Arial" w:hAnsi="Arial" w:cs="Arial"/>
          <w:sz w:val="16"/>
          <w:szCs w:val="16"/>
        </w:rPr>
        <w:footnoteRef/>
      </w:r>
      <w:r w:rsidRPr="0004403F">
        <w:rPr>
          <w:rFonts w:ascii="Arial" w:hAnsi="Arial" w:cs="Arial"/>
          <w:sz w:val="16"/>
          <w:szCs w:val="16"/>
        </w:rPr>
        <w:t xml:space="preserve"> </w:t>
      </w:r>
      <w:r w:rsidR="000D0630" w:rsidRPr="0004403F">
        <w:rPr>
          <w:rFonts w:ascii="Arial" w:hAnsi="Arial" w:cs="Arial"/>
          <w:color w:val="7B7B7B" w:themeColor="accent3" w:themeShade="BF"/>
          <w:sz w:val="16"/>
          <w:szCs w:val="16"/>
          <w:lang w:val="en-GB"/>
        </w:rPr>
        <w:t>Ibid., s</w:t>
      </w:r>
      <w:r w:rsidRPr="0004403F">
        <w:rPr>
          <w:rFonts w:ascii="Arial" w:hAnsi="Arial" w:cs="Arial"/>
          <w:color w:val="7B7B7B" w:themeColor="accent3" w:themeShade="BF"/>
          <w:sz w:val="16"/>
          <w:szCs w:val="16"/>
          <w:lang w:val="en-GB"/>
        </w:rPr>
        <w:t>ection 127(1)</w:t>
      </w:r>
    </w:p>
  </w:footnote>
  <w:footnote w:id="163">
    <w:p w14:paraId="05A09E21" w14:textId="4F01F3BA" w:rsidR="008C0124" w:rsidRPr="0004403F" w:rsidRDefault="008C0124" w:rsidP="0004403F">
      <w:pPr>
        <w:pStyle w:val="FootnoteText"/>
        <w:jc w:val="both"/>
        <w:rPr>
          <w:rFonts w:ascii="Arial" w:hAnsi="Arial" w:cs="Arial"/>
          <w:sz w:val="16"/>
          <w:szCs w:val="16"/>
          <w:lang w:val="en-GB"/>
        </w:rPr>
      </w:pPr>
      <w:r w:rsidRPr="0004403F">
        <w:rPr>
          <w:rStyle w:val="FootnoteReference"/>
          <w:rFonts w:ascii="Arial" w:hAnsi="Arial" w:cs="Arial"/>
          <w:sz w:val="16"/>
          <w:szCs w:val="16"/>
        </w:rPr>
        <w:footnoteRef/>
      </w:r>
      <w:r w:rsidRPr="0004403F">
        <w:rPr>
          <w:rFonts w:ascii="Arial" w:hAnsi="Arial" w:cs="Arial"/>
          <w:sz w:val="16"/>
          <w:szCs w:val="16"/>
        </w:rPr>
        <w:t xml:space="preserve"> </w:t>
      </w:r>
      <w:r w:rsidR="000D0630" w:rsidRPr="0004403F">
        <w:rPr>
          <w:rFonts w:ascii="Arial" w:hAnsi="Arial" w:cs="Arial"/>
          <w:color w:val="7B7B7B" w:themeColor="accent3" w:themeShade="BF"/>
          <w:sz w:val="16"/>
          <w:szCs w:val="16"/>
          <w:lang w:val="en-GB"/>
        </w:rPr>
        <w:t>Ibid., s</w:t>
      </w:r>
      <w:r w:rsidRPr="0004403F">
        <w:rPr>
          <w:rFonts w:ascii="Arial" w:hAnsi="Arial" w:cs="Arial"/>
          <w:color w:val="7B7B7B" w:themeColor="accent3" w:themeShade="BF"/>
          <w:sz w:val="16"/>
          <w:szCs w:val="16"/>
          <w:lang w:val="en-GB"/>
        </w:rPr>
        <w:t>ection 127(1)(a)</w:t>
      </w:r>
    </w:p>
  </w:footnote>
  <w:footnote w:id="164">
    <w:p w14:paraId="3974525A" w14:textId="2C73447B" w:rsidR="008C0124" w:rsidRPr="0004403F" w:rsidRDefault="008C0124" w:rsidP="0004403F">
      <w:pPr>
        <w:pStyle w:val="FootnoteText"/>
        <w:jc w:val="both"/>
        <w:rPr>
          <w:rFonts w:ascii="Arial" w:hAnsi="Arial" w:cs="Arial"/>
          <w:sz w:val="16"/>
          <w:szCs w:val="16"/>
          <w:lang w:val="en-GB"/>
        </w:rPr>
      </w:pPr>
      <w:r w:rsidRPr="0004403F">
        <w:rPr>
          <w:rStyle w:val="FootnoteReference"/>
          <w:rFonts w:ascii="Arial" w:hAnsi="Arial" w:cs="Arial"/>
          <w:sz w:val="16"/>
          <w:szCs w:val="16"/>
        </w:rPr>
        <w:footnoteRef/>
      </w:r>
      <w:r w:rsidRPr="0004403F">
        <w:rPr>
          <w:rFonts w:ascii="Arial" w:hAnsi="Arial" w:cs="Arial"/>
          <w:sz w:val="16"/>
          <w:szCs w:val="16"/>
        </w:rPr>
        <w:t xml:space="preserve"> </w:t>
      </w:r>
      <w:r w:rsidR="000D0630" w:rsidRPr="0004403F">
        <w:rPr>
          <w:rFonts w:ascii="Arial" w:hAnsi="Arial" w:cs="Arial"/>
          <w:color w:val="7B7B7B" w:themeColor="accent3" w:themeShade="BF"/>
          <w:sz w:val="16"/>
          <w:szCs w:val="16"/>
          <w:lang w:val="en-GB"/>
        </w:rPr>
        <w:t>Ibid., s</w:t>
      </w:r>
      <w:r w:rsidRPr="0004403F">
        <w:rPr>
          <w:rFonts w:ascii="Arial" w:hAnsi="Arial" w:cs="Arial"/>
          <w:color w:val="7B7B7B" w:themeColor="accent3" w:themeShade="BF"/>
          <w:sz w:val="16"/>
          <w:szCs w:val="16"/>
          <w:lang w:val="en-GB"/>
        </w:rPr>
        <w:t>ection 127(1)(b)</w:t>
      </w:r>
    </w:p>
  </w:footnote>
  <w:footnote w:id="165">
    <w:p w14:paraId="21376B4B" w14:textId="513F47C3" w:rsidR="00B62853" w:rsidRPr="0004403F" w:rsidRDefault="00B62853" w:rsidP="0004403F">
      <w:pPr>
        <w:pStyle w:val="FootnoteText"/>
        <w:jc w:val="both"/>
        <w:rPr>
          <w:rFonts w:ascii="Arial" w:hAnsi="Arial" w:cs="Arial"/>
          <w:sz w:val="16"/>
          <w:szCs w:val="16"/>
          <w:lang w:val="en-GB"/>
        </w:rPr>
      </w:pPr>
      <w:r w:rsidRPr="0004403F">
        <w:rPr>
          <w:rStyle w:val="FootnoteReference"/>
          <w:rFonts w:ascii="Arial" w:hAnsi="Arial" w:cs="Arial"/>
          <w:sz w:val="16"/>
          <w:szCs w:val="16"/>
        </w:rPr>
        <w:footnoteRef/>
      </w:r>
      <w:r w:rsidRPr="0004403F">
        <w:rPr>
          <w:rFonts w:ascii="Arial" w:hAnsi="Arial" w:cs="Arial"/>
          <w:sz w:val="16"/>
          <w:szCs w:val="16"/>
        </w:rPr>
        <w:t xml:space="preserve"> </w:t>
      </w:r>
      <w:r w:rsidR="000D0630" w:rsidRPr="0004403F">
        <w:rPr>
          <w:rFonts w:ascii="Arial" w:hAnsi="Arial" w:cs="Arial"/>
          <w:color w:val="7B7B7B" w:themeColor="accent3" w:themeShade="BF"/>
          <w:sz w:val="16"/>
          <w:szCs w:val="16"/>
          <w:lang w:val="en-GB"/>
        </w:rPr>
        <w:t>Ibid., s</w:t>
      </w:r>
      <w:r w:rsidRPr="0004403F">
        <w:rPr>
          <w:rFonts w:ascii="Arial" w:hAnsi="Arial" w:cs="Arial"/>
          <w:color w:val="7B7B7B" w:themeColor="accent3" w:themeShade="BF"/>
          <w:sz w:val="16"/>
          <w:szCs w:val="16"/>
          <w:lang w:val="en-GB"/>
        </w:rPr>
        <w:t>ection 127(2)(a)</w:t>
      </w:r>
    </w:p>
  </w:footnote>
  <w:footnote w:id="166">
    <w:p w14:paraId="75EF0837" w14:textId="05769526" w:rsidR="0004403F" w:rsidRPr="0004403F" w:rsidRDefault="0004403F" w:rsidP="0004403F">
      <w:pPr>
        <w:pStyle w:val="FootnoteText"/>
        <w:jc w:val="both"/>
        <w:rPr>
          <w:rFonts w:ascii="Arial" w:hAnsi="Arial" w:cs="Arial"/>
          <w:sz w:val="16"/>
          <w:szCs w:val="16"/>
          <w:lang w:val="en-GB"/>
        </w:rPr>
      </w:pPr>
      <w:r w:rsidRPr="0004403F">
        <w:rPr>
          <w:rStyle w:val="FootnoteReference"/>
          <w:rFonts w:ascii="Arial" w:hAnsi="Arial" w:cs="Arial"/>
          <w:sz w:val="16"/>
          <w:szCs w:val="16"/>
        </w:rPr>
        <w:footnoteRef/>
      </w:r>
      <w:r w:rsidRPr="0004403F">
        <w:rPr>
          <w:rFonts w:ascii="Arial" w:hAnsi="Arial" w:cs="Arial"/>
          <w:sz w:val="16"/>
          <w:szCs w:val="16"/>
        </w:rPr>
        <w:t xml:space="preserve"> </w:t>
      </w:r>
      <w:r w:rsidRPr="0004403F">
        <w:rPr>
          <w:rFonts w:ascii="Arial" w:hAnsi="Arial" w:cs="Arial"/>
          <w:color w:val="808080" w:themeColor="background1" w:themeShade="80"/>
          <w:sz w:val="16"/>
          <w:szCs w:val="16"/>
          <w:lang w:val="en-GB"/>
        </w:rPr>
        <w:t>Charlotte Walker,</w:t>
      </w:r>
      <w:r w:rsidRPr="0004403F">
        <w:rPr>
          <w:rFonts w:ascii="Arial" w:hAnsi="Arial" w:cs="Arial"/>
          <w:color w:val="808080" w:themeColor="background1" w:themeShade="80"/>
          <w:sz w:val="16"/>
          <w:szCs w:val="16"/>
        </w:rPr>
        <w:t xml:space="preserve"> text updated for 2022/2023 and 2023/2024 by Janet Watson,</w:t>
      </w:r>
      <w:r w:rsidRPr="0004403F">
        <w:rPr>
          <w:rFonts w:ascii="Arial" w:hAnsi="Arial" w:cs="Arial"/>
          <w:color w:val="808080" w:themeColor="background1" w:themeShade="80"/>
          <w:sz w:val="16"/>
          <w:szCs w:val="16"/>
          <w:lang w:val="en-GB"/>
        </w:rPr>
        <w:t xml:space="preserve"> “INSOL International, Foundation Certificate in International Insolvency Law, Module 5B Guidance Text, British Virgin Islands, 2023/2024”, p 54</w:t>
      </w:r>
    </w:p>
  </w:footnote>
  <w:footnote w:id="167">
    <w:p w14:paraId="4FB85A4D" w14:textId="7662C38F" w:rsidR="002E381B" w:rsidRPr="0004403F" w:rsidRDefault="002E381B" w:rsidP="0004403F">
      <w:pPr>
        <w:autoSpaceDE w:val="0"/>
        <w:autoSpaceDN w:val="0"/>
        <w:adjustRightInd w:val="0"/>
        <w:jc w:val="both"/>
        <w:rPr>
          <w:rFonts w:ascii="Arial" w:hAnsi="Arial" w:cs="Arial"/>
          <w:color w:val="7B7B7B" w:themeColor="accent3" w:themeShade="BF"/>
          <w:sz w:val="16"/>
          <w:szCs w:val="16"/>
          <w:lang w:val="en-GB"/>
        </w:rPr>
      </w:pPr>
      <w:r w:rsidRPr="0004403F">
        <w:rPr>
          <w:rStyle w:val="FootnoteReference"/>
          <w:rFonts w:ascii="Arial" w:hAnsi="Arial" w:cs="Arial"/>
          <w:sz w:val="16"/>
          <w:szCs w:val="16"/>
        </w:rPr>
        <w:footnoteRef/>
      </w:r>
      <w:r w:rsidRPr="0004403F">
        <w:rPr>
          <w:rFonts w:ascii="Arial" w:hAnsi="Arial" w:cs="Arial"/>
          <w:sz w:val="16"/>
          <w:szCs w:val="16"/>
        </w:rPr>
        <w:t xml:space="preserve"> </w:t>
      </w:r>
      <w:r w:rsidR="0004403F" w:rsidRPr="0004403F">
        <w:rPr>
          <w:rFonts w:ascii="Arial" w:hAnsi="Arial" w:cs="Arial"/>
          <w:color w:val="7B7B7B" w:themeColor="accent3" w:themeShade="BF"/>
          <w:sz w:val="16"/>
          <w:szCs w:val="16"/>
          <w:lang w:val="en-GB"/>
        </w:rPr>
        <w:t xml:space="preserve">Insolvency Act 2003, </w:t>
      </w:r>
      <w:r w:rsidR="000D0630" w:rsidRPr="0004403F">
        <w:rPr>
          <w:rFonts w:ascii="Arial" w:hAnsi="Arial" w:cs="Arial"/>
          <w:color w:val="7B7B7B" w:themeColor="accent3" w:themeShade="BF"/>
          <w:sz w:val="16"/>
          <w:szCs w:val="16"/>
          <w:lang w:val="en-GB"/>
        </w:rPr>
        <w:t>s</w:t>
      </w:r>
      <w:r w:rsidRPr="0004403F">
        <w:rPr>
          <w:rFonts w:ascii="Arial" w:hAnsi="Arial" w:cs="Arial"/>
          <w:color w:val="7B7B7B" w:themeColor="accent3" w:themeShade="BF"/>
          <w:sz w:val="16"/>
          <w:szCs w:val="16"/>
          <w:lang w:val="en-GB"/>
        </w:rPr>
        <w:t>ection 128(1)(a)</w:t>
      </w:r>
    </w:p>
  </w:footnote>
  <w:footnote w:id="168">
    <w:p w14:paraId="5364AB01" w14:textId="35764528" w:rsidR="002E381B" w:rsidRPr="0004403F" w:rsidRDefault="002E381B" w:rsidP="0004403F">
      <w:pPr>
        <w:pStyle w:val="FootnoteText"/>
        <w:jc w:val="both"/>
        <w:rPr>
          <w:rFonts w:ascii="Arial" w:hAnsi="Arial" w:cs="Arial"/>
          <w:sz w:val="16"/>
          <w:szCs w:val="16"/>
          <w:lang w:val="en-GB"/>
        </w:rPr>
      </w:pPr>
      <w:r w:rsidRPr="0004403F">
        <w:rPr>
          <w:rStyle w:val="FootnoteReference"/>
          <w:rFonts w:ascii="Arial" w:hAnsi="Arial" w:cs="Arial"/>
          <w:sz w:val="16"/>
          <w:szCs w:val="16"/>
        </w:rPr>
        <w:footnoteRef/>
      </w:r>
      <w:r w:rsidRPr="0004403F">
        <w:rPr>
          <w:rFonts w:ascii="Arial" w:hAnsi="Arial" w:cs="Arial"/>
          <w:sz w:val="16"/>
          <w:szCs w:val="16"/>
        </w:rPr>
        <w:t xml:space="preserve"> </w:t>
      </w:r>
      <w:r w:rsidR="000D0630" w:rsidRPr="0004403F">
        <w:rPr>
          <w:rFonts w:ascii="Arial" w:hAnsi="Arial" w:cs="Arial"/>
          <w:color w:val="7B7B7B" w:themeColor="accent3" w:themeShade="BF"/>
          <w:sz w:val="16"/>
          <w:szCs w:val="16"/>
          <w:lang w:val="en-GB"/>
        </w:rPr>
        <w:t>Ibid., s</w:t>
      </w:r>
      <w:r w:rsidRPr="0004403F">
        <w:rPr>
          <w:rFonts w:ascii="Arial" w:hAnsi="Arial" w:cs="Arial"/>
          <w:color w:val="7B7B7B" w:themeColor="accent3" w:themeShade="BF"/>
          <w:sz w:val="16"/>
          <w:szCs w:val="16"/>
          <w:lang w:val="en-GB"/>
        </w:rPr>
        <w:t>ection 128(1)(b)</w:t>
      </w:r>
    </w:p>
  </w:footnote>
  <w:footnote w:id="169">
    <w:p w14:paraId="69C8C371" w14:textId="02F051C4" w:rsidR="00C62523" w:rsidRPr="0004403F" w:rsidRDefault="00C62523" w:rsidP="0004403F">
      <w:pPr>
        <w:pStyle w:val="FootnoteText"/>
        <w:jc w:val="both"/>
        <w:rPr>
          <w:rFonts w:ascii="Arial" w:hAnsi="Arial" w:cs="Arial"/>
          <w:sz w:val="16"/>
          <w:szCs w:val="16"/>
          <w:lang w:val="en-GB"/>
        </w:rPr>
      </w:pPr>
      <w:r w:rsidRPr="0004403F">
        <w:rPr>
          <w:rStyle w:val="FootnoteReference"/>
          <w:rFonts w:ascii="Arial" w:hAnsi="Arial" w:cs="Arial"/>
          <w:sz w:val="16"/>
          <w:szCs w:val="16"/>
        </w:rPr>
        <w:footnoteRef/>
      </w:r>
      <w:r w:rsidRPr="0004403F">
        <w:rPr>
          <w:rFonts w:ascii="Arial" w:hAnsi="Arial" w:cs="Arial"/>
          <w:sz w:val="16"/>
          <w:szCs w:val="16"/>
        </w:rPr>
        <w:t xml:space="preserve"> </w:t>
      </w:r>
      <w:r w:rsidR="000D0630" w:rsidRPr="0004403F">
        <w:rPr>
          <w:rFonts w:ascii="Arial" w:hAnsi="Arial" w:cs="Arial"/>
          <w:color w:val="7B7B7B" w:themeColor="accent3" w:themeShade="BF"/>
          <w:sz w:val="16"/>
          <w:szCs w:val="16"/>
          <w:lang w:val="en-GB"/>
        </w:rPr>
        <w:t>Ibid., s</w:t>
      </w:r>
      <w:r w:rsidRPr="0004403F">
        <w:rPr>
          <w:rFonts w:ascii="Arial" w:hAnsi="Arial" w:cs="Arial"/>
          <w:color w:val="7B7B7B" w:themeColor="accent3" w:themeShade="BF"/>
          <w:sz w:val="16"/>
          <w:szCs w:val="16"/>
          <w:lang w:val="en-GB"/>
        </w:rPr>
        <w:t>ection 128(2)</w:t>
      </w:r>
    </w:p>
  </w:footnote>
  <w:footnote w:id="170">
    <w:p w14:paraId="3987ED72" w14:textId="1876BB42" w:rsidR="008909C3" w:rsidRPr="0004403F" w:rsidRDefault="008909C3" w:rsidP="0004403F">
      <w:pPr>
        <w:pStyle w:val="FootnoteText"/>
        <w:jc w:val="both"/>
        <w:rPr>
          <w:rFonts w:ascii="Arial" w:hAnsi="Arial" w:cs="Arial"/>
          <w:sz w:val="16"/>
          <w:szCs w:val="16"/>
          <w:lang w:val="en-GB"/>
        </w:rPr>
      </w:pPr>
      <w:r w:rsidRPr="0004403F">
        <w:rPr>
          <w:rStyle w:val="FootnoteReference"/>
          <w:rFonts w:ascii="Arial" w:hAnsi="Arial" w:cs="Arial"/>
          <w:sz w:val="16"/>
          <w:szCs w:val="16"/>
        </w:rPr>
        <w:footnoteRef/>
      </w:r>
      <w:r w:rsidRPr="0004403F">
        <w:rPr>
          <w:rFonts w:ascii="Arial" w:hAnsi="Arial" w:cs="Arial"/>
          <w:sz w:val="16"/>
          <w:szCs w:val="16"/>
        </w:rPr>
        <w:t xml:space="preserve"> </w:t>
      </w:r>
      <w:r w:rsidR="000D0630" w:rsidRPr="0004403F">
        <w:rPr>
          <w:rFonts w:ascii="Arial" w:hAnsi="Arial" w:cs="Arial"/>
          <w:color w:val="7B7B7B" w:themeColor="accent3" w:themeShade="BF"/>
          <w:sz w:val="16"/>
          <w:szCs w:val="16"/>
          <w:lang w:val="en-GB"/>
        </w:rPr>
        <w:t>Ibid., s</w:t>
      </w:r>
      <w:r w:rsidRPr="0004403F">
        <w:rPr>
          <w:rFonts w:ascii="Arial" w:hAnsi="Arial" w:cs="Arial"/>
          <w:color w:val="7B7B7B" w:themeColor="accent3" w:themeShade="BF"/>
          <w:sz w:val="16"/>
          <w:szCs w:val="16"/>
          <w:lang w:val="en-GB"/>
        </w:rPr>
        <w:t>ection 129(1)</w:t>
      </w:r>
      <w:r w:rsidR="00DF6841" w:rsidRPr="0004403F">
        <w:rPr>
          <w:rFonts w:ascii="Arial" w:hAnsi="Arial" w:cs="Arial"/>
          <w:color w:val="7B7B7B" w:themeColor="accent3" w:themeShade="BF"/>
          <w:sz w:val="16"/>
          <w:szCs w:val="16"/>
          <w:lang w:val="en-GB"/>
        </w:rPr>
        <w:t>(d)</w:t>
      </w:r>
    </w:p>
  </w:footnote>
  <w:footnote w:id="171">
    <w:p w14:paraId="0D8BBDB9" w14:textId="3DBA1E39" w:rsidR="00FE440F" w:rsidRPr="0004403F" w:rsidRDefault="00FE440F" w:rsidP="0004403F">
      <w:pPr>
        <w:pStyle w:val="FootnoteText"/>
        <w:jc w:val="both"/>
        <w:rPr>
          <w:rFonts w:ascii="Arial" w:hAnsi="Arial" w:cs="Arial"/>
          <w:sz w:val="16"/>
          <w:szCs w:val="16"/>
          <w:lang w:val="en-GB"/>
        </w:rPr>
      </w:pPr>
      <w:r w:rsidRPr="0004403F">
        <w:rPr>
          <w:rStyle w:val="FootnoteReference"/>
          <w:rFonts w:ascii="Arial" w:hAnsi="Arial" w:cs="Arial"/>
          <w:sz w:val="16"/>
          <w:szCs w:val="16"/>
        </w:rPr>
        <w:footnoteRef/>
      </w:r>
      <w:r w:rsidRPr="0004403F">
        <w:rPr>
          <w:rFonts w:ascii="Arial" w:hAnsi="Arial" w:cs="Arial"/>
          <w:sz w:val="16"/>
          <w:szCs w:val="16"/>
        </w:rPr>
        <w:t xml:space="preserve"> </w:t>
      </w:r>
      <w:r w:rsidR="000D0630" w:rsidRPr="0004403F">
        <w:rPr>
          <w:rFonts w:ascii="Arial" w:hAnsi="Arial" w:cs="Arial"/>
          <w:color w:val="7B7B7B" w:themeColor="accent3" w:themeShade="BF"/>
          <w:sz w:val="16"/>
          <w:szCs w:val="16"/>
          <w:lang w:val="en-GB"/>
        </w:rPr>
        <w:t>Ibid., s</w:t>
      </w:r>
      <w:r w:rsidRPr="0004403F">
        <w:rPr>
          <w:rFonts w:ascii="Arial" w:hAnsi="Arial" w:cs="Arial"/>
          <w:color w:val="7B7B7B" w:themeColor="accent3" w:themeShade="BF"/>
          <w:sz w:val="16"/>
          <w:szCs w:val="16"/>
          <w:lang w:val="en-GB"/>
        </w:rPr>
        <w:t>ection 126(1)</w:t>
      </w:r>
    </w:p>
  </w:footnote>
  <w:footnote w:id="172">
    <w:p w14:paraId="31BB3C3C" w14:textId="7C90ED61" w:rsidR="00FE440F" w:rsidRPr="0004403F" w:rsidRDefault="00FE440F" w:rsidP="0004403F">
      <w:pPr>
        <w:pStyle w:val="FootnoteText"/>
        <w:jc w:val="both"/>
        <w:rPr>
          <w:rFonts w:ascii="Arial" w:hAnsi="Arial" w:cs="Arial"/>
          <w:sz w:val="16"/>
          <w:szCs w:val="16"/>
          <w:highlight w:val="cyan"/>
          <w:lang w:val="en-GB"/>
        </w:rPr>
      </w:pPr>
      <w:r w:rsidRPr="0004403F">
        <w:rPr>
          <w:rStyle w:val="FootnoteReference"/>
          <w:rFonts w:ascii="Arial" w:hAnsi="Arial" w:cs="Arial"/>
          <w:sz w:val="16"/>
          <w:szCs w:val="16"/>
        </w:rPr>
        <w:footnoteRef/>
      </w:r>
      <w:r w:rsidRPr="0004403F">
        <w:rPr>
          <w:rFonts w:ascii="Arial" w:hAnsi="Arial" w:cs="Arial"/>
          <w:sz w:val="16"/>
          <w:szCs w:val="16"/>
        </w:rPr>
        <w:t xml:space="preserve"> </w:t>
      </w:r>
      <w:r w:rsidRPr="0004403F">
        <w:rPr>
          <w:rFonts w:ascii="Arial" w:hAnsi="Arial" w:cs="Arial"/>
          <w:color w:val="7B7B7B" w:themeColor="accent3" w:themeShade="BF"/>
          <w:sz w:val="16"/>
          <w:szCs w:val="16"/>
          <w:lang w:val="en-GB"/>
        </w:rPr>
        <w:t xml:space="preserve">David Sawtell, “The remedies of the mortgagee and appointing receivers” (2020) Butterworths Journal of International Banking and Financial Law </w:t>
      </w:r>
      <w:r w:rsidR="00F47BAD" w:rsidRPr="0004403F">
        <w:rPr>
          <w:rFonts w:ascii="Arial" w:hAnsi="Arial" w:cs="Arial"/>
          <w:color w:val="7B7B7B" w:themeColor="accent3" w:themeShade="BF"/>
          <w:sz w:val="16"/>
          <w:szCs w:val="16"/>
          <w:lang w:val="en-GB"/>
        </w:rPr>
        <w:t xml:space="preserve">767-769, at </w:t>
      </w:r>
      <w:r w:rsidRPr="0004403F">
        <w:rPr>
          <w:rFonts w:ascii="Arial" w:hAnsi="Arial" w:cs="Arial"/>
          <w:color w:val="7B7B7B" w:themeColor="accent3" w:themeShade="BF"/>
          <w:sz w:val="16"/>
          <w:szCs w:val="16"/>
          <w:lang w:val="en-GB"/>
        </w:rPr>
        <w:t>768</w:t>
      </w:r>
    </w:p>
  </w:footnote>
  <w:footnote w:id="173">
    <w:p w14:paraId="2DEB1072" w14:textId="257127FF" w:rsidR="00C54050" w:rsidRPr="00FC47C6" w:rsidRDefault="00C54050" w:rsidP="0004403F">
      <w:pPr>
        <w:pStyle w:val="FootnoteText"/>
        <w:jc w:val="both"/>
        <w:rPr>
          <w:rFonts w:ascii="Arial" w:hAnsi="Arial" w:cs="Arial"/>
          <w:sz w:val="16"/>
          <w:szCs w:val="16"/>
          <w:lang w:val="en-GB"/>
        </w:rPr>
      </w:pPr>
      <w:r w:rsidRPr="0004403F">
        <w:rPr>
          <w:rStyle w:val="FootnoteReference"/>
          <w:rFonts w:ascii="Arial" w:hAnsi="Arial" w:cs="Arial"/>
          <w:sz w:val="16"/>
          <w:szCs w:val="16"/>
        </w:rPr>
        <w:footnoteRef/>
      </w:r>
      <w:r w:rsidRPr="0004403F">
        <w:rPr>
          <w:rFonts w:ascii="Arial" w:hAnsi="Arial" w:cs="Arial"/>
          <w:sz w:val="16"/>
          <w:szCs w:val="16"/>
        </w:rPr>
        <w:t xml:space="preserve"> </w:t>
      </w:r>
      <w:r w:rsidRPr="0004403F">
        <w:rPr>
          <w:rFonts w:ascii="Arial" w:hAnsi="Arial" w:cs="Arial"/>
          <w:color w:val="808080" w:themeColor="background1" w:themeShade="80"/>
          <w:sz w:val="16"/>
          <w:szCs w:val="16"/>
          <w:lang w:val="en-GB"/>
        </w:rPr>
        <w:t>Charlotte Walker,</w:t>
      </w:r>
      <w:r w:rsidRPr="0004403F">
        <w:rPr>
          <w:rFonts w:ascii="Arial" w:hAnsi="Arial" w:cs="Arial"/>
          <w:color w:val="808080" w:themeColor="background1" w:themeShade="80"/>
          <w:sz w:val="16"/>
          <w:szCs w:val="16"/>
        </w:rPr>
        <w:t xml:space="preserve"> text updated for 2022/2023 and 2023/2024 by Janet Watson,</w:t>
      </w:r>
      <w:r w:rsidRPr="0004403F">
        <w:rPr>
          <w:rFonts w:ascii="Arial" w:hAnsi="Arial" w:cs="Arial"/>
          <w:color w:val="808080" w:themeColor="background1" w:themeShade="80"/>
          <w:sz w:val="16"/>
          <w:szCs w:val="16"/>
          <w:lang w:val="en-GB"/>
        </w:rPr>
        <w:t xml:space="preserve"> “INSOL International, Foundation Certificate in International Insolvency Law, Module 5B Guidance Text, British Virgin Islands, 2023/2024”, p 54</w:t>
      </w:r>
    </w:p>
  </w:footnote>
  <w:footnote w:id="174">
    <w:p w14:paraId="0B45CEDC" w14:textId="6987F083" w:rsidR="00FE440F" w:rsidRPr="002B3315" w:rsidRDefault="00FE440F" w:rsidP="00130633">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C54050" w:rsidRPr="002B3315">
        <w:rPr>
          <w:rFonts w:ascii="Arial" w:hAnsi="Arial" w:cs="Arial"/>
          <w:color w:val="7B7B7B" w:themeColor="accent3" w:themeShade="BF"/>
          <w:sz w:val="16"/>
          <w:szCs w:val="16"/>
          <w:lang w:val="en-GB"/>
        </w:rPr>
        <w:t>David Sawtell, “The remedies of the mortgagee and appointing receivers” (2020) Butterworths Journal of International Banking and Financial Law 767-769, at 768-769</w:t>
      </w:r>
    </w:p>
  </w:footnote>
  <w:footnote w:id="175">
    <w:p w14:paraId="4B945F89" w14:textId="7FCBFACA" w:rsidR="00E75470" w:rsidRPr="002B3315" w:rsidRDefault="00E75470" w:rsidP="00130633">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 xml:space="preserve">Section 175(2) of the Insolvency Act 2003 provides that liquidation does not affect the right of a secured creditor (Orange) to take possession and realise or otherwise deal with the asset (such as the </w:t>
      </w:r>
      <w:r w:rsidR="00CE6545" w:rsidRPr="002B3315">
        <w:rPr>
          <w:rFonts w:ascii="Arial" w:hAnsi="Arial" w:cs="Arial"/>
          <w:color w:val="7B7B7B" w:themeColor="accent3" w:themeShade="BF"/>
          <w:sz w:val="16"/>
          <w:szCs w:val="16"/>
          <w:lang w:val="en-GB"/>
        </w:rPr>
        <w:t>Property</w:t>
      </w:r>
      <w:r w:rsidRPr="002B3315">
        <w:rPr>
          <w:rFonts w:ascii="Arial" w:hAnsi="Arial" w:cs="Arial"/>
          <w:color w:val="7B7B7B" w:themeColor="accent3" w:themeShade="BF"/>
          <w:sz w:val="16"/>
          <w:szCs w:val="16"/>
          <w:lang w:val="en-GB"/>
        </w:rPr>
        <w:t>) over which it has a security interest</w:t>
      </w:r>
    </w:p>
  </w:footnote>
  <w:footnote w:id="176">
    <w:p w14:paraId="751AC287" w14:textId="3F48C24F" w:rsidR="008259A7" w:rsidRPr="002B3315" w:rsidRDefault="008259A7" w:rsidP="00130633">
      <w:pPr>
        <w:autoSpaceDE w:val="0"/>
        <w:autoSpaceDN w:val="0"/>
        <w:adjustRightInd w:val="0"/>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 xml:space="preserve">Marcia McFarlane, Harneys, “Receivership: Draconian or now versatile?”, </w:t>
      </w:r>
      <w:hyperlink r:id="rId11" w:history="1">
        <w:r w:rsidRPr="002B3315">
          <w:rPr>
            <w:rStyle w:val="Hyperlink"/>
            <w:rFonts w:ascii="Arial" w:hAnsi="Arial" w:cs="Arial"/>
            <w:sz w:val="16"/>
            <w:szCs w:val="16"/>
            <w:lang w:val="en-GB"/>
          </w:rPr>
          <w:t>https://www.harneys.com/insights/receivership-draconian-or-now-versatile/</w:t>
        </w:r>
      </w:hyperlink>
      <w:r w:rsidRPr="002B3315">
        <w:rPr>
          <w:rFonts w:ascii="Arial" w:hAnsi="Arial" w:cs="Arial"/>
          <w:color w:val="7B7B7B" w:themeColor="accent3" w:themeShade="BF"/>
          <w:sz w:val="16"/>
          <w:szCs w:val="16"/>
          <w:lang w:val="en-GB"/>
        </w:rPr>
        <w:t xml:space="preserve">, published on 19 May 2022, </w:t>
      </w:r>
      <w:r w:rsidRPr="002B3315">
        <w:rPr>
          <w:rFonts w:ascii="Arial" w:hAnsi="Arial" w:cs="Arial"/>
          <w:color w:val="7B7B7B" w:themeColor="accent3" w:themeShade="BF"/>
          <w:sz w:val="16"/>
          <w:szCs w:val="16"/>
          <w:lang w:val="en-HK"/>
        </w:rPr>
        <w:t>accessed on 21 June 2024</w:t>
      </w:r>
    </w:p>
  </w:footnote>
  <w:footnote w:id="177">
    <w:p w14:paraId="5283EE9B" w14:textId="365FC44F" w:rsidR="00E75470" w:rsidRPr="002B3315" w:rsidRDefault="00E75470" w:rsidP="00130633">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808080" w:themeColor="background1" w:themeShade="80"/>
          <w:sz w:val="16"/>
          <w:szCs w:val="16"/>
          <w:lang w:val="en-GB"/>
        </w:rPr>
        <w:t>Charlotte Walker,</w:t>
      </w:r>
      <w:r w:rsidRPr="002B3315">
        <w:rPr>
          <w:rFonts w:ascii="Arial" w:hAnsi="Arial" w:cs="Arial"/>
          <w:color w:val="808080" w:themeColor="background1" w:themeShade="80"/>
          <w:sz w:val="16"/>
          <w:szCs w:val="16"/>
        </w:rPr>
        <w:t xml:space="preserve"> text updated for 2022/2023 and 2023/2024 by Janet Watson,</w:t>
      </w:r>
      <w:r w:rsidRPr="002B3315">
        <w:rPr>
          <w:rFonts w:ascii="Arial" w:hAnsi="Arial" w:cs="Arial"/>
          <w:color w:val="808080" w:themeColor="background1" w:themeShade="80"/>
          <w:sz w:val="16"/>
          <w:szCs w:val="16"/>
          <w:lang w:val="en-GB"/>
        </w:rPr>
        <w:t xml:space="preserve"> “INSOL International, Foundation Certificate in International Insolvency Law, Module 5B Guidance Text, British Virgin Islands, 2023/2024”, p 11</w:t>
      </w:r>
    </w:p>
  </w:footnote>
  <w:footnote w:id="178">
    <w:p w14:paraId="2768C210" w14:textId="77C274ED" w:rsidR="00AB3623" w:rsidRPr="002B3315" w:rsidRDefault="00AB3623" w:rsidP="00130633">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475845" w:rsidRPr="002B3315">
        <w:rPr>
          <w:rFonts w:ascii="Arial" w:hAnsi="Arial" w:cs="Arial"/>
          <w:color w:val="808080" w:themeColor="background1" w:themeShade="80"/>
          <w:sz w:val="16"/>
          <w:szCs w:val="16"/>
          <w:lang w:val="en-GB"/>
        </w:rPr>
        <w:t>Ibid.,</w:t>
      </w:r>
      <w:r w:rsidRPr="002B3315">
        <w:rPr>
          <w:rFonts w:ascii="Arial" w:hAnsi="Arial" w:cs="Arial"/>
          <w:color w:val="808080" w:themeColor="background1" w:themeShade="80"/>
          <w:sz w:val="16"/>
          <w:szCs w:val="16"/>
          <w:lang w:val="en-GB"/>
        </w:rPr>
        <w:t xml:space="preserve"> p 5</w:t>
      </w:r>
    </w:p>
  </w:footnote>
  <w:footnote w:id="179">
    <w:p w14:paraId="45FBCFB7" w14:textId="77777777" w:rsidR="00CC0780" w:rsidRPr="002B3315" w:rsidRDefault="00CC0780" w:rsidP="00130633">
      <w:pPr>
        <w:autoSpaceDE w:val="0"/>
        <w:autoSpaceDN w:val="0"/>
        <w:adjustRightInd w:val="0"/>
        <w:jc w:val="both"/>
        <w:rPr>
          <w:rFonts w:ascii="Arial" w:hAnsi="Arial" w:cs="Arial"/>
          <w:color w:val="7B7B7B" w:themeColor="accent3" w:themeShade="BF"/>
          <w:sz w:val="16"/>
          <w:szCs w:val="16"/>
          <w:highlight w:val="cyan"/>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Insolvency Act 2003, section 155(2)(a)</w:t>
      </w:r>
    </w:p>
  </w:footnote>
  <w:footnote w:id="180">
    <w:p w14:paraId="4E9BA6A9" w14:textId="465A7701" w:rsidR="002E058A" w:rsidRPr="002B3315" w:rsidRDefault="002E058A" w:rsidP="00130633">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Ibid., section 155(2)(b)</w:t>
      </w:r>
    </w:p>
  </w:footnote>
  <w:footnote w:id="181">
    <w:p w14:paraId="685C7E56" w14:textId="77777777" w:rsidR="00CC0780" w:rsidRPr="002B3315" w:rsidRDefault="00CC0780" w:rsidP="00130633">
      <w:pPr>
        <w:autoSpaceDE w:val="0"/>
        <w:autoSpaceDN w:val="0"/>
        <w:adjustRightInd w:val="0"/>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Ibid., section 155(2)(d)</w:t>
      </w:r>
    </w:p>
  </w:footnote>
  <w:footnote w:id="182">
    <w:p w14:paraId="3F67A7CC" w14:textId="77777777" w:rsidR="00CC0780" w:rsidRPr="002B3315" w:rsidRDefault="00CC0780" w:rsidP="00130633">
      <w:pPr>
        <w:autoSpaceDE w:val="0"/>
        <w:autoSpaceDN w:val="0"/>
        <w:adjustRightInd w:val="0"/>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Ibid., section 155(2)(e)</w:t>
      </w:r>
    </w:p>
  </w:footnote>
  <w:footnote w:id="183">
    <w:p w14:paraId="7B2A7EE4" w14:textId="17E275CA" w:rsidR="00C97AA6" w:rsidRPr="002B3315" w:rsidRDefault="00C97AA6" w:rsidP="00130633">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Ibid., section 155(3)(a)</w:t>
      </w:r>
    </w:p>
  </w:footnote>
  <w:footnote w:id="184">
    <w:p w14:paraId="069D0EEF" w14:textId="77777777" w:rsidR="00CC0780" w:rsidRPr="002B3315" w:rsidRDefault="00CC0780" w:rsidP="00130633">
      <w:pPr>
        <w:pStyle w:val="FootnoteText"/>
        <w:jc w:val="both"/>
        <w:rPr>
          <w:rFonts w:ascii="Arial" w:hAnsi="Arial" w:cs="Arial"/>
          <w:sz w:val="16"/>
          <w:szCs w:val="16"/>
          <w:highlight w:val="cyan"/>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Ibid., section 155(3)(b)</w:t>
      </w:r>
    </w:p>
  </w:footnote>
  <w:footnote w:id="185">
    <w:p w14:paraId="5252A7C9" w14:textId="77777777" w:rsidR="00CC0780" w:rsidRPr="002B3315" w:rsidRDefault="00CC0780" w:rsidP="00130633">
      <w:pPr>
        <w:autoSpaceDE w:val="0"/>
        <w:autoSpaceDN w:val="0"/>
        <w:adjustRightInd w:val="0"/>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Ibid., section 155(2)(a)</w:t>
      </w:r>
    </w:p>
  </w:footnote>
  <w:footnote w:id="186">
    <w:p w14:paraId="47FBB65E" w14:textId="2EBEEF63" w:rsidR="00CC0780" w:rsidRPr="002B3315" w:rsidRDefault="00CC0780" w:rsidP="00130633">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Insolvency Rules, rule 149</w:t>
      </w:r>
      <w:r w:rsidR="00467954" w:rsidRPr="002B3315">
        <w:rPr>
          <w:rFonts w:ascii="Arial" w:hAnsi="Arial" w:cs="Arial"/>
          <w:color w:val="7B7B7B" w:themeColor="accent3" w:themeShade="BF"/>
          <w:sz w:val="16"/>
          <w:szCs w:val="16"/>
          <w:lang w:val="en-GB"/>
        </w:rPr>
        <w:t>(1)</w:t>
      </w:r>
    </w:p>
  </w:footnote>
  <w:footnote w:id="187">
    <w:p w14:paraId="1E9000A7" w14:textId="77777777" w:rsidR="00CC0780" w:rsidRPr="00467954" w:rsidRDefault="00CC0780" w:rsidP="00CC0780">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Insolvency Act 2003, section 8(1)(a)</w:t>
      </w:r>
    </w:p>
  </w:footnote>
  <w:footnote w:id="188">
    <w:p w14:paraId="1575CB9B" w14:textId="77777777" w:rsidR="00CC0780" w:rsidRPr="002B3315" w:rsidRDefault="00CC0780" w:rsidP="00CC0780">
      <w:pPr>
        <w:autoSpaceDE w:val="0"/>
        <w:autoSpaceDN w:val="0"/>
        <w:adjustRightInd w:val="0"/>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Ibid., section 155(2)(e)</w:t>
      </w:r>
    </w:p>
  </w:footnote>
  <w:footnote w:id="189">
    <w:p w14:paraId="3EFAB65A" w14:textId="2E6004BE" w:rsidR="00CC0780" w:rsidRPr="002B3315" w:rsidRDefault="00CC0780" w:rsidP="00CC0780">
      <w:pPr>
        <w:autoSpaceDE w:val="0"/>
        <w:autoSpaceDN w:val="0"/>
        <w:adjustRightInd w:val="0"/>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322461" w:rsidRPr="002B3315">
        <w:rPr>
          <w:rFonts w:ascii="Arial" w:hAnsi="Arial" w:cs="Arial"/>
          <w:color w:val="7B7B7B" w:themeColor="accent3" w:themeShade="BF"/>
          <w:sz w:val="16"/>
          <w:szCs w:val="16"/>
          <w:lang w:val="en-GB"/>
        </w:rPr>
        <w:t>David Sawtell, “The remedies of the mortgagee and appointing receivers” (2020) Butterworths Journal of International Banking and Financial Law 767-769, at 768</w:t>
      </w:r>
    </w:p>
  </w:footnote>
  <w:footnote w:id="190">
    <w:p w14:paraId="062158AC" w14:textId="46949294" w:rsidR="00322461" w:rsidRPr="002B3315" w:rsidRDefault="00322461">
      <w:pPr>
        <w:pStyle w:val="FootnoteText"/>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Insolvency Act 2003, section 8(1)(b)</w:t>
      </w:r>
    </w:p>
  </w:footnote>
  <w:footnote w:id="191">
    <w:p w14:paraId="33327B81" w14:textId="77777777" w:rsidR="00CC0780" w:rsidRPr="002B3315" w:rsidRDefault="00CC0780" w:rsidP="00CC0780">
      <w:pPr>
        <w:autoSpaceDE w:val="0"/>
        <w:autoSpaceDN w:val="0"/>
        <w:adjustRightInd w:val="0"/>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 xml:space="preserve">Hope Wilson and Gurjeet Kaur Walia, Howes Percival, “Letter Before Action or Statutory Demand? … That is the question!”, </w:t>
      </w:r>
      <w:hyperlink r:id="rId12" w:history="1">
        <w:r w:rsidRPr="002B3315">
          <w:rPr>
            <w:rStyle w:val="Hyperlink"/>
            <w:rFonts w:ascii="Arial" w:hAnsi="Arial" w:cs="Arial"/>
            <w:sz w:val="16"/>
            <w:szCs w:val="16"/>
            <w:lang w:val="en-GB"/>
          </w:rPr>
          <w:t>https://www.howespercival.com/articles/letter-before-action-or-statutory-demand-that-is-the-question/</w:t>
        </w:r>
      </w:hyperlink>
      <w:r w:rsidRPr="002B3315">
        <w:rPr>
          <w:rFonts w:ascii="Arial" w:hAnsi="Arial" w:cs="Arial"/>
          <w:color w:val="7B7B7B" w:themeColor="accent3" w:themeShade="BF"/>
          <w:sz w:val="16"/>
          <w:szCs w:val="16"/>
          <w:lang w:val="en-GB"/>
        </w:rPr>
        <w:t xml:space="preserve">, published on 3 November 2021, </w:t>
      </w:r>
      <w:r w:rsidRPr="002B3315">
        <w:rPr>
          <w:rFonts w:ascii="Arial" w:hAnsi="Arial" w:cs="Arial"/>
          <w:color w:val="7B7B7B" w:themeColor="accent3" w:themeShade="BF"/>
          <w:sz w:val="16"/>
          <w:szCs w:val="16"/>
          <w:lang w:val="en-HK"/>
        </w:rPr>
        <w:t>accessed on 21 June 2024</w:t>
      </w:r>
    </w:p>
  </w:footnote>
  <w:footnote w:id="192">
    <w:p w14:paraId="1DCB0D98" w14:textId="37773C08" w:rsidR="00644162" w:rsidRPr="002B3315" w:rsidRDefault="00644162" w:rsidP="00FF6BE8">
      <w:pPr>
        <w:autoSpaceDE w:val="0"/>
        <w:autoSpaceDN w:val="0"/>
        <w:adjustRightInd w:val="0"/>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9F15AF" w:rsidRPr="002B3315">
        <w:rPr>
          <w:rFonts w:ascii="Arial" w:hAnsi="Arial" w:cs="Arial"/>
          <w:color w:val="7B7B7B" w:themeColor="accent3" w:themeShade="BF"/>
          <w:sz w:val="16"/>
          <w:szCs w:val="16"/>
          <w:lang w:val="en-GB"/>
        </w:rPr>
        <w:t>Insolvency Act 2003, s</w:t>
      </w:r>
      <w:r w:rsidRPr="002B3315">
        <w:rPr>
          <w:rFonts w:ascii="Arial" w:hAnsi="Arial" w:cs="Arial"/>
          <w:color w:val="7B7B7B" w:themeColor="accent3" w:themeShade="BF"/>
          <w:sz w:val="16"/>
          <w:szCs w:val="16"/>
          <w:lang w:val="en-GB"/>
        </w:rPr>
        <w:t>ection 155(2)(a)</w:t>
      </w:r>
    </w:p>
  </w:footnote>
  <w:footnote w:id="193">
    <w:p w14:paraId="11D5471B" w14:textId="20417986" w:rsidR="00644162" w:rsidRPr="002B3315" w:rsidRDefault="00644162" w:rsidP="00FF6BE8">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9F15AF" w:rsidRPr="002B3315">
        <w:rPr>
          <w:rFonts w:ascii="Arial" w:hAnsi="Arial" w:cs="Arial"/>
          <w:color w:val="7B7B7B" w:themeColor="accent3" w:themeShade="BF"/>
          <w:sz w:val="16"/>
          <w:szCs w:val="16"/>
          <w:lang w:val="en-GB"/>
        </w:rPr>
        <w:t>Insolvency Rules, r</w:t>
      </w:r>
      <w:r w:rsidRPr="002B3315">
        <w:rPr>
          <w:rFonts w:ascii="Arial" w:hAnsi="Arial" w:cs="Arial"/>
          <w:color w:val="7B7B7B" w:themeColor="accent3" w:themeShade="BF"/>
          <w:sz w:val="16"/>
          <w:szCs w:val="16"/>
          <w:lang w:val="en-GB"/>
        </w:rPr>
        <w:t>ule 149</w:t>
      </w:r>
      <w:r w:rsidR="00467954" w:rsidRPr="002B3315">
        <w:rPr>
          <w:rFonts w:ascii="Arial" w:hAnsi="Arial" w:cs="Arial"/>
          <w:color w:val="7B7B7B" w:themeColor="accent3" w:themeShade="BF"/>
          <w:sz w:val="16"/>
          <w:szCs w:val="16"/>
          <w:lang w:val="en-GB"/>
        </w:rPr>
        <w:t>(1)</w:t>
      </w:r>
    </w:p>
  </w:footnote>
  <w:footnote w:id="194">
    <w:p w14:paraId="5A6FAF50" w14:textId="5695D930" w:rsidR="00644162" w:rsidRPr="002B3315" w:rsidRDefault="00644162" w:rsidP="00FF6BE8">
      <w:pPr>
        <w:autoSpaceDE w:val="0"/>
        <w:autoSpaceDN w:val="0"/>
        <w:adjustRightInd w:val="0"/>
        <w:jc w:val="both"/>
        <w:rPr>
          <w:rFonts w:ascii="Arial" w:hAnsi="Arial" w:cs="Arial"/>
          <w:color w:val="7B7B7B" w:themeColor="accent3" w:themeShade="BF"/>
          <w:sz w:val="16"/>
          <w:szCs w:val="16"/>
          <w:highlight w:val="blue"/>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9F15AF" w:rsidRPr="002B3315">
        <w:rPr>
          <w:rFonts w:ascii="Arial" w:hAnsi="Arial" w:cs="Arial"/>
          <w:color w:val="7B7B7B" w:themeColor="accent3" w:themeShade="BF"/>
          <w:sz w:val="16"/>
          <w:szCs w:val="16"/>
          <w:lang w:val="en-GB"/>
        </w:rPr>
        <w:t>Insolvency Act 2003, s</w:t>
      </w:r>
      <w:r w:rsidRPr="002B3315">
        <w:rPr>
          <w:rFonts w:ascii="Arial" w:hAnsi="Arial" w:cs="Arial"/>
          <w:color w:val="7B7B7B" w:themeColor="accent3" w:themeShade="BF"/>
          <w:sz w:val="16"/>
          <w:szCs w:val="16"/>
          <w:lang w:val="en-GB"/>
        </w:rPr>
        <w:t>ection 155(2)(e)</w:t>
      </w:r>
    </w:p>
  </w:footnote>
  <w:footnote w:id="195">
    <w:p w14:paraId="6A832C48" w14:textId="54A4F492" w:rsidR="00F26F30" w:rsidRPr="002B3315" w:rsidRDefault="00F26F30" w:rsidP="00F26F30">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Ibid., section 8(1)(a)</w:t>
      </w:r>
    </w:p>
  </w:footnote>
  <w:footnote w:id="196">
    <w:p w14:paraId="5FB9F2CF" w14:textId="6A44CF82" w:rsidR="00E13E59" w:rsidRPr="002B3315" w:rsidRDefault="00E13E59" w:rsidP="00FF6BE8">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9F15AF" w:rsidRPr="002B3315">
        <w:rPr>
          <w:rFonts w:ascii="Arial" w:hAnsi="Arial" w:cs="Arial"/>
          <w:color w:val="7B7B7B" w:themeColor="accent3" w:themeShade="BF"/>
          <w:sz w:val="16"/>
          <w:szCs w:val="16"/>
          <w:lang w:val="en-GB"/>
        </w:rPr>
        <w:t>Ibid</w:t>
      </w:r>
      <w:r w:rsidR="0079490A" w:rsidRPr="002B3315">
        <w:rPr>
          <w:rFonts w:ascii="Arial" w:hAnsi="Arial" w:cs="Arial"/>
          <w:color w:val="7B7B7B" w:themeColor="accent3" w:themeShade="BF"/>
          <w:sz w:val="16"/>
          <w:szCs w:val="16"/>
          <w:lang w:val="en-GB"/>
        </w:rPr>
        <w:t>.</w:t>
      </w:r>
      <w:r w:rsidR="009F15AF" w:rsidRPr="002B3315">
        <w:rPr>
          <w:rFonts w:ascii="Arial" w:hAnsi="Arial" w:cs="Arial"/>
          <w:color w:val="7B7B7B" w:themeColor="accent3" w:themeShade="BF"/>
          <w:sz w:val="16"/>
          <w:szCs w:val="16"/>
          <w:lang w:val="en-GB"/>
        </w:rPr>
        <w:t>, s</w:t>
      </w:r>
      <w:r w:rsidRPr="002B3315">
        <w:rPr>
          <w:rFonts w:ascii="Arial" w:hAnsi="Arial" w:cs="Arial"/>
          <w:color w:val="7B7B7B" w:themeColor="accent3" w:themeShade="BF"/>
          <w:sz w:val="16"/>
          <w:szCs w:val="16"/>
          <w:lang w:val="en-GB"/>
        </w:rPr>
        <w:t>ection 162(2)(b)</w:t>
      </w:r>
    </w:p>
  </w:footnote>
  <w:footnote w:id="197">
    <w:p w14:paraId="4DD07B74" w14:textId="6CD9AA3B" w:rsidR="00E13E59" w:rsidRPr="002B3315" w:rsidRDefault="00E13E59" w:rsidP="00FF6BE8">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9F15AF" w:rsidRPr="002B3315">
        <w:rPr>
          <w:rFonts w:ascii="Arial" w:hAnsi="Arial" w:cs="Arial"/>
          <w:color w:val="7B7B7B" w:themeColor="accent3" w:themeShade="BF"/>
          <w:sz w:val="16"/>
          <w:szCs w:val="16"/>
          <w:lang w:val="en-GB"/>
        </w:rPr>
        <w:t>Ibid</w:t>
      </w:r>
      <w:r w:rsidR="0079490A" w:rsidRPr="002B3315">
        <w:rPr>
          <w:rFonts w:ascii="Arial" w:hAnsi="Arial" w:cs="Arial"/>
          <w:color w:val="7B7B7B" w:themeColor="accent3" w:themeShade="BF"/>
          <w:sz w:val="16"/>
          <w:szCs w:val="16"/>
          <w:lang w:val="en-GB"/>
        </w:rPr>
        <w:t>.</w:t>
      </w:r>
      <w:r w:rsidR="009F15AF" w:rsidRPr="002B3315">
        <w:rPr>
          <w:rFonts w:ascii="Arial" w:hAnsi="Arial" w:cs="Arial"/>
          <w:color w:val="7B7B7B" w:themeColor="accent3" w:themeShade="BF"/>
          <w:sz w:val="16"/>
          <w:szCs w:val="16"/>
          <w:lang w:val="en-GB"/>
        </w:rPr>
        <w:t>, s</w:t>
      </w:r>
      <w:r w:rsidRPr="002B3315">
        <w:rPr>
          <w:rFonts w:ascii="Arial" w:hAnsi="Arial" w:cs="Arial"/>
          <w:color w:val="7B7B7B" w:themeColor="accent3" w:themeShade="BF"/>
          <w:sz w:val="16"/>
          <w:szCs w:val="16"/>
          <w:lang w:val="en-GB"/>
        </w:rPr>
        <w:t>ection 162(1)</w:t>
      </w:r>
    </w:p>
  </w:footnote>
  <w:footnote w:id="198">
    <w:p w14:paraId="24CD14AA" w14:textId="2D42DBF1" w:rsidR="00E13E59" w:rsidRPr="002B3315" w:rsidRDefault="00E13E59" w:rsidP="00FF6BE8">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9F15AF" w:rsidRPr="002B3315">
        <w:rPr>
          <w:rFonts w:ascii="Arial" w:hAnsi="Arial" w:cs="Arial"/>
          <w:color w:val="7B7B7B" w:themeColor="accent3" w:themeShade="BF"/>
          <w:sz w:val="16"/>
          <w:szCs w:val="16"/>
          <w:lang w:val="en-GB"/>
        </w:rPr>
        <w:t>Ibid</w:t>
      </w:r>
      <w:r w:rsidR="00CA2D16" w:rsidRPr="002B3315">
        <w:rPr>
          <w:rFonts w:ascii="Arial" w:hAnsi="Arial" w:cs="Arial"/>
          <w:color w:val="7B7B7B" w:themeColor="accent3" w:themeShade="BF"/>
          <w:sz w:val="16"/>
          <w:szCs w:val="16"/>
          <w:lang w:val="en-GB"/>
        </w:rPr>
        <w:t>.</w:t>
      </w:r>
      <w:r w:rsidR="009F15AF" w:rsidRPr="002B3315">
        <w:rPr>
          <w:rFonts w:ascii="Arial" w:hAnsi="Arial" w:cs="Arial"/>
          <w:color w:val="7B7B7B" w:themeColor="accent3" w:themeShade="BF"/>
          <w:sz w:val="16"/>
          <w:szCs w:val="16"/>
          <w:lang w:val="en-GB"/>
        </w:rPr>
        <w:t>, s</w:t>
      </w:r>
      <w:r w:rsidRPr="002B3315">
        <w:rPr>
          <w:rFonts w:ascii="Arial" w:hAnsi="Arial" w:cs="Arial"/>
          <w:color w:val="7B7B7B" w:themeColor="accent3" w:themeShade="BF"/>
          <w:sz w:val="16"/>
          <w:szCs w:val="16"/>
          <w:lang w:val="en-GB"/>
        </w:rPr>
        <w:t>ection 162(1)(</w:t>
      </w:r>
      <w:r w:rsidR="009F15AF" w:rsidRPr="002B3315">
        <w:rPr>
          <w:rFonts w:ascii="Arial" w:hAnsi="Arial" w:cs="Arial"/>
          <w:color w:val="7B7B7B" w:themeColor="accent3" w:themeShade="BF"/>
          <w:sz w:val="16"/>
          <w:szCs w:val="16"/>
          <w:lang w:val="en-GB"/>
        </w:rPr>
        <w:t>a)</w:t>
      </w:r>
    </w:p>
  </w:footnote>
  <w:footnote w:id="199">
    <w:p w14:paraId="389A65BA" w14:textId="538B6B3D" w:rsidR="002E7EE6" w:rsidRPr="00BA72F0" w:rsidRDefault="002E7EE6" w:rsidP="005630F5">
      <w:pPr>
        <w:autoSpaceDE w:val="0"/>
        <w:autoSpaceDN w:val="0"/>
        <w:adjustRightInd w:val="0"/>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 xml:space="preserve">Mourant, Guide, “What a creditor needs to know about liquidating an insolvent BVI company”, </w:t>
      </w:r>
      <w:hyperlink r:id="rId13" w:history="1">
        <w:r w:rsidRPr="002B3315">
          <w:rPr>
            <w:rStyle w:val="Hyperlink"/>
            <w:rFonts w:ascii="Arial" w:hAnsi="Arial" w:cs="Arial"/>
            <w:sz w:val="16"/>
            <w:szCs w:val="16"/>
            <w:lang w:val="en-GB"/>
          </w:rPr>
          <w:t>https://www.mourant.com/file-library/media---2020/what-a-creditor-needs-to-know-about-liquidating-an-insolvent-bvi-company---oct-2020.pdf</w:t>
        </w:r>
      </w:hyperlink>
      <w:r w:rsidRPr="002B3315">
        <w:rPr>
          <w:rFonts w:ascii="Arial" w:hAnsi="Arial" w:cs="Arial"/>
          <w:color w:val="7B7B7B" w:themeColor="accent3" w:themeShade="BF"/>
          <w:sz w:val="16"/>
          <w:szCs w:val="16"/>
          <w:lang w:val="en-GB"/>
        </w:rPr>
        <w:t xml:space="preserve">, published in October 2020, accessed on </w:t>
      </w:r>
      <w:r w:rsidR="00C31C0F" w:rsidRPr="002B3315">
        <w:rPr>
          <w:rFonts w:ascii="Arial" w:hAnsi="Arial" w:cs="Arial"/>
          <w:color w:val="7B7B7B" w:themeColor="accent3" w:themeShade="BF"/>
          <w:sz w:val="16"/>
          <w:szCs w:val="16"/>
          <w:lang w:val="en-GB"/>
        </w:rPr>
        <w:t>21</w:t>
      </w:r>
      <w:r w:rsidR="00D27C95" w:rsidRPr="002B3315">
        <w:rPr>
          <w:rFonts w:ascii="Arial" w:hAnsi="Arial" w:cs="Arial"/>
          <w:color w:val="7B7B7B" w:themeColor="accent3" w:themeShade="BF"/>
          <w:sz w:val="16"/>
          <w:szCs w:val="16"/>
          <w:lang w:val="en-GB"/>
        </w:rPr>
        <w:t xml:space="preserve"> June</w:t>
      </w:r>
      <w:r w:rsidRPr="002B3315">
        <w:rPr>
          <w:rFonts w:ascii="Arial" w:hAnsi="Arial" w:cs="Arial"/>
          <w:color w:val="7B7B7B" w:themeColor="accent3" w:themeShade="BF"/>
          <w:sz w:val="16"/>
          <w:szCs w:val="16"/>
          <w:lang w:val="en-GB"/>
        </w:rPr>
        <w:t xml:space="preserve"> 2024</w:t>
      </w:r>
    </w:p>
  </w:footnote>
  <w:footnote w:id="200">
    <w:p w14:paraId="79FF9FF1" w14:textId="77777777" w:rsidR="00F744B0" w:rsidRPr="002B3315" w:rsidRDefault="00F744B0" w:rsidP="005630F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Insolvency Act 2003, section 8(1)(b)</w:t>
      </w:r>
    </w:p>
  </w:footnote>
  <w:footnote w:id="201">
    <w:p w14:paraId="1018C272" w14:textId="5A0C1E68" w:rsidR="006D7B0C" w:rsidRPr="002B3315" w:rsidRDefault="006D7B0C" w:rsidP="00BA72F0">
      <w:pPr>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 xml:space="preserve">Claire Goldstein, Christopher Pease and Mark Rowlands, Harneys, “Litigation: Enforcement of foreign judgments in the British Virgin Islands”, </w:t>
      </w:r>
      <w:hyperlink r:id="rId14" w:history="1">
        <w:r w:rsidRPr="002B3315">
          <w:rPr>
            <w:rStyle w:val="Hyperlink"/>
            <w:rFonts w:ascii="Arial" w:hAnsi="Arial" w:cs="Arial"/>
            <w:sz w:val="16"/>
            <w:szCs w:val="16"/>
            <w:lang w:val="en-GB"/>
          </w:rPr>
          <w:t>https://www.lexology.com/library/detail.aspx?g=2ee81af2-af47-42ba-b6e0-36d4b082ecbd</w:t>
        </w:r>
      </w:hyperlink>
      <w:r w:rsidRPr="002B3315">
        <w:rPr>
          <w:rFonts w:ascii="Arial" w:hAnsi="Arial" w:cs="Arial"/>
          <w:color w:val="7B7B7B" w:themeColor="accent3" w:themeShade="BF"/>
          <w:sz w:val="16"/>
          <w:szCs w:val="16"/>
          <w:lang w:val="en-GB"/>
        </w:rPr>
        <w:t xml:space="preserve">, published on 24 January 2019, </w:t>
      </w:r>
      <w:r w:rsidRPr="002B3315">
        <w:rPr>
          <w:rFonts w:ascii="Arial" w:hAnsi="Arial" w:cs="Arial"/>
          <w:color w:val="7B7B7B" w:themeColor="accent3" w:themeShade="BF"/>
          <w:sz w:val="16"/>
          <w:szCs w:val="16"/>
          <w:lang w:val="en-HK"/>
        </w:rPr>
        <w:t xml:space="preserve">accessed on </w:t>
      </w:r>
      <w:r w:rsidR="00C31C0F" w:rsidRPr="002B3315">
        <w:rPr>
          <w:rFonts w:ascii="Arial" w:hAnsi="Arial" w:cs="Arial"/>
          <w:color w:val="7B7B7B" w:themeColor="accent3" w:themeShade="BF"/>
          <w:sz w:val="16"/>
          <w:szCs w:val="16"/>
          <w:lang w:val="en-HK"/>
        </w:rPr>
        <w:t>21</w:t>
      </w:r>
      <w:r w:rsidR="00D27C95" w:rsidRPr="002B3315">
        <w:rPr>
          <w:rFonts w:ascii="Arial" w:hAnsi="Arial" w:cs="Arial"/>
          <w:color w:val="7B7B7B" w:themeColor="accent3" w:themeShade="BF"/>
          <w:sz w:val="16"/>
          <w:szCs w:val="16"/>
          <w:lang w:val="en-HK"/>
        </w:rPr>
        <w:t xml:space="preserve"> June</w:t>
      </w:r>
      <w:r w:rsidRPr="002B3315">
        <w:rPr>
          <w:rFonts w:ascii="Arial" w:hAnsi="Arial" w:cs="Arial"/>
          <w:color w:val="7B7B7B" w:themeColor="accent3" w:themeShade="BF"/>
          <w:sz w:val="16"/>
          <w:szCs w:val="16"/>
          <w:lang w:val="en-HK"/>
        </w:rPr>
        <w:t xml:space="preserve"> 2024</w:t>
      </w:r>
    </w:p>
  </w:footnote>
  <w:footnote w:id="202">
    <w:p w14:paraId="333AFCCF" w14:textId="40668F99" w:rsidR="00D10DD9" w:rsidRPr="00BA72F0" w:rsidRDefault="00D10DD9" w:rsidP="00BA72F0">
      <w:pPr>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 xml:space="preserve">Matthew Brown, Conyers, “Common Law Enforcement of a Foreign Judgment in the BVI: The Invest Bank Case”, </w:t>
      </w:r>
      <w:hyperlink r:id="rId15" w:history="1">
        <w:r w:rsidRPr="002B3315">
          <w:rPr>
            <w:rStyle w:val="Hyperlink"/>
            <w:rFonts w:ascii="Arial" w:hAnsi="Arial" w:cs="Arial"/>
            <w:sz w:val="16"/>
            <w:szCs w:val="16"/>
            <w:lang w:val="en-GB"/>
          </w:rPr>
          <w:t>https://www.conyers.com/publications/view/common-law-enforcement-of-a-foreign-judgment-in-the-bvi-the-invest-bank-case/</w:t>
        </w:r>
      </w:hyperlink>
      <w:r w:rsidRPr="002B3315">
        <w:rPr>
          <w:rFonts w:ascii="Arial" w:hAnsi="Arial" w:cs="Arial"/>
          <w:color w:val="7B7B7B" w:themeColor="accent3" w:themeShade="BF"/>
          <w:sz w:val="16"/>
          <w:szCs w:val="16"/>
          <w:lang w:val="en-GB"/>
        </w:rPr>
        <w:t xml:space="preserve">, published in November 2023, </w:t>
      </w:r>
      <w:r w:rsidRPr="002B3315">
        <w:rPr>
          <w:rFonts w:ascii="Arial" w:hAnsi="Arial" w:cs="Arial"/>
          <w:color w:val="7B7B7B" w:themeColor="accent3" w:themeShade="BF"/>
          <w:sz w:val="16"/>
          <w:szCs w:val="16"/>
          <w:lang w:val="en-HK"/>
        </w:rPr>
        <w:t xml:space="preserve">accessed on </w:t>
      </w:r>
      <w:r w:rsidR="00C31C0F" w:rsidRPr="002B3315">
        <w:rPr>
          <w:rFonts w:ascii="Arial" w:hAnsi="Arial" w:cs="Arial"/>
          <w:color w:val="7B7B7B" w:themeColor="accent3" w:themeShade="BF"/>
          <w:sz w:val="16"/>
          <w:szCs w:val="16"/>
          <w:lang w:val="en-HK"/>
        </w:rPr>
        <w:t>21</w:t>
      </w:r>
      <w:r w:rsidR="00D27C95" w:rsidRPr="002B3315">
        <w:rPr>
          <w:rFonts w:ascii="Arial" w:hAnsi="Arial" w:cs="Arial"/>
          <w:color w:val="7B7B7B" w:themeColor="accent3" w:themeShade="BF"/>
          <w:sz w:val="16"/>
          <w:szCs w:val="16"/>
          <w:lang w:val="en-HK"/>
        </w:rPr>
        <w:t xml:space="preserve"> June</w:t>
      </w:r>
      <w:r w:rsidRPr="002B3315">
        <w:rPr>
          <w:rFonts w:ascii="Arial" w:hAnsi="Arial" w:cs="Arial"/>
          <w:color w:val="7B7B7B" w:themeColor="accent3" w:themeShade="BF"/>
          <w:sz w:val="16"/>
          <w:szCs w:val="16"/>
          <w:lang w:val="en-HK"/>
        </w:rPr>
        <w:t xml:space="preserve"> 2024</w:t>
      </w:r>
    </w:p>
  </w:footnote>
  <w:footnote w:id="203">
    <w:p w14:paraId="14DC5C73" w14:textId="45615591" w:rsidR="008E58B7" w:rsidRPr="00BA72F0" w:rsidRDefault="008E58B7" w:rsidP="00BA72F0">
      <w:pPr>
        <w:pStyle w:val="FootnoteText"/>
        <w:jc w:val="both"/>
        <w:rPr>
          <w:rFonts w:ascii="Arial" w:hAnsi="Arial" w:cs="Arial"/>
          <w:sz w:val="16"/>
          <w:szCs w:val="16"/>
          <w:lang w:val="en-GB"/>
        </w:rPr>
      </w:pPr>
      <w:r w:rsidRPr="00BA72F0">
        <w:rPr>
          <w:rStyle w:val="FootnoteReference"/>
          <w:rFonts w:ascii="Arial" w:hAnsi="Arial" w:cs="Arial"/>
          <w:sz w:val="16"/>
          <w:szCs w:val="16"/>
        </w:rPr>
        <w:footnoteRef/>
      </w:r>
      <w:r w:rsidRPr="00BA72F0">
        <w:rPr>
          <w:rFonts w:ascii="Arial" w:hAnsi="Arial" w:cs="Arial"/>
          <w:sz w:val="16"/>
          <w:szCs w:val="16"/>
        </w:rPr>
        <w:t xml:space="preserve"> </w:t>
      </w:r>
      <w:r w:rsidRPr="00BA72F0">
        <w:rPr>
          <w:rFonts w:ascii="Arial" w:hAnsi="Arial" w:cs="Arial"/>
          <w:color w:val="808080" w:themeColor="background1" w:themeShade="80"/>
          <w:sz w:val="16"/>
          <w:szCs w:val="16"/>
          <w:lang w:val="en-GB"/>
        </w:rPr>
        <w:t>Charlotte Walker,</w:t>
      </w:r>
      <w:r w:rsidRPr="00BA72F0">
        <w:rPr>
          <w:rFonts w:ascii="Arial" w:hAnsi="Arial" w:cs="Arial"/>
          <w:color w:val="808080" w:themeColor="background1" w:themeShade="80"/>
          <w:sz w:val="16"/>
          <w:szCs w:val="16"/>
        </w:rPr>
        <w:t xml:space="preserve"> text updated for 2022/2023 and 2023/2024 by Janet Watson,</w:t>
      </w:r>
      <w:r w:rsidRPr="00BA72F0">
        <w:rPr>
          <w:rFonts w:ascii="Arial" w:hAnsi="Arial" w:cs="Arial"/>
          <w:color w:val="808080" w:themeColor="background1" w:themeShade="80"/>
          <w:sz w:val="16"/>
          <w:szCs w:val="16"/>
          <w:lang w:val="en-GB"/>
        </w:rPr>
        <w:t xml:space="preserve"> “INSOL International, Foundation Certificate in International Insolvency Law, Module 5B Guidance Text, British Virgin Islands, 2023/2024”, p 66</w:t>
      </w:r>
    </w:p>
  </w:footnote>
  <w:footnote w:id="204">
    <w:p w14:paraId="1B811DD4" w14:textId="00D5CC42" w:rsidR="00137827" w:rsidRPr="00BA72F0" w:rsidRDefault="00137827" w:rsidP="00BA72F0">
      <w:pPr>
        <w:pStyle w:val="FootnoteText"/>
        <w:jc w:val="both"/>
        <w:rPr>
          <w:rFonts w:ascii="Arial" w:hAnsi="Arial" w:cs="Arial"/>
          <w:sz w:val="16"/>
          <w:szCs w:val="16"/>
          <w:lang w:val="en-GB"/>
        </w:rPr>
      </w:pPr>
      <w:r w:rsidRPr="00BA72F0">
        <w:rPr>
          <w:rStyle w:val="FootnoteReference"/>
          <w:rFonts w:ascii="Arial" w:hAnsi="Arial" w:cs="Arial"/>
          <w:sz w:val="16"/>
          <w:szCs w:val="16"/>
        </w:rPr>
        <w:footnoteRef/>
      </w:r>
      <w:r w:rsidRPr="00BA72F0">
        <w:rPr>
          <w:rFonts w:ascii="Arial" w:hAnsi="Arial" w:cs="Arial"/>
          <w:sz w:val="16"/>
          <w:szCs w:val="16"/>
        </w:rPr>
        <w:t xml:space="preserve"> </w:t>
      </w:r>
      <w:r w:rsidR="009F15AF" w:rsidRPr="00BA72F0">
        <w:rPr>
          <w:rFonts w:ascii="Arial" w:hAnsi="Arial" w:cs="Arial"/>
          <w:color w:val="7B7B7B" w:themeColor="accent3" w:themeShade="BF"/>
          <w:sz w:val="16"/>
          <w:szCs w:val="16"/>
          <w:lang w:val="en-GB"/>
        </w:rPr>
        <w:t>Reciprocal Enforcement of Judgments Act 1922, s</w:t>
      </w:r>
      <w:r w:rsidRPr="00BA72F0">
        <w:rPr>
          <w:rFonts w:ascii="Arial" w:hAnsi="Arial" w:cs="Arial"/>
          <w:color w:val="7B7B7B" w:themeColor="accent3" w:themeShade="BF"/>
          <w:sz w:val="16"/>
          <w:szCs w:val="16"/>
          <w:lang w:val="en-GB"/>
        </w:rPr>
        <w:t>ection 2</w:t>
      </w:r>
    </w:p>
  </w:footnote>
  <w:footnote w:id="205">
    <w:p w14:paraId="1B73099B" w14:textId="07D0BD64" w:rsidR="001D7EF0" w:rsidRPr="00BA72F0" w:rsidRDefault="001D7EF0" w:rsidP="00BA72F0">
      <w:pPr>
        <w:pStyle w:val="FootnoteText"/>
        <w:jc w:val="both"/>
        <w:rPr>
          <w:rFonts w:ascii="Arial" w:hAnsi="Arial" w:cs="Arial"/>
          <w:sz w:val="16"/>
          <w:szCs w:val="16"/>
          <w:lang w:val="en-GB"/>
        </w:rPr>
      </w:pPr>
      <w:r w:rsidRPr="00BA72F0">
        <w:rPr>
          <w:rStyle w:val="FootnoteReference"/>
          <w:rFonts w:ascii="Arial" w:hAnsi="Arial" w:cs="Arial"/>
          <w:sz w:val="16"/>
          <w:szCs w:val="16"/>
        </w:rPr>
        <w:footnoteRef/>
      </w:r>
      <w:r w:rsidRPr="00BA72F0">
        <w:rPr>
          <w:rFonts w:ascii="Arial" w:hAnsi="Arial" w:cs="Arial"/>
          <w:sz w:val="16"/>
          <w:szCs w:val="16"/>
        </w:rPr>
        <w:t xml:space="preserve"> </w:t>
      </w:r>
      <w:r w:rsidR="009F15AF" w:rsidRPr="00BA72F0">
        <w:rPr>
          <w:rFonts w:ascii="Arial" w:hAnsi="Arial" w:cs="Arial"/>
          <w:color w:val="7B7B7B" w:themeColor="accent3" w:themeShade="BF"/>
          <w:sz w:val="16"/>
          <w:szCs w:val="16"/>
          <w:lang w:val="en-GB"/>
        </w:rPr>
        <w:t>Ibid., s</w:t>
      </w:r>
      <w:r w:rsidRPr="00BA72F0">
        <w:rPr>
          <w:rFonts w:ascii="Arial" w:hAnsi="Arial" w:cs="Arial"/>
          <w:color w:val="7B7B7B" w:themeColor="accent3" w:themeShade="BF"/>
          <w:sz w:val="16"/>
          <w:szCs w:val="16"/>
          <w:lang w:val="en-GB"/>
        </w:rPr>
        <w:t>ection 3(1)</w:t>
      </w:r>
    </w:p>
  </w:footnote>
  <w:footnote w:id="206">
    <w:p w14:paraId="38E783D6" w14:textId="11D4ADB4" w:rsidR="001D7EF0" w:rsidRPr="00BA72F0" w:rsidRDefault="001D7EF0" w:rsidP="00BA72F0">
      <w:pPr>
        <w:pStyle w:val="FootnoteText"/>
        <w:jc w:val="both"/>
        <w:rPr>
          <w:rFonts w:ascii="Arial" w:hAnsi="Arial" w:cs="Arial"/>
          <w:sz w:val="16"/>
          <w:szCs w:val="16"/>
          <w:lang w:val="en-GB"/>
        </w:rPr>
      </w:pPr>
      <w:r w:rsidRPr="00BA72F0">
        <w:rPr>
          <w:rStyle w:val="FootnoteReference"/>
          <w:rFonts w:ascii="Arial" w:hAnsi="Arial" w:cs="Arial"/>
          <w:sz w:val="16"/>
          <w:szCs w:val="16"/>
        </w:rPr>
        <w:footnoteRef/>
      </w:r>
      <w:r w:rsidRPr="00BA72F0">
        <w:rPr>
          <w:rFonts w:ascii="Arial" w:hAnsi="Arial" w:cs="Arial"/>
          <w:sz w:val="16"/>
          <w:szCs w:val="16"/>
        </w:rPr>
        <w:t xml:space="preserve"> </w:t>
      </w:r>
      <w:r w:rsidR="009F15AF" w:rsidRPr="00BA72F0">
        <w:rPr>
          <w:rFonts w:ascii="Arial" w:hAnsi="Arial" w:cs="Arial"/>
          <w:color w:val="7B7B7B" w:themeColor="accent3" w:themeShade="BF"/>
          <w:sz w:val="16"/>
          <w:szCs w:val="16"/>
          <w:lang w:val="en-GB"/>
        </w:rPr>
        <w:t>Ibid.</w:t>
      </w:r>
    </w:p>
  </w:footnote>
  <w:footnote w:id="207">
    <w:p w14:paraId="6B50F1EC" w14:textId="5ADF1F45" w:rsidR="00E85E53" w:rsidRPr="00BA72F0" w:rsidRDefault="00E85E53" w:rsidP="00BA72F0">
      <w:pPr>
        <w:pStyle w:val="FootnoteText"/>
        <w:jc w:val="both"/>
        <w:rPr>
          <w:rFonts w:ascii="Arial" w:hAnsi="Arial" w:cs="Arial"/>
          <w:sz w:val="16"/>
          <w:szCs w:val="16"/>
          <w:lang w:val="en-GB"/>
        </w:rPr>
      </w:pPr>
      <w:r w:rsidRPr="00BA72F0">
        <w:rPr>
          <w:rStyle w:val="FootnoteReference"/>
          <w:rFonts w:ascii="Arial" w:hAnsi="Arial" w:cs="Arial"/>
          <w:sz w:val="16"/>
          <w:szCs w:val="16"/>
        </w:rPr>
        <w:footnoteRef/>
      </w:r>
      <w:r w:rsidRPr="00BA72F0">
        <w:rPr>
          <w:rFonts w:ascii="Arial" w:hAnsi="Arial" w:cs="Arial"/>
          <w:sz w:val="16"/>
          <w:szCs w:val="16"/>
        </w:rPr>
        <w:t xml:space="preserve"> </w:t>
      </w:r>
      <w:r w:rsidR="009F15AF" w:rsidRPr="00BA72F0">
        <w:rPr>
          <w:rFonts w:ascii="Arial" w:hAnsi="Arial" w:cs="Arial"/>
          <w:color w:val="7B7B7B" w:themeColor="accent3" w:themeShade="BF"/>
          <w:sz w:val="16"/>
          <w:szCs w:val="16"/>
          <w:lang w:val="en-GB"/>
        </w:rPr>
        <w:t>Ibid.</w:t>
      </w:r>
    </w:p>
  </w:footnote>
  <w:footnote w:id="208">
    <w:p w14:paraId="2AE39019" w14:textId="3D9D012F" w:rsidR="00E70BFE" w:rsidRPr="00BA72F0" w:rsidRDefault="00E70BFE" w:rsidP="00BA72F0">
      <w:pPr>
        <w:pStyle w:val="FootnoteText"/>
        <w:jc w:val="both"/>
        <w:rPr>
          <w:rFonts w:ascii="Arial" w:hAnsi="Arial" w:cs="Arial"/>
          <w:sz w:val="16"/>
          <w:szCs w:val="16"/>
          <w:lang w:val="en-GB"/>
        </w:rPr>
      </w:pPr>
      <w:r w:rsidRPr="00BA72F0">
        <w:rPr>
          <w:rStyle w:val="FootnoteReference"/>
          <w:rFonts w:ascii="Arial" w:hAnsi="Arial" w:cs="Arial"/>
          <w:sz w:val="16"/>
          <w:szCs w:val="16"/>
        </w:rPr>
        <w:footnoteRef/>
      </w:r>
      <w:r w:rsidRPr="00BA72F0">
        <w:rPr>
          <w:rFonts w:ascii="Arial" w:hAnsi="Arial" w:cs="Arial"/>
          <w:sz w:val="16"/>
          <w:szCs w:val="16"/>
        </w:rPr>
        <w:t xml:space="preserve"> </w:t>
      </w:r>
      <w:r w:rsidRPr="00BA72F0">
        <w:rPr>
          <w:rFonts w:ascii="Arial" w:hAnsi="Arial" w:cs="Arial"/>
          <w:color w:val="7B7B7B" w:themeColor="accent3" w:themeShade="BF"/>
          <w:sz w:val="16"/>
          <w:szCs w:val="16"/>
          <w:lang w:val="en-GB"/>
        </w:rPr>
        <w:t>Eastern Caribbean Supreme Court Civil Procedure Rules 2023, Part 74.2(a)</w:t>
      </w:r>
    </w:p>
  </w:footnote>
  <w:footnote w:id="209">
    <w:p w14:paraId="18C8536C" w14:textId="2CE2BCAA" w:rsidR="00E70BFE" w:rsidRPr="00BA72F0" w:rsidRDefault="00E70BFE" w:rsidP="00BA72F0">
      <w:pPr>
        <w:pStyle w:val="FootnoteText"/>
        <w:jc w:val="both"/>
        <w:rPr>
          <w:rFonts w:ascii="Arial" w:hAnsi="Arial" w:cs="Arial"/>
          <w:sz w:val="16"/>
          <w:szCs w:val="16"/>
          <w:lang w:val="en-GB"/>
        </w:rPr>
      </w:pPr>
      <w:r w:rsidRPr="00BA72F0">
        <w:rPr>
          <w:rStyle w:val="FootnoteReference"/>
          <w:rFonts w:ascii="Arial" w:hAnsi="Arial" w:cs="Arial"/>
          <w:sz w:val="16"/>
          <w:szCs w:val="16"/>
        </w:rPr>
        <w:footnoteRef/>
      </w:r>
      <w:r w:rsidRPr="00BA72F0">
        <w:rPr>
          <w:rFonts w:ascii="Arial" w:hAnsi="Arial" w:cs="Arial"/>
          <w:sz w:val="16"/>
          <w:szCs w:val="16"/>
        </w:rPr>
        <w:t xml:space="preserve"> </w:t>
      </w:r>
      <w:r w:rsidRPr="00BA72F0">
        <w:rPr>
          <w:rFonts w:ascii="Arial" w:hAnsi="Arial" w:cs="Arial"/>
          <w:color w:val="7B7B7B" w:themeColor="accent3" w:themeShade="BF"/>
          <w:sz w:val="16"/>
          <w:szCs w:val="16"/>
          <w:lang w:val="en-GB"/>
        </w:rPr>
        <w:t>Ibid., Part 74.2(d)(i)(B)</w:t>
      </w:r>
    </w:p>
  </w:footnote>
  <w:footnote w:id="210">
    <w:p w14:paraId="78440CBA" w14:textId="7B5DCF6C" w:rsidR="00E62863" w:rsidRPr="00BA72F0" w:rsidRDefault="00E62863" w:rsidP="00BA72F0">
      <w:pPr>
        <w:pStyle w:val="FootnoteText"/>
        <w:jc w:val="both"/>
        <w:rPr>
          <w:rFonts w:ascii="Arial" w:hAnsi="Arial" w:cs="Arial"/>
          <w:sz w:val="16"/>
          <w:szCs w:val="16"/>
          <w:lang w:val="en-GB"/>
        </w:rPr>
      </w:pPr>
      <w:r w:rsidRPr="00BA72F0">
        <w:rPr>
          <w:rStyle w:val="FootnoteReference"/>
          <w:rFonts w:ascii="Arial" w:hAnsi="Arial" w:cs="Arial"/>
          <w:sz w:val="16"/>
          <w:szCs w:val="16"/>
        </w:rPr>
        <w:footnoteRef/>
      </w:r>
      <w:r w:rsidRPr="00BA72F0">
        <w:rPr>
          <w:rFonts w:ascii="Arial" w:hAnsi="Arial" w:cs="Arial"/>
          <w:sz w:val="16"/>
          <w:szCs w:val="16"/>
        </w:rPr>
        <w:t xml:space="preserve"> </w:t>
      </w:r>
      <w:r w:rsidR="00817D63" w:rsidRPr="00BA72F0">
        <w:rPr>
          <w:rFonts w:ascii="Arial" w:hAnsi="Arial" w:cs="Arial"/>
          <w:color w:val="7B7B7B" w:themeColor="accent3" w:themeShade="BF"/>
          <w:sz w:val="16"/>
          <w:szCs w:val="16"/>
          <w:lang w:val="en-GB"/>
        </w:rPr>
        <w:t>Ibid.,</w:t>
      </w:r>
      <w:r w:rsidR="00B8705D" w:rsidRPr="00BA72F0">
        <w:rPr>
          <w:rFonts w:ascii="Arial" w:hAnsi="Arial" w:cs="Arial"/>
          <w:color w:val="7B7B7B" w:themeColor="accent3" w:themeShade="BF"/>
          <w:sz w:val="16"/>
          <w:szCs w:val="16"/>
          <w:lang w:val="en-GB"/>
        </w:rPr>
        <w:t xml:space="preserve"> </w:t>
      </w:r>
      <w:r w:rsidRPr="00BA72F0">
        <w:rPr>
          <w:rFonts w:ascii="Arial" w:hAnsi="Arial" w:cs="Arial"/>
          <w:color w:val="7B7B7B" w:themeColor="accent3" w:themeShade="BF"/>
          <w:sz w:val="16"/>
          <w:szCs w:val="16"/>
          <w:lang w:val="en-GB"/>
        </w:rPr>
        <w:t>Part 74.3</w:t>
      </w:r>
    </w:p>
  </w:footnote>
  <w:footnote w:id="211">
    <w:p w14:paraId="3692FE78" w14:textId="377C4E5D" w:rsidR="00E62863" w:rsidRPr="00BA72F0" w:rsidRDefault="00E62863" w:rsidP="00BA72F0">
      <w:pPr>
        <w:jc w:val="both"/>
        <w:rPr>
          <w:rFonts w:ascii="Arial" w:hAnsi="Arial" w:cs="Arial"/>
          <w:color w:val="7B7B7B" w:themeColor="accent3" w:themeShade="BF"/>
          <w:sz w:val="16"/>
          <w:szCs w:val="16"/>
          <w:lang w:val="en-GB"/>
        </w:rPr>
      </w:pPr>
      <w:r w:rsidRPr="00BA72F0">
        <w:rPr>
          <w:rStyle w:val="FootnoteReference"/>
          <w:rFonts w:ascii="Arial" w:hAnsi="Arial" w:cs="Arial"/>
          <w:sz w:val="16"/>
          <w:szCs w:val="16"/>
        </w:rPr>
        <w:footnoteRef/>
      </w:r>
      <w:r w:rsidRPr="00BA72F0">
        <w:rPr>
          <w:rFonts w:ascii="Arial" w:hAnsi="Arial" w:cs="Arial"/>
          <w:sz w:val="16"/>
          <w:szCs w:val="16"/>
        </w:rPr>
        <w:t xml:space="preserve"> </w:t>
      </w:r>
      <w:r w:rsidR="00B8705D" w:rsidRPr="00BA72F0">
        <w:rPr>
          <w:rFonts w:ascii="Arial" w:hAnsi="Arial" w:cs="Arial"/>
          <w:color w:val="7B7B7B" w:themeColor="accent3" w:themeShade="BF"/>
          <w:sz w:val="16"/>
          <w:szCs w:val="16"/>
          <w:lang w:val="en-GB"/>
        </w:rPr>
        <w:t>Ibid., P</w:t>
      </w:r>
      <w:r w:rsidRPr="00BA72F0">
        <w:rPr>
          <w:rFonts w:ascii="Arial" w:hAnsi="Arial" w:cs="Arial"/>
          <w:color w:val="7B7B7B" w:themeColor="accent3" w:themeShade="BF"/>
          <w:sz w:val="16"/>
          <w:szCs w:val="16"/>
          <w:lang w:val="en-GB"/>
        </w:rPr>
        <w:t>art 74.5(1)</w:t>
      </w:r>
    </w:p>
  </w:footnote>
  <w:footnote w:id="212">
    <w:p w14:paraId="0E5BF0F4" w14:textId="5E83855E" w:rsidR="00E62863" w:rsidRPr="003C2445" w:rsidRDefault="00E62863" w:rsidP="00BA72F0">
      <w:pPr>
        <w:jc w:val="both"/>
        <w:rPr>
          <w:rFonts w:ascii="Arial" w:hAnsi="Arial" w:cs="Arial"/>
          <w:color w:val="7B7B7B" w:themeColor="accent3" w:themeShade="BF"/>
          <w:sz w:val="16"/>
          <w:szCs w:val="16"/>
          <w:lang w:val="en-GB"/>
        </w:rPr>
      </w:pPr>
      <w:r w:rsidRPr="00BA72F0">
        <w:rPr>
          <w:rStyle w:val="FootnoteReference"/>
          <w:rFonts w:ascii="Arial" w:hAnsi="Arial" w:cs="Arial"/>
          <w:sz w:val="16"/>
          <w:szCs w:val="16"/>
        </w:rPr>
        <w:footnoteRef/>
      </w:r>
      <w:r w:rsidRPr="00BA72F0">
        <w:rPr>
          <w:rFonts w:ascii="Arial" w:hAnsi="Arial" w:cs="Arial"/>
          <w:sz w:val="16"/>
          <w:szCs w:val="16"/>
        </w:rPr>
        <w:t xml:space="preserve"> </w:t>
      </w:r>
      <w:r w:rsidR="00B8705D" w:rsidRPr="00BA72F0">
        <w:rPr>
          <w:rFonts w:ascii="Arial" w:hAnsi="Arial" w:cs="Arial"/>
          <w:color w:val="7B7B7B" w:themeColor="accent3" w:themeShade="BF"/>
          <w:sz w:val="16"/>
          <w:szCs w:val="16"/>
          <w:lang w:val="en-GB"/>
        </w:rPr>
        <w:t>Ibid., P</w:t>
      </w:r>
      <w:r w:rsidR="00843C79" w:rsidRPr="00BA72F0">
        <w:rPr>
          <w:rFonts w:ascii="Arial" w:hAnsi="Arial" w:cs="Arial"/>
          <w:color w:val="7B7B7B" w:themeColor="accent3" w:themeShade="BF"/>
          <w:sz w:val="16"/>
          <w:szCs w:val="16"/>
          <w:lang w:val="en-GB"/>
        </w:rPr>
        <w:t>art 7</w:t>
      </w:r>
      <w:r w:rsidRPr="00BA72F0">
        <w:rPr>
          <w:rFonts w:ascii="Arial" w:hAnsi="Arial" w:cs="Arial"/>
          <w:color w:val="7B7B7B" w:themeColor="accent3" w:themeShade="BF"/>
          <w:sz w:val="16"/>
          <w:szCs w:val="16"/>
          <w:lang w:val="en-GB"/>
        </w:rPr>
        <w:t>4.6(1)</w:t>
      </w:r>
    </w:p>
  </w:footnote>
  <w:footnote w:id="213">
    <w:p w14:paraId="6769F7D3" w14:textId="5EC3F40F" w:rsidR="00843C79" w:rsidRPr="00BA72F0" w:rsidRDefault="00843C79" w:rsidP="008737A2">
      <w:pPr>
        <w:pStyle w:val="FootnoteText"/>
        <w:jc w:val="both"/>
        <w:rPr>
          <w:rFonts w:ascii="Arial" w:hAnsi="Arial" w:cs="Arial"/>
          <w:sz w:val="16"/>
          <w:szCs w:val="16"/>
          <w:lang w:val="en-GB"/>
        </w:rPr>
      </w:pPr>
      <w:r w:rsidRPr="00BA72F0">
        <w:rPr>
          <w:rStyle w:val="FootnoteReference"/>
          <w:rFonts w:ascii="Arial" w:hAnsi="Arial" w:cs="Arial"/>
          <w:sz w:val="16"/>
          <w:szCs w:val="16"/>
        </w:rPr>
        <w:footnoteRef/>
      </w:r>
      <w:r w:rsidRPr="00BA72F0">
        <w:rPr>
          <w:rFonts w:ascii="Arial" w:hAnsi="Arial" w:cs="Arial"/>
          <w:sz w:val="16"/>
          <w:szCs w:val="16"/>
        </w:rPr>
        <w:t xml:space="preserve"> </w:t>
      </w:r>
      <w:r w:rsidR="00B8705D" w:rsidRPr="00BA72F0">
        <w:rPr>
          <w:rFonts w:ascii="Arial" w:hAnsi="Arial" w:cs="Arial"/>
          <w:color w:val="7B7B7B" w:themeColor="accent3" w:themeShade="BF"/>
          <w:sz w:val="16"/>
          <w:szCs w:val="16"/>
          <w:lang w:val="en-GB"/>
        </w:rPr>
        <w:t>Reciprocal Enforcement of Judgments Act 1922, s</w:t>
      </w:r>
      <w:r w:rsidRPr="00BA72F0">
        <w:rPr>
          <w:rFonts w:ascii="Arial" w:hAnsi="Arial" w:cs="Arial"/>
          <w:color w:val="7B7B7B" w:themeColor="accent3" w:themeShade="BF"/>
          <w:sz w:val="16"/>
          <w:szCs w:val="16"/>
          <w:lang w:val="en-GB"/>
        </w:rPr>
        <w:t>ection 3(3)(a)</w:t>
      </w:r>
    </w:p>
  </w:footnote>
  <w:footnote w:id="214">
    <w:p w14:paraId="6933BE39" w14:textId="625020FF" w:rsidR="00843C79" w:rsidRPr="00BA72F0" w:rsidRDefault="00843C79" w:rsidP="008737A2">
      <w:pPr>
        <w:pStyle w:val="FootnoteText"/>
        <w:jc w:val="both"/>
        <w:rPr>
          <w:rFonts w:ascii="Arial" w:hAnsi="Arial" w:cs="Arial"/>
          <w:sz w:val="16"/>
          <w:szCs w:val="16"/>
          <w:lang w:val="en-GB"/>
        </w:rPr>
      </w:pPr>
      <w:r w:rsidRPr="00BA72F0">
        <w:rPr>
          <w:rStyle w:val="FootnoteReference"/>
          <w:rFonts w:ascii="Arial" w:hAnsi="Arial" w:cs="Arial"/>
          <w:sz w:val="16"/>
          <w:szCs w:val="16"/>
        </w:rPr>
        <w:footnoteRef/>
      </w:r>
      <w:r w:rsidRPr="00BA72F0">
        <w:rPr>
          <w:rFonts w:ascii="Arial" w:hAnsi="Arial" w:cs="Arial"/>
          <w:sz w:val="16"/>
          <w:szCs w:val="16"/>
        </w:rPr>
        <w:t xml:space="preserve"> </w:t>
      </w:r>
      <w:r w:rsidR="00B8705D" w:rsidRPr="00BA72F0">
        <w:rPr>
          <w:rFonts w:ascii="Arial" w:hAnsi="Arial" w:cs="Arial"/>
          <w:color w:val="7B7B7B" w:themeColor="accent3" w:themeShade="BF"/>
          <w:sz w:val="16"/>
          <w:szCs w:val="16"/>
          <w:lang w:val="en-GB"/>
        </w:rPr>
        <w:t xml:space="preserve">Eastern Caribbean Supreme Court Civil Procedure Rules 2023, </w:t>
      </w:r>
      <w:r w:rsidRPr="00BA72F0">
        <w:rPr>
          <w:rFonts w:ascii="Arial" w:hAnsi="Arial" w:cs="Arial"/>
          <w:color w:val="7B7B7B" w:themeColor="accent3" w:themeShade="BF"/>
          <w:sz w:val="16"/>
          <w:szCs w:val="16"/>
          <w:lang w:val="en-GB"/>
        </w:rPr>
        <w:t>Part 45.2(e)</w:t>
      </w:r>
    </w:p>
  </w:footnote>
  <w:footnote w:id="215">
    <w:p w14:paraId="07B87759" w14:textId="6F466826" w:rsidR="007D7802" w:rsidRPr="002B3315" w:rsidRDefault="007D7802" w:rsidP="008737A2">
      <w:pPr>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 xml:space="preserve">Fiona Kelleher, IBB Law, “What happens when a sole director and shareholder dies?”, </w:t>
      </w:r>
      <w:hyperlink r:id="rId16" w:history="1">
        <w:r w:rsidRPr="002B3315">
          <w:rPr>
            <w:rStyle w:val="Hyperlink"/>
            <w:rFonts w:ascii="Arial" w:hAnsi="Arial" w:cs="Arial"/>
            <w:sz w:val="16"/>
            <w:szCs w:val="16"/>
            <w:lang w:val="en-GB"/>
          </w:rPr>
          <w:t>https://www.ibblaw.co.uk/insights/when-a-sole-director-and-shareholder-dies</w:t>
        </w:r>
      </w:hyperlink>
      <w:r w:rsidRPr="002B3315">
        <w:rPr>
          <w:rFonts w:ascii="Arial" w:hAnsi="Arial" w:cs="Arial"/>
          <w:color w:val="7B7B7B" w:themeColor="accent3" w:themeShade="BF"/>
          <w:sz w:val="16"/>
          <w:szCs w:val="16"/>
          <w:lang w:val="en-GB"/>
        </w:rPr>
        <w:t xml:space="preserve">, published on 18 March 2024, </w:t>
      </w:r>
      <w:r w:rsidRPr="002B3315">
        <w:rPr>
          <w:rFonts w:ascii="Arial" w:hAnsi="Arial" w:cs="Arial"/>
          <w:color w:val="7B7B7B" w:themeColor="accent3" w:themeShade="BF"/>
          <w:sz w:val="16"/>
          <w:szCs w:val="16"/>
          <w:lang w:val="en-HK"/>
        </w:rPr>
        <w:t xml:space="preserve">accessed on </w:t>
      </w:r>
      <w:r w:rsidR="00C31C0F" w:rsidRPr="002B3315">
        <w:rPr>
          <w:rFonts w:ascii="Arial" w:hAnsi="Arial" w:cs="Arial"/>
          <w:color w:val="7B7B7B" w:themeColor="accent3" w:themeShade="BF"/>
          <w:sz w:val="16"/>
          <w:szCs w:val="16"/>
          <w:lang w:val="en-HK"/>
        </w:rPr>
        <w:t>21</w:t>
      </w:r>
      <w:r w:rsidR="00D27C95" w:rsidRPr="002B3315">
        <w:rPr>
          <w:rFonts w:ascii="Arial" w:hAnsi="Arial" w:cs="Arial"/>
          <w:color w:val="7B7B7B" w:themeColor="accent3" w:themeShade="BF"/>
          <w:sz w:val="16"/>
          <w:szCs w:val="16"/>
          <w:lang w:val="en-HK"/>
        </w:rPr>
        <w:t xml:space="preserve"> June </w:t>
      </w:r>
      <w:r w:rsidRPr="002B3315">
        <w:rPr>
          <w:rFonts w:ascii="Arial" w:hAnsi="Arial" w:cs="Arial"/>
          <w:color w:val="7B7B7B" w:themeColor="accent3" w:themeShade="BF"/>
          <w:sz w:val="16"/>
          <w:szCs w:val="16"/>
          <w:lang w:val="en-HK"/>
        </w:rPr>
        <w:t>2024</w:t>
      </w:r>
    </w:p>
  </w:footnote>
  <w:footnote w:id="216">
    <w:p w14:paraId="5D6A87CC" w14:textId="49157760" w:rsidR="00E73AE5" w:rsidRPr="002B3315" w:rsidRDefault="00E73AE5" w:rsidP="008737A2">
      <w:pPr>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C446C8" w:rsidRPr="002B3315">
        <w:rPr>
          <w:rFonts w:ascii="Arial" w:hAnsi="Arial" w:cs="Arial"/>
          <w:color w:val="7B7B7B" w:themeColor="accent3" w:themeShade="BF"/>
          <w:sz w:val="16"/>
          <w:szCs w:val="16"/>
          <w:lang w:val="en-GB"/>
        </w:rPr>
        <w:t xml:space="preserve">Goughs Solicitors, What happens if a company’s sole director/shareholder dies?, </w:t>
      </w:r>
      <w:hyperlink r:id="rId17" w:history="1">
        <w:r w:rsidR="00C446C8" w:rsidRPr="002B3315">
          <w:rPr>
            <w:rStyle w:val="Hyperlink"/>
            <w:rFonts w:ascii="Arial" w:hAnsi="Arial" w:cs="Arial"/>
            <w:sz w:val="16"/>
            <w:szCs w:val="16"/>
            <w:lang w:val="en-GB"/>
          </w:rPr>
          <w:t>https://www.goughs.co.uk/news/what-happens-if-a-companys-sole-director-shareholder-dies/</w:t>
        </w:r>
      </w:hyperlink>
      <w:r w:rsidR="00C446C8" w:rsidRPr="002B3315">
        <w:rPr>
          <w:rFonts w:ascii="Arial" w:hAnsi="Arial" w:cs="Arial"/>
          <w:color w:val="7B7B7B" w:themeColor="accent3" w:themeShade="BF"/>
          <w:sz w:val="16"/>
          <w:szCs w:val="16"/>
          <w:lang w:val="en-GB"/>
        </w:rPr>
        <w:t>, published on 30 March 2021, accessed on 21 June 2024</w:t>
      </w:r>
    </w:p>
  </w:footnote>
  <w:footnote w:id="217">
    <w:p w14:paraId="5B3E7005" w14:textId="319177C1" w:rsidR="00ED47BD" w:rsidRPr="002B3315" w:rsidRDefault="00ED47BD" w:rsidP="008737A2">
      <w:pPr>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C446C8" w:rsidRPr="002B3315">
        <w:rPr>
          <w:rFonts w:ascii="Arial" w:hAnsi="Arial" w:cs="Arial"/>
          <w:color w:val="7B7B7B" w:themeColor="accent3" w:themeShade="BF"/>
          <w:sz w:val="16"/>
          <w:szCs w:val="16"/>
        </w:rPr>
        <w:t>Model articles for private companies limited by shares, model article 17(2)</w:t>
      </w:r>
    </w:p>
  </w:footnote>
  <w:footnote w:id="218">
    <w:p w14:paraId="055C4444" w14:textId="02602030" w:rsidR="00ED47BD" w:rsidRPr="002B3315" w:rsidRDefault="00ED47BD" w:rsidP="008737A2">
      <w:pPr>
        <w:jc w:val="both"/>
        <w:rPr>
          <w:rFonts w:ascii="Arial" w:hAnsi="Arial" w:cs="Arial"/>
          <w:color w:val="7B7B7B" w:themeColor="accent3" w:themeShade="BF"/>
          <w:sz w:val="16"/>
          <w:szCs w:val="16"/>
          <w:highlight w:val="yellow"/>
          <w:lang w:val="en-GB"/>
        </w:rPr>
      </w:pPr>
      <w:r w:rsidRPr="002B3315">
        <w:rPr>
          <w:rStyle w:val="FootnoteReference"/>
          <w:rFonts w:ascii="Arial" w:hAnsi="Arial" w:cs="Arial"/>
          <w:sz w:val="16"/>
          <w:szCs w:val="16"/>
        </w:rPr>
        <w:footnoteRef/>
      </w:r>
      <w:r w:rsidR="00D63632" w:rsidRPr="002B3315">
        <w:rPr>
          <w:rFonts w:ascii="Arial" w:hAnsi="Arial" w:cs="Arial"/>
          <w:color w:val="7B7B7B" w:themeColor="accent3" w:themeShade="BF"/>
          <w:sz w:val="16"/>
          <w:szCs w:val="16"/>
        </w:rPr>
        <w:t xml:space="preserve"> </w:t>
      </w:r>
      <w:r w:rsidR="00C446C8" w:rsidRPr="002B3315">
        <w:rPr>
          <w:rFonts w:ascii="Arial" w:hAnsi="Arial" w:cs="Arial"/>
          <w:color w:val="7B7B7B" w:themeColor="accent3" w:themeShade="BF"/>
          <w:sz w:val="16"/>
          <w:szCs w:val="16"/>
        </w:rPr>
        <w:t xml:space="preserve">Katherine Forster, Birketts LLP, “What happens on the death or incapacity of a sole director and shareholder?”, </w:t>
      </w:r>
      <w:hyperlink r:id="rId18" w:history="1">
        <w:r w:rsidR="00C446C8" w:rsidRPr="002B3315">
          <w:rPr>
            <w:rStyle w:val="Hyperlink"/>
            <w:rFonts w:ascii="Arial" w:hAnsi="Arial" w:cs="Arial"/>
            <w:sz w:val="16"/>
            <w:szCs w:val="16"/>
          </w:rPr>
          <w:t>https://www.birketts.co.uk/legal-update/what-happens-on-the-death-or-incapacity-of-a-sole-director-and-shareholder/</w:t>
        </w:r>
      </w:hyperlink>
      <w:r w:rsidR="00C446C8" w:rsidRPr="002B3315">
        <w:rPr>
          <w:rFonts w:ascii="Arial" w:hAnsi="Arial" w:cs="Arial"/>
          <w:color w:val="7B7B7B" w:themeColor="accent3" w:themeShade="BF"/>
          <w:sz w:val="16"/>
          <w:szCs w:val="16"/>
        </w:rPr>
        <w:t>, published on 13 November 2023, accessed on 21 June 2024</w:t>
      </w:r>
    </w:p>
  </w:footnote>
  <w:footnote w:id="219">
    <w:p w14:paraId="7C64DE62" w14:textId="4889D09E" w:rsidR="008B0178" w:rsidRPr="002B3315" w:rsidRDefault="008B0178" w:rsidP="00BA72F0">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C446C8" w:rsidRPr="002B3315">
        <w:rPr>
          <w:rFonts w:ascii="Arial" w:hAnsi="Arial" w:cs="Arial"/>
          <w:color w:val="7B7B7B" w:themeColor="accent3" w:themeShade="BF"/>
          <w:sz w:val="16"/>
          <w:szCs w:val="16"/>
          <w:lang w:val="en-GB"/>
        </w:rPr>
        <w:t xml:space="preserve">Fiona Kelleher, IBB Law, “What happens when a sole director and shareholder dies?”, </w:t>
      </w:r>
      <w:hyperlink r:id="rId19" w:history="1">
        <w:r w:rsidR="00C446C8" w:rsidRPr="002B3315">
          <w:rPr>
            <w:rStyle w:val="Hyperlink"/>
            <w:rFonts w:ascii="Arial" w:hAnsi="Arial" w:cs="Arial"/>
            <w:sz w:val="16"/>
            <w:szCs w:val="16"/>
            <w:lang w:val="en-GB"/>
          </w:rPr>
          <w:t>https://www.ibblaw.co.uk/insights/when-a-sole-director-and-shareholder-dies</w:t>
        </w:r>
      </w:hyperlink>
      <w:r w:rsidR="00C446C8" w:rsidRPr="002B3315">
        <w:rPr>
          <w:rFonts w:ascii="Arial" w:hAnsi="Arial" w:cs="Arial"/>
          <w:color w:val="7B7B7B" w:themeColor="accent3" w:themeShade="BF"/>
          <w:sz w:val="16"/>
          <w:szCs w:val="16"/>
          <w:lang w:val="en-GB"/>
        </w:rPr>
        <w:t xml:space="preserve">, published on 18 March 2024, </w:t>
      </w:r>
      <w:r w:rsidR="00C446C8" w:rsidRPr="002B3315">
        <w:rPr>
          <w:rFonts w:ascii="Arial" w:hAnsi="Arial" w:cs="Arial"/>
          <w:color w:val="7B7B7B" w:themeColor="accent3" w:themeShade="BF"/>
          <w:sz w:val="16"/>
          <w:szCs w:val="16"/>
          <w:lang w:val="en-HK"/>
        </w:rPr>
        <w:t>accessed on 21 June 2024</w:t>
      </w:r>
    </w:p>
  </w:footnote>
  <w:footnote w:id="220">
    <w:p w14:paraId="46B83BCA" w14:textId="59068937" w:rsidR="00877829" w:rsidRPr="002B3315" w:rsidRDefault="00877829" w:rsidP="00BA72F0">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1A4B4E" w:rsidRPr="002B3315">
        <w:rPr>
          <w:rFonts w:ascii="Arial" w:hAnsi="Arial" w:cs="Arial"/>
          <w:color w:val="7B7B7B" w:themeColor="accent3" w:themeShade="BF"/>
          <w:sz w:val="16"/>
          <w:szCs w:val="16"/>
          <w:lang w:val="en-GB"/>
        </w:rPr>
        <w:t>UK Companies Act 2006, s</w:t>
      </w:r>
      <w:r w:rsidRPr="002B3315">
        <w:rPr>
          <w:rFonts w:ascii="Arial" w:hAnsi="Arial" w:cs="Arial"/>
          <w:color w:val="7B7B7B" w:themeColor="accent3" w:themeShade="BF"/>
          <w:sz w:val="16"/>
          <w:szCs w:val="16"/>
          <w:lang w:val="en-GB"/>
        </w:rPr>
        <w:t xml:space="preserve">ection 125 </w:t>
      </w:r>
    </w:p>
  </w:footnote>
  <w:footnote w:id="221">
    <w:p w14:paraId="10301B28" w14:textId="5CFEF570" w:rsidR="00E44B97" w:rsidRPr="002B3315" w:rsidRDefault="00E44B97" w:rsidP="00BA72F0">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Style w:val="Emphasis"/>
          <w:rFonts w:ascii="Arial" w:hAnsi="Arial" w:cs="Arial"/>
          <w:i w:val="0"/>
          <w:iCs w:val="0"/>
          <w:color w:val="707070"/>
          <w:sz w:val="16"/>
          <w:szCs w:val="16"/>
          <w:bdr w:val="none" w:sz="0" w:space="0" w:color="auto" w:frame="1"/>
          <w:shd w:val="clear" w:color="auto" w:fill="FFFFFF"/>
        </w:rPr>
        <w:t>EWHC 3872 (Ch)</w:t>
      </w:r>
    </w:p>
  </w:footnote>
  <w:footnote w:id="222">
    <w:p w14:paraId="7685B08E" w14:textId="0D7BF061" w:rsidR="00877829" w:rsidRPr="00BA72F0" w:rsidRDefault="00877829" w:rsidP="00BA72F0">
      <w:pPr>
        <w:jc w:val="both"/>
        <w:rPr>
          <w:rFonts w:ascii="Arial" w:hAnsi="Arial" w:cs="Arial"/>
          <w:color w:val="707070"/>
          <w:sz w:val="16"/>
          <w:szCs w:val="16"/>
          <w:shd w:val="clear" w:color="auto" w:fill="FFFFFF"/>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07070"/>
          <w:sz w:val="16"/>
          <w:szCs w:val="16"/>
          <w:shd w:val="clear" w:color="auto" w:fill="FFFFFF"/>
        </w:rPr>
        <w:t>Practical Law Corporate, “</w:t>
      </w:r>
      <w:r w:rsidRPr="002B3315">
        <w:rPr>
          <w:rFonts w:ascii="Arial" w:hAnsi="Arial" w:cs="Arial"/>
          <w:color w:val="7B7B7B" w:themeColor="accent3" w:themeShade="BF"/>
          <w:sz w:val="16"/>
          <w:szCs w:val="16"/>
          <w:lang w:val="en-GB"/>
        </w:rPr>
        <w:t xml:space="preserve">Rectification of register: registration of executor of deceased sole member and director without grant of probate (High Court)”, </w:t>
      </w:r>
      <w:hyperlink r:id="rId20" w:history="1">
        <w:r w:rsidRPr="002B3315">
          <w:rPr>
            <w:rStyle w:val="Hyperlink"/>
            <w:rFonts w:ascii="Arial" w:hAnsi="Arial" w:cs="Arial"/>
            <w:sz w:val="16"/>
            <w:szCs w:val="16"/>
            <w:lang w:val="en-GB"/>
          </w:rPr>
          <w:t>https://uk.practicallaw.thomsonreuters.com/w-019-2785?contextData=(sc.Default)&amp;transitionType=Default&amp;firstPage=true</w:t>
        </w:r>
      </w:hyperlink>
      <w:r w:rsidRPr="002B3315">
        <w:rPr>
          <w:rFonts w:ascii="Arial" w:hAnsi="Arial" w:cs="Arial"/>
          <w:color w:val="7B7B7B" w:themeColor="accent3" w:themeShade="BF"/>
          <w:sz w:val="16"/>
          <w:szCs w:val="16"/>
          <w:lang w:val="en-GB"/>
        </w:rPr>
        <w:t xml:space="preserve">,  published on 1 March 2019, </w:t>
      </w:r>
      <w:r w:rsidRPr="002B3315">
        <w:rPr>
          <w:rFonts w:ascii="Arial" w:hAnsi="Arial" w:cs="Arial"/>
          <w:color w:val="7B7B7B" w:themeColor="accent3" w:themeShade="BF"/>
          <w:sz w:val="16"/>
          <w:szCs w:val="16"/>
          <w:lang w:val="en-HK"/>
        </w:rPr>
        <w:t xml:space="preserve">accessed on </w:t>
      </w:r>
      <w:r w:rsidR="00C31C0F" w:rsidRPr="002B3315">
        <w:rPr>
          <w:rFonts w:ascii="Arial" w:hAnsi="Arial" w:cs="Arial"/>
          <w:color w:val="7B7B7B" w:themeColor="accent3" w:themeShade="BF"/>
          <w:sz w:val="16"/>
          <w:szCs w:val="16"/>
          <w:lang w:val="en-HK"/>
        </w:rPr>
        <w:t>21</w:t>
      </w:r>
      <w:r w:rsidR="00D27C95" w:rsidRPr="002B3315">
        <w:rPr>
          <w:rFonts w:ascii="Arial" w:hAnsi="Arial" w:cs="Arial"/>
          <w:color w:val="7B7B7B" w:themeColor="accent3" w:themeShade="BF"/>
          <w:sz w:val="16"/>
          <w:szCs w:val="16"/>
          <w:lang w:val="en-HK"/>
        </w:rPr>
        <w:t xml:space="preserve"> June </w:t>
      </w:r>
      <w:r w:rsidRPr="002B3315">
        <w:rPr>
          <w:rFonts w:ascii="Arial" w:hAnsi="Arial" w:cs="Arial"/>
          <w:color w:val="7B7B7B" w:themeColor="accent3" w:themeShade="BF"/>
          <w:sz w:val="16"/>
          <w:szCs w:val="16"/>
          <w:lang w:val="en-HK"/>
        </w:rPr>
        <w:t>2024</w:t>
      </w:r>
    </w:p>
  </w:footnote>
  <w:footnote w:id="223">
    <w:p w14:paraId="3ADBCEB5" w14:textId="57B65230" w:rsidR="00DD36E1" w:rsidRPr="002B3315" w:rsidRDefault="00DD36E1" w:rsidP="00BA72F0">
      <w:pPr>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 xml:space="preserve">Loeb Smith, “The restoration of struck-off and dissolved companies in the British Virgin Islands: post January 2023”, </w:t>
      </w:r>
      <w:hyperlink r:id="rId21" w:history="1">
        <w:r w:rsidRPr="002B3315">
          <w:rPr>
            <w:rStyle w:val="Hyperlink"/>
            <w:rFonts w:ascii="Arial" w:hAnsi="Arial" w:cs="Arial"/>
            <w:sz w:val="16"/>
            <w:szCs w:val="16"/>
            <w:lang w:val="en-GB"/>
          </w:rPr>
          <w:t>https://www.loebsmith.com/legal/the-restoration-of-struck-off-and-dissolved-companies-in-the-british-virgin-islands-post-january-2023/355/</w:t>
        </w:r>
      </w:hyperlink>
      <w:r w:rsidRPr="002B3315">
        <w:rPr>
          <w:rFonts w:ascii="Arial" w:hAnsi="Arial" w:cs="Arial"/>
          <w:color w:val="7B7B7B" w:themeColor="accent3" w:themeShade="BF"/>
          <w:sz w:val="16"/>
          <w:szCs w:val="16"/>
          <w:lang w:val="en-GB"/>
        </w:rPr>
        <w:t xml:space="preserve">, published on 15 February 2023, </w:t>
      </w:r>
      <w:r w:rsidRPr="002B3315">
        <w:rPr>
          <w:rFonts w:ascii="Arial" w:hAnsi="Arial" w:cs="Arial"/>
          <w:color w:val="7B7B7B" w:themeColor="accent3" w:themeShade="BF"/>
          <w:sz w:val="16"/>
          <w:szCs w:val="16"/>
          <w:lang w:val="en-HK"/>
        </w:rPr>
        <w:t xml:space="preserve">accessed on </w:t>
      </w:r>
      <w:r w:rsidR="00C31C0F" w:rsidRPr="002B3315">
        <w:rPr>
          <w:rFonts w:ascii="Arial" w:hAnsi="Arial" w:cs="Arial"/>
          <w:color w:val="7B7B7B" w:themeColor="accent3" w:themeShade="BF"/>
          <w:sz w:val="16"/>
          <w:szCs w:val="16"/>
          <w:lang w:val="en-HK"/>
        </w:rPr>
        <w:t>21</w:t>
      </w:r>
      <w:r w:rsidR="00D27C95" w:rsidRPr="002B3315">
        <w:rPr>
          <w:rFonts w:ascii="Arial" w:hAnsi="Arial" w:cs="Arial"/>
          <w:color w:val="7B7B7B" w:themeColor="accent3" w:themeShade="BF"/>
          <w:sz w:val="16"/>
          <w:szCs w:val="16"/>
          <w:lang w:val="en-HK"/>
        </w:rPr>
        <w:t xml:space="preserve"> June</w:t>
      </w:r>
      <w:r w:rsidRPr="002B3315">
        <w:rPr>
          <w:rFonts w:ascii="Arial" w:hAnsi="Arial" w:cs="Arial"/>
          <w:color w:val="7B7B7B" w:themeColor="accent3" w:themeShade="BF"/>
          <w:sz w:val="16"/>
          <w:szCs w:val="16"/>
          <w:lang w:val="en-HK"/>
        </w:rPr>
        <w:t xml:space="preserve"> 2024</w:t>
      </w:r>
    </w:p>
  </w:footnote>
  <w:footnote w:id="224">
    <w:p w14:paraId="7F4DEDAC" w14:textId="4E172760" w:rsidR="00DD36E1" w:rsidRPr="002B3315" w:rsidRDefault="00DD36E1" w:rsidP="00BA72F0">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475845" w:rsidRPr="002B3315">
        <w:rPr>
          <w:rFonts w:ascii="Arial" w:hAnsi="Arial" w:cs="Arial"/>
          <w:color w:val="7B7B7B" w:themeColor="accent3" w:themeShade="BF"/>
          <w:sz w:val="16"/>
          <w:szCs w:val="16"/>
          <w:lang w:val="en-GB"/>
        </w:rPr>
        <w:t>Ibid.</w:t>
      </w:r>
    </w:p>
  </w:footnote>
  <w:footnote w:id="225">
    <w:p w14:paraId="2E3C7DCA" w14:textId="10B8D37E" w:rsidR="0056046E" w:rsidRPr="002B3315" w:rsidRDefault="0056046E" w:rsidP="0018221F">
      <w:pPr>
        <w:pStyle w:val="FootnoteText"/>
        <w:jc w:val="both"/>
        <w:rPr>
          <w:rFonts w:ascii="Arial" w:hAnsi="Arial" w:cs="Arial"/>
          <w:sz w:val="16"/>
          <w:szCs w:val="16"/>
          <w:highlight w:val="magenta"/>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1A4B4E" w:rsidRPr="002B3315">
        <w:rPr>
          <w:rFonts w:ascii="Arial" w:hAnsi="Arial" w:cs="Arial"/>
          <w:color w:val="7B7B7B" w:themeColor="accent3" w:themeShade="BF"/>
          <w:sz w:val="16"/>
          <w:szCs w:val="16"/>
          <w:lang w:val="en-GB"/>
        </w:rPr>
        <w:t>BVI Business Companies (Amendment) Act 2022, s</w:t>
      </w:r>
      <w:r w:rsidRPr="002B3315">
        <w:rPr>
          <w:rFonts w:ascii="Arial" w:hAnsi="Arial" w:cs="Arial"/>
          <w:color w:val="7B7B7B" w:themeColor="accent3" w:themeShade="BF"/>
          <w:sz w:val="16"/>
          <w:szCs w:val="16"/>
          <w:lang w:val="en-GB"/>
        </w:rPr>
        <w:t>ection 213(3)</w:t>
      </w:r>
    </w:p>
  </w:footnote>
  <w:footnote w:id="226">
    <w:p w14:paraId="2767CE0D" w14:textId="7D36BF3E" w:rsidR="00B6547E" w:rsidRPr="002B3315" w:rsidRDefault="00B6547E" w:rsidP="0018221F">
      <w:pPr>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 xml:space="preserve">Loeb Smith, “Company Restorations in the BVI”, </w:t>
      </w:r>
      <w:hyperlink r:id="rId22" w:history="1">
        <w:r w:rsidRPr="002B3315">
          <w:rPr>
            <w:rStyle w:val="Hyperlink"/>
            <w:rFonts w:ascii="Arial" w:hAnsi="Arial" w:cs="Arial"/>
            <w:sz w:val="16"/>
            <w:szCs w:val="16"/>
            <w:lang w:val="en-GB"/>
          </w:rPr>
          <w:t>https://www.loebsmith.com/legal/company-restorations-in-the-bvi/405/</w:t>
        </w:r>
      </w:hyperlink>
      <w:r w:rsidRPr="002B3315">
        <w:rPr>
          <w:rFonts w:ascii="Arial" w:hAnsi="Arial" w:cs="Arial"/>
          <w:color w:val="7B7B7B" w:themeColor="accent3" w:themeShade="BF"/>
          <w:sz w:val="16"/>
          <w:szCs w:val="16"/>
          <w:lang w:val="en-GB"/>
        </w:rPr>
        <w:t>, published on 11 June 2024, accessed on 21 June 2024</w:t>
      </w:r>
    </w:p>
  </w:footnote>
  <w:footnote w:id="227">
    <w:p w14:paraId="749FB0D8" w14:textId="32F8C049" w:rsidR="008C1932" w:rsidRPr="002B3315" w:rsidRDefault="008C1932" w:rsidP="0018221F">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3F5857" w:rsidRPr="002B3315">
        <w:rPr>
          <w:rFonts w:ascii="Arial" w:hAnsi="Arial" w:cs="Arial"/>
          <w:color w:val="7B7B7B" w:themeColor="accent3" w:themeShade="BF"/>
          <w:sz w:val="16"/>
          <w:szCs w:val="16"/>
          <w:lang w:val="en-GB"/>
        </w:rPr>
        <w:t xml:space="preserve">BVI Business Companies (Amendment) Act 2022, </w:t>
      </w:r>
      <w:r w:rsidR="001A4B4E" w:rsidRPr="002B3315">
        <w:rPr>
          <w:rFonts w:ascii="Arial" w:hAnsi="Arial" w:cs="Arial"/>
          <w:color w:val="7B7B7B" w:themeColor="accent3" w:themeShade="BF"/>
          <w:sz w:val="16"/>
          <w:szCs w:val="16"/>
          <w:lang w:val="en-GB"/>
        </w:rPr>
        <w:t>s</w:t>
      </w:r>
      <w:r w:rsidR="00BF2A2F" w:rsidRPr="002B3315">
        <w:rPr>
          <w:rFonts w:ascii="Arial" w:hAnsi="Arial" w:cs="Arial"/>
          <w:color w:val="7B7B7B" w:themeColor="accent3" w:themeShade="BF"/>
          <w:sz w:val="16"/>
          <w:szCs w:val="16"/>
          <w:lang w:val="en-GB"/>
        </w:rPr>
        <w:t>ection 218(1)(a)</w:t>
      </w:r>
    </w:p>
  </w:footnote>
  <w:footnote w:id="228">
    <w:p w14:paraId="60097011" w14:textId="7D1DBA14" w:rsidR="008C1932" w:rsidRPr="0018221F" w:rsidRDefault="008C1932" w:rsidP="0018221F">
      <w:pPr>
        <w:pStyle w:val="FootnoteText"/>
        <w:jc w:val="both"/>
        <w:rPr>
          <w:rFonts w:ascii="Arial" w:hAnsi="Arial" w:cs="Arial"/>
          <w:sz w:val="16"/>
          <w:szCs w:val="16"/>
          <w:highlight w:val="magenta"/>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1A4B4E" w:rsidRPr="002B3315">
        <w:rPr>
          <w:rFonts w:ascii="Arial" w:hAnsi="Arial" w:cs="Arial"/>
          <w:color w:val="7B7B7B" w:themeColor="accent3" w:themeShade="BF"/>
          <w:sz w:val="16"/>
          <w:szCs w:val="16"/>
          <w:lang w:val="en-GB"/>
        </w:rPr>
        <w:t>Ibid., s</w:t>
      </w:r>
      <w:r w:rsidR="00BF2A2F" w:rsidRPr="002B3315">
        <w:rPr>
          <w:rFonts w:ascii="Arial" w:hAnsi="Arial" w:cs="Arial"/>
          <w:color w:val="7B7B7B" w:themeColor="accent3" w:themeShade="BF"/>
          <w:sz w:val="16"/>
          <w:szCs w:val="16"/>
          <w:lang w:val="en-GB"/>
        </w:rPr>
        <w:t>ection 217(2)(a) and section 218(1)(b)</w:t>
      </w:r>
    </w:p>
  </w:footnote>
  <w:footnote w:id="229">
    <w:p w14:paraId="1C44F23A" w14:textId="41FC04F9" w:rsidR="008C1932" w:rsidRPr="002B3315" w:rsidRDefault="008C1932"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1A4B4E" w:rsidRPr="002B3315">
        <w:rPr>
          <w:rFonts w:ascii="Arial" w:hAnsi="Arial" w:cs="Arial"/>
          <w:color w:val="7B7B7B" w:themeColor="accent3" w:themeShade="BF"/>
          <w:sz w:val="16"/>
          <w:szCs w:val="16"/>
          <w:lang w:val="en-GB"/>
        </w:rPr>
        <w:t>Ibid., s</w:t>
      </w:r>
      <w:r w:rsidR="009E2DFD" w:rsidRPr="002B3315">
        <w:rPr>
          <w:rFonts w:ascii="Arial" w:hAnsi="Arial" w:cs="Arial"/>
          <w:color w:val="7B7B7B" w:themeColor="accent3" w:themeShade="BF"/>
          <w:sz w:val="16"/>
          <w:szCs w:val="16"/>
          <w:lang w:val="en-GB"/>
        </w:rPr>
        <w:t>ection 217(3) and section 218(5</w:t>
      </w:r>
      <w:r w:rsidR="001A4B4E" w:rsidRPr="002B3315">
        <w:rPr>
          <w:rFonts w:ascii="Arial" w:hAnsi="Arial" w:cs="Arial"/>
          <w:color w:val="7B7B7B" w:themeColor="accent3" w:themeShade="BF"/>
          <w:sz w:val="16"/>
          <w:szCs w:val="16"/>
          <w:lang w:val="en-GB"/>
        </w:rPr>
        <w:t>)</w:t>
      </w:r>
    </w:p>
  </w:footnote>
  <w:footnote w:id="230">
    <w:p w14:paraId="1CB5269A" w14:textId="3CF6A84A" w:rsidR="008C1932" w:rsidRPr="002B3315" w:rsidRDefault="008C1932" w:rsidP="002B3315">
      <w:pPr>
        <w:pStyle w:val="FootnoteText"/>
        <w:jc w:val="both"/>
        <w:rPr>
          <w:rFonts w:ascii="Arial" w:hAnsi="Arial" w:cs="Arial"/>
          <w:sz w:val="16"/>
          <w:szCs w:val="16"/>
          <w:highlight w:val="magenta"/>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E49A1" w:rsidRPr="002B3315">
        <w:rPr>
          <w:rFonts w:ascii="Arial" w:hAnsi="Arial" w:cs="Arial"/>
          <w:color w:val="7B7B7B" w:themeColor="accent3" w:themeShade="BF"/>
          <w:sz w:val="16"/>
          <w:szCs w:val="16"/>
          <w:lang w:val="en-GB"/>
        </w:rPr>
        <w:t>Ibid., s</w:t>
      </w:r>
      <w:r w:rsidR="009E2DFD" w:rsidRPr="002B3315">
        <w:rPr>
          <w:rFonts w:ascii="Arial" w:hAnsi="Arial" w:cs="Arial"/>
          <w:color w:val="7B7B7B" w:themeColor="accent3" w:themeShade="BF"/>
          <w:sz w:val="16"/>
          <w:szCs w:val="16"/>
          <w:lang w:val="en-GB"/>
        </w:rPr>
        <w:t>ection 217(6) and section 218B(6)</w:t>
      </w:r>
    </w:p>
  </w:footnote>
  <w:footnote w:id="231">
    <w:p w14:paraId="7F0DCCE8" w14:textId="4CE268C5" w:rsidR="00B24514" w:rsidRPr="002B3315" w:rsidRDefault="00B24514"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E49A1"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217(3)</w:t>
      </w:r>
    </w:p>
  </w:footnote>
  <w:footnote w:id="232">
    <w:p w14:paraId="1188115D" w14:textId="62CFD3CD" w:rsidR="00B24514" w:rsidRPr="002B3315" w:rsidRDefault="00B24514"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E49A1"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218(2)(b)</w:t>
      </w:r>
    </w:p>
  </w:footnote>
  <w:footnote w:id="233">
    <w:p w14:paraId="74158B6A" w14:textId="659780AF" w:rsidR="00B24514" w:rsidRPr="002B3315" w:rsidRDefault="00B24514"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E49A1" w:rsidRPr="002B3315">
        <w:rPr>
          <w:rFonts w:ascii="Arial" w:hAnsi="Arial" w:cs="Arial"/>
          <w:color w:val="7B7B7B" w:themeColor="accent3" w:themeShade="BF"/>
          <w:sz w:val="16"/>
          <w:szCs w:val="16"/>
          <w:lang w:val="en-GB"/>
        </w:rPr>
        <w:t>Ibid., s</w:t>
      </w:r>
      <w:r w:rsidRPr="002B3315">
        <w:rPr>
          <w:rFonts w:ascii="Arial" w:hAnsi="Arial" w:cs="Arial"/>
          <w:color w:val="7B7B7B" w:themeColor="accent3" w:themeShade="BF"/>
          <w:sz w:val="16"/>
          <w:szCs w:val="16"/>
          <w:lang w:val="en-GB"/>
        </w:rPr>
        <w:t>ection 218(2)(f)</w:t>
      </w:r>
    </w:p>
  </w:footnote>
  <w:footnote w:id="234">
    <w:p w14:paraId="45F11F16" w14:textId="679EC11C" w:rsidR="007A589F" w:rsidRPr="002B3315" w:rsidRDefault="007A589F"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E49A1" w:rsidRPr="002B3315">
        <w:rPr>
          <w:rFonts w:ascii="Arial" w:hAnsi="Arial" w:cs="Arial"/>
          <w:color w:val="7B7B7B" w:themeColor="accent3" w:themeShade="BF"/>
          <w:sz w:val="16"/>
          <w:szCs w:val="16"/>
          <w:lang w:val="en-GB"/>
        </w:rPr>
        <w:t>Ibid., s</w:t>
      </w:r>
      <w:r w:rsidR="00BF2A2F" w:rsidRPr="002B3315">
        <w:rPr>
          <w:rFonts w:ascii="Arial" w:hAnsi="Arial" w:cs="Arial"/>
          <w:color w:val="7B7B7B" w:themeColor="accent3" w:themeShade="BF"/>
          <w:sz w:val="16"/>
          <w:szCs w:val="16"/>
          <w:lang w:val="en-GB"/>
        </w:rPr>
        <w:t>ection 217(2)(d) and section 218(4)</w:t>
      </w:r>
    </w:p>
  </w:footnote>
  <w:footnote w:id="235">
    <w:p w14:paraId="06E1AC0D" w14:textId="3E23FF92" w:rsidR="0018221F" w:rsidRPr="002B3315" w:rsidRDefault="0018221F" w:rsidP="002B3315">
      <w:pPr>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 xml:space="preserve">Marcia McFarlane and Andrew Thorp, Harneys, “Appointment of receivers in the British Virgin Islands”, </w:t>
      </w:r>
      <w:hyperlink r:id="rId23" w:history="1">
        <w:r w:rsidRPr="002B3315">
          <w:rPr>
            <w:rStyle w:val="Hyperlink"/>
            <w:rFonts w:ascii="Arial" w:hAnsi="Arial" w:cs="Arial"/>
            <w:sz w:val="16"/>
            <w:szCs w:val="16"/>
            <w:lang w:val="en-GB"/>
          </w:rPr>
          <w:t>https://www.lexology.com/library/detail.aspx?g=e3e3043a-2f2a-47b5-8ea9-a8dce798fd5e</w:t>
        </w:r>
      </w:hyperlink>
      <w:r w:rsidRPr="002B3315">
        <w:rPr>
          <w:rFonts w:ascii="Arial" w:hAnsi="Arial" w:cs="Arial"/>
          <w:color w:val="7B7B7B" w:themeColor="accent3" w:themeShade="BF"/>
          <w:sz w:val="16"/>
          <w:szCs w:val="16"/>
          <w:lang w:val="en-GB"/>
        </w:rPr>
        <w:t>, published on 28 April 2016, accessed on 21 June 2024</w:t>
      </w:r>
    </w:p>
  </w:footnote>
  <w:footnote w:id="236">
    <w:p w14:paraId="7BDEE56A" w14:textId="77777777" w:rsidR="00F921EA" w:rsidRPr="002B3315" w:rsidRDefault="00F921EA"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BVIHC (COM) 0032 of 2018</w:t>
      </w:r>
    </w:p>
  </w:footnote>
  <w:footnote w:id="237">
    <w:p w14:paraId="36C2B0B2" w14:textId="0BF5AAEA" w:rsidR="00F921EA" w:rsidRPr="002B3315" w:rsidRDefault="00F921EA" w:rsidP="002B3315">
      <w:pPr>
        <w:pStyle w:val="FootnoteText"/>
        <w:jc w:val="both"/>
        <w:rPr>
          <w:rFonts w:ascii="Arial" w:hAnsi="Arial" w:cs="Arial"/>
          <w:sz w:val="16"/>
          <w:szCs w:val="16"/>
          <w:highlight w:val="darkBlue"/>
          <w:lang w:val="en-GB"/>
        </w:rPr>
      </w:pPr>
      <w:r w:rsidRPr="002B3315">
        <w:rPr>
          <w:rStyle w:val="FootnoteReference"/>
          <w:rFonts w:ascii="Arial" w:hAnsi="Arial" w:cs="Arial"/>
          <w:sz w:val="16"/>
          <w:szCs w:val="16"/>
        </w:rPr>
        <w:footnoteRef/>
      </w:r>
      <w:r w:rsidR="00BA4695" w:rsidRPr="002B3315">
        <w:rPr>
          <w:rFonts w:ascii="Arial" w:hAnsi="Arial" w:cs="Arial"/>
          <w:color w:val="7B7B7B" w:themeColor="accent3" w:themeShade="BF"/>
          <w:sz w:val="16"/>
          <w:szCs w:val="16"/>
          <w:lang w:val="en-GB"/>
        </w:rPr>
        <w:t xml:space="preserve"> Ibid., </w:t>
      </w:r>
      <w:r w:rsidRPr="002B3315">
        <w:rPr>
          <w:rFonts w:ascii="Arial" w:hAnsi="Arial" w:cs="Arial"/>
          <w:color w:val="7B7B7B" w:themeColor="accent3" w:themeShade="BF"/>
          <w:sz w:val="16"/>
          <w:szCs w:val="16"/>
          <w:lang w:val="en-GB"/>
        </w:rPr>
        <w:t>paragraph 1</w:t>
      </w:r>
    </w:p>
  </w:footnote>
  <w:footnote w:id="238">
    <w:p w14:paraId="0303C516" w14:textId="15C2188D" w:rsidR="00F921EA" w:rsidRPr="002B3315" w:rsidRDefault="00F921EA"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475845" w:rsidRPr="002B3315">
        <w:rPr>
          <w:rFonts w:ascii="Arial" w:hAnsi="Arial" w:cs="Arial"/>
          <w:color w:val="7B7B7B" w:themeColor="accent3" w:themeShade="BF"/>
          <w:sz w:val="16"/>
          <w:szCs w:val="16"/>
          <w:lang w:val="en-GB"/>
        </w:rPr>
        <w:t>Ibid.</w:t>
      </w:r>
      <w:r w:rsidRPr="002B3315">
        <w:rPr>
          <w:rFonts w:ascii="Arial" w:hAnsi="Arial" w:cs="Arial"/>
          <w:color w:val="7B7B7B" w:themeColor="accent3" w:themeShade="BF"/>
          <w:sz w:val="16"/>
          <w:szCs w:val="16"/>
          <w:lang w:val="en-GB"/>
        </w:rPr>
        <w:t>, paragraph 17</w:t>
      </w:r>
    </w:p>
  </w:footnote>
  <w:footnote w:id="239">
    <w:p w14:paraId="1DCB2000" w14:textId="54053676" w:rsidR="00F921EA" w:rsidRPr="002B3315" w:rsidRDefault="00F921EA"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475845" w:rsidRPr="002B3315">
        <w:rPr>
          <w:rFonts w:ascii="Arial" w:hAnsi="Arial" w:cs="Arial"/>
          <w:color w:val="7B7B7B" w:themeColor="accent3" w:themeShade="BF"/>
          <w:sz w:val="16"/>
          <w:szCs w:val="16"/>
          <w:lang w:val="en-GB"/>
        </w:rPr>
        <w:t>Ibid.</w:t>
      </w:r>
      <w:r w:rsidRPr="002B3315">
        <w:rPr>
          <w:rFonts w:ascii="Arial" w:hAnsi="Arial" w:cs="Arial"/>
          <w:color w:val="7B7B7B" w:themeColor="accent3" w:themeShade="BF"/>
          <w:sz w:val="16"/>
          <w:szCs w:val="16"/>
          <w:lang w:val="en-GB"/>
        </w:rPr>
        <w:t>, paragraph 10</w:t>
      </w:r>
    </w:p>
  </w:footnote>
  <w:footnote w:id="240">
    <w:p w14:paraId="7D228D38" w14:textId="22908D88" w:rsidR="00941285" w:rsidRPr="00EA0157" w:rsidRDefault="00941285"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475845" w:rsidRPr="002B3315">
        <w:rPr>
          <w:rFonts w:ascii="Arial" w:hAnsi="Arial" w:cs="Arial"/>
          <w:color w:val="7B7B7B" w:themeColor="accent3" w:themeShade="BF"/>
          <w:sz w:val="16"/>
          <w:szCs w:val="16"/>
          <w:lang w:val="en-GB"/>
        </w:rPr>
        <w:t>Ibid.</w:t>
      </w:r>
      <w:r w:rsidRPr="002B3315">
        <w:rPr>
          <w:rFonts w:ascii="Arial" w:hAnsi="Arial" w:cs="Arial"/>
          <w:color w:val="7B7B7B" w:themeColor="accent3" w:themeShade="BF"/>
          <w:sz w:val="16"/>
          <w:szCs w:val="16"/>
          <w:lang w:val="en-GB"/>
        </w:rPr>
        <w:t>, paragraph 11</w:t>
      </w:r>
    </w:p>
  </w:footnote>
  <w:footnote w:id="241">
    <w:p w14:paraId="4B486084" w14:textId="53EF76D8" w:rsidR="003B1122" w:rsidRPr="002B3315" w:rsidRDefault="003B1122"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E49A1" w:rsidRPr="002B3315">
        <w:rPr>
          <w:rFonts w:ascii="Arial" w:hAnsi="Arial" w:cs="Arial"/>
          <w:color w:val="7B7B7B" w:themeColor="accent3" w:themeShade="BF"/>
          <w:sz w:val="16"/>
          <w:szCs w:val="16"/>
          <w:lang w:val="en-GB"/>
        </w:rPr>
        <w:t xml:space="preserve">Eastern Caribbean Supreme Court Civil Procedure Rules 2023, </w:t>
      </w:r>
      <w:r w:rsidRPr="002B3315">
        <w:rPr>
          <w:rFonts w:ascii="Arial" w:hAnsi="Arial" w:cs="Arial"/>
          <w:color w:val="7B7B7B" w:themeColor="accent3" w:themeShade="BF"/>
          <w:sz w:val="16"/>
          <w:szCs w:val="16"/>
          <w:lang w:val="en-GB"/>
        </w:rPr>
        <w:t>Part 51.2(1)</w:t>
      </w:r>
    </w:p>
  </w:footnote>
  <w:footnote w:id="242">
    <w:p w14:paraId="6D72B29E" w14:textId="7ABAD08E" w:rsidR="003B1122" w:rsidRPr="002B3315" w:rsidRDefault="003B1122"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E49A1" w:rsidRPr="002B3315">
        <w:rPr>
          <w:rFonts w:ascii="Arial" w:hAnsi="Arial" w:cs="Arial"/>
          <w:color w:val="7B7B7B" w:themeColor="accent3" w:themeShade="BF"/>
          <w:sz w:val="16"/>
          <w:szCs w:val="16"/>
          <w:lang w:val="en-GB"/>
        </w:rPr>
        <w:t xml:space="preserve">Ibid., </w:t>
      </w:r>
      <w:r w:rsidRPr="002B3315">
        <w:rPr>
          <w:rFonts w:ascii="Arial" w:hAnsi="Arial" w:cs="Arial"/>
          <w:color w:val="7B7B7B" w:themeColor="accent3" w:themeShade="BF"/>
          <w:sz w:val="16"/>
          <w:szCs w:val="16"/>
          <w:lang w:val="en-GB"/>
        </w:rPr>
        <w:t>Part 51.2(2)</w:t>
      </w:r>
    </w:p>
  </w:footnote>
  <w:footnote w:id="243">
    <w:p w14:paraId="03FF72C7" w14:textId="2B25C2C2" w:rsidR="0062649B" w:rsidRPr="002B3315" w:rsidRDefault="0062649B"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color w:val="7B7B7B" w:themeColor="accent3" w:themeShade="BF"/>
          <w:sz w:val="16"/>
          <w:szCs w:val="16"/>
          <w:lang w:val="en-GB"/>
        </w:rPr>
        <w:t>Carey Olsen, “Receiverships in the BVI”,</w:t>
      </w:r>
      <w:r w:rsidRPr="002B3315">
        <w:rPr>
          <w:rFonts w:ascii="Arial" w:hAnsi="Arial" w:cs="Arial"/>
          <w:sz w:val="16"/>
          <w:szCs w:val="16"/>
        </w:rPr>
        <w:t xml:space="preserve"> </w:t>
      </w:r>
      <w:hyperlink r:id="rId24" w:history="1">
        <w:r w:rsidRPr="002B3315">
          <w:rPr>
            <w:rStyle w:val="Hyperlink"/>
            <w:rFonts w:ascii="Arial" w:hAnsi="Arial" w:cs="Arial"/>
            <w:sz w:val="16"/>
            <w:szCs w:val="16"/>
            <w:lang w:val="en-GB"/>
          </w:rPr>
          <w:t>https://www.careyolsen.com/sites/default/files/CO_BVI_HK_SING_DRL_Receiverships-in-the-BVI_3_20%20%281%29.pdf</w:t>
        </w:r>
      </w:hyperlink>
      <w:r w:rsidRPr="002B3315">
        <w:rPr>
          <w:rFonts w:ascii="Arial" w:hAnsi="Arial" w:cs="Arial"/>
          <w:color w:val="7B7B7B" w:themeColor="accent3" w:themeShade="BF"/>
          <w:sz w:val="16"/>
          <w:szCs w:val="16"/>
          <w:lang w:val="en-GB"/>
        </w:rPr>
        <w:t xml:space="preserve">, published in March 2020, </w:t>
      </w:r>
      <w:r w:rsidRPr="002B3315">
        <w:rPr>
          <w:rFonts w:ascii="Arial" w:hAnsi="Arial" w:cs="Arial"/>
          <w:color w:val="7B7B7B" w:themeColor="accent3" w:themeShade="BF"/>
          <w:sz w:val="16"/>
          <w:szCs w:val="16"/>
          <w:lang w:val="en-HK"/>
        </w:rPr>
        <w:t xml:space="preserve">accessed on </w:t>
      </w:r>
      <w:r w:rsidR="00C31C0F" w:rsidRPr="002B3315">
        <w:rPr>
          <w:rFonts w:ascii="Arial" w:hAnsi="Arial" w:cs="Arial"/>
          <w:color w:val="7B7B7B" w:themeColor="accent3" w:themeShade="BF"/>
          <w:sz w:val="16"/>
          <w:szCs w:val="16"/>
          <w:lang w:val="en-HK"/>
        </w:rPr>
        <w:t>21</w:t>
      </w:r>
      <w:r w:rsidR="00D27C95" w:rsidRPr="002B3315">
        <w:rPr>
          <w:rFonts w:ascii="Arial" w:hAnsi="Arial" w:cs="Arial"/>
          <w:color w:val="7B7B7B" w:themeColor="accent3" w:themeShade="BF"/>
          <w:sz w:val="16"/>
          <w:szCs w:val="16"/>
          <w:lang w:val="en-HK"/>
        </w:rPr>
        <w:t xml:space="preserve"> June</w:t>
      </w:r>
      <w:r w:rsidRPr="002B3315">
        <w:rPr>
          <w:rFonts w:ascii="Arial" w:hAnsi="Arial" w:cs="Arial"/>
          <w:color w:val="7B7B7B" w:themeColor="accent3" w:themeShade="BF"/>
          <w:sz w:val="16"/>
          <w:szCs w:val="16"/>
          <w:lang w:val="en-HK"/>
        </w:rPr>
        <w:t xml:space="preserve"> 2024</w:t>
      </w:r>
    </w:p>
  </w:footnote>
  <w:footnote w:id="244">
    <w:p w14:paraId="378A3367" w14:textId="3CA65F38" w:rsidR="00B31D39" w:rsidRPr="002B3315" w:rsidRDefault="00B31D39"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i/>
          <w:iCs/>
          <w:color w:val="7B7B7B" w:themeColor="accent3" w:themeShade="BF"/>
          <w:sz w:val="16"/>
          <w:szCs w:val="16"/>
          <w:lang w:val="en-GB"/>
        </w:rPr>
        <w:t>VTB Bank (Public Joint Stock Company) v Miccros Group Ltd and another</w:t>
      </w:r>
      <w:r w:rsidRPr="002B3315">
        <w:rPr>
          <w:rFonts w:ascii="Arial" w:hAnsi="Arial" w:cs="Arial"/>
          <w:color w:val="7B7B7B" w:themeColor="accent3" w:themeShade="BF"/>
          <w:sz w:val="16"/>
          <w:szCs w:val="16"/>
          <w:lang w:val="en-GB"/>
        </w:rPr>
        <w:t xml:space="preserve"> BVIHC (COM) 2018/0067</w:t>
      </w:r>
    </w:p>
  </w:footnote>
  <w:footnote w:id="245">
    <w:p w14:paraId="0EDE80CA" w14:textId="77777777" w:rsidR="009D4808" w:rsidRPr="002B3315" w:rsidRDefault="009D4808" w:rsidP="002B3315">
      <w:pPr>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BVIHC (COM) 2018/0067</w:t>
      </w:r>
    </w:p>
  </w:footnote>
  <w:footnote w:id="246">
    <w:p w14:paraId="08FF914A" w14:textId="77777777" w:rsidR="009D4808" w:rsidRPr="002B3315" w:rsidRDefault="009D4808"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i/>
          <w:iCs/>
          <w:color w:val="7B7B7B" w:themeColor="accent3" w:themeShade="BF"/>
          <w:sz w:val="16"/>
          <w:szCs w:val="16"/>
          <w:lang w:val="en-GB"/>
        </w:rPr>
        <w:t>VTB Bank (Public Joint Stock Company) v Miccros Group Ltd and another</w:t>
      </w:r>
      <w:r w:rsidRPr="002B3315">
        <w:rPr>
          <w:rFonts w:ascii="Arial" w:hAnsi="Arial" w:cs="Arial"/>
          <w:color w:val="7B7B7B" w:themeColor="accent3" w:themeShade="BF"/>
          <w:sz w:val="16"/>
          <w:szCs w:val="16"/>
          <w:lang w:val="en-GB"/>
        </w:rPr>
        <w:t xml:space="preserve"> BVIHC (COM) 2018/0067, paragraph 24</w:t>
      </w:r>
    </w:p>
  </w:footnote>
  <w:footnote w:id="247">
    <w:p w14:paraId="20FA6E1E" w14:textId="737B5E01" w:rsidR="003B1122" w:rsidRPr="002B3315" w:rsidRDefault="003B1122"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E49A1" w:rsidRPr="002B3315">
        <w:rPr>
          <w:rFonts w:ascii="Arial" w:hAnsi="Arial" w:cs="Arial"/>
          <w:color w:val="7B7B7B" w:themeColor="accent3" w:themeShade="BF"/>
          <w:sz w:val="16"/>
          <w:szCs w:val="16"/>
          <w:lang w:val="en-GB"/>
        </w:rPr>
        <w:t xml:space="preserve">Eastern Caribbean Supreme Court Civil Procedure Rules 2023, </w:t>
      </w:r>
      <w:r w:rsidRPr="002B3315">
        <w:rPr>
          <w:rFonts w:ascii="Arial" w:hAnsi="Arial" w:cs="Arial"/>
          <w:color w:val="7B7B7B" w:themeColor="accent3" w:themeShade="BF"/>
          <w:sz w:val="16"/>
          <w:szCs w:val="16"/>
          <w:lang w:val="en-GB"/>
        </w:rPr>
        <w:t>Part 51.3</w:t>
      </w:r>
    </w:p>
  </w:footnote>
  <w:footnote w:id="248">
    <w:p w14:paraId="07897633" w14:textId="7DBBDBBB" w:rsidR="00604781" w:rsidRPr="002B3315" w:rsidRDefault="00604781" w:rsidP="002B3315">
      <w:pPr>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Pr="002B3315">
        <w:rPr>
          <w:rFonts w:ascii="Arial" w:hAnsi="Arial" w:cs="Arial"/>
          <w:color w:val="7B7B7B" w:themeColor="accent3" w:themeShade="BF"/>
          <w:sz w:val="16"/>
          <w:szCs w:val="16"/>
          <w:lang w:val="en-GB"/>
        </w:rPr>
        <w:t xml:space="preserve">Mourant, Guide, “The things a security taker needs to know about receivership under BVI law”, </w:t>
      </w:r>
      <w:hyperlink r:id="rId25" w:history="1">
        <w:r w:rsidRPr="002B3315">
          <w:rPr>
            <w:rStyle w:val="Hyperlink"/>
            <w:rFonts w:ascii="Arial" w:hAnsi="Arial" w:cs="Arial"/>
            <w:sz w:val="16"/>
            <w:szCs w:val="16"/>
            <w:lang w:val="en-GB"/>
          </w:rPr>
          <w:t>https://www.mourant.com/2016-guides/the-things-a-security-taker-needs-to-know-about-receivership-under-bvi-law-(updated).pdf</w:t>
        </w:r>
      </w:hyperlink>
      <w:r w:rsidRPr="002B3315">
        <w:rPr>
          <w:rFonts w:ascii="Arial" w:hAnsi="Arial" w:cs="Arial"/>
          <w:color w:val="7B7B7B" w:themeColor="accent3" w:themeShade="BF"/>
          <w:sz w:val="16"/>
          <w:szCs w:val="16"/>
          <w:lang w:val="en-GB"/>
        </w:rPr>
        <w:t xml:space="preserve">, </w:t>
      </w:r>
      <w:r w:rsidR="00DD5972" w:rsidRPr="002B3315">
        <w:rPr>
          <w:rFonts w:ascii="Arial" w:hAnsi="Arial" w:cs="Arial"/>
          <w:color w:val="7B7B7B" w:themeColor="accent3" w:themeShade="BF"/>
          <w:sz w:val="16"/>
          <w:szCs w:val="16"/>
          <w:lang w:val="en-GB"/>
        </w:rPr>
        <w:t xml:space="preserve">p 4, </w:t>
      </w:r>
      <w:r w:rsidRPr="002B3315">
        <w:rPr>
          <w:rFonts w:ascii="Arial" w:hAnsi="Arial" w:cs="Arial"/>
          <w:color w:val="7B7B7B" w:themeColor="accent3" w:themeShade="BF"/>
          <w:sz w:val="16"/>
          <w:szCs w:val="16"/>
          <w:lang w:val="en-GB"/>
        </w:rPr>
        <w:t xml:space="preserve">published in December 2016, accessed on </w:t>
      </w:r>
      <w:r w:rsidR="00C31C0F" w:rsidRPr="002B3315">
        <w:rPr>
          <w:rFonts w:ascii="Arial" w:hAnsi="Arial" w:cs="Arial"/>
          <w:color w:val="7B7B7B" w:themeColor="accent3" w:themeShade="BF"/>
          <w:sz w:val="16"/>
          <w:szCs w:val="16"/>
          <w:lang w:val="en-GB"/>
        </w:rPr>
        <w:t>21</w:t>
      </w:r>
      <w:r w:rsidR="00D27C95" w:rsidRPr="002B3315">
        <w:rPr>
          <w:rFonts w:ascii="Arial" w:hAnsi="Arial" w:cs="Arial"/>
          <w:color w:val="7B7B7B" w:themeColor="accent3" w:themeShade="BF"/>
          <w:sz w:val="16"/>
          <w:szCs w:val="16"/>
          <w:lang w:val="en-GB"/>
        </w:rPr>
        <w:t xml:space="preserve"> June</w:t>
      </w:r>
      <w:r w:rsidRPr="002B3315">
        <w:rPr>
          <w:rFonts w:ascii="Arial" w:hAnsi="Arial" w:cs="Arial"/>
          <w:color w:val="7B7B7B" w:themeColor="accent3" w:themeShade="BF"/>
          <w:sz w:val="16"/>
          <w:szCs w:val="16"/>
          <w:lang w:val="en-GB"/>
        </w:rPr>
        <w:t xml:space="preserve"> 2024</w:t>
      </w:r>
    </w:p>
  </w:footnote>
  <w:footnote w:id="249">
    <w:p w14:paraId="4C2F0336" w14:textId="11697908" w:rsidR="00AA61D4" w:rsidRPr="002B3315" w:rsidRDefault="00AA61D4" w:rsidP="002B3315">
      <w:pPr>
        <w:pStyle w:val="FootnoteText"/>
        <w:jc w:val="both"/>
        <w:rPr>
          <w:rFonts w:ascii="Arial" w:hAnsi="Arial" w:cs="Arial"/>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E49A1" w:rsidRPr="002B3315">
        <w:rPr>
          <w:rFonts w:ascii="Arial" w:hAnsi="Arial" w:cs="Arial"/>
          <w:color w:val="7B7B7B" w:themeColor="accent3" w:themeShade="BF"/>
          <w:sz w:val="16"/>
          <w:szCs w:val="16"/>
          <w:lang w:val="en-GB"/>
        </w:rPr>
        <w:t xml:space="preserve">Eastern Caribbean Supreme Court Civil Procedure Rules 2023, </w:t>
      </w:r>
      <w:r w:rsidRPr="002B3315">
        <w:rPr>
          <w:rFonts w:ascii="Arial" w:hAnsi="Arial" w:cs="Arial"/>
          <w:color w:val="7B7B7B" w:themeColor="accent3" w:themeShade="BF"/>
          <w:sz w:val="16"/>
          <w:szCs w:val="16"/>
          <w:lang w:val="en-GB"/>
        </w:rPr>
        <w:t>Part 51.4(1)</w:t>
      </w:r>
    </w:p>
  </w:footnote>
  <w:footnote w:id="250">
    <w:p w14:paraId="78B1CB44" w14:textId="246F607C" w:rsidR="00AA61D4" w:rsidRPr="002B3315" w:rsidRDefault="00AA61D4" w:rsidP="002B3315">
      <w:pPr>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E49A1" w:rsidRPr="002B3315">
        <w:rPr>
          <w:rFonts w:ascii="Arial" w:hAnsi="Arial" w:cs="Arial"/>
          <w:color w:val="7B7B7B" w:themeColor="accent3" w:themeShade="BF"/>
          <w:sz w:val="16"/>
          <w:szCs w:val="16"/>
          <w:lang w:val="en-GB"/>
        </w:rPr>
        <w:t>Ibid., P</w:t>
      </w:r>
      <w:r w:rsidRPr="002B3315">
        <w:rPr>
          <w:rFonts w:ascii="Arial" w:hAnsi="Arial" w:cs="Arial"/>
          <w:color w:val="7B7B7B" w:themeColor="accent3" w:themeShade="BF"/>
          <w:sz w:val="16"/>
          <w:szCs w:val="16"/>
          <w:lang w:val="en-GB"/>
        </w:rPr>
        <w:t>art 51.4(3)</w:t>
      </w:r>
    </w:p>
  </w:footnote>
  <w:footnote w:id="251">
    <w:p w14:paraId="5E40EBB0" w14:textId="7DFB6CEB" w:rsidR="00AA61D4" w:rsidRPr="00D27C95" w:rsidRDefault="00AA61D4" w:rsidP="002B3315">
      <w:pPr>
        <w:jc w:val="both"/>
        <w:rPr>
          <w:rFonts w:ascii="Arial" w:hAnsi="Arial" w:cs="Arial"/>
          <w:color w:val="7B7B7B" w:themeColor="accent3" w:themeShade="BF"/>
          <w:sz w:val="16"/>
          <w:szCs w:val="16"/>
          <w:lang w:val="en-GB"/>
        </w:rPr>
      </w:pPr>
      <w:r w:rsidRPr="002B3315">
        <w:rPr>
          <w:rStyle w:val="FootnoteReference"/>
          <w:rFonts w:ascii="Arial" w:hAnsi="Arial" w:cs="Arial"/>
          <w:sz w:val="16"/>
          <w:szCs w:val="16"/>
        </w:rPr>
        <w:footnoteRef/>
      </w:r>
      <w:r w:rsidRPr="002B3315">
        <w:rPr>
          <w:rFonts w:ascii="Arial" w:hAnsi="Arial" w:cs="Arial"/>
          <w:sz w:val="16"/>
          <w:szCs w:val="16"/>
        </w:rPr>
        <w:t xml:space="preserve"> </w:t>
      </w:r>
      <w:r w:rsidR="002E49A1" w:rsidRPr="002B3315">
        <w:rPr>
          <w:rFonts w:ascii="Arial" w:hAnsi="Arial" w:cs="Arial"/>
          <w:color w:val="7B7B7B" w:themeColor="accent3" w:themeShade="BF"/>
          <w:sz w:val="16"/>
          <w:szCs w:val="16"/>
          <w:lang w:val="en-GB"/>
        </w:rPr>
        <w:t>Ibid</w:t>
      </w:r>
      <w:r w:rsidR="002C3141" w:rsidRPr="002B3315">
        <w:rPr>
          <w:rFonts w:ascii="Arial" w:hAnsi="Arial" w:cs="Arial"/>
          <w:color w:val="7B7B7B" w:themeColor="accent3" w:themeShade="BF"/>
          <w:sz w:val="16"/>
          <w:szCs w:val="16"/>
          <w:lang w:val="en-GB"/>
        </w:rPr>
        <w:t>.</w:t>
      </w:r>
      <w:r w:rsidR="002E49A1" w:rsidRPr="002B3315">
        <w:rPr>
          <w:rFonts w:ascii="Arial" w:hAnsi="Arial" w:cs="Arial"/>
          <w:color w:val="7B7B7B" w:themeColor="accent3" w:themeShade="BF"/>
          <w:sz w:val="16"/>
          <w:szCs w:val="16"/>
          <w:lang w:val="en-GB"/>
        </w:rPr>
        <w:t>, P</w:t>
      </w:r>
      <w:r w:rsidRPr="002B3315">
        <w:rPr>
          <w:rFonts w:ascii="Arial" w:hAnsi="Arial" w:cs="Arial"/>
          <w:color w:val="7B7B7B" w:themeColor="accent3" w:themeShade="BF"/>
          <w:sz w:val="16"/>
          <w:szCs w:val="16"/>
          <w:lang w:val="en-GB"/>
        </w:rPr>
        <w:t>art 51.4(4)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C28CD"/>
    <w:multiLevelType w:val="hybridMultilevel"/>
    <w:tmpl w:val="0A664B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F76C7"/>
    <w:multiLevelType w:val="hybridMultilevel"/>
    <w:tmpl w:val="19CC25C6"/>
    <w:lvl w:ilvl="0" w:tplc="3C090011">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09984292"/>
    <w:multiLevelType w:val="hybridMultilevel"/>
    <w:tmpl w:val="ACBE8EC2"/>
    <w:lvl w:ilvl="0" w:tplc="3C090017">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0A087A21"/>
    <w:multiLevelType w:val="hybridMultilevel"/>
    <w:tmpl w:val="AD123F14"/>
    <w:lvl w:ilvl="0" w:tplc="6EF29CD8">
      <w:start w:val="1"/>
      <w:numFmt w:val="lowerLetter"/>
      <w:lvlText w:val="%1)"/>
      <w:lvlJc w:val="left"/>
      <w:pPr>
        <w:ind w:left="720" w:hanging="360"/>
      </w:pPr>
      <w:rPr>
        <w:rFonts w:ascii="Arial" w:eastAsia="Times New Roman" w:hAnsi="Arial" w:cs="Arial"/>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06A97"/>
    <w:multiLevelType w:val="hybridMultilevel"/>
    <w:tmpl w:val="8B22FB4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7647F8"/>
    <w:multiLevelType w:val="hybridMultilevel"/>
    <w:tmpl w:val="CEE6CE56"/>
    <w:lvl w:ilvl="0" w:tplc="64EC1BE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43C8B"/>
    <w:multiLevelType w:val="hybridMultilevel"/>
    <w:tmpl w:val="2EDE63B0"/>
    <w:lvl w:ilvl="0" w:tplc="C5DAECAC">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F5D49"/>
    <w:multiLevelType w:val="hybridMultilevel"/>
    <w:tmpl w:val="ADE0E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90EA5"/>
    <w:multiLevelType w:val="multilevel"/>
    <w:tmpl w:val="38C2DE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5065D6"/>
    <w:multiLevelType w:val="hybridMultilevel"/>
    <w:tmpl w:val="ED30F9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02743"/>
    <w:multiLevelType w:val="hybridMultilevel"/>
    <w:tmpl w:val="E6362C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8430B"/>
    <w:multiLevelType w:val="hybridMultilevel"/>
    <w:tmpl w:val="52A626F0"/>
    <w:lvl w:ilvl="0" w:tplc="4DB209AA">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666303"/>
    <w:multiLevelType w:val="hybridMultilevel"/>
    <w:tmpl w:val="FF0CF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114D1"/>
    <w:multiLevelType w:val="hybridMultilevel"/>
    <w:tmpl w:val="D2AE1008"/>
    <w:lvl w:ilvl="0" w:tplc="8398F5CC">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E23382"/>
    <w:multiLevelType w:val="hybridMultilevel"/>
    <w:tmpl w:val="43601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347CDC"/>
    <w:multiLevelType w:val="hybridMultilevel"/>
    <w:tmpl w:val="695C47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CB5C6D"/>
    <w:multiLevelType w:val="hybridMultilevel"/>
    <w:tmpl w:val="02B8C950"/>
    <w:lvl w:ilvl="0" w:tplc="3C090017">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2"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36097E"/>
    <w:multiLevelType w:val="hybridMultilevel"/>
    <w:tmpl w:val="7DD837D8"/>
    <w:lvl w:ilvl="0" w:tplc="CA64F1AC">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6E2972"/>
    <w:multiLevelType w:val="hybridMultilevel"/>
    <w:tmpl w:val="DAC8A3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984CD1"/>
    <w:multiLevelType w:val="hybridMultilevel"/>
    <w:tmpl w:val="F3C20D96"/>
    <w:lvl w:ilvl="0" w:tplc="B61031E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1918CE"/>
    <w:multiLevelType w:val="hybridMultilevel"/>
    <w:tmpl w:val="978071CC"/>
    <w:lvl w:ilvl="0" w:tplc="39D8892C">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8E2F54"/>
    <w:multiLevelType w:val="hybridMultilevel"/>
    <w:tmpl w:val="29C6E034"/>
    <w:lvl w:ilvl="0" w:tplc="DDC6A72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DA7D03"/>
    <w:multiLevelType w:val="hybridMultilevel"/>
    <w:tmpl w:val="EA6CC786"/>
    <w:lvl w:ilvl="0" w:tplc="B504E6D8">
      <w:start w:val="1"/>
      <w:numFmt w:val="lowerLetter"/>
      <w:lvlText w:val="%1)"/>
      <w:lvlJc w:val="left"/>
      <w:pPr>
        <w:ind w:left="720" w:hanging="360"/>
      </w:pPr>
      <w:rPr>
        <w:rFonts w:ascii="Avenir Next" w:eastAsia="Times New Roman" w:hAnsi="Avenir Next"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E460CE0E">
      <w:start w:val="1"/>
      <w:numFmt w:val="decimal"/>
      <w:lvlText w:val="%8)"/>
      <w:lvlJc w:val="left"/>
      <w:pPr>
        <w:ind w:left="5760" w:hanging="360"/>
      </w:pPr>
      <w:rPr>
        <w:rFonts w:hint="default"/>
      </w:rPr>
    </w:lvl>
    <w:lvl w:ilvl="8" w:tplc="0809001B" w:tentative="1">
      <w:start w:val="1"/>
      <w:numFmt w:val="lowerRoman"/>
      <w:lvlText w:val="%9."/>
      <w:lvlJc w:val="right"/>
      <w:pPr>
        <w:ind w:left="6480" w:hanging="180"/>
      </w:pPr>
    </w:lvl>
  </w:abstractNum>
  <w:abstractNum w:abstractNumId="32"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E32CAF"/>
    <w:multiLevelType w:val="hybridMultilevel"/>
    <w:tmpl w:val="55AAC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C37F5"/>
    <w:multiLevelType w:val="hybridMultilevel"/>
    <w:tmpl w:val="9C1ED3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F80706"/>
    <w:multiLevelType w:val="hybridMultilevel"/>
    <w:tmpl w:val="D012D556"/>
    <w:lvl w:ilvl="0" w:tplc="EC16CD86">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AC3A92"/>
    <w:multiLevelType w:val="hybridMultilevel"/>
    <w:tmpl w:val="65502B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1F6199"/>
    <w:multiLevelType w:val="hybridMultilevel"/>
    <w:tmpl w:val="6D746D24"/>
    <w:lvl w:ilvl="0" w:tplc="6B5E717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B07F56"/>
    <w:multiLevelType w:val="hybridMultilevel"/>
    <w:tmpl w:val="B234051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D3949C4"/>
    <w:multiLevelType w:val="hybridMultilevel"/>
    <w:tmpl w:val="7ACC52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A62DEA"/>
    <w:multiLevelType w:val="hybridMultilevel"/>
    <w:tmpl w:val="90440F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D877A8"/>
    <w:multiLevelType w:val="hybridMultilevel"/>
    <w:tmpl w:val="84180408"/>
    <w:lvl w:ilvl="0" w:tplc="119CFE30">
      <w:start w:val="1"/>
      <w:numFmt w:val="decimal"/>
      <w:lvlText w:val="%1)"/>
      <w:lvlJc w:val="left"/>
      <w:pPr>
        <w:ind w:left="720" w:hanging="360"/>
      </w:pPr>
      <w:rPr>
        <w:rFonts w:ascii="Avenir Next" w:eastAsia="Times New Roman" w:hAnsi="Avenir Nex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760839">
    <w:abstractNumId w:val="27"/>
  </w:num>
  <w:num w:numId="2" w16cid:durableId="1044672235">
    <w:abstractNumId w:val="10"/>
  </w:num>
  <w:num w:numId="3" w16cid:durableId="644285817">
    <w:abstractNumId w:val="23"/>
  </w:num>
  <w:num w:numId="4" w16cid:durableId="440492956">
    <w:abstractNumId w:val="8"/>
  </w:num>
  <w:num w:numId="5" w16cid:durableId="811017174">
    <w:abstractNumId w:val="12"/>
  </w:num>
  <w:num w:numId="6" w16cid:durableId="1886722838">
    <w:abstractNumId w:val="24"/>
  </w:num>
  <w:num w:numId="7" w16cid:durableId="101460619">
    <w:abstractNumId w:val="13"/>
  </w:num>
  <w:num w:numId="8" w16cid:durableId="1310671996">
    <w:abstractNumId w:val="22"/>
  </w:num>
  <w:num w:numId="9" w16cid:durableId="134640491">
    <w:abstractNumId w:val="32"/>
  </w:num>
  <w:num w:numId="10" w16cid:durableId="1395659628">
    <w:abstractNumId w:val="7"/>
  </w:num>
  <w:num w:numId="11" w16cid:durableId="1510833984">
    <w:abstractNumId w:val="30"/>
  </w:num>
  <w:num w:numId="12" w16cid:durableId="791090470">
    <w:abstractNumId w:val="26"/>
  </w:num>
  <w:num w:numId="13" w16cid:durableId="836502882">
    <w:abstractNumId w:val="33"/>
  </w:num>
  <w:num w:numId="14" w16cid:durableId="359430296">
    <w:abstractNumId w:val="37"/>
  </w:num>
  <w:num w:numId="15" w16cid:durableId="163128691">
    <w:abstractNumId w:val="18"/>
  </w:num>
  <w:num w:numId="16" w16cid:durableId="1396850563">
    <w:abstractNumId w:val="9"/>
  </w:num>
  <w:num w:numId="17" w16cid:durableId="1184246636">
    <w:abstractNumId w:val="3"/>
  </w:num>
  <w:num w:numId="18" w16cid:durableId="1259560338">
    <w:abstractNumId w:val="21"/>
  </w:num>
  <w:num w:numId="19" w16cid:durableId="757599849">
    <w:abstractNumId w:val="1"/>
  </w:num>
  <w:num w:numId="20" w16cid:durableId="202252975">
    <w:abstractNumId w:val="2"/>
  </w:num>
  <w:num w:numId="21" w16cid:durableId="1253586487">
    <w:abstractNumId w:val="31"/>
  </w:num>
  <w:num w:numId="22" w16cid:durableId="569967567">
    <w:abstractNumId w:val="39"/>
  </w:num>
  <w:num w:numId="23" w16cid:durableId="1362128836">
    <w:abstractNumId w:val="29"/>
  </w:num>
  <w:num w:numId="24" w16cid:durableId="195043840">
    <w:abstractNumId w:val="41"/>
  </w:num>
  <w:num w:numId="25" w16cid:durableId="998383052">
    <w:abstractNumId w:val="4"/>
  </w:num>
  <w:num w:numId="26" w16cid:durableId="994256733">
    <w:abstractNumId w:val="34"/>
  </w:num>
  <w:num w:numId="27" w16cid:durableId="1804614127">
    <w:abstractNumId w:val="25"/>
  </w:num>
  <w:num w:numId="28" w16cid:durableId="1602838345">
    <w:abstractNumId w:val="16"/>
  </w:num>
  <w:num w:numId="29" w16cid:durableId="1832526313">
    <w:abstractNumId w:val="6"/>
  </w:num>
  <w:num w:numId="30" w16cid:durableId="883759077">
    <w:abstractNumId w:val="38"/>
  </w:num>
  <w:num w:numId="31" w16cid:durableId="34431895">
    <w:abstractNumId w:val="35"/>
  </w:num>
  <w:num w:numId="32" w16cid:durableId="1907642471">
    <w:abstractNumId w:val="11"/>
  </w:num>
  <w:num w:numId="33" w16cid:durableId="1388601995">
    <w:abstractNumId w:val="40"/>
  </w:num>
  <w:num w:numId="34" w16cid:durableId="192811842">
    <w:abstractNumId w:val="5"/>
  </w:num>
  <w:num w:numId="35" w16cid:durableId="1465853641">
    <w:abstractNumId w:val="19"/>
  </w:num>
  <w:num w:numId="36" w16cid:durableId="702636896">
    <w:abstractNumId w:val="36"/>
  </w:num>
  <w:num w:numId="37" w16cid:durableId="254629961">
    <w:abstractNumId w:val="20"/>
  </w:num>
  <w:num w:numId="38" w16cid:durableId="1775006621">
    <w:abstractNumId w:val="28"/>
  </w:num>
  <w:num w:numId="39" w16cid:durableId="2085563517">
    <w:abstractNumId w:val="14"/>
  </w:num>
  <w:num w:numId="40" w16cid:durableId="968166296">
    <w:abstractNumId w:val="17"/>
  </w:num>
  <w:num w:numId="41" w16cid:durableId="1402436599">
    <w:abstractNumId w:val="15"/>
  </w:num>
  <w:num w:numId="42" w16cid:durableId="557017174">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16"/>
    <w:rsid w:val="0000127B"/>
    <w:rsid w:val="00007BF3"/>
    <w:rsid w:val="00010BA0"/>
    <w:rsid w:val="00010D4B"/>
    <w:rsid w:val="00010F4A"/>
    <w:rsid w:val="00011459"/>
    <w:rsid w:val="0001359C"/>
    <w:rsid w:val="000139DC"/>
    <w:rsid w:val="00013A8D"/>
    <w:rsid w:val="00013BD7"/>
    <w:rsid w:val="00016E59"/>
    <w:rsid w:val="00020557"/>
    <w:rsid w:val="00020678"/>
    <w:rsid w:val="00021FC2"/>
    <w:rsid w:val="000250C7"/>
    <w:rsid w:val="000264BD"/>
    <w:rsid w:val="00026589"/>
    <w:rsid w:val="00026F16"/>
    <w:rsid w:val="00032304"/>
    <w:rsid w:val="000328E1"/>
    <w:rsid w:val="0003452B"/>
    <w:rsid w:val="00034D83"/>
    <w:rsid w:val="000362C6"/>
    <w:rsid w:val="00037621"/>
    <w:rsid w:val="0004237D"/>
    <w:rsid w:val="000429E0"/>
    <w:rsid w:val="00042E5F"/>
    <w:rsid w:val="0004403F"/>
    <w:rsid w:val="0004487B"/>
    <w:rsid w:val="00044D46"/>
    <w:rsid w:val="00045088"/>
    <w:rsid w:val="00045717"/>
    <w:rsid w:val="00045904"/>
    <w:rsid w:val="000463A2"/>
    <w:rsid w:val="000467AA"/>
    <w:rsid w:val="000502FD"/>
    <w:rsid w:val="00051672"/>
    <w:rsid w:val="00053BC1"/>
    <w:rsid w:val="00054C37"/>
    <w:rsid w:val="00056B65"/>
    <w:rsid w:val="00060B3E"/>
    <w:rsid w:val="00061953"/>
    <w:rsid w:val="000620FD"/>
    <w:rsid w:val="00063063"/>
    <w:rsid w:val="00063F5B"/>
    <w:rsid w:val="00064900"/>
    <w:rsid w:val="00064E5D"/>
    <w:rsid w:val="00065166"/>
    <w:rsid w:val="00065246"/>
    <w:rsid w:val="00067C8D"/>
    <w:rsid w:val="0007020D"/>
    <w:rsid w:val="00072336"/>
    <w:rsid w:val="000725C3"/>
    <w:rsid w:val="00074353"/>
    <w:rsid w:val="0007497A"/>
    <w:rsid w:val="000754D5"/>
    <w:rsid w:val="00077EE4"/>
    <w:rsid w:val="000809F3"/>
    <w:rsid w:val="00082609"/>
    <w:rsid w:val="00082665"/>
    <w:rsid w:val="00082DA8"/>
    <w:rsid w:val="0008444E"/>
    <w:rsid w:val="00084E3C"/>
    <w:rsid w:val="000851CC"/>
    <w:rsid w:val="00086094"/>
    <w:rsid w:val="000867D0"/>
    <w:rsid w:val="00086A75"/>
    <w:rsid w:val="00087F21"/>
    <w:rsid w:val="000904E1"/>
    <w:rsid w:val="00093BE8"/>
    <w:rsid w:val="0009498F"/>
    <w:rsid w:val="00094A59"/>
    <w:rsid w:val="0009563C"/>
    <w:rsid w:val="00096BBF"/>
    <w:rsid w:val="000A12C3"/>
    <w:rsid w:val="000A27A3"/>
    <w:rsid w:val="000A3676"/>
    <w:rsid w:val="000A407B"/>
    <w:rsid w:val="000A4565"/>
    <w:rsid w:val="000A68ED"/>
    <w:rsid w:val="000A6F72"/>
    <w:rsid w:val="000A70B8"/>
    <w:rsid w:val="000A718E"/>
    <w:rsid w:val="000A7A28"/>
    <w:rsid w:val="000A7D47"/>
    <w:rsid w:val="000B3DAA"/>
    <w:rsid w:val="000B4961"/>
    <w:rsid w:val="000B5D08"/>
    <w:rsid w:val="000B5FF1"/>
    <w:rsid w:val="000B609F"/>
    <w:rsid w:val="000C07F7"/>
    <w:rsid w:val="000C0E72"/>
    <w:rsid w:val="000C0F7C"/>
    <w:rsid w:val="000C3122"/>
    <w:rsid w:val="000C442C"/>
    <w:rsid w:val="000C501D"/>
    <w:rsid w:val="000C62E3"/>
    <w:rsid w:val="000D0630"/>
    <w:rsid w:val="000D1109"/>
    <w:rsid w:val="000D1EBF"/>
    <w:rsid w:val="000D55A8"/>
    <w:rsid w:val="000D5B14"/>
    <w:rsid w:val="000D5DB0"/>
    <w:rsid w:val="000D67B2"/>
    <w:rsid w:val="000E056B"/>
    <w:rsid w:val="000E1665"/>
    <w:rsid w:val="000E1BDA"/>
    <w:rsid w:val="000E1E96"/>
    <w:rsid w:val="000E3466"/>
    <w:rsid w:val="000E4841"/>
    <w:rsid w:val="000E56BE"/>
    <w:rsid w:val="000F03B8"/>
    <w:rsid w:val="000F0762"/>
    <w:rsid w:val="000F10C9"/>
    <w:rsid w:val="000F1603"/>
    <w:rsid w:val="000F1677"/>
    <w:rsid w:val="000F3D6C"/>
    <w:rsid w:val="000F59A9"/>
    <w:rsid w:val="000F782F"/>
    <w:rsid w:val="00101707"/>
    <w:rsid w:val="00102883"/>
    <w:rsid w:val="00102CC9"/>
    <w:rsid w:val="00103740"/>
    <w:rsid w:val="00103A1D"/>
    <w:rsid w:val="0010593A"/>
    <w:rsid w:val="0011053D"/>
    <w:rsid w:val="0011183D"/>
    <w:rsid w:val="00113576"/>
    <w:rsid w:val="001143C8"/>
    <w:rsid w:val="0011473D"/>
    <w:rsid w:val="00114C6D"/>
    <w:rsid w:val="00115C85"/>
    <w:rsid w:val="0012084C"/>
    <w:rsid w:val="00121B82"/>
    <w:rsid w:val="00122DCA"/>
    <w:rsid w:val="00122E6B"/>
    <w:rsid w:val="00122E7C"/>
    <w:rsid w:val="00123855"/>
    <w:rsid w:val="001254BF"/>
    <w:rsid w:val="001269CE"/>
    <w:rsid w:val="00126A4D"/>
    <w:rsid w:val="00127DA0"/>
    <w:rsid w:val="00130633"/>
    <w:rsid w:val="00132925"/>
    <w:rsid w:val="00132960"/>
    <w:rsid w:val="00133C98"/>
    <w:rsid w:val="00133E42"/>
    <w:rsid w:val="00137141"/>
    <w:rsid w:val="00137827"/>
    <w:rsid w:val="0014171F"/>
    <w:rsid w:val="00143AC3"/>
    <w:rsid w:val="00144845"/>
    <w:rsid w:val="00144E5E"/>
    <w:rsid w:val="001450D8"/>
    <w:rsid w:val="0014516C"/>
    <w:rsid w:val="0014622C"/>
    <w:rsid w:val="00146771"/>
    <w:rsid w:val="00147C24"/>
    <w:rsid w:val="00150D4F"/>
    <w:rsid w:val="00151220"/>
    <w:rsid w:val="00152348"/>
    <w:rsid w:val="0015289B"/>
    <w:rsid w:val="00153EAD"/>
    <w:rsid w:val="0015456D"/>
    <w:rsid w:val="00155FA2"/>
    <w:rsid w:val="00155FF8"/>
    <w:rsid w:val="00156137"/>
    <w:rsid w:val="001618B3"/>
    <w:rsid w:val="00161F1B"/>
    <w:rsid w:val="001620B7"/>
    <w:rsid w:val="00162829"/>
    <w:rsid w:val="001636B3"/>
    <w:rsid w:val="0016599B"/>
    <w:rsid w:val="00167872"/>
    <w:rsid w:val="0017088A"/>
    <w:rsid w:val="00172106"/>
    <w:rsid w:val="001732B4"/>
    <w:rsid w:val="0017339A"/>
    <w:rsid w:val="00175DD3"/>
    <w:rsid w:val="0017607F"/>
    <w:rsid w:val="00180548"/>
    <w:rsid w:val="00180AC4"/>
    <w:rsid w:val="00180CCE"/>
    <w:rsid w:val="0018221F"/>
    <w:rsid w:val="0018267A"/>
    <w:rsid w:val="00182779"/>
    <w:rsid w:val="00182F73"/>
    <w:rsid w:val="00182FD2"/>
    <w:rsid w:val="001830DF"/>
    <w:rsid w:val="00183CAF"/>
    <w:rsid w:val="001859DD"/>
    <w:rsid w:val="00186057"/>
    <w:rsid w:val="00187E38"/>
    <w:rsid w:val="0019048B"/>
    <w:rsid w:val="001921CD"/>
    <w:rsid w:val="00193051"/>
    <w:rsid w:val="00193C5C"/>
    <w:rsid w:val="00194538"/>
    <w:rsid w:val="00194A67"/>
    <w:rsid w:val="001953C1"/>
    <w:rsid w:val="00195D71"/>
    <w:rsid w:val="001966D9"/>
    <w:rsid w:val="00196B1B"/>
    <w:rsid w:val="001973D9"/>
    <w:rsid w:val="001975D6"/>
    <w:rsid w:val="00197763"/>
    <w:rsid w:val="001A007A"/>
    <w:rsid w:val="001A2415"/>
    <w:rsid w:val="001A3C4E"/>
    <w:rsid w:val="001A4B4E"/>
    <w:rsid w:val="001A4FC5"/>
    <w:rsid w:val="001A6310"/>
    <w:rsid w:val="001A7E9A"/>
    <w:rsid w:val="001B0B6A"/>
    <w:rsid w:val="001B0F70"/>
    <w:rsid w:val="001B3A81"/>
    <w:rsid w:val="001B5016"/>
    <w:rsid w:val="001B753E"/>
    <w:rsid w:val="001B77C3"/>
    <w:rsid w:val="001C0840"/>
    <w:rsid w:val="001C3E8A"/>
    <w:rsid w:val="001C45FC"/>
    <w:rsid w:val="001C56F7"/>
    <w:rsid w:val="001C6AA2"/>
    <w:rsid w:val="001C6CF3"/>
    <w:rsid w:val="001C6D26"/>
    <w:rsid w:val="001D0469"/>
    <w:rsid w:val="001D0F1F"/>
    <w:rsid w:val="001D29C0"/>
    <w:rsid w:val="001D4406"/>
    <w:rsid w:val="001D448D"/>
    <w:rsid w:val="001D4862"/>
    <w:rsid w:val="001D61F9"/>
    <w:rsid w:val="001D65F2"/>
    <w:rsid w:val="001D72C9"/>
    <w:rsid w:val="001D772F"/>
    <w:rsid w:val="001D7EF0"/>
    <w:rsid w:val="001E0C3B"/>
    <w:rsid w:val="001E1A40"/>
    <w:rsid w:val="001E1A4E"/>
    <w:rsid w:val="001E1D88"/>
    <w:rsid w:val="001E25B9"/>
    <w:rsid w:val="001E26F8"/>
    <w:rsid w:val="001E2FD6"/>
    <w:rsid w:val="001E4896"/>
    <w:rsid w:val="001E49E0"/>
    <w:rsid w:val="001E5331"/>
    <w:rsid w:val="001E6103"/>
    <w:rsid w:val="001E615A"/>
    <w:rsid w:val="001E627B"/>
    <w:rsid w:val="001E65A8"/>
    <w:rsid w:val="001E730B"/>
    <w:rsid w:val="001E7B5A"/>
    <w:rsid w:val="001F09F6"/>
    <w:rsid w:val="001F2E6D"/>
    <w:rsid w:val="001F5BE1"/>
    <w:rsid w:val="001F6BC4"/>
    <w:rsid w:val="001F7412"/>
    <w:rsid w:val="001F7841"/>
    <w:rsid w:val="0020090A"/>
    <w:rsid w:val="002009DA"/>
    <w:rsid w:val="00200E43"/>
    <w:rsid w:val="0020287D"/>
    <w:rsid w:val="00202DFE"/>
    <w:rsid w:val="0020725B"/>
    <w:rsid w:val="00207707"/>
    <w:rsid w:val="0021017F"/>
    <w:rsid w:val="0021103B"/>
    <w:rsid w:val="002110F1"/>
    <w:rsid w:val="00211511"/>
    <w:rsid w:val="002124F1"/>
    <w:rsid w:val="0021471E"/>
    <w:rsid w:val="00214740"/>
    <w:rsid w:val="00216243"/>
    <w:rsid w:val="002173E8"/>
    <w:rsid w:val="00217FD8"/>
    <w:rsid w:val="0022307A"/>
    <w:rsid w:val="002231DF"/>
    <w:rsid w:val="002237F2"/>
    <w:rsid w:val="00224A17"/>
    <w:rsid w:val="0022537C"/>
    <w:rsid w:val="0022791C"/>
    <w:rsid w:val="00230F65"/>
    <w:rsid w:val="002321CA"/>
    <w:rsid w:val="002356EA"/>
    <w:rsid w:val="00236000"/>
    <w:rsid w:val="00237E20"/>
    <w:rsid w:val="0024099E"/>
    <w:rsid w:val="0024116D"/>
    <w:rsid w:val="00241A85"/>
    <w:rsid w:val="00241B44"/>
    <w:rsid w:val="00241EFB"/>
    <w:rsid w:val="00241FA3"/>
    <w:rsid w:val="002423D0"/>
    <w:rsid w:val="00243119"/>
    <w:rsid w:val="002452E7"/>
    <w:rsid w:val="0024541A"/>
    <w:rsid w:val="00245DE8"/>
    <w:rsid w:val="00245EFB"/>
    <w:rsid w:val="00246596"/>
    <w:rsid w:val="00246973"/>
    <w:rsid w:val="0025386E"/>
    <w:rsid w:val="002542E0"/>
    <w:rsid w:val="00256621"/>
    <w:rsid w:val="00257AA4"/>
    <w:rsid w:val="0026301C"/>
    <w:rsid w:val="0026348C"/>
    <w:rsid w:val="002638B0"/>
    <w:rsid w:val="00263E8B"/>
    <w:rsid w:val="002649C2"/>
    <w:rsid w:val="00265945"/>
    <w:rsid w:val="0026647A"/>
    <w:rsid w:val="002668D3"/>
    <w:rsid w:val="00271A58"/>
    <w:rsid w:val="0027299F"/>
    <w:rsid w:val="0027374E"/>
    <w:rsid w:val="00274315"/>
    <w:rsid w:val="00277304"/>
    <w:rsid w:val="00277BC9"/>
    <w:rsid w:val="002802FD"/>
    <w:rsid w:val="00280779"/>
    <w:rsid w:val="00281B72"/>
    <w:rsid w:val="00281CBD"/>
    <w:rsid w:val="00282F51"/>
    <w:rsid w:val="00284EBE"/>
    <w:rsid w:val="00287284"/>
    <w:rsid w:val="002903A7"/>
    <w:rsid w:val="002910FF"/>
    <w:rsid w:val="00291158"/>
    <w:rsid w:val="0029433F"/>
    <w:rsid w:val="00294829"/>
    <w:rsid w:val="00295F67"/>
    <w:rsid w:val="0029690F"/>
    <w:rsid w:val="002977F3"/>
    <w:rsid w:val="00297C8A"/>
    <w:rsid w:val="002A18F7"/>
    <w:rsid w:val="002A1D42"/>
    <w:rsid w:val="002A2218"/>
    <w:rsid w:val="002A2468"/>
    <w:rsid w:val="002A2A60"/>
    <w:rsid w:val="002A37BB"/>
    <w:rsid w:val="002A603F"/>
    <w:rsid w:val="002A74F6"/>
    <w:rsid w:val="002B0050"/>
    <w:rsid w:val="002B014D"/>
    <w:rsid w:val="002B0B2D"/>
    <w:rsid w:val="002B1A8A"/>
    <w:rsid w:val="002B1C45"/>
    <w:rsid w:val="002B3315"/>
    <w:rsid w:val="002B3D02"/>
    <w:rsid w:val="002B4F08"/>
    <w:rsid w:val="002B5089"/>
    <w:rsid w:val="002C1005"/>
    <w:rsid w:val="002C13C8"/>
    <w:rsid w:val="002C259A"/>
    <w:rsid w:val="002C3141"/>
    <w:rsid w:val="002C349A"/>
    <w:rsid w:val="002C3547"/>
    <w:rsid w:val="002C40B1"/>
    <w:rsid w:val="002C6874"/>
    <w:rsid w:val="002C7688"/>
    <w:rsid w:val="002D0021"/>
    <w:rsid w:val="002D299D"/>
    <w:rsid w:val="002D3395"/>
    <w:rsid w:val="002D3473"/>
    <w:rsid w:val="002D5BA8"/>
    <w:rsid w:val="002D5E21"/>
    <w:rsid w:val="002D5EED"/>
    <w:rsid w:val="002D691D"/>
    <w:rsid w:val="002E02EE"/>
    <w:rsid w:val="002E058A"/>
    <w:rsid w:val="002E0670"/>
    <w:rsid w:val="002E0EEE"/>
    <w:rsid w:val="002E1B8C"/>
    <w:rsid w:val="002E364D"/>
    <w:rsid w:val="002E381B"/>
    <w:rsid w:val="002E49A1"/>
    <w:rsid w:val="002E5A3B"/>
    <w:rsid w:val="002E619A"/>
    <w:rsid w:val="002E7EE6"/>
    <w:rsid w:val="002F075F"/>
    <w:rsid w:val="002F0C18"/>
    <w:rsid w:val="002F1956"/>
    <w:rsid w:val="002F1BF6"/>
    <w:rsid w:val="002F2EB2"/>
    <w:rsid w:val="002F3440"/>
    <w:rsid w:val="002F4ADE"/>
    <w:rsid w:val="002F6BE2"/>
    <w:rsid w:val="002F7218"/>
    <w:rsid w:val="002F75A3"/>
    <w:rsid w:val="00300B1D"/>
    <w:rsid w:val="00303C2F"/>
    <w:rsid w:val="00305D09"/>
    <w:rsid w:val="0030610C"/>
    <w:rsid w:val="00310D8E"/>
    <w:rsid w:val="00310E17"/>
    <w:rsid w:val="0031156A"/>
    <w:rsid w:val="00311E06"/>
    <w:rsid w:val="003125FB"/>
    <w:rsid w:val="0031287B"/>
    <w:rsid w:val="0031384E"/>
    <w:rsid w:val="00313FB9"/>
    <w:rsid w:val="003143FF"/>
    <w:rsid w:val="003144EF"/>
    <w:rsid w:val="00316798"/>
    <w:rsid w:val="003167EB"/>
    <w:rsid w:val="00316B6A"/>
    <w:rsid w:val="00317669"/>
    <w:rsid w:val="00320F30"/>
    <w:rsid w:val="00322461"/>
    <w:rsid w:val="00326292"/>
    <w:rsid w:val="00326415"/>
    <w:rsid w:val="00327844"/>
    <w:rsid w:val="00327982"/>
    <w:rsid w:val="00330937"/>
    <w:rsid w:val="00330CF4"/>
    <w:rsid w:val="00330D69"/>
    <w:rsid w:val="00330F31"/>
    <w:rsid w:val="003342A9"/>
    <w:rsid w:val="00334648"/>
    <w:rsid w:val="003349C2"/>
    <w:rsid w:val="003352DF"/>
    <w:rsid w:val="00335FC3"/>
    <w:rsid w:val="0033768C"/>
    <w:rsid w:val="00337938"/>
    <w:rsid w:val="00340769"/>
    <w:rsid w:val="00340A96"/>
    <w:rsid w:val="00341A5D"/>
    <w:rsid w:val="00341AA6"/>
    <w:rsid w:val="00341F3F"/>
    <w:rsid w:val="00342C6B"/>
    <w:rsid w:val="00343A2F"/>
    <w:rsid w:val="0034479F"/>
    <w:rsid w:val="00345CD9"/>
    <w:rsid w:val="00345F29"/>
    <w:rsid w:val="00347259"/>
    <w:rsid w:val="003512C0"/>
    <w:rsid w:val="0035532E"/>
    <w:rsid w:val="003566E1"/>
    <w:rsid w:val="0035781D"/>
    <w:rsid w:val="00360281"/>
    <w:rsid w:val="00360411"/>
    <w:rsid w:val="00361A0A"/>
    <w:rsid w:val="00363F54"/>
    <w:rsid w:val="00364836"/>
    <w:rsid w:val="0036486E"/>
    <w:rsid w:val="00364B3F"/>
    <w:rsid w:val="0036565C"/>
    <w:rsid w:val="0036625E"/>
    <w:rsid w:val="003663C5"/>
    <w:rsid w:val="00372C60"/>
    <w:rsid w:val="00372D73"/>
    <w:rsid w:val="0037465A"/>
    <w:rsid w:val="0037513E"/>
    <w:rsid w:val="00376D1F"/>
    <w:rsid w:val="00376E9E"/>
    <w:rsid w:val="00377028"/>
    <w:rsid w:val="003807A7"/>
    <w:rsid w:val="0038082F"/>
    <w:rsid w:val="00380EF7"/>
    <w:rsid w:val="00382822"/>
    <w:rsid w:val="00382C98"/>
    <w:rsid w:val="0038364E"/>
    <w:rsid w:val="0038533C"/>
    <w:rsid w:val="00385F1F"/>
    <w:rsid w:val="00386568"/>
    <w:rsid w:val="00386939"/>
    <w:rsid w:val="00390B57"/>
    <w:rsid w:val="00392E28"/>
    <w:rsid w:val="003948D5"/>
    <w:rsid w:val="00395609"/>
    <w:rsid w:val="003962B1"/>
    <w:rsid w:val="00396821"/>
    <w:rsid w:val="00397D3A"/>
    <w:rsid w:val="00397EAE"/>
    <w:rsid w:val="003A051E"/>
    <w:rsid w:val="003A1342"/>
    <w:rsid w:val="003A66C4"/>
    <w:rsid w:val="003A6712"/>
    <w:rsid w:val="003B0238"/>
    <w:rsid w:val="003B1122"/>
    <w:rsid w:val="003B170F"/>
    <w:rsid w:val="003B1A74"/>
    <w:rsid w:val="003B2AE9"/>
    <w:rsid w:val="003B3C5F"/>
    <w:rsid w:val="003B4490"/>
    <w:rsid w:val="003B53D3"/>
    <w:rsid w:val="003C03DE"/>
    <w:rsid w:val="003C2445"/>
    <w:rsid w:val="003C28FD"/>
    <w:rsid w:val="003C3692"/>
    <w:rsid w:val="003C4471"/>
    <w:rsid w:val="003C4D7F"/>
    <w:rsid w:val="003C6BD7"/>
    <w:rsid w:val="003D0313"/>
    <w:rsid w:val="003D0A6D"/>
    <w:rsid w:val="003D3D86"/>
    <w:rsid w:val="003D527C"/>
    <w:rsid w:val="003D5622"/>
    <w:rsid w:val="003D562F"/>
    <w:rsid w:val="003D5EA3"/>
    <w:rsid w:val="003E0760"/>
    <w:rsid w:val="003E0B16"/>
    <w:rsid w:val="003E0C3A"/>
    <w:rsid w:val="003E0D5B"/>
    <w:rsid w:val="003E2D20"/>
    <w:rsid w:val="003E4587"/>
    <w:rsid w:val="003E67D1"/>
    <w:rsid w:val="003F0442"/>
    <w:rsid w:val="003F18B2"/>
    <w:rsid w:val="003F1DC7"/>
    <w:rsid w:val="003F4846"/>
    <w:rsid w:val="003F48D0"/>
    <w:rsid w:val="003F4A5C"/>
    <w:rsid w:val="003F5857"/>
    <w:rsid w:val="003F66E4"/>
    <w:rsid w:val="003F6705"/>
    <w:rsid w:val="00401260"/>
    <w:rsid w:val="00402ACE"/>
    <w:rsid w:val="00403FD0"/>
    <w:rsid w:val="00404329"/>
    <w:rsid w:val="00404B7F"/>
    <w:rsid w:val="00404E66"/>
    <w:rsid w:val="00405DC1"/>
    <w:rsid w:val="00407901"/>
    <w:rsid w:val="004117CE"/>
    <w:rsid w:val="00411E67"/>
    <w:rsid w:val="0041352B"/>
    <w:rsid w:val="00413B2C"/>
    <w:rsid w:val="00413F2F"/>
    <w:rsid w:val="004142A6"/>
    <w:rsid w:val="00415F1F"/>
    <w:rsid w:val="00416001"/>
    <w:rsid w:val="004160B5"/>
    <w:rsid w:val="00416C77"/>
    <w:rsid w:val="0041718C"/>
    <w:rsid w:val="00417859"/>
    <w:rsid w:val="00417C74"/>
    <w:rsid w:val="0042108F"/>
    <w:rsid w:val="00424093"/>
    <w:rsid w:val="00424289"/>
    <w:rsid w:val="00424997"/>
    <w:rsid w:val="004253EE"/>
    <w:rsid w:val="00426678"/>
    <w:rsid w:val="0042706D"/>
    <w:rsid w:val="00430FED"/>
    <w:rsid w:val="004322EC"/>
    <w:rsid w:val="00434A8C"/>
    <w:rsid w:val="00437297"/>
    <w:rsid w:val="00441861"/>
    <w:rsid w:val="0044186F"/>
    <w:rsid w:val="00442FC1"/>
    <w:rsid w:val="00443DC8"/>
    <w:rsid w:val="0044401A"/>
    <w:rsid w:val="00444284"/>
    <w:rsid w:val="00444A66"/>
    <w:rsid w:val="00444C84"/>
    <w:rsid w:val="00445937"/>
    <w:rsid w:val="00445CE6"/>
    <w:rsid w:val="004463CF"/>
    <w:rsid w:val="00450ADD"/>
    <w:rsid w:val="00451CD6"/>
    <w:rsid w:val="0045250B"/>
    <w:rsid w:val="004534C2"/>
    <w:rsid w:val="0045446F"/>
    <w:rsid w:val="0045683E"/>
    <w:rsid w:val="0045774D"/>
    <w:rsid w:val="00457BF4"/>
    <w:rsid w:val="004611F0"/>
    <w:rsid w:val="00462928"/>
    <w:rsid w:val="004633E4"/>
    <w:rsid w:val="00463C92"/>
    <w:rsid w:val="00463D6F"/>
    <w:rsid w:val="0046458B"/>
    <w:rsid w:val="0046563B"/>
    <w:rsid w:val="0046597B"/>
    <w:rsid w:val="0046663C"/>
    <w:rsid w:val="00466A6C"/>
    <w:rsid w:val="00467954"/>
    <w:rsid w:val="0047089B"/>
    <w:rsid w:val="00471E6C"/>
    <w:rsid w:val="0047211B"/>
    <w:rsid w:val="004725E3"/>
    <w:rsid w:val="00473AA5"/>
    <w:rsid w:val="00473F49"/>
    <w:rsid w:val="00475845"/>
    <w:rsid w:val="00477008"/>
    <w:rsid w:val="00477C72"/>
    <w:rsid w:val="00481C74"/>
    <w:rsid w:val="00483538"/>
    <w:rsid w:val="00484EC4"/>
    <w:rsid w:val="004866F9"/>
    <w:rsid w:val="00486E13"/>
    <w:rsid w:val="0048764A"/>
    <w:rsid w:val="004877B5"/>
    <w:rsid w:val="004903E4"/>
    <w:rsid w:val="00490637"/>
    <w:rsid w:val="00491479"/>
    <w:rsid w:val="00491675"/>
    <w:rsid w:val="004919A9"/>
    <w:rsid w:val="00492255"/>
    <w:rsid w:val="004930D5"/>
    <w:rsid w:val="00493855"/>
    <w:rsid w:val="004957F1"/>
    <w:rsid w:val="00495E79"/>
    <w:rsid w:val="00496709"/>
    <w:rsid w:val="004A2D83"/>
    <w:rsid w:val="004A50BB"/>
    <w:rsid w:val="004A5580"/>
    <w:rsid w:val="004A57DD"/>
    <w:rsid w:val="004A6B21"/>
    <w:rsid w:val="004A7B51"/>
    <w:rsid w:val="004A7D71"/>
    <w:rsid w:val="004A7EF3"/>
    <w:rsid w:val="004B1083"/>
    <w:rsid w:val="004B11FD"/>
    <w:rsid w:val="004B14ED"/>
    <w:rsid w:val="004B1714"/>
    <w:rsid w:val="004B23A2"/>
    <w:rsid w:val="004B24EB"/>
    <w:rsid w:val="004B25EC"/>
    <w:rsid w:val="004B2642"/>
    <w:rsid w:val="004B3F2D"/>
    <w:rsid w:val="004B5392"/>
    <w:rsid w:val="004B7F22"/>
    <w:rsid w:val="004C0F2E"/>
    <w:rsid w:val="004C406C"/>
    <w:rsid w:val="004C4DDC"/>
    <w:rsid w:val="004C5246"/>
    <w:rsid w:val="004C58C3"/>
    <w:rsid w:val="004C58ED"/>
    <w:rsid w:val="004D09BC"/>
    <w:rsid w:val="004D1A5A"/>
    <w:rsid w:val="004D1CA2"/>
    <w:rsid w:val="004D1D04"/>
    <w:rsid w:val="004D2FFF"/>
    <w:rsid w:val="004D3721"/>
    <w:rsid w:val="004D3BC0"/>
    <w:rsid w:val="004D4F6A"/>
    <w:rsid w:val="004D6216"/>
    <w:rsid w:val="004D624F"/>
    <w:rsid w:val="004D649F"/>
    <w:rsid w:val="004D64F9"/>
    <w:rsid w:val="004D68C4"/>
    <w:rsid w:val="004E086E"/>
    <w:rsid w:val="004E183D"/>
    <w:rsid w:val="004E2870"/>
    <w:rsid w:val="004E2D90"/>
    <w:rsid w:val="004E3A6B"/>
    <w:rsid w:val="004E4CE4"/>
    <w:rsid w:val="004E5141"/>
    <w:rsid w:val="004E5423"/>
    <w:rsid w:val="004E622C"/>
    <w:rsid w:val="004E66FA"/>
    <w:rsid w:val="004E6CFB"/>
    <w:rsid w:val="004F0E0B"/>
    <w:rsid w:val="004F35DC"/>
    <w:rsid w:val="004F4D0C"/>
    <w:rsid w:val="004F519A"/>
    <w:rsid w:val="004F5FDF"/>
    <w:rsid w:val="004F731F"/>
    <w:rsid w:val="004F7504"/>
    <w:rsid w:val="00502C66"/>
    <w:rsid w:val="005041B2"/>
    <w:rsid w:val="0050420E"/>
    <w:rsid w:val="00504D1A"/>
    <w:rsid w:val="00507815"/>
    <w:rsid w:val="00510CD3"/>
    <w:rsid w:val="00510F88"/>
    <w:rsid w:val="00511CB4"/>
    <w:rsid w:val="005123BC"/>
    <w:rsid w:val="00513396"/>
    <w:rsid w:val="0051397A"/>
    <w:rsid w:val="0051415E"/>
    <w:rsid w:val="00516777"/>
    <w:rsid w:val="005177FE"/>
    <w:rsid w:val="00520EAB"/>
    <w:rsid w:val="00521625"/>
    <w:rsid w:val="0052263B"/>
    <w:rsid w:val="0052329F"/>
    <w:rsid w:val="0052455B"/>
    <w:rsid w:val="00524728"/>
    <w:rsid w:val="00525D5E"/>
    <w:rsid w:val="00527D1F"/>
    <w:rsid w:val="005331CA"/>
    <w:rsid w:val="00534B7E"/>
    <w:rsid w:val="005354A4"/>
    <w:rsid w:val="00535D3E"/>
    <w:rsid w:val="00537970"/>
    <w:rsid w:val="0054099F"/>
    <w:rsid w:val="00540E3A"/>
    <w:rsid w:val="00542BDB"/>
    <w:rsid w:val="00544127"/>
    <w:rsid w:val="00544813"/>
    <w:rsid w:val="005463A9"/>
    <w:rsid w:val="005465A6"/>
    <w:rsid w:val="00546F4D"/>
    <w:rsid w:val="00552AC6"/>
    <w:rsid w:val="00552C7B"/>
    <w:rsid w:val="00553EB2"/>
    <w:rsid w:val="00554B4E"/>
    <w:rsid w:val="005563EB"/>
    <w:rsid w:val="00556701"/>
    <w:rsid w:val="0056046E"/>
    <w:rsid w:val="00560534"/>
    <w:rsid w:val="00561F90"/>
    <w:rsid w:val="00562196"/>
    <w:rsid w:val="005628E2"/>
    <w:rsid w:val="005630F5"/>
    <w:rsid w:val="005633F1"/>
    <w:rsid w:val="0056391B"/>
    <w:rsid w:val="0056399A"/>
    <w:rsid w:val="00564A33"/>
    <w:rsid w:val="005650E2"/>
    <w:rsid w:val="00565A40"/>
    <w:rsid w:val="005669B5"/>
    <w:rsid w:val="00567AD7"/>
    <w:rsid w:val="005707AC"/>
    <w:rsid w:val="00571E88"/>
    <w:rsid w:val="005731FD"/>
    <w:rsid w:val="00573958"/>
    <w:rsid w:val="00575B2D"/>
    <w:rsid w:val="005804E7"/>
    <w:rsid w:val="00580F2D"/>
    <w:rsid w:val="0058170D"/>
    <w:rsid w:val="005833D0"/>
    <w:rsid w:val="005840DA"/>
    <w:rsid w:val="005846F3"/>
    <w:rsid w:val="0058507D"/>
    <w:rsid w:val="0058533F"/>
    <w:rsid w:val="0058622F"/>
    <w:rsid w:val="0058645B"/>
    <w:rsid w:val="00587DB3"/>
    <w:rsid w:val="005906FE"/>
    <w:rsid w:val="00592F82"/>
    <w:rsid w:val="005936C7"/>
    <w:rsid w:val="00595AE2"/>
    <w:rsid w:val="0059600B"/>
    <w:rsid w:val="005965BF"/>
    <w:rsid w:val="005966D4"/>
    <w:rsid w:val="0059686D"/>
    <w:rsid w:val="00597F67"/>
    <w:rsid w:val="005A0CCA"/>
    <w:rsid w:val="005A1104"/>
    <w:rsid w:val="005A1557"/>
    <w:rsid w:val="005A1AC6"/>
    <w:rsid w:val="005A1BCE"/>
    <w:rsid w:val="005A2B25"/>
    <w:rsid w:val="005A534B"/>
    <w:rsid w:val="005A69BD"/>
    <w:rsid w:val="005A6B73"/>
    <w:rsid w:val="005A6FF2"/>
    <w:rsid w:val="005A726D"/>
    <w:rsid w:val="005B06E1"/>
    <w:rsid w:val="005B0A61"/>
    <w:rsid w:val="005B52DF"/>
    <w:rsid w:val="005B5639"/>
    <w:rsid w:val="005B67AC"/>
    <w:rsid w:val="005B79F4"/>
    <w:rsid w:val="005B7A2D"/>
    <w:rsid w:val="005C120D"/>
    <w:rsid w:val="005C3B2C"/>
    <w:rsid w:val="005C4090"/>
    <w:rsid w:val="005C4640"/>
    <w:rsid w:val="005D16DD"/>
    <w:rsid w:val="005D20E0"/>
    <w:rsid w:val="005D29E3"/>
    <w:rsid w:val="005D420A"/>
    <w:rsid w:val="005D43E0"/>
    <w:rsid w:val="005D4AE0"/>
    <w:rsid w:val="005D58A3"/>
    <w:rsid w:val="005E0815"/>
    <w:rsid w:val="005E1B79"/>
    <w:rsid w:val="005E3543"/>
    <w:rsid w:val="005E6076"/>
    <w:rsid w:val="005E7008"/>
    <w:rsid w:val="005F026D"/>
    <w:rsid w:val="005F0775"/>
    <w:rsid w:val="005F1542"/>
    <w:rsid w:val="005F1811"/>
    <w:rsid w:val="005F2AEA"/>
    <w:rsid w:val="005F2D0B"/>
    <w:rsid w:val="005F3BDB"/>
    <w:rsid w:val="005F3D59"/>
    <w:rsid w:val="005F4607"/>
    <w:rsid w:val="005F4B31"/>
    <w:rsid w:val="005F6E8A"/>
    <w:rsid w:val="005F6EB9"/>
    <w:rsid w:val="00600E79"/>
    <w:rsid w:val="00600EFE"/>
    <w:rsid w:val="006017C4"/>
    <w:rsid w:val="00601CEB"/>
    <w:rsid w:val="00601FF0"/>
    <w:rsid w:val="00602979"/>
    <w:rsid w:val="00602D61"/>
    <w:rsid w:val="00604781"/>
    <w:rsid w:val="006063F2"/>
    <w:rsid w:val="00610388"/>
    <w:rsid w:val="00610AC7"/>
    <w:rsid w:val="00611906"/>
    <w:rsid w:val="00612CA5"/>
    <w:rsid w:val="006153EC"/>
    <w:rsid w:val="00617A39"/>
    <w:rsid w:val="00621A17"/>
    <w:rsid w:val="00621BEC"/>
    <w:rsid w:val="00621FF2"/>
    <w:rsid w:val="0062226A"/>
    <w:rsid w:val="0062385D"/>
    <w:rsid w:val="0062649B"/>
    <w:rsid w:val="00627340"/>
    <w:rsid w:val="00627CC9"/>
    <w:rsid w:val="00627E7B"/>
    <w:rsid w:val="00630158"/>
    <w:rsid w:val="00630542"/>
    <w:rsid w:val="00630841"/>
    <w:rsid w:val="00631541"/>
    <w:rsid w:val="00631AAA"/>
    <w:rsid w:val="0063256A"/>
    <w:rsid w:val="006328D9"/>
    <w:rsid w:val="00632E44"/>
    <w:rsid w:val="00633B1E"/>
    <w:rsid w:val="00634622"/>
    <w:rsid w:val="006354EB"/>
    <w:rsid w:val="00635E22"/>
    <w:rsid w:val="00636808"/>
    <w:rsid w:val="00636BDD"/>
    <w:rsid w:val="00637283"/>
    <w:rsid w:val="00641515"/>
    <w:rsid w:val="006416AA"/>
    <w:rsid w:val="006433B6"/>
    <w:rsid w:val="00644162"/>
    <w:rsid w:val="00646011"/>
    <w:rsid w:val="00651FF9"/>
    <w:rsid w:val="006521DF"/>
    <w:rsid w:val="0065260B"/>
    <w:rsid w:val="00654C2F"/>
    <w:rsid w:val="00657087"/>
    <w:rsid w:val="006571FB"/>
    <w:rsid w:val="00660FCD"/>
    <w:rsid w:val="00661881"/>
    <w:rsid w:val="00661CD6"/>
    <w:rsid w:val="00661F93"/>
    <w:rsid w:val="006639DB"/>
    <w:rsid w:val="00664D55"/>
    <w:rsid w:val="00665098"/>
    <w:rsid w:val="006661EF"/>
    <w:rsid w:val="00666DF9"/>
    <w:rsid w:val="0066765C"/>
    <w:rsid w:val="00672361"/>
    <w:rsid w:val="00672644"/>
    <w:rsid w:val="00672701"/>
    <w:rsid w:val="00672750"/>
    <w:rsid w:val="00672CAB"/>
    <w:rsid w:val="00672CB0"/>
    <w:rsid w:val="00674EA1"/>
    <w:rsid w:val="00676EC8"/>
    <w:rsid w:val="006774C3"/>
    <w:rsid w:val="00677AEB"/>
    <w:rsid w:val="00677D63"/>
    <w:rsid w:val="00680EF2"/>
    <w:rsid w:val="00681993"/>
    <w:rsid w:val="006825C1"/>
    <w:rsid w:val="006866E7"/>
    <w:rsid w:val="00687A1D"/>
    <w:rsid w:val="00690A51"/>
    <w:rsid w:val="00690E15"/>
    <w:rsid w:val="00691B0C"/>
    <w:rsid w:val="0069210D"/>
    <w:rsid w:val="00693054"/>
    <w:rsid w:val="00697184"/>
    <w:rsid w:val="00697D91"/>
    <w:rsid w:val="00697EA1"/>
    <w:rsid w:val="006A051A"/>
    <w:rsid w:val="006A09B9"/>
    <w:rsid w:val="006A0D4A"/>
    <w:rsid w:val="006A19B1"/>
    <w:rsid w:val="006A1D07"/>
    <w:rsid w:val="006A2646"/>
    <w:rsid w:val="006A2F55"/>
    <w:rsid w:val="006A3DDF"/>
    <w:rsid w:val="006A62CD"/>
    <w:rsid w:val="006A6530"/>
    <w:rsid w:val="006A6BCE"/>
    <w:rsid w:val="006A79F7"/>
    <w:rsid w:val="006A7C6D"/>
    <w:rsid w:val="006A7F5F"/>
    <w:rsid w:val="006B1BC0"/>
    <w:rsid w:val="006B2BBD"/>
    <w:rsid w:val="006B315C"/>
    <w:rsid w:val="006B3B1A"/>
    <w:rsid w:val="006B435A"/>
    <w:rsid w:val="006B4C64"/>
    <w:rsid w:val="006B4E08"/>
    <w:rsid w:val="006B7012"/>
    <w:rsid w:val="006C0048"/>
    <w:rsid w:val="006C0A18"/>
    <w:rsid w:val="006C2128"/>
    <w:rsid w:val="006C24C6"/>
    <w:rsid w:val="006C36EC"/>
    <w:rsid w:val="006C412A"/>
    <w:rsid w:val="006C47EF"/>
    <w:rsid w:val="006C5193"/>
    <w:rsid w:val="006D178B"/>
    <w:rsid w:val="006D20D5"/>
    <w:rsid w:val="006D6BD5"/>
    <w:rsid w:val="006D6C90"/>
    <w:rsid w:val="006D7B0C"/>
    <w:rsid w:val="006E0795"/>
    <w:rsid w:val="006E22FB"/>
    <w:rsid w:val="006E2DB6"/>
    <w:rsid w:val="006E2EC9"/>
    <w:rsid w:val="006E2F7D"/>
    <w:rsid w:val="006E481A"/>
    <w:rsid w:val="006E4B4C"/>
    <w:rsid w:val="006E4CF6"/>
    <w:rsid w:val="006E5298"/>
    <w:rsid w:val="006E64EF"/>
    <w:rsid w:val="006F14F2"/>
    <w:rsid w:val="006F2DFE"/>
    <w:rsid w:val="006F36B6"/>
    <w:rsid w:val="006F4A78"/>
    <w:rsid w:val="006F5865"/>
    <w:rsid w:val="006F734A"/>
    <w:rsid w:val="00700D83"/>
    <w:rsid w:val="007010DE"/>
    <w:rsid w:val="0070256F"/>
    <w:rsid w:val="00703F66"/>
    <w:rsid w:val="0070428F"/>
    <w:rsid w:val="0070456D"/>
    <w:rsid w:val="00704852"/>
    <w:rsid w:val="007074E9"/>
    <w:rsid w:val="00710148"/>
    <w:rsid w:val="007113A3"/>
    <w:rsid w:val="007138AC"/>
    <w:rsid w:val="00713DA4"/>
    <w:rsid w:val="00714BF1"/>
    <w:rsid w:val="007152C9"/>
    <w:rsid w:val="00716C0C"/>
    <w:rsid w:val="00717595"/>
    <w:rsid w:val="00717EAD"/>
    <w:rsid w:val="00721383"/>
    <w:rsid w:val="007226C6"/>
    <w:rsid w:val="007235E2"/>
    <w:rsid w:val="00723A7F"/>
    <w:rsid w:val="00723A85"/>
    <w:rsid w:val="00725F65"/>
    <w:rsid w:val="00726528"/>
    <w:rsid w:val="00726CC2"/>
    <w:rsid w:val="0073158B"/>
    <w:rsid w:val="00732838"/>
    <w:rsid w:val="007333CC"/>
    <w:rsid w:val="0073399A"/>
    <w:rsid w:val="007353D7"/>
    <w:rsid w:val="00736AF1"/>
    <w:rsid w:val="00737955"/>
    <w:rsid w:val="00740DAD"/>
    <w:rsid w:val="00742085"/>
    <w:rsid w:val="007434F8"/>
    <w:rsid w:val="007452F0"/>
    <w:rsid w:val="0074692B"/>
    <w:rsid w:val="00750ADC"/>
    <w:rsid w:val="00752129"/>
    <w:rsid w:val="00752610"/>
    <w:rsid w:val="00755234"/>
    <w:rsid w:val="007571F2"/>
    <w:rsid w:val="007578AF"/>
    <w:rsid w:val="007603F5"/>
    <w:rsid w:val="00761637"/>
    <w:rsid w:val="00764DB0"/>
    <w:rsid w:val="00764EA5"/>
    <w:rsid w:val="00766EEF"/>
    <w:rsid w:val="00766F06"/>
    <w:rsid w:val="0076736D"/>
    <w:rsid w:val="0076764D"/>
    <w:rsid w:val="00767807"/>
    <w:rsid w:val="007706DC"/>
    <w:rsid w:val="007713D9"/>
    <w:rsid w:val="007718A4"/>
    <w:rsid w:val="00771D99"/>
    <w:rsid w:val="00773485"/>
    <w:rsid w:val="0077498C"/>
    <w:rsid w:val="007766D2"/>
    <w:rsid w:val="007809BC"/>
    <w:rsid w:val="00780AFE"/>
    <w:rsid w:val="0078108A"/>
    <w:rsid w:val="00781916"/>
    <w:rsid w:val="00781EF6"/>
    <w:rsid w:val="007822B0"/>
    <w:rsid w:val="00782383"/>
    <w:rsid w:val="007836FD"/>
    <w:rsid w:val="00784128"/>
    <w:rsid w:val="00784358"/>
    <w:rsid w:val="00787BCC"/>
    <w:rsid w:val="00792070"/>
    <w:rsid w:val="00793173"/>
    <w:rsid w:val="0079490A"/>
    <w:rsid w:val="007A0DC0"/>
    <w:rsid w:val="007A1CC3"/>
    <w:rsid w:val="007A2A33"/>
    <w:rsid w:val="007A55CF"/>
    <w:rsid w:val="007A589F"/>
    <w:rsid w:val="007A5F6C"/>
    <w:rsid w:val="007A635B"/>
    <w:rsid w:val="007A7C76"/>
    <w:rsid w:val="007B0445"/>
    <w:rsid w:val="007B25A9"/>
    <w:rsid w:val="007B27B4"/>
    <w:rsid w:val="007B290A"/>
    <w:rsid w:val="007B2B57"/>
    <w:rsid w:val="007B2EDE"/>
    <w:rsid w:val="007B33D3"/>
    <w:rsid w:val="007B33F4"/>
    <w:rsid w:val="007B483F"/>
    <w:rsid w:val="007B5462"/>
    <w:rsid w:val="007B5C89"/>
    <w:rsid w:val="007B7FD0"/>
    <w:rsid w:val="007C1FCC"/>
    <w:rsid w:val="007C2582"/>
    <w:rsid w:val="007C29A4"/>
    <w:rsid w:val="007C2E2E"/>
    <w:rsid w:val="007C4B80"/>
    <w:rsid w:val="007C57A1"/>
    <w:rsid w:val="007C6201"/>
    <w:rsid w:val="007C6232"/>
    <w:rsid w:val="007C6A30"/>
    <w:rsid w:val="007D14E8"/>
    <w:rsid w:val="007D1A3F"/>
    <w:rsid w:val="007D2A74"/>
    <w:rsid w:val="007D38CB"/>
    <w:rsid w:val="007D4213"/>
    <w:rsid w:val="007D5486"/>
    <w:rsid w:val="007D568D"/>
    <w:rsid w:val="007D6C70"/>
    <w:rsid w:val="007D7802"/>
    <w:rsid w:val="007D7C92"/>
    <w:rsid w:val="007E0610"/>
    <w:rsid w:val="007E1154"/>
    <w:rsid w:val="007E2EF9"/>
    <w:rsid w:val="007E49AD"/>
    <w:rsid w:val="007E5F95"/>
    <w:rsid w:val="007E5FCF"/>
    <w:rsid w:val="007E6BA4"/>
    <w:rsid w:val="007E7FAF"/>
    <w:rsid w:val="007F299E"/>
    <w:rsid w:val="007F2F0C"/>
    <w:rsid w:val="007F41F8"/>
    <w:rsid w:val="007F57C1"/>
    <w:rsid w:val="007F659B"/>
    <w:rsid w:val="0080046D"/>
    <w:rsid w:val="00801A74"/>
    <w:rsid w:val="00801B68"/>
    <w:rsid w:val="008029B6"/>
    <w:rsid w:val="00802DB8"/>
    <w:rsid w:val="00803176"/>
    <w:rsid w:val="00803728"/>
    <w:rsid w:val="0080454E"/>
    <w:rsid w:val="00804C32"/>
    <w:rsid w:val="00806302"/>
    <w:rsid w:val="008065CE"/>
    <w:rsid w:val="0080691F"/>
    <w:rsid w:val="00806ABF"/>
    <w:rsid w:val="00807119"/>
    <w:rsid w:val="0080796F"/>
    <w:rsid w:val="008102A3"/>
    <w:rsid w:val="00811DC4"/>
    <w:rsid w:val="008125F0"/>
    <w:rsid w:val="00813AF3"/>
    <w:rsid w:val="00814F76"/>
    <w:rsid w:val="00814FB4"/>
    <w:rsid w:val="00815478"/>
    <w:rsid w:val="00815722"/>
    <w:rsid w:val="00815AEC"/>
    <w:rsid w:val="00817D63"/>
    <w:rsid w:val="00820CF2"/>
    <w:rsid w:val="0082483F"/>
    <w:rsid w:val="0082596A"/>
    <w:rsid w:val="008259A7"/>
    <w:rsid w:val="00825EC4"/>
    <w:rsid w:val="008279C0"/>
    <w:rsid w:val="0083026B"/>
    <w:rsid w:val="00832AAF"/>
    <w:rsid w:val="008334A8"/>
    <w:rsid w:val="00833515"/>
    <w:rsid w:val="008336D9"/>
    <w:rsid w:val="00834FC1"/>
    <w:rsid w:val="0083701F"/>
    <w:rsid w:val="008404D0"/>
    <w:rsid w:val="008412B8"/>
    <w:rsid w:val="00841775"/>
    <w:rsid w:val="00843626"/>
    <w:rsid w:val="00843C79"/>
    <w:rsid w:val="00843E87"/>
    <w:rsid w:val="00845651"/>
    <w:rsid w:val="00845D9D"/>
    <w:rsid w:val="00846D9A"/>
    <w:rsid w:val="00847A31"/>
    <w:rsid w:val="00847A92"/>
    <w:rsid w:val="00851177"/>
    <w:rsid w:val="008517F5"/>
    <w:rsid w:val="0085275E"/>
    <w:rsid w:val="0085534B"/>
    <w:rsid w:val="00856FFD"/>
    <w:rsid w:val="008576BC"/>
    <w:rsid w:val="00860153"/>
    <w:rsid w:val="0086136B"/>
    <w:rsid w:val="00862D92"/>
    <w:rsid w:val="00864C32"/>
    <w:rsid w:val="00864EFB"/>
    <w:rsid w:val="008657FC"/>
    <w:rsid w:val="00867701"/>
    <w:rsid w:val="00867F8B"/>
    <w:rsid w:val="008723F3"/>
    <w:rsid w:val="00872541"/>
    <w:rsid w:val="008737A2"/>
    <w:rsid w:val="00876E35"/>
    <w:rsid w:val="00876F56"/>
    <w:rsid w:val="00877829"/>
    <w:rsid w:val="00881DE6"/>
    <w:rsid w:val="008834AD"/>
    <w:rsid w:val="008836AB"/>
    <w:rsid w:val="008837A6"/>
    <w:rsid w:val="00883A39"/>
    <w:rsid w:val="0088472C"/>
    <w:rsid w:val="00887E34"/>
    <w:rsid w:val="008909C3"/>
    <w:rsid w:val="0089145D"/>
    <w:rsid w:val="008931C1"/>
    <w:rsid w:val="00896328"/>
    <w:rsid w:val="008970FE"/>
    <w:rsid w:val="008A067C"/>
    <w:rsid w:val="008A119A"/>
    <w:rsid w:val="008A1663"/>
    <w:rsid w:val="008A4DF2"/>
    <w:rsid w:val="008A619E"/>
    <w:rsid w:val="008A6CFE"/>
    <w:rsid w:val="008A716B"/>
    <w:rsid w:val="008A761E"/>
    <w:rsid w:val="008B0178"/>
    <w:rsid w:val="008B0EF9"/>
    <w:rsid w:val="008B222B"/>
    <w:rsid w:val="008B22A8"/>
    <w:rsid w:val="008B3227"/>
    <w:rsid w:val="008B3459"/>
    <w:rsid w:val="008B4700"/>
    <w:rsid w:val="008B5333"/>
    <w:rsid w:val="008B6223"/>
    <w:rsid w:val="008B6547"/>
    <w:rsid w:val="008B6B10"/>
    <w:rsid w:val="008B7732"/>
    <w:rsid w:val="008C0124"/>
    <w:rsid w:val="008C0297"/>
    <w:rsid w:val="008C0323"/>
    <w:rsid w:val="008C1932"/>
    <w:rsid w:val="008C1FB3"/>
    <w:rsid w:val="008C5579"/>
    <w:rsid w:val="008C57CB"/>
    <w:rsid w:val="008C5C8E"/>
    <w:rsid w:val="008C66E0"/>
    <w:rsid w:val="008C6F13"/>
    <w:rsid w:val="008D010A"/>
    <w:rsid w:val="008D215F"/>
    <w:rsid w:val="008D21E6"/>
    <w:rsid w:val="008D3627"/>
    <w:rsid w:val="008D4C1A"/>
    <w:rsid w:val="008E1B95"/>
    <w:rsid w:val="008E2FA5"/>
    <w:rsid w:val="008E3339"/>
    <w:rsid w:val="008E333A"/>
    <w:rsid w:val="008E3696"/>
    <w:rsid w:val="008E4F8D"/>
    <w:rsid w:val="008E58B7"/>
    <w:rsid w:val="008E6A25"/>
    <w:rsid w:val="008E73F9"/>
    <w:rsid w:val="008F0316"/>
    <w:rsid w:val="008F13E4"/>
    <w:rsid w:val="008F1E83"/>
    <w:rsid w:val="008F20FC"/>
    <w:rsid w:val="008F5A07"/>
    <w:rsid w:val="008F5FFE"/>
    <w:rsid w:val="008F6563"/>
    <w:rsid w:val="008F6B8D"/>
    <w:rsid w:val="008F6CCD"/>
    <w:rsid w:val="008F7401"/>
    <w:rsid w:val="008F740C"/>
    <w:rsid w:val="008F7FB0"/>
    <w:rsid w:val="00900505"/>
    <w:rsid w:val="00900EEE"/>
    <w:rsid w:val="009012B1"/>
    <w:rsid w:val="00901386"/>
    <w:rsid w:val="009025DF"/>
    <w:rsid w:val="00902C21"/>
    <w:rsid w:val="00903504"/>
    <w:rsid w:val="009049C2"/>
    <w:rsid w:val="009054F2"/>
    <w:rsid w:val="00905A43"/>
    <w:rsid w:val="009113FD"/>
    <w:rsid w:val="00911F67"/>
    <w:rsid w:val="0091282F"/>
    <w:rsid w:val="00912C79"/>
    <w:rsid w:val="0091640B"/>
    <w:rsid w:val="00917C06"/>
    <w:rsid w:val="00920346"/>
    <w:rsid w:val="00921B8C"/>
    <w:rsid w:val="00921DE3"/>
    <w:rsid w:val="00923188"/>
    <w:rsid w:val="009235D9"/>
    <w:rsid w:val="00923A6D"/>
    <w:rsid w:val="00923DAE"/>
    <w:rsid w:val="009256C6"/>
    <w:rsid w:val="00927204"/>
    <w:rsid w:val="00927A02"/>
    <w:rsid w:val="00930C3A"/>
    <w:rsid w:val="00930EA0"/>
    <w:rsid w:val="0093237C"/>
    <w:rsid w:val="0093444A"/>
    <w:rsid w:val="00936614"/>
    <w:rsid w:val="00937258"/>
    <w:rsid w:val="00937670"/>
    <w:rsid w:val="00940EF1"/>
    <w:rsid w:val="0094121D"/>
    <w:rsid w:val="00941285"/>
    <w:rsid w:val="0094156A"/>
    <w:rsid w:val="00942123"/>
    <w:rsid w:val="00943905"/>
    <w:rsid w:val="009439C3"/>
    <w:rsid w:val="00944D9A"/>
    <w:rsid w:val="00946A25"/>
    <w:rsid w:val="00947B11"/>
    <w:rsid w:val="0095207B"/>
    <w:rsid w:val="0095665C"/>
    <w:rsid w:val="00960163"/>
    <w:rsid w:val="00962045"/>
    <w:rsid w:val="00962824"/>
    <w:rsid w:val="00962E41"/>
    <w:rsid w:val="0096474D"/>
    <w:rsid w:val="009654F1"/>
    <w:rsid w:val="00966035"/>
    <w:rsid w:val="00967B37"/>
    <w:rsid w:val="00970294"/>
    <w:rsid w:val="00973790"/>
    <w:rsid w:val="00974035"/>
    <w:rsid w:val="00977186"/>
    <w:rsid w:val="00980757"/>
    <w:rsid w:val="00980E61"/>
    <w:rsid w:val="00980E71"/>
    <w:rsid w:val="00981AFD"/>
    <w:rsid w:val="0098265A"/>
    <w:rsid w:val="00982FE9"/>
    <w:rsid w:val="0098454A"/>
    <w:rsid w:val="009859BA"/>
    <w:rsid w:val="0098619E"/>
    <w:rsid w:val="0098639F"/>
    <w:rsid w:val="0098646A"/>
    <w:rsid w:val="00990AFF"/>
    <w:rsid w:val="00991428"/>
    <w:rsid w:val="00992676"/>
    <w:rsid w:val="00992E28"/>
    <w:rsid w:val="009939B5"/>
    <w:rsid w:val="009945E2"/>
    <w:rsid w:val="009954B2"/>
    <w:rsid w:val="00996691"/>
    <w:rsid w:val="00997D14"/>
    <w:rsid w:val="009A0BFA"/>
    <w:rsid w:val="009A2BA0"/>
    <w:rsid w:val="009A34E2"/>
    <w:rsid w:val="009A3AB7"/>
    <w:rsid w:val="009A5C6D"/>
    <w:rsid w:val="009A5E2E"/>
    <w:rsid w:val="009A614F"/>
    <w:rsid w:val="009A6BB0"/>
    <w:rsid w:val="009A6FA2"/>
    <w:rsid w:val="009B04E6"/>
    <w:rsid w:val="009B0723"/>
    <w:rsid w:val="009B07AD"/>
    <w:rsid w:val="009B0883"/>
    <w:rsid w:val="009B11D0"/>
    <w:rsid w:val="009B15E2"/>
    <w:rsid w:val="009B23AC"/>
    <w:rsid w:val="009B2F14"/>
    <w:rsid w:val="009B4976"/>
    <w:rsid w:val="009B57F2"/>
    <w:rsid w:val="009B797F"/>
    <w:rsid w:val="009C08CF"/>
    <w:rsid w:val="009C0B8E"/>
    <w:rsid w:val="009C19D9"/>
    <w:rsid w:val="009C1BC8"/>
    <w:rsid w:val="009C2442"/>
    <w:rsid w:val="009C2D45"/>
    <w:rsid w:val="009C4784"/>
    <w:rsid w:val="009C5EA8"/>
    <w:rsid w:val="009C66C7"/>
    <w:rsid w:val="009D0811"/>
    <w:rsid w:val="009D0EE1"/>
    <w:rsid w:val="009D1A35"/>
    <w:rsid w:val="009D24C3"/>
    <w:rsid w:val="009D2DCC"/>
    <w:rsid w:val="009D303C"/>
    <w:rsid w:val="009D478A"/>
    <w:rsid w:val="009D4808"/>
    <w:rsid w:val="009D4C35"/>
    <w:rsid w:val="009D4E2C"/>
    <w:rsid w:val="009E0225"/>
    <w:rsid w:val="009E116E"/>
    <w:rsid w:val="009E17E9"/>
    <w:rsid w:val="009E28A3"/>
    <w:rsid w:val="009E2AEB"/>
    <w:rsid w:val="009E2DFD"/>
    <w:rsid w:val="009E2E27"/>
    <w:rsid w:val="009E3154"/>
    <w:rsid w:val="009E3F08"/>
    <w:rsid w:val="009E3F71"/>
    <w:rsid w:val="009E433E"/>
    <w:rsid w:val="009E45DF"/>
    <w:rsid w:val="009E4DE3"/>
    <w:rsid w:val="009E5C5D"/>
    <w:rsid w:val="009E609A"/>
    <w:rsid w:val="009E75F7"/>
    <w:rsid w:val="009F0D1E"/>
    <w:rsid w:val="009F15AF"/>
    <w:rsid w:val="009F275E"/>
    <w:rsid w:val="009F7387"/>
    <w:rsid w:val="00A02EBD"/>
    <w:rsid w:val="00A034CC"/>
    <w:rsid w:val="00A047EE"/>
    <w:rsid w:val="00A04DE5"/>
    <w:rsid w:val="00A0712C"/>
    <w:rsid w:val="00A07A33"/>
    <w:rsid w:val="00A07CC0"/>
    <w:rsid w:val="00A10AFA"/>
    <w:rsid w:val="00A11403"/>
    <w:rsid w:val="00A1310B"/>
    <w:rsid w:val="00A1315B"/>
    <w:rsid w:val="00A205BF"/>
    <w:rsid w:val="00A20FE8"/>
    <w:rsid w:val="00A215A3"/>
    <w:rsid w:val="00A2274A"/>
    <w:rsid w:val="00A235B7"/>
    <w:rsid w:val="00A24B73"/>
    <w:rsid w:val="00A27A7A"/>
    <w:rsid w:val="00A3078F"/>
    <w:rsid w:val="00A32FDB"/>
    <w:rsid w:val="00A33601"/>
    <w:rsid w:val="00A339C4"/>
    <w:rsid w:val="00A34ABE"/>
    <w:rsid w:val="00A35298"/>
    <w:rsid w:val="00A37B90"/>
    <w:rsid w:val="00A37D5D"/>
    <w:rsid w:val="00A407EF"/>
    <w:rsid w:val="00A411E9"/>
    <w:rsid w:val="00A4477B"/>
    <w:rsid w:val="00A46B4C"/>
    <w:rsid w:val="00A5117B"/>
    <w:rsid w:val="00A5162B"/>
    <w:rsid w:val="00A51670"/>
    <w:rsid w:val="00A52262"/>
    <w:rsid w:val="00A539BE"/>
    <w:rsid w:val="00A5415F"/>
    <w:rsid w:val="00A54FC0"/>
    <w:rsid w:val="00A55A59"/>
    <w:rsid w:val="00A562DE"/>
    <w:rsid w:val="00A56D34"/>
    <w:rsid w:val="00A57031"/>
    <w:rsid w:val="00A60074"/>
    <w:rsid w:val="00A618D4"/>
    <w:rsid w:val="00A64D9C"/>
    <w:rsid w:val="00A6627C"/>
    <w:rsid w:val="00A708B4"/>
    <w:rsid w:val="00A71019"/>
    <w:rsid w:val="00A72674"/>
    <w:rsid w:val="00A72BA0"/>
    <w:rsid w:val="00A77733"/>
    <w:rsid w:val="00A8014D"/>
    <w:rsid w:val="00A81029"/>
    <w:rsid w:val="00A81498"/>
    <w:rsid w:val="00A830E0"/>
    <w:rsid w:val="00A845F5"/>
    <w:rsid w:val="00A85888"/>
    <w:rsid w:val="00A86B06"/>
    <w:rsid w:val="00A87384"/>
    <w:rsid w:val="00A96489"/>
    <w:rsid w:val="00A97747"/>
    <w:rsid w:val="00AA1178"/>
    <w:rsid w:val="00AA46E2"/>
    <w:rsid w:val="00AA5E39"/>
    <w:rsid w:val="00AA61D4"/>
    <w:rsid w:val="00AA64BB"/>
    <w:rsid w:val="00AA76E5"/>
    <w:rsid w:val="00AB09DC"/>
    <w:rsid w:val="00AB165E"/>
    <w:rsid w:val="00AB1E83"/>
    <w:rsid w:val="00AB22B9"/>
    <w:rsid w:val="00AB2425"/>
    <w:rsid w:val="00AB3623"/>
    <w:rsid w:val="00AB3A5D"/>
    <w:rsid w:val="00AB3AE5"/>
    <w:rsid w:val="00AB469F"/>
    <w:rsid w:val="00AB4A53"/>
    <w:rsid w:val="00AB541C"/>
    <w:rsid w:val="00AB5A66"/>
    <w:rsid w:val="00AB685C"/>
    <w:rsid w:val="00AB6C2D"/>
    <w:rsid w:val="00AB78D0"/>
    <w:rsid w:val="00AC083C"/>
    <w:rsid w:val="00AC08F7"/>
    <w:rsid w:val="00AC17DF"/>
    <w:rsid w:val="00AC2023"/>
    <w:rsid w:val="00AC2A2C"/>
    <w:rsid w:val="00AC3839"/>
    <w:rsid w:val="00AC484A"/>
    <w:rsid w:val="00AC7082"/>
    <w:rsid w:val="00AC7753"/>
    <w:rsid w:val="00AC7DA1"/>
    <w:rsid w:val="00AD08CF"/>
    <w:rsid w:val="00AD1DC6"/>
    <w:rsid w:val="00AD25E9"/>
    <w:rsid w:val="00AD2F70"/>
    <w:rsid w:val="00AD3E1C"/>
    <w:rsid w:val="00AD4BE8"/>
    <w:rsid w:val="00AD6B0B"/>
    <w:rsid w:val="00AE1138"/>
    <w:rsid w:val="00AE14D0"/>
    <w:rsid w:val="00AE3EE5"/>
    <w:rsid w:val="00AE4B69"/>
    <w:rsid w:val="00AF228E"/>
    <w:rsid w:val="00AF2D54"/>
    <w:rsid w:val="00AF5C84"/>
    <w:rsid w:val="00AF64CA"/>
    <w:rsid w:val="00AF69E4"/>
    <w:rsid w:val="00B011B4"/>
    <w:rsid w:val="00B016A8"/>
    <w:rsid w:val="00B01CA5"/>
    <w:rsid w:val="00B0556E"/>
    <w:rsid w:val="00B06CE1"/>
    <w:rsid w:val="00B077A6"/>
    <w:rsid w:val="00B11448"/>
    <w:rsid w:val="00B14819"/>
    <w:rsid w:val="00B14BCF"/>
    <w:rsid w:val="00B153D5"/>
    <w:rsid w:val="00B15E2F"/>
    <w:rsid w:val="00B16974"/>
    <w:rsid w:val="00B17AA9"/>
    <w:rsid w:val="00B200E6"/>
    <w:rsid w:val="00B217B2"/>
    <w:rsid w:val="00B219A4"/>
    <w:rsid w:val="00B22593"/>
    <w:rsid w:val="00B22A19"/>
    <w:rsid w:val="00B23FEE"/>
    <w:rsid w:val="00B24514"/>
    <w:rsid w:val="00B24DB4"/>
    <w:rsid w:val="00B24E50"/>
    <w:rsid w:val="00B260B2"/>
    <w:rsid w:val="00B260BD"/>
    <w:rsid w:val="00B26C40"/>
    <w:rsid w:val="00B31D39"/>
    <w:rsid w:val="00B3310E"/>
    <w:rsid w:val="00B352C0"/>
    <w:rsid w:val="00B40429"/>
    <w:rsid w:val="00B40A71"/>
    <w:rsid w:val="00B41C3C"/>
    <w:rsid w:val="00B42AFC"/>
    <w:rsid w:val="00B4331C"/>
    <w:rsid w:val="00B44713"/>
    <w:rsid w:val="00B466B2"/>
    <w:rsid w:val="00B50615"/>
    <w:rsid w:val="00B51B95"/>
    <w:rsid w:val="00B53117"/>
    <w:rsid w:val="00B54316"/>
    <w:rsid w:val="00B54DB9"/>
    <w:rsid w:val="00B5524B"/>
    <w:rsid w:val="00B553EE"/>
    <w:rsid w:val="00B55FDD"/>
    <w:rsid w:val="00B56103"/>
    <w:rsid w:val="00B56DAD"/>
    <w:rsid w:val="00B57222"/>
    <w:rsid w:val="00B57529"/>
    <w:rsid w:val="00B57930"/>
    <w:rsid w:val="00B616E8"/>
    <w:rsid w:val="00B6183B"/>
    <w:rsid w:val="00B62853"/>
    <w:rsid w:val="00B635F6"/>
    <w:rsid w:val="00B63AE5"/>
    <w:rsid w:val="00B64929"/>
    <w:rsid w:val="00B649E2"/>
    <w:rsid w:val="00B6547E"/>
    <w:rsid w:val="00B6751E"/>
    <w:rsid w:val="00B70BCC"/>
    <w:rsid w:val="00B71F76"/>
    <w:rsid w:val="00B736DF"/>
    <w:rsid w:val="00B73A83"/>
    <w:rsid w:val="00B743D6"/>
    <w:rsid w:val="00B74FBD"/>
    <w:rsid w:val="00B769EA"/>
    <w:rsid w:val="00B7757F"/>
    <w:rsid w:val="00B77F46"/>
    <w:rsid w:val="00B806A8"/>
    <w:rsid w:val="00B80951"/>
    <w:rsid w:val="00B82575"/>
    <w:rsid w:val="00B82586"/>
    <w:rsid w:val="00B829A3"/>
    <w:rsid w:val="00B82DAC"/>
    <w:rsid w:val="00B8424F"/>
    <w:rsid w:val="00B85344"/>
    <w:rsid w:val="00B86DB1"/>
    <w:rsid w:val="00B8705D"/>
    <w:rsid w:val="00B87869"/>
    <w:rsid w:val="00B87B4B"/>
    <w:rsid w:val="00B9109D"/>
    <w:rsid w:val="00B94D47"/>
    <w:rsid w:val="00B955C0"/>
    <w:rsid w:val="00B95903"/>
    <w:rsid w:val="00B9639B"/>
    <w:rsid w:val="00BA012B"/>
    <w:rsid w:val="00BA1DB6"/>
    <w:rsid w:val="00BA45D2"/>
    <w:rsid w:val="00BA4695"/>
    <w:rsid w:val="00BA4849"/>
    <w:rsid w:val="00BA5301"/>
    <w:rsid w:val="00BA72F0"/>
    <w:rsid w:val="00BA7364"/>
    <w:rsid w:val="00BA786B"/>
    <w:rsid w:val="00BB043A"/>
    <w:rsid w:val="00BB0F2B"/>
    <w:rsid w:val="00BB3CBC"/>
    <w:rsid w:val="00BB639D"/>
    <w:rsid w:val="00BB7030"/>
    <w:rsid w:val="00BC161A"/>
    <w:rsid w:val="00BC24A9"/>
    <w:rsid w:val="00BC3366"/>
    <w:rsid w:val="00BC37C8"/>
    <w:rsid w:val="00BC3FAD"/>
    <w:rsid w:val="00BC44DC"/>
    <w:rsid w:val="00BC6EDA"/>
    <w:rsid w:val="00BD04A5"/>
    <w:rsid w:val="00BD0DA6"/>
    <w:rsid w:val="00BD1E62"/>
    <w:rsid w:val="00BD517C"/>
    <w:rsid w:val="00BD6C29"/>
    <w:rsid w:val="00BD6E97"/>
    <w:rsid w:val="00BE1A9E"/>
    <w:rsid w:val="00BE325E"/>
    <w:rsid w:val="00BE4211"/>
    <w:rsid w:val="00BE492F"/>
    <w:rsid w:val="00BE4FF3"/>
    <w:rsid w:val="00BE55DE"/>
    <w:rsid w:val="00BE6621"/>
    <w:rsid w:val="00BE6F45"/>
    <w:rsid w:val="00BF0D04"/>
    <w:rsid w:val="00BF1B96"/>
    <w:rsid w:val="00BF22F2"/>
    <w:rsid w:val="00BF2A2F"/>
    <w:rsid w:val="00BF4A27"/>
    <w:rsid w:val="00BF4C0B"/>
    <w:rsid w:val="00BF4F6E"/>
    <w:rsid w:val="00BF50F7"/>
    <w:rsid w:val="00BF5403"/>
    <w:rsid w:val="00BF609D"/>
    <w:rsid w:val="00BF69B7"/>
    <w:rsid w:val="00C0111D"/>
    <w:rsid w:val="00C019FD"/>
    <w:rsid w:val="00C01EB2"/>
    <w:rsid w:val="00C02F29"/>
    <w:rsid w:val="00C05DAE"/>
    <w:rsid w:val="00C11242"/>
    <w:rsid w:val="00C113EA"/>
    <w:rsid w:val="00C133A4"/>
    <w:rsid w:val="00C1375E"/>
    <w:rsid w:val="00C14D87"/>
    <w:rsid w:val="00C1508F"/>
    <w:rsid w:val="00C157C6"/>
    <w:rsid w:val="00C17718"/>
    <w:rsid w:val="00C2092B"/>
    <w:rsid w:val="00C20AFE"/>
    <w:rsid w:val="00C218B8"/>
    <w:rsid w:val="00C22A25"/>
    <w:rsid w:val="00C23529"/>
    <w:rsid w:val="00C235D2"/>
    <w:rsid w:val="00C25FD6"/>
    <w:rsid w:val="00C267A5"/>
    <w:rsid w:val="00C26BB2"/>
    <w:rsid w:val="00C30B14"/>
    <w:rsid w:val="00C31C0F"/>
    <w:rsid w:val="00C332F9"/>
    <w:rsid w:val="00C33F87"/>
    <w:rsid w:val="00C35671"/>
    <w:rsid w:val="00C35B77"/>
    <w:rsid w:val="00C373F5"/>
    <w:rsid w:val="00C376EB"/>
    <w:rsid w:val="00C37DA4"/>
    <w:rsid w:val="00C41715"/>
    <w:rsid w:val="00C42523"/>
    <w:rsid w:val="00C42DC5"/>
    <w:rsid w:val="00C446C8"/>
    <w:rsid w:val="00C46800"/>
    <w:rsid w:val="00C46A92"/>
    <w:rsid w:val="00C46EC1"/>
    <w:rsid w:val="00C523DF"/>
    <w:rsid w:val="00C52796"/>
    <w:rsid w:val="00C53E2C"/>
    <w:rsid w:val="00C54050"/>
    <w:rsid w:val="00C550C8"/>
    <w:rsid w:val="00C55824"/>
    <w:rsid w:val="00C56B61"/>
    <w:rsid w:val="00C57F80"/>
    <w:rsid w:val="00C606C3"/>
    <w:rsid w:val="00C61DE4"/>
    <w:rsid w:val="00C620F4"/>
    <w:rsid w:val="00C62523"/>
    <w:rsid w:val="00C633EF"/>
    <w:rsid w:val="00C64189"/>
    <w:rsid w:val="00C72584"/>
    <w:rsid w:val="00C72848"/>
    <w:rsid w:val="00C7353A"/>
    <w:rsid w:val="00C74B0D"/>
    <w:rsid w:val="00C74DE2"/>
    <w:rsid w:val="00C7574D"/>
    <w:rsid w:val="00C75A2D"/>
    <w:rsid w:val="00C7736C"/>
    <w:rsid w:val="00C80233"/>
    <w:rsid w:val="00C80359"/>
    <w:rsid w:val="00C818EC"/>
    <w:rsid w:val="00C8256C"/>
    <w:rsid w:val="00C827AE"/>
    <w:rsid w:val="00C82B6D"/>
    <w:rsid w:val="00C82D87"/>
    <w:rsid w:val="00C83A20"/>
    <w:rsid w:val="00C8712A"/>
    <w:rsid w:val="00C87E52"/>
    <w:rsid w:val="00C902C8"/>
    <w:rsid w:val="00C908B7"/>
    <w:rsid w:val="00C90A60"/>
    <w:rsid w:val="00C90CA7"/>
    <w:rsid w:val="00C9193C"/>
    <w:rsid w:val="00C919D1"/>
    <w:rsid w:val="00C92E5F"/>
    <w:rsid w:val="00C96095"/>
    <w:rsid w:val="00C963D3"/>
    <w:rsid w:val="00C96EEC"/>
    <w:rsid w:val="00C97AA6"/>
    <w:rsid w:val="00CA2D16"/>
    <w:rsid w:val="00CA3337"/>
    <w:rsid w:val="00CA373B"/>
    <w:rsid w:val="00CA76DF"/>
    <w:rsid w:val="00CB1983"/>
    <w:rsid w:val="00CB2CBB"/>
    <w:rsid w:val="00CB4611"/>
    <w:rsid w:val="00CB4B2E"/>
    <w:rsid w:val="00CB6FB3"/>
    <w:rsid w:val="00CB7CAC"/>
    <w:rsid w:val="00CC0780"/>
    <w:rsid w:val="00CC3534"/>
    <w:rsid w:val="00CC51E4"/>
    <w:rsid w:val="00CC5335"/>
    <w:rsid w:val="00CC5BA4"/>
    <w:rsid w:val="00CC63E9"/>
    <w:rsid w:val="00CC70C3"/>
    <w:rsid w:val="00CD003C"/>
    <w:rsid w:val="00CD0213"/>
    <w:rsid w:val="00CD3614"/>
    <w:rsid w:val="00CD37F1"/>
    <w:rsid w:val="00CD449D"/>
    <w:rsid w:val="00CD4998"/>
    <w:rsid w:val="00CD4D2A"/>
    <w:rsid w:val="00CD4F7D"/>
    <w:rsid w:val="00CD5681"/>
    <w:rsid w:val="00CE1035"/>
    <w:rsid w:val="00CE1BE0"/>
    <w:rsid w:val="00CE2051"/>
    <w:rsid w:val="00CE5535"/>
    <w:rsid w:val="00CE5673"/>
    <w:rsid w:val="00CE62E7"/>
    <w:rsid w:val="00CE6545"/>
    <w:rsid w:val="00CE691C"/>
    <w:rsid w:val="00CE6E50"/>
    <w:rsid w:val="00CE7055"/>
    <w:rsid w:val="00CF0ABD"/>
    <w:rsid w:val="00CF1900"/>
    <w:rsid w:val="00CF2819"/>
    <w:rsid w:val="00CF3695"/>
    <w:rsid w:val="00CF4396"/>
    <w:rsid w:val="00CF4F9D"/>
    <w:rsid w:val="00CF70DC"/>
    <w:rsid w:val="00CF7B40"/>
    <w:rsid w:val="00D008AF"/>
    <w:rsid w:val="00D03D87"/>
    <w:rsid w:val="00D048D5"/>
    <w:rsid w:val="00D04F41"/>
    <w:rsid w:val="00D05414"/>
    <w:rsid w:val="00D069C7"/>
    <w:rsid w:val="00D07B7A"/>
    <w:rsid w:val="00D10DD9"/>
    <w:rsid w:val="00D119E6"/>
    <w:rsid w:val="00D148DC"/>
    <w:rsid w:val="00D14B42"/>
    <w:rsid w:val="00D14E9D"/>
    <w:rsid w:val="00D14FDB"/>
    <w:rsid w:val="00D1703F"/>
    <w:rsid w:val="00D17FDC"/>
    <w:rsid w:val="00D2127D"/>
    <w:rsid w:val="00D21C98"/>
    <w:rsid w:val="00D21D8C"/>
    <w:rsid w:val="00D27C95"/>
    <w:rsid w:val="00D30589"/>
    <w:rsid w:val="00D32228"/>
    <w:rsid w:val="00D4273F"/>
    <w:rsid w:val="00D459E6"/>
    <w:rsid w:val="00D468A8"/>
    <w:rsid w:val="00D47A33"/>
    <w:rsid w:val="00D52412"/>
    <w:rsid w:val="00D5259E"/>
    <w:rsid w:val="00D527D5"/>
    <w:rsid w:val="00D53719"/>
    <w:rsid w:val="00D54E0B"/>
    <w:rsid w:val="00D56847"/>
    <w:rsid w:val="00D61985"/>
    <w:rsid w:val="00D63632"/>
    <w:rsid w:val="00D63EFD"/>
    <w:rsid w:val="00D6425B"/>
    <w:rsid w:val="00D6453E"/>
    <w:rsid w:val="00D657A7"/>
    <w:rsid w:val="00D66811"/>
    <w:rsid w:val="00D670D1"/>
    <w:rsid w:val="00D6775E"/>
    <w:rsid w:val="00D67C24"/>
    <w:rsid w:val="00D7001E"/>
    <w:rsid w:val="00D71EE6"/>
    <w:rsid w:val="00D7280D"/>
    <w:rsid w:val="00D729E9"/>
    <w:rsid w:val="00D73EF4"/>
    <w:rsid w:val="00D754A7"/>
    <w:rsid w:val="00D77764"/>
    <w:rsid w:val="00D809C5"/>
    <w:rsid w:val="00D8362C"/>
    <w:rsid w:val="00D84752"/>
    <w:rsid w:val="00D86142"/>
    <w:rsid w:val="00D86B3B"/>
    <w:rsid w:val="00D86F78"/>
    <w:rsid w:val="00D8748A"/>
    <w:rsid w:val="00D905C6"/>
    <w:rsid w:val="00D90609"/>
    <w:rsid w:val="00D93196"/>
    <w:rsid w:val="00D95800"/>
    <w:rsid w:val="00D9760C"/>
    <w:rsid w:val="00DA02D8"/>
    <w:rsid w:val="00DA07FD"/>
    <w:rsid w:val="00DA0889"/>
    <w:rsid w:val="00DA0DC0"/>
    <w:rsid w:val="00DA1475"/>
    <w:rsid w:val="00DA3150"/>
    <w:rsid w:val="00DA360D"/>
    <w:rsid w:val="00DA3D01"/>
    <w:rsid w:val="00DA41CD"/>
    <w:rsid w:val="00DA4487"/>
    <w:rsid w:val="00DA5B74"/>
    <w:rsid w:val="00DA5E98"/>
    <w:rsid w:val="00DA6FD3"/>
    <w:rsid w:val="00DA786B"/>
    <w:rsid w:val="00DA7C38"/>
    <w:rsid w:val="00DB243C"/>
    <w:rsid w:val="00DB29B2"/>
    <w:rsid w:val="00DB354B"/>
    <w:rsid w:val="00DB42EC"/>
    <w:rsid w:val="00DB482A"/>
    <w:rsid w:val="00DB50FB"/>
    <w:rsid w:val="00DB5159"/>
    <w:rsid w:val="00DB56F2"/>
    <w:rsid w:val="00DB5B20"/>
    <w:rsid w:val="00DB5F6E"/>
    <w:rsid w:val="00DB6BAC"/>
    <w:rsid w:val="00DB6EF5"/>
    <w:rsid w:val="00DC182A"/>
    <w:rsid w:val="00DC18AF"/>
    <w:rsid w:val="00DC253E"/>
    <w:rsid w:val="00DC3089"/>
    <w:rsid w:val="00DC4053"/>
    <w:rsid w:val="00DC4420"/>
    <w:rsid w:val="00DC4D31"/>
    <w:rsid w:val="00DD0802"/>
    <w:rsid w:val="00DD0CBB"/>
    <w:rsid w:val="00DD2277"/>
    <w:rsid w:val="00DD2E11"/>
    <w:rsid w:val="00DD3151"/>
    <w:rsid w:val="00DD34B9"/>
    <w:rsid w:val="00DD36E1"/>
    <w:rsid w:val="00DD5972"/>
    <w:rsid w:val="00DD6F84"/>
    <w:rsid w:val="00DD76EE"/>
    <w:rsid w:val="00DE004E"/>
    <w:rsid w:val="00DE03AF"/>
    <w:rsid w:val="00DE0488"/>
    <w:rsid w:val="00DE121C"/>
    <w:rsid w:val="00DE14A1"/>
    <w:rsid w:val="00DE3195"/>
    <w:rsid w:val="00DE45FE"/>
    <w:rsid w:val="00DE52C6"/>
    <w:rsid w:val="00DE6312"/>
    <w:rsid w:val="00DE6633"/>
    <w:rsid w:val="00DE690E"/>
    <w:rsid w:val="00DE6D06"/>
    <w:rsid w:val="00DF0CBE"/>
    <w:rsid w:val="00DF25AB"/>
    <w:rsid w:val="00DF305A"/>
    <w:rsid w:val="00DF321B"/>
    <w:rsid w:val="00DF35C0"/>
    <w:rsid w:val="00DF50E2"/>
    <w:rsid w:val="00DF5787"/>
    <w:rsid w:val="00DF609B"/>
    <w:rsid w:val="00DF6841"/>
    <w:rsid w:val="00DF75F8"/>
    <w:rsid w:val="00DF7A3A"/>
    <w:rsid w:val="00E00C00"/>
    <w:rsid w:val="00E00E9B"/>
    <w:rsid w:val="00E01374"/>
    <w:rsid w:val="00E01B16"/>
    <w:rsid w:val="00E0348F"/>
    <w:rsid w:val="00E03D61"/>
    <w:rsid w:val="00E04C15"/>
    <w:rsid w:val="00E056D4"/>
    <w:rsid w:val="00E062F8"/>
    <w:rsid w:val="00E06995"/>
    <w:rsid w:val="00E06F53"/>
    <w:rsid w:val="00E07C5A"/>
    <w:rsid w:val="00E1006B"/>
    <w:rsid w:val="00E106D1"/>
    <w:rsid w:val="00E11CA6"/>
    <w:rsid w:val="00E11E6E"/>
    <w:rsid w:val="00E12D88"/>
    <w:rsid w:val="00E1307B"/>
    <w:rsid w:val="00E136E9"/>
    <w:rsid w:val="00E13E59"/>
    <w:rsid w:val="00E15BA9"/>
    <w:rsid w:val="00E17E3B"/>
    <w:rsid w:val="00E201CB"/>
    <w:rsid w:val="00E24CEC"/>
    <w:rsid w:val="00E26E19"/>
    <w:rsid w:val="00E26F2F"/>
    <w:rsid w:val="00E2718D"/>
    <w:rsid w:val="00E31DF3"/>
    <w:rsid w:val="00E323C6"/>
    <w:rsid w:val="00E411C6"/>
    <w:rsid w:val="00E42920"/>
    <w:rsid w:val="00E44B97"/>
    <w:rsid w:val="00E44F83"/>
    <w:rsid w:val="00E450A4"/>
    <w:rsid w:val="00E45902"/>
    <w:rsid w:val="00E462AE"/>
    <w:rsid w:val="00E46B84"/>
    <w:rsid w:val="00E50172"/>
    <w:rsid w:val="00E506BE"/>
    <w:rsid w:val="00E51359"/>
    <w:rsid w:val="00E5270B"/>
    <w:rsid w:val="00E5365D"/>
    <w:rsid w:val="00E54AD3"/>
    <w:rsid w:val="00E55547"/>
    <w:rsid w:val="00E60ACB"/>
    <w:rsid w:val="00E62863"/>
    <w:rsid w:val="00E6302B"/>
    <w:rsid w:val="00E631AD"/>
    <w:rsid w:val="00E64140"/>
    <w:rsid w:val="00E6452F"/>
    <w:rsid w:val="00E64F45"/>
    <w:rsid w:val="00E664FC"/>
    <w:rsid w:val="00E6742D"/>
    <w:rsid w:val="00E70BFE"/>
    <w:rsid w:val="00E70CC5"/>
    <w:rsid w:val="00E71349"/>
    <w:rsid w:val="00E71AFC"/>
    <w:rsid w:val="00E71C26"/>
    <w:rsid w:val="00E71CB0"/>
    <w:rsid w:val="00E71ED4"/>
    <w:rsid w:val="00E72567"/>
    <w:rsid w:val="00E73AE5"/>
    <w:rsid w:val="00E75470"/>
    <w:rsid w:val="00E77C3D"/>
    <w:rsid w:val="00E80183"/>
    <w:rsid w:val="00E82E56"/>
    <w:rsid w:val="00E85E53"/>
    <w:rsid w:val="00E86D35"/>
    <w:rsid w:val="00E87B1B"/>
    <w:rsid w:val="00E90991"/>
    <w:rsid w:val="00E909F0"/>
    <w:rsid w:val="00E90D47"/>
    <w:rsid w:val="00E93993"/>
    <w:rsid w:val="00E95893"/>
    <w:rsid w:val="00E9597C"/>
    <w:rsid w:val="00E96104"/>
    <w:rsid w:val="00EA0157"/>
    <w:rsid w:val="00EA0913"/>
    <w:rsid w:val="00EA1D22"/>
    <w:rsid w:val="00EA4D75"/>
    <w:rsid w:val="00EA500C"/>
    <w:rsid w:val="00EA5235"/>
    <w:rsid w:val="00EA5B00"/>
    <w:rsid w:val="00EB146B"/>
    <w:rsid w:val="00EB1791"/>
    <w:rsid w:val="00EB1A71"/>
    <w:rsid w:val="00EB1CE5"/>
    <w:rsid w:val="00EB20A6"/>
    <w:rsid w:val="00EB2DCB"/>
    <w:rsid w:val="00EB45AC"/>
    <w:rsid w:val="00EB5F1D"/>
    <w:rsid w:val="00EB6CE6"/>
    <w:rsid w:val="00EB775F"/>
    <w:rsid w:val="00EC3342"/>
    <w:rsid w:val="00EC441F"/>
    <w:rsid w:val="00EC4755"/>
    <w:rsid w:val="00ED0BC4"/>
    <w:rsid w:val="00ED1C55"/>
    <w:rsid w:val="00ED447D"/>
    <w:rsid w:val="00ED47BD"/>
    <w:rsid w:val="00EE1EE1"/>
    <w:rsid w:val="00EE2A98"/>
    <w:rsid w:val="00EE4971"/>
    <w:rsid w:val="00EE5D71"/>
    <w:rsid w:val="00EE6994"/>
    <w:rsid w:val="00EE6CB0"/>
    <w:rsid w:val="00EF090E"/>
    <w:rsid w:val="00EF16A5"/>
    <w:rsid w:val="00EF35C1"/>
    <w:rsid w:val="00EF5572"/>
    <w:rsid w:val="00EF63BD"/>
    <w:rsid w:val="00EF658B"/>
    <w:rsid w:val="00EF6C43"/>
    <w:rsid w:val="00EF766C"/>
    <w:rsid w:val="00EF78F8"/>
    <w:rsid w:val="00F02106"/>
    <w:rsid w:val="00F02643"/>
    <w:rsid w:val="00F028DE"/>
    <w:rsid w:val="00F02FD7"/>
    <w:rsid w:val="00F0316D"/>
    <w:rsid w:val="00F033DA"/>
    <w:rsid w:val="00F038AB"/>
    <w:rsid w:val="00F05D77"/>
    <w:rsid w:val="00F07A01"/>
    <w:rsid w:val="00F10C56"/>
    <w:rsid w:val="00F10F4A"/>
    <w:rsid w:val="00F12939"/>
    <w:rsid w:val="00F13691"/>
    <w:rsid w:val="00F13FB1"/>
    <w:rsid w:val="00F143E2"/>
    <w:rsid w:val="00F15CBE"/>
    <w:rsid w:val="00F20F0E"/>
    <w:rsid w:val="00F217FF"/>
    <w:rsid w:val="00F255DF"/>
    <w:rsid w:val="00F2585D"/>
    <w:rsid w:val="00F25A0B"/>
    <w:rsid w:val="00F26815"/>
    <w:rsid w:val="00F26DF5"/>
    <w:rsid w:val="00F26E1F"/>
    <w:rsid w:val="00F26F30"/>
    <w:rsid w:val="00F27CD8"/>
    <w:rsid w:val="00F30130"/>
    <w:rsid w:val="00F30351"/>
    <w:rsid w:val="00F307F4"/>
    <w:rsid w:val="00F32749"/>
    <w:rsid w:val="00F3323E"/>
    <w:rsid w:val="00F335DA"/>
    <w:rsid w:val="00F341F4"/>
    <w:rsid w:val="00F3491E"/>
    <w:rsid w:val="00F34F9D"/>
    <w:rsid w:val="00F3589B"/>
    <w:rsid w:val="00F35CCE"/>
    <w:rsid w:val="00F403E4"/>
    <w:rsid w:val="00F40EC7"/>
    <w:rsid w:val="00F41FD0"/>
    <w:rsid w:val="00F4337F"/>
    <w:rsid w:val="00F437E7"/>
    <w:rsid w:val="00F44448"/>
    <w:rsid w:val="00F44BBC"/>
    <w:rsid w:val="00F470AD"/>
    <w:rsid w:val="00F4734F"/>
    <w:rsid w:val="00F47BAD"/>
    <w:rsid w:val="00F51132"/>
    <w:rsid w:val="00F516E6"/>
    <w:rsid w:val="00F520A7"/>
    <w:rsid w:val="00F542D5"/>
    <w:rsid w:val="00F5524B"/>
    <w:rsid w:val="00F5578F"/>
    <w:rsid w:val="00F56C5D"/>
    <w:rsid w:val="00F56D2A"/>
    <w:rsid w:val="00F56F62"/>
    <w:rsid w:val="00F577F2"/>
    <w:rsid w:val="00F60538"/>
    <w:rsid w:val="00F61C21"/>
    <w:rsid w:val="00F61DD2"/>
    <w:rsid w:val="00F62B0A"/>
    <w:rsid w:val="00F64622"/>
    <w:rsid w:val="00F66AFF"/>
    <w:rsid w:val="00F66C72"/>
    <w:rsid w:val="00F670C0"/>
    <w:rsid w:val="00F678AF"/>
    <w:rsid w:val="00F70B4A"/>
    <w:rsid w:val="00F71433"/>
    <w:rsid w:val="00F723B3"/>
    <w:rsid w:val="00F724EA"/>
    <w:rsid w:val="00F72578"/>
    <w:rsid w:val="00F73D48"/>
    <w:rsid w:val="00F744B0"/>
    <w:rsid w:val="00F74965"/>
    <w:rsid w:val="00F75CCA"/>
    <w:rsid w:val="00F771B1"/>
    <w:rsid w:val="00F7782B"/>
    <w:rsid w:val="00F806FD"/>
    <w:rsid w:val="00F845C5"/>
    <w:rsid w:val="00F859C3"/>
    <w:rsid w:val="00F86A8E"/>
    <w:rsid w:val="00F86D45"/>
    <w:rsid w:val="00F86E2A"/>
    <w:rsid w:val="00F876F0"/>
    <w:rsid w:val="00F87A43"/>
    <w:rsid w:val="00F90994"/>
    <w:rsid w:val="00F91F6C"/>
    <w:rsid w:val="00F921EA"/>
    <w:rsid w:val="00F93250"/>
    <w:rsid w:val="00F93543"/>
    <w:rsid w:val="00F95FB9"/>
    <w:rsid w:val="00F95FCB"/>
    <w:rsid w:val="00F97C46"/>
    <w:rsid w:val="00F97C5B"/>
    <w:rsid w:val="00FA303E"/>
    <w:rsid w:val="00FA3D50"/>
    <w:rsid w:val="00FA3EBE"/>
    <w:rsid w:val="00FA4F28"/>
    <w:rsid w:val="00FA6237"/>
    <w:rsid w:val="00FB0E3D"/>
    <w:rsid w:val="00FB3F48"/>
    <w:rsid w:val="00FB48DB"/>
    <w:rsid w:val="00FB4BD4"/>
    <w:rsid w:val="00FB4D0B"/>
    <w:rsid w:val="00FB5617"/>
    <w:rsid w:val="00FB7871"/>
    <w:rsid w:val="00FB7FBD"/>
    <w:rsid w:val="00FC0554"/>
    <w:rsid w:val="00FC07FF"/>
    <w:rsid w:val="00FC30A4"/>
    <w:rsid w:val="00FC374A"/>
    <w:rsid w:val="00FC47C6"/>
    <w:rsid w:val="00FC5802"/>
    <w:rsid w:val="00FC667E"/>
    <w:rsid w:val="00FC6FD0"/>
    <w:rsid w:val="00FC74C8"/>
    <w:rsid w:val="00FC7B47"/>
    <w:rsid w:val="00FD035C"/>
    <w:rsid w:val="00FD1A35"/>
    <w:rsid w:val="00FD1EAF"/>
    <w:rsid w:val="00FD2EA4"/>
    <w:rsid w:val="00FD3111"/>
    <w:rsid w:val="00FD36C5"/>
    <w:rsid w:val="00FD4800"/>
    <w:rsid w:val="00FD6310"/>
    <w:rsid w:val="00FD6EBB"/>
    <w:rsid w:val="00FD7C7B"/>
    <w:rsid w:val="00FE09A6"/>
    <w:rsid w:val="00FE0B1E"/>
    <w:rsid w:val="00FE1963"/>
    <w:rsid w:val="00FE1D12"/>
    <w:rsid w:val="00FE2122"/>
    <w:rsid w:val="00FE2A86"/>
    <w:rsid w:val="00FE2C88"/>
    <w:rsid w:val="00FE2DE2"/>
    <w:rsid w:val="00FE3013"/>
    <w:rsid w:val="00FE3488"/>
    <w:rsid w:val="00FE3711"/>
    <w:rsid w:val="00FE440F"/>
    <w:rsid w:val="00FE618D"/>
    <w:rsid w:val="00FF0FEE"/>
    <w:rsid w:val="00FF2820"/>
    <w:rsid w:val="00FF296F"/>
    <w:rsid w:val="00FF2C8D"/>
    <w:rsid w:val="00FF324A"/>
    <w:rsid w:val="00FF34AE"/>
    <w:rsid w:val="00FF41C7"/>
    <w:rsid w:val="00FF546B"/>
    <w:rsid w:val="00FF5E23"/>
    <w:rsid w:val="00FF6BE8"/>
    <w:rsid w:val="00FF7578"/>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5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59A9"/>
    <w:rPr>
      <w:color w:val="605E5C"/>
      <w:shd w:val="clear" w:color="auto" w:fill="E1DFDD"/>
    </w:rPr>
  </w:style>
  <w:style w:type="character" w:styleId="Emphasis">
    <w:name w:val="Emphasis"/>
    <w:basedOn w:val="DefaultParagraphFont"/>
    <w:uiPriority w:val="20"/>
    <w:qFormat/>
    <w:rsid w:val="003C0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309017110">
      <w:bodyDiv w:val="1"/>
      <w:marLeft w:val="0"/>
      <w:marRight w:val="0"/>
      <w:marTop w:val="0"/>
      <w:marBottom w:val="0"/>
      <w:divBdr>
        <w:top w:val="none" w:sz="0" w:space="0" w:color="auto"/>
        <w:left w:val="none" w:sz="0" w:space="0" w:color="auto"/>
        <w:bottom w:val="none" w:sz="0" w:space="0" w:color="auto"/>
        <w:right w:val="none" w:sz="0" w:space="0" w:color="auto"/>
      </w:divBdr>
    </w:div>
    <w:div w:id="44705000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5986980">
      <w:bodyDiv w:val="1"/>
      <w:marLeft w:val="0"/>
      <w:marRight w:val="0"/>
      <w:marTop w:val="0"/>
      <w:marBottom w:val="0"/>
      <w:divBdr>
        <w:top w:val="none" w:sz="0" w:space="0" w:color="auto"/>
        <w:left w:val="none" w:sz="0" w:space="0" w:color="auto"/>
        <w:bottom w:val="none" w:sz="0" w:space="0" w:color="auto"/>
        <w:right w:val="none" w:sz="0" w:space="0" w:color="auto"/>
      </w:divBdr>
    </w:div>
    <w:div w:id="79719030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45960178">
      <w:bodyDiv w:val="1"/>
      <w:marLeft w:val="0"/>
      <w:marRight w:val="0"/>
      <w:marTop w:val="0"/>
      <w:marBottom w:val="0"/>
      <w:divBdr>
        <w:top w:val="none" w:sz="0" w:space="0" w:color="auto"/>
        <w:left w:val="none" w:sz="0" w:space="0" w:color="auto"/>
        <w:bottom w:val="none" w:sz="0" w:space="0" w:color="auto"/>
        <w:right w:val="none" w:sz="0" w:space="0" w:color="auto"/>
      </w:divBdr>
    </w:div>
    <w:div w:id="1182817613">
      <w:bodyDiv w:val="1"/>
      <w:marLeft w:val="0"/>
      <w:marRight w:val="0"/>
      <w:marTop w:val="0"/>
      <w:marBottom w:val="0"/>
      <w:divBdr>
        <w:top w:val="none" w:sz="0" w:space="0" w:color="auto"/>
        <w:left w:val="none" w:sz="0" w:space="0" w:color="auto"/>
        <w:bottom w:val="none" w:sz="0" w:space="0" w:color="auto"/>
        <w:right w:val="none" w:sz="0" w:space="0" w:color="auto"/>
      </w:divBdr>
    </w:div>
    <w:div w:id="126657089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gier.com/news-and-insights/insights/plans-and-schemes-of-arrangement-in-the-british-virgin-islands/" TargetMode="External"/><Relationship Id="rId13" Type="http://schemas.openxmlformats.org/officeDocument/2006/relationships/hyperlink" Target="https://www.mourant.com/file-library/media---2020/what-a-creditor-needs-to-know-about-liquidating-an-insolvent-bvi-company---oct-2020.pdf" TargetMode="External"/><Relationship Id="rId18" Type="http://schemas.openxmlformats.org/officeDocument/2006/relationships/hyperlink" Target="https://www.birketts.co.uk/legal-update/what-happens-on-the-death-or-incapacity-of-a-sole-director-and-shareholder/" TargetMode="External"/><Relationship Id="rId3" Type="http://schemas.openxmlformats.org/officeDocument/2006/relationships/hyperlink" Target="https://www.mourant.com/file-library/media---2017/2017-guides/recognition-of-foreign-insolvency-proceedings-and-foreign-insolvency-practitioners-in-the-bvi-(updated).pdf" TargetMode="External"/><Relationship Id="rId21" Type="http://schemas.openxmlformats.org/officeDocument/2006/relationships/hyperlink" Target="https://www.loebsmith.com/legal/the-restoration-of-struck-off-and-dissolved-companies-in-the-british-virgin-islands-post-january-2023/355/" TargetMode="External"/><Relationship Id="rId7" Type="http://schemas.openxmlformats.org/officeDocument/2006/relationships/hyperlink" Target="https://www.careyolsen.com/sites/default/files/CO_BVI_CORP_Plans%20and%20schemes%20of%20arrangement%20in%20the%20BVI_3.17_0.pdf" TargetMode="External"/><Relationship Id="rId12" Type="http://schemas.openxmlformats.org/officeDocument/2006/relationships/hyperlink" Target="https://www.howespercival.com/articles/letter-before-action-or-statutory-demand-that-is-the-question/" TargetMode="External"/><Relationship Id="rId17" Type="http://schemas.openxmlformats.org/officeDocument/2006/relationships/hyperlink" Target="https://www.goughs.co.uk/news/what-happens-if-a-companys-sole-director-shareholder-dies/" TargetMode="External"/><Relationship Id="rId25" Type="http://schemas.openxmlformats.org/officeDocument/2006/relationships/hyperlink" Target="https://www.mourant.com/2016-guides/the-things-a-security-taker-needs-to-know-about-receivership-under-bvi-law-(updated).pdf" TargetMode="External"/><Relationship Id="rId2" Type="http://schemas.openxmlformats.org/officeDocument/2006/relationships/hyperlink" Target="https://www.careyolsen.com/insights/briefings/amendments-bvi-business-companies-act" TargetMode="External"/><Relationship Id="rId16" Type="http://schemas.openxmlformats.org/officeDocument/2006/relationships/hyperlink" Target="https://www.ibblaw.co.uk/insights/when-a-sole-director-and-shareholder-dies" TargetMode="External"/><Relationship Id="rId20" Type="http://schemas.openxmlformats.org/officeDocument/2006/relationships/hyperlink" Target="https://uk.practicallaw.thomsonreuters.com/w-019-2785?contextData=(sc.Default)&amp;transitionType=Default&amp;firstPage=true" TargetMode="External"/><Relationship Id="rId1" Type="http://schemas.openxmlformats.org/officeDocument/2006/relationships/hyperlink" Target="https://maples.com/en/knowledge-centre/2022/12/bvi-voluntary-liquidations-now-require-a-locally-resident-voluntary-liquidator" TargetMode="External"/><Relationship Id="rId6" Type="http://schemas.openxmlformats.org/officeDocument/2006/relationships/hyperlink" Target="https://www.ogier.com/news-and-insights/insights/plans-and-schemes-of-arrangement-in-the-british-virgin-islands/" TargetMode="External"/><Relationship Id="rId11" Type="http://schemas.openxmlformats.org/officeDocument/2006/relationships/hyperlink" Target="https://www.harneys.com/insights/receivership-draconian-or-now-versatile/" TargetMode="External"/><Relationship Id="rId24" Type="http://schemas.openxmlformats.org/officeDocument/2006/relationships/hyperlink" Target="https://www.careyolsen.com/sites/default/files/CO_BVI_HK_SING_DRL_Receiverships-in-the-BVI_3_20%20%281%29.pdf" TargetMode="External"/><Relationship Id="rId5" Type="http://schemas.openxmlformats.org/officeDocument/2006/relationships/hyperlink" Target="https://www.careyolsen.com/sites/default/files/CO_BVI_CORP_Plans%20and%20schemes%20of%20arrangement%20in%20the%20BVI_3.17_0.pdf" TargetMode="External"/><Relationship Id="rId15" Type="http://schemas.openxmlformats.org/officeDocument/2006/relationships/hyperlink" Target="https://www.conyers.com/publications/view/common-law-enforcement-of-a-foreign-judgment-in-the-bvi-the-invest-bank-case/" TargetMode="External"/><Relationship Id="rId23" Type="http://schemas.openxmlformats.org/officeDocument/2006/relationships/hyperlink" Target="https://www.lexology.com/library/detail.aspx?g=e3e3043a-2f2a-47b5-8ea9-a8dce798fd5e" TargetMode="External"/><Relationship Id="rId10" Type="http://schemas.openxmlformats.org/officeDocument/2006/relationships/hyperlink" Target="https://www.mourant.com/2016-guides/the-things-a-security-taker-needs-to-know-about-receivership-under-bvi-law-(updated).pdf" TargetMode="External"/><Relationship Id="rId19" Type="http://schemas.openxmlformats.org/officeDocument/2006/relationships/hyperlink" Target="https://www.ibblaw.co.uk/insights/when-a-sole-director-and-shareholder-dies" TargetMode="External"/><Relationship Id="rId4" Type="http://schemas.openxmlformats.org/officeDocument/2006/relationships/hyperlink" Target="https://www.mourant.com/file-library/media---2017/2017-guides/recognition-of-foreign-insolvency-proceedings-and-foreign-insolvency-practitioners-in-the-bvi-(updated).pdf" TargetMode="External"/><Relationship Id="rId9" Type="http://schemas.openxmlformats.org/officeDocument/2006/relationships/hyperlink" Target="https://www.careyolsen.com/sites/default/files/CO_BVI_HK_SING_DRL_Receiverships-in-the-BVI_3_20%20%281%29.pdf" TargetMode="External"/><Relationship Id="rId14" Type="http://schemas.openxmlformats.org/officeDocument/2006/relationships/hyperlink" Target="https://www.lexology.com/library/detail.aspx?g=2ee81af2-af47-42ba-b6e0-36d4b082ecbd" TargetMode="External"/><Relationship Id="rId22" Type="http://schemas.openxmlformats.org/officeDocument/2006/relationships/hyperlink" Target="https://www.loebsmith.com/legal/company-restorations-in-the-bvi/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4207</TotalTime>
  <Pages>26</Pages>
  <Words>9861</Words>
  <Characters>56210</Characters>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2019-08-27T05:42:00Z</cp:lastPrinted>
  <dcterms:created xsi:type="dcterms:W3CDTF">2023-01-20T08:14:00Z</dcterms:created>
  <dcterms:modified xsi:type="dcterms:W3CDTF">2024-06-29T04:49:00Z</dcterms:modified>
</cp:coreProperties>
</file>