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 xml:space="preserve">in </w:t>
      </w:r>
      <w:r w:rsidR="0036565C" w:rsidRPr="006723E9">
        <w:rPr>
          <w:rFonts w:ascii="Avenir Next Demi Bold" w:hAnsi="Avenir Next Demi Bold" w:cs="Arial"/>
          <w:b/>
          <w:bCs/>
          <w:sz w:val="22"/>
          <w:szCs w:val="22"/>
          <w:highlight w:val="yellow"/>
          <w:lang w:val="en-GB"/>
        </w:rPr>
        <w:lastRenderedPageBreak/>
        <w:t>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207E79" w:rsidRDefault="00F746D8" w:rsidP="00F746D8">
      <w:pPr>
        <w:pStyle w:val="ListParagraph"/>
        <w:numPr>
          <w:ilvl w:val="0"/>
          <w:numId w:val="26"/>
        </w:numPr>
        <w:ind w:left="426"/>
        <w:jc w:val="both"/>
        <w:rPr>
          <w:rFonts w:ascii="Avenir Next" w:hAnsi="Avenir Next" w:cs="Arial"/>
          <w:sz w:val="22"/>
          <w:szCs w:val="22"/>
          <w:highlight w:val="yellow"/>
          <w:lang w:val="en-GB"/>
        </w:rPr>
      </w:pPr>
      <w:r w:rsidRPr="00207E79">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207E79" w:rsidRDefault="00F746D8" w:rsidP="00F746D8">
      <w:pPr>
        <w:jc w:val="both"/>
        <w:rPr>
          <w:rFonts w:ascii="Avenir Next" w:hAnsi="Avenir Next" w:cs="Arial"/>
          <w:color w:val="000000" w:themeColor="text1"/>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207E79"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207E79">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207E79" w:rsidRDefault="00F746D8" w:rsidP="00F746D8">
      <w:pPr>
        <w:pStyle w:val="ListParagraph"/>
        <w:ind w:left="426"/>
        <w:jc w:val="both"/>
        <w:rPr>
          <w:rFonts w:ascii="Avenir Next" w:hAnsi="Avenir Next" w:cs="Arial"/>
          <w:iCs/>
          <w:color w:val="000000" w:themeColor="text1"/>
          <w:sz w:val="22"/>
          <w:szCs w:val="22"/>
          <w:lang w:val="en-GB"/>
        </w:rPr>
      </w:pPr>
    </w:p>
    <w:p w14:paraId="676F8887"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w:t>
      </w:r>
      <w:r w:rsidRPr="00D7664B">
        <w:rPr>
          <w:rFonts w:ascii="Avenir Next" w:hAnsi="Avenir Next" w:cs="Arial"/>
          <w:iCs/>
          <w:sz w:val="22"/>
          <w:szCs w:val="22"/>
          <w:lang w:val="en-GB"/>
        </w:rPr>
        <w:t xml:space="preserve">rescue, adjustment of debt, reorganisation, or </w:t>
      </w:r>
      <w:r w:rsidRPr="00DE27FF">
        <w:rPr>
          <w:rFonts w:ascii="Avenir Next" w:hAnsi="Avenir Next" w:cs="Arial"/>
          <w:iCs/>
          <w:sz w:val="22"/>
          <w:szCs w:val="22"/>
          <w:lang w:val="en-GB"/>
        </w:rPr>
        <w:t xml:space="preserve">liquidation; are public; </w:t>
      </w:r>
      <w:r>
        <w:rPr>
          <w:rFonts w:ascii="Avenir Next" w:hAnsi="Avenir Next" w:cs="Arial"/>
          <w:iCs/>
          <w:sz w:val="22"/>
          <w:szCs w:val="22"/>
          <w:lang w:val="en-GB"/>
        </w:rPr>
        <w:t xml:space="preserve">and </w:t>
      </w:r>
      <w:r w:rsidRPr="00DE27FF">
        <w:rPr>
          <w:rFonts w:ascii="Avenir Next" w:hAnsi="Avenir Next" w:cs="Arial"/>
          <w:iCs/>
          <w:sz w:val="22"/>
          <w:szCs w:val="22"/>
          <w:lang w:val="en-GB"/>
        </w:rPr>
        <w:t xml:space="preserve">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in the area of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207E79" w:rsidRDefault="00F746D8" w:rsidP="00F746D8">
      <w:pPr>
        <w:pStyle w:val="ListParagraph"/>
        <w:numPr>
          <w:ilvl w:val="0"/>
          <w:numId w:val="27"/>
        </w:numPr>
        <w:ind w:left="426"/>
        <w:jc w:val="both"/>
        <w:rPr>
          <w:rFonts w:ascii="Avenir Next" w:hAnsi="Avenir Next"/>
          <w:sz w:val="22"/>
          <w:highlight w:val="yellow"/>
          <w:lang w:val="en-GB"/>
        </w:rPr>
      </w:pPr>
      <w:r w:rsidRPr="00207E79">
        <w:rPr>
          <w:rFonts w:ascii="Avenir Next" w:hAnsi="Avenir Next"/>
          <w:sz w:val="22"/>
          <w:highlight w:val="yellow"/>
          <w:lang w:val="en-GB"/>
        </w:rPr>
        <w:t xml:space="preserve">The EIR 2000 </w:t>
      </w:r>
      <w:r w:rsidRPr="00207E79">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207E79">
        <w:rPr>
          <w:rFonts w:ascii="Avenir Next" w:hAnsi="Avenir Next"/>
          <w:sz w:val="22"/>
          <w:highlight w:val="yellow"/>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207E79" w:rsidRDefault="00F746D8" w:rsidP="00F746D8">
      <w:pPr>
        <w:pStyle w:val="ListParagraph"/>
        <w:numPr>
          <w:ilvl w:val="0"/>
          <w:numId w:val="5"/>
        </w:numPr>
        <w:ind w:left="426"/>
        <w:jc w:val="both"/>
        <w:rPr>
          <w:rFonts w:ascii="Avenir Next" w:hAnsi="Avenir Next" w:cs="Arial"/>
          <w:sz w:val="22"/>
          <w:szCs w:val="22"/>
          <w:highlight w:val="yellow"/>
          <w:lang w:val="en-GB"/>
        </w:rPr>
      </w:pPr>
      <w:r w:rsidRPr="00207E79">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207E79" w:rsidRDefault="00F746D8" w:rsidP="00F746D8">
      <w:pPr>
        <w:pStyle w:val="ListParagraph"/>
        <w:numPr>
          <w:ilvl w:val="0"/>
          <w:numId w:val="28"/>
        </w:numPr>
        <w:ind w:left="426"/>
        <w:jc w:val="both"/>
        <w:rPr>
          <w:rFonts w:ascii="Avenir Next" w:hAnsi="Avenir Next" w:cs="Arial"/>
          <w:sz w:val="22"/>
          <w:szCs w:val="22"/>
          <w:highlight w:val="yellow"/>
          <w:lang w:val="en-GB"/>
        </w:rPr>
      </w:pPr>
      <w:r w:rsidRPr="00207E79">
        <w:rPr>
          <w:rFonts w:ascii="Avenir Next" w:hAnsi="Avenir Next" w:cs="Arial"/>
          <w:sz w:val="22"/>
          <w:szCs w:val="22"/>
          <w:highlight w:val="yellow"/>
          <w:lang w:val="en-GB"/>
        </w:rPr>
        <w:t>Article 3 states that the courts of the Member State within the territory of which the debtor has its centre of main</w:t>
      </w:r>
      <w:r w:rsidR="003E1D56" w:rsidRPr="00207E79">
        <w:rPr>
          <w:rFonts w:ascii="Avenir Next" w:hAnsi="Avenir Next" w:cs="Arial"/>
          <w:sz w:val="22"/>
          <w:szCs w:val="22"/>
          <w:highlight w:val="yellow"/>
          <w:lang w:val="en-GB"/>
        </w:rPr>
        <w:t xml:space="preserve"> interest</w:t>
      </w:r>
      <w:r w:rsidRPr="00207E79">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207E79" w:rsidRDefault="00F746D8" w:rsidP="00F746D8">
      <w:pPr>
        <w:pStyle w:val="ListParagraph"/>
        <w:numPr>
          <w:ilvl w:val="0"/>
          <w:numId w:val="7"/>
        </w:numPr>
        <w:ind w:left="426"/>
        <w:jc w:val="both"/>
        <w:rPr>
          <w:rFonts w:ascii="Avenir Next" w:hAnsi="Avenir Next" w:cs="Arial"/>
          <w:sz w:val="22"/>
          <w:szCs w:val="22"/>
          <w:highlight w:val="yellow"/>
          <w:lang w:val="en-GB"/>
        </w:rPr>
      </w:pPr>
      <w:r w:rsidRPr="00207E79">
        <w:rPr>
          <w:rFonts w:ascii="Avenir Next" w:hAnsi="Avenir Next" w:cs="Arial"/>
          <w:sz w:val="22"/>
          <w:szCs w:val="22"/>
          <w:highlight w:val="yellow"/>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207E79" w:rsidRDefault="00F746D8" w:rsidP="00F746D8">
      <w:pPr>
        <w:pStyle w:val="ListParagraph"/>
        <w:numPr>
          <w:ilvl w:val="0"/>
          <w:numId w:val="31"/>
        </w:numPr>
        <w:ind w:left="426"/>
        <w:jc w:val="both"/>
        <w:rPr>
          <w:rFonts w:ascii="Avenir Next" w:hAnsi="Avenir Next" w:cs="Arial"/>
          <w:sz w:val="22"/>
          <w:szCs w:val="22"/>
          <w:highlight w:val="yellow"/>
          <w:lang w:val="en-GB"/>
        </w:rPr>
      </w:pPr>
      <w:r w:rsidRPr="00207E79">
        <w:rPr>
          <w:rFonts w:ascii="Avenir Next" w:hAnsi="Avenir Next" w:cs="Arial"/>
          <w:sz w:val="22"/>
          <w:szCs w:val="22"/>
          <w:highlight w:val="yellow"/>
          <w:lang w:val="en-GB"/>
        </w:rPr>
        <w:t>Article 31 EIR Recast (entitled “</w:t>
      </w:r>
      <w:r w:rsidRPr="00207E79">
        <w:rPr>
          <w:rFonts w:ascii="Avenir Next" w:hAnsi="Avenir Next" w:cs="Arial"/>
          <w:bCs/>
          <w:sz w:val="22"/>
          <w:szCs w:val="22"/>
          <w:highlight w:val="yellow"/>
          <w:lang w:val="en-GB"/>
        </w:rPr>
        <w:t>Honouring of an obligation to a debtor”</w:t>
      </w:r>
      <w:r w:rsidRPr="00207E79">
        <w:rPr>
          <w:rFonts w:ascii="Avenir Next" w:hAnsi="Avenir Next" w:cs="Arial"/>
          <w:sz w:val="22"/>
          <w:szCs w:val="22"/>
          <w:highlight w:val="yellow"/>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ListParagraph"/>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similar to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207E79" w:rsidRDefault="00F746D8" w:rsidP="00F746D8">
      <w:pPr>
        <w:pStyle w:val="ListParagraph"/>
        <w:numPr>
          <w:ilvl w:val="0"/>
          <w:numId w:val="8"/>
        </w:numPr>
        <w:ind w:left="426"/>
        <w:jc w:val="both"/>
        <w:rPr>
          <w:rFonts w:ascii="Avenir Next" w:hAnsi="Avenir Next" w:cs="Arial"/>
          <w:sz w:val="22"/>
          <w:szCs w:val="22"/>
          <w:highlight w:val="yellow"/>
          <w:lang w:val="en-GB"/>
        </w:rPr>
      </w:pPr>
      <w:r w:rsidRPr="00207E79">
        <w:rPr>
          <w:rFonts w:ascii="Avenir Next" w:hAnsi="Avenir Next"/>
          <w:sz w:val="22"/>
          <w:highlight w:val="yellow"/>
          <w:lang w:val="en-GB"/>
        </w:rPr>
        <w:t xml:space="preserve">The </w:t>
      </w:r>
      <w:r w:rsidRPr="00207E79">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207E79" w:rsidRDefault="00F746D8" w:rsidP="00F746D8">
      <w:pPr>
        <w:pStyle w:val="ListParagraph"/>
        <w:numPr>
          <w:ilvl w:val="0"/>
          <w:numId w:val="32"/>
        </w:numPr>
        <w:ind w:left="426"/>
        <w:jc w:val="both"/>
        <w:rPr>
          <w:rFonts w:ascii="Avenir Next" w:hAnsi="Avenir Next" w:cs="Arial"/>
          <w:sz w:val="22"/>
          <w:szCs w:val="22"/>
          <w:highlight w:val="yellow"/>
          <w:lang w:val="en-GB"/>
        </w:rPr>
      </w:pPr>
      <w:r w:rsidRPr="00207E79">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jam jars made out of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is located in Cork, Ireland. </w:t>
      </w:r>
      <w:r>
        <w:rPr>
          <w:rFonts w:ascii="Avenir Next" w:hAnsi="Avenir Next" w:cs="Arial"/>
          <w:sz w:val="22"/>
          <w:szCs w:val="22"/>
          <w:lang w:val="en-GB"/>
        </w:rPr>
        <w:t>95% of its employees are located in France and 5% are located in Ireland. Mo</w:t>
      </w:r>
      <w:r w:rsidRPr="008E3C96">
        <w:rPr>
          <w:rFonts w:ascii="Avenir Next" w:hAnsi="Avenir Next" w:cs="Arial"/>
          <w:sz w:val="22"/>
          <w:szCs w:val="22"/>
          <w:lang w:val="en-GB"/>
        </w:rPr>
        <w:t xml:space="preserve">st of its customers are </w:t>
      </w:r>
      <w:r>
        <w:rPr>
          <w:rFonts w:ascii="Avenir Next" w:hAnsi="Avenir Next" w:cs="Arial"/>
          <w:sz w:val="22"/>
          <w:szCs w:val="22"/>
          <w:lang w:val="en-GB"/>
        </w:rPr>
        <w:t>located in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is located in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207E79" w:rsidRDefault="00F746D8" w:rsidP="00F746D8">
      <w:pPr>
        <w:pStyle w:val="ListParagraph"/>
        <w:numPr>
          <w:ilvl w:val="0"/>
          <w:numId w:val="9"/>
        </w:numPr>
        <w:ind w:left="426"/>
        <w:jc w:val="both"/>
        <w:rPr>
          <w:rFonts w:ascii="Avenir Next" w:hAnsi="Avenir Next" w:cs="Arial"/>
          <w:sz w:val="22"/>
          <w:szCs w:val="22"/>
          <w:highlight w:val="yellow"/>
          <w:lang w:val="en-GB"/>
        </w:rPr>
      </w:pPr>
      <w:r w:rsidRPr="00207E79">
        <w:rPr>
          <w:rFonts w:ascii="Avenir Next" w:hAnsi="Avenir Next" w:cs="Arial"/>
          <w:sz w:val="22"/>
          <w:szCs w:val="22"/>
          <w:highlight w:val="yellow"/>
          <w:lang w:val="en-GB"/>
        </w:rPr>
        <w:t xml:space="preserve">Its centre of main interest is located in France because its registration, stores, customer-base and majority of employees lead to a presumption of COMI.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6DB77C48"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the Netherlands because online customers lead to a presumption of COMI.</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62EEF15A" w:rsidR="00636C15" w:rsidRPr="00D332EC" w:rsidRDefault="00636C15" w:rsidP="00636C15">
      <w:pPr>
        <w:jc w:val="both"/>
        <w:rPr>
          <w:rFonts w:ascii="Avenir Next" w:hAnsi="Avenir Next" w:cs="Arial"/>
          <w:sz w:val="22"/>
          <w:szCs w:val="22"/>
          <w:lang w:val="en-GB"/>
        </w:rPr>
      </w:pPr>
      <w:r w:rsidRPr="00D332EC">
        <w:rPr>
          <w:rFonts w:ascii="Avenir Next" w:hAnsi="Avenir Next" w:cs="Arial"/>
          <w:sz w:val="22"/>
          <w:szCs w:val="22"/>
          <w:lang w:val="en-GB"/>
        </w:rPr>
        <w:t xml:space="preserve">The following </w:t>
      </w:r>
      <w:r w:rsidRPr="00D332EC">
        <w:rPr>
          <w:rFonts w:ascii="Avenir Next" w:hAnsi="Avenir Next" w:cs="Arial"/>
          <w:b/>
          <w:bCs/>
          <w:sz w:val="22"/>
          <w:szCs w:val="22"/>
          <w:u w:val="single"/>
          <w:lang w:val="en-GB"/>
        </w:rPr>
        <w:t>t</w:t>
      </w:r>
      <w:r w:rsidR="00007146" w:rsidRPr="00D332EC">
        <w:rPr>
          <w:rFonts w:ascii="Avenir Next" w:hAnsi="Avenir Next" w:cs="Arial"/>
          <w:b/>
          <w:bCs/>
          <w:sz w:val="22"/>
          <w:szCs w:val="22"/>
          <w:u w:val="single"/>
          <w:lang w:val="en-GB"/>
        </w:rPr>
        <w:t>wo</w:t>
      </w:r>
      <w:r w:rsidRPr="00D332EC">
        <w:rPr>
          <w:rFonts w:ascii="Avenir Next" w:hAnsi="Avenir Next" w:cs="Arial"/>
          <w:b/>
          <w:bCs/>
          <w:sz w:val="22"/>
          <w:szCs w:val="22"/>
          <w:u w:val="single"/>
          <w:lang w:val="en-GB"/>
        </w:rPr>
        <w:t xml:space="preserve"> (</w:t>
      </w:r>
      <w:r w:rsidR="00ED472A" w:rsidRPr="00D332EC">
        <w:rPr>
          <w:rFonts w:ascii="Avenir Next" w:hAnsi="Avenir Next" w:cs="Arial"/>
          <w:b/>
          <w:bCs/>
          <w:sz w:val="22"/>
          <w:szCs w:val="22"/>
          <w:u w:val="single"/>
          <w:lang w:val="en-GB"/>
        </w:rPr>
        <w:t>2</w:t>
      </w:r>
      <w:r w:rsidRPr="00D332EC">
        <w:rPr>
          <w:rFonts w:ascii="Avenir Next" w:hAnsi="Avenir Next" w:cs="Arial"/>
          <w:b/>
          <w:bCs/>
          <w:sz w:val="22"/>
          <w:szCs w:val="22"/>
          <w:u w:val="single"/>
          <w:lang w:val="en-GB"/>
        </w:rPr>
        <w:t>) statements</w:t>
      </w:r>
      <w:r w:rsidRPr="00D332EC">
        <w:rPr>
          <w:rFonts w:ascii="Avenir Next" w:hAnsi="Avenir Next" w:cs="Arial"/>
          <w:sz w:val="22"/>
          <w:szCs w:val="22"/>
          <w:lang w:val="en-GB"/>
        </w:rPr>
        <w:t xml:space="preserve"> relate to particular </w:t>
      </w:r>
      <w:r w:rsidR="00E203D8" w:rsidRPr="00D332EC">
        <w:rPr>
          <w:rFonts w:ascii="Avenir Next" w:hAnsi="Avenir Next" w:cs="Arial"/>
          <w:sz w:val="22"/>
          <w:szCs w:val="22"/>
          <w:lang w:val="en-GB"/>
        </w:rPr>
        <w:t>provisions/concepts</w:t>
      </w:r>
      <w:r w:rsidRPr="00D332EC">
        <w:rPr>
          <w:rFonts w:ascii="Avenir Next" w:hAnsi="Avenir Next" w:cs="Arial"/>
          <w:sz w:val="22"/>
          <w:szCs w:val="22"/>
          <w:lang w:val="en-GB"/>
        </w:rPr>
        <w:t xml:space="preserve"> to be found in the EIR Recast. Indicate the name of the </w:t>
      </w:r>
      <w:r w:rsidR="00E203D8" w:rsidRPr="00D332EC">
        <w:rPr>
          <w:rFonts w:ascii="Avenir Next" w:hAnsi="Avenir Next" w:cs="Arial"/>
          <w:sz w:val="22"/>
          <w:szCs w:val="22"/>
          <w:lang w:val="en-GB"/>
        </w:rPr>
        <w:t>provision/concept</w:t>
      </w:r>
      <w:r w:rsidRPr="00D332EC">
        <w:rPr>
          <w:rFonts w:ascii="Avenir Next" w:hAnsi="Avenir Next" w:cs="Arial"/>
          <w:sz w:val="22"/>
          <w:szCs w:val="22"/>
          <w:lang w:val="en-GB"/>
        </w:rPr>
        <w:t xml:space="preserve"> (as well as the relevant EIR Recast article), addressed in each statement.</w:t>
      </w:r>
    </w:p>
    <w:p w14:paraId="5ECFD7B9" w14:textId="77777777" w:rsidR="00636C15" w:rsidRPr="00D332EC" w:rsidRDefault="00636C15" w:rsidP="00636C15">
      <w:pPr>
        <w:jc w:val="both"/>
        <w:rPr>
          <w:rFonts w:ascii="Avenir Next" w:hAnsi="Avenir Next" w:cs="Arial"/>
          <w:sz w:val="22"/>
          <w:szCs w:val="22"/>
          <w:lang w:val="en-GB"/>
        </w:rPr>
      </w:pPr>
    </w:p>
    <w:p w14:paraId="6693C69F" w14:textId="3C3667E9" w:rsidR="00636C15" w:rsidRPr="00D332EC" w:rsidRDefault="00636C15" w:rsidP="00636C15">
      <w:pPr>
        <w:jc w:val="both"/>
        <w:rPr>
          <w:rFonts w:ascii="Avenir Next" w:hAnsi="Avenir Next" w:cs="Arial"/>
          <w:sz w:val="22"/>
          <w:szCs w:val="22"/>
          <w:lang w:val="en-GB"/>
        </w:rPr>
      </w:pPr>
      <w:r w:rsidRPr="00D332EC">
        <w:rPr>
          <w:rFonts w:ascii="Avenir Next" w:hAnsi="Avenir Next" w:cs="Arial"/>
          <w:sz w:val="22"/>
          <w:szCs w:val="22"/>
          <w:u w:val="single"/>
          <w:lang w:val="en-GB"/>
        </w:rPr>
        <w:t>Statement 1</w:t>
      </w:r>
      <w:r w:rsidRPr="00D332EC">
        <w:rPr>
          <w:rFonts w:ascii="Avenir Next" w:hAnsi="Avenir Next" w:cs="Arial"/>
          <w:sz w:val="22"/>
          <w:szCs w:val="22"/>
          <w:lang w:val="en-GB"/>
        </w:rPr>
        <w:t xml:space="preserve">. </w:t>
      </w:r>
      <w:r w:rsidR="00B32588" w:rsidRPr="00D332EC">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D332EC" w:rsidRDefault="00AA55B5" w:rsidP="00636C15">
      <w:pPr>
        <w:jc w:val="both"/>
        <w:rPr>
          <w:rFonts w:ascii="Avenir Next" w:hAnsi="Avenir Next" w:cs="Arial"/>
          <w:sz w:val="22"/>
          <w:szCs w:val="22"/>
          <w:lang w:val="en-GB"/>
        </w:rPr>
      </w:pPr>
    </w:p>
    <w:p w14:paraId="2F802B87" w14:textId="0E3D1F4D" w:rsidR="00636C15" w:rsidRPr="00D332EC" w:rsidRDefault="00636C15" w:rsidP="00636C15">
      <w:pPr>
        <w:jc w:val="both"/>
        <w:rPr>
          <w:rFonts w:ascii="Avenir Next" w:hAnsi="Avenir Next" w:cs="Arial"/>
          <w:sz w:val="22"/>
          <w:szCs w:val="22"/>
          <w:lang w:val="en-GB"/>
        </w:rPr>
      </w:pPr>
      <w:r w:rsidRPr="00D332EC">
        <w:rPr>
          <w:rFonts w:ascii="Avenir Next" w:hAnsi="Avenir Next" w:cs="Arial"/>
          <w:sz w:val="22"/>
          <w:szCs w:val="22"/>
          <w:u w:val="single"/>
          <w:lang w:val="en-GB"/>
        </w:rPr>
        <w:t xml:space="preserve">Statement </w:t>
      </w:r>
      <w:r w:rsidR="00ED472A" w:rsidRPr="00D332EC">
        <w:rPr>
          <w:rFonts w:ascii="Avenir Next" w:hAnsi="Avenir Next" w:cs="Arial"/>
          <w:sz w:val="22"/>
          <w:szCs w:val="22"/>
          <w:u w:val="single"/>
          <w:lang w:val="en-GB"/>
        </w:rPr>
        <w:t>2</w:t>
      </w:r>
      <w:r w:rsidRPr="00D332EC">
        <w:rPr>
          <w:rFonts w:ascii="Avenir Next" w:hAnsi="Avenir Next" w:cs="Arial"/>
          <w:sz w:val="22"/>
          <w:szCs w:val="22"/>
          <w:lang w:val="en-GB"/>
        </w:rPr>
        <w:t xml:space="preserve">. </w:t>
      </w:r>
      <w:r w:rsidR="009651D2" w:rsidRPr="00D332EC">
        <w:rPr>
          <w:rFonts w:ascii="Avenir Next" w:hAnsi="Avenir Next" w:cs="Arial"/>
          <w:sz w:val="22"/>
          <w:szCs w:val="22"/>
          <w:lang w:val="en-GB"/>
        </w:rPr>
        <w:t xml:space="preserve">Pending lawsuits are not covered by the effects of the </w:t>
      </w:r>
      <w:r w:rsidR="009651D2" w:rsidRPr="00D332EC">
        <w:rPr>
          <w:rFonts w:ascii="Avenir Next" w:hAnsi="Avenir Next" w:cs="Arial"/>
          <w:i/>
          <w:iCs/>
          <w:sz w:val="22"/>
          <w:szCs w:val="22"/>
          <w:lang w:val="en-GB"/>
        </w:rPr>
        <w:t xml:space="preserve">lex concursus </w:t>
      </w:r>
      <w:r w:rsidR="009651D2" w:rsidRPr="00D332EC">
        <w:rPr>
          <w:rFonts w:ascii="Avenir Next" w:hAnsi="Avenir Next" w:cs="Arial"/>
          <w:sz w:val="22"/>
          <w:szCs w:val="22"/>
          <w:lang w:val="en-GB"/>
        </w:rPr>
        <w:t xml:space="preserve">in insolvency proceedings.  </w:t>
      </w:r>
    </w:p>
    <w:p w14:paraId="3B6E223A" w14:textId="77777777" w:rsidR="00E203D8" w:rsidRPr="00D332EC" w:rsidRDefault="00E203D8" w:rsidP="00636C15">
      <w:pPr>
        <w:ind w:left="720" w:hanging="720"/>
        <w:jc w:val="both"/>
        <w:rPr>
          <w:rFonts w:ascii="Avenir Next" w:hAnsi="Avenir Next" w:cs="Arial"/>
          <w:sz w:val="22"/>
          <w:szCs w:val="22"/>
        </w:rPr>
      </w:pPr>
    </w:p>
    <w:p w14:paraId="1165E2E7" w14:textId="776ADF10" w:rsidR="00315ED1" w:rsidRPr="00D332EC" w:rsidRDefault="00E203D8" w:rsidP="00636C15">
      <w:pPr>
        <w:ind w:left="720" w:hanging="720"/>
        <w:jc w:val="both"/>
        <w:rPr>
          <w:rFonts w:ascii="Avenir Next" w:hAnsi="Avenir Next" w:cs="Arial"/>
          <w:sz w:val="22"/>
          <w:szCs w:val="22"/>
        </w:rPr>
      </w:pPr>
      <w:r w:rsidRPr="00D332EC">
        <w:rPr>
          <w:rFonts w:ascii="Avenir Next" w:hAnsi="Avenir Next" w:cs="Arial"/>
          <w:sz w:val="22"/>
          <w:szCs w:val="22"/>
        </w:rPr>
        <w:t>Answer: -</w:t>
      </w:r>
      <w:r w:rsidR="00315ED1" w:rsidRPr="00D332EC">
        <w:rPr>
          <w:rFonts w:ascii="Avenir Next" w:hAnsi="Avenir Next" w:cs="Arial"/>
          <w:sz w:val="22"/>
          <w:szCs w:val="22"/>
        </w:rPr>
        <w:t xml:space="preserve"> </w:t>
      </w:r>
    </w:p>
    <w:p w14:paraId="08601D38" w14:textId="45D78765" w:rsidR="009F5913" w:rsidRPr="00D332EC" w:rsidRDefault="009F5913" w:rsidP="009F5913">
      <w:pPr>
        <w:jc w:val="both"/>
        <w:rPr>
          <w:rFonts w:ascii="Avenir Next" w:hAnsi="Avenir Next" w:cs="Arial"/>
          <w:sz w:val="22"/>
          <w:szCs w:val="22"/>
          <w:lang w:val="en-IN" w:eastAsia="en-IN"/>
        </w:rPr>
      </w:pPr>
      <w:r w:rsidRPr="00D332EC">
        <w:rPr>
          <w:rFonts w:ascii="Avenir Next" w:hAnsi="Avenir Next" w:cs="Arial"/>
          <w:sz w:val="22"/>
          <w:szCs w:val="22"/>
          <w:lang w:val="en-IN" w:eastAsia="en-IN"/>
        </w:rPr>
        <w:lastRenderedPageBreak/>
        <w:t xml:space="preserve">Statement 1: "A debtor is totally or partially divested of its assets and an insolvency practitioner is appointed;" this is the concept and provision which is covered in </w:t>
      </w:r>
      <w:r w:rsidRPr="00D332EC">
        <w:rPr>
          <w:rFonts w:ascii="Avenir Next" w:hAnsi="Avenir Next" w:cs="Arial"/>
          <w:b/>
          <w:bCs/>
          <w:sz w:val="22"/>
          <w:szCs w:val="22"/>
          <w:lang w:val="en-IN" w:eastAsia="en-IN"/>
        </w:rPr>
        <w:t>Article 1(</w:t>
      </w:r>
      <w:r w:rsidR="009E63C2" w:rsidRPr="00D332EC">
        <w:rPr>
          <w:rFonts w:ascii="Avenir Next" w:hAnsi="Avenir Next" w:cs="Arial"/>
          <w:b/>
          <w:bCs/>
          <w:sz w:val="22"/>
          <w:szCs w:val="22"/>
          <w:lang w:val="en-IN" w:eastAsia="en-IN"/>
        </w:rPr>
        <w:t>1</w:t>
      </w:r>
      <w:r w:rsidRPr="00D332EC">
        <w:rPr>
          <w:rFonts w:ascii="Avenir Next" w:hAnsi="Avenir Next" w:cs="Arial"/>
          <w:b/>
          <w:bCs/>
          <w:sz w:val="22"/>
          <w:szCs w:val="22"/>
          <w:lang w:val="en-IN" w:eastAsia="en-IN"/>
        </w:rPr>
        <w:t>) of the EIR Recast</w:t>
      </w:r>
      <w:r w:rsidRPr="00D332EC">
        <w:rPr>
          <w:rFonts w:ascii="Avenir Next" w:hAnsi="Avenir Next" w:cs="Arial"/>
          <w:sz w:val="22"/>
          <w:szCs w:val="22"/>
          <w:lang w:val="en-IN" w:eastAsia="en-IN"/>
        </w:rPr>
        <w:t>.</w:t>
      </w:r>
      <w:r w:rsidRPr="00D332EC">
        <w:rPr>
          <w:rFonts w:ascii="Avenir Next" w:hAnsi="Avenir Next" w:cs="Arial"/>
          <w:sz w:val="22"/>
          <w:szCs w:val="22"/>
          <w:lang w:val="en-IN" w:eastAsia="en-IN"/>
        </w:rPr>
        <w:br/>
      </w:r>
      <w:r w:rsidRPr="00D332EC">
        <w:rPr>
          <w:rFonts w:ascii="Avenir Next" w:hAnsi="Avenir Next" w:cs="Arial"/>
          <w:sz w:val="22"/>
          <w:szCs w:val="22"/>
          <w:lang w:val="en-IN" w:eastAsia="en-IN"/>
        </w:rPr>
        <w:br/>
        <w:t xml:space="preserve">Statement 2: </w:t>
      </w:r>
      <w:r w:rsidRPr="00D332EC">
        <w:rPr>
          <w:rFonts w:ascii="Avenir Next" w:hAnsi="Avenir Next" w:cs="Arial"/>
          <w:b/>
          <w:bCs/>
          <w:sz w:val="22"/>
          <w:szCs w:val="22"/>
          <w:lang w:val="en-IN" w:eastAsia="en-IN"/>
        </w:rPr>
        <w:t>Article 18 of the EIR Recast</w:t>
      </w:r>
      <w:r w:rsidRPr="00D332EC">
        <w:rPr>
          <w:rFonts w:ascii="Avenir Next" w:hAnsi="Avenir Next" w:cs="Arial"/>
          <w:sz w:val="22"/>
          <w:szCs w:val="22"/>
          <w:lang w:val="en-IN" w:eastAsia="en-IN"/>
        </w:rPr>
        <w:t xml:space="preserve">, "Effects of insolvency proceedings on pending lawsuits or arbitral proceedings," is the </w:t>
      </w:r>
      <w:r w:rsidR="007D7691" w:rsidRPr="00D332EC">
        <w:rPr>
          <w:rFonts w:ascii="Avenir Next" w:hAnsi="Avenir Next" w:cs="Arial"/>
          <w:sz w:val="22"/>
          <w:szCs w:val="22"/>
          <w:lang w:val="en-IN" w:eastAsia="en-IN"/>
        </w:rPr>
        <w:t>provision and concept</w:t>
      </w:r>
      <w:r w:rsidRPr="00D332EC">
        <w:rPr>
          <w:rFonts w:ascii="Avenir Next" w:hAnsi="Avenir Next" w:cs="Arial"/>
          <w:sz w:val="22"/>
          <w:szCs w:val="22"/>
          <w:lang w:val="en-IN" w:eastAsia="en-IN"/>
        </w:rPr>
        <w:t xml:space="preserve"> that is discussed.</w:t>
      </w:r>
    </w:p>
    <w:p w14:paraId="22C610C9" w14:textId="16EF6256" w:rsidR="00DE03AF" w:rsidRPr="00D332EC" w:rsidRDefault="00DE03AF" w:rsidP="002A37BB">
      <w:pPr>
        <w:jc w:val="both"/>
        <w:rPr>
          <w:rFonts w:ascii="Avenir Next" w:hAnsi="Avenir Next" w:cs="Arial"/>
          <w:sz w:val="22"/>
          <w:szCs w:val="22"/>
        </w:rPr>
      </w:pPr>
    </w:p>
    <w:p w14:paraId="10614297" w14:textId="3242EE04" w:rsidR="00C72848" w:rsidRPr="00D332EC" w:rsidRDefault="002C13C8" w:rsidP="002A37BB">
      <w:pPr>
        <w:ind w:left="720" w:hanging="720"/>
        <w:jc w:val="both"/>
        <w:rPr>
          <w:rFonts w:ascii="Avenir Next" w:hAnsi="Avenir Next" w:cs="Arial"/>
          <w:b/>
          <w:bCs/>
          <w:sz w:val="22"/>
          <w:szCs w:val="22"/>
        </w:rPr>
      </w:pPr>
      <w:r w:rsidRPr="00D332EC">
        <w:rPr>
          <w:rFonts w:ascii="Avenir Next" w:hAnsi="Avenir Next" w:cs="Arial"/>
          <w:b/>
          <w:bCs/>
          <w:sz w:val="22"/>
          <w:szCs w:val="22"/>
        </w:rPr>
        <w:t xml:space="preserve">Question </w:t>
      </w:r>
      <w:r w:rsidR="00DE03AF" w:rsidRPr="00D332EC">
        <w:rPr>
          <w:rFonts w:ascii="Avenir Next" w:hAnsi="Avenir Next" w:cs="Arial"/>
          <w:b/>
          <w:bCs/>
          <w:sz w:val="22"/>
          <w:szCs w:val="22"/>
        </w:rPr>
        <w:t>2.2</w:t>
      </w:r>
      <w:r w:rsidR="00DE03AF" w:rsidRPr="00D332EC">
        <w:rPr>
          <w:rFonts w:ascii="Avenir Next" w:hAnsi="Avenir Next" w:cs="Arial"/>
          <w:b/>
          <w:bCs/>
          <w:sz w:val="22"/>
          <w:szCs w:val="22"/>
        </w:rPr>
        <w:tab/>
        <w:t>[</w:t>
      </w:r>
      <w:r w:rsidR="00D17FDC" w:rsidRPr="00D332EC">
        <w:rPr>
          <w:rFonts w:ascii="Avenir Next" w:hAnsi="Avenir Next" w:cs="Arial"/>
          <w:b/>
          <w:bCs/>
          <w:sz w:val="22"/>
          <w:szCs w:val="22"/>
        </w:rPr>
        <w:t>m</w:t>
      </w:r>
      <w:r w:rsidR="00DE03AF" w:rsidRPr="00D332EC">
        <w:rPr>
          <w:rFonts w:ascii="Avenir Next" w:hAnsi="Avenir Next" w:cs="Arial"/>
          <w:b/>
          <w:bCs/>
          <w:sz w:val="22"/>
          <w:szCs w:val="22"/>
        </w:rPr>
        <w:t xml:space="preserve">aximum </w:t>
      </w:r>
      <w:r w:rsidR="00CB1983" w:rsidRPr="00D332EC">
        <w:rPr>
          <w:rFonts w:ascii="Avenir Next" w:hAnsi="Avenir Next" w:cs="Arial"/>
          <w:b/>
          <w:bCs/>
          <w:sz w:val="22"/>
          <w:szCs w:val="22"/>
        </w:rPr>
        <w:t>3</w:t>
      </w:r>
      <w:r w:rsidR="00DE03AF" w:rsidRPr="00D332EC">
        <w:rPr>
          <w:rFonts w:ascii="Avenir Next" w:hAnsi="Avenir Next" w:cs="Arial"/>
          <w:b/>
          <w:bCs/>
          <w:sz w:val="22"/>
          <w:szCs w:val="22"/>
        </w:rPr>
        <w:t xml:space="preserve"> marks] </w:t>
      </w:r>
    </w:p>
    <w:p w14:paraId="1C61515B" w14:textId="77777777" w:rsidR="00C72848" w:rsidRPr="00D332EC" w:rsidRDefault="00C72848" w:rsidP="002A37BB">
      <w:pPr>
        <w:ind w:left="720" w:hanging="720"/>
        <w:jc w:val="both"/>
        <w:rPr>
          <w:rFonts w:ascii="Avenir Next" w:hAnsi="Avenir Next" w:cs="Arial"/>
          <w:sz w:val="22"/>
          <w:szCs w:val="22"/>
        </w:rPr>
      </w:pPr>
    </w:p>
    <w:p w14:paraId="34D15276" w14:textId="1B94AC44" w:rsidR="007E3AA9" w:rsidRPr="00D332EC" w:rsidRDefault="007E3AA9" w:rsidP="007E3AA9">
      <w:pPr>
        <w:jc w:val="both"/>
        <w:rPr>
          <w:rFonts w:ascii="Avenir Next" w:hAnsi="Avenir Next" w:cs="Arial"/>
          <w:sz w:val="22"/>
          <w:szCs w:val="22"/>
          <w:lang w:val="en-GB"/>
        </w:rPr>
      </w:pPr>
      <w:r w:rsidRPr="00D332EC">
        <w:rPr>
          <w:rFonts w:ascii="Avenir Next" w:hAnsi="Avenir Next" w:cs="Arial"/>
          <w:sz w:val="22"/>
          <w:szCs w:val="22"/>
          <w:lang w:val="en-GB"/>
        </w:rPr>
        <w:t xml:space="preserve">The EIR Recast’s objective remains, as much as possible, the universality of proceedings. However, several exceptions to this universal vision exist throughout the Regulation.  Provide </w:t>
      </w:r>
      <w:r w:rsidRPr="00D332EC">
        <w:rPr>
          <w:rFonts w:ascii="Avenir Next" w:hAnsi="Avenir Next" w:cs="Arial"/>
          <w:b/>
          <w:bCs/>
          <w:sz w:val="22"/>
          <w:szCs w:val="22"/>
          <w:u w:val="single"/>
          <w:lang w:val="en-GB"/>
        </w:rPr>
        <w:t>three (3) examples</w:t>
      </w:r>
      <w:r w:rsidRPr="00D332EC">
        <w:rPr>
          <w:rFonts w:ascii="Avenir Next" w:hAnsi="Avenir Next" w:cs="Arial"/>
          <w:sz w:val="22"/>
          <w:szCs w:val="22"/>
          <w:lang w:val="en-GB"/>
        </w:rPr>
        <w:t xml:space="preserve"> of provisions from the EIR Recast </w:t>
      </w:r>
      <w:r w:rsidR="0026353C" w:rsidRPr="00D332EC">
        <w:rPr>
          <w:rFonts w:ascii="Avenir Next" w:hAnsi="Avenir Next" w:cs="Arial"/>
          <w:sz w:val="22"/>
          <w:szCs w:val="22"/>
          <w:lang w:val="en-GB"/>
        </w:rPr>
        <w:t>that</w:t>
      </w:r>
      <w:r w:rsidRPr="00D332EC">
        <w:rPr>
          <w:rFonts w:ascii="Avenir Next" w:hAnsi="Avenir Next" w:cs="Arial"/>
          <w:sz w:val="22"/>
          <w:szCs w:val="22"/>
          <w:lang w:val="en-GB"/>
        </w:rPr>
        <w:t xml:space="preserve"> depart from a universal approach to cross-border insolvency.  </w:t>
      </w:r>
    </w:p>
    <w:p w14:paraId="2BFFB7B5" w14:textId="77777777" w:rsidR="00E70FA4" w:rsidRPr="00D332EC" w:rsidRDefault="00E70FA4" w:rsidP="00636C15">
      <w:pPr>
        <w:jc w:val="both"/>
        <w:rPr>
          <w:rFonts w:ascii="Avenir Next" w:hAnsi="Avenir Next" w:cs="Arial"/>
          <w:sz w:val="22"/>
          <w:szCs w:val="22"/>
          <w:lang w:val="en-GB"/>
        </w:rPr>
      </w:pPr>
    </w:p>
    <w:p w14:paraId="28658D06" w14:textId="1CF29DF2" w:rsidR="00E203D8" w:rsidRPr="00D332EC" w:rsidRDefault="00E203D8" w:rsidP="00636C15">
      <w:pPr>
        <w:jc w:val="both"/>
        <w:rPr>
          <w:rFonts w:ascii="Avenir Next" w:hAnsi="Avenir Next" w:cs="Arial"/>
          <w:sz w:val="22"/>
          <w:szCs w:val="22"/>
          <w:lang w:val="en-GB"/>
        </w:rPr>
      </w:pPr>
      <w:r w:rsidRPr="00D332EC">
        <w:rPr>
          <w:rFonts w:ascii="Avenir Next" w:hAnsi="Avenir Next" w:cs="Arial"/>
          <w:sz w:val="22"/>
          <w:szCs w:val="22"/>
          <w:lang w:val="en-GB"/>
        </w:rPr>
        <w:t xml:space="preserve">Answers: </w:t>
      </w:r>
    </w:p>
    <w:p w14:paraId="3CE46344" w14:textId="77777777" w:rsidR="00E203D8" w:rsidRPr="00D332EC" w:rsidRDefault="00E203D8" w:rsidP="00636C15">
      <w:pPr>
        <w:jc w:val="both"/>
        <w:rPr>
          <w:rFonts w:ascii="Avenir Next" w:hAnsi="Avenir Next" w:cs="Arial"/>
          <w:sz w:val="22"/>
          <w:szCs w:val="22"/>
          <w:lang w:val="en-GB"/>
        </w:rPr>
      </w:pPr>
    </w:p>
    <w:p w14:paraId="46008651" w14:textId="724D8A6D" w:rsidR="002C3774" w:rsidRPr="00D332EC" w:rsidRDefault="002C3774" w:rsidP="00347D7E">
      <w:pPr>
        <w:jc w:val="both"/>
        <w:rPr>
          <w:rFonts w:ascii="Avenir Next" w:hAnsi="Avenir Next" w:cs="Arial"/>
          <w:sz w:val="22"/>
          <w:szCs w:val="22"/>
          <w:lang w:val="en-IN" w:eastAsia="en-IN"/>
        </w:rPr>
      </w:pPr>
      <w:r w:rsidRPr="00D332EC">
        <w:rPr>
          <w:rFonts w:ascii="Avenir Next" w:hAnsi="Avenir Next" w:cs="Arial"/>
          <w:b/>
          <w:bCs/>
          <w:sz w:val="22"/>
          <w:szCs w:val="22"/>
          <w:lang w:val="en-IN" w:eastAsia="en-IN"/>
        </w:rPr>
        <w:t>Article 5(2)</w:t>
      </w:r>
      <w:r w:rsidRPr="00D332EC">
        <w:rPr>
          <w:rFonts w:ascii="Avenir Next" w:hAnsi="Avenir Next" w:cs="Arial"/>
          <w:sz w:val="22"/>
          <w:szCs w:val="22"/>
          <w:lang w:val="en-IN" w:eastAsia="en-IN"/>
        </w:rPr>
        <w:t>: By allowing a debtor's COMI</w:t>
      </w:r>
      <w:r w:rsidR="00D66879" w:rsidRPr="00D332EC">
        <w:rPr>
          <w:rFonts w:ascii="Avenir Next" w:hAnsi="Avenir Next" w:cs="Arial"/>
          <w:sz w:val="22"/>
          <w:szCs w:val="22"/>
          <w:lang w:val="en-IN" w:eastAsia="en-IN"/>
        </w:rPr>
        <w:t>(Cen</w:t>
      </w:r>
      <w:r w:rsidR="00080168" w:rsidRPr="00D332EC">
        <w:rPr>
          <w:rFonts w:ascii="Avenir Next" w:hAnsi="Avenir Next" w:cs="Arial"/>
          <w:sz w:val="22"/>
          <w:szCs w:val="22"/>
          <w:lang w:val="en-IN" w:eastAsia="en-IN"/>
        </w:rPr>
        <w:t>tr</w:t>
      </w:r>
      <w:r w:rsidR="004F73DC" w:rsidRPr="00D332EC">
        <w:rPr>
          <w:rFonts w:ascii="Avenir Next" w:hAnsi="Avenir Next" w:cs="Arial"/>
          <w:sz w:val="22"/>
          <w:szCs w:val="22"/>
          <w:lang w:val="en-IN" w:eastAsia="en-IN"/>
        </w:rPr>
        <w:t>e Of Main Interest)</w:t>
      </w:r>
      <w:r w:rsidRPr="00D332EC">
        <w:rPr>
          <w:rFonts w:ascii="Avenir Next" w:hAnsi="Avenir Next" w:cs="Arial"/>
          <w:sz w:val="22"/>
          <w:szCs w:val="22"/>
          <w:lang w:val="en-IN" w:eastAsia="en-IN"/>
        </w:rPr>
        <w:t xml:space="preserve"> </w:t>
      </w:r>
      <w:r w:rsidR="0001315C" w:rsidRPr="00D332EC">
        <w:rPr>
          <w:rFonts w:ascii="Avenir Next" w:hAnsi="Avenir Next" w:cs="Arial"/>
          <w:sz w:val="22"/>
          <w:szCs w:val="22"/>
          <w:lang w:val="en-IN" w:eastAsia="en-IN"/>
        </w:rPr>
        <w:t>to be</w:t>
      </w:r>
      <w:r w:rsidRPr="00D332EC">
        <w:rPr>
          <w:rFonts w:ascii="Avenir Next" w:hAnsi="Avenir Next" w:cs="Arial"/>
          <w:sz w:val="22"/>
          <w:szCs w:val="22"/>
          <w:lang w:val="en-IN" w:eastAsia="en-IN"/>
        </w:rPr>
        <w:t xml:space="preserve"> assumed to be located in the Member State of its registered office, this clause may cause insolvency proceedings to be localized as opposed</w:t>
      </w:r>
      <w:r w:rsidR="00347D7E" w:rsidRPr="00D332EC">
        <w:rPr>
          <w:rFonts w:ascii="Avenir Next" w:hAnsi="Avenir Next" w:cs="Arial"/>
          <w:sz w:val="22"/>
          <w:szCs w:val="22"/>
          <w:lang w:val="en-IN" w:eastAsia="en-IN"/>
        </w:rPr>
        <w:t xml:space="preserve"> </w:t>
      </w:r>
      <w:r w:rsidRPr="00D332EC">
        <w:rPr>
          <w:rFonts w:ascii="Avenir Next" w:hAnsi="Avenir Next" w:cs="Arial"/>
          <w:sz w:val="22"/>
          <w:szCs w:val="22"/>
          <w:lang w:val="en-IN" w:eastAsia="en-IN"/>
        </w:rPr>
        <w:t xml:space="preserve">to following the </w:t>
      </w:r>
      <w:r w:rsidR="00F71E51" w:rsidRPr="00D332EC">
        <w:rPr>
          <w:rFonts w:ascii="Avenir Next" w:hAnsi="Avenir Next" w:cs="Arial"/>
          <w:sz w:val="22"/>
          <w:szCs w:val="22"/>
          <w:lang w:val="en-IN" w:eastAsia="en-IN"/>
        </w:rPr>
        <w:t>principle of universality</w:t>
      </w:r>
      <w:r w:rsidRPr="00D332EC">
        <w:rPr>
          <w:rFonts w:ascii="Avenir Next" w:hAnsi="Avenir Next" w:cs="Arial"/>
          <w:sz w:val="22"/>
          <w:szCs w:val="22"/>
          <w:lang w:val="en-IN" w:eastAsia="en-IN"/>
        </w:rPr>
        <w:t>.</w:t>
      </w:r>
      <w:r w:rsidRPr="00D332EC">
        <w:rPr>
          <w:rFonts w:ascii="Avenir Next" w:hAnsi="Avenir Next" w:cs="Arial"/>
          <w:sz w:val="22"/>
          <w:szCs w:val="22"/>
          <w:lang w:val="en-IN" w:eastAsia="en-IN"/>
        </w:rPr>
        <w:br/>
      </w:r>
      <w:r w:rsidRPr="00D332EC">
        <w:rPr>
          <w:rFonts w:ascii="Avenir Next" w:hAnsi="Avenir Next" w:cs="Arial"/>
          <w:sz w:val="22"/>
          <w:szCs w:val="22"/>
          <w:lang w:val="en-IN" w:eastAsia="en-IN"/>
        </w:rPr>
        <w:br/>
      </w:r>
      <w:r w:rsidRPr="00D332EC">
        <w:rPr>
          <w:rFonts w:ascii="Avenir Next" w:hAnsi="Avenir Next" w:cs="Arial"/>
          <w:b/>
          <w:bCs/>
          <w:sz w:val="22"/>
          <w:szCs w:val="22"/>
          <w:lang w:val="en-IN" w:eastAsia="en-IN"/>
        </w:rPr>
        <w:t>Article 7(1)</w:t>
      </w:r>
      <w:r w:rsidRPr="00D332EC">
        <w:rPr>
          <w:rFonts w:ascii="Avenir Next" w:hAnsi="Avenir Next" w:cs="Arial"/>
          <w:sz w:val="22"/>
          <w:szCs w:val="22"/>
          <w:lang w:val="en-IN" w:eastAsia="en-IN"/>
        </w:rPr>
        <w:t>: The idea of universality may be undermined by this clause, which permits exceptions to the application of the state's law (lex concursus), potentially resulting in legal conflicts between various Member States</w:t>
      </w:r>
      <w:r w:rsidR="003B3F14" w:rsidRPr="00D332EC">
        <w:rPr>
          <w:rFonts w:ascii="Avenir Next" w:hAnsi="Avenir Next" w:cs="Arial"/>
          <w:sz w:val="22"/>
          <w:szCs w:val="22"/>
          <w:lang w:val="en-IN" w:eastAsia="en-IN"/>
        </w:rPr>
        <w:t>, thereby undermining</w:t>
      </w:r>
      <w:r w:rsidR="00980A8B" w:rsidRPr="00D332EC">
        <w:rPr>
          <w:rFonts w:ascii="Avenir Next" w:hAnsi="Avenir Next" w:cs="Arial"/>
          <w:sz w:val="22"/>
          <w:szCs w:val="22"/>
          <w:lang w:val="en-IN" w:eastAsia="en-IN"/>
        </w:rPr>
        <w:t xml:space="preserve"> the principle of universality.</w:t>
      </w:r>
      <w:r w:rsidRPr="00D332EC">
        <w:rPr>
          <w:rFonts w:ascii="Avenir Next" w:hAnsi="Avenir Next" w:cs="Arial"/>
          <w:sz w:val="22"/>
          <w:szCs w:val="22"/>
          <w:lang w:val="en-IN" w:eastAsia="en-IN"/>
        </w:rPr>
        <w:br/>
      </w:r>
      <w:r w:rsidRPr="00D332EC">
        <w:rPr>
          <w:rFonts w:ascii="Avenir Next" w:hAnsi="Avenir Next" w:cs="Arial"/>
          <w:sz w:val="22"/>
          <w:szCs w:val="22"/>
          <w:lang w:val="en-IN" w:eastAsia="en-IN"/>
        </w:rPr>
        <w:br/>
      </w:r>
      <w:r w:rsidRPr="00D332EC">
        <w:rPr>
          <w:rFonts w:ascii="Avenir Next" w:hAnsi="Avenir Next" w:cs="Arial"/>
          <w:sz w:val="22"/>
          <w:szCs w:val="22"/>
          <w:lang w:val="en-IN" w:eastAsia="en-IN"/>
        </w:rPr>
        <w:br/>
      </w:r>
      <w:r w:rsidRPr="00D332EC">
        <w:rPr>
          <w:rFonts w:ascii="Avenir Next" w:hAnsi="Avenir Next" w:cs="Arial"/>
          <w:b/>
          <w:bCs/>
          <w:sz w:val="22"/>
          <w:szCs w:val="22"/>
          <w:lang w:val="en-IN" w:eastAsia="en-IN"/>
        </w:rPr>
        <w:t>Article 36(1)</w:t>
      </w:r>
      <w:r w:rsidRPr="00D332EC">
        <w:rPr>
          <w:rFonts w:ascii="Avenir Next" w:hAnsi="Avenir Next" w:cs="Arial"/>
          <w:sz w:val="22"/>
          <w:szCs w:val="22"/>
          <w:lang w:val="en-IN" w:eastAsia="en-IN"/>
        </w:rPr>
        <w:t>: This article presents the idea of "</w:t>
      </w:r>
      <w:r w:rsidRPr="00D332EC">
        <w:rPr>
          <w:rFonts w:ascii="Avenir Next" w:hAnsi="Avenir Next" w:cs="Arial"/>
          <w:b/>
          <w:bCs/>
          <w:sz w:val="22"/>
          <w:szCs w:val="22"/>
          <w:lang w:val="en-IN" w:eastAsia="en-IN"/>
        </w:rPr>
        <w:t>synthetic proceedings,</w:t>
      </w:r>
      <w:r w:rsidRPr="00D332EC">
        <w:rPr>
          <w:rFonts w:ascii="Avenir Next" w:hAnsi="Avenir Next" w:cs="Arial"/>
          <w:sz w:val="22"/>
          <w:szCs w:val="22"/>
          <w:lang w:val="en-IN" w:eastAsia="en-IN"/>
        </w:rPr>
        <w:t>" in which the effects of the primary insolvency proceedings are expanded to other Member States without initiating a new secondary proceeding. The principle of universality is impacted by this deviation from distinct secondary proceedings.</w:t>
      </w:r>
    </w:p>
    <w:p w14:paraId="77F16682" w14:textId="77777777" w:rsidR="008A6CA4" w:rsidRPr="00D332EC" w:rsidRDefault="008A6CA4" w:rsidP="008A6CA4">
      <w:pPr>
        <w:jc w:val="both"/>
        <w:rPr>
          <w:rFonts w:ascii="Avenir Next" w:hAnsi="Avenir Next" w:cs="Arial"/>
          <w:sz w:val="22"/>
          <w:szCs w:val="22"/>
          <w:lang w:val="en-GB"/>
        </w:rPr>
      </w:pPr>
    </w:p>
    <w:p w14:paraId="34516371" w14:textId="6DFAB56A" w:rsidR="00C72848" w:rsidRPr="00D332EC" w:rsidRDefault="00C72848" w:rsidP="002A37BB">
      <w:pPr>
        <w:ind w:left="720" w:hanging="720"/>
        <w:jc w:val="both"/>
        <w:rPr>
          <w:rFonts w:ascii="Avenir Next" w:hAnsi="Avenir Next" w:cs="Arial"/>
          <w:b/>
          <w:bCs/>
          <w:sz w:val="22"/>
          <w:szCs w:val="22"/>
          <w:lang w:val="en-GB"/>
        </w:rPr>
      </w:pPr>
      <w:r w:rsidRPr="00D332EC">
        <w:rPr>
          <w:rFonts w:ascii="Avenir Next" w:hAnsi="Avenir Next" w:cs="Arial"/>
          <w:b/>
          <w:bCs/>
          <w:sz w:val="22"/>
          <w:szCs w:val="22"/>
          <w:lang w:val="en-GB"/>
        </w:rPr>
        <w:t xml:space="preserve">Question </w:t>
      </w:r>
      <w:r w:rsidR="00E6452F" w:rsidRPr="00D332EC">
        <w:rPr>
          <w:rFonts w:ascii="Avenir Next" w:hAnsi="Avenir Next" w:cs="Arial"/>
          <w:b/>
          <w:bCs/>
          <w:sz w:val="22"/>
          <w:szCs w:val="22"/>
          <w:lang w:val="en-GB"/>
        </w:rPr>
        <w:t>2.3</w:t>
      </w:r>
      <w:r w:rsidR="00E6452F" w:rsidRPr="00D332EC">
        <w:rPr>
          <w:rFonts w:ascii="Avenir Next" w:hAnsi="Avenir Next" w:cs="Arial"/>
          <w:b/>
          <w:bCs/>
          <w:sz w:val="22"/>
          <w:szCs w:val="22"/>
          <w:lang w:val="en-GB"/>
        </w:rPr>
        <w:tab/>
        <w:t>[</w:t>
      </w:r>
      <w:r w:rsidR="00D17FDC" w:rsidRPr="00D332EC">
        <w:rPr>
          <w:rFonts w:ascii="Avenir Next" w:hAnsi="Avenir Next" w:cs="Arial"/>
          <w:b/>
          <w:bCs/>
          <w:sz w:val="22"/>
          <w:szCs w:val="22"/>
          <w:lang w:val="en-GB"/>
        </w:rPr>
        <w:t>m</w:t>
      </w:r>
      <w:r w:rsidR="00E6452F" w:rsidRPr="00D332EC">
        <w:rPr>
          <w:rFonts w:ascii="Avenir Next" w:hAnsi="Avenir Next" w:cs="Arial"/>
          <w:b/>
          <w:bCs/>
          <w:sz w:val="22"/>
          <w:szCs w:val="22"/>
          <w:lang w:val="en-GB"/>
        </w:rPr>
        <w:t xml:space="preserve">aximum </w:t>
      </w:r>
      <w:r w:rsidR="00ED472A" w:rsidRPr="00D332EC">
        <w:rPr>
          <w:rFonts w:ascii="Avenir Next" w:hAnsi="Avenir Next" w:cs="Arial"/>
          <w:b/>
          <w:bCs/>
          <w:sz w:val="22"/>
          <w:szCs w:val="22"/>
          <w:lang w:val="en-GB"/>
        </w:rPr>
        <w:t>3</w:t>
      </w:r>
      <w:r w:rsidR="00E6452F" w:rsidRPr="00D332EC">
        <w:rPr>
          <w:rFonts w:ascii="Avenir Next" w:hAnsi="Avenir Next" w:cs="Arial"/>
          <w:b/>
          <w:bCs/>
          <w:sz w:val="22"/>
          <w:szCs w:val="22"/>
          <w:lang w:val="en-GB"/>
        </w:rPr>
        <w:t xml:space="preserve"> marks] </w:t>
      </w:r>
    </w:p>
    <w:p w14:paraId="64670543" w14:textId="77777777" w:rsidR="00C72848" w:rsidRPr="00D332EC" w:rsidRDefault="00C72848" w:rsidP="002A37BB">
      <w:pPr>
        <w:ind w:left="720" w:hanging="720"/>
        <w:jc w:val="both"/>
        <w:rPr>
          <w:rFonts w:ascii="Avenir Next" w:hAnsi="Avenir Next" w:cs="Arial"/>
          <w:b/>
          <w:bCs/>
          <w:sz w:val="22"/>
          <w:szCs w:val="22"/>
          <w:lang w:val="en-GB"/>
        </w:rPr>
      </w:pPr>
    </w:p>
    <w:p w14:paraId="1E24B4CD" w14:textId="3A1C2A64" w:rsidR="00956E63" w:rsidRPr="00D332EC" w:rsidRDefault="00956E63" w:rsidP="00956E63">
      <w:pPr>
        <w:jc w:val="both"/>
        <w:rPr>
          <w:rFonts w:ascii="Avenir Next" w:hAnsi="Avenir Next" w:cs="Arial"/>
          <w:sz w:val="22"/>
          <w:szCs w:val="22"/>
          <w:lang w:val="en-GB"/>
        </w:rPr>
      </w:pPr>
      <w:r w:rsidRPr="00D332EC">
        <w:rPr>
          <w:rFonts w:ascii="Avenir Next" w:hAnsi="Avenir Next" w:cs="Arial"/>
          <w:sz w:val="22"/>
          <w:szCs w:val="22"/>
        </w:rPr>
        <w:t>The EIR Recast regulates</w:t>
      </w:r>
      <w:r w:rsidRPr="00D332EC">
        <w:rPr>
          <w:rFonts w:ascii="Avenir Next" w:hAnsi="Avenir Next"/>
          <w:sz w:val="22"/>
          <w:szCs w:val="22"/>
        </w:rPr>
        <w:t xml:space="preserve"> the </w:t>
      </w:r>
      <w:r w:rsidRPr="00D332EC">
        <w:rPr>
          <w:rFonts w:ascii="Avenir Next" w:hAnsi="Avenir Next" w:cs="Arial"/>
          <w:sz w:val="22"/>
          <w:szCs w:val="22"/>
        </w:rPr>
        <w:t>material scope of the Regulation in relation to national</w:t>
      </w:r>
      <w:r w:rsidRPr="00D332EC">
        <w:rPr>
          <w:rFonts w:ascii="Avenir Next" w:hAnsi="Avenir Next"/>
          <w:sz w:val="22"/>
          <w:szCs w:val="22"/>
        </w:rPr>
        <w:t xml:space="preserve"> insolvency proceedings in </w:t>
      </w:r>
      <w:r w:rsidRPr="00D332EC">
        <w:rPr>
          <w:rFonts w:ascii="Avenir Next" w:hAnsi="Avenir Next" w:cs="Arial"/>
          <w:sz w:val="22"/>
          <w:szCs w:val="22"/>
        </w:rPr>
        <w:t>Member States.</w:t>
      </w:r>
      <w:r w:rsidRPr="00D332EC">
        <w:rPr>
          <w:rFonts w:ascii="Avenir Next" w:hAnsi="Avenir Next"/>
          <w:sz w:val="22"/>
          <w:szCs w:val="22"/>
        </w:rPr>
        <w:t xml:space="preserve"> </w:t>
      </w:r>
      <w:r w:rsidRPr="00D332EC">
        <w:rPr>
          <w:rFonts w:ascii="Avenir Next" w:hAnsi="Avenir Next" w:cs="Arial"/>
          <w:sz w:val="22"/>
          <w:szCs w:val="22"/>
          <w:lang w:val="en-GB"/>
        </w:rPr>
        <w:t xml:space="preserve">List </w:t>
      </w:r>
      <w:r w:rsidRPr="00D332EC">
        <w:rPr>
          <w:rFonts w:ascii="Avenir Next" w:hAnsi="Avenir Next" w:cs="Arial"/>
          <w:b/>
          <w:bCs/>
          <w:sz w:val="22"/>
          <w:szCs w:val="22"/>
          <w:u w:val="single"/>
          <w:lang w:val="en-GB"/>
        </w:rPr>
        <w:t>three (3) elements</w:t>
      </w:r>
      <w:r w:rsidRPr="00D332EC">
        <w:rPr>
          <w:rFonts w:ascii="Avenir Next" w:hAnsi="Avenir Next" w:cs="Arial"/>
          <w:sz w:val="22"/>
          <w:szCs w:val="22"/>
          <w:lang w:val="en-GB"/>
        </w:rPr>
        <w:t xml:space="preserve"> of the EIR Recast that deal with this matter and explain how they relate to this. </w:t>
      </w:r>
    </w:p>
    <w:p w14:paraId="4F051265" w14:textId="77777777" w:rsidR="006723E9" w:rsidRPr="00D332EC" w:rsidRDefault="006723E9" w:rsidP="002A37BB">
      <w:pPr>
        <w:jc w:val="both"/>
        <w:rPr>
          <w:rFonts w:ascii="Avenir Next" w:hAnsi="Avenir Next" w:cs="Arial"/>
          <w:sz w:val="22"/>
          <w:szCs w:val="22"/>
          <w:lang w:val="en-GB"/>
        </w:rPr>
      </w:pPr>
    </w:p>
    <w:p w14:paraId="08110F88" w14:textId="77777777" w:rsidR="005349F4" w:rsidRPr="00D332EC" w:rsidRDefault="005349F4" w:rsidP="005349F4">
      <w:pPr>
        <w:jc w:val="both"/>
        <w:rPr>
          <w:rFonts w:ascii="Avenir Next" w:hAnsi="Avenir Next" w:cs="Arial"/>
          <w:sz w:val="22"/>
          <w:szCs w:val="22"/>
          <w:lang w:val="en-GB"/>
        </w:rPr>
      </w:pPr>
      <w:r w:rsidRPr="00D332EC">
        <w:rPr>
          <w:rFonts w:ascii="Avenir Next" w:hAnsi="Avenir Next" w:cs="Arial"/>
          <w:sz w:val="22"/>
          <w:szCs w:val="22"/>
          <w:lang w:val="en-GB"/>
        </w:rPr>
        <w:t>Answers:</w:t>
      </w:r>
    </w:p>
    <w:p w14:paraId="7F468C6E" w14:textId="77777777" w:rsidR="008A6CA4" w:rsidRPr="00D332EC" w:rsidRDefault="008A6CA4" w:rsidP="008A6CA4">
      <w:pPr>
        <w:jc w:val="both"/>
        <w:rPr>
          <w:rFonts w:ascii="Avenir Next" w:hAnsi="Avenir Next" w:cs="Arial"/>
          <w:bCs/>
          <w:sz w:val="22"/>
          <w:szCs w:val="22"/>
          <w:lang w:val="en-GB"/>
        </w:rPr>
      </w:pPr>
    </w:p>
    <w:p w14:paraId="38496065" w14:textId="7203E31F" w:rsidR="00627763" w:rsidRPr="00D332EC" w:rsidRDefault="00782386" w:rsidP="00782386">
      <w:pPr>
        <w:jc w:val="both"/>
        <w:rPr>
          <w:rFonts w:ascii="Avenir Next" w:hAnsi="Avenir Next" w:cs="Arial"/>
          <w:sz w:val="22"/>
          <w:szCs w:val="22"/>
          <w:lang w:val="en-IN" w:eastAsia="en-IN"/>
        </w:rPr>
      </w:pPr>
      <w:r w:rsidRPr="00D332EC">
        <w:rPr>
          <w:rFonts w:ascii="Avenir Next" w:hAnsi="Avenir Next" w:cs="Arial"/>
          <w:sz w:val="22"/>
          <w:szCs w:val="22"/>
          <w:lang w:val="en-IN" w:eastAsia="en-IN"/>
        </w:rPr>
        <w:t>Certainly, the following three EIR Recast elements</w:t>
      </w:r>
      <w:r w:rsidR="00DC76BE" w:rsidRPr="00D332EC">
        <w:rPr>
          <w:rFonts w:ascii="Avenir Next" w:hAnsi="Avenir Next" w:cs="Arial"/>
          <w:sz w:val="22"/>
          <w:szCs w:val="22"/>
          <w:lang w:val="en-IN" w:eastAsia="en-IN"/>
        </w:rPr>
        <w:t xml:space="preserve"> </w:t>
      </w:r>
      <w:r w:rsidRPr="00D332EC">
        <w:rPr>
          <w:rFonts w:ascii="Avenir Next" w:hAnsi="Avenir Next" w:cs="Arial"/>
          <w:sz w:val="22"/>
          <w:szCs w:val="22"/>
          <w:lang w:val="en-IN" w:eastAsia="en-IN"/>
        </w:rPr>
        <w:t xml:space="preserve">along with </w:t>
      </w:r>
      <w:r w:rsidR="00DC76BE" w:rsidRPr="00D332EC">
        <w:rPr>
          <w:rFonts w:ascii="Avenir Next" w:hAnsi="Avenir Next" w:cs="Arial"/>
          <w:sz w:val="22"/>
          <w:szCs w:val="22"/>
          <w:lang w:val="en-IN" w:eastAsia="en-IN"/>
        </w:rPr>
        <w:t>specific</w:t>
      </w:r>
      <w:r w:rsidRPr="00D332EC">
        <w:rPr>
          <w:rFonts w:ascii="Avenir Next" w:hAnsi="Avenir Next" w:cs="Arial"/>
          <w:sz w:val="22"/>
          <w:szCs w:val="22"/>
          <w:lang w:val="en-IN" w:eastAsia="en-IN"/>
        </w:rPr>
        <w:t xml:space="preserve"> explanations</w:t>
      </w:r>
      <w:r w:rsidR="00DC76BE" w:rsidRPr="00D332EC">
        <w:rPr>
          <w:rFonts w:ascii="Avenir Next" w:hAnsi="Avenir Next" w:cs="Arial"/>
          <w:sz w:val="22"/>
          <w:szCs w:val="22"/>
          <w:lang w:val="en-IN" w:eastAsia="en-IN"/>
        </w:rPr>
        <w:t xml:space="preserve"> deal</w:t>
      </w:r>
      <w:r w:rsidRPr="00D332EC">
        <w:rPr>
          <w:rFonts w:ascii="Avenir Next" w:hAnsi="Avenir Next" w:cs="Arial"/>
          <w:sz w:val="22"/>
          <w:szCs w:val="22"/>
          <w:lang w:val="en-IN" w:eastAsia="en-IN"/>
        </w:rPr>
        <w:t xml:space="preserve"> with the Regulation's material scope in relation to national insolvency proceedings in Member States: </w:t>
      </w:r>
      <w:r w:rsidRPr="00D332EC">
        <w:rPr>
          <w:rFonts w:ascii="Avenir Next" w:hAnsi="Avenir Next" w:cs="Arial"/>
          <w:sz w:val="22"/>
          <w:szCs w:val="22"/>
          <w:lang w:val="en-IN" w:eastAsia="en-IN"/>
        </w:rPr>
        <w:br/>
      </w:r>
      <w:r w:rsidRPr="00D332EC">
        <w:rPr>
          <w:rFonts w:ascii="Avenir Next" w:hAnsi="Avenir Next" w:cs="Arial"/>
          <w:sz w:val="22"/>
          <w:szCs w:val="22"/>
          <w:lang w:val="en-IN" w:eastAsia="en-IN"/>
        </w:rPr>
        <w:br/>
      </w:r>
      <w:r w:rsidRPr="00D332EC">
        <w:rPr>
          <w:rFonts w:ascii="Avenir Next" w:hAnsi="Avenir Next" w:cs="Arial"/>
          <w:b/>
          <w:bCs/>
          <w:sz w:val="22"/>
          <w:szCs w:val="22"/>
          <w:lang w:val="en-IN" w:eastAsia="en-IN"/>
        </w:rPr>
        <w:t>Article 1(1)</w:t>
      </w:r>
      <w:r w:rsidRPr="00D332EC">
        <w:rPr>
          <w:rFonts w:ascii="Avenir Next" w:hAnsi="Avenir Next" w:cs="Arial"/>
          <w:sz w:val="22"/>
          <w:szCs w:val="22"/>
          <w:lang w:val="en-IN" w:eastAsia="en-IN"/>
        </w:rPr>
        <w:t xml:space="preserve"> - Regulation's Scope: Specifies the kinds of insolvency processes that fall under its purview, emphasizing rescue, debt adjustment, restructuring, and liquidation; this establishes the EIR Recast's material scope.</w:t>
      </w:r>
      <w:r w:rsidRPr="00D332EC">
        <w:rPr>
          <w:rFonts w:ascii="Avenir Next" w:hAnsi="Avenir Next" w:cs="Arial"/>
          <w:sz w:val="22"/>
          <w:szCs w:val="22"/>
          <w:lang w:val="en-IN" w:eastAsia="en-IN"/>
        </w:rPr>
        <w:br/>
      </w:r>
      <w:r w:rsidRPr="00D332EC">
        <w:rPr>
          <w:rFonts w:ascii="Avenir Next" w:hAnsi="Avenir Next" w:cs="Arial"/>
          <w:sz w:val="22"/>
          <w:szCs w:val="22"/>
          <w:lang w:val="en-IN" w:eastAsia="en-IN"/>
        </w:rPr>
        <w:br/>
      </w:r>
      <w:r w:rsidRPr="00D332EC">
        <w:rPr>
          <w:rFonts w:ascii="Avenir Next" w:hAnsi="Avenir Next" w:cs="Arial"/>
          <w:b/>
          <w:bCs/>
          <w:sz w:val="22"/>
          <w:szCs w:val="22"/>
          <w:lang w:val="en-IN" w:eastAsia="en-IN"/>
        </w:rPr>
        <w:t>Article 1(2)</w:t>
      </w:r>
      <w:r w:rsidRPr="00D332EC">
        <w:rPr>
          <w:rFonts w:ascii="Avenir Next" w:hAnsi="Avenir Next" w:cs="Arial"/>
          <w:sz w:val="22"/>
          <w:szCs w:val="22"/>
          <w:lang w:val="en-IN" w:eastAsia="en-IN"/>
        </w:rPr>
        <w:t xml:space="preserve"> - </w:t>
      </w:r>
      <w:r w:rsidR="00627763" w:rsidRPr="00D332EC">
        <w:rPr>
          <w:rFonts w:ascii="Avenir Next" w:hAnsi="Avenir Next" w:cs="Arial"/>
          <w:sz w:val="22"/>
          <w:szCs w:val="22"/>
          <w:lang w:val="en-IN" w:eastAsia="en-IN"/>
        </w:rPr>
        <w:t>Exclusions from the Scope: This section further clarifies the material scope by defining exclusions, such as actions for insurance undertakings, credit institutions, and other financial companies.</w:t>
      </w:r>
    </w:p>
    <w:p w14:paraId="0DF2A195" w14:textId="1729C3CD" w:rsidR="00782386" w:rsidRPr="00D332EC" w:rsidRDefault="00782386" w:rsidP="00782386">
      <w:pPr>
        <w:jc w:val="both"/>
        <w:rPr>
          <w:rFonts w:ascii="Avenir Next" w:hAnsi="Avenir Next" w:cs="Arial"/>
          <w:sz w:val="22"/>
          <w:szCs w:val="22"/>
          <w:lang w:val="en-IN" w:eastAsia="en-IN"/>
        </w:rPr>
      </w:pPr>
      <w:r w:rsidRPr="00D332EC">
        <w:rPr>
          <w:rFonts w:ascii="Avenir Next" w:hAnsi="Avenir Next" w:cs="Arial"/>
          <w:sz w:val="22"/>
          <w:szCs w:val="22"/>
          <w:lang w:val="en-IN" w:eastAsia="en-IN"/>
        </w:rPr>
        <w:br/>
      </w:r>
      <w:r w:rsidRPr="00D332EC">
        <w:rPr>
          <w:rFonts w:ascii="Avenir Next" w:hAnsi="Avenir Next" w:cs="Arial"/>
          <w:b/>
          <w:bCs/>
          <w:sz w:val="22"/>
          <w:szCs w:val="22"/>
          <w:lang w:val="en-IN" w:eastAsia="en-IN"/>
        </w:rPr>
        <w:t>Article 2</w:t>
      </w:r>
      <w:r w:rsidRPr="00D332EC">
        <w:rPr>
          <w:rFonts w:ascii="Avenir Next" w:hAnsi="Avenir Next" w:cs="Arial"/>
          <w:sz w:val="22"/>
          <w:szCs w:val="22"/>
          <w:lang w:val="en-IN" w:eastAsia="en-IN"/>
        </w:rPr>
        <w:t>-Definitions: This section gives definitions for terminology that are important to understand, such as "court," "liquidator," "creditor," and "insolvency proceedings," to guarantee uniform application and interpretation throughout Member States.</w:t>
      </w:r>
    </w:p>
    <w:p w14:paraId="3C060C01" w14:textId="77777777" w:rsidR="008A6CA4" w:rsidRPr="00D332EC" w:rsidRDefault="008A6CA4" w:rsidP="008A6CA4">
      <w:pPr>
        <w:jc w:val="both"/>
        <w:rPr>
          <w:rFonts w:ascii="Avenir Next" w:hAnsi="Avenir Next" w:cs="Arial"/>
          <w:bCs/>
          <w:sz w:val="22"/>
          <w:szCs w:val="22"/>
          <w:lang w:val="en-GB"/>
        </w:rPr>
      </w:pPr>
    </w:p>
    <w:p w14:paraId="65020FBF" w14:textId="77777777" w:rsidR="008A6CA4" w:rsidRPr="00D332EC" w:rsidRDefault="008A6CA4" w:rsidP="008A6CA4">
      <w:pPr>
        <w:jc w:val="both"/>
        <w:rPr>
          <w:rFonts w:ascii="Avenir Next" w:hAnsi="Avenir Next" w:cs="Arial"/>
          <w:bCs/>
          <w:sz w:val="22"/>
          <w:szCs w:val="22"/>
          <w:lang w:val="en-GB"/>
        </w:rPr>
      </w:pPr>
    </w:p>
    <w:p w14:paraId="28E3BB2E" w14:textId="77777777" w:rsidR="008A6CA4" w:rsidRPr="00D332EC" w:rsidRDefault="008A6CA4" w:rsidP="008A6CA4">
      <w:pPr>
        <w:jc w:val="both"/>
        <w:rPr>
          <w:rFonts w:ascii="Avenir Next" w:hAnsi="Avenir Next" w:cs="Arial"/>
          <w:bCs/>
          <w:sz w:val="22"/>
          <w:szCs w:val="22"/>
          <w:lang w:val="en-GB"/>
        </w:rPr>
      </w:pPr>
    </w:p>
    <w:p w14:paraId="7F5F59BC" w14:textId="77777777" w:rsidR="005349F4" w:rsidRPr="00D332EC" w:rsidRDefault="005349F4" w:rsidP="005349F4">
      <w:pPr>
        <w:jc w:val="both"/>
        <w:rPr>
          <w:rFonts w:ascii="Avenir Next" w:hAnsi="Avenir Next" w:cs="Arial"/>
          <w:bCs/>
          <w:sz w:val="22"/>
          <w:szCs w:val="22"/>
          <w:lang w:val="en-GB"/>
        </w:rPr>
      </w:pPr>
    </w:p>
    <w:p w14:paraId="57CD06CF" w14:textId="60DBC8AE" w:rsidR="009954B2" w:rsidRPr="00D332EC" w:rsidRDefault="00C00B20" w:rsidP="002A37BB">
      <w:pPr>
        <w:jc w:val="both"/>
        <w:rPr>
          <w:rFonts w:ascii="Avenir Next" w:hAnsi="Avenir Next" w:cs="Arial"/>
          <w:b/>
          <w:bCs/>
          <w:sz w:val="22"/>
          <w:szCs w:val="22"/>
          <w:lang w:val="en-GB"/>
        </w:rPr>
      </w:pPr>
      <w:r w:rsidRPr="00D332EC">
        <w:rPr>
          <w:rFonts w:ascii="Avenir Next" w:hAnsi="Avenir Next" w:cs="Arial"/>
          <w:b/>
          <w:bCs/>
          <w:sz w:val="22"/>
          <w:szCs w:val="22"/>
          <w:lang w:val="en-GB"/>
        </w:rPr>
        <w:t>Question 2.4</w:t>
      </w:r>
      <w:r w:rsidRPr="00D332EC">
        <w:rPr>
          <w:rFonts w:ascii="Avenir Next" w:hAnsi="Avenir Next" w:cs="Arial"/>
          <w:b/>
          <w:bCs/>
          <w:sz w:val="22"/>
          <w:szCs w:val="22"/>
          <w:lang w:val="en-GB"/>
        </w:rPr>
        <w:tab/>
        <w:t>[maximum 2</w:t>
      </w:r>
      <w:r w:rsidR="009954B2" w:rsidRPr="00D332EC">
        <w:rPr>
          <w:rFonts w:ascii="Avenir Next" w:hAnsi="Avenir Next" w:cs="Arial"/>
          <w:b/>
          <w:bCs/>
          <w:sz w:val="22"/>
          <w:szCs w:val="22"/>
          <w:lang w:val="en-GB"/>
        </w:rPr>
        <w:t xml:space="preserve"> marks]</w:t>
      </w:r>
    </w:p>
    <w:p w14:paraId="2A3AE6C9" w14:textId="30B4825D" w:rsidR="009954B2" w:rsidRPr="00D332EC" w:rsidRDefault="009954B2" w:rsidP="002A37BB">
      <w:pPr>
        <w:jc w:val="both"/>
        <w:rPr>
          <w:rFonts w:ascii="Avenir Next" w:hAnsi="Avenir Next" w:cs="Arial"/>
          <w:bCs/>
          <w:sz w:val="22"/>
          <w:szCs w:val="22"/>
          <w:lang w:val="en-GB"/>
        </w:rPr>
      </w:pPr>
    </w:p>
    <w:p w14:paraId="157B313A" w14:textId="61E59F59" w:rsidR="000A373F" w:rsidRPr="00D332EC" w:rsidRDefault="00DD47EF" w:rsidP="002A37BB">
      <w:pPr>
        <w:jc w:val="both"/>
        <w:rPr>
          <w:rFonts w:ascii="Avenir Next" w:hAnsi="Avenir Next" w:cs="Arial"/>
          <w:sz w:val="22"/>
          <w:szCs w:val="22"/>
          <w:lang w:val="en-GB"/>
        </w:rPr>
      </w:pPr>
      <w:r w:rsidRPr="00D332EC">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D332EC">
        <w:rPr>
          <w:rFonts w:ascii="Avenir Next" w:hAnsi="Avenir Next" w:cs="Arial"/>
          <w:b/>
          <w:bCs/>
          <w:sz w:val="22"/>
          <w:szCs w:val="22"/>
          <w:u w:val="single"/>
          <w:lang w:val="en-GB"/>
        </w:rPr>
        <w:t>two (2) examples</w:t>
      </w:r>
      <w:r w:rsidRPr="00D332EC">
        <w:rPr>
          <w:rFonts w:ascii="Avenir Next" w:hAnsi="Avenir Next" w:cs="Arial"/>
          <w:sz w:val="22"/>
          <w:szCs w:val="22"/>
          <w:lang w:val="en-GB"/>
        </w:rPr>
        <w:t xml:space="preserve"> of such instruments and briefly (in </w:t>
      </w:r>
      <w:r w:rsidR="00DD1686" w:rsidRPr="00D332EC">
        <w:rPr>
          <w:rFonts w:ascii="Avenir Next" w:hAnsi="Avenir Next" w:cs="Arial"/>
          <w:sz w:val="22"/>
          <w:szCs w:val="22"/>
          <w:lang w:val="en-GB"/>
        </w:rPr>
        <w:t>one</w:t>
      </w:r>
      <w:r w:rsidRPr="00D332EC">
        <w:rPr>
          <w:rFonts w:ascii="Avenir Next" w:hAnsi="Avenir Next" w:cs="Arial"/>
          <w:sz w:val="22"/>
          <w:szCs w:val="22"/>
          <w:lang w:val="en-GB"/>
        </w:rPr>
        <w:t xml:space="preserve"> to </w:t>
      </w:r>
      <w:r w:rsidR="00DD1686" w:rsidRPr="00D332EC">
        <w:rPr>
          <w:rFonts w:ascii="Avenir Next" w:hAnsi="Avenir Next" w:cs="Arial"/>
          <w:sz w:val="22"/>
          <w:szCs w:val="22"/>
          <w:lang w:val="en-GB"/>
        </w:rPr>
        <w:t>three</w:t>
      </w:r>
      <w:r w:rsidRPr="00D332EC">
        <w:rPr>
          <w:rFonts w:ascii="Avenir Next" w:hAnsi="Avenir Next" w:cs="Arial"/>
          <w:sz w:val="22"/>
          <w:szCs w:val="22"/>
          <w:lang w:val="en-GB"/>
        </w:rPr>
        <w:t xml:space="preserve"> sentences) explain how they operate.</w:t>
      </w:r>
    </w:p>
    <w:p w14:paraId="01D03511" w14:textId="77777777" w:rsidR="000A373F" w:rsidRPr="00D332EC" w:rsidRDefault="000A373F" w:rsidP="002A37BB">
      <w:pPr>
        <w:jc w:val="both"/>
        <w:rPr>
          <w:rFonts w:ascii="Avenir Next" w:hAnsi="Avenir Next" w:cs="Arial"/>
          <w:sz w:val="22"/>
          <w:szCs w:val="22"/>
          <w:lang w:val="en-GB"/>
        </w:rPr>
      </w:pPr>
    </w:p>
    <w:p w14:paraId="192ABE75" w14:textId="77777777" w:rsidR="008A6CA4" w:rsidRPr="00D332EC" w:rsidRDefault="008A6CA4" w:rsidP="008A6CA4">
      <w:pPr>
        <w:jc w:val="both"/>
        <w:rPr>
          <w:rFonts w:ascii="Avenir Next" w:hAnsi="Avenir Next" w:cs="Arial"/>
          <w:sz w:val="22"/>
          <w:szCs w:val="22"/>
          <w:lang w:val="en-GB"/>
        </w:rPr>
      </w:pPr>
      <w:r w:rsidRPr="00D332EC">
        <w:rPr>
          <w:rFonts w:ascii="Avenir Next" w:hAnsi="Avenir Next" w:cs="Arial"/>
          <w:sz w:val="22"/>
          <w:szCs w:val="22"/>
          <w:lang w:val="en-GB"/>
        </w:rPr>
        <w:t>Answers:</w:t>
      </w:r>
    </w:p>
    <w:p w14:paraId="1A72971A" w14:textId="77777777" w:rsidR="00D72770" w:rsidRPr="00D332EC" w:rsidRDefault="00D72770" w:rsidP="002A37BB">
      <w:pPr>
        <w:jc w:val="both"/>
        <w:rPr>
          <w:rFonts w:ascii="Avenir Next" w:hAnsi="Avenir Next" w:cs="Arial"/>
          <w:bCs/>
          <w:sz w:val="22"/>
          <w:szCs w:val="22"/>
          <w:lang w:val="en-GB"/>
        </w:rPr>
      </w:pPr>
    </w:p>
    <w:p w14:paraId="625A5E6A" w14:textId="53359D9F" w:rsidR="005B2222" w:rsidRPr="00D332EC" w:rsidRDefault="005B2222" w:rsidP="005B2222">
      <w:pPr>
        <w:jc w:val="both"/>
        <w:rPr>
          <w:rFonts w:ascii="Avenir Next" w:hAnsi="Avenir Next" w:cs="Arial"/>
          <w:sz w:val="22"/>
          <w:szCs w:val="22"/>
          <w:lang w:val="en-IN" w:eastAsia="en-IN"/>
        </w:rPr>
      </w:pPr>
      <w:r w:rsidRPr="00D332EC">
        <w:rPr>
          <w:rFonts w:ascii="Avenir Next" w:hAnsi="Avenir Next" w:cs="Arial"/>
          <w:b/>
          <w:bCs/>
          <w:sz w:val="22"/>
          <w:szCs w:val="22"/>
          <w:lang w:val="en-IN" w:eastAsia="en-IN"/>
        </w:rPr>
        <w:t>Article 36</w:t>
      </w:r>
      <w:r w:rsidRPr="00D332EC">
        <w:rPr>
          <w:rFonts w:ascii="Avenir Next" w:hAnsi="Avenir Next" w:cs="Arial"/>
          <w:sz w:val="22"/>
          <w:szCs w:val="22"/>
          <w:lang w:val="en-IN" w:eastAsia="en-IN"/>
        </w:rPr>
        <w:t xml:space="preserve">: Ability to provide an undertaking to avert further insolvency proceedings using this provision, local creditors may receive an undertaking from the insolvency practitioner in the main proceedings, guaranteeing that their claims would be handled as though secondary actions had been initiated. If the court is convinced that the undertaking sufficiently safeguards the interests of local creditors, this can stop the initiation of secondary proceedings, which would streamline the procedure and prevent it from becoming fragmented. </w:t>
      </w:r>
    </w:p>
    <w:p w14:paraId="1B8CCE78" w14:textId="070DD829" w:rsidR="005B2222" w:rsidRPr="00D332EC" w:rsidRDefault="005B2222" w:rsidP="005B2222">
      <w:pPr>
        <w:jc w:val="both"/>
        <w:rPr>
          <w:rFonts w:ascii="Avenir Next" w:hAnsi="Avenir Next" w:cs="Arial"/>
          <w:b/>
          <w:bCs/>
          <w:sz w:val="22"/>
          <w:szCs w:val="22"/>
          <w:lang w:val="en-IN" w:eastAsia="en-IN"/>
        </w:rPr>
      </w:pPr>
      <w:r w:rsidRPr="00D332EC">
        <w:rPr>
          <w:rFonts w:ascii="Avenir Next" w:hAnsi="Avenir Next" w:cs="Arial"/>
          <w:sz w:val="22"/>
          <w:szCs w:val="22"/>
          <w:lang w:val="en-IN" w:eastAsia="en-IN"/>
        </w:rPr>
        <w:br/>
      </w:r>
      <w:r w:rsidRPr="00D332EC">
        <w:rPr>
          <w:rFonts w:ascii="Avenir Next" w:hAnsi="Avenir Next" w:cs="Arial"/>
          <w:b/>
          <w:bCs/>
          <w:sz w:val="22"/>
          <w:szCs w:val="22"/>
          <w:lang w:val="en-IN" w:eastAsia="en-IN"/>
        </w:rPr>
        <w:t>Article 41</w:t>
      </w:r>
      <w:r w:rsidRPr="00D332EC">
        <w:rPr>
          <w:rFonts w:ascii="Avenir Next" w:hAnsi="Avenir Next" w:cs="Arial"/>
          <w:sz w:val="22"/>
          <w:szCs w:val="22"/>
          <w:lang w:val="en-IN" w:eastAsia="en-IN"/>
        </w:rPr>
        <w:t>: Cooperation and Communication between Insolvency Practitioners: Under this article, practitioners in insolvency must effectively collaborate and communicate in both primary and secondary procedures. To guarantee the cogent administration of the debtor's estate, they must exchange information and plan of action, increasing efficiency and reducing cross-jurisdictional conflicts.</w:t>
      </w:r>
    </w:p>
    <w:p w14:paraId="67FA2066" w14:textId="77777777" w:rsidR="008A6CA4" w:rsidRPr="00D332EC" w:rsidRDefault="008A6CA4" w:rsidP="008A6CA4">
      <w:pPr>
        <w:jc w:val="both"/>
        <w:rPr>
          <w:rFonts w:ascii="Avenir Next" w:hAnsi="Avenir Next" w:cs="Arial"/>
          <w:bCs/>
          <w:sz w:val="22"/>
          <w:szCs w:val="22"/>
          <w:lang w:val="en-GB"/>
        </w:rPr>
      </w:pPr>
    </w:p>
    <w:p w14:paraId="539E0180" w14:textId="77777777" w:rsidR="008A6CA4" w:rsidRPr="00D332EC" w:rsidRDefault="008A6CA4" w:rsidP="008A6CA4">
      <w:pPr>
        <w:jc w:val="both"/>
        <w:rPr>
          <w:rFonts w:ascii="Avenir Next" w:hAnsi="Avenir Next" w:cs="Arial"/>
          <w:bCs/>
          <w:sz w:val="22"/>
          <w:szCs w:val="22"/>
          <w:lang w:val="en-GB"/>
        </w:rPr>
      </w:pPr>
    </w:p>
    <w:p w14:paraId="170A9E71" w14:textId="56B0A9CC" w:rsidR="00962045" w:rsidRPr="00D332EC" w:rsidRDefault="00DF75F8" w:rsidP="002A37BB">
      <w:pPr>
        <w:jc w:val="both"/>
        <w:rPr>
          <w:rFonts w:ascii="Avenir Next" w:hAnsi="Avenir Next" w:cs="Arial"/>
          <w:b/>
          <w:bCs/>
          <w:sz w:val="22"/>
          <w:szCs w:val="22"/>
          <w:lang w:val="en-GB"/>
        </w:rPr>
      </w:pPr>
      <w:r w:rsidRPr="00D332EC">
        <w:rPr>
          <w:rFonts w:ascii="Avenir Next" w:hAnsi="Avenir Next" w:cs="Arial"/>
          <w:b/>
          <w:bCs/>
          <w:sz w:val="22"/>
          <w:szCs w:val="22"/>
          <w:lang w:val="en-GB"/>
        </w:rPr>
        <w:t>QUESTION</w:t>
      </w:r>
      <w:r w:rsidR="00962045" w:rsidRPr="00D332EC">
        <w:rPr>
          <w:rFonts w:ascii="Avenir Next" w:hAnsi="Avenir Next" w:cs="Arial"/>
          <w:b/>
          <w:bCs/>
          <w:sz w:val="22"/>
          <w:szCs w:val="22"/>
          <w:lang w:val="en-GB"/>
        </w:rPr>
        <w:t xml:space="preserve"> 3 (essay-type questions) [15 marks</w:t>
      </w:r>
      <w:r w:rsidR="006A2646" w:rsidRPr="00D332EC">
        <w:rPr>
          <w:rFonts w:ascii="Avenir Next" w:hAnsi="Avenir Next" w:cs="Arial"/>
          <w:b/>
          <w:bCs/>
          <w:sz w:val="22"/>
          <w:szCs w:val="22"/>
          <w:lang w:val="en-GB"/>
        </w:rPr>
        <w:t xml:space="preserve"> in total</w:t>
      </w:r>
      <w:r w:rsidR="00962045" w:rsidRPr="00D332EC">
        <w:rPr>
          <w:rFonts w:ascii="Avenir Next" w:hAnsi="Avenir Next" w:cs="Arial"/>
          <w:b/>
          <w:bCs/>
          <w:sz w:val="22"/>
          <w:szCs w:val="22"/>
          <w:lang w:val="en-GB"/>
        </w:rPr>
        <w:t xml:space="preserve">] </w:t>
      </w:r>
    </w:p>
    <w:p w14:paraId="0D6D151E" w14:textId="1C7A4CD8" w:rsidR="00962045" w:rsidRPr="00D332EC" w:rsidRDefault="00962045" w:rsidP="002A37BB">
      <w:pPr>
        <w:jc w:val="both"/>
        <w:rPr>
          <w:rFonts w:ascii="Avenir Next" w:hAnsi="Avenir Next" w:cs="Arial"/>
          <w:sz w:val="22"/>
          <w:szCs w:val="22"/>
          <w:lang w:val="en-GB"/>
        </w:rPr>
      </w:pPr>
    </w:p>
    <w:p w14:paraId="1AE2B78A" w14:textId="5985DB87" w:rsidR="00390B57" w:rsidRPr="00D332EC" w:rsidRDefault="00390B57" w:rsidP="002A37BB">
      <w:pPr>
        <w:jc w:val="both"/>
        <w:rPr>
          <w:rFonts w:ascii="Avenir Next" w:hAnsi="Avenir Next" w:cs="Arial"/>
          <w:i/>
          <w:iCs/>
          <w:sz w:val="22"/>
          <w:szCs w:val="22"/>
          <w:lang w:val="en-GB"/>
        </w:rPr>
      </w:pPr>
      <w:r w:rsidRPr="00D332EC">
        <w:rPr>
          <w:rFonts w:ascii="Avenir Next" w:hAnsi="Avenir Next" w:cs="Arial"/>
          <w:i/>
          <w:iCs/>
          <w:sz w:val="22"/>
          <w:szCs w:val="22"/>
          <w:lang w:val="en-GB"/>
        </w:rPr>
        <w:t>In addition to the correctness, completeness (including references to case law, if applicable) and originality of your answers</w:t>
      </w:r>
      <w:r w:rsidR="00364836" w:rsidRPr="00D332EC">
        <w:rPr>
          <w:rFonts w:ascii="Avenir Next" w:hAnsi="Avenir Next" w:cs="Arial"/>
          <w:i/>
          <w:iCs/>
          <w:sz w:val="22"/>
          <w:szCs w:val="22"/>
          <w:lang w:val="en-GB"/>
        </w:rPr>
        <w:t xml:space="preserve"> to the questions below</w:t>
      </w:r>
      <w:r w:rsidRPr="00D332EC">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D332EC" w:rsidRDefault="00390B57" w:rsidP="002A37BB">
      <w:pPr>
        <w:jc w:val="both"/>
        <w:rPr>
          <w:rFonts w:ascii="Avenir Next" w:hAnsi="Avenir Next" w:cs="Arial"/>
          <w:sz w:val="22"/>
          <w:szCs w:val="22"/>
          <w:lang w:val="en-GB"/>
        </w:rPr>
      </w:pPr>
    </w:p>
    <w:p w14:paraId="4DDCEC2C" w14:textId="73526CFE" w:rsidR="00C550C8" w:rsidRPr="00D332EC" w:rsidRDefault="00C550C8" w:rsidP="002A37BB">
      <w:pPr>
        <w:ind w:left="720" w:hanging="720"/>
        <w:jc w:val="both"/>
        <w:rPr>
          <w:rFonts w:ascii="Avenir Next" w:hAnsi="Avenir Next" w:cs="Arial"/>
          <w:b/>
          <w:bCs/>
          <w:sz w:val="22"/>
          <w:szCs w:val="22"/>
        </w:rPr>
      </w:pPr>
      <w:r w:rsidRPr="00D332EC">
        <w:rPr>
          <w:rFonts w:ascii="Avenir Next" w:hAnsi="Avenir Next" w:cs="Arial"/>
          <w:b/>
          <w:bCs/>
          <w:sz w:val="22"/>
          <w:szCs w:val="22"/>
        </w:rPr>
        <w:t xml:space="preserve">Question </w:t>
      </w:r>
      <w:r w:rsidR="00807119" w:rsidRPr="00D332EC">
        <w:rPr>
          <w:rFonts w:ascii="Avenir Next" w:hAnsi="Avenir Next" w:cs="Arial"/>
          <w:b/>
          <w:bCs/>
          <w:sz w:val="22"/>
          <w:szCs w:val="22"/>
        </w:rPr>
        <w:t>3.1</w:t>
      </w:r>
      <w:r w:rsidRPr="00D332EC">
        <w:rPr>
          <w:rFonts w:ascii="Avenir Next" w:hAnsi="Avenir Next" w:cs="Arial"/>
          <w:b/>
          <w:bCs/>
          <w:sz w:val="22"/>
          <w:szCs w:val="22"/>
        </w:rPr>
        <w:t xml:space="preserve"> [</w:t>
      </w:r>
      <w:r w:rsidR="006A2646" w:rsidRPr="00D332EC">
        <w:rPr>
          <w:rFonts w:ascii="Avenir Next" w:hAnsi="Avenir Next" w:cs="Arial"/>
          <w:b/>
          <w:bCs/>
          <w:sz w:val="22"/>
          <w:szCs w:val="22"/>
        </w:rPr>
        <w:t>m</w:t>
      </w:r>
      <w:r w:rsidRPr="00D332EC">
        <w:rPr>
          <w:rFonts w:ascii="Avenir Next" w:hAnsi="Avenir Next" w:cs="Arial"/>
          <w:b/>
          <w:bCs/>
          <w:sz w:val="22"/>
          <w:szCs w:val="22"/>
        </w:rPr>
        <w:t xml:space="preserve">aximum </w:t>
      </w:r>
      <w:r w:rsidR="00E90991" w:rsidRPr="00D332EC">
        <w:rPr>
          <w:rFonts w:ascii="Avenir Next" w:hAnsi="Avenir Next" w:cs="Arial"/>
          <w:b/>
          <w:bCs/>
          <w:sz w:val="22"/>
          <w:szCs w:val="22"/>
        </w:rPr>
        <w:t>5</w:t>
      </w:r>
      <w:r w:rsidRPr="00D332EC">
        <w:rPr>
          <w:rFonts w:ascii="Avenir Next" w:hAnsi="Avenir Next" w:cs="Arial"/>
          <w:b/>
          <w:bCs/>
          <w:sz w:val="22"/>
          <w:szCs w:val="22"/>
        </w:rPr>
        <w:t xml:space="preserve"> marks]</w:t>
      </w:r>
    </w:p>
    <w:p w14:paraId="23D3936A" w14:textId="77777777" w:rsidR="00C550C8" w:rsidRPr="00D332EC" w:rsidRDefault="00C550C8" w:rsidP="002A37BB">
      <w:pPr>
        <w:ind w:left="720" w:hanging="720"/>
        <w:jc w:val="both"/>
        <w:rPr>
          <w:rFonts w:ascii="Avenir Next" w:hAnsi="Avenir Next" w:cs="Arial"/>
          <w:sz w:val="22"/>
          <w:szCs w:val="22"/>
        </w:rPr>
      </w:pPr>
    </w:p>
    <w:p w14:paraId="0EBC5244" w14:textId="22AA9070" w:rsidR="00B12499" w:rsidRPr="00D332EC" w:rsidRDefault="00745D6F" w:rsidP="002A37BB">
      <w:pPr>
        <w:jc w:val="both"/>
        <w:rPr>
          <w:rFonts w:ascii="Avenir Next" w:hAnsi="Avenir Next" w:cs="Arial"/>
          <w:sz w:val="22"/>
          <w:szCs w:val="22"/>
          <w:lang w:val="en-GB"/>
        </w:rPr>
      </w:pPr>
      <w:r w:rsidRPr="00D332EC">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D332EC" w:rsidRDefault="00241FA3" w:rsidP="002A37BB">
      <w:pPr>
        <w:jc w:val="both"/>
        <w:rPr>
          <w:rFonts w:ascii="Avenir Next" w:hAnsi="Avenir Next" w:cs="Arial"/>
          <w:sz w:val="22"/>
          <w:szCs w:val="22"/>
          <w:lang w:val="en-GB"/>
        </w:rPr>
      </w:pPr>
    </w:p>
    <w:p w14:paraId="1C8E5364" w14:textId="7A0FB4DB" w:rsidR="00A215E8" w:rsidRPr="00D332EC" w:rsidRDefault="00A215E8" w:rsidP="002A37BB">
      <w:pPr>
        <w:jc w:val="both"/>
        <w:rPr>
          <w:rFonts w:ascii="Avenir Next" w:hAnsi="Avenir Next" w:cs="Arial"/>
          <w:sz w:val="22"/>
          <w:szCs w:val="22"/>
          <w:lang w:val="en-GB"/>
        </w:rPr>
      </w:pPr>
      <w:r w:rsidRPr="00D332EC">
        <w:rPr>
          <w:rFonts w:ascii="Avenir Next" w:hAnsi="Avenir Next" w:cs="Arial"/>
          <w:sz w:val="22"/>
          <w:szCs w:val="22"/>
          <w:lang w:val="en-GB"/>
        </w:rPr>
        <w:t>Answer:</w:t>
      </w:r>
    </w:p>
    <w:p w14:paraId="038B9A51" w14:textId="77777777" w:rsidR="00A215E8" w:rsidRPr="00D332EC" w:rsidRDefault="00A215E8" w:rsidP="002A37BB">
      <w:pPr>
        <w:jc w:val="both"/>
        <w:rPr>
          <w:rFonts w:ascii="Avenir Next" w:hAnsi="Avenir Next" w:cs="Arial"/>
          <w:sz w:val="22"/>
          <w:szCs w:val="22"/>
          <w:lang w:val="en-GB"/>
        </w:rPr>
      </w:pPr>
    </w:p>
    <w:p w14:paraId="5ED8CE84" w14:textId="77777777" w:rsidR="00B708C9" w:rsidRPr="00D332EC" w:rsidRDefault="003A6E1E" w:rsidP="003A6E1E">
      <w:pPr>
        <w:jc w:val="both"/>
        <w:rPr>
          <w:rFonts w:ascii="Avenir Next" w:hAnsi="Avenir Next" w:cs="Arial"/>
          <w:sz w:val="22"/>
          <w:szCs w:val="22"/>
          <w:lang w:val="en-IN" w:eastAsia="en-IN"/>
        </w:rPr>
      </w:pPr>
      <w:r w:rsidRPr="00D332EC">
        <w:rPr>
          <w:rFonts w:ascii="Avenir Next" w:hAnsi="Avenir Next" w:cs="Arial"/>
          <w:sz w:val="22"/>
          <w:szCs w:val="22"/>
          <w:lang w:val="en-IN" w:eastAsia="en-IN"/>
        </w:rPr>
        <w:t xml:space="preserve">The following are the primary components that were found to need revision during the EIR 2000 overhaul, along with pertinent case law and citations that influenced these revisions: </w:t>
      </w:r>
      <w:r w:rsidRPr="00D332EC">
        <w:rPr>
          <w:rFonts w:ascii="Avenir Next" w:hAnsi="Avenir Next" w:cs="Arial"/>
          <w:sz w:val="22"/>
          <w:szCs w:val="22"/>
          <w:lang w:val="en-IN" w:eastAsia="en-IN"/>
        </w:rPr>
        <w:br/>
      </w:r>
      <w:r w:rsidRPr="00D332EC">
        <w:rPr>
          <w:rFonts w:ascii="Avenir Next" w:hAnsi="Avenir Next" w:cs="Arial"/>
          <w:sz w:val="22"/>
          <w:szCs w:val="22"/>
          <w:lang w:val="en-IN" w:eastAsia="en-IN"/>
        </w:rPr>
        <w:br/>
      </w:r>
      <w:r w:rsidRPr="00D332EC">
        <w:rPr>
          <w:rFonts w:ascii="Avenir Next" w:hAnsi="Avenir Next" w:cs="Arial"/>
          <w:b/>
          <w:bCs/>
          <w:sz w:val="22"/>
          <w:szCs w:val="22"/>
          <w:lang w:val="en-IN" w:eastAsia="en-IN"/>
        </w:rPr>
        <w:t>1. The Regulation's Scope:</w:t>
      </w:r>
      <w:r w:rsidRPr="00D332EC">
        <w:rPr>
          <w:rFonts w:ascii="Avenir Next" w:hAnsi="Avenir Next" w:cs="Arial"/>
          <w:sz w:val="22"/>
          <w:szCs w:val="22"/>
          <w:lang w:val="en-IN" w:eastAsia="en-IN"/>
        </w:rPr>
        <w:t xml:space="preserve"> </w:t>
      </w:r>
    </w:p>
    <w:p w14:paraId="091BAE56" w14:textId="77777777" w:rsidR="00B708C9" w:rsidRPr="00D332EC" w:rsidRDefault="003A6E1E" w:rsidP="003A6E1E">
      <w:pPr>
        <w:jc w:val="both"/>
        <w:rPr>
          <w:rFonts w:ascii="Avenir Next" w:hAnsi="Avenir Next" w:cs="Arial"/>
          <w:sz w:val="22"/>
          <w:szCs w:val="22"/>
          <w:lang w:val="en-IN" w:eastAsia="en-IN"/>
        </w:rPr>
      </w:pPr>
      <w:r w:rsidRPr="00D332EC">
        <w:rPr>
          <w:rFonts w:ascii="Avenir Next" w:hAnsi="Avenir Next" w:cs="Arial"/>
          <w:b/>
          <w:bCs/>
          <w:sz w:val="22"/>
          <w:szCs w:val="22"/>
          <w:lang w:val="en-IN" w:eastAsia="en-IN"/>
        </w:rPr>
        <w:t>Revision Needed:</w:t>
      </w:r>
      <w:r w:rsidRPr="00D332EC">
        <w:rPr>
          <w:rFonts w:ascii="Avenir Next" w:hAnsi="Avenir Next" w:cs="Arial"/>
          <w:sz w:val="22"/>
          <w:szCs w:val="22"/>
          <w:lang w:val="en-IN" w:eastAsia="en-IN"/>
        </w:rPr>
        <w:t xml:space="preserve"> </w:t>
      </w:r>
    </w:p>
    <w:p w14:paraId="25AA9A62" w14:textId="28F30241" w:rsidR="00B708C9" w:rsidRPr="00D332EC" w:rsidRDefault="003A6E1E" w:rsidP="003A6E1E">
      <w:pPr>
        <w:jc w:val="both"/>
        <w:rPr>
          <w:rFonts w:ascii="Avenir Next" w:hAnsi="Avenir Next" w:cs="Arial"/>
          <w:sz w:val="22"/>
          <w:szCs w:val="22"/>
          <w:lang w:val="en-IN" w:eastAsia="en-IN"/>
        </w:rPr>
      </w:pPr>
      <w:r w:rsidRPr="00D332EC">
        <w:rPr>
          <w:rFonts w:ascii="Avenir Next" w:hAnsi="Avenir Next" w:cs="Arial"/>
          <w:sz w:val="22"/>
          <w:szCs w:val="22"/>
          <w:lang w:val="en-IN" w:eastAsia="en-IN"/>
        </w:rPr>
        <w:t xml:space="preserve">The EIR 2000's original purview was restricted to insolvency procedures intended for liquidation; pre-insolvency and hybrid procedures </w:t>
      </w:r>
      <w:r w:rsidR="0050210B" w:rsidRPr="00D332EC">
        <w:rPr>
          <w:rFonts w:ascii="Avenir Next" w:hAnsi="Avenir Next" w:cs="Arial"/>
          <w:sz w:val="22"/>
          <w:szCs w:val="22"/>
          <w:lang w:val="en-IN" w:eastAsia="en-IN"/>
        </w:rPr>
        <w:t xml:space="preserve">were not included which were </w:t>
      </w:r>
      <w:r w:rsidRPr="00D332EC">
        <w:rPr>
          <w:rFonts w:ascii="Avenir Next" w:hAnsi="Avenir Next" w:cs="Arial"/>
          <w:sz w:val="22"/>
          <w:szCs w:val="22"/>
          <w:lang w:val="en-IN" w:eastAsia="en-IN"/>
        </w:rPr>
        <w:t>intended</w:t>
      </w:r>
      <w:r w:rsidR="0050210B" w:rsidRPr="00D332EC">
        <w:rPr>
          <w:rFonts w:ascii="Avenir Next" w:hAnsi="Avenir Next" w:cs="Arial"/>
          <w:sz w:val="22"/>
          <w:szCs w:val="22"/>
          <w:lang w:val="en-IN" w:eastAsia="en-IN"/>
        </w:rPr>
        <w:t xml:space="preserve"> o</w:t>
      </w:r>
      <w:r w:rsidRPr="00D332EC">
        <w:rPr>
          <w:rFonts w:ascii="Avenir Next" w:hAnsi="Avenir Next" w:cs="Arial"/>
          <w:sz w:val="22"/>
          <w:szCs w:val="22"/>
          <w:lang w:val="en-IN" w:eastAsia="en-IN"/>
        </w:rPr>
        <w:t>r</w:t>
      </w:r>
      <w:r w:rsidR="0050210B" w:rsidRPr="00D332EC">
        <w:rPr>
          <w:rFonts w:ascii="Avenir Next" w:hAnsi="Avenir Next" w:cs="Arial"/>
          <w:sz w:val="22"/>
          <w:szCs w:val="22"/>
          <w:lang w:val="en-IN" w:eastAsia="en-IN"/>
        </w:rPr>
        <w:t xml:space="preserve"> </w:t>
      </w:r>
      <w:r w:rsidRPr="00D332EC">
        <w:rPr>
          <w:rFonts w:ascii="Avenir Next" w:hAnsi="Avenir Next" w:cs="Arial"/>
          <w:sz w:val="22"/>
          <w:szCs w:val="22"/>
          <w:lang w:val="en-IN" w:eastAsia="en-IN"/>
        </w:rPr>
        <w:t>corporate</w:t>
      </w:r>
      <w:r w:rsidR="0050210B" w:rsidRPr="00D332EC">
        <w:rPr>
          <w:rFonts w:ascii="Avenir Next" w:hAnsi="Avenir Next" w:cs="Arial"/>
          <w:sz w:val="22"/>
          <w:szCs w:val="22"/>
          <w:lang w:val="en-IN" w:eastAsia="en-IN"/>
        </w:rPr>
        <w:t xml:space="preserve"> </w:t>
      </w:r>
      <w:r w:rsidRPr="00D332EC">
        <w:rPr>
          <w:rFonts w:ascii="Avenir Next" w:hAnsi="Avenir Next" w:cs="Arial"/>
          <w:sz w:val="22"/>
          <w:szCs w:val="22"/>
          <w:lang w:val="en-IN" w:eastAsia="en-IN"/>
        </w:rPr>
        <w:t xml:space="preserve">rescue. </w:t>
      </w:r>
      <w:r w:rsidRPr="00D332EC">
        <w:rPr>
          <w:rFonts w:ascii="Avenir Next" w:hAnsi="Avenir Next" w:cs="Arial"/>
          <w:sz w:val="22"/>
          <w:szCs w:val="22"/>
          <w:lang w:val="en-IN" w:eastAsia="en-IN"/>
        </w:rPr>
        <w:br/>
      </w:r>
      <w:r w:rsidRPr="00D332EC">
        <w:rPr>
          <w:rFonts w:ascii="Avenir Next" w:hAnsi="Avenir Next" w:cs="Arial"/>
          <w:sz w:val="22"/>
          <w:szCs w:val="22"/>
          <w:lang w:val="en-IN" w:eastAsia="en-IN"/>
        </w:rPr>
        <w:br/>
      </w:r>
      <w:r w:rsidRPr="00D332EC">
        <w:rPr>
          <w:rFonts w:ascii="Avenir Next" w:hAnsi="Avenir Next" w:cs="Arial"/>
          <w:sz w:val="22"/>
          <w:szCs w:val="22"/>
          <w:lang w:val="en-IN" w:eastAsia="en-IN"/>
        </w:rPr>
        <w:br/>
      </w:r>
      <w:r w:rsidRPr="00D332EC">
        <w:rPr>
          <w:rFonts w:ascii="Avenir Next" w:hAnsi="Avenir Next" w:cs="Arial"/>
          <w:b/>
          <w:bCs/>
          <w:sz w:val="22"/>
          <w:szCs w:val="22"/>
          <w:lang w:val="en-IN" w:eastAsia="en-IN"/>
        </w:rPr>
        <w:t>Case Law:</w:t>
      </w:r>
      <w:r w:rsidRPr="00D332EC">
        <w:rPr>
          <w:rFonts w:ascii="Avenir Next" w:hAnsi="Avenir Next" w:cs="Arial"/>
          <w:sz w:val="22"/>
          <w:szCs w:val="22"/>
          <w:lang w:val="en-IN" w:eastAsia="en-IN"/>
        </w:rPr>
        <w:t xml:space="preserve"> </w:t>
      </w:r>
    </w:p>
    <w:p w14:paraId="4D225B28" w14:textId="77777777" w:rsidR="00D7117F" w:rsidRPr="00D332EC" w:rsidRDefault="003A6E1E" w:rsidP="00D7117F">
      <w:pPr>
        <w:jc w:val="both"/>
        <w:rPr>
          <w:rFonts w:ascii="Avenir Next" w:hAnsi="Avenir Next" w:cs="Arial"/>
          <w:sz w:val="22"/>
          <w:szCs w:val="22"/>
          <w:lang w:val="en-IN" w:eastAsia="en-IN"/>
        </w:rPr>
      </w:pPr>
      <w:r w:rsidRPr="00D332EC">
        <w:rPr>
          <w:rFonts w:ascii="Avenir Next" w:hAnsi="Avenir Next" w:cs="Arial"/>
          <w:b/>
          <w:bCs/>
          <w:sz w:val="22"/>
          <w:szCs w:val="22"/>
          <w:lang w:val="en-IN" w:eastAsia="en-IN"/>
        </w:rPr>
        <w:lastRenderedPageBreak/>
        <w:t>Fallimento Interedil Srl and Intesa Gestione Crediti SpA v. Interedil Srl (in liquidation) (C-396/09)</w:t>
      </w:r>
      <w:r w:rsidRPr="00D332EC">
        <w:rPr>
          <w:rFonts w:ascii="Avenir Next" w:hAnsi="Avenir Next" w:cs="Arial"/>
          <w:sz w:val="22"/>
          <w:szCs w:val="22"/>
          <w:lang w:val="en-IN" w:eastAsia="en-IN"/>
        </w:rPr>
        <w:t>: The necessity of wider scope coverage was brought to light by this instance. The inclusion of pre-insolvency and hybrid processes in the EIR Recast was influenced by the CJEU's ruling that proceedings intended to save firms should be included.</w:t>
      </w:r>
    </w:p>
    <w:p w14:paraId="2EF2C2F7" w14:textId="1464D36F" w:rsidR="00D7117F" w:rsidRPr="00D332EC" w:rsidRDefault="00AB7AB3" w:rsidP="00067174">
      <w:pPr>
        <w:rPr>
          <w:rFonts w:ascii="Avenir Next" w:hAnsi="Avenir Next" w:cs="Arial"/>
          <w:sz w:val="22"/>
          <w:szCs w:val="22"/>
          <w:lang w:val="en-IN" w:eastAsia="en-IN"/>
        </w:rPr>
      </w:pPr>
      <w:r w:rsidRPr="00D332EC">
        <w:rPr>
          <w:rFonts w:ascii="Avenir Next" w:hAnsi="Avenir Next" w:cs="Arial"/>
          <w:b/>
          <w:bCs/>
          <w:sz w:val="22"/>
          <w:szCs w:val="22"/>
          <w:lang w:val="en-IN" w:eastAsia="en-IN"/>
        </w:rPr>
        <w:t>2. Authority and Center of Main Interests (COMI):</w:t>
      </w:r>
      <w:r w:rsidRPr="00D332EC">
        <w:rPr>
          <w:rFonts w:ascii="Avenir Next" w:hAnsi="Avenir Next" w:cs="Arial"/>
          <w:sz w:val="22"/>
          <w:szCs w:val="22"/>
          <w:lang w:val="en-IN" w:eastAsia="en-IN"/>
        </w:rPr>
        <w:br/>
      </w:r>
      <w:r w:rsidR="00D7117F" w:rsidRPr="00D332EC">
        <w:rPr>
          <w:rFonts w:ascii="Avenir Next" w:hAnsi="Avenir Next" w:cs="Arial"/>
          <w:b/>
          <w:bCs/>
          <w:sz w:val="22"/>
          <w:szCs w:val="22"/>
          <w:lang w:val="en-IN" w:eastAsia="en-IN"/>
        </w:rPr>
        <w:t>Need for Revision</w:t>
      </w:r>
      <w:r w:rsidRPr="00D332EC">
        <w:rPr>
          <w:rFonts w:ascii="Avenir Next" w:hAnsi="Avenir Next" w:cs="Arial"/>
          <w:b/>
          <w:bCs/>
          <w:sz w:val="22"/>
          <w:szCs w:val="22"/>
          <w:lang w:val="en-IN" w:eastAsia="en-IN"/>
        </w:rPr>
        <w:t>:</w:t>
      </w:r>
      <w:r w:rsidRPr="00D332EC">
        <w:rPr>
          <w:rFonts w:ascii="Avenir Next" w:hAnsi="Avenir Next" w:cs="Arial"/>
          <w:sz w:val="22"/>
          <w:szCs w:val="22"/>
          <w:lang w:val="en-IN" w:eastAsia="en-IN"/>
        </w:rPr>
        <w:t xml:space="preserve"> </w:t>
      </w:r>
      <w:r w:rsidR="00973AB5" w:rsidRPr="00D332EC">
        <w:rPr>
          <w:rFonts w:ascii="Avenir Next" w:hAnsi="Avenir Next" w:cs="Arial"/>
          <w:sz w:val="22"/>
          <w:szCs w:val="22"/>
          <w:lang w:val="en-IN" w:eastAsia="en-IN"/>
        </w:rPr>
        <w:t>An improved</w:t>
      </w:r>
      <w:r w:rsidRPr="00D332EC">
        <w:rPr>
          <w:rFonts w:ascii="Avenir Next" w:hAnsi="Avenir Next" w:cs="Arial"/>
          <w:sz w:val="22"/>
          <w:szCs w:val="22"/>
          <w:lang w:val="en-IN" w:eastAsia="en-IN"/>
        </w:rPr>
        <w:t xml:space="preserve"> definition of COMI was necessary to guard against abusive forum shopping and make sure it accurately reflected the state of the economy.</w:t>
      </w:r>
      <w:r w:rsidRPr="00D332EC">
        <w:rPr>
          <w:rFonts w:ascii="Avenir Next" w:hAnsi="Avenir Next" w:cs="Arial"/>
          <w:sz w:val="22"/>
          <w:szCs w:val="22"/>
          <w:lang w:val="en-IN" w:eastAsia="en-IN"/>
        </w:rPr>
        <w:br/>
      </w:r>
    </w:p>
    <w:p w14:paraId="7967D548" w14:textId="77777777" w:rsidR="00067174" w:rsidRPr="00D332EC" w:rsidRDefault="00AB7AB3" w:rsidP="006B11EE">
      <w:pPr>
        <w:jc w:val="both"/>
        <w:rPr>
          <w:rFonts w:ascii="Avenir Next" w:hAnsi="Avenir Next" w:cs="Arial"/>
          <w:sz w:val="22"/>
          <w:szCs w:val="22"/>
          <w:lang w:val="en-IN" w:eastAsia="en-IN"/>
        </w:rPr>
      </w:pPr>
      <w:r w:rsidRPr="00D332EC">
        <w:rPr>
          <w:rFonts w:ascii="Avenir Next" w:hAnsi="Avenir Next" w:cs="Arial"/>
          <w:b/>
          <w:bCs/>
          <w:sz w:val="22"/>
          <w:szCs w:val="22"/>
          <w:lang w:val="en-IN" w:eastAsia="en-IN"/>
        </w:rPr>
        <w:t>Case Law:</w:t>
      </w:r>
      <w:r w:rsidRPr="00D332EC">
        <w:rPr>
          <w:rFonts w:ascii="Avenir Next" w:hAnsi="Avenir Next" w:cs="Arial"/>
          <w:sz w:val="22"/>
          <w:szCs w:val="22"/>
          <w:lang w:val="en-IN" w:eastAsia="en-IN"/>
        </w:rPr>
        <w:t xml:space="preserve"> </w:t>
      </w:r>
    </w:p>
    <w:p w14:paraId="2AFB2CFD" w14:textId="17BAEECC" w:rsidR="00AB7AB3" w:rsidRPr="00D332EC" w:rsidRDefault="00AB7AB3" w:rsidP="006B11EE">
      <w:pPr>
        <w:jc w:val="both"/>
        <w:rPr>
          <w:rFonts w:ascii="Avenir Next" w:hAnsi="Avenir Next" w:cs="Arial"/>
          <w:sz w:val="22"/>
          <w:szCs w:val="22"/>
          <w:lang w:val="en-IN" w:eastAsia="en-IN"/>
        </w:rPr>
      </w:pPr>
      <w:r w:rsidRPr="00D332EC">
        <w:rPr>
          <w:rFonts w:ascii="Avenir Next" w:hAnsi="Avenir Next" w:cs="Arial"/>
          <w:sz w:val="22"/>
          <w:szCs w:val="22"/>
          <w:lang w:val="en-IN" w:eastAsia="en-IN"/>
        </w:rPr>
        <w:br/>
      </w:r>
      <w:r w:rsidR="00973AB5" w:rsidRPr="00D332EC">
        <w:rPr>
          <w:rFonts w:ascii="Avenir Next" w:hAnsi="Avenir Next" w:cs="Arial"/>
          <w:b/>
          <w:bCs/>
          <w:sz w:val="22"/>
          <w:szCs w:val="22"/>
          <w:lang w:val="en-IN" w:eastAsia="en-IN"/>
        </w:rPr>
        <w:t xml:space="preserve">Eurofood IFSC Ltd </w:t>
      </w:r>
      <w:r w:rsidRPr="00D332EC">
        <w:rPr>
          <w:rFonts w:ascii="Avenir Next" w:hAnsi="Avenir Next" w:cs="Arial"/>
          <w:b/>
          <w:bCs/>
          <w:sz w:val="22"/>
          <w:szCs w:val="22"/>
          <w:lang w:val="en-IN" w:eastAsia="en-IN"/>
        </w:rPr>
        <w:t>C-341/04</w:t>
      </w:r>
      <w:r w:rsidR="00973AB5" w:rsidRPr="00D332EC">
        <w:rPr>
          <w:rFonts w:ascii="Avenir Next" w:hAnsi="Avenir Next" w:cs="Arial"/>
          <w:b/>
          <w:bCs/>
          <w:sz w:val="22"/>
          <w:szCs w:val="22"/>
          <w:lang w:val="en-IN" w:eastAsia="en-IN"/>
        </w:rPr>
        <w:t>)</w:t>
      </w:r>
      <w:r w:rsidRPr="00D332EC">
        <w:rPr>
          <w:rFonts w:ascii="Avenir Next" w:hAnsi="Avenir Next" w:cs="Arial"/>
          <w:b/>
          <w:bCs/>
          <w:sz w:val="22"/>
          <w:szCs w:val="22"/>
          <w:lang w:val="en-IN" w:eastAsia="en-IN"/>
        </w:rPr>
        <w:t>:</w:t>
      </w:r>
      <w:r w:rsidRPr="00D332EC">
        <w:rPr>
          <w:rFonts w:ascii="Avenir Next" w:hAnsi="Avenir Next" w:cs="Arial"/>
          <w:sz w:val="22"/>
          <w:szCs w:val="22"/>
          <w:lang w:val="en-IN" w:eastAsia="en-IN"/>
        </w:rPr>
        <w:t xml:space="preserve"> This scenario offered an important use of COMI. According to the CJEU, COMI ought to be the location where the debtor routinely manages its interests and makes itself accessible to outside parties. This ruling highlighted how important it is to use objective standards when calculating COMI.</w:t>
      </w:r>
    </w:p>
    <w:p w14:paraId="3148E6E3" w14:textId="77777777" w:rsidR="00A215E8" w:rsidRPr="00D332EC" w:rsidRDefault="00A215E8" w:rsidP="00A215E8">
      <w:pPr>
        <w:jc w:val="both"/>
        <w:rPr>
          <w:rFonts w:ascii="Avenir Next" w:hAnsi="Avenir Next" w:cs="Arial"/>
          <w:sz w:val="22"/>
          <w:szCs w:val="22"/>
        </w:rPr>
      </w:pPr>
    </w:p>
    <w:p w14:paraId="2E708F93" w14:textId="4B491095" w:rsidR="00A215E8" w:rsidRPr="00D332EC" w:rsidRDefault="002F7170" w:rsidP="00A215E8">
      <w:pPr>
        <w:jc w:val="both"/>
        <w:rPr>
          <w:rFonts w:ascii="Avenir Next" w:hAnsi="Avenir Next" w:cs="Arial"/>
          <w:b/>
          <w:bCs/>
          <w:sz w:val="22"/>
          <w:szCs w:val="22"/>
        </w:rPr>
      </w:pPr>
      <w:r w:rsidRPr="00D332EC">
        <w:rPr>
          <w:rFonts w:ascii="Avenir Next" w:hAnsi="Avenir Next" w:cs="Arial"/>
          <w:b/>
          <w:bCs/>
          <w:sz w:val="22"/>
          <w:szCs w:val="22"/>
        </w:rPr>
        <w:t xml:space="preserve">3. </w:t>
      </w:r>
      <w:r w:rsidR="00A215E8" w:rsidRPr="00D332EC">
        <w:rPr>
          <w:rFonts w:ascii="Avenir Next" w:hAnsi="Avenir Next" w:cs="Arial"/>
          <w:b/>
          <w:bCs/>
          <w:sz w:val="22"/>
          <w:szCs w:val="22"/>
        </w:rPr>
        <w:t>Coordination between Proceedings:</w:t>
      </w:r>
    </w:p>
    <w:p w14:paraId="353B8609" w14:textId="77777777" w:rsidR="00F20268" w:rsidRPr="00D332EC" w:rsidRDefault="00F20268" w:rsidP="00F20268">
      <w:pPr>
        <w:jc w:val="both"/>
        <w:rPr>
          <w:rFonts w:ascii="Avenir Next" w:hAnsi="Avenir Next" w:cs="Arial"/>
          <w:sz w:val="22"/>
          <w:szCs w:val="22"/>
          <w:lang w:val="en-IN" w:eastAsia="en-IN"/>
        </w:rPr>
      </w:pPr>
      <w:r w:rsidRPr="00D332EC">
        <w:rPr>
          <w:rFonts w:ascii="Avenir Next" w:hAnsi="Avenir Next" w:cs="Arial"/>
          <w:b/>
          <w:bCs/>
          <w:sz w:val="22"/>
          <w:szCs w:val="22"/>
          <w:lang w:val="en-IN" w:eastAsia="en-IN"/>
        </w:rPr>
        <w:t>Need for Revision</w:t>
      </w:r>
      <w:r w:rsidRPr="00D332EC">
        <w:rPr>
          <w:rFonts w:ascii="Avenir Next" w:hAnsi="Avenir Next" w:cs="Arial"/>
          <w:sz w:val="22"/>
          <w:szCs w:val="22"/>
          <w:lang w:val="en-IN" w:eastAsia="en-IN"/>
        </w:rPr>
        <w:t>: To lessen disagreements and inefficiencies, better collaboration and coordination between the primary and secondary proceedings were required.</w:t>
      </w:r>
      <w:r w:rsidRPr="00D332EC">
        <w:rPr>
          <w:rFonts w:ascii="Avenir Next" w:hAnsi="Avenir Next" w:cs="Arial"/>
          <w:sz w:val="22"/>
          <w:szCs w:val="22"/>
          <w:lang w:val="en-IN" w:eastAsia="en-IN"/>
        </w:rPr>
        <w:br/>
      </w:r>
    </w:p>
    <w:p w14:paraId="7B5722A7" w14:textId="77777777" w:rsidR="00F20268" w:rsidRPr="00D332EC" w:rsidRDefault="00F20268" w:rsidP="00F20268">
      <w:pPr>
        <w:jc w:val="both"/>
        <w:rPr>
          <w:rFonts w:ascii="Avenir Next" w:hAnsi="Avenir Next" w:cs="Arial"/>
          <w:sz w:val="22"/>
          <w:szCs w:val="22"/>
          <w:lang w:val="en-IN" w:eastAsia="en-IN"/>
        </w:rPr>
      </w:pPr>
      <w:r w:rsidRPr="00D332EC">
        <w:rPr>
          <w:rFonts w:ascii="Avenir Next" w:hAnsi="Avenir Next" w:cs="Arial"/>
          <w:b/>
          <w:bCs/>
          <w:sz w:val="22"/>
          <w:szCs w:val="22"/>
          <w:lang w:val="en-IN" w:eastAsia="en-IN"/>
        </w:rPr>
        <w:t>Case Law:</w:t>
      </w:r>
      <w:r w:rsidRPr="00D332EC">
        <w:rPr>
          <w:rFonts w:ascii="Avenir Next" w:hAnsi="Avenir Next" w:cs="Arial"/>
          <w:sz w:val="22"/>
          <w:szCs w:val="22"/>
          <w:lang w:val="en-IN" w:eastAsia="en-IN"/>
        </w:rPr>
        <w:t xml:space="preserve"> </w:t>
      </w:r>
    </w:p>
    <w:p w14:paraId="4C7BD364" w14:textId="5D720C85" w:rsidR="00F20268" w:rsidRPr="00D332EC" w:rsidRDefault="00F20268" w:rsidP="00F20268">
      <w:pPr>
        <w:jc w:val="both"/>
        <w:rPr>
          <w:rFonts w:ascii="Avenir Next" w:hAnsi="Avenir Next" w:cs="Arial"/>
          <w:sz w:val="22"/>
          <w:szCs w:val="22"/>
          <w:lang w:val="en-IN" w:eastAsia="en-IN"/>
        </w:rPr>
      </w:pPr>
      <w:r w:rsidRPr="00D332EC">
        <w:rPr>
          <w:rFonts w:ascii="Avenir Next" w:hAnsi="Avenir Next" w:cs="Arial"/>
          <w:sz w:val="22"/>
          <w:szCs w:val="22"/>
          <w:lang w:val="en-IN" w:eastAsia="en-IN"/>
        </w:rPr>
        <w:br/>
        <w:t xml:space="preserve">Staubitz-Schreiber (C-1/04): According to the CJEU, primary insolvency proceedings ought to synchronize with secondary proceedings in other Member States as soon as they are initiated. Better coordination procedures were incorporated into the EIR Recast as a result of this instance. </w:t>
      </w:r>
      <w:r w:rsidRPr="00D332EC">
        <w:rPr>
          <w:rFonts w:ascii="Avenir Next" w:hAnsi="Avenir Next" w:cs="Arial"/>
          <w:sz w:val="22"/>
          <w:szCs w:val="22"/>
          <w:lang w:val="en-IN" w:eastAsia="en-IN"/>
        </w:rPr>
        <w:br/>
      </w:r>
      <w:r w:rsidRPr="00D332EC">
        <w:rPr>
          <w:rFonts w:ascii="Avenir Next" w:hAnsi="Avenir Next" w:cs="Arial"/>
          <w:sz w:val="22"/>
          <w:szCs w:val="22"/>
          <w:lang w:val="en-IN" w:eastAsia="en-IN"/>
        </w:rPr>
        <w:br/>
      </w:r>
      <w:r w:rsidRPr="00D332EC">
        <w:rPr>
          <w:rFonts w:ascii="Avenir Next" w:hAnsi="Avenir Next" w:cs="Arial"/>
          <w:b/>
          <w:bCs/>
          <w:sz w:val="22"/>
          <w:szCs w:val="22"/>
          <w:lang w:val="en-IN" w:eastAsia="en-IN"/>
        </w:rPr>
        <w:t>4. Information and Openness:</w:t>
      </w:r>
      <w:r w:rsidRPr="00D332EC">
        <w:rPr>
          <w:rFonts w:ascii="Avenir Next" w:hAnsi="Avenir Next" w:cs="Arial"/>
          <w:sz w:val="22"/>
          <w:szCs w:val="22"/>
          <w:lang w:val="en-IN" w:eastAsia="en-IN"/>
        </w:rPr>
        <w:t xml:space="preserve"> </w:t>
      </w:r>
    </w:p>
    <w:p w14:paraId="79082268" w14:textId="77777777" w:rsidR="00F20268" w:rsidRPr="00D332EC" w:rsidRDefault="00F20268" w:rsidP="00F20268">
      <w:pPr>
        <w:jc w:val="both"/>
        <w:rPr>
          <w:rFonts w:ascii="Avenir Next" w:hAnsi="Avenir Next" w:cs="Arial"/>
          <w:sz w:val="22"/>
          <w:szCs w:val="22"/>
          <w:lang w:val="en-IN" w:eastAsia="en-IN"/>
        </w:rPr>
      </w:pPr>
    </w:p>
    <w:p w14:paraId="2749329E" w14:textId="77777777" w:rsidR="00F20268" w:rsidRPr="00D332EC" w:rsidRDefault="00F20268" w:rsidP="00F20268">
      <w:pPr>
        <w:jc w:val="both"/>
        <w:rPr>
          <w:rFonts w:ascii="Avenir Next" w:hAnsi="Avenir Next" w:cs="Arial"/>
          <w:sz w:val="22"/>
          <w:szCs w:val="22"/>
          <w:lang w:val="en-IN" w:eastAsia="en-IN"/>
        </w:rPr>
      </w:pPr>
      <w:r w:rsidRPr="00D332EC">
        <w:rPr>
          <w:rFonts w:ascii="Avenir Next" w:hAnsi="Avenir Next" w:cs="Arial"/>
          <w:b/>
          <w:bCs/>
          <w:sz w:val="22"/>
          <w:szCs w:val="22"/>
          <w:lang w:val="en-IN" w:eastAsia="en-IN"/>
        </w:rPr>
        <w:t>Need for Revision:</w:t>
      </w:r>
      <w:r w:rsidRPr="00D332EC">
        <w:rPr>
          <w:rFonts w:ascii="Avenir Next" w:hAnsi="Avenir Next" w:cs="Arial"/>
          <w:sz w:val="22"/>
          <w:szCs w:val="22"/>
          <w:lang w:val="en-IN" w:eastAsia="en-IN"/>
        </w:rPr>
        <w:t xml:space="preserve"> </w:t>
      </w:r>
    </w:p>
    <w:p w14:paraId="1300EBC2" w14:textId="77777777" w:rsidR="00F20268" w:rsidRPr="00D332EC" w:rsidRDefault="00F20268" w:rsidP="00F20268">
      <w:pPr>
        <w:jc w:val="both"/>
        <w:rPr>
          <w:rFonts w:ascii="Avenir Next" w:hAnsi="Avenir Next" w:cs="Arial"/>
          <w:b/>
          <w:bCs/>
          <w:sz w:val="22"/>
          <w:szCs w:val="22"/>
          <w:lang w:val="en-IN" w:eastAsia="en-IN"/>
        </w:rPr>
      </w:pPr>
      <w:r w:rsidRPr="00D332EC">
        <w:rPr>
          <w:rFonts w:ascii="Avenir Next" w:hAnsi="Avenir Next" w:cs="Arial"/>
          <w:sz w:val="22"/>
          <w:szCs w:val="22"/>
          <w:lang w:val="en-IN" w:eastAsia="en-IN"/>
        </w:rPr>
        <w:t xml:space="preserve">It was imperative to augment transparency and facilitate access to information on insolvency processes for stakeholders, including creditors. </w:t>
      </w:r>
      <w:r w:rsidRPr="00D332EC">
        <w:rPr>
          <w:rFonts w:ascii="Avenir Next" w:hAnsi="Avenir Next" w:cs="Arial"/>
          <w:sz w:val="22"/>
          <w:szCs w:val="22"/>
          <w:lang w:val="en-IN" w:eastAsia="en-IN"/>
        </w:rPr>
        <w:br/>
      </w:r>
    </w:p>
    <w:p w14:paraId="57CD70A4" w14:textId="3E27AC11" w:rsidR="00F20268" w:rsidRPr="00D332EC" w:rsidRDefault="00F20268" w:rsidP="00F20268">
      <w:pPr>
        <w:jc w:val="both"/>
        <w:rPr>
          <w:rFonts w:ascii="Avenir Next" w:hAnsi="Avenir Next" w:cs="Arial"/>
          <w:sz w:val="22"/>
          <w:szCs w:val="22"/>
          <w:lang w:val="en-IN" w:eastAsia="en-IN"/>
        </w:rPr>
      </w:pPr>
      <w:r w:rsidRPr="00D332EC">
        <w:rPr>
          <w:rFonts w:ascii="Avenir Next" w:hAnsi="Avenir Next" w:cs="Arial"/>
          <w:b/>
          <w:bCs/>
          <w:sz w:val="22"/>
          <w:szCs w:val="22"/>
          <w:lang w:val="en-IN" w:eastAsia="en-IN"/>
        </w:rPr>
        <w:t>Case Law:</w:t>
      </w:r>
      <w:r w:rsidRPr="00D332EC">
        <w:rPr>
          <w:rFonts w:ascii="Avenir Next" w:hAnsi="Avenir Next" w:cs="Arial"/>
          <w:sz w:val="22"/>
          <w:szCs w:val="22"/>
          <w:lang w:val="en-IN" w:eastAsia="en-IN"/>
        </w:rPr>
        <w:t xml:space="preserve"> C-444/07 MG Probud Gdynia sp. z o.o. The CJEU emphasized how crucial openness is to the insolvency process. The decision to create linked insolvency registers in order to give stakeholders pertinent information was influenced by this case.</w:t>
      </w:r>
    </w:p>
    <w:p w14:paraId="6574E865" w14:textId="77777777" w:rsidR="00A215E8" w:rsidRPr="00D332EC" w:rsidRDefault="00A215E8" w:rsidP="00A215E8">
      <w:pPr>
        <w:jc w:val="both"/>
        <w:rPr>
          <w:rFonts w:ascii="Avenir Next" w:hAnsi="Avenir Next" w:cs="Arial"/>
          <w:sz w:val="22"/>
          <w:szCs w:val="22"/>
        </w:rPr>
      </w:pPr>
    </w:p>
    <w:p w14:paraId="61AC4FFB" w14:textId="77777777" w:rsidR="00C0612F" w:rsidRPr="00D332EC" w:rsidRDefault="00C0612F" w:rsidP="006C5B13">
      <w:pPr>
        <w:rPr>
          <w:rFonts w:ascii="Avenir Next" w:hAnsi="Avenir Next" w:cs="Arial"/>
          <w:b/>
          <w:bCs/>
          <w:sz w:val="22"/>
          <w:szCs w:val="22"/>
          <w:lang w:val="en-IN" w:eastAsia="en-IN"/>
        </w:rPr>
      </w:pPr>
      <w:r w:rsidRPr="00D332EC">
        <w:rPr>
          <w:rFonts w:ascii="Avenir Next" w:hAnsi="Avenir Next" w:cs="Arial"/>
          <w:b/>
          <w:bCs/>
          <w:sz w:val="22"/>
          <w:szCs w:val="22"/>
          <w:lang w:val="en-IN" w:eastAsia="en-IN"/>
        </w:rPr>
        <w:t xml:space="preserve">5. Recognition and Implementation: </w:t>
      </w:r>
    </w:p>
    <w:p w14:paraId="49AB9C77" w14:textId="77777777" w:rsidR="006C5B13" w:rsidRPr="00D332EC" w:rsidRDefault="00C0612F" w:rsidP="006C5B13">
      <w:pPr>
        <w:rPr>
          <w:rFonts w:ascii="Avenir Next" w:hAnsi="Avenir Next" w:cs="Arial"/>
          <w:sz w:val="22"/>
          <w:szCs w:val="22"/>
          <w:lang w:val="en-IN" w:eastAsia="en-IN"/>
        </w:rPr>
      </w:pPr>
      <w:r w:rsidRPr="00D332EC">
        <w:rPr>
          <w:rFonts w:ascii="Avenir Next" w:hAnsi="Avenir Next" w:cs="Arial"/>
          <w:b/>
          <w:bCs/>
          <w:sz w:val="22"/>
          <w:szCs w:val="22"/>
          <w:lang w:val="en-IN" w:eastAsia="en-IN"/>
        </w:rPr>
        <w:t>Need for Revision:</w:t>
      </w:r>
      <w:r w:rsidRPr="00D332EC">
        <w:rPr>
          <w:rFonts w:ascii="Avenir Next" w:hAnsi="Avenir Next" w:cs="Arial"/>
          <w:sz w:val="22"/>
          <w:szCs w:val="22"/>
          <w:lang w:val="en-IN" w:eastAsia="en-IN"/>
        </w:rPr>
        <w:t xml:space="preserve"> It was essential to simplify the acceptance and application of insolvency judgements throughout Member States.</w:t>
      </w:r>
      <w:r w:rsidRPr="00D332EC">
        <w:rPr>
          <w:rFonts w:ascii="Avenir Next" w:hAnsi="Avenir Next" w:cs="Arial"/>
          <w:sz w:val="22"/>
          <w:szCs w:val="22"/>
          <w:lang w:val="en-IN" w:eastAsia="en-IN"/>
        </w:rPr>
        <w:br/>
      </w:r>
    </w:p>
    <w:p w14:paraId="6FA2E405" w14:textId="77777777" w:rsidR="006C5B13" w:rsidRPr="00D332EC" w:rsidRDefault="00C0612F" w:rsidP="006C5B13">
      <w:pPr>
        <w:rPr>
          <w:rFonts w:ascii="Avenir Next" w:hAnsi="Avenir Next" w:cs="Arial"/>
          <w:sz w:val="22"/>
          <w:szCs w:val="22"/>
          <w:lang w:val="en-IN" w:eastAsia="en-IN"/>
        </w:rPr>
      </w:pPr>
      <w:r w:rsidRPr="00D332EC">
        <w:rPr>
          <w:rFonts w:ascii="Avenir Next" w:hAnsi="Avenir Next" w:cs="Arial"/>
          <w:b/>
          <w:bCs/>
          <w:sz w:val="22"/>
          <w:szCs w:val="22"/>
          <w:lang w:val="en-IN" w:eastAsia="en-IN"/>
        </w:rPr>
        <w:t>Case Law:</w:t>
      </w:r>
      <w:r w:rsidRPr="00D332EC">
        <w:rPr>
          <w:rFonts w:ascii="Avenir Next" w:hAnsi="Avenir Next" w:cs="Arial"/>
          <w:sz w:val="22"/>
          <w:szCs w:val="22"/>
          <w:lang w:val="en-IN" w:eastAsia="en-IN"/>
        </w:rPr>
        <w:t xml:space="preserve"> </w:t>
      </w:r>
    </w:p>
    <w:p w14:paraId="51CDFA31" w14:textId="6C8D6C56" w:rsidR="00C0612F" w:rsidRPr="00D332EC" w:rsidRDefault="00C0612F" w:rsidP="006C5B13">
      <w:pPr>
        <w:jc w:val="both"/>
        <w:rPr>
          <w:rFonts w:ascii="Avenir Next" w:hAnsi="Avenir Next" w:cs="Arial"/>
          <w:sz w:val="22"/>
          <w:szCs w:val="22"/>
          <w:lang w:val="en-IN" w:eastAsia="en-IN"/>
        </w:rPr>
      </w:pPr>
      <w:r w:rsidRPr="00D332EC">
        <w:rPr>
          <w:rFonts w:ascii="Avenir Next" w:hAnsi="Avenir Next" w:cs="Arial"/>
          <w:sz w:val="22"/>
          <w:szCs w:val="22"/>
          <w:lang w:val="en-IN" w:eastAsia="en-IN"/>
        </w:rPr>
        <w:br/>
      </w:r>
      <w:r w:rsidRPr="00D332EC">
        <w:rPr>
          <w:rFonts w:ascii="Avenir Next" w:hAnsi="Avenir Next" w:cs="Arial"/>
          <w:b/>
          <w:bCs/>
          <w:sz w:val="22"/>
          <w:szCs w:val="22"/>
          <w:lang w:val="en-IN" w:eastAsia="en-IN"/>
        </w:rPr>
        <w:t>Alice van der Schee v. German Graphics Graphische Maschinen GmbH (C-292/08):</w:t>
      </w:r>
      <w:r w:rsidRPr="00D332EC">
        <w:rPr>
          <w:rFonts w:ascii="Avenir Next" w:hAnsi="Avenir Next" w:cs="Arial"/>
          <w:sz w:val="22"/>
          <w:szCs w:val="22"/>
          <w:lang w:val="en-IN" w:eastAsia="en-IN"/>
        </w:rPr>
        <w:t xml:space="preserve"> The automatic recognition of insolvency proceedings and verdicts was the subject of this case. The CJEU's ruling made evident the necessity for more precise enforcement guidelines, which</w:t>
      </w:r>
      <w:r w:rsidR="006C5B13" w:rsidRPr="00D332EC">
        <w:rPr>
          <w:rFonts w:ascii="Avenir Next" w:hAnsi="Avenir Next" w:cs="Arial"/>
          <w:sz w:val="22"/>
          <w:szCs w:val="22"/>
          <w:lang w:val="en-IN" w:eastAsia="en-IN"/>
        </w:rPr>
        <w:t xml:space="preserve"> </w:t>
      </w:r>
      <w:r w:rsidRPr="00D332EC">
        <w:rPr>
          <w:rFonts w:ascii="Avenir Next" w:hAnsi="Avenir Next" w:cs="Arial"/>
          <w:sz w:val="22"/>
          <w:szCs w:val="22"/>
          <w:lang w:val="en-IN" w:eastAsia="en-IN"/>
        </w:rPr>
        <w:t xml:space="preserve">had an impact on the EIR Recast's efforts to simplify these procedures. </w:t>
      </w:r>
      <w:r w:rsidRPr="00D332EC">
        <w:rPr>
          <w:rFonts w:ascii="Avenir Next" w:hAnsi="Avenir Next" w:cs="Arial"/>
          <w:sz w:val="22"/>
          <w:szCs w:val="22"/>
          <w:lang w:val="en-IN" w:eastAsia="en-IN"/>
        </w:rPr>
        <w:br/>
      </w:r>
      <w:r w:rsidRPr="00D332EC">
        <w:rPr>
          <w:rFonts w:ascii="Avenir Next" w:hAnsi="Avenir Next" w:cs="Arial"/>
          <w:sz w:val="22"/>
          <w:szCs w:val="22"/>
          <w:lang w:val="en-IN" w:eastAsia="en-IN"/>
        </w:rPr>
        <w:br/>
      </w:r>
      <w:r w:rsidRPr="00D332EC">
        <w:rPr>
          <w:rFonts w:ascii="Avenir Next" w:hAnsi="Avenir Next" w:cs="Arial"/>
          <w:b/>
          <w:bCs/>
          <w:sz w:val="22"/>
          <w:szCs w:val="22"/>
          <w:lang w:val="en-IN" w:eastAsia="en-IN"/>
        </w:rPr>
        <w:t>6. Synthetic Procedures:</w:t>
      </w:r>
      <w:r w:rsidRPr="00D332EC">
        <w:rPr>
          <w:rFonts w:ascii="Avenir Next" w:hAnsi="Avenir Next" w:cs="Arial"/>
          <w:sz w:val="22"/>
          <w:szCs w:val="22"/>
          <w:lang w:val="en-IN" w:eastAsia="en-IN"/>
        </w:rPr>
        <w:t xml:space="preserve"> Revision Needed In order to streamline the procedure and prevent the intricacy of initiating several secondary processes, synthetic secondary proceedings had to be introduced. </w:t>
      </w:r>
    </w:p>
    <w:p w14:paraId="004A2F97" w14:textId="77777777" w:rsidR="00A215E8" w:rsidRPr="00D332EC" w:rsidRDefault="00A215E8" w:rsidP="00A215E8">
      <w:pPr>
        <w:jc w:val="both"/>
        <w:rPr>
          <w:rFonts w:ascii="Avenir Next" w:hAnsi="Avenir Next" w:cs="Arial"/>
          <w:b/>
          <w:bCs/>
          <w:sz w:val="22"/>
          <w:szCs w:val="22"/>
        </w:rPr>
      </w:pPr>
      <w:r w:rsidRPr="00D332EC">
        <w:rPr>
          <w:rFonts w:ascii="Avenir Next" w:hAnsi="Avenir Next" w:cs="Arial"/>
          <w:b/>
          <w:bCs/>
          <w:sz w:val="22"/>
          <w:szCs w:val="22"/>
        </w:rPr>
        <w:t>Case Law:</w:t>
      </w:r>
    </w:p>
    <w:p w14:paraId="7837CD7E" w14:textId="59C6C6B3" w:rsidR="002A4F21" w:rsidRPr="00D332EC" w:rsidRDefault="002F7170" w:rsidP="002A4F21">
      <w:pPr>
        <w:jc w:val="both"/>
        <w:rPr>
          <w:rFonts w:ascii="Avenir Next" w:hAnsi="Avenir Next" w:cs="Arial"/>
          <w:sz w:val="22"/>
          <w:szCs w:val="22"/>
          <w:lang w:val="en-IN" w:eastAsia="en-IN"/>
        </w:rPr>
      </w:pPr>
      <w:r w:rsidRPr="00D332EC">
        <w:rPr>
          <w:rFonts w:ascii="Avenir Next" w:hAnsi="Avenir Next" w:cs="Arial"/>
          <w:b/>
          <w:bCs/>
          <w:sz w:val="22"/>
          <w:szCs w:val="22"/>
        </w:rPr>
        <w:lastRenderedPageBreak/>
        <w:t>Bank Handlowy w Warszawie SA v. Christianapol</w:t>
      </w:r>
      <w:r w:rsidR="00A215E8" w:rsidRPr="00D332EC">
        <w:rPr>
          <w:rFonts w:ascii="Avenir Next" w:hAnsi="Avenir Next" w:cs="Arial"/>
          <w:b/>
          <w:bCs/>
          <w:sz w:val="22"/>
          <w:szCs w:val="22"/>
        </w:rPr>
        <w:t>:</w:t>
      </w:r>
      <w:r w:rsidR="00A215E8" w:rsidRPr="00D332EC">
        <w:rPr>
          <w:rFonts w:ascii="Avenir Next" w:hAnsi="Avenir Next" w:cs="Arial"/>
          <w:sz w:val="22"/>
          <w:szCs w:val="22"/>
        </w:rPr>
        <w:t xml:space="preserve"> </w:t>
      </w:r>
      <w:r w:rsidR="002A4F21" w:rsidRPr="00D332EC">
        <w:rPr>
          <w:rFonts w:ascii="Avenir Next" w:hAnsi="Avenir Next" w:cs="Arial"/>
          <w:sz w:val="22"/>
          <w:szCs w:val="22"/>
          <w:lang w:val="en-IN" w:eastAsia="en-IN"/>
        </w:rPr>
        <w:t>The difficulties of managing several secondary processes were demonstrated by this case. The EIR Recast adopted synthetic processes as a result of the CJEU's ruling, enabling a more efficient method of handling cross-border insolvency.</w:t>
      </w:r>
      <w:r w:rsidR="002A4F21" w:rsidRPr="00D332EC">
        <w:rPr>
          <w:rFonts w:ascii="Avenir Next" w:hAnsi="Avenir Next" w:cs="Arial"/>
          <w:sz w:val="22"/>
          <w:szCs w:val="22"/>
          <w:lang w:val="en-IN" w:eastAsia="en-IN"/>
        </w:rPr>
        <w:br/>
      </w:r>
      <w:r w:rsidR="002A4F21" w:rsidRPr="00D332EC">
        <w:rPr>
          <w:rFonts w:ascii="Avenir Next" w:hAnsi="Avenir Next" w:cs="Arial"/>
          <w:sz w:val="22"/>
          <w:szCs w:val="22"/>
          <w:lang w:val="en-IN" w:eastAsia="en-IN"/>
        </w:rPr>
        <w:br/>
        <w:t>The EIR Recast was adopted as a result of the demands raised by these cases. It addressed the shortcomings by broadening the scope, making COMI more clear, boosting coordination, improving transparency, expediting recognition and enforcement, and introducing synthetic processes.</w:t>
      </w:r>
    </w:p>
    <w:p w14:paraId="68720004" w14:textId="0FD3555C" w:rsidR="00A215E8" w:rsidRPr="00D332EC" w:rsidRDefault="00A215E8" w:rsidP="002A4F21">
      <w:pPr>
        <w:jc w:val="both"/>
        <w:rPr>
          <w:rFonts w:ascii="Avenir Next" w:hAnsi="Avenir Next" w:cs="Arial"/>
          <w:b/>
          <w:bCs/>
          <w:color w:val="7B7B7B" w:themeColor="accent3" w:themeShade="BF"/>
          <w:sz w:val="22"/>
          <w:szCs w:val="22"/>
        </w:rPr>
      </w:pPr>
    </w:p>
    <w:p w14:paraId="73DB783F" w14:textId="77777777" w:rsidR="00A215E8" w:rsidRPr="00D332EC" w:rsidRDefault="00A215E8" w:rsidP="00A215E8">
      <w:pPr>
        <w:jc w:val="both"/>
        <w:rPr>
          <w:rFonts w:ascii="Avenir Next" w:hAnsi="Avenir Next" w:cs="Arial"/>
          <w:b/>
          <w:bCs/>
          <w:sz w:val="22"/>
          <w:szCs w:val="22"/>
        </w:rPr>
      </w:pPr>
    </w:p>
    <w:p w14:paraId="755D6AFF" w14:textId="6C437B3B" w:rsidR="00C550C8" w:rsidRPr="00D332EC" w:rsidRDefault="00C550C8" w:rsidP="00A215E8">
      <w:pPr>
        <w:jc w:val="both"/>
        <w:rPr>
          <w:rFonts w:ascii="Avenir Next" w:hAnsi="Avenir Next" w:cs="Arial"/>
          <w:b/>
          <w:bCs/>
          <w:sz w:val="22"/>
          <w:szCs w:val="22"/>
        </w:rPr>
      </w:pPr>
      <w:r w:rsidRPr="00D332EC">
        <w:rPr>
          <w:rFonts w:ascii="Avenir Next" w:hAnsi="Avenir Next" w:cs="Arial"/>
          <w:b/>
          <w:bCs/>
          <w:sz w:val="22"/>
          <w:szCs w:val="22"/>
        </w:rPr>
        <w:t xml:space="preserve">Question </w:t>
      </w:r>
      <w:r w:rsidR="00544127" w:rsidRPr="00D332EC">
        <w:rPr>
          <w:rFonts w:ascii="Avenir Next" w:hAnsi="Avenir Next" w:cs="Arial"/>
          <w:b/>
          <w:bCs/>
          <w:sz w:val="22"/>
          <w:szCs w:val="22"/>
        </w:rPr>
        <w:t>3.2</w:t>
      </w:r>
      <w:r w:rsidRPr="00D332EC">
        <w:rPr>
          <w:rFonts w:ascii="Avenir Next" w:hAnsi="Avenir Next" w:cs="Arial"/>
          <w:b/>
          <w:bCs/>
          <w:sz w:val="22"/>
          <w:szCs w:val="22"/>
        </w:rPr>
        <w:t xml:space="preserve"> </w:t>
      </w:r>
      <w:r w:rsidRPr="00D332EC">
        <w:rPr>
          <w:rFonts w:ascii="Avenir Next" w:hAnsi="Avenir Next" w:cs="Arial"/>
          <w:b/>
          <w:bCs/>
          <w:sz w:val="22"/>
          <w:szCs w:val="22"/>
          <w:lang w:val="en-GB"/>
        </w:rPr>
        <w:t>[</w:t>
      </w:r>
      <w:r w:rsidR="006A2646" w:rsidRPr="00D332EC">
        <w:rPr>
          <w:rFonts w:ascii="Avenir Next" w:hAnsi="Avenir Next" w:cs="Arial"/>
          <w:b/>
          <w:bCs/>
          <w:sz w:val="22"/>
          <w:szCs w:val="22"/>
          <w:lang w:val="en-GB"/>
        </w:rPr>
        <w:t>m</w:t>
      </w:r>
      <w:r w:rsidRPr="00D332EC">
        <w:rPr>
          <w:rFonts w:ascii="Avenir Next" w:hAnsi="Avenir Next" w:cs="Arial"/>
          <w:b/>
          <w:bCs/>
          <w:sz w:val="22"/>
          <w:szCs w:val="22"/>
          <w:lang w:val="en-GB"/>
        </w:rPr>
        <w:t xml:space="preserve">aximum </w:t>
      </w:r>
      <w:r w:rsidR="00980E61" w:rsidRPr="00D332EC">
        <w:rPr>
          <w:rFonts w:ascii="Avenir Next" w:hAnsi="Avenir Next" w:cs="Arial"/>
          <w:b/>
          <w:bCs/>
          <w:sz w:val="22"/>
          <w:szCs w:val="22"/>
          <w:lang w:val="en-GB"/>
        </w:rPr>
        <w:t>5</w:t>
      </w:r>
      <w:r w:rsidRPr="00D332EC">
        <w:rPr>
          <w:rFonts w:ascii="Avenir Next" w:hAnsi="Avenir Next" w:cs="Arial"/>
          <w:b/>
          <w:bCs/>
          <w:sz w:val="22"/>
          <w:szCs w:val="22"/>
          <w:lang w:val="en-GB"/>
        </w:rPr>
        <w:t xml:space="preserve"> marks]</w:t>
      </w:r>
    </w:p>
    <w:p w14:paraId="20889CDD" w14:textId="6E7838E8" w:rsidR="008115C6" w:rsidRPr="00D332EC" w:rsidRDefault="008115C6" w:rsidP="008115C6">
      <w:pPr>
        <w:jc w:val="both"/>
        <w:rPr>
          <w:rFonts w:ascii="Avenir Next" w:hAnsi="Avenir Next" w:cs="Arial"/>
          <w:sz w:val="22"/>
          <w:szCs w:val="22"/>
          <w:lang w:val="en-GB"/>
        </w:rPr>
      </w:pPr>
      <w:r w:rsidRPr="00D332EC">
        <w:rPr>
          <w:rFonts w:ascii="Avenir Next" w:hAnsi="Avenir Next" w:cs="Arial"/>
          <w:sz w:val="22"/>
          <w:szCs w:val="22"/>
          <w:lang w:val="en-GB"/>
        </w:rPr>
        <w:t xml:space="preserve">The concept of the “centre of main interest” has been both praised and </w:t>
      </w:r>
      <w:r w:rsidR="002F7170" w:rsidRPr="00D332EC">
        <w:rPr>
          <w:rFonts w:ascii="Avenir Next" w:hAnsi="Avenir Next" w:cs="Arial"/>
          <w:sz w:val="22"/>
          <w:szCs w:val="22"/>
          <w:lang w:val="en-GB"/>
        </w:rPr>
        <w:t>criticized</w:t>
      </w:r>
      <w:r w:rsidRPr="00D332EC">
        <w:rPr>
          <w:rFonts w:ascii="Avenir Next" w:hAnsi="Avenir Next" w:cs="Arial"/>
          <w:sz w:val="22"/>
          <w:szCs w:val="22"/>
          <w:lang w:val="en-GB"/>
        </w:rPr>
        <w:t xml:space="preserve"> by EU institutions, academics, and practitioners. List </w:t>
      </w:r>
      <w:r w:rsidRPr="00D332EC">
        <w:rPr>
          <w:rFonts w:ascii="Avenir Next" w:hAnsi="Avenir Next" w:cs="Arial"/>
          <w:b/>
          <w:bCs/>
          <w:sz w:val="22"/>
          <w:szCs w:val="22"/>
          <w:u w:val="single"/>
          <w:lang w:val="en-GB"/>
        </w:rPr>
        <w:t xml:space="preserve">two (2) praises </w:t>
      </w:r>
      <w:r w:rsidR="002F7170" w:rsidRPr="00D332EC">
        <w:rPr>
          <w:rFonts w:ascii="Avenir Next" w:hAnsi="Avenir Next" w:cs="Arial"/>
          <w:b/>
          <w:bCs/>
          <w:sz w:val="22"/>
          <w:szCs w:val="22"/>
          <w:u w:val="single"/>
          <w:lang w:val="en-GB"/>
        </w:rPr>
        <w:t>and/or</w:t>
      </w:r>
      <w:r w:rsidRPr="00D332EC">
        <w:rPr>
          <w:rFonts w:ascii="Avenir Next" w:hAnsi="Avenir Next"/>
          <w:b/>
          <w:sz w:val="22"/>
          <w:szCs w:val="22"/>
          <w:u w:val="single"/>
          <w:lang w:val="en-GB"/>
        </w:rPr>
        <w:t xml:space="preserve"> shortcomings</w:t>
      </w:r>
      <w:r w:rsidRPr="00D332EC">
        <w:rPr>
          <w:rFonts w:ascii="Avenir Next" w:hAnsi="Avenir Next"/>
          <w:b/>
          <w:sz w:val="22"/>
          <w:szCs w:val="22"/>
          <w:lang w:val="en-GB"/>
        </w:rPr>
        <w:t xml:space="preserve"> </w:t>
      </w:r>
      <w:r w:rsidRPr="00D332EC">
        <w:rPr>
          <w:rFonts w:ascii="Avenir Next" w:hAnsi="Avenir Next" w:cs="Arial"/>
          <w:sz w:val="22"/>
          <w:szCs w:val="22"/>
          <w:lang w:val="en-GB"/>
        </w:rPr>
        <w:t xml:space="preserve">and explain why they are considered </w:t>
      </w:r>
      <w:r w:rsidR="00A215E8" w:rsidRPr="00D332EC">
        <w:rPr>
          <w:rFonts w:ascii="Avenir Next" w:hAnsi="Avenir Next" w:cs="Arial"/>
          <w:sz w:val="22"/>
          <w:szCs w:val="22"/>
          <w:lang w:val="en-GB"/>
        </w:rPr>
        <w:t>praises/shortcomings</w:t>
      </w:r>
      <w:r w:rsidRPr="00D332EC">
        <w:rPr>
          <w:rFonts w:ascii="Avenir Next" w:hAnsi="Avenir Next" w:cs="Arial"/>
          <w:sz w:val="22"/>
          <w:szCs w:val="22"/>
          <w:lang w:val="en-GB"/>
        </w:rPr>
        <w:t>.</w:t>
      </w:r>
    </w:p>
    <w:p w14:paraId="55B2B266" w14:textId="77777777" w:rsidR="003D4A79" w:rsidRPr="00D332EC" w:rsidRDefault="003D4A79" w:rsidP="003D4A79">
      <w:pPr>
        <w:jc w:val="both"/>
        <w:rPr>
          <w:rFonts w:ascii="Avenir Next" w:hAnsi="Avenir Next" w:cs="Arial"/>
          <w:sz w:val="22"/>
          <w:szCs w:val="22"/>
          <w:lang w:val="en-GB"/>
        </w:rPr>
      </w:pPr>
    </w:p>
    <w:p w14:paraId="4662A9D9" w14:textId="2C5D027D" w:rsidR="000A3278" w:rsidRPr="00D332EC" w:rsidRDefault="002F7170" w:rsidP="000A3278">
      <w:pPr>
        <w:jc w:val="both"/>
        <w:rPr>
          <w:rFonts w:ascii="Avenir Next" w:hAnsi="Avenir Next" w:cs="Arial"/>
          <w:sz w:val="22"/>
          <w:szCs w:val="22"/>
        </w:rPr>
      </w:pPr>
      <w:r w:rsidRPr="00D332EC">
        <w:rPr>
          <w:rFonts w:ascii="Avenir Next" w:hAnsi="Avenir Next" w:cs="Arial"/>
          <w:sz w:val="22"/>
          <w:szCs w:val="22"/>
        </w:rPr>
        <w:t>Answer:</w:t>
      </w:r>
    </w:p>
    <w:p w14:paraId="1F5CC7E5" w14:textId="77777777" w:rsidR="002F7170" w:rsidRPr="00D332EC" w:rsidRDefault="002F7170" w:rsidP="000A3278">
      <w:pPr>
        <w:jc w:val="both"/>
        <w:rPr>
          <w:rFonts w:ascii="Avenir Next" w:hAnsi="Avenir Next" w:cs="Arial"/>
          <w:sz w:val="22"/>
          <w:szCs w:val="22"/>
        </w:rPr>
      </w:pPr>
    </w:p>
    <w:p w14:paraId="7F0FE938" w14:textId="3795ADF9" w:rsidR="002F7170" w:rsidRPr="00D332EC" w:rsidRDefault="002F7170" w:rsidP="002F7170">
      <w:pPr>
        <w:jc w:val="both"/>
        <w:rPr>
          <w:rFonts w:ascii="Avenir Next" w:hAnsi="Avenir Next" w:cs="Arial"/>
          <w:sz w:val="22"/>
          <w:szCs w:val="22"/>
        </w:rPr>
      </w:pPr>
      <w:r w:rsidRPr="00D332EC">
        <w:rPr>
          <w:rFonts w:ascii="Avenir Next" w:hAnsi="Avenir Next" w:cs="Arial"/>
          <w:sz w:val="22"/>
          <w:szCs w:val="22"/>
        </w:rPr>
        <w:t>Here are the praises and shortcomings of the "</w:t>
      </w:r>
      <w:r w:rsidR="003C2E88" w:rsidRPr="00D332EC">
        <w:rPr>
          <w:rFonts w:ascii="Avenir Next" w:hAnsi="Avenir Next" w:cs="Arial"/>
          <w:sz w:val="22"/>
          <w:szCs w:val="22"/>
        </w:rPr>
        <w:t>Centre of Main Interest</w:t>
      </w:r>
      <w:r w:rsidRPr="00D332EC">
        <w:rPr>
          <w:rFonts w:ascii="Avenir Next" w:hAnsi="Avenir Next" w:cs="Arial"/>
          <w:sz w:val="22"/>
          <w:szCs w:val="22"/>
        </w:rPr>
        <w:t>" (COMI) concept, including relevant judgments:</w:t>
      </w:r>
    </w:p>
    <w:p w14:paraId="207308CD" w14:textId="77777777" w:rsidR="002F7170" w:rsidRPr="00D332EC" w:rsidRDefault="002F7170" w:rsidP="002F7170">
      <w:pPr>
        <w:jc w:val="both"/>
        <w:rPr>
          <w:rFonts w:ascii="Avenir Next" w:hAnsi="Avenir Next" w:cs="Arial"/>
          <w:sz w:val="22"/>
          <w:szCs w:val="22"/>
        </w:rPr>
      </w:pPr>
    </w:p>
    <w:p w14:paraId="782552E5" w14:textId="77777777" w:rsidR="002F7170" w:rsidRPr="00D332EC" w:rsidRDefault="002F7170" w:rsidP="002F7170">
      <w:pPr>
        <w:jc w:val="both"/>
        <w:rPr>
          <w:rFonts w:ascii="Avenir Next" w:hAnsi="Avenir Next" w:cs="Arial"/>
          <w:b/>
          <w:bCs/>
          <w:sz w:val="22"/>
          <w:szCs w:val="22"/>
        </w:rPr>
      </w:pPr>
      <w:r w:rsidRPr="00D332EC">
        <w:rPr>
          <w:rFonts w:ascii="Avenir Next" w:hAnsi="Avenir Next" w:cs="Arial"/>
          <w:b/>
          <w:bCs/>
          <w:sz w:val="22"/>
          <w:szCs w:val="22"/>
        </w:rPr>
        <w:t>Praises:</w:t>
      </w:r>
    </w:p>
    <w:p w14:paraId="11017E8B" w14:textId="77777777" w:rsidR="002F7170" w:rsidRPr="00D332EC" w:rsidRDefault="002F7170" w:rsidP="002F7170">
      <w:pPr>
        <w:jc w:val="both"/>
        <w:rPr>
          <w:rFonts w:ascii="Avenir Next" w:hAnsi="Avenir Next" w:cs="Arial"/>
          <w:sz w:val="22"/>
          <w:szCs w:val="22"/>
        </w:rPr>
      </w:pPr>
    </w:p>
    <w:p w14:paraId="13911333" w14:textId="23FB5A1B" w:rsidR="002F7170" w:rsidRPr="00D332EC" w:rsidRDefault="002F7170" w:rsidP="002F7170">
      <w:pPr>
        <w:jc w:val="both"/>
        <w:rPr>
          <w:rFonts w:ascii="Avenir Next" w:hAnsi="Avenir Next" w:cs="Arial"/>
          <w:b/>
          <w:bCs/>
          <w:sz w:val="22"/>
          <w:szCs w:val="22"/>
        </w:rPr>
      </w:pPr>
      <w:r w:rsidRPr="00D332EC">
        <w:rPr>
          <w:rFonts w:ascii="Avenir Next" w:hAnsi="Avenir Next" w:cs="Arial"/>
          <w:b/>
          <w:bCs/>
          <w:sz w:val="22"/>
          <w:szCs w:val="22"/>
        </w:rPr>
        <w:t>1. Predictability and Legal Certainty:</w:t>
      </w:r>
    </w:p>
    <w:p w14:paraId="3F9A5482" w14:textId="39156D8E" w:rsidR="002F7170" w:rsidRPr="00D332EC" w:rsidRDefault="002F7170" w:rsidP="002F7170">
      <w:pPr>
        <w:jc w:val="both"/>
        <w:rPr>
          <w:rFonts w:ascii="Avenir Next" w:hAnsi="Avenir Next" w:cs="Arial"/>
          <w:sz w:val="22"/>
          <w:szCs w:val="22"/>
        </w:rPr>
      </w:pPr>
      <w:r w:rsidRPr="00D332EC">
        <w:rPr>
          <w:rFonts w:ascii="Avenir Next" w:hAnsi="Avenir Next" w:cs="Arial"/>
          <w:b/>
          <w:bCs/>
          <w:sz w:val="22"/>
          <w:szCs w:val="22"/>
        </w:rPr>
        <w:t>Explanation:</w:t>
      </w:r>
      <w:r w:rsidRPr="00D332EC">
        <w:rPr>
          <w:rFonts w:ascii="Avenir Next" w:hAnsi="Avenir Next" w:cs="Arial"/>
          <w:sz w:val="22"/>
          <w:szCs w:val="22"/>
        </w:rPr>
        <w:t xml:space="preserve"> COMI </w:t>
      </w:r>
      <w:r w:rsidR="0060147D" w:rsidRPr="00D332EC">
        <w:rPr>
          <w:rFonts w:ascii="Avenir Next" w:hAnsi="Avenir Next" w:cs="Arial"/>
          <w:sz w:val="22"/>
          <w:szCs w:val="22"/>
        </w:rPr>
        <w:t>offers</w:t>
      </w:r>
      <w:r w:rsidRPr="00D332EC">
        <w:rPr>
          <w:rFonts w:ascii="Avenir Next" w:hAnsi="Avenir Next" w:cs="Arial"/>
          <w:sz w:val="22"/>
          <w:szCs w:val="22"/>
        </w:rPr>
        <w:t xml:space="preserve"> </w:t>
      </w:r>
      <w:r w:rsidR="0014389D" w:rsidRPr="00D332EC">
        <w:rPr>
          <w:rFonts w:ascii="Avenir Next" w:hAnsi="Avenir Next" w:cs="Arial"/>
          <w:sz w:val="22"/>
          <w:szCs w:val="22"/>
        </w:rPr>
        <w:t>precise</w:t>
      </w:r>
      <w:r w:rsidRPr="00D332EC">
        <w:rPr>
          <w:rFonts w:ascii="Avenir Next" w:hAnsi="Avenir Next" w:cs="Arial"/>
          <w:sz w:val="22"/>
          <w:szCs w:val="22"/>
        </w:rPr>
        <w:t xml:space="preserve"> criteri</w:t>
      </w:r>
      <w:r w:rsidR="003C2E88" w:rsidRPr="00D332EC">
        <w:rPr>
          <w:rFonts w:ascii="Avenir Next" w:hAnsi="Avenir Next" w:cs="Arial"/>
          <w:sz w:val="22"/>
          <w:szCs w:val="22"/>
        </w:rPr>
        <w:t>a</w:t>
      </w:r>
      <w:r w:rsidRPr="00D332EC">
        <w:rPr>
          <w:rFonts w:ascii="Avenir Next" w:hAnsi="Avenir Next" w:cs="Arial"/>
          <w:sz w:val="22"/>
          <w:szCs w:val="22"/>
        </w:rPr>
        <w:t xml:space="preserve"> for </w:t>
      </w:r>
      <w:r w:rsidR="0014389D" w:rsidRPr="00D332EC">
        <w:rPr>
          <w:rFonts w:ascii="Avenir Next" w:hAnsi="Avenir Next" w:cs="Arial"/>
          <w:sz w:val="22"/>
          <w:szCs w:val="22"/>
        </w:rPr>
        <w:t>establishing</w:t>
      </w:r>
      <w:r w:rsidRPr="00D332EC">
        <w:rPr>
          <w:rFonts w:ascii="Avenir Next" w:hAnsi="Avenir Next" w:cs="Arial"/>
          <w:sz w:val="22"/>
          <w:szCs w:val="22"/>
        </w:rPr>
        <w:t xml:space="preserve"> the jurisdiction for insolvency proceedings, </w:t>
      </w:r>
      <w:r w:rsidR="0014389D" w:rsidRPr="00D332EC">
        <w:rPr>
          <w:rFonts w:ascii="Avenir Next" w:hAnsi="Avenir Next" w:cs="Arial"/>
          <w:sz w:val="22"/>
          <w:szCs w:val="22"/>
        </w:rPr>
        <w:t>improving</w:t>
      </w:r>
      <w:r w:rsidRPr="00D332EC">
        <w:rPr>
          <w:rFonts w:ascii="Avenir Next" w:hAnsi="Avenir Next" w:cs="Arial"/>
          <w:sz w:val="22"/>
          <w:szCs w:val="22"/>
        </w:rPr>
        <w:t xml:space="preserve"> predictability and legal certainty for creditors, debtors, and other stakeholders.</w:t>
      </w:r>
    </w:p>
    <w:p w14:paraId="1EA8D5EC" w14:textId="70C2FAC2" w:rsidR="002F7170" w:rsidRPr="00D332EC" w:rsidRDefault="002F7170" w:rsidP="002F7170">
      <w:pPr>
        <w:jc w:val="both"/>
        <w:rPr>
          <w:rFonts w:ascii="Avenir Next" w:hAnsi="Avenir Next" w:cs="Arial"/>
          <w:b/>
          <w:bCs/>
          <w:sz w:val="22"/>
          <w:szCs w:val="22"/>
        </w:rPr>
      </w:pPr>
      <w:r w:rsidRPr="00D332EC">
        <w:rPr>
          <w:rFonts w:ascii="Avenir Next" w:hAnsi="Avenir Next" w:cs="Arial"/>
          <w:b/>
          <w:bCs/>
          <w:sz w:val="22"/>
          <w:szCs w:val="22"/>
        </w:rPr>
        <w:t>Case Law:</w:t>
      </w:r>
    </w:p>
    <w:p w14:paraId="4E237847" w14:textId="7D348BC9" w:rsidR="002F7170" w:rsidRPr="00D332EC" w:rsidRDefault="002F7170" w:rsidP="002F7170">
      <w:pPr>
        <w:jc w:val="both"/>
        <w:rPr>
          <w:rFonts w:ascii="Avenir Next" w:hAnsi="Avenir Next" w:cs="Arial"/>
          <w:sz w:val="22"/>
          <w:szCs w:val="22"/>
        </w:rPr>
      </w:pPr>
      <w:r w:rsidRPr="00D332EC">
        <w:rPr>
          <w:rFonts w:ascii="Avenir Next" w:hAnsi="Avenir Next" w:cs="Arial"/>
          <w:b/>
          <w:bCs/>
          <w:sz w:val="22"/>
          <w:szCs w:val="22"/>
        </w:rPr>
        <w:t>Eurofood IFSC Ltd (C-341/04):</w:t>
      </w:r>
      <w:r w:rsidRPr="00D332EC">
        <w:rPr>
          <w:rFonts w:ascii="Avenir Next" w:hAnsi="Avenir Next" w:cs="Arial"/>
          <w:sz w:val="22"/>
          <w:szCs w:val="22"/>
        </w:rPr>
        <w:t xml:space="preserve"> </w:t>
      </w:r>
      <w:r w:rsidR="00BB2DC6" w:rsidRPr="00D332EC">
        <w:rPr>
          <w:rFonts w:ascii="Avenir Next" w:hAnsi="Avenir Next" w:cs="Arial"/>
          <w:sz w:val="22"/>
          <w:szCs w:val="22"/>
        </w:rPr>
        <w:t>According to the</w:t>
      </w:r>
      <w:r w:rsidRPr="00D332EC">
        <w:rPr>
          <w:rFonts w:ascii="Avenir Next" w:hAnsi="Avenir Next" w:cs="Arial"/>
          <w:sz w:val="22"/>
          <w:szCs w:val="22"/>
        </w:rPr>
        <w:t xml:space="preserve"> CJEU</w:t>
      </w:r>
      <w:r w:rsidR="00BB2DC6" w:rsidRPr="00D332EC">
        <w:rPr>
          <w:rFonts w:ascii="Avenir Next" w:hAnsi="Avenir Next" w:cs="Arial"/>
          <w:sz w:val="22"/>
          <w:szCs w:val="22"/>
        </w:rPr>
        <w:t xml:space="preserve">, </w:t>
      </w:r>
      <w:r w:rsidRPr="00D332EC">
        <w:rPr>
          <w:rFonts w:ascii="Avenir Next" w:hAnsi="Avenir Next" w:cs="Arial"/>
          <w:sz w:val="22"/>
          <w:szCs w:val="22"/>
        </w:rPr>
        <w:t xml:space="preserve">COMI should be where the debtor conducts the administration of its interests </w:t>
      </w:r>
      <w:r w:rsidR="00036D88" w:rsidRPr="00D332EC">
        <w:rPr>
          <w:rFonts w:ascii="Avenir Next" w:hAnsi="Avenir Next" w:cs="Arial"/>
          <w:sz w:val="22"/>
          <w:szCs w:val="22"/>
        </w:rPr>
        <w:t>routinely</w:t>
      </w:r>
      <w:r w:rsidRPr="00D332EC">
        <w:rPr>
          <w:rFonts w:ascii="Avenir Next" w:hAnsi="Avenir Next" w:cs="Arial"/>
          <w:sz w:val="22"/>
          <w:szCs w:val="22"/>
        </w:rPr>
        <w:t xml:space="preserve"> and is ascertainable by third parties. This case </w:t>
      </w:r>
      <w:r w:rsidR="003275E6" w:rsidRPr="00D332EC">
        <w:rPr>
          <w:rFonts w:ascii="Avenir Next" w:hAnsi="Avenir Next" w:cs="Arial"/>
          <w:sz w:val="22"/>
          <w:szCs w:val="22"/>
        </w:rPr>
        <w:t xml:space="preserve">highlight </w:t>
      </w:r>
      <w:r w:rsidRPr="00D332EC">
        <w:rPr>
          <w:rFonts w:ascii="Avenir Next" w:hAnsi="Avenir Next" w:cs="Arial"/>
          <w:sz w:val="22"/>
          <w:szCs w:val="22"/>
        </w:rPr>
        <w:t xml:space="preserve">the </w:t>
      </w:r>
      <w:r w:rsidR="00FA3DAB" w:rsidRPr="00D332EC">
        <w:rPr>
          <w:rFonts w:ascii="Avenir Next" w:hAnsi="Avenir Next" w:cs="Arial"/>
          <w:sz w:val="22"/>
          <w:szCs w:val="22"/>
        </w:rPr>
        <w:t>importance</w:t>
      </w:r>
      <w:r w:rsidRPr="00D332EC">
        <w:rPr>
          <w:rFonts w:ascii="Avenir Next" w:hAnsi="Avenir Next" w:cs="Arial"/>
          <w:sz w:val="22"/>
          <w:szCs w:val="22"/>
        </w:rPr>
        <w:t xml:space="preserve"> of a predictable and transparent </w:t>
      </w:r>
      <w:r w:rsidR="00FA3DAB" w:rsidRPr="00D332EC">
        <w:rPr>
          <w:rFonts w:ascii="Avenir Next" w:hAnsi="Avenir Next" w:cs="Arial"/>
          <w:sz w:val="22"/>
          <w:szCs w:val="22"/>
        </w:rPr>
        <w:t>standard</w:t>
      </w:r>
      <w:r w:rsidRPr="00D332EC">
        <w:rPr>
          <w:rFonts w:ascii="Avenir Next" w:hAnsi="Avenir Next" w:cs="Arial"/>
          <w:sz w:val="22"/>
          <w:szCs w:val="22"/>
        </w:rPr>
        <w:t xml:space="preserve"> for </w:t>
      </w:r>
      <w:r w:rsidR="00FA3DAB" w:rsidRPr="00D332EC">
        <w:rPr>
          <w:rFonts w:ascii="Avenir Next" w:hAnsi="Avenir Next" w:cs="Arial"/>
          <w:sz w:val="22"/>
          <w:szCs w:val="22"/>
        </w:rPr>
        <w:t>establishing</w:t>
      </w:r>
      <w:r w:rsidRPr="00D332EC">
        <w:rPr>
          <w:rFonts w:ascii="Avenir Next" w:hAnsi="Avenir Next" w:cs="Arial"/>
          <w:sz w:val="22"/>
          <w:szCs w:val="22"/>
        </w:rPr>
        <w:t xml:space="preserve"> jurisdiction.</w:t>
      </w:r>
    </w:p>
    <w:p w14:paraId="7CF9CC70" w14:textId="77777777" w:rsidR="002F7170" w:rsidRPr="00D332EC" w:rsidRDefault="002F7170" w:rsidP="002F7170">
      <w:pPr>
        <w:jc w:val="both"/>
        <w:rPr>
          <w:rFonts w:ascii="Avenir Next" w:hAnsi="Avenir Next" w:cs="Arial"/>
          <w:sz w:val="22"/>
          <w:szCs w:val="22"/>
        </w:rPr>
      </w:pPr>
    </w:p>
    <w:p w14:paraId="43C00714" w14:textId="7A0F4392" w:rsidR="002F7170" w:rsidRPr="00D332EC" w:rsidRDefault="002F7170" w:rsidP="002F7170">
      <w:pPr>
        <w:jc w:val="both"/>
        <w:rPr>
          <w:rFonts w:ascii="Avenir Next" w:hAnsi="Avenir Next" w:cs="Arial"/>
          <w:b/>
          <w:bCs/>
          <w:sz w:val="22"/>
          <w:szCs w:val="22"/>
        </w:rPr>
      </w:pPr>
      <w:r w:rsidRPr="00D332EC">
        <w:rPr>
          <w:rFonts w:ascii="Avenir Next" w:hAnsi="Avenir Next" w:cs="Arial"/>
          <w:b/>
          <w:bCs/>
          <w:sz w:val="22"/>
          <w:szCs w:val="22"/>
        </w:rPr>
        <w:t>2. Protection Against Forum Shopping:</w:t>
      </w:r>
    </w:p>
    <w:p w14:paraId="38DC6BAC" w14:textId="79FCDE2C" w:rsidR="002F7170" w:rsidRPr="00D332EC" w:rsidRDefault="002F7170" w:rsidP="002F7170">
      <w:pPr>
        <w:jc w:val="both"/>
        <w:rPr>
          <w:rFonts w:ascii="Avenir Next" w:hAnsi="Avenir Next" w:cs="Arial"/>
          <w:sz w:val="22"/>
          <w:szCs w:val="22"/>
        </w:rPr>
      </w:pPr>
      <w:r w:rsidRPr="00D332EC">
        <w:rPr>
          <w:rFonts w:ascii="Avenir Next" w:hAnsi="Avenir Next" w:cs="Arial"/>
          <w:b/>
          <w:bCs/>
          <w:sz w:val="22"/>
          <w:szCs w:val="22"/>
        </w:rPr>
        <w:t>Explanation:</w:t>
      </w:r>
      <w:r w:rsidRPr="00D332EC">
        <w:rPr>
          <w:rFonts w:ascii="Avenir Next" w:hAnsi="Avenir Next" w:cs="Arial"/>
          <w:sz w:val="22"/>
          <w:szCs w:val="22"/>
        </w:rPr>
        <w:t xml:space="preserve"> The COMI concept helps </w:t>
      </w:r>
      <w:r w:rsidR="008B397A" w:rsidRPr="00D332EC">
        <w:rPr>
          <w:rFonts w:ascii="Avenir Next" w:hAnsi="Avenir Next" w:cs="Arial"/>
          <w:sz w:val="22"/>
          <w:szCs w:val="22"/>
        </w:rPr>
        <w:t xml:space="preserve">in </w:t>
      </w:r>
      <w:r w:rsidRPr="00D332EC">
        <w:rPr>
          <w:rFonts w:ascii="Avenir Next" w:hAnsi="Avenir Next" w:cs="Arial"/>
          <w:sz w:val="22"/>
          <w:szCs w:val="22"/>
        </w:rPr>
        <w:t>mitigat</w:t>
      </w:r>
      <w:r w:rsidR="008B397A" w:rsidRPr="00D332EC">
        <w:rPr>
          <w:rFonts w:ascii="Avenir Next" w:hAnsi="Avenir Next" w:cs="Arial"/>
          <w:sz w:val="22"/>
          <w:szCs w:val="22"/>
        </w:rPr>
        <w:t>ing</w:t>
      </w:r>
      <w:r w:rsidRPr="00D332EC">
        <w:rPr>
          <w:rFonts w:ascii="Avenir Next" w:hAnsi="Avenir Next" w:cs="Arial"/>
          <w:sz w:val="22"/>
          <w:szCs w:val="22"/>
        </w:rPr>
        <w:t xml:space="preserve"> the risk of forum shopping, where a debtor might relocate to a jurisdiction with more favorable insolvency laws just before filing for bankruptcy.</w:t>
      </w:r>
    </w:p>
    <w:p w14:paraId="7B1B846A" w14:textId="79340588" w:rsidR="002F7170" w:rsidRPr="00D332EC" w:rsidRDefault="002F7170" w:rsidP="002F7170">
      <w:pPr>
        <w:jc w:val="both"/>
        <w:rPr>
          <w:rFonts w:ascii="Avenir Next" w:hAnsi="Avenir Next" w:cs="Arial"/>
          <w:b/>
          <w:bCs/>
          <w:sz w:val="22"/>
          <w:szCs w:val="22"/>
        </w:rPr>
      </w:pPr>
      <w:r w:rsidRPr="00D332EC">
        <w:rPr>
          <w:rFonts w:ascii="Avenir Next" w:hAnsi="Avenir Next" w:cs="Arial"/>
          <w:b/>
          <w:bCs/>
          <w:sz w:val="22"/>
          <w:szCs w:val="22"/>
        </w:rPr>
        <w:t>Case Law:</w:t>
      </w:r>
    </w:p>
    <w:p w14:paraId="69B3DC07" w14:textId="77777777" w:rsidR="002F7170" w:rsidRPr="00D332EC" w:rsidRDefault="002F7170" w:rsidP="002F7170">
      <w:pPr>
        <w:jc w:val="both"/>
        <w:rPr>
          <w:rFonts w:ascii="Avenir Next" w:hAnsi="Avenir Next" w:cs="Arial"/>
          <w:sz w:val="22"/>
          <w:szCs w:val="22"/>
        </w:rPr>
      </w:pPr>
      <w:r w:rsidRPr="00D332EC">
        <w:rPr>
          <w:rFonts w:ascii="Avenir Next" w:hAnsi="Avenir Next" w:cs="Arial"/>
          <w:b/>
          <w:bCs/>
          <w:sz w:val="22"/>
          <w:szCs w:val="22"/>
        </w:rPr>
        <w:t>Interedil Srl (in liquidation) v. Fallimento Interedil Srl and Intesa Gestione Crediti SpA (C-396/09):</w:t>
      </w:r>
      <w:r w:rsidRPr="00D332EC">
        <w:rPr>
          <w:rFonts w:ascii="Avenir Next" w:hAnsi="Avenir Next" w:cs="Arial"/>
          <w:sz w:val="22"/>
          <w:szCs w:val="22"/>
        </w:rPr>
        <w:t xml:space="preserve"> The CJEU reinforced that COMI should reflect the genuine economic reality of the debtor's operations, thereby protecting against opportunistic forum shopping.</w:t>
      </w:r>
    </w:p>
    <w:p w14:paraId="34987A6C" w14:textId="77777777" w:rsidR="002F7170" w:rsidRPr="00D332EC" w:rsidRDefault="002F7170" w:rsidP="002F7170">
      <w:pPr>
        <w:jc w:val="both"/>
        <w:rPr>
          <w:rFonts w:ascii="Avenir Next" w:hAnsi="Avenir Next" w:cs="Arial"/>
          <w:sz w:val="22"/>
          <w:szCs w:val="22"/>
        </w:rPr>
      </w:pPr>
    </w:p>
    <w:p w14:paraId="6EE39DC0" w14:textId="5BC52139" w:rsidR="002F7170" w:rsidRPr="00D332EC" w:rsidRDefault="002F7170" w:rsidP="002F7170">
      <w:pPr>
        <w:jc w:val="both"/>
        <w:rPr>
          <w:rFonts w:ascii="Avenir Next" w:hAnsi="Avenir Next" w:cs="Arial"/>
          <w:b/>
          <w:bCs/>
          <w:sz w:val="22"/>
          <w:szCs w:val="22"/>
        </w:rPr>
      </w:pPr>
      <w:r w:rsidRPr="00D332EC">
        <w:rPr>
          <w:rFonts w:ascii="Avenir Next" w:hAnsi="Avenir Next" w:cs="Arial"/>
          <w:b/>
          <w:bCs/>
          <w:sz w:val="22"/>
          <w:szCs w:val="22"/>
        </w:rPr>
        <w:t>Shortcomings:</w:t>
      </w:r>
    </w:p>
    <w:p w14:paraId="7A9B8232" w14:textId="77777777" w:rsidR="002F7170" w:rsidRPr="00D332EC" w:rsidRDefault="002F7170" w:rsidP="002F7170">
      <w:pPr>
        <w:jc w:val="both"/>
        <w:rPr>
          <w:rFonts w:ascii="Avenir Next" w:hAnsi="Avenir Next" w:cs="Arial"/>
          <w:b/>
          <w:bCs/>
          <w:sz w:val="22"/>
          <w:szCs w:val="22"/>
        </w:rPr>
      </w:pPr>
    </w:p>
    <w:p w14:paraId="667E2EF6" w14:textId="33D7D88E" w:rsidR="002F7170" w:rsidRPr="00D332EC" w:rsidRDefault="002F7170" w:rsidP="002F7170">
      <w:pPr>
        <w:jc w:val="both"/>
        <w:rPr>
          <w:rFonts w:ascii="Avenir Next" w:hAnsi="Avenir Next" w:cs="Arial"/>
          <w:b/>
          <w:bCs/>
          <w:sz w:val="22"/>
          <w:szCs w:val="22"/>
        </w:rPr>
      </w:pPr>
      <w:r w:rsidRPr="00D332EC">
        <w:rPr>
          <w:rFonts w:ascii="Avenir Next" w:hAnsi="Avenir Next" w:cs="Arial"/>
          <w:b/>
          <w:bCs/>
          <w:sz w:val="22"/>
          <w:szCs w:val="22"/>
        </w:rPr>
        <w:t>1. Vagueness and Ambiguity:</w:t>
      </w:r>
    </w:p>
    <w:p w14:paraId="3766B95B" w14:textId="77777777" w:rsidR="00557D62" w:rsidRPr="00D332EC" w:rsidRDefault="002F7170" w:rsidP="00557D62">
      <w:pPr>
        <w:jc w:val="both"/>
        <w:rPr>
          <w:rFonts w:ascii="Avenir Next" w:hAnsi="Avenir Next" w:cs="Arial"/>
          <w:sz w:val="22"/>
          <w:szCs w:val="22"/>
          <w:lang w:val="en-IN" w:eastAsia="en-IN"/>
        </w:rPr>
      </w:pPr>
      <w:r w:rsidRPr="00D332EC">
        <w:rPr>
          <w:rFonts w:ascii="Avenir Next" w:hAnsi="Avenir Next" w:cs="Arial"/>
          <w:b/>
          <w:bCs/>
          <w:sz w:val="22"/>
          <w:szCs w:val="22"/>
        </w:rPr>
        <w:t>Explanation:</w:t>
      </w:r>
      <w:r w:rsidRPr="00D332EC">
        <w:rPr>
          <w:rFonts w:ascii="Avenir Next" w:hAnsi="Avenir Next" w:cs="Arial"/>
          <w:sz w:val="22"/>
          <w:szCs w:val="22"/>
        </w:rPr>
        <w:t xml:space="preserve"> </w:t>
      </w:r>
      <w:r w:rsidR="00557D62" w:rsidRPr="00D332EC">
        <w:rPr>
          <w:rFonts w:ascii="Avenir Next" w:hAnsi="Avenir Next" w:cs="Arial"/>
          <w:sz w:val="22"/>
          <w:szCs w:val="22"/>
          <w:lang w:val="en-IN" w:eastAsia="en-IN"/>
        </w:rPr>
        <w:t>In spite of efforts to provide a definition, COMI is still a somewhat nebulous and subjective notion. Finding a debtor's precise COMI location might be difficult, particularly for large firms.</w:t>
      </w:r>
    </w:p>
    <w:p w14:paraId="53391AB0" w14:textId="7AE1B6B1" w:rsidR="002F7170" w:rsidRPr="00D332EC" w:rsidRDefault="002F7170" w:rsidP="002F7170">
      <w:pPr>
        <w:jc w:val="both"/>
        <w:rPr>
          <w:rFonts w:ascii="Avenir Next" w:hAnsi="Avenir Next" w:cs="Arial"/>
          <w:b/>
          <w:bCs/>
          <w:sz w:val="22"/>
          <w:szCs w:val="22"/>
        </w:rPr>
      </w:pPr>
      <w:r w:rsidRPr="00D332EC">
        <w:rPr>
          <w:rFonts w:ascii="Avenir Next" w:hAnsi="Avenir Next" w:cs="Arial"/>
          <w:b/>
          <w:bCs/>
          <w:sz w:val="22"/>
          <w:szCs w:val="22"/>
        </w:rPr>
        <w:t>Case Law:</w:t>
      </w:r>
    </w:p>
    <w:p w14:paraId="50C1BA63" w14:textId="0667C92F" w:rsidR="002F7170" w:rsidRPr="00D332EC" w:rsidRDefault="002F7170" w:rsidP="002F7170">
      <w:pPr>
        <w:jc w:val="both"/>
        <w:rPr>
          <w:rFonts w:ascii="Avenir Next" w:hAnsi="Avenir Next" w:cs="Arial"/>
          <w:sz w:val="22"/>
          <w:szCs w:val="22"/>
        </w:rPr>
      </w:pPr>
      <w:r w:rsidRPr="00D332EC">
        <w:rPr>
          <w:rFonts w:ascii="Avenir Next" w:hAnsi="Avenir Next" w:cs="Arial"/>
          <w:b/>
          <w:bCs/>
          <w:sz w:val="22"/>
          <w:szCs w:val="22"/>
        </w:rPr>
        <w:t>Staubitz-Schreiber (C-1/04):</w:t>
      </w:r>
      <w:r w:rsidRPr="00D332EC">
        <w:rPr>
          <w:rFonts w:ascii="Avenir Next" w:hAnsi="Avenir Next" w:cs="Arial"/>
          <w:sz w:val="22"/>
          <w:szCs w:val="22"/>
        </w:rPr>
        <w:t xml:space="preserve"> This case </w:t>
      </w:r>
      <w:r w:rsidR="00D522FC" w:rsidRPr="00D332EC">
        <w:rPr>
          <w:rFonts w:ascii="Avenir Next" w:hAnsi="Avenir Next" w:cs="Arial"/>
          <w:sz w:val="22"/>
          <w:szCs w:val="22"/>
        </w:rPr>
        <w:t>is highlighting</w:t>
      </w:r>
      <w:r w:rsidRPr="00D332EC">
        <w:rPr>
          <w:rFonts w:ascii="Avenir Next" w:hAnsi="Avenir Next" w:cs="Arial"/>
          <w:sz w:val="22"/>
          <w:szCs w:val="22"/>
        </w:rPr>
        <w:t xml:space="preserve"> the ambiguity in determining COMI, as the CJEU had to </w:t>
      </w:r>
      <w:r w:rsidR="00AD40BD" w:rsidRPr="00D332EC">
        <w:rPr>
          <w:rFonts w:ascii="Avenir Next" w:hAnsi="Avenir Next" w:cs="Arial"/>
          <w:sz w:val="22"/>
          <w:szCs w:val="22"/>
        </w:rPr>
        <w:t>highlighted</w:t>
      </w:r>
      <w:r w:rsidRPr="00D332EC">
        <w:rPr>
          <w:rFonts w:ascii="Avenir Next" w:hAnsi="Avenir Next" w:cs="Arial"/>
          <w:sz w:val="22"/>
          <w:szCs w:val="22"/>
        </w:rPr>
        <w:t xml:space="preserve"> the criteria for COMI, illustrating the potential for different interpretations and legal </w:t>
      </w:r>
      <w:r w:rsidR="00AD40BD" w:rsidRPr="00D332EC">
        <w:rPr>
          <w:rFonts w:ascii="Avenir Next" w:hAnsi="Avenir Next" w:cs="Arial"/>
          <w:sz w:val="22"/>
          <w:szCs w:val="22"/>
        </w:rPr>
        <w:t>ambiguity</w:t>
      </w:r>
      <w:r w:rsidRPr="00D332EC">
        <w:rPr>
          <w:rFonts w:ascii="Avenir Next" w:hAnsi="Avenir Next" w:cs="Arial"/>
          <w:sz w:val="22"/>
          <w:szCs w:val="22"/>
        </w:rPr>
        <w:t>.</w:t>
      </w:r>
    </w:p>
    <w:p w14:paraId="38E1261F" w14:textId="77777777" w:rsidR="002F7170" w:rsidRPr="00D332EC" w:rsidRDefault="002F7170" w:rsidP="002F7170">
      <w:pPr>
        <w:jc w:val="both"/>
        <w:rPr>
          <w:rFonts w:ascii="Avenir Next" w:hAnsi="Avenir Next" w:cs="Arial"/>
          <w:sz w:val="22"/>
          <w:szCs w:val="22"/>
        </w:rPr>
      </w:pPr>
    </w:p>
    <w:p w14:paraId="244F2607" w14:textId="1C4ED075" w:rsidR="002F7170" w:rsidRPr="00D332EC" w:rsidRDefault="002F7170" w:rsidP="002F7170">
      <w:pPr>
        <w:jc w:val="both"/>
        <w:rPr>
          <w:rFonts w:ascii="Avenir Next" w:hAnsi="Avenir Next" w:cs="Arial"/>
          <w:b/>
          <w:bCs/>
          <w:sz w:val="22"/>
          <w:szCs w:val="22"/>
        </w:rPr>
      </w:pPr>
      <w:r w:rsidRPr="00D332EC">
        <w:rPr>
          <w:rFonts w:ascii="Avenir Next" w:hAnsi="Avenir Next" w:cs="Arial"/>
          <w:b/>
          <w:bCs/>
          <w:sz w:val="22"/>
          <w:szCs w:val="22"/>
        </w:rPr>
        <w:t>Potential for Manipulation:</w:t>
      </w:r>
    </w:p>
    <w:p w14:paraId="79818B0B" w14:textId="77777777" w:rsidR="00841A1A" w:rsidRPr="00D332EC" w:rsidRDefault="002F7170" w:rsidP="00841A1A">
      <w:pPr>
        <w:rPr>
          <w:rFonts w:ascii="Avenir Next" w:hAnsi="Avenir Next" w:cs="Times New Roman"/>
          <w:sz w:val="22"/>
          <w:szCs w:val="22"/>
          <w:lang w:val="en-IN" w:eastAsia="en-IN"/>
        </w:rPr>
      </w:pPr>
      <w:r w:rsidRPr="00D332EC">
        <w:rPr>
          <w:rFonts w:ascii="Avenir Next" w:hAnsi="Avenir Next" w:cs="Arial"/>
          <w:sz w:val="22"/>
          <w:szCs w:val="22"/>
        </w:rPr>
        <w:t xml:space="preserve">Explanation: </w:t>
      </w:r>
      <w:r w:rsidR="00841A1A" w:rsidRPr="00D332EC">
        <w:rPr>
          <w:rFonts w:ascii="Avenir Next" w:hAnsi="Avenir Next" w:cs="Arial"/>
          <w:sz w:val="22"/>
          <w:szCs w:val="22"/>
          <w:lang w:val="en-IN" w:eastAsia="en-IN"/>
        </w:rPr>
        <w:t>Debtors may try to manipulate the COMI determination process by moving their COMI to a more advantageous jurisdiction prior to the start of insolvency proceedings.</w:t>
      </w:r>
    </w:p>
    <w:p w14:paraId="48F516FE" w14:textId="79C02C17" w:rsidR="002F7170" w:rsidRPr="00D332EC" w:rsidRDefault="002F7170" w:rsidP="002F7170">
      <w:pPr>
        <w:jc w:val="both"/>
        <w:rPr>
          <w:rFonts w:ascii="Avenir Next" w:hAnsi="Avenir Next" w:cs="Arial"/>
          <w:b/>
          <w:bCs/>
          <w:sz w:val="22"/>
          <w:szCs w:val="22"/>
        </w:rPr>
      </w:pPr>
      <w:r w:rsidRPr="00D332EC">
        <w:rPr>
          <w:rFonts w:ascii="Avenir Next" w:hAnsi="Avenir Next" w:cs="Arial"/>
          <w:b/>
          <w:bCs/>
          <w:sz w:val="22"/>
          <w:szCs w:val="22"/>
        </w:rPr>
        <w:lastRenderedPageBreak/>
        <w:t>Case Law:</w:t>
      </w:r>
    </w:p>
    <w:p w14:paraId="771FABB0" w14:textId="77777777" w:rsidR="00872186" w:rsidRPr="00D332EC" w:rsidRDefault="002F7170" w:rsidP="00872186">
      <w:pPr>
        <w:jc w:val="both"/>
        <w:rPr>
          <w:rFonts w:ascii="Avenir Next" w:hAnsi="Avenir Next" w:cs="Times New Roman"/>
          <w:sz w:val="22"/>
          <w:szCs w:val="22"/>
          <w:lang w:val="en-IN" w:eastAsia="en-IN"/>
        </w:rPr>
      </w:pPr>
      <w:r w:rsidRPr="00D332EC">
        <w:rPr>
          <w:rFonts w:ascii="Avenir Next" w:hAnsi="Avenir Next" w:cs="Arial"/>
          <w:b/>
          <w:bCs/>
          <w:sz w:val="22"/>
          <w:szCs w:val="22"/>
        </w:rPr>
        <w:t>Bank Handlowy w Warszawie SA v. Christianapol sp. z o.o. (C-116/11):</w:t>
      </w:r>
      <w:r w:rsidRPr="00D332EC">
        <w:rPr>
          <w:rFonts w:ascii="Avenir Next" w:hAnsi="Avenir Next" w:cs="Arial"/>
          <w:sz w:val="22"/>
          <w:szCs w:val="22"/>
        </w:rPr>
        <w:t xml:space="preserve"> </w:t>
      </w:r>
      <w:r w:rsidR="00872186" w:rsidRPr="00D332EC">
        <w:rPr>
          <w:rFonts w:ascii="Avenir Next" w:hAnsi="Avenir Next" w:cs="Arial"/>
          <w:sz w:val="22"/>
          <w:szCs w:val="22"/>
          <w:lang w:val="en-IN" w:eastAsia="en-IN"/>
        </w:rPr>
        <w:t>The risk of manipulation and the requirement for stronger standards were highlighted by this instance, which demonstrated how debtors might influence COMI by altering managerial actions and financial processes.</w:t>
      </w:r>
    </w:p>
    <w:p w14:paraId="7D7FDCCB" w14:textId="150A8284" w:rsidR="002F7170" w:rsidRPr="00D332EC" w:rsidRDefault="002F7170" w:rsidP="002F7170">
      <w:pPr>
        <w:jc w:val="both"/>
        <w:rPr>
          <w:rFonts w:ascii="Avenir Next" w:hAnsi="Avenir Next" w:cs="Arial"/>
          <w:sz w:val="22"/>
          <w:szCs w:val="22"/>
        </w:rPr>
      </w:pPr>
    </w:p>
    <w:p w14:paraId="4B011D47" w14:textId="77777777" w:rsidR="002F7170" w:rsidRPr="00D332EC" w:rsidRDefault="002F7170" w:rsidP="002F7170">
      <w:pPr>
        <w:jc w:val="both"/>
        <w:rPr>
          <w:rFonts w:ascii="Avenir Next" w:hAnsi="Avenir Next" w:cs="Arial"/>
          <w:sz w:val="22"/>
          <w:szCs w:val="22"/>
        </w:rPr>
      </w:pPr>
    </w:p>
    <w:p w14:paraId="00B9BF3B" w14:textId="082693CF" w:rsidR="002F7170" w:rsidRPr="00D332EC" w:rsidRDefault="002F7170" w:rsidP="002F7170">
      <w:pPr>
        <w:jc w:val="both"/>
        <w:rPr>
          <w:rFonts w:ascii="Avenir Next" w:hAnsi="Avenir Next" w:cs="Arial"/>
          <w:b/>
          <w:bCs/>
          <w:sz w:val="22"/>
          <w:szCs w:val="22"/>
        </w:rPr>
      </w:pPr>
      <w:r w:rsidRPr="00D332EC">
        <w:rPr>
          <w:rFonts w:ascii="Avenir Next" w:hAnsi="Avenir Next" w:cs="Arial"/>
          <w:b/>
          <w:bCs/>
          <w:sz w:val="22"/>
          <w:szCs w:val="22"/>
        </w:rPr>
        <w:t>Conclusion:</w:t>
      </w:r>
    </w:p>
    <w:p w14:paraId="7BADBAF5" w14:textId="0B2865A0" w:rsidR="00CF08B4" w:rsidRPr="00D332EC" w:rsidRDefault="00BC4C74" w:rsidP="00CF08B4">
      <w:pPr>
        <w:jc w:val="both"/>
        <w:rPr>
          <w:rFonts w:ascii="Avenir Next" w:hAnsi="Avenir Next" w:cs="Arial"/>
          <w:sz w:val="22"/>
          <w:szCs w:val="22"/>
          <w:lang w:val="en-IN" w:eastAsia="en-IN"/>
        </w:rPr>
      </w:pPr>
      <w:r w:rsidRPr="00D332EC">
        <w:rPr>
          <w:rFonts w:ascii="Avenir Next" w:hAnsi="Avenir Next" w:cs="Arial"/>
          <w:sz w:val="22"/>
          <w:szCs w:val="22"/>
          <w:lang w:val="en-IN" w:eastAsia="en-IN"/>
        </w:rPr>
        <w:t xml:space="preserve">The COMI idea </w:t>
      </w:r>
      <w:r w:rsidR="00E17ACB" w:rsidRPr="00D332EC">
        <w:rPr>
          <w:rFonts w:ascii="Avenir Next" w:hAnsi="Avenir Next" w:cs="Arial"/>
          <w:sz w:val="22"/>
          <w:szCs w:val="22"/>
          <w:lang w:val="en-IN" w:eastAsia="en-IN"/>
        </w:rPr>
        <w:t>goal</w:t>
      </w:r>
      <w:r w:rsidRPr="00D332EC">
        <w:rPr>
          <w:rFonts w:ascii="Avenir Next" w:hAnsi="Avenir Next" w:cs="Arial"/>
          <w:sz w:val="22"/>
          <w:szCs w:val="22"/>
          <w:lang w:val="en-IN" w:eastAsia="en-IN"/>
        </w:rPr>
        <w:t xml:space="preserve"> </w:t>
      </w:r>
      <w:r w:rsidR="00E17ACB" w:rsidRPr="00D332EC">
        <w:rPr>
          <w:rFonts w:ascii="Avenir Next" w:hAnsi="Avenir Next" w:cs="Arial"/>
          <w:sz w:val="22"/>
          <w:szCs w:val="22"/>
          <w:lang w:val="en-IN" w:eastAsia="en-IN"/>
        </w:rPr>
        <w:t xml:space="preserve">is </w:t>
      </w:r>
      <w:r w:rsidRPr="00D332EC">
        <w:rPr>
          <w:rFonts w:ascii="Avenir Next" w:hAnsi="Avenir Next" w:cs="Arial"/>
          <w:sz w:val="22"/>
          <w:szCs w:val="22"/>
          <w:lang w:val="en-IN" w:eastAsia="en-IN"/>
        </w:rPr>
        <w:t xml:space="preserve">to standardize and </w:t>
      </w:r>
      <w:r w:rsidR="00E17ACB" w:rsidRPr="00D332EC">
        <w:rPr>
          <w:rFonts w:ascii="Avenir Next" w:hAnsi="Avenir Next" w:cs="Arial"/>
          <w:sz w:val="22"/>
          <w:szCs w:val="22"/>
          <w:lang w:val="en-IN" w:eastAsia="en-IN"/>
        </w:rPr>
        <w:t>clarify</w:t>
      </w:r>
      <w:r w:rsidRPr="00D332EC">
        <w:rPr>
          <w:rFonts w:ascii="Avenir Next" w:hAnsi="Avenir Next" w:cs="Arial"/>
          <w:sz w:val="22"/>
          <w:szCs w:val="22"/>
          <w:lang w:val="en-IN" w:eastAsia="en-IN"/>
        </w:rPr>
        <w:t xml:space="preserve"> cross-border insolvency procedures; nevertheless, </w:t>
      </w:r>
      <w:r w:rsidR="00627B5B" w:rsidRPr="00D332EC">
        <w:rPr>
          <w:rFonts w:ascii="Avenir Next" w:hAnsi="Avenir Next" w:cs="Arial"/>
          <w:sz w:val="22"/>
          <w:szCs w:val="22"/>
          <w:lang w:val="en-IN" w:eastAsia="en-IN"/>
        </w:rPr>
        <w:t>practical</w:t>
      </w:r>
      <w:r w:rsidRPr="00D332EC">
        <w:rPr>
          <w:rFonts w:ascii="Avenir Next" w:hAnsi="Avenir Next" w:cs="Arial"/>
          <w:sz w:val="22"/>
          <w:szCs w:val="22"/>
          <w:lang w:val="en-IN" w:eastAsia="en-IN"/>
        </w:rPr>
        <w:t xml:space="preserve"> use has revealed both </w:t>
      </w:r>
      <w:r w:rsidR="00627B5B" w:rsidRPr="00D332EC">
        <w:rPr>
          <w:rFonts w:ascii="Avenir Next" w:hAnsi="Avenir Next" w:cs="Arial"/>
          <w:sz w:val="22"/>
          <w:szCs w:val="22"/>
          <w:lang w:val="en-IN" w:eastAsia="en-IN"/>
        </w:rPr>
        <w:t>advantages and disadvantages</w:t>
      </w:r>
      <w:r w:rsidRPr="00D332EC">
        <w:rPr>
          <w:rFonts w:ascii="Avenir Next" w:hAnsi="Avenir Next" w:cs="Arial"/>
          <w:sz w:val="22"/>
          <w:szCs w:val="22"/>
          <w:lang w:val="en-IN" w:eastAsia="en-IN"/>
        </w:rPr>
        <w:t xml:space="preserve">. Although it makes things more predictable and </w:t>
      </w:r>
      <w:r w:rsidR="00B73B28" w:rsidRPr="00D332EC">
        <w:rPr>
          <w:rFonts w:ascii="Avenir Next" w:hAnsi="Avenir Next" w:cs="Arial"/>
          <w:sz w:val="22"/>
          <w:szCs w:val="22"/>
          <w:lang w:val="en-IN" w:eastAsia="en-IN"/>
        </w:rPr>
        <w:t>prevents</w:t>
      </w:r>
      <w:r w:rsidRPr="00D332EC">
        <w:rPr>
          <w:rFonts w:ascii="Avenir Next" w:hAnsi="Avenir Next" w:cs="Arial"/>
          <w:sz w:val="22"/>
          <w:szCs w:val="22"/>
          <w:lang w:val="en-IN" w:eastAsia="en-IN"/>
        </w:rPr>
        <w:t xml:space="preserve"> forum shopping, it also has the potential to be </w:t>
      </w:r>
      <w:r w:rsidR="00AE590C" w:rsidRPr="00D332EC">
        <w:rPr>
          <w:rFonts w:ascii="Avenir Next" w:hAnsi="Avenir Next" w:cs="Arial"/>
          <w:sz w:val="22"/>
          <w:szCs w:val="22"/>
          <w:lang w:val="en-IN" w:eastAsia="en-IN"/>
        </w:rPr>
        <w:t>misleading</w:t>
      </w:r>
      <w:r w:rsidRPr="00D332EC">
        <w:rPr>
          <w:rFonts w:ascii="Avenir Next" w:hAnsi="Avenir Next" w:cs="Arial"/>
          <w:sz w:val="22"/>
          <w:szCs w:val="22"/>
          <w:lang w:val="en-IN" w:eastAsia="en-IN"/>
        </w:rPr>
        <w:t xml:space="preserve"> and </w:t>
      </w:r>
      <w:r w:rsidR="00E0715D" w:rsidRPr="00D332EC">
        <w:rPr>
          <w:rFonts w:ascii="Avenir Next" w:hAnsi="Avenir Next" w:cs="Arial"/>
          <w:sz w:val="22"/>
          <w:szCs w:val="22"/>
          <w:lang w:val="en-IN" w:eastAsia="en-IN"/>
        </w:rPr>
        <w:t>deceptive</w:t>
      </w:r>
      <w:r w:rsidRPr="00D332EC">
        <w:rPr>
          <w:rFonts w:ascii="Avenir Next" w:hAnsi="Avenir Next" w:cs="Arial"/>
          <w:sz w:val="22"/>
          <w:szCs w:val="22"/>
          <w:lang w:val="en-IN" w:eastAsia="en-IN"/>
        </w:rPr>
        <w:t xml:space="preserve">, which might lead to serious legal problems. </w:t>
      </w:r>
      <w:r w:rsidR="00CF08B4" w:rsidRPr="00D332EC">
        <w:rPr>
          <w:rFonts w:ascii="Avenir Next" w:hAnsi="Avenir Next" w:cs="Arial"/>
          <w:sz w:val="22"/>
          <w:szCs w:val="22"/>
          <w:lang w:val="en-IN" w:eastAsia="en-IN"/>
        </w:rPr>
        <w:t>The aforementioned scenarios illustrate these disagreements and the continuous difficulties in appropriately implementing the COMI idea.</w:t>
      </w:r>
    </w:p>
    <w:p w14:paraId="27C1045F" w14:textId="52EA4FCD" w:rsidR="008D6048" w:rsidRPr="00D332EC"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D332EC" w:rsidRDefault="00DF75F8" w:rsidP="002A37BB">
      <w:pPr>
        <w:ind w:left="720" w:hanging="720"/>
        <w:jc w:val="both"/>
        <w:rPr>
          <w:rFonts w:ascii="Avenir Next" w:hAnsi="Avenir Next" w:cs="Arial"/>
          <w:b/>
          <w:bCs/>
          <w:sz w:val="22"/>
          <w:szCs w:val="22"/>
          <w:shd w:val="clear" w:color="auto" w:fill="FFFFFF"/>
        </w:rPr>
      </w:pPr>
      <w:r w:rsidRPr="00D332EC">
        <w:rPr>
          <w:rFonts w:ascii="Avenir Next" w:hAnsi="Avenir Next" w:cs="Arial"/>
          <w:b/>
          <w:bCs/>
          <w:sz w:val="22"/>
          <w:szCs w:val="22"/>
          <w:shd w:val="clear" w:color="auto" w:fill="FFFFFF"/>
        </w:rPr>
        <w:t xml:space="preserve">Question </w:t>
      </w:r>
      <w:r w:rsidR="00962045" w:rsidRPr="00D332EC">
        <w:rPr>
          <w:rFonts w:ascii="Avenir Next" w:hAnsi="Avenir Next" w:cs="Arial"/>
          <w:b/>
          <w:bCs/>
          <w:sz w:val="22"/>
          <w:szCs w:val="22"/>
          <w:shd w:val="clear" w:color="auto" w:fill="FFFFFF"/>
        </w:rPr>
        <w:t>3.</w:t>
      </w:r>
      <w:r w:rsidR="00807119" w:rsidRPr="00D332EC">
        <w:rPr>
          <w:rFonts w:ascii="Avenir Next" w:hAnsi="Avenir Next" w:cs="Arial"/>
          <w:b/>
          <w:bCs/>
          <w:sz w:val="22"/>
          <w:szCs w:val="22"/>
          <w:shd w:val="clear" w:color="auto" w:fill="FFFFFF"/>
        </w:rPr>
        <w:t>3</w:t>
      </w:r>
      <w:r w:rsidRPr="00D332EC">
        <w:rPr>
          <w:rFonts w:ascii="Avenir Next" w:hAnsi="Avenir Next" w:cs="Arial"/>
          <w:b/>
          <w:bCs/>
          <w:sz w:val="22"/>
          <w:szCs w:val="22"/>
          <w:shd w:val="clear" w:color="auto" w:fill="FFFFFF"/>
        </w:rPr>
        <w:t xml:space="preserve"> </w:t>
      </w:r>
      <w:r w:rsidRPr="00D332EC">
        <w:rPr>
          <w:rFonts w:ascii="Avenir Next" w:hAnsi="Avenir Next" w:cs="Arial"/>
          <w:b/>
          <w:bCs/>
          <w:sz w:val="22"/>
          <w:szCs w:val="22"/>
          <w:lang w:val="en-GB"/>
        </w:rPr>
        <w:t>[</w:t>
      </w:r>
      <w:r w:rsidR="006A2646" w:rsidRPr="00D332EC">
        <w:rPr>
          <w:rFonts w:ascii="Avenir Next" w:hAnsi="Avenir Next" w:cs="Arial"/>
          <w:b/>
          <w:bCs/>
          <w:sz w:val="22"/>
          <w:szCs w:val="22"/>
          <w:lang w:val="en-GB"/>
        </w:rPr>
        <w:t>m</w:t>
      </w:r>
      <w:r w:rsidRPr="00D332EC">
        <w:rPr>
          <w:rFonts w:ascii="Avenir Next" w:hAnsi="Avenir Next" w:cs="Arial"/>
          <w:b/>
          <w:bCs/>
          <w:sz w:val="22"/>
          <w:szCs w:val="22"/>
          <w:lang w:val="en-GB"/>
        </w:rPr>
        <w:t xml:space="preserve">aximum </w:t>
      </w:r>
      <w:r w:rsidR="00980E61" w:rsidRPr="00D332EC">
        <w:rPr>
          <w:rFonts w:ascii="Avenir Next" w:hAnsi="Avenir Next" w:cs="Arial"/>
          <w:b/>
          <w:bCs/>
          <w:sz w:val="22"/>
          <w:szCs w:val="22"/>
          <w:lang w:val="en-GB"/>
        </w:rPr>
        <w:t>5</w:t>
      </w:r>
      <w:r w:rsidRPr="00D332EC">
        <w:rPr>
          <w:rFonts w:ascii="Avenir Next" w:hAnsi="Avenir Next" w:cs="Arial"/>
          <w:b/>
          <w:bCs/>
          <w:sz w:val="22"/>
          <w:szCs w:val="22"/>
          <w:lang w:val="en-GB"/>
        </w:rPr>
        <w:t xml:space="preserve"> marks]</w:t>
      </w:r>
    </w:p>
    <w:p w14:paraId="14F4111F" w14:textId="77777777" w:rsidR="00DF75F8" w:rsidRPr="00D332EC" w:rsidRDefault="00DF75F8" w:rsidP="002A37BB">
      <w:pPr>
        <w:ind w:left="720" w:hanging="720"/>
        <w:jc w:val="both"/>
        <w:rPr>
          <w:rFonts w:ascii="Avenir Next" w:hAnsi="Avenir Next" w:cs="Arial"/>
          <w:sz w:val="22"/>
          <w:szCs w:val="22"/>
          <w:shd w:val="clear" w:color="auto" w:fill="FFFFFF"/>
        </w:rPr>
      </w:pPr>
    </w:p>
    <w:p w14:paraId="722B5381" w14:textId="554B5539" w:rsidR="00DF75F8" w:rsidRPr="00D332EC" w:rsidRDefault="003D4A79" w:rsidP="002A37BB">
      <w:pPr>
        <w:jc w:val="both"/>
        <w:rPr>
          <w:rFonts w:ascii="Avenir Next" w:hAnsi="Avenir Next" w:cs="Arial"/>
          <w:sz w:val="22"/>
          <w:szCs w:val="22"/>
          <w:lang w:val="en-GB"/>
        </w:rPr>
      </w:pPr>
      <w:r w:rsidRPr="00D332EC">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D332EC">
        <w:rPr>
          <w:rFonts w:ascii="Avenir Next" w:hAnsi="Avenir Next" w:cs="Arial"/>
          <w:sz w:val="22"/>
          <w:szCs w:val="22"/>
          <w:lang w:val="en-GB"/>
        </w:rPr>
        <w:t xml:space="preserve">the European Insolvency Regulation. List </w:t>
      </w:r>
      <w:r w:rsidR="008C385B" w:rsidRPr="00D332EC">
        <w:rPr>
          <w:rFonts w:ascii="Avenir Next" w:hAnsi="Avenir Next" w:cs="Arial"/>
          <w:b/>
          <w:bCs/>
          <w:sz w:val="22"/>
          <w:szCs w:val="22"/>
          <w:u w:val="single"/>
          <w:lang w:val="en-GB"/>
        </w:rPr>
        <w:t>two (2)</w:t>
      </w:r>
      <w:r w:rsidR="008C385B" w:rsidRPr="00D332EC">
        <w:rPr>
          <w:rFonts w:ascii="Avenir Next" w:hAnsi="Avenir Next" w:cs="Arial"/>
          <w:sz w:val="22"/>
          <w:szCs w:val="22"/>
          <w:lang w:val="en-GB"/>
        </w:rPr>
        <w:t xml:space="preserve"> ways in which the Regulation and the Directive differ.</w:t>
      </w:r>
    </w:p>
    <w:p w14:paraId="3592CA36" w14:textId="77777777" w:rsidR="000C6BB5" w:rsidRPr="00D332EC" w:rsidRDefault="000C6BB5" w:rsidP="002A37BB">
      <w:pPr>
        <w:jc w:val="both"/>
        <w:rPr>
          <w:rFonts w:ascii="Avenir Next" w:hAnsi="Avenir Next" w:cs="Arial"/>
          <w:color w:val="7B7B7B" w:themeColor="accent3" w:themeShade="BF"/>
          <w:sz w:val="22"/>
          <w:szCs w:val="22"/>
          <w:lang w:val="en-GB"/>
        </w:rPr>
      </w:pPr>
    </w:p>
    <w:p w14:paraId="1B25A8C1" w14:textId="0C87B17C" w:rsidR="000A373F" w:rsidRPr="00D332EC" w:rsidRDefault="00914815" w:rsidP="002A37BB">
      <w:pPr>
        <w:jc w:val="both"/>
        <w:rPr>
          <w:rFonts w:ascii="Avenir Next" w:hAnsi="Avenir Next" w:cs="Arial"/>
          <w:color w:val="7B7B7B" w:themeColor="accent3" w:themeShade="BF"/>
          <w:sz w:val="22"/>
          <w:szCs w:val="22"/>
        </w:rPr>
      </w:pPr>
      <w:r w:rsidRPr="00D332EC">
        <w:rPr>
          <w:rFonts w:ascii="Avenir Next" w:hAnsi="Avenir Next" w:cs="Arial"/>
          <w:sz w:val="22"/>
          <w:szCs w:val="22"/>
        </w:rPr>
        <w:t>Answer:</w:t>
      </w:r>
      <w:r w:rsidRPr="00D332EC">
        <w:rPr>
          <w:rFonts w:ascii="Avenir Next" w:hAnsi="Avenir Next" w:cs="Arial"/>
          <w:color w:val="7B7B7B" w:themeColor="accent3" w:themeShade="BF"/>
          <w:sz w:val="22"/>
          <w:szCs w:val="22"/>
        </w:rPr>
        <w:t xml:space="preserve"> </w:t>
      </w:r>
    </w:p>
    <w:p w14:paraId="307E63A9" w14:textId="77777777" w:rsidR="00914815" w:rsidRPr="00D332EC" w:rsidRDefault="00914815" w:rsidP="002A37BB">
      <w:pPr>
        <w:jc w:val="both"/>
        <w:rPr>
          <w:rFonts w:ascii="Avenir Next" w:hAnsi="Avenir Next" w:cs="Arial"/>
          <w:color w:val="7B7B7B" w:themeColor="accent3" w:themeShade="BF"/>
          <w:sz w:val="22"/>
          <w:szCs w:val="22"/>
        </w:rPr>
      </w:pPr>
    </w:p>
    <w:p w14:paraId="4AF48913" w14:textId="3EE44D7A" w:rsidR="00914815" w:rsidRPr="00D332EC" w:rsidRDefault="00914815" w:rsidP="00914815">
      <w:pPr>
        <w:jc w:val="both"/>
        <w:rPr>
          <w:rFonts w:ascii="Avenir Next" w:hAnsi="Avenir Next" w:cs="Arial"/>
          <w:sz w:val="22"/>
          <w:szCs w:val="22"/>
          <w:lang w:val="en-GB"/>
        </w:rPr>
      </w:pPr>
      <w:r w:rsidRPr="00D332EC">
        <w:rPr>
          <w:rFonts w:ascii="Avenir Next" w:hAnsi="Avenir Next" w:cs="Arial"/>
          <w:sz w:val="22"/>
          <w:szCs w:val="22"/>
          <w:lang w:val="en-GB"/>
        </w:rPr>
        <w:t xml:space="preserve">The European Insolvency Regulation (EIR) and the Directive on Preventive Restructuring Frameworks </w:t>
      </w:r>
      <w:r w:rsidR="005C442F" w:rsidRPr="00D332EC">
        <w:rPr>
          <w:rFonts w:ascii="Avenir Next" w:hAnsi="Avenir Next" w:cs="Arial"/>
          <w:sz w:val="22"/>
          <w:szCs w:val="22"/>
          <w:lang w:val="en-GB"/>
        </w:rPr>
        <w:t>vary</w:t>
      </w:r>
      <w:r w:rsidRPr="00D332EC">
        <w:rPr>
          <w:rFonts w:ascii="Avenir Next" w:hAnsi="Avenir Next" w:cs="Arial"/>
          <w:sz w:val="22"/>
          <w:szCs w:val="22"/>
          <w:lang w:val="en-GB"/>
        </w:rPr>
        <w:t xml:space="preserve"> </w:t>
      </w:r>
      <w:r w:rsidR="004B6831" w:rsidRPr="00D332EC">
        <w:rPr>
          <w:rFonts w:ascii="Avenir Next" w:hAnsi="Avenir Next" w:cs="Arial"/>
          <w:sz w:val="22"/>
          <w:szCs w:val="22"/>
          <w:lang w:val="en-GB"/>
        </w:rPr>
        <w:t>significantly</w:t>
      </w:r>
      <w:r w:rsidRPr="00D332EC">
        <w:rPr>
          <w:rFonts w:ascii="Avenir Next" w:hAnsi="Avenir Next" w:cs="Arial"/>
          <w:sz w:val="22"/>
          <w:szCs w:val="22"/>
          <w:lang w:val="en-GB"/>
        </w:rPr>
        <w:t xml:space="preserve">. Here are </w:t>
      </w:r>
      <w:r w:rsidR="00DC6087" w:rsidRPr="00D332EC">
        <w:rPr>
          <w:rFonts w:ascii="Avenir Next" w:hAnsi="Avenir Next" w:cs="Arial"/>
          <w:sz w:val="22"/>
          <w:szCs w:val="22"/>
          <w:lang w:val="en-GB"/>
        </w:rPr>
        <w:t xml:space="preserve">the </w:t>
      </w:r>
      <w:r w:rsidRPr="00D332EC">
        <w:rPr>
          <w:rFonts w:ascii="Avenir Next" w:hAnsi="Avenir Next" w:cs="Arial"/>
          <w:sz w:val="22"/>
          <w:szCs w:val="22"/>
          <w:lang w:val="en-GB"/>
        </w:rPr>
        <w:t>two key differences:</w:t>
      </w:r>
    </w:p>
    <w:p w14:paraId="223B69BB" w14:textId="77777777" w:rsidR="00914815" w:rsidRPr="00D332EC" w:rsidRDefault="00914815" w:rsidP="00914815">
      <w:pPr>
        <w:jc w:val="both"/>
        <w:rPr>
          <w:rFonts w:ascii="Avenir Next" w:hAnsi="Avenir Next" w:cs="Arial"/>
          <w:sz w:val="22"/>
          <w:szCs w:val="22"/>
          <w:lang w:val="en-GB"/>
        </w:rPr>
      </w:pPr>
    </w:p>
    <w:p w14:paraId="5C53FDE1" w14:textId="326ED4BF" w:rsidR="00914815" w:rsidRPr="00D332EC" w:rsidRDefault="00914815" w:rsidP="00914815">
      <w:pPr>
        <w:jc w:val="both"/>
        <w:rPr>
          <w:rFonts w:ascii="Avenir Next" w:hAnsi="Avenir Next" w:cs="Arial"/>
          <w:b/>
          <w:bCs/>
          <w:sz w:val="22"/>
          <w:szCs w:val="22"/>
          <w:lang w:val="en-GB"/>
        </w:rPr>
      </w:pPr>
      <w:r w:rsidRPr="00D332EC">
        <w:rPr>
          <w:rFonts w:ascii="Avenir Next" w:hAnsi="Avenir Next" w:cs="Arial"/>
          <w:b/>
          <w:bCs/>
          <w:sz w:val="22"/>
          <w:szCs w:val="22"/>
          <w:lang w:val="en-GB"/>
        </w:rPr>
        <w:t>1) Scope and Objective:</w:t>
      </w:r>
    </w:p>
    <w:p w14:paraId="1D3F7D81" w14:textId="77777777" w:rsidR="00914815" w:rsidRPr="00D332EC" w:rsidRDefault="00914815" w:rsidP="00914815">
      <w:pPr>
        <w:jc w:val="both"/>
        <w:rPr>
          <w:rFonts w:ascii="Avenir Next" w:hAnsi="Avenir Next" w:cs="Arial"/>
          <w:sz w:val="22"/>
          <w:szCs w:val="22"/>
          <w:lang w:val="en-GB"/>
        </w:rPr>
      </w:pPr>
    </w:p>
    <w:p w14:paraId="27BE6C65" w14:textId="77777777" w:rsidR="00914815" w:rsidRPr="00D332EC" w:rsidRDefault="00914815" w:rsidP="00914815">
      <w:pPr>
        <w:jc w:val="both"/>
        <w:rPr>
          <w:rFonts w:ascii="Avenir Next" w:hAnsi="Avenir Next" w:cs="Arial"/>
          <w:b/>
          <w:bCs/>
          <w:sz w:val="22"/>
          <w:szCs w:val="22"/>
          <w:lang w:val="en-GB"/>
        </w:rPr>
      </w:pPr>
      <w:r w:rsidRPr="00D332EC">
        <w:rPr>
          <w:rFonts w:ascii="Avenir Next" w:hAnsi="Avenir Next" w:cs="Arial"/>
          <w:b/>
          <w:bCs/>
          <w:sz w:val="22"/>
          <w:szCs w:val="22"/>
          <w:lang w:val="en-GB"/>
        </w:rPr>
        <w:t>European Insolvency Regulation (EIR):</w:t>
      </w:r>
    </w:p>
    <w:p w14:paraId="4F5130D0" w14:textId="77777777" w:rsidR="00914815" w:rsidRPr="00D332EC" w:rsidRDefault="00914815" w:rsidP="00914815">
      <w:pPr>
        <w:jc w:val="both"/>
        <w:rPr>
          <w:rFonts w:ascii="Avenir Next" w:hAnsi="Avenir Next" w:cs="Arial"/>
          <w:sz w:val="22"/>
          <w:szCs w:val="22"/>
          <w:lang w:val="en-GB"/>
        </w:rPr>
      </w:pPr>
    </w:p>
    <w:p w14:paraId="7C3F845D" w14:textId="5DCF7F8B" w:rsidR="003908C7" w:rsidRPr="00D332EC" w:rsidRDefault="00914815" w:rsidP="003908C7">
      <w:pPr>
        <w:jc w:val="both"/>
        <w:rPr>
          <w:rFonts w:ascii="Avenir Next" w:hAnsi="Avenir Next" w:cs="Arial"/>
          <w:sz w:val="22"/>
          <w:szCs w:val="22"/>
          <w:lang w:val="en-IN" w:eastAsia="en-IN"/>
        </w:rPr>
      </w:pPr>
      <w:r w:rsidRPr="00D332EC">
        <w:rPr>
          <w:rFonts w:ascii="Avenir Next" w:hAnsi="Avenir Next" w:cs="Arial"/>
          <w:b/>
          <w:bCs/>
          <w:sz w:val="22"/>
          <w:szCs w:val="22"/>
          <w:lang w:val="en-GB"/>
        </w:rPr>
        <w:t>Scope:</w:t>
      </w:r>
      <w:r w:rsidRPr="00D332EC">
        <w:rPr>
          <w:rFonts w:ascii="Avenir Next" w:hAnsi="Avenir Next" w:cs="Arial"/>
          <w:sz w:val="22"/>
          <w:szCs w:val="22"/>
          <w:lang w:val="en-GB"/>
        </w:rPr>
        <w:t xml:space="preserve"> </w:t>
      </w:r>
      <w:r w:rsidR="0092481C" w:rsidRPr="00D332EC">
        <w:rPr>
          <w:rFonts w:ascii="Avenir Next" w:hAnsi="Avenir Next" w:cs="Arial"/>
          <w:sz w:val="22"/>
          <w:szCs w:val="22"/>
          <w:lang w:val="en-IN" w:eastAsia="en-IN"/>
        </w:rPr>
        <w:t>T</w:t>
      </w:r>
      <w:r w:rsidR="00E03315" w:rsidRPr="00D332EC">
        <w:rPr>
          <w:rFonts w:ascii="Avenir Next" w:hAnsi="Avenir Next" w:cs="Arial"/>
          <w:sz w:val="22"/>
          <w:szCs w:val="22"/>
          <w:lang w:val="en-IN" w:eastAsia="en-IN"/>
        </w:rPr>
        <w:t>he EU member stated jurisdiction enforcement</w:t>
      </w:r>
      <w:r w:rsidR="00416B56" w:rsidRPr="00D332EC">
        <w:rPr>
          <w:rFonts w:ascii="Avenir Next" w:hAnsi="Avenir Next" w:cs="Arial"/>
          <w:sz w:val="22"/>
          <w:szCs w:val="22"/>
          <w:lang w:val="en-IN" w:eastAsia="en-IN"/>
        </w:rPr>
        <w:t>, and acknowledgment for forum selection.  of insolvency procedures are the main topics covered by the EIR as a tool</w:t>
      </w:r>
      <w:r w:rsidR="00067BCA" w:rsidRPr="00D332EC">
        <w:rPr>
          <w:rFonts w:ascii="Avenir Next" w:hAnsi="Avenir Next" w:cs="Arial"/>
          <w:sz w:val="22"/>
          <w:szCs w:val="22"/>
          <w:lang w:val="en-IN" w:eastAsia="en-IN"/>
        </w:rPr>
        <w:t xml:space="preserve">. </w:t>
      </w:r>
      <w:r w:rsidR="0092481C" w:rsidRPr="00D332EC">
        <w:rPr>
          <w:rFonts w:ascii="Avenir Next" w:hAnsi="Avenir Next" w:cs="Arial"/>
          <w:sz w:val="22"/>
          <w:szCs w:val="22"/>
          <w:lang w:val="en-IN" w:eastAsia="en-IN"/>
        </w:rPr>
        <w:t>Its main concerns are procedural ones, such figuring out which court has authority to start bankruptcy procedures and making sure that rulings are accepted and recognized throughout the EU.</w:t>
      </w:r>
    </w:p>
    <w:p w14:paraId="3DB9655C" w14:textId="2BC5EBDB" w:rsidR="004C2626" w:rsidRPr="00D332EC" w:rsidRDefault="004C2626" w:rsidP="004C2626">
      <w:pPr>
        <w:jc w:val="both"/>
        <w:rPr>
          <w:rFonts w:ascii="Avenir Next" w:hAnsi="Avenir Next" w:cs="Times New Roman"/>
          <w:sz w:val="22"/>
          <w:szCs w:val="22"/>
          <w:lang w:val="en-IN" w:eastAsia="en-IN"/>
        </w:rPr>
      </w:pPr>
    </w:p>
    <w:p w14:paraId="38D0DAFB" w14:textId="599AD1EE" w:rsidR="00082F25" w:rsidRPr="00D332EC" w:rsidRDefault="00914815" w:rsidP="00082F25">
      <w:pPr>
        <w:jc w:val="both"/>
        <w:rPr>
          <w:rFonts w:ascii="Avenir Next" w:hAnsi="Avenir Next" w:cs="Arial"/>
          <w:sz w:val="22"/>
          <w:szCs w:val="22"/>
          <w:lang w:val="en-IN" w:eastAsia="en-IN"/>
        </w:rPr>
      </w:pPr>
      <w:r w:rsidRPr="00D332EC">
        <w:rPr>
          <w:rFonts w:ascii="Avenir Next" w:hAnsi="Avenir Next" w:cs="Arial"/>
          <w:b/>
          <w:bCs/>
          <w:sz w:val="22"/>
          <w:szCs w:val="22"/>
          <w:lang w:val="en-GB"/>
        </w:rPr>
        <w:t>Objective:</w:t>
      </w:r>
      <w:r w:rsidRPr="00D332EC">
        <w:rPr>
          <w:rFonts w:ascii="Avenir Next" w:hAnsi="Avenir Next" w:cs="Arial"/>
          <w:sz w:val="22"/>
          <w:szCs w:val="22"/>
          <w:lang w:val="en-GB"/>
        </w:rPr>
        <w:t xml:space="preserve"> </w:t>
      </w:r>
      <w:r w:rsidR="00082F25" w:rsidRPr="00D332EC">
        <w:rPr>
          <w:rFonts w:ascii="Avenir Next" w:hAnsi="Avenir Next" w:cs="Arial"/>
          <w:sz w:val="22"/>
          <w:szCs w:val="22"/>
          <w:lang w:val="en-IN" w:eastAsia="en-IN"/>
        </w:rPr>
        <w:t>The</w:t>
      </w:r>
      <w:r w:rsidR="0031626D" w:rsidRPr="00D332EC">
        <w:rPr>
          <w:rFonts w:ascii="Avenir Next" w:hAnsi="Avenir Next" w:cs="Arial"/>
          <w:sz w:val="22"/>
          <w:szCs w:val="22"/>
          <w:lang w:val="en-IN" w:eastAsia="en-IN"/>
        </w:rPr>
        <w:t xml:space="preserve"> </w:t>
      </w:r>
      <w:r w:rsidR="00082F25" w:rsidRPr="00D332EC">
        <w:rPr>
          <w:rFonts w:ascii="Avenir Next" w:hAnsi="Avenir Next" w:cs="Arial"/>
          <w:sz w:val="22"/>
          <w:szCs w:val="22"/>
          <w:lang w:val="en-IN" w:eastAsia="en-IN"/>
        </w:rPr>
        <w:t xml:space="preserve">main objective is to collaborate with cross-border insolvency proceedings to ensure the </w:t>
      </w:r>
      <w:r w:rsidR="008640EE" w:rsidRPr="00D332EC">
        <w:rPr>
          <w:rFonts w:ascii="Avenir Next" w:hAnsi="Avenir Next" w:cs="Arial"/>
          <w:sz w:val="22"/>
          <w:szCs w:val="22"/>
          <w:lang w:val="en-IN" w:eastAsia="en-IN"/>
        </w:rPr>
        <w:t>successful</w:t>
      </w:r>
      <w:r w:rsidR="00082F25" w:rsidRPr="00D332EC">
        <w:rPr>
          <w:rFonts w:ascii="Avenir Next" w:hAnsi="Avenir Next" w:cs="Arial"/>
          <w:sz w:val="22"/>
          <w:szCs w:val="22"/>
          <w:lang w:val="en-IN" w:eastAsia="en-IN"/>
        </w:rPr>
        <w:t xml:space="preserve"> and efficient administration of bankruptcy cases involving debtors with assets or creditors in </w:t>
      </w:r>
      <w:r w:rsidR="008640EE" w:rsidRPr="00D332EC">
        <w:rPr>
          <w:rFonts w:ascii="Avenir Next" w:hAnsi="Avenir Next" w:cs="Arial"/>
          <w:sz w:val="22"/>
          <w:szCs w:val="22"/>
          <w:lang w:val="en-IN" w:eastAsia="en-IN"/>
        </w:rPr>
        <w:t>various</w:t>
      </w:r>
      <w:r w:rsidR="00082F25" w:rsidRPr="00D332EC">
        <w:rPr>
          <w:rFonts w:ascii="Avenir Next" w:hAnsi="Avenir Next" w:cs="Arial"/>
          <w:sz w:val="22"/>
          <w:szCs w:val="22"/>
          <w:lang w:val="en-IN" w:eastAsia="en-IN"/>
        </w:rPr>
        <w:t xml:space="preserve"> Member States</w:t>
      </w:r>
      <w:r w:rsidR="00564CDA" w:rsidRPr="00D332EC">
        <w:rPr>
          <w:rFonts w:ascii="Avenir Next" w:hAnsi="Avenir Next" w:cs="Arial"/>
          <w:sz w:val="22"/>
          <w:szCs w:val="22"/>
          <w:lang w:val="en-IN" w:eastAsia="en-IN"/>
        </w:rPr>
        <w:t xml:space="preserve">, the primary goal is to cooperate with cross-border insolvency </w:t>
      </w:r>
      <w:r w:rsidR="00B02E49" w:rsidRPr="00D332EC">
        <w:rPr>
          <w:rFonts w:ascii="Avenir Next" w:hAnsi="Avenir Next" w:cs="Arial"/>
          <w:sz w:val="22"/>
          <w:szCs w:val="22"/>
          <w:lang w:val="en-IN" w:eastAsia="en-IN"/>
        </w:rPr>
        <w:t>processes</w:t>
      </w:r>
      <w:r w:rsidR="00082F25" w:rsidRPr="00D332EC">
        <w:rPr>
          <w:rFonts w:ascii="Avenir Next" w:hAnsi="Avenir Next" w:cs="Arial"/>
          <w:sz w:val="22"/>
          <w:szCs w:val="22"/>
          <w:lang w:val="en-IN" w:eastAsia="en-IN"/>
        </w:rPr>
        <w:t xml:space="preserve"> It </w:t>
      </w:r>
      <w:r w:rsidR="00564CDA" w:rsidRPr="00D332EC">
        <w:rPr>
          <w:rFonts w:ascii="Avenir Next" w:hAnsi="Avenir Next" w:cs="Arial"/>
          <w:sz w:val="22"/>
          <w:szCs w:val="22"/>
          <w:lang w:val="en-IN" w:eastAsia="en-IN"/>
        </w:rPr>
        <w:t>aims</w:t>
      </w:r>
      <w:r w:rsidR="00082F25" w:rsidRPr="00D332EC">
        <w:rPr>
          <w:rFonts w:ascii="Avenir Next" w:hAnsi="Avenir Next" w:cs="Arial"/>
          <w:sz w:val="22"/>
          <w:szCs w:val="22"/>
          <w:lang w:val="en-IN" w:eastAsia="en-IN"/>
        </w:rPr>
        <w:t xml:space="preserve"> to </w:t>
      </w:r>
      <w:r w:rsidR="00564CDA" w:rsidRPr="00D332EC">
        <w:rPr>
          <w:rFonts w:ascii="Avenir Next" w:hAnsi="Avenir Next" w:cs="Arial"/>
          <w:sz w:val="22"/>
          <w:szCs w:val="22"/>
          <w:lang w:val="en-IN" w:eastAsia="en-IN"/>
        </w:rPr>
        <w:t>prevent</w:t>
      </w:r>
      <w:r w:rsidR="00082F25" w:rsidRPr="00D332EC">
        <w:rPr>
          <w:rFonts w:ascii="Avenir Next" w:hAnsi="Avenir Next" w:cs="Arial"/>
          <w:sz w:val="22"/>
          <w:szCs w:val="22"/>
          <w:lang w:val="en-IN" w:eastAsia="en-IN"/>
        </w:rPr>
        <w:t xml:space="preserve"> jurisdictional </w:t>
      </w:r>
      <w:r w:rsidR="00B02E49" w:rsidRPr="00D332EC">
        <w:rPr>
          <w:rFonts w:ascii="Avenir Next" w:hAnsi="Avenir Next" w:cs="Arial"/>
          <w:sz w:val="22"/>
          <w:szCs w:val="22"/>
          <w:lang w:val="en-IN" w:eastAsia="en-IN"/>
        </w:rPr>
        <w:t>problems</w:t>
      </w:r>
      <w:r w:rsidR="00082F25" w:rsidRPr="00D332EC">
        <w:rPr>
          <w:rFonts w:ascii="Avenir Next" w:hAnsi="Avenir Next" w:cs="Arial"/>
          <w:sz w:val="22"/>
          <w:szCs w:val="22"/>
          <w:lang w:val="en-IN" w:eastAsia="en-IN"/>
        </w:rPr>
        <w:t xml:space="preserve"> and </w:t>
      </w:r>
      <w:r w:rsidR="00B02E49" w:rsidRPr="00D332EC">
        <w:rPr>
          <w:rFonts w:ascii="Avenir Next" w:hAnsi="Avenir Next" w:cs="Arial"/>
          <w:sz w:val="22"/>
          <w:szCs w:val="22"/>
          <w:lang w:val="en-IN" w:eastAsia="en-IN"/>
        </w:rPr>
        <w:t xml:space="preserve">encourage </w:t>
      </w:r>
      <w:r w:rsidR="00082F25" w:rsidRPr="00D332EC">
        <w:rPr>
          <w:rFonts w:ascii="Avenir Next" w:hAnsi="Avenir Next" w:cs="Arial"/>
          <w:sz w:val="22"/>
          <w:szCs w:val="22"/>
          <w:lang w:val="en-IN" w:eastAsia="en-IN"/>
        </w:rPr>
        <w:t xml:space="preserve">cooperation between courts and bankruptcy </w:t>
      </w:r>
      <w:r w:rsidR="00B02E49" w:rsidRPr="00D332EC">
        <w:rPr>
          <w:rFonts w:ascii="Avenir Next" w:hAnsi="Avenir Next" w:cs="Arial"/>
          <w:sz w:val="22"/>
          <w:szCs w:val="22"/>
          <w:lang w:val="en-IN" w:eastAsia="en-IN"/>
        </w:rPr>
        <w:t>specialists</w:t>
      </w:r>
      <w:r w:rsidR="00082F25" w:rsidRPr="00D332EC">
        <w:rPr>
          <w:rFonts w:ascii="Avenir Next" w:hAnsi="Avenir Next" w:cs="Arial"/>
          <w:sz w:val="22"/>
          <w:szCs w:val="22"/>
          <w:lang w:val="en-IN" w:eastAsia="en-IN"/>
        </w:rPr>
        <w:t>.</w:t>
      </w:r>
    </w:p>
    <w:p w14:paraId="35749079" w14:textId="3F6DAFD7" w:rsidR="00914815" w:rsidRPr="00D332EC" w:rsidRDefault="00914815" w:rsidP="00914815">
      <w:pPr>
        <w:jc w:val="both"/>
        <w:rPr>
          <w:rFonts w:ascii="Avenir Next" w:hAnsi="Avenir Next" w:cs="Arial"/>
          <w:sz w:val="22"/>
          <w:szCs w:val="22"/>
          <w:lang w:val="en-GB"/>
        </w:rPr>
      </w:pPr>
    </w:p>
    <w:p w14:paraId="7B515185" w14:textId="60E467F2" w:rsidR="00914815" w:rsidRPr="00D332EC" w:rsidRDefault="00914815" w:rsidP="00914815">
      <w:pPr>
        <w:jc w:val="both"/>
        <w:rPr>
          <w:rFonts w:ascii="Avenir Next" w:hAnsi="Avenir Next" w:cs="Arial"/>
          <w:b/>
          <w:bCs/>
          <w:sz w:val="22"/>
          <w:szCs w:val="22"/>
          <w:lang w:val="en-GB"/>
        </w:rPr>
      </w:pPr>
      <w:r w:rsidRPr="00D332EC">
        <w:rPr>
          <w:rFonts w:ascii="Avenir Next" w:hAnsi="Avenir Next" w:cs="Arial"/>
          <w:b/>
          <w:bCs/>
          <w:sz w:val="22"/>
          <w:szCs w:val="22"/>
          <w:lang w:val="en-GB"/>
        </w:rPr>
        <w:t>Directive on Preventive Restructuring Frameworks:</w:t>
      </w:r>
    </w:p>
    <w:p w14:paraId="79B14676" w14:textId="77777777" w:rsidR="00914815" w:rsidRPr="00D332EC" w:rsidRDefault="00914815" w:rsidP="00914815">
      <w:pPr>
        <w:jc w:val="both"/>
        <w:rPr>
          <w:rFonts w:ascii="Avenir Next" w:hAnsi="Avenir Next" w:cs="Arial"/>
          <w:sz w:val="22"/>
          <w:szCs w:val="22"/>
          <w:lang w:val="en-GB"/>
        </w:rPr>
      </w:pPr>
    </w:p>
    <w:p w14:paraId="3BBF4FA9" w14:textId="77777777" w:rsidR="00217B96" w:rsidRPr="00D332EC" w:rsidRDefault="00914815" w:rsidP="00914815">
      <w:pPr>
        <w:jc w:val="both"/>
        <w:rPr>
          <w:rFonts w:ascii="Avenir Next" w:hAnsi="Avenir Next" w:cs="Arial"/>
          <w:sz w:val="22"/>
          <w:szCs w:val="22"/>
          <w:lang w:val="en-IN" w:eastAsia="en-IN"/>
        </w:rPr>
      </w:pPr>
      <w:r w:rsidRPr="00D332EC">
        <w:rPr>
          <w:rFonts w:ascii="Avenir Next" w:hAnsi="Avenir Next" w:cs="Arial"/>
          <w:b/>
          <w:bCs/>
          <w:sz w:val="22"/>
          <w:szCs w:val="22"/>
          <w:lang w:val="en-GB"/>
        </w:rPr>
        <w:t>Scope:</w:t>
      </w:r>
      <w:r w:rsidRPr="00D332EC">
        <w:rPr>
          <w:rFonts w:ascii="Avenir Next" w:hAnsi="Avenir Next" w:cs="Arial"/>
          <w:sz w:val="22"/>
          <w:szCs w:val="22"/>
          <w:lang w:val="en-GB"/>
        </w:rPr>
        <w:t xml:space="preserve"> </w:t>
      </w:r>
      <w:r w:rsidR="00217B96" w:rsidRPr="00D332EC">
        <w:rPr>
          <w:rFonts w:ascii="Avenir Next" w:hAnsi="Avenir Next" w:cs="Arial"/>
          <w:sz w:val="22"/>
          <w:szCs w:val="22"/>
          <w:lang w:val="en-IN" w:eastAsia="en-IN"/>
        </w:rPr>
        <w:t>By offering a framework for proactive restructuring, debt discharge, and steps to improve the effectiveness of processes related to restructuring, bankruptcy, and debt discharge, the Order of Directive focuses on the substantive components of insolvency legislation. It attempts to harmonize several important aspects of bankruptcy law among the participating nations.</w:t>
      </w:r>
    </w:p>
    <w:p w14:paraId="390ABC67" w14:textId="77777777" w:rsidR="00217B96" w:rsidRPr="00D332EC" w:rsidRDefault="00217B96" w:rsidP="00914815">
      <w:pPr>
        <w:jc w:val="both"/>
        <w:rPr>
          <w:rFonts w:ascii="Avenir Next" w:hAnsi="Avenir Next" w:cs="Arial"/>
          <w:sz w:val="22"/>
          <w:szCs w:val="22"/>
          <w:lang w:val="en-IN" w:eastAsia="en-IN"/>
        </w:rPr>
      </w:pPr>
    </w:p>
    <w:p w14:paraId="029E0427" w14:textId="08C1ABFE" w:rsidR="00914815" w:rsidRPr="00D332EC" w:rsidRDefault="00914815" w:rsidP="00914815">
      <w:pPr>
        <w:jc w:val="both"/>
        <w:rPr>
          <w:rFonts w:ascii="Avenir Next" w:hAnsi="Avenir Next" w:cs="Arial"/>
          <w:sz w:val="22"/>
          <w:szCs w:val="22"/>
          <w:lang w:val="en-GB"/>
        </w:rPr>
      </w:pPr>
      <w:r w:rsidRPr="00D332EC">
        <w:rPr>
          <w:rFonts w:ascii="Avenir Next" w:hAnsi="Avenir Next" w:cs="Arial"/>
          <w:b/>
          <w:bCs/>
          <w:sz w:val="22"/>
          <w:szCs w:val="22"/>
          <w:lang w:val="en-GB"/>
        </w:rPr>
        <w:t>Objective:</w:t>
      </w:r>
      <w:r w:rsidRPr="00D332EC">
        <w:rPr>
          <w:rFonts w:ascii="Avenir Next" w:hAnsi="Avenir Next" w:cs="Arial"/>
          <w:sz w:val="22"/>
          <w:szCs w:val="22"/>
          <w:lang w:val="en-GB"/>
        </w:rPr>
        <w:t xml:space="preserve"> </w:t>
      </w:r>
      <w:r w:rsidR="00210AD5" w:rsidRPr="00D332EC">
        <w:rPr>
          <w:rFonts w:ascii="Avenir Next" w:hAnsi="Avenir Next" w:cs="Arial"/>
          <w:sz w:val="22"/>
          <w:szCs w:val="22"/>
          <w:lang w:val="en-GB"/>
        </w:rPr>
        <w:t xml:space="preserve">The primary objective of the Directive is to empower financially challenged corporations to assist financially distressed enterprises in their early restructuring efforts, therefore averting </w:t>
      </w:r>
      <w:r w:rsidR="00210AD5" w:rsidRPr="00D332EC">
        <w:rPr>
          <w:rFonts w:ascii="Avenir Next" w:hAnsi="Avenir Next" w:cs="Arial"/>
          <w:sz w:val="22"/>
          <w:szCs w:val="22"/>
          <w:lang w:val="en-GB"/>
        </w:rPr>
        <w:lastRenderedPageBreak/>
        <w:t>insolvency and liquidation and protecting employment and economic value. It encourages the use of preventative restructuring frameworks to give entrepreneurs a second opportunity and to enable viable businesses to continue running.</w:t>
      </w:r>
    </w:p>
    <w:p w14:paraId="62D44245" w14:textId="77777777" w:rsidR="00914815" w:rsidRPr="00D332EC" w:rsidRDefault="00914815" w:rsidP="00914815">
      <w:pPr>
        <w:jc w:val="both"/>
        <w:rPr>
          <w:rFonts w:ascii="Avenir Next" w:hAnsi="Avenir Next" w:cs="Arial"/>
          <w:sz w:val="22"/>
          <w:szCs w:val="22"/>
          <w:lang w:val="en-GB"/>
        </w:rPr>
      </w:pPr>
    </w:p>
    <w:p w14:paraId="2E8E97E0" w14:textId="5A8BE1AA" w:rsidR="00914815" w:rsidRPr="00D332EC" w:rsidRDefault="00914815" w:rsidP="00914815">
      <w:pPr>
        <w:jc w:val="both"/>
        <w:rPr>
          <w:rFonts w:ascii="Avenir Next" w:hAnsi="Avenir Next" w:cs="Arial"/>
          <w:b/>
          <w:bCs/>
          <w:sz w:val="22"/>
          <w:szCs w:val="22"/>
          <w:lang w:val="en-GB"/>
        </w:rPr>
      </w:pPr>
      <w:r w:rsidRPr="00D332EC">
        <w:rPr>
          <w:rFonts w:ascii="Avenir Next" w:hAnsi="Avenir Next" w:cs="Arial"/>
          <w:b/>
          <w:bCs/>
          <w:sz w:val="22"/>
          <w:szCs w:val="22"/>
          <w:lang w:val="en-GB"/>
        </w:rPr>
        <w:t>2) Nature of Legal Instrument:</w:t>
      </w:r>
    </w:p>
    <w:p w14:paraId="2F652CE4" w14:textId="77777777" w:rsidR="00914815" w:rsidRPr="00D332EC" w:rsidRDefault="00914815" w:rsidP="00914815">
      <w:pPr>
        <w:jc w:val="both"/>
        <w:rPr>
          <w:rFonts w:ascii="Avenir Next" w:hAnsi="Avenir Next" w:cs="Arial"/>
          <w:sz w:val="22"/>
          <w:szCs w:val="22"/>
          <w:lang w:val="en-GB"/>
        </w:rPr>
      </w:pPr>
    </w:p>
    <w:p w14:paraId="5777E95D" w14:textId="77777777" w:rsidR="00914815" w:rsidRPr="00D332EC" w:rsidRDefault="00914815" w:rsidP="00914815">
      <w:pPr>
        <w:jc w:val="both"/>
        <w:rPr>
          <w:rFonts w:ascii="Avenir Next" w:hAnsi="Avenir Next" w:cs="Arial"/>
          <w:b/>
          <w:bCs/>
          <w:sz w:val="22"/>
          <w:szCs w:val="22"/>
          <w:lang w:val="en-GB"/>
        </w:rPr>
      </w:pPr>
      <w:r w:rsidRPr="00D332EC">
        <w:rPr>
          <w:rFonts w:ascii="Avenir Next" w:hAnsi="Avenir Next" w:cs="Arial"/>
          <w:b/>
          <w:bCs/>
          <w:sz w:val="22"/>
          <w:szCs w:val="22"/>
          <w:lang w:val="en-GB"/>
        </w:rPr>
        <w:t>European Insolvency Regulation (EIR):</w:t>
      </w:r>
    </w:p>
    <w:p w14:paraId="2E407A04" w14:textId="77777777" w:rsidR="00914815" w:rsidRPr="00D332EC" w:rsidRDefault="00914815" w:rsidP="00914815">
      <w:pPr>
        <w:jc w:val="both"/>
        <w:rPr>
          <w:rFonts w:ascii="Avenir Next" w:hAnsi="Avenir Next" w:cs="Arial"/>
          <w:sz w:val="22"/>
          <w:szCs w:val="22"/>
          <w:lang w:val="en-GB"/>
        </w:rPr>
      </w:pPr>
    </w:p>
    <w:p w14:paraId="45A06995" w14:textId="77777777" w:rsidR="00EB7861" w:rsidRPr="00D332EC" w:rsidRDefault="00914815" w:rsidP="00EB7861">
      <w:pPr>
        <w:jc w:val="both"/>
        <w:rPr>
          <w:rFonts w:ascii="Avenir Next" w:hAnsi="Avenir Next" w:cs="Arial"/>
          <w:sz w:val="22"/>
          <w:szCs w:val="22"/>
          <w:lang w:val="en-IN"/>
        </w:rPr>
      </w:pPr>
      <w:r w:rsidRPr="00D332EC">
        <w:rPr>
          <w:rFonts w:ascii="Avenir Next" w:hAnsi="Avenir Next" w:cs="Arial"/>
          <w:b/>
          <w:bCs/>
          <w:sz w:val="22"/>
          <w:szCs w:val="22"/>
          <w:lang w:val="en-GB"/>
        </w:rPr>
        <w:t>Nature:</w:t>
      </w:r>
      <w:r w:rsidRPr="00D332EC">
        <w:rPr>
          <w:rFonts w:ascii="Avenir Next" w:hAnsi="Avenir Next" w:cs="Arial"/>
          <w:sz w:val="22"/>
          <w:szCs w:val="22"/>
          <w:lang w:val="en-GB"/>
        </w:rPr>
        <w:t xml:space="preserve"> </w:t>
      </w:r>
      <w:r w:rsidR="00EB7861" w:rsidRPr="00D332EC">
        <w:rPr>
          <w:rFonts w:ascii="Avenir Next" w:hAnsi="Avenir Next" w:cs="Arial"/>
          <w:sz w:val="22"/>
          <w:szCs w:val="22"/>
          <w:lang w:val="en-IN"/>
        </w:rPr>
        <w:t>The EU Member States must immediately apply and enforce the entire extent of the EIR law, which is mandatory without the requirement for national implementation. Its regulations, which are applied uniformly throughout the EU, guarantee consistency in standards for international bankruptcy proceedings.</w:t>
      </w:r>
    </w:p>
    <w:p w14:paraId="64E248C9" w14:textId="6B5EAFD7" w:rsidR="00914815" w:rsidRPr="00D332EC" w:rsidRDefault="00914815" w:rsidP="00914815">
      <w:pPr>
        <w:jc w:val="both"/>
        <w:rPr>
          <w:rFonts w:ascii="Avenir Next" w:hAnsi="Avenir Next" w:cs="Arial"/>
          <w:sz w:val="22"/>
          <w:szCs w:val="22"/>
          <w:lang w:val="en-GB"/>
        </w:rPr>
      </w:pPr>
      <w:r w:rsidRPr="00D332EC">
        <w:rPr>
          <w:rFonts w:ascii="Avenir Next" w:hAnsi="Avenir Next" w:cs="Arial"/>
          <w:b/>
          <w:bCs/>
          <w:sz w:val="22"/>
          <w:szCs w:val="22"/>
          <w:lang w:val="en-GB"/>
        </w:rPr>
        <w:t>Implementation:</w:t>
      </w:r>
      <w:r w:rsidRPr="00D332EC">
        <w:rPr>
          <w:rFonts w:ascii="Avenir Next" w:hAnsi="Avenir Next" w:cs="Arial"/>
          <w:sz w:val="22"/>
          <w:szCs w:val="22"/>
          <w:lang w:val="en-GB"/>
        </w:rPr>
        <w:t xml:space="preserve"> </w:t>
      </w:r>
      <w:r w:rsidR="00B215EE" w:rsidRPr="00D332EC">
        <w:rPr>
          <w:rFonts w:ascii="Avenir Next" w:hAnsi="Avenir Next" w:cs="Arial"/>
          <w:sz w:val="22"/>
          <w:szCs w:val="22"/>
          <w:lang w:val="en-GB"/>
        </w:rPr>
        <w:t>As a regulation, it offers a unified and logical response to procedural issues pertaining to insolvency laws, and it is effective immediately across all Member States.</w:t>
      </w:r>
    </w:p>
    <w:p w14:paraId="05035FB8" w14:textId="77777777" w:rsidR="007C7F9B" w:rsidRPr="00D332EC" w:rsidRDefault="007C7F9B" w:rsidP="00914815">
      <w:pPr>
        <w:jc w:val="both"/>
        <w:rPr>
          <w:rFonts w:ascii="Avenir Next" w:hAnsi="Avenir Next" w:cs="Arial"/>
          <w:b/>
          <w:bCs/>
          <w:sz w:val="22"/>
          <w:szCs w:val="22"/>
          <w:lang w:val="en-GB"/>
        </w:rPr>
      </w:pPr>
    </w:p>
    <w:p w14:paraId="62F3BF47" w14:textId="0D69A02B" w:rsidR="00914815" w:rsidRPr="00D332EC" w:rsidRDefault="00914815" w:rsidP="00914815">
      <w:pPr>
        <w:jc w:val="both"/>
        <w:rPr>
          <w:rFonts w:ascii="Avenir Next" w:hAnsi="Avenir Next" w:cs="Arial"/>
          <w:b/>
          <w:bCs/>
          <w:sz w:val="22"/>
          <w:szCs w:val="22"/>
          <w:lang w:val="en-GB"/>
        </w:rPr>
      </w:pPr>
      <w:r w:rsidRPr="00D332EC">
        <w:rPr>
          <w:rFonts w:ascii="Avenir Next" w:hAnsi="Avenir Next" w:cs="Arial"/>
          <w:b/>
          <w:bCs/>
          <w:sz w:val="22"/>
          <w:szCs w:val="22"/>
          <w:lang w:val="en-GB"/>
        </w:rPr>
        <w:t>Directive on Preventive Restructuring Frameworks:</w:t>
      </w:r>
    </w:p>
    <w:p w14:paraId="3BFE02CD" w14:textId="555C0994" w:rsidR="00914815" w:rsidRPr="00D332EC" w:rsidRDefault="00914815" w:rsidP="00914815">
      <w:pPr>
        <w:jc w:val="both"/>
        <w:rPr>
          <w:rFonts w:ascii="Avenir Next" w:hAnsi="Avenir Next" w:cs="Arial"/>
          <w:sz w:val="22"/>
          <w:szCs w:val="22"/>
          <w:lang w:val="en-GB"/>
        </w:rPr>
      </w:pPr>
      <w:r w:rsidRPr="00D332EC">
        <w:rPr>
          <w:rFonts w:ascii="Avenir Next" w:hAnsi="Avenir Next" w:cs="Arial"/>
          <w:b/>
          <w:bCs/>
          <w:sz w:val="22"/>
          <w:szCs w:val="22"/>
          <w:lang w:val="en-GB"/>
        </w:rPr>
        <w:t>Nature:</w:t>
      </w:r>
      <w:r w:rsidRPr="00D332EC">
        <w:rPr>
          <w:rFonts w:ascii="Avenir Next" w:hAnsi="Avenir Next" w:cs="Arial"/>
          <w:sz w:val="22"/>
          <w:szCs w:val="22"/>
          <w:lang w:val="en-GB"/>
        </w:rPr>
        <w:t xml:space="preserve"> </w:t>
      </w:r>
      <w:r w:rsidR="003D656F" w:rsidRPr="00D332EC">
        <w:rPr>
          <w:rFonts w:ascii="Avenir Next" w:hAnsi="Avenir Next" w:cs="Arial"/>
          <w:sz w:val="22"/>
          <w:szCs w:val="22"/>
          <w:lang w:val="en-GB"/>
        </w:rPr>
        <w:t>All EU Member States are required to meet the objectives of the Directive, although they are free to choose how to incorporate these goals into their own national laws. As a result, there is some flexibility that allows Member States to modify the requirements to fit their own national legal frameworks and customs.</w:t>
      </w:r>
    </w:p>
    <w:p w14:paraId="5AF8C0BA" w14:textId="16B322AF" w:rsidR="00914815" w:rsidRPr="00D332EC" w:rsidRDefault="00914815" w:rsidP="00914815">
      <w:pPr>
        <w:jc w:val="both"/>
        <w:rPr>
          <w:rFonts w:ascii="Avenir Next" w:hAnsi="Avenir Next" w:cs="Arial"/>
          <w:sz w:val="22"/>
          <w:szCs w:val="22"/>
          <w:lang w:val="en-GB"/>
        </w:rPr>
      </w:pPr>
      <w:r w:rsidRPr="00D332EC">
        <w:rPr>
          <w:rFonts w:ascii="Avenir Next" w:hAnsi="Avenir Next" w:cs="Arial"/>
          <w:b/>
          <w:bCs/>
          <w:sz w:val="22"/>
          <w:szCs w:val="22"/>
          <w:lang w:val="en-GB"/>
        </w:rPr>
        <w:t>Implementation:</w:t>
      </w:r>
      <w:r w:rsidRPr="00D332EC">
        <w:rPr>
          <w:rFonts w:ascii="Avenir Next" w:hAnsi="Avenir Next" w:cs="Arial"/>
          <w:sz w:val="22"/>
          <w:szCs w:val="22"/>
          <w:lang w:val="en-GB"/>
        </w:rPr>
        <w:t xml:space="preserve"> </w:t>
      </w:r>
      <w:r w:rsidR="006948A1" w:rsidRPr="00D332EC">
        <w:rPr>
          <w:rFonts w:ascii="Avenir Next" w:hAnsi="Avenir Next" w:cs="Arial"/>
          <w:sz w:val="22"/>
          <w:szCs w:val="22"/>
          <w:lang w:val="en-GB"/>
        </w:rPr>
        <w:t>Within a certain amount of time, Member States must incorporate the Directive into their national laws. This may result in differing national transposition measures, which could affect how the Directive's requirements are implemented in various nations.</w:t>
      </w:r>
    </w:p>
    <w:p w14:paraId="0F20A6E0" w14:textId="77777777" w:rsidR="006948A1" w:rsidRPr="00D332EC" w:rsidRDefault="006948A1" w:rsidP="00914815">
      <w:pPr>
        <w:jc w:val="both"/>
        <w:rPr>
          <w:rFonts w:ascii="Avenir Next" w:hAnsi="Avenir Next" w:cs="Arial"/>
          <w:b/>
          <w:bCs/>
          <w:sz w:val="22"/>
          <w:szCs w:val="22"/>
          <w:lang w:val="en-GB"/>
        </w:rPr>
      </w:pPr>
    </w:p>
    <w:p w14:paraId="0F4C2437" w14:textId="580F3889" w:rsidR="00914815" w:rsidRPr="00D332EC" w:rsidRDefault="00914815" w:rsidP="00914815">
      <w:pPr>
        <w:jc w:val="both"/>
        <w:rPr>
          <w:rFonts w:ascii="Avenir Next" w:hAnsi="Avenir Next" w:cs="Arial"/>
          <w:b/>
          <w:bCs/>
          <w:sz w:val="22"/>
          <w:szCs w:val="22"/>
          <w:lang w:val="en-GB"/>
        </w:rPr>
      </w:pPr>
      <w:r w:rsidRPr="00D332EC">
        <w:rPr>
          <w:rFonts w:ascii="Avenir Next" w:hAnsi="Avenir Next" w:cs="Arial"/>
          <w:b/>
          <w:bCs/>
          <w:sz w:val="22"/>
          <w:szCs w:val="22"/>
          <w:lang w:val="en-GB"/>
        </w:rPr>
        <w:t>Conclusion:</w:t>
      </w:r>
    </w:p>
    <w:p w14:paraId="0EE0A1BB" w14:textId="71B228F7" w:rsidR="00914815" w:rsidRPr="00D332EC" w:rsidRDefault="00365373" w:rsidP="00914815">
      <w:pPr>
        <w:jc w:val="both"/>
        <w:rPr>
          <w:rFonts w:ascii="Avenir Next" w:hAnsi="Avenir Next" w:cs="Arial"/>
          <w:sz w:val="22"/>
          <w:szCs w:val="22"/>
          <w:lang w:val="en-GB"/>
        </w:rPr>
      </w:pPr>
      <w:r w:rsidRPr="00D332EC">
        <w:rPr>
          <w:rFonts w:ascii="Avenir Next" w:hAnsi="Avenir Next" w:cs="Arial"/>
          <w:sz w:val="22"/>
          <w:szCs w:val="22"/>
          <w:lang w:val="en-GB"/>
        </w:rPr>
        <w:t>In conclusion, the Directive on Preventive Restructuring Frameworks seeks to harmonize certain substantive aspects of insolvency law, particularly in relation to preventive restructuring and early intervention measures, whereas the European Insolvency Regulation concentrates on procedural harmonization and the coordination of cross-border insolvency proceedings. The EIR is immediately applicable as a regulation, whereas the Directive requires national transposition as a directive. These distinctions in legal instrument type also exist.</w:t>
      </w:r>
    </w:p>
    <w:p w14:paraId="05BC4FFA" w14:textId="77777777" w:rsidR="00365373" w:rsidRPr="00D332EC" w:rsidRDefault="00365373" w:rsidP="00914815">
      <w:pPr>
        <w:jc w:val="both"/>
        <w:rPr>
          <w:rFonts w:ascii="Avenir Next" w:hAnsi="Avenir Next" w:cs="Arial"/>
          <w:sz w:val="22"/>
          <w:szCs w:val="22"/>
          <w:lang w:val="en-GB"/>
        </w:rPr>
      </w:pPr>
    </w:p>
    <w:p w14:paraId="55C402CC" w14:textId="746A48C9" w:rsidR="009B0723" w:rsidRPr="00D332EC" w:rsidRDefault="00DF75F8" w:rsidP="002A37BB">
      <w:pPr>
        <w:jc w:val="both"/>
        <w:rPr>
          <w:rFonts w:ascii="Avenir Next" w:hAnsi="Avenir Next" w:cs="Arial"/>
          <w:b/>
          <w:bCs/>
          <w:sz w:val="22"/>
          <w:szCs w:val="22"/>
          <w:lang w:val="en-GB"/>
        </w:rPr>
      </w:pPr>
      <w:r w:rsidRPr="00D332EC">
        <w:rPr>
          <w:rFonts w:ascii="Avenir Next" w:hAnsi="Avenir Next" w:cs="Arial"/>
          <w:b/>
          <w:bCs/>
          <w:sz w:val="22"/>
          <w:szCs w:val="22"/>
          <w:lang w:val="en-GB"/>
        </w:rPr>
        <w:t>QUESTION 4</w:t>
      </w:r>
      <w:r w:rsidR="009B0723" w:rsidRPr="00D332EC">
        <w:rPr>
          <w:rFonts w:ascii="Avenir Next" w:hAnsi="Avenir Next" w:cs="Arial"/>
          <w:b/>
          <w:bCs/>
          <w:sz w:val="22"/>
          <w:szCs w:val="22"/>
          <w:lang w:val="en-GB"/>
        </w:rPr>
        <w:t xml:space="preserve"> (fact-based application-type question) [15 marks</w:t>
      </w:r>
      <w:r w:rsidR="006A2646" w:rsidRPr="00D332EC">
        <w:rPr>
          <w:rFonts w:ascii="Avenir Next" w:hAnsi="Avenir Next" w:cs="Arial"/>
          <w:b/>
          <w:bCs/>
          <w:sz w:val="22"/>
          <w:szCs w:val="22"/>
          <w:lang w:val="en-GB"/>
        </w:rPr>
        <w:t xml:space="preserve"> in total</w:t>
      </w:r>
      <w:r w:rsidR="009B0723" w:rsidRPr="00D332EC">
        <w:rPr>
          <w:rFonts w:ascii="Avenir Next" w:hAnsi="Avenir Next" w:cs="Arial"/>
          <w:b/>
          <w:bCs/>
          <w:sz w:val="22"/>
          <w:szCs w:val="22"/>
          <w:lang w:val="en-GB"/>
        </w:rPr>
        <w:t>]</w:t>
      </w:r>
    </w:p>
    <w:p w14:paraId="5BAC2B6B" w14:textId="77777777" w:rsidR="009B0723" w:rsidRPr="00D332EC" w:rsidRDefault="009B0723" w:rsidP="002A37BB">
      <w:pPr>
        <w:jc w:val="both"/>
        <w:rPr>
          <w:rFonts w:ascii="Avenir Next" w:hAnsi="Avenir Next" w:cs="Arial"/>
          <w:sz w:val="22"/>
          <w:szCs w:val="22"/>
          <w:lang w:val="en-GB"/>
        </w:rPr>
      </w:pPr>
    </w:p>
    <w:p w14:paraId="11B8986E" w14:textId="77777777" w:rsidR="00E70FA4" w:rsidRPr="00D332EC" w:rsidRDefault="00AE477C" w:rsidP="002A37BB">
      <w:pPr>
        <w:jc w:val="both"/>
        <w:rPr>
          <w:rFonts w:ascii="Avenir Next" w:hAnsi="Avenir Next" w:cs="Arial"/>
          <w:b/>
          <w:bCs/>
          <w:sz w:val="22"/>
          <w:szCs w:val="22"/>
          <w:lang w:val="en-GB"/>
        </w:rPr>
      </w:pPr>
      <w:r w:rsidRPr="00D332EC">
        <w:rPr>
          <w:rFonts w:ascii="Avenir Next" w:hAnsi="Avenir Next" w:cs="Arial"/>
          <w:b/>
          <w:bCs/>
          <w:sz w:val="22"/>
          <w:szCs w:val="22"/>
          <w:lang w:val="en-GB"/>
        </w:rPr>
        <w:t>Scenario</w:t>
      </w:r>
    </w:p>
    <w:p w14:paraId="64D8D9D9" w14:textId="77777777" w:rsidR="00E70FA4" w:rsidRPr="00D332EC" w:rsidRDefault="00E70FA4" w:rsidP="002A37BB">
      <w:pPr>
        <w:jc w:val="both"/>
        <w:rPr>
          <w:rFonts w:ascii="Avenir Next" w:hAnsi="Avenir Next" w:cs="Arial"/>
          <w:sz w:val="22"/>
          <w:szCs w:val="22"/>
          <w:lang w:val="en-GB"/>
        </w:rPr>
      </w:pPr>
    </w:p>
    <w:p w14:paraId="330F5DD7" w14:textId="02F6C6F7" w:rsidR="00434072" w:rsidRPr="00D332EC" w:rsidRDefault="00434072" w:rsidP="00434072">
      <w:pPr>
        <w:jc w:val="both"/>
        <w:rPr>
          <w:rFonts w:ascii="Avenir Next" w:hAnsi="Avenir Next" w:cs="Arial"/>
          <w:sz w:val="22"/>
          <w:szCs w:val="22"/>
          <w:lang w:val="en-GB"/>
        </w:rPr>
      </w:pPr>
      <w:r w:rsidRPr="00D332EC">
        <w:rPr>
          <w:rFonts w:ascii="Avenir Next" w:hAnsi="Avenir Next" w:cs="Arial"/>
          <w:sz w:val="22"/>
          <w:szCs w:val="22"/>
          <w:lang w:val="en-GB"/>
        </w:rPr>
        <w:t xml:space="preserve">Dinosaurus SARL is a company selling children stuffed animals. It is incorporated in France and has opened its first store in La Flèche in 2015 and another 10 stores across France since. 80% of its employees work in France. It also has an office in Cork, Ireland, as well as three stores around Ireland. 20% of its employees are located in Ireland. Its main warehouse is in Spain. Most of its customers come from France, and some online purchases are coming mainly from the United Kingdom.  </w:t>
      </w:r>
    </w:p>
    <w:p w14:paraId="6F8FDE77" w14:textId="77777777" w:rsidR="00434072" w:rsidRPr="00D332EC" w:rsidRDefault="00434072" w:rsidP="00434072">
      <w:pPr>
        <w:jc w:val="both"/>
        <w:rPr>
          <w:rFonts w:ascii="Avenir Next" w:hAnsi="Avenir Next" w:cs="Arial"/>
          <w:sz w:val="22"/>
          <w:szCs w:val="22"/>
          <w:lang w:val="en-GB"/>
        </w:rPr>
      </w:pPr>
    </w:p>
    <w:p w14:paraId="7D566181" w14:textId="65415CB5" w:rsidR="00434072" w:rsidRPr="00D332EC" w:rsidRDefault="00434072" w:rsidP="00434072">
      <w:pPr>
        <w:jc w:val="both"/>
        <w:rPr>
          <w:rFonts w:ascii="Avenir Next" w:hAnsi="Avenir Next" w:cs="Arial"/>
          <w:sz w:val="22"/>
          <w:szCs w:val="22"/>
          <w:lang w:val="en-GB"/>
        </w:rPr>
      </w:pPr>
      <w:r w:rsidRPr="00D332EC">
        <w:rPr>
          <w:rFonts w:ascii="Avenir Next" w:hAnsi="Avenir Next" w:cs="Arial"/>
          <w:sz w:val="22"/>
          <w:szCs w:val="22"/>
          <w:lang w:val="en-GB"/>
        </w:rPr>
        <w:t xml:space="preserve">In 2020, Dinosaurus SARL entered into a loan agreement with a Spanish bank because it was hoping to expand its reach onto the Spanish children toys market. It opened a bank account with the bank while also negotiating prices with local suppliers. It signed some (non-binding) memoranda of understanding with three Madrid-based suppliers. </w:t>
      </w:r>
    </w:p>
    <w:p w14:paraId="75E78FD1" w14:textId="77777777" w:rsidR="00434072" w:rsidRPr="00D332EC" w:rsidRDefault="00434072" w:rsidP="00434072">
      <w:pPr>
        <w:jc w:val="both"/>
        <w:rPr>
          <w:rFonts w:ascii="Avenir Next" w:hAnsi="Avenir Next" w:cs="Arial"/>
          <w:sz w:val="22"/>
          <w:szCs w:val="22"/>
          <w:lang w:val="en-GB"/>
        </w:rPr>
      </w:pPr>
    </w:p>
    <w:p w14:paraId="4F852BCD" w14:textId="5B122CAB" w:rsidR="00434072" w:rsidRPr="00D332EC" w:rsidRDefault="00434072" w:rsidP="00434072">
      <w:pPr>
        <w:jc w:val="both"/>
        <w:rPr>
          <w:rFonts w:ascii="Avenir Next" w:hAnsi="Avenir Next" w:cs="Arial"/>
          <w:sz w:val="22"/>
          <w:szCs w:val="22"/>
          <w:lang w:val="en-GB"/>
        </w:rPr>
      </w:pPr>
      <w:r w:rsidRPr="00D332EC">
        <w:rPr>
          <w:rFonts w:ascii="Avenir Next" w:hAnsi="Avenir Next" w:cs="Arial"/>
          <w:sz w:val="22"/>
          <w:szCs w:val="22"/>
          <w:lang w:val="en-GB"/>
        </w:rPr>
        <w:t>Unfortunately for Dinosaurus SARL, the timing of this initiative coincided with the C</w:t>
      </w:r>
      <w:r w:rsidR="00B137B0" w:rsidRPr="00D332EC">
        <w:rPr>
          <w:rFonts w:ascii="Avenir Next" w:hAnsi="Avenir Next" w:cs="Arial"/>
          <w:sz w:val="22"/>
          <w:szCs w:val="22"/>
          <w:lang w:val="en-GB"/>
        </w:rPr>
        <w:t>ovid</w:t>
      </w:r>
      <w:r w:rsidRPr="00D332EC">
        <w:rPr>
          <w:rFonts w:ascii="Avenir Next" w:hAnsi="Avenir Next" w:cs="Arial"/>
          <w:sz w:val="22"/>
          <w:szCs w:val="22"/>
          <w:lang w:val="en-GB"/>
        </w:rPr>
        <w:t xml:space="preserve">-19 pandemic which hit the world in 2020. By 2021, the company was in financial difficulty, yet managed to keep afloat for another two years. On 20 June 2023, it filed a petition to open safeguard proceedings in the Commercial Court in Le Mans, France. </w:t>
      </w:r>
    </w:p>
    <w:p w14:paraId="6820FBC0" w14:textId="77777777" w:rsidR="00390B57" w:rsidRPr="00D332EC" w:rsidRDefault="00390B57" w:rsidP="002A37BB">
      <w:pPr>
        <w:jc w:val="both"/>
        <w:rPr>
          <w:rFonts w:ascii="Avenir Next" w:hAnsi="Avenir Next" w:cs="Arial"/>
          <w:sz w:val="22"/>
          <w:szCs w:val="22"/>
          <w:lang w:val="en-GB"/>
        </w:rPr>
      </w:pPr>
    </w:p>
    <w:p w14:paraId="3EEBCF39" w14:textId="3A5B5314" w:rsidR="002F75A3" w:rsidRPr="00D332EC" w:rsidRDefault="009B0723" w:rsidP="002A37BB">
      <w:pPr>
        <w:jc w:val="both"/>
        <w:rPr>
          <w:rFonts w:ascii="Avenir Next" w:hAnsi="Avenir Next" w:cs="Arial"/>
          <w:b/>
          <w:bCs/>
          <w:sz w:val="22"/>
          <w:szCs w:val="22"/>
          <w:lang w:val="en-GB"/>
        </w:rPr>
      </w:pPr>
      <w:bookmarkStart w:id="0" w:name="_Hlk17745211"/>
      <w:r w:rsidRPr="00D332EC">
        <w:rPr>
          <w:rFonts w:ascii="Avenir Next" w:hAnsi="Avenir Next" w:cs="Arial"/>
          <w:b/>
          <w:bCs/>
          <w:sz w:val="22"/>
          <w:szCs w:val="22"/>
          <w:lang w:val="en-GB"/>
        </w:rPr>
        <w:t>Question 4.1 [</w:t>
      </w:r>
      <w:r w:rsidR="00D17FDC" w:rsidRPr="00D332EC">
        <w:rPr>
          <w:rFonts w:ascii="Avenir Next" w:hAnsi="Avenir Next" w:cs="Arial"/>
          <w:b/>
          <w:bCs/>
          <w:sz w:val="22"/>
          <w:szCs w:val="22"/>
          <w:lang w:val="en-GB"/>
        </w:rPr>
        <w:t>m</w:t>
      </w:r>
      <w:r w:rsidRPr="00D332EC">
        <w:rPr>
          <w:rFonts w:ascii="Avenir Next" w:hAnsi="Avenir Next" w:cs="Arial"/>
          <w:b/>
          <w:bCs/>
          <w:sz w:val="22"/>
          <w:szCs w:val="22"/>
          <w:lang w:val="en-GB"/>
        </w:rPr>
        <w:t xml:space="preserve">aximum </w:t>
      </w:r>
      <w:r w:rsidR="009B4976" w:rsidRPr="00D332EC">
        <w:rPr>
          <w:rFonts w:ascii="Avenir Next" w:hAnsi="Avenir Next" w:cs="Arial"/>
          <w:b/>
          <w:bCs/>
          <w:sz w:val="22"/>
          <w:szCs w:val="22"/>
          <w:lang w:val="en-GB"/>
        </w:rPr>
        <w:t>5</w:t>
      </w:r>
      <w:r w:rsidRPr="00D332EC">
        <w:rPr>
          <w:rFonts w:ascii="Avenir Next" w:hAnsi="Avenir Next" w:cs="Arial"/>
          <w:b/>
          <w:bCs/>
          <w:sz w:val="22"/>
          <w:szCs w:val="22"/>
          <w:lang w:val="en-GB"/>
        </w:rPr>
        <w:t xml:space="preserve"> marks] </w:t>
      </w:r>
    </w:p>
    <w:p w14:paraId="0FD43ABB" w14:textId="77777777" w:rsidR="002F75A3" w:rsidRPr="00D332EC" w:rsidRDefault="002F75A3" w:rsidP="002A37BB">
      <w:pPr>
        <w:jc w:val="both"/>
        <w:rPr>
          <w:rFonts w:ascii="Avenir Next" w:hAnsi="Avenir Next" w:cs="Arial"/>
          <w:sz w:val="22"/>
          <w:szCs w:val="22"/>
          <w:lang w:val="en-GB"/>
        </w:rPr>
      </w:pPr>
    </w:p>
    <w:p w14:paraId="1024ED52" w14:textId="7AF84BA5" w:rsidR="003D17A2" w:rsidRPr="00D332EC" w:rsidRDefault="009B4976" w:rsidP="002A37BB">
      <w:pPr>
        <w:jc w:val="both"/>
        <w:rPr>
          <w:rFonts w:ascii="Avenir Next" w:hAnsi="Avenir Next" w:cs="Arial"/>
          <w:sz w:val="22"/>
          <w:szCs w:val="22"/>
          <w:lang w:val="en-GB"/>
        </w:rPr>
      </w:pPr>
      <w:r w:rsidRPr="00D332EC">
        <w:rPr>
          <w:rFonts w:ascii="Avenir Next" w:hAnsi="Avenir Next" w:cs="Arial"/>
          <w:sz w:val="22"/>
          <w:szCs w:val="22"/>
          <w:lang w:val="en-GB"/>
        </w:rPr>
        <w:t xml:space="preserve">Assume that </w:t>
      </w:r>
      <w:r w:rsidR="003D17A2" w:rsidRPr="00D332EC">
        <w:rPr>
          <w:rFonts w:ascii="Avenir Next" w:hAnsi="Avenir Next" w:cs="Arial"/>
          <w:sz w:val="22"/>
          <w:szCs w:val="22"/>
          <w:lang w:val="en-GB"/>
        </w:rPr>
        <w:t>the timeline is slightly different and</w:t>
      </w:r>
      <w:r w:rsidR="004F4245" w:rsidRPr="00D332EC">
        <w:rPr>
          <w:rFonts w:ascii="Avenir Next" w:hAnsi="Avenir Next" w:cs="Arial"/>
          <w:sz w:val="22"/>
          <w:szCs w:val="22"/>
          <w:lang w:val="en-GB"/>
        </w:rPr>
        <w:t>,</w:t>
      </w:r>
      <w:r w:rsidR="003D17A2" w:rsidRPr="00D332EC">
        <w:rPr>
          <w:rFonts w:ascii="Avenir Next" w:hAnsi="Avenir Next" w:cs="Arial"/>
          <w:sz w:val="22"/>
          <w:szCs w:val="22"/>
          <w:lang w:val="en-GB"/>
        </w:rPr>
        <w:t xml:space="preserve"> therefore, assume that it is not the EIR 2015 </w:t>
      </w:r>
      <w:r w:rsidR="004F4245" w:rsidRPr="00D332EC">
        <w:rPr>
          <w:rFonts w:ascii="Avenir Next" w:hAnsi="Avenir Next" w:cs="Arial"/>
          <w:sz w:val="22"/>
          <w:szCs w:val="22"/>
          <w:lang w:val="en-GB"/>
        </w:rPr>
        <w:t>that</w:t>
      </w:r>
      <w:r w:rsidR="003D17A2" w:rsidRPr="00D332EC">
        <w:rPr>
          <w:rFonts w:ascii="Avenir Next" w:hAnsi="Avenir Next" w:cs="Arial"/>
          <w:sz w:val="22"/>
          <w:szCs w:val="22"/>
          <w:lang w:val="en-GB"/>
        </w:rPr>
        <w:t xml:space="preserve"> applies but the EIR 2000. </w:t>
      </w:r>
    </w:p>
    <w:p w14:paraId="55A2226D" w14:textId="77777777" w:rsidR="006723E9" w:rsidRPr="00D332EC" w:rsidRDefault="006723E9" w:rsidP="002A37BB">
      <w:pPr>
        <w:jc w:val="both"/>
        <w:rPr>
          <w:rFonts w:ascii="Avenir Next" w:hAnsi="Avenir Next" w:cs="Arial"/>
          <w:sz w:val="22"/>
          <w:szCs w:val="22"/>
          <w:lang w:val="en-GB"/>
        </w:rPr>
      </w:pPr>
    </w:p>
    <w:p w14:paraId="2B16CF87" w14:textId="3EE010D4" w:rsidR="00F60B34" w:rsidRPr="00D332EC" w:rsidRDefault="00F60B34" w:rsidP="00F60B34">
      <w:pPr>
        <w:jc w:val="both"/>
        <w:rPr>
          <w:rFonts w:ascii="Avenir Next" w:hAnsi="Avenir Next" w:cs="Arial"/>
          <w:b/>
          <w:bCs/>
          <w:i/>
          <w:iCs/>
          <w:sz w:val="22"/>
          <w:szCs w:val="22"/>
          <w:lang w:val="en-GB"/>
        </w:rPr>
      </w:pPr>
      <w:r w:rsidRPr="00D332EC">
        <w:rPr>
          <w:rFonts w:ascii="Avenir Next" w:hAnsi="Avenir Next" w:cs="Arial"/>
          <w:b/>
          <w:bCs/>
          <w:i/>
          <w:iCs/>
          <w:sz w:val="22"/>
          <w:szCs w:val="22"/>
          <w:lang w:val="en-GB"/>
        </w:rPr>
        <w:t xml:space="preserve">Does the EIR 2000 apply to this case and to the opening of safeguard proceedings? </w:t>
      </w:r>
    </w:p>
    <w:p w14:paraId="1A235C51" w14:textId="77777777" w:rsidR="006723E9" w:rsidRPr="00D332EC" w:rsidRDefault="006723E9" w:rsidP="002A37BB">
      <w:pPr>
        <w:jc w:val="both"/>
        <w:rPr>
          <w:rFonts w:ascii="Avenir Next" w:hAnsi="Avenir Next" w:cs="Arial"/>
          <w:sz w:val="22"/>
          <w:szCs w:val="22"/>
          <w:lang w:val="en-GB"/>
        </w:rPr>
      </w:pPr>
    </w:p>
    <w:p w14:paraId="42DD66CB" w14:textId="7B1E8BD2" w:rsidR="00E70FA4" w:rsidRPr="00D332EC" w:rsidRDefault="003D17A2" w:rsidP="002A37BB">
      <w:pPr>
        <w:jc w:val="both"/>
        <w:rPr>
          <w:rFonts w:ascii="Avenir Next" w:hAnsi="Avenir Next" w:cs="Arial"/>
          <w:sz w:val="22"/>
          <w:szCs w:val="22"/>
          <w:lang w:val="en-GB"/>
        </w:rPr>
      </w:pPr>
      <w:r w:rsidRPr="00D332EC">
        <w:rPr>
          <w:rFonts w:ascii="Avenir Next" w:hAnsi="Avenir Next" w:cs="Arial"/>
          <w:sz w:val="22"/>
          <w:szCs w:val="22"/>
          <w:lang w:val="en-GB"/>
        </w:rPr>
        <w:t>You must justify your answer when explaining why it does or does not have jurisdiction.</w:t>
      </w:r>
      <w:r w:rsidR="009B4976" w:rsidRPr="00D332EC">
        <w:rPr>
          <w:rFonts w:ascii="Avenir Next" w:hAnsi="Avenir Next" w:cs="Arial"/>
          <w:sz w:val="22"/>
          <w:szCs w:val="22"/>
          <w:lang w:val="en-GB"/>
        </w:rPr>
        <w:t xml:space="preserve"> Your answer should contain references to the applicable law and the relevant CJEU jurisprudence.</w:t>
      </w:r>
      <w:r w:rsidR="00E03AF0" w:rsidRPr="00D332EC">
        <w:rPr>
          <w:rFonts w:ascii="Avenir Next" w:hAnsi="Avenir Next" w:cs="Arial"/>
          <w:sz w:val="22"/>
          <w:szCs w:val="22"/>
          <w:lang w:val="en-GB"/>
        </w:rPr>
        <w:t xml:space="preserve"> </w:t>
      </w:r>
    </w:p>
    <w:p w14:paraId="7FB759B1" w14:textId="77777777" w:rsidR="00EC0181" w:rsidRPr="00D332EC" w:rsidRDefault="00EC0181" w:rsidP="002A37BB">
      <w:pPr>
        <w:jc w:val="both"/>
        <w:rPr>
          <w:rFonts w:ascii="Avenir Next" w:hAnsi="Avenir Next" w:cs="Arial"/>
          <w:sz w:val="22"/>
          <w:szCs w:val="22"/>
          <w:lang w:val="en-GB"/>
        </w:rPr>
      </w:pPr>
    </w:p>
    <w:p w14:paraId="4A288851" w14:textId="41B9CC99" w:rsidR="003E4DB0" w:rsidRPr="00D332EC" w:rsidRDefault="00914815" w:rsidP="002A37BB">
      <w:pPr>
        <w:jc w:val="both"/>
        <w:rPr>
          <w:rFonts w:ascii="Avenir Next" w:hAnsi="Avenir Next" w:cs="Arial"/>
          <w:sz w:val="22"/>
          <w:szCs w:val="22"/>
        </w:rPr>
      </w:pPr>
      <w:r w:rsidRPr="00D332EC">
        <w:rPr>
          <w:rFonts w:ascii="Avenir Next" w:hAnsi="Avenir Next" w:cs="Arial"/>
          <w:sz w:val="22"/>
          <w:szCs w:val="22"/>
        </w:rPr>
        <w:t>Answer</w:t>
      </w:r>
      <w:r w:rsidR="00C61397" w:rsidRPr="00D332EC">
        <w:rPr>
          <w:rFonts w:ascii="Avenir Next" w:hAnsi="Avenir Next" w:cs="Arial"/>
          <w:sz w:val="22"/>
          <w:szCs w:val="22"/>
        </w:rPr>
        <w:t>:</w:t>
      </w:r>
    </w:p>
    <w:p w14:paraId="3FEA2601" w14:textId="77777777" w:rsidR="00C61397" w:rsidRPr="00D332EC" w:rsidRDefault="00C61397" w:rsidP="002A37BB">
      <w:pPr>
        <w:jc w:val="both"/>
        <w:rPr>
          <w:rFonts w:ascii="Avenir Next" w:hAnsi="Avenir Next" w:cs="Arial"/>
          <w:sz w:val="22"/>
          <w:szCs w:val="22"/>
        </w:rPr>
      </w:pPr>
    </w:p>
    <w:p w14:paraId="0D4DFF23" w14:textId="77777777" w:rsidR="00C61397" w:rsidRPr="00D332EC" w:rsidRDefault="00C61397" w:rsidP="00C61397">
      <w:pPr>
        <w:jc w:val="both"/>
        <w:rPr>
          <w:rFonts w:ascii="Avenir Next" w:hAnsi="Avenir Next" w:cs="Arial"/>
          <w:b/>
          <w:bCs/>
          <w:sz w:val="22"/>
          <w:szCs w:val="22"/>
          <w:lang w:val="en-GB"/>
        </w:rPr>
      </w:pPr>
      <w:r w:rsidRPr="00D332EC">
        <w:rPr>
          <w:rFonts w:ascii="Avenir Next" w:hAnsi="Avenir Next" w:cs="Arial"/>
          <w:b/>
          <w:bCs/>
          <w:sz w:val="22"/>
          <w:szCs w:val="22"/>
          <w:lang w:val="en-GB"/>
        </w:rPr>
        <w:t>Applicability of the EIR 2000 to Dinosaurus SARL's Safeguard Proceedings</w:t>
      </w:r>
    </w:p>
    <w:p w14:paraId="646C9A4E" w14:textId="3C56C1A3" w:rsidR="00C61397" w:rsidRPr="00D332EC" w:rsidRDefault="00FF4E94" w:rsidP="00B83193">
      <w:pPr>
        <w:jc w:val="both"/>
        <w:rPr>
          <w:rFonts w:ascii="Avenir Next" w:hAnsi="Avenir Next" w:cs="Arial"/>
          <w:sz w:val="22"/>
          <w:szCs w:val="22"/>
          <w:lang w:val="en-GB"/>
        </w:rPr>
      </w:pPr>
      <w:r w:rsidRPr="00D332EC">
        <w:rPr>
          <w:rFonts w:ascii="Avenir Next" w:hAnsi="Avenir Next" w:cs="Arial"/>
          <w:sz w:val="22"/>
          <w:szCs w:val="22"/>
          <w:lang w:val="en-GB"/>
        </w:rPr>
        <w:t xml:space="preserve">We must look at the meaning of "insolvency proceedings," the scope of the EIR 2000, and pertinent CJEU case law </w:t>
      </w:r>
      <w:r w:rsidR="00452935" w:rsidRPr="00D332EC">
        <w:rPr>
          <w:rFonts w:ascii="Avenir Next" w:hAnsi="Avenir Next" w:cs="Arial"/>
          <w:sz w:val="22"/>
          <w:szCs w:val="22"/>
          <w:lang w:val="en-GB"/>
        </w:rPr>
        <w:t>to</w:t>
      </w:r>
      <w:r w:rsidRPr="00D332EC">
        <w:rPr>
          <w:rFonts w:ascii="Avenir Next" w:hAnsi="Avenir Next" w:cs="Arial"/>
          <w:sz w:val="22"/>
          <w:szCs w:val="22"/>
          <w:lang w:val="en-GB"/>
        </w:rPr>
        <w:t xml:space="preserve"> decide whether the EIR 2000 applies to the Dinosaurus SARL case and the start of safeguard procedures in France.</w:t>
      </w:r>
    </w:p>
    <w:p w14:paraId="2E461A1A" w14:textId="77777777" w:rsidR="00FF4E94" w:rsidRPr="00D332EC" w:rsidRDefault="00FF4E94" w:rsidP="00B83193">
      <w:pPr>
        <w:jc w:val="both"/>
        <w:rPr>
          <w:rFonts w:ascii="Avenir Next" w:hAnsi="Avenir Next" w:cs="Arial"/>
          <w:sz w:val="22"/>
          <w:szCs w:val="22"/>
          <w:lang w:val="en-GB"/>
        </w:rPr>
      </w:pPr>
    </w:p>
    <w:p w14:paraId="356891AE" w14:textId="77777777" w:rsidR="00C61397" w:rsidRPr="00D332EC" w:rsidRDefault="00C61397" w:rsidP="00B83193">
      <w:pPr>
        <w:jc w:val="both"/>
        <w:rPr>
          <w:rFonts w:ascii="Avenir Next" w:hAnsi="Avenir Next" w:cs="Arial"/>
          <w:b/>
          <w:bCs/>
          <w:sz w:val="22"/>
          <w:szCs w:val="22"/>
          <w:lang w:val="en-GB"/>
        </w:rPr>
      </w:pPr>
      <w:r w:rsidRPr="00D332EC">
        <w:rPr>
          <w:rFonts w:ascii="Avenir Next" w:hAnsi="Avenir Next" w:cs="Arial"/>
          <w:b/>
          <w:bCs/>
          <w:sz w:val="22"/>
          <w:szCs w:val="22"/>
          <w:lang w:val="en-GB"/>
        </w:rPr>
        <w:t>Scope and Definition of Insolvency Proceedings under EIR 2000</w:t>
      </w:r>
    </w:p>
    <w:p w14:paraId="2AA833A8" w14:textId="77777777" w:rsidR="00C61397" w:rsidRPr="00D332EC" w:rsidRDefault="00C61397" w:rsidP="00B83193">
      <w:pPr>
        <w:jc w:val="both"/>
        <w:rPr>
          <w:rFonts w:ascii="Avenir Next" w:hAnsi="Avenir Next" w:cs="Arial"/>
          <w:b/>
          <w:bCs/>
          <w:sz w:val="22"/>
          <w:szCs w:val="22"/>
          <w:lang w:val="en-GB"/>
        </w:rPr>
      </w:pPr>
    </w:p>
    <w:p w14:paraId="07A996E8" w14:textId="52413557" w:rsidR="00C61397" w:rsidRPr="00D332EC" w:rsidRDefault="00C61397" w:rsidP="00B83193">
      <w:pPr>
        <w:jc w:val="both"/>
        <w:rPr>
          <w:rFonts w:ascii="Avenir Next" w:hAnsi="Avenir Next" w:cs="Arial"/>
          <w:b/>
          <w:bCs/>
          <w:sz w:val="22"/>
          <w:szCs w:val="22"/>
          <w:lang w:val="en-GB"/>
        </w:rPr>
      </w:pPr>
      <w:r w:rsidRPr="00D332EC">
        <w:rPr>
          <w:rFonts w:ascii="Avenir Next" w:hAnsi="Avenir Next" w:cs="Arial"/>
          <w:b/>
          <w:bCs/>
          <w:sz w:val="22"/>
          <w:szCs w:val="22"/>
          <w:lang w:val="en-GB"/>
        </w:rPr>
        <w:t>Scope of the EIR 2000:</w:t>
      </w:r>
    </w:p>
    <w:p w14:paraId="100EFBD4" w14:textId="77777777" w:rsidR="00C61397" w:rsidRPr="00D332EC" w:rsidRDefault="00C61397" w:rsidP="00B83193">
      <w:pPr>
        <w:jc w:val="both"/>
        <w:rPr>
          <w:rFonts w:ascii="Avenir Next" w:hAnsi="Avenir Next" w:cs="Arial"/>
          <w:sz w:val="22"/>
          <w:szCs w:val="22"/>
          <w:lang w:val="en-GB"/>
        </w:rPr>
      </w:pPr>
    </w:p>
    <w:p w14:paraId="5514ABB0" w14:textId="77777777" w:rsidR="007854B7" w:rsidRPr="00D332EC" w:rsidRDefault="007854B7" w:rsidP="007854B7">
      <w:pPr>
        <w:jc w:val="both"/>
        <w:rPr>
          <w:rFonts w:ascii="Avenir Next" w:hAnsi="Avenir Next" w:cs="Arial"/>
          <w:sz w:val="22"/>
          <w:szCs w:val="22"/>
          <w:lang w:val="en-GB"/>
        </w:rPr>
      </w:pPr>
      <w:r w:rsidRPr="00D332EC">
        <w:rPr>
          <w:rFonts w:ascii="Avenir Next" w:hAnsi="Avenir Next" w:cs="Arial"/>
          <w:sz w:val="22"/>
          <w:szCs w:val="22"/>
          <w:lang w:val="en-GB"/>
        </w:rPr>
        <w:t>Article 1(1) of the EIR 2000 states that the EIR 2000 is applicable to collective bankruptcy procedures that involve the appointment of a liquidator and the partial or complete disposal of a debtor.</w:t>
      </w:r>
    </w:p>
    <w:p w14:paraId="4EB6B4C1" w14:textId="150B5D6D" w:rsidR="00C61397" w:rsidRPr="00D332EC" w:rsidRDefault="007854B7" w:rsidP="007854B7">
      <w:pPr>
        <w:jc w:val="both"/>
        <w:rPr>
          <w:rFonts w:ascii="Avenir Next" w:hAnsi="Avenir Next" w:cs="Arial"/>
          <w:sz w:val="22"/>
          <w:szCs w:val="22"/>
          <w:lang w:val="en-GB"/>
        </w:rPr>
      </w:pPr>
      <w:r w:rsidRPr="00D332EC">
        <w:rPr>
          <w:rFonts w:ascii="Avenir Next" w:hAnsi="Avenir Next" w:cs="Arial"/>
          <w:sz w:val="22"/>
          <w:szCs w:val="22"/>
          <w:lang w:val="en-GB"/>
        </w:rPr>
        <w:t>Proceedings must be included in Annex A of the Regulation in order to fall under the purview of the EIR 2000.</w:t>
      </w:r>
    </w:p>
    <w:p w14:paraId="7B2BEF22" w14:textId="77777777" w:rsidR="005E52F6" w:rsidRPr="00D332EC" w:rsidRDefault="005E52F6" w:rsidP="007854B7">
      <w:pPr>
        <w:jc w:val="both"/>
        <w:rPr>
          <w:rFonts w:ascii="Avenir Next" w:hAnsi="Avenir Next" w:cs="Arial"/>
          <w:sz w:val="22"/>
          <w:szCs w:val="22"/>
          <w:lang w:val="en-GB"/>
        </w:rPr>
      </w:pPr>
    </w:p>
    <w:p w14:paraId="0882F8D1" w14:textId="32F72798" w:rsidR="00C61397" w:rsidRPr="00D332EC" w:rsidRDefault="00C61397" w:rsidP="00B83193">
      <w:pPr>
        <w:jc w:val="both"/>
        <w:rPr>
          <w:rFonts w:ascii="Avenir Next" w:hAnsi="Avenir Next" w:cs="Arial"/>
          <w:b/>
          <w:bCs/>
          <w:sz w:val="22"/>
          <w:szCs w:val="22"/>
          <w:lang w:val="en-GB"/>
        </w:rPr>
      </w:pPr>
      <w:r w:rsidRPr="00D332EC">
        <w:rPr>
          <w:rFonts w:ascii="Avenir Next" w:hAnsi="Avenir Next" w:cs="Arial"/>
          <w:b/>
          <w:bCs/>
          <w:sz w:val="22"/>
          <w:szCs w:val="22"/>
          <w:lang w:val="en-GB"/>
        </w:rPr>
        <w:t>Safeguard Proceedings:</w:t>
      </w:r>
    </w:p>
    <w:p w14:paraId="239024F9" w14:textId="77777777" w:rsidR="00C61397" w:rsidRPr="00D332EC" w:rsidRDefault="00C61397" w:rsidP="00B83193">
      <w:pPr>
        <w:jc w:val="both"/>
        <w:rPr>
          <w:rFonts w:ascii="Avenir Next" w:hAnsi="Avenir Next" w:cs="Arial"/>
          <w:sz w:val="22"/>
          <w:szCs w:val="22"/>
          <w:lang w:val="en-GB"/>
        </w:rPr>
      </w:pPr>
    </w:p>
    <w:p w14:paraId="5C9656F6" w14:textId="77777777" w:rsidR="00CB365E" w:rsidRPr="00D332EC" w:rsidRDefault="00C61397" w:rsidP="00B83193">
      <w:pPr>
        <w:jc w:val="both"/>
        <w:rPr>
          <w:rFonts w:ascii="Avenir Next" w:hAnsi="Avenir Next" w:cs="Arial"/>
          <w:sz w:val="22"/>
          <w:szCs w:val="22"/>
          <w:lang w:val="en-GB"/>
        </w:rPr>
      </w:pPr>
      <w:r w:rsidRPr="00D332EC">
        <w:rPr>
          <w:rFonts w:ascii="Avenir Next" w:hAnsi="Avenir Next" w:cs="Arial"/>
          <w:b/>
          <w:bCs/>
          <w:sz w:val="22"/>
          <w:szCs w:val="22"/>
          <w:lang w:val="en-GB"/>
        </w:rPr>
        <w:t>French Safeguard Proceedings:</w:t>
      </w:r>
      <w:r w:rsidRPr="00D332EC">
        <w:rPr>
          <w:rFonts w:ascii="Avenir Next" w:hAnsi="Avenir Next" w:cs="Arial"/>
          <w:sz w:val="22"/>
          <w:szCs w:val="22"/>
          <w:lang w:val="en-GB"/>
        </w:rPr>
        <w:t xml:space="preserve"> </w:t>
      </w:r>
      <w:r w:rsidR="00CB365E" w:rsidRPr="00D332EC">
        <w:rPr>
          <w:rFonts w:ascii="Avenir Next" w:hAnsi="Avenir Next" w:cs="Arial"/>
          <w:sz w:val="22"/>
          <w:szCs w:val="22"/>
          <w:lang w:val="en-GB"/>
        </w:rPr>
        <w:t>The French procedure of "procédure de sauvegarde" is intended to help financially troubled enterprises restructure and carry on with their operations. The goals of these procedures are to keep the debtor's business operating, keep their jobs, and pay off their debts.</w:t>
      </w:r>
    </w:p>
    <w:p w14:paraId="1C5174B4" w14:textId="68A6A6C1" w:rsidR="00C61397" w:rsidRPr="00D332EC" w:rsidRDefault="00C61397" w:rsidP="00B83193">
      <w:pPr>
        <w:jc w:val="both"/>
        <w:rPr>
          <w:rFonts w:ascii="Avenir Next" w:hAnsi="Avenir Next" w:cs="Arial"/>
          <w:sz w:val="22"/>
          <w:szCs w:val="22"/>
          <w:lang w:val="en-GB"/>
        </w:rPr>
      </w:pPr>
      <w:r w:rsidRPr="00D332EC">
        <w:rPr>
          <w:rFonts w:ascii="Avenir Next" w:hAnsi="Avenir Next" w:cs="Arial"/>
          <w:b/>
          <w:bCs/>
          <w:sz w:val="22"/>
          <w:szCs w:val="22"/>
          <w:lang w:val="en-GB"/>
        </w:rPr>
        <w:t>Inclusion in Annex A:</w:t>
      </w:r>
      <w:r w:rsidRPr="00D332EC">
        <w:rPr>
          <w:rFonts w:ascii="Avenir Next" w:hAnsi="Avenir Next" w:cs="Arial"/>
          <w:sz w:val="22"/>
          <w:szCs w:val="22"/>
          <w:lang w:val="en-GB"/>
        </w:rPr>
        <w:t xml:space="preserve"> </w:t>
      </w:r>
      <w:r w:rsidR="00E70B04" w:rsidRPr="00D332EC">
        <w:rPr>
          <w:rFonts w:ascii="Avenir Next" w:hAnsi="Avenir Next" w:cs="Arial"/>
          <w:sz w:val="22"/>
          <w:szCs w:val="22"/>
          <w:lang w:val="en-GB"/>
        </w:rPr>
        <w:t>Annex A of the EIR 2000 does, in fact, contain the safeguard proceedings. As a result, they are regarded as insolvency procedures for the purposes of EIR 2000.</w:t>
      </w:r>
    </w:p>
    <w:p w14:paraId="28B5804A" w14:textId="77777777" w:rsidR="003810EF" w:rsidRPr="00D332EC" w:rsidRDefault="003810EF" w:rsidP="00B83193">
      <w:pPr>
        <w:jc w:val="both"/>
        <w:rPr>
          <w:rFonts w:ascii="Avenir Next" w:hAnsi="Avenir Next" w:cs="Arial"/>
          <w:sz w:val="22"/>
          <w:szCs w:val="22"/>
          <w:lang w:val="en-GB"/>
        </w:rPr>
      </w:pPr>
    </w:p>
    <w:p w14:paraId="7BF6EB3D" w14:textId="49BE6856" w:rsidR="00C61397" w:rsidRPr="00D332EC" w:rsidRDefault="00C61397" w:rsidP="00B83193">
      <w:pPr>
        <w:jc w:val="both"/>
        <w:rPr>
          <w:rFonts w:ascii="Avenir Next" w:hAnsi="Avenir Next" w:cs="Arial"/>
          <w:b/>
          <w:bCs/>
          <w:sz w:val="22"/>
          <w:szCs w:val="22"/>
          <w:lang w:val="en-GB"/>
        </w:rPr>
      </w:pPr>
      <w:r w:rsidRPr="00D332EC">
        <w:rPr>
          <w:rFonts w:ascii="Avenir Next" w:hAnsi="Avenir Next" w:cs="Arial"/>
          <w:b/>
          <w:bCs/>
          <w:sz w:val="22"/>
          <w:szCs w:val="22"/>
          <w:lang w:val="en-GB"/>
        </w:rPr>
        <w:t>Jurisdiction under the EIR 2000</w:t>
      </w:r>
    </w:p>
    <w:p w14:paraId="2F460AD8" w14:textId="6EFDE027" w:rsidR="00C61397" w:rsidRPr="00D332EC" w:rsidRDefault="00A74605" w:rsidP="00B83193">
      <w:pPr>
        <w:jc w:val="both"/>
        <w:rPr>
          <w:rFonts w:ascii="Avenir Next" w:hAnsi="Avenir Next" w:cs="Arial"/>
          <w:sz w:val="22"/>
          <w:szCs w:val="22"/>
          <w:lang w:val="en-GB"/>
        </w:rPr>
      </w:pPr>
      <w:r w:rsidRPr="00D332EC">
        <w:rPr>
          <w:rFonts w:ascii="Avenir Next" w:hAnsi="Avenir Next" w:cs="Arial"/>
          <w:sz w:val="22"/>
          <w:szCs w:val="22"/>
          <w:lang w:val="en-GB"/>
        </w:rPr>
        <w:t>The next stage is to ascertain whether Dinosaurus SARL's insolvency can be filed with the Commercial Court in Le Mans, France.</w:t>
      </w:r>
      <w:r w:rsidR="006402CC" w:rsidRPr="00D332EC">
        <w:rPr>
          <w:rFonts w:ascii="Avenir Next" w:hAnsi="Avenir Next" w:cs="Arial"/>
          <w:sz w:val="22"/>
          <w:szCs w:val="22"/>
          <w:lang w:val="en-GB"/>
        </w:rPr>
        <w:t xml:space="preserve"> </w:t>
      </w:r>
    </w:p>
    <w:p w14:paraId="2D1AC70D" w14:textId="77777777" w:rsidR="00C61397" w:rsidRPr="00D332EC" w:rsidRDefault="00C61397" w:rsidP="00B83193">
      <w:pPr>
        <w:jc w:val="both"/>
        <w:rPr>
          <w:rFonts w:ascii="Avenir Next" w:hAnsi="Avenir Next" w:cs="Arial"/>
          <w:b/>
          <w:bCs/>
          <w:sz w:val="22"/>
          <w:szCs w:val="22"/>
          <w:lang w:val="en-GB"/>
        </w:rPr>
      </w:pPr>
      <w:r w:rsidRPr="00D332EC">
        <w:rPr>
          <w:rFonts w:ascii="Avenir Next" w:hAnsi="Avenir Next" w:cs="Arial"/>
          <w:b/>
          <w:bCs/>
          <w:sz w:val="22"/>
          <w:szCs w:val="22"/>
          <w:lang w:val="en-GB"/>
        </w:rPr>
        <w:t>Centre of Main Interests (COMI):</w:t>
      </w:r>
    </w:p>
    <w:p w14:paraId="77531B9B" w14:textId="77777777" w:rsidR="00C61397" w:rsidRPr="00D332EC" w:rsidRDefault="00C61397" w:rsidP="00B83193">
      <w:pPr>
        <w:jc w:val="both"/>
        <w:rPr>
          <w:rFonts w:ascii="Avenir Next" w:hAnsi="Avenir Next" w:cs="Arial"/>
          <w:sz w:val="22"/>
          <w:szCs w:val="22"/>
          <w:lang w:val="en-GB"/>
        </w:rPr>
      </w:pPr>
    </w:p>
    <w:p w14:paraId="4A56FA00" w14:textId="67C88038" w:rsidR="00C61397" w:rsidRPr="00D332EC" w:rsidRDefault="00C61397" w:rsidP="00B83193">
      <w:pPr>
        <w:jc w:val="both"/>
        <w:rPr>
          <w:rFonts w:ascii="Avenir Next" w:hAnsi="Avenir Next" w:cs="Arial"/>
          <w:sz w:val="22"/>
          <w:szCs w:val="22"/>
          <w:lang w:val="en-GB"/>
        </w:rPr>
      </w:pPr>
      <w:r w:rsidRPr="00D332EC">
        <w:rPr>
          <w:rFonts w:ascii="Avenir Next" w:hAnsi="Avenir Next" w:cs="Arial"/>
          <w:sz w:val="22"/>
          <w:szCs w:val="22"/>
          <w:lang w:val="en-GB"/>
        </w:rPr>
        <w:t xml:space="preserve">According to Article 3(1) of the EIR 2000, the courts of the Member State where the debtor's COMI is </w:t>
      </w:r>
      <w:r w:rsidR="00BC4AA6" w:rsidRPr="00D332EC">
        <w:rPr>
          <w:rFonts w:ascii="Avenir Next" w:hAnsi="Avenir Next" w:cs="Arial"/>
          <w:sz w:val="22"/>
          <w:szCs w:val="22"/>
          <w:lang w:val="en-GB"/>
        </w:rPr>
        <w:t>located</w:t>
      </w:r>
      <w:r w:rsidRPr="00D332EC">
        <w:rPr>
          <w:rFonts w:ascii="Avenir Next" w:hAnsi="Avenir Next" w:cs="Arial"/>
          <w:sz w:val="22"/>
          <w:szCs w:val="22"/>
          <w:lang w:val="en-GB"/>
        </w:rPr>
        <w:t xml:space="preserve"> have jurisdiction to </w:t>
      </w:r>
      <w:r w:rsidR="00BC4AA6" w:rsidRPr="00D332EC">
        <w:rPr>
          <w:rFonts w:ascii="Avenir Next" w:hAnsi="Avenir Next" w:cs="Arial"/>
          <w:sz w:val="22"/>
          <w:szCs w:val="22"/>
          <w:lang w:val="en-GB"/>
        </w:rPr>
        <w:t>begin</w:t>
      </w:r>
      <w:r w:rsidRPr="00D332EC">
        <w:rPr>
          <w:rFonts w:ascii="Avenir Next" w:hAnsi="Avenir Next" w:cs="Arial"/>
          <w:sz w:val="22"/>
          <w:szCs w:val="22"/>
          <w:lang w:val="en-GB"/>
        </w:rPr>
        <w:t xml:space="preserve"> main insolvency proceedings.</w:t>
      </w:r>
    </w:p>
    <w:p w14:paraId="05C1B309" w14:textId="394E7725" w:rsidR="00C61397" w:rsidRPr="00D332EC" w:rsidRDefault="00C61397" w:rsidP="00B83193">
      <w:pPr>
        <w:jc w:val="both"/>
        <w:rPr>
          <w:rFonts w:ascii="Avenir Next" w:hAnsi="Avenir Next" w:cs="Arial"/>
          <w:sz w:val="22"/>
          <w:szCs w:val="22"/>
          <w:lang w:val="en-GB"/>
        </w:rPr>
      </w:pPr>
      <w:r w:rsidRPr="00D332EC">
        <w:rPr>
          <w:rFonts w:ascii="Avenir Next" w:hAnsi="Avenir Next" w:cs="Arial"/>
          <w:sz w:val="22"/>
          <w:szCs w:val="22"/>
          <w:lang w:val="en-GB"/>
        </w:rPr>
        <w:t xml:space="preserve">The COMI is </w:t>
      </w:r>
      <w:r w:rsidR="009F774E" w:rsidRPr="00D332EC">
        <w:rPr>
          <w:rFonts w:ascii="Avenir Next" w:hAnsi="Avenir Next" w:cs="Arial"/>
          <w:sz w:val="22"/>
          <w:szCs w:val="22"/>
          <w:lang w:val="en-GB"/>
        </w:rPr>
        <w:t>deemed</w:t>
      </w:r>
      <w:r w:rsidRPr="00D332EC">
        <w:rPr>
          <w:rFonts w:ascii="Avenir Next" w:hAnsi="Avenir Next" w:cs="Arial"/>
          <w:sz w:val="22"/>
          <w:szCs w:val="22"/>
          <w:lang w:val="en-GB"/>
        </w:rPr>
        <w:t xml:space="preserve"> to be the </w:t>
      </w:r>
      <w:r w:rsidR="009F774E" w:rsidRPr="00D332EC">
        <w:rPr>
          <w:rFonts w:ascii="Avenir Next" w:hAnsi="Avenir Next" w:cs="Arial"/>
          <w:sz w:val="22"/>
          <w:szCs w:val="22"/>
          <w:lang w:val="en-GB"/>
        </w:rPr>
        <w:t>location</w:t>
      </w:r>
      <w:r w:rsidRPr="00D332EC">
        <w:rPr>
          <w:rFonts w:ascii="Avenir Next" w:hAnsi="Avenir Next" w:cs="Arial"/>
          <w:sz w:val="22"/>
          <w:szCs w:val="22"/>
          <w:lang w:val="en-GB"/>
        </w:rPr>
        <w:t xml:space="preserve"> of the debtor's registered office in the absence of proof to the </w:t>
      </w:r>
      <w:r w:rsidR="00374E64" w:rsidRPr="00D332EC">
        <w:rPr>
          <w:rFonts w:ascii="Avenir Next" w:hAnsi="Avenir Next" w:cs="Arial"/>
          <w:sz w:val="22"/>
          <w:szCs w:val="22"/>
          <w:lang w:val="en-GB"/>
        </w:rPr>
        <w:t>unparallel</w:t>
      </w:r>
      <w:r w:rsidRPr="00D332EC">
        <w:rPr>
          <w:rFonts w:ascii="Avenir Next" w:hAnsi="Avenir Next" w:cs="Arial"/>
          <w:sz w:val="22"/>
          <w:szCs w:val="22"/>
          <w:lang w:val="en-GB"/>
        </w:rPr>
        <w:t xml:space="preserve">. However, this presumption can be rebutted if the COMI is located </w:t>
      </w:r>
      <w:r w:rsidR="00C01617" w:rsidRPr="00D332EC">
        <w:rPr>
          <w:rFonts w:ascii="Avenir Next" w:hAnsi="Avenir Next" w:cs="Arial"/>
          <w:sz w:val="22"/>
          <w:szCs w:val="22"/>
          <w:lang w:val="en-GB"/>
        </w:rPr>
        <w:t xml:space="preserve">somewhere </w:t>
      </w:r>
      <w:r w:rsidRPr="00D332EC">
        <w:rPr>
          <w:rFonts w:ascii="Avenir Next" w:hAnsi="Avenir Next" w:cs="Arial"/>
          <w:sz w:val="22"/>
          <w:szCs w:val="22"/>
          <w:lang w:val="en-GB"/>
        </w:rPr>
        <w:t xml:space="preserve">and is </w:t>
      </w:r>
      <w:r w:rsidR="00C01617" w:rsidRPr="00D332EC">
        <w:rPr>
          <w:rFonts w:ascii="Avenir Next" w:hAnsi="Avenir Next" w:cs="Arial"/>
          <w:sz w:val="22"/>
          <w:szCs w:val="22"/>
          <w:lang w:val="en-GB"/>
        </w:rPr>
        <w:t>accessible</w:t>
      </w:r>
      <w:r w:rsidRPr="00D332EC">
        <w:rPr>
          <w:rFonts w:ascii="Avenir Next" w:hAnsi="Avenir Next" w:cs="Arial"/>
          <w:sz w:val="22"/>
          <w:szCs w:val="22"/>
          <w:lang w:val="en-GB"/>
        </w:rPr>
        <w:t xml:space="preserve"> </w:t>
      </w:r>
      <w:r w:rsidR="003C26C3" w:rsidRPr="00D332EC">
        <w:rPr>
          <w:rFonts w:ascii="Avenir Next" w:hAnsi="Avenir Next" w:cs="Arial"/>
          <w:sz w:val="22"/>
          <w:szCs w:val="22"/>
          <w:lang w:val="en-GB"/>
        </w:rPr>
        <w:t>to outside</w:t>
      </w:r>
      <w:r w:rsidRPr="00D332EC">
        <w:rPr>
          <w:rFonts w:ascii="Avenir Next" w:hAnsi="Avenir Next" w:cs="Arial"/>
          <w:sz w:val="22"/>
          <w:szCs w:val="22"/>
          <w:lang w:val="en-GB"/>
        </w:rPr>
        <w:t xml:space="preserve"> parties.</w:t>
      </w:r>
    </w:p>
    <w:p w14:paraId="52E4EA23" w14:textId="77777777" w:rsidR="00C61397" w:rsidRPr="00D332EC" w:rsidRDefault="00C61397" w:rsidP="00B83193">
      <w:pPr>
        <w:jc w:val="both"/>
        <w:rPr>
          <w:rFonts w:ascii="Avenir Next" w:hAnsi="Avenir Next" w:cs="Arial"/>
          <w:sz w:val="22"/>
          <w:szCs w:val="22"/>
          <w:lang w:val="en-GB"/>
        </w:rPr>
      </w:pPr>
    </w:p>
    <w:p w14:paraId="72FE1C5C" w14:textId="4E028CEB" w:rsidR="00C61397" w:rsidRPr="00D332EC" w:rsidRDefault="00C61397" w:rsidP="00B83193">
      <w:pPr>
        <w:jc w:val="both"/>
        <w:rPr>
          <w:rFonts w:ascii="Avenir Next" w:hAnsi="Avenir Next" w:cs="Arial"/>
          <w:b/>
          <w:bCs/>
          <w:sz w:val="22"/>
          <w:szCs w:val="22"/>
          <w:lang w:val="en-GB"/>
        </w:rPr>
      </w:pPr>
      <w:r w:rsidRPr="00D332EC">
        <w:rPr>
          <w:rFonts w:ascii="Avenir Next" w:hAnsi="Avenir Next" w:cs="Arial"/>
          <w:b/>
          <w:bCs/>
          <w:sz w:val="22"/>
          <w:szCs w:val="22"/>
          <w:lang w:val="en-GB"/>
        </w:rPr>
        <w:t>CJEU Jurisprudence:</w:t>
      </w:r>
    </w:p>
    <w:p w14:paraId="1992E930" w14:textId="77777777" w:rsidR="00C61397" w:rsidRPr="00D332EC" w:rsidRDefault="00C61397" w:rsidP="00B83193">
      <w:pPr>
        <w:jc w:val="both"/>
        <w:rPr>
          <w:rFonts w:ascii="Avenir Next" w:hAnsi="Avenir Next" w:cs="Arial"/>
          <w:sz w:val="22"/>
          <w:szCs w:val="22"/>
          <w:lang w:val="en-GB"/>
        </w:rPr>
      </w:pPr>
    </w:p>
    <w:p w14:paraId="3408A257" w14:textId="371A1FF3" w:rsidR="00C61397" w:rsidRPr="00D332EC" w:rsidRDefault="00C61397" w:rsidP="00B83193">
      <w:pPr>
        <w:jc w:val="both"/>
        <w:rPr>
          <w:rFonts w:ascii="Avenir Next" w:hAnsi="Avenir Next" w:cs="Arial"/>
          <w:sz w:val="22"/>
          <w:szCs w:val="22"/>
          <w:lang w:val="en-GB"/>
        </w:rPr>
      </w:pPr>
      <w:r w:rsidRPr="00D332EC">
        <w:rPr>
          <w:rFonts w:ascii="Avenir Next" w:hAnsi="Avenir Next" w:cs="Arial"/>
          <w:b/>
          <w:bCs/>
          <w:sz w:val="22"/>
          <w:szCs w:val="22"/>
          <w:lang w:val="en-GB"/>
        </w:rPr>
        <w:t>Eurofood IFSC Ltd (C-341/04):</w:t>
      </w:r>
      <w:r w:rsidRPr="00D332EC">
        <w:rPr>
          <w:rFonts w:ascii="Avenir Next" w:hAnsi="Avenir Next" w:cs="Arial"/>
          <w:sz w:val="22"/>
          <w:szCs w:val="22"/>
          <w:lang w:val="en-GB"/>
        </w:rPr>
        <w:t xml:space="preserve"> This case </w:t>
      </w:r>
      <w:r w:rsidR="00B41706" w:rsidRPr="00D332EC">
        <w:rPr>
          <w:rFonts w:ascii="Avenir Next" w:hAnsi="Avenir Next" w:cs="Arial"/>
          <w:sz w:val="22"/>
          <w:szCs w:val="22"/>
          <w:lang w:val="en-GB"/>
        </w:rPr>
        <w:t>discovered</w:t>
      </w:r>
      <w:r w:rsidRPr="00D332EC">
        <w:rPr>
          <w:rFonts w:ascii="Avenir Next" w:hAnsi="Avenir Next" w:cs="Arial"/>
          <w:sz w:val="22"/>
          <w:szCs w:val="22"/>
          <w:lang w:val="en-GB"/>
        </w:rPr>
        <w:t xml:space="preserve"> that the COMI should be where the debtor </w:t>
      </w:r>
      <w:r w:rsidR="00B1745F" w:rsidRPr="00D332EC">
        <w:rPr>
          <w:rFonts w:ascii="Avenir Next" w:hAnsi="Avenir Next" w:cs="Arial"/>
          <w:sz w:val="22"/>
          <w:szCs w:val="22"/>
          <w:lang w:val="en-GB"/>
        </w:rPr>
        <w:t>proceeds</w:t>
      </w:r>
      <w:r w:rsidRPr="00D332EC">
        <w:rPr>
          <w:rFonts w:ascii="Avenir Next" w:hAnsi="Avenir Next" w:cs="Arial"/>
          <w:sz w:val="22"/>
          <w:szCs w:val="22"/>
          <w:lang w:val="en-GB"/>
        </w:rPr>
        <w:t xml:space="preserve"> the administration of its interests on </w:t>
      </w:r>
      <w:r w:rsidR="00B3130C" w:rsidRPr="00D332EC">
        <w:rPr>
          <w:rFonts w:ascii="Avenir Next" w:hAnsi="Avenir Next" w:cs="Arial"/>
          <w:sz w:val="22"/>
          <w:szCs w:val="22"/>
          <w:lang w:val="en-GB"/>
        </w:rPr>
        <w:t>a continuous</w:t>
      </w:r>
      <w:r w:rsidRPr="00D332EC">
        <w:rPr>
          <w:rFonts w:ascii="Avenir Next" w:hAnsi="Avenir Next" w:cs="Arial"/>
          <w:sz w:val="22"/>
          <w:szCs w:val="22"/>
          <w:lang w:val="en-GB"/>
        </w:rPr>
        <w:t xml:space="preserve"> basis and that is </w:t>
      </w:r>
      <w:r w:rsidR="00B3130C" w:rsidRPr="00D332EC">
        <w:rPr>
          <w:rFonts w:ascii="Avenir Next" w:hAnsi="Avenir Next" w:cs="Arial"/>
          <w:sz w:val="22"/>
          <w:szCs w:val="22"/>
          <w:lang w:val="en-GB"/>
        </w:rPr>
        <w:t>verifiable</w:t>
      </w:r>
      <w:r w:rsidRPr="00D332EC">
        <w:rPr>
          <w:rFonts w:ascii="Avenir Next" w:hAnsi="Avenir Next" w:cs="Arial"/>
          <w:sz w:val="22"/>
          <w:szCs w:val="22"/>
          <w:lang w:val="en-GB"/>
        </w:rPr>
        <w:t xml:space="preserve"> by third parties. The court emphasized the </w:t>
      </w:r>
      <w:r w:rsidR="00B3130C" w:rsidRPr="00D332EC">
        <w:rPr>
          <w:rFonts w:ascii="Avenir Next" w:hAnsi="Avenir Next" w:cs="Arial"/>
          <w:sz w:val="22"/>
          <w:szCs w:val="22"/>
          <w:lang w:val="en-GB"/>
        </w:rPr>
        <w:t>significance</w:t>
      </w:r>
      <w:r w:rsidRPr="00D332EC">
        <w:rPr>
          <w:rFonts w:ascii="Avenir Next" w:hAnsi="Avenir Next" w:cs="Arial"/>
          <w:sz w:val="22"/>
          <w:szCs w:val="22"/>
          <w:lang w:val="en-GB"/>
        </w:rPr>
        <w:t xml:space="preserve"> of third-party perception in </w:t>
      </w:r>
      <w:r w:rsidR="00B3130C" w:rsidRPr="00D332EC">
        <w:rPr>
          <w:rFonts w:ascii="Avenir Next" w:hAnsi="Avenir Next" w:cs="Arial"/>
          <w:sz w:val="22"/>
          <w:szCs w:val="22"/>
          <w:lang w:val="en-GB"/>
        </w:rPr>
        <w:t>establishing</w:t>
      </w:r>
      <w:r w:rsidRPr="00D332EC">
        <w:rPr>
          <w:rFonts w:ascii="Avenir Next" w:hAnsi="Avenir Next" w:cs="Arial"/>
          <w:sz w:val="22"/>
          <w:szCs w:val="22"/>
          <w:lang w:val="en-GB"/>
        </w:rPr>
        <w:t xml:space="preserve"> COMI.</w:t>
      </w:r>
    </w:p>
    <w:p w14:paraId="4A48BD85" w14:textId="4D1C8E07" w:rsidR="00C61397" w:rsidRPr="00D332EC" w:rsidRDefault="00C61397" w:rsidP="00B83193">
      <w:pPr>
        <w:jc w:val="both"/>
        <w:rPr>
          <w:rFonts w:ascii="Avenir Next" w:hAnsi="Avenir Next" w:cs="Arial"/>
          <w:sz w:val="22"/>
          <w:szCs w:val="22"/>
          <w:lang w:val="en-GB"/>
        </w:rPr>
      </w:pPr>
      <w:r w:rsidRPr="00D332EC">
        <w:rPr>
          <w:rFonts w:ascii="Avenir Next" w:hAnsi="Avenir Next" w:cs="Arial"/>
          <w:b/>
          <w:bCs/>
          <w:sz w:val="22"/>
          <w:szCs w:val="22"/>
          <w:lang w:val="en-GB"/>
        </w:rPr>
        <w:lastRenderedPageBreak/>
        <w:t>Interedil Srl (in liquidation) v. Fallimento Interedil Srl and Intesa Gestione Crediti SpA (C-396/09):</w:t>
      </w:r>
      <w:r w:rsidRPr="00D332EC">
        <w:rPr>
          <w:rFonts w:ascii="Avenir Next" w:hAnsi="Avenir Next" w:cs="Arial"/>
          <w:sz w:val="22"/>
          <w:szCs w:val="22"/>
          <w:lang w:val="en-GB"/>
        </w:rPr>
        <w:t xml:space="preserve"> This case </w:t>
      </w:r>
      <w:r w:rsidR="00EB161C" w:rsidRPr="00D332EC">
        <w:rPr>
          <w:rFonts w:ascii="Avenir Next" w:hAnsi="Avenir Next" w:cs="Arial"/>
          <w:sz w:val="22"/>
          <w:szCs w:val="22"/>
          <w:lang w:val="en-GB"/>
        </w:rPr>
        <w:t>highlighted</w:t>
      </w:r>
      <w:r w:rsidRPr="00D332EC">
        <w:rPr>
          <w:rFonts w:ascii="Avenir Next" w:hAnsi="Avenir Next" w:cs="Arial"/>
          <w:sz w:val="22"/>
          <w:szCs w:val="22"/>
          <w:lang w:val="en-GB"/>
        </w:rPr>
        <w:t xml:space="preserve"> that the COMI is where the debtor's central administration be ascertainable by third parties. The court highlighted factors such as the location of the debtor's headquarters, management </w:t>
      </w:r>
      <w:r w:rsidR="004D3F7E" w:rsidRPr="00D332EC">
        <w:rPr>
          <w:rFonts w:ascii="Avenir Next" w:hAnsi="Avenir Next" w:cs="Arial"/>
          <w:sz w:val="22"/>
          <w:szCs w:val="22"/>
          <w:lang w:val="en-GB"/>
        </w:rPr>
        <w:t>choice</w:t>
      </w:r>
      <w:r w:rsidRPr="00D332EC">
        <w:rPr>
          <w:rFonts w:ascii="Avenir Next" w:hAnsi="Avenir Next" w:cs="Arial"/>
          <w:sz w:val="22"/>
          <w:szCs w:val="22"/>
          <w:lang w:val="en-GB"/>
        </w:rPr>
        <w:t xml:space="preserve">s, and </w:t>
      </w:r>
      <w:r w:rsidR="00D26AE0" w:rsidRPr="00D332EC">
        <w:rPr>
          <w:rFonts w:ascii="Avenir Next" w:hAnsi="Avenir Next" w:cs="Arial"/>
          <w:sz w:val="22"/>
          <w:szCs w:val="22"/>
          <w:lang w:val="en-GB"/>
        </w:rPr>
        <w:t>main business operations were among the elements that the court emphasized</w:t>
      </w:r>
      <w:r w:rsidRPr="00D332EC">
        <w:rPr>
          <w:rFonts w:ascii="Avenir Next" w:hAnsi="Avenir Next" w:cs="Arial"/>
          <w:sz w:val="22"/>
          <w:szCs w:val="22"/>
          <w:lang w:val="en-GB"/>
        </w:rPr>
        <w:t>.</w:t>
      </w:r>
    </w:p>
    <w:p w14:paraId="7D1136EA" w14:textId="77777777" w:rsidR="00C61397" w:rsidRPr="00D332EC" w:rsidRDefault="00C61397" w:rsidP="00B83193">
      <w:pPr>
        <w:jc w:val="both"/>
        <w:rPr>
          <w:rFonts w:ascii="Avenir Next" w:hAnsi="Avenir Next" w:cs="Arial"/>
          <w:sz w:val="22"/>
          <w:szCs w:val="22"/>
          <w:lang w:val="en-GB"/>
        </w:rPr>
      </w:pPr>
    </w:p>
    <w:p w14:paraId="5D0C6EAB" w14:textId="1874A59F" w:rsidR="00C61397" w:rsidRPr="00D332EC" w:rsidRDefault="00C61397" w:rsidP="00B83193">
      <w:pPr>
        <w:jc w:val="both"/>
        <w:rPr>
          <w:rFonts w:ascii="Avenir Next" w:hAnsi="Avenir Next" w:cs="Arial"/>
          <w:b/>
          <w:bCs/>
          <w:sz w:val="22"/>
          <w:szCs w:val="22"/>
          <w:lang w:val="en-GB"/>
        </w:rPr>
      </w:pPr>
      <w:r w:rsidRPr="00D332EC">
        <w:rPr>
          <w:rFonts w:ascii="Avenir Next" w:hAnsi="Avenir Next" w:cs="Arial"/>
          <w:b/>
          <w:bCs/>
          <w:sz w:val="22"/>
          <w:szCs w:val="22"/>
          <w:lang w:val="en-GB"/>
        </w:rPr>
        <w:t>Application to Dinosaurus SARL</w:t>
      </w:r>
    </w:p>
    <w:p w14:paraId="5D22DF45" w14:textId="205AF8ED" w:rsidR="00C61397" w:rsidRPr="00D332EC" w:rsidRDefault="00C61397" w:rsidP="00B83193">
      <w:pPr>
        <w:jc w:val="both"/>
        <w:rPr>
          <w:rFonts w:ascii="Avenir Next" w:hAnsi="Avenir Next" w:cs="Arial"/>
          <w:b/>
          <w:bCs/>
          <w:sz w:val="22"/>
          <w:szCs w:val="22"/>
          <w:lang w:val="en-GB"/>
        </w:rPr>
      </w:pPr>
      <w:r w:rsidRPr="00D332EC">
        <w:rPr>
          <w:rFonts w:ascii="Avenir Next" w:hAnsi="Avenir Next" w:cs="Arial"/>
          <w:b/>
          <w:bCs/>
          <w:sz w:val="22"/>
          <w:szCs w:val="22"/>
          <w:lang w:val="en-GB"/>
        </w:rPr>
        <w:t>Given the facts:</w:t>
      </w:r>
    </w:p>
    <w:p w14:paraId="1DDC4F08" w14:textId="77777777" w:rsidR="00C61397" w:rsidRPr="00D332EC" w:rsidRDefault="00C61397" w:rsidP="00B83193">
      <w:pPr>
        <w:jc w:val="both"/>
        <w:rPr>
          <w:rFonts w:ascii="Avenir Next" w:hAnsi="Avenir Next" w:cs="Arial"/>
          <w:sz w:val="22"/>
          <w:szCs w:val="22"/>
          <w:lang w:val="en-GB"/>
        </w:rPr>
      </w:pPr>
    </w:p>
    <w:p w14:paraId="27D0AE24" w14:textId="1F75BE04" w:rsidR="00C61397" w:rsidRPr="00D332EC" w:rsidRDefault="00C61397" w:rsidP="00B83193">
      <w:pPr>
        <w:jc w:val="both"/>
        <w:rPr>
          <w:rFonts w:ascii="Avenir Next" w:hAnsi="Avenir Next" w:cs="Arial"/>
          <w:sz w:val="22"/>
          <w:szCs w:val="22"/>
          <w:lang w:val="en-GB"/>
        </w:rPr>
      </w:pPr>
      <w:r w:rsidRPr="00D332EC">
        <w:rPr>
          <w:rFonts w:ascii="Avenir Next" w:hAnsi="Avenir Next" w:cs="Arial"/>
          <w:b/>
          <w:bCs/>
          <w:sz w:val="22"/>
          <w:szCs w:val="22"/>
          <w:lang w:val="en-GB"/>
        </w:rPr>
        <w:t>Registered Office and Main Operations:</w:t>
      </w:r>
      <w:r w:rsidRPr="00D332EC">
        <w:rPr>
          <w:rFonts w:ascii="Avenir Next" w:hAnsi="Avenir Next" w:cs="Arial"/>
          <w:sz w:val="22"/>
          <w:szCs w:val="22"/>
          <w:lang w:val="en-GB"/>
        </w:rPr>
        <w:t xml:space="preserve"> Dinosaurus SARL is incorporated in France, with its main administrative </w:t>
      </w:r>
      <w:r w:rsidR="00673FAC" w:rsidRPr="00D332EC">
        <w:rPr>
          <w:rFonts w:ascii="Avenir Next" w:hAnsi="Avenir Next" w:cs="Arial"/>
          <w:sz w:val="22"/>
          <w:szCs w:val="22"/>
          <w:lang w:val="en-GB"/>
        </w:rPr>
        <w:t>operations</w:t>
      </w:r>
      <w:r w:rsidRPr="00D332EC">
        <w:rPr>
          <w:rFonts w:ascii="Avenir Next" w:hAnsi="Avenir Next" w:cs="Arial"/>
          <w:sz w:val="22"/>
          <w:szCs w:val="22"/>
          <w:lang w:val="en-GB"/>
        </w:rPr>
        <w:t xml:space="preserve">, the </w:t>
      </w:r>
      <w:r w:rsidR="00CB641E" w:rsidRPr="00D332EC">
        <w:rPr>
          <w:rFonts w:ascii="Avenir Next" w:hAnsi="Avenir Next" w:cs="Arial"/>
          <w:sz w:val="22"/>
          <w:szCs w:val="22"/>
          <w:lang w:val="en-GB"/>
        </w:rPr>
        <w:t>bulk</w:t>
      </w:r>
      <w:r w:rsidRPr="00D332EC">
        <w:rPr>
          <w:rFonts w:ascii="Avenir Next" w:hAnsi="Avenir Next" w:cs="Arial"/>
          <w:sz w:val="22"/>
          <w:szCs w:val="22"/>
          <w:lang w:val="en-GB"/>
        </w:rPr>
        <w:t xml:space="preserve"> of its stores, and 80% of its </w:t>
      </w:r>
      <w:r w:rsidR="00CB641E" w:rsidRPr="00D332EC">
        <w:rPr>
          <w:rFonts w:ascii="Avenir Next" w:hAnsi="Avenir Next" w:cs="Arial"/>
          <w:sz w:val="22"/>
          <w:szCs w:val="22"/>
          <w:lang w:val="en-GB"/>
        </w:rPr>
        <w:t>workforce</w:t>
      </w:r>
      <w:r w:rsidRPr="00D332EC">
        <w:rPr>
          <w:rFonts w:ascii="Avenir Next" w:hAnsi="Avenir Next" w:cs="Arial"/>
          <w:sz w:val="22"/>
          <w:szCs w:val="22"/>
          <w:lang w:val="en-GB"/>
        </w:rPr>
        <w:t xml:space="preserve"> located in France.</w:t>
      </w:r>
    </w:p>
    <w:p w14:paraId="0BB55274" w14:textId="55DEC104" w:rsidR="00C61397" w:rsidRPr="00D332EC" w:rsidRDefault="00C61397" w:rsidP="00B83193">
      <w:pPr>
        <w:jc w:val="both"/>
        <w:rPr>
          <w:rFonts w:ascii="Avenir Next" w:hAnsi="Avenir Next" w:cs="Arial"/>
          <w:sz w:val="22"/>
          <w:szCs w:val="22"/>
          <w:lang w:val="en-GB"/>
        </w:rPr>
      </w:pPr>
      <w:r w:rsidRPr="00D332EC">
        <w:rPr>
          <w:rFonts w:ascii="Avenir Next" w:hAnsi="Avenir Next" w:cs="Arial"/>
          <w:b/>
          <w:bCs/>
          <w:sz w:val="22"/>
          <w:szCs w:val="22"/>
          <w:lang w:val="en-GB"/>
        </w:rPr>
        <w:t>Additional Operations</w:t>
      </w:r>
      <w:r w:rsidRPr="00D332EC">
        <w:rPr>
          <w:rFonts w:ascii="Avenir Next" w:hAnsi="Avenir Next" w:cs="Arial"/>
          <w:sz w:val="22"/>
          <w:szCs w:val="22"/>
          <w:lang w:val="en-GB"/>
        </w:rPr>
        <w:t xml:space="preserve">: It also has an office in Ireland and a warehouse in Spain, but </w:t>
      </w:r>
      <w:r w:rsidR="004752E8" w:rsidRPr="00D332EC">
        <w:rPr>
          <w:rFonts w:ascii="Avenir Next" w:hAnsi="Avenir Next" w:cs="Arial"/>
          <w:sz w:val="22"/>
          <w:szCs w:val="22"/>
          <w:lang w:val="en-GB"/>
        </w:rPr>
        <w:t xml:space="preserve">it takes </w:t>
      </w:r>
      <w:r w:rsidR="00E80DD1" w:rsidRPr="00D332EC">
        <w:rPr>
          <w:rFonts w:ascii="Avenir Next" w:hAnsi="Avenir Next" w:cs="Arial"/>
          <w:sz w:val="22"/>
          <w:szCs w:val="22"/>
          <w:lang w:val="en-GB"/>
        </w:rPr>
        <w:t>precedence over those of its office</w:t>
      </w:r>
      <w:r w:rsidRPr="00D332EC">
        <w:rPr>
          <w:rFonts w:ascii="Avenir Next" w:hAnsi="Avenir Next" w:cs="Arial"/>
          <w:sz w:val="22"/>
          <w:szCs w:val="22"/>
          <w:lang w:val="en-GB"/>
        </w:rPr>
        <w:t>.</w:t>
      </w:r>
    </w:p>
    <w:p w14:paraId="4628E888" w14:textId="094ADDE2" w:rsidR="00C61397" w:rsidRPr="00D332EC" w:rsidRDefault="00C61397" w:rsidP="00B83193">
      <w:pPr>
        <w:jc w:val="both"/>
        <w:rPr>
          <w:rFonts w:ascii="Avenir Next" w:hAnsi="Avenir Next" w:cs="Arial"/>
          <w:sz w:val="22"/>
          <w:szCs w:val="22"/>
          <w:lang w:val="en-GB"/>
        </w:rPr>
      </w:pPr>
      <w:r w:rsidRPr="00D332EC">
        <w:rPr>
          <w:rFonts w:ascii="Avenir Next" w:hAnsi="Avenir Next" w:cs="Arial"/>
          <w:b/>
          <w:bCs/>
          <w:sz w:val="22"/>
          <w:szCs w:val="22"/>
          <w:lang w:val="en-GB"/>
        </w:rPr>
        <w:t>Customers:</w:t>
      </w:r>
      <w:r w:rsidRPr="00D332EC">
        <w:rPr>
          <w:rFonts w:ascii="Avenir Next" w:hAnsi="Avenir Next" w:cs="Arial"/>
          <w:sz w:val="22"/>
          <w:szCs w:val="22"/>
          <w:lang w:val="en-GB"/>
        </w:rPr>
        <w:t xml:space="preserve"> </w:t>
      </w:r>
      <w:r w:rsidR="002C618E" w:rsidRPr="00D332EC">
        <w:rPr>
          <w:rFonts w:ascii="Avenir Next" w:hAnsi="Avenir Next" w:cs="Arial"/>
          <w:sz w:val="22"/>
          <w:szCs w:val="22"/>
          <w:lang w:val="en-GB"/>
        </w:rPr>
        <w:t>The majority of clients</w:t>
      </w:r>
      <w:r w:rsidRPr="00D332EC">
        <w:rPr>
          <w:rFonts w:ascii="Avenir Next" w:hAnsi="Avenir Next" w:cs="Arial"/>
          <w:sz w:val="22"/>
          <w:szCs w:val="22"/>
          <w:lang w:val="en-GB"/>
        </w:rPr>
        <w:t xml:space="preserve"> are from France, with some online sales to the UK.</w:t>
      </w:r>
    </w:p>
    <w:p w14:paraId="2A6D92AF" w14:textId="5F6B2454" w:rsidR="00C61397" w:rsidRPr="00D332EC" w:rsidRDefault="00C61397" w:rsidP="00B83193">
      <w:pPr>
        <w:jc w:val="both"/>
        <w:rPr>
          <w:rFonts w:ascii="Avenir Next" w:hAnsi="Avenir Next" w:cs="Arial"/>
          <w:sz w:val="22"/>
          <w:szCs w:val="22"/>
          <w:lang w:val="en-GB"/>
        </w:rPr>
      </w:pPr>
      <w:r w:rsidRPr="00D332EC">
        <w:rPr>
          <w:rFonts w:ascii="Avenir Next" w:hAnsi="Avenir Next" w:cs="Arial"/>
          <w:sz w:val="22"/>
          <w:szCs w:val="22"/>
          <w:lang w:val="en-GB"/>
        </w:rPr>
        <w:t xml:space="preserve">Based on these </w:t>
      </w:r>
      <w:r w:rsidR="002C618E" w:rsidRPr="00D332EC">
        <w:rPr>
          <w:rFonts w:ascii="Avenir Next" w:hAnsi="Avenir Next" w:cs="Arial"/>
          <w:sz w:val="22"/>
          <w:szCs w:val="22"/>
          <w:lang w:val="en-GB"/>
        </w:rPr>
        <w:t>indications</w:t>
      </w:r>
      <w:r w:rsidRPr="00D332EC">
        <w:rPr>
          <w:rFonts w:ascii="Avenir Next" w:hAnsi="Avenir Next" w:cs="Arial"/>
          <w:sz w:val="22"/>
          <w:szCs w:val="22"/>
          <w:lang w:val="en-GB"/>
        </w:rPr>
        <w:t xml:space="preserve">, the COMI of Dinosaurus SARL is </w:t>
      </w:r>
      <w:r w:rsidR="003C6E31" w:rsidRPr="00D332EC">
        <w:rPr>
          <w:rFonts w:ascii="Avenir Next" w:hAnsi="Avenir Next" w:cs="Arial"/>
          <w:sz w:val="22"/>
          <w:szCs w:val="22"/>
          <w:lang w:val="en-GB"/>
        </w:rPr>
        <w:t xml:space="preserve">surely </w:t>
      </w:r>
      <w:r w:rsidRPr="00D332EC">
        <w:rPr>
          <w:rFonts w:ascii="Avenir Next" w:hAnsi="Avenir Next" w:cs="Arial"/>
          <w:sz w:val="22"/>
          <w:szCs w:val="22"/>
          <w:lang w:val="en-GB"/>
        </w:rPr>
        <w:t xml:space="preserve">in France. The company </w:t>
      </w:r>
      <w:r w:rsidR="00781F81" w:rsidRPr="00D332EC">
        <w:rPr>
          <w:rFonts w:ascii="Avenir Next" w:hAnsi="Avenir Next" w:cs="Arial"/>
          <w:sz w:val="22"/>
          <w:szCs w:val="22"/>
          <w:lang w:val="en-GB"/>
        </w:rPr>
        <w:t>manages</w:t>
      </w:r>
      <w:r w:rsidRPr="00D332EC">
        <w:rPr>
          <w:rFonts w:ascii="Avenir Next" w:hAnsi="Avenir Next" w:cs="Arial"/>
          <w:sz w:val="22"/>
          <w:szCs w:val="22"/>
          <w:lang w:val="en-GB"/>
        </w:rPr>
        <w:t xml:space="preserve"> the administration of its interests primarily in France, and this is ascertainable by third parties, in</w:t>
      </w:r>
      <w:r w:rsidR="002725A7" w:rsidRPr="00D332EC">
        <w:rPr>
          <w:rFonts w:ascii="Avenir Next" w:hAnsi="Avenir Next" w:cs="Arial"/>
          <w:sz w:val="22"/>
          <w:szCs w:val="22"/>
          <w:lang w:val="en-GB"/>
        </w:rPr>
        <w:t>volving</w:t>
      </w:r>
      <w:r w:rsidRPr="00D332EC">
        <w:rPr>
          <w:rFonts w:ascii="Avenir Next" w:hAnsi="Avenir Next" w:cs="Arial"/>
          <w:sz w:val="22"/>
          <w:szCs w:val="22"/>
          <w:lang w:val="en-GB"/>
        </w:rPr>
        <w:t xml:space="preserve"> its creditors and employees.</w:t>
      </w:r>
    </w:p>
    <w:p w14:paraId="48A0FEEB" w14:textId="77777777" w:rsidR="00C61397" w:rsidRPr="00D332EC" w:rsidRDefault="00C61397" w:rsidP="00B83193">
      <w:pPr>
        <w:jc w:val="both"/>
        <w:rPr>
          <w:rFonts w:ascii="Avenir Next" w:hAnsi="Avenir Next" w:cs="Arial"/>
          <w:sz w:val="22"/>
          <w:szCs w:val="22"/>
          <w:lang w:val="en-GB"/>
        </w:rPr>
      </w:pPr>
    </w:p>
    <w:p w14:paraId="636051D0" w14:textId="77777777" w:rsidR="00C61397" w:rsidRPr="00D332EC" w:rsidRDefault="00C61397" w:rsidP="00B83193">
      <w:pPr>
        <w:jc w:val="both"/>
        <w:rPr>
          <w:rFonts w:ascii="Avenir Next" w:hAnsi="Avenir Next" w:cs="Arial"/>
          <w:b/>
          <w:bCs/>
          <w:sz w:val="22"/>
          <w:szCs w:val="22"/>
          <w:lang w:val="en-GB"/>
        </w:rPr>
      </w:pPr>
      <w:r w:rsidRPr="00D332EC">
        <w:rPr>
          <w:rFonts w:ascii="Avenir Next" w:hAnsi="Avenir Next" w:cs="Arial"/>
          <w:b/>
          <w:bCs/>
          <w:sz w:val="22"/>
          <w:szCs w:val="22"/>
          <w:lang w:val="en-GB"/>
        </w:rPr>
        <w:t>Conclusion</w:t>
      </w:r>
    </w:p>
    <w:p w14:paraId="012F8D9B" w14:textId="667F26C5" w:rsidR="00C61397" w:rsidRPr="00D332EC" w:rsidRDefault="00C61397" w:rsidP="00B83193">
      <w:pPr>
        <w:jc w:val="both"/>
        <w:rPr>
          <w:rFonts w:ascii="Avenir Next" w:hAnsi="Avenir Next" w:cs="Arial"/>
          <w:sz w:val="22"/>
          <w:szCs w:val="22"/>
          <w:lang w:val="en-GB"/>
        </w:rPr>
      </w:pPr>
      <w:r w:rsidRPr="00D332EC">
        <w:rPr>
          <w:rFonts w:ascii="Avenir Next" w:hAnsi="Avenir Next" w:cs="Arial"/>
          <w:sz w:val="22"/>
          <w:szCs w:val="22"/>
          <w:lang w:val="en-GB"/>
        </w:rPr>
        <w:t xml:space="preserve">The EIR 2000 does apply to this case and the </w:t>
      </w:r>
      <w:r w:rsidR="00314E94" w:rsidRPr="00D332EC">
        <w:rPr>
          <w:rFonts w:ascii="Avenir Next" w:hAnsi="Avenir Next" w:cs="Arial"/>
          <w:sz w:val="22"/>
          <w:szCs w:val="22"/>
          <w:lang w:val="en-GB"/>
        </w:rPr>
        <w:t>start</w:t>
      </w:r>
      <w:r w:rsidRPr="00D332EC">
        <w:rPr>
          <w:rFonts w:ascii="Avenir Next" w:hAnsi="Avenir Next" w:cs="Arial"/>
          <w:sz w:val="22"/>
          <w:szCs w:val="22"/>
          <w:lang w:val="en-GB"/>
        </w:rPr>
        <w:t xml:space="preserve"> of safeguard proceedings. The Commercial Court in Le Mans, France, has jurisdiction to </w:t>
      </w:r>
      <w:r w:rsidR="00EE7315" w:rsidRPr="00D332EC">
        <w:rPr>
          <w:rFonts w:ascii="Avenir Next" w:hAnsi="Avenir Next" w:cs="Arial"/>
          <w:sz w:val="22"/>
          <w:szCs w:val="22"/>
          <w:lang w:val="en-GB"/>
        </w:rPr>
        <w:t>begin</w:t>
      </w:r>
      <w:r w:rsidRPr="00D332EC">
        <w:rPr>
          <w:rFonts w:ascii="Avenir Next" w:hAnsi="Avenir Next" w:cs="Arial"/>
          <w:sz w:val="22"/>
          <w:szCs w:val="22"/>
          <w:lang w:val="en-GB"/>
        </w:rPr>
        <w:t xml:space="preserve"> these proceedings because France is where the COMI of Dinosaurus SARL is located. This conclusion is supported by the provisions of the EIR 2000 and relevant CJEU jurisprudence, particularly the Eurofood (C-341/04) and Interedil (C-396/09) cases, which </w:t>
      </w:r>
      <w:r w:rsidR="00680158" w:rsidRPr="00D332EC">
        <w:rPr>
          <w:rFonts w:ascii="Avenir Next" w:hAnsi="Avenir Next" w:cs="Arial"/>
          <w:sz w:val="22"/>
          <w:szCs w:val="22"/>
          <w:lang w:val="en-GB"/>
        </w:rPr>
        <w:t>clears</w:t>
      </w:r>
      <w:r w:rsidRPr="00D332EC">
        <w:rPr>
          <w:rFonts w:ascii="Avenir Next" w:hAnsi="Avenir Next" w:cs="Arial"/>
          <w:sz w:val="22"/>
          <w:szCs w:val="22"/>
          <w:lang w:val="en-GB"/>
        </w:rPr>
        <w:t xml:space="preserve"> that the COMI should be where the debtor conducts the administration of its interests on a regular basis and which is </w:t>
      </w:r>
      <w:r w:rsidR="00BB5287" w:rsidRPr="00D332EC">
        <w:rPr>
          <w:rFonts w:ascii="Avenir Next" w:hAnsi="Avenir Next" w:cs="Arial"/>
          <w:sz w:val="22"/>
          <w:szCs w:val="22"/>
          <w:lang w:val="en-GB"/>
        </w:rPr>
        <w:t>determined</w:t>
      </w:r>
      <w:r w:rsidRPr="00D332EC">
        <w:rPr>
          <w:rFonts w:ascii="Avenir Next" w:hAnsi="Avenir Next" w:cs="Arial"/>
          <w:sz w:val="22"/>
          <w:szCs w:val="22"/>
          <w:lang w:val="en-GB"/>
        </w:rPr>
        <w:t xml:space="preserve"> by third parties.</w:t>
      </w:r>
    </w:p>
    <w:p w14:paraId="18581C26" w14:textId="77777777" w:rsidR="00C61397" w:rsidRPr="00D332EC" w:rsidRDefault="00C61397" w:rsidP="00B83193">
      <w:pPr>
        <w:jc w:val="both"/>
        <w:rPr>
          <w:rFonts w:ascii="Avenir Next" w:hAnsi="Avenir Next" w:cs="Arial"/>
          <w:sz w:val="22"/>
          <w:szCs w:val="22"/>
          <w:lang w:val="en-GB"/>
        </w:rPr>
      </w:pPr>
    </w:p>
    <w:p w14:paraId="1EE70942" w14:textId="77777777" w:rsidR="00C61397" w:rsidRPr="00D332EC" w:rsidRDefault="00C61397" w:rsidP="00C61397">
      <w:pPr>
        <w:jc w:val="both"/>
        <w:rPr>
          <w:rFonts w:ascii="Avenir Next" w:hAnsi="Avenir Next" w:cs="Arial"/>
          <w:sz w:val="22"/>
          <w:szCs w:val="22"/>
          <w:lang w:val="en-GB"/>
        </w:rPr>
      </w:pPr>
    </w:p>
    <w:p w14:paraId="40921E31" w14:textId="7125C35C" w:rsidR="002F75A3" w:rsidRPr="00D332EC" w:rsidRDefault="009B0723" w:rsidP="002A37BB">
      <w:pPr>
        <w:jc w:val="both"/>
        <w:rPr>
          <w:rFonts w:ascii="Avenir Next" w:hAnsi="Avenir Next" w:cs="Arial"/>
          <w:b/>
          <w:bCs/>
          <w:sz w:val="22"/>
          <w:szCs w:val="22"/>
          <w:lang w:val="en-GB"/>
        </w:rPr>
      </w:pPr>
      <w:r w:rsidRPr="00D332EC">
        <w:rPr>
          <w:rFonts w:ascii="Avenir Next" w:hAnsi="Avenir Next" w:cs="Arial"/>
          <w:b/>
          <w:bCs/>
          <w:sz w:val="22"/>
          <w:szCs w:val="22"/>
          <w:lang w:val="en-GB"/>
        </w:rPr>
        <w:t>Question 4.2 [</w:t>
      </w:r>
      <w:r w:rsidR="00126A4D" w:rsidRPr="00D332EC">
        <w:rPr>
          <w:rFonts w:ascii="Avenir Next" w:hAnsi="Avenir Next" w:cs="Arial"/>
          <w:b/>
          <w:bCs/>
          <w:sz w:val="22"/>
          <w:szCs w:val="22"/>
          <w:lang w:val="en-GB"/>
        </w:rPr>
        <w:t>m</w:t>
      </w:r>
      <w:r w:rsidRPr="00D332EC">
        <w:rPr>
          <w:rFonts w:ascii="Avenir Next" w:hAnsi="Avenir Next" w:cs="Arial"/>
          <w:b/>
          <w:bCs/>
          <w:sz w:val="22"/>
          <w:szCs w:val="22"/>
          <w:lang w:val="en-GB"/>
        </w:rPr>
        <w:t xml:space="preserve">aximum </w:t>
      </w:r>
      <w:r w:rsidR="009B4976" w:rsidRPr="00D332EC">
        <w:rPr>
          <w:rFonts w:ascii="Avenir Next" w:hAnsi="Avenir Next" w:cs="Arial"/>
          <w:b/>
          <w:bCs/>
          <w:sz w:val="22"/>
          <w:szCs w:val="22"/>
          <w:lang w:val="en-GB"/>
        </w:rPr>
        <w:t>5</w:t>
      </w:r>
      <w:r w:rsidRPr="00D332EC">
        <w:rPr>
          <w:rFonts w:ascii="Avenir Next" w:hAnsi="Avenir Next" w:cs="Arial"/>
          <w:b/>
          <w:bCs/>
          <w:sz w:val="22"/>
          <w:szCs w:val="22"/>
          <w:lang w:val="en-GB"/>
        </w:rPr>
        <w:t xml:space="preserve"> marks] </w:t>
      </w:r>
    </w:p>
    <w:p w14:paraId="6433B0AC" w14:textId="77777777" w:rsidR="002F75A3" w:rsidRPr="00D332EC" w:rsidRDefault="002F75A3" w:rsidP="002A37BB">
      <w:pPr>
        <w:jc w:val="both"/>
        <w:rPr>
          <w:rFonts w:ascii="Avenir Next" w:hAnsi="Avenir Next" w:cs="Arial"/>
          <w:b/>
          <w:bCs/>
          <w:sz w:val="22"/>
          <w:szCs w:val="22"/>
          <w:lang w:val="en-GB"/>
        </w:rPr>
      </w:pPr>
    </w:p>
    <w:p w14:paraId="02CDA1A3" w14:textId="50AE5949" w:rsidR="003D17A2" w:rsidRPr="00D332EC" w:rsidRDefault="003D17A2" w:rsidP="002A37BB">
      <w:pPr>
        <w:jc w:val="both"/>
        <w:rPr>
          <w:rFonts w:ascii="Avenir Next" w:hAnsi="Avenir Next" w:cs="Arial"/>
          <w:sz w:val="22"/>
          <w:szCs w:val="22"/>
          <w:lang w:val="en-GB"/>
        </w:rPr>
      </w:pPr>
      <w:r w:rsidRPr="00D332EC">
        <w:rPr>
          <w:rFonts w:ascii="Avenir Next" w:hAnsi="Avenir Next" w:cs="Arial"/>
          <w:sz w:val="22"/>
          <w:szCs w:val="22"/>
          <w:lang w:val="en-GB"/>
        </w:rPr>
        <w:t xml:space="preserve">Assume that the timeline is as explained in the </w:t>
      </w:r>
      <w:r w:rsidR="00E70FA4" w:rsidRPr="00D332EC">
        <w:rPr>
          <w:rFonts w:ascii="Avenir Next" w:hAnsi="Avenir Next" w:cs="Arial"/>
          <w:sz w:val="22"/>
          <w:szCs w:val="22"/>
          <w:lang w:val="en-GB"/>
        </w:rPr>
        <w:t xml:space="preserve">original </w:t>
      </w:r>
      <w:r w:rsidRPr="00D332EC">
        <w:rPr>
          <w:rFonts w:ascii="Avenir Next" w:hAnsi="Avenir Next" w:cs="Arial"/>
          <w:sz w:val="22"/>
          <w:szCs w:val="22"/>
          <w:lang w:val="en-GB"/>
        </w:rPr>
        <w:t xml:space="preserve">scenario above and that the French High Court opens safeguard proceedings on </w:t>
      </w:r>
      <w:r w:rsidR="00751788" w:rsidRPr="00D332EC">
        <w:rPr>
          <w:rFonts w:ascii="Avenir Next" w:hAnsi="Avenir Next" w:cs="Arial"/>
          <w:sz w:val="22"/>
          <w:szCs w:val="22"/>
          <w:lang w:val="en-GB"/>
        </w:rPr>
        <w:t>23</w:t>
      </w:r>
      <w:r w:rsidRPr="00D332EC">
        <w:rPr>
          <w:rFonts w:ascii="Avenir Next" w:hAnsi="Avenir Next" w:cs="Arial"/>
          <w:sz w:val="22"/>
          <w:szCs w:val="22"/>
          <w:lang w:val="en-GB"/>
        </w:rPr>
        <w:t xml:space="preserve"> June 20</w:t>
      </w:r>
      <w:r w:rsidR="00751788" w:rsidRPr="00D332EC">
        <w:rPr>
          <w:rFonts w:ascii="Avenir Next" w:hAnsi="Avenir Next" w:cs="Arial"/>
          <w:sz w:val="22"/>
          <w:szCs w:val="22"/>
          <w:lang w:val="en-GB"/>
        </w:rPr>
        <w:t>23</w:t>
      </w:r>
      <w:r w:rsidRPr="00D332EC">
        <w:rPr>
          <w:rFonts w:ascii="Avenir Next" w:hAnsi="Avenir Next" w:cs="Arial"/>
          <w:sz w:val="22"/>
          <w:szCs w:val="22"/>
          <w:lang w:val="en-GB"/>
        </w:rPr>
        <w:t xml:space="preserve">. </w:t>
      </w:r>
    </w:p>
    <w:p w14:paraId="66F351BC" w14:textId="77777777" w:rsidR="006723E9" w:rsidRPr="00D332EC" w:rsidRDefault="006723E9" w:rsidP="002A37BB">
      <w:pPr>
        <w:jc w:val="both"/>
        <w:rPr>
          <w:rFonts w:ascii="Avenir Next" w:hAnsi="Avenir Next" w:cs="Arial"/>
          <w:sz w:val="22"/>
          <w:szCs w:val="22"/>
          <w:lang w:val="en-GB"/>
        </w:rPr>
      </w:pPr>
    </w:p>
    <w:p w14:paraId="4FED367C" w14:textId="1E133EA6" w:rsidR="003D17A2" w:rsidRPr="00D332EC" w:rsidRDefault="009B4976" w:rsidP="002A37BB">
      <w:pPr>
        <w:jc w:val="both"/>
        <w:rPr>
          <w:rFonts w:ascii="Avenir Next" w:hAnsi="Avenir Next" w:cs="Arial"/>
          <w:b/>
          <w:bCs/>
          <w:i/>
          <w:iCs/>
          <w:sz w:val="22"/>
          <w:szCs w:val="22"/>
          <w:lang w:val="en-GB"/>
        </w:rPr>
      </w:pPr>
      <w:r w:rsidRPr="00D332EC">
        <w:rPr>
          <w:rFonts w:ascii="Avenir Next" w:hAnsi="Avenir Next" w:cs="Arial"/>
          <w:b/>
          <w:bCs/>
          <w:i/>
          <w:iCs/>
          <w:sz w:val="22"/>
          <w:szCs w:val="22"/>
          <w:lang w:val="en-GB"/>
        </w:rPr>
        <w:t>Will the EIR Recast be applicable</w:t>
      </w:r>
      <w:r w:rsidR="003D17A2" w:rsidRPr="00D332EC">
        <w:rPr>
          <w:rFonts w:ascii="Avenir Next" w:hAnsi="Avenir Next" w:cs="Arial"/>
          <w:b/>
          <w:bCs/>
          <w:i/>
          <w:iCs/>
          <w:sz w:val="22"/>
          <w:szCs w:val="22"/>
          <w:lang w:val="en-GB"/>
        </w:rPr>
        <w:t xml:space="preserve"> to the proceedings</w:t>
      </w:r>
      <w:r w:rsidRPr="00D332EC">
        <w:rPr>
          <w:rFonts w:ascii="Avenir Next" w:hAnsi="Avenir Next" w:cs="Arial"/>
          <w:b/>
          <w:bCs/>
          <w:i/>
          <w:iCs/>
          <w:sz w:val="22"/>
          <w:szCs w:val="22"/>
          <w:lang w:val="en-GB"/>
        </w:rPr>
        <w:t xml:space="preserve">? </w:t>
      </w:r>
    </w:p>
    <w:p w14:paraId="7B0D4556" w14:textId="77777777" w:rsidR="006723E9" w:rsidRPr="00D332EC" w:rsidRDefault="006723E9" w:rsidP="002A37BB">
      <w:pPr>
        <w:jc w:val="both"/>
        <w:rPr>
          <w:rFonts w:ascii="Avenir Next" w:hAnsi="Avenir Next" w:cs="Arial"/>
          <w:sz w:val="22"/>
          <w:szCs w:val="22"/>
          <w:lang w:val="en-GB"/>
        </w:rPr>
      </w:pPr>
    </w:p>
    <w:p w14:paraId="27FE742D" w14:textId="1F939023" w:rsidR="009B0723" w:rsidRPr="00D332EC" w:rsidRDefault="009B4976" w:rsidP="002A37BB">
      <w:pPr>
        <w:jc w:val="both"/>
        <w:rPr>
          <w:rFonts w:ascii="Avenir Next" w:hAnsi="Avenir Next" w:cs="Arial"/>
          <w:sz w:val="22"/>
          <w:szCs w:val="22"/>
          <w:lang w:val="en-GB"/>
        </w:rPr>
      </w:pPr>
      <w:r w:rsidRPr="00D332EC">
        <w:rPr>
          <w:rFonts w:ascii="Avenir Next" w:hAnsi="Avenir Next" w:cs="Arial"/>
          <w:sz w:val="22"/>
          <w:szCs w:val="22"/>
          <w:lang w:val="en-GB"/>
        </w:rPr>
        <w:t>Your answer should address the EIR Recast’s scope and contain all</w:t>
      </w:r>
      <w:r w:rsidRPr="00D332EC">
        <w:rPr>
          <w:rFonts w:ascii="Avenir Next" w:hAnsi="Avenir Next" w:cs="Arial"/>
          <w:b/>
          <w:bCs/>
          <w:sz w:val="22"/>
          <w:szCs w:val="22"/>
          <w:lang w:val="en-GB"/>
        </w:rPr>
        <w:t xml:space="preserve"> </w:t>
      </w:r>
      <w:r w:rsidRPr="00D332EC">
        <w:rPr>
          <w:rFonts w:ascii="Avenir Next" w:hAnsi="Avenir Next" w:cs="Arial"/>
          <w:sz w:val="22"/>
          <w:szCs w:val="22"/>
          <w:lang w:val="en-GB"/>
        </w:rPr>
        <w:t>steps taken to answer the question.</w:t>
      </w:r>
    </w:p>
    <w:p w14:paraId="4176E5D2" w14:textId="3354DD60" w:rsidR="000A3278" w:rsidRPr="00D332EC" w:rsidRDefault="000A3278" w:rsidP="000A3278">
      <w:pPr>
        <w:jc w:val="both"/>
        <w:rPr>
          <w:rFonts w:ascii="Avenir Next" w:hAnsi="Avenir Next" w:cs="Arial"/>
          <w:sz w:val="22"/>
          <w:szCs w:val="22"/>
          <w:lang w:val="en-GB"/>
        </w:rPr>
      </w:pPr>
    </w:p>
    <w:p w14:paraId="56E20D99" w14:textId="7C77DCBC" w:rsidR="00B83193" w:rsidRPr="00D332EC" w:rsidRDefault="00B83193" w:rsidP="000A3278">
      <w:pPr>
        <w:jc w:val="both"/>
        <w:rPr>
          <w:rFonts w:ascii="Avenir Next" w:hAnsi="Avenir Next" w:cs="Arial"/>
          <w:sz w:val="22"/>
          <w:szCs w:val="22"/>
          <w:lang w:val="en-GB"/>
        </w:rPr>
      </w:pPr>
      <w:r w:rsidRPr="00D332EC">
        <w:rPr>
          <w:rFonts w:ascii="Avenir Next" w:hAnsi="Avenir Next" w:cs="Arial"/>
          <w:sz w:val="22"/>
          <w:szCs w:val="22"/>
          <w:lang w:val="en-GB"/>
        </w:rPr>
        <w:t xml:space="preserve">Answer: </w:t>
      </w:r>
    </w:p>
    <w:p w14:paraId="6E111BAE" w14:textId="77777777" w:rsidR="00B83193" w:rsidRPr="00D332EC" w:rsidRDefault="00B83193" w:rsidP="000A3278">
      <w:pPr>
        <w:jc w:val="both"/>
        <w:rPr>
          <w:rFonts w:ascii="Avenir Next" w:hAnsi="Avenir Next" w:cs="Arial"/>
          <w:sz w:val="22"/>
          <w:szCs w:val="22"/>
          <w:lang w:val="en-GB"/>
        </w:rPr>
      </w:pPr>
    </w:p>
    <w:p w14:paraId="590C86E3" w14:textId="77777777" w:rsidR="00B83193" w:rsidRPr="00D332EC" w:rsidRDefault="00B83193" w:rsidP="00904BBF">
      <w:pPr>
        <w:autoSpaceDE w:val="0"/>
        <w:autoSpaceDN w:val="0"/>
        <w:adjustRightInd w:val="0"/>
        <w:jc w:val="both"/>
        <w:rPr>
          <w:rFonts w:ascii="Avenir Next" w:hAnsi="Avenir Next" w:cs="Arial"/>
          <w:b/>
          <w:bCs/>
          <w:sz w:val="22"/>
          <w:szCs w:val="22"/>
          <w:lang w:val="en-GB"/>
        </w:rPr>
      </w:pPr>
      <w:r w:rsidRPr="00D332EC">
        <w:rPr>
          <w:rFonts w:ascii="Avenir Next" w:hAnsi="Avenir Next" w:cs="Arial"/>
          <w:b/>
          <w:bCs/>
          <w:sz w:val="22"/>
          <w:szCs w:val="22"/>
          <w:lang w:val="en-GB"/>
        </w:rPr>
        <w:t>Applicability of the EIR Recast to Dinosaurus SARL's Safeguard Proceedings</w:t>
      </w:r>
    </w:p>
    <w:p w14:paraId="509F8DF4" w14:textId="134DB391" w:rsidR="00B83193" w:rsidRPr="00D332EC" w:rsidRDefault="00B83193" w:rsidP="00904BBF">
      <w:pPr>
        <w:autoSpaceDE w:val="0"/>
        <w:autoSpaceDN w:val="0"/>
        <w:adjustRightInd w:val="0"/>
        <w:jc w:val="both"/>
        <w:rPr>
          <w:rFonts w:ascii="Avenir Next" w:hAnsi="Avenir Next" w:cs="Arial"/>
          <w:sz w:val="22"/>
          <w:szCs w:val="22"/>
          <w:lang w:val="en-GB"/>
        </w:rPr>
      </w:pPr>
      <w:r w:rsidRPr="00D332EC">
        <w:rPr>
          <w:rFonts w:ascii="Avenir Next" w:hAnsi="Avenir Next" w:cs="Arial"/>
          <w:sz w:val="22"/>
          <w:szCs w:val="22"/>
          <w:lang w:val="en-GB"/>
        </w:rPr>
        <w:t xml:space="preserve">To determine whether the EIR Recast applies to the safeguard proceedings of Dinosaurus SARL, we need to analyze the scope of the Regulation, the definition of "insolvency proceedings," and </w:t>
      </w:r>
      <w:r w:rsidR="001429F4" w:rsidRPr="00D332EC">
        <w:rPr>
          <w:rFonts w:ascii="Avenir Next" w:hAnsi="Avenir Next" w:cs="Arial"/>
          <w:sz w:val="22"/>
          <w:szCs w:val="22"/>
          <w:lang w:val="en-GB"/>
        </w:rPr>
        <w:t>pertinent</w:t>
      </w:r>
      <w:r w:rsidRPr="00D332EC">
        <w:rPr>
          <w:rFonts w:ascii="Avenir Next" w:hAnsi="Avenir Next" w:cs="Arial"/>
          <w:sz w:val="22"/>
          <w:szCs w:val="22"/>
          <w:lang w:val="en-GB"/>
        </w:rPr>
        <w:t xml:space="preserve"> case law from the CJEU.</w:t>
      </w:r>
    </w:p>
    <w:p w14:paraId="14159B2A" w14:textId="77777777" w:rsidR="00B83193" w:rsidRPr="00D332EC" w:rsidRDefault="00B83193" w:rsidP="00904BBF">
      <w:pPr>
        <w:autoSpaceDE w:val="0"/>
        <w:autoSpaceDN w:val="0"/>
        <w:adjustRightInd w:val="0"/>
        <w:jc w:val="both"/>
        <w:rPr>
          <w:rFonts w:ascii="Avenir Next" w:hAnsi="Avenir Next" w:cs="Arial"/>
          <w:sz w:val="22"/>
          <w:szCs w:val="22"/>
          <w:lang w:val="en-GB"/>
        </w:rPr>
      </w:pPr>
    </w:p>
    <w:p w14:paraId="1BEE65B7" w14:textId="77777777" w:rsidR="00B83193" w:rsidRPr="00D332EC" w:rsidRDefault="00B83193" w:rsidP="00904BBF">
      <w:pPr>
        <w:autoSpaceDE w:val="0"/>
        <w:autoSpaceDN w:val="0"/>
        <w:adjustRightInd w:val="0"/>
        <w:jc w:val="both"/>
        <w:rPr>
          <w:rFonts w:ascii="Avenir Next" w:hAnsi="Avenir Next" w:cs="Arial"/>
          <w:b/>
          <w:bCs/>
          <w:sz w:val="22"/>
          <w:szCs w:val="22"/>
          <w:lang w:val="en-GB"/>
        </w:rPr>
      </w:pPr>
      <w:r w:rsidRPr="00D332EC">
        <w:rPr>
          <w:rFonts w:ascii="Avenir Next" w:hAnsi="Avenir Next" w:cs="Arial"/>
          <w:b/>
          <w:bCs/>
          <w:sz w:val="22"/>
          <w:szCs w:val="22"/>
          <w:lang w:val="en-GB"/>
        </w:rPr>
        <w:t>Scope and Definition of Insolvency Proceedings under the EIR Recast</w:t>
      </w:r>
    </w:p>
    <w:p w14:paraId="58D198DB" w14:textId="77777777" w:rsidR="00B83193" w:rsidRPr="00D332EC" w:rsidRDefault="00B83193" w:rsidP="00904BBF">
      <w:pPr>
        <w:autoSpaceDE w:val="0"/>
        <w:autoSpaceDN w:val="0"/>
        <w:adjustRightInd w:val="0"/>
        <w:jc w:val="both"/>
        <w:rPr>
          <w:rFonts w:ascii="Avenir Next" w:hAnsi="Avenir Next" w:cs="Arial"/>
          <w:sz w:val="22"/>
          <w:szCs w:val="22"/>
          <w:lang w:val="en-GB"/>
        </w:rPr>
      </w:pPr>
    </w:p>
    <w:p w14:paraId="23C0CD96" w14:textId="270DD5D8" w:rsidR="00B83193" w:rsidRPr="00D332EC" w:rsidRDefault="00B83193" w:rsidP="00904BBF">
      <w:pPr>
        <w:autoSpaceDE w:val="0"/>
        <w:autoSpaceDN w:val="0"/>
        <w:adjustRightInd w:val="0"/>
        <w:jc w:val="both"/>
        <w:rPr>
          <w:rFonts w:ascii="Avenir Next" w:hAnsi="Avenir Next" w:cs="Arial"/>
          <w:b/>
          <w:bCs/>
          <w:sz w:val="22"/>
          <w:szCs w:val="22"/>
          <w:lang w:val="en-GB"/>
        </w:rPr>
      </w:pPr>
      <w:r w:rsidRPr="00D332EC">
        <w:rPr>
          <w:rFonts w:ascii="Avenir Next" w:hAnsi="Avenir Next" w:cs="Arial"/>
          <w:b/>
          <w:bCs/>
          <w:sz w:val="22"/>
          <w:szCs w:val="22"/>
          <w:lang w:val="en-GB"/>
        </w:rPr>
        <w:t>Scope of the EIR Recast:</w:t>
      </w:r>
    </w:p>
    <w:p w14:paraId="0FE7E129" w14:textId="696186AC" w:rsidR="00B83193" w:rsidRPr="00D332EC" w:rsidRDefault="00B83193" w:rsidP="00904BBF">
      <w:pPr>
        <w:autoSpaceDE w:val="0"/>
        <w:autoSpaceDN w:val="0"/>
        <w:adjustRightInd w:val="0"/>
        <w:jc w:val="both"/>
        <w:rPr>
          <w:rFonts w:ascii="Avenir Next" w:hAnsi="Avenir Next" w:cs="Arial"/>
          <w:sz w:val="22"/>
          <w:szCs w:val="22"/>
          <w:lang w:val="en-GB"/>
        </w:rPr>
      </w:pPr>
      <w:r w:rsidRPr="00D332EC">
        <w:rPr>
          <w:rFonts w:ascii="Avenir Next" w:hAnsi="Avenir Next" w:cs="Arial"/>
          <w:sz w:val="22"/>
          <w:szCs w:val="22"/>
          <w:lang w:val="en-GB"/>
        </w:rPr>
        <w:t xml:space="preserve">Article 1(1) of the EIR Recast (Regulation (EU) 2015/848) applies to collective insolvency proceedings which </w:t>
      </w:r>
      <w:r w:rsidR="006E16EF" w:rsidRPr="00D332EC">
        <w:rPr>
          <w:rFonts w:ascii="Avenir Next" w:hAnsi="Avenir Next" w:cs="Arial"/>
          <w:sz w:val="22"/>
          <w:szCs w:val="22"/>
          <w:lang w:val="en-GB"/>
        </w:rPr>
        <w:t>lead to</w:t>
      </w:r>
      <w:r w:rsidRPr="00D332EC">
        <w:rPr>
          <w:rFonts w:ascii="Avenir Next" w:hAnsi="Avenir Next" w:cs="Arial"/>
          <w:sz w:val="22"/>
          <w:szCs w:val="22"/>
          <w:lang w:val="en-GB"/>
        </w:rPr>
        <w:t xml:space="preserve"> the partial or total divestment of a debtor and </w:t>
      </w:r>
      <w:r w:rsidR="0076039F" w:rsidRPr="00D332EC">
        <w:rPr>
          <w:rFonts w:ascii="Avenir Next" w:hAnsi="Avenir Next" w:cs="Arial"/>
          <w:sz w:val="22"/>
          <w:szCs w:val="22"/>
          <w:lang w:val="en-GB"/>
        </w:rPr>
        <w:t xml:space="preserve">involve </w:t>
      </w:r>
      <w:r w:rsidRPr="00D332EC">
        <w:rPr>
          <w:rFonts w:ascii="Avenir Next" w:hAnsi="Avenir Next" w:cs="Arial"/>
          <w:sz w:val="22"/>
          <w:szCs w:val="22"/>
          <w:lang w:val="en-GB"/>
        </w:rPr>
        <w:t>the appointment of a liquidator.</w:t>
      </w:r>
    </w:p>
    <w:p w14:paraId="4DB59F43" w14:textId="5052D24D" w:rsidR="00B83193" w:rsidRPr="00D332EC" w:rsidRDefault="00B83193" w:rsidP="00904BBF">
      <w:pPr>
        <w:autoSpaceDE w:val="0"/>
        <w:autoSpaceDN w:val="0"/>
        <w:adjustRightInd w:val="0"/>
        <w:jc w:val="both"/>
        <w:rPr>
          <w:rFonts w:ascii="Avenir Next" w:hAnsi="Avenir Next" w:cs="Arial"/>
          <w:sz w:val="22"/>
          <w:szCs w:val="22"/>
          <w:lang w:val="en-GB"/>
        </w:rPr>
      </w:pPr>
      <w:r w:rsidRPr="00D332EC">
        <w:rPr>
          <w:rFonts w:ascii="Avenir Next" w:hAnsi="Avenir Next" w:cs="Arial"/>
          <w:sz w:val="22"/>
          <w:szCs w:val="22"/>
          <w:lang w:val="en-GB"/>
        </w:rPr>
        <w:t xml:space="preserve">The proceedings must be </w:t>
      </w:r>
      <w:r w:rsidR="00191275" w:rsidRPr="00D332EC">
        <w:rPr>
          <w:rFonts w:ascii="Avenir Next" w:hAnsi="Avenir Next" w:cs="Arial"/>
          <w:sz w:val="22"/>
          <w:szCs w:val="22"/>
          <w:lang w:val="en-GB"/>
        </w:rPr>
        <w:t>covered</w:t>
      </w:r>
      <w:r w:rsidRPr="00D332EC">
        <w:rPr>
          <w:rFonts w:ascii="Avenir Next" w:hAnsi="Avenir Next" w:cs="Arial"/>
          <w:sz w:val="22"/>
          <w:szCs w:val="22"/>
          <w:lang w:val="en-GB"/>
        </w:rPr>
        <w:t xml:space="preserve"> in Annex A of the Regulation to fall within its scope.</w:t>
      </w:r>
    </w:p>
    <w:p w14:paraId="27DFC38F" w14:textId="77777777" w:rsidR="00B83193" w:rsidRPr="00D332EC" w:rsidRDefault="00B83193" w:rsidP="00904BBF">
      <w:pPr>
        <w:autoSpaceDE w:val="0"/>
        <w:autoSpaceDN w:val="0"/>
        <w:adjustRightInd w:val="0"/>
        <w:jc w:val="both"/>
        <w:rPr>
          <w:rFonts w:ascii="Avenir Next" w:hAnsi="Avenir Next" w:cs="Arial"/>
          <w:sz w:val="22"/>
          <w:szCs w:val="22"/>
          <w:lang w:val="en-GB"/>
        </w:rPr>
      </w:pPr>
    </w:p>
    <w:p w14:paraId="028FBF99" w14:textId="77777777" w:rsidR="00B83193" w:rsidRPr="00D332EC" w:rsidRDefault="00B83193" w:rsidP="00904BBF">
      <w:pPr>
        <w:autoSpaceDE w:val="0"/>
        <w:autoSpaceDN w:val="0"/>
        <w:adjustRightInd w:val="0"/>
        <w:jc w:val="both"/>
        <w:rPr>
          <w:rFonts w:ascii="Avenir Next" w:hAnsi="Avenir Next" w:cs="Arial"/>
          <w:b/>
          <w:bCs/>
          <w:sz w:val="22"/>
          <w:szCs w:val="22"/>
          <w:lang w:val="en-GB"/>
        </w:rPr>
      </w:pPr>
      <w:r w:rsidRPr="00D332EC">
        <w:rPr>
          <w:rFonts w:ascii="Avenir Next" w:hAnsi="Avenir Next" w:cs="Arial"/>
          <w:b/>
          <w:bCs/>
          <w:sz w:val="22"/>
          <w:szCs w:val="22"/>
          <w:lang w:val="en-GB"/>
        </w:rPr>
        <w:t>French Safeguard Proceedings:</w:t>
      </w:r>
    </w:p>
    <w:p w14:paraId="7C11B938" w14:textId="2E288423" w:rsidR="00B83193" w:rsidRPr="00D332EC" w:rsidRDefault="00B83193" w:rsidP="00904BBF">
      <w:pPr>
        <w:autoSpaceDE w:val="0"/>
        <w:autoSpaceDN w:val="0"/>
        <w:adjustRightInd w:val="0"/>
        <w:jc w:val="both"/>
        <w:rPr>
          <w:rFonts w:ascii="Avenir Next" w:hAnsi="Avenir Next" w:cs="Arial"/>
          <w:b/>
          <w:bCs/>
          <w:sz w:val="22"/>
          <w:szCs w:val="22"/>
          <w:lang w:val="en-GB"/>
        </w:rPr>
      </w:pPr>
      <w:r w:rsidRPr="00D332EC">
        <w:rPr>
          <w:rFonts w:ascii="Avenir Next" w:hAnsi="Avenir Next" w:cs="Arial"/>
          <w:sz w:val="22"/>
          <w:szCs w:val="22"/>
          <w:lang w:val="en-GB"/>
        </w:rPr>
        <w:lastRenderedPageBreak/>
        <w:t xml:space="preserve">The French safeguard proceedings ("procédure de sauvegarde") are </w:t>
      </w:r>
      <w:r w:rsidR="00762D16" w:rsidRPr="00D332EC">
        <w:rPr>
          <w:rFonts w:ascii="Avenir Next" w:hAnsi="Avenir Next" w:cs="Arial"/>
          <w:sz w:val="22"/>
          <w:szCs w:val="22"/>
          <w:lang w:val="en-GB"/>
        </w:rPr>
        <w:t>formed</w:t>
      </w:r>
      <w:r w:rsidRPr="00D332EC">
        <w:rPr>
          <w:rFonts w:ascii="Avenir Next" w:hAnsi="Avenir Next" w:cs="Arial"/>
          <w:sz w:val="22"/>
          <w:szCs w:val="22"/>
          <w:lang w:val="en-GB"/>
        </w:rPr>
        <w:t xml:space="preserve"> to assist companies in financial difficul</w:t>
      </w:r>
      <w:r w:rsidR="00762D16" w:rsidRPr="00D332EC">
        <w:rPr>
          <w:rFonts w:ascii="Avenir Next" w:hAnsi="Avenir Next" w:cs="Arial"/>
          <w:sz w:val="22"/>
          <w:szCs w:val="22"/>
          <w:lang w:val="en-GB"/>
        </w:rPr>
        <w:t>ties</w:t>
      </w:r>
      <w:r w:rsidRPr="00D332EC">
        <w:rPr>
          <w:rFonts w:ascii="Avenir Next" w:hAnsi="Avenir Next" w:cs="Arial"/>
          <w:sz w:val="22"/>
          <w:szCs w:val="22"/>
          <w:lang w:val="en-GB"/>
        </w:rPr>
        <w:t xml:space="preserve"> to </w:t>
      </w:r>
      <w:r w:rsidR="00300F58" w:rsidRPr="00D332EC">
        <w:rPr>
          <w:rFonts w:ascii="Avenir Next" w:hAnsi="Avenir Next" w:cs="Arial"/>
          <w:sz w:val="22"/>
          <w:szCs w:val="22"/>
          <w:lang w:val="en-GB"/>
        </w:rPr>
        <w:t>restructure</w:t>
      </w:r>
      <w:r w:rsidRPr="00D332EC">
        <w:rPr>
          <w:rFonts w:ascii="Avenir Next" w:hAnsi="Avenir Next" w:cs="Arial"/>
          <w:sz w:val="22"/>
          <w:szCs w:val="22"/>
          <w:lang w:val="en-GB"/>
        </w:rPr>
        <w:t xml:space="preserve"> and </w:t>
      </w:r>
      <w:r w:rsidR="00300F58" w:rsidRPr="00D332EC">
        <w:rPr>
          <w:rFonts w:ascii="Avenir Next" w:hAnsi="Avenir Next" w:cs="Arial"/>
          <w:sz w:val="22"/>
          <w:szCs w:val="22"/>
          <w:lang w:val="en-GB"/>
        </w:rPr>
        <w:t>continue</w:t>
      </w:r>
      <w:r w:rsidRPr="00D332EC">
        <w:rPr>
          <w:rFonts w:ascii="Avenir Next" w:hAnsi="Avenir Next" w:cs="Arial"/>
          <w:sz w:val="22"/>
          <w:szCs w:val="22"/>
          <w:lang w:val="en-GB"/>
        </w:rPr>
        <w:t xml:space="preserve"> their business, </w:t>
      </w:r>
      <w:r w:rsidR="00300F58" w:rsidRPr="00D332EC">
        <w:rPr>
          <w:rFonts w:ascii="Avenir Next" w:hAnsi="Avenir Next" w:cs="Arial"/>
          <w:sz w:val="22"/>
          <w:szCs w:val="22"/>
          <w:lang w:val="en-GB"/>
        </w:rPr>
        <w:t>putting emphasis</w:t>
      </w:r>
      <w:r w:rsidRPr="00D332EC">
        <w:rPr>
          <w:rFonts w:ascii="Avenir Next" w:hAnsi="Avenir Next" w:cs="Arial"/>
          <w:sz w:val="22"/>
          <w:szCs w:val="22"/>
          <w:lang w:val="en-GB"/>
        </w:rPr>
        <w:t xml:space="preserve"> on the continuation of the debtor's business, preservation of employment, and discharge of liabilities.</w:t>
      </w:r>
    </w:p>
    <w:p w14:paraId="4EFB86F7" w14:textId="47A774E7" w:rsidR="00B83193" w:rsidRPr="00D332EC" w:rsidRDefault="00B83193" w:rsidP="00904BBF">
      <w:pPr>
        <w:autoSpaceDE w:val="0"/>
        <w:autoSpaceDN w:val="0"/>
        <w:adjustRightInd w:val="0"/>
        <w:jc w:val="both"/>
        <w:rPr>
          <w:rFonts w:ascii="Avenir Next" w:hAnsi="Avenir Next" w:cs="Arial"/>
          <w:sz w:val="22"/>
          <w:szCs w:val="22"/>
          <w:lang w:val="en-GB"/>
        </w:rPr>
      </w:pPr>
      <w:r w:rsidRPr="00D332EC">
        <w:rPr>
          <w:rFonts w:ascii="Avenir Next" w:hAnsi="Avenir Next" w:cs="Arial"/>
          <w:sz w:val="22"/>
          <w:szCs w:val="22"/>
          <w:lang w:val="en-GB"/>
        </w:rPr>
        <w:t xml:space="preserve">Inclusion in Annex A: The safeguard proceedings are </w:t>
      </w:r>
      <w:r w:rsidR="00EE3C36" w:rsidRPr="00D332EC">
        <w:rPr>
          <w:rFonts w:ascii="Avenir Next" w:hAnsi="Avenir Next" w:cs="Arial"/>
          <w:sz w:val="22"/>
          <w:szCs w:val="22"/>
          <w:lang w:val="en-GB"/>
        </w:rPr>
        <w:t>involved</w:t>
      </w:r>
      <w:r w:rsidRPr="00D332EC">
        <w:rPr>
          <w:rFonts w:ascii="Avenir Next" w:hAnsi="Avenir Next" w:cs="Arial"/>
          <w:sz w:val="22"/>
          <w:szCs w:val="22"/>
          <w:lang w:val="en-GB"/>
        </w:rPr>
        <w:t xml:space="preserve"> in Annex A of the EIR Recast, thus categorizing them as insolvency proceedings under the Regulation.</w:t>
      </w:r>
    </w:p>
    <w:p w14:paraId="7445B7A7" w14:textId="77777777" w:rsidR="004F242F" w:rsidRPr="00D332EC" w:rsidRDefault="004F242F" w:rsidP="00904BBF">
      <w:pPr>
        <w:autoSpaceDE w:val="0"/>
        <w:autoSpaceDN w:val="0"/>
        <w:adjustRightInd w:val="0"/>
        <w:jc w:val="both"/>
        <w:rPr>
          <w:rFonts w:ascii="Avenir Next" w:hAnsi="Avenir Next" w:cs="Arial"/>
          <w:sz w:val="22"/>
          <w:szCs w:val="22"/>
          <w:lang w:val="en-GB"/>
        </w:rPr>
      </w:pPr>
    </w:p>
    <w:p w14:paraId="227581AE" w14:textId="5E72C6E9" w:rsidR="00B83193" w:rsidRPr="00D332EC" w:rsidRDefault="00B83193" w:rsidP="00904BBF">
      <w:pPr>
        <w:autoSpaceDE w:val="0"/>
        <w:autoSpaceDN w:val="0"/>
        <w:adjustRightInd w:val="0"/>
        <w:jc w:val="both"/>
        <w:rPr>
          <w:rFonts w:ascii="Avenir Next" w:hAnsi="Avenir Next" w:cs="Arial"/>
          <w:b/>
          <w:bCs/>
          <w:sz w:val="22"/>
          <w:szCs w:val="22"/>
          <w:lang w:val="en-GB"/>
        </w:rPr>
      </w:pPr>
      <w:r w:rsidRPr="00D332EC">
        <w:rPr>
          <w:rFonts w:ascii="Avenir Next" w:hAnsi="Avenir Next" w:cs="Arial"/>
          <w:b/>
          <w:bCs/>
          <w:sz w:val="22"/>
          <w:szCs w:val="22"/>
          <w:lang w:val="en-GB"/>
        </w:rPr>
        <w:t>Jurisdiction under the EIR Recast</w:t>
      </w:r>
    </w:p>
    <w:p w14:paraId="6433EBB8" w14:textId="77777777" w:rsidR="00B83193" w:rsidRPr="00D332EC" w:rsidRDefault="00B83193" w:rsidP="00B83193">
      <w:pPr>
        <w:autoSpaceDE w:val="0"/>
        <w:autoSpaceDN w:val="0"/>
        <w:adjustRightInd w:val="0"/>
        <w:jc w:val="both"/>
        <w:rPr>
          <w:rFonts w:ascii="Avenir Next" w:hAnsi="Avenir Next" w:cs="Arial"/>
          <w:sz w:val="22"/>
          <w:szCs w:val="22"/>
          <w:lang w:val="en-GB"/>
        </w:rPr>
      </w:pPr>
    </w:p>
    <w:p w14:paraId="10FCC2C9" w14:textId="5FB6003C" w:rsidR="00B83193" w:rsidRPr="00D332EC" w:rsidRDefault="00B83193" w:rsidP="00B83193">
      <w:pPr>
        <w:autoSpaceDE w:val="0"/>
        <w:autoSpaceDN w:val="0"/>
        <w:adjustRightInd w:val="0"/>
        <w:jc w:val="both"/>
        <w:rPr>
          <w:rFonts w:ascii="Avenir Next" w:hAnsi="Avenir Next" w:cs="Arial"/>
          <w:sz w:val="22"/>
          <w:szCs w:val="22"/>
          <w:lang w:val="en-GB"/>
        </w:rPr>
      </w:pPr>
      <w:r w:rsidRPr="00D332EC">
        <w:rPr>
          <w:rFonts w:ascii="Avenir Next" w:hAnsi="Avenir Next" w:cs="Arial"/>
          <w:sz w:val="22"/>
          <w:szCs w:val="22"/>
          <w:lang w:val="en-GB"/>
        </w:rPr>
        <w:t>To establish jurisdiction, we must determine the Centre of Main Interests (COMI):</w:t>
      </w:r>
    </w:p>
    <w:p w14:paraId="4BC952F0" w14:textId="77777777" w:rsidR="00B83193" w:rsidRPr="00D332EC" w:rsidRDefault="00B83193" w:rsidP="00B83193">
      <w:pPr>
        <w:autoSpaceDE w:val="0"/>
        <w:autoSpaceDN w:val="0"/>
        <w:adjustRightInd w:val="0"/>
        <w:jc w:val="both"/>
        <w:rPr>
          <w:rFonts w:ascii="Avenir Next" w:hAnsi="Avenir Next" w:cs="Arial"/>
          <w:sz w:val="22"/>
          <w:szCs w:val="22"/>
          <w:lang w:val="en-GB"/>
        </w:rPr>
      </w:pPr>
    </w:p>
    <w:p w14:paraId="057FAAB1" w14:textId="77777777" w:rsidR="00B83193" w:rsidRPr="00D332EC" w:rsidRDefault="00B83193" w:rsidP="00B83193">
      <w:pPr>
        <w:autoSpaceDE w:val="0"/>
        <w:autoSpaceDN w:val="0"/>
        <w:adjustRightInd w:val="0"/>
        <w:jc w:val="both"/>
        <w:rPr>
          <w:rFonts w:ascii="Avenir Next" w:hAnsi="Avenir Next" w:cs="Arial"/>
          <w:b/>
          <w:bCs/>
          <w:sz w:val="22"/>
          <w:szCs w:val="22"/>
          <w:lang w:val="en-GB"/>
        </w:rPr>
      </w:pPr>
      <w:r w:rsidRPr="00D332EC">
        <w:rPr>
          <w:rFonts w:ascii="Avenir Next" w:hAnsi="Avenir Next" w:cs="Arial"/>
          <w:b/>
          <w:bCs/>
          <w:sz w:val="22"/>
          <w:szCs w:val="22"/>
          <w:lang w:val="en-GB"/>
        </w:rPr>
        <w:t>Centre of Main Interests (COMI):</w:t>
      </w:r>
    </w:p>
    <w:p w14:paraId="749AFB56" w14:textId="77777777" w:rsidR="006D1E81" w:rsidRPr="00D332EC" w:rsidRDefault="006D1E81" w:rsidP="006D1E81">
      <w:pPr>
        <w:autoSpaceDE w:val="0"/>
        <w:autoSpaceDN w:val="0"/>
        <w:adjustRightInd w:val="0"/>
        <w:jc w:val="both"/>
        <w:rPr>
          <w:rFonts w:ascii="Avenir Next" w:hAnsi="Avenir Next" w:cs="Arial"/>
          <w:sz w:val="22"/>
          <w:szCs w:val="22"/>
          <w:lang w:val="en-GB"/>
        </w:rPr>
      </w:pPr>
    </w:p>
    <w:p w14:paraId="4F8285D9" w14:textId="6AABE8A3" w:rsidR="00B83193" w:rsidRPr="00D332EC" w:rsidRDefault="006D1E81" w:rsidP="006D1E81">
      <w:pPr>
        <w:autoSpaceDE w:val="0"/>
        <w:autoSpaceDN w:val="0"/>
        <w:adjustRightInd w:val="0"/>
        <w:jc w:val="both"/>
        <w:rPr>
          <w:rFonts w:ascii="Avenir Next" w:hAnsi="Avenir Next" w:cs="Arial"/>
          <w:sz w:val="22"/>
          <w:szCs w:val="22"/>
          <w:lang w:val="en-GB"/>
        </w:rPr>
      </w:pPr>
      <w:r w:rsidRPr="00D332EC">
        <w:rPr>
          <w:rFonts w:ascii="Avenir Next" w:hAnsi="Avenir Next" w:cs="Arial"/>
          <w:sz w:val="22"/>
          <w:szCs w:val="22"/>
          <w:lang w:val="en-GB"/>
        </w:rPr>
        <w:t xml:space="preserve">The courts of the Member State where the debtor's COMI is </w:t>
      </w:r>
      <w:r w:rsidR="007308CE" w:rsidRPr="00D332EC">
        <w:rPr>
          <w:rFonts w:ascii="Avenir Next" w:hAnsi="Avenir Next" w:cs="Arial"/>
          <w:sz w:val="22"/>
          <w:szCs w:val="22"/>
          <w:lang w:val="en-GB"/>
        </w:rPr>
        <w:t>situated</w:t>
      </w:r>
      <w:r w:rsidRPr="00D332EC">
        <w:rPr>
          <w:rFonts w:ascii="Avenir Next" w:hAnsi="Avenir Next" w:cs="Arial"/>
          <w:sz w:val="22"/>
          <w:szCs w:val="22"/>
          <w:lang w:val="en-GB"/>
        </w:rPr>
        <w:t xml:space="preserve"> have jurisdiction to </w:t>
      </w:r>
      <w:r w:rsidR="006B754D" w:rsidRPr="00D332EC">
        <w:rPr>
          <w:rFonts w:ascii="Avenir Next" w:hAnsi="Avenir Next" w:cs="Arial"/>
          <w:sz w:val="22"/>
          <w:szCs w:val="22"/>
          <w:lang w:val="en-GB"/>
        </w:rPr>
        <w:t>persue</w:t>
      </w:r>
      <w:r w:rsidRPr="00D332EC">
        <w:rPr>
          <w:rFonts w:ascii="Avenir Next" w:hAnsi="Avenir Next" w:cs="Arial"/>
          <w:sz w:val="22"/>
          <w:szCs w:val="22"/>
          <w:lang w:val="en-GB"/>
        </w:rPr>
        <w:t xml:space="preserve"> main insolvency proceedings, as stated in Article 3(1) of the EIR Recast. Until shown </w:t>
      </w:r>
      <w:r w:rsidR="00AE1B09" w:rsidRPr="00D332EC">
        <w:rPr>
          <w:rFonts w:ascii="Avenir Next" w:hAnsi="Avenir Next" w:cs="Arial"/>
          <w:sz w:val="22"/>
          <w:szCs w:val="22"/>
          <w:lang w:val="en-GB"/>
        </w:rPr>
        <w:t>in a different way</w:t>
      </w:r>
      <w:r w:rsidRPr="00D332EC">
        <w:rPr>
          <w:rFonts w:ascii="Avenir Next" w:hAnsi="Avenir Next" w:cs="Arial"/>
          <w:sz w:val="22"/>
          <w:szCs w:val="22"/>
          <w:lang w:val="en-GB"/>
        </w:rPr>
        <w:t xml:space="preserve">, the location of the debtor's registered office is </w:t>
      </w:r>
      <w:r w:rsidR="00AE1B09" w:rsidRPr="00D332EC">
        <w:rPr>
          <w:rFonts w:ascii="Avenir Next" w:hAnsi="Avenir Next" w:cs="Arial"/>
          <w:sz w:val="22"/>
          <w:szCs w:val="22"/>
          <w:lang w:val="en-GB"/>
        </w:rPr>
        <w:t>presumed</w:t>
      </w:r>
      <w:r w:rsidRPr="00D332EC">
        <w:rPr>
          <w:rFonts w:ascii="Avenir Next" w:hAnsi="Avenir Next" w:cs="Arial"/>
          <w:sz w:val="22"/>
          <w:szCs w:val="22"/>
          <w:lang w:val="en-GB"/>
        </w:rPr>
        <w:t xml:space="preserve"> to be the COMI, as long as it can be independently verified.</w:t>
      </w:r>
    </w:p>
    <w:p w14:paraId="0744279D" w14:textId="77777777" w:rsidR="006D1E81" w:rsidRPr="00D332EC" w:rsidRDefault="006D1E81" w:rsidP="00B83193">
      <w:pPr>
        <w:autoSpaceDE w:val="0"/>
        <w:autoSpaceDN w:val="0"/>
        <w:adjustRightInd w:val="0"/>
        <w:jc w:val="both"/>
        <w:rPr>
          <w:rFonts w:ascii="Avenir Next" w:hAnsi="Avenir Next" w:cs="Arial"/>
          <w:b/>
          <w:bCs/>
          <w:sz w:val="22"/>
          <w:szCs w:val="22"/>
          <w:lang w:val="en-GB"/>
        </w:rPr>
      </w:pPr>
    </w:p>
    <w:p w14:paraId="6A918488" w14:textId="78A9057B" w:rsidR="00B83193" w:rsidRPr="00D332EC" w:rsidRDefault="00B83193" w:rsidP="00B83193">
      <w:pPr>
        <w:autoSpaceDE w:val="0"/>
        <w:autoSpaceDN w:val="0"/>
        <w:adjustRightInd w:val="0"/>
        <w:jc w:val="both"/>
        <w:rPr>
          <w:rFonts w:ascii="Avenir Next" w:hAnsi="Avenir Next" w:cs="Arial"/>
          <w:b/>
          <w:bCs/>
          <w:sz w:val="22"/>
          <w:szCs w:val="22"/>
          <w:lang w:val="en-GB"/>
        </w:rPr>
      </w:pPr>
      <w:r w:rsidRPr="00D332EC">
        <w:rPr>
          <w:rFonts w:ascii="Avenir Next" w:hAnsi="Avenir Next" w:cs="Arial"/>
          <w:b/>
          <w:bCs/>
          <w:sz w:val="22"/>
          <w:szCs w:val="22"/>
          <w:lang w:val="en-GB"/>
        </w:rPr>
        <w:t>Relevant CJEU Jurisprudence:</w:t>
      </w:r>
    </w:p>
    <w:p w14:paraId="6B963DEE" w14:textId="77777777" w:rsidR="00B83193" w:rsidRPr="00D332EC" w:rsidRDefault="00B83193" w:rsidP="00B83193">
      <w:pPr>
        <w:autoSpaceDE w:val="0"/>
        <w:autoSpaceDN w:val="0"/>
        <w:adjustRightInd w:val="0"/>
        <w:jc w:val="both"/>
        <w:rPr>
          <w:rFonts w:ascii="Avenir Next" w:hAnsi="Avenir Next" w:cs="Arial"/>
          <w:sz w:val="22"/>
          <w:szCs w:val="22"/>
          <w:lang w:val="en-GB"/>
        </w:rPr>
      </w:pPr>
    </w:p>
    <w:p w14:paraId="3F6AFFA2" w14:textId="77777777" w:rsidR="00AA2941" w:rsidRPr="00D332EC" w:rsidRDefault="00AA2941" w:rsidP="0029180A">
      <w:pPr>
        <w:autoSpaceDE w:val="0"/>
        <w:autoSpaceDN w:val="0"/>
        <w:adjustRightInd w:val="0"/>
        <w:jc w:val="both"/>
        <w:rPr>
          <w:rFonts w:ascii="Avenir Next" w:hAnsi="Avenir Next" w:cs="Arial"/>
          <w:sz w:val="22"/>
          <w:szCs w:val="22"/>
          <w:lang w:val="en-GB"/>
        </w:rPr>
      </w:pPr>
      <w:r w:rsidRPr="00D332EC">
        <w:rPr>
          <w:rFonts w:ascii="Avenir Next" w:hAnsi="Avenir Next" w:cs="Arial"/>
          <w:b/>
          <w:bCs/>
          <w:sz w:val="22"/>
          <w:szCs w:val="22"/>
          <w:lang w:val="en-GB"/>
        </w:rPr>
        <w:t>Staubitz-Schreiber (C-1/04):</w:t>
      </w:r>
      <w:r w:rsidRPr="00D332EC">
        <w:rPr>
          <w:rFonts w:ascii="Avenir Next" w:hAnsi="Avenir Next" w:cs="Arial"/>
          <w:sz w:val="22"/>
          <w:szCs w:val="22"/>
          <w:lang w:val="en-GB"/>
        </w:rPr>
        <w:t xml:space="preserve"> This case made it clear that the COMI ought to be ascertained at the outset of the insolvency process. It underlined that, absent circumstances that can be independently verified by third parties, a company's registered office usually represents its COMI.</w:t>
      </w:r>
    </w:p>
    <w:p w14:paraId="06DDB17D" w14:textId="77777777" w:rsidR="00AA2941" w:rsidRPr="00D332EC" w:rsidRDefault="00AA2941" w:rsidP="0029180A">
      <w:pPr>
        <w:autoSpaceDE w:val="0"/>
        <w:autoSpaceDN w:val="0"/>
        <w:adjustRightInd w:val="0"/>
        <w:jc w:val="both"/>
        <w:rPr>
          <w:rFonts w:ascii="Avenir Next" w:hAnsi="Avenir Next" w:cs="Arial"/>
          <w:sz w:val="22"/>
          <w:szCs w:val="22"/>
          <w:lang w:val="en-GB"/>
        </w:rPr>
      </w:pPr>
      <w:r w:rsidRPr="00D332EC">
        <w:rPr>
          <w:rFonts w:ascii="Avenir Next" w:hAnsi="Avenir Next" w:cs="Arial"/>
          <w:b/>
          <w:bCs/>
          <w:sz w:val="22"/>
          <w:szCs w:val="22"/>
          <w:lang w:val="en-GB"/>
        </w:rPr>
        <w:t>MG Probud Gdynia (C-444/07):</w:t>
      </w:r>
      <w:r w:rsidRPr="00D332EC">
        <w:rPr>
          <w:rFonts w:ascii="Avenir Next" w:hAnsi="Avenir Next" w:cs="Arial"/>
          <w:sz w:val="22"/>
          <w:szCs w:val="22"/>
          <w:lang w:val="en-GB"/>
        </w:rPr>
        <w:t xml:space="preserve"> This case emphasized how important it is for creditors in particular to be able to determine the COMI. The point was emphasized that the debtor routinely manages its interests through the COMI.</w:t>
      </w:r>
    </w:p>
    <w:p w14:paraId="1A88AC4F" w14:textId="01EEAE67" w:rsidR="00B44F1B" w:rsidRPr="00D332EC" w:rsidRDefault="00AA2941" w:rsidP="0029180A">
      <w:pPr>
        <w:autoSpaceDE w:val="0"/>
        <w:autoSpaceDN w:val="0"/>
        <w:adjustRightInd w:val="0"/>
        <w:jc w:val="both"/>
        <w:rPr>
          <w:rFonts w:ascii="Avenir Next" w:hAnsi="Avenir Next" w:cs="Arial"/>
          <w:sz w:val="22"/>
          <w:szCs w:val="22"/>
          <w:lang w:val="en-GB"/>
        </w:rPr>
      </w:pPr>
      <w:r w:rsidRPr="00D332EC">
        <w:rPr>
          <w:rFonts w:ascii="Avenir Next" w:hAnsi="Avenir Next" w:cs="Arial"/>
          <w:b/>
          <w:bCs/>
          <w:sz w:val="22"/>
          <w:szCs w:val="22"/>
          <w:lang w:val="en-GB"/>
        </w:rPr>
        <w:t>Cornelius de Visser (C-341/04):</w:t>
      </w:r>
      <w:r w:rsidRPr="00D332EC">
        <w:rPr>
          <w:rFonts w:ascii="Avenir Next" w:hAnsi="Avenir Next" w:cs="Arial"/>
          <w:sz w:val="22"/>
          <w:szCs w:val="22"/>
          <w:lang w:val="en-GB"/>
        </w:rPr>
        <w:t xml:space="preserve"> This case highlighted that the location of the debtor's primary interests must be objectively assessed in order to determine COMI, and that third parties should be able to determine this location.</w:t>
      </w:r>
    </w:p>
    <w:p w14:paraId="6046963B" w14:textId="77777777" w:rsidR="0029180A" w:rsidRPr="00D332EC" w:rsidRDefault="0029180A" w:rsidP="0029180A">
      <w:pPr>
        <w:autoSpaceDE w:val="0"/>
        <w:autoSpaceDN w:val="0"/>
        <w:adjustRightInd w:val="0"/>
        <w:jc w:val="both"/>
        <w:rPr>
          <w:rFonts w:ascii="Avenir Next" w:hAnsi="Avenir Next" w:cs="Arial"/>
          <w:sz w:val="22"/>
          <w:szCs w:val="22"/>
          <w:lang w:val="en-GB"/>
        </w:rPr>
      </w:pPr>
    </w:p>
    <w:p w14:paraId="4207D21B" w14:textId="6D61E978" w:rsidR="00B83193" w:rsidRPr="00D332EC" w:rsidRDefault="00B83193" w:rsidP="0029180A">
      <w:pPr>
        <w:autoSpaceDE w:val="0"/>
        <w:autoSpaceDN w:val="0"/>
        <w:adjustRightInd w:val="0"/>
        <w:jc w:val="both"/>
        <w:rPr>
          <w:rFonts w:ascii="Avenir Next" w:hAnsi="Avenir Next" w:cs="Arial"/>
          <w:b/>
          <w:bCs/>
          <w:sz w:val="22"/>
          <w:szCs w:val="22"/>
          <w:lang w:val="en-GB"/>
        </w:rPr>
      </w:pPr>
      <w:r w:rsidRPr="00D332EC">
        <w:rPr>
          <w:rFonts w:ascii="Avenir Next" w:hAnsi="Avenir Next" w:cs="Arial"/>
          <w:b/>
          <w:bCs/>
          <w:sz w:val="22"/>
          <w:szCs w:val="22"/>
          <w:lang w:val="en-GB"/>
        </w:rPr>
        <w:t>Application to Dinosaurus SARL</w:t>
      </w:r>
    </w:p>
    <w:p w14:paraId="3D2F94EA" w14:textId="77777777" w:rsidR="00B83193" w:rsidRPr="00D332EC" w:rsidRDefault="00B83193" w:rsidP="00B83193">
      <w:pPr>
        <w:autoSpaceDE w:val="0"/>
        <w:autoSpaceDN w:val="0"/>
        <w:adjustRightInd w:val="0"/>
        <w:jc w:val="both"/>
        <w:rPr>
          <w:rFonts w:ascii="Avenir Next" w:hAnsi="Avenir Next" w:cs="Arial"/>
          <w:sz w:val="22"/>
          <w:szCs w:val="22"/>
          <w:lang w:val="en-GB"/>
        </w:rPr>
      </w:pPr>
    </w:p>
    <w:p w14:paraId="416933FE" w14:textId="70C80E50" w:rsidR="008F6588" w:rsidRPr="00D332EC" w:rsidRDefault="00CE1998" w:rsidP="00B83193">
      <w:pPr>
        <w:autoSpaceDE w:val="0"/>
        <w:autoSpaceDN w:val="0"/>
        <w:adjustRightInd w:val="0"/>
        <w:jc w:val="both"/>
        <w:rPr>
          <w:rFonts w:ascii="Avenir Next" w:hAnsi="Avenir Next" w:cs="Arial"/>
          <w:sz w:val="22"/>
          <w:szCs w:val="22"/>
          <w:lang w:val="en-GB"/>
        </w:rPr>
      </w:pPr>
      <w:r w:rsidRPr="00D332EC">
        <w:rPr>
          <w:rFonts w:ascii="Avenir Next" w:hAnsi="Avenir Next" w:cs="Arial"/>
          <w:sz w:val="22"/>
          <w:szCs w:val="22"/>
          <w:lang w:val="en-GB"/>
        </w:rPr>
        <w:t>These hints demonstrate that the COMI of Dinosaurus SARL is definitely in France. Its employees and creditors, for example, are able to confirm that the company primarily oversees its interests in France.</w:t>
      </w:r>
    </w:p>
    <w:p w14:paraId="76FE3B1A" w14:textId="77777777" w:rsidR="00B83193" w:rsidRPr="00D332EC" w:rsidRDefault="00B83193" w:rsidP="00B83193">
      <w:pPr>
        <w:autoSpaceDE w:val="0"/>
        <w:autoSpaceDN w:val="0"/>
        <w:adjustRightInd w:val="0"/>
        <w:jc w:val="both"/>
        <w:rPr>
          <w:rFonts w:ascii="Avenir Next" w:hAnsi="Avenir Next" w:cs="Arial"/>
          <w:b/>
          <w:bCs/>
          <w:sz w:val="22"/>
          <w:szCs w:val="22"/>
          <w:lang w:val="en-GB"/>
        </w:rPr>
      </w:pPr>
      <w:r w:rsidRPr="00D332EC">
        <w:rPr>
          <w:rFonts w:ascii="Avenir Next" w:hAnsi="Avenir Next" w:cs="Arial"/>
          <w:b/>
          <w:bCs/>
          <w:sz w:val="22"/>
          <w:szCs w:val="22"/>
          <w:lang w:val="en-GB"/>
        </w:rPr>
        <w:t>Conclusion</w:t>
      </w:r>
    </w:p>
    <w:p w14:paraId="2C21ECD6" w14:textId="6D30D108" w:rsidR="00B83193" w:rsidRPr="00D332EC" w:rsidRDefault="00F717B7" w:rsidP="002A37BB">
      <w:pPr>
        <w:jc w:val="both"/>
        <w:rPr>
          <w:rFonts w:ascii="Avenir Next" w:hAnsi="Avenir Next" w:cs="Arial"/>
          <w:sz w:val="22"/>
          <w:szCs w:val="22"/>
          <w:lang w:val="en-GB"/>
        </w:rPr>
      </w:pPr>
      <w:r w:rsidRPr="00D332EC">
        <w:rPr>
          <w:rFonts w:ascii="Avenir Next" w:hAnsi="Avenir Next" w:cs="Arial"/>
          <w:sz w:val="22"/>
          <w:szCs w:val="22"/>
          <w:lang w:val="en-GB"/>
        </w:rPr>
        <w:t>Regarding the start of Dinosaurus SARL's safeguard proceedings, the EIR Recast is applicable. The COMI of Dinosaurus SARL is based in France, hence the French Commercial Court in Le Mans has jurisdiction over the matter. The EIR Recast's provisions and pertinent CJEU case law—most notably Staubitz-Schreiber (C-1/04), MG Probud Gdynia (C-444/07), and Cornelius de Visser (C-341/04)—support this finding. As a result, the French court has a valid reason to begin Dinosaurus SARL's safeguard actions under the EIR Recast.</w:t>
      </w:r>
    </w:p>
    <w:p w14:paraId="1FAD166B" w14:textId="77777777" w:rsidR="00F717B7" w:rsidRPr="00D332EC" w:rsidRDefault="00F717B7" w:rsidP="002A37BB">
      <w:pPr>
        <w:jc w:val="both"/>
        <w:rPr>
          <w:rFonts w:ascii="Avenir Next" w:hAnsi="Avenir Next" w:cs="Arial"/>
          <w:b/>
          <w:bCs/>
          <w:sz w:val="22"/>
          <w:szCs w:val="22"/>
          <w:lang w:val="en-GB"/>
        </w:rPr>
      </w:pPr>
    </w:p>
    <w:p w14:paraId="033C67A4" w14:textId="65709C1D" w:rsidR="002D3473" w:rsidRPr="00D332EC" w:rsidRDefault="009B0723" w:rsidP="002A37BB">
      <w:pPr>
        <w:jc w:val="both"/>
        <w:rPr>
          <w:rFonts w:ascii="Avenir Next" w:hAnsi="Avenir Next" w:cs="Arial"/>
          <w:b/>
          <w:bCs/>
          <w:sz w:val="22"/>
          <w:szCs w:val="22"/>
          <w:lang w:val="en-GB"/>
        </w:rPr>
      </w:pPr>
      <w:r w:rsidRPr="00D332EC">
        <w:rPr>
          <w:rFonts w:ascii="Avenir Next" w:hAnsi="Avenir Next" w:cs="Arial"/>
          <w:b/>
          <w:bCs/>
          <w:sz w:val="22"/>
          <w:szCs w:val="22"/>
          <w:lang w:val="en-GB"/>
        </w:rPr>
        <w:t>Question 4.3 [</w:t>
      </w:r>
      <w:r w:rsidR="00126A4D" w:rsidRPr="00D332EC">
        <w:rPr>
          <w:rFonts w:ascii="Avenir Next" w:hAnsi="Avenir Next" w:cs="Arial"/>
          <w:b/>
          <w:bCs/>
          <w:sz w:val="22"/>
          <w:szCs w:val="22"/>
          <w:lang w:val="en-GB"/>
        </w:rPr>
        <w:t>m</w:t>
      </w:r>
      <w:r w:rsidRPr="00D332EC">
        <w:rPr>
          <w:rFonts w:ascii="Avenir Next" w:hAnsi="Avenir Next" w:cs="Arial"/>
          <w:b/>
          <w:bCs/>
          <w:sz w:val="22"/>
          <w:szCs w:val="22"/>
          <w:lang w:val="en-GB"/>
        </w:rPr>
        <w:t xml:space="preserve">aximum </w:t>
      </w:r>
      <w:r w:rsidR="009B4976" w:rsidRPr="00D332EC">
        <w:rPr>
          <w:rFonts w:ascii="Avenir Next" w:hAnsi="Avenir Next" w:cs="Arial"/>
          <w:b/>
          <w:bCs/>
          <w:sz w:val="22"/>
          <w:szCs w:val="22"/>
          <w:lang w:val="en-GB"/>
        </w:rPr>
        <w:t>5</w:t>
      </w:r>
      <w:r w:rsidRPr="00D332EC">
        <w:rPr>
          <w:rFonts w:ascii="Avenir Next" w:hAnsi="Avenir Next" w:cs="Arial"/>
          <w:b/>
          <w:bCs/>
          <w:sz w:val="22"/>
          <w:szCs w:val="22"/>
          <w:lang w:val="en-GB"/>
        </w:rPr>
        <w:t xml:space="preserve"> marks]</w:t>
      </w:r>
    </w:p>
    <w:bookmarkEnd w:id="0"/>
    <w:p w14:paraId="2122CCB5" w14:textId="77777777" w:rsidR="003D17A2" w:rsidRPr="00D332EC" w:rsidRDefault="003D17A2" w:rsidP="002A37BB">
      <w:pPr>
        <w:jc w:val="both"/>
        <w:rPr>
          <w:rFonts w:ascii="Avenir Next" w:hAnsi="Avenir Next" w:cs="Arial"/>
          <w:sz w:val="22"/>
          <w:szCs w:val="22"/>
          <w:lang w:val="en-GB"/>
        </w:rPr>
      </w:pPr>
    </w:p>
    <w:p w14:paraId="2596630B" w14:textId="356395B8" w:rsidR="0078463C" w:rsidRPr="00D332EC" w:rsidRDefault="0078463C" w:rsidP="0078463C">
      <w:pPr>
        <w:jc w:val="both"/>
        <w:rPr>
          <w:rFonts w:ascii="Avenir Next" w:hAnsi="Avenir Next" w:cs="Arial"/>
          <w:sz w:val="22"/>
          <w:szCs w:val="22"/>
          <w:lang w:val="en-GB"/>
        </w:rPr>
      </w:pPr>
      <w:r w:rsidRPr="00D332EC">
        <w:rPr>
          <w:rFonts w:ascii="Avenir Next" w:hAnsi="Avenir Next" w:cs="Arial"/>
          <w:sz w:val="22"/>
          <w:szCs w:val="22"/>
          <w:lang w:val="en-GB"/>
        </w:rPr>
        <w:t xml:space="preserve">A Spanish bank files a petition to open secondary insolvency proceedings in Spain with the purpose of securing a Spanish insolvency distribution ranking. </w:t>
      </w:r>
    </w:p>
    <w:p w14:paraId="2C3811C2" w14:textId="77777777" w:rsidR="006723E9" w:rsidRPr="00D332EC" w:rsidRDefault="006723E9" w:rsidP="002A37BB">
      <w:pPr>
        <w:jc w:val="both"/>
        <w:rPr>
          <w:rFonts w:ascii="Avenir Next" w:hAnsi="Avenir Next" w:cs="Arial"/>
          <w:sz w:val="22"/>
          <w:szCs w:val="22"/>
          <w:lang w:val="en-GB"/>
        </w:rPr>
      </w:pPr>
    </w:p>
    <w:p w14:paraId="24DB2305" w14:textId="72043C16" w:rsidR="003D17A2" w:rsidRPr="00D332EC" w:rsidRDefault="009B4976" w:rsidP="002A37BB">
      <w:pPr>
        <w:jc w:val="both"/>
        <w:rPr>
          <w:rFonts w:ascii="Avenir Next" w:hAnsi="Avenir Next" w:cs="Arial"/>
          <w:b/>
          <w:bCs/>
          <w:i/>
          <w:iCs/>
          <w:sz w:val="22"/>
          <w:szCs w:val="22"/>
          <w:lang w:val="en-GB"/>
        </w:rPr>
      </w:pPr>
      <w:r w:rsidRPr="00D332EC">
        <w:rPr>
          <w:rFonts w:ascii="Avenir Next" w:hAnsi="Avenir Next" w:cs="Arial"/>
          <w:b/>
          <w:bCs/>
          <w:i/>
          <w:iCs/>
          <w:sz w:val="22"/>
          <w:szCs w:val="22"/>
          <w:lang w:val="en-GB"/>
        </w:rPr>
        <w:t xml:space="preserve">Given the facts of the case, can such proceedings be opened in </w:t>
      </w:r>
      <w:r w:rsidR="004F4AF9" w:rsidRPr="00D332EC">
        <w:rPr>
          <w:rFonts w:ascii="Avenir Next" w:hAnsi="Avenir Next" w:cs="Arial"/>
          <w:b/>
          <w:bCs/>
          <w:i/>
          <w:iCs/>
          <w:sz w:val="22"/>
          <w:szCs w:val="22"/>
          <w:lang w:val="en-GB"/>
        </w:rPr>
        <w:t>Italy</w:t>
      </w:r>
      <w:r w:rsidRPr="00D332EC">
        <w:rPr>
          <w:rFonts w:ascii="Avenir Next" w:hAnsi="Avenir Next" w:cs="Arial"/>
          <w:b/>
          <w:bCs/>
          <w:i/>
          <w:iCs/>
          <w:sz w:val="22"/>
          <w:szCs w:val="22"/>
          <w:lang w:val="en-GB"/>
        </w:rPr>
        <w:t xml:space="preserve"> under the EIR Recast? </w:t>
      </w:r>
    </w:p>
    <w:p w14:paraId="16C5B577" w14:textId="77777777" w:rsidR="006723E9" w:rsidRPr="00D332EC" w:rsidRDefault="006723E9" w:rsidP="002A37BB">
      <w:pPr>
        <w:jc w:val="both"/>
        <w:rPr>
          <w:rFonts w:ascii="Avenir Next" w:hAnsi="Avenir Next" w:cs="Arial"/>
          <w:sz w:val="22"/>
          <w:szCs w:val="22"/>
          <w:lang w:val="en-GB"/>
        </w:rPr>
      </w:pPr>
    </w:p>
    <w:p w14:paraId="7938A593" w14:textId="54533283" w:rsidR="002D0021" w:rsidRPr="00D332EC" w:rsidRDefault="009B4976" w:rsidP="002A37BB">
      <w:pPr>
        <w:jc w:val="both"/>
        <w:rPr>
          <w:rFonts w:ascii="Avenir Next" w:hAnsi="Avenir Next" w:cs="Arial"/>
          <w:sz w:val="22"/>
          <w:szCs w:val="22"/>
          <w:lang w:val="en-GB"/>
        </w:rPr>
      </w:pPr>
      <w:r w:rsidRPr="00D332EC">
        <w:rPr>
          <w:rFonts w:ascii="Avenir Next" w:hAnsi="Avenir Next" w:cs="Arial"/>
          <w:sz w:val="22"/>
          <w:szCs w:val="22"/>
          <w:lang w:val="en-GB"/>
        </w:rPr>
        <w:t>Your answer should contain references to the applicable law and the relevant CJEU jurisprudence.</w:t>
      </w:r>
      <w:r w:rsidR="00457CA3" w:rsidRPr="00D332EC">
        <w:rPr>
          <w:rFonts w:ascii="Avenir Next" w:hAnsi="Avenir Next" w:cs="Arial"/>
          <w:sz w:val="22"/>
          <w:szCs w:val="22"/>
          <w:lang w:val="en-GB"/>
        </w:rPr>
        <w:t xml:space="preserve"> </w:t>
      </w:r>
    </w:p>
    <w:p w14:paraId="6B1B496C" w14:textId="77777777" w:rsidR="00904BBF" w:rsidRPr="00D332EC" w:rsidRDefault="00904BBF" w:rsidP="00904BBF">
      <w:pPr>
        <w:rPr>
          <w:rFonts w:ascii="Avenir Next" w:hAnsi="Avenir Next" w:cs="Arial"/>
          <w:sz w:val="22"/>
          <w:szCs w:val="22"/>
          <w:lang w:val="en-GB"/>
        </w:rPr>
      </w:pPr>
    </w:p>
    <w:p w14:paraId="2943D6F8" w14:textId="5B2665C6" w:rsidR="00EA14EE" w:rsidRPr="00D332EC" w:rsidRDefault="00904BBF" w:rsidP="00904BBF">
      <w:pPr>
        <w:rPr>
          <w:rFonts w:ascii="Avenir Next" w:hAnsi="Avenir Next" w:cs="Arial"/>
          <w:sz w:val="22"/>
          <w:szCs w:val="22"/>
          <w:lang w:val="en-GB"/>
        </w:rPr>
      </w:pPr>
      <w:r w:rsidRPr="00D332EC">
        <w:rPr>
          <w:rFonts w:ascii="Avenir Next" w:hAnsi="Avenir Next" w:cs="Arial"/>
          <w:sz w:val="22"/>
          <w:szCs w:val="22"/>
          <w:lang w:val="en-GB"/>
        </w:rPr>
        <w:t>Answer:</w:t>
      </w:r>
    </w:p>
    <w:p w14:paraId="7E19FD65" w14:textId="77777777" w:rsidR="00904BBF" w:rsidRPr="00D332EC" w:rsidRDefault="00904BBF" w:rsidP="00904BBF">
      <w:pPr>
        <w:rPr>
          <w:rFonts w:ascii="Avenir Next" w:hAnsi="Avenir Next" w:cs="Arial"/>
          <w:sz w:val="22"/>
          <w:szCs w:val="22"/>
          <w:lang w:val="en-GB"/>
        </w:rPr>
      </w:pPr>
    </w:p>
    <w:p w14:paraId="5E936FC0" w14:textId="77777777" w:rsidR="00904BBF" w:rsidRPr="00D332EC" w:rsidRDefault="00904BBF" w:rsidP="00904BBF">
      <w:pPr>
        <w:jc w:val="both"/>
        <w:rPr>
          <w:rFonts w:ascii="Avenir Next" w:hAnsi="Avenir Next" w:cs="Arial"/>
          <w:b/>
          <w:bCs/>
          <w:sz w:val="22"/>
          <w:szCs w:val="22"/>
          <w:lang w:val="en-GB"/>
        </w:rPr>
      </w:pPr>
      <w:r w:rsidRPr="00D332EC">
        <w:rPr>
          <w:rFonts w:ascii="Avenir Next" w:hAnsi="Avenir Next" w:cs="Arial"/>
          <w:b/>
          <w:bCs/>
          <w:sz w:val="22"/>
          <w:szCs w:val="22"/>
          <w:lang w:val="en-GB"/>
        </w:rPr>
        <w:t>Analysis of Opening Secondary Proceedings in Spain under the EIR Recast</w:t>
      </w:r>
    </w:p>
    <w:p w14:paraId="1676CFA7" w14:textId="01DF52F0" w:rsidR="00904BBF" w:rsidRPr="00D332EC" w:rsidRDefault="00425AFC" w:rsidP="00904BBF">
      <w:pPr>
        <w:jc w:val="both"/>
        <w:rPr>
          <w:rFonts w:ascii="Avenir Next" w:hAnsi="Avenir Next" w:cs="Arial"/>
          <w:sz w:val="22"/>
          <w:szCs w:val="22"/>
          <w:lang w:val="en-GB"/>
        </w:rPr>
      </w:pPr>
      <w:r w:rsidRPr="00D332EC">
        <w:rPr>
          <w:rFonts w:ascii="Avenir Next" w:hAnsi="Avenir Next" w:cs="Arial"/>
          <w:sz w:val="22"/>
          <w:szCs w:val="22"/>
          <w:lang w:val="en-GB"/>
        </w:rPr>
        <w:t>We must examine the Regulation's provisions, paying close attention to the definition of "secondary proceedings" and the relevant case law, in order to decide whether secondary insolvency proceedings may be initiated in Spain under the EIR Recast.</w:t>
      </w:r>
    </w:p>
    <w:p w14:paraId="5A0EFE60" w14:textId="77777777" w:rsidR="00425AFC" w:rsidRPr="00D332EC" w:rsidRDefault="00425AFC" w:rsidP="00904BBF">
      <w:pPr>
        <w:jc w:val="both"/>
        <w:rPr>
          <w:rFonts w:ascii="Avenir Next" w:hAnsi="Avenir Next" w:cs="Arial"/>
          <w:b/>
          <w:bCs/>
          <w:sz w:val="22"/>
          <w:szCs w:val="22"/>
          <w:lang w:val="en-GB"/>
        </w:rPr>
      </w:pPr>
    </w:p>
    <w:p w14:paraId="6709087E" w14:textId="00E486AB" w:rsidR="00904BBF" w:rsidRPr="00D332EC" w:rsidRDefault="00904BBF" w:rsidP="00904BBF">
      <w:pPr>
        <w:jc w:val="both"/>
        <w:rPr>
          <w:rFonts w:ascii="Avenir Next" w:hAnsi="Avenir Next" w:cs="Arial"/>
          <w:b/>
          <w:bCs/>
          <w:sz w:val="22"/>
          <w:szCs w:val="22"/>
          <w:lang w:val="en-GB"/>
        </w:rPr>
      </w:pPr>
      <w:r w:rsidRPr="00D332EC">
        <w:rPr>
          <w:rFonts w:ascii="Avenir Next" w:hAnsi="Avenir Next" w:cs="Arial"/>
          <w:b/>
          <w:bCs/>
          <w:sz w:val="22"/>
          <w:szCs w:val="22"/>
          <w:lang w:val="en-GB"/>
        </w:rPr>
        <w:t>Primary Legal Framework</w:t>
      </w:r>
    </w:p>
    <w:p w14:paraId="1659B264" w14:textId="77777777" w:rsidR="00904BBF" w:rsidRPr="00D332EC" w:rsidRDefault="00904BBF" w:rsidP="00904BBF">
      <w:pPr>
        <w:jc w:val="both"/>
        <w:rPr>
          <w:rFonts w:ascii="Avenir Next" w:hAnsi="Avenir Next" w:cs="Arial"/>
          <w:sz w:val="22"/>
          <w:szCs w:val="22"/>
          <w:lang w:val="en-GB"/>
        </w:rPr>
      </w:pPr>
    </w:p>
    <w:p w14:paraId="6097A6E8" w14:textId="7805ECC8" w:rsidR="00904BBF" w:rsidRPr="00D332EC" w:rsidRDefault="00904BBF" w:rsidP="00904BBF">
      <w:pPr>
        <w:jc w:val="both"/>
        <w:rPr>
          <w:rFonts w:ascii="Avenir Next" w:hAnsi="Avenir Next" w:cs="Arial"/>
          <w:b/>
          <w:bCs/>
          <w:sz w:val="22"/>
          <w:szCs w:val="22"/>
          <w:lang w:val="en-GB"/>
        </w:rPr>
      </w:pPr>
      <w:r w:rsidRPr="00D332EC">
        <w:rPr>
          <w:rFonts w:ascii="Avenir Next" w:hAnsi="Avenir Next" w:cs="Arial"/>
          <w:b/>
          <w:bCs/>
          <w:sz w:val="22"/>
          <w:szCs w:val="22"/>
          <w:lang w:val="en-GB"/>
        </w:rPr>
        <w:t>Main and Secondary Proceedings under the EIR Recast:</w:t>
      </w:r>
    </w:p>
    <w:p w14:paraId="34EB0A05" w14:textId="77777777" w:rsidR="00904BBF" w:rsidRPr="00D332EC" w:rsidRDefault="00904BBF" w:rsidP="00904BBF">
      <w:pPr>
        <w:jc w:val="both"/>
        <w:rPr>
          <w:rFonts w:ascii="Avenir Next" w:hAnsi="Avenir Next" w:cs="Arial"/>
          <w:sz w:val="22"/>
          <w:szCs w:val="22"/>
          <w:lang w:val="en-GB"/>
        </w:rPr>
      </w:pPr>
    </w:p>
    <w:p w14:paraId="028DB842" w14:textId="7BB420ED" w:rsidR="00EC7B7B" w:rsidRPr="00D332EC" w:rsidRDefault="00EC7B7B" w:rsidP="00EC7B7B">
      <w:pPr>
        <w:jc w:val="both"/>
        <w:rPr>
          <w:rFonts w:ascii="Avenir Next" w:hAnsi="Avenir Next" w:cs="Arial"/>
          <w:sz w:val="22"/>
          <w:szCs w:val="22"/>
          <w:lang w:val="en-GB"/>
        </w:rPr>
      </w:pPr>
      <w:r w:rsidRPr="00D332EC">
        <w:rPr>
          <w:rFonts w:ascii="Avenir Next" w:hAnsi="Avenir Next" w:cs="Arial"/>
          <w:sz w:val="22"/>
          <w:szCs w:val="22"/>
          <w:lang w:val="en-GB"/>
        </w:rPr>
        <w:t>The courts of the Member State where the debtor's Center of primary Interests (COMI) is based have competence to begin primary insolvency proceedings, according to Article 3(1) of the EIR Recast.</w:t>
      </w:r>
    </w:p>
    <w:p w14:paraId="11E277DA" w14:textId="77777777" w:rsidR="00EC7B7B" w:rsidRPr="00D332EC" w:rsidRDefault="00EC7B7B" w:rsidP="00EC7B7B">
      <w:pPr>
        <w:jc w:val="both"/>
        <w:rPr>
          <w:rFonts w:ascii="Avenir Next" w:hAnsi="Avenir Next" w:cs="Arial"/>
          <w:sz w:val="22"/>
          <w:szCs w:val="22"/>
          <w:lang w:val="en-GB"/>
        </w:rPr>
      </w:pPr>
    </w:p>
    <w:p w14:paraId="481E052B" w14:textId="381C8F54" w:rsidR="00425AFC" w:rsidRPr="00D332EC" w:rsidRDefault="00EC7B7B" w:rsidP="00EC7B7B">
      <w:pPr>
        <w:jc w:val="both"/>
        <w:rPr>
          <w:rFonts w:ascii="Avenir Next" w:hAnsi="Avenir Next" w:cs="Arial"/>
          <w:sz w:val="22"/>
          <w:szCs w:val="22"/>
          <w:lang w:val="en-GB"/>
        </w:rPr>
      </w:pPr>
      <w:r w:rsidRPr="00D332EC">
        <w:rPr>
          <w:rFonts w:ascii="Avenir Next" w:hAnsi="Avenir Next" w:cs="Arial"/>
          <w:sz w:val="22"/>
          <w:szCs w:val="22"/>
          <w:lang w:val="en-GB"/>
        </w:rPr>
        <w:t>In a Member State where the debtor maintains an establishment, secondary insolvency procedures may be initiated under to Article 3(2) of the EIR Recast. Any location where the debtor uses products and labor to conduct a non-transitory economic activity is considered an establishment.</w:t>
      </w:r>
    </w:p>
    <w:p w14:paraId="2A99F884" w14:textId="77777777" w:rsidR="0047468C" w:rsidRPr="00D332EC" w:rsidRDefault="0047468C" w:rsidP="00EC7B7B">
      <w:pPr>
        <w:jc w:val="both"/>
        <w:rPr>
          <w:rFonts w:ascii="Avenir Next" w:hAnsi="Avenir Next" w:cs="Arial"/>
          <w:sz w:val="22"/>
          <w:szCs w:val="22"/>
          <w:lang w:val="en-GB"/>
        </w:rPr>
      </w:pPr>
    </w:p>
    <w:p w14:paraId="1CBA111D" w14:textId="0C4181D2" w:rsidR="00904BBF" w:rsidRPr="00D332EC" w:rsidRDefault="00904BBF" w:rsidP="00904BBF">
      <w:pPr>
        <w:jc w:val="both"/>
        <w:rPr>
          <w:rFonts w:ascii="Avenir Next" w:hAnsi="Avenir Next" w:cs="Arial"/>
          <w:b/>
          <w:bCs/>
          <w:sz w:val="22"/>
          <w:szCs w:val="22"/>
          <w:lang w:val="en-GB"/>
        </w:rPr>
      </w:pPr>
      <w:r w:rsidRPr="00D332EC">
        <w:rPr>
          <w:rFonts w:ascii="Avenir Next" w:hAnsi="Avenir Next" w:cs="Arial"/>
          <w:b/>
          <w:bCs/>
          <w:sz w:val="22"/>
          <w:szCs w:val="22"/>
          <w:lang w:val="en-GB"/>
        </w:rPr>
        <w:t>Definition of Establishment:</w:t>
      </w:r>
    </w:p>
    <w:p w14:paraId="292F3950" w14:textId="77777777" w:rsidR="00904BBF" w:rsidRPr="00D332EC" w:rsidRDefault="00904BBF" w:rsidP="00904BBF">
      <w:pPr>
        <w:jc w:val="both"/>
        <w:rPr>
          <w:rFonts w:ascii="Avenir Next" w:hAnsi="Avenir Next" w:cs="Arial"/>
          <w:sz w:val="22"/>
          <w:szCs w:val="22"/>
          <w:lang w:val="en-GB"/>
        </w:rPr>
      </w:pPr>
    </w:p>
    <w:p w14:paraId="71E23534" w14:textId="0C946988" w:rsidR="0047468C" w:rsidRPr="00D332EC" w:rsidRDefault="00AF07A0" w:rsidP="00904BBF">
      <w:pPr>
        <w:jc w:val="both"/>
        <w:rPr>
          <w:rFonts w:ascii="Avenir Next" w:hAnsi="Avenir Next" w:cs="Arial"/>
          <w:sz w:val="22"/>
          <w:szCs w:val="22"/>
          <w:lang w:val="en-GB"/>
        </w:rPr>
      </w:pPr>
      <w:r w:rsidRPr="00D332EC">
        <w:rPr>
          <w:rFonts w:ascii="Avenir Next" w:hAnsi="Avenir Next" w:cs="Arial"/>
          <w:sz w:val="22"/>
          <w:szCs w:val="22"/>
          <w:lang w:val="en-GB"/>
        </w:rPr>
        <w:t>Article 2(10) of the EIR Recast defines a "establishment" as any location where the debtor uses goods and labor to conduct a non-transitory economic activity.</w:t>
      </w:r>
    </w:p>
    <w:p w14:paraId="5A562ECA" w14:textId="6FDFA5A2" w:rsidR="00904BBF" w:rsidRPr="00D332EC" w:rsidRDefault="00904BBF" w:rsidP="00904BBF">
      <w:pPr>
        <w:jc w:val="both"/>
        <w:rPr>
          <w:rFonts w:ascii="Avenir Next" w:hAnsi="Avenir Next" w:cs="Arial"/>
          <w:b/>
          <w:bCs/>
          <w:sz w:val="22"/>
          <w:szCs w:val="22"/>
          <w:lang w:val="en-GB"/>
        </w:rPr>
      </w:pPr>
      <w:r w:rsidRPr="00D332EC">
        <w:rPr>
          <w:rFonts w:ascii="Avenir Next" w:hAnsi="Avenir Next" w:cs="Arial"/>
          <w:b/>
          <w:bCs/>
          <w:sz w:val="22"/>
          <w:szCs w:val="22"/>
          <w:lang w:val="en-GB"/>
        </w:rPr>
        <w:t>Application to Dinosaurus SARL</w:t>
      </w:r>
    </w:p>
    <w:p w14:paraId="7DD60DF7" w14:textId="77777777" w:rsidR="0047468C" w:rsidRPr="00D332EC" w:rsidRDefault="0047468C" w:rsidP="00904BBF">
      <w:pPr>
        <w:jc w:val="both"/>
        <w:rPr>
          <w:rFonts w:ascii="Avenir Next" w:hAnsi="Avenir Next" w:cs="Arial"/>
          <w:b/>
          <w:bCs/>
          <w:sz w:val="22"/>
          <w:szCs w:val="22"/>
          <w:lang w:val="en-GB"/>
        </w:rPr>
      </w:pPr>
    </w:p>
    <w:p w14:paraId="374DF178" w14:textId="0E2007C0" w:rsidR="00904BBF" w:rsidRPr="00D332EC" w:rsidRDefault="00904BBF" w:rsidP="00904BBF">
      <w:pPr>
        <w:jc w:val="both"/>
        <w:rPr>
          <w:rFonts w:ascii="Avenir Next" w:hAnsi="Avenir Next" w:cs="Arial"/>
          <w:b/>
          <w:bCs/>
          <w:sz w:val="22"/>
          <w:szCs w:val="22"/>
          <w:lang w:val="en-GB"/>
        </w:rPr>
      </w:pPr>
      <w:r w:rsidRPr="00D332EC">
        <w:rPr>
          <w:rFonts w:ascii="Avenir Next" w:hAnsi="Avenir Next" w:cs="Arial"/>
          <w:b/>
          <w:bCs/>
          <w:sz w:val="22"/>
          <w:szCs w:val="22"/>
          <w:lang w:val="en-GB"/>
        </w:rPr>
        <w:t>Primary Proceedings in France:</w:t>
      </w:r>
    </w:p>
    <w:p w14:paraId="44356CA0" w14:textId="77777777" w:rsidR="00904BBF" w:rsidRPr="00D332EC" w:rsidRDefault="00904BBF" w:rsidP="00904BBF">
      <w:pPr>
        <w:jc w:val="both"/>
        <w:rPr>
          <w:rFonts w:ascii="Avenir Next" w:hAnsi="Avenir Next" w:cs="Arial"/>
          <w:sz w:val="22"/>
          <w:szCs w:val="22"/>
          <w:lang w:val="en-GB"/>
        </w:rPr>
      </w:pPr>
    </w:p>
    <w:p w14:paraId="2997AE1D" w14:textId="32F44C0B" w:rsidR="00244665" w:rsidRPr="00D332EC" w:rsidRDefault="009D42A6" w:rsidP="00244665">
      <w:pPr>
        <w:jc w:val="both"/>
        <w:rPr>
          <w:rFonts w:ascii="Avenir Next" w:hAnsi="Avenir Next" w:cs="Arial"/>
          <w:sz w:val="22"/>
          <w:szCs w:val="22"/>
          <w:lang w:val="en-GB"/>
        </w:rPr>
      </w:pPr>
      <w:r w:rsidRPr="00D332EC">
        <w:rPr>
          <w:rFonts w:ascii="Avenir Next" w:hAnsi="Avenir Next" w:cs="Arial"/>
          <w:sz w:val="22"/>
          <w:szCs w:val="22"/>
          <w:lang w:val="en-GB"/>
        </w:rPr>
        <w:t>In France, Dinosaurus SARL initiated safeguard proceedings. Since Dinosaurus SARL's COMI is in France, where the majority of its business operations and personnel are headquartered, the French court has jurisdiction to begin main proceedings.</w:t>
      </w:r>
    </w:p>
    <w:p w14:paraId="26A5F0EE" w14:textId="77777777" w:rsidR="009D42A6" w:rsidRPr="00D332EC" w:rsidRDefault="009D42A6" w:rsidP="00244665">
      <w:pPr>
        <w:jc w:val="both"/>
        <w:rPr>
          <w:rFonts w:ascii="Avenir Next" w:hAnsi="Avenir Next" w:cs="Arial"/>
          <w:sz w:val="22"/>
          <w:szCs w:val="22"/>
          <w:lang w:val="en-GB"/>
        </w:rPr>
      </w:pPr>
    </w:p>
    <w:p w14:paraId="76267B57" w14:textId="119FC0D5" w:rsidR="00904BBF" w:rsidRPr="00D332EC" w:rsidRDefault="00904BBF" w:rsidP="00244665">
      <w:pPr>
        <w:jc w:val="both"/>
        <w:rPr>
          <w:rFonts w:ascii="Avenir Next" w:hAnsi="Avenir Next" w:cs="Arial"/>
          <w:b/>
          <w:bCs/>
          <w:sz w:val="22"/>
          <w:szCs w:val="22"/>
          <w:lang w:val="en-GB"/>
        </w:rPr>
      </w:pPr>
      <w:r w:rsidRPr="00D332EC">
        <w:rPr>
          <w:rFonts w:ascii="Avenir Next" w:hAnsi="Avenir Next" w:cs="Arial"/>
          <w:b/>
          <w:bCs/>
          <w:sz w:val="22"/>
          <w:szCs w:val="22"/>
          <w:lang w:val="en-GB"/>
        </w:rPr>
        <w:t>Secondary Proceedings in Spain:</w:t>
      </w:r>
    </w:p>
    <w:p w14:paraId="19BD1EBC" w14:textId="1B7E926C" w:rsidR="00615365" w:rsidRPr="00D332EC" w:rsidRDefault="00C22EAC" w:rsidP="00244665">
      <w:pPr>
        <w:jc w:val="both"/>
        <w:rPr>
          <w:rFonts w:ascii="Avenir Next" w:hAnsi="Avenir Next" w:cs="Arial"/>
          <w:sz w:val="22"/>
          <w:szCs w:val="22"/>
          <w:lang w:val="en-GB"/>
        </w:rPr>
      </w:pPr>
      <w:r w:rsidRPr="00D332EC">
        <w:rPr>
          <w:rFonts w:ascii="Avenir Next" w:hAnsi="Avenir Next" w:cs="Arial"/>
          <w:sz w:val="22"/>
          <w:szCs w:val="22"/>
          <w:lang w:val="en-GB"/>
        </w:rPr>
        <w:t>The Spanish bank wants to start the country's secondary bankruptcy process. Dinosaurus SARL needs to establish a presence in Spain in order for this to be feasible under the terms of the EIR Recast.</w:t>
      </w:r>
    </w:p>
    <w:p w14:paraId="358776CD" w14:textId="77777777" w:rsidR="00C22EAC" w:rsidRPr="00D332EC" w:rsidRDefault="00C22EAC" w:rsidP="00244665">
      <w:pPr>
        <w:jc w:val="both"/>
        <w:rPr>
          <w:rFonts w:ascii="Avenir Next" w:hAnsi="Avenir Next" w:cs="Arial"/>
          <w:sz w:val="22"/>
          <w:szCs w:val="22"/>
          <w:lang w:val="en-GB"/>
        </w:rPr>
      </w:pPr>
    </w:p>
    <w:p w14:paraId="4CB25789" w14:textId="0B3A5697" w:rsidR="00904BBF" w:rsidRPr="00D332EC" w:rsidRDefault="00904BBF" w:rsidP="00904BBF">
      <w:pPr>
        <w:jc w:val="both"/>
        <w:rPr>
          <w:rFonts w:ascii="Avenir Next" w:hAnsi="Avenir Next" w:cs="Arial"/>
          <w:sz w:val="22"/>
          <w:szCs w:val="22"/>
          <w:lang w:val="en-GB"/>
        </w:rPr>
      </w:pPr>
      <w:r w:rsidRPr="00D332EC">
        <w:rPr>
          <w:rFonts w:ascii="Avenir Next" w:hAnsi="Avenir Next" w:cs="Arial"/>
          <w:b/>
          <w:bCs/>
          <w:sz w:val="22"/>
          <w:szCs w:val="22"/>
          <w:lang w:val="en-GB"/>
        </w:rPr>
        <w:t>Warehouse in Spain:</w:t>
      </w:r>
      <w:r w:rsidRPr="00D332EC">
        <w:rPr>
          <w:rFonts w:ascii="Avenir Next" w:hAnsi="Avenir Next" w:cs="Arial"/>
          <w:sz w:val="22"/>
          <w:szCs w:val="22"/>
          <w:lang w:val="en-GB"/>
        </w:rPr>
        <w:t xml:space="preserve"> </w:t>
      </w:r>
      <w:r w:rsidR="00531D95" w:rsidRPr="00D332EC">
        <w:rPr>
          <w:rFonts w:ascii="Avenir Next" w:hAnsi="Avenir Next" w:cs="Arial"/>
          <w:sz w:val="22"/>
          <w:szCs w:val="22"/>
          <w:lang w:val="en-GB"/>
        </w:rPr>
        <w:t>Spain is the location of Dinosaurus SARL's principal warehouse. If a warehouse engages in economic activity involving goods and human resources, it is considered an establishment.</w:t>
      </w:r>
    </w:p>
    <w:p w14:paraId="3FC643DC" w14:textId="77777777" w:rsidR="00531D95" w:rsidRPr="00D332EC" w:rsidRDefault="00531D95" w:rsidP="00904BBF">
      <w:pPr>
        <w:jc w:val="both"/>
        <w:rPr>
          <w:rFonts w:ascii="Avenir Next" w:hAnsi="Avenir Next" w:cs="Arial"/>
          <w:sz w:val="22"/>
          <w:szCs w:val="22"/>
          <w:lang w:val="en-GB"/>
        </w:rPr>
      </w:pPr>
    </w:p>
    <w:p w14:paraId="2FB7C9F7" w14:textId="2C4420FD" w:rsidR="00904BBF" w:rsidRPr="00D332EC" w:rsidRDefault="00904BBF" w:rsidP="00904BBF">
      <w:pPr>
        <w:jc w:val="both"/>
        <w:rPr>
          <w:rFonts w:ascii="Avenir Next" w:hAnsi="Avenir Next" w:cs="Arial"/>
          <w:b/>
          <w:bCs/>
          <w:sz w:val="22"/>
          <w:szCs w:val="22"/>
          <w:lang w:val="en-GB"/>
        </w:rPr>
      </w:pPr>
      <w:r w:rsidRPr="00D332EC">
        <w:rPr>
          <w:rFonts w:ascii="Avenir Next" w:hAnsi="Avenir Next" w:cs="Arial"/>
          <w:b/>
          <w:bCs/>
          <w:sz w:val="22"/>
          <w:szCs w:val="22"/>
          <w:lang w:val="en-GB"/>
        </w:rPr>
        <w:t>Spanish Court and Legal Framework</w:t>
      </w:r>
    </w:p>
    <w:p w14:paraId="36F43272" w14:textId="77777777" w:rsidR="00904BBF" w:rsidRPr="00D332EC" w:rsidRDefault="00904BBF" w:rsidP="00904BBF">
      <w:pPr>
        <w:jc w:val="both"/>
        <w:rPr>
          <w:rFonts w:ascii="Avenir Next" w:hAnsi="Avenir Next" w:cs="Arial"/>
          <w:b/>
          <w:bCs/>
          <w:sz w:val="22"/>
          <w:szCs w:val="22"/>
          <w:lang w:val="en-GB"/>
        </w:rPr>
      </w:pPr>
    </w:p>
    <w:p w14:paraId="38CBC8F2" w14:textId="70D50380" w:rsidR="00904BBF" w:rsidRPr="00D332EC" w:rsidRDefault="00904BBF" w:rsidP="00904BBF">
      <w:pPr>
        <w:jc w:val="both"/>
        <w:rPr>
          <w:rFonts w:ascii="Avenir Next" w:hAnsi="Avenir Next" w:cs="Arial"/>
          <w:b/>
          <w:bCs/>
          <w:sz w:val="22"/>
          <w:szCs w:val="22"/>
          <w:lang w:val="en-GB"/>
        </w:rPr>
      </w:pPr>
      <w:r w:rsidRPr="00D332EC">
        <w:rPr>
          <w:rFonts w:ascii="Avenir Next" w:hAnsi="Avenir Next" w:cs="Arial"/>
          <w:b/>
          <w:bCs/>
          <w:sz w:val="22"/>
          <w:szCs w:val="22"/>
          <w:lang w:val="en-GB"/>
        </w:rPr>
        <w:t>Spanish Court Jurisdiction:</w:t>
      </w:r>
    </w:p>
    <w:p w14:paraId="7CE8B8F0" w14:textId="77777777" w:rsidR="00904BBF" w:rsidRPr="00D332EC" w:rsidRDefault="00904BBF" w:rsidP="00904BBF">
      <w:pPr>
        <w:jc w:val="both"/>
        <w:rPr>
          <w:rFonts w:ascii="Avenir Next" w:hAnsi="Avenir Next" w:cs="Arial"/>
          <w:sz w:val="22"/>
          <w:szCs w:val="22"/>
          <w:lang w:val="en-GB"/>
        </w:rPr>
      </w:pPr>
    </w:p>
    <w:p w14:paraId="070BC4E7" w14:textId="77777777" w:rsidR="00904BBF" w:rsidRPr="00D332EC" w:rsidRDefault="00904BBF" w:rsidP="00904BBF">
      <w:pPr>
        <w:jc w:val="both"/>
        <w:rPr>
          <w:rFonts w:ascii="Avenir Next" w:hAnsi="Avenir Next" w:cs="Arial"/>
          <w:b/>
          <w:bCs/>
          <w:sz w:val="22"/>
          <w:szCs w:val="22"/>
          <w:lang w:val="en-GB"/>
        </w:rPr>
      </w:pPr>
      <w:r w:rsidRPr="00D332EC">
        <w:rPr>
          <w:rFonts w:ascii="Avenir Next" w:hAnsi="Avenir Next" w:cs="Arial"/>
          <w:b/>
          <w:bCs/>
          <w:sz w:val="22"/>
          <w:szCs w:val="22"/>
          <w:lang w:val="en-GB"/>
        </w:rPr>
        <w:t>The Spanish court will apply Spanish insolvency law and procedural rules in secondary proceedings opened in Spain.</w:t>
      </w:r>
    </w:p>
    <w:p w14:paraId="23B69D0C" w14:textId="77777777" w:rsidR="00904BBF" w:rsidRPr="00D332EC" w:rsidRDefault="00904BBF" w:rsidP="00904BBF">
      <w:pPr>
        <w:jc w:val="both"/>
        <w:rPr>
          <w:rFonts w:ascii="Avenir Next" w:hAnsi="Avenir Next" w:cs="Arial"/>
          <w:sz w:val="22"/>
          <w:szCs w:val="22"/>
          <w:lang w:val="en-GB"/>
        </w:rPr>
      </w:pPr>
    </w:p>
    <w:p w14:paraId="0878C3FA" w14:textId="77777777" w:rsidR="00710C8E" w:rsidRPr="00D332EC" w:rsidRDefault="003421BF" w:rsidP="00904BBF">
      <w:pPr>
        <w:jc w:val="both"/>
        <w:rPr>
          <w:rFonts w:ascii="Avenir Next" w:hAnsi="Avenir Next" w:cs="Arial"/>
          <w:sz w:val="22"/>
          <w:szCs w:val="22"/>
          <w:lang w:val="en-GB"/>
        </w:rPr>
      </w:pPr>
      <w:r w:rsidRPr="00D332EC">
        <w:rPr>
          <w:rFonts w:ascii="Avenir Next" w:hAnsi="Avenir Next" w:cs="Arial"/>
          <w:sz w:val="22"/>
          <w:szCs w:val="22"/>
          <w:lang w:val="en-GB"/>
        </w:rPr>
        <w:t>The laws governing insolvency in Spain set up processes for allocating assets among creditors during insolvency proceedings and safeguard the rights of creditors.</w:t>
      </w:r>
    </w:p>
    <w:p w14:paraId="3B35C832" w14:textId="77777777" w:rsidR="00710C8E" w:rsidRPr="00D332EC" w:rsidRDefault="00710C8E" w:rsidP="00904BBF">
      <w:pPr>
        <w:jc w:val="both"/>
        <w:rPr>
          <w:rFonts w:ascii="Avenir Next" w:hAnsi="Avenir Next" w:cs="Arial"/>
          <w:sz w:val="22"/>
          <w:szCs w:val="22"/>
          <w:lang w:val="en-GB"/>
        </w:rPr>
      </w:pPr>
    </w:p>
    <w:p w14:paraId="77542D90" w14:textId="1C030725" w:rsidR="00904BBF" w:rsidRPr="00D332EC" w:rsidRDefault="00904BBF" w:rsidP="00904BBF">
      <w:pPr>
        <w:jc w:val="both"/>
        <w:rPr>
          <w:rFonts w:ascii="Avenir Next" w:hAnsi="Avenir Next" w:cs="Arial"/>
          <w:b/>
          <w:bCs/>
          <w:sz w:val="22"/>
          <w:szCs w:val="22"/>
          <w:lang w:val="en-GB"/>
        </w:rPr>
      </w:pPr>
      <w:r w:rsidRPr="00D332EC">
        <w:rPr>
          <w:rFonts w:ascii="Avenir Next" w:hAnsi="Avenir Next" w:cs="Arial"/>
          <w:b/>
          <w:bCs/>
          <w:sz w:val="22"/>
          <w:szCs w:val="22"/>
          <w:lang w:val="en-GB"/>
        </w:rPr>
        <w:t>Relevant Spanish Legislation:</w:t>
      </w:r>
    </w:p>
    <w:p w14:paraId="7364F60E" w14:textId="77777777" w:rsidR="00904BBF" w:rsidRPr="00D332EC" w:rsidRDefault="00904BBF" w:rsidP="00904BBF">
      <w:pPr>
        <w:jc w:val="both"/>
        <w:rPr>
          <w:rFonts w:ascii="Avenir Next" w:hAnsi="Avenir Next" w:cs="Arial"/>
          <w:sz w:val="22"/>
          <w:szCs w:val="22"/>
          <w:lang w:val="en-GB"/>
        </w:rPr>
      </w:pPr>
    </w:p>
    <w:p w14:paraId="034063F6" w14:textId="77777777" w:rsidR="00904BBF" w:rsidRPr="00D332EC" w:rsidRDefault="00904BBF" w:rsidP="00904BBF">
      <w:pPr>
        <w:jc w:val="both"/>
        <w:rPr>
          <w:rFonts w:ascii="Avenir Next" w:hAnsi="Avenir Next" w:cs="Arial"/>
          <w:b/>
          <w:bCs/>
          <w:sz w:val="22"/>
          <w:szCs w:val="22"/>
          <w:lang w:val="en-GB"/>
        </w:rPr>
      </w:pPr>
      <w:r w:rsidRPr="00D332EC">
        <w:rPr>
          <w:rFonts w:ascii="Avenir Next" w:hAnsi="Avenir Next" w:cs="Arial"/>
          <w:b/>
          <w:bCs/>
          <w:sz w:val="22"/>
          <w:szCs w:val="22"/>
          <w:lang w:val="en-GB"/>
        </w:rPr>
        <w:t>The Spanish Insolvency Act (Ley Concursal) governs insolvency proceedings in Spain and outlines the rights and obligations of debtors and creditors.</w:t>
      </w:r>
    </w:p>
    <w:p w14:paraId="156D0D3A" w14:textId="77777777" w:rsidR="00904BBF" w:rsidRPr="00D332EC" w:rsidRDefault="00904BBF" w:rsidP="00904BBF">
      <w:pPr>
        <w:jc w:val="both"/>
        <w:rPr>
          <w:rFonts w:ascii="Avenir Next" w:hAnsi="Avenir Next" w:cs="Arial"/>
          <w:sz w:val="22"/>
          <w:szCs w:val="22"/>
          <w:lang w:val="en-GB"/>
        </w:rPr>
      </w:pPr>
    </w:p>
    <w:p w14:paraId="6CC3ACD5" w14:textId="77777777" w:rsidR="005B4E6F" w:rsidRPr="00D332EC" w:rsidRDefault="005B4E6F" w:rsidP="00904BBF">
      <w:pPr>
        <w:jc w:val="both"/>
        <w:rPr>
          <w:rFonts w:ascii="Avenir Next" w:hAnsi="Avenir Next" w:cs="Arial"/>
          <w:sz w:val="22"/>
          <w:szCs w:val="22"/>
          <w:lang w:val="en-GB"/>
        </w:rPr>
      </w:pPr>
      <w:r w:rsidRPr="00D332EC">
        <w:rPr>
          <w:rFonts w:ascii="Avenir Next" w:hAnsi="Avenir Next" w:cs="Arial"/>
          <w:sz w:val="22"/>
          <w:szCs w:val="22"/>
          <w:lang w:val="en-GB"/>
        </w:rPr>
        <w:lastRenderedPageBreak/>
        <w:t>It lays out the requirements for the start of the bankruptcy process, the selection of administrators, and the handling of claims from creditors.</w:t>
      </w:r>
    </w:p>
    <w:p w14:paraId="4AC6000F" w14:textId="02CF7B8E" w:rsidR="00904BBF" w:rsidRPr="00D332EC" w:rsidRDefault="00904BBF" w:rsidP="00904BBF">
      <w:pPr>
        <w:jc w:val="both"/>
        <w:rPr>
          <w:rFonts w:ascii="Avenir Next" w:hAnsi="Avenir Next" w:cs="Arial"/>
          <w:b/>
          <w:bCs/>
          <w:sz w:val="22"/>
          <w:szCs w:val="22"/>
          <w:lang w:val="en-GB"/>
        </w:rPr>
      </w:pPr>
      <w:r w:rsidRPr="00D332EC">
        <w:rPr>
          <w:rFonts w:ascii="Avenir Next" w:hAnsi="Avenir Next" w:cs="Arial"/>
          <w:b/>
          <w:bCs/>
          <w:sz w:val="22"/>
          <w:szCs w:val="22"/>
          <w:lang w:val="en-GB"/>
        </w:rPr>
        <w:t>Conclusion</w:t>
      </w:r>
    </w:p>
    <w:p w14:paraId="4CBEA695" w14:textId="1F2354FC" w:rsidR="00EA14EE" w:rsidRPr="00D332EC" w:rsidRDefault="005A746F" w:rsidP="002A37BB">
      <w:pPr>
        <w:jc w:val="both"/>
        <w:rPr>
          <w:rFonts w:ascii="Avenir Next" w:hAnsi="Avenir Next" w:cs="Arial"/>
          <w:color w:val="808080" w:themeColor="background1" w:themeShade="80"/>
          <w:sz w:val="22"/>
          <w:szCs w:val="22"/>
          <w:lang w:val="en-GB"/>
        </w:rPr>
      </w:pPr>
      <w:r w:rsidRPr="00D332EC">
        <w:rPr>
          <w:rFonts w:ascii="Avenir Next" w:hAnsi="Avenir Next" w:cs="Arial"/>
          <w:sz w:val="22"/>
          <w:szCs w:val="22"/>
          <w:lang w:val="en-GB"/>
        </w:rPr>
        <w:t xml:space="preserve">A secondary insolvency procedure may be initiated in Spain by the Spanish court due to the </w:t>
      </w:r>
      <w:r w:rsidR="006F052B" w:rsidRPr="00D332EC">
        <w:rPr>
          <w:rFonts w:ascii="Avenir Next" w:hAnsi="Avenir Next" w:cs="Arial"/>
          <w:sz w:val="22"/>
          <w:szCs w:val="22"/>
          <w:lang w:val="en-GB"/>
        </w:rPr>
        <w:t>presence</w:t>
      </w:r>
      <w:r w:rsidRPr="00D332EC">
        <w:rPr>
          <w:rFonts w:ascii="Avenir Next" w:hAnsi="Avenir Next" w:cs="Arial"/>
          <w:sz w:val="22"/>
          <w:szCs w:val="22"/>
          <w:lang w:val="en-GB"/>
        </w:rPr>
        <w:t xml:space="preserve"> of Dinosaurus SARL's warehouse, which is </w:t>
      </w:r>
      <w:r w:rsidR="006F052B" w:rsidRPr="00D332EC">
        <w:rPr>
          <w:rFonts w:ascii="Avenir Next" w:hAnsi="Avenir Next" w:cs="Arial"/>
          <w:sz w:val="22"/>
          <w:szCs w:val="22"/>
          <w:lang w:val="en-GB"/>
        </w:rPr>
        <w:t>known</w:t>
      </w:r>
      <w:r w:rsidRPr="00D332EC">
        <w:rPr>
          <w:rFonts w:ascii="Avenir Next" w:hAnsi="Avenir Next" w:cs="Arial"/>
          <w:sz w:val="22"/>
          <w:szCs w:val="22"/>
          <w:lang w:val="en-GB"/>
        </w:rPr>
        <w:t xml:space="preserve"> as an establishment under the EIR Recast. The Spanish court will ensure </w:t>
      </w:r>
      <w:r w:rsidR="00B843EF" w:rsidRPr="00D332EC">
        <w:rPr>
          <w:rFonts w:ascii="Avenir Next" w:hAnsi="Avenir Next" w:cs="Arial"/>
          <w:sz w:val="22"/>
          <w:szCs w:val="22"/>
          <w:lang w:val="en-GB"/>
        </w:rPr>
        <w:t>to secure</w:t>
      </w:r>
      <w:r w:rsidRPr="00D332EC">
        <w:rPr>
          <w:rFonts w:ascii="Avenir Next" w:hAnsi="Avenir Next" w:cs="Arial"/>
          <w:sz w:val="22"/>
          <w:szCs w:val="22"/>
          <w:lang w:val="en-GB"/>
        </w:rPr>
        <w:t xml:space="preserve"> </w:t>
      </w:r>
      <w:r w:rsidR="00B843EF" w:rsidRPr="00D332EC">
        <w:rPr>
          <w:rFonts w:ascii="Avenir Next" w:hAnsi="Avenir Next" w:cs="Arial"/>
          <w:sz w:val="22"/>
          <w:szCs w:val="22"/>
          <w:lang w:val="en-GB"/>
        </w:rPr>
        <w:t>the</w:t>
      </w:r>
      <w:r w:rsidRPr="00D332EC">
        <w:rPr>
          <w:rFonts w:ascii="Avenir Next" w:hAnsi="Avenir Next" w:cs="Arial"/>
          <w:sz w:val="22"/>
          <w:szCs w:val="22"/>
          <w:lang w:val="en-GB"/>
        </w:rPr>
        <w:t xml:space="preserve"> creditors' rights and equitable distribution of assets among creditors by applying Spanish insolvency law and procedural standards in these processes.</w:t>
      </w: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B5F60D" w14:textId="77777777" w:rsidR="007A3CAE" w:rsidRDefault="007A3CAE" w:rsidP="00241B44">
      <w:r>
        <w:separator/>
      </w:r>
    </w:p>
  </w:endnote>
  <w:endnote w:type="continuationSeparator" w:id="0">
    <w:p w14:paraId="0A8BD065" w14:textId="77777777" w:rsidR="007A3CAE" w:rsidRDefault="007A3CA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BA543A" w:rsidRPr="001B6DDC">
          <w:rPr>
            <w:rStyle w:val="PageNumber"/>
            <w:rFonts w:ascii="Avenir Next" w:hAnsi="Avenir Next" w:cs="Arial"/>
            <w:noProof/>
            <w:sz w:val="22"/>
            <w:szCs w:val="22"/>
          </w:rPr>
          <w:t>9</w:t>
        </w:r>
        <w:r w:rsidRPr="001B6DDC">
          <w:rPr>
            <w:rStyle w:val="PageNumber"/>
            <w:rFonts w:ascii="Avenir Next" w:hAnsi="Avenir Next" w:cs="Arial"/>
            <w:sz w:val="22"/>
            <w:szCs w:val="22"/>
          </w:rPr>
          <w:fldChar w:fldCharType="end"/>
        </w:r>
      </w:p>
    </w:sdtContent>
  </w:sdt>
  <w:p w14:paraId="30F05E79" w14:textId="2AC8629D" w:rsidR="00D509A5" w:rsidRPr="005418A0" w:rsidRDefault="00E327B5" w:rsidP="009B4976">
    <w:pPr>
      <w:pStyle w:val="Footer"/>
      <w:ind w:right="360"/>
      <w:rPr>
        <w:rFonts w:ascii="Avenir Next" w:hAnsi="Avenir Next" w:cs="Arial"/>
        <w:sz w:val="22"/>
        <w:szCs w:val="22"/>
        <w:lang w:val="en-GB"/>
      </w:rPr>
    </w:pPr>
    <w:r>
      <w:rPr>
        <w:rFonts w:ascii="Avenir Next" w:hAnsi="Avenir Next" w:cs="Arial"/>
        <w:sz w:val="22"/>
        <w:szCs w:val="22"/>
        <w:lang w:val="en-GB"/>
      </w:rPr>
      <w:t>GIPC202324-1348</w:t>
    </w:r>
    <w:r w:rsidR="00D509A5" w:rsidRPr="005418A0">
      <w:rPr>
        <w:rFonts w:ascii="Avenir Next" w:hAnsi="Avenir Next" w:cs="Arial"/>
        <w:sz w:val="22"/>
        <w:szCs w:val="22"/>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CD95C" w14:textId="77777777" w:rsidR="00E327B5" w:rsidRDefault="00E32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EF4942" w14:textId="77777777" w:rsidR="007A3CAE" w:rsidRDefault="007A3CAE" w:rsidP="00241B44">
      <w:r>
        <w:separator/>
      </w:r>
    </w:p>
  </w:footnote>
  <w:footnote w:type="continuationSeparator" w:id="0">
    <w:p w14:paraId="2811EDD7" w14:textId="77777777" w:rsidR="007A3CAE" w:rsidRDefault="007A3CAE"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2A7ED" w14:textId="77777777" w:rsidR="00E327B5" w:rsidRDefault="00E32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5A7C2" w14:textId="77777777" w:rsidR="00E327B5" w:rsidRDefault="00E32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58C9F" w14:textId="77777777" w:rsidR="00E327B5" w:rsidRDefault="00E32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3"/>
  </w:num>
  <w:num w:numId="2" w16cid:durableId="2002611782">
    <w:abstractNumId w:val="22"/>
  </w:num>
  <w:num w:numId="3" w16cid:durableId="1046681177">
    <w:abstractNumId w:val="16"/>
  </w:num>
  <w:num w:numId="4" w16cid:durableId="1250502507">
    <w:abstractNumId w:val="28"/>
  </w:num>
  <w:num w:numId="5" w16cid:durableId="262424646">
    <w:abstractNumId w:val="21"/>
  </w:num>
  <w:num w:numId="6" w16cid:durableId="2052070068">
    <w:abstractNumId w:val="24"/>
  </w:num>
  <w:num w:numId="7" w16cid:durableId="1461680123">
    <w:abstractNumId w:val="6"/>
  </w:num>
  <w:num w:numId="8" w16cid:durableId="892274553">
    <w:abstractNumId w:val="19"/>
  </w:num>
  <w:num w:numId="9" w16cid:durableId="626088575">
    <w:abstractNumId w:val="18"/>
  </w:num>
  <w:num w:numId="10" w16cid:durableId="1127773174">
    <w:abstractNumId w:val="14"/>
  </w:num>
  <w:num w:numId="11" w16cid:durableId="1017780422">
    <w:abstractNumId w:val="20"/>
  </w:num>
  <w:num w:numId="12" w16cid:durableId="1731923168">
    <w:abstractNumId w:val="2"/>
  </w:num>
  <w:num w:numId="13" w16cid:durableId="325937709">
    <w:abstractNumId w:val="11"/>
  </w:num>
  <w:num w:numId="14" w16cid:durableId="87119507">
    <w:abstractNumId w:val="17"/>
  </w:num>
  <w:num w:numId="15" w16cid:durableId="537401627">
    <w:abstractNumId w:val="15"/>
  </w:num>
  <w:num w:numId="16" w16cid:durableId="225994540">
    <w:abstractNumId w:val="10"/>
  </w:num>
  <w:num w:numId="17" w16cid:durableId="1550260514">
    <w:abstractNumId w:val="13"/>
  </w:num>
  <w:num w:numId="18" w16cid:durableId="641735283">
    <w:abstractNumId w:val="3"/>
  </w:num>
  <w:num w:numId="19" w16cid:durableId="792407038">
    <w:abstractNumId w:val="0"/>
  </w:num>
  <w:num w:numId="20" w16cid:durableId="1217475378">
    <w:abstractNumId w:val="5"/>
  </w:num>
  <w:num w:numId="21" w16cid:durableId="1798719523">
    <w:abstractNumId w:val="0"/>
  </w:num>
  <w:num w:numId="22" w16cid:durableId="120156217">
    <w:abstractNumId w:val="8"/>
  </w:num>
  <w:num w:numId="23" w16cid:durableId="1566800475">
    <w:abstractNumId w:val="23"/>
  </w:num>
  <w:num w:numId="24" w16cid:durableId="1845364164">
    <w:abstractNumId w:val="25"/>
  </w:num>
  <w:num w:numId="25" w16cid:durableId="1565870678">
    <w:abstractNumId w:val="4"/>
  </w:num>
  <w:num w:numId="26" w16cid:durableId="974988881">
    <w:abstractNumId w:val="29"/>
  </w:num>
  <w:num w:numId="27" w16cid:durableId="1096101251">
    <w:abstractNumId w:val="9"/>
  </w:num>
  <w:num w:numId="28" w16cid:durableId="1807311193">
    <w:abstractNumId w:val="1"/>
  </w:num>
  <w:num w:numId="29" w16cid:durableId="614291072">
    <w:abstractNumId w:val="12"/>
  </w:num>
  <w:num w:numId="30" w16cid:durableId="1134907189">
    <w:abstractNumId w:val="27"/>
  </w:num>
  <w:num w:numId="31" w16cid:durableId="92938254">
    <w:abstractNumId w:val="26"/>
  </w:num>
  <w:num w:numId="32" w16cid:durableId="1838615408">
    <w:abstractNumId w:val="7"/>
  </w:num>
  <w:num w:numId="33" w16cid:durableId="2087847088">
    <w:abstractNumId w:val="31"/>
  </w:num>
  <w:num w:numId="34" w16cid:durableId="103168581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15C"/>
    <w:rsid w:val="000133A7"/>
    <w:rsid w:val="0001344B"/>
    <w:rsid w:val="00016162"/>
    <w:rsid w:val="00020557"/>
    <w:rsid w:val="0002365D"/>
    <w:rsid w:val="000250C7"/>
    <w:rsid w:val="00026F16"/>
    <w:rsid w:val="00036D88"/>
    <w:rsid w:val="00037621"/>
    <w:rsid w:val="00041B32"/>
    <w:rsid w:val="000421C9"/>
    <w:rsid w:val="00044D46"/>
    <w:rsid w:val="00045088"/>
    <w:rsid w:val="00045904"/>
    <w:rsid w:val="00054E15"/>
    <w:rsid w:val="00065166"/>
    <w:rsid w:val="00067174"/>
    <w:rsid w:val="00067BCA"/>
    <w:rsid w:val="0007082F"/>
    <w:rsid w:val="000739A2"/>
    <w:rsid w:val="000756D2"/>
    <w:rsid w:val="00080168"/>
    <w:rsid w:val="00082609"/>
    <w:rsid w:val="00082F25"/>
    <w:rsid w:val="000851CC"/>
    <w:rsid w:val="00086936"/>
    <w:rsid w:val="00087CD6"/>
    <w:rsid w:val="00091BF0"/>
    <w:rsid w:val="000935F7"/>
    <w:rsid w:val="00093BE8"/>
    <w:rsid w:val="000A3278"/>
    <w:rsid w:val="000A373F"/>
    <w:rsid w:val="000A68ED"/>
    <w:rsid w:val="000A7BF9"/>
    <w:rsid w:val="000B5FF1"/>
    <w:rsid w:val="000B609F"/>
    <w:rsid w:val="000C6BB5"/>
    <w:rsid w:val="000D55A8"/>
    <w:rsid w:val="000D71B4"/>
    <w:rsid w:val="000E4841"/>
    <w:rsid w:val="000F1677"/>
    <w:rsid w:val="000F3D6C"/>
    <w:rsid w:val="000F4448"/>
    <w:rsid w:val="000F4A14"/>
    <w:rsid w:val="00101707"/>
    <w:rsid w:val="00113E29"/>
    <w:rsid w:val="0011473D"/>
    <w:rsid w:val="0011548B"/>
    <w:rsid w:val="00115C85"/>
    <w:rsid w:val="001209C6"/>
    <w:rsid w:val="00123855"/>
    <w:rsid w:val="00126A4D"/>
    <w:rsid w:val="0014171F"/>
    <w:rsid w:val="001429F4"/>
    <w:rsid w:val="0014389D"/>
    <w:rsid w:val="0014622C"/>
    <w:rsid w:val="00152348"/>
    <w:rsid w:val="0015456D"/>
    <w:rsid w:val="00155FA2"/>
    <w:rsid w:val="00155FF6"/>
    <w:rsid w:val="00161F1B"/>
    <w:rsid w:val="00162829"/>
    <w:rsid w:val="00167364"/>
    <w:rsid w:val="00174DC4"/>
    <w:rsid w:val="00175A7D"/>
    <w:rsid w:val="00180548"/>
    <w:rsid w:val="00180AC4"/>
    <w:rsid w:val="00180CCE"/>
    <w:rsid w:val="0018267A"/>
    <w:rsid w:val="00182779"/>
    <w:rsid w:val="001830DF"/>
    <w:rsid w:val="00183ED8"/>
    <w:rsid w:val="00184331"/>
    <w:rsid w:val="00187A34"/>
    <w:rsid w:val="00191275"/>
    <w:rsid w:val="001966D9"/>
    <w:rsid w:val="001A094A"/>
    <w:rsid w:val="001A217B"/>
    <w:rsid w:val="001A68CC"/>
    <w:rsid w:val="001A7E9A"/>
    <w:rsid w:val="001B0F70"/>
    <w:rsid w:val="001B5016"/>
    <w:rsid w:val="001B6DDC"/>
    <w:rsid w:val="001C2001"/>
    <w:rsid w:val="001C45FC"/>
    <w:rsid w:val="001D0469"/>
    <w:rsid w:val="001D4862"/>
    <w:rsid w:val="001D6E1C"/>
    <w:rsid w:val="001E25B9"/>
    <w:rsid w:val="001E49E0"/>
    <w:rsid w:val="001E5F8A"/>
    <w:rsid w:val="001E7B5A"/>
    <w:rsid w:val="001F2357"/>
    <w:rsid w:val="001F4D44"/>
    <w:rsid w:val="001F7412"/>
    <w:rsid w:val="00202DFE"/>
    <w:rsid w:val="00203720"/>
    <w:rsid w:val="00206C6B"/>
    <w:rsid w:val="0020725B"/>
    <w:rsid w:val="00207E79"/>
    <w:rsid w:val="00210AD5"/>
    <w:rsid w:val="002110F1"/>
    <w:rsid w:val="00212EA6"/>
    <w:rsid w:val="00217B96"/>
    <w:rsid w:val="00222FB5"/>
    <w:rsid w:val="0024116D"/>
    <w:rsid w:val="00241B44"/>
    <w:rsid w:val="00241FA3"/>
    <w:rsid w:val="00244665"/>
    <w:rsid w:val="00244C44"/>
    <w:rsid w:val="00245EFB"/>
    <w:rsid w:val="0025386E"/>
    <w:rsid w:val="0026353C"/>
    <w:rsid w:val="002638B0"/>
    <w:rsid w:val="0026647A"/>
    <w:rsid w:val="002668D3"/>
    <w:rsid w:val="002706B7"/>
    <w:rsid w:val="002725A7"/>
    <w:rsid w:val="0027299F"/>
    <w:rsid w:val="002729AB"/>
    <w:rsid w:val="00274F62"/>
    <w:rsid w:val="0028183A"/>
    <w:rsid w:val="00284EBE"/>
    <w:rsid w:val="0029180A"/>
    <w:rsid w:val="0029433F"/>
    <w:rsid w:val="00294829"/>
    <w:rsid w:val="0029690F"/>
    <w:rsid w:val="00297C8A"/>
    <w:rsid w:val="002A0EBD"/>
    <w:rsid w:val="002A2A60"/>
    <w:rsid w:val="002A37BB"/>
    <w:rsid w:val="002A4F21"/>
    <w:rsid w:val="002B1C45"/>
    <w:rsid w:val="002C13C8"/>
    <w:rsid w:val="002C3547"/>
    <w:rsid w:val="002C3774"/>
    <w:rsid w:val="002C618E"/>
    <w:rsid w:val="002D0021"/>
    <w:rsid w:val="002D3473"/>
    <w:rsid w:val="002E4CF1"/>
    <w:rsid w:val="002F1956"/>
    <w:rsid w:val="002F3440"/>
    <w:rsid w:val="002F55D2"/>
    <w:rsid w:val="002F70C6"/>
    <w:rsid w:val="002F7170"/>
    <w:rsid w:val="002F75A3"/>
    <w:rsid w:val="00300F58"/>
    <w:rsid w:val="00302D76"/>
    <w:rsid w:val="00303C2F"/>
    <w:rsid w:val="00312FB6"/>
    <w:rsid w:val="003144EF"/>
    <w:rsid w:val="00314E94"/>
    <w:rsid w:val="00314ED0"/>
    <w:rsid w:val="00315ED1"/>
    <w:rsid w:val="0031626D"/>
    <w:rsid w:val="0032234E"/>
    <w:rsid w:val="003252C2"/>
    <w:rsid w:val="00326292"/>
    <w:rsid w:val="00326415"/>
    <w:rsid w:val="003275E6"/>
    <w:rsid w:val="00330937"/>
    <w:rsid w:val="00330F31"/>
    <w:rsid w:val="00331480"/>
    <w:rsid w:val="00334648"/>
    <w:rsid w:val="0033768C"/>
    <w:rsid w:val="00337938"/>
    <w:rsid w:val="00340769"/>
    <w:rsid w:val="00341AA6"/>
    <w:rsid w:val="003421BF"/>
    <w:rsid w:val="0034705B"/>
    <w:rsid w:val="00347D7E"/>
    <w:rsid w:val="003525B6"/>
    <w:rsid w:val="003567B6"/>
    <w:rsid w:val="00361A0A"/>
    <w:rsid w:val="00364836"/>
    <w:rsid w:val="003650E5"/>
    <w:rsid w:val="00365373"/>
    <w:rsid w:val="0036565C"/>
    <w:rsid w:val="0036625E"/>
    <w:rsid w:val="00366415"/>
    <w:rsid w:val="0037465A"/>
    <w:rsid w:val="00374E64"/>
    <w:rsid w:val="00375D11"/>
    <w:rsid w:val="003810EF"/>
    <w:rsid w:val="00382C98"/>
    <w:rsid w:val="0038533C"/>
    <w:rsid w:val="00386568"/>
    <w:rsid w:val="003908C7"/>
    <w:rsid w:val="00390B57"/>
    <w:rsid w:val="003948D5"/>
    <w:rsid w:val="00396821"/>
    <w:rsid w:val="00397D3A"/>
    <w:rsid w:val="003A051E"/>
    <w:rsid w:val="003A5DF3"/>
    <w:rsid w:val="003A6E1E"/>
    <w:rsid w:val="003B0A27"/>
    <w:rsid w:val="003B170F"/>
    <w:rsid w:val="003B1B4C"/>
    <w:rsid w:val="003B3C5F"/>
    <w:rsid w:val="003B3F14"/>
    <w:rsid w:val="003B7E76"/>
    <w:rsid w:val="003C1F13"/>
    <w:rsid w:val="003C26C3"/>
    <w:rsid w:val="003C2E88"/>
    <w:rsid w:val="003C4342"/>
    <w:rsid w:val="003C4471"/>
    <w:rsid w:val="003C4BCB"/>
    <w:rsid w:val="003C6E31"/>
    <w:rsid w:val="003D0A6D"/>
    <w:rsid w:val="003D17A2"/>
    <w:rsid w:val="003D1974"/>
    <w:rsid w:val="003D4A79"/>
    <w:rsid w:val="003D656F"/>
    <w:rsid w:val="003E065A"/>
    <w:rsid w:val="003E0B16"/>
    <w:rsid w:val="003E1D56"/>
    <w:rsid w:val="003E2475"/>
    <w:rsid w:val="003E4DB0"/>
    <w:rsid w:val="003E67D1"/>
    <w:rsid w:val="00404329"/>
    <w:rsid w:val="00405DC1"/>
    <w:rsid w:val="00415F1F"/>
    <w:rsid w:val="004167EA"/>
    <w:rsid w:val="00416B56"/>
    <w:rsid w:val="004202D2"/>
    <w:rsid w:val="0042108F"/>
    <w:rsid w:val="00425094"/>
    <w:rsid w:val="00425AFC"/>
    <w:rsid w:val="00427964"/>
    <w:rsid w:val="00430FED"/>
    <w:rsid w:val="00434072"/>
    <w:rsid w:val="00434A8C"/>
    <w:rsid w:val="00437297"/>
    <w:rsid w:val="00444284"/>
    <w:rsid w:val="0044574C"/>
    <w:rsid w:val="00445CE6"/>
    <w:rsid w:val="00452935"/>
    <w:rsid w:val="004534C2"/>
    <w:rsid w:val="0045446F"/>
    <w:rsid w:val="0045683E"/>
    <w:rsid w:val="00457CA3"/>
    <w:rsid w:val="004621D4"/>
    <w:rsid w:val="00465BFF"/>
    <w:rsid w:val="00470681"/>
    <w:rsid w:val="0047468C"/>
    <w:rsid w:val="004752E8"/>
    <w:rsid w:val="00477C72"/>
    <w:rsid w:val="004801AA"/>
    <w:rsid w:val="00491675"/>
    <w:rsid w:val="00493855"/>
    <w:rsid w:val="00495E79"/>
    <w:rsid w:val="0049649C"/>
    <w:rsid w:val="004A0692"/>
    <w:rsid w:val="004A57DD"/>
    <w:rsid w:val="004A7B51"/>
    <w:rsid w:val="004A7D71"/>
    <w:rsid w:val="004A7EF3"/>
    <w:rsid w:val="004B11FD"/>
    <w:rsid w:val="004B23A2"/>
    <w:rsid w:val="004B6831"/>
    <w:rsid w:val="004C0D03"/>
    <w:rsid w:val="004C0D33"/>
    <w:rsid w:val="004C2626"/>
    <w:rsid w:val="004C2D71"/>
    <w:rsid w:val="004C5A9F"/>
    <w:rsid w:val="004D1A5A"/>
    <w:rsid w:val="004D2FFF"/>
    <w:rsid w:val="004D3721"/>
    <w:rsid w:val="004D3F7E"/>
    <w:rsid w:val="004D64F9"/>
    <w:rsid w:val="004E3A6B"/>
    <w:rsid w:val="004E622C"/>
    <w:rsid w:val="004F242F"/>
    <w:rsid w:val="004F4245"/>
    <w:rsid w:val="004F4AF9"/>
    <w:rsid w:val="004F5FDF"/>
    <w:rsid w:val="004F73DC"/>
    <w:rsid w:val="0050210B"/>
    <w:rsid w:val="005177FE"/>
    <w:rsid w:val="0052263B"/>
    <w:rsid w:val="00524728"/>
    <w:rsid w:val="00531D95"/>
    <w:rsid w:val="005331CA"/>
    <w:rsid w:val="005349F4"/>
    <w:rsid w:val="00537970"/>
    <w:rsid w:val="00540E3A"/>
    <w:rsid w:val="005418A0"/>
    <w:rsid w:val="00544127"/>
    <w:rsid w:val="00544E98"/>
    <w:rsid w:val="00544F6E"/>
    <w:rsid w:val="00545D8C"/>
    <w:rsid w:val="005463A9"/>
    <w:rsid w:val="00552B3E"/>
    <w:rsid w:val="00553EB2"/>
    <w:rsid w:val="00556623"/>
    <w:rsid w:val="00557D62"/>
    <w:rsid w:val="00560534"/>
    <w:rsid w:val="0056391B"/>
    <w:rsid w:val="00564CDA"/>
    <w:rsid w:val="005650E2"/>
    <w:rsid w:val="00567AD7"/>
    <w:rsid w:val="0057161E"/>
    <w:rsid w:val="00575B2D"/>
    <w:rsid w:val="00575F95"/>
    <w:rsid w:val="005833D0"/>
    <w:rsid w:val="005846F3"/>
    <w:rsid w:val="0058622F"/>
    <w:rsid w:val="00591280"/>
    <w:rsid w:val="00592F82"/>
    <w:rsid w:val="005A0CCA"/>
    <w:rsid w:val="005A4836"/>
    <w:rsid w:val="005A726D"/>
    <w:rsid w:val="005A746F"/>
    <w:rsid w:val="005B1645"/>
    <w:rsid w:val="005B2222"/>
    <w:rsid w:val="005B4E6F"/>
    <w:rsid w:val="005B67AC"/>
    <w:rsid w:val="005B79F4"/>
    <w:rsid w:val="005B7C95"/>
    <w:rsid w:val="005C442F"/>
    <w:rsid w:val="005D2CD6"/>
    <w:rsid w:val="005D2EB2"/>
    <w:rsid w:val="005D43E0"/>
    <w:rsid w:val="005D58A3"/>
    <w:rsid w:val="005E1502"/>
    <w:rsid w:val="005E1B79"/>
    <w:rsid w:val="005E42DB"/>
    <w:rsid w:val="005E52F6"/>
    <w:rsid w:val="005E7008"/>
    <w:rsid w:val="005E784A"/>
    <w:rsid w:val="005F026D"/>
    <w:rsid w:val="005F2AEA"/>
    <w:rsid w:val="005F2D0B"/>
    <w:rsid w:val="005F4B31"/>
    <w:rsid w:val="0060147D"/>
    <w:rsid w:val="006048C0"/>
    <w:rsid w:val="00610388"/>
    <w:rsid w:val="00611DE6"/>
    <w:rsid w:val="00612CA5"/>
    <w:rsid w:val="00615365"/>
    <w:rsid w:val="006153EC"/>
    <w:rsid w:val="00621A17"/>
    <w:rsid w:val="00627763"/>
    <w:rsid w:val="00627B5B"/>
    <w:rsid w:val="00627CC9"/>
    <w:rsid w:val="00627DE9"/>
    <w:rsid w:val="00627E7B"/>
    <w:rsid w:val="00630542"/>
    <w:rsid w:val="0063292A"/>
    <w:rsid w:val="00632E44"/>
    <w:rsid w:val="00634622"/>
    <w:rsid w:val="00636808"/>
    <w:rsid w:val="00636C15"/>
    <w:rsid w:val="006402CC"/>
    <w:rsid w:val="00641515"/>
    <w:rsid w:val="00654B27"/>
    <w:rsid w:val="00654C2F"/>
    <w:rsid w:val="00656DA7"/>
    <w:rsid w:val="00657087"/>
    <w:rsid w:val="006603F1"/>
    <w:rsid w:val="00660FD8"/>
    <w:rsid w:val="006639DB"/>
    <w:rsid w:val="00664A67"/>
    <w:rsid w:val="006661EF"/>
    <w:rsid w:val="006723E9"/>
    <w:rsid w:val="00673FAC"/>
    <w:rsid w:val="00677AEB"/>
    <w:rsid w:val="00680158"/>
    <w:rsid w:val="00680EF2"/>
    <w:rsid w:val="00687A1D"/>
    <w:rsid w:val="006948A1"/>
    <w:rsid w:val="00696ED8"/>
    <w:rsid w:val="00697EA1"/>
    <w:rsid w:val="006A2646"/>
    <w:rsid w:val="006A3D0F"/>
    <w:rsid w:val="006A6530"/>
    <w:rsid w:val="006B11EE"/>
    <w:rsid w:val="006B40B8"/>
    <w:rsid w:val="006B435A"/>
    <w:rsid w:val="006B4C64"/>
    <w:rsid w:val="006B754D"/>
    <w:rsid w:val="006C3FB7"/>
    <w:rsid w:val="006C4FAA"/>
    <w:rsid w:val="006C5B13"/>
    <w:rsid w:val="006D1E81"/>
    <w:rsid w:val="006D217A"/>
    <w:rsid w:val="006D6BD5"/>
    <w:rsid w:val="006E07D8"/>
    <w:rsid w:val="006E16EF"/>
    <w:rsid w:val="006E481A"/>
    <w:rsid w:val="006E5287"/>
    <w:rsid w:val="006E5298"/>
    <w:rsid w:val="006E5E2E"/>
    <w:rsid w:val="006F0106"/>
    <w:rsid w:val="006F052B"/>
    <w:rsid w:val="006F2B12"/>
    <w:rsid w:val="006F4A78"/>
    <w:rsid w:val="006F734A"/>
    <w:rsid w:val="00700D83"/>
    <w:rsid w:val="00703629"/>
    <w:rsid w:val="00704852"/>
    <w:rsid w:val="007074E9"/>
    <w:rsid w:val="00710C8E"/>
    <w:rsid w:val="00713DA4"/>
    <w:rsid w:val="00714BF1"/>
    <w:rsid w:val="00721383"/>
    <w:rsid w:val="00725DF8"/>
    <w:rsid w:val="007308CE"/>
    <w:rsid w:val="0073158B"/>
    <w:rsid w:val="00732E0C"/>
    <w:rsid w:val="007333CC"/>
    <w:rsid w:val="0073399A"/>
    <w:rsid w:val="00745D6F"/>
    <w:rsid w:val="00751788"/>
    <w:rsid w:val="0076039F"/>
    <w:rsid w:val="007603F5"/>
    <w:rsid w:val="00762D16"/>
    <w:rsid w:val="00764DB0"/>
    <w:rsid w:val="0076764D"/>
    <w:rsid w:val="007724D3"/>
    <w:rsid w:val="0077498C"/>
    <w:rsid w:val="007772BD"/>
    <w:rsid w:val="007809BC"/>
    <w:rsid w:val="00781F81"/>
    <w:rsid w:val="00782386"/>
    <w:rsid w:val="00782DF0"/>
    <w:rsid w:val="00782EE1"/>
    <w:rsid w:val="0078313D"/>
    <w:rsid w:val="00784128"/>
    <w:rsid w:val="0078463C"/>
    <w:rsid w:val="007854B7"/>
    <w:rsid w:val="00793173"/>
    <w:rsid w:val="007A107A"/>
    <w:rsid w:val="007A2A33"/>
    <w:rsid w:val="007A3CAE"/>
    <w:rsid w:val="007A6B8D"/>
    <w:rsid w:val="007A7B20"/>
    <w:rsid w:val="007B5F3E"/>
    <w:rsid w:val="007C0449"/>
    <w:rsid w:val="007C1FCC"/>
    <w:rsid w:val="007C50AA"/>
    <w:rsid w:val="007C6201"/>
    <w:rsid w:val="007C7F9B"/>
    <w:rsid w:val="007D7691"/>
    <w:rsid w:val="007D7C92"/>
    <w:rsid w:val="007E1154"/>
    <w:rsid w:val="007E39B3"/>
    <w:rsid w:val="007E3AA9"/>
    <w:rsid w:val="007E44C4"/>
    <w:rsid w:val="007E6BA4"/>
    <w:rsid w:val="007F41F8"/>
    <w:rsid w:val="007F6A57"/>
    <w:rsid w:val="0080085E"/>
    <w:rsid w:val="00800B1B"/>
    <w:rsid w:val="00800B76"/>
    <w:rsid w:val="008017F0"/>
    <w:rsid w:val="0080454E"/>
    <w:rsid w:val="00804C32"/>
    <w:rsid w:val="00804DA6"/>
    <w:rsid w:val="00806302"/>
    <w:rsid w:val="00807119"/>
    <w:rsid w:val="008115C6"/>
    <w:rsid w:val="0082424D"/>
    <w:rsid w:val="0082483F"/>
    <w:rsid w:val="008279C0"/>
    <w:rsid w:val="00833BA3"/>
    <w:rsid w:val="00836166"/>
    <w:rsid w:val="00841051"/>
    <w:rsid w:val="00841A1A"/>
    <w:rsid w:val="008500BD"/>
    <w:rsid w:val="00860723"/>
    <w:rsid w:val="008640EE"/>
    <w:rsid w:val="00864593"/>
    <w:rsid w:val="0086548F"/>
    <w:rsid w:val="00871BD0"/>
    <w:rsid w:val="00872174"/>
    <w:rsid w:val="00872186"/>
    <w:rsid w:val="008723F3"/>
    <w:rsid w:val="00874240"/>
    <w:rsid w:val="00881DE6"/>
    <w:rsid w:val="008837A6"/>
    <w:rsid w:val="00890383"/>
    <w:rsid w:val="0089145D"/>
    <w:rsid w:val="0089362E"/>
    <w:rsid w:val="00894C1D"/>
    <w:rsid w:val="008974C8"/>
    <w:rsid w:val="00897A78"/>
    <w:rsid w:val="008A4DF2"/>
    <w:rsid w:val="008A6CA4"/>
    <w:rsid w:val="008A6CFE"/>
    <w:rsid w:val="008A7391"/>
    <w:rsid w:val="008B397A"/>
    <w:rsid w:val="008B5333"/>
    <w:rsid w:val="008B6223"/>
    <w:rsid w:val="008C024F"/>
    <w:rsid w:val="008C385B"/>
    <w:rsid w:val="008C4AC6"/>
    <w:rsid w:val="008C66E0"/>
    <w:rsid w:val="008D6048"/>
    <w:rsid w:val="008D62F7"/>
    <w:rsid w:val="008D663E"/>
    <w:rsid w:val="008D70EB"/>
    <w:rsid w:val="008E0EC8"/>
    <w:rsid w:val="008E3339"/>
    <w:rsid w:val="008E3C96"/>
    <w:rsid w:val="008E7371"/>
    <w:rsid w:val="008F20FC"/>
    <w:rsid w:val="008F5FFE"/>
    <w:rsid w:val="008F6588"/>
    <w:rsid w:val="008F7EB1"/>
    <w:rsid w:val="00904BBF"/>
    <w:rsid w:val="00905A43"/>
    <w:rsid w:val="00912C79"/>
    <w:rsid w:val="00914815"/>
    <w:rsid w:val="00914A23"/>
    <w:rsid w:val="0092481C"/>
    <w:rsid w:val="00935A21"/>
    <w:rsid w:val="00942123"/>
    <w:rsid w:val="0095207B"/>
    <w:rsid w:val="00956E63"/>
    <w:rsid w:val="00962045"/>
    <w:rsid w:val="009651D2"/>
    <w:rsid w:val="00967219"/>
    <w:rsid w:val="00971896"/>
    <w:rsid w:val="00973AB5"/>
    <w:rsid w:val="00980A8B"/>
    <w:rsid w:val="00980E61"/>
    <w:rsid w:val="00986FCB"/>
    <w:rsid w:val="0099089E"/>
    <w:rsid w:val="00991428"/>
    <w:rsid w:val="00992676"/>
    <w:rsid w:val="009954B2"/>
    <w:rsid w:val="00996691"/>
    <w:rsid w:val="00997DB2"/>
    <w:rsid w:val="009B0723"/>
    <w:rsid w:val="009B07AD"/>
    <w:rsid w:val="009B0883"/>
    <w:rsid w:val="009B15E2"/>
    <w:rsid w:val="009B4976"/>
    <w:rsid w:val="009C0B8E"/>
    <w:rsid w:val="009C1BC8"/>
    <w:rsid w:val="009C2442"/>
    <w:rsid w:val="009C5E52"/>
    <w:rsid w:val="009D0811"/>
    <w:rsid w:val="009D0EE1"/>
    <w:rsid w:val="009D42A6"/>
    <w:rsid w:val="009D4B08"/>
    <w:rsid w:val="009D693A"/>
    <w:rsid w:val="009E2AEB"/>
    <w:rsid w:val="009E2E27"/>
    <w:rsid w:val="009E39B2"/>
    <w:rsid w:val="009E4DE3"/>
    <w:rsid w:val="009E63C2"/>
    <w:rsid w:val="009F275E"/>
    <w:rsid w:val="009F5913"/>
    <w:rsid w:val="009F774E"/>
    <w:rsid w:val="00A02A4A"/>
    <w:rsid w:val="00A047EE"/>
    <w:rsid w:val="00A07E6F"/>
    <w:rsid w:val="00A11E80"/>
    <w:rsid w:val="00A17858"/>
    <w:rsid w:val="00A215E8"/>
    <w:rsid w:val="00A2274A"/>
    <w:rsid w:val="00A235B7"/>
    <w:rsid w:val="00A27A7A"/>
    <w:rsid w:val="00A33FA6"/>
    <w:rsid w:val="00A407EF"/>
    <w:rsid w:val="00A43411"/>
    <w:rsid w:val="00A46B4C"/>
    <w:rsid w:val="00A50055"/>
    <w:rsid w:val="00A5117B"/>
    <w:rsid w:val="00A54CB5"/>
    <w:rsid w:val="00A60074"/>
    <w:rsid w:val="00A61E1B"/>
    <w:rsid w:val="00A620A6"/>
    <w:rsid w:val="00A62FDA"/>
    <w:rsid w:val="00A6627C"/>
    <w:rsid w:val="00A71019"/>
    <w:rsid w:val="00A74605"/>
    <w:rsid w:val="00A81029"/>
    <w:rsid w:val="00A8197E"/>
    <w:rsid w:val="00A83E9F"/>
    <w:rsid w:val="00A96489"/>
    <w:rsid w:val="00AA1385"/>
    <w:rsid w:val="00AA2941"/>
    <w:rsid w:val="00AA55B5"/>
    <w:rsid w:val="00AB685C"/>
    <w:rsid w:val="00AB6C2D"/>
    <w:rsid w:val="00AB7AB3"/>
    <w:rsid w:val="00AC08F7"/>
    <w:rsid w:val="00AC3839"/>
    <w:rsid w:val="00AC4C4F"/>
    <w:rsid w:val="00AC7082"/>
    <w:rsid w:val="00AD2931"/>
    <w:rsid w:val="00AD35E0"/>
    <w:rsid w:val="00AD40BD"/>
    <w:rsid w:val="00AD513F"/>
    <w:rsid w:val="00AD6870"/>
    <w:rsid w:val="00AE1B09"/>
    <w:rsid w:val="00AE2316"/>
    <w:rsid w:val="00AE477C"/>
    <w:rsid w:val="00AE590C"/>
    <w:rsid w:val="00AE74BA"/>
    <w:rsid w:val="00AF07A0"/>
    <w:rsid w:val="00AF228E"/>
    <w:rsid w:val="00AF39A8"/>
    <w:rsid w:val="00AF3D98"/>
    <w:rsid w:val="00B00D16"/>
    <w:rsid w:val="00B016A8"/>
    <w:rsid w:val="00B02E49"/>
    <w:rsid w:val="00B0658E"/>
    <w:rsid w:val="00B070D2"/>
    <w:rsid w:val="00B12499"/>
    <w:rsid w:val="00B12BF1"/>
    <w:rsid w:val="00B12EF7"/>
    <w:rsid w:val="00B137B0"/>
    <w:rsid w:val="00B14819"/>
    <w:rsid w:val="00B15E2F"/>
    <w:rsid w:val="00B1745F"/>
    <w:rsid w:val="00B17AA9"/>
    <w:rsid w:val="00B215EE"/>
    <w:rsid w:val="00B27B26"/>
    <w:rsid w:val="00B30D9A"/>
    <w:rsid w:val="00B3130C"/>
    <w:rsid w:val="00B32588"/>
    <w:rsid w:val="00B33FA3"/>
    <w:rsid w:val="00B41706"/>
    <w:rsid w:val="00B4270C"/>
    <w:rsid w:val="00B437B1"/>
    <w:rsid w:val="00B44713"/>
    <w:rsid w:val="00B44F1B"/>
    <w:rsid w:val="00B56103"/>
    <w:rsid w:val="00B64929"/>
    <w:rsid w:val="00B708C9"/>
    <w:rsid w:val="00B70CB2"/>
    <w:rsid w:val="00B736DF"/>
    <w:rsid w:val="00B73B28"/>
    <w:rsid w:val="00B743D6"/>
    <w:rsid w:val="00B74FBD"/>
    <w:rsid w:val="00B77F46"/>
    <w:rsid w:val="00B82586"/>
    <w:rsid w:val="00B829A3"/>
    <w:rsid w:val="00B83193"/>
    <w:rsid w:val="00B843EF"/>
    <w:rsid w:val="00B86DB1"/>
    <w:rsid w:val="00B87869"/>
    <w:rsid w:val="00B96CE3"/>
    <w:rsid w:val="00BA543A"/>
    <w:rsid w:val="00BB0F2B"/>
    <w:rsid w:val="00BB2DC6"/>
    <w:rsid w:val="00BB38D1"/>
    <w:rsid w:val="00BB5287"/>
    <w:rsid w:val="00BC4AA6"/>
    <w:rsid w:val="00BC4AFA"/>
    <w:rsid w:val="00BC4C74"/>
    <w:rsid w:val="00BD73DA"/>
    <w:rsid w:val="00BE4BFD"/>
    <w:rsid w:val="00BE4FF3"/>
    <w:rsid w:val="00BF50F7"/>
    <w:rsid w:val="00BF7475"/>
    <w:rsid w:val="00C00B20"/>
    <w:rsid w:val="00C00E77"/>
    <w:rsid w:val="00C01617"/>
    <w:rsid w:val="00C02F29"/>
    <w:rsid w:val="00C0556A"/>
    <w:rsid w:val="00C0612F"/>
    <w:rsid w:val="00C15FA2"/>
    <w:rsid w:val="00C20AFE"/>
    <w:rsid w:val="00C22A25"/>
    <w:rsid w:val="00C22EAC"/>
    <w:rsid w:val="00C24FCB"/>
    <w:rsid w:val="00C35671"/>
    <w:rsid w:val="00C35B77"/>
    <w:rsid w:val="00C35F52"/>
    <w:rsid w:val="00C36BA0"/>
    <w:rsid w:val="00C376EB"/>
    <w:rsid w:val="00C468C1"/>
    <w:rsid w:val="00C46A92"/>
    <w:rsid w:val="00C46DF7"/>
    <w:rsid w:val="00C46EC1"/>
    <w:rsid w:val="00C52796"/>
    <w:rsid w:val="00C53E2C"/>
    <w:rsid w:val="00C550C8"/>
    <w:rsid w:val="00C56B61"/>
    <w:rsid w:val="00C606C3"/>
    <w:rsid w:val="00C60B85"/>
    <w:rsid w:val="00C61397"/>
    <w:rsid w:val="00C620F4"/>
    <w:rsid w:val="00C63E03"/>
    <w:rsid w:val="00C72848"/>
    <w:rsid w:val="00C7729F"/>
    <w:rsid w:val="00C7736C"/>
    <w:rsid w:val="00C82D87"/>
    <w:rsid w:val="00C8712A"/>
    <w:rsid w:val="00C91E03"/>
    <w:rsid w:val="00C963D3"/>
    <w:rsid w:val="00C965BD"/>
    <w:rsid w:val="00CA7069"/>
    <w:rsid w:val="00CB1983"/>
    <w:rsid w:val="00CB2CBB"/>
    <w:rsid w:val="00CB365E"/>
    <w:rsid w:val="00CB641E"/>
    <w:rsid w:val="00CB7CAC"/>
    <w:rsid w:val="00CC5335"/>
    <w:rsid w:val="00CC5BA4"/>
    <w:rsid w:val="00CD4998"/>
    <w:rsid w:val="00CE1035"/>
    <w:rsid w:val="00CE1998"/>
    <w:rsid w:val="00CE4206"/>
    <w:rsid w:val="00CE6E50"/>
    <w:rsid w:val="00CE6F91"/>
    <w:rsid w:val="00CF08B4"/>
    <w:rsid w:val="00CF0F57"/>
    <w:rsid w:val="00CF1AF7"/>
    <w:rsid w:val="00CF2819"/>
    <w:rsid w:val="00CF4F9D"/>
    <w:rsid w:val="00CF70DC"/>
    <w:rsid w:val="00D148DC"/>
    <w:rsid w:val="00D17FDC"/>
    <w:rsid w:val="00D21F62"/>
    <w:rsid w:val="00D24871"/>
    <w:rsid w:val="00D26A5C"/>
    <w:rsid w:val="00D26AE0"/>
    <w:rsid w:val="00D26E26"/>
    <w:rsid w:val="00D332EC"/>
    <w:rsid w:val="00D509A5"/>
    <w:rsid w:val="00D522FC"/>
    <w:rsid w:val="00D563B3"/>
    <w:rsid w:val="00D56B4E"/>
    <w:rsid w:val="00D608A4"/>
    <w:rsid w:val="00D60E46"/>
    <w:rsid w:val="00D63EFD"/>
    <w:rsid w:val="00D651FD"/>
    <w:rsid w:val="00D66879"/>
    <w:rsid w:val="00D66F96"/>
    <w:rsid w:val="00D7117F"/>
    <w:rsid w:val="00D72770"/>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C515A"/>
    <w:rsid w:val="00DC6087"/>
    <w:rsid w:val="00DC76BE"/>
    <w:rsid w:val="00DD0802"/>
    <w:rsid w:val="00DD1686"/>
    <w:rsid w:val="00DD2E11"/>
    <w:rsid w:val="00DD47EF"/>
    <w:rsid w:val="00DE03AF"/>
    <w:rsid w:val="00DE121C"/>
    <w:rsid w:val="00DE6633"/>
    <w:rsid w:val="00DF0864"/>
    <w:rsid w:val="00DF4D34"/>
    <w:rsid w:val="00DF75F8"/>
    <w:rsid w:val="00DF7A3A"/>
    <w:rsid w:val="00E00C00"/>
    <w:rsid w:val="00E03315"/>
    <w:rsid w:val="00E03AF0"/>
    <w:rsid w:val="00E0715D"/>
    <w:rsid w:val="00E07C5A"/>
    <w:rsid w:val="00E144A8"/>
    <w:rsid w:val="00E15BA9"/>
    <w:rsid w:val="00E17ACB"/>
    <w:rsid w:val="00E203D8"/>
    <w:rsid w:val="00E26E19"/>
    <w:rsid w:val="00E30C8A"/>
    <w:rsid w:val="00E31DF3"/>
    <w:rsid w:val="00E327B5"/>
    <w:rsid w:val="00E450A4"/>
    <w:rsid w:val="00E506BE"/>
    <w:rsid w:val="00E55547"/>
    <w:rsid w:val="00E56CF4"/>
    <w:rsid w:val="00E604A1"/>
    <w:rsid w:val="00E6302B"/>
    <w:rsid w:val="00E6452F"/>
    <w:rsid w:val="00E64F45"/>
    <w:rsid w:val="00E6742D"/>
    <w:rsid w:val="00E70B04"/>
    <w:rsid w:val="00E70FA4"/>
    <w:rsid w:val="00E71CB0"/>
    <w:rsid w:val="00E77C3D"/>
    <w:rsid w:val="00E80DD1"/>
    <w:rsid w:val="00E81160"/>
    <w:rsid w:val="00E83CE8"/>
    <w:rsid w:val="00E871FF"/>
    <w:rsid w:val="00E90991"/>
    <w:rsid w:val="00E909F0"/>
    <w:rsid w:val="00E90D47"/>
    <w:rsid w:val="00E93993"/>
    <w:rsid w:val="00E9597C"/>
    <w:rsid w:val="00EA0913"/>
    <w:rsid w:val="00EA14EE"/>
    <w:rsid w:val="00EA5B00"/>
    <w:rsid w:val="00EB146B"/>
    <w:rsid w:val="00EB161C"/>
    <w:rsid w:val="00EB45AC"/>
    <w:rsid w:val="00EB5CA4"/>
    <w:rsid w:val="00EB7861"/>
    <w:rsid w:val="00EC00F9"/>
    <w:rsid w:val="00EC0181"/>
    <w:rsid w:val="00EC242E"/>
    <w:rsid w:val="00EC7B7B"/>
    <w:rsid w:val="00ED0377"/>
    <w:rsid w:val="00ED0BC4"/>
    <w:rsid w:val="00ED20E8"/>
    <w:rsid w:val="00ED472A"/>
    <w:rsid w:val="00ED4934"/>
    <w:rsid w:val="00ED54B6"/>
    <w:rsid w:val="00ED5F37"/>
    <w:rsid w:val="00EE3C36"/>
    <w:rsid w:val="00EE4971"/>
    <w:rsid w:val="00EE645F"/>
    <w:rsid w:val="00EE7315"/>
    <w:rsid w:val="00EF090E"/>
    <w:rsid w:val="00F033DA"/>
    <w:rsid w:val="00F13FB1"/>
    <w:rsid w:val="00F20268"/>
    <w:rsid w:val="00F27CD8"/>
    <w:rsid w:val="00F30351"/>
    <w:rsid w:val="00F32719"/>
    <w:rsid w:val="00F3323E"/>
    <w:rsid w:val="00F341F4"/>
    <w:rsid w:val="00F34F9D"/>
    <w:rsid w:val="00F3562C"/>
    <w:rsid w:val="00F35CCE"/>
    <w:rsid w:val="00F51441"/>
    <w:rsid w:val="00F5524B"/>
    <w:rsid w:val="00F57C8E"/>
    <w:rsid w:val="00F60538"/>
    <w:rsid w:val="00F60B34"/>
    <w:rsid w:val="00F61DD2"/>
    <w:rsid w:val="00F66AFF"/>
    <w:rsid w:val="00F71433"/>
    <w:rsid w:val="00F717B7"/>
    <w:rsid w:val="00F71E51"/>
    <w:rsid w:val="00F746D8"/>
    <w:rsid w:val="00F76CD4"/>
    <w:rsid w:val="00F814B4"/>
    <w:rsid w:val="00F83464"/>
    <w:rsid w:val="00F93BE7"/>
    <w:rsid w:val="00F97C5B"/>
    <w:rsid w:val="00FA3D50"/>
    <w:rsid w:val="00FA3DAB"/>
    <w:rsid w:val="00FB50CD"/>
    <w:rsid w:val="00FB6122"/>
    <w:rsid w:val="00FB7FBD"/>
    <w:rsid w:val="00FC235E"/>
    <w:rsid w:val="00FC36AD"/>
    <w:rsid w:val="00FC374A"/>
    <w:rsid w:val="00FC48D8"/>
    <w:rsid w:val="00FC7B47"/>
    <w:rsid w:val="00FD035C"/>
    <w:rsid w:val="00FD1A35"/>
    <w:rsid w:val="00FD36C5"/>
    <w:rsid w:val="00FD6310"/>
    <w:rsid w:val="00FD7C7B"/>
    <w:rsid w:val="00FE1D12"/>
    <w:rsid w:val="00FE2122"/>
    <w:rsid w:val="00FE2A86"/>
    <w:rsid w:val="00FE2DE2"/>
    <w:rsid w:val="00FF296F"/>
    <w:rsid w:val="00FF4E94"/>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A4"/>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line-clamp-1">
    <w:name w:val="line-clamp-1"/>
    <w:basedOn w:val="DefaultParagraphFont"/>
    <w:rsid w:val="00315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82860">
      <w:bodyDiv w:val="1"/>
      <w:marLeft w:val="0"/>
      <w:marRight w:val="0"/>
      <w:marTop w:val="0"/>
      <w:marBottom w:val="0"/>
      <w:divBdr>
        <w:top w:val="none" w:sz="0" w:space="0" w:color="auto"/>
        <w:left w:val="none" w:sz="0" w:space="0" w:color="auto"/>
        <w:bottom w:val="none" w:sz="0" w:space="0" w:color="auto"/>
        <w:right w:val="none" w:sz="0" w:space="0" w:color="auto"/>
      </w:divBdr>
    </w:div>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52435394">
      <w:bodyDiv w:val="1"/>
      <w:marLeft w:val="0"/>
      <w:marRight w:val="0"/>
      <w:marTop w:val="0"/>
      <w:marBottom w:val="0"/>
      <w:divBdr>
        <w:top w:val="none" w:sz="0" w:space="0" w:color="auto"/>
        <w:left w:val="none" w:sz="0" w:space="0" w:color="auto"/>
        <w:bottom w:val="none" w:sz="0" w:space="0" w:color="auto"/>
        <w:right w:val="none" w:sz="0" w:space="0" w:color="auto"/>
      </w:divBdr>
    </w:div>
    <w:div w:id="61291588">
      <w:bodyDiv w:val="1"/>
      <w:marLeft w:val="0"/>
      <w:marRight w:val="0"/>
      <w:marTop w:val="0"/>
      <w:marBottom w:val="0"/>
      <w:divBdr>
        <w:top w:val="none" w:sz="0" w:space="0" w:color="auto"/>
        <w:left w:val="none" w:sz="0" w:space="0" w:color="auto"/>
        <w:bottom w:val="none" w:sz="0" w:space="0" w:color="auto"/>
        <w:right w:val="none" w:sz="0" w:space="0" w:color="auto"/>
      </w:divBdr>
    </w:div>
    <w:div w:id="66729022">
      <w:bodyDiv w:val="1"/>
      <w:marLeft w:val="0"/>
      <w:marRight w:val="0"/>
      <w:marTop w:val="0"/>
      <w:marBottom w:val="0"/>
      <w:divBdr>
        <w:top w:val="none" w:sz="0" w:space="0" w:color="auto"/>
        <w:left w:val="none" w:sz="0" w:space="0" w:color="auto"/>
        <w:bottom w:val="none" w:sz="0" w:space="0" w:color="auto"/>
        <w:right w:val="none" w:sz="0" w:space="0" w:color="auto"/>
      </w:divBdr>
    </w:div>
    <w:div w:id="96950152">
      <w:bodyDiv w:val="1"/>
      <w:marLeft w:val="0"/>
      <w:marRight w:val="0"/>
      <w:marTop w:val="0"/>
      <w:marBottom w:val="0"/>
      <w:divBdr>
        <w:top w:val="none" w:sz="0" w:space="0" w:color="auto"/>
        <w:left w:val="none" w:sz="0" w:space="0" w:color="auto"/>
        <w:bottom w:val="none" w:sz="0" w:space="0" w:color="auto"/>
        <w:right w:val="none" w:sz="0" w:space="0" w:color="auto"/>
      </w:divBdr>
    </w:div>
    <w:div w:id="97408030">
      <w:bodyDiv w:val="1"/>
      <w:marLeft w:val="0"/>
      <w:marRight w:val="0"/>
      <w:marTop w:val="0"/>
      <w:marBottom w:val="0"/>
      <w:divBdr>
        <w:top w:val="none" w:sz="0" w:space="0" w:color="auto"/>
        <w:left w:val="none" w:sz="0" w:space="0" w:color="auto"/>
        <w:bottom w:val="none" w:sz="0" w:space="0" w:color="auto"/>
        <w:right w:val="none" w:sz="0" w:space="0" w:color="auto"/>
      </w:divBdr>
    </w:div>
    <w:div w:id="97792720">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113335275">
      <w:bodyDiv w:val="1"/>
      <w:marLeft w:val="0"/>
      <w:marRight w:val="0"/>
      <w:marTop w:val="0"/>
      <w:marBottom w:val="0"/>
      <w:divBdr>
        <w:top w:val="none" w:sz="0" w:space="0" w:color="auto"/>
        <w:left w:val="none" w:sz="0" w:space="0" w:color="auto"/>
        <w:bottom w:val="none" w:sz="0" w:space="0" w:color="auto"/>
        <w:right w:val="none" w:sz="0" w:space="0" w:color="auto"/>
      </w:divBdr>
    </w:div>
    <w:div w:id="119999840">
      <w:bodyDiv w:val="1"/>
      <w:marLeft w:val="0"/>
      <w:marRight w:val="0"/>
      <w:marTop w:val="0"/>
      <w:marBottom w:val="0"/>
      <w:divBdr>
        <w:top w:val="none" w:sz="0" w:space="0" w:color="auto"/>
        <w:left w:val="none" w:sz="0" w:space="0" w:color="auto"/>
        <w:bottom w:val="none" w:sz="0" w:space="0" w:color="auto"/>
        <w:right w:val="none" w:sz="0" w:space="0" w:color="auto"/>
      </w:divBdr>
    </w:div>
    <w:div w:id="146439816">
      <w:bodyDiv w:val="1"/>
      <w:marLeft w:val="0"/>
      <w:marRight w:val="0"/>
      <w:marTop w:val="0"/>
      <w:marBottom w:val="0"/>
      <w:divBdr>
        <w:top w:val="none" w:sz="0" w:space="0" w:color="auto"/>
        <w:left w:val="none" w:sz="0" w:space="0" w:color="auto"/>
        <w:bottom w:val="none" w:sz="0" w:space="0" w:color="auto"/>
        <w:right w:val="none" w:sz="0" w:space="0" w:color="auto"/>
      </w:divBdr>
    </w:div>
    <w:div w:id="306322270">
      <w:bodyDiv w:val="1"/>
      <w:marLeft w:val="0"/>
      <w:marRight w:val="0"/>
      <w:marTop w:val="0"/>
      <w:marBottom w:val="0"/>
      <w:divBdr>
        <w:top w:val="none" w:sz="0" w:space="0" w:color="auto"/>
        <w:left w:val="none" w:sz="0" w:space="0" w:color="auto"/>
        <w:bottom w:val="none" w:sz="0" w:space="0" w:color="auto"/>
        <w:right w:val="none" w:sz="0" w:space="0" w:color="auto"/>
      </w:divBdr>
    </w:div>
    <w:div w:id="404258279">
      <w:bodyDiv w:val="1"/>
      <w:marLeft w:val="0"/>
      <w:marRight w:val="0"/>
      <w:marTop w:val="0"/>
      <w:marBottom w:val="0"/>
      <w:divBdr>
        <w:top w:val="none" w:sz="0" w:space="0" w:color="auto"/>
        <w:left w:val="none" w:sz="0" w:space="0" w:color="auto"/>
        <w:bottom w:val="none" w:sz="0" w:space="0" w:color="auto"/>
        <w:right w:val="none" w:sz="0" w:space="0" w:color="auto"/>
      </w:divBdr>
    </w:div>
    <w:div w:id="414665530">
      <w:bodyDiv w:val="1"/>
      <w:marLeft w:val="0"/>
      <w:marRight w:val="0"/>
      <w:marTop w:val="0"/>
      <w:marBottom w:val="0"/>
      <w:divBdr>
        <w:top w:val="none" w:sz="0" w:space="0" w:color="auto"/>
        <w:left w:val="none" w:sz="0" w:space="0" w:color="auto"/>
        <w:bottom w:val="none" w:sz="0" w:space="0" w:color="auto"/>
        <w:right w:val="none" w:sz="0" w:space="0" w:color="auto"/>
      </w:divBdr>
    </w:div>
    <w:div w:id="423649182">
      <w:bodyDiv w:val="1"/>
      <w:marLeft w:val="0"/>
      <w:marRight w:val="0"/>
      <w:marTop w:val="0"/>
      <w:marBottom w:val="0"/>
      <w:divBdr>
        <w:top w:val="none" w:sz="0" w:space="0" w:color="auto"/>
        <w:left w:val="none" w:sz="0" w:space="0" w:color="auto"/>
        <w:bottom w:val="none" w:sz="0" w:space="0" w:color="auto"/>
        <w:right w:val="none" w:sz="0" w:space="0" w:color="auto"/>
      </w:divBdr>
    </w:div>
    <w:div w:id="439379167">
      <w:bodyDiv w:val="1"/>
      <w:marLeft w:val="0"/>
      <w:marRight w:val="0"/>
      <w:marTop w:val="0"/>
      <w:marBottom w:val="0"/>
      <w:divBdr>
        <w:top w:val="none" w:sz="0" w:space="0" w:color="auto"/>
        <w:left w:val="none" w:sz="0" w:space="0" w:color="auto"/>
        <w:bottom w:val="none" w:sz="0" w:space="0" w:color="auto"/>
        <w:right w:val="none" w:sz="0" w:space="0" w:color="auto"/>
      </w:divBdr>
    </w:div>
    <w:div w:id="452988517">
      <w:bodyDiv w:val="1"/>
      <w:marLeft w:val="0"/>
      <w:marRight w:val="0"/>
      <w:marTop w:val="0"/>
      <w:marBottom w:val="0"/>
      <w:divBdr>
        <w:top w:val="none" w:sz="0" w:space="0" w:color="auto"/>
        <w:left w:val="none" w:sz="0" w:space="0" w:color="auto"/>
        <w:bottom w:val="none" w:sz="0" w:space="0" w:color="auto"/>
        <w:right w:val="none" w:sz="0" w:space="0" w:color="auto"/>
      </w:divBdr>
    </w:div>
    <w:div w:id="466093337">
      <w:bodyDiv w:val="1"/>
      <w:marLeft w:val="0"/>
      <w:marRight w:val="0"/>
      <w:marTop w:val="0"/>
      <w:marBottom w:val="0"/>
      <w:divBdr>
        <w:top w:val="none" w:sz="0" w:space="0" w:color="auto"/>
        <w:left w:val="none" w:sz="0" w:space="0" w:color="auto"/>
        <w:bottom w:val="none" w:sz="0" w:space="0" w:color="auto"/>
        <w:right w:val="none" w:sz="0" w:space="0" w:color="auto"/>
      </w:divBdr>
    </w:div>
    <w:div w:id="51172776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74824609">
      <w:bodyDiv w:val="1"/>
      <w:marLeft w:val="0"/>
      <w:marRight w:val="0"/>
      <w:marTop w:val="0"/>
      <w:marBottom w:val="0"/>
      <w:divBdr>
        <w:top w:val="none" w:sz="0" w:space="0" w:color="auto"/>
        <w:left w:val="none" w:sz="0" w:space="0" w:color="auto"/>
        <w:bottom w:val="none" w:sz="0" w:space="0" w:color="auto"/>
        <w:right w:val="none" w:sz="0" w:space="0" w:color="auto"/>
      </w:divBdr>
    </w:div>
    <w:div w:id="589242065">
      <w:bodyDiv w:val="1"/>
      <w:marLeft w:val="0"/>
      <w:marRight w:val="0"/>
      <w:marTop w:val="0"/>
      <w:marBottom w:val="0"/>
      <w:divBdr>
        <w:top w:val="none" w:sz="0" w:space="0" w:color="auto"/>
        <w:left w:val="none" w:sz="0" w:space="0" w:color="auto"/>
        <w:bottom w:val="none" w:sz="0" w:space="0" w:color="auto"/>
        <w:right w:val="none" w:sz="0" w:space="0" w:color="auto"/>
      </w:divBdr>
    </w:div>
    <w:div w:id="603540227">
      <w:bodyDiv w:val="1"/>
      <w:marLeft w:val="0"/>
      <w:marRight w:val="0"/>
      <w:marTop w:val="0"/>
      <w:marBottom w:val="0"/>
      <w:divBdr>
        <w:top w:val="none" w:sz="0" w:space="0" w:color="auto"/>
        <w:left w:val="none" w:sz="0" w:space="0" w:color="auto"/>
        <w:bottom w:val="none" w:sz="0" w:space="0" w:color="auto"/>
        <w:right w:val="none" w:sz="0" w:space="0" w:color="auto"/>
      </w:divBdr>
    </w:div>
    <w:div w:id="613682663">
      <w:bodyDiv w:val="1"/>
      <w:marLeft w:val="0"/>
      <w:marRight w:val="0"/>
      <w:marTop w:val="0"/>
      <w:marBottom w:val="0"/>
      <w:divBdr>
        <w:top w:val="none" w:sz="0" w:space="0" w:color="auto"/>
        <w:left w:val="none" w:sz="0" w:space="0" w:color="auto"/>
        <w:bottom w:val="none" w:sz="0" w:space="0" w:color="auto"/>
        <w:right w:val="none" w:sz="0" w:space="0" w:color="auto"/>
      </w:divBdr>
    </w:div>
    <w:div w:id="641346318">
      <w:bodyDiv w:val="1"/>
      <w:marLeft w:val="0"/>
      <w:marRight w:val="0"/>
      <w:marTop w:val="0"/>
      <w:marBottom w:val="0"/>
      <w:divBdr>
        <w:top w:val="none" w:sz="0" w:space="0" w:color="auto"/>
        <w:left w:val="none" w:sz="0" w:space="0" w:color="auto"/>
        <w:bottom w:val="none" w:sz="0" w:space="0" w:color="auto"/>
        <w:right w:val="none" w:sz="0" w:space="0" w:color="auto"/>
      </w:divBdr>
    </w:div>
    <w:div w:id="668336184">
      <w:bodyDiv w:val="1"/>
      <w:marLeft w:val="0"/>
      <w:marRight w:val="0"/>
      <w:marTop w:val="0"/>
      <w:marBottom w:val="0"/>
      <w:divBdr>
        <w:top w:val="none" w:sz="0" w:space="0" w:color="auto"/>
        <w:left w:val="none" w:sz="0" w:space="0" w:color="auto"/>
        <w:bottom w:val="none" w:sz="0" w:space="0" w:color="auto"/>
        <w:right w:val="none" w:sz="0" w:space="0" w:color="auto"/>
      </w:divBdr>
    </w:div>
    <w:div w:id="735662694">
      <w:bodyDiv w:val="1"/>
      <w:marLeft w:val="0"/>
      <w:marRight w:val="0"/>
      <w:marTop w:val="0"/>
      <w:marBottom w:val="0"/>
      <w:divBdr>
        <w:top w:val="none" w:sz="0" w:space="0" w:color="auto"/>
        <w:left w:val="none" w:sz="0" w:space="0" w:color="auto"/>
        <w:bottom w:val="none" w:sz="0" w:space="0" w:color="auto"/>
        <w:right w:val="none" w:sz="0" w:space="0" w:color="auto"/>
      </w:divBdr>
    </w:div>
    <w:div w:id="789931367">
      <w:bodyDiv w:val="1"/>
      <w:marLeft w:val="0"/>
      <w:marRight w:val="0"/>
      <w:marTop w:val="0"/>
      <w:marBottom w:val="0"/>
      <w:divBdr>
        <w:top w:val="none" w:sz="0" w:space="0" w:color="auto"/>
        <w:left w:val="none" w:sz="0" w:space="0" w:color="auto"/>
        <w:bottom w:val="none" w:sz="0" w:space="0" w:color="auto"/>
        <w:right w:val="none" w:sz="0" w:space="0" w:color="auto"/>
      </w:divBdr>
    </w:div>
    <w:div w:id="82543663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116370439">
      <w:bodyDiv w:val="1"/>
      <w:marLeft w:val="0"/>
      <w:marRight w:val="0"/>
      <w:marTop w:val="0"/>
      <w:marBottom w:val="0"/>
      <w:divBdr>
        <w:top w:val="none" w:sz="0" w:space="0" w:color="auto"/>
        <w:left w:val="none" w:sz="0" w:space="0" w:color="auto"/>
        <w:bottom w:val="none" w:sz="0" w:space="0" w:color="auto"/>
        <w:right w:val="none" w:sz="0" w:space="0" w:color="auto"/>
      </w:divBdr>
    </w:div>
    <w:div w:id="1128475955">
      <w:bodyDiv w:val="1"/>
      <w:marLeft w:val="0"/>
      <w:marRight w:val="0"/>
      <w:marTop w:val="0"/>
      <w:marBottom w:val="0"/>
      <w:divBdr>
        <w:top w:val="none" w:sz="0" w:space="0" w:color="auto"/>
        <w:left w:val="none" w:sz="0" w:space="0" w:color="auto"/>
        <w:bottom w:val="none" w:sz="0" w:space="0" w:color="auto"/>
        <w:right w:val="none" w:sz="0" w:space="0" w:color="auto"/>
      </w:divBdr>
    </w:div>
    <w:div w:id="1189560682">
      <w:bodyDiv w:val="1"/>
      <w:marLeft w:val="0"/>
      <w:marRight w:val="0"/>
      <w:marTop w:val="0"/>
      <w:marBottom w:val="0"/>
      <w:divBdr>
        <w:top w:val="none" w:sz="0" w:space="0" w:color="auto"/>
        <w:left w:val="none" w:sz="0" w:space="0" w:color="auto"/>
        <w:bottom w:val="none" w:sz="0" w:space="0" w:color="auto"/>
        <w:right w:val="none" w:sz="0" w:space="0" w:color="auto"/>
      </w:divBdr>
    </w:div>
    <w:div w:id="1191531462">
      <w:bodyDiv w:val="1"/>
      <w:marLeft w:val="0"/>
      <w:marRight w:val="0"/>
      <w:marTop w:val="0"/>
      <w:marBottom w:val="0"/>
      <w:divBdr>
        <w:top w:val="none" w:sz="0" w:space="0" w:color="auto"/>
        <w:left w:val="none" w:sz="0" w:space="0" w:color="auto"/>
        <w:bottom w:val="none" w:sz="0" w:space="0" w:color="auto"/>
        <w:right w:val="none" w:sz="0" w:space="0" w:color="auto"/>
      </w:divBdr>
    </w:div>
    <w:div w:id="1243443742">
      <w:bodyDiv w:val="1"/>
      <w:marLeft w:val="0"/>
      <w:marRight w:val="0"/>
      <w:marTop w:val="0"/>
      <w:marBottom w:val="0"/>
      <w:divBdr>
        <w:top w:val="none" w:sz="0" w:space="0" w:color="auto"/>
        <w:left w:val="none" w:sz="0" w:space="0" w:color="auto"/>
        <w:bottom w:val="none" w:sz="0" w:space="0" w:color="auto"/>
        <w:right w:val="none" w:sz="0" w:space="0" w:color="auto"/>
      </w:divBdr>
    </w:div>
    <w:div w:id="1274241511">
      <w:bodyDiv w:val="1"/>
      <w:marLeft w:val="0"/>
      <w:marRight w:val="0"/>
      <w:marTop w:val="0"/>
      <w:marBottom w:val="0"/>
      <w:divBdr>
        <w:top w:val="none" w:sz="0" w:space="0" w:color="auto"/>
        <w:left w:val="none" w:sz="0" w:space="0" w:color="auto"/>
        <w:bottom w:val="none" w:sz="0" w:space="0" w:color="auto"/>
        <w:right w:val="none" w:sz="0" w:space="0" w:color="auto"/>
      </w:divBdr>
    </w:div>
    <w:div w:id="1299264692">
      <w:bodyDiv w:val="1"/>
      <w:marLeft w:val="0"/>
      <w:marRight w:val="0"/>
      <w:marTop w:val="0"/>
      <w:marBottom w:val="0"/>
      <w:divBdr>
        <w:top w:val="none" w:sz="0" w:space="0" w:color="auto"/>
        <w:left w:val="none" w:sz="0" w:space="0" w:color="auto"/>
        <w:bottom w:val="none" w:sz="0" w:space="0" w:color="auto"/>
        <w:right w:val="none" w:sz="0" w:space="0" w:color="auto"/>
      </w:divBdr>
    </w:div>
    <w:div w:id="1347906828">
      <w:bodyDiv w:val="1"/>
      <w:marLeft w:val="0"/>
      <w:marRight w:val="0"/>
      <w:marTop w:val="0"/>
      <w:marBottom w:val="0"/>
      <w:divBdr>
        <w:top w:val="none" w:sz="0" w:space="0" w:color="auto"/>
        <w:left w:val="none" w:sz="0" w:space="0" w:color="auto"/>
        <w:bottom w:val="none" w:sz="0" w:space="0" w:color="auto"/>
        <w:right w:val="none" w:sz="0" w:space="0" w:color="auto"/>
      </w:divBdr>
    </w:div>
    <w:div w:id="1364983896">
      <w:bodyDiv w:val="1"/>
      <w:marLeft w:val="0"/>
      <w:marRight w:val="0"/>
      <w:marTop w:val="0"/>
      <w:marBottom w:val="0"/>
      <w:divBdr>
        <w:top w:val="none" w:sz="0" w:space="0" w:color="auto"/>
        <w:left w:val="none" w:sz="0" w:space="0" w:color="auto"/>
        <w:bottom w:val="none" w:sz="0" w:space="0" w:color="auto"/>
        <w:right w:val="none" w:sz="0" w:space="0" w:color="auto"/>
      </w:divBdr>
    </w:div>
    <w:div w:id="1370568675">
      <w:bodyDiv w:val="1"/>
      <w:marLeft w:val="0"/>
      <w:marRight w:val="0"/>
      <w:marTop w:val="0"/>
      <w:marBottom w:val="0"/>
      <w:divBdr>
        <w:top w:val="none" w:sz="0" w:space="0" w:color="auto"/>
        <w:left w:val="none" w:sz="0" w:space="0" w:color="auto"/>
        <w:bottom w:val="none" w:sz="0" w:space="0" w:color="auto"/>
        <w:right w:val="none" w:sz="0" w:space="0" w:color="auto"/>
      </w:divBdr>
    </w:div>
    <w:div w:id="1381713343">
      <w:bodyDiv w:val="1"/>
      <w:marLeft w:val="0"/>
      <w:marRight w:val="0"/>
      <w:marTop w:val="0"/>
      <w:marBottom w:val="0"/>
      <w:divBdr>
        <w:top w:val="none" w:sz="0" w:space="0" w:color="auto"/>
        <w:left w:val="none" w:sz="0" w:space="0" w:color="auto"/>
        <w:bottom w:val="none" w:sz="0" w:space="0" w:color="auto"/>
        <w:right w:val="none" w:sz="0" w:space="0" w:color="auto"/>
      </w:divBdr>
    </w:div>
    <w:div w:id="1387266617">
      <w:bodyDiv w:val="1"/>
      <w:marLeft w:val="0"/>
      <w:marRight w:val="0"/>
      <w:marTop w:val="0"/>
      <w:marBottom w:val="0"/>
      <w:divBdr>
        <w:top w:val="none" w:sz="0" w:space="0" w:color="auto"/>
        <w:left w:val="none" w:sz="0" w:space="0" w:color="auto"/>
        <w:bottom w:val="none" w:sz="0" w:space="0" w:color="auto"/>
        <w:right w:val="none" w:sz="0" w:space="0" w:color="auto"/>
      </w:divBdr>
    </w:div>
    <w:div w:id="1406149351">
      <w:bodyDiv w:val="1"/>
      <w:marLeft w:val="0"/>
      <w:marRight w:val="0"/>
      <w:marTop w:val="0"/>
      <w:marBottom w:val="0"/>
      <w:divBdr>
        <w:top w:val="none" w:sz="0" w:space="0" w:color="auto"/>
        <w:left w:val="none" w:sz="0" w:space="0" w:color="auto"/>
        <w:bottom w:val="none" w:sz="0" w:space="0" w:color="auto"/>
        <w:right w:val="none" w:sz="0" w:space="0" w:color="auto"/>
      </w:divBdr>
    </w:div>
    <w:div w:id="1423454685">
      <w:bodyDiv w:val="1"/>
      <w:marLeft w:val="0"/>
      <w:marRight w:val="0"/>
      <w:marTop w:val="0"/>
      <w:marBottom w:val="0"/>
      <w:divBdr>
        <w:top w:val="none" w:sz="0" w:space="0" w:color="auto"/>
        <w:left w:val="none" w:sz="0" w:space="0" w:color="auto"/>
        <w:bottom w:val="none" w:sz="0" w:space="0" w:color="auto"/>
        <w:right w:val="none" w:sz="0" w:space="0" w:color="auto"/>
      </w:divBdr>
    </w:div>
    <w:div w:id="1431197770">
      <w:bodyDiv w:val="1"/>
      <w:marLeft w:val="0"/>
      <w:marRight w:val="0"/>
      <w:marTop w:val="0"/>
      <w:marBottom w:val="0"/>
      <w:divBdr>
        <w:top w:val="none" w:sz="0" w:space="0" w:color="auto"/>
        <w:left w:val="none" w:sz="0" w:space="0" w:color="auto"/>
        <w:bottom w:val="none" w:sz="0" w:space="0" w:color="auto"/>
        <w:right w:val="none" w:sz="0" w:space="0" w:color="auto"/>
      </w:divBdr>
    </w:div>
    <w:div w:id="1465081243">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566138333">
      <w:bodyDiv w:val="1"/>
      <w:marLeft w:val="0"/>
      <w:marRight w:val="0"/>
      <w:marTop w:val="0"/>
      <w:marBottom w:val="0"/>
      <w:divBdr>
        <w:top w:val="none" w:sz="0" w:space="0" w:color="auto"/>
        <w:left w:val="none" w:sz="0" w:space="0" w:color="auto"/>
        <w:bottom w:val="none" w:sz="0" w:space="0" w:color="auto"/>
        <w:right w:val="none" w:sz="0" w:space="0" w:color="auto"/>
      </w:divBdr>
    </w:div>
    <w:div w:id="1569077559">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37487467">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741171607">
      <w:bodyDiv w:val="1"/>
      <w:marLeft w:val="0"/>
      <w:marRight w:val="0"/>
      <w:marTop w:val="0"/>
      <w:marBottom w:val="0"/>
      <w:divBdr>
        <w:top w:val="none" w:sz="0" w:space="0" w:color="auto"/>
        <w:left w:val="none" w:sz="0" w:space="0" w:color="auto"/>
        <w:bottom w:val="none" w:sz="0" w:space="0" w:color="auto"/>
        <w:right w:val="none" w:sz="0" w:space="0" w:color="auto"/>
      </w:divBdr>
    </w:div>
    <w:div w:id="1742754594">
      <w:bodyDiv w:val="1"/>
      <w:marLeft w:val="0"/>
      <w:marRight w:val="0"/>
      <w:marTop w:val="0"/>
      <w:marBottom w:val="0"/>
      <w:divBdr>
        <w:top w:val="none" w:sz="0" w:space="0" w:color="auto"/>
        <w:left w:val="none" w:sz="0" w:space="0" w:color="auto"/>
        <w:bottom w:val="none" w:sz="0" w:space="0" w:color="auto"/>
        <w:right w:val="none" w:sz="0" w:space="0" w:color="auto"/>
      </w:divBdr>
      <w:divsChild>
        <w:div w:id="1374885528">
          <w:marLeft w:val="0"/>
          <w:marRight w:val="0"/>
          <w:marTop w:val="0"/>
          <w:marBottom w:val="0"/>
          <w:divBdr>
            <w:top w:val="none" w:sz="0" w:space="0" w:color="auto"/>
            <w:left w:val="none" w:sz="0" w:space="0" w:color="auto"/>
            <w:bottom w:val="none" w:sz="0" w:space="0" w:color="auto"/>
            <w:right w:val="none" w:sz="0" w:space="0" w:color="auto"/>
          </w:divBdr>
          <w:divsChild>
            <w:div w:id="1185091230">
              <w:marLeft w:val="0"/>
              <w:marRight w:val="0"/>
              <w:marTop w:val="0"/>
              <w:marBottom w:val="0"/>
              <w:divBdr>
                <w:top w:val="none" w:sz="0" w:space="0" w:color="auto"/>
                <w:left w:val="none" w:sz="0" w:space="0" w:color="auto"/>
                <w:bottom w:val="none" w:sz="0" w:space="0" w:color="auto"/>
                <w:right w:val="none" w:sz="0" w:space="0" w:color="auto"/>
              </w:divBdr>
              <w:divsChild>
                <w:div w:id="2066679413">
                  <w:marLeft w:val="0"/>
                  <w:marRight w:val="0"/>
                  <w:marTop w:val="0"/>
                  <w:marBottom w:val="0"/>
                  <w:divBdr>
                    <w:top w:val="none" w:sz="0" w:space="0" w:color="auto"/>
                    <w:left w:val="none" w:sz="0" w:space="0" w:color="auto"/>
                    <w:bottom w:val="none" w:sz="0" w:space="0" w:color="auto"/>
                    <w:right w:val="none" w:sz="0" w:space="0" w:color="auto"/>
                  </w:divBdr>
                  <w:divsChild>
                    <w:div w:id="10768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39606">
          <w:marLeft w:val="0"/>
          <w:marRight w:val="0"/>
          <w:marTop w:val="0"/>
          <w:marBottom w:val="0"/>
          <w:divBdr>
            <w:top w:val="none" w:sz="0" w:space="0" w:color="auto"/>
            <w:left w:val="none" w:sz="0" w:space="0" w:color="auto"/>
            <w:bottom w:val="none" w:sz="0" w:space="0" w:color="auto"/>
            <w:right w:val="none" w:sz="0" w:space="0" w:color="auto"/>
          </w:divBdr>
          <w:divsChild>
            <w:div w:id="626283359">
              <w:marLeft w:val="0"/>
              <w:marRight w:val="0"/>
              <w:marTop w:val="0"/>
              <w:marBottom w:val="0"/>
              <w:divBdr>
                <w:top w:val="none" w:sz="0" w:space="0" w:color="auto"/>
                <w:left w:val="none" w:sz="0" w:space="0" w:color="auto"/>
                <w:bottom w:val="none" w:sz="0" w:space="0" w:color="auto"/>
                <w:right w:val="none" w:sz="0" w:space="0" w:color="auto"/>
              </w:divBdr>
              <w:divsChild>
                <w:div w:id="2138444602">
                  <w:marLeft w:val="0"/>
                  <w:marRight w:val="0"/>
                  <w:marTop w:val="0"/>
                  <w:marBottom w:val="0"/>
                  <w:divBdr>
                    <w:top w:val="none" w:sz="0" w:space="0" w:color="auto"/>
                    <w:left w:val="none" w:sz="0" w:space="0" w:color="auto"/>
                    <w:bottom w:val="none" w:sz="0" w:space="0" w:color="auto"/>
                    <w:right w:val="none" w:sz="0" w:space="0" w:color="auto"/>
                  </w:divBdr>
                  <w:divsChild>
                    <w:div w:id="15612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875731571">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35281133">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198785899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93505012">
      <w:bodyDiv w:val="1"/>
      <w:marLeft w:val="0"/>
      <w:marRight w:val="0"/>
      <w:marTop w:val="0"/>
      <w:marBottom w:val="0"/>
      <w:divBdr>
        <w:top w:val="none" w:sz="0" w:space="0" w:color="auto"/>
        <w:left w:val="none" w:sz="0" w:space="0" w:color="auto"/>
        <w:bottom w:val="none" w:sz="0" w:space="0" w:color="auto"/>
        <w:right w:val="none" w:sz="0" w:space="0" w:color="auto"/>
      </w:divBdr>
    </w:div>
    <w:div w:id="2103643100">
      <w:bodyDiv w:val="1"/>
      <w:marLeft w:val="0"/>
      <w:marRight w:val="0"/>
      <w:marTop w:val="0"/>
      <w:marBottom w:val="0"/>
      <w:divBdr>
        <w:top w:val="none" w:sz="0" w:space="0" w:color="auto"/>
        <w:left w:val="none" w:sz="0" w:space="0" w:color="auto"/>
        <w:bottom w:val="none" w:sz="0" w:space="0" w:color="auto"/>
        <w:right w:val="none" w:sz="0" w:space="0" w:color="auto"/>
      </w:divBdr>
    </w:div>
    <w:div w:id="2123529626">
      <w:bodyDiv w:val="1"/>
      <w:marLeft w:val="0"/>
      <w:marRight w:val="0"/>
      <w:marTop w:val="0"/>
      <w:marBottom w:val="0"/>
      <w:divBdr>
        <w:top w:val="none" w:sz="0" w:space="0" w:color="auto"/>
        <w:left w:val="none" w:sz="0" w:space="0" w:color="auto"/>
        <w:bottom w:val="none" w:sz="0" w:space="0" w:color="auto"/>
        <w:right w:val="none" w:sz="0" w:space="0" w:color="auto"/>
      </w:divBdr>
    </w:div>
    <w:div w:id="2126844149">
      <w:bodyDiv w:val="1"/>
      <w:marLeft w:val="0"/>
      <w:marRight w:val="0"/>
      <w:marTop w:val="0"/>
      <w:marBottom w:val="0"/>
      <w:divBdr>
        <w:top w:val="none" w:sz="0" w:space="0" w:color="auto"/>
        <w:left w:val="none" w:sz="0" w:space="0" w:color="auto"/>
        <w:bottom w:val="none" w:sz="0" w:space="0" w:color="auto"/>
        <w:right w:val="none" w:sz="0" w:space="0" w:color="auto"/>
      </w:divBdr>
    </w:div>
    <w:div w:id="2133210688">
      <w:bodyDiv w:val="1"/>
      <w:marLeft w:val="0"/>
      <w:marRight w:val="0"/>
      <w:marTop w:val="0"/>
      <w:marBottom w:val="0"/>
      <w:divBdr>
        <w:top w:val="none" w:sz="0" w:space="0" w:color="auto"/>
        <w:left w:val="none" w:sz="0" w:space="0" w:color="auto"/>
        <w:bottom w:val="none" w:sz="0" w:space="0" w:color="auto"/>
        <w:right w:val="none" w:sz="0" w:space="0" w:color="auto"/>
      </w:divBdr>
    </w:div>
    <w:div w:id="2136756541">
      <w:bodyDiv w:val="1"/>
      <w:marLeft w:val="0"/>
      <w:marRight w:val="0"/>
      <w:marTop w:val="0"/>
      <w:marBottom w:val="0"/>
      <w:divBdr>
        <w:top w:val="none" w:sz="0" w:space="0" w:color="auto"/>
        <w:left w:val="none" w:sz="0" w:space="0" w:color="auto"/>
        <w:bottom w:val="none" w:sz="0" w:space="0" w:color="auto"/>
        <w:right w:val="none" w:sz="0" w:space="0" w:color="auto"/>
      </w:divBdr>
    </w:div>
    <w:div w:id="2138909265">
      <w:bodyDiv w:val="1"/>
      <w:marLeft w:val="0"/>
      <w:marRight w:val="0"/>
      <w:marTop w:val="0"/>
      <w:marBottom w:val="0"/>
      <w:divBdr>
        <w:top w:val="none" w:sz="0" w:space="0" w:color="auto"/>
        <w:left w:val="none" w:sz="0" w:space="0" w:color="auto"/>
        <w:bottom w:val="none" w:sz="0" w:space="0" w:color="auto"/>
        <w:right w:val="none" w:sz="0" w:space="0" w:color="auto"/>
      </w:divBdr>
    </w:div>
    <w:div w:id="214415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17</Pages>
  <Words>6344</Words>
  <Characters>34895</Characters>
  <Application>Microsoft Office Word</Application>
  <DocSecurity>0</DocSecurity>
  <Lines>811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lakshay jain</cp:lastModifiedBy>
  <cp:revision>217</cp:revision>
  <cp:lastPrinted>2019-08-27T05:42:00Z</cp:lastPrinted>
  <dcterms:created xsi:type="dcterms:W3CDTF">2023-06-21T09:48:00Z</dcterms:created>
  <dcterms:modified xsi:type="dcterms:W3CDTF">2024-06-27T17:26:00Z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e352305a931b3350c7e507466bf53e0981b9e421562f56eb022892ff79843d09</vt:lpwstr>
  </property>
</Properties>
</file>