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s-CL" w:eastAsia="es-CL"/>
        </w:rPr>
        <w:drawing>
          <wp:inline distT="0" distB="0" distL="0" distR="0" wp14:anchorId="08EF00C8" wp14:editId="1B6C5211">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545EB84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6A9FB754" w14:textId="42142E55"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ListParagraph"/>
        <w:ind w:left="426"/>
        <w:jc w:val="both"/>
        <w:rPr>
          <w:rFonts w:ascii="Avenir Next" w:hAnsi="Avenir Next" w:cs="Arial"/>
          <w:sz w:val="22"/>
          <w:szCs w:val="22"/>
          <w:lang w:val="en-GB"/>
        </w:rPr>
      </w:pPr>
    </w:p>
    <w:p w14:paraId="7C85F97D" w14:textId="7EE54622"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Pr="004B3129" w:rsidRDefault="00205817" w:rsidP="00205817">
      <w:pPr>
        <w:pStyle w:val="ListParagraph"/>
        <w:numPr>
          <w:ilvl w:val="0"/>
          <w:numId w:val="14"/>
        </w:numPr>
        <w:ind w:left="426"/>
        <w:jc w:val="both"/>
        <w:rPr>
          <w:rFonts w:ascii="Avenir Next" w:hAnsi="Avenir Next" w:cs="Arial"/>
          <w:sz w:val="22"/>
          <w:szCs w:val="22"/>
          <w:highlight w:val="yellow"/>
          <w:lang w:val="en-GB"/>
        </w:rPr>
      </w:pPr>
      <w:r w:rsidRPr="004B3129">
        <w:rPr>
          <w:rFonts w:ascii="Avenir Next" w:hAnsi="Avenir Next" w:cs="Arial"/>
          <w:sz w:val="22"/>
          <w:szCs w:val="22"/>
          <w:highlight w:val="yellow"/>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There are no professional associations with codes of conduct and disciplinary procedures in case of malpractice.</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ListParagraph"/>
        <w:ind w:left="426"/>
        <w:jc w:val="both"/>
        <w:rPr>
          <w:rFonts w:ascii="Avenir Next" w:hAnsi="Avenir Next" w:cs="Arial"/>
          <w:sz w:val="22"/>
          <w:szCs w:val="22"/>
          <w:lang w:val="en-GB"/>
        </w:rPr>
      </w:pPr>
    </w:p>
    <w:p w14:paraId="5E3251B2" w14:textId="4C9B8526"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ListParagraph"/>
        <w:ind w:left="426"/>
        <w:jc w:val="both"/>
        <w:rPr>
          <w:rFonts w:ascii="Avenir Next" w:hAnsi="Avenir Next" w:cs="Arial"/>
          <w:sz w:val="22"/>
          <w:szCs w:val="22"/>
          <w:lang w:val="en-GB"/>
        </w:rPr>
      </w:pPr>
    </w:p>
    <w:p w14:paraId="4B750CD4" w14:textId="662C1C74"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Pr="004B3129" w:rsidRDefault="00B7308B" w:rsidP="00B7308B">
      <w:pPr>
        <w:pStyle w:val="ListParagraph"/>
        <w:numPr>
          <w:ilvl w:val="0"/>
          <w:numId w:val="27"/>
        </w:numPr>
        <w:ind w:left="426"/>
        <w:jc w:val="both"/>
        <w:rPr>
          <w:rFonts w:ascii="Avenir Next" w:hAnsi="Avenir Next" w:cs="Arial"/>
          <w:sz w:val="22"/>
          <w:szCs w:val="22"/>
          <w:highlight w:val="yellow"/>
          <w:lang w:val="en-GB"/>
        </w:rPr>
      </w:pPr>
      <w:r w:rsidRPr="004B3129">
        <w:rPr>
          <w:rFonts w:ascii="Avenir Next" w:hAnsi="Avenir Next" w:cs="Arial"/>
          <w:sz w:val="22"/>
          <w:szCs w:val="22"/>
          <w:highlight w:val="yellow"/>
          <w:lang w:val="en-GB"/>
        </w:rPr>
        <w:t>The scarce resources that the system allocates to insolvency courts.</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0711A3">
        <w:rPr>
          <w:rFonts w:ascii="Avenir Next" w:hAnsi="Avenir Next" w:cs="Arial"/>
          <w:sz w:val="22"/>
          <w:szCs w:val="22"/>
          <w:lang w:val="en-GB"/>
        </w:rPr>
        <w:t xml:space="preserve">The insolvency reform of 2003 created one </w:t>
      </w:r>
      <w:r w:rsidRPr="006112D7">
        <w:rPr>
          <w:rFonts w:ascii="Avenir Next Demi Bold" w:hAnsi="Avenir Next Demi Bold" w:cs="Arial"/>
          <w:b/>
          <w:bCs/>
          <w:sz w:val="22"/>
          <w:szCs w:val="22"/>
          <w:u w:val="single"/>
          <w:lang w:val="en-GB"/>
        </w:rPr>
        <w:t>unified</w:t>
      </w:r>
      <w:r w:rsidRPr="000711A3">
        <w:rPr>
          <w:rFonts w:ascii="Avenir Next" w:hAnsi="Avenir Next" w:cs="Arial"/>
          <w:sz w:val="22"/>
          <w:szCs w:val="22"/>
          <w:lang w:val="en-GB"/>
        </w:rPr>
        <w:t xml:space="preserve"> procedure (</w:t>
      </w:r>
      <w:proofErr w:type="spellStart"/>
      <w:r w:rsidRPr="000711A3">
        <w:rPr>
          <w:rFonts w:ascii="Avenir Next" w:hAnsi="Avenir Next" w:cs="Arial"/>
          <w:i/>
          <w:iCs/>
          <w:sz w:val="22"/>
          <w:szCs w:val="22"/>
          <w:lang w:val="en-GB"/>
        </w:rPr>
        <w:t>concurso</w:t>
      </w:r>
      <w:proofErr w:type="spellEnd"/>
      <w:r w:rsidRPr="000711A3">
        <w:rPr>
          <w:rFonts w:ascii="Avenir Next" w:hAnsi="Avenir Next" w:cs="Arial"/>
          <w:i/>
          <w:iCs/>
          <w:sz w:val="22"/>
          <w:szCs w:val="22"/>
          <w:lang w:val="en-GB"/>
        </w:rPr>
        <w:t xml:space="preserve"> de </w:t>
      </w:r>
      <w:proofErr w:type="spellStart"/>
      <w:r w:rsidRPr="000711A3">
        <w:rPr>
          <w:rFonts w:ascii="Avenir Next" w:hAnsi="Avenir Next" w:cs="Arial"/>
          <w:i/>
          <w:iCs/>
          <w:sz w:val="22"/>
          <w:szCs w:val="22"/>
          <w:lang w:val="en-GB"/>
        </w:rPr>
        <w:t>acreedores</w:t>
      </w:r>
      <w:proofErr w:type="spellEnd"/>
      <w:r w:rsidRPr="000711A3">
        <w:rPr>
          <w:rFonts w:ascii="Avenir Next" w:hAnsi="Avenir Next" w:cs="Arial"/>
          <w:sz w:val="22"/>
          <w:szCs w:val="22"/>
          <w:lang w:val="en-GB"/>
        </w:rPr>
        <w:t>). This procedure</w:t>
      </w:r>
      <w:r w:rsidR="006112D7">
        <w:rPr>
          <w:rFonts w:ascii="Avenir Next" w:hAnsi="Avenir Next" w:cs="Arial"/>
          <w:sz w:val="22"/>
          <w:szCs w:val="22"/>
          <w:lang w:val="en-GB"/>
        </w:rPr>
        <w:t xml:space="preserve"> –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Pr="00483456" w:rsidRDefault="00A2200C" w:rsidP="00A2200C">
      <w:pPr>
        <w:pStyle w:val="ListParagraph"/>
        <w:numPr>
          <w:ilvl w:val="0"/>
          <w:numId w:val="29"/>
        </w:numPr>
        <w:ind w:left="426"/>
        <w:jc w:val="both"/>
        <w:rPr>
          <w:rFonts w:ascii="Avenir Next" w:hAnsi="Avenir Next" w:cs="Arial"/>
          <w:sz w:val="22"/>
          <w:szCs w:val="22"/>
          <w:highlight w:val="yellow"/>
          <w:lang w:val="en-GB"/>
        </w:rPr>
      </w:pPr>
      <w:r w:rsidRPr="00483456">
        <w:rPr>
          <w:rFonts w:ascii="Avenir Next" w:hAnsi="Avenir Next" w:cs="Arial"/>
          <w:sz w:val="22"/>
          <w:szCs w:val="22"/>
          <w:highlight w:val="yellow"/>
          <w:lang w:val="en-GB"/>
        </w:rPr>
        <w:t>Applies to both natural persons and legal entities, so long as they have legal personality, disregarding whether they are professional debtors (sole entrepreneurs, companies) or private individuals.</w:t>
      </w:r>
    </w:p>
    <w:p w14:paraId="34D5A8AA" w14:textId="77777777" w:rsidR="00A2200C" w:rsidRPr="00A2200C" w:rsidRDefault="00A2200C" w:rsidP="00A2200C">
      <w:pPr>
        <w:pStyle w:val="ListParagraph"/>
        <w:ind w:left="426"/>
        <w:jc w:val="both"/>
        <w:rPr>
          <w:rFonts w:ascii="Avenir Next" w:hAnsi="Avenir Next" w:cs="Arial"/>
          <w:sz w:val="22"/>
          <w:szCs w:val="22"/>
          <w:lang w:val="en-GB"/>
        </w:rPr>
      </w:pPr>
    </w:p>
    <w:p w14:paraId="5A90CC00" w14:textId="03B4638B"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Is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3200DF">
        <w:rPr>
          <w:rFonts w:ascii="Avenir Next" w:hAnsi="Avenir Next" w:cs="Arial"/>
          <w:sz w:val="22"/>
          <w:szCs w:val="22"/>
          <w:lang w:val="en-GB"/>
        </w:rPr>
        <w:t>In Spain, insolvency proceedings can be</w:t>
      </w:r>
      <w:r>
        <w:rPr>
          <w:rFonts w:ascii="Arial" w:hAnsi="Arial" w:cs="Arial"/>
          <w:sz w:val="22"/>
          <w:szCs w:val="22"/>
        </w:rPr>
        <w:t xml:space="preserve"> </w:t>
      </w:r>
      <w:r w:rsidRPr="003200DF">
        <w:rPr>
          <w:rFonts w:ascii="Avenir Next Demi Bold" w:hAnsi="Avenir Next Demi Bold" w:cs="Arial"/>
          <w:b/>
          <w:bCs/>
          <w:sz w:val="22"/>
          <w:szCs w:val="22"/>
          <w:u w:val="single"/>
          <w:lang w:val="en-GB"/>
        </w:rPr>
        <w:t>opened</w:t>
      </w:r>
      <w:r>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ListParagraph"/>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483456" w:rsidRDefault="00860EE0" w:rsidP="00860EE0">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483456">
        <w:rPr>
          <w:rFonts w:ascii="Avenir Next" w:hAnsi="Avenir Next" w:cs="Arial"/>
          <w:sz w:val="22"/>
          <w:szCs w:val="22"/>
          <w:highlight w:val="yellow"/>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ListParagraph"/>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enforcement actions, with the exceptions of certain labo</w:t>
      </w:r>
      <w:r w:rsidR="00DD1258">
        <w:rPr>
          <w:rFonts w:ascii="Avenir Next" w:hAnsi="Avenir Next" w:cs="Arial"/>
          <w:sz w:val="22"/>
          <w:szCs w:val="22"/>
          <w:lang w:val="en-GB"/>
        </w:rPr>
        <w:t>u</w:t>
      </w:r>
      <w:r w:rsidRPr="00DD0DEC">
        <w:rPr>
          <w:rFonts w:ascii="Avenir Next" w:hAnsi="Avenir Next" w:cs="Arial"/>
          <w:sz w:val="22"/>
          <w:szCs w:val="22"/>
          <w:lang w:val="en-GB"/>
        </w:rPr>
        <w:t>r enforcement actions, certain public enforcement actions and the enforcement of securities, irrespective of the seized assets</w:t>
      </w:r>
      <w:r w:rsidR="00DD1258">
        <w:rPr>
          <w:rFonts w:ascii="Avenir Next" w:hAnsi="Avenir Next" w:cs="Arial"/>
          <w:sz w:val="22"/>
          <w:szCs w:val="22"/>
          <w:lang w:val="en-GB"/>
        </w:rPr>
        <w:t xml:space="preserve"> </w:t>
      </w:r>
      <w:r w:rsidRPr="00DD0DEC">
        <w:rPr>
          <w:rFonts w:ascii="Avenir Next" w:hAnsi="Avenir Next" w:cs="Arial"/>
          <w:sz w:val="22"/>
          <w:szCs w:val="22"/>
          <w:lang w:val="en-GB"/>
        </w:rPr>
        <w:t>/</w:t>
      </w:r>
      <w:r w:rsidR="00DD1258">
        <w:rPr>
          <w:rFonts w:ascii="Avenir Next" w:hAnsi="Avenir Next" w:cs="Arial"/>
          <w:sz w:val="22"/>
          <w:szCs w:val="22"/>
          <w:lang w:val="en-GB"/>
        </w:rPr>
        <w:t xml:space="preserve"> </w:t>
      </w:r>
      <w:r w:rsidRPr="00DD0DEC">
        <w:rPr>
          <w:rFonts w:ascii="Avenir Next" w:hAnsi="Avenir Next" w:cs="Arial"/>
          <w:sz w:val="22"/>
          <w:szCs w:val="22"/>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25C58B1D" w14:textId="3DE0FEA1" w:rsidR="00A205BF" w:rsidRPr="00B465C6" w:rsidRDefault="00DD0DEC" w:rsidP="00B465C6">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8E4149">
        <w:rPr>
          <w:rFonts w:ascii="Avenir Next" w:hAnsi="Avenir Next" w:cs="Arial"/>
          <w:sz w:val="22"/>
          <w:szCs w:val="22"/>
          <w:highlight w:val="yellow"/>
          <w:lang w:val="en-GB"/>
        </w:rPr>
        <w:t>Entails the automatic stay of the enforcement of securit</w:t>
      </w:r>
      <w:r w:rsidR="00DD1258" w:rsidRPr="008E4149">
        <w:rPr>
          <w:rFonts w:ascii="Avenir Next" w:hAnsi="Avenir Next" w:cs="Arial"/>
          <w:sz w:val="22"/>
          <w:szCs w:val="22"/>
          <w:highlight w:val="yellow"/>
          <w:lang w:val="en-GB"/>
        </w:rPr>
        <w:t>y</w:t>
      </w:r>
      <w:r w:rsidRPr="008E4149">
        <w:rPr>
          <w:rFonts w:ascii="Avenir Next" w:hAnsi="Avenir Next" w:cs="Arial"/>
          <w:sz w:val="22"/>
          <w:szCs w:val="22"/>
          <w:highlight w:val="yellow"/>
          <w:lang w:val="en-GB"/>
        </w:rPr>
        <w:t>, but the enforcement may be resumed once the insolvency court declares that the collateral is not necessary for the continuation of the debtor’s business activity.</w:t>
      </w: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ListParagraph"/>
        <w:ind w:left="426"/>
        <w:jc w:val="both"/>
        <w:rPr>
          <w:rFonts w:ascii="Avenir Next" w:hAnsi="Avenir Next" w:cs="Arial"/>
          <w:sz w:val="22"/>
          <w:szCs w:val="22"/>
          <w:lang w:val="en-GB"/>
        </w:rPr>
      </w:pPr>
    </w:p>
    <w:p w14:paraId="19655CEB" w14:textId="7B814B74" w:rsidR="006B1EF8" w:rsidRDefault="006B1EF8" w:rsidP="006B1EF8">
      <w:pPr>
        <w:pStyle w:val="ListParagraph"/>
        <w:numPr>
          <w:ilvl w:val="0"/>
          <w:numId w:val="19"/>
        </w:numPr>
        <w:ind w:left="426"/>
        <w:jc w:val="both"/>
        <w:rPr>
          <w:rFonts w:ascii="Avenir Next" w:hAnsi="Avenir Next" w:cs="Arial"/>
          <w:sz w:val="22"/>
          <w:szCs w:val="22"/>
          <w:lang w:val="en-GB"/>
        </w:rPr>
      </w:pPr>
      <w:r w:rsidRPr="008E4149">
        <w:rPr>
          <w:rFonts w:ascii="Avenir Next" w:hAnsi="Avenir Next" w:cs="Arial"/>
          <w:sz w:val="22"/>
          <w:szCs w:val="22"/>
          <w:highlight w:val="yellow"/>
          <w:lang w:val="en-GB"/>
        </w:rPr>
        <w:t>Can be either natural persons or legal entities</w:t>
      </w:r>
      <w:r w:rsidRPr="006B1EF8">
        <w:rPr>
          <w:rFonts w:ascii="Avenir Next" w:hAnsi="Avenir Next" w:cs="Arial"/>
          <w:sz w:val="22"/>
          <w:szCs w:val="22"/>
          <w:lang w:val="en-GB"/>
        </w:rPr>
        <w:t xml:space="preserve">.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ListParagraph"/>
        <w:ind w:left="426"/>
        <w:jc w:val="both"/>
        <w:rPr>
          <w:rFonts w:ascii="Avenir Next" w:hAnsi="Avenir Next" w:cs="Arial"/>
          <w:sz w:val="22"/>
          <w:szCs w:val="22"/>
          <w:lang w:val="en-GB"/>
        </w:rPr>
      </w:pPr>
    </w:p>
    <w:p w14:paraId="655BCEBE" w14:textId="28803F89" w:rsidR="00BB4578" w:rsidRPr="00D30ACA" w:rsidRDefault="00BB4578" w:rsidP="00BB4578">
      <w:pPr>
        <w:pStyle w:val="ListParagraph"/>
        <w:numPr>
          <w:ilvl w:val="0"/>
          <w:numId w:val="35"/>
        </w:numPr>
        <w:ind w:left="426"/>
        <w:jc w:val="both"/>
        <w:rPr>
          <w:rFonts w:ascii="Avenir Next" w:hAnsi="Avenir Next" w:cs="Arial"/>
          <w:sz w:val="22"/>
          <w:szCs w:val="22"/>
          <w:highlight w:val="yellow"/>
          <w:lang w:val="en-GB"/>
        </w:rPr>
      </w:pPr>
      <w:r w:rsidRPr="00D30ACA">
        <w:rPr>
          <w:rFonts w:ascii="Avenir Next" w:hAnsi="Avenir Next" w:cs="Arial"/>
          <w:sz w:val="22"/>
          <w:szCs w:val="22"/>
          <w:highlight w:val="yellow"/>
          <w:lang w:val="en-GB"/>
        </w:rPr>
        <w:t xml:space="preserve">If the debtor files for its own insolvency, the general rule provides that its patrimonial faculties will be merely subject to the intervention of the insolvency administration, but not suspended.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BA0C22">
        <w:rPr>
          <w:rFonts w:ascii="Avenir Next" w:hAnsi="Avenir Next" w:cs="Arial"/>
          <w:sz w:val="22"/>
          <w:szCs w:val="22"/>
          <w:lang w:val="en-GB"/>
        </w:rPr>
        <w:t xml:space="preserve">Regarding the </w:t>
      </w:r>
      <w:r w:rsidRPr="00BA0C22">
        <w:rPr>
          <w:rFonts w:ascii="Avenir Next Demi Bold" w:hAnsi="Avenir Next Demi Bold" w:cs="Arial"/>
          <w:b/>
          <w:bCs/>
          <w:sz w:val="22"/>
          <w:szCs w:val="22"/>
          <w:u w:val="single"/>
          <w:lang w:val="en-GB"/>
        </w:rPr>
        <w:t>ranking of claims</w:t>
      </w:r>
      <w:r w:rsidRPr="00BA0C2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ListParagraph"/>
        <w:ind w:left="426"/>
        <w:jc w:val="both"/>
        <w:rPr>
          <w:rFonts w:ascii="Avenir Next" w:hAnsi="Avenir Next" w:cs="Arial"/>
          <w:sz w:val="22"/>
          <w:szCs w:val="22"/>
          <w:lang w:val="en-GB"/>
        </w:rPr>
      </w:pPr>
    </w:p>
    <w:p w14:paraId="7F6A4CB5" w14:textId="77777777" w:rsidR="004411E3" w:rsidRPr="00D30ACA" w:rsidRDefault="0055757C" w:rsidP="0055757C">
      <w:pPr>
        <w:pStyle w:val="ListParagraph"/>
        <w:numPr>
          <w:ilvl w:val="0"/>
          <w:numId w:val="21"/>
        </w:numPr>
        <w:ind w:left="426"/>
        <w:jc w:val="both"/>
        <w:rPr>
          <w:rFonts w:ascii="Avenir Next" w:hAnsi="Avenir Next" w:cs="Arial"/>
          <w:sz w:val="22"/>
          <w:szCs w:val="22"/>
          <w:highlight w:val="yellow"/>
          <w:lang w:val="en-GB"/>
        </w:rPr>
      </w:pPr>
      <w:r w:rsidRPr="00D30ACA">
        <w:rPr>
          <w:rFonts w:ascii="Avenir Next" w:hAnsi="Avenir Next" w:cs="Arial"/>
          <w:sz w:val="22"/>
          <w:szCs w:val="22"/>
          <w:highlight w:val="yellow"/>
          <w:lang w:val="en-GB"/>
        </w:rPr>
        <w:t>The subordination of claims is automatic (</w:t>
      </w:r>
      <w:r w:rsidR="004411E3" w:rsidRPr="00D30ACA">
        <w:rPr>
          <w:rFonts w:ascii="Avenir Next" w:hAnsi="Avenir Next" w:cs="Arial"/>
          <w:sz w:val="22"/>
          <w:szCs w:val="22"/>
          <w:highlight w:val="yellow"/>
          <w:lang w:val="en-GB"/>
        </w:rPr>
        <w:t>that is</w:t>
      </w:r>
      <w:r w:rsidRPr="00D30ACA">
        <w:rPr>
          <w:rFonts w:ascii="Avenir Next" w:hAnsi="Avenir Next" w:cs="Arial"/>
          <w:sz w:val="22"/>
          <w:szCs w:val="22"/>
          <w:highlight w:val="yellow"/>
          <w:lang w:val="en-GB"/>
        </w:rPr>
        <w:t xml:space="preserve">, </w:t>
      </w:r>
      <w:r w:rsidR="004411E3" w:rsidRPr="00D30ACA">
        <w:rPr>
          <w:rFonts w:ascii="Avenir Next" w:hAnsi="Avenir Next" w:cs="Arial"/>
          <w:sz w:val="22"/>
          <w:szCs w:val="22"/>
          <w:highlight w:val="yellow"/>
          <w:lang w:val="en-GB"/>
        </w:rPr>
        <w:t xml:space="preserve">it </w:t>
      </w:r>
      <w:r w:rsidRPr="00D30ACA">
        <w:rPr>
          <w:rFonts w:ascii="Avenir Next" w:hAnsi="Avenir Next" w:cs="Arial"/>
          <w:sz w:val="22"/>
          <w:szCs w:val="22"/>
          <w:highlight w:val="yellow"/>
          <w:lang w:val="en-GB"/>
        </w:rPr>
        <w:t>does not require any judicial decision) upon the concurrence of certain circumstances.</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As far as the payment of secured claims is concerned, if the reali</w:t>
      </w:r>
      <w:r w:rsidR="004411E3">
        <w:rPr>
          <w:rFonts w:ascii="Avenir Next" w:hAnsi="Avenir Next" w:cs="Arial"/>
          <w:sz w:val="22"/>
          <w:szCs w:val="22"/>
          <w:lang w:val="en-GB"/>
        </w:rPr>
        <w:t>s</w:t>
      </w:r>
      <w:r w:rsidRPr="0055757C">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 xml:space="preserve">None of the above is correct. </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75111773" w14:textId="77777777" w:rsidR="000513C9" w:rsidRPr="000513C9" w:rsidRDefault="000513C9" w:rsidP="000513C9">
      <w:pPr>
        <w:autoSpaceDE w:val="0"/>
        <w:autoSpaceDN w:val="0"/>
        <w:adjustRightInd w:val="0"/>
        <w:jc w:val="both"/>
        <w:rPr>
          <w:rFonts w:ascii="Avenir Next" w:hAnsi="Avenir Next" w:cs="Arial"/>
          <w:sz w:val="22"/>
          <w:szCs w:val="22"/>
          <w:lang w:val="en-GB"/>
        </w:rPr>
      </w:pPr>
      <w:r w:rsidRPr="000513C9">
        <w:rPr>
          <w:rFonts w:ascii="Avenir Next" w:hAnsi="Avenir Next" w:cs="Arial"/>
          <w:sz w:val="22"/>
          <w:szCs w:val="22"/>
          <w:lang w:val="en-GB"/>
        </w:rPr>
        <w:t>The insolvency plan:</w:t>
      </w:r>
    </w:p>
    <w:p w14:paraId="59148D36" w14:textId="77777777" w:rsidR="00802DB8" w:rsidRPr="005965BF" w:rsidRDefault="00802DB8" w:rsidP="008065CE">
      <w:pPr>
        <w:jc w:val="both"/>
        <w:rPr>
          <w:rFonts w:ascii="Avenir Next" w:hAnsi="Avenir Next" w:cs="Arial"/>
          <w:sz w:val="22"/>
          <w:szCs w:val="22"/>
          <w:lang w:val="en-GB"/>
        </w:rPr>
      </w:pPr>
    </w:p>
    <w:p w14:paraId="1E0DF3F8" w14:textId="11EC382F"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Must necessarily include </w:t>
      </w:r>
      <w:proofErr w:type="spellStart"/>
      <w:r w:rsidRPr="00311AA6">
        <w:rPr>
          <w:rFonts w:ascii="Avenir Next" w:hAnsi="Avenir Next" w:cs="Arial"/>
          <w:sz w:val="22"/>
          <w:szCs w:val="22"/>
          <w:lang w:val="en-GB"/>
        </w:rPr>
        <w:t>reschedulings</w:t>
      </w:r>
      <w:proofErr w:type="spellEnd"/>
      <w:r w:rsidRPr="00311AA6">
        <w:rPr>
          <w:rFonts w:ascii="Avenir Next" w:hAnsi="Avenir Next" w:cs="Arial"/>
          <w:sz w:val="22"/>
          <w:szCs w:val="22"/>
          <w:lang w:val="en-GB"/>
        </w:rPr>
        <w:t xml:space="preserve"> and write-offs, with no limits whatsoever.</w:t>
      </w:r>
    </w:p>
    <w:p w14:paraId="2E342A55" w14:textId="77777777" w:rsidR="00311AA6" w:rsidRPr="00311AA6" w:rsidRDefault="00311AA6" w:rsidP="00311AA6">
      <w:pPr>
        <w:pStyle w:val="ListParagraph"/>
        <w:ind w:left="426"/>
        <w:jc w:val="both"/>
        <w:rPr>
          <w:rFonts w:ascii="Avenir Next" w:hAnsi="Avenir Next" w:cs="Arial"/>
          <w:sz w:val="22"/>
          <w:szCs w:val="22"/>
          <w:lang w:val="en-GB"/>
        </w:rPr>
      </w:pPr>
    </w:p>
    <w:p w14:paraId="18552EFD" w14:textId="2248CEC1"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Can provide for write-offs that do not exceed 50% of the value of the claims.</w:t>
      </w:r>
    </w:p>
    <w:p w14:paraId="5E308DB7" w14:textId="77777777" w:rsidR="00311AA6" w:rsidRPr="00311AA6" w:rsidRDefault="00311AA6" w:rsidP="00311AA6">
      <w:pPr>
        <w:jc w:val="both"/>
        <w:rPr>
          <w:rFonts w:ascii="Avenir Next" w:hAnsi="Avenir Next" w:cs="Arial"/>
          <w:sz w:val="22"/>
          <w:szCs w:val="22"/>
          <w:lang w:val="en-GB"/>
        </w:rPr>
      </w:pPr>
    </w:p>
    <w:p w14:paraId="16F854BD" w14:textId="50E7862C" w:rsidR="00311AA6" w:rsidRPr="0005708B" w:rsidRDefault="00311AA6" w:rsidP="00311AA6">
      <w:pPr>
        <w:pStyle w:val="ListParagraph"/>
        <w:numPr>
          <w:ilvl w:val="0"/>
          <w:numId w:val="22"/>
        </w:numPr>
        <w:ind w:left="426"/>
        <w:jc w:val="both"/>
        <w:rPr>
          <w:rFonts w:ascii="Avenir Next" w:hAnsi="Avenir Next" w:cs="Arial"/>
          <w:sz w:val="22"/>
          <w:szCs w:val="22"/>
          <w:highlight w:val="yellow"/>
          <w:lang w:val="en-GB"/>
        </w:rPr>
      </w:pPr>
      <w:r w:rsidRPr="0005708B">
        <w:rPr>
          <w:rFonts w:ascii="Avenir Next" w:hAnsi="Avenir Next" w:cs="Arial"/>
          <w:sz w:val="22"/>
          <w:szCs w:val="22"/>
          <w:highlight w:val="yellow"/>
          <w:lang w:val="en-GB"/>
        </w:rPr>
        <w:t xml:space="preserve">Can provide for </w:t>
      </w:r>
      <w:proofErr w:type="spellStart"/>
      <w:r w:rsidRPr="0005708B">
        <w:rPr>
          <w:rFonts w:ascii="Avenir Next" w:hAnsi="Avenir Next" w:cs="Arial"/>
          <w:sz w:val="22"/>
          <w:szCs w:val="22"/>
          <w:highlight w:val="yellow"/>
          <w:lang w:val="en-GB"/>
        </w:rPr>
        <w:t>reschedulings</w:t>
      </w:r>
      <w:proofErr w:type="spellEnd"/>
      <w:r w:rsidRPr="0005708B">
        <w:rPr>
          <w:rFonts w:ascii="Avenir Next" w:hAnsi="Avenir Next" w:cs="Arial"/>
          <w:sz w:val="22"/>
          <w:szCs w:val="22"/>
          <w:highlight w:val="yellow"/>
          <w:lang w:val="en-GB"/>
        </w:rPr>
        <w:t xml:space="preserve"> that do not exceed 10 years.</w:t>
      </w:r>
    </w:p>
    <w:p w14:paraId="13904D93" w14:textId="77777777" w:rsidR="00311AA6" w:rsidRPr="00311AA6" w:rsidRDefault="00311AA6" w:rsidP="00311AA6">
      <w:pPr>
        <w:jc w:val="both"/>
        <w:rPr>
          <w:rFonts w:ascii="Avenir Next" w:hAnsi="Avenir Next" w:cs="Arial"/>
          <w:sz w:val="22"/>
          <w:szCs w:val="22"/>
          <w:lang w:val="en-GB"/>
        </w:rPr>
      </w:pPr>
    </w:p>
    <w:p w14:paraId="4FD78C4F" w14:textId="77777777" w:rsidR="00311AA6" w:rsidRP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0731CE">
        <w:rPr>
          <w:rFonts w:ascii="Avenir Next" w:hAnsi="Avenir Next" w:cs="Arial"/>
          <w:sz w:val="22"/>
          <w:szCs w:val="22"/>
          <w:lang w:val="en-GB"/>
        </w:rPr>
        <w:t xml:space="preserve">The Spanish Insolvency Recast provides for the </w:t>
      </w:r>
      <w:r w:rsidRPr="000731CE">
        <w:rPr>
          <w:rFonts w:ascii="Avenir Next Demi Bold" w:hAnsi="Avenir Next Demi Bold" w:cs="Arial"/>
          <w:b/>
          <w:bCs/>
          <w:sz w:val="22"/>
          <w:szCs w:val="22"/>
          <w:u w:val="single"/>
          <w:lang w:val="en-GB"/>
        </w:rPr>
        <w:t>discharge of the unsatisfied claims</w:t>
      </w:r>
      <w:r w:rsidRPr="000731CE">
        <w:rPr>
          <w:rFonts w:ascii="Avenir Next" w:hAnsi="Avenir Next" w:cs="Arial"/>
          <w:sz w:val="22"/>
          <w:szCs w:val="22"/>
          <w:lang w:val="en-GB"/>
        </w:rPr>
        <w:t>. This</w:t>
      </w:r>
      <w:r w:rsidR="002E1A85">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ListParagraph"/>
        <w:ind w:left="426"/>
        <w:jc w:val="both"/>
        <w:rPr>
          <w:rFonts w:ascii="Avenir Next" w:hAnsi="Avenir Next" w:cs="Arial"/>
          <w:sz w:val="22"/>
          <w:szCs w:val="22"/>
          <w:lang w:val="en-GB"/>
        </w:rPr>
      </w:pPr>
    </w:p>
    <w:p w14:paraId="50BA1F33" w14:textId="1927494C" w:rsidR="00E936AD" w:rsidRPr="0042743D" w:rsidRDefault="00E936AD" w:rsidP="00E936AD">
      <w:pPr>
        <w:pStyle w:val="ListParagraph"/>
        <w:numPr>
          <w:ilvl w:val="0"/>
          <w:numId w:val="39"/>
        </w:numPr>
        <w:ind w:left="426"/>
        <w:jc w:val="both"/>
        <w:rPr>
          <w:rFonts w:ascii="Avenir Next" w:hAnsi="Avenir Next" w:cs="Arial"/>
          <w:sz w:val="22"/>
          <w:szCs w:val="22"/>
          <w:highlight w:val="yellow"/>
          <w:lang w:val="en-GB"/>
        </w:rPr>
      </w:pPr>
      <w:r w:rsidRPr="0042743D">
        <w:rPr>
          <w:rFonts w:ascii="Avenir Next" w:hAnsi="Avenir Next" w:cs="Arial"/>
          <w:sz w:val="22"/>
          <w:szCs w:val="22"/>
          <w:highlight w:val="yellow"/>
          <w:lang w:val="en-GB"/>
        </w:rPr>
        <w:t>Has a limited scope, since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Default="00E936AD" w:rsidP="002E1A85">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77777777" w:rsidR="00E936AD" w:rsidRP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Is exclusively foreseen for natural persons who are entrepreneurs. </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04006A24" w:rsidR="009B07AD" w:rsidRPr="005965BF" w:rsidRDefault="00EA2EF4" w:rsidP="00EA2EF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No, the law provides the ineffectiveness of any contrac</w:t>
      </w:r>
      <w:r w:rsidR="00B465C6">
        <w:rPr>
          <w:rFonts w:ascii="Avenir Next" w:hAnsi="Avenir Next" w:cs="Arial"/>
          <w:color w:val="7B7B7B" w:themeColor="accent3" w:themeShade="BF"/>
          <w:sz w:val="22"/>
          <w:szCs w:val="22"/>
          <w:lang w:val="en-GB"/>
        </w:rPr>
        <w:t xml:space="preserve">tual clauses that provides the </w:t>
      </w:r>
      <w:r>
        <w:rPr>
          <w:rFonts w:ascii="Avenir Next" w:hAnsi="Avenir Next" w:cs="Arial"/>
          <w:color w:val="7B7B7B" w:themeColor="accent3" w:themeShade="BF"/>
          <w:sz w:val="22"/>
          <w:szCs w:val="22"/>
          <w:lang w:val="en-GB"/>
        </w:rPr>
        <w:t>automatic termination of the contract for the sole reason of the commencement of insolvency proceedings or the opening of the liquidation stage, in favour of any of either of the contracting parties.</w:t>
      </w:r>
    </w:p>
    <w:p w14:paraId="63DF208A" w14:textId="77777777" w:rsidR="00D52412" w:rsidRPr="005965BF" w:rsidRDefault="00D52412"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677688D1" w14:textId="2DB72959" w:rsidR="009B07AD" w:rsidRPr="005965BF" w:rsidRDefault="00EA2EF4" w:rsidP="00C405A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Spain is considered a creditor-friendly jurisdiction because</w:t>
      </w:r>
      <w:r w:rsidR="00C405A1">
        <w:rPr>
          <w:rFonts w:ascii="Avenir Next" w:hAnsi="Avenir Next" w:cs="Arial"/>
          <w:color w:val="7B7B7B" w:themeColor="accent3" w:themeShade="BF"/>
          <w:sz w:val="22"/>
          <w:szCs w:val="22"/>
          <w:lang w:val="en-GB"/>
        </w:rPr>
        <w:t xml:space="preserve"> of the functions of the insolvency proceedings. Firstly, upon the “solving function”, the purpose of insolvency proceedings is to solve the crisis by satisfying creditors in the most efficient way, and, under the second function so-called “preservation function”,   permits the continuation of the debtor’s professional or business activity if such continuity does not entail a lesser satisfaction of creditors. Also, according to the repression of the debtor or of its directors function, while punishing the conduct of the debtor or its directors (if legal entity) who generated or aggravated the insolvency through fraud or gross negligence, the qualification makes it possible to increase he degree of satisfaction of the creditors, because they can de condemned to pay the unpaid claims.</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Name and briefly summarise the requirements to obtain the recognition of a foreign insolvency-related judgment in Spain (both from a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189364F3" w14:textId="203D3A4F" w:rsidR="00D33201" w:rsidRDefault="000E1584" w:rsidP="008122F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obtain the recognition of a foreign insolvency-related judgment</w:t>
      </w:r>
      <w:r w:rsidR="00B465C6">
        <w:rPr>
          <w:rFonts w:ascii="Avenir Next" w:hAnsi="Avenir Next" w:cs="Arial"/>
          <w:color w:val="7B7B7B" w:themeColor="accent3" w:themeShade="BF"/>
          <w:sz w:val="22"/>
          <w:szCs w:val="22"/>
          <w:lang w:val="en-GB"/>
        </w:rPr>
        <w:t xml:space="preserve"> from an </w:t>
      </w:r>
      <w:r>
        <w:rPr>
          <w:rFonts w:ascii="Avenir Next" w:hAnsi="Avenir Next" w:cs="Arial"/>
          <w:color w:val="7B7B7B" w:themeColor="accent3" w:themeShade="BF"/>
          <w:sz w:val="22"/>
          <w:szCs w:val="22"/>
          <w:lang w:val="en-GB"/>
        </w:rPr>
        <w:t>EU</w:t>
      </w:r>
      <w:r w:rsidR="00E25736">
        <w:rPr>
          <w:rFonts w:ascii="Avenir Next" w:hAnsi="Avenir Next" w:cs="Arial"/>
          <w:color w:val="7B7B7B" w:themeColor="accent3" w:themeShade="BF"/>
          <w:sz w:val="22"/>
          <w:szCs w:val="22"/>
          <w:lang w:val="en-GB"/>
        </w:rPr>
        <w:t xml:space="preserve"> country, there are two requirements  to be met to be automatically recognised: 1) that the insolvency proceedings are included in annex A of the Recast EIR, and 2)  the foreign court has jurisdiction according to the location of the COMI.</w:t>
      </w:r>
    </w:p>
    <w:p w14:paraId="375F7BA0" w14:textId="31A09E15" w:rsidR="00E25736" w:rsidRDefault="00E25736" w:rsidP="008122F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obtain the recognition of a foreign insolvency-related judgment from a non-EU country, there are 5 conditions: 1) The proceeding must be collective, based on the insolvency of the debtor, by whose virtue his assets and activities are subject to control or supervision by a foreign authority or court, and for the purposes of the reorganization or winding-up</w:t>
      </w:r>
      <w:r w:rsidR="00BA3FDB">
        <w:rPr>
          <w:rFonts w:ascii="Avenir Next" w:hAnsi="Avenir Next" w:cs="Arial"/>
          <w:color w:val="7B7B7B" w:themeColor="accent3" w:themeShade="BF"/>
          <w:sz w:val="22"/>
          <w:szCs w:val="22"/>
          <w:lang w:val="en-GB"/>
        </w:rPr>
        <w:t>; 2) the opening judgment must be final; 3) the competence of the foreign court that issued the judgment must be based either on the debtor’s COMI, the existence of an establishment, or a reasonable related connection of an equivalent nature; 4) the judgment must not have been handed down in contempt of court by the debtor; and 5) the judgment must not be contrary to Spanish public order.</w:t>
      </w:r>
    </w:p>
    <w:p w14:paraId="79DD6BD5" w14:textId="287611F0" w:rsidR="00BA3FDB" w:rsidRPr="005965BF" w:rsidRDefault="00BA3FDB" w:rsidP="008122FA">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On</w:t>
      </w:r>
      <w:r w:rsidR="00CA6CEB">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e the opening judgment is recognised in Spain, any other judgment issued on that p</w:t>
      </w:r>
      <w:r w:rsidR="002F2847">
        <w:rPr>
          <w:rFonts w:ascii="Avenir Next" w:hAnsi="Avenir Next" w:cs="Arial"/>
          <w:color w:val="7B7B7B" w:themeColor="accent3" w:themeShade="BF"/>
          <w:sz w:val="22"/>
          <w:szCs w:val="22"/>
          <w:lang w:val="en-GB"/>
        </w:rPr>
        <w:t>roceeding is automatically reco</w:t>
      </w:r>
      <w:r>
        <w:rPr>
          <w:rFonts w:ascii="Avenir Next" w:hAnsi="Avenir Next" w:cs="Arial"/>
          <w:color w:val="7B7B7B" w:themeColor="accent3" w:themeShade="BF"/>
          <w:sz w:val="22"/>
          <w:szCs w:val="22"/>
          <w:lang w:val="en-GB"/>
        </w:rPr>
        <w:t>gnised.</w:t>
      </w:r>
    </w:p>
    <w:p w14:paraId="1E4A044B" w14:textId="77777777" w:rsidR="00D33201" w:rsidRPr="003676D6" w:rsidRDefault="00D33201" w:rsidP="002649C2">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733EF9">
        <w:rPr>
          <w:rFonts w:ascii="Avenir Next" w:hAnsi="Avenir Next" w:cs="Arial"/>
          <w:sz w:val="22"/>
          <w:szCs w:val="22"/>
          <w:lang w:val="en-GB"/>
        </w:rPr>
        <w:t xml:space="preserve">Is it possible, under Spanish law, to restructure the debt of a group of companies through a single procedure? </w:t>
      </w:r>
      <w:r w:rsidR="00B41069" w:rsidRPr="00733EF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F197D9C" w14:textId="4523714C" w:rsidR="004A7B8D" w:rsidRDefault="00B465C6" w:rsidP="004A7B8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 xml:space="preserve">Under Spanish </w:t>
      </w:r>
      <w:r w:rsidR="0075370F">
        <w:rPr>
          <w:rFonts w:ascii="Avenir Next" w:hAnsi="Avenir Next" w:cs="Arial"/>
          <w:color w:val="7B7B7B" w:themeColor="accent3" w:themeShade="BF"/>
          <w:sz w:val="22"/>
          <w:szCs w:val="22"/>
        </w:rPr>
        <w:t>law,</w:t>
      </w:r>
      <w:r>
        <w:rPr>
          <w:rFonts w:ascii="Avenir Next" w:hAnsi="Avenir Next" w:cs="Arial"/>
          <w:color w:val="7B7B7B" w:themeColor="accent3" w:themeShade="BF"/>
          <w:sz w:val="22"/>
          <w:szCs w:val="22"/>
        </w:rPr>
        <w:t xml:space="preserve"> it is possible to restructure the debt of a group of companies though a single procedure.</w:t>
      </w:r>
      <w:r w:rsidR="004A7B8D" w:rsidRPr="004A7B8D">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A</w:t>
      </w:r>
      <w:r w:rsidR="004A7B8D" w:rsidRPr="004A7B8D">
        <w:rPr>
          <w:rFonts w:ascii="Avenir Next" w:hAnsi="Avenir Next" w:cs="Arial"/>
          <w:color w:val="7B7B7B" w:themeColor="accent3" w:themeShade="BF"/>
          <w:sz w:val="22"/>
          <w:szCs w:val="22"/>
        </w:rPr>
        <w:t>lthough the general rule is the co</w:t>
      </w:r>
      <w:r w:rsidR="004A7B8D">
        <w:rPr>
          <w:rFonts w:ascii="Avenir Next" w:hAnsi="Avenir Next" w:cs="Arial"/>
          <w:color w:val="7B7B7B" w:themeColor="accent3" w:themeShade="BF"/>
          <w:sz w:val="22"/>
          <w:szCs w:val="22"/>
        </w:rPr>
        <w:t>-</w:t>
      </w:r>
      <w:r w:rsidR="004A7B8D" w:rsidRPr="004A7B8D">
        <w:rPr>
          <w:rFonts w:ascii="Avenir Next" w:hAnsi="Avenir Next" w:cs="Arial"/>
          <w:color w:val="7B7B7B" w:themeColor="accent3" w:themeShade="BF"/>
          <w:sz w:val="22"/>
          <w:szCs w:val="22"/>
        </w:rPr>
        <w:t>ordinati</w:t>
      </w:r>
      <w:r w:rsidR="004A7B8D">
        <w:rPr>
          <w:rFonts w:ascii="Avenir Next" w:hAnsi="Avenir Next" w:cs="Arial"/>
          <w:color w:val="7B7B7B" w:themeColor="accent3" w:themeShade="BF"/>
          <w:sz w:val="22"/>
          <w:szCs w:val="22"/>
        </w:rPr>
        <w:t>on and accumulation of proceedings</w:t>
      </w:r>
      <w:r w:rsidR="004A7B8D" w:rsidRPr="004A7B8D">
        <w:rPr>
          <w:rFonts w:ascii="Avenir Next" w:hAnsi="Avenir Next" w:cs="Arial"/>
          <w:color w:val="7B7B7B" w:themeColor="accent3" w:themeShade="BF"/>
          <w:sz w:val="22"/>
          <w:szCs w:val="22"/>
        </w:rPr>
        <w:t xml:space="preserve"> that will </w:t>
      </w:r>
      <w:r w:rsidR="004A7B8D">
        <w:rPr>
          <w:rFonts w:ascii="Avenir Next" w:hAnsi="Avenir Next" w:cs="Arial"/>
          <w:color w:val="7B7B7B" w:themeColor="accent3" w:themeShade="BF"/>
          <w:sz w:val="22"/>
          <w:szCs w:val="22"/>
        </w:rPr>
        <w:t xml:space="preserve">not </w:t>
      </w:r>
      <w:r w:rsidR="004A7B8D" w:rsidRPr="004A7B8D">
        <w:rPr>
          <w:rFonts w:ascii="Avenir Next" w:hAnsi="Avenir Next" w:cs="Arial"/>
          <w:color w:val="7B7B7B" w:themeColor="accent3" w:themeShade="BF"/>
          <w:sz w:val="22"/>
          <w:szCs w:val="22"/>
        </w:rPr>
        <w:t xml:space="preserve">be </w:t>
      </w:r>
      <w:r w:rsidR="004A7B8D">
        <w:rPr>
          <w:rFonts w:ascii="Avenir Next" w:hAnsi="Avenir Next" w:cs="Arial"/>
          <w:color w:val="7B7B7B" w:themeColor="accent3" w:themeShade="BF"/>
          <w:sz w:val="22"/>
          <w:szCs w:val="22"/>
        </w:rPr>
        <w:t>dealt</w:t>
      </w:r>
      <w:r w:rsidR="004A7B8D" w:rsidRPr="004A7B8D">
        <w:rPr>
          <w:rFonts w:ascii="Avenir Next" w:hAnsi="Avenir Next" w:cs="Arial"/>
          <w:color w:val="7B7B7B" w:themeColor="accent3" w:themeShade="BF"/>
          <w:sz w:val="22"/>
          <w:szCs w:val="22"/>
        </w:rPr>
        <w:t xml:space="preserve"> </w:t>
      </w:r>
      <w:r w:rsidR="004A7B8D">
        <w:rPr>
          <w:rFonts w:ascii="Avenir Next" w:hAnsi="Avenir Next" w:cs="Arial"/>
          <w:color w:val="7B7B7B" w:themeColor="accent3" w:themeShade="BF"/>
          <w:sz w:val="22"/>
          <w:szCs w:val="22"/>
        </w:rPr>
        <w:t xml:space="preserve">with </w:t>
      </w:r>
      <w:r w:rsidR="004A7B8D" w:rsidRPr="004A7B8D">
        <w:rPr>
          <w:rFonts w:ascii="Avenir Next" w:hAnsi="Avenir Next" w:cs="Arial"/>
          <w:color w:val="7B7B7B" w:themeColor="accent3" w:themeShade="BF"/>
          <w:sz w:val="22"/>
          <w:szCs w:val="22"/>
        </w:rPr>
        <w:t>unitarily,</w:t>
      </w:r>
      <w:r w:rsidR="004A7B8D">
        <w:rPr>
          <w:rFonts w:ascii="Avenir Next" w:hAnsi="Avenir Next" w:cs="Arial"/>
          <w:color w:val="7B7B7B" w:themeColor="accent3" w:themeShade="BF"/>
          <w:sz w:val="22"/>
          <w:szCs w:val="22"/>
        </w:rPr>
        <w:t xml:space="preserve"> </w:t>
      </w:r>
      <w:r w:rsidR="004A7B8D">
        <w:rPr>
          <w:rFonts w:ascii="Avenir Next" w:hAnsi="Avenir Next" w:cs="Arial"/>
          <w:color w:val="7B7B7B" w:themeColor="accent3" w:themeShade="BF"/>
          <w:sz w:val="22"/>
          <w:szCs w:val="22"/>
          <w:lang w:val="en-GB"/>
        </w:rPr>
        <w:t>the law exceptionally env</w:t>
      </w:r>
      <w:bookmarkStart w:id="0" w:name="_GoBack"/>
      <w:bookmarkEnd w:id="0"/>
      <w:r w:rsidR="004A7B8D">
        <w:rPr>
          <w:rFonts w:ascii="Avenir Next" w:hAnsi="Avenir Next" w:cs="Arial"/>
          <w:color w:val="7B7B7B" w:themeColor="accent3" w:themeShade="BF"/>
          <w:sz w:val="22"/>
          <w:szCs w:val="22"/>
          <w:lang w:val="en-GB"/>
        </w:rPr>
        <w:t>isages the substantive consolidation of the different debtor’s assets and liabilities. This can exclusively be ordered provided that the different states are so intermingled that it is not possible to delimitate the correct owners of the assets and liabilities without incurring on unjustified delays or costs.</w:t>
      </w:r>
    </w:p>
    <w:p w14:paraId="4FA8FF57" w14:textId="7D27D712" w:rsidR="004A7B8D" w:rsidRDefault="004A7B8D" w:rsidP="004A7B8D">
      <w:pPr>
        <w:jc w:val="both"/>
        <w:rPr>
          <w:rFonts w:ascii="Avenir Next" w:hAnsi="Avenir Next" w:cs="Arial"/>
          <w:color w:val="7B7B7B" w:themeColor="accent3" w:themeShade="BF"/>
          <w:sz w:val="22"/>
          <w:szCs w:val="22"/>
          <w:lang w:val="en-GB"/>
        </w:rPr>
      </w:pPr>
    </w:p>
    <w:p w14:paraId="7C72B889" w14:textId="4B044DC1" w:rsidR="004A7B8D" w:rsidRPr="004A7B8D" w:rsidRDefault="004A7B8D" w:rsidP="004A7B8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As said, the general rule is that several companies of the same group can be subject to a voluntary special </w:t>
      </w:r>
      <w:r w:rsidR="002271A6">
        <w:rPr>
          <w:rFonts w:ascii="Avenir Next" w:hAnsi="Avenir Next" w:cs="Arial"/>
          <w:color w:val="7B7B7B" w:themeColor="accent3" w:themeShade="BF"/>
          <w:sz w:val="22"/>
          <w:szCs w:val="22"/>
          <w:lang w:val="en-GB"/>
        </w:rPr>
        <w:t>regime, which</w:t>
      </w:r>
      <w:r>
        <w:rPr>
          <w:rFonts w:ascii="Avenir Next" w:hAnsi="Avenir Next" w:cs="Arial"/>
          <w:color w:val="7B7B7B" w:themeColor="accent3" w:themeShade="BF"/>
          <w:sz w:val="22"/>
          <w:szCs w:val="22"/>
          <w:lang w:val="en-GB"/>
        </w:rPr>
        <w:t xml:space="preserve"> consists of co-ordinated proceedings, which can be accumulated from their commencement with the filling of a joint petition or</w:t>
      </w:r>
      <w:r w:rsidR="00D82B3E">
        <w:rPr>
          <w:rFonts w:ascii="Avenir Next" w:hAnsi="Avenir Next" w:cs="Arial"/>
          <w:color w:val="7B7B7B" w:themeColor="accent3" w:themeShade="BF"/>
          <w:sz w:val="22"/>
          <w:szCs w:val="22"/>
          <w:lang w:val="en-GB"/>
        </w:rPr>
        <w:t xml:space="preserve"> at a later stage, and each proceeding will follow its own path and can end differently.</w:t>
      </w:r>
    </w:p>
    <w:p w14:paraId="23B8E47F" w14:textId="4CF3B4E5" w:rsidR="00D33201" w:rsidRPr="004A7B8D" w:rsidRDefault="00D33201" w:rsidP="00D33201">
      <w:pPr>
        <w:ind w:left="720" w:hanging="720"/>
        <w:jc w:val="both"/>
        <w:rPr>
          <w:rFonts w:ascii="Avenir Next" w:hAnsi="Avenir Next" w:cs="Arial"/>
          <w:sz w:val="22"/>
          <w:szCs w:val="22"/>
        </w:rPr>
      </w:pP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6D38BF94" w14:textId="05520830" w:rsidR="00A10AFA" w:rsidRDefault="00872E1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main advantages of envisaging a special insolvency proceeding for microenterprises is that this proceeding allows the parties to request a number of effects (or “modules”) only if they so wish (for example, the appointment of an insolvency practitioner)</w:t>
      </w:r>
      <w:r w:rsidR="00A204E7">
        <w:rPr>
          <w:rFonts w:ascii="Avenir Next" w:hAnsi="Avenir Next" w:cs="Arial"/>
          <w:color w:val="7B7B7B" w:themeColor="accent3" w:themeShade="BF"/>
          <w:sz w:val="22"/>
          <w:szCs w:val="22"/>
          <w:lang w:val="en-GB"/>
        </w:rPr>
        <w:t>, eliminating all unnecessary formalities and reducing the participation of professionals and institutions.</w:t>
      </w:r>
      <w:r>
        <w:rPr>
          <w:rFonts w:ascii="Avenir Next" w:hAnsi="Avenir Next" w:cs="Arial"/>
          <w:color w:val="7B7B7B" w:themeColor="accent3" w:themeShade="BF"/>
          <w:sz w:val="22"/>
          <w:szCs w:val="22"/>
          <w:lang w:val="en-GB"/>
        </w:rPr>
        <w:t xml:space="preserve"> This helps to reduce the costs and the duration of the proceeding, as well as to increase its effectiveness due no pointless measures or effects are automatically undertaken.</w:t>
      </w:r>
    </w:p>
    <w:p w14:paraId="3710D8AE" w14:textId="208347EC" w:rsidR="00A204E7" w:rsidRDefault="00B465C6" w:rsidP="008065CE">
      <w:pPr>
        <w:jc w:val="both"/>
        <w:rPr>
          <w:rFonts w:ascii="Avenir Next" w:hAnsi="Avenir Next" w:cs="Arial"/>
          <w:color w:val="7B7B7B" w:themeColor="accent3" w:themeShade="BF"/>
          <w:sz w:val="22"/>
          <w:szCs w:val="22"/>
        </w:rPr>
      </w:pPr>
      <w:r w:rsidRPr="00A204E7">
        <w:rPr>
          <w:rFonts w:ascii="Avenir Next" w:hAnsi="Avenir Next" w:cs="Arial"/>
          <w:color w:val="7B7B7B" w:themeColor="accent3" w:themeShade="BF"/>
          <w:sz w:val="22"/>
          <w:szCs w:val="22"/>
        </w:rPr>
        <w:t>In addition</w:t>
      </w:r>
      <w:r w:rsidR="00A204E7" w:rsidRPr="00A204E7">
        <w:rPr>
          <w:rFonts w:ascii="Avenir Next" w:hAnsi="Avenir Next" w:cs="Arial"/>
          <w:color w:val="7B7B7B" w:themeColor="accent3" w:themeShade="BF"/>
          <w:sz w:val="22"/>
          <w:szCs w:val="22"/>
        </w:rPr>
        <w:t>, the proce</w:t>
      </w:r>
      <w:r w:rsidR="00A204E7">
        <w:rPr>
          <w:rFonts w:ascii="Avenir Next" w:hAnsi="Avenir Next" w:cs="Arial"/>
          <w:color w:val="7B7B7B" w:themeColor="accent3" w:themeShade="BF"/>
          <w:sz w:val="22"/>
          <w:szCs w:val="22"/>
        </w:rPr>
        <w:t>dur</w:t>
      </w:r>
      <w:r w:rsidR="00A204E7" w:rsidRPr="00A204E7">
        <w:rPr>
          <w:rFonts w:ascii="Avenir Next" w:hAnsi="Avenir Next" w:cs="Arial"/>
          <w:color w:val="7B7B7B" w:themeColor="accent3" w:themeShade="BF"/>
          <w:sz w:val="22"/>
          <w:szCs w:val="22"/>
        </w:rPr>
        <w:t xml:space="preserve">al structure is simpler and modern, as it allows the filling of </w:t>
      </w:r>
      <w:r w:rsidR="00A204E7">
        <w:rPr>
          <w:rFonts w:ascii="Avenir Next" w:hAnsi="Avenir Next" w:cs="Arial"/>
          <w:color w:val="7B7B7B" w:themeColor="accent3" w:themeShade="BF"/>
          <w:sz w:val="22"/>
          <w:szCs w:val="22"/>
        </w:rPr>
        <w:t>standardized forms</w:t>
      </w:r>
      <w:r w:rsidR="00A204E7" w:rsidRPr="00A204E7">
        <w:rPr>
          <w:rFonts w:ascii="Avenir Next" w:hAnsi="Avenir Next" w:cs="Arial"/>
          <w:color w:val="7B7B7B" w:themeColor="accent3" w:themeShade="BF"/>
          <w:sz w:val="22"/>
          <w:szCs w:val="22"/>
        </w:rPr>
        <w:t xml:space="preserve"> by electronic means and the </w:t>
      </w:r>
      <w:r w:rsidR="00A204E7">
        <w:rPr>
          <w:rFonts w:ascii="Avenir Next" w:hAnsi="Avenir Next" w:cs="Arial"/>
          <w:color w:val="7B7B7B" w:themeColor="accent3" w:themeShade="BF"/>
          <w:sz w:val="22"/>
          <w:szCs w:val="22"/>
        </w:rPr>
        <w:t>holding</w:t>
      </w:r>
      <w:r w:rsidR="00A204E7" w:rsidRPr="00A204E7">
        <w:rPr>
          <w:rFonts w:ascii="Avenir Next" w:hAnsi="Avenir Next" w:cs="Arial"/>
          <w:color w:val="7B7B7B" w:themeColor="accent3" w:themeShade="BF"/>
          <w:sz w:val="22"/>
          <w:szCs w:val="22"/>
        </w:rPr>
        <w:t xml:space="preserve"> of hearings by telematics means.</w:t>
      </w:r>
    </w:p>
    <w:p w14:paraId="424EA386" w14:textId="73AAC398" w:rsidR="00A204E7" w:rsidRDefault="00A204E7" w:rsidP="008065C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addition, the special procedure has a unitary nature as microenterprises do not have access to insolvency proceedings or restructuring plans. C</w:t>
      </w:r>
      <w:r w:rsidRPr="00A204E7">
        <w:rPr>
          <w:rFonts w:ascii="Avenir Next" w:hAnsi="Avenir Next" w:cs="Arial"/>
          <w:color w:val="7B7B7B" w:themeColor="accent3" w:themeShade="BF"/>
          <w:sz w:val="22"/>
          <w:szCs w:val="22"/>
        </w:rPr>
        <w:t>onsequently</w:t>
      </w:r>
      <w:r>
        <w:rPr>
          <w:rFonts w:ascii="Avenir Next" w:hAnsi="Avenir Next" w:cs="Arial"/>
          <w:color w:val="7B7B7B" w:themeColor="accent3" w:themeShade="BF"/>
          <w:sz w:val="22"/>
          <w:szCs w:val="22"/>
        </w:rPr>
        <w:t>, individual entrepreneurs can also have access to the second chance procedure.</w:t>
      </w:r>
    </w:p>
    <w:p w14:paraId="598D4A59" w14:textId="77777777" w:rsidR="00864EFE" w:rsidRDefault="00864EFE" w:rsidP="008065CE">
      <w:pPr>
        <w:jc w:val="both"/>
        <w:rPr>
          <w:rFonts w:ascii="Avenir Next" w:hAnsi="Avenir Next" w:cs="Arial"/>
          <w:color w:val="7B7B7B" w:themeColor="accent3" w:themeShade="BF"/>
          <w:sz w:val="22"/>
          <w:szCs w:val="22"/>
          <w:lang w:val="es-CL"/>
        </w:rPr>
      </w:pPr>
    </w:p>
    <w:p w14:paraId="7C4CAFA4" w14:textId="5ECC2F97" w:rsidR="00864EFE" w:rsidRPr="00864EFE" w:rsidRDefault="00864EFE" w:rsidP="008065CE">
      <w:pPr>
        <w:jc w:val="both"/>
        <w:rPr>
          <w:rFonts w:ascii="Avenir Next" w:hAnsi="Avenir Next" w:cs="Arial"/>
          <w:color w:val="7B7B7B" w:themeColor="accent3" w:themeShade="BF"/>
          <w:sz w:val="22"/>
          <w:szCs w:val="22"/>
        </w:rPr>
      </w:pPr>
      <w:r w:rsidRPr="00864EFE">
        <w:rPr>
          <w:rFonts w:ascii="Avenir Next" w:hAnsi="Avenir Next" w:cs="Arial"/>
          <w:color w:val="7B7B7B" w:themeColor="accent3" w:themeShade="BF"/>
          <w:sz w:val="22"/>
          <w:szCs w:val="22"/>
        </w:rPr>
        <w:t xml:space="preserve">All these advantages and characteristics of the special insolvency procedure seek to avoid the problems of the ordinary </w:t>
      </w:r>
      <w:r>
        <w:rPr>
          <w:rFonts w:ascii="Avenir Next" w:hAnsi="Avenir Next" w:cs="Arial"/>
          <w:color w:val="7B7B7B" w:themeColor="accent3" w:themeShade="BF"/>
          <w:sz w:val="22"/>
          <w:szCs w:val="22"/>
        </w:rPr>
        <w:t xml:space="preserve">insolvency </w:t>
      </w:r>
      <w:r w:rsidRPr="00864EFE">
        <w:rPr>
          <w:rFonts w:ascii="Avenir Next" w:hAnsi="Avenir Next" w:cs="Arial"/>
          <w:color w:val="7B7B7B" w:themeColor="accent3" w:themeShade="BF"/>
          <w:sz w:val="22"/>
          <w:szCs w:val="22"/>
        </w:rPr>
        <w:t xml:space="preserve">procedure related to its high costs, long duration, </w:t>
      </w:r>
      <w:r>
        <w:rPr>
          <w:rFonts w:ascii="Avenir Next" w:hAnsi="Avenir Next" w:cs="Arial"/>
          <w:color w:val="7B7B7B" w:themeColor="accent3" w:themeShade="BF"/>
          <w:sz w:val="22"/>
          <w:szCs w:val="22"/>
        </w:rPr>
        <w:t xml:space="preserve">and </w:t>
      </w:r>
      <w:r w:rsidRPr="00864EFE">
        <w:rPr>
          <w:rFonts w:ascii="Avenir Next" w:hAnsi="Avenir Next" w:cs="Arial"/>
          <w:color w:val="7B7B7B" w:themeColor="accent3" w:themeShade="BF"/>
          <w:sz w:val="22"/>
          <w:szCs w:val="22"/>
        </w:rPr>
        <w:t>participation of the court and professionals and institutions.</w:t>
      </w:r>
    </w:p>
    <w:p w14:paraId="45E0DA1A" w14:textId="5EB4C5D5" w:rsidR="00872E15" w:rsidRPr="00864EFE" w:rsidRDefault="00872E15" w:rsidP="008065CE">
      <w:pPr>
        <w:jc w:val="both"/>
        <w:rPr>
          <w:rFonts w:ascii="Avenir Next" w:hAnsi="Avenir Next" w:cs="Arial"/>
          <w:color w:val="7B7B7B" w:themeColor="accent3" w:themeShade="BF"/>
          <w:sz w:val="22"/>
          <w:szCs w:val="22"/>
        </w:rPr>
      </w:pPr>
    </w:p>
    <w:p w14:paraId="213571C0" w14:textId="77777777" w:rsidR="00872E15" w:rsidRPr="00864EFE" w:rsidRDefault="00872E15" w:rsidP="008065CE">
      <w:pPr>
        <w:jc w:val="both"/>
        <w:rPr>
          <w:rFonts w:ascii="Avenir Next" w:hAnsi="Avenir Next" w:cs="Arial"/>
          <w:sz w:val="22"/>
          <w:szCs w:val="22"/>
          <w:shd w:val="clear" w:color="auto" w:fill="FFFFFF"/>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1" w:name="_Hlk17745211"/>
    </w:p>
    <w:p w14:paraId="603D3B57" w14:textId="48FC8AF9"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public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the restructuring plan? In what financial situation should ADARU be for these mechanisms to be available? Is it necessary that its business is viable in order to resort to these mechanisms?</w:t>
      </w:r>
    </w:p>
    <w:p w14:paraId="51A954C1" w14:textId="77777777" w:rsidR="009A12FA" w:rsidRPr="00E95573" w:rsidRDefault="009A12FA" w:rsidP="009A12FA">
      <w:pPr>
        <w:pStyle w:val="ListParagraph"/>
        <w:spacing w:after="120"/>
        <w:ind w:left="426"/>
        <w:jc w:val="both"/>
        <w:rPr>
          <w:rFonts w:ascii="Avenir Next" w:hAnsi="Avenir Next" w:cs="Arial"/>
          <w:sz w:val="22"/>
          <w:szCs w:val="28"/>
          <w:lang w:val="en-GB"/>
        </w:rPr>
      </w:pPr>
    </w:p>
    <w:p w14:paraId="69A97F3C" w14:textId="4218F729" w:rsidR="009A12FA" w:rsidRPr="009A12FA" w:rsidRDefault="0061147A" w:rsidP="009A12FA">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5D5C8E20" w14:textId="77777777" w:rsidR="009A12FA" w:rsidRDefault="009A12FA" w:rsidP="009A12FA">
      <w:pPr>
        <w:pStyle w:val="ListParagraph"/>
        <w:spacing w:after="120"/>
        <w:ind w:left="426"/>
        <w:jc w:val="both"/>
        <w:rPr>
          <w:rFonts w:ascii="Avenir Next" w:hAnsi="Avenir Next" w:cs="Arial"/>
          <w:sz w:val="22"/>
          <w:szCs w:val="28"/>
          <w:lang w:val="en-GB"/>
        </w:rPr>
      </w:pPr>
    </w:p>
    <w:p w14:paraId="47EEBAE4" w14:textId="318400BF" w:rsidR="00E915EC" w:rsidRPr="00E915EC" w:rsidRDefault="0061147A" w:rsidP="00E915EC">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banks have exercised enforcement actions for the collateral, would these actions be affected? 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743F4912" w14:textId="77777777" w:rsidR="00E915EC" w:rsidRDefault="00E915EC" w:rsidP="00E915EC">
      <w:pPr>
        <w:pStyle w:val="ListParagraph"/>
        <w:spacing w:after="120"/>
        <w:ind w:left="426"/>
        <w:jc w:val="both"/>
        <w:rPr>
          <w:rFonts w:ascii="Avenir Next" w:hAnsi="Avenir Next" w:cs="Arial"/>
          <w:sz w:val="22"/>
          <w:szCs w:val="28"/>
          <w:lang w:val="en-GB"/>
        </w:rPr>
      </w:pPr>
    </w:p>
    <w:p w14:paraId="210BD119" w14:textId="301D6F30"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Does ADARU remain in possession? </w:t>
      </w:r>
    </w:p>
    <w:p w14:paraId="3651EEA3" w14:textId="77777777" w:rsidR="00E915EC" w:rsidRDefault="00E915EC" w:rsidP="00E915EC">
      <w:pPr>
        <w:pStyle w:val="ListParagraph"/>
        <w:spacing w:after="120"/>
        <w:ind w:left="426"/>
        <w:jc w:val="both"/>
        <w:rPr>
          <w:rFonts w:ascii="Avenir Next" w:hAnsi="Avenir Next" w:cs="Arial"/>
          <w:sz w:val="22"/>
          <w:szCs w:val="28"/>
          <w:lang w:val="en-GB"/>
        </w:rPr>
      </w:pPr>
    </w:p>
    <w:p w14:paraId="5D616361" w14:textId="35D72C2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ed so as to adopt the agreement that will avoid the commencement of insolvency proceedings?</w:t>
      </w:r>
    </w:p>
    <w:p w14:paraId="0830673A" w14:textId="77777777" w:rsidR="00E915EC" w:rsidRDefault="00E915EC" w:rsidP="00E915EC">
      <w:pPr>
        <w:pStyle w:val="ListParagraph"/>
        <w:spacing w:after="120"/>
        <w:ind w:left="426"/>
        <w:jc w:val="both"/>
        <w:rPr>
          <w:rFonts w:ascii="Avenir Next" w:hAnsi="Avenir Next" w:cs="Arial"/>
          <w:sz w:val="22"/>
          <w:szCs w:val="28"/>
          <w:lang w:val="en-GB"/>
        </w:rPr>
      </w:pPr>
    </w:p>
    <w:p w14:paraId="7C2E5C06" w14:textId="1AC4BA6B"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22521974" w14:textId="77777777" w:rsidR="00E915EC" w:rsidRDefault="00E915EC" w:rsidP="00E915EC">
      <w:pPr>
        <w:pStyle w:val="ListParagraph"/>
        <w:spacing w:after="120"/>
        <w:ind w:left="426"/>
        <w:jc w:val="both"/>
        <w:rPr>
          <w:rFonts w:ascii="Avenir Next" w:hAnsi="Avenir Next" w:cs="Arial"/>
          <w:sz w:val="22"/>
          <w:szCs w:val="28"/>
          <w:lang w:val="en-GB"/>
        </w:rPr>
      </w:pPr>
    </w:p>
    <w:p w14:paraId="198D3F94" w14:textId="43F4D31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278162DE" w14:textId="77777777" w:rsidR="00E915EC" w:rsidRDefault="00E915EC" w:rsidP="00E915EC">
      <w:pPr>
        <w:pStyle w:val="ListParagraph"/>
        <w:spacing w:after="120"/>
        <w:ind w:left="426"/>
        <w:jc w:val="both"/>
        <w:rPr>
          <w:rFonts w:ascii="Avenir Next" w:hAnsi="Avenir Next" w:cs="Arial"/>
          <w:sz w:val="22"/>
          <w:szCs w:val="28"/>
          <w:lang w:val="en-GB"/>
        </w:rPr>
      </w:pPr>
    </w:p>
    <w:p w14:paraId="5ACCCBBC" w14:textId="5D139E2D"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4B1FF0FF" w14:textId="77777777" w:rsidR="0005177A" w:rsidRDefault="0005177A" w:rsidP="0005177A">
      <w:pPr>
        <w:pStyle w:val="ListParagraph"/>
        <w:spacing w:after="120"/>
        <w:ind w:left="426"/>
        <w:jc w:val="both"/>
        <w:rPr>
          <w:rFonts w:ascii="Avenir Next" w:hAnsi="Avenir Next" w:cs="Arial"/>
          <w:sz w:val="22"/>
          <w:szCs w:val="28"/>
          <w:lang w:val="en-GB"/>
        </w:rPr>
      </w:pPr>
    </w:p>
    <w:p w14:paraId="7DB0C342" w14:textId="086CA30A"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What requirements do the restructuring plan need to meet so as to protect the fresh money granted and the operations performed thereunder? </w:t>
      </w:r>
    </w:p>
    <w:p w14:paraId="632FD82A" w14:textId="77777777" w:rsidR="00B67DF2" w:rsidRDefault="00B67DF2" w:rsidP="008065CE">
      <w:pPr>
        <w:autoSpaceDE w:val="0"/>
        <w:autoSpaceDN w:val="0"/>
        <w:adjustRightInd w:val="0"/>
        <w:jc w:val="both"/>
        <w:rPr>
          <w:rFonts w:ascii="Avenir Next" w:hAnsi="Avenir Next" w:cs="Arial"/>
          <w:color w:val="7B7B7B" w:themeColor="accent3" w:themeShade="BF"/>
          <w:sz w:val="22"/>
          <w:szCs w:val="22"/>
          <w:lang w:val="en-GB"/>
        </w:rPr>
      </w:pPr>
    </w:p>
    <w:p w14:paraId="7A599830" w14:textId="0F3FC60C" w:rsidR="00794F50" w:rsidRDefault="00794F50" w:rsidP="00794F50">
      <w:pPr>
        <w:spacing w:after="120"/>
        <w:jc w:val="both"/>
        <w:rPr>
          <w:rFonts w:ascii="Avenir Next" w:hAnsi="Avenir Next" w:cs="Arial"/>
          <w:color w:val="7B7B7B" w:themeColor="accent3" w:themeShade="BF"/>
          <w:sz w:val="22"/>
          <w:szCs w:val="22"/>
          <w:lang w:val="en-GB"/>
        </w:rPr>
      </w:pPr>
      <w:r w:rsidRPr="00794F50">
        <w:rPr>
          <w:rFonts w:ascii="Avenir Next" w:hAnsi="Avenir Next" w:cs="Arial"/>
          <w:color w:val="7B7B7B" w:themeColor="accent3" w:themeShade="BF"/>
          <w:sz w:val="22"/>
          <w:szCs w:val="22"/>
          <w:lang w:val="en-GB"/>
        </w:rPr>
        <w:t>To avoid the commencement of insolvency proceedings upon creditors’ petitions and from enforcement actions during the negotiations of the restructuring plan, ADURU may initiate a communication of the opening of negotiation with creditors, so that the stay associated with said communication does not allow the exercise of creditors’ petition nor enforcement actions. For this, the Company can be in a state of probable insolvency, imminent insolvency or current insolvency.</w:t>
      </w:r>
    </w:p>
    <w:p w14:paraId="49E9EEF4" w14:textId="77777777" w:rsidR="00800F38" w:rsidRDefault="00800F38" w:rsidP="00794F50">
      <w:pPr>
        <w:spacing w:after="120"/>
        <w:jc w:val="both"/>
        <w:rPr>
          <w:rFonts w:ascii="Avenir Next" w:hAnsi="Avenir Next" w:cs="Arial"/>
          <w:color w:val="7B7B7B" w:themeColor="accent3" w:themeShade="BF"/>
          <w:sz w:val="22"/>
          <w:szCs w:val="22"/>
          <w:lang w:val="en-GB"/>
        </w:rPr>
      </w:pPr>
    </w:p>
    <w:p w14:paraId="1C9D83A4" w14:textId="433E5905" w:rsidR="00794F50" w:rsidRDefault="00794F50" w:rsidP="00794F50">
      <w:pPr>
        <w:spacing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this pre-insolvency proceeding, </w:t>
      </w:r>
      <w:r w:rsidRPr="00794F50">
        <w:rPr>
          <w:rFonts w:ascii="Avenir Next" w:hAnsi="Avenir Next" w:cs="Arial"/>
          <w:color w:val="7B7B7B" w:themeColor="accent3" w:themeShade="BF"/>
          <w:sz w:val="22"/>
          <w:szCs w:val="22"/>
          <w:lang w:val="en-GB"/>
        </w:rPr>
        <w:t xml:space="preserve">ADURU </w:t>
      </w:r>
      <w:r>
        <w:rPr>
          <w:rFonts w:ascii="Avenir Next" w:hAnsi="Avenir Next" w:cs="Arial"/>
          <w:color w:val="7B7B7B" w:themeColor="accent3" w:themeShade="BF"/>
          <w:sz w:val="22"/>
          <w:szCs w:val="22"/>
          <w:lang w:val="en-GB"/>
        </w:rPr>
        <w:t xml:space="preserve">will </w:t>
      </w:r>
      <w:r w:rsidRPr="00794F50">
        <w:rPr>
          <w:rFonts w:ascii="Avenir Next" w:hAnsi="Avenir Next" w:cs="Arial"/>
          <w:color w:val="7B7B7B" w:themeColor="accent3" w:themeShade="BF"/>
          <w:sz w:val="22"/>
          <w:szCs w:val="22"/>
          <w:lang w:val="en-GB"/>
        </w:rPr>
        <w:t xml:space="preserve">remain in possession because </w:t>
      </w:r>
      <w:r>
        <w:rPr>
          <w:rFonts w:ascii="Avenir Next" w:hAnsi="Avenir Next" w:cs="Arial"/>
          <w:color w:val="7B7B7B" w:themeColor="accent3" w:themeShade="BF"/>
          <w:sz w:val="22"/>
          <w:szCs w:val="22"/>
          <w:lang w:val="en-GB"/>
        </w:rPr>
        <w:t>in the</w:t>
      </w:r>
      <w:r w:rsidRPr="00794F50">
        <w:rPr>
          <w:rFonts w:ascii="Avenir Next" w:hAnsi="Avenir Next" w:cs="Arial"/>
          <w:color w:val="7B7B7B" w:themeColor="accent3" w:themeShade="BF"/>
          <w:sz w:val="22"/>
          <w:szCs w:val="22"/>
          <w:lang w:val="en-GB"/>
        </w:rPr>
        <w:t xml:space="preserve"> communication of the opening of negotiation with creditors there is no intervention or suspension of any kind in respect of the debtor’s pow</w:t>
      </w:r>
      <w:r>
        <w:rPr>
          <w:rFonts w:ascii="Avenir Next" w:hAnsi="Avenir Next" w:cs="Arial"/>
          <w:color w:val="7B7B7B" w:themeColor="accent3" w:themeShade="BF"/>
          <w:sz w:val="22"/>
          <w:szCs w:val="22"/>
          <w:lang w:val="en-GB"/>
        </w:rPr>
        <w:t>ers to administer and dispose of</w:t>
      </w:r>
      <w:r w:rsidRPr="00794F50">
        <w:rPr>
          <w:rFonts w:ascii="Avenir Next" w:hAnsi="Avenir Next" w:cs="Arial"/>
          <w:color w:val="7B7B7B" w:themeColor="accent3" w:themeShade="BF"/>
          <w:sz w:val="22"/>
          <w:szCs w:val="22"/>
          <w:lang w:val="en-GB"/>
        </w:rPr>
        <w:t xml:space="preserve"> its assets and rights.</w:t>
      </w:r>
    </w:p>
    <w:p w14:paraId="211AE517" w14:textId="77777777" w:rsidR="00800F38" w:rsidRDefault="00800F38" w:rsidP="00794F50">
      <w:pPr>
        <w:jc w:val="both"/>
        <w:rPr>
          <w:rFonts w:ascii="Avenir Next" w:hAnsi="Avenir Next" w:cs="Arial"/>
          <w:color w:val="7B7B7B" w:themeColor="accent3" w:themeShade="BF"/>
          <w:sz w:val="22"/>
          <w:szCs w:val="22"/>
          <w:lang w:val="en-GB"/>
        </w:rPr>
      </w:pPr>
    </w:p>
    <w:p w14:paraId="66A1C3E8" w14:textId="3B50DAE7" w:rsidR="00794F50" w:rsidRPr="009A5464" w:rsidRDefault="00794F50" w:rsidP="00794F5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 t</w:t>
      </w:r>
      <w:r>
        <w:rPr>
          <w:rFonts w:ascii="Avenir Next" w:hAnsi="Avenir Next" w:cs="Arial"/>
          <w:color w:val="7B7B7B" w:themeColor="accent3" w:themeShade="BF"/>
          <w:sz w:val="22"/>
          <w:szCs w:val="22"/>
          <w:lang w:val="en-GB"/>
        </w:rPr>
        <w:t>here is no risk that the counterparties terminate the executory contracts because Spanish law provides the ineffectiveness of any contrac</w:t>
      </w:r>
      <w:r w:rsidR="00153606">
        <w:rPr>
          <w:rFonts w:ascii="Avenir Next" w:hAnsi="Avenir Next" w:cs="Arial"/>
          <w:color w:val="7B7B7B" w:themeColor="accent3" w:themeShade="BF"/>
          <w:sz w:val="22"/>
          <w:szCs w:val="22"/>
          <w:lang w:val="en-GB"/>
        </w:rPr>
        <w:t xml:space="preserve">tual clauses that provides the </w:t>
      </w:r>
      <w:r>
        <w:rPr>
          <w:rFonts w:ascii="Avenir Next" w:hAnsi="Avenir Next" w:cs="Arial"/>
          <w:color w:val="7B7B7B" w:themeColor="accent3" w:themeShade="BF"/>
          <w:sz w:val="22"/>
          <w:szCs w:val="22"/>
          <w:lang w:val="en-GB"/>
        </w:rPr>
        <w:t xml:space="preserve">automatic termination of the contract for the sole reason of the commencement of insolvency proceedings or the opening of the liquidation stage. </w:t>
      </w:r>
      <w:r w:rsidRPr="009A5464">
        <w:rPr>
          <w:rFonts w:ascii="Avenir Next" w:hAnsi="Avenir Next" w:cs="Arial"/>
          <w:color w:val="7B7B7B" w:themeColor="accent3" w:themeShade="BF"/>
          <w:sz w:val="22"/>
          <w:szCs w:val="22"/>
          <w:lang w:val="en-GB"/>
        </w:rPr>
        <w:t>If ADARU had breached its contracts, it must be distinguished whether the breach occurred before or after the insolvency proceedings were initiated, because if it was before the declaration of insolvency, the termination can be exercised in any event, but if it was after it can only be exercised if the c</w:t>
      </w:r>
      <w:r>
        <w:rPr>
          <w:rFonts w:ascii="Avenir Next" w:hAnsi="Avenir Next" w:cs="Arial"/>
          <w:color w:val="7B7B7B" w:themeColor="accent3" w:themeShade="BF"/>
          <w:sz w:val="22"/>
          <w:szCs w:val="22"/>
          <w:lang w:val="en-GB"/>
        </w:rPr>
        <w:t>ontract was of successive tract.</w:t>
      </w:r>
    </w:p>
    <w:p w14:paraId="6A619532" w14:textId="3B2E3C6A" w:rsidR="00794F50" w:rsidRDefault="00794F50" w:rsidP="00794F50">
      <w:pPr>
        <w:spacing w:after="120"/>
        <w:jc w:val="both"/>
        <w:rPr>
          <w:rFonts w:ascii="Avenir Next" w:hAnsi="Avenir Next" w:cs="Arial"/>
          <w:color w:val="7B7B7B" w:themeColor="accent3" w:themeShade="BF"/>
          <w:sz w:val="22"/>
          <w:szCs w:val="22"/>
          <w:lang w:val="en-GB"/>
        </w:rPr>
      </w:pPr>
    </w:p>
    <w:p w14:paraId="77D09156" w14:textId="512576CC" w:rsidR="00794F50" w:rsidRDefault="00794F50" w:rsidP="00794F50">
      <w:pPr>
        <w:spacing w:after="1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Regarding the enforcement actions and collaterals, </w:t>
      </w:r>
      <w:r w:rsidRPr="00794F50">
        <w:rPr>
          <w:rFonts w:ascii="Avenir Next" w:hAnsi="Avenir Next" w:cs="Arial"/>
          <w:color w:val="7B7B7B" w:themeColor="accent3" w:themeShade="BF"/>
          <w:sz w:val="22"/>
          <w:szCs w:val="22"/>
          <w:lang w:val="en-GB"/>
        </w:rPr>
        <w:t>it is necessary to distinguish if the collateral consists of non-necessary assets, because i</w:t>
      </w:r>
      <w:r w:rsidR="00153606">
        <w:rPr>
          <w:rFonts w:ascii="Avenir Next" w:hAnsi="Avenir Next" w:cs="Arial"/>
          <w:color w:val="7B7B7B" w:themeColor="accent3" w:themeShade="BF"/>
          <w:sz w:val="22"/>
          <w:szCs w:val="22"/>
          <w:lang w:val="en-GB"/>
        </w:rPr>
        <w:t>n that case the enforcement not stop</w:t>
      </w:r>
      <w:r w:rsidRPr="00794F50">
        <w:rPr>
          <w:rFonts w:ascii="Avenir Next" w:hAnsi="Avenir Next" w:cs="Arial"/>
          <w:color w:val="7B7B7B" w:themeColor="accent3" w:themeShade="BF"/>
          <w:sz w:val="22"/>
          <w:szCs w:val="22"/>
          <w:lang w:val="en-GB"/>
        </w:rPr>
        <w:t xml:space="preserve"> under any circumstances. On the other hand, if consist in necessary assets, the enforcement may be commenced but suspended immediately. The communication of the opening of negotiation with creditors causes a stay of enforcement actions over the assets of the debtor that are necessary for the continuation of his activities.</w:t>
      </w:r>
    </w:p>
    <w:p w14:paraId="297794A0" w14:textId="77777777" w:rsidR="00800F38" w:rsidRDefault="00800F38" w:rsidP="00800F38">
      <w:pPr>
        <w:spacing w:after="120"/>
        <w:jc w:val="both"/>
        <w:rPr>
          <w:rFonts w:ascii="Avenir Next" w:hAnsi="Avenir Next" w:cs="Arial"/>
          <w:color w:val="7B7B7B" w:themeColor="accent3" w:themeShade="BF"/>
          <w:sz w:val="22"/>
          <w:szCs w:val="22"/>
          <w:lang w:val="en-GB"/>
        </w:rPr>
      </w:pPr>
    </w:p>
    <w:p w14:paraId="0FBEF4F7" w14:textId="2AC8BC70" w:rsidR="00800F38" w:rsidRPr="00800F38" w:rsidRDefault="00800F38" w:rsidP="00800F38">
      <w:pPr>
        <w:spacing w:after="120"/>
        <w:jc w:val="both"/>
        <w:rPr>
          <w:rFonts w:ascii="Avenir Next" w:hAnsi="Avenir Next" w:cs="Arial"/>
          <w:color w:val="7B7B7B" w:themeColor="accent3" w:themeShade="BF"/>
          <w:sz w:val="22"/>
          <w:szCs w:val="22"/>
          <w:lang w:val="en-GB"/>
        </w:rPr>
      </w:pPr>
      <w:r w:rsidRPr="00800F38">
        <w:rPr>
          <w:rFonts w:ascii="Avenir Next" w:hAnsi="Avenir Next" w:cs="Arial"/>
          <w:color w:val="7B7B7B" w:themeColor="accent3" w:themeShade="BF"/>
          <w:sz w:val="22"/>
          <w:szCs w:val="22"/>
          <w:lang w:val="en-GB"/>
        </w:rPr>
        <w:t>Creditors should be organised into classes according the rank of their claims. Once the classes have been formed, the plan should be subj</w:t>
      </w:r>
      <w:r>
        <w:rPr>
          <w:rFonts w:ascii="Avenir Next" w:hAnsi="Avenir Next" w:cs="Arial"/>
          <w:color w:val="7B7B7B" w:themeColor="accent3" w:themeShade="BF"/>
          <w:sz w:val="22"/>
          <w:szCs w:val="22"/>
          <w:lang w:val="en-GB"/>
        </w:rPr>
        <w:t xml:space="preserve">ect to approval by each class. </w:t>
      </w:r>
      <w:r w:rsidRPr="00800F38">
        <w:rPr>
          <w:rFonts w:ascii="Avenir Next" w:hAnsi="Avenir Next" w:cs="Arial"/>
          <w:color w:val="7B7B7B" w:themeColor="accent3" w:themeShade="BF"/>
          <w:sz w:val="22"/>
          <w:szCs w:val="22"/>
          <w:lang w:val="en-GB"/>
        </w:rPr>
        <w:t>If one of the classes does not approve the plan, the judicial homologation and extension of th</w:t>
      </w:r>
      <w:r>
        <w:rPr>
          <w:rFonts w:ascii="Avenir Next" w:hAnsi="Avenir Next" w:cs="Arial"/>
          <w:color w:val="7B7B7B" w:themeColor="accent3" w:themeShade="BF"/>
          <w:sz w:val="22"/>
          <w:szCs w:val="22"/>
          <w:lang w:val="en-GB"/>
        </w:rPr>
        <w:t>e effects is also possible. Non-</w:t>
      </w:r>
      <w:r w:rsidRPr="00800F38">
        <w:rPr>
          <w:rFonts w:ascii="Avenir Next" w:hAnsi="Avenir Next" w:cs="Arial"/>
          <w:color w:val="7B7B7B" w:themeColor="accent3" w:themeShade="BF"/>
          <w:sz w:val="22"/>
          <w:szCs w:val="22"/>
          <w:lang w:val="en-GB"/>
        </w:rPr>
        <w:t>consensual restructuring plans can be judicially homologated against the will of one or more of the classes as long as the plan has been approved by a simple majority of the classes, at least one of which being a class of privileged claims.</w:t>
      </w:r>
    </w:p>
    <w:p w14:paraId="687B7A3E" w14:textId="77777777" w:rsidR="00800F38" w:rsidRDefault="00800F38" w:rsidP="00800F38">
      <w:pPr>
        <w:spacing w:after="120"/>
        <w:jc w:val="both"/>
        <w:rPr>
          <w:rFonts w:ascii="Avenir Next" w:hAnsi="Avenir Next" w:cs="Arial"/>
          <w:color w:val="7B7B7B" w:themeColor="accent3" w:themeShade="BF"/>
          <w:sz w:val="22"/>
          <w:szCs w:val="22"/>
          <w:lang w:val="en-GB"/>
        </w:rPr>
      </w:pPr>
    </w:p>
    <w:p w14:paraId="55F2E2C1" w14:textId="0B4BD0BB" w:rsidR="00800F38" w:rsidRDefault="00800F38" w:rsidP="00800F38">
      <w:pPr>
        <w:spacing w:after="120"/>
        <w:jc w:val="both"/>
        <w:rPr>
          <w:rFonts w:ascii="Avenir Next" w:hAnsi="Avenir Next" w:cs="Arial"/>
          <w:color w:val="7B7B7B" w:themeColor="accent3" w:themeShade="BF"/>
          <w:sz w:val="22"/>
          <w:szCs w:val="22"/>
          <w:lang w:val="en-GB"/>
        </w:rPr>
      </w:pPr>
      <w:r w:rsidRPr="00800F38">
        <w:rPr>
          <w:rFonts w:ascii="Avenir Next" w:hAnsi="Avenir Next" w:cs="Arial"/>
          <w:color w:val="7B7B7B" w:themeColor="accent3" w:themeShade="BF"/>
          <w:sz w:val="22"/>
          <w:szCs w:val="22"/>
          <w:lang w:val="en-GB"/>
        </w:rPr>
        <w:t xml:space="preserve">The general meeting of ADARU can approve the restructuring plan in accordance with corporate rules. </w:t>
      </w:r>
      <w:r w:rsidR="00153606" w:rsidRPr="00800F38">
        <w:rPr>
          <w:rFonts w:ascii="Avenir Next" w:hAnsi="Avenir Next" w:cs="Arial"/>
          <w:color w:val="7B7B7B" w:themeColor="accent3" w:themeShade="BF"/>
          <w:sz w:val="22"/>
          <w:szCs w:val="22"/>
          <w:lang w:val="en-GB"/>
        </w:rPr>
        <w:t>However,</w:t>
      </w:r>
      <w:r w:rsidRPr="00800F38">
        <w:rPr>
          <w:rFonts w:ascii="Avenir Next" w:hAnsi="Avenir Next" w:cs="Arial"/>
          <w:color w:val="7B7B7B" w:themeColor="accent3" w:themeShade="BF"/>
          <w:sz w:val="22"/>
          <w:szCs w:val="22"/>
          <w:lang w:val="en-GB"/>
        </w:rPr>
        <w:t xml:space="preserve"> it is important to take into consideration that, the agreement can be adopted even without the consent of ADARU and be imposed on the shareholders or partners of the company. For this to happen, the insolvency must be actual or imminent.</w:t>
      </w:r>
    </w:p>
    <w:p w14:paraId="7BEE9E2B" w14:textId="216234B2" w:rsidR="00940BF6" w:rsidRPr="00940BF6" w:rsidRDefault="00940BF6" w:rsidP="00940BF6">
      <w:pPr>
        <w:spacing w:after="120"/>
        <w:jc w:val="both"/>
        <w:rPr>
          <w:rFonts w:ascii="Avenir Next" w:hAnsi="Avenir Next" w:cs="Arial"/>
          <w:color w:val="7B7B7B" w:themeColor="accent3" w:themeShade="BF"/>
          <w:sz w:val="22"/>
          <w:szCs w:val="22"/>
          <w:lang w:val="en-GB"/>
        </w:rPr>
      </w:pPr>
    </w:p>
    <w:p w14:paraId="60FFF7A7" w14:textId="349E778A" w:rsidR="00794F50" w:rsidRPr="00794F50" w:rsidRDefault="00940BF6" w:rsidP="00940BF6">
      <w:pPr>
        <w:spacing w:after="120"/>
        <w:jc w:val="both"/>
        <w:rPr>
          <w:rFonts w:ascii="Avenir Next" w:hAnsi="Avenir Next" w:cs="Arial"/>
          <w:color w:val="7B7B7B" w:themeColor="accent3" w:themeShade="BF"/>
          <w:sz w:val="22"/>
          <w:szCs w:val="22"/>
          <w:lang w:val="en-GB"/>
        </w:rPr>
      </w:pPr>
      <w:r w:rsidRPr="00940BF6">
        <w:rPr>
          <w:rFonts w:ascii="Avenir Next" w:hAnsi="Avenir Next" w:cs="Arial"/>
          <w:color w:val="7B7B7B" w:themeColor="accent3" w:themeShade="BF"/>
          <w:sz w:val="22"/>
          <w:szCs w:val="22"/>
          <w:lang w:val="en-GB"/>
        </w:rPr>
        <w:t>To protect the fresh money granted and the operations permed thereunder, the restructuring plan must (i) have been judicially homologated and (ii) a certain proportion of affected claims. Met those requirements, the interim and/or new financing are protected from avoidance actions and enjoy a collection preference in event of subsequent insolvency proceedings.</w:t>
      </w:r>
    </w:p>
    <w:bookmarkEnd w:id="1"/>
    <w:p w14:paraId="473F76A9" w14:textId="77777777" w:rsidR="000725C3" w:rsidRPr="00794F50" w:rsidRDefault="000725C3" w:rsidP="008065CE">
      <w:pPr>
        <w:jc w:val="both"/>
        <w:rPr>
          <w:rFonts w:ascii="Avenir Next" w:hAnsi="Avenir Next" w:cs="Arial"/>
          <w:color w:val="7B7B7B" w:themeColor="accent3" w:themeShade="BF"/>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A353" w14:textId="77777777" w:rsidR="00A204E7" w:rsidRDefault="00A204E7" w:rsidP="00241B44">
      <w:r>
        <w:separator/>
      </w:r>
    </w:p>
  </w:endnote>
  <w:endnote w:type="continuationSeparator" w:id="0">
    <w:p w14:paraId="059999D1" w14:textId="77777777" w:rsidR="00A204E7" w:rsidRDefault="00A204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AvenirNext LT Pro Bold"/>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A204E7" w:rsidRPr="00FC7B47" w:rsidRDefault="00A204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A204E7" w:rsidRPr="00FC7B47" w:rsidRDefault="00A204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12603F71" w:rsidR="00A204E7" w:rsidRPr="009B4976" w:rsidRDefault="00A204E7" w:rsidP="004B3129">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75370F">
          <w:rPr>
            <w:rStyle w:val="PageNumber"/>
            <w:rFonts w:ascii="Avenir Next Demi Bold" w:hAnsi="Avenir Next Demi Bold" w:cs="Arial"/>
            <w:b/>
            <w:bCs/>
            <w:noProof/>
            <w:sz w:val="22"/>
            <w:szCs w:val="22"/>
          </w:rPr>
          <w:t>8</w:t>
        </w:r>
        <w:r w:rsidRPr="00E136E9">
          <w:rPr>
            <w:rStyle w:val="PageNumber"/>
            <w:rFonts w:ascii="Avenir Next Demi Bold" w:hAnsi="Avenir Next Demi Bold" w:cs="Arial"/>
            <w:b/>
            <w:bCs/>
            <w:sz w:val="22"/>
            <w:szCs w:val="22"/>
          </w:rPr>
          <w:fldChar w:fldCharType="end"/>
        </w:r>
      </w:p>
    </w:sdtContent>
  </w:sdt>
  <w:p w14:paraId="1889544E" w14:textId="602804F3" w:rsidR="00A204E7" w:rsidRPr="00B24DB4" w:rsidRDefault="00A204E7" w:rsidP="009B4976">
    <w:pPr>
      <w:pStyle w:val="Footer"/>
      <w:ind w:right="360"/>
      <w:rPr>
        <w:rFonts w:ascii="Avenir Next" w:hAnsi="Avenir Next" w:cs="Arial"/>
        <w:sz w:val="22"/>
        <w:szCs w:val="22"/>
        <w:lang w:val="en-GB"/>
      </w:rPr>
    </w:pPr>
    <w:r w:rsidRPr="005D7F31">
      <w:rPr>
        <w:rFonts w:ascii="Avenir Next" w:hAnsi="Avenir Next" w:cs="Arial"/>
        <w:sz w:val="22"/>
        <w:szCs w:val="22"/>
        <w:lang w:val="en-GB"/>
      </w:rPr>
      <w:t>FC202324-1286</w:t>
    </w:r>
    <w:r w:rsidRPr="00B24DB4">
      <w:rPr>
        <w:rFonts w:ascii="Avenir Next" w:hAnsi="Avenir Next" w:cs="Arial"/>
        <w:sz w:val="22"/>
        <w:szCs w:val="22"/>
        <w:lang w:val="en-GB"/>
      </w:rPr>
      <w:t>.assessment</w:t>
    </w:r>
    <w:r>
      <w:rPr>
        <w:rFonts w:ascii="Avenir Next" w:hAnsi="Avenir Next" w:cs="Arial"/>
        <w:sz w:val="22"/>
        <w:szCs w:val="22"/>
        <w:lang w:val="en-GB"/>
      </w:rPr>
      <w:t>6G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B8F5" w14:textId="77777777" w:rsidR="00A204E7" w:rsidRDefault="00A204E7" w:rsidP="00241B44">
      <w:r>
        <w:separator/>
      </w:r>
    </w:p>
  </w:footnote>
  <w:footnote w:type="continuationSeparator" w:id="0">
    <w:p w14:paraId="53A28F6B" w14:textId="77777777" w:rsidR="00A204E7" w:rsidRDefault="00A204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11"/>
  </w:num>
  <w:num w:numId="4">
    <w:abstractNumId w:val="18"/>
  </w:num>
  <w:num w:numId="5">
    <w:abstractNumId w:val="4"/>
  </w:num>
  <w:num w:numId="6">
    <w:abstractNumId w:val="13"/>
  </w:num>
  <w:num w:numId="7">
    <w:abstractNumId w:val="23"/>
  </w:num>
  <w:num w:numId="8">
    <w:abstractNumId w:val="31"/>
  </w:num>
  <w:num w:numId="9">
    <w:abstractNumId w:val="17"/>
  </w:num>
  <w:num w:numId="10">
    <w:abstractNumId w:val="14"/>
  </w:num>
  <w:num w:numId="11">
    <w:abstractNumId w:val="1"/>
  </w:num>
  <w:num w:numId="12">
    <w:abstractNumId w:val="29"/>
  </w:num>
  <w:num w:numId="13">
    <w:abstractNumId w:val="32"/>
  </w:num>
  <w:num w:numId="14">
    <w:abstractNumId w:val="8"/>
  </w:num>
  <w:num w:numId="15">
    <w:abstractNumId w:val="25"/>
  </w:num>
  <w:num w:numId="16">
    <w:abstractNumId w:val="5"/>
  </w:num>
  <w:num w:numId="17">
    <w:abstractNumId w:val="9"/>
  </w:num>
  <w:num w:numId="18">
    <w:abstractNumId w:val="30"/>
  </w:num>
  <w:num w:numId="19">
    <w:abstractNumId w:val="10"/>
  </w:num>
  <w:num w:numId="20">
    <w:abstractNumId w:val="24"/>
  </w:num>
  <w:num w:numId="21">
    <w:abstractNumId w:val="34"/>
  </w:num>
  <w:num w:numId="22">
    <w:abstractNumId w:val="2"/>
  </w:num>
  <w:num w:numId="23">
    <w:abstractNumId w:val="39"/>
  </w:num>
  <w:num w:numId="24">
    <w:abstractNumId w:val="26"/>
  </w:num>
  <w:num w:numId="25">
    <w:abstractNumId w:val="7"/>
  </w:num>
  <w:num w:numId="26">
    <w:abstractNumId w:val="37"/>
  </w:num>
  <w:num w:numId="27">
    <w:abstractNumId w:val="20"/>
  </w:num>
  <w:num w:numId="28">
    <w:abstractNumId w:val="6"/>
  </w:num>
  <w:num w:numId="29">
    <w:abstractNumId w:val="33"/>
  </w:num>
  <w:num w:numId="30">
    <w:abstractNumId w:val="3"/>
  </w:num>
  <w:num w:numId="31">
    <w:abstractNumId w:val="28"/>
  </w:num>
  <w:num w:numId="32">
    <w:abstractNumId w:val="21"/>
  </w:num>
  <w:num w:numId="33">
    <w:abstractNumId w:val="19"/>
  </w:num>
  <w:num w:numId="34">
    <w:abstractNumId w:val="16"/>
  </w:num>
  <w:num w:numId="35">
    <w:abstractNumId w:val="12"/>
  </w:num>
  <w:num w:numId="36">
    <w:abstractNumId w:val="22"/>
  </w:num>
  <w:num w:numId="37">
    <w:abstractNumId w:val="38"/>
  </w:num>
  <w:num w:numId="38">
    <w:abstractNumId w:val="35"/>
  </w:num>
  <w:num w:numId="39">
    <w:abstractNumId w:val="0"/>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E59"/>
    <w:rsid w:val="00020557"/>
    <w:rsid w:val="00021FC2"/>
    <w:rsid w:val="000250C7"/>
    <w:rsid w:val="00026F16"/>
    <w:rsid w:val="00037621"/>
    <w:rsid w:val="00040EF6"/>
    <w:rsid w:val="00044D46"/>
    <w:rsid w:val="00045088"/>
    <w:rsid w:val="00045717"/>
    <w:rsid w:val="00045904"/>
    <w:rsid w:val="000502FD"/>
    <w:rsid w:val="000513C9"/>
    <w:rsid w:val="0005177A"/>
    <w:rsid w:val="00053BC1"/>
    <w:rsid w:val="0005708B"/>
    <w:rsid w:val="00060B3E"/>
    <w:rsid w:val="00063D8B"/>
    <w:rsid w:val="00065166"/>
    <w:rsid w:val="000711A3"/>
    <w:rsid w:val="000725C3"/>
    <w:rsid w:val="000731CE"/>
    <w:rsid w:val="00074353"/>
    <w:rsid w:val="0007578A"/>
    <w:rsid w:val="00082609"/>
    <w:rsid w:val="000851CC"/>
    <w:rsid w:val="000867D0"/>
    <w:rsid w:val="00087F21"/>
    <w:rsid w:val="00093BE8"/>
    <w:rsid w:val="000A407B"/>
    <w:rsid w:val="000A68ED"/>
    <w:rsid w:val="000B4961"/>
    <w:rsid w:val="000B5FF1"/>
    <w:rsid w:val="000B609F"/>
    <w:rsid w:val="000B7346"/>
    <w:rsid w:val="000C07F7"/>
    <w:rsid w:val="000D1EBF"/>
    <w:rsid w:val="000D55A8"/>
    <w:rsid w:val="000E1584"/>
    <w:rsid w:val="000E1E96"/>
    <w:rsid w:val="000E4841"/>
    <w:rsid w:val="000F1677"/>
    <w:rsid w:val="000F328E"/>
    <w:rsid w:val="000F3688"/>
    <w:rsid w:val="000F3D6C"/>
    <w:rsid w:val="00101707"/>
    <w:rsid w:val="00102CC9"/>
    <w:rsid w:val="001037C1"/>
    <w:rsid w:val="0010593A"/>
    <w:rsid w:val="0011473D"/>
    <w:rsid w:val="00115C85"/>
    <w:rsid w:val="00123855"/>
    <w:rsid w:val="00126A4D"/>
    <w:rsid w:val="0014171F"/>
    <w:rsid w:val="0014622C"/>
    <w:rsid w:val="00152348"/>
    <w:rsid w:val="0015289B"/>
    <w:rsid w:val="00153606"/>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6057"/>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2D83"/>
    <w:rsid w:val="001E49E0"/>
    <w:rsid w:val="001E7B5A"/>
    <w:rsid w:val="001F2E6D"/>
    <w:rsid w:val="001F7412"/>
    <w:rsid w:val="0020090A"/>
    <w:rsid w:val="0020287D"/>
    <w:rsid w:val="00202DFE"/>
    <w:rsid w:val="00205817"/>
    <w:rsid w:val="0020725B"/>
    <w:rsid w:val="002110F1"/>
    <w:rsid w:val="002271A6"/>
    <w:rsid w:val="00230F65"/>
    <w:rsid w:val="002356EA"/>
    <w:rsid w:val="0024116D"/>
    <w:rsid w:val="00241B44"/>
    <w:rsid w:val="00241FA3"/>
    <w:rsid w:val="00242A9D"/>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115"/>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E1A85"/>
    <w:rsid w:val="002F1956"/>
    <w:rsid w:val="002F2847"/>
    <w:rsid w:val="002F3440"/>
    <w:rsid w:val="002F75A3"/>
    <w:rsid w:val="00303C2F"/>
    <w:rsid w:val="00310D8E"/>
    <w:rsid w:val="00311AA6"/>
    <w:rsid w:val="003125FB"/>
    <w:rsid w:val="003144EF"/>
    <w:rsid w:val="003200DF"/>
    <w:rsid w:val="00325E97"/>
    <w:rsid w:val="00326292"/>
    <w:rsid w:val="00326415"/>
    <w:rsid w:val="00330937"/>
    <w:rsid w:val="00330F31"/>
    <w:rsid w:val="00334648"/>
    <w:rsid w:val="003352DF"/>
    <w:rsid w:val="0033768C"/>
    <w:rsid w:val="00337938"/>
    <w:rsid w:val="00340769"/>
    <w:rsid w:val="00340DE7"/>
    <w:rsid w:val="00341AA6"/>
    <w:rsid w:val="00361A0A"/>
    <w:rsid w:val="00364836"/>
    <w:rsid w:val="0036565C"/>
    <w:rsid w:val="0036625E"/>
    <w:rsid w:val="003676D6"/>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C793B"/>
    <w:rsid w:val="003D0A6D"/>
    <w:rsid w:val="003E0B16"/>
    <w:rsid w:val="003E67D1"/>
    <w:rsid w:val="003F25DF"/>
    <w:rsid w:val="003F43F8"/>
    <w:rsid w:val="003F4A5C"/>
    <w:rsid w:val="00404329"/>
    <w:rsid w:val="00404E66"/>
    <w:rsid w:val="00405DC1"/>
    <w:rsid w:val="0041146A"/>
    <w:rsid w:val="00415F1F"/>
    <w:rsid w:val="0041718C"/>
    <w:rsid w:val="0042108F"/>
    <w:rsid w:val="0042743D"/>
    <w:rsid w:val="00430FED"/>
    <w:rsid w:val="00434A8C"/>
    <w:rsid w:val="00437297"/>
    <w:rsid w:val="004411E3"/>
    <w:rsid w:val="00444284"/>
    <w:rsid w:val="00445581"/>
    <w:rsid w:val="00445CE6"/>
    <w:rsid w:val="004534C2"/>
    <w:rsid w:val="0045446F"/>
    <w:rsid w:val="0045683E"/>
    <w:rsid w:val="0047211B"/>
    <w:rsid w:val="00477585"/>
    <w:rsid w:val="00477C72"/>
    <w:rsid w:val="00483456"/>
    <w:rsid w:val="00491675"/>
    <w:rsid w:val="00493855"/>
    <w:rsid w:val="00495E79"/>
    <w:rsid w:val="004A2D83"/>
    <w:rsid w:val="004A57DD"/>
    <w:rsid w:val="004A7B51"/>
    <w:rsid w:val="004A7B8D"/>
    <w:rsid w:val="004A7D71"/>
    <w:rsid w:val="004A7EF3"/>
    <w:rsid w:val="004B0ABB"/>
    <w:rsid w:val="004B11FD"/>
    <w:rsid w:val="004B23A2"/>
    <w:rsid w:val="004B3129"/>
    <w:rsid w:val="004D1A5A"/>
    <w:rsid w:val="004D2CA7"/>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2510C"/>
    <w:rsid w:val="005331CA"/>
    <w:rsid w:val="00537970"/>
    <w:rsid w:val="00540E3A"/>
    <w:rsid w:val="00544127"/>
    <w:rsid w:val="005463A9"/>
    <w:rsid w:val="00553EB2"/>
    <w:rsid w:val="005563EB"/>
    <w:rsid w:val="0055757C"/>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D7F31"/>
    <w:rsid w:val="005E1B79"/>
    <w:rsid w:val="005E6076"/>
    <w:rsid w:val="005E7008"/>
    <w:rsid w:val="005F026D"/>
    <w:rsid w:val="005F0775"/>
    <w:rsid w:val="005F24F7"/>
    <w:rsid w:val="005F2AEA"/>
    <w:rsid w:val="005F2D0B"/>
    <w:rsid w:val="005F4B31"/>
    <w:rsid w:val="00610388"/>
    <w:rsid w:val="00610AC7"/>
    <w:rsid w:val="00610AD9"/>
    <w:rsid w:val="006112D7"/>
    <w:rsid w:val="0061147A"/>
    <w:rsid w:val="00612CA5"/>
    <w:rsid w:val="006153EC"/>
    <w:rsid w:val="00617A39"/>
    <w:rsid w:val="00621A17"/>
    <w:rsid w:val="0062226A"/>
    <w:rsid w:val="0062519C"/>
    <w:rsid w:val="00627CC9"/>
    <w:rsid w:val="00627E7B"/>
    <w:rsid w:val="00630158"/>
    <w:rsid w:val="00630542"/>
    <w:rsid w:val="00631541"/>
    <w:rsid w:val="00632E44"/>
    <w:rsid w:val="00634622"/>
    <w:rsid w:val="00636808"/>
    <w:rsid w:val="00641515"/>
    <w:rsid w:val="00654C2F"/>
    <w:rsid w:val="006562B1"/>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1EF8"/>
    <w:rsid w:val="006B435A"/>
    <w:rsid w:val="006B4C64"/>
    <w:rsid w:val="006B7012"/>
    <w:rsid w:val="006C36EC"/>
    <w:rsid w:val="006C4FCE"/>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254F1"/>
    <w:rsid w:val="0073158B"/>
    <w:rsid w:val="007333CC"/>
    <w:rsid w:val="0073399A"/>
    <w:rsid w:val="00733EF9"/>
    <w:rsid w:val="00740DAD"/>
    <w:rsid w:val="0075370F"/>
    <w:rsid w:val="00755234"/>
    <w:rsid w:val="007603F5"/>
    <w:rsid w:val="00764DB0"/>
    <w:rsid w:val="00764EA5"/>
    <w:rsid w:val="00766F06"/>
    <w:rsid w:val="0076764D"/>
    <w:rsid w:val="00773485"/>
    <w:rsid w:val="0077498C"/>
    <w:rsid w:val="007809BC"/>
    <w:rsid w:val="00781916"/>
    <w:rsid w:val="00783776"/>
    <w:rsid w:val="00784128"/>
    <w:rsid w:val="00785779"/>
    <w:rsid w:val="00787BCC"/>
    <w:rsid w:val="00793173"/>
    <w:rsid w:val="00794F50"/>
    <w:rsid w:val="00796C65"/>
    <w:rsid w:val="007A2A33"/>
    <w:rsid w:val="007B483F"/>
    <w:rsid w:val="007B5462"/>
    <w:rsid w:val="007B5C89"/>
    <w:rsid w:val="007C1FCC"/>
    <w:rsid w:val="007C6201"/>
    <w:rsid w:val="007D2A74"/>
    <w:rsid w:val="007D4213"/>
    <w:rsid w:val="007D7C92"/>
    <w:rsid w:val="007E1154"/>
    <w:rsid w:val="007E6BA4"/>
    <w:rsid w:val="007F41F8"/>
    <w:rsid w:val="007F659B"/>
    <w:rsid w:val="00800F38"/>
    <w:rsid w:val="00802DB8"/>
    <w:rsid w:val="0080454E"/>
    <w:rsid w:val="00804C32"/>
    <w:rsid w:val="00806302"/>
    <w:rsid w:val="008065CE"/>
    <w:rsid w:val="0080691F"/>
    <w:rsid w:val="00806ABF"/>
    <w:rsid w:val="00807119"/>
    <w:rsid w:val="008122FA"/>
    <w:rsid w:val="0082483F"/>
    <w:rsid w:val="00825279"/>
    <w:rsid w:val="008279C0"/>
    <w:rsid w:val="00843E87"/>
    <w:rsid w:val="00847A92"/>
    <w:rsid w:val="00860EE0"/>
    <w:rsid w:val="00864EFE"/>
    <w:rsid w:val="00867701"/>
    <w:rsid w:val="008723F3"/>
    <w:rsid w:val="00872E15"/>
    <w:rsid w:val="00876F56"/>
    <w:rsid w:val="00881DE6"/>
    <w:rsid w:val="008837A6"/>
    <w:rsid w:val="0089145D"/>
    <w:rsid w:val="008A4DF2"/>
    <w:rsid w:val="008A6CFE"/>
    <w:rsid w:val="008B2D0B"/>
    <w:rsid w:val="008B5333"/>
    <w:rsid w:val="008B6223"/>
    <w:rsid w:val="008B6B10"/>
    <w:rsid w:val="008C0297"/>
    <w:rsid w:val="008C66E0"/>
    <w:rsid w:val="008D4C1A"/>
    <w:rsid w:val="008E3339"/>
    <w:rsid w:val="008E3696"/>
    <w:rsid w:val="008E4149"/>
    <w:rsid w:val="008E73F9"/>
    <w:rsid w:val="008F20FC"/>
    <w:rsid w:val="008F5FFE"/>
    <w:rsid w:val="008F7401"/>
    <w:rsid w:val="00903504"/>
    <w:rsid w:val="00905A43"/>
    <w:rsid w:val="00912C79"/>
    <w:rsid w:val="00921B8C"/>
    <w:rsid w:val="00936614"/>
    <w:rsid w:val="00940BF6"/>
    <w:rsid w:val="00942123"/>
    <w:rsid w:val="0095207B"/>
    <w:rsid w:val="00952709"/>
    <w:rsid w:val="00962045"/>
    <w:rsid w:val="00966035"/>
    <w:rsid w:val="00980E61"/>
    <w:rsid w:val="009859BA"/>
    <w:rsid w:val="00991428"/>
    <w:rsid w:val="00992676"/>
    <w:rsid w:val="0099542A"/>
    <w:rsid w:val="009954B2"/>
    <w:rsid w:val="00996691"/>
    <w:rsid w:val="009A12FA"/>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4E7"/>
    <w:rsid w:val="00A205BF"/>
    <w:rsid w:val="00A20FE8"/>
    <w:rsid w:val="00A2200C"/>
    <w:rsid w:val="00A2274A"/>
    <w:rsid w:val="00A228BC"/>
    <w:rsid w:val="00A235B7"/>
    <w:rsid w:val="00A27A7A"/>
    <w:rsid w:val="00A339C4"/>
    <w:rsid w:val="00A34ABE"/>
    <w:rsid w:val="00A37A25"/>
    <w:rsid w:val="00A37CD7"/>
    <w:rsid w:val="00A407EF"/>
    <w:rsid w:val="00A46B4C"/>
    <w:rsid w:val="00A5117B"/>
    <w:rsid w:val="00A5162B"/>
    <w:rsid w:val="00A52262"/>
    <w:rsid w:val="00A56D34"/>
    <w:rsid w:val="00A60074"/>
    <w:rsid w:val="00A6627C"/>
    <w:rsid w:val="00A71019"/>
    <w:rsid w:val="00A8014D"/>
    <w:rsid w:val="00A81029"/>
    <w:rsid w:val="00A845F5"/>
    <w:rsid w:val="00A96489"/>
    <w:rsid w:val="00AA7772"/>
    <w:rsid w:val="00AB2425"/>
    <w:rsid w:val="00AB685C"/>
    <w:rsid w:val="00AB6C2D"/>
    <w:rsid w:val="00AC08F7"/>
    <w:rsid w:val="00AC3839"/>
    <w:rsid w:val="00AC7082"/>
    <w:rsid w:val="00AD4BE8"/>
    <w:rsid w:val="00AD6B0B"/>
    <w:rsid w:val="00AE1138"/>
    <w:rsid w:val="00AF228E"/>
    <w:rsid w:val="00AF2D54"/>
    <w:rsid w:val="00AF69E4"/>
    <w:rsid w:val="00B016A8"/>
    <w:rsid w:val="00B07E2C"/>
    <w:rsid w:val="00B14819"/>
    <w:rsid w:val="00B15E2F"/>
    <w:rsid w:val="00B17AA9"/>
    <w:rsid w:val="00B22593"/>
    <w:rsid w:val="00B24DB4"/>
    <w:rsid w:val="00B401DD"/>
    <w:rsid w:val="00B40A71"/>
    <w:rsid w:val="00B41069"/>
    <w:rsid w:val="00B44713"/>
    <w:rsid w:val="00B465C6"/>
    <w:rsid w:val="00B50615"/>
    <w:rsid w:val="00B51B95"/>
    <w:rsid w:val="00B54DB9"/>
    <w:rsid w:val="00B56103"/>
    <w:rsid w:val="00B64929"/>
    <w:rsid w:val="00B649E2"/>
    <w:rsid w:val="00B67DF2"/>
    <w:rsid w:val="00B7308B"/>
    <w:rsid w:val="00B736DF"/>
    <w:rsid w:val="00B743D6"/>
    <w:rsid w:val="00B74FBD"/>
    <w:rsid w:val="00B769EA"/>
    <w:rsid w:val="00B77F46"/>
    <w:rsid w:val="00B806A8"/>
    <w:rsid w:val="00B82586"/>
    <w:rsid w:val="00B829A3"/>
    <w:rsid w:val="00B86DB1"/>
    <w:rsid w:val="00B87869"/>
    <w:rsid w:val="00B9639B"/>
    <w:rsid w:val="00BA0C22"/>
    <w:rsid w:val="00BA1DB6"/>
    <w:rsid w:val="00BA3FDB"/>
    <w:rsid w:val="00BA4849"/>
    <w:rsid w:val="00BA7E07"/>
    <w:rsid w:val="00BB0D11"/>
    <w:rsid w:val="00BB0F2B"/>
    <w:rsid w:val="00BB4556"/>
    <w:rsid w:val="00BB4578"/>
    <w:rsid w:val="00BB6E96"/>
    <w:rsid w:val="00BD35FB"/>
    <w:rsid w:val="00BE325E"/>
    <w:rsid w:val="00BE4FF3"/>
    <w:rsid w:val="00BF50F7"/>
    <w:rsid w:val="00BF5403"/>
    <w:rsid w:val="00C02F29"/>
    <w:rsid w:val="00C135B7"/>
    <w:rsid w:val="00C13D22"/>
    <w:rsid w:val="00C17718"/>
    <w:rsid w:val="00C20AFE"/>
    <w:rsid w:val="00C22A25"/>
    <w:rsid w:val="00C23529"/>
    <w:rsid w:val="00C26BB2"/>
    <w:rsid w:val="00C35671"/>
    <w:rsid w:val="00C35B77"/>
    <w:rsid w:val="00C376EB"/>
    <w:rsid w:val="00C405A1"/>
    <w:rsid w:val="00C46A92"/>
    <w:rsid w:val="00C46EC1"/>
    <w:rsid w:val="00C523C3"/>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854"/>
    <w:rsid w:val="00CA6CEB"/>
    <w:rsid w:val="00CA76DF"/>
    <w:rsid w:val="00CB1983"/>
    <w:rsid w:val="00CB2CBB"/>
    <w:rsid w:val="00CB7CAC"/>
    <w:rsid w:val="00CC42AD"/>
    <w:rsid w:val="00CC5335"/>
    <w:rsid w:val="00CC5BA4"/>
    <w:rsid w:val="00CD1BC0"/>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30ACA"/>
    <w:rsid w:val="00D33201"/>
    <w:rsid w:val="00D52412"/>
    <w:rsid w:val="00D5259E"/>
    <w:rsid w:val="00D53719"/>
    <w:rsid w:val="00D61985"/>
    <w:rsid w:val="00D63EFD"/>
    <w:rsid w:val="00D657A7"/>
    <w:rsid w:val="00D7001E"/>
    <w:rsid w:val="00D82B3E"/>
    <w:rsid w:val="00D84752"/>
    <w:rsid w:val="00D86B3B"/>
    <w:rsid w:val="00D8748A"/>
    <w:rsid w:val="00D93196"/>
    <w:rsid w:val="00DA07FD"/>
    <w:rsid w:val="00DA0DC0"/>
    <w:rsid w:val="00DA2B5D"/>
    <w:rsid w:val="00DA41CD"/>
    <w:rsid w:val="00DA4487"/>
    <w:rsid w:val="00DA786B"/>
    <w:rsid w:val="00DB243C"/>
    <w:rsid w:val="00DB482A"/>
    <w:rsid w:val="00DB50FB"/>
    <w:rsid w:val="00DB56F2"/>
    <w:rsid w:val="00DB6EF5"/>
    <w:rsid w:val="00DC3089"/>
    <w:rsid w:val="00DC4420"/>
    <w:rsid w:val="00DD0802"/>
    <w:rsid w:val="00DD0CBB"/>
    <w:rsid w:val="00DD0DEC"/>
    <w:rsid w:val="00DD1258"/>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2260"/>
    <w:rsid w:val="00E25736"/>
    <w:rsid w:val="00E26E19"/>
    <w:rsid w:val="00E31DF3"/>
    <w:rsid w:val="00E450A4"/>
    <w:rsid w:val="00E45902"/>
    <w:rsid w:val="00E462AE"/>
    <w:rsid w:val="00E506BE"/>
    <w:rsid w:val="00E510D3"/>
    <w:rsid w:val="00E55547"/>
    <w:rsid w:val="00E6302B"/>
    <w:rsid w:val="00E64140"/>
    <w:rsid w:val="00E6452F"/>
    <w:rsid w:val="00E64F45"/>
    <w:rsid w:val="00E6742D"/>
    <w:rsid w:val="00E71CB0"/>
    <w:rsid w:val="00E77C3D"/>
    <w:rsid w:val="00E87B1B"/>
    <w:rsid w:val="00E90991"/>
    <w:rsid w:val="00E909F0"/>
    <w:rsid w:val="00E90D47"/>
    <w:rsid w:val="00E915EC"/>
    <w:rsid w:val="00E936AD"/>
    <w:rsid w:val="00E93993"/>
    <w:rsid w:val="00E95573"/>
    <w:rsid w:val="00E9597C"/>
    <w:rsid w:val="00EA0913"/>
    <w:rsid w:val="00EA2EF4"/>
    <w:rsid w:val="00EA47CA"/>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3607"/>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738A6"/>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E97E-7ED1-4D7B-91E8-701AD703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3001</Words>
  <Characters>16511</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Martínez A.</cp:lastModifiedBy>
  <cp:revision>21</cp:revision>
  <cp:lastPrinted>2019-08-27T05:42:00Z</cp:lastPrinted>
  <dcterms:created xsi:type="dcterms:W3CDTF">2024-06-22T22:49:00Z</dcterms:created>
  <dcterms:modified xsi:type="dcterms:W3CDTF">2024-06-23T03:36:00Z</dcterms:modified>
</cp:coreProperties>
</file>