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77777777" w:rsidR="004B23A2" w:rsidRDefault="00656DA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 xml:space="preserve">mark your selection on the answer </w:t>
      </w:r>
      <w:r w:rsidRPr="008E3C96">
        <w:rPr>
          <w:rFonts w:ascii="Avenir Next" w:hAnsi="Avenir Next" w:cs="Arial"/>
          <w:sz w:val="22"/>
          <w:szCs w:val="22"/>
          <w:highlight w:val="yellow"/>
          <w:lang w:val="en-GB"/>
        </w:rPr>
        <w:lastRenderedPageBreak/>
        <w:t>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0A7541" w:rsidRDefault="00F746D8" w:rsidP="00F746D8">
      <w:pPr>
        <w:pStyle w:val="ListParagraph"/>
        <w:numPr>
          <w:ilvl w:val="0"/>
          <w:numId w:val="26"/>
        </w:numPr>
        <w:ind w:left="426"/>
        <w:jc w:val="both"/>
        <w:rPr>
          <w:rFonts w:ascii="Avenir Next" w:hAnsi="Avenir Next" w:cs="Arial"/>
          <w:sz w:val="22"/>
          <w:szCs w:val="22"/>
          <w:highlight w:val="yellow"/>
          <w:lang w:val="en-GB"/>
        </w:rPr>
      </w:pPr>
      <w:r w:rsidRPr="000A7541">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2A4C1F"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2A4C1F">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t>
      </w:r>
      <w:proofErr w:type="gramStart"/>
      <w:r w:rsidRPr="00AF277F">
        <w:rPr>
          <w:rFonts w:ascii="Avenir Next" w:hAnsi="Avenir Next"/>
          <w:sz w:val="22"/>
          <w:lang w:val="en-GB"/>
        </w:rPr>
        <w:t>was generally regarded</w:t>
      </w:r>
      <w:proofErr w:type="gramEnd"/>
      <w:r w:rsidRPr="00AF277F">
        <w:rPr>
          <w:rFonts w:ascii="Avenir Next" w:hAnsi="Avenir Next"/>
          <w:sz w:val="22"/>
          <w:lang w:val="en-GB"/>
        </w:rPr>
        <w:t xml:space="preserve">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lastRenderedPageBreak/>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2A4C1F" w:rsidRDefault="00F746D8" w:rsidP="00F746D8">
      <w:pPr>
        <w:pStyle w:val="ListParagraph"/>
        <w:numPr>
          <w:ilvl w:val="0"/>
          <w:numId w:val="27"/>
        </w:numPr>
        <w:ind w:left="426"/>
        <w:jc w:val="both"/>
        <w:rPr>
          <w:rFonts w:ascii="Avenir Next" w:hAnsi="Avenir Next"/>
          <w:sz w:val="22"/>
          <w:highlight w:val="yellow"/>
          <w:lang w:val="en-GB"/>
        </w:rPr>
      </w:pPr>
      <w:r w:rsidRPr="002A4C1F">
        <w:rPr>
          <w:rFonts w:ascii="Avenir Next" w:hAnsi="Avenir Next"/>
          <w:sz w:val="22"/>
          <w:highlight w:val="yellow"/>
          <w:lang w:val="en-GB"/>
        </w:rPr>
        <w:t xml:space="preserve">The EIR 2000 </w:t>
      </w:r>
      <w:r w:rsidRPr="002A4C1F">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2A4C1F">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2A4C1F" w:rsidRDefault="00F746D8" w:rsidP="00F746D8">
      <w:pPr>
        <w:pStyle w:val="ListParagraph"/>
        <w:numPr>
          <w:ilvl w:val="0"/>
          <w:numId w:val="5"/>
        </w:numPr>
        <w:ind w:left="426"/>
        <w:jc w:val="both"/>
        <w:rPr>
          <w:rFonts w:ascii="Avenir Next" w:hAnsi="Avenir Next" w:cs="Arial"/>
          <w:sz w:val="22"/>
          <w:szCs w:val="22"/>
          <w:highlight w:val="yellow"/>
          <w:lang w:val="en-GB"/>
        </w:rPr>
      </w:pPr>
      <w:r w:rsidRPr="002A4C1F">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5077AA" w:rsidRDefault="00F746D8" w:rsidP="00F746D8">
      <w:pPr>
        <w:pStyle w:val="ListParagraph"/>
        <w:numPr>
          <w:ilvl w:val="0"/>
          <w:numId w:val="28"/>
        </w:numPr>
        <w:ind w:left="426"/>
        <w:jc w:val="both"/>
        <w:rPr>
          <w:rFonts w:ascii="Avenir Next" w:hAnsi="Avenir Next" w:cs="Arial"/>
          <w:sz w:val="22"/>
          <w:szCs w:val="22"/>
          <w:highlight w:val="yellow"/>
          <w:lang w:val="en-GB"/>
        </w:rPr>
      </w:pPr>
      <w:r w:rsidRPr="005077AA">
        <w:rPr>
          <w:rFonts w:ascii="Avenir Next" w:hAnsi="Avenir Next" w:cs="Arial"/>
          <w:sz w:val="22"/>
          <w:szCs w:val="22"/>
          <w:highlight w:val="yellow"/>
          <w:lang w:val="en-GB"/>
        </w:rPr>
        <w:t>Article 3 states that the courts of the Member State within the territory of which the debtor has its centre of main</w:t>
      </w:r>
      <w:r w:rsidR="003E1D56" w:rsidRPr="005077AA">
        <w:rPr>
          <w:rFonts w:ascii="Avenir Next" w:hAnsi="Avenir Next" w:cs="Arial"/>
          <w:sz w:val="22"/>
          <w:szCs w:val="22"/>
          <w:highlight w:val="yellow"/>
          <w:lang w:val="en-GB"/>
        </w:rPr>
        <w:t xml:space="preserve"> interest</w:t>
      </w:r>
      <w:r w:rsidRPr="005077AA">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756CB1" w:rsidRDefault="00F746D8" w:rsidP="00F746D8">
      <w:pPr>
        <w:pStyle w:val="ListParagraph"/>
        <w:numPr>
          <w:ilvl w:val="0"/>
          <w:numId w:val="7"/>
        </w:numPr>
        <w:ind w:left="426"/>
        <w:jc w:val="both"/>
        <w:rPr>
          <w:rFonts w:ascii="Avenir Next" w:hAnsi="Avenir Next" w:cs="Arial"/>
          <w:sz w:val="22"/>
          <w:szCs w:val="22"/>
          <w:highlight w:val="yellow"/>
          <w:lang w:val="en-GB"/>
        </w:rPr>
      </w:pPr>
      <w:r w:rsidRPr="00756CB1">
        <w:rPr>
          <w:rFonts w:ascii="Avenir Next" w:hAnsi="Avenir Next" w:cs="Arial"/>
          <w:sz w:val="22"/>
          <w:szCs w:val="22"/>
          <w:highlight w:val="yellow"/>
          <w:lang w:val="en-GB"/>
        </w:rPr>
        <w:lastRenderedPageBreak/>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E76AE1" w:rsidRDefault="00F746D8" w:rsidP="00F746D8">
      <w:pPr>
        <w:pStyle w:val="ListParagraph"/>
        <w:numPr>
          <w:ilvl w:val="0"/>
          <w:numId w:val="31"/>
        </w:numPr>
        <w:ind w:left="426"/>
        <w:jc w:val="both"/>
        <w:rPr>
          <w:rFonts w:ascii="Avenir Next" w:hAnsi="Avenir Next" w:cs="Arial"/>
          <w:sz w:val="22"/>
          <w:szCs w:val="22"/>
          <w:highlight w:val="yellow"/>
          <w:lang w:val="en-GB"/>
        </w:rPr>
      </w:pPr>
      <w:r w:rsidRPr="00E76AE1">
        <w:rPr>
          <w:rFonts w:ascii="Avenir Next" w:hAnsi="Avenir Next" w:cs="Arial"/>
          <w:sz w:val="22"/>
          <w:szCs w:val="22"/>
          <w:highlight w:val="yellow"/>
          <w:lang w:val="en-GB"/>
        </w:rPr>
        <w:t>Article 31 EIR Recast (entitled “</w:t>
      </w:r>
      <w:r w:rsidRPr="00E76AE1">
        <w:rPr>
          <w:rFonts w:ascii="Avenir Next" w:hAnsi="Avenir Next" w:cs="Arial"/>
          <w:bCs/>
          <w:sz w:val="22"/>
          <w:szCs w:val="22"/>
          <w:highlight w:val="yellow"/>
          <w:lang w:val="en-GB"/>
        </w:rPr>
        <w:t>Honouring of an obligation to a debtor”</w:t>
      </w:r>
      <w:r w:rsidRPr="00E76AE1">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756CB1" w:rsidRDefault="00F746D8" w:rsidP="00F746D8">
      <w:pPr>
        <w:pStyle w:val="ListParagraph"/>
        <w:numPr>
          <w:ilvl w:val="0"/>
          <w:numId w:val="8"/>
        </w:numPr>
        <w:ind w:left="426"/>
        <w:jc w:val="both"/>
        <w:rPr>
          <w:rFonts w:ascii="Avenir Next" w:hAnsi="Avenir Next" w:cs="Arial"/>
          <w:sz w:val="22"/>
          <w:szCs w:val="22"/>
          <w:highlight w:val="yellow"/>
          <w:lang w:val="en-GB"/>
        </w:rPr>
      </w:pPr>
      <w:r w:rsidRPr="00756CB1">
        <w:rPr>
          <w:rFonts w:ascii="Avenir Next" w:hAnsi="Avenir Next"/>
          <w:sz w:val="22"/>
          <w:highlight w:val="yellow"/>
          <w:lang w:val="en-GB"/>
        </w:rPr>
        <w:t xml:space="preserve">The </w:t>
      </w:r>
      <w:r w:rsidRPr="00756CB1">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F746D8">
      <w:pPr>
        <w:pStyle w:val="ListParagraph"/>
        <w:numPr>
          <w:ilvl w:val="0"/>
          <w:numId w:val="32"/>
        </w:numPr>
        <w:ind w:left="426"/>
        <w:jc w:val="both"/>
        <w:rPr>
          <w:rFonts w:ascii="Avenir Next" w:hAnsi="Avenir Next" w:cs="Arial"/>
          <w:sz w:val="22"/>
          <w:szCs w:val="22"/>
          <w:lang w:val="en-GB"/>
        </w:rPr>
      </w:pPr>
      <w:r w:rsidRPr="00AD35E0">
        <w:rPr>
          <w:rFonts w:ascii="Avenir Next" w:hAnsi="Avenir Next" w:cs="Arial"/>
          <w:sz w:val="22"/>
          <w:szCs w:val="22"/>
          <w:lang w:val="en-GB"/>
        </w:rPr>
        <w:t>“</w:t>
      </w:r>
      <w:r w:rsidRPr="00FB373E">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AD35E0">
        <w:rPr>
          <w:rFonts w:ascii="Avenir Next" w:hAnsi="Avenir Next" w:cs="Arial"/>
          <w:sz w:val="22"/>
          <w:szCs w:val="22"/>
          <w:lang w:val="en-GB"/>
        </w:rPr>
        <w:t xml:space="preserve">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proofErr w:type="gramStart"/>
      <w:r>
        <w:rPr>
          <w:rFonts w:ascii="Avenir Next" w:hAnsi="Avenir Next" w:cs="Arial"/>
          <w:sz w:val="22"/>
          <w:szCs w:val="22"/>
          <w:lang w:val="en-GB"/>
        </w:rPr>
        <w:t>95%</w:t>
      </w:r>
      <w:proofErr w:type="gramEnd"/>
      <w:r>
        <w:rPr>
          <w:rFonts w:ascii="Avenir Next" w:hAnsi="Avenir Next" w:cs="Arial"/>
          <w:sz w:val="22"/>
          <w:szCs w:val="22"/>
          <w:lang w:val="en-GB"/>
        </w:rPr>
        <w:t xml:space="preserve">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FB373E" w:rsidRDefault="00F746D8" w:rsidP="00F746D8">
      <w:pPr>
        <w:pStyle w:val="ListParagraph"/>
        <w:numPr>
          <w:ilvl w:val="0"/>
          <w:numId w:val="9"/>
        </w:numPr>
        <w:ind w:left="426"/>
        <w:jc w:val="both"/>
        <w:rPr>
          <w:rFonts w:ascii="Avenir Next" w:hAnsi="Avenir Next" w:cs="Arial"/>
          <w:sz w:val="22"/>
          <w:szCs w:val="22"/>
          <w:highlight w:val="yellow"/>
          <w:lang w:val="en-GB"/>
        </w:rPr>
      </w:pPr>
      <w:r w:rsidRPr="00FB373E">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w:t>
      </w:r>
      <w:proofErr w:type="gramStart"/>
      <w:r w:rsidRPr="008E3C96">
        <w:rPr>
          <w:rFonts w:ascii="Avenir Next" w:hAnsi="Avenir Next" w:cs="Arial"/>
          <w:sz w:val="22"/>
          <w:szCs w:val="22"/>
          <w:lang w:val="en-GB"/>
        </w:rPr>
        <w:t>be found</w:t>
      </w:r>
      <w:proofErr w:type="gramEnd"/>
      <w:r w:rsidRPr="008E3C96">
        <w:rPr>
          <w:rFonts w:ascii="Avenir Next" w:hAnsi="Avenir Next" w:cs="Arial"/>
          <w:sz w:val="22"/>
          <w:szCs w:val="22"/>
          <w:lang w:val="en-GB"/>
        </w:rPr>
        <w:t xml:space="preserve">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08C7BB87" w:rsidR="006C3FB7"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FC36AD">
        <w:rPr>
          <w:rFonts w:ascii="Avenir Next" w:hAnsi="Avenir Next" w:cs="Arial"/>
          <w:color w:val="7B7B7B" w:themeColor="accent3" w:themeShade="BF"/>
          <w:sz w:val="22"/>
          <w:szCs w:val="22"/>
        </w:rPr>
        <w:t>[</w:t>
      </w:r>
      <w:r w:rsidR="004539AD">
        <w:rPr>
          <w:rFonts w:ascii="Avenir Next" w:hAnsi="Avenir Next" w:cs="Arial"/>
          <w:color w:val="7B7B7B" w:themeColor="accent3" w:themeShade="BF"/>
          <w:sz w:val="22"/>
          <w:szCs w:val="22"/>
        </w:rPr>
        <w:t>The first statem</w:t>
      </w:r>
      <w:r w:rsidR="00F25BC1">
        <w:rPr>
          <w:rFonts w:ascii="Avenir Next" w:hAnsi="Avenir Next" w:cs="Arial"/>
          <w:color w:val="7B7B7B" w:themeColor="accent3" w:themeShade="BF"/>
          <w:sz w:val="22"/>
          <w:szCs w:val="22"/>
        </w:rPr>
        <w:t xml:space="preserve">ent </w:t>
      </w:r>
      <w:proofErr w:type="gramStart"/>
      <w:r w:rsidR="00F25BC1">
        <w:rPr>
          <w:rFonts w:ascii="Avenir Next" w:hAnsi="Avenir Next" w:cs="Arial"/>
          <w:color w:val="7B7B7B" w:themeColor="accent3" w:themeShade="BF"/>
          <w:sz w:val="22"/>
          <w:szCs w:val="22"/>
        </w:rPr>
        <w:t>is derived</w:t>
      </w:r>
      <w:proofErr w:type="gramEnd"/>
      <w:r w:rsidR="00F25BC1">
        <w:rPr>
          <w:rFonts w:ascii="Avenir Next" w:hAnsi="Avenir Next" w:cs="Arial"/>
          <w:color w:val="7B7B7B" w:themeColor="accent3" w:themeShade="BF"/>
          <w:sz w:val="22"/>
          <w:szCs w:val="22"/>
        </w:rPr>
        <w:t xml:space="preserve"> from Recital 10 of the EIR Recast and the relevant article is Article 1</w:t>
      </w:r>
      <w:r w:rsidR="004539AD">
        <w:rPr>
          <w:rFonts w:ascii="Avenir Next" w:hAnsi="Avenir Next" w:cs="Arial"/>
          <w:color w:val="7B7B7B" w:themeColor="accent3" w:themeShade="BF"/>
          <w:sz w:val="22"/>
          <w:szCs w:val="22"/>
        </w:rPr>
        <w:t xml:space="preserve"> and is titled scope, the article looks at the scope of application of the law while the second statement is derived from </w:t>
      </w:r>
      <w:r w:rsidR="006E4E28">
        <w:rPr>
          <w:rFonts w:ascii="Avenir Next" w:hAnsi="Avenir Next" w:cs="Arial"/>
          <w:color w:val="7B7B7B" w:themeColor="accent3" w:themeShade="BF"/>
          <w:sz w:val="22"/>
          <w:szCs w:val="22"/>
        </w:rPr>
        <w:t>Recital 66 and article 7 of the EIR recast</w:t>
      </w:r>
      <w:r w:rsidR="004539AD">
        <w:rPr>
          <w:rFonts w:ascii="Avenir Next" w:hAnsi="Avenir Next" w:cs="Arial"/>
          <w:color w:val="7B7B7B" w:themeColor="accent3" w:themeShade="BF"/>
          <w:sz w:val="22"/>
          <w:szCs w:val="22"/>
        </w:rPr>
        <w:t>.</w:t>
      </w:r>
      <w:r w:rsidR="00FC36AD">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5257CAC2"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FD6549">
        <w:rPr>
          <w:rFonts w:ascii="Avenir Next" w:hAnsi="Avenir Next" w:cs="Arial"/>
          <w:color w:val="7B7B7B" w:themeColor="accent3" w:themeShade="BF"/>
          <w:sz w:val="22"/>
          <w:szCs w:val="22"/>
        </w:rPr>
        <w:t xml:space="preserve">Recital 23 and Article 19(2) states that recognition of the main proceedings does not preclude the opening of insolvency proceedings which run parallel to each other but these secondary proceedings affect the assets in the country where the secondary proceedings are being help there by failing the notion of universality of the assets being pulled together for all creditors. Article 33 also empowers any member state to refuse recognition of proceedings that are contrary to that state’s public policy which in essence gives the domestic laws priority over the EIR recast </w:t>
      </w:r>
      <w:r w:rsidR="004B614D">
        <w:rPr>
          <w:rFonts w:ascii="Avenir Next" w:hAnsi="Avenir Next" w:cs="Arial"/>
          <w:color w:val="7B7B7B" w:themeColor="accent3" w:themeShade="BF"/>
          <w:sz w:val="22"/>
          <w:szCs w:val="22"/>
        </w:rPr>
        <w:t>thereby</w:t>
      </w:r>
      <w:r w:rsidR="00FD6549">
        <w:rPr>
          <w:rFonts w:ascii="Avenir Next" w:hAnsi="Avenir Next" w:cs="Arial"/>
          <w:color w:val="7B7B7B" w:themeColor="accent3" w:themeShade="BF"/>
          <w:sz w:val="22"/>
          <w:szCs w:val="22"/>
        </w:rPr>
        <w:t xml:space="preserve"> defeating the notion of universality.  </w:t>
      </w:r>
      <w:r w:rsidR="004B614D">
        <w:rPr>
          <w:rFonts w:ascii="Avenir Next" w:hAnsi="Avenir Next" w:cs="Arial"/>
          <w:color w:val="7B7B7B" w:themeColor="accent3" w:themeShade="BF"/>
          <w:sz w:val="22"/>
          <w:szCs w:val="22"/>
        </w:rPr>
        <w:t xml:space="preserve">Articles 34 and 35 also state that the law applicable for the secondary proceedings is the law of the member state where the insolvency proceedings </w:t>
      </w:r>
      <w:proofErr w:type="gramStart"/>
      <w:r w:rsidR="004B614D">
        <w:rPr>
          <w:rFonts w:ascii="Avenir Next" w:hAnsi="Avenir Next" w:cs="Arial"/>
          <w:color w:val="7B7B7B" w:themeColor="accent3" w:themeShade="BF"/>
          <w:sz w:val="22"/>
          <w:szCs w:val="22"/>
        </w:rPr>
        <w:t>are being held</w:t>
      </w:r>
      <w:proofErr w:type="gramEnd"/>
      <w:r w:rsidR="004B614D">
        <w:rPr>
          <w:rFonts w:ascii="Avenir Next" w:hAnsi="Avenir Next" w:cs="Arial"/>
          <w:color w:val="7B7B7B" w:themeColor="accent3" w:themeShade="BF"/>
          <w:sz w:val="22"/>
          <w:szCs w:val="22"/>
        </w:rPr>
        <w:t xml:space="preserve"> and that they are limited to the assets in the member state only.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AFF683" w14:textId="646A3B48" w:rsidR="00612417"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612417">
        <w:rPr>
          <w:rFonts w:ascii="Avenir Next" w:hAnsi="Avenir Next" w:cs="Arial"/>
          <w:color w:val="7B7B7B" w:themeColor="accent3" w:themeShade="BF"/>
          <w:sz w:val="22"/>
          <w:szCs w:val="22"/>
        </w:rPr>
        <w:t xml:space="preserve">Article 1 of the EIR Recast together with Article 2 determines the national insolvency proceedings that fall under the ambit of the EIR Recast. They determine which insolvency proceedings fall under the scope of the regulation. </w:t>
      </w:r>
      <w:proofErr w:type="gramStart"/>
      <w:r w:rsidR="00612417">
        <w:rPr>
          <w:rFonts w:ascii="Avenir Next" w:hAnsi="Avenir Next" w:cs="Arial"/>
          <w:color w:val="7B7B7B" w:themeColor="accent3" w:themeShade="BF"/>
          <w:sz w:val="22"/>
          <w:szCs w:val="22"/>
        </w:rPr>
        <w:t>Hence</w:t>
      </w:r>
      <w:proofErr w:type="gramEnd"/>
      <w:r w:rsidR="00612417">
        <w:rPr>
          <w:rFonts w:ascii="Avenir Next" w:hAnsi="Avenir Next" w:cs="Arial"/>
          <w:color w:val="7B7B7B" w:themeColor="accent3" w:themeShade="BF"/>
          <w:sz w:val="22"/>
          <w:szCs w:val="22"/>
        </w:rPr>
        <w:t xml:space="preserve"> any proceeding not listed herein will not enjoy the application of the EIR Recast.  </w:t>
      </w:r>
    </w:p>
    <w:p w14:paraId="713D5B34" w14:textId="77777777" w:rsidR="00612417" w:rsidRDefault="00612417" w:rsidP="000A3278">
      <w:pPr>
        <w:jc w:val="both"/>
        <w:rPr>
          <w:rFonts w:ascii="Avenir Next" w:hAnsi="Avenir Next" w:cs="Arial"/>
          <w:color w:val="7B7B7B" w:themeColor="accent3" w:themeShade="BF"/>
          <w:sz w:val="22"/>
          <w:szCs w:val="22"/>
        </w:rPr>
      </w:pPr>
    </w:p>
    <w:p w14:paraId="202CD4F2" w14:textId="69751A02" w:rsidR="00612417" w:rsidRDefault="0061241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also applies to public collective proceedings which are also listed under Annex </w:t>
      </w:r>
      <w:proofErr w:type="gramStart"/>
      <w:r>
        <w:rPr>
          <w:rFonts w:ascii="Avenir Next" w:hAnsi="Avenir Next" w:cs="Arial"/>
          <w:color w:val="7B7B7B" w:themeColor="accent3" w:themeShade="BF"/>
          <w:sz w:val="22"/>
          <w:szCs w:val="22"/>
        </w:rPr>
        <w:t>A  of</w:t>
      </w:r>
      <w:proofErr w:type="gramEnd"/>
      <w:r>
        <w:rPr>
          <w:rFonts w:ascii="Avenir Next" w:hAnsi="Avenir Next" w:cs="Arial"/>
          <w:color w:val="7B7B7B" w:themeColor="accent3" w:themeShade="BF"/>
          <w:sz w:val="22"/>
          <w:szCs w:val="22"/>
        </w:rPr>
        <w:t xml:space="preserve"> the EIR recast. The implication of </w:t>
      </w:r>
      <w:proofErr w:type="gramStart"/>
      <w:r>
        <w:rPr>
          <w:rFonts w:ascii="Avenir Next" w:hAnsi="Avenir Next" w:cs="Arial"/>
          <w:color w:val="7B7B7B" w:themeColor="accent3" w:themeShade="BF"/>
          <w:sz w:val="22"/>
          <w:szCs w:val="22"/>
        </w:rPr>
        <w:t>being listed</w:t>
      </w:r>
      <w:proofErr w:type="gramEnd"/>
      <w:r>
        <w:rPr>
          <w:rFonts w:ascii="Avenir Next" w:hAnsi="Avenir Next" w:cs="Arial"/>
          <w:color w:val="7B7B7B" w:themeColor="accent3" w:themeShade="BF"/>
          <w:sz w:val="22"/>
          <w:szCs w:val="22"/>
        </w:rPr>
        <w:t xml:space="preserve"> under Annex A is that if the proceeding is not listed under there it does not enjoy the automatic application of the EIR Recast. </w:t>
      </w:r>
    </w:p>
    <w:p w14:paraId="48CA6DCB" w14:textId="77777777" w:rsidR="00612417" w:rsidRDefault="00612417" w:rsidP="000A3278">
      <w:pPr>
        <w:jc w:val="both"/>
        <w:rPr>
          <w:rFonts w:ascii="Avenir Next" w:hAnsi="Avenir Next" w:cs="Arial"/>
          <w:color w:val="7B7B7B" w:themeColor="accent3" w:themeShade="BF"/>
          <w:sz w:val="22"/>
          <w:szCs w:val="22"/>
        </w:rPr>
      </w:pPr>
    </w:p>
    <w:p w14:paraId="67E24F60" w14:textId="0FA0B197" w:rsidR="000A3278" w:rsidRDefault="0061241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addition to this, there is also the Recital </w:t>
      </w:r>
      <w:proofErr w:type="gramStart"/>
      <w:r>
        <w:rPr>
          <w:rFonts w:ascii="Avenir Next" w:hAnsi="Avenir Next" w:cs="Arial"/>
          <w:color w:val="7B7B7B" w:themeColor="accent3" w:themeShade="BF"/>
          <w:sz w:val="22"/>
          <w:szCs w:val="22"/>
        </w:rPr>
        <w:t>9 which</w:t>
      </w:r>
      <w:proofErr w:type="gramEnd"/>
      <w:r>
        <w:rPr>
          <w:rFonts w:ascii="Avenir Next" w:hAnsi="Avenir Next" w:cs="Arial"/>
          <w:color w:val="7B7B7B" w:themeColor="accent3" w:themeShade="BF"/>
          <w:sz w:val="22"/>
          <w:szCs w:val="22"/>
        </w:rPr>
        <w:t xml:space="preserve"> allows for the automatic application of the EIR without further examination by the national courts. However, for proceedings not listed in Annex A, they do not enjoy this automatic application. An example of this is the United Kingdom’s scheme of arrangement provision that </w:t>
      </w:r>
      <w:proofErr w:type="gramStart"/>
      <w:r>
        <w:rPr>
          <w:rFonts w:ascii="Avenir Next" w:hAnsi="Avenir Next" w:cs="Arial"/>
          <w:color w:val="7B7B7B" w:themeColor="accent3" w:themeShade="BF"/>
          <w:sz w:val="22"/>
          <w:szCs w:val="22"/>
        </w:rPr>
        <w:t>was deliberately left</w:t>
      </w:r>
      <w:proofErr w:type="gramEnd"/>
      <w:r>
        <w:rPr>
          <w:rFonts w:ascii="Avenir Next" w:hAnsi="Avenir Next" w:cs="Arial"/>
          <w:color w:val="7B7B7B" w:themeColor="accent3" w:themeShade="BF"/>
          <w:sz w:val="22"/>
          <w:szCs w:val="22"/>
        </w:rPr>
        <w:t xml:space="preserve"> out of the scope of the EIR Recast, which effectively put it out of the jurisdiction of the EIR Recast.</w:t>
      </w:r>
      <w:r>
        <w:rPr>
          <w:rStyle w:val="FootnoteReference"/>
          <w:rFonts w:ascii="Avenir Next" w:hAnsi="Avenir Next" w:cs="Arial"/>
          <w:color w:val="7B7B7B" w:themeColor="accent3" w:themeShade="BF"/>
          <w:sz w:val="22"/>
          <w:szCs w:val="22"/>
        </w:rPr>
        <w:footnoteReference w:id="1"/>
      </w:r>
      <w:r w:rsidR="000A3278">
        <w:rPr>
          <w:rFonts w:ascii="Avenir Next" w:hAnsi="Avenir Next" w:cs="Arial"/>
          <w:color w:val="7B7B7B" w:themeColor="accent3" w:themeShade="BF"/>
          <w:sz w:val="22"/>
          <w:szCs w:val="22"/>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6DAF8A3F" w14:textId="52E6A521" w:rsidR="00296784"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A7A00">
        <w:rPr>
          <w:rFonts w:ascii="Avenir Next" w:hAnsi="Avenir Next" w:cs="Arial"/>
          <w:color w:val="7B7B7B" w:themeColor="accent3" w:themeShade="BF"/>
          <w:sz w:val="22"/>
          <w:szCs w:val="22"/>
        </w:rPr>
        <w:t xml:space="preserve">Under Article 38( 2) , if the Insolvency practitioner in the main insolvency proceedings gives an undertaking to the creditors that they will receive the same distribution as they would have received in the secondary proceedings  in accordance with Article 36. This allows the liquidator in the main proceeding to be able </w:t>
      </w:r>
      <w:proofErr w:type="gramStart"/>
      <w:r w:rsidR="008A7A00">
        <w:rPr>
          <w:rFonts w:ascii="Avenir Next" w:hAnsi="Avenir Next" w:cs="Arial"/>
          <w:color w:val="7B7B7B" w:themeColor="accent3" w:themeShade="BF"/>
          <w:sz w:val="22"/>
          <w:szCs w:val="22"/>
        </w:rPr>
        <w:t>to fully implement</w:t>
      </w:r>
      <w:proofErr w:type="gramEnd"/>
      <w:r w:rsidR="008A7A00">
        <w:rPr>
          <w:rFonts w:ascii="Avenir Next" w:hAnsi="Avenir Next" w:cs="Arial"/>
          <w:color w:val="7B7B7B" w:themeColor="accent3" w:themeShade="BF"/>
          <w:sz w:val="22"/>
          <w:szCs w:val="22"/>
        </w:rPr>
        <w:t xml:space="preserve"> his plans without interference for the benefit of all creditors</w:t>
      </w:r>
      <w:r w:rsidR="00F04B6B">
        <w:rPr>
          <w:rFonts w:ascii="Avenir Next" w:hAnsi="Avenir Next" w:cs="Arial"/>
          <w:color w:val="7B7B7B" w:themeColor="accent3" w:themeShade="BF"/>
          <w:sz w:val="22"/>
          <w:szCs w:val="22"/>
        </w:rPr>
        <w:t xml:space="preserve">. </w:t>
      </w:r>
    </w:p>
    <w:p w14:paraId="070F9C30" w14:textId="77777777" w:rsidR="00296784" w:rsidRDefault="00296784" w:rsidP="000A3278">
      <w:pPr>
        <w:jc w:val="both"/>
        <w:rPr>
          <w:rFonts w:ascii="Avenir Next" w:hAnsi="Avenir Next" w:cs="Arial"/>
          <w:color w:val="7B7B7B" w:themeColor="accent3" w:themeShade="BF"/>
          <w:sz w:val="22"/>
          <w:szCs w:val="22"/>
        </w:rPr>
      </w:pPr>
    </w:p>
    <w:p w14:paraId="002BC547" w14:textId="7FFED3FF" w:rsidR="000A3278" w:rsidRDefault="0029678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Articles 41 to 44 allow for cooperation and communication between different insolvency practitioners and this communication is vital in the administration of the </w:t>
      </w:r>
      <w:r w:rsidR="00E352D7">
        <w:rPr>
          <w:rFonts w:ascii="Avenir Next" w:hAnsi="Avenir Next" w:cs="Arial"/>
          <w:color w:val="7B7B7B" w:themeColor="accent3" w:themeShade="BF"/>
          <w:sz w:val="22"/>
          <w:szCs w:val="22"/>
        </w:rPr>
        <w:t>debtor's</w:t>
      </w:r>
      <w:r>
        <w:rPr>
          <w:rFonts w:ascii="Avenir Next" w:hAnsi="Avenir Next" w:cs="Arial"/>
          <w:color w:val="7B7B7B" w:themeColor="accent3" w:themeShade="BF"/>
          <w:sz w:val="22"/>
          <w:szCs w:val="22"/>
        </w:rPr>
        <w:t xml:space="preserve"> assets which serves to promote fairness and equity while dealing with the assets of the debtor. </w:t>
      </w:r>
      <w:r w:rsidR="000A3278">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512FD4E2" w14:textId="77777777" w:rsidR="00CA11FD"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963E6">
        <w:rPr>
          <w:rFonts w:ascii="Avenir Next" w:hAnsi="Avenir Next" w:cs="Arial"/>
          <w:color w:val="7B7B7B" w:themeColor="accent3" w:themeShade="BF"/>
          <w:sz w:val="22"/>
          <w:szCs w:val="22"/>
        </w:rPr>
        <w:t>During the reform process of the EIR 2000, the European Commission identified several elements that needed revision as discussed herein below;</w:t>
      </w:r>
    </w:p>
    <w:p w14:paraId="36ED5058" w14:textId="77777777" w:rsidR="004411F5" w:rsidRDefault="00CA11FD" w:rsidP="00CA11FD">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commission </w:t>
      </w:r>
      <w:r w:rsidR="00BE2140">
        <w:rPr>
          <w:rFonts w:ascii="Avenir Next" w:hAnsi="Avenir Next" w:cs="Arial"/>
          <w:color w:val="7B7B7B" w:themeColor="accent3" w:themeShade="BF"/>
          <w:sz w:val="22"/>
          <w:szCs w:val="22"/>
        </w:rPr>
        <w:t xml:space="preserve">identified the fact that the concept of COMI was not defined in the EIR </w:t>
      </w:r>
      <w:proofErr w:type="gramStart"/>
      <w:r w:rsidR="00BE2140">
        <w:rPr>
          <w:rFonts w:ascii="Avenir Next" w:hAnsi="Avenir Next" w:cs="Arial"/>
          <w:color w:val="7B7B7B" w:themeColor="accent3" w:themeShade="BF"/>
          <w:sz w:val="22"/>
          <w:szCs w:val="22"/>
        </w:rPr>
        <w:t>2000  which</w:t>
      </w:r>
      <w:proofErr w:type="gramEnd"/>
      <w:r w:rsidR="00BE2140">
        <w:rPr>
          <w:rFonts w:ascii="Avenir Next" w:hAnsi="Avenir Next" w:cs="Arial"/>
          <w:color w:val="7B7B7B" w:themeColor="accent3" w:themeShade="BF"/>
          <w:sz w:val="22"/>
          <w:szCs w:val="22"/>
        </w:rPr>
        <w:t xml:space="preserve"> left it vague. Even though </w:t>
      </w:r>
      <w:proofErr w:type="spellStart"/>
      <w:r w:rsidR="00BE2140">
        <w:rPr>
          <w:rFonts w:ascii="Avenir Next" w:hAnsi="Avenir Next" w:cs="Arial"/>
          <w:color w:val="7B7B7B" w:themeColor="accent3" w:themeShade="BF"/>
          <w:sz w:val="22"/>
          <w:szCs w:val="22"/>
        </w:rPr>
        <w:t>RecitaL</w:t>
      </w:r>
      <w:proofErr w:type="spellEnd"/>
      <w:r w:rsidR="00BE2140">
        <w:rPr>
          <w:rFonts w:ascii="Avenir Next" w:hAnsi="Avenir Next" w:cs="Arial"/>
          <w:color w:val="7B7B7B" w:themeColor="accent3" w:themeShade="BF"/>
          <w:sz w:val="22"/>
          <w:szCs w:val="22"/>
        </w:rPr>
        <w:t xml:space="preserve"> 13 attempted to give a definition of </w:t>
      </w:r>
      <w:proofErr w:type="gramStart"/>
      <w:r w:rsidR="00BE2140">
        <w:rPr>
          <w:rFonts w:ascii="Avenir Next" w:hAnsi="Avenir Next" w:cs="Arial"/>
          <w:color w:val="7B7B7B" w:themeColor="accent3" w:themeShade="BF"/>
          <w:sz w:val="22"/>
          <w:szCs w:val="22"/>
        </w:rPr>
        <w:t>COMI</w:t>
      </w:r>
      <w:proofErr w:type="gramEnd"/>
      <w:r w:rsidR="00BE2140">
        <w:rPr>
          <w:rFonts w:ascii="Avenir Next" w:hAnsi="Avenir Next" w:cs="Arial"/>
          <w:color w:val="7B7B7B" w:themeColor="accent3" w:themeShade="BF"/>
          <w:sz w:val="22"/>
          <w:szCs w:val="22"/>
        </w:rPr>
        <w:t xml:space="preserve"> it was not binding as it was merely a recital. The case of </w:t>
      </w:r>
      <w:proofErr w:type="spellStart"/>
      <w:r w:rsidR="00BE2140">
        <w:rPr>
          <w:rFonts w:ascii="Avenir Next" w:hAnsi="Avenir Next" w:cs="Arial"/>
          <w:color w:val="7B7B7B" w:themeColor="accent3" w:themeShade="BF"/>
          <w:sz w:val="22"/>
          <w:szCs w:val="22"/>
        </w:rPr>
        <w:t>EuroFood</w:t>
      </w:r>
      <w:proofErr w:type="spellEnd"/>
      <w:r w:rsidR="00BE2140">
        <w:rPr>
          <w:rFonts w:ascii="Avenir Next" w:hAnsi="Avenir Next" w:cs="Arial"/>
          <w:color w:val="7B7B7B" w:themeColor="accent3" w:themeShade="BF"/>
          <w:sz w:val="22"/>
          <w:szCs w:val="22"/>
        </w:rPr>
        <w:t xml:space="preserve"> IFSC </w:t>
      </w:r>
      <w:r w:rsidR="004411F5">
        <w:rPr>
          <w:rFonts w:ascii="Avenir Next" w:hAnsi="Avenir Next" w:cs="Arial"/>
          <w:color w:val="7B7B7B" w:themeColor="accent3" w:themeShade="BF"/>
          <w:sz w:val="22"/>
          <w:szCs w:val="22"/>
        </w:rPr>
        <w:t>Ltd</w:t>
      </w:r>
      <w:r w:rsidR="00BE2140">
        <w:rPr>
          <w:rStyle w:val="FootnoteReference"/>
          <w:rFonts w:ascii="Avenir Next" w:hAnsi="Avenir Next" w:cs="Arial"/>
          <w:color w:val="7B7B7B" w:themeColor="accent3" w:themeShade="BF"/>
          <w:sz w:val="22"/>
          <w:szCs w:val="22"/>
        </w:rPr>
        <w:footnoteReference w:id="2"/>
      </w:r>
      <w:r w:rsidR="00BE2140">
        <w:rPr>
          <w:rFonts w:ascii="Avenir Next" w:hAnsi="Avenir Next" w:cs="Arial"/>
          <w:color w:val="7B7B7B" w:themeColor="accent3" w:themeShade="BF"/>
          <w:sz w:val="22"/>
          <w:szCs w:val="22"/>
        </w:rPr>
        <w:t xml:space="preserve"> elucidated on the meaning of COMI as was in the EIR 2000</w:t>
      </w:r>
      <w:r w:rsidR="004411F5">
        <w:rPr>
          <w:rFonts w:ascii="Avenir Next" w:hAnsi="Avenir Next" w:cs="Arial"/>
          <w:color w:val="7B7B7B" w:themeColor="accent3" w:themeShade="BF"/>
          <w:sz w:val="22"/>
          <w:szCs w:val="22"/>
        </w:rPr>
        <w:t xml:space="preserve"> where the court noted that the concept of COMI is peculiar to the regulation. It has an autonomous meaning and </w:t>
      </w:r>
      <w:proofErr w:type="gramStart"/>
      <w:r w:rsidR="004411F5">
        <w:rPr>
          <w:rFonts w:ascii="Avenir Next" w:hAnsi="Avenir Next" w:cs="Arial"/>
          <w:color w:val="7B7B7B" w:themeColor="accent3" w:themeShade="BF"/>
          <w:sz w:val="22"/>
          <w:szCs w:val="22"/>
        </w:rPr>
        <w:t>must therefore be interpreted</w:t>
      </w:r>
      <w:proofErr w:type="gramEnd"/>
      <w:r w:rsidR="004411F5">
        <w:rPr>
          <w:rFonts w:ascii="Avenir Next" w:hAnsi="Avenir Next" w:cs="Arial"/>
          <w:color w:val="7B7B7B" w:themeColor="accent3" w:themeShade="BF"/>
          <w:sz w:val="22"/>
          <w:szCs w:val="22"/>
        </w:rPr>
        <w:t xml:space="preserve"> in a uniform way independently of what a similar term may mean in national legislation. The EIR Recast proceeded to adopt the wording similar to the wording in the Recital 13 of the EIR 2000 thereby giving it legal efficacy.</w:t>
      </w:r>
    </w:p>
    <w:p w14:paraId="35ADCF95" w14:textId="384EFA63" w:rsidR="000A3278" w:rsidRPr="00CA11FD" w:rsidRDefault="00B27054" w:rsidP="00CA11FD">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commission also proposed widening the </w:t>
      </w:r>
      <w:r w:rsidR="006A4F8B">
        <w:rPr>
          <w:rFonts w:ascii="Avenir Next" w:hAnsi="Avenir Next" w:cs="Arial"/>
          <w:color w:val="7B7B7B" w:themeColor="accent3" w:themeShade="BF"/>
          <w:sz w:val="22"/>
          <w:szCs w:val="22"/>
        </w:rPr>
        <w:t>scope of restructuring proceedings and providing for stronger rules for cooperation between insolvency practitioners</w:t>
      </w:r>
      <w:r w:rsidR="00726124">
        <w:rPr>
          <w:rFonts w:ascii="Avenir Next" w:hAnsi="Avenir Next" w:cs="Arial"/>
          <w:color w:val="7B7B7B" w:themeColor="accent3" w:themeShade="BF"/>
          <w:sz w:val="22"/>
          <w:szCs w:val="22"/>
        </w:rPr>
        <w:t xml:space="preserve"> </w:t>
      </w:r>
      <w:r w:rsidR="006A4F8B">
        <w:rPr>
          <w:rFonts w:ascii="Avenir Next" w:hAnsi="Avenir Next" w:cs="Arial"/>
          <w:color w:val="7B7B7B" w:themeColor="accent3" w:themeShade="BF"/>
          <w:sz w:val="22"/>
          <w:szCs w:val="22"/>
        </w:rPr>
        <w:t>and courts.</w:t>
      </w:r>
      <w:r w:rsidR="00726124">
        <w:rPr>
          <w:rFonts w:ascii="Avenir Next" w:hAnsi="Avenir Next" w:cs="Arial"/>
          <w:color w:val="7B7B7B" w:themeColor="accent3" w:themeShade="BF"/>
          <w:sz w:val="22"/>
          <w:szCs w:val="22"/>
        </w:rPr>
        <w:t xml:space="preserve"> The EIR 2000 contained only one article </w:t>
      </w:r>
      <w:proofErr w:type="gramStart"/>
      <w:r w:rsidR="00726124">
        <w:rPr>
          <w:rFonts w:ascii="Avenir Next" w:hAnsi="Avenir Next" w:cs="Arial"/>
          <w:color w:val="7B7B7B" w:themeColor="accent3" w:themeShade="BF"/>
          <w:sz w:val="22"/>
          <w:szCs w:val="22"/>
        </w:rPr>
        <w:t>( Article</w:t>
      </w:r>
      <w:proofErr w:type="gramEnd"/>
      <w:r w:rsidR="00726124">
        <w:rPr>
          <w:rFonts w:ascii="Avenir Next" w:hAnsi="Avenir Next" w:cs="Arial"/>
          <w:color w:val="7B7B7B" w:themeColor="accent3" w:themeShade="BF"/>
          <w:sz w:val="22"/>
          <w:szCs w:val="22"/>
        </w:rPr>
        <w:t xml:space="preserve"> 31) that required practitioners in the main and insolvency proceedings to communicate. This scope was widened in the EIR Recast that provided for cooperation between practitioners, courts and between practitioners and courts in Articles 41</w:t>
      </w:r>
      <w:proofErr w:type="gramStart"/>
      <w:r w:rsidR="00726124">
        <w:rPr>
          <w:rFonts w:ascii="Avenir Next" w:hAnsi="Avenir Next" w:cs="Arial"/>
          <w:color w:val="7B7B7B" w:themeColor="accent3" w:themeShade="BF"/>
          <w:sz w:val="22"/>
          <w:szCs w:val="22"/>
        </w:rPr>
        <w:t>,42</w:t>
      </w:r>
      <w:proofErr w:type="gramEnd"/>
      <w:r w:rsidR="00726124">
        <w:rPr>
          <w:rFonts w:ascii="Avenir Next" w:hAnsi="Avenir Next" w:cs="Arial"/>
          <w:color w:val="7B7B7B" w:themeColor="accent3" w:themeShade="BF"/>
          <w:sz w:val="22"/>
          <w:szCs w:val="22"/>
        </w:rPr>
        <w:t xml:space="preserve"> and 43. The reform also further provided that this cooperation can take any form like a </w:t>
      </w:r>
      <w:proofErr w:type="spellStart"/>
      <w:r w:rsidR="00726124">
        <w:rPr>
          <w:rFonts w:ascii="Avenir Next" w:hAnsi="Avenir Next" w:cs="Arial"/>
          <w:color w:val="7B7B7B" w:themeColor="accent3" w:themeShade="BF"/>
          <w:sz w:val="22"/>
          <w:szCs w:val="22"/>
        </w:rPr>
        <w:t>Protocal</w:t>
      </w:r>
      <w:proofErr w:type="spellEnd"/>
      <w:r w:rsidR="00726124">
        <w:rPr>
          <w:rFonts w:ascii="Avenir Next" w:hAnsi="Avenir Next" w:cs="Arial"/>
          <w:color w:val="7B7B7B" w:themeColor="accent3" w:themeShade="BF"/>
          <w:sz w:val="22"/>
          <w:szCs w:val="22"/>
        </w:rPr>
        <w:t xml:space="preserve"> and this is evidenced in the case of Maxwell Communications Corp where a </w:t>
      </w:r>
      <w:proofErr w:type="spellStart"/>
      <w:r w:rsidR="00726124">
        <w:rPr>
          <w:rFonts w:ascii="Avenir Next" w:hAnsi="Avenir Next" w:cs="Arial"/>
          <w:color w:val="7B7B7B" w:themeColor="accent3" w:themeShade="BF"/>
          <w:sz w:val="22"/>
          <w:szCs w:val="22"/>
        </w:rPr>
        <w:t>protocal</w:t>
      </w:r>
      <w:proofErr w:type="spellEnd"/>
      <w:r w:rsidR="00726124">
        <w:rPr>
          <w:rFonts w:ascii="Avenir Next" w:hAnsi="Avenir Next" w:cs="Arial"/>
          <w:color w:val="7B7B7B" w:themeColor="accent3" w:themeShade="BF"/>
          <w:sz w:val="22"/>
          <w:szCs w:val="22"/>
        </w:rPr>
        <w:t xml:space="preserve"> was adopted between the practitioners to enable smooth execution of the obligations that the company had both in the United States and in the United Kingdom. </w:t>
      </w:r>
      <w:r w:rsidR="00726124">
        <w:rPr>
          <w:rStyle w:val="FootnoteReference"/>
          <w:rFonts w:ascii="Avenir Next" w:hAnsi="Avenir Next" w:cs="Arial"/>
          <w:color w:val="7B7B7B" w:themeColor="accent3" w:themeShade="BF"/>
          <w:sz w:val="22"/>
          <w:szCs w:val="22"/>
        </w:rPr>
        <w:footnoteReference w:id="3"/>
      </w:r>
      <w:r w:rsidR="00726124">
        <w:rPr>
          <w:rFonts w:ascii="Avenir Next" w:hAnsi="Avenir Next" w:cs="Arial"/>
          <w:color w:val="7B7B7B" w:themeColor="accent3" w:themeShade="BF"/>
          <w:sz w:val="22"/>
          <w:szCs w:val="22"/>
        </w:rPr>
        <w:t xml:space="preserve"> </w:t>
      </w:r>
      <w:r w:rsidR="006A4F8B">
        <w:rPr>
          <w:rFonts w:ascii="Avenir Next" w:hAnsi="Avenir Next" w:cs="Arial"/>
          <w:color w:val="7B7B7B" w:themeColor="accent3" w:themeShade="BF"/>
          <w:sz w:val="22"/>
          <w:szCs w:val="22"/>
        </w:rPr>
        <w:t xml:space="preserve"> </w:t>
      </w:r>
      <w:r w:rsidR="000A3278" w:rsidRPr="00CA11FD">
        <w:rPr>
          <w:rFonts w:ascii="Avenir Next" w:hAnsi="Avenir Next" w:cs="Arial"/>
          <w:color w:val="7B7B7B" w:themeColor="accent3" w:themeShade="BF"/>
          <w:sz w:val="22"/>
          <w:szCs w:val="22"/>
        </w:rPr>
        <w:t>]</w:t>
      </w: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5EAD8E7D" w14:textId="7D4EDF6C" w:rsidR="008325D0"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325D0">
        <w:rPr>
          <w:rFonts w:ascii="Avenir Next" w:hAnsi="Avenir Next" w:cs="Arial"/>
          <w:color w:val="7B7B7B" w:themeColor="accent3" w:themeShade="BF"/>
          <w:sz w:val="22"/>
          <w:szCs w:val="22"/>
        </w:rPr>
        <w:t xml:space="preserve">One of the praises for COMI is that it facilitates legal certainty across the EU </w:t>
      </w:r>
      <w:proofErr w:type="gramStart"/>
      <w:r w:rsidR="008325D0">
        <w:rPr>
          <w:rFonts w:ascii="Avenir Next" w:hAnsi="Avenir Next" w:cs="Arial"/>
          <w:color w:val="7B7B7B" w:themeColor="accent3" w:themeShade="BF"/>
          <w:sz w:val="22"/>
          <w:szCs w:val="22"/>
        </w:rPr>
        <w:t>countries  and</w:t>
      </w:r>
      <w:proofErr w:type="gramEnd"/>
      <w:r w:rsidR="008325D0">
        <w:rPr>
          <w:rFonts w:ascii="Avenir Next" w:hAnsi="Avenir Next" w:cs="Arial"/>
          <w:color w:val="7B7B7B" w:themeColor="accent3" w:themeShade="BF"/>
          <w:sz w:val="22"/>
          <w:szCs w:val="22"/>
        </w:rPr>
        <w:t xml:space="preserve"> the stakeholders are able to predict how the debtor will be handled as the law will be the same across all member states. </w:t>
      </w:r>
    </w:p>
    <w:p w14:paraId="55DE1F7B" w14:textId="34685BE2" w:rsidR="008325D0" w:rsidRDefault="008325D0" w:rsidP="000A3278">
      <w:pPr>
        <w:jc w:val="both"/>
        <w:rPr>
          <w:rFonts w:ascii="Avenir Next" w:hAnsi="Avenir Next" w:cs="Arial"/>
          <w:color w:val="7B7B7B" w:themeColor="accent3" w:themeShade="BF"/>
          <w:sz w:val="22"/>
          <w:szCs w:val="22"/>
        </w:rPr>
      </w:pPr>
    </w:p>
    <w:p w14:paraId="2299CBAA" w14:textId="6C3DFEED" w:rsidR="008325D0" w:rsidRDefault="008325D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other praise is that where group companies are involved it does reduce on transaction costs arising from multiple insolvency proceedings if they </w:t>
      </w:r>
      <w:proofErr w:type="gramStart"/>
      <w:r>
        <w:rPr>
          <w:rFonts w:ascii="Avenir Next" w:hAnsi="Avenir Next" w:cs="Arial"/>
          <w:color w:val="7B7B7B" w:themeColor="accent3" w:themeShade="BF"/>
          <w:sz w:val="22"/>
          <w:szCs w:val="22"/>
        </w:rPr>
        <w:t>are all brought</w:t>
      </w:r>
      <w:proofErr w:type="gramEnd"/>
      <w:r>
        <w:rPr>
          <w:rFonts w:ascii="Avenir Next" w:hAnsi="Avenir Next" w:cs="Arial"/>
          <w:color w:val="7B7B7B" w:themeColor="accent3" w:themeShade="BF"/>
          <w:sz w:val="22"/>
          <w:szCs w:val="22"/>
        </w:rPr>
        <w:t xml:space="preserve"> under one jurisdiction. This also enhances chances for a successful restructuring for the group as well and Recital 13 offers guidelines on how this </w:t>
      </w:r>
      <w:proofErr w:type="gramStart"/>
      <w:r>
        <w:rPr>
          <w:rFonts w:ascii="Avenir Next" w:hAnsi="Avenir Next" w:cs="Arial"/>
          <w:color w:val="7B7B7B" w:themeColor="accent3" w:themeShade="BF"/>
          <w:sz w:val="22"/>
          <w:szCs w:val="22"/>
        </w:rPr>
        <w:t>can be achieved</w:t>
      </w:r>
      <w:proofErr w:type="gramEnd"/>
      <w:r>
        <w:rPr>
          <w:rFonts w:ascii="Avenir Next" w:hAnsi="Avenir Next" w:cs="Arial"/>
          <w:color w:val="7B7B7B" w:themeColor="accent3" w:themeShade="BF"/>
          <w:sz w:val="22"/>
          <w:szCs w:val="22"/>
        </w:rPr>
        <w:t xml:space="preserve">. </w:t>
      </w:r>
    </w:p>
    <w:p w14:paraId="6E5BB48B" w14:textId="77777777" w:rsidR="008325D0" w:rsidRDefault="008325D0" w:rsidP="000A3278">
      <w:pPr>
        <w:jc w:val="both"/>
        <w:rPr>
          <w:rFonts w:ascii="Avenir Next" w:hAnsi="Avenir Next" w:cs="Arial"/>
          <w:color w:val="7B7B7B" w:themeColor="accent3" w:themeShade="BF"/>
          <w:sz w:val="22"/>
          <w:szCs w:val="22"/>
        </w:rPr>
      </w:pPr>
    </w:p>
    <w:p w14:paraId="0FAAE588" w14:textId="247CAE27" w:rsidR="008325D0" w:rsidRDefault="008325D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of the </w:t>
      </w:r>
      <w:r w:rsidR="00352B77">
        <w:rPr>
          <w:rFonts w:ascii="Avenir Next" w:hAnsi="Avenir Next" w:cs="Arial"/>
          <w:color w:val="7B7B7B" w:themeColor="accent3" w:themeShade="BF"/>
          <w:sz w:val="22"/>
          <w:szCs w:val="22"/>
        </w:rPr>
        <w:t>shortcomings</w:t>
      </w:r>
      <w:r>
        <w:rPr>
          <w:rFonts w:ascii="Avenir Next" w:hAnsi="Avenir Next" w:cs="Arial"/>
          <w:color w:val="7B7B7B" w:themeColor="accent3" w:themeShade="BF"/>
          <w:sz w:val="22"/>
          <w:szCs w:val="22"/>
        </w:rPr>
        <w:t xml:space="preserve"> is that it can encourage forum shopping where the debtor moves its assets, personnel or registered office to a different member state with a more </w:t>
      </w:r>
      <w:proofErr w:type="spellStart"/>
      <w:r>
        <w:rPr>
          <w:rFonts w:ascii="Avenir Next" w:hAnsi="Avenir Next" w:cs="Arial"/>
          <w:color w:val="7B7B7B" w:themeColor="accent3" w:themeShade="BF"/>
          <w:sz w:val="22"/>
          <w:szCs w:val="22"/>
        </w:rPr>
        <w:t>favourable</w:t>
      </w:r>
      <w:proofErr w:type="spellEnd"/>
      <w:r>
        <w:rPr>
          <w:rFonts w:ascii="Avenir Next" w:hAnsi="Avenir Next" w:cs="Arial"/>
          <w:color w:val="7B7B7B" w:themeColor="accent3" w:themeShade="BF"/>
          <w:sz w:val="22"/>
          <w:szCs w:val="22"/>
        </w:rPr>
        <w:t xml:space="preserve"> legal position that may be detrimental </w:t>
      </w:r>
      <w:r w:rsidR="00614546">
        <w:rPr>
          <w:rFonts w:ascii="Avenir Next" w:hAnsi="Avenir Next" w:cs="Arial"/>
          <w:color w:val="7B7B7B" w:themeColor="accent3" w:themeShade="BF"/>
          <w:sz w:val="22"/>
          <w:szCs w:val="22"/>
        </w:rPr>
        <w:t>to the</w:t>
      </w:r>
      <w:r>
        <w:rPr>
          <w:rFonts w:ascii="Avenir Next" w:hAnsi="Avenir Next" w:cs="Arial"/>
          <w:color w:val="7B7B7B" w:themeColor="accent3" w:themeShade="BF"/>
          <w:sz w:val="22"/>
          <w:szCs w:val="22"/>
        </w:rPr>
        <w:t xml:space="preserve"> general body of creditors. In the case of </w:t>
      </w:r>
      <w:proofErr w:type="spellStart"/>
      <w:r>
        <w:rPr>
          <w:rFonts w:ascii="Avenir Next" w:hAnsi="Avenir Next" w:cs="Arial"/>
          <w:color w:val="7B7B7B" w:themeColor="accent3" w:themeShade="BF"/>
          <w:sz w:val="22"/>
          <w:szCs w:val="22"/>
        </w:rPr>
        <w:t>of</w:t>
      </w:r>
      <w:proofErr w:type="spellEnd"/>
      <w:r>
        <w:rPr>
          <w:rFonts w:ascii="Avenir Next" w:hAnsi="Avenir Next" w:cs="Arial"/>
          <w:color w:val="7B7B7B" w:themeColor="accent3" w:themeShade="BF"/>
          <w:sz w:val="22"/>
          <w:szCs w:val="22"/>
        </w:rPr>
        <w:t xml:space="preserve"> re Ocean Rig UDW Inc. 570 B.R 687 (</w:t>
      </w:r>
      <w:proofErr w:type="spellStart"/>
      <w:r>
        <w:rPr>
          <w:rFonts w:ascii="Avenir Next" w:hAnsi="Avenir Next" w:cs="Arial"/>
          <w:color w:val="7B7B7B" w:themeColor="accent3" w:themeShade="BF"/>
          <w:sz w:val="22"/>
          <w:szCs w:val="22"/>
        </w:rPr>
        <w:t>Bankr</w:t>
      </w:r>
      <w:proofErr w:type="spellEnd"/>
      <w:r>
        <w:rPr>
          <w:rFonts w:ascii="Avenir Next" w:hAnsi="Avenir Next" w:cs="Arial"/>
          <w:color w:val="7B7B7B" w:themeColor="accent3" w:themeShade="BF"/>
          <w:sz w:val="22"/>
          <w:szCs w:val="22"/>
        </w:rPr>
        <w:t xml:space="preserve"> SDNY 2017) the New York Court noted that forum shopping can only be acceptable where it is done in good faith, with a view of maximizing chances of business rescue or enhancing the recovery of creditors. </w:t>
      </w:r>
    </w:p>
    <w:p w14:paraId="1E9FE3F0" w14:textId="77777777" w:rsidR="008325D0" w:rsidRDefault="008325D0" w:rsidP="000A3278">
      <w:pPr>
        <w:jc w:val="both"/>
        <w:rPr>
          <w:rFonts w:ascii="Avenir Next" w:hAnsi="Avenir Next" w:cs="Arial"/>
          <w:color w:val="7B7B7B" w:themeColor="accent3" w:themeShade="BF"/>
          <w:sz w:val="22"/>
          <w:szCs w:val="22"/>
        </w:rPr>
      </w:pPr>
    </w:p>
    <w:p w14:paraId="4662A9D9" w14:textId="40FA979A" w:rsidR="000A3278" w:rsidRDefault="008325D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The </w:t>
      </w:r>
      <w:r w:rsidR="00614546">
        <w:rPr>
          <w:rFonts w:ascii="Avenir Next" w:hAnsi="Avenir Next" w:cs="Arial"/>
          <w:color w:val="7B7B7B" w:themeColor="accent3" w:themeShade="BF"/>
          <w:sz w:val="22"/>
          <w:szCs w:val="22"/>
        </w:rPr>
        <w:t xml:space="preserve">principle has also been </w:t>
      </w:r>
      <w:proofErr w:type="spellStart"/>
      <w:r w:rsidR="00614546">
        <w:rPr>
          <w:rFonts w:ascii="Avenir Next" w:hAnsi="Avenir Next" w:cs="Arial"/>
          <w:color w:val="7B7B7B" w:themeColor="accent3" w:themeShade="BF"/>
          <w:sz w:val="22"/>
          <w:szCs w:val="22"/>
        </w:rPr>
        <w:t>criticis</w:t>
      </w:r>
      <w:r>
        <w:rPr>
          <w:rFonts w:ascii="Avenir Next" w:hAnsi="Avenir Next" w:cs="Arial"/>
          <w:color w:val="7B7B7B" w:themeColor="accent3" w:themeShade="BF"/>
          <w:sz w:val="22"/>
          <w:szCs w:val="22"/>
        </w:rPr>
        <w:t>ed</w:t>
      </w:r>
      <w:proofErr w:type="spellEnd"/>
      <w:r>
        <w:rPr>
          <w:rFonts w:ascii="Avenir Next" w:hAnsi="Avenir Next" w:cs="Arial"/>
          <w:color w:val="7B7B7B" w:themeColor="accent3" w:themeShade="BF"/>
          <w:sz w:val="22"/>
          <w:szCs w:val="22"/>
        </w:rPr>
        <w:t xml:space="preserve"> for being </w:t>
      </w:r>
      <w:r w:rsidR="00352B77">
        <w:rPr>
          <w:rFonts w:ascii="Avenir Next" w:hAnsi="Avenir Next" w:cs="Arial"/>
          <w:color w:val="7B7B7B" w:themeColor="accent3" w:themeShade="BF"/>
          <w:sz w:val="22"/>
          <w:szCs w:val="22"/>
        </w:rPr>
        <w:t>vague with insufficient guidance thereby jeopardizing legal certainty and predictability. However, this was resolved in the case of</w:t>
      </w:r>
      <w:r w:rsidR="00352B77" w:rsidRPr="00352B77">
        <w:t xml:space="preserve"> </w:t>
      </w:r>
      <w:proofErr w:type="spellStart"/>
      <w:r w:rsidR="00352B77" w:rsidRPr="00352B77">
        <w:rPr>
          <w:rFonts w:ascii="Avenir Next" w:hAnsi="Avenir Next" w:cs="Arial"/>
          <w:color w:val="7B7B7B" w:themeColor="accent3" w:themeShade="BF"/>
          <w:sz w:val="22"/>
          <w:szCs w:val="22"/>
        </w:rPr>
        <w:t>EuroFood</w:t>
      </w:r>
      <w:proofErr w:type="spellEnd"/>
      <w:r w:rsidR="00352B77" w:rsidRPr="00352B77">
        <w:rPr>
          <w:rFonts w:ascii="Avenir Next" w:hAnsi="Avenir Next" w:cs="Arial"/>
          <w:color w:val="7B7B7B" w:themeColor="accent3" w:themeShade="BF"/>
          <w:sz w:val="22"/>
          <w:szCs w:val="22"/>
        </w:rPr>
        <w:t xml:space="preserve"> IFSC </w:t>
      </w:r>
      <w:r w:rsidR="00614546" w:rsidRPr="00352B77">
        <w:rPr>
          <w:rFonts w:ascii="Avenir Next" w:hAnsi="Avenir Next" w:cs="Arial"/>
          <w:color w:val="7B7B7B" w:themeColor="accent3" w:themeShade="BF"/>
          <w:sz w:val="22"/>
          <w:szCs w:val="22"/>
        </w:rPr>
        <w:t>Ltd</w:t>
      </w:r>
      <w:r w:rsidR="00614546">
        <w:rPr>
          <w:rFonts w:ascii="Avenir Next" w:hAnsi="Avenir Next" w:cs="Arial"/>
          <w:color w:val="7B7B7B" w:themeColor="accent3" w:themeShade="BF"/>
          <w:sz w:val="22"/>
          <w:szCs w:val="22"/>
        </w:rPr>
        <w:t>, which</w:t>
      </w:r>
      <w:r w:rsidR="00352B77">
        <w:rPr>
          <w:rFonts w:ascii="Avenir Next" w:hAnsi="Avenir Next" w:cs="Arial"/>
          <w:color w:val="7B7B7B" w:themeColor="accent3" w:themeShade="BF"/>
          <w:sz w:val="22"/>
          <w:szCs w:val="22"/>
        </w:rPr>
        <w:t xml:space="preserve"> defined </w:t>
      </w:r>
      <w:r w:rsidR="00352B77" w:rsidRPr="00352B77">
        <w:rPr>
          <w:rFonts w:ascii="Avenir Next" w:hAnsi="Avenir Next" w:cs="Arial"/>
          <w:color w:val="7B7B7B" w:themeColor="accent3" w:themeShade="BF"/>
          <w:sz w:val="22"/>
          <w:szCs w:val="22"/>
        </w:rPr>
        <w:t xml:space="preserve">COMI as was in the EIR 2000 where the court noted that the concept of COMI is peculiar to the regulation. It has an autonomous meaning and </w:t>
      </w:r>
      <w:proofErr w:type="gramStart"/>
      <w:r w:rsidR="00352B77" w:rsidRPr="00352B77">
        <w:rPr>
          <w:rFonts w:ascii="Avenir Next" w:hAnsi="Avenir Next" w:cs="Arial"/>
          <w:color w:val="7B7B7B" w:themeColor="accent3" w:themeShade="BF"/>
          <w:sz w:val="22"/>
          <w:szCs w:val="22"/>
        </w:rPr>
        <w:t>must therefore be interpreted</w:t>
      </w:r>
      <w:proofErr w:type="gramEnd"/>
      <w:r w:rsidR="00352B77" w:rsidRPr="00352B77">
        <w:rPr>
          <w:rFonts w:ascii="Avenir Next" w:hAnsi="Avenir Next" w:cs="Arial"/>
          <w:color w:val="7B7B7B" w:themeColor="accent3" w:themeShade="BF"/>
          <w:sz w:val="22"/>
          <w:szCs w:val="22"/>
        </w:rPr>
        <w:t xml:space="preserve"> in a uniform way independently of what a similar term may mean in national legislation.</w:t>
      </w:r>
      <w:r w:rsidR="00352B77">
        <w:rPr>
          <w:rFonts w:ascii="Avenir Next" w:hAnsi="Avenir Next" w:cs="Arial"/>
          <w:color w:val="7B7B7B" w:themeColor="accent3" w:themeShade="BF"/>
          <w:sz w:val="22"/>
          <w:szCs w:val="22"/>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671C5B34" w14:textId="2F008222" w:rsidR="008923BA" w:rsidRDefault="000A3278" w:rsidP="000A3278">
      <w:pPr>
        <w:jc w:val="both"/>
        <w:rPr>
          <w:rFonts w:ascii="Avenir Next" w:hAnsi="Avenir Next" w:cs="Arial"/>
          <w:color w:val="7B7B7B" w:themeColor="accent3" w:themeShade="BF"/>
          <w:sz w:val="22"/>
          <w:szCs w:val="22"/>
        </w:rPr>
      </w:pPr>
      <w:proofErr w:type="gramStart"/>
      <w:r>
        <w:rPr>
          <w:rFonts w:ascii="Avenir Next" w:hAnsi="Avenir Next" w:cs="Arial"/>
          <w:color w:val="7B7B7B" w:themeColor="accent3" w:themeShade="BF"/>
          <w:sz w:val="22"/>
          <w:szCs w:val="22"/>
        </w:rPr>
        <w:t>[</w:t>
      </w:r>
      <w:r w:rsidR="008923BA">
        <w:rPr>
          <w:rFonts w:ascii="Avenir Next" w:hAnsi="Avenir Next" w:cs="Arial"/>
          <w:color w:val="7B7B7B" w:themeColor="accent3" w:themeShade="BF"/>
          <w:sz w:val="22"/>
          <w:szCs w:val="22"/>
        </w:rPr>
        <w:t>a) The EIR regulates the opening of extraterritorial effects of insolvency proceedings in member states</w:t>
      </w:r>
      <w:r w:rsidR="008478CC">
        <w:rPr>
          <w:rFonts w:ascii="Avenir Next" w:hAnsi="Avenir Next" w:cs="Arial"/>
          <w:color w:val="7B7B7B" w:themeColor="accent3" w:themeShade="BF"/>
          <w:sz w:val="22"/>
          <w:szCs w:val="22"/>
        </w:rPr>
        <w:t xml:space="preserve"> </w:t>
      </w:r>
      <w:r w:rsidR="008923BA">
        <w:rPr>
          <w:rFonts w:ascii="Avenir Next" w:hAnsi="Avenir Next" w:cs="Arial"/>
          <w:color w:val="7B7B7B" w:themeColor="accent3" w:themeShade="BF"/>
          <w:sz w:val="22"/>
          <w:szCs w:val="22"/>
        </w:rPr>
        <w:t xml:space="preserve">with the overall objective of ensuring the efficiency and effectiveness of those proceedings in </w:t>
      </w:r>
      <w:r w:rsidR="008478CC">
        <w:rPr>
          <w:rFonts w:ascii="Avenir Next" w:hAnsi="Avenir Next" w:cs="Arial"/>
          <w:color w:val="7B7B7B" w:themeColor="accent3" w:themeShade="BF"/>
          <w:sz w:val="22"/>
          <w:szCs w:val="22"/>
        </w:rPr>
        <w:t>cross-border</w:t>
      </w:r>
      <w:r w:rsidR="008923BA">
        <w:rPr>
          <w:rFonts w:ascii="Avenir Next" w:hAnsi="Avenir Next" w:cs="Arial"/>
          <w:color w:val="7B7B7B" w:themeColor="accent3" w:themeShade="BF"/>
          <w:sz w:val="22"/>
          <w:szCs w:val="22"/>
        </w:rPr>
        <w:t xml:space="preserve"> cases while the directive focuses on the establishment of a minimum set of standards for preventive restructuring procedures across member states</w:t>
      </w:r>
      <w:r w:rsidR="008478CC">
        <w:rPr>
          <w:rFonts w:ascii="Avenir Next" w:hAnsi="Avenir Next" w:cs="Arial"/>
          <w:color w:val="7B7B7B" w:themeColor="accent3" w:themeShade="BF"/>
          <w:sz w:val="22"/>
          <w:szCs w:val="22"/>
        </w:rPr>
        <w:t xml:space="preserve"> </w:t>
      </w:r>
      <w:r w:rsidR="008923BA">
        <w:rPr>
          <w:rFonts w:ascii="Avenir Next" w:hAnsi="Avenir Next" w:cs="Arial"/>
          <w:color w:val="7B7B7B" w:themeColor="accent3" w:themeShade="BF"/>
          <w:sz w:val="22"/>
          <w:szCs w:val="22"/>
        </w:rPr>
        <w:t>to enable debtors in financial distress to restructure at an early stage and avoid insolvency.</w:t>
      </w:r>
      <w:proofErr w:type="gramEnd"/>
    </w:p>
    <w:p w14:paraId="3B7672B9" w14:textId="68E4C584" w:rsidR="000A3278" w:rsidRDefault="008923B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 Some entities </w:t>
      </w:r>
      <w:proofErr w:type="gramStart"/>
      <w:r>
        <w:rPr>
          <w:rFonts w:ascii="Avenir Next" w:hAnsi="Avenir Next" w:cs="Arial"/>
          <w:color w:val="7B7B7B" w:themeColor="accent3" w:themeShade="BF"/>
          <w:sz w:val="22"/>
          <w:szCs w:val="22"/>
        </w:rPr>
        <w:t>are exclusively excluded</w:t>
      </w:r>
      <w:proofErr w:type="gramEnd"/>
      <w:r>
        <w:rPr>
          <w:rFonts w:ascii="Avenir Next" w:hAnsi="Avenir Next" w:cs="Arial"/>
          <w:color w:val="7B7B7B" w:themeColor="accent3" w:themeShade="BF"/>
          <w:sz w:val="22"/>
          <w:szCs w:val="22"/>
        </w:rPr>
        <w:t xml:space="preserve"> from the personal scope of the EIR as per Article 1(2), like insurance undertakings and credit institutions while they are catered for under the directive. </w:t>
      </w:r>
      <w:r>
        <w:rPr>
          <w:rStyle w:val="FootnoteReference"/>
          <w:rFonts w:ascii="Avenir Next" w:hAnsi="Avenir Next" w:cs="Arial"/>
          <w:color w:val="7B7B7B" w:themeColor="accent3" w:themeShade="BF"/>
          <w:sz w:val="22"/>
          <w:szCs w:val="22"/>
        </w:rPr>
        <w:footnoteReference w:id="4"/>
      </w:r>
      <w:r w:rsidR="000A3278">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w:t>
      </w:r>
      <w:proofErr w:type="gramStart"/>
      <w:r>
        <w:rPr>
          <w:rFonts w:ascii="Avenir Next" w:hAnsi="Avenir Next" w:cs="Arial"/>
          <w:sz w:val="22"/>
          <w:szCs w:val="22"/>
          <w:lang w:val="en-GB"/>
        </w:rPr>
        <w:t>20%</w:t>
      </w:r>
      <w:proofErr w:type="gramEnd"/>
      <w:r>
        <w:rPr>
          <w:rFonts w:ascii="Avenir Next" w:hAnsi="Avenir Next" w:cs="Arial"/>
          <w:sz w:val="22"/>
          <w:szCs w:val="22"/>
          <w:lang w:val="en-GB"/>
        </w:rPr>
        <w:t xml:space="preserve">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w:t>
      </w:r>
      <w:r w:rsidRPr="008E3C96">
        <w:rPr>
          <w:rFonts w:ascii="Avenir Next" w:hAnsi="Avenir Next" w:cs="Arial"/>
          <w:sz w:val="22"/>
          <w:szCs w:val="22"/>
          <w:lang w:val="en-GB"/>
        </w:rPr>
        <w:lastRenderedPageBreak/>
        <w:t xml:space="preserve">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639B6D5A" w14:textId="41224E7A" w:rsidR="00D37F52"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proofErr w:type="gramStart"/>
      <w:r w:rsidR="002E1A5D">
        <w:rPr>
          <w:rFonts w:ascii="Avenir Next" w:hAnsi="Avenir Next" w:cs="Arial"/>
          <w:color w:val="7B7B7B" w:themeColor="accent3" w:themeShade="BF"/>
          <w:sz w:val="22"/>
          <w:szCs w:val="22"/>
        </w:rPr>
        <w:t>a</w:t>
      </w:r>
      <w:proofErr w:type="gramEnd"/>
      <w:r w:rsidR="002E1A5D">
        <w:rPr>
          <w:rFonts w:ascii="Avenir Next" w:hAnsi="Avenir Next" w:cs="Arial"/>
          <w:color w:val="7B7B7B" w:themeColor="accent3" w:themeShade="BF"/>
          <w:sz w:val="22"/>
          <w:szCs w:val="22"/>
        </w:rPr>
        <w:t>) The EIR 2000 applies to this case because while the company has stores in other countries its center of main interest</w:t>
      </w:r>
      <w:r w:rsidR="00D37F52">
        <w:rPr>
          <w:rFonts w:ascii="Avenir Next" w:hAnsi="Avenir Next" w:cs="Arial"/>
          <w:color w:val="7B7B7B" w:themeColor="accent3" w:themeShade="BF"/>
          <w:sz w:val="22"/>
          <w:szCs w:val="22"/>
        </w:rPr>
        <w:t>( COMI)</w:t>
      </w:r>
      <w:r w:rsidR="002E1A5D">
        <w:rPr>
          <w:rFonts w:ascii="Avenir Next" w:hAnsi="Avenir Next" w:cs="Arial"/>
          <w:color w:val="7B7B7B" w:themeColor="accent3" w:themeShade="BF"/>
          <w:sz w:val="22"/>
          <w:szCs w:val="22"/>
        </w:rPr>
        <w:t xml:space="preserve"> is in France</w:t>
      </w:r>
      <w:r w:rsidR="00D37F52">
        <w:rPr>
          <w:rFonts w:ascii="Avenir Next" w:hAnsi="Avenir Next" w:cs="Arial"/>
          <w:color w:val="7B7B7B" w:themeColor="accent3" w:themeShade="BF"/>
          <w:sz w:val="22"/>
          <w:szCs w:val="22"/>
        </w:rPr>
        <w:t xml:space="preserve"> and this is provided for under Article 3(1) of the EIR 2000</w:t>
      </w:r>
      <w:r w:rsidR="002E1A5D">
        <w:rPr>
          <w:rFonts w:ascii="Avenir Next" w:hAnsi="Avenir Next" w:cs="Arial"/>
          <w:color w:val="7B7B7B" w:themeColor="accent3" w:themeShade="BF"/>
          <w:sz w:val="22"/>
          <w:szCs w:val="22"/>
        </w:rPr>
        <w:t xml:space="preserve">.  This </w:t>
      </w:r>
      <w:proofErr w:type="gramStart"/>
      <w:r w:rsidR="002E1A5D">
        <w:rPr>
          <w:rFonts w:ascii="Avenir Next" w:hAnsi="Avenir Next" w:cs="Arial"/>
          <w:color w:val="7B7B7B" w:themeColor="accent3" w:themeShade="BF"/>
          <w:sz w:val="22"/>
          <w:szCs w:val="22"/>
        </w:rPr>
        <w:t>is supported</w:t>
      </w:r>
      <w:proofErr w:type="gramEnd"/>
      <w:r w:rsidR="002E1A5D">
        <w:rPr>
          <w:rFonts w:ascii="Avenir Next" w:hAnsi="Avenir Next" w:cs="Arial"/>
          <w:color w:val="7B7B7B" w:themeColor="accent3" w:themeShade="BF"/>
          <w:sz w:val="22"/>
          <w:szCs w:val="22"/>
        </w:rPr>
        <w:t xml:space="preserve"> by the fact that the company was incorporated in France, has 10 stores in France, 80% of the employees work in France and most of the customers are from France.</w:t>
      </w:r>
      <w:r w:rsidR="00D37F52">
        <w:rPr>
          <w:rFonts w:ascii="Avenir Next" w:hAnsi="Avenir Next" w:cs="Arial"/>
          <w:color w:val="7B7B7B" w:themeColor="accent3" w:themeShade="BF"/>
          <w:sz w:val="22"/>
          <w:szCs w:val="22"/>
        </w:rPr>
        <w:t xml:space="preserve"> While the </w:t>
      </w:r>
      <w:proofErr w:type="gramStart"/>
      <w:r w:rsidR="00D37F52">
        <w:rPr>
          <w:rFonts w:ascii="Avenir Next" w:hAnsi="Avenir Next" w:cs="Arial"/>
          <w:color w:val="7B7B7B" w:themeColor="accent3" w:themeShade="BF"/>
          <w:sz w:val="22"/>
          <w:szCs w:val="22"/>
        </w:rPr>
        <w:t>EIR  2000</w:t>
      </w:r>
      <w:proofErr w:type="gramEnd"/>
      <w:r w:rsidR="00D37F52">
        <w:rPr>
          <w:rFonts w:ascii="Avenir Next" w:hAnsi="Avenir Next" w:cs="Arial"/>
          <w:color w:val="7B7B7B" w:themeColor="accent3" w:themeShade="BF"/>
          <w:sz w:val="22"/>
          <w:szCs w:val="22"/>
        </w:rPr>
        <w:t xml:space="preserve"> unfortunately aside from merely offering guidance under recital 13 did not define what COMI means. However</w:t>
      </w:r>
      <w:r w:rsidR="0075570A">
        <w:rPr>
          <w:rFonts w:ascii="Avenir Next" w:hAnsi="Avenir Next" w:cs="Arial"/>
          <w:color w:val="7B7B7B" w:themeColor="accent3" w:themeShade="BF"/>
          <w:sz w:val="22"/>
          <w:szCs w:val="22"/>
        </w:rPr>
        <w:t>,</w:t>
      </w:r>
      <w:r w:rsidR="00D37F52">
        <w:rPr>
          <w:rFonts w:ascii="Avenir Next" w:hAnsi="Avenir Next" w:cs="Arial"/>
          <w:color w:val="7B7B7B" w:themeColor="accent3" w:themeShade="BF"/>
          <w:sz w:val="22"/>
          <w:szCs w:val="22"/>
        </w:rPr>
        <w:t xml:space="preserve"> this </w:t>
      </w:r>
      <w:proofErr w:type="gramStart"/>
      <w:r w:rsidR="00D37F52">
        <w:rPr>
          <w:rFonts w:ascii="Avenir Next" w:hAnsi="Avenir Next" w:cs="Arial"/>
          <w:color w:val="7B7B7B" w:themeColor="accent3" w:themeShade="BF"/>
          <w:sz w:val="22"/>
          <w:szCs w:val="22"/>
        </w:rPr>
        <w:t>was defined</w:t>
      </w:r>
      <w:proofErr w:type="gramEnd"/>
      <w:r w:rsidR="00D37F52">
        <w:rPr>
          <w:rFonts w:ascii="Avenir Next" w:hAnsi="Avenir Next" w:cs="Arial"/>
          <w:color w:val="7B7B7B" w:themeColor="accent3" w:themeShade="BF"/>
          <w:sz w:val="22"/>
          <w:szCs w:val="22"/>
        </w:rPr>
        <w:t xml:space="preserve"> in case law in </w:t>
      </w:r>
      <w:r w:rsidR="00D37F52" w:rsidRPr="00D37F52">
        <w:rPr>
          <w:rFonts w:ascii="Avenir Next" w:hAnsi="Avenir Next" w:cs="Arial"/>
          <w:color w:val="7B7B7B" w:themeColor="accent3" w:themeShade="BF"/>
          <w:sz w:val="22"/>
          <w:szCs w:val="22"/>
        </w:rPr>
        <w:t>the case of Euro</w:t>
      </w:r>
      <w:r w:rsidR="00BB1019">
        <w:rPr>
          <w:rFonts w:ascii="Avenir Next" w:hAnsi="Avenir Next" w:cs="Arial"/>
          <w:color w:val="7B7B7B" w:themeColor="accent3" w:themeShade="BF"/>
          <w:sz w:val="22"/>
          <w:szCs w:val="22"/>
        </w:rPr>
        <w:t xml:space="preserve"> </w:t>
      </w:r>
      <w:r w:rsidR="00D37F52" w:rsidRPr="00D37F52">
        <w:rPr>
          <w:rFonts w:ascii="Avenir Next" w:hAnsi="Avenir Next" w:cs="Arial"/>
          <w:color w:val="7B7B7B" w:themeColor="accent3" w:themeShade="BF"/>
          <w:sz w:val="22"/>
          <w:szCs w:val="22"/>
        </w:rPr>
        <w:t xml:space="preserve">Food IFSC Ltd, which defined COMI as was in the EIR 2000 where the court noted that the concept of COMI is peculiar to the regulation. It has an autonomous meaning and </w:t>
      </w:r>
      <w:proofErr w:type="gramStart"/>
      <w:r w:rsidR="00D37F52" w:rsidRPr="00D37F52">
        <w:rPr>
          <w:rFonts w:ascii="Avenir Next" w:hAnsi="Avenir Next" w:cs="Arial"/>
          <w:color w:val="7B7B7B" w:themeColor="accent3" w:themeShade="BF"/>
          <w:sz w:val="22"/>
          <w:szCs w:val="22"/>
        </w:rPr>
        <w:t>must therefore be interpreted</w:t>
      </w:r>
      <w:proofErr w:type="gramEnd"/>
      <w:r w:rsidR="00D37F52" w:rsidRPr="00D37F52">
        <w:rPr>
          <w:rFonts w:ascii="Avenir Next" w:hAnsi="Avenir Next" w:cs="Arial"/>
          <w:color w:val="7B7B7B" w:themeColor="accent3" w:themeShade="BF"/>
          <w:sz w:val="22"/>
          <w:szCs w:val="22"/>
        </w:rPr>
        <w:t xml:space="preserve"> in a uniform way independently of what a similar term may mean in national legislation</w:t>
      </w:r>
      <w:r w:rsidR="00D37F52">
        <w:rPr>
          <w:rFonts w:ascii="Avenir Next" w:hAnsi="Avenir Next" w:cs="Arial"/>
          <w:color w:val="7B7B7B" w:themeColor="accent3" w:themeShade="BF"/>
          <w:sz w:val="22"/>
          <w:szCs w:val="22"/>
        </w:rPr>
        <w:t>.</w:t>
      </w:r>
    </w:p>
    <w:p w14:paraId="0BA586BF" w14:textId="6977FC76" w:rsidR="000A3278" w:rsidRDefault="00D37F5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 The EIR does allow for </w:t>
      </w:r>
      <w:r w:rsidR="0075570A">
        <w:rPr>
          <w:rFonts w:ascii="Avenir Next" w:hAnsi="Avenir Next" w:cs="Arial"/>
          <w:color w:val="7B7B7B" w:themeColor="accent3" w:themeShade="BF"/>
          <w:sz w:val="22"/>
          <w:szCs w:val="22"/>
        </w:rPr>
        <w:t xml:space="preserve">the </w:t>
      </w:r>
      <w:r>
        <w:rPr>
          <w:rFonts w:ascii="Avenir Next" w:hAnsi="Avenir Next" w:cs="Arial"/>
          <w:color w:val="7B7B7B" w:themeColor="accent3" w:themeShade="BF"/>
          <w:sz w:val="22"/>
          <w:szCs w:val="22"/>
        </w:rPr>
        <w:t>opening of safeguarding provisions</w:t>
      </w:r>
      <w:r w:rsidR="00191B63">
        <w:rPr>
          <w:rFonts w:ascii="Avenir Next" w:hAnsi="Avenir Next" w:cs="Arial"/>
          <w:color w:val="7B7B7B" w:themeColor="accent3" w:themeShade="BF"/>
          <w:sz w:val="22"/>
          <w:szCs w:val="22"/>
        </w:rPr>
        <w:t xml:space="preserve"> like</w:t>
      </w:r>
      <w:r w:rsidR="008C570E">
        <w:rPr>
          <w:rFonts w:ascii="Avenir Next" w:hAnsi="Avenir Next" w:cs="Arial"/>
          <w:color w:val="7B7B7B" w:themeColor="accent3" w:themeShade="BF"/>
          <w:sz w:val="22"/>
          <w:szCs w:val="22"/>
        </w:rPr>
        <w:t xml:space="preserve"> </w:t>
      </w:r>
      <w:r w:rsidR="00191B63">
        <w:rPr>
          <w:rFonts w:ascii="Avenir Next" w:hAnsi="Avenir Next" w:cs="Arial"/>
          <w:color w:val="7B7B7B" w:themeColor="accent3" w:themeShade="BF"/>
          <w:sz w:val="22"/>
          <w:szCs w:val="22"/>
        </w:rPr>
        <w:t xml:space="preserve">the provision on automatic recognition of </w:t>
      </w:r>
      <w:r w:rsidR="0075570A">
        <w:rPr>
          <w:rFonts w:ascii="Avenir Next" w:hAnsi="Avenir Next" w:cs="Arial"/>
          <w:color w:val="7B7B7B" w:themeColor="accent3" w:themeShade="BF"/>
          <w:sz w:val="22"/>
          <w:szCs w:val="22"/>
        </w:rPr>
        <w:t>judgments</w:t>
      </w:r>
      <w:r w:rsidR="00191B63">
        <w:rPr>
          <w:rFonts w:ascii="Avenir Next" w:hAnsi="Avenir Next" w:cs="Arial"/>
          <w:color w:val="7B7B7B" w:themeColor="accent3" w:themeShade="BF"/>
          <w:sz w:val="22"/>
          <w:szCs w:val="22"/>
        </w:rPr>
        <w:t xml:space="preserve"> in insolvency proceedings (</w:t>
      </w:r>
      <w:proofErr w:type="spellStart"/>
      <w:r w:rsidR="008C570E">
        <w:rPr>
          <w:rFonts w:ascii="Avenir Next" w:hAnsi="Avenir Next" w:cs="Arial"/>
          <w:color w:val="7B7B7B" w:themeColor="accent3" w:themeShade="BF"/>
          <w:sz w:val="22"/>
          <w:szCs w:val="22"/>
        </w:rPr>
        <w:t>lex</w:t>
      </w:r>
      <w:proofErr w:type="spellEnd"/>
      <w:r w:rsidR="008C570E">
        <w:rPr>
          <w:rFonts w:ascii="Avenir Next" w:hAnsi="Avenir Next" w:cs="Arial"/>
          <w:color w:val="7B7B7B" w:themeColor="accent3" w:themeShade="BF"/>
          <w:sz w:val="22"/>
          <w:szCs w:val="22"/>
        </w:rPr>
        <w:t xml:space="preserve"> </w:t>
      </w:r>
      <w:proofErr w:type="spellStart"/>
      <w:r w:rsidR="008C570E">
        <w:rPr>
          <w:rFonts w:ascii="Avenir Next" w:hAnsi="Avenir Next" w:cs="Arial"/>
          <w:color w:val="7B7B7B" w:themeColor="accent3" w:themeShade="BF"/>
          <w:sz w:val="22"/>
          <w:szCs w:val="22"/>
        </w:rPr>
        <w:t>concursus</w:t>
      </w:r>
      <w:proofErr w:type="spellEnd"/>
      <w:r w:rsidR="00191B63">
        <w:rPr>
          <w:rFonts w:ascii="Avenir Next" w:hAnsi="Avenir Next" w:cs="Arial"/>
          <w:color w:val="7B7B7B" w:themeColor="accent3" w:themeShade="BF"/>
          <w:sz w:val="22"/>
          <w:szCs w:val="22"/>
        </w:rPr>
        <w:t xml:space="preserve">) which is applied in the country of recognition as well as </w:t>
      </w:r>
      <w:r w:rsidR="0075570A">
        <w:rPr>
          <w:rFonts w:ascii="Avenir Next" w:hAnsi="Avenir Next" w:cs="Arial"/>
          <w:color w:val="7B7B7B" w:themeColor="accent3" w:themeShade="BF"/>
          <w:sz w:val="22"/>
          <w:szCs w:val="22"/>
        </w:rPr>
        <w:t>judgments</w:t>
      </w:r>
      <w:r w:rsidR="00191B63">
        <w:rPr>
          <w:rFonts w:ascii="Avenir Next" w:hAnsi="Avenir Next" w:cs="Arial"/>
          <w:color w:val="7B7B7B" w:themeColor="accent3" w:themeShade="BF"/>
          <w:sz w:val="22"/>
          <w:szCs w:val="22"/>
        </w:rPr>
        <w:t xml:space="preserve"> concerning the course and closure of the insolvency proceedings and this is evident in Articles 16</w:t>
      </w:r>
      <w:r w:rsidR="008C570E">
        <w:rPr>
          <w:rFonts w:ascii="Avenir Next" w:hAnsi="Avenir Next" w:cs="Arial"/>
          <w:color w:val="7B7B7B" w:themeColor="accent3" w:themeShade="BF"/>
          <w:sz w:val="22"/>
          <w:szCs w:val="22"/>
        </w:rPr>
        <w:t>,17 and 25 of the EIR 2000.</w:t>
      </w:r>
      <w:r w:rsidR="004E2F7E">
        <w:rPr>
          <w:rFonts w:ascii="Avenir Next" w:hAnsi="Avenir Next" w:cs="Arial"/>
          <w:color w:val="7B7B7B" w:themeColor="accent3" w:themeShade="BF"/>
          <w:sz w:val="22"/>
          <w:szCs w:val="22"/>
        </w:rPr>
        <w:t xml:space="preserve"> </w:t>
      </w:r>
      <w:r w:rsidR="008C570E">
        <w:rPr>
          <w:rFonts w:ascii="Avenir Next" w:hAnsi="Avenir Next" w:cs="Arial"/>
          <w:color w:val="7B7B7B" w:themeColor="accent3" w:themeShade="BF"/>
          <w:sz w:val="22"/>
          <w:szCs w:val="22"/>
        </w:rPr>
        <w:t xml:space="preserve"> </w:t>
      </w:r>
      <w:r w:rsidR="00191B63">
        <w:rPr>
          <w:rFonts w:ascii="Avenir Next" w:hAnsi="Avenir Next" w:cs="Arial"/>
          <w:color w:val="7B7B7B" w:themeColor="accent3" w:themeShade="BF"/>
          <w:sz w:val="22"/>
          <w:szCs w:val="22"/>
        </w:rPr>
        <w:t xml:space="preserve"> </w:t>
      </w:r>
      <w:proofErr w:type="gramStart"/>
      <w:r w:rsidR="000A3278">
        <w:rPr>
          <w:rFonts w:ascii="Avenir Next" w:hAnsi="Avenir Next" w:cs="Arial"/>
          <w:color w:val="7B7B7B" w:themeColor="accent3" w:themeShade="BF"/>
          <w:sz w:val="22"/>
          <w:szCs w:val="22"/>
        </w:rPr>
        <w:t>]</w:t>
      </w:r>
      <w:proofErr w:type="gramEnd"/>
    </w:p>
    <w:p w14:paraId="4A288851" w14:textId="1228DF6F" w:rsidR="003E4DB0" w:rsidRDefault="003E4DB0" w:rsidP="002A37BB">
      <w:pPr>
        <w:jc w:val="both"/>
        <w:rPr>
          <w:rFonts w:ascii="Avenir Next" w:hAnsi="Avenir Next" w:cs="Arial"/>
          <w:sz w:val="22"/>
          <w:szCs w:val="22"/>
          <w:lang w:val="en-GB"/>
        </w:rPr>
      </w:pPr>
      <w:bookmarkStart w:id="1" w:name="_GoBack"/>
      <w:bookmarkEnd w:id="1"/>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2627F9F6"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BB1019">
        <w:rPr>
          <w:rFonts w:ascii="Avenir Next" w:hAnsi="Avenir Next" w:cs="Arial"/>
          <w:color w:val="7B7B7B" w:themeColor="accent3" w:themeShade="BF"/>
          <w:sz w:val="22"/>
          <w:szCs w:val="22"/>
        </w:rPr>
        <w:t xml:space="preserve">The EIR Recast entered into legal force on </w:t>
      </w:r>
      <w:proofErr w:type="gramStart"/>
      <w:r w:rsidR="00BB1019">
        <w:rPr>
          <w:rFonts w:ascii="Avenir Next" w:hAnsi="Avenir Next" w:cs="Arial"/>
          <w:color w:val="7B7B7B" w:themeColor="accent3" w:themeShade="BF"/>
          <w:sz w:val="22"/>
          <w:szCs w:val="22"/>
        </w:rPr>
        <w:t>26</w:t>
      </w:r>
      <w:r w:rsidR="00BB1019" w:rsidRPr="00BB1019">
        <w:rPr>
          <w:rFonts w:ascii="Avenir Next" w:hAnsi="Avenir Next" w:cs="Arial"/>
          <w:color w:val="7B7B7B" w:themeColor="accent3" w:themeShade="BF"/>
          <w:sz w:val="22"/>
          <w:szCs w:val="22"/>
          <w:vertAlign w:val="superscript"/>
        </w:rPr>
        <w:t>th</w:t>
      </w:r>
      <w:proofErr w:type="gramEnd"/>
      <w:r w:rsidR="00BB1019">
        <w:rPr>
          <w:rFonts w:ascii="Avenir Next" w:hAnsi="Avenir Next" w:cs="Arial"/>
          <w:color w:val="7B7B7B" w:themeColor="accent3" w:themeShade="BF"/>
          <w:sz w:val="22"/>
          <w:szCs w:val="22"/>
        </w:rPr>
        <w:t xml:space="preserve"> June 2017, therefore any proceedings initiated after 2017 automatically fall under its jurisdiction. The Insolvency Proceedings that fall under the ambit of this law are listed under Annex A and these proceedings </w:t>
      </w:r>
      <w:proofErr w:type="gramStart"/>
      <w:r w:rsidR="00BB1019">
        <w:rPr>
          <w:rFonts w:ascii="Avenir Next" w:hAnsi="Avenir Next" w:cs="Arial"/>
          <w:color w:val="7B7B7B" w:themeColor="accent3" w:themeShade="BF"/>
          <w:sz w:val="22"/>
          <w:szCs w:val="22"/>
        </w:rPr>
        <w:t>fall  thereunder</w:t>
      </w:r>
      <w:proofErr w:type="gramEnd"/>
      <w:r w:rsidR="00BB1019">
        <w:rPr>
          <w:rFonts w:ascii="Avenir Next" w:hAnsi="Avenir Next" w:cs="Arial"/>
          <w:color w:val="7B7B7B" w:themeColor="accent3" w:themeShade="BF"/>
          <w:sz w:val="22"/>
          <w:szCs w:val="22"/>
        </w:rPr>
        <w:t xml:space="preserve">. </w:t>
      </w:r>
      <w:r w:rsidR="00BB1019" w:rsidRPr="00BB1019">
        <w:rPr>
          <w:rFonts w:ascii="Avenir Next" w:hAnsi="Avenir Next" w:cs="Arial"/>
          <w:color w:val="7B7B7B" w:themeColor="accent3" w:themeShade="BF"/>
          <w:sz w:val="22"/>
          <w:szCs w:val="22"/>
        </w:rPr>
        <w:t xml:space="preserve">Article 3(1) of the EIR Recast already classifies </w:t>
      </w:r>
      <w:r w:rsidR="00BB1019">
        <w:rPr>
          <w:rFonts w:ascii="Avenir Next" w:hAnsi="Avenir Next" w:cs="Arial"/>
          <w:color w:val="7B7B7B" w:themeColor="accent3" w:themeShade="BF"/>
          <w:sz w:val="22"/>
          <w:szCs w:val="22"/>
        </w:rPr>
        <w:t xml:space="preserve">France </w:t>
      </w:r>
      <w:r w:rsidR="00BB1019" w:rsidRPr="00BB1019">
        <w:rPr>
          <w:rFonts w:ascii="Avenir Next" w:hAnsi="Avenir Next" w:cs="Arial"/>
          <w:color w:val="7B7B7B" w:themeColor="accent3" w:themeShade="BF"/>
          <w:sz w:val="22"/>
          <w:szCs w:val="22"/>
        </w:rPr>
        <w:t xml:space="preserve">as the Center of main interest since the company was incorporated </w:t>
      </w:r>
      <w:proofErr w:type="gramStart"/>
      <w:r w:rsidR="00BB1019" w:rsidRPr="00BB1019">
        <w:rPr>
          <w:rFonts w:ascii="Avenir Next" w:hAnsi="Avenir Next" w:cs="Arial"/>
          <w:color w:val="7B7B7B" w:themeColor="accent3" w:themeShade="BF"/>
          <w:sz w:val="22"/>
          <w:szCs w:val="22"/>
        </w:rPr>
        <w:t>there ,</w:t>
      </w:r>
      <w:proofErr w:type="gramEnd"/>
      <w:r w:rsidR="00BB1019" w:rsidRPr="00BB1019">
        <w:rPr>
          <w:rFonts w:ascii="Avenir Next" w:hAnsi="Avenir Next" w:cs="Arial"/>
          <w:color w:val="7B7B7B" w:themeColor="accent3" w:themeShade="BF"/>
          <w:sz w:val="22"/>
          <w:szCs w:val="22"/>
        </w:rPr>
        <w:t xml:space="preserve"> it has ten stores there and 80% of its employees are from France with the majority of customers also being from France. </w:t>
      </w:r>
      <w:proofErr w:type="gramStart"/>
      <w:r w:rsidR="00BB1019" w:rsidRPr="00BB1019">
        <w:rPr>
          <w:rFonts w:ascii="Avenir Next" w:hAnsi="Avenir Next" w:cs="Arial"/>
          <w:color w:val="7B7B7B" w:themeColor="accent3" w:themeShade="BF"/>
          <w:sz w:val="22"/>
          <w:szCs w:val="22"/>
        </w:rPr>
        <w:t>Therefore</w:t>
      </w:r>
      <w:proofErr w:type="gramEnd"/>
      <w:r w:rsidR="00BB1019" w:rsidRPr="00BB1019">
        <w:rPr>
          <w:rFonts w:ascii="Avenir Next" w:hAnsi="Avenir Next" w:cs="Arial"/>
          <w:color w:val="7B7B7B" w:themeColor="accent3" w:themeShade="BF"/>
          <w:sz w:val="22"/>
          <w:szCs w:val="22"/>
        </w:rPr>
        <w:t xml:space="preserve"> the COMI is ascertainable by third parties as the COMI</w:t>
      </w:r>
      <w:r w:rsidR="00BB1019">
        <w:rPr>
          <w:rFonts w:ascii="Avenir Next" w:hAnsi="Avenir Next" w:cs="Arial"/>
          <w:color w:val="7B7B7B" w:themeColor="accent3" w:themeShade="BF"/>
          <w:sz w:val="22"/>
          <w:szCs w:val="22"/>
        </w:rPr>
        <w:t xml:space="preserve">. </w:t>
      </w:r>
      <w:proofErr w:type="gramStart"/>
      <w:r w:rsidR="00BB1019">
        <w:rPr>
          <w:rFonts w:ascii="Avenir Next" w:hAnsi="Avenir Next" w:cs="Arial"/>
          <w:color w:val="7B7B7B" w:themeColor="accent3" w:themeShade="BF"/>
          <w:sz w:val="22"/>
          <w:szCs w:val="22"/>
        </w:rPr>
        <w:t>Therefore</w:t>
      </w:r>
      <w:proofErr w:type="gramEnd"/>
      <w:r w:rsidR="00BB1019">
        <w:rPr>
          <w:rFonts w:ascii="Avenir Next" w:hAnsi="Avenir Next" w:cs="Arial"/>
          <w:color w:val="7B7B7B" w:themeColor="accent3" w:themeShade="BF"/>
          <w:sz w:val="22"/>
          <w:szCs w:val="22"/>
        </w:rPr>
        <w:t xml:space="preserve"> the EIR Recast is applicable and allow for the opening of the safeguarding provisions in France. </w:t>
      </w:r>
      <w:r>
        <w:rPr>
          <w:rFonts w:ascii="Avenir Next" w:hAnsi="Avenir Next" w:cs="Arial"/>
          <w:color w:val="7B7B7B" w:themeColor="accent3" w:themeShade="BF"/>
          <w:sz w:val="22"/>
          <w:szCs w:val="22"/>
        </w:rPr>
        <w: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F83431B" w14:textId="21AFCCD9" w:rsidR="00781B9C"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781B9C">
        <w:rPr>
          <w:rFonts w:ascii="Avenir Next" w:hAnsi="Avenir Next" w:cs="Arial"/>
          <w:color w:val="7B7B7B" w:themeColor="accent3" w:themeShade="BF"/>
          <w:sz w:val="22"/>
          <w:szCs w:val="22"/>
        </w:rPr>
        <w:t>Article 3(1) of the EIR Recast alr</w:t>
      </w:r>
      <w:r w:rsidR="00BB1019">
        <w:rPr>
          <w:rFonts w:ascii="Avenir Next" w:hAnsi="Avenir Next" w:cs="Arial"/>
          <w:color w:val="7B7B7B" w:themeColor="accent3" w:themeShade="BF"/>
          <w:sz w:val="22"/>
          <w:szCs w:val="22"/>
        </w:rPr>
        <w:t>eady classifies France</w:t>
      </w:r>
      <w:r w:rsidR="00781B9C">
        <w:rPr>
          <w:rFonts w:ascii="Avenir Next" w:hAnsi="Avenir Next" w:cs="Arial"/>
          <w:color w:val="7B7B7B" w:themeColor="accent3" w:themeShade="BF"/>
          <w:sz w:val="22"/>
          <w:szCs w:val="22"/>
        </w:rPr>
        <w:t xml:space="preserve"> as the Center of main interest since the company was incorporated </w:t>
      </w:r>
      <w:proofErr w:type="gramStart"/>
      <w:r w:rsidR="00781B9C">
        <w:rPr>
          <w:rFonts w:ascii="Avenir Next" w:hAnsi="Avenir Next" w:cs="Arial"/>
          <w:color w:val="7B7B7B" w:themeColor="accent3" w:themeShade="BF"/>
          <w:sz w:val="22"/>
          <w:szCs w:val="22"/>
        </w:rPr>
        <w:t>there ,</w:t>
      </w:r>
      <w:proofErr w:type="gramEnd"/>
      <w:r w:rsidR="00781B9C">
        <w:rPr>
          <w:rFonts w:ascii="Avenir Next" w:hAnsi="Avenir Next" w:cs="Arial"/>
          <w:color w:val="7B7B7B" w:themeColor="accent3" w:themeShade="BF"/>
          <w:sz w:val="22"/>
          <w:szCs w:val="22"/>
        </w:rPr>
        <w:t xml:space="preserve"> it has ten stores there and 80% of its employees are from France with the majority of customers also being from France. </w:t>
      </w:r>
      <w:proofErr w:type="gramStart"/>
      <w:r w:rsidR="00781B9C">
        <w:rPr>
          <w:rFonts w:ascii="Avenir Next" w:hAnsi="Avenir Next" w:cs="Arial"/>
          <w:color w:val="7B7B7B" w:themeColor="accent3" w:themeShade="BF"/>
          <w:sz w:val="22"/>
          <w:szCs w:val="22"/>
        </w:rPr>
        <w:t>Therefore</w:t>
      </w:r>
      <w:proofErr w:type="gramEnd"/>
      <w:r w:rsidR="00781B9C">
        <w:rPr>
          <w:rFonts w:ascii="Avenir Next" w:hAnsi="Avenir Next" w:cs="Arial"/>
          <w:color w:val="7B7B7B" w:themeColor="accent3" w:themeShade="BF"/>
          <w:sz w:val="22"/>
          <w:szCs w:val="22"/>
        </w:rPr>
        <w:t xml:space="preserve"> the COMI is ascertainable by third parties as the COMI.  </w:t>
      </w:r>
      <w:proofErr w:type="gramStart"/>
      <w:r w:rsidR="00781B9C">
        <w:rPr>
          <w:rFonts w:ascii="Avenir Next" w:hAnsi="Avenir Next" w:cs="Arial"/>
          <w:color w:val="7B7B7B" w:themeColor="accent3" w:themeShade="BF"/>
          <w:sz w:val="22"/>
          <w:szCs w:val="22"/>
        </w:rPr>
        <w:t>Article 3(2) of the EIR Recast goes further to allow for secondary proceedings by stating that where the center of the debtor’s main interest is situated within the territory of a member state, the courts of another member state have jurisdiction to open insolvency proceedings against the debtor if the debtor possesses an establishment within the territory of the member state</w:t>
      </w:r>
      <w:proofErr w:type="gramEnd"/>
    </w:p>
    <w:p w14:paraId="0488894B" w14:textId="77777777" w:rsidR="00781B9C" w:rsidRDefault="00781B9C" w:rsidP="000A3278">
      <w:pPr>
        <w:jc w:val="both"/>
        <w:rPr>
          <w:rFonts w:ascii="Avenir Next" w:hAnsi="Avenir Next" w:cs="Arial"/>
          <w:color w:val="7B7B7B" w:themeColor="accent3" w:themeShade="BF"/>
          <w:sz w:val="22"/>
          <w:szCs w:val="22"/>
        </w:rPr>
      </w:pPr>
    </w:p>
    <w:p w14:paraId="2943D6F8" w14:textId="234DFCFD" w:rsidR="00EA14EE" w:rsidRPr="00AF07D5" w:rsidRDefault="00781B9C" w:rsidP="00AF07D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While Italy is a member state of the European Union</w:t>
      </w:r>
      <w:r>
        <w:rPr>
          <w:rStyle w:val="FootnoteReference"/>
          <w:rFonts w:ascii="Avenir Next" w:hAnsi="Avenir Next" w:cs="Arial"/>
          <w:color w:val="7B7B7B" w:themeColor="accent3" w:themeShade="BF"/>
          <w:sz w:val="22"/>
          <w:szCs w:val="22"/>
        </w:rPr>
        <w:footnoteReference w:id="5"/>
      </w:r>
      <w:r>
        <w:rPr>
          <w:rFonts w:ascii="Avenir Next" w:hAnsi="Avenir Next" w:cs="Arial"/>
          <w:color w:val="7B7B7B" w:themeColor="accent3" w:themeShade="BF"/>
          <w:sz w:val="22"/>
          <w:szCs w:val="22"/>
        </w:rPr>
        <w:t>, it is important to establish whether the company has an establishment in Italy. According to Article 2(</w:t>
      </w:r>
      <w:proofErr w:type="gramStart"/>
      <w:r>
        <w:rPr>
          <w:rFonts w:ascii="Avenir Next" w:hAnsi="Avenir Next" w:cs="Arial"/>
          <w:color w:val="7B7B7B" w:themeColor="accent3" w:themeShade="BF"/>
          <w:sz w:val="22"/>
          <w:szCs w:val="22"/>
        </w:rPr>
        <w:t>10 )</w:t>
      </w:r>
      <w:proofErr w:type="gramEnd"/>
      <w:r>
        <w:rPr>
          <w:rFonts w:ascii="Avenir Next" w:hAnsi="Avenir Next" w:cs="Arial"/>
          <w:color w:val="7B7B7B" w:themeColor="accent3" w:themeShade="BF"/>
          <w:sz w:val="22"/>
          <w:szCs w:val="22"/>
        </w:rPr>
        <w:t xml:space="preserve"> of the EIR Recast an establishment is any place of operations where a debtor carries out or has carried out </w:t>
      </w:r>
      <w:r w:rsidR="004E2F7E">
        <w:rPr>
          <w:rFonts w:ascii="Avenir Next" w:hAnsi="Avenir Next" w:cs="Arial"/>
          <w:color w:val="7B7B7B" w:themeColor="accent3" w:themeShade="BF"/>
          <w:sz w:val="22"/>
          <w:szCs w:val="22"/>
        </w:rPr>
        <w:t xml:space="preserve"> three months</w:t>
      </w:r>
      <w:r>
        <w:rPr>
          <w:rFonts w:ascii="Avenir Next" w:hAnsi="Avenir Next" w:cs="Arial"/>
          <w:color w:val="7B7B7B" w:themeColor="accent3" w:themeShade="BF"/>
          <w:sz w:val="22"/>
          <w:szCs w:val="22"/>
        </w:rPr>
        <w:t xml:space="preserve"> prior to the request to open main insolvency proceedings a </w:t>
      </w:r>
      <w:r w:rsidR="004E2F7E">
        <w:rPr>
          <w:rFonts w:ascii="Avenir Next" w:hAnsi="Avenir Next" w:cs="Arial"/>
          <w:color w:val="7B7B7B" w:themeColor="accent3" w:themeShade="BF"/>
          <w:sz w:val="22"/>
          <w:szCs w:val="22"/>
        </w:rPr>
        <w:t>non-transitory</w:t>
      </w:r>
      <w:r>
        <w:rPr>
          <w:rFonts w:ascii="Avenir Next" w:hAnsi="Avenir Next" w:cs="Arial"/>
          <w:color w:val="7B7B7B" w:themeColor="accent3" w:themeShade="BF"/>
          <w:sz w:val="22"/>
          <w:szCs w:val="22"/>
        </w:rPr>
        <w:t xml:space="preserve"> economic activity with human</w:t>
      </w:r>
      <w:r w:rsidR="004E2F7E">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and assets. </w:t>
      </w:r>
      <w:r w:rsidR="004E2F7E">
        <w:rPr>
          <w:rFonts w:ascii="Avenir Next" w:hAnsi="Avenir Next" w:cs="Arial"/>
          <w:color w:val="7B7B7B" w:themeColor="accent3" w:themeShade="BF"/>
          <w:sz w:val="22"/>
          <w:szCs w:val="22"/>
        </w:rPr>
        <w:t xml:space="preserve">This definition was further emphasized by the </w:t>
      </w:r>
      <w:r w:rsidR="00AF07D5">
        <w:rPr>
          <w:rFonts w:ascii="Avenir Next" w:hAnsi="Avenir Next" w:cs="Arial"/>
          <w:color w:val="7B7B7B" w:themeColor="accent3" w:themeShade="BF"/>
          <w:sz w:val="22"/>
          <w:szCs w:val="22"/>
        </w:rPr>
        <w:t xml:space="preserve">CJEU in the case of </w:t>
      </w:r>
      <w:proofErr w:type="spellStart"/>
      <w:r w:rsidR="00AF07D5">
        <w:rPr>
          <w:rFonts w:ascii="Avenir Next" w:hAnsi="Avenir Next" w:cs="Arial"/>
          <w:color w:val="7B7B7B" w:themeColor="accent3" w:themeShade="BF"/>
          <w:sz w:val="22"/>
          <w:szCs w:val="22"/>
        </w:rPr>
        <w:t>Interedil</w:t>
      </w:r>
      <w:proofErr w:type="spellEnd"/>
      <w:r w:rsidR="00AF07D5">
        <w:rPr>
          <w:rFonts w:ascii="Avenir Next" w:hAnsi="Avenir Next" w:cs="Arial"/>
          <w:color w:val="7B7B7B" w:themeColor="accent3" w:themeShade="BF"/>
          <w:sz w:val="22"/>
          <w:szCs w:val="22"/>
        </w:rPr>
        <w:t xml:space="preserve"> </w:t>
      </w:r>
      <w:proofErr w:type="spellStart"/>
      <w:r w:rsidR="00AF07D5">
        <w:rPr>
          <w:rFonts w:ascii="Avenir Next" w:hAnsi="Avenir Next" w:cs="Arial"/>
          <w:color w:val="7B7B7B" w:themeColor="accent3" w:themeShade="BF"/>
          <w:sz w:val="22"/>
          <w:szCs w:val="22"/>
        </w:rPr>
        <w:t>Srl</w:t>
      </w:r>
      <w:proofErr w:type="spellEnd"/>
      <w:r w:rsidR="00AF07D5">
        <w:rPr>
          <w:rFonts w:ascii="Avenir Next" w:hAnsi="Avenir Next" w:cs="Arial"/>
          <w:color w:val="7B7B7B" w:themeColor="accent3" w:themeShade="BF"/>
          <w:sz w:val="22"/>
          <w:szCs w:val="22"/>
        </w:rPr>
        <w:t xml:space="preserve"> v </w:t>
      </w:r>
      <w:proofErr w:type="spellStart"/>
      <w:r w:rsidR="00AF07D5">
        <w:rPr>
          <w:rFonts w:ascii="Avenir Next" w:hAnsi="Avenir Next" w:cs="Arial"/>
          <w:color w:val="7B7B7B" w:themeColor="accent3" w:themeShade="BF"/>
          <w:sz w:val="22"/>
          <w:szCs w:val="22"/>
        </w:rPr>
        <w:t>Fallimento</w:t>
      </w:r>
      <w:proofErr w:type="spellEnd"/>
      <w:r w:rsidR="00AF07D5">
        <w:rPr>
          <w:rFonts w:ascii="Avenir Next" w:hAnsi="Avenir Next" w:cs="Arial"/>
          <w:color w:val="7B7B7B" w:themeColor="accent3" w:themeShade="BF"/>
          <w:sz w:val="22"/>
          <w:szCs w:val="22"/>
        </w:rPr>
        <w:t xml:space="preserve"> </w:t>
      </w:r>
      <w:proofErr w:type="spellStart"/>
      <w:r w:rsidR="00AF07D5">
        <w:rPr>
          <w:rFonts w:ascii="Avenir Next" w:hAnsi="Avenir Next" w:cs="Arial"/>
          <w:color w:val="7B7B7B" w:themeColor="accent3" w:themeShade="BF"/>
          <w:sz w:val="22"/>
          <w:szCs w:val="22"/>
        </w:rPr>
        <w:t>Interedil</w:t>
      </w:r>
      <w:proofErr w:type="spellEnd"/>
      <w:r w:rsidR="00AF07D5">
        <w:rPr>
          <w:rFonts w:ascii="Avenir Next" w:hAnsi="Avenir Next" w:cs="Arial"/>
          <w:color w:val="7B7B7B" w:themeColor="accent3" w:themeShade="BF"/>
          <w:sz w:val="22"/>
          <w:szCs w:val="22"/>
        </w:rPr>
        <w:t xml:space="preserve"> </w:t>
      </w:r>
      <w:proofErr w:type="spellStart"/>
      <w:r w:rsidR="00AF07D5">
        <w:rPr>
          <w:rFonts w:ascii="Avenir Next" w:hAnsi="Avenir Next" w:cs="Arial"/>
          <w:color w:val="7B7B7B" w:themeColor="accent3" w:themeShade="BF"/>
          <w:sz w:val="22"/>
          <w:szCs w:val="22"/>
        </w:rPr>
        <w:t>Srl</w:t>
      </w:r>
      <w:proofErr w:type="spellEnd"/>
      <w:r w:rsidR="00AF07D5">
        <w:rPr>
          <w:rStyle w:val="FootnoteReference"/>
          <w:rFonts w:ascii="Avenir Next" w:hAnsi="Avenir Next" w:cs="Arial"/>
          <w:color w:val="7B7B7B" w:themeColor="accent3" w:themeShade="BF"/>
          <w:sz w:val="22"/>
          <w:szCs w:val="22"/>
        </w:rPr>
        <w:footnoteReference w:id="6"/>
      </w:r>
      <w:r w:rsidR="00AF07D5">
        <w:rPr>
          <w:rFonts w:ascii="Avenir Next" w:hAnsi="Avenir Next" w:cs="Arial"/>
          <w:color w:val="7B7B7B" w:themeColor="accent3" w:themeShade="BF"/>
          <w:sz w:val="22"/>
          <w:szCs w:val="22"/>
        </w:rPr>
        <w:t xml:space="preserve"> where noted that to be able to establish that there is an establishment, the pursuit of economic activity should connect to the presence of human resources which show a minimum level of organization and a degree of stability. Going by the facts in the present case, t</w:t>
      </w:r>
      <w:r w:rsidR="004E2F7E">
        <w:rPr>
          <w:rFonts w:ascii="Avenir Next" w:hAnsi="Avenir Next" w:cs="Arial"/>
          <w:color w:val="7B7B7B" w:themeColor="accent3" w:themeShade="BF"/>
          <w:sz w:val="22"/>
          <w:szCs w:val="22"/>
        </w:rPr>
        <w:t xml:space="preserve">he only presence the company has </w:t>
      </w:r>
      <w:r w:rsidR="00AF07D5">
        <w:rPr>
          <w:rFonts w:ascii="Avenir Next" w:hAnsi="Avenir Next" w:cs="Arial"/>
          <w:color w:val="7B7B7B" w:themeColor="accent3" w:themeShade="BF"/>
          <w:sz w:val="22"/>
          <w:szCs w:val="22"/>
        </w:rPr>
        <w:t xml:space="preserve">is </w:t>
      </w:r>
      <w:r w:rsidR="004E2F7E">
        <w:rPr>
          <w:rFonts w:ascii="Avenir Next" w:hAnsi="Avenir Next" w:cs="Arial"/>
          <w:color w:val="7B7B7B" w:themeColor="accent3" w:themeShade="BF"/>
          <w:sz w:val="22"/>
          <w:szCs w:val="22"/>
        </w:rPr>
        <w:t>in Spain</w:t>
      </w:r>
      <w:r w:rsidR="00AF07D5">
        <w:rPr>
          <w:rFonts w:ascii="Avenir Next" w:hAnsi="Avenir Next" w:cs="Arial"/>
          <w:color w:val="7B7B7B" w:themeColor="accent3" w:themeShade="BF"/>
          <w:sz w:val="22"/>
          <w:szCs w:val="22"/>
        </w:rPr>
        <w:t>,</w:t>
      </w:r>
      <w:r w:rsidR="004E2F7E">
        <w:rPr>
          <w:rFonts w:ascii="Avenir Next" w:hAnsi="Avenir Next" w:cs="Arial"/>
          <w:color w:val="7B7B7B" w:themeColor="accent3" w:themeShade="BF"/>
          <w:sz w:val="22"/>
          <w:szCs w:val="22"/>
        </w:rPr>
        <w:t xml:space="preserve"> a warehouse</w:t>
      </w:r>
      <w:r w:rsidR="00AF07D5">
        <w:rPr>
          <w:rFonts w:ascii="Avenir Next" w:hAnsi="Avenir Next" w:cs="Arial"/>
          <w:color w:val="7B7B7B" w:themeColor="accent3" w:themeShade="BF"/>
          <w:sz w:val="22"/>
          <w:szCs w:val="22"/>
        </w:rPr>
        <w:t>,</w:t>
      </w:r>
      <w:r w:rsidR="004E2F7E">
        <w:rPr>
          <w:rFonts w:ascii="Avenir Next" w:hAnsi="Avenir Next" w:cs="Arial"/>
          <w:color w:val="7B7B7B" w:themeColor="accent3" w:themeShade="BF"/>
          <w:sz w:val="22"/>
          <w:szCs w:val="22"/>
        </w:rPr>
        <w:t xml:space="preserve"> </w:t>
      </w:r>
      <w:r w:rsidR="00AF07D5">
        <w:rPr>
          <w:rFonts w:ascii="Avenir Next" w:hAnsi="Avenir Next" w:cs="Arial"/>
          <w:color w:val="7B7B7B" w:themeColor="accent3" w:themeShade="BF"/>
          <w:sz w:val="22"/>
          <w:szCs w:val="22"/>
        </w:rPr>
        <w:t xml:space="preserve">with no presence in Italy. Therefore there is no legal basis under the EIR </w:t>
      </w:r>
      <w:proofErr w:type="gramStart"/>
      <w:r w:rsidR="00AF07D5">
        <w:rPr>
          <w:rFonts w:ascii="Avenir Next" w:hAnsi="Avenir Next" w:cs="Arial"/>
          <w:color w:val="7B7B7B" w:themeColor="accent3" w:themeShade="BF"/>
          <w:sz w:val="22"/>
          <w:szCs w:val="22"/>
        </w:rPr>
        <w:t>Recast  for</w:t>
      </w:r>
      <w:proofErr w:type="gramEnd"/>
      <w:r w:rsidR="00AF07D5">
        <w:rPr>
          <w:rFonts w:ascii="Avenir Next" w:hAnsi="Avenir Next" w:cs="Arial"/>
          <w:color w:val="7B7B7B" w:themeColor="accent3" w:themeShade="BF"/>
          <w:sz w:val="22"/>
          <w:szCs w:val="22"/>
        </w:rPr>
        <w:t xml:space="preserve"> opening secondary insolvency proceedings in Italy as the company has no economic activity or presence of human resource there. </w:t>
      </w: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B65CE" w14:textId="77777777" w:rsidR="00BB1019" w:rsidRDefault="00BB1019" w:rsidP="00241B44">
      <w:r>
        <w:separator/>
      </w:r>
    </w:p>
  </w:endnote>
  <w:endnote w:type="continuationSeparator" w:id="0">
    <w:p w14:paraId="5D9B96E7" w14:textId="77777777" w:rsidR="00BB1019" w:rsidRDefault="00BB10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B1019" w:rsidRPr="00FC7B47" w:rsidRDefault="00BB101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B1019" w:rsidRPr="00FC7B47" w:rsidRDefault="00BB101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34E0EB8" w:rsidR="00BB1019" w:rsidRPr="009B4976" w:rsidRDefault="00BB1019"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F67CCE">
          <w:rPr>
            <w:rStyle w:val="PageNumber"/>
            <w:rFonts w:ascii="Avenir Next" w:hAnsi="Avenir Next" w:cs="Arial"/>
            <w:noProof/>
            <w:sz w:val="22"/>
            <w:szCs w:val="22"/>
          </w:rPr>
          <w:t>10</w:t>
        </w:r>
        <w:r w:rsidRPr="001B6DDC">
          <w:rPr>
            <w:rStyle w:val="PageNumber"/>
            <w:rFonts w:ascii="Avenir Next" w:hAnsi="Avenir Next" w:cs="Arial"/>
            <w:sz w:val="22"/>
            <w:szCs w:val="22"/>
          </w:rPr>
          <w:fldChar w:fldCharType="end"/>
        </w:r>
      </w:p>
    </w:sdtContent>
  </w:sdt>
  <w:p w14:paraId="30F05E79" w14:textId="2616AB09" w:rsidR="00BB1019" w:rsidRPr="005418A0" w:rsidRDefault="00BB1019" w:rsidP="009B4976">
    <w:pPr>
      <w:pStyle w:val="Footer"/>
      <w:ind w:right="360"/>
      <w:rPr>
        <w:rFonts w:ascii="Avenir Next" w:hAnsi="Avenir Next" w:cs="Arial"/>
        <w:sz w:val="22"/>
        <w:szCs w:val="22"/>
        <w:lang w:val="en-GB"/>
      </w:rPr>
    </w:pPr>
    <w:r w:rsidRPr="005418A0">
      <w:rPr>
        <w:rFonts w:ascii="Avenir Next" w:hAnsi="Avenir Next" w:cs="Arial"/>
        <w:sz w:val="22"/>
        <w:szCs w:val="22"/>
        <w:lang w:val="en-GB"/>
      </w:rPr>
      <w:t>studentID.assessment2B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6637" w14:textId="77777777" w:rsidR="00BB1019" w:rsidRDefault="00BB1019" w:rsidP="00241B44">
      <w:r>
        <w:separator/>
      </w:r>
    </w:p>
  </w:footnote>
  <w:footnote w:type="continuationSeparator" w:id="0">
    <w:p w14:paraId="0F643B6D" w14:textId="77777777" w:rsidR="00BB1019" w:rsidRDefault="00BB1019" w:rsidP="00241B44">
      <w:r>
        <w:continuationSeparator/>
      </w:r>
    </w:p>
  </w:footnote>
  <w:footnote w:id="1">
    <w:p w14:paraId="0A3589C0" w14:textId="6E5443BA" w:rsidR="00BB1019" w:rsidRDefault="00BB1019">
      <w:pPr>
        <w:pStyle w:val="FootnoteText"/>
      </w:pPr>
      <w:r>
        <w:rPr>
          <w:rStyle w:val="FootnoteReference"/>
        </w:rPr>
        <w:footnoteRef/>
      </w:r>
      <w:r>
        <w:t xml:space="preserve"> Module 2B Guidance Text , Foundation Certificate in international insolvency  Law</w:t>
      </w:r>
    </w:p>
  </w:footnote>
  <w:footnote w:id="2">
    <w:p w14:paraId="6397D9EC" w14:textId="5C7104F5" w:rsidR="00BB1019" w:rsidRDefault="00BB1019">
      <w:pPr>
        <w:pStyle w:val="FootnoteText"/>
      </w:pPr>
      <w:r>
        <w:rPr>
          <w:rStyle w:val="FootnoteReference"/>
        </w:rPr>
        <w:footnoteRef/>
      </w:r>
      <w:r>
        <w:t xml:space="preserve"> Case C-341/04,ECLI:EU:C:2006:281(May 2,2006)</w:t>
      </w:r>
    </w:p>
  </w:footnote>
  <w:footnote w:id="3">
    <w:p w14:paraId="0A303BA0" w14:textId="52FE3378" w:rsidR="00BB1019" w:rsidRDefault="00BB1019">
      <w:pPr>
        <w:pStyle w:val="FootnoteText"/>
      </w:pPr>
      <w:r>
        <w:rPr>
          <w:rStyle w:val="FootnoteReference"/>
        </w:rPr>
        <w:footnoteRef/>
      </w:r>
      <w:r>
        <w:t xml:space="preserve"> Maxwell Communications Corp [1992</w:t>
      </w:r>
      <w:proofErr w:type="gramStart"/>
      <w:r>
        <w:t>]B.C.L</w:t>
      </w:r>
      <w:proofErr w:type="gramEnd"/>
      <w:r>
        <w:t xml:space="preserve"> 465.</w:t>
      </w:r>
    </w:p>
  </w:footnote>
  <w:footnote w:id="4">
    <w:p w14:paraId="2B7A3A23" w14:textId="223C3C83" w:rsidR="00BB1019" w:rsidRDefault="00BB1019">
      <w:pPr>
        <w:pStyle w:val="FootnoteText"/>
      </w:pPr>
      <w:r>
        <w:rPr>
          <w:rStyle w:val="FootnoteReference"/>
        </w:rPr>
        <w:footnoteRef/>
      </w:r>
      <w:r>
        <w:t xml:space="preserve"> Module 2B Guidance Text , Foundation Certificate in international insolvency  Law</w:t>
      </w:r>
    </w:p>
  </w:footnote>
  <w:footnote w:id="5">
    <w:p w14:paraId="5A754C22" w14:textId="77777777" w:rsidR="00BB1019" w:rsidRDefault="00BB1019" w:rsidP="00781B9C">
      <w:pPr>
        <w:pStyle w:val="FootnoteText"/>
      </w:pPr>
      <w:r>
        <w:rPr>
          <w:rStyle w:val="FootnoteReference"/>
        </w:rPr>
        <w:footnoteRef/>
      </w:r>
      <w:r>
        <w:t xml:space="preserve"> </w:t>
      </w:r>
      <w:r w:rsidRPr="00781B9C">
        <w:t>https://european-union.europa.eu/principles-countries-history/eu-countries/italy_en</w:t>
      </w:r>
    </w:p>
  </w:footnote>
  <w:footnote w:id="6">
    <w:p w14:paraId="71BBA5C5" w14:textId="4DC0B104" w:rsidR="00BB1019" w:rsidRDefault="00BB1019">
      <w:pPr>
        <w:pStyle w:val="FootnoteText"/>
      </w:pPr>
      <w:r>
        <w:rPr>
          <w:rStyle w:val="FootnoteReference"/>
        </w:rPr>
        <w:footnoteRef/>
      </w:r>
      <w:r>
        <w:t xml:space="preserve"> C-396/09 ECLI:EU:C:2011:671 (Oct 20,2011)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121DD6"/>
    <w:multiLevelType w:val="hybridMultilevel"/>
    <w:tmpl w:val="3C40E602"/>
    <w:lvl w:ilvl="0" w:tplc="C9D8E6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7"/>
  </w:num>
  <w:num w:numId="4">
    <w:abstractNumId w:val="29"/>
  </w:num>
  <w:num w:numId="5">
    <w:abstractNumId w:val="22"/>
  </w:num>
  <w:num w:numId="6">
    <w:abstractNumId w:val="25"/>
  </w:num>
  <w:num w:numId="7">
    <w:abstractNumId w:val="7"/>
  </w:num>
  <w:num w:numId="8">
    <w:abstractNumId w:val="20"/>
  </w:num>
  <w:num w:numId="9">
    <w:abstractNumId w:val="19"/>
  </w:num>
  <w:num w:numId="10">
    <w:abstractNumId w:val="15"/>
  </w:num>
  <w:num w:numId="11">
    <w:abstractNumId w:val="21"/>
  </w:num>
  <w:num w:numId="12">
    <w:abstractNumId w:val="3"/>
  </w:num>
  <w:num w:numId="13">
    <w:abstractNumId w:val="12"/>
  </w:num>
  <w:num w:numId="14">
    <w:abstractNumId w:val="18"/>
  </w:num>
  <w:num w:numId="15">
    <w:abstractNumId w:val="16"/>
  </w:num>
  <w:num w:numId="16">
    <w:abstractNumId w:val="11"/>
  </w:num>
  <w:num w:numId="17">
    <w:abstractNumId w:val="14"/>
  </w:num>
  <w:num w:numId="18">
    <w:abstractNumId w:val="4"/>
  </w:num>
  <w:num w:numId="19">
    <w:abstractNumId w:val="0"/>
  </w:num>
  <w:num w:numId="20">
    <w:abstractNumId w:val="6"/>
  </w:num>
  <w:num w:numId="21">
    <w:abstractNumId w:val="0"/>
  </w:num>
  <w:num w:numId="22">
    <w:abstractNumId w:val="9"/>
  </w:num>
  <w:num w:numId="23">
    <w:abstractNumId w:val="24"/>
  </w:num>
  <w:num w:numId="24">
    <w:abstractNumId w:val="26"/>
  </w:num>
  <w:num w:numId="25">
    <w:abstractNumId w:val="5"/>
  </w:num>
  <w:num w:numId="26">
    <w:abstractNumId w:val="30"/>
  </w:num>
  <w:num w:numId="27">
    <w:abstractNumId w:val="10"/>
  </w:num>
  <w:num w:numId="28">
    <w:abstractNumId w:val="2"/>
  </w:num>
  <w:num w:numId="29">
    <w:abstractNumId w:val="13"/>
  </w:num>
  <w:num w:numId="30">
    <w:abstractNumId w:val="28"/>
  </w:num>
  <w:num w:numId="31">
    <w:abstractNumId w:val="27"/>
  </w:num>
  <w:num w:numId="32">
    <w:abstractNumId w:val="8"/>
  </w:num>
  <w:num w:numId="33">
    <w:abstractNumId w:val="32"/>
  </w:num>
  <w:num w:numId="34">
    <w:abstractNumId w:val="31"/>
  </w:num>
  <w:num w:numId="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963E6"/>
    <w:rsid w:val="000A3278"/>
    <w:rsid w:val="000A373F"/>
    <w:rsid w:val="000A68ED"/>
    <w:rsid w:val="000A7541"/>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1B63"/>
    <w:rsid w:val="001966D9"/>
    <w:rsid w:val="001A68CC"/>
    <w:rsid w:val="001A7E9A"/>
    <w:rsid w:val="001B0F70"/>
    <w:rsid w:val="001B5016"/>
    <w:rsid w:val="001B6DDC"/>
    <w:rsid w:val="001C037F"/>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784"/>
    <w:rsid w:val="0029690F"/>
    <w:rsid w:val="00297C8A"/>
    <w:rsid w:val="002A2A60"/>
    <w:rsid w:val="002A37BB"/>
    <w:rsid w:val="002A4C1F"/>
    <w:rsid w:val="002B1C45"/>
    <w:rsid w:val="002C13C8"/>
    <w:rsid w:val="002C3547"/>
    <w:rsid w:val="002D0021"/>
    <w:rsid w:val="002D3473"/>
    <w:rsid w:val="002E1A5D"/>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52B77"/>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11F5"/>
    <w:rsid w:val="00444284"/>
    <w:rsid w:val="0044574C"/>
    <w:rsid w:val="00445CE6"/>
    <w:rsid w:val="004534C2"/>
    <w:rsid w:val="004539AD"/>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B614D"/>
    <w:rsid w:val="004C0D03"/>
    <w:rsid w:val="004C0D33"/>
    <w:rsid w:val="004D1A5A"/>
    <w:rsid w:val="004D2FFF"/>
    <w:rsid w:val="004D3721"/>
    <w:rsid w:val="004D64F9"/>
    <w:rsid w:val="004E2F7E"/>
    <w:rsid w:val="004E3A6B"/>
    <w:rsid w:val="004E622C"/>
    <w:rsid w:val="004F4245"/>
    <w:rsid w:val="004F4AF9"/>
    <w:rsid w:val="004F5FDF"/>
    <w:rsid w:val="005077AA"/>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417"/>
    <w:rsid w:val="00612CA5"/>
    <w:rsid w:val="00614546"/>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31D"/>
    <w:rsid w:val="00680EF2"/>
    <w:rsid w:val="00687A1D"/>
    <w:rsid w:val="00696ED8"/>
    <w:rsid w:val="00697EA1"/>
    <w:rsid w:val="006A2646"/>
    <w:rsid w:val="006A4F8B"/>
    <w:rsid w:val="006A6530"/>
    <w:rsid w:val="006B435A"/>
    <w:rsid w:val="006B4C64"/>
    <w:rsid w:val="006C3FB7"/>
    <w:rsid w:val="006C4FAA"/>
    <w:rsid w:val="006D217A"/>
    <w:rsid w:val="006D6BD5"/>
    <w:rsid w:val="006E07D8"/>
    <w:rsid w:val="006E481A"/>
    <w:rsid w:val="006E4E28"/>
    <w:rsid w:val="006E5287"/>
    <w:rsid w:val="006E5298"/>
    <w:rsid w:val="006F0106"/>
    <w:rsid w:val="006F2B12"/>
    <w:rsid w:val="006F4A78"/>
    <w:rsid w:val="006F734A"/>
    <w:rsid w:val="00700D83"/>
    <w:rsid w:val="00704852"/>
    <w:rsid w:val="007074E9"/>
    <w:rsid w:val="00713DA4"/>
    <w:rsid w:val="00714BF1"/>
    <w:rsid w:val="00721383"/>
    <w:rsid w:val="00726124"/>
    <w:rsid w:val="0073158B"/>
    <w:rsid w:val="007333CC"/>
    <w:rsid w:val="0073399A"/>
    <w:rsid w:val="00745D6F"/>
    <w:rsid w:val="00751788"/>
    <w:rsid w:val="0075570A"/>
    <w:rsid w:val="00756CB1"/>
    <w:rsid w:val="007603F5"/>
    <w:rsid w:val="00764DB0"/>
    <w:rsid w:val="0076764D"/>
    <w:rsid w:val="0077498C"/>
    <w:rsid w:val="007772BD"/>
    <w:rsid w:val="007809BC"/>
    <w:rsid w:val="00781B9C"/>
    <w:rsid w:val="00782DF0"/>
    <w:rsid w:val="00782EE1"/>
    <w:rsid w:val="00784128"/>
    <w:rsid w:val="0078463C"/>
    <w:rsid w:val="00793173"/>
    <w:rsid w:val="007A107A"/>
    <w:rsid w:val="007A2A33"/>
    <w:rsid w:val="007A6B8D"/>
    <w:rsid w:val="007A7B20"/>
    <w:rsid w:val="007B1FF4"/>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325D0"/>
    <w:rsid w:val="00841051"/>
    <w:rsid w:val="008478CC"/>
    <w:rsid w:val="008500BD"/>
    <w:rsid w:val="00860723"/>
    <w:rsid w:val="00864593"/>
    <w:rsid w:val="0086548F"/>
    <w:rsid w:val="00871BD0"/>
    <w:rsid w:val="008723F3"/>
    <w:rsid w:val="00874240"/>
    <w:rsid w:val="00881DE6"/>
    <w:rsid w:val="008837A6"/>
    <w:rsid w:val="0089145D"/>
    <w:rsid w:val="008923BA"/>
    <w:rsid w:val="0089362E"/>
    <w:rsid w:val="00894C1D"/>
    <w:rsid w:val="00897A78"/>
    <w:rsid w:val="008A4DF2"/>
    <w:rsid w:val="008A6CFE"/>
    <w:rsid w:val="008A7391"/>
    <w:rsid w:val="008A7A00"/>
    <w:rsid w:val="008B5333"/>
    <w:rsid w:val="008B6223"/>
    <w:rsid w:val="008C385B"/>
    <w:rsid w:val="008C4AC6"/>
    <w:rsid w:val="008C570E"/>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3F20"/>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40B4"/>
    <w:rsid w:val="00A46B4C"/>
    <w:rsid w:val="00A50055"/>
    <w:rsid w:val="00A5117B"/>
    <w:rsid w:val="00A54CB5"/>
    <w:rsid w:val="00A60074"/>
    <w:rsid w:val="00A620A6"/>
    <w:rsid w:val="00A62FDA"/>
    <w:rsid w:val="00A6627C"/>
    <w:rsid w:val="00A71019"/>
    <w:rsid w:val="00A81029"/>
    <w:rsid w:val="00A826C9"/>
    <w:rsid w:val="00A83E9F"/>
    <w:rsid w:val="00A96489"/>
    <w:rsid w:val="00AA55B5"/>
    <w:rsid w:val="00AB514B"/>
    <w:rsid w:val="00AB685C"/>
    <w:rsid w:val="00AB6C2D"/>
    <w:rsid w:val="00AC08F7"/>
    <w:rsid w:val="00AC3839"/>
    <w:rsid w:val="00AC4C4F"/>
    <w:rsid w:val="00AC7082"/>
    <w:rsid w:val="00AD2931"/>
    <w:rsid w:val="00AD35E0"/>
    <w:rsid w:val="00AD513F"/>
    <w:rsid w:val="00AD6870"/>
    <w:rsid w:val="00AE2316"/>
    <w:rsid w:val="00AE477C"/>
    <w:rsid w:val="00AE74BA"/>
    <w:rsid w:val="00AF07D5"/>
    <w:rsid w:val="00AF228E"/>
    <w:rsid w:val="00AF39A8"/>
    <w:rsid w:val="00B016A8"/>
    <w:rsid w:val="00B070D2"/>
    <w:rsid w:val="00B12499"/>
    <w:rsid w:val="00B12EF7"/>
    <w:rsid w:val="00B137B0"/>
    <w:rsid w:val="00B14819"/>
    <w:rsid w:val="00B15E2F"/>
    <w:rsid w:val="00B17AA9"/>
    <w:rsid w:val="00B27054"/>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1019"/>
    <w:rsid w:val="00BB38D1"/>
    <w:rsid w:val="00BD73DA"/>
    <w:rsid w:val="00BE2140"/>
    <w:rsid w:val="00BE4BFD"/>
    <w:rsid w:val="00BE4FF3"/>
    <w:rsid w:val="00BF50F7"/>
    <w:rsid w:val="00C00B20"/>
    <w:rsid w:val="00C00E77"/>
    <w:rsid w:val="00C02F29"/>
    <w:rsid w:val="00C0543C"/>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11FD"/>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37F52"/>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52D7"/>
    <w:rsid w:val="00E450A4"/>
    <w:rsid w:val="00E506BE"/>
    <w:rsid w:val="00E55547"/>
    <w:rsid w:val="00E604A1"/>
    <w:rsid w:val="00E6302B"/>
    <w:rsid w:val="00E6452F"/>
    <w:rsid w:val="00E64F45"/>
    <w:rsid w:val="00E6742D"/>
    <w:rsid w:val="00E70FA4"/>
    <w:rsid w:val="00E71CB0"/>
    <w:rsid w:val="00E76AE1"/>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04B6B"/>
    <w:rsid w:val="00F13FB1"/>
    <w:rsid w:val="00F25BC1"/>
    <w:rsid w:val="00F27CD8"/>
    <w:rsid w:val="00F30351"/>
    <w:rsid w:val="00F3323E"/>
    <w:rsid w:val="00F341F4"/>
    <w:rsid w:val="00F34F9D"/>
    <w:rsid w:val="00F3562C"/>
    <w:rsid w:val="00F35CCE"/>
    <w:rsid w:val="00F4596C"/>
    <w:rsid w:val="00F51441"/>
    <w:rsid w:val="00F5524B"/>
    <w:rsid w:val="00F57C8E"/>
    <w:rsid w:val="00F60538"/>
    <w:rsid w:val="00F60B34"/>
    <w:rsid w:val="00F61DD2"/>
    <w:rsid w:val="00F66AFF"/>
    <w:rsid w:val="00F67CCE"/>
    <w:rsid w:val="00F71433"/>
    <w:rsid w:val="00F746D8"/>
    <w:rsid w:val="00F76CD4"/>
    <w:rsid w:val="00F814B4"/>
    <w:rsid w:val="00F83464"/>
    <w:rsid w:val="00F93BE7"/>
    <w:rsid w:val="00F97C5B"/>
    <w:rsid w:val="00FA3D50"/>
    <w:rsid w:val="00FB373E"/>
    <w:rsid w:val="00FB50CD"/>
    <w:rsid w:val="00FB6122"/>
    <w:rsid w:val="00FB7FBD"/>
    <w:rsid w:val="00FC235E"/>
    <w:rsid w:val="00FC36AD"/>
    <w:rsid w:val="00FC374A"/>
    <w:rsid w:val="00FC48D8"/>
    <w:rsid w:val="00FC7B47"/>
    <w:rsid w:val="00FD035C"/>
    <w:rsid w:val="00FD1A35"/>
    <w:rsid w:val="00FD36C5"/>
    <w:rsid w:val="00FD6310"/>
    <w:rsid w:val="00FD6549"/>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26F2-C987-4B16-B2CA-86DE278C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4730</Words>
  <Characters>24068</Characters>
  <Application>Microsoft Office Word</Application>
  <DocSecurity>0</DocSecurity>
  <Lines>547</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Niringiye</cp:lastModifiedBy>
  <cp:revision>31</cp:revision>
  <cp:lastPrinted>2019-08-27T05:42:00Z</cp:lastPrinted>
  <dcterms:created xsi:type="dcterms:W3CDTF">2024-05-24T20:27:00Z</dcterms:created>
  <dcterms:modified xsi:type="dcterms:W3CDTF">2024-06-18T15:40:00Z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23ef5ee61da5a403691e14c3e801e547706243fae12b61a52e28803183e01a53</vt:lpwstr>
  </property>
</Properties>
</file>