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0732B86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Default="00397D3A" w:rsidP="007C6201">
      <w:pPr>
        <w:jc w:val="both"/>
        <w:rPr>
          <w:rFonts w:ascii="Avenir Next" w:hAnsi="Avenir Next" w:cs="Arial"/>
          <w:b/>
          <w:sz w:val="22"/>
          <w:szCs w:val="22"/>
          <w:lang w:val="en-GB"/>
        </w:rPr>
      </w:pPr>
    </w:p>
    <w:p w14:paraId="57779C89" w14:textId="77777777" w:rsidR="005D7395" w:rsidRDefault="005D7395" w:rsidP="007C6201">
      <w:pPr>
        <w:jc w:val="both"/>
        <w:rPr>
          <w:rFonts w:ascii="Avenir Next" w:hAnsi="Avenir Next" w:cs="Arial"/>
          <w:b/>
          <w:sz w:val="22"/>
          <w:szCs w:val="22"/>
          <w:lang w:val="en-GB"/>
        </w:rPr>
      </w:pPr>
    </w:p>
    <w:p w14:paraId="49F968C2" w14:textId="77777777" w:rsidR="005D7395" w:rsidRDefault="005D7395" w:rsidP="007C6201">
      <w:pPr>
        <w:jc w:val="both"/>
        <w:rPr>
          <w:rFonts w:ascii="Avenir Next" w:hAnsi="Avenir Next" w:cs="Arial"/>
          <w:b/>
          <w:sz w:val="22"/>
          <w:szCs w:val="22"/>
          <w:lang w:val="en-GB"/>
        </w:rPr>
      </w:pPr>
    </w:p>
    <w:p w14:paraId="000AA3B5" w14:textId="77777777" w:rsidR="005D7395" w:rsidRPr="00310533" w:rsidRDefault="005D7395"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77F97D00"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3619F5B9" w:rsidR="000F6063" w:rsidRPr="005D5CF2" w:rsidRDefault="000F6063">
      <w:pPr>
        <w:pStyle w:val="ListParagraph"/>
        <w:numPr>
          <w:ilvl w:val="0"/>
          <w:numId w:val="1"/>
        </w:numPr>
        <w:ind w:left="426"/>
        <w:jc w:val="both"/>
        <w:rPr>
          <w:rFonts w:ascii="Avenir Next" w:hAnsi="Avenir Next" w:cs="Arial"/>
          <w:sz w:val="22"/>
          <w:szCs w:val="22"/>
          <w:highlight w:val="yellow"/>
          <w:lang w:val="en-GB"/>
        </w:rPr>
      </w:pPr>
      <w:r w:rsidRPr="005D5CF2">
        <w:rPr>
          <w:rFonts w:ascii="Avenir Next" w:hAnsi="Avenir Next" w:cs="Arial"/>
          <w:sz w:val="22"/>
          <w:szCs w:val="22"/>
          <w:highlight w:val="yellow"/>
          <w:lang w:val="en-GB"/>
        </w:rPr>
        <w:t xml:space="preserve">No action may be commenced against the company without </w:t>
      </w:r>
      <w:r w:rsidR="00E86DA6" w:rsidRPr="005D5CF2">
        <w:rPr>
          <w:rFonts w:ascii="Avenir Next" w:hAnsi="Avenir Next" w:cs="Arial"/>
          <w:sz w:val="22"/>
          <w:szCs w:val="22"/>
          <w:highlight w:val="yellow"/>
          <w:lang w:val="en-GB"/>
        </w:rPr>
        <w:t>permission</w:t>
      </w:r>
      <w:r w:rsidRPr="005D5CF2">
        <w:rPr>
          <w:rFonts w:ascii="Avenir Next" w:hAnsi="Avenir Next" w:cs="Arial"/>
          <w:sz w:val="22"/>
          <w:szCs w:val="22"/>
          <w:highlight w:val="yellow"/>
          <w:lang w:val="en-GB"/>
        </w:rPr>
        <w:t xml:space="preserve"> of the court.</w:t>
      </w:r>
    </w:p>
    <w:p w14:paraId="4906B355" w14:textId="77777777" w:rsidR="007E03FA" w:rsidRPr="00310533" w:rsidRDefault="007E03FA" w:rsidP="000C7A3D">
      <w:pPr>
        <w:jc w:val="both"/>
        <w:rPr>
          <w:rFonts w:ascii="Avenir Next" w:hAnsi="Avenir Next" w:cs="Arial"/>
          <w:sz w:val="22"/>
          <w:szCs w:val="22"/>
          <w:lang w:val="en-GB"/>
        </w:rPr>
      </w:pPr>
    </w:p>
    <w:p w14:paraId="6BD73290" w14:textId="2EA2150E" w:rsidR="000F6063" w:rsidRPr="00310533" w:rsidRDefault="000F6063">
      <w:pPr>
        <w:pStyle w:val="ListParagraph"/>
        <w:numPr>
          <w:ilvl w:val="0"/>
          <w:numId w:val="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continued against the company without permission of the provisional liquidator.</w:t>
      </w:r>
    </w:p>
    <w:p w14:paraId="1477D526" w14:textId="77777777" w:rsidR="007E03FA" w:rsidRPr="00310533" w:rsidRDefault="007E03FA" w:rsidP="000C7A3D">
      <w:pPr>
        <w:jc w:val="both"/>
        <w:rPr>
          <w:rFonts w:ascii="Avenir Next" w:hAnsi="Avenir Next" w:cs="Arial"/>
          <w:sz w:val="22"/>
          <w:szCs w:val="22"/>
          <w:lang w:val="en-GB"/>
        </w:rPr>
      </w:pPr>
    </w:p>
    <w:p w14:paraId="0028DCC4" w14:textId="77E587AC" w:rsidR="00221152" w:rsidRPr="00310533" w:rsidRDefault="00221152">
      <w:pPr>
        <w:pStyle w:val="ListParagraph"/>
        <w:numPr>
          <w:ilvl w:val="0"/>
          <w:numId w:val="1"/>
        </w:numPr>
        <w:ind w:left="426"/>
        <w:jc w:val="both"/>
        <w:rPr>
          <w:rFonts w:ascii="Avenir Next" w:hAnsi="Avenir Next" w:cs="Arial"/>
          <w:sz w:val="22"/>
          <w:szCs w:val="22"/>
          <w:lang w:val="en-GB"/>
        </w:rPr>
      </w:pPr>
      <w:r>
        <w:rPr>
          <w:rFonts w:ascii="Avenir Next" w:hAnsi="Avenir Next" w:cs="Arial"/>
          <w:sz w:val="22"/>
          <w:szCs w:val="22"/>
          <w:lang w:val="en-GB"/>
        </w:rPr>
        <w:t>No action may be continued against the company without permission of the restructuring officer.</w:t>
      </w:r>
    </w:p>
    <w:p w14:paraId="22FB943C" w14:textId="77777777" w:rsidR="007E03FA" w:rsidRPr="00310533" w:rsidRDefault="007E03FA" w:rsidP="000C7A3D">
      <w:pPr>
        <w:jc w:val="both"/>
        <w:rPr>
          <w:rFonts w:ascii="Avenir Next" w:hAnsi="Avenir Next" w:cs="Arial"/>
          <w:sz w:val="22"/>
          <w:szCs w:val="22"/>
          <w:lang w:val="en-GB"/>
        </w:rPr>
      </w:pPr>
    </w:p>
    <w:p w14:paraId="6E8F0D7B" w14:textId="77777777" w:rsidR="000F6063" w:rsidRPr="00310533" w:rsidRDefault="000F6063">
      <w:pPr>
        <w:pStyle w:val="ListParagraph"/>
        <w:numPr>
          <w:ilvl w:val="0"/>
          <w:numId w:val="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20E257DD"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w:t>
      </w:r>
      <w:r w:rsidR="008A6BA0">
        <w:rPr>
          <w:rFonts w:ascii="Avenir Next" w:hAnsi="Avenir Next" w:cs="Arial"/>
          <w:sz w:val="22"/>
          <w:szCs w:val="22"/>
          <w:lang w:val="en-GB"/>
        </w:rPr>
        <w:t xml:space="preserve">corporate </w:t>
      </w:r>
      <w:r w:rsidR="00FD6094" w:rsidRPr="00310533">
        <w:rPr>
          <w:rFonts w:ascii="Avenir Next" w:hAnsi="Avenir Next" w:cs="Arial"/>
          <w:sz w:val="22"/>
          <w:szCs w:val="22"/>
          <w:lang w:val="en-GB"/>
        </w:rPr>
        <w:t xml:space="preserve">debtor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9E60E9" w:rsidRDefault="000F6063">
      <w:pPr>
        <w:pStyle w:val="ListParagraph"/>
        <w:numPr>
          <w:ilvl w:val="0"/>
          <w:numId w:val="2"/>
        </w:numPr>
        <w:ind w:left="426"/>
        <w:rPr>
          <w:rFonts w:ascii="Avenir Next" w:hAnsi="Avenir Next" w:cs="Arial"/>
          <w:sz w:val="22"/>
          <w:szCs w:val="22"/>
          <w:highlight w:val="yellow"/>
          <w:lang w:val="en-GB"/>
        </w:rPr>
      </w:pPr>
      <w:r w:rsidRPr="009E60E9">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AF09D8" w:rsidRDefault="000F6063">
      <w:pPr>
        <w:pStyle w:val="ListParagraph"/>
        <w:numPr>
          <w:ilvl w:val="0"/>
          <w:numId w:val="2"/>
        </w:numPr>
        <w:ind w:left="426"/>
        <w:rPr>
          <w:rFonts w:ascii="Avenir Next" w:hAnsi="Avenir Next" w:cs="Arial"/>
          <w:sz w:val="22"/>
          <w:szCs w:val="22"/>
          <w:lang w:val="en-GB"/>
        </w:rPr>
      </w:pPr>
      <w:r w:rsidRPr="00AF09D8">
        <w:rPr>
          <w:rFonts w:ascii="Avenir Next" w:hAnsi="Avenir Next" w:cs="Arial"/>
          <w:sz w:val="22"/>
          <w:szCs w:val="22"/>
          <w:lang w:val="en-GB"/>
        </w:rPr>
        <w:t>Deed of Company Arrangement.</w:t>
      </w:r>
    </w:p>
    <w:p w14:paraId="5FE49C8E" w14:textId="6056D810"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pPr>
        <w:pStyle w:val="ListParagraph"/>
        <w:numPr>
          <w:ilvl w:val="0"/>
          <w:numId w:val="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0C7A3D">
      <w:pPr>
        <w:jc w:val="both"/>
        <w:rPr>
          <w:rFonts w:ascii="Avenir Next" w:hAnsi="Avenir Next" w:cs="Arial"/>
          <w:color w:val="000000" w:themeColor="text1"/>
          <w:sz w:val="22"/>
          <w:szCs w:val="22"/>
          <w:lang w:val="en-GB"/>
        </w:rPr>
      </w:pPr>
    </w:p>
    <w:p w14:paraId="402E2D59" w14:textId="72345059" w:rsidR="00210493" w:rsidRPr="0051784A" w:rsidRDefault="00210493">
      <w:pPr>
        <w:pStyle w:val="ListParagraph"/>
        <w:numPr>
          <w:ilvl w:val="0"/>
          <w:numId w:val="3"/>
        </w:numPr>
        <w:ind w:left="426"/>
        <w:jc w:val="both"/>
        <w:rPr>
          <w:rFonts w:ascii="Avenir Next" w:hAnsi="Avenir Next" w:cs="Arial"/>
          <w:color w:val="000000" w:themeColor="text1"/>
          <w:sz w:val="22"/>
          <w:szCs w:val="22"/>
          <w:highlight w:val="yellow"/>
          <w:lang w:val="en-GB"/>
        </w:rPr>
      </w:pPr>
      <w:r w:rsidRPr="0051784A">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51784A">
        <w:rPr>
          <w:rFonts w:ascii="Avenir Next" w:hAnsi="Avenir Next" w:cs="Arial"/>
          <w:color w:val="000000" w:themeColor="text1"/>
          <w:sz w:val="22"/>
          <w:szCs w:val="22"/>
          <w:highlight w:val="yellow"/>
          <w:lang w:val="en-GB"/>
        </w:rPr>
        <w:t>.</w:t>
      </w:r>
    </w:p>
    <w:p w14:paraId="5BFB6961" w14:textId="77777777" w:rsidR="007E03FA" w:rsidRPr="00310533" w:rsidRDefault="007E03FA" w:rsidP="000C7A3D">
      <w:pPr>
        <w:jc w:val="both"/>
        <w:rPr>
          <w:rFonts w:ascii="Avenir Next" w:hAnsi="Avenir Next" w:cs="Arial"/>
          <w:color w:val="000000" w:themeColor="text1"/>
          <w:sz w:val="22"/>
          <w:szCs w:val="22"/>
          <w:lang w:val="en-GB"/>
        </w:rPr>
      </w:pPr>
    </w:p>
    <w:p w14:paraId="32FB1A04" w14:textId="5706A29A" w:rsidR="00210493" w:rsidRPr="00310533" w:rsidRDefault="00210493">
      <w:pPr>
        <w:pStyle w:val="ListParagraph"/>
        <w:numPr>
          <w:ilvl w:val="0"/>
          <w:numId w:val="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0C7A3D">
      <w:pPr>
        <w:jc w:val="both"/>
        <w:rPr>
          <w:rFonts w:ascii="Avenir Next" w:hAnsi="Avenir Next" w:cs="Arial"/>
          <w:color w:val="000000" w:themeColor="text1"/>
          <w:sz w:val="22"/>
          <w:szCs w:val="22"/>
          <w:lang w:val="en-GB"/>
        </w:rPr>
      </w:pPr>
    </w:p>
    <w:p w14:paraId="322E7C99" w14:textId="5601C3B2" w:rsidR="00210493" w:rsidRPr="00310533" w:rsidRDefault="00210493">
      <w:pPr>
        <w:pStyle w:val="ListParagraph"/>
        <w:numPr>
          <w:ilvl w:val="0"/>
          <w:numId w:val="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DE767A" w:rsidRDefault="00CB2364">
      <w:pPr>
        <w:pStyle w:val="ListParagraph"/>
        <w:numPr>
          <w:ilvl w:val="0"/>
          <w:numId w:val="4"/>
        </w:numPr>
        <w:ind w:left="426"/>
        <w:rPr>
          <w:rFonts w:ascii="Avenir Next" w:hAnsi="Avenir Next" w:cs="Arial"/>
          <w:sz w:val="22"/>
          <w:szCs w:val="22"/>
          <w:highlight w:val="yellow"/>
          <w:lang w:val="en-GB"/>
        </w:rPr>
      </w:pPr>
      <w:r w:rsidRPr="00DE767A">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pPr>
        <w:pStyle w:val="ListParagraph"/>
        <w:numPr>
          <w:ilvl w:val="0"/>
          <w:numId w:val="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5E1117">
      <w:pPr>
        <w:jc w:val="both"/>
        <w:rPr>
          <w:rFonts w:ascii="Avenir Next" w:hAnsi="Avenir Next" w:cs="Arial"/>
          <w:sz w:val="22"/>
          <w:szCs w:val="22"/>
          <w:lang w:val="en-GB"/>
        </w:rPr>
      </w:pPr>
    </w:p>
    <w:p w14:paraId="35B57312" w14:textId="22733DCD" w:rsidR="000F6063" w:rsidRPr="00310533" w:rsidRDefault="000F6063">
      <w:pPr>
        <w:pStyle w:val="ListParagraph"/>
        <w:numPr>
          <w:ilvl w:val="0"/>
          <w:numId w:val="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5E1117">
      <w:pPr>
        <w:jc w:val="both"/>
        <w:rPr>
          <w:rFonts w:ascii="Avenir Next" w:hAnsi="Avenir Next" w:cs="Arial"/>
          <w:sz w:val="22"/>
          <w:szCs w:val="22"/>
          <w:lang w:val="en-GB"/>
        </w:rPr>
      </w:pPr>
    </w:p>
    <w:p w14:paraId="0D0C443F" w14:textId="0F1DC2CC" w:rsidR="000F6063" w:rsidRPr="00A23B00" w:rsidRDefault="000F6063">
      <w:pPr>
        <w:pStyle w:val="ListParagraph"/>
        <w:numPr>
          <w:ilvl w:val="0"/>
          <w:numId w:val="5"/>
        </w:numPr>
        <w:ind w:left="426"/>
        <w:jc w:val="both"/>
        <w:rPr>
          <w:rFonts w:ascii="Avenir Next" w:hAnsi="Avenir Next" w:cs="Arial"/>
          <w:sz w:val="22"/>
          <w:szCs w:val="22"/>
          <w:highlight w:val="yellow"/>
          <w:lang w:val="en-GB"/>
        </w:rPr>
      </w:pPr>
      <w:r w:rsidRPr="00A23B00">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5E1117">
      <w:pPr>
        <w:jc w:val="both"/>
        <w:rPr>
          <w:rFonts w:ascii="Avenir Next" w:hAnsi="Avenir Next" w:cs="Arial"/>
          <w:sz w:val="22"/>
          <w:szCs w:val="22"/>
          <w:lang w:val="en-GB"/>
        </w:rPr>
      </w:pPr>
    </w:p>
    <w:p w14:paraId="7B0FB38B" w14:textId="2BF66B25" w:rsidR="00F1258F" w:rsidRPr="00310533" w:rsidRDefault="00F1258F">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Are prohibited from having any </w:t>
      </w:r>
      <w:r w:rsidRPr="00310533">
        <w:rPr>
          <w:rFonts w:ascii="Avenir Next" w:hAnsi="Avenir Next" w:cs="Arial"/>
          <w:sz w:val="22"/>
          <w:szCs w:val="22"/>
          <w:lang w:val="en-GB"/>
        </w:rPr>
        <w:t>control of the company.</w:t>
      </w:r>
    </w:p>
    <w:p w14:paraId="7512032C" w14:textId="77777777" w:rsidR="000F6063" w:rsidRPr="00F1258F" w:rsidRDefault="000F6063" w:rsidP="00C55824">
      <w:pPr>
        <w:jc w:val="both"/>
        <w:rPr>
          <w:rFonts w:ascii="Avenir Next" w:hAnsi="Avenir Next" w:cs="Arial"/>
          <w:b/>
          <w:bCs/>
          <w:sz w:val="22"/>
          <w:szCs w:val="22"/>
          <w:lang w:val="en-GB"/>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4071B45" w14:textId="3CBF46A0" w:rsidR="007914D4" w:rsidRPr="00320763" w:rsidRDefault="007914D4">
      <w:pPr>
        <w:pStyle w:val="ListParagraph"/>
        <w:numPr>
          <w:ilvl w:val="0"/>
          <w:numId w:val="6"/>
        </w:numPr>
        <w:ind w:left="426"/>
        <w:rPr>
          <w:rFonts w:ascii="Avenir Next" w:hAnsi="Avenir Next" w:cs="Arial"/>
          <w:sz w:val="22"/>
          <w:szCs w:val="22"/>
          <w:highlight w:val="yellow"/>
          <w:lang w:val="en-GB"/>
        </w:rPr>
      </w:pPr>
      <w:r w:rsidRPr="00320763">
        <w:rPr>
          <w:rFonts w:ascii="Avenir Next" w:hAnsi="Avenir Next" w:cs="Arial"/>
          <w:sz w:val="22"/>
          <w:szCs w:val="22"/>
          <w:highlight w:val="yellow"/>
          <w:lang w:val="en-GB"/>
        </w:rPr>
        <w:t>May enforce their security without leave of the court.</w:t>
      </w:r>
    </w:p>
    <w:p w14:paraId="6FADCF93" w14:textId="77777777" w:rsidR="007914D4" w:rsidRPr="007914D4" w:rsidRDefault="007914D4" w:rsidP="007914D4">
      <w:pPr>
        <w:pStyle w:val="ListParagraph"/>
        <w:rPr>
          <w:rFonts w:ascii="Avenir Next" w:hAnsi="Avenir Next" w:cs="Arial"/>
          <w:sz w:val="22"/>
          <w:szCs w:val="22"/>
          <w:lang w:val="en-GB"/>
        </w:rPr>
      </w:pPr>
    </w:p>
    <w:p w14:paraId="1851E1FD" w14:textId="5DDA1FE9" w:rsidR="00E177F0" w:rsidRPr="00310533" w:rsidRDefault="00E177F0">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Default="008F6CAB" w:rsidP="00AD12C7">
      <w:pPr>
        <w:rPr>
          <w:rFonts w:ascii="Avenir Next" w:hAnsi="Avenir Next" w:cs="Arial"/>
          <w:sz w:val="22"/>
          <w:szCs w:val="22"/>
          <w:lang w:val="en-GB"/>
        </w:rPr>
      </w:pPr>
    </w:p>
    <w:p w14:paraId="5662B18E" w14:textId="77777777" w:rsidR="00320763" w:rsidRDefault="00320763" w:rsidP="00AD12C7">
      <w:pPr>
        <w:rPr>
          <w:rFonts w:ascii="Avenir Next" w:hAnsi="Avenir Next" w:cs="Arial"/>
          <w:sz w:val="22"/>
          <w:szCs w:val="22"/>
          <w:lang w:val="en-GB"/>
        </w:rPr>
      </w:pPr>
    </w:p>
    <w:p w14:paraId="4756947A" w14:textId="77777777" w:rsidR="00320763" w:rsidRDefault="00320763" w:rsidP="00AD12C7">
      <w:pPr>
        <w:rPr>
          <w:rFonts w:ascii="Avenir Next" w:hAnsi="Avenir Next" w:cs="Arial"/>
          <w:sz w:val="22"/>
          <w:szCs w:val="22"/>
          <w:lang w:val="en-GB"/>
        </w:rPr>
      </w:pPr>
    </w:p>
    <w:p w14:paraId="6CDAD984" w14:textId="77777777" w:rsidR="00320763" w:rsidRDefault="00320763"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40D1F1CD" w14:textId="77777777" w:rsidR="00532745" w:rsidRPr="00794230" w:rsidRDefault="00532745">
      <w:pPr>
        <w:pStyle w:val="ListParagraph"/>
        <w:numPr>
          <w:ilvl w:val="0"/>
          <w:numId w:val="7"/>
        </w:numPr>
        <w:ind w:left="426"/>
        <w:jc w:val="both"/>
        <w:rPr>
          <w:rFonts w:ascii="Avenir Next" w:hAnsi="Avenir Next" w:cs="Arial"/>
          <w:sz w:val="22"/>
          <w:szCs w:val="22"/>
          <w:highlight w:val="yellow"/>
          <w:lang w:val="en-GB"/>
        </w:rPr>
      </w:pPr>
      <w:r w:rsidRPr="00794230">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51362D53" w14:textId="77777777" w:rsidR="00532745" w:rsidRDefault="00532745" w:rsidP="00532745">
      <w:pPr>
        <w:pStyle w:val="ListParagraph"/>
        <w:ind w:left="426"/>
        <w:jc w:val="both"/>
        <w:rPr>
          <w:rFonts w:ascii="Avenir Next" w:hAnsi="Avenir Next" w:cs="Arial"/>
          <w:sz w:val="22"/>
          <w:szCs w:val="22"/>
          <w:lang w:val="en-GB"/>
        </w:rPr>
      </w:pPr>
    </w:p>
    <w:p w14:paraId="2675998D" w14:textId="6D31C197" w:rsidR="00532745" w:rsidRPr="00310533" w:rsidRDefault="00532745">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0423D1">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8908C3E" w14:textId="77777777" w:rsidR="00532745" w:rsidRPr="00310533" w:rsidRDefault="00532745" w:rsidP="00532745">
      <w:pPr>
        <w:jc w:val="both"/>
        <w:rPr>
          <w:rFonts w:ascii="Avenir Next" w:hAnsi="Avenir Next" w:cs="Arial"/>
          <w:sz w:val="22"/>
          <w:szCs w:val="22"/>
          <w:lang w:val="en-GB"/>
        </w:rPr>
      </w:pPr>
    </w:p>
    <w:p w14:paraId="46889192" w14:textId="0229AC3D" w:rsidR="00532745" w:rsidRPr="00310533" w:rsidRDefault="00532745">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04573F2" w14:textId="77777777" w:rsidR="00532745" w:rsidRPr="00310533" w:rsidRDefault="00532745" w:rsidP="00532745">
      <w:pPr>
        <w:jc w:val="both"/>
        <w:rPr>
          <w:rFonts w:ascii="Avenir Next" w:hAnsi="Avenir Next" w:cs="Arial"/>
          <w:sz w:val="22"/>
          <w:szCs w:val="22"/>
          <w:lang w:val="en-GB"/>
        </w:rPr>
      </w:pPr>
    </w:p>
    <w:p w14:paraId="037DBF98" w14:textId="77777777" w:rsidR="00532745" w:rsidRDefault="00532745">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29F6131" w14:textId="77777777" w:rsidR="00532745" w:rsidRPr="00532745" w:rsidRDefault="00532745" w:rsidP="00532745">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7A8ED74A" w14:textId="77777777" w:rsidR="00701D9F" w:rsidRPr="00310533" w:rsidRDefault="00701D9F">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p>
    <w:p w14:paraId="54E62EB6" w14:textId="77777777" w:rsidR="00701D9F" w:rsidRPr="00310533" w:rsidRDefault="00701D9F" w:rsidP="00701D9F">
      <w:pPr>
        <w:jc w:val="both"/>
        <w:rPr>
          <w:rFonts w:ascii="Avenir Next" w:hAnsi="Avenir Next" w:cs="Arial"/>
          <w:sz w:val="22"/>
          <w:szCs w:val="22"/>
          <w:lang w:val="en-GB"/>
        </w:rPr>
      </w:pPr>
    </w:p>
    <w:p w14:paraId="1D9AEDA3" w14:textId="77777777" w:rsidR="00701D9F" w:rsidRPr="00310533" w:rsidRDefault="00701D9F">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p>
    <w:p w14:paraId="5B9B40CF" w14:textId="77777777" w:rsidR="00701D9F" w:rsidRPr="00310533" w:rsidRDefault="00701D9F" w:rsidP="00701D9F">
      <w:pPr>
        <w:jc w:val="both"/>
        <w:rPr>
          <w:rFonts w:ascii="Avenir Next" w:hAnsi="Avenir Next" w:cs="Arial"/>
          <w:sz w:val="22"/>
          <w:szCs w:val="22"/>
          <w:lang w:val="en-GB"/>
        </w:rPr>
      </w:pPr>
    </w:p>
    <w:p w14:paraId="777C6751" w14:textId="77777777" w:rsidR="00701D9F" w:rsidRPr="00490F04" w:rsidRDefault="00701D9F">
      <w:pPr>
        <w:pStyle w:val="ListParagraph"/>
        <w:numPr>
          <w:ilvl w:val="0"/>
          <w:numId w:val="8"/>
        </w:numPr>
        <w:ind w:left="426"/>
        <w:jc w:val="both"/>
        <w:rPr>
          <w:rFonts w:ascii="Avenir Next" w:hAnsi="Avenir Next" w:cs="Arial"/>
          <w:sz w:val="22"/>
          <w:szCs w:val="22"/>
          <w:lang w:val="en-GB"/>
        </w:rPr>
      </w:pPr>
      <w:r w:rsidRPr="00490F04">
        <w:rPr>
          <w:rFonts w:ascii="Avenir Next" w:hAnsi="Avenir Next" w:cs="Arial"/>
          <w:sz w:val="22"/>
          <w:szCs w:val="22"/>
          <w:lang w:val="en-GB"/>
        </w:rPr>
        <w:t>Sums due to depositors (if the company is a bank).</w:t>
      </w:r>
    </w:p>
    <w:p w14:paraId="7A948B41" w14:textId="77777777" w:rsidR="00701D9F" w:rsidRPr="00490F04" w:rsidRDefault="00701D9F" w:rsidP="00701D9F">
      <w:pPr>
        <w:jc w:val="both"/>
        <w:rPr>
          <w:rFonts w:ascii="Avenir Next" w:hAnsi="Avenir Next" w:cs="Arial"/>
          <w:sz w:val="22"/>
          <w:szCs w:val="22"/>
          <w:lang w:val="en-GB"/>
        </w:rPr>
      </w:pPr>
    </w:p>
    <w:p w14:paraId="2FAF2E22" w14:textId="77777777" w:rsidR="00701D9F" w:rsidRPr="00490F04" w:rsidRDefault="00701D9F">
      <w:pPr>
        <w:pStyle w:val="ListParagraph"/>
        <w:numPr>
          <w:ilvl w:val="0"/>
          <w:numId w:val="8"/>
        </w:numPr>
        <w:ind w:left="426"/>
        <w:jc w:val="both"/>
        <w:rPr>
          <w:rFonts w:ascii="Avenir Next" w:hAnsi="Avenir Next" w:cs="Arial"/>
          <w:sz w:val="22"/>
          <w:szCs w:val="22"/>
          <w:lang w:val="en-GB"/>
        </w:rPr>
      </w:pPr>
      <w:r w:rsidRPr="00490F04">
        <w:rPr>
          <w:rFonts w:ascii="Avenir Next" w:hAnsi="Avenir Next" w:cs="Arial"/>
          <w:sz w:val="22"/>
          <w:szCs w:val="22"/>
          <w:lang w:val="en-GB"/>
        </w:rPr>
        <w:t>Unsecured debts which are not subject to subordination agreements.</w:t>
      </w:r>
    </w:p>
    <w:p w14:paraId="6E898905" w14:textId="77777777" w:rsidR="00701D9F" w:rsidRDefault="00701D9F" w:rsidP="00701D9F">
      <w:pPr>
        <w:pStyle w:val="ListParagraph"/>
        <w:ind w:left="426"/>
        <w:jc w:val="both"/>
        <w:rPr>
          <w:rFonts w:ascii="Avenir Next" w:hAnsi="Avenir Next" w:cs="Arial"/>
          <w:sz w:val="22"/>
          <w:szCs w:val="22"/>
          <w:lang w:val="en-GB"/>
        </w:rPr>
      </w:pPr>
    </w:p>
    <w:p w14:paraId="2D5A6746" w14:textId="77777777" w:rsidR="00701D9F" w:rsidRPr="00DB1756" w:rsidRDefault="00701D9F">
      <w:pPr>
        <w:pStyle w:val="ListParagraph"/>
        <w:numPr>
          <w:ilvl w:val="0"/>
          <w:numId w:val="8"/>
        </w:numPr>
        <w:ind w:left="426"/>
        <w:jc w:val="both"/>
        <w:rPr>
          <w:rFonts w:ascii="Avenir Next" w:hAnsi="Avenir Next" w:cs="Arial"/>
          <w:sz w:val="22"/>
          <w:szCs w:val="22"/>
          <w:highlight w:val="yellow"/>
          <w:lang w:val="en-GB"/>
        </w:rPr>
      </w:pPr>
      <w:r w:rsidRPr="00DB1756">
        <w:rPr>
          <w:rFonts w:ascii="Avenir Next" w:hAnsi="Avenir Next" w:cs="Arial"/>
          <w:sz w:val="22"/>
          <w:szCs w:val="22"/>
          <w:highlight w:val="yellow"/>
          <w:lang w:val="en-GB"/>
        </w:rPr>
        <w:t>Amounts due to preferred shareholders.</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0E35F688" w14:textId="77777777" w:rsidR="00155959" w:rsidRPr="00310533" w:rsidRDefault="00155959">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p>
    <w:p w14:paraId="473F6A31" w14:textId="77777777" w:rsidR="00155959" w:rsidRPr="00310533" w:rsidRDefault="00155959" w:rsidP="00155959">
      <w:pPr>
        <w:jc w:val="both"/>
        <w:rPr>
          <w:rFonts w:ascii="Avenir Next" w:hAnsi="Avenir Next" w:cs="Arial"/>
          <w:sz w:val="22"/>
          <w:szCs w:val="22"/>
          <w:lang w:val="en-GB"/>
        </w:rPr>
      </w:pPr>
    </w:p>
    <w:p w14:paraId="15DCB27F" w14:textId="77777777" w:rsidR="00155959" w:rsidRPr="00310533" w:rsidRDefault="00155959">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p>
    <w:p w14:paraId="4EB87067" w14:textId="77777777" w:rsidR="00155959" w:rsidRDefault="00155959" w:rsidP="00155959">
      <w:pPr>
        <w:pStyle w:val="ListParagraph"/>
        <w:ind w:left="426"/>
        <w:jc w:val="both"/>
        <w:rPr>
          <w:rFonts w:ascii="Avenir Next" w:hAnsi="Avenir Next" w:cs="Arial"/>
          <w:sz w:val="22"/>
          <w:szCs w:val="22"/>
          <w:lang w:val="en-GB"/>
        </w:rPr>
      </w:pPr>
    </w:p>
    <w:p w14:paraId="667DFCDD" w14:textId="77777777" w:rsidR="00155959" w:rsidRPr="00310533" w:rsidRDefault="00155959">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0A5A9403" w14:textId="77777777" w:rsidR="00155959" w:rsidRDefault="00155959" w:rsidP="00155959">
      <w:pPr>
        <w:pStyle w:val="ListParagraph"/>
        <w:ind w:left="426"/>
        <w:jc w:val="both"/>
        <w:rPr>
          <w:rFonts w:ascii="Avenir Next" w:hAnsi="Avenir Next" w:cs="Arial"/>
          <w:sz w:val="22"/>
          <w:szCs w:val="22"/>
          <w:lang w:val="en-GB"/>
        </w:rPr>
      </w:pPr>
    </w:p>
    <w:p w14:paraId="4FECF5E1" w14:textId="77777777" w:rsidR="00155959" w:rsidRPr="0086417D" w:rsidRDefault="00155959">
      <w:pPr>
        <w:pStyle w:val="ListParagraph"/>
        <w:numPr>
          <w:ilvl w:val="0"/>
          <w:numId w:val="9"/>
        </w:numPr>
        <w:ind w:left="426"/>
        <w:jc w:val="both"/>
        <w:rPr>
          <w:rFonts w:ascii="Avenir Next" w:hAnsi="Avenir Next" w:cs="Arial"/>
          <w:sz w:val="22"/>
          <w:szCs w:val="22"/>
          <w:highlight w:val="yellow"/>
          <w:lang w:val="en-GB"/>
        </w:rPr>
      </w:pPr>
      <w:r w:rsidRPr="0086417D">
        <w:rPr>
          <w:rFonts w:ascii="Avenir Next" w:hAnsi="Avenir Next" w:cs="Arial"/>
          <w:sz w:val="22"/>
          <w:szCs w:val="22"/>
          <w:highlight w:val="yellow"/>
          <w:lang w:val="en-GB"/>
        </w:rPr>
        <w:t>The company does not commence business within six months of incorporation.</w:t>
      </w:r>
    </w:p>
    <w:p w14:paraId="5BB957E4" w14:textId="7713BAF2" w:rsidR="00416D2B" w:rsidRDefault="00416D2B" w:rsidP="002A37BB">
      <w:pPr>
        <w:jc w:val="both"/>
        <w:rPr>
          <w:rFonts w:ascii="Avenir Next" w:hAnsi="Avenir Next" w:cs="Arial"/>
          <w:bCs/>
          <w:sz w:val="22"/>
          <w:szCs w:val="22"/>
          <w:lang w:val="en-GB"/>
        </w:rPr>
      </w:pPr>
    </w:p>
    <w:p w14:paraId="4864111F" w14:textId="77777777" w:rsidR="0086417D" w:rsidRPr="00310533" w:rsidRDefault="0086417D"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6BE5E51B" w14:textId="77777777" w:rsidR="0079520B" w:rsidRPr="00226C1B" w:rsidRDefault="0079520B">
      <w:pPr>
        <w:pStyle w:val="ListParagraph"/>
        <w:numPr>
          <w:ilvl w:val="0"/>
          <w:numId w:val="10"/>
        </w:numPr>
        <w:ind w:left="426"/>
        <w:jc w:val="both"/>
        <w:rPr>
          <w:rFonts w:ascii="Avenir Next" w:hAnsi="Avenir Next" w:cs="Arial"/>
          <w:sz w:val="22"/>
          <w:szCs w:val="22"/>
          <w:lang w:val="en-GB"/>
        </w:rPr>
      </w:pPr>
      <w:r w:rsidRPr="00226C1B">
        <w:rPr>
          <w:rFonts w:ascii="Avenir Next" w:hAnsi="Avenir Next" w:cs="Arial"/>
          <w:sz w:val="22"/>
          <w:szCs w:val="22"/>
          <w:lang w:val="en-GB"/>
        </w:rPr>
        <w:t>50% or more in number representing 75% or more in value of the creditors must agree.</w:t>
      </w:r>
    </w:p>
    <w:p w14:paraId="6D933956" w14:textId="77777777" w:rsidR="0079520B" w:rsidRPr="00490F04" w:rsidRDefault="0079520B" w:rsidP="0079520B">
      <w:pPr>
        <w:jc w:val="both"/>
        <w:rPr>
          <w:rFonts w:ascii="Avenir Next" w:hAnsi="Avenir Next" w:cs="Arial"/>
          <w:sz w:val="22"/>
          <w:szCs w:val="22"/>
          <w:lang w:val="en-GB"/>
        </w:rPr>
      </w:pPr>
    </w:p>
    <w:p w14:paraId="2A251E60" w14:textId="77777777" w:rsidR="0079520B" w:rsidRPr="00791792" w:rsidRDefault="0079520B">
      <w:pPr>
        <w:pStyle w:val="ListParagraph"/>
        <w:numPr>
          <w:ilvl w:val="0"/>
          <w:numId w:val="10"/>
        </w:numPr>
        <w:ind w:left="426"/>
        <w:jc w:val="both"/>
        <w:rPr>
          <w:rFonts w:ascii="Avenir Next" w:hAnsi="Avenir Next" w:cs="Arial"/>
          <w:sz w:val="22"/>
          <w:szCs w:val="22"/>
          <w:highlight w:val="yellow"/>
          <w:lang w:val="en-GB"/>
        </w:rPr>
      </w:pPr>
      <w:r w:rsidRPr="00791792">
        <w:rPr>
          <w:rFonts w:ascii="Avenir Next" w:hAnsi="Avenir Next" w:cs="Arial"/>
          <w:sz w:val="22"/>
          <w:szCs w:val="22"/>
          <w:highlight w:val="yellow"/>
          <w:lang w:val="en-GB"/>
        </w:rPr>
        <w:t>More than 50% in number representing 75% or more in value of the creditors must agree.</w:t>
      </w:r>
    </w:p>
    <w:p w14:paraId="6D0B245C" w14:textId="77777777" w:rsidR="0079520B" w:rsidRPr="00490F04" w:rsidRDefault="0079520B" w:rsidP="0079520B">
      <w:pPr>
        <w:pStyle w:val="ListParagraph"/>
        <w:rPr>
          <w:rFonts w:ascii="Avenir Next" w:hAnsi="Avenir Next" w:cs="Arial"/>
          <w:sz w:val="22"/>
          <w:szCs w:val="22"/>
          <w:lang w:val="en-GB"/>
        </w:rPr>
      </w:pPr>
    </w:p>
    <w:p w14:paraId="5F7ED54E" w14:textId="77777777" w:rsidR="0079520B" w:rsidRPr="00490F04" w:rsidRDefault="0079520B">
      <w:pPr>
        <w:pStyle w:val="ListParagraph"/>
        <w:numPr>
          <w:ilvl w:val="0"/>
          <w:numId w:val="1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 xml:space="preserve">representing more than 75% </w:t>
      </w:r>
      <w:r>
        <w:rPr>
          <w:rFonts w:ascii="Avenir Next" w:hAnsi="Avenir Next" w:cs="Arial"/>
          <w:sz w:val="22"/>
          <w:szCs w:val="22"/>
          <w:lang w:val="en-GB"/>
        </w:rPr>
        <w:t>o</w:t>
      </w:r>
      <w:r w:rsidRPr="00490F04">
        <w:rPr>
          <w:rFonts w:ascii="Avenir Next" w:hAnsi="Avenir Next" w:cs="Arial"/>
          <w:sz w:val="22"/>
          <w:szCs w:val="22"/>
          <w:lang w:val="en-GB"/>
        </w:rPr>
        <w:t>f the creditors must agree.</w:t>
      </w:r>
    </w:p>
    <w:p w14:paraId="1FCA0328" w14:textId="77777777" w:rsidR="0079520B" w:rsidRPr="00490F04" w:rsidRDefault="0079520B" w:rsidP="0079520B">
      <w:pPr>
        <w:jc w:val="both"/>
        <w:rPr>
          <w:rFonts w:ascii="Avenir Next" w:hAnsi="Avenir Next" w:cs="Arial"/>
          <w:sz w:val="22"/>
          <w:szCs w:val="22"/>
          <w:lang w:val="en-GB"/>
        </w:rPr>
      </w:pPr>
    </w:p>
    <w:p w14:paraId="23E7C5A3" w14:textId="71F2383B" w:rsidR="0079520B" w:rsidRPr="00791792" w:rsidRDefault="0079520B">
      <w:pPr>
        <w:pStyle w:val="ListParagraph"/>
        <w:numPr>
          <w:ilvl w:val="0"/>
          <w:numId w:val="10"/>
        </w:numPr>
        <w:ind w:left="426"/>
        <w:jc w:val="both"/>
        <w:rPr>
          <w:rFonts w:ascii="Avenir Next" w:hAnsi="Avenir Next" w:cs="Arial"/>
          <w:sz w:val="22"/>
          <w:szCs w:val="22"/>
          <w:lang w:val="en-GB"/>
        </w:rPr>
      </w:pPr>
      <w:r w:rsidRPr="00791792">
        <w:rPr>
          <w:rFonts w:ascii="Avenir Next" w:hAnsi="Avenir Next" w:cs="Arial"/>
          <w:sz w:val="22"/>
          <w:szCs w:val="22"/>
          <w:lang w:val="en-GB"/>
        </w:rPr>
        <w:t>More than 50% in number representing more than 75% of the creditors must agree.</w:t>
      </w:r>
    </w:p>
    <w:p w14:paraId="17525F1A" w14:textId="77777777" w:rsidR="00924973" w:rsidRDefault="00924973" w:rsidP="002A37BB">
      <w:pPr>
        <w:jc w:val="both"/>
        <w:rPr>
          <w:rFonts w:ascii="Avenir Next" w:hAnsi="Avenir Next" w:cs="Arial"/>
          <w:bCs/>
          <w:sz w:val="22"/>
          <w:szCs w:val="22"/>
          <w:lang w:val="en-GB"/>
        </w:rPr>
      </w:pPr>
    </w:p>
    <w:p w14:paraId="6D1CAD5E" w14:textId="77777777" w:rsidR="0086417D" w:rsidRPr="00310533" w:rsidRDefault="0086417D"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132B3204"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67256F">
        <w:rPr>
          <w:rFonts w:ascii="Avenir Next Demi Bold" w:hAnsi="Avenir Next Demi Bold" w:cs="Arial"/>
          <w:b/>
          <w:bCs/>
          <w:sz w:val="22"/>
          <w:szCs w:val="22"/>
          <w:lang w:val="en-GB"/>
        </w:rPr>
        <w:t>4</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EFD3220" w14:textId="77777777" w:rsidR="0067256F" w:rsidRPr="00310533" w:rsidRDefault="0067256F" w:rsidP="0067256F">
      <w:pPr>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Grand Court have the power to assist foreign bankruptcy proceedings? If so, what is the source of that power and in what circumstances may it exercise it? </w:t>
      </w:r>
    </w:p>
    <w:p w14:paraId="45D584D5" w14:textId="2B00BC31" w:rsidR="006B3B63" w:rsidRPr="004B21F6" w:rsidRDefault="006B3B63" w:rsidP="004B21F6">
      <w:pPr>
        <w:jc w:val="both"/>
        <w:rPr>
          <w:rFonts w:ascii="Arial" w:hAnsi="Arial" w:cs="Arial"/>
          <w:color w:val="808080" w:themeColor="background1" w:themeShade="80"/>
          <w:sz w:val="22"/>
          <w:szCs w:val="22"/>
          <w:lang w:val="en-GB"/>
        </w:rPr>
      </w:pPr>
    </w:p>
    <w:p w14:paraId="1681662A" w14:textId="0406A2AA" w:rsidR="00C725B1" w:rsidRPr="004B21F6" w:rsidRDefault="00C725B1" w:rsidP="004B21F6">
      <w:pPr>
        <w:jc w:val="both"/>
        <w:rPr>
          <w:rFonts w:ascii="Arial" w:hAnsi="Arial" w:cs="Arial"/>
          <w:b/>
          <w:bCs/>
          <w:color w:val="808080" w:themeColor="background1" w:themeShade="80"/>
          <w:sz w:val="22"/>
          <w:szCs w:val="22"/>
          <w:u w:val="single"/>
          <w:lang w:val="en-GB"/>
        </w:rPr>
      </w:pPr>
      <w:r w:rsidRPr="004B21F6">
        <w:rPr>
          <w:rFonts w:ascii="Arial" w:hAnsi="Arial" w:cs="Arial"/>
          <w:b/>
          <w:bCs/>
          <w:color w:val="808080" w:themeColor="background1" w:themeShade="80"/>
          <w:sz w:val="22"/>
          <w:szCs w:val="22"/>
          <w:u w:val="single"/>
          <w:lang w:val="en-GB"/>
        </w:rPr>
        <w:t xml:space="preserve">Companies Act (2023 Revision) (“Companies Act”) and </w:t>
      </w:r>
      <w:r w:rsidRPr="004B21F6">
        <w:rPr>
          <w:rFonts w:ascii="Arial" w:hAnsi="Arial" w:cs="Arial"/>
          <w:b/>
          <w:bCs/>
          <w:color w:val="808080" w:themeColor="background1" w:themeShade="80"/>
          <w:sz w:val="22"/>
          <w:szCs w:val="22"/>
          <w:u w:val="single"/>
          <w:lang w:val="en-HK"/>
        </w:rPr>
        <w:t>Foreign Bankruptcy Proceedings (International Cooperation) Rules 2018 (“FBPR”)</w:t>
      </w:r>
    </w:p>
    <w:p w14:paraId="27D5EE17" w14:textId="3222B124" w:rsidR="002661AF" w:rsidRPr="004B21F6" w:rsidRDefault="006B3B63" w:rsidP="004B21F6">
      <w:pPr>
        <w:jc w:val="both"/>
        <w:rPr>
          <w:rFonts w:ascii="Arial" w:hAnsi="Arial" w:cs="Arial"/>
          <w:color w:val="808080" w:themeColor="background1" w:themeShade="80"/>
          <w:sz w:val="22"/>
          <w:szCs w:val="22"/>
          <w:lang w:val="en-GB"/>
        </w:rPr>
      </w:pPr>
      <w:r w:rsidRPr="004B21F6">
        <w:rPr>
          <w:rFonts w:ascii="Arial" w:hAnsi="Arial" w:cs="Arial"/>
          <w:color w:val="808080" w:themeColor="background1" w:themeShade="80"/>
          <w:sz w:val="22"/>
          <w:szCs w:val="22"/>
          <w:lang w:val="en-GB"/>
        </w:rPr>
        <w:t>The Cayman Islands Grand Court (“</w:t>
      </w:r>
      <w:r w:rsidRPr="004B21F6">
        <w:rPr>
          <w:rFonts w:ascii="Arial" w:hAnsi="Arial" w:cs="Arial"/>
          <w:b/>
          <w:bCs/>
          <w:color w:val="808080" w:themeColor="background1" w:themeShade="80"/>
          <w:sz w:val="22"/>
          <w:szCs w:val="22"/>
          <w:lang w:val="en-GB"/>
        </w:rPr>
        <w:t>Court</w:t>
      </w:r>
      <w:r w:rsidRPr="004B21F6">
        <w:rPr>
          <w:rFonts w:ascii="Arial" w:hAnsi="Arial" w:cs="Arial"/>
          <w:color w:val="808080" w:themeColor="background1" w:themeShade="80"/>
          <w:sz w:val="22"/>
          <w:szCs w:val="22"/>
          <w:lang w:val="en-GB"/>
        </w:rPr>
        <w:t xml:space="preserve">”) has </w:t>
      </w:r>
      <w:r w:rsidR="004777F5" w:rsidRPr="004B21F6">
        <w:rPr>
          <w:rFonts w:ascii="Arial" w:hAnsi="Arial" w:cs="Arial"/>
          <w:color w:val="808080" w:themeColor="background1" w:themeShade="80"/>
          <w:sz w:val="22"/>
          <w:szCs w:val="22"/>
          <w:lang w:val="en-GB"/>
        </w:rPr>
        <w:t xml:space="preserve">the </w:t>
      </w:r>
      <w:r w:rsidRPr="004B21F6">
        <w:rPr>
          <w:rFonts w:ascii="Arial" w:hAnsi="Arial" w:cs="Arial"/>
          <w:color w:val="808080" w:themeColor="background1" w:themeShade="80"/>
          <w:sz w:val="22"/>
          <w:szCs w:val="22"/>
          <w:lang w:val="en-GB"/>
        </w:rPr>
        <w:t xml:space="preserve">power to assist foreign bankruptcy proceedings. The source of this power is contained in Part XVII (International Co-Operation) of the Companies Act </w:t>
      </w:r>
      <w:r w:rsidR="002661AF" w:rsidRPr="004B21F6">
        <w:rPr>
          <w:rFonts w:ascii="Arial" w:hAnsi="Arial" w:cs="Arial"/>
          <w:color w:val="808080" w:themeColor="background1" w:themeShade="80"/>
          <w:sz w:val="22"/>
          <w:szCs w:val="22"/>
          <w:lang w:val="en-GB"/>
        </w:rPr>
        <w:t xml:space="preserve">and </w:t>
      </w:r>
      <w:r w:rsidR="002661AF" w:rsidRPr="004B21F6">
        <w:rPr>
          <w:rFonts w:ascii="Arial" w:hAnsi="Arial" w:cs="Arial"/>
          <w:color w:val="808080" w:themeColor="background1" w:themeShade="80"/>
          <w:sz w:val="22"/>
          <w:szCs w:val="22"/>
          <w:lang w:val="en-HK"/>
        </w:rPr>
        <w:t>supplemented by the FBPR.</w:t>
      </w:r>
    </w:p>
    <w:p w14:paraId="20893CCB" w14:textId="77777777" w:rsidR="002661AF" w:rsidRPr="004B21F6" w:rsidRDefault="002661AF" w:rsidP="004B21F6">
      <w:pPr>
        <w:jc w:val="both"/>
        <w:rPr>
          <w:rFonts w:ascii="Arial" w:hAnsi="Arial" w:cs="Arial"/>
          <w:color w:val="808080" w:themeColor="background1" w:themeShade="80"/>
          <w:sz w:val="22"/>
          <w:szCs w:val="22"/>
          <w:lang w:val="en-GB"/>
        </w:rPr>
      </w:pPr>
    </w:p>
    <w:p w14:paraId="1B718D0F" w14:textId="26F9E0B0" w:rsidR="008502FB" w:rsidRPr="004B21F6" w:rsidRDefault="004614F9" w:rsidP="004B21F6">
      <w:pPr>
        <w:jc w:val="both"/>
        <w:rPr>
          <w:rFonts w:ascii="Arial" w:hAnsi="Arial" w:cs="Arial"/>
          <w:color w:val="808080" w:themeColor="background1" w:themeShade="80"/>
          <w:sz w:val="22"/>
          <w:szCs w:val="22"/>
          <w:lang w:val="en-HK"/>
        </w:rPr>
      </w:pPr>
      <w:r w:rsidRPr="004B21F6">
        <w:rPr>
          <w:rFonts w:ascii="Arial" w:hAnsi="Arial" w:cs="Arial"/>
          <w:color w:val="808080" w:themeColor="background1" w:themeShade="80"/>
          <w:sz w:val="22"/>
          <w:szCs w:val="22"/>
          <w:lang w:val="en-HK"/>
        </w:rPr>
        <w:t>A foreign representative is defined in section 240 of the Companies Act as “</w:t>
      </w:r>
      <w:r w:rsidRPr="004B21F6">
        <w:rPr>
          <w:rFonts w:ascii="Arial" w:hAnsi="Arial" w:cs="Arial"/>
          <w:i/>
          <w:iCs/>
          <w:color w:val="808080" w:themeColor="background1" w:themeShade="80"/>
          <w:sz w:val="22"/>
          <w:szCs w:val="22"/>
          <w:lang w:val="en-HK"/>
        </w:rPr>
        <w:t>a trustee, liquidator or other official appointed in respect of a debtor for the purposes of a foreign bankruptcy proceeding.</w:t>
      </w:r>
      <w:r w:rsidRPr="004B21F6">
        <w:rPr>
          <w:rFonts w:ascii="Arial" w:hAnsi="Arial" w:cs="Arial"/>
          <w:color w:val="808080" w:themeColor="background1" w:themeShade="80"/>
          <w:sz w:val="22"/>
          <w:szCs w:val="22"/>
          <w:lang w:val="en-HK"/>
        </w:rPr>
        <w:t>”</w:t>
      </w:r>
      <w:r w:rsidRPr="004B21F6">
        <w:rPr>
          <w:rStyle w:val="FootnoteReference"/>
          <w:rFonts w:ascii="Arial" w:hAnsi="Arial" w:cs="Arial"/>
          <w:color w:val="808080" w:themeColor="background1" w:themeShade="80"/>
          <w:sz w:val="22"/>
          <w:szCs w:val="22"/>
          <w:lang w:val="en-HK"/>
        </w:rPr>
        <w:footnoteReference w:id="1"/>
      </w:r>
      <w:r w:rsidRPr="004B21F6">
        <w:rPr>
          <w:rFonts w:ascii="Arial" w:hAnsi="Arial" w:cs="Arial"/>
          <w:color w:val="808080" w:themeColor="background1" w:themeShade="80"/>
          <w:sz w:val="22"/>
          <w:szCs w:val="22"/>
          <w:lang w:val="en-HK"/>
        </w:rPr>
        <w:t xml:space="preserve"> </w:t>
      </w:r>
      <w:r w:rsidR="008502FB" w:rsidRPr="004B21F6">
        <w:rPr>
          <w:rFonts w:ascii="Arial" w:hAnsi="Arial" w:cs="Arial"/>
          <w:color w:val="808080" w:themeColor="background1" w:themeShade="80"/>
          <w:sz w:val="22"/>
          <w:szCs w:val="22"/>
          <w:lang w:val="en-GB"/>
        </w:rPr>
        <w:t>Under section 241, upon “</w:t>
      </w:r>
      <w:r w:rsidR="008502FB" w:rsidRPr="004B21F6">
        <w:rPr>
          <w:rFonts w:ascii="Arial" w:hAnsi="Arial" w:cs="Arial"/>
          <w:i/>
          <w:iCs/>
          <w:color w:val="808080" w:themeColor="background1" w:themeShade="80"/>
          <w:sz w:val="22"/>
          <w:szCs w:val="22"/>
          <w:lang w:val="en-GB"/>
        </w:rPr>
        <w:t>the application of a foreign representative the Court may make orders ancillary to a foreign bankruptcy proceeding</w:t>
      </w:r>
      <w:r w:rsidR="008502FB" w:rsidRPr="004B21F6">
        <w:rPr>
          <w:rFonts w:ascii="Arial" w:hAnsi="Arial" w:cs="Arial"/>
          <w:color w:val="808080" w:themeColor="background1" w:themeShade="80"/>
          <w:sz w:val="22"/>
          <w:szCs w:val="22"/>
          <w:lang w:val="en-GB"/>
        </w:rPr>
        <w:t>”</w:t>
      </w:r>
      <w:r w:rsidR="008502FB" w:rsidRPr="004B21F6">
        <w:rPr>
          <w:rStyle w:val="FootnoteReference"/>
          <w:rFonts w:ascii="Arial" w:hAnsi="Arial" w:cs="Arial"/>
          <w:color w:val="808080" w:themeColor="background1" w:themeShade="80"/>
          <w:sz w:val="22"/>
          <w:szCs w:val="22"/>
          <w:lang w:val="en-GB"/>
        </w:rPr>
        <w:footnoteReference w:id="2"/>
      </w:r>
      <w:r w:rsidR="008502FB" w:rsidRPr="004B21F6">
        <w:rPr>
          <w:rFonts w:ascii="Arial" w:hAnsi="Arial" w:cs="Arial"/>
          <w:color w:val="808080" w:themeColor="background1" w:themeShade="80"/>
          <w:sz w:val="22"/>
          <w:szCs w:val="22"/>
          <w:lang w:val="en-GB"/>
        </w:rPr>
        <w:t xml:space="preserve">. The purpose of the orders </w:t>
      </w:r>
      <w:proofErr w:type="gramStart"/>
      <w:r w:rsidR="008502FB" w:rsidRPr="004B21F6">
        <w:rPr>
          <w:rFonts w:ascii="Arial" w:hAnsi="Arial" w:cs="Arial"/>
          <w:color w:val="808080" w:themeColor="background1" w:themeShade="80"/>
          <w:sz w:val="22"/>
          <w:szCs w:val="22"/>
          <w:lang w:val="en-GB"/>
        </w:rPr>
        <w:t>include</w:t>
      </w:r>
      <w:proofErr w:type="gramEnd"/>
      <w:r w:rsidR="008502FB" w:rsidRPr="004B21F6">
        <w:rPr>
          <w:rFonts w:ascii="Arial" w:hAnsi="Arial" w:cs="Arial"/>
          <w:color w:val="808080" w:themeColor="background1" w:themeShade="80"/>
          <w:sz w:val="22"/>
          <w:szCs w:val="22"/>
          <w:lang w:val="en-GB"/>
        </w:rPr>
        <w:t xml:space="preserve">, </w:t>
      </w:r>
      <w:r w:rsidR="008502FB" w:rsidRPr="004B21F6">
        <w:rPr>
          <w:rFonts w:ascii="Arial" w:hAnsi="Arial" w:cs="Arial"/>
          <w:i/>
          <w:iCs/>
          <w:color w:val="808080" w:themeColor="background1" w:themeShade="80"/>
          <w:sz w:val="22"/>
          <w:szCs w:val="22"/>
          <w:lang w:val="en-GB"/>
        </w:rPr>
        <w:t>inter alia</w:t>
      </w:r>
      <w:r w:rsidR="008502FB" w:rsidRPr="004B21F6">
        <w:rPr>
          <w:rFonts w:ascii="Arial" w:hAnsi="Arial" w:cs="Arial"/>
          <w:color w:val="808080" w:themeColor="background1" w:themeShade="80"/>
          <w:sz w:val="22"/>
          <w:szCs w:val="22"/>
          <w:lang w:val="en-GB"/>
        </w:rPr>
        <w:t>:</w:t>
      </w:r>
    </w:p>
    <w:p w14:paraId="3CF02794" w14:textId="5DB405E2" w:rsidR="008502FB" w:rsidRPr="004B21F6" w:rsidRDefault="00DE2C7E" w:rsidP="004B21F6">
      <w:pPr>
        <w:pStyle w:val="ListParagraph"/>
        <w:numPr>
          <w:ilvl w:val="0"/>
          <w:numId w:val="12"/>
        </w:numPr>
        <w:jc w:val="both"/>
        <w:rPr>
          <w:rFonts w:ascii="Arial" w:hAnsi="Arial" w:cs="Arial"/>
          <w:color w:val="808080" w:themeColor="background1" w:themeShade="80"/>
          <w:sz w:val="22"/>
          <w:szCs w:val="22"/>
          <w:lang w:val="en-GB"/>
        </w:rPr>
      </w:pPr>
      <w:r w:rsidRPr="004B21F6">
        <w:rPr>
          <w:rFonts w:ascii="Arial" w:hAnsi="Arial" w:cs="Arial"/>
          <w:color w:val="808080" w:themeColor="background1" w:themeShade="80"/>
          <w:sz w:val="22"/>
          <w:szCs w:val="22"/>
          <w:lang w:val="en-GB"/>
        </w:rPr>
        <w:t>r</w:t>
      </w:r>
      <w:r w:rsidR="008502FB" w:rsidRPr="004B21F6">
        <w:rPr>
          <w:rFonts w:ascii="Arial" w:hAnsi="Arial" w:cs="Arial"/>
          <w:color w:val="808080" w:themeColor="background1" w:themeShade="80"/>
          <w:sz w:val="22"/>
          <w:szCs w:val="22"/>
          <w:lang w:val="en-GB"/>
        </w:rPr>
        <w:t>ecognising the foreign representative’s right to act in the Cayman Islands on behalf</w:t>
      </w:r>
      <w:r w:rsidR="00F87B2E" w:rsidRPr="004B21F6">
        <w:rPr>
          <w:rFonts w:ascii="Arial" w:hAnsi="Arial" w:cs="Arial"/>
          <w:color w:val="808080" w:themeColor="background1" w:themeShade="80"/>
          <w:sz w:val="22"/>
          <w:szCs w:val="22"/>
          <w:lang w:val="en-GB"/>
        </w:rPr>
        <w:t xml:space="preserve"> of</w:t>
      </w:r>
      <w:r w:rsidR="008502FB" w:rsidRPr="004B21F6">
        <w:rPr>
          <w:rFonts w:ascii="Arial" w:hAnsi="Arial" w:cs="Arial"/>
          <w:color w:val="808080" w:themeColor="background1" w:themeShade="80"/>
          <w:sz w:val="22"/>
          <w:szCs w:val="22"/>
          <w:lang w:val="en-GB"/>
        </w:rPr>
        <w:t xml:space="preserve"> or in the name of a debt</w:t>
      </w:r>
      <w:r w:rsidR="004572DB" w:rsidRPr="004B21F6">
        <w:rPr>
          <w:rFonts w:ascii="Arial" w:hAnsi="Arial" w:cs="Arial"/>
          <w:color w:val="808080" w:themeColor="background1" w:themeShade="80"/>
          <w:sz w:val="22"/>
          <w:szCs w:val="22"/>
          <w:lang w:val="en-GB"/>
        </w:rPr>
        <w:t>or</w:t>
      </w:r>
      <w:r w:rsidR="008502FB" w:rsidRPr="004B21F6">
        <w:rPr>
          <w:rStyle w:val="FootnoteReference"/>
          <w:rFonts w:ascii="Arial" w:hAnsi="Arial" w:cs="Arial"/>
          <w:color w:val="808080" w:themeColor="background1" w:themeShade="80"/>
          <w:sz w:val="22"/>
          <w:szCs w:val="22"/>
          <w:lang w:val="en-GB"/>
        </w:rPr>
        <w:footnoteReference w:id="3"/>
      </w:r>
      <w:r w:rsidR="008502FB" w:rsidRPr="004B21F6">
        <w:rPr>
          <w:rFonts w:ascii="Arial" w:hAnsi="Arial" w:cs="Arial"/>
          <w:color w:val="808080" w:themeColor="background1" w:themeShade="80"/>
          <w:sz w:val="22"/>
          <w:szCs w:val="22"/>
          <w:lang w:val="en-GB"/>
        </w:rPr>
        <w:t>;</w:t>
      </w:r>
    </w:p>
    <w:p w14:paraId="26F04BDB" w14:textId="6216E7D2" w:rsidR="006B3B63" w:rsidRPr="004B21F6" w:rsidRDefault="00832034" w:rsidP="004B21F6">
      <w:pPr>
        <w:pStyle w:val="ListParagraph"/>
        <w:numPr>
          <w:ilvl w:val="0"/>
          <w:numId w:val="12"/>
        </w:numPr>
        <w:jc w:val="both"/>
        <w:rPr>
          <w:rFonts w:ascii="Arial" w:hAnsi="Arial" w:cs="Arial"/>
          <w:color w:val="808080" w:themeColor="background1" w:themeShade="80"/>
          <w:sz w:val="22"/>
          <w:szCs w:val="22"/>
          <w:lang w:val="en-GB"/>
        </w:rPr>
      </w:pPr>
      <w:r w:rsidRPr="004B21F6">
        <w:rPr>
          <w:rFonts w:ascii="Arial" w:hAnsi="Arial" w:cs="Arial"/>
          <w:color w:val="808080" w:themeColor="background1" w:themeShade="80"/>
          <w:sz w:val="22"/>
          <w:szCs w:val="22"/>
          <w:lang w:val="en-GB"/>
        </w:rPr>
        <w:t xml:space="preserve">requiring a person who is in possession of information which relates to the </w:t>
      </w:r>
      <w:r w:rsidR="003F5E35" w:rsidRPr="004B21F6">
        <w:rPr>
          <w:rFonts w:ascii="Arial" w:hAnsi="Arial" w:cs="Arial"/>
          <w:color w:val="808080" w:themeColor="background1" w:themeShade="80"/>
          <w:sz w:val="22"/>
          <w:szCs w:val="22"/>
          <w:lang w:val="en-GB"/>
        </w:rPr>
        <w:t xml:space="preserve">debtor’s </w:t>
      </w:r>
      <w:r w:rsidRPr="004B21F6">
        <w:rPr>
          <w:rFonts w:ascii="Arial" w:hAnsi="Arial" w:cs="Arial"/>
          <w:color w:val="808080" w:themeColor="background1" w:themeShade="80"/>
          <w:sz w:val="22"/>
          <w:szCs w:val="22"/>
          <w:lang w:val="en-GB"/>
        </w:rPr>
        <w:t>business or affairs to be examined by and produce documents to its foreign representative</w:t>
      </w:r>
      <w:r w:rsidRPr="004B21F6">
        <w:rPr>
          <w:rStyle w:val="FootnoteReference"/>
          <w:rFonts w:ascii="Arial" w:hAnsi="Arial" w:cs="Arial"/>
          <w:color w:val="808080" w:themeColor="background1" w:themeShade="80"/>
          <w:sz w:val="22"/>
          <w:szCs w:val="22"/>
          <w:lang w:val="en-GB"/>
        </w:rPr>
        <w:footnoteReference w:id="4"/>
      </w:r>
      <w:r w:rsidRPr="004B21F6">
        <w:rPr>
          <w:rFonts w:ascii="Arial" w:hAnsi="Arial" w:cs="Arial"/>
          <w:color w:val="808080" w:themeColor="background1" w:themeShade="80"/>
          <w:sz w:val="22"/>
          <w:szCs w:val="22"/>
          <w:lang w:val="en-GB"/>
        </w:rPr>
        <w:t xml:space="preserve">; </w:t>
      </w:r>
      <w:r w:rsidR="004572DB" w:rsidRPr="004B21F6">
        <w:rPr>
          <w:rFonts w:ascii="Arial" w:hAnsi="Arial" w:cs="Arial"/>
          <w:color w:val="808080" w:themeColor="background1" w:themeShade="80"/>
          <w:sz w:val="22"/>
          <w:szCs w:val="22"/>
          <w:lang w:val="en-GB"/>
        </w:rPr>
        <w:t>and</w:t>
      </w:r>
    </w:p>
    <w:p w14:paraId="5FA73209" w14:textId="1509030A" w:rsidR="004572DB" w:rsidRPr="004B21F6" w:rsidRDefault="00DE2C7E" w:rsidP="004B21F6">
      <w:pPr>
        <w:pStyle w:val="ListParagraph"/>
        <w:numPr>
          <w:ilvl w:val="0"/>
          <w:numId w:val="12"/>
        </w:numPr>
        <w:jc w:val="both"/>
        <w:rPr>
          <w:rFonts w:ascii="Arial" w:hAnsi="Arial" w:cs="Arial"/>
          <w:color w:val="808080" w:themeColor="background1" w:themeShade="80"/>
          <w:sz w:val="22"/>
          <w:szCs w:val="22"/>
          <w:lang w:val="en-GB"/>
        </w:rPr>
      </w:pPr>
      <w:r w:rsidRPr="004B21F6">
        <w:rPr>
          <w:rFonts w:ascii="Arial" w:hAnsi="Arial" w:cs="Arial"/>
          <w:color w:val="808080" w:themeColor="background1" w:themeShade="80"/>
          <w:sz w:val="22"/>
          <w:szCs w:val="22"/>
          <w:lang w:val="en-GB"/>
        </w:rPr>
        <w:t>o</w:t>
      </w:r>
      <w:r w:rsidR="004572DB" w:rsidRPr="004B21F6">
        <w:rPr>
          <w:rFonts w:ascii="Arial" w:hAnsi="Arial" w:cs="Arial"/>
          <w:color w:val="808080" w:themeColor="background1" w:themeShade="80"/>
          <w:sz w:val="22"/>
          <w:szCs w:val="22"/>
          <w:lang w:val="en-GB"/>
        </w:rPr>
        <w:t xml:space="preserve">rdering the turnover </w:t>
      </w:r>
      <w:r w:rsidR="00F87B2E" w:rsidRPr="004B21F6">
        <w:rPr>
          <w:rFonts w:ascii="Arial" w:hAnsi="Arial" w:cs="Arial"/>
          <w:color w:val="808080" w:themeColor="background1" w:themeShade="80"/>
          <w:sz w:val="22"/>
          <w:szCs w:val="22"/>
          <w:lang w:val="en-GB"/>
        </w:rPr>
        <w:t xml:space="preserve">of any property which belongs to the debtor </w:t>
      </w:r>
      <w:r w:rsidR="004572DB" w:rsidRPr="004B21F6">
        <w:rPr>
          <w:rFonts w:ascii="Arial" w:hAnsi="Arial" w:cs="Arial"/>
          <w:color w:val="808080" w:themeColor="background1" w:themeShade="80"/>
          <w:sz w:val="22"/>
          <w:szCs w:val="22"/>
          <w:lang w:val="en-GB"/>
        </w:rPr>
        <w:t>to the foreign representative</w:t>
      </w:r>
      <w:r w:rsidR="004572DB" w:rsidRPr="004B21F6">
        <w:rPr>
          <w:rStyle w:val="FootnoteReference"/>
          <w:rFonts w:ascii="Arial" w:hAnsi="Arial" w:cs="Arial"/>
          <w:color w:val="808080" w:themeColor="background1" w:themeShade="80"/>
          <w:sz w:val="22"/>
          <w:szCs w:val="22"/>
          <w:lang w:val="en-GB"/>
        </w:rPr>
        <w:footnoteReference w:id="5"/>
      </w:r>
      <w:r w:rsidR="004572DB" w:rsidRPr="004B21F6">
        <w:rPr>
          <w:rFonts w:ascii="Arial" w:hAnsi="Arial" w:cs="Arial"/>
          <w:color w:val="808080" w:themeColor="background1" w:themeShade="80"/>
          <w:sz w:val="22"/>
          <w:szCs w:val="22"/>
          <w:lang w:val="en-GB"/>
        </w:rPr>
        <w:t>.</w:t>
      </w:r>
    </w:p>
    <w:p w14:paraId="46FF40EB" w14:textId="77777777" w:rsidR="00D14E8F" w:rsidRPr="004B21F6" w:rsidRDefault="00D14E8F" w:rsidP="004B21F6">
      <w:pPr>
        <w:jc w:val="both"/>
        <w:rPr>
          <w:rFonts w:ascii="Arial" w:hAnsi="Arial" w:cs="Arial"/>
          <w:color w:val="808080" w:themeColor="background1" w:themeShade="80"/>
          <w:sz w:val="22"/>
          <w:szCs w:val="22"/>
          <w:lang w:val="en-GB"/>
        </w:rPr>
      </w:pPr>
    </w:p>
    <w:p w14:paraId="3C474BC8" w14:textId="7C9F867C" w:rsidR="00152568" w:rsidRPr="004B21F6" w:rsidRDefault="00152568" w:rsidP="004B21F6">
      <w:pPr>
        <w:jc w:val="both"/>
        <w:rPr>
          <w:rFonts w:ascii="Arial" w:hAnsi="Arial" w:cs="Arial"/>
          <w:b/>
          <w:bCs/>
          <w:color w:val="808080" w:themeColor="background1" w:themeShade="80"/>
          <w:sz w:val="22"/>
          <w:szCs w:val="22"/>
          <w:u w:val="single"/>
          <w:lang w:val="en-GB"/>
        </w:rPr>
      </w:pPr>
      <w:r w:rsidRPr="004B21F6">
        <w:rPr>
          <w:rFonts w:ascii="Arial" w:hAnsi="Arial" w:cs="Arial"/>
          <w:b/>
          <w:bCs/>
          <w:color w:val="808080" w:themeColor="background1" w:themeShade="80"/>
          <w:sz w:val="22"/>
          <w:szCs w:val="22"/>
          <w:u w:val="single"/>
          <w:lang w:val="en-GB"/>
        </w:rPr>
        <w:t>Court’s discretion</w:t>
      </w:r>
    </w:p>
    <w:p w14:paraId="2D6D4BD1" w14:textId="5A71D87C" w:rsidR="006B3B63" w:rsidRPr="004B21F6" w:rsidRDefault="004572DB" w:rsidP="004B21F6">
      <w:pPr>
        <w:jc w:val="both"/>
        <w:rPr>
          <w:rFonts w:ascii="Arial" w:hAnsi="Arial" w:cs="Arial"/>
          <w:i/>
          <w:iCs/>
          <w:color w:val="808080" w:themeColor="background1" w:themeShade="80"/>
          <w:sz w:val="22"/>
          <w:szCs w:val="22"/>
          <w:lang w:val="en-GB"/>
        </w:rPr>
      </w:pPr>
      <w:r w:rsidRPr="004B21F6">
        <w:rPr>
          <w:rFonts w:ascii="Arial" w:hAnsi="Arial" w:cs="Arial"/>
          <w:color w:val="808080" w:themeColor="background1" w:themeShade="80"/>
          <w:sz w:val="22"/>
          <w:szCs w:val="22"/>
          <w:lang w:val="en-GB"/>
        </w:rPr>
        <w:t xml:space="preserve">The Court has discretion when determining whether to grant an ancillary order under section 241. </w:t>
      </w:r>
      <w:r w:rsidR="00B77D43" w:rsidRPr="004B21F6">
        <w:rPr>
          <w:rFonts w:ascii="Arial" w:hAnsi="Arial" w:cs="Arial"/>
          <w:color w:val="808080" w:themeColor="background1" w:themeShade="80"/>
          <w:sz w:val="22"/>
          <w:szCs w:val="22"/>
          <w:lang w:val="en-GB"/>
        </w:rPr>
        <w:t>The criteria which the Court shall exercise its discretion is set out in section 242. The Court “</w:t>
      </w:r>
      <w:r w:rsidR="006B3B63" w:rsidRPr="004B21F6">
        <w:rPr>
          <w:rFonts w:ascii="Arial" w:hAnsi="Arial" w:cs="Arial"/>
          <w:i/>
          <w:iCs/>
          <w:color w:val="808080" w:themeColor="background1" w:themeShade="80"/>
          <w:sz w:val="22"/>
          <w:szCs w:val="22"/>
          <w:lang w:val="en-GB"/>
        </w:rPr>
        <w:t>shall be guided</w:t>
      </w:r>
      <w:r w:rsidR="00B77D43" w:rsidRPr="004B21F6">
        <w:rPr>
          <w:rFonts w:ascii="Arial" w:hAnsi="Arial" w:cs="Arial"/>
          <w:i/>
          <w:iCs/>
          <w:color w:val="808080" w:themeColor="background1" w:themeShade="80"/>
          <w:sz w:val="22"/>
          <w:szCs w:val="22"/>
          <w:lang w:val="en-GB"/>
        </w:rPr>
        <w:t xml:space="preserve"> </w:t>
      </w:r>
      <w:r w:rsidR="006B3B63" w:rsidRPr="004B21F6">
        <w:rPr>
          <w:rFonts w:ascii="Arial" w:hAnsi="Arial" w:cs="Arial"/>
          <w:i/>
          <w:iCs/>
          <w:color w:val="808080" w:themeColor="background1" w:themeShade="80"/>
          <w:sz w:val="22"/>
          <w:szCs w:val="22"/>
          <w:lang w:val="en-GB"/>
        </w:rPr>
        <w:t>by matters which will best assure an economic and expeditious administration of the debtor’s estate,</w:t>
      </w:r>
      <w:r w:rsidR="005C50F9" w:rsidRPr="004B21F6">
        <w:rPr>
          <w:rFonts w:ascii="Arial" w:hAnsi="Arial" w:cs="Arial"/>
          <w:i/>
          <w:iCs/>
          <w:color w:val="808080" w:themeColor="background1" w:themeShade="80"/>
          <w:sz w:val="22"/>
          <w:szCs w:val="22"/>
          <w:lang w:val="en-GB"/>
        </w:rPr>
        <w:t xml:space="preserve"> </w:t>
      </w:r>
      <w:r w:rsidR="006B3B63" w:rsidRPr="004B21F6">
        <w:rPr>
          <w:rFonts w:ascii="Arial" w:hAnsi="Arial" w:cs="Arial"/>
          <w:i/>
          <w:iCs/>
          <w:color w:val="808080" w:themeColor="background1" w:themeShade="80"/>
          <w:sz w:val="22"/>
          <w:szCs w:val="22"/>
          <w:lang w:val="en-GB"/>
        </w:rPr>
        <w:t>consistent with</w:t>
      </w:r>
      <w:r w:rsidR="00B77D43" w:rsidRPr="004B21F6">
        <w:rPr>
          <w:rFonts w:ascii="Arial" w:hAnsi="Arial" w:cs="Arial"/>
          <w:color w:val="808080" w:themeColor="background1" w:themeShade="80"/>
          <w:sz w:val="22"/>
          <w:szCs w:val="22"/>
          <w:lang w:val="en-GB"/>
        </w:rPr>
        <w:t>”</w:t>
      </w:r>
      <w:r w:rsidR="00B77D43" w:rsidRPr="004B21F6">
        <w:rPr>
          <w:rStyle w:val="FootnoteReference"/>
          <w:rFonts w:ascii="Arial" w:hAnsi="Arial" w:cs="Arial"/>
          <w:color w:val="808080" w:themeColor="background1" w:themeShade="80"/>
          <w:sz w:val="22"/>
          <w:szCs w:val="22"/>
          <w:lang w:val="en-GB"/>
        </w:rPr>
        <w:footnoteReference w:id="6"/>
      </w:r>
      <w:r w:rsidR="00B77D43" w:rsidRPr="004B21F6">
        <w:rPr>
          <w:rFonts w:ascii="Arial" w:hAnsi="Arial" w:cs="Arial"/>
          <w:color w:val="808080" w:themeColor="background1" w:themeShade="80"/>
          <w:sz w:val="22"/>
          <w:szCs w:val="22"/>
          <w:lang w:val="en-GB"/>
        </w:rPr>
        <w:t xml:space="preserve">, </w:t>
      </w:r>
      <w:r w:rsidR="00B77D43" w:rsidRPr="004B21F6">
        <w:rPr>
          <w:rFonts w:ascii="Arial" w:hAnsi="Arial" w:cs="Arial"/>
          <w:i/>
          <w:iCs/>
          <w:color w:val="808080" w:themeColor="background1" w:themeShade="80"/>
          <w:sz w:val="22"/>
          <w:szCs w:val="22"/>
          <w:lang w:val="en-GB"/>
        </w:rPr>
        <w:t>inter alia</w:t>
      </w:r>
      <w:r w:rsidR="00B77D43" w:rsidRPr="004B21F6">
        <w:rPr>
          <w:rFonts w:ascii="Arial" w:hAnsi="Arial" w:cs="Arial"/>
          <w:color w:val="808080" w:themeColor="background1" w:themeShade="80"/>
          <w:sz w:val="22"/>
          <w:szCs w:val="22"/>
          <w:lang w:val="en-GB"/>
        </w:rPr>
        <w:t>:</w:t>
      </w:r>
    </w:p>
    <w:p w14:paraId="1B25F2F6" w14:textId="157E4EB1" w:rsidR="006B3B63" w:rsidRPr="004B21F6" w:rsidRDefault="00DE2C7E" w:rsidP="004B21F6">
      <w:pPr>
        <w:pStyle w:val="ListParagraph"/>
        <w:numPr>
          <w:ilvl w:val="0"/>
          <w:numId w:val="13"/>
        </w:numPr>
        <w:jc w:val="both"/>
        <w:rPr>
          <w:rFonts w:ascii="Arial" w:hAnsi="Arial" w:cs="Arial"/>
          <w:color w:val="808080" w:themeColor="background1" w:themeShade="80"/>
          <w:sz w:val="22"/>
          <w:szCs w:val="22"/>
          <w:lang w:val="en-GB"/>
        </w:rPr>
      </w:pPr>
      <w:r w:rsidRPr="004B21F6">
        <w:rPr>
          <w:rFonts w:ascii="Arial" w:hAnsi="Arial" w:cs="Arial"/>
          <w:color w:val="808080" w:themeColor="background1" w:themeShade="80"/>
          <w:sz w:val="22"/>
          <w:szCs w:val="22"/>
          <w:lang w:val="en-GB"/>
        </w:rPr>
        <w:lastRenderedPageBreak/>
        <w:t>p</w:t>
      </w:r>
      <w:r w:rsidR="00B77D43" w:rsidRPr="004B21F6">
        <w:rPr>
          <w:rFonts w:ascii="Arial" w:hAnsi="Arial" w:cs="Arial"/>
          <w:color w:val="808080" w:themeColor="background1" w:themeShade="80"/>
          <w:sz w:val="22"/>
          <w:szCs w:val="22"/>
          <w:lang w:val="en-GB"/>
        </w:rPr>
        <w:t xml:space="preserve">rotecting claim holders in the Cayman Islands against prejudice and inconvenience in the processing of claims in the foreign </w:t>
      </w:r>
      <w:r w:rsidR="006B3B63" w:rsidRPr="004B21F6">
        <w:rPr>
          <w:rFonts w:ascii="Arial" w:hAnsi="Arial" w:cs="Arial"/>
          <w:color w:val="808080" w:themeColor="background1" w:themeShade="80"/>
          <w:sz w:val="22"/>
          <w:szCs w:val="22"/>
          <w:lang w:val="en-GB"/>
        </w:rPr>
        <w:t>bankruptcy proceeding</w:t>
      </w:r>
      <w:r w:rsidR="00B77D43" w:rsidRPr="004B21F6">
        <w:rPr>
          <w:rStyle w:val="FootnoteReference"/>
          <w:rFonts w:ascii="Arial" w:hAnsi="Arial" w:cs="Arial"/>
          <w:color w:val="808080" w:themeColor="background1" w:themeShade="80"/>
          <w:sz w:val="22"/>
          <w:szCs w:val="22"/>
          <w:lang w:val="en-GB"/>
        </w:rPr>
        <w:footnoteReference w:id="7"/>
      </w:r>
      <w:r w:rsidR="006B3B63" w:rsidRPr="004B21F6">
        <w:rPr>
          <w:rFonts w:ascii="Arial" w:hAnsi="Arial" w:cs="Arial"/>
          <w:color w:val="808080" w:themeColor="background1" w:themeShade="80"/>
          <w:sz w:val="22"/>
          <w:szCs w:val="22"/>
          <w:lang w:val="en-GB"/>
        </w:rPr>
        <w:t>;</w:t>
      </w:r>
      <w:r w:rsidR="005B1214" w:rsidRPr="004B21F6">
        <w:rPr>
          <w:rFonts w:ascii="Arial" w:hAnsi="Arial" w:cs="Arial"/>
          <w:color w:val="808080" w:themeColor="background1" w:themeShade="80"/>
          <w:sz w:val="22"/>
          <w:szCs w:val="22"/>
          <w:lang w:val="en-GB"/>
        </w:rPr>
        <w:t xml:space="preserve"> and</w:t>
      </w:r>
    </w:p>
    <w:p w14:paraId="012AF3D2" w14:textId="07F22AE4" w:rsidR="00332C83" w:rsidRPr="004B21F6" w:rsidRDefault="00DE2C7E" w:rsidP="004B21F6">
      <w:pPr>
        <w:pStyle w:val="ListParagraph"/>
        <w:numPr>
          <w:ilvl w:val="0"/>
          <w:numId w:val="13"/>
        </w:numPr>
        <w:jc w:val="both"/>
        <w:rPr>
          <w:rFonts w:ascii="Arial" w:hAnsi="Arial" w:cs="Arial"/>
          <w:color w:val="808080" w:themeColor="background1" w:themeShade="80"/>
          <w:sz w:val="22"/>
          <w:szCs w:val="22"/>
          <w:lang w:val="en-GB"/>
        </w:rPr>
      </w:pPr>
      <w:r w:rsidRPr="004B21F6">
        <w:rPr>
          <w:rFonts w:ascii="Arial" w:hAnsi="Arial" w:cs="Arial"/>
          <w:color w:val="808080" w:themeColor="background1" w:themeShade="80"/>
          <w:sz w:val="22"/>
          <w:szCs w:val="22"/>
          <w:lang w:val="en-GB"/>
        </w:rPr>
        <w:t>p</w:t>
      </w:r>
      <w:r w:rsidR="00B77D43" w:rsidRPr="004B21F6">
        <w:rPr>
          <w:rFonts w:ascii="Arial" w:hAnsi="Arial" w:cs="Arial"/>
          <w:color w:val="808080" w:themeColor="background1" w:themeShade="80"/>
          <w:sz w:val="22"/>
          <w:szCs w:val="22"/>
          <w:lang w:val="en-GB"/>
        </w:rPr>
        <w:t xml:space="preserve">reventing </w:t>
      </w:r>
      <w:r w:rsidR="006B3B63" w:rsidRPr="004B21F6">
        <w:rPr>
          <w:rFonts w:ascii="Arial" w:hAnsi="Arial" w:cs="Arial"/>
          <w:color w:val="808080" w:themeColor="background1" w:themeShade="80"/>
          <w:sz w:val="22"/>
          <w:szCs w:val="22"/>
          <w:lang w:val="en-GB"/>
        </w:rPr>
        <w:t>preferential or fraudulent dispositions of the</w:t>
      </w:r>
      <w:r w:rsidR="00B77D43" w:rsidRPr="004B21F6">
        <w:rPr>
          <w:rFonts w:ascii="Arial" w:hAnsi="Arial" w:cs="Arial"/>
          <w:color w:val="808080" w:themeColor="background1" w:themeShade="80"/>
          <w:sz w:val="22"/>
          <w:szCs w:val="22"/>
          <w:lang w:val="en-GB"/>
        </w:rPr>
        <w:t xml:space="preserve"> </w:t>
      </w:r>
      <w:r w:rsidR="006B3B63" w:rsidRPr="004B21F6">
        <w:rPr>
          <w:rFonts w:ascii="Arial" w:hAnsi="Arial" w:cs="Arial"/>
          <w:color w:val="808080" w:themeColor="background1" w:themeShade="80"/>
          <w:sz w:val="22"/>
          <w:szCs w:val="22"/>
          <w:lang w:val="en-GB"/>
        </w:rPr>
        <w:t>debtor’s estate</w:t>
      </w:r>
      <w:r w:rsidR="00B77D43" w:rsidRPr="004B21F6">
        <w:rPr>
          <w:rStyle w:val="FootnoteReference"/>
          <w:rFonts w:ascii="Arial" w:hAnsi="Arial" w:cs="Arial"/>
          <w:color w:val="808080" w:themeColor="background1" w:themeShade="80"/>
          <w:sz w:val="22"/>
          <w:szCs w:val="22"/>
          <w:lang w:val="en-GB"/>
        </w:rPr>
        <w:footnoteReference w:id="8"/>
      </w:r>
      <w:r w:rsidR="005B1214" w:rsidRPr="004B21F6">
        <w:rPr>
          <w:rFonts w:ascii="Arial" w:hAnsi="Arial" w:cs="Arial"/>
          <w:color w:val="808080" w:themeColor="background1" w:themeShade="80"/>
          <w:sz w:val="22"/>
          <w:szCs w:val="22"/>
          <w:lang w:val="en-GB"/>
        </w:rPr>
        <w:t>.</w:t>
      </w:r>
    </w:p>
    <w:p w14:paraId="014442E6" w14:textId="77777777" w:rsidR="006E25AB" w:rsidRPr="004B21F6" w:rsidRDefault="006E25AB" w:rsidP="004B21F6">
      <w:pPr>
        <w:jc w:val="both"/>
        <w:rPr>
          <w:rFonts w:ascii="Arial" w:hAnsi="Arial" w:cs="Arial"/>
          <w:color w:val="808080" w:themeColor="background1" w:themeShade="80"/>
          <w:sz w:val="22"/>
          <w:szCs w:val="22"/>
          <w:highlight w:val="yellow"/>
          <w:lang w:val="en-GB"/>
        </w:rPr>
      </w:pPr>
    </w:p>
    <w:p w14:paraId="1CCAAC69" w14:textId="58CF858D" w:rsidR="006E25AB" w:rsidRPr="004B21F6" w:rsidRDefault="006E25AB" w:rsidP="004B21F6">
      <w:pPr>
        <w:jc w:val="both"/>
        <w:rPr>
          <w:rFonts w:ascii="Arial" w:hAnsi="Arial" w:cs="Arial"/>
          <w:i/>
          <w:iCs/>
          <w:color w:val="808080" w:themeColor="background1" w:themeShade="80"/>
          <w:sz w:val="22"/>
          <w:szCs w:val="22"/>
          <w:lang w:val="en-HK"/>
        </w:rPr>
      </w:pPr>
      <w:r w:rsidRPr="004B21F6">
        <w:rPr>
          <w:rFonts w:ascii="Arial" w:hAnsi="Arial" w:cs="Arial"/>
          <w:color w:val="808080" w:themeColor="background1" w:themeShade="80"/>
          <w:sz w:val="22"/>
          <w:szCs w:val="22"/>
          <w:lang w:val="en-HK"/>
        </w:rPr>
        <w:t xml:space="preserve">It should be noted that in </w:t>
      </w:r>
      <w:r w:rsidRPr="004B21F6">
        <w:rPr>
          <w:rFonts w:ascii="Arial" w:hAnsi="Arial" w:cs="Arial"/>
          <w:i/>
          <w:iCs/>
          <w:color w:val="808080" w:themeColor="background1" w:themeShade="80"/>
          <w:sz w:val="22"/>
          <w:szCs w:val="22"/>
          <w:lang w:val="en-HK"/>
        </w:rPr>
        <w:t xml:space="preserve">Picard and Bernard L. Madoff Investment Securities LLC (in liquidation) v </w:t>
      </w:r>
      <w:proofErr w:type="spellStart"/>
      <w:r w:rsidRPr="004B21F6">
        <w:rPr>
          <w:rFonts w:ascii="Arial" w:hAnsi="Arial" w:cs="Arial"/>
          <w:i/>
          <w:iCs/>
          <w:color w:val="808080" w:themeColor="background1" w:themeShade="80"/>
          <w:sz w:val="22"/>
          <w:szCs w:val="22"/>
          <w:lang w:val="en-HK"/>
        </w:rPr>
        <w:t>Primeo</w:t>
      </w:r>
      <w:proofErr w:type="spellEnd"/>
      <w:r w:rsidRPr="004B21F6">
        <w:rPr>
          <w:rFonts w:ascii="Arial" w:hAnsi="Arial" w:cs="Arial"/>
          <w:i/>
          <w:iCs/>
          <w:color w:val="808080" w:themeColor="background1" w:themeShade="80"/>
          <w:sz w:val="22"/>
          <w:szCs w:val="22"/>
          <w:lang w:val="en-HK"/>
        </w:rPr>
        <w:t xml:space="preserve"> Fund (in liquidation)</w:t>
      </w:r>
      <w:r w:rsidRPr="004B21F6">
        <w:rPr>
          <w:rStyle w:val="FootnoteReference"/>
          <w:rFonts w:ascii="Arial" w:hAnsi="Arial" w:cs="Arial"/>
          <w:color w:val="808080" w:themeColor="background1" w:themeShade="80"/>
          <w:sz w:val="22"/>
          <w:szCs w:val="22"/>
          <w:lang w:val="en-HK"/>
        </w:rPr>
        <w:footnoteReference w:id="9"/>
      </w:r>
      <w:r w:rsidRPr="004B21F6">
        <w:rPr>
          <w:rFonts w:ascii="Arial" w:hAnsi="Arial" w:cs="Arial"/>
          <w:color w:val="808080" w:themeColor="background1" w:themeShade="80"/>
          <w:sz w:val="22"/>
          <w:szCs w:val="22"/>
          <w:lang w:val="en-HK"/>
        </w:rPr>
        <w:t xml:space="preserve">, Justice Jones </w:t>
      </w:r>
      <w:r w:rsidR="00682A70" w:rsidRPr="004B21F6">
        <w:rPr>
          <w:rFonts w:ascii="Arial" w:hAnsi="Arial" w:cs="Arial"/>
          <w:color w:val="808080" w:themeColor="background1" w:themeShade="80"/>
          <w:sz w:val="22"/>
          <w:szCs w:val="22"/>
          <w:lang w:val="en-HK"/>
        </w:rPr>
        <w:t>stated</w:t>
      </w:r>
      <w:r w:rsidRPr="004B21F6">
        <w:rPr>
          <w:rFonts w:ascii="Arial" w:hAnsi="Arial" w:cs="Arial"/>
          <w:color w:val="808080" w:themeColor="background1" w:themeShade="80"/>
          <w:sz w:val="22"/>
          <w:szCs w:val="22"/>
          <w:lang w:val="en-HK"/>
        </w:rPr>
        <w:t xml:space="preserve"> that even </w:t>
      </w:r>
      <w:r w:rsidRPr="004B21F6">
        <w:rPr>
          <w:rFonts w:ascii="Arial" w:hAnsi="Arial" w:cs="Arial"/>
          <w:i/>
          <w:iCs/>
          <w:color w:val="808080" w:themeColor="background1" w:themeShade="80"/>
          <w:sz w:val="22"/>
          <w:szCs w:val="22"/>
          <w:lang w:val="en-HK"/>
        </w:rPr>
        <w:t>“if the foreign proceeding is recognized</w:t>
      </w:r>
      <w:r w:rsidR="004614F9" w:rsidRPr="004B21F6">
        <w:rPr>
          <w:rFonts w:ascii="Arial" w:hAnsi="Arial" w:cs="Arial"/>
          <w:i/>
          <w:iCs/>
          <w:color w:val="808080" w:themeColor="background1" w:themeShade="80"/>
          <w:sz w:val="22"/>
          <w:szCs w:val="22"/>
          <w:lang w:val="en-HK"/>
        </w:rPr>
        <w:t>…</w:t>
      </w:r>
      <w:r w:rsidRPr="004B21F6">
        <w:rPr>
          <w:rFonts w:ascii="Arial" w:hAnsi="Arial" w:cs="Arial"/>
          <w:i/>
          <w:iCs/>
          <w:color w:val="808080" w:themeColor="background1" w:themeShade="80"/>
          <w:sz w:val="22"/>
          <w:szCs w:val="22"/>
          <w:lang w:val="en-HK"/>
        </w:rPr>
        <w:t xml:space="preserve">this court could still decline to </w:t>
      </w:r>
      <w:proofErr w:type="gramStart"/>
      <w:r w:rsidRPr="004B21F6">
        <w:rPr>
          <w:rFonts w:ascii="Arial" w:hAnsi="Arial" w:cs="Arial"/>
          <w:i/>
          <w:iCs/>
          <w:color w:val="808080" w:themeColor="background1" w:themeShade="80"/>
          <w:sz w:val="22"/>
          <w:szCs w:val="22"/>
          <w:lang w:val="en-HK"/>
        </w:rPr>
        <w:t>provide assistance</w:t>
      </w:r>
      <w:proofErr w:type="gramEnd"/>
      <w:r w:rsidRPr="004B21F6">
        <w:rPr>
          <w:rFonts w:ascii="Arial" w:hAnsi="Arial" w:cs="Arial"/>
          <w:i/>
          <w:iCs/>
          <w:color w:val="808080" w:themeColor="background1" w:themeShade="80"/>
          <w:sz w:val="22"/>
          <w:szCs w:val="22"/>
          <w:lang w:val="en-HK"/>
        </w:rPr>
        <w:t xml:space="preserve"> if the order</w:t>
      </w:r>
      <w:r w:rsidR="00451EDC" w:rsidRPr="004B21F6">
        <w:rPr>
          <w:rFonts w:ascii="Arial" w:hAnsi="Arial" w:cs="Arial"/>
          <w:i/>
          <w:iCs/>
          <w:color w:val="808080" w:themeColor="background1" w:themeShade="80"/>
          <w:sz w:val="22"/>
          <w:szCs w:val="22"/>
          <w:lang w:val="en-HK"/>
        </w:rPr>
        <w:t>…</w:t>
      </w:r>
      <w:r w:rsidRPr="004B21F6">
        <w:rPr>
          <w:rFonts w:ascii="Arial" w:hAnsi="Arial" w:cs="Arial"/>
          <w:i/>
          <w:iCs/>
          <w:color w:val="808080" w:themeColor="background1" w:themeShade="80"/>
          <w:sz w:val="22"/>
          <w:szCs w:val="22"/>
          <w:lang w:val="en-HK"/>
        </w:rPr>
        <w:t xml:space="preserve">would be likely to produce or contribute to an economic result which is </w:t>
      </w:r>
      <w:r w:rsidRPr="004B21F6">
        <w:rPr>
          <w:rFonts w:ascii="Arial" w:hAnsi="Arial" w:cs="Arial"/>
          <w:i/>
          <w:iCs/>
          <w:color w:val="808080" w:themeColor="background1" w:themeShade="80"/>
          <w:sz w:val="22"/>
          <w:szCs w:val="22"/>
          <w:u w:val="single"/>
          <w:lang w:val="en-HK"/>
        </w:rPr>
        <w:t>inconsistent with the policy objectives</w:t>
      </w:r>
      <w:r w:rsidRPr="004B21F6">
        <w:rPr>
          <w:rFonts w:ascii="Arial" w:hAnsi="Arial" w:cs="Arial"/>
          <w:i/>
          <w:iCs/>
          <w:color w:val="808080" w:themeColor="background1" w:themeShade="80"/>
          <w:sz w:val="22"/>
          <w:szCs w:val="22"/>
          <w:lang w:val="en-HK"/>
        </w:rPr>
        <w:t xml:space="preserve"> of the Cayman corporate insolvency law.</w:t>
      </w:r>
      <w:r w:rsidR="00682A70" w:rsidRPr="004B21F6">
        <w:rPr>
          <w:rFonts w:ascii="Arial" w:hAnsi="Arial" w:cs="Arial"/>
          <w:i/>
          <w:iCs/>
          <w:color w:val="808080" w:themeColor="background1" w:themeShade="80"/>
          <w:sz w:val="22"/>
          <w:szCs w:val="22"/>
          <w:lang w:val="en-HK"/>
        </w:rPr>
        <w:t xml:space="preserve"> </w:t>
      </w:r>
      <w:r w:rsidR="00682A70" w:rsidRPr="004B21F6">
        <w:rPr>
          <w:rFonts w:ascii="Arial" w:hAnsi="Arial" w:cs="Arial"/>
          <w:color w:val="808080" w:themeColor="background1" w:themeShade="80"/>
          <w:sz w:val="22"/>
          <w:szCs w:val="22"/>
          <w:lang w:val="en-HK"/>
        </w:rPr>
        <w:t>[emphasis added]</w:t>
      </w:r>
      <w:r w:rsidRPr="004B21F6">
        <w:rPr>
          <w:rFonts w:ascii="Arial" w:hAnsi="Arial" w:cs="Arial"/>
          <w:color w:val="808080" w:themeColor="background1" w:themeShade="80"/>
          <w:sz w:val="22"/>
          <w:szCs w:val="22"/>
          <w:lang w:val="en-HK"/>
        </w:rPr>
        <w:t>”</w:t>
      </w:r>
      <w:r w:rsidRPr="004B21F6">
        <w:rPr>
          <w:rStyle w:val="FootnoteReference"/>
          <w:rFonts w:ascii="Arial" w:hAnsi="Arial" w:cs="Arial"/>
          <w:color w:val="808080" w:themeColor="background1" w:themeShade="80"/>
          <w:sz w:val="22"/>
          <w:szCs w:val="22"/>
          <w:lang w:val="en-HK"/>
        </w:rPr>
        <w:footnoteReference w:id="10"/>
      </w:r>
      <w:r w:rsidR="00682A70" w:rsidRPr="004B21F6">
        <w:rPr>
          <w:rFonts w:ascii="Arial" w:hAnsi="Arial" w:cs="Arial"/>
          <w:color w:val="808080" w:themeColor="background1" w:themeShade="80"/>
          <w:sz w:val="22"/>
          <w:szCs w:val="22"/>
          <w:lang w:val="en-HK"/>
        </w:rPr>
        <w:t xml:space="preserve"> Therefore even if the Court recognises foreign proceedings, </w:t>
      </w:r>
      <w:r w:rsidR="00451EDC" w:rsidRPr="004B21F6">
        <w:rPr>
          <w:rFonts w:ascii="Arial" w:hAnsi="Arial" w:cs="Arial"/>
          <w:color w:val="808080" w:themeColor="background1" w:themeShade="80"/>
          <w:sz w:val="22"/>
          <w:szCs w:val="22"/>
          <w:lang w:val="en-HK"/>
        </w:rPr>
        <w:t>it</w:t>
      </w:r>
      <w:r w:rsidR="00682A70" w:rsidRPr="004B21F6">
        <w:rPr>
          <w:rFonts w:ascii="Arial" w:hAnsi="Arial" w:cs="Arial"/>
          <w:color w:val="808080" w:themeColor="background1" w:themeShade="80"/>
          <w:sz w:val="22"/>
          <w:szCs w:val="22"/>
          <w:lang w:val="en-HK"/>
        </w:rPr>
        <w:t xml:space="preserve"> can still not </w:t>
      </w:r>
      <w:proofErr w:type="gramStart"/>
      <w:r w:rsidR="00682A70" w:rsidRPr="004B21F6">
        <w:rPr>
          <w:rFonts w:ascii="Arial" w:hAnsi="Arial" w:cs="Arial"/>
          <w:color w:val="808080" w:themeColor="background1" w:themeShade="80"/>
          <w:sz w:val="22"/>
          <w:szCs w:val="22"/>
          <w:lang w:val="en-HK"/>
        </w:rPr>
        <w:t>provide assistance</w:t>
      </w:r>
      <w:proofErr w:type="gramEnd"/>
      <w:r w:rsidR="00682A70" w:rsidRPr="004B21F6">
        <w:rPr>
          <w:rFonts w:ascii="Arial" w:hAnsi="Arial" w:cs="Arial"/>
          <w:color w:val="808080" w:themeColor="background1" w:themeShade="80"/>
          <w:sz w:val="22"/>
          <w:szCs w:val="22"/>
          <w:lang w:val="en-HK"/>
        </w:rPr>
        <w:t xml:space="preserve"> if it is contrary to the policy objectives of Cayman Islands corporate insolvency law.</w:t>
      </w:r>
    </w:p>
    <w:p w14:paraId="3A05B00F" w14:textId="77777777" w:rsidR="006E25AB" w:rsidRPr="004B21F6" w:rsidRDefault="006E25AB" w:rsidP="004B21F6">
      <w:pPr>
        <w:jc w:val="both"/>
        <w:rPr>
          <w:rFonts w:ascii="Arial" w:hAnsi="Arial" w:cs="Arial"/>
          <w:color w:val="808080" w:themeColor="background1" w:themeShade="80"/>
          <w:sz w:val="22"/>
          <w:szCs w:val="22"/>
          <w:highlight w:val="yellow"/>
          <w:lang w:val="en-GB"/>
        </w:rPr>
      </w:pPr>
    </w:p>
    <w:p w14:paraId="490EC495" w14:textId="3CEEF8CC" w:rsidR="003A7A83" w:rsidRPr="004B21F6" w:rsidRDefault="00451EDC" w:rsidP="004B21F6">
      <w:pPr>
        <w:jc w:val="both"/>
        <w:rPr>
          <w:rFonts w:ascii="Arial" w:hAnsi="Arial" w:cs="Arial"/>
          <w:b/>
          <w:bCs/>
          <w:color w:val="808080" w:themeColor="background1" w:themeShade="80"/>
          <w:sz w:val="22"/>
          <w:szCs w:val="22"/>
          <w:u w:val="single"/>
          <w:lang w:val="en-GB"/>
        </w:rPr>
      </w:pPr>
      <w:r w:rsidRPr="004B21F6">
        <w:rPr>
          <w:rFonts w:ascii="Arial" w:hAnsi="Arial" w:cs="Arial"/>
          <w:b/>
          <w:bCs/>
          <w:color w:val="808080" w:themeColor="background1" w:themeShade="80"/>
          <w:sz w:val="22"/>
          <w:szCs w:val="22"/>
          <w:u w:val="single"/>
          <w:lang w:val="en-GB"/>
        </w:rPr>
        <w:t>Example of assistance by the Court - e</w:t>
      </w:r>
      <w:r w:rsidR="003A7A83" w:rsidRPr="004B21F6">
        <w:rPr>
          <w:rFonts w:ascii="Arial" w:hAnsi="Arial" w:cs="Arial"/>
          <w:b/>
          <w:bCs/>
          <w:color w:val="808080" w:themeColor="background1" w:themeShade="80"/>
          <w:sz w:val="22"/>
          <w:szCs w:val="22"/>
          <w:u w:val="single"/>
          <w:lang w:val="en-GB"/>
        </w:rPr>
        <w:t>xam</w:t>
      </w:r>
      <w:r w:rsidR="00C55E30" w:rsidRPr="004B21F6">
        <w:rPr>
          <w:rFonts w:ascii="Arial" w:hAnsi="Arial" w:cs="Arial"/>
          <w:b/>
          <w:bCs/>
          <w:color w:val="808080" w:themeColor="background1" w:themeShade="80"/>
          <w:sz w:val="22"/>
          <w:szCs w:val="22"/>
          <w:u w:val="single"/>
          <w:lang w:val="en-GB"/>
        </w:rPr>
        <w:t>ination of “</w:t>
      </w:r>
      <w:r w:rsidR="00C55E30" w:rsidRPr="004B21F6">
        <w:rPr>
          <w:rFonts w:ascii="Arial" w:hAnsi="Arial" w:cs="Arial"/>
          <w:b/>
          <w:bCs/>
          <w:i/>
          <w:iCs/>
          <w:color w:val="808080" w:themeColor="background1" w:themeShade="80"/>
          <w:sz w:val="22"/>
          <w:szCs w:val="22"/>
          <w:u w:val="single"/>
          <w:lang w:val="en-GB"/>
        </w:rPr>
        <w:t>relevant person</w:t>
      </w:r>
      <w:r w:rsidR="00C55E30" w:rsidRPr="004B21F6">
        <w:rPr>
          <w:rFonts w:ascii="Arial" w:hAnsi="Arial" w:cs="Arial"/>
          <w:b/>
          <w:bCs/>
          <w:color w:val="808080" w:themeColor="background1" w:themeShade="80"/>
          <w:sz w:val="22"/>
          <w:szCs w:val="22"/>
          <w:u w:val="single"/>
          <w:lang w:val="en-GB"/>
        </w:rPr>
        <w:t>”</w:t>
      </w:r>
    </w:p>
    <w:p w14:paraId="1E9C3DDE" w14:textId="34106AC3" w:rsidR="00152568" w:rsidRPr="004B21F6" w:rsidRDefault="00451EDC" w:rsidP="004B21F6">
      <w:pPr>
        <w:jc w:val="both"/>
        <w:rPr>
          <w:rFonts w:ascii="Arial" w:hAnsi="Arial" w:cs="Arial"/>
          <w:color w:val="808080" w:themeColor="background1" w:themeShade="80"/>
          <w:sz w:val="22"/>
          <w:szCs w:val="22"/>
          <w:lang w:val="en-HK"/>
        </w:rPr>
      </w:pPr>
      <w:r w:rsidRPr="004B21F6">
        <w:rPr>
          <w:rFonts w:ascii="Arial" w:hAnsi="Arial" w:cs="Arial"/>
          <w:color w:val="808080" w:themeColor="background1" w:themeShade="80"/>
          <w:sz w:val="22"/>
          <w:szCs w:val="22"/>
          <w:lang w:val="en-HK"/>
        </w:rPr>
        <w:t>By way of example, a</w:t>
      </w:r>
      <w:r w:rsidR="00152568" w:rsidRPr="004B21F6">
        <w:rPr>
          <w:rFonts w:ascii="Arial" w:hAnsi="Arial" w:cs="Arial"/>
          <w:color w:val="808080" w:themeColor="background1" w:themeShade="80"/>
          <w:sz w:val="22"/>
          <w:szCs w:val="22"/>
          <w:lang w:val="en-HK"/>
        </w:rPr>
        <w:t xml:space="preserve">s set out above, the foreign representative </w:t>
      </w:r>
      <w:r w:rsidR="003A7A83" w:rsidRPr="004B21F6">
        <w:rPr>
          <w:rFonts w:ascii="Arial" w:hAnsi="Arial" w:cs="Arial"/>
          <w:color w:val="808080" w:themeColor="background1" w:themeShade="80"/>
          <w:sz w:val="22"/>
          <w:szCs w:val="22"/>
          <w:lang w:val="en-HK"/>
        </w:rPr>
        <w:t xml:space="preserve">can </w:t>
      </w:r>
      <w:r w:rsidR="00152568" w:rsidRPr="004B21F6">
        <w:rPr>
          <w:rFonts w:ascii="Arial" w:hAnsi="Arial" w:cs="Arial"/>
          <w:color w:val="808080" w:themeColor="background1" w:themeShade="80"/>
          <w:sz w:val="22"/>
          <w:szCs w:val="22"/>
          <w:lang w:val="en-HK"/>
        </w:rPr>
        <w:t xml:space="preserve">apply for an order which requires a person who is in possession of information </w:t>
      </w:r>
      <w:r w:rsidR="00736871" w:rsidRPr="004B21F6">
        <w:rPr>
          <w:rFonts w:ascii="Arial" w:hAnsi="Arial" w:cs="Arial"/>
          <w:color w:val="808080" w:themeColor="background1" w:themeShade="80"/>
          <w:sz w:val="22"/>
          <w:szCs w:val="22"/>
          <w:lang w:val="en-HK"/>
        </w:rPr>
        <w:t>relating</w:t>
      </w:r>
      <w:r w:rsidR="00152568" w:rsidRPr="004B21F6">
        <w:rPr>
          <w:rFonts w:ascii="Arial" w:hAnsi="Arial" w:cs="Arial"/>
          <w:color w:val="808080" w:themeColor="background1" w:themeShade="80"/>
          <w:sz w:val="22"/>
          <w:szCs w:val="22"/>
          <w:lang w:val="en-HK"/>
        </w:rPr>
        <w:t xml:space="preserve"> to the </w:t>
      </w:r>
      <w:r w:rsidR="00D972A7" w:rsidRPr="004B21F6">
        <w:rPr>
          <w:rFonts w:ascii="Arial" w:hAnsi="Arial" w:cs="Arial"/>
          <w:color w:val="808080" w:themeColor="background1" w:themeShade="80"/>
          <w:sz w:val="22"/>
          <w:szCs w:val="22"/>
          <w:lang w:val="en-HK"/>
        </w:rPr>
        <w:t xml:space="preserve">debtor’s </w:t>
      </w:r>
      <w:r w:rsidR="00152568" w:rsidRPr="004B21F6">
        <w:rPr>
          <w:rFonts w:ascii="Arial" w:hAnsi="Arial" w:cs="Arial"/>
          <w:color w:val="808080" w:themeColor="background1" w:themeShade="80"/>
          <w:sz w:val="22"/>
          <w:szCs w:val="22"/>
          <w:lang w:val="en-HK"/>
        </w:rPr>
        <w:t>business or affairs to be examined by and produce documents to the foreign representative</w:t>
      </w:r>
      <w:r w:rsidR="003A7A83" w:rsidRPr="004B21F6">
        <w:rPr>
          <w:rStyle w:val="FootnoteReference"/>
          <w:rFonts w:ascii="Arial" w:hAnsi="Arial" w:cs="Arial"/>
          <w:color w:val="808080" w:themeColor="background1" w:themeShade="80"/>
          <w:sz w:val="22"/>
          <w:szCs w:val="22"/>
          <w:lang w:val="en-HK"/>
        </w:rPr>
        <w:footnoteReference w:id="11"/>
      </w:r>
      <w:r w:rsidR="00152568" w:rsidRPr="004B21F6">
        <w:rPr>
          <w:rFonts w:ascii="Arial" w:hAnsi="Arial" w:cs="Arial"/>
          <w:color w:val="808080" w:themeColor="background1" w:themeShade="80"/>
          <w:sz w:val="22"/>
          <w:szCs w:val="22"/>
          <w:lang w:val="en-HK"/>
        </w:rPr>
        <w:t xml:space="preserve">. </w:t>
      </w:r>
      <w:r w:rsidR="00B251FF" w:rsidRPr="004B21F6">
        <w:rPr>
          <w:rFonts w:ascii="Arial" w:hAnsi="Arial" w:cs="Arial"/>
          <w:color w:val="808080" w:themeColor="background1" w:themeShade="80"/>
          <w:sz w:val="22"/>
          <w:szCs w:val="22"/>
          <w:lang w:val="en-HK"/>
        </w:rPr>
        <w:t>T</w:t>
      </w:r>
      <w:r w:rsidR="00152568" w:rsidRPr="004B21F6">
        <w:rPr>
          <w:rFonts w:ascii="Arial" w:hAnsi="Arial" w:cs="Arial"/>
          <w:color w:val="808080" w:themeColor="background1" w:themeShade="80"/>
          <w:sz w:val="22"/>
          <w:szCs w:val="22"/>
          <w:lang w:val="en-HK"/>
        </w:rPr>
        <w:t xml:space="preserve">he Companies Act limits the persons whom an order may be made </w:t>
      </w:r>
      <w:r w:rsidR="00D972A7" w:rsidRPr="004B21F6">
        <w:rPr>
          <w:rFonts w:ascii="Arial" w:hAnsi="Arial" w:cs="Arial"/>
          <w:color w:val="808080" w:themeColor="background1" w:themeShade="80"/>
          <w:sz w:val="22"/>
          <w:szCs w:val="22"/>
          <w:lang w:val="en-HK"/>
        </w:rPr>
        <w:t xml:space="preserve">(i.e. </w:t>
      </w:r>
      <w:r w:rsidR="00152568" w:rsidRPr="004B21F6">
        <w:rPr>
          <w:rFonts w:ascii="Arial" w:hAnsi="Arial" w:cs="Arial"/>
          <w:color w:val="808080" w:themeColor="background1" w:themeShade="80"/>
          <w:sz w:val="22"/>
          <w:szCs w:val="22"/>
          <w:lang w:val="en-HK"/>
        </w:rPr>
        <w:t>to the debtor itself and the “</w:t>
      </w:r>
      <w:r w:rsidR="00152568" w:rsidRPr="004B21F6">
        <w:rPr>
          <w:rFonts w:ascii="Arial" w:hAnsi="Arial" w:cs="Arial"/>
          <w:i/>
          <w:iCs/>
          <w:color w:val="808080" w:themeColor="background1" w:themeShade="80"/>
          <w:sz w:val="22"/>
          <w:szCs w:val="22"/>
          <w:lang w:val="en-HK"/>
        </w:rPr>
        <w:t>relevant person</w:t>
      </w:r>
      <w:r w:rsidR="00152568" w:rsidRPr="004B21F6">
        <w:rPr>
          <w:rFonts w:ascii="Arial" w:hAnsi="Arial" w:cs="Arial"/>
          <w:color w:val="808080" w:themeColor="background1" w:themeShade="80"/>
          <w:sz w:val="22"/>
          <w:szCs w:val="22"/>
          <w:lang w:val="en-HK"/>
        </w:rPr>
        <w:t>”</w:t>
      </w:r>
      <w:r w:rsidR="003A7A83" w:rsidRPr="004B21F6">
        <w:rPr>
          <w:rStyle w:val="FootnoteReference"/>
          <w:rFonts w:ascii="Arial" w:hAnsi="Arial" w:cs="Arial"/>
          <w:color w:val="808080" w:themeColor="background1" w:themeShade="80"/>
          <w:sz w:val="22"/>
          <w:szCs w:val="22"/>
          <w:lang w:val="en-HK"/>
        </w:rPr>
        <w:footnoteReference w:id="12"/>
      </w:r>
      <w:r w:rsidR="00152568" w:rsidRPr="004B21F6">
        <w:rPr>
          <w:rFonts w:ascii="Arial" w:hAnsi="Arial" w:cs="Arial"/>
          <w:color w:val="808080" w:themeColor="background1" w:themeShade="80"/>
          <w:sz w:val="22"/>
          <w:szCs w:val="22"/>
          <w:lang w:val="en-HK"/>
        </w:rPr>
        <w:t xml:space="preserve"> as defined in the Companies Act</w:t>
      </w:r>
      <w:r w:rsidR="00D972A7" w:rsidRPr="004B21F6">
        <w:rPr>
          <w:rFonts w:ascii="Arial" w:hAnsi="Arial" w:cs="Arial"/>
          <w:color w:val="808080" w:themeColor="background1" w:themeShade="80"/>
          <w:sz w:val="22"/>
          <w:szCs w:val="22"/>
          <w:lang w:val="en-HK"/>
        </w:rPr>
        <w:t>)</w:t>
      </w:r>
      <w:r w:rsidR="00152568" w:rsidRPr="004B21F6">
        <w:rPr>
          <w:rFonts w:ascii="Arial" w:hAnsi="Arial" w:cs="Arial"/>
          <w:color w:val="808080" w:themeColor="background1" w:themeShade="80"/>
          <w:sz w:val="22"/>
          <w:szCs w:val="22"/>
          <w:lang w:val="en-HK"/>
        </w:rPr>
        <w:t xml:space="preserve">. This means that the foreign practitioner </w:t>
      </w:r>
      <w:r w:rsidR="00D972A7" w:rsidRPr="004B21F6">
        <w:rPr>
          <w:rFonts w:ascii="Arial" w:hAnsi="Arial" w:cs="Arial"/>
          <w:color w:val="808080" w:themeColor="background1" w:themeShade="80"/>
          <w:sz w:val="22"/>
          <w:szCs w:val="22"/>
          <w:lang w:val="en-HK"/>
        </w:rPr>
        <w:t>does</w:t>
      </w:r>
      <w:r w:rsidR="00152568" w:rsidRPr="004B21F6">
        <w:rPr>
          <w:rFonts w:ascii="Arial" w:hAnsi="Arial" w:cs="Arial"/>
          <w:color w:val="808080" w:themeColor="background1" w:themeShade="80"/>
          <w:sz w:val="22"/>
          <w:szCs w:val="22"/>
          <w:lang w:val="en-HK"/>
        </w:rPr>
        <w:t xml:space="preserve"> not have additional powers to that of a local Cayman Islands liquidat</w:t>
      </w:r>
      <w:r w:rsidR="00D972A7" w:rsidRPr="004B21F6">
        <w:rPr>
          <w:rFonts w:ascii="Arial" w:hAnsi="Arial" w:cs="Arial"/>
          <w:color w:val="808080" w:themeColor="background1" w:themeShade="80"/>
          <w:sz w:val="22"/>
          <w:szCs w:val="22"/>
          <w:lang w:val="en-HK"/>
        </w:rPr>
        <w:t>or</w:t>
      </w:r>
      <w:r w:rsidR="00152568" w:rsidRPr="004B21F6">
        <w:rPr>
          <w:rFonts w:ascii="Arial" w:hAnsi="Arial" w:cs="Arial"/>
          <w:color w:val="808080" w:themeColor="background1" w:themeShade="80"/>
          <w:sz w:val="22"/>
          <w:szCs w:val="22"/>
          <w:lang w:val="en-HK"/>
        </w:rPr>
        <w:t xml:space="preserve"> (regardless of what </w:t>
      </w:r>
      <w:r w:rsidR="00BC385C" w:rsidRPr="004B21F6">
        <w:rPr>
          <w:rFonts w:ascii="Arial" w:hAnsi="Arial" w:cs="Arial"/>
          <w:color w:val="808080" w:themeColor="background1" w:themeShade="80"/>
          <w:sz w:val="22"/>
          <w:szCs w:val="22"/>
          <w:lang w:val="en-HK"/>
        </w:rPr>
        <w:t xml:space="preserve">additional </w:t>
      </w:r>
      <w:r w:rsidR="00152568" w:rsidRPr="004B21F6">
        <w:rPr>
          <w:rFonts w:ascii="Arial" w:hAnsi="Arial" w:cs="Arial"/>
          <w:color w:val="808080" w:themeColor="background1" w:themeShade="80"/>
          <w:sz w:val="22"/>
          <w:szCs w:val="22"/>
          <w:lang w:val="en-HK"/>
        </w:rPr>
        <w:t>powers they would have in their own jurisdiction)</w:t>
      </w:r>
      <w:r w:rsidR="003A7A83" w:rsidRPr="004B21F6">
        <w:rPr>
          <w:rStyle w:val="FootnoteReference"/>
          <w:rFonts w:ascii="Arial" w:hAnsi="Arial" w:cs="Arial"/>
          <w:color w:val="808080" w:themeColor="background1" w:themeShade="80"/>
          <w:sz w:val="22"/>
          <w:szCs w:val="22"/>
          <w:lang w:val="en-HK"/>
        </w:rPr>
        <w:footnoteReference w:id="13"/>
      </w:r>
      <w:r w:rsidR="00152568" w:rsidRPr="004B21F6">
        <w:rPr>
          <w:rFonts w:ascii="Arial" w:hAnsi="Arial" w:cs="Arial"/>
          <w:color w:val="808080" w:themeColor="background1" w:themeShade="80"/>
          <w:sz w:val="22"/>
          <w:szCs w:val="22"/>
          <w:lang w:val="en-HK"/>
        </w:rPr>
        <w:t>. Previously, there was uncertainty over the persons against whom a foreign representative, recognised in the Cayman Islands, could examine</w:t>
      </w:r>
      <w:r w:rsidR="00D05D92" w:rsidRPr="004B21F6">
        <w:rPr>
          <w:rStyle w:val="FootnoteReference"/>
          <w:rFonts w:ascii="Arial" w:hAnsi="Arial" w:cs="Arial"/>
          <w:color w:val="808080" w:themeColor="background1" w:themeShade="80"/>
          <w:sz w:val="22"/>
          <w:szCs w:val="22"/>
          <w:lang w:val="en-HK"/>
        </w:rPr>
        <w:footnoteReference w:id="14"/>
      </w:r>
      <w:r w:rsidR="00152568" w:rsidRPr="004B21F6">
        <w:rPr>
          <w:rFonts w:ascii="Arial" w:hAnsi="Arial" w:cs="Arial"/>
          <w:color w:val="808080" w:themeColor="background1" w:themeShade="80"/>
          <w:sz w:val="22"/>
          <w:szCs w:val="22"/>
          <w:lang w:val="en-HK"/>
        </w:rPr>
        <w:t xml:space="preserve">. However, the updated FBPR brings the procedure in line with those available to official liquidators under section 103 </w:t>
      </w:r>
      <w:r w:rsidR="00913BF3" w:rsidRPr="004B21F6">
        <w:rPr>
          <w:rFonts w:ascii="Arial" w:hAnsi="Arial" w:cs="Arial"/>
          <w:color w:val="808080" w:themeColor="background1" w:themeShade="80"/>
          <w:sz w:val="22"/>
          <w:szCs w:val="22"/>
          <w:lang w:val="en-HK"/>
        </w:rPr>
        <w:t>of the Companies Act</w:t>
      </w:r>
      <w:r w:rsidR="00152568" w:rsidRPr="004B21F6">
        <w:rPr>
          <w:rFonts w:ascii="Arial" w:hAnsi="Arial" w:cs="Arial"/>
          <w:color w:val="808080" w:themeColor="background1" w:themeShade="80"/>
          <w:sz w:val="22"/>
          <w:szCs w:val="22"/>
          <w:lang w:val="en-HK"/>
        </w:rPr>
        <w:t>.</w:t>
      </w:r>
    </w:p>
    <w:p w14:paraId="29B5683E" w14:textId="77777777" w:rsidR="00913BF3" w:rsidRPr="004B21F6" w:rsidRDefault="00913BF3" w:rsidP="004B21F6">
      <w:pPr>
        <w:jc w:val="both"/>
        <w:rPr>
          <w:rFonts w:ascii="Arial" w:hAnsi="Arial" w:cs="Arial"/>
          <w:color w:val="808080" w:themeColor="background1" w:themeShade="80"/>
          <w:sz w:val="22"/>
          <w:szCs w:val="22"/>
          <w:lang w:val="en-HK"/>
        </w:rPr>
      </w:pPr>
    </w:p>
    <w:p w14:paraId="4820E7FB" w14:textId="4B71BF67" w:rsidR="00D05D92" w:rsidRPr="004B21F6" w:rsidRDefault="00913BF3" w:rsidP="004B21F6">
      <w:pPr>
        <w:jc w:val="both"/>
        <w:rPr>
          <w:rFonts w:ascii="Arial" w:hAnsi="Arial" w:cs="Arial"/>
          <w:color w:val="808080" w:themeColor="background1" w:themeShade="80"/>
          <w:sz w:val="22"/>
          <w:szCs w:val="22"/>
          <w:lang w:val="en-HK"/>
        </w:rPr>
      </w:pPr>
      <w:r w:rsidRPr="004B21F6">
        <w:rPr>
          <w:rFonts w:ascii="Arial" w:hAnsi="Arial" w:cs="Arial"/>
          <w:color w:val="808080" w:themeColor="background1" w:themeShade="80"/>
          <w:sz w:val="22"/>
          <w:szCs w:val="22"/>
          <w:lang w:val="en-HK"/>
        </w:rPr>
        <w:t>The FBPR is primarily concerned with the terms and process of recognising in the Cayman Islands a foreign representative and seeking the assistance of the Court</w:t>
      </w:r>
      <w:r w:rsidRPr="004B21F6">
        <w:rPr>
          <w:rStyle w:val="FootnoteReference"/>
          <w:rFonts w:ascii="Arial" w:hAnsi="Arial" w:cs="Arial"/>
          <w:color w:val="808080" w:themeColor="background1" w:themeShade="80"/>
          <w:sz w:val="22"/>
          <w:szCs w:val="22"/>
          <w:lang w:val="en-HK"/>
        </w:rPr>
        <w:footnoteReference w:id="15"/>
      </w:r>
      <w:r w:rsidRPr="004B21F6">
        <w:rPr>
          <w:rFonts w:ascii="Arial" w:hAnsi="Arial" w:cs="Arial"/>
          <w:color w:val="808080" w:themeColor="background1" w:themeShade="80"/>
          <w:sz w:val="22"/>
          <w:szCs w:val="22"/>
          <w:lang w:val="en-HK"/>
        </w:rPr>
        <w:t xml:space="preserve">. </w:t>
      </w:r>
      <w:r w:rsidR="00152568" w:rsidRPr="004B21F6">
        <w:rPr>
          <w:rFonts w:ascii="Arial" w:hAnsi="Arial" w:cs="Arial"/>
          <w:color w:val="808080" w:themeColor="background1" w:themeShade="80"/>
          <w:sz w:val="22"/>
          <w:szCs w:val="22"/>
          <w:lang w:val="en-HK"/>
        </w:rPr>
        <w:t xml:space="preserve">Just as the </w:t>
      </w:r>
      <w:r w:rsidR="005B1214" w:rsidRPr="004B21F6">
        <w:rPr>
          <w:rFonts w:ascii="Arial" w:hAnsi="Arial" w:cs="Arial"/>
          <w:color w:val="808080" w:themeColor="background1" w:themeShade="80"/>
          <w:sz w:val="22"/>
          <w:szCs w:val="22"/>
          <w:lang w:val="en-HK"/>
        </w:rPr>
        <w:t>C</w:t>
      </w:r>
      <w:r w:rsidR="00152568" w:rsidRPr="004B21F6">
        <w:rPr>
          <w:rFonts w:ascii="Arial" w:hAnsi="Arial" w:cs="Arial"/>
          <w:color w:val="808080" w:themeColor="background1" w:themeShade="80"/>
          <w:sz w:val="22"/>
          <w:szCs w:val="22"/>
          <w:lang w:val="en-HK"/>
        </w:rPr>
        <w:t xml:space="preserve">ourt has jurisdiction to issue a letter of request for the purpose of seeking a foreign court’s assistance in obtaining evidence from a relevant person who is resident outside the jurisdiction </w:t>
      </w:r>
      <w:r w:rsidRPr="004B21F6">
        <w:rPr>
          <w:rFonts w:ascii="Arial" w:hAnsi="Arial" w:cs="Arial"/>
          <w:color w:val="808080" w:themeColor="background1" w:themeShade="80"/>
          <w:sz w:val="22"/>
          <w:szCs w:val="22"/>
          <w:lang w:val="en-HK"/>
        </w:rPr>
        <w:t>(</w:t>
      </w:r>
      <w:r w:rsidR="00152568" w:rsidRPr="004B21F6">
        <w:rPr>
          <w:rFonts w:ascii="Arial" w:hAnsi="Arial" w:cs="Arial"/>
          <w:color w:val="808080" w:themeColor="background1" w:themeShade="80"/>
          <w:sz w:val="22"/>
          <w:szCs w:val="22"/>
          <w:lang w:val="en-HK"/>
        </w:rPr>
        <w:t>as per section 103(7)</w:t>
      </w:r>
      <w:r w:rsidR="00106BCB" w:rsidRPr="004B21F6">
        <w:rPr>
          <w:rFonts w:ascii="Arial" w:hAnsi="Arial" w:cs="Arial"/>
          <w:color w:val="808080" w:themeColor="background1" w:themeShade="80"/>
          <w:sz w:val="22"/>
          <w:szCs w:val="22"/>
          <w:lang w:val="en-HK"/>
        </w:rPr>
        <w:t>(b)</w:t>
      </w:r>
      <w:r w:rsidRPr="004B21F6">
        <w:rPr>
          <w:rFonts w:ascii="Arial" w:hAnsi="Arial" w:cs="Arial"/>
          <w:color w:val="808080" w:themeColor="background1" w:themeShade="80"/>
          <w:sz w:val="22"/>
          <w:szCs w:val="22"/>
          <w:lang w:val="en-HK"/>
        </w:rPr>
        <w:t>)</w:t>
      </w:r>
      <w:r w:rsidR="00106BCB" w:rsidRPr="004B21F6">
        <w:rPr>
          <w:rStyle w:val="FootnoteReference"/>
          <w:rFonts w:ascii="Arial" w:hAnsi="Arial" w:cs="Arial"/>
          <w:color w:val="808080" w:themeColor="background1" w:themeShade="80"/>
          <w:sz w:val="22"/>
          <w:szCs w:val="22"/>
          <w:lang w:val="en-HK"/>
        </w:rPr>
        <w:footnoteReference w:id="16"/>
      </w:r>
      <w:r w:rsidR="00152568" w:rsidRPr="004B21F6">
        <w:rPr>
          <w:rFonts w:ascii="Arial" w:hAnsi="Arial" w:cs="Arial"/>
          <w:color w:val="808080" w:themeColor="background1" w:themeShade="80"/>
          <w:sz w:val="22"/>
          <w:szCs w:val="22"/>
          <w:lang w:val="en-HK"/>
        </w:rPr>
        <w:t xml:space="preserve">, a foreign court may request assistance in the Cayman Islands under the Evidence (Proceedings in Other Jurisdictions) (Cayman Islands) Order 1978 by issuing a letter of request. Order 70 of the Grand Court Rules (2023 Revision) governs the procedure of how a letter of request is given effect and provides that such an application may be made </w:t>
      </w:r>
      <w:r w:rsidR="00152568" w:rsidRPr="004B21F6">
        <w:rPr>
          <w:rFonts w:ascii="Arial" w:hAnsi="Arial" w:cs="Arial"/>
          <w:i/>
          <w:iCs/>
          <w:color w:val="808080" w:themeColor="background1" w:themeShade="80"/>
          <w:sz w:val="22"/>
          <w:szCs w:val="22"/>
          <w:lang w:val="en-HK"/>
        </w:rPr>
        <w:t xml:space="preserve">ex </w:t>
      </w:r>
      <w:proofErr w:type="spellStart"/>
      <w:r w:rsidR="00152568" w:rsidRPr="004B21F6">
        <w:rPr>
          <w:rFonts w:ascii="Arial" w:hAnsi="Arial" w:cs="Arial"/>
          <w:i/>
          <w:iCs/>
          <w:color w:val="808080" w:themeColor="background1" w:themeShade="80"/>
          <w:sz w:val="22"/>
          <w:szCs w:val="22"/>
          <w:lang w:val="en-HK"/>
        </w:rPr>
        <w:t>parte</w:t>
      </w:r>
      <w:proofErr w:type="spellEnd"/>
      <w:r w:rsidR="00152568" w:rsidRPr="004B21F6">
        <w:rPr>
          <w:rFonts w:ascii="Arial" w:hAnsi="Arial" w:cs="Arial"/>
          <w:color w:val="808080" w:themeColor="background1" w:themeShade="80"/>
          <w:sz w:val="22"/>
          <w:szCs w:val="22"/>
          <w:lang w:val="en-HK"/>
        </w:rPr>
        <w:t xml:space="preserve"> and must be supported by an affidavit</w:t>
      </w:r>
      <w:r w:rsidR="00D05D92" w:rsidRPr="004B21F6">
        <w:rPr>
          <w:rStyle w:val="FootnoteReference"/>
          <w:rFonts w:ascii="Arial" w:hAnsi="Arial" w:cs="Arial"/>
          <w:color w:val="808080" w:themeColor="background1" w:themeShade="80"/>
          <w:sz w:val="22"/>
          <w:szCs w:val="22"/>
          <w:lang w:val="en-HK"/>
        </w:rPr>
        <w:footnoteReference w:id="17"/>
      </w:r>
      <w:r w:rsidR="00152568" w:rsidRPr="004B21F6">
        <w:rPr>
          <w:rFonts w:ascii="Arial" w:hAnsi="Arial" w:cs="Arial"/>
          <w:color w:val="808080" w:themeColor="background1" w:themeShade="80"/>
          <w:sz w:val="22"/>
          <w:szCs w:val="22"/>
          <w:lang w:val="en-HK"/>
        </w:rPr>
        <w:t xml:space="preserve"> exhibiting the letter of request. The Court may, on receipt of the letter of request, make an order, </w:t>
      </w:r>
      <w:r w:rsidR="00152568" w:rsidRPr="004B21F6">
        <w:rPr>
          <w:rFonts w:ascii="Arial" w:hAnsi="Arial" w:cs="Arial"/>
          <w:i/>
          <w:iCs/>
          <w:color w:val="808080" w:themeColor="background1" w:themeShade="80"/>
          <w:sz w:val="22"/>
          <w:szCs w:val="22"/>
          <w:lang w:val="en-HK"/>
        </w:rPr>
        <w:t>inter alia</w:t>
      </w:r>
      <w:r w:rsidR="00152568" w:rsidRPr="004B21F6">
        <w:rPr>
          <w:rFonts w:ascii="Arial" w:hAnsi="Arial" w:cs="Arial"/>
          <w:color w:val="808080" w:themeColor="background1" w:themeShade="80"/>
          <w:sz w:val="22"/>
          <w:szCs w:val="22"/>
          <w:lang w:val="en-HK"/>
        </w:rPr>
        <w:t>, for the examination of parties to be called to produce information and documents</w:t>
      </w:r>
      <w:r w:rsidR="006A0ED9" w:rsidRPr="004B21F6">
        <w:rPr>
          <w:rStyle w:val="FootnoteReference"/>
          <w:rFonts w:ascii="Arial" w:hAnsi="Arial" w:cs="Arial"/>
          <w:color w:val="808080" w:themeColor="background1" w:themeShade="80"/>
          <w:sz w:val="22"/>
          <w:szCs w:val="22"/>
          <w:lang w:val="en-HK"/>
        </w:rPr>
        <w:footnoteReference w:id="18"/>
      </w:r>
      <w:r w:rsidR="00152568" w:rsidRPr="004B21F6">
        <w:rPr>
          <w:rFonts w:ascii="Arial" w:hAnsi="Arial" w:cs="Arial"/>
          <w:color w:val="808080" w:themeColor="background1" w:themeShade="80"/>
          <w:sz w:val="22"/>
          <w:szCs w:val="22"/>
          <w:lang w:val="en-HK"/>
        </w:rPr>
        <w:t>.</w:t>
      </w:r>
    </w:p>
    <w:p w14:paraId="18049589" w14:textId="77777777" w:rsidR="00D972A7" w:rsidRPr="004B21F6" w:rsidRDefault="00D972A7" w:rsidP="004B21F6">
      <w:pPr>
        <w:jc w:val="both"/>
        <w:rPr>
          <w:rFonts w:ascii="Arial" w:hAnsi="Arial" w:cs="Arial"/>
          <w:b/>
          <w:bCs/>
          <w:color w:val="808080" w:themeColor="background1" w:themeShade="80"/>
          <w:sz w:val="22"/>
          <w:szCs w:val="22"/>
          <w:u w:val="single"/>
          <w:lang w:val="en-GB"/>
        </w:rPr>
      </w:pPr>
    </w:p>
    <w:p w14:paraId="1642A7EB" w14:textId="7F1ACAF5" w:rsidR="004614F9" w:rsidRPr="004B21F6" w:rsidRDefault="004614F9" w:rsidP="004B21F6">
      <w:pPr>
        <w:jc w:val="both"/>
        <w:rPr>
          <w:rFonts w:ascii="Arial" w:hAnsi="Arial" w:cs="Arial"/>
          <w:b/>
          <w:bCs/>
          <w:color w:val="808080" w:themeColor="background1" w:themeShade="80"/>
          <w:sz w:val="22"/>
          <w:szCs w:val="22"/>
          <w:u w:val="single"/>
          <w:lang w:val="en-GB"/>
        </w:rPr>
      </w:pPr>
      <w:r w:rsidRPr="004B21F6">
        <w:rPr>
          <w:rFonts w:ascii="Arial" w:hAnsi="Arial" w:cs="Arial"/>
          <w:b/>
          <w:bCs/>
          <w:color w:val="808080" w:themeColor="background1" w:themeShade="80"/>
          <w:sz w:val="22"/>
          <w:szCs w:val="22"/>
          <w:u w:val="single"/>
          <w:lang w:val="en-GB"/>
        </w:rPr>
        <w:t>Notice</w:t>
      </w:r>
      <w:r w:rsidR="00ED2D49" w:rsidRPr="004B21F6">
        <w:rPr>
          <w:rFonts w:ascii="Arial" w:hAnsi="Arial" w:cs="Arial"/>
          <w:b/>
          <w:bCs/>
          <w:color w:val="808080" w:themeColor="background1" w:themeShade="80"/>
          <w:sz w:val="22"/>
          <w:szCs w:val="22"/>
          <w:u w:val="single"/>
          <w:lang w:val="en-GB"/>
        </w:rPr>
        <w:t xml:space="preserve"> of foreign bankruptcy proceedings</w:t>
      </w:r>
    </w:p>
    <w:p w14:paraId="3EBA6456" w14:textId="3D200784" w:rsidR="006B3B63" w:rsidRPr="004B21F6" w:rsidRDefault="00332C83" w:rsidP="004B21F6">
      <w:pPr>
        <w:jc w:val="both"/>
        <w:rPr>
          <w:rFonts w:ascii="Arial" w:hAnsi="Arial" w:cs="Arial"/>
          <w:color w:val="808080" w:themeColor="background1" w:themeShade="80"/>
          <w:sz w:val="22"/>
          <w:szCs w:val="22"/>
          <w:lang w:val="en-GB"/>
        </w:rPr>
      </w:pPr>
      <w:r w:rsidRPr="004B21F6">
        <w:rPr>
          <w:rFonts w:ascii="Arial" w:hAnsi="Arial" w:cs="Arial"/>
          <w:color w:val="808080" w:themeColor="background1" w:themeShade="80"/>
          <w:sz w:val="22"/>
          <w:szCs w:val="22"/>
          <w:lang w:val="en-GB"/>
        </w:rPr>
        <w:t xml:space="preserve">If a company is incorporated under Part II or registered under Part IX of the Companies Act and is made the subject of a foreign bankruptcy proceeding, notice shall be filed with the </w:t>
      </w:r>
      <w:r w:rsidRPr="004B21F6">
        <w:rPr>
          <w:rFonts w:ascii="Arial" w:hAnsi="Arial" w:cs="Arial"/>
          <w:color w:val="808080" w:themeColor="background1" w:themeShade="80"/>
          <w:sz w:val="22"/>
          <w:szCs w:val="22"/>
          <w:lang w:val="en-GB"/>
        </w:rPr>
        <w:lastRenderedPageBreak/>
        <w:t>Registrar and published in the Gazette</w:t>
      </w:r>
      <w:r w:rsidRPr="004B21F6">
        <w:rPr>
          <w:rStyle w:val="FootnoteReference"/>
          <w:rFonts w:ascii="Arial" w:hAnsi="Arial" w:cs="Arial"/>
          <w:color w:val="808080" w:themeColor="background1" w:themeShade="80"/>
          <w:sz w:val="22"/>
          <w:szCs w:val="22"/>
          <w:lang w:val="en-GB"/>
        </w:rPr>
        <w:footnoteReference w:id="19"/>
      </w:r>
      <w:r w:rsidRPr="004B21F6">
        <w:rPr>
          <w:rFonts w:ascii="Arial" w:hAnsi="Arial" w:cs="Arial"/>
          <w:color w:val="808080" w:themeColor="background1" w:themeShade="80"/>
          <w:sz w:val="22"/>
          <w:szCs w:val="22"/>
          <w:lang w:val="en-GB"/>
        </w:rPr>
        <w:t>. Such notice shall contain the prescribed particulars and be filed by the company’s liquidator or its directors (if no liquidator has been appointed) within 14 days of the date upon which the foreign bankruptcy proceeding commenced</w:t>
      </w:r>
      <w:r w:rsidR="000676FC" w:rsidRPr="004B21F6">
        <w:rPr>
          <w:rStyle w:val="FootnoteReference"/>
          <w:rFonts w:ascii="Arial" w:hAnsi="Arial" w:cs="Arial"/>
          <w:color w:val="808080" w:themeColor="background1" w:themeShade="80"/>
          <w:sz w:val="22"/>
          <w:szCs w:val="22"/>
          <w:lang w:val="en-GB"/>
        </w:rPr>
        <w:footnoteReference w:id="20"/>
      </w:r>
      <w:r w:rsidRPr="004B21F6">
        <w:rPr>
          <w:rFonts w:ascii="Arial" w:hAnsi="Arial" w:cs="Arial"/>
          <w:color w:val="808080" w:themeColor="background1" w:themeShade="80"/>
          <w:sz w:val="22"/>
          <w:szCs w:val="22"/>
          <w:lang w:val="en-GB"/>
        </w:rPr>
        <w:t>.</w:t>
      </w:r>
      <w:r w:rsidR="000676FC" w:rsidRPr="004B21F6">
        <w:rPr>
          <w:rFonts w:ascii="Arial" w:hAnsi="Arial" w:cs="Arial"/>
          <w:color w:val="808080" w:themeColor="background1" w:themeShade="80"/>
          <w:sz w:val="22"/>
          <w:szCs w:val="22"/>
          <w:lang w:val="en-GB"/>
        </w:rPr>
        <w:t xml:space="preserve"> A failure to comply with this requirement means that the liquidator or director commits an office and </w:t>
      </w:r>
      <w:r w:rsidR="006B3B63" w:rsidRPr="004B21F6">
        <w:rPr>
          <w:rFonts w:ascii="Arial" w:hAnsi="Arial" w:cs="Arial"/>
          <w:color w:val="808080" w:themeColor="background1" w:themeShade="80"/>
          <w:sz w:val="22"/>
          <w:szCs w:val="22"/>
          <w:lang w:val="en-GB"/>
        </w:rPr>
        <w:t>is liable on</w:t>
      </w:r>
      <w:r w:rsidR="000676FC" w:rsidRPr="004B21F6">
        <w:rPr>
          <w:rFonts w:ascii="Arial" w:hAnsi="Arial" w:cs="Arial"/>
          <w:color w:val="808080" w:themeColor="background1" w:themeShade="80"/>
          <w:sz w:val="22"/>
          <w:szCs w:val="22"/>
          <w:lang w:val="en-GB"/>
        </w:rPr>
        <w:t xml:space="preserve"> </w:t>
      </w:r>
      <w:r w:rsidR="006B3B63" w:rsidRPr="004B21F6">
        <w:rPr>
          <w:rFonts w:ascii="Arial" w:hAnsi="Arial" w:cs="Arial"/>
          <w:color w:val="808080" w:themeColor="background1" w:themeShade="80"/>
          <w:sz w:val="22"/>
          <w:szCs w:val="22"/>
          <w:lang w:val="en-GB"/>
        </w:rPr>
        <w:t xml:space="preserve">summary conviction to a fine of </w:t>
      </w:r>
      <w:r w:rsidR="001127CD" w:rsidRPr="004B21F6">
        <w:rPr>
          <w:rFonts w:ascii="Arial" w:hAnsi="Arial" w:cs="Arial"/>
          <w:color w:val="808080" w:themeColor="background1" w:themeShade="80"/>
          <w:sz w:val="22"/>
          <w:szCs w:val="22"/>
          <w:lang w:val="en-GB"/>
        </w:rPr>
        <w:t>KYD</w:t>
      </w:r>
      <w:r w:rsidR="000676FC" w:rsidRPr="004B21F6">
        <w:rPr>
          <w:rFonts w:ascii="Arial" w:hAnsi="Arial" w:cs="Arial"/>
          <w:color w:val="808080" w:themeColor="background1" w:themeShade="80"/>
          <w:sz w:val="22"/>
          <w:szCs w:val="22"/>
          <w:lang w:val="en-GB"/>
        </w:rPr>
        <w:t>10,000</w:t>
      </w:r>
      <w:r w:rsidR="000676FC" w:rsidRPr="004B21F6">
        <w:rPr>
          <w:rStyle w:val="FootnoteReference"/>
          <w:rFonts w:ascii="Arial" w:hAnsi="Arial" w:cs="Arial"/>
          <w:color w:val="808080" w:themeColor="background1" w:themeShade="80"/>
          <w:sz w:val="22"/>
          <w:szCs w:val="22"/>
          <w:lang w:val="en-GB"/>
        </w:rPr>
        <w:footnoteReference w:id="21"/>
      </w:r>
      <w:r w:rsidR="006B3B63" w:rsidRPr="004B21F6">
        <w:rPr>
          <w:rFonts w:ascii="Arial" w:hAnsi="Arial" w:cs="Arial"/>
          <w:color w:val="808080" w:themeColor="background1" w:themeShade="80"/>
          <w:sz w:val="22"/>
          <w:szCs w:val="22"/>
          <w:lang w:val="en-GB"/>
        </w:rPr>
        <w:t>.</w:t>
      </w:r>
    </w:p>
    <w:p w14:paraId="3F0E5402" w14:textId="77777777" w:rsidR="006B3B63" w:rsidRPr="004B21F6" w:rsidRDefault="006B3B63" w:rsidP="004B21F6">
      <w:pPr>
        <w:jc w:val="both"/>
        <w:rPr>
          <w:rFonts w:ascii="Arial" w:hAnsi="Arial" w:cs="Arial"/>
          <w:color w:val="808080" w:themeColor="background1" w:themeShade="80"/>
          <w:sz w:val="22"/>
          <w:szCs w:val="22"/>
          <w:lang w:val="en-GB"/>
        </w:rPr>
      </w:pPr>
    </w:p>
    <w:p w14:paraId="02D74D3D" w14:textId="77777777" w:rsidR="00D84F44" w:rsidRPr="004B21F6" w:rsidRDefault="00D84F44" w:rsidP="004B21F6">
      <w:pPr>
        <w:jc w:val="both"/>
        <w:rPr>
          <w:rFonts w:ascii="Arial" w:hAnsi="Arial" w:cs="Arial"/>
          <w:sz w:val="22"/>
          <w:szCs w:val="22"/>
          <w:lang w:val="en-GB"/>
        </w:rPr>
      </w:pPr>
    </w:p>
    <w:p w14:paraId="0AD09321" w14:textId="122815B2"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2.2 [maximum </w:t>
      </w:r>
      <w:r w:rsidR="003C0E39">
        <w:rPr>
          <w:rFonts w:ascii="Avenir Next Demi Bold" w:hAnsi="Avenir Next Demi Bold" w:cs="Arial"/>
          <w:b/>
          <w:bCs/>
          <w:sz w:val="22"/>
          <w:szCs w:val="22"/>
          <w:lang w:val="en-GB"/>
        </w:rPr>
        <w:t>3</w:t>
      </w:r>
      <w:r w:rsidRPr="00310533">
        <w:rPr>
          <w:rFonts w:ascii="Avenir Next Demi Bold" w:hAnsi="Avenir Next Demi Bold" w:cs="Arial"/>
          <w:b/>
          <w:bCs/>
          <w:sz w:val="22"/>
          <w:szCs w:val="22"/>
          <w:lang w:val="en-GB"/>
        </w:rPr>
        <w:t xml:space="preserve"> marks]</w:t>
      </w:r>
    </w:p>
    <w:p w14:paraId="7EA8FE86" w14:textId="77777777" w:rsidR="00D27CBC" w:rsidRPr="00310533" w:rsidRDefault="00D27CBC" w:rsidP="00D27CBC">
      <w:pPr>
        <w:jc w:val="both"/>
        <w:rPr>
          <w:rFonts w:ascii="Avenir Next" w:hAnsi="Avenir Next" w:cs="Arial"/>
          <w:b/>
          <w:bCs/>
          <w:sz w:val="22"/>
          <w:szCs w:val="22"/>
          <w:lang w:val="en-GB"/>
        </w:rPr>
      </w:pPr>
    </w:p>
    <w:p w14:paraId="39545617" w14:textId="77777777" w:rsidR="008959EB" w:rsidRPr="00310533" w:rsidRDefault="008959EB" w:rsidP="008959EB">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73C790DB" w14:textId="39CE3C53" w:rsidR="00D218B4" w:rsidRDefault="00D218B4" w:rsidP="00AB0E3A">
      <w:pPr>
        <w:jc w:val="both"/>
        <w:rPr>
          <w:rFonts w:ascii="Avenir Next" w:hAnsi="Avenir Next" w:cs="Arial"/>
          <w:color w:val="808080" w:themeColor="background1" w:themeShade="80"/>
          <w:sz w:val="22"/>
          <w:szCs w:val="22"/>
          <w:lang w:val="en-GB"/>
        </w:rPr>
      </w:pPr>
    </w:p>
    <w:p w14:paraId="087C2A17" w14:textId="20DE91DB" w:rsidR="0046268F" w:rsidRPr="00B2014C" w:rsidRDefault="00D218B4" w:rsidP="00D27CBC">
      <w:pPr>
        <w:jc w:val="both"/>
        <w:rPr>
          <w:rFonts w:ascii="Arial" w:hAnsi="Arial" w:cs="Arial"/>
          <w:color w:val="808080" w:themeColor="background1" w:themeShade="80"/>
          <w:sz w:val="22"/>
          <w:szCs w:val="22"/>
          <w:lang w:val="en-GB"/>
        </w:rPr>
      </w:pPr>
      <w:r w:rsidRPr="00B2014C">
        <w:rPr>
          <w:rFonts w:ascii="Arial" w:hAnsi="Arial" w:cs="Arial"/>
          <w:color w:val="808080" w:themeColor="background1" w:themeShade="80"/>
          <w:sz w:val="22"/>
          <w:szCs w:val="22"/>
          <w:lang w:val="en-GB"/>
        </w:rPr>
        <w:t>In cross-border matters, the approach taken by the Cayman Islands Grand Court is a cooperative one to ensure the company is wound up properly and creditors’ interests are protected (wherever they are located).</w:t>
      </w:r>
      <w:r w:rsidRPr="00B2014C">
        <w:rPr>
          <w:rStyle w:val="FootnoteReference"/>
          <w:rFonts w:ascii="Arial" w:hAnsi="Arial" w:cs="Arial"/>
          <w:color w:val="808080" w:themeColor="background1" w:themeShade="80"/>
          <w:sz w:val="22"/>
          <w:szCs w:val="22"/>
          <w:lang w:val="en-GB"/>
        </w:rPr>
        <w:footnoteReference w:id="22"/>
      </w:r>
      <w:r w:rsidR="00B2014C" w:rsidRPr="00B2014C">
        <w:rPr>
          <w:rFonts w:ascii="Arial" w:hAnsi="Arial" w:cs="Arial"/>
          <w:color w:val="808080" w:themeColor="background1" w:themeShade="80"/>
          <w:sz w:val="22"/>
          <w:szCs w:val="22"/>
          <w:lang w:val="en-GB"/>
        </w:rPr>
        <w:t xml:space="preserve"> </w:t>
      </w:r>
      <w:r w:rsidR="0046268F" w:rsidRPr="00B2014C">
        <w:rPr>
          <w:rFonts w:ascii="Arial" w:hAnsi="Arial" w:cs="Arial"/>
          <w:color w:val="808080" w:themeColor="background1" w:themeShade="80"/>
          <w:sz w:val="22"/>
          <w:szCs w:val="22"/>
          <w:lang w:val="en-GB"/>
        </w:rPr>
        <w:t>To date, the Cayman Islands “</w:t>
      </w:r>
      <w:r w:rsidR="0046268F" w:rsidRPr="00B2014C">
        <w:rPr>
          <w:rFonts w:ascii="Arial" w:hAnsi="Arial" w:cs="Arial"/>
          <w:i/>
          <w:iCs/>
          <w:color w:val="808080" w:themeColor="background1" w:themeShade="80"/>
          <w:sz w:val="22"/>
          <w:szCs w:val="22"/>
          <w:lang w:val="en-GB"/>
        </w:rPr>
        <w:t>has not entered into any international treaties for the reciprocal recognition or enforcement of foreign judgments, neither has the UK extended its ratification of any such treaties to the Cayman Islands</w:t>
      </w:r>
      <w:r w:rsidR="0046268F" w:rsidRPr="00B2014C">
        <w:rPr>
          <w:rFonts w:ascii="Arial" w:hAnsi="Arial" w:cs="Arial"/>
          <w:color w:val="808080" w:themeColor="background1" w:themeShade="80"/>
          <w:sz w:val="22"/>
          <w:szCs w:val="22"/>
          <w:lang w:val="en-GB"/>
        </w:rPr>
        <w:t>”</w:t>
      </w:r>
      <w:r w:rsidR="0046268F" w:rsidRPr="00B2014C">
        <w:rPr>
          <w:rStyle w:val="FootnoteReference"/>
          <w:rFonts w:ascii="Arial" w:hAnsi="Arial" w:cs="Arial"/>
          <w:color w:val="808080" w:themeColor="background1" w:themeShade="80"/>
          <w:sz w:val="22"/>
          <w:szCs w:val="22"/>
          <w:lang w:val="en-GB"/>
        </w:rPr>
        <w:footnoteReference w:id="23"/>
      </w:r>
      <w:r w:rsidR="0046268F" w:rsidRPr="00B2014C">
        <w:rPr>
          <w:rFonts w:ascii="Arial" w:hAnsi="Arial" w:cs="Arial"/>
          <w:color w:val="808080" w:themeColor="background1" w:themeShade="80"/>
          <w:sz w:val="22"/>
          <w:szCs w:val="22"/>
          <w:lang w:val="en-GB"/>
        </w:rPr>
        <w:t>. Further, the Cayman Islands is not a signatory to the Hague Convention on the Recognition and Enforcement of Foreign Judgments in Civil and Commercial Matters.</w:t>
      </w:r>
    </w:p>
    <w:p w14:paraId="7C924F68" w14:textId="77777777" w:rsidR="00D218B4" w:rsidRPr="008B24E4" w:rsidRDefault="00D218B4" w:rsidP="00D27CBC">
      <w:pPr>
        <w:jc w:val="both"/>
        <w:rPr>
          <w:rFonts w:ascii="Arial" w:hAnsi="Arial" w:cs="Arial"/>
          <w:color w:val="808080" w:themeColor="background1" w:themeShade="80"/>
          <w:sz w:val="22"/>
          <w:szCs w:val="22"/>
          <w:lang w:val="en-GB"/>
        </w:rPr>
      </w:pPr>
    </w:p>
    <w:p w14:paraId="43097E38" w14:textId="598FD20F" w:rsidR="0028728F" w:rsidRPr="00D84F44" w:rsidRDefault="008B24E4" w:rsidP="0028728F">
      <w:pPr>
        <w:jc w:val="both"/>
        <w:rPr>
          <w:rFonts w:ascii="Arial" w:hAnsi="Arial" w:cs="Arial"/>
          <w:color w:val="808080" w:themeColor="background1" w:themeShade="80"/>
          <w:sz w:val="22"/>
          <w:szCs w:val="22"/>
          <w:lang w:val="en-GB"/>
        </w:rPr>
      </w:pPr>
      <w:r w:rsidRPr="008B24E4">
        <w:rPr>
          <w:rFonts w:ascii="Arial" w:hAnsi="Arial" w:cs="Arial"/>
          <w:color w:val="808080" w:themeColor="background1" w:themeShade="80"/>
          <w:sz w:val="22"/>
          <w:szCs w:val="22"/>
          <w:lang w:val="en-GB"/>
        </w:rPr>
        <w:t xml:space="preserve">Notwithstanding the above, statute and common law provide the legal framework for the </w:t>
      </w:r>
      <w:r w:rsidRPr="009A4862">
        <w:rPr>
          <w:rFonts w:ascii="Arial" w:hAnsi="Arial" w:cs="Arial"/>
          <w:color w:val="808080" w:themeColor="background1" w:themeShade="80"/>
          <w:sz w:val="22"/>
          <w:szCs w:val="22"/>
          <w:lang w:val="en-GB"/>
        </w:rPr>
        <w:t>recognition of foreign judgments in the Cayman Islands.</w:t>
      </w:r>
      <w:r w:rsidR="0028728F" w:rsidRPr="009A4862">
        <w:rPr>
          <w:rFonts w:ascii="Arial" w:hAnsi="Arial" w:cs="Arial"/>
          <w:color w:val="808080" w:themeColor="background1" w:themeShade="80"/>
          <w:sz w:val="22"/>
          <w:szCs w:val="22"/>
          <w:lang w:val="en-GB"/>
        </w:rPr>
        <w:t xml:space="preserve"> </w:t>
      </w:r>
      <w:r w:rsidR="009A4862">
        <w:rPr>
          <w:rFonts w:ascii="Arial" w:hAnsi="Arial" w:cs="Arial"/>
          <w:color w:val="808080" w:themeColor="background1" w:themeShade="80"/>
          <w:sz w:val="22"/>
          <w:szCs w:val="22"/>
          <w:lang w:val="en-GB"/>
        </w:rPr>
        <w:t xml:space="preserve">It should be noted that a </w:t>
      </w:r>
      <w:r w:rsidR="0028728F" w:rsidRPr="009A4862">
        <w:rPr>
          <w:rFonts w:ascii="Arial" w:hAnsi="Arial" w:cs="Arial"/>
          <w:color w:val="808080" w:themeColor="background1" w:themeShade="80"/>
          <w:sz w:val="22"/>
          <w:szCs w:val="22"/>
          <w:lang w:val="en-GB"/>
        </w:rPr>
        <w:t xml:space="preserve">judgment creditor has 6 years to enforce under both </w:t>
      </w:r>
      <w:r w:rsidR="009A4862" w:rsidRPr="009A4862">
        <w:rPr>
          <w:rFonts w:ascii="Arial" w:hAnsi="Arial" w:cs="Arial"/>
          <w:color w:val="808080" w:themeColor="background1" w:themeShade="80"/>
          <w:sz w:val="22"/>
          <w:szCs w:val="22"/>
          <w:lang w:val="en-GB"/>
        </w:rPr>
        <w:t>statute</w:t>
      </w:r>
      <w:r w:rsidR="0028728F" w:rsidRPr="009A4862">
        <w:rPr>
          <w:rFonts w:ascii="Arial" w:hAnsi="Arial" w:cs="Arial"/>
          <w:color w:val="808080" w:themeColor="background1" w:themeShade="80"/>
          <w:sz w:val="22"/>
          <w:szCs w:val="22"/>
          <w:lang w:val="en-GB"/>
        </w:rPr>
        <w:t xml:space="preserve"> and common law. The </w:t>
      </w:r>
      <w:r w:rsidR="009A4862" w:rsidRPr="009A4862">
        <w:rPr>
          <w:rFonts w:ascii="Arial" w:hAnsi="Arial" w:cs="Arial"/>
          <w:color w:val="808080" w:themeColor="background1" w:themeShade="80"/>
          <w:sz w:val="22"/>
          <w:szCs w:val="22"/>
          <w:lang w:val="en-GB"/>
        </w:rPr>
        <w:t>6-year</w:t>
      </w:r>
      <w:r w:rsidR="0028728F" w:rsidRPr="009A4862">
        <w:rPr>
          <w:rFonts w:ascii="Arial" w:hAnsi="Arial" w:cs="Arial"/>
          <w:color w:val="808080" w:themeColor="background1" w:themeShade="80"/>
          <w:sz w:val="22"/>
          <w:szCs w:val="22"/>
          <w:lang w:val="en-GB"/>
        </w:rPr>
        <w:t xml:space="preserve"> limitation period runs from the judgment date or, the date of the last judgment (where there have been appeals).</w:t>
      </w:r>
      <w:r w:rsidR="0028728F" w:rsidRPr="009A4862">
        <w:rPr>
          <w:rStyle w:val="FootnoteReference"/>
          <w:rFonts w:ascii="Arial" w:hAnsi="Arial" w:cs="Arial"/>
          <w:color w:val="808080" w:themeColor="background1" w:themeShade="80"/>
          <w:sz w:val="22"/>
          <w:szCs w:val="22"/>
          <w:lang w:val="en-GB"/>
        </w:rPr>
        <w:footnoteReference w:id="24"/>
      </w:r>
    </w:p>
    <w:p w14:paraId="146D6006" w14:textId="77777777" w:rsidR="0028728F" w:rsidRPr="00D84F44" w:rsidRDefault="0028728F" w:rsidP="00D27CBC">
      <w:pPr>
        <w:jc w:val="both"/>
        <w:rPr>
          <w:rFonts w:ascii="Arial" w:hAnsi="Arial" w:cs="Arial"/>
          <w:color w:val="808080" w:themeColor="background1" w:themeShade="80"/>
          <w:sz w:val="22"/>
          <w:szCs w:val="22"/>
          <w:highlight w:val="yellow"/>
          <w:lang w:val="en-GB"/>
        </w:rPr>
      </w:pPr>
    </w:p>
    <w:p w14:paraId="74D0DDC0" w14:textId="266FB314" w:rsidR="004811F0" w:rsidRPr="00606B72" w:rsidRDefault="004811F0" w:rsidP="00D27CBC">
      <w:pPr>
        <w:jc w:val="both"/>
        <w:rPr>
          <w:rFonts w:ascii="Arial" w:hAnsi="Arial" w:cs="Arial"/>
          <w:color w:val="808080" w:themeColor="background1" w:themeShade="80"/>
          <w:sz w:val="22"/>
          <w:szCs w:val="22"/>
          <w:u w:val="single"/>
          <w:lang w:val="en-GB"/>
        </w:rPr>
      </w:pPr>
      <w:r w:rsidRPr="00606B72">
        <w:rPr>
          <w:rFonts w:ascii="Arial" w:hAnsi="Arial" w:cs="Arial"/>
          <w:color w:val="808080" w:themeColor="background1" w:themeShade="80"/>
          <w:sz w:val="22"/>
          <w:szCs w:val="22"/>
          <w:u w:val="single"/>
          <w:lang w:val="en-GB"/>
        </w:rPr>
        <w:t>Foreign Judgments Reciprocal Enforcement Law (1996 Revision) (“</w:t>
      </w:r>
      <w:r w:rsidRPr="00606B72">
        <w:rPr>
          <w:rFonts w:ascii="Arial" w:hAnsi="Arial" w:cs="Arial"/>
          <w:b/>
          <w:bCs/>
          <w:color w:val="808080" w:themeColor="background1" w:themeShade="80"/>
          <w:sz w:val="22"/>
          <w:szCs w:val="22"/>
          <w:u w:val="single"/>
          <w:lang w:val="en-GB"/>
        </w:rPr>
        <w:t>Enforcement Law</w:t>
      </w:r>
      <w:r w:rsidRPr="00606B72">
        <w:rPr>
          <w:rFonts w:ascii="Arial" w:hAnsi="Arial" w:cs="Arial"/>
          <w:color w:val="808080" w:themeColor="background1" w:themeShade="80"/>
          <w:sz w:val="22"/>
          <w:szCs w:val="22"/>
          <w:u w:val="single"/>
          <w:lang w:val="en-GB"/>
        </w:rPr>
        <w:t>”)</w:t>
      </w:r>
    </w:p>
    <w:p w14:paraId="1C35B93D" w14:textId="2C3D8016" w:rsidR="004811F0" w:rsidRPr="00606B72" w:rsidRDefault="00BB64EA" w:rsidP="00E875A2">
      <w:pPr>
        <w:jc w:val="both"/>
        <w:rPr>
          <w:rFonts w:ascii="Arial" w:hAnsi="Arial" w:cs="Arial"/>
          <w:color w:val="808080" w:themeColor="background1" w:themeShade="80"/>
          <w:sz w:val="22"/>
          <w:szCs w:val="22"/>
          <w:lang w:val="en-GB"/>
        </w:rPr>
      </w:pPr>
      <w:r w:rsidRPr="00606B72">
        <w:rPr>
          <w:rFonts w:ascii="Arial" w:hAnsi="Arial" w:cs="Arial"/>
          <w:color w:val="808080" w:themeColor="background1" w:themeShade="80"/>
          <w:sz w:val="22"/>
          <w:szCs w:val="22"/>
          <w:lang w:val="en-GB"/>
        </w:rPr>
        <w:t>T</w:t>
      </w:r>
      <w:r w:rsidR="0046268F" w:rsidRPr="00606B72">
        <w:rPr>
          <w:rFonts w:ascii="Arial" w:hAnsi="Arial" w:cs="Arial"/>
          <w:color w:val="808080" w:themeColor="background1" w:themeShade="80"/>
          <w:sz w:val="22"/>
          <w:szCs w:val="22"/>
          <w:lang w:val="en-GB"/>
        </w:rPr>
        <w:t xml:space="preserve">he </w:t>
      </w:r>
      <w:r w:rsidR="0068565B" w:rsidRPr="00606B72">
        <w:rPr>
          <w:rFonts w:ascii="Arial" w:hAnsi="Arial" w:cs="Arial"/>
          <w:color w:val="808080" w:themeColor="background1" w:themeShade="80"/>
          <w:sz w:val="22"/>
          <w:szCs w:val="22"/>
          <w:lang w:val="en-GB"/>
        </w:rPr>
        <w:t>Enforcement Law</w:t>
      </w:r>
      <w:r w:rsidRPr="00606B72">
        <w:rPr>
          <w:rFonts w:ascii="Arial" w:hAnsi="Arial" w:cs="Arial"/>
          <w:color w:val="808080" w:themeColor="background1" w:themeShade="80"/>
          <w:sz w:val="22"/>
          <w:szCs w:val="22"/>
          <w:lang w:val="en-GB"/>
        </w:rPr>
        <w:t xml:space="preserve"> </w:t>
      </w:r>
      <w:r w:rsidR="0035248F" w:rsidRPr="00606B72">
        <w:rPr>
          <w:rFonts w:ascii="Arial" w:hAnsi="Arial" w:cs="Arial"/>
          <w:color w:val="808080" w:themeColor="background1" w:themeShade="80"/>
          <w:sz w:val="22"/>
          <w:szCs w:val="22"/>
          <w:lang w:val="en-GB"/>
        </w:rPr>
        <w:t>“</w:t>
      </w:r>
      <w:r w:rsidR="00D66E24" w:rsidRPr="00606B72">
        <w:rPr>
          <w:rFonts w:ascii="Arial" w:hAnsi="Arial" w:cs="Arial"/>
          <w:i/>
          <w:iCs/>
          <w:color w:val="808080" w:themeColor="background1" w:themeShade="80"/>
          <w:sz w:val="22"/>
          <w:szCs w:val="22"/>
          <w:lang w:val="en-GB"/>
        </w:rPr>
        <w:t xml:space="preserve">provides </w:t>
      </w:r>
      <w:r w:rsidR="0046268F" w:rsidRPr="00606B72">
        <w:rPr>
          <w:rFonts w:ascii="Arial" w:hAnsi="Arial" w:cs="Arial"/>
          <w:i/>
          <w:iCs/>
          <w:color w:val="808080" w:themeColor="background1" w:themeShade="80"/>
          <w:sz w:val="22"/>
          <w:szCs w:val="22"/>
          <w:lang w:val="en-GB"/>
        </w:rPr>
        <w:t xml:space="preserve">a statutory </w:t>
      </w:r>
      <w:r w:rsidR="0035248F" w:rsidRPr="00606B72">
        <w:rPr>
          <w:rFonts w:ascii="Arial" w:hAnsi="Arial" w:cs="Arial"/>
          <w:i/>
          <w:iCs/>
          <w:color w:val="808080" w:themeColor="background1" w:themeShade="80"/>
          <w:sz w:val="22"/>
          <w:szCs w:val="22"/>
          <w:lang w:val="en-GB"/>
        </w:rPr>
        <w:t>regime</w:t>
      </w:r>
      <w:r w:rsidR="0046268F" w:rsidRPr="00606B72">
        <w:rPr>
          <w:rFonts w:ascii="Arial" w:hAnsi="Arial" w:cs="Arial"/>
          <w:i/>
          <w:iCs/>
          <w:color w:val="808080" w:themeColor="background1" w:themeShade="80"/>
          <w:sz w:val="22"/>
          <w:szCs w:val="22"/>
          <w:lang w:val="en-GB"/>
        </w:rPr>
        <w:t xml:space="preserve"> for recognition and enforcement of</w:t>
      </w:r>
      <w:r w:rsidR="00D66E24" w:rsidRPr="00606B72">
        <w:rPr>
          <w:rFonts w:ascii="Arial" w:hAnsi="Arial" w:cs="Arial"/>
          <w:i/>
          <w:iCs/>
          <w:color w:val="808080" w:themeColor="background1" w:themeShade="80"/>
          <w:sz w:val="22"/>
          <w:szCs w:val="22"/>
          <w:lang w:val="en-GB"/>
        </w:rPr>
        <w:t xml:space="preserve"> foreign</w:t>
      </w:r>
      <w:r w:rsidR="0046268F" w:rsidRPr="00606B72">
        <w:rPr>
          <w:rFonts w:ascii="Arial" w:hAnsi="Arial" w:cs="Arial"/>
          <w:i/>
          <w:iCs/>
          <w:color w:val="808080" w:themeColor="background1" w:themeShade="80"/>
          <w:sz w:val="22"/>
          <w:szCs w:val="22"/>
          <w:lang w:val="en-GB"/>
        </w:rPr>
        <w:t xml:space="preserve"> judgments</w:t>
      </w:r>
      <w:r w:rsidR="0035248F" w:rsidRPr="00606B72">
        <w:rPr>
          <w:rFonts w:ascii="Arial" w:hAnsi="Arial" w:cs="Arial"/>
          <w:color w:val="808080" w:themeColor="background1" w:themeShade="80"/>
          <w:sz w:val="22"/>
          <w:szCs w:val="22"/>
          <w:lang w:val="en-GB"/>
        </w:rPr>
        <w:t>”</w:t>
      </w:r>
      <w:r w:rsidR="0035248F" w:rsidRPr="00606B72">
        <w:rPr>
          <w:rStyle w:val="FootnoteReference"/>
          <w:rFonts w:ascii="Arial" w:hAnsi="Arial" w:cs="Arial"/>
          <w:color w:val="808080" w:themeColor="background1" w:themeShade="80"/>
          <w:sz w:val="22"/>
          <w:szCs w:val="22"/>
          <w:lang w:val="en-GB"/>
        </w:rPr>
        <w:footnoteReference w:id="25"/>
      </w:r>
      <w:r w:rsidR="0046268F" w:rsidRPr="00606B72">
        <w:rPr>
          <w:rFonts w:ascii="Arial" w:hAnsi="Arial" w:cs="Arial"/>
          <w:color w:val="808080" w:themeColor="background1" w:themeShade="80"/>
          <w:sz w:val="22"/>
          <w:szCs w:val="22"/>
          <w:lang w:val="en-GB"/>
        </w:rPr>
        <w:t>.</w:t>
      </w:r>
      <w:r w:rsidR="00D1279A" w:rsidRPr="00606B72">
        <w:rPr>
          <w:rFonts w:ascii="Arial" w:hAnsi="Arial" w:cs="Arial"/>
          <w:color w:val="808080" w:themeColor="background1" w:themeShade="80"/>
          <w:sz w:val="22"/>
          <w:szCs w:val="22"/>
          <w:lang w:val="en-GB"/>
        </w:rPr>
        <w:t xml:space="preserve"> </w:t>
      </w:r>
      <w:r w:rsidR="00E875A2" w:rsidRPr="00606B72">
        <w:rPr>
          <w:rFonts w:ascii="Arial" w:hAnsi="Arial" w:cs="Arial"/>
          <w:color w:val="808080" w:themeColor="background1" w:themeShade="80"/>
          <w:sz w:val="22"/>
          <w:szCs w:val="22"/>
          <w:lang w:val="en-GB"/>
        </w:rPr>
        <w:t>However, this is only where there is “</w:t>
      </w:r>
      <w:r w:rsidR="00E875A2" w:rsidRPr="00606B72">
        <w:rPr>
          <w:rFonts w:ascii="Arial" w:hAnsi="Arial" w:cs="Arial"/>
          <w:i/>
          <w:iCs/>
          <w:color w:val="808080" w:themeColor="background1" w:themeShade="80"/>
          <w:sz w:val="22"/>
          <w:szCs w:val="22"/>
          <w:lang w:val="en-GB"/>
        </w:rPr>
        <w:t>substantial reciprocity of treatment</w:t>
      </w:r>
      <w:r w:rsidR="00E875A2" w:rsidRPr="00606B72">
        <w:rPr>
          <w:rFonts w:ascii="Arial" w:hAnsi="Arial" w:cs="Arial"/>
          <w:color w:val="808080" w:themeColor="background1" w:themeShade="80"/>
          <w:sz w:val="22"/>
          <w:szCs w:val="22"/>
          <w:lang w:val="en-GB"/>
        </w:rPr>
        <w:t>”</w:t>
      </w:r>
      <w:r w:rsidR="00E875A2" w:rsidRPr="00606B72">
        <w:rPr>
          <w:rStyle w:val="FootnoteReference"/>
          <w:rFonts w:ascii="Arial" w:hAnsi="Arial" w:cs="Arial"/>
          <w:color w:val="808080" w:themeColor="background1" w:themeShade="80"/>
          <w:sz w:val="22"/>
          <w:szCs w:val="22"/>
          <w:lang w:val="en-GB"/>
        </w:rPr>
        <w:footnoteReference w:id="26"/>
      </w:r>
      <w:r w:rsidR="00E875A2" w:rsidRPr="00606B72">
        <w:rPr>
          <w:rFonts w:ascii="Arial" w:hAnsi="Arial" w:cs="Arial"/>
          <w:color w:val="808080" w:themeColor="background1" w:themeShade="80"/>
          <w:sz w:val="22"/>
          <w:szCs w:val="22"/>
          <w:lang w:val="en-GB"/>
        </w:rPr>
        <w:t xml:space="preserve"> regarding the enforcement </w:t>
      </w:r>
      <w:r w:rsidR="0068565B" w:rsidRPr="00606B72">
        <w:rPr>
          <w:rFonts w:ascii="Arial" w:hAnsi="Arial" w:cs="Arial"/>
          <w:color w:val="808080" w:themeColor="background1" w:themeShade="80"/>
          <w:sz w:val="22"/>
          <w:szCs w:val="22"/>
          <w:lang w:val="en-GB"/>
        </w:rPr>
        <w:t>of judgments from the Cayman Islands in that country. To date, the Enforcement Law has only been extended to judgments from the Superior Courts of Australia and its External Territories.</w:t>
      </w:r>
      <w:r w:rsidR="0068565B" w:rsidRPr="00606B72">
        <w:rPr>
          <w:rStyle w:val="FootnoteReference"/>
          <w:rFonts w:ascii="Arial" w:hAnsi="Arial" w:cs="Arial"/>
          <w:color w:val="808080" w:themeColor="background1" w:themeShade="80"/>
          <w:sz w:val="22"/>
          <w:szCs w:val="22"/>
          <w:lang w:val="en-GB"/>
        </w:rPr>
        <w:footnoteReference w:id="27"/>
      </w:r>
      <w:r w:rsidR="0068565B" w:rsidRPr="00606B72">
        <w:rPr>
          <w:rFonts w:ascii="Arial" w:hAnsi="Arial" w:cs="Arial"/>
          <w:color w:val="808080" w:themeColor="background1" w:themeShade="80"/>
          <w:sz w:val="22"/>
          <w:szCs w:val="22"/>
          <w:lang w:val="en-GB"/>
        </w:rPr>
        <w:t xml:space="preserve"> </w:t>
      </w:r>
      <w:r w:rsidR="004811F0" w:rsidRPr="00606B72">
        <w:rPr>
          <w:rFonts w:ascii="Arial" w:hAnsi="Arial" w:cs="Arial"/>
          <w:color w:val="808080" w:themeColor="background1" w:themeShade="80"/>
          <w:sz w:val="22"/>
          <w:szCs w:val="22"/>
          <w:lang w:val="en-GB"/>
        </w:rPr>
        <w:t>Order 71 of the Grand Court Rules (2023 Revision)</w:t>
      </w:r>
      <w:r w:rsidR="00A45A99" w:rsidRPr="00606B72">
        <w:rPr>
          <w:rFonts w:ascii="Arial" w:hAnsi="Arial" w:cs="Arial"/>
          <w:color w:val="808080" w:themeColor="background1" w:themeShade="80"/>
          <w:sz w:val="22"/>
          <w:szCs w:val="22"/>
          <w:lang w:val="en-GB"/>
        </w:rPr>
        <w:t xml:space="preserve"> </w:t>
      </w:r>
      <w:r w:rsidR="006A555D">
        <w:rPr>
          <w:rFonts w:ascii="Arial" w:hAnsi="Arial" w:cs="Arial"/>
          <w:color w:val="808080" w:themeColor="background1" w:themeShade="80"/>
          <w:sz w:val="22"/>
          <w:szCs w:val="22"/>
          <w:lang w:val="en-GB"/>
        </w:rPr>
        <w:t>(“</w:t>
      </w:r>
      <w:r w:rsidR="006A555D">
        <w:rPr>
          <w:rFonts w:ascii="Arial" w:hAnsi="Arial" w:cs="Arial"/>
          <w:b/>
          <w:bCs/>
          <w:color w:val="808080" w:themeColor="background1" w:themeShade="80"/>
          <w:sz w:val="22"/>
          <w:szCs w:val="22"/>
          <w:lang w:val="en-GB"/>
        </w:rPr>
        <w:t>Grand Court Rules</w:t>
      </w:r>
      <w:r w:rsidR="006A555D">
        <w:rPr>
          <w:rFonts w:ascii="Arial" w:hAnsi="Arial" w:cs="Arial"/>
          <w:color w:val="808080" w:themeColor="background1" w:themeShade="80"/>
          <w:sz w:val="22"/>
          <w:szCs w:val="22"/>
          <w:lang w:val="en-GB"/>
        </w:rPr>
        <w:t xml:space="preserve">”) </w:t>
      </w:r>
      <w:r w:rsidR="004811F0" w:rsidRPr="00606B72">
        <w:rPr>
          <w:rFonts w:ascii="Arial" w:hAnsi="Arial" w:cs="Arial"/>
          <w:color w:val="808080" w:themeColor="background1" w:themeShade="80"/>
          <w:sz w:val="22"/>
          <w:szCs w:val="22"/>
          <w:lang w:val="en-GB"/>
        </w:rPr>
        <w:t>governs this procedure.</w:t>
      </w:r>
    </w:p>
    <w:p w14:paraId="09485DCB" w14:textId="77777777" w:rsidR="004811F0" w:rsidRPr="00D84F44" w:rsidRDefault="004811F0" w:rsidP="00E875A2">
      <w:pPr>
        <w:jc w:val="both"/>
        <w:rPr>
          <w:rFonts w:ascii="Arial" w:hAnsi="Arial" w:cs="Arial"/>
          <w:color w:val="808080" w:themeColor="background1" w:themeShade="80"/>
          <w:sz w:val="22"/>
          <w:szCs w:val="22"/>
          <w:highlight w:val="yellow"/>
          <w:lang w:val="en-GB"/>
        </w:rPr>
      </w:pPr>
    </w:p>
    <w:p w14:paraId="2B0CC232" w14:textId="3257B3F7" w:rsidR="00E875A2" w:rsidRPr="006B2078" w:rsidRDefault="0068565B" w:rsidP="00E875A2">
      <w:pPr>
        <w:jc w:val="both"/>
        <w:rPr>
          <w:rFonts w:ascii="Arial" w:hAnsi="Arial" w:cs="Arial"/>
          <w:color w:val="808080" w:themeColor="background1" w:themeShade="80"/>
          <w:sz w:val="22"/>
          <w:szCs w:val="22"/>
          <w:lang w:val="en-GB"/>
        </w:rPr>
      </w:pPr>
      <w:r w:rsidRPr="006B2078">
        <w:rPr>
          <w:rFonts w:ascii="Arial" w:hAnsi="Arial" w:cs="Arial"/>
          <w:color w:val="808080" w:themeColor="background1" w:themeShade="80"/>
          <w:sz w:val="22"/>
          <w:szCs w:val="22"/>
          <w:lang w:val="en-GB"/>
        </w:rPr>
        <w:t xml:space="preserve">Section 3(2) of the Enforcement Law states that a judgment from a foreign country’s superior court </w:t>
      </w:r>
      <w:r w:rsidR="006B2078" w:rsidRPr="006B2078">
        <w:rPr>
          <w:rFonts w:ascii="Arial" w:hAnsi="Arial" w:cs="Arial"/>
          <w:color w:val="808080" w:themeColor="background1" w:themeShade="80"/>
          <w:sz w:val="22"/>
          <w:szCs w:val="22"/>
          <w:lang w:val="en-GB"/>
        </w:rPr>
        <w:t xml:space="preserve">(other than a judgment which is given on appeal from a court which is not a superior court) </w:t>
      </w:r>
      <w:r w:rsidRPr="006B2078">
        <w:rPr>
          <w:rFonts w:ascii="Arial" w:hAnsi="Arial" w:cs="Arial"/>
          <w:color w:val="808080" w:themeColor="background1" w:themeShade="80"/>
          <w:sz w:val="22"/>
          <w:szCs w:val="22"/>
          <w:lang w:val="en-GB"/>
        </w:rPr>
        <w:t>shall be a judgment to which the Enforcement Law will apply if it is:</w:t>
      </w:r>
    </w:p>
    <w:p w14:paraId="20D0EC92" w14:textId="7C78ECB1" w:rsidR="0068565B" w:rsidRPr="006B2078" w:rsidRDefault="0068565B">
      <w:pPr>
        <w:pStyle w:val="ListParagraph"/>
        <w:numPr>
          <w:ilvl w:val="0"/>
          <w:numId w:val="14"/>
        </w:numPr>
        <w:jc w:val="both"/>
        <w:rPr>
          <w:rFonts w:ascii="Arial" w:hAnsi="Arial" w:cs="Arial"/>
          <w:color w:val="808080" w:themeColor="background1" w:themeShade="80"/>
          <w:sz w:val="22"/>
          <w:szCs w:val="22"/>
          <w:lang w:val="en-GB"/>
        </w:rPr>
      </w:pPr>
      <w:r w:rsidRPr="006B2078">
        <w:rPr>
          <w:rFonts w:ascii="Arial" w:hAnsi="Arial" w:cs="Arial"/>
          <w:color w:val="808080" w:themeColor="background1" w:themeShade="80"/>
          <w:sz w:val="22"/>
          <w:szCs w:val="22"/>
          <w:lang w:val="en-GB"/>
        </w:rPr>
        <w:t>final and conclusive as between the parties</w:t>
      </w:r>
      <w:r w:rsidR="006B2078">
        <w:rPr>
          <w:rStyle w:val="FootnoteReference"/>
          <w:rFonts w:ascii="Arial" w:hAnsi="Arial" w:cs="Arial"/>
          <w:color w:val="808080" w:themeColor="background1" w:themeShade="80"/>
          <w:sz w:val="22"/>
          <w:szCs w:val="22"/>
          <w:lang w:val="en-GB"/>
        </w:rPr>
        <w:footnoteReference w:id="28"/>
      </w:r>
      <w:r w:rsidRPr="006B2078">
        <w:rPr>
          <w:rFonts w:ascii="Arial" w:hAnsi="Arial" w:cs="Arial"/>
          <w:color w:val="808080" w:themeColor="background1" w:themeShade="80"/>
          <w:sz w:val="22"/>
          <w:szCs w:val="22"/>
          <w:lang w:val="en-GB"/>
        </w:rPr>
        <w:t>;</w:t>
      </w:r>
    </w:p>
    <w:p w14:paraId="57E7D829" w14:textId="71BF48CC" w:rsidR="0068565B" w:rsidRPr="006B2078" w:rsidRDefault="0068565B">
      <w:pPr>
        <w:pStyle w:val="ListParagraph"/>
        <w:numPr>
          <w:ilvl w:val="0"/>
          <w:numId w:val="14"/>
        </w:numPr>
        <w:jc w:val="both"/>
        <w:rPr>
          <w:rFonts w:ascii="Arial" w:hAnsi="Arial" w:cs="Arial"/>
          <w:color w:val="808080" w:themeColor="background1" w:themeShade="80"/>
          <w:sz w:val="22"/>
          <w:szCs w:val="22"/>
          <w:lang w:val="en-GB"/>
        </w:rPr>
      </w:pPr>
      <w:r w:rsidRPr="006B2078">
        <w:rPr>
          <w:rFonts w:ascii="Arial" w:hAnsi="Arial" w:cs="Arial"/>
          <w:color w:val="808080" w:themeColor="background1" w:themeShade="80"/>
          <w:sz w:val="22"/>
          <w:szCs w:val="22"/>
          <w:lang w:val="en-GB"/>
        </w:rPr>
        <w:t>a money judgment</w:t>
      </w:r>
      <w:r w:rsidR="006B2078">
        <w:rPr>
          <w:rStyle w:val="FootnoteReference"/>
          <w:rFonts w:ascii="Arial" w:hAnsi="Arial" w:cs="Arial"/>
          <w:color w:val="808080" w:themeColor="background1" w:themeShade="80"/>
          <w:sz w:val="22"/>
          <w:szCs w:val="22"/>
          <w:lang w:val="en-GB"/>
        </w:rPr>
        <w:footnoteReference w:id="29"/>
      </w:r>
      <w:r w:rsidRPr="006B2078">
        <w:rPr>
          <w:rFonts w:ascii="Arial" w:hAnsi="Arial" w:cs="Arial"/>
          <w:color w:val="808080" w:themeColor="background1" w:themeShade="80"/>
          <w:sz w:val="22"/>
          <w:szCs w:val="22"/>
          <w:lang w:val="en-GB"/>
        </w:rPr>
        <w:t>; and</w:t>
      </w:r>
    </w:p>
    <w:p w14:paraId="6A72E263" w14:textId="7CAA159F" w:rsidR="00290074" w:rsidRPr="006B2078" w:rsidRDefault="0068565B">
      <w:pPr>
        <w:pStyle w:val="ListParagraph"/>
        <w:numPr>
          <w:ilvl w:val="0"/>
          <w:numId w:val="14"/>
        </w:numPr>
        <w:jc w:val="both"/>
        <w:rPr>
          <w:rFonts w:ascii="Arial" w:hAnsi="Arial" w:cs="Arial"/>
          <w:color w:val="808080" w:themeColor="background1" w:themeShade="80"/>
          <w:sz w:val="22"/>
          <w:szCs w:val="22"/>
          <w:lang w:val="en-GB"/>
        </w:rPr>
      </w:pPr>
      <w:r w:rsidRPr="006B2078">
        <w:rPr>
          <w:rFonts w:ascii="Arial" w:hAnsi="Arial" w:cs="Arial"/>
          <w:color w:val="808080" w:themeColor="background1" w:themeShade="80"/>
          <w:sz w:val="22"/>
          <w:szCs w:val="22"/>
          <w:lang w:val="en-GB"/>
        </w:rPr>
        <w:t>made after the Enforcement Law was extended to that foreign country</w:t>
      </w:r>
      <w:r w:rsidRPr="006B2078">
        <w:rPr>
          <w:rStyle w:val="FootnoteReference"/>
          <w:rFonts w:ascii="Arial" w:hAnsi="Arial" w:cs="Arial"/>
          <w:color w:val="808080" w:themeColor="background1" w:themeShade="80"/>
          <w:sz w:val="22"/>
          <w:szCs w:val="22"/>
          <w:lang w:val="en-GB"/>
        </w:rPr>
        <w:footnoteReference w:id="30"/>
      </w:r>
      <w:r w:rsidRPr="006B2078">
        <w:rPr>
          <w:rFonts w:ascii="Arial" w:hAnsi="Arial" w:cs="Arial"/>
          <w:color w:val="808080" w:themeColor="background1" w:themeShade="80"/>
          <w:sz w:val="22"/>
          <w:szCs w:val="22"/>
          <w:lang w:val="en-GB"/>
        </w:rPr>
        <w:t>.</w:t>
      </w:r>
    </w:p>
    <w:p w14:paraId="0CA81CCA" w14:textId="77777777" w:rsidR="004811F0" w:rsidRDefault="004811F0" w:rsidP="00D27CBC">
      <w:pPr>
        <w:jc w:val="both"/>
        <w:rPr>
          <w:rFonts w:ascii="Arial" w:hAnsi="Arial" w:cs="Arial"/>
          <w:color w:val="808080" w:themeColor="background1" w:themeShade="80"/>
          <w:sz w:val="22"/>
          <w:szCs w:val="22"/>
          <w:lang w:val="en-GB"/>
        </w:rPr>
      </w:pPr>
    </w:p>
    <w:p w14:paraId="4356D234" w14:textId="188B173B" w:rsidR="00A45A99" w:rsidRPr="006B2078" w:rsidRDefault="00A45A99" w:rsidP="00D27CBC">
      <w:pPr>
        <w:jc w:val="both"/>
        <w:rPr>
          <w:rFonts w:ascii="Arial" w:hAnsi="Arial" w:cs="Arial"/>
          <w:color w:val="808080" w:themeColor="background1" w:themeShade="80"/>
          <w:sz w:val="22"/>
          <w:szCs w:val="22"/>
          <w:u w:val="single"/>
          <w:lang w:val="en-GB"/>
        </w:rPr>
      </w:pPr>
      <w:r w:rsidRPr="006B2078">
        <w:rPr>
          <w:rFonts w:ascii="Arial" w:hAnsi="Arial" w:cs="Arial"/>
          <w:color w:val="808080" w:themeColor="background1" w:themeShade="80"/>
          <w:sz w:val="22"/>
          <w:szCs w:val="22"/>
          <w:u w:val="single"/>
          <w:lang w:val="en-GB"/>
        </w:rPr>
        <w:lastRenderedPageBreak/>
        <w:t>Common law</w:t>
      </w:r>
    </w:p>
    <w:p w14:paraId="1215E7AD" w14:textId="60C65D69" w:rsidR="00A45A99" w:rsidRPr="006A555D" w:rsidRDefault="0068565B" w:rsidP="00D27CBC">
      <w:pPr>
        <w:jc w:val="both"/>
        <w:rPr>
          <w:rFonts w:ascii="Arial" w:hAnsi="Arial" w:cs="Arial"/>
          <w:color w:val="808080" w:themeColor="background1" w:themeShade="80"/>
          <w:sz w:val="22"/>
          <w:szCs w:val="22"/>
          <w:lang w:val="en-GB"/>
        </w:rPr>
      </w:pPr>
      <w:r w:rsidRPr="006B2078">
        <w:rPr>
          <w:rFonts w:ascii="Arial" w:hAnsi="Arial" w:cs="Arial"/>
          <w:color w:val="808080" w:themeColor="background1" w:themeShade="80"/>
          <w:sz w:val="22"/>
          <w:szCs w:val="22"/>
          <w:lang w:val="en-GB"/>
        </w:rPr>
        <w:t xml:space="preserve">As can be seen from above, the Enforcement Law is limited at present given that it only applies to </w:t>
      </w:r>
      <w:r w:rsidR="00412F04" w:rsidRPr="006B2078">
        <w:rPr>
          <w:rFonts w:ascii="Arial" w:hAnsi="Arial" w:cs="Arial"/>
          <w:color w:val="808080" w:themeColor="background1" w:themeShade="80"/>
          <w:sz w:val="22"/>
          <w:szCs w:val="22"/>
          <w:lang w:val="en-GB"/>
        </w:rPr>
        <w:t xml:space="preserve">judgments from the Superior Courts of Australia and its External Territories. </w:t>
      </w:r>
      <w:proofErr w:type="gramStart"/>
      <w:r w:rsidR="00412F04" w:rsidRPr="006B2078">
        <w:rPr>
          <w:rFonts w:ascii="Arial" w:hAnsi="Arial" w:cs="Arial"/>
          <w:color w:val="808080" w:themeColor="background1" w:themeShade="80"/>
          <w:sz w:val="22"/>
          <w:szCs w:val="22"/>
          <w:lang w:val="en-GB"/>
        </w:rPr>
        <w:t>In light of</w:t>
      </w:r>
      <w:proofErr w:type="gramEnd"/>
      <w:r w:rsidR="00412F04" w:rsidRPr="006B2078">
        <w:rPr>
          <w:rFonts w:ascii="Arial" w:hAnsi="Arial" w:cs="Arial"/>
          <w:color w:val="808080" w:themeColor="background1" w:themeShade="80"/>
          <w:sz w:val="22"/>
          <w:szCs w:val="22"/>
          <w:lang w:val="en-GB"/>
        </w:rPr>
        <w:t xml:space="preserve"> this,</w:t>
      </w:r>
      <w:r w:rsidR="00290074" w:rsidRPr="006B2078">
        <w:rPr>
          <w:rFonts w:ascii="Arial" w:hAnsi="Arial" w:cs="Arial"/>
          <w:color w:val="808080" w:themeColor="background1" w:themeShade="80"/>
          <w:sz w:val="22"/>
          <w:szCs w:val="22"/>
          <w:lang w:val="en-GB"/>
        </w:rPr>
        <w:t xml:space="preserve"> enforcing foreign judgments </w:t>
      </w:r>
      <w:r w:rsidR="006B2078" w:rsidRPr="006B2078">
        <w:rPr>
          <w:rFonts w:ascii="Arial" w:hAnsi="Arial" w:cs="Arial"/>
          <w:color w:val="808080" w:themeColor="background1" w:themeShade="80"/>
          <w:sz w:val="22"/>
          <w:szCs w:val="22"/>
          <w:lang w:val="en-GB"/>
        </w:rPr>
        <w:t xml:space="preserve">in the Cayman Islands </w:t>
      </w:r>
      <w:r w:rsidR="00290074" w:rsidRPr="006B2078">
        <w:rPr>
          <w:rFonts w:ascii="Arial" w:hAnsi="Arial" w:cs="Arial"/>
          <w:color w:val="808080" w:themeColor="background1" w:themeShade="80"/>
          <w:sz w:val="22"/>
          <w:szCs w:val="22"/>
          <w:lang w:val="en-GB"/>
        </w:rPr>
        <w:t>is usually by way of</w:t>
      </w:r>
      <w:r w:rsidR="00412F04" w:rsidRPr="006B2078">
        <w:rPr>
          <w:rFonts w:ascii="Arial" w:hAnsi="Arial" w:cs="Arial"/>
          <w:color w:val="808080" w:themeColor="background1" w:themeShade="80"/>
          <w:sz w:val="22"/>
          <w:szCs w:val="22"/>
          <w:lang w:val="en-GB"/>
        </w:rPr>
        <w:t xml:space="preserve"> </w:t>
      </w:r>
      <w:r w:rsidR="00B36219" w:rsidRPr="006B2078">
        <w:rPr>
          <w:rFonts w:ascii="Arial" w:hAnsi="Arial" w:cs="Arial"/>
          <w:color w:val="808080" w:themeColor="background1" w:themeShade="80"/>
          <w:sz w:val="22"/>
          <w:szCs w:val="22"/>
          <w:lang w:val="en-GB"/>
        </w:rPr>
        <w:t>commencing a new action</w:t>
      </w:r>
      <w:r w:rsidR="00290074" w:rsidRPr="006B2078">
        <w:rPr>
          <w:rFonts w:ascii="Arial" w:hAnsi="Arial" w:cs="Arial"/>
          <w:color w:val="808080" w:themeColor="background1" w:themeShade="80"/>
          <w:sz w:val="22"/>
          <w:szCs w:val="22"/>
          <w:lang w:val="en-GB"/>
        </w:rPr>
        <w:t>. This new action is</w:t>
      </w:r>
      <w:r w:rsidR="00B36219" w:rsidRPr="006B2078">
        <w:rPr>
          <w:rFonts w:ascii="Arial" w:hAnsi="Arial" w:cs="Arial"/>
          <w:color w:val="808080" w:themeColor="background1" w:themeShade="80"/>
          <w:sz w:val="22"/>
          <w:szCs w:val="22"/>
          <w:lang w:val="en-GB"/>
        </w:rPr>
        <w:t xml:space="preserve"> based </w:t>
      </w:r>
      <w:r w:rsidR="00290074" w:rsidRPr="006B2078">
        <w:rPr>
          <w:rFonts w:ascii="Arial" w:hAnsi="Arial" w:cs="Arial"/>
          <w:color w:val="808080" w:themeColor="background1" w:themeShade="80"/>
          <w:sz w:val="22"/>
          <w:szCs w:val="22"/>
          <w:lang w:val="en-GB"/>
        </w:rPr>
        <w:t>up</w:t>
      </w:r>
      <w:r w:rsidR="00B36219" w:rsidRPr="006B2078">
        <w:rPr>
          <w:rFonts w:ascii="Arial" w:hAnsi="Arial" w:cs="Arial"/>
          <w:color w:val="808080" w:themeColor="background1" w:themeShade="80"/>
          <w:sz w:val="22"/>
          <w:szCs w:val="22"/>
          <w:lang w:val="en-GB"/>
        </w:rPr>
        <w:t>on the foreign judgment</w:t>
      </w:r>
      <w:r w:rsidR="00290074" w:rsidRPr="006B2078">
        <w:rPr>
          <w:rFonts w:ascii="Arial" w:hAnsi="Arial" w:cs="Arial"/>
          <w:color w:val="808080" w:themeColor="background1" w:themeShade="80"/>
          <w:sz w:val="22"/>
          <w:szCs w:val="22"/>
          <w:lang w:val="en-GB"/>
        </w:rPr>
        <w:t xml:space="preserve"> being</w:t>
      </w:r>
      <w:r w:rsidR="00B36219" w:rsidRPr="006B2078">
        <w:rPr>
          <w:rFonts w:ascii="Arial" w:hAnsi="Arial" w:cs="Arial"/>
          <w:color w:val="808080" w:themeColor="background1" w:themeShade="80"/>
          <w:sz w:val="22"/>
          <w:szCs w:val="22"/>
          <w:lang w:val="en-GB"/>
        </w:rPr>
        <w:t xml:space="preserve"> an </w:t>
      </w:r>
      <w:r w:rsidR="00B36219" w:rsidRPr="006A555D">
        <w:rPr>
          <w:rFonts w:ascii="Arial" w:hAnsi="Arial" w:cs="Arial"/>
          <w:color w:val="808080" w:themeColor="background1" w:themeShade="80"/>
          <w:sz w:val="22"/>
          <w:szCs w:val="22"/>
          <w:lang w:val="en-GB"/>
        </w:rPr>
        <w:t>unsatisfied debt or other obligation</w:t>
      </w:r>
      <w:r w:rsidR="00290074" w:rsidRPr="006A555D">
        <w:rPr>
          <w:rStyle w:val="FootnoteReference"/>
          <w:rFonts w:ascii="Arial" w:hAnsi="Arial" w:cs="Arial"/>
          <w:color w:val="808080" w:themeColor="background1" w:themeShade="80"/>
          <w:sz w:val="22"/>
          <w:szCs w:val="22"/>
          <w:lang w:val="en-GB"/>
        </w:rPr>
        <w:footnoteReference w:id="31"/>
      </w:r>
      <w:r w:rsidR="00290074" w:rsidRPr="006A555D">
        <w:rPr>
          <w:rFonts w:ascii="Arial" w:hAnsi="Arial" w:cs="Arial"/>
          <w:color w:val="808080" w:themeColor="background1" w:themeShade="80"/>
          <w:sz w:val="22"/>
          <w:szCs w:val="22"/>
          <w:lang w:val="en-GB"/>
        </w:rPr>
        <w:t>.</w:t>
      </w:r>
      <w:r w:rsidR="00A45A99" w:rsidRPr="006A555D">
        <w:rPr>
          <w:rFonts w:ascii="Arial" w:hAnsi="Arial" w:cs="Arial"/>
          <w:color w:val="808080" w:themeColor="background1" w:themeShade="80"/>
          <w:sz w:val="22"/>
          <w:szCs w:val="22"/>
          <w:lang w:val="en-GB"/>
        </w:rPr>
        <w:t xml:space="preserve"> Such litigation will be governed by the Grand Court Rules. Unlike the Enforcement Law, the common law can enforce </w:t>
      </w:r>
      <w:r w:rsidR="006A555D" w:rsidRPr="006A555D">
        <w:rPr>
          <w:rFonts w:ascii="Arial" w:hAnsi="Arial" w:cs="Arial"/>
          <w:color w:val="808080" w:themeColor="background1" w:themeShade="80"/>
          <w:sz w:val="22"/>
          <w:szCs w:val="22"/>
          <w:lang w:val="en-GB"/>
        </w:rPr>
        <w:t xml:space="preserve">both </w:t>
      </w:r>
      <w:r w:rsidR="00A45A99" w:rsidRPr="006A555D">
        <w:rPr>
          <w:rFonts w:ascii="Arial" w:hAnsi="Arial" w:cs="Arial"/>
          <w:color w:val="808080" w:themeColor="background1" w:themeShade="80"/>
          <w:sz w:val="22"/>
          <w:szCs w:val="22"/>
          <w:lang w:val="en-GB"/>
        </w:rPr>
        <w:t xml:space="preserve">money and non-money judgments. </w:t>
      </w:r>
      <w:proofErr w:type="spellStart"/>
      <w:r w:rsidR="00A45A99" w:rsidRPr="006A555D">
        <w:rPr>
          <w:rFonts w:ascii="Arial" w:hAnsi="Arial" w:cs="Arial"/>
          <w:i/>
          <w:iCs/>
          <w:color w:val="808080" w:themeColor="background1" w:themeShade="80"/>
          <w:sz w:val="22"/>
          <w:szCs w:val="22"/>
          <w:lang w:val="en-GB"/>
        </w:rPr>
        <w:t>Bandone</w:t>
      </w:r>
      <w:proofErr w:type="spellEnd"/>
      <w:r w:rsidR="00A45A99" w:rsidRPr="006A555D">
        <w:rPr>
          <w:rFonts w:ascii="Arial" w:hAnsi="Arial" w:cs="Arial"/>
          <w:i/>
          <w:iCs/>
          <w:color w:val="808080" w:themeColor="background1" w:themeShade="80"/>
          <w:sz w:val="22"/>
          <w:szCs w:val="22"/>
          <w:lang w:val="en-GB"/>
        </w:rPr>
        <w:t xml:space="preserve"> v Sol Properties</w:t>
      </w:r>
      <w:r w:rsidR="00A45A99" w:rsidRPr="006A555D">
        <w:rPr>
          <w:rStyle w:val="FootnoteReference"/>
          <w:rFonts w:ascii="Arial" w:hAnsi="Arial" w:cs="Arial"/>
          <w:i/>
          <w:iCs/>
          <w:color w:val="808080" w:themeColor="background1" w:themeShade="80"/>
          <w:sz w:val="22"/>
          <w:szCs w:val="22"/>
          <w:lang w:val="en-GB"/>
        </w:rPr>
        <w:footnoteReference w:id="32"/>
      </w:r>
      <w:r w:rsidR="00A45A99" w:rsidRPr="006A555D">
        <w:rPr>
          <w:rFonts w:ascii="Arial" w:hAnsi="Arial" w:cs="Arial"/>
          <w:color w:val="808080" w:themeColor="background1" w:themeShade="80"/>
          <w:sz w:val="22"/>
          <w:szCs w:val="22"/>
          <w:lang w:val="en-GB"/>
        </w:rPr>
        <w:t xml:space="preserve"> confirmed that </w:t>
      </w:r>
      <w:r w:rsidR="00A45A99" w:rsidRPr="006A555D">
        <w:rPr>
          <w:rFonts w:ascii="Arial" w:hAnsi="Arial" w:cs="Arial"/>
          <w:i/>
          <w:iCs/>
          <w:color w:val="808080" w:themeColor="background1" w:themeShade="80"/>
          <w:sz w:val="22"/>
          <w:szCs w:val="22"/>
          <w:lang w:val="en-GB"/>
        </w:rPr>
        <w:t xml:space="preserve">in </w:t>
      </w:r>
      <w:proofErr w:type="spellStart"/>
      <w:r w:rsidR="00A45A99" w:rsidRPr="006A555D">
        <w:rPr>
          <w:rFonts w:ascii="Arial" w:hAnsi="Arial" w:cs="Arial"/>
          <w:i/>
          <w:iCs/>
          <w:color w:val="808080" w:themeColor="background1" w:themeShade="80"/>
          <w:sz w:val="22"/>
          <w:szCs w:val="22"/>
          <w:lang w:val="en-GB"/>
        </w:rPr>
        <w:t>personam</w:t>
      </w:r>
      <w:proofErr w:type="spellEnd"/>
      <w:r w:rsidR="00A45A99" w:rsidRPr="006A555D">
        <w:rPr>
          <w:rFonts w:ascii="Arial" w:hAnsi="Arial" w:cs="Arial"/>
          <w:color w:val="808080" w:themeColor="background1" w:themeShade="80"/>
          <w:sz w:val="22"/>
          <w:szCs w:val="22"/>
          <w:lang w:val="en-GB"/>
        </w:rPr>
        <w:t xml:space="preserve"> judgments may be recognised and enforced.</w:t>
      </w:r>
    </w:p>
    <w:p w14:paraId="4A7BE808" w14:textId="77777777" w:rsidR="00CF200B" w:rsidRPr="00D84F44" w:rsidRDefault="00CF200B" w:rsidP="00D27CBC">
      <w:pPr>
        <w:jc w:val="both"/>
        <w:rPr>
          <w:rFonts w:ascii="Arial" w:hAnsi="Arial" w:cs="Arial"/>
          <w:color w:val="808080" w:themeColor="background1" w:themeShade="80"/>
          <w:sz w:val="22"/>
          <w:szCs w:val="22"/>
          <w:highlight w:val="yellow"/>
          <w:lang w:val="en-GB"/>
        </w:rPr>
      </w:pPr>
    </w:p>
    <w:p w14:paraId="730B58A9" w14:textId="2D5777B5" w:rsidR="00A45A99" w:rsidRPr="0028728F" w:rsidRDefault="000E7448" w:rsidP="00D27CBC">
      <w:pPr>
        <w:jc w:val="both"/>
        <w:rPr>
          <w:rFonts w:ascii="Arial" w:hAnsi="Arial" w:cs="Arial"/>
          <w:color w:val="808080" w:themeColor="background1" w:themeShade="80"/>
          <w:sz w:val="22"/>
          <w:szCs w:val="22"/>
          <w:lang w:val="en-GB"/>
        </w:rPr>
      </w:pPr>
      <w:r w:rsidRPr="0028728F">
        <w:rPr>
          <w:rFonts w:ascii="Arial" w:hAnsi="Arial" w:cs="Arial"/>
          <w:color w:val="808080" w:themeColor="background1" w:themeShade="80"/>
          <w:sz w:val="22"/>
          <w:szCs w:val="22"/>
          <w:lang w:val="en-GB"/>
        </w:rPr>
        <w:t xml:space="preserve">To enforce a foreign judgment at common law, </w:t>
      </w:r>
      <w:r w:rsidR="00CF200B" w:rsidRPr="0028728F">
        <w:rPr>
          <w:rFonts w:ascii="Arial" w:hAnsi="Arial" w:cs="Arial"/>
          <w:color w:val="808080" w:themeColor="background1" w:themeShade="80"/>
          <w:sz w:val="22"/>
          <w:szCs w:val="22"/>
          <w:lang w:val="en-GB"/>
        </w:rPr>
        <w:t>it is mandatory</w:t>
      </w:r>
      <w:r w:rsidRPr="0028728F">
        <w:rPr>
          <w:rFonts w:ascii="Arial" w:hAnsi="Arial" w:cs="Arial"/>
          <w:color w:val="808080" w:themeColor="background1" w:themeShade="80"/>
          <w:sz w:val="22"/>
          <w:szCs w:val="22"/>
          <w:lang w:val="en-GB"/>
        </w:rPr>
        <w:t xml:space="preserve"> the </w:t>
      </w:r>
      <w:r w:rsidR="00CF200B" w:rsidRPr="0028728F">
        <w:rPr>
          <w:rFonts w:ascii="Arial" w:hAnsi="Arial" w:cs="Arial"/>
          <w:color w:val="808080" w:themeColor="background1" w:themeShade="80"/>
          <w:sz w:val="22"/>
          <w:szCs w:val="22"/>
          <w:lang w:val="en-GB"/>
        </w:rPr>
        <w:t>foreign judgment is final, the foreign court had jurisdiction over the defendant, and the foreign judgment was not obtained by fraud or by methods contrary to natural justice and is not contrary to public policy in the Cayman Islands.</w:t>
      </w:r>
      <w:r w:rsidR="00701643" w:rsidRPr="0028728F">
        <w:rPr>
          <w:rStyle w:val="FootnoteReference"/>
          <w:rFonts w:ascii="Arial" w:hAnsi="Arial" w:cs="Arial"/>
          <w:color w:val="808080" w:themeColor="background1" w:themeShade="80"/>
          <w:sz w:val="22"/>
          <w:szCs w:val="22"/>
          <w:lang w:val="en-GB"/>
        </w:rPr>
        <w:footnoteReference w:id="33"/>
      </w:r>
    </w:p>
    <w:p w14:paraId="0267B3BF" w14:textId="77777777" w:rsidR="00A45A99" w:rsidRPr="00D84F44" w:rsidRDefault="00A45A99" w:rsidP="00D27CBC">
      <w:pPr>
        <w:jc w:val="both"/>
        <w:rPr>
          <w:rFonts w:ascii="Arial" w:hAnsi="Arial" w:cs="Arial"/>
          <w:color w:val="808080" w:themeColor="background1" w:themeShade="80"/>
          <w:sz w:val="22"/>
          <w:szCs w:val="22"/>
          <w:highlight w:val="yellow"/>
          <w:lang w:val="en-GB"/>
        </w:rPr>
      </w:pPr>
    </w:p>
    <w:p w14:paraId="50BABBE6" w14:textId="73E6EE31" w:rsidR="00701643" w:rsidRPr="0028728F" w:rsidRDefault="00701643" w:rsidP="00D27CBC">
      <w:pPr>
        <w:jc w:val="both"/>
        <w:rPr>
          <w:rFonts w:ascii="Arial" w:hAnsi="Arial" w:cs="Arial"/>
          <w:color w:val="808080" w:themeColor="background1" w:themeShade="80"/>
          <w:sz w:val="22"/>
          <w:szCs w:val="22"/>
          <w:lang w:val="en-GB"/>
        </w:rPr>
      </w:pPr>
      <w:r w:rsidRPr="0028728F">
        <w:rPr>
          <w:rFonts w:ascii="Arial" w:hAnsi="Arial" w:cs="Arial"/>
          <w:color w:val="808080" w:themeColor="background1" w:themeShade="80"/>
          <w:sz w:val="22"/>
          <w:szCs w:val="22"/>
          <w:lang w:val="en-GB"/>
        </w:rPr>
        <w:t>Once judgment has been obtained in the Cayman Islands, the domestic enforcement remedies as set out in Order 45 of the Grand Court Rules will be available, including appointing a receiver</w:t>
      </w:r>
      <w:r w:rsidRPr="0028728F">
        <w:rPr>
          <w:rStyle w:val="FootnoteReference"/>
          <w:rFonts w:ascii="Arial" w:hAnsi="Arial" w:cs="Arial"/>
          <w:color w:val="808080" w:themeColor="background1" w:themeShade="80"/>
          <w:sz w:val="22"/>
          <w:szCs w:val="22"/>
          <w:lang w:val="en-GB"/>
        </w:rPr>
        <w:footnoteReference w:id="34"/>
      </w:r>
      <w:r w:rsidRPr="0028728F">
        <w:rPr>
          <w:rFonts w:ascii="Arial" w:hAnsi="Arial" w:cs="Arial"/>
          <w:color w:val="808080" w:themeColor="background1" w:themeShade="80"/>
          <w:sz w:val="22"/>
          <w:szCs w:val="22"/>
          <w:lang w:val="en-GB"/>
        </w:rPr>
        <w:t>.</w:t>
      </w:r>
    </w:p>
    <w:p w14:paraId="7F8087E2" w14:textId="77777777" w:rsidR="00282E96" w:rsidRDefault="00282E96" w:rsidP="00D27CBC">
      <w:pPr>
        <w:jc w:val="both"/>
        <w:rPr>
          <w:rFonts w:ascii="Avenir Next" w:hAnsi="Avenir Next" w:cs="Arial"/>
          <w:b/>
          <w:bCs/>
          <w:sz w:val="22"/>
          <w:szCs w:val="22"/>
          <w:lang w:val="en-GB"/>
        </w:rPr>
      </w:pPr>
    </w:p>
    <w:p w14:paraId="28352C42" w14:textId="77777777" w:rsidR="00282E96" w:rsidRDefault="00282E96"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55AEA657" w14:textId="77777777" w:rsidR="00472DD9" w:rsidRPr="00310533" w:rsidRDefault="00472DD9" w:rsidP="00472DD9">
      <w:pPr>
        <w:jc w:val="both"/>
        <w:rPr>
          <w:rFonts w:ascii="Avenir Next" w:hAnsi="Avenir Next" w:cs="Arial"/>
          <w:sz w:val="22"/>
          <w:szCs w:val="22"/>
          <w:lang w:val="en-GB"/>
        </w:rPr>
      </w:pPr>
      <w:r w:rsidRPr="00310533">
        <w:rPr>
          <w:rFonts w:ascii="Avenir Next" w:hAnsi="Avenir Next" w:cs="Arial"/>
          <w:sz w:val="22"/>
          <w:szCs w:val="22"/>
          <w:lang w:val="en-GB"/>
        </w:rPr>
        <w:t>Is it possible for a creditor to register its security over an asset in the Cayman Islands? If so, how, and what is the effect of it doing so, if any?</w:t>
      </w:r>
    </w:p>
    <w:p w14:paraId="12026761" w14:textId="3226429E" w:rsidR="00895389" w:rsidRPr="00310533" w:rsidRDefault="00895389" w:rsidP="00D27CBC">
      <w:pPr>
        <w:jc w:val="both"/>
        <w:rPr>
          <w:rFonts w:ascii="Avenir Next" w:hAnsi="Avenir Next" w:cs="Arial"/>
          <w:b/>
          <w:bCs/>
          <w:sz w:val="22"/>
          <w:szCs w:val="22"/>
          <w:lang w:val="en-GB"/>
        </w:rPr>
      </w:pPr>
    </w:p>
    <w:p w14:paraId="64F61A81" w14:textId="77777777" w:rsidR="00112B4B" w:rsidRPr="00D15D62" w:rsidRDefault="00895389" w:rsidP="00D15D62">
      <w:p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A</w:t>
      </w:r>
      <w:r w:rsidR="00D0502A" w:rsidRPr="00D15D62">
        <w:rPr>
          <w:rFonts w:ascii="Arial" w:hAnsi="Arial" w:cs="Arial"/>
          <w:color w:val="808080" w:themeColor="background1" w:themeShade="80"/>
          <w:sz w:val="22"/>
          <w:szCs w:val="22"/>
          <w:lang w:val="en-GB"/>
        </w:rPr>
        <w:t xml:space="preserve"> creditor can take security over </w:t>
      </w:r>
      <w:r w:rsidR="008F6D79" w:rsidRPr="00D15D62">
        <w:rPr>
          <w:rFonts w:ascii="Arial" w:hAnsi="Arial" w:cs="Arial"/>
          <w:color w:val="808080" w:themeColor="background1" w:themeShade="80"/>
          <w:sz w:val="22"/>
          <w:szCs w:val="22"/>
          <w:lang w:val="en-GB"/>
        </w:rPr>
        <w:t xml:space="preserve">an </w:t>
      </w:r>
      <w:r w:rsidR="00D0502A" w:rsidRPr="00D15D62">
        <w:rPr>
          <w:rFonts w:ascii="Arial" w:hAnsi="Arial" w:cs="Arial"/>
          <w:color w:val="808080" w:themeColor="background1" w:themeShade="80"/>
          <w:sz w:val="22"/>
          <w:szCs w:val="22"/>
          <w:lang w:val="en-GB"/>
        </w:rPr>
        <w:t xml:space="preserve">asset in the Cayman Islands. </w:t>
      </w:r>
      <w:r w:rsidRPr="00D15D62">
        <w:rPr>
          <w:rFonts w:ascii="Arial" w:hAnsi="Arial" w:cs="Arial"/>
          <w:color w:val="808080" w:themeColor="background1" w:themeShade="80"/>
          <w:sz w:val="22"/>
          <w:szCs w:val="22"/>
          <w:lang w:val="en-GB"/>
        </w:rPr>
        <w:t xml:space="preserve">This can be in the form of, for example, a mortgage, charge, lien or pledge. </w:t>
      </w:r>
      <w:r w:rsidR="00D0502A" w:rsidRPr="00D15D62">
        <w:rPr>
          <w:rFonts w:ascii="Arial" w:hAnsi="Arial" w:cs="Arial"/>
          <w:color w:val="808080" w:themeColor="background1" w:themeShade="80"/>
          <w:sz w:val="22"/>
          <w:szCs w:val="22"/>
          <w:lang w:val="en-GB"/>
        </w:rPr>
        <w:t xml:space="preserve">It is prudent for a creditor to ensure that the company which grants it security follows the appropriate formalities, including, for example, a directors’ resolution approving the security being granted (subject to any </w:t>
      </w:r>
      <w:r w:rsidR="008F6D79" w:rsidRPr="00D15D62">
        <w:rPr>
          <w:rFonts w:ascii="Arial" w:hAnsi="Arial" w:cs="Arial"/>
          <w:color w:val="808080" w:themeColor="background1" w:themeShade="80"/>
          <w:sz w:val="22"/>
          <w:szCs w:val="22"/>
          <w:lang w:val="en-GB"/>
        </w:rPr>
        <w:t xml:space="preserve">of </w:t>
      </w:r>
      <w:r w:rsidR="00D0502A" w:rsidRPr="00D15D62">
        <w:rPr>
          <w:rFonts w:ascii="Arial" w:hAnsi="Arial" w:cs="Arial"/>
          <w:color w:val="808080" w:themeColor="background1" w:themeShade="80"/>
          <w:sz w:val="22"/>
          <w:szCs w:val="22"/>
          <w:lang w:val="en-GB"/>
        </w:rPr>
        <w:t>the company’s articles)</w:t>
      </w:r>
      <w:r w:rsidR="00D0502A" w:rsidRPr="00D15D62">
        <w:rPr>
          <w:rStyle w:val="FootnoteReference"/>
          <w:rFonts w:ascii="Arial" w:hAnsi="Arial" w:cs="Arial"/>
          <w:color w:val="808080" w:themeColor="background1" w:themeShade="80"/>
          <w:sz w:val="22"/>
          <w:szCs w:val="22"/>
          <w:lang w:val="en-GB"/>
        </w:rPr>
        <w:footnoteReference w:id="35"/>
      </w:r>
      <w:r w:rsidR="00D0502A" w:rsidRPr="00D15D62">
        <w:rPr>
          <w:rFonts w:ascii="Arial" w:hAnsi="Arial" w:cs="Arial"/>
          <w:color w:val="808080" w:themeColor="background1" w:themeShade="80"/>
          <w:sz w:val="22"/>
          <w:szCs w:val="22"/>
          <w:lang w:val="en-GB"/>
        </w:rPr>
        <w:t>.</w:t>
      </w:r>
    </w:p>
    <w:p w14:paraId="1B0FF46F" w14:textId="77777777" w:rsidR="00112B4B" w:rsidRPr="00D15D62" w:rsidRDefault="00112B4B" w:rsidP="00D15D62">
      <w:pPr>
        <w:jc w:val="both"/>
        <w:rPr>
          <w:rFonts w:ascii="Arial" w:hAnsi="Arial" w:cs="Arial"/>
          <w:color w:val="808080" w:themeColor="background1" w:themeShade="80"/>
          <w:sz w:val="22"/>
          <w:szCs w:val="22"/>
          <w:lang w:val="en-GB"/>
        </w:rPr>
      </w:pPr>
    </w:p>
    <w:p w14:paraId="02852407" w14:textId="5063ADD0" w:rsidR="00895389" w:rsidRPr="00D15D62" w:rsidRDefault="008F6D79" w:rsidP="00D15D62">
      <w:p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It is possible for a creditor to register its security over an asset in the Cayman Islands.</w:t>
      </w:r>
    </w:p>
    <w:p w14:paraId="3A5EB8D6" w14:textId="77777777" w:rsidR="0072558E" w:rsidRPr="00D15D62" w:rsidRDefault="0072558E" w:rsidP="00D15D62">
      <w:pPr>
        <w:jc w:val="both"/>
        <w:rPr>
          <w:rFonts w:ascii="Arial" w:hAnsi="Arial" w:cs="Arial"/>
          <w:color w:val="808080" w:themeColor="background1" w:themeShade="80"/>
          <w:sz w:val="22"/>
          <w:szCs w:val="22"/>
          <w:lang w:val="en-GB"/>
        </w:rPr>
      </w:pPr>
    </w:p>
    <w:p w14:paraId="2E7EC8F5" w14:textId="7D1FF460" w:rsidR="0072558E" w:rsidRPr="00D15D62" w:rsidRDefault="0072558E" w:rsidP="00D15D62">
      <w:pPr>
        <w:jc w:val="both"/>
        <w:rPr>
          <w:rFonts w:ascii="Arial" w:hAnsi="Arial" w:cs="Arial"/>
          <w:color w:val="808080" w:themeColor="background1" w:themeShade="80"/>
          <w:sz w:val="22"/>
          <w:szCs w:val="22"/>
          <w:u w:val="single"/>
          <w:lang w:val="en-GB"/>
        </w:rPr>
      </w:pPr>
      <w:r w:rsidRPr="00D15D62">
        <w:rPr>
          <w:rFonts w:ascii="Arial" w:hAnsi="Arial" w:cs="Arial"/>
          <w:color w:val="808080" w:themeColor="background1" w:themeShade="80"/>
          <w:sz w:val="22"/>
          <w:szCs w:val="22"/>
          <w:u w:val="single"/>
          <w:lang w:val="en-GB"/>
        </w:rPr>
        <w:t>Land, ships, aircraft, motor vehicles and intellectual property</w:t>
      </w:r>
    </w:p>
    <w:p w14:paraId="2C8D86F8" w14:textId="0FB7A9FD" w:rsidR="000E5D3B" w:rsidRPr="00D15D62" w:rsidRDefault="000E5D3B" w:rsidP="00D15D62">
      <w:p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In the Cayman Islands, there are ownership registers</w:t>
      </w:r>
      <w:r w:rsidR="00FC7E95" w:rsidRPr="00D15D62">
        <w:rPr>
          <w:rFonts w:ascii="Arial" w:hAnsi="Arial" w:cs="Arial"/>
          <w:color w:val="808080" w:themeColor="background1" w:themeShade="80"/>
          <w:sz w:val="22"/>
          <w:szCs w:val="22"/>
          <w:lang w:val="en-GB"/>
        </w:rPr>
        <w:t xml:space="preserve"> which are centrally maintained</w:t>
      </w:r>
      <w:r w:rsidRPr="00D15D62">
        <w:rPr>
          <w:rFonts w:ascii="Arial" w:hAnsi="Arial" w:cs="Arial"/>
          <w:color w:val="808080" w:themeColor="background1" w:themeShade="80"/>
          <w:sz w:val="22"/>
          <w:szCs w:val="22"/>
          <w:lang w:val="en-GB"/>
        </w:rPr>
        <w:t xml:space="preserve"> for:</w:t>
      </w:r>
    </w:p>
    <w:p w14:paraId="6C5A8FDB" w14:textId="6F474BD7" w:rsidR="000E5D3B" w:rsidRPr="00D15D62" w:rsidRDefault="000E5D3B" w:rsidP="00D15D62">
      <w:pPr>
        <w:pStyle w:val="ListParagraph"/>
        <w:numPr>
          <w:ilvl w:val="0"/>
          <w:numId w:val="15"/>
        </w:num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Land</w:t>
      </w:r>
      <w:r w:rsidRPr="00D15D62">
        <w:rPr>
          <w:rStyle w:val="FootnoteReference"/>
          <w:rFonts w:ascii="Arial" w:hAnsi="Arial" w:cs="Arial"/>
          <w:color w:val="808080" w:themeColor="background1" w:themeShade="80"/>
          <w:sz w:val="22"/>
          <w:szCs w:val="22"/>
          <w:lang w:val="en-GB"/>
        </w:rPr>
        <w:footnoteReference w:id="36"/>
      </w:r>
      <w:r w:rsidRPr="00D15D62">
        <w:rPr>
          <w:rFonts w:ascii="Arial" w:hAnsi="Arial" w:cs="Arial"/>
          <w:color w:val="808080" w:themeColor="background1" w:themeShade="80"/>
          <w:sz w:val="22"/>
          <w:szCs w:val="22"/>
          <w:lang w:val="en-GB"/>
        </w:rPr>
        <w:t>;</w:t>
      </w:r>
    </w:p>
    <w:p w14:paraId="35056464" w14:textId="5FF35096" w:rsidR="000E5D3B" w:rsidRPr="00D15D62" w:rsidRDefault="000E5D3B" w:rsidP="00D15D62">
      <w:pPr>
        <w:pStyle w:val="ListParagraph"/>
        <w:numPr>
          <w:ilvl w:val="0"/>
          <w:numId w:val="15"/>
        </w:num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Ships</w:t>
      </w:r>
      <w:r w:rsidRPr="00D15D62">
        <w:rPr>
          <w:rStyle w:val="FootnoteReference"/>
          <w:rFonts w:ascii="Arial" w:hAnsi="Arial" w:cs="Arial"/>
          <w:color w:val="808080" w:themeColor="background1" w:themeShade="80"/>
          <w:sz w:val="22"/>
          <w:szCs w:val="22"/>
          <w:lang w:val="en-GB"/>
        </w:rPr>
        <w:footnoteReference w:id="37"/>
      </w:r>
      <w:r w:rsidRPr="00D15D62">
        <w:rPr>
          <w:rFonts w:ascii="Arial" w:hAnsi="Arial" w:cs="Arial"/>
          <w:color w:val="808080" w:themeColor="background1" w:themeShade="80"/>
          <w:sz w:val="22"/>
          <w:szCs w:val="22"/>
          <w:lang w:val="en-GB"/>
        </w:rPr>
        <w:t>;</w:t>
      </w:r>
    </w:p>
    <w:p w14:paraId="699E4A64" w14:textId="4236616D" w:rsidR="000E5D3B" w:rsidRPr="00D15D62" w:rsidRDefault="000E5D3B" w:rsidP="00D15D62">
      <w:pPr>
        <w:pStyle w:val="ListParagraph"/>
        <w:numPr>
          <w:ilvl w:val="0"/>
          <w:numId w:val="15"/>
        </w:num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Aircraft</w:t>
      </w:r>
      <w:r w:rsidRPr="00D15D62">
        <w:rPr>
          <w:rStyle w:val="FootnoteReference"/>
          <w:rFonts w:ascii="Arial" w:hAnsi="Arial" w:cs="Arial"/>
          <w:color w:val="808080" w:themeColor="background1" w:themeShade="80"/>
          <w:sz w:val="22"/>
          <w:szCs w:val="22"/>
          <w:lang w:val="en-GB"/>
        </w:rPr>
        <w:footnoteReference w:id="38"/>
      </w:r>
      <w:r w:rsidRPr="00D15D62">
        <w:rPr>
          <w:rFonts w:ascii="Arial" w:hAnsi="Arial" w:cs="Arial"/>
          <w:color w:val="808080" w:themeColor="background1" w:themeShade="80"/>
          <w:sz w:val="22"/>
          <w:szCs w:val="22"/>
          <w:lang w:val="en-GB"/>
        </w:rPr>
        <w:t>;</w:t>
      </w:r>
    </w:p>
    <w:p w14:paraId="3361D487" w14:textId="3E1E29FB" w:rsidR="000E5D3B" w:rsidRPr="00D15D62" w:rsidRDefault="000E5D3B" w:rsidP="00D15D62">
      <w:pPr>
        <w:pStyle w:val="ListParagraph"/>
        <w:numPr>
          <w:ilvl w:val="0"/>
          <w:numId w:val="15"/>
        </w:num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Motor vehicles</w:t>
      </w:r>
      <w:r w:rsidR="00AF21F4" w:rsidRPr="00D15D62">
        <w:rPr>
          <w:rStyle w:val="FootnoteReference"/>
          <w:rFonts w:ascii="Arial" w:hAnsi="Arial" w:cs="Arial"/>
          <w:color w:val="808080" w:themeColor="background1" w:themeShade="80"/>
          <w:sz w:val="22"/>
          <w:szCs w:val="22"/>
          <w:lang w:val="en-GB"/>
        </w:rPr>
        <w:footnoteReference w:id="39"/>
      </w:r>
      <w:r w:rsidRPr="00D15D62">
        <w:rPr>
          <w:rFonts w:ascii="Arial" w:hAnsi="Arial" w:cs="Arial"/>
          <w:color w:val="808080" w:themeColor="background1" w:themeShade="80"/>
          <w:sz w:val="22"/>
          <w:szCs w:val="22"/>
          <w:lang w:val="en-GB"/>
        </w:rPr>
        <w:t>; and</w:t>
      </w:r>
    </w:p>
    <w:p w14:paraId="75FAFA8F" w14:textId="45718F85" w:rsidR="000E5D3B" w:rsidRPr="00D15D62" w:rsidRDefault="000E5D3B" w:rsidP="00D15D62">
      <w:pPr>
        <w:pStyle w:val="ListParagraph"/>
        <w:numPr>
          <w:ilvl w:val="0"/>
          <w:numId w:val="15"/>
        </w:num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Intellectual property</w:t>
      </w:r>
      <w:r w:rsidRPr="00D15D62">
        <w:rPr>
          <w:rStyle w:val="FootnoteReference"/>
          <w:rFonts w:ascii="Arial" w:hAnsi="Arial" w:cs="Arial"/>
          <w:color w:val="808080" w:themeColor="background1" w:themeShade="80"/>
          <w:sz w:val="22"/>
          <w:szCs w:val="22"/>
          <w:lang w:val="en-GB"/>
        </w:rPr>
        <w:footnoteReference w:id="40"/>
      </w:r>
      <w:r w:rsidRPr="00D15D62">
        <w:rPr>
          <w:rFonts w:ascii="Arial" w:hAnsi="Arial" w:cs="Arial"/>
          <w:color w:val="808080" w:themeColor="background1" w:themeShade="80"/>
          <w:sz w:val="22"/>
          <w:szCs w:val="22"/>
          <w:lang w:val="en-GB"/>
        </w:rPr>
        <w:t>.</w:t>
      </w:r>
    </w:p>
    <w:p w14:paraId="02E79BD4" w14:textId="77777777" w:rsidR="0072558E" w:rsidRPr="00D15D62" w:rsidRDefault="0072558E" w:rsidP="00D15D62">
      <w:pPr>
        <w:jc w:val="both"/>
        <w:rPr>
          <w:rFonts w:ascii="Arial" w:hAnsi="Arial" w:cs="Arial"/>
          <w:color w:val="808080" w:themeColor="background1" w:themeShade="80"/>
          <w:sz w:val="22"/>
          <w:szCs w:val="22"/>
          <w:lang w:val="en-GB"/>
        </w:rPr>
      </w:pPr>
    </w:p>
    <w:p w14:paraId="0A4262D4" w14:textId="334641BC" w:rsidR="00F167E8" w:rsidRPr="00D15D62" w:rsidRDefault="00A10C1E" w:rsidP="00D15D62">
      <w:p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lastRenderedPageBreak/>
        <w:t>Where the asset in question is one</w:t>
      </w:r>
      <w:r w:rsidR="00030F5B" w:rsidRPr="00D15D62">
        <w:rPr>
          <w:rFonts w:ascii="Arial" w:hAnsi="Arial" w:cs="Arial"/>
          <w:color w:val="808080" w:themeColor="background1" w:themeShade="80"/>
          <w:sz w:val="22"/>
          <w:szCs w:val="22"/>
          <w:lang w:val="en-GB"/>
        </w:rPr>
        <w:t xml:space="preserve"> of the above</w:t>
      </w:r>
      <w:r w:rsidRPr="00D15D62">
        <w:rPr>
          <w:rFonts w:ascii="Arial" w:hAnsi="Arial" w:cs="Arial"/>
          <w:color w:val="808080" w:themeColor="background1" w:themeShade="80"/>
          <w:sz w:val="22"/>
          <w:szCs w:val="22"/>
          <w:lang w:val="en-GB"/>
        </w:rPr>
        <w:t>, a</w:t>
      </w:r>
      <w:r w:rsidR="00F167E8" w:rsidRPr="00D15D62">
        <w:rPr>
          <w:rFonts w:ascii="Arial" w:hAnsi="Arial" w:cs="Arial"/>
          <w:color w:val="808080" w:themeColor="background1" w:themeShade="80"/>
          <w:sz w:val="22"/>
          <w:szCs w:val="22"/>
          <w:lang w:val="en-GB"/>
        </w:rPr>
        <w:t xml:space="preserve"> creditor’s mortgage or charge over </w:t>
      </w:r>
      <w:r w:rsidRPr="00D15D62">
        <w:rPr>
          <w:rFonts w:ascii="Arial" w:hAnsi="Arial" w:cs="Arial"/>
          <w:color w:val="808080" w:themeColor="background1" w:themeShade="80"/>
          <w:sz w:val="22"/>
          <w:szCs w:val="22"/>
          <w:lang w:val="en-GB"/>
        </w:rPr>
        <w:t>that</w:t>
      </w:r>
      <w:r w:rsidR="00F167E8" w:rsidRPr="00D15D62">
        <w:rPr>
          <w:rFonts w:ascii="Arial" w:hAnsi="Arial" w:cs="Arial"/>
          <w:color w:val="808080" w:themeColor="background1" w:themeShade="80"/>
          <w:sz w:val="22"/>
          <w:szCs w:val="22"/>
          <w:lang w:val="en-GB"/>
        </w:rPr>
        <w:t xml:space="preserve"> asset </w:t>
      </w:r>
      <w:r w:rsidR="00112B4B" w:rsidRPr="00D15D62">
        <w:rPr>
          <w:rFonts w:ascii="Arial" w:hAnsi="Arial" w:cs="Arial"/>
          <w:color w:val="808080" w:themeColor="background1" w:themeShade="80"/>
          <w:sz w:val="22"/>
          <w:szCs w:val="22"/>
          <w:lang w:val="en-GB"/>
        </w:rPr>
        <w:t>“</w:t>
      </w:r>
      <w:r w:rsidR="00F167E8" w:rsidRPr="00D15D62">
        <w:rPr>
          <w:rFonts w:ascii="Arial" w:hAnsi="Arial" w:cs="Arial"/>
          <w:i/>
          <w:iCs/>
          <w:color w:val="808080" w:themeColor="background1" w:themeShade="80"/>
          <w:sz w:val="22"/>
          <w:szCs w:val="22"/>
          <w:lang w:val="en-GB"/>
        </w:rPr>
        <w:t xml:space="preserve">can be </w:t>
      </w:r>
      <w:r w:rsidR="00112B4B" w:rsidRPr="00D15D62">
        <w:rPr>
          <w:rFonts w:ascii="Arial" w:hAnsi="Arial" w:cs="Arial"/>
          <w:i/>
          <w:iCs/>
          <w:color w:val="808080" w:themeColor="background1" w:themeShade="80"/>
          <w:sz w:val="22"/>
          <w:szCs w:val="22"/>
          <w:lang w:val="en-GB"/>
        </w:rPr>
        <w:t xml:space="preserve">noted on the </w:t>
      </w:r>
      <w:r w:rsidR="00F167E8" w:rsidRPr="00D15D62">
        <w:rPr>
          <w:rFonts w:ascii="Arial" w:hAnsi="Arial" w:cs="Arial"/>
          <w:i/>
          <w:iCs/>
          <w:color w:val="808080" w:themeColor="background1" w:themeShade="80"/>
          <w:sz w:val="22"/>
          <w:szCs w:val="22"/>
          <w:lang w:val="en-GB"/>
        </w:rPr>
        <w:t>register</w:t>
      </w:r>
      <w:r w:rsidR="00112B4B" w:rsidRPr="00D15D62">
        <w:rPr>
          <w:rFonts w:ascii="Arial" w:hAnsi="Arial" w:cs="Arial"/>
          <w:color w:val="808080" w:themeColor="background1" w:themeShade="80"/>
          <w:sz w:val="22"/>
          <w:szCs w:val="22"/>
          <w:lang w:val="en-GB"/>
        </w:rPr>
        <w:t>”</w:t>
      </w:r>
      <w:r w:rsidR="00112B4B" w:rsidRPr="00D15D62">
        <w:rPr>
          <w:rStyle w:val="FootnoteReference"/>
          <w:rFonts w:ascii="Arial" w:hAnsi="Arial" w:cs="Arial"/>
          <w:color w:val="808080" w:themeColor="background1" w:themeShade="80"/>
          <w:sz w:val="22"/>
          <w:szCs w:val="22"/>
          <w:lang w:val="en-GB"/>
        </w:rPr>
        <w:footnoteReference w:id="41"/>
      </w:r>
      <w:r w:rsidR="00F167E8" w:rsidRPr="00D15D62">
        <w:rPr>
          <w:rFonts w:ascii="Arial" w:hAnsi="Arial" w:cs="Arial"/>
          <w:color w:val="808080" w:themeColor="background1" w:themeShade="80"/>
          <w:sz w:val="22"/>
          <w:szCs w:val="22"/>
          <w:lang w:val="en-GB"/>
        </w:rPr>
        <w:t>.</w:t>
      </w:r>
      <w:r w:rsidR="00381AA3" w:rsidRPr="00D15D62">
        <w:rPr>
          <w:rFonts w:ascii="Arial" w:hAnsi="Arial" w:cs="Arial"/>
          <w:color w:val="808080" w:themeColor="background1" w:themeShade="80"/>
          <w:sz w:val="22"/>
          <w:szCs w:val="22"/>
          <w:lang w:val="en-GB"/>
        </w:rPr>
        <w:t xml:space="preserve"> Filing notice of the security with the relevant centrally maintained register will register the security.</w:t>
      </w:r>
      <w:r w:rsidR="00F167E8" w:rsidRPr="00D15D62">
        <w:rPr>
          <w:rFonts w:ascii="Arial" w:hAnsi="Arial" w:cs="Arial"/>
          <w:color w:val="808080" w:themeColor="background1" w:themeShade="80"/>
          <w:sz w:val="22"/>
          <w:szCs w:val="22"/>
          <w:lang w:val="en-GB"/>
        </w:rPr>
        <w:t xml:space="preserve"> The effect of registration is that a third-party buyer will be deemed to have notice of any interest that is </w:t>
      </w:r>
      <w:r w:rsidR="00112B4B" w:rsidRPr="00D15D62">
        <w:rPr>
          <w:rFonts w:ascii="Arial" w:hAnsi="Arial" w:cs="Arial"/>
          <w:color w:val="808080" w:themeColor="background1" w:themeShade="80"/>
          <w:sz w:val="22"/>
          <w:szCs w:val="22"/>
          <w:lang w:val="en-GB"/>
        </w:rPr>
        <w:t xml:space="preserve">already </w:t>
      </w:r>
      <w:r w:rsidR="00F167E8" w:rsidRPr="00D15D62">
        <w:rPr>
          <w:rFonts w:ascii="Arial" w:hAnsi="Arial" w:cs="Arial"/>
          <w:color w:val="808080" w:themeColor="background1" w:themeShade="80"/>
          <w:sz w:val="22"/>
          <w:szCs w:val="22"/>
          <w:lang w:val="en-GB"/>
        </w:rPr>
        <w:t>registered at the time of their purchase</w:t>
      </w:r>
      <w:r w:rsidR="00765EFA" w:rsidRPr="00D15D62">
        <w:rPr>
          <w:rFonts w:ascii="Arial" w:hAnsi="Arial" w:cs="Arial"/>
          <w:color w:val="808080" w:themeColor="background1" w:themeShade="80"/>
          <w:sz w:val="22"/>
          <w:szCs w:val="22"/>
          <w:lang w:val="en-GB"/>
        </w:rPr>
        <w:t xml:space="preserve">, </w:t>
      </w:r>
      <w:r w:rsidR="00F167E8" w:rsidRPr="00D15D62">
        <w:rPr>
          <w:rFonts w:ascii="Arial" w:hAnsi="Arial" w:cs="Arial"/>
          <w:color w:val="808080" w:themeColor="background1" w:themeShade="80"/>
          <w:sz w:val="22"/>
          <w:szCs w:val="22"/>
          <w:lang w:val="en-GB"/>
        </w:rPr>
        <w:t>and will therefore acquire the asset subject to the creditor’s interest (as the holder of the registered mortgage or charge, whichever is applicable).</w:t>
      </w:r>
      <w:r w:rsidR="00112B4B" w:rsidRPr="00D15D62">
        <w:rPr>
          <w:rStyle w:val="FootnoteReference"/>
          <w:rFonts w:ascii="Arial" w:hAnsi="Arial" w:cs="Arial"/>
          <w:color w:val="808080" w:themeColor="background1" w:themeShade="80"/>
          <w:sz w:val="22"/>
          <w:szCs w:val="22"/>
          <w:lang w:val="en-GB"/>
        </w:rPr>
        <w:footnoteReference w:id="42"/>
      </w:r>
      <w:r w:rsidR="00F167E8" w:rsidRPr="00D15D62">
        <w:rPr>
          <w:rFonts w:ascii="Arial" w:hAnsi="Arial" w:cs="Arial"/>
          <w:color w:val="808080" w:themeColor="background1" w:themeShade="80"/>
          <w:sz w:val="22"/>
          <w:szCs w:val="22"/>
          <w:lang w:val="en-GB"/>
        </w:rPr>
        <w:t xml:space="preserve"> The other effect of registration is that it will give the secured creditor priority over non-registered creditors</w:t>
      </w:r>
      <w:r w:rsidR="00F167E8" w:rsidRPr="00D15D62">
        <w:rPr>
          <w:rStyle w:val="FootnoteReference"/>
          <w:rFonts w:ascii="Arial" w:hAnsi="Arial" w:cs="Arial"/>
          <w:color w:val="808080" w:themeColor="background1" w:themeShade="80"/>
          <w:sz w:val="22"/>
          <w:szCs w:val="22"/>
          <w:lang w:val="en-GB"/>
        </w:rPr>
        <w:footnoteReference w:id="43"/>
      </w:r>
      <w:r w:rsidR="00F167E8" w:rsidRPr="00D15D62">
        <w:rPr>
          <w:rFonts w:ascii="Arial" w:hAnsi="Arial" w:cs="Arial"/>
          <w:color w:val="808080" w:themeColor="background1" w:themeShade="80"/>
          <w:sz w:val="22"/>
          <w:szCs w:val="22"/>
          <w:lang w:val="en-GB"/>
        </w:rPr>
        <w:t>.</w:t>
      </w:r>
    </w:p>
    <w:p w14:paraId="42931D51" w14:textId="77777777" w:rsidR="00F167E8" w:rsidRPr="00D15D62" w:rsidRDefault="00F167E8" w:rsidP="00D15D62">
      <w:pPr>
        <w:jc w:val="both"/>
        <w:rPr>
          <w:rFonts w:ascii="Arial" w:hAnsi="Arial" w:cs="Arial"/>
          <w:color w:val="808080" w:themeColor="background1" w:themeShade="80"/>
          <w:sz w:val="22"/>
          <w:szCs w:val="22"/>
          <w:lang w:val="en-GB"/>
        </w:rPr>
      </w:pPr>
    </w:p>
    <w:p w14:paraId="00252A05" w14:textId="475A778D" w:rsidR="0072558E" w:rsidRPr="00D15D62" w:rsidRDefault="0072558E" w:rsidP="00D15D62">
      <w:pPr>
        <w:jc w:val="both"/>
        <w:rPr>
          <w:rFonts w:ascii="Arial" w:hAnsi="Arial" w:cs="Arial"/>
          <w:color w:val="808080" w:themeColor="background1" w:themeShade="80"/>
          <w:sz w:val="22"/>
          <w:szCs w:val="22"/>
          <w:u w:val="single"/>
          <w:lang w:val="en-GB"/>
        </w:rPr>
      </w:pPr>
      <w:r w:rsidRPr="00D15D62">
        <w:rPr>
          <w:rFonts w:ascii="Arial" w:hAnsi="Arial" w:cs="Arial"/>
          <w:color w:val="808080" w:themeColor="background1" w:themeShade="80"/>
          <w:sz w:val="22"/>
          <w:szCs w:val="22"/>
          <w:u w:val="single"/>
          <w:lang w:val="en-GB"/>
        </w:rPr>
        <w:t>Other immovable property</w:t>
      </w:r>
    </w:p>
    <w:p w14:paraId="1F996FFA" w14:textId="597C6576" w:rsidR="00F058A6" w:rsidRPr="00D15D62" w:rsidRDefault="00ED757F" w:rsidP="00D15D62">
      <w:p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T</w:t>
      </w:r>
      <w:r w:rsidR="00F167E8" w:rsidRPr="00D15D62">
        <w:rPr>
          <w:rFonts w:ascii="Arial" w:hAnsi="Arial" w:cs="Arial"/>
          <w:color w:val="808080" w:themeColor="background1" w:themeShade="80"/>
          <w:sz w:val="22"/>
          <w:szCs w:val="22"/>
          <w:lang w:val="en-GB"/>
        </w:rPr>
        <w:t xml:space="preserve">here is no public security registration system for </w:t>
      </w:r>
      <w:r w:rsidR="00895389" w:rsidRPr="00D15D62">
        <w:rPr>
          <w:rFonts w:ascii="Arial" w:hAnsi="Arial" w:cs="Arial"/>
          <w:color w:val="808080" w:themeColor="background1" w:themeShade="80"/>
          <w:sz w:val="22"/>
          <w:szCs w:val="22"/>
          <w:lang w:val="en-GB"/>
        </w:rPr>
        <w:t>other types of immovable property or for charges over</w:t>
      </w:r>
      <w:r w:rsidR="00F167E8" w:rsidRPr="00D15D62">
        <w:rPr>
          <w:rFonts w:ascii="Arial" w:hAnsi="Arial" w:cs="Arial"/>
          <w:color w:val="808080" w:themeColor="background1" w:themeShade="80"/>
          <w:sz w:val="22"/>
          <w:szCs w:val="22"/>
          <w:lang w:val="en-GB"/>
        </w:rPr>
        <w:t xml:space="preserve"> a</w:t>
      </w:r>
      <w:r w:rsidR="00895389" w:rsidRPr="00D15D62">
        <w:rPr>
          <w:rFonts w:ascii="Arial" w:hAnsi="Arial" w:cs="Arial"/>
          <w:color w:val="808080" w:themeColor="background1" w:themeShade="80"/>
          <w:sz w:val="22"/>
          <w:szCs w:val="22"/>
          <w:lang w:val="en-GB"/>
        </w:rPr>
        <w:t xml:space="preserve"> company</w:t>
      </w:r>
      <w:r w:rsidR="00F167E8" w:rsidRPr="00D15D62">
        <w:rPr>
          <w:rFonts w:ascii="Arial" w:hAnsi="Arial" w:cs="Arial"/>
          <w:color w:val="808080" w:themeColor="background1" w:themeShade="80"/>
          <w:sz w:val="22"/>
          <w:szCs w:val="22"/>
          <w:lang w:val="en-GB"/>
        </w:rPr>
        <w:t>’s</w:t>
      </w:r>
      <w:r w:rsidR="00895389" w:rsidRPr="00D15D62">
        <w:rPr>
          <w:rFonts w:ascii="Arial" w:hAnsi="Arial" w:cs="Arial"/>
          <w:color w:val="808080" w:themeColor="background1" w:themeShade="80"/>
          <w:sz w:val="22"/>
          <w:szCs w:val="22"/>
          <w:lang w:val="en-GB"/>
        </w:rPr>
        <w:t xml:space="preserve"> assets</w:t>
      </w:r>
      <w:r w:rsidR="00F167E8" w:rsidRPr="00D15D62">
        <w:rPr>
          <w:rFonts w:ascii="Arial" w:hAnsi="Arial" w:cs="Arial"/>
          <w:color w:val="808080" w:themeColor="background1" w:themeShade="80"/>
          <w:sz w:val="22"/>
          <w:szCs w:val="22"/>
          <w:lang w:val="en-GB"/>
        </w:rPr>
        <w:t xml:space="preserve"> </w:t>
      </w:r>
      <w:r w:rsidR="00381AA3" w:rsidRPr="00D15D62">
        <w:rPr>
          <w:rFonts w:ascii="Arial" w:hAnsi="Arial" w:cs="Arial"/>
          <w:color w:val="808080" w:themeColor="background1" w:themeShade="80"/>
          <w:sz w:val="22"/>
          <w:szCs w:val="22"/>
          <w:lang w:val="en-GB"/>
        </w:rPr>
        <w:t>(</w:t>
      </w:r>
      <w:r w:rsidR="00895389" w:rsidRPr="00D15D62">
        <w:rPr>
          <w:rFonts w:ascii="Arial" w:hAnsi="Arial" w:cs="Arial"/>
          <w:color w:val="808080" w:themeColor="background1" w:themeShade="80"/>
          <w:sz w:val="22"/>
          <w:szCs w:val="22"/>
          <w:lang w:val="en-GB"/>
        </w:rPr>
        <w:t xml:space="preserve">other than </w:t>
      </w:r>
      <w:r w:rsidR="00F167E8" w:rsidRPr="00D15D62">
        <w:rPr>
          <w:rFonts w:ascii="Arial" w:hAnsi="Arial" w:cs="Arial"/>
          <w:color w:val="808080" w:themeColor="background1" w:themeShade="80"/>
          <w:sz w:val="22"/>
          <w:szCs w:val="22"/>
          <w:lang w:val="en-GB"/>
        </w:rPr>
        <w:t xml:space="preserve">the </w:t>
      </w:r>
      <w:r w:rsidR="00895389" w:rsidRPr="00D15D62">
        <w:rPr>
          <w:rFonts w:ascii="Arial" w:hAnsi="Arial" w:cs="Arial"/>
          <w:color w:val="808080" w:themeColor="background1" w:themeShade="80"/>
          <w:sz w:val="22"/>
          <w:szCs w:val="22"/>
          <w:lang w:val="en-GB"/>
        </w:rPr>
        <w:t>company’s internal register of mortgages and charges</w:t>
      </w:r>
      <w:r w:rsidR="00381AA3" w:rsidRPr="00D15D62">
        <w:rPr>
          <w:rFonts w:ascii="Arial" w:hAnsi="Arial" w:cs="Arial"/>
          <w:color w:val="808080" w:themeColor="background1" w:themeShade="80"/>
          <w:sz w:val="22"/>
          <w:szCs w:val="22"/>
          <w:lang w:val="en-GB"/>
        </w:rPr>
        <w:t>)</w:t>
      </w:r>
      <w:r w:rsidR="00895389" w:rsidRPr="00D15D62">
        <w:rPr>
          <w:rFonts w:ascii="Arial" w:hAnsi="Arial" w:cs="Arial"/>
          <w:color w:val="808080" w:themeColor="background1" w:themeShade="80"/>
          <w:sz w:val="22"/>
          <w:szCs w:val="22"/>
          <w:lang w:val="en-GB"/>
        </w:rPr>
        <w:t>.</w:t>
      </w:r>
      <w:r w:rsidR="00F167E8" w:rsidRPr="00D15D62">
        <w:rPr>
          <w:rFonts w:ascii="Arial" w:hAnsi="Arial" w:cs="Arial"/>
          <w:color w:val="808080" w:themeColor="background1" w:themeShade="80"/>
          <w:sz w:val="22"/>
          <w:szCs w:val="22"/>
          <w:lang w:val="en-GB"/>
        </w:rPr>
        <w:t xml:space="preserve"> It would therefore be prudent for a creditor to investigate in advance whether the asset is already encumbered</w:t>
      </w:r>
      <w:r w:rsidR="00F167E8" w:rsidRPr="00D15D62">
        <w:rPr>
          <w:rStyle w:val="FootnoteReference"/>
          <w:rFonts w:ascii="Arial" w:hAnsi="Arial" w:cs="Arial"/>
          <w:color w:val="808080" w:themeColor="background1" w:themeShade="80"/>
          <w:sz w:val="22"/>
          <w:szCs w:val="22"/>
          <w:lang w:val="en-GB"/>
        </w:rPr>
        <w:footnoteReference w:id="44"/>
      </w:r>
      <w:r w:rsidR="00F167E8" w:rsidRPr="00D15D62">
        <w:rPr>
          <w:rFonts w:ascii="Arial" w:hAnsi="Arial" w:cs="Arial"/>
          <w:color w:val="808080" w:themeColor="background1" w:themeShade="80"/>
          <w:sz w:val="22"/>
          <w:szCs w:val="22"/>
          <w:lang w:val="en-GB"/>
        </w:rPr>
        <w:t xml:space="preserve"> and to </w:t>
      </w:r>
      <w:r w:rsidR="00895389" w:rsidRPr="00D15D62">
        <w:rPr>
          <w:rFonts w:ascii="Arial" w:hAnsi="Arial" w:cs="Arial"/>
          <w:color w:val="808080" w:themeColor="background1" w:themeShade="80"/>
          <w:sz w:val="22"/>
          <w:szCs w:val="22"/>
          <w:lang w:val="en-GB"/>
        </w:rPr>
        <w:t>ensure th</w:t>
      </w:r>
      <w:r w:rsidR="00F167E8" w:rsidRPr="00D15D62">
        <w:rPr>
          <w:rFonts w:ascii="Arial" w:hAnsi="Arial" w:cs="Arial"/>
          <w:color w:val="808080" w:themeColor="background1" w:themeShade="80"/>
          <w:sz w:val="22"/>
          <w:szCs w:val="22"/>
          <w:lang w:val="en-GB"/>
        </w:rPr>
        <w:t>ey</w:t>
      </w:r>
      <w:r w:rsidR="00895389" w:rsidRPr="00D15D62">
        <w:rPr>
          <w:rFonts w:ascii="Arial" w:hAnsi="Arial" w:cs="Arial"/>
          <w:color w:val="808080" w:themeColor="background1" w:themeShade="80"/>
          <w:sz w:val="22"/>
          <w:szCs w:val="22"/>
          <w:lang w:val="en-GB"/>
        </w:rPr>
        <w:t xml:space="preserve"> </w:t>
      </w:r>
      <w:r w:rsidR="00B91335" w:rsidRPr="00D15D62">
        <w:rPr>
          <w:rFonts w:ascii="Arial" w:hAnsi="Arial" w:cs="Arial"/>
          <w:color w:val="808080" w:themeColor="background1" w:themeShade="80"/>
          <w:sz w:val="22"/>
          <w:szCs w:val="22"/>
          <w:lang w:val="en-GB"/>
        </w:rPr>
        <w:t>exercise</w:t>
      </w:r>
      <w:r w:rsidR="00895389" w:rsidRPr="00D15D62">
        <w:rPr>
          <w:rFonts w:ascii="Arial" w:hAnsi="Arial" w:cs="Arial"/>
          <w:color w:val="808080" w:themeColor="background1" w:themeShade="80"/>
          <w:sz w:val="22"/>
          <w:szCs w:val="22"/>
          <w:lang w:val="en-GB"/>
        </w:rPr>
        <w:t xml:space="preserve"> sufficient control over the asset </w:t>
      </w:r>
      <w:proofErr w:type="gramStart"/>
      <w:r w:rsidR="00F167E8" w:rsidRPr="00D15D62">
        <w:rPr>
          <w:rFonts w:ascii="Arial" w:hAnsi="Arial" w:cs="Arial"/>
          <w:color w:val="808080" w:themeColor="background1" w:themeShade="80"/>
          <w:sz w:val="22"/>
          <w:szCs w:val="22"/>
          <w:lang w:val="en-GB"/>
        </w:rPr>
        <w:t xml:space="preserve">in order </w:t>
      </w:r>
      <w:r w:rsidR="00895389" w:rsidRPr="00D15D62">
        <w:rPr>
          <w:rFonts w:ascii="Arial" w:hAnsi="Arial" w:cs="Arial"/>
          <w:color w:val="808080" w:themeColor="background1" w:themeShade="80"/>
          <w:sz w:val="22"/>
          <w:szCs w:val="22"/>
          <w:lang w:val="en-GB"/>
        </w:rPr>
        <w:t>to</w:t>
      </w:r>
      <w:proofErr w:type="gramEnd"/>
      <w:r w:rsidR="00895389" w:rsidRPr="00D15D62">
        <w:rPr>
          <w:rFonts w:ascii="Arial" w:hAnsi="Arial" w:cs="Arial"/>
          <w:color w:val="808080" w:themeColor="background1" w:themeShade="80"/>
          <w:sz w:val="22"/>
          <w:szCs w:val="22"/>
          <w:lang w:val="en-GB"/>
        </w:rPr>
        <w:t xml:space="preserve"> prevent a third party from </w:t>
      </w:r>
      <w:r w:rsidR="00B91335" w:rsidRPr="00D15D62">
        <w:rPr>
          <w:rFonts w:ascii="Arial" w:hAnsi="Arial" w:cs="Arial"/>
          <w:color w:val="808080" w:themeColor="background1" w:themeShade="80"/>
          <w:sz w:val="22"/>
          <w:szCs w:val="22"/>
          <w:lang w:val="en-GB"/>
        </w:rPr>
        <w:t>purchasing</w:t>
      </w:r>
      <w:r w:rsidR="00895389" w:rsidRPr="00D15D62">
        <w:rPr>
          <w:rFonts w:ascii="Arial" w:hAnsi="Arial" w:cs="Arial"/>
          <w:color w:val="808080" w:themeColor="background1" w:themeShade="80"/>
          <w:sz w:val="22"/>
          <w:szCs w:val="22"/>
          <w:lang w:val="en-GB"/>
        </w:rPr>
        <w:t xml:space="preserve"> it</w:t>
      </w:r>
      <w:r w:rsidR="00F167E8" w:rsidRPr="00D15D62">
        <w:rPr>
          <w:rStyle w:val="FootnoteReference"/>
          <w:rFonts w:ascii="Arial" w:hAnsi="Arial" w:cs="Arial"/>
          <w:color w:val="808080" w:themeColor="background1" w:themeShade="80"/>
          <w:sz w:val="22"/>
          <w:szCs w:val="22"/>
          <w:lang w:val="en-GB"/>
        </w:rPr>
        <w:footnoteReference w:id="45"/>
      </w:r>
      <w:r w:rsidR="00895389" w:rsidRPr="00D15D62">
        <w:rPr>
          <w:rFonts w:ascii="Arial" w:hAnsi="Arial" w:cs="Arial"/>
          <w:color w:val="808080" w:themeColor="background1" w:themeShade="80"/>
          <w:sz w:val="22"/>
          <w:szCs w:val="22"/>
          <w:lang w:val="en-GB"/>
        </w:rPr>
        <w:t>.</w:t>
      </w:r>
      <w:r w:rsidR="00B91335" w:rsidRPr="00D15D62">
        <w:rPr>
          <w:rFonts w:ascii="Arial" w:hAnsi="Arial" w:cs="Arial"/>
          <w:color w:val="808080" w:themeColor="background1" w:themeShade="80"/>
          <w:sz w:val="22"/>
          <w:szCs w:val="22"/>
          <w:lang w:val="en-GB"/>
        </w:rPr>
        <w:t xml:space="preserve"> </w:t>
      </w:r>
      <w:proofErr w:type="gramStart"/>
      <w:r w:rsidR="00B91335" w:rsidRPr="00D15D62">
        <w:rPr>
          <w:rFonts w:ascii="Arial" w:hAnsi="Arial" w:cs="Arial"/>
          <w:color w:val="808080" w:themeColor="background1" w:themeShade="80"/>
          <w:sz w:val="22"/>
          <w:szCs w:val="22"/>
          <w:lang w:val="en-GB"/>
        </w:rPr>
        <w:t>In light of</w:t>
      </w:r>
      <w:proofErr w:type="gramEnd"/>
      <w:r w:rsidR="00B91335" w:rsidRPr="00D15D62">
        <w:rPr>
          <w:rFonts w:ascii="Arial" w:hAnsi="Arial" w:cs="Arial"/>
          <w:color w:val="808080" w:themeColor="background1" w:themeShade="80"/>
          <w:sz w:val="22"/>
          <w:szCs w:val="22"/>
          <w:lang w:val="en-GB"/>
        </w:rPr>
        <w:t xml:space="preserve"> this, it would be commercially sensible for a lender to review the debtor company’s register of mortgages</w:t>
      </w:r>
      <w:r w:rsidR="00B91335" w:rsidRPr="00D15D62">
        <w:rPr>
          <w:rStyle w:val="FootnoteReference"/>
          <w:rFonts w:ascii="Arial" w:hAnsi="Arial" w:cs="Arial"/>
          <w:color w:val="808080" w:themeColor="background1" w:themeShade="80"/>
          <w:sz w:val="22"/>
          <w:szCs w:val="22"/>
          <w:lang w:val="en-GB"/>
        </w:rPr>
        <w:footnoteReference w:id="46"/>
      </w:r>
      <w:r w:rsidR="00B31568" w:rsidRPr="00D15D62">
        <w:rPr>
          <w:rFonts w:ascii="Arial" w:hAnsi="Arial" w:cs="Arial"/>
          <w:color w:val="808080" w:themeColor="background1" w:themeShade="80"/>
          <w:sz w:val="22"/>
          <w:szCs w:val="22"/>
          <w:lang w:val="en-GB"/>
        </w:rPr>
        <w:t xml:space="preserve"> and ensure that it is clear before advancing any loan and that such register is updated with details of the charge after the loan is granted.</w:t>
      </w:r>
      <w:r w:rsidR="00B31568" w:rsidRPr="00D15D62">
        <w:rPr>
          <w:rStyle w:val="FootnoteReference"/>
          <w:rFonts w:ascii="Arial" w:hAnsi="Arial" w:cs="Arial"/>
          <w:color w:val="808080" w:themeColor="background1" w:themeShade="80"/>
          <w:sz w:val="22"/>
          <w:szCs w:val="22"/>
          <w:lang w:val="en-GB"/>
        </w:rPr>
        <w:footnoteReference w:id="47"/>
      </w:r>
      <w:r w:rsidR="00B31568" w:rsidRPr="00D15D62">
        <w:rPr>
          <w:rFonts w:ascii="Arial" w:hAnsi="Arial" w:cs="Arial"/>
          <w:color w:val="808080" w:themeColor="background1" w:themeShade="80"/>
          <w:sz w:val="22"/>
          <w:szCs w:val="22"/>
          <w:lang w:val="en-GB"/>
        </w:rPr>
        <w:t xml:space="preserve"> </w:t>
      </w:r>
    </w:p>
    <w:p w14:paraId="571AF138" w14:textId="77777777" w:rsidR="00F058A6" w:rsidRPr="00D15D62" w:rsidRDefault="00F058A6" w:rsidP="00D15D62">
      <w:pPr>
        <w:jc w:val="both"/>
        <w:rPr>
          <w:rFonts w:ascii="Arial" w:hAnsi="Arial" w:cs="Arial"/>
          <w:color w:val="808080" w:themeColor="background1" w:themeShade="80"/>
          <w:sz w:val="22"/>
          <w:szCs w:val="22"/>
          <w:lang w:val="en-GB"/>
        </w:rPr>
      </w:pPr>
    </w:p>
    <w:p w14:paraId="0D5041C4" w14:textId="3E837C65" w:rsidR="00765EFA" w:rsidRPr="00D15D62" w:rsidRDefault="00B91335" w:rsidP="00D15D62">
      <w:pPr>
        <w:jc w:val="both"/>
        <w:rPr>
          <w:rFonts w:ascii="Arial" w:hAnsi="Arial" w:cs="Arial"/>
          <w:color w:val="808080" w:themeColor="background1" w:themeShade="80"/>
          <w:sz w:val="22"/>
          <w:szCs w:val="22"/>
          <w:highlight w:val="green"/>
          <w:lang w:val="en-GB"/>
        </w:rPr>
      </w:pPr>
      <w:r w:rsidRPr="00D15D62">
        <w:rPr>
          <w:rFonts w:ascii="Arial" w:hAnsi="Arial" w:cs="Arial"/>
          <w:color w:val="808080" w:themeColor="background1" w:themeShade="80"/>
          <w:sz w:val="22"/>
          <w:szCs w:val="22"/>
          <w:lang w:val="en-GB"/>
        </w:rPr>
        <w:t>Under section 54 of the Companies Act (2023 Revision), a company shall keep at its registered office in writing “</w:t>
      </w:r>
      <w:r w:rsidRPr="00D15D62">
        <w:rPr>
          <w:rFonts w:ascii="Arial" w:hAnsi="Arial" w:cs="Arial"/>
          <w:i/>
          <w:iCs/>
          <w:color w:val="808080" w:themeColor="background1" w:themeShade="80"/>
          <w:sz w:val="22"/>
          <w:szCs w:val="22"/>
          <w:lang w:val="en-GB"/>
        </w:rPr>
        <w:t>a register of all mortgages and charges specifically affecting property of the company, and</w:t>
      </w:r>
      <w:r w:rsidR="00765EFA" w:rsidRPr="00D15D62">
        <w:rPr>
          <w:rFonts w:ascii="Arial" w:hAnsi="Arial" w:cs="Arial"/>
          <w:i/>
          <w:iCs/>
          <w:color w:val="808080" w:themeColor="background1" w:themeShade="80"/>
          <w:sz w:val="22"/>
          <w:szCs w:val="22"/>
          <w:lang w:val="en-GB"/>
        </w:rPr>
        <w:t>…</w:t>
      </w:r>
      <w:r w:rsidRPr="00D15D62">
        <w:rPr>
          <w:rFonts w:ascii="Arial" w:hAnsi="Arial" w:cs="Arial"/>
          <w:i/>
          <w:iCs/>
          <w:color w:val="808080" w:themeColor="background1" w:themeShade="80"/>
          <w:sz w:val="22"/>
          <w:szCs w:val="22"/>
          <w:lang w:val="en-GB"/>
        </w:rPr>
        <w:t>a short description of the property</w:t>
      </w:r>
      <w:r w:rsidR="00765EFA" w:rsidRPr="00D15D62">
        <w:rPr>
          <w:rFonts w:ascii="Arial" w:hAnsi="Arial" w:cs="Arial"/>
          <w:i/>
          <w:iCs/>
          <w:color w:val="808080" w:themeColor="background1" w:themeShade="80"/>
          <w:sz w:val="22"/>
          <w:szCs w:val="22"/>
          <w:lang w:val="en-GB"/>
        </w:rPr>
        <w:t xml:space="preserve"> </w:t>
      </w:r>
      <w:r w:rsidRPr="00D15D62">
        <w:rPr>
          <w:rFonts w:ascii="Arial" w:hAnsi="Arial" w:cs="Arial"/>
          <w:i/>
          <w:iCs/>
          <w:color w:val="808080" w:themeColor="background1" w:themeShade="80"/>
          <w:sz w:val="22"/>
          <w:szCs w:val="22"/>
          <w:lang w:val="en-GB"/>
        </w:rPr>
        <w:t>mortgaged or charged, the amount of charge created and the names of the mortgagees or persons</w:t>
      </w:r>
      <w:r w:rsidR="00765EFA" w:rsidRPr="00D15D62">
        <w:rPr>
          <w:rFonts w:ascii="Arial" w:hAnsi="Arial" w:cs="Arial"/>
          <w:i/>
          <w:iCs/>
          <w:color w:val="808080" w:themeColor="background1" w:themeShade="80"/>
          <w:sz w:val="22"/>
          <w:szCs w:val="22"/>
          <w:lang w:val="en-GB"/>
        </w:rPr>
        <w:t xml:space="preserve"> </w:t>
      </w:r>
      <w:r w:rsidRPr="00D15D62">
        <w:rPr>
          <w:rFonts w:ascii="Arial" w:hAnsi="Arial" w:cs="Arial"/>
          <w:i/>
          <w:iCs/>
          <w:color w:val="808080" w:themeColor="background1" w:themeShade="80"/>
          <w:sz w:val="22"/>
          <w:szCs w:val="22"/>
          <w:lang w:val="en-GB"/>
        </w:rPr>
        <w:t>entitled to such charge</w:t>
      </w:r>
      <w:r w:rsidRPr="00D15D62">
        <w:rPr>
          <w:rFonts w:ascii="Arial" w:hAnsi="Arial" w:cs="Arial"/>
          <w:color w:val="808080" w:themeColor="background1" w:themeShade="80"/>
          <w:sz w:val="22"/>
          <w:szCs w:val="22"/>
          <w:lang w:val="en-GB"/>
        </w:rPr>
        <w:t>.</w:t>
      </w:r>
      <w:r w:rsidR="00765EFA" w:rsidRPr="00D15D62">
        <w:rPr>
          <w:rFonts w:ascii="Arial" w:hAnsi="Arial" w:cs="Arial"/>
          <w:color w:val="808080" w:themeColor="background1" w:themeShade="80"/>
          <w:sz w:val="22"/>
          <w:szCs w:val="22"/>
          <w:lang w:val="en-GB"/>
        </w:rPr>
        <w:t>”</w:t>
      </w:r>
      <w:r w:rsidR="00765EFA" w:rsidRPr="00D15D62">
        <w:rPr>
          <w:rStyle w:val="FootnoteReference"/>
          <w:rFonts w:ascii="Arial" w:hAnsi="Arial" w:cs="Arial"/>
          <w:color w:val="808080" w:themeColor="background1" w:themeShade="80"/>
          <w:sz w:val="22"/>
          <w:szCs w:val="22"/>
          <w:lang w:val="en-GB"/>
        </w:rPr>
        <w:footnoteReference w:id="48"/>
      </w:r>
      <w:r w:rsidR="00765EFA" w:rsidRPr="00D15D62">
        <w:rPr>
          <w:rFonts w:ascii="Arial" w:hAnsi="Arial" w:cs="Arial"/>
          <w:color w:val="808080" w:themeColor="background1" w:themeShade="80"/>
          <w:sz w:val="22"/>
          <w:szCs w:val="22"/>
          <w:lang w:val="en-GB"/>
        </w:rPr>
        <w:t xml:space="preserve"> In the event that the company fails to do this, </w:t>
      </w:r>
      <w:r w:rsidRPr="00D15D62">
        <w:rPr>
          <w:rFonts w:ascii="Arial" w:hAnsi="Arial" w:cs="Arial"/>
          <w:color w:val="808080" w:themeColor="background1" w:themeShade="80"/>
          <w:sz w:val="22"/>
          <w:szCs w:val="22"/>
          <w:lang w:val="en-GB"/>
        </w:rPr>
        <w:t>every director, manager or other officer who knowingly and wilfully authorises or</w:t>
      </w:r>
      <w:r w:rsidR="00765EFA" w:rsidRPr="00D15D62">
        <w:rPr>
          <w:rFonts w:ascii="Arial" w:hAnsi="Arial" w:cs="Arial"/>
          <w:color w:val="808080" w:themeColor="background1" w:themeShade="80"/>
          <w:sz w:val="22"/>
          <w:szCs w:val="22"/>
          <w:lang w:val="en-GB"/>
        </w:rPr>
        <w:t xml:space="preserve"> </w:t>
      </w:r>
      <w:r w:rsidRPr="00D15D62">
        <w:rPr>
          <w:rFonts w:ascii="Arial" w:hAnsi="Arial" w:cs="Arial"/>
          <w:color w:val="808080" w:themeColor="background1" w:themeShade="80"/>
          <w:sz w:val="22"/>
          <w:szCs w:val="22"/>
          <w:lang w:val="en-GB"/>
        </w:rPr>
        <w:t>permits th</w:t>
      </w:r>
      <w:r w:rsidR="00765EFA" w:rsidRPr="00D15D62">
        <w:rPr>
          <w:rFonts w:ascii="Arial" w:hAnsi="Arial" w:cs="Arial"/>
          <w:color w:val="808080" w:themeColor="background1" w:themeShade="80"/>
          <w:sz w:val="22"/>
          <w:szCs w:val="22"/>
          <w:lang w:val="en-GB"/>
        </w:rPr>
        <w:t>is</w:t>
      </w:r>
      <w:r w:rsidRPr="00D15D62">
        <w:rPr>
          <w:rFonts w:ascii="Arial" w:hAnsi="Arial" w:cs="Arial"/>
          <w:color w:val="808080" w:themeColor="background1" w:themeShade="80"/>
          <w:sz w:val="22"/>
          <w:szCs w:val="22"/>
          <w:lang w:val="en-GB"/>
        </w:rPr>
        <w:t xml:space="preserve"> omission shall incur a penalty of </w:t>
      </w:r>
      <w:r w:rsidR="001127CD" w:rsidRPr="00D15D62">
        <w:rPr>
          <w:rFonts w:ascii="Arial" w:hAnsi="Arial" w:cs="Arial"/>
          <w:color w:val="808080" w:themeColor="background1" w:themeShade="80"/>
          <w:sz w:val="22"/>
          <w:szCs w:val="22"/>
          <w:lang w:val="en-GB"/>
        </w:rPr>
        <w:t>KYD</w:t>
      </w:r>
      <w:r w:rsidR="00765EFA" w:rsidRPr="00D15D62">
        <w:rPr>
          <w:rFonts w:ascii="Arial" w:hAnsi="Arial" w:cs="Arial"/>
          <w:color w:val="808080" w:themeColor="background1" w:themeShade="80"/>
          <w:sz w:val="22"/>
          <w:szCs w:val="22"/>
          <w:lang w:val="en-GB"/>
        </w:rPr>
        <w:t>100.</w:t>
      </w:r>
      <w:r w:rsidR="00765EFA" w:rsidRPr="00D15D62">
        <w:rPr>
          <w:rStyle w:val="FootnoteReference"/>
          <w:rFonts w:ascii="Arial" w:hAnsi="Arial" w:cs="Arial"/>
          <w:color w:val="808080" w:themeColor="background1" w:themeShade="80"/>
          <w:sz w:val="22"/>
          <w:szCs w:val="22"/>
          <w:lang w:val="en-GB"/>
        </w:rPr>
        <w:footnoteReference w:id="49"/>
      </w:r>
      <w:r w:rsidR="00765EFA" w:rsidRPr="00D15D62">
        <w:rPr>
          <w:rFonts w:ascii="Arial" w:hAnsi="Arial" w:cs="Arial"/>
          <w:color w:val="808080" w:themeColor="background1" w:themeShade="80"/>
          <w:sz w:val="22"/>
          <w:szCs w:val="22"/>
          <w:lang w:val="en-GB"/>
        </w:rPr>
        <w:t xml:space="preserve"> Section 54(3) states that the register of mortgages shall be open to a creditor’s inspection at all reasonable times. In the event such inspection is refused, any officer refusing the inspection, and </w:t>
      </w:r>
      <w:r w:rsidRPr="00D15D62">
        <w:rPr>
          <w:rFonts w:ascii="Arial" w:hAnsi="Arial" w:cs="Arial"/>
          <w:color w:val="808080" w:themeColor="background1" w:themeShade="80"/>
          <w:sz w:val="22"/>
          <w:szCs w:val="22"/>
          <w:lang w:val="en-GB"/>
        </w:rPr>
        <w:t xml:space="preserve">every director and manager </w:t>
      </w:r>
      <w:r w:rsidR="00765EFA" w:rsidRPr="00D15D62">
        <w:rPr>
          <w:rFonts w:ascii="Arial" w:hAnsi="Arial" w:cs="Arial"/>
          <w:color w:val="808080" w:themeColor="background1" w:themeShade="80"/>
          <w:sz w:val="22"/>
          <w:szCs w:val="22"/>
          <w:lang w:val="en-GB"/>
        </w:rPr>
        <w:t xml:space="preserve">who </w:t>
      </w:r>
      <w:r w:rsidRPr="00D15D62">
        <w:rPr>
          <w:rFonts w:ascii="Arial" w:hAnsi="Arial" w:cs="Arial"/>
          <w:color w:val="808080" w:themeColor="background1" w:themeShade="80"/>
          <w:sz w:val="22"/>
          <w:szCs w:val="22"/>
          <w:lang w:val="en-GB"/>
        </w:rPr>
        <w:t>authoris</w:t>
      </w:r>
      <w:r w:rsidR="00765EFA" w:rsidRPr="00D15D62">
        <w:rPr>
          <w:rFonts w:ascii="Arial" w:hAnsi="Arial" w:cs="Arial"/>
          <w:color w:val="808080" w:themeColor="background1" w:themeShade="80"/>
          <w:sz w:val="22"/>
          <w:szCs w:val="22"/>
          <w:lang w:val="en-GB"/>
        </w:rPr>
        <w:t>es</w:t>
      </w:r>
      <w:r w:rsidRPr="00D15D62">
        <w:rPr>
          <w:rFonts w:ascii="Arial" w:hAnsi="Arial" w:cs="Arial"/>
          <w:color w:val="808080" w:themeColor="background1" w:themeShade="80"/>
          <w:sz w:val="22"/>
          <w:szCs w:val="22"/>
          <w:lang w:val="en-GB"/>
        </w:rPr>
        <w:t xml:space="preserve"> or knowingly</w:t>
      </w:r>
      <w:r w:rsidR="00765EFA" w:rsidRPr="00D15D62">
        <w:rPr>
          <w:rFonts w:ascii="Arial" w:hAnsi="Arial" w:cs="Arial"/>
          <w:color w:val="808080" w:themeColor="background1" w:themeShade="80"/>
          <w:sz w:val="22"/>
          <w:szCs w:val="22"/>
          <w:lang w:val="en-GB"/>
        </w:rPr>
        <w:t xml:space="preserve"> </w:t>
      </w:r>
      <w:r w:rsidRPr="00D15D62">
        <w:rPr>
          <w:rFonts w:ascii="Arial" w:hAnsi="Arial" w:cs="Arial"/>
          <w:color w:val="808080" w:themeColor="background1" w:themeShade="80"/>
          <w:sz w:val="22"/>
          <w:szCs w:val="22"/>
          <w:lang w:val="en-GB"/>
        </w:rPr>
        <w:t>and wilfully permit</w:t>
      </w:r>
      <w:r w:rsidR="00765EFA" w:rsidRPr="00D15D62">
        <w:rPr>
          <w:rFonts w:ascii="Arial" w:hAnsi="Arial" w:cs="Arial"/>
          <w:color w:val="808080" w:themeColor="background1" w:themeShade="80"/>
          <w:sz w:val="22"/>
          <w:szCs w:val="22"/>
          <w:lang w:val="en-GB"/>
        </w:rPr>
        <w:t>s</w:t>
      </w:r>
      <w:r w:rsidRPr="00D15D62">
        <w:rPr>
          <w:rFonts w:ascii="Arial" w:hAnsi="Arial" w:cs="Arial"/>
          <w:color w:val="808080" w:themeColor="background1" w:themeShade="80"/>
          <w:sz w:val="22"/>
          <w:szCs w:val="22"/>
          <w:lang w:val="en-GB"/>
        </w:rPr>
        <w:t xml:space="preserve"> such refusal shall incur a penalty of </w:t>
      </w:r>
      <w:r w:rsidR="001127CD" w:rsidRPr="00D15D62">
        <w:rPr>
          <w:rFonts w:ascii="Arial" w:hAnsi="Arial" w:cs="Arial"/>
          <w:color w:val="808080" w:themeColor="background1" w:themeShade="80"/>
          <w:sz w:val="22"/>
          <w:szCs w:val="22"/>
          <w:lang w:val="en-GB"/>
        </w:rPr>
        <w:t>KYD</w:t>
      </w:r>
      <w:r w:rsidR="00765EFA" w:rsidRPr="00D15D62">
        <w:rPr>
          <w:rFonts w:ascii="Arial" w:hAnsi="Arial" w:cs="Arial"/>
          <w:color w:val="808080" w:themeColor="background1" w:themeShade="80"/>
          <w:sz w:val="22"/>
          <w:szCs w:val="22"/>
          <w:lang w:val="en-GB"/>
        </w:rPr>
        <w:t>4</w:t>
      </w:r>
      <w:r w:rsidRPr="00D15D62">
        <w:rPr>
          <w:rFonts w:ascii="Arial" w:hAnsi="Arial" w:cs="Arial"/>
          <w:color w:val="808080" w:themeColor="background1" w:themeShade="80"/>
          <w:sz w:val="22"/>
          <w:szCs w:val="22"/>
          <w:lang w:val="en-GB"/>
        </w:rPr>
        <w:t xml:space="preserve"> for every day during which such</w:t>
      </w:r>
      <w:r w:rsidR="00765EFA" w:rsidRPr="00D15D62">
        <w:rPr>
          <w:rFonts w:ascii="Arial" w:hAnsi="Arial" w:cs="Arial"/>
          <w:color w:val="808080" w:themeColor="background1" w:themeShade="80"/>
          <w:sz w:val="22"/>
          <w:szCs w:val="22"/>
          <w:lang w:val="en-GB"/>
        </w:rPr>
        <w:t xml:space="preserve"> </w:t>
      </w:r>
      <w:r w:rsidRPr="00D15D62">
        <w:rPr>
          <w:rFonts w:ascii="Arial" w:hAnsi="Arial" w:cs="Arial"/>
          <w:color w:val="808080" w:themeColor="background1" w:themeShade="80"/>
          <w:sz w:val="22"/>
          <w:szCs w:val="22"/>
          <w:lang w:val="en-GB"/>
        </w:rPr>
        <w:t>refusal continues</w:t>
      </w:r>
      <w:r w:rsidR="00765EFA" w:rsidRPr="00D15D62">
        <w:rPr>
          <w:rFonts w:ascii="Arial" w:hAnsi="Arial" w:cs="Arial"/>
          <w:color w:val="808080" w:themeColor="background1" w:themeShade="80"/>
          <w:sz w:val="22"/>
          <w:szCs w:val="22"/>
          <w:lang w:val="en-GB"/>
        </w:rPr>
        <w:t xml:space="preserve">. </w:t>
      </w:r>
      <w:r w:rsidR="00F058A6" w:rsidRPr="00D15D62">
        <w:rPr>
          <w:rFonts w:ascii="Arial" w:hAnsi="Arial" w:cs="Arial"/>
          <w:color w:val="808080" w:themeColor="background1" w:themeShade="80"/>
          <w:sz w:val="22"/>
          <w:szCs w:val="22"/>
          <w:lang w:val="en-GB"/>
        </w:rPr>
        <w:t>In addition</w:t>
      </w:r>
      <w:r w:rsidR="00765EFA" w:rsidRPr="00D15D62">
        <w:rPr>
          <w:rFonts w:ascii="Arial" w:hAnsi="Arial" w:cs="Arial"/>
          <w:color w:val="808080" w:themeColor="background1" w:themeShade="80"/>
          <w:sz w:val="22"/>
          <w:szCs w:val="22"/>
          <w:lang w:val="en-GB"/>
        </w:rPr>
        <w:t>, the Judge may, compel an immediate inspection of the register by way of order.</w:t>
      </w:r>
      <w:r w:rsidR="00765EFA" w:rsidRPr="00D15D62">
        <w:rPr>
          <w:rStyle w:val="FootnoteReference"/>
          <w:rFonts w:ascii="Arial" w:hAnsi="Arial" w:cs="Arial"/>
          <w:color w:val="808080" w:themeColor="background1" w:themeShade="80"/>
          <w:sz w:val="22"/>
          <w:szCs w:val="22"/>
          <w:lang w:val="en-GB"/>
        </w:rPr>
        <w:footnoteReference w:id="50"/>
      </w:r>
    </w:p>
    <w:p w14:paraId="3959B385" w14:textId="77777777" w:rsidR="00895389" w:rsidRPr="00D15D62" w:rsidRDefault="00895389" w:rsidP="00D15D62">
      <w:pPr>
        <w:jc w:val="both"/>
        <w:rPr>
          <w:rFonts w:ascii="Arial" w:hAnsi="Arial" w:cs="Arial"/>
          <w:color w:val="808080" w:themeColor="background1" w:themeShade="80"/>
          <w:sz w:val="22"/>
          <w:szCs w:val="22"/>
          <w:lang w:val="en-GB"/>
        </w:rPr>
      </w:pPr>
    </w:p>
    <w:p w14:paraId="64BC6513" w14:textId="287ECD0D" w:rsidR="0072558E" w:rsidRPr="00D15D62" w:rsidRDefault="0072558E" w:rsidP="00D15D62">
      <w:pPr>
        <w:jc w:val="both"/>
        <w:rPr>
          <w:rFonts w:ascii="Arial" w:hAnsi="Arial" w:cs="Arial"/>
          <w:color w:val="808080" w:themeColor="background1" w:themeShade="80"/>
          <w:sz w:val="22"/>
          <w:szCs w:val="22"/>
          <w:u w:val="single"/>
          <w:lang w:val="en-GB"/>
        </w:rPr>
      </w:pPr>
      <w:r w:rsidRPr="00D15D62">
        <w:rPr>
          <w:rFonts w:ascii="Arial" w:hAnsi="Arial" w:cs="Arial"/>
          <w:color w:val="808080" w:themeColor="background1" w:themeShade="80"/>
          <w:sz w:val="22"/>
          <w:szCs w:val="22"/>
          <w:u w:val="single"/>
          <w:lang w:val="en-GB"/>
        </w:rPr>
        <w:t>Effect of non-compliance</w:t>
      </w:r>
    </w:p>
    <w:p w14:paraId="30F79B9E" w14:textId="5C5DA561" w:rsidR="00E4294D" w:rsidRPr="00D15D62" w:rsidRDefault="00897D82" w:rsidP="00D15D62">
      <w:pPr>
        <w:jc w:val="both"/>
        <w:rPr>
          <w:rFonts w:ascii="Arial" w:hAnsi="Arial" w:cs="Arial"/>
          <w:color w:val="808080" w:themeColor="background1" w:themeShade="80"/>
          <w:sz w:val="22"/>
          <w:szCs w:val="22"/>
          <w:lang w:val="en-GB"/>
        </w:rPr>
      </w:pPr>
      <w:r w:rsidRPr="00D15D62">
        <w:rPr>
          <w:rFonts w:ascii="Arial" w:hAnsi="Arial" w:cs="Arial"/>
          <w:color w:val="808080" w:themeColor="background1" w:themeShade="80"/>
          <w:sz w:val="22"/>
          <w:szCs w:val="22"/>
          <w:lang w:val="en-GB"/>
        </w:rPr>
        <w:t>In the Cayman Islands, there is no statutory regime which requires security interests</w:t>
      </w:r>
      <w:r w:rsidR="00524F3A" w:rsidRPr="00D15D62">
        <w:rPr>
          <w:rFonts w:ascii="Arial" w:hAnsi="Arial" w:cs="Arial"/>
          <w:color w:val="808080" w:themeColor="background1" w:themeShade="80"/>
          <w:sz w:val="22"/>
          <w:szCs w:val="22"/>
          <w:lang w:val="en-GB"/>
        </w:rPr>
        <w:t xml:space="preserve"> to be perfected</w:t>
      </w:r>
      <w:r w:rsidRPr="00D15D62">
        <w:rPr>
          <w:rFonts w:ascii="Arial" w:hAnsi="Arial" w:cs="Arial"/>
          <w:color w:val="808080" w:themeColor="background1" w:themeShade="80"/>
          <w:sz w:val="22"/>
          <w:szCs w:val="22"/>
          <w:lang w:val="en-GB"/>
        </w:rPr>
        <w:t>.</w:t>
      </w:r>
      <w:r w:rsidRPr="00D15D62">
        <w:rPr>
          <w:rStyle w:val="FootnoteReference"/>
          <w:rFonts w:ascii="Arial" w:hAnsi="Arial" w:cs="Arial"/>
          <w:color w:val="808080" w:themeColor="background1" w:themeShade="80"/>
          <w:sz w:val="22"/>
          <w:szCs w:val="22"/>
          <w:lang w:val="en-GB"/>
        </w:rPr>
        <w:footnoteReference w:id="51"/>
      </w:r>
      <w:r w:rsidRPr="00D15D62">
        <w:rPr>
          <w:rFonts w:ascii="Arial" w:hAnsi="Arial" w:cs="Arial"/>
          <w:color w:val="808080" w:themeColor="background1" w:themeShade="80"/>
          <w:sz w:val="22"/>
          <w:szCs w:val="22"/>
          <w:lang w:val="en-GB"/>
        </w:rPr>
        <w:t xml:space="preserve"> </w:t>
      </w:r>
      <w:r w:rsidR="00A10C1E" w:rsidRPr="00D15D62">
        <w:rPr>
          <w:rFonts w:ascii="Arial" w:hAnsi="Arial" w:cs="Arial"/>
          <w:color w:val="808080" w:themeColor="background1" w:themeShade="80"/>
          <w:sz w:val="22"/>
          <w:szCs w:val="22"/>
          <w:lang w:val="en-GB"/>
        </w:rPr>
        <w:t>Non-compliance with the requisite formalities does not automatically render the security given void. However, there is a risk that the company who gave the security will not be bound by it and that a third party will acquire the asset which will be free of the creditor’s security interest (</w:t>
      </w:r>
      <w:r w:rsidR="00895389" w:rsidRPr="00D15D62">
        <w:rPr>
          <w:rFonts w:ascii="Arial" w:hAnsi="Arial" w:cs="Arial"/>
          <w:color w:val="808080" w:themeColor="background1" w:themeShade="80"/>
          <w:sz w:val="22"/>
          <w:szCs w:val="22"/>
          <w:lang w:val="en-GB"/>
        </w:rPr>
        <w:t>or acquire a higher rank</w:t>
      </w:r>
      <w:r w:rsidR="00ED757F" w:rsidRPr="00D15D62">
        <w:rPr>
          <w:rFonts w:ascii="Arial" w:hAnsi="Arial" w:cs="Arial"/>
          <w:color w:val="808080" w:themeColor="background1" w:themeShade="80"/>
          <w:sz w:val="22"/>
          <w:szCs w:val="22"/>
          <w:lang w:val="en-GB"/>
        </w:rPr>
        <w:t>ed</w:t>
      </w:r>
      <w:r w:rsidR="00895389" w:rsidRPr="00D15D62">
        <w:rPr>
          <w:rFonts w:ascii="Arial" w:hAnsi="Arial" w:cs="Arial"/>
          <w:color w:val="808080" w:themeColor="background1" w:themeShade="80"/>
          <w:sz w:val="22"/>
          <w:szCs w:val="22"/>
          <w:lang w:val="en-GB"/>
        </w:rPr>
        <w:t xml:space="preserve"> security interest over the </w:t>
      </w:r>
      <w:r w:rsidR="00A10C1E" w:rsidRPr="00D15D62">
        <w:rPr>
          <w:rFonts w:ascii="Arial" w:hAnsi="Arial" w:cs="Arial"/>
          <w:color w:val="808080" w:themeColor="background1" w:themeShade="80"/>
          <w:sz w:val="22"/>
          <w:szCs w:val="22"/>
          <w:lang w:val="en-GB"/>
        </w:rPr>
        <w:t xml:space="preserve">relevant </w:t>
      </w:r>
      <w:r w:rsidR="00895389" w:rsidRPr="00D15D62">
        <w:rPr>
          <w:rFonts w:ascii="Arial" w:hAnsi="Arial" w:cs="Arial"/>
          <w:color w:val="808080" w:themeColor="background1" w:themeShade="80"/>
          <w:sz w:val="22"/>
          <w:szCs w:val="22"/>
          <w:lang w:val="en-GB"/>
        </w:rPr>
        <w:t>as</w:t>
      </w:r>
      <w:r w:rsidR="00A10C1E" w:rsidRPr="00D15D62">
        <w:rPr>
          <w:rFonts w:ascii="Arial" w:hAnsi="Arial" w:cs="Arial"/>
          <w:color w:val="808080" w:themeColor="background1" w:themeShade="80"/>
          <w:sz w:val="22"/>
          <w:szCs w:val="22"/>
          <w:lang w:val="en-GB"/>
        </w:rPr>
        <w:t>set)</w:t>
      </w:r>
      <w:r w:rsidR="00A10C1E" w:rsidRPr="00D15D62">
        <w:rPr>
          <w:rStyle w:val="FootnoteReference"/>
          <w:rFonts w:ascii="Arial" w:hAnsi="Arial" w:cs="Arial"/>
          <w:color w:val="808080" w:themeColor="background1" w:themeShade="80"/>
          <w:sz w:val="22"/>
          <w:szCs w:val="22"/>
          <w:lang w:val="en-GB"/>
        </w:rPr>
        <w:footnoteReference w:id="52"/>
      </w:r>
      <w:r w:rsidR="00A10C1E" w:rsidRPr="00D15D62">
        <w:rPr>
          <w:rFonts w:ascii="Arial" w:hAnsi="Arial" w:cs="Arial"/>
          <w:color w:val="808080" w:themeColor="background1" w:themeShade="80"/>
          <w:sz w:val="22"/>
          <w:szCs w:val="22"/>
          <w:lang w:val="en-GB"/>
        </w:rPr>
        <w:t>.</w:t>
      </w:r>
      <w:r w:rsidR="00524F3A" w:rsidRPr="00D15D62">
        <w:rPr>
          <w:rFonts w:ascii="Arial" w:hAnsi="Arial" w:cs="Arial"/>
          <w:color w:val="808080" w:themeColor="background1" w:themeShade="80"/>
          <w:sz w:val="22"/>
          <w:szCs w:val="22"/>
          <w:lang w:val="en-GB"/>
        </w:rPr>
        <w:t xml:space="preserve"> It would therefore be prudent for a creditor to register their interest as set out above.</w:t>
      </w:r>
    </w:p>
    <w:p w14:paraId="39D50E2D" w14:textId="436B184C"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3248C7C8"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 xml:space="preserve">maximum </w:t>
      </w:r>
      <w:r w:rsidR="008603C4">
        <w:rPr>
          <w:rFonts w:ascii="Avenir Next Demi Bold" w:hAnsi="Avenir Next Demi Bold" w:cs="Arial"/>
          <w:b/>
          <w:bCs/>
          <w:sz w:val="22"/>
          <w:szCs w:val="22"/>
          <w:lang w:val="en-GB"/>
        </w:rPr>
        <w:t>6</w:t>
      </w:r>
      <w:r w:rsidR="00962045" w:rsidRPr="00310533">
        <w:rPr>
          <w:rFonts w:ascii="Avenir Next Demi Bold" w:hAnsi="Avenir Next Demi Bold" w:cs="Arial"/>
          <w:b/>
          <w:bCs/>
          <w:sz w:val="22"/>
          <w:szCs w:val="22"/>
          <w:lang w:val="en-GB"/>
        </w:rPr>
        <w:t xml:space="preserve"> marks] </w:t>
      </w:r>
    </w:p>
    <w:p w14:paraId="61BA6288" w14:textId="77777777" w:rsidR="00962045" w:rsidRDefault="00962045" w:rsidP="002A37BB">
      <w:pPr>
        <w:jc w:val="both"/>
        <w:rPr>
          <w:rFonts w:ascii="Avenir Next" w:hAnsi="Avenir Next" w:cs="Arial"/>
          <w:sz w:val="22"/>
          <w:szCs w:val="22"/>
          <w:lang w:val="en-GB"/>
        </w:rPr>
      </w:pPr>
    </w:p>
    <w:p w14:paraId="211D925D" w14:textId="0684CBF3" w:rsidR="008603C4" w:rsidRPr="00310533" w:rsidRDefault="008603C4" w:rsidP="002A37BB">
      <w:pPr>
        <w:jc w:val="both"/>
        <w:rPr>
          <w:rFonts w:ascii="Avenir Next" w:hAnsi="Avenir Next" w:cs="Arial"/>
          <w:sz w:val="22"/>
          <w:szCs w:val="22"/>
          <w:lang w:val="en-GB"/>
        </w:rPr>
      </w:pPr>
      <w:r w:rsidRPr="00310533">
        <w:rPr>
          <w:rFonts w:ascii="Avenir Next" w:hAnsi="Avenir Next" w:cs="Arial"/>
          <w:sz w:val="22"/>
          <w:szCs w:val="22"/>
          <w:shd w:val="clear" w:color="auto" w:fill="FFFFFF"/>
        </w:rPr>
        <w:t>Receivers have no role to play in a Cayman Islands insolvency scenario. Discuss.</w:t>
      </w:r>
    </w:p>
    <w:p w14:paraId="7F128F46" w14:textId="77777777" w:rsidR="00313CDC" w:rsidRDefault="00313CDC" w:rsidP="002A37BB">
      <w:pPr>
        <w:jc w:val="both"/>
        <w:rPr>
          <w:rFonts w:ascii="Avenir Next" w:hAnsi="Avenir Next" w:cs="Arial"/>
          <w:color w:val="808080" w:themeColor="background1" w:themeShade="80"/>
          <w:sz w:val="22"/>
          <w:szCs w:val="22"/>
          <w:lang w:val="en-GB"/>
        </w:rPr>
      </w:pPr>
    </w:p>
    <w:p w14:paraId="03988A4B" w14:textId="21BED9DF" w:rsidR="009F240A" w:rsidRPr="007E7BF7" w:rsidRDefault="009F240A" w:rsidP="009F240A">
      <w:pPr>
        <w:jc w:val="both"/>
        <w:rPr>
          <w:rFonts w:ascii="Arial" w:hAnsi="Arial" w:cs="Arial"/>
          <w:color w:val="808080" w:themeColor="background1" w:themeShade="80"/>
          <w:sz w:val="22"/>
          <w:szCs w:val="22"/>
          <w:lang w:val="en-GB"/>
        </w:rPr>
      </w:pPr>
      <w:r w:rsidRPr="007F4963">
        <w:rPr>
          <w:rFonts w:ascii="Arial" w:hAnsi="Arial" w:cs="Arial"/>
          <w:color w:val="808080" w:themeColor="background1" w:themeShade="80"/>
          <w:sz w:val="22"/>
          <w:szCs w:val="22"/>
          <w:lang w:val="en-GB"/>
        </w:rPr>
        <w:t>A receiver in the Cayman Islands “</w:t>
      </w:r>
      <w:r w:rsidR="00223BB9" w:rsidRPr="007F4963">
        <w:rPr>
          <w:rFonts w:ascii="Arial" w:hAnsi="Arial" w:cs="Arial"/>
          <w:i/>
          <w:iCs/>
          <w:color w:val="808080" w:themeColor="background1" w:themeShade="80"/>
          <w:sz w:val="22"/>
          <w:szCs w:val="22"/>
          <w:lang w:val="en-GB"/>
        </w:rPr>
        <w:t xml:space="preserve">is </w:t>
      </w:r>
      <w:r w:rsidRPr="007F4963">
        <w:rPr>
          <w:rFonts w:ascii="Arial" w:hAnsi="Arial" w:cs="Arial"/>
          <w:i/>
          <w:iCs/>
          <w:color w:val="808080" w:themeColor="background1" w:themeShade="80"/>
          <w:sz w:val="22"/>
          <w:szCs w:val="22"/>
          <w:lang w:val="en-GB"/>
        </w:rPr>
        <w:t>essentially a temporary custodian of assets</w:t>
      </w:r>
      <w:r w:rsidRPr="007F4963">
        <w:rPr>
          <w:rFonts w:ascii="Arial" w:hAnsi="Arial" w:cs="Arial"/>
          <w:color w:val="808080" w:themeColor="background1" w:themeShade="80"/>
          <w:sz w:val="22"/>
          <w:szCs w:val="22"/>
          <w:lang w:val="en-GB"/>
        </w:rPr>
        <w:t>.”</w:t>
      </w:r>
      <w:r w:rsidRPr="007F4963">
        <w:rPr>
          <w:rStyle w:val="FootnoteReference"/>
          <w:rFonts w:ascii="Arial" w:hAnsi="Arial" w:cs="Arial"/>
          <w:color w:val="808080" w:themeColor="background1" w:themeShade="80"/>
          <w:sz w:val="22"/>
          <w:szCs w:val="22"/>
          <w:lang w:val="en-GB"/>
        </w:rPr>
        <w:footnoteReference w:id="53"/>
      </w:r>
      <w:r w:rsidRPr="007F4963">
        <w:rPr>
          <w:rFonts w:ascii="Arial" w:hAnsi="Arial" w:cs="Arial"/>
          <w:color w:val="808080" w:themeColor="background1" w:themeShade="80"/>
          <w:sz w:val="22"/>
          <w:szCs w:val="22"/>
          <w:lang w:val="en-GB"/>
        </w:rPr>
        <w:t xml:space="preserve"> This essay will discuss the suggestion that receivers have no role to play in a Cayman Islands insolvency scenario.</w:t>
      </w:r>
    </w:p>
    <w:p w14:paraId="17DFC1AB" w14:textId="77777777" w:rsidR="009F240A" w:rsidRPr="00E30827" w:rsidRDefault="009F240A" w:rsidP="002A37BB">
      <w:pPr>
        <w:jc w:val="both"/>
        <w:rPr>
          <w:rFonts w:ascii="Arial" w:hAnsi="Arial" w:cs="Arial"/>
          <w:color w:val="808080" w:themeColor="background1" w:themeShade="80"/>
          <w:sz w:val="22"/>
          <w:szCs w:val="22"/>
          <w:lang w:val="en-GB"/>
        </w:rPr>
      </w:pPr>
    </w:p>
    <w:p w14:paraId="51BABAAE" w14:textId="350F227F" w:rsidR="009F240A" w:rsidRPr="00E30827" w:rsidRDefault="009F240A" w:rsidP="002A37BB">
      <w:pPr>
        <w:jc w:val="both"/>
        <w:rPr>
          <w:rFonts w:ascii="Arial" w:hAnsi="Arial" w:cs="Arial"/>
          <w:b/>
          <w:bCs/>
          <w:color w:val="808080" w:themeColor="background1" w:themeShade="80"/>
          <w:sz w:val="22"/>
          <w:szCs w:val="22"/>
          <w:u w:val="single"/>
          <w:lang w:val="en-GB"/>
        </w:rPr>
      </w:pPr>
      <w:r w:rsidRPr="00E30827">
        <w:rPr>
          <w:rFonts w:ascii="Arial" w:hAnsi="Arial" w:cs="Arial"/>
          <w:b/>
          <w:bCs/>
          <w:color w:val="808080" w:themeColor="background1" w:themeShade="80"/>
          <w:sz w:val="22"/>
          <w:szCs w:val="22"/>
          <w:u w:val="single"/>
          <w:lang w:val="en-GB"/>
        </w:rPr>
        <w:t>Receivers have no role to play in a Cayman Islands insolvency scenario</w:t>
      </w:r>
    </w:p>
    <w:p w14:paraId="3412EBD3" w14:textId="014AF13C" w:rsidR="00CE5DE1" w:rsidRPr="00E30827" w:rsidRDefault="00CE5DE1" w:rsidP="002A37BB">
      <w:pPr>
        <w:jc w:val="both"/>
        <w:rPr>
          <w:rFonts w:ascii="Arial" w:hAnsi="Arial" w:cs="Arial"/>
          <w:color w:val="808080" w:themeColor="background1" w:themeShade="80"/>
          <w:sz w:val="22"/>
          <w:szCs w:val="22"/>
          <w:u w:val="single"/>
          <w:lang w:val="en-GB"/>
        </w:rPr>
      </w:pPr>
      <w:r w:rsidRPr="00E30827">
        <w:rPr>
          <w:rFonts w:ascii="Arial" w:hAnsi="Arial" w:cs="Arial"/>
          <w:color w:val="808080" w:themeColor="background1" w:themeShade="80"/>
          <w:sz w:val="22"/>
          <w:szCs w:val="22"/>
          <w:u w:val="single"/>
          <w:lang w:val="en-GB"/>
        </w:rPr>
        <w:t>Privately appointed receiver</w:t>
      </w:r>
    </w:p>
    <w:p w14:paraId="5BE1494F" w14:textId="2BC608CC" w:rsidR="00313CDC" w:rsidRPr="00E30827" w:rsidRDefault="00E518EC" w:rsidP="002A37BB">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 xml:space="preserve">When a borrower faces financial difficulties in the Cayman Islands, </w:t>
      </w:r>
      <w:r w:rsidR="00C505C7" w:rsidRPr="00E30827">
        <w:rPr>
          <w:rFonts w:ascii="Arial" w:hAnsi="Arial" w:cs="Arial"/>
          <w:color w:val="808080" w:themeColor="background1" w:themeShade="80"/>
          <w:sz w:val="22"/>
          <w:szCs w:val="22"/>
          <w:lang w:val="en-GB"/>
        </w:rPr>
        <w:t xml:space="preserve">a </w:t>
      </w:r>
      <w:r w:rsidRPr="00E30827">
        <w:rPr>
          <w:rFonts w:ascii="Arial" w:hAnsi="Arial" w:cs="Arial"/>
          <w:color w:val="808080" w:themeColor="background1" w:themeShade="80"/>
          <w:sz w:val="22"/>
          <w:szCs w:val="22"/>
          <w:lang w:val="en-GB"/>
        </w:rPr>
        <w:t>creditor ha</w:t>
      </w:r>
      <w:r w:rsidR="00C505C7" w:rsidRPr="00E30827">
        <w:rPr>
          <w:rFonts w:ascii="Arial" w:hAnsi="Arial" w:cs="Arial"/>
          <w:color w:val="808080" w:themeColor="background1" w:themeShade="80"/>
          <w:sz w:val="22"/>
          <w:szCs w:val="22"/>
          <w:lang w:val="en-GB"/>
        </w:rPr>
        <w:t>s</w:t>
      </w:r>
      <w:r w:rsidRPr="00E30827">
        <w:rPr>
          <w:rFonts w:ascii="Arial" w:hAnsi="Arial" w:cs="Arial"/>
          <w:color w:val="808080" w:themeColor="background1" w:themeShade="80"/>
          <w:sz w:val="22"/>
          <w:szCs w:val="22"/>
          <w:lang w:val="en-GB"/>
        </w:rPr>
        <w:t xml:space="preserve"> a range of enforcement, restructuring and insolvency options available to them. In the event that the borrower has granted security over the shares or assets and undertakings of a</w:t>
      </w:r>
      <w:r w:rsidR="00005B61" w:rsidRPr="00E30827">
        <w:rPr>
          <w:rFonts w:ascii="Arial" w:hAnsi="Arial" w:cs="Arial"/>
          <w:color w:val="808080" w:themeColor="background1" w:themeShade="80"/>
          <w:sz w:val="22"/>
          <w:szCs w:val="22"/>
          <w:lang w:val="en-GB"/>
        </w:rPr>
        <w:t xml:space="preserve"> Cayman Islands</w:t>
      </w:r>
      <w:r w:rsidRPr="00E30827">
        <w:rPr>
          <w:rFonts w:ascii="Arial" w:hAnsi="Arial" w:cs="Arial"/>
          <w:color w:val="808080" w:themeColor="background1" w:themeShade="80"/>
          <w:sz w:val="22"/>
          <w:szCs w:val="22"/>
          <w:lang w:val="en-GB"/>
        </w:rPr>
        <w:t xml:space="preserve"> company and the security document is governed by Cayman Islands law, receivership may be the most appropriate enforcement action for the secured creditor.</w:t>
      </w:r>
      <w:r w:rsidRPr="00E30827">
        <w:rPr>
          <w:rStyle w:val="FootnoteReference"/>
          <w:rFonts w:ascii="Arial" w:hAnsi="Arial" w:cs="Arial"/>
          <w:color w:val="808080" w:themeColor="background1" w:themeShade="80"/>
          <w:sz w:val="22"/>
          <w:szCs w:val="22"/>
          <w:lang w:val="en-GB"/>
        </w:rPr>
        <w:footnoteReference w:id="54"/>
      </w:r>
      <w:r w:rsidR="00005B61" w:rsidRPr="00E30827">
        <w:rPr>
          <w:rFonts w:ascii="Arial" w:hAnsi="Arial" w:cs="Arial"/>
          <w:color w:val="808080" w:themeColor="background1" w:themeShade="80"/>
          <w:sz w:val="22"/>
          <w:szCs w:val="22"/>
          <w:lang w:val="en-GB"/>
        </w:rPr>
        <w:t xml:space="preserve"> </w:t>
      </w:r>
      <w:r w:rsidR="00971FCE" w:rsidRPr="00E30827">
        <w:rPr>
          <w:rFonts w:ascii="Arial" w:hAnsi="Arial" w:cs="Arial"/>
          <w:color w:val="808080" w:themeColor="background1" w:themeShade="80"/>
          <w:sz w:val="22"/>
          <w:szCs w:val="22"/>
          <w:lang w:val="en-GB"/>
        </w:rPr>
        <w:t xml:space="preserve">A receiver who is privately appointed </w:t>
      </w:r>
      <w:r w:rsidR="00005B61" w:rsidRPr="00E30827">
        <w:rPr>
          <w:rFonts w:ascii="Arial" w:hAnsi="Arial" w:cs="Arial"/>
          <w:color w:val="808080" w:themeColor="background1" w:themeShade="80"/>
          <w:sz w:val="22"/>
          <w:szCs w:val="22"/>
          <w:lang w:val="en-GB"/>
        </w:rPr>
        <w:t xml:space="preserve">(i.e. </w:t>
      </w:r>
      <w:r w:rsidR="00971FCE" w:rsidRPr="00E30827">
        <w:rPr>
          <w:rFonts w:ascii="Arial" w:hAnsi="Arial" w:cs="Arial"/>
          <w:color w:val="808080" w:themeColor="background1" w:themeShade="80"/>
          <w:sz w:val="22"/>
          <w:szCs w:val="22"/>
          <w:lang w:val="en-GB"/>
        </w:rPr>
        <w:t>by a secured creditor pursuant to the secured creditor’s right in the relevant security document</w:t>
      </w:r>
      <w:r w:rsidR="00005B61" w:rsidRPr="00E30827">
        <w:rPr>
          <w:rFonts w:ascii="Arial" w:hAnsi="Arial" w:cs="Arial"/>
          <w:color w:val="808080" w:themeColor="background1" w:themeShade="80"/>
          <w:sz w:val="22"/>
          <w:szCs w:val="22"/>
          <w:lang w:val="en-GB"/>
        </w:rPr>
        <w:t>)</w:t>
      </w:r>
      <w:r w:rsidR="00971FCE" w:rsidRPr="00E30827">
        <w:rPr>
          <w:rFonts w:ascii="Arial" w:hAnsi="Arial" w:cs="Arial"/>
          <w:color w:val="808080" w:themeColor="background1" w:themeShade="80"/>
          <w:sz w:val="22"/>
          <w:szCs w:val="22"/>
          <w:lang w:val="en-GB"/>
        </w:rPr>
        <w:t xml:space="preserve"> is one of two types of receivership</w:t>
      </w:r>
      <w:r w:rsidR="00005B61" w:rsidRPr="00E30827">
        <w:rPr>
          <w:rFonts w:ascii="Arial" w:hAnsi="Arial" w:cs="Arial"/>
          <w:color w:val="808080" w:themeColor="background1" w:themeShade="80"/>
          <w:sz w:val="22"/>
          <w:szCs w:val="22"/>
          <w:lang w:val="en-GB"/>
        </w:rPr>
        <w:t xml:space="preserve">, with </w:t>
      </w:r>
      <w:r w:rsidR="00971FCE" w:rsidRPr="00E30827">
        <w:rPr>
          <w:rFonts w:ascii="Arial" w:hAnsi="Arial" w:cs="Arial"/>
          <w:color w:val="808080" w:themeColor="background1" w:themeShade="80"/>
          <w:sz w:val="22"/>
          <w:szCs w:val="22"/>
          <w:lang w:val="en-GB"/>
        </w:rPr>
        <w:t xml:space="preserve">the other being a court appointed receiver </w:t>
      </w:r>
      <w:r w:rsidR="00005B61" w:rsidRPr="00E30827">
        <w:rPr>
          <w:rFonts w:ascii="Arial" w:hAnsi="Arial" w:cs="Arial"/>
          <w:color w:val="808080" w:themeColor="background1" w:themeShade="80"/>
          <w:sz w:val="22"/>
          <w:szCs w:val="22"/>
          <w:lang w:val="en-GB"/>
        </w:rPr>
        <w:t>(</w:t>
      </w:r>
      <w:r w:rsidR="00971FCE" w:rsidRPr="00E30827">
        <w:rPr>
          <w:rFonts w:ascii="Arial" w:hAnsi="Arial" w:cs="Arial"/>
          <w:color w:val="808080" w:themeColor="background1" w:themeShade="80"/>
          <w:sz w:val="22"/>
          <w:szCs w:val="22"/>
          <w:lang w:val="en-GB"/>
        </w:rPr>
        <w:t>see below).</w:t>
      </w:r>
    </w:p>
    <w:p w14:paraId="1A0B4676" w14:textId="77777777" w:rsidR="00F9694E" w:rsidRPr="00E30827" w:rsidRDefault="00F9694E" w:rsidP="0081100A">
      <w:pPr>
        <w:jc w:val="both"/>
        <w:rPr>
          <w:rFonts w:ascii="Arial" w:hAnsi="Arial" w:cs="Arial"/>
          <w:color w:val="808080" w:themeColor="background1" w:themeShade="80"/>
          <w:sz w:val="22"/>
          <w:szCs w:val="22"/>
          <w:lang w:val="en-GB"/>
        </w:rPr>
      </w:pPr>
    </w:p>
    <w:p w14:paraId="3E2800F8" w14:textId="25CF3AB0" w:rsidR="008E7E3D" w:rsidRPr="00E30827" w:rsidRDefault="003E3B05" w:rsidP="0081100A">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 xml:space="preserve">Under Cayman Islands law, there are no specific statutory provisions which determine how the receiver should be appointed and the appointment of a receiver, to be valid, must be made in accordance with the terms of the security document. Further, </w:t>
      </w:r>
      <w:r w:rsidR="00313CDC" w:rsidRPr="00E30827">
        <w:rPr>
          <w:rFonts w:ascii="Arial" w:hAnsi="Arial" w:cs="Arial"/>
          <w:color w:val="808080" w:themeColor="background1" w:themeShade="80"/>
          <w:sz w:val="22"/>
          <w:szCs w:val="22"/>
          <w:lang w:val="en-GB"/>
        </w:rPr>
        <w:t xml:space="preserve">a creditor is not required to obtain a court order and </w:t>
      </w:r>
      <w:r w:rsidRPr="00E30827">
        <w:rPr>
          <w:rFonts w:ascii="Arial" w:hAnsi="Arial" w:cs="Arial"/>
          <w:color w:val="808080" w:themeColor="background1" w:themeShade="80"/>
          <w:sz w:val="22"/>
          <w:szCs w:val="22"/>
          <w:lang w:val="en-GB"/>
        </w:rPr>
        <w:t>there is no statutory requirement to register the receiver’s appointment</w:t>
      </w:r>
      <w:r w:rsidR="00313CDC" w:rsidRPr="00E30827">
        <w:rPr>
          <w:rFonts w:ascii="Arial" w:hAnsi="Arial" w:cs="Arial"/>
          <w:color w:val="808080" w:themeColor="background1" w:themeShade="80"/>
          <w:sz w:val="22"/>
          <w:szCs w:val="22"/>
          <w:lang w:val="en-GB"/>
        </w:rPr>
        <w:t xml:space="preserve"> with the court</w:t>
      </w:r>
      <w:r w:rsidRPr="00E30827">
        <w:rPr>
          <w:rFonts w:ascii="Arial" w:hAnsi="Arial" w:cs="Arial"/>
          <w:color w:val="808080" w:themeColor="background1" w:themeShade="80"/>
          <w:sz w:val="22"/>
          <w:szCs w:val="22"/>
          <w:lang w:val="en-GB"/>
        </w:rPr>
        <w:t>.</w:t>
      </w:r>
      <w:r w:rsidR="00313CDC" w:rsidRPr="00E30827">
        <w:rPr>
          <w:rFonts w:ascii="Arial" w:hAnsi="Arial" w:cs="Arial"/>
          <w:color w:val="808080" w:themeColor="background1" w:themeShade="80"/>
          <w:sz w:val="22"/>
          <w:szCs w:val="22"/>
          <w:lang w:val="en-GB"/>
        </w:rPr>
        <w:t xml:space="preserve"> Such a </w:t>
      </w:r>
      <w:r w:rsidRPr="00E30827">
        <w:rPr>
          <w:rFonts w:ascii="Arial" w:hAnsi="Arial" w:cs="Arial"/>
          <w:color w:val="7B7B7B" w:themeColor="accent3" w:themeShade="BF"/>
          <w:sz w:val="22"/>
          <w:szCs w:val="22"/>
          <w:lang w:val="en-HK"/>
        </w:rPr>
        <w:t>“</w:t>
      </w:r>
      <w:r w:rsidRPr="00E30827">
        <w:rPr>
          <w:rFonts w:ascii="Arial" w:hAnsi="Arial" w:cs="Arial"/>
          <w:i/>
          <w:iCs/>
          <w:color w:val="7B7B7B" w:themeColor="accent3" w:themeShade="BF"/>
          <w:sz w:val="22"/>
          <w:szCs w:val="22"/>
          <w:lang w:val="en-HK"/>
        </w:rPr>
        <w:t>streamlined approach allows for efficient asset realization and the recovery of outstanding debts</w:t>
      </w:r>
      <w:r w:rsidRPr="00E30827">
        <w:rPr>
          <w:rFonts w:ascii="Arial" w:hAnsi="Arial" w:cs="Arial"/>
          <w:color w:val="7B7B7B" w:themeColor="accent3" w:themeShade="BF"/>
          <w:sz w:val="22"/>
          <w:szCs w:val="22"/>
          <w:lang w:val="en-HK"/>
        </w:rPr>
        <w:t>.”</w:t>
      </w:r>
      <w:r w:rsidRPr="00E30827">
        <w:rPr>
          <w:rStyle w:val="FootnoteReference"/>
          <w:rFonts w:ascii="Arial" w:hAnsi="Arial" w:cs="Arial"/>
          <w:color w:val="7B7B7B" w:themeColor="accent3" w:themeShade="BF"/>
          <w:sz w:val="22"/>
          <w:szCs w:val="22"/>
          <w:lang w:val="en-HK"/>
        </w:rPr>
        <w:footnoteReference w:id="55"/>
      </w:r>
      <w:r w:rsidR="00485632" w:rsidRPr="00E30827">
        <w:rPr>
          <w:rFonts w:ascii="Arial" w:hAnsi="Arial" w:cs="Arial"/>
          <w:color w:val="808080" w:themeColor="background1" w:themeShade="80"/>
          <w:sz w:val="22"/>
          <w:szCs w:val="22"/>
          <w:lang w:val="en-GB"/>
        </w:rPr>
        <w:t xml:space="preserve"> The </w:t>
      </w:r>
      <w:r w:rsidR="00983B21" w:rsidRPr="00E30827">
        <w:rPr>
          <w:rFonts w:ascii="Arial" w:hAnsi="Arial" w:cs="Arial"/>
          <w:color w:val="808080" w:themeColor="background1" w:themeShade="80"/>
          <w:sz w:val="22"/>
          <w:szCs w:val="22"/>
          <w:lang w:val="en-GB"/>
        </w:rPr>
        <w:t>receiver’s powers</w:t>
      </w:r>
      <w:r w:rsidR="008E7E3D" w:rsidRPr="00E30827">
        <w:rPr>
          <w:rFonts w:ascii="Arial" w:hAnsi="Arial" w:cs="Arial"/>
          <w:color w:val="808080" w:themeColor="background1" w:themeShade="80"/>
          <w:sz w:val="22"/>
          <w:szCs w:val="22"/>
          <w:lang w:val="en-GB"/>
        </w:rPr>
        <w:t xml:space="preserve"> will relate solely to the asset which was granted as collateral</w:t>
      </w:r>
      <w:r w:rsidR="007832C7" w:rsidRPr="00E30827">
        <w:rPr>
          <w:rFonts w:ascii="Arial" w:hAnsi="Arial" w:cs="Arial"/>
          <w:color w:val="808080" w:themeColor="background1" w:themeShade="80"/>
          <w:sz w:val="22"/>
          <w:szCs w:val="22"/>
          <w:lang w:val="en-GB"/>
        </w:rPr>
        <w:t xml:space="preserve"> and set out in the relevant security document</w:t>
      </w:r>
      <w:r w:rsidR="00D8022B" w:rsidRPr="00E30827">
        <w:rPr>
          <w:rFonts w:ascii="Arial" w:hAnsi="Arial" w:cs="Arial"/>
          <w:color w:val="808080" w:themeColor="background1" w:themeShade="80"/>
          <w:sz w:val="22"/>
          <w:szCs w:val="22"/>
          <w:lang w:val="en-GB"/>
        </w:rPr>
        <w:t>s. Further, the receiver’s primary duties will be owed to the secured party (</w:t>
      </w:r>
      <w:r w:rsidR="00983B21" w:rsidRPr="00E30827">
        <w:rPr>
          <w:rFonts w:ascii="Arial" w:hAnsi="Arial" w:cs="Arial"/>
          <w:color w:val="808080" w:themeColor="background1" w:themeShade="80"/>
          <w:sz w:val="22"/>
          <w:szCs w:val="22"/>
          <w:lang w:val="en-GB"/>
        </w:rPr>
        <w:t xml:space="preserve">although </w:t>
      </w:r>
      <w:r w:rsidR="00D8022B" w:rsidRPr="00E30827">
        <w:rPr>
          <w:rFonts w:ascii="Arial" w:hAnsi="Arial" w:cs="Arial"/>
          <w:color w:val="808080" w:themeColor="background1" w:themeShade="80"/>
          <w:sz w:val="22"/>
          <w:szCs w:val="22"/>
          <w:lang w:val="en-GB"/>
        </w:rPr>
        <w:t>secondary duties owed to other parties such as the borrower can arise).</w:t>
      </w:r>
      <w:r w:rsidR="007832C7" w:rsidRPr="00E30827">
        <w:rPr>
          <w:rStyle w:val="FootnoteReference"/>
          <w:rFonts w:ascii="Arial" w:hAnsi="Arial" w:cs="Arial"/>
          <w:color w:val="808080" w:themeColor="background1" w:themeShade="80"/>
          <w:sz w:val="22"/>
          <w:szCs w:val="22"/>
          <w:lang w:val="en-GB"/>
        </w:rPr>
        <w:footnoteReference w:id="56"/>
      </w:r>
      <w:r w:rsidR="00D8022B" w:rsidRPr="00E30827">
        <w:rPr>
          <w:rFonts w:ascii="Arial" w:hAnsi="Arial" w:cs="Arial"/>
          <w:color w:val="808080" w:themeColor="background1" w:themeShade="80"/>
          <w:sz w:val="22"/>
          <w:szCs w:val="22"/>
          <w:lang w:val="en-GB"/>
        </w:rPr>
        <w:t xml:space="preserve"> Despite this, the receiver will act in their capacity as an agent of the security provider which ensures that the secured party is not liable for any acts or omissions of the receiver during the receivership.</w:t>
      </w:r>
      <w:r w:rsidR="00D8022B" w:rsidRPr="00E30827">
        <w:rPr>
          <w:rStyle w:val="FootnoteReference"/>
          <w:rFonts w:ascii="Arial" w:hAnsi="Arial" w:cs="Arial"/>
          <w:color w:val="808080" w:themeColor="background1" w:themeShade="80"/>
          <w:sz w:val="22"/>
          <w:szCs w:val="22"/>
          <w:lang w:val="en-GB"/>
        </w:rPr>
        <w:footnoteReference w:id="57"/>
      </w:r>
      <w:r w:rsidR="00D8022B" w:rsidRPr="00E30827">
        <w:rPr>
          <w:rFonts w:ascii="Arial" w:hAnsi="Arial" w:cs="Arial"/>
          <w:color w:val="808080" w:themeColor="background1" w:themeShade="80"/>
          <w:sz w:val="22"/>
          <w:szCs w:val="22"/>
          <w:lang w:val="en-GB"/>
        </w:rPr>
        <w:t xml:space="preserve"> The receiver is obliged to take the necessary steps to obtain the best price which is reasonably obtainable for the secured asset.</w:t>
      </w:r>
    </w:p>
    <w:p w14:paraId="494A8844" w14:textId="77777777" w:rsidR="00983B21" w:rsidRPr="00E30827" w:rsidRDefault="00983B21" w:rsidP="0081100A">
      <w:pPr>
        <w:jc w:val="both"/>
        <w:rPr>
          <w:rFonts w:ascii="Arial" w:hAnsi="Arial" w:cs="Arial"/>
          <w:color w:val="808080" w:themeColor="background1" w:themeShade="80"/>
          <w:sz w:val="22"/>
          <w:szCs w:val="22"/>
          <w:lang w:val="en-GB"/>
        </w:rPr>
      </w:pPr>
    </w:p>
    <w:p w14:paraId="0C6D4394" w14:textId="64ED0E61" w:rsidR="00CE5DE1" w:rsidRPr="00E30827" w:rsidRDefault="00CE5DE1" w:rsidP="0081100A">
      <w:pPr>
        <w:jc w:val="both"/>
        <w:rPr>
          <w:rFonts w:ascii="Arial" w:hAnsi="Arial" w:cs="Arial"/>
          <w:color w:val="808080" w:themeColor="background1" w:themeShade="80"/>
          <w:sz w:val="22"/>
          <w:szCs w:val="22"/>
          <w:u w:val="single"/>
          <w:lang w:val="en-GB"/>
        </w:rPr>
      </w:pPr>
      <w:r w:rsidRPr="00E30827">
        <w:rPr>
          <w:rFonts w:ascii="Arial" w:hAnsi="Arial" w:cs="Arial"/>
          <w:color w:val="808080" w:themeColor="background1" w:themeShade="80"/>
          <w:sz w:val="22"/>
          <w:szCs w:val="22"/>
          <w:u w:val="single"/>
          <w:lang w:val="en-GB"/>
        </w:rPr>
        <w:t>Distinction between receivership and liquidation</w:t>
      </w:r>
    </w:p>
    <w:p w14:paraId="2590C650" w14:textId="4D189C88" w:rsidR="00C505C7" w:rsidRPr="00E30827" w:rsidRDefault="00D8022B" w:rsidP="00D8022B">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A distinction can be drawn between a receiver</w:t>
      </w:r>
      <w:r w:rsidR="00485632" w:rsidRPr="00E30827">
        <w:rPr>
          <w:rFonts w:ascii="Arial" w:hAnsi="Arial" w:cs="Arial"/>
          <w:color w:val="808080" w:themeColor="background1" w:themeShade="80"/>
          <w:sz w:val="22"/>
          <w:szCs w:val="22"/>
          <w:lang w:val="en-GB"/>
        </w:rPr>
        <w:t>ship</w:t>
      </w:r>
      <w:r w:rsidRPr="00E30827">
        <w:rPr>
          <w:rFonts w:ascii="Arial" w:hAnsi="Arial" w:cs="Arial"/>
          <w:color w:val="808080" w:themeColor="background1" w:themeShade="80"/>
          <w:sz w:val="22"/>
          <w:szCs w:val="22"/>
          <w:lang w:val="en-GB"/>
        </w:rPr>
        <w:t xml:space="preserve"> and liquidat</w:t>
      </w:r>
      <w:r w:rsidR="00485632" w:rsidRPr="00E30827">
        <w:rPr>
          <w:rFonts w:ascii="Arial" w:hAnsi="Arial" w:cs="Arial"/>
          <w:color w:val="808080" w:themeColor="background1" w:themeShade="80"/>
          <w:sz w:val="22"/>
          <w:szCs w:val="22"/>
          <w:lang w:val="en-GB"/>
        </w:rPr>
        <w:t>ion</w:t>
      </w:r>
      <w:r w:rsidRPr="00E30827">
        <w:rPr>
          <w:rFonts w:ascii="Arial" w:hAnsi="Arial" w:cs="Arial"/>
          <w:color w:val="808080" w:themeColor="background1" w:themeShade="80"/>
          <w:sz w:val="22"/>
          <w:szCs w:val="22"/>
          <w:lang w:val="en-GB"/>
        </w:rPr>
        <w:t xml:space="preserve">. </w:t>
      </w:r>
      <w:r w:rsidR="00E30827">
        <w:rPr>
          <w:rFonts w:ascii="Arial" w:hAnsi="Arial" w:cs="Arial"/>
          <w:color w:val="808080" w:themeColor="background1" w:themeShade="80"/>
          <w:sz w:val="22"/>
          <w:szCs w:val="22"/>
          <w:lang w:val="en-GB"/>
        </w:rPr>
        <w:t>The appointment of a</w:t>
      </w:r>
      <w:r w:rsidR="00525A4F" w:rsidRPr="00E30827">
        <w:rPr>
          <w:rFonts w:ascii="Arial" w:hAnsi="Arial" w:cs="Arial"/>
          <w:color w:val="808080" w:themeColor="background1" w:themeShade="80"/>
          <w:sz w:val="22"/>
          <w:szCs w:val="22"/>
          <w:lang w:val="en-GB"/>
        </w:rPr>
        <w:t xml:space="preserve"> privately appointed receiver has the effect of taking away control of the asset from the security provider</w:t>
      </w:r>
      <w:r w:rsidR="00525A4F" w:rsidRPr="00E30827">
        <w:rPr>
          <w:rStyle w:val="FootnoteReference"/>
          <w:rFonts w:ascii="Arial" w:hAnsi="Arial" w:cs="Arial"/>
          <w:color w:val="808080" w:themeColor="background1" w:themeShade="80"/>
          <w:sz w:val="22"/>
          <w:szCs w:val="22"/>
          <w:lang w:val="en-GB"/>
        </w:rPr>
        <w:footnoteReference w:id="58"/>
      </w:r>
      <w:r w:rsidR="00525A4F" w:rsidRPr="00E30827">
        <w:rPr>
          <w:rFonts w:ascii="Arial" w:hAnsi="Arial" w:cs="Arial"/>
          <w:color w:val="808080" w:themeColor="background1" w:themeShade="80"/>
          <w:sz w:val="22"/>
          <w:szCs w:val="22"/>
          <w:lang w:val="en-GB"/>
        </w:rPr>
        <w:t xml:space="preserve">. </w:t>
      </w:r>
      <w:r w:rsidR="00680B0E" w:rsidRPr="00E30827">
        <w:rPr>
          <w:rFonts w:ascii="Arial" w:hAnsi="Arial" w:cs="Arial"/>
          <w:color w:val="808080" w:themeColor="background1" w:themeShade="80"/>
          <w:sz w:val="22"/>
          <w:szCs w:val="22"/>
          <w:lang w:val="en-GB"/>
        </w:rPr>
        <w:t xml:space="preserve">A receiver will act principally in the secured creditor’s interest and not </w:t>
      </w:r>
      <w:r w:rsidR="00525A4F" w:rsidRPr="00E30827">
        <w:rPr>
          <w:rFonts w:ascii="Arial" w:hAnsi="Arial" w:cs="Arial"/>
          <w:color w:val="808080" w:themeColor="background1" w:themeShade="80"/>
          <w:sz w:val="22"/>
          <w:szCs w:val="22"/>
          <w:lang w:val="en-GB"/>
        </w:rPr>
        <w:t xml:space="preserve">in the interest </w:t>
      </w:r>
      <w:r w:rsidR="00680B0E" w:rsidRPr="00E30827">
        <w:rPr>
          <w:rFonts w:ascii="Arial" w:hAnsi="Arial" w:cs="Arial"/>
          <w:color w:val="808080" w:themeColor="background1" w:themeShade="80"/>
          <w:sz w:val="22"/>
          <w:szCs w:val="22"/>
          <w:lang w:val="en-GB"/>
        </w:rPr>
        <w:t xml:space="preserve">of the general body of </w:t>
      </w:r>
      <w:r w:rsidR="006D56AD" w:rsidRPr="00E30827">
        <w:rPr>
          <w:rFonts w:ascii="Arial" w:hAnsi="Arial" w:cs="Arial"/>
          <w:color w:val="808080" w:themeColor="background1" w:themeShade="80"/>
          <w:sz w:val="22"/>
          <w:szCs w:val="22"/>
          <w:lang w:val="en-GB"/>
        </w:rPr>
        <w:t xml:space="preserve">the debtor’s </w:t>
      </w:r>
      <w:r w:rsidR="00680B0E" w:rsidRPr="00E30827">
        <w:rPr>
          <w:rFonts w:ascii="Arial" w:hAnsi="Arial" w:cs="Arial"/>
          <w:color w:val="808080" w:themeColor="background1" w:themeShade="80"/>
          <w:sz w:val="22"/>
          <w:szCs w:val="22"/>
          <w:lang w:val="en-GB"/>
        </w:rPr>
        <w:t>creditors</w:t>
      </w:r>
      <w:r w:rsidR="00983B21" w:rsidRPr="00E30827">
        <w:rPr>
          <w:rFonts w:ascii="Arial" w:hAnsi="Arial" w:cs="Arial"/>
          <w:color w:val="808080" w:themeColor="background1" w:themeShade="80"/>
          <w:sz w:val="22"/>
          <w:szCs w:val="22"/>
          <w:lang w:val="en-GB"/>
        </w:rPr>
        <w:t xml:space="preserve"> </w:t>
      </w:r>
      <w:r w:rsidR="00525A4F" w:rsidRPr="00E30827">
        <w:rPr>
          <w:rFonts w:ascii="Arial" w:hAnsi="Arial" w:cs="Arial"/>
          <w:color w:val="808080" w:themeColor="background1" w:themeShade="80"/>
          <w:sz w:val="22"/>
          <w:szCs w:val="22"/>
          <w:lang w:val="en-GB"/>
        </w:rPr>
        <w:t>(</w:t>
      </w:r>
      <w:r w:rsidR="00983B21" w:rsidRPr="00E30827">
        <w:rPr>
          <w:rFonts w:ascii="Arial" w:hAnsi="Arial" w:cs="Arial"/>
          <w:color w:val="808080" w:themeColor="background1" w:themeShade="80"/>
          <w:sz w:val="22"/>
          <w:szCs w:val="22"/>
          <w:lang w:val="en-GB"/>
        </w:rPr>
        <w:t xml:space="preserve">as is the case </w:t>
      </w:r>
      <w:r w:rsidR="00525A4F" w:rsidRPr="00E30827">
        <w:rPr>
          <w:rFonts w:ascii="Arial" w:hAnsi="Arial" w:cs="Arial"/>
          <w:color w:val="808080" w:themeColor="background1" w:themeShade="80"/>
          <w:sz w:val="22"/>
          <w:szCs w:val="22"/>
          <w:lang w:val="en-GB"/>
        </w:rPr>
        <w:t xml:space="preserve">of a liquidator </w:t>
      </w:r>
      <w:r w:rsidR="00983B21" w:rsidRPr="00E30827">
        <w:rPr>
          <w:rFonts w:ascii="Arial" w:hAnsi="Arial" w:cs="Arial"/>
          <w:color w:val="808080" w:themeColor="background1" w:themeShade="80"/>
          <w:sz w:val="22"/>
          <w:szCs w:val="22"/>
          <w:lang w:val="en-GB"/>
        </w:rPr>
        <w:t xml:space="preserve">in a </w:t>
      </w:r>
      <w:r w:rsidR="00983B21" w:rsidRPr="00E30827">
        <w:rPr>
          <w:rFonts w:ascii="Arial" w:hAnsi="Arial" w:cs="Arial"/>
          <w:color w:val="808080" w:themeColor="background1" w:themeShade="80"/>
          <w:sz w:val="22"/>
          <w:szCs w:val="22"/>
          <w:lang w:val="en-GB"/>
        </w:rPr>
        <w:lastRenderedPageBreak/>
        <w:t>liquidation</w:t>
      </w:r>
      <w:r w:rsidR="00680B0E" w:rsidRPr="00E30827">
        <w:rPr>
          <w:rFonts w:ascii="Arial" w:hAnsi="Arial" w:cs="Arial"/>
          <w:color w:val="808080" w:themeColor="background1" w:themeShade="80"/>
          <w:sz w:val="22"/>
          <w:szCs w:val="22"/>
          <w:lang w:val="en-GB"/>
        </w:rPr>
        <w:t>)</w:t>
      </w:r>
      <w:r w:rsidR="006D56AD" w:rsidRPr="00E30827">
        <w:rPr>
          <w:rFonts w:ascii="Arial" w:hAnsi="Arial" w:cs="Arial"/>
          <w:color w:val="808080" w:themeColor="background1" w:themeShade="80"/>
          <w:sz w:val="22"/>
          <w:szCs w:val="22"/>
          <w:lang w:val="en-GB"/>
        </w:rPr>
        <w:t>.</w:t>
      </w:r>
      <w:r w:rsidR="00680B0E" w:rsidRPr="00E30827">
        <w:rPr>
          <w:rFonts w:ascii="Arial" w:hAnsi="Arial" w:cs="Arial"/>
          <w:color w:val="808080" w:themeColor="background1" w:themeShade="80"/>
          <w:sz w:val="22"/>
          <w:szCs w:val="22"/>
          <w:lang w:val="en-GB"/>
        </w:rPr>
        <w:t xml:space="preserve"> A receivership </w:t>
      </w:r>
      <w:r w:rsidR="00E56559" w:rsidRPr="00E30827">
        <w:rPr>
          <w:rFonts w:ascii="Arial" w:hAnsi="Arial" w:cs="Arial"/>
          <w:color w:val="808080" w:themeColor="background1" w:themeShade="80"/>
          <w:sz w:val="22"/>
          <w:szCs w:val="22"/>
          <w:lang w:val="en-GB"/>
        </w:rPr>
        <w:t>is not a collective procedure</w:t>
      </w:r>
      <w:r w:rsidR="00485632" w:rsidRPr="00E30827">
        <w:rPr>
          <w:rFonts w:ascii="Arial" w:hAnsi="Arial" w:cs="Arial"/>
          <w:color w:val="808080" w:themeColor="background1" w:themeShade="80"/>
          <w:sz w:val="22"/>
          <w:szCs w:val="22"/>
          <w:lang w:val="en-GB"/>
        </w:rPr>
        <w:t xml:space="preserve"> - instead</w:t>
      </w:r>
      <w:r w:rsidR="00E56559" w:rsidRPr="00E30827">
        <w:rPr>
          <w:rFonts w:ascii="Arial" w:hAnsi="Arial" w:cs="Arial"/>
          <w:color w:val="808080" w:themeColor="background1" w:themeShade="80"/>
          <w:sz w:val="22"/>
          <w:szCs w:val="22"/>
          <w:lang w:val="en-GB"/>
        </w:rPr>
        <w:t xml:space="preserve"> it is “</w:t>
      </w:r>
      <w:r w:rsidR="00E56559" w:rsidRPr="00E30827">
        <w:rPr>
          <w:rFonts w:ascii="Arial" w:hAnsi="Arial" w:cs="Arial"/>
          <w:i/>
          <w:iCs/>
          <w:color w:val="808080" w:themeColor="background1" w:themeShade="80"/>
          <w:sz w:val="22"/>
          <w:szCs w:val="22"/>
          <w:lang w:val="en-GB"/>
        </w:rPr>
        <w:t xml:space="preserve">a </w:t>
      </w:r>
      <w:r w:rsidR="00E56559" w:rsidRPr="00E30827">
        <w:rPr>
          <w:rFonts w:ascii="Arial" w:hAnsi="Arial" w:cs="Arial"/>
          <w:i/>
          <w:iCs/>
          <w:color w:val="808080" w:themeColor="background1" w:themeShade="80"/>
          <w:sz w:val="22"/>
          <w:szCs w:val="22"/>
          <w:u w:val="single"/>
          <w:lang w:val="en-GB"/>
        </w:rPr>
        <w:t>contractual self-help</w:t>
      </w:r>
      <w:r w:rsidR="00E56559" w:rsidRPr="00E30827">
        <w:rPr>
          <w:rFonts w:ascii="Arial" w:hAnsi="Arial" w:cs="Arial"/>
          <w:i/>
          <w:iCs/>
          <w:color w:val="808080" w:themeColor="background1" w:themeShade="80"/>
          <w:sz w:val="22"/>
          <w:szCs w:val="22"/>
          <w:lang w:val="en-GB"/>
        </w:rPr>
        <w:t xml:space="preserve"> remedy only available to secured creditors…a secured creditor can enforce its security</w:t>
      </w:r>
      <w:r w:rsidR="00E30827">
        <w:rPr>
          <w:rFonts w:ascii="Arial" w:hAnsi="Arial" w:cs="Arial"/>
          <w:i/>
          <w:iCs/>
          <w:color w:val="808080" w:themeColor="background1" w:themeShade="80"/>
          <w:sz w:val="22"/>
          <w:szCs w:val="22"/>
          <w:lang w:val="en-GB"/>
        </w:rPr>
        <w:t>…</w:t>
      </w:r>
      <w:r w:rsidR="00E56559" w:rsidRPr="00E30827">
        <w:rPr>
          <w:rFonts w:ascii="Arial" w:hAnsi="Arial" w:cs="Arial"/>
          <w:i/>
          <w:iCs/>
          <w:color w:val="808080" w:themeColor="background1" w:themeShade="80"/>
          <w:sz w:val="22"/>
          <w:szCs w:val="22"/>
          <w:lang w:val="en-GB"/>
        </w:rPr>
        <w:t>and obtain repayment (full or partial) of the debt owed</w:t>
      </w:r>
      <w:r w:rsidR="00E56559" w:rsidRPr="00E30827">
        <w:rPr>
          <w:rFonts w:ascii="Arial" w:hAnsi="Arial" w:cs="Arial"/>
          <w:color w:val="808080" w:themeColor="background1" w:themeShade="80"/>
          <w:sz w:val="22"/>
          <w:szCs w:val="22"/>
          <w:lang w:val="en-GB"/>
        </w:rPr>
        <w:t>. [emphasis added]”</w:t>
      </w:r>
      <w:r w:rsidR="00E56559" w:rsidRPr="00E30827">
        <w:rPr>
          <w:rStyle w:val="FootnoteReference"/>
          <w:rFonts w:ascii="Arial" w:hAnsi="Arial" w:cs="Arial"/>
          <w:color w:val="808080" w:themeColor="background1" w:themeShade="80"/>
          <w:sz w:val="22"/>
          <w:szCs w:val="22"/>
          <w:lang w:val="en-GB"/>
        </w:rPr>
        <w:footnoteReference w:id="59"/>
      </w:r>
    </w:p>
    <w:p w14:paraId="7FECBB23" w14:textId="77777777" w:rsidR="00525A4F" w:rsidRPr="00E30827" w:rsidRDefault="00525A4F" w:rsidP="00D8022B">
      <w:pPr>
        <w:jc w:val="both"/>
        <w:rPr>
          <w:rFonts w:ascii="Arial" w:hAnsi="Arial" w:cs="Arial"/>
          <w:color w:val="808080" w:themeColor="background1" w:themeShade="80"/>
          <w:sz w:val="22"/>
          <w:szCs w:val="22"/>
          <w:lang w:val="en-GB"/>
        </w:rPr>
      </w:pPr>
    </w:p>
    <w:p w14:paraId="417894DF" w14:textId="18DCA853" w:rsidR="00CE5DE1" w:rsidRPr="00E30827" w:rsidRDefault="00F61A69" w:rsidP="00D8022B">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S</w:t>
      </w:r>
      <w:r w:rsidR="00C47029" w:rsidRPr="00E30827">
        <w:rPr>
          <w:rFonts w:ascii="Arial" w:hAnsi="Arial" w:cs="Arial"/>
          <w:color w:val="808080" w:themeColor="background1" w:themeShade="80"/>
          <w:sz w:val="22"/>
          <w:szCs w:val="22"/>
          <w:lang w:val="en-GB"/>
        </w:rPr>
        <w:t>ecured creditors rank in priority to all other creditors</w:t>
      </w:r>
      <w:r w:rsidRPr="00E30827">
        <w:rPr>
          <w:rFonts w:ascii="Arial" w:hAnsi="Arial" w:cs="Arial"/>
          <w:color w:val="808080" w:themeColor="background1" w:themeShade="80"/>
          <w:sz w:val="22"/>
          <w:szCs w:val="22"/>
          <w:lang w:val="en-GB"/>
        </w:rPr>
        <w:t xml:space="preserve"> in the event of an official liquidation or provisional liquidation (or during a company restructuring officer appointment). Secured creditors can realise the security outside of any liquidation (or restructuring process)</w:t>
      </w:r>
      <w:r w:rsidRPr="00E30827">
        <w:rPr>
          <w:rStyle w:val="FootnoteReference"/>
          <w:rFonts w:ascii="Arial" w:hAnsi="Arial" w:cs="Arial"/>
          <w:color w:val="808080" w:themeColor="background1" w:themeShade="80"/>
          <w:sz w:val="22"/>
          <w:szCs w:val="22"/>
          <w:lang w:val="en-GB"/>
        </w:rPr>
        <w:footnoteReference w:id="60"/>
      </w:r>
      <w:r w:rsidRPr="00E30827">
        <w:rPr>
          <w:rFonts w:ascii="Arial" w:hAnsi="Arial" w:cs="Arial"/>
          <w:color w:val="808080" w:themeColor="background1" w:themeShade="80"/>
          <w:sz w:val="22"/>
          <w:szCs w:val="22"/>
          <w:lang w:val="en-GB"/>
        </w:rPr>
        <w:t>. The interest of the secured creditor in the secured property will prevail over all other claims and this means that such secured property cannot be sold without the consent of the secured creditor, whether within or outside of an insolvency</w:t>
      </w:r>
      <w:r w:rsidRPr="00E30827">
        <w:rPr>
          <w:rStyle w:val="FootnoteReference"/>
          <w:rFonts w:ascii="Arial" w:hAnsi="Arial" w:cs="Arial"/>
          <w:color w:val="808080" w:themeColor="background1" w:themeShade="80"/>
          <w:sz w:val="22"/>
          <w:szCs w:val="22"/>
          <w:lang w:val="en-GB"/>
        </w:rPr>
        <w:footnoteReference w:id="61"/>
      </w:r>
      <w:r w:rsidRPr="00E30827">
        <w:rPr>
          <w:rFonts w:ascii="Arial" w:hAnsi="Arial" w:cs="Arial"/>
          <w:color w:val="808080" w:themeColor="background1" w:themeShade="80"/>
          <w:sz w:val="22"/>
          <w:szCs w:val="22"/>
          <w:lang w:val="en-GB"/>
        </w:rPr>
        <w:t xml:space="preserve">. </w:t>
      </w:r>
      <w:proofErr w:type="gramStart"/>
      <w:r w:rsidR="00DA550A">
        <w:rPr>
          <w:rFonts w:ascii="Arial" w:hAnsi="Arial" w:cs="Arial"/>
          <w:color w:val="808080" w:themeColor="background1" w:themeShade="80"/>
          <w:sz w:val="22"/>
          <w:szCs w:val="22"/>
          <w:lang w:val="en-GB"/>
        </w:rPr>
        <w:t>In light of</w:t>
      </w:r>
      <w:proofErr w:type="gramEnd"/>
      <w:r w:rsidR="00DA550A">
        <w:rPr>
          <w:rFonts w:ascii="Arial" w:hAnsi="Arial" w:cs="Arial"/>
          <w:color w:val="808080" w:themeColor="background1" w:themeShade="80"/>
          <w:sz w:val="22"/>
          <w:szCs w:val="22"/>
          <w:lang w:val="en-GB"/>
        </w:rPr>
        <w:t xml:space="preserve"> the above, it can t</w:t>
      </w:r>
      <w:r w:rsidR="006D56AD" w:rsidRPr="00E30827">
        <w:rPr>
          <w:rFonts w:ascii="Arial" w:hAnsi="Arial" w:cs="Arial"/>
          <w:color w:val="808080" w:themeColor="background1" w:themeShade="80"/>
          <w:sz w:val="22"/>
          <w:szCs w:val="22"/>
          <w:lang w:val="en-GB"/>
        </w:rPr>
        <w:t>herefore</w:t>
      </w:r>
      <w:r w:rsidR="00DA550A">
        <w:rPr>
          <w:rFonts w:ascii="Arial" w:hAnsi="Arial" w:cs="Arial"/>
          <w:color w:val="808080" w:themeColor="background1" w:themeShade="80"/>
          <w:sz w:val="22"/>
          <w:szCs w:val="22"/>
          <w:lang w:val="en-GB"/>
        </w:rPr>
        <w:t xml:space="preserve"> be argued</w:t>
      </w:r>
      <w:r w:rsidR="006D56AD" w:rsidRPr="00E30827">
        <w:rPr>
          <w:rFonts w:ascii="Arial" w:hAnsi="Arial" w:cs="Arial"/>
          <w:color w:val="808080" w:themeColor="background1" w:themeShade="80"/>
          <w:sz w:val="22"/>
          <w:szCs w:val="22"/>
          <w:lang w:val="en-GB"/>
        </w:rPr>
        <w:t xml:space="preserve"> that </w:t>
      </w:r>
      <w:r w:rsidR="00993D93">
        <w:rPr>
          <w:rFonts w:ascii="Arial" w:hAnsi="Arial" w:cs="Arial"/>
          <w:color w:val="808080" w:themeColor="background1" w:themeShade="80"/>
          <w:sz w:val="22"/>
          <w:szCs w:val="22"/>
          <w:lang w:val="en-GB"/>
        </w:rPr>
        <w:t xml:space="preserve">a </w:t>
      </w:r>
      <w:r w:rsidR="00C505C7" w:rsidRPr="00E30827">
        <w:rPr>
          <w:rFonts w:ascii="Arial" w:hAnsi="Arial" w:cs="Arial"/>
          <w:color w:val="808080" w:themeColor="background1" w:themeShade="80"/>
          <w:sz w:val="22"/>
          <w:szCs w:val="22"/>
          <w:lang w:val="en-GB"/>
        </w:rPr>
        <w:t>privately appointed receiver</w:t>
      </w:r>
      <w:r w:rsidR="006D56AD" w:rsidRPr="00E30827">
        <w:rPr>
          <w:rFonts w:ascii="Arial" w:hAnsi="Arial" w:cs="Arial"/>
          <w:color w:val="808080" w:themeColor="background1" w:themeShade="80"/>
          <w:sz w:val="22"/>
          <w:szCs w:val="22"/>
          <w:lang w:val="en-GB"/>
        </w:rPr>
        <w:t xml:space="preserve"> </w:t>
      </w:r>
      <w:r w:rsidR="00DA550A">
        <w:rPr>
          <w:rFonts w:ascii="Arial" w:hAnsi="Arial" w:cs="Arial"/>
          <w:color w:val="808080" w:themeColor="background1" w:themeShade="80"/>
          <w:sz w:val="22"/>
          <w:szCs w:val="22"/>
          <w:lang w:val="en-GB"/>
        </w:rPr>
        <w:t>plays a role</w:t>
      </w:r>
      <w:r w:rsidR="006D56AD" w:rsidRPr="00E30827">
        <w:rPr>
          <w:rFonts w:ascii="Arial" w:hAnsi="Arial" w:cs="Arial"/>
          <w:color w:val="808080" w:themeColor="background1" w:themeShade="80"/>
          <w:sz w:val="22"/>
          <w:szCs w:val="22"/>
          <w:lang w:val="en-GB"/>
        </w:rPr>
        <w:t xml:space="preserve"> </w:t>
      </w:r>
      <w:r w:rsidR="00DA550A">
        <w:rPr>
          <w:rFonts w:ascii="Arial" w:hAnsi="Arial" w:cs="Arial"/>
          <w:color w:val="808080" w:themeColor="background1" w:themeShade="80"/>
          <w:sz w:val="22"/>
          <w:szCs w:val="22"/>
          <w:lang w:val="en-GB"/>
        </w:rPr>
        <w:t xml:space="preserve">which is </w:t>
      </w:r>
      <w:r w:rsidR="00E30827" w:rsidRPr="00DA550A">
        <w:rPr>
          <w:rFonts w:ascii="Arial" w:hAnsi="Arial" w:cs="Arial"/>
          <w:color w:val="808080" w:themeColor="background1" w:themeShade="80"/>
          <w:sz w:val="22"/>
          <w:szCs w:val="22"/>
          <w:u w:val="single"/>
          <w:lang w:val="en-GB"/>
        </w:rPr>
        <w:t>outside</w:t>
      </w:r>
      <w:r w:rsidR="00E30827">
        <w:rPr>
          <w:rFonts w:ascii="Arial" w:hAnsi="Arial" w:cs="Arial"/>
          <w:color w:val="808080" w:themeColor="background1" w:themeShade="80"/>
          <w:sz w:val="22"/>
          <w:szCs w:val="22"/>
          <w:lang w:val="en-GB"/>
        </w:rPr>
        <w:t xml:space="preserve"> of </w:t>
      </w:r>
      <w:r w:rsidR="006D56AD" w:rsidRPr="00E30827">
        <w:rPr>
          <w:rFonts w:ascii="Arial" w:hAnsi="Arial" w:cs="Arial"/>
          <w:color w:val="808080" w:themeColor="background1" w:themeShade="80"/>
          <w:sz w:val="22"/>
          <w:szCs w:val="22"/>
          <w:lang w:val="en-GB"/>
        </w:rPr>
        <w:t>a Cayman Islands insolvency</w:t>
      </w:r>
      <w:r w:rsidR="00E30827">
        <w:rPr>
          <w:rFonts w:ascii="Arial" w:hAnsi="Arial" w:cs="Arial"/>
          <w:color w:val="808080" w:themeColor="background1" w:themeShade="80"/>
          <w:sz w:val="22"/>
          <w:szCs w:val="22"/>
          <w:lang w:val="en-GB"/>
        </w:rPr>
        <w:t xml:space="preserve"> scenario</w:t>
      </w:r>
      <w:r w:rsidR="00DA550A">
        <w:rPr>
          <w:rFonts w:ascii="Arial" w:hAnsi="Arial" w:cs="Arial"/>
          <w:color w:val="808080" w:themeColor="background1" w:themeShade="80"/>
          <w:sz w:val="22"/>
          <w:szCs w:val="22"/>
          <w:lang w:val="en-GB"/>
        </w:rPr>
        <w:t>. A privately appointed receiver does not affect any liquidation of the security provider nor has a role to play in relation to the liquidation.</w:t>
      </w:r>
    </w:p>
    <w:p w14:paraId="1BEEC2A8" w14:textId="77777777" w:rsidR="00CE5DE1" w:rsidRPr="00E30827" w:rsidRDefault="00CE5DE1" w:rsidP="00E56559">
      <w:pPr>
        <w:jc w:val="both"/>
        <w:rPr>
          <w:rFonts w:ascii="Arial" w:hAnsi="Arial" w:cs="Arial"/>
          <w:i/>
          <w:iCs/>
          <w:color w:val="808080" w:themeColor="background1" w:themeShade="80"/>
          <w:sz w:val="22"/>
          <w:szCs w:val="22"/>
          <w:lang w:val="en-GB"/>
        </w:rPr>
      </w:pPr>
    </w:p>
    <w:p w14:paraId="4E6D3FC5" w14:textId="22A203EE" w:rsidR="00CE5DE1" w:rsidRPr="00E30827" w:rsidRDefault="00CE5DE1" w:rsidP="00CE5DE1">
      <w:pPr>
        <w:jc w:val="both"/>
        <w:rPr>
          <w:rFonts w:ascii="Arial" w:hAnsi="Arial" w:cs="Arial"/>
          <w:b/>
          <w:bCs/>
          <w:color w:val="808080" w:themeColor="background1" w:themeShade="80"/>
          <w:sz w:val="22"/>
          <w:szCs w:val="22"/>
          <w:u w:val="single"/>
          <w:lang w:val="en-GB"/>
        </w:rPr>
      </w:pPr>
      <w:r w:rsidRPr="00E30827">
        <w:rPr>
          <w:rFonts w:ascii="Arial" w:hAnsi="Arial" w:cs="Arial"/>
          <w:b/>
          <w:bCs/>
          <w:color w:val="808080" w:themeColor="background1" w:themeShade="80"/>
          <w:sz w:val="22"/>
          <w:szCs w:val="22"/>
          <w:u w:val="single"/>
          <w:lang w:val="en-GB"/>
        </w:rPr>
        <w:t>Receivers have a role to play in a Cayman Islands insolvency scenario</w:t>
      </w:r>
    </w:p>
    <w:p w14:paraId="1F5EC24A" w14:textId="311ABA0E" w:rsidR="00482257" w:rsidRPr="00E30827" w:rsidRDefault="00482257" w:rsidP="00CE5DE1">
      <w:pPr>
        <w:jc w:val="both"/>
        <w:rPr>
          <w:rFonts w:ascii="Arial" w:hAnsi="Arial" w:cs="Arial"/>
          <w:color w:val="808080" w:themeColor="background1" w:themeShade="80"/>
          <w:sz w:val="22"/>
          <w:szCs w:val="22"/>
          <w:u w:val="single"/>
          <w:lang w:val="en-GB"/>
        </w:rPr>
      </w:pPr>
      <w:r w:rsidRPr="00E30827">
        <w:rPr>
          <w:rFonts w:ascii="Arial" w:hAnsi="Arial" w:cs="Arial"/>
          <w:color w:val="808080" w:themeColor="background1" w:themeShade="80"/>
          <w:sz w:val="22"/>
          <w:szCs w:val="22"/>
          <w:u w:val="single"/>
          <w:lang w:val="en-GB"/>
        </w:rPr>
        <w:t>Court appointed receiver</w:t>
      </w:r>
    </w:p>
    <w:p w14:paraId="286239CA" w14:textId="6069A897" w:rsidR="00BF0CB5" w:rsidRPr="00E30827" w:rsidRDefault="00F61A69" w:rsidP="00E56559">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Notwithstanding the above, receivers do have a role to play in a Cayman Islands insolvency scenario.</w:t>
      </w:r>
      <w:r w:rsidR="00F849DF" w:rsidRPr="00E30827">
        <w:rPr>
          <w:rFonts w:ascii="Arial" w:hAnsi="Arial" w:cs="Arial"/>
          <w:color w:val="808080" w:themeColor="background1" w:themeShade="80"/>
          <w:sz w:val="22"/>
          <w:szCs w:val="22"/>
          <w:lang w:val="en-GB"/>
        </w:rPr>
        <w:t xml:space="preserve"> </w:t>
      </w:r>
      <w:r w:rsidR="0007666D" w:rsidRPr="00E30827">
        <w:rPr>
          <w:rFonts w:ascii="Arial" w:hAnsi="Arial" w:cs="Arial"/>
          <w:color w:val="808080" w:themeColor="background1" w:themeShade="80"/>
          <w:sz w:val="22"/>
          <w:szCs w:val="22"/>
          <w:lang w:val="en-GB"/>
        </w:rPr>
        <w:t>T</w:t>
      </w:r>
      <w:r w:rsidR="00903017" w:rsidRPr="00E30827">
        <w:rPr>
          <w:rFonts w:ascii="Arial" w:hAnsi="Arial" w:cs="Arial"/>
          <w:color w:val="808080" w:themeColor="background1" w:themeShade="80"/>
          <w:sz w:val="22"/>
          <w:szCs w:val="22"/>
          <w:lang w:val="en-GB"/>
        </w:rPr>
        <w:t xml:space="preserve">he Grand Court of the Cayman Islands </w:t>
      </w:r>
      <w:r w:rsidR="00800FDA" w:rsidRPr="00E30827">
        <w:rPr>
          <w:rFonts w:ascii="Arial" w:hAnsi="Arial" w:cs="Arial"/>
          <w:color w:val="808080" w:themeColor="background1" w:themeShade="80"/>
          <w:sz w:val="22"/>
          <w:szCs w:val="22"/>
          <w:lang w:val="en-GB"/>
        </w:rPr>
        <w:t>can appoint a receiver “</w:t>
      </w:r>
      <w:r w:rsidR="00800FDA" w:rsidRPr="00E30827">
        <w:rPr>
          <w:rFonts w:ascii="Arial" w:hAnsi="Arial" w:cs="Arial"/>
          <w:i/>
          <w:iCs/>
          <w:color w:val="808080" w:themeColor="background1" w:themeShade="80"/>
          <w:sz w:val="22"/>
          <w:szCs w:val="22"/>
          <w:lang w:val="en-GB"/>
        </w:rPr>
        <w:t xml:space="preserve">in all cases in which it appears to the </w:t>
      </w:r>
      <w:r w:rsidR="00074D92" w:rsidRPr="00E30827">
        <w:rPr>
          <w:rFonts w:ascii="Arial" w:hAnsi="Arial" w:cs="Arial"/>
          <w:i/>
          <w:iCs/>
          <w:color w:val="808080" w:themeColor="background1" w:themeShade="80"/>
          <w:sz w:val="22"/>
          <w:szCs w:val="22"/>
          <w:lang w:val="en-GB"/>
        </w:rPr>
        <w:t>c</w:t>
      </w:r>
      <w:r w:rsidR="00800FDA" w:rsidRPr="00E30827">
        <w:rPr>
          <w:rFonts w:ascii="Arial" w:hAnsi="Arial" w:cs="Arial"/>
          <w:i/>
          <w:iCs/>
          <w:color w:val="808080" w:themeColor="background1" w:themeShade="80"/>
          <w:sz w:val="22"/>
          <w:szCs w:val="22"/>
          <w:lang w:val="en-GB"/>
        </w:rPr>
        <w:t>ourt to be just and convenient to do so</w:t>
      </w:r>
      <w:r w:rsidR="00800FDA" w:rsidRPr="00E30827">
        <w:rPr>
          <w:rFonts w:ascii="Arial" w:hAnsi="Arial" w:cs="Arial"/>
          <w:color w:val="808080" w:themeColor="background1" w:themeShade="80"/>
          <w:sz w:val="22"/>
          <w:szCs w:val="22"/>
          <w:lang w:val="en-GB"/>
        </w:rPr>
        <w:t>”</w:t>
      </w:r>
      <w:r w:rsidR="00800FDA" w:rsidRPr="00E30827">
        <w:rPr>
          <w:rStyle w:val="FootnoteReference"/>
          <w:rFonts w:ascii="Arial" w:hAnsi="Arial" w:cs="Arial"/>
          <w:color w:val="808080" w:themeColor="background1" w:themeShade="80"/>
          <w:sz w:val="22"/>
          <w:szCs w:val="22"/>
          <w:lang w:val="en-GB"/>
        </w:rPr>
        <w:footnoteReference w:id="62"/>
      </w:r>
      <w:r w:rsidR="00800FDA" w:rsidRPr="00E30827">
        <w:rPr>
          <w:rFonts w:ascii="Arial" w:hAnsi="Arial" w:cs="Arial"/>
          <w:color w:val="808080" w:themeColor="background1" w:themeShade="80"/>
          <w:sz w:val="22"/>
          <w:szCs w:val="22"/>
          <w:lang w:val="en-GB"/>
        </w:rPr>
        <w:t>. A receiver may be appointed by the court “</w:t>
      </w:r>
      <w:r w:rsidR="00800FDA" w:rsidRPr="00E30827">
        <w:rPr>
          <w:rFonts w:ascii="Arial" w:hAnsi="Arial" w:cs="Arial"/>
          <w:i/>
          <w:iCs/>
          <w:color w:val="808080" w:themeColor="background1" w:themeShade="80"/>
          <w:sz w:val="22"/>
          <w:szCs w:val="22"/>
          <w:lang w:val="en-GB"/>
        </w:rPr>
        <w:t>to liquidate assets and distribute the proceeds to creditors or shareholders according to their rights</w:t>
      </w:r>
      <w:r w:rsidR="00800FDA" w:rsidRPr="00E30827">
        <w:rPr>
          <w:rFonts w:ascii="Arial" w:hAnsi="Arial" w:cs="Arial"/>
          <w:color w:val="808080" w:themeColor="background1" w:themeShade="80"/>
          <w:sz w:val="22"/>
          <w:szCs w:val="22"/>
          <w:lang w:val="en-GB"/>
        </w:rPr>
        <w:t>”.</w:t>
      </w:r>
      <w:r w:rsidR="00800FDA" w:rsidRPr="00E30827">
        <w:rPr>
          <w:rStyle w:val="FootnoteReference"/>
          <w:rFonts w:ascii="Arial" w:hAnsi="Arial" w:cs="Arial"/>
          <w:color w:val="808080" w:themeColor="background1" w:themeShade="80"/>
          <w:sz w:val="22"/>
          <w:szCs w:val="22"/>
          <w:lang w:val="en-GB"/>
        </w:rPr>
        <w:footnoteReference w:id="63"/>
      </w:r>
      <w:r w:rsidR="00764AA4" w:rsidRPr="00E30827">
        <w:rPr>
          <w:rFonts w:ascii="Arial" w:hAnsi="Arial" w:cs="Arial"/>
          <w:color w:val="808080" w:themeColor="background1" w:themeShade="80"/>
          <w:sz w:val="22"/>
          <w:szCs w:val="22"/>
          <w:lang w:val="en-GB"/>
        </w:rPr>
        <w:t xml:space="preserve"> One of the most common uses of receivers is in aid of enforcing a judgment</w:t>
      </w:r>
      <w:r w:rsidR="00764AA4" w:rsidRPr="00E30827">
        <w:rPr>
          <w:rStyle w:val="FootnoteReference"/>
          <w:rFonts w:ascii="Arial" w:hAnsi="Arial" w:cs="Arial"/>
          <w:color w:val="808080" w:themeColor="background1" w:themeShade="80"/>
          <w:sz w:val="22"/>
          <w:szCs w:val="22"/>
          <w:lang w:val="en-GB"/>
        </w:rPr>
        <w:footnoteReference w:id="64"/>
      </w:r>
      <w:r w:rsidR="00764AA4" w:rsidRPr="00E30827">
        <w:rPr>
          <w:rFonts w:ascii="Arial" w:hAnsi="Arial" w:cs="Arial"/>
          <w:color w:val="808080" w:themeColor="background1" w:themeShade="80"/>
          <w:sz w:val="22"/>
          <w:szCs w:val="22"/>
          <w:lang w:val="en-GB"/>
        </w:rPr>
        <w:t>.</w:t>
      </w:r>
    </w:p>
    <w:p w14:paraId="255C839F" w14:textId="77777777" w:rsidR="00764AA4" w:rsidRPr="00E30827" w:rsidRDefault="00764AA4" w:rsidP="00E56559">
      <w:pPr>
        <w:jc w:val="both"/>
        <w:rPr>
          <w:rFonts w:ascii="Arial" w:hAnsi="Arial" w:cs="Arial"/>
          <w:color w:val="808080" w:themeColor="background1" w:themeShade="80"/>
          <w:sz w:val="22"/>
          <w:szCs w:val="22"/>
          <w:lang w:val="en-GB"/>
        </w:rPr>
      </w:pPr>
    </w:p>
    <w:p w14:paraId="6EC3179E" w14:textId="66F56FC3" w:rsidR="00074D92" w:rsidRPr="00E30827" w:rsidRDefault="00800FDA" w:rsidP="00E56559">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 xml:space="preserve">The </w:t>
      </w:r>
      <w:r w:rsidR="00BF0CB5" w:rsidRPr="00E30827">
        <w:rPr>
          <w:rFonts w:ascii="Arial" w:hAnsi="Arial" w:cs="Arial"/>
          <w:color w:val="808080" w:themeColor="background1" w:themeShade="80"/>
          <w:sz w:val="22"/>
          <w:szCs w:val="22"/>
          <w:lang w:val="en-GB"/>
        </w:rPr>
        <w:t>receiver will be an officer of the court (and not the agent of the applicant who sought the court’s appointment of the receiver).</w:t>
      </w:r>
      <w:r w:rsidR="00BF0CB5" w:rsidRPr="00E30827">
        <w:rPr>
          <w:rStyle w:val="FootnoteReference"/>
          <w:rFonts w:ascii="Arial" w:hAnsi="Arial" w:cs="Arial"/>
          <w:color w:val="808080" w:themeColor="background1" w:themeShade="80"/>
          <w:sz w:val="22"/>
          <w:szCs w:val="22"/>
          <w:lang w:val="en-GB"/>
        </w:rPr>
        <w:footnoteReference w:id="65"/>
      </w:r>
      <w:r w:rsidR="00BF0CB5" w:rsidRPr="00E30827">
        <w:rPr>
          <w:rFonts w:ascii="Arial" w:hAnsi="Arial" w:cs="Arial"/>
          <w:color w:val="808080" w:themeColor="background1" w:themeShade="80"/>
          <w:sz w:val="22"/>
          <w:szCs w:val="22"/>
          <w:lang w:val="en-GB"/>
        </w:rPr>
        <w:t xml:space="preserve"> The </w:t>
      </w:r>
      <w:r w:rsidRPr="00E30827">
        <w:rPr>
          <w:rFonts w:ascii="Arial" w:hAnsi="Arial" w:cs="Arial"/>
          <w:color w:val="808080" w:themeColor="background1" w:themeShade="80"/>
          <w:sz w:val="22"/>
          <w:szCs w:val="22"/>
          <w:lang w:val="en-GB"/>
        </w:rPr>
        <w:t xml:space="preserve">scope of a receiver’s authority and power will </w:t>
      </w:r>
      <w:r w:rsidR="00074D92" w:rsidRPr="00E30827">
        <w:rPr>
          <w:rFonts w:ascii="Arial" w:hAnsi="Arial" w:cs="Arial"/>
          <w:color w:val="808080" w:themeColor="background1" w:themeShade="80"/>
          <w:sz w:val="22"/>
          <w:szCs w:val="22"/>
          <w:lang w:val="en-GB"/>
        </w:rPr>
        <w:t xml:space="preserve">be set out in the court order appointing the receiver – the applicant should therefore consider carefully </w:t>
      </w:r>
      <w:r w:rsidR="003F43A7" w:rsidRPr="00E30827">
        <w:rPr>
          <w:rFonts w:ascii="Arial" w:hAnsi="Arial" w:cs="Arial"/>
          <w:color w:val="808080" w:themeColor="background1" w:themeShade="80"/>
          <w:sz w:val="22"/>
          <w:szCs w:val="22"/>
          <w:lang w:val="en-GB"/>
        </w:rPr>
        <w:t>the aim of</w:t>
      </w:r>
      <w:r w:rsidR="00074D92" w:rsidRPr="00E30827">
        <w:rPr>
          <w:rFonts w:ascii="Arial" w:hAnsi="Arial" w:cs="Arial"/>
          <w:color w:val="808080" w:themeColor="background1" w:themeShade="80"/>
          <w:sz w:val="22"/>
          <w:szCs w:val="22"/>
          <w:lang w:val="en-GB"/>
        </w:rPr>
        <w:t xml:space="preserve"> the receivership and ensure that the powers are in the court order</w:t>
      </w:r>
      <w:r w:rsidR="00074D92" w:rsidRPr="00E30827">
        <w:rPr>
          <w:rStyle w:val="FootnoteReference"/>
          <w:rFonts w:ascii="Arial" w:hAnsi="Arial" w:cs="Arial"/>
          <w:color w:val="808080" w:themeColor="background1" w:themeShade="80"/>
          <w:sz w:val="22"/>
          <w:szCs w:val="22"/>
          <w:lang w:val="en-GB"/>
        </w:rPr>
        <w:footnoteReference w:id="66"/>
      </w:r>
      <w:r w:rsidR="00074D92" w:rsidRPr="00E30827">
        <w:rPr>
          <w:rFonts w:ascii="Arial" w:hAnsi="Arial" w:cs="Arial"/>
          <w:color w:val="808080" w:themeColor="background1" w:themeShade="80"/>
          <w:sz w:val="22"/>
          <w:szCs w:val="22"/>
          <w:lang w:val="en-GB"/>
        </w:rPr>
        <w:t xml:space="preserve">. The court order </w:t>
      </w:r>
      <w:r w:rsidR="00482257" w:rsidRPr="00E30827">
        <w:rPr>
          <w:rFonts w:ascii="Arial" w:hAnsi="Arial" w:cs="Arial"/>
          <w:color w:val="808080" w:themeColor="background1" w:themeShade="80"/>
          <w:sz w:val="22"/>
          <w:szCs w:val="22"/>
          <w:lang w:val="en-GB"/>
        </w:rPr>
        <w:t xml:space="preserve">therefore </w:t>
      </w:r>
      <w:r w:rsidR="00074D92" w:rsidRPr="00E30827">
        <w:rPr>
          <w:rFonts w:ascii="Arial" w:hAnsi="Arial" w:cs="Arial"/>
          <w:color w:val="808080" w:themeColor="background1" w:themeShade="80"/>
          <w:sz w:val="22"/>
          <w:szCs w:val="22"/>
          <w:lang w:val="en-GB"/>
        </w:rPr>
        <w:t>allows a great degree of flexibility.</w:t>
      </w:r>
      <w:r w:rsidR="00074D92" w:rsidRPr="00E30827">
        <w:rPr>
          <w:rStyle w:val="FootnoteReference"/>
          <w:rFonts w:ascii="Arial" w:hAnsi="Arial" w:cs="Arial"/>
          <w:color w:val="808080" w:themeColor="background1" w:themeShade="80"/>
          <w:sz w:val="22"/>
          <w:szCs w:val="22"/>
          <w:lang w:val="en-GB"/>
        </w:rPr>
        <w:footnoteReference w:id="67"/>
      </w:r>
    </w:p>
    <w:p w14:paraId="602F2E5A" w14:textId="77777777" w:rsidR="006570B4" w:rsidRPr="00E30827" w:rsidRDefault="006570B4" w:rsidP="00E56559">
      <w:pPr>
        <w:jc w:val="both"/>
        <w:rPr>
          <w:rFonts w:ascii="Arial" w:hAnsi="Arial" w:cs="Arial"/>
          <w:i/>
          <w:iCs/>
          <w:color w:val="808080" w:themeColor="background1" w:themeShade="80"/>
          <w:sz w:val="22"/>
          <w:szCs w:val="22"/>
          <w:lang w:val="en-GB"/>
        </w:rPr>
      </w:pPr>
    </w:p>
    <w:p w14:paraId="0686699D" w14:textId="6EBED119" w:rsidR="00482257" w:rsidRPr="00E30827" w:rsidRDefault="00482257" w:rsidP="00E56559">
      <w:pPr>
        <w:jc w:val="both"/>
        <w:rPr>
          <w:rFonts w:ascii="Arial" w:hAnsi="Arial" w:cs="Arial"/>
          <w:color w:val="808080" w:themeColor="background1" w:themeShade="80"/>
          <w:sz w:val="22"/>
          <w:szCs w:val="22"/>
          <w:u w:val="single"/>
          <w:lang w:val="en-GB"/>
        </w:rPr>
      </w:pPr>
      <w:r w:rsidRPr="00E30827">
        <w:rPr>
          <w:rFonts w:ascii="Arial" w:hAnsi="Arial" w:cs="Arial"/>
          <w:color w:val="808080" w:themeColor="background1" w:themeShade="80"/>
          <w:sz w:val="22"/>
          <w:szCs w:val="22"/>
          <w:u w:val="single"/>
          <w:lang w:val="en-GB"/>
        </w:rPr>
        <w:t>Equitable execution</w:t>
      </w:r>
    </w:p>
    <w:p w14:paraId="6F7F2FDD" w14:textId="7BF6F1E9" w:rsidR="00764AA4" w:rsidRPr="00E30827" w:rsidRDefault="00194898" w:rsidP="00764AA4">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A receiver can be appointed by way of equitable execution under Order 51 of the Grand Court Rules.</w:t>
      </w:r>
      <w:r w:rsidR="00A74FCD">
        <w:rPr>
          <w:rFonts w:ascii="Arial" w:hAnsi="Arial" w:cs="Arial"/>
          <w:color w:val="808080" w:themeColor="background1" w:themeShade="80"/>
          <w:sz w:val="22"/>
          <w:szCs w:val="22"/>
          <w:lang w:val="en-GB"/>
        </w:rPr>
        <w:t xml:space="preserve"> </w:t>
      </w:r>
      <w:r w:rsidR="006570B4" w:rsidRPr="00E30827">
        <w:rPr>
          <w:rFonts w:ascii="Arial" w:hAnsi="Arial" w:cs="Arial"/>
          <w:i/>
          <w:iCs/>
          <w:color w:val="808080" w:themeColor="background1" w:themeShade="80"/>
          <w:sz w:val="22"/>
          <w:szCs w:val="22"/>
          <w:lang w:val="en-GB"/>
        </w:rPr>
        <w:t>Scotiabank (Cayman Islands) Limited v Treasure Island Resort (Cayman) Limited</w:t>
      </w:r>
      <w:r w:rsidR="006570B4" w:rsidRPr="00E30827">
        <w:rPr>
          <w:rStyle w:val="FootnoteReference"/>
          <w:rFonts w:ascii="Arial" w:hAnsi="Arial" w:cs="Arial"/>
          <w:color w:val="808080" w:themeColor="background1" w:themeShade="80"/>
          <w:sz w:val="22"/>
          <w:szCs w:val="22"/>
          <w:lang w:val="en-GB"/>
        </w:rPr>
        <w:footnoteReference w:id="68"/>
      </w:r>
      <w:r w:rsidR="006570B4" w:rsidRPr="00E30827">
        <w:rPr>
          <w:rFonts w:ascii="Arial" w:hAnsi="Arial" w:cs="Arial"/>
          <w:color w:val="808080" w:themeColor="background1" w:themeShade="80"/>
          <w:sz w:val="22"/>
          <w:szCs w:val="22"/>
          <w:lang w:val="en-GB"/>
        </w:rPr>
        <w:t xml:space="preserve"> </w:t>
      </w:r>
      <w:r w:rsidR="006C3A13" w:rsidRPr="00E30827">
        <w:rPr>
          <w:rFonts w:ascii="Arial" w:hAnsi="Arial" w:cs="Arial"/>
          <w:color w:val="808080" w:themeColor="background1" w:themeShade="80"/>
          <w:sz w:val="22"/>
          <w:szCs w:val="22"/>
          <w:lang w:val="en-GB"/>
        </w:rPr>
        <w:t>(“</w:t>
      </w:r>
      <w:r w:rsidR="006C3A13" w:rsidRPr="00E30827">
        <w:rPr>
          <w:rFonts w:ascii="Arial" w:hAnsi="Arial" w:cs="Arial"/>
          <w:b/>
          <w:bCs/>
          <w:i/>
          <w:iCs/>
          <w:color w:val="808080" w:themeColor="background1" w:themeShade="80"/>
          <w:sz w:val="22"/>
          <w:szCs w:val="22"/>
          <w:lang w:val="en-GB"/>
        </w:rPr>
        <w:t>Treasure Island</w:t>
      </w:r>
      <w:r w:rsidR="006C3A13" w:rsidRPr="00E30827">
        <w:rPr>
          <w:rFonts w:ascii="Arial" w:hAnsi="Arial" w:cs="Arial"/>
          <w:color w:val="808080" w:themeColor="background1" w:themeShade="80"/>
          <w:sz w:val="22"/>
          <w:szCs w:val="22"/>
          <w:lang w:val="en-GB"/>
        </w:rPr>
        <w:t xml:space="preserve">”) </w:t>
      </w:r>
      <w:r w:rsidR="006570B4" w:rsidRPr="00E30827">
        <w:rPr>
          <w:rFonts w:ascii="Arial" w:hAnsi="Arial" w:cs="Arial"/>
          <w:color w:val="808080" w:themeColor="background1" w:themeShade="80"/>
          <w:sz w:val="22"/>
          <w:szCs w:val="22"/>
          <w:lang w:val="en-GB"/>
        </w:rPr>
        <w:t>is an example of</w:t>
      </w:r>
      <w:r w:rsidR="00414629" w:rsidRPr="00E30827">
        <w:rPr>
          <w:rFonts w:ascii="Arial" w:hAnsi="Arial" w:cs="Arial"/>
          <w:color w:val="808080" w:themeColor="background1" w:themeShade="80"/>
          <w:sz w:val="22"/>
          <w:szCs w:val="22"/>
          <w:lang w:val="en-GB"/>
        </w:rPr>
        <w:t xml:space="preserve"> </w:t>
      </w:r>
      <w:r w:rsidR="006570B4" w:rsidRPr="00E30827">
        <w:rPr>
          <w:rFonts w:ascii="Arial" w:hAnsi="Arial" w:cs="Arial"/>
          <w:color w:val="808080" w:themeColor="background1" w:themeShade="80"/>
          <w:sz w:val="22"/>
          <w:szCs w:val="22"/>
          <w:lang w:val="en-GB"/>
        </w:rPr>
        <w:t xml:space="preserve">where a receiver was appointed. </w:t>
      </w:r>
      <w:r w:rsidR="00414629" w:rsidRPr="00E30827">
        <w:rPr>
          <w:rFonts w:ascii="Arial" w:hAnsi="Arial" w:cs="Arial"/>
          <w:color w:val="808080" w:themeColor="background1" w:themeShade="80"/>
          <w:sz w:val="22"/>
          <w:szCs w:val="22"/>
          <w:lang w:val="en-GB"/>
        </w:rPr>
        <w:t xml:space="preserve">In </w:t>
      </w:r>
      <w:r w:rsidR="00414629" w:rsidRPr="00E30827">
        <w:rPr>
          <w:rFonts w:ascii="Arial" w:hAnsi="Arial" w:cs="Arial"/>
          <w:i/>
          <w:iCs/>
          <w:color w:val="808080" w:themeColor="background1" w:themeShade="80"/>
          <w:sz w:val="22"/>
          <w:szCs w:val="22"/>
          <w:lang w:val="en-GB"/>
        </w:rPr>
        <w:t>Treasure Island</w:t>
      </w:r>
      <w:r w:rsidR="00414629" w:rsidRPr="00E30827">
        <w:rPr>
          <w:rFonts w:ascii="Arial" w:hAnsi="Arial" w:cs="Arial"/>
          <w:color w:val="808080" w:themeColor="background1" w:themeShade="80"/>
          <w:sz w:val="22"/>
          <w:szCs w:val="22"/>
          <w:lang w:val="en-GB"/>
        </w:rPr>
        <w:t>,</w:t>
      </w:r>
      <w:r w:rsidR="00764AA4" w:rsidRPr="00E30827">
        <w:rPr>
          <w:rFonts w:ascii="Arial" w:hAnsi="Arial" w:cs="Arial"/>
          <w:color w:val="808080" w:themeColor="background1" w:themeShade="80"/>
          <w:sz w:val="22"/>
          <w:szCs w:val="22"/>
          <w:lang w:val="en-GB"/>
        </w:rPr>
        <w:t xml:space="preserve"> </w:t>
      </w:r>
      <w:r w:rsidR="00414629" w:rsidRPr="00E30827">
        <w:rPr>
          <w:rFonts w:ascii="Arial" w:hAnsi="Arial" w:cs="Arial"/>
          <w:color w:val="808080" w:themeColor="background1" w:themeShade="80"/>
          <w:sz w:val="22"/>
          <w:szCs w:val="22"/>
          <w:lang w:val="en-GB"/>
        </w:rPr>
        <w:t xml:space="preserve">a </w:t>
      </w:r>
      <w:r w:rsidR="00764AA4" w:rsidRPr="00E30827">
        <w:rPr>
          <w:rFonts w:ascii="Arial" w:hAnsi="Arial" w:cs="Arial"/>
          <w:color w:val="808080" w:themeColor="background1" w:themeShade="80"/>
          <w:sz w:val="22"/>
          <w:szCs w:val="22"/>
          <w:lang w:val="en-GB"/>
        </w:rPr>
        <w:t xml:space="preserve">receiver sought an order declaring that he was authorised to dispose of the secured assets of a company which was to be shortly the subject of a winding-up petition. The plaintiff bank held security for a loan it had advanced to the defendant company (by way of a charge and debenture over the company’s assets). The court confirmed that the receiver had a right to dispose of the assets secured by the debenture and charge and held, </w:t>
      </w:r>
      <w:r w:rsidR="00764AA4" w:rsidRPr="00F841B9">
        <w:rPr>
          <w:rFonts w:ascii="Arial" w:hAnsi="Arial" w:cs="Arial"/>
          <w:i/>
          <w:iCs/>
          <w:color w:val="808080" w:themeColor="background1" w:themeShade="80"/>
          <w:sz w:val="22"/>
          <w:szCs w:val="22"/>
          <w:lang w:val="en-GB"/>
        </w:rPr>
        <w:t>inter alia</w:t>
      </w:r>
      <w:r w:rsidR="00764AA4" w:rsidRPr="00E30827">
        <w:rPr>
          <w:rFonts w:ascii="Arial" w:hAnsi="Arial" w:cs="Arial"/>
          <w:color w:val="808080" w:themeColor="background1" w:themeShade="80"/>
          <w:sz w:val="22"/>
          <w:szCs w:val="22"/>
          <w:lang w:val="en-GB"/>
        </w:rPr>
        <w:t>:</w:t>
      </w:r>
    </w:p>
    <w:p w14:paraId="5DA89752" w14:textId="51FA3817" w:rsidR="00764AA4" w:rsidRPr="00E30827" w:rsidRDefault="00764AA4">
      <w:pPr>
        <w:pStyle w:val="ListParagraph"/>
        <w:numPr>
          <w:ilvl w:val="0"/>
          <w:numId w:val="16"/>
        </w:num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w:t>
      </w:r>
      <w:proofErr w:type="gramStart"/>
      <w:r w:rsidRPr="00E30827">
        <w:rPr>
          <w:rFonts w:ascii="Arial" w:hAnsi="Arial" w:cs="Arial"/>
          <w:i/>
          <w:iCs/>
          <w:color w:val="808080" w:themeColor="background1" w:themeShade="80"/>
          <w:sz w:val="22"/>
          <w:szCs w:val="22"/>
          <w:lang w:val="en-GB"/>
        </w:rPr>
        <w:t>the</w:t>
      </w:r>
      <w:proofErr w:type="gramEnd"/>
      <w:r w:rsidRPr="00E30827">
        <w:rPr>
          <w:rFonts w:ascii="Arial" w:hAnsi="Arial" w:cs="Arial"/>
          <w:i/>
          <w:iCs/>
          <w:color w:val="808080" w:themeColor="background1" w:themeShade="80"/>
          <w:sz w:val="22"/>
          <w:szCs w:val="22"/>
          <w:lang w:val="en-GB"/>
        </w:rPr>
        <w:t xml:space="preserve"> plaintiff bank had acquired an overriding statutory legal and beneficial interest… secured by the statutory charge which included the power to appoint a receiver. The power to sell the property became vested in the receiver on his appointment, before </w:t>
      </w:r>
      <w:r w:rsidRPr="00E30827">
        <w:rPr>
          <w:rFonts w:ascii="Arial" w:hAnsi="Arial" w:cs="Arial"/>
          <w:i/>
          <w:iCs/>
          <w:color w:val="808080" w:themeColor="background1" w:themeShade="80"/>
          <w:sz w:val="22"/>
          <w:szCs w:val="22"/>
          <w:lang w:val="en-GB"/>
        </w:rPr>
        <w:lastRenderedPageBreak/>
        <w:t>the winding up of the company was even mooted and a sale under that power…took precedence over any powers which would arise on the commencement of the winding up.</w:t>
      </w:r>
      <w:r w:rsidRPr="00E30827">
        <w:rPr>
          <w:rFonts w:ascii="Arial" w:hAnsi="Arial" w:cs="Arial"/>
          <w:color w:val="808080" w:themeColor="background1" w:themeShade="80"/>
          <w:sz w:val="22"/>
          <w:szCs w:val="22"/>
          <w:lang w:val="en-GB"/>
        </w:rPr>
        <w:t>”</w:t>
      </w:r>
      <w:r w:rsidR="00482257" w:rsidRPr="00E30827">
        <w:rPr>
          <w:rStyle w:val="FootnoteReference"/>
          <w:rFonts w:ascii="Arial" w:hAnsi="Arial" w:cs="Arial"/>
          <w:color w:val="808080" w:themeColor="background1" w:themeShade="80"/>
          <w:sz w:val="22"/>
          <w:szCs w:val="22"/>
          <w:lang w:val="en-GB"/>
        </w:rPr>
        <w:footnoteReference w:id="69"/>
      </w:r>
      <w:r w:rsidRPr="00E30827">
        <w:rPr>
          <w:rFonts w:ascii="Arial" w:hAnsi="Arial" w:cs="Arial"/>
          <w:color w:val="808080" w:themeColor="background1" w:themeShade="80"/>
          <w:sz w:val="22"/>
          <w:szCs w:val="22"/>
          <w:lang w:val="en-GB"/>
        </w:rPr>
        <w:t>;</w:t>
      </w:r>
      <w:r w:rsidR="00482257" w:rsidRPr="00E30827">
        <w:rPr>
          <w:rFonts w:ascii="Arial" w:hAnsi="Arial" w:cs="Arial"/>
          <w:color w:val="808080" w:themeColor="background1" w:themeShade="80"/>
          <w:sz w:val="22"/>
          <w:szCs w:val="22"/>
          <w:lang w:val="en-GB"/>
        </w:rPr>
        <w:t xml:space="preserve"> and</w:t>
      </w:r>
    </w:p>
    <w:p w14:paraId="3E078218" w14:textId="1BDD07EE" w:rsidR="00764AA4" w:rsidRPr="00E30827" w:rsidRDefault="00482257">
      <w:pPr>
        <w:pStyle w:val="ListParagraph"/>
        <w:numPr>
          <w:ilvl w:val="0"/>
          <w:numId w:val="16"/>
        </w:numPr>
        <w:jc w:val="both"/>
        <w:rPr>
          <w:rFonts w:ascii="Arial" w:hAnsi="Arial" w:cs="Arial"/>
          <w:i/>
          <w:iCs/>
          <w:color w:val="808080" w:themeColor="background1" w:themeShade="80"/>
          <w:sz w:val="22"/>
          <w:szCs w:val="22"/>
          <w:lang w:val="en-GB"/>
        </w:rPr>
      </w:pPr>
      <w:r w:rsidRPr="00E30827">
        <w:rPr>
          <w:rFonts w:ascii="Arial" w:hAnsi="Arial" w:cs="Arial"/>
          <w:color w:val="808080" w:themeColor="background1" w:themeShade="80"/>
          <w:sz w:val="22"/>
          <w:szCs w:val="22"/>
          <w:lang w:val="en-GB"/>
        </w:rPr>
        <w:t>Section 162 of the Companies Law (2004 Revision)</w:t>
      </w:r>
      <w:r w:rsidR="00414629" w:rsidRPr="00E30827">
        <w:rPr>
          <w:rFonts w:ascii="Arial" w:hAnsi="Arial" w:cs="Arial"/>
          <w:color w:val="808080" w:themeColor="background1" w:themeShade="80"/>
          <w:sz w:val="22"/>
          <w:szCs w:val="22"/>
          <w:lang w:val="en-GB"/>
        </w:rPr>
        <w:t xml:space="preserve"> gave</w:t>
      </w:r>
      <w:r w:rsidRPr="00E30827">
        <w:rPr>
          <w:rFonts w:ascii="Arial" w:hAnsi="Arial" w:cs="Arial"/>
          <w:color w:val="808080" w:themeColor="background1" w:themeShade="80"/>
          <w:sz w:val="22"/>
          <w:szCs w:val="22"/>
          <w:lang w:val="en-GB"/>
        </w:rPr>
        <w:t xml:space="preserve"> “</w:t>
      </w:r>
      <w:r w:rsidRPr="00E30827">
        <w:rPr>
          <w:rFonts w:ascii="Arial" w:hAnsi="Arial" w:cs="Arial"/>
          <w:i/>
          <w:iCs/>
          <w:color w:val="808080" w:themeColor="background1" w:themeShade="80"/>
          <w:sz w:val="22"/>
          <w:szCs w:val="22"/>
          <w:lang w:val="en-GB"/>
        </w:rPr>
        <w:t>priority to certain preferential liabilities</w:t>
      </w:r>
      <w:r w:rsidR="001A3543" w:rsidRPr="00E30827">
        <w:rPr>
          <w:rFonts w:ascii="Arial" w:hAnsi="Arial" w:cs="Arial"/>
          <w:i/>
          <w:iCs/>
          <w:color w:val="808080" w:themeColor="background1" w:themeShade="80"/>
          <w:sz w:val="22"/>
          <w:szCs w:val="22"/>
          <w:lang w:val="en-GB"/>
        </w:rPr>
        <w:t>…</w:t>
      </w:r>
      <w:r w:rsidRPr="00E30827">
        <w:rPr>
          <w:rFonts w:ascii="Arial" w:hAnsi="Arial" w:cs="Arial"/>
          <w:i/>
          <w:iCs/>
          <w:color w:val="808080" w:themeColor="background1" w:themeShade="80"/>
          <w:sz w:val="22"/>
          <w:szCs w:val="22"/>
          <w:lang w:val="en-GB"/>
        </w:rPr>
        <w:t>to be paid out of property subject to a charge or debenture where the assets</w:t>
      </w:r>
      <w:r w:rsidR="00414629" w:rsidRPr="00E30827">
        <w:rPr>
          <w:rFonts w:ascii="Arial" w:hAnsi="Arial" w:cs="Arial"/>
          <w:i/>
          <w:iCs/>
          <w:color w:val="808080" w:themeColor="background1" w:themeShade="80"/>
          <w:sz w:val="22"/>
          <w:szCs w:val="22"/>
          <w:lang w:val="en-GB"/>
        </w:rPr>
        <w:t>…</w:t>
      </w:r>
      <w:r w:rsidRPr="00E30827">
        <w:rPr>
          <w:rFonts w:ascii="Arial" w:hAnsi="Arial" w:cs="Arial"/>
          <w:i/>
          <w:iCs/>
          <w:color w:val="808080" w:themeColor="background1" w:themeShade="80"/>
          <w:sz w:val="22"/>
          <w:szCs w:val="22"/>
          <w:lang w:val="en-GB"/>
        </w:rPr>
        <w:t>available for payment of general creditors were insufficient to meet the liability.</w:t>
      </w:r>
      <w:r w:rsidR="00414629" w:rsidRPr="00E30827">
        <w:rPr>
          <w:rFonts w:ascii="Arial" w:hAnsi="Arial" w:cs="Arial"/>
          <w:color w:val="808080" w:themeColor="background1" w:themeShade="80"/>
          <w:sz w:val="22"/>
          <w:szCs w:val="22"/>
          <w:lang w:val="en-GB"/>
        </w:rPr>
        <w:t xml:space="preserve">” The receiver, in the spirit of this section undertook (and was permitted) to meet the liabilities of </w:t>
      </w:r>
      <w:r w:rsidR="003357AD" w:rsidRPr="00E30827">
        <w:rPr>
          <w:rFonts w:ascii="Arial" w:hAnsi="Arial" w:cs="Arial"/>
          <w:color w:val="808080" w:themeColor="background1" w:themeShade="80"/>
          <w:sz w:val="22"/>
          <w:szCs w:val="22"/>
          <w:lang w:val="en-GB"/>
        </w:rPr>
        <w:t>any</w:t>
      </w:r>
      <w:r w:rsidR="00414629" w:rsidRPr="00E30827">
        <w:rPr>
          <w:rFonts w:ascii="Arial" w:hAnsi="Arial" w:cs="Arial"/>
          <w:color w:val="808080" w:themeColor="background1" w:themeShade="80"/>
          <w:sz w:val="22"/>
          <w:szCs w:val="22"/>
          <w:lang w:val="en-GB"/>
        </w:rPr>
        <w:t xml:space="preserve"> </w:t>
      </w:r>
      <w:r w:rsidRPr="00E30827">
        <w:rPr>
          <w:rFonts w:ascii="Arial" w:hAnsi="Arial" w:cs="Arial"/>
          <w:color w:val="808080" w:themeColor="background1" w:themeShade="80"/>
          <w:sz w:val="22"/>
          <w:szCs w:val="22"/>
          <w:lang w:val="en-GB"/>
        </w:rPr>
        <w:t xml:space="preserve">employees’ claims (including pensions) out of the assets </w:t>
      </w:r>
      <w:r w:rsidR="003357AD" w:rsidRPr="00E30827">
        <w:rPr>
          <w:rFonts w:ascii="Arial" w:hAnsi="Arial" w:cs="Arial"/>
          <w:color w:val="808080" w:themeColor="background1" w:themeShade="80"/>
          <w:sz w:val="22"/>
          <w:szCs w:val="22"/>
          <w:lang w:val="en-GB"/>
        </w:rPr>
        <w:t xml:space="preserve">subject to the receivership </w:t>
      </w:r>
      <w:r w:rsidRPr="00E30827">
        <w:rPr>
          <w:rFonts w:ascii="Arial" w:hAnsi="Arial" w:cs="Arial"/>
          <w:color w:val="808080" w:themeColor="background1" w:themeShade="80"/>
          <w:sz w:val="22"/>
          <w:szCs w:val="22"/>
          <w:lang w:val="en-GB"/>
        </w:rPr>
        <w:t xml:space="preserve">in priority to the debt </w:t>
      </w:r>
      <w:r w:rsidR="003357AD" w:rsidRPr="00E30827">
        <w:rPr>
          <w:rFonts w:ascii="Arial" w:hAnsi="Arial" w:cs="Arial"/>
          <w:color w:val="808080" w:themeColor="background1" w:themeShade="80"/>
          <w:sz w:val="22"/>
          <w:szCs w:val="22"/>
          <w:lang w:val="en-GB"/>
        </w:rPr>
        <w:t>due</w:t>
      </w:r>
      <w:r w:rsidRPr="00E30827">
        <w:rPr>
          <w:rFonts w:ascii="Arial" w:hAnsi="Arial" w:cs="Arial"/>
          <w:color w:val="808080" w:themeColor="background1" w:themeShade="80"/>
          <w:sz w:val="22"/>
          <w:szCs w:val="22"/>
          <w:lang w:val="en-GB"/>
        </w:rPr>
        <w:t xml:space="preserve"> to the plaintiff.</w:t>
      </w:r>
      <w:r w:rsidRPr="00E30827">
        <w:rPr>
          <w:rStyle w:val="FootnoteReference"/>
          <w:rFonts w:ascii="Arial" w:hAnsi="Arial" w:cs="Arial"/>
          <w:color w:val="808080" w:themeColor="background1" w:themeShade="80"/>
          <w:sz w:val="22"/>
          <w:szCs w:val="22"/>
          <w:lang w:val="en-GB"/>
        </w:rPr>
        <w:footnoteReference w:id="70"/>
      </w:r>
    </w:p>
    <w:p w14:paraId="188F54EB" w14:textId="77777777" w:rsidR="00764AA4" w:rsidRPr="00E30827" w:rsidRDefault="00764AA4" w:rsidP="00194898">
      <w:pPr>
        <w:jc w:val="both"/>
        <w:rPr>
          <w:rFonts w:ascii="Arial" w:hAnsi="Arial" w:cs="Arial"/>
          <w:color w:val="808080" w:themeColor="background1" w:themeShade="80"/>
          <w:sz w:val="22"/>
          <w:szCs w:val="22"/>
          <w:lang w:val="en-GB"/>
        </w:rPr>
      </w:pPr>
    </w:p>
    <w:p w14:paraId="2ACED242" w14:textId="3528593A" w:rsidR="008C47DE" w:rsidRPr="00E30827" w:rsidRDefault="003357AD" w:rsidP="00E56559">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 xml:space="preserve">As can be seen from </w:t>
      </w:r>
      <w:r w:rsidRPr="00E30827">
        <w:rPr>
          <w:rFonts w:ascii="Arial" w:hAnsi="Arial" w:cs="Arial"/>
          <w:i/>
          <w:iCs/>
          <w:color w:val="808080" w:themeColor="background1" w:themeShade="80"/>
          <w:sz w:val="22"/>
          <w:szCs w:val="22"/>
          <w:lang w:val="en-GB"/>
        </w:rPr>
        <w:t>Treasure Island</w:t>
      </w:r>
      <w:r w:rsidRPr="00E30827">
        <w:rPr>
          <w:rFonts w:ascii="Arial" w:hAnsi="Arial" w:cs="Arial"/>
          <w:color w:val="808080" w:themeColor="background1" w:themeShade="80"/>
          <w:sz w:val="22"/>
          <w:szCs w:val="22"/>
          <w:lang w:val="en-GB"/>
        </w:rPr>
        <w:t>, a</w:t>
      </w:r>
      <w:r w:rsidR="00B55BFD" w:rsidRPr="00E30827">
        <w:rPr>
          <w:rFonts w:ascii="Arial" w:hAnsi="Arial" w:cs="Arial"/>
          <w:color w:val="808080" w:themeColor="background1" w:themeShade="80"/>
          <w:sz w:val="22"/>
          <w:szCs w:val="22"/>
          <w:lang w:val="en-GB"/>
        </w:rPr>
        <w:t xml:space="preserve"> receiver can therefore play a role in a Cayman Islands insolvency scenario where, for example, a </w:t>
      </w:r>
      <w:r w:rsidRPr="00E30827">
        <w:rPr>
          <w:rFonts w:ascii="Arial" w:hAnsi="Arial" w:cs="Arial"/>
          <w:color w:val="808080" w:themeColor="background1" w:themeShade="80"/>
          <w:sz w:val="22"/>
          <w:szCs w:val="22"/>
          <w:lang w:val="en-GB"/>
        </w:rPr>
        <w:t xml:space="preserve">secured </w:t>
      </w:r>
      <w:r w:rsidR="00B55BFD" w:rsidRPr="00E30827">
        <w:rPr>
          <w:rFonts w:ascii="Arial" w:hAnsi="Arial" w:cs="Arial"/>
          <w:color w:val="808080" w:themeColor="background1" w:themeShade="80"/>
          <w:sz w:val="22"/>
          <w:szCs w:val="22"/>
          <w:lang w:val="en-GB"/>
        </w:rPr>
        <w:t>creditor asserts that they have a beneficial interest in a company’s asset(s)</w:t>
      </w:r>
      <w:r w:rsidR="00A74FCD">
        <w:rPr>
          <w:rFonts w:ascii="Arial" w:hAnsi="Arial" w:cs="Arial"/>
          <w:color w:val="808080" w:themeColor="background1" w:themeShade="80"/>
          <w:sz w:val="22"/>
          <w:szCs w:val="22"/>
          <w:lang w:val="en-GB"/>
        </w:rPr>
        <w:t xml:space="preserve"> and the winding up of that company is imminent.</w:t>
      </w:r>
      <w:r w:rsidR="00D65A89">
        <w:rPr>
          <w:rFonts w:ascii="Arial" w:hAnsi="Arial" w:cs="Arial"/>
          <w:color w:val="808080" w:themeColor="background1" w:themeShade="80"/>
          <w:sz w:val="22"/>
          <w:szCs w:val="22"/>
          <w:lang w:val="en-GB"/>
        </w:rPr>
        <w:t xml:space="preserve"> The sale of the asset(s) takes precedent over any powers that can arise on the commencement of a winding up.</w:t>
      </w:r>
      <w:r w:rsidR="00730322">
        <w:rPr>
          <w:rFonts w:ascii="Arial" w:hAnsi="Arial" w:cs="Arial"/>
          <w:color w:val="808080" w:themeColor="background1" w:themeShade="80"/>
          <w:sz w:val="22"/>
          <w:szCs w:val="22"/>
          <w:lang w:val="en-GB"/>
        </w:rPr>
        <w:t xml:space="preserve"> The receiver can </w:t>
      </w:r>
      <w:r w:rsidR="00D65A89">
        <w:rPr>
          <w:rFonts w:ascii="Arial" w:hAnsi="Arial" w:cs="Arial"/>
          <w:color w:val="808080" w:themeColor="background1" w:themeShade="80"/>
          <w:sz w:val="22"/>
          <w:szCs w:val="22"/>
          <w:lang w:val="en-GB"/>
        </w:rPr>
        <w:t xml:space="preserve">also </w:t>
      </w:r>
      <w:r w:rsidR="00730322">
        <w:rPr>
          <w:rFonts w:ascii="Arial" w:hAnsi="Arial" w:cs="Arial"/>
          <w:color w:val="808080" w:themeColor="background1" w:themeShade="80"/>
          <w:sz w:val="22"/>
          <w:szCs w:val="22"/>
          <w:lang w:val="en-GB"/>
        </w:rPr>
        <w:t>(</w:t>
      </w:r>
      <w:proofErr w:type="gramStart"/>
      <w:r w:rsidR="00730322">
        <w:rPr>
          <w:rFonts w:ascii="Arial" w:hAnsi="Arial" w:cs="Arial"/>
          <w:color w:val="808080" w:themeColor="background1" w:themeShade="80"/>
          <w:sz w:val="22"/>
          <w:szCs w:val="22"/>
          <w:lang w:val="en-GB"/>
        </w:rPr>
        <w:t>similar to</w:t>
      </w:r>
      <w:proofErr w:type="gramEnd"/>
      <w:r w:rsidR="00730322">
        <w:rPr>
          <w:rFonts w:ascii="Arial" w:hAnsi="Arial" w:cs="Arial"/>
          <w:color w:val="808080" w:themeColor="background1" w:themeShade="80"/>
          <w:sz w:val="22"/>
          <w:szCs w:val="22"/>
          <w:lang w:val="en-GB"/>
        </w:rPr>
        <w:t xml:space="preserve"> a liquidator) meet the liabilities of any employees’ claims out of the assets which are the subject of the receivership (in priority to the debt secured).</w:t>
      </w:r>
    </w:p>
    <w:p w14:paraId="49970063" w14:textId="77777777" w:rsidR="008C47DE" w:rsidRPr="00E30827" w:rsidRDefault="008C47DE" w:rsidP="00E56559">
      <w:pPr>
        <w:jc w:val="both"/>
        <w:rPr>
          <w:rFonts w:ascii="Arial" w:hAnsi="Arial" w:cs="Arial"/>
          <w:i/>
          <w:iCs/>
          <w:color w:val="808080" w:themeColor="background1" w:themeShade="80"/>
          <w:sz w:val="22"/>
          <w:szCs w:val="22"/>
          <w:lang w:val="en-GB"/>
        </w:rPr>
      </w:pPr>
    </w:p>
    <w:p w14:paraId="54C00C9E" w14:textId="139B9E33" w:rsidR="008C47DE" w:rsidRPr="00E30827" w:rsidRDefault="00414629" w:rsidP="00E56559">
      <w:pPr>
        <w:jc w:val="both"/>
        <w:rPr>
          <w:rFonts w:ascii="Arial" w:hAnsi="Arial" w:cs="Arial"/>
          <w:color w:val="808080" w:themeColor="background1" w:themeShade="80"/>
          <w:sz w:val="22"/>
          <w:szCs w:val="22"/>
          <w:u w:val="single"/>
          <w:lang w:val="en-GB"/>
        </w:rPr>
      </w:pPr>
      <w:r w:rsidRPr="00730322">
        <w:rPr>
          <w:rFonts w:ascii="Arial" w:hAnsi="Arial" w:cs="Arial"/>
          <w:color w:val="808080" w:themeColor="background1" w:themeShade="80"/>
          <w:sz w:val="22"/>
          <w:szCs w:val="22"/>
          <w:u w:val="single"/>
          <w:lang w:val="en-GB"/>
        </w:rPr>
        <w:t>Segregated Portfolio Companies (“</w:t>
      </w:r>
      <w:r w:rsidRPr="00730322">
        <w:rPr>
          <w:rFonts w:ascii="Arial" w:hAnsi="Arial" w:cs="Arial"/>
          <w:b/>
          <w:bCs/>
          <w:color w:val="808080" w:themeColor="background1" w:themeShade="80"/>
          <w:sz w:val="22"/>
          <w:szCs w:val="22"/>
          <w:u w:val="single"/>
          <w:lang w:val="en-GB"/>
        </w:rPr>
        <w:t>SPCs</w:t>
      </w:r>
      <w:r w:rsidRPr="00730322">
        <w:rPr>
          <w:rFonts w:ascii="Arial" w:hAnsi="Arial" w:cs="Arial"/>
          <w:color w:val="808080" w:themeColor="background1" w:themeShade="80"/>
          <w:sz w:val="22"/>
          <w:szCs w:val="22"/>
          <w:u w:val="single"/>
          <w:lang w:val="en-GB"/>
        </w:rPr>
        <w:t>”)</w:t>
      </w:r>
    </w:p>
    <w:p w14:paraId="4035852A" w14:textId="77777777" w:rsidR="00600EE8" w:rsidRDefault="00B55BFD" w:rsidP="00B215E6">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 xml:space="preserve">Another example of how receivers have a role to play in a Cayman Islands insolvency scenario is </w:t>
      </w:r>
      <w:r w:rsidR="008C47DE" w:rsidRPr="00E30827">
        <w:rPr>
          <w:rFonts w:ascii="Arial" w:hAnsi="Arial" w:cs="Arial"/>
          <w:color w:val="808080" w:themeColor="background1" w:themeShade="80"/>
          <w:sz w:val="22"/>
          <w:szCs w:val="22"/>
          <w:lang w:val="en-GB"/>
        </w:rPr>
        <w:t xml:space="preserve">in relation to </w:t>
      </w:r>
      <w:r w:rsidR="00414629" w:rsidRPr="00E30827">
        <w:rPr>
          <w:rFonts w:ascii="Arial" w:hAnsi="Arial" w:cs="Arial"/>
          <w:color w:val="808080" w:themeColor="background1" w:themeShade="80"/>
          <w:sz w:val="22"/>
          <w:szCs w:val="22"/>
          <w:lang w:val="en-GB"/>
        </w:rPr>
        <w:t>SPC</w:t>
      </w:r>
      <w:r w:rsidR="00243952" w:rsidRPr="00E30827">
        <w:rPr>
          <w:rFonts w:ascii="Arial" w:hAnsi="Arial" w:cs="Arial"/>
          <w:color w:val="808080" w:themeColor="background1" w:themeShade="80"/>
          <w:sz w:val="22"/>
          <w:szCs w:val="22"/>
          <w:lang w:val="en-GB"/>
        </w:rPr>
        <w:t>s</w:t>
      </w:r>
      <w:r w:rsidR="00B215E6" w:rsidRPr="00E30827">
        <w:rPr>
          <w:rFonts w:ascii="Arial" w:hAnsi="Arial" w:cs="Arial"/>
          <w:color w:val="808080" w:themeColor="background1" w:themeShade="80"/>
          <w:sz w:val="22"/>
          <w:szCs w:val="22"/>
          <w:lang w:val="en-GB"/>
        </w:rPr>
        <w:t>.</w:t>
      </w:r>
      <w:r w:rsidR="00243952" w:rsidRPr="00E30827">
        <w:rPr>
          <w:rFonts w:ascii="Arial" w:hAnsi="Arial" w:cs="Arial"/>
          <w:color w:val="808080" w:themeColor="background1" w:themeShade="80"/>
          <w:sz w:val="22"/>
          <w:szCs w:val="22"/>
          <w:lang w:val="en-GB"/>
        </w:rPr>
        <w:t xml:space="preserve"> </w:t>
      </w:r>
    </w:p>
    <w:p w14:paraId="6F21411E" w14:textId="77777777" w:rsidR="00600EE8" w:rsidRDefault="00600EE8" w:rsidP="00B215E6">
      <w:pPr>
        <w:jc w:val="both"/>
        <w:rPr>
          <w:rFonts w:ascii="Arial" w:hAnsi="Arial" w:cs="Arial"/>
          <w:color w:val="808080" w:themeColor="background1" w:themeShade="80"/>
          <w:sz w:val="22"/>
          <w:szCs w:val="22"/>
          <w:lang w:val="en-GB"/>
        </w:rPr>
      </w:pPr>
    </w:p>
    <w:p w14:paraId="540EEB24" w14:textId="5FDC3CE5" w:rsidR="00E5689F" w:rsidRPr="00E30827" w:rsidRDefault="00BA507B" w:rsidP="00E5689F">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A statutory receivership regime applies in relation to the individual portfolios of the SPC.</w:t>
      </w:r>
      <w:r w:rsidRPr="00E30827">
        <w:rPr>
          <w:rStyle w:val="FootnoteReference"/>
          <w:rFonts w:ascii="Arial" w:hAnsi="Arial" w:cs="Arial"/>
          <w:color w:val="808080" w:themeColor="background1" w:themeShade="80"/>
          <w:sz w:val="22"/>
          <w:szCs w:val="22"/>
          <w:lang w:val="en-GB"/>
        </w:rPr>
        <w:footnoteReference w:id="71"/>
      </w:r>
      <w:r w:rsidRPr="00E30827">
        <w:rPr>
          <w:rFonts w:ascii="Arial" w:hAnsi="Arial" w:cs="Arial"/>
          <w:color w:val="808080" w:themeColor="background1" w:themeShade="80"/>
          <w:sz w:val="22"/>
          <w:szCs w:val="22"/>
          <w:lang w:val="en-GB"/>
        </w:rPr>
        <w:t xml:space="preserve"> Under </w:t>
      </w:r>
      <w:r w:rsidR="00E5689F" w:rsidRPr="00E30827">
        <w:rPr>
          <w:rFonts w:ascii="Arial" w:hAnsi="Arial" w:cs="Arial"/>
          <w:color w:val="808080" w:themeColor="background1" w:themeShade="80"/>
          <w:sz w:val="22"/>
          <w:szCs w:val="22"/>
          <w:lang w:val="en-GB"/>
        </w:rPr>
        <w:t xml:space="preserve">the </w:t>
      </w:r>
      <w:r w:rsidR="00C86949" w:rsidRPr="00782F11">
        <w:rPr>
          <w:rFonts w:ascii="Arial" w:hAnsi="Arial" w:cs="Arial"/>
          <w:color w:val="808080" w:themeColor="background1" w:themeShade="80"/>
          <w:sz w:val="22"/>
          <w:szCs w:val="22"/>
          <w:lang w:val="en-GB"/>
        </w:rPr>
        <w:t>Companies Act (2023 Revision)</w:t>
      </w:r>
      <w:r w:rsidR="00C86949">
        <w:rPr>
          <w:rFonts w:ascii="Arial" w:hAnsi="Arial" w:cs="Arial"/>
          <w:color w:val="808080" w:themeColor="background1" w:themeShade="80"/>
          <w:sz w:val="22"/>
          <w:szCs w:val="22"/>
          <w:lang w:val="en-GB"/>
        </w:rPr>
        <w:t>,</w:t>
      </w:r>
      <w:r w:rsidR="00E5689F" w:rsidRPr="00E30827">
        <w:rPr>
          <w:rFonts w:ascii="Arial" w:hAnsi="Arial" w:cs="Arial"/>
          <w:color w:val="808080" w:themeColor="background1" w:themeShade="80"/>
          <w:sz w:val="22"/>
          <w:szCs w:val="22"/>
          <w:lang w:val="en-GB"/>
        </w:rPr>
        <w:t xml:space="preserve"> </w:t>
      </w:r>
      <w:r w:rsidRPr="00E30827">
        <w:rPr>
          <w:rFonts w:ascii="Arial" w:hAnsi="Arial" w:cs="Arial"/>
          <w:color w:val="808080" w:themeColor="background1" w:themeShade="80"/>
          <w:sz w:val="22"/>
          <w:szCs w:val="22"/>
          <w:lang w:val="en-GB"/>
        </w:rPr>
        <w:t>the court may make a receivership order if, in relation to an SPC, the court is satisfied that</w:t>
      </w:r>
      <w:r w:rsidR="00E5689F" w:rsidRPr="00E30827">
        <w:rPr>
          <w:rFonts w:ascii="Arial" w:hAnsi="Arial" w:cs="Arial"/>
          <w:color w:val="808080" w:themeColor="background1" w:themeShade="80"/>
          <w:sz w:val="22"/>
          <w:szCs w:val="22"/>
          <w:lang w:val="en-GB"/>
        </w:rPr>
        <w:t>:</w:t>
      </w:r>
    </w:p>
    <w:p w14:paraId="56AC0B18" w14:textId="16DD1BF6" w:rsidR="009609D6" w:rsidRPr="00E30827" w:rsidRDefault="00E5689F" w:rsidP="009609D6">
      <w:pPr>
        <w:pStyle w:val="ListParagraph"/>
        <w:numPr>
          <w:ilvl w:val="0"/>
          <w:numId w:val="17"/>
        </w:numPr>
        <w:jc w:val="both"/>
        <w:rPr>
          <w:rFonts w:ascii="Arial" w:hAnsi="Arial" w:cs="Arial"/>
          <w:color w:val="7B7B7B" w:themeColor="accent3" w:themeShade="BF"/>
          <w:sz w:val="22"/>
          <w:szCs w:val="22"/>
          <w:lang w:val="en-HK"/>
        </w:rPr>
      </w:pPr>
      <w:r w:rsidRPr="00E30827">
        <w:rPr>
          <w:rFonts w:ascii="Arial" w:hAnsi="Arial" w:cs="Arial"/>
          <w:color w:val="808080" w:themeColor="background1" w:themeShade="80"/>
          <w:sz w:val="22"/>
          <w:szCs w:val="22"/>
          <w:lang w:val="en-GB"/>
        </w:rPr>
        <w:t>“</w:t>
      </w:r>
      <w:proofErr w:type="gramStart"/>
      <w:r w:rsidR="00BA507B" w:rsidRPr="00E30827">
        <w:rPr>
          <w:rFonts w:ascii="Arial" w:hAnsi="Arial" w:cs="Arial"/>
          <w:i/>
          <w:iCs/>
          <w:color w:val="7B7B7B" w:themeColor="accent3" w:themeShade="BF"/>
          <w:sz w:val="22"/>
          <w:szCs w:val="22"/>
          <w:lang w:val="en-HK"/>
        </w:rPr>
        <w:t>the</w:t>
      </w:r>
      <w:proofErr w:type="gramEnd"/>
      <w:r w:rsidR="00BA507B" w:rsidRPr="00E30827">
        <w:rPr>
          <w:rFonts w:ascii="Arial" w:hAnsi="Arial" w:cs="Arial"/>
          <w:i/>
          <w:iCs/>
          <w:color w:val="7B7B7B" w:themeColor="accent3" w:themeShade="BF"/>
          <w:sz w:val="22"/>
          <w:szCs w:val="22"/>
          <w:lang w:val="en-HK"/>
        </w:rPr>
        <w:t xml:space="preserve"> segregated portfolio assets attributable to a particular segregated portfolio of the</w:t>
      </w:r>
      <w:r w:rsidRPr="00E30827">
        <w:rPr>
          <w:rFonts w:ascii="Arial" w:hAnsi="Arial" w:cs="Arial"/>
          <w:i/>
          <w:iCs/>
          <w:color w:val="808080" w:themeColor="background1" w:themeShade="80"/>
          <w:sz w:val="22"/>
          <w:szCs w:val="22"/>
          <w:lang w:val="en-GB"/>
        </w:rPr>
        <w:t xml:space="preserve"> </w:t>
      </w:r>
      <w:r w:rsidR="00BA507B" w:rsidRPr="00E30827">
        <w:rPr>
          <w:rFonts w:ascii="Arial" w:hAnsi="Arial" w:cs="Arial"/>
          <w:i/>
          <w:iCs/>
          <w:color w:val="7B7B7B" w:themeColor="accent3" w:themeShade="BF"/>
          <w:sz w:val="22"/>
          <w:szCs w:val="22"/>
          <w:lang w:val="en-HK"/>
        </w:rPr>
        <w:t>company</w:t>
      </w:r>
      <w:r w:rsidRPr="00E30827">
        <w:rPr>
          <w:rFonts w:ascii="Arial" w:hAnsi="Arial" w:cs="Arial"/>
          <w:i/>
          <w:iCs/>
          <w:color w:val="7B7B7B" w:themeColor="accent3" w:themeShade="BF"/>
          <w:sz w:val="22"/>
          <w:szCs w:val="22"/>
          <w:lang w:val="en-HK"/>
        </w:rPr>
        <w:t>…</w:t>
      </w:r>
      <w:r w:rsidR="00BA507B" w:rsidRPr="00E30827">
        <w:rPr>
          <w:rFonts w:ascii="Arial" w:hAnsi="Arial" w:cs="Arial"/>
          <w:i/>
          <w:iCs/>
          <w:color w:val="7B7B7B" w:themeColor="accent3" w:themeShade="BF"/>
          <w:sz w:val="22"/>
          <w:szCs w:val="22"/>
          <w:lang w:val="en-HK"/>
        </w:rPr>
        <w:t>are or are likely to be insufficient to discharge the claims of creditors in</w:t>
      </w:r>
      <w:r w:rsidRPr="00E30827">
        <w:rPr>
          <w:rFonts w:ascii="Arial" w:hAnsi="Arial" w:cs="Arial"/>
          <w:i/>
          <w:iCs/>
          <w:color w:val="808080" w:themeColor="background1" w:themeShade="80"/>
          <w:sz w:val="22"/>
          <w:szCs w:val="22"/>
          <w:lang w:val="en-GB"/>
        </w:rPr>
        <w:t xml:space="preserve"> </w:t>
      </w:r>
      <w:r w:rsidR="00BA507B" w:rsidRPr="00E30827">
        <w:rPr>
          <w:rFonts w:ascii="Arial" w:hAnsi="Arial" w:cs="Arial"/>
          <w:i/>
          <w:iCs/>
          <w:color w:val="7B7B7B" w:themeColor="accent3" w:themeShade="BF"/>
          <w:sz w:val="22"/>
          <w:szCs w:val="22"/>
          <w:lang w:val="en-HK"/>
        </w:rPr>
        <w:t>respect of that segregated portfolio</w:t>
      </w:r>
      <w:r w:rsidRPr="00E30827">
        <w:rPr>
          <w:rFonts w:ascii="Arial" w:hAnsi="Arial" w:cs="Arial"/>
          <w:color w:val="7B7B7B" w:themeColor="accent3" w:themeShade="BF"/>
          <w:sz w:val="22"/>
          <w:szCs w:val="22"/>
          <w:lang w:val="en-HK"/>
        </w:rPr>
        <w:t>”</w:t>
      </w:r>
      <w:r w:rsidRPr="00E30827">
        <w:rPr>
          <w:rStyle w:val="FootnoteReference"/>
          <w:rFonts w:ascii="Arial" w:hAnsi="Arial" w:cs="Arial"/>
          <w:color w:val="7B7B7B" w:themeColor="accent3" w:themeShade="BF"/>
          <w:sz w:val="22"/>
          <w:szCs w:val="22"/>
          <w:lang w:val="en-HK"/>
        </w:rPr>
        <w:footnoteReference w:id="72"/>
      </w:r>
      <w:r w:rsidRPr="00E30827">
        <w:rPr>
          <w:rFonts w:ascii="Arial" w:hAnsi="Arial" w:cs="Arial"/>
          <w:color w:val="7B7B7B" w:themeColor="accent3" w:themeShade="BF"/>
          <w:sz w:val="22"/>
          <w:szCs w:val="22"/>
          <w:lang w:val="en-HK"/>
        </w:rPr>
        <w:t xml:space="preserve"> (this is analogous to that of a liquidator)</w:t>
      </w:r>
      <w:r w:rsidRPr="00E30827">
        <w:rPr>
          <w:rStyle w:val="FootnoteReference"/>
          <w:rFonts w:ascii="Arial" w:hAnsi="Arial" w:cs="Arial"/>
          <w:color w:val="7B7B7B" w:themeColor="accent3" w:themeShade="BF"/>
          <w:sz w:val="22"/>
          <w:szCs w:val="22"/>
          <w:lang w:val="en-HK"/>
        </w:rPr>
        <w:footnoteReference w:id="73"/>
      </w:r>
      <w:r w:rsidRPr="00E30827">
        <w:rPr>
          <w:rFonts w:ascii="Arial" w:hAnsi="Arial" w:cs="Arial"/>
          <w:color w:val="7B7B7B" w:themeColor="accent3" w:themeShade="BF"/>
          <w:sz w:val="22"/>
          <w:szCs w:val="22"/>
          <w:lang w:val="en-HK"/>
        </w:rPr>
        <w:t>; and</w:t>
      </w:r>
    </w:p>
    <w:p w14:paraId="3D78E536" w14:textId="6838B8FD" w:rsidR="00B272CF" w:rsidRPr="00E30827" w:rsidRDefault="00E5689F">
      <w:pPr>
        <w:pStyle w:val="ListParagraph"/>
        <w:numPr>
          <w:ilvl w:val="0"/>
          <w:numId w:val="17"/>
        </w:num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the receivership order would ensure the orderly closing down of the business of the SPC</w:t>
      </w:r>
      <w:r w:rsidRPr="00E30827">
        <w:rPr>
          <w:rStyle w:val="FootnoteReference"/>
          <w:rFonts w:ascii="Arial" w:hAnsi="Arial" w:cs="Arial"/>
          <w:color w:val="808080" w:themeColor="background1" w:themeShade="80"/>
          <w:sz w:val="22"/>
          <w:szCs w:val="22"/>
          <w:lang w:val="en-GB"/>
        </w:rPr>
        <w:footnoteReference w:id="74"/>
      </w:r>
      <w:r w:rsidRPr="00E30827">
        <w:rPr>
          <w:rFonts w:ascii="Arial" w:hAnsi="Arial" w:cs="Arial"/>
          <w:color w:val="808080" w:themeColor="background1" w:themeShade="80"/>
          <w:sz w:val="22"/>
          <w:szCs w:val="22"/>
          <w:lang w:val="en-GB"/>
        </w:rPr>
        <w:t xml:space="preserve"> and the distribution of the SPC’s assets to those entitled.</w:t>
      </w:r>
      <w:r w:rsidRPr="00E30827">
        <w:rPr>
          <w:rStyle w:val="FootnoteReference"/>
          <w:rFonts w:ascii="Arial" w:hAnsi="Arial" w:cs="Arial"/>
          <w:color w:val="808080" w:themeColor="background1" w:themeShade="80"/>
          <w:sz w:val="22"/>
          <w:szCs w:val="22"/>
          <w:lang w:val="en-GB"/>
        </w:rPr>
        <w:footnoteReference w:id="75"/>
      </w:r>
    </w:p>
    <w:p w14:paraId="6BEA4647" w14:textId="77777777" w:rsidR="00B272CF" w:rsidRPr="00E30827" w:rsidRDefault="00B272CF" w:rsidP="002A37BB">
      <w:pPr>
        <w:jc w:val="both"/>
        <w:rPr>
          <w:rFonts w:ascii="Arial" w:hAnsi="Arial" w:cs="Arial"/>
          <w:color w:val="808080" w:themeColor="background1" w:themeShade="80"/>
          <w:sz w:val="22"/>
          <w:szCs w:val="22"/>
          <w:lang w:val="en-GB"/>
        </w:rPr>
      </w:pPr>
    </w:p>
    <w:p w14:paraId="49357CDF" w14:textId="248E9244" w:rsidR="00E72325" w:rsidRPr="00E30827" w:rsidRDefault="00F23563" w:rsidP="002A37BB">
      <w:pPr>
        <w:jc w:val="both"/>
        <w:rPr>
          <w:rFonts w:ascii="Arial" w:hAnsi="Arial" w:cs="Arial"/>
          <w:color w:val="808080" w:themeColor="background1" w:themeShade="80"/>
          <w:sz w:val="22"/>
          <w:szCs w:val="22"/>
          <w:lang w:val="en-GB"/>
        </w:rPr>
      </w:pPr>
      <w:r w:rsidRPr="00E30827">
        <w:rPr>
          <w:rFonts w:ascii="Arial" w:hAnsi="Arial" w:cs="Arial"/>
          <w:i/>
          <w:iCs/>
          <w:color w:val="808080" w:themeColor="background1" w:themeShade="80"/>
          <w:sz w:val="22"/>
          <w:szCs w:val="22"/>
          <w:lang w:val="en-GB"/>
        </w:rPr>
        <w:t>R</w:t>
      </w:r>
      <w:r w:rsidR="00E72325" w:rsidRPr="00E30827">
        <w:rPr>
          <w:rFonts w:ascii="Arial" w:hAnsi="Arial" w:cs="Arial"/>
          <w:i/>
          <w:iCs/>
          <w:color w:val="808080" w:themeColor="background1" w:themeShade="80"/>
          <w:sz w:val="22"/>
          <w:szCs w:val="22"/>
          <w:lang w:val="en-GB"/>
        </w:rPr>
        <w:t>e Obelisk Global Fund SPC</w:t>
      </w:r>
      <w:r w:rsidR="00E72325" w:rsidRPr="00E30827">
        <w:rPr>
          <w:rStyle w:val="FootnoteReference"/>
          <w:rFonts w:ascii="Arial" w:hAnsi="Arial" w:cs="Arial"/>
          <w:color w:val="808080" w:themeColor="background1" w:themeShade="80"/>
          <w:sz w:val="22"/>
          <w:szCs w:val="22"/>
          <w:lang w:val="en-GB"/>
        </w:rPr>
        <w:footnoteReference w:id="76"/>
      </w:r>
      <w:r w:rsidR="00E72325" w:rsidRPr="00E30827">
        <w:rPr>
          <w:rFonts w:ascii="Arial" w:hAnsi="Arial" w:cs="Arial"/>
          <w:color w:val="808080" w:themeColor="background1" w:themeShade="80"/>
          <w:sz w:val="22"/>
          <w:szCs w:val="22"/>
          <w:lang w:val="en-GB"/>
        </w:rPr>
        <w:t xml:space="preserve"> considered the test for making a receivership order. The test was more than simply an assessment of the values of the assets and liabilities – it was in fact whether the assets are or were likely to be in the reasonably near future when assessed against the liabilities (prospective and contingent liabilities) held in a </w:t>
      </w:r>
      <w:r w:rsidR="00326CD3" w:rsidRPr="00E30827">
        <w:rPr>
          <w:rFonts w:ascii="Arial" w:hAnsi="Arial" w:cs="Arial"/>
          <w:color w:val="808080" w:themeColor="background1" w:themeShade="80"/>
          <w:sz w:val="22"/>
          <w:szCs w:val="22"/>
          <w:lang w:val="en-GB"/>
        </w:rPr>
        <w:t>manner where</w:t>
      </w:r>
      <w:r w:rsidR="00E72325" w:rsidRPr="00E30827">
        <w:rPr>
          <w:rFonts w:ascii="Arial" w:hAnsi="Arial" w:cs="Arial"/>
          <w:color w:val="808080" w:themeColor="background1" w:themeShade="80"/>
          <w:sz w:val="22"/>
          <w:szCs w:val="22"/>
          <w:lang w:val="en-GB"/>
        </w:rPr>
        <w:t xml:space="preserve"> they may be used to discharge </w:t>
      </w:r>
      <w:r w:rsidR="00326CD3" w:rsidRPr="00E30827">
        <w:rPr>
          <w:rFonts w:ascii="Arial" w:hAnsi="Arial" w:cs="Arial"/>
          <w:color w:val="808080" w:themeColor="background1" w:themeShade="80"/>
          <w:sz w:val="22"/>
          <w:szCs w:val="22"/>
          <w:lang w:val="en-GB"/>
        </w:rPr>
        <w:t>creditor claims.</w:t>
      </w:r>
      <w:r w:rsidR="00326CD3" w:rsidRPr="00E30827">
        <w:rPr>
          <w:rStyle w:val="FootnoteReference"/>
          <w:rFonts w:ascii="Arial" w:hAnsi="Arial" w:cs="Arial"/>
          <w:color w:val="808080" w:themeColor="background1" w:themeShade="80"/>
          <w:sz w:val="22"/>
          <w:szCs w:val="22"/>
          <w:lang w:val="en-GB"/>
        </w:rPr>
        <w:footnoteReference w:id="77"/>
      </w:r>
    </w:p>
    <w:p w14:paraId="31D85960" w14:textId="77777777" w:rsidR="00326CD3" w:rsidRPr="00E30827" w:rsidRDefault="00326CD3" w:rsidP="002A37BB">
      <w:pPr>
        <w:jc w:val="both"/>
        <w:rPr>
          <w:rFonts w:ascii="Arial" w:hAnsi="Arial" w:cs="Arial"/>
          <w:color w:val="808080" w:themeColor="background1" w:themeShade="80"/>
          <w:sz w:val="22"/>
          <w:szCs w:val="22"/>
          <w:lang w:val="en-GB"/>
        </w:rPr>
      </w:pPr>
    </w:p>
    <w:p w14:paraId="0D048F8D" w14:textId="6D26341D" w:rsidR="00460072" w:rsidRPr="00E30827" w:rsidRDefault="00460072" w:rsidP="00460072">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An application for a receivership order in respect of a segregated portfolio of an SPC may be made by those listed in section 225(1) and include</w:t>
      </w:r>
      <w:r w:rsidR="00782F11">
        <w:rPr>
          <w:rFonts w:ascii="Arial" w:hAnsi="Arial" w:cs="Arial"/>
          <w:color w:val="808080" w:themeColor="background1" w:themeShade="80"/>
          <w:sz w:val="22"/>
          <w:szCs w:val="22"/>
          <w:lang w:val="en-GB"/>
        </w:rPr>
        <w:t>s</w:t>
      </w:r>
      <w:r w:rsidRPr="00E30827">
        <w:rPr>
          <w:rFonts w:ascii="Arial" w:hAnsi="Arial" w:cs="Arial"/>
          <w:color w:val="808080" w:themeColor="background1" w:themeShade="80"/>
          <w:sz w:val="22"/>
          <w:szCs w:val="22"/>
          <w:lang w:val="en-GB"/>
        </w:rPr>
        <w:t xml:space="preserve"> a creditor of</w:t>
      </w:r>
      <w:r w:rsidR="00782F11">
        <w:rPr>
          <w:rFonts w:ascii="Arial" w:hAnsi="Arial" w:cs="Arial"/>
          <w:color w:val="808080" w:themeColor="background1" w:themeShade="80"/>
          <w:sz w:val="22"/>
          <w:szCs w:val="22"/>
          <w:lang w:val="en-GB"/>
        </w:rPr>
        <w:t xml:space="preserve"> the company in respect of that segregated portfolio</w:t>
      </w:r>
      <w:r w:rsidRPr="00E30827">
        <w:rPr>
          <w:rFonts w:ascii="Arial" w:hAnsi="Arial" w:cs="Arial"/>
          <w:color w:val="808080" w:themeColor="background1" w:themeShade="80"/>
          <w:sz w:val="22"/>
          <w:szCs w:val="22"/>
          <w:lang w:val="en-GB"/>
        </w:rPr>
        <w:t>.</w:t>
      </w:r>
      <w:r w:rsidRPr="00E30827">
        <w:rPr>
          <w:rStyle w:val="FootnoteReference"/>
          <w:rFonts w:ascii="Arial" w:hAnsi="Arial" w:cs="Arial"/>
          <w:color w:val="808080" w:themeColor="background1" w:themeShade="80"/>
          <w:sz w:val="22"/>
          <w:szCs w:val="22"/>
          <w:lang w:val="en-GB"/>
        </w:rPr>
        <w:footnoteReference w:id="78"/>
      </w:r>
      <w:r w:rsidRPr="00E30827">
        <w:rPr>
          <w:rFonts w:ascii="Arial" w:hAnsi="Arial" w:cs="Arial"/>
          <w:color w:val="808080" w:themeColor="background1" w:themeShade="80"/>
          <w:sz w:val="22"/>
          <w:szCs w:val="22"/>
          <w:lang w:val="en-GB"/>
        </w:rPr>
        <w:t xml:space="preserve"> </w:t>
      </w:r>
      <w:r w:rsidR="009609D6" w:rsidRPr="00E30827">
        <w:rPr>
          <w:rFonts w:ascii="Arial" w:hAnsi="Arial" w:cs="Arial"/>
          <w:color w:val="808080" w:themeColor="background1" w:themeShade="80"/>
          <w:sz w:val="22"/>
          <w:szCs w:val="22"/>
          <w:lang w:val="en-GB"/>
        </w:rPr>
        <w:t>Similar to insolvency proceedings, once a</w:t>
      </w:r>
      <w:r w:rsidRPr="00E30827">
        <w:rPr>
          <w:rFonts w:ascii="Arial" w:hAnsi="Arial" w:cs="Arial"/>
          <w:color w:val="808080" w:themeColor="background1" w:themeShade="80"/>
          <w:sz w:val="22"/>
          <w:szCs w:val="22"/>
          <w:lang w:val="en-GB"/>
        </w:rPr>
        <w:t>n application has been made for a receivership order (and for the duration of it), “</w:t>
      </w:r>
      <w:r w:rsidRPr="00E30827">
        <w:rPr>
          <w:rFonts w:ascii="Arial" w:hAnsi="Arial" w:cs="Arial"/>
          <w:i/>
          <w:iCs/>
          <w:color w:val="808080" w:themeColor="background1" w:themeShade="80"/>
          <w:sz w:val="22"/>
          <w:szCs w:val="22"/>
          <w:lang w:val="en-GB"/>
        </w:rPr>
        <w:t xml:space="preserve">no suit, action or other proceedings shall be instituted against the segregated portfolio company in relation to the segregated portfolio in respect of which the receivership order was made except by leave of </w:t>
      </w:r>
      <w:r w:rsidRPr="00E30827">
        <w:rPr>
          <w:rFonts w:ascii="Arial" w:hAnsi="Arial" w:cs="Arial"/>
          <w:i/>
          <w:iCs/>
          <w:color w:val="808080" w:themeColor="background1" w:themeShade="80"/>
          <w:sz w:val="22"/>
          <w:szCs w:val="22"/>
          <w:lang w:val="en-GB"/>
        </w:rPr>
        <w:lastRenderedPageBreak/>
        <w:t>the Court</w:t>
      </w:r>
      <w:r w:rsidRPr="00E30827">
        <w:rPr>
          <w:rFonts w:ascii="Arial" w:hAnsi="Arial" w:cs="Arial"/>
          <w:color w:val="808080" w:themeColor="background1" w:themeShade="80"/>
          <w:sz w:val="22"/>
          <w:szCs w:val="22"/>
          <w:lang w:val="en-GB"/>
        </w:rPr>
        <w:t>”</w:t>
      </w:r>
      <w:r w:rsidRPr="00E30827">
        <w:rPr>
          <w:rStyle w:val="FootnoteReference"/>
          <w:rFonts w:ascii="Arial" w:hAnsi="Arial" w:cs="Arial"/>
          <w:color w:val="808080" w:themeColor="background1" w:themeShade="80"/>
          <w:sz w:val="22"/>
          <w:szCs w:val="22"/>
          <w:lang w:val="en-GB"/>
        </w:rPr>
        <w:footnoteReference w:id="79"/>
      </w:r>
      <w:r w:rsidR="00D65A89">
        <w:rPr>
          <w:rFonts w:ascii="Arial" w:hAnsi="Arial" w:cs="Arial"/>
          <w:color w:val="808080" w:themeColor="background1" w:themeShade="80"/>
          <w:sz w:val="22"/>
          <w:szCs w:val="22"/>
          <w:lang w:val="en-GB"/>
        </w:rPr>
        <w:t>.</w:t>
      </w:r>
      <w:r w:rsidRPr="00E30827">
        <w:rPr>
          <w:rFonts w:ascii="Arial" w:hAnsi="Arial" w:cs="Arial"/>
          <w:color w:val="808080" w:themeColor="background1" w:themeShade="80"/>
          <w:sz w:val="22"/>
          <w:szCs w:val="22"/>
          <w:lang w:val="en-GB"/>
        </w:rPr>
        <w:t xml:space="preserve"> Another similarity to a liquidat</w:t>
      </w:r>
      <w:r w:rsidR="00D65A89">
        <w:rPr>
          <w:rFonts w:ascii="Arial" w:hAnsi="Arial" w:cs="Arial"/>
          <w:color w:val="808080" w:themeColor="background1" w:themeShade="80"/>
          <w:sz w:val="22"/>
          <w:szCs w:val="22"/>
          <w:lang w:val="en-GB"/>
        </w:rPr>
        <w:t>ion</w:t>
      </w:r>
      <w:r w:rsidRPr="00E30827">
        <w:rPr>
          <w:rFonts w:ascii="Arial" w:hAnsi="Arial" w:cs="Arial"/>
          <w:color w:val="808080" w:themeColor="background1" w:themeShade="80"/>
          <w:sz w:val="22"/>
          <w:szCs w:val="22"/>
          <w:lang w:val="en-GB"/>
        </w:rPr>
        <w:t xml:space="preserve"> is that once the receivership order is granted, the functions and powers of the directors will cease in relation to the business of the SPC.</w:t>
      </w:r>
      <w:r w:rsidRPr="00E30827">
        <w:rPr>
          <w:rStyle w:val="FootnoteReference"/>
          <w:rFonts w:ascii="Arial" w:hAnsi="Arial" w:cs="Arial"/>
          <w:color w:val="808080" w:themeColor="background1" w:themeShade="80"/>
          <w:sz w:val="22"/>
          <w:szCs w:val="22"/>
          <w:lang w:val="en-GB"/>
        </w:rPr>
        <w:footnoteReference w:id="80"/>
      </w:r>
    </w:p>
    <w:p w14:paraId="25468905" w14:textId="361439FA" w:rsidR="00CE5DE1" w:rsidRPr="00E30827" w:rsidRDefault="00CE5DE1" w:rsidP="00E56559">
      <w:pPr>
        <w:jc w:val="both"/>
        <w:rPr>
          <w:rFonts w:ascii="Arial" w:hAnsi="Arial" w:cs="Arial"/>
          <w:color w:val="808080" w:themeColor="background1" w:themeShade="80"/>
          <w:sz w:val="22"/>
          <w:szCs w:val="22"/>
          <w:lang w:val="en-GB"/>
        </w:rPr>
      </w:pPr>
    </w:p>
    <w:p w14:paraId="2C4A0AC0" w14:textId="2F8B3E85" w:rsidR="00CE5DE1" w:rsidRPr="00E30827" w:rsidRDefault="00CE5DE1" w:rsidP="00E56559">
      <w:pPr>
        <w:jc w:val="both"/>
        <w:rPr>
          <w:rFonts w:ascii="Arial" w:hAnsi="Arial" w:cs="Arial"/>
          <w:b/>
          <w:bCs/>
          <w:color w:val="808080" w:themeColor="background1" w:themeShade="80"/>
          <w:sz w:val="22"/>
          <w:szCs w:val="22"/>
          <w:u w:val="single"/>
          <w:lang w:val="en-GB"/>
        </w:rPr>
      </w:pPr>
      <w:r w:rsidRPr="00E30827">
        <w:rPr>
          <w:rFonts w:ascii="Arial" w:hAnsi="Arial" w:cs="Arial"/>
          <w:b/>
          <w:bCs/>
          <w:color w:val="808080" w:themeColor="background1" w:themeShade="80"/>
          <w:sz w:val="22"/>
          <w:szCs w:val="22"/>
          <w:u w:val="single"/>
          <w:lang w:val="en-GB"/>
        </w:rPr>
        <w:t>Conclusion</w:t>
      </w:r>
    </w:p>
    <w:p w14:paraId="6A9E46F8" w14:textId="0D3539CF" w:rsidR="00326CD3" w:rsidRPr="00D65A89" w:rsidRDefault="006C3A13" w:rsidP="002A37BB">
      <w:pPr>
        <w:jc w:val="both"/>
        <w:rPr>
          <w:rFonts w:ascii="Arial" w:hAnsi="Arial" w:cs="Arial"/>
          <w:color w:val="808080" w:themeColor="background1" w:themeShade="80"/>
          <w:sz w:val="22"/>
          <w:szCs w:val="22"/>
          <w:lang w:val="en-GB"/>
        </w:rPr>
      </w:pPr>
      <w:r w:rsidRPr="00E30827">
        <w:rPr>
          <w:rFonts w:ascii="Arial" w:hAnsi="Arial" w:cs="Arial"/>
          <w:color w:val="808080" w:themeColor="background1" w:themeShade="80"/>
          <w:sz w:val="22"/>
          <w:szCs w:val="22"/>
          <w:lang w:val="en-GB"/>
        </w:rPr>
        <w:t xml:space="preserve">Whether a receiver has a role to play in a Cayman Islands insolvency scenario will depend on the </w:t>
      </w:r>
      <w:r w:rsidR="00C86949">
        <w:rPr>
          <w:rFonts w:ascii="Arial" w:hAnsi="Arial" w:cs="Arial"/>
          <w:color w:val="808080" w:themeColor="background1" w:themeShade="80"/>
          <w:sz w:val="22"/>
          <w:szCs w:val="22"/>
          <w:lang w:val="en-GB"/>
        </w:rPr>
        <w:t xml:space="preserve">specific </w:t>
      </w:r>
      <w:r w:rsidRPr="00E30827">
        <w:rPr>
          <w:rFonts w:ascii="Arial" w:hAnsi="Arial" w:cs="Arial"/>
          <w:color w:val="808080" w:themeColor="background1" w:themeShade="80"/>
          <w:sz w:val="22"/>
          <w:szCs w:val="22"/>
          <w:lang w:val="en-GB"/>
        </w:rPr>
        <w:t>situation. A</w:t>
      </w:r>
      <w:r w:rsidR="00CE5DE1" w:rsidRPr="00E30827">
        <w:rPr>
          <w:rFonts w:ascii="Arial" w:hAnsi="Arial" w:cs="Arial"/>
          <w:color w:val="808080" w:themeColor="background1" w:themeShade="80"/>
          <w:sz w:val="22"/>
          <w:szCs w:val="22"/>
          <w:lang w:val="en-GB"/>
        </w:rPr>
        <w:t xml:space="preserve"> privately appointed receiver has no </w:t>
      </w:r>
      <w:r w:rsidRPr="00E30827">
        <w:rPr>
          <w:rFonts w:ascii="Arial" w:hAnsi="Arial" w:cs="Arial"/>
          <w:color w:val="808080" w:themeColor="background1" w:themeShade="80"/>
          <w:sz w:val="22"/>
          <w:szCs w:val="22"/>
          <w:lang w:val="en-GB"/>
        </w:rPr>
        <w:t xml:space="preserve">(direct) role to play in a Cayman Islands insolvency scenario as the function of the receiver in this situation is to realise the secured asset on behalf of the secured creditor. On the other hand, a court appointed equitable receiver, as demonstrated by </w:t>
      </w:r>
      <w:r w:rsidRPr="00E30827">
        <w:rPr>
          <w:rFonts w:ascii="Arial" w:hAnsi="Arial" w:cs="Arial"/>
          <w:i/>
          <w:iCs/>
          <w:color w:val="808080" w:themeColor="background1" w:themeShade="80"/>
          <w:sz w:val="22"/>
          <w:szCs w:val="22"/>
          <w:lang w:val="en-GB"/>
        </w:rPr>
        <w:t>Treasure Island</w:t>
      </w:r>
      <w:r w:rsidR="000D4BFD" w:rsidRPr="00E30827">
        <w:rPr>
          <w:rFonts w:ascii="Arial" w:hAnsi="Arial" w:cs="Arial"/>
          <w:color w:val="808080" w:themeColor="background1" w:themeShade="80"/>
          <w:sz w:val="22"/>
          <w:szCs w:val="22"/>
          <w:lang w:val="en-GB"/>
        </w:rPr>
        <w:t xml:space="preserve">, </w:t>
      </w:r>
      <w:r w:rsidRPr="00E30827">
        <w:rPr>
          <w:rFonts w:ascii="Arial" w:hAnsi="Arial" w:cs="Arial"/>
          <w:color w:val="808080" w:themeColor="background1" w:themeShade="80"/>
          <w:sz w:val="22"/>
          <w:szCs w:val="22"/>
          <w:lang w:val="en-GB"/>
        </w:rPr>
        <w:t xml:space="preserve">plays a role akin to a liquidator </w:t>
      </w:r>
      <w:r w:rsidR="00D65A89">
        <w:rPr>
          <w:rFonts w:ascii="Arial" w:hAnsi="Arial" w:cs="Arial"/>
          <w:color w:val="808080" w:themeColor="background1" w:themeShade="80"/>
          <w:sz w:val="22"/>
          <w:szCs w:val="22"/>
          <w:lang w:val="en-GB"/>
        </w:rPr>
        <w:t xml:space="preserve">and can </w:t>
      </w:r>
      <w:r w:rsidR="00D65A89" w:rsidRPr="00D65A89">
        <w:rPr>
          <w:rFonts w:ascii="Arial" w:hAnsi="Arial" w:cs="Arial"/>
          <w:color w:val="808080" w:themeColor="background1" w:themeShade="80"/>
          <w:sz w:val="22"/>
          <w:szCs w:val="22"/>
          <w:lang w:val="en-GB"/>
        </w:rPr>
        <w:t>meet the liabilities of any employees’ claims out of the assets which are the subject of the receivership (in priority to the debt secured).</w:t>
      </w:r>
      <w:r w:rsidR="00D65A89">
        <w:rPr>
          <w:rFonts w:ascii="Arial" w:hAnsi="Arial" w:cs="Arial"/>
          <w:color w:val="808080" w:themeColor="background1" w:themeShade="80"/>
          <w:sz w:val="22"/>
          <w:szCs w:val="22"/>
          <w:lang w:val="en-GB"/>
        </w:rPr>
        <w:t xml:space="preserve"> </w:t>
      </w:r>
      <w:r w:rsidRPr="00E30827">
        <w:rPr>
          <w:rFonts w:ascii="Arial" w:hAnsi="Arial" w:cs="Arial"/>
          <w:color w:val="808080" w:themeColor="background1" w:themeShade="80"/>
          <w:sz w:val="22"/>
          <w:szCs w:val="22"/>
          <w:lang w:val="en-GB"/>
        </w:rPr>
        <w:t>Further, in terms of SPCs, a receivership order</w:t>
      </w:r>
      <w:r w:rsidR="00D65A89">
        <w:rPr>
          <w:rFonts w:ascii="Arial" w:hAnsi="Arial" w:cs="Arial"/>
          <w:color w:val="808080" w:themeColor="background1" w:themeShade="80"/>
          <w:sz w:val="22"/>
          <w:szCs w:val="22"/>
          <w:lang w:val="en-GB"/>
        </w:rPr>
        <w:t xml:space="preserve"> can be made if the court is satisfied that, </w:t>
      </w:r>
      <w:r w:rsidR="00D65A89">
        <w:rPr>
          <w:rFonts w:ascii="Arial" w:hAnsi="Arial" w:cs="Arial"/>
          <w:i/>
          <w:iCs/>
          <w:color w:val="808080" w:themeColor="background1" w:themeShade="80"/>
          <w:sz w:val="22"/>
          <w:szCs w:val="22"/>
          <w:lang w:val="en-GB"/>
        </w:rPr>
        <w:t>inter alia</w:t>
      </w:r>
      <w:r w:rsidR="00D65A89">
        <w:rPr>
          <w:rFonts w:ascii="Arial" w:hAnsi="Arial" w:cs="Arial"/>
          <w:color w:val="808080" w:themeColor="background1" w:themeShade="80"/>
          <w:sz w:val="22"/>
          <w:szCs w:val="22"/>
          <w:lang w:val="en-GB"/>
        </w:rPr>
        <w:t xml:space="preserve">, the </w:t>
      </w:r>
      <w:r w:rsidR="00D65A89" w:rsidRPr="00D65A89">
        <w:rPr>
          <w:rFonts w:ascii="Arial" w:hAnsi="Arial" w:cs="Arial"/>
          <w:color w:val="808080" w:themeColor="background1" w:themeShade="80"/>
          <w:sz w:val="22"/>
          <w:szCs w:val="22"/>
          <w:lang w:val="en-GB"/>
        </w:rPr>
        <w:t>receivership order would ensure the orderly closing down of the business of the SPC</w:t>
      </w:r>
      <w:r w:rsidR="00D65A89" w:rsidRPr="00D65A89">
        <w:rPr>
          <w:rFonts w:ascii="Arial" w:hAnsi="Arial" w:cs="Arial"/>
          <w:color w:val="808080" w:themeColor="background1" w:themeShade="80"/>
          <w:sz w:val="22"/>
          <w:szCs w:val="22"/>
          <w:vertAlign w:val="superscript"/>
          <w:lang w:val="en-GB"/>
        </w:rPr>
        <w:footnoteReference w:id="81"/>
      </w:r>
      <w:r w:rsidR="00D65A89" w:rsidRPr="00D65A89">
        <w:rPr>
          <w:rFonts w:ascii="Arial" w:hAnsi="Arial" w:cs="Arial"/>
          <w:color w:val="808080" w:themeColor="background1" w:themeShade="80"/>
          <w:sz w:val="22"/>
          <w:szCs w:val="22"/>
          <w:lang w:val="en-GB"/>
        </w:rPr>
        <w:t xml:space="preserve"> and the distribution of the SPC’s assets to those entitled.</w:t>
      </w:r>
      <w:r w:rsidR="00D65A89" w:rsidRPr="00D65A89">
        <w:rPr>
          <w:rFonts w:ascii="Arial" w:hAnsi="Arial" w:cs="Arial"/>
          <w:color w:val="808080" w:themeColor="background1" w:themeShade="80"/>
          <w:sz w:val="22"/>
          <w:szCs w:val="22"/>
          <w:vertAlign w:val="superscript"/>
          <w:lang w:val="en-GB"/>
        </w:rPr>
        <w:footnoteReference w:id="82"/>
      </w:r>
      <w:r w:rsidR="00D65A89">
        <w:rPr>
          <w:rFonts w:ascii="Arial" w:hAnsi="Arial" w:cs="Arial"/>
          <w:color w:val="808080" w:themeColor="background1" w:themeShade="80"/>
          <w:sz w:val="22"/>
          <w:szCs w:val="22"/>
          <w:lang w:val="en-GB"/>
        </w:rPr>
        <w:t xml:space="preserve"> This is </w:t>
      </w:r>
      <w:proofErr w:type="gramStart"/>
      <w:r w:rsidR="00D65A89">
        <w:rPr>
          <w:rFonts w:ascii="Arial" w:hAnsi="Arial" w:cs="Arial"/>
          <w:color w:val="808080" w:themeColor="background1" w:themeShade="80"/>
          <w:sz w:val="22"/>
          <w:szCs w:val="22"/>
          <w:lang w:val="en-GB"/>
        </w:rPr>
        <w:t>similar to</w:t>
      </w:r>
      <w:proofErr w:type="gramEnd"/>
      <w:r w:rsidR="00D65A89">
        <w:rPr>
          <w:rFonts w:ascii="Arial" w:hAnsi="Arial" w:cs="Arial"/>
          <w:color w:val="808080" w:themeColor="background1" w:themeShade="80"/>
          <w:sz w:val="22"/>
          <w:szCs w:val="22"/>
          <w:lang w:val="en-GB"/>
        </w:rPr>
        <w:t xml:space="preserve"> a liquidation scenario.</w:t>
      </w:r>
    </w:p>
    <w:p w14:paraId="58A89641" w14:textId="77777777" w:rsidR="00D65A89" w:rsidRPr="001270FA" w:rsidRDefault="00D65A89" w:rsidP="002A37BB">
      <w:pPr>
        <w:jc w:val="both"/>
        <w:rPr>
          <w:rFonts w:ascii="Arial" w:hAnsi="Arial" w:cs="Arial"/>
          <w:sz w:val="22"/>
          <w:szCs w:val="22"/>
          <w:shd w:val="clear" w:color="auto" w:fill="FFFFFF"/>
        </w:rPr>
      </w:pPr>
    </w:p>
    <w:p w14:paraId="1A6B2246" w14:textId="77777777" w:rsidR="005565DB" w:rsidRPr="001270FA" w:rsidRDefault="005565DB" w:rsidP="002A37BB">
      <w:pPr>
        <w:jc w:val="both"/>
        <w:rPr>
          <w:rFonts w:ascii="Arial" w:hAnsi="Arial" w:cs="Arial"/>
          <w:sz w:val="22"/>
          <w:szCs w:val="22"/>
          <w:shd w:val="clear" w:color="auto" w:fill="FFFFFF"/>
        </w:rPr>
      </w:pPr>
    </w:p>
    <w:p w14:paraId="740F5748" w14:textId="2BF8B229"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 xml:space="preserve">uestion 3.2 [maximum </w:t>
      </w:r>
      <w:r w:rsidR="008603C4">
        <w:rPr>
          <w:rFonts w:ascii="Avenir Next Demi Bold" w:hAnsi="Avenir Next Demi Bold" w:cs="Arial"/>
          <w:b/>
          <w:bCs/>
          <w:sz w:val="22"/>
          <w:szCs w:val="22"/>
          <w:shd w:val="clear" w:color="auto" w:fill="FFFFFF"/>
        </w:rPr>
        <w:t>9</w:t>
      </w:r>
      <w:r w:rsidR="00853B56" w:rsidRPr="00310533">
        <w:rPr>
          <w:rFonts w:ascii="Avenir Next Demi Bold" w:hAnsi="Avenir Next Demi Bold" w:cs="Arial"/>
          <w:b/>
          <w:bCs/>
          <w:sz w:val="22"/>
          <w:szCs w:val="22"/>
          <w:shd w:val="clear" w:color="auto" w:fill="FFFFFF"/>
        </w:rPr>
        <w:t xml:space="preserve">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BA7798A" w14:textId="77777777" w:rsidR="008603C4" w:rsidRPr="00310533" w:rsidRDefault="008603C4" w:rsidP="008603C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is it possible for court appointed liquidators of an insolvent company, or creditors of such a company, to hold its former directors accountable by either seeking financial damages against those directors and / or by seeking to “claw back” any payments that those directors should not have made? If so, please explain the possible options. </w:t>
      </w:r>
    </w:p>
    <w:p w14:paraId="6F407632" w14:textId="77777777" w:rsidR="00D863BC" w:rsidRPr="00F835E4" w:rsidRDefault="00D863BC" w:rsidP="00F835E4">
      <w:pPr>
        <w:jc w:val="both"/>
        <w:rPr>
          <w:rFonts w:ascii="Arial" w:hAnsi="Arial" w:cs="Arial"/>
          <w:color w:val="000000" w:themeColor="text1"/>
          <w:sz w:val="22"/>
          <w:szCs w:val="22"/>
          <w:lang w:val="en-GB"/>
        </w:rPr>
      </w:pPr>
    </w:p>
    <w:p w14:paraId="5D522E8A" w14:textId="590BECB3" w:rsidR="00CD75B4" w:rsidRPr="00F835E4" w:rsidRDefault="001A2348"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In the Cayman Islands, there is no statutory obligation to file for insolvency</w:t>
      </w:r>
      <w:r w:rsidR="00C439F3" w:rsidRPr="00F835E4">
        <w:rPr>
          <w:rFonts w:ascii="Arial" w:hAnsi="Arial" w:cs="Arial"/>
          <w:color w:val="808080" w:themeColor="background1" w:themeShade="80"/>
          <w:sz w:val="22"/>
          <w:szCs w:val="22"/>
          <w:lang w:val="en-GB"/>
        </w:rPr>
        <w:t>. T</w:t>
      </w:r>
      <w:r w:rsidR="00CD75B4" w:rsidRPr="00F835E4">
        <w:rPr>
          <w:rFonts w:ascii="Arial" w:hAnsi="Arial" w:cs="Arial"/>
          <w:color w:val="808080" w:themeColor="background1" w:themeShade="80"/>
          <w:sz w:val="22"/>
          <w:szCs w:val="22"/>
          <w:lang w:val="en-GB"/>
        </w:rPr>
        <w:t>he</w:t>
      </w:r>
      <w:r w:rsidRPr="00F835E4">
        <w:rPr>
          <w:rFonts w:ascii="Arial" w:hAnsi="Arial" w:cs="Arial"/>
          <w:color w:val="808080" w:themeColor="background1" w:themeShade="80"/>
          <w:sz w:val="22"/>
          <w:szCs w:val="22"/>
          <w:lang w:val="en-GB"/>
        </w:rPr>
        <w:t xml:space="preserve">re is </w:t>
      </w:r>
      <w:r w:rsidR="00C439F3" w:rsidRPr="00F835E4">
        <w:rPr>
          <w:rFonts w:ascii="Arial" w:hAnsi="Arial" w:cs="Arial"/>
          <w:color w:val="808080" w:themeColor="background1" w:themeShade="80"/>
          <w:sz w:val="22"/>
          <w:szCs w:val="22"/>
          <w:lang w:val="en-GB"/>
        </w:rPr>
        <w:t xml:space="preserve">also </w:t>
      </w:r>
      <w:r w:rsidR="008B3EBC" w:rsidRPr="00F835E4">
        <w:rPr>
          <w:rFonts w:ascii="Arial" w:hAnsi="Arial" w:cs="Arial"/>
          <w:color w:val="808080" w:themeColor="background1" w:themeShade="80"/>
          <w:sz w:val="22"/>
          <w:szCs w:val="22"/>
          <w:lang w:val="en-GB"/>
        </w:rPr>
        <w:t>an</w:t>
      </w:r>
      <w:r w:rsidR="00C263DD" w:rsidRPr="00F835E4">
        <w:rPr>
          <w:rFonts w:ascii="Arial" w:hAnsi="Arial" w:cs="Arial"/>
          <w:color w:val="808080" w:themeColor="background1" w:themeShade="80"/>
          <w:sz w:val="22"/>
          <w:szCs w:val="22"/>
          <w:lang w:val="en-GB"/>
        </w:rPr>
        <w:t xml:space="preserve"> absence of a</w:t>
      </w:r>
      <w:r w:rsidRPr="00F835E4">
        <w:rPr>
          <w:rFonts w:ascii="Arial" w:hAnsi="Arial" w:cs="Arial"/>
          <w:color w:val="808080" w:themeColor="background1" w:themeShade="80"/>
          <w:sz w:val="22"/>
          <w:szCs w:val="22"/>
          <w:lang w:val="en-GB"/>
        </w:rPr>
        <w:t xml:space="preserve"> wrongful trading </w:t>
      </w:r>
      <w:r w:rsidR="00C263DD" w:rsidRPr="00F835E4">
        <w:rPr>
          <w:rFonts w:ascii="Arial" w:hAnsi="Arial" w:cs="Arial"/>
          <w:color w:val="808080" w:themeColor="background1" w:themeShade="80"/>
          <w:sz w:val="22"/>
          <w:szCs w:val="22"/>
          <w:lang w:val="en-GB"/>
        </w:rPr>
        <w:t>remedy</w:t>
      </w:r>
      <w:r w:rsidR="00C263DD" w:rsidRPr="00F835E4">
        <w:rPr>
          <w:rStyle w:val="FootnoteReference"/>
          <w:rFonts w:ascii="Arial" w:hAnsi="Arial" w:cs="Arial"/>
          <w:color w:val="808080" w:themeColor="background1" w:themeShade="80"/>
          <w:sz w:val="22"/>
          <w:szCs w:val="22"/>
          <w:lang w:val="en-GB"/>
        </w:rPr>
        <w:footnoteReference w:id="83"/>
      </w:r>
      <w:r w:rsidR="00C263DD" w:rsidRPr="00F835E4">
        <w:rPr>
          <w:rFonts w:ascii="Arial" w:hAnsi="Arial" w:cs="Arial"/>
          <w:color w:val="808080" w:themeColor="background1" w:themeShade="80"/>
          <w:sz w:val="22"/>
          <w:szCs w:val="22"/>
          <w:lang w:val="en-GB"/>
        </w:rPr>
        <w:t xml:space="preserve"> </w:t>
      </w:r>
      <w:r w:rsidRPr="00F835E4">
        <w:rPr>
          <w:rFonts w:ascii="Arial" w:hAnsi="Arial" w:cs="Arial"/>
          <w:color w:val="808080" w:themeColor="background1" w:themeShade="80"/>
          <w:sz w:val="22"/>
          <w:szCs w:val="22"/>
          <w:lang w:val="en-GB"/>
        </w:rPr>
        <w:t>under the</w:t>
      </w:r>
      <w:r w:rsidR="00CD75B4" w:rsidRPr="00F835E4">
        <w:rPr>
          <w:rFonts w:ascii="Arial" w:hAnsi="Arial" w:cs="Arial"/>
          <w:color w:val="808080" w:themeColor="background1" w:themeShade="80"/>
          <w:sz w:val="22"/>
          <w:szCs w:val="22"/>
          <w:lang w:val="en-GB"/>
        </w:rPr>
        <w:t xml:space="preserve"> Companies Act (2023 Revision) (“</w:t>
      </w:r>
      <w:r w:rsidR="00CD75B4" w:rsidRPr="00F835E4">
        <w:rPr>
          <w:rFonts w:ascii="Arial" w:hAnsi="Arial" w:cs="Arial"/>
          <w:b/>
          <w:bCs/>
          <w:color w:val="808080" w:themeColor="background1" w:themeShade="80"/>
          <w:sz w:val="22"/>
          <w:szCs w:val="22"/>
          <w:lang w:val="en-GB"/>
        </w:rPr>
        <w:t>Companies Act</w:t>
      </w:r>
      <w:r w:rsidR="00CD75B4" w:rsidRPr="00F835E4">
        <w:rPr>
          <w:rFonts w:ascii="Arial" w:hAnsi="Arial" w:cs="Arial"/>
          <w:color w:val="808080" w:themeColor="background1" w:themeShade="80"/>
          <w:sz w:val="22"/>
          <w:szCs w:val="22"/>
          <w:lang w:val="en-GB"/>
        </w:rPr>
        <w:t>”), i.e.</w:t>
      </w:r>
      <w:r w:rsidRPr="00F835E4">
        <w:rPr>
          <w:rFonts w:ascii="Arial" w:hAnsi="Arial" w:cs="Arial"/>
          <w:color w:val="808080" w:themeColor="background1" w:themeShade="80"/>
          <w:sz w:val="22"/>
          <w:szCs w:val="22"/>
          <w:lang w:val="en-GB"/>
        </w:rPr>
        <w:t xml:space="preserve"> there is no prohibition</w:t>
      </w:r>
      <w:r w:rsidR="00CD75B4" w:rsidRPr="00F835E4">
        <w:rPr>
          <w:rFonts w:ascii="Arial" w:hAnsi="Arial" w:cs="Arial"/>
          <w:color w:val="808080" w:themeColor="background1" w:themeShade="80"/>
          <w:sz w:val="22"/>
          <w:szCs w:val="22"/>
          <w:lang w:val="en-GB"/>
        </w:rPr>
        <w:t xml:space="preserve"> </w:t>
      </w:r>
      <w:r w:rsidR="00C263DD" w:rsidRPr="00F835E4">
        <w:rPr>
          <w:rFonts w:ascii="Arial" w:hAnsi="Arial" w:cs="Arial"/>
          <w:color w:val="808080" w:themeColor="background1" w:themeShade="80"/>
          <w:sz w:val="22"/>
          <w:szCs w:val="22"/>
          <w:lang w:val="en-GB"/>
        </w:rPr>
        <w:t>on</w:t>
      </w:r>
      <w:r w:rsidR="00CD75B4" w:rsidRPr="00F835E4">
        <w:rPr>
          <w:rFonts w:ascii="Arial" w:hAnsi="Arial" w:cs="Arial"/>
          <w:color w:val="808080" w:themeColor="background1" w:themeShade="80"/>
          <w:sz w:val="22"/>
          <w:szCs w:val="22"/>
          <w:lang w:val="en-GB"/>
        </w:rPr>
        <w:t xml:space="preserve"> a company contin</w:t>
      </w:r>
      <w:r w:rsidR="00C263DD" w:rsidRPr="00F835E4">
        <w:rPr>
          <w:rFonts w:ascii="Arial" w:hAnsi="Arial" w:cs="Arial"/>
          <w:color w:val="808080" w:themeColor="background1" w:themeShade="80"/>
          <w:sz w:val="22"/>
          <w:szCs w:val="22"/>
          <w:lang w:val="en-GB"/>
        </w:rPr>
        <w:t>uing</w:t>
      </w:r>
      <w:r w:rsidR="00CD75B4" w:rsidRPr="00F835E4">
        <w:rPr>
          <w:rFonts w:ascii="Arial" w:hAnsi="Arial" w:cs="Arial"/>
          <w:color w:val="808080" w:themeColor="background1" w:themeShade="80"/>
          <w:sz w:val="22"/>
          <w:szCs w:val="22"/>
          <w:lang w:val="en-GB"/>
        </w:rPr>
        <w:t xml:space="preserve"> to trade whilst it is insolvent.</w:t>
      </w:r>
      <w:r w:rsidR="00CD75B4" w:rsidRPr="00F835E4">
        <w:rPr>
          <w:rStyle w:val="FootnoteReference"/>
          <w:rFonts w:ascii="Arial" w:hAnsi="Arial" w:cs="Arial"/>
          <w:color w:val="808080" w:themeColor="background1" w:themeShade="80"/>
          <w:sz w:val="22"/>
          <w:szCs w:val="22"/>
          <w:lang w:val="en-GB"/>
        </w:rPr>
        <w:footnoteReference w:id="84"/>
      </w:r>
      <w:r w:rsidR="00CD75B4" w:rsidRPr="00F835E4">
        <w:rPr>
          <w:rFonts w:ascii="Arial" w:hAnsi="Arial" w:cs="Arial"/>
          <w:color w:val="808080" w:themeColor="background1" w:themeShade="80"/>
          <w:sz w:val="22"/>
          <w:szCs w:val="22"/>
          <w:lang w:val="en-GB"/>
        </w:rPr>
        <w:t xml:space="preserve"> Notwithstanding this, a court appointed </w:t>
      </w:r>
      <w:proofErr w:type="gramStart"/>
      <w:r w:rsidR="00CD75B4" w:rsidRPr="00F835E4">
        <w:rPr>
          <w:rFonts w:ascii="Arial" w:hAnsi="Arial" w:cs="Arial"/>
          <w:color w:val="808080" w:themeColor="background1" w:themeShade="80"/>
          <w:sz w:val="22"/>
          <w:szCs w:val="22"/>
          <w:lang w:val="en-GB"/>
        </w:rPr>
        <w:t>liquidator</w:t>
      </w:r>
      <w:proofErr w:type="gramEnd"/>
      <w:r w:rsidR="00CD75B4" w:rsidRPr="00F835E4">
        <w:rPr>
          <w:rFonts w:ascii="Arial" w:hAnsi="Arial" w:cs="Arial"/>
          <w:color w:val="808080" w:themeColor="background1" w:themeShade="80"/>
          <w:sz w:val="22"/>
          <w:szCs w:val="22"/>
          <w:lang w:val="en-GB"/>
        </w:rPr>
        <w:t xml:space="preserve"> or the </w:t>
      </w:r>
      <w:r w:rsidR="00394385" w:rsidRPr="00F835E4">
        <w:rPr>
          <w:rFonts w:ascii="Arial" w:hAnsi="Arial" w:cs="Arial"/>
          <w:color w:val="808080" w:themeColor="background1" w:themeShade="80"/>
          <w:sz w:val="22"/>
          <w:szCs w:val="22"/>
          <w:lang w:val="en-GB"/>
        </w:rPr>
        <w:t>company’s creditors</w:t>
      </w:r>
      <w:r w:rsidR="00CD75B4" w:rsidRPr="00F835E4">
        <w:rPr>
          <w:rFonts w:ascii="Arial" w:hAnsi="Arial" w:cs="Arial"/>
          <w:color w:val="808080" w:themeColor="background1" w:themeShade="80"/>
          <w:sz w:val="22"/>
          <w:szCs w:val="22"/>
          <w:lang w:val="en-GB"/>
        </w:rPr>
        <w:t xml:space="preserve"> can still hold </w:t>
      </w:r>
      <w:r w:rsidR="00394385" w:rsidRPr="00F835E4">
        <w:rPr>
          <w:rFonts w:ascii="Arial" w:hAnsi="Arial" w:cs="Arial"/>
          <w:color w:val="808080" w:themeColor="background1" w:themeShade="80"/>
          <w:sz w:val="22"/>
          <w:szCs w:val="22"/>
          <w:lang w:val="en-GB"/>
        </w:rPr>
        <w:t>the</w:t>
      </w:r>
      <w:r w:rsidR="00CD75B4" w:rsidRPr="00F835E4">
        <w:rPr>
          <w:rFonts w:ascii="Arial" w:hAnsi="Arial" w:cs="Arial"/>
          <w:color w:val="808080" w:themeColor="background1" w:themeShade="80"/>
          <w:sz w:val="22"/>
          <w:szCs w:val="22"/>
          <w:lang w:val="en-GB"/>
        </w:rPr>
        <w:t xml:space="preserve"> former directors accountable</w:t>
      </w:r>
      <w:r w:rsidR="00394385" w:rsidRPr="00F835E4">
        <w:rPr>
          <w:rFonts w:ascii="Arial" w:hAnsi="Arial" w:cs="Arial"/>
          <w:color w:val="808080" w:themeColor="background1" w:themeShade="80"/>
          <w:sz w:val="22"/>
          <w:szCs w:val="22"/>
          <w:lang w:val="en-GB"/>
        </w:rPr>
        <w:t xml:space="preserve"> in numerous ways</w:t>
      </w:r>
      <w:r w:rsidR="00CD75B4" w:rsidRPr="00F835E4">
        <w:rPr>
          <w:rFonts w:ascii="Arial" w:hAnsi="Arial" w:cs="Arial"/>
          <w:color w:val="808080" w:themeColor="background1" w:themeShade="80"/>
          <w:sz w:val="22"/>
          <w:szCs w:val="22"/>
          <w:lang w:val="en-GB"/>
        </w:rPr>
        <w:t>.</w:t>
      </w:r>
      <w:r w:rsidR="006A6982" w:rsidRPr="00F835E4">
        <w:rPr>
          <w:rFonts w:ascii="Arial" w:hAnsi="Arial" w:cs="Arial"/>
          <w:color w:val="808080" w:themeColor="background1" w:themeShade="80"/>
          <w:sz w:val="22"/>
          <w:szCs w:val="22"/>
          <w:lang w:val="en-GB"/>
        </w:rPr>
        <w:t xml:space="preserve"> </w:t>
      </w:r>
      <w:r w:rsidR="00557DC2" w:rsidRPr="00F835E4">
        <w:rPr>
          <w:rFonts w:ascii="Arial" w:hAnsi="Arial" w:cs="Arial"/>
          <w:color w:val="808080" w:themeColor="background1" w:themeShade="80"/>
          <w:sz w:val="22"/>
          <w:szCs w:val="22"/>
          <w:lang w:val="en-GB"/>
        </w:rPr>
        <w:t>T</w:t>
      </w:r>
      <w:r w:rsidR="00F46E4E" w:rsidRPr="00F835E4">
        <w:rPr>
          <w:rFonts w:ascii="Arial" w:hAnsi="Arial" w:cs="Arial"/>
          <w:color w:val="808080" w:themeColor="background1" w:themeShade="80"/>
          <w:sz w:val="22"/>
          <w:szCs w:val="22"/>
          <w:lang w:val="en-GB"/>
        </w:rPr>
        <w:t xml:space="preserve">he commencement of a company’s liquidation does not release directors from </w:t>
      </w:r>
      <w:r w:rsidR="006A6982" w:rsidRPr="00F835E4">
        <w:rPr>
          <w:rFonts w:ascii="Arial" w:hAnsi="Arial" w:cs="Arial"/>
          <w:color w:val="808080" w:themeColor="background1" w:themeShade="80"/>
          <w:sz w:val="22"/>
          <w:szCs w:val="22"/>
          <w:lang w:val="en-GB"/>
        </w:rPr>
        <w:t xml:space="preserve">any liabilities for previous actions </w:t>
      </w:r>
      <w:r w:rsidR="00F46E4E" w:rsidRPr="00F835E4">
        <w:rPr>
          <w:rFonts w:ascii="Arial" w:hAnsi="Arial" w:cs="Arial"/>
          <w:color w:val="808080" w:themeColor="background1" w:themeShade="80"/>
          <w:sz w:val="22"/>
          <w:szCs w:val="22"/>
          <w:lang w:val="en-GB"/>
        </w:rPr>
        <w:t xml:space="preserve">– the liability is </w:t>
      </w:r>
      <w:r w:rsidR="006A6982" w:rsidRPr="00F835E4">
        <w:rPr>
          <w:rFonts w:ascii="Arial" w:hAnsi="Arial" w:cs="Arial"/>
          <w:color w:val="808080" w:themeColor="background1" w:themeShade="80"/>
          <w:sz w:val="22"/>
          <w:szCs w:val="22"/>
          <w:lang w:val="en-GB"/>
        </w:rPr>
        <w:t>unaffected by the</w:t>
      </w:r>
      <w:r w:rsidR="00F46E4E" w:rsidRPr="00F835E4">
        <w:rPr>
          <w:rFonts w:ascii="Arial" w:hAnsi="Arial" w:cs="Arial"/>
          <w:color w:val="808080" w:themeColor="background1" w:themeShade="80"/>
          <w:sz w:val="22"/>
          <w:szCs w:val="22"/>
          <w:lang w:val="en-GB"/>
        </w:rPr>
        <w:t xml:space="preserve"> </w:t>
      </w:r>
      <w:r w:rsidR="006A6982" w:rsidRPr="00F835E4">
        <w:rPr>
          <w:rFonts w:ascii="Arial" w:hAnsi="Arial" w:cs="Arial"/>
          <w:color w:val="808080" w:themeColor="background1" w:themeShade="80"/>
          <w:sz w:val="22"/>
          <w:szCs w:val="22"/>
          <w:lang w:val="en-GB"/>
        </w:rPr>
        <w:t xml:space="preserve">liquidation and will continue until </w:t>
      </w:r>
      <w:r w:rsidR="00F46E4E" w:rsidRPr="00F835E4">
        <w:rPr>
          <w:rFonts w:ascii="Arial" w:hAnsi="Arial" w:cs="Arial"/>
          <w:color w:val="808080" w:themeColor="background1" w:themeShade="80"/>
          <w:sz w:val="22"/>
          <w:szCs w:val="22"/>
          <w:lang w:val="en-GB"/>
        </w:rPr>
        <w:t>the company is dissolved.</w:t>
      </w:r>
      <w:r w:rsidR="00F46E4E" w:rsidRPr="00F835E4">
        <w:rPr>
          <w:rStyle w:val="FootnoteReference"/>
          <w:rFonts w:ascii="Arial" w:hAnsi="Arial" w:cs="Arial"/>
          <w:color w:val="808080" w:themeColor="background1" w:themeShade="80"/>
          <w:sz w:val="22"/>
          <w:szCs w:val="22"/>
          <w:lang w:val="en-GB"/>
        </w:rPr>
        <w:footnoteReference w:id="85"/>
      </w:r>
    </w:p>
    <w:p w14:paraId="5BB33A2B" w14:textId="77777777" w:rsidR="006A6982" w:rsidRPr="00F835E4" w:rsidRDefault="006A6982" w:rsidP="00F835E4">
      <w:pPr>
        <w:jc w:val="both"/>
        <w:rPr>
          <w:rFonts w:ascii="Arial" w:hAnsi="Arial" w:cs="Arial"/>
          <w:color w:val="808080" w:themeColor="background1" w:themeShade="80"/>
          <w:sz w:val="22"/>
          <w:szCs w:val="22"/>
          <w:lang w:val="en-GB"/>
        </w:rPr>
      </w:pPr>
    </w:p>
    <w:p w14:paraId="6FAE480D" w14:textId="03CEE23B" w:rsidR="00CD75B4" w:rsidRPr="00F835E4" w:rsidRDefault="0054384E" w:rsidP="00F835E4">
      <w:pPr>
        <w:jc w:val="both"/>
        <w:rPr>
          <w:rFonts w:ascii="Arial" w:hAnsi="Arial" w:cs="Arial"/>
          <w:b/>
          <w:bCs/>
          <w:color w:val="808080" w:themeColor="background1" w:themeShade="80"/>
          <w:sz w:val="22"/>
          <w:szCs w:val="22"/>
          <w:u w:val="single"/>
          <w:lang w:val="en-GB"/>
        </w:rPr>
      </w:pPr>
      <w:r w:rsidRPr="00F835E4">
        <w:rPr>
          <w:rFonts w:ascii="Arial" w:hAnsi="Arial" w:cs="Arial"/>
          <w:b/>
          <w:bCs/>
          <w:color w:val="808080" w:themeColor="background1" w:themeShade="80"/>
          <w:sz w:val="22"/>
          <w:szCs w:val="22"/>
          <w:u w:val="single"/>
          <w:lang w:val="en-GB"/>
        </w:rPr>
        <w:t>Directors’ duties and obligations</w:t>
      </w:r>
    </w:p>
    <w:p w14:paraId="69E30BEA" w14:textId="4189499D" w:rsidR="0054384E" w:rsidRPr="00F835E4" w:rsidRDefault="00433578"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In the Cayman Islands, there is no statutory codification of directors’ duties, obligations and liabilities to the company. The duties are based on the English common law, statute and regulation.</w:t>
      </w:r>
      <w:r w:rsidRPr="00F835E4">
        <w:rPr>
          <w:rStyle w:val="FootnoteReference"/>
          <w:rFonts w:ascii="Arial" w:hAnsi="Arial" w:cs="Arial"/>
          <w:color w:val="808080" w:themeColor="background1" w:themeShade="80"/>
          <w:sz w:val="22"/>
          <w:szCs w:val="22"/>
          <w:lang w:val="en-GB"/>
        </w:rPr>
        <w:footnoteReference w:id="86"/>
      </w:r>
      <w:r w:rsidRPr="00F835E4">
        <w:rPr>
          <w:rFonts w:ascii="Arial" w:hAnsi="Arial" w:cs="Arial"/>
          <w:color w:val="808080" w:themeColor="background1" w:themeShade="80"/>
          <w:sz w:val="22"/>
          <w:szCs w:val="22"/>
          <w:lang w:val="en-GB"/>
        </w:rPr>
        <w:t xml:space="preserve"> Under the common law, a director owes the company two types of duties: fiduciary duties and duties of skill, care and diligence. The fiduciary duties means that an “</w:t>
      </w:r>
      <w:r w:rsidRPr="00F835E4">
        <w:rPr>
          <w:rFonts w:ascii="Arial" w:hAnsi="Arial" w:cs="Arial"/>
          <w:i/>
          <w:iCs/>
          <w:color w:val="808080" w:themeColor="background1" w:themeShade="80"/>
          <w:sz w:val="22"/>
          <w:szCs w:val="22"/>
          <w:lang w:val="en-GB"/>
        </w:rPr>
        <w:t>individual director must act in good faith in their dealings with or on behalf of the company and exercise the powers and fulfil the duties of the office honestly</w:t>
      </w:r>
      <w:r w:rsidRPr="00F835E4">
        <w:rPr>
          <w:rFonts w:ascii="Arial" w:hAnsi="Arial" w:cs="Arial"/>
          <w:color w:val="808080" w:themeColor="background1" w:themeShade="80"/>
          <w:sz w:val="22"/>
          <w:szCs w:val="22"/>
          <w:lang w:val="en-GB"/>
        </w:rPr>
        <w:t>”</w:t>
      </w:r>
      <w:r w:rsidRPr="00F835E4">
        <w:rPr>
          <w:rStyle w:val="FootnoteReference"/>
          <w:rFonts w:ascii="Arial" w:hAnsi="Arial" w:cs="Arial"/>
          <w:color w:val="808080" w:themeColor="background1" w:themeShade="80"/>
          <w:sz w:val="22"/>
          <w:szCs w:val="22"/>
          <w:lang w:val="en-GB"/>
        </w:rPr>
        <w:footnoteReference w:id="87"/>
      </w:r>
      <w:r w:rsidRPr="00F835E4">
        <w:rPr>
          <w:rFonts w:ascii="Arial" w:hAnsi="Arial" w:cs="Arial"/>
          <w:color w:val="808080" w:themeColor="background1" w:themeShade="80"/>
          <w:sz w:val="22"/>
          <w:szCs w:val="22"/>
          <w:lang w:val="en-GB"/>
        </w:rPr>
        <w:t xml:space="preserve"> and</w:t>
      </w:r>
      <w:r w:rsidR="00C439F3" w:rsidRPr="00F835E4">
        <w:rPr>
          <w:rFonts w:ascii="Arial" w:hAnsi="Arial" w:cs="Arial"/>
          <w:color w:val="808080" w:themeColor="background1" w:themeShade="80"/>
          <w:sz w:val="22"/>
          <w:szCs w:val="22"/>
          <w:lang w:val="en-GB"/>
        </w:rPr>
        <w:t xml:space="preserve"> this</w:t>
      </w:r>
      <w:r w:rsidRPr="00F835E4">
        <w:rPr>
          <w:rFonts w:ascii="Arial" w:hAnsi="Arial" w:cs="Arial"/>
          <w:color w:val="808080" w:themeColor="background1" w:themeShade="80"/>
          <w:sz w:val="22"/>
          <w:szCs w:val="22"/>
          <w:lang w:val="en-GB"/>
        </w:rPr>
        <w:t xml:space="preserve"> include</w:t>
      </w:r>
      <w:r w:rsidR="001A2348" w:rsidRPr="00F835E4">
        <w:rPr>
          <w:rFonts w:ascii="Arial" w:hAnsi="Arial" w:cs="Arial"/>
          <w:color w:val="808080" w:themeColor="background1" w:themeShade="80"/>
          <w:sz w:val="22"/>
          <w:szCs w:val="22"/>
          <w:lang w:val="en-GB"/>
        </w:rPr>
        <w:t>s</w:t>
      </w:r>
      <w:r w:rsidRPr="00F835E4">
        <w:rPr>
          <w:rFonts w:ascii="Arial" w:hAnsi="Arial" w:cs="Arial"/>
          <w:color w:val="808080" w:themeColor="background1" w:themeShade="80"/>
          <w:sz w:val="22"/>
          <w:szCs w:val="22"/>
          <w:lang w:val="en-GB"/>
        </w:rPr>
        <w:t xml:space="preserve"> a duty to act in good faith and duty to exercise powers which are in the company’s interest.</w:t>
      </w:r>
    </w:p>
    <w:p w14:paraId="69ACF834" w14:textId="77777777" w:rsidR="0048626D" w:rsidRPr="00F835E4" w:rsidRDefault="0048626D" w:rsidP="00F835E4">
      <w:pPr>
        <w:jc w:val="both"/>
        <w:rPr>
          <w:rFonts w:ascii="Arial" w:hAnsi="Arial" w:cs="Arial"/>
          <w:color w:val="808080" w:themeColor="background1" w:themeShade="80"/>
          <w:sz w:val="22"/>
          <w:szCs w:val="22"/>
          <w:lang w:val="en-GB"/>
        </w:rPr>
      </w:pPr>
    </w:p>
    <w:p w14:paraId="5EB0D28C" w14:textId="14E63D5F" w:rsidR="001A2348" w:rsidRPr="00F835E4" w:rsidRDefault="001A2348"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lastRenderedPageBreak/>
        <w:t>If a director acts in breach of their fiduciary duty to act in the company’s best interests, the director can be made personally liable to the company for any losses caused to the company.</w:t>
      </w:r>
      <w:r w:rsidRPr="00F835E4">
        <w:rPr>
          <w:rStyle w:val="FootnoteReference"/>
          <w:rFonts w:ascii="Arial" w:hAnsi="Arial" w:cs="Arial"/>
          <w:color w:val="808080" w:themeColor="background1" w:themeShade="80"/>
          <w:sz w:val="22"/>
          <w:szCs w:val="22"/>
          <w:lang w:val="en-GB"/>
        </w:rPr>
        <w:footnoteReference w:id="88"/>
      </w:r>
      <w:r w:rsidRPr="00F835E4">
        <w:rPr>
          <w:rFonts w:ascii="Arial" w:hAnsi="Arial" w:cs="Arial"/>
          <w:color w:val="808080" w:themeColor="background1" w:themeShade="80"/>
          <w:sz w:val="22"/>
          <w:szCs w:val="22"/>
          <w:lang w:val="en-GB"/>
        </w:rPr>
        <w:t xml:space="preserve"> </w:t>
      </w:r>
      <w:r w:rsidR="00B006A2" w:rsidRPr="00F835E4">
        <w:rPr>
          <w:rFonts w:ascii="Arial" w:hAnsi="Arial" w:cs="Arial"/>
          <w:color w:val="808080" w:themeColor="background1" w:themeShade="80"/>
          <w:sz w:val="22"/>
          <w:szCs w:val="22"/>
          <w:lang w:val="en-GB"/>
        </w:rPr>
        <w:t>Harre J held i</w:t>
      </w:r>
      <w:r w:rsidR="0078503C" w:rsidRPr="00F835E4">
        <w:rPr>
          <w:rFonts w:ascii="Arial" w:hAnsi="Arial" w:cs="Arial"/>
          <w:color w:val="808080" w:themeColor="background1" w:themeShade="80"/>
          <w:sz w:val="22"/>
          <w:szCs w:val="22"/>
          <w:lang w:val="en-GB"/>
        </w:rPr>
        <w:t xml:space="preserve">n </w:t>
      </w:r>
      <w:r w:rsidR="0078503C" w:rsidRPr="00F835E4">
        <w:rPr>
          <w:rFonts w:ascii="Arial" w:hAnsi="Arial" w:cs="Arial"/>
          <w:i/>
          <w:iCs/>
          <w:color w:val="808080" w:themeColor="background1" w:themeShade="80"/>
          <w:sz w:val="22"/>
          <w:szCs w:val="22"/>
          <w:lang w:val="en-GB"/>
        </w:rPr>
        <w:t>Prospect Properties Limited (in liquidation) v McNeill and J.M. Bodden II</w:t>
      </w:r>
      <w:r w:rsidR="0078503C" w:rsidRPr="00F835E4">
        <w:rPr>
          <w:rStyle w:val="FootnoteReference"/>
          <w:rFonts w:ascii="Arial" w:hAnsi="Arial" w:cs="Arial"/>
          <w:i/>
          <w:iCs/>
          <w:color w:val="808080" w:themeColor="background1" w:themeShade="80"/>
          <w:sz w:val="22"/>
          <w:szCs w:val="22"/>
          <w:lang w:val="en-GB"/>
        </w:rPr>
        <w:footnoteReference w:id="89"/>
      </w:r>
      <w:r w:rsidR="0078503C" w:rsidRPr="00F835E4">
        <w:rPr>
          <w:rFonts w:ascii="Arial" w:hAnsi="Arial" w:cs="Arial"/>
          <w:color w:val="808080" w:themeColor="background1" w:themeShade="80"/>
          <w:sz w:val="22"/>
          <w:szCs w:val="22"/>
          <w:lang w:val="en-GB"/>
        </w:rPr>
        <w:t xml:space="preserve"> </w:t>
      </w:r>
      <w:r w:rsidR="000C38BD" w:rsidRPr="00F835E4">
        <w:rPr>
          <w:rFonts w:ascii="Arial" w:hAnsi="Arial" w:cs="Arial"/>
          <w:color w:val="808080" w:themeColor="background1" w:themeShade="80"/>
          <w:sz w:val="22"/>
          <w:szCs w:val="22"/>
          <w:lang w:val="en-GB"/>
        </w:rPr>
        <w:t>(“</w:t>
      </w:r>
      <w:r w:rsidR="000C38BD" w:rsidRPr="00F835E4">
        <w:rPr>
          <w:rFonts w:ascii="Arial" w:hAnsi="Arial" w:cs="Arial"/>
          <w:b/>
          <w:bCs/>
          <w:i/>
          <w:iCs/>
          <w:color w:val="808080" w:themeColor="background1" w:themeShade="80"/>
          <w:sz w:val="22"/>
          <w:szCs w:val="22"/>
          <w:lang w:val="en-GB"/>
        </w:rPr>
        <w:t>Prospect Properties</w:t>
      </w:r>
      <w:r w:rsidR="000C38BD" w:rsidRPr="00F835E4">
        <w:rPr>
          <w:rFonts w:ascii="Arial" w:hAnsi="Arial" w:cs="Arial"/>
          <w:color w:val="808080" w:themeColor="background1" w:themeShade="80"/>
          <w:sz w:val="22"/>
          <w:szCs w:val="22"/>
          <w:lang w:val="en-GB"/>
        </w:rPr>
        <w:t xml:space="preserve">”) </w:t>
      </w:r>
      <w:r w:rsidR="0078503C" w:rsidRPr="00F835E4">
        <w:rPr>
          <w:rFonts w:ascii="Arial" w:hAnsi="Arial" w:cs="Arial"/>
          <w:color w:val="808080" w:themeColor="background1" w:themeShade="80"/>
          <w:sz w:val="22"/>
          <w:szCs w:val="22"/>
          <w:lang w:val="en-GB"/>
        </w:rPr>
        <w:t xml:space="preserve">that </w:t>
      </w:r>
      <w:r w:rsidR="001C1F56" w:rsidRPr="00F835E4">
        <w:rPr>
          <w:rFonts w:ascii="Arial" w:hAnsi="Arial" w:cs="Arial"/>
          <w:color w:val="808080" w:themeColor="background1" w:themeShade="80"/>
          <w:sz w:val="22"/>
          <w:szCs w:val="22"/>
          <w:lang w:val="en-GB"/>
        </w:rPr>
        <w:t>when a company is insolvent, it was an “</w:t>
      </w:r>
      <w:r w:rsidR="0078503C" w:rsidRPr="00F835E4">
        <w:rPr>
          <w:rFonts w:ascii="Arial" w:hAnsi="Arial" w:cs="Arial"/>
          <w:i/>
          <w:iCs/>
          <w:color w:val="808080" w:themeColor="background1" w:themeShade="80"/>
          <w:sz w:val="22"/>
          <w:szCs w:val="22"/>
          <w:lang w:val="en-GB"/>
        </w:rPr>
        <w:t>imperative part of the directors’ duty to the company itself to consider the interests of the creditors.</w:t>
      </w:r>
      <w:r w:rsidR="001C1F56" w:rsidRPr="00F835E4">
        <w:rPr>
          <w:rFonts w:ascii="Arial" w:hAnsi="Arial" w:cs="Arial"/>
          <w:color w:val="808080" w:themeColor="background1" w:themeShade="80"/>
          <w:sz w:val="22"/>
          <w:szCs w:val="22"/>
          <w:lang w:val="en-GB"/>
        </w:rPr>
        <w:t>”</w:t>
      </w:r>
      <w:r w:rsidR="001C1F56" w:rsidRPr="00F835E4">
        <w:rPr>
          <w:rStyle w:val="FootnoteReference"/>
          <w:rFonts w:ascii="Arial" w:hAnsi="Arial" w:cs="Arial"/>
          <w:i/>
          <w:iCs/>
          <w:color w:val="808080" w:themeColor="background1" w:themeShade="80"/>
          <w:sz w:val="22"/>
          <w:szCs w:val="22"/>
          <w:lang w:val="en-GB"/>
        </w:rPr>
        <w:footnoteReference w:id="90"/>
      </w:r>
      <w:r w:rsidR="0078503C" w:rsidRPr="00F835E4">
        <w:rPr>
          <w:rFonts w:ascii="Arial" w:hAnsi="Arial" w:cs="Arial"/>
          <w:i/>
          <w:iCs/>
          <w:color w:val="808080" w:themeColor="background1" w:themeShade="80"/>
          <w:sz w:val="22"/>
          <w:szCs w:val="22"/>
          <w:lang w:val="en-GB"/>
        </w:rPr>
        <w:t xml:space="preserve"> </w:t>
      </w:r>
      <w:r w:rsidR="001C1F56" w:rsidRPr="00F835E4">
        <w:rPr>
          <w:rFonts w:ascii="Arial" w:hAnsi="Arial" w:cs="Arial"/>
          <w:color w:val="808080" w:themeColor="background1" w:themeShade="80"/>
          <w:sz w:val="22"/>
          <w:szCs w:val="22"/>
          <w:lang w:val="en-GB"/>
        </w:rPr>
        <w:t xml:space="preserve">At this stage, the company’s interests and that of its creditors are almost indistinguishable. </w:t>
      </w:r>
      <w:r w:rsidR="001C1F56" w:rsidRPr="00F835E4">
        <w:rPr>
          <w:rFonts w:ascii="Arial" w:hAnsi="Arial" w:cs="Arial"/>
          <w:i/>
          <w:iCs/>
          <w:color w:val="808080" w:themeColor="background1" w:themeShade="80"/>
          <w:sz w:val="22"/>
          <w:szCs w:val="22"/>
          <w:lang w:val="en-GB"/>
        </w:rPr>
        <w:t xml:space="preserve">Prospect Properties </w:t>
      </w:r>
      <w:r w:rsidR="001C1F56" w:rsidRPr="00F835E4">
        <w:rPr>
          <w:rFonts w:ascii="Arial" w:hAnsi="Arial" w:cs="Arial"/>
          <w:color w:val="808080" w:themeColor="background1" w:themeShade="80"/>
          <w:sz w:val="22"/>
          <w:szCs w:val="22"/>
          <w:lang w:val="en-GB"/>
        </w:rPr>
        <w:t>made clear</w:t>
      </w:r>
      <w:r w:rsidR="00C439F3" w:rsidRPr="00F835E4">
        <w:rPr>
          <w:rFonts w:ascii="Arial" w:hAnsi="Arial" w:cs="Arial"/>
          <w:color w:val="808080" w:themeColor="background1" w:themeShade="80"/>
          <w:sz w:val="22"/>
          <w:szCs w:val="22"/>
          <w:lang w:val="en-GB"/>
        </w:rPr>
        <w:t xml:space="preserve"> that</w:t>
      </w:r>
      <w:r w:rsidR="001C1F56" w:rsidRPr="00F835E4">
        <w:rPr>
          <w:rFonts w:ascii="Arial" w:hAnsi="Arial" w:cs="Arial"/>
          <w:color w:val="808080" w:themeColor="background1" w:themeShade="80"/>
          <w:sz w:val="22"/>
          <w:szCs w:val="22"/>
          <w:lang w:val="en-GB"/>
        </w:rPr>
        <w:t xml:space="preserve"> it is in the interest of creditors to be paid and in the company’s interest to be </w:t>
      </w:r>
      <w:r w:rsidR="0078503C" w:rsidRPr="00F835E4">
        <w:rPr>
          <w:rFonts w:ascii="Arial" w:hAnsi="Arial" w:cs="Arial"/>
          <w:color w:val="808080" w:themeColor="background1" w:themeShade="80"/>
          <w:sz w:val="22"/>
          <w:szCs w:val="22"/>
          <w:lang w:val="en-GB"/>
        </w:rPr>
        <w:t xml:space="preserve">safeguarded against being </w:t>
      </w:r>
      <w:r w:rsidR="001C1F56" w:rsidRPr="00F835E4">
        <w:rPr>
          <w:rFonts w:ascii="Arial" w:hAnsi="Arial" w:cs="Arial"/>
          <w:color w:val="808080" w:themeColor="background1" w:themeShade="80"/>
          <w:sz w:val="22"/>
          <w:szCs w:val="22"/>
          <w:lang w:val="en-GB"/>
        </w:rPr>
        <w:t xml:space="preserve">in </w:t>
      </w:r>
      <w:r w:rsidR="0078503C" w:rsidRPr="00F835E4">
        <w:rPr>
          <w:rFonts w:ascii="Arial" w:hAnsi="Arial" w:cs="Arial"/>
          <w:color w:val="808080" w:themeColor="background1" w:themeShade="80"/>
          <w:sz w:val="22"/>
          <w:szCs w:val="22"/>
          <w:lang w:val="en-GB"/>
        </w:rPr>
        <w:t>a position where it was unable to pay.</w:t>
      </w:r>
      <w:r w:rsidR="0078503C" w:rsidRPr="00F835E4">
        <w:rPr>
          <w:rStyle w:val="FootnoteReference"/>
          <w:rFonts w:ascii="Arial" w:hAnsi="Arial" w:cs="Arial"/>
          <w:color w:val="808080" w:themeColor="background1" w:themeShade="80"/>
          <w:sz w:val="22"/>
          <w:szCs w:val="22"/>
          <w:lang w:val="en-GB"/>
        </w:rPr>
        <w:footnoteReference w:id="91"/>
      </w:r>
      <w:r w:rsidR="001C1F56" w:rsidRPr="00F835E4">
        <w:rPr>
          <w:rFonts w:ascii="Arial" w:hAnsi="Arial" w:cs="Arial"/>
          <w:color w:val="808080" w:themeColor="background1" w:themeShade="80"/>
          <w:sz w:val="22"/>
          <w:szCs w:val="22"/>
          <w:lang w:val="en-GB"/>
        </w:rPr>
        <w:t xml:space="preserve"> </w:t>
      </w:r>
      <w:r w:rsidR="00B006A2" w:rsidRPr="00F835E4">
        <w:rPr>
          <w:rFonts w:ascii="Arial" w:hAnsi="Arial" w:cs="Arial"/>
          <w:color w:val="808080" w:themeColor="background1" w:themeShade="80"/>
          <w:sz w:val="22"/>
          <w:szCs w:val="22"/>
          <w:lang w:val="en-GB"/>
        </w:rPr>
        <w:t>T</w:t>
      </w:r>
      <w:r w:rsidR="001C1F56" w:rsidRPr="00F835E4">
        <w:rPr>
          <w:rFonts w:ascii="Arial" w:hAnsi="Arial" w:cs="Arial"/>
          <w:color w:val="808080" w:themeColor="background1" w:themeShade="80"/>
          <w:sz w:val="22"/>
          <w:szCs w:val="22"/>
          <w:lang w:val="en-GB"/>
        </w:rPr>
        <w:t xml:space="preserve">he directors </w:t>
      </w:r>
      <w:r w:rsidR="00B006A2" w:rsidRPr="00F835E4">
        <w:rPr>
          <w:rFonts w:ascii="Arial" w:hAnsi="Arial" w:cs="Arial"/>
          <w:color w:val="808080" w:themeColor="background1" w:themeShade="80"/>
          <w:sz w:val="22"/>
          <w:szCs w:val="22"/>
          <w:lang w:val="en-GB"/>
        </w:rPr>
        <w:t xml:space="preserve">in </w:t>
      </w:r>
      <w:r w:rsidR="00B006A2" w:rsidRPr="00F835E4">
        <w:rPr>
          <w:rFonts w:ascii="Arial" w:hAnsi="Arial" w:cs="Arial"/>
          <w:i/>
          <w:iCs/>
          <w:color w:val="808080" w:themeColor="background1" w:themeShade="80"/>
          <w:sz w:val="22"/>
          <w:szCs w:val="22"/>
          <w:lang w:val="en-GB"/>
        </w:rPr>
        <w:t xml:space="preserve">Prospect Properties </w:t>
      </w:r>
      <w:r w:rsidR="001C1F56" w:rsidRPr="00F835E4">
        <w:rPr>
          <w:rFonts w:ascii="Arial" w:hAnsi="Arial" w:cs="Arial"/>
          <w:color w:val="808080" w:themeColor="background1" w:themeShade="80"/>
          <w:sz w:val="22"/>
          <w:szCs w:val="22"/>
          <w:lang w:val="en-GB"/>
        </w:rPr>
        <w:t xml:space="preserve">were found to have failed in their </w:t>
      </w:r>
      <w:r w:rsidR="00B006A2" w:rsidRPr="00F835E4">
        <w:rPr>
          <w:rFonts w:ascii="Arial" w:hAnsi="Arial" w:cs="Arial"/>
          <w:color w:val="808080" w:themeColor="background1" w:themeShade="80"/>
          <w:sz w:val="22"/>
          <w:szCs w:val="22"/>
          <w:lang w:val="en-GB"/>
        </w:rPr>
        <w:t xml:space="preserve">fiduciary duty - the transaction in question was </w:t>
      </w:r>
      <w:r w:rsidR="001C1F56" w:rsidRPr="00F835E4">
        <w:rPr>
          <w:rFonts w:ascii="Arial" w:hAnsi="Arial" w:cs="Arial"/>
          <w:color w:val="808080" w:themeColor="background1" w:themeShade="80"/>
          <w:sz w:val="22"/>
          <w:szCs w:val="22"/>
          <w:lang w:val="en-GB"/>
        </w:rPr>
        <w:t>not reasonably incidental to the carrying on of the company’s business</w:t>
      </w:r>
      <w:r w:rsidR="00B006A2" w:rsidRPr="00F835E4">
        <w:rPr>
          <w:rFonts w:ascii="Arial" w:hAnsi="Arial" w:cs="Arial"/>
          <w:color w:val="808080" w:themeColor="background1" w:themeShade="80"/>
          <w:sz w:val="22"/>
          <w:szCs w:val="22"/>
          <w:lang w:val="en-GB"/>
        </w:rPr>
        <w:t xml:space="preserve"> and was not </w:t>
      </w:r>
      <w:r w:rsidR="001C1F56" w:rsidRPr="00F835E4">
        <w:rPr>
          <w:rFonts w:ascii="Arial" w:hAnsi="Arial" w:cs="Arial"/>
          <w:i/>
          <w:iCs/>
          <w:color w:val="808080" w:themeColor="background1" w:themeShade="80"/>
          <w:sz w:val="22"/>
          <w:szCs w:val="22"/>
          <w:lang w:val="en-GB"/>
        </w:rPr>
        <w:t>bona fide</w:t>
      </w:r>
      <w:r w:rsidR="001C1F56" w:rsidRPr="00F835E4">
        <w:rPr>
          <w:rFonts w:ascii="Arial" w:hAnsi="Arial" w:cs="Arial"/>
          <w:color w:val="808080" w:themeColor="background1" w:themeShade="80"/>
          <w:sz w:val="22"/>
          <w:szCs w:val="22"/>
          <w:lang w:val="en-GB"/>
        </w:rPr>
        <w:t xml:space="preserve"> </w:t>
      </w:r>
      <w:r w:rsidR="00B006A2" w:rsidRPr="00F835E4">
        <w:rPr>
          <w:rFonts w:ascii="Arial" w:hAnsi="Arial" w:cs="Arial"/>
          <w:color w:val="808080" w:themeColor="background1" w:themeShade="80"/>
          <w:sz w:val="22"/>
          <w:szCs w:val="22"/>
          <w:lang w:val="en-GB"/>
        </w:rPr>
        <w:t>and it did not</w:t>
      </w:r>
      <w:r w:rsidR="001C1F56" w:rsidRPr="00F835E4">
        <w:rPr>
          <w:rFonts w:ascii="Arial" w:hAnsi="Arial" w:cs="Arial"/>
          <w:color w:val="808080" w:themeColor="background1" w:themeShade="80"/>
          <w:sz w:val="22"/>
          <w:szCs w:val="22"/>
          <w:lang w:val="en-GB"/>
        </w:rPr>
        <w:t xml:space="preserve"> benefit</w:t>
      </w:r>
      <w:r w:rsidR="00B006A2" w:rsidRPr="00F835E4">
        <w:rPr>
          <w:rFonts w:ascii="Arial" w:hAnsi="Arial" w:cs="Arial"/>
          <w:color w:val="808080" w:themeColor="background1" w:themeShade="80"/>
          <w:sz w:val="22"/>
          <w:szCs w:val="22"/>
          <w:lang w:val="en-GB"/>
        </w:rPr>
        <w:t xml:space="preserve"> </w:t>
      </w:r>
      <w:r w:rsidR="001C1F56" w:rsidRPr="00F835E4">
        <w:rPr>
          <w:rFonts w:ascii="Arial" w:hAnsi="Arial" w:cs="Arial"/>
          <w:color w:val="808080" w:themeColor="background1" w:themeShade="80"/>
          <w:sz w:val="22"/>
          <w:szCs w:val="22"/>
          <w:lang w:val="en-GB"/>
        </w:rPr>
        <w:t>or promote the</w:t>
      </w:r>
      <w:r w:rsidR="00B006A2" w:rsidRPr="00F835E4">
        <w:rPr>
          <w:rFonts w:ascii="Arial" w:hAnsi="Arial" w:cs="Arial"/>
          <w:color w:val="808080" w:themeColor="background1" w:themeShade="80"/>
          <w:sz w:val="22"/>
          <w:szCs w:val="22"/>
          <w:lang w:val="en-GB"/>
        </w:rPr>
        <w:t xml:space="preserve"> company’s prosperity.</w:t>
      </w:r>
      <w:r w:rsidR="00B006A2" w:rsidRPr="00F835E4">
        <w:rPr>
          <w:rStyle w:val="FootnoteReference"/>
          <w:rFonts w:ascii="Arial" w:hAnsi="Arial" w:cs="Arial"/>
          <w:color w:val="808080" w:themeColor="background1" w:themeShade="80"/>
          <w:sz w:val="22"/>
          <w:szCs w:val="22"/>
          <w:lang w:val="en-GB"/>
        </w:rPr>
        <w:footnoteReference w:id="92"/>
      </w:r>
    </w:p>
    <w:p w14:paraId="07CC651E" w14:textId="77777777" w:rsidR="00D863BC" w:rsidRPr="00F835E4" w:rsidRDefault="00D863BC" w:rsidP="00F835E4">
      <w:pPr>
        <w:jc w:val="both"/>
        <w:rPr>
          <w:rFonts w:ascii="Arial" w:hAnsi="Arial" w:cs="Arial"/>
          <w:color w:val="808080" w:themeColor="background1" w:themeShade="80"/>
          <w:sz w:val="22"/>
          <w:szCs w:val="22"/>
          <w:lang w:val="en-GB"/>
        </w:rPr>
      </w:pPr>
    </w:p>
    <w:p w14:paraId="6A790C13" w14:textId="7751DBFF" w:rsidR="000C38BD" w:rsidRPr="00F835E4" w:rsidRDefault="00D863BC" w:rsidP="00F835E4">
      <w:pPr>
        <w:jc w:val="both"/>
        <w:rPr>
          <w:rFonts w:ascii="Arial" w:hAnsi="Arial" w:cs="Arial"/>
          <w:color w:val="808080" w:themeColor="background1" w:themeShade="80"/>
          <w:sz w:val="22"/>
          <w:szCs w:val="22"/>
          <w:lang w:val="en-GB"/>
        </w:rPr>
      </w:pPr>
      <w:proofErr w:type="gramStart"/>
      <w:r w:rsidRPr="00F835E4">
        <w:rPr>
          <w:rFonts w:ascii="Arial" w:hAnsi="Arial" w:cs="Arial"/>
          <w:color w:val="808080" w:themeColor="background1" w:themeShade="80"/>
          <w:sz w:val="22"/>
          <w:szCs w:val="22"/>
          <w:lang w:val="en-GB"/>
        </w:rPr>
        <w:t>In the event that</w:t>
      </w:r>
      <w:proofErr w:type="gramEnd"/>
      <w:r w:rsidRPr="00F835E4">
        <w:rPr>
          <w:rFonts w:ascii="Arial" w:hAnsi="Arial" w:cs="Arial"/>
          <w:color w:val="808080" w:themeColor="background1" w:themeShade="80"/>
          <w:sz w:val="22"/>
          <w:szCs w:val="22"/>
          <w:lang w:val="en-GB"/>
        </w:rPr>
        <w:t xml:space="preserve"> a company is in official liquidation, the </w:t>
      </w:r>
      <w:r w:rsidR="000C38BD" w:rsidRPr="00F835E4">
        <w:rPr>
          <w:rFonts w:ascii="Arial" w:hAnsi="Arial" w:cs="Arial"/>
          <w:color w:val="808080" w:themeColor="background1" w:themeShade="80"/>
          <w:sz w:val="22"/>
          <w:szCs w:val="22"/>
          <w:lang w:val="en-GB"/>
        </w:rPr>
        <w:t xml:space="preserve">former </w:t>
      </w:r>
      <w:r w:rsidRPr="00F835E4">
        <w:rPr>
          <w:rFonts w:ascii="Arial" w:hAnsi="Arial" w:cs="Arial"/>
          <w:color w:val="808080" w:themeColor="background1" w:themeShade="80"/>
          <w:sz w:val="22"/>
          <w:szCs w:val="22"/>
          <w:lang w:val="en-GB"/>
        </w:rPr>
        <w:t>directors of the company can be pursued by the official liquidator on behalf of the company (in the company’s name) for</w:t>
      </w:r>
      <w:r w:rsidR="000C38BD" w:rsidRPr="00F835E4">
        <w:rPr>
          <w:rFonts w:ascii="Arial" w:hAnsi="Arial" w:cs="Arial"/>
          <w:color w:val="808080" w:themeColor="background1" w:themeShade="80"/>
          <w:sz w:val="22"/>
          <w:szCs w:val="22"/>
          <w:lang w:val="en-GB"/>
        </w:rPr>
        <w:t xml:space="preserve"> any</w:t>
      </w:r>
      <w:r w:rsidRPr="00F835E4">
        <w:rPr>
          <w:rFonts w:ascii="Arial" w:hAnsi="Arial" w:cs="Arial"/>
          <w:color w:val="808080" w:themeColor="background1" w:themeShade="80"/>
          <w:sz w:val="22"/>
          <w:szCs w:val="22"/>
          <w:lang w:val="en-GB"/>
        </w:rPr>
        <w:t xml:space="preserve"> breach of their fiduciary duties</w:t>
      </w:r>
      <w:r w:rsidRPr="00F835E4">
        <w:rPr>
          <w:rStyle w:val="FootnoteReference"/>
          <w:rFonts w:ascii="Arial" w:hAnsi="Arial" w:cs="Arial"/>
          <w:color w:val="808080" w:themeColor="background1" w:themeShade="80"/>
          <w:sz w:val="22"/>
          <w:szCs w:val="22"/>
          <w:lang w:val="en-GB"/>
        </w:rPr>
        <w:footnoteReference w:id="93"/>
      </w:r>
      <w:r w:rsidR="000C38BD" w:rsidRPr="00F835E4">
        <w:rPr>
          <w:rFonts w:ascii="Arial" w:hAnsi="Arial" w:cs="Arial"/>
          <w:color w:val="808080" w:themeColor="background1" w:themeShade="80"/>
          <w:sz w:val="22"/>
          <w:szCs w:val="22"/>
          <w:lang w:val="en-GB"/>
        </w:rPr>
        <w:t xml:space="preserve"> pre-liquidation. Therefore, despite the lack of statutory prohibition on insolvent trading in the Cayman Islands, former directors of an insolvent company can still </w:t>
      </w:r>
      <w:r w:rsidR="00A8782C" w:rsidRPr="00F835E4">
        <w:rPr>
          <w:rFonts w:ascii="Arial" w:hAnsi="Arial" w:cs="Arial"/>
          <w:color w:val="808080" w:themeColor="background1" w:themeShade="80"/>
          <w:sz w:val="22"/>
          <w:szCs w:val="22"/>
          <w:lang w:val="en-GB"/>
        </w:rPr>
        <w:t xml:space="preserve">potentially </w:t>
      </w:r>
      <w:r w:rsidR="000C38BD" w:rsidRPr="00F835E4">
        <w:rPr>
          <w:rFonts w:ascii="Arial" w:hAnsi="Arial" w:cs="Arial"/>
          <w:color w:val="808080" w:themeColor="background1" w:themeShade="80"/>
          <w:sz w:val="22"/>
          <w:szCs w:val="22"/>
          <w:lang w:val="en-GB"/>
        </w:rPr>
        <w:t>be held personally liable for a</w:t>
      </w:r>
      <w:r w:rsidR="00A8782C" w:rsidRPr="00F835E4">
        <w:rPr>
          <w:rFonts w:ascii="Arial" w:hAnsi="Arial" w:cs="Arial"/>
          <w:color w:val="808080" w:themeColor="background1" w:themeShade="80"/>
          <w:sz w:val="22"/>
          <w:szCs w:val="22"/>
          <w:lang w:val="en-GB"/>
        </w:rPr>
        <w:t xml:space="preserve"> pre-liquidation transaction</w:t>
      </w:r>
      <w:r w:rsidR="000C38BD" w:rsidRPr="00F835E4">
        <w:rPr>
          <w:rFonts w:ascii="Arial" w:hAnsi="Arial" w:cs="Arial"/>
          <w:color w:val="808080" w:themeColor="background1" w:themeShade="80"/>
          <w:sz w:val="22"/>
          <w:szCs w:val="22"/>
          <w:lang w:val="en-GB"/>
        </w:rPr>
        <w:t>.</w:t>
      </w:r>
    </w:p>
    <w:p w14:paraId="4D10F54D" w14:textId="77777777" w:rsidR="001A2348" w:rsidRPr="00F835E4" w:rsidRDefault="001A2348" w:rsidP="00F835E4">
      <w:pPr>
        <w:jc w:val="both"/>
        <w:rPr>
          <w:rFonts w:ascii="Arial" w:hAnsi="Arial" w:cs="Arial"/>
          <w:color w:val="808080" w:themeColor="background1" w:themeShade="80"/>
          <w:sz w:val="22"/>
          <w:szCs w:val="22"/>
          <w:lang w:val="en-GB"/>
        </w:rPr>
      </w:pPr>
    </w:p>
    <w:p w14:paraId="3AA6537B" w14:textId="6D3F150F" w:rsidR="006A6982" w:rsidRPr="00F835E4" w:rsidRDefault="006A6982" w:rsidP="00F835E4">
      <w:pPr>
        <w:jc w:val="both"/>
        <w:rPr>
          <w:rFonts w:ascii="Arial" w:hAnsi="Arial" w:cs="Arial"/>
          <w:b/>
          <w:bCs/>
          <w:color w:val="808080" w:themeColor="background1" w:themeShade="80"/>
          <w:sz w:val="22"/>
          <w:szCs w:val="22"/>
          <w:u w:val="single"/>
          <w:lang w:val="en-GB"/>
        </w:rPr>
      </w:pPr>
      <w:r w:rsidRPr="00F835E4">
        <w:rPr>
          <w:rFonts w:ascii="Arial" w:hAnsi="Arial" w:cs="Arial"/>
          <w:b/>
          <w:bCs/>
          <w:color w:val="808080" w:themeColor="background1" w:themeShade="80"/>
          <w:sz w:val="22"/>
          <w:szCs w:val="22"/>
          <w:u w:val="single"/>
          <w:lang w:val="en-GB"/>
        </w:rPr>
        <w:t>Companies Act</w:t>
      </w:r>
    </w:p>
    <w:p w14:paraId="37B610F8" w14:textId="242814CC" w:rsidR="006A6982" w:rsidRPr="00F835E4" w:rsidRDefault="00A8782C"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In addition to the above where financial damages can be sought personally against the former directors, t</w:t>
      </w:r>
      <w:r w:rsidR="006A6982" w:rsidRPr="00F835E4">
        <w:rPr>
          <w:rFonts w:ascii="Arial" w:hAnsi="Arial" w:cs="Arial"/>
          <w:color w:val="808080" w:themeColor="background1" w:themeShade="80"/>
          <w:sz w:val="22"/>
          <w:szCs w:val="22"/>
          <w:lang w:val="en-GB"/>
        </w:rPr>
        <w:t>he insolvency regime within the Companies Act contains various sections which enables a court appointed liquidator to hold the former directors accountable by “clawing back” payments that those directors should not have made.</w:t>
      </w:r>
      <w:r w:rsidR="000C38BD" w:rsidRPr="00F835E4">
        <w:rPr>
          <w:rFonts w:ascii="Arial" w:hAnsi="Arial" w:cs="Arial"/>
          <w:color w:val="808080" w:themeColor="background1" w:themeShade="80"/>
          <w:sz w:val="22"/>
          <w:szCs w:val="22"/>
          <w:lang w:val="en-GB"/>
        </w:rPr>
        <w:t xml:space="preserve"> </w:t>
      </w:r>
      <w:r w:rsidR="003C6223" w:rsidRPr="00F835E4">
        <w:rPr>
          <w:rFonts w:ascii="Arial" w:hAnsi="Arial" w:cs="Arial"/>
          <w:color w:val="808080" w:themeColor="background1" w:themeShade="80"/>
          <w:sz w:val="22"/>
          <w:szCs w:val="22"/>
          <w:lang w:val="en-GB"/>
        </w:rPr>
        <w:t>The key provisions are</w:t>
      </w:r>
      <w:r w:rsidR="000C38BD" w:rsidRPr="00F835E4">
        <w:rPr>
          <w:rFonts w:ascii="Arial" w:hAnsi="Arial" w:cs="Arial"/>
          <w:color w:val="808080" w:themeColor="background1" w:themeShade="80"/>
          <w:sz w:val="22"/>
          <w:szCs w:val="22"/>
          <w:lang w:val="en-GB"/>
        </w:rPr>
        <w:t>:</w:t>
      </w:r>
    </w:p>
    <w:p w14:paraId="180FCA9A" w14:textId="77777777" w:rsidR="006A6982" w:rsidRPr="00F835E4" w:rsidRDefault="006A6982" w:rsidP="00F835E4">
      <w:pPr>
        <w:jc w:val="both"/>
        <w:rPr>
          <w:rFonts w:ascii="Arial" w:hAnsi="Arial" w:cs="Arial"/>
          <w:b/>
          <w:bCs/>
          <w:color w:val="808080" w:themeColor="background1" w:themeShade="80"/>
          <w:sz w:val="22"/>
          <w:szCs w:val="22"/>
          <w:u w:val="single"/>
          <w:lang w:val="en-GB"/>
        </w:rPr>
      </w:pPr>
    </w:p>
    <w:p w14:paraId="4847A3E8" w14:textId="77777777" w:rsidR="00566A62" w:rsidRPr="00F835E4" w:rsidRDefault="00566A62" w:rsidP="00F835E4">
      <w:pPr>
        <w:jc w:val="both"/>
        <w:rPr>
          <w:rFonts w:ascii="Arial" w:hAnsi="Arial" w:cs="Arial"/>
          <w:color w:val="808080" w:themeColor="background1" w:themeShade="80"/>
          <w:sz w:val="22"/>
          <w:szCs w:val="22"/>
          <w:u w:val="single"/>
          <w:lang w:val="en-GB"/>
        </w:rPr>
      </w:pPr>
      <w:r w:rsidRPr="00F835E4">
        <w:rPr>
          <w:rFonts w:ascii="Arial" w:hAnsi="Arial" w:cs="Arial"/>
          <w:color w:val="808080" w:themeColor="background1" w:themeShade="80"/>
          <w:sz w:val="22"/>
          <w:szCs w:val="22"/>
          <w:u w:val="single"/>
          <w:lang w:val="en-GB"/>
        </w:rPr>
        <w:t>Section 99 - Avoidance of property dispositions, etc.</w:t>
      </w:r>
    </w:p>
    <w:p w14:paraId="7F67DE68" w14:textId="4CC41DAC" w:rsidR="00566A62" w:rsidRPr="00F835E4" w:rsidRDefault="00566A62"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 xml:space="preserve">Section 99 provides that any disposition of the company’s property and any transfer of shares or alteration in the status of the company’s members which are made </w:t>
      </w:r>
      <w:r w:rsidRPr="00F835E4">
        <w:rPr>
          <w:rFonts w:ascii="Arial" w:hAnsi="Arial" w:cs="Arial"/>
          <w:color w:val="808080" w:themeColor="background1" w:themeShade="80"/>
          <w:sz w:val="22"/>
          <w:szCs w:val="22"/>
          <w:u w:val="single"/>
          <w:lang w:val="en-GB"/>
        </w:rPr>
        <w:t>after</w:t>
      </w:r>
      <w:r w:rsidRPr="00F835E4">
        <w:rPr>
          <w:rFonts w:ascii="Arial" w:hAnsi="Arial" w:cs="Arial"/>
          <w:color w:val="808080" w:themeColor="background1" w:themeShade="80"/>
          <w:sz w:val="22"/>
          <w:szCs w:val="22"/>
          <w:lang w:val="en-GB"/>
        </w:rPr>
        <w:t xml:space="preserve"> the commencement of the company’s winding up is void (unless the </w:t>
      </w:r>
      <w:r w:rsidR="00F841B9" w:rsidRPr="00F835E4">
        <w:rPr>
          <w:rFonts w:ascii="Arial" w:hAnsi="Arial" w:cs="Arial"/>
          <w:color w:val="808080" w:themeColor="background1" w:themeShade="80"/>
          <w:sz w:val="22"/>
          <w:szCs w:val="22"/>
          <w:lang w:val="en-GB"/>
        </w:rPr>
        <w:t>c</w:t>
      </w:r>
      <w:r w:rsidRPr="00F835E4">
        <w:rPr>
          <w:rFonts w:ascii="Arial" w:hAnsi="Arial" w:cs="Arial"/>
          <w:color w:val="808080" w:themeColor="background1" w:themeShade="80"/>
          <w:sz w:val="22"/>
          <w:szCs w:val="22"/>
          <w:lang w:val="en-GB"/>
        </w:rPr>
        <w:t>ourt otherwise orders).</w:t>
      </w:r>
      <w:r w:rsidRPr="00F835E4">
        <w:rPr>
          <w:rStyle w:val="FootnoteReference"/>
          <w:rFonts w:ascii="Arial" w:hAnsi="Arial" w:cs="Arial"/>
          <w:color w:val="808080" w:themeColor="background1" w:themeShade="80"/>
          <w:sz w:val="22"/>
          <w:szCs w:val="22"/>
          <w:lang w:val="en-GB"/>
        </w:rPr>
        <w:footnoteReference w:id="94"/>
      </w:r>
      <w:r w:rsidRPr="00F835E4">
        <w:rPr>
          <w:rFonts w:ascii="Arial" w:hAnsi="Arial" w:cs="Arial"/>
          <w:color w:val="808080" w:themeColor="background1" w:themeShade="80"/>
          <w:sz w:val="22"/>
          <w:szCs w:val="22"/>
          <w:lang w:val="en-GB"/>
        </w:rPr>
        <w:t xml:space="preserve"> The commencement of the winding up is deemed to be the date when the petition was filed (rather than the date of the order)</w:t>
      </w:r>
      <w:r w:rsidRPr="00F835E4">
        <w:rPr>
          <w:rStyle w:val="FootnoteReference"/>
          <w:rFonts w:ascii="Arial" w:hAnsi="Arial" w:cs="Arial"/>
          <w:color w:val="808080" w:themeColor="background1" w:themeShade="80"/>
          <w:sz w:val="22"/>
          <w:szCs w:val="22"/>
          <w:lang w:val="en-GB"/>
        </w:rPr>
        <w:footnoteReference w:id="95"/>
      </w:r>
      <w:r w:rsidRPr="00F835E4">
        <w:rPr>
          <w:rFonts w:ascii="Arial" w:hAnsi="Arial" w:cs="Arial"/>
          <w:color w:val="808080" w:themeColor="background1" w:themeShade="80"/>
          <w:sz w:val="22"/>
          <w:szCs w:val="22"/>
          <w:lang w:val="en-GB"/>
        </w:rPr>
        <w:t>.</w:t>
      </w:r>
    </w:p>
    <w:p w14:paraId="4ECC47E6" w14:textId="77777777" w:rsidR="00566A62" w:rsidRPr="00F835E4" w:rsidRDefault="00566A62" w:rsidP="00F835E4">
      <w:pPr>
        <w:jc w:val="both"/>
        <w:rPr>
          <w:rFonts w:ascii="Arial" w:hAnsi="Arial" w:cs="Arial"/>
          <w:color w:val="808080" w:themeColor="background1" w:themeShade="80"/>
          <w:sz w:val="22"/>
          <w:szCs w:val="22"/>
          <w:lang w:val="en-GB"/>
        </w:rPr>
      </w:pPr>
    </w:p>
    <w:p w14:paraId="18ADEB8C" w14:textId="132E8CF7" w:rsidR="00566A62" w:rsidRPr="00F835E4" w:rsidRDefault="00566A62"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 xml:space="preserve">The liquidator can seek appropriate relief from the </w:t>
      </w:r>
      <w:r w:rsidR="00F841B9" w:rsidRPr="00F835E4">
        <w:rPr>
          <w:rFonts w:ascii="Arial" w:hAnsi="Arial" w:cs="Arial"/>
          <w:color w:val="808080" w:themeColor="background1" w:themeShade="80"/>
          <w:sz w:val="22"/>
          <w:szCs w:val="22"/>
          <w:lang w:val="en-GB"/>
        </w:rPr>
        <w:t>c</w:t>
      </w:r>
      <w:r w:rsidRPr="00F835E4">
        <w:rPr>
          <w:rFonts w:ascii="Arial" w:hAnsi="Arial" w:cs="Arial"/>
          <w:color w:val="808080" w:themeColor="background1" w:themeShade="80"/>
          <w:sz w:val="22"/>
          <w:szCs w:val="22"/>
          <w:lang w:val="en-GB"/>
        </w:rPr>
        <w:t>ourt to require the repaying of any funds or the return of the asset(s) to the company.</w:t>
      </w:r>
      <w:r w:rsidRPr="00F835E4">
        <w:rPr>
          <w:rStyle w:val="FootnoteReference"/>
          <w:rFonts w:ascii="Arial" w:hAnsi="Arial" w:cs="Arial"/>
          <w:color w:val="808080" w:themeColor="background1" w:themeShade="80"/>
          <w:sz w:val="22"/>
          <w:szCs w:val="22"/>
          <w:lang w:val="en-GB"/>
        </w:rPr>
        <w:footnoteReference w:id="96"/>
      </w:r>
      <w:r w:rsidRPr="00F835E4">
        <w:rPr>
          <w:rFonts w:ascii="Arial" w:hAnsi="Arial" w:cs="Arial"/>
          <w:color w:val="808080" w:themeColor="background1" w:themeShade="80"/>
          <w:sz w:val="22"/>
          <w:szCs w:val="22"/>
          <w:lang w:val="en-GB"/>
        </w:rPr>
        <w:t xml:space="preserve"> Only transactions made </w:t>
      </w:r>
      <w:r w:rsidRPr="00F835E4">
        <w:rPr>
          <w:rFonts w:ascii="Arial" w:hAnsi="Arial" w:cs="Arial"/>
          <w:color w:val="808080" w:themeColor="background1" w:themeShade="80"/>
          <w:sz w:val="22"/>
          <w:szCs w:val="22"/>
          <w:u w:val="single"/>
          <w:lang w:val="en-GB"/>
        </w:rPr>
        <w:t>after</w:t>
      </w:r>
      <w:r w:rsidRPr="00F835E4">
        <w:rPr>
          <w:rFonts w:ascii="Arial" w:hAnsi="Arial" w:cs="Arial"/>
          <w:color w:val="808080" w:themeColor="background1" w:themeShade="80"/>
          <w:sz w:val="22"/>
          <w:szCs w:val="22"/>
          <w:lang w:val="en-GB"/>
        </w:rPr>
        <w:t xml:space="preserve"> the filing of the petition are caught by section 99. For transactions not caught by section 99 (i.e. made </w:t>
      </w:r>
      <w:r w:rsidRPr="00F835E4">
        <w:rPr>
          <w:rFonts w:ascii="Arial" w:hAnsi="Arial" w:cs="Arial"/>
          <w:color w:val="808080" w:themeColor="background1" w:themeShade="80"/>
          <w:sz w:val="22"/>
          <w:szCs w:val="22"/>
          <w:u w:val="single"/>
          <w:lang w:val="en-GB"/>
        </w:rPr>
        <w:t>before</w:t>
      </w:r>
      <w:r w:rsidRPr="00F835E4">
        <w:rPr>
          <w:rFonts w:ascii="Arial" w:hAnsi="Arial" w:cs="Arial"/>
          <w:color w:val="808080" w:themeColor="background1" w:themeShade="80"/>
          <w:sz w:val="22"/>
          <w:szCs w:val="22"/>
          <w:lang w:val="en-GB"/>
        </w:rPr>
        <w:t xml:space="preserve"> the filing of the petition), they may be caught by the “claw-back” provisions set out in section 145 and section 146.</w:t>
      </w:r>
    </w:p>
    <w:p w14:paraId="40E24B25" w14:textId="77777777" w:rsidR="00A8782C" w:rsidRPr="00F835E4" w:rsidRDefault="00A8782C" w:rsidP="00F835E4">
      <w:pPr>
        <w:jc w:val="both"/>
        <w:rPr>
          <w:rFonts w:ascii="Arial" w:hAnsi="Arial" w:cs="Arial"/>
          <w:color w:val="808080" w:themeColor="background1" w:themeShade="80"/>
          <w:sz w:val="22"/>
          <w:szCs w:val="22"/>
          <w:lang w:val="en-GB"/>
        </w:rPr>
      </w:pPr>
    </w:p>
    <w:p w14:paraId="263D13E5" w14:textId="4830BD32" w:rsidR="00A8782C" w:rsidRPr="00F835E4" w:rsidRDefault="00A8782C" w:rsidP="00F835E4">
      <w:pPr>
        <w:jc w:val="both"/>
        <w:rPr>
          <w:rFonts w:ascii="Arial" w:hAnsi="Arial" w:cs="Arial"/>
          <w:color w:val="808080" w:themeColor="background1" w:themeShade="80"/>
          <w:sz w:val="22"/>
          <w:szCs w:val="22"/>
          <w:lang w:val="en-GB"/>
        </w:rPr>
      </w:pPr>
      <w:proofErr w:type="gramStart"/>
      <w:r w:rsidRPr="00F835E4">
        <w:rPr>
          <w:rFonts w:ascii="Arial" w:hAnsi="Arial" w:cs="Arial"/>
          <w:color w:val="808080" w:themeColor="background1" w:themeShade="80"/>
          <w:sz w:val="22"/>
          <w:szCs w:val="22"/>
          <w:lang w:val="en-GB"/>
        </w:rPr>
        <w:t>In light of</w:t>
      </w:r>
      <w:proofErr w:type="gramEnd"/>
      <w:r w:rsidRPr="00F835E4">
        <w:rPr>
          <w:rFonts w:ascii="Arial" w:hAnsi="Arial" w:cs="Arial"/>
          <w:color w:val="808080" w:themeColor="background1" w:themeShade="80"/>
          <w:sz w:val="22"/>
          <w:szCs w:val="22"/>
          <w:lang w:val="en-GB"/>
        </w:rPr>
        <w:t xml:space="preserve"> the above, repayment of funds or the return of the asset(s) transferred after the filing of the petition is possible if the liquidator makes such an application under section 99.</w:t>
      </w:r>
    </w:p>
    <w:p w14:paraId="3F4F1483" w14:textId="77777777" w:rsidR="00566A62" w:rsidRPr="00F835E4" w:rsidRDefault="00566A62" w:rsidP="00F835E4">
      <w:pPr>
        <w:jc w:val="both"/>
        <w:rPr>
          <w:rFonts w:ascii="Arial" w:hAnsi="Arial" w:cs="Arial"/>
          <w:b/>
          <w:bCs/>
          <w:color w:val="808080" w:themeColor="background1" w:themeShade="80"/>
          <w:sz w:val="22"/>
          <w:szCs w:val="22"/>
          <w:u w:val="single"/>
          <w:lang w:val="en-GB"/>
        </w:rPr>
      </w:pPr>
    </w:p>
    <w:p w14:paraId="52907B65" w14:textId="2F40F71F" w:rsidR="00221846" w:rsidRPr="00F835E4" w:rsidRDefault="00221846" w:rsidP="00F835E4">
      <w:pPr>
        <w:jc w:val="both"/>
        <w:rPr>
          <w:rFonts w:ascii="Arial" w:hAnsi="Arial" w:cs="Arial"/>
          <w:color w:val="808080" w:themeColor="background1" w:themeShade="80"/>
          <w:sz w:val="22"/>
          <w:szCs w:val="22"/>
          <w:u w:val="single"/>
          <w:lang w:val="en-GB"/>
        </w:rPr>
      </w:pPr>
      <w:r w:rsidRPr="00F835E4">
        <w:rPr>
          <w:rFonts w:ascii="Arial" w:hAnsi="Arial" w:cs="Arial"/>
          <w:color w:val="808080" w:themeColor="background1" w:themeShade="80"/>
          <w:sz w:val="22"/>
          <w:szCs w:val="22"/>
          <w:u w:val="single"/>
          <w:lang w:val="en-GB"/>
        </w:rPr>
        <w:t>Section 145 – Voidable preference</w:t>
      </w:r>
    </w:p>
    <w:p w14:paraId="625397C3" w14:textId="5FCCC21A" w:rsidR="00221846" w:rsidRPr="00F835E4" w:rsidRDefault="005330C8"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Section 145</w:t>
      </w:r>
      <w:r w:rsidR="00743D46" w:rsidRPr="00F835E4">
        <w:rPr>
          <w:rFonts w:ascii="Arial" w:hAnsi="Arial" w:cs="Arial"/>
          <w:color w:val="808080" w:themeColor="background1" w:themeShade="80"/>
          <w:sz w:val="22"/>
          <w:szCs w:val="22"/>
          <w:lang w:val="en-GB"/>
        </w:rPr>
        <w:t>(1)</w:t>
      </w:r>
      <w:r w:rsidRPr="00F835E4">
        <w:rPr>
          <w:rFonts w:ascii="Arial" w:hAnsi="Arial" w:cs="Arial"/>
          <w:color w:val="808080" w:themeColor="background1" w:themeShade="80"/>
          <w:sz w:val="22"/>
          <w:szCs w:val="22"/>
          <w:lang w:val="en-GB"/>
        </w:rPr>
        <w:t xml:space="preserve"> states that </w:t>
      </w:r>
      <w:r w:rsidR="00743D46" w:rsidRPr="00F835E4">
        <w:rPr>
          <w:rFonts w:ascii="Arial" w:hAnsi="Arial" w:cs="Arial"/>
          <w:color w:val="808080" w:themeColor="background1" w:themeShade="80"/>
          <w:sz w:val="22"/>
          <w:szCs w:val="22"/>
          <w:lang w:val="en-GB"/>
        </w:rPr>
        <w:t>every</w:t>
      </w:r>
      <w:r w:rsidRPr="00F835E4">
        <w:rPr>
          <w:rFonts w:ascii="Arial" w:hAnsi="Arial" w:cs="Arial"/>
          <w:color w:val="808080" w:themeColor="background1" w:themeShade="80"/>
          <w:sz w:val="22"/>
          <w:szCs w:val="22"/>
          <w:lang w:val="en-GB"/>
        </w:rPr>
        <w:t xml:space="preserve"> dealing with property or payment in favour of a creditor </w:t>
      </w:r>
      <w:r w:rsidR="00743D46" w:rsidRPr="00F835E4">
        <w:rPr>
          <w:rFonts w:ascii="Arial" w:hAnsi="Arial" w:cs="Arial"/>
          <w:color w:val="808080" w:themeColor="background1" w:themeShade="80"/>
          <w:sz w:val="22"/>
          <w:szCs w:val="22"/>
          <w:lang w:val="en-GB"/>
        </w:rPr>
        <w:t>at a time when the company was not able to pay its debts with the intention of giving that creditor preference over the other creditors “</w:t>
      </w:r>
      <w:r w:rsidR="00221846" w:rsidRPr="00F835E4">
        <w:rPr>
          <w:rFonts w:ascii="Arial" w:hAnsi="Arial" w:cs="Arial"/>
          <w:i/>
          <w:iCs/>
          <w:color w:val="808080" w:themeColor="background1" w:themeShade="80"/>
          <w:sz w:val="22"/>
          <w:szCs w:val="22"/>
          <w:lang w:val="en-GB"/>
        </w:rPr>
        <w:t xml:space="preserve">shall be </w:t>
      </w:r>
      <w:r w:rsidR="00221846" w:rsidRPr="00F835E4">
        <w:rPr>
          <w:rFonts w:ascii="Arial" w:hAnsi="Arial" w:cs="Arial"/>
          <w:i/>
          <w:iCs/>
          <w:color w:val="808080" w:themeColor="background1" w:themeShade="80"/>
          <w:sz w:val="22"/>
          <w:szCs w:val="22"/>
          <w:u w:val="single"/>
          <w:lang w:val="en-GB"/>
        </w:rPr>
        <w:t>voidable</w:t>
      </w:r>
      <w:r w:rsidR="00221846" w:rsidRPr="00F835E4">
        <w:rPr>
          <w:rFonts w:ascii="Arial" w:hAnsi="Arial" w:cs="Arial"/>
          <w:i/>
          <w:iCs/>
          <w:color w:val="808080" w:themeColor="background1" w:themeShade="80"/>
          <w:sz w:val="22"/>
          <w:szCs w:val="22"/>
          <w:lang w:val="en-GB"/>
        </w:rPr>
        <w:t xml:space="preserve"> upon the application of the company’s </w:t>
      </w:r>
      <w:r w:rsidR="00221846" w:rsidRPr="00F835E4">
        <w:rPr>
          <w:rFonts w:ascii="Arial" w:hAnsi="Arial" w:cs="Arial"/>
          <w:i/>
          <w:iCs/>
          <w:color w:val="808080" w:themeColor="background1" w:themeShade="80"/>
          <w:sz w:val="22"/>
          <w:szCs w:val="22"/>
          <w:lang w:val="en-GB"/>
        </w:rPr>
        <w:lastRenderedPageBreak/>
        <w:t xml:space="preserve">liquidator if made, incurred, taken or suffered </w:t>
      </w:r>
      <w:r w:rsidR="00221846" w:rsidRPr="00F835E4">
        <w:rPr>
          <w:rFonts w:ascii="Arial" w:hAnsi="Arial" w:cs="Arial"/>
          <w:i/>
          <w:iCs/>
          <w:color w:val="808080" w:themeColor="background1" w:themeShade="80"/>
          <w:sz w:val="22"/>
          <w:szCs w:val="22"/>
          <w:u w:val="single"/>
          <w:lang w:val="en-GB"/>
        </w:rPr>
        <w:t>within six months immediately preceding the commencement</w:t>
      </w:r>
      <w:r w:rsidR="00221846" w:rsidRPr="00F835E4">
        <w:rPr>
          <w:rFonts w:ascii="Arial" w:hAnsi="Arial" w:cs="Arial"/>
          <w:i/>
          <w:iCs/>
          <w:color w:val="808080" w:themeColor="background1" w:themeShade="80"/>
          <w:sz w:val="22"/>
          <w:szCs w:val="22"/>
          <w:lang w:val="en-GB"/>
        </w:rPr>
        <w:t xml:space="preserve"> of a liquidation</w:t>
      </w:r>
      <w:r w:rsidR="00221846" w:rsidRPr="00F835E4">
        <w:rPr>
          <w:rFonts w:ascii="Arial" w:hAnsi="Arial" w:cs="Arial"/>
          <w:color w:val="808080" w:themeColor="background1" w:themeShade="80"/>
          <w:sz w:val="22"/>
          <w:szCs w:val="22"/>
          <w:lang w:val="en-GB"/>
        </w:rPr>
        <w:t>.</w:t>
      </w:r>
      <w:r w:rsidR="00743D46" w:rsidRPr="00F835E4">
        <w:rPr>
          <w:rFonts w:ascii="Arial" w:hAnsi="Arial" w:cs="Arial"/>
          <w:color w:val="808080" w:themeColor="background1" w:themeShade="80"/>
          <w:sz w:val="22"/>
          <w:szCs w:val="22"/>
          <w:lang w:val="en-GB"/>
        </w:rPr>
        <w:t xml:space="preserve"> [emphasis added]”</w:t>
      </w:r>
      <w:r w:rsidR="00743D46" w:rsidRPr="00F835E4">
        <w:rPr>
          <w:rStyle w:val="FootnoteReference"/>
          <w:rFonts w:ascii="Arial" w:hAnsi="Arial" w:cs="Arial"/>
          <w:color w:val="808080" w:themeColor="background1" w:themeShade="80"/>
          <w:sz w:val="22"/>
          <w:szCs w:val="22"/>
          <w:lang w:val="en-GB"/>
        </w:rPr>
        <w:footnoteReference w:id="97"/>
      </w:r>
      <w:r w:rsidR="00272BD8" w:rsidRPr="00F835E4">
        <w:rPr>
          <w:rFonts w:ascii="Arial" w:hAnsi="Arial" w:cs="Arial"/>
          <w:color w:val="808080" w:themeColor="background1" w:themeShade="80"/>
          <w:sz w:val="22"/>
          <w:szCs w:val="22"/>
          <w:lang w:val="en-GB"/>
        </w:rPr>
        <w:t xml:space="preserve"> A payment which is made to a related party of the company is deemed to have been made with the intention of giving such creditor a preference.</w:t>
      </w:r>
      <w:r w:rsidR="00272BD8" w:rsidRPr="00F835E4">
        <w:rPr>
          <w:rStyle w:val="FootnoteReference"/>
          <w:rFonts w:ascii="Arial" w:hAnsi="Arial" w:cs="Arial"/>
          <w:color w:val="808080" w:themeColor="background1" w:themeShade="80"/>
          <w:sz w:val="22"/>
          <w:szCs w:val="22"/>
          <w:lang w:val="en-GB"/>
        </w:rPr>
        <w:footnoteReference w:id="98"/>
      </w:r>
      <w:r w:rsidR="00272BD8" w:rsidRPr="00F835E4">
        <w:rPr>
          <w:rFonts w:ascii="Arial" w:hAnsi="Arial" w:cs="Arial"/>
          <w:color w:val="808080" w:themeColor="background1" w:themeShade="80"/>
          <w:sz w:val="22"/>
          <w:szCs w:val="22"/>
          <w:lang w:val="en-GB"/>
        </w:rPr>
        <w:t xml:space="preserve"> Section 145(3) states that a creditor is treated as a “related party” if the creditor “</w:t>
      </w:r>
      <w:r w:rsidR="00221846" w:rsidRPr="00F835E4">
        <w:rPr>
          <w:rFonts w:ascii="Arial" w:hAnsi="Arial" w:cs="Arial"/>
          <w:i/>
          <w:iCs/>
          <w:color w:val="808080" w:themeColor="background1" w:themeShade="80"/>
          <w:sz w:val="22"/>
          <w:szCs w:val="22"/>
          <w:lang w:val="en-GB"/>
        </w:rPr>
        <w:t>has the ability</w:t>
      </w:r>
      <w:r w:rsidR="00272BD8" w:rsidRPr="00F835E4">
        <w:rPr>
          <w:rFonts w:ascii="Arial" w:hAnsi="Arial" w:cs="Arial"/>
          <w:i/>
          <w:iCs/>
          <w:color w:val="808080" w:themeColor="background1" w:themeShade="80"/>
          <w:sz w:val="22"/>
          <w:szCs w:val="22"/>
          <w:lang w:val="en-GB"/>
        </w:rPr>
        <w:t xml:space="preserve"> </w:t>
      </w:r>
      <w:r w:rsidR="00221846" w:rsidRPr="00F835E4">
        <w:rPr>
          <w:rFonts w:ascii="Arial" w:hAnsi="Arial" w:cs="Arial"/>
          <w:i/>
          <w:iCs/>
          <w:color w:val="808080" w:themeColor="background1" w:themeShade="80"/>
          <w:sz w:val="22"/>
          <w:szCs w:val="22"/>
          <w:lang w:val="en-GB"/>
        </w:rPr>
        <w:t>to control the company or exercise significant influence over the company in making financial and</w:t>
      </w:r>
      <w:r w:rsidR="00272BD8" w:rsidRPr="00F835E4">
        <w:rPr>
          <w:rFonts w:ascii="Arial" w:hAnsi="Arial" w:cs="Arial"/>
          <w:i/>
          <w:iCs/>
          <w:color w:val="808080" w:themeColor="background1" w:themeShade="80"/>
          <w:sz w:val="22"/>
          <w:szCs w:val="22"/>
          <w:lang w:val="en-GB"/>
        </w:rPr>
        <w:t xml:space="preserve"> </w:t>
      </w:r>
      <w:r w:rsidR="00221846" w:rsidRPr="00F835E4">
        <w:rPr>
          <w:rFonts w:ascii="Arial" w:hAnsi="Arial" w:cs="Arial"/>
          <w:i/>
          <w:iCs/>
          <w:color w:val="808080" w:themeColor="background1" w:themeShade="80"/>
          <w:sz w:val="22"/>
          <w:szCs w:val="22"/>
          <w:lang w:val="en-GB"/>
        </w:rPr>
        <w:t>operating decisions</w:t>
      </w:r>
      <w:r w:rsidR="00221846" w:rsidRPr="00F835E4">
        <w:rPr>
          <w:rFonts w:ascii="Arial" w:hAnsi="Arial" w:cs="Arial"/>
          <w:color w:val="808080" w:themeColor="background1" w:themeShade="80"/>
          <w:sz w:val="22"/>
          <w:szCs w:val="22"/>
          <w:lang w:val="en-GB"/>
        </w:rPr>
        <w:t>.</w:t>
      </w:r>
      <w:r w:rsidR="00272BD8" w:rsidRPr="00F835E4">
        <w:rPr>
          <w:rFonts w:ascii="Arial" w:hAnsi="Arial" w:cs="Arial"/>
          <w:color w:val="808080" w:themeColor="background1" w:themeShade="80"/>
          <w:sz w:val="22"/>
          <w:szCs w:val="22"/>
          <w:lang w:val="en-GB"/>
        </w:rPr>
        <w:t>”</w:t>
      </w:r>
      <w:r w:rsidR="00272BD8" w:rsidRPr="00F835E4">
        <w:rPr>
          <w:rStyle w:val="FootnoteReference"/>
          <w:rFonts w:ascii="Arial" w:hAnsi="Arial" w:cs="Arial"/>
          <w:color w:val="808080" w:themeColor="background1" w:themeShade="80"/>
          <w:sz w:val="22"/>
          <w:szCs w:val="22"/>
          <w:lang w:val="en-GB"/>
        </w:rPr>
        <w:footnoteReference w:id="99"/>
      </w:r>
    </w:p>
    <w:p w14:paraId="16CFCA13" w14:textId="77777777" w:rsidR="001D5D9C" w:rsidRPr="00F835E4" w:rsidRDefault="001D5D9C" w:rsidP="00F835E4">
      <w:pPr>
        <w:jc w:val="both"/>
        <w:rPr>
          <w:rFonts w:ascii="Arial" w:hAnsi="Arial" w:cs="Arial"/>
          <w:color w:val="808080" w:themeColor="background1" w:themeShade="80"/>
          <w:sz w:val="22"/>
          <w:szCs w:val="22"/>
          <w:lang w:val="en-GB"/>
        </w:rPr>
      </w:pPr>
    </w:p>
    <w:p w14:paraId="6D3D5B39" w14:textId="50E53B4C" w:rsidR="001D5D9C" w:rsidRPr="00F835E4" w:rsidRDefault="009B02D1"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Giving a preference to a creditor over other creditors means putting that creditor in a better position than they would otherwise have been</w:t>
      </w:r>
      <w:r w:rsidRPr="00F835E4">
        <w:rPr>
          <w:rStyle w:val="FootnoteReference"/>
          <w:rFonts w:ascii="Arial" w:hAnsi="Arial" w:cs="Arial"/>
          <w:color w:val="808080" w:themeColor="background1" w:themeShade="80"/>
          <w:sz w:val="22"/>
          <w:szCs w:val="22"/>
          <w:lang w:val="en-GB"/>
        </w:rPr>
        <w:footnoteReference w:id="100"/>
      </w:r>
      <w:r w:rsidRPr="00F835E4">
        <w:rPr>
          <w:rFonts w:ascii="Arial" w:hAnsi="Arial" w:cs="Arial"/>
          <w:color w:val="808080" w:themeColor="background1" w:themeShade="80"/>
          <w:sz w:val="22"/>
          <w:szCs w:val="22"/>
          <w:lang w:val="en-GB"/>
        </w:rPr>
        <w:t xml:space="preserve">. </w:t>
      </w:r>
      <w:r w:rsidR="009A41BE" w:rsidRPr="00F835E4">
        <w:rPr>
          <w:rFonts w:ascii="Arial" w:hAnsi="Arial" w:cs="Arial"/>
          <w:color w:val="808080" w:themeColor="background1" w:themeShade="80"/>
          <w:sz w:val="22"/>
          <w:szCs w:val="22"/>
          <w:lang w:val="en-GB"/>
        </w:rPr>
        <w:t>Liquidation is a collective insolvency procedure and the principle which underlines it is that the insolvent debtor’s available assets are to be distributed amongst the creditors fairly – if the insolvent debtor were to be able to determine for itself how it would apply its assets, this would be contrary to the basic principle of liquidation (and to the interests of the creditors as a whole).</w:t>
      </w:r>
      <w:r w:rsidR="001D5D9C" w:rsidRPr="00F835E4">
        <w:rPr>
          <w:rStyle w:val="FootnoteReference"/>
          <w:rFonts w:ascii="Arial" w:hAnsi="Arial" w:cs="Arial"/>
          <w:color w:val="808080" w:themeColor="background1" w:themeShade="80"/>
          <w:sz w:val="22"/>
          <w:szCs w:val="22"/>
          <w:lang w:val="en-GB"/>
        </w:rPr>
        <w:footnoteReference w:id="101"/>
      </w:r>
    </w:p>
    <w:p w14:paraId="19A3DF5C" w14:textId="77777777" w:rsidR="001D5D9C" w:rsidRPr="00F835E4" w:rsidRDefault="001D5D9C" w:rsidP="00F835E4">
      <w:pPr>
        <w:jc w:val="both"/>
        <w:rPr>
          <w:rFonts w:ascii="Arial" w:hAnsi="Arial" w:cs="Arial"/>
          <w:color w:val="808080" w:themeColor="background1" w:themeShade="80"/>
          <w:sz w:val="22"/>
          <w:szCs w:val="22"/>
          <w:lang w:val="en-GB"/>
        </w:rPr>
      </w:pPr>
    </w:p>
    <w:p w14:paraId="5252A089" w14:textId="53812945" w:rsidR="009B02D1" w:rsidRPr="00F835E4" w:rsidRDefault="009B02D1"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If the dominant intention of transaction was for another purpose (such as in good faith to pay an essential service provider of the company), the transaction might not be classified as a voidable transaction (even if the unintended consequence of the transaction was to prefer the creditor in question).</w:t>
      </w:r>
      <w:r w:rsidRPr="00F835E4">
        <w:rPr>
          <w:rStyle w:val="FootnoteReference"/>
          <w:rFonts w:ascii="Arial" w:hAnsi="Arial" w:cs="Arial"/>
          <w:color w:val="808080" w:themeColor="background1" w:themeShade="80"/>
          <w:sz w:val="22"/>
          <w:szCs w:val="22"/>
          <w:lang w:val="en-GB"/>
        </w:rPr>
        <w:footnoteReference w:id="102"/>
      </w:r>
    </w:p>
    <w:p w14:paraId="7A4C0B18" w14:textId="77777777" w:rsidR="009B02D1" w:rsidRPr="00F835E4" w:rsidRDefault="009B02D1" w:rsidP="00F835E4">
      <w:pPr>
        <w:jc w:val="both"/>
        <w:rPr>
          <w:rFonts w:ascii="Arial" w:hAnsi="Arial" w:cs="Arial"/>
          <w:color w:val="808080" w:themeColor="background1" w:themeShade="80"/>
          <w:sz w:val="22"/>
          <w:szCs w:val="22"/>
          <w:lang w:val="en-GB"/>
        </w:rPr>
      </w:pPr>
    </w:p>
    <w:p w14:paraId="697B8F15" w14:textId="2CB9F30B" w:rsidR="008A7322" w:rsidRPr="00F835E4" w:rsidRDefault="00160095"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 xml:space="preserve">The Privy Council </w:t>
      </w:r>
      <w:r w:rsidR="00F021F0" w:rsidRPr="00F835E4">
        <w:rPr>
          <w:rFonts w:ascii="Arial" w:hAnsi="Arial" w:cs="Arial"/>
          <w:color w:val="808080" w:themeColor="background1" w:themeShade="80"/>
          <w:sz w:val="22"/>
          <w:szCs w:val="22"/>
          <w:lang w:val="en-GB"/>
        </w:rPr>
        <w:t>case of</w:t>
      </w:r>
      <w:r w:rsidRPr="00F835E4">
        <w:rPr>
          <w:rFonts w:ascii="Arial" w:hAnsi="Arial" w:cs="Arial"/>
          <w:color w:val="808080" w:themeColor="background1" w:themeShade="80"/>
          <w:sz w:val="22"/>
          <w:szCs w:val="22"/>
          <w:lang w:val="en-GB"/>
        </w:rPr>
        <w:t xml:space="preserve"> </w:t>
      </w:r>
      <w:proofErr w:type="spellStart"/>
      <w:r w:rsidRPr="00F835E4">
        <w:rPr>
          <w:rFonts w:ascii="Arial" w:hAnsi="Arial" w:cs="Arial"/>
          <w:i/>
          <w:iCs/>
          <w:color w:val="808080" w:themeColor="background1" w:themeShade="80"/>
          <w:sz w:val="22"/>
          <w:szCs w:val="22"/>
          <w:lang w:val="en-GB"/>
        </w:rPr>
        <w:t>Skandinaviska</w:t>
      </w:r>
      <w:proofErr w:type="spellEnd"/>
      <w:r w:rsidRPr="00F835E4">
        <w:rPr>
          <w:rFonts w:ascii="Arial" w:hAnsi="Arial" w:cs="Arial"/>
          <w:i/>
          <w:iCs/>
          <w:color w:val="808080" w:themeColor="background1" w:themeShade="80"/>
          <w:sz w:val="22"/>
          <w:szCs w:val="22"/>
          <w:lang w:val="en-GB"/>
        </w:rPr>
        <w:t xml:space="preserve"> </w:t>
      </w:r>
      <w:proofErr w:type="spellStart"/>
      <w:r w:rsidRPr="00F835E4">
        <w:rPr>
          <w:rFonts w:ascii="Arial" w:hAnsi="Arial" w:cs="Arial"/>
          <w:i/>
          <w:iCs/>
          <w:color w:val="808080" w:themeColor="background1" w:themeShade="80"/>
          <w:sz w:val="22"/>
          <w:szCs w:val="22"/>
          <w:lang w:val="en-GB"/>
        </w:rPr>
        <w:t>Enskilda</w:t>
      </w:r>
      <w:proofErr w:type="spellEnd"/>
      <w:r w:rsidRPr="00F835E4">
        <w:rPr>
          <w:rFonts w:ascii="Arial" w:hAnsi="Arial" w:cs="Arial"/>
          <w:i/>
          <w:iCs/>
          <w:color w:val="808080" w:themeColor="background1" w:themeShade="80"/>
          <w:sz w:val="22"/>
          <w:szCs w:val="22"/>
          <w:lang w:val="en-GB"/>
        </w:rPr>
        <w:t xml:space="preserve"> Banken AB (</w:t>
      </w:r>
      <w:proofErr w:type="spellStart"/>
      <w:r w:rsidRPr="00F835E4">
        <w:rPr>
          <w:rFonts w:ascii="Arial" w:hAnsi="Arial" w:cs="Arial"/>
          <w:i/>
          <w:iCs/>
          <w:color w:val="808080" w:themeColor="background1" w:themeShade="80"/>
          <w:sz w:val="22"/>
          <w:szCs w:val="22"/>
          <w:lang w:val="en-GB"/>
        </w:rPr>
        <w:t>Publ</w:t>
      </w:r>
      <w:proofErr w:type="spellEnd"/>
      <w:r w:rsidRPr="00F835E4">
        <w:rPr>
          <w:rFonts w:ascii="Arial" w:hAnsi="Arial" w:cs="Arial"/>
          <w:i/>
          <w:iCs/>
          <w:color w:val="808080" w:themeColor="background1" w:themeShade="80"/>
          <w:sz w:val="22"/>
          <w:szCs w:val="22"/>
          <w:lang w:val="en-GB"/>
        </w:rPr>
        <w:t xml:space="preserve">) (Appellant) v Conway and another (as Joint Official Liquidators of </w:t>
      </w:r>
      <w:proofErr w:type="spellStart"/>
      <w:r w:rsidRPr="00F835E4">
        <w:rPr>
          <w:rFonts w:ascii="Arial" w:hAnsi="Arial" w:cs="Arial"/>
          <w:i/>
          <w:iCs/>
          <w:color w:val="808080" w:themeColor="background1" w:themeShade="80"/>
          <w:sz w:val="22"/>
          <w:szCs w:val="22"/>
          <w:lang w:val="en-GB"/>
        </w:rPr>
        <w:t>Weavering</w:t>
      </w:r>
      <w:proofErr w:type="spellEnd"/>
      <w:r w:rsidRPr="00F835E4">
        <w:rPr>
          <w:rFonts w:ascii="Arial" w:hAnsi="Arial" w:cs="Arial"/>
          <w:i/>
          <w:iCs/>
          <w:color w:val="808080" w:themeColor="background1" w:themeShade="80"/>
          <w:sz w:val="22"/>
          <w:szCs w:val="22"/>
          <w:lang w:val="en-GB"/>
        </w:rPr>
        <w:t xml:space="preserve"> Macro Fixed Income Fund Ltd) (Respondents) (Cayman Islands)</w:t>
      </w:r>
      <w:r w:rsidRPr="00F835E4">
        <w:rPr>
          <w:rStyle w:val="FootnoteReference"/>
          <w:rFonts w:ascii="Arial" w:hAnsi="Arial" w:cs="Arial"/>
          <w:i/>
          <w:iCs/>
          <w:color w:val="808080" w:themeColor="background1" w:themeShade="80"/>
          <w:sz w:val="22"/>
          <w:szCs w:val="22"/>
          <w:lang w:val="en-GB"/>
        </w:rPr>
        <w:footnoteReference w:id="103"/>
      </w:r>
      <w:r w:rsidRPr="00F835E4">
        <w:rPr>
          <w:rFonts w:ascii="Arial" w:hAnsi="Arial" w:cs="Arial"/>
          <w:color w:val="808080" w:themeColor="background1" w:themeShade="80"/>
          <w:sz w:val="22"/>
          <w:szCs w:val="22"/>
          <w:lang w:val="en-GB"/>
        </w:rPr>
        <w:t xml:space="preserve"> (“</w:t>
      </w:r>
      <w:proofErr w:type="spellStart"/>
      <w:r w:rsidRPr="00F835E4">
        <w:rPr>
          <w:rFonts w:ascii="Arial" w:hAnsi="Arial" w:cs="Arial"/>
          <w:b/>
          <w:bCs/>
          <w:i/>
          <w:iCs/>
          <w:color w:val="808080" w:themeColor="background1" w:themeShade="80"/>
          <w:sz w:val="22"/>
          <w:szCs w:val="22"/>
          <w:lang w:val="en-GB"/>
        </w:rPr>
        <w:t>Weavering</w:t>
      </w:r>
      <w:proofErr w:type="spellEnd"/>
      <w:r w:rsidRPr="00F835E4">
        <w:rPr>
          <w:rFonts w:ascii="Arial" w:hAnsi="Arial" w:cs="Arial"/>
          <w:color w:val="808080" w:themeColor="background1" w:themeShade="80"/>
          <w:sz w:val="22"/>
          <w:szCs w:val="22"/>
          <w:lang w:val="en-GB"/>
        </w:rPr>
        <w:t xml:space="preserve">”) </w:t>
      </w:r>
      <w:r w:rsidR="00F021F0" w:rsidRPr="00F835E4">
        <w:rPr>
          <w:rFonts w:ascii="Arial" w:hAnsi="Arial" w:cs="Arial"/>
          <w:color w:val="808080" w:themeColor="background1" w:themeShade="80"/>
          <w:sz w:val="22"/>
          <w:szCs w:val="22"/>
          <w:lang w:val="en-GB"/>
        </w:rPr>
        <w:t xml:space="preserve">considered voidable preferences under section 145(1). </w:t>
      </w:r>
      <w:proofErr w:type="spellStart"/>
      <w:r w:rsidR="00F021F0" w:rsidRPr="00F835E4">
        <w:rPr>
          <w:rFonts w:ascii="Arial" w:hAnsi="Arial" w:cs="Arial"/>
          <w:i/>
          <w:iCs/>
          <w:color w:val="808080" w:themeColor="background1" w:themeShade="80"/>
          <w:sz w:val="22"/>
          <w:szCs w:val="22"/>
          <w:lang w:val="en-GB"/>
        </w:rPr>
        <w:t>Weavering</w:t>
      </w:r>
      <w:proofErr w:type="spellEnd"/>
      <w:r w:rsidR="00F021F0" w:rsidRPr="00F835E4">
        <w:rPr>
          <w:rFonts w:ascii="Arial" w:hAnsi="Arial" w:cs="Arial"/>
          <w:color w:val="808080" w:themeColor="background1" w:themeShade="80"/>
          <w:sz w:val="22"/>
          <w:szCs w:val="22"/>
          <w:lang w:val="en-GB"/>
        </w:rPr>
        <w:t xml:space="preserve"> was an appeal from the Court of Appeal of the Cayman Islands concerning certain share redemption payments made by the company to the appellant bank. The central issue was whether the payments constituted unlawful preferences over the other creditors. The respondents were the liquidators who brought the proceedings in their capacity as joint official liquidators</w:t>
      </w:r>
      <w:r w:rsidR="00F021F0" w:rsidRPr="00F835E4">
        <w:rPr>
          <w:rStyle w:val="FootnoteReference"/>
          <w:rFonts w:ascii="Arial" w:hAnsi="Arial" w:cs="Arial"/>
          <w:color w:val="808080" w:themeColor="background1" w:themeShade="80"/>
          <w:sz w:val="22"/>
          <w:szCs w:val="22"/>
          <w:lang w:val="en-GB"/>
        </w:rPr>
        <w:footnoteReference w:id="104"/>
      </w:r>
      <w:r w:rsidR="00A8782C" w:rsidRPr="00F835E4">
        <w:rPr>
          <w:rFonts w:ascii="Arial" w:hAnsi="Arial" w:cs="Arial"/>
          <w:color w:val="808080" w:themeColor="background1" w:themeShade="80"/>
          <w:sz w:val="22"/>
          <w:szCs w:val="22"/>
          <w:lang w:val="en-GB"/>
        </w:rPr>
        <w:t>.</w:t>
      </w:r>
      <w:r w:rsidR="00F021F0" w:rsidRPr="00F835E4">
        <w:rPr>
          <w:rFonts w:ascii="Arial" w:hAnsi="Arial" w:cs="Arial"/>
          <w:color w:val="808080" w:themeColor="background1" w:themeShade="80"/>
          <w:sz w:val="22"/>
          <w:szCs w:val="22"/>
          <w:lang w:val="en-GB"/>
        </w:rPr>
        <w:t xml:space="preserve"> The Privy Council </w:t>
      </w:r>
      <w:r w:rsidR="00D83A13" w:rsidRPr="00F835E4">
        <w:rPr>
          <w:rFonts w:ascii="Arial" w:hAnsi="Arial" w:cs="Arial"/>
          <w:color w:val="808080" w:themeColor="background1" w:themeShade="80"/>
          <w:sz w:val="22"/>
          <w:szCs w:val="22"/>
          <w:lang w:val="en-GB"/>
        </w:rPr>
        <w:t>upheld the decisions of the lower courts that redemption payments made shortly before the collapse of the fund were voidable preferences which had to be repaid.</w:t>
      </w:r>
      <w:r w:rsidR="00D83A13" w:rsidRPr="00F835E4">
        <w:rPr>
          <w:rStyle w:val="FootnoteReference"/>
          <w:rFonts w:ascii="Arial" w:hAnsi="Arial" w:cs="Arial"/>
          <w:color w:val="808080" w:themeColor="background1" w:themeShade="80"/>
          <w:sz w:val="22"/>
          <w:szCs w:val="22"/>
          <w:lang w:val="en-GB"/>
        </w:rPr>
        <w:footnoteReference w:id="105"/>
      </w:r>
      <w:r w:rsidR="008A7322" w:rsidRPr="00F835E4">
        <w:rPr>
          <w:rFonts w:ascii="Arial" w:hAnsi="Arial" w:cs="Arial"/>
          <w:color w:val="808080" w:themeColor="background1" w:themeShade="80"/>
          <w:sz w:val="22"/>
          <w:szCs w:val="22"/>
          <w:lang w:val="en-GB"/>
        </w:rPr>
        <w:t xml:space="preserve"> It was held, </w:t>
      </w:r>
      <w:r w:rsidR="00CE5C07" w:rsidRPr="00F835E4">
        <w:rPr>
          <w:rFonts w:ascii="Arial" w:hAnsi="Arial" w:cs="Arial"/>
          <w:i/>
          <w:iCs/>
          <w:color w:val="808080" w:themeColor="background1" w:themeShade="80"/>
          <w:sz w:val="22"/>
          <w:szCs w:val="22"/>
          <w:lang w:val="en-GB"/>
        </w:rPr>
        <w:t>inter alia</w:t>
      </w:r>
      <w:r w:rsidR="00CE5C07" w:rsidRPr="00F835E4">
        <w:rPr>
          <w:rFonts w:ascii="Arial" w:hAnsi="Arial" w:cs="Arial"/>
          <w:color w:val="808080" w:themeColor="background1" w:themeShade="80"/>
          <w:sz w:val="22"/>
          <w:szCs w:val="22"/>
          <w:lang w:val="en-GB"/>
        </w:rPr>
        <w:t xml:space="preserve">, that </w:t>
      </w:r>
      <w:r w:rsidR="008A7322" w:rsidRPr="00F835E4">
        <w:rPr>
          <w:rFonts w:ascii="Arial" w:hAnsi="Arial" w:cs="Arial"/>
          <w:color w:val="808080" w:themeColor="background1" w:themeShade="80"/>
          <w:sz w:val="22"/>
          <w:szCs w:val="22"/>
          <w:lang w:val="en-GB"/>
        </w:rPr>
        <w:t>the restitution of the money to the assets available for the liquidators’ distribution amongst the company’s creditors was necessary for completing the process of undoing the unfair advantage which the bank obtained at their expense. The common law therefore imposed an obligation on the bank to repay the money, with a corresponding right to rank as a creditor for the amount owed to it (but only upon repayment)</w:t>
      </w:r>
      <w:r w:rsidR="008A7322" w:rsidRPr="00F835E4">
        <w:rPr>
          <w:rStyle w:val="FootnoteReference"/>
          <w:rFonts w:ascii="Arial" w:hAnsi="Arial" w:cs="Arial"/>
          <w:color w:val="808080" w:themeColor="background1" w:themeShade="80"/>
          <w:sz w:val="22"/>
          <w:szCs w:val="22"/>
          <w:lang w:val="en-GB"/>
        </w:rPr>
        <w:footnoteReference w:id="106"/>
      </w:r>
      <w:r w:rsidR="00CE5C07" w:rsidRPr="00F835E4">
        <w:rPr>
          <w:rFonts w:ascii="Arial" w:hAnsi="Arial" w:cs="Arial"/>
          <w:color w:val="808080" w:themeColor="background1" w:themeShade="80"/>
          <w:sz w:val="22"/>
          <w:szCs w:val="22"/>
          <w:lang w:val="en-GB"/>
        </w:rPr>
        <w:t>.</w:t>
      </w:r>
    </w:p>
    <w:p w14:paraId="5542C9C7" w14:textId="77777777" w:rsidR="008A7322" w:rsidRPr="00F835E4" w:rsidRDefault="008A7322" w:rsidP="00F835E4">
      <w:pPr>
        <w:jc w:val="both"/>
        <w:rPr>
          <w:rFonts w:ascii="Arial" w:hAnsi="Arial" w:cs="Arial"/>
          <w:color w:val="808080" w:themeColor="background1" w:themeShade="80"/>
          <w:sz w:val="22"/>
          <w:szCs w:val="22"/>
          <w:lang w:val="en-GB"/>
        </w:rPr>
      </w:pPr>
    </w:p>
    <w:p w14:paraId="1270687D" w14:textId="4319F16D" w:rsidR="00716FAF" w:rsidRPr="00F835E4" w:rsidRDefault="009B02D1"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A disposition which is set aside as a preference is voidable upon a liquidator’s application. The liquidator may ask the court to order the creditor in question to return the asset and to prove in the liquidation the amount claim</w:t>
      </w:r>
      <w:r w:rsidRPr="00F835E4">
        <w:rPr>
          <w:rStyle w:val="FootnoteReference"/>
          <w:rFonts w:ascii="Arial" w:hAnsi="Arial" w:cs="Arial"/>
          <w:color w:val="808080" w:themeColor="background1" w:themeShade="80"/>
          <w:sz w:val="22"/>
          <w:szCs w:val="22"/>
          <w:lang w:val="en-GB"/>
        </w:rPr>
        <w:footnoteReference w:id="107"/>
      </w:r>
      <w:r w:rsidRPr="00F835E4">
        <w:rPr>
          <w:rFonts w:ascii="Arial" w:hAnsi="Arial" w:cs="Arial"/>
          <w:color w:val="808080" w:themeColor="background1" w:themeShade="80"/>
          <w:sz w:val="22"/>
          <w:szCs w:val="22"/>
          <w:lang w:val="en-GB"/>
        </w:rPr>
        <w:t xml:space="preserve"> (</w:t>
      </w:r>
      <w:proofErr w:type="gramStart"/>
      <w:r w:rsidRPr="00F835E4">
        <w:rPr>
          <w:rFonts w:ascii="Arial" w:hAnsi="Arial" w:cs="Arial"/>
          <w:color w:val="808080" w:themeColor="background1" w:themeShade="80"/>
          <w:sz w:val="22"/>
          <w:szCs w:val="22"/>
          <w:lang w:val="en-GB"/>
        </w:rPr>
        <w:t>similar to</w:t>
      </w:r>
      <w:proofErr w:type="gramEnd"/>
      <w:r w:rsidRPr="00F835E4">
        <w:rPr>
          <w:rFonts w:ascii="Arial" w:hAnsi="Arial" w:cs="Arial"/>
          <w:color w:val="808080" w:themeColor="background1" w:themeShade="80"/>
          <w:sz w:val="22"/>
          <w:szCs w:val="22"/>
          <w:lang w:val="en-GB"/>
        </w:rPr>
        <w:t xml:space="preserve"> </w:t>
      </w:r>
      <w:proofErr w:type="spellStart"/>
      <w:r w:rsidRPr="00F835E4">
        <w:rPr>
          <w:rFonts w:ascii="Arial" w:hAnsi="Arial" w:cs="Arial"/>
          <w:i/>
          <w:iCs/>
          <w:color w:val="808080" w:themeColor="background1" w:themeShade="80"/>
          <w:sz w:val="22"/>
          <w:szCs w:val="22"/>
          <w:lang w:val="en-GB"/>
        </w:rPr>
        <w:t>Weavering</w:t>
      </w:r>
      <w:proofErr w:type="spellEnd"/>
      <w:r w:rsidRPr="00F835E4">
        <w:rPr>
          <w:rFonts w:ascii="Arial" w:hAnsi="Arial" w:cs="Arial"/>
          <w:color w:val="808080" w:themeColor="background1" w:themeShade="80"/>
          <w:sz w:val="22"/>
          <w:szCs w:val="22"/>
          <w:lang w:val="en-GB"/>
        </w:rPr>
        <w:t>).</w:t>
      </w:r>
    </w:p>
    <w:p w14:paraId="4452B74F" w14:textId="77777777" w:rsidR="00D54DE8" w:rsidRPr="00F835E4" w:rsidRDefault="00D54DE8" w:rsidP="00F835E4">
      <w:pPr>
        <w:jc w:val="both"/>
        <w:rPr>
          <w:rFonts w:ascii="Arial" w:hAnsi="Arial" w:cs="Arial"/>
          <w:color w:val="808080" w:themeColor="background1" w:themeShade="80"/>
          <w:sz w:val="22"/>
          <w:szCs w:val="22"/>
          <w:lang w:val="en-GB"/>
        </w:rPr>
      </w:pPr>
    </w:p>
    <w:p w14:paraId="5DAD85A4" w14:textId="49E97F4D" w:rsidR="00D54DE8" w:rsidRPr="00F835E4" w:rsidRDefault="00D54DE8"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As can be seen from above, section 145 is a provision in which payments that should not have been made by the director(s) can be “clawed back” during the liquidation process.</w:t>
      </w:r>
    </w:p>
    <w:p w14:paraId="0BB8B18F" w14:textId="4CB95B03" w:rsidR="00D83A13" w:rsidRPr="00F835E4" w:rsidRDefault="009B02D1" w:rsidP="00F835E4">
      <w:pPr>
        <w:jc w:val="both"/>
        <w:rPr>
          <w:rFonts w:ascii="Arial" w:hAnsi="Arial" w:cs="Arial"/>
          <w:color w:val="808080" w:themeColor="background1" w:themeShade="80"/>
          <w:sz w:val="22"/>
          <w:szCs w:val="22"/>
          <w:u w:val="single"/>
          <w:lang w:val="en-GB"/>
        </w:rPr>
      </w:pPr>
      <w:r w:rsidRPr="00F835E4">
        <w:rPr>
          <w:rFonts w:ascii="Arial" w:hAnsi="Arial" w:cs="Arial"/>
          <w:color w:val="808080" w:themeColor="background1" w:themeShade="80"/>
          <w:sz w:val="22"/>
          <w:szCs w:val="22"/>
          <w:u w:val="single"/>
          <w:lang w:val="en-GB"/>
        </w:rPr>
        <w:lastRenderedPageBreak/>
        <w:t>Section 146 - Avoidance of dispositions made at an undervalue</w:t>
      </w:r>
    </w:p>
    <w:p w14:paraId="65C7A118" w14:textId="6B5BEF8E" w:rsidR="005952E1" w:rsidRPr="00F835E4" w:rsidRDefault="005952E1"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Section 146(2) states that every disposition of property that is made at an undervalue by or on behalf of the company which is intended to defraud creditors shall be voidable at the instance of the official liquidator.</w:t>
      </w:r>
      <w:r w:rsidRPr="00F835E4">
        <w:rPr>
          <w:rStyle w:val="FootnoteReference"/>
          <w:rFonts w:ascii="Arial" w:hAnsi="Arial" w:cs="Arial"/>
          <w:color w:val="808080" w:themeColor="background1" w:themeShade="80"/>
          <w:sz w:val="22"/>
          <w:szCs w:val="22"/>
          <w:lang w:val="en-GB"/>
        </w:rPr>
        <w:footnoteReference w:id="108"/>
      </w:r>
      <w:r w:rsidRPr="00F835E4">
        <w:rPr>
          <w:rFonts w:ascii="Arial" w:hAnsi="Arial" w:cs="Arial"/>
          <w:color w:val="808080" w:themeColor="background1" w:themeShade="80"/>
          <w:sz w:val="22"/>
          <w:szCs w:val="22"/>
          <w:lang w:val="en-GB"/>
        </w:rPr>
        <w:t xml:space="preserve"> “Undervalue” is defined in section 146(1)(e)</w:t>
      </w:r>
      <w:r w:rsidR="00CB2322" w:rsidRPr="00F835E4">
        <w:rPr>
          <w:rFonts w:ascii="Arial" w:hAnsi="Arial" w:cs="Arial"/>
          <w:color w:val="808080" w:themeColor="background1" w:themeShade="80"/>
          <w:sz w:val="22"/>
          <w:szCs w:val="22"/>
          <w:lang w:val="en-GB"/>
        </w:rPr>
        <w:t xml:space="preserve"> as the provision of no consideration for the disposition or a consideration in money or monies worth</w:t>
      </w:r>
      <w:r w:rsidR="00B92535" w:rsidRPr="00F835E4">
        <w:rPr>
          <w:rFonts w:ascii="Arial" w:hAnsi="Arial" w:cs="Arial"/>
          <w:color w:val="808080" w:themeColor="background1" w:themeShade="80"/>
          <w:sz w:val="22"/>
          <w:szCs w:val="22"/>
          <w:lang w:val="en-GB"/>
        </w:rPr>
        <w:t xml:space="preserve"> which</w:t>
      </w:r>
      <w:r w:rsidR="00CB2322" w:rsidRPr="00F835E4">
        <w:rPr>
          <w:rFonts w:ascii="Arial" w:hAnsi="Arial" w:cs="Arial"/>
          <w:color w:val="808080" w:themeColor="background1" w:themeShade="80"/>
          <w:sz w:val="22"/>
          <w:szCs w:val="22"/>
          <w:lang w:val="en-GB"/>
        </w:rPr>
        <w:t xml:space="preserve"> is </w:t>
      </w:r>
      <w:r w:rsidRPr="00F835E4">
        <w:rPr>
          <w:rFonts w:ascii="Arial" w:hAnsi="Arial" w:cs="Arial"/>
          <w:color w:val="808080" w:themeColor="background1" w:themeShade="80"/>
          <w:sz w:val="22"/>
          <w:szCs w:val="22"/>
          <w:lang w:val="en-GB"/>
        </w:rPr>
        <w:t xml:space="preserve">significantly less than the value of the property </w:t>
      </w:r>
      <w:r w:rsidR="00CB2322" w:rsidRPr="00F835E4">
        <w:rPr>
          <w:rFonts w:ascii="Arial" w:hAnsi="Arial" w:cs="Arial"/>
          <w:color w:val="808080" w:themeColor="background1" w:themeShade="80"/>
          <w:sz w:val="22"/>
          <w:szCs w:val="22"/>
          <w:lang w:val="en-GB"/>
        </w:rPr>
        <w:t>that is</w:t>
      </w:r>
      <w:r w:rsidRPr="00F835E4">
        <w:rPr>
          <w:rFonts w:ascii="Arial" w:hAnsi="Arial" w:cs="Arial"/>
          <w:color w:val="808080" w:themeColor="background1" w:themeShade="80"/>
          <w:sz w:val="22"/>
          <w:szCs w:val="22"/>
          <w:lang w:val="en-GB"/>
        </w:rPr>
        <w:t xml:space="preserve"> subject </w:t>
      </w:r>
      <w:r w:rsidR="00CB2322" w:rsidRPr="00F835E4">
        <w:rPr>
          <w:rFonts w:ascii="Arial" w:hAnsi="Arial" w:cs="Arial"/>
          <w:color w:val="808080" w:themeColor="background1" w:themeShade="80"/>
          <w:sz w:val="22"/>
          <w:szCs w:val="22"/>
          <w:lang w:val="en-GB"/>
        </w:rPr>
        <w:t xml:space="preserve">to the </w:t>
      </w:r>
      <w:r w:rsidRPr="00F835E4">
        <w:rPr>
          <w:rFonts w:ascii="Arial" w:hAnsi="Arial" w:cs="Arial"/>
          <w:color w:val="808080" w:themeColor="background1" w:themeShade="80"/>
          <w:sz w:val="22"/>
          <w:szCs w:val="22"/>
          <w:lang w:val="en-GB"/>
        </w:rPr>
        <w:t>disposition</w:t>
      </w:r>
      <w:r w:rsidR="00CB2322" w:rsidRPr="00F835E4">
        <w:rPr>
          <w:rStyle w:val="FootnoteReference"/>
          <w:rFonts w:ascii="Arial" w:hAnsi="Arial" w:cs="Arial"/>
          <w:color w:val="808080" w:themeColor="background1" w:themeShade="80"/>
          <w:sz w:val="22"/>
          <w:szCs w:val="22"/>
          <w:lang w:val="en-GB"/>
        </w:rPr>
        <w:footnoteReference w:id="109"/>
      </w:r>
      <w:r w:rsidRPr="00F835E4">
        <w:rPr>
          <w:rFonts w:ascii="Arial" w:hAnsi="Arial" w:cs="Arial"/>
          <w:color w:val="808080" w:themeColor="background1" w:themeShade="80"/>
          <w:sz w:val="22"/>
          <w:szCs w:val="22"/>
          <w:lang w:val="en-GB"/>
        </w:rPr>
        <w:t>.</w:t>
      </w:r>
    </w:p>
    <w:p w14:paraId="0D5F6D14" w14:textId="77777777" w:rsidR="00D54DE8" w:rsidRPr="00F835E4" w:rsidRDefault="00D54DE8" w:rsidP="00F835E4">
      <w:pPr>
        <w:jc w:val="both"/>
        <w:rPr>
          <w:rFonts w:ascii="Arial" w:hAnsi="Arial" w:cs="Arial"/>
          <w:color w:val="808080" w:themeColor="background1" w:themeShade="80"/>
          <w:sz w:val="22"/>
          <w:szCs w:val="22"/>
          <w:lang w:val="en-GB"/>
        </w:rPr>
      </w:pPr>
    </w:p>
    <w:p w14:paraId="7F841035" w14:textId="515C324C" w:rsidR="005952E1" w:rsidRPr="00F835E4" w:rsidRDefault="005952E1"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The official liquidator has the burden of establishing the intention to defraud creditors.</w:t>
      </w:r>
      <w:r w:rsidRPr="00F835E4">
        <w:rPr>
          <w:rStyle w:val="FootnoteReference"/>
          <w:rFonts w:ascii="Arial" w:hAnsi="Arial" w:cs="Arial"/>
          <w:color w:val="808080" w:themeColor="background1" w:themeShade="80"/>
          <w:sz w:val="22"/>
          <w:szCs w:val="22"/>
          <w:lang w:val="en-GB"/>
        </w:rPr>
        <w:footnoteReference w:id="110"/>
      </w:r>
      <w:r w:rsidRPr="00F835E4">
        <w:rPr>
          <w:rFonts w:ascii="Arial" w:hAnsi="Arial" w:cs="Arial"/>
          <w:color w:val="808080" w:themeColor="background1" w:themeShade="80"/>
          <w:sz w:val="22"/>
          <w:szCs w:val="22"/>
          <w:lang w:val="en-GB"/>
        </w:rPr>
        <w:t xml:space="preserve"> </w:t>
      </w:r>
      <w:r w:rsidR="00D54DE8" w:rsidRPr="00F835E4">
        <w:rPr>
          <w:rFonts w:ascii="Arial" w:hAnsi="Arial" w:cs="Arial"/>
          <w:color w:val="808080" w:themeColor="background1" w:themeShade="80"/>
          <w:sz w:val="22"/>
          <w:szCs w:val="22"/>
          <w:lang w:val="en-GB"/>
        </w:rPr>
        <w:t>Section 146 is therefore another option that the official liquidator potentially has in undoing any transactions that should not have been made. A</w:t>
      </w:r>
      <w:r w:rsidRPr="00F835E4">
        <w:rPr>
          <w:rFonts w:ascii="Arial" w:hAnsi="Arial" w:cs="Arial"/>
          <w:color w:val="808080" w:themeColor="background1" w:themeShade="80"/>
          <w:sz w:val="22"/>
          <w:szCs w:val="22"/>
          <w:lang w:val="en-GB"/>
        </w:rPr>
        <w:t>n application seeking to have the disposition set aside must be made within 6 years of the date of the relevant disposition</w:t>
      </w:r>
      <w:r w:rsidRPr="00F835E4">
        <w:rPr>
          <w:rStyle w:val="FootnoteReference"/>
          <w:rFonts w:ascii="Arial" w:hAnsi="Arial" w:cs="Arial"/>
          <w:color w:val="808080" w:themeColor="background1" w:themeShade="80"/>
          <w:sz w:val="22"/>
          <w:szCs w:val="22"/>
          <w:lang w:val="en-GB"/>
        </w:rPr>
        <w:footnoteReference w:id="111"/>
      </w:r>
      <w:r w:rsidRPr="00F835E4">
        <w:rPr>
          <w:rFonts w:ascii="Arial" w:hAnsi="Arial" w:cs="Arial"/>
          <w:color w:val="808080" w:themeColor="background1" w:themeShade="80"/>
          <w:sz w:val="22"/>
          <w:szCs w:val="22"/>
          <w:lang w:val="en-GB"/>
        </w:rPr>
        <w:t>.</w:t>
      </w:r>
    </w:p>
    <w:p w14:paraId="1D25AA10" w14:textId="77777777" w:rsidR="005952E1" w:rsidRPr="00F835E4" w:rsidRDefault="005952E1" w:rsidP="00F835E4">
      <w:pPr>
        <w:jc w:val="both"/>
        <w:rPr>
          <w:rFonts w:ascii="Arial" w:hAnsi="Arial" w:cs="Arial"/>
          <w:color w:val="808080" w:themeColor="background1" w:themeShade="80"/>
          <w:sz w:val="22"/>
          <w:szCs w:val="22"/>
          <w:lang w:val="en-GB"/>
        </w:rPr>
      </w:pPr>
    </w:p>
    <w:p w14:paraId="33B2EFF4" w14:textId="41E23104" w:rsidR="00CB2322" w:rsidRPr="00F835E4" w:rsidRDefault="002A15D9"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It should be noted that s</w:t>
      </w:r>
      <w:r w:rsidR="00CB2322" w:rsidRPr="00F835E4">
        <w:rPr>
          <w:rFonts w:ascii="Arial" w:hAnsi="Arial" w:cs="Arial"/>
          <w:color w:val="808080" w:themeColor="background1" w:themeShade="80"/>
          <w:sz w:val="22"/>
          <w:szCs w:val="22"/>
          <w:lang w:val="en-GB"/>
        </w:rPr>
        <w:t>ection 146(5) does however offer a transferee protection (protection that is not available in section 238 of the English Insolvency Act 1986</w:t>
      </w:r>
      <w:r w:rsidR="001561E9" w:rsidRPr="00F835E4">
        <w:rPr>
          <w:rFonts w:ascii="Arial" w:hAnsi="Arial" w:cs="Arial"/>
          <w:color w:val="808080" w:themeColor="background1" w:themeShade="80"/>
          <w:sz w:val="22"/>
          <w:szCs w:val="22"/>
          <w:lang w:val="en-GB"/>
        </w:rPr>
        <w:t>, the English equivalent</w:t>
      </w:r>
      <w:r w:rsidR="00CB2322" w:rsidRPr="00F835E4">
        <w:rPr>
          <w:rFonts w:ascii="Arial" w:hAnsi="Arial" w:cs="Arial"/>
          <w:color w:val="808080" w:themeColor="background1" w:themeShade="80"/>
          <w:sz w:val="22"/>
          <w:szCs w:val="22"/>
          <w:lang w:val="en-GB"/>
        </w:rPr>
        <w:t>). If a disposition is set aside on the grounds of being made at undervalue</w:t>
      </w:r>
      <w:r w:rsidR="001561E9" w:rsidRPr="00F835E4">
        <w:rPr>
          <w:rFonts w:ascii="Arial" w:hAnsi="Arial" w:cs="Arial"/>
          <w:color w:val="808080" w:themeColor="background1" w:themeShade="80"/>
          <w:sz w:val="22"/>
          <w:szCs w:val="22"/>
          <w:lang w:val="en-GB"/>
        </w:rPr>
        <w:t xml:space="preserve"> and</w:t>
      </w:r>
      <w:r w:rsidR="00CB2322" w:rsidRPr="00F835E4">
        <w:rPr>
          <w:rFonts w:ascii="Arial" w:hAnsi="Arial" w:cs="Arial"/>
          <w:color w:val="808080" w:themeColor="background1" w:themeShade="80"/>
          <w:sz w:val="22"/>
          <w:szCs w:val="22"/>
          <w:lang w:val="en-GB"/>
        </w:rPr>
        <w:t xml:space="preserve"> the Court is satisfied that the transferee has not acted in bad </w:t>
      </w:r>
      <w:proofErr w:type="gramStart"/>
      <w:r w:rsidR="00CB2322" w:rsidRPr="00F835E4">
        <w:rPr>
          <w:rFonts w:ascii="Arial" w:hAnsi="Arial" w:cs="Arial"/>
          <w:color w:val="808080" w:themeColor="background1" w:themeShade="80"/>
          <w:sz w:val="22"/>
          <w:szCs w:val="22"/>
          <w:lang w:val="en-GB"/>
        </w:rPr>
        <w:t>faith</w:t>
      </w:r>
      <w:proofErr w:type="gramEnd"/>
      <w:r w:rsidR="00CB2322" w:rsidRPr="00F835E4">
        <w:rPr>
          <w:rFonts w:ascii="Arial" w:hAnsi="Arial" w:cs="Arial"/>
          <w:color w:val="808080" w:themeColor="background1" w:themeShade="80"/>
          <w:sz w:val="22"/>
          <w:szCs w:val="22"/>
          <w:lang w:val="en-GB"/>
        </w:rPr>
        <w:t xml:space="preserve"> then:</w:t>
      </w:r>
    </w:p>
    <w:p w14:paraId="0623FC1E" w14:textId="218C93CA" w:rsidR="009A41BE" w:rsidRPr="00F835E4" w:rsidRDefault="001561E9" w:rsidP="00F835E4">
      <w:pPr>
        <w:pStyle w:val="ListParagraph"/>
        <w:numPr>
          <w:ilvl w:val="0"/>
          <w:numId w:val="28"/>
        </w:num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w:t>
      </w:r>
      <w:proofErr w:type="gramStart"/>
      <w:r w:rsidR="009A41BE" w:rsidRPr="00F835E4">
        <w:rPr>
          <w:rFonts w:ascii="Arial" w:hAnsi="Arial" w:cs="Arial"/>
          <w:i/>
          <w:iCs/>
          <w:color w:val="808080" w:themeColor="background1" w:themeShade="80"/>
          <w:sz w:val="22"/>
          <w:szCs w:val="22"/>
          <w:lang w:val="en-GB"/>
        </w:rPr>
        <w:t>the</w:t>
      </w:r>
      <w:proofErr w:type="gramEnd"/>
      <w:r w:rsidR="009A41BE" w:rsidRPr="00F835E4">
        <w:rPr>
          <w:rFonts w:ascii="Arial" w:hAnsi="Arial" w:cs="Arial"/>
          <w:i/>
          <w:iCs/>
          <w:color w:val="808080" w:themeColor="background1" w:themeShade="80"/>
          <w:sz w:val="22"/>
          <w:szCs w:val="22"/>
          <w:lang w:val="en-GB"/>
        </w:rPr>
        <w:t xml:space="preserve"> transferee shall have a first and paramount charge over the property, the subject of</w:t>
      </w:r>
      <w:r w:rsidRPr="00F835E4">
        <w:rPr>
          <w:rFonts w:ascii="Arial" w:hAnsi="Arial" w:cs="Arial"/>
          <w:i/>
          <w:iCs/>
          <w:color w:val="808080" w:themeColor="background1" w:themeShade="80"/>
          <w:sz w:val="22"/>
          <w:szCs w:val="22"/>
          <w:lang w:val="en-GB"/>
        </w:rPr>
        <w:t xml:space="preserve"> </w:t>
      </w:r>
      <w:r w:rsidR="009A41BE" w:rsidRPr="00F835E4">
        <w:rPr>
          <w:rFonts w:ascii="Arial" w:hAnsi="Arial" w:cs="Arial"/>
          <w:i/>
          <w:iCs/>
          <w:color w:val="808080" w:themeColor="background1" w:themeShade="80"/>
          <w:sz w:val="22"/>
          <w:szCs w:val="22"/>
          <w:lang w:val="en-GB"/>
        </w:rPr>
        <w:t>the disposition, of an amount equal to the entire costs properly incurred by the transferee</w:t>
      </w:r>
      <w:r w:rsidRPr="00F835E4">
        <w:rPr>
          <w:rFonts w:ascii="Arial" w:hAnsi="Arial" w:cs="Arial"/>
          <w:i/>
          <w:iCs/>
          <w:color w:val="808080" w:themeColor="background1" w:themeShade="80"/>
          <w:sz w:val="22"/>
          <w:szCs w:val="22"/>
          <w:lang w:val="en-GB"/>
        </w:rPr>
        <w:t xml:space="preserve"> </w:t>
      </w:r>
      <w:r w:rsidR="009A41BE" w:rsidRPr="00F835E4">
        <w:rPr>
          <w:rFonts w:ascii="Arial" w:hAnsi="Arial" w:cs="Arial"/>
          <w:i/>
          <w:iCs/>
          <w:color w:val="808080" w:themeColor="background1" w:themeShade="80"/>
          <w:sz w:val="22"/>
          <w:szCs w:val="22"/>
          <w:lang w:val="en-GB"/>
        </w:rPr>
        <w:t>in the defence of the action or proceedings</w:t>
      </w:r>
      <w:r w:rsidRPr="00F835E4">
        <w:rPr>
          <w:rFonts w:ascii="Arial" w:hAnsi="Arial" w:cs="Arial"/>
          <w:color w:val="808080" w:themeColor="background1" w:themeShade="80"/>
          <w:sz w:val="22"/>
          <w:szCs w:val="22"/>
          <w:lang w:val="en-GB"/>
        </w:rPr>
        <w:t>”</w:t>
      </w:r>
      <w:r w:rsidRPr="00F835E4">
        <w:rPr>
          <w:rStyle w:val="FootnoteReference"/>
          <w:rFonts w:ascii="Arial" w:hAnsi="Arial" w:cs="Arial"/>
          <w:color w:val="808080" w:themeColor="background1" w:themeShade="80"/>
          <w:sz w:val="22"/>
          <w:szCs w:val="22"/>
          <w:lang w:val="en-GB"/>
        </w:rPr>
        <w:footnoteReference w:id="112"/>
      </w:r>
      <w:r w:rsidR="009A41BE" w:rsidRPr="00F835E4">
        <w:rPr>
          <w:rFonts w:ascii="Arial" w:hAnsi="Arial" w:cs="Arial"/>
          <w:color w:val="808080" w:themeColor="background1" w:themeShade="80"/>
          <w:sz w:val="22"/>
          <w:szCs w:val="22"/>
          <w:lang w:val="en-GB"/>
        </w:rPr>
        <w:t>; and</w:t>
      </w:r>
    </w:p>
    <w:p w14:paraId="57851D73" w14:textId="70E30741" w:rsidR="009A41BE" w:rsidRPr="00F835E4" w:rsidRDefault="001561E9" w:rsidP="00F835E4">
      <w:pPr>
        <w:pStyle w:val="ListParagraph"/>
        <w:numPr>
          <w:ilvl w:val="0"/>
          <w:numId w:val="28"/>
        </w:num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w:t>
      </w:r>
      <w:proofErr w:type="gramStart"/>
      <w:r w:rsidR="009A41BE" w:rsidRPr="00F835E4">
        <w:rPr>
          <w:rFonts w:ascii="Arial" w:hAnsi="Arial" w:cs="Arial"/>
          <w:i/>
          <w:iCs/>
          <w:color w:val="808080" w:themeColor="background1" w:themeShade="80"/>
          <w:sz w:val="22"/>
          <w:szCs w:val="22"/>
          <w:lang w:val="en-GB"/>
        </w:rPr>
        <w:t>the</w:t>
      </w:r>
      <w:proofErr w:type="gramEnd"/>
      <w:r w:rsidR="009A41BE" w:rsidRPr="00F835E4">
        <w:rPr>
          <w:rFonts w:ascii="Arial" w:hAnsi="Arial" w:cs="Arial"/>
          <w:i/>
          <w:iCs/>
          <w:color w:val="808080" w:themeColor="background1" w:themeShade="80"/>
          <w:sz w:val="22"/>
          <w:szCs w:val="22"/>
          <w:lang w:val="en-GB"/>
        </w:rPr>
        <w:t xml:space="preserve"> relevant disposition shall be set aside subject to the proper fees, costs, pre-existing</w:t>
      </w:r>
      <w:r w:rsidRPr="00F835E4">
        <w:rPr>
          <w:rFonts w:ascii="Arial" w:hAnsi="Arial" w:cs="Arial"/>
          <w:i/>
          <w:iCs/>
          <w:color w:val="808080" w:themeColor="background1" w:themeShade="80"/>
          <w:sz w:val="22"/>
          <w:szCs w:val="22"/>
          <w:lang w:val="en-GB"/>
        </w:rPr>
        <w:t xml:space="preserve"> </w:t>
      </w:r>
      <w:r w:rsidR="009A41BE" w:rsidRPr="00F835E4">
        <w:rPr>
          <w:rFonts w:ascii="Arial" w:hAnsi="Arial" w:cs="Arial"/>
          <w:i/>
          <w:iCs/>
          <w:color w:val="808080" w:themeColor="background1" w:themeShade="80"/>
          <w:sz w:val="22"/>
          <w:szCs w:val="22"/>
          <w:lang w:val="en-GB"/>
        </w:rPr>
        <w:t>rights, claims and interests of the transferee (and of any predecessor transferee who has</w:t>
      </w:r>
      <w:r w:rsidRPr="00F835E4">
        <w:rPr>
          <w:rFonts w:ascii="Arial" w:hAnsi="Arial" w:cs="Arial"/>
          <w:i/>
          <w:iCs/>
          <w:color w:val="808080" w:themeColor="background1" w:themeShade="80"/>
          <w:sz w:val="22"/>
          <w:szCs w:val="22"/>
          <w:lang w:val="en-GB"/>
        </w:rPr>
        <w:t xml:space="preserve"> </w:t>
      </w:r>
      <w:r w:rsidR="009A41BE" w:rsidRPr="00F835E4">
        <w:rPr>
          <w:rFonts w:ascii="Arial" w:hAnsi="Arial" w:cs="Arial"/>
          <w:i/>
          <w:iCs/>
          <w:color w:val="808080" w:themeColor="background1" w:themeShade="80"/>
          <w:sz w:val="22"/>
          <w:szCs w:val="22"/>
          <w:lang w:val="en-GB"/>
        </w:rPr>
        <w:t>not acted in bad faith)</w:t>
      </w:r>
      <w:r w:rsidR="009A41BE" w:rsidRPr="00F835E4">
        <w:rPr>
          <w:rFonts w:ascii="Arial" w:hAnsi="Arial" w:cs="Arial"/>
          <w:color w:val="808080" w:themeColor="background1" w:themeShade="80"/>
          <w:sz w:val="22"/>
          <w:szCs w:val="22"/>
          <w:lang w:val="en-GB"/>
        </w:rPr>
        <w:t>.</w:t>
      </w:r>
      <w:r w:rsidR="005565DB" w:rsidRPr="00F835E4">
        <w:rPr>
          <w:rFonts w:ascii="Arial" w:hAnsi="Arial" w:cs="Arial"/>
          <w:color w:val="808080" w:themeColor="background1" w:themeShade="80"/>
          <w:sz w:val="22"/>
          <w:szCs w:val="22"/>
          <w:lang w:val="en-GB"/>
        </w:rPr>
        <w:t>”</w:t>
      </w:r>
      <w:r w:rsidRPr="00F835E4">
        <w:rPr>
          <w:rStyle w:val="FootnoteReference"/>
          <w:rFonts w:ascii="Arial" w:hAnsi="Arial" w:cs="Arial"/>
          <w:color w:val="808080" w:themeColor="background1" w:themeShade="80"/>
          <w:sz w:val="22"/>
          <w:szCs w:val="22"/>
          <w:lang w:val="en-GB"/>
        </w:rPr>
        <w:footnoteReference w:id="113"/>
      </w:r>
    </w:p>
    <w:p w14:paraId="1841494C" w14:textId="77777777" w:rsidR="001561E9" w:rsidRPr="00F835E4" w:rsidRDefault="001561E9" w:rsidP="00F835E4">
      <w:pPr>
        <w:jc w:val="both"/>
        <w:rPr>
          <w:rFonts w:ascii="Arial" w:hAnsi="Arial" w:cs="Arial"/>
          <w:color w:val="808080" w:themeColor="background1" w:themeShade="80"/>
          <w:sz w:val="22"/>
          <w:szCs w:val="22"/>
          <w:lang w:val="en-GB"/>
        </w:rPr>
      </w:pPr>
    </w:p>
    <w:p w14:paraId="54D66742" w14:textId="2623D085" w:rsidR="001561E9" w:rsidRPr="00F835E4" w:rsidRDefault="001561E9"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The disposition at undervalue would be unwound, but the transferee will benefit from a form of indemnification in respect of its “properly incurred” costs.</w:t>
      </w:r>
      <w:r w:rsidRPr="00F835E4">
        <w:rPr>
          <w:rStyle w:val="FootnoteReference"/>
          <w:rFonts w:ascii="Arial" w:hAnsi="Arial" w:cs="Arial"/>
          <w:color w:val="808080" w:themeColor="background1" w:themeShade="80"/>
          <w:sz w:val="22"/>
          <w:szCs w:val="22"/>
          <w:lang w:val="en-GB"/>
        </w:rPr>
        <w:footnoteReference w:id="114"/>
      </w:r>
    </w:p>
    <w:p w14:paraId="455D2F6C" w14:textId="77777777" w:rsidR="00566A62" w:rsidRPr="00F835E4" w:rsidRDefault="00566A62" w:rsidP="00F835E4">
      <w:pPr>
        <w:jc w:val="both"/>
        <w:rPr>
          <w:rFonts w:ascii="Arial" w:hAnsi="Arial" w:cs="Arial"/>
          <w:b/>
          <w:bCs/>
          <w:color w:val="808080" w:themeColor="background1" w:themeShade="80"/>
          <w:sz w:val="22"/>
          <w:szCs w:val="22"/>
          <w:u w:val="single"/>
          <w:lang w:val="en-GB"/>
        </w:rPr>
      </w:pPr>
    </w:p>
    <w:p w14:paraId="22F12B49" w14:textId="77777777" w:rsidR="00566A62" w:rsidRPr="00F835E4" w:rsidRDefault="00566A62" w:rsidP="00F835E4">
      <w:pPr>
        <w:jc w:val="both"/>
        <w:rPr>
          <w:rFonts w:ascii="Arial" w:hAnsi="Arial" w:cs="Arial"/>
          <w:color w:val="808080" w:themeColor="background1" w:themeShade="80"/>
          <w:sz w:val="22"/>
          <w:szCs w:val="22"/>
          <w:u w:val="single"/>
          <w:lang w:val="en-GB"/>
        </w:rPr>
      </w:pPr>
      <w:r w:rsidRPr="00F835E4">
        <w:rPr>
          <w:rFonts w:ascii="Arial" w:hAnsi="Arial" w:cs="Arial"/>
          <w:color w:val="808080" w:themeColor="background1" w:themeShade="80"/>
          <w:sz w:val="22"/>
          <w:szCs w:val="22"/>
          <w:u w:val="single"/>
          <w:lang w:val="en-GB"/>
        </w:rPr>
        <w:t>Section 147 – Fraudulent trading</w:t>
      </w:r>
    </w:p>
    <w:p w14:paraId="19165C53" w14:textId="77777777" w:rsidR="00566A62" w:rsidRPr="00F835E4" w:rsidRDefault="00566A62"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 xml:space="preserve">A liquidator can pursue former directors and officers of a company for fraudulent trading. If, </w:t>
      </w:r>
      <w:proofErr w:type="gramStart"/>
      <w:r w:rsidRPr="00F835E4">
        <w:rPr>
          <w:rFonts w:ascii="Arial" w:hAnsi="Arial" w:cs="Arial"/>
          <w:color w:val="808080" w:themeColor="background1" w:themeShade="80"/>
          <w:sz w:val="22"/>
          <w:szCs w:val="22"/>
          <w:lang w:val="en-GB"/>
        </w:rPr>
        <w:t>in the course of</w:t>
      </w:r>
      <w:proofErr w:type="gramEnd"/>
      <w:r w:rsidRPr="00F835E4">
        <w:rPr>
          <w:rFonts w:ascii="Arial" w:hAnsi="Arial" w:cs="Arial"/>
          <w:color w:val="808080" w:themeColor="background1" w:themeShade="80"/>
          <w:sz w:val="22"/>
          <w:szCs w:val="22"/>
          <w:lang w:val="en-GB"/>
        </w:rPr>
        <w:t xml:space="preserve"> the company’s winding up it appears that any of the company’s business was carried out with the intention to defraud creditors or for any fraudulent purpose, the liquidator may apply to the Court for a declaration</w:t>
      </w:r>
      <w:r w:rsidRPr="00F835E4">
        <w:rPr>
          <w:rStyle w:val="FootnoteReference"/>
          <w:rFonts w:ascii="Arial" w:hAnsi="Arial" w:cs="Arial"/>
          <w:color w:val="808080" w:themeColor="background1" w:themeShade="80"/>
          <w:sz w:val="22"/>
          <w:szCs w:val="22"/>
          <w:lang w:val="en-GB"/>
        </w:rPr>
        <w:footnoteReference w:id="115"/>
      </w:r>
      <w:r w:rsidRPr="00F835E4">
        <w:rPr>
          <w:rFonts w:ascii="Arial" w:hAnsi="Arial" w:cs="Arial"/>
          <w:color w:val="808080" w:themeColor="background1" w:themeShade="80"/>
          <w:sz w:val="22"/>
          <w:szCs w:val="22"/>
          <w:lang w:val="en-GB"/>
        </w:rPr>
        <w:t xml:space="preserve"> under section 147(1). Any person who was knowingly a party to the carrying on of the business in such manner are liable to make such contributions (if any) to the company’s assets as the Court thinks proper.</w:t>
      </w:r>
      <w:r w:rsidRPr="00F835E4">
        <w:rPr>
          <w:rStyle w:val="FootnoteReference"/>
          <w:rFonts w:ascii="Arial" w:hAnsi="Arial" w:cs="Arial"/>
          <w:color w:val="808080" w:themeColor="background1" w:themeShade="80"/>
          <w:sz w:val="22"/>
          <w:szCs w:val="22"/>
          <w:lang w:val="en-GB"/>
        </w:rPr>
        <w:footnoteReference w:id="116"/>
      </w:r>
    </w:p>
    <w:p w14:paraId="09E0969A" w14:textId="77777777" w:rsidR="00566A62" w:rsidRPr="00F835E4" w:rsidRDefault="00566A62" w:rsidP="00F835E4">
      <w:pPr>
        <w:jc w:val="both"/>
        <w:rPr>
          <w:rFonts w:ascii="Arial" w:hAnsi="Arial" w:cs="Arial"/>
          <w:color w:val="808080" w:themeColor="background1" w:themeShade="80"/>
          <w:sz w:val="22"/>
          <w:szCs w:val="22"/>
          <w:lang w:val="en-GB"/>
        </w:rPr>
      </w:pPr>
    </w:p>
    <w:p w14:paraId="07FE3923" w14:textId="77777777" w:rsidR="00566A62" w:rsidRPr="00F835E4" w:rsidRDefault="00566A62"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 xml:space="preserve">Therefore, notwithstanding the fact that there is no statutory provision for wrongful trading in the Cayman Islands, the fraudulent trading provision under section 147 means that any person (including a director) may, upon the liquidator’s application, be ordered to contribute to the company’s assets </w:t>
      </w:r>
      <w:proofErr w:type="gramStart"/>
      <w:r w:rsidRPr="00F835E4">
        <w:rPr>
          <w:rFonts w:ascii="Arial" w:hAnsi="Arial" w:cs="Arial"/>
          <w:color w:val="808080" w:themeColor="background1" w:themeShade="80"/>
          <w:sz w:val="22"/>
          <w:szCs w:val="22"/>
          <w:lang w:val="en-GB"/>
        </w:rPr>
        <w:t>in the event that</w:t>
      </w:r>
      <w:proofErr w:type="gramEnd"/>
      <w:r w:rsidRPr="00F835E4">
        <w:rPr>
          <w:rFonts w:ascii="Arial" w:hAnsi="Arial" w:cs="Arial"/>
          <w:color w:val="808080" w:themeColor="background1" w:themeShade="80"/>
          <w:sz w:val="22"/>
          <w:szCs w:val="22"/>
          <w:lang w:val="en-GB"/>
        </w:rPr>
        <w:t xml:space="preserve"> the business of the company was carried out with the intention to defraud creditors or for fraudulent purposes.</w:t>
      </w:r>
    </w:p>
    <w:p w14:paraId="3AD62BDA" w14:textId="77777777" w:rsidR="00566A62" w:rsidRPr="00F835E4" w:rsidRDefault="00566A62" w:rsidP="00F835E4">
      <w:pPr>
        <w:jc w:val="both"/>
        <w:rPr>
          <w:rFonts w:ascii="Arial" w:hAnsi="Arial" w:cs="Arial"/>
          <w:color w:val="808080" w:themeColor="background1" w:themeShade="80"/>
          <w:sz w:val="22"/>
          <w:szCs w:val="22"/>
          <w:lang w:val="en-GB"/>
        </w:rPr>
      </w:pPr>
    </w:p>
    <w:p w14:paraId="2F292CD1" w14:textId="08C7E763" w:rsidR="00F46E4E" w:rsidRPr="00F835E4" w:rsidRDefault="00F46E4E" w:rsidP="00F835E4">
      <w:pPr>
        <w:jc w:val="both"/>
        <w:rPr>
          <w:rFonts w:ascii="Arial" w:hAnsi="Arial" w:cs="Arial"/>
          <w:b/>
          <w:bCs/>
          <w:color w:val="808080" w:themeColor="background1" w:themeShade="80"/>
          <w:sz w:val="22"/>
          <w:szCs w:val="22"/>
          <w:u w:val="single"/>
          <w:lang w:val="en-GB"/>
        </w:rPr>
      </w:pPr>
      <w:r w:rsidRPr="00F835E4">
        <w:rPr>
          <w:rFonts w:ascii="Arial" w:hAnsi="Arial" w:cs="Arial"/>
          <w:b/>
          <w:bCs/>
          <w:color w:val="808080" w:themeColor="background1" w:themeShade="80"/>
          <w:sz w:val="22"/>
          <w:szCs w:val="22"/>
          <w:u w:val="single"/>
          <w:lang w:val="en-GB"/>
        </w:rPr>
        <w:t>Conclusion</w:t>
      </w:r>
    </w:p>
    <w:p w14:paraId="194189DB" w14:textId="065C5CF9" w:rsidR="005565DB" w:rsidRPr="00F835E4" w:rsidRDefault="005565DB"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On a practical point, it should be noted that there “</w:t>
      </w:r>
      <w:r w:rsidRPr="00F835E4">
        <w:rPr>
          <w:rFonts w:ascii="Arial" w:hAnsi="Arial" w:cs="Arial"/>
          <w:i/>
          <w:iCs/>
          <w:color w:val="808080" w:themeColor="background1" w:themeShade="80"/>
          <w:sz w:val="22"/>
          <w:szCs w:val="22"/>
          <w:lang w:val="en-GB"/>
        </w:rPr>
        <w:t xml:space="preserve">are strikingly few decisions regarding the operation of Section 146…It remains to be seen whether Section 146 (or indeed Cayman’s fraudulent trading provision, Section 147) will come out of the shadows over the next few </w:t>
      </w:r>
      <w:r w:rsidRPr="00F835E4">
        <w:rPr>
          <w:rFonts w:ascii="Arial" w:hAnsi="Arial" w:cs="Arial"/>
          <w:i/>
          <w:iCs/>
          <w:color w:val="808080" w:themeColor="background1" w:themeShade="80"/>
          <w:sz w:val="22"/>
          <w:szCs w:val="22"/>
          <w:lang w:val="en-GB"/>
        </w:rPr>
        <w:lastRenderedPageBreak/>
        <w:t>years</w:t>
      </w:r>
      <w:r w:rsidRPr="00F835E4">
        <w:rPr>
          <w:rFonts w:ascii="Arial" w:hAnsi="Arial" w:cs="Arial"/>
          <w:color w:val="808080" w:themeColor="background1" w:themeShade="80"/>
          <w:sz w:val="22"/>
          <w:szCs w:val="22"/>
          <w:lang w:val="en-GB"/>
        </w:rPr>
        <w:t>”</w:t>
      </w:r>
      <w:r w:rsidRPr="00F835E4">
        <w:rPr>
          <w:rStyle w:val="FootnoteReference"/>
          <w:rFonts w:ascii="Arial" w:hAnsi="Arial" w:cs="Arial"/>
          <w:color w:val="808080" w:themeColor="background1" w:themeShade="80"/>
          <w:sz w:val="22"/>
          <w:szCs w:val="22"/>
          <w:lang w:val="en-GB"/>
        </w:rPr>
        <w:footnoteReference w:id="117"/>
      </w:r>
      <w:r w:rsidRPr="00F835E4">
        <w:rPr>
          <w:rFonts w:ascii="Arial" w:hAnsi="Arial" w:cs="Arial"/>
          <w:color w:val="808080" w:themeColor="background1" w:themeShade="80"/>
          <w:sz w:val="22"/>
          <w:szCs w:val="22"/>
          <w:lang w:val="en-GB"/>
        </w:rPr>
        <w:t>. Therefore, even though the</w:t>
      </w:r>
      <w:r w:rsidR="001270FA" w:rsidRPr="00F835E4">
        <w:rPr>
          <w:rFonts w:ascii="Arial" w:hAnsi="Arial" w:cs="Arial"/>
          <w:color w:val="808080" w:themeColor="background1" w:themeShade="80"/>
          <w:sz w:val="22"/>
          <w:szCs w:val="22"/>
          <w:lang w:val="en-GB"/>
        </w:rPr>
        <w:t>se two</w:t>
      </w:r>
      <w:r w:rsidRPr="00F835E4">
        <w:rPr>
          <w:rFonts w:ascii="Arial" w:hAnsi="Arial" w:cs="Arial"/>
          <w:color w:val="808080" w:themeColor="background1" w:themeShade="80"/>
          <w:sz w:val="22"/>
          <w:szCs w:val="22"/>
          <w:lang w:val="en-GB"/>
        </w:rPr>
        <w:t xml:space="preserve"> provisions are in place to hold directors to account, it remains to be seen </w:t>
      </w:r>
      <w:r w:rsidR="00B16C1A" w:rsidRPr="00F835E4">
        <w:rPr>
          <w:rFonts w:ascii="Arial" w:hAnsi="Arial" w:cs="Arial"/>
          <w:color w:val="808080" w:themeColor="background1" w:themeShade="80"/>
          <w:sz w:val="22"/>
          <w:szCs w:val="22"/>
          <w:lang w:val="en-GB"/>
        </w:rPr>
        <w:t xml:space="preserve">when </w:t>
      </w:r>
      <w:r w:rsidRPr="00F835E4">
        <w:rPr>
          <w:rFonts w:ascii="Arial" w:hAnsi="Arial" w:cs="Arial"/>
          <w:color w:val="808080" w:themeColor="background1" w:themeShade="80"/>
          <w:sz w:val="22"/>
          <w:szCs w:val="22"/>
          <w:lang w:val="en-GB"/>
        </w:rPr>
        <w:t>either section 146 or section 147 are before the court</w:t>
      </w:r>
      <w:r w:rsidR="001270FA" w:rsidRPr="00F835E4">
        <w:rPr>
          <w:rFonts w:ascii="Arial" w:hAnsi="Arial" w:cs="Arial"/>
          <w:color w:val="808080" w:themeColor="background1" w:themeShade="80"/>
          <w:sz w:val="22"/>
          <w:szCs w:val="22"/>
          <w:lang w:val="en-GB"/>
        </w:rPr>
        <w:t xml:space="preserve"> </w:t>
      </w:r>
      <w:r w:rsidRPr="00F835E4">
        <w:rPr>
          <w:rFonts w:ascii="Arial" w:hAnsi="Arial" w:cs="Arial"/>
          <w:color w:val="808080" w:themeColor="background1" w:themeShade="80"/>
          <w:sz w:val="22"/>
          <w:szCs w:val="22"/>
          <w:lang w:val="en-GB"/>
        </w:rPr>
        <w:t>how the court will decide these matters.</w:t>
      </w:r>
    </w:p>
    <w:p w14:paraId="2DEE5EE7" w14:textId="77777777" w:rsidR="005565DB" w:rsidRPr="00F835E4" w:rsidRDefault="005565DB" w:rsidP="00F835E4">
      <w:pPr>
        <w:jc w:val="both"/>
        <w:rPr>
          <w:rFonts w:ascii="Arial" w:hAnsi="Arial" w:cs="Arial"/>
          <w:color w:val="808080" w:themeColor="background1" w:themeShade="80"/>
          <w:sz w:val="22"/>
          <w:szCs w:val="22"/>
          <w:lang w:val="en-GB"/>
        </w:rPr>
      </w:pPr>
    </w:p>
    <w:p w14:paraId="48DD0B8F" w14:textId="6506A4CF" w:rsidR="001270FA" w:rsidRPr="00F835E4" w:rsidRDefault="005565DB" w:rsidP="00F835E4">
      <w:pPr>
        <w:jc w:val="both"/>
        <w:rPr>
          <w:rFonts w:ascii="Arial" w:hAnsi="Arial" w:cs="Arial"/>
          <w:color w:val="808080" w:themeColor="background1" w:themeShade="80"/>
          <w:sz w:val="22"/>
          <w:szCs w:val="22"/>
          <w:lang w:val="en-GB"/>
        </w:rPr>
      </w:pPr>
      <w:r w:rsidRPr="00F835E4">
        <w:rPr>
          <w:rFonts w:ascii="Arial" w:hAnsi="Arial" w:cs="Arial"/>
          <w:color w:val="808080" w:themeColor="background1" w:themeShade="80"/>
          <w:sz w:val="22"/>
          <w:szCs w:val="22"/>
          <w:lang w:val="en-GB"/>
        </w:rPr>
        <w:t>Despite this, i</w:t>
      </w:r>
      <w:r w:rsidR="00F46E4E" w:rsidRPr="00F835E4">
        <w:rPr>
          <w:rFonts w:ascii="Arial" w:hAnsi="Arial" w:cs="Arial"/>
          <w:color w:val="808080" w:themeColor="background1" w:themeShade="80"/>
          <w:sz w:val="22"/>
          <w:szCs w:val="22"/>
          <w:lang w:val="en-GB"/>
        </w:rPr>
        <w:t>t is prudent for the directors who are responsible for the day-to-day management of the company to review the company’s position regularly. If they come to the view (or are advised) that there is no realistic prospect of resolving the company’s financial difficulties, they must put the company into liquidation, otherwise they would be at risk of breaching their fiduciary duties</w:t>
      </w:r>
      <w:r w:rsidR="00F46E4E" w:rsidRPr="00F835E4">
        <w:rPr>
          <w:rStyle w:val="FootnoteReference"/>
          <w:rFonts w:ascii="Arial" w:hAnsi="Arial" w:cs="Arial"/>
          <w:color w:val="808080" w:themeColor="background1" w:themeShade="80"/>
          <w:sz w:val="22"/>
          <w:szCs w:val="22"/>
          <w:lang w:val="en-GB"/>
        </w:rPr>
        <w:footnoteReference w:id="118"/>
      </w:r>
      <w:r w:rsidR="001270FA" w:rsidRPr="00F835E4">
        <w:rPr>
          <w:rFonts w:ascii="Arial" w:hAnsi="Arial" w:cs="Arial"/>
          <w:color w:val="808080" w:themeColor="background1" w:themeShade="80"/>
          <w:sz w:val="22"/>
          <w:szCs w:val="22"/>
          <w:lang w:val="en-GB"/>
        </w:rPr>
        <w:t xml:space="preserve"> and being potentially personally liable too.</w:t>
      </w:r>
      <w:r w:rsidR="009A41BE" w:rsidRPr="00F835E4">
        <w:rPr>
          <w:rFonts w:ascii="Arial" w:hAnsi="Arial" w:cs="Arial"/>
          <w:color w:val="808080" w:themeColor="background1" w:themeShade="80"/>
          <w:sz w:val="22"/>
          <w:szCs w:val="22"/>
          <w:lang w:val="en-GB"/>
        </w:rPr>
        <w:t xml:space="preserve"> As shown above, the insolvency laws of the Cayman Islands are flexible enough to deal with transactions pre</w:t>
      </w:r>
      <w:r w:rsidR="001270FA" w:rsidRPr="00F835E4">
        <w:rPr>
          <w:rFonts w:ascii="Arial" w:hAnsi="Arial" w:cs="Arial"/>
          <w:color w:val="808080" w:themeColor="background1" w:themeShade="80"/>
          <w:sz w:val="22"/>
          <w:szCs w:val="22"/>
          <w:lang w:val="en-GB"/>
        </w:rPr>
        <w:t>-</w:t>
      </w:r>
      <w:r w:rsidR="009A41BE" w:rsidRPr="00F835E4">
        <w:rPr>
          <w:rFonts w:ascii="Arial" w:hAnsi="Arial" w:cs="Arial"/>
          <w:color w:val="808080" w:themeColor="background1" w:themeShade="80"/>
          <w:sz w:val="22"/>
          <w:szCs w:val="22"/>
          <w:lang w:val="en-GB"/>
        </w:rPr>
        <w:t xml:space="preserve"> and post-petition and to try and put the company (to the extent possible) back in the position it would have been in had the transactions not been made.</w:t>
      </w:r>
    </w:p>
    <w:p w14:paraId="29BE5A95" w14:textId="77777777" w:rsidR="001270FA" w:rsidRPr="00F835E4" w:rsidRDefault="001270FA" w:rsidP="00F835E4">
      <w:pPr>
        <w:jc w:val="both"/>
        <w:rPr>
          <w:rFonts w:ascii="Arial" w:hAnsi="Arial" w:cs="Arial"/>
          <w:color w:val="808080" w:themeColor="background1" w:themeShade="80"/>
          <w:sz w:val="22"/>
          <w:szCs w:val="22"/>
          <w:lang w:val="en-GB"/>
        </w:rPr>
      </w:pPr>
    </w:p>
    <w:p w14:paraId="155D6700" w14:textId="77777777" w:rsidR="0054384E" w:rsidRPr="00F835E4" w:rsidRDefault="0054384E" w:rsidP="00F835E4">
      <w:pPr>
        <w:jc w:val="both"/>
        <w:rPr>
          <w:rFonts w:ascii="Arial" w:hAnsi="Arial"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4C3A47C5" w14:textId="77777777" w:rsidR="00D32180" w:rsidRPr="004A3D56" w:rsidRDefault="00D32180" w:rsidP="00D32180">
      <w:pPr>
        <w:jc w:val="both"/>
        <w:rPr>
          <w:rFonts w:ascii="Avenir Next" w:hAnsi="Avenir Next"/>
          <w:sz w:val="22"/>
          <w:szCs w:val="22"/>
          <w:lang w:val="en-GB"/>
        </w:rPr>
      </w:pPr>
      <w:bookmarkStart w:id="0" w:name="_Hlk17745211"/>
      <w:r w:rsidRPr="004A3D56">
        <w:rPr>
          <w:rFonts w:ascii="Avenir Next" w:hAnsi="Avenir Next"/>
          <w:sz w:val="22"/>
          <w:szCs w:val="22"/>
          <w:lang w:val="en-GB"/>
        </w:rPr>
        <w:t>Punk Lizard is a company registered in the Cayman Islands. It operates liveaboard diving cruises across the Caribbean. Punk Lizard was founded by the Kraken family over 70 years ago. The family continues to own and manage the business.</w:t>
      </w:r>
    </w:p>
    <w:p w14:paraId="72E03531"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 </w:t>
      </w:r>
    </w:p>
    <w:p w14:paraId="1E6596D5" w14:textId="34C6C545"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Punk Lizard</w:t>
      </w:r>
      <w:r w:rsidR="004F56FE">
        <w:rPr>
          <w:rFonts w:ascii="Avenir Next" w:hAnsi="Avenir Next"/>
          <w:sz w:val="22"/>
          <w:szCs w:val="22"/>
          <w:lang w:val="en-GB"/>
        </w:rPr>
        <w:t>’</w:t>
      </w:r>
      <w:r w:rsidRPr="004A3D56">
        <w:rPr>
          <w:rFonts w:ascii="Avenir Next" w:hAnsi="Avenir Next"/>
          <w:sz w:val="22"/>
          <w:szCs w:val="22"/>
          <w:lang w:val="en-GB"/>
        </w:rPr>
        <w:t>s revenues are down in recent years, due to some well publicised safety issues. The business has only managed to stay afloat with the assistance of a very large loan from Turtle National Bank (TNB). TNB has lent Punk Lizard US</w:t>
      </w:r>
      <w:r w:rsidR="00DE68DE">
        <w:rPr>
          <w:rFonts w:ascii="Avenir Next" w:hAnsi="Avenir Next"/>
          <w:sz w:val="22"/>
          <w:szCs w:val="22"/>
          <w:lang w:val="en-GB"/>
        </w:rPr>
        <w:t xml:space="preserve">D </w:t>
      </w:r>
      <w:r w:rsidRPr="004A3D56">
        <w:rPr>
          <w:rFonts w:ascii="Avenir Next" w:hAnsi="Avenir Next"/>
          <w:sz w:val="22"/>
          <w:szCs w:val="22"/>
          <w:lang w:val="en-GB"/>
        </w:rPr>
        <w:t>900</w:t>
      </w:r>
      <w:r w:rsidR="00DE68DE">
        <w:rPr>
          <w:rFonts w:ascii="Avenir Next" w:hAnsi="Avenir Next"/>
          <w:sz w:val="22"/>
          <w:szCs w:val="22"/>
          <w:lang w:val="en-GB"/>
        </w:rPr>
        <w:t xml:space="preserve"> </w:t>
      </w:r>
      <w:r w:rsidRPr="004A3D56">
        <w:rPr>
          <w:rFonts w:ascii="Avenir Next" w:hAnsi="Avenir Next"/>
          <w:sz w:val="22"/>
          <w:szCs w:val="22"/>
          <w:lang w:val="en-GB"/>
        </w:rPr>
        <w:t>m</w:t>
      </w:r>
      <w:r w:rsidR="00DE68DE">
        <w:rPr>
          <w:rFonts w:ascii="Avenir Next" w:hAnsi="Avenir Next"/>
          <w:sz w:val="22"/>
          <w:szCs w:val="22"/>
          <w:lang w:val="en-GB"/>
        </w:rPr>
        <w:t>illion</w:t>
      </w:r>
      <w:r w:rsidRPr="004A3D56">
        <w:rPr>
          <w:rFonts w:ascii="Avenir Next" w:hAnsi="Avenir Next"/>
          <w:sz w:val="22"/>
          <w:szCs w:val="22"/>
          <w:lang w:val="en-GB"/>
        </w:rPr>
        <w:t xml:space="preserve"> (US</w:t>
      </w:r>
      <w:r w:rsidR="00DE68DE">
        <w:rPr>
          <w:rFonts w:ascii="Avenir Next" w:hAnsi="Avenir Next"/>
          <w:sz w:val="22"/>
          <w:szCs w:val="22"/>
          <w:lang w:val="en-GB"/>
        </w:rPr>
        <w:t xml:space="preserve">D </w:t>
      </w:r>
      <w:r w:rsidRPr="004A3D56">
        <w:rPr>
          <w:rFonts w:ascii="Avenir Next" w:hAnsi="Avenir Next"/>
          <w:sz w:val="22"/>
          <w:szCs w:val="22"/>
          <w:lang w:val="en-GB"/>
        </w:rPr>
        <w:t xml:space="preserve">450 million of which is secured by a mortgage over half of Punk Lizard’s fleet). </w:t>
      </w:r>
    </w:p>
    <w:p w14:paraId="3A5830F0" w14:textId="77777777" w:rsidR="00D32180" w:rsidRPr="004A3D56" w:rsidRDefault="00D32180" w:rsidP="00D32180">
      <w:pPr>
        <w:jc w:val="both"/>
        <w:rPr>
          <w:rFonts w:ascii="Avenir Next" w:hAnsi="Avenir Next"/>
          <w:sz w:val="22"/>
          <w:szCs w:val="22"/>
          <w:lang w:val="en-GB"/>
        </w:rPr>
      </w:pPr>
    </w:p>
    <w:p w14:paraId="645A2C92" w14:textId="5EB03E6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The market for liveaboard diving remains strong, and financial forecast for Punk Lizard is relatively bright, however Punk Lizard has immediate solvency issues. It cannot afford to pay the ongoing costs associated with maintaining its fleet (electricity, maintenance, insurance, staff costs, rum etc</w:t>
      </w:r>
      <w:r w:rsidR="00AA48CC">
        <w:rPr>
          <w:rFonts w:ascii="Avenir Next" w:hAnsi="Avenir Next"/>
          <w:sz w:val="22"/>
          <w:szCs w:val="22"/>
          <w:lang w:val="en-GB"/>
        </w:rPr>
        <w:t>etera</w:t>
      </w:r>
      <w:r w:rsidRPr="004A3D56">
        <w:rPr>
          <w:rFonts w:ascii="Avenir Next" w:hAnsi="Avenir Next"/>
          <w:sz w:val="22"/>
          <w:szCs w:val="22"/>
          <w:lang w:val="en-GB"/>
        </w:rPr>
        <w:t>) and it has fallen behind on the monthly repayments to TNB.</w:t>
      </w:r>
    </w:p>
    <w:p w14:paraId="726CBE85" w14:textId="77777777" w:rsidR="00D32180" w:rsidRPr="004A3D56" w:rsidRDefault="00D32180" w:rsidP="00D32180">
      <w:pPr>
        <w:jc w:val="both"/>
        <w:rPr>
          <w:rFonts w:ascii="Avenir Next" w:hAnsi="Avenir Next"/>
          <w:sz w:val="22"/>
          <w:szCs w:val="22"/>
          <w:lang w:val="en-GB"/>
        </w:rPr>
      </w:pPr>
    </w:p>
    <w:p w14:paraId="50D5DA38" w14:textId="66CC9BF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To make matters worse, Punk Lizard commissioned Harland &amp; Wolff (H&amp;W) to build </w:t>
      </w:r>
      <w:r w:rsidR="00AA48CC">
        <w:rPr>
          <w:rFonts w:ascii="Avenir Next" w:hAnsi="Avenir Next"/>
          <w:sz w:val="22"/>
          <w:szCs w:val="22"/>
          <w:lang w:val="en-GB"/>
        </w:rPr>
        <w:t>five</w:t>
      </w:r>
      <w:r w:rsidRPr="004A3D56">
        <w:rPr>
          <w:rFonts w:ascii="Avenir Next" w:hAnsi="Avenir Next"/>
          <w:sz w:val="22"/>
          <w:szCs w:val="22"/>
          <w:lang w:val="en-GB"/>
        </w:rPr>
        <w:t xml:space="preserve"> more dive boats shortly before the (lack of) safety issue hit the news. Punk Lizard has failed to pay for the H&amp;W </w:t>
      </w:r>
      <w:r w:rsidR="00AA48CC">
        <w:rPr>
          <w:rFonts w:ascii="Avenir Next" w:hAnsi="Avenir Next"/>
          <w:sz w:val="22"/>
          <w:szCs w:val="22"/>
          <w:lang w:val="en-GB"/>
        </w:rPr>
        <w:t>boats</w:t>
      </w:r>
      <w:r w:rsidRPr="004A3D56">
        <w:rPr>
          <w:rFonts w:ascii="Avenir Next" w:hAnsi="Avenir Next"/>
          <w:sz w:val="22"/>
          <w:szCs w:val="22"/>
          <w:lang w:val="en-GB"/>
        </w:rPr>
        <w:t>. H&amp;W has secured an arbitration judgment from the ICC in London for US</w:t>
      </w:r>
      <w:r w:rsidR="00AA48CC">
        <w:rPr>
          <w:rFonts w:ascii="Avenir Next" w:hAnsi="Avenir Next"/>
          <w:sz w:val="22"/>
          <w:szCs w:val="22"/>
          <w:lang w:val="en-GB"/>
        </w:rPr>
        <w:t xml:space="preserve">D </w:t>
      </w:r>
      <w:r w:rsidRPr="004A3D56">
        <w:rPr>
          <w:rFonts w:ascii="Avenir Next" w:hAnsi="Avenir Next"/>
          <w:sz w:val="22"/>
          <w:szCs w:val="22"/>
          <w:lang w:val="en-GB"/>
        </w:rPr>
        <w:t>150</w:t>
      </w:r>
      <w:r w:rsidR="00AA48CC">
        <w:rPr>
          <w:rFonts w:ascii="Avenir Next" w:hAnsi="Avenir Next"/>
          <w:sz w:val="22"/>
          <w:szCs w:val="22"/>
          <w:lang w:val="en-GB"/>
        </w:rPr>
        <w:t xml:space="preserve"> </w:t>
      </w:r>
      <w:r w:rsidRPr="004A3D56">
        <w:rPr>
          <w:rFonts w:ascii="Avenir Next" w:hAnsi="Avenir Next"/>
          <w:sz w:val="22"/>
          <w:szCs w:val="22"/>
          <w:lang w:val="en-GB"/>
        </w:rPr>
        <w:t>m</w:t>
      </w:r>
      <w:r w:rsidR="00AA48CC">
        <w:rPr>
          <w:rFonts w:ascii="Avenir Next" w:hAnsi="Avenir Next"/>
          <w:sz w:val="22"/>
          <w:szCs w:val="22"/>
          <w:lang w:val="en-GB"/>
        </w:rPr>
        <w:t>illion</w:t>
      </w:r>
      <w:r w:rsidRPr="004A3D56">
        <w:rPr>
          <w:rFonts w:ascii="Avenir Next" w:hAnsi="Avenir Next"/>
          <w:sz w:val="22"/>
          <w:szCs w:val="22"/>
          <w:lang w:val="en-GB"/>
        </w:rPr>
        <w:t xml:space="preserve">. The award is payable within 28 days.   </w:t>
      </w:r>
    </w:p>
    <w:p w14:paraId="37217162" w14:textId="77777777" w:rsidR="00D32180" w:rsidRPr="004A3D56" w:rsidRDefault="00D32180" w:rsidP="00D32180">
      <w:pPr>
        <w:jc w:val="both"/>
        <w:rPr>
          <w:rFonts w:ascii="Avenir Next" w:hAnsi="Avenir Next"/>
          <w:sz w:val="22"/>
          <w:szCs w:val="22"/>
          <w:lang w:val="en-GB"/>
        </w:rPr>
      </w:pPr>
    </w:p>
    <w:p w14:paraId="19078AAE"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You are a Cayman Islands-based insolvency professional and have been approached to provide advice on the following:</w:t>
      </w:r>
    </w:p>
    <w:p w14:paraId="515FF307" w14:textId="77777777" w:rsidR="00D32180" w:rsidRPr="00F239CA" w:rsidRDefault="00D32180" w:rsidP="00D32180">
      <w:pPr>
        <w:jc w:val="both"/>
        <w:rPr>
          <w:rFonts w:ascii="Avenir Next LT Pro" w:hAnsi="Avenir Next LT Pro"/>
          <w:sz w:val="22"/>
          <w:szCs w:val="22"/>
          <w:lang w:val="en-GB"/>
        </w:rPr>
      </w:pPr>
    </w:p>
    <w:p w14:paraId="68FB27C3" w14:textId="7843BAAE" w:rsidR="00D32180" w:rsidRDefault="00D32180">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TNB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2CE46DFC" w14:textId="77777777" w:rsidR="00EC39C2" w:rsidRPr="00D32180" w:rsidRDefault="00EC39C2" w:rsidP="00EC39C2">
      <w:pPr>
        <w:pStyle w:val="ListParagraph"/>
        <w:ind w:left="426"/>
        <w:jc w:val="both"/>
        <w:rPr>
          <w:rFonts w:ascii="Avenir Next" w:hAnsi="Avenir Next" w:cs="Arial"/>
          <w:sz w:val="22"/>
          <w:szCs w:val="22"/>
          <w:lang w:val="en-GB"/>
        </w:rPr>
      </w:pPr>
    </w:p>
    <w:p w14:paraId="063143FA" w14:textId="750AAE6F" w:rsidR="00D32180" w:rsidRDefault="00D32180">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H&amp;W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34633F60" w14:textId="77777777" w:rsidR="00EC39C2" w:rsidRPr="00EC39C2" w:rsidRDefault="00EC39C2" w:rsidP="00EC39C2">
      <w:pPr>
        <w:jc w:val="both"/>
        <w:rPr>
          <w:rFonts w:ascii="Avenir Next" w:hAnsi="Avenir Next" w:cs="Arial"/>
          <w:sz w:val="22"/>
          <w:szCs w:val="22"/>
          <w:lang w:val="en-GB"/>
        </w:rPr>
      </w:pPr>
    </w:p>
    <w:p w14:paraId="2B098305" w14:textId="77777777" w:rsidR="00D32180" w:rsidRDefault="00D32180">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the unpaid employees take against Punk Lizard? (3 marks)</w:t>
      </w:r>
    </w:p>
    <w:p w14:paraId="20FF345F" w14:textId="77777777" w:rsidR="00EC39C2" w:rsidRPr="00EC39C2" w:rsidRDefault="00EC39C2" w:rsidP="00EC39C2">
      <w:pPr>
        <w:jc w:val="both"/>
        <w:rPr>
          <w:rFonts w:ascii="Avenir Next" w:hAnsi="Avenir Next" w:cs="Arial"/>
          <w:sz w:val="22"/>
          <w:szCs w:val="22"/>
          <w:lang w:val="en-GB"/>
        </w:rPr>
      </w:pPr>
    </w:p>
    <w:p w14:paraId="26F42F4F" w14:textId="77777777" w:rsidR="00D32180" w:rsidRDefault="00D32180">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Does the Cayman Islands Court have jurisdiction over Punk Lizard? (1.5 marks)</w:t>
      </w:r>
    </w:p>
    <w:p w14:paraId="09647426" w14:textId="77777777" w:rsidR="00EC39C2" w:rsidRPr="00EC39C2" w:rsidRDefault="00EC39C2" w:rsidP="00EC39C2">
      <w:pPr>
        <w:jc w:val="both"/>
        <w:rPr>
          <w:rFonts w:ascii="Avenir Next" w:hAnsi="Avenir Next" w:cs="Arial"/>
          <w:sz w:val="22"/>
          <w:szCs w:val="22"/>
          <w:lang w:val="en-GB"/>
        </w:rPr>
      </w:pPr>
    </w:p>
    <w:p w14:paraId="00C7B109" w14:textId="77777777" w:rsidR="00D32180" w:rsidRDefault="00D32180">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Is there a legal route via which Punk Lizard can protect itself and seek to restructure?  (3 marks)</w:t>
      </w:r>
    </w:p>
    <w:p w14:paraId="78BBD163" w14:textId="77777777" w:rsidR="00EC39C2" w:rsidRPr="00EC39C2" w:rsidRDefault="00EC39C2" w:rsidP="00EC39C2">
      <w:pPr>
        <w:jc w:val="both"/>
        <w:rPr>
          <w:rFonts w:ascii="Avenir Next" w:hAnsi="Avenir Next" w:cs="Arial"/>
          <w:sz w:val="22"/>
          <w:szCs w:val="22"/>
          <w:lang w:val="en-GB"/>
        </w:rPr>
      </w:pPr>
    </w:p>
    <w:p w14:paraId="07DF56C0" w14:textId="77777777" w:rsidR="00D32180" w:rsidRDefault="00D32180">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Following on from (e) above, can the Kraken family continue play a part in running Punk Lizard during any restructuring process? (1 mark)</w:t>
      </w:r>
    </w:p>
    <w:p w14:paraId="07FF2343" w14:textId="77777777" w:rsidR="004C447D" w:rsidRPr="004C447D" w:rsidRDefault="004C447D" w:rsidP="004C447D">
      <w:pPr>
        <w:jc w:val="both"/>
        <w:rPr>
          <w:rFonts w:ascii="Avenir Next" w:hAnsi="Avenir Next" w:cs="Arial"/>
          <w:sz w:val="22"/>
          <w:szCs w:val="22"/>
          <w:lang w:val="en-GB"/>
        </w:rPr>
      </w:pPr>
    </w:p>
    <w:p w14:paraId="1E0FCB3C" w14:textId="77777777" w:rsidR="00D32180" w:rsidRPr="00D32180" w:rsidRDefault="00D32180">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factors will the Cayman Islands court take into consideration before approving any proposed restructuring? (2.5 marks)</w:t>
      </w:r>
    </w:p>
    <w:bookmarkEnd w:id="0"/>
    <w:p w14:paraId="2EEEAAF8" w14:textId="77777777" w:rsidR="00FE658D" w:rsidRPr="00A25E12" w:rsidRDefault="00FE658D" w:rsidP="00A25E12">
      <w:pPr>
        <w:jc w:val="both"/>
        <w:rPr>
          <w:rFonts w:ascii="Arial" w:hAnsi="Arial" w:cs="Arial"/>
          <w:color w:val="808080" w:themeColor="background1" w:themeShade="80"/>
          <w:sz w:val="22"/>
          <w:szCs w:val="22"/>
          <w:lang w:val="en-GB"/>
        </w:rPr>
      </w:pPr>
    </w:p>
    <w:p w14:paraId="14680399" w14:textId="3B5F7C35" w:rsidR="00C1128C" w:rsidRPr="00A25E12" w:rsidRDefault="00C1128C" w:rsidP="00A25E12">
      <w:pPr>
        <w:jc w:val="both"/>
        <w:rPr>
          <w:rFonts w:ascii="Arial" w:hAnsi="Arial" w:cs="Arial"/>
          <w:b/>
          <w:bCs/>
          <w:color w:val="808080" w:themeColor="background1" w:themeShade="80"/>
          <w:sz w:val="22"/>
          <w:szCs w:val="22"/>
          <w:u w:val="single"/>
          <w:lang w:val="en-GB"/>
        </w:rPr>
      </w:pPr>
      <w:r w:rsidRPr="00A25E12">
        <w:rPr>
          <w:rFonts w:ascii="Arial" w:hAnsi="Arial" w:cs="Arial"/>
          <w:b/>
          <w:bCs/>
          <w:color w:val="808080" w:themeColor="background1" w:themeShade="80"/>
          <w:sz w:val="22"/>
          <w:szCs w:val="22"/>
          <w:u w:val="single"/>
          <w:lang w:val="en-GB"/>
        </w:rPr>
        <w:t>Question 4(a)</w:t>
      </w:r>
    </w:p>
    <w:p w14:paraId="28D98123" w14:textId="42736DA3" w:rsidR="00D20A53" w:rsidRPr="00A25E12" w:rsidRDefault="00884973"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T</w:t>
      </w:r>
      <w:r w:rsidR="00B17294" w:rsidRPr="00A25E12">
        <w:rPr>
          <w:rFonts w:ascii="Arial" w:hAnsi="Arial" w:cs="Arial"/>
          <w:color w:val="808080" w:themeColor="background1" w:themeShade="80"/>
          <w:sz w:val="22"/>
          <w:szCs w:val="22"/>
          <w:lang w:val="en-GB"/>
        </w:rPr>
        <w:t xml:space="preserve">urtle National </w:t>
      </w:r>
      <w:r w:rsidRPr="00A25E12">
        <w:rPr>
          <w:rFonts w:ascii="Arial" w:hAnsi="Arial" w:cs="Arial"/>
          <w:color w:val="808080" w:themeColor="background1" w:themeShade="80"/>
          <w:sz w:val="22"/>
          <w:szCs w:val="22"/>
          <w:lang w:val="en-GB"/>
        </w:rPr>
        <w:t>B</w:t>
      </w:r>
      <w:r w:rsidR="00B17294" w:rsidRPr="00A25E12">
        <w:rPr>
          <w:rFonts w:ascii="Arial" w:hAnsi="Arial" w:cs="Arial"/>
          <w:color w:val="808080" w:themeColor="background1" w:themeShade="80"/>
          <w:sz w:val="22"/>
          <w:szCs w:val="22"/>
          <w:lang w:val="en-GB"/>
        </w:rPr>
        <w:t>ank (“</w:t>
      </w:r>
      <w:r w:rsidR="00B17294" w:rsidRPr="00A25E12">
        <w:rPr>
          <w:rFonts w:ascii="Arial" w:hAnsi="Arial" w:cs="Arial"/>
          <w:b/>
          <w:bCs/>
          <w:color w:val="808080" w:themeColor="background1" w:themeShade="80"/>
          <w:sz w:val="22"/>
          <w:szCs w:val="22"/>
          <w:lang w:val="en-GB"/>
        </w:rPr>
        <w:t>TNB</w:t>
      </w:r>
      <w:r w:rsidR="00B17294" w:rsidRPr="00A25E12">
        <w:rPr>
          <w:rFonts w:ascii="Arial" w:hAnsi="Arial" w:cs="Arial"/>
          <w:color w:val="808080" w:themeColor="background1" w:themeShade="80"/>
          <w:sz w:val="22"/>
          <w:szCs w:val="22"/>
          <w:lang w:val="en-GB"/>
        </w:rPr>
        <w:t>”)</w:t>
      </w:r>
      <w:r w:rsidRPr="00A25E12">
        <w:rPr>
          <w:rFonts w:ascii="Arial" w:hAnsi="Arial" w:cs="Arial"/>
          <w:color w:val="808080" w:themeColor="background1" w:themeShade="80"/>
          <w:sz w:val="22"/>
          <w:szCs w:val="22"/>
          <w:lang w:val="en-GB"/>
        </w:rPr>
        <w:t xml:space="preserve"> </w:t>
      </w:r>
      <w:r w:rsidR="000459B9" w:rsidRPr="00A25E12">
        <w:rPr>
          <w:rFonts w:ascii="Arial" w:hAnsi="Arial" w:cs="Arial"/>
          <w:color w:val="808080" w:themeColor="background1" w:themeShade="80"/>
          <w:sz w:val="22"/>
          <w:szCs w:val="22"/>
          <w:lang w:val="en-GB"/>
        </w:rPr>
        <w:t>has lent Punk Lizard USD 900 million</w:t>
      </w:r>
      <w:r w:rsidR="000B701D" w:rsidRPr="00A25E12">
        <w:rPr>
          <w:rFonts w:ascii="Arial" w:hAnsi="Arial" w:cs="Arial"/>
          <w:color w:val="808080" w:themeColor="background1" w:themeShade="80"/>
          <w:sz w:val="22"/>
          <w:szCs w:val="22"/>
          <w:lang w:val="en-GB"/>
        </w:rPr>
        <w:t>.</w:t>
      </w:r>
      <w:r w:rsidR="000459B9" w:rsidRPr="00A25E12">
        <w:rPr>
          <w:rFonts w:ascii="Arial" w:hAnsi="Arial" w:cs="Arial"/>
          <w:color w:val="808080" w:themeColor="background1" w:themeShade="80"/>
          <w:sz w:val="22"/>
          <w:szCs w:val="22"/>
          <w:lang w:val="en-GB"/>
        </w:rPr>
        <w:t xml:space="preserve"> TNB is a secured creditor of</w:t>
      </w:r>
      <w:r w:rsidR="00C953A7" w:rsidRPr="00A25E12">
        <w:rPr>
          <w:rFonts w:ascii="Arial" w:hAnsi="Arial" w:cs="Arial"/>
          <w:color w:val="808080" w:themeColor="background1" w:themeShade="80"/>
          <w:sz w:val="22"/>
          <w:szCs w:val="22"/>
          <w:lang w:val="en-GB"/>
        </w:rPr>
        <w:t xml:space="preserve"> </w:t>
      </w:r>
      <w:r w:rsidR="000459B9" w:rsidRPr="00A25E12">
        <w:rPr>
          <w:rFonts w:ascii="Arial" w:hAnsi="Arial" w:cs="Arial"/>
          <w:color w:val="808080" w:themeColor="background1" w:themeShade="80"/>
          <w:sz w:val="22"/>
          <w:szCs w:val="22"/>
          <w:lang w:val="en-GB"/>
        </w:rPr>
        <w:t>USD 450 million which is secured by a mortgage</w:t>
      </w:r>
      <w:r w:rsidR="000B701D" w:rsidRPr="00A25E12">
        <w:rPr>
          <w:rFonts w:ascii="Arial" w:hAnsi="Arial" w:cs="Arial"/>
          <w:color w:val="808080" w:themeColor="background1" w:themeShade="80"/>
          <w:sz w:val="22"/>
          <w:szCs w:val="22"/>
          <w:lang w:val="en-GB"/>
        </w:rPr>
        <w:t xml:space="preserve"> over half of Punk Lizard’s fleet</w:t>
      </w:r>
      <w:r w:rsidR="000459B9" w:rsidRPr="00A25E12">
        <w:rPr>
          <w:rFonts w:ascii="Arial" w:hAnsi="Arial" w:cs="Arial"/>
          <w:color w:val="808080" w:themeColor="background1" w:themeShade="80"/>
          <w:sz w:val="22"/>
          <w:szCs w:val="22"/>
          <w:lang w:val="en-GB"/>
        </w:rPr>
        <w:t xml:space="preserve"> and an unsecured creditor in relation to the </w:t>
      </w:r>
      <w:r w:rsidR="000B701D" w:rsidRPr="00A25E12">
        <w:rPr>
          <w:rFonts w:ascii="Arial" w:hAnsi="Arial" w:cs="Arial"/>
          <w:color w:val="808080" w:themeColor="background1" w:themeShade="80"/>
          <w:sz w:val="22"/>
          <w:szCs w:val="22"/>
          <w:lang w:val="en-GB"/>
        </w:rPr>
        <w:t>remaining</w:t>
      </w:r>
      <w:r w:rsidR="000459B9" w:rsidRPr="00A25E12">
        <w:rPr>
          <w:rFonts w:ascii="Arial" w:hAnsi="Arial" w:cs="Arial"/>
          <w:color w:val="808080" w:themeColor="background1" w:themeShade="80"/>
          <w:sz w:val="22"/>
          <w:szCs w:val="22"/>
          <w:lang w:val="en-GB"/>
        </w:rPr>
        <w:t xml:space="preserve"> USD 450 million.</w:t>
      </w:r>
    </w:p>
    <w:p w14:paraId="76338C40" w14:textId="77777777" w:rsidR="008C5FA3" w:rsidRPr="00A25E12" w:rsidRDefault="008C5FA3" w:rsidP="00A25E12">
      <w:pPr>
        <w:jc w:val="both"/>
        <w:rPr>
          <w:rFonts w:ascii="Arial" w:hAnsi="Arial" w:cs="Arial"/>
          <w:color w:val="808080" w:themeColor="background1" w:themeShade="80"/>
          <w:sz w:val="22"/>
          <w:szCs w:val="22"/>
          <w:lang w:val="en-GB"/>
        </w:rPr>
      </w:pPr>
    </w:p>
    <w:p w14:paraId="53626648" w14:textId="62CDDD0D" w:rsidR="004A16EA" w:rsidRPr="00A25E12" w:rsidRDefault="00D20A53" w:rsidP="00A25E12">
      <w:pPr>
        <w:jc w:val="both"/>
        <w:rPr>
          <w:rFonts w:ascii="Arial" w:hAnsi="Arial" w:cs="Arial"/>
          <w:color w:val="808080" w:themeColor="background1" w:themeShade="80"/>
          <w:sz w:val="22"/>
          <w:szCs w:val="22"/>
          <w:lang w:val="en-HK"/>
        </w:rPr>
      </w:pPr>
      <w:r w:rsidRPr="00A25E12">
        <w:rPr>
          <w:rFonts w:ascii="Arial" w:hAnsi="Arial" w:cs="Arial"/>
          <w:color w:val="808080" w:themeColor="background1" w:themeShade="80"/>
          <w:sz w:val="22"/>
          <w:szCs w:val="22"/>
          <w:lang w:val="en-HK"/>
        </w:rPr>
        <w:t>Punk Lizard has fallen behind on the monthly repayments to TNB. Despite Punk Lizard’s financial difficulties, TNB (as a secured creditor over half of Punk Lizard’s fleet), is in a stronger position tha</w:t>
      </w:r>
      <w:r w:rsidR="000B701D" w:rsidRPr="00A25E12">
        <w:rPr>
          <w:rFonts w:ascii="Arial" w:hAnsi="Arial" w:cs="Arial"/>
          <w:color w:val="808080" w:themeColor="background1" w:themeShade="80"/>
          <w:sz w:val="22"/>
          <w:szCs w:val="22"/>
          <w:lang w:val="en-HK"/>
        </w:rPr>
        <w:t>n</w:t>
      </w:r>
      <w:r w:rsidRPr="00A25E12">
        <w:rPr>
          <w:rFonts w:ascii="Arial" w:hAnsi="Arial" w:cs="Arial"/>
          <w:color w:val="808080" w:themeColor="background1" w:themeShade="80"/>
          <w:sz w:val="22"/>
          <w:szCs w:val="22"/>
          <w:lang w:val="en-HK"/>
        </w:rPr>
        <w:t xml:space="preserve"> other creditors.</w:t>
      </w:r>
      <w:r w:rsidR="008C5FA3" w:rsidRPr="00A25E12">
        <w:rPr>
          <w:rFonts w:ascii="Arial" w:hAnsi="Arial" w:cs="Arial"/>
          <w:color w:val="808080" w:themeColor="background1" w:themeShade="80"/>
          <w:sz w:val="22"/>
          <w:szCs w:val="22"/>
          <w:lang w:val="en-HK"/>
        </w:rPr>
        <w:t xml:space="preserve"> </w:t>
      </w:r>
      <w:r w:rsidR="000B701D" w:rsidRPr="00A25E12">
        <w:rPr>
          <w:rFonts w:ascii="Arial" w:hAnsi="Arial" w:cs="Arial"/>
          <w:color w:val="808080" w:themeColor="background1" w:themeShade="80"/>
          <w:sz w:val="22"/>
          <w:szCs w:val="22"/>
          <w:lang w:val="en-GB"/>
        </w:rPr>
        <w:t>TNB, to protect its interest (in relation to the secured USD 450 million) can realise its security.</w:t>
      </w:r>
      <w:r w:rsidR="004A16EA" w:rsidRPr="00A25E12">
        <w:rPr>
          <w:rFonts w:ascii="Arial" w:hAnsi="Arial" w:cs="Arial"/>
          <w:color w:val="808080" w:themeColor="background1" w:themeShade="80"/>
          <w:sz w:val="22"/>
          <w:szCs w:val="22"/>
          <w:lang w:val="en-GB"/>
        </w:rPr>
        <w:t xml:space="preserve"> </w:t>
      </w:r>
      <w:r w:rsidR="004A16EA" w:rsidRPr="00A25E12">
        <w:rPr>
          <w:rFonts w:ascii="Arial" w:hAnsi="Arial" w:cs="Arial"/>
          <w:color w:val="808080" w:themeColor="background1" w:themeShade="80"/>
          <w:sz w:val="22"/>
          <w:szCs w:val="22"/>
          <w:lang w:val="en-HK"/>
        </w:rPr>
        <w:t xml:space="preserve">As there is a mortgage over half of Punk Lizard’s fleet and Punk Lizard has defaulted, TNB will be permitted to take possession (of the half of the fleet that is secured) and exercise its power of sale in respect of the </w:t>
      </w:r>
      <w:r w:rsidR="003F3E33" w:rsidRPr="00A25E12">
        <w:rPr>
          <w:rFonts w:ascii="Arial" w:hAnsi="Arial" w:cs="Arial"/>
          <w:color w:val="808080" w:themeColor="background1" w:themeShade="80"/>
          <w:sz w:val="22"/>
          <w:szCs w:val="22"/>
          <w:lang w:val="en-HK"/>
        </w:rPr>
        <w:t xml:space="preserve">(half) </w:t>
      </w:r>
      <w:r w:rsidR="004A16EA" w:rsidRPr="00A25E12">
        <w:rPr>
          <w:rFonts w:ascii="Arial" w:hAnsi="Arial" w:cs="Arial"/>
          <w:color w:val="808080" w:themeColor="background1" w:themeShade="80"/>
          <w:sz w:val="22"/>
          <w:szCs w:val="22"/>
          <w:lang w:val="en-HK"/>
        </w:rPr>
        <w:t xml:space="preserve">fleet (as mortgagee in possession). </w:t>
      </w:r>
      <w:r w:rsidR="000470D2" w:rsidRPr="00A25E12">
        <w:rPr>
          <w:rFonts w:ascii="Arial" w:hAnsi="Arial" w:cs="Arial"/>
          <w:color w:val="808080" w:themeColor="background1" w:themeShade="80"/>
          <w:sz w:val="22"/>
          <w:szCs w:val="22"/>
          <w:lang w:val="en-HK"/>
        </w:rPr>
        <w:t>Alternatively,</w:t>
      </w:r>
      <w:r w:rsidR="004A16EA" w:rsidRPr="00A25E12">
        <w:rPr>
          <w:rFonts w:ascii="Arial" w:hAnsi="Arial" w:cs="Arial"/>
          <w:color w:val="808080" w:themeColor="background1" w:themeShade="80"/>
          <w:sz w:val="22"/>
          <w:szCs w:val="22"/>
          <w:lang w:val="en-HK"/>
        </w:rPr>
        <w:t xml:space="preserve"> TNB may appoint a receiver to realise the half of the fleet that is secured</w:t>
      </w:r>
      <w:r w:rsidR="004A16EA" w:rsidRPr="00A25E12">
        <w:rPr>
          <w:rStyle w:val="FootnoteReference"/>
          <w:rFonts w:ascii="Arial" w:hAnsi="Arial" w:cs="Arial"/>
          <w:color w:val="808080" w:themeColor="background1" w:themeShade="80"/>
          <w:sz w:val="22"/>
          <w:szCs w:val="22"/>
          <w:lang w:val="en-HK"/>
        </w:rPr>
        <w:footnoteReference w:id="119"/>
      </w:r>
      <w:r w:rsidR="004A16EA" w:rsidRPr="00A25E12">
        <w:rPr>
          <w:rFonts w:ascii="Arial" w:hAnsi="Arial" w:cs="Arial"/>
          <w:color w:val="808080" w:themeColor="background1" w:themeShade="80"/>
          <w:sz w:val="22"/>
          <w:szCs w:val="22"/>
          <w:lang w:val="en-HK"/>
        </w:rPr>
        <w:t>.</w:t>
      </w:r>
    </w:p>
    <w:p w14:paraId="2FA4B19E" w14:textId="77777777" w:rsidR="004A16EA" w:rsidRPr="00A25E12" w:rsidRDefault="004A16EA" w:rsidP="00A25E12">
      <w:pPr>
        <w:pStyle w:val="ListParagraph"/>
        <w:jc w:val="both"/>
        <w:rPr>
          <w:rFonts w:ascii="Arial" w:hAnsi="Arial" w:cs="Arial"/>
          <w:color w:val="808080" w:themeColor="background1" w:themeShade="80"/>
          <w:sz w:val="22"/>
          <w:szCs w:val="22"/>
          <w:lang w:val="en-HK"/>
        </w:rPr>
      </w:pPr>
    </w:p>
    <w:p w14:paraId="054BF0DC" w14:textId="18FF2717" w:rsidR="004A16EA" w:rsidRPr="00A25E12" w:rsidRDefault="00D20A53" w:rsidP="00A25E12">
      <w:pPr>
        <w:jc w:val="both"/>
        <w:rPr>
          <w:rFonts w:ascii="Arial" w:hAnsi="Arial" w:cs="Arial"/>
          <w:color w:val="808080" w:themeColor="background1" w:themeShade="80"/>
          <w:sz w:val="22"/>
          <w:szCs w:val="22"/>
          <w:lang w:val="en-HK"/>
        </w:rPr>
      </w:pPr>
      <w:r w:rsidRPr="00A25E12">
        <w:rPr>
          <w:rFonts w:ascii="Arial" w:hAnsi="Arial" w:cs="Arial"/>
          <w:color w:val="808080" w:themeColor="background1" w:themeShade="80"/>
          <w:sz w:val="22"/>
          <w:szCs w:val="22"/>
          <w:lang w:val="en-HK"/>
        </w:rPr>
        <w:t>Further to section 142(1) of the Companies Act (2023 Revision), even if a winding up order is made against Punk Lizard</w:t>
      </w:r>
      <w:r w:rsidR="000470D2" w:rsidRPr="00A25E12">
        <w:rPr>
          <w:rFonts w:ascii="Arial" w:hAnsi="Arial" w:cs="Arial"/>
          <w:color w:val="808080" w:themeColor="background1" w:themeShade="80"/>
          <w:sz w:val="22"/>
          <w:szCs w:val="22"/>
          <w:lang w:val="en-HK"/>
        </w:rPr>
        <w:t xml:space="preserve"> by another creditor</w:t>
      </w:r>
      <w:r w:rsidRPr="00A25E12">
        <w:rPr>
          <w:rFonts w:ascii="Arial" w:hAnsi="Arial" w:cs="Arial"/>
          <w:color w:val="808080" w:themeColor="background1" w:themeShade="80"/>
          <w:sz w:val="22"/>
          <w:szCs w:val="22"/>
          <w:lang w:val="en-HK"/>
        </w:rPr>
        <w:t xml:space="preserve">, TNB will be entitled to enforce its security without leave of the </w:t>
      </w:r>
      <w:r w:rsidR="000B5106" w:rsidRPr="00A25E12">
        <w:rPr>
          <w:rFonts w:ascii="Arial" w:hAnsi="Arial" w:cs="Arial"/>
          <w:color w:val="808080" w:themeColor="background1" w:themeShade="80"/>
          <w:sz w:val="22"/>
          <w:szCs w:val="22"/>
          <w:lang w:val="en-HK"/>
        </w:rPr>
        <w:t>c</w:t>
      </w:r>
      <w:r w:rsidRPr="00A25E12">
        <w:rPr>
          <w:rFonts w:ascii="Arial" w:hAnsi="Arial" w:cs="Arial"/>
          <w:color w:val="808080" w:themeColor="background1" w:themeShade="80"/>
          <w:sz w:val="22"/>
          <w:szCs w:val="22"/>
          <w:lang w:val="en-HK"/>
        </w:rPr>
        <w:t xml:space="preserve">ourt and without reference to </w:t>
      </w:r>
      <w:r w:rsidR="000B5106" w:rsidRPr="00A25E12">
        <w:rPr>
          <w:rFonts w:ascii="Arial" w:hAnsi="Arial" w:cs="Arial"/>
          <w:color w:val="808080" w:themeColor="background1" w:themeShade="80"/>
          <w:sz w:val="22"/>
          <w:szCs w:val="22"/>
          <w:lang w:val="en-HK"/>
        </w:rPr>
        <w:t>any</w:t>
      </w:r>
      <w:r w:rsidRPr="00A25E12">
        <w:rPr>
          <w:rFonts w:ascii="Arial" w:hAnsi="Arial" w:cs="Arial"/>
          <w:color w:val="808080" w:themeColor="background1" w:themeShade="80"/>
          <w:sz w:val="22"/>
          <w:szCs w:val="22"/>
          <w:lang w:val="en-HK"/>
        </w:rPr>
        <w:t xml:space="preserve"> appointed liquidator.</w:t>
      </w:r>
      <w:r w:rsidR="00AC3CBF" w:rsidRPr="00A25E12">
        <w:rPr>
          <w:rStyle w:val="FootnoteReference"/>
          <w:rFonts w:ascii="Arial" w:hAnsi="Arial" w:cs="Arial"/>
          <w:color w:val="808080" w:themeColor="background1" w:themeShade="80"/>
          <w:sz w:val="22"/>
          <w:szCs w:val="22"/>
          <w:lang w:val="en-HK"/>
        </w:rPr>
        <w:footnoteReference w:id="120"/>
      </w:r>
      <w:r w:rsidRPr="00A25E12">
        <w:rPr>
          <w:rFonts w:ascii="Arial" w:hAnsi="Arial" w:cs="Arial"/>
          <w:color w:val="808080" w:themeColor="background1" w:themeShade="80"/>
          <w:sz w:val="22"/>
          <w:szCs w:val="22"/>
          <w:lang w:val="en-HK"/>
        </w:rPr>
        <w:t xml:space="preserve"> Unlike Chapter 11 proceedings in the USA, there is no stay on enforcement by a secured creditor in the Cayman Islands.</w:t>
      </w:r>
      <w:r w:rsidR="00AC3CBF" w:rsidRPr="00A25E12">
        <w:rPr>
          <w:rStyle w:val="FootnoteReference"/>
          <w:rFonts w:ascii="Arial" w:hAnsi="Arial" w:cs="Arial"/>
          <w:color w:val="808080" w:themeColor="background1" w:themeShade="80"/>
          <w:sz w:val="22"/>
          <w:szCs w:val="22"/>
          <w:lang w:val="en-HK"/>
        </w:rPr>
        <w:footnoteReference w:id="121"/>
      </w:r>
      <w:r w:rsidRPr="00A25E12">
        <w:rPr>
          <w:rFonts w:ascii="Arial" w:hAnsi="Arial" w:cs="Arial"/>
          <w:color w:val="808080" w:themeColor="background1" w:themeShade="80"/>
          <w:sz w:val="22"/>
          <w:szCs w:val="22"/>
          <w:lang w:val="en-HK"/>
        </w:rPr>
        <w:t xml:space="preserve"> </w:t>
      </w:r>
      <w:r w:rsidR="004A16EA" w:rsidRPr="00A25E12">
        <w:rPr>
          <w:rFonts w:ascii="Arial" w:hAnsi="Arial" w:cs="Arial"/>
          <w:color w:val="808080" w:themeColor="background1" w:themeShade="80"/>
          <w:sz w:val="22"/>
          <w:szCs w:val="22"/>
          <w:lang w:val="en-GB"/>
        </w:rPr>
        <w:t>In the Cayman Islands, secured creditors rank in priority to all other creditors. Secured creditors can realise their security outside of the liquidation (official or provisional) or restructuring process</w:t>
      </w:r>
      <w:r w:rsidR="004A16EA" w:rsidRPr="00A25E12">
        <w:rPr>
          <w:rStyle w:val="FootnoteReference"/>
          <w:rFonts w:ascii="Arial" w:hAnsi="Arial" w:cs="Arial"/>
          <w:color w:val="808080" w:themeColor="background1" w:themeShade="80"/>
          <w:sz w:val="22"/>
          <w:szCs w:val="22"/>
          <w:lang w:val="en-GB"/>
        </w:rPr>
        <w:footnoteReference w:id="122"/>
      </w:r>
      <w:r w:rsidR="004A16EA" w:rsidRPr="00A25E12">
        <w:rPr>
          <w:rFonts w:ascii="Arial" w:hAnsi="Arial" w:cs="Arial"/>
          <w:color w:val="808080" w:themeColor="background1" w:themeShade="80"/>
          <w:sz w:val="22"/>
          <w:szCs w:val="22"/>
          <w:lang w:val="en-GB"/>
        </w:rPr>
        <w:t>.</w:t>
      </w:r>
    </w:p>
    <w:p w14:paraId="6B0682E7" w14:textId="77777777" w:rsidR="00D20A53" w:rsidRPr="00A25E12" w:rsidRDefault="00D20A53" w:rsidP="00A25E12">
      <w:pPr>
        <w:jc w:val="both"/>
        <w:rPr>
          <w:rFonts w:ascii="Arial" w:hAnsi="Arial" w:cs="Arial"/>
          <w:color w:val="808080" w:themeColor="background1" w:themeShade="80"/>
          <w:sz w:val="22"/>
          <w:szCs w:val="22"/>
          <w:lang w:val="en-HK"/>
        </w:rPr>
      </w:pPr>
    </w:p>
    <w:p w14:paraId="6EBCF4F5" w14:textId="1B4A066F" w:rsidR="00D20A53" w:rsidRPr="00A25E12" w:rsidRDefault="00D20A53"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HK"/>
        </w:rPr>
        <w:t xml:space="preserve">Given that </w:t>
      </w:r>
      <w:r w:rsidR="000B5106" w:rsidRPr="00A25E12">
        <w:rPr>
          <w:rFonts w:ascii="Arial" w:hAnsi="Arial" w:cs="Arial"/>
          <w:color w:val="808080" w:themeColor="background1" w:themeShade="80"/>
          <w:sz w:val="22"/>
          <w:szCs w:val="22"/>
          <w:lang w:val="en-HK"/>
        </w:rPr>
        <w:t>the</w:t>
      </w:r>
      <w:r w:rsidRPr="00A25E12">
        <w:rPr>
          <w:rFonts w:ascii="Arial" w:hAnsi="Arial" w:cs="Arial"/>
          <w:color w:val="808080" w:themeColor="background1" w:themeShade="80"/>
          <w:sz w:val="22"/>
          <w:szCs w:val="22"/>
          <w:lang w:val="en-HK"/>
        </w:rPr>
        <w:t xml:space="preserve"> debt </w:t>
      </w:r>
      <w:r w:rsidR="000B5106" w:rsidRPr="00A25E12">
        <w:rPr>
          <w:rFonts w:ascii="Arial" w:hAnsi="Arial" w:cs="Arial"/>
          <w:color w:val="808080" w:themeColor="background1" w:themeShade="80"/>
          <w:sz w:val="22"/>
          <w:szCs w:val="22"/>
          <w:lang w:val="en-HK"/>
        </w:rPr>
        <w:t xml:space="preserve">owed to TNB </w:t>
      </w:r>
      <w:r w:rsidRPr="00A25E12">
        <w:rPr>
          <w:rFonts w:ascii="Arial" w:hAnsi="Arial" w:cs="Arial"/>
          <w:color w:val="808080" w:themeColor="background1" w:themeShade="80"/>
          <w:sz w:val="22"/>
          <w:szCs w:val="22"/>
          <w:lang w:val="en-HK"/>
        </w:rPr>
        <w:t>is more than the value of its security, TNB’s secured claim is “</w:t>
      </w:r>
      <w:r w:rsidRPr="00A25E12">
        <w:rPr>
          <w:rFonts w:ascii="Arial" w:hAnsi="Arial" w:cs="Arial"/>
          <w:i/>
          <w:iCs/>
          <w:color w:val="808080" w:themeColor="background1" w:themeShade="80"/>
          <w:sz w:val="22"/>
          <w:szCs w:val="22"/>
          <w:lang w:val="en-HK"/>
        </w:rPr>
        <w:t>under-secured</w:t>
      </w:r>
      <w:r w:rsidRPr="00A25E12">
        <w:rPr>
          <w:rFonts w:ascii="Arial" w:hAnsi="Arial" w:cs="Arial"/>
          <w:color w:val="808080" w:themeColor="background1" w:themeShade="80"/>
          <w:sz w:val="22"/>
          <w:szCs w:val="22"/>
          <w:lang w:val="en-HK"/>
        </w:rPr>
        <w:t>”</w:t>
      </w:r>
      <w:r w:rsidR="00C1128C" w:rsidRPr="00A25E12">
        <w:rPr>
          <w:rStyle w:val="FootnoteReference"/>
          <w:rFonts w:ascii="Arial" w:hAnsi="Arial" w:cs="Arial"/>
          <w:color w:val="808080" w:themeColor="background1" w:themeShade="80"/>
          <w:sz w:val="22"/>
          <w:szCs w:val="22"/>
          <w:lang w:val="en-HK"/>
        </w:rPr>
        <w:footnoteReference w:id="123"/>
      </w:r>
      <w:r w:rsidRPr="00A25E12">
        <w:rPr>
          <w:rFonts w:ascii="Arial" w:hAnsi="Arial" w:cs="Arial"/>
          <w:color w:val="808080" w:themeColor="background1" w:themeShade="80"/>
          <w:sz w:val="22"/>
          <w:szCs w:val="22"/>
          <w:lang w:val="en-HK"/>
        </w:rPr>
        <w:t xml:space="preserve">. As a result, after any realisation of Punk Lizard’s </w:t>
      </w:r>
      <w:r w:rsidR="000B5106" w:rsidRPr="00A25E12">
        <w:rPr>
          <w:rFonts w:ascii="Arial" w:hAnsi="Arial" w:cs="Arial"/>
          <w:color w:val="808080" w:themeColor="background1" w:themeShade="80"/>
          <w:sz w:val="22"/>
          <w:szCs w:val="22"/>
          <w:lang w:val="en-HK"/>
        </w:rPr>
        <w:t xml:space="preserve">(half) </w:t>
      </w:r>
      <w:r w:rsidRPr="00A25E12">
        <w:rPr>
          <w:rFonts w:ascii="Arial" w:hAnsi="Arial" w:cs="Arial"/>
          <w:color w:val="808080" w:themeColor="background1" w:themeShade="80"/>
          <w:sz w:val="22"/>
          <w:szCs w:val="22"/>
          <w:lang w:val="en-HK"/>
        </w:rPr>
        <w:t xml:space="preserve">fleet, TNB would have an unsecured claim against Punk Lizard for the balance. </w:t>
      </w:r>
      <w:r w:rsidR="000B5106" w:rsidRPr="00A25E12">
        <w:rPr>
          <w:rFonts w:ascii="Arial" w:hAnsi="Arial" w:cs="Arial"/>
          <w:color w:val="808080" w:themeColor="background1" w:themeShade="80"/>
          <w:sz w:val="22"/>
          <w:szCs w:val="22"/>
          <w:lang w:val="en-HK"/>
        </w:rPr>
        <w:t xml:space="preserve">As an unsecured creditor, TNB has the right to file a winding-up petition in respect of Punk Lizard. </w:t>
      </w:r>
      <w:r w:rsidRPr="00A25E12">
        <w:rPr>
          <w:rFonts w:ascii="Arial" w:hAnsi="Arial" w:cs="Arial"/>
          <w:color w:val="808080" w:themeColor="background1" w:themeShade="80"/>
          <w:sz w:val="22"/>
          <w:szCs w:val="22"/>
          <w:lang w:val="en-HK"/>
        </w:rPr>
        <w:t>In the liquidation, TNB “</w:t>
      </w:r>
      <w:r w:rsidRPr="00A25E12">
        <w:rPr>
          <w:rFonts w:ascii="Arial" w:hAnsi="Arial" w:cs="Arial"/>
          <w:i/>
          <w:iCs/>
          <w:color w:val="808080" w:themeColor="background1" w:themeShade="80"/>
          <w:sz w:val="22"/>
          <w:szCs w:val="22"/>
          <w:lang w:val="en-HK"/>
        </w:rPr>
        <w:t>may prove in the liquidation for the unsecured balance</w:t>
      </w:r>
      <w:r w:rsidRPr="00A25E12">
        <w:rPr>
          <w:rFonts w:ascii="Arial" w:hAnsi="Arial" w:cs="Arial"/>
          <w:color w:val="808080" w:themeColor="background1" w:themeShade="80"/>
          <w:sz w:val="22"/>
          <w:szCs w:val="22"/>
          <w:lang w:val="en-HK"/>
        </w:rPr>
        <w:t>”</w:t>
      </w:r>
      <w:r w:rsidR="00C1128C" w:rsidRPr="00A25E12">
        <w:rPr>
          <w:rStyle w:val="FootnoteReference"/>
          <w:rFonts w:ascii="Arial" w:hAnsi="Arial" w:cs="Arial"/>
          <w:color w:val="808080" w:themeColor="background1" w:themeShade="80"/>
          <w:sz w:val="22"/>
          <w:szCs w:val="22"/>
          <w:lang w:val="en-HK"/>
        </w:rPr>
        <w:footnoteReference w:id="124"/>
      </w:r>
      <w:r w:rsidRPr="00A25E12">
        <w:rPr>
          <w:rFonts w:ascii="Arial" w:hAnsi="Arial" w:cs="Arial"/>
          <w:color w:val="808080" w:themeColor="background1" w:themeShade="80"/>
          <w:sz w:val="22"/>
          <w:szCs w:val="22"/>
          <w:lang w:val="en-HK"/>
        </w:rPr>
        <w:t xml:space="preserve"> of USD 450 million. According to Order 17, rule 1(3) of the </w:t>
      </w:r>
      <w:bookmarkStart w:id="1" w:name="_Hlk168044549"/>
      <w:r w:rsidRPr="00A25E12">
        <w:rPr>
          <w:rFonts w:ascii="Arial" w:hAnsi="Arial" w:cs="Arial"/>
          <w:color w:val="808080" w:themeColor="background1" w:themeShade="80"/>
          <w:sz w:val="22"/>
          <w:szCs w:val="22"/>
          <w:lang w:val="en-HK"/>
        </w:rPr>
        <w:t>Companies Winding Up Rules (2023 Consolidation)</w:t>
      </w:r>
      <w:bookmarkEnd w:id="1"/>
      <w:r w:rsidRPr="00A25E12">
        <w:rPr>
          <w:rFonts w:ascii="Arial" w:hAnsi="Arial" w:cs="Arial"/>
          <w:color w:val="808080" w:themeColor="background1" w:themeShade="80"/>
          <w:sz w:val="22"/>
          <w:szCs w:val="22"/>
          <w:lang w:val="en-HK"/>
        </w:rPr>
        <w:t>, the proof of debt submitted by TNB</w:t>
      </w:r>
      <w:r w:rsidR="000470D2" w:rsidRPr="00A25E12">
        <w:rPr>
          <w:rFonts w:ascii="Arial" w:hAnsi="Arial" w:cs="Arial"/>
          <w:color w:val="808080" w:themeColor="background1" w:themeShade="80"/>
          <w:sz w:val="22"/>
          <w:szCs w:val="22"/>
          <w:lang w:val="en-HK"/>
        </w:rPr>
        <w:t xml:space="preserve"> (</w:t>
      </w:r>
      <w:r w:rsidR="003E5804" w:rsidRPr="00A25E12">
        <w:rPr>
          <w:rFonts w:ascii="Arial" w:hAnsi="Arial" w:cs="Arial"/>
          <w:color w:val="808080" w:themeColor="background1" w:themeShade="80"/>
          <w:sz w:val="22"/>
          <w:szCs w:val="22"/>
          <w:lang w:val="en-HK"/>
        </w:rPr>
        <w:t>as a secured creditor</w:t>
      </w:r>
      <w:r w:rsidR="000470D2" w:rsidRPr="00A25E12">
        <w:rPr>
          <w:rFonts w:ascii="Arial" w:hAnsi="Arial" w:cs="Arial"/>
          <w:color w:val="808080" w:themeColor="background1" w:themeShade="80"/>
          <w:sz w:val="22"/>
          <w:szCs w:val="22"/>
          <w:lang w:val="en-HK"/>
        </w:rPr>
        <w:t>)</w:t>
      </w:r>
      <w:r w:rsidRPr="00A25E12">
        <w:rPr>
          <w:rFonts w:ascii="Arial" w:hAnsi="Arial" w:cs="Arial"/>
          <w:color w:val="808080" w:themeColor="background1" w:themeShade="80"/>
          <w:sz w:val="22"/>
          <w:szCs w:val="22"/>
          <w:lang w:val="en-HK"/>
        </w:rPr>
        <w:t xml:space="preserve"> “</w:t>
      </w:r>
      <w:r w:rsidRPr="00A25E12">
        <w:rPr>
          <w:rFonts w:ascii="Arial" w:hAnsi="Arial" w:cs="Arial"/>
          <w:i/>
          <w:iCs/>
          <w:color w:val="808080" w:themeColor="background1" w:themeShade="80"/>
          <w:sz w:val="22"/>
          <w:szCs w:val="22"/>
          <w:lang w:val="en-HK"/>
        </w:rPr>
        <w:t>shall state particulars of the security held by the creditor and the value which the secured creditor puts on the security</w:t>
      </w:r>
      <w:r w:rsidRPr="00A25E12">
        <w:rPr>
          <w:rFonts w:ascii="Arial" w:hAnsi="Arial" w:cs="Arial"/>
          <w:color w:val="808080" w:themeColor="background1" w:themeShade="80"/>
          <w:sz w:val="22"/>
          <w:szCs w:val="22"/>
          <w:lang w:val="en-HK"/>
        </w:rPr>
        <w:t>.”</w:t>
      </w:r>
      <w:r w:rsidR="00C1128C" w:rsidRPr="00A25E12">
        <w:rPr>
          <w:rStyle w:val="FootnoteReference"/>
          <w:rFonts w:ascii="Arial" w:hAnsi="Arial" w:cs="Arial"/>
          <w:color w:val="808080" w:themeColor="background1" w:themeShade="80"/>
          <w:sz w:val="22"/>
          <w:szCs w:val="22"/>
          <w:lang w:val="en-HK"/>
        </w:rPr>
        <w:footnoteReference w:id="125"/>
      </w:r>
    </w:p>
    <w:p w14:paraId="50595D5A" w14:textId="77777777" w:rsidR="00D20A53" w:rsidRPr="00A25E12" w:rsidRDefault="00D20A53" w:rsidP="00A25E12">
      <w:pPr>
        <w:jc w:val="both"/>
        <w:rPr>
          <w:rFonts w:ascii="Arial" w:hAnsi="Arial" w:cs="Arial"/>
          <w:color w:val="808080" w:themeColor="background1" w:themeShade="80"/>
          <w:sz w:val="22"/>
          <w:szCs w:val="22"/>
          <w:lang w:val="en-GB"/>
        </w:rPr>
      </w:pPr>
    </w:p>
    <w:p w14:paraId="0ADD72AD" w14:textId="4CF2734E" w:rsidR="003F3E33" w:rsidRPr="00A25E12" w:rsidRDefault="00C1128C" w:rsidP="00A25E12">
      <w:pPr>
        <w:jc w:val="both"/>
        <w:rPr>
          <w:rFonts w:ascii="Arial" w:hAnsi="Arial" w:cs="Arial"/>
          <w:b/>
          <w:bCs/>
          <w:color w:val="808080" w:themeColor="background1" w:themeShade="80"/>
          <w:sz w:val="22"/>
          <w:szCs w:val="22"/>
          <w:u w:val="single"/>
          <w:lang w:val="en-GB"/>
        </w:rPr>
      </w:pPr>
      <w:r w:rsidRPr="00A25E12">
        <w:rPr>
          <w:rFonts w:ascii="Arial" w:hAnsi="Arial" w:cs="Arial"/>
          <w:b/>
          <w:bCs/>
          <w:color w:val="808080" w:themeColor="background1" w:themeShade="80"/>
          <w:sz w:val="22"/>
          <w:szCs w:val="22"/>
          <w:u w:val="single"/>
          <w:lang w:val="en-GB"/>
        </w:rPr>
        <w:t>Question 4(b)</w:t>
      </w:r>
    </w:p>
    <w:p w14:paraId="3CE7ECB3" w14:textId="5D080B9E" w:rsidR="003166C0" w:rsidRPr="00A25E12" w:rsidRDefault="00B47097"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rPr>
        <w:t>H</w:t>
      </w:r>
      <w:r w:rsidR="009028BA" w:rsidRPr="00A25E12">
        <w:rPr>
          <w:rFonts w:ascii="Arial" w:hAnsi="Arial" w:cs="Arial"/>
          <w:color w:val="808080" w:themeColor="background1" w:themeShade="80"/>
          <w:sz w:val="22"/>
          <w:szCs w:val="22"/>
        </w:rPr>
        <w:t>arland &amp; Wolff (“</w:t>
      </w:r>
      <w:r w:rsidR="009028BA" w:rsidRPr="00A25E12">
        <w:rPr>
          <w:rFonts w:ascii="Arial" w:hAnsi="Arial" w:cs="Arial"/>
          <w:b/>
          <w:bCs/>
          <w:color w:val="808080" w:themeColor="background1" w:themeShade="80"/>
          <w:sz w:val="22"/>
          <w:szCs w:val="22"/>
        </w:rPr>
        <w:t>H&amp;W</w:t>
      </w:r>
      <w:r w:rsidR="009028BA" w:rsidRPr="00A25E12">
        <w:rPr>
          <w:rFonts w:ascii="Arial" w:hAnsi="Arial" w:cs="Arial"/>
          <w:color w:val="808080" w:themeColor="background1" w:themeShade="80"/>
          <w:sz w:val="22"/>
          <w:szCs w:val="22"/>
        </w:rPr>
        <w:t>”)</w:t>
      </w:r>
      <w:r w:rsidRPr="00A25E12">
        <w:rPr>
          <w:rFonts w:ascii="Arial" w:hAnsi="Arial" w:cs="Arial"/>
          <w:color w:val="808080" w:themeColor="background1" w:themeShade="80"/>
          <w:sz w:val="22"/>
          <w:szCs w:val="22"/>
        </w:rPr>
        <w:t xml:space="preserve"> have secured an arbitration judgment from the ICC in London for USD 150 million which is payable within 28 days (“</w:t>
      </w:r>
      <w:r w:rsidRPr="00A25E12">
        <w:rPr>
          <w:rFonts w:ascii="Arial" w:hAnsi="Arial" w:cs="Arial"/>
          <w:b/>
          <w:bCs/>
          <w:color w:val="808080" w:themeColor="background1" w:themeShade="80"/>
          <w:sz w:val="22"/>
          <w:szCs w:val="22"/>
        </w:rPr>
        <w:t>Arbitration Judgment</w:t>
      </w:r>
      <w:r w:rsidRPr="00A25E12">
        <w:rPr>
          <w:rFonts w:ascii="Arial" w:hAnsi="Arial" w:cs="Arial"/>
          <w:color w:val="808080" w:themeColor="background1" w:themeShade="80"/>
          <w:sz w:val="22"/>
          <w:szCs w:val="22"/>
        </w:rPr>
        <w:t>”). The United Kingdom is a contracting state to the Convention on the Recognition and Enforcement of Foreign Arbitral Awards (“</w:t>
      </w:r>
      <w:r w:rsidRPr="00A25E12">
        <w:rPr>
          <w:rFonts w:ascii="Arial" w:hAnsi="Arial" w:cs="Arial"/>
          <w:b/>
          <w:bCs/>
          <w:color w:val="808080" w:themeColor="background1" w:themeShade="80"/>
          <w:sz w:val="22"/>
          <w:szCs w:val="22"/>
        </w:rPr>
        <w:t>New York Convention</w:t>
      </w:r>
      <w:r w:rsidRPr="00A25E12">
        <w:rPr>
          <w:rFonts w:ascii="Arial" w:hAnsi="Arial" w:cs="Arial"/>
          <w:color w:val="808080" w:themeColor="background1" w:themeShade="80"/>
          <w:sz w:val="22"/>
          <w:szCs w:val="22"/>
        </w:rPr>
        <w:t xml:space="preserve">”). The Cayman Islands implemented the New York Convention via the Foreign Arbitral Awards Enforcement Act (1997 Revision) </w:t>
      </w:r>
      <w:r w:rsidRPr="00A25E12">
        <w:rPr>
          <w:rFonts w:ascii="Arial" w:hAnsi="Arial" w:cs="Arial"/>
          <w:color w:val="808080" w:themeColor="background1" w:themeShade="80"/>
          <w:sz w:val="22"/>
          <w:szCs w:val="22"/>
        </w:rPr>
        <w:lastRenderedPageBreak/>
        <w:t>(“</w:t>
      </w:r>
      <w:r w:rsidRPr="00A25E12">
        <w:rPr>
          <w:rFonts w:ascii="Arial" w:hAnsi="Arial" w:cs="Arial"/>
          <w:b/>
          <w:bCs/>
          <w:color w:val="808080" w:themeColor="background1" w:themeShade="80"/>
          <w:sz w:val="22"/>
          <w:szCs w:val="22"/>
        </w:rPr>
        <w:t>Enforcement Act</w:t>
      </w:r>
      <w:r w:rsidRPr="00A25E12">
        <w:rPr>
          <w:rFonts w:ascii="Arial" w:hAnsi="Arial" w:cs="Arial"/>
          <w:color w:val="808080" w:themeColor="background1" w:themeShade="80"/>
          <w:sz w:val="22"/>
          <w:szCs w:val="22"/>
        </w:rPr>
        <w:t xml:space="preserve">”). This means that arbitral awards made in any state that is a party to the New York Convention can be </w:t>
      </w:r>
      <w:proofErr w:type="spellStart"/>
      <w:r w:rsidRPr="00A25E12">
        <w:rPr>
          <w:rFonts w:ascii="Arial" w:hAnsi="Arial" w:cs="Arial"/>
          <w:color w:val="808080" w:themeColor="background1" w:themeShade="80"/>
          <w:sz w:val="22"/>
          <w:szCs w:val="22"/>
        </w:rPr>
        <w:t>recognised</w:t>
      </w:r>
      <w:proofErr w:type="spellEnd"/>
      <w:r w:rsidRPr="00A25E12">
        <w:rPr>
          <w:rFonts w:ascii="Arial" w:hAnsi="Arial" w:cs="Arial"/>
          <w:color w:val="808080" w:themeColor="background1" w:themeShade="80"/>
          <w:sz w:val="22"/>
          <w:szCs w:val="22"/>
        </w:rPr>
        <w:t xml:space="preserve"> and enforced in the Cayman Islands under the Enforcement Act</w:t>
      </w:r>
      <w:r w:rsidR="003166C0" w:rsidRPr="00A25E12">
        <w:rPr>
          <w:rStyle w:val="FootnoteReference"/>
          <w:rFonts w:ascii="Arial" w:hAnsi="Arial" w:cs="Arial"/>
          <w:color w:val="808080" w:themeColor="background1" w:themeShade="80"/>
          <w:sz w:val="22"/>
          <w:szCs w:val="22"/>
        </w:rPr>
        <w:footnoteReference w:id="126"/>
      </w:r>
      <w:r w:rsidRPr="00A25E12">
        <w:rPr>
          <w:rFonts w:ascii="Arial" w:hAnsi="Arial" w:cs="Arial"/>
          <w:color w:val="808080" w:themeColor="background1" w:themeShade="80"/>
          <w:sz w:val="22"/>
          <w:szCs w:val="22"/>
        </w:rPr>
        <w:t>.</w:t>
      </w:r>
    </w:p>
    <w:p w14:paraId="0392CF73" w14:textId="77777777" w:rsidR="00E16592" w:rsidRPr="00A25E12" w:rsidRDefault="00E16592" w:rsidP="00A25E12">
      <w:pPr>
        <w:jc w:val="both"/>
        <w:rPr>
          <w:rFonts w:ascii="Arial" w:hAnsi="Arial" w:cs="Arial"/>
          <w:color w:val="808080" w:themeColor="background1" w:themeShade="80"/>
          <w:sz w:val="22"/>
          <w:szCs w:val="22"/>
        </w:rPr>
      </w:pPr>
    </w:p>
    <w:p w14:paraId="4D792BA7" w14:textId="4FA173F6" w:rsidR="00B47097" w:rsidRPr="00A25E12" w:rsidRDefault="00B47097"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rPr>
        <w:t>H&amp;W</w:t>
      </w:r>
      <w:r w:rsidR="00C51FF7" w:rsidRPr="00A25E12">
        <w:rPr>
          <w:rFonts w:ascii="Arial" w:hAnsi="Arial" w:cs="Arial"/>
          <w:color w:val="808080" w:themeColor="background1" w:themeShade="80"/>
          <w:sz w:val="22"/>
          <w:szCs w:val="22"/>
        </w:rPr>
        <w:t>, to protect its interests,</w:t>
      </w:r>
      <w:r w:rsidRPr="00A25E12">
        <w:rPr>
          <w:rFonts w:ascii="Arial" w:hAnsi="Arial" w:cs="Arial"/>
          <w:color w:val="808080" w:themeColor="background1" w:themeShade="80"/>
          <w:sz w:val="22"/>
          <w:szCs w:val="22"/>
        </w:rPr>
        <w:t xml:space="preserve"> </w:t>
      </w:r>
      <w:r w:rsidR="000470D2" w:rsidRPr="00A25E12">
        <w:rPr>
          <w:rFonts w:ascii="Arial" w:hAnsi="Arial" w:cs="Arial"/>
          <w:color w:val="808080" w:themeColor="background1" w:themeShade="80"/>
          <w:sz w:val="22"/>
          <w:szCs w:val="22"/>
        </w:rPr>
        <w:t>can</w:t>
      </w:r>
      <w:r w:rsidRPr="00A25E12">
        <w:rPr>
          <w:rFonts w:ascii="Arial" w:hAnsi="Arial" w:cs="Arial"/>
          <w:color w:val="808080" w:themeColor="background1" w:themeShade="80"/>
          <w:sz w:val="22"/>
          <w:szCs w:val="22"/>
        </w:rPr>
        <w:t xml:space="preserve"> obtain leave from the Grand Court to enforce the Arbitration Judgment against Punk Lizard (i.e. the arbitral award debtor). This is subject to sections 6 and 7 of the Enforcement Act. Section 6 requires H&amp;W, in seeking to enforce the Arbitration Judgment, to produce a duly authenticated or certified copy of the Arbitration Judgment</w:t>
      </w:r>
      <w:r w:rsidR="00C51FF7" w:rsidRPr="00A25E12">
        <w:rPr>
          <w:rStyle w:val="FootnoteReference"/>
          <w:rFonts w:ascii="Arial" w:hAnsi="Arial" w:cs="Arial"/>
          <w:color w:val="808080" w:themeColor="background1" w:themeShade="80"/>
          <w:sz w:val="22"/>
          <w:szCs w:val="22"/>
        </w:rPr>
        <w:footnoteReference w:id="127"/>
      </w:r>
      <w:r w:rsidRPr="00A25E12">
        <w:rPr>
          <w:rFonts w:ascii="Arial" w:hAnsi="Arial" w:cs="Arial"/>
          <w:color w:val="808080" w:themeColor="background1" w:themeShade="80"/>
          <w:sz w:val="22"/>
          <w:szCs w:val="22"/>
        </w:rPr>
        <w:t xml:space="preserve"> and the original or a duly certified copy of the arbitration agreement</w:t>
      </w:r>
      <w:r w:rsidR="00311894" w:rsidRPr="00A25E12">
        <w:rPr>
          <w:rStyle w:val="FootnoteReference"/>
          <w:rFonts w:ascii="Arial" w:hAnsi="Arial" w:cs="Arial"/>
          <w:color w:val="808080" w:themeColor="background1" w:themeShade="80"/>
          <w:sz w:val="22"/>
          <w:szCs w:val="22"/>
        </w:rPr>
        <w:footnoteReference w:id="128"/>
      </w:r>
      <w:r w:rsidRPr="00A25E12">
        <w:rPr>
          <w:rFonts w:ascii="Arial" w:hAnsi="Arial" w:cs="Arial"/>
          <w:color w:val="808080" w:themeColor="background1" w:themeShade="80"/>
          <w:sz w:val="22"/>
          <w:szCs w:val="22"/>
        </w:rPr>
        <w:t xml:space="preserve">. According to section 7, enforcement of the Arbitration Judgment shall not be refused except in certain cases, such as the </w:t>
      </w:r>
      <w:r w:rsidRPr="00A25E12">
        <w:rPr>
          <w:rFonts w:ascii="Arial" w:hAnsi="Arial" w:cs="Arial"/>
          <w:color w:val="808080" w:themeColor="background1" w:themeShade="80"/>
          <w:sz w:val="22"/>
          <w:szCs w:val="22"/>
          <w:lang w:val="en-HK"/>
        </w:rPr>
        <w:t>invalidity of the arbitration agreement under its governing law</w:t>
      </w:r>
      <w:r w:rsidR="00311894" w:rsidRPr="00A25E12">
        <w:rPr>
          <w:rStyle w:val="FootnoteReference"/>
          <w:rFonts w:ascii="Arial" w:hAnsi="Arial" w:cs="Arial"/>
          <w:color w:val="808080" w:themeColor="background1" w:themeShade="80"/>
          <w:sz w:val="22"/>
          <w:szCs w:val="22"/>
          <w:lang w:val="en-HK"/>
        </w:rPr>
        <w:footnoteReference w:id="129"/>
      </w:r>
      <w:r w:rsidRPr="00A25E12">
        <w:rPr>
          <w:rFonts w:ascii="Arial" w:hAnsi="Arial" w:cs="Arial"/>
          <w:color w:val="808080" w:themeColor="background1" w:themeShade="80"/>
          <w:sz w:val="22"/>
          <w:szCs w:val="22"/>
          <w:lang w:val="en-HK"/>
        </w:rPr>
        <w:t>.</w:t>
      </w:r>
      <w:r w:rsidR="000470D2" w:rsidRPr="00A25E12">
        <w:rPr>
          <w:rFonts w:ascii="Arial" w:hAnsi="Arial" w:cs="Arial"/>
          <w:color w:val="808080" w:themeColor="background1" w:themeShade="80"/>
          <w:sz w:val="22"/>
          <w:szCs w:val="22"/>
          <w:lang w:val="en-HK"/>
        </w:rPr>
        <w:t xml:space="preserve"> There is nothing from the fact pattern to suggest that the Arbitration Judgment cannot be enforced.</w:t>
      </w:r>
      <w:r w:rsidRPr="00A25E12">
        <w:rPr>
          <w:rFonts w:ascii="Arial" w:hAnsi="Arial" w:cs="Arial"/>
          <w:color w:val="808080" w:themeColor="background1" w:themeShade="80"/>
          <w:sz w:val="22"/>
          <w:szCs w:val="22"/>
          <w:lang w:val="en-HK"/>
        </w:rPr>
        <w:t xml:space="preserve"> Once the Arbitration Judgment has been recognised by the Grand Court and becomes enforceable, H&amp;W, as the arbitral award creditor, will be able to enforce the Arbitration Judgment as if it was a Grand Court judgment. This will enable H&amp;W to enforce the award using domestic enforcement procedures such as a charging order or receivership by equitable execution</w:t>
      </w:r>
      <w:r w:rsidR="003166C0" w:rsidRPr="00A25E12">
        <w:rPr>
          <w:rStyle w:val="FootnoteReference"/>
          <w:rFonts w:ascii="Arial" w:hAnsi="Arial" w:cs="Arial"/>
          <w:color w:val="808080" w:themeColor="background1" w:themeShade="80"/>
          <w:sz w:val="22"/>
          <w:szCs w:val="22"/>
          <w:lang w:val="en-HK"/>
        </w:rPr>
        <w:footnoteReference w:id="130"/>
      </w:r>
      <w:r w:rsidRPr="00A25E12">
        <w:rPr>
          <w:rFonts w:ascii="Arial" w:hAnsi="Arial" w:cs="Arial"/>
          <w:color w:val="808080" w:themeColor="background1" w:themeShade="80"/>
          <w:sz w:val="22"/>
          <w:szCs w:val="22"/>
        </w:rPr>
        <w:t>.</w:t>
      </w:r>
    </w:p>
    <w:p w14:paraId="72E80835" w14:textId="77777777" w:rsidR="00B47097" w:rsidRPr="00A25E12" w:rsidRDefault="00B47097" w:rsidP="00A25E12">
      <w:pPr>
        <w:jc w:val="both"/>
        <w:rPr>
          <w:rFonts w:ascii="Arial" w:hAnsi="Arial" w:cs="Arial"/>
          <w:color w:val="808080" w:themeColor="background1" w:themeShade="80"/>
          <w:sz w:val="22"/>
          <w:szCs w:val="22"/>
        </w:rPr>
      </w:pPr>
    </w:p>
    <w:p w14:paraId="35D2AA54" w14:textId="265343CC" w:rsidR="00B47097" w:rsidRPr="00A25E12" w:rsidRDefault="00B47097" w:rsidP="00A25E12">
      <w:pPr>
        <w:jc w:val="both"/>
        <w:rPr>
          <w:rFonts w:ascii="Arial" w:hAnsi="Arial" w:cs="Arial"/>
          <w:color w:val="808080" w:themeColor="background1" w:themeShade="80"/>
          <w:sz w:val="22"/>
          <w:szCs w:val="22"/>
        </w:rPr>
      </w:pPr>
      <w:r w:rsidRPr="00A25E12">
        <w:rPr>
          <w:rFonts w:ascii="Arial" w:hAnsi="Arial" w:cs="Arial"/>
          <w:color w:val="808080" w:themeColor="background1" w:themeShade="80"/>
          <w:sz w:val="22"/>
          <w:szCs w:val="22"/>
        </w:rPr>
        <w:t xml:space="preserve">Alternatively (or in addition to obtaining leave from the Grand Court to enforce the Arbitration Judgment), H&amp;W, as arbitral award creditor, can wind up Punk Lizard as soon as the Arbitration Judgment is issued. In </w:t>
      </w:r>
      <w:r w:rsidRPr="00A25E12">
        <w:rPr>
          <w:rFonts w:ascii="Arial" w:hAnsi="Arial" w:cs="Arial"/>
          <w:i/>
          <w:iCs/>
          <w:color w:val="808080" w:themeColor="background1" w:themeShade="80"/>
          <w:sz w:val="22"/>
          <w:szCs w:val="22"/>
        </w:rPr>
        <w:t>Re China Hospitals Incorporated</w:t>
      </w:r>
      <w:r w:rsidR="001971E8" w:rsidRPr="00A25E12">
        <w:rPr>
          <w:rStyle w:val="FootnoteReference"/>
          <w:rFonts w:ascii="Arial" w:hAnsi="Arial" w:cs="Arial"/>
          <w:color w:val="808080" w:themeColor="background1" w:themeShade="80"/>
          <w:sz w:val="22"/>
          <w:szCs w:val="22"/>
        </w:rPr>
        <w:footnoteReference w:id="131"/>
      </w:r>
      <w:r w:rsidRPr="00A25E12">
        <w:rPr>
          <w:rFonts w:ascii="Arial" w:hAnsi="Arial" w:cs="Arial"/>
          <w:color w:val="808080" w:themeColor="background1" w:themeShade="80"/>
          <w:sz w:val="22"/>
          <w:szCs w:val="22"/>
        </w:rPr>
        <w:t xml:space="preserve">,  </w:t>
      </w:r>
      <w:proofErr w:type="spellStart"/>
      <w:r w:rsidRPr="00A25E12">
        <w:rPr>
          <w:rFonts w:ascii="Arial" w:hAnsi="Arial" w:cs="Arial"/>
          <w:color w:val="808080" w:themeColor="background1" w:themeShade="80"/>
          <w:sz w:val="22"/>
          <w:szCs w:val="22"/>
        </w:rPr>
        <w:t>Kawaley</w:t>
      </w:r>
      <w:proofErr w:type="spellEnd"/>
      <w:r w:rsidRPr="00A25E12">
        <w:rPr>
          <w:rFonts w:ascii="Arial" w:hAnsi="Arial" w:cs="Arial"/>
          <w:color w:val="808080" w:themeColor="background1" w:themeShade="80"/>
          <w:sz w:val="22"/>
          <w:szCs w:val="22"/>
        </w:rPr>
        <w:t xml:space="preserve"> J held that “</w:t>
      </w:r>
      <w:r w:rsidRPr="00A25E12">
        <w:rPr>
          <w:rFonts w:ascii="Arial" w:hAnsi="Arial" w:cs="Arial"/>
          <w:i/>
          <w:iCs/>
          <w:color w:val="808080" w:themeColor="background1" w:themeShade="80"/>
          <w:sz w:val="22"/>
          <w:szCs w:val="22"/>
        </w:rPr>
        <w:t>[a]</w:t>
      </w:r>
      <w:proofErr w:type="spellStart"/>
      <w:r w:rsidRPr="00A25E12">
        <w:rPr>
          <w:rFonts w:ascii="Arial" w:hAnsi="Arial" w:cs="Arial"/>
          <w:i/>
          <w:iCs/>
          <w:color w:val="808080" w:themeColor="background1" w:themeShade="80"/>
          <w:sz w:val="22"/>
          <w:szCs w:val="22"/>
        </w:rPr>
        <w:t>fter</w:t>
      </w:r>
      <w:proofErr w:type="spellEnd"/>
      <w:r w:rsidRPr="00A25E12">
        <w:rPr>
          <w:rFonts w:ascii="Arial" w:hAnsi="Arial" w:cs="Arial"/>
          <w:i/>
          <w:iCs/>
          <w:color w:val="808080" w:themeColor="background1" w:themeShade="80"/>
          <w:sz w:val="22"/>
          <w:szCs w:val="22"/>
        </w:rPr>
        <w:t xml:space="preserve"> an award has been obtained, there is a strong public policy imperative requiring courts to enforce arbitration awards</w:t>
      </w:r>
      <w:r w:rsidRPr="00A25E12">
        <w:rPr>
          <w:rFonts w:ascii="Arial" w:hAnsi="Arial" w:cs="Arial"/>
          <w:color w:val="808080" w:themeColor="background1" w:themeShade="80"/>
          <w:sz w:val="22"/>
          <w:szCs w:val="22"/>
        </w:rPr>
        <w:t>.”</w:t>
      </w:r>
      <w:r w:rsidR="001971E8" w:rsidRPr="00A25E12">
        <w:rPr>
          <w:rStyle w:val="FootnoteReference"/>
          <w:rFonts w:ascii="Arial" w:hAnsi="Arial" w:cs="Arial"/>
          <w:color w:val="808080" w:themeColor="background1" w:themeShade="80"/>
          <w:sz w:val="22"/>
          <w:szCs w:val="22"/>
        </w:rPr>
        <w:footnoteReference w:id="132"/>
      </w:r>
      <w:r w:rsidRPr="00A25E12">
        <w:rPr>
          <w:rFonts w:ascii="Arial" w:hAnsi="Arial" w:cs="Arial"/>
          <w:color w:val="808080" w:themeColor="background1" w:themeShade="80"/>
          <w:sz w:val="22"/>
          <w:szCs w:val="22"/>
        </w:rPr>
        <w:t xml:space="preserve"> Applying </w:t>
      </w:r>
      <w:r w:rsidRPr="00A25E12">
        <w:rPr>
          <w:rFonts w:ascii="Arial" w:hAnsi="Arial" w:cs="Arial"/>
          <w:i/>
          <w:iCs/>
          <w:color w:val="808080" w:themeColor="background1" w:themeShade="80"/>
          <w:sz w:val="22"/>
          <w:szCs w:val="22"/>
        </w:rPr>
        <w:t>Re China Hospitals Incorporated</w:t>
      </w:r>
      <w:r w:rsidRPr="00A25E12">
        <w:rPr>
          <w:rFonts w:ascii="Arial" w:hAnsi="Arial" w:cs="Arial"/>
          <w:color w:val="808080" w:themeColor="background1" w:themeShade="80"/>
          <w:sz w:val="22"/>
          <w:szCs w:val="22"/>
        </w:rPr>
        <w:t xml:space="preserve"> to the fact pattern, if Punk Lizard</w:t>
      </w:r>
      <w:r w:rsidR="000470D2" w:rsidRPr="00A25E12">
        <w:rPr>
          <w:rFonts w:ascii="Arial" w:hAnsi="Arial" w:cs="Arial"/>
          <w:color w:val="808080" w:themeColor="background1" w:themeShade="80"/>
          <w:sz w:val="22"/>
          <w:szCs w:val="22"/>
        </w:rPr>
        <w:t>,</w:t>
      </w:r>
      <w:r w:rsidRPr="00A25E12">
        <w:rPr>
          <w:rFonts w:ascii="Arial" w:hAnsi="Arial" w:cs="Arial"/>
          <w:color w:val="808080" w:themeColor="background1" w:themeShade="80"/>
          <w:sz w:val="22"/>
          <w:szCs w:val="22"/>
        </w:rPr>
        <w:t xml:space="preserve"> as an arbitral award debtor</w:t>
      </w:r>
      <w:r w:rsidR="000470D2" w:rsidRPr="00A25E12">
        <w:rPr>
          <w:rFonts w:ascii="Arial" w:hAnsi="Arial" w:cs="Arial"/>
          <w:color w:val="808080" w:themeColor="background1" w:themeShade="80"/>
          <w:sz w:val="22"/>
          <w:szCs w:val="22"/>
        </w:rPr>
        <w:t>,</w:t>
      </w:r>
      <w:r w:rsidRPr="00A25E12">
        <w:rPr>
          <w:rFonts w:ascii="Arial" w:hAnsi="Arial" w:cs="Arial"/>
          <w:color w:val="808080" w:themeColor="background1" w:themeShade="80"/>
          <w:sz w:val="22"/>
          <w:szCs w:val="22"/>
        </w:rPr>
        <w:t xml:space="preserve"> does not or cannot satisfy the Arbitration Judgment, it would be permissible to wind up the company on public policy grounds.</w:t>
      </w:r>
    </w:p>
    <w:p w14:paraId="541778DA" w14:textId="77777777" w:rsidR="00E01521" w:rsidRPr="00A25E12" w:rsidRDefault="00E01521" w:rsidP="00A25E12">
      <w:pPr>
        <w:jc w:val="both"/>
        <w:rPr>
          <w:rFonts w:ascii="Arial" w:hAnsi="Arial" w:cs="Arial"/>
          <w:color w:val="808080" w:themeColor="background1" w:themeShade="80"/>
          <w:sz w:val="22"/>
          <w:szCs w:val="22"/>
        </w:rPr>
      </w:pPr>
    </w:p>
    <w:p w14:paraId="74723151" w14:textId="53B5BD44" w:rsidR="00E01521" w:rsidRPr="00A25E12" w:rsidRDefault="00E01521" w:rsidP="00A25E12">
      <w:pPr>
        <w:jc w:val="both"/>
        <w:rPr>
          <w:rFonts w:ascii="Arial" w:hAnsi="Arial" w:cs="Arial"/>
          <w:color w:val="808080" w:themeColor="background1" w:themeShade="80"/>
          <w:sz w:val="22"/>
          <w:szCs w:val="22"/>
        </w:rPr>
      </w:pPr>
      <w:r w:rsidRPr="00A25E12">
        <w:rPr>
          <w:rFonts w:ascii="Arial" w:hAnsi="Arial" w:cs="Arial"/>
          <w:color w:val="808080" w:themeColor="background1" w:themeShade="80"/>
          <w:sz w:val="22"/>
          <w:szCs w:val="22"/>
        </w:rPr>
        <w:t>As an alternative to all the above, H&amp;W could serve a statutory demand</w:t>
      </w:r>
      <w:r w:rsidRPr="00A25E12">
        <w:rPr>
          <w:rStyle w:val="FootnoteReference"/>
          <w:rFonts w:ascii="Arial" w:hAnsi="Arial" w:cs="Arial"/>
          <w:color w:val="808080" w:themeColor="background1" w:themeShade="80"/>
          <w:sz w:val="22"/>
          <w:szCs w:val="22"/>
        </w:rPr>
        <w:footnoteReference w:id="133"/>
      </w:r>
      <w:r w:rsidRPr="00A25E12">
        <w:rPr>
          <w:rFonts w:ascii="Arial" w:hAnsi="Arial" w:cs="Arial"/>
          <w:color w:val="808080" w:themeColor="background1" w:themeShade="80"/>
          <w:sz w:val="22"/>
          <w:szCs w:val="22"/>
        </w:rPr>
        <w:t xml:space="preserve"> on Punk Lizard. This will place pressure on Punk Lizard to engage in payment discussions</w:t>
      </w:r>
      <w:r w:rsidR="006D3096" w:rsidRPr="00A25E12">
        <w:rPr>
          <w:rFonts w:ascii="Arial" w:hAnsi="Arial" w:cs="Arial"/>
          <w:color w:val="808080" w:themeColor="background1" w:themeShade="80"/>
          <w:sz w:val="22"/>
          <w:szCs w:val="22"/>
        </w:rPr>
        <w:t xml:space="preserve"> with H&amp;W</w:t>
      </w:r>
      <w:r w:rsidRPr="00A25E12">
        <w:rPr>
          <w:rFonts w:ascii="Arial" w:hAnsi="Arial" w:cs="Arial"/>
          <w:color w:val="808080" w:themeColor="background1" w:themeShade="80"/>
          <w:sz w:val="22"/>
          <w:szCs w:val="22"/>
        </w:rPr>
        <w:t xml:space="preserve"> and avoid the need and cost of either obtaining leave of the Grand Court</w:t>
      </w:r>
      <w:r w:rsidR="006D3096" w:rsidRPr="00A25E12">
        <w:rPr>
          <w:rFonts w:ascii="Arial" w:hAnsi="Arial" w:cs="Arial"/>
          <w:color w:val="808080" w:themeColor="background1" w:themeShade="80"/>
          <w:sz w:val="22"/>
          <w:szCs w:val="22"/>
        </w:rPr>
        <w:t xml:space="preserve"> to enforce the Arbitration Judgment</w:t>
      </w:r>
      <w:r w:rsidRPr="00A25E12">
        <w:rPr>
          <w:rFonts w:ascii="Arial" w:hAnsi="Arial" w:cs="Arial"/>
          <w:color w:val="808080" w:themeColor="background1" w:themeShade="80"/>
          <w:sz w:val="22"/>
          <w:szCs w:val="22"/>
        </w:rPr>
        <w:t xml:space="preserve"> via the Enforcement Act or preparing a winding-up petition. </w:t>
      </w:r>
    </w:p>
    <w:p w14:paraId="75C1CB19" w14:textId="77777777" w:rsidR="00E01521" w:rsidRPr="00A25E12" w:rsidRDefault="00E01521" w:rsidP="00A25E12">
      <w:pPr>
        <w:jc w:val="both"/>
        <w:rPr>
          <w:rFonts w:ascii="Arial" w:hAnsi="Arial" w:cs="Arial"/>
          <w:color w:val="808080" w:themeColor="background1" w:themeShade="80"/>
          <w:sz w:val="22"/>
          <w:szCs w:val="22"/>
        </w:rPr>
      </w:pPr>
    </w:p>
    <w:p w14:paraId="1CF923DA" w14:textId="67B0E3F7" w:rsidR="00E01521" w:rsidRPr="00A25E12" w:rsidRDefault="00E01521"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rPr>
        <w:t>H&amp;W would have to assess how much time it has and the cost implications of all three options detailed above.</w:t>
      </w:r>
    </w:p>
    <w:p w14:paraId="21E903A4" w14:textId="77777777" w:rsidR="00C1128C" w:rsidRPr="00A25E12" w:rsidRDefault="00C1128C" w:rsidP="00A25E12">
      <w:pPr>
        <w:jc w:val="both"/>
        <w:rPr>
          <w:rFonts w:ascii="Arial" w:hAnsi="Arial" w:cs="Arial"/>
          <w:color w:val="808080" w:themeColor="background1" w:themeShade="80"/>
          <w:sz w:val="22"/>
          <w:szCs w:val="22"/>
          <w:lang w:val="en-GB"/>
        </w:rPr>
      </w:pPr>
    </w:p>
    <w:p w14:paraId="57317189" w14:textId="31804B05" w:rsidR="00155D21" w:rsidRPr="00A25E12" w:rsidRDefault="00C1128C" w:rsidP="00A25E12">
      <w:pPr>
        <w:jc w:val="both"/>
        <w:rPr>
          <w:rFonts w:ascii="Arial" w:hAnsi="Arial" w:cs="Arial"/>
          <w:b/>
          <w:bCs/>
          <w:color w:val="808080" w:themeColor="background1" w:themeShade="80"/>
          <w:sz w:val="22"/>
          <w:szCs w:val="22"/>
          <w:u w:val="single"/>
          <w:lang w:val="en-GB"/>
        </w:rPr>
      </w:pPr>
      <w:r w:rsidRPr="00A25E12">
        <w:rPr>
          <w:rFonts w:ascii="Arial" w:hAnsi="Arial" w:cs="Arial"/>
          <w:b/>
          <w:bCs/>
          <w:color w:val="808080" w:themeColor="background1" w:themeShade="80"/>
          <w:sz w:val="22"/>
          <w:szCs w:val="22"/>
          <w:u w:val="single"/>
          <w:lang w:val="en-GB"/>
        </w:rPr>
        <w:t>Question 4(c)</w:t>
      </w:r>
    </w:p>
    <w:p w14:paraId="32684F5F" w14:textId="7F9E0F8F" w:rsidR="00720C27" w:rsidRPr="00A25E12" w:rsidRDefault="00720C27"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rPr>
        <w:t>The unpaid employees of Punk Lizard are unsecured creditors. However, they are a special class of unsecured creditors because in a liquidation, some of their outstanding entitlements will be paid in priority to claims held by other unsecured creditors</w:t>
      </w:r>
      <w:r w:rsidR="009E20F0" w:rsidRPr="00A25E12">
        <w:rPr>
          <w:rStyle w:val="FootnoteReference"/>
          <w:rFonts w:ascii="Arial" w:hAnsi="Arial" w:cs="Arial"/>
          <w:color w:val="808080" w:themeColor="background1" w:themeShade="80"/>
          <w:sz w:val="22"/>
          <w:szCs w:val="22"/>
        </w:rPr>
        <w:footnoteReference w:id="134"/>
      </w:r>
      <w:r w:rsidRPr="00A25E12">
        <w:rPr>
          <w:rFonts w:ascii="Arial" w:hAnsi="Arial" w:cs="Arial"/>
          <w:color w:val="808080" w:themeColor="background1" w:themeShade="80"/>
          <w:sz w:val="22"/>
          <w:szCs w:val="22"/>
        </w:rPr>
        <w:t>.</w:t>
      </w:r>
    </w:p>
    <w:p w14:paraId="6AE169AA" w14:textId="77777777" w:rsidR="00C1128C" w:rsidRPr="00A25E12" w:rsidRDefault="00C1128C" w:rsidP="00A25E12">
      <w:pPr>
        <w:jc w:val="both"/>
        <w:rPr>
          <w:rFonts w:ascii="Arial" w:hAnsi="Arial" w:cs="Arial"/>
          <w:color w:val="808080" w:themeColor="background1" w:themeShade="80"/>
          <w:sz w:val="22"/>
          <w:szCs w:val="22"/>
        </w:rPr>
      </w:pPr>
    </w:p>
    <w:p w14:paraId="3B27AD2F" w14:textId="7CBC9D09" w:rsidR="00720C27" w:rsidRPr="00A25E12" w:rsidRDefault="00720C27" w:rsidP="00A25E12">
      <w:pPr>
        <w:jc w:val="both"/>
        <w:rPr>
          <w:rFonts w:ascii="Arial" w:hAnsi="Arial" w:cs="Arial"/>
          <w:color w:val="808080" w:themeColor="background1" w:themeShade="80"/>
          <w:sz w:val="22"/>
          <w:szCs w:val="22"/>
        </w:rPr>
      </w:pPr>
      <w:r w:rsidRPr="00A25E12">
        <w:rPr>
          <w:rFonts w:ascii="Arial" w:hAnsi="Arial" w:cs="Arial"/>
          <w:color w:val="808080" w:themeColor="background1" w:themeShade="80"/>
          <w:sz w:val="22"/>
          <w:szCs w:val="22"/>
        </w:rPr>
        <w:t>Schedule 2 of the Companies Act (2023 Revision) (“</w:t>
      </w:r>
      <w:r w:rsidRPr="00A25E12">
        <w:rPr>
          <w:rFonts w:ascii="Arial" w:hAnsi="Arial" w:cs="Arial"/>
          <w:b/>
          <w:bCs/>
          <w:color w:val="808080" w:themeColor="background1" w:themeShade="80"/>
          <w:sz w:val="22"/>
          <w:szCs w:val="22"/>
        </w:rPr>
        <w:t>Companies Act</w:t>
      </w:r>
      <w:r w:rsidRPr="00A25E12">
        <w:rPr>
          <w:rFonts w:ascii="Arial" w:hAnsi="Arial" w:cs="Arial"/>
          <w:color w:val="808080" w:themeColor="background1" w:themeShade="80"/>
          <w:sz w:val="22"/>
          <w:szCs w:val="22"/>
        </w:rPr>
        <w:t xml:space="preserve">”) describes the categories of preferred debts. Category 1 lists salaries, wages and gratuities due from the company to an employee which have been accrued in the 4 months immediately preceding </w:t>
      </w:r>
      <w:r w:rsidRPr="00A25E12">
        <w:rPr>
          <w:rFonts w:ascii="Arial" w:hAnsi="Arial" w:cs="Arial"/>
          <w:color w:val="808080" w:themeColor="background1" w:themeShade="80"/>
          <w:sz w:val="22"/>
          <w:szCs w:val="22"/>
        </w:rPr>
        <w:lastRenderedPageBreak/>
        <w:t>the commencement of the company’s liquidation. Section 141 of the Companies Act states that the debts described in Schedule 2 “</w:t>
      </w:r>
      <w:r w:rsidRPr="00A25E12">
        <w:rPr>
          <w:rFonts w:ascii="Arial" w:hAnsi="Arial" w:cs="Arial"/>
          <w:i/>
          <w:iCs/>
          <w:color w:val="808080" w:themeColor="background1" w:themeShade="80"/>
          <w:sz w:val="22"/>
          <w:szCs w:val="22"/>
        </w:rPr>
        <w:t>shall be paid in priority to all other debts</w:t>
      </w:r>
      <w:r w:rsidRPr="00A25E12">
        <w:rPr>
          <w:rFonts w:ascii="Arial" w:hAnsi="Arial" w:cs="Arial"/>
          <w:color w:val="808080" w:themeColor="background1" w:themeShade="80"/>
          <w:sz w:val="22"/>
          <w:szCs w:val="22"/>
        </w:rPr>
        <w:t>”</w:t>
      </w:r>
      <w:r w:rsidR="009E20F0" w:rsidRPr="00A25E12">
        <w:rPr>
          <w:rStyle w:val="FootnoteReference"/>
          <w:rFonts w:ascii="Arial" w:hAnsi="Arial" w:cs="Arial"/>
          <w:color w:val="808080" w:themeColor="background1" w:themeShade="80"/>
          <w:sz w:val="22"/>
          <w:szCs w:val="22"/>
        </w:rPr>
        <w:footnoteReference w:id="135"/>
      </w:r>
      <w:r w:rsidRPr="00A25E12">
        <w:rPr>
          <w:rFonts w:ascii="Arial" w:hAnsi="Arial" w:cs="Arial"/>
          <w:color w:val="808080" w:themeColor="background1" w:themeShade="80"/>
          <w:sz w:val="22"/>
          <w:szCs w:val="22"/>
        </w:rPr>
        <w:t xml:space="preserve"> and such preferential debts shall “</w:t>
      </w:r>
      <w:r w:rsidRPr="00A25E12">
        <w:rPr>
          <w:rFonts w:ascii="Arial" w:hAnsi="Arial" w:cs="Arial"/>
          <w:i/>
          <w:iCs/>
          <w:color w:val="808080" w:themeColor="background1" w:themeShade="80"/>
          <w:sz w:val="22"/>
          <w:szCs w:val="22"/>
        </w:rPr>
        <w:t>rank equally…and be paid in full</w:t>
      </w:r>
      <w:r w:rsidRPr="00A25E12">
        <w:rPr>
          <w:rFonts w:ascii="Arial" w:hAnsi="Arial" w:cs="Arial"/>
          <w:color w:val="808080" w:themeColor="background1" w:themeShade="80"/>
          <w:sz w:val="22"/>
          <w:szCs w:val="22"/>
        </w:rPr>
        <w:t>” unless there are insufficient funds to satisfy these which will mean “</w:t>
      </w:r>
      <w:r w:rsidRPr="00A25E12">
        <w:rPr>
          <w:rFonts w:ascii="Arial" w:hAnsi="Arial" w:cs="Arial"/>
          <w:i/>
          <w:iCs/>
          <w:color w:val="808080" w:themeColor="background1" w:themeShade="80"/>
          <w:sz w:val="22"/>
          <w:szCs w:val="22"/>
        </w:rPr>
        <w:t>they shall abate in equal proportions</w:t>
      </w:r>
      <w:r w:rsidRPr="00A25E12">
        <w:rPr>
          <w:rFonts w:ascii="Arial" w:hAnsi="Arial" w:cs="Arial"/>
          <w:color w:val="808080" w:themeColor="background1" w:themeShade="80"/>
          <w:sz w:val="22"/>
          <w:szCs w:val="22"/>
        </w:rPr>
        <w:t>”</w:t>
      </w:r>
      <w:r w:rsidR="009E20F0" w:rsidRPr="00A25E12">
        <w:rPr>
          <w:rStyle w:val="FootnoteReference"/>
          <w:rFonts w:ascii="Arial" w:hAnsi="Arial" w:cs="Arial"/>
          <w:color w:val="808080" w:themeColor="background1" w:themeShade="80"/>
          <w:sz w:val="22"/>
          <w:szCs w:val="22"/>
        </w:rPr>
        <w:footnoteReference w:id="136"/>
      </w:r>
      <w:r w:rsidRPr="00A25E12">
        <w:rPr>
          <w:rFonts w:ascii="Arial" w:hAnsi="Arial" w:cs="Arial"/>
          <w:color w:val="808080" w:themeColor="background1" w:themeShade="80"/>
          <w:sz w:val="22"/>
          <w:szCs w:val="22"/>
        </w:rPr>
        <w:t>. In an official liquidation, only the liquidation expenses are paid ahead of the preferential debt (including the sums due to employees)</w:t>
      </w:r>
      <w:r w:rsidR="009E20F0" w:rsidRPr="00A25E12">
        <w:rPr>
          <w:rStyle w:val="FootnoteReference"/>
          <w:rFonts w:ascii="Arial" w:hAnsi="Arial" w:cs="Arial"/>
          <w:color w:val="808080" w:themeColor="background1" w:themeShade="80"/>
          <w:sz w:val="22"/>
          <w:szCs w:val="22"/>
        </w:rPr>
        <w:footnoteReference w:id="137"/>
      </w:r>
      <w:r w:rsidRPr="00A25E12">
        <w:rPr>
          <w:rFonts w:ascii="Arial" w:hAnsi="Arial" w:cs="Arial"/>
          <w:color w:val="808080" w:themeColor="background1" w:themeShade="80"/>
          <w:sz w:val="22"/>
          <w:szCs w:val="22"/>
        </w:rPr>
        <w:t>.</w:t>
      </w:r>
    </w:p>
    <w:p w14:paraId="7581A61F" w14:textId="77777777" w:rsidR="00C1128C" w:rsidRPr="00A25E12" w:rsidRDefault="00C1128C" w:rsidP="00A25E12">
      <w:pPr>
        <w:jc w:val="both"/>
        <w:rPr>
          <w:rFonts w:ascii="Arial" w:hAnsi="Arial" w:cs="Arial"/>
          <w:color w:val="808080" w:themeColor="background1" w:themeShade="80"/>
          <w:sz w:val="22"/>
          <w:szCs w:val="22"/>
        </w:rPr>
      </w:pPr>
    </w:p>
    <w:p w14:paraId="1D5A1704" w14:textId="6D912D3E" w:rsidR="00720C27" w:rsidRPr="00A25E12" w:rsidRDefault="00720C27"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rPr>
        <w:t>The unpaid employees, as unsecured creditors</w:t>
      </w:r>
      <w:r w:rsidR="00BC7048" w:rsidRPr="00A25E12">
        <w:rPr>
          <w:rFonts w:ascii="Arial" w:hAnsi="Arial" w:cs="Arial"/>
          <w:color w:val="808080" w:themeColor="background1" w:themeShade="80"/>
          <w:sz w:val="22"/>
          <w:szCs w:val="22"/>
        </w:rPr>
        <w:t xml:space="preserve"> of Punk Lizard</w:t>
      </w:r>
      <w:r w:rsidRPr="00A25E12">
        <w:rPr>
          <w:rFonts w:ascii="Arial" w:hAnsi="Arial" w:cs="Arial"/>
          <w:color w:val="808080" w:themeColor="background1" w:themeShade="80"/>
          <w:sz w:val="22"/>
          <w:szCs w:val="22"/>
        </w:rPr>
        <w:t>, could:</w:t>
      </w:r>
    </w:p>
    <w:p w14:paraId="674B1EE7" w14:textId="1ECF058B" w:rsidR="005E0202" w:rsidRPr="00A25E12" w:rsidRDefault="00720C27" w:rsidP="00A25E12">
      <w:pPr>
        <w:pStyle w:val="ListParagraph"/>
        <w:numPr>
          <w:ilvl w:val="0"/>
          <w:numId w:val="25"/>
        </w:numPr>
        <w:ind w:left="641" w:hanging="357"/>
        <w:jc w:val="both"/>
        <w:rPr>
          <w:rFonts w:ascii="Arial" w:hAnsi="Arial" w:cs="Arial"/>
          <w:color w:val="808080" w:themeColor="background1" w:themeShade="80"/>
          <w:sz w:val="22"/>
          <w:szCs w:val="22"/>
        </w:rPr>
      </w:pPr>
      <w:r w:rsidRPr="00A25E12">
        <w:rPr>
          <w:rFonts w:ascii="Arial" w:hAnsi="Arial" w:cs="Arial"/>
          <w:color w:val="808080" w:themeColor="background1" w:themeShade="80"/>
          <w:sz w:val="22"/>
          <w:szCs w:val="22"/>
        </w:rPr>
        <w:t xml:space="preserve">obtain and enforce judgment on their claim (which could disrupt any restructuring efforts). It should be noted that the Grand Court does have jurisdiction to stay a writ of action brought by a creditor (pending the outcome of </w:t>
      </w:r>
      <w:r w:rsidR="00E4514F" w:rsidRPr="00A25E12">
        <w:rPr>
          <w:rFonts w:ascii="Arial" w:hAnsi="Arial" w:cs="Arial"/>
          <w:color w:val="808080" w:themeColor="background1" w:themeShade="80"/>
          <w:sz w:val="22"/>
          <w:szCs w:val="22"/>
        </w:rPr>
        <w:t>any</w:t>
      </w:r>
      <w:r w:rsidRPr="00A25E12">
        <w:rPr>
          <w:rFonts w:ascii="Arial" w:hAnsi="Arial" w:cs="Arial"/>
          <w:color w:val="808080" w:themeColor="background1" w:themeShade="80"/>
          <w:sz w:val="22"/>
          <w:szCs w:val="22"/>
        </w:rPr>
        <w:t xml:space="preserve"> restructuring of the company’s debt)</w:t>
      </w:r>
      <w:r w:rsidR="00F1211F" w:rsidRPr="00A25E12">
        <w:rPr>
          <w:rStyle w:val="FootnoteReference"/>
          <w:rFonts w:ascii="Arial" w:hAnsi="Arial" w:cs="Arial"/>
          <w:color w:val="808080" w:themeColor="background1" w:themeShade="80"/>
          <w:sz w:val="22"/>
          <w:szCs w:val="22"/>
        </w:rPr>
        <w:footnoteReference w:id="138"/>
      </w:r>
      <w:r w:rsidRPr="00A25E12">
        <w:rPr>
          <w:rFonts w:ascii="Arial" w:hAnsi="Arial" w:cs="Arial"/>
          <w:color w:val="808080" w:themeColor="background1" w:themeShade="80"/>
          <w:sz w:val="22"/>
          <w:szCs w:val="22"/>
        </w:rPr>
        <w:t>; or</w:t>
      </w:r>
    </w:p>
    <w:p w14:paraId="63E0910F" w14:textId="63B3B4D9" w:rsidR="00720C27" w:rsidRPr="00A25E12" w:rsidRDefault="00720C27" w:rsidP="00A25E12">
      <w:pPr>
        <w:pStyle w:val="ListParagraph"/>
        <w:numPr>
          <w:ilvl w:val="0"/>
          <w:numId w:val="25"/>
        </w:numPr>
        <w:ind w:left="641" w:hanging="357"/>
        <w:jc w:val="both"/>
        <w:rPr>
          <w:rFonts w:ascii="Arial" w:hAnsi="Arial" w:cs="Arial"/>
          <w:color w:val="808080" w:themeColor="background1" w:themeShade="80"/>
          <w:sz w:val="22"/>
          <w:szCs w:val="22"/>
        </w:rPr>
      </w:pPr>
      <w:r w:rsidRPr="00A25E12">
        <w:rPr>
          <w:rFonts w:ascii="Arial" w:hAnsi="Arial" w:cs="Arial"/>
          <w:color w:val="808080" w:themeColor="background1" w:themeShade="80"/>
          <w:sz w:val="22"/>
          <w:szCs w:val="22"/>
        </w:rPr>
        <w:t xml:space="preserve">disrupt </w:t>
      </w:r>
      <w:r w:rsidR="00E4514F" w:rsidRPr="00A25E12">
        <w:rPr>
          <w:rFonts w:ascii="Arial" w:hAnsi="Arial" w:cs="Arial"/>
          <w:color w:val="808080" w:themeColor="background1" w:themeShade="80"/>
          <w:sz w:val="22"/>
          <w:szCs w:val="22"/>
        </w:rPr>
        <w:t>Punk Lizard’s</w:t>
      </w:r>
      <w:r w:rsidRPr="00A25E12">
        <w:rPr>
          <w:rFonts w:ascii="Arial" w:hAnsi="Arial" w:cs="Arial"/>
          <w:color w:val="808080" w:themeColor="background1" w:themeShade="80"/>
          <w:sz w:val="22"/>
          <w:szCs w:val="22"/>
        </w:rPr>
        <w:t xml:space="preserve"> restructuring efforts </w:t>
      </w:r>
      <w:r w:rsidR="00E4514F" w:rsidRPr="00A25E12">
        <w:rPr>
          <w:rFonts w:ascii="Arial" w:hAnsi="Arial" w:cs="Arial"/>
          <w:color w:val="808080" w:themeColor="background1" w:themeShade="80"/>
          <w:sz w:val="22"/>
          <w:szCs w:val="22"/>
        </w:rPr>
        <w:t xml:space="preserve">(if any) </w:t>
      </w:r>
      <w:r w:rsidRPr="00A25E12">
        <w:rPr>
          <w:rFonts w:ascii="Arial" w:hAnsi="Arial" w:cs="Arial"/>
          <w:color w:val="808080" w:themeColor="background1" w:themeShade="80"/>
          <w:sz w:val="22"/>
          <w:szCs w:val="22"/>
        </w:rPr>
        <w:t xml:space="preserve">by filing a winding-up petition against the company if the debt </w:t>
      </w:r>
      <w:r w:rsidR="00E4514F" w:rsidRPr="00A25E12">
        <w:rPr>
          <w:rFonts w:ascii="Arial" w:hAnsi="Arial" w:cs="Arial"/>
          <w:color w:val="808080" w:themeColor="background1" w:themeShade="80"/>
          <w:sz w:val="22"/>
          <w:szCs w:val="22"/>
        </w:rPr>
        <w:t>is</w:t>
      </w:r>
      <w:r w:rsidRPr="00A25E12">
        <w:rPr>
          <w:rFonts w:ascii="Arial" w:hAnsi="Arial" w:cs="Arial"/>
          <w:color w:val="808080" w:themeColor="background1" w:themeShade="80"/>
          <w:sz w:val="22"/>
          <w:szCs w:val="22"/>
        </w:rPr>
        <w:t xml:space="preserve"> undisputed. Given that the debts due to employees are quite easily quantifiable, it is unlikely that the debts will be disputed. It should be noted that even though an unpaid creditor of an insolvent company is entitled to a winding-up order </w:t>
      </w:r>
      <w:r w:rsidRPr="00A25E12">
        <w:rPr>
          <w:rFonts w:ascii="Arial" w:hAnsi="Arial" w:cs="Arial"/>
          <w:i/>
          <w:iCs/>
          <w:color w:val="808080" w:themeColor="background1" w:themeShade="80"/>
          <w:sz w:val="22"/>
          <w:szCs w:val="22"/>
        </w:rPr>
        <w:t xml:space="preserve">ex </w:t>
      </w:r>
      <w:proofErr w:type="spellStart"/>
      <w:r w:rsidRPr="00A25E12">
        <w:rPr>
          <w:rFonts w:ascii="Arial" w:hAnsi="Arial" w:cs="Arial"/>
          <w:i/>
          <w:iCs/>
          <w:color w:val="808080" w:themeColor="background1" w:themeShade="80"/>
          <w:sz w:val="22"/>
          <w:szCs w:val="22"/>
        </w:rPr>
        <w:t>debito</w:t>
      </w:r>
      <w:proofErr w:type="spellEnd"/>
      <w:r w:rsidRPr="00A25E12">
        <w:rPr>
          <w:rFonts w:ascii="Arial" w:hAnsi="Arial" w:cs="Arial"/>
          <w:i/>
          <w:iCs/>
          <w:color w:val="808080" w:themeColor="background1" w:themeShade="80"/>
          <w:sz w:val="22"/>
          <w:szCs w:val="22"/>
        </w:rPr>
        <w:t xml:space="preserve"> justitiae</w:t>
      </w:r>
      <w:r w:rsidRPr="00A25E12">
        <w:rPr>
          <w:rFonts w:ascii="Arial" w:hAnsi="Arial" w:cs="Arial"/>
          <w:color w:val="808080" w:themeColor="background1" w:themeShade="80"/>
          <w:sz w:val="22"/>
          <w:szCs w:val="22"/>
        </w:rPr>
        <w:t xml:space="preserve">, the Grand Court retains discretion </w:t>
      </w:r>
      <w:r w:rsidR="00F1211F" w:rsidRPr="00A25E12">
        <w:rPr>
          <w:rFonts w:ascii="Arial" w:hAnsi="Arial" w:cs="Arial"/>
          <w:color w:val="808080" w:themeColor="background1" w:themeShade="80"/>
          <w:sz w:val="22"/>
          <w:szCs w:val="22"/>
        </w:rPr>
        <w:t>in</w:t>
      </w:r>
      <w:r w:rsidRPr="00A25E12">
        <w:rPr>
          <w:rFonts w:ascii="Arial" w:hAnsi="Arial" w:cs="Arial"/>
          <w:color w:val="808080" w:themeColor="background1" w:themeShade="80"/>
          <w:sz w:val="22"/>
          <w:szCs w:val="22"/>
        </w:rPr>
        <w:t xml:space="preserve"> grant</w:t>
      </w:r>
      <w:r w:rsidR="00F1211F" w:rsidRPr="00A25E12">
        <w:rPr>
          <w:rFonts w:ascii="Arial" w:hAnsi="Arial" w:cs="Arial"/>
          <w:color w:val="808080" w:themeColor="background1" w:themeShade="80"/>
          <w:sz w:val="22"/>
          <w:szCs w:val="22"/>
        </w:rPr>
        <w:t>ing</w:t>
      </w:r>
      <w:r w:rsidRPr="00A25E12">
        <w:rPr>
          <w:rFonts w:ascii="Arial" w:hAnsi="Arial" w:cs="Arial"/>
          <w:color w:val="808080" w:themeColor="background1" w:themeShade="80"/>
          <w:sz w:val="22"/>
          <w:szCs w:val="22"/>
        </w:rPr>
        <w:t xml:space="preserve"> the winding-up order, and it might adjourn or even dismiss the petition if other creditors oppose the winding up due to </w:t>
      </w:r>
      <w:r w:rsidR="00E4514F" w:rsidRPr="00A25E12">
        <w:rPr>
          <w:rFonts w:ascii="Arial" w:hAnsi="Arial" w:cs="Arial"/>
          <w:color w:val="808080" w:themeColor="background1" w:themeShade="80"/>
          <w:sz w:val="22"/>
          <w:szCs w:val="22"/>
        </w:rPr>
        <w:t xml:space="preserve">a </w:t>
      </w:r>
      <w:r w:rsidRPr="00A25E12">
        <w:rPr>
          <w:rFonts w:ascii="Arial" w:hAnsi="Arial" w:cs="Arial"/>
          <w:color w:val="808080" w:themeColor="background1" w:themeShade="80"/>
          <w:sz w:val="22"/>
          <w:szCs w:val="22"/>
        </w:rPr>
        <w:t>proposed restructuring</w:t>
      </w:r>
      <w:r w:rsidR="00F1211F" w:rsidRPr="00A25E12">
        <w:rPr>
          <w:rStyle w:val="FootnoteReference"/>
          <w:rFonts w:ascii="Arial" w:hAnsi="Arial" w:cs="Arial"/>
          <w:color w:val="808080" w:themeColor="background1" w:themeShade="80"/>
          <w:sz w:val="22"/>
          <w:szCs w:val="22"/>
        </w:rPr>
        <w:footnoteReference w:id="139"/>
      </w:r>
      <w:r w:rsidRPr="00A25E12">
        <w:rPr>
          <w:rFonts w:ascii="Arial" w:hAnsi="Arial" w:cs="Arial"/>
          <w:color w:val="808080" w:themeColor="background1" w:themeShade="80"/>
          <w:sz w:val="22"/>
          <w:szCs w:val="22"/>
        </w:rPr>
        <w:t>.</w:t>
      </w:r>
    </w:p>
    <w:p w14:paraId="733829CB" w14:textId="77777777" w:rsidR="002E111F" w:rsidRPr="00A25E12" w:rsidRDefault="002E111F" w:rsidP="00A25E12">
      <w:pPr>
        <w:jc w:val="both"/>
        <w:rPr>
          <w:rFonts w:ascii="Arial" w:hAnsi="Arial" w:cs="Arial"/>
          <w:color w:val="808080" w:themeColor="background1" w:themeShade="80"/>
          <w:sz w:val="22"/>
          <w:szCs w:val="22"/>
          <w:lang w:val="en-GB"/>
        </w:rPr>
      </w:pPr>
    </w:p>
    <w:p w14:paraId="0DB324FA" w14:textId="4C5BABB5" w:rsidR="00C1128C" w:rsidRPr="00A25E12" w:rsidRDefault="00C1128C" w:rsidP="00A25E12">
      <w:pPr>
        <w:jc w:val="both"/>
        <w:rPr>
          <w:rFonts w:ascii="Arial" w:hAnsi="Arial" w:cs="Arial"/>
          <w:b/>
          <w:bCs/>
          <w:color w:val="808080" w:themeColor="background1" w:themeShade="80"/>
          <w:sz w:val="22"/>
          <w:szCs w:val="22"/>
          <w:u w:val="single"/>
          <w:lang w:val="en-GB"/>
        </w:rPr>
      </w:pPr>
      <w:r w:rsidRPr="00A25E12">
        <w:rPr>
          <w:rFonts w:ascii="Arial" w:hAnsi="Arial" w:cs="Arial"/>
          <w:b/>
          <w:bCs/>
          <w:color w:val="808080" w:themeColor="background1" w:themeShade="80"/>
          <w:sz w:val="22"/>
          <w:szCs w:val="22"/>
          <w:u w:val="single"/>
          <w:lang w:val="en-GB"/>
        </w:rPr>
        <w:t>Question 4(d)</w:t>
      </w:r>
    </w:p>
    <w:p w14:paraId="2BFFE2CE" w14:textId="179C7FF6" w:rsidR="000459B9" w:rsidRPr="00A25E12" w:rsidRDefault="000133B7"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From the fact pattern, </w:t>
      </w:r>
      <w:r w:rsidR="00470D70" w:rsidRPr="00A25E12">
        <w:rPr>
          <w:rFonts w:ascii="Arial" w:hAnsi="Arial" w:cs="Arial"/>
          <w:color w:val="808080" w:themeColor="background1" w:themeShade="80"/>
          <w:sz w:val="22"/>
          <w:szCs w:val="22"/>
          <w:lang w:val="en-GB"/>
        </w:rPr>
        <w:t>“</w:t>
      </w:r>
      <w:r w:rsidRPr="00A25E12">
        <w:rPr>
          <w:rFonts w:ascii="Arial" w:hAnsi="Arial" w:cs="Arial"/>
          <w:color w:val="808080" w:themeColor="background1" w:themeShade="80"/>
          <w:sz w:val="22"/>
          <w:szCs w:val="22"/>
          <w:lang w:val="en-GB"/>
        </w:rPr>
        <w:t>Punk Lizard is a company registered in the Cayman Islands.</w:t>
      </w:r>
      <w:r w:rsidR="00470D70" w:rsidRPr="00A25E12">
        <w:rPr>
          <w:rFonts w:ascii="Arial" w:hAnsi="Arial" w:cs="Arial"/>
          <w:color w:val="808080" w:themeColor="background1" w:themeShade="80"/>
          <w:sz w:val="22"/>
          <w:szCs w:val="22"/>
          <w:lang w:val="en-GB"/>
        </w:rPr>
        <w:t>”</w:t>
      </w:r>
      <w:r w:rsidRPr="00A25E12">
        <w:rPr>
          <w:rFonts w:ascii="Arial" w:hAnsi="Arial" w:cs="Arial"/>
          <w:color w:val="808080" w:themeColor="background1" w:themeShade="80"/>
          <w:sz w:val="22"/>
          <w:szCs w:val="22"/>
          <w:lang w:val="en-GB"/>
        </w:rPr>
        <w:t xml:space="preserve"> </w:t>
      </w:r>
      <w:r w:rsidR="009A5EEE" w:rsidRPr="00A25E12">
        <w:rPr>
          <w:rFonts w:ascii="Arial" w:hAnsi="Arial" w:cs="Arial"/>
          <w:color w:val="808080" w:themeColor="background1" w:themeShade="80"/>
          <w:sz w:val="22"/>
          <w:szCs w:val="22"/>
          <w:lang w:val="en-GB"/>
        </w:rPr>
        <w:t>Section 91 of the Companies Act (2023 Revision) (“</w:t>
      </w:r>
      <w:r w:rsidR="009A5EEE" w:rsidRPr="00A25E12">
        <w:rPr>
          <w:rFonts w:ascii="Arial" w:hAnsi="Arial" w:cs="Arial"/>
          <w:b/>
          <w:bCs/>
          <w:color w:val="808080" w:themeColor="background1" w:themeShade="80"/>
          <w:sz w:val="22"/>
          <w:szCs w:val="22"/>
          <w:lang w:val="en-GB"/>
        </w:rPr>
        <w:t>Companies Act</w:t>
      </w:r>
      <w:r w:rsidR="009A5EEE" w:rsidRPr="00A25E12">
        <w:rPr>
          <w:rFonts w:ascii="Arial" w:hAnsi="Arial" w:cs="Arial"/>
          <w:color w:val="808080" w:themeColor="background1" w:themeShade="80"/>
          <w:sz w:val="22"/>
          <w:szCs w:val="22"/>
          <w:lang w:val="en-GB"/>
        </w:rPr>
        <w:t xml:space="preserve">”) states that the </w:t>
      </w:r>
      <w:r w:rsidR="00470D70" w:rsidRPr="00A25E12">
        <w:rPr>
          <w:rFonts w:ascii="Arial" w:hAnsi="Arial" w:cs="Arial"/>
          <w:color w:val="808080" w:themeColor="background1" w:themeShade="80"/>
          <w:sz w:val="22"/>
          <w:szCs w:val="22"/>
          <w:lang w:val="en-GB"/>
        </w:rPr>
        <w:t>c</w:t>
      </w:r>
      <w:r w:rsidR="009A5EEE" w:rsidRPr="00A25E12">
        <w:rPr>
          <w:rFonts w:ascii="Arial" w:hAnsi="Arial" w:cs="Arial"/>
          <w:color w:val="808080" w:themeColor="background1" w:themeShade="80"/>
          <w:sz w:val="22"/>
          <w:szCs w:val="22"/>
          <w:lang w:val="en-GB"/>
        </w:rPr>
        <w:t>ourt has jurisdiction to make a winding up order in respect of:</w:t>
      </w:r>
    </w:p>
    <w:p w14:paraId="0A13EE9A" w14:textId="05CD80E8" w:rsidR="009A5EEE" w:rsidRPr="00A25E12" w:rsidRDefault="009A5EEE" w:rsidP="00A25E12">
      <w:pPr>
        <w:pStyle w:val="ListParagraph"/>
        <w:numPr>
          <w:ilvl w:val="0"/>
          <w:numId w:val="19"/>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an existing </w:t>
      </w:r>
      <w:proofErr w:type="gramStart"/>
      <w:r w:rsidRPr="00A25E12">
        <w:rPr>
          <w:rFonts w:ascii="Arial" w:hAnsi="Arial" w:cs="Arial"/>
          <w:color w:val="808080" w:themeColor="background1" w:themeShade="80"/>
          <w:sz w:val="22"/>
          <w:szCs w:val="22"/>
          <w:lang w:val="en-GB"/>
        </w:rPr>
        <w:t>company;</w:t>
      </w:r>
      <w:proofErr w:type="gramEnd"/>
    </w:p>
    <w:p w14:paraId="39B53DCC" w14:textId="6980A0B4" w:rsidR="009A5EEE" w:rsidRPr="00A25E12" w:rsidRDefault="009A5EEE" w:rsidP="00A25E12">
      <w:pPr>
        <w:pStyle w:val="ListParagraph"/>
        <w:numPr>
          <w:ilvl w:val="0"/>
          <w:numId w:val="19"/>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a company incorporated and registered under the Companies </w:t>
      </w:r>
      <w:proofErr w:type="gramStart"/>
      <w:r w:rsidRPr="00A25E12">
        <w:rPr>
          <w:rFonts w:ascii="Arial" w:hAnsi="Arial" w:cs="Arial"/>
          <w:color w:val="808080" w:themeColor="background1" w:themeShade="80"/>
          <w:sz w:val="22"/>
          <w:szCs w:val="22"/>
          <w:lang w:val="en-GB"/>
        </w:rPr>
        <w:t>Act;</w:t>
      </w:r>
      <w:proofErr w:type="gramEnd"/>
    </w:p>
    <w:p w14:paraId="4CA6DD6A" w14:textId="77777777" w:rsidR="009A5EEE" w:rsidRPr="00A25E12" w:rsidRDefault="009A5EEE" w:rsidP="00A25E12">
      <w:pPr>
        <w:pStyle w:val="ListParagraph"/>
        <w:numPr>
          <w:ilvl w:val="0"/>
          <w:numId w:val="19"/>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a body incorporated under any other law; and</w:t>
      </w:r>
    </w:p>
    <w:p w14:paraId="0A6E9421" w14:textId="569C7E51" w:rsidR="009A5EEE" w:rsidRPr="00A25E12" w:rsidRDefault="009A5EEE" w:rsidP="00A25E12">
      <w:pPr>
        <w:pStyle w:val="ListParagraph"/>
        <w:numPr>
          <w:ilvl w:val="0"/>
          <w:numId w:val="19"/>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a foreign company which —</w:t>
      </w:r>
    </w:p>
    <w:p w14:paraId="4F355FDF" w14:textId="4805BBEF" w:rsidR="009A5EEE" w:rsidRPr="00A25E12" w:rsidRDefault="009A5EEE" w:rsidP="00A25E12">
      <w:pPr>
        <w:pStyle w:val="ListParagraph"/>
        <w:numPr>
          <w:ilvl w:val="0"/>
          <w:numId w:val="20"/>
        </w:numPr>
        <w:ind w:left="964" w:hanging="39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has property located in the Cayman </w:t>
      </w:r>
      <w:proofErr w:type="gramStart"/>
      <w:r w:rsidRPr="00A25E12">
        <w:rPr>
          <w:rFonts w:ascii="Arial" w:hAnsi="Arial" w:cs="Arial"/>
          <w:color w:val="808080" w:themeColor="background1" w:themeShade="80"/>
          <w:sz w:val="22"/>
          <w:szCs w:val="22"/>
          <w:lang w:val="en-GB"/>
        </w:rPr>
        <w:t>Islands;</w:t>
      </w:r>
      <w:proofErr w:type="gramEnd"/>
    </w:p>
    <w:p w14:paraId="4DABDC75" w14:textId="16D11762" w:rsidR="009A5EEE" w:rsidRPr="00A25E12" w:rsidRDefault="009A5EEE" w:rsidP="00A25E12">
      <w:pPr>
        <w:pStyle w:val="ListParagraph"/>
        <w:numPr>
          <w:ilvl w:val="0"/>
          <w:numId w:val="20"/>
        </w:numPr>
        <w:ind w:left="964" w:hanging="39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is carrying on business in the Cayman </w:t>
      </w:r>
      <w:proofErr w:type="gramStart"/>
      <w:r w:rsidRPr="00A25E12">
        <w:rPr>
          <w:rFonts w:ascii="Arial" w:hAnsi="Arial" w:cs="Arial"/>
          <w:color w:val="808080" w:themeColor="background1" w:themeShade="80"/>
          <w:sz w:val="22"/>
          <w:szCs w:val="22"/>
          <w:lang w:val="en-GB"/>
        </w:rPr>
        <w:t>Islands;</w:t>
      </w:r>
      <w:proofErr w:type="gramEnd"/>
    </w:p>
    <w:p w14:paraId="4443C8C9" w14:textId="77777777" w:rsidR="009A5EEE" w:rsidRPr="00A25E12" w:rsidRDefault="009A5EEE" w:rsidP="00A25E12">
      <w:pPr>
        <w:pStyle w:val="ListParagraph"/>
        <w:numPr>
          <w:ilvl w:val="0"/>
          <w:numId w:val="20"/>
        </w:numPr>
        <w:ind w:left="964" w:hanging="39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is the general partner of a limited partnership; or</w:t>
      </w:r>
    </w:p>
    <w:p w14:paraId="6C08065D" w14:textId="707AAE3D" w:rsidR="009A5EEE" w:rsidRPr="00A25E12" w:rsidRDefault="009A5EEE" w:rsidP="00A25E12">
      <w:pPr>
        <w:pStyle w:val="ListParagraph"/>
        <w:numPr>
          <w:ilvl w:val="0"/>
          <w:numId w:val="20"/>
        </w:numPr>
        <w:ind w:left="964" w:hanging="39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is registered under Part IX of the Companies Act</w:t>
      </w:r>
      <w:r w:rsidRPr="00A25E12">
        <w:rPr>
          <w:rStyle w:val="FootnoteReference"/>
          <w:rFonts w:ascii="Arial" w:hAnsi="Arial" w:cs="Arial"/>
          <w:color w:val="808080" w:themeColor="background1" w:themeShade="80"/>
          <w:sz w:val="22"/>
          <w:szCs w:val="22"/>
          <w:lang w:val="en-GB"/>
        </w:rPr>
        <w:footnoteReference w:id="140"/>
      </w:r>
      <w:r w:rsidRPr="00A25E12">
        <w:rPr>
          <w:rFonts w:ascii="Arial" w:hAnsi="Arial" w:cs="Arial"/>
          <w:color w:val="808080" w:themeColor="background1" w:themeShade="80"/>
          <w:sz w:val="22"/>
          <w:szCs w:val="22"/>
          <w:lang w:val="en-GB"/>
        </w:rPr>
        <w:t>.</w:t>
      </w:r>
    </w:p>
    <w:p w14:paraId="0CD463D8" w14:textId="77777777" w:rsidR="009A5EEE" w:rsidRPr="00A25E12" w:rsidRDefault="009A5EEE" w:rsidP="00A25E12">
      <w:pPr>
        <w:ind w:left="720"/>
        <w:jc w:val="both"/>
        <w:rPr>
          <w:rFonts w:ascii="Arial" w:hAnsi="Arial" w:cs="Arial"/>
          <w:color w:val="808080" w:themeColor="background1" w:themeShade="80"/>
          <w:sz w:val="22"/>
          <w:szCs w:val="22"/>
          <w:lang w:val="en-GB"/>
        </w:rPr>
      </w:pPr>
    </w:p>
    <w:p w14:paraId="27A9D8B4" w14:textId="3408ED61" w:rsidR="009A5EEE" w:rsidRPr="00A25E12" w:rsidRDefault="008C7574" w:rsidP="00A25E12">
      <w:pPr>
        <w:jc w:val="both"/>
        <w:rPr>
          <w:rFonts w:ascii="Arial" w:hAnsi="Arial" w:cs="Arial"/>
          <w:color w:val="808080" w:themeColor="background1" w:themeShade="80"/>
          <w:sz w:val="22"/>
          <w:szCs w:val="22"/>
          <w:lang w:val="en-GB"/>
        </w:rPr>
      </w:pPr>
      <w:proofErr w:type="gramStart"/>
      <w:r w:rsidRPr="00A25E12">
        <w:rPr>
          <w:rFonts w:ascii="Arial" w:hAnsi="Arial" w:cs="Arial"/>
          <w:color w:val="808080" w:themeColor="background1" w:themeShade="80"/>
          <w:sz w:val="22"/>
          <w:szCs w:val="22"/>
          <w:lang w:val="en-GB"/>
        </w:rPr>
        <w:t>In light of</w:t>
      </w:r>
      <w:proofErr w:type="gramEnd"/>
      <w:r w:rsidRPr="00A25E12">
        <w:rPr>
          <w:rFonts w:ascii="Arial" w:hAnsi="Arial" w:cs="Arial"/>
          <w:color w:val="808080" w:themeColor="background1" w:themeShade="80"/>
          <w:sz w:val="22"/>
          <w:szCs w:val="22"/>
          <w:lang w:val="en-GB"/>
        </w:rPr>
        <w:t xml:space="preserve"> the above, the Cayman Islands </w:t>
      </w:r>
      <w:r w:rsidR="00470D70" w:rsidRPr="00A25E12">
        <w:rPr>
          <w:rFonts w:ascii="Arial" w:hAnsi="Arial" w:cs="Arial"/>
          <w:color w:val="808080" w:themeColor="background1" w:themeShade="80"/>
          <w:sz w:val="22"/>
          <w:szCs w:val="22"/>
          <w:lang w:val="en-GB"/>
        </w:rPr>
        <w:t>c</w:t>
      </w:r>
      <w:r w:rsidRPr="00A25E12">
        <w:rPr>
          <w:rFonts w:ascii="Arial" w:hAnsi="Arial" w:cs="Arial"/>
          <w:color w:val="808080" w:themeColor="background1" w:themeShade="80"/>
          <w:sz w:val="22"/>
          <w:szCs w:val="22"/>
          <w:lang w:val="en-GB"/>
        </w:rPr>
        <w:t>ourt ha</w:t>
      </w:r>
      <w:r w:rsidR="00470D70" w:rsidRPr="00A25E12">
        <w:rPr>
          <w:rFonts w:ascii="Arial" w:hAnsi="Arial" w:cs="Arial"/>
          <w:color w:val="808080" w:themeColor="background1" w:themeShade="80"/>
          <w:sz w:val="22"/>
          <w:szCs w:val="22"/>
          <w:lang w:val="en-GB"/>
        </w:rPr>
        <w:t>s</w:t>
      </w:r>
      <w:r w:rsidRPr="00A25E12">
        <w:rPr>
          <w:rFonts w:ascii="Arial" w:hAnsi="Arial" w:cs="Arial"/>
          <w:color w:val="808080" w:themeColor="background1" w:themeShade="80"/>
          <w:sz w:val="22"/>
          <w:szCs w:val="22"/>
          <w:lang w:val="en-GB"/>
        </w:rPr>
        <w:t xml:space="preserve"> jurisdiction over Punk Lizard.</w:t>
      </w:r>
    </w:p>
    <w:p w14:paraId="52D15ED9" w14:textId="77777777" w:rsidR="002F5383" w:rsidRPr="00A25E12" w:rsidRDefault="002F5383" w:rsidP="00A25E12">
      <w:pPr>
        <w:jc w:val="both"/>
        <w:rPr>
          <w:rFonts w:ascii="Arial" w:hAnsi="Arial" w:cs="Arial"/>
          <w:b/>
          <w:bCs/>
          <w:color w:val="808080" w:themeColor="background1" w:themeShade="80"/>
          <w:sz w:val="22"/>
          <w:szCs w:val="22"/>
          <w:u w:val="single"/>
          <w:lang w:val="en-GB"/>
        </w:rPr>
      </w:pPr>
    </w:p>
    <w:p w14:paraId="5E204C30" w14:textId="373C45CD" w:rsidR="00C1128C" w:rsidRPr="00A25E12" w:rsidRDefault="00C1128C" w:rsidP="00A25E12">
      <w:pPr>
        <w:jc w:val="both"/>
        <w:rPr>
          <w:rFonts w:ascii="Arial" w:hAnsi="Arial" w:cs="Arial"/>
          <w:b/>
          <w:bCs/>
          <w:color w:val="808080" w:themeColor="background1" w:themeShade="80"/>
          <w:sz w:val="22"/>
          <w:szCs w:val="22"/>
          <w:u w:val="single"/>
          <w:lang w:val="en-GB"/>
        </w:rPr>
      </w:pPr>
      <w:r w:rsidRPr="00A25E12">
        <w:rPr>
          <w:rFonts w:ascii="Arial" w:hAnsi="Arial" w:cs="Arial"/>
          <w:b/>
          <w:bCs/>
          <w:color w:val="808080" w:themeColor="background1" w:themeShade="80"/>
          <w:sz w:val="22"/>
          <w:szCs w:val="22"/>
          <w:u w:val="single"/>
          <w:lang w:val="en-GB"/>
        </w:rPr>
        <w:t>Question 4(e)</w:t>
      </w:r>
    </w:p>
    <w:p w14:paraId="4EDA6A2C" w14:textId="6E5D9182" w:rsidR="00A64C45" w:rsidRPr="00A25E12" w:rsidRDefault="008C7574"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There is a legal route via which Punk Lizard can protect itself and seek to restructure. </w:t>
      </w:r>
      <w:r w:rsidR="009713A4" w:rsidRPr="00A25E12">
        <w:rPr>
          <w:rFonts w:ascii="Arial" w:hAnsi="Arial" w:cs="Arial"/>
          <w:color w:val="808080" w:themeColor="background1" w:themeShade="80"/>
          <w:sz w:val="22"/>
          <w:szCs w:val="22"/>
          <w:lang w:val="en-GB"/>
        </w:rPr>
        <w:t xml:space="preserve">The Companies </w:t>
      </w:r>
      <w:r w:rsidR="006B09EF" w:rsidRPr="00A25E12">
        <w:rPr>
          <w:rFonts w:ascii="Arial" w:hAnsi="Arial" w:cs="Arial"/>
          <w:color w:val="808080" w:themeColor="background1" w:themeShade="80"/>
          <w:sz w:val="22"/>
          <w:szCs w:val="22"/>
          <w:lang w:val="en-GB"/>
        </w:rPr>
        <w:t>Act (2023 Revision)</w:t>
      </w:r>
      <w:r w:rsidR="009713A4" w:rsidRPr="00A25E12">
        <w:rPr>
          <w:rFonts w:ascii="Arial" w:hAnsi="Arial" w:cs="Arial"/>
          <w:color w:val="808080" w:themeColor="background1" w:themeShade="80"/>
          <w:sz w:val="22"/>
          <w:szCs w:val="22"/>
          <w:lang w:val="en-GB"/>
        </w:rPr>
        <w:t xml:space="preserve"> (“</w:t>
      </w:r>
      <w:r w:rsidR="006B09EF" w:rsidRPr="00A25E12">
        <w:rPr>
          <w:rFonts w:ascii="Arial" w:hAnsi="Arial" w:cs="Arial"/>
          <w:b/>
          <w:bCs/>
          <w:color w:val="808080" w:themeColor="background1" w:themeShade="80"/>
          <w:sz w:val="22"/>
          <w:szCs w:val="22"/>
          <w:lang w:val="en-GB"/>
        </w:rPr>
        <w:t>Companies</w:t>
      </w:r>
      <w:r w:rsidR="009713A4" w:rsidRPr="00A25E12">
        <w:rPr>
          <w:rFonts w:ascii="Arial" w:hAnsi="Arial" w:cs="Arial"/>
          <w:b/>
          <w:bCs/>
          <w:color w:val="808080" w:themeColor="background1" w:themeShade="80"/>
          <w:sz w:val="22"/>
          <w:szCs w:val="22"/>
          <w:lang w:val="en-GB"/>
        </w:rPr>
        <w:t xml:space="preserve"> Act</w:t>
      </w:r>
      <w:r w:rsidR="009713A4" w:rsidRPr="00A25E12">
        <w:rPr>
          <w:rFonts w:ascii="Arial" w:hAnsi="Arial" w:cs="Arial"/>
          <w:color w:val="808080" w:themeColor="background1" w:themeShade="80"/>
          <w:sz w:val="22"/>
          <w:szCs w:val="22"/>
          <w:lang w:val="en-GB"/>
        </w:rPr>
        <w:t>”) offers distressed companies an effective procedure to protect itself from creditor enforcement action</w:t>
      </w:r>
      <w:r w:rsidR="009713A4" w:rsidRPr="00A25E12">
        <w:rPr>
          <w:rStyle w:val="FootnoteReference"/>
          <w:rFonts w:ascii="Arial" w:hAnsi="Arial" w:cs="Arial"/>
          <w:color w:val="808080" w:themeColor="background1" w:themeShade="80"/>
          <w:sz w:val="22"/>
          <w:szCs w:val="22"/>
          <w:lang w:val="en-GB"/>
        </w:rPr>
        <w:footnoteReference w:id="141"/>
      </w:r>
      <w:r w:rsidR="00CF7F84" w:rsidRPr="00A25E12">
        <w:rPr>
          <w:rFonts w:ascii="Arial" w:hAnsi="Arial" w:cs="Arial"/>
          <w:color w:val="808080" w:themeColor="background1" w:themeShade="80"/>
          <w:sz w:val="22"/>
          <w:szCs w:val="22"/>
          <w:lang w:val="en-GB"/>
        </w:rPr>
        <w:t xml:space="preserve"> and to restructure</w:t>
      </w:r>
      <w:r w:rsidR="009713A4" w:rsidRPr="00A25E12">
        <w:rPr>
          <w:rFonts w:ascii="Arial" w:hAnsi="Arial" w:cs="Arial"/>
          <w:color w:val="808080" w:themeColor="background1" w:themeShade="80"/>
          <w:sz w:val="22"/>
          <w:szCs w:val="22"/>
          <w:lang w:val="en-GB"/>
        </w:rPr>
        <w:t xml:space="preserve">. </w:t>
      </w:r>
      <w:r w:rsidR="00A64C45" w:rsidRPr="00A25E12">
        <w:rPr>
          <w:rFonts w:ascii="Arial" w:hAnsi="Arial" w:cs="Arial"/>
          <w:color w:val="808080" w:themeColor="background1" w:themeShade="80"/>
          <w:sz w:val="22"/>
          <w:szCs w:val="22"/>
          <w:lang w:val="en-GB"/>
        </w:rPr>
        <w:t>Under section 91</w:t>
      </w:r>
      <w:proofErr w:type="gramStart"/>
      <w:r w:rsidR="00A64C45" w:rsidRPr="00A25E12">
        <w:rPr>
          <w:rFonts w:ascii="Arial" w:hAnsi="Arial" w:cs="Arial"/>
          <w:color w:val="808080" w:themeColor="background1" w:themeShade="80"/>
          <w:sz w:val="22"/>
          <w:szCs w:val="22"/>
          <w:lang w:val="en-GB"/>
        </w:rPr>
        <w:t>B(</w:t>
      </w:r>
      <w:proofErr w:type="gramEnd"/>
      <w:r w:rsidR="00A64C45" w:rsidRPr="00A25E12">
        <w:rPr>
          <w:rFonts w:ascii="Arial" w:hAnsi="Arial" w:cs="Arial"/>
          <w:color w:val="808080" w:themeColor="background1" w:themeShade="80"/>
          <w:sz w:val="22"/>
          <w:szCs w:val="22"/>
          <w:lang w:val="en-GB"/>
        </w:rPr>
        <w:t>1)</w:t>
      </w:r>
      <w:r w:rsidR="00BD3032" w:rsidRPr="00A25E12">
        <w:rPr>
          <w:rFonts w:ascii="Arial" w:hAnsi="Arial" w:cs="Arial"/>
          <w:color w:val="808080" w:themeColor="background1" w:themeShade="80"/>
          <w:sz w:val="22"/>
          <w:szCs w:val="22"/>
          <w:lang w:val="en-GB"/>
        </w:rPr>
        <w:t xml:space="preserve"> of the Companies Act</w:t>
      </w:r>
      <w:r w:rsidR="00A64C45" w:rsidRPr="00A25E12">
        <w:rPr>
          <w:rFonts w:ascii="Arial" w:hAnsi="Arial" w:cs="Arial"/>
          <w:color w:val="808080" w:themeColor="background1" w:themeShade="80"/>
          <w:sz w:val="22"/>
          <w:szCs w:val="22"/>
          <w:lang w:val="en-GB"/>
        </w:rPr>
        <w:t xml:space="preserve">, Punk Lizard may present a petition to the </w:t>
      </w:r>
      <w:r w:rsidR="00BD3032" w:rsidRPr="00A25E12">
        <w:rPr>
          <w:rFonts w:ascii="Arial" w:hAnsi="Arial" w:cs="Arial"/>
          <w:color w:val="808080" w:themeColor="background1" w:themeShade="80"/>
          <w:sz w:val="22"/>
          <w:szCs w:val="22"/>
          <w:lang w:val="en-GB"/>
        </w:rPr>
        <w:t>c</w:t>
      </w:r>
      <w:r w:rsidR="00A64C45" w:rsidRPr="00A25E12">
        <w:rPr>
          <w:rFonts w:ascii="Arial" w:hAnsi="Arial" w:cs="Arial"/>
          <w:color w:val="808080" w:themeColor="background1" w:themeShade="80"/>
          <w:sz w:val="22"/>
          <w:szCs w:val="22"/>
          <w:lang w:val="en-GB"/>
        </w:rPr>
        <w:t xml:space="preserve">ourt to appoint a restructuring officer on the grounds </w:t>
      </w:r>
      <w:r w:rsidR="0059502C" w:rsidRPr="00A25E12">
        <w:rPr>
          <w:rFonts w:ascii="Arial" w:hAnsi="Arial" w:cs="Arial"/>
          <w:color w:val="808080" w:themeColor="background1" w:themeShade="80"/>
          <w:sz w:val="22"/>
          <w:szCs w:val="22"/>
          <w:lang w:val="en-GB"/>
        </w:rPr>
        <w:t>it:</w:t>
      </w:r>
    </w:p>
    <w:p w14:paraId="2C27E92F" w14:textId="4A08D46F" w:rsidR="00A64C45" w:rsidRPr="00A25E12" w:rsidRDefault="00A64C45" w:rsidP="00A25E12">
      <w:pPr>
        <w:pStyle w:val="ListParagraph"/>
        <w:numPr>
          <w:ilvl w:val="0"/>
          <w:numId w:val="21"/>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is or is likely to become unable to pay its debts; and</w:t>
      </w:r>
    </w:p>
    <w:p w14:paraId="5E940811" w14:textId="1F52320A" w:rsidR="00A64C45" w:rsidRPr="00A25E12" w:rsidRDefault="00A64C45" w:rsidP="00A25E12">
      <w:pPr>
        <w:pStyle w:val="ListParagraph"/>
        <w:numPr>
          <w:ilvl w:val="0"/>
          <w:numId w:val="21"/>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intends to present a compromise or arrangement to its creditors</w:t>
      </w:r>
      <w:r w:rsidR="0059502C" w:rsidRPr="00A25E12">
        <w:rPr>
          <w:rStyle w:val="FootnoteReference"/>
          <w:rFonts w:ascii="Arial" w:hAnsi="Arial" w:cs="Arial"/>
          <w:color w:val="808080" w:themeColor="background1" w:themeShade="80"/>
          <w:sz w:val="22"/>
          <w:szCs w:val="22"/>
          <w:lang w:val="en-GB"/>
        </w:rPr>
        <w:footnoteReference w:id="142"/>
      </w:r>
      <w:r w:rsidR="0059502C" w:rsidRPr="00A25E12">
        <w:rPr>
          <w:rFonts w:ascii="Arial" w:hAnsi="Arial" w:cs="Arial"/>
          <w:color w:val="808080" w:themeColor="background1" w:themeShade="80"/>
          <w:sz w:val="22"/>
          <w:szCs w:val="22"/>
          <w:lang w:val="en-GB"/>
        </w:rPr>
        <w:t xml:space="preserve"> (“</w:t>
      </w:r>
      <w:r w:rsidR="0059502C" w:rsidRPr="00A25E12">
        <w:rPr>
          <w:rFonts w:ascii="Arial" w:hAnsi="Arial" w:cs="Arial"/>
          <w:b/>
          <w:bCs/>
          <w:color w:val="808080" w:themeColor="background1" w:themeShade="80"/>
          <w:sz w:val="22"/>
          <w:szCs w:val="22"/>
          <w:lang w:val="en-GB"/>
        </w:rPr>
        <w:t>Restructuring Petition</w:t>
      </w:r>
      <w:r w:rsidR="0059502C" w:rsidRPr="00A25E12">
        <w:rPr>
          <w:rFonts w:ascii="Arial" w:hAnsi="Arial" w:cs="Arial"/>
          <w:color w:val="808080" w:themeColor="background1" w:themeShade="80"/>
          <w:sz w:val="22"/>
          <w:szCs w:val="22"/>
          <w:lang w:val="en-GB"/>
        </w:rPr>
        <w:t>”).</w:t>
      </w:r>
    </w:p>
    <w:p w14:paraId="3C389353" w14:textId="77777777" w:rsidR="0059502C" w:rsidRPr="00A25E12" w:rsidRDefault="0059502C" w:rsidP="00A25E12">
      <w:pPr>
        <w:jc w:val="both"/>
        <w:rPr>
          <w:rFonts w:ascii="Arial" w:hAnsi="Arial" w:cs="Arial"/>
          <w:color w:val="808080" w:themeColor="background1" w:themeShade="80"/>
          <w:sz w:val="22"/>
          <w:szCs w:val="22"/>
          <w:lang w:val="en-GB"/>
        </w:rPr>
      </w:pPr>
    </w:p>
    <w:p w14:paraId="0B008600" w14:textId="25E74759" w:rsidR="0059502C" w:rsidRPr="00A25E12" w:rsidRDefault="001C2EE4"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lastRenderedPageBreak/>
        <w:t xml:space="preserve">Punk Lizard is unable to pay its debts. A </w:t>
      </w:r>
      <w:r w:rsidR="0059502C" w:rsidRPr="00A25E12">
        <w:rPr>
          <w:rFonts w:ascii="Arial" w:hAnsi="Arial" w:cs="Arial"/>
          <w:color w:val="808080" w:themeColor="background1" w:themeShade="80"/>
          <w:sz w:val="22"/>
          <w:szCs w:val="22"/>
          <w:lang w:val="en-GB"/>
        </w:rPr>
        <w:t xml:space="preserve">Restructuring Petition may be presented by </w:t>
      </w:r>
      <w:r w:rsidR="006B09EF" w:rsidRPr="00A25E12">
        <w:rPr>
          <w:rFonts w:ascii="Arial" w:hAnsi="Arial" w:cs="Arial"/>
          <w:color w:val="808080" w:themeColor="background1" w:themeShade="80"/>
          <w:sz w:val="22"/>
          <w:szCs w:val="22"/>
          <w:lang w:val="en-GB"/>
        </w:rPr>
        <w:t xml:space="preserve">the </w:t>
      </w:r>
      <w:r w:rsidR="0059502C" w:rsidRPr="00A25E12">
        <w:rPr>
          <w:rFonts w:ascii="Arial" w:hAnsi="Arial" w:cs="Arial"/>
          <w:color w:val="808080" w:themeColor="background1" w:themeShade="80"/>
          <w:sz w:val="22"/>
          <w:szCs w:val="22"/>
          <w:lang w:val="en-GB"/>
        </w:rPr>
        <w:t xml:space="preserve">directors </w:t>
      </w:r>
      <w:r w:rsidRPr="00A25E12">
        <w:rPr>
          <w:rFonts w:ascii="Arial" w:hAnsi="Arial" w:cs="Arial"/>
          <w:color w:val="808080" w:themeColor="background1" w:themeShade="80"/>
          <w:sz w:val="22"/>
          <w:szCs w:val="22"/>
          <w:lang w:val="en-GB"/>
        </w:rPr>
        <w:t xml:space="preserve">of Punk Lizard </w:t>
      </w:r>
      <w:r w:rsidR="0059502C" w:rsidRPr="00A25E12">
        <w:rPr>
          <w:rFonts w:ascii="Arial" w:hAnsi="Arial" w:cs="Arial"/>
          <w:color w:val="808080" w:themeColor="background1" w:themeShade="80"/>
          <w:sz w:val="22"/>
          <w:szCs w:val="22"/>
          <w:lang w:val="en-GB"/>
        </w:rPr>
        <w:t xml:space="preserve">without a members’ resolution or </w:t>
      </w:r>
      <w:r w:rsidRPr="00A25E12">
        <w:rPr>
          <w:rFonts w:ascii="Arial" w:hAnsi="Arial" w:cs="Arial"/>
          <w:color w:val="808080" w:themeColor="background1" w:themeShade="80"/>
          <w:sz w:val="22"/>
          <w:szCs w:val="22"/>
          <w:lang w:val="en-GB"/>
        </w:rPr>
        <w:t xml:space="preserve">without </w:t>
      </w:r>
      <w:r w:rsidR="0059502C" w:rsidRPr="00A25E12">
        <w:rPr>
          <w:rFonts w:ascii="Arial" w:hAnsi="Arial" w:cs="Arial"/>
          <w:color w:val="808080" w:themeColor="background1" w:themeShade="80"/>
          <w:sz w:val="22"/>
          <w:szCs w:val="22"/>
          <w:lang w:val="en-GB"/>
        </w:rPr>
        <w:t>an express power in the articles of association.</w:t>
      </w:r>
      <w:r w:rsidR="0059502C" w:rsidRPr="00A25E12">
        <w:rPr>
          <w:rStyle w:val="FootnoteReference"/>
          <w:rFonts w:ascii="Arial" w:hAnsi="Arial" w:cs="Arial"/>
          <w:color w:val="808080" w:themeColor="background1" w:themeShade="80"/>
          <w:sz w:val="22"/>
          <w:szCs w:val="22"/>
          <w:lang w:val="en-GB"/>
        </w:rPr>
        <w:footnoteReference w:id="143"/>
      </w:r>
      <w:r w:rsidR="0059502C" w:rsidRPr="00A25E12">
        <w:rPr>
          <w:rFonts w:ascii="Arial" w:hAnsi="Arial" w:cs="Arial"/>
          <w:color w:val="808080" w:themeColor="background1" w:themeShade="80"/>
          <w:sz w:val="22"/>
          <w:szCs w:val="22"/>
          <w:lang w:val="en-GB"/>
        </w:rPr>
        <w:t xml:space="preserve"> A</w:t>
      </w:r>
      <w:r w:rsidR="00A64C45" w:rsidRPr="00A25E12">
        <w:rPr>
          <w:rFonts w:ascii="Arial" w:hAnsi="Arial" w:cs="Arial"/>
          <w:color w:val="808080" w:themeColor="background1" w:themeShade="80"/>
          <w:sz w:val="22"/>
          <w:szCs w:val="22"/>
          <w:lang w:val="en-GB"/>
        </w:rPr>
        <w:t xml:space="preserve"> winding up petition is not require</w:t>
      </w:r>
      <w:r w:rsidR="00CF7F84" w:rsidRPr="00A25E12">
        <w:rPr>
          <w:rFonts w:ascii="Arial" w:hAnsi="Arial" w:cs="Arial"/>
          <w:color w:val="808080" w:themeColor="background1" w:themeShade="80"/>
          <w:sz w:val="22"/>
          <w:szCs w:val="22"/>
          <w:lang w:val="en-GB"/>
        </w:rPr>
        <w:t xml:space="preserve">d </w:t>
      </w:r>
      <w:r w:rsidR="007B6268" w:rsidRPr="00A25E12">
        <w:rPr>
          <w:rFonts w:ascii="Arial" w:hAnsi="Arial" w:cs="Arial"/>
          <w:color w:val="808080" w:themeColor="background1" w:themeShade="80"/>
          <w:sz w:val="22"/>
          <w:szCs w:val="22"/>
          <w:lang w:val="en-GB"/>
        </w:rPr>
        <w:t xml:space="preserve">to be filed </w:t>
      </w:r>
      <w:r w:rsidR="00CF7F84" w:rsidRPr="00A25E12">
        <w:rPr>
          <w:rFonts w:ascii="Arial" w:hAnsi="Arial" w:cs="Arial"/>
          <w:color w:val="808080" w:themeColor="background1" w:themeShade="80"/>
          <w:sz w:val="22"/>
          <w:szCs w:val="22"/>
          <w:lang w:val="en-GB"/>
        </w:rPr>
        <w:t>b</w:t>
      </w:r>
      <w:r w:rsidR="007B6268" w:rsidRPr="00A25E12">
        <w:rPr>
          <w:rFonts w:ascii="Arial" w:hAnsi="Arial" w:cs="Arial"/>
          <w:color w:val="808080" w:themeColor="background1" w:themeShade="80"/>
          <w:sz w:val="22"/>
          <w:szCs w:val="22"/>
          <w:lang w:val="en-GB"/>
        </w:rPr>
        <w:t>y Punk Lizard</w:t>
      </w:r>
      <w:r w:rsidR="00CF7F84" w:rsidRPr="00A25E12">
        <w:rPr>
          <w:rFonts w:ascii="Arial" w:hAnsi="Arial" w:cs="Arial"/>
          <w:color w:val="808080" w:themeColor="background1" w:themeShade="80"/>
          <w:sz w:val="22"/>
          <w:szCs w:val="22"/>
          <w:lang w:val="en-GB"/>
        </w:rPr>
        <w:t>.</w:t>
      </w:r>
    </w:p>
    <w:p w14:paraId="502CC7EF" w14:textId="77777777" w:rsidR="0059502C" w:rsidRPr="00A25E12" w:rsidRDefault="0059502C" w:rsidP="00A25E12">
      <w:pPr>
        <w:jc w:val="both"/>
        <w:rPr>
          <w:rFonts w:ascii="Arial" w:hAnsi="Arial" w:cs="Arial"/>
          <w:color w:val="808080" w:themeColor="background1" w:themeShade="80"/>
          <w:sz w:val="22"/>
          <w:szCs w:val="22"/>
          <w:lang w:val="en-GB"/>
        </w:rPr>
      </w:pPr>
    </w:p>
    <w:p w14:paraId="4B4EDA4C" w14:textId="0BCB5A56" w:rsidR="001C2EE4" w:rsidRPr="00A25E12" w:rsidRDefault="009713A4"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Under section 91G(1)</w:t>
      </w:r>
      <w:r w:rsidR="00D813AE" w:rsidRPr="00A25E12">
        <w:rPr>
          <w:rFonts w:ascii="Arial" w:hAnsi="Arial" w:cs="Arial"/>
          <w:color w:val="808080" w:themeColor="background1" w:themeShade="80"/>
          <w:sz w:val="22"/>
          <w:szCs w:val="22"/>
          <w:lang w:val="en-GB"/>
        </w:rPr>
        <w:t>(a)</w:t>
      </w:r>
      <w:r w:rsidR="00011ED5" w:rsidRPr="00A25E12">
        <w:rPr>
          <w:rFonts w:ascii="Arial" w:hAnsi="Arial" w:cs="Arial"/>
          <w:color w:val="808080" w:themeColor="background1" w:themeShade="80"/>
          <w:sz w:val="22"/>
          <w:szCs w:val="22"/>
          <w:lang w:val="en-GB"/>
        </w:rPr>
        <w:t xml:space="preserve"> of the Companies Act</w:t>
      </w:r>
      <w:r w:rsidRPr="00A25E12">
        <w:rPr>
          <w:rFonts w:ascii="Arial" w:hAnsi="Arial" w:cs="Arial"/>
          <w:color w:val="808080" w:themeColor="background1" w:themeShade="80"/>
          <w:sz w:val="22"/>
          <w:szCs w:val="22"/>
          <w:lang w:val="en-GB"/>
        </w:rPr>
        <w:t>, after the presentation of a petition for the appointment of a restructuring officer under section 91B</w:t>
      </w:r>
      <w:r w:rsidR="00D813AE" w:rsidRPr="00A25E12">
        <w:rPr>
          <w:rFonts w:ascii="Arial" w:hAnsi="Arial" w:cs="Arial"/>
          <w:color w:val="808080" w:themeColor="background1" w:themeShade="80"/>
          <w:sz w:val="22"/>
          <w:szCs w:val="22"/>
          <w:lang w:val="en-GB"/>
        </w:rPr>
        <w:t xml:space="preserve"> (but before an order appointing the restructuring officer is made)</w:t>
      </w:r>
      <w:r w:rsidRPr="00A25E12">
        <w:rPr>
          <w:rFonts w:ascii="Arial" w:hAnsi="Arial" w:cs="Arial"/>
          <w:color w:val="808080" w:themeColor="background1" w:themeShade="80"/>
          <w:sz w:val="22"/>
          <w:szCs w:val="22"/>
          <w:lang w:val="en-GB"/>
        </w:rPr>
        <w:t>, an automatic stay comes into effect.</w:t>
      </w:r>
      <w:r w:rsidRPr="00A25E12">
        <w:rPr>
          <w:rStyle w:val="FootnoteReference"/>
          <w:rFonts w:ascii="Arial" w:hAnsi="Arial" w:cs="Arial"/>
          <w:color w:val="808080" w:themeColor="background1" w:themeShade="80"/>
          <w:sz w:val="22"/>
          <w:szCs w:val="22"/>
          <w:lang w:val="en-GB"/>
        </w:rPr>
        <w:footnoteReference w:id="144"/>
      </w:r>
      <w:r w:rsidR="001C2EE4" w:rsidRPr="00A25E12">
        <w:rPr>
          <w:rFonts w:ascii="Arial" w:hAnsi="Arial" w:cs="Arial"/>
          <w:color w:val="808080" w:themeColor="background1" w:themeShade="80"/>
          <w:sz w:val="22"/>
          <w:szCs w:val="22"/>
          <w:lang w:val="en-GB"/>
        </w:rPr>
        <w:t xml:space="preserve"> This is a legal route via which Punk Lizard can protect itself from creditor action.</w:t>
      </w:r>
      <w:r w:rsidR="00A64C45" w:rsidRPr="00A25E12">
        <w:rPr>
          <w:rFonts w:ascii="Arial" w:hAnsi="Arial" w:cs="Arial"/>
          <w:color w:val="808080" w:themeColor="background1" w:themeShade="80"/>
          <w:sz w:val="22"/>
          <w:szCs w:val="22"/>
          <w:lang w:val="en-GB"/>
        </w:rPr>
        <w:t xml:space="preserve"> </w:t>
      </w:r>
      <w:r w:rsidR="001C2EE4" w:rsidRPr="00A25E12">
        <w:rPr>
          <w:rFonts w:ascii="Arial" w:hAnsi="Arial" w:cs="Arial"/>
          <w:color w:val="808080" w:themeColor="background1" w:themeShade="80"/>
          <w:sz w:val="22"/>
          <w:szCs w:val="22"/>
          <w:lang w:val="en-GB"/>
        </w:rPr>
        <w:t>It should be noted that notwithstanding the presentation of a petition for the appointment of a restructuring officer, a</w:t>
      </w:r>
      <w:r w:rsidR="005A1D34" w:rsidRPr="00A25E12">
        <w:rPr>
          <w:rFonts w:ascii="Arial" w:hAnsi="Arial" w:cs="Arial"/>
          <w:color w:val="808080" w:themeColor="background1" w:themeShade="80"/>
          <w:sz w:val="22"/>
          <w:szCs w:val="22"/>
          <w:lang w:val="en-GB"/>
        </w:rPr>
        <w:t xml:space="preserve"> secured</w:t>
      </w:r>
      <w:r w:rsidR="001C2EE4" w:rsidRPr="00A25E12">
        <w:rPr>
          <w:rFonts w:ascii="Arial" w:hAnsi="Arial" w:cs="Arial"/>
          <w:color w:val="808080" w:themeColor="background1" w:themeShade="80"/>
          <w:sz w:val="22"/>
          <w:szCs w:val="22"/>
          <w:lang w:val="en-GB"/>
        </w:rPr>
        <w:t xml:space="preserve"> creditor such as Turtle National Bank (whether over the whole or part of the distressed company’s assets) will be entitled to enforce the</w:t>
      </w:r>
      <w:r w:rsidR="005A1D34" w:rsidRPr="00A25E12">
        <w:rPr>
          <w:rFonts w:ascii="Arial" w:hAnsi="Arial" w:cs="Arial"/>
          <w:color w:val="808080" w:themeColor="background1" w:themeShade="80"/>
          <w:sz w:val="22"/>
          <w:szCs w:val="22"/>
          <w:lang w:val="en-GB"/>
        </w:rPr>
        <w:t>ir</w:t>
      </w:r>
      <w:r w:rsidR="001C2EE4" w:rsidRPr="00A25E12">
        <w:rPr>
          <w:rFonts w:ascii="Arial" w:hAnsi="Arial" w:cs="Arial"/>
          <w:color w:val="808080" w:themeColor="background1" w:themeShade="80"/>
          <w:sz w:val="22"/>
          <w:szCs w:val="22"/>
          <w:lang w:val="en-GB"/>
        </w:rPr>
        <w:t xml:space="preserve"> security without the leave of the Court or without reference to the restructuring officer.</w:t>
      </w:r>
      <w:r w:rsidR="001C2EE4" w:rsidRPr="00A25E12">
        <w:rPr>
          <w:rStyle w:val="FootnoteReference"/>
          <w:rFonts w:ascii="Arial" w:hAnsi="Arial" w:cs="Arial"/>
          <w:color w:val="808080" w:themeColor="background1" w:themeShade="80"/>
          <w:sz w:val="22"/>
          <w:szCs w:val="22"/>
          <w:lang w:val="en-GB"/>
        </w:rPr>
        <w:footnoteReference w:id="145"/>
      </w:r>
    </w:p>
    <w:p w14:paraId="1563A830" w14:textId="77777777" w:rsidR="00E72347" w:rsidRPr="00A25E12" w:rsidRDefault="00E72347" w:rsidP="00A25E12">
      <w:pPr>
        <w:jc w:val="both"/>
        <w:rPr>
          <w:rFonts w:ascii="Arial" w:hAnsi="Arial" w:cs="Arial"/>
          <w:color w:val="808080" w:themeColor="background1" w:themeShade="80"/>
          <w:sz w:val="22"/>
          <w:szCs w:val="22"/>
          <w:lang w:val="en-GB"/>
        </w:rPr>
      </w:pPr>
    </w:p>
    <w:p w14:paraId="748922D4" w14:textId="1A999402" w:rsidR="00E72347" w:rsidRPr="00A25E12" w:rsidRDefault="00E72347"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The Restructuring Petition </w:t>
      </w:r>
      <w:proofErr w:type="gramStart"/>
      <w:r w:rsidRPr="00A25E12">
        <w:rPr>
          <w:rFonts w:ascii="Arial" w:hAnsi="Arial" w:cs="Arial"/>
          <w:color w:val="808080" w:themeColor="background1" w:themeShade="80"/>
          <w:sz w:val="22"/>
          <w:szCs w:val="22"/>
          <w:lang w:val="en-GB"/>
        </w:rPr>
        <w:t>has to</w:t>
      </w:r>
      <w:proofErr w:type="gramEnd"/>
      <w:r w:rsidRPr="00A25E12">
        <w:rPr>
          <w:rFonts w:ascii="Arial" w:hAnsi="Arial" w:cs="Arial"/>
          <w:color w:val="808080" w:themeColor="background1" w:themeShade="80"/>
          <w:sz w:val="22"/>
          <w:szCs w:val="22"/>
          <w:lang w:val="en-GB"/>
        </w:rPr>
        <w:t xml:space="preserve"> be in Form Number 2A of the Companies Winding Up Rules </w:t>
      </w:r>
      <w:r w:rsidR="00D813AE" w:rsidRPr="00A25E12">
        <w:rPr>
          <w:rFonts w:ascii="Arial" w:hAnsi="Arial" w:cs="Arial"/>
          <w:color w:val="808080" w:themeColor="background1" w:themeShade="80"/>
          <w:sz w:val="22"/>
          <w:szCs w:val="22"/>
          <w:lang w:val="en-GB"/>
        </w:rPr>
        <w:t xml:space="preserve">(2023 Consolidation) </w:t>
      </w:r>
      <w:r w:rsidRPr="00A25E12">
        <w:rPr>
          <w:rFonts w:ascii="Arial" w:hAnsi="Arial" w:cs="Arial"/>
          <w:color w:val="808080" w:themeColor="background1" w:themeShade="80"/>
          <w:sz w:val="22"/>
          <w:szCs w:val="22"/>
          <w:lang w:val="en-GB"/>
        </w:rPr>
        <w:t>(“</w:t>
      </w:r>
      <w:r w:rsidRPr="00A25E12">
        <w:rPr>
          <w:rFonts w:ascii="Arial" w:hAnsi="Arial" w:cs="Arial"/>
          <w:b/>
          <w:bCs/>
          <w:color w:val="808080" w:themeColor="background1" w:themeShade="80"/>
          <w:sz w:val="22"/>
          <w:szCs w:val="22"/>
          <w:lang w:val="en-GB"/>
        </w:rPr>
        <w:t>CWR</w:t>
      </w:r>
      <w:r w:rsidRPr="00A25E12">
        <w:rPr>
          <w:rFonts w:ascii="Arial" w:hAnsi="Arial" w:cs="Arial"/>
          <w:color w:val="808080" w:themeColor="background1" w:themeShade="80"/>
          <w:sz w:val="22"/>
          <w:szCs w:val="22"/>
          <w:lang w:val="en-GB"/>
        </w:rPr>
        <w:t>”) and needs to be supported by:</w:t>
      </w:r>
    </w:p>
    <w:p w14:paraId="5F62CEC9" w14:textId="5DEF8C6A" w:rsidR="00C31077" w:rsidRPr="00A25E12" w:rsidRDefault="00E72347" w:rsidP="00A25E12">
      <w:pPr>
        <w:pStyle w:val="ListParagraph"/>
        <w:numPr>
          <w:ilvl w:val="0"/>
          <w:numId w:val="22"/>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an affidavit sworn by or on the authority of Punk Lizard’s board of directors which contains, </w:t>
      </w:r>
      <w:r w:rsidRPr="00A25E12">
        <w:rPr>
          <w:rFonts w:ascii="Arial" w:hAnsi="Arial" w:cs="Arial"/>
          <w:i/>
          <w:iCs/>
          <w:color w:val="808080" w:themeColor="background1" w:themeShade="80"/>
          <w:sz w:val="22"/>
          <w:szCs w:val="22"/>
          <w:lang w:val="en-GB"/>
        </w:rPr>
        <w:t>inter alia</w:t>
      </w:r>
      <w:r w:rsidRPr="00A25E12">
        <w:rPr>
          <w:rFonts w:ascii="Arial" w:hAnsi="Arial" w:cs="Arial"/>
          <w:color w:val="808080" w:themeColor="background1" w:themeShade="80"/>
          <w:sz w:val="22"/>
          <w:szCs w:val="22"/>
          <w:lang w:val="en-GB"/>
        </w:rPr>
        <w:t>, “</w:t>
      </w:r>
      <w:r w:rsidRPr="00A25E12">
        <w:rPr>
          <w:rFonts w:ascii="Arial" w:hAnsi="Arial" w:cs="Arial"/>
          <w:i/>
          <w:iCs/>
          <w:color w:val="808080" w:themeColor="background1" w:themeShade="80"/>
          <w:sz w:val="22"/>
          <w:szCs w:val="22"/>
          <w:lang w:val="en-GB"/>
        </w:rPr>
        <w:t>a statement of the reasons why the company's directors believe that the appointment of a restructuring officer and the moratorium would be in the best interests of the company and, in appropriate circumstances, its creditors</w:t>
      </w:r>
      <w:r w:rsidRPr="00A25E12">
        <w:rPr>
          <w:rFonts w:ascii="Arial" w:hAnsi="Arial" w:cs="Arial"/>
          <w:color w:val="808080" w:themeColor="background1" w:themeShade="80"/>
          <w:sz w:val="22"/>
          <w:szCs w:val="22"/>
          <w:lang w:val="en-GB"/>
        </w:rPr>
        <w:t>”</w:t>
      </w:r>
      <w:r w:rsidRPr="00A25E12">
        <w:rPr>
          <w:rStyle w:val="FootnoteReference"/>
          <w:rFonts w:ascii="Arial" w:hAnsi="Arial" w:cs="Arial"/>
          <w:color w:val="808080" w:themeColor="background1" w:themeShade="80"/>
          <w:sz w:val="22"/>
          <w:szCs w:val="22"/>
          <w:lang w:val="en-GB"/>
        </w:rPr>
        <w:footnoteReference w:id="146"/>
      </w:r>
      <w:r w:rsidRPr="00A25E12">
        <w:rPr>
          <w:rFonts w:ascii="Arial" w:hAnsi="Arial" w:cs="Arial"/>
          <w:color w:val="808080" w:themeColor="background1" w:themeShade="80"/>
          <w:sz w:val="22"/>
          <w:szCs w:val="22"/>
          <w:lang w:val="en-GB"/>
        </w:rPr>
        <w:t>;</w:t>
      </w:r>
      <w:r w:rsidR="00C31077" w:rsidRPr="00A25E12">
        <w:rPr>
          <w:rFonts w:ascii="Arial" w:hAnsi="Arial" w:cs="Arial"/>
          <w:color w:val="808080" w:themeColor="background1" w:themeShade="80"/>
          <w:sz w:val="22"/>
          <w:szCs w:val="22"/>
          <w:lang w:val="en-GB"/>
        </w:rPr>
        <w:t xml:space="preserve"> and</w:t>
      </w:r>
    </w:p>
    <w:p w14:paraId="1ED61C44" w14:textId="6CDB3DD6" w:rsidR="00E72347" w:rsidRPr="00A25E12" w:rsidRDefault="00C31077" w:rsidP="00A25E12">
      <w:pPr>
        <w:pStyle w:val="ListParagraph"/>
        <w:numPr>
          <w:ilvl w:val="0"/>
          <w:numId w:val="22"/>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an affidavit sworn by the person(s) nominated for the appointment as restructuring officer and containing the matters specified in Order 3, rule 4 which relates to the nominated restructuring officer’s consent to act.</w:t>
      </w:r>
      <w:r w:rsidRPr="00A25E12">
        <w:rPr>
          <w:rStyle w:val="FootnoteReference"/>
          <w:rFonts w:ascii="Arial" w:hAnsi="Arial" w:cs="Arial"/>
          <w:color w:val="808080" w:themeColor="background1" w:themeShade="80"/>
          <w:sz w:val="22"/>
          <w:szCs w:val="22"/>
          <w:lang w:val="en-GB"/>
        </w:rPr>
        <w:footnoteReference w:id="147"/>
      </w:r>
    </w:p>
    <w:p w14:paraId="206741C9" w14:textId="77777777" w:rsidR="009713A4" w:rsidRPr="00A25E12" w:rsidRDefault="009713A4" w:rsidP="00A25E12">
      <w:pPr>
        <w:jc w:val="both"/>
        <w:rPr>
          <w:rFonts w:ascii="Arial" w:hAnsi="Arial" w:cs="Arial"/>
          <w:color w:val="808080" w:themeColor="background1" w:themeShade="80"/>
          <w:sz w:val="22"/>
          <w:szCs w:val="22"/>
          <w:lang w:val="en-GB"/>
        </w:rPr>
      </w:pPr>
    </w:p>
    <w:p w14:paraId="2122B5CD" w14:textId="181FBA8E" w:rsidR="00F75168" w:rsidRPr="00A25E12" w:rsidRDefault="00F75168"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Once the Restructuring Petition has been presented, it must be advertised in accordance with Form Number 3A of the CWR (unless the court orders otherwise).</w:t>
      </w:r>
      <w:r w:rsidRPr="00A25E12">
        <w:rPr>
          <w:rStyle w:val="FootnoteReference"/>
          <w:rFonts w:ascii="Arial" w:hAnsi="Arial" w:cs="Arial"/>
          <w:color w:val="808080" w:themeColor="background1" w:themeShade="80"/>
          <w:sz w:val="22"/>
          <w:szCs w:val="22"/>
          <w:lang w:val="en-GB"/>
        </w:rPr>
        <w:footnoteReference w:id="148"/>
      </w:r>
    </w:p>
    <w:p w14:paraId="1C46DA06" w14:textId="77777777" w:rsidR="00F75168" w:rsidRPr="00A25E12" w:rsidRDefault="00F75168" w:rsidP="00A25E12">
      <w:pPr>
        <w:jc w:val="both"/>
        <w:rPr>
          <w:rFonts w:ascii="Arial" w:hAnsi="Arial" w:cs="Arial"/>
          <w:color w:val="808080" w:themeColor="background1" w:themeShade="80"/>
          <w:sz w:val="22"/>
          <w:szCs w:val="22"/>
          <w:lang w:val="en-GB"/>
        </w:rPr>
      </w:pPr>
    </w:p>
    <w:p w14:paraId="4884E4C4" w14:textId="2FB59BC9" w:rsidR="00FD7576" w:rsidRPr="00A25E12" w:rsidRDefault="00FD7576"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Order 1A, rule 1(6) of the CWR states that, unless the court otherwise directs, the Restructuring Petition for appointing the restructuring officer will be heard within 21 days of the filing of the petition for the appointment.</w:t>
      </w:r>
      <w:r w:rsidRPr="00A25E12">
        <w:rPr>
          <w:rStyle w:val="FootnoteReference"/>
          <w:rFonts w:ascii="Arial" w:hAnsi="Arial" w:cs="Arial"/>
          <w:color w:val="808080" w:themeColor="background1" w:themeShade="80"/>
          <w:sz w:val="22"/>
          <w:szCs w:val="22"/>
          <w:lang w:val="en-GB"/>
        </w:rPr>
        <w:footnoteReference w:id="149"/>
      </w:r>
      <w:r w:rsidRPr="00A25E12">
        <w:rPr>
          <w:rFonts w:ascii="Arial" w:hAnsi="Arial" w:cs="Arial"/>
          <w:color w:val="808080" w:themeColor="background1" w:themeShade="80"/>
          <w:sz w:val="22"/>
          <w:szCs w:val="22"/>
          <w:lang w:val="en-GB"/>
        </w:rPr>
        <w:t xml:space="preserve"> Order 1A, rule 1(6) enables a debtor company such as Punk Lizard to seek relief quickly and effectively. It also protects creditors from a debtor company </w:t>
      </w:r>
      <w:r w:rsidR="005A1D34" w:rsidRPr="00A25E12">
        <w:rPr>
          <w:rFonts w:ascii="Arial" w:hAnsi="Arial" w:cs="Arial"/>
          <w:color w:val="808080" w:themeColor="background1" w:themeShade="80"/>
          <w:sz w:val="22"/>
          <w:szCs w:val="22"/>
          <w:lang w:val="en-GB"/>
        </w:rPr>
        <w:t xml:space="preserve">who </w:t>
      </w:r>
      <w:r w:rsidRPr="00A25E12">
        <w:rPr>
          <w:rFonts w:ascii="Arial" w:hAnsi="Arial" w:cs="Arial"/>
          <w:color w:val="808080" w:themeColor="background1" w:themeShade="80"/>
          <w:sz w:val="22"/>
          <w:szCs w:val="22"/>
          <w:lang w:val="en-GB"/>
        </w:rPr>
        <w:t>us</w:t>
      </w:r>
      <w:r w:rsidR="005A1D34" w:rsidRPr="00A25E12">
        <w:rPr>
          <w:rFonts w:ascii="Arial" w:hAnsi="Arial" w:cs="Arial"/>
          <w:color w:val="808080" w:themeColor="background1" w:themeShade="80"/>
          <w:sz w:val="22"/>
          <w:szCs w:val="22"/>
          <w:lang w:val="en-GB"/>
        </w:rPr>
        <w:t>es</w:t>
      </w:r>
      <w:r w:rsidRPr="00A25E12">
        <w:rPr>
          <w:rFonts w:ascii="Arial" w:hAnsi="Arial" w:cs="Arial"/>
          <w:color w:val="808080" w:themeColor="background1" w:themeShade="80"/>
          <w:sz w:val="22"/>
          <w:szCs w:val="22"/>
          <w:lang w:val="en-GB"/>
        </w:rPr>
        <w:t xml:space="preserve"> the statutory moratorium without progressing the Restructuring Petition or without any </w:t>
      </w:r>
      <w:r w:rsidRPr="00A25E12">
        <w:rPr>
          <w:rFonts w:ascii="Arial" w:hAnsi="Arial" w:cs="Arial"/>
          <w:i/>
          <w:iCs/>
          <w:color w:val="808080" w:themeColor="background1" w:themeShade="80"/>
          <w:sz w:val="22"/>
          <w:szCs w:val="22"/>
          <w:lang w:val="en-GB"/>
        </w:rPr>
        <w:t>bona fide</w:t>
      </w:r>
      <w:r w:rsidRPr="00A25E12">
        <w:rPr>
          <w:rFonts w:ascii="Arial" w:hAnsi="Arial" w:cs="Arial"/>
          <w:color w:val="808080" w:themeColor="background1" w:themeShade="80"/>
          <w:sz w:val="22"/>
          <w:szCs w:val="22"/>
          <w:lang w:val="en-GB"/>
        </w:rPr>
        <w:t xml:space="preserve"> intention to actually restructure the company.</w:t>
      </w:r>
      <w:r w:rsidRPr="00A25E12">
        <w:rPr>
          <w:rStyle w:val="FootnoteReference"/>
          <w:rFonts w:ascii="Arial" w:hAnsi="Arial" w:cs="Arial"/>
          <w:color w:val="808080" w:themeColor="background1" w:themeShade="80"/>
          <w:sz w:val="22"/>
          <w:szCs w:val="22"/>
          <w:lang w:val="en-GB"/>
        </w:rPr>
        <w:footnoteReference w:id="150"/>
      </w:r>
      <w:r w:rsidRPr="00A25E12">
        <w:rPr>
          <w:rFonts w:ascii="Arial" w:hAnsi="Arial" w:cs="Arial"/>
          <w:color w:val="808080" w:themeColor="background1" w:themeShade="80"/>
          <w:sz w:val="22"/>
          <w:szCs w:val="22"/>
          <w:lang w:val="en-GB"/>
        </w:rPr>
        <w:t xml:space="preserve"> Upon hearing the Restructuring Petition, the court may, </w:t>
      </w:r>
      <w:r w:rsidRPr="00A25E12">
        <w:rPr>
          <w:rFonts w:ascii="Arial" w:hAnsi="Arial" w:cs="Arial"/>
          <w:i/>
          <w:iCs/>
          <w:color w:val="808080" w:themeColor="background1" w:themeShade="80"/>
          <w:sz w:val="22"/>
          <w:szCs w:val="22"/>
          <w:lang w:val="en-GB"/>
        </w:rPr>
        <w:t>inter alia</w:t>
      </w:r>
      <w:r w:rsidRPr="00A25E12">
        <w:rPr>
          <w:rFonts w:ascii="Arial" w:hAnsi="Arial" w:cs="Arial"/>
          <w:color w:val="808080" w:themeColor="background1" w:themeShade="80"/>
          <w:sz w:val="22"/>
          <w:szCs w:val="22"/>
          <w:lang w:val="en-GB"/>
        </w:rPr>
        <w:t>, make an order to appoint a restructuring officer.</w:t>
      </w:r>
      <w:r w:rsidR="00011ED5" w:rsidRPr="00A25E12">
        <w:rPr>
          <w:rStyle w:val="FootnoteReference"/>
          <w:rFonts w:ascii="Arial" w:hAnsi="Arial" w:cs="Arial"/>
          <w:color w:val="808080" w:themeColor="background1" w:themeShade="80"/>
          <w:sz w:val="22"/>
          <w:szCs w:val="22"/>
          <w:lang w:val="en-GB"/>
        </w:rPr>
        <w:footnoteReference w:id="151"/>
      </w:r>
      <w:r w:rsidR="00011ED5" w:rsidRPr="00A25E12">
        <w:rPr>
          <w:rFonts w:ascii="Arial" w:hAnsi="Arial" w:cs="Arial"/>
          <w:color w:val="808080" w:themeColor="background1" w:themeShade="80"/>
          <w:sz w:val="22"/>
          <w:szCs w:val="22"/>
          <w:lang w:val="en-GB"/>
        </w:rPr>
        <w:t xml:space="preserve"> Section 91G(1)(b) of the Companies Act states that at any time when an order for appointing a restructuring officer is made, until the order appointing the restructuring officer has been discharged, the automatic stay continues.</w:t>
      </w:r>
      <w:r w:rsidR="00011ED5" w:rsidRPr="00A25E12">
        <w:rPr>
          <w:rStyle w:val="FootnoteReference"/>
          <w:rFonts w:ascii="Arial" w:hAnsi="Arial" w:cs="Arial"/>
          <w:color w:val="808080" w:themeColor="background1" w:themeShade="80"/>
          <w:sz w:val="22"/>
          <w:szCs w:val="22"/>
          <w:lang w:val="en-GB"/>
        </w:rPr>
        <w:footnoteReference w:id="152"/>
      </w:r>
      <w:r w:rsidR="00011ED5" w:rsidRPr="00A25E12">
        <w:rPr>
          <w:rFonts w:ascii="Arial" w:hAnsi="Arial" w:cs="Arial"/>
          <w:color w:val="808080" w:themeColor="background1" w:themeShade="80"/>
          <w:sz w:val="22"/>
          <w:szCs w:val="22"/>
          <w:lang w:val="en-GB"/>
        </w:rPr>
        <w:t xml:space="preserve"> If the restructuring of Punk Lizard is successful, an application to discharge the order appointing the restructuring officer can be made under section 91E</w:t>
      </w:r>
      <w:r w:rsidR="005A1D34" w:rsidRPr="00A25E12">
        <w:rPr>
          <w:rFonts w:ascii="Arial" w:hAnsi="Arial" w:cs="Arial"/>
          <w:color w:val="808080" w:themeColor="background1" w:themeShade="80"/>
          <w:sz w:val="22"/>
          <w:szCs w:val="22"/>
          <w:lang w:val="en-GB"/>
        </w:rPr>
        <w:t>(3)(b)</w:t>
      </w:r>
      <w:r w:rsidR="00011ED5" w:rsidRPr="00A25E12">
        <w:rPr>
          <w:rFonts w:ascii="Arial" w:hAnsi="Arial" w:cs="Arial"/>
          <w:color w:val="808080" w:themeColor="background1" w:themeShade="80"/>
          <w:sz w:val="22"/>
          <w:szCs w:val="22"/>
          <w:lang w:val="en-GB"/>
        </w:rPr>
        <w:t xml:space="preserve"> of the Companies Act.</w:t>
      </w:r>
      <w:r w:rsidR="005A1D34" w:rsidRPr="00A25E12">
        <w:rPr>
          <w:rFonts w:ascii="Arial" w:hAnsi="Arial" w:cs="Arial"/>
          <w:color w:val="808080" w:themeColor="background1" w:themeShade="80"/>
          <w:sz w:val="22"/>
          <w:szCs w:val="22"/>
          <w:lang w:val="en-GB"/>
        </w:rPr>
        <w:t xml:space="preserve"> Equally, if the restructuring is unsuccessful, an application can also be made under section 91E to discharge the appointment order.</w:t>
      </w:r>
    </w:p>
    <w:p w14:paraId="79C227B8" w14:textId="77777777" w:rsidR="001722C5" w:rsidRPr="00A25E12" w:rsidRDefault="001722C5" w:rsidP="00A25E12">
      <w:pPr>
        <w:jc w:val="both"/>
        <w:rPr>
          <w:rFonts w:ascii="Arial" w:hAnsi="Arial" w:cs="Arial"/>
          <w:color w:val="808080" w:themeColor="background1" w:themeShade="80"/>
          <w:sz w:val="22"/>
          <w:szCs w:val="22"/>
          <w:lang w:val="en-GB"/>
        </w:rPr>
      </w:pPr>
    </w:p>
    <w:p w14:paraId="0D055998" w14:textId="4E900B84" w:rsidR="00C1128C" w:rsidRPr="00A25E12" w:rsidRDefault="00C1128C" w:rsidP="00A25E12">
      <w:pPr>
        <w:jc w:val="both"/>
        <w:rPr>
          <w:rFonts w:ascii="Arial" w:hAnsi="Arial" w:cs="Arial"/>
          <w:b/>
          <w:bCs/>
          <w:color w:val="808080" w:themeColor="background1" w:themeShade="80"/>
          <w:sz w:val="22"/>
          <w:szCs w:val="22"/>
          <w:u w:val="single"/>
          <w:lang w:val="en-GB"/>
        </w:rPr>
      </w:pPr>
      <w:r w:rsidRPr="00A25E12">
        <w:rPr>
          <w:rFonts w:ascii="Arial" w:hAnsi="Arial" w:cs="Arial"/>
          <w:b/>
          <w:bCs/>
          <w:color w:val="808080" w:themeColor="background1" w:themeShade="80"/>
          <w:sz w:val="22"/>
          <w:szCs w:val="22"/>
          <w:u w:val="single"/>
          <w:lang w:val="en-GB"/>
        </w:rPr>
        <w:t>Question 4(f)</w:t>
      </w:r>
    </w:p>
    <w:p w14:paraId="65A5F556" w14:textId="7FD83DDD" w:rsidR="002D163C" w:rsidRPr="00A25E12" w:rsidRDefault="002D163C"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The Kraken family owns and manages Punk Lizard. Whether the Kraken family</w:t>
      </w:r>
      <w:r w:rsidR="00D7440A" w:rsidRPr="00A25E12">
        <w:rPr>
          <w:rFonts w:ascii="Arial" w:hAnsi="Arial" w:cs="Arial"/>
          <w:color w:val="808080" w:themeColor="background1" w:themeShade="80"/>
          <w:sz w:val="22"/>
          <w:szCs w:val="22"/>
          <w:lang w:val="en-GB"/>
        </w:rPr>
        <w:t xml:space="preserve"> </w:t>
      </w:r>
      <w:r w:rsidRPr="00A25E12">
        <w:rPr>
          <w:rFonts w:ascii="Arial" w:hAnsi="Arial" w:cs="Arial"/>
          <w:color w:val="808080" w:themeColor="background1" w:themeShade="80"/>
          <w:sz w:val="22"/>
          <w:szCs w:val="22"/>
          <w:lang w:val="en-GB"/>
        </w:rPr>
        <w:t xml:space="preserve">continue to play a part in the running of Punk Lizard </w:t>
      </w:r>
      <w:r w:rsidR="00D8493D" w:rsidRPr="00A25E12">
        <w:rPr>
          <w:rFonts w:ascii="Arial" w:hAnsi="Arial" w:cs="Arial"/>
          <w:color w:val="808080" w:themeColor="background1" w:themeShade="80"/>
          <w:sz w:val="22"/>
          <w:szCs w:val="22"/>
          <w:lang w:val="en-GB"/>
        </w:rPr>
        <w:t xml:space="preserve">during any restructuring process </w:t>
      </w:r>
      <w:r w:rsidRPr="00A25E12">
        <w:rPr>
          <w:rFonts w:ascii="Arial" w:hAnsi="Arial" w:cs="Arial"/>
          <w:color w:val="808080" w:themeColor="background1" w:themeShade="80"/>
          <w:sz w:val="22"/>
          <w:szCs w:val="22"/>
          <w:lang w:val="en-GB"/>
        </w:rPr>
        <w:t xml:space="preserve">depends on the </w:t>
      </w:r>
      <w:r w:rsidRPr="00A25E12">
        <w:rPr>
          <w:rFonts w:ascii="Arial" w:hAnsi="Arial" w:cs="Arial"/>
          <w:color w:val="808080" w:themeColor="background1" w:themeShade="80"/>
          <w:sz w:val="22"/>
          <w:szCs w:val="22"/>
          <w:lang w:val="en-GB"/>
        </w:rPr>
        <w:lastRenderedPageBreak/>
        <w:t>specific situation.</w:t>
      </w:r>
      <w:r w:rsidR="001635CC" w:rsidRPr="00A25E12">
        <w:rPr>
          <w:rFonts w:ascii="Arial" w:hAnsi="Arial" w:cs="Arial"/>
          <w:color w:val="808080" w:themeColor="background1" w:themeShade="80"/>
          <w:sz w:val="22"/>
          <w:szCs w:val="22"/>
          <w:lang w:val="en-GB"/>
        </w:rPr>
        <w:t xml:space="preserve"> </w:t>
      </w:r>
      <w:r w:rsidR="003D4823" w:rsidRPr="00A25E12">
        <w:rPr>
          <w:rFonts w:ascii="Arial" w:hAnsi="Arial" w:cs="Arial"/>
          <w:color w:val="808080" w:themeColor="background1" w:themeShade="80"/>
          <w:sz w:val="22"/>
          <w:szCs w:val="22"/>
          <w:lang w:val="en-GB"/>
        </w:rPr>
        <w:t>Assuming a restructuring officer is appointed, this will allow for a scheme of arrangement (“</w:t>
      </w:r>
      <w:r w:rsidR="003D4823" w:rsidRPr="00A25E12">
        <w:rPr>
          <w:rFonts w:ascii="Arial" w:hAnsi="Arial" w:cs="Arial"/>
          <w:b/>
          <w:bCs/>
          <w:color w:val="808080" w:themeColor="background1" w:themeShade="80"/>
          <w:sz w:val="22"/>
          <w:szCs w:val="22"/>
          <w:lang w:val="en-GB"/>
        </w:rPr>
        <w:t>Scheme</w:t>
      </w:r>
      <w:r w:rsidR="003D4823" w:rsidRPr="00A25E12">
        <w:rPr>
          <w:rFonts w:ascii="Arial" w:hAnsi="Arial" w:cs="Arial"/>
          <w:color w:val="808080" w:themeColor="background1" w:themeShade="80"/>
          <w:sz w:val="22"/>
          <w:szCs w:val="22"/>
          <w:lang w:val="en-GB"/>
        </w:rPr>
        <w:t>”) within the restructuring proceedings</w:t>
      </w:r>
      <w:r w:rsidR="003D4823" w:rsidRPr="00A25E12">
        <w:rPr>
          <w:rStyle w:val="FootnoteReference"/>
          <w:rFonts w:ascii="Arial" w:hAnsi="Arial" w:cs="Arial"/>
          <w:color w:val="808080" w:themeColor="background1" w:themeShade="80"/>
          <w:sz w:val="22"/>
          <w:szCs w:val="22"/>
          <w:lang w:val="en-GB"/>
        </w:rPr>
        <w:footnoteReference w:id="153"/>
      </w:r>
      <w:r w:rsidR="003D4823" w:rsidRPr="00A25E12">
        <w:rPr>
          <w:rFonts w:ascii="Arial" w:hAnsi="Arial" w:cs="Arial"/>
          <w:color w:val="808080" w:themeColor="background1" w:themeShade="80"/>
          <w:sz w:val="22"/>
          <w:szCs w:val="22"/>
          <w:lang w:val="en-GB"/>
        </w:rPr>
        <w:t>. A Scheme is a court sanctioned compromise or arrangement between the company and its creditors or members</w:t>
      </w:r>
      <w:r w:rsidR="003D4823" w:rsidRPr="00A25E12">
        <w:rPr>
          <w:rStyle w:val="FootnoteReference"/>
          <w:rFonts w:ascii="Arial" w:hAnsi="Arial" w:cs="Arial"/>
          <w:color w:val="808080" w:themeColor="background1" w:themeShade="80"/>
          <w:sz w:val="22"/>
          <w:szCs w:val="22"/>
          <w:lang w:val="en-GB"/>
        </w:rPr>
        <w:footnoteReference w:id="154"/>
      </w:r>
      <w:r w:rsidR="003D4823" w:rsidRPr="00A25E12">
        <w:rPr>
          <w:rFonts w:ascii="Arial" w:hAnsi="Arial" w:cs="Arial"/>
          <w:color w:val="808080" w:themeColor="background1" w:themeShade="80"/>
          <w:sz w:val="22"/>
          <w:szCs w:val="22"/>
          <w:lang w:val="en-GB"/>
        </w:rPr>
        <w:t xml:space="preserve"> and does not </w:t>
      </w:r>
      <w:r w:rsidR="001635CC" w:rsidRPr="00A25E12">
        <w:rPr>
          <w:rFonts w:ascii="Arial" w:hAnsi="Arial" w:cs="Arial"/>
          <w:color w:val="808080" w:themeColor="background1" w:themeShade="80"/>
          <w:sz w:val="22"/>
          <w:szCs w:val="22"/>
          <w:lang w:val="en-GB"/>
        </w:rPr>
        <w:t xml:space="preserve">automatically </w:t>
      </w:r>
      <w:r w:rsidR="003D4823" w:rsidRPr="00A25E12">
        <w:rPr>
          <w:rFonts w:ascii="Arial" w:hAnsi="Arial" w:cs="Arial"/>
          <w:color w:val="808080" w:themeColor="background1" w:themeShade="80"/>
          <w:sz w:val="22"/>
          <w:szCs w:val="22"/>
          <w:lang w:val="en-GB"/>
        </w:rPr>
        <w:t>remove or restrict the powers of the directors</w:t>
      </w:r>
      <w:r w:rsidR="003D4823" w:rsidRPr="00A25E12">
        <w:rPr>
          <w:rStyle w:val="FootnoteReference"/>
          <w:rFonts w:ascii="Arial" w:hAnsi="Arial" w:cs="Arial"/>
          <w:color w:val="808080" w:themeColor="background1" w:themeShade="80"/>
          <w:sz w:val="22"/>
          <w:szCs w:val="22"/>
          <w:lang w:val="en-GB"/>
        </w:rPr>
        <w:footnoteReference w:id="155"/>
      </w:r>
      <w:r w:rsidR="003D4823" w:rsidRPr="00A25E12">
        <w:rPr>
          <w:rFonts w:ascii="Arial" w:hAnsi="Arial" w:cs="Arial"/>
          <w:color w:val="808080" w:themeColor="background1" w:themeShade="80"/>
          <w:sz w:val="22"/>
          <w:szCs w:val="22"/>
          <w:lang w:val="en-GB"/>
        </w:rPr>
        <w:t xml:space="preserve">. </w:t>
      </w:r>
      <w:r w:rsidRPr="00A25E12">
        <w:rPr>
          <w:rFonts w:ascii="Arial" w:hAnsi="Arial" w:cs="Arial"/>
          <w:color w:val="808080" w:themeColor="background1" w:themeShade="80"/>
          <w:sz w:val="22"/>
          <w:szCs w:val="22"/>
          <w:lang w:val="en-GB"/>
        </w:rPr>
        <w:t xml:space="preserve">The board of directors’ powers may be affected by the appointment of a restructuring officer - the </w:t>
      </w:r>
      <w:r w:rsidR="00D8742C" w:rsidRPr="00A25E12">
        <w:rPr>
          <w:rFonts w:ascii="Arial" w:hAnsi="Arial" w:cs="Arial"/>
          <w:color w:val="808080" w:themeColor="background1" w:themeShade="80"/>
          <w:sz w:val="22"/>
          <w:szCs w:val="22"/>
          <w:lang w:val="en-GB"/>
        </w:rPr>
        <w:t>c</w:t>
      </w:r>
      <w:r w:rsidRPr="00A25E12">
        <w:rPr>
          <w:rFonts w:ascii="Arial" w:hAnsi="Arial" w:cs="Arial"/>
          <w:color w:val="808080" w:themeColor="background1" w:themeShade="80"/>
          <w:sz w:val="22"/>
          <w:szCs w:val="22"/>
          <w:lang w:val="en-GB"/>
        </w:rPr>
        <w:t>ourt will determine in the order appointing the restructuring officer which powers are to be retained by the directors (if any)</w:t>
      </w:r>
      <w:r w:rsidR="005E0202" w:rsidRPr="00A25E12">
        <w:rPr>
          <w:rStyle w:val="FootnoteReference"/>
          <w:rFonts w:ascii="Arial" w:hAnsi="Arial" w:cs="Arial"/>
          <w:color w:val="808080" w:themeColor="background1" w:themeShade="80"/>
          <w:sz w:val="22"/>
          <w:szCs w:val="22"/>
          <w:lang w:val="en-GB"/>
        </w:rPr>
        <w:footnoteReference w:id="156"/>
      </w:r>
      <w:r w:rsidRPr="00A25E12">
        <w:rPr>
          <w:rFonts w:ascii="Arial" w:hAnsi="Arial" w:cs="Arial"/>
          <w:color w:val="808080" w:themeColor="background1" w:themeShade="80"/>
          <w:sz w:val="22"/>
          <w:szCs w:val="22"/>
          <w:lang w:val="en-GB"/>
        </w:rPr>
        <w:t xml:space="preserve">. The Court could adopt the “light touch” approach whereby the directors (i.e. the Kraken family) continue to manage Punk Lizard’s affairs simultaneously with the restructuring officer </w:t>
      </w:r>
      <w:r w:rsidR="00D8742C" w:rsidRPr="00A25E12">
        <w:rPr>
          <w:rFonts w:ascii="Arial" w:hAnsi="Arial" w:cs="Arial"/>
          <w:color w:val="808080" w:themeColor="background1" w:themeShade="80"/>
          <w:sz w:val="22"/>
          <w:szCs w:val="22"/>
          <w:lang w:val="en-GB"/>
        </w:rPr>
        <w:t xml:space="preserve">appointed </w:t>
      </w:r>
      <w:r w:rsidRPr="00A25E12">
        <w:rPr>
          <w:rFonts w:ascii="Arial" w:hAnsi="Arial" w:cs="Arial"/>
          <w:color w:val="808080" w:themeColor="background1" w:themeShade="80"/>
          <w:sz w:val="22"/>
          <w:szCs w:val="22"/>
          <w:lang w:val="en-GB"/>
        </w:rPr>
        <w:t>in place</w:t>
      </w:r>
      <w:r w:rsidR="005E0202" w:rsidRPr="00A25E12">
        <w:rPr>
          <w:rFonts w:ascii="Arial" w:hAnsi="Arial" w:cs="Arial"/>
          <w:color w:val="808080" w:themeColor="background1" w:themeShade="80"/>
          <w:sz w:val="22"/>
          <w:szCs w:val="22"/>
          <w:lang w:val="en-GB"/>
        </w:rPr>
        <w:t>.</w:t>
      </w:r>
      <w:r w:rsidR="005E0202" w:rsidRPr="00A25E12">
        <w:rPr>
          <w:rStyle w:val="FootnoteReference"/>
          <w:rFonts w:ascii="Arial" w:hAnsi="Arial" w:cs="Arial"/>
          <w:color w:val="808080" w:themeColor="background1" w:themeShade="80"/>
          <w:sz w:val="22"/>
          <w:szCs w:val="22"/>
          <w:lang w:val="en-GB"/>
        </w:rPr>
        <w:footnoteReference w:id="157"/>
      </w:r>
      <w:r w:rsidRPr="00A25E12">
        <w:rPr>
          <w:rFonts w:ascii="Arial" w:hAnsi="Arial" w:cs="Arial"/>
          <w:color w:val="808080" w:themeColor="background1" w:themeShade="80"/>
          <w:sz w:val="22"/>
          <w:szCs w:val="22"/>
          <w:lang w:val="en-GB"/>
        </w:rPr>
        <w:t xml:space="preserve"> There could be oversight by the restructuring officer of the management</w:t>
      </w:r>
      <w:r w:rsidR="001635CC" w:rsidRPr="00A25E12">
        <w:rPr>
          <w:rFonts w:ascii="Arial" w:hAnsi="Arial" w:cs="Arial"/>
          <w:color w:val="808080" w:themeColor="background1" w:themeShade="80"/>
          <w:sz w:val="22"/>
          <w:szCs w:val="22"/>
          <w:lang w:val="en-GB"/>
        </w:rPr>
        <w:t>/Kraken family</w:t>
      </w:r>
      <w:r w:rsidRPr="00A25E12">
        <w:rPr>
          <w:rFonts w:ascii="Arial" w:hAnsi="Arial" w:cs="Arial"/>
          <w:color w:val="808080" w:themeColor="background1" w:themeShade="80"/>
          <w:sz w:val="22"/>
          <w:szCs w:val="22"/>
          <w:lang w:val="en-GB"/>
        </w:rPr>
        <w:t xml:space="preserve"> </w:t>
      </w:r>
      <w:r w:rsidR="001635CC" w:rsidRPr="00A25E12">
        <w:rPr>
          <w:rFonts w:ascii="Arial" w:hAnsi="Arial" w:cs="Arial"/>
          <w:color w:val="808080" w:themeColor="background1" w:themeShade="80"/>
          <w:sz w:val="22"/>
          <w:szCs w:val="22"/>
          <w:lang w:val="en-GB"/>
        </w:rPr>
        <w:t>if</w:t>
      </w:r>
      <w:r w:rsidRPr="00A25E12">
        <w:rPr>
          <w:rFonts w:ascii="Arial" w:hAnsi="Arial" w:cs="Arial"/>
          <w:color w:val="808080" w:themeColor="background1" w:themeShade="80"/>
          <w:sz w:val="22"/>
          <w:szCs w:val="22"/>
          <w:lang w:val="en-GB"/>
        </w:rPr>
        <w:t xml:space="preserve"> </w:t>
      </w:r>
      <w:r w:rsidR="001635CC" w:rsidRPr="00A25E12">
        <w:rPr>
          <w:rFonts w:ascii="Arial" w:hAnsi="Arial" w:cs="Arial"/>
          <w:color w:val="808080" w:themeColor="background1" w:themeShade="80"/>
          <w:sz w:val="22"/>
          <w:szCs w:val="22"/>
          <w:lang w:val="en-GB"/>
        </w:rPr>
        <w:t xml:space="preserve">they </w:t>
      </w:r>
      <w:r w:rsidRPr="00A25E12">
        <w:rPr>
          <w:rFonts w:ascii="Arial" w:hAnsi="Arial" w:cs="Arial"/>
          <w:color w:val="808080" w:themeColor="background1" w:themeShade="80"/>
          <w:sz w:val="22"/>
          <w:szCs w:val="22"/>
          <w:lang w:val="en-GB"/>
        </w:rPr>
        <w:t xml:space="preserve">remain in control of </w:t>
      </w:r>
      <w:r w:rsidR="001635CC" w:rsidRPr="00A25E12">
        <w:rPr>
          <w:rFonts w:ascii="Arial" w:hAnsi="Arial" w:cs="Arial"/>
          <w:color w:val="808080" w:themeColor="background1" w:themeShade="80"/>
          <w:sz w:val="22"/>
          <w:szCs w:val="22"/>
          <w:lang w:val="en-GB"/>
        </w:rPr>
        <w:t>Punk Lizard</w:t>
      </w:r>
      <w:r w:rsidR="005E0202" w:rsidRPr="00A25E12">
        <w:rPr>
          <w:rStyle w:val="FootnoteReference"/>
          <w:rFonts w:ascii="Arial" w:hAnsi="Arial" w:cs="Arial"/>
          <w:color w:val="808080" w:themeColor="background1" w:themeShade="80"/>
          <w:sz w:val="22"/>
          <w:szCs w:val="22"/>
          <w:lang w:val="en-GB"/>
        </w:rPr>
        <w:footnoteReference w:id="158"/>
      </w:r>
      <w:r w:rsidRPr="00A25E12">
        <w:rPr>
          <w:rFonts w:ascii="Arial" w:hAnsi="Arial" w:cs="Arial"/>
          <w:color w:val="808080" w:themeColor="background1" w:themeShade="80"/>
          <w:sz w:val="22"/>
          <w:szCs w:val="22"/>
          <w:lang w:val="en-GB"/>
        </w:rPr>
        <w:t>.</w:t>
      </w:r>
    </w:p>
    <w:p w14:paraId="250BFC20" w14:textId="77777777" w:rsidR="00155D21" w:rsidRPr="00A25E12" w:rsidRDefault="00155D21" w:rsidP="00A25E12">
      <w:pPr>
        <w:jc w:val="both"/>
        <w:rPr>
          <w:rFonts w:ascii="Arial" w:hAnsi="Arial" w:cs="Arial"/>
          <w:color w:val="808080" w:themeColor="background1" w:themeShade="80"/>
          <w:sz w:val="22"/>
          <w:szCs w:val="22"/>
          <w:lang w:val="en-GB"/>
        </w:rPr>
      </w:pPr>
    </w:p>
    <w:p w14:paraId="246CE094" w14:textId="441CBE7B" w:rsidR="00C1128C" w:rsidRPr="00A25E12" w:rsidRDefault="00C1128C" w:rsidP="00A25E12">
      <w:pPr>
        <w:jc w:val="both"/>
        <w:rPr>
          <w:rFonts w:ascii="Arial" w:hAnsi="Arial" w:cs="Arial"/>
          <w:b/>
          <w:bCs/>
          <w:color w:val="808080" w:themeColor="background1" w:themeShade="80"/>
          <w:sz w:val="22"/>
          <w:szCs w:val="22"/>
          <w:u w:val="single"/>
          <w:lang w:val="en-GB"/>
        </w:rPr>
      </w:pPr>
      <w:r w:rsidRPr="00A25E12">
        <w:rPr>
          <w:rFonts w:ascii="Arial" w:hAnsi="Arial" w:cs="Arial"/>
          <w:b/>
          <w:bCs/>
          <w:color w:val="808080" w:themeColor="background1" w:themeShade="80"/>
          <w:sz w:val="22"/>
          <w:szCs w:val="22"/>
          <w:u w:val="single"/>
          <w:lang w:val="en-GB"/>
        </w:rPr>
        <w:t>Question 4(g)</w:t>
      </w:r>
    </w:p>
    <w:p w14:paraId="0C6916B4" w14:textId="6FE65D36" w:rsidR="002D163C" w:rsidRPr="00A25E12" w:rsidRDefault="002D163C"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Order 102, rule 20 of the Grand Court Rules (“</w:t>
      </w:r>
      <w:r w:rsidRPr="00A25E12">
        <w:rPr>
          <w:rFonts w:ascii="Arial" w:hAnsi="Arial" w:cs="Arial"/>
          <w:b/>
          <w:bCs/>
          <w:color w:val="808080" w:themeColor="background1" w:themeShade="80"/>
          <w:sz w:val="22"/>
          <w:szCs w:val="22"/>
          <w:lang w:val="en-GB"/>
        </w:rPr>
        <w:t>GCR</w:t>
      </w:r>
      <w:r w:rsidRPr="00A25E12">
        <w:rPr>
          <w:rFonts w:ascii="Arial" w:hAnsi="Arial" w:cs="Arial"/>
          <w:color w:val="808080" w:themeColor="background1" w:themeShade="80"/>
          <w:sz w:val="22"/>
          <w:szCs w:val="22"/>
          <w:lang w:val="en-GB"/>
        </w:rPr>
        <w:t xml:space="preserve">”) and Practice Direction 2/2010 governs the </w:t>
      </w:r>
      <w:r w:rsidR="0068142F" w:rsidRPr="00A25E12">
        <w:rPr>
          <w:rFonts w:ascii="Arial" w:hAnsi="Arial" w:cs="Arial"/>
          <w:color w:val="808080" w:themeColor="background1" w:themeShade="80"/>
          <w:sz w:val="22"/>
          <w:szCs w:val="22"/>
          <w:lang w:val="en-GB"/>
        </w:rPr>
        <w:t xml:space="preserve">procedure to </w:t>
      </w:r>
      <w:r w:rsidRPr="00A25E12">
        <w:rPr>
          <w:rFonts w:ascii="Arial" w:hAnsi="Arial" w:cs="Arial"/>
          <w:color w:val="808080" w:themeColor="background1" w:themeShade="80"/>
          <w:sz w:val="22"/>
          <w:szCs w:val="22"/>
          <w:lang w:val="en-GB"/>
        </w:rPr>
        <w:t>obtain approval for a Scheme of Arrangement (“</w:t>
      </w:r>
      <w:r w:rsidRPr="00A25E12">
        <w:rPr>
          <w:rFonts w:ascii="Arial" w:hAnsi="Arial" w:cs="Arial"/>
          <w:b/>
          <w:bCs/>
          <w:color w:val="808080" w:themeColor="background1" w:themeShade="80"/>
          <w:sz w:val="22"/>
          <w:szCs w:val="22"/>
          <w:lang w:val="en-GB"/>
        </w:rPr>
        <w:t>Scheme</w:t>
      </w:r>
      <w:r w:rsidRPr="00A25E12">
        <w:rPr>
          <w:rFonts w:ascii="Arial" w:hAnsi="Arial" w:cs="Arial"/>
          <w:color w:val="808080" w:themeColor="background1" w:themeShade="80"/>
          <w:sz w:val="22"/>
          <w:szCs w:val="22"/>
          <w:lang w:val="en-GB"/>
        </w:rPr>
        <w:t xml:space="preserve">”). </w:t>
      </w:r>
      <w:r w:rsidR="0068142F" w:rsidRPr="00A25E12">
        <w:rPr>
          <w:rFonts w:ascii="Arial" w:hAnsi="Arial" w:cs="Arial"/>
          <w:color w:val="808080" w:themeColor="background1" w:themeShade="80"/>
          <w:sz w:val="22"/>
          <w:szCs w:val="22"/>
          <w:lang w:val="en-GB"/>
        </w:rPr>
        <w:t xml:space="preserve">A Scheme is a court sanctioned compromise or arrangement between </w:t>
      </w:r>
      <w:r w:rsidR="0073400D" w:rsidRPr="00A25E12">
        <w:rPr>
          <w:rFonts w:ascii="Arial" w:hAnsi="Arial" w:cs="Arial"/>
          <w:color w:val="808080" w:themeColor="background1" w:themeShade="80"/>
          <w:sz w:val="22"/>
          <w:szCs w:val="22"/>
          <w:lang w:val="en-GB"/>
        </w:rPr>
        <w:t>Punk Lizard</w:t>
      </w:r>
      <w:r w:rsidR="0068142F" w:rsidRPr="00A25E12">
        <w:rPr>
          <w:rFonts w:ascii="Arial" w:hAnsi="Arial" w:cs="Arial"/>
          <w:color w:val="808080" w:themeColor="background1" w:themeShade="80"/>
          <w:sz w:val="22"/>
          <w:szCs w:val="22"/>
          <w:lang w:val="en-GB"/>
        </w:rPr>
        <w:t xml:space="preserve"> and its creditors</w:t>
      </w:r>
      <w:r w:rsidR="0068142F" w:rsidRPr="00A25E12">
        <w:rPr>
          <w:rStyle w:val="FootnoteReference"/>
          <w:rFonts w:ascii="Arial" w:hAnsi="Arial" w:cs="Arial"/>
          <w:color w:val="808080" w:themeColor="background1" w:themeShade="80"/>
          <w:sz w:val="22"/>
          <w:szCs w:val="22"/>
          <w:lang w:val="en-GB"/>
        </w:rPr>
        <w:footnoteReference w:id="159"/>
      </w:r>
      <w:r w:rsidR="0068142F" w:rsidRPr="00A25E12">
        <w:rPr>
          <w:rFonts w:ascii="Arial" w:hAnsi="Arial" w:cs="Arial"/>
          <w:color w:val="808080" w:themeColor="background1" w:themeShade="80"/>
          <w:sz w:val="22"/>
          <w:szCs w:val="22"/>
          <w:lang w:val="en-GB"/>
        </w:rPr>
        <w:t xml:space="preserve">. </w:t>
      </w:r>
      <w:r w:rsidRPr="00A25E12">
        <w:rPr>
          <w:rFonts w:ascii="Arial" w:hAnsi="Arial" w:cs="Arial"/>
          <w:color w:val="808080" w:themeColor="background1" w:themeShade="80"/>
          <w:sz w:val="22"/>
          <w:szCs w:val="22"/>
          <w:lang w:val="en-GB"/>
        </w:rPr>
        <w:t xml:space="preserve">After filing the </w:t>
      </w:r>
      <w:r w:rsidR="007F2EFF" w:rsidRPr="00A25E12">
        <w:rPr>
          <w:rFonts w:ascii="Arial" w:hAnsi="Arial" w:cs="Arial"/>
          <w:color w:val="808080" w:themeColor="background1" w:themeShade="80"/>
          <w:sz w:val="22"/>
          <w:szCs w:val="22"/>
          <w:lang w:val="en-GB"/>
        </w:rPr>
        <w:t>S</w:t>
      </w:r>
      <w:r w:rsidRPr="00A25E12">
        <w:rPr>
          <w:rFonts w:ascii="Arial" w:hAnsi="Arial" w:cs="Arial"/>
          <w:color w:val="808080" w:themeColor="background1" w:themeShade="80"/>
          <w:sz w:val="22"/>
          <w:szCs w:val="22"/>
          <w:lang w:val="en-GB"/>
        </w:rPr>
        <w:t>cheme petition, there is a three-stage process</w:t>
      </w:r>
      <w:r w:rsidR="005E0202" w:rsidRPr="00A25E12">
        <w:rPr>
          <w:rStyle w:val="FootnoteReference"/>
          <w:rFonts w:ascii="Arial" w:hAnsi="Arial" w:cs="Arial"/>
          <w:color w:val="808080" w:themeColor="background1" w:themeShade="80"/>
          <w:sz w:val="22"/>
          <w:szCs w:val="22"/>
          <w:lang w:val="en-GB"/>
        </w:rPr>
        <w:footnoteReference w:id="160"/>
      </w:r>
      <w:r w:rsidRPr="00A25E12">
        <w:rPr>
          <w:rFonts w:ascii="Arial" w:hAnsi="Arial" w:cs="Arial"/>
          <w:color w:val="808080" w:themeColor="background1" w:themeShade="80"/>
          <w:sz w:val="22"/>
          <w:szCs w:val="22"/>
          <w:lang w:val="en-GB"/>
        </w:rPr>
        <w:t>:</w:t>
      </w:r>
    </w:p>
    <w:p w14:paraId="3698B85B" w14:textId="093ACB81" w:rsidR="002D163C" w:rsidRPr="00A25E12" w:rsidRDefault="002D163C" w:rsidP="00A25E12">
      <w:pPr>
        <w:pStyle w:val="ListParagraph"/>
        <w:numPr>
          <w:ilvl w:val="0"/>
          <w:numId w:val="23"/>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an application for an order from the </w:t>
      </w:r>
      <w:r w:rsidR="0073400D" w:rsidRPr="00A25E12">
        <w:rPr>
          <w:rFonts w:ascii="Arial" w:hAnsi="Arial" w:cs="Arial"/>
          <w:color w:val="808080" w:themeColor="background1" w:themeShade="80"/>
          <w:sz w:val="22"/>
          <w:szCs w:val="22"/>
          <w:lang w:val="en-GB"/>
        </w:rPr>
        <w:t>court</w:t>
      </w:r>
      <w:r w:rsidRPr="00A25E12">
        <w:rPr>
          <w:rFonts w:ascii="Arial" w:hAnsi="Arial" w:cs="Arial"/>
          <w:color w:val="808080" w:themeColor="background1" w:themeShade="80"/>
          <w:sz w:val="22"/>
          <w:szCs w:val="22"/>
          <w:lang w:val="en-GB"/>
        </w:rPr>
        <w:t xml:space="preserve"> that meetings of creditors be convened to approve the Scheme (“</w:t>
      </w:r>
      <w:r w:rsidRPr="00A25E12">
        <w:rPr>
          <w:rFonts w:ascii="Arial" w:hAnsi="Arial" w:cs="Arial"/>
          <w:b/>
          <w:bCs/>
          <w:color w:val="808080" w:themeColor="background1" w:themeShade="80"/>
          <w:sz w:val="22"/>
          <w:szCs w:val="22"/>
          <w:lang w:val="en-GB"/>
        </w:rPr>
        <w:t>Convening Hearing</w:t>
      </w:r>
      <w:r w:rsidRPr="00A25E12">
        <w:rPr>
          <w:rFonts w:ascii="Arial" w:hAnsi="Arial" w:cs="Arial"/>
          <w:color w:val="808080" w:themeColor="background1" w:themeShade="80"/>
          <w:sz w:val="22"/>
          <w:szCs w:val="22"/>
          <w:lang w:val="en-GB"/>
        </w:rPr>
        <w:t>”</w:t>
      </w:r>
      <w:proofErr w:type="gramStart"/>
      <w:r w:rsidRPr="00A25E12">
        <w:rPr>
          <w:rFonts w:ascii="Arial" w:hAnsi="Arial" w:cs="Arial"/>
          <w:color w:val="808080" w:themeColor="background1" w:themeShade="80"/>
          <w:sz w:val="22"/>
          <w:szCs w:val="22"/>
          <w:lang w:val="en-GB"/>
        </w:rPr>
        <w:t>);</w:t>
      </w:r>
      <w:proofErr w:type="gramEnd"/>
    </w:p>
    <w:p w14:paraId="29AEDC88" w14:textId="25ED98AD" w:rsidR="002D163C" w:rsidRPr="00A25E12" w:rsidRDefault="002D163C" w:rsidP="00A25E12">
      <w:pPr>
        <w:pStyle w:val="ListParagraph"/>
        <w:numPr>
          <w:ilvl w:val="0"/>
          <w:numId w:val="23"/>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the </w:t>
      </w:r>
      <w:r w:rsidR="0073400D" w:rsidRPr="00A25E12">
        <w:rPr>
          <w:rFonts w:ascii="Arial" w:hAnsi="Arial" w:cs="Arial"/>
          <w:color w:val="808080" w:themeColor="background1" w:themeShade="80"/>
          <w:sz w:val="22"/>
          <w:szCs w:val="22"/>
          <w:lang w:val="en-GB"/>
        </w:rPr>
        <w:t>S</w:t>
      </w:r>
      <w:r w:rsidRPr="00A25E12">
        <w:rPr>
          <w:rFonts w:ascii="Arial" w:hAnsi="Arial" w:cs="Arial"/>
          <w:color w:val="808080" w:themeColor="background1" w:themeShade="80"/>
          <w:sz w:val="22"/>
          <w:szCs w:val="22"/>
          <w:lang w:val="en-GB"/>
        </w:rPr>
        <w:t xml:space="preserve">cheme proposed </w:t>
      </w:r>
      <w:r w:rsidR="0073400D" w:rsidRPr="00A25E12">
        <w:rPr>
          <w:rFonts w:ascii="Arial" w:hAnsi="Arial" w:cs="Arial"/>
          <w:color w:val="808080" w:themeColor="background1" w:themeShade="80"/>
          <w:sz w:val="22"/>
          <w:szCs w:val="22"/>
          <w:lang w:val="en-GB"/>
        </w:rPr>
        <w:t>is</w:t>
      </w:r>
      <w:r w:rsidRPr="00A25E12">
        <w:rPr>
          <w:rFonts w:ascii="Arial" w:hAnsi="Arial" w:cs="Arial"/>
          <w:color w:val="808080" w:themeColor="background1" w:themeShade="80"/>
          <w:sz w:val="22"/>
          <w:szCs w:val="22"/>
          <w:lang w:val="en-GB"/>
        </w:rPr>
        <w:t xml:space="preserve"> discussed at meetings which are held according to the Convening Hearing order and are voted on (“</w:t>
      </w:r>
      <w:r w:rsidRPr="00A25E12">
        <w:rPr>
          <w:rFonts w:ascii="Arial" w:hAnsi="Arial" w:cs="Arial"/>
          <w:b/>
          <w:bCs/>
          <w:color w:val="808080" w:themeColor="background1" w:themeShade="80"/>
          <w:sz w:val="22"/>
          <w:szCs w:val="22"/>
          <w:lang w:val="en-GB"/>
        </w:rPr>
        <w:t>Scheme Meetings</w:t>
      </w:r>
      <w:r w:rsidRPr="00A25E12">
        <w:rPr>
          <w:rFonts w:ascii="Arial" w:hAnsi="Arial" w:cs="Arial"/>
          <w:color w:val="808080" w:themeColor="background1" w:themeShade="80"/>
          <w:sz w:val="22"/>
          <w:szCs w:val="22"/>
          <w:lang w:val="en-GB"/>
        </w:rPr>
        <w:t>”); and</w:t>
      </w:r>
    </w:p>
    <w:p w14:paraId="44FD0F7F" w14:textId="3B616F8B" w:rsidR="002D163C" w:rsidRPr="00A25E12" w:rsidRDefault="002D163C" w:rsidP="00A25E12">
      <w:pPr>
        <w:pStyle w:val="ListParagraph"/>
        <w:numPr>
          <w:ilvl w:val="0"/>
          <w:numId w:val="23"/>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If the Scheme Meetings approve the proposal, an application is then made to the </w:t>
      </w:r>
      <w:r w:rsidR="0073400D" w:rsidRPr="00A25E12">
        <w:rPr>
          <w:rFonts w:ascii="Arial" w:hAnsi="Arial" w:cs="Arial"/>
          <w:color w:val="808080" w:themeColor="background1" w:themeShade="80"/>
          <w:sz w:val="22"/>
          <w:szCs w:val="22"/>
          <w:lang w:val="en-GB"/>
        </w:rPr>
        <w:t>court</w:t>
      </w:r>
      <w:r w:rsidRPr="00A25E12">
        <w:rPr>
          <w:rFonts w:ascii="Arial" w:hAnsi="Arial" w:cs="Arial"/>
          <w:color w:val="808080" w:themeColor="background1" w:themeShade="80"/>
          <w:sz w:val="22"/>
          <w:szCs w:val="22"/>
          <w:lang w:val="en-GB"/>
        </w:rPr>
        <w:t xml:space="preserve"> to obtain approval of the Scheme (“</w:t>
      </w:r>
      <w:r w:rsidRPr="00A25E12">
        <w:rPr>
          <w:rFonts w:ascii="Arial" w:hAnsi="Arial" w:cs="Arial"/>
          <w:b/>
          <w:bCs/>
          <w:color w:val="808080" w:themeColor="background1" w:themeShade="80"/>
          <w:sz w:val="22"/>
          <w:szCs w:val="22"/>
          <w:lang w:val="en-GB"/>
        </w:rPr>
        <w:t>Sanction Hearing</w:t>
      </w:r>
      <w:r w:rsidRPr="00A25E12">
        <w:rPr>
          <w:rFonts w:ascii="Arial" w:hAnsi="Arial" w:cs="Arial"/>
          <w:color w:val="808080" w:themeColor="background1" w:themeShade="80"/>
          <w:sz w:val="22"/>
          <w:szCs w:val="22"/>
          <w:lang w:val="en-GB"/>
        </w:rPr>
        <w:t>”).</w:t>
      </w:r>
      <w:r w:rsidR="0073400D" w:rsidRPr="00A25E12">
        <w:rPr>
          <w:rStyle w:val="FootnoteReference"/>
          <w:rFonts w:ascii="Arial" w:hAnsi="Arial" w:cs="Arial"/>
          <w:color w:val="808080" w:themeColor="background1" w:themeShade="80"/>
          <w:sz w:val="22"/>
          <w:szCs w:val="22"/>
          <w:lang w:val="en-GB"/>
        </w:rPr>
        <w:footnoteReference w:id="161"/>
      </w:r>
    </w:p>
    <w:p w14:paraId="3B48666F" w14:textId="77777777" w:rsidR="002D163C" w:rsidRPr="00A25E12" w:rsidRDefault="002D163C" w:rsidP="00A25E12">
      <w:pPr>
        <w:jc w:val="both"/>
        <w:rPr>
          <w:rFonts w:ascii="Arial" w:hAnsi="Arial" w:cs="Arial"/>
          <w:color w:val="808080" w:themeColor="background1" w:themeShade="80"/>
          <w:sz w:val="22"/>
          <w:szCs w:val="22"/>
          <w:lang w:val="en-GB"/>
        </w:rPr>
      </w:pPr>
    </w:p>
    <w:p w14:paraId="7E9DC53B" w14:textId="5F654FE9" w:rsidR="00E560E7" w:rsidRPr="00A25E12" w:rsidRDefault="00E560E7"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The Convening Hearing will see the court deal with issues including any jurisdictional issues and the adequacy of any documents in relation to the Scheme. The court must be satisfied that the Scheme documents and any supporting explanatory statements contain all the necessary information to assist the Scheme creditors in making an informed decision as to the proposed Scheme.</w:t>
      </w:r>
      <w:r w:rsidRPr="00A25E12">
        <w:rPr>
          <w:rStyle w:val="FootnoteReference"/>
          <w:rFonts w:ascii="Arial" w:hAnsi="Arial" w:cs="Arial"/>
          <w:color w:val="808080" w:themeColor="background1" w:themeShade="80"/>
          <w:sz w:val="22"/>
          <w:szCs w:val="22"/>
          <w:lang w:val="en-GB"/>
        </w:rPr>
        <w:footnoteReference w:id="162"/>
      </w:r>
    </w:p>
    <w:p w14:paraId="0F15898D" w14:textId="77777777" w:rsidR="00E560E7" w:rsidRPr="00A25E12" w:rsidRDefault="00E560E7" w:rsidP="00A25E12">
      <w:pPr>
        <w:jc w:val="both"/>
        <w:rPr>
          <w:rFonts w:ascii="Arial" w:hAnsi="Arial" w:cs="Arial"/>
          <w:color w:val="808080" w:themeColor="background1" w:themeShade="80"/>
          <w:sz w:val="22"/>
          <w:szCs w:val="22"/>
          <w:lang w:val="en-GB"/>
        </w:rPr>
      </w:pPr>
    </w:p>
    <w:p w14:paraId="281770D9" w14:textId="59660D13" w:rsidR="002D163C" w:rsidRPr="00A25E12" w:rsidRDefault="00226C1B" w:rsidP="00A25E12">
      <w:pPr>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At the Scheme Meetings, a vote takes place to approve the Scheme. If the required majorities are reached, the Scheme will progress to the Sanction Hearing. </w:t>
      </w:r>
      <w:r w:rsidR="002D163C" w:rsidRPr="00A25E12">
        <w:rPr>
          <w:rFonts w:ascii="Arial" w:hAnsi="Arial" w:cs="Arial"/>
          <w:color w:val="808080" w:themeColor="background1" w:themeShade="80"/>
          <w:sz w:val="22"/>
          <w:szCs w:val="22"/>
          <w:lang w:val="en-GB"/>
        </w:rPr>
        <w:t>Notwithstanding the Scheme hav</w:t>
      </w:r>
      <w:r w:rsidR="007F2EFF" w:rsidRPr="00A25E12">
        <w:rPr>
          <w:rFonts w:ascii="Arial" w:hAnsi="Arial" w:cs="Arial"/>
          <w:color w:val="808080" w:themeColor="background1" w:themeShade="80"/>
          <w:sz w:val="22"/>
          <w:szCs w:val="22"/>
          <w:lang w:val="en-GB"/>
        </w:rPr>
        <w:t>ing</w:t>
      </w:r>
      <w:r w:rsidR="002D163C" w:rsidRPr="00A25E12">
        <w:rPr>
          <w:rFonts w:ascii="Arial" w:hAnsi="Arial" w:cs="Arial"/>
          <w:color w:val="808080" w:themeColor="background1" w:themeShade="80"/>
          <w:sz w:val="22"/>
          <w:szCs w:val="22"/>
          <w:lang w:val="en-GB"/>
        </w:rPr>
        <w:t xml:space="preserve"> the necessary support</w:t>
      </w:r>
      <w:r w:rsidR="0073400D" w:rsidRPr="00A25E12">
        <w:rPr>
          <w:rFonts w:ascii="Arial" w:hAnsi="Arial" w:cs="Arial"/>
          <w:color w:val="808080" w:themeColor="background1" w:themeShade="80"/>
          <w:sz w:val="22"/>
          <w:szCs w:val="22"/>
          <w:lang w:val="en-GB"/>
        </w:rPr>
        <w:t xml:space="preserve"> of the creditors</w:t>
      </w:r>
      <w:r w:rsidR="002D163C" w:rsidRPr="00A25E12">
        <w:rPr>
          <w:rFonts w:ascii="Arial" w:hAnsi="Arial" w:cs="Arial"/>
          <w:color w:val="808080" w:themeColor="background1" w:themeShade="80"/>
          <w:sz w:val="22"/>
          <w:szCs w:val="22"/>
          <w:lang w:val="en-GB"/>
        </w:rPr>
        <w:t xml:space="preserve">, the </w:t>
      </w:r>
      <w:r w:rsidR="00E803EE" w:rsidRPr="00A25E12">
        <w:rPr>
          <w:rFonts w:ascii="Arial" w:hAnsi="Arial" w:cs="Arial"/>
          <w:color w:val="808080" w:themeColor="background1" w:themeShade="80"/>
          <w:sz w:val="22"/>
          <w:szCs w:val="22"/>
          <w:lang w:val="en-GB"/>
        </w:rPr>
        <w:t>court</w:t>
      </w:r>
      <w:r w:rsidR="002D163C" w:rsidRPr="00A25E12">
        <w:rPr>
          <w:rFonts w:ascii="Arial" w:hAnsi="Arial" w:cs="Arial"/>
          <w:color w:val="808080" w:themeColor="background1" w:themeShade="80"/>
          <w:sz w:val="22"/>
          <w:szCs w:val="22"/>
          <w:lang w:val="en-GB"/>
        </w:rPr>
        <w:t xml:space="preserve"> must still sanction the Scheme before it can bind </w:t>
      </w:r>
      <w:proofErr w:type="gramStart"/>
      <w:r w:rsidR="002D163C" w:rsidRPr="00A25E12">
        <w:rPr>
          <w:rFonts w:ascii="Arial" w:hAnsi="Arial" w:cs="Arial"/>
          <w:color w:val="808080" w:themeColor="background1" w:themeShade="80"/>
          <w:sz w:val="22"/>
          <w:szCs w:val="22"/>
          <w:lang w:val="en-GB"/>
        </w:rPr>
        <w:t xml:space="preserve">all </w:t>
      </w:r>
      <w:r w:rsidR="0073400D" w:rsidRPr="00A25E12">
        <w:rPr>
          <w:rFonts w:ascii="Arial" w:hAnsi="Arial" w:cs="Arial"/>
          <w:color w:val="808080" w:themeColor="background1" w:themeShade="80"/>
          <w:sz w:val="22"/>
          <w:szCs w:val="22"/>
          <w:lang w:val="en-GB"/>
        </w:rPr>
        <w:t>of</w:t>
      </w:r>
      <w:proofErr w:type="gramEnd"/>
      <w:r w:rsidR="0073400D" w:rsidRPr="00A25E12">
        <w:rPr>
          <w:rFonts w:ascii="Arial" w:hAnsi="Arial" w:cs="Arial"/>
          <w:color w:val="808080" w:themeColor="background1" w:themeShade="80"/>
          <w:sz w:val="22"/>
          <w:szCs w:val="22"/>
          <w:lang w:val="en-GB"/>
        </w:rPr>
        <w:t xml:space="preserve"> Punk Lizard’s </w:t>
      </w:r>
      <w:r w:rsidR="002D163C" w:rsidRPr="00A25E12">
        <w:rPr>
          <w:rFonts w:ascii="Arial" w:hAnsi="Arial" w:cs="Arial"/>
          <w:color w:val="808080" w:themeColor="background1" w:themeShade="80"/>
          <w:sz w:val="22"/>
          <w:szCs w:val="22"/>
          <w:lang w:val="en-GB"/>
        </w:rPr>
        <w:t xml:space="preserve">creditors, </w:t>
      </w:r>
      <w:r w:rsidR="0073400D" w:rsidRPr="00A25E12">
        <w:rPr>
          <w:rFonts w:ascii="Arial" w:hAnsi="Arial" w:cs="Arial"/>
          <w:color w:val="808080" w:themeColor="background1" w:themeShade="80"/>
          <w:sz w:val="22"/>
          <w:szCs w:val="22"/>
          <w:lang w:val="en-GB"/>
        </w:rPr>
        <w:t>Punk Lizard itself</w:t>
      </w:r>
      <w:r w:rsidR="002D163C" w:rsidRPr="00A25E12">
        <w:rPr>
          <w:rFonts w:ascii="Arial" w:hAnsi="Arial" w:cs="Arial"/>
          <w:color w:val="808080" w:themeColor="background1" w:themeShade="80"/>
          <w:sz w:val="22"/>
          <w:szCs w:val="22"/>
          <w:lang w:val="en-GB"/>
        </w:rPr>
        <w:t xml:space="preserve"> and its contributories (if applicable)</w:t>
      </w:r>
      <w:r w:rsidR="00824981" w:rsidRPr="00A25E12">
        <w:rPr>
          <w:rStyle w:val="FootnoteReference"/>
          <w:rFonts w:ascii="Arial" w:hAnsi="Arial" w:cs="Arial"/>
          <w:color w:val="808080" w:themeColor="background1" w:themeShade="80"/>
          <w:sz w:val="22"/>
          <w:szCs w:val="22"/>
          <w:lang w:val="en-GB"/>
        </w:rPr>
        <w:footnoteReference w:id="163"/>
      </w:r>
      <w:r w:rsidR="002D163C" w:rsidRPr="00A25E12">
        <w:rPr>
          <w:rFonts w:ascii="Arial" w:hAnsi="Arial" w:cs="Arial"/>
          <w:color w:val="808080" w:themeColor="background1" w:themeShade="80"/>
          <w:sz w:val="22"/>
          <w:szCs w:val="22"/>
          <w:lang w:val="en-GB"/>
        </w:rPr>
        <w:t>.</w:t>
      </w:r>
      <w:r w:rsidR="00E803EE" w:rsidRPr="00A25E12">
        <w:rPr>
          <w:rFonts w:ascii="Arial" w:hAnsi="Arial" w:cs="Arial"/>
          <w:color w:val="808080" w:themeColor="background1" w:themeShade="80"/>
          <w:sz w:val="22"/>
          <w:szCs w:val="22"/>
          <w:lang w:val="en-GB"/>
        </w:rPr>
        <w:t xml:space="preserve"> </w:t>
      </w:r>
      <w:r w:rsidR="002D163C" w:rsidRPr="00A25E12">
        <w:rPr>
          <w:rFonts w:ascii="Arial" w:hAnsi="Arial" w:cs="Arial"/>
          <w:color w:val="808080" w:themeColor="background1" w:themeShade="80"/>
          <w:sz w:val="22"/>
          <w:szCs w:val="22"/>
          <w:lang w:val="en-GB"/>
        </w:rPr>
        <w:t>At the Sanction Hearing, the Court will consider whether:</w:t>
      </w:r>
    </w:p>
    <w:p w14:paraId="353649DA" w14:textId="48747F9B" w:rsidR="002D163C" w:rsidRPr="00A25E12" w:rsidRDefault="002D163C" w:rsidP="00A25E12">
      <w:pPr>
        <w:pStyle w:val="ListParagraph"/>
        <w:numPr>
          <w:ilvl w:val="0"/>
          <w:numId w:val="24"/>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It was reasonable to approve the Scheme (i.e. whether an intelligent, honest member</w:t>
      </w:r>
      <w:r w:rsidR="00E803EE" w:rsidRPr="00A25E12">
        <w:rPr>
          <w:rFonts w:ascii="Arial" w:hAnsi="Arial" w:cs="Arial"/>
          <w:color w:val="808080" w:themeColor="background1" w:themeShade="80"/>
          <w:sz w:val="22"/>
          <w:szCs w:val="22"/>
          <w:lang w:val="en-GB"/>
        </w:rPr>
        <w:t xml:space="preserve"> of the class which was convened</w:t>
      </w:r>
      <w:r w:rsidRPr="00A25E12">
        <w:rPr>
          <w:rFonts w:ascii="Arial" w:hAnsi="Arial" w:cs="Arial"/>
          <w:color w:val="808080" w:themeColor="background1" w:themeShade="80"/>
          <w:sz w:val="22"/>
          <w:szCs w:val="22"/>
          <w:lang w:val="en-GB"/>
        </w:rPr>
        <w:t xml:space="preserve"> who was acted in their own interest might reasonably have approved the Scheme</w:t>
      </w:r>
      <w:proofErr w:type="gramStart"/>
      <w:r w:rsidRPr="00A25E12">
        <w:rPr>
          <w:rFonts w:ascii="Arial" w:hAnsi="Arial" w:cs="Arial"/>
          <w:color w:val="808080" w:themeColor="background1" w:themeShade="80"/>
          <w:sz w:val="22"/>
          <w:szCs w:val="22"/>
          <w:lang w:val="en-GB"/>
        </w:rPr>
        <w:t>);</w:t>
      </w:r>
      <w:proofErr w:type="gramEnd"/>
    </w:p>
    <w:p w14:paraId="7EBBFD85" w14:textId="189EBA7E" w:rsidR="002D163C" w:rsidRPr="00A25E12" w:rsidRDefault="002D163C" w:rsidP="00A25E12">
      <w:pPr>
        <w:pStyle w:val="ListParagraph"/>
        <w:numPr>
          <w:ilvl w:val="0"/>
          <w:numId w:val="24"/>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At the Scheme Meeting, </w:t>
      </w:r>
      <w:r w:rsidR="00E803EE" w:rsidRPr="00A25E12">
        <w:rPr>
          <w:rFonts w:ascii="Arial" w:hAnsi="Arial" w:cs="Arial"/>
          <w:color w:val="808080" w:themeColor="background1" w:themeShade="80"/>
          <w:sz w:val="22"/>
          <w:szCs w:val="22"/>
          <w:lang w:val="en-GB"/>
        </w:rPr>
        <w:t xml:space="preserve">whether </w:t>
      </w:r>
      <w:r w:rsidRPr="00A25E12">
        <w:rPr>
          <w:rFonts w:ascii="Arial" w:hAnsi="Arial" w:cs="Arial"/>
          <w:color w:val="808080" w:themeColor="background1" w:themeShade="80"/>
          <w:sz w:val="22"/>
          <w:szCs w:val="22"/>
          <w:lang w:val="en-GB"/>
        </w:rPr>
        <w:t xml:space="preserve">each class was fairly </w:t>
      </w:r>
      <w:proofErr w:type="gramStart"/>
      <w:r w:rsidRPr="00A25E12">
        <w:rPr>
          <w:rFonts w:ascii="Arial" w:hAnsi="Arial" w:cs="Arial"/>
          <w:color w:val="808080" w:themeColor="background1" w:themeShade="80"/>
          <w:sz w:val="22"/>
          <w:szCs w:val="22"/>
          <w:lang w:val="en-GB"/>
        </w:rPr>
        <w:t>represented;</w:t>
      </w:r>
      <w:proofErr w:type="gramEnd"/>
    </w:p>
    <w:p w14:paraId="0CF9C28B" w14:textId="00768E36" w:rsidR="002D163C" w:rsidRPr="00A25E12" w:rsidRDefault="002D163C" w:rsidP="00A25E12">
      <w:pPr>
        <w:pStyle w:val="ListParagraph"/>
        <w:numPr>
          <w:ilvl w:val="0"/>
          <w:numId w:val="24"/>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 xml:space="preserve">The majority had acted </w:t>
      </w:r>
      <w:proofErr w:type="gramStart"/>
      <w:r w:rsidRPr="00A25E12">
        <w:rPr>
          <w:rFonts w:ascii="Arial" w:hAnsi="Arial" w:cs="Arial"/>
          <w:i/>
          <w:iCs/>
          <w:color w:val="808080" w:themeColor="background1" w:themeShade="80"/>
          <w:sz w:val="22"/>
          <w:szCs w:val="22"/>
          <w:lang w:val="en-GB"/>
        </w:rPr>
        <w:t>bona fide</w:t>
      </w:r>
      <w:r w:rsidRPr="00A25E12">
        <w:rPr>
          <w:rFonts w:ascii="Arial" w:hAnsi="Arial" w:cs="Arial"/>
          <w:color w:val="808080" w:themeColor="background1" w:themeShade="80"/>
          <w:sz w:val="22"/>
          <w:szCs w:val="22"/>
          <w:lang w:val="en-GB"/>
        </w:rPr>
        <w:t>;</w:t>
      </w:r>
      <w:proofErr w:type="gramEnd"/>
    </w:p>
    <w:p w14:paraId="138B23B1" w14:textId="77777777" w:rsidR="002D163C" w:rsidRPr="00A25E12" w:rsidRDefault="002D163C" w:rsidP="00A25E12">
      <w:pPr>
        <w:pStyle w:val="ListParagraph"/>
        <w:numPr>
          <w:ilvl w:val="0"/>
          <w:numId w:val="24"/>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All the relevant notice periods were met; and</w:t>
      </w:r>
    </w:p>
    <w:p w14:paraId="229AFE70" w14:textId="3488D9AD" w:rsidR="002D163C" w:rsidRPr="00A25E12" w:rsidRDefault="002D163C" w:rsidP="00A25E12">
      <w:pPr>
        <w:pStyle w:val="ListParagraph"/>
        <w:numPr>
          <w:ilvl w:val="0"/>
          <w:numId w:val="24"/>
        </w:numPr>
        <w:ind w:left="641" w:hanging="357"/>
        <w:jc w:val="both"/>
        <w:rPr>
          <w:rFonts w:ascii="Arial" w:hAnsi="Arial" w:cs="Arial"/>
          <w:color w:val="808080" w:themeColor="background1" w:themeShade="80"/>
          <w:sz w:val="22"/>
          <w:szCs w:val="22"/>
          <w:lang w:val="en-GB"/>
        </w:rPr>
      </w:pPr>
      <w:r w:rsidRPr="00A25E12">
        <w:rPr>
          <w:rFonts w:ascii="Arial" w:hAnsi="Arial" w:cs="Arial"/>
          <w:color w:val="808080" w:themeColor="background1" w:themeShade="80"/>
          <w:sz w:val="22"/>
          <w:szCs w:val="22"/>
          <w:lang w:val="en-GB"/>
        </w:rPr>
        <w:t>The resolutions were passed by the requisite majority</w:t>
      </w:r>
      <w:r w:rsidR="005E0202" w:rsidRPr="00A25E12">
        <w:rPr>
          <w:rStyle w:val="FootnoteReference"/>
          <w:rFonts w:ascii="Arial" w:hAnsi="Arial" w:cs="Arial"/>
          <w:color w:val="808080" w:themeColor="background1" w:themeShade="80"/>
          <w:sz w:val="22"/>
          <w:szCs w:val="22"/>
          <w:lang w:val="en-GB"/>
        </w:rPr>
        <w:footnoteReference w:id="164"/>
      </w:r>
      <w:r w:rsidRPr="00A25E12">
        <w:rPr>
          <w:rFonts w:ascii="Arial" w:hAnsi="Arial" w:cs="Arial"/>
          <w:color w:val="808080" w:themeColor="background1" w:themeShade="80"/>
          <w:sz w:val="22"/>
          <w:szCs w:val="22"/>
          <w:lang w:val="en-GB"/>
        </w:rPr>
        <w:t>.</w:t>
      </w:r>
    </w:p>
    <w:p w14:paraId="35854929" w14:textId="55548B27" w:rsidR="00952187" w:rsidRPr="001971E8" w:rsidRDefault="00952187" w:rsidP="00087F21">
      <w:pPr>
        <w:jc w:val="both"/>
        <w:rPr>
          <w:rFonts w:ascii="Arial" w:hAnsi="Arial"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C0C7E" w14:textId="77777777" w:rsidR="00177298" w:rsidRDefault="00177298" w:rsidP="00241B44">
      <w:r>
        <w:separator/>
      </w:r>
    </w:p>
  </w:endnote>
  <w:endnote w:type="continuationSeparator" w:id="0">
    <w:p w14:paraId="3083A634" w14:textId="77777777" w:rsidR="00177298" w:rsidRDefault="001772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BB3AD25" w:rsidR="00920BE7" w:rsidRPr="009A4862" w:rsidRDefault="000D33BB" w:rsidP="009B4976">
    <w:pPr>
      <w:pStyle w:val="Footer"/>
      <w:ind w:right="360"/>
      <w:rPr>
        <w:rFonts w:ascii="Arial" w:hAnsi="Arial" w:cs="Arial"/>
        <w:sz w:val="22"/>
        <w:szCs w:val="22"/>
        <w:lang w:val="en-GB"/>
      </w:rPr>
    </w:pPr>
    <w:r w:rsidRPr="009A4862">
      <w:rPr>
        <w:rFonts w:ascii="Arial" w:hAnsi="Arial" w:cs="Arial"/>
        <w:sz w:val="22"/>
        <w:szCs w:val="22"/>
        <w:lang w:val="en-GB"/>
      </w:rPr>
      <w:fldChar w:fldCharType="begin"/>
    </w:r>
    <w:r w:rsidRPr="009A4862">
      <w:rPr>
        <w:rFonts w:ascii="Arial" w:hAnsi="Arial" w:cs="Arial"/>
        <w:sz w:val="22"/>
        <w:szCs w:val="22"/>
        <w:lang w:val="en-GB"/>
      </w:rPr>
      <w:instrText xml:space="preserve"> DOCPROPERTY iManageFooter \* MERGEFORMAT </w:instrText>
    </w:r>
    <w:r w:rsidRPr="009A4862">
      <w:rPr>
        <w:rFonts w:ascii="Arial" w:hAnsi="Arial" w:cs="Arial"/>
        <w:sz w:val="22"/>
        <w:szCs w:val="22"/>
        <w:lang w:val="en-GB"/>
      </w:rPr>
      <w:fldChar w:fldCharType="end"/>
    </w:r>
    <w:r w:rsidR="005D7395" w:rsidRPr="009A4862">
      <w:rPr>
        <w:rFonts w:ascii="Arial" w:hAnsi="Arial" w:cs="Arial"/>
        <w:sz w:val="22"/>
        <w:szCs w:val="22"/>
        <w:lang w:val="en-GB"/>
      </w:rPr>
      <w:t>202324-1433</w:t>
    </w:r>
    <w:r w:rsidR="00920BE7" w:rsidRPr="009A4862">
      <w:rPr>
        <w:rFonts w:ascii="Arial" w:hAnsi="Arial" w:cs="Arial"/>
        <w:sz w:val="22"/>
        <w:szCs w:val="22"/>
        <w:lang w:val="en-GB"/>
      </w:rPr>
      <w:t>.assessment5C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4E394" w14:textId="77777777" w:rsidR="00177298" w:rsidRDefault="00177298" w:rsidP="00241B44">
      <w:r>
        <w:separator/>
      </w:r>
    </w:p>
  </w:footnote>
  <w:footnote w:type="continuationSeparator" w:id="0">
    <w:p w14:paraId="60F79B38" w14:textId="77777777" w:rsidR="00177298" w:rsidRDefault="00177298" w:rsidP="00241B44">
      <w:r>
        <w:continuationSeparator/>
      </w:r>
    </w:p>
  </w:footnote>
  <w:footnote w:id="1">
    <w:p w14:paraId="0A8ED339" w14:textId="7407869B" w:rsidR="004614F9" w:rsidRPr="00682A70" w:rsidRDefault="004614F9" w:rsidP="004614F9">
      <w:pPr>
        <w:pStyle w:val="FootnoteText"/>
        <w:rPr>
          <w:rFonts w:ascii="Arial" w:hAnsi="Arial" w:cs="Arial"/>
          <w:sz w:val="16"/>
          <w:szCs w:val="16"/>
          <w:lang w:val="en-GB"/>
        </w:rPr>
      </w:pPr>
      <w:r w:rsidRPr="00682A70">
        <w:rPr>
          <w:rStyle w:val="FootnoteReference"/>
          <w:rFonts w:ascii="Arial" w:hAnsi="Arial" w:cs="Arial"/>
          <w:sz w:val="16"/>
          <w:szCs w:val="16"/>
        </w:rPr>
        <w:footnoteRef/>
      </w:r>
      <w:r w:rsidRPr="00682A70">
        <w:rPr>
          <w:rFonts w:ascii="Arial" w:hAnsi="Arial" w:cs="Arial"/>
          <w:sz w:val="16"/>
          <w:szCs w:val="16"/>
        </w:rPr>
        <w:t xml:space="preserve"> </w:t>
      </w:r>
      <w:r w:rsidR="003A7A83" w:rsidRPr="00682A70">
        <w:rPr>
          <w:rFonts w:ascii="Arial" w:hAnsi="Arial" w:cs="Arial"/>
          <w:color w:val="808080" w:themeColor="background1" w:themeShade="80"/>
          <w:sz w:val="16"/>
          <w:szCs w:val="16"/>
          <w:lang w:val="en-GB"/>
        </w:rPr>
        <w:t>Companies Act (2023 Revision)</w:t>
      </w:r>
      <w:r w:rsidRPr="00682A70">
        <w:rPr>
          <w:rFonts w:ascii="Arial" w:hAnsi="Arial" w:cs="Arial"/>
          <w:color w:val="808080" w:themeColor="background1" w:themeShade="80"/>
          <w:sz w:val="16"/>
          <w:szCs w:val="16"/>
          <w:lang w:val="en-GB"/>
        </w:rPr>
        <w:t>, section 240</w:t>
      </w:r>
    </w:p>
  </w:footnote>
  <w:footnote w:id="2">
    <w:p w14:paraId="1F861482" w14:textId="414DF251" w:rsidR="008502FB" w:rsidRPr="00682A70" w:rsidRDefault="008502FB" w:rsidP="00AF21F4">
      <w:pPr>
        <w:jc w:val="both"/>
        <w:rPr>
          <w:rFonts w:ascii="Arial" w:hAnsi="Arial" w:cs="Arial"/>
          <w:color w:val="808080" w:themeColor="background1" w:themeShade="80"/>
          <w:sz w:val="16"/>
          <w:szCs w:val="16"/>
          <w:lang w:val="en-GB"/>
        </w:rPr>
      </w:pPr>
      <w:r w:rsidRPr="00682A70">
        <w:rPr>
          <w:rStyle w:val="FootnoteReference"/>
          <w:rFonts w:ascii="Arial" w:hAnsi="Arial" w:cs="Arial"/>
          <w:sz w:val="16"/>
          <w:szCs w:val="16"/>
        </w:rPr>
        <w:footnoteRef/>
      </w:r>
      <w:r w:rsidR="003A7A83" w:rsidRPr="00682A70">
        <w:rPr>
          <w:rFonts w:ascii="Arial" w:hAnsi="Arial" w:cs="Arial"/>
          <w:color w:val="808080" w:themeColor="background1" w:themeShade="80"/>
          <w:sz w:val="16"/>
          <w:szCs w:val="16"/>
          <w:lang w:val="en-GB"/>
        </w:rPr>
        <w:t xml:space="preserve"> Ibid.</w:t>
      </w:r>
      <w:r w:rsidR="00D61855" w:rsidRPr="00682A70">
        <w:rPr>
          <w:rFonts w:ascii="Arial" w:hAnsi="Arial" w:cs="Arial"/>
          <w:color w:val="808080" w:themeColor="background1" w:themeShade="80"/>
          <w:sz w:val="16"/>
          <w:szCs w:val="16"/>
          <w:lang w:val="en-GB"/>
        </w:rPr>
        <w:t>, s</w:t>
      </w:r>
      <w:r w:rsidRPr="00682A70">
        <w:rPr>
          <w:rFonts w:ascii="Arial" w:hAnsi="Arial" w:cs="Arial"/>
          <w:color w:val="808080" w:themeColor="background1" w:themeShade="80"/>
          <w:sz w:val="16"/>
          <w:szCs w:val="16"/>
          <w:lang w:val="en-GB"/>
        </w:rPr>
        <w:t>ection 241(1)</w:t>
      </w:r>
    </w:p>
  </w:footnote>
  <w:footnote w:id="3">
    <w:p w14:paraId="76F1F612" w14:textId="7178E9B9" w:rsidR="008502FB" w:rsidRPr="00682A70" w:rsidRDefault="008502FB" w:rsidP="00AF21F4">
      <w:pPr>
        <w:pStyle w:val="FootnoteText"/>
        <w:jc w:val="both"/>
        <w:rPr>
          <w:rFonts w:ascii="Arial" w:hAnsi="Arial" w:cs="Arial"/>
          <w:sz w:val="16"/>
          <w:szCs w:val="16"/>
          <w:lang w:val="en-GB"/>
        </w:rPr>
      </w:pPr>
      <w:r w:rsidRPr="00682A70">
        <w:rPr>
          <w:rStyle w:val="FootnoteReference"/>
          <w:rFonts w:ascii="Arial" w:hAnsi="Arial" w:cs="Arial"/>
          <w:sz w:val="16"/>
          <w:szCs w:val="16"/>
        </w:rPr>
        <w:footnoteRef/>
      </w:r>
      <w:r w:rsidRPr="00682A70">
        <w:rPr>
          <w:rFonts w:ascii="Arial" w:hAnsi="Arial" w:cs="Arial"/>
          <w:sz w:val="16"/>
          <w:szCs w:val="16"/>
        </w:rPr>
        <w:t xml:space="preserve"> </w:t>
      </w:r>
      <w:r w:rsidR="00D61855" w:rsidRPr="00682A70">
        <w:rPr>
          <w:rFonts w:ascii="Arial" w:hAnsi="Arial" w:cs="Arial"/>
          <w:color w:val="808080" w:themeColor="background1" w:themeShade="80"/>
          <w:sz w:val="16"/>
          <w:szCs w:val="16"/>
          <w:lang w:val="en-GB"/>
        </w:rPr>
        <w:t>Ibid., s</w:t>
      </w:r>
      <w:r w:rsidR="004572DB" w:rsidRPr="00682A70">
        <w:rPr>
          <w:rFonts w:ascii="Arial" w:hAnsi="Arial" w:cs="Arial"/>
          <w:color w:val="808080" w:themeColor="background1" w:themeShade="80"/>
          <w:sz w:val="16"/>
          <w:szCs w:val="16"/>
          <w:lang w:val="en-GB"/>
        </w:rPr>
        <w:t>ection 241(1)(a)</w:t>
      </w:r>
    </w:p>
  </w:footnote>
  <w:footnote w:id="4">
    <w:p w14:paraId="03AA0EFE" w14:textId="0005F328" w:rsidR="00832034" w:rsidRPr="00682A70" w:rsidRDefault="00832034">
      <w:pPr>
        <w:pStyle w:val="FootnoteText"/>
        <w:rPr>
          <w:rFonts w:ascii="Arial" w:hAnsi="Arial" w:cs="Arial"/>
          <w:sz w:val="16"/>
          <w:szCs w:val="16"/>
          <w:lang w:val="en-GB"/>
        </w:rPr>
      </w:pPr>
      <w:r w:rsidRPr="00682A70">
        <w:rPr>
          <w:rStyle w:val="FootnoteReference"/>
          <w:rFonts w:ascii="Arial" w:hAnsi="Arial" w:cs="Arial"/>
          <w:sz w:val="16"/>
          <w:szCs w:val="16"/>
        </w:rPr>
        <w:footnoteRef/>
      </w:r>
      <w:r w:rsidRPr="00682A70">
        <w:rPr>
          <w:rFonts w:ascii="Arial" w:hAnsi="Arial" w:cs="Arial"/>
          <w:sz w:val="16"/>
          <w:szCs w:val="16"/>
        </w:rPr>
        <w:t xml:space="preserve"> </w:t>
      </w:r>
      <w:r w:rsidRPr="00682A70">
        <w:rPr>
          <w:rFonts w:ascii="Arial" w:hAnsi="Arial" w:cs="Arial"/>
          <w:color w:val="808080" w:themeColor="background1" w:themeShade="80"/>
          <w:sz w:val="16"/>
          <w:szCs w:val="16"/>
          <w:lang w:val="en-GB"/>
        </w:rPr>
        <w:t>Ibid., section 241(1)(d)</w:t>
      </w:r>
    </w:p>
  </w:footnote>
  <w:footnote w:id="5">
    <w:p w14:paraId="68E03EB0" w14:textId="7A5226C5" w:rsidR="004572DB" w:rsidRPr="00682A70" w:rsidRDefault="004572DB" w:rsidP="00AF21F4">
      <w:pPr>
        <w:jc w:val="both"/>
        <w:rPr>
          <w:rFonts w:ascii="Arial" w:hAnsi="Arial" w:cs="Arial"/>
          <w:color w:val="808080" w:themeColor="background1" w:themeShade="80"/>
          <w:sz w:val="16"/>
          <w:szCs w:val="16"/>
          <w:lang w:val="en-GB"/>
        </w:rPr>
      </w:pPr>
      <w:r w:rsidRPr="00682A70">
        <w:rPr>
          <w:rStyle w:val="FootnoteReference"/>
          <w:rFonts w:ascii="Arial" w:hAnsi="Arial" w:cs="Arial"/>
          <w:sz w:val="16"/>
          <w:szCs w:val="16"/>
        </w:rPr>
        <w:footnoteRef/>
      </w:r>
      <w:r w:rsidRPr="00682A70">
        <w:rPr>
          <w:rFonts w:ascii="Arial" w:hAnsi="Arial" w:cs="Arial"/>
          <w:sz w:val="16"/>
          <w:szCs w:val="16"/>
        </w:rPr>
        <w:t xml:space="preserve"> </w:t>
      </w:r>
      <w:r w:rsidR="00D61855" w:rsidRPr="00682A70">
        <w:rPr>
          <w:rFonts w:ascii="Arial" w:hAnsi="Arial" w:cs="Arial"/>
          <w:color w:val="808080" w:themeColor="background1" w:themeShade="80"/>
          <w:sz w:val="16"/>
          <w:szCs w:val="16"/>
          <w:lang w:val="en-GB"/>
        </w:rPr>
        <w:t>Ibid., s</w:t>
      </w:r>
      <w:r w:rsidRPr="00682A70">
        <w:rPr>
          <w:rFonts w:ascii="Arial" w:hAnsi="Arial" w:cs="Arial"/>
          <w:color w:val="808080" w:themeColor="background1" w:themeShade="80"/>
          <w:sz w:val="16"/>
          <w:szCs w:val="16"/>
          <w:lang w:val="en-GB"/>
        </w:rPr>
        <w:t>ection 241(1)(e)</w:t>
      </w:r>
    </w:p>
  </w:footnote>
  <w:footnote w:id="6">
    <w:p w14:paraId="53037B03" w14:textId="26ED5752" w:rsidR="00B77D43" w:rsidRPr="00563C37" w:rsidRDefault="00B77D43" w:rsidP="006A0ED9">
      <w:pPr>
        <w:pStyle w:val="FootnoteText"/>
        <w:jc w:val="both"/>
        <w:rPr>
          <w:rFonts w:ascii="Arial" w:hAnsi="Arial" w:cs="Arial"/>
          <w:sz w:val="16"/>
          <w:szCs w:val="16"/>
          <w:highlight w:val="yellow"/>
          <w:lang w:val="en-GB"/>
        </w:rPr>
      </w:pPr>
      <w:r w:rsidRPr="00682A70">
        <w:rPr>
          <w:rStyle w:val="FootnoteReference"/>
          <w:rFonts w:ascii="Arial" w:hAnsi="Arial" w:cs="Arial"/>
          <w:sz w:val="16"/>
          <w:szCs w:val="16"/>
        </w:rPr>
        <w:footnoteRef/>
      </w:r>
      <w:r w:rsidRPr="00682A70">
        <w:rPr>
          <w:rFonts w:ascii="Arial" w:hAnsi="Arial" w:cs="Arial"/>
          <w:sz w:val="16"/>
          <w:szCs w:val="16"/>
        </w:rPr>
        <w:t xml:space="preserve"> </w:t>
      </w:r>
      <w:r w:rsidR="00D61855" w:rsidRPr="00682A70">
        <w:rPr>
          <w:rFonts w:ascii="Arial" w:hAnsi="Arial" w:cs="Arial"/>
          <w:color w:val="808080" w:themeColor="background1" w:themeShade="80"/>
          <w:sz w:val="16"/>
          <w:szCs w:val="16"/>
          <w:lang w:val="en-GB"/>
        </w:rPr>
        <w:t>Ibid., s</w:t>
      </w:r>
      <w:r w:rsidRPr="00682A70">
        <w:rPr>
          <w:rFonts w:ascii="Arial" w:hAnsi="Arial" w:cs="Arial"/>
          <w:color w:val="808080" w:themeColor="background1" w:themeShade="80"/>
          <w:sz w:val="16"/>
          <w:szCs w:val="16"/>
          <w:lang w:val="en-GB"/>
        </w:rPr>
        <w:t>ection 242(1)</w:t>
      </w:r>
    </w:p>
  </w:footnote>
  <w:footnote w:id="7">
    <w:p w14:paraId="38313DE1" w14:textId="3C87140D" w:rsidR="00B77D43" w:rsidRPr="004B21F6" w:rsidRDefault="00B77D43" w:rsidP="00913BF3">
      <w:pPr>
        <w:pStyle w:val="FootnoteText"/>
        <w:jc w:val="both"/>
        <w:rPr>
          <w:rFonts w:ascii="Arial" w:hAnsi="Arial" w:cs="Arial"/>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00D61855" w:rsidRPr="004B21F6">
        <w:rPr>
          <w:rFonts w:ascii="Arial" w:hAnsi="Arial" w:cs="Arial"/>
          <w:color w:val="808080" w:themeColor="background1" w:themeShade="80"/>
          <w:sz w:val="16"/>
          <w:szCs w:val="16"/>
          <w:lang w:val="en-GB"/>
        </w:rPr>
        <w:t>Ibid., s</w:t>
      </w:r>
      <w:r w:rsidRPr="004B21F6">
        <w:rPr>
          <w:rFonts w:ascii="Arial" w:hAnsi="Arial" w:cs="Arial"/>
          <w:color w:val="808080" w:themeColor="background1" w:themeShade="80"/>
          <w:sz w:val="16"/>
          <w:szCs w:val="16"/>
          <w:lang w:val="en-GB"/>
        </w:rPr>
        <w:t>ection 242(1)(b)</w:t>
      </w:r>
    </w:p>
  </w:footnote>
  <w:footnote w:id="8">
    <w:p w14:paraId="1C268AEF" w14:textId="507FD5CB" w:rsidR="00B77D43" w:rsidRPr="004B21F6" w:rsidRDefault="00B77D43" w:rsidP="00913BF3">
      <w:pPr>
        <w:pStyle w:val="FootnoteText"/>
        <w:jc w:val="both"/>
        <w:rPr>
          <w:rFonts w:ascii="Arial" w:hAnsi="Arial" w:cs="Arial"/>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00D61855" w:rsidRPr="004B21F6">
        <w:rPr>
          <w:rFonts w:ascii="Arial" w:hAnsi="Arial" w:cs="Arial"/>
          <w:color w:val="808080" w:themeColor="background1" w:themeShade="80"/>
          <w:sz w:val="16"/>
          <w:szCs w:val="16"/>
          <w:lang w:val="en-GB"/>
        </w:rPr>
        <w:t>Ibid., s</w:t>
      </w:r>
      <w:r w:rsidRPr="004B21F6">
        <w:rPr>
          <w:rFonts w:ascii="Arial" w:hAnsi="Arial" w:cs="Arial"/>
          <w:color w:val="808080" w:themeColor="background1" w:themeShade="80"/>
          <w:sz w:val="16"/>
          <w:szCs w:val="16"/>
          <w:lang w:val="en-GB"/>
        </w:rPr>
        <w:t>ection 242(1)(c)</w:t>
      </w:r>
    </w:p>
  </w:footnote>
  <w:footnote w:id="9">
    <w:p w14:paraId="6A79A17A" w14:textId="5351F96C" w:rsidR="006E25AB" w:rsidRPr="004B21F6" w:rsidRDefault="006E25AB" w:rsidP="00913BF3">
      <w:pPr>
        <w:pStyle w:val="FootnoteText"/>
        <w:jc w:val="both"/>
        <w:rPr>
          <w:rFonts w:ascii="Arial" w:hAnsi="Arial" w:cs="Arial"/>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Pr="004B21F6">
        <w:rPr>
          <w:rFonts w:ascii="Arial" w:hAnsi="Arial" w:cs="Arial"/>
          <w:color w:val="808080" w:themeColor="background1" w:themeShade="80"/>
          <w:sz w:val="16"/>
          <w:szCs w:val="16"/>
          <w:lang w:val="en-HK"/>
        </w:rPr>
        <w:t>2013 (1) CILR 164</w:t>
      </w:r>
    </w:p>
  </w:footnote>
  <w:footnote w:id="10">
    <w:p w14:paraId="53BE06D0" w14:textId="0ADA7862" w:rsidR="006E25AB" w:rsidRPr="004B21F6" w:rsidRDefault="006E25AB" w:rsidP="00913BF3">
      <w:pPr>
        <w:pStyle w:val="FootnoteText"/>
        <w:jc w:val="both"/>
        <w:rPr>
          <w:rFonts w:ascii="Arial" w:hAnsi="Arial" w:cs="Arial"/>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Pr="004B21F6">
        <w:rPr>
          <w:rFonts w:ascii="Arial" w:hAnsi="Arial" w:cs="Arial"/>
          <w:color w:val="808080" w:themeColor="background1" w:themeShade="80"/>
          <w:sz w:val="16"/>
          <w:szCs w:val="16"/>
          <w:lang w:val="en-HK"/>
        </w:rPr>
        <w:t>Ibid., 180</w:t>
      </w:r>
    </w:p>
  </w:footnote>
  <w:footnote w:id="11">
    <w:p w14:paraId="00C6D9AE" w14:textId="2A301105" w:rsidR="003A7A83" w:rsidRPr="004B21F6" w:rsidRDefault="003A7A83" w:rsidP="00913BF3">
      <w:pPr>
        <w:jc w:val="both"/>
        <w:rPr>
          <w:rFonts w:ascii="Arial" w:hAnsi="Arial" w:cs="Arial"/>
          <w:color w:val="808080" w:themeColor="background1" w:themeShade="80"/>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Pr="004B21F6">
        <w:rPr>
          <w:rFonts w:ascii="Arial" w:hAnsi="Arial" w:cs="Arial"/>
          <w:color w:val="808080" w:themeColor="background1" w:themeShade="80"/>
          <w:sz w:val="16"/>
          <w:szCs w:val="16"/>
          <w:lang w:val="en-GB"/>
        </w:rPr>
        <w:t>Companies Act (2023 Revision), section 241(1)(d)</w:t>
      </w:r>
    </w:p>
  </w:footnote>
  <w:footnote w:id="12">
    <w:p w14:paraId="52BFC121" w14:textId="2C4A18E9" w:rsidR="003A7A83" w:rsidRPr="004B21F6" w:rsidRDefault="003A7A83" w:rsidP="00913BF3">
      <w:pPr>
        <w:pStyle w:val="FootnoteText"/>
        <w:jc w:val="both"/>
        <w:rPr>
          <w:rFonts w:ascii="Arial" w:hAnsi="Arial" w:cs="Arial"/>
          <w:sz w:val="16"/>
          <w:szCs w:val="16"/>
          <w:highlight w:val="yellow"/>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Pr="004B21F6">
        <w:rPr>
          <w:rFonts w:ascii="Arial" w:hAnsi="Arial" w:cs="Arial"/>
          <w:color w:val="808080" w:themeColor="background1" w:themeShade="80"/>
          <w:sz w:val="16"/>
          <w:szCs w:val="16"/>
          <w:lang w:val="en-GB"/>
        </w:rPr>
        <w:t>Ibid., section 103</w:t>
      </w:r>
      <w:r w:rsidR="00B251FF" w:rsidRPr="004B21F6">
        <w:rPr>
          <w:rFonts w:ascii="Arial" w:hAnsi="Arial" w:cs="Arial"/>
          <w:color w:val="808080" w:themeColor="background1" w:themeShade="80"/>
          <w:sz w:val="16"/>
          <w:szCs w:val="16"/>
          <w:lang w:val="en-GB"/>
        </w:rPr>
        <w:t>(1)</w:t>
      </w:r>
    </w:p>
  </w:footnote>
  <w:footnote w:id="13">
    <w:p w14:paraId="3D10D6CC" w14:textId="3B5E6D0D" w:rsidR="003A7A83" w:rsidRPr="004B21F6" w:rsidRDefault="003A7A83" w:rsidP="00913BF3">
      <w:pPr>
        <w:jc w:val="both"/>
        <w:rPr>
          <w:rFonts w:ascii="Arial" w:hAnsi="Arial" w:cs="Arial"/>
          <w:color w:val="808080" w:themeColor="background1" w:themeShade="80"/>
          <w:sz w:val="16"/>
          <w:szCs w:val="16"/>
          <w:highlight w:val="yellow"/>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00BC385C" w:rsidRPr="004B21F6">
        <w:rPr>
          <w:rFonts w:ascii="Arial" w:hAnsi="Arial" w:cs="Arial"/>
          <w:color w:val="808080" w:themeColor="background1" w:themeShade="80"/>
          <w:sz w:val="16"/>
          <w:szCs w:val="16"/>
          <w:lang w:val="en-GB"/>
        </w:rPr>
        <w:t>Colin Wilson, Mitchell Mansfield, Michael Chan, Ivan Chong and David Prager, Kroll, “</w:t>
      </w:r>
      <w:r w:rsidR="00B251FF" w:rsidRPr="004B21F6">
        <w:rPr>
          <w:rFonts w:ascii="Arial" w:hAnsi="Arial" w:cs="Arial"/>
          <w:color w:val="808080" w:themeColor="background1" w:themeShade="80"/>
          <w:sz w:val="16"/>
          <w:szCs w:val="16"/>
          <w:lang w:val="en-GB"/>
        </w:rPr>
        <w:t xml:space="preserve">INSOL International, Technical Paper Series 55 - </w:t>
      </w:r>
      <w:r w:rsidR="00BC385C" w:rsidRPr="004B21F6">
        <w:rPr>
          <w:rFonts w:ascii="Arial" w:hAnsi="Arial" w:cs="Arial"/>
          <w:color w:val="808080" w:themeColor="background1" w:themeShade="80"/>
          <w:sz w:val="16"/>
          <w:szCs w:val="16"/>
          <w:lang w:val="en-GB"/>
        </w:rPr>
        <w:t xml:space="preserve">Cross-border Investigations and Comity: A Toolkit for Insolvency Practitioners and Restructuring Advisors”, </w:t>
      </w:r>
      <w:hyperlink r:id="rId1" w:history="1">
        <w:r w:rsidR="00BC385C" w:rsidRPr="004B21F6">
          <w:rPr>
            <w:rStyle w:val="Hyperlink"/>
            <w:rFonts w:ascii="Arial" w:hAnsi="Arial" w:cs="Arial"/>
            <w:sz w:val="16"/>
            <w:szCs w:val="16"/>
            <w:lang w:val="en-GB"/>
          </w:rPr>
          <w:t>https://www.kroll.com/-/media/kroll-images/pdfs/cross-border-investigations.pdf</w:t>
        </w:r>
      </w:hyperlink>
      <w:r w:rsidR="00BC385C" w:rsidRPr="004B21F6">
        <w:rPr>
          <w:rFonts w:ascii="Arial" w:hAnsi="Arial" w:cs="Arial"/>
          <w:color w:val="808080" w:themeColor="background1" w:themeShade="80"/>
          <w:sz w:val="16"/>
          <w:szCs w:val="16"/>
          <w:lang w:val="en-GB"/>
        </w:rPr>
        <w:t>, p 10, published in February 2023, accessed on 3 June 2024</w:t>
      </w:r>
    </w:p>
  </w:footnote>
  <w:footnote w:id="14">
    <w:p w14:paraId="1B3EA895" w14:textId="1575F09A" w:rsidR="00D05D92" w:rsidRPr="004B21F6" w:rsidRDefault="00D05D92" w:rsidP="00913BF3">
      <w:pPr>
        <w:jc w:val="both"/>
        <w:rPr>
          <w:rFonts w:ascii="Arial" w:hAnsi="Arial" w:cs="Arial"/>
          <w:color w:val="808080" w:themeColor="background1" w:themeShade="80"/>
          <w:sz w:val="16"/>
          <w:szCs w:val="16"/>
          <w:highlight w:val="yellow"/>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00563C37" w:rsidRPr="004B21F6">
        <w:rPr>
          <w:rFonts w:ascii="Arial" w:hAnsi="Arial" w:cs="Arial"/>
          <w:color w:val="808080" w:themeColor="background1" w:themeShade="80"/>
          <w:sz w:val="16"/>
          <w:szCs w:val="16"/>
          <w:lang w:val="en-GB"/>
        </w:rPr>
        <w:t xml:space="preserve">Stephen </w:t>
      </w:r>
      <w:proofErr w:type="spellStart"/>
      <w:r w:rsidR="00563C37" w:rsidRPr="004B21F6">
        <w:rPr>
          <w:rFonts w:ascii="Arial" w:hAnsi="Arial" w:cs="Arial"/>
          <w:color w:val="808080" w:themeColor="background1" w:themeShade="80"/>
          <w:sz w:val="16"/>
          <w:szCs w:val="16"/>
          <w:lang w:val="en-GB"/>
        </w:rPr>
        <w:t>Leontsinis</w:t>
      </w:r>
      <w:proofErr w:type="spellEnd"/>
      <w:r w:rsidR="00563C37" w:rsidRPr="004B21F6">
        <w:rPr>
          <w:rFonts w:ascii="Arial" w:hAnsi="Arial" w:cs="Arial"/>
          <w:color w:val="808080" w:themeColor="background1" w:themeShade="80"/>
          <w:sz w:val="16"/>
          <w:szCs w:val="16"/>
          <w:lang w:val="en-GB"/>
        </w:rPr>
        <w:t xml:space="preserve">, Collas Crill, “Are you ready? Rule changes of relevance to insolvency practitioners in the Cayman Islands”, </w:t>
      </w:r>
      <w:hyperlink r:id="rId2" w:history="1">
        <w:r w:rsidR="00563C37" w:rsidRPr="004B21F6">
          <w:rPr>
            <w:rStyle w:val="Hyperlink"/>
            <w:rFonts w:ascii="Arial" w:hAnsi="Arial" w:cs="Arial"/>
            <w:sz w:val="16"/>
            <w:szCs w:val="16"/>
            <w:lang w:val="en-GB"/>
          </w:rPr>
          <w:t>https://www.collascrill.com/articles/rule-changes-of-relevance-to-insolvency-practitioners-in-the-cayman-islands/</w:t>
        </w:r>
      </w:hyperlink>
      <w:r w:rsidR="00563C37" w:rsidRPr="004B21F6">
        <w:rPr>
          <w:rFonts w:ascii="Arial" w:hAnsi="Arial" w:cs="Arial"/>
          <w:color w:val="808080" w:themeColor="background1" w:themeShade="80"/>
          <w:sz w:val="16"/>
          <w:szCs w:val="16"/>
          <w:lang w:val="en-GB"/>
        </w:rPr>
        <w:t>, published on 19 January 2018, accessed on 3 June 2024</w:t>
      </w:r>
    </w:p>
  </w:footnote>
  <w:footnote w:id="15">
    <w:p w14:paraId="661FBC18" w14:textId="7EE4D8CA" w:rsidR="00913BF3" w:rsidRPr="004B21F6" w:rsidRDefault="00913BF3" w:rsidP="00913BF3">
      <w:pPr>
        <w:pStyle w:val="FootnoteText"/>
        <w:jc w:val="both"/>
        <w:rPr>
          <w:rFonts w:ascii="Arial" w:hAnsi="Arial" w:cs="Arial"/>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Pr="004B21F6">
        <w:rPr>
          <w:rFonts w:ascii="Arial" w:hAnsi="Arial" w:cs="Arial"/>
          <w:color w:val="808080" w:themeColor="background1" w:themeShade="80"/>
          <w:sz w:val="16"/>
          <w:szCs w:val="16"/>
          <w:lang w:val="en-GB"/>
        </w:rPr>
        <w:t>Ibid.</w:t>
      </w:r>
    </w:p>
  </w:footnote>
  <w:footnote w:id="16">
    <w:p w14:paraId="6789CE75" w14:textId="26D593E0" w:rsidR="00106BCB" w:rsidRPr="004B21F6" w:rsidRDefault="00106BCB" w:rsidP="00913BF3">
      <w:pPr>
        <w:pStyle w:val="FootnoteText"/>
        <w:jc w:val="both"/>
        <w:rPr>
          <w:rFonts w:ascii="Arial" w:hAnsi="Arial" w:cs="Arial"/>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Pr="004B21F6">
        <w:rPr>
          <w:rFonts w:ascii="Arial" w:hAnsi="Arial" w:cs="Arial"/>
          <w:color w:val="808080" w:themeColor="background1" w:themeShade="80"/>
          <w:sz w:val="16"/>
          <w:szCs w:val="16"/>
          <w:lang w:val="en-GB"/>
        </w:rPr>
        <w:t>Companies Act (2023 Revision), section 103(7)(b)</w:t>
      </w:r>
      <w:r w:rsidR="00D05D92" w:rsidRPr="004B21F6">
        <w:rPr>
          <w:rFonts w:ascii="Arial" w:hAnsi="Arial" w:cs="Arial"/>
          <w:color w:val="808080" w:themeColor="background1" w:themeShade="80"/>
          <w:sz w:val="16"/>
          <w:szCs w:val="16"/>
          <w:lang w:val="en-GB"/>
        </w:rPr>
        <w:t xml:space="preserve"> </w:t>
      </w:r>
    </w:p>
  </w:footnote>
  <w:footnote w:id="17">
    <w:p w14:paraId="60FE90FC" w14:textId="785DE44D" w:rsidR="00D05D92" w:rsidRPr="004B21F6" w:rsidRDefault="00D05D92" w:rsidP="00913BF3">
      <w:pPr>
        <w:pStyle w:val="FootnoteText"/>
        <w:jc w:val="both"/>
        <w:rPr>
          <w:rFonts w:ascii="Arial" w:hAnsi="Arial" w:cs="Arial"/>
          <w:sz w:val="16"/>
          <w:szCs w:val="16"/>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Pr="004B21F6">
        <w:rPr>
          <w:rFonts w:ascii="Arial" w:hAnsi="Arial" w:cs="Arial"/>
          <w:color w:val="808080" w:themeColor="background1" w:themeShade="80"/>
          <w:sz w:val="16"/>
          <w:szCs w:val="16"/>
          <w:lang w:val="en-GB"/>
        </w:rPr>
        <w:t>Grand Court Rules (2023 Revision), Order 70, rule 2(1)</w:t>
      </w:r>
    </w:p>
  </w:footnote>
  <w:footnote w:id="18">
    <w:p w14:paraId="2D3A693B" w14:textId="581D94BF" w:rsidR="006A0ED9" w:rsidRPr="00B251FF" w:rsidRDefault="006A0ED9" w:rsidP="00913BF3">
      <w:pPr>
        <w:pStyle w:val="FootnoteText"/>
        <w:jc w:val="both"/>
        <w:rPr>
          <w:rFonts w:ascii="Arial" w:hAnsi="Arial" w:cs="Arial"/>
          <w:color w:val="808080" w:themeColor="background1" w:themeShade="80"/>
          <w:sz w:val="16"/>
          <w:szCs w:val="16"/>
          <w:highlight w:val="yellow"/>
          <w:lang w:val="en-GB"/>
        </w:rPr>
      </w:pPr>
      <w:r w:rsidRPr="004B21F6">
        <w:rPr>
          <w:rStyle w:val="FootnoteReference"/>
          <w:rFonts w:ascii="Arial" w:hAnsi="Arial" w:cs="Arial"/>
          <w:sz w:val="16"/>
          <w:szCs w:val="16"/>
        </w:rPr>
        <w:footnoteRef/>
      </w:r>
      <w:r w:rsidRPr="004B21F6">
        <w:rPr>
          <w:rFonts w:ascii="Arial" w:hAnsi="Arial" w:cs="Arial"/>
          <w:sz w:val="16"/>
          <w:szCs w:val="16"/>
        </w:rPr>
        <w:t xml:space="preserve"> </w:t>
      </w:r>
      <w:r w:rsidR="00B251FF" w:rsidRPr="004B21F6">
        <w:rPr>
          <w:rFonts w:ascii="Arial" w:hAnsi="Arial" w:cs="Arial"/>
          <w:color w:val="808080" w:themeColor="background1" w:themeShade="80"/>
          <w:sz w:val="16"/>
          <w:szCs w:val="16"/>
          <w:lang w:val="en-GB"/>
        </w:rPr>
        <w:t xml:space="preserve">Colin Wilson, Mitchell Mansfield, Michael Chan, Ivan Chong and David Prager, Kroll, “INSOL International, Technical Paper Series 55 - Cross-border Investigations and Comity: A Toolkit for Insolvency Practitioners and Restructuring Advisors”, </w:t>
      </w:r>
      <w:hyperlink r:id="rId3" w:history="1">
        <w:r w:rsidR="00B251FF" w:rsidRPr="004B21F6">
          <w:rPr>
            <w:rStyle w:val="Hyperlink"/>
            <w:rFonts w:ascii="Arial" w:hAnsi="Arial" w:cs="Arial"/>
            <w:sz w:val="16"/>
            <w:szCs w:val="16"/>
            <w:lang w:val="en-GB"/>
          </w:rPr>
          <w:t>https://www.kroll.com/-/media/kroll-images/pdfs/cross-border-investigations.pdf</w:t>
        </w:r>
      </w:hyperlink>
      <w:r w:rsidR="00B251FF" w:rsidRPr="004B21F6">
        <w:rPr>
          <w:rFonts w:ascii="Arial" w:hAnsi="Arial" w:cs="Arial"/>
          <w:color w:val="808080" w:themeColor="background1" w:themeShade="80"/>
          <w:sz w:val="16"/>
          <w:szCs w:val="16"/>
          <w:lang w:val="en-GB"/>
        </w:rPr>
        <w:t>, p 11, published in February 2023, accessed on 3 June 2024</w:t>
      </w:r>
    </w:p>
  </w:footnote>
  <w:footnote w:id="19">
    <w:p w14:paraId="5797D62E" w14:textId="7CAC6C6C" w:rsidR="00332C83" w:rsidRPr="004748A9" w:rsidRDefault="00332C83" w:rsidP="006A0ED9">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D61855" w:rsidRPr="004748A9">
        <w:rPr>
          <w:rFonts w:ascii="Arial" w:hAnsi="Arial" w:cs="Arial"/>
          <w:color w:val="808080" w:themeColor="background1" w:themeShade="80"/>
          <w:sz w:val="16"/>
          <w:szCs w:val="16"/>
          <w:lang w:val="en-GB"/>
        </w:rPr>
        <w:t>Ibid., s</w:t>
      </w:r>
      <w:r w:rsidRPr="004748A9">
        <w:rPr>
          <w:rFonts w:ascii="Arial" w:hAnsi="Arial" w:cs="Arial"/>
          <w:color w:val="808080" w:themeColor="background1" w:themeShade="80"/>
          <w:sz w:val="16"/>
          <w:szCs w:val="16"/>
          <w:lang w:val="en-GB"/>
        </w:rPr>
        <w:t>ection 243(1)</w:t>
      </w:r>
    </w:p>
  </w:footnote>
  <w:footnote w:id="20">
    <w:p w14:paraId="3088FD05" w14:textId="65DB7672" w:rsidR="000676FC" w:rsidRPr="004748A9" w:rsidRDefault="000676FC" w:rsidP="006A0ED9">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D61855" w:rsidRPr="004748A9">
        <w:rPr>
          <w:rFonts w:ascii="Arial" w:hAnsi="Arial" w:cs="Arial"/>
          <w:color w:val="808080" w:themeColor="background1" w:themeShade="80"/>
          <w:sz w:val="16"/>
          <w:szCs w:val="16"/>
          <w:lang w:val="en-GB"/>
        </w:rPr>
        <w:t>Ibid., s</w:t>
      </w:r>
      <w:r w:rsidRPr="004748A9">
        <w:rPr>
          <w:rFonts w:ascii="Arial" w:hAnsi="Arial" w:cs="Arial"/>
          <w:color w:val="808080" w:themeColor="background1" w:themeShade="80"/>
          <w:sz w:val="16"/>
          <w:szCs w:val="16"/>
          <w:lang w:val="en-GB"/>
        </w:rPr>
        <w:t>ection 243(2)</w:t>
      </w:r>
    </w:p>
  </w:footnote>
  <w:footnote w:id="21">
    <w:p w14:paraId="1596DB4E" w14:textId="23AFAA0E" w:rsidR="000676FC" w:rsidRPr="004748A9" w:rsidRDefault="000676FC" w:rsidP="006A0ED9">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D61855" w:rsidRPr="004748A9">
        <w:rPr>
          <w:rFonts w:ascii="Arial" w:hAnsi="Arial" w:cs="Arial"/>
          <w:color w:val="808080" w:themeColor="background1" w:themeShade="80"/>
          <w:sz w:val="16"/>
          <w:szCs w:val="16"/>
          <w:lang w:val="en-GB"/>
        </w:rPr>
        <w:t>Ibid., s</w:t>
      </w:r>
      <w:r w:rsidRPr="004748A9">
        <w:rPr>
          <w:rFonts w:ascii="Arial" w:hAnsi="Arial" w:cs="Arial"/>
          <w:color w:val="808080" w:themeColor="background1" w:themeShade="80"/>
          <w:sz w:val="16"/>
          <w:szCs w:val="16"/>
          <w:lang w:val="en-GB"/>
        </w:rPr>
        <w:t>ection 243(3)</w:t>
      </w:r>
    </w:p>
  </w:footnote>
  <w:footnote w:id="22">
    <w:p w14:paraId="56B1899B" w14:textId="1FDB2EA5" w:rsidR="00D218B4" w:rsidRPr="004748A9" w:rsidRDefault="00D218B4" w:rsidP="006A0ED9">
      <w:pPr>
        <w:jc w:val="both"/>
        <w:rPr>
          <w:rFonts w:ascii="Arial" w:hAnsi="Arial" w:cs="Arial"/>
          <w:color w:val="808080" w:themeColor="background1" w:themeShade="80"/>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Pr="004748A9">
        <w:rPr>
          <w:rFonts w:ascii="Arial" w:hAnsi="Arial" w:cs="Arial"/>
          <w:color w:val="808080" w:themeColor="background1" w:themeShade="80"/>
          <w:sz w:val="16"/>
          <w:szCs w:val="16"/>
          <w:lang w:val="en-GB"/>
        </w:rPr>
        <w:t>Benjamin Tonner KC</w:t>
      </w:r>
      <w:r w:rsidRPr="004748A9">
        <w:rPr>
          <w:rFonts w:ascii="Arial" w:hAnsi="Arial" w:cs="Arial"/>
          <w:color w:val="808080" w:themeColor="background1" w:themeShade="80"/>
          <w:sz w:val="16"/>
          <w:szCs w:val="16"/>
        </w:rPr>
        <w:t>,</w:t>
      </w:r>
      <w:r w:rsidRPr="004748A9">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69</w:t>
      </w:r>
    </w:p>
  </w:footnote>
  <w:footnote w:id="23">
    <w:p w14:paraId="199B773E" w14:textId="7CB3414D" w:rsidR="0046268F" w:rsidRPr="004748A9" w:rsidRDefault="0046268F" w:rsidP="006A0ED9">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6B2078" w:rsidRPr="004748A9">
        <w:rPr>
          <w:rFonts w:ascii="Arial" w:hAnsi="Arial" w:cs="Arial"/>
          <w:color w:val="808080" w:themeColor="background1" w:themeShade="80"/>
          <w:sz w:val="16"/>
          <w:szCs w:val="16"/>
          <w:lang w:val="en-GB"/>
        </w:rPr>
        <w:t>Ibid.</w:t>
      </w:r>
      <w:r w:rsidRPr="004748A9">
        <w:rPr>
          <w:rFonts w:ascii="Arial" w:hAnsi="Arial" w:cs="Arial"/>
          <w:color w:val="808080" w:themeColor="background1" w:themeShade="80"/>
          <w:sz w:val="16"/>
          <w:szCs w:val="16"/>
          <w:lang w:val="en-GB"/>
        </w:rPr>
        <w:t>, pp 69-70</w:t>
      </w:r>
    </w:p>
  </w:footnote>
  <w:footnote w:id="24">
    <w:p w14:paraId="5E3BEFD7" w14:textId="03806045" w:rsidR="0028728F" w:rsidRPr="004748A9" w:rsidRDefault="0028728F" w:rsidP="006A0ED9">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9A4862" w:rsidRPr="004748A9">
        <w:rPr>
          <w:rFonts w:ascii="Arial" w:hAnsi="Arial" w:cs="Arial"/>
          <w:color w:val="808080" w:themeColor="background1" w:themeShade="80"/>
          <w:sz w:val="16"/>
          <w:szCs w:val="16"/>
          <w:lang w:val="en-GB"/>
        </w:rPr>
        <w:t xml:space="preserve">Ibid., </w:t>
      </w:r>
      <w:r w:rsidRPr="004748A9">
        <w:rPr>
          <w:rFonts w:ascii="Arial" w:hAnsi="Arial" w:cs="Arial"/>
          <w:color w:val="808080" w:themeColor="background1" w:themeShade="80"/>
          <w:sz w:val="16"/>
          <w:szCs w:val="16"/>
          <w:lang w:val="en-GB"/>
        </w:rPr>
        <w:t>p 71</w:t>
      </w:r>
    </w:p>
  </w:footnote>
  <w:footnote w:id="25">
    <w:p w14:paraId="10E845FA" w14:textId="3D5CE440" w:rsidR="0035248F" w:rsidRPr="004748A9" w:rsidRDefault="0035248F" w:rsidP="006A0ED9">
      <w:pPr>
        <w:jc w:val="both"/>
        <w:rPr>
          <w:rFonts w:ascii="Arial" w:hAnsi="Arial" w:cs="Arial"/>
          <w:color w:val="808080" w:themeColor="background1" w:themeShade="80"/>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D1279A" w:rsidRPr="004748A9">
        <w:rPr>
          <w:rFonts w:ascii="Arial" w:hAnsi="Arial" w:cs="Arial"/>
          <w:color w:val="808080" w:themeColor="background1" w:themeShade="80"/>
          <w:sz w:val="16"/>
          <w:szCs w:val="16"/>
          <w:lang w:val="en-GB"/>
        </w:rPr>
        <w:t xml:space="preserve">Jalil Asif KC and Pamella Mitchell, Kobre &amp; Kim (2017), “Cayman Islands”. In: Patrick Doris (contributing editor), Gibson, Dunn &amp; Crutcher LLP, “Enforcement of Foreign Judgments 2018”. [Online]. Law Business Research, p 16. Accessed on 3 June 2024. Available from: </w:t>
      </w:r>
      <w:hyperlink r:id="rId4" w:history="1">
        <w:r w:rsidR="00D1279A" w:rsidRPr="004748A9">
          <w:rPr>
            <w:rStyle w:val="Hyperlink"/>
            <w:rFonts w:ascii="Arial" w:hAnsi="Arial" w:cs="Arial"/>
            <w:sz w:val="16"/>
            <w:szCs w:val="16"/>
            <w:lang w:val="en-GB"/>
          </w:rPr>
          <w:t>https://kobrekim.com/assets/Uploads/PDFs/GTDT-Enforcing-Foreign-Judgments-2018-Cayman-Islands2.PDF</w:t>
        </w:r>
      </w:hyperlink>
    </w:p>
  </w:footnote>
  <w:footnote w:id="26">
    <w:p w14:paraId="0903EBA1" w14:textId="7FBAB66A" w:rsidR="00E875A2" w:rsidRPr="004748A9" w:rsidRDefault="00E875A2" w:rsidP="006A0ED9">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6B2078" w:rsidRPr="004748A9">
        <w:rPr>
          <w:rFonts w:ascii="Arial" w:hAnsi="Arial" w:cs="Arial"/>
          <w:color w:val="808080" w:themeColor="background1" w:themeShade="80"/>
          <w:sz w:val="16"/>
          <w:szCs w:val="16"/>
          <w:lang w:val="en-GB"/>
        </w:rPr>
        <w:t>Foreign Judgments Reciprocal Enforcement Law (1996 Revision), s</w:t>
      </w:r>
      <w:r w:rsidRPr="004748A9">
        <w:rPr>
          <w:rFonts w:ascii="Arial" w:hAnsi="Arial" w:cs="Arial"/>
          <w:color w:val="808080" w:themeColor="background1" w:themeShade="80"/>
          <w:sz w:val="16"/>
          <w:szCs w:val="16"/>
          <w:lang w:val="en-GB"/>
        </w:rPr>
        <w:t>ection 3(1)</w:t>
      </w:r>
    </w:p>
  </w:footnote>
  <w:footnote w:id="27">
    <w:p w14:paraId="07939093" w14:textId="2FAD49BC" w:rsidR="0068565B" w:rsidRPr="004748A9" w:rsidRDefault="0068565B" w:rsidP="006A0ED9">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Pr="004748A9">
        <w:rPr>
          <w:rFonts w:ascii="Arial" w:hAnsi="Arial" w:cs="Arial"/>
          <w:color w:val="808080" w:themeColor="background1" w:themeShade="80"/>
          <w:sz w:val="16"/>
          <w:szCs w:val="16"/>
          <w:lang w:val="en-GB"/>
        </w:rPr>
        <w:t xml:space="preserve">Jalil Asif KC and Pamella Mitchell, Kobre &amp; Kim (2017), “Cayman Islands”. In: Patrick Doris (contributing editor), Gibson, Dunn &amp; Crutcher LLP, “Enforcement of Foreign Judgments 2018”. [Online]. Law Business Research, p 16. Accessed on 3 June 2024. Available from: </w:t>
      </w:r>
      <w:hyperlink r:id="rId5" w:history="1">
        <w:r w:rsidRPr="004748A9">
          <w:rPr>
            <w:rStyle w:val="Hyperlink"/>
            <w:rFonts w:ascii="Arial" w:hAnsi="Arial" w:cs="Arial"/>
            <w:sz w:val="16"/>
            <w:szCs w:val="16"/>
            <w:lang w:val="en-GB"/>
          </w:rPr>
          <w:t>https://kobrekim.com/assets/Uploads/PDFs/GTDT-Enforcing-Foreign-Judgments-2018-Cayman-Islands2.PDF</w:t>
        </w:r>
      </w:hyperlink>
    </w:p>
  </w:footnote>
  <w:footnote w:id="28">
    <w:p w14:paraId="461D39E3" w14:textId="6D655462" w:rsidR="006B2078" w:rsidRPr="004748A9" w:rsidRDefault="006B2078" w:rsidP="00D15D62">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Pr="004748A9">
        <w:rPr>
          <w:rFonts w:ascii="Arial" w:hAnsi="Arial" w:cs="Arial"/>
          <w:color w:val="808080" w:themeColor="background1" w:themeShade="80"/>
          <w:sz w:val="16"/>
          <w:szCs w:val="16"/>
          <w:lang w:val="en-GB"/>
        </w:rPr>
        <w:t>Foreign Judgments Reciprocal Enforcement Law (1996 Revision), section 3(2)(a)</w:t>
      </w:r>
    </w:p>
  </w:footnote>
  <w:footnote w:id="29">
    <w:p w14:paraId="5258C194" w14:textId="1D02EB9E" w:rsidR="006B2078" w:rsidRPr="004748A9" w:rsidRDefault="006B2078" w:rsidP="00D15D62">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Pr="004748A9">
        <w:rPr>
          <w:rFonts w:ascii="Arial" w:hAnsi="Arial" w:cs="Arial"/>
          <w:color w:val="808080" w:themeColor="background1" w:themeShade="80"/>
          <w:sz w:val="16"/>
          <w:szCs w:val="16"/>
          <w:lang w:val="en-GB"/>
        </w:rPr>
        <w:t>Ibid., section 3(2)(b)</w:t>
      </w:r>
    </w:p>
  </w:footnote>
  <w:footnote w:id="30">
    <w:p w14:paraId="7554C47A" w14:textId="042088DE" w:rsidR="0068565B" w:rsidRPr="009A4862" w:rsidRDefault="0068565B" w:rsidP="00D15D62">
      <w:pPr>
        <w:pStyle w:val="FootnoteText"/>
        <w:jc w:val="both"/>
        <w:rPr>
          <w:rFonts w:ascii="Arial" w:hAnsi="Arial" w:cs="Arial"/>
          <w:sz w:val="16"/>
          <w:szCs w:val="16"/>
          <w:lang w:val="en-GB"/>
        </w:rPr>
      </w:pPr>
      <w:r w:rsidRPr="004748A9">
        <w:rPr>
          <w:rStyle w:val="FootnoteReference"/>
          <w:rFonts w:ascii="Arial" w:hAnsi="Arial" w:cs="Arial"/>
          <w:sz w:val="16"/>
          <w:szCs w:val="16"/>
        </w:rPr>
        <w:footnoteRef/>
      </w:r>
      <w:r w:rsidRPr="004748A9">
        <w:rPr>
          <w:rFonts w:ascii="Arial" w:hAnsi="Arial" w:cs="Arial"/>
          <w:sz w:val="16"/>
          <w:szCs w:val="16"/>
        </w:rPr>
        <w:t xml:space="preserve"> </w:t>
      </w:r>
      <w:r w:rsidR="006B2078" w:rsidRPr="004748A9">
        <w:rPr>
          <w:rFonts w:ascii="Arial" w:hAnsi="Arial" w:cs="Arial"/>
          <w:color w:val="808080" w:themeColor="background1" w:themeShade="80"/>
          <w:sz w:val="16"/>
          <w:szCs w:val="16"/>
          <w:lang w:val="en-GB"/>
        </w:rPr>
        <w:t>Ibid., section 3(2)(c)</w:t>
      </w:r>
    </w:p>
  </w:footnote>
  <w:footnote w:id="31">
    <w:p w14:paraId="3FEB5B84" w14:textId="14768546" w:rsidR="00290074" w:rsidRPr="005F6820" w:rsidRDefault="00290074" w:rsidP="00D15D62">
      <w:pPr>
        <w:pStyle w:val="FootnoteText"/>
        <w:jc w:val="both"/>
        <w:rPr>
          <w:rFonts w:ascii="Arial" w:hAnsi="Arial" w:cs="Arial"/>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Pr="005F6820">
        <w:rPr>
          <w:rFonts w:ascii="Arial" w:hAnsi="Arial" w:cs="Arial"/>
          <w:color w:val="808080" w:themeColor="background1" w:themeShade="80"/>
          <w:sz w:val="16"/>
          <w:szCs w:val="16"/>
          <w:lang w:val="en-GB"/>
        </w:rPr>
        <w:t>Benjamin Tonner KC</w:t>
      </w:r>
      <w:r w:rsidRPr="005F6820">
        <w:rPr>
          <w:rFonts w:ascii="Arial" w:hAnsi="Arial" w:cs="Arial"/>
          <w:color w:val="808080" w:themeColor="background1" w:themeShade="80"/>
          <w:sz w:val="16"/>
          <w:szCs w:val="16"/>
        </w:rPr>
        <w:t>,</w:t>
      </w:r>
      <w:r w:rsidRPr="005F6820">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70</w:t>
      </w:r>
    </w:p>
  </w:footnote>
  <w:footnote w:id="32">
    <w:p w14:paraId="597F189B" w14:textId="5C13BA3E" w:rsidR="00A45A99" w:rsidRPr="005F6820" w:rsidRDefault="00A45A99" w:rsidP="00D15D62">
      <w:pPr>
        <w:jc w:val="both"/>
        <w:rPr>
          <w:rFonts w:ascii="Arial" w:hAnsi="Arial" w:cs="Arial"/>
          <w:color w:val="808080" w:themeColor="background1" w:themeShade="80"/>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Pr="005F6820">
        <w:rPr>
          <w:rFonts w:ascii="Arial" w:hAnsi="Arial" w:cs="Arial"/>
          <w:color w:val="808080" w:themeColor="background1" w:themeShade="80"/>
          <w:sz w:val="16"/>
          <w:szCs w:val="16"/>
          <w:lang w:val="en-GB"/>
        </w:rPr>
        <w:t>2008 CILR 301</w:t>
      </w:r>
    </w:p>
  </w:footnote>
  <w:footnote w:id="33">
    <w:p w14:paraId="0F983220" w14:textId="65AD89C9" w:rsidR="00701643" w:rsidRPr="005F6820" w:rsidRDefault="00701643" w:rsidP="00D15D62">
      <w:pPr>
        <w:jc w:val="both"/>
        <w:rPr>
          <w:rFonts w:ascii="Arial" w:hAnsi="Arial" w:cs="Arial"/>
          <w:color w:val="808080" w:themeColor="background1" w:themeShade="80"/>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Pr="005F6820">
        <w:rPr>
          <w:rFonts w:ascii="Arial" w:hAnsi="Arial" w:cs="Arial"/>
          <w:color w:val="808080" w:themeColor="background1" w:themeShade="80"/>
          <w:sz w:val="16"/>
          <w:szCs w:val="16"/>
          <w:lang w:val="en-GB"/>
        </w:rPr>
        <w:t xml:space="preserve">Guy Manning, Andrew Pullinger and Shaun Tracey, Campbells (2022), “Cayman Islands”. In: Chambers, Global Practice Guides, “Enforcement of Foreign Judgments 2022”. [Online]. Chambers, </w:t>
      </w:r>
      <w:r w:rsidR="00FC7E95" w:rsidRPr="005F6820">
        <w:rPr>
          <w:rFonts w:ascii="Arial" w:hAnsi="Arial" w:cs="Arial"/>
          <w:color w:val="808080" w:themeColor="background1" w:themeShade="80"/>
          <w:sz w:val="16"/>
          <w:szCs w:val="16"/>
          <w:lang w:val="en-GB"/>
        </w:rPr>
        <w:t>p</w:t>
      </w:r>
      <w:r w:rsidRPr="005F6820">
        <w:rPr>
          <w:rFonts w:ascii="Arial" w:hAnsi="Arial" w:cs="Arial"/>
          <w:color w:val="808080" w:themeColor="background1" w:themeShade="80"/>
          <w:sz w:val="16"/>
          <w:szCs w:val="16"/>
          <w:lang w:val="en-GB"/>
        </w:rPr>
        <w:t xml:space="preserve"> 9. Accessed on 3 June 2024. Available from: </w:t>
      </w:r>
      <w:hyperlink r:id="rId6" w:history="1">
        <w:r w:rsidRPr="005F6820">
          <w:rPr>
            <w:rStyle w:val="Hyperlink"/>
            <w:rFonts w:ascii="Arial" w:hAnsi="Arial" w:cs="Arial"/>
            <w:sz w:val="16"/>
            <w:szCs w:val="16"/>
            <w:lang w:val="en-GB"/>
          </w:rPr>
          <w:t>https://www.campbellslegal.com/wp-content/uploads/2022/08/Cayman-Islands-Chapter-Enforcement-of-Judgement-2022.pdf</w:t>
        </w:r>
      </w:hyperlink>
    </w:p>
  </w:footnote>
  <w:footnote w:id="34">
    <w:p w14:paraId="1C8AF556" w14:textId="3EA66E4D" w:rsidR="00701643" w:rsidRPr="005F6820" w:rsidRDefault="00701643" w:rsidP="00D15D62">
      <w:pPr>
        <w:pStyle w:val="FootnoteText"/>
        <w:jc w:val="both"/>
        <w:rPr>
          <w:rFonts w:ascii="Arial" w:hAnsi="Arial" w:cs="Arial"/>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0028728F" w:rsidRPr="005F6820">
        <w:rPr>
          <w:rFonts w:ascii="Arial" w:hAnsi="Arial" w:cs="Arial"/>
          <w:color w:val="808080" w:themeColor="background1" w:themeShade="80"/>
          <w:sz w:val="16"/>
          <w:szCs w:val="16"/>
          <w:lang w:val="en-GB"/>
        </w:rPr>
        <w:t xml:space="preserve">Grand Court Rules (2023 Revision), </w:t>
      </w:r>
      <w:r w:rsidRPr="005F6820">
        <w:rPr>
          <w:rFonts w:ascii="Arial" w:hAnsi="Arial" w:cs="Arial"/>
          <w:color w:val="808080" w:themeColor="background1" w:themeShade="80"/>
          <w:sz w:val="16"/>
          <w:szCs w:val="16"/>
          <w:lang w:val="en-GB"/>
        </w:rPr>
        <w:t>Order 45</w:t>
      </w:r>
      <w:r w:rsidR="0028728F" w:rsidRPr="005F6820">
        <w:rPr>
          <w:rFonts w:ascii="Arial" w:hAnsi="Arial" w:cs="Arial"/>
          <w:color w:val="808080" w:themeColor="background1" w:themeShade="80"/>
          <w:sz w:val="16"/>
          <w:szCs w:val="16"/>
          <w:lang w:val="en-GB"/>
        </w:rPr>
        <w:t xml:space="preserve"> rule </w:t>
      </w:r>
      <w:r w:rsidRPr="005F6820">
        <w:rPr>
          <w:rFonts w:ascii="Arial" w:hAnsi="Arial" w:cs="Arial"/>
          <w:color w:val="808080" w:themeColor="background1" w:themeShade="80"/>
          <w:sz w:val="16"/>
          <w:szCs w:val="16"/>
          <w:lang w:val="en-GB"/>
        </w:rPr>
        <w:t>1(1)(d)</w:t>
      </w:r>
    </w:p>
  </w:footnote>
  <w:footnote w:id="35">
    <w:p w14:paraId="49E981D8" w14:textId="4D8BC068" w:rsidR="00D0502A" w:rsidRPr="005F6820" w:rsidRDefault="00D0502A" w:rsidP="00D15D62">
      <w:pPr>
        <w:jc w:val="both"/>
        <w:rPr>
          <w:rFonts w:ascii="Arial" w:hAnsi="Arial" w:cs="Arial"/>
          <w:color w:val="808080" w:themeColor="background1" w:themeShade="80"/>
          <w:sz w:val="16"/>
          <w:szCs w:val="16"/>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00FC7E95" w:rsidRPr="005F6820">
        <w:rPr>
          <w:rFonts w:ascii="Arial" w:hAnsi="Arial" w:cs="Arial"/>
          <w:color w:val="808080" w:themeColor="background1" w:themeShade="80"/>
          <w:sz w:val="16"/>
          <w:szCs w:val="16"/>
        </w:rPr>
        <w:t>Ross McDonough and Guy Cowan, Campbells (2015), “Cayman Islands”. In: Global Legal Group, “The International Comparative Legal Guide to: Corporate Recovery &amp; Insolvency 2015”, 9</w:t>
      </w:r>
      <w:r w:rsidR="00FC7E95" w:rsidRPr="005F6820">
        <w:rPr>
          <w:rFonts w:ascii="Arial" w:hAnsi="Arial" w:cs="Arial"/>
          <w:color w:val="808080" w:themeColor="background1" w:themeShade="80"/>
          <w:sz w:val="16"/>
          <w:szCs w:val="16"/>
          <w:vertAlign w:val="superscript"/>
        </w:rPr>
        <w:t>th</w:t>
      </w:r>
      <w:r w:rsidR="00FC7E95" w:rsidRPr="005F6820">
        <w:rPr>
          <w:rFonts w:ascii="Arial" w:hAnsi="Arial" w:cs="Arial"/>
          <w:color w:val="808080" w:themeColor="background1" w:themeShade="80"/>
          <w:sz w:val="16"/>
          <w:szCs w:val="16"/>
        </w:rPr>
        <w:t xml:space="preserve"> Edition. [Online]. Global Legal Group, p 55. </w:t>
      </w:r>
      <w:r w:rsidR="00FC7E95" w:rsidRPr="005F6820">
        <w:rPr>
          <w:rFonts w:ascii="Arial" w:hAnsi="Arial" w:cs="Arial"/>
          <w:color w:val="808080" w:themeColor="background1" w:themeShade="80"/>
          <w:sz w:val="16"/>
          <w:szCs w:val="16"/>
          <w:lang w:val="en-GB"/>
        </w:rPr>
        <w:t>Accessed on 3 June 2024. Available from:</w:t>
      </w:r>
      <w:r w:rsidR="00FC7E95" w:rsidRPr="005F6820">
        <w:rPr>
          <w:rFonts w:ascii="Arial" w:hAnsi="Arial" w:cs="Arial"/>
          <w:color w:val="808080" w:themeColor="background1" w:themeShade="80"/>
          <w:sz w:val="16"/>
          <w:szCs w:val="16"/>
        </w:rPr>
        <w:t xml:space="preserve"> </w:t>
      </w:r>
      <w:hyperlink r:id="rId7" w:history="1">
        <w:r w:rsidR="00FC7E95" w:rsidRPr="005F6820">
          <w:rPr>
            <w:rStyle w:val="Hyperlink"/>
            <w:rFonts w:ascii="Arial" w:hAnsi="Arial" w:cs="Arial"/>
            <w:bCs/>
            <w:sz w:val="16"/>
            <w:szCs w:val="16"/>
            <w:lang w:val="en-GB"/>
          </w:rPr>
          <w:t>https://www.campbellslegal.com/wp-content/uploads/2015/07/ICLG-to-Corporate-Recovery-Insolvency1.pdf</w:t>
        </w:r>
      </w:hyperlink>
    </w:p>
  </w:footnote>
  <w:footnote w:id="36">
    <w:p w14:paraId="1D357909" w14:textId="18213ABE" w:rsidR="000E5D3B" w:rsidRPr="005F6820" w:rsidRDefault="000E5D3B" w:rsidP="00D15D62">
      <w:pPr>
        <w:jc w:val="both"/>
        <w:rPr>
          <w:rFonts w:ascii="Arial" w:hAnsi="Arial" w:cs="Arial"/>
          <w:color w:val="808080" w:themeColor="background1" w:themeShade="80"/>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00AF21F4" w:rsidRPr="005F6820">
        <w:rPr>
          <w:rFonts w:ascii="Arial" w:hAnsi="Arial" w:cs="Arial"/>
          <w:color w:val="808080" w:themeColor="background1" w:themeShade="80"/>
          <w:sz w:val="16"/>
          <w:szCs w:val="16"/>
          <w:lang w:val="en-GB"/>
        </w:rPr>
        <w:t>Registered Land Law</w:t>
      </w:r>
    </w:p>
  </w:footnote>
  <w:footnote w:id="37">
    <w:p w14:paraId="14677917" w14:textId="6BE749FF" w:rsidR="000E5D3B" w:rsidRPr="005F6820" w:rsidRDefault="000E5D3B" w:rsidP="00D15D62">
      <w:pPr>
        <w:jc w:val="both"/>
        <w:rPr>
          <w:rFonts w:ascii="Arial" w:hAnsi="Arial" w:cs="Arial"/>
          <w:color w:val="808080" w:themeColor="background1" w:themeShade="80"/>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00AF21F4" w:rsidRPr="005F6820">
        <w:rPr>
          <w:rFonts w:ascii="Arial" w:hAnsi="Arial" w:cs="Arial"/>
          <w:color w:val="808080" w:themeColor="background1" w:themeShade="80"/>
          <w:sz w:val="16"/>
          <w:szCs w:val="16"/>
          <w:lang w:val="en-GB"/>
        </w:rPr>
        <w:t>Maritime Authority Law</w:t>
      </w:r>
    </w:p>
  </w:footnote>
  <w:footnote w:id="38">
    <w:p w14:paraId="3B44744E" w14:textId="3B00F575" w:rsidR="000E5D3B" w:rsidRPr="005F6820" w:rsidRDefault="000E5D3B" w:rsidP="00D15D62">
      <w:pPr>
        <w:jc w:val="both"/>
        <w:rPr>
          <w:rFonts w:ascii="Arial" w:hAnsi="Arial" w:cs="Arial"/>
          <w:color w:val="808080" w:themeColor="background1" w:themeShade="80"/>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00AF21F4" w:rsidRPr="005F6820">
        <w:rPr>
          <w:rFonts w:ascii="Arial" w:hAnsi="Arial" w:cs="Arial"/>
          <w:color w:val="808080" w:themeColor="background1" w:themeShade="80"/>
          <w:sz w:val="16"/>
          <w:szCs w:val="16"/>
          <w:lang w:val="en-GB"/>
        </w:rPr>
        <w:t>Civil Aviation Authority Law and Mortgaging of Aircraft Regulations</w:t>
      </w:r>
    </w:p>
  </w:footnote>
  <w:footnote w:id="39">
    <w:p w14:paraId="263D4DB7" w14:textId="6186A36D" w:rsidR="00AF21F4" w:rsidRPr="005F6820" w:rsidRDefault="00AF21F4" w:rsidP="00D15D62">
      <w:pPr>
        <w:jc w:val="both"/>
        <w:rPr>
          <w:rFonts w:ascii="Arial" w:hAnsi="Arial" w:cs="Arial"/>
          <w:color w:val="808080" w:themeColor="background1" w:themeShade="80"/>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Pr="005F6820">
        <w:rPr>
          <w:rFonts w:ascii="Arial" w:hAnsi="Arial" w:cs="Arial"/>
          <w:color w:val="808080" w:themeColor="background1" w:themeShade="80"/>
          <w:sz w:val="16"/>
          <w:szCs w:val="16"/>
          <w:lang w:val="en-GB"/>
        </w:rPr>
        <w:t>The Department of Vehicle and Drivers’ Licensing</w:t>
      </w:r>
    </w:p>
  </w:footnote>
  <w:footnote w:id="40">
    <w:p w14:paraId="309BB7A3" w14:textId="60E6DDFB" w:rsidR="000E5D3B" w:rsidRPr="00D15D62" w:rsidRDefault="000E5D3B" w:rsidP="00D15D62">
      <w:pPr>
        <w:jc w:val="both"/>
        <w:rPr>
          <w:rFonts w:ascii="Arial" w:hAnsi="Arial" w:cs="Arial"/>
          <w:color w:val="808080" w:themeColor="background1" w:themeShade="80"/>
          <w:sz w:val="16"/>
          <w:szCs w:val="16"/>
          <w:lang w:val="en-GB"/>
        </w:rPr>
      </w:pPr>
      <w:r w:rsidRPr="005F6820">
        <w:rPr>
          <w:rStyle w:val="FootnoteReference"/>
          <w:rFonts w:ascii="Arial" w:hAnsi="Arial" w:cs="Arial"/>
          <w:sz w:val="16"/>
          <w:szCs w:val="16"/>
        </w:rPr>
        <w:footnoteRef/>
      </w:r>
      <w:r w:rsidRPr="005F6820">
        <w:rPr>
          <w:rFonts w:ascii="Arial" w:hAnsi="Arial" w:cs="Arial"/>
          <w:sz w:val="16"/>
          <w:szCs w:val="16"/>
        </w:rPr>
        <w:t xml:space="preserve"> </w:t>
      </w:r>
      <w:r w:rsidR="00AF21F4" w:rsidRPr="005F6820">
        <w:rPr>
          <w:rFonts w:ascii="Arial" w:hAnsi="Arial" w:cs="Arial"/>
          <w:color w:val="808080" w:themeColor="background1" w:themeShade="80"/>
          <w:sz w:val="16"/>
          <w:szCs w:val="16"/>
          <w:lang w:val="en-GB"/>
        </w:rPr>
        <w:t>Cayman Islands Intellectual Property Office pertaining to intellectual property rights in the Cayman Islands</w:t>
      </w:r>
    </w:p>
  </w:footnote>
  <w:footnote w:id="41">
    <w:p w14:paraId="1D15F6C6" w14:textId="30984C9B" w:rsidR="00112B4B" w:rsidRPr="00D15D62" w:rsidRDefault="00112B4B"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Pr="00D15D62">
        <w:rPr>
          <w:rFonts w:ascii="Arial" w:hAnsi="Arial" w:cs="Arial"/>
          <w:color w:val="808080" w:themeColor="background1" w:themeShade="80"/>
          <w:sz w:val="16"/>
          <w:szCs w:val="16"/>
        </w:rPr>
        <w:t>Ross McDonough and Guy Cowan, Campbells (2015), “Cayman Islands”. In: Global Legal Group, “The International Comparative Legal Guide to: Corporate Recovery &amp; Insolvency 2015”, 9</w:t>
      </w:r>
      <w:r w:rsidRPr="00D15D62">
        <w:rPr>
          <w:rFonts w:ascii="Arial" w:hAnsi="Arial" w:cs="Arial"/>
          <w:color w:val="808080" w:themeColor="background1" w:themeShade="80"/>
          <w:sz w:val="16"/>
          <w:szCs w:val="16"/>
          <w:vertAlign w:val="superscript"/>
        </w:rPr>
        <w:t>th</w:t>
      </w:r>
      <w:r w:rsidRPr="00D15D62">
        <w:rPr>
          <w:rFonts w:ascii="Arial" w:hAnsi="Arial" w:cs="Arial"/>
          <w:color w:val="808080" w:themeColor="background1" w:themeShade="80"/>
          <w:sz w:val="16"/>
          <w:szCs w:val="16"/>
        </w:rPr>
        <w:t xml:space="preserve"> Edition. [Online]. Global Legal Group, p 55. </w:t>
      </w:r>
      <w:r w:rsidRPr="00D15D62">
        <w:rPr>
          <w:rFonts w:ascii="Arial" w:hAnsi="Arial" w:cs="Arial"/>
          <w:color w:val="808080" w:themeColor="background1" w:themeShade="80"/>
          <w:sz w:val="16"/>
          <w:szCs w:val="16"/>
          <w:lang w:val="en-GB"/>
        </w:rPr>
        <w:t>Accessed on 3 June 2024. Available from:</w:t>
      </w:r>
      <w:r w:rsidRPr="00D15D62">
        <w:rPr>
          <w:rFonts w:ascii="Arial" w:hAnsi="Arial" w:cs="Arial"/>
          <w:color w:val="808080" w:themeColor="background1" w:themeShade="80"/>
          <w:sz w:val="16"/>
          <w:szCs w:val="16"/>
        </w:rPr>
        <w:t xml:space="preserve"> </w:t>
      </w:r>
      <w:hyperlink r:id="rId8" w:history="1">
        <w:r w:rsidRPr="00D15D62">
          <w:rPr>
            <w:rStyle w:val="Hyperlink"/>
            <w:rFonts w:ascii="Arial" w:hAnsi="Arial" w:cs="Arial"/>
            <w:bCs/>
            <w:sz w:val="16"/>
            <w:szCs w:val="16"/>
            <w:lang w:val="en-GB"/>
          </w:rPr>
          <w:t>https://www.campbellslegal.com/wp-content/uploads/2015/07/ICLG-to-Corporate-Recovery-Insolvency1.pdf</w:t>
        </w:r>
      </w:hyperlink>
    </w:p>
  </w:footnote>
  <w:footnote w:id="42">
    <w:p w14:paraId="67C5A403" w14:textId="2F78505C" w:rsidR="00112B4B" w:rsidRPr="00D15D62" w:rsidRDefault="00112B4B"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001127CD" w:rsidRPr="00D15D62">
        <w:rPr>
          <w:rFonts w:ascii="Arial" w:hAnsi="Arial" w:cs="Arial"/>
          <w:color w:val="808080" w:themeColor="background1" w:themeShade="80"/>
          <w:sz w:val="16"/>
          <w:szCs w:val="16"/>
        </w:rPr>
        <w:t>Ibid.</w:t>
      </w:r>
    </w:p>
  </w:footnote>
  <w:footnote w:id="43">
    <w:p w14:paraId="1ACB5764" w14:textId="4E9EF658" w:rsidR="00F167E8" w:rsidRPr="00D15D62" w:rsidRDefault="00F167E8"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Pr="00D15D62">
        <w:rPr>
          <w:rFonts w:ascii="Arial" w:hAnsi="Arial" w:cs="Arial"/>
          <w:color w:val="808080" w:themeColor="background1" w:themeShade="80"/>
          <w:sz w:val="16"/>
          <w:szCs w:val="16"/>
          <w:lang w:val="en-GB"/>
        </w:rPr>
        <w:t>Benjamin Tonner KC</w:t>
      </w:r>
      <w:r w:rsidRPr="00D15D62">
        <w:rPr>
          <w:rFonts w:ascii="Arial" w:hAnsi="Arial" w:cs="Arial"/>
          <w:color w:val="808080" w:themeColor="background1" w:themeShade="80"/>
          <w:sz w:val="16"/>
          <w:szCs w:val="16"/>
        </w:rPr>
        <w:t>,</w:t>
      </w:r>
      <w:r w:rsidRPr="00D15D62">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11</w:t>
      </w:r>
    </w:p>
  </w:footnote>
  <w:footnote w:id="44">
    <w:p w14:paraId="6B25EABC" w14:textId="4AD10A08" w:rsidR="00F167E8" w:rsidRPr="00D15D62" w:rsidRDefault="00F167E8"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001127CD" w:rsidRPr="00D15D62">
        <w:rPr>
          <w:rFonts w:ascii="Arial" w:hAnsi="Arial" w:cs="Arial"/>
          <w:color w:val="808080" w:themeColor="background1" w:themeShade="80"/>
          <w:sz w:val="16"/>
          <w:szCs w:val="16"/>
          <w:lang w:val="en-GB"/>
        </w:rPr>
        <w:t>Ibid.</w:t>
      </w:r>
    </w:p>
  </w:footnote>
  <w:footnote w:id="45">
    <w:p w14:paraId="616D5E65" w14:textId="18A1E7EA" w:rsidR="00F167E8" w:rsidRPr="00D15D62" w:rsidRDefault="00F167E8"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Pr="00D15D62">
        <w:rPr>
          <w:rFonts w:ascii="Arial" w:hAnsi="Arial" w:cs="Arial"/>
          <w:color w:val="808080" w:themeColor="background1" w:themeShade="80"/>
          <w:sz w:val="16"/>
          <w:szCs w:val="16"/>
        </w:rPr>
        <w:t>Ross McDonough and Guy Cowan, Campbells (2015), “Cayman Islands”. In: Global Legal Group, “The International Comparative Legal Guide to: Corporate Recovery &amp; Insolvency 2015”, 9</w:t>
      </w:r>
      <w:r w:rsidRPr="00D15D62">
        <w:rPr>
          <w:rFonts w:ascii="Arial" w:hAnsi="Arial" w:cs="Arial"/>
          <w:color w:val="808080" w:themeColor="background1" w:themeShade="80"/>
          <w:sz w:val="16"/>
          <w:szCs w:val="16"/>
          <w:vertAlign w:val="superscript"/>
        </w:rPr>
        <w:t>th</w:t>
      </w:r>
      <w:r w:rsidRPr="00D15D62">
        <w:rPr>
          <w:rFonts w:ascii="Arial" w:hAnsi="Arial" w:cs="Arial"/>
          <w:color w:val="808080" w:themeColor="background1" w:themeShade="80"/>
          <w:sz w:val="16"/>
          <w:szCs w:val="16"/>
        </w:rPr>
        <w:t xml:space="preserve"> Edition. [Online]. Global Legal Group, p 55. </w:t>
      </w:r>
      <w:r w:rsidRPr="00D15D62">
        <w:rPr>
          <w:rFonts w:ascii="Arial" w:hAnsi="Arial" w:cs="Arial"/>
          <w:color w:val="808080" w:themeColor="background1" w:themeShade="80"/>
          <w:sz w:val="16"/>
          <w:szCs w:val="16"/>
          <w:lang w:val="en-GB"/>
        </w:rPr>
        <w:t>Accessed on 3 June 2024. Available from:</w:t>
      </w:r>
      <w:r w:rsidRPr="00D15D62">
        <w:rPr>
          <w:rFonts w:ascii="Arial" w:hAnsi="Arial" w:cs="Arial"/>
          <w:color w:val="808080" w:themeColor="background1" w:themeShade="80"/>
          <w:sz w:val="16"/>
          <w:szCs w:val="16"/>
        </w:rPr>
        <w:t xml:space="preserve"> </w:t>
      </w:r>
      <w:hyperlink r:id="rId9" w:history="1">
        <w:r w:rsidRPr="00D15D62">
          <w:rPr>
            <w:rStyle w:val="Hyperlink"/>
            <w:rFonts w:ascii="Arial" w:hAnsi="Arial" w:cs="Arial"/>
            <w:bCs/>
            <w:sz w:val="16"/>
            <w:szCs w:val="16"/>
            <w:lang w:val="en-GB"/>
          </w:rPr>
          <w:t>https://www.campbellslegal.com/wp-content/uploads/2015/07/ICLG-to-Corporate-Recovery-Insolvency1.pdf</w:t>
        </w:r>
      </w:hyperlink>
    </w:p>
  </w:footnote>
  <w:footnote w:id="46">
    <w:p w14:paraId="06EC4873" w14:textId="76B07661" w:rsidR="00B91335" w:rsidRPr="003E572E" w:rsidRDefault="00B91335"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Pr="00D15D62">
        <w:rPr>
          <w:rFonts w:ascii="Arial" w:hAnsi="Arial" w:cs="Arial"/>
          <w:color w:val="808080" w:themeColor="background1" w:themeShade="80"/>
          <w:sz w:val="16"/>
          <w:szCs w:val="16"/>
          <w:lang w:val="en-GB"/>
        </w:rPr>
        <w:t>Benjamin Tonner KC</w:t>
      </w:r>
      <w:r w:rsidRPr="00D15D62">
        <w:rPr>
          <w:rFonts w:ascii="Arial" w:hAnsi="Arial" w:cs="Arial"/>
          <w:color w:val="808080" w:themeColor="background1" w:themeShade="80"/>
          <w:sz w:val="16"/>
          <w:szCs w:val="16"/>
        </w:rPr>
        <w:t>,</w:t>
      </w:r>
      <w:r w:rsidRPr="00D15D62">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11</w:t>
      </w:r>
    </w:p>
  </w:footnote>
  <w:footnote w:id="47">
    <w:p w14:paraId="353D12AF" w14:textId="4BA1788B" w:rsidR="00B31568" w:rsidRPr="00D15D62" w:rsidRDefault="00B31568"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001127CD" w:rsidRPr="00D15D62">
        <w:rPr>
          <w:rFonts w:ascii="Arial" w:hAnsi="Arial" w:cs="Arial"/>
          <w:color w:val="808080" w:themeColor="background1" w:themeShade="80"/>
          <w:sz w:val="16"/>
          <w:szCs w:val="16"/>
          <w:lang w:val="en-GB"/>
        </w:rPr>
        <w:t>Ibid.,</w:t>
      </w:r>
      <w:r w:rsidRPr="00D15D62">
        <w:rPr>
          <w:rFonts w:ascii="Arial" w:hAnsi="Arial" w:cs="Arial"/>
          <w:color w:val="808080" w:themeColor="background1" w:themeShade="80"/>
          <w:sz w:val="16"/>
          <w:szCs w:val="16"/>
          <w:lang w:val="en-GB"/>
        </w:rPr>
        <w:t xml:space="preserve"> p 74</w:t>
      </w:r>
    </w:p>
  </w:footnote>
  <w:footnote w:id="48">
    <w:p w14:paraId="59814AD1" w14:textId="2BA451E7" w:rsidR="00765EFA" w:rsidRPr="00D15D62" w:rsidRDefault="00765EFA"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00897D82" w:rsidRPr="00D15D62">
        <w:rPr>
          <w:rFonts w:ascii="Arial" w:hAnsi="Arial" w:cs="Arial"/>
          <w:color w:val="808080" w:themeColor="background1" w:themeShade="80"/>
          <w:sz w:val="16"/>
          <w:szCs w:val="16"/>
          <w:lang w:val="en-GB"/>
        </w:rPr>
        <w:t>Companies Act (2023 Revision), s</w:t>
      </w:r>
      <w:r w:rsidRPr="00D15D62">
        <w:rPr>
          <w:rFonts w:ascii="Arial" w:hAnsi="Arial" w:cs="Arial"/>
          <w:color w:val="808080" w:themeColor="background1" w:themeShade="80"/>
          <w:sz w:val="16"/>
          <w:szCs w:val="16"/>
          <w:lang w:val="en-GB"/>
        </w:rPr>
        <w:t>ection 54(1)</w:t>
      </w:r>
    </w:p>
  </w:footnote>
  <w:footnote w:id="49">
    <w:p w14:paraId="033A4B1A" w14:textId="7CF65518" w:rsidR="00765EFA" w:rsidRPr="00D15D62" w:rsidRDefault="00765EFA"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001127CD" w:rsidRPr="00D15D62">
        <w:rPr>
          <w:rFonts w:ascii="Arial" w:hAnsi="Arial" w:cs="Arial"/>
          <w:color w:val="808080" w:themeColor="background1" w:themeShade="80"/>
          <w:sz w:val="16"/>
          <w:szCs w:val="16"/>
          <w:lang w:val="en-GB"/>
        </w:rPr>
        <w:t>Ibid.</w:t>
      </w:r>
      <w:r w:rsidR="00897D82" w:rsidRPr="00D15D62">
        <w:rPr>
          <w:rFonts w:ascii="Arial" w:hAnsi="Arial" w:cs="Arial"/>
          <w:color w:val="808080" w:themeColor="background1" w:themeShade="80"/>
          <w:sz w:val="16"/>
          <w:szCs w:val="16"/>
          <w:lang w:val="en-GB"/>
        </w:rPr>
        <w:t>, s</w:t>
      </w:r>
      <w:r w:rsidRPr="00D15D62">
        <w:rPr>
          <w:rFonts w:ascii="Arial" w:hAnsi="Arial" w:cs="Arial"/>
          <w:color w:val="808080" w:themeColor="background1" w:themeShade="80"/>
          <w:sz w:val="16"/>
          <w:szCs w:val="16"/>
          <w:lang w:val="en-GB"/>
        </w:rPr>
        <w:t>ection 54(2)</w:t>
      </w:r>
    </w:p>
  </w:footnote>
  <w:footnote w:id="50">
    <w:p w14:paraId="01E4120A" w14:textId="06FACD40" w:rsidR="00765EFA" w:rsidRPr="00D15D62" w:rsidRDefault="00765EFA"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001127CD" w:rsidRPr="00D15D62">
        <w:rPr>
          <w:rFonts w:ascii="Arial" w:hAnsi="Arial" w:cs="Arial"/>
          <w:color w:val="808080" w:themeColor="background1" w:themeShade="80"/>
          <w:sz w:val="16"/>
          <w:szCs w:val="16"/>
          <w:lang w:val="en-GB"/>
        </w:rPr>
        <w:t>Ibid.</w:t>
      </w:r>
      <w:r w:rsidR="00897D82" w:rsidRPr="00D15D62">
        <w:rPr>
          <w:rFonts w:ascii="Arial" w:hAnsi="Arial" w:cs="Arial"/>
          <w:color w:val="808080" w:themeColor="background1" w:themeShade="80"/>
          <w:sz w:val="16"/>
          <w:szCs w:val="16"/>
          <w:lang w:val="en-GB"/>
        </w:rPr>
        <w:t>, s</w:t>
      </w:r>
      <w:r w:rsidRPr="00D15D62">
        <w:rPr>
          <w:rFonts w:ascii="Arial" w:hAnsi="Arial" w:cs="Arial"/>
          <w:color w:val="808080" w:themeColor="background1" w:themeShade="80"/>
          <w:sz w:val="16"/>
          <w:szCs w:val="16"/>
          <w:lang w:val="en-GB"/>
        </w:rPr>
        <w:t>ection 54(3)</w:t>
      </w:r>
    </w:p>
  </w:footnote>
  <w:footnote w:id="51">
    <w:p w14:paraId="557AAB39" w14:textId="7C002483" w:rsidR="00897D82" w:rsidRPr="00D15D62" w:rsidRDefault="00897D82" w:rsidP="00D15D62">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Pr="00D15D62">
        <w:rPr>
          <w:rFonts w:ascii="Arial" w:hAnsi="Arial" w:cs="Arial"/>
          <w:color w:val="808080" w:themeColor="background1" w:themeShade="80"/>
          <w:sz w:val="16"/>
          <w:szCs w:val="16"/>
          <w:lang w:val="en-GB"/>
        </w:rPr>
        <w:t>Benjamin Tonner KC</w:t>
      </w:r>
      <w:r w:rsidRPr="00D15D62">
        <w:rPr>
          <w:rFonts w:ascii="Arial" w:hAnsi="Arial" w:cs="Arial"/>
          <w:color w:val="808080" w:themeColor="background1" w:themeShade="80"/>
          <w:sz w:val="16"/>
          <w:szCs w:val="16"/>
        </w:rPr>
        <w:t>,</w:t>
      </w:r>
      <w:r w:rsidRPr="00D15D62">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11</w:t>
      </w:r>
    </w:p>
  </w:footnote>
  <w:footnote w:id="52">
    <w:p w14:paraId="4DE58BEB" w14:textId="164AAF30" w:rsidR="00A10C1E" w:rsidRPr="007F4963" w:rsidRDefault="00A10C1E" w:rsidP="006021B5">
      <w:pPr>
        <w:pStyle w:val="FootnoteText"/>
        <w:jc w:val="both"/>
        <w:rPr>
          <w:rFonts w:ascii="Arial" w:hAnsi="Arial" w:cs="Arial"/>
          <w:sz w:val="16"/>
          <w:szCs w:val="16"/>
          <w:lang w:val="en-GB"/>
        </w:rPr>
      </w:pPr>
      <w:r w:rsidRPr="00D15D62">
        <w:rPr>
          <w:rStyle w:val="FootnoteReference"/>
          <w:rFonts w:ascii="Arial" w:hAnsi="Arial" w:cs="Arial"/>
          <w:sz w:val="16"/>
          <w:szCs w:val="16"/>
        </w:rPr>
        <w:footnoteRef/>
      </w:r>
      <w:r w:rsidRPr="00D15D62">
        <w:rPr>
          <w:rFonts w:ascii="Arial" w:hAnsi="Arial" w:cs="Arial"/>
          <w:sz w:val="16"/>
          <w:szCs w:val="16"/>
        </w:rPr>
        <w:t xml:space="preserve"> </w:t>
      </w:r>
      <w:r w:rsidRPr="00D15D62">
        <w:rPr>
          <w:rFonts w:ascii="Arial" w:hAnsi="Arial" w:cs="Arial"/>
          <w:color w:val="808080" w:themeColor="background1" w:themeShade="80"/>
          <w:sz w:val="16"/>
          <w:szCs w:val="16"/>
        </w:rPr>
        <w:t>Ross McDonough and Guy Cowan, Campbells (2015), “Cayman Islands”. In: Global Legal Group, “The International</w:t>
      </w:r>
      <w:r w:rsidR="0064201B" w:rsidRPr="00D15D62">
        <w:rPr>
          <w:rFonts w:ascii="Arial" w:hAnsi="Arial" w:cs="Arial"/>
          <w:color w:val="808080" w:themeColor="background1" w:themeShade="80"/>
          <w:sz w:val="16"/>
          <w:szCs w:val="16"/>
        </w:rPr>
        <w:t xml:space="preserve"> </w:t>
      </w:r>
      <w:r w:rsidRPr="00D15D62">
        <w:rPr>
          <w:rFonts w:ascii="Arial" w:hAnsi="Arial" w:cs="Arial"/>
          <w:color w:val="808080" w:themeColor="background1" w:themeShade="80"/>
          <w:sz w:val="16"/>
          <w:szCs w:val="16"/>
        </w:rPr>
        <w:t>Comparative Legal Guide to: Corporate Recovery &amp; Insolvency 2015”, 9</w:t>
      </w:r>
      <w:r w:rsidRPr="00D15D62">
        <w:rPr>
          <w:rFonts w:ascii="Arial" w:hAnsi="Arial" w:cs="Arial"/>
          <w:color w:val="808080" w:themeColor="background1" w:themeShade="80"/>
          <w:sz w:val="16"/>
          <w:szCs w:val="16"/>
          <w:vertAlign w:val="superscript"/>
        </w:rPr>
        <w:t>th</w:t>
      </w:r>
      <w:r w:rsidRPr="00D15D62">
        <w:rPr>
          <w:rFonts w:ascii="Arial" w:hAnsi="Arial" w:cs="Arial"/>
          <w:color w:val="808080" w:themeColor="background1" w:themeShade="80"/>
          <w:sz w:val="16"/>
          <w:szCs w:val="16"/>
        </w:rPr>
        <w:t xml:space="preserve"> Edition. [Online]. Global Legal Group, p 55. </w:t>
      </w:r>
      <w:r w:rsidRPr="00D15D62">
        <w:rPr>
          <w:rFonts w:ascii="Arial" w:hAnsi="Arial" w:cs="Arial"/>
          <w:color w:val="808080" w:themeColor="background1" w:themeShade="80"/>
          <w:sz w:val="16"/>
          <w:szCs w:val="16"/>
          <w:lang w:val="en-GB"/>
        </w:rPr>
        <w:t xml:space="preserve">Accessed </w:t>
      </w:r>
      <w:r w:rsidRPr="007F4963">
        <w:rPr>
          <w:rFonts w:ascii="Arial" w:hAnsi="Arial" w:cs="Arial"/>
          <w:color w:val="808080" w:themeColor="background1" w:themeShade="80"/>
          <w:sz w:val="16"/>
          <w:szCs w:val="16"/>
          <w:lang w:val="en-GB"/>
        </w:rPr>
        <w:t>on 3 June 2024. Available from:</w:t>
      </w:r>
      <w:r w:rsidRPr="007F4963">
        <w:rPr>
          <w:rFonts w:ascii="Arial" w:hAnsi="Arial" w:cs="Arial"/>
          <w:color w:val="808080" w:themeColor="background1" w:themeShade="80"/>
          <w:sz w:val="16"/>
          <w:szCs w:val="16"/>
        </w:rPr>
        <w:t xml:space="preserve"> </w:t>
      </w:r>
      <w:hyperlink r:id="rId10" w:history="1">
        <w:r w:rsidRPr="007F4963">
          <w:rPr>
            <w:rStyle w:val="Hyperlink"/>
            <w:rFonts w:ascii="Arial" w:hAnsi="Arial" w:cs="Arial"/>
            <w:bCs/>
            <w:sz w:val="16"/>
            <w:szCs w:val="16"/>
            <w:lang w:val="en-GB"/>
          </w:rPr>
          <w:t>https://www.campbellslegal.com/wp-content/uploads/2015/07/ICLG-to-Corporate-Recovery-Insolvency1.pdf</w:t>
        </w:r>
      </w:hyperlink>
    </w:p>
  </w:footnote>
  <w:footnote w:id="53">
    <w:p w14:paraId="01A4BB09" w14:textId="7391B856" w:rsidR="009F240A" w:rsidRPr="007F4963" w:rsidRDefault="009F240A"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Benjamin Tonner KC</w:t>
      </w:r>
      <w:r w:rsidRPr="007F4963">
        <w:rPr>
          <w:rFonts w:ascii="Arial" w:hAnsi="Arial" w:cs="Arial"/>
          <w:color w:val="808080" w:themeColor="background1" w:themeShade="80"/>
          <w:sz w:val="16"/>
          <w:szCs w:val="16"/>
        </w:rPr>
        <w:t>,</w:t>
      </w:r>
      <w:r w:rsidRPr="007F4963">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44</w:t>
      </w:r>
    </w:p>
  </w:footnote>
  <w:footnote w:id="54">
    <w:p w14:paraId="713287A9" w14:textId="4A2F7A3C" w:rsidR="00E518EC" w:rsidRPr="007F4963" w:rsidRDefault="00E518EC"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 xml:space="preserve">Walkers, “Cayman Islands Companies. A Guide to the Enforcement of Security – Receivership”, </w:t>
      </w:r>
      <w:hyperlink r:id="rId11" w:history="1">
        <w:r w:rsidRPr="007F4963">
          <w:rPr>
            <w:rStyle w:val="Hyperlink"/>
            <w:rFonts w:ascii="Arial" w:hAnsi="Arial" w:cs="Arial"/>
            <w:sz w:val="16"/>
            <w:szCs w:val="16"/>
            <w:lang w:val="en-GB"/>
          </w:rPr>
          <w:t>https://www.walkersglobal.com/images/Publications/Advisory/2015/07.16.2015_Walkers_HK_ICR_Guide_Cayman_Companies.pdf</w:t>
        </w:r>
      </w:hyperlink>
      <w:r w:rsidRPr="007F4963">
        <w:rPr>
          <w:rFonts w:ascii="Arial" w:hAnsi="Arial" w:cs="Arial"/>
          <w:color w:val="808080" w:themeColor="background1" w:themeShade="80"/>
          <w:sz w:val="16"/>
          <w:szCs w:val="16"/>
          <w:lang w:val="en-GB"/>
        </w:rPr>
        <w:t xml:space="preserve">, published on 16 July 2015, </w:t>
      </w:r>
      <w:r w:rsidRPr="007F4963">
        <w:rPr>
          <w:rFonts w:ascii="Arial" w:hAnsi="Arial" w:cs="Arial"/>
          <w:color w:val="7B7B7B" w:themeColor="accent3" w:themeShade="BF"/>
          <w:sz w:val="16"/>
          <w:szCs w:val="16"/>
          <w:lang w:val="en-HK"/>
        </w:rPr>
        <w:t>accessed on 3 June 2024</w:t>
      </w:r>
    </w:p>
  </w:footnote>
  <w:footnote w:id="55">
    <w:p w14:paraId="25C0FCDC" w14:textId="1A7139AC" w:rsidR="003E3B05" w:rsidRPr="007F4963" w:rsidRDefault="003E3B05" w:rsidP="006021B5">
      <w:pPr>
        <w:jc w:val="both"/>
        <w:rPr>
          <w:rFonts w:ascii="Arial" w:hAnsi="Arial" w:cs="Arial"/>
          <w:color w:val="7B7B7B" w:themeColor="accent3" w:themeShade="BF"/>
          <w:sz w:val="16"/>
          <w:szCs w:val="16"/>
          <w:lang w:val="en-HK"/>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7B7B7B" w:themeColor="accent3" w:themeShade="BF"/>
          <w:sz w:val="16"/>
          <w:szCs w:val="16"/>
          <w:lang w:val="en-HK"/>
        </w:rPr>
        <w:t xml:space="preserve">Deloitte, “Controllerships and Receiverships services in the Cayman Islands”, </w:t>
      </w:r>
      <w:hyperlink r:id="rId12" w:history="1">
        <w:r w:rsidRPr="007F4963">
          <w:rPr>
            <w:rStyle w:val="Hyperlink"/>
            <w:rFonts w:ascii="Arial" w:hAnsi="Arial" w:cs="Arial"/>
            <w:sz w:val="16"/>
            <w:szCs w:val="16"/>
            <w:lang w:val="en-HK"/>
          </w:rPr>
          <w:t>https://www.deloitte.com/cbc/en/services/financial-advisory/services/ky-controllerships-and-receiverships.html</w:t>
        </w:r>
      </w:hyperlink>
      <w:r w:rsidRPr="007F4963">
        <w:rPr>
          <w:rFonts w:ascii="Arial" w:hAnsi="Arial" w:cs="Arial"/>
          <w:color w:val="7B7B7B" w:themeColor="accent3" w:themeShade="BF"/>
          <w:sz w:val="16"/>
          <w:szCs w:val="16"/>
          <w:lang w:val="en-HK"/>
        </w:rPr>
        <w:t>, date of publication not stated, accessed on 3 June 2024</w:t>
      </w:r>
    </w:p>
  </w:footnote>
  <w:footnote w:id="56">
    <w:p w14:paraId="4A1F4E28" w14:textId="039570F2" w:rsidR="007832C7" w:rsidRPr="007F4963" w:rsidRDefault="007832C7"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Benjamin Tonner KC</w:t>
      </w:r>
      <w:r w:rsidRPr="007F4963">
        <w:rPr>
          <w:rFonts w:ascii="Arial" w:hAnsi="Arial" w:cs="Arial"/>
          <w:color w:val="808080" w:themeColor="background1" w:themeShade="80"/>
          <w:sz w:val="16"/>
          <w:szCs w:val="16"/>
        </w:rPr>
        <w:t>,</w:t>
      </w:r>
      <w:r w:rsidRPr="007F4963">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45</w:t>
      </w:r>
    </w:p>
  </w:footnote>
  <w:footnote w:id="57">
    <w:p w14:paraId="1718610E" w14:textId="2BC32047" w:rsidR="00D8022B" w:rsidRPr="007F4963" w:rsidRDefault="00D8022B" w:rsidP="006021B5">
      <w:pPr>
        <w:jc w:val="both"/>
        <w:rPr>
          <w:rFonts w:ascii="Arial" w:hAnsi="Arial" w:cs="Arial"/>
          <w:color w:val="808080" w:themeColor="background1" w:themeShade="80"/>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 xml:space="preserve">James Heinicke, Mark Santangeli, Gemma Bellfield (nee Lardner) and Thomas Sims, Ogier, Insight, “Enforcing security over shares of a Cayman company”, </w:t>
      </w:r>
      <w:hyperlink r:id="rId13" w:history="1">
        <w:r w:rsidRPr="007F4963">
          <w:rPr>
            <w:rStyle w:val="Hyperlink"/>
            <w:rFonts w:ascii="Arial" w:hAnsi="Arial" w:cs="Arial"/>
            <w:sz w:val="16"/>
            <w:szCs w:val="16"/>
            <w:lang w:val="en-GB"/>
          </w:rPr>
          <w:t>https://www.ogier.com/news-and-insights/insights/enforcing-security-over-shares-of-a-cayman-company/</w:t>
        </w:r>
      </w:hyperlink>
      <w:r w:rsidRPr="007F4963">
        <w:rPr>
          <w:rFonts w:ascii="Arial" w:hAnsi="Arial" w:cs="Arial"/>
          <w:color w:val="808080" w:themeColor="background1" w:themeShade="80"/>
          <w:sz w:val="16"/>
          <w:szCs w:val="16"/>
          <w:lang w:val="en-GB"/>
        </w:rPr>
        <w:t xml:space="preserve">, </w:t>
      </w:r>
      <w:r w:rsidRPr="007F4963">
        <w:rPr>
          <w:rFonts w:ascii="Arial" w:hAnsi="Arial" w:cs="Arial"/>
          <w:color w:val="7B7B7B" w:themeColor="accent3" w:themeShade="BF"/>
          <w:sz w:val="16"/>
          <w:szCs w:val="16"/>
          <w:lang w:val="en-HK"/>
        </w:rPr>
        <w:t>published on 5 July 2023, accessed on 3 June 2024</w:t>
      </w:r>
    </w:p>
  </w:footnote>
  <w:footnote w:id="58">
    <w:p w14:paraId="274BE4B9" w14:textId="77777777" w:rsidR="00525A4F" w:rsidRPr="00C505C7" w:rsidRDefault="00525A4F" w:rsidP="006021B5">
      <w:pPr>
        <w:pStyle w:val="FootnoteText"/>
        <w:jc w:val="both"/>
        <w:rPr>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 xml:space="preserve">Walkers, “Cayman Islands Companies. A Guide to the Enforcement of Security – Receivership”, </w:t>
      </w:r>
      <w:hyperlink r:id="rId14" w:history="1">
        <w:r w:rsidRPr="007F4963">
          <w:rPr>
            <w:rStyle w:val="Hyperlink"/>
            <w:rFonts w:ascii="Arial" w:hAnsi="Arial" w:cs="Arial"/>
            <w:sz w:val="16"/>
            <w:szCs w:val="16"/>
            <w:lang w:val="en-GB"/>
          </w:rPr>
          <w:t>https://www.walkersglobal.com/images/Publications/Advisory/2015/07.16.2015_Walkers_HK_ICR_Guide_Cayman_Companies.pdf</w:t>
        </w:r>
      </w:hyperlink>
      <w:r w:rsidRPr="007F4963">
        <w:rPr>
          <w:rFonts w:ascii="Arial" w:hAnsi="Arial" w:cs="Arial"/>
          <w:color w:val="808080" w:themeColor="background1" w:themeShade="80"/>
          <w:sz w:val="16"/>
          <w:szCs w:val="16"/>
          <w:lang w:val="en-GB"/>
        </w:rPr>
        <w:t xml:space="preserve">, published on 16 July 2015, </w:t>
      </w:r>
      <w:r w:rsidRPr="007F4963">
        <w:rPr>
          <w:rFonts w:ascii="Arial" w:hAnsi="Arial" w:cs="Arial"/>
          <w:color w:val="7B7B7B" w:themeColor="accent3" w:themeShade="BF"/>
          <w:sz w:val="16"/>
          <w:szCs w:val="16"/>
          <w:lang w:val="en-HK"/>
        </w:rPr>
        <w:t>accessed on 3 June 2024</w:t>
      </w:r>
    </w:p>
  </w:footnote>
  <w:footnote w:id="59">
    <w:p w14:paraId="41809996" w14:textId="5258E794" w:rsidR="00E56559" w:rsidRPr="007F4963" w:rsidRDefault="00E56559"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D65A89" w:rsidRPr="007F4963">
        <w:rPr>
          <w:rFonts w:ascii="Arial" w:hAnsi="Arial" w:cs="Arial"/>
          <w:color w:val="808080" w:themeColor="background1" w:themeShade="80"/>
          <w:sz w:val="16"/>
          <w:szCs w:val="16"/>
          <w:lang w:val="en-GB"/>
        </w:rPr>
        <w:t>Ibid.</w:t>
      </w:r>
    </w:p>
  </w:footnote>
  <w:footnote w:id="60">
    <w:p w14:paraId="4FDE01C6" w14:textId="23EA2DB5" w:rsidR="00F61A69" w:rsidRPr="007F4963" w:rsidRDefault="00F61A69"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Benjamin Tonner KC</w:t>
      </w:r>
      <w:r w:rsidRPr="007F4963">
        <w:rPr>
          <w:rFonts w:ascii="Arial" w:hAnsi="Arial" w:cs="Arial"/>
          <w:color w:val="808080" w:themeColor="background1" w:themeShade="80"/>
          <w:sz w:val="16"/>
          <w:szCs w:val="16"/>
        </w:rPr>
        <w:t>,</w:t>
      </w:r>
      <w:r w:rsidRPr="007F4963">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10</w:t>
      </w:r>
    </w:p>
  </w:footnote>
  <w:footnote w:id="61">
    <w:p w14:paraId="20D0875C" w14:textId="0960A8BA" w:rsidR="00F61A69" w:rsidRPr="007F4963" w:rsidRDefault="00F61A69"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D65A89" w:rsidRPr="007F4963">
        <w:rPr>
          <w:rFonts w:ascii="Arial" w:hAnsi="Arial" w:cs="Arial"/>
          <w:color w:val="808080" w:themeColor="background1" w:themeShade="80"/>
          <w:sz w:val="16"/>
          <w:szCs w:val="16"/>
          <w:lang w:val="en-GB"/>
        </w:rPr>
        <w:t>Ibid.</w:t>
      </w:r>
      <w:r w:rsidRPr="007F4963">
        <w:rPr>
          <w:rFonts w:ascii="Arial" w:hAnsi="Arial" w:cs="Arial"/>
          <w:color w:val="808080" w:themeColor="background1" w:themeShade="80"/>
          <w:sz w:val="16"/>
          <w:szCs w:val="16"/>
          <w:lang w:val="en-GB"/>
        </w:rPr>
        <w:t>, p 12</w:t>
      </w:r>
    </w:p>
  </w:footnote>
  <w:footnote w:id="62">
    <w:p w14:paraId="728D19AA" w14:textId="5C3591E7" w:rsidR="00800FDA" w:rsidRPr="007F4963" w:rsidRDefault="00800FDA"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B3573E" w:rsidRPr="007F4963">
        <w:rPr>
          <w:rFonts w:ascii="Arial" w:hAnsi="Arial" w:cs="Arial"/>
          <w:color w:val="808080" w:themeColor="background1" w:themeShade="80"/>
          <w:sz w:val="16"/>
          <w:szCs w:val="16"/>
          <w:lang w:val="en-GB"/>
        </w:rPr>
        <w:t>United Kingdom Senior Courts Act 1981, s</w:t>
      </w:r>
      <w:r w:rsidR="00074D92" w:rsidRPr="007F4963">
        <w:rPr>
          <w:rFonts w:ascii="Arial" w:hAnsi="Arial" w:cs="Arial"/>
          <w:color w:val="808080" w:themeColor="background1" w:themeShade="80"/>
          <w:sz w:val="16"/>
          <w:szCs w:val="16"/>
          <w:lang w:val="en-GB"/>
        </w:rPr>
        <w:t>ection 37(1) (read in conjunction with section 11(1) of the G</w:t>
      </w:r>
      <w:r w:rsidR="00DB49C4" w:rsidRPr="007F4963">
        <w:rPr>
          <w:rFonts w:ascii="Arial" w:hAnsi="Arial" w:cs="Arial"/>
          <w:color w:val="808080" w:themeColor="background1" w:themeShade="80"/>
          <w:sz w:val="16"/>
          <w:szCs w:val="16"/>
          <w:lang w:val="en-GB"/>
        </w:rPr>
        <w:t>r</w:t>
      </w:r>
      <w:r w:rsidR="00074D92" w:rsidRPr="007F4963">
        <w:rPr>
          <w:rFonts w:ascii="Arial" w:hAnsi="Arial" w:cs="Arial"/>
          <w:color w:val="808080" w:themeColor="background1" w:themeShade="80"/>
          <w:sz w:val="16"/>
          <w:szCs w:val="16"/>
          <w:lang w:val="en-GB"/>
        </w:rPr>
        <w:t>and Court Law (2015 Revision))</w:t>
      </w:r>
    </w:p>
  </w:footnote>
  <w:footnote w:id="63">
    <w:p w14:paraId="18D507DF" w14:textId="77777777" w:rsidR="00800FDA" w:rsidRPr="007F4963" w:rsidRDefault="00800FDA"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Benjamin Tonner KC</w:t>
      </w:r>
      <w:r w:rsidRPr="007F4963">
        <w:rPr>
          <w:rFonts w:ascii="Arial" w:hAnsi="Arial" w:cs="Arial"/>
          <w:color w:val="808080" w:themeColor="background1" w:themeShade="80"/>
          <w:sz w:val="16"/>
          <w:szCs w:val="16"/>
        </w:rPr>
        <w:t>,</w:t>
      </w:r>
      <w:r w:rsidRPr="007F4963">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45</w:t>
      </w:r>
    </w:p>
  </w:footnote>
  <w:footnote w:id="64">
    <w:p w14:paraId="45AA3A35" w14:textId="42C2141C" w:rsidR="00764AA4" w:rsidRPr="007F4963" w:rsidRDefault="00764AA4" w:rsidP="007F4963">
      <w:pPr>
        <w:jc w:val="both"/>
        <w:rPr>
          <w:rFonts w:ascii="Arial" w:hAnsi="Arial" w:cs="Arial"/>
          <w:color w:val="808080" w:themeColor="background1" w:themeShade="80"/>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B3573E" w:rsidRPr="007F4963">
        <w:rPr>
          <w:rFonts w:ascii="Arial" w:hAnsi="Arial" w:cs="Arial"/>
          <w:color w:val="808080" w:themeColor="background1" w:themeShade="80"/>
          <w:sz w:val="16"/>
          <w:szCs w:val="16"/>
          <w:lang w:val="en-GB"/>
        </w:rPr>
        <w:t xml:space="preserve">Grand Court Rules (2023 Revision), </w:t>
      </w:r>
      <w:r w:rsidRPr="007F4963">
        <w:rPr>
          <w:rFonts w:ascii="Arial" w:hAnsi="Arial" w:cs="Arial"/>
          <w:color w:val="808080" w:themeColor="background1" w:themeShade="80"/>
          <w:sz w:val="16"/>
          <w:szCs w:val="16"/>
          <w:lang w:val="en-GB"/>
        </w:rPr>
        <w:t>Order 45, rule 1(1)(d)</w:t>
      </w:r>
    </w:p>
  </w:footnote>
  <w:footnote w:id="65">
    <w:p w14:paraId="606D86F6" w14:textId="38F5EE33" w:rsidR="00BF0CB5" w:rsidRPr="007F4963" w:rsidRDefault="00BF0CB5"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 xml:space="preserve">Connie Lau, Perun Consultants, “Glossary: Liquidation and Receivership Explained”, </w:t>
      </w:r>
      <w:hyperlink r:id="rId15" w:history="1">
        <w:r w:rsidRPr="007F4963">
          <w:rPr>
            <w:rStyle w:val="Hyperlink"/>
            <w:rFonts w:ascii="Arial" w:hAnsi="Arial" w:cs="Arial"/>
            <w:sz w:val="16"/>
            <w:szCs w:val="16"/>
            <w:lang w:val="en-GB"/>
          </w:rPr>
          <w:t>https://www.perunconsultants.com/en/blog/2020/7/02/glossary-liquidation-and-receivership-explained</w:t>
        </w:r>
      </w:hyperlink>
      <w:r w:rsidRPr="007F4963">
        <w:rPr>
          <w:rFonts w:ascii="Arial" w:hAnsi="Arial" w:cs="Arial"/>
          <w:color w:val="808080" w:themeColor="background1" w:themeShade="80"/>
          <w:sz w:val="16"/>
          <w:szCs w:val="16"/>
          <w:lang w:val="en-GB"/>
        </w:rPr>
        <w:t xml:space="preserve">, </w:t>
      </w:r>
      <w:r w:rsidRPr="007F4963">
        <w:rPr>
          <w:rFonts w:ascii="Arial" w:hAnsi="Arial" w:cs="Arial"/>
          <w:color w:val="7B7B7B" w:themeColor="accent3" w:themeShade="BF"/>
          <w:sz w:val="16"/>
          <w:szCs w:val="16"/>
          <w:lang w:val="en-HK"/>
        </w:rPr>
        <w:t>published on 2 July 2020, accessed on 3 June 2024</w:t>
      </w:r>
    </w:p>
  </w:footnote>
  <w:footnote w:id="66">
    <w:p w14:paraId="1DAE05F6" w14:textId="3390B967" w:rsidR="00074D92" w:rsidRPr="007F4963" w:rsidRDefault="00074D92"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6021B5" w:rsidRPr="007F4963">
        <w:rPr>
          <w:rFonts w:ascii="Arial" w:hAnsi="Arial" w:cs="Arial"/>
          <w:color w:val="808080" w:themeColor="background1" w:themeShade="80"/>
          <w:sz w:val="16"/>
          <w:szCs w:val="16"/>
          <w:lang w:val="en-GB"/>
        </w:rPr>
        <w:t>Ibid.</w:t>
      </w:r>
    </w:p>
  </w:footnote>
  <w:footnote w:id="67">
    <w:p w14:paraId="2C16B387" w14:textId="462669D9" w:rsidR="00074D92" w:rsidRPr="007F4963" w:rsidRDefault="00074D92" w:rsidP="007F4963">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Benjamin Tonner KC</w:t>
      </w:r>
      <w:r w:rsidRPr="007F4963">
        <w:rPr>
          <w:rFonts w:ascii="Arial" w:hAnsi="Arial" w:cs="Arial"/>
          <w:color w:val="808080" w:themeColor="background1" w:themeShade="80"/>
          <w:sz w:val="16"/>
          <w:szCs w:val="16"/>
        </w:rPr>
        <w:t>,</w:t>
      </w:r>
      <w:r w:rsidRPr="007F4963">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45</w:t>
      </w:r>
    </w:p>
  </w:footnote>
  <w:footnote w:id="68">
    <w:p w14:paraId="46A301DF" w14:textId="25A1AEB9" w:rsidR="006570B4" w:rsidRPr="003E572E" w:rsidRDefault="006570B4" w:rsidP="007F4963">
      <w:pPr>
        <w:jc w:val="both"/>
        <w:rPr>
          <w:rFonts w:ascii="Arial" w:hAnsi="Arial" w:cs="Arial"/>
          <w:color w:val="808080" w:themeColor="background1" w:themeShade="80"/>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2004-2005 CILR 423</w:t>
      </w:r>
    </w:p>
  </w:footnote>
  <w:footnote w:id="69">
    <w:p w14:paraId="09B406E6" w14:textId="35DF0A17" w:rsidR="00482257" w:rsidRPr="007F4963" w:rsidRDefault="00482257" w:rsidP="006021B5">
      <w:pPr>
        <w:jc w:val="both"/>
        <w:rPr>
          <w:rFonts w:ascii="Arial" w:hAnsi="Arial" w:cs="Arial"/>
          <w:color w:val="808080" w:themeColor="background1" w:themeShade="80"/>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6021B5" w:rsidRPr="007F4963">
        <w:rPr>
          <w:rFonts w:ascii="Arial" w:hAnsi="Arial" w:cs="Arial"/>
          <w:color w:val="808080" w:themeColor="background1" w:themeShade="80"/>
          <w:sz w:val="16"/>
          <w:szCs w:val="16"/>
          <w:lang w:val="en-GB"/>
        </w:rPr>
        <w:t>Ibid.,</w:t>
      </w:r>
      <w:r w:rsidRPr="007F4963">
        <w:rPr>
          <w:rFonts w:ascii="Arial" w:hAnsi="Arial" w:cs="Arial"/>
          <w:color w:val="808080" w:themeColor="background1" w:themeShade="80"/>
          <w:sz w:val="16"/>
          <w:szCs w:val="16"/>
          <w:lang w:val="en-GB"/>
        </w:rPr>
        <w:t xml:space="preserve"> 424</w:t>
      </w:r>
    </w:p>
  </w:footnote>
  <w:footnote w:id="70">
    <w:p w14:paraId="4AA91C96" w14:textId="6DF546C7" w:rsidR="00482257" w:rsidRPr="007F4963" w:rsidRDefault="00482257"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6021B5" w:rsidRPr="007F4963">
        <w:rPr>
          <w:rFonts w:ascii="Arial" w:hAnsi="Arial" w:cs="Arial"/>
          <w:color w:val="808080" w:themeColor="background1" w:themeShade="80"/>
          <w:sz w:val="16"/>
          <w:szCs w:val="16"/>
          <w:lang w:val="en-GB"/>
        </w:rPr>
        <w:t>Ibid.,</w:t>
      </w:r>
      <w:r w:rsidRPr="007F4963">
        <w:rPr>
          <w:rFonts w:ascii="Arial" w:hAnsi="Arial" w:cs="Arial"/>
          <w:color w:val="808080" w:themeColor="background1" w:themeShade="80"/>
          <w:sz w:val="16"/>
          <w:szCs w:val="16"/>
          <w:lang w:val="en-GB"/>
        </w:rPr>
        <w:t xml:space="preserve"> 425</w:t>
      </w:r>
    </w:p>
  </w:footnote>
  <w:footnote w:id="71">
    <w:p w14:paraId="2C89A7DA" w14:textId="51992523" w:rsidR="00BA507B" w:rsidRPr="007F4963" w:rsidRDefault="00BA507B"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Benjamin Tonner KC</w:t>
      </w:r>
      <w:r w:rsidRPr="007F4963">
        <w:rPr>
          <w:rFonts w:ascii="Arial" w:hAnsi="Arial" w:cs="Arial"/>
          <w:color w:val="808080" w:themeColor="background1" w:themeShade="80"/>
          <w:sz w:val="16"/>
          <w:szCs w:val="16"/>
        </w:rPr>
        <w:t>,</w:t>
      </w:r>
      <w:r w:rsidRPr="007F4963">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47</w:t>
      </w:r>
    </w:p>
  </w:footnote>
  <w:footnote w:id="72">
    <w:p w14:paraId="159147A0" w14:textId="3074D783" w:rsidR="00E5689F" w:rsidRPr="007F4963" w:rsidRDefault="00E5689F"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B3573E" w:rsidRPr="007F4963">
        <w:rPr>
          <w:rFonts w:ascii="Arial" w:hAnsi="Arial" w:cs="Arial"/>
          <w:color w:val="808080" w:themeColor="background1" w:themeShade="80"/>
          <w:sz w:val="16"/>
          <w:szCs w:val="16"/>
          <w:lang w:val="en-GB"/>
        </w:rPr>
        <w:t>Companies Act (2023 Revision), s</w:t>
      </w:r>
      <w:r w:rsidRPr="007F4963">
        <w:rPr>
          <w:rFonts w:ascii="Arial" w:hAnsi="Arial" w:cs="Arial"/>
          <w:color w:val="808080" w:themeColor="background1" w:themeShade="80"/>
          <w:sz w:val="16"/>
          <w:szCs w:val="16"/>
          <w:lang w:val="en-GB"/>
        </w:rPr>
        <w:t>ection 224(1)(a)</w:t>
      </w:r>
    </w:p>
  </w:footnote>
  <w:footnote w:id="73">
    <w:p w14:paraId="1C4F7DA4" w14:textId="752D47A8" w:rsidR="00E5689F" w:rsidRPr="007F4963" w:rsidRDefault="00E5689F"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Benjamin Tonner KC</w:t>
      </w:r>
      <w:r w:rsidRPr="007F4963">
        <w:rPr>
          <w:rFonts w:ascii="Arial" w:hAnsi="Arial" w:cs="Arial"/>
          <w:color w:val="808080" w:themeColor="background1" w:themeShade="80"/>
          <w:sz w:val="16"/>
          <w:szCs w:val="16"/>
        </w:rPr>
        <w:t>,</w:t>
      </w:r>
      <w:r w:rsidRPr="007F4963">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47</w:t>
      </w:r>
    </w:p>
  </w:footnote>
  <w:footnote w:id="74">
    <w:p w14:paraId="5E6825AA" w14:textId="439585CF" w:rsidR="00E5689F" w:rsidRPr="007F4963" w:rsidRDefault="00E5689F"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B3573E" w:rsidRPr="007F4963">
        <w:rPr>
          <w:rFonts w:ascii="Arial" w:hAnsi="Arial" w:cs="Arial"/>
          <w:color w:val="808080" w:themeColor="background1" w:themeShade="80"/>
          <w:sz w:val="16"/>
          <w:szCs w:val="16"/>
          <w:lang w:val="en-GB"/>
        </w:rPr>
        <w:t>Companies Act (2023 Revision), s</w:t>
      </w:r>
      <w:r w:rsidRPr="007F4963">
        <w:rPr>
          <w:rFonts w:ascii="Arial" w:hAnsi="Arial" w:cs="Arial"/>
          <w:color w:val="808080" w:themeColor="background1" w:themeShade="80"/>
          <w:sz w:val="16"/>
          <w:szCs w:val="16"/>
          <w:lang w:val="en-GB"/>
        </w:rPr>
        <w:t>ection 224(3)(a)</w:t>
      </w:r>
    </w:p>
  </w:footnote>
  <w:footnote w:id="75">
    <w:p w14:paraId="631DB6DF" w14:textId="71DCA8CD" w:rsidR="00E5689F" w:rsidRPr="007F4963" w:rsidRDefault="00E5689F"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6021B5" w:rsidRPr="007F4963">
        <w:rPr>
          <w:rFonts w:ascii="Arial" w:hAnsi="Arial" w:cs="Arial"/>
          <w:color w:val="808080" w:themeColor="background1" w:themeShade="80"/>
          <w:sz w:val="16"/>
          <w:szCs w:val="16"/>
          <w:lang w:val="en-GB"/>
        </w:rPr>
        <w:t>Ibid.</w:t>
      </w:r>
      <w:r w:rsidR="00B3573E" w:rsidRPr="007F4963">
        <w:rPr>
          <w:rFonts w:ascii="Arial" w:hAnsi="Arial" w:cs="Arial"/>
          <w:color w:val="808080" w:themeColor="background1" w:themeShade="80"/>
          <w:sz w:val="16"/>
          <w:szCs w:val="16"/>
          <w:lang w:val="en-GB"/>
        </w:rPr>
        <w:t>, s</w:t>
      </w:r>
      <w:r w:rsidRPr="007F4963">
        <w:rPr>
          <w:rFonts w:ascii="Arial" w:hAnsi="Arial" w:cs="Arial"/>
          <w:color w:val="808080" w:themeColor="background1" w:themeShade="80"/>
          <w:sz w:val="16"/>
          <w:szCs w:val="16"/>
          <w:lang w:val="en-GB"/>
        </w:rPr>
        <w:t>ection 224(3)(b)</w:t>
      </w:r>
    </w:p>
  </w:footnote>
  <w:footnote w:id="76">
    <w:p w14:paraId="418F0F35" w14:textId="21E674D7" w:rsidR="00E72325" w:rsidRPr="007F4963" w:rsidRDefault="00E72325" w:rsidP="006021B5">
      <w:pPr>
        <w:jc w:val="both"/>
        <w:rPr>
          <w:rFonts w:ascii="Arial" w:hAnsi="Arial" w:cs="Arial"/>
          <w:color w:val="808080" w:themeColor="background1" w:themeShade="80"/>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Grand Ct. 12 August 2021, unreported</w:t>
      </w:r>
    </w:p>
  </w:footnote>
  <w:footnote w:id="77">
    <w:p w14:paraId="3C26EB99" w14:textId="5545ABE4" w:rsidR="00326CD3" w:rsidRPr="007F4963" w:rsidRDefault="00326CD3" w:rsidP="006021B5">
      <w:pPr>
        <w:jc w:val="both"/>
        <w:rPr>
          <w:rFonts w:ascii="Arial" w:hAnsi="Arial" w:cs="Arial"/>
          <w:color w:val="808080" w:themeColor="background1" w:themeShade="80"/>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Pr="007F4963">
        <w:rPr>
          <w:rFonts w:ascii="Arial" w:hAnsi="Arial" w:cs="Arial"/>
          <w:color w:val="808080" w:themeColor="background1" w:themeShade="80"/>
          <w:sz w:val="16"/>
          <w:szCs w:val="16"/>
          <w:lang w:val="en-GB"/>
        </w:rPr>
        <w:t xml:space="preserve">Ian Mann, Paula Kay, Jessica Williams and Jeremy Child, </w:t>
      </w:r>
      <w:proofErr w:type="spellStart"/>
      <w:r w:rsidRPr="007F4963">
        <w:rPr>
          <w:rFonts w:ascii="Arial" w:hAnsi="Arial" w:cs="Arial"/>
          <w:color w:val="808080" w:themeColor="background1" w:themeShade="80"/>
          <w:sz w:val="16"/>
          <w:szCs w:val="16"/>
          <w:lang w:val="en-GB"/>
        </w:rPr>
        <w:t>Harneys</w:t>
      </w:r>
      <w:proofErr w:type="spellEnd"/>
      <w:r w:rsidRPr="007F4963">
        <w:rPr>
          <w:rFonts w:ascii="Arial" w:hAnsi="Arial" w:cs="Arial"/>
          <w:color w:val="808080" w:themeColor="background1" w:themeShade="80"/>
          <w:sz w:val="16"/>
          <w:szCs w:val="16"/>
          <w:lang w:val="en-GB"/>
        </w:rPr>
        <w:t xml:space="preserve">, “Cayman Islands – insolvency and segregated portfolios – Grand Court gives new guidance”, </w:t>
      </w:r>
      <w:hyperlink r:id="rId16" w:history="1">
        <w:r w:rsidRPr="007F4963">
          <w:rPr>
            <w:rStyle w:val="Hyperlink"/>
            <w:rFonts w:ascii="Arial" w:hAnsi="Arial" w:cs="Arial"/>
            <w:sz w:val="16"/>
            <w:szCs w:val="16"/>
            <w:lang w:val="en-GB"/>
          </w:rPr>
          <w:t>https://www.harneys.com/our-blogs/offshore-litigation/cayman-islands-insolvency-and-segregated-portfolios-grand-court-gives-new-guidance/</w:t>
        </w:r>
      </w:hyperlink>
      <w:r w:rsidRPr="007F4963">
        <w:rPr>
          <w:rFonts w:ascii="Arial" w:hAnsi="Arial" w:cs="Arial"/>
          <w:color w:val="808080" w:themeColor="background1" w:themeShade="80"/>
          <w:sz w:val="16"/>
          <w:szCs w:val="16"/>
          <w:lang w:val="en-GB"/>
        </w:rPr>
        <w:t xml:space="preserve">, published on 9 September 2021, </w:t>
      </w:r>
      <w:r w:rsidRPr="007F4963">
        <w:rPr>
          <w:rFonts w:ascii="Arial" w:hAnsi="Arial" w:cs="Arial"/>
          <w:color w:val="7B7B7B" w:themeColor="accent3" w:themeShade="BF"/>
          <w:sz w:val="16"/>
          <w:szCs w:val="16"/>
          <w:lang w:val="en-HK"/>
        </w:rPr>
        <w:t>accessed on 3 June 2024</w:t>
      </w:r>
    </w:p>
  </w:footnote>
  <w:footnote w:id="78">
    <w:p w14:paraId="0F905874" w14:textId="26BF18C8" w:rsidR="00460072" w:rsidRPr="003E572E" w:rsidRDefault="00460072" w:rsidP="006021B5">
      <w:pPr>
        <w:pStyle w:val="FootnoteText"/>
        <w:jc w:val="both"/>
        <w:rPr>
          <w:rFonts w:ascii="Arial" w:hAnsi="Arial" w:cs="Arial"/>
          <w:sz w:val="16"/>
          <w:szCs w:val="16"/>
          <w:lang w:val="en-GB"/>
        </w:rPr>
      </w:pPr>
      <w:r w:rsidRPr="007F4963">
        <w:rPr>
          <w:rStyle w:val="FootnoteReference"/>
          <w:rFonts w:ascii="Arial" w:hAnsi="Arial" w:cs="Arial"/>
          <w:sz w:val="16"/>
          <w:szCs w:val="16"/>
        </w:rPr>
        <w:footnoteRef/>
      </w:r>
      <w:r w:rsidRPr="007F4963">
        <w:rPr>
          <w:rFonts w:ascii="Arial" w:hAnsi="Arial" w:cs="Arial"/>
          <w:sz w:val="16"/>
          <w:szCs w:val="16"/>
        </w:rPr>
        <w:t xml:space="preserve"> </w:t>
      </w:r>
      <w:r w:rsidR="00B3573E" w:rsidRPr="007F4963">
        <w:rPr>
          <w:rFonts w:ascii="Arial" w:hAnsi="Arial" w:cs="Arial"/>
          <w:color w:val="808080" w:themeColor="background1" w:themeShade="80"/>
          <w:sz w:val="16"/>
          <w:szCs w:val="16"/>
          <w:lang w:val="en-GB"/>
        </w:rPr>
        <w:t>Companies Act (2023 Revision), s</w:t>
      </w:r>
      <w:r w:rsidRPr="007F4963">
        <w:rPr>
          <w:rFonts w:ascii="Arial" w:hAnsi="Arial" w:cs="Arial"/>
          <w:color w:val="808080" w:themeColor="background1" w:themeShade="80"/>
          <w:sz w:val="16"/>
          <w:szCs w:val="16"/>
          <w:lang w:val="en-GB"/>
        </w:rPr>
        <w:t>ection 225(1)(c)</w:t>
      </w:r>
    </w:p>
  </w:footnote>
  <w:footnote w:id="79">
    <w:p w14:paraId="1CAA788D" w14:textId="0ED2A1C4" w:rsidR="00460072" w:rsidRPr="00F835E4" w:rsidRDefault="0046007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6021B5"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226(5)</w:t>
      </w:r>
    </w:p>
  </w:footnote>
  <w:footnote w:id="80">
    <w:p w14:paraId="56B11E3A" w14:textId="2B35F910" w:rsidR="00460072" w:rsidRPr="00F835E4" w:rsidRDefault="0046007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6021B5"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226(6)(a)</w:t>
      </w:r>
    </w:p>
  </w:footnote>
  <w:footnote w:id="81">
    <w:p w14:paraId="61FF24C6" w14:textId="578736C2" w:rsidR="00D65A89" w:rsidRPr="00F835E4" w:rsidRDefault="00D65A89"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6021B5" w:rsidRPr="00F835E4">
        <w:rPr>
          <w:rFonts w:ascii="Arial" w:hAnsi="Arial" w:cs="Arial"/>
          <w:color w:val="808080" w:themeColor="background1" w:themeShade="80"/>
          <w:sz w:val="16"/>
          <w:szCs w:val="16"/>
          <w:lang w:val="en-GB"/>
        </w:rPr>
        <w:t>Ibid.</w:t>
      </w:r>
      <w:r w:rsidRPr="00F835E4">
        <w:rPr>
          <w:rFonts w:ascii="Arial" w:hAnsi="Arial" w:cs="Arial"/>
          <w:color w:val="808080" w:themeColor="background1" w:themeShade="80"/>
          <w:sz w:val="16"/>
          <w:szCs w:val="16"/>
          <w:lang w:val="en-GB"/>
        </w:rPr>
        <w:t>, section 224(3)(a)</w:t>
      </w:r>
    </w:p>
  </w:footnote>
  <w:footnote w:id="82">
    <w:p w14:paraId="1432B858" w14:textId="72B0A3BB" w:rsidR="00D65A89" w:rsidRPr="00F835E4" w:rsidRDefault="00D65A89"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6021B5" w:rsidRPr="00F835E4">
        <w:rPr>
          <w:rFonts w:ascii="Arial" w:hAnsi="Arial" w:cs="Arial"/>
          <w:color w:val="808080" w:themeColor="background1" w:themeShade="80"/>
          <w:sz w:val="16"/>
          <w:szCs w:val="16"/>
          <w:lang w:val="en-GB"/>
        </w:rPr>
        <w:t>Ibid.</w:t>
      </w:r>
      <w:r w:rsidRPr="00F835E4">
        <w:rPr>
          <w:rFonts w:ascii="Arial" w:hAnsi="Arial" w:cs="Arial"/>
          <w:color w:val="808080" w:themeColor="background1" w:themeShade="80"/>
          <w:sz w:val="16"/>
          <w:szCs w:val="16"/>
          <w:lang w:val="en-GB"/>
        </w:rPr>
        <w:t>, section 224(3)(b)</w:t>
      </w:r>
    </w:p>
  </w:footnote>
  <w:footnote w:id="83">
    <w:p w14:paraId="371BBA2E" w14:textId="33BD2823" w:rsidR="00C263DD" w:rsidRPr="00F835E4" w:rsidRDefault="00C263DD"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 xml:space="preserve">Walkers, “Directors’ Duties in the Zone of Insolvency: The Offshore Impact of Sequana”, </w:t>
      </w:r>
      <w:hyperlink r:id="rId17" w:history="1">
        <w:r w:rsidRPr="00F835E4">
          <w:rPr>
            <w:rStyle w:val="Hyperlink"/>
            <w:rFonts w:ascii="Arial" w:hAnsi="Arial" w:cs="Arial"/>
            <w:sz w:val="16"/>
            <w:szCs w:val="16"/>
            <w:lang w:val="en-GB"/>
          </w:rPr>
          <w:t>https://www.walkersglobal.com/images/Publications/Advisory/2022/Global/Sequana_final.pdf</w:t>
        </w:r>
      </w:hyperlink>
      <w:r w:rsidRPr="00F835E4">
        <w:rPr>
          <w:rFonts w:ascii="Arial" w:hAnsi="Arial" w:cs="Arial"/>
          <w:color w:val="808080" w:themeColor="background1" w:themeShade="80"/>
          <w:sz w:val="16"/>
          <w:szCs w:val="16"/>
          <w:lang w:val="en-GB"/>
        </w:rPr>
        <w:t xml:space="preserve">, published in October 2022, </w:t>
      </w:r>
      <w:r w:rsidRPr="00F835E4">
        <w:rPr>
          <w:rFonts w:ascii="Arial" w:hAnsi="Arial" w:cs="Arial"/>
          <w:color w:val="7B7B7B" w:themeColor="accent3" w:themeShade="BF"/>
          <w:sz w:val="16"/>
          <w:szCs w:val="16"/>
          <w:lang w:val="en-HK"/>
        </w:rPr>
        <w:t>accessed on 3 June 2024</w:t>
      </w:r>
    </w:p>
  </w:footnote>
  <w:footnote w:id="84">
    <w:p w14:paraId="38719C2F" w14:textId="3E209549" w:rsidR="00CD75B4" w:rsidRPr="00F835E4" w:rsidRDefault="00CD75B4"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Benjamin Tonner KC</w:t>
      </w:r>
      <w:r w:rsidRPr="00F835E4">
        <w:rPr>
          <w:rFonts w:ascii="Arial" w:hAnsi="Arial" w:cs="Arial"/>
          <w:color w:val="808080" w:themeColor="background1" w:themeShade="80"/>
          <w:sz w:val="16"/>
          <w:szCs w:val="16"/>
        </w:rPr>
        <w:t>,</w:t>
      </w:r>
      <w:r w:rsidRPr="00F835E4">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43</w:t>
      </w:r>
    </w:p>
  </w:footnote>
  <w:footnote w:id="85">
    <w:p w14:paraId="28846653" w14:textId="61B5EB27" w:rsidR="00F46E4E" w:rsidRPr="00F835E4" w:rsidRDefault="00F46E4E" w:rsidP="00F835E4">
      <w:pPr>
        <w:jc w:val="both"/>
        <w:rPr>
          <w:rFonts w:ascii="Arial" w:hAnsi="Arial" w:cs="Arial"/>
          <w:color w:val="808080" w:themeColor="background1" w:themeShade="80"/>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 xml:space="preserve">Carey Olsen, “The Legal 500 Restructuring &amp; Insolvency country comparative guide – Q&amp;A. Cayman Islands”, </w:t>
      </w:r>
      <w:hyperlink r:id="rId18" w:history="1">
        <w:r w:rsidRPr="00F835E4">
          <w:rPr>
            <w:rStyle w:val="Hyperlink"/>
            <w:rFonts w:ascii="Arial" w:hAnsi="Arial" w:cs="Arial"/>
            <w:sz w:val="16"/>
            <w:szCs w:val="16"/>
            <w:lang w:val="en-GB"/>
          </w:rPr>
          <w:t>https://www.careyolsen.com/sites/default/files/Cayman-Islands-restructuring-and-insolvency-country-comparative-guide.pdf</w:t>
        </w:r>
      </w:hyperlink>
      <w:r w:rsidRPr="00F835E4">
        <w:rPr>
          <w:rFonts w:ascii="Arial" w:hAnsi="Arial" w:cs="Arial"/>
          <w:color w:val="808080" w:themeColor="background1" w:themeShade="80"/>
          <w:sz w:val="16"/>
          <w:szCs w:val="16"/>
          <w:lang w:val="en-GB"/>
        </w:rPr>
        <w:t xml:space="preserve">, </w:t>
      </w:r>
      <w:r w:rsidR="00557DC2" w:rsidRPr="00F835E4">
        <w:rPr>
          <w:rFonts w:ascii="Arial" w:hAnsi="Arial" w:cs="Arial"/>
          <w:color w:val="808080" w:themeColor="background1" w:themeShade="80"/>
          <w:sz w:val="16"/>
          <w:szCs w:val="16"/>
          <w:lang w:val="en-GB"/>
        </w:rPr>
        <w:t>p 7,</w:t>
      </w:r>
      <w:r w:rsidRPr="00F835E4">
        <w:rPr>
          <w:rFonts w:ascii="Arial" w:hAnsi="Arial" w:cs="Arial"/>
          <w:color w:val="808080" w:themeColor="background1" w:themeShade="80"/>
          <w:sz w:val="16"/>
          <w:szCs w:val="16"/>
          <w:lang w:val="en-GB"/>
        </w:rPr>
        <w:t xml:space="preserve"> published in 2020, </w:t>
      </w:r>
      <w:r w:rsidRPr="00F835E4">
        <w:rPr>
          <w:rFonts w:ascii="Arial" w:hAnsi="Arial" w:cs="Arial"/>
          <w:color w:val="7B7B7B" w:themeColor="accent3" w:themeShade="BF"/>
          <w:sz w:val="16"/>
          <w:szCs w:val="16"/>
          <w:lang w:val="en-HK"/>
        </w:rPr>
        <w:t>accessed on 3 June 2024</w:t>
      </w:r>
    </w:p>
  </w:footnote>
  <w:footnote w:id="86">
    <w:p w14:paraId="2F197F37" w14:textId="622B65FC" w:rsidR="00433578" w:rsidRPr="00F835E4" w:rsidRDefault="00433578" w:rsidP="00F835E4">
      <w:pPr>
        <w:jc w:val="both"/>
        <w:rPr>
          <w:rFonts w:ascii="Arial" w:hAnsi="Arial" w:cs="Arial"/>
          <w:color w:val="7B7B7B" w:themeColor="accent3" w:themeShade="BF"/>
          <w:sz w:val="16"/>
          <w:szCs w:val="16"/>
          <w:lang w:val="en-HK"/>
        </w:rPr>
      </w:pPr>
      <w:r w:rsidRPr="00F835E4">
        <w:rPr>
          <w:rStyle w:val="FootnoteReference"/>
          <w:rFonts w:ascii="Arial" w:hAnsi="Arial" w:cs="Arial"/>
          <w:sz w:val="16"/>
          <w:szCs w:val="16"/>
        </w:rPr>
        <w:footnoteRef/>
      </w:r>
      <w:r w:rsidRPr="00F835E4">
        <w:rPr>
          <w:rFonts w:ascii="Arial" w:hAnsi="Arial" w:cs="Arial"/>
          <w:sz w:val="16"/>
          <w:szCs w:val="16"/>
        </w:rPr>
        <w:t xml:space="preserve"> </w:t>
      </w:r>
      <w:proofErr w:type="spellStart"/>
      <w:r w:rsidRPr="00F835E4">
        <w:rPr>
          <w:rFonts w:ascii="Arial" w:hAnsi="Arial" w:cs="Arial"/>
          <w:color w:val="808080" w:themeColor="background1" w:themeShade="80"/>
          <w:sz w:val="16"/>
          <w:szCs w:val="16"/>
          <w:lang w:val="en-GB"/>
        </w:rPr>
        <w:t>Harneys</w:t>
      </w:r>
      <w:proofErr w:type="spellEnd"/>
      <w:r w:rsidRPr="00F835E4">
        <w:rPr>
          <w:rFonts w:ascii="Arial" w:hAnsi="Arial" w:cs="Arial"/>
          <w:color w:val="808080" w:themeColor="background1" w:themeShade="80"/>
          <w:sz w:val="16"/>
          <w:szCs w:val="16"/>
          <w:lang w:val="en-GB"/>
        </w:rPr>
        <w:t xml:space="preserve">, Legal Guide, “Directors’ duties and obligations under Cayman Islands law”, </w:t>
      </w:r>
      <w:hyperlink r:id="rId19" w:history="1">
        <w:r w:rsidRPr="00F835E4">
          <w:rPr>
            <w:rStyle w:val="Hyperlink"/>
            <w:rFonts w:ascii="Arial" w:hAnsi="Arial" w:cs="Arial"/>
            <w:sz w:val="16"/>
            <w:szCs w:val="16"/>
            <w:lang w:val="en-GB"/>
          </w:rPr>
          <w:t>https://www.harneys.com/media/xbklsgg5/cayc15-directors-duties-_-obligations-under-cayman-islands-law-cayman-aug-23.pdf</w:t>
        </w:r>
      </w:hyperlink>
      <w:r w:rsidRPr="00F835E4">
        <w:rPr>
          <w:rFonts w:ascii="Arial" w:hAnsi="Arial" w:cs="Arial"/>
          <w:color w:val="808080" w:themeColor="background1" w:themeShade="80"/>
          <w:sz w:val="16"/>
          <w:szCs w:val="16"/>
          <w:lang w:val="en-GB"/>
        </w:rPr>
        <w:t>,</w:t>
      </w:r>
      <w:r w:rsidR="00557DC2" w:rsidRPr="00F835E4">
        <w:rPr>
          <w:rFonts w:ascii="Arial" w:hAnsi="Arial" w:cs="Arial"/>
          <w:color w:val="808080" w:themeColor="background1" w:themeShade="80"/>
          <w:sz w:val="16"/>
          <w:szCs w:val="16"/>
          <w:lang w:val="en-GB"/>
        </w:rPr>
        <w:t xml:space="preserve"> p 1,</w:t>
      </w:r>
      <w:r w:rsidRPr="00F835E4">
        <w:rPr>
          <w:rFonts w:ascii="Arial" w:hAnsi="Arial" w:cs="Arial"/>
          <w:color w:val="808080" w:themeColor="background1" w:themeShade="80"/>
          <w:sz w:val="16"/>
          <w:szCs w:val="16"/>
          <w:lang w:val="en-GB"/>
        </w:rPr>
        <w:t xml:space="preserve"> published in August 2023, </w:t>
      </w:r>
      <w:r w:rsidRPr="00F835E4">
        <w:rPr>
          <w:rFonts w:ascii="Arial" w:hAnsi="Arial" w:cs="Arial"/>
          <w:color w:val="7B7B7B" w:themeColor="accent3" w:themeShade="BF"/>
          <w:sz w:val="16"/>
          <w:szCs w:val="16"/>
          <w:lang w:val="en-HK"/>
        </w:rPr>
        <w:t>accessed on 3 June 2024</w:t>
      </w:r>
    </w:p>
  </w:footnote>
  <w:footnote w:id="87">
    <w:p w14:paraId="7FD7BCBA" w14:textId="3AD1D6B7" w:rsidR="00433578" w:rsidRPr="005565DB" w:rsidRDefault="00433578"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7B7B7B" w:themeColor="accent3" w:themeShade="BF"/>
          <w:sz w:val="16"/>
          <w:szCs w:val="16"/>
          <w:lang w:val="en-HK"/>
        </w:rPr>
        <w:t>Ibid.</w:t>
      </w:r>
    </w:p>
  </w:footnote>
  <w:footnote w:id="88">
    <w:p w14:paraId="1821D914" w14:textId="34217AE2" w:rsidR="001A2348" w:rsidRPr="00F835E4" w:rsidRDefault="001A2348"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Benjamin Tonner KC</w:t>
      </w:r>
      <w:r w:rsidRPr="00F835E4">
        <w:rPr>
          <w:rFonts w:ascii="Arial" w:hAnsi="Arial" w:cs="Arial"/>
          <w:color w:val="808080" w:themeColor="background1" w:themeShade="80"/>
          <w:sz w:val="16"/>
          <w:szCs w:val="16"/>
        </w:rPr>
        <w:t>,</w:t>
      </w:r>
      <w:r w:rsidRPr="00F835E4">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43</w:t>
      </w:r>
    </w:p>
  </w:footnote>
  <w:footnote w:id="89">
    <w:p w14:paraId="63B9EA33" w14:textId="39189AC9" w:rsidR="0078503C" w:rsidRPr="00F835E4" w:rsidRDefault="0078503C" w:rsidP="00F835E4">
      <w:pPr>
        <w:jc w:val="both"/>
        <w:rPr>
          <w:rFonts w:ascii="Arial" w:hAnsi="Arial" w:cs="Arial"/>
          <w:color w:val="808080" w:themeColor="background1" w:themeShade="80"/>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1990-91 CILR 171</w:t>
      </w:r>
    </w:p>
  </w:footnote>
  <w:footnote w:id="90">
    <w:p w14:paraId="22200A83" w14:textId="3C189E73" w:rsidR="001C1F56" w:rsidRPr="00F835E4" w:rsidRDefault="001C1F56"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Pr="00F835E4">
        <w:rPr>
          <w:rFonts w:ascii="Arial" w:hAnsi="Arial" w:cs="Arial"/>
          <w:color w:val="808080" w:themeColor="background1" w:themeShade="80"/>
          <w:sz w:val="16"/>
          <w:szCs w:val="16"/>
          <w:lang w:val="en-GB"/>
        </w:rPr>
        <w:t xml:space="preserve"> 203</w:t>
      </w:r>
    </w:p>
  </w:footnote>
  <w:footnote w:id="91">
    <w:p w14:paraId="710045D5" w14:textId="00EE6D5C" w:rsidR="0078503C" w:rsidRPr="00F835E4" w:rsidRDefault="0078503C"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p>
  </w:footnote>
  <w:footnote w:id="92">
    <w:p w14:paraId="25B671BE" w14:textId="16A988B6" w:rsidR="00B006A2" w:rsidRPr="00F835E4" w:rsidRDefault="00B006A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p>
  </w:footnote>
  <w:footnote w:id="93">
    <w:p w14:paraId="272F0A9F" w14:textId="074EC7FC" w:rsidR="00D863BC" w:rsidRPr="00F835E4" w:rsidRDefault="00D863BC"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Benjamin Tonner KC</w:t>
      </w:r>
      <w:r w:rsidRPr="00F835E4">
        <w:rPr>
          <w:rFonts w:ascii="Arial" w:hAnsi="Arial" w:cs="Arial"/>
          <w:color w:val="808080" w:themeColor="background1" w:themeShade="80"/>
          <w:sz w:val="16"/>
          <w:szCs w:val="16"/>
        </w:rPr>
        <w:t>,</w:t>
      </w:r>
      <w:r w:rsidRPr="00F835E4">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43</w:t>
      </w:r>
    </w:p>
  </w:footnote>
  <w:footnote w:id="94">
    <w:p w14:paraId="63320F82" w14:textId="77777777" w:rsidR="00566A62" w:rsidRPr="00F835E4" w:rsidRDefault="00566A6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Companies Act (2023 Revision), section 99</w:t>
      </w:r>
    </w:p>
  </w:footnote>
  <w:footnote w:id="95">
    <w:p w14:paraId="1289CA2B" w14:textId="77777777" w:rsidR="00566A62" w:rsidRPr="00F835E4" w:rsidRDefault="00566A6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Benjamin Tonner KC</w:t>
      </w:r>
      <w:r w:rsidRPr="00F835E4">
        <w:rPr>
          <w:rFonts w:ascii="Arial" w:hAnsi="Arial" w:cs="Arial"/>
          <w:color w:val="808080" w:themeColor="background1" w:themeShade="80"/>
          <w:sz w:val="16"/>
          <w:szCs w:val="16"/>
        </w:rPr>
        <w:t>,</w:t>
      </w:r>
      <w:r w:rsidRPr="00F835E4">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41</w:t>
      </w:r>
    </w:p>
  </w:footnote>
  <w:footnote w:id="96">
    <w:p w14:paraId="4B1D823A" w14:textId="77777777" w:rsidR="00566A62" w:rsidRPr="001270FA" w:rsidRDefault="00566A6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 xml:space="preserve">Carey Olsen, “The Legal 500 Restructuring &amp; Insolvency country comparative guide – Q&amp;A. Cayman Islands”, </w:t>
      </w:r>
      <w:hyperlink r:id="rId20" w:history="1">
        <w:r w:rsidRPr="00F835E4">
          <w:rPr>
            <w:rStyle w:val="Hyperlink"/>
            <w:rFonts w:ascii="Arial" w:hAnsi="Arial" w:cs="Arial"/>
            <w:sz w:val="16"/>
            <w:szCs w:val="16"/>
            <w:lang w:val="en-GB"/>
          </w:rPr>
          <w:t>https://www.careyolsen.com/sites/default/files/Cayman-Islands-restructuring-and-insolvency-country-comparative-guide.pdf</w:t>
        </w:r>
      </w:hyperlink>
      <w:r w:rsidRPr="00F835E4">
        <w:rPr>
          <w:rFonts w:ascii="Arial" w:hAnsi="Arial" w:cs="Arial"/>
          <w:color w:val="808080" w:themeColor="background1" w:themeShade="80"/>
          <w:sz w:val="16"/>
          <w:szCs w:val="16"/>
          <w:lang w:val="en-GB"/>
        </w:rPr>
        <w:t xml:space="preserve">,  published in 2020, </w:t>
      </w:r>
      <w:r w:rsidRPr="00F835E4">
        <w:rPr>
          <w:rFonts w:ascii="Arial" w:hAnsi="Arial" w:cs="Arial"/>
          <w:color w:val="7B7B7B" w:themeColor="accent3" w:themeShade="BF"/>
          <w:sz w:val="16"/>
          <w:szCs w:val="16"/>
          <w:lang w:val="en-HK"/>
        </w:rPr>
        <w:t>accessed on 3 June 2024</w:t>
      </w:r>
    </w:p>
  </w:footnote>
  <w:footnote w:id="97">
    <w:p w14:paraId="4DA2ADB2" w14:textId="56D97879" w:rsidR="00743D46" w:rsidRPr="00F835E4" w:rsidRDefault="00743D46"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B3573E" w:rsidRPr="00F835E4">
        <w:rPr>
          <w:rFonts w:ascii="Arial" w:hAnsi="Arial" w:cs="Arial"/>
          <w:color w:val="808080" w:themeColor="background1" w:themeShade="80"/>
          <w:sz w:val="16"/>
          <w:szCs w:val="16"/>
          <w:lang w:val="en-GB"/>
        </w:rPr>
        <w:t>Companies Act (2023 Revision), s</w:t>
      </w:r>
      <w:r w:rsidRPr="00F835E4">
        <w:rPr>
          <w:rFonts w:ascii="Arial" w:hAnsi="Arial" w:cs="Arial"/>
          <w:color w:val="808080" w:themeColor="background1" w:themeShade="80"/>
          <w:sz w:val="16"/>
          <w:szCs w:val="16"/>
          <w:lang w:val="en-GB"/>
        </w:rPr>
        <w:t>ection 145(1)</w:t>
      </w:r>
    </w:p>
  </w:footnote>
  <w:footnote w:id="98">
    <w:p w14:paraId="5BE45C0A" w14:textId="3B5C3B4B" w:rsidR="00272BD8" w:rsidRPr="00F835E4" w:rsidRDefault="00272BD8"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145(2)</w:t>
      </w:r>
    </w:p>
  </w:footnote>
  <w:footnote w:id="99">
    <w:p w14:paraId="4D3F3EE7" w14:textId="44290D56" w:rsidR="00272BD8" w:rsidRPr="00F835E4" w:rsidRDefault="00272BD8"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145(3)</w:t>
      </w:r>
    </w:p>
  </w:footnote>
  <w:footnote w:id="100">
    <w:p w14:paraId="46E59BAF" w14:textId="77777777" w:rsidR="009B02D1" w:rsidRPr="00F835E4" w:rsidRDefault="009B02D1"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Benjamin Tonner KC</w:t>
      </w:r>
      <w:r w:rsidRPr="00F835E4">
        <w:rPr>
          <w:rFonts w:ascii="Arial" w:hAnsi="Arial" w:cs="Arial"/>
          <w:color w:val="808080" w:themeColor="background1" w:themeShade="80"/>
          <w:sz w:val="16"/>
          <w:szCs w:val="16"/>
        </w:rPr>
        <w:t>,</w:t>
      </w:r>
      <w:r w:rsidRPr="00F835E4">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42</w:t>
      </w:r>
    </w:p>
  </w:footnote>
  <w:footnote w:id="101">
    <w:p w14:paraId="313C457C" w14:textId="4B5F75A8" w:rsidR="001D5D9C" w:rsidRPr="00F835E4" w:rsidRDefault="001D5D9C" w:rsidP="00F835E4">
      <w:pPr>
        <w:jc w:val="both"/>
        <w:rPr>
          <w:rFonts w:ascii="Arial" w:hAnsi="Arial" w:cs="Arial"/>
          <w:color w:val="808080" w:themeColor="background1" w:themeShade="80"/>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 xml:space="preserve">Nick Hoffman, </w:t>
      </w:r>
      <w:proofErr w:type="spellStart"/>
      <w:r w:rsidRPr="00F835E4">
        <w:rPr>
          <w:rFonts w:ascii="Arial" w:hAnsi="Arial" w:cs="Arial"/>
          <w:color w:val="808080" w:themeColor="background1" w:themeShade="80"/>
          <w:sz w:val="16"/>
          <w:szCs w:val="16"/>
          <w:lang w:val="en-GB"/>
        </w:rPr>
        <w:t>Harneys</w:t>
      </w:r>
      <w:proofErr w:type="spellEnd"/>
      <w:r w:rsidRPr="00F835E4">
        <w:rPr>
          <w:rFonts w:ascii="Arial" w:hAnsi="Arial" w:cs="Arial"/>
          <w:color w:val="808080" w:themeColor="background1" w:themeShade="80"/>
          <w:sz w:val="16"/>
          <w:szCs w:val="16"/>
          <w:lang w:val="en-GB"/>
        </w:rPr>
        <w:t xml:space="preserve">, “Transaction avoidance in the Cayman Islands insolvency context: Voidable preferences under s145 of the Companies Act”, </w:t>
      </w:r>
      <w:hyperlink r:id="rId21" w:history="1">
        <w:r w:rsidRPr="00F835E4">
          <w:rPr>
            <w:rStyle w:val="Hyperlink"/>
            <w:rFonts w:ascii="Arial" w:hAnsi="Arial" w:cs="Arial"/>
            <w:sz w:val="16"/>
            <w:szCs w:val="16"/>
            <w:lang w:val="en-GB"/>
          </w:rPr>
          <w:t>https://www.harneys.com/insights/transaction-avoidance-in-the-cayman-islands-insolvency-context-voidable-preferences-under-s145-of-the-companies-act/</w:t>
        </w:r>
      </w:hyperlink>
      <w:r w:rsidRPr="00F835E4">
        <w:rPr>
          <w:rFonts w:ascii="Arial" w:hAnsi="Arial" w:cs="Arial"/>
          <w:color w:val="808080" w:themeColor="background1" w:themeShade="80"/>
          <w:sz w:val="16"/>
          <w:szCs w:val="16"/>
          <w:lang w:val="en-GB"/>
        </w:rPr>
        <w:t xml:space="preserve">, published </w:t>
      </w:r>
      <w:r w:rsidR="008C4219" w:rsidRPr="00F835E4">
        <w:rPr>
          <w:rFonts w:ascii="Arial" w:hAnsi="Arial" w:cs="Arial"/>
          <w:color w:val="808080" w:themeColor="background1" w:themeShade="80"/>
          <w:sz w:val="16"/>
          <w:szCs w:val="16"/>
          <w:lang w:val="en-GB"/>
        </w:rPr>
        <w:t>o</w:t>
      </w:r>
      <w:r w:rsidRPr="00F835E4">
        <w:rPr>
          <w:rFonts w:ascii="Arial" w:hAnsi="Arial" w:cs="Arial"/>
          <w:color w:val="808080" w:themeColor="background1" w:themeShade="80"/>
          <w:sz w:val="16"/>
          <w:szCs w:val="16"/>
          <w:lang w:val="en-GB"/>
        </w:rPr>
        <w:t xml:space="preserve">n 30 September 2021, </w:t>
      </w:r>
      <w:r w:rsidRPr="00F835E4">
        <w:rPr>
          <w:rFonts w:ascii="Arial" w:hAnsi="Arial" w:cs="Arial"/>
          <w:color w:val="7B7B7B" w:themeColor="accent3" w:themeShade="BF"/>
          <w:sz w:val="16"/>
          <w:szCs w:val="16"/>
          <w:lang w:val="en-HK"/>
        </w:rPr>
        <w:t>accessed on 3 June 2024</w:t>
      </w:r>
    </w:p>
  </w:footnote>
  <w:footnote w:id="102">
    <w:p w14:paraId="71926256" w14:textId="77777777" w:rsidR="009B02D1" w:rsidRPr="00F835E4" w:rsidRDefault="009B02D1"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Benjamin Tonner KC</w:t>
      </w:r>
      <w:r w:rsidRPr="00F835E4">
        <w:rPr>
          <w:rFonts w:ascii="Arial" w:hAnsi="Arial" w:cs="Arial"/>
          <w:color w:val="808080" w:themeColor="background1" w:themeShade="80"/>
          <w:sz w:val="16"/>
          <w:szCs w:val="16"/>
        </w:rPr>
        <w:t>,</w:t>
      </w:r>
      <w:r w:rsidRPr="00F835E4">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42</w:t>
      </w:r>
    </w:p>
  </w:footnote>
  <w:footnote w:id="103">
    <w:p w14:paraId="3B019035" w14:textId="205D4397" w:rsidR="00160095" w:rsidRPr="00F835E4" w:rsidRDefault="00160095" w:rsidP="00F835E4">
      <w:pPr>
        <w:jc w:val="both"/>
        <w:rPr>
          <w:rFonts w:ascii="Arial" w:hAnsi="Arial" w:cs="Arial"/>
          <w:color w:val="808080" w:themeColor="background1" w:themeShade="80"/>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[2019] UKPC 36</w:t>
      </w:r>
    </w:p>
  </w:footnote>
  <w:footnote w:id="104">
    <w:p w14:paraId="67206330" w14:textId="00EA0126" w:rsidR="00F021F0" w:rsidRPr="00F835E4" w:rsidRDefault="00F021F0"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 xml:space="preserve">Ibid., </w:t>
      </w:r>
      <w:r w:rsidRPr="00F835E4">
        <w:rPr>
          <w:rFonts w:ascii="Arial" w:hAnsi="Arial" w:cs="Arial"/>
          <w:color w:val="808080" w:themeColor="background1" w:themeShade="80"/>
          <w:sz w:val="16"/>
          <w:szCs w:val="16"/>
          <w:lang w:val="en-GB"/>
        </w:rPr>
        <w:t>paragraph 2</w:t>
      </w:r>
    </w:p>
  </w:footnote>
  <w:footnote w:id="105">
    <w:p w14:paraId="72AFDCC9" w14:textId="034EBD83" w:rsidR="00D83A13" w:rsidRPr="00F835E4" w:rsidRDefault="00D83A13" w:rsidP="00F835E4">
      <w:pPr>
        <w:jc w:val="both"/>
        <w:rPr>
          <w:rFonts w:ascii="Arial" w:hAnsi="Arial" w:cs="Arial"/>
          <w:color w:val="808080" w:themeColor="background1" w:themeShade="80"/>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Maples Group, Analysis &amp; Insights, “</w:t>
      </w:r>
      <w:proofErr w:type="spellStart"/>
      <w:r w:rsidRPr="00F835E4">
        <w:rPr>
          <w:rFonts w:ascii="Arial" w:hAnsi="Arial" w:cs="Arial"/>
          <w:color w:val="808080" w:themeColor="background1" w:themeShade="80"/>
          <w:sz w:val="16"/>
          <w:szCs w:val="16"/>
          <w:lang w:val="en-GB"/>
        </w:rPr>
        <w:t>Weavering</w:t>
      </w:r>
      <w:proofErr w:type="spellEnd"/>
      <w:r w:rsidRPr="00F835E4">
        <w:rPr>
          <w:rFonts w:ascii="Arial" w:hAnsi="Arial" w:cs="Arial"/>
          <w:color w:val="808080" w:themeColor="background1" w:themeShade="80"/>
          <w:sz w:val="16"/>
          <w:szCs w:val="16"/>
          <w:lang w:val="en-GB"/>
        </w:rPr>
        <w:t xml:space="preserve">: Cayman Islands Clawbacks and Investor Certainty”, </w:t>
      </w:r>
      <w:hyperlink r:id="rId22" w:history="1">
        <w:r w:rsidRPr="00F835E4">
          <w:rPr>
            <w:rStyle w:val="Hyperlink"/>
            <w:rFonts w:ascii="Arial" w:hAnsi="Arial" w:cs="Arial"/>
            <w:sz w:val="16"/>
            <w:szCs w:val="16"/>
            <w:lang w:val="en-GB"/>
          </w:rPr>
          <w:t>https://maples.com/en/knowledge-centre/2019/8/weavering-cayman-islands-clawbacks-and-investor-certainty</w:t>
        </w:r>
      </w:hyperlink>
      <w:r w:rsidRPr="00F835E4">
        <w:rPr>
          <w:rFonts w:ascii="Arial" w:hAnsi="Arial" w:cs="Arial"/>
          <w:color w:val="808080" w:themeColor="background1" w:themeShade="80"/>
          <w:sz w:val="16"/>
          <w:szCs w:val="16"/>
          <w:lang w:val="en-GB"/>
        </w:rPr>
        <w:t xml:space="preserve">, published on 8 August 2019,  </w:t>
      </w:r>
      <w:r w:rsidRPr="00F835E4">
        <w:rPr>
          <w:rFonts w:ascii="Arial" w:hAnsi="Arial" w:cs="Arial"/>
          <w:color w:val="7B7B7B" w:themeColor="accent3" w:themeShade="BF"/>
          <w:sz w:val="16"/>
          <w:szCs w:val="16"/>
          <w:lang w:val="en-HK"/>
        </w:rPr>
        <w:t>accessed on 3 June 2024</w:t>
      </w:r>
    </w:p>
  </w:footnote>
  <w:footnote w:id="106">
    <w:p w14:paraId="26C6FC08" w14:textId="785C3BAB" w:rsidR="008A7322" w:rsidRPr="00F835E4" w:rsidRDefault="008A732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[2019] UKPC 36</w:t>
      </w:r>
      <w:r w:rsidR="001270FA" w:rsidRPr="00F835E4">
        <w:rPr>
          <w:rFonts w:ascii="Arial" w:hAnsi="Arial" w:cs="Arial"/>
          <w:color w:val="808080" w:themeColor="background1" w:themeShade="80"/>
          <w:sz w:val="16"/>
          <w:szCs w:val="16"/>
          <w:lang w:val="en-GB"/>
        </w:rPr>
        <w:t xml:space="preserve">, </w:t>
      </w:r>
      <w:r w:rsidRPr="00F835E4">
        <w:rPr>
          <w:rFonts w:ascii="Arial" w:hAnsi="Arial" w:cs="Arial"/>
          <w:color w:val="808080" w:themeColor="background1" w:themeShade="80"/>
          <w:sz w:val="16"/>
          <w:szCs w:val="16"/>
          <w:lang w:val="en-GB"/>
        </w:rPr>
        <w:t>paragraph 80</w:t>
      </w:r>
    </w:p>
  </w:footnote>
  <w:footnote w:id="107">
    <w:p w14:paraId="70C19E5B" w14:textId="614BDAA2" w:rsidR="009B02D1" w:rsidRPr="005565DB" w:rsidRDefault="009B02D1"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Benjamin Tonner KC</w:t>
      </w:r>
      <w:r w:rsidRPr="00F835E4">
        <w:rPr>
          <w:rFonts w:ascii="Arial" w:hAnsi="Arial" w:cs="Arial"/>
          <w:color w:val="808080" w:themeColor="background1" w:themeShade="80"/>
          <w:sz w:val="16"/>
          <w:szCs w:val="16"/>
        </w:rPr>
        <w:t>,</w:t>
      </w:r>
      <w:r w:rsidRPr="00F835E4">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42</w:t>
      </w:r>
    </w:p>
  </w:footnote>
  <w:footnote w:id="108">
    <w:p w14:paraId="290F1D5F" w14:textId="568CFA23" w:rsidR="005952E1" w:rsidRPr="00F835E4" w:rsidRDefault="005952E1"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B3573E" w:rsidRPr="00F835E4">
        <w:rPr>
          <w:rFonts w:ascii="Arial" w:hAnsi="Arial" w:cs="Arial"/>
          <w:color w:val="808080" w:themeColor="background1" w:themeShade="80"/>
          <w:sz w:val="16"/>
          <w:szCs w:val="16"/>
          <w:lang w:val="en-GB"/>
        </w:rPr>
        <w:t>Companies Act (2023 Revision), s</w:t>
      </w:r>
      <w:r w:rsidRPr="00F835E4">
        <w:rPr>
          <w:rFonts w:ascii="Arial" w:hAnsi="Arial" w:cs="Arial"/>
          <w:color w:val="808080" w:themeColor="background1" w:themeShade="80"/>
          <w:sz w:val="16"/>
          <w:szCs w:val="16"/>
          <w:lang w:val="en-GB"/>
        </w:rPr>
        <w:t>ection 146(2)</w:t>
      </w:r>
    </w:p>
  </w:footnote>
  <w:footnote w:id="109">
    <w:p w14:paraId="2FFF3DB1" w14:textId="01419996" w:rsidR="00CB2322" w:rsidRPr="00F835E4" w:rsidRDefault="00CB232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146(1)(e)</w:t>
      </w:r>
    </w:p>
  </w:footnote>
  <w:footnote w:id="110">
    <w:p w14:paraId="4D790134" w14:textId="7F8CC43A" w:rsidR="005952E1" w:rsidRPr="00F835E4" w:rsidRDefault="005952E1"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146(3)</w:t>
      </w:r>
    </w:p>
  </w:footnote>
  <w:footnote w:id="111">
    <w:p w14:paraId="2188D1C1" w14:textId="07E1D4EF" w:rsidR="005952E1" w:rsidRPr="00F835E4" w:rsidRDefault="005952E1"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146(4)</w:t>
      </w:r>
    </w:p>
  </w:footnote>
  <w:footnote w:id="112">
    <w:p w14:paraId="290E6661" w14:textId="5ADF1625" w:rsidR="001561E9" w:rsidRPr="00F835E4" w:rsidRDefault="001561E9"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146(5)(a)</w:t>
      </w:r>
    </w:p>
  </w:footnote>
  <w:footnote w:id="113">
    <w:p w14:paraId="575302F7" w14:textId="10658421" w:rsidR="001561E9" w:rsidRPr="00F835E4" w:rsidRDefault="001561E9"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00B3573E" w:rsidRPr="00F835E4">
        <w:rPr>
          <w:rFonts w:ascii="Arial" w:hAnsi="Arial" w:cs="Arial"/>
          <w:color w:val="808080" w:themeColor="background1" w:themeShade="80"/>
          <w:sz w:val="16"/>
          <w:szCs w:val="16"/>
          <w:lang w:val="en-GB"/>
        </w:rPr>
        <w:t>, s</w:t>
      </w:r>
      <w:r w:rsidRPr="00F835E4">
        <w:rPr>
          <w:rFonts w:ascii="Arial" w:hAnsi="Arial" w:cs="Arial"/>
          <w:color w:val="808080" w:themeColor="background1" w:themeShade="80"/>
          <w:sz w:val="16"/>
          <w:szCs w:val="16"/>
          <w:lang w:val="en-GB"/>
        </w:rPr>
        <w:t>ection 146(5)(b)</w:t>
      </w:r>
    </w:p>
  </w:footnote>
  <w:footnote w:id="114">
    <w:p w14:paraId="47035203" w14:textId="6CE03BCB" w:rsidR="001561E9" w:rsidRPr="00F835E4" w:rsidRDefault="001561E9" w:rsidP="00F835E4">
      <w:pPr>
        <w:jc w:val="both"/>
        <w:rPr>
          <w:rFonts w:ascii="Arial" w:hAnsi="Arial" w:cs="Arial"/>
          <w:color w:val="808080" w:themeColor="background1" w:themeShade="80"/>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 xml:space="preserve">Nick Hoffman and Rhiannon </w:t>
      </w:r>
      <w:proofErr w:type="spellStart"/>
      <w:r w:rsidRPr="00F835E4">
        <w:rPr>
          <w:rFonts w:ascii="Arial" w:hAnsi="Arial" w:cs="Arial"/>
          <w:color w:val="808080" w:themeColor="background1" w:themeShade="80"/>
          <w:sz w:val="16"/>
          <w:szCs w:val="16"/>
          <w:lang w:val="en-GB"/>
        </w:rPr>
        <w:t>Zanetic</w:t>
      </w:r>
      <w:proofErr w:type="spellEnd"/>
      <w:r w:rsidRPr="00F835E4">
        <w:rPr>
          <w:rFonts w:ascii="Arial" w:hAnsi="Arial" w:cs="Arial"/>
          <w:color w:val="808080" w:themeColor="background1" w:themeShade="80"/>
          <w:sz w:val="16"/>
          <w:szCs w:val="16"/>
          <w:lang w:val="en-GB"/>
        </w:rPr>
        <w:t xml:space="preserve">, </w:t>
      </w:r>
      <w:proofErr w:type="spellStart"/>
      <w:r w:rsidRPr="00F835E4">
        <w:rPr>
          <w:rFonts w:ascii="Arial" w:hAnsi="Arial" w:cs="Arial"/>
          <w:color w:val="808080" w:themeColor="background1" w:themeShade="80"/>
          <w:sz w:val="16"/>
          <w:szCs w:val="16"/>
          <w:lang w:val="en-GB"/>
        </w:rPr>
        <w:t>Harneys</w:t>
      </w:r>
      <w:proofErr w:type="spellEnd"/>
      <w:r w:rsidRPr="00F835E4">
        <w:rPr>
          <w:rFonts w:ascii="Arial" w:hAnsi="Arial" w:cs="Arial"/>
          <w:color w:val="808080" w:themeColor="background1" w:themeShade="80"/>
          <w:sz w:val="16"/>
          <w:szCs w:val="16"/>
          <w:lang w:val="en-GB"/>
        </w:rPr>
        <w:t xml:space="preserve">, “Transaction Avoidance in the Cayman Islands Insolvency context: Dispositions at an undervalue - Section 146 of the Companies Act”, </w:t>
      </w:r>
      <w:hyperlink r:id="rId23" w:history="1">
        <w:r w:rsidRPr="00F835E4">
          <w:rPr>
            <w:rStyle w:val="Hyperlink"/>
            <w:rFonts w:ascii="Arial" w:hAnsi="Arial" w:cs="Arial"/>
            <w:sz w:val="16"/>
            <w:szCs w:val="16"/>
            <w:lang w:val="en-GB"/>
          </w:rPr>
          <w:t>https://www.harneys.com/insights/transaction-avoidance-in-the-cayman-islands-insolvency-context-dispositions-at-an-undervalue-section-146-of-the-companies-act/</w:t>
        </w:r>
      </w:hyperlink>
      <w:r w:rsidRPr="00F835E4">
        <w:rPr>
          <w:rFonts w:ascii="Arial" w:hAnsi="Arial" w:cs="Arial"/>
          <w:color w:val="808080" w:themeColor="background1" w:themeShade="80"/>
          <w:sz w:val="16"/>
          <w:szCs w:val="16"/>
          <w:lang w:val="en-GB"/>
        </w:rPr>
        <w:t xml:space="preserve">, published on 30 May 2022, </w:t>
      </w:r>
      <w:r w:rsidRPr="00F835E4">
        <w:rPr>
          <w:rFonts w:ascii="Arial" w:hAnsi="Arial" w:cs="Arial"/>
          <w:color w:val="7B7B7B" w:themeColor="accent3" w:themeShade="BF"/>
          <w:sz w:val="16"/>
          <w:szCs w:val="16"/>
          <w:lang w:val="en-HK"/>
        </w:rPr>
        <w:t>accessed on 3 June 2024</w:t>
      </w:r>
    </w:p>
  </w:footnote>
  <w:footnote w:id="115">
    <w:p w14:paraId="38A2AD55" w14:textId="77777777" w:rsidR="00566A62" w:rsidRPr="00F835E4" w:rsidRDefault="00566A6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Companies Act (2023 Revision), section 147(1)</w:t>
      </w:r>
    </w:p>
  </w:footnote>
  <w:footnote w:id="116">
    <w:p w14:paraId="53E07676" w14:textId="4E0D085D" w:rsidR="00566A62" w:rsidRPr="005565DB" w:rsidRDefault="00566A62" w:rsidP="00F835E4">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001270FA" w:rsidRPr="00F835E4">
        <w:rPr>
          <w:rFonts w:ascii="Arial" w:hAnsi="Arial" w:cs="Arial"/>
          <w:color w:val="808080" w:themeColor="background1" w:themeShade="80"/>
          <w:sz w:val="16"/>
          <w:szCs w:val="16"/>
          <w:lang w:val="en-GB"/>
        </w:rPr>
        <w:t>Ibid.</w:t>
      </w:r>
      <w:r w:rsidRPr="00F835E4">
        <w:rPr>
          <w:rFonts w:ascii="Arial" w:hAnsi="Arial" w:cs="Arial"/>
          <w:color w:val="808080" w:themeColor="background1" w:themeShade="80"/>
          <w:sz w:val="16"/>
          <w:szCs w:val="16"/>
          <w:lang w:val="en-GB"/>
        </w:rPr>
        <w:t>, section 147(2)</w:t>
      </w:r>
    </w:p>
  </w:footnote>
  <w:footnote w:id="117">
    <w:p w14:paraId="7C970104" w14:textId="77777777" w:rsidR="005565DB" w:rsidRPr="00F835E4" w:rsidRDefault="005565DB" w:rsidP="005565DB">
      <w:pPr>
        <w:pStyle w:val="FootnoteText"/>
        <w:jc w:val="both"/>
        <w:rPr>
          <w:rFonts w:ascii="Arial" w:hAnsi="Arial" w:cs="Arial"/>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 xml:space="preserve">Nick Hoffman and Rhiannon </w:t>
      </w:r>
      <w:proofErr w:type="spellStart"/>
      <w:r w:rsidRPr="00F835E4">
        <w:rPr>
          <w:rFonts w:ascii="Arial" w:hAnsi="Arial" w:cs="Arial"/>
          <w:color w:val="808080" w:themeColor="background1" w:themeShade="80"/>
          <w:sz w:val="16"/>
          <w:szCs w:val="16"/>
          <w:lang w:val="en-GB"/>
        </w:rPr>
        <w:t>Zanetic</w:t>
      </w:r>
      <w:proofErr w:type="spellEnd"/>
      <w:r w:rsidRPr="00F835E4">
        <w:rPr>
          <w:rFonts w:ascii="Arial" w:hAnsi="Arial" w:cs="Arial"/>
          <w:color w:val="808080" w:themeColor="background1" w:themeShade="80"/>
          <w:sz w:val="16"/>
          <w:szCs w:val="16"/>
          <w:lang w:val="en-GB"/>
        </w:rPr>
        <w:t xml:space="preserve">, </w:t>
      </w:r>
      <w:proofErr w:type="spellStart"/>
      <w:r w:rsidRPr="00F835E4">
        <w:rPr>
          <w:rFonts w:ascii="Arial" w:hAnsi="Arial" w:cs="Arial"/>
          <w:color w:val="808080" w:themeColor="background1" w:themeShade="80"/>
          <w:sz w:val="16"/>
          <w:szCs w:val="16"/>
          <w:lang w:val="en-GB"/>
        </w:rPr>
        <w:t>Harneys</w:t>
      </w:r>
      <w:proofErr w:type="spellEnd"/>
      <w:r w:rsidRPr="00F835E4">
        <w:rPr>
          <w:rFonts w:ascii="Arial" w:hAnsi="Arial" w:cs="Arial"/>
          <w:color w:val="808080" w:themeColor="background1" w:themeShade="80"/>
          <w:sz w:val="16"/>
          <w:szCs w:val="16"/>
          <w:lang w:val="en-GB"/>
        </w:rPr>
        <w:t xml:space="preserve">, “Transaction Avoidance in the Cayman Islands Insolvency context: Dispositions at an undervalue - Section 146 of the Companies Act”, </w:t>
      </w:r>
      <w:hyperlink r:id="rId24" w:history="1">
        <w:r w:rsidRPr="00F835E4">
          <w:rPr>
            <w:rStyle w:val="Hyperlink"/>
            <w:rFonts w:ascii="Arial" w:hAnsi="Arial" w:cs="Arial"/>
            <w:sz w:val="16"/>
            <w:szCs w:val="16"/>
            <w:lang w:val="en-GB"/>
          </w:rPr>
          <w:t>https://www.harneys.com/insights/transaction-avoidance-in-the-cayman-islands-insolvency-context-dispositions-at-an-undervalue-section-146-of-the-companies-act/</w:t>
        </w:r>
      </w:hyperlink>
      <w:r w:rsidRPr="00F835E4">
        <w:rPr>
          <w:rFonts w:ascii="Arial" w:hAnsi="Arial" w:cs="Arial"/>
          <w:color w:val="808080" w:themeColor="background1" w:themeShade="80"/>
          <w:sz w:val="16"/>
          <w:szCs w:val="16"/>
          <w:lang w:val="en-GB"/>
        </w:rPr>
        <w:t xml:space="preserve">, published on 30 May 2022, </w:t>
      </w:r>
      <w:r w:rsidRPr="00F835E4">
        <w:rPr>
          <w:rFonts w:ascii="Arial" w:hAnsi="Arial" w:cs="Arial"/>
          <w:color w:val="7B7B7B" w:themeColor="accent3" w:themeShade="BF"/>
          <w:sz w:val="16"/>
          <w:szCs w:val="16"/>
          <w:lang w:val="en-HK"/>
        </w:rPr>
        <w:t>accessed on 3 June 2024</w:t>
      </w:r>
    </w:p>
  </w:footnote>
  <w:footnote w:id="118">
    <w:p w14:paraId="75F61860" w14:textId="2F88158C" w:rsidR="00F46E4E" w:rsidRPr="00F46E4E" w:rsidRDefault="00F46E4E" w:rsidP="005565DB">
      <w:pPr>
        <w:jc w:val="both"/>
        <w:rPr>
          <w:rFonts w:ascii="Arial" w:hAnsi="Arial" w:cs="Arial"/>
          <w:color w:val="808080" w:themeColor="background1" w:themeShade="80"/>
          <w:sz w:val="16"/>
          <w:szCs w:val="16"/>
          <w:lang w:val="en-GB"/>
        </w:rPr>
      </w:pPr>
      <w:r w:rsidRPr="00F835E4">
        <w:rPr>
          <w:rStyle w:val="FootnoteReference"/>
          <w:rFonts w:ascii="Arial" w:hAnsi="Arial" w:cs="Arial"/>
          <w:sz w:val="16"/>
          <w:szCs w:val="16"/>
        </w:rPr>
        <w:footnoteRef/>
      </w:r>
      <w:r w:rsidRPr="00F835E4">
        <w:rPr>
          <w:rFonts w:ascii="Arial" w:hAnsi="Arial" w:cs="Arial"/>
          <w:sz w:val="16"/>
          <w:szCs w:val="16"/>
        </w:rPr>
        <w:t xml:space="preserve"> </w:t>
      </w:r>
      <w:r w:rsidRPr="00F835E4">
        <w:rPr>
          <w:rFonts w:ascii="Arial" w:hAnsi="Arial" w:cs="Arial"/>
          <w:color w:val="808080" w:themeColor="background1" w:themeShade="80"/>
          <w:sz w:val="16"/>
          <w:szCs w:val="16"/>
          <w:lang w:val="en-GB"/>
        </w:rPr>
        <w:t xml:space="preserve">Conyers, “Cayman Islands Insolvency Law”, </w:t>
      </w:r>
      <w:hyperlink r:id="rId25" w:history="1">
        <w:r w:rsidRPr="00F835E4">
          <w:rPr>
            <w:rStyle w:val="Hyperlink"/>
            <w:rFonts w:ascii="Arial" w:hAnsi="Arial" w:cs="Arial"/>
            <w:sz w:val="16"/>
            <w:szCs w:val="16"/>
            <w:lang w:val="en-GB"/>
          </w:rPr>
          <w:t>https://www.conyers.com/wp-content/uploads/2020/01/Insolvency_Law-CAY-2.pdf</w:t>
        </w:r>
      </w:hyperlink>
      <w:r w:rsidRPr="00F835E4">
        <w:rPr>
          <w:rFonts w:ascii="Arial" w:hAnsi="Arial" w:cs="Arial"/>
          <w:color w:val="808080" w:themeColor="background1" w:themeShade="80"/>
          <w:sz w:val="16"/>
          <w:szCs w:val="16"/>
          <w:lang w:val="en-GB"/>
        </w:rPr>
        <w:t xml:space="preserve">, </w:t>
      </w:r>
      <w:r w:rsidR="00B92535" w:rsidRPr="00F835E4">
        <w:rPr>
          <w:rFonts w:ascii="Arial" w:hAnsi="Arial" w:cs="Arial"/>
          <w:color w:val="808080" w:themeColor="background1" w:themeShade="80"/>
          <w:sz w:val="16"/>
          <w:szCs w:val="16"/>
          <w:lang w:val="en-GB"/>
        </w:rPr>
        <w:t xml:space="preserve">p 12, </w:t>
      </w:r>
      <w:r w:rsidRPr="00F835E4">
        <w:rPr>
          <w:rFonts w:ascii="Arial" w:hAnsi="Arial" w:cs="Arial"/>
          <w:color w:val="808080" w:themeColor="background1" w:themeShade="80"/>
          <w:sz w:val="16"/>
          <w:szCs w:val="16"/>
          <w:lang w:val="en-GB"/>
        </w:rPr>
        <w:t xml:space="preserve">published in 2020, </w:t>
      </w:r>
      <w:r w:rsidRPr="00F835E4">
        <w:rPr>
          <w:rFonts w:ascii="Arial" w:hAnsi="Arial" w:cs="Arial"/>
          <w:color w:val="7B7B7B" w:themeColor="accent3" w:themeShade="BF"/>
          <w:sz w:val="16"/>
          <w:szCs w:val="16"/>
          <w:lang w:val="en-HK"/>
        </w:rPr>
        <w:t>accessed on 3 June 2024</w:t>
      </w:r>
    </w:p>
  </w:footnote>
  <w:footnote w:id="119">
    <w:p w14:paraId="40AD5A7D" w14:textId="77777777" w:rsidR="004A16EA" w:rsidRPr="005A09FA" w:rsidRDefault="004A16EA" w:rsidP="005A09FA">
      <w:pPr>
        <w:pStyle w:val="FootnoteText"/>
        <w:jc w:val="both"/>
        <w:rPr>
          <w:rFonts w:ascii="Arial" w:hAnsi="Arial" w:cs="Arial"/>
          <w:sz w:val="16"/>
          <w:szCs w:val="16"/>
          <w:lang w:val="en-GB"/>
        </w:rPr>
      </w:pPr>
      <w:r w:rsidRPr="005A09FA">
        <w:rPr>
          <w:rStyle w:val="FootnoteReference"/>
          <w:rFonts w:ascii="Arial" w:hAnsi="Arial" w:cs="Arial"/>
          <w:sz w:val="16"/>
          <w:szCs w:val="16"/>
        </w:rPr>
        <w:footnoteRef/>
      </w:r>
      <w:r w:rsidRPr="005A09FA">
        <w:rPr>
          <w:rFonts w:ascii="Arial" w:hAnsi="Arial" w:cs="Arial"/>
          <w:sz w:val="16"/>
          <w:szCs w:val="16"/>
        </w:rPr>
        <w:t xml:space="preserve"> </w:t>
      </w:r>
      <w:r w:rsidRPr="005A09FA">
        <w:rPr>
          <w:rFonts w:ascii="Arial" w:hAnsi="Arial" w:cs="Arial"/>
          <w:color w:val="808080" w:themeColor="background1" w:themeShade="80"/>
          <w:sz w:val="16"/>
          <w:szCs w:val="16"/>
          <w:lang w:val="en-GB"/>
        </w:rPr>
        <w:t>Benjamin Tonner KC</w:t>
      </w:r>
      <w:r w:rsidRPr="005A09FA">
        <w:rPr>
          <w:rFonts w:ascii="Arial" w:hAnsi="Arial" w:cs="Arial"/>
          <w:color w:val="808080" w:themeColor="background1" w:themeShade="80"/>
          <w:sz w:val="16"/>
          <w:szCs w:val="16"/>
        </w:rPr>
        <w:t>,</w:t>
      </w:r>
      <w:r w:rsidRPr="005A09FA">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8</w:t>
      </w:r>
    </w:p>
  </w:footnote>
  <w:footnote w:id="120">
    <w:p w14:paraId="0F50EBF3" w14:textId="66390EF9" w:rsidR="00AC3CBF" w:rsidRPr="005A09FA" w:rsidRDefault="00AC3CBF" w:rsidP="005A09FA">
      <w:pPr>
        <w:jc w:val="both"/>
        <w:rPr>
          <w:rFonts w:ascii="Arial" w:hAnsi="Arial" w:cs="Arial"/>
          <w:color w:val="808080" w:themeColor="background1" w:themeShade="80"/>
          <w:sz w:val="16"/>
          <w:szCs w:val="16"/>
          <w:lang w:val="en-GB"/>
        </w:rPr>
      </w:pPr>
      <w:r w:rsidRPr="005A09FA">
        <w:rPr>
          <w:rStyle w:val="FootnoteReference"/>
          <w:rFonts w:ascii="Arial" w:hAnsi="Arial" w:cs="Arial"/>
          <w:sz w:val="16"/>
          <w:szCs w:val="16"/>
        </w:rPr>
        <w:footnoteRef/>
      </w:r>
      <w:r w:rsidRPr="005A09FA">
        <w:rPr>
          <w:rFonts w:ascii="Arial" w:hAnsi="Arial" w:cs="Arial"/>
          <w:sz w:val="16"/>
          <w:szCs w:val="16"/>
        </w:rPr>
        <w:t xml:space="preserve"> </w:t>
      </w:r>
      <w:r w:rsidR="00B3573E" w:rsidRPr="005A09FA">
        <w:rPr>
          <w:rFonts w:ascii="Arial" w:hAnsi="Arial" w:cs="Arial"/>
          <w:color w:val="808080" w:themeColor="background1" w:themeShade="80"/>
          <w:sz w:val="16"/>
          <w:szCs w:val="16"/>
          <w:lang w:val="en-GB"/>
        </w:rPr>
        <w:t>Companies Act (2023 Revision), s</w:t>
      </w:r>
      <w:r w:rsidRPr="005A09FA">
        <w:rPr>
          <w:rFonts w:ascii="Arial" w:hAnsi="Arial" w:cs="Arial"/>
          <w:color w:val="808080" w:themeColor="background1" w:themeShade="80"/>
          <w:sz w:val="16"/>
          <w:szCs w:val="16"/>
          <w:lang w:val="en-GB"/>
        </w:rPr>
        <w:t>ection 142(1). Equally, if a restructuring officer is appointed, TNB will be entitled to enforce its security without leave of the Court and without reference to the appointed restructuring officer (see section 91H</w:t>
      </w:r>
      <w:r w:rsidR="00B3573E" w:rsidRPr="005A09FA">
        <w:rPr>
          <w:rFonts w:ascii="Arial" w:hAnsi="Arial" w:cs="Arial"/>
          <w:color w:val="808080" w:themeColor="background1" w:themeShade="80"/>
          <w:sz w:val="16"/>
          <w:szCs w:val="16"/>
          <w:lang w:val="en-GB"/>
        </w:rPr>
        <w:t xml:space="preserve"> of the</w:t>
      </w:r>
      <w:r w:rsidRPr="005A09FA">
        <w:rPr>
          <w:rFonts w:ascii="Arial" w:hAnsi="Arial" w:cs="Arial"/>
          <w:color w:val="808080" w:themeColor="background1" w:themeShade="80"/>
          <w:sz w:val="16"/>
          <w:szCs w:val="16"/>
          <w:lang w:val="en-GB"/>
        </w:rPr>
        <w:t xml:space="preserve"> Companies Act (2023 Revision)).</w:t>
      </w:r>
    </w:p>
  </w:footnote>
  <w:footnote w:id="121">
    <w:p w14:paraId="065651CA" w14:textId="3EE14983" w:rsidR="00AC3CBF" w:rsidRPr="005A09FA" w:rsidRDefault="00AC3CBF" w:rsidP="005A09FA">
      <w:pPr>
        <w:pStyle w:val="FootnoteText"/>
        <w:jc w:val="both"/>
        <w:rPr>
          <w:rFonts w:ascii="Arial" w:hAnsi="Arial" w:cs="Arial"/>
          <w:sz w:val="16"/>
          <w:szCs w:val="16"/>
          <w:lang w:val="en-GB"/>
        </w:rPr>
      </w:pPr>
      <w:r w:rsidRPr="005A09FA">
        <w:rPr>
          <w:rStyle w:val="FootnoteReference"/>
          <w:rFonts w:ascii="Arial" w:hAnsi="Arial" w:cs="Arial"/>
          <w:sz w:val="16"/>
          <w:szCs w:val="16"/>
        </w:rPr>
        <w:footnoteRef/>
      </w:r>
      <w:r w:rsidRPr="005A09FA">
        <w:rPr>
          <w:rFonts w:ascii="Arial" w:hAnsi="Arial" w:cs="Arial"/>
          <w:sz w:val="16"/>
          <w:szCs w:val="16"/>
        </w:rPr>
        <w:t xml:space="preserve"> </w:t>
      </w:r>
      <w:r w:rsidRPr="005A09FA">
        <w:rPr>
          <w:rFonts w:ascii="Arial" w:hAnsi="Arial" w:cs="Arial"/>
          <w:color w:val="808080" w:themeColor="background1" w:themeShade="80"/>
          <w:sz w:val="16"/>
          <w:szCs w:val="16"/>
          <w:lang w:val="en-GB"/>
        </w:rPr>
        <w:t>Benjamin Tonner KC</w:t>
      </w:r>
      <w:r w:rsidRPr="005A09FA">
        <w:rPr>
          <w:rFonts w:ascii="Arial" w:hAnsi="Arial" w:cs="Arial"/>
          <w:color w:val="808080" w:themeColor="background1" w:themeShade="80"/>
          <w:sz w:val="16"/>
          <w:szCs w:val="16"/>
        </w:rPr>
        <w:t>,</w:t>
      </w:r>
      <w:r w:rsidRPr="005A09FA">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8</w:t>
      </w:r>
    </w:p>
  </w:footnote>
  <w:footnote w:id="122">
    <w:p w14:paraId="4D63DE65" w14:textId="78609FA1" w:rsidR="004A16EA" w:rsidRPr="005A09FA" w:rsidRDefault="004A16EA" w:rsidP="005A09FA">
      <w:pPr>
        <w:pStyle w:val="FootnoteText"/>
        <w:jc w:val="both"/>
        <w:rPr>
          <w:rFonts w:ascii="Arial" w:hAnsi="Arial" w:cs="Arial"/>
          <w:sz w:val="16"/>
          <w:szCs w:val="16"/>
          <w:lang w:val="en-GB"/>
        </w:rPr>
      </w:pPr>
      <w:r w:rsidRPr="005A09FA">
        <w:rPr>
          <w:rStyle w:val="FootnoteReference"/>
          <w:rFonts w:ascii="Arial" w:hAnsi="Arial" w:cs="Arial"/>
          <w:sz w:val="16"/>
          <w:szCs w:val="16"/>
        </w:rPr>
        <w:footnoteRef/>
      </w:r>
      <w:r w:rsidRPr="005A09FA">
        <w:rPr>
          <w:rFonts w:ascii="Arial" w:hAnsi="Arial" w:cs="Arial"/>
          <w:sz w:val="16"/>
          <w:szCs w:val="16"/>
        </w:rPr>
        <w:t xml:space="preserve"> </w:t>
      </w:r>
      <w:r w:rsidR="00D87A28">
        <w:rPr>
          <w:rFonts w:ascii="Arial" w:hAnsi="Arial" w:cs="Arial"/>
          <w:color w:val="808080" w:themeColor="background1" w:themeShade="80"/>
          <w:sz w:val="16"/>
          <w:szCs w:val="16"/>
          <w:lang w:val="en-GB"/>
        </w:rPr>
        <w:t>Ibid.</w:t>
      </w:r>
      <w:r w:rsidRPr="005A09FA">
        <w:rPr>
          <w:rFonts w:ascii="Arial" w:hAnsi="Arial" w:cs="Arial"/>
          <w:color w:val="808080" w:themeColor="background1" w:themeShade="80"/>
          <w:sz w:val="16"/>
          <w:szCs w:val="16"/>
          <w:lang w:val="en-GB"/>
        </w:rPr>
        <w:t>, p 10</w:t>
      </w:r>
    </w:p>
  </w:footnote>
  <w:footnote w:id="123">
    <w:p w14:paraId="79D564C8" w14:textId="480D444A" w:rsidR="00C1128C" w:rsidRPr="005A09FA" w:rsidRDefault="00C1128C" w:rsidP="005A09FA">
      <w:pPr>
        <w:pStyle w:val="FootnoteText"/>
        <w:jc w:val="both"/>
        <w:rPr>
          <w:rFonts w:ascii="Arial" w:hAnsi="Arial" w:cs="Arial"/>
          <w:sz w:val="16"/>
          <w:szCs w:val="16"/>
          <w:lang w:val="en-GB"/>
        </w:rPr>
      </w:pPr>
      <w:r w:rsidRPr="005A09FA">
        <w:rPr>
          <w:rStyle w:val="FootnoteReference"/>
          <w:rFonts w:ascii="Arial" w:hAnsi="Arial" w:cs="Arial"/>
          <w:sz w:val="16"/>
          <w:szCs w:val="16"/>
        </w:rPr>
        <w:footnoteRef/>
      </w:r>
      <w:r w:rsidRPr="005A09FA">
        <w:rPr>
          <w:rFonts w:ascii="Arial" w:hAnsi="Arial" w:cs="Arial"/>
          <w:sz w:val="16"/>
          <w:szCs w:val="16"/>
        </w:rPr>
        <w:t xml:space="preserve"> </w:t>
      </w:r>
      <w:r w:rsidR="00D87A28">
        <w:rPr>
          <w:rFonts w:ascii="Arial" w:hAnsi="Arial" w:cs="Arial"/>
          <w:color w:val="808080" w:themeColor="background1" w:themeShade="80"/>
          <w:sz w:val="16"/>
          <w:szCs w:val="16"/>
          <w:lang w:val="en-GB"/>
        </w:rPr>
        <w:t>Ibid.</w:t>
      </w:r>
      <w:r w:rsidRPr="005A09FA">
        <w:rPr>
          <w:rFonts w:ascii="Arial" w:hAnsi="Arial" w:cs="Arial"/>
          <w:color w:val="808080" w:themeColor="background1" w:themeShade="80"/>
          <w:sz w:val="16"/>
          <w:szCs w:val="16"/>
          <w:lang w:val="en-GB"/>
        </w:rPr>
        <w:t>, p 12</w:t>
      </w:r>
    </w:p>
  </w:footnote>
  <w:footnote w:id="124">
    <w:p w14:paraId="0A92113F" w14:textId="103A2264" w:rsidR="00C1128C" w:rsidRPr="005A09FA" w:rsidRDefault="00C1128C" w:rsidP="005A09FA">
      <w:pPr>
        <w:pStyle w:val="FootnoteText"/>
        <w:jc w:val="both"/>
        <w:rPr>
          <w:rFonts w:ascii="Arial" w:hAnsi="Arial" w:cs="Arial"/>
          <w:sz w:val="16"/>
          <w:szCs w:val="16"/>
          <w:lang w:val="en-GB"/>
        </w:rPr>
      </w:pPr>
      <w:r w:rsidRPr="005A09FA">
        <w:rPr>
          <w:rStyle w:val="FootnoteReference"/>
          <w:rFonts w:ascii="Arial" w:hAnsi="Arial" w:cs="Arial"/>
          <w:sz w:val="16"/>
          <w:szCs w:val="16"/>
        </w:rPr>
        <w:footnoteRef/>
      </w:r>
      <w:r w:rsidRPr="005A09FA">
        <w:rPr>
          <w:rFonts w:ascii="Arial" w:hAnsi="Arial" w:cs="Arial"/>
          <w:sz w:val="16"/>
          <w:szCs w:val="16"/>
        </w:rPr>
        <w:t xml:space="preserve"> </w:t>
      </w:r>
      <w:r w:rsidRPr="005A09FA">
        <w:rPr>
          <w:rFonts w:ascii="Arial" w:hAnsi="Arial" w:cs="Arial"/>
          <w:color w:val="808080" w:themeColor="background1" w:themeShade="80"/>
          <w:sz w:val="16"/>
          <w:szCs w:val="16"/>
        </w:rPr>
        <w:t>Companies Winding Up Rules (2023 Consolidation), Order 17, rule 1(2)</w:t>
      </w:r>
    </w:p>
  </w:footnote>
  <w:footnote w:id="125">
    <w:p w14:paraId="50433E4F" w14:textId="3DAAE6F1" w:rsidR="00C1128C" w:rsidRPr="00C1128C" w:rsidRDefault="00C1128C" w:rsidP="005A09FA">
      <w:pPr>
        <w:pStyle w:val="FootnoteText"/>
        <w:jc w:val="both"/>
        <w:rPr>
          <w:lang w:val="en-GB"/>
        </w:rPr>
      </w:pPr>
      <w:r w:rsidRPr="005A09FA">
        <w:rPr>
          <w:rStyle w:val="FootnoteReference"/>
          <w:rFonts w:ascii="Arial" w:hAnsi="Arial" w:cs="Arial"/>
          <w:sz w:val="16"/>
          <w:szCs w:val="16"/>
        </w:rPr>
        <w:footnoteRef/>
      </w:r>
      <w:r w:rsidRPr="005A09FA">
        <w:rPr>
          <w:rFonts w:ascii="Arial" w:hAnsi="Arial" w:cs="Arial"/>
          <w:sz w:val="16"/>
          <w:szCs w:val="16"/>
        </w:rPr>
        <w:t xml:space="preserve"> </w:t>
      </w:r>
      <w:r w:rsidR="00D87A28">
        <w:rPr>
          <w:rFonts w:ascii="Arial" w:hAnsi="Arial" w:cs="Arial"/>
          <w:color w:val="808080" w:themeColor="background1" w:themeShade="80"/>
          <w:sz w:val="16"/>
          <w:szCs w:val="16"/>
        </w:rPr>
        <w:t>Ibid.</w:t>
      </w:r>
      <w:r w:rsidRPr="005A09FA">
        <w:rPr>
          <w:rFonts w:ascii="Arial" w:hAnsi="Arial" w:cs="Arial"/>
          <w:color w:val="808080" w:themeColor="background1" w:themeShade="80"/>
          <w:sz w:val="16"/>
          <w:szCs w:val="16"/>
        </w:rPr>
        <w:t>, Order 17, rule 1(3)</w:t>
      </w:r>
    </w:p>
  </w:footnote>
  <w:footnote w:id="126">
    <w:p w14:paraId="457BAD2D" w14:textId="2850D948" w:rsidR="003166C0" w:rsidRPr="00A25E12" w:rsidRDefault="003166C0" w:rsidP="00D87A28">
      <w:pPr>
        <w:jc w:val="both"/>
        <w:rPr>
          <w:rFonts w:ascii="Arial" w:hAnsi="Arial" w:cs="Arial"/>
          <w:color w:val="808080" w:themeColor="background1" w:themeShade="80"/>
          <w:sz w:val="16"/>
          <w:szCs w:val="16"/>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rPr>
        <w:t xml:space="preserve">Adam Crane and Nia Statham, Baker and Partners, “Enforcement of Foreign Arbitral Awards in the Cayman Islands”, </w:t>
      </w:r>
      <w:hyperlink r:id="rId26" w:history="1">
        <w:r w:rsidRPr="00A25E12">
          <w:rPr>
            <w:rStyle w:val="Hyperlink"/>
            <w:rFonts w:ascii="Arial" w:hAnsi="Arial" w:cs="Arial"/>
            <w:sz w:val="16"/>
            <w:szCs w:val="16"/>
          </w:rPr>
          <w:t>https://www.bakerandpartners.com/insights/enforcement-of-foreign-arbitral-awards-in-the-cayman-islands/</w:t>
        </w:r>
      </w:hyperlink>
      <w:r w:rsidRPr="00A25E12">
        <w:rPr>
          <w:rFonts w:ascii="Arial" w:hAnsi="Arial" w:cs="Arial"/>
          <w:color w:val="808080" w:themeColor="background1" w:themeShade="80"/>
          <w:sz w:val="16"/>
          <w:szCs w:val="16"/>
        </w:rPr>
        <w:t xml:space="preserve">, published </w:t>
      </w:r>
      <w:r w:rsidR="008C4219" w:rsidRPr="00A25E12">
        <w:rPr>
          <w:rFonts w:ascii="Arial" w:hAnsi="Arial" w:cs="Arial"/>
          <w:color w:val="808080" w:themeColor="background1" w:themeShade="80"/>
          <w:sz w:val="16"/>
          <w:szCs w:val="16"/>
        </w:rPr>
        <w:t xml:space="preserve">on </w:t>
      </w:r>
      <w:r w:rsidRPr="00A25E12">
        <w:rPr>
          <w:rFonts w:ascii="Arial" w:hAnsi="Arial" w:cs="Arial"/>
          <w:color w:val="808080" w:themeColor="background1" w:themeShade="80"/>
          <w:sz w:val="16"/>
          <w:szCs w:val="16"/>
        </w:rPr>
        <w:t>30 August 2023</w:t>
      </w:r>
      <w:r w:rsidRPr="00A25E12">
        <w:rPr>
          <w:rFonts w:ascii="Arial" w:hAnsi="Arial" w:cs="Arial"/>
          <w:color w:val="808080" w:themeColor="background1" w:themeShade="80"/>
          <w:sz w:val="16"/>
          <w:szCs w:val="16"/>
          <w:lang w:val="en-GB"/>
        </w:rPr>
        <w:t xml:space="preserve">, </w:t>
      </w:r>
      <w:r w:rsidRPr="00A25E12">
        <w:rPr>
          <w:rFonts w:ascii="Arial" w:hAnsi="Arial" w:cs="Arial"/>
          <w:color w:val="7B7B7B" w:themeColor="accent3" w:themeShade="BF"/>
          <w:sz w:val="16"/>
          <w:szCs w:val="16"/>
          <w:lang w:val="en-HK"/>
        </w:rPr>
        <w:t xml:space="preserve">accessed on </w:t>
      </w:r>
      <w:r w:rsidR="000D3FA3" w:rsidRPr="00A25E12">
        <w:rPr>
          <w:rFonts w:ascii="Arial" w:hAnsi="Arial" w:cs="Arial"/>
          <w:color w:val="7B7B7B" w:themeColor="accent3" w:themeShade="BF"/>
          <w:sz w:val="16"/>
          <w:szCs w:val="16"/>
          <w:lang w:val="en-HK"/>
        </w:rPr>
        <w:t>3 June 2024</w:t>
      </w:r>
    </w:p>
  </w:footnote>
  <w:footnote w:id="127">
    <w:p w14:paraId="70C0D534" w14:textId="17647383" w:rsidR="00C51FF7" w:rsidRPr="00A25E12" w:rsidRDefault="00C51FF7" w:rsidP="00D87A28">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lang w:val="en-GB"/>
        </w:rPr>
        <w:t>Foreign Arbitral Awards Enforcement Act (1997 Revision), section 6(a)</w:t>
      </w:r>
    </w:p>
  </w:footnote>
  <w:footnote w:id="128">
    <w:p w14:paraId="203CC918" w14:textId="5CF4B426" w:rsidR="00311894" w:rsidRPr="00A25E12" w:rsidRDefault="00311894" w:rsidP="00D87A28">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D87A28" w:rsidRPr="00A25E12">
        <w:rPr>
          <w:rFonts w:ascii="Arial" w:hAnsi="Arial" w:cs="Arial"/>
          <w:color w:val="808080" w:themeColor="background1" w:themeShade="80"/>
          <w:sz w:val="16"/>
          <w:szCs w:val="16"/>
          <w:lang w:val="en-GB"/>
        </w:rPr>
        <w:t>Ibid.</w:t>
      </w:r>
      <w:r w:rsidR="00B3573E" w:rsidRPr="00A25E12">
        <w:rPr>
          <w:rFonts w:ascii="Arial" w:hAnsi="Arial" w:cs="Arial"/>
          <w:color w:val="808080" w:themeColor="background1" w:themeShade="80"/>
          <w:sz w:val="16"/>
          <w:szCs w:val="16"/>
          <w:lang w:val="en-GB"/>
        </w:rPr>
        <w:t>, s</w:t>
      </w:r>
      <w:r w:rsidRPr="00A25E12">
        <w:rPr>
          <w:rFonts w:ascii="Arial" w:hAnsi="Arial" w:cs="Arial"/>
          <w:color w:val="808080" w:themeColor="background1" w:themeShade="80"/>
          <w:sz w:val="16"/>
          <w:szCs w:val="16"/>
          <w:lang w:val="en-GB"/>
        </w:rPr>
        <w:t>ection 6</w:t>
      </w:r>
      <w:r w:rsidR="00C51FF7" w:rsidRPr="00A25E12">
        <w:rPr>
          <w:rFonts w:ascii="Arial" w:hAnsi="Arial" w:cs="Arial"/>
          <w:color w:val="808080" w:themeColor="background1" w:themeShade="80"/>
          <w:sz w:val="16"/>
          <w:szCs w:val="16"/>
          <w:lang w:val="en-GB"/>
        </w:rPr>
        <w:t>(b)</w:t>
      </w:r>
    </w:p>
  </w:footnote>
  <w:footnote w:id="129">
    <w:p w14:paraId="13D6F03B" w14:textId="6D9ACEEC" w:rsidR="00311894" w:rsidRPr="00A25E12" w:rsidRDefault="00311894" w:rsidP="00D87A28">
      <w:pPr>
        <w:jc w:val="both"/>
        <w:rPr>
          <w:rFonts w:ascii="Arial" w:hAnsi="Arial" w:cs="Arial"/>
          <w:color w:val="808080" w:themeColor="background1" w:themeShade="80"/>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D87A28" w:rsidRPr="00A25E12">
        <w:rPr>
          <w:rFonts w:ascii="Arial" w:hAnsi="Arial" w:cs="Arial"/>
          <w:color w:val="808080" w:themeColor="background1" w:themeShade="80"/>
          <w:sz w:val="16"/>
          <w:szCs w:val="16"/>
          <w:lang w:val="en-GB"/>
        </w:rPr>
        <w:t>Ibid.</w:t>
      </w:r>
      <w:r w:rsidR="00B3573E" w:rsidRPr="00A25E12">
        <w:rPr>
          <w:rFonts w:ascii="Arial" w:hAnsi="Arial" w:cs="Arial"/>
          <w:color w:val="808080" w:themeColor="background1" w:themeShade="80"/>
          <w:sz w:val="16"/>
          <w:szCs w:val="16"/>
          <w:lang w:val="en-GB"/>
        </w:rPr>
        <w:t xml:space="preserve">, </w:t>
      </w:r>
      <w:r w:rsidRPr="00A25E12">
        <w:rPr>
          <w:rFonts w:ascii="Arial" w:hAnsi="Arial" w:cs="Arial"/>
          <w:color w:val="808080" w:themeColor="background1" w:themeShade="80"/>
          <w:sz w:val="16"/>
          <w:szCs w:val="16"/>
          <w:lang w:val="en-GB"/>
        </w:rPr>
        <w:t>Section 7(2)(b)</w:t>
      </w:r>
    </w:p>
  </w:footnote>
  <w:footnote w:id="130">
    <w:p w14:paraId="1AAE5EC4" w14:textId="39E6D39A" w:rsidR="003166C0" w:rsidRPr="00A25E12" w:rsidRDefault="003166C0" w:rsidP="00D87A28">
      <w:pPr>
        <w:jc w:val="both"/>
        <w:rPr>
          <w:rFonts w:ascii="Arial" w:hAnsi="Arial" w:cs="Arial"/>
          <w:color w:val="808080" w:themeColor="background1" w:themeShade="80"/>
          <w:sz w:val="16"/>
          <w:szCs w:val="16"/>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rPr>
        <w:t xml:space="preserve">Adam Crane and Nia Statham, Baker and Partners, “Enforcement of Foreign Arbitral Awards in the Cayman Islands”, </w:t>
      </w:r>
      <w:hyperlink r:id="rId27" w:history="1">
        <w:r w:rsidRPr="00A25E12">
          <w:rPr>
            <w:rStyle w:val="Hyperlink"/>
            <w:rFonts w:ascii="Arial" w:hAnsi="Arial" w:cs="Arial"/>
            <w:sz w:val="16"/>
            <w:szCs w:val="16"/>
          </w:rPr>
          <w:t>https://www.bakerandpartners.com/insights/enforcement-of-foreign-arbitral-awards-in-the-cayman-islands/</w:t>
        </w:r>
      </w:hyperlink>
      <w:r w:rsidRPr="00A25E12">
        <w:rPr>
          <w:rFonts w:ascii="Arial" w:hAnsi="Arial" w:cs="Arial"/>
          <w:color w:val="808080" w:themeColor="background1" w:themeShade="80"/>
          <w:sz w:val="16"/>
          <w:szCs w:val="16"/>
        </w:rPr>
        <w:t xml:space="preserve">, published </w:t>
      </w:r>
      <w:r w:rsidR="008C4219" w:rsidRPr="00A25E12">
        <w:rPr>
          <w:rFonts w:ascii="Arial" w:hAnsi="Arial" w:cs="Arial"/>
          <w:color w:val="808080" w:themeColor="background1" w:themeShade="80"/>
          <w:sz w:val="16"/>
          <w:szCs w:val="16"/>
        </w:rPr>
        <w:t xml:space="preserve">on </w:t>
      </w:r>
      <w:r w:rsidRPr="00A25E12">
        <w:rPr>
          <w:rFonts w:ascii="Arial" w:hAnsi="Arial" w:cs="Arial"/>
          <w:color w:val="808080" w:themeColor="background1" w:themeShade="80"/>
          <w:sz w:val="16"/>
          <w:szCs w:val="16"/>
        </w:rPr>
        <w:t>30 August 2023</w:t>
      </w:r>
      <w:r w:rsidRPr="00A25E12">
        <w:rPr>
          <w:rFonts w:ascii="Arial" w:hAnsi="Arial" w:cs="Arial"/>
          <w:color w:val="808080" w:themeColor="background1" w:themeShade="80"/>
          <w:sz w:val="16"/>
          <w:szCs w:val="16"/>
          <w:lang w:val="en-GB"/>
        </w:rPr>
        <w:t xml:space="preserve">, </w:t>
      </w:r>
      <w:r w:rsidRPr="00A25E12">
        <w:rPr>
          <w:rFonts w:ascii="Arial" w:hAnsi="Arial" w:cs="Arial"/>
          <w:color w:val="7B7B7B" w:themeColor="accent3" w:themeShade="BF"/>
          <w:sz w:val="16"/>
          <w:szCs w:val="16"/>
          <w:lang w:val="en-HK"/>
        </w:rPr>
        <w:t xml:space="preserve">accessed on </w:t>
      </w:r>
      <w:r w:rsidR="000D3FA3" w:rsidRPr="00A25E12">
        <w:rPr>
          <w:rFonts w:ascii="Arial" w:hAnsi="Arial" w:cs="Arial"/>
          <w:color w:val="7B7B7B" w:themeColor="accent3" w:themeShade="BF"/>
          <w:sz w:val="16"/>
          <w:szCs w:val="16"/>
          <w:lang w:val="en-HK"/>
        </w:rPr>
        <w:t>3 June 2024</w:t>
      </w:r>
    </w:p>
  </w:footnote>
  <w:footnote w:id="131">
    <w:p w14:paraId="71EA2DCD" w14:textId="3E0CA4DA" w:rsidR="001971E8" w:rsidRPr="00A25E12" w:rsidRDefault="001971E8" w:rsidP="00D87A28">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lang w:val="en-GB"/>
        </w:rPr>
        <w:t>2018 (2) CILR 335</w:t>
      </w:r>
    </w:p>
  </w:footnote>
  <w:footnote w:id="132">
    <w:p w14:paraId="1EB65EA7" w14:textId="06DB32F7" w:rsidR="001971E8" w:rsidRPr="00A25E12" w:rsidRDefault="001971E8" w:rsidP="00D87A28">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D87A28" w:rsidRPr="00A25E12">
        <w:rPr>
          <w:rFonts w:ascii="Arial" w:hAnsi="Arial" w:cs="Arial"/>
          <w:color w:val="808080" w:themeColor="background1" w:themeShade="80"/>
          <w:sz w:val="16"/>
          <w:szCs w:val="16"/>
          <w:lang w:val="en-GB"/>
        </w:rPr>
        <w:t>Ibid.,</w:t>
      </w:r>
      <w:r w:rsidRPr="00A25E12">
        <w:rPr>
          <w:rFonts w:ascii="Arial" w:hAnsi="Arial" w:cs="Arial"/>
          <w:color w:val="808080" w:themeColor="background1" w:themeShade="80"/>
          <w:sz w:val="16"/>
          <w:szCs w:val="16"/>
          <w:lang w:val="en-GB"/>
        </w:rPr>
        <w:t xml:space="preserve"> paragraph 68</w:t>
      </w:r>
    </w:p>
  </w:footnote>
  <w:footnote w:id="133">
    <w:p w14:paraId="37C17E2F" w14:textId="7F4E0E91" w:rsidR="00E01521" w:rsidRPr="00A25E12" w:rsidRDefault="00E01521" w:rsidP="00D87A28">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rPr>
        <w:t xml:space="preserve">Adam Crane and Nia Statham, Baker and Partners, “Enforcement of Foreign Arbitral Awards in the Cayman Islands”, </w:t>
      </w:r>
      <w:hyperlink r:id="rId28" w:history="1">
        <w:r w:rsidRPr="00A25E12">
          <w:rPr>
            <w:rStyle w:val="Hyperlink"/>
            <w:rFonts w:ascii="Arial" w:hAnsi="Arial" w:cs="Arial"/>
            <w:sz w:val="16"/>
            <w:szCs w:val="16"/>
          </w:rPr>
          <w:t>https://www.bakerandpartners.com/insights/enforcement-of-foreign-arbitral-awards-in-the-cayman-islands/</w:t>
        </w:r>
      </w:hyperlink>
      <w:r w:rsidRPr="00A25E12">
        <w:rPr>
          <w:rFonts w:ascii="Arial" w:hAnsi="Arial" w:cs="Arial"/>
          <w:color w:val="808080" w:themeColor="background1" w:themeShade="80"/>
          <w:sz w:val="16"/>
          <w:szCs w:val="16"/>
        </w:rPr>
        <w:t>, published on 30 August 2023</w:t>
      </w:r>
      <w:r w:rsidRPr="00A25E12">
        <w:rPr>
          <w:rFonts w:ascii="Arial" w:hAnsi="Arial" w:cs="Arial"/>
          <w:color w:val="808080" w:themeColor="background1" w:themeShade="80"/>
          <w:sz w:val="16"/>
          <w:szCs w:val="16"/>
          <w:lang w:val="en-GB"/>
        </w:rPr>
        <w:t xml:space="preserve">, </w:t>
      </w:r>
      <w:r w:rsidRPr="00A25E12">
        <w:rPr>
          <w:rFonts w:ascii="Arial" w:hAnsi="Arial" w:cs="Arial"/>
          <w:color w:val="7B7B7B" w:themeColor="accent3" w:themeShade="BF"/>
          <w:sz w:val="16"/>
          <w:szCs w:val="16"/>
          <w:lang w:val="en-HK"/>
        </w:rPr>
        <w:t>accessed on 3 June 2024</w:t>
      </w:r>
    </w:p>
  </w:footnote>
  <w:footnote w:id="134">
    <w:p w14:paraId="6DC7F096" w14:textId="412E59D3" w:rsidR="009E20F0" w:rsidRPr="003E572E" w:rsidRDefault="009E20F0" w:rsidP="00D87A28">
      <w:pPr>
        <w:jc w:val="both"/>
        <w:rPr>
          <w:rFonts w:ascii="Arial" w:hAnsi="Arial" w:cs="Arial"/>
          <w:color w:val="808080" w:themeColor="background1" w:themeShade="80"/>
          <w:sz w:val="16"/>
          <w:szCs w:val="16"/>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rPr>
        <w:t xml:space="preserve">Chris Johnson Associates Ltd, “Guide For Creditors Of Insolvent Companies In The Cayman Islands”, </w:t>
      </w:r>
      <w:hyperlink r:id="rId29" w:history="1">
        <w:r w:rsidRPr="00A25E12">
          <w:rPr>
            <w:rStyle w:val="Hyperlink"/>
            <w:rFonts w:ascii="Arial" w:hAnsi="Arial" w:cs="Arial"/>
            <w:sz w:val="16"/>
            <w:szCs w:val="16"/>
          </w:rPr>
          <w:t>http://www.chrisjohnsonltd.com/html/insolvency-guides/creditors.htm</w:t>
        </w:r>
      </w:hyperlink>
      <w:r w:rsidRPr="00A25E12">
        <w:rPr>
          <w:rFonts w:ascii="Arial" w:hAnsi="Arial" w:cs="Arial"/>
          <w:color w:val="808080" w:themeColor="background1" w:themeShade="80"/>
          <w:sz w:val="16"/>
          <w:szCs w:val="16"/>
        </w:rPr>
        <w:t xml:space="preserve">, </w:t>
      </w:r>
      <w:r w:rsidRPr="00A25E12">
        <w:rPr>
          <w:rFonts w:ascii="Arial" w:hAnsi="Arial" w:cs="Arial"/>
          <w:color w:val="7B7B7B" w:themeColor="accent3" w:themeShade="BF"/>
          <w:sz w:val="16"/>
          <w:szCs w:val="16"/>
          <w:lang w:val="en-HK"/>
        </w:rPr>
        <w:t>date of publication not stated, accessed on 3 June 2024</w:t>
      </w:r>
    </w:p>
  </w:footnote>
  <w:footnote w:id="135">
    <w:p w14:paraId="0668D7D4" w14:textId="1B9B091E" w:rsidR="009E20F0" w:rsidRPr="00A25E12" w:rsidRDefault="009E20F0" w:rsidP="00A25E12">
      <w:pPr>
        <w:jc w:val="both"/>
        <w:rPr>
          <w:rFonts w:ascii="Arial" w:hAnsi="Arial" w:cs="Arial"/>
          <w:color w:val="808080" w:themeColor="background1" w:themeShade="80"/>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B3573E" w:rsidRPr="00A25E12">
        <w:rPr>
          <w:rFonts w:ascii="Arial" w:hAnsi="Arial" w:cs="Arial"/>
          <w:color w:val="808080" w:themeColor="background1" w:themeShade="80"/>
          <w:sz w:val="16"/>
          <w:szCs w:val="16"/>
          <w:lang w:val="en-GB"/>
        </w:rPr>
        <w:t>Companies Act (2023 Revision), s</w:t>
      </w:r>
      <w:r w:rsidRPr="00A25E12">
        <w:rPr>
          <w:rFonts w:ascii="Arial" w:hAnsi="Arial" w:cs="Arial"/>
          <w:color w:val="808080" w:themeColor="background1" w:themeShade="80"/>
          <w:sz w:val="16"/>
          <w:szCs w:val="16"/>
          <w:lang w:val="en-GB"/>
        </w:rPr>
        <w:t>ection 141(1)</w:t>
      </w:r>
    </w:p>
  </w:footnote>
  <w:footnote w:id="136">
    <w:p w14:paraId="5396C6F5" w14:textId="753771F9" w:rsidR="009E20F0" w:rsidRPr="00A25E12" w:rsidRDefault="009E20F0" w:rsidP="00A25E12">
      <w:pPr>
        <w:jc w:val="both"/>
        <w:rPr>
          <w:rFonts w:ascii="Arial" w:hAnsi="Arial" w:cs="Arial"/>
          <w:color w:val="808080" w:themeColor="background1" w:themeShade="80"/>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D87A28" w:rsidRPr="00A25E12">
        <w:rPr>
          <w:rFonts w:ascii="Arial" w:hAnsi="Arial" w:cs="Arial"/>
          <w:color w:val="808080" w:themeColor="background1" w:themeShade="80"/>
          <w:sz w:val="16"/>
          <w:szCs w:val="16"/>
          <w:lang w:val="en-GB"/>
        </w:rPr>
        <w:t>Ibid.</w:t>
      </w:r>
      <w:r w:rsidR="00B3573E" w:rsidRPr="00A25E12">
        <w:rPr>
          <w:rFonts w:ascii="Arial" w:hAnsi="Arial" w:cs="Arial"/>
          <w:color w:val="808080" w:themeColor="background1" w:themeShade="80"/>
          <w:sz w:val="16"/>
          <w:szCs w:val="16"/>
          <w:lang w:val="en-GB"/>
        </w:rPr>
        <w:t>, s</w:t>
      </w:r>
      <w:r w:rsidRPr="00A25E12">
        <w:rPr>
          <w:rFonts w:ascii="Arial" w:hAnsi="Arial" w:cs="Arial"/>
          <w:color w:val="808080" w:themeColor="background1" w:themeShade="80"/>
          <w:sz w:val="16"/>
          <w:szCs w:val="16"/>
          <w:lang w:val="en-GB"/>
        </w:rPr>
        <w:t>ection 141(2)(a)</w:t>
      </w:r>
    </w:p>
  </w:footnote>
  <w:footnote w:id="137">
    <w:p w14:paraId="09C28A1E" w14:textId="6B1C65E6" w:rsidR="009E20F0" w:rsidRPr="00A25E12" w:rsidRDefault="009E20F0" w:rsidP="00A25E12">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lang w:val="en-GB"/>
        </w:rPr>
        <w:t>Benjamin Tonner KC</w:t>
      </w:r>
      <w:r w:rsidRPr="00A25E12">
        <w:rPr>
          <w:rFonts w:ascii="Arial" w:hAnsi="Arial" w:cs="Arial"/>
          <w:color w:val="808080" w:themeColor="background1" w:themeShade="80"/>
          <w:sz w:val="16"/>
          <w:szCs w:val="16"/>
        </w:rPr>
        <w:t>,</w:t>
      </w:r>
      <w:r w:rsidRPr="00A25E12">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w:t>
      </w:r>
      <w:r w:rsidR="00D87A28" w:rsidRPr="00A25E12">
        <w:rPr>
          <w:rFonts w:ascii="Arial" w:hAnsi="Arial" w:cs="Arial"/>
          <w:color w:val="808080" w:themeColor="background1" w:themeShade="80"/>
          <w:sz w:val="16"/>
          <w:szCs w:val="16"/>
          <w:lang w:val="en-GB"/>
        </w:rPr>
        <w:t>p</w:t>
      </w:r>
      <w:r w:rsidRPr="00A25E12">
        <w:rPr>
          <w:rFonts w:ascii="Arial" w:hAnsi="Arial" w:cs="Arial"/>
          <w:color w:val="808080" w:themeColor="background1" w:themeShade="80"/>
          <w:sz w:val="16"/>
          <w:szCs w:val="16"/>
          <w:lang w:val="en-GB"/>
        </w:rPr>
        <w:t xml:space="preserve"> 39-40</w:t>
      </w:r>
    </w:p>
  </w:footnote>
  <w:footnote w:id="138">
    <w:p w14:paraId="7087DDB9" w14:textId="2A38D549" w:rsidR="00F1211F" w:rsidRPr="00A25E12" w:rsidRDefault="00F1211F" w:rsidP="00A25E12">
      <w:pPr>
        <w:jc w:val="both"/>
        <w:rPr>
          <w:rFonts w:ascii="Arial" w:hAnsi="Arial" w:cs="Arial"/>
          <w:color w:val="808080" w:themeColor="background1" w:themeShade="80"/>
          <w:sz w:val="16"/>
          <w:szCs w:val="16"/>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5E0202" w:rsidRPr="00A25E12">
        <w:rPr>
          <w:rFonts w:ascii="Arial" w:hAnsi="Arial" w:cs="Arial"/>
          <w:color w:val="808080" w:themeColor="background1" w:themeShade="80"/>
          <w:sz w:val="16"/>
          <w:szCs w:val="16"/>
        </w:rPr>
        <w:t xml:space="preserve">Guy Manning and Guy Cowan, Campbells (2021), “Cayman Islands: Law &amp; Practice”. In: Chambers, Global Practice Guides, “Insolvency 2021”. [Online]. Chambers, p 9. Accessed on 3 June 2024. Available from: </w:t>
      </w:r>
      <w:hyperlink r:id="rId30" w:history="1">
        <w:r w:rsidR="005E0202" w:rsidRPr="00A25E12">
          <w:rPr>
            <w:rStyle w:val="Hyperlink"/>
            <w:rFonts w:ascii="Arial" w:hAnsi="Arial" w:cs="Arial"/>
            <w:sz w:val="16"/>
            <w:szCs w:val="16"/>
          </w:rPr>
          <w:t>https://www.campbellslegal.com/wp-content/uploads/2022/01/Chambers-Insolvency-2021-Cayman-Islands.pdf</w:t>
        </w:r>
      </w:hyperlink>
    </w:p>
  </w:footnote>
  <w:footnote w:id="139">
    <w:p w14:paraId="113EA979" w14:textId="783FF8E4" w:rsidR="00F1211F" w:rsidRPr="00A25E12" w:rsidRDefault="00F1211F" w:rsidP="00A25E12">
      <w:pPr>
        <w:jc w:val="both"/>
        <w:rPr>
          <w:rFonts w:ascii="Arial" w:hAnsi="Arial" w:cs="Arial"/>
          <w:color w:val="808080" w:themeColor="background1" w:themeShade="80"/>
          <w:sz w:val="16"/>
          <w:szCs w:val="16"/>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D87A28" w:rsidRPr="00A25E12">
        <w:rPr>
          <w:rFonts w:ascii="Arial" w:hAnsi="Arial" w:cs="Arial"/>
          <w:color w:val="808080" w:themeColor="background1" w:themeShade="80"/>
          <w:sz w:val="16"/>
          <w:szCs w:val="16"/>
        </w:rPr>
        <w:t>Ibid.</w:t>
      </w:r>
    </w:p>
  </w:footnote>
  <w:footnote w:id="140">
    <w:p w14:paraId="3589B55E" w14:textId="51B991B4" w:rsidR="009A5EEE" w:rsidRPr="00A25E12" w:rsidRDefault="009A5EEE" w:rsidP="00A25E12">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B3573E" w:rsidRPr="00A25E12">
        <w:rPr>
          <w:rFonts w:ascii="Arial" w:hAnsi="Arial" w:cs="Arial"/>
          <w:color w:val="808080" w:themeColor="background1" w:themeShade="80"/>
          <w:sz w:val="16"/>
          <w:szCs w:val="16"/>
          <w:lang w:val="en-GB"/>
        </w:rPr>
        <w:t>Companies Act (2023 Revision), s</w:t>
      </w:r>
      <w:r w:rsidRPr="00A25E12">
        <w:rPr>
          <w:rFonts w:ascii="Arial" w:hAnsi="Arial" w:cs="Arial"/>
          <w:color w:val="808080" w:themeColor="background1" w:themeShade="80"/>
          <w:sz w:val="16"/>
          <w:szCs w:val="16"/>
          <w:lang w:val="en-GB"/>
        </w:rPr>
        <w:t>ection 91</w:t>
      </w:r>
    </w:p>
  </w:footnote>
  <w:footnote w:id="141">
    <w:p w14:paraId="1AF0F80C" w14:textId="56B10A89" w:rsidR="009713A4" w:rsidRPr="00A25E12" w:rsidRDefault="009713A4" w:rsidP="00A25E12">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Pr="00A25E12">
        <w:rPr>
          <w:rFonts w:ascii="Arial" w:hAnsi="Arial" w:cs="Arial"/>
          <w:color w:val="808080" w:themeColor="background1" w:themeShade="80"/>
          <w:sz w:val="16"/>
          <w:szCs w:val="16"/>
          <w:lang w:val="en-GB"/>
        </w:rPr>
        <w:t>Benjamin Tonner KC</w:t>
      </w:r>
      <w:r w:rsidRPr="00A25E12">
        <w:rPr>
          <w:rFonts w:ascii="Arial" w:hAnsi="Arial" w:cs="Arial"/>
          <w:color w:val="808080" w:themeColor="background1" w:themeShade="80"/>
          <w:sz w:val="16"/>
          <w:szCs w:val="16"/>
        </w:rPr>
        <w:t>,</w:t>
      </w:r>
      <w:r w:rsidRPr="00A25E12">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6</w:t>
      </w:r>
    </w:p>
  </w:footnote>
  <w:footnote w:id="142">
    <w:p w14:paraId="1112F80C" w14:textId="56183EC0" w:rsidR="0059502C" w:rsidRPr="00011ED5" w:rsidRDefault="0059502C" w:rsidP="00A25E12">
      <w:pPr>
        <w:pStyle w:val="FootnoteText"/>
        <w:jc w:val="both"/>
        <w:rPr>
          <w:rFonts w:ascii="Arial" w:hAnsi="Arial" w:cs="Arial"/>
          <w:sz w:val="16"/>
          <w:szCs w:val="16"/>
          <w:lang w:val="en-GB"/>
        </w:rPr>
      </w:pPr>
      <w:r w:rsidRPr="00A25E12">
        <w:rPr>
          <w:rStyle w:val="FootnoteReference"/>
          <w:rFonts w:ascii="Arial" w:hAnsi="Arial" w:cs="Arial"/>
          <w:sz w:val="16"/>
          <w:szCs w:val="16"/>
        </w:rPr>
        <w:footnoteRef/>
      </w:r>
      <w:r w:rsidRPr="00A25E12">
        <w:rPr>
          <w:rFonts w:ascii="Arial" w:hAnsi="Arial" w:cs="Arial"/>
          <w:sz w:val="16"/>
          <w:szCs w:val="16"/>
        </w:rPr>
        <w:t xml:space="preserve"> </w:t>
      </w:r>
      <w:r w:rsidR="00B3573E" w:rsidRPr="00A25E12">
        <w:rPr>
          <w:rFonts w:ascii="Arial" w:hAnsi="Arial" w:cs="Arial"/>
          <w:color w:val="808080" w:themeColor="background1" w:themeShade="80"/>
          <w:sz w:val="16"/>
          <w:szCs w:val="16"/>
          <w:lang w:val="en-GB"/>
        </w:rPr>
        <w:t>Companies Act (2023 Revision), s</w:t>
      </w:r>
      <w:r w:rsidRPr="00A25E12">
        <w:rPr>
          <w:rFonts w:ascii="Arial" w:hAnsi="Arial" w:cs="Arial"/>
          <w:color w:val="808080" w:themeColor="background1" w:themeShade="80"/>
          <w:sz w:val="16"/>
          <w:szCs w:val="16"/>
          <w:lang w:val="en-GB"/>
        </w:rPr>
        <w:t>ection 91</w:t>
      </w:r>
      <w:proofErr w:type="gramStart"/>
      <w:r w:rsidRPr="00A25E12">
        <w:rPr>
          <w:rFonts w:ascii="Arial" w:hAnsi="Arial" w:cs="Arial"/>
          <w:color w:val="808080" w:themeColor="background1" w:themeShade="80"/>
          <w:sz w:val="16"/>
          <w:szCs w:val="16"/>
          <w:lang w:val="en-GB"/>
        </w:rPr>
        <w:t>B(</w:t>
      </w:r>
      <w:proofErr w:type="gramEnd"/>
      <w:r w:rsidRPr="00A25E12">
        <w:rPr>
          <w:rFonts w:ascii="Arial" w:hAnsi="Arial" w:cs="Arial"/>
          <w:color w:val="808080" w:themeColor="background1" w:themeShade="80"/>
          <w:sz w:val="16"/>
          <w:szCs w:val="16"/>
          <w:lang w:val="en-GB"/>
        </w:rPr>
        <w:t>1)</w:t>
      </w:r>
    </w:p>
  </w:footnote>
  <w:footnote w:id="143">
    <w:p w14:paraId="28C9E5DD" w14:textId="6BB42EBD" w:rsidR="0059502C" w:rsidRPr="00011ED5" w:rsidRDefault="0059502C"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00D87A28">
        <w:rPr>
          <w:rFonts w:ascii="Arial" w:hAnsi="Arial" w:cs="Arial"/>
          <w:color w:val="808080" w:themeColor="background1" w:themeShade="80"/>
          <w:sz w:val="16"/>
          <w:szCs w:val="16"/>
          <w:lang w:val="en-GB"/>
        </w:rPr>
        <w:t>Ibid.</w:t>
      </w:r>
      <w:r w:rsidR="00B3573E" w:rsidRPr="00011ED5">
        <w:rPr>
          <w:rFonts w:ascii="Arial" w:hAnsi="Arial" w:cs="Arial"/>
          <w:color w:val="808080" w:themeColor="background1" w:themeShade="80"/>
          <w:sz w:val="16"/>
          <w:szCs w:val="16"/>
          <w:lang w:val="en-GB"/>
        </w:rPr>
        <w:t>, s</w:t>
      </w:r>
      <w:r w:rsidRPr="00011ED5">
        <w:rPr>
          <w:rFonts w:ascii="Arial" w:hAnsi="Arial" w:cs="Arial"/>
          <w:color w:val="808080" w:themeColor="background1" w:themeShade="80"/>
          <w:sz w:val="16"/>
          <w:szCs w:val="16"/>
          <w:lang w:val="en-GB"/>
        </w:rPr>
        <w:t>ection 91</w:t>
      </w:r>
      <w:proofErr w:type="gramStart"/>
      <w:r w:rsidRPr="00011ED5">
        <w:rPr>
          <w:rFonts w:ascii="Arial" w:hAnsi="Arial" w:cs="Arial"/>
          <w:color w:val="808080" w:themeColor="background1" w:themeShade="80"/>
          <w:sz w:val="16"/>
          <w:szCs w:val="16"/>
          <w:lang w:val="en-GB"/>
        </w:rPr>
        <w:t>B(</w:t>
      </w:r>
      <w:proofErr w:type="gramEnd"/>
      <w:r w:rsidRPr="00011ED5">
        <w:rPr>
          <w:rFonts w:ascii="Arial" w:hAnsi="Arial" w:cs="Arial"/>
          <w:color w:val="808080" w:themeColor="background1" w:themeShade="80"/>
          <w:sz w:val="16"/>
          <w:szCs w:val="16"/>
          <w:lang w:val="en-GB"/>
        </w:rPr>
        <w:t>2)</w:t>
      </w:r>
    </w:p>
  </w:footnote>
  <w:footnote w:id="144">
    <w:p w14:paraId="468D97F8" w14:textId="38A39970" w:rsidR="009713A4" w:rsidRPr="00011ED5" w:rsidRDefault="009713A4"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00D87A28">
        <w:rPr>
          <w:rFonts w:ascii="Arial" w:hAnsi="Arial" w:cs="Arial"/>
          <w:color w:val="808080" w:themeColor="background1" w:themeShade="80"/>
          <w:sz w:val="16"/>
          <w:szCs w:val="16"/>
          <w:lang w:val="en-GB"/>
        </w:rPr>
        <w:t>Ibid.</w:t>
      </w:r>
      <w:r w:rsidR="00B3573E" w:rsidRPr="00011ED5">
        <w:rPr>
          <w:rFonts w:ascii="Arial" w:hAnsi="Arial" w:cs="Arial"/>
          <w:color w:val="808080" w:themeColor="background1" w:themeShade="80"/>
          <w:sz w:val="16"/>
          <w:szCs w:val="16"/>
          <w:lang w:val="en-GB"/>
        </w:rPr>
        <w:t>, s</w:t>
      </w:r>
      <w:r w:rsidRPr="00011ED5">
        <w:rPr>
          <w:rFonts w:ascii="Arial" w:hAnsi="Arial" w:cs="Arial"/>
          <w:color w:val="808080" w:themeColor="background1" w:themeShade="80"/>
          <w:sz w:val="16"/>
          <w:szCs w:val="16"/>
          <w:lang w:val="en-GB"/>
        </w:rPr>
        <w:t>ection 91G(1)</w:t>
      </w:r>
      <w:r w:rsidR="00D813AE" w:rsidRPr="00011ED5">
        <w:rPr>
          <w:rFonts w:ascii="Arial" w:hAnsi="Arial" w:cs="Arial"/>
          <w:color w:val="808080" w:themeColor="background1" w:themeShade="80"/>
          <w:sz w:val="16"/>
          <w:szCs w:val="16"/>
          <w:lang w:val="en-GB"/>
        </w:rPr>
        <w:t>(a)</w:t>
      </w:r>
    </w:p>
  </w:footnote>
  <w:footnote w:id="145">
    <w:p w14:paraId="2B1985B4" w14:textId="77777777" w:rsidR="001C2EE4" w:rsidRPr="00011ED5" w:rsidRDefault="001C2EE4"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Pr="00011ED5">
        <w:rPr>
          <w:rFonts w:ascii="Arial" w:hAnsi="Arial" w:cs="Arial"/>
          <w:color w:val="808080" w:themeColor="background1" w:themeShade="80"/>
          <w:sz w:val="16"/>
          <w:szCs w:val="16"/>
          <w:lang w:val="en-GB"/>
        </w:rPr>
        <w:t>Benjamin Tonner KC</w:t>
      </w:r>
      <w:r w:rsidRPr="00011ED5">
        <w:rPr>
          <w:rFonts w:ascii="Arial" w:hAnsi="Arial" w:cs="Arial"/>
          <w:color w:val="808080" w:themeColor="background1" w:themeShade="80"/>
          <w:sz w:val="16"/>
          <w:szCs w:val="16"/>
        </w:rPr>
        <w:t>,</w:t>
      </w:r>
      <w:r w:rsidRPr="00011ED5">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8</w:t>
      </w:r>
    </w:p>
  </w:footnote>
  <w:footnote w:id="146">
    <w:p w14:paraId="60D76227" w14:textId="2F6B530F" w:rsidR="00E72347" w:rsidRPr="00011ED5" w:rsidRDefault="00E72347" w:rsidP="00011ED5">
      <w:pPr>
        <w:jc w:val="both"/>
        <w:rPr>
          <w:rFonts w:ascii="Arial" w:hAnsi="Arial" w:cs="Arial"/>
          <w:color w:val="808080" w:themeColor="background1" w:themeShade="80"/>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00FD7576" w:rsidRPr="00011ED5">
        <w:rPr>
          <w:rFonts w:ascii="Arial" w:hAnsi="Arial" w:cs="Arial"/>
          <w:color w:val="808080" w:themeColor="background1" w:themeShade="80"/>
          <w:sz w:val="16"/>
          <w:szCs w:val="16"/>
          <w:lang w:val="en-GB"/>
        </w:rPr>
        <w:t>Companies Winding Up Rules (2023 Consolidation)</w:t>
      </w:r>
      <w:r w:rsidR="00B3573E" w:rsidRPr="00011ED5">
        <w:rPr>
          <w:rFonts w:ascii="Arial" w:hAnsi="Arial" w:cs="Arial"/>
          <w:color w:val="808080" w:themeColor="background1" w:themeShade="80"/>
          <w:sz w:val="16"/>
          <w:szCs w:val="16"/>
          <w:lang w:val="en-GB"/>
        </w:rPr>
        <w:t xml:space="preserve">, </w:t>
      </w:r>
      <w:r w:rsidRPr="00011ED5">
        <w:rPr>
          <w:rFonts w:ascii="Arial" w:hAnsi="Arial" w:cs="Arial"/>
          <w:color w:val="808080" w:themeColor="background1" w:themeShade="80"/>
          <w:sz w:val="16"/>
          <w:szCs w:val="16"/>
          <w:lang w:val="en-GB"/>
        </w:rPr>
        <w:t>Order 1A, rule 2(2)</w:t>
      </w:r>
      <w:r w:rsidR="00D813AE" w:rsidRPr="00011ED5">
        <w:rPr>
          <w:rFonts w:ascii="Arial" w:hAnsi="Arial" w:cs="Arial"/>
          <w:color w:val="808080" w:themeColor="background1" w:themeShade="80"/>
          <w:sz w:val="16"/>
          <w:szCs w:val="16"/>
          <w:lang w:val="en-GB"/>
        </w:rPr>
        <w:t>(e)</w:t>
      </w:r>
    </w:p>
  </w:footnote>
  <w:footnote w:id="147">
    <w:p w14:paraId="31E03686" w14:textId="22FCA600" w:rsidR="00C31077" w:rsidRPr="00011ED5" w:rsidRDefault="00C31077"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00D87A28">
        <w:rPr>
          <w:rFonts w:ascii="Arial" w:hAnsi="Arial" w:cs="Arial"/>
          <w:color w:val="808080" w:themeColor="background1" w:themeShade="80"/>
          <w:sz w:val="16"/>
          <w:szCs w:val="16"/>
          <w:lang w:val="en-GB"/>
        </w:rPr>
        <w:t>Ibid.</w:t>
      </w:r>
      <w:r w:rsidR="00B3573E" w:rsidRPr="00011ED5">
        <w:rPr>
          <w:rFonts w:ascii="Arial" w:hAnsi="Arial" w:cs="Arial"/>
          <w:color w:val="808080" w:themeColor="background1" w:themeShade="80"/>
          <w:sz w:val="16"/>
          <w:szCs w:val="16"/>
          <w:lang w:val="en-GB"/>
        </w:rPr>
        <w:t xml:space="preserve">, </w:t>
      </w:r>
      <w:r w:rsidRPr="00011ED5">
        <w:rPr>
          <w:rFonts w:ascii="Arial" w:hAnsi="Arial" w:cs="Arial"/>
          <w:color w:val="808080" w:themeColor="background1" w:themeShade="80"/>
          <w:sz w:val="16"/>
          <w:szCs w:val="16"/>
          <w:lang w:val="en-GB"/>
        </w:rPr>
        <w:t>Order 1A, rule 2(3)</w:t>
      </w:r>
    </w:p>
  </w:footnote>
  <w:footnote w:id="148">
    <w:p w14:paraId="14449EE6" w14:textId="1A2D5474" w:rsidR="00F75168" w:rsidRPr="00011ED5" w:rsidRDefault="00F75168"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Pr="00011ED5">
        <w:rPr>
          <w:rFonts w:ascii="Arial" w:hAnsi="Arial" w:cs="Arial"/>
          <w:color w:val="808080" w:themeColor="background1" w:themeShade="80"/>
          <w:sz w:val="16"/>
          <w:szCs w:val="16"/>
          <w:lang w:val="en-GB"/>
        </w:rPr>
        <w:t>Benjamin Tonner KC</w:t>
      </w:r>
      <w:r w:rsidRPr="00011ED5">
        <w:rPr>
          <w:rFonts w:ascii="Arial" w:hAnsi="Arial" w:cs="Arial"/>
          <w:color w:val="808080" w:themeColor="background1" w:themeShade="80"/>
          <w:sz w:val="16"/>
          <w:szCs w:val="16"/>
        </w:rPr>
        <w:t>,</w:t>
      </w:r>
      <w:r w:rsidRPr="00011ED5">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57</w:t>
      </w:r>
    </w:p>
  </w:footnote>
  <w:footnote w:id="149">
    <w:p w14:paraId="5301FA54" w14:textId="6A308602" w:rsidR="00FD7576" w:rsidRPr="00011ED5" w:rsidRDefault="00FD7576"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Pr="00011ED5">
        <w:rPr>
          <w:rFonts w:ascii="Arial" w:hAnsi="Arial" w:cs="Arial"/>
          <w:color w:val="808080" w:themeColor="background1" w:themeShade="80"/>
          <w:sz w:val="16"/>
          <w:szCs w:val="16"/>
          <w:lang w:val="en-GB"/>
        </w:rPr>
        <w:t>Companies Winding Up Rules (2023 Consolidation), Order 1A, rule 1(6)</w:t>
      </w:r>
    </w:p>
  </w:footnote>
  <w:footnote w:id="150">
    <w:p w14:paraId="1C4677C3" w14:textId="763A7D33" w:rsidR="00FD7576" w:rsidRPr="00011ED5" w:rsidRDefault="00FD7576"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Pr="00011ED5">
        <w:rPr>
          <w:rFonts w:ascii="Arial" w:hAnsi="Arial" w:cs="Arial"/>
          <w:color w:val="808080" w:themeColor="background1" w:themeShade="80"/>
          <w:sz w:val="16"/>
          <w:szCs w:val="16"/>
          <w:lang w:val="en-GB"/>
        </w:rPr>
        <w:t>Benjamin Tonner KC</w:t>
      </w:r>
      <w:r w:rsidRPr="00011ED5">
        <w:rPr>
          <w:rFonts w:ascii="Arial" w:hAnsi="Arial" w:cs="Arial"/>
          <w:color w:val="808080" w:themeColor="background1" w:themeShade="80"/>
          <w:sz w:val="16"/>
          <w:szCs w:val="16"/>
        </w:rPr>
        <w:t>,</w:t>
      </w:r>
      <w:r w:rsidRPr="00011ED5">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57</w:t>
      </w:r>
    </w:p>
  </w:footnote>
  <w:footnote w:id="151">
    <w:p w14:paraId="0A2DB55E" w14:textId="108BC441" w:rsidR="00011ED5" w:rsidRPr="00011ED5" w:rsidRDefault="00011ED5" w:rsidP="00011ED5">
      <w:pPr>
        <w:pStyle w:val="FootnoteText"/>
        <w:jc w:val="both"/>
        <w:rPr>
          <w:rFonts w:ascii="Arial" w:hAnsi="Arial" w:cs="Arial"/>
          <w:sz w:val="16"/>
          <w:szCs w:val="16"/>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00D87A28">
        <w:rPr>
          <w:rFonts w:ascii="Arial" w:hAnsi="Arial" w:cs="Arial"/>
          <w:color w:val="808080" w:themeColor="background1" w:themeShade="80"/>
          <w:sz w:val="16"/>
          <w:szCs w:val="16"/>
          <w:lang w:val="en-GB"/>
        </w:rPr>
        <w:t>Ibid.</w:t>
      </w:r>
    </w:p>
  </w:footnote>
  <w:footnote w:id="152">
    <w:p w14:paraId="1B21AC8D" w14:textId="16D0F528" w:rsidR="00011ED5" w:rsidRPr="00011ED5" w:rsidRDefault="00011ED5" w:rsidP="00011ED5">
      <w:pPr>
        <w:pStyle w:val="FootnoteText"/>
        <w:jc w:val="both"/>
        <w:rPr>
          <w:lang w:val="en-GB"/>
        </w:rPr>
      </w:pPr>
      <w:r w:rsidRPr="00011ED5">
        <w:rPr>
          <w:rStyle w:val="FootnoteReference"/>
          <w:rFonts w:ascii="Arial" w:hAnsi="Arial" w:cs="Arial"/>
          <w:sz w:val="16"/>
          <w:szCs w:val="16"/>
        </w:rPr>
        <w:footnoteRef/>
      </w:r>
      <w:r w:rsidRPr="00011ED5">
        <w:rPr>
          <w:rFonts w:ascii="Arial" w:hAnsi="Arial" w:cs="Arial"/>
          <w:sz w:val="16"/>
          <w:szCs w:val="16"/>
        </w:rPr>
        <w:t xml:space="preserve"> </w:t>
      </w:r>
      <w:r w:rsidRPr="00011ED5">
        <w:rPr>
          <w:rFonts w:ascii="Arial" w:hAnsi="Arial" w:cs="Arial"/>
          <w:color w:val="808080" w:themeColor="background1" w:themeShade="80"/>
          <w:sz w:val="16"/>
          <w:szCs w:val="16"/>
          <w:lang w:val="en-GB"/>
        </w:rPr>
        <w:t>Companies Act (2023 Revision), section 91G(1)(b)</w:t>
      </w:r>
    </w:p>
  </w:footnote>
  <w:footnote w:id="153">
    <w:p w14:paraId="137B73C8" w14:textId="77777777" w:rsidR="003D4823" w:rsidRPr="0073400D" w:rsidRDefault="003D4823"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Pr="0073400D">
        <w:rPr>
          <w:rFonts w:ascii="Arial" w:hAnsi="Arial" w:cs="Arial"/>
          <w:color w:val="808080" w:themeColor="background1" w:themeShade="80"/>
          <w:sz w:val="16"/>
          <w:szCs w:val="16"/>
          <w:lang w:val="en-GB"/>
        </w:rPr>
        <w:t>Benjamin Tonner KC</w:t>
      </w:r>
      <w:r w:rsidRPr="0073400D">
        <w:rPr>
          <w:rFonts w:ascii="Arial" w:hAnsi="Arial" w:cs="Arial"/>
          <w:color w:val="808080" w:themeColor="background1" w:themeShade="80"/>
          <w:sz w:val="16"/>
          <w:szCs w:val="16"/>
        </w:rPr>
        <w:t>,</w:t>
      </w:r>
      <w:r w:rsidRPr="0073400D">
        <w:rPr>
          <w:rFonts w:ascii="Arial" w:hAnsi="Arial" w:cs="Arial"/>
          <w:color w:val="808080" w:themeColor="background1" w:themeShade="80"/>
          <w:sz w:val="16"/>
          <w:szCs w:val="16"/>
          <w:lang w:val="en-GB"/>
        </w:rPr>
        <w:t xml:space="preserve"> “INSOL International, Foundation Certificate in International Insolvency Law, Module 5C Guidance Text, Cayman Islands, 2023/2024”, p 48</w:t>
      </w:r>
    </w:p>
  </w:footnote>
  <w:footnote w:id="154">
    <w:p w14:paraId="0215886A" w14:textId="4B122E6F" w:rsidR="003D4823" w:rsidRPr="0073400D" w:rsidRDefault="003D4823"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D87A28" w:rsidRPr="0073400D">
        <w:rPr>
          <w:rFonts w:ascii="Arial" w:hAnsi="Arial" w:cs="Arial"/>
          <w:color w:val="808080" w:themeColor="background1" w:themeShade="80"/>
          <w:sz w:val="16"/>
          <w:szCs w:val="16"/>
          <w:lang w:val="en-GB"/>
        </w:rPr>
        <w:t>Ibid.</w:t>
      </w:r>
      <w:r w:rsidRPr="0073400D">
        <w:rPr>
          <w:rFonts w:ascii="Arial" w:hAnsi="Arial" w:cs="Arial"/>
          <w:color w:val="808080" w:themeColor="background1" w:themeShade="80"/>
          <w:sz w:val="16"/>
          <w:szCs w:val="16"/>
          <w:lang w:val="en-GB"/>
        </w:rPr>
        <w:t>, p 59</w:t>
      </w:r>
    </w:p>
  </w:footnote>
  <w:footnote w:id="155">
    <w:p w14:paraId="0F1F0C4C" w14:textId="03E7E0A7" w:rsidR="003D4823" w:rsidRPr="0073400D" w:rsidRDefault="003D4823"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D87A28" w:rsidRPr="0073400D">
        <w:rPr>
          <w:rFonts w:ascii="Arial" w:hAnsi="Arial" w:cs="Arial"/>
          <w:color w:val="808080" w:themeColor="background1" w:themeShade="80"/>
          <w:sz w:val="16"/>
          <w:szCs w:val="16"/>
          <w:lang w:val="en-GB"/>
        </w:rPr>
        <w:t>Ibid.</w:t>
      </w:r>
      <w:r w:rsidRPr="0073400D">
        <w:rPr>
          <w:rFonts w:ascii="Arial" w:hAnsi="Arial" w:cs="Arial"/>
          <w:color w:val="808080" w:themeColor="background1" w:themeShade="80"/>
          <w:sz w:val="16"/>
          <w:szCs w:val="16"/>
          <w:lang w:val="en-GB"/>
        </w:rPr>
        <w:t>, p 61</w:t>
      </w:r>
    </w:p>
  </w:footnote>
  <w:footnote w:id="156">
    <w:p w14:paraId="785F45A1" w14:textId="7793306B" w:rsidR="005E0202" w:rsidRPr="0073400D" w:rsidRDefault="005E0202"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D87A28" w:rsidRPr="0073400D">
        <w:rPr>
          <w:rFonts w:ascii="Arial" w:hAnsi="Arial" w:cs="Arial"/>
          <w:color w:val="808080" w:themeColor="background1" w:themeShade="80"/>
          <w:sz w:val="16"/>
          <w:szCs w:val="16"/>
          <w:lang w:val="en-GB"/>
        </w:rPr>
        <w:t>Ibid.</w:t>
      </w:r>
    </w:p>
  </w:footnote>
  <w:footnote w:id="157">
    <w:p w14:paraId="21796CC0" w14:textId="298EC352" w:rsidR="005E0202" w:rsidRPr="0073400D" w:rsidRDefault="005E0202"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D87A28" w:rsidRPr="0073400D">
        <w:rPr>
          <w:rFonts w:ascii="Arial" w:hAnsi="Arial" w:cs="Arial"/>
          <w:color w:val="808080" w:themeColor="background1" w:themeShade="80"/>
          <w:sz w:val="16"/>
          <w:szCs w:val="16"/>
          <w:lang w:val="en-GB"/>
        </w:rPr>
        <w:t>Ibid.</w:t>
      </w:r>
    </w:p>
  </w:footnote>
  <w:footnote w:id="158">
    <w:p w14:paraId="0F5047D1" w14:textId="3885725F" w:rsidR="005E0202" w:rsidRPr="0073400D" w:rsidRDefault="005E0202"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D87A28" w:rsidRPr="0073400D">
        <w:rPr>
          <w:rFonts w:ascii="Arial" w:hAnsi="Arial" w:cs="Arial"/>
          <w:color w:val="808080" w:themeColor="background1" w:themeShade="80"/>
          <w:sz w:val="16"/>
          <w:szCs w:val="16"/>
          <w:lang w:val="en-GB"/>
        </w:rPr>
        <w:t>Ibid.</w:t>
      </w:r>
      <w:r w:rsidRPr="0073400D">
        <w:rPr>
          <w:rFonts w:ascii="Arial" w:hAnsi="Arial" w:cs="Arial"/>
          <w:color w:val="808080" w:themeColor="background1" w:themeShade="80"/>
          <w:sz w:val="16"/>
          <w:szCs w:val="16"/>
          <w:lang w:val="en-GB"/>
        </w:rPr>
        <w:t>, p 78</w:t>
      </w:r>
    </w:p>
  </w:footnote>
  <w:footnote w:id="159">
    <w:p w14:paraId="3A879F84" w14:textId="77777777" w:rsidR="0068142F" w:rsidRPr="0073400D" w:rsidRDefault="0068142F"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Pr="0073400D">
        <w:rPr>
          <w:rFonts w:ascii="Arial" w:hAnsi="Arial" w:cs="Arial"/>
          <w:color w:val="808080" w:themeColor="background1" w:themeShade="80"/>
          <w:sz w:val="16"/>
          <w:szCs w:val="16"/>
          <w:lang w:val="en-GB"/>
        </w:rPr>
        <w:t>Ibid., p 59</w:t>
      </w:r>
    </w:p>
  </w:footnote>
  <w:footnote w:id="160">
    <w:p w14:paraId="397872C0" w14:textId="78A50B95" w:rsidR="005E0202" w:rsidRPr="0073400D" w:rsidRDefault="005E0202" w:rsidP="00A25E12">
      <w:pPr>
        <w:pStyle w:val="FootnoteText"/>
        <w:jc w:val="both"/>
        <w:rPr>
          <w:rFonts w:ascii="Arial" w:hAnsi="Arial" w:cs="Arial"/>
          <w:sz w:val="16"/>
          <w:szCs w:val="16"/>
          <w:highlight w:val="yellow"/>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7F2EFF" w:rsidRPr="0073400D">
        <w:rPr>
          <w:rFonts w:ascii="Arial" w:hAnsi="Arial" w:cs="Arial"/>
          <w:color w:val="808080" w:themeColor="background1" w:themeShade="80"/>
          <w:sz w:val="16"/>
          <w:szCs w:val="16"/>
          <w:lang w:val="en-GB"/>
        </w:rPr>
        <w:t>Ibid.,</w:t>
      </w:r>
      <w:r w:rsidRPr="0073400D">
        <w:rPr>
          <w:rFonts w:ascii="Arial" w:hAnsi="Arial" w:cs="Arial"/>
          <w:color w:val="808080" w:themeColor="background1" w:themeShade="80"/>
          <w:sz w:val="16"/>
          <w:szCs w:val="16"/>
          <w:lang w:val="en-GB"/>
        </w:rPr>
        <w:t xml:space="preserve"> p 61</w:t>
      </w:r>
    </w:p>
  </w:footnote>
  <w:footnote w:id="161">
    <w:p w14:paraId="4BDCA9AB" w14:textId="58650490" w:rsidR="0073400D" w:rsidRPr="0073400D" w:rsidRDefault="0073400D"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Pr="0073400D">
        <w:rPr>
          <w:rFonts w:ascii="Arial" w:hAnsi="Arial" w:cs="Arial"/>
          <w:color w:val="808080" w:themeColor="background1" w:themeShade="80"/>
          <w:sz w:val="16"/>
          <w:szCs w:val="16"/>
          <w:lang w:val="en-GB"/>
        </w:rPr>
        <w:t>Ibid., pp 61-62</w:t>
      </w:r>
    </w:p>
  </w:footnote>
  <w:footnote w:id="162">
    <w:p w14:paraId="53C2A6B0" w14:textId="7F6D4D52" w:rsidR="00E560E7" w:rsidRPr="0073400D" w:rsidRDefault="00E560E7" w:rsidP="00A25E12">
      <w:pPr>
        <w:pStyle w:val="FootnoteText"/>
        <w:jc w:val="both"/>
        <w:rPr>
          <w:rFonts w:ascii="Arial" w:hAnsi="Arial" w:cs="Arial"/>
          <w:sz w:val="16"/>
          <w:szCs w:val="16"/>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Pr="0073400D">
        <w:rPr>
          <w:rFonts w:ascii="Arial" w:hAnsi="Arial" w:cs="Arial"/>
          <w:color w:val="808080" w:themeColor="background1" w:themeShade="80"/>
          <w:sz w:val="16"/>
          <w:szCs w:val="16"/>
          <w:lang w:val="en-GB"/>
        </w:rPr>
        <w:t>Ibid., p 62</w:t>
      </w:r>
    </w:p>
  </w:footnote>
  <w:footnote w:id="163">
    <w:p w14:paraId="34C53E65" w14:textId="406BFD39" w:rsidR="00824981" w:rsidRPr="0073400D" w:rsidRDefault="00824981" w:rsidP="00A25E12">
      <w:pPr>
        <w:jc w:val="both"/>
        <w:rPr>
          <w:rFonts w:ascii="Arial" w:hAnsi="Arial" w:cs="Arial"/>
          <w:color w:val="808080" w:themeColor="background1" w:themeShade="80"/>
          <w:sz w:val="16"/>
          <w:szCs w:val="16"/>
          <w:highlight w:val="yellow"/>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E803EE" w:rsidRPr="0073400D">
        <w:rPr>
          <w:rFonts w:ascii="Arial" w:hAnsi="Arial" w:cs="Arial"/>
          <w:color w:val="808080" w:themeColor="background1" w:themeShade="80"/>
          <w:sz w:val="16"/>
          <w:szCs w:val="16"/>
          <w:lang w:val="en-GB"/>
        </w:rPr>
        <w:t>Ibid., p 63</w:t>
      </w:r>
    </w:p>
  </w:footnote>
  <w:footnote w:id="164">
    <w:p w14:paraId="01138A02" w14:textId="585B012C" w:rsidR="005E0202" w:rsidRPr="005E0202" w:rsidRDefault="005E0202" w:rsidP="00A25E12">
      <w:pPr>
        <w:pStyle w:val="FootnoteText"/>
        <w:jc w:val="both"/>
        <w:rPr>
          <w:lang w:val="en-GB"/>
        </w:rPr>
      </w:pPr>
      <w:r w:rsidRPr="0073400D">
        <w:rPr>
          <w:rStyle w:val="FootnoteReference"/>
          <w:rFonts w:ascii="Arial" w:hAnsi="Arial" w:cs="Arial"/>
          <w:sz w:val="16"/>
          <w:szCs w:val="16"/>
        </w:rPr>
        <w:footnoteRef/>
      </w:r>
      <w:r w:rsidRPr="0073400D">
        <w:rPr>
          <w:rFonts w:ascii="Arial" w:hAnsi="Arial" w:cs="Arial"/>
          <w:sz w:val="16"/>
          <w:szCs w:val="16"/>
        </w:rPr>
        <w:t xml:space="preserve"> </w:t>
      </w:r>
      <w:r w:rsidR="00E803EE" w:rsidRPr="0073400D">
        <w:rPr>
          <w:rFonts w:ascii="Arial" w:hAnsi="Arial" w:cs="Arial"/>
          <w:color w:val="808080" w:themeColor="background1" w:themeShade="80"/>
          <w:sz w:val="16"/>
          <w:szCs w:val="16"/>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84A71"/>
    <w:multiLevelType w:val="hybridMultilevel"/>
    <w:tmpl w:val="764E1F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4442C"/>
    <w:multiLevelType w:val="hybridMultilevel"/>
    <w:tmpl w:val="E99E0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6417B"/>
    <w:multiLevelType w:val="hybridMultilevel"/>
    <w:tmpl w:val="C02255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56D7F"/>
    <w:multiLevelType w:val="hybridMultilevel"/>
    <w:tmpl w:val="AEAA42DE"/>
    <w:lvl w:ilvl="0" w:tplc="87D6AE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6974CE"/>
    <w:multiLevelType w:val="hybridMultilevel"/>
    <w:tmpl w:val="8F74FACA"/>
    <w:lvl w:ilvl="0" w:tplc="C9020E7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26B08"/>
    <w:multiLevelType w:val="hybridMultilevel"/>
    <w:tmpl w:val="C318EC6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DA16D7"/>
    <w:multiLevelType w:val="hybridMultilevel"/>
    <w:tmpl w:val="290E4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7413B"/>
    <w:multiLevelType w:val="hybridMultilevel"/>
    <w:tmpl w:val="35905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4110A"/>
    <w:multiLevelType w:val="hybridMultilevel"/>
    <w:tmpl w:val="30129E38"/>
    <w:lvl w:ilvl="0" w:tplc="40709B88">
      <w:start w:val="1"/>
      <w:numFmt w:val="decimal"/>
      <w:lvlText w:val="%1)"/>
      <w:lvlJc w:val="left"/>
      <w:pPr>
        <w:ind w:left="1080" w:hanging="360"/>
      </w:pPr>
      <w:rPr>
        <w:rFonts w:ascii="Arial" w:eastAsia="Times New Roman" w:hAnsi="Arial" w:cs="Arial"/>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6" w15:restartNumberingAfterBreak="0">
    <w:nsid w:val="3B556A8C"/>
    <w:multiLevelType w:val="hybridMultilevel"/>
    <w:tmpl w:val="B65089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B5ED2"/>
    <w:multiLevelType w:val="hybridMultilevel"/>
    <w:tmpl w:val="E550E82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272AB8"/>
    <w:multiLevelType w:val="hybridMultilevel"/>
    <w:tmpl w:val="30DCBD6E"/>
    <w:lvl w:ilvl="0" w:tplc="BA0845D4">
      <w:start w:val="1"/>
      <w:numFmt w:val="decimal"/>
      <w:lvlText w:val="%1)"/>
      <w:lvlJc w:val="left"/>
      <w:pPr>
        <w:ind w:left="720" w:hanging="360"/>
      </w:pPr>
      <w:rPr>
        <w:rFonts w:ascii="Avenir Next" w:eastAsia="Times New Roman"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866BE"/>
    <w:multiLevelType w:val="hybridMultilevel"/>
    <w:tmpl w:val="673A9B22"/>
    <w:lvl w:ilvl="0" w:tplc="080292C2">
      <w:start w:val="1"/>
      <w:numFmt w:val="decimal"/>
      <w:lvlText w:val="%1)"/>
      <w:lvlJc w:val="left"/>
      <w:pPr>
        <w:ind w:left="720" w:hanging="360"/>
      </w:pPr>
      <w:rPr>
        <w:rFonts w:ascii="Avenir Next" w:eastAsia="Times New Roman"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84B3A"/>
    <w:multiLevelType w:val="hybridMultilevel"/>
    <w:tmpl w:val="F160967E"/>
    <w:lvl w:ilvl="0" w:tplc="9F82BF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D0B4247"/>
    <w:multiLevelType w:val="hybridMultilevel"/>
    <w:tmpl w:val="81308108"/>
    <w:lvl w:ilvl="0" w:tplc="AE7088CC">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DF943F3"/>
    <w:multiLevelType w:val="hybridMultilevel"/>
    <w:tmpl w:val="8886001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14D6F6F"/>
    <w:multiLevelType w:val="hybridMultilevel"/>
    <w:tmpl w:val="DB5CF0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774607">
    <w:abstractNumId w:val="20"/>
  </w:num>
  <w:num w:numId="2" w16cid:durableId="145172578">
    <w:abstractNumId w:val="13"/>
  </w:num>
  <w:num w:numId="3" w16cid:durableId="1676809188">
    <w:abstractNumId w:val="21"/>
  </w:num>
  <w:num w:numId="4" w16cid:durableId="1444419159">
    <w:abstractNumId w:val="11"/>
  </w:num>
  <w:num w:numId="5" w16cid:durableId="485165170">
    <w:abstractNumId w:val="8"/>
  </w:num>
  <w:num w:numId="6" w16cid:durableId="1258557534">
    <w:abstractNumId w:val="0"/>
  </w:num>
  <w:num w:numId="7" w16cid:durableId="261766110">
    <w:abstractNumId w:val="22"/>
  </w:num>
  <w:num w:numId="8" w16cid:durableId="955018065">
    <w:abstractNumId w:val="14"/>
  </w:num>
  <w:num w:numId="9" w16cid:durableId="1101485910">
    <w:abstractNumId w:val="26"/>
  </w:num>
  <w:num w:numId="10" w16cid:durableId="2095664648">
    <w:abstractNumId w:val="24"/>
  </w:num>
  <w:num w:numId="11" w16cid:durableId="13768560">
    <w:abstractNumId w:val="2"/>
  </w:num>
  <w:num w:numId="12" w16cid:durableId="9838264">
    <w:abstractNumId w:val="19"/>
  </w:num>
  <w:num w:numId="13" w16cid:durableId="1257401382">
    <w:abstractNumId w:val="18"/>
  </w:num>
  <w:num w:numId="14" w16cid:durableId="1182814851">
    <w:abstractNumId w:val="3"/>
  </w:num>
  <w:num w:numId="15" w16cid:durableId="917862761">
    <w:abstractNumId w:val="4"/>
  </w:num>
  <w:num w:numId="16" w16cid:durableId="2087459167">
    <w:abstractNumId w:val="10"/>
  </w:num>
  <w:num w:numId="17" w16cid:durableId="862667732">
    <w:abstractNumId w:val="25"/>
  </w:num>
  <w:num w:numId="18" w16cid:durableId="1366758313">
    <w:abstractNumId w:val="5"/>
  </w:num>
  <w:num w:numId="19" w16cid:durableId="995231241">
    <w:abstractNumId w:val="9"/>
  </w:num>
  <w:num w:numId="20" w16cid:durableId="792747049">
    <w:abstractNumId w:val="23"/>
  </w:num>
  <w:num w:numId="21" w16cid:durableId="117189386">
    <w:abstractNumId w:val="7"/>
  </w:num>
  <w:num w:numId="22" w16cid:durableId="1676498384">
    <w:abstractNumId w:val="6"/>
  </w:num>
  <w:num w:numId="23" w16cid:durableId="2040231718">
    <w:abstractNumId w:val="27"/>
  </w:num>
  <w:num w:numId="24" w16cid:durableId="1043940782">
    <w:abstractNumId w:val="17"/>
  </w:num>
  <w:num w:numId="25" w16cid:durableId="2003508792">
    <w:abstractNumId w:val="15"/>
  </w:num>
  <w:num w:numId="26" w16cid:durableId="902642357">
    <w:abstractNumId w:val="28"/>
  </w:num>
  <w:num w:numId="27" w16cid:durableId="576093167">
    <w:abstractNumId w:val="16"/>
  </w:num>
  <w:num w:numId="28" w16cid:durableId="17286464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0DF3"/>
    <w:rsid w:val="00002A17"/>
    <w:rsid w:val="00005B61"/>
    <w:rsid w:val="00007BF3"/>
    <w:rsid w:val="00007D08"/>
    <w:rsid w:val="00010BA0"/>
    <w:rsid w:val="00010D8B"/>
    <w:rsid w:val="00011ED5"/>
    <w:rsid w:val="00012094"/>
    <w:rsid w:val="000133B7"/>
    <w:rsid w:val="000148E1"/>
    <w:rsid w:val="00016475"/>
    <w:rsid w:val="00020557"/>
    <w:rsid w:val="000205AE"/>
    <w:rsid w:val="00021FC2"/>
    <w:rsid w:val="00023705"/>
    <w:rsid w:val="00023A3F"/>
    <w:rsid w:val="000250C7"/>
    <w:rsid w:val="00026F16"/>
    <w:rsid w:val="0003033F"/>
    <w:rsid w:val="00030F5B"/>
    <w:rsid w:val="00031B76"/>
    <w:rsid w:val="000342CB"/>
    <w:rsid w:val="00034D08"/>
    <w:rsid w:val="00037621"/>
    <w:rsid w:val="000423D1"/>
    <w:rsid w:val="00044D46"/>
    <w:rsid w:val="00045088"/>
    <w:rsid w:val="00045904"/>
    <w:rsid w:val="000459B9"/>
    <w:rsid w:val="000470D2"/>
    <w:rsid w:val="00047B1C"/>
    <w:rsid w:val="000502FD"/>
    <w:rsid w:val="00051D61"/>
    <w:rsid w:val="0005730C"/>
    <w:rsid w:val="000577D2"/>
    <w:rsid w:val="000624F3"/>
    <w:rsid w:val="000642BF"/>
    <w:rsid w:val="00065166"/>
    <w:rsid w:val="000659CF"/>
    <w:rsid w:val="000676FC"/>
    <w:rsid w:val="00074D92"/>
    <w:rsid w:val="0007587A"/>
    <w:rsid w:val="0007666D"/>
    <w:rsid w:val="00077E6A"/>
    <w:rsid w:val="00082609"/>
    <w:rsid w:val="00082740"/>
    <w:rsid w:val="000851CC"/>
    <w:rsid w:val="00087F21"/>
    <w:rsid w:val="00090DF5"/>
    <w:rsid w:val="00093BE8"/>
    <w:rsid w:val="00097763"/>
    <w:rsid w:val="00097D06"/>
    <w:rsid w:val="000A1A4D"/>
    <w:rsid w:val="000A2022"/>
    <w:rsid w:val="000A407B"/>
    <w:rsid w:val="000A68ED"/>
    <w:rsid w:val="000A7BE7"/>
    <w:rsid w:val="000B17A2"/>
    <w:rsid w:val="000B5106"/>
    <w:rsid w:val="000B5FF1"/>
    <w:rsid w:val="000B609F"/>
    <w:rsid w:val="000B6F28"/>
    <w:rsid w:val="000B701D"/>
    <w:rsid w:val="000C07A4"/>
    <w:rsid w:val="000C15AA"/>
    <w:rsid w:val="000C183D"/>
    <w:rsid w:val="000C22AB"/>
    <w:rsid w:val="000C38BD"/>
    <w:rsid w:val="000C3C07"/>
    <w:rsid w:val="000C3F26"/>
    <w:rsid w:val="000C7A3D"/>
    <w:rsid w:val="000D33BB"/>
    <w:rsid w:val="000D3FA3"/>
    <w:rsid w:val="000D4BFD"/>
    <w:rsid w:val="000D55A8"/>
    <w:rsid w:val="000E4841"/>
    <w:rsid w:val="000E5D3B"/>
    <w:rsid w:val="000E7448"/>
    <w:rsid w:val="000F1677"/>
    <w:rsid w:val="000F18C3"/>
    <w:rsid w:val="000F3D6C"/>
    <w:rsid w:val="000F6063"/>
    <w:rsid w:val="000F65DB"/>
    <w:rsid w:val="00101707"/>
    <w:rsid w:val="00102507"/>
    <w:rsid w:val="00102CC9"/>
    <w:rsid w:val="00103C92"/>
    <w:rsid w:val="0010593A"/>
    <w:rsid w:val="001062F8"/>
    <w:rsid w:val="00106BCB"/>
    <w:rsid w:val="001108F8"/>
    <w:rsid w:val="001115C8"/>
    <w:rsid w:val="001127CD"/>
    <w:rsid w:val="00112B4B"/>
    <w:rsid w:val="00112F4E"/>
    <w:rsid w:val="0011473D"/>
    <w:rsid w:val="00114B88"/>
    <w:rsid w:val="00115C85"/>
    <w:rsid w:val="0012098B"/>
    <w:rsid w:val="0012131D"/>
    <w:rsid w:val="00123855"/>
    <w:rsid w:val="00124A36"/>
    <w:rsid w:val="00126A4D"/>
    <w:rsid w:val="001270FA"/>
    <w:rsid w:val="00132AFB"/>
    <w:rsid w:val="0014171F"/>
    <w:rsid w:val="0014622C"/>
    <w:rsid w:val="001463D6"/>
    <w:rsid w:val="00152348"/>
    <w:rsid w:val="00152568"/>
    <w:rsid w:val="00153261"/>
    <w:rsid w:val="0015456D"/>
    <w:rsid w:val="00155959"/>
    <w:rsid w:val="00155D21"/>
    <w:rsid w:val="00155FA2"/>
    <w:rsid w:val="001561E9"/>
    <w:rsid w:val="00156B93"/>
    <w:rsid w:val="00160095"/>
    <w:rsid w:val="00161F1B"/>
    <w:rsid w:val="00162829"/>
    <w:rsid w:val="00162B52"/>
    <w:rsid w:val="001635CC"/>
    <w:rsid w:val="00163644"/>
    <w:rsid w:val="0016583A"/>
    <w:rsid w:val="001679E0"/>
    <w:rsid w:val="001722C5"/>
    <w:rsid w:val="001724E5"/>
    <w:rsid w:val="00177298"/>
    <w:rsid w:val="00180548"/>
    <w:rsid w:val="00180A87"/>
    <w:rsid w:val="00180AC4"/>
    <w:rsid w:val="00180CCE"/>
    <w:rsid w:val="0018267A"/>
    <w:rsid w:val="00182779"/>
    <w:rsid w:val="001830DF"/>
    <w:rsid w:val="0018424C"/>
    <w:rsid w:val="001877DF"/>
    <w:rsid w:val="00187F35"/>
    <w:rsid w:val="00190BCB"/>
    <w:rsid w:val="00194898"/>
    <w:rsid w:val="001957C6"/>
    <w:rsid w:val="001966D9"/>
    <w:rsid w:val="001971E8"/>
    <w:rsid w:val="00197AA0"/>
    <w:rsid w:val="001A007A"/>
    <w:rsid w:val="001A2348"/>
    <w:rsid w:val="001A268D"/>
    <w:rsid w:val="001A2813"/>
    <w:rsid w:val="001A3543"/>
    <w:rsid w:val="001A5D56"/>
    <w:rsid w:val="001A78AD"/>
    <w:rsid w:val="001A7E9A"/>
    <w:rsid w:val="001B0F70"/>
    <w:rsid w:val="001B3821"/>
    <w:rsid w:val="001B5016"/>
    <w:rsid w:val="001B5A6A"/>
    <w:rsid w:val="001B7057"/>
    <w:rsid w:val="001C1F56"/>
    <w:rsid w:val="001C2C02"/>
    <w:rsid w:val="001C2EE4"/>
    <w:rsid w:val="001C3DAE"/>
    <w:rsid w:val="001C4115"/>
    <w:rsid w:val="001C45FC"/>
    <w:rsid w:val="001C7954"/>
    <w:rsid w:val="001D0469"/>
    <w:rsid w:val="001D0DBD"/>
    <w:rsid w:val="001D13A8"/>
    <w:rsid w:val="001D183B"/>
    <w:rsid w:val="001D1C71"/>
    <w:rsid w:val="001D29C0"/>
    <w:rsid w:val="001D4862"/>
    <w:rsid w:val="001D5D9C"/>
    <w:rsid w:val="001E1392"/>
    <w:rsid w:val="001E23C7"/>
    <w:rsid w:val="001E251E"/>
    <w:rsid w:val="001E25B9"/>
    <w:rsid w:val="001E28D5"/>
    <w:rsid w:val="001E49E0"/>
    <w:rsid w:val="001E5FBC"/>
    <w:rsid w:val="001E7B5A"/>
    <w:rsid w:val="001F16A2"/>
    <w:rsid w:val="001F4433"/>
    <w:rsid w:val="001F7412"/>
    <w:rsid w:val="0020090A"/>
    <w:rsid w:val="00202DFE"/>
    <w:rsid w:val="0020725B"/>
    <w:rsid w:val="00210493"/>
    <w:rsid w:val="00210DF0"/>
    <w:rsid w:val="002110E5"/>
    <w:rsid w:val="002110F1"/>
    <w:rsid w:val="002172B8"/>
    <w:rsid w:val="00220342"/>
    <w:rsid w:val="00221152"/>
    <w:rsid w:val="00221846"/>
    <w:rsid w:val="00222D42"/>
    <w:rsid w:val="00223BB9"/>
    <w:rsid w:val="00224C1A"/>
    <w:rsid w:val="00226C1B"/>
    <w:rsid w:val="00227ED1"/>
    <w:rsid w:val="00231B8C"/>
    <w:rsid w:val="002356EA"/>
    <w:rsid w:val="0024116D"/>
    <w:rsid w:val="00241B44"/>
    <w:rsid w:val="00241BC4"/>
    <w:rsid w:val="00241FA3"/>
    <w:rsid w:val="00243952"/>
    <w:rsid w:val="00245EFB"/>
    <w:rsid w:val="002476AF"/>
    <w:rsid w:val="0025386E"/>
    <w:rsid w:val="002632D0"/>
    <w:rsid w:val="002638B0"/>
    <w:rsid w:val="002661AF"/>
    <w:rsid w:val="0026647A"/>
    <w:rsid w:val="002668D3"/>
    <w:rsid w:val="002677C4"/>
    <w:rsid w:val="0027299F"/>
    <w:rsid w:val="00272AD7"/>
    <w:rsid w:val="00272BD8"/>
    <w:rsid w:val="00282E82"/>
    <w:rsid w:val="00282E96"/>
    <w:rsid w:val="00283381"/>
    <w:rsid w:val="00284EBE"/>
    <w:rsid w:val="002856D3"/>
    <w:rsid w:val="0028728F"/>
    <w:rsid w:val="00290074"/>
    <w:rsid w:val="002903A7"/>
    <w:rsid w:val="0029433F"/>
    <w:rsid w:val="00294829"/>
    <w:rsid w:val="00295CBE"/>
    <w:rsid w:val="00296238"/>
    <w:rsid w:val="0029690F"/>
    <w:rsid w:val="00297AD7"/>
    <w:rsid w:val="00297C8A"/>
    <w:rsid w:val="002A0800"/>
    <w:rsid w:val="002A1366"/>
    <w:rsid w:val="002A15D9"/>
    <w:rsid w:val="002A1630"/>
    <w:rsid w:val="002A2659"/>
    <w:rsid w:val="002A2A60"/>
    <w:rsid w:val="002A2C21"/>
    <w:rsid w:val="002A37BB"/>
    <w:rsid w:val="002A4B95"/>
    <w:rsid w:val="002A7A6A"/>
    <w:rsid w:val="002A7F56"/>
    <w:rsid w:val="002B1C45"/>
    <w:rsid w:val="002B26AE"/>
    <w:rsid w:val="002B3A96"/>
    <w:rsid w:val="002B7C62"/>
    <w:rsid w:val="002C0794"/>
    <w:rsid w:val="002C13C8"/>
    <w:rsid w:val="002C3547"/>
    <w:rsid w:val="002C4B43"/>
    <w:rsid w:val="002D0021"/>
    <w:rsid w:val="002D163C"/>
    <w:rsid w:val="002D166E"/>
    <w:rsid w:val="002D1D01"/>
    <w:rsid w:val="002D299D"/>
    <w:rsid w:val="002D3473"/>
    <w:rsid w:val="002E111F"/>
    <w:rsid w:val="002E2B24"/>
    <w:rsid w:val="002F094F"/>
    <w:rsid w:val="002F1956"/>
    <w:rsid w:val="002F1E47"/>
    <w:rsid w:val="002F3440"/>
    <w:rsid w:val="002F5383"/>
    <w:rsid w:val="002F75A3"/>
    <w:rsid w:val="003016D1"/>
    <w:rsid w:val="00303C2F"/>
    <w:rsid w:val="003042CB"/>
    <w:rsid w:val="00305564"/>
    <w:rsid w:val="00310533"/>
    <w:rsid w:val="00311894"/>
    <w:rsid w:val="00313BD1"/>
    <w:rsid w:val="00313CDC"/>
    <w:rsid w:val="003144EF"/>
    <w:rsid w:val="003166C0"/>
    <w:rsid w:val="00316758"/>
    <w:rsid w:val="00317BC4"/>
    <w:rsid w:val="00320763"/>
    <w:rsid w:val="00326292"/>
    <w:rsid w:val="00326415"/>
    <w:rsid w:val="00326BA4"/>
    <w:rsid w:val="00326CD3"/>
    <w:rsid w:val="00326D65"/>
    <w:rsid w:val="00330835"/>
    <w:rsid w:val="00330937"/>
    <w:rsid w:val="00330F31"/>
    <w:rsid w:val="003319DD"/>
    <w:rsid w:val="00332C83"/>
    <w:rsid w:val="00333CA0"/>
    <w:rsid w:val="00334648"/>
    <w:rsid w:val="003357AD"/>
    <w:rsid w:val="00335BCB"/>
    <w:rsid w:val="003364AB"/>
    <w:rsid w:val="00336635"/>
    <w:rsid w:val="0033768C"/>
    <w:rsid w:val="00337938"/>
    <w:rsid w:val="00340769"/>
    <w:rsid w:val="00341AA6"/>
    <w:rsid w:val="00350F54"/>
    <w:rsid w:val="0035248F"/>
    <w:rsid w:val="00361A0A"/>
    <w:rsid w:val="00362ED3"/>
    <w:rsid w:val="00364836"/>
    <w:rsid w:val="0036565C"/>
    <w:rsid w:val="0036625E"/>
    <w:rsid w:val="00366EC3"/>
    <w:rsid w:val="00372C9F"/>
    <w:rsid w:val="00373856"/>
    <w:rsid w:val="0037465A"/>
    <w:rsid w:val="00376C7F"/>
    <w:rsid w:val="00377065"/>
    <w:rsid w:val="00381AA3"/>
    <w:rsid w:val="00382C98"/>
    <w:rsid w:val="00384FD9"/>
    <w:rsid w:val="0038533C"/>
    <w:rsid w:val="00386568"/>
    <w:rsid w:val="003878DD"/>
    <w:rsid w:val="00387B22"/>
    <w:rsid w:val="00390B57"/>
    <w:rsid w:val="00391C9D"/>
    <w:rsid w:val="00393079"/>
    <w:rsid w:val="003938A1"/>
    <w:rsid w:val="00394385"/>
    <w:rsid w:val="003948D5"/>
    <w:rsid w:val="00396821"/>
    <w:rsid w:val="00397D3A"/>
    <w:rsid w:val="003A0220"/>
    <w:rsid w:val="003A051E"/>
    <w:rsid w:val="003A177F"/>
    <w:rsid w:val="003A2780"/>
    <w:rsid w:val="003A7268"/>
    <w:rsid w:val="003A7A83"/>
    <w:rsid w:val="003B01B3"/>
    <w:rsid w:val="003B170F"/>
    <w:rsid w:val="003B21F0"/>
    <w:rsid w:val="003B3C5F"/>
    <w:rsid w:val="003C0E39"/>
    <w:rsid w:val="003C4471"/>
    <w:rsid w:val="003C6223"/>
    <w:rsid w:val="003D051F"/>
    <w:rsid w:val="003D0A6D"/>
    <w:rsid w:val="003D2666"/>
    <w:rsid w:val="003D3986"/>
    <w:rsid w:val="003D4823"/>
    <w:rsid w:val="003E0B16"/>
    <w:rsid w:val="003E3B05"/>
    <w:rsid w:val="003E572E"/>
    <w:rsid w:val="003E5804"/>
    <w:rsid w:val="003E67D1"/>
    <w:rsid w:val="003E7029"/>
    <w:rsid w:val="003E7675"/>
    <w:rsid w:val="003E7A90"/>
    <w:rsid w:val="003F2C7C"/>
    <w:rsid w:val="003F3E33"/>
    <w:rsid w:val="003F43A7"/>
    <w:rsid w:val="003F4C35"/>
    <w:rsid w:val="003F5E35"/>
    <w:rsid w:val="00403114"/>
    <w:rsid w:val="00404329"/>
    <w:rsid w:val="00405DC1"/>
    <w:rsid w:val="00406382"/>
    <w:rsid w:val="0040660B"/>
    <w:rsid w:val="00406B70"/>
    <w:rsid w:val="00410BFD"/>
    <w:rsid w:val="00411B72"/>
    <w:rsid w:val="00412F04"/>
    <w:rsid w:val="00413621"/>
    <w:rsid w:val="00414629"/>
    <w:rsid w:val="00415F1F"/>
    <w:rsid w:val="00416D2B"/>
    <w:rsid w:val="0042108F"/>
    <w:rsid w:val="0042605B"/>
    <w:rsid w:val="00430FED"/>
    <w:rsid w:val="004332DA"/>
    <w:rsid w:val="00433578"/>
    <w:rsid w:val="00434A8C"/>
    <w:rsid w:val="00437297"/>
    <w:rsid w:val="004374B5"/>
    <w:rsid w:val="00443AF1"/>
    <w:rsid w:val="00444284"/>
    <w:rsid w:val="00445CE6"/>
    <w:rsid w:val="00445D22"/>
    <w:rsid w:val="004478FC"/>
    <w:rsid w:val="00450563"/>
    <w:rsid w:val="00451EDC"/>
    <w:rsid w:val="004534C2"/>
    <w:rsid w:val="0045446F"/>
    <w:rsid w:val="0045683E"/>
    <w:rsid w:val="004572DB"/>
    <w:rsid w:val="00460072"/>
    <w:rsid w:val="00460F33"/>
    <w:rsid w:val="004614F9"/>
    <w:rsid w:val="0046268F"/>
    <w:rsid w:val="00463843"/>
    <w:rsid w:val="004659B2"/>
    <w:rsid w:val="00465B2D"/>
    <w:rsid w:val="00470D70"/>
    <w:rsid w:val="00472DD9"/>
    <w:rsid w:val="004748A9"/>
    <w:rsid w:val="004777F5"/>
    <w:rsid w:val="00477C72"/>
    <w:rsid w:val="004811F0"/>
    <w:rsid w:val="00482257"/>
    <w:rsid w:val="00484F85"/>
    <w:rsid w:val="00485632"/>
    <w:rsid w:val="004858A7"/>
    <w:rsid w:val="0048626D"/>
    <w:rsid w:val="00486B49"/>
    <w:rsid w:val="00486FA5"/>
    <w:rsid w:val="004870EC"/>
    <w:rsid w:val="0048787C"/>
    <w:rsid w:val="00491675"/>
    <w:rsid w:val="00493855"/>
    <w:rsid w:val="00495E79"/>
    <w:rsid w:val="00497926"/>
    <w:rsid w:val="00497E2A"/>
    <w:rsid w:val="004A0354"/>
    <w:rsid w:val="004A16EA"/>
    <w:rsid w:val="004A2D83"/>
    <w:rsid w:val="004A3880"/>
    <w:rsid w:val="004A3D56"/>
    <w:rsid w:val="004A57DD"/>
    <w:rsid w:val="004A7B51"/>
    <w:rsid w:val="004A7D71"/>
    <w:rsid w:val="004A7EF3"/>
    <w:rsid w:val="004B02E2"/>
    <w:rsid w:val="004B11FD"/>
    <w:rsid w:val="004B21F6"/>
    <w:rsid w:val="004B23A2"/>
    <w:rsid w:val="004B2EBC"/>
    <w:rsid w:val="004B70FC"/>
    <w:rsid w:val="004C447D"/>
    <w:rsid w:val="004C5EAD"/>
    <w:rsid w:val="004D121F"/>
    <w:rsid w:val="004D1A5A"/>
    <w:rsid w:val="004D2FFF"/>
    <w:rsid w:val="004D3721"/>
    <w:rsid w:val="004D4774"/>
    <w:rsid w:val="004D64F9"/>
    <w:rsid w:val="004E1DF4"/>
    <w:rsid w:val="004E3A6B"/>
    <w:rsid w:val="004E453C"/>
    <w:rsid w:val="004E4F90"/>
    <w:rsid w:val="004E622C"/>
    <w:rsid w:val="004F56FE"/>
    <w:rsid w:val="004F5FDF"/>
    <w:rsid w:val="00501EDC"/>
    <w:rsid w:val="0050366B"/>
    <w:rsid w:val="00504DEC"/>
    <w:rsid w:val="005111AC"/>
    <w:rsid w:val="00516358"/>
    <w:rsid w:val="005177FE"/>
    <w:rsid w:val="0051784A"/>
    <w:rsid w:val="0052263B"/>
    <w:rsid w:val="00524728"/>
    <w:rsid w:val="00524A1B"/>
    <w:rsid w:val="00524F3A"/>
    <w:rsid w:val="00525A4F"/>
    <w:rsid w:val="00527E1F"/>
    <w:rsid w:val="00527EDC"/>
    <w:rsid w:val="00530FC6"/>
    <w:rsid w:val="00532230"/>
    <w:rsid w:val="00532745"/>
    <w:rsid w:val="005327B7"/>
    <w:rsid w:val="005330C8"/>
    <w:rsid w:val="005331CA"/>
    <w:rsid w:val="00537970"/>
    <w:rsid w:val="00540E3A"/>
    <w:rsid w:val="0054384E"/>
    <w:rsid w:val="00544127"/>
    <w:rsid w:val="005463A9"/>
    <w:rsid w:val="00551038"/>
    <w:rsid w:val="00551AF2"/>
    <w:rsid w:val="00553EB2"/>
    <w:rsid w:val="005565DB"/>
    <w:rsid w:val="005575B8"/>
    <w:rsid w:val="00557DC2"/>
    <w:rsid w:val="00560534"/>
    <w:rsid w:val="0056391B"/>
    <w:rsid w:val="00563C37"/>
    <w:rsid w:val="005650E2"/>
    <w:rsid w:val="00566A62"/>
    <w:rsid w:val="00567AD7"/>
    <w:rsid w:val="00575B2D"/>
    <w:rsid w:val="00581A76"/>
    <w:rsid w:val="00582722"/>
    <w:rsid w:val="005833D0"/>
    <w:rsid w:val="005846F3"/>
    <w:rsid w:val="0058622F"/>
    <w:rsid w:val="00590FDE"/>
    <w:rsid w:val="00592F82"/>
    <w:rsid w:val="0059502C"/>
    <w:rsid w:val="005952E1"/>
    <w:rsid w:val="00595D2A"/>
    <w:rsid w:val="005A09FA"/>
    <w:rsid w:val="005A0B98"/>
    <w:rsid w:val="005A0CCA"/>
    <w:rsid w:val="005A1D34"/>
    <w:rsid w:val="005A2E18"/>
    <w:rsid w:val="005A6CAE"/>
    <w:rsid w:val="005A6FF2"/>
    <w:rsid w:val="005A726D"/>
    <w:rsid w:val="005A768D"/>
    <w:rsid w:val="005B1214"/>
    <w:rsid w:val="005B3A83"/>
    <w:rsid w:val="005B4245"/>
    <w:rsid w:val="005B67AC"/>
    <w:rsid w:val="005B6C5B"/>
    <w:rsid w:val="005B78A7"/>
    <w:rsid w:val="005B79F4"/>
    <w:rsid w:val="005B7ABE"/>
    <w:rsid w:val="005C0BA7"/>
    <w:rsid w:val="005C1E5B"/>
    <w:rsid w:val="005C32ED"/>
    <w:rsid w:val="005C50F9"/>
    <w:rsid w:val="005C5A6D"/>
    <w:rsid w:val="005C71DD"/>
    <w:rsid w:val="005D074C"/>
    <w:rsid w:val="005D16DD"/>
    <w:rsid w:val="005D187F"/>
    <w:rsid w:val="005D272B"/>
    <w:rsid w:val="005D43E0"/>
    <w:rsid w:val="005D58A3"/>
    <w:rsid w:val="005D5CF2"/>
    <w:rsid w:val="005D6519"/>
    <w:rsid w:val="005D7395"/>
    <w:rsid w:val="005E0202"/>
    <w:rsid w:val="005E1117"/>
    <w:rsid w:val="005E1B79"/>
    <w:rsid w:val="005E6076"/>
    <w:rsid w:val="005E7008"/>
    <w:rsid w:val="005F026D"/>
    <w:rsid w:val="005F182F"/>
    <w:rsid w:val="005F2AEA"/>
    <w:rsid w:val="005F2D0B"/>
    <w:rsid w:val="005F4B31"/>
    <w:rsid w:val="005F5A2B"/>
    <w:rsid w:val="005F6820"/>
    <w:rsid w:val="005F712B"/>
    <w:rsid w:val="00600EE8"/>
    <w:rsid w:val="006021B5"/>
    <w:rsid w:val="0060267E"/>
    <w:rsid w:val="00602B40"/>
    <w:rsid w:val="00606B72"/>
    <w:rsid w:val="00610388"/>
    <w:rsid w:val="00610AC7"/>
    <w:rsid w:val="00612CA5"/>
    <w:rsid w:val="006153EC"/>
    <w:rsid w:val="00620BF8"/>
    <w:rsid w:val="00621A17"/>
    <w:rsid w:val="00621B1D"/>
    <w:rsid w:val="0062606C"/>
    <w:rsid w:val="006265F9"/>
    <w:rsid w:val="0062664D"/>
    <w:rsid w:val="00626F19"/>
    <w:rsid w:val="00627CC9"/>
    <w:rsid w:val="00627E7B"/>
    <w:rsid w:val="00630542"/>
    <w:rsid w:val="006313E6"/>
    <w:rsid w:val="00632E44"/>
    <w:rsid w:val="00633808"/>
    <w:rsid w:val="00634622"/>
    <w:rsid w:val="00636808"/>
    <w:rsid w:val="00637826"/>
    <w:rsid w:val="00640498"/>
    <w:rsid w:val="00641515"/>
    <w:rsid w:val="0064201B"/>
    <w:rsid w:val="006464D1"/>
    <w:rsid w:val="00646C0B"/>
    <w:rsid w:val="0064763C"/>
    <w:rsid w:val="006476E1"/>
    <w:rsid w:val="00650CB6"/>
    <w:rsid w:val="00650FE1"/>
    <w:rsid w:val="0065404B"/>
    <w:rsid w:val="00654C2F"/>
    <w:rsid w:val="00657087"/>
    <w:rsid w:val="006570B4"/>
    <w:rsid w:val="006574C0"/>
    <w:rsid w:val="00661556"/>
    <w:rsid w:val="006615C6"/>
    <w:rsid w:val="006622B9"/>
    <w:rsid w:val="006639DB"/>
    <w:rsid w:val="006661EF"/>
    <w:rsid w:val="0067256F"/>
    <w:rsid w:val="0067763D"/>
    <w:rsid w:val="00677AEB"/>
    <w:rsid w:val="00680B0E"/>
    <w:rsid w:val="00680C6B"/>
    <w:rsid w:val="00680EF2"/>
    <w:rsid w:val="0068142F"/>
    <w:rsid w:val="00682A70"/>
    <w:rsid w:val="0068565B"/>
    <w:rsid w:val="00687A1D"/>
    <w:rsid w:val="0069007D"/>
    <w:rsid w:val="00694ED5"/>
    <w:rsid w:val="0069732C"/>
    <w:rsid w:val="00697EA1"/>
    <w:rsid w:val="006A0ED9"/>
    <w:rsid w:val="006A2646"/>
    <w:rsid w:val="006A5375"/>
    <w:rsid w:val="006A555D"/>
    <w:rsid w:val="006A6530"/>
    <w:rsid w:val="006A6982"/>
    <w:rsid w:val="006B09EF"/>
    <w:rsid w:val="006B2078"/>
    <w:rsid w:val="006B28CB"/>
    <w:rsid w:val="006B2C03"/>
    <w:rsid w:val="006B3B63"/>
    <w:rsid w:val="006B435A"/>
    <w:rsid w:val="006B4C64"/>
    <w:rsid w:val="006B6037"/>
    <w:rsid w:val="006C2D29"/>
    <w:rsid w:val="006C300A"/>
    <w:rsid w:val="006C3A13"/>
    <w:rsid w:val="006D26E2"/>
    <w:rsid w:val="006D301C"/>
    <w:rsid w:val="006D3096"/>
    <w:rsid w:val="006D3DC9"/>
    <w:rsid w:val="006D56AD"/>
    <w:rsid w:val="006D5AB3"/>
    <w:rsid w:val="006D6BD5"/>
    <w:rsid w:val="006E0F98"/>
    <w:rsid w:val="006E25AB"/>
    <w:rsid w:val="006E481A"/>
    <w:rsid w:val="006E5298"/>
    <w:rsid w:val="006E739F"/>
    <w:rsid w:val="006F4A78"/>
    <w:rsid w:val="006F734A"/>
    <w:rsid w:val="00700A0C"/>
    <w:rsid w:val="00700D83"/>
    <w:rsid w:val="00701643"/>
    <w:rsid w:val="00701D9F"/>
    <w:rsid w:val="00703087"/>
    <w:rsid w:val="00704852"/>
    <w:rsid w:val="00704F79"/>
    <w:rsid w:val="007074E9"/>
    <w:rsid w:val="00713DA4"/>
    <w:rsid w:val="00714BF1"/>
    <w:rsid w:val="00716FAF"/>
    <w:rsid w:val="00720C27"/>
    <w:rsid w:val="00721383"/>
    <w:rsid w:val="00721D29"/>
    <w:rsid w:val="00722148"/>
    <w:rsid w:val="007254B9"/>
    <w:rsid w:val="0072558E"/>
    <w:rsid w:val="00730322"/>
    <w:rsid w:val="0073158B"/>
    <w:rsid w:val="007333A0"/>
    <w:rsid w:val="007333CC"/>
    <w:rsid w:val="0073399A"/>
    <w:rsid w:val="0073400D"/>
    <w:rsid w:val="00736871"/>
    <w:rsid w:val="00740DAD"/>
    <w:rsid w:val="00743D46"/>
    <w:rsid w:val="007518A2"/>
    <w:rsid w:val="00756650"/>
    <w:rsid w:val="007603F5"/>
    <w:rsid w:val="00762D30"/>
    <w:rsid w:val="00764AA4"/>
    <w:rsid w:val="00764DB0"/>
    <w:rsid w:val="00765EFA"/>
    <w:rsid w:val="0076764D"/>
    <w:rsid w:val="007735C3"/>
    <w:rsid w:val="0077498C"/>
    <w:rsid w:val="00775E93"/>
    <w:rsid w:val="007808EB"/>
    <w:rsid w:val="007809BC"/>
    <w:rsid w:val="00782F11"/>
    <w:rsid w:val="007832C7"/>
    <w:rsid w:val="00784128"/>
    <w:rsid w:val="0078503C"/>
    <w:rsid w:val="007858EB"/>
    <w:rsid w:val="00787BCC"/>
    <w:rsid w:val="007914D4"/>
    <w:rsid w:val="00791792"/>
    <w:rsid w:val="00793173"/>
    <w:rsid w:val="00794230"/>
    <w:rsid w:val="0079520B"/>
    <w:rsid w:val="007A2A33"/>
    <w:rsid w:val="007A5465"/>
    <w:rsid w:val="007A63C4"/>
    <w:rsid w:val="007A64E0"/>
    <w:rsid w:val="007B22CF"/>
    <w:rsid w:val="007B2702"/>
    <w:rsid w:val="007B3A5E"/>
    <w:rsid w:val="007B5C89"/>
    <w:rsid w:val="007B6268"/>
    <w:rsid w:val="007C0FB0"/>
    <w:rsid w:val="007C1E7A"/>
    <w:rsid w:val="007C1FCC"/>
    <w:rsid w:val="007C3145"/>
    <w:rsid w:val="007C6201"/>
    <w:rsid w:val="007D11EE"/>
    <w:rsid w:val="007D38F5"/>
    <w:rsid w:val="007D6E1E"/>
    <w:rsid w:val="007D7C92"/>
    <w:rsid w:val="007E03FA"/>
    <w:rsid w:val="007E0ACD"/>
    <w:rsid w:val="007E1154"/>
    <w:rsid w:val="007E3906"/>
    <w:rsid w:val="007E6BA4"/>
    <w:rsid w:val="007E705B"/>
    <w:rsid w:val="007E7BF7"/>
    <w:rsid w:val="007F2EFF"/>
    <w:rsid w:val="007F41F8"/>
    <w:rsid w:val="007F4963"/>
    <w:rsid w:val="007F659B"/>
    <w:rsid w:val="00800FDA"/>
    <w:rsid w:val="00803C72"/>
    <w:rsid w:val="0080454E"/>
    <w:rsid w:val="00804C32"/>
    <w:rsid w:val="00806302"/>
    <w:rsid w:val="00807119"/>
    <w:rsid w:val="0081100A"/>
    <w:rsid w:val="0081173F"/>
    <w:rsid w:val="008170CD"/>
    <w:rsid w:val="0082483F"/>
    <w:rsid w:val="008248F5"/>
    <w:rsid w:val="00824981"/>
    <w:rsid w:val="008279C0"/>
    <w:rsid w:val="00830165"/>
    <w:rsid w:val="008307AE"/>
    <w:rsid w:val="00831B49"/>
    <w:rsid w:val="00832034"/>
    <w:rsid w:val="00832D5E"/>
    <w:rsid w:val="00842A47"/>
    <w:rsid w:val="008502FB"/>
    <w:rsid w:val="00850943"/>
    <w:rsid w:val="00853516"/>
    <w:rsid w:val="00853B56"/>
    <w:rsid w:val="0085474E"/>
    <w:rsid w:val="0085667F"/>
    <w:rsid w:val="008603C4"/>
    <w:rsid w:val="00863DEB"/>
    <w:rsid w:val="0086417D"/>
    <w:rsid w:val="00867701"/>
    <w:rsid w:val="008723F3"/>
    <w:rsid w:val="00874423"/>
    <w:rsid w:val="00874610"/>
    <w:rsid w:val="0087560E"/>
    <w:rsid w:val="00876F56"/>
    <w:rsid w:val="00881DE6"/>
    <w:rsid w:val="00882C06"/>
    <w:rsid w:val="008837A6"/>
    <w:rsid w:val="00884973"/>
    <w:rsid w:val="00887B68"/>
    <w:rsid w:val="00891116"/>
    <w:rsid w:val="0089145D"/>
    <w:rsid w:val="00891C94"/>
    <w:rsid w:val="00895389"/>
    <w:rsid w:val="0089589F"/>
    <w:rsid w:val="008959EB"/>
    <w:rsid w:val="00897D82"/>
    <w:rsid w:val="008A2ED8"/>
    <w:rsid w:val="008A34A3"/>
    <w:rsid w:val="008A4597"/>
    <w:rsid w:val="008A45A9"/>
    <w:rsid w:val="008A4DF2"/>
    <w:rsid w:val="008A6BA0"/>
    <w:rsid w:val="008A6CFE"/>
    <w:rsid w:val="008A7322"/>
    <w:rsid w:val="008A747E"/>
    <w:rsid w:val="008B24E4"/>
    <w:rsid w:val="008B3EBC"/>
    <w:rsid w:val="008B5333"/>
    <w:rsid w:val="008B6223"/>
    <w:rsid w:val="008B6BC5"/>
    <w:rsid w:val="008C4219"/>
    <w:rsid w:val="008C47DE"/>
    <w:rsid w:val="008C5FA3"/>
    <w:rsid w:val="008C66E0"/>
    <w:rsid w:val="008C7574"/>
    <w:rsid w:val="008C7E9D"/>
    <w:rsid w:val="008C7EB2"/>
    <w:rsid w:val="008D4FF8"/>
    <w:rsid w:val="008D7C65"/>
    <w:rsid w:val="008E3339"/>
    <w:rsid w:val="008E4E24"/>
    <w:rsid w:val="008E7E3D"/>
    <w:rsid w:val="008F2028"/>
    <w:rsid w:val="008F20FC"/>
    <w:rsid w:val="008F5D61"/>
    <w:rsid w:val="008F5FFE"/>
    <w:rsid w:val="008F6CAB"/>
    <w:rsid w:val="008F6D79"/>
    <w:rsid w:val="00901C7A"/>
    <w:rsid w:val="009028BA"/>
    <w:rsid w:val="00903017"/>
    <w:rsid w:val="00905A43"/>
    <w:rsid w:val="009062D5"/>
    <w:rsid w:val="00910EA4"/>
    <w:rsid w:val="00912C79"/>
    <w:rsid w:val="00913BF3"/>
    <w:rsid w:val="00920BE7"/>
    <w:rsid w:val="00921B8C"/>
    <w:rsid w:val="00923F0D"/>
    <w:rsid w:val="00924725"/>
    <w:rsid w:val="00924973"/>
    <w:rsid w:val="00927C9D"/>
    <w:rsid w:val="00931FD7"/>
    <w:rsid w:val="00942123"/>
    <w:rsid w:val="00946D82"/>
    <w:rsid w:val="0095093E"/>
    <w:rsid w:val="00950FC4"/>
    <w:rsid w:val="0095207B"/>
    <w:rsid w:val="00952187"/>
    <w:rsid w:val="009546C4"/>
    <w:rsid w:val="009570AE"/>
    <w:rsid w:val="009609D6"/>
    <w:rsid w:val="009614D0"/>
    <w:rsid w:val="00962045"/>
    <w:rsid w:val="009713A4"/>
    <w:rsid w:val="00971FCE"/>
    <w:rsid w:val="00980E61"/>
    <w:rsid w:val="00983B21"/>
    <w:rsid w:val="009858FC"/>
    <w:rsid w:val="00991428"/>
    <w:rsid w:val="0099169D"/>
    <w:rsid w:val="00992676"/>
    <w:rsid w:val="00993D93"/>
    <w:rsid w:val="009954B2"/>
    <w:rsid w:val="00996691"/>
    <w:rsid w:val="00996745"/>
    <w:rsid w:val="009A2174"/>
    <w:rsid w:val="009A3AB7"/>
    <w:rsid w:val="009A41BE"/>
    <w:rsid w:val="009A4862"/>
    <w:rsid w:val="009A5EEE"/>
    <w:rsid w:val="009A6826"/>
    <w:rsid w:val="009B02D1"/>
    <w:rsid w:val="009B02D9"/>
    <w:rsid w:val="009B0723"/>
    <w:rsid w:val="009B07AD"/>
    <w:rsid w:val="009B0883"/>
    <w:rsid w:val="009B08D2"/>
    <w:rsid w:val="009B15E2"/>
    <w:rsid w:val="009B19A6"/>
    <w:rsid w:val="009B4976"/>
    <w:rsid w:val="009B4EEC"/>
    <w:rsid w:val="009B51D0"/>
    <w:rsid w:val="009B7DC8"/>
    <w:rsid w:val="009C0B8E"/>
    <w:rsid w:val="009C1BC8"/>
    <w:rsid w:val="009C2442"/>
    <w:rsid w:val="009D0811"/>
    <w:rsid w:val="009D0EE1"/>
    <w:rsid w:val="009D20B1"/>
    <w:rsid w:val="009D3F45"/>
    <w:rsid w:val="009D456B"/>
    <w:rsid w:val="009D47B8"/>
    <w:rsid w:val="009D4F88"/>
    <w:rsid w:val="009D703C"/>
    <w:rsid w:val="009D7329"/>
    <w:rsid w:val="009E20F0"/>
    <w:rsid w:val="009E2AEB"/>
    <w:rsid w:val="009E2E27"/>
    <w:rsid w:val="009E45DF"/>
    <w:rsid w:val="009E4DE3"/>
    <w:rsid w:val="009E5A0E"/>
    <w:rsid w:val="009E60E9"/>
    <w:rsid w:val="009E6D33"/>
    <w:rsid w:val="009F240A"/>
    <w:rsid w:val="009F275E"/>
    <w:rsid w:val="00A02163"/>
    <w:rsid w:val="00A047EE"/>
    <w:rsid w:val="00A050A9"/>
    <w:rsid w:val="00A073BF"/>
    <w:rsid w:val="00A1048B"/>
    <w:rsid w:val="00A10C1E"/>
    <w:rsid w:val="00A1313A"/>
    <w:rsid w:val="00A13C2F"/>
    <w:rsid w:val="00A2161F"/>
    <w:rsid w:val="00A2274A"/>
    <w:rsid w:val="00A235B7"/>
    <w:rsid w:val="00A23B00"/>
    <w:rsid w:val="00A24BC0"/>
    <w:rsid w:val="00A25392"/>
    <w:rsid w:val="00A25E12"/>
    <w:rsid w:val="00A26898"/>
    <w:rsid w:val="00A27A7A"/>
    <w:rsid w:val="00A30968"/>
    <w:rsid w:val="00A33E6C"/>
    <w:rsid w:val="00A34ABE"/>
    <w:rsid w:val="00A3663E"/>
    <w:rsid w:val="00A36DC6"/>
    <w:rsid w:val="00A407EF"/>
    <w:rsid w:val="00A45A99"/>
    <w:rsid w:val="00A45E36"/>
    <w:rsid w:val="00A46B4C"/>
    <w:rsid w:val="00A46FE2"/>
    <w:rsid w:val="00A5117B"/>
    <w:rsid w:val="00A54EC4"/>
    <w:rsid w:val="00A56D34"/>
    <w:rsid w:val="00A60074"/>
    <w:rsid w:val="00A60D22"/>
    <w:rsid w:val="00A64C45"/>
    <w:rsid w:val="00A64D0E"/>
    <w:rsid w:val="00A64FEE"/>
    <w:rsid w:val="00A6627C"/>
    <w:rsid w:val="00A71019"/>
    <w:rsid w:val="00A71599"/>
    <w:rsid w:val="00A74CF5"/>
    <w:rsid w:val="00A74FCD"/>
    <w:rsid w:val="00A81029"/>
    <w:rsid w:val="00A845F5"/>
    <w:rsid w:val="00A8782C"/>
    <w:rsid w:val="00A96489"/>
    <w:rsid w:val="00A97143"/>
    <w:rsid w:val="00AA1465"/>
    <w:rsid w:val="00AA2502"/>
    <w:rsid w:val="00AA48CC"/>
    <w:rsid w:val="00AB0E3A"/>
    <w:rsid w:val="00AB1044"/>
    <w:rsid w:val="00AB2425"/>
    <w:rsid w:val="00AB685C"/>
    <w:rsid w:val="00AB6C2D"/>
    <w:rsid w:val="00AB77F6"/>
    <w:rsid w:val="00AC08F7"/>
    <w:rsid w:val="00AC2F1F"/>
    <w:rsid w:val="00AC3839"/>
    <w:rsid w:val="00AC3CBF"/>
    <w:rsid w:val="00AC4096"/>
    <w:rsid w:val="00AC43F8"/>
    <w:rsid w:val="00AC7082"/>
    <w:rsid w:val="00AD12C7"/>
    <w:rsid w:val="00AD4BE8"/>
    <w:rsid w:val="00AE0DEE"/>
    <w:rsid w:val="00AF09D8"/>
    <w:rsid w:val="00AF1774"/>
    <w:rsid w:val="00AF21F4"/>
    <w:rsid w:val="00AF2229"/>
    <w:rsid w:val="00AF228E"/>
    <w:rsid w:val="00AF38AC"/>
    <w:rsid w:val="00AF5FEF"/>
    <w:rsid w:val="00B006A2"/>
    <w:rsid w:val="00B016A8"/>
    <w:rsid w:val="00B06479"/>
    <w:rsid w:val="00B0695B"/>
    <w:rsid w:val="00B104EC"/>
    <w:rsid w:val="00B14819"/>
    <w:rsid w:val="00B15E2F"/>
    <w:rsid w:val="00B16C1A"/>
    <w:rsid w:val="00B17294"/>
    <w:rsid w:val="00B17AA9"/>
    <w:rsid w:val="00B17B35"/>
    <w:rsid w:val="00B2014C"/>
    <w:rsid w:val="00B215E6"/>
    <w:rsid w:val="00B251FF"/>
    <w:rsid w:val="00B272CF"/>
    <w:rsid w:val="00B31568"/>
    <w:rsid w:val="00B33992"/>
    <w:rsid w:val="00B3573E"/>
    <w:rsid w:val="00B36219"/>
    <w:rsid w:val="00B36834"/>
    <w:rsid w:val="00B37221"/>
    <w:rsid w:val="00B445D6"/>
    <w:rsid w:val="00B44713"/>
    <w:rsid w:val="00B47097"/>
    <w:rsid w:val="00B47B56"/>
    <w:rsid w:val="00B5007B"/>
    <w:rsid w:val="00B5053B"/>
    <w:rsid w:val="00B51B95"/>
    <w:rsid w:val="00B53FBE"/>
    <w:rsid w:val="00B5503F"/>
    <w:rsid w:val="00B5574E"/>
    <w:rsid w:val="00B55BFD"/>
    <w:rsid w:val="00B56103"/>
    <w:rsid w:val="00B56205"/>
    <w:rsid w:val="00B622B0"/>
    <w:rsid w:val="00B64929"/>
    <w:rsid w:val="00B70966"/>
    <w:rsid w:val="00B72A53"/>
    <w:rsid w:val="00B736DF"/>
    <w:rsid w:val="00B743D6"/>
    <w:rsid w:val="00B74ABA"/>
    <w:rsid w:val="00B74FBD"/>
    <w:rsid w:val="00B77D43"/>
    <w:rsid w:val="00B77F46"/>
    <w:rsid w:val="00B82586"/>
    <w:rsid w:val="00B829A3"/>
    <w:rsid w:val="00B8406D"/>
    <w:rsid w:val="00B84FFD"/>
    <w:rsid w:val="00B866C0"/>
    <w:rsid w:val="00B86DB1"/>
    <w:rsid w:val="00B87869"/>
    <w:rsid w:val="00B91335"/>
    <w:rsid w:val="00B92535"/>
    <w:rsid w:val="00B95944"/>
    <w:rsid w:val="00B95E71"/>
    <w:rsid w:val="00B9639B"/>
    <w:rsid w:val="00BA3AE6"/>
    <w:rsid w:val="00BA4008"/>
    <w:rsid w:val="00BA507B"/>
    <w:rsid w:val="00BB0731"/>
    <w:rsid w:val="00BB0F2B"/>
    <w:rsid w:val="00BB2484"/>
    <w:rsid w:val="00BB5647"/>
    <w:rsid w:val="00BB64EA"/>
    <w:rsid w:val="00BB6D1E"/>
    <w:rsid w:val="00BB7AEB"/>
    <w:rsid w:val="00BC385C"/>
    <w:rsid w:val="00BC3A55"/>
    <w:rsid w:val="00BC5A9E"/>
    <w:rsid w:val="00BC6F85"/>
    <w:rsid w:val="00BC7048"/>
    <w:rsid w:val="00BD3032"/>
    <w:rsid w:val="00BE3711"/>
    <w:rsid w:val="00BE4FF3"/>
    <w:rsid w:val="00BF0A83"/>
    <w:rsid w:val="00BF0CB5"/>
    <w:rsid w:val="00BF43E7"/>
    <w:rsid w:val="00BF50F7"/>
    <w:rsid w:val="00C00753"/>
    <w:rsid w:val="00C02F29"/>
    <w:rsid w:val="00C1128C"/>
    <w:rsid w:val="00C11574"/>
    <w:rsid w:val="00C17718"/>
    <w:rsid w:val="00C20AFE"/>
    <w:rsid w:val="00C223C1"/>
    <w:rsid w:val="00C22A25"/>
    <w:rsid w:val="00C263DD"/>
    <w:rsid w:val="00C31077"/>
    <w:rsid w:val="00C3293A"/>
    <w:rsid w:val="00C33138"/>
    <w:rsid w:val="00C341C8"/>
    <w:rsid w:val="00C35671"/>
    <w:rsid w:val="00C35B77"/>
    <w:rsid w:val="00C36344"/>
    <w:rsid w:val="00C376EB"/>
    <w:rsid w:val="00C40B12"/>
    <w:rsid w:val="00C41A0C"/>
    <w:rsid w:val="00C439F3"/>
    <w:rsid w:val="00C43B93"/>
    <w:rsid w:val="00C44C1F"/>
    <w:rsid w:val="00C46A92"/>
    <w:rsid w:val="00C46EC1"/>
    <w:rsid w:val="00C46F4C"/>
    <w:rsid w:val="00C47029"/>
    <w:rsid w:val="00C505C7"/>
    <w:rsid w:val="00C51FF7"/>
    <w:rsid w:val="00C52796"/>
    <w:rsid w:val="00C53E2C"/>
    <w:rsid w:val="00C5457B"/>
    <w:rsid w:val="00C550C8"/>
    <w:rsid w:val="00C55824"/>
    <w:rsid w:val="00C55B38"/>
    <w:rsid w:val="00C55E30"/>
    <w:rsid w:val="00C56B61"/>
    <w:rsid w:val="00C57903"/>
    <w:rsid w:val="00C606C3"/>
    <w:rsid w:val="00C620F4"/>
    <w:rsid w:val="00C63DDB"/>
    <w:rsid w:val="00C725B1"/>
    <w:rsid w:val="00C72848"/>
    <w:rsid w:val="00C74AA0"/>
    <w:rsid w:val="00C754A0"/>
    <w:rsid w:val="00C7736C"/>
    <w:rsid w:val="00C813F0"/>
    <w:rsid w:val="00C82D87"/>
    <w:rsid w:val="00C86949"/>
    <w:rsid w:val="00C8712A"/>
    <w:rsid w:val="00C902C8"/>
    <w:rsid w:val="00C91439"/>
    <w:rsid w:val="00C919D1"/>
    <w:rsid w:val="00C953A7"/>
    <w:rsid w:val="00C963D3"/>
    <w:rsid w:val="00CA3FFC"/>
    <w:rsid w:val="00CA6013"/>
    <w:rsid w:val="00CA64BA"/>
    <w:rsid w:val="00CA7FBB"/>
    <w:rsid w:val="00CB1983"/>
    <w:rsid w:val="00CB2322"/>
    <w:rsid w:val="00CB2364"/>
    <w:rsid w:val="00CB2C63"/>
    <w:rsid w:val="00CB2CBB"/>
    <w:rsid w:val="00CB4CC6"/>
    <w:rsid w:val="00CB7CAC"/>
    <w:rsid w:val="00CC0D22"/>
    <w:rsid w:val="00CC2199"/>
    <w:rsid w:val="00CC35A5"/>
    <w:rsid w:val="00CC3E1A"/>
    <w:rsid w:val="00CC5335"/>
    <w:rsid w:val="00CC58B5"/>
    <w:rsid w:val="00CC5BA4"/>
    <w:rsid w:val="00CC643F"/>
    <w:rsid w:val="00CC6748"/>
    <w:rsid w:val="00CD1CA2"/>
    <w:rsid w:val="00CD4998"/>
    <w:rsid w:val="00CD75B4"/>
    <w:rsid w:val="00CE1035"/>
    <w:rsid w:val="00CE4932"/>
    <w:rsid w:val="00CE5C07"/>
    <w:rsid w:val="00CE5DE1"/>
    <w:rsid w:val="00CE6E50"/>
    <w:rsid w:val="00CF200B"/>
    <w:rsid w:val="00CF2819"/>
    <w:rsid w:val="00CF28EC"/>
    <w:rsid w:val="00CF4F9D"/>
    <w:rsid w:val="00CF70DC"/>
    <w:rsid w:val="00CF7F84"/>
    <w:rsid w:val="00D04FD7"/>
    <w:rsid w:val="00D0502A"/>
    <w:rsid w:val="00D05D92"/>
    <w:rsid w:val="00D063C2"/>
    <w:rsid w:val="00D06A87"/>
    <w:rsid w:val="00D1279A"/>
    <w:rsid w:val="00D148DC"/>
    <w:rsid w:val="00D14E8F"/>
    <w:rsid w:val="00D14FAD"/>
    <w:rsid w:val="00D150B6"/>
    <w:rsid w:val="00D15D62"/>
    <w:rsid w:val="00D17FDC"/>
    <w:rsid w:val="00D20A53"/>
    <w:rsid w:val="00D218B4"/>
    <w:rsid w:val="00D21D8C"/>
    <w:rsid w:val="00D227E5"/>
    <w:rsid w:val="00D2713D"/>
    <w:rsid w:val="00D273B9"/>
    <w:rsid w:val="00D27CBC"/>
    <w:rsid w:val="00D32180"/>
    <w:rsid w:val="00D32B17"/>
    <w:rsid w:val="00D40D90"/>
    <w:rsid w:val="00D527D8"/>
    <w:rsid w:val="00D528EB"/>
    <w:rsid w:val="00D53719"/>
    <w:rsid w:val="00D54DA5"/>
    <w:rsid w:val="00D54DE8"/>
    <w:rsid w:val="00D60C45"/>
    <w:rsid w:val="00D61855"/>
    <w:rsid w:val="00D6188D"/>
    <w:rsid w:val="00D63EFD"/>
    <w:rsid w:val="00D6478B"/>
    <w:rsid w:val="00D65A89"/>
    <w:rsid w:val="00D66E24"/>
    <w:rsid w:val="00D67CC9"/>
    <w:rsid w:val="00D71E85"/>
    <w:rsid w:val="00D73E9C"/>
    <w:rsid w:val="00D7440A"/>
    <w:rsid w:val="00D8022B"/>
    <w:rsid w:val="00D813AE"/>
    <w:rsid w:val="00D83A13"/>
    <w:rsid w:val="00D84752"/>
    <w:rsid w:val="00D8493D"/>
    <w:rsid w:val="00D84F44"/>
    <w:rsid w:val="00D863BC"/>
    <w:rsid w:val="00D86B3B"/>
    <w:rsid w:val="00D8742C"/>
    <w:rsid w:val="00D8748A"/>
    <w:rsid w:val="00D87A28"/>
    <w:rsid w:val="00D93196"/>
    <w:rsid w:val="00D96C91"/>
    <w:rsid w:val="00D972A7"/>
    <w:rsid w:val="00D97C5C"/>
    <w:rsid w:val="00DA0DC0"/>
    <w:rsid w:val="00DA125E"/>
    <w:rsid w:val="00DA550A"/>
    <w:rsid w:val="00DB1756"/>
    <w:rsid w:val="00DB243C"/>
    <w:rsid w:val="00DB32AA"/>
    <w:rsid w:val="00DB482A"/>
    <w:rsid w:val="00DB49C4"/>
    <w:rsid w:val="00DB50FB"/>
    <w:rsid w:val="00DB56F2"/>
    <w:rsid w:val="00DB6C30"/>
    <w:rsid w:val="00DB6EF5"/>
    <w:rsid w:val="00DC0DC5"/>
    <w:rsid w:val="00DC3089"/>
    <w:rsid w:val="00DC36E8"/>
    <w:rsid w:val="00DC4420"/>
    <w:rsid w:val="00DC5950"/>
    <w:rsid w:val="00DD0802"/>
    <w:rsid w:val="00DD262A"/>
    <w:rsid w:val="00DD2E11"/>
    <w:rsid w:val="00DD6C53"/>
    <w:rsid w:val="00DD7084"/>
    <w:rsid w:val="00DE03AF"/>
    <w:rsid w:val="00DE121C"/>
    <w:rsid w:val="00DE2C7E"/>
    <w:rsid w:val="00DE6633"/>
    <w:rsid w:val="00DE68DE"/>
    <w:rsid w:val="00DE767A"/>
    <w:rsid w:val="00DF39C5"/>
    <w:rsid w:val="00DF47D4"/>
    <w:rsid w:val="00DF75F8"/>
    <w:rsid w:val="00DF7A3A"/>
    <w:rsid w:val="00E00C00"/>
    <w:rsid w:val="00E01521"/>
    <w:rsid w:val="00E01DA4"/>
    <w:rsid w:val="00E07C5A"/>
    <w:rsid w:val="00E1077A"/>
    <w:rsid w:val="00E10BAF"/>
    <w:rsid w:val="00E11933"/>
    <w:rsid w:val="00E11C54"/>
    <w:rsid w:val="00E137D6"/>
    <w:rsid w:val="00E15747"/>
    <w:rsid w:val="00E15BA9"/>
    <w:rsid w:val="00E16592"/>
    <w:rsid w:val="00E177F0"/>
    <w:rsid w:val="00E21A75"/>
    <w:rsid w:val="00E25582"/>
    <w:rsid w:val="00E26E19"/>
    <w:rsid w:val="00E30827"/>
    <w:rsid w:val="00E31DF3"/>
    <w:rsid w:val="00E321AD"/>
    <w:rsid w:val="00E365BB"/>
    <w:rsid w:val="00E3772B"/>
    <w:rsid w:val="00E37F0E"/>
    <w:rsid w:val="00E4294D"/>
    <w:rsid w:val="00E43D70"/>
    <w:rsid w:val="00E440F7"/>
    <w:rsid w:val="00E4467A"/>
    <w:rsid w:val="00E44704"/>
    <w:rsid w:val="00E450A4"/>
    <w:rsid w:val="00E4514F"/>
    <w:rsid w:val="00E45C5C"/>
    <w:rsid w:val="00E506BE"/>
    <w:rsid w:val="00E518EC"/>
    <w:rsid w:val="00E55547"/>
    <w:rsid w:val="00E55800"/>
    <w:rsid w:val="00E55912"/>
    <w:rsid w:val="00E55965"/>
    <w:rsid w:val="00E560E7"/>
    <w:rsid w:val="00E56559"/>
    <w:rsid w:val="00E5689F"/>
    <w:rsid w:val="00E57622"/>
    <w:rsid w:val="00E57FDC"/>
    <w:rsid w:val="00E6302B"/>
    <w:rsid w:val="00E641AD"/>
    <w:rsid w:val="00E6452F"/>
    <w:rsid w:val="00E64F45"/>
    <w:rsid w:val="00E6742D"/>
    <w:rsid w:val="00E7056F"/>
    <w:rsid w:val="00E71CB0"/>
    <w:rsid w:val="00E72325"/>
    <w:rsid w:val="00E72347"/>
    <w:rsid w:val="00E725C9"/>
    <w:rsid w:val="00E77C3D"/>
    <w:rsid w:val="00E803EE"/>
    <w:rsid w:val="00E80DB0"/>
    <w:rsid w:val="00E82DFD"/>
    <w:rsid w:val="00E86DA6"/>
    <w:rsid w:val="00E874C0"/>
    <w:rsid w:val="00E875A2"/>
    <w:rsid w:val="00E90991"/>
    <w:rsid w:val="00E909F0"/>
    <w:rsid w:val="00E90D47"/>
    <w:rsid w:val="00E93993"/>
    <w:rsid w:val="00E9597C"/>
    <w:rsid w:val="00E96067"/>
    <w:rsid w:val="00EA0913"/>
    <w:rsid w:val="00EA5B00"/>
    <w:rsid w:val="00EA6944"/>
    <w:rsid w:val="00EA6EC9"/>
    <w:rsid w:val="00EB146B"/>
    <w:rsid w:val="00EB45AC"/>
    <w:rsid w:val="00EB6338"/>
    <w:rsid w:val="00EC2D3D"/>
    <w:rsid w:val="00EC39C2"/>
    <w:rsid w:val="00EC4228"/>
    <w:rsid w:val="00EC441F"/>
    <w:rsid w:val="00EC4755"/>
    <w:rsid w:val="00EC6D86"/>
    <w:rsid w:val="00ED0BC4"/>
    <w:rsid w:val="00ED0EF8"/>
    <w:rsid w:val="00ED1D54"/>
    <w:rsid w:val="00ED2B28"/>
    <w:rsid w:val="00ED2D49"/>
    <w:rsid w:val="00ED447D"/>
    <w:rsid w:val="00ED5869"/>
    <w:rsid w:val="00ED5BDC"/>
    <w:rsid w:val="00ED757F"/>
    <w:rsid w:val="00ED7F52"/>
    <w:rsid w:val="00EE425D"/>
    <w:rsid w:val="00EE4971"/>
    <w:rsid w:val="00EE6C9B"/>
    <w:rsid w:val="00EE6CB0"/>
    <w:rsid w:val="00EF090E"/>
    <w:rsid w:val="00EF09E5"/>
    <w:rsid w:val="00EF1824"/>
    <w:rsid w:val="00EF411B"/>
    <w:rsid w:val="00EF5572"/>
    <w:rsid w:val="00F00D84"/>
    <w:rsid w:val="00F021F0"/>
    <w:rsid w:val="00F033DA"/>
    <w:rsid w:val="00F058A6"/>
    <w:rsid w:val="00F0730A"/>
    <w:rsid w:val="00F077B9"/>
    <w:rsid w:val="00F1211F"/>
    <w:rsid w:val="00F1258F"/>
    <w:rsid w:val="00F13691"/>
    <w:rsid w:val="00F13FB1"/>
    <w:rsid w:val="00F167E8"/>
    <w:rsid w:val="00F23563"/>
    <w:rsid w:val="00F25572"/>
    <w:rsid w:val="00F26102"/>
    <w:rsid w:val="00F27CD8"/>
    <w:rsid w:val="00F30351"/>
    <w:rsid w:val="00F32D7B"/>
    <w:rsid w:val="00F3323E"/>
    <w:rsid w:val="00F33C69"/>
    <w:rsid w:val="00F341F4"/>
    <w:rsid w:val="00F347CE"/>
    <w:rsid w:val="00F34F9D"/>
    <w:rsid w:val="00F35CCE"/>
    <w:rsid w:val="00F35EF3"/>
    <w:rsid w:val="00F427D0"/>
    <w:rsid w:val="00F46E4E"/>
    <w:rsid w:val="00F50639"/>
    <w:rsid w:val="00F54A06"/>
    <w:rsid w:val="00F5524B"/>
    <w:rsid w:val="00F60538"/>
    <w:rsid w:val="00F61431"/>
    <w:rsid w:val="00F61A69"/>
    <w:rsid w:val="00F61DD2"/>
    <w:rsid w:val="00F63290"/>
    <w:rsid w:val="00F66AFF"/>
    <w:rsid w:val="00F67B06"/>
    <w:rsid w:val="00F71433"/>
    <w:rsid w:val="00F730FA"/>
    <w:rsid w:val="00F74B75"/>
    <w:rsid w:val="00F75168"/>
    <w:rsid w:val="00F835E4"/>
    <w:rsid w:val="00F839E8"/>
    <w:rsid w:val="00F841B9"/>
    <w:rsid w:val="00F849DF"/>
    <w:rsid w:val="00F87B2E"/>
    <w:rsid w:val="00F92F12"/>
    <w:rsid w:val="00F9544F"/>
    <w:rsid w:val="00F960D5"/>
    <w:rsid w:val="00F9694E"/>
    <w:rsid w:val="00F97C5B"/>
    <w:rsid w:val="00FA179D"/>
    <w:rsid w:val="00FA18CF"/>
    <w:rsid w:val="00FA3D50"/>
    <w:rsid w:val="00FA66BB"/>
    <w:rsid w:val="00FB098C"/>
    <w:rsid w:val="00FB721C"/>
    <w:rsid w:val="00FB78D5"/>
    <w:rsid w:val="00FB7FBD"/>
    <w:rsid w:val="00FC2256"/>
    <w:rsid w:val="00FC2FBB"/>
    <w:rsid w:val="00FC374A"/>
    <w:rsid w:val="00FC71E3"/>
    <w:rsid w:val="00FC74C8"/>
    <w:rsid w:val="00FC7B47"/>
    <w:rsid w:val="00FC7E95"/>
    <w:rsid w:val="00FD035C"/>
    <w:rsid w:val="00FD133C"/>
    <w:rsid w:val="00FD1A35"/>
    <w:rsid w:val="00FD2EA4"/>
    <w:rsid w:val="00FD36C5"/>
    <w:rsid w:val="00FD420A"/>
    <w:rsid w:val="00FD6094"/>
    <w:rsid w:val="00FD6310"/>
    <w:rsid w:val="00FD7576"/>
    <w:rsid w:val="00FD7C7B"/>
    <w:rsid w:val="00FE08A2"/>
    <w:rsid w:val="00FE1D12"/>
    <w:rsid w:val="00FE2122"/>
    <w:rsid w:val="00FE2A86"/>
    <w:rsid w:val="00FE2DE2"/>
    <w:rsid w:val="00FE5C63"/>
    <w:rsid w:val="00FE658D"/>
    <w:rsid w:val="00FE6D2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5:docId w15:val="{C8C9380A-B95F-40C2-A27E-1DE8686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styleId="UnresolvedMention">
    <w:name w:val="Unresolved Mention"/>
    <w:basedOn w:val="DefaultParagraphFont"/>
    <w:uiPriority w:val="99"/>
    <w:semiHidden/>
    <w:unhideWhenUsed/>
    <w:rsid w:val="00D1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25880948">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0566494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376810141">
      <w:bodyDiv w:val="1"/>
      <w:marLeft w:val="0"/>
      <w:marRight w:val="0"/>
      <w:marTop w:val="0"/>
      <w:marBottom w:val="0"/>
      <w:divBdr>
        <w:top w:val="none" w:sz="0" w:space="0" w:color="auto"/>
        <w:left w:val="none" w:sz="0" w:space="0" w:color="auto"/>
        <w:bottom w:val="none" w:sz="0" w:space="0" w:color="auto"/>
        <w:right w:val="none" w:sz="0" w:space="0" w:color="auto"/>
      </w:divBdr>
      <w:divsChild>
        <w:div w:id="17395111">
          <w:marLeft w:val="0"/>
          <w:marRight w:val="0"/>
          <w:marTop w:val="0"/>
          <w:marBottom w:val="0"/>
          <w:divBdr>
            <w:top w:val="none" w:sz="0" w:space="0" w:color="auto"/>
            <w:left w:val="none" w:sz="0" w:space="0" w:color="auto"/>
            <w:bottom w:val="none" w:sz="0" w:space="0" w:color="auto"/>
            <w:right w:val="none" w:sz="0" w:space="0" w:color="auto"/>
          </w:divBdr>
        </w:div>
        <w:div w:id="1677222358">
          <w:marLeft w:val="0"/>
          <w:marRight w:val="0"/>
          <w:marTop w:val="0"/>
          <w:marBottom w:val="0"/>
          <w:divBdr>
            <w:top w:val="none" w:sz="0" w:space="0" w:color="auto"/>
            <w:left w:val="none" w:sz="0" w:space="0" w:color="auto"/>
            <w:bottom w:val="none" w:sz="0" w:space="0" w:color="auto"/>
            <w:right w:val="none" w:sz="0" w:space="0" w:color="auto"/>
          </w:divBdr>
        </w:div>
        <w:div w:id="1816025637">
          <w:marLeft w:val="0"/>
          <w:marRight w:val="0"/>
          <w:marTop w:val="0"/>
          <w:marBottom w:val="0"/>
          <w:divBdr>
            <w:top w:val="none" w:sz="0" w:space="0" w:color="auto"/>
            <w:left w:val="none" w:sz="0" w:space="0" w:color="auto"/>
            <w:bottom w:val="none" w:sz="0" w:space="0" w:color="auto"/>
            <w:right w:val="none" w:sz="0" w:space="0" w:color="auto"/>
          </w:divBdr>
        </w:div>
        <w:div w:id="1898971356">
          <w:marLeft w:val="0"/>
          <w:marRight w:val="0"/>
          <w:marTop w:val="0"/>
          <w:marBottom w:val="0"/>
          <w:divBdr>
            <w:top w:val="none" w:sz="0" w:space="0" w:color="auto"/>
            <w:left w:val="none" w:sz="0" w:space="0" w:color="auto"/>
            <w:bottom w:val="none" w:sz="0" w:space="0" w:color="auto"/>
            <w:right w:val="none" w:sz="0" w:space="0" w:color="auto"/>
          </w:divBdr>
        </w:div>
      </w:divsChild>
    </w:div>
    <w:div w:id="1449198487">
      <w:bodyDiv w:val="1"/>
      <w:marLeft w:val="0"/>
      <w:marRight w:val="0"/>
      <w:marTop w:val="0"/>
      <w:marBottom w:val="0"/>
      <w:divBdr>
        <w:top w:val="none" w:sz="0" w:space="0" w:color="auto"/>
        <w:left w:val="none" w:sz="0" w:space="0" w:color="auto"/>
        <w:bottom w:val="none" w:sz="0" w:space="0" w:color="auto"/>
        <w:right w:val="none" w:sz="0" w:space="0" w:color="auto"/>
      </w:divBdr>
      <w:divsChild>
        <w:div w:id="288512886">
          <w:marLeft w:val="0"/>
          <w:marRight w:val="0"/>
          <w:marTop w:val="0"/>
          <w:marBottom w:val="0"/>
          <w:divBdr>
            <w:top w:val="none" w:sz="0" w:space="0" w:color="auto"/>
            <w:left w:val="none" w:sz="0" w:space="0" w:color="auto"/>
            <w:bottom w:val="none" w:sz="0" w:space="0" w:color="auto"/>
            <w:right w:val="none" w:sz="0" w:space="0" w:color="auto"/>
          </w:divBdr>
        </w:div>
        <w:div w:id="1507861383">
          <w:marLeft w:val="0"/>
          <w:marRight w:val="0"/>
          <w:marTop w:val="0"/>
          <w:marBottom w:val="0"/>
          <w:divBdr>
            <w:top w:val="none" w:sz="0" w:space="0" w:color="auto"/>
            <w:left w:val="none" w:sz="0" w:space="0" w:color="auto"/>
            <w:bottom w:val="none" w:sz="0" w:space="0" w:color="auto"/>
            <w:right w:val="none" w:sz="0" w:space="0" w:color="auto"/>
          </w:divBdr>
        </w:div>
        <w:div w:id="1675297427">
          <w:marLeft w:val="0"/>
          <w:marRight w:val="0"/>
          <w:marTop w:val="0"/>
          <w:marBottom w:val="0"/>
          <w:divBdr>
            <w:top w:val="none" w:sz="0" w:space="0" w:color="auto"/>
            <w:left w:val="none" w:sz="0" w:space="0" w:color="auto"/>
            <w:bottom w:val="none" w:sz="0" w:space="0" w:color="auto"/>
            <w:right w:val="none" w:sz="0" w:space="0" w:color="auto"/>
          </w:divBdr>
        </w:div>
        <w:div w:id="2036034987">
          <w:marLeft w:val="0"/>
          <w:marRight w:val="0"/>
          <w:marTop w:val="0"/>
          <w:marBottom w:val="0"/>
          <w:divBdr>
            <w:top w:val="none" w:sz="0" w:space="0" w:color="auto"/>
            <w:left w:val="none" w:sz="0" w:space="0" w:color="auto"/>
            <w:bottom w:val="none" w:sz="0" w:space="0" w:color="auto"/>
            <w:right w:val="none" w:sz="0" w:space="0" w:color="auto"/>
          </w:divBdr>
        </w:div>
      </w:divsChild>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mpbellslegal.com/wp-content/uploads/2015/07/ICLG-to-Corporate-Recovery-Insolvency1.pdf" TargetMode="External"/><Relationship Id="rId13" Type="http://schemas.openxmlformats.org/officeDocument/2006/relationships/hyperlink" Target="https://www.ogier.com/news-and-insights/insights/enforcing-security-over-shares-of-a-cayman-company/" TargetMode="External"/><Relationship Id="rId18" Type="http://schemas.openxmlformats.org/officeDocument/2006/relationships/hyperlink" Target="https://www.careyolsen.com/sites/default/files/Cayman-Islands-restructuring-and-insolvency-country-comparative-guide.pdf" TargetMode="External"/><Relationship Id="rId26" Type="http://schemas.openxmlformats.org/officeDocument/2006/relationships/hyperlink" Target="https://www.bakerandpartners.com/insights/enforcement-of-foreign-arbitral-awards-in-the-cayman-islands/" TargetMode="External"/><Relationship Id="rId3" Type="http://schemas.openxmlformats.org/officeDocument/2006/relationships/hyperlink" Target="https://www.kroll.com/-/media/kroll-images/pdfs/cross-border-investigations.pdf" TargetMode="External"/><Relationship Id="rId21" Type="http://schemas.openxmlformats.org/officeDocument/2006/relationships/hyperlink" Target="https://www.harneys.com/insights/transaction-avoidance-in-the-cayman-islands-insolvency-context-voidable-preferences-under-s145-of-the-companies-act/" TargetMode="External"/><Relationship Id="rId7" Type="http://schemas.openxmlformats.org/officeDocument/2006/relationships/hyperlink" Target="https://www.campbellslegal.com/wp-content/uploads/2015/07/ICLG-to-Corporate-Recovery-Insolvency1.pdf" TargetMode="External"/><Relationship Id="rId12" Type="http://schemas.openxmlformats.org/officeDocument/2006/relationships/hyperlink" Target="https://www.deloitte.com/cbc/en/services/financial-advisory/services/ky-controllerships-and-receiverships.html" TargetMode="External"/><Relationship Id="rId17" Type="http://schemas.openxmlformats.org/officeDocument/2006/relationships/hyperlink" Target="https://www.walkersglobal.com/images/Publications/Advisory/2022/Global/Sequana_final.pdf" TargetMode="External"/><Relationship Id="rId25" Type="http://schemas.openxmlformats.org/officeDocument/2006/relationships/hyperlink" Target="https://www.conyers.com/wp-content/uploads/2020/01/Insolvency_Law-CAY-2.pdf" TargetMode="External"/><Relationship Id="rId2" Type="http://schemas.openxmlformats.org/officeDocument/2006/relationships/hyperlink" Target="https://www.collascrill.com/articles/rule-changes-of-relevance-to-insolvency-practitioners-in-the-cayman-islands/" TargetMode="External"/><Relationship Id="rId16" Type="http://schemas.openxmlformats.org/officeDocument/2006/relationships/hyperlink" Target="https://www.harneys.com/our-blogs/offshore-litigation/cayman-islands-insolvency-and-segregated-portfolios-grand-court-gives-new-guidance/" TargetMode="External"/><Relationship Id="rId20" Type="http://schemas.openxmlformats.org/officeDocument/2006/relationships/hyperlink" Target="https://www.careyolsen.com/sites/default/files/Cayman-Islands-restructuring-and-insolvency-country-comparative-guide.pdf" TargetMode="External"/><Relationship Id="rId29" Type="http://schemas.openxmlformats.org/officeDocument/2006/relationships/hyperlink" Target="http://www.chrisjohnsonltd.com/html/insolvency-guides/creditors.htm" TargetMode="External"/><Relationship Id="rId1" Type="http://schemas.openxmlformats.org/officeDocument/2006/relationships/hyperlink" Target="https://www.kroll.com/-/media/kroll-images/pdfs/cross-border-investigations.pdf" TargetMode="External"/><Relationship Id="rId6" Type="http://schemas.openxmlformats.org/officeDocument/2006/relationships/hyperlink" Target="https://www.campbellslegal.com/wp-content/uploads/2022/08/Cayman-Islands-Chapter-Enforcement-of-Judgement-2022.pdf" TargetMode="External"/><Relationship Id="rId11" Type="http://schemas.openxmlformats.org/officeDocument/2006/relationships/hyperlink" Target="https://www.walkersglobal.com/images/Publications/Advisory/2015/07.16.2015_Walkers_HK_ICR_Guide_Cayman_Companies.pdf" TargetMode="External"/><Relationship Id="rId24" Type="http://schemas.openxmlformats.org/officeDocument/2006/relationships/hyperlink" Target="https://www.harneys.com/insights/transaction-avoidance-in-the-cayman-islands-insolvency-context-dispositions-at-an-undervalue-section-146-of-the-companies-act/" TargetMode="External"/><Relationship Id="rId5" Type="http://schemas.openxmlformats.org/officeDocument/2006/relationships/hyperlink" Target="https://kobrekim.com/assets/Uploads/PDFs/GTDT-Enforcing-Foreign-Judgments-2018-Cayman-Islands2.PDF" TargetMode="External"/><Relationship Id="rId15" Type="http://schemas.openxmlformats.org/officeDocument/2006/relationships/hyperlink" Target="https://www.perunconsultants.com/en/blog/2020/7/02/glossary-liquidation-and-receivership-explained" TargetMode="External"/><Relationship Id="rId23" Type="http://schemas.openxmlformats.org/officeDocument/2006/relationships/hyperlink" Target="https://www.harneys.com/insights/transaction-avoidance-in-the-cayman-islands-insolvency-context-dispositions-at-an-undervalue-section-146-of-the-companies-act/" TargetMode="External"/><Relationship Id="rId28" Type="http://schemas.openxmlformats.org/officeDocument/2006/relationships/hyperlink" Target="https://www.bakerandpartners.com/insights/enforcement-of-foreign-arbitral-awards-in-the-cayman-islands/" TargetMode="External"/><Relationship Id="rId10" Type="http://schemas.openxmlformats.org/officeDocument/2006/relationships/hyperlink" Target="https://www.campbellslegal.com/wp-content/uploads/2015/07/ICLG-to-Corporate-Recovery-Insolvency1.pdf" TargetMode="External"/><Relationship Id="rId19" Type="http://schemas.openxmlformats.org/officeDocument/2006/relationships/hyperlink" Target="https://www.harneys.com/media/xbklsgg5/cayc15-directors-duties-_-obligations-under-cayman-islands-law-cayman-aug-23.pdf" TargetMode="External"/><Relationship Id="rId4" Type="http://schemas.openxmlformats.org/officeDocument/2006/relationships/hyperlink" Target="https://kobrekim.com/assets/Uploads/PDFs/GTDT-Enforcing-Foreign-Judgments-2018-Cayman-Islands2.PDF" TargetMode="External"/><Relationship Id="rId9" Type="http://schemas.openxmlformats.org/officeDocument/2006/relationships/hyperlink" Target="https://www.campbellslegal.com/wp-content/uploads/2015/07/ICLG-to-Corporate-Recovery-Insolvency1.pdf" TargetMode="External"/><Relationship Id="rId14" Type="http://schemas.openxmlformats.org/officeDocument/2006/relationships/hyperlink" Target="https://www.walkersglobal.com/images/Publications/Advisory/2015/07.16.2015_Walkers_HK_ICR_Guide_Cayman_Companies.pdf" TargetMode="External"/><Relationship Id="rId22" Type="http://schemas.openxmlformats.org/officeDocument/2006/relationships/hyperlink" Target="https://maples.com/en/knowledge-centre/2019/8/weavering-cayman-islands-clawbacks-and-investor-certainty" TargetMode="External"/><Relationship Id="rId27" Type="http://schemas.openxmlformats.org/officeDocument/2006/relationships/hyperlink" Target="https://www.bakerandpartners.com/insights/enforcement-of-foreign-arbitral-awards-in-the-cayman-islands/" TargetMode="External"/><Relationship Id="rId30" Type="http://schemas.openxmlformats.org/officeDocument/2006/relationships/hyperlink" Target="https://www.campbellslegal.com/wp-content/uploads/2022/01/Chambers-Insolvency-2021-Cayman-Is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23</Pages>
  <Words>8793</Words>
  <Characters>50126</Characters>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2019-08-27T05:42:00Z</cp:lastPrinted>
  <dcterms:created xsi:type="dcterms:W3CDTF">2023-01-20T08:18:00Z</dcterms:created>
  <dcterms:modified xsi:type="dcterms:W3CDTF">2024-06-17T15:48:00Z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