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Pr="00041D2C" w:rsidRDefault="00656DA7" w:rsidP="00524728">
      <w:pPr>
        <w:jc w:val="center"/>
        <w:rPr>
          <w:rFonts w:ascii="Arial" w:hAnsi="Arial" w:cs="Arial"/>
          <w:b/>
          <w:sz w:val="22"/>
          <w:szCs w:val="22"/>
          <w:lang w:val="en-GB"/>
        </w:rPr>
      </w:pPr>
      <w:r w:rsidRPr="00041D2C">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Pr="00041D2C" w:rsidRDefault="004B23A2" w:rsidP="00592F82">
      <w:pPr>
        <w:jc w:val="center"/>
        <w:rPr>
          <w:rFonts w:ascii="Arial" w:hAnsi="Arial" w:cs="Arial"/>
          <w:b/>
          <w:sz w:val="22"/>
          <w:szCs w:val="22"/>
          <w:lang w:val="en-GB"/>
        </w:rPr>
      </w:pPr>
    </w:p>
    <w:p w14:paraId="4179622F" w14:textId="68E3C07D" w:rsidR="00397D3A" w:rsidRPr="00041D2C" w:rsidRDefault="00397D3A" w:rsidP="00592F82">
      <w:pPr>
        <w:jc w:val="center"/>
        <w:rPr>
          <w:rFonts w:ascii="Arial" w:hAnsi="Arial" w:cs="Arial"/>
          <w:b/>
          <w:sz w:val="22"/>
          <w:szCs w:val="22"/>
          <w:lang w:val="en-GB"/>
        </w:rPr>
      </w:pPr>
    </w:p>
    <w:p w14:paraId="045C7386" w14:textId="06C377C6" w:rsidR="00437297" w:rsidRPr="00041D2C" w:rsidRDefault="00437297" w:rsidP="00592F82">
      <w:pPr>
        <w:jc w:val="center"/>
        <w:rPr>
          <w:rFonts w:ascii="Arial" w:hAnsi="Arial" w:cs="Arial"/>
          <w:b/>
          <w:sz w:val="22"/>
          <w:szCs w:val="22"/>
          <w:lang w:val="en-GB"/>
        </w:rPr>
      </w:pPr>
    </w:p>
    <w:p w14:paraId="13D68906" w14:textId="77777777" w:rsidR="00437297" w:rsidRPr="00041D2C" w:rsidRDefault="00437297" w:rsidP="00592F82">
      <w:pPr>
        <w:jc w:val="center"/>
        <w:rPr>
          <w:rFonts w:ascii="Arial" w:hAnsi="Arial" w:cs="Arial"/>
          <w:b/>
          <w:sz w:val="22"/>
          <w:szCs w:val="22"/>
          <w:lang w:val="en-GB"/>
        </w:rPr>
      </w:pPr>
    </w:p>
    <w:p w14:paraId="076E39C1" w14:textId="2AAA5B09" w:rsidR="00397D3A" w:rsidRPr="00041D2C" w:rsidRDefault="00397D3A" w:rsidP="00592F82">
      <w:pPr>
        <w:jc w:val="center"/>
        <w:rPr>
          <w:rFonts w:ascii="Arial" w:hAnsi="Arial" w:cs="Arial"/>
          <w:b/>
          <w:sz w:val="22"/>
          <w:szCs w:val="22"/>
          <w:lang w:val="en-GB"/>
        </w:rPr>
      </w:pPr>
    </w:p>
    <w:p w14:paraId="64732B67" w14:textId="77777777" w:rsidR="00397D3A" w:rsidRPr="00041D2C" w:rsidRDefault="00397D3A" w:rsidP="00592F82">
      <w:pPr>
        <w:jc w:val="center"/>
        <w:rPr>
          <w:rFonts w:ascii="Arial" w:hAnsi="Arial" w:cs="Arial"/>
          <w:b/>
          <w:sz w:val="22"/>
          <w:szCs w:val="22"/>
          <w:lang w:val="en-GB"/>
        </w:rPr>
      </w:pPr>
    </w:p>
    <w:p w14:paraId="14C6FED8" w14:textId="77777777" w:rsidR="00E93993" w:rsidRPr="00041D2C" w:rsidRDefault="00E93993" w:rsidP="00592F82">
      <w:pPr>
        <w:jc w:val="center"/>
        <w:rPr>
          <w:rFonts w:ascii="Arial" w:hAnsi="Arial" w:cs="Arial"/>
          <w:b/>
          <w:sz w:val="22"/>
          <w:szCs w:val="22"/>
          <w:lang w:val="en-GB"/>
        </w:rPr>
      </w:pPr>
    </w:p>
    <w:p w14:paraId="16393F7E" w14:textId="77777777" w:rsidR="00434A8C" w:rsidRPr="00041D2C"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041D2C"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041D2C">
        <w:rPr>
          <w:rFonts w:ascii="Avenir Next Demi Bold" w:hAnsi="Avenir Next Demi Bold" w:cs="Arial"/>
          <w:b/>
          <w:bCs/>
          <w:color w:val="000000" w:themeColor="text1"/>
          <w:sz w:val="24"/>
          <w:lang w:val="en-GB"/>
        </w:rPr>
        <w:t xml:space="preserve">SUMMATIVE (FORMAL) </w:t>
      </w:r>
      <w:r w:rsidR="009D0811" w:rsidRPr="00041D2C">
        <w:rPr>
          <w:rFonts w:ascii="Avenir Next Demi Bold" w:hAnsi="Avenir Next Demi Bold" w:cs="Arial"/>
          <w:b/>
          <w:bCs/>
          <w:color w:val="000000" w:themeColor="text1"/>
          <w:sz w:val="24"/>
          <w:lang w:val="en-GB"/>
        </w:rPr>
        <w:t xml:space="preserve">ASSESSMENT: MODULE </w:t>
      </w:r>
      <w:r w:rsidR="00996691" w:rsidRPr="00041D2C">
        <w:rPr>
          <w:rFonts w:ascii="Avenir Next Demi Bold" w:hAnsi="Avenir Next Demi Bold" w:cs="Arial"/>
          <w:b/>
          <w:bCs/>
          <w:color w:val="000000" w:themeColor="text1"/>
          <w:sz w:val="24"/>
          <w:lang w:val="en-GB"/>
        </w:rPr>
        <w:t>2</w:t>
      </w:r>
      <w:r w:rsidR="00C52796" w:rsidRPr="00041D2C">
        <w:rPr>
          <w:rFonts w:ascii="Avenir Next Demi Bold" w:hAnsi="Avenir Next Demi Bold" w:cs="Arial"/>
          <w:b/>
          <w:bCs/>
          <w:color w:val="000000" w:themeColor="text1"/>
          <w:sz w:val="24"/>
          <w:lang w:val="en-GB"/>
        </w:rPr>
        <w:t>B</w:t>
      </w:r>
    </w:p>
    <w:p w14:paraId="1DCE41A2" w14:textId="0CB8A9C3" w:rsidR="002638B0" w:rsidRPr="00041D2C"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041D2C"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041D2C">
        <w:rPr>
          <w:rFonts w:ascii="Avenir Next Demi Bold" w:hAnsi="Avenir Next Demi Bold" w:cs="Arial"/>
          <w:b/>
          <w:bCs/>
          <w:color w:val="000000" w:themeColor="text1"/>
          <w:sz w:val="24"/>
          <w:lang w:val="en-GB"/>
        </w:rPr>
        <w:t xml:space="preserve">THE </w:t>
      </w:r>
      <w:r w:rsidR="00C52796" w:rsidRPr="00041D2C">
        <w:rPr>
          <w:rFonts w:ascii="Avenir Next Demi Bold" w:hAnsi="Avenir Next Demi Bold" w:cs="Arial"/>
          <w:b/>
          <w:bCs/>
          <w:color w:val="000000" w:themeColor="text1"/>
          <w:sz w:val="24"/>
          <w:lang w:val="en-GB"/>
        </w:rPr>
        <w:t>EUROPEAN INSOLVENCY REGULATION</w:t>
      </w:r>
    </w:p>
    <w:p w14:paraId="5E119630" w14:textId="77777777" w:rsidR="00434A8C" w:rsidRPr="00041D2C"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Pr="00041D2C" w:rsidRDefault="009D0811" w:rsidP="00592F82">
      <w:pPr>
        <w:jc w:val="center"/>
        <w:rPr>
          <w:rFonts w:ascii="Arial" w:hAnsi="Arial" w:cs="Arial"/>
          <w:b/>
          <w:sz w:val="22"/>
          <w:szCs w:val="22"/>
          <w:lang w:val="en-GB"/>
        </w:rPr>
      </w:pPr>
    </w:p>
    <w:p w14:paraId="6907577F" w14:textId="6E1EAE22" w:rsidR="00E93993" w:rsidRPr="00041D2C" w:rsidRDefault="00E93993" w:rsidP="00592F82">
      <w:pPr>
        <w:jc w:val="center"/>
        <w:rPr>
          <w:rFonts w:ascii="Arial" w:hAnsi="Arial" w:cs="Arial"/>
          <w:b/>
          <w:sz w:val="22"/>
          <w:szCs w:val="22"/>
          <w:lang w:val="en-GB"/>
        </w:rPr>
      </w:pPr>
    </w:p>
    <w:p w14:paraId="6F867187" w14:textId="77777777" w:rsidR="00B30D9A" w:rsidRPr="00041D2C" w:rsidRDefault="00B30D9A" w:rsidP="00592F82">
      <w:pPr>
        <w:jc w:val="center"/>
        <w:rPr>
          <w:rFonts w:ascii="Arial" w:hAnsi="Arial" w:cs="Arial"/>
          <w:b/>
          <w:sz w:val="22"/>
          <w:szCs w:val="22"/>
          <w:lang w:val="en-GB"/>
        </w:rPr>
      </w:pPr>
    </w:p>
    <w:p w14:paraId="69E507FF" w14:textId="77777777" w:rsidR="00437297" w:rsidRPr="00041D2C" w:rsidRDefault="00437297" w:rsidP="00592F82">
      <w:pPr>
        <w:jc w:val="center"/>
        <w:rPr>
          <w:rFonts w:ascii="Arial" w:hAnsi="Arial" w:cs="Arial"/>
          <w:b/>
          <w:sz w:val="22"/>
          <w:szCs w:val="22"/>
          <w:lang w:val="en-GB"/>
        </w:rPr>
      </w:pPr>
    </w:p>
    <w:p w14:paraId="4051CEA3" w14:textId="31550508" w:rsidR="00397D3A" w:rsidRPr="00041D2C" w:rsidRDefault="00397D3A" w:rsidP="00592F82">
      <w:pPr>
        <w:jc w:val="center"/>
        <w:rPr>
          <w:rFonts w:ascii="Arial" w:hAnsi="Arial" w:cs="Arial"/>
          <w:b/>
          <w:sz w:val="22"/>
          <w:szCs w:val="22"/>
          <w:lang w:val="en-GB"/>
        </w:rPr>
      </w:pPr>
    </w:p>
    <w:p w14:paraId="25AECBFD" w14:textId="77777777" w:rsidR="00397D3A" w:rsidRPr="00041D2C" w:rsidRDefault="00397D3A" w:rsidP="00592F82">
      <w:pPr>
        <w:jc w:val="center"/>
        <w:rPr>
          <w:rFonts w:ascii="Arial" w:hAnsi="Arial" w:cs="Arial"/>
          <w:b/>
          <w:sz w:val="22"/>
          <w:szCs w:val="22"/>
          <w:lang w:val="en-GB"/>
        </w:rPr>
      </w:pPr>
    </w:p>
    <w:p w14:paraId="19855BF7" w14:textId="77777777" w:rsidR="00397D3A" w:rsidRPr="00041D2C" w:rsidRDefault="00397D3A" w:rsidP="00592F82">
      <w:pPr>
        <w:jc w:val="center"/>
        <w:rPr>
          <w:rFonts w:ascii="Arial" w:hAnsi="Arial" w:cs="Arial"/>
          <w:b/>
          <w:sz w:val="22"/>
          <w:szCs w:val="22"/>
          <w:lang w:val="en-GB"/>
        </w:rPr>
      </w:pPr>
    </w:p>
    <w:p w14:paraId="0ED3DA75" w14:textId="77777777" w:rsidR="00DB56F2" w:rsidRPr="00041D2C"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041D2C"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041D2C">
        <w:rPr>
          <w:rFonts w:ascii="Avenir Next" w:hAnsi="Avenir Next" w:cs="Arial"/>
          <w:bCs/>
          <w:color w:val="767171" w:themeColor="background2" w:themeShade="80"/>
          <w:sz w:val="22"/>
          <w:szCs w:val="22"/>
          <w:lang w:val="en-GB"/>
        </w:rPr>
        <w:t xml:space="preserve">This is the </w:t>
      </w:r>
      <w:r w:rsidRPr="00041D2C">
        <w:rPr>
          <w:rFonts w:ascii="Avenir Next Demi Bold" w:hAnsi="Avenir Next Demi Bold" w:cs="Arial"/>
          <w:b/>
          <w:bCs/>
          <w:color w:val="767171" w:themeColor="background2" w:themeShade="80"/>
          <w:sz w:val="22"/>
          <w:szCs w:val="22"/>
          <w:lang w:val="en-GB"/>
        </w:rPr>
        <w:t>summative (formal) assessment</w:t>
      </w:r>
      <w:r w:rsidRPr="00041D2C">
        <w:rPr>
          <w:rFonts w:ascii="Avenir Next" w:hAnsi="Avenir Next" w:cs="Arial"/>
          <w:bCs/>
          <w:color w:val="767171" w:themeColor="background2" w:themeShade="80"/>
          <w:sz w:val="22"/>
          <w:szCs w:val="22"/>
          <w:lang w:val="en-GB"/>
        </w:rPr>
        <w:t xml:space="preserve"> for </w:t>
      </w:r>
      <w:r w:rsidRPr="00041D2C">
        <w:rPr>
          <w:rFonts w:ascii="Avenir Next Demi Bold" w:hAnsi="Avenir Next Demi Bold" w:cs="Arial"/>
          <w:b/>
          <w:bCs/>
          <w:color w:val="767171" w:themeColor="background2" w:themeShade="80"/>
          <w:sz w:val="22"/>
          <w:szCs w:val="22"/>
          <w:lang w:val="en-GB"/>
        </w:rPr>
        <w:t xml:space="preserve">Module 2B </w:t>
      </w:r>
      <w:r w:rsidRPr="00041D2C">
        <w:rPr>
          <w:rFonts w:ascii="Avenir Next" w:hAnsi="Avenir Next" w:cs="Arial"/>
          <w:bCs/>
          <w:color w:val="767171" w:themeColor="background2" w:themeShade="80"/>
          <w:sz w:val="22"/>
          <w:szCs w:val="22"/>
          <w:lang w:val="en-GB"/>
        </w:rPr>
        <w:t xml:space="preserve">of this course and is compulsory for all candidates who </w:t>
      </w:r>
      <w:r w:rsidRPr="00041D2C">
        <w:rPr>
          <w:rFonts w:ascii="Avenir Next Demi Bold" w:hAnsi="Avenir Next Demi Bold" w:cs="Arial"/>
          <w:b/>
          <w:bCs/>
          <w:color w:val="767171" w:themeColor="background2" w:themeShade="80"/>
          <w:sz w:val="22"/>
          <w:szCs w:val="22"/>
          <w:lang w:val="en-GB"/>
        </w:rPr>
        <w:t>selected this module as one of their compulsory modules from Module 2</w:t>
      </w:r>
      <w:r w:rsidRPr="00041D2C">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041D2C"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041D2C"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041D2C">
        <w:rPr>
          <w:rFonts w:ascii="Avenir Next" w:hAnsi="Avenir Next" w:cs="Arial"/>
          <w:bCs/>
          <w:color w:val="767171" w:themeColor="background2" w:themeShade="80"/>
          <w:sz w:val="22"/>
          <w:szCs w:val="22"/>
          <w:lang w:val="en-GB"/>
        </w:rPr>
        <w:t xml:space="preserve">If you selected this module as </w:t>
      </w:r>
      <w:r w:rsidRPr="00041D2C">
        <w:rPr>
          <w:rFonts w:ascii="Avenir Next Demi Bold" w:hAnsi="Avenir Next Demi Bold" w:cs="Arial"/>
          <w:b/>
          <w:bCs/>
          <w:color w:val="767171" w:themeColor="background2" w:themeShade="80"/>
          <w:sz w:val="22"/>
          <w:szCs w:val="22"/>
          <w:lang w:val="en-GB"/>
        </w:rPr>
        <w:t>one of your elective modules</w:t>
      </w:r>
      <w:r w:rsidRPr="00041D2C">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041D2C"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041D2C"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041D2C">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041D2C">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041D2C"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041D2C" w:rsidRDefault="00793173" w:rsidP="007C6201">
      <w:pPr>
        <w:jc w:val="both"/>
        <w:rPr>
          <w:rFonts w:ascii="Arial" w:hAnsi="Arial" w:cs="Arial"/>
          <w:b/>
          <w:sz w:val="22"/>
          <w:szCs w:val="22"/>
          <w:lang w:val="en-GB"/>
        </w:rPr>
      </w:pPr>
    </w:p>
    <w:p w14:paraId="78A7A2A2" w14:textId="77777777" w:rsidR="00AF39A8" w:rsidRPr="00041D2C" w:rsidRDefault="00AF39A8" w:rsidP="00AF39A8">
      <w:pPr>
        <w:rPr>
          <w:rFonts w:ascii="Arial" w:hAnsi="Arial" w:cs="Arial"/>
          <w:b/>
          <w:sz w:val="22"/>
          <w:szCs w:val="22"/>
          <w:lang w:val="en-GB"/>
        </w:rPr>
      </w:pPr>
    </w:p>
    <w:p w14:paraId="48880E65" w14:textId="77777777" w:rsidR="00AD35E0" w:rsidRPr="00041D2C" w:rsidRDefault="00AD35E0">
      <w:pPr>
        <w:rPr>
          <w:rFonts w:ascii="Avenir Next Demi Bold" w:hAnsi="Avenir Next Demi Bold" w:cs="Arial"/>
          <w:b/>
          <w:bCs/>
          <w:sz w:val="22"/>
          <w:szCs w:val="22"/>
          <w:u w:val="single"/>
          <w:lang w:val="en-GB"/>
        </w:rPr>
      </w:pPr>
      <w:r w:rsidRPr="00041D2C">
        <w:rPr>
          <w:rFonts w:ascii="Avenir Next Demi Bold" w:hAnsi="Avenir Next Demi Bold" w:cs="Arial"/>
          <w:b/>
          <w:bCs/>
          <w:sz w:val="22"/>
          <w:szCs w:val="22"/>
          <w:u w:val="single"/>
          <w:lang w:val="en-GB"/>
        </w:rPr>
        <w:br w:type="page"/>
      </w:r>
    </w:p>
    <w:p w14:paraId="3C0D3574" w14:textId="7398D09D" w:rsidR="0011473D" w:rsidRPr="00041D2C" w:rsidRDefault="00E93993" w:rsidP="00AF39A8">
      <w:pPr>
        <w:jc w:val="center"/>
        <w:rPr>
          <w:rFonts w:ascii="Avenir Next Demi Bold" w:hAnsi="Avenir Next Demi Bold" w:cs="Arial"/>
          <w:b/>
          <w:bCs/>
          <w:sz w:val="22"/>
          <w:szCs w:val="22"/>
          <w:u w:val="single"/>
          <w:lang w:val="en-GB"/>
        </w:rPr>
      </w:pPr>
      <w:r w:rsidRPr="00041D2C">
        <w:rPr>
          <w:rFonts w:ascii="Avenir Next Demi Bold" w:hAnsi="Avenir Next Demi Bold" w:cs="Arial"/>
          <w:b/>
          <w:bCs/>
          <w:sz w:val="22"/>
          <w:szCs w:val="22"/>
          <w:u w:val="single"/>
          <w:lang w:val="en-GB"/>
        </w:rPr>
        <w:lastRenderedPageBreak/>
        <w:t>I</w:t>
      </w:r>
      <w:r w:rsidR="0011473D" w:rsidRPr="00041D2C">
        <w:rPr>
          <w:rFonts w:ascii="Avenir Next Demi Bold" w:hAnsi="Avenir Next Demi Bold" w:cs="Arial"/>
          <w:b/>
          <w:bCs/>
          <w:sz w:val="22"/>
          <w:szCs w:val="22"/>
          <w:u w:val="single"/>
          <w:lang w:val="en-GB"/>
        </w:rPr>
        <w:t>NSTRUCTIONS FOR COMPLETION AND SUBMISSION OF ASSESSMENT</w:t>
      </w:r>
    </w:p>
    <w:p w14:paraId="61C888AB" w14:textId="77777777" w:rsidR="0011473D" w:rsidRPr="00041D2C" w:rsidRDefault="0011473D" w:rsidP="00592F82">
      <w:pPr>
        <w:jc w:val="both"/>
        <w:rPr>
          <w:rFonts w:ascii="Avenir Next Demi Bold" w:hAnsi="Avenir Next Demi Bold" w:cs="Arial"/>
          <w:b/>
          <w:bCs/>
          <w:sz w:val="22"/>
          <w:szCs w:val="22"/>
          <w:lang w:val="en-GB"/>
        </w:rPr>
      </w:pPr>
    </w:p>
    <w:p w14:paraId="2165F077" w14:textId="77777777" w:rsidR="00800B76" w:rsidRPr="00041D2C" w:rsidRDefault="00800B76" w:rsidP="00800B76">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041D2C" w:rsidRDefault="00800B76" w:rsidP="00800B76">
      <w:pPr>
        <w:jc w:val="both"/>
        <w:rPr>
          <w:rFonts w:ascii="Avenir Next" w:hAnsi="Avenir Next" w:cs="Arial"/>
          <w:b/>
          <w:sz w:val="22"/>
          <w:szCs w:val="22"/>
          <w:lang w:val="en-GB"/>
        </w:rPr>
      </w:pPr>
    </w:p>
    <w:p w14:paraId="51574D79" w14:textId="77777777" w:rsidR="00800B76" w:rsidRPr="00041D2C" w:rsidRDefault="00800B76" w:rsidP="00800B76">
      <w:pPr>
        <w:ind w:left="720" w:hanging="720"/>
        <w:jc w:val="both"/>
        <w:rPr>
          <w:rFonts w:ascii="Avenir Next" w:hAnsi="Avenir Next" w:cs="Arial"/>
          <w:sz w:val="22"/>
          <w:szCs w:val="22"/>
          <w:lang w:val="en-GB"/>
        </w:rPr>
      </w:pPr>
      <w:r w:rsidRPr="00041D2C">
        <w:rPr>
          <w:rFonts w:ascii="Avenir Next" w:hAnsi="Avenir Next" w:cs="Arial"/>
          <w:bCs/>
          <w:sz w:val="22"/>
          <w:szCs w:val="22"/>
          <w:lang w:val="en-GB"/>
        </w:rPr>
        <w:t>1.</w:t>
      </w:r>
      <w:r w:rsidRPr="00041D2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041D2C" w:rsidRDefault="008E3C96" w:rsidP="00800B76">
      <w:pPr>
        <w:ind w:left="720" w:hanging="720"/>
        <w:jc w:val="both"/>
        <w:rPr>
          <w:rFonts w:ascii="Avenir Next" w:hAnsi="Avenir Next" w:cs="Arial"/>
          <w:sz w:val="22"/>
          <w:szCs w:val="22"/>
          <w:lang w:val="en-GB"/>
        </w:rPr>
      </w:pPr>
      <w:r w:rsidRPr="00041D2C">
        <w:rPr>
          <w:rFonts w:ascii="Avenir Next" w:hAnsi="Avenir Next" w:cs="Arial"/>
          <w:bCs/>
          <w:sz w:val="22"/>
          <w:szCs w:val="22"/>
          <w:lang w:val="en-GB"/>
        </w:rPr>
        <w:t>2.</w:t>
      </w:r>
      <w:r w:rsidR="00800B76" w:rsidRPr="00041D2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041D2C">
        <w:rPr>
          <w:rFonts w:ascii="Avenir Next Demi Bold" w:hAnsi="Avenir Next Demi Bold" w:cs="Arial"/>
          <w:b/>
          <w:bCs/>
          <w:sz w:val="22"/>
          <w:szCs w:val="22"/>
          <w:lang w:val="en-GB"/>
        </w:rPr>
        <w:t>please do not change the document settings in any way. DO NOT</w:t>
      </w:r>
      <w:r w:rsidR="00800B76" w:rsidRPr="00041D2C">
        <w:rPr>
          <w:rFonts w:ascii="Avenir Next" w:hAnsi="Avenir Next" w:cs="Arial"/>
          <w:sz w:val="22"/>
          <w:szCs w:val="22"/>
          <w:lang w:val="en-GB"/>
        </w:rPr>
        <w:t xml:space="preserve"> submit your assessment in PDF format as it will be returned to you unmarked.</w:t>
      </w:r>
    </w:p>
    <w:p w14:paraId="34C9E948" w14:textId="77777777" w:rsidR="00800B76" w:rsidRPr="00041D2C" w:rsidRDefault="00800B76" w:rsidP="00800B76">
      <w:pPr>
        <w:ind w:left="720" w:hanging="720"/>
        <w:jc w:val="both"/>
        <w:rPr>
          <w:rFonts w:ascii="Avenir Next" w:hAnsi="Avenir Next" w:cs="Arial"/>
          <w:sz w:val="22"/>
          <w:szCs w:val="22"/>
          <w:lang w:val="en-GB"/>
        </w:rPr>
      </w:pPr>
      <w:r w:rsidRPr="00041D2C">
        <w:rPr>
          <w:rFonts w:ascii="Avenir Next" w:hAnsi="Avenir Next" w:cs="Arial"/>
          <w:sz w:val="22"/>
          <w:szCs w:val="22"/>
          <w:lang w:val="en-GB"/>
        </w:rPr>
        <w:t>3.</w:t>
      </w:r>
      <w:r w:rsidRPr="00041D2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041D2C" w:rsidRDefault="00800B76" w:rsidP="00800B76">
      <w:pPr>
        <w:ind w:left="720" w:hanging="720"/>
        <w:jc w:val="both"/>
        <w:rPr>
          <w:rFonts w:ascii="Avenir Next" w:hAnsi="Avenir Next" w:cs="Arial"/>
          <w:sz w:val="22"/>
          <w:szCs w:val="22"/>
          <w:lang w:val="en-GB"/>
        </w:rPr>
      </w:pPr>
      <w:r w:rsidRPr="00041D2C">
        <w:rPr>
          <w:rFonts w:ascii="Avenir Next" w:hAnsi="Avenir Next" w:cs="Arial"/>
          <w:bCs/>
          <w:sz w:val="22"/>
          <w:szCs w:val="22"/>
          <w:lang w:val="en-GB"/>
        </w:rPr>
        <w:t>4.</w:t>
      </w:r>
      <w:r w:rsidRPr="00041D2C">
        <w:rPr>
          <w:rFonts w:ascii="Avenir Next" w:hAnsi="Avenir Next" w:cs="Arial"/>
          <w:sz w:val="22"/>
          <w:szCs w:val="22"/>
          <w:lang w:val="en-GB"/>
        </w:rPr>
        <w:tab/>
        <w:t xml:space="preserve">You must save this document using the following format: </w:t>
      </w:r>
      <w:r w:rsidRPr="00041D2C">
        <w:rPr>
          <w:rFonts w:ascii="Avenir Next Demi Bold" w:hAnsi="Avenir Next Demi Bold" w:cs="Arial"/>
          <w:b/>
          <w:bCs/>
          <w:sz w:val="22"/>
          <w:szCs w:val="22"/>
          <w:lang w:val="en-GB" w:eastAsia="en-GB"/>
        </w:rPr>
        <w:t>[student</w:t>
      </w:r>
      <w:r w:rsidR="00B12EF7" w:rsidRPr="00041D2C">
        <w:rPr>
          <w:rFonts w:ascii="Avenir Next Demi Bold" w:hAnsi="Avenir Next Demi Bold" w:cs="Arial"/>
          <w:b/>
          <w:bCs/>
          <w:sz w:val="22"/>
          <w:szCs w:val="22"/>
          <w:lang w:val="en-GB" w:eastAsia="en-GB"/>
        </w:rPr>
        <w:t>ID</w:t>
      </w:r>
      <w:r w:rsidRPr="00041D2C">
        <w:rPr>
          <w:rFonts w:ascii="Avenir Next Demi Bold" w:hAnsi="Avenir Next Demi Bold" w:cs="Arial"/>
          <w:b/>
          <w:bCs/>
          <w:sz w:val="22"/>
          <w:szCs w:val="22"/>
          <w:lang w:val="en-GB" w:eastAsia="en-GB"/>
        </w:rPr>
        <w:t>.assessment</w:t>
      </w:r>
      <w:r w:rsidR="00894C1D" w:rsidRPr="00041D2C">
        <w:rPr>
          <w:rFonts w:ascii="Avenir Next Demi Bold" w:hAnsi="Avenir Next Demi Bold" w:cs="Arial"/>
          <w:b/>
          <w:bCs/>
          <w:sz w:val="22"/>
          <w:szCs w:val="22"/>
          <w:lang w:val="en-GB" w:eastAsia="en-GB"/>
        </w:rPr>
        <w:t>2B</w:t>
      </w:r>
      <w:r w:rsidRPr="00041D2C">
        <w:rPr>
          <w:rFonts w:ascii="Avenir Next Demi Bold" w:hAnsi="Avenir Next Demi Bold" w:cs="Arial"/>
          <w:b/>
          <w:bCs/>
          <w:sz w:val="22"/>
          <w:szCs w:val="22"/>
          <w:lang w:val="en-GB" w:eastAsia="en-GB"/>
        </w:rPr>
        <w:t>]</w:t>
      </w:r>
      <w:r w:rsidRPr="00041D2C">
        <w:rPr>
          <w:rFonts w:ascii="Avenir Next" w:hAnsi="Avenir Next" w:cs="Arial"/>
          <w:sz w:val="22"/>
          <w:szCs w:val="22"/>
          <w:lang w:val="en-GB" w:eastAsia="en-GB"/>
        </w:rPr>
        <w:t>. An example would be something along the following lines: 202</w:t>
      </w:r>
      <w:r w:rsidR="00B12EF7" w:rsidRPr="00041D2C">
        <w:rPr>
          <w:rFonts w:ascii="Avenir Next" w:hAnsi="Avenir Next" w:cs="Arial"/>
          <w:sz w:val="22"/>
          <w:szCs w:val="22"/>
          <w:lang w:val="en-GB" w:eastAsia="en-GB"/>
        </w:rPr>
        <w:t>11</w:t>
      </w:r>
      <w:r w:rsidRPr="00041D2C">
        <w:rPr>
          <w:rFonts w:ascii="Avenir Next" w:hAnsi="Avenir Next" w:cs="Arial"/>
          <w:sz w:val="22"/>
          <w:szCs w:val="22"/>
          <w:lang w:val="en-GB" w:eastAsia="en-GB"/>
        </w:rPr>
        <w:t>2</w:t>
      </w:r>
      <w:r w:rsidR="00B12EF7" w:rsidRPr="00041D2C">
        <w:rPr>
          <w:rFonts w:ascii="Avenir Next" w:hAnsi="Avenir Next" w:cs="Arial"/>
          <w:sz w:val="22"/>
          <w:szCs w:val="22"/>
          <w:lang w:val="en-GB" w:eastAsia="en-GB"/>
        </w:rPr>
        <w:t>2</w:t>
      </w:r>
      <w:r w:rsidRPr="00041D2C">
        <w:rPr>
          <w:rFonts w:ascii="Avenir Next" w:hAnsi="Avenir Next" w:cs="Arial"/>
          <w:sz w:val="22"/>
          <w:szCs w:val="22"/>
          <w:lang w:val="en-GB" w:eastAsia="en-GB"/>
        </w:rPr>
        <w:t>-</w:t>
      </w:r>
      <w:r w:rsidR="005B7C95" w:rsidRPr="00041D2C">
        <w:rPr>
          <w:rFonts w:ascii="Avenir Next" w:hAnsi="Avenir Next" w:cs="Arial"/>
          <w:sz w:val="22"/>
          <w:szCs w:val="22"/>
          <w:lang w:val="en-GB" w:eastAsia="en-GB"/>
        </w:rPr>
        <w:t>33</w:t>
      </w:r>
      <w:r w:rsidR="00B12EF7" w:rsidRPr="00041D2C">
        <w:rPr>
          <w:rFonts w:ascii="Avenir Next" w:hAnsi="Avenir Next" w:cs="Arial"/>
          <w:sz w:val="22"/>
          <w:szCs w:val="22"/>
          <w:lang w:val="en-GB" w:eastAsia="en-GB"/>
        </w:rPr>
        <w:t>6</w:t>
      </w:r>
      <w:r w:rsidRPr="00041D2C">
        <w:rPr>
          <w:rFonts w:ascii="Avenir Next" w:hAnsi="Avenir Next" w:cs="Arial"/>
          <w:sz w:val="22"/>
          <w:szCs w:val="22"/>
          <w:lang w:val="en-GB" w:eastAsia="en-GB"/>
        </w:rPr>
        <w:t>.assessment</w:t>
      </w:r>
      <w:r w:rsidR="007E39B3" w:rsidRPr="00041D2C">
        <w:rPr>
          <w:rFonts w:ascii="Avenir Next" w:hAnsi="Avenir Next" w:cs="Arial"/>
          <w:sz w:val="22"/>
          <w:szCs w:val="22"/>
          <w:lang w:val="en-GB" w:eastAsia="en-GB"/>
        </w:rPr>
        <w:t>2B</w:t>
      </w:r>
      <w:r w:rsidRPr="00041D2C">
        <w:rPr>
          <w:rFonts w:ascii="Avenir Next" w:hAnsi="Avenir Next" w:cs="Arial"/>
          <w:sz w:val="22"/>
          <w:szCs w:val="22"/>
          <w:lang w:val="en-GB"/>
        </w:rPr>
        <w:t xml:space="preserve">. </w:t>
      </w:r>
      <w:r w:rsidRPr="00041D2C">
        <w:rPr>
          <w:rFonts w:ascii="Avenir Next Demi Bold" w:hAnsi="Avenir Next Demi Bold" w:cs="Arial"/>
          <w:b/>
          <w:bCs/>
          <w:sz w:val="22"/>
          <w:szCs w:val="22"/>
          <w:lang w:val="en-GB"/>
        </w:rPr>
        <w:t>Please also include the filename as a footer to each page of the assessment</w:t>
      </w:r>
      <w:r w:rsidRPr="00041D2C">
        <w:rPr>
          <w:rFonts w:ascii="Avenir Next" w:hAnsi="Avenir Next" w:cs="Arial"/>
          <w:bCs/>
          <w:sz w:val="22"/>
          <w:szCs w:val="22"/>
          <w:lang w:val="en-GB"/>
        </w:rPr>
        <w:t xml:space="preserve"> (this has been pre-populated for you, merely replace the word “student</w:t>
      </w:r>
      <w:r w:rsidR="00B12EF7" w:rsidRPr="00041D2C">
        <w:rPr>
          <w:rFonts w:ascii="Avenir Next" w:hAnsi="Avenir Next" w:cs="Arial"/>
          <w:bCs/>
          <w:sz w:val="22"/>
          <w:szCs w:val="22"/>
          <w:lang w:val="en-GB"/>
        </w:rPr>
        <w:t>ID</w:t>
      </w:r>
      <w:r w:rsidRPr="00041D2C">
        <w:rPr>
          <w:rFonts w:ascii="Avenir Next" w:hAnsi="Avenir Next" w:cs="Arial"/>
          <w:bCs/>
          <w:sz w:val="22"/>
          <w:szCs w:val="22"/>
          <w:lang w:val="en-GB"/>
        </w:rPr>
        <w:t>” with the student number allocated to you)</w:t>
      </w:r>
      <w:r w:rsidRPr="00041D2C">
        <w:rPr>
          <w:rFonts w:ascii="Avenir Next" w:hAnsi="Avenir Next" w:cs="Arial"/>
          <w:sz w:val="22"/>
          <w:szCs w:val="22"/>
          <w:lang w:val="en-GB"/>
        </w:rPr>
        <w:t xml:space="preserve">. Do not include your name or any other identifying words in your file name. </w:t>
      </w:r>
      <w:r w:rsidRPr="00041D2C">
        <w:rPr>
          <w:rFonts w:ascii="Avenir Next Demi Bold" w:hAnsi="Avenir Next Demi Bold" w:cs="Arial"/>
          <w:b/>
          <w:bCs/>
          <w:sz w:val="22"/>
          <w:szCs w:val="22"/>
          <w:lang w:val="en-GB"/>
        </w:rPr>
        <w:t>Assessments that do not comply with this instruction will be returned to candidates unmarked</w:t>
      </w:r>
      <w:r w:rsidRPr="00041D2C">
        <w:rPr>
          <w:rFonts w:ascii="Avenir Next" w:hAnsi="Avenir Next" w:cs="Arial"/>
          <w:sz w:val="22"/>
          <w:szCs w:val="22"/>
          <w:lang w:val="en-GB"/>
        </w:rPr>
        <w:t>.</w:t>
      </w:r>
    </w:p>
    <w:p w14:paraId="735374E2" w14:textId="2A9B7CEA" w:rsidR="00B30D9A" w:rsidRPr="00041D2C" w:rsidRDefault="00800B76" w:rsidP="00800B76">
      <w:pPr>
        <w:ind w:left="720" w:hanging="720"/>
        <w:jc w:val="both"/>
        <w:rPr>
          <w:rFonts w:ascii="Avenir Next" w:hAnsi="Avenir Next" w:cs="Arial"/>
          <w:sz w:val="22"/>
          <w:szCs w:val="22"/>
          <w:lang w:val="en-GB"/>
        </w:rPr>
      </w:pPr>
      <w:r w:rsidRPr="00041D2C">
        <w:rPr>
          <w:rFonts w:ascii="Avenir Next" w:hAnsi="Avenir Next" w:cs="Arial"/>
          <w:bCs/>
          <w:sz w:val="22"/>
          <w:szCs w:val="22"/>
          <w:lang w:val="en-GB"/>
        </w:rPr>
        <w:t>5.</w:t>
      </w:r>
      <w:r w:rsidRPr="00041D2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041D2C">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041D2C">
        <w:rPr>
          <w:rFonts w:ascii="Avenir Next" w:hAnsi="Avenir Next" w:cs="Arial"/>
          <w:sz w:val="22"/>
          <w:szCs w:val="22"/>
          <w:lang w:val="en-GB"/>
        </w:rPr>
        <w:t>.</w:t>
      </w:r>
    </w:p>
    <w:p w14:paraId="2611F284" w14:textId="17A61054" w:rsidR="00B30D9A" w:rsidRPr="00041D2C" w:rsidRDefault="00B30D9A" w:rsidP="00B30D9A">
      <w:pPr>
        <w:ind w:left="720" w:hanging="720"/>
        <w:jc w:val="both"/>
        <w:rPr>
          <w:rFonts w:ascii="Avenir Next" w:hAnsi="Avenir Next" w:cs="Arial"/>
          <w:sz w:val="22"/>
          <w:szCs w:val="22"/>
          <w:lang w:val="en-GB"/>
        </w:rPr>
      </w:pPr>
      <w:r w:rsidRPr="00041D2C">
        <w:rPr>
          <w:rFonts w:ascii="Avenir Next" w:hAnsi="Avenir Next" w:cs="Arial"/>
          <w:bCs/>
          <w:sz w:val="22"/>
          <w:szCs w:val="22"/>
          <w:lang w:val="en-GB"/>
        </w:rPr>
        <w:t>6.1</w:t>
      </w:r>
      <w:r w:rsidRPr="00041D2C">
        <w:rPr>
          <w:rFonts w:ascii="Avenir Next" w:hAnsi="Avenir Next" w:cs="Arial"/>
          <w:b/>
          <w:sz w:val="22"/>
          <w:szCs w:val="22"/>
          <w:lang w:val="en-GB"/>
        </w:rPr>
        <w:tab/>
      </w:r>
      <w:r w:rsidRPr="00041D2C">
        <w:rPr>
          <w:rFonts w:ascii="Avenir Next" w:hAnsi="Avenir Next" w:cs="Arial"/>
          <w:bCs/>
          <w:sz w:val="22"/>
          <w:szCs w:val="22"/>
          <w:lang w:val="en-GB"/>
        </w:rPr>
        <w:t>If you selected Module 2</w:t>
      </w:r>
      <w:r w:rsidR="00654B27" w:rsidRPr="00041D2C">
        <w:rPr>
          <w:rFonts w:ascii="Avenir Next" w:hAnsi="Avenir Next" w:cs="Arial"/>
          <w:bCs/>
          <w:sz w:val="22"/>
          <w:szCs w:val="22"/>
          <w:lang w:val="en-GB"/>
        </w:rPr>
        <w:t>B</w:t>
      </w:r>
      <w:r w:rsidRPr="00041D2C">
        <w:rPr>
          <w:rFonts w:ascii="Avenir Next" w:hAnsi="Avenir Next" w:cs="Arial"/>
          <w:bCs/>
          <w:sz w:val="22"/>
          <w:szCs w:val="22"/>
          <w:lang w:val="en-GB"/>
        </w:rPr>
        <w:t xml:space="preserve"> as one of your </w:t>
      </w:r>
      <w:r w:rsidRPr="00041D2C">
        <w:rPr>
          <w:rFonts w:ascii="Avenir Next Demi Bold" w:hAnsi="Avenir Next Demi Bold" w:cs="Arial"/>
          <w:b/>
          <w:bCs/>
          <w:sz w:val="22"/>
          <w:szCs w:val="22"/>
          <w:lang w:val="en-GB"/>
        </w:rPr>
        <w:t>compulsory modules</w:t>
      </w:r>
      <w:r w:rsidRPr="00041D2C">
        <w:rPr>
          <w:rFonts w:ascii="Avenir Next" w:hAnsi="Avenir Next" w:cs="Arial"/>
          <w:bCs/>
          <w:sz w:val="22"/>
          <w:szCs w:val="22"/>
          <w:lang w:val="en-GB"/>
        </w:rPr>
        <w:t xml:space="preserve"> (see the e-mail that was sent to you </w:t>
      </w:r>
      <w:r w:rsidR="007E39B3" w:rsidRPr="00041D2C">
        <w:rPr>
          <w:rFonts w:ascii="Avenir Next" w:hAnsi="Avenir Next" w:cs="Arial"/>
          <w:bCs/>
          <w:sz w:val="22"/>
          <w:szCs w:val="22"/>
          <w:lang w:val="en-GB"/>
        </w:rPr>
        <w:t>when your place on the course was confirmed</w:t>
      </w:r>
      <w:r w:rsidRPr="00041D2C">
        <w:rPr>
          <w:rFonts w:ascii="Avenir Next" w:hAnsi="Avenir Next" w:cs="Arial"/>
          <w:bCs/>
          <w:sz w:val="22"/>
          <w:szCs w:val="22"/>
          <w:lang w:val="en-GB"/>
        </w:rPr>
        <w:t>), the</w:t>
      </w:r>
      <w:r w:rsidRPr="00041D2C">
        <w:rPr>
          <w:rFonts w:ascii="Avenir Next" w:hAnsi="Avenir Next" w:cs="Arial"/>
          <w:sz w:val="22"/>
          <w:szCs w:val="22"/>
          <w:lang w:val="en-GB"/>
        </w:rPr>
        <w:t xml:space="preserve"> final time and date for the submission of this assessment is </w:t>
      </w:r>
      <w:r w:rsidRPr="00041D2C">
        <w:rPr>
          <w:rFonts w:ascii="Avenir Next Demi Bold" w:hAnsi="Avenir Next Demi Bold" w:cs="Arial"/>
          <w:b/>
          <w:bCs/>
          <w:sz w:val="22"/>
          <w:szCs w:val="22"/>
          <w:lang w:val="en-GB"/>
        </w:rPr>
        <w:t>23:00 (11 pm) GMT on 1 March 202</w:t>
      </w:r>
      <w:r w:rsidR="00B437B1" w:rsidRPr="00041D2C">
        <w:rPr>
          <w:rFonts w:ascii="Avenir Next Demi Bold" w:hAnsi="Avenir Next Demi Bold" w:cs="Arial"/>
          <w:b/>
          <w:bCs/>
          <w:sz w:val="22"/>
          <w:szCs w:val="22"/>
          <w:lang w:val="en-GB"/>
        </w:rPr>
        <w:t>4</w:t>
      </w:r>
      <w:r w:rsidRPr="00041D2C">
        <w:rPr>
          <w:rFonts w:ascii="Avenir Next" w:hAnsi="Avenir Next" w:cs="Arial"/>
          <w:sz w:val="22"/>
          <w:szCs w:val="22"/>
          <w:lang w:val="en-GB"/>
        </w:rPr>
        <w:t xml:space="preserve">. The assessment submission portal will close at </w:t>
      </w:r>
      <w:r w:rsidRPr="00041D2C">
        <w:rPr>
          <w:rFonts w:ascii="Avenir Next" w:hAnsi="Avenir Next" w:cs="Arial"/>
          <w:bCs/>
          <w:sz w:val="22"/>
          <w:szCs w:val="22"/>
          <w:lang w:val="en-GB"/>
        </w:rPr>
        <w:t>23:00 (11 pm) GMT on 1 March 202</w:t>
      </w:r>
      <w:r w:rsidR="00B437B1" w:rsidRPr="00041D2C">
        <w:rPr>
          <w:rFonts w:ascii="Avenir Next" w:hAnsi="Avenir Next" w:cs="Arial"/>
          <w:bCs/>
          <w:sz w:val="22"/>
          <w:szCs w:val="22"/>
          <w:lang w:val="en-GB"/>
        </w:rPr>
        <w:t>4</w:t>
      </w:r>
      <w:r w:rsidRPr="00041D2C">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041D2C" w:rsidRDefault="00B30D9A" w:rsidP="00B30D9A">
      <w:pPr>
        <w:ind w:left="720" w:hanging="720"/>
        <w:jc w:val="both"/>
        <w:rPr>
          <w:rFonts w:ascii="Avenir Next" w:hAnsi="Avenir Next" w:cs="Arial"/>
          <w:sz w:val="22"/>
          <w:szCs w:val="22"/>
          <w:lang w:val="en-GB"/>
        </w:rPr>
      </w:pPr>
      <w:r w:rsidRPr="00041D2C">
        <w:rPr>
          <w:rFonts w:ascii="Avenir Next" w:hAnsi="Avenir Next" w:cs="Arial"/>
          <w:sz w:val="22"/>
          <w:szCs w:val="22"/>
          <w:lang w:val="en-GB"/>
        </w:rPr>
        <w:t>6.2</w:t>
      </w:r>
      <w:r w:rsidRPr="00041D2C">
        <w:rPr>
          <w:rFonts w:ascii="Avenir Next" w:hAnsi="Avenir Next" w:cs="Arial"/>
          <w:sz w:val="22"/>
          <w:szCs w:val="22"/>
          <w:lang w:val="en-GB"/>
        </w:rPr>
        <w:tab/>
        <w:t>If you selected Module 2</w:t>
      </w:r>
      <w:r w:rsidR="00654B27" w:rsidRPr="00041D2C">
        <w:rPr>
          <w:rFonts w:ascii="Avenir Next" w:hAnsi="Avenir Next" w:cs="Arial"/>
          <w:sz w:val="22"/>
          <w:szCs w:val="22"/>
          <w:lang w:val="en-GB"/>
        </w:rPr>
        <w:t>B</w:t>
      </w:r>
      <w:r w:rsidRPr="00041D2C">
        <w:rPr>
          <w:rFonts w:ascii="Avenir Next" w:hAnsi="Avenir Next" w:cs="Arial"/>
          <w:sz w:val="22"/>
          <w:szCs w:val="22"/>
          <w:lang w:val="en-GB"/>
        </w:rPr>
        <w:t xml:space="preserve"> as one of your </w:t>
      </w:r>
      <w:r w:rsidRPr="00041D2C">
        <w:rPr>
          <w:rFonts w:ascii="Avenir Next Demi Bold" w:hAnsi="Avenir Next Demi Bold" w:cs="Arial"/>
          <w:b/>
          <w:bCs/>
          <w:sz w:val="22"/>
          <w:szCs w:val="22"/>
          <w:lang w:val="en-GB"/>
        </w:rPr>
        <w:t>elective modules</w:t>
      </w:r>
      <w:r w:rsidRPr="00041D2C">
        <w:rPr>
          <w:rFonts w:ascii="Avenir Next" w:hAnsi="Avenir Next" w:cs="Arial"/>
          <w:sz w:val="22"/>
          <w:szCs w:val="22"/>
          <w:lang w:val="en-GB"/>
        </w:rPr>
        <w:t xml:space="preserve"> (see the e-mail that was sent to you </w:t>
      </w:r>
      <w:r w:rsidR="00087CD6" w:rsidRPr="00041D2C">
        <w:rPr>
          <w:rFonts w:ascii="Avenir Next" w:hAnsi="Avenir Next" w:cs="Arial"/>
          <w:bCs/>
          <w:sz w:val="22"/>
          <w:szCs w:val="22"/>
          <w:lang w:val="en-GB"/>
        </w:rPr>
        <w:t>when your place on the course was confirmed</w:t>
      </w:r>
      <w:r w:rsidRPr="00041D2C">
        <w:rPr>
          <w:rFonts w:ascii="Avenir Next" w:hAnsi="Avenir Next" w:cs="Arial"/>
          <w:sz w:val="22"/>
          <w:szCs w:val="22"/>
          <w:lang w:val="en-GB"/>
        </w:rPr>
        <w:t xml:space="preserve">), you have a </w:t>
      </w:r>
      <w:r w:rsidRPr="00041D2C">
        <w:rPr>
          <w:rFonts w:ascii="Avenir Next Demi Bold" w:hAnsi="Avenir Next Demi Bold" w:cs="Arial"/>
          <w:b/>
          <w:bCs/>
          <w:sz w:val="22"/>
          <w:szCs w:val="22"/>
          <w:lang w:val="en-GB"/>
        </w:rPr>
        <w:t>choice</w:t>
      </w:r>
      <w:r w:rsidRPr="00041D2C">
        <w:rPr>
          <w:rFonts w:ascii="Avenir Next" w:hAnsi="Avenir Next" w:cs="Arial"/>
          <w:sz w:val="22"/>
          <w:szCs w:val="22"/>
          <w:lang w:val="en-GB"/>
        </w:rPr>
        <w:t xml:space="preserve"> as to when you may submit this assessment. You may either submit the assessment by </w:t>
      </w:r>
      <w:r w:rsidRPr="00041D2C">
        <w:rPr>
          <w:rFonts w:ascii="Avenir Next Demi Bold" w:hAnsi="Avenir Next Demi Bold" w:cs="Arial"/>
          <w:b/>
          <w:bCs/>
          <w:sz w:val="22"/>
          <w:szCs w:val="22"/>
          <w:lang w:val="en-GB"/>
        </w:rPr>
        <w:t>23:00 (11 pm) GMT on 1 March 202</w:t>
      </w:r>
      <w:r w:rsidR="00B437B1" w:rsidRPr="00041D2C">
        <w:rPr>
          <w:rFonts w:ascii="Avenir Next Demi Bold" w:hAnsi="Avenir Next Demi Bold" w:cs="Arial"/>
          <w:b/>
          <w:bCs/>
          <w:sz w:val="22"/>
          <w:szCs w:val="22"/>
          <w:lang w:val="en-GB"/>
        </w:rPr>
        <w:t>4</w:t>
      </w:r>
      <w:r w:rsidRPr="00041D2C">
        <w:rPr>
          <w:rFonts w:ascii="Avenir Next Demi Bold" w:hAnsi="Avenir Next Demi Bold" w:cs="Arial"/>
          <w:b/>
          <w:bCs/>
          <w:sz w:val="22"/>
          <w:szCs w:val="22"/>
          <w:lang w:val="en-GB"/>
        </w:rPr>
        <w:t xml:space="preserve"> or by 23:00 (11 pm) BST </w:t>
      </w:r>
      <w:r w:rsidR="00B12EF7" w:rsidRPr="00041D2C">
        <w:rPr>
          <w:rFonts w:ascii="Avenir Next Demi Bold" w:hAnsi="Avenir Next Demi Bold" w:cs="Arial"/>
          <w:b/>
          <w:bCs/>
          <w:sz w:val="22"/>
          <w:szCs w:val="22"/>
          <w:lang w:val="en-GB"/>
        </w:rPr>
        <w:t xml:space="preserve">(GMT +1) </w:t>
      </w:r>
      <w:r w:rsidRPr="00041D2C">
        <w:rPr>
          <w:rFonts w:ascii="Avenir Next Demi Bold" w:hAnsi="Avenir Next Demi Bold" w:cs="Arial"/>
          <w:b/>
          <w:bCs/>
          <w:sz w:val="22"/>
          <w:szCs w:val="22"/>
          <w:lang w:val="en-GB"/>
        </w:rPr>
        <w:t>on 31 July 202</w:t>
      </w:r>
      <w:r w:rsidR="00B437B1" w:rsidRPr="00041D2C">
        <w:rPr>
          <w:rFonts w:ascii="Avenir Next Demi Bold" w:hAnsi="Avenir Next Demi Bold" w:cs="Arial"/>
          <w:b/>
          <w:bCs/>
          <w:sz w:val="22"/>
          <w:szCs w:val="22"/>
          <w:lang w:val="en-GB"/>
        </w:rPr>
        <w:t>4</w:t>
      </w:r>
      <w:r w:rsidRPr="00041D2C">
        <w:rPr>
          <w:rFonts w:ascii="Avenir Next" w:hAnsi="Avenir Next" w:cs="Arial"/>
          <w:sz w:val="22"/>
          <w:szCs w:val="22"/>
          <w:lang w:val="en-GB"/>
        </w:rPr>
        <w:t>. If you elect to submit by 1 March 202</w:t>
      </w:r>
      <w:r w:rsidR="00B437B1" w:rsidRPr="00041D2C">
        <w:rPr>
          <w:rFonts w:ascii="Avenir Next" w:hAnsi="Avenir Next" w:cs="Arial"/>
          <w:sz w:val="22"/>
          <w:szCs w:val="22"/>
          <w:lang w:val="en-GB"/>
        </w:rPr>
        <w:t>4</w:t>
      </w:r>
      <w:r w:rsidRPr="00041D2C">
        <w:rPr>
          <w:rFonts w:ascii="Avenir Next" w:hAnsi="Avenir Next" w:cs="Arial"/>
          <w:sz w:val="22"/>
          <w:szCs w:val="22"/>
          <w:lang w:val="en-GB"/>
        </w:rPr>
        <w:t xml:space="preserve">, you </w:t>
      </w:r>
      <w:r w:rsidRPr="00041D2C">
        <w:rPr>
          <w:rFonts w:ascii="Avenir Next Demi Bold" w:hAnsi="Avenir Next Demi Bold" w:cs="Arial"/>
          <w:b/>
          <w:bCs/>
          <w:sz w:val="22"/>
          <w:szCs w:val="22"/>
          <w:lang w:val="en-GB"/>
        </w:rPr>
        <w:t>may not</w:t>
      </w:r>
      <w:r w:rsidRPr="00041D2C">
        <w:rPr>
          <w:rFonts w:ascii="Avenir Next" w:hAnsi="Avenir Next" w:cs="Arial"/>
          <w:sz w:val="22"/>
          <w:szCs w:val="22"/>
          <w:lang w:val="en-GB"/>
        </w:rPr>
        <w:t xml:space="preserve"> submit the assessment again by 31 July 202</w:t>
      </w:r>
      <w:r w:rsidR="00B437B1" w:rsidRPr="00041D2C">
        <w:rPr>
          <w:rFonts w:ascii="Avenir Next" w:hAnsi="Avenir Next" w:cs="Arial"/>
          <w:sz w:val="22"/>
          <w:szCs w:val="22"/>
          <w:lang w:val="en-GB"/>
        </w:rPr>
        <w:t>4</w:t>
      </w:r>
      <w:r w:rsidRPr="00041D2C">
        <w:rPr>
          <w:rFonts w:ascii="Avenir Next" w:hAnsi="Avenir Next" w:cs="Arial"/>
          <w:sz w:val="22"/>
          <w:szCs w:val="22"/>
          <w:lang w:val="en-GB"/>
        </w:rPr>
        <w:t xml:space="preserve"> (for example, in order to achieve a higher mark).</w:t>
      </w:r>
    </w:p>
    <w:p w14:paraId="730563CC" w14:textId="6077C6A8" w:rsidR="00F3323E" w:rsidRPr="00041D2C" w:rsidRDefault="00B30D9A" w:rsidP="00B30D9A">
      <w:pPr>
        <w:ind w:left="720" w:hanging="720"/>
        <w:jc w:val="both"/>
        <w:rPr>
          <w:rFonts w:ascii="Avenir Next" w:hAnsi="Avenir Next" w:cs="Arial"/>
          <w:sz w:val="22"/>
          <w:szCs w:val="22"/>
          <w:lang w:val="en-GB"/>
        </w:rPr>
      </w:pPr>
      <w:r w:rsidRPr="00041D2C">
        <w:rPr>
          <w:rFonts w:ascii="Avenir Next" w:hAnsi="Avenir Next" w:cs="Arial"/>
          <w:sz w:val="22"/>
          <w:szCs w:val="22"/>
          <w:lang w:val="en-GB"/>
        </w:rPr>
        <w:t>7.</w:t>
      </w:r>
      <w:r w:rsidRPr="00041D2C">
        <w:rPr>
          <w:rFonts w:ascii="Avenir Next" w:hAnsi="Avenir Next" w:cs="Arial"/>
          <w:sz w:val="22"/>
          <w:szCs w:val="22"/>
          <w:lang w:val="en-GB"/>
        </w:rPr>
        <w:tab/>
        <w:t xml:space="preserve">Prior to being populated with your answers, this assessment consists of </w:t>
      </w:r>
      <w:r w:rsidR="001B6DDC" w:rsidRPr="00041D2C">
        <w:rPr>
          <w:rFonts w:ascii="Avenir Next Demi Bold" w:hAnsi="Avenir Next Demi Bold" w:cs="Arial"/>
          <w:b/>
          <w:bCs/>
          <w:sz w:val="22"/>
          <w:szCs w:val="22"/>
          <w:lang w:val="en-GB"/>
        </w:rPr>
        <w:t>10</w:t>
      </w:r>
      <w:r w:rsidRPr="00041D2C">
        <w:rPr>
          <w:rFonts w:ascii="Avenir Next Demi Bold" w:hAnsi="Avenir Next Demi Bold" w:cs="Arial"/>
          <w:b/>
          <w:bCs/>
          <w:sz w:val="22"/>
          <w:szCs w:val="22"/>
          <w:lang w:val="en-GB"/>
        </w:rPr>
        <w:t xml:space="preserve"> pages</w:t>
      </w:r>
      <w:r w:rsidRPr="00041D2C">
        <w:rPr>
          <w:rFonts w:ascii="Avenir Next" w:hAnsi="Avenir Next" w:cs="Arial"/>
          <w:sz w:val="22"/>
          <w:szCs w:val="22"/>
          <w:lang w:val="en-GB"/>
        </w:rPr>
        <w:t>.</w:t>
      </w:r>
    </w:p>
    <w:p w14:paraId="16583175" w14:textId="77777777" w:rsidR="00F3323E" w:rsidRPr="00041D2C" w:rsidRDefault="00F3323E" w:rsidP="00592F82">
      <w:pPr>
        <w:ind w:left="720" w:hanging="720"/>
        <w:jc w:val="both"/>
        <w:rPr>
          <w:rFonts w:ascii="Arial" w:hAnsi="Arial" w:cs="Arial"/>
          <w:sz w:val="22"/>
          <w:szCs w:val="22"/>
          <w:lang w:val="en-GB"/>
        </w:rPr>
      </w:pPr>
    </w:p>
    <w:p w14:paraId="2966AAD4" w14:textId="443A837F" w:rsidR="00F3323E" w:rsidRPr="00041D2C" w:rsidRDefault="00F3323E" w:rsidP="002A37BB">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u w:val="single"/>
          <w:lang w:val="en-GB"/>
        </w:rPr>
        <w:t>ANSWER ALL THE QUESTIONS</w:t>
      </w:r>
    </w:p>
    <w:p w14:paraId="62B460C7" w14:textId="77777777" w:rsidR="00F3323E" w:rsidRPr="00041D2C" w:rsidRDefault="00F3323E" w:rsidP="002A37BB">
      <w:pPr>
        <w:ind w:left="720" w:hanging="720"/>
        <w:jc w:val="both"/>
        <w:rPr>
          <w:rFonts w:ascii="Avenir Next" w:hAnsi="Avenir Next" w:cs="Arial"/>
          <w:sz w:val="22"/>
          <w:szCs w:val="22"/>
          <w:lang w:val="en-GB"/>
        </w:rPr>
      </w:pPr>
    </w:p>
    <w:p w14:paraId="7855E8A8" w14:textId="3F6B427A" w:rsidR="005D43E0" w:rsidRPr="00041D2C" w:rsidRDefault="0029433F" w:rsidP="002A37BB">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QUESTION 1</w:t>
      </w:r>
      <w:r w:rsidR="005D43E0" w:rsidRPr="00041D2C">
        <w:rPr>
          <w:rFonts w:ascii="Avenir Next Demi Bold" w:hAnsi="Avenir Next Demi Bold" w:cs="Arial"/>
          <w:b/>
          <w:bCs/>
          <w:sz w:val="22"/>
          <w:szCs w:val="22"/>
          <w:lang w:val="en-GB"/>
        </w:rPr>
        <w:t xml:space="preserve"> (multiple-choice questions) [10 marks</w:t>
      </w:r>
      <w:r w:rsidR="00D17FDC" w:rsidRPr="00041D2C">
        <w:rPr>
          <w:rFonts w:ascii="Avenir Next Demi Bold" w:hAnsi="Avenir Next Demi Bold" w:cs="Arial"/>
          <w:b/>
          <w:bCs/>
          <w:sz w:val="22"/>
          <w:szCs w:val="22"/>
          <w:lang w:val="en-GB"/>
        </w:rPr>
        <w:t xml:space="preserve"> in total</w:t>
      </w:r>
      <w:r w:rsidR="005D43E0" w:rsidRPr="00041D2C">
        <w:rPr>
          <w:rFonts w:ascii="Avenir Next Demi Bold" w:hAnsi="Avenir Next Demi Bold" w:cs="Arial"/>
          <w:b/>
          <w:bCs/>
          <w:sz w:val="22"/>
          <w:szCs w:val="22"/>
          <w:lang w:val="en-GB"/>
        </w:rPr>
        <w:t>]</w:t>
      </w:r>
    </w:p>
    <w:p w14:paraId="3CF1A35C" w14:textId="77777777" w:rsidR="00F3323E" w:rsidRPr="00041D2C" w:rsidRDefault="00F3323E" w:rsidP="002A37BB">
      <w:pPr>
        <w:ind w:left="720" w:hanging="720"/>
        <w:jc w:val="both"/>
        <w:rPr>
          <w:rFonts w:ascii="Avenir Next" w:hAnsi="Avenir Next" w:cs="Arial"/>
          <w:sz w:val="22"/>
          <w:szCs w:val="22"/>
          <w:lang w:val="en-GB"/>
        </w:rPr>
      </w:pPr>
    </w:p>
    <w:p w14:paraId="52F192E0" w14:textId="4F9975C1" w:rsidR="005D43E0" w:rsidRPr="00041D2C" w:rsidRDefault="005D43E0" w:rsidP="002A37BB">
      <w:pPr>
        <w:jc w:val="both"/>
        <w:rPr>
          <w:rFonts w:ascii="Avenir Next" w:hAnsi="Avenir Next" w:cs="Arial"/>
          <w:sz w:val="22"/>
          <w:szCs w:val="22"/>
          <w:lang w:val="en-GB"/>
        </w:rPr>
      </w:pPr>
      <w:r w:rsidRPr="00041D2C">
        <w:rPr>
          <w:rFonts w:ascii="Avenir Next" w:hAnsi="Avenir Next" w:cs="Arial"/>
          <w:sz w:val="22"/>
          <w:szCs w:val="22"/>
          <w:lang w:val="en-GB"/>
        </w:rPr>
        <w:t>Questions 1.1. – 1.10</w:t>
      </w:r>
      <w:r w:rsidR="00341AA6" w:rsidRPr="00041D2C">
        <w:rPr>
          <w:rFonts w:ascii="Avenir Next" w:hAnsi="Avenir Next" w:cs="Arial"/>
          <w:sz w:val="22"/>
          <w:szCs w:val="22"/>
          <w:lang w:val="en-GB"/>
        </w:rPr>
        <w:t>.</w:t>
      </w:r>
      <w:r w:rsidRPr="00041D2C">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41D2C">
        <w:rPr>
          <w:rFonts w:ascii="Avenir Next" w:hAnsi="Avenir Next" w:cs="Arial"/>
          <w:sz w:val="22"/>
          <w:szCs w:val="22"/>
          <w:highlight w:val="yellow"/>
          <w:lang w:val="en-GB"/>
        </w:rPr>
        <w:t>mark your selection on the answer sheet</w:t>
      </w:r>
      <w:r w:rsidR="00397D3A" w:rsidRPr="00041D2C">
        <w:rPr>
          <w:rFonts w:ascii="Avenir Next" w:hAnsi="Avenir Next" w:cs="Arial"/>
          <w:sz w:val="22"/>
          <w:szCs w:val="22"/>
          <w:highlight w:val="yellow"/>
          <w:lang w:val="en-GB"/>
        </w:rPr>
        <w:t xml:space="preserve"> by highlighting the </w:t>
      </w:r>
      <w:r w:rsidR="0036565C" w:rsidRPr="00041D2C">
        <w:rPr>
          <w:rFonts w:ascii="Avenir Next" w:hAnsi="Avenir Next" w:cs="Arial"/>
          <w:sz w:val="22"/>
          <w:szCs w:val="22"/>
          <w:highlight w:val="yellow"/>
          <w:lang w:val="en-GB"/>
        </w:rPr>
        <w:t xml:space="preserve">relevant paragraph </w:t>
      </w:r>
      <w:r w:rsidR="0036565C" w:rsidRPr="00041D2C">
        <w:rPr>
          <w:rFonts w:ascii="Avenir Next Demi Bold" w:hAnsi="Avenir Next Demi Bold" w:cs="Arial"/>
          <w:b/>
          <w:bCs/>
          <w:sz w:val="22"/>
          <w:szCs w:val="22"/>
          <w:highlight w:val="yellow"/>
          <w:lang w:val="en-GB"/>
        </w:rPr>
        <w:t xml:space="preserve">in </w:t>
      </w:r>
      <w:r w:rsidR="0036565C" w:rsidRPr="00041D2C">
        <w:rPr>
          <w:rFonts w:ascii="Avenir Next Demi Bold" w:hAnsi="Avenir Next Demi Bold" w:cs="Arial"/>
          <w:b/>
          <w:bCs/>
          <w:sz w:val="22"/>
          <w:szCs w:val="22"/>
          <w:highlight w:val="yellow"/>
          <w:lang w:val="en-GB"/>
        </w:rPr>
        <w:lastRenderedPageBreak/>
        <w:t>yellow</w:t>
      </w:r>
      <w:r w:rsidRPr="00041D2C">
        <w:rPr>
          <w:rFonts w:ascii="Avenir Next" w:hAnsi="Avenir Next" w:cs="Arial"/>
          <w:sz w:val="22"/>
          <w:szCs w:val="22"/>
          <w:lang w:val="en-GB"/>
        </w:rPr>
        <w:t>.</w:t>
      </w:r>
      <w:r w:rsidR="0036565C" w:rsidRPr="00041D2C">
        <w:rPr>
          <w:rFonts w:ascii="Avenir Next" w:hAnsi="Avenir Next" w:cs="Arial"/>
          <w:sz w:val="22"/>
          <w:szCs w:val="22"/>
          <w:lang w:val="en-GB"/>
        </w:rPr>
        <w:t xml:space="preserve"> Select only </w:t>
      </w:r>
      <w:r w:rsidR="0036565C" w:rsidRPr="00041D2C">
        <w:rPr>
          <w:rFonts w:ascii="Avenir Next Demi Bold" w:hAnsi="Avenir Next Demi Bold" w:cs="Arial"/>
          <w:b/>
          <w:bCs/>
          <w:sz w:val="22"/>
          <w:szCs w:val="22"/>
          <w:lang w:val="en-GB"/>
        </w:rPr>
        <w:t>ONE</w:t>
      </w:r>
      <w:r w:rsidR="0036565C" w:rsidRPr="00041D2C">
        <w:rPr>
          <w:rFonts w:ascii="Avenir Next" w:hAnsi="Avenir Next" w:cs="Arial"/>
          <w:sz w:val="22"/>
          <w:szCs w:val="22"/>
          <w:lang w:val="en-GB"/>
        </w:rPr>
        <w:t xml:space="preserve"> answer</w:t>
      </w:r>
      <w:r w:rsidR="00A60074" w:rsidRPr="00041D2C">
        <w:rPr>
          <w:rFonts w:ascii="Avenir Next" w:hAnsi="Avenir Next" w:cs="Arial"/>
          <w:sz w:val="22"/>
          <w:szCs w:val="22"/>
          <w:lang w:val="en-GB"/>
        </w:rPr>
        <w:t>. Candidates who select more than one answer will receive no mark for that specific question.</w:t>
      </w:r>
    </w:p>
    <w:p w14:paraId="27033D10" w14:textId="424A462F" w:rsidR="00AF228E" w:rsidRPr="00041D2C" w:rsidRDefault="00AF228E" w:rsidP="002A37BB">
      <w:pPr>
        <w:autoSpaceDE w:val="0"/>
        <w:autoSpaceDN w:val="0"/>
        <w:adjustRightInd w:val="0"/>
        <w:jc w:val="both"/>
        <w:rPr>
          <w:rFonts w:ascii="Avenir Next" w:hAnsi="Avenir Next" w:cs="Arial"/>
          <w:sz w:val="22"/>
          <w:szCs w:val="22"/>
          <w:lang w:val="en-GB"/>
        </w:rPr>
      </w:pPr>
    </w:p>
    <w:p w14:paraId="5D74B00C" w14:textId="77777777" w:rsidR="00F746D8" w:rsidRPr="00041D2C" w:rsidRDefault="00F746D8" w:rsidP="00F746D8">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1.1 </w:t>
      </w:r>
    </w:p>
    <w:p w14:paraId="6092A781" w14:textId="77777777" w:rsidR="00F746D8" w:rsidRPr="00041D2C" w:rsidRDefault="00F746D8" w:rsidP="00F746D8">
      <w:pPr>
        <w:jc w:val="both"/>
        <w:rPr>
          <w:rFonts w:ascii="Avenir Next" w:hAnsi="Avenir Next" w:cs="Arial"/>
          <w:sz w:val="22"/>
          <w:szCs w:val="22"/>
          <w:lang w:val="en-GB"/>
        </w:rPr>
      </w:pPr>
    </w:p>
    <w:p w14:paraId="7530F652" w14:textId="77777777"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 xml:space="preserve">The EIR 2000 was the first European initiative to ever attempt to harmonise the insolvency laws of EU Member States. </w:t>
      </w:r>
    </w:p>
    <w:p w14:paraId="7266AEA8" w14:textId="77777777" w:rsidR="00F746D8" w:rsidRPr="00041D2C" w:rsidRDefault="00F746D8" w:rsidP="00F746D8">
      <w:pPr>
        <w:jc w:val="both"/>
        <w:rPr>
          <w:rFonts w:ascii="Avenir Next" w:hAnsi="Avenir Next" w:cs="Arial"/>
          <w:sz w:val="22"/>
          <w:szCs w:val="22"/>
          <w:lang w:val="en-GB"/>
        </w:rPr>
      </w:pPr>
    </w:p>
    <w:p w14:paraId="6847616F" w14:textId="77777777"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 xml:space="preserve">Select the </w:t>
      </w:r>
      <w:r w:rsidRPr="00041D2C">
        <w:rPr>
          <w:rFonts w:ascii="Avenir Next Demi Bold" w:hAnsi="Avenir Next Demi Bold" w:cs="Arial"/>
          <w:sz w:val="22"/>
          <w:szCs w:val="22"/>
          <w:u w:val="single"/>
          <w:lang w:val="en-GB"/>
        </w:rPr>
        <w:t>correct</w:t>
      </w:r>
      <w:r w:rsidRPr="00041D2C">
        <w:rPr>
          <w:rFonts w:ascii="Avenir Next" w:hAnsi="Avenir Next" w:cs="Arial"/>
          <w:sz w:val="22"/>
          <w:szCs w:val="22"/>
          <w:lang w:val="en-GB"/>
        </w:rPr>
        <w:t xml:space="preserve"> answer from the options below:</w:t>
      </w:r>
    </w:p>
    <w:p w14:paraId="1571C9A6" w14:textId="77777777" w:rsidR="00F746D8" w:rsidRPr="00041D2C" w:rsidRDefault="00F746D8" w:rsidP="00F746D8">
      <w:pPr>
        <w:jc w:val="both"/>
        <w:rPr>
          <w:rFonts w:ascii="Avenir Next" w:hAnsi="Avenir Next" w:cs="Arial"/>
          <w:sz w:val="22"/>
          <w:szCs w:val="22"/>
          <w:lang w:val="en-GB"/>
        </w:rPr>
      </w:pPr>
    </w:p>
    <w:p w14:paraId="4951B57A" w14:textId="77777777" w:rsidR="00F746D8" w:rsidRPr="00041D2C" w:rsidRDefault="00F746D8" w:rsidP="00F746D8">
      <w:pPr>
        <w:pStyle w:val="ListParagraph"/>
        <w:numPr>
          <w:ilvl w:val="0"/>
          <w:numId w:val="26"/>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041D2C" w:rsidRDefault="00F746D8" w:rsidP="00F746D8">
      <w:pPr>
        <w:pStyle w:val="ListParagraph"/>
        <w:ind w:left="426"/>
        <w:jc w:val="both"/>
        <w:rPr>
          <w:rFonts w:ascii="Avenir Next" w:hAnsi="Avenir Next" w:cs="Arial"/>
          <w:sz w:val="22"/>
          <w:szCs w:val="22"/>
          <w:lang w:val="en-GB"/>
        </w:rPr>
      </w:pPr>
    </w:p>
    <w:p w14:paraId="05419608" w14:textId="77777777" w:rsidR="00F746D8" w:rsidRPr="00041D2C" w:rsidRDefault="00F746D8" w:rsidP="00F746D8">
      <w:pPr>
        <w:pStyle w:val="ListParagraph"/>
        <w:numPr>
          <w:ilvl w:val="0"/>
          <w:numId w:val="26"/>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041D2C" w:rsidRDefault="00F746D8" w:rsidP="00F746D8">
      <w:pPr>
        <w:pStyle w:val="ListParagraph"/>
        <w:ind w:left="426"/>
        <w:jc w:val="both"/>
        <w:rPr>
          <w:rFonts w:ascii="Avenir Next" w:hAnsi="Avenir Next" w:cs="Arial"/>
          <w:sz w:val="22"/>
          <w:szCs w:val="22"/>
          <w:lang w:val="en-GB"/>
        </w:rPr>
      </w:pPr>
    </w:p>
    <w:p w14:paraId="780CB84D" w14:textId="77777777" w:rsidR="00F746D8" w:rsidRPr="00041D2C" w:rsidRDefault="00F746D8" w:rsidP="00F746D8">
      <w:pPr>
        <w:pStyle w:val="ListParagraph"/>
        <w:numPr>
          <w:ilvl w:val="0"/>
          <w:numId w:val="26"/>
        </w:numPr>
        <w:ind w:left="426"/>
        <w:jc w:val="both"/>
        <w:rPr>
          <w:rFonts w:ascii="Avenir Next" w:hAnsi="Avenir Next" w:cs="Arial"/>
          <w:sz w:val="22"/>
          <w:szCs w:val="22"/>
          <w:lang w:val="en-GB"/>
        </w:rPr>
      </w:pPr>
      <w:r w:rsidRPr="00041D2C">
        <w:rPr>
          <w:rFonts w:ascii="Avenir Next" w:hAnsi="Avenir Next" w:cs="Arial"/>
          <w:sz w:val="22"/>
          <w:szCs w:val="22"/>
          <w:lang w:val="en-GB"/>
        </w:rPr>
        <w:t>False, an EU Directive regulating insolvency law at EU level existed before the EIR 2000.</w:t>
      </w:r>
    </w:p>
    <w:p w14:paraId="1B075F55" w14:textId="77777777" w:rsidR="00F746D8" w:rsidRPr="00041D2C" w:rsidRDefault="00F746D8" w:rsidP="00F746D8">
      <w:pPr>
        <w:pStyle w:val="ListParagraph"/>
        <w:ind w:left="426"/>
        <w:jc w:val="both"/>
        <w:rPr>
          <w:rFonts w:ascii="Avenir Next" w:hAnsi="Avenir Next" w:cs="Arial"/>
          <w:sz w:val="22"/>
          <w:szCs w:val="22"/>
          <w:lang w:val="en-GB"/>
        </w:rPr>
      </w:pPr>
    </w:p>
    <w:p w14:paraId="04E0EF03" w14:textId="77777777" w:rsidR="00F746D8" w:rsidRPr="00041D2C" w:rsidRDefault="00F746D8" w:rsidP="00F746D8">
      <w:pPr>
        <w:pStyle w:val="ListParagraph"/>
        <w:numPr>
          <w:ilvl w:val="0"/>
          <w:numId w:val="26"/>
        </w:numPr>
        <w:ind w:left="426"/>
        <w:jc w:val="both"/>
        <w:rPr>
          <w:rFonts w:ascii="Avenir Next" w:hAnsi="Avenir Next" w:cs="Arial"/>
          <w:sz w:val="22"/>
          <w:szCs w:val="22"/>
          <w:highlight w:val="yellow"/>
          <w:lang w:val="en-GB"/>
        </w:rPr>
      </w:pPr>
      <w:r w:rsidRPr="00041D2C">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041D2C" w:rsidRDefault="00F746D8" w:rsidP="00F746D8">
      <w:pPr>
        <w:jc w:val="both"/>
        <w:rPr>
          <w:rFonts w:ascii="Avenir Next" w:hAnsi="Avenir Next" w:cs="Arial"/>
          <w:sz w:val="22"/>
          <w:szCs w:val="22"/>
          <w:lang w:val="en-GB"/>
        </w:rPr>
      </w:pPr>
    </w:p>
    <w:p w14:paraId="1A0ED0AB" w14:textId="77777777" w:rsidR="00F746D8" w:rsidRPr="00041D2C" w:rsidRDefault="00F746D8" w:rsidP="00F746D8">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Question 1.2</w:t>
      </w:r>
    </w:p>
    <w:p w14:paraId="4567E89E" w14:textId="77777777" w:rsidR="00F746D8" w:rsidRPr="00041D2C" w:rsidRDefault="00F746D8" w:rsidP="00F746D8">
      <w:pPr>
        <w:jc w:val="both"/>
        <w:rPr>
          <w:rFonts w:ascii="Avenir Next" w:hAnsi="Avenir Next" w:cs="Arial"/>
          <w:sz w:val="22"/>
          <w:szCs w:val="22"/>
          <w:lang w:val="en-GB"/>
        </w:rPr>
      </w:pPr>
    </w:p>
    <w:p w14:paraId="3E53CD97" w14:textId="77777777"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 xml:space="preserve">Article 1(1) of the EIR 2015 relates to the </w:t>
      </w:r>
      <w:r w:rsidRPr="00041D2C">
        <w:rPr>
          <w:rFonts w:ascii="Avenir Next Demi Bold" w:hAnsi="Avenir Next Demi Bold" w:cs="Arial"/>
          <w:sz w:val="22"/>
          <w:szCs w:val="22"/>
          <w:u w:val="single"/>
          <w:lang w:val="en-GB"/>
        </w:rPr>
        <w:t>scope</w:t>
      </w:r>
      <w:r w:rsidRPr="00041D2C">
        <w:rPr>
          <w:rFonts w:ascii="Avenir Next" w:hAnsi="Avenir Next" w:cs="Arial"/>
          <w:sz w:val="22"/>
          <w:szCs w:val="22"/>
          <w:lang w:val="en-GB"/>
        </w:rPr>
        <w:t xml:space="preserve"> of the Regulation. Choose the </w:t>
      </w:r>
      <w:r w:rsidRPr="00041D2C">
        <w:rPr>
          <w:rFonts w:ascii="Avenir Next Demi Bold" w:hAnsi="Avenir Next Demi Bold" w:cs="Arial"/>
          <w:sz w:val="22"/>
          <w:szCs w:val="22"/>
          <w:u w:val="single"/>
          <w:lang w:val="en-GB"/>
        </w:rPr>
        <w:t>correct</w:t>
      </w:r>
      <w:r w:rsidRPr="00041D2C">
        <w:rPr>
          <w:rFonts w:ascii="Avenir Next" w:hAnsi="Avenir Next" w:cs="Arial"/>
          <w:sz w:val="22"/>
          <w:szCs w:val="22"/>
          <w:lang w:val="en-GB"/>
        </w:rPr>
        <w:t xml:space="preserve"> statement from the options below:</w:t>
      </w:r>
    </w:p>
    <w:p w14:paraId="3002EBAE" w14:textId="77777777" w:rsidR="00F746D8" w:rsidRPr="00041D2C" w:rsidRDefault="00F746D8" w:rsidP="00F746D8">
      <w:pPr>
        <w:jc w:val="both"/>
        <w:rPr>
          <w:rFonts w:ascii="Avenir Next" w:hAnsi="Avenir Next" w:cs="Arial"/>
          <w:sz w:val="22"/>
          <w:szCs w:val="22"/>
          <w:lang w:val="en-GB"/>
        </w:rPr>
      </w:pPr>
    </w:p>
    <w:p w14:paraId="7B18332C" w14:textId="77777777" w:rsidR="00F746D8" w:rsidRPr="00041D2C"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041D2C">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041D2C" w:rsidRDefault="00F746D8" w:rsidP="00F746D8">
      <w:pPr>
        <w:pStyle w:val="ListParagraph"/>
        <w:ind w:left="426"/>
        <w:jc w:val="both"/>
        <w:rPr>
          <w:rFonts w:ascii="Avenir Next" w:hAnsi="Avenir Next" w:cs="Arial"/>
          <w:iCs/>
          <w:sz w:val="22"/>
          <w:szCs w:val="22"/>
          <w:lang w:val="en-GB"/>
        </w:rPr>
      </w:pPr>
    </w:p>
    <w:p w14:paraId="676F8887" w14:textId="77777777" w:rsidR="00F746D8" w:rsidRPr="00041D2C" w:rsidRDefault="00F746D8" w:rsidP="00F746D8">
      <w:pPr>
        <w:pStyle w:val="ListParagraph"/>
        <w:numPr>
          <w:ilvl w:val="0"/>
          <w:numId w:val="3"/>
        </w:numPr>
        <w:ind w:left="426"/>
        <w:jc w:val="both"/>
        <w:rPr>
          <w:rFonts w:ascii="Avenir Next" w:hAnsi="Avenir Next" w:cs="Arial"/>
          <w:iCs/>
          <w:sz w:val="22"/>
          <w:szCs w:val="22"/>
          <w:lang w:val="en-GB"/>
        </w:rPr>
      </w:pPr>
      <w:r w:rsidRPr="00041D2C">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041D2C" w:rsidRDefault="00F746D8" w:rsidP="00F746D8">
      <w:pPr>
        <w:jc w:val="both"/>
        <w:rPr>
          <w:rFonts w:ascii="Avenir Next" w:hAnsi="Avenir Next" w:cs="Arial"/>
          <w:iCs/>
          <w:sz w:val="22"/>
          <w:szCs w:val="22"/>
          <w:lang w:val="en-GB"/>
        </w:rPr>
      </w:pPr>
    </w:p>
    <w:p w14:paraId="69D92595" w14:textId="77777777" w:rsidR="00F746D8" w:rsidRPr="00041D2C" w:rsidRDefault="00F746D8" w:rsidP="00F746D8">
      <w:pPr>
        <w:pStyle w:val="ListParagraph"/>
        <w:numPr>
          <w:ilvl w:val="0"/>
          <w:numId w:val="3"/>
        </w:numPr>
        <w:ind w:left="426"/>
        <w:jc w:val="both"/>
        <w:rPr>
          <w:rFonts w:ascii="Avenir Next" w:hAnsi="Avenir Next" w:cs="Arial"/>
          <w:iCs/>
          <w:sz w:val="22"/>
          <w:szCs w:val="22"/>
          <w:lang w:val="en-GB"/>
        </w:rPr>
      </w:pPr>
      <w:r w:rsidRPr="00041D2C">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 and are public.</w:t>
      </w:r>
    </w:p>
    <w:p w14:paraId="4A83C482" w14:textId="77777777" w:rsidR="00F746D8" w:rsidRPr="00041D2C" w:rsidRDefault="00F746D8" w:rsidP="00F746D8">
      <w:pPr>
        <w:pStyle w:val="ListParagraph"/>
        <w:ind w:left="426"/>
        <w:jc w:val="both"/>
        <w:rPr>
          <w:rFonts w:ascii="Avenir Next" w:hAnsi="Avenir Next" w:cs="Arial"/>
          <w:iCs/>
          <w:sz w:val="22"/>
          <w:szCs w:val="22"/>
          <w:lang w:val="en-GB"/>
        </w:rPr>
      </w:pPr>
    </w:p>
    <w:p w14:paraId="3C1680F9" w14:textId="77777777" w:rsidR="00F746D8" w:rsidRPr="00041D2C" w:rsidRDefault="00F746D8" w:rsidP="00F746D8">
      <w:pPr>
        <w:pStyle w:val="ListParagraph"/>
        <w:numPr>
          <w:ilvl w:val="0"/>
          <w:numId w:val="3"/>
        </w:numPr>
        <w:ind w:left="426"/>
        <w:jc w:val="both"/>
        <w:rPr>
          <w:rFonts w:ascii="Avenir Next" w:hAnsi="Avenir Next" w:cs="Arial"/>
          <w:iCs/>
          <w:sz w:val="22"/>
          <w:szCs w:val="22"/>
          <w:lang w:val="en-GB"/>
        </w:rPr>
      </w:pPr>
      <w:r w:rsidRPr="00041D2C">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 and are collective.</w:t>
      </w:r>
    </w:p>
    <w:p w14:paraId="465EB0D1" w14:textId="77777777" w:rsidR="00F746D8" w:rsidRPr="00041D2C" w:rsidRDefault="00F746D8" w:rsidP="00F746D8">
      <w:pPr>
        <w:pStyle w:val="ListParagraph"/>
        <w:ind w:left="426"/>
        <w:jc w:val="both"/>
        <w:rPr>
          <w:rFonts w:ascii="Avenir Next" w:hAnsi="Avenir Next" w:cs="Arial"/>
          <w:iCs/>
          <w:sz w:val="22"/>
          <w:szCs w:val="22"/>
          <w:lang w:val="en-GB"/>
        </w:rPr>
      </w:pPr>
    </w:p>
    <w:p w14:paraId="39B20C08" w14:textId="77777777" w:rsidR="00F746D8" w:rsidRPr="00041D2C" w:rsidRDefault="00F746D8" w:rsidP="00F746D8">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Question 1.3</w:t>
      </w:r>
    </w:p>
    <w:p w14:paraId="7E845B08" w14:textId="77777777" w:rsidR="00F746D8" w:rsidRPr="00041D2C" w:rsidRDefault="00F746D8" w:rsidP="00F746D8">
      <w:pPr>
        <w:jc w:val="both"/>
        <w:rPr>
          <w:rFonts w:ascii="Avenir Next" w:hAnsi="Avenir Next" w:cs="Arial"/>
          <w:sz w:val="22"/>
          <w:szCs w:val="22"/>
          <w:lang w:val="en-GB"/>
        </w:rPr>
      </w:pPr>
    </w:p>
    <w:p w14:paraId="36A530BA" w14:textId="77777777"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041D2C" w:rsidRDefault="00F746D8" w:rsidP="00F746D8">
      <w:pPr>
        <w:jc w:val="both"/>
        <w:rPr>
          <w:rFonts w:ascii="Avenir Next" w:hAnsi="Avenir Next" w:cs="Arial"/>
          <w:sz w:val="22"/>
          <w:szCs w:val="22"/>
          <w:lang w:val="en-GB"/>
        </w:rPr>
      </w:pPr>
    </w:p>
    <w:p w14:paraId="2E7B0A19" w14:textId="77777777" w:rsidR="00F746D8" w:rsidRPr="00041D2C" w:rsidRDefault="00F746D8" w:rsidP="00F746D8">
      <w:pPr>
        <w:pStyle w:val="ListParagraph"/>
        <w:numPr>
          <w:ilvl w:val="0"/>
          <w:numId w:val="27"/>
        </w:numPr>
        <w:ind w:left="426"/>
        <w:jc w:val="both"/>
        <w:rPr>
          <w:rFonts w:ascii="Avenir Next" w:hAnsi="Avenir Next" w:cs="Arial"/>
          <w:iCs/>
          <w:sz w:val="22"/>
          <w:szCs w:val="22"/>
          <w:lang w:val="en-GB"/>
        </w:rPr>
      </w:pPr>
      <w:r w:rsidRPr="00041D2C">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041D2C" w:rsidRDefault="00F746D8" w:rsidP="00F746D8">
      <w:pPr>
        <w:ind w:left="66"/>
        <w:jc w:val="both"/>
        <w:rPr>
          <w:rFonts w:ascii="Avenir Next" w:hAnsi="Avenir Next" w:cs="Arial"/>
          <w:iCs/>
          <w:sz w:val="22"/>
          <w:szCs w:val="22"/>
          <w:lang w:val="en-GB"/>
        </w:rPr>
      </w:pPr>
    </w:p>
    <w:p w14:paraId="2DE76DE5" w14:textId="77777777" w:rsidR="00F746D8" w:rsidRPr="00041D2C" w:rsidRDefault="00F746D8" w:rsidP="00F746D8">
      <w:pPr>
        <w:pStyle w:val="ListParagraph"/>
        <w:numPr>
          <w:ilvl w:val="0"/>
          <w:numId w:val="27"/>
        </w:numPr>
        <w:ind w:left="426"/>
        <w:jc w:val="both"/>
        <w:rPr>
          <w:rFonts w:ascii="Avenir Next" w:hAnsi="Avenir Next" w:cs="Arial"/>
          <w:iCs/>
          <w:sz w:val="22"/>
          <w:szCs w:val="22"/>
          <w:lang w:val="en-GB"/>
        </w:rPr>
      </w:pPr>
      <w:r w:rsidRPr="00041D2C">
        <w:rPr>
          <w:rFonts w:ascii="Avenir Next" w:hAnsi="Avenir Next"/>
          <w:sz w:val="22"/>
          <w:lang w:val="en-GB"/>
        </w:rPr>
        <w:t xml:space="preserve">The EIR 2000 was generally regarded as </w:t>
      </w:r>
      <w:r w:rsidRPr="00041D2C">
        <w:rPr>
          <w:rFonts w:ascii="Avenir Next" w:hAnsi="Avenir Next" w:cs="Arial"/>
          <w:iCs/>
          <w:sz w:val="22"/>
          <w:szCs w:val="22"/>
          <w:lang w:val="en-GB"/>
        </w:rPr>
        <w:t>an unsuccessful</w:t>
      </w:r>
      <w:r w:rsidRPr="00041D2C">
        <w:rPr>
          <w:rFonts w:ascii="Avenir Next" w:hAnsi="Avenir Next"/>
          <w:sz w:val="22"/>
          <w:lang w:val="en-GB"/>
        </w:rPr>
        <w:t xml:space="preserve"> instrument in the area of European insolvency law by the EU institutions, practitioners and academics. </w:t>
      </w:r>
    </w:p>
    <w:p w14:paraId="226FC1C9" w14:textId="77777777" w:rsidR="00F746D8" w:rsidRPr="00041D2C" w:rsidRDefault="00F746D8" w:rsidP="00F746D8">
      <w:pPr>
        <w:pStyle w:val="ListParagraph"/>
        <w:ind w:left="426"/>
        <w:jc w:val="both"/>
        <w:rPr>
          <w:rFonts w:ascii="Avenir Next" w:hAnsi="Avenir Next" w:cs="Arial"/>
          <w:iCs/>
          <w:sz w:val="22"/>
          <w:szCs w:val="22"/>
          <w:lang w:val="en-GB"/>
        </w:rPr>
      </w:pPr>
    </w:p>
    <w:p w14:paraId="3469FC75" w14:textId="77777777" w:rsidR="00F746D8" w:rsidRPr="00041D2C" w:rsidRDefault="00F746D8" w:rsidP="00F746D8">
      <w:pPr>
        <w:pStyle w:val="ListParagraph"/>
        <w:numPr>
          <w:ilvl w:val="0"/>
          <w:numId w:val="27"/>
        </w:numPr>
        <w:ind w:left="426"/>
        <w:jc w:val="both"/>
        <w:rPr>
          <w:rFonts w:ascii="Avenir Next" w:hAnsi="Avenir Next" w:cs="Arial"/>
          <w:iCs/>
          <w:sz w:val="22"/>
          <w:szCs w:val="22"/>
          <w:lang w:val="en-GB"/>
        </w:rPr>
      </w:pPr>
      <w:r w:rsidRPr="00041D2C">
        <w:rPr>
          <w:rFonts w:ascii="Avenir Next" w:hAnsi="Avenir Next" w:cs="Arial"/>
          <w:iCs/>
          <w:sz w:val="22"/>
          <w:szCs w:val="22"/>
          <w:lang w:val="en-GB"/>
        </w:rPr>
        <w:t>The fundamental choices and underlying policies of the EIR 2000 lacked support from the major stakeholders (businesses, public authorities, insolvency practitioners, etcetera). A new Regulation was therefore needed to meet their expectations.</w:t>
      </w:r>
    </w:p>
    <w:p w14:paraId="6106F66F" w14:textId="77777777" w:rsidR="00F746D8" w:rsidRPr="00041D2C" w:rsidRDefault="00F746D8" w:rsidP="00F746D8">
      <w:pPr>
        <w:pStyle w:val="ListParagraph"/>
        <w:ind w:left="426"/>
        <w:jc w:val="both"/>
        <w:rPr>
          <w:rFonts w:ascii="Avenir Next" w:hAnsi="Avenir Next" w:cs="Arial"/>
          <w:iCs/>
          <w:sz w:val="22"/>
          <w:szCs w:val="22"/>
          <w:lang w:val="en-GB"/>
        </w:rPr>
      </w:pPr>
    </w:p>
    <w:p w14:paraId="6328E9AC" w14:textId="77777777" w:rsidR="00F746D8" w:rsidRPr="00041D2C" w:rsidRDefault="00F746D8" w:rsidP="00F746D8">
      <w:pPr>
        <w:pStyle w:val="ListParagraph"/>
        <w:numPr>
          <w:ilvl w:val="0"/>
          <w:numId w:val="27"/>
        </w:numPr>
        <w:ind w:left="426"/>
        <w:jc w:val="both"/>
        <w:rPr>
          <w:rFonts w:ascii="Avenir Next" w:hAnsi="Avenir Next"/>
          <w:sz w:val="22"/>
          <w:highlight w:val="yellow"/>
          <w:lang w:val="en-GB"/>
        </w:rPr>
      </w:pPr>
      <w:r w:rsidRPr="00041D2C">
        <w:rPr>
          <w:rFonts w:ascii="Avenir Next" w:hAnsi="Avenir Next"/>
          <w:sz w:val="22"/>
          <w:highlight w:val="yellow"/>
          <w:lang w:val="en-GB"/>
        </w:rPr>
        <w:t xml:space="preserve">The EIR 2000 </w:t>
      </w:r>
      <w:r w:rsidRPr="00041D2C">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041D2C">
        <w:rPr>
          <w:rFonts w:ascii="Avenir Next" w:hAnsi="Avenir Next"/>
          <w:sz w:val="22"/>
          <w:highlight w:val="yellow"/>
          <w:lang w:val="en-GB"/>
        </w:rPr>
        <w:t xml:space="preserve"> </w:t>
      </w:r>
    </w:p>
    <w:p w14:paraId="33995429" w14:textId="77777777" w:rsidR="00F746D8" w:rsidRPr="00041D2C"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041D2C" w:rsidRDefault="00F746D8" w:rsidP="00F746D8">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1.4 </w:t>
      </w:r>
    </w:p>
    <w:p w14:paraId="23BD2865" w14:textId="77777777" w:rsidR="00F746D8" w:rsidRPr="00041D2C" w:rsidRDefault="00F746D8" w:rsidP="00F746D8">
      <w:pPr>
        <w:jc w:val="both"/>
        <w:rPr>
          <w:rFonts w:ascii="Avenir Next" w:hAnsi="Avenir Next" w:cs="Arial"/>
          <w:sz w:val="22"/>
          <w:szCs w:val="22"/>
          <w:lang w:val="en-GB"/>
        </w:rPr>
      </w:pPr>
    </w:p>
    <w:p w14:paraId="2AC3765F" w14:textId="77777777" w:rsidR="00F746D8" w:rsidRPr="00041D2C" w:rsidRDefault="00F746D8" w:rsidP="00F746D8">
      <w:pPr>
        <w:autoSpaceDE w:val="0"/>
        <w:autoSpaceDN w:val="0"/>
        <w:adjustRightInd w:val="0"/>
        <w:jc w:val="both"/>
        <w:rPr>
          <w:rFonts w:ascii="Avenir Next" w:hAnsi="Avenir Next" w:cs="Arial"/>
          <w:sz w:val="22"/>
          <w:szCs w:val="22"/>
          <w:lang w:val="en-GB"/>
        </w:rPr>
      </w:pPr>
      <w:r w:rsidRPr="00041D2C">
        <w:rPr>
          <w:rFonts w:ascii="Avenir Next" w:hAnsi="Avenir Next" w:cs="Arial"/>
          <w:sz w:val="22"/>
          <w:szCs w:val="22"/>
          <w:lang w:val="en-GB"/>
        </w:rPr>
        <w:t xml:space="preserve">Why can it be said that the EIR Recast did not overhaul the </w:t>
      </w:r>
      <w:r w:rsidRPr="00041D2C">
        <w:rPr>
          <w:rFonts w:ascii="Avenir Next" w:hAnsi="Avenir Next" w:cs="Arial"/>
          <w:i/>
          <w:iCs/>
          <w:sz w:val="22"/>
          <w:szCs w:val="22"/>
          <w:lang w:val="en-GB"/>
        </w:rPr>
        <w:t>status quo</w:t>
      </w:r>
      <w:r w:rsidRPr="00041D2C">
        <w:rPr>
          <w:rFonts w:ascii="Avenir Next" w:hAnsi="Avenir Next" w:cs="Arial"/>
          <w:sz w:val="22"/>
          <w:szCs w:val="22"/>
          <w:lang w:val="en-GB"/>
        </w:rPr>
        <w:t>?</w:t>
      </w:r>
    </w:p>
    <w:p w14:paraId="27A0DF86" w14:textId="77777777" w:rsidR="00F746D8" w:rsidRPr="00041D2C"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041D2C" w:rsidRDefault="00F746D8" w:rsidP="00F746D8">
      <w:pPr>
        <w:pStyle w:val="ListParagraph"/>
        <w:numPr>
          <w:ilvl w:val="0"/>
          <w:numId w:val="5"/>
        </w:numPr>
        <w:ind w:left="426"/>
        <w:jc w:val="both"/>
        <w:rPr>
          <w:rFonts w:ascii="Avenir Next" w:hAnsi="Avenir Next" w:cs="Arial"/>
          <w:sz w:val="22"/>
          <w:szCs w:val="22"/>
          <w:lang w:val="en-GB"/>
        </w:rPr>
      </w:pPr>
      <w:r w:rsidRPr="00041D2C">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041D2C" w:rsidRDefault="00F746D8" w:rsidP="00F746D8">
      <w:pPr>
        <w:jc w:val="both"/>
        <w:rPr>
          <w:rFonts w:ascii="Avenir Next" w:hAnsi="Avenir Next" w:cs="Arial"/>
          <w:sz w:val="22"/>
          <w:szCs w:val="22"/>
          <w:lang w:val="en-GB"/>
        </w:rPr>
      </w:pPr>
    </w:p>
    <w:p w14:paraId="648738FD" w14:textId="77777777" w:rsidR="00F746D8" w:rsidRPr="00041D2C" w:rsidRDefault="00F746D8" w:rsidP="00F746D8">
      <w:pPr>
        <w:pStyle w:val="ListParagraph"/>
        <w:numPr>
          <w:ilvl w:val="0"/>
          <w:numId w:val="5"/>
        </w:numPr>
        <w:ind w:left="426"/>
        <w:jc w:val="both"/>
        <w:rPr>
          <w:rFonts w:ascii="Avenir Next" w:hAnsi="Avenir Next" w:cs="Arial"/>
          <w:sz w:val="22"/>
          <w:szCs w:val="22"/>
          <w:highlight w:val="yellow"/>
          <w:lang w:val="en-GB"/>
        </w:rPr>
      </w:pPr>
      <w:r w:rsidRPr="00041D2C">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041D2C" w:rsidRDefault="00F746D8" w:rsidP="00F746D8">
      <w:pPr>
        <w:jc w:val="both"/>
        <w:rPr>
          <w:rFonts w:ascii="Avenir Next" w:hAnsi="Avenir Next" w:cs="Arial"/>
          <w:sz w:val="22"/>
          <w:szCs w:val="22"/>
          <w:lang w:val="en-GB"/>
        </w:rPr>
      </w:pPr>
    </w:p>
    <w:p w14:paraId="10EF9C56" w14:textId="77777777" w:rsidR="00F746D8" w:rsidRPr="00041D2C" w:rsidRDefault="00F746D8" w:rsidP="00F746D8">
      <w:pPr>
        <w:pStyle w:val="ListParagraph"/>
        <w:numPr>
          <w:ilvl w:val="0"/>
          <w:numId w:val="5"/>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The EIR Recast has not added any new concept to the text of the EIR 2000. </w:t>
      </w:r>
    </w:p>
    <w:p w14:paraId="534D5A18" w14:textId="77777777" w:rsidR="00F746D8" w:rsidRPr="00041D2C" w:rsidRDefault="00F746D8" w:rsidP="00F746D8">
      <w:pPr>
        <w:jc w:val="both"/>
        <w:rPr>
          <w:rFonts w:ascii="Avenir Next" w:hAnsi="Avenir Next" w:cs="Arial"/>
          <w:sz w:val="22"/>
          <w:szCs w:val="22"/>
          <w:lang w:val="en-GB"/>
        </w:rPr>
      </w:pPr>
    </w:p>
    <w:p w14:paraId="5986362A" w14:textId="77777777" w:rsidR="00F746D8" w:rsidRPr="00041D2C" w:rsidRDefault="00F746D8" w:rsidP="00F746D8">
      <w:pPr>
        <w:pStyle w:val="ListParagraph"/>
        <w:numPr>
          <w:ilvl w:val="0"/>
          <w:numId w:val="5"/>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It is incorrect to say that the EIR Recast has not overhauled the </w:t>
      </w:r>
      <w:r w:rsidRPr="00041D2C">
        <w:rPr>
          <w:rFonts w:ascii="Avenir Next" w:hAnsi="Avenir Next" w:cs="Arial"/>
          <w:i/>
          <w:iCs/>
          <w:sz w:val="22"/>
          <w:szCs w:val="22"/>
          <w:lang w:val="en-GB"/>
        </w:rPr>
        <w:t>status quo</w:t>
      </w:r>
      <w:r w:rsidRPr="00041D2C">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041D2C" w:rsidRDefault="00F746D8" w:rsidP="00F746D8">
      <w:pPr>
        <w:jc w:val="both"/>
        <w:rPr>
          <w:rFonts w:ascii="Avenir Next" w:hAnsi="Avenir Next" w:cs="Arial"/>
          <w:sz w:val="22"/>
          <w:szCs w:val="22"/>
          <w:lang w:val="en-GB"/>
        </w:rPr>
      </w:pPr>
    </w:p>
    <w:p w14:paraId="75790874" w14:textId="77777777" w:rsidR="00F746D8" w:rsidRPr="00041D2C" w:rsidRDefault="00F746D8" w:rsidP="00F746D8">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1.5 </w:t>
      </w:r>
    </w:p>
    <w:p w14:paraId="3F464A0B" w14:textId="77777777" w:rsidR="00F746D8" w:rsidRPr="00041D2C" w:rsidRDefault="00F746D8" w:rsidP="00F746D8">
      <w:pPr>
        <w:jc w:val="both"/>
        <w:rPr>
          <w:rFonts w:ascii="Avenir Next" w:hAnsi="Avenir Next" w:cs="Arial"/>
          <w:b/>
          <w:bCs/>
          <w:sz w:val="22"/>
          <w:szCs w:val="22"/>
          <w:lang w:val="en-GB"/>
        </w:rPr>
      </w:pPr>
    </w:p>
    <w:p w14:paraId="0693643D" w14:textId="77777777"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 xml:space="preserve">Article 3 of the EIR 2015 deals with jurisdictional matters. Which statement below is </w:t>
      </w:r>
      <w:r w:rsidRPr="00041D2C">
        <w:rPr>
          <w:rFonts w:ascii="Avenir Next Demi Bold" w:hAnsi="Avenir Next Demi Bold" w:cs="Arial"/>
          <w:sz w:val="22"/>
          <w:szCs w:val="22"/>
          <w:u w:val="single"/>
          <w:lang w:val="en-GB"/>
        </w:rPr>
        <w:t>accurate</w:t>
      </w:r>
      <w:r w:rsidRPr="00041D2C">
        <w:rPr>
          <w:rFonts w:ascii="Avenir Next" w:hAnsi="Avenir Next" w:cs="Arial"/>
          <w:sz w:val="22"/>
          <w:szCs w:val="22"/>
          <w:lang w:val="en-GB"/>
        </w:rPr>
        <w:t xml:space="preserve"> in relation to Article 3?</w:t>
      </w:r>
    </w:p>
    <w:p w14:paraId="5F791C46" w14:textId="77777777" w:rsidR="00F746D8" w:rsidRPr="00041D2C" w:rsidRDefault="00F746D8" w:rsidP="00F746D8">
      <w:pPr>
        <w:jc w:val="both"/>
        <w:rPr>
          <w:rFonts w:ascii="Avenir Next" w:hAnsi="Avenir Next" w:cs="Arial"/>
          <w:sz w:val="22"/>
          <w:szCs w:val="22"/>
          <w:lang w:val="en-GB"/>
        </w:rPr>
      </w:pPr>
    </w:p>
    <w:p w14:paraId="443E9866" w14:textId="77777777" w:rsidR="00F746D8" w:rsidRPr="00041D2C" w:rsidRDefault="00F746D8" w:rsidP="00F746D8">
      <w:pPr>
        <w:pStyle w:val="ListParagraph"/>
        <w:numPr>
          <w:ilvl w:val="0"/>
          <w:numId w:val="28"/>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041D2C" w:rsidRDefault="00F746D8" w:rsidP="00F746D8">
      <w:pPr>
        <w:pStyle w:val="ListParagraph"/>
        <w:ind w:left="426"/>
        <w:jc w:val="both"/>
        <w:rPr>
          <w:rFonts w:ascii="Avenir Next" w:hAnsi="Avenir Next" w:cs="Arial"/>
          <w:sz w:val="22"/>
          <w:szCs w:val="22"/>
          <w:lang w:val="en-GB"/>
        </w:rPr>
      </w:pPr>
    </w:p>
    <w:p w14:paraId="54DF3437" w14:textId="20CAC8AA" w:rsidR="00F746D8" w:rsidRPr="00041D2C" w:rsidRDefault="00F746D8" w:rsidP="00F746D8">
      <w:pPr>
        <w:pStyle w:val="ListParagraph"/>
        <w:numPr>
          <w:ilvl w:val="0"/>
          <w:numId w:val="28"/>
        </w:numPr>
        <w:ind w:left="426"/>
        <w:jc w:val="both"/>
        <w:rPr>
          <w:rFonts w:ascii="Avenir Next" w:hAnsi="Avenir Next" w:cs="Arial"/>
          <w:sz w:val="22"/>
          <w:szCs w:val="22"/>
          <w:highlight w:val="yellow"/>
          <w:lang w:val="en-GB"/>
        </w:rPr>
      </w:pPr>
      <w:r w:rsidRPr="00041D2C">
        <w:rPr>
          <w:rFonts w:ascii="Avenir Next" w:hAnsi="Avenir Next" w:cs="Arial"/>
          <w:sz w:val="22"/>
          <w:szCs w:val="22"/>
          <w:highlight w:val="yellow"/>
          <w:lang w:val="en-GB"/>
        </w:rPr>
        <w:t>Article 3 states that the courts of the Member State within the territory of which the debtor has its centre of main</w:t>
      </w:r>
      <w:r w:rsidR="003E1D56" w:rsidRPr="00041D2C">
        <w:rPr>
          <w:rFonts w:ascii="Avenir Next" w:hAnsi="Avenir Next" w:cs="Arial"/>
          <w:sz w:val="22"/>
          <w:szCs w:val="22"/>
          <w:highlight w:val="yellow"/>
          <w:lang w:val="en-GB"/>
        </w:rPr>
        <w:t xml:space="preserve"> interest</w:t>
      </w:r>
      <w:r w:rsidRPr="00041D2C">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041D2C" w:rsidRDefault="00F746D8" w:rsidP="00F746D8">
      <w:pPr>
        <w:pStyle w:val="ListParagraph"/>
        <w:ind w:left="426"/>
        <w:jc w:val="both"/>
        <w:rPr>
          <w:rFonts w:ascii="Avenir Next" w:hAnsi="Avenir Next" w:cs="Arial"/>
          <w:sz w:val="22"/>
          <w:szCs w:val="22"/>
          <w:lang w:val="en-GB"/>
        </w:rPr>
      </w:pPr>
    </w:p>
    <w:p w14:paraId="4E7B7B16" w14:textId="77777777" w:rsidR="00F746D8" w:rsidRPr="00041D2C" w:rsidRDefault="00F746D8" w:rsidP="00F746D8">
      <w:pPr>
        <w:pStyle w:val="ListParagraph"/>
        <w:numPr>
          <w:ilvl w:val="0"/>
          <w:numId w:val="28"/>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041D2C" w:rsidRDefault="00F746D8" w:rsidP="00F746D8">
      <w:pPr>
        <w:pStyle w:val="ListParagraph"/>
        <w:ind w:left="426"/>
        <w:jc w:val="both"/>
        <w:rPr>
          <w:rFonts w:ascii="Avenir Next" w:hAnsi="Avenir Next" w:cs="Arial"/>
          <w:sz w:val="22"/>
          <w:szCs w:val="22"/>
          <w:lang w:val="en-GB"/>
        </w:rPr>
      </w:pPr>
    </w:p>
    <w:p w14:paraId="644A958A" w14:textId="77777777" w:rsidR="00F746D8" w:rsidRPr="00041D2C" w:rsidRDefault="00F746D8" w:rsidP="00F746D8">
      <w:pPr>
        <w:pStyle w:val="ListParagraph"/>
        <w:numPr>
          <w:ilvl w:val="0"/>
          <w:numId w:val="28"/>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041D2C" w:rsidRDefault="00F746D8" w:rsidP="00F746D8">
      <w:pPr>
        <w:jc w:val="both"/>
        <w:rPr>
          <w:rFonts w:ascii="Avenir Next" w:hAnsi="Avenir Next" w:cs="Arial"/>
          <w:sz w:val="22"/>
          <w:szCs w:val="22"/>
          <w:lang w:val="en-GB"/>
        </w:rPr>
      </w:pPr>
    </w:p>
    <w:p w14:paraId="6C728DAD" w14:textId="77777777" w:rsidR="00F746D8" w:rsidRPr="00041D2C" w:rsidRDefault="00F746D8" w:rsidP="00F746D8">
      <w:pPr>
        <w:autoSpaceDE w:val="0"/>
        <w:autoSpaceDN w:val="0"/>
        <w:adjustRightInd w:val="0"/>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1.6 </w:t>
      </w:r>
    </w:p>
    <w:p w14:paraId="01B20D54" w14:textId="77777777" w:rsidR="00F746D8" w:rsidRPr="00041D2C" w:rsidRDefault="00F746D8" w:rsidP="00F746D8">
      <w:pPr>
        <w:autoSpaceDE w:val="0"/>
        <w:autoSpaceDN w:val="0"/>
        <w:adjustRightInd w:val="0"/>
        <w:jc w:val="both"/>
        <w:rPr>
          <w:rFonts w:ascii="Avenir Next" w:hAnsi="Avenir Next" w:cs="Arial"/>
          <w:sz w:val="22"/>
          <w:szCs w:val="22"/>
          <w:lang w:val="en-GB"/>
        </w:rPr>
      </w:pPr>
    </w:p>
    <w:p w14:paraId="26B5FD26" w14:textId="77777777"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 xml:space="preserve">The EIR 2015 does not provide a definition of “insolvency” or “likelihood of insolvency”. What are the consequences hereof? </w:t>
      </w:r>
    </w:p>
    <w:p w14:paraId="2EBD6609" w14:textId="77777777" w:rsidR="00F746D8" w:rsidRPr="00041D2C" w:rsidRDefault="00F746D8" w:rsidP="00F746D8">
      <w:pPr>
        <w:jc w:val="both"/>
        <w:rPr>
          <w:rFonts w:ascii="Avenir Next" w:hAnsi="Avenir Next" w:cs="Arial"/>
          <w:sz w:val="22"/>
          <w:szCs w:val="22"/>
          <w:lang w:val="en-GB"/>
        </w:rPr>
      </w:pPr>
    </w:p>
    <w:p w14:paraId="33003FD6" w14:textId="77777777" w:rsidR="00F746D8" w:rsidRPr="00041D2C" w:rsidRDefault="00F746D8" w:rsidP="00F746D8">
      <w:pPr>
        <w:pStyle w:val="ListParagraph"/>
        <w:numPr>
          <w:ilvl w:val="0"/>
          <w:numId w:val="7"/>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The ECJ has provided a definition of “insolvency” in recent case law. </w:t>
      </w:r>
    </w:p>
    <w:p w14:paraId="2B9DC30B" w14:textId="77777777" w:rsidR="00F746D8" w:rsidRPr="00041D2C" w:rsidRDefault="00F746D8" w:rsidP="00F746D8">
      <w:pPr>
        <w:pStyle w:val="ListParagraph"/>
        <w:ind w:left="426"/>
        <w:jc w:val="both"/>
        <w:rPr>
          <w:rFonts w:ascii="Avenir Next" w:hAnsi="Avenir Next" w:cs="Arial"/>
          <w:sz w:val="22"/>
          <w:szCs w:val="22"/>
          <w:lang w:val="en-GB"/>
        </w:rPr>
      </w:pPr>
    </w:p>
    <w:p w14:paraId="5E504FB7" w14:textId="77777777" w:rsidR="00F746D8" w:rsidRPr="00041D2C" w:rsidRDefault="00F746D8" w:rsidP="00F746D8">
      <w:pPr>
        <w:pStyle w:val="ListParagraph"/>
        <w:numPr>
          <w:ilvl w:val="0"/>
          <w:numId w:val="7"/>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The European Commission has provided a definition of “insolvency” in its Recommendation on a “New Approach to Business Failure” published in 2014. </w:t>
      </w:r>
    </w:p>
    <w:p w14:paraId="4A0F0DB3" w14:textId="77777777" w:rsidR="00F746D8" w:rsidRPr="00041D2C" w:rsidRDefault="00F746D8" w:rsidP="00F746D8">
      <w:pPr>
        <w:jc w:val="both"/>
        <w:rPr>
          <w:rFonts w:ascii="Avenir Next" w:hAnsi="Avenir Next" w:cs="Arial"/>
          <w:sz w:val="22"/>
          <w:szCs w:val="22"/>
          <w:lang w:val="en-GB"/>
        </w:rPr>
      </w:pPr>
    </w:p>
    <w:p w14:paraId="3E8D6D49" w14:textId="77777777" w:rsidR="00F746D8" w:rsidRPr="00041D2C" w:rsidRDefault="00F746D8" w:rsidP="00F746D8">
      <w:pPr>
        <w:pStyle w:val="ListParagraph"/>
        <w:numPr>
          <w:ilvl w:val="0"/>
          <w:numId w:val="7"/>
        </w:numPr>
        <w:ind w:left="426"/>
        <w:jc w:val="both"/>
        <w:rPr>
          <w:rFonts w:ascii="Avenir Next" w:hAnsi="Avenir Next" w:cs="Arial"/>
          <w:sz w:val="22"/>
          <w:szCs w:val="22"/>
          <w:highlight w:val="yellow"/>
          <w:lang w:val="en-GB"/>
        </w:rPr>
      </w:pPr>
      <w:r w:rsidRPr="00041D2C">
        <w:rPr>
          <w:rFonts w:ascii="Avenir Next" w:hAnsi="Avenir Next" w:cs="Arial"/>
          <w:sz w:val="22"/>
          <w:szCs w:val="22"/>
          <w:highlight w:val="yellow"/>
          <w:lang w:val="en-GB"/>
        </w:rPr>
        <w:t>Each Member State will define “insolvency” in national legislation.</w:t>
      </w:r>
    </w:p>
    <w:p w14:paraId="52A65A84" w14:textId="77777777" w:rsidR="00F746D8" w:rsidRPr="00041D2C" w:rsidRDefault="00F746D8" w:rsidP="00F746D8">
      <w:pPr>
        <w:jc w:val="both"/>
        <w:rPr>
          <w:rFonts w:ascii="Avenir Next" w:hAnsi="Avenir Next" w:cs="Arial"/>
          <w:sz w:val="22"/>
          <w:szCs w:val="22"/>
          <w:lang w:val="en-GB"/>
        </w:rPr>
      </w:pPr>
    </w:p>
    <w:p w14:paraId="52EB615A" w14:textId="77777777" w:rsidR="00F746D8" w:rsidRPr="00041D2C" w:rsidRDefault="00F746D8" w:rsidP="00F746D8">
      <w:pPr>
        <w:pStyle w:val="ListParagraph"/>
        <w:numPr>
          <w:ilvl w:val="0"/>
          <w:numId w:val="7"/>
        </w:numPr>
        <w:ind w:left="426"/>
        <w:jc w:val="both"/>
        <w:rPr>
          <w:rFonts w:ascii="Avenir Next" w:hAnsi="Avenir Next" w:cs="Arial"/>
          <w:sz w:val="22"/>
          <w:szCs w:val="22"/>
          <w:lang w:val="en-GB"/>
        </w:rPr>
      </w:pPr>
      <w:r w:rsidRPr="00041D2C">
        <w:rPr>
          <w:rFonts w:ascii="Avenir Next" w:hAnsi="Avenir Next" w:cs="Arial"/>
          <w:sz w:val="22"/>
          <w:szCs w:val="22"/>
          <w:lang w:val="en-GB"/>
        </w:rPr>
        <w:t>Deciding whether a debtor is “insolvent” or not is a matter for the ECJ to determine.</w:t>
      </w:r>
    </w:p>
    <w:p w14:paraId="2B02AD03" w14:textId="77777777" w:rsidR="00F746D8" w:rsidRPr="00041D2C" w:rsidRDefault="00F746D8" w:rsidP="00F746D8">
      <w:pPr>
        <w:ind w:left="66"/>
        <w:jc w:val="both"/>
        <w:rPr>
          <w:rFonts w:ascii="Avenir Next" w:hAnsi="Avenir Next" w:cs="Arial"/>
          <w:sz w:val="22"/>
          <w:szCs w:val="22"/>
          <w:lang w:val="en-GB"/>
        </w:rPr>
      </w:pPr>
    </w:p>
    <w:p w14:paraId="20B41479" w14:textId="77777777" w:rsidR="00F746D8" w:rsidRPr="00041D2C" w:rsidRDefault="00F746D8" w:rsidP="00F746D8">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1.7 </w:t>
      </w:r>
    </w:p>
    <w:p w14:paraId="37822B44" w14:textId="77777777" w:rsidR="00F746D8" w:rsidRPr="00041D2C" w:rsidRDefault="00F746D8" w:rsidP="00F746D8">
      <w:pPr>
        <w:jc w:val="both"/>
        <w:rPr>
          <w:rFonts w:ascii="Avenir Next" w:hAnsi="Avenir Next" w:cs="Arial"/>
          <w:sz w:val="22"/>
          <w:szCs w:val="22"/>
          <w:lang w:val="en-GB"/>
        </w:rPr>
      </w:pPr>
    </w:p>
    <w:p w14:paraId="17C2AA38" w14:textId="77777777"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The EIR Recast is an instrument of a 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041D2C" w:rsidRDefault="00F746D8" w:rsidP="00F746D8">
      <w:pPr>
        <w:jc w:val="both"/>
        <w:rPr>
          <w:rFonts w:ascii="Avenir Next" w:hAnsi="Avenir Next" w:cs="Arial"/>
          <w:sz w:val="22"/>
          <w:szCs w:val="22"/>
          <w:lang w:val="en-GB"/>
        </w:rPr>
      </w:pPr>
    </w:p>
    <w:p w14:paraId="4B060307" w14:textId="77777777" w:rsidR="00F746D8" w:rsidRPr="00041D2C" w:rsidRDefault="00F746D8" w:rsidP="00F746D8">
      <w:pPr>
        <w:pStyle w:val="ListParagraph"/>
        <w:numPr>
          <w:ilvl w:val="0"/>
          <w:numId w:val="31"/>
        </w:numPr>
        <w:ind w:left="426"/>
        <w:jc w:val="both"/>
        <w:rPr>
          <w:rFonts w:ascii="Avenir Next" w:hAnsi="Avenir Next" w:cs="Arial"/>
          <w:sz w:val="22"/>
          <w:szCs w:val="22"/>
          <w:lang w:val="en-GB"/>
        </w:rPr>
      </w:pPr>
      <w:r w:rsidRPr="00041D2C">
        <w:rPr>
          <w:rFonts w:ascii="Avenir Next" w:hAnsi="Avenir Next" w:cs="Arial"/>
          <w:sz w:val="22"/>
          <w:szCs w:val="22"/>
          <w:lang w:val="en-GB"/>
        </w:rPr>
        <w:t>Article 18 EIR Recast (entitled “</w:t>
      </w:r>
      <w:r w:rsidRPr="00041D2C">
        <w:rPr>
          <w:rFonts w:ascii="Avenir Next" w:hAnsi="Avenir Next" w:cs="Arial"/>
          <w:bCs/>
          <w:sz w:val="22"/>
          <w:szCs w:val="22"/>
          <w:lang w:val="en-GB"/>
        </w:rPr>
        <w:t>Effects of insolvency proceedings on pending lawsuits or arbitral proceedings”</w:t>
      </w:r>
      <w:r w:rsidRPr="00041D2C">
        <w:rPr>
          <w:rFonts w:ascii="Avenir Next" w:hAnsi="Avenir Next" w:cs="Arial"/>
          <w:sz w:val="22"/>
          <w:szCs w:val="22"/>
          <w:lang w:val="en-GB"/>
        </w:rPr>
        <w:t>).</w:t>
      </w:r>
    </w:p>
    <w:p w14:paraId="40AEF524" w14:textId="77777777" w:rsidR="00F746D8" w:rsidRPr="00041D2C" w:rsidRDefault="00F746D8" w:rsidP="00F746D8">
      <w:pPr>
        <w:pStyle w:val="ListParagraph"/>
        <w:ind w:left="426"/>
        <w:jc w:val="both"/>
        <w:rPr>
          <w:rFonts w:ascii="Avenir Next" w:hAnsi="Avenir Next" w:cs="Arial"/>
          <w:sz w:val="22"/>
          <w:szCs w:val="22"/>
          <w:lang w:val="en-GB"/>
        </w:rPr>
      </w:pPr>
    </w:p>
    <w:p w14:paraId="12FF3881" w14:textId="77777777" w:rsidR="00F746D8" w:rsidRPr="00041D2C" w:rsidRDefault="00F746D8" w:rsidP="00F746D8">
      <w:pPr>
        <w:pStyle w:val="ListParagraph"/>
        <w:numPr>
          <w:ilvl w:val="0"/>
          <w:numId w:val="31"/>
        </w:numPr>
        <w:ind w:left="426"/>
        <w:jc w:val="both"/>
        <w:rPr>
          <w:rFonts w:ascii="Avenir Next" w:hAnsi="Avenir Next" w:cs="Arial"/>
          <w:sz w:val="22"/>
          <w:szCs w:val="22"/>
          <w:lang w:val="en-GB"/>
        </w:rPr>
      </w:pPr>
      <w:r w:rsidRPr="00041D2C">
        <w:rPr>
          <w:rFonts w:ascii="Avenir Next" w:hAnsi="Avenir Next" w:cs="Arial"/>
          <w:sz w:val="22"/>
          <w:szCs w:val="22"/>
          <w:lang w:val="en-GB"/>
        </w:rPr>
        <w:t>Article 40 EIR Recast (entitled “Advance payment of costs and expenses”).</w:t>
      </w:r>
    </w:p>
    <w:p w14:paraId="642758D8" w14:textId="77777777" w:rsidR="00F746D8" w:rsidRPr="00041D2C" w:rsidRDefault="00F746D8" w:rsidP="00F746D8">
      <w:pPr>
        <w:pStyle w:val="ListParagraph"/>
        <w:ind w:left="426"/>
        <w:jc w:val="both"/>
        <w:rPr>
          <w:rFonts w:ascii="Avenir Next" w:hAnsi="Avenir Next" w:cs="Arial"/>
          <w:sz w:val="22"/>
          <w:szCs w:val="22"/>
          <w:lang w:val="en-GB"/>
        </w:rPr>
      </w:pPr>
    </w:p>
    <w:p w14:paraId="54884835" w14:textId="77777777" w:rsidR="00F746D8" w:rsidRPr="00041D2C" w:rsidRDefault="00F746D8" w:rsidP="00F746D8">
      <w:pPr>
        <w:pStyle w:val="ListParagraph"/>
        <w:numPr>
          <w:ilvl w:val="0"/>
          <w:numId w:val="31"/>
        </w:numPr>
        <w:ind w:left="426"/>
        <w:jc w:val="both"/>
        <w:rPr>
          <w:rFonts w:ascii="Avenir Next" w:hAnsi="Avenir Next" w:cs="Arial"/>
          <w:sz w:val="22"/>
          <w:szCs w:val="22"/>
          <w:lang w:val="en-GB"/>
        </w:rPr>
      </w:pPr>
      <w:r w:rsidRPr="00041D2C">
        <w:rPr>
          <w:rFonts w:ascii="Avenir Next" w:hAnsi="Avenir Next" w:cs="Arial"/>
          <w:sz w:val="22"/>
          <w:szCs w:val="22"/>
          <w:lang w:val="en-GB"/>
        </w:rPr>
        <w:t>Article 7 EIR Recast (entitled “Applicable law”).</w:t>
      </w:r>
    </w:p>
    <w:p w14:paraId="0B470F1F" w14:textId="77777777" w:rsidR="00F746D8" w:rsidRPr="00041D2C" w:rsidRDefault="00F746D8" w:rsidP="00F746D8">
      <w:pPr>
        <w:pStyle w:val="ListParagraph"/>
        <w:ind w:left="426"/>
        <w:jc w:val="both"/>
        <w:rPr>
          <w:rFonts w:ascii="Avenir Next" w:hAnsi="Avenir Next" w:cs="Arial"/>
          <w:sz w:val="22"/>
          <w:szCs w:val="22"/>
          <w:lang w:val="en-GB"/>
        </w:rPr>
      </w:pPr>
    </w:p>
    <w:p w14:paraId="401BC106" w14:textId="77777777" w:rsidR="00F746D8" w:rsidRPr="00041D2C" w:rsidRDefault="00F746D8" w:rsidP="00F746D8">
      <w:pPr>
        <w:pStyle w:val="ListParagraph"/>
        <w:numPr>
          <w:ilvl w:val="0"/>
          <w:numId w:val="31"/>
        </w:numPr>
        <w:ind w:left="426"/>
        <w:jc w:val="both"/>
        <w:rPr>
          <w:rFonts w:ascii="Avenir Next" w:hAnsi="Avenir Next" w:cs="Arial"/>
          <w:sz w:val="22"/>
          <w:szCs w:val="22"/>
          <w:highlight w:val="yellow"/>
          <w:lang w:val="en-GB"/>
        </w:rPr>
      </w:pPr>
      <w:r w:rsidRPr="00041D2C">
        <w:rPr>
          <w:rFonts w:ascii="Avenir Next" w:hAnsi="Avenir Next" w:cs="Arial"/>
          <w:sz w:val="22"/>
          <w:szCs w:val="22"/>
          <w:highlight w:val="yellow"/>
          <w:lang w:val="en-GB"/>
        </w:rPr>
        <w:t>Article 31 EIR Recast (entitled “</w:t>
      </w:r>
      <w:r w:rsidRPr="00041D2C">
        <w:rPr>
          <w:rFonts w:ascii="Avenir Next" w:hAnsi="Avenir Next" w:cs="Arial"/>
          <w:bCs/>
          <w:sz w:val="22"/>
          <w:szCs w:val="22"/>
          <w:highlight w:val="yellow"/>
          <w:lang w:val="en-GB"/>
        </w:rPr>
        <w:t>Honouring of an obligation to a debtor”</w:t>
      </w:r>
      <w:r w:rsidRPr="00041D2C">
        <w:rPr>
          <w:rFonts w:ascii="Avenir Next" w:hAnsi="Avenir Next" w:cs="Arial"/>
          <w:sz w:val="22"/>
          <w:szCs w:val="22"/>
          <w:highlight w:val="yellow"/>
          <w:lang w:val="en-GB"/>
        </w:rPr>
        <w:t>).</w:t>
      </w:r>
    </w:p>
    <w:p w14:paraId="03C8D5D4" w14:textId="77777777" w:rsidR="00F746D8" w:rsidRPr="00041D2C" w:rsidRDefault="00F746D8" w:rsidP="00F746D8">
      <w:pPr>
        <w:pStyle w:val="ListParagraph"/>
        <w:ind w:left="426"/>
        <w:jc w:val="both"/>
        <w:rPr>
          <w:rFonts w:ascii="Avenir Next" w:hAnsi="Avenir Next" w:cs="Arial"/>
          <w:sz w:val="22"/>
          <w:szCs w:val="22"/>
          <w:lang w:val="en-GB"/>
        </w:rPr>
      </w:pPr>
    </w:p>
    <w:p w14:paraId="4ABFE6E7" w14:textId="77777777" w:rsidR="00F746D8" w:rsidRPr="00041D2C" w:rsidRDefault="00F746D8" w:rsidP="00F746D8">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1.8 </w:t>
      </w:r>
    </w:p>
    <w:p w14:paraId="3F0A114C" w14:textId="77777777" w:rsidR="00F746D8" w:rsidRPr="00041D2C" w:rsidRDefault="00F746D8" w:rsidP="00F746D8">
      <w:pPr>
        <w:jc w:val="both"/>
        <w:rPr>
          <w:rFonts w:ascii="Avenir Next" w:hAnsi="Avenir Next" w:cs="Arial"/>
          <w:sz w:val="22"/>
          <w:szCs w:val="22"/>
          <w:lang w:val="en-GB"/>
        </w:rPr>
      </w:pPr>
    </w:p>
    <w:p w14:paraId="0046613D" w14:textId="77777777" w:rsidR="00F746D8" w:rsidRPr="00041D2C" w:rsidRDefault="00F746D8" w:rsidP="00F746D8">
      <w:pPr>
        <w:autoSpaceDE w:val="0"/>
        <w:autoSpaceDN w:val="0"/>
        <w:adjustRightInd w:val="0"/>
        <w:jc w:val="both"/>
        <w:rPr>
          <w:rFonts w:ascii="Avenir Next" w:hAnsi="Avenir Next" w:cs="Arial"/>
          <w:sz w:val="22"/>
          <w:szCs w:val="22"/>
          <w:lang w:val="en-GB"/>
        </w:rPr>
      </w:pPr>
      <w:r w:rsidRPr="00041D2C">
        <w:rPr>
          <w:rFonts w:ascii="Avenir Next" w:hAnsi="Avenir Next" w:cs="Arial"/>
          <w:sz w:val="22"/>
          <w:szCs w:val="22"/>
          <w:lang w:val="en-GB"/>
        </w:rPr>
        <w:t xml:space="preserve">What are some of the </w:t>
      </w:r>
      <w:r w:rsidRPr="00041D2C">
        <w:rPr>
          <w:rFonts w:ascii="Avenir Next Demi Bold" w:hAnsi="Avenir Next Demi Bold" w:cs="Arial"/>
          <w:sz w:val="22"/>
          <w:szCs w:val="22"/>
          <w:u w:val="single"/>
          <w:lang w:val="en-GB"/>
        </w:rPr>
        <w:t>main criticisms</w:t>
      </w:r>
      <w:r w:rsidRPr="00041D2C">
        <w:rPr>
          <w:rFonts w:ascii="Avenir Next" w:hAnsi="Avenir Next" w:cs="Arial"/>
          <w:sz w:val="22"/>
          <w:szCs w:val="22"/>
          <w:lang w:val="en-GB"/>
        </w:rPr>
        <w:t xml:space="preserve"> which have been voiced against the concept of the “centre of main interest”? </w:t>
      </w:r>
    </w:p>
    <w:p w14:paraId="270CFF5C" w14:textId="77777777" w:rsidR="00F746D8" w:rsidRPr="00041D2C"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041D2C" w:rsidRDefault="00F746D8" w:rsidP="00F746D8">
      <w:pPr>
        <w:pStyle w:val="ListParagraph"/>
        <w:numPr>
          <w:ilvl w:val="0"/>
          <w:numId w:val="8"/>
        </w:numPr>
        <w:ind w:left="426"/>
        <w:jc w:val="both"/>
        <w:rPr>
          <w:rFonts w:ascii="Avenir Next" w:hAnsi="Avenir Next" w:cs="Arial"/>
          <w:sz w:val="22"/>
          <w:szCs w:val="22"/>
          <w:lang w:val="en-GB"/>
        </w:rPr>
      </w:pPr>
      <w:r w:rsidRPr="00041D2C">
        <w:rPr>
          <w:rFonts w:ascii="Avenir Next" w:hAnsi="Avenir Next" w:cs="Arial"/>
          <w:sz w:val="22"/>
          <w:szCs w:val="22"/>
          <w:lang w:val="en-GB"/>
        </w:rPr>
        <w:t>The concept makes it impossible for companies to move jurisdiction, which ultimately, may jeopardise their chances of rescue.</w:t>
      </w:r>
    </w:p>
    <w:p w14:paraId="65D5AD4A" w14:textId="77777777" w:rsidR="00F746D8" w:rsidRPr="00041D2C" w:rsidRDefault="00F746D8" w:rsidP="00F746D8">
      <w:pPr>
        <w:pStyle w:val="ListParagraph"/>
        <w:ind w:left="426"/>
        <w:jc w:val="both"/>
        <w:rPr>
          <w:rFonts w:ascii="Avenir Next" w:hAnsi="Avenir Next" w:cs="Arial"/>
          <w:sz w:val="22"/>
          <w:szCs w:val="22"/>
          <w:lang w:val="en-GB"/>
        </w:rPr>
      </w:pPr>
    </w:p>
    <w:p w14:paraId="5165E85E" w14:textId="77777777" w:rsidR="00F746D8" w:rsidRPr="00041D2C" w:rsidRDefault="00F746D8" w:rsidP="00F746D8">
      <w:pPr>
        <w:pStyle w:val="ListParagraph"/>
        <w:numPr>
          <w:ilvl w:val="0"/>
          <w:numId w:val="8"/>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041D2C" w:rsidRDefault="00F746D8" w:rsidP="00F746D8">
      <w:pPr>
        <w:jc w:val="both"/>
        <w:rPr>
          <w:rFonts w:ascii="Avenir Next" w:hAnsi="Avenir Next" w:cs="Arial"/>
          <w:sz w:val="22"/>
          <w:szCs w:val="22"/>
          <w:lang w:val="en-GB"/>
        </w:rPr>
      </w:pPr>
    </w:p>
    <w:p w14:paraId="3133B169" w14:textId="77777777" w:rsidR="00F746D8" w:rsidRPr="00041D2C" w:rsidRDefault="00F746D8" w:rsidP="00F746D8">
      <w:pPr>
        <w:pStyle w:val="ListParagraph"/>
        <w:numPr>
          <w:ilvl w:val="0"/>
          <w:numId w:val="8"/>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The concept is too similar to that of an “establishment” which makes it difficult for a court to know whether to open main or secondary proceedings.  </w:t>
      </w:r>
    </w:p>
    <w:p w14:paraId="2729D726" w14:textId="77777777" w:rsidR="00F746D8" w:rsidRPr="00041D2C" w:rsidRDefault="00F746D8" w:rsidP="00F746D8">
      <w:pPr>
        <w:jc w:val="both"/>
        <w:rPr>
          <w:rFonts w:ascii="Avenir Next" w:hAnsi="Avenir Next" w:cs="Arial"/>
          <w:sz w:val="22"/>
          <w:szCs w:val="22"/>
          <w:lang w:val="en-GB"/>
        </w:rPr>
      </w:pPr>
    </w:p>
    <w:p w14:paraId="0B2F83A8" w14:textId="77777777" w:rsidR="00F746D8" w:rsidRPr="00041D2C" w:rsidRDefault="00F746D8" w:rsidP="00F746D8">
      <w:pPr>
        <w:pStyle w:val="ListParagraph"/>
        <w:numPr>
          <w:ilvl w:val="0"/>
          <w:numId w:val="8"/>
        </w:numPr>
        <w:ind w:left="426"/>
        <w:jc w:val="both"/>
        <w:rPr>
          <w:rFonts w:ascii="Avenir Next" w:hAnsi="Avenir Next" w:cs="Arial"/>
          <w:sz w:val="22"/>
          <w:szCs w:val="22"/>
          <w:highlight w:val="yellow"/>
          <w:lang w:val="en-GB"/>
        </w:rPr>
      </w:pPr>
      <w:r w:rsidRPr="00041D2C">
        <w:rPr>
          <w:rFonts w:ascii="Avenir Next" w:hAnsi="Avenir Next"/>
          <w:sz w:val="22"/>
          <w:highlight w:val="yellow"/>
          <w:lang w:val="en-GB"/>
        </w:rPr>
        <w:t xml:space="preserve">The </w:t>
      </w:r>
      <w:r w:rsidRPr="00041D2C">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041D2C" w:rsidRDefault="00F746D8" w:rsidP="00F746D8">
      <w:pPr>
        <w:jc w:val="both"/>
        <w:rPr>
          <w:rFonts w:ascii="Avenir Next" w:hAnsi="Avenir Next" w:cs="Arial"/>
          <w:sz w:val="22"/>
          <w:szCs w:val="22"/>
          <w:lang w:val="en-GB"/>
        </w:rPr>
      </w:pPr>
    </w:p>
    <w:p w14:paraId="2FEE0A7C" w14:textId="77777777" w:rsidR="00F746D8" w:rsidRPr="00041D2C" w:rsidRDefault="00F746D8" w:rsidP="00F746D8">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1.9 </w:t>
      </w:r>
    </w:p>
    <w:p w14:paraId="5A151621" w14:textId="77777777" w:rsidR="00F746D8" w:rsidRPr="00041D2C" w:rsidRDefault="00F746D8" w:rsidP="00F746D8">
      <w:pPr>
        <w:jc w:val="both"/>
        <w:rPr>
          <w:rFonts w:ascii="Avenir Next" w:hAnsi="Avenir Next" w:cs="Arial"/>
          <w:sz w:val="22"/>
          <w:szCs w:val="22"/>
          <w:lang w:val="en-GB"/>
        </w:rPr>
      </w:pPr>
    </w:p>
    <w:p w14:paraId="75FEDD15" w14:textId="77777777" w:rsidR="00F746D8" w:rsidRPr="00041D2C" w:rsidRDefault="00F746D8" w:rsidP="00F746D8">
      <w:pPr>
        <w:autoSpaceDE w:val="0"/>
        <w:autoSpaceDN w:val="0"/>
        <w:adjustRightInd w:val="0"/>
        <w:jc w:val="both"/>
        <w:rPr>
          <w:rFonts w:ascii="Avenir Next" w:hAnsi="Avenir Next" w:cs="Arial"/>
          <w:sz w:val="22"/>
          <w:szCs w:val="22"/>
          <w:lang w:val="en-GB"/>
        </w:rPr>
      </w:pPr>
      <w:r w:rsidRPr="00041D2C">
        <w:rPr>
          <w:rFonts w:ascii="Avenir Next" w:hAnsi="Avenir Next" w:cs="Arial"/>
          <w:sz w:val="22"/>
          <w:szCs w:val="22"/>
          <w:lang w:val="en-GB"/>
        </w:rPr>
        <w:t xml:space="preserve">The EIR Recast introduced the concept of “synthetic proceedings”. What are they? </w:t>
      </w:r>
    </w:p>
    <w:p w14:paraId="4D745A73" w14:textId="77777777" w:rsidR="00F746D8" w:rsidRPr="00041D2C" w:rsidRDefault="00F746D8" w:rsidP="00F746D8">
      <w:pPr>
        <w:autoSpaceDE w:val="0"/>
        <w:autoSpaceDN w:val="0"/>
        <w:adjustRightInd w:val="0"/>
        <w:jc w:val="both"/>
        <w:rPr>
          <w:rFonts w:ascii="Avenir Next" w:hAnsi="Avenir Next" w:cs="Arial"/>
          <w:sz w:val="22"/>
          <w:szCs w:val="22"/>
          <w:lang w:val="en-GB"/>
        </w:rPr>
      </w:pPr>
    </w:p>
    <w:p w14:paraId="03BED64E" w14:textId="5A6125D2" w:rsidR="00F746D8" w:rsidRPr="00041D2C" w:rsidRDefault="00F746D8" w:rsidP="00F746D8">
      <w:pPr>
        <w:pStyle w:val="ListParagraph"/>
        <w:numPr>
          <w:ilvl w:val="0"/>
          <w:numId w:val="32"/>
        </w:numPr>
        <w:ind w:left="426"/>
        <w:jc w:val="both"/>
        <w:rPr>
          <w:rFonts w:ascii="Avenir Next" w:hAnsi="Avenir Next" w:cs="Arial"/>
          <w:sz w:val="22"/>
          <w:szCs w:val="22"/>
          <w:highlight w:val="yellow"/>
          <w:lang w:val="en-GB"/>
        </w:rPr>
      </w:pPr>
      <w:r w:rsidRPr="00041D2C">
        <w:rPr>
          <w:rFonts w:ascii="Avenir Next" w:hAnsi="Avenir Next" w:cs="Arial"/>
          <w:sz w:val="22"/>
          <w:szCs w:val="22"/>
          <w:highlight w:val="yellow"/>
          <w:lang w:val="en-GB"/>
        </w:rPr>
        <w:t>“</w:t>
      </w:r>
      <w:bookmarkStart w:id="0" w:name="_Hlk169101457"/>
      <w:r w:rsidRPr="00041D2C">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041D2C" w:rsidRDefault="00F746D8" w:rsidP="00F746D8">
      <w:pPr>
        <w:pStyle w:val="ListParagraph"/>
        <w:ind w:left="426"/>
        <w:jc w:val="both"/>
        <w:rPr>
          <w:rFonts w:ascii="Avenir Next" w:hAnsi="Avenir Next" w:cs="Arial"/>
          <w:sz w:val="22"/>
          <w:szCs w:val="22"/>
          <w:lang w:val="en-GB"/>
        </w:rPr>
      </w:pPr>
    </w:p>
    <w:bookmarkEnd w:id="0"/>
    <w:p w14:paraId="12CA0080" w14:textId="77777777" w:rsidR="00F746D8" w:rsidRPr="00041D2C" w:rsidRDefault="00F746D8" w:rsidP="00F746D8">
      <w:pPr>
        <w:pStyle w:val="ListParagraph"/>
        <w:numPr>
          <w:ilvl w:val="0"/>
          <w:numId w:val="32"/>
        </w:numPr>
        <w:ind w:left="426"/>
        <w:jc w:val="both"/>
        <w:rPr>
          <w:rFonts w:ascii="Avenir Next" w:hAnsi="Avenir Next" w:cs="Arial"/>
          <w:sz w:val="22"/>
          <w:szCs w:val="22"/>
          <w:lang w:val="en-GB"/>
        </w:rPr>
      </w:pPr>
      <w:r w:rsidRPr="00041D2C">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041D2C" w:rsidRDefault="00F746D8" w:rsidP="00F746D8">
      <w:pPr>
        <w:jc w:val="both"/>
        <w:rPr>
          <w:rFonts w:ascii="Avenir Next" w:hAnsi="Avenir Next" w:cs="Arial"/>
          <w:sz w:val="22"/>
          <w:szCs w:val="22"/>
          <w:lang w:val="en-GB"/>
        </w:rPr>
      </w:pPr>
    </w:p>
    <w:p w14:paraId="174ABD04" w14:textId="77777777" w:rsidR="00F746D8" w:rsidRPr="00041D2C" w:rsidRDefault="00F746D8" w:rsidP="00F746D8">
      <w:pPr>
        <w:pStyle w:val="ListParagraph"/>
        <w:numPr>
          <w:ilvl w:val="0"/>
          <w:numId w:val="32"/>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041D2C" w:rsidRDefault="00F746D8" w:rsidP="00F746D8">
      <w:pPr>
        <w:jc w:val="both"/>
        <w:rPr>
          <w:rFonts w:ascii="Avenir Next" w:hAnsi="Avenir Next" w:cs="Arial"/>
          <w:sz w:val="22"/>
          <w:szCs w:val="22"/>
          <w:lang w:val="en-GB"/>
        </w:rPr>
      </w:pPr>
    </w:p>
    <w:p w14:paraId="649E04F2" w14:textId="77777777" w:rsidR="00F746D8" w:rsidRPr="00041D2C" w:rsidRDefault="00F746D8" w:rsidP="00F746D8">
      <w:pPr>
        <w:pStyle w:val="ListParagraph"/>
        <w:numPr>
          <w:ilvl w:val="0"/>
          <w:numId w:val="32"/>
        </w:numPr>
        <w:ind w:left="426"/>
        <w:jc w:val="both"/>
        <w:rPr>
          <w:rFonts w:ascii="Avenir Next" w:hAnsi="Avenir Next" w:cs="Arial"/>
          <w:sz w:val="22"/>
          <w:szCs w:val="22"/>
          <w:lang w:val="en-GB"/>
        </w:rPr>
      </w:pPr>
      <w:r w:rsidRPr="00041D2C">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041D2C" w:rsidRDefault="00F746D8" w:rsidP="00F746D8">
      <w:pPr>
        <w:jc w:val="both"/>
        <w:rPr>
          <w:rFonts w:ascii="Avenir Next" w:hAnsi="Avenir Next" w:cs="Arial"/>
          <w:sz w:val="22"/>
          <w:szCs w:val="22"/>
          <w:lang w:val="en-GB"/>
        </w:rPr>
      </w:pPr>
    </w:p>
    <w:p w14:paraId="70818F2A" w14:textId="77777777" w:rsidR="00F746D8" w:rsidRPr="00041D2C" w:rsidRDefault="00F746D8" w:rsidP="00F746D8">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1.10 </w:t>
      </w:r>
    </w:p>
    <w:p w14:paraId="355E2A01" w14:textId="77777777" w:rsidR="00F746D8" w:rsidRPr="00041D2C" w:rsidRDefault="00F746D8" w:rsidP="00F746D8">
      <w:pPr>
        <w:jc w:val="both"/>
        <w:rPr>
          <w:rFonts w:ascii="Avenir Next" w:hAnsi="Avenir Next" w:cs="Arial"/>
          <w:sz w:val="22"/>
          <w:szCs w:val="22"/>
          <w:lang w:val="en-GB"/>
        </w:rPr>
      </w:pPr>
    </w:p>
    <w:p w14:paraId="787E49FE" w14:textId="77777777"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 xml:space="preserve">Carala SARL is a French-registered company selling jam jars made out of glass. The company had opened its first store in Strasbourg, France in 2018. It has since opened another 10 stores in France. Its main warehouse is located in Cork, Ireland. 95% of its employees are located in France and 5% are located in Ireland. Most of its customers are located in France, yet some online purchases are coming mainly from the Netherlands. </w:t>
      </w:r>
    </w:p>
    <w:p w14:paraId="1FE9891D" w14:textId="77777777" w:rsidR="00F746D8" w:rsidRPr="00041D2C" w:rsidRDefault="00F746D8" w:rsidP="00F746D8">
      <w:pPr>
        <w:jc w:val="both"/>
        <w:rPr>
          <w:rFonts w:ascii="Avenir Next" w:hAnsi="Avenir Next" w:cs="Arial"/>
          <w:sz w:val="22"/>
          <w:szCs w:val="22"/>
          <w:lang w:val="en-GB"/>
        </w:rPr>
      </w:pPr>
    </w:p>
    <w:p w14:paraId="5D3DF07B" w14:textId="77777777"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 xml:space="preserve">In 2020, Bella SARL entered into a loan agreement with a Spanish bank because it was hoping to expand its reach onto the Spanish jam market. It opened a bank account with the bank while also negotiating prices with local suppliers. It signed some (non-binding) memoranda of understanding with three Madrid-based suppliers. </w:t>
      </w:r>
    </w:p>
    <w:p w14:paraId="2C3F7B72" w14:textId="77777777" w:rsidR="00F746D8" w:rsidRPr="00041D2C" w:rsidRDefault="00F746D8" w:rsidP="00F746D8">
      <w:pPr>
        <w:jc w:val="both"/>
        <w:rPr>
          <w:rFonts w:ascii="Avenir Next" w:hAnsi="Avenir Next" w:cs="Arial"/>
          <w:sz w:val="22"/>
          <w:szCs w:val="22"/>
          <w:lang w:val="en-GB"/>
        </w:rPr>
      </w:pPr>
    </w:p>
    <w:p w14:paraId="1A6F994F" w14:textId="0197B784" w:rsidR="00F746D8" w:rsidRPr="00041D2C" w:rsidRDefault="00F746D8" w:rsidP="00F746D8">
      <w:pPr>
        <w:jc w:val="both"/>
        <w:rPr>
          <w:rFonts w:ascii="Avenir Next" w:hAnsi="Avenir Next" w:cs="Arial"/>
          <w:sz w:val="22"/>
          <w:szCs w:val="22"/>
          <w:lang w:val="en-GB"/>
        </w:rPr>
      </w:pPr>
      <w:r w:rsidRPr="00041D2C">
        <w:rPr>
          <w:rFonts w:ascii="Avenir Next" w:hAnsi="Avenir Next" w:cs="Arial"/>
          <w:sz w:val="22"/>
          <w:szCs w:val="22"/>
          <w:lang w:val="en-GB"/>
        </w:rPr>
        <w:t>Unfortunately for Bella SARL, the timing of this initiative coincided with the C</w:t>
      </w:r>
      <w:r w:rsidR="00B137B0" w:rsidRPr="00041D2C">
        <w:rPr>
          <w:rFonts w:ascii="Avenir Next" w:hAnsi="Avenir Next" w:cs="Arial"/>
          <w:sz w:val="22"/>
          <w:szCs w:val="22"/>
          <w:lang w:val="en-GB"/>
        </w:rPr>
        <w:t>ovid</w:t>
      </w:r>
      <w:r w:rsidRPr="00041D2C">
        <w:rPr>
          <w:rFonts w:ascii="Avenir Next" w:hAnsi="Avenir Next" w:cs="Arial"/>
          <w:sz w:val="22"/>
          <w:szCs w:val="22"/>
          <w:lang w:val="en-GB"/>
        </w:rPr>
        <w:t xml:space="preserve">-19 pandemic. By the end of 2021, the company was in financial difficulty, yet managed to keep afloat for another few years. On 10 January 2022, it wants to file for insolvency. In which country is Carala’s </w:t>
      </w:r>
      <w:r w:rsidRPr="00041D2C">
        <w:rPr>
          <w:rFonts w:ascii="Avenir Next Demi Bold" w:hAnsi="Avenir Next Demi Bold" w:cs="Arial"/>
          <w:sz w:val="22"/>
          <w:szCs w:val="22"/>
          <w:u w:val="single"/>
          <w:lang w:val="en-GB"/>
        </w:rPr>
        <w:t>centre of main interest presumed to be located</w:t>
      </w:r>
      <w:r w:rsidRPr="00041D2C">
        <w:rPr>
          <w:rFonts w:ascii="Avenir Next" w:hAnsi="Avenir Next" w:cs="Arial"/>
          <w:sz w:val="22"/>
          <w:szCs w:val="22"/>
          <w:lang w:val="en-GB"/>
        </w:rPr>
        <w:t xml:space="preserve">?  </w:t>
      </w:r>
    </w:p>
    <w:p w14:paraId="46593DD2" w14:textId="77777777" w:rsidR="00F746D8" w:rsidRPr="00041D2C" w:rsidRDefault="00F746D8" w:rsidP="00F746D8">
      <w:pPr>
        <w:jc w:val="both"/>
        <w:rPr>
          <w:rFonts w:ascii="Avenir Next" w:hAnsi="Avenir Next" w:cs="Arial"/>
          <w:sz w:val="22"/>
          <w:szCs w:val="22"/>
          <w:lang w:val="en-GB"/>
        </w:rPr>
      </w:pPr>
    </w:p>
    <w:p w14:paraId="68A57E20" w14:textId="77777777" w:rsidR="00F746D8" w:rsidRPr="00041D2C" w:rsidRDefault="00F746D8" w:rsidP="00F746D8">
      <w:pPr>
        <w:pStyle w:val="ListParagraph"/>
        <w:numPr>
          <w:ilvl w:val="0"/>
          <w:numId w:val="9"/>
        </w:numPr>
        <w:ind w:left="426"/>
        <w:jc w:val="both"/>
        <w:rPr>
          <w:rFonts w:ascii="Avenir Next" w:hAnsi="Avenir Next" w:cs="Arial"/>
          <w:sz w:val="22"/>
          <w:szCs w:val="22"/>
          <w:lang w:val="en-GB"/>
        </w:rPr>
      </w:pPr>
      <w:r w:rsidRPr="00041D2C">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041D2C" w:rsidRDefault="00F746D8" w:rsidP="00F746D8">
      <w:pPr>
        <w:jc w:val="both"/>
        <w:rPr>
          <w:rFonts w:ascii="Avenir Next" w:hAnsi="Avenir Next" w:cs="Arial"/>
          <w:sz w:val="22"/>
          <w:szCs w:val="22"/>
          <w:lang w:val="en-GB"/>
        </w:rPr>
      </w:pPr>
    </w:p>
    <w:p w14:paraId="69492269" w14:textId="77777777" w:rsidR="00F746D8" w:rsidRPr="00041D2C" w:rsidRDefault="00F746D8" w:rsidP="00F746D8">
      <w:pPr>
        <w:pStyle w:val="ListParagraph"/>
        <w:numPr>
          <w:ilvl w:val="0"/>
          <w:numId w:val="9"/>
        </w:numPr>
        <w:ind w:left="426"/>
        <w:jc w:val="both"/>
        <w:rPr>
          <w:rFonts w:ascii="Avenir Next" w:hAnsi="Avenir Next" w:cs="Arial"/>
          <w:sz w:val="22"/>
          <w:szCs w:val="22"/>
          <w:lang w:val="en-GB"/>
        </w:rPr>
      </w:pPr>
      <w:r w:rsidRPr="00041D2C">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041D2C" w:rsidRDefault="00F746D8" w:rsidP="00F746D8">
      <w:pPr>
        <w:pStyle w:val="ListParagraph"/>
        <w:ind w:left="426"/>
        <w:jc w:val="both"/>
        <w:rPr>
          <w:rFonts w:ascii="Avenir Next" w:hAnsi="Avenir Next" w:cs="Arial"/>
          <w:sz w:val="22"/>
          <w:szCs w:val="22"/>
          <w:lang w:val="en-GB"/>
        </w:rPr>
      </w:pPr>
    </w:p>
    <w:p w14:paraId="39B9C266" w14:textId="77777777" w:rsidR="00F746D8" w:rsidRPr="00041D2C" w:rsidRDefault="00F746D8" w:rsidP="00F746D8">
      <w:pPr>
        <w:pStyle w:val="ListParagraph"/>
        <w:numPr>
          <w:ilvl w:val="0"/>
          <w:numId w:val="9"/>
        </w:numPr>
        <w:ind w:left="426"/>
        <w:jc w:val="both"/>
        <w:rPr>
          <w:rFonts w:ascii="Avenir Next" w:hAnsi="Avenir Next" w:cs="Arial"/>
          <w:sz w:val="22"/>
          <w:szCs w:val="22"/>
          <w:highlight w:val="yellow"/>
          <w:lang w:val="en-GB"/>
        </w:rPr>
      </w:pPr>
      <w:r w:rsidRPr="00041D2C">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041D2C" w:rsidRDefault="00F746D8" w:rsidP="00F746D8">
      <w:pPr>
        <w:pStyle w:val="ListParagraph"/>
        <w:ind w:left="426"/>
        <w:jc w:val="both"/>
        <w:rPr>
          <w:rFonts w:ascii="Avenir Next" w:hAnsi="Avenir Next" w:cs="Arial"/>
          <w:sz w:val="22"/>
          <w:szCs w:val="22"/>
          <w:lang w:val="en-GB"/>
        </w:rPr>
      </w:pPr>
    </w:p>
    <w:p w14:paraId="5769E4A5" w14:textId="77777777" w:rsidR="00F746D8" w:rsidRPr="00041D2C" w:rsidRDefault="00F746D8" w:rsidP="00F746D8">
      <w:pPr>
        <w:pStyle w:val="ListParagraph"/>
        <w:numPr>
          <w:ilvl w:val="0"/>
          <w:numId w:val="9"/>
        </w:numPr>
        <w:ind w:left="426"/>
        <w:jc w:val="both"/>
        <w:rPr>
          <w:rFonts w:ascii="Avenir Next" w:hAnsi="Avenir Next" w:cs="Arial"/>
          <w:sz w:val="22"/>
          <w:szCs w:val="22"/>
          <w:lang w:val="en-GB"/>
        </w:rPr>
      </w:pPr>
      <w:r w:rsidRPr="00041D2C">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041D2C" w:rsidRDefault="00EC242E" w:rsidP="00EC242E">
      <w:pPr>
        <w:pStyle w:val="ListParagraph"/>
        <w:ind w:left="426"/>
        <w:jc w:val="both"/>
        <w:rPr>
          <w:rFonts w:ascii="Avenir Next" w:hAnsi="Avenir Next" w:cs="Arial"/>
          <w:sz w:val="22"/>
          <w:szCs w:val="22"/>
          <w:lang w:val="en-GB"/>
        </w:rPr>
      </w:pPr>
    </w:p>
    <w:p w14:paraId="4FC20A3B" w14:textId="36B02271" w:rsidR="00962045" w:rsidRPr="00041D2C" w:rsidRDefault="00DF75F8" w:rsidP="002A37BB">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QUESTION 2</w:t>
      </w:r>
      <w:r w:rsidR="00962045" w:rsidRPr="00041D2C">
        <w:rPr>
          <w:rFonts w:ascii="Avenir Next Demi Bold" w:hAnsi="Avenir Next Demi Bold" w:cs="Arial"/>
          <w:b/>
          <w:bCs/>
          <w:sz w:val="22"/>
          <w:szCs w:val="22"/>
          <w:lang w:val="en-GB"/>
        </w:rPr>
        <w:t xml:space="preserve"> (direct questions) [10 marks]</w:t>
      </w:r>
    </w:p>
    <w:p w14:paraId="620F47E2" w14:textId="77777777" w:rsidR="00962045" w:rsidRPr="00041D2C" w:rsidRDefault="00962045" w:rsidP="002A37BB">
      <w:pPr>
        <w:ind w:left="720" w:hanging="720"/>
        <w:jc w:val="both"/>
        <w:rPr>
          <w:rFonts w:ascii="Avenir Next" w:hAnsi="Avenir Next" w:cs="Arial"/>
          <w:sz w:val="22"/>
          <w:szCs w:val="22"/>
          <w:lang w:val="en-GB"/>
        </w:rPr>
      </w:pPr>
    </w:p>
    <w:p w14:paraId="40595AA6" w14:textId="00E19C0A" w:rsidR="002C13C8" w:rsidRPr="00041D2C" w:rsidRDefault="002C13C8" w:rsidP="002A37BB">
      <w:pPr>
        <w:ind w:left="720" w:hanging="720"/>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w:t>
      </w:r>
      <w:r w:rsidR="00962045" w:rsidRPr="00041D2C">
        <w:rPr>
          <w:rFonts w:ascii="Avenir Next Demi Bold" w:hAnsi="Avenir Next Demi Bold" w:cs="Arial"/>
          <w:b/>
          <w:bCs/>
          <w:sz w:val="22"/>
          <w:szCs w:val="22"/>
          <w:lang w:val="en-GB"/>
        </w:rPr>
        <w:t>2.1</w:t>
      </w:r>
      <w:r w:rsidR="00962045" w:rsidRPr="00041D2C">
        <w:rPr>
          <w:rFonts w:ascii="Avenir Next Demi Bold" w:hAnsi="Avenir Next Demi Bold" w:cs="Arial"/>
          <w:b/>
          <w:bCs/>
          <w:sz w:val="22"/>
          <w:szCs w:val="22"/>
          <w:lang w:val="en-GB"/>
        </w:rPr>
        <w:tab/>
      </w:r>
      <w:r w:rsidR="00DE03AF" w:rsidRPr="00041D2C">
        <w:rPr>
          <w:rFonts w:ascii="Avenir Next Demi Bold" w:hAnsi="Avenir Next Demi Bold" w:cs="Arial"/>
          <w:b/>
          <w:bCs/>
          <w:sz w:val="22"/>
          <w:szCs w:val="22"/>
          <w:lang w:val="en-GB"/>
        </w:rPr>
        <w:t>[</w:t>
      </w:r>
      <w:r w:rsidR="00D17FDC" w:rsidRPr="00041D2C">
        <w:rPr>
          <w:rFonts w:ascii="Avenir Next Demi Bold" w:hAnsi="Avenir Next Demi Bold" w:cs="Arial"/>
          <w:b/>
          <w:bCs/>
          <w:sz w:val="22"/>
          <w:szCs w:val="22"/>
          <w:lang w:val="en-GB"/>
        </w:rPr>
        <w:t>m</w:t>
      </w:r>
      <w:r w:rsidR="00DE03AF" w:rsidRPr="00041D2C">
        <w:rPr>
          <w:rFonts w:ascii="Avenir Next Demi Bold" w:hAnsi="Avenir Next Demi Bold" w:cs="Arial"/>
          <w:b/>
          <w:bCs/>
          <w:sz w:val="22"/>
          <w:szCs w:val="22"/>
          <w:lang w:val="en-GB"/>
        </w:rPr>
        <w:t xml:space="preserve">aximum </w:t>
      </w:r>
      <w:r w:rsidR="00CB1983" w:rsidRPr="00041D2C">
        <w:rPr>
          <w:rFonts w:ascii="Avenir Next Demi Bold" w:hAnsi="Avenir Next Demi Bold" w:cs="Arial"/>
          <w:b/>
          <w:bCs/>
          <w:sz w:val="22"/>
          <w:szCs w:val="22"/>
          <w:lang w:val="en-GB"/>
        </w:rPr>
        <w:t>2</w:t>
      </w:r>
      <w:r w:rsidR="00DE03AF" w:rsidRPr="00041D2C">
        <w:rPr>
          <w:rFonts w:ascii="Avenir Next Demi Bold" w:hAnsi="Avenir Next Demi Bold" w:cs="Arial"/>
          <w:b/>
          <w:bCs/>
          <w:sz w:val="22"/>
          <w:szCs w:val="22"/>
          <w:lang w:val="en-GB"/>
        </w:rPr>
        <w:t xml:space="preserve"> marks] </w:t>
      </w:r>
    </w:p>
    <w:p w14:paraId="36EB02DF" w14:textId="77777777" w:rsidR="002C13C8" w:rsidRPr="00041D2C" w:rsidRDefault="002C13C8" w:rsidP="002A37BB">
      <w:pPr>
        <w:ind w:left="720" w:hanging="720"/>
        <w:jc w:val="both"/>
        <w:rPr>
          <w:rFonts w:ascii="Avenir Next" w:hAnsi="Avenir Next" w:cs="Arial"/>
          <w:sz w:val="22"/>
          <w:szCs w:val="22"/>
          <w:lang w:val="en-GB"/>
        </w:rPr>
      </w:pPr>
    </w:p>
    <w:p w14:paraId="1F035B3C" w14:textId="5CF54093" w:rsidR="00636C15" w:rsidRPr="00041D2C" w:rsidRDefault="00636C15" w:rsidP="00636C15">
      <w:pPr>
        <w:jc w:val="both"/>
        <w:rPr>
          <w:rFonts w:ascii="Avenir Next" w:hAnsi="Avenir Next" w:cs="Arial"/>
          <w:sz w:val="22"/>
          <w:szCs w:val="22"/>
          <w:lang w:val="en-GB"/>
        </w:rPr>
      </w:pPr>
      <w:r w:rsidRPr="00041D2C">
        <w:rPr>
          <w:rFonts w:ascii="Avenir Next" w:hAnsi="Avenir Next" w:cs="Arial"/>
          <w:sz w:val="22"/>
          <w:szCs w:val="22"/>
          <w:lang w:val="en-GB"/>
        </w:rPr>
        <w:t xml:space="preserve">The following </w:t>
      </w:r>
      <w:r w:rsidRPr="00041D2C">
        <w:rPr>
          <w:rFonts w:ascii="Avenir Next Demi Bold" w:hAnsi="Avenir Next Demi Bold" w:cs="Arial"/>
          <w:b/>
          <w:bCs/>
          <w:sz w:val="22"/>
          <w:szCs w:val="22"/>
          <w:u w:val="single"/>
          <w:lang w:val="en-GB"/>
        </w:rPr>
        <w:t>t</w:t>
      </w:r>
      <w:r w:rsidR="00007146" w:rsidRPr="00041D2C">
        <w:rPr>
          <w:rFonts w:ascii="Avenir Next Demi Bold" w:hAnsi="Avenir Next Demi Bold" w:cs="Arial"/>
          <w:b/>
          <w:bCs/>
          <w:sz w:val="22"/>
          <w:szCs w:val="22"/>
          <w:u w:val="single"/>
          <w:lang w:val="en-GB"/>
        </w:rPr>
        <w:t>wo</w:t>
      </w:r>
      <w:r w:rsidRPr="00041D2C">
        <w:rPr>
          <w:rFonts w:ascii="Avenir Next Demi Bold" w:hAnsi="Avenir Next Demi Bold" w:cs="Arial"/>
          <w:b/>
          <w:bCs/>
          <w:sz w:val="22"/>
          <w:szCs w:val="22"/>
          <w:u w:val="single"/>
          <w:lang w:val="en-GB"/>
        </w:rPr>
        <w:t xml:space="preserve"> (</w:t>
      </w:r>
      <w:r w:rsidR="00ED472A" w:rsidRPr="00041D2C">
        <w:rPr>
          <w:rFonts w:ascii="Avenir Next Demi Bold" w:hAnsi="Avenir Next Demi Bold" w:cs="Arial"/>
          <w:b/>
          <w:bCs/>
          <w:sz w:val="22"/>
          <w:szCs w:val="22"/>
          <w:u w:val="single"/>
          <w:lang w:val="en-GB"/>
        </w:rPr>
        <w:t>2</w:t>
      </w:r>
      <w:r w:rsidRPr="00041D2C">
        <w:rPr>
          <w:rFonts w:ascii="Avenir Next Demi Bold" w:hAnsi="Avenir Next Demi Bold" w:cs="Arial"/>
          <w:b/>
          <w:bCs/>
          <w:sz w:val="22"/>
          <w:szCs w:val="22"/>
          <w:u w:val="single"/>
          <w:lang w:val="en-GB"/>
        </w:rPr>
        <w:t>) statements</w:t>
      </w:r>
      <w:r w:rsidRPr="00041D2C">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041D2C" w:rsidRDefault="00636C15" w:rsidP="00636C15">
      <w:pPr>
        <w:jc w:val="both"/>
        <w:rPr>
          <w:rFonts w:ascii="Avenir Next" w:hAnsi="Avenir Next" w:cs="Arial"/>
          <w:sz w:val="22"/>
          <w:szCs w:val="22"/>
          <w:lang w:val="en-GB"/>
        </w:rPr>
      </w:pPr>
    </w:p>
    <w:p w14:paraId="6693C69F" w14:textId="3C3667E9" w:rsidR="00636C15" w:rsidRPr="00041D2C" w:rsidRDefault="00636C15" w:rsidP="00636C15">
      <w:pPr>
        <w:jc w:val="both"/>
        <w:rPr>
          <w:rFonts w:ascii="Avenir Next" w:hAnsi="Avenir Next" w:cs="Arial"/>
          <w:sz w:val="22"/>
          <w:szCs w:val="22"/>
          <w:lang w:val="en-GB"/>
        </w:rPr>
      </w:pPr>
      <w:r w:rsidRPr="00041D2C">
        <w:rPr>
          <w:rFonts w:ascii="Avenir Next" w:hAnsi="Avenir Next" w:cs="Arial"/>
          <w:sz w:val="22"/>
          <w:szCs w:val="22"/>
          <w:u w:val="single"/>
          <w:lang w:val="en-GB"/>
        </w:rPr>
        <w:t>Statement 1</w:t>
      </w:r>
      <w:r w:rsidRPr="00041D2C">
        <w:rPr>
          <w:rFonts w:ascii="Avenir Next" w:hAnsi="Avenir Next" w:cs="Arial"/>
          <w:sz w:val="22"/>
          <w:szCs w:val="22"/>
          <w:lang w:val="en-GB"/>
        </w:rPr>
        <w:t xml:space="preserve">. </w:t>
      </w:r>
      <w:r w:rsidR="00B32588" w:rsidRPr="00041D2C">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041D2C" w:rsidRDefault="00AA55B5" w:rsidP="00636C15">
      <w:pPr>
        <w:jc w:val="both"/>
        <w:rPr>
          <w:rFonts w:ascii="Avenir Next" w:hAnsi="Avenir Next" w:cs="Arial"/>
          <w:sz w:val="22"/>
          <w:szCs w:val="22"/>
          <w:lang w:val="en-GB"/>
        </w:rPr>
      </w:pPr>
    </w:p>
    <w:p w14:paraId="2F802B87" w14:textId="0E3D1F4D" w:rsidR="00636C15" w:rsidRPr="00041D2C" w:rsidRDefault="00636C15" w:rsidP="00636C15">
      <w:pPr>
        <w:jc w:val="both"/>
        <w:rPr>
          <w:rFonts w:ascii="Avenir Next" w:hAnsi="Avenir Next" w:cs="Arial"/>
          <w:sz w:val="22"/>
          <w:szCs w:val="22"/>
          <w:lang w:val="en-GB"/>
        </w:rPr>
      </w:pPr>
      <w:r w:rsidRPr="00041D2C">
        <w:rPr>
          <w:rFonts w:ascii="Avenir Next" w:hAnsi="Avenir Next" w:cs="Arial"/>
          <w:sz w:val="22"/>
          <w:szCs w:val="22"/>
          <w:u w:val="single"/>
          <w:lang w:val="en-GB"/>
        </w:rPr>
        <w:t xml:space="preserve">Statement </w:t>
      </w:r>
      <w:r w:rsidR="00ED472A" w:rsidRPr="00041D2C">
        <w:rPr>
          <w:rFonts w:ascii="Avenir Next" w:hAnsi="Avenir Next" w:cs="Arial"/>
          <w:sz w:val="22"/>
          <w:szCs w:val="22"/>
          <w:u w:val="single"/>
          <w:lang w:val="en-GB"/>
        </w:rPr>
        <w:t>2</w:t>
      </w:r>
      <w:r w:rsidRPr="00041D2C">
        <w:rPr>
          <w:rFonts w:ascii="Avenir Next" w:hAnsi="Avenir Next" w:cs="Arial"/>
          <w:sz w:val="22"/>
          <w:szCs w:val="22"/>
          <w:lang w:val="en-GB"/>
        </w:rPr>
        <w:t xml:space="preserve">. </w:t>
      </w:r>
      <w:r w:rsidR="009651D2" w:rsidRPr="00041D2C">
        <w:rPr>
          <w:rFonts w:ascii="Avenir Next" w:hAnsi="Avenir Next" w:cs="Arial"/>
          <w:sz w:val="22"/>
          <w:szCs w:val="22"/>
          <w:lang w:val="en-GB"/>
        </w:rPr>
        <w:t xml:space="preserve">Pending lawsuits are not covered by the effects of the </w:t>
      </w:r>
      <w:r w:rsidR="009651D2" w:rsidRPr="00041D2C">
        <w:rPr>
          <w:rFonts w:ascii="Avenir Next" w:hAnsi="Avenir Next" w:cs="Arial"/>
          <w:i/>
          <w:iCs/>
          <w:sz w:val="22"/>
          <w:szCs w:val="22"/>
          <w:lang w:val="en-GB"/>
        </w:rPr>
        <w:t xml:space="preserve">lex concursus </w:t>
      </w:r>
      <w:r w:rsidR="009651D2" w:rsidRPr="00041D2C">
        <w:rPr>
          <w:rFonts w:ascii="Avenir Next" w:hAnsi="Avenir Next" w:cs="Arial"/>
          <w:sz w:val="22"/>
          <w:szCs w:val="22"/>
          <w:lang w:val="en-GB"/>
        </w:rPr>
        <w:t xml:space="preserve">in insolvency proceedings.  </w:t>
      </w:r>
    </w:p>
    <w:p w14:paraId="63129F80" w14:textId="77777777" w:rsidR="00636C15" w:rsidRPr="00041D2C" w:rsidRDefault="00636C15" w:rsidP="00636C15">
      <w:pPr>
        <w:ind w:left="720" w:hanging="720"/>
        <w:jc w:val="both"/>
        <w:rPr>
          <w:rFonts w:ascii="Avenir Next" w:hAnsi="Avenir Next" w:cs="Arial"/>
          <w:sz w:val="22"/>
          <w:szCs w:val="22"/>
          <w:lang w:val="en-GB"/>
        </w:rPr>
      </w:pPr>
    </w:p>
    <w:p w14:paraId="1A1637C6" w14:textId="5879EE05" w:rsidR="006C3FB7" w:rsidRPr="00041D2C" w:rsidRDefault="002673DD" w:rsidP="000A3278">
      <w:pPr>
        <w:jc w:val="both"/>
        <w:rPr>
          <w:rFonts w:ascii="Avenir Next" w:hAnsi="Avenir Next"/>
          <w:bCs/>
          <w:color w:val="7B7B7B" w:themeColor="accent3" w:themeShade="BF"/>
          <w:sz w:val="22"/>
          <w:lang w:val="en-GB"/>
        </w:rPr>
      </w:pPr>
      <w:r w:rsidRPr="00041D2C">
        <w:rPr>
          <w:rFonts w:ascii="Avenir Next" w:hAnsi="Avenir Next"/>
          <w:bCs/>
          <w:color w:val="7B7B7B" w:themeColor="accent3" w:themeShade="BF"/>
          <w:sz w:val="22"/>
          <w:lang w:val="en-GB"/>
        </w:rPr>
        <w:lastRenderedPageBreak/>
        <w:t xml:space="preserve">Statement 1 refers to the fact that the EIR </w:t>
      </w:r>
      <w:r w:rsidR="00B34C12" w:rsidRPr="00041D2C">
        <w:rPr>
          <w:rFonts w:ascii="Avenir Next" w:hAnsi="Avenir Next"/>
          <w:bCs/>
          <w:color w:val="7B7B7B" w:themeColor="accent3" w:themeShade="BF"/>
          <w:sz w:val="22"/>
          <w:lang w:val="en-GB"/>
        </w:rPr>
        <w:t xml:space="preserve">Recast </w:t>
      </w:r>
      <w:r w:rsidRPr="00041D2C">
        <w:rPr>
          <w:rFonts w:ascii="Avenir Next" w:hAnsi="Avenir Next"/>
          <w:bCs/>
          <w:color w:val="7B7B7B" w:themeColor="accent3" w:themeShade="BF"/>
          <w:sz w:val="22"/>
          <w:lang w:val="en-GB"/>
        </w:rPr>
        <w:t xml:space="preserve">extends beyond traditional liquidation procedures </w:t>
      </w:r>
      <w:r w:rsidR="00FA556C">
        <w:rPr>
          <w:rFonts w:ascii="Avenir Next" w:hAnsi="Avenir Next"/>
          <w:bCs/>
          <w:color w:val="7B7B7B" w:themeColor="accent3" w:themeShade="BF"/>
          <w:sz w:val="22"/>
          <w:lang w:val="en-GB"/>
        </w:rPr>
        <w:t xml:space="preserve">(as was the scope of the EIR 2000) </w:t>
      </w:r>
      <w:r w:rsidRPr="00041D2C">
        <w:rPr>
          <w:rFonts w:ascii="Avenir Next" w:hAnsi="Avenir Next"/>
          <w:bCs/>
          <w:color w:val="7B7B7B" w:themeColor="accent3" w:themeShade="BF"/>
          <w:sz w:val="22"/>
          <w:lang w:val="en-GB"/>
        </w:rPr>
        <w:t>to restructuring tools that aim to maximize value for creditors by rescuing viable businesses (Article 1 and Recital 10).</w:t>
      </w:r>
    </w:p>
    <w:p w14:paraId="4A4033A6" w14:textId="77777777" w:rsidR="002673DD" w:rsidRPr="00041D2C" w:rsidRDefault="002673DD" w:rsidP="000A3278">
      <w:pPr>
        <w:jc w:val="both"/>
        <w:rPr>
          <w:rFonts w:ascii="Avenir Next" w:hAnsi="Avenir Next"/>
          <w:bCs/>
          <w:color w:val="7B7B7B" w:themeColor="accent3" w:themeShade="BF"/>
          <w:sz w:val="22"/>
          <w:lang w:val="en-GB"/>
        </w:rPr>
      </w:pPr>
    </w:p>
    <w:p w14:paraId="512FB194" w14:textId="33B3779B" w:rsidR="002673DD" w:rsidRPr="00041D2C" w:rsidRDefault="002673DD" w:rsidP="002673DD">
      <w:pPr>
        <w:jc w:val="both"/>
        <w:rPr>
          <w:rFonts w:ascii="Avenir Next" w:hAnsi="Avenir Next"/>
          <w:bCs/>
          <w:color w:val="7B7B7B" w:themeColor="accent3" w:themeShade="BF"/>
          <w:sz w:val="22"/>
          <w:lang w:val="en-GB"/>
        </w:rPr>
      </w:pPr>
      <w:r w:rsidRPr="00041D2C">
        <w:rPr>
          <w:rFonts w:ascii="Avenir Next" w:hAnsi="Avenir Next"/>
          <w:bCs/>
          <w:color w:val="7B7B7B" w:themeColor="accent3" w:themeShade="BF"/>
          <w:sz w:val="22"/>
          <w:lang w:val="en-GB"/>
        </w:rPr>
        <w:t xml:space="preserve">Statement 2 refers to an exception to the general rule that the </w:t>
      </w:r>
      <w:r w:rsidRPr="00041D2C">
        <w:rPr>
          <w:rFonts w:ascii="Avenir Next" w:hAnsi="Avenir Next"/>
          <w:bCs/>
          <w:i/>
          <w:iCs/>
          <w:color w:val="7B7B7B" w:themeColor="accent3" w:themeShade="BF"/>
          <w:sz w:val="22"/>
          <w:lang w:val="en-GB"/>
        </w:rPr>
        <w:t xml:space="preserve">lex concursus </w:t>
      </w:r>
      <w:r w:rsidRPr="00041D2C">
        <w:rPr>
          <w:rFonts w:ascii="Avenir Next" w:hAnsi="Avenir Next"/>
          <w:bCs/>
          <w:color w:val="7B7B7B" w:themeColor="accent3" w:themeShade="BF"/>
          <w:sz w:val="22"/>
          <w:lang w:val="en-GB"/>
        </w:rPr>
        <w:t>(law of the insolvency forum) determines the effect of insolvency on proceedings brought by individual creditors</w:t>
      </w:r>
      <w:r w:rsidR="002D583D">
        <w:rPr>
          <w:rFonts w:ascii="Avenir Next" w:hAnsi="Avenir Next"/>
          <w:bCs/>
          <w:color w:val="7B7B7B" w:themeColor="accent3" w:themeShade="BF"/>
          <w:sz w:val="22"/>
          <w:lang w:val="en-GB"/>
        </w:rPr>
        <w:t xml:space="preserve"> (Article 7(2)(f))</w:t>
      </w:r>
      <w:r w:rsidRPr="00041D2C">
        <w:rPr>
          <w:rFonts w:ascii="Avenir Next" w:hAnsi="Avenir Next"/>
          <w:bCs/>
          <w:color w:val="7B7B7B" w:themeColor="accent3" w:themeShade="BF"/>
          <w:sz w:val="22"/>
          <w:lang w:val="en-GB"/>
        </w:rPr>
        <w:t>. In the case of pending lawsuits, the effect of the insolvency proceedings is governed by the law of the Member State in which the lawsuit is pending (</w:t>
      </w:r>
      <w:r w:rsidRPr="00041D2C">
        <w:rPr>
          <w:rFonts w:ascii="Avenir Next" w:hAnsi="Avenir Next"/>
          <w:bCs/>
          <w:i/>
          <w:iCs/>
          <w:color w:val="7B7B7B" w:themeColor="accent3" w:themeShade="BF"/>
          <w:sz w:val="22"/>
          <w:lang w:val="en-GB"/>
        </w:rPr>
        <w:t>lex fori processus</w:t>
      </w:r>
      <w:r w:rsidRPr="00041D2C">
        <w:rPr>
          <w:rFonts w:ascii="Avenir Next" w:hAnsi="Avenir Next"/>
          <w:bCs/>
          <w:color w:val="7B7B7B" w:themeColor="accent3" w:themeShade="BF"/>
          <w:sz w:val="22"/>
          <w:lang w:val="en-GB"/>
        </w:rPr>
        <w:t>) (Article 18).</w:t>
      </w:r>
      <w:r w:rsidR="00E050F8">
        <w:rPr>
          <w:rFonts w:ascii="Avenir Next" w:hAnsi="Avenir Next"/>
          <w:bCs/>
          <w:color w:val="7B7B7B" w:themeColor="accent3" w:themeShade="BF"/>
          <w:sz w:val="22"/>
          <w:lang w:val="en-GB"/>
        </w:rPr>
        <w:t xml:space="preserve"> Broadly speaking, the Article 18 exception will not apply to </w:t>
      </w:r>
      <w:r w:rsidR="00E050F8" w:rsidRPr="00E050F8">
        <w:rPr>
          <w:rFonts w:ascii="Avenir Next" w:hAnsi="Avenir Next"/>
          <w:bCs/>
          <w:color w:val="7B7B7B" w:themeColor="accent3" w:themeShade="BF"/>
          <w:sz w:val="22"/>
          <w:u w:val="single"/>
          <w:lang w:val="en-GB"/>
        </w:rPr>
        <w:t>enforcement</w:t>
      </w:r>
      <w:r w:rsidR="00E050F8">
        <w:rPr>
          <w:rFonts w:ascii="Avenir Next" w:hAnsi="Avenir Next"/>
          <w:bCs/>
          <w:color w:val="7B7B7B" w:themeColor="accent3" w:themeShade="BF"/>
          <w:sz w:val="22"/>
          <w:lang w:val="en-GB"/>
        </w:rPr>
        <w:t xml:space="preserve"> proceedings brought by individual creditors (</w:t>
      </w:r>
      <w:r w:rsidR="00447153">
        <w:rPr>
          <w:rFonts w:ascii="Avenir Next" w:hAnsi="Avenir Next"/>
          <w:bCs/>
          <w:color w:val="7B7B7B" w:themeColor="accent3" w:themeShade="BF"/>
          <w:sz w:val="22"/>
          <w:lang w:val="en-GB"/>
        </w:rPr>
        <w:t xml:space="preserve">as </w:t>
      </w:r>
      <w:r w:rsidR="00E050F8">
        <w:rPr>
          <w:rFonts w:ascii="Avenir Next" w:hAnsi="Avenir Next"/>
          <w:bCs/>
          <w:color w:val="7B7B7B" w:themeColor="accent3" w:themeShade="BF"/>
          <w:sz w:val="22"/>
          <w:lang w:val="en-GB"/>
        </w:rPr>
        <w:t>compared to proceedings which only serve to determine the rights and obligations of the debtor).</w:t>
      </w:r>
    </w:p>
    <w:p w14:paraId="22C610C9" w14:textId="16EF6256" w:rsidR="00DE03AF" w:rsidRPr="00041D2C" w:rsidRDefault="00DE03AF" w:rsidP="002A37BB">
      <w:pPr>
        <w:jc w:val="both"/>
        <w:rPr>
          <w:rFonts w:ascii="Avenir Next" w:hAnsi="Avenir Next" w:cs="Arial"/>
          <w:sz w:val="22"/>
          <w:szCs w:val="22"/>
          <w:lang w:val="en-GB"/>
        </w:rPr>
      </w:pPr>
    </w:p>
    <w:p w14:paraId="10614297" w14:textId="3242EE04" w:rsidR="00C72848" w:rsidRPr="00041D2C" w:rsidRDefault="002C13C8" w:rsidP="002A37BB">
      <w:pPr>
        <w:ind w:left="720" w:hanging="720"/>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w:t>
      </w:r>
      <w:r w:rsidR="00DE03AF" w:rsidRPr="00041D2C">
        <w:rPr>
          <w:rFonts w:ascii="Avenir Next Demi Bold" w:hAnsi="Avenir Next Demi Bold" w:cs="Arial"/>
          <w:b/>
          <w:bCs/>
          <w:sz w:val="22"/>
          <w:szCs w:val="22"/>
          <w:lang w:val="en-GB"/>
        </w:rPr>
        <w:t>2.2</w:t>
      </w:r>
      <w:r w:rsidR="00DE03AF" w:rsidRPr="00041D2C">
        <w:rPr>
          <w:rFonts w:ascii="Avenir Next Demi Bold" w:hAnsi="Avenir Next Demi Bold" w:cs="Arial"/>
          <w:b/>
          <w:bCs/>
          <w:sz w:val="22"/>
          <w:szCs w:val="22"/>
          <w:lang w:val="en-GB"/>
        </w:rPr>
        <w:tab/>
        <w:t>[</w:t>
      </w:r>
      <w:r w:rsidR="00D17FDC" w:rsidRPr="00041D2C">
        <w:rPr>
          <w:rFonts w:ascii="Avenir Next Demi Bold" w:hAnsi="Avenir Next Demi Bold" w:cs="Arial"/>
          <w:b/>
          <w:bCs/>
          <w:sz w:val="22"/>
          <w:szCs w:val="22"/>
          <w:lang w:val="en-GB"/>
        </w:rPr>
        <w:t>m</w:t>
      </w:r>
      <w:r w:rsidR="00DE03AF" w:rsidRPr="00041D2C">
        <w:rPr>
          <w:rFonts w:ascii="Avenir Next Demi Bold" w:hAnsi="Avenir Next Demi Bold" w:cs="Arial"/>
          <w:b/>
          <w:bCs/>
          <w:sz w:val="22"/>
          <w:szCs w:val="22"/>
          <w:lang w:val="en-GB"/>
        </w:rPr>
        <w:t xml:space="preserve">aximum </w:t>
      </w:r>
      <w:r w:rsidR="00CB1983" w:rsidRPr="00041D2C">
        <w:rPr>
          <w:rFonts w:ascii="Avenir Next Demi Bold" w:hAnsi="Avenir Next Demi Bold" w:cs="Arial"/>
          <w:b/>
          <w:bCs/>
          <w:sz w:val="22"/>
          <w:szCs w:val="22"/>
          <w:lang w:val="en-GB"/>
        </w:rPr>
        <w:t>3</w:t>
      </w:r>
      <w:r w:rsidR="00DE03AF" w:rsidRPr="00041D2C">
        <w:rPr>
          <w:rFonts w:ascii="Avenir Next Demi Bold" w:hAnsi="Avenir Next Demi Bold" w:cs="Arial"/>
          <w:b/>
          <w:bCs/>
          <w:sz w:val="22"/>
          <w:szCs w:val="22"/>
          <w:lang w:val="en-GB"/>
        </w:rPr>
        <w:t xml:space="preserve"> marks] </w:t>
      </w:r>
    </w:p>
    <w:p w14:paraId="1C61515B" w14:textId="77777777" w:rsidR="00C72848" w:rsidRPr="00041D2C" w:rsidRDefault="00C72848" w:rsidP="002A37BB">
      <w:pPr>
        <w:ind w:left="720" w:hanging="720"/>
        <w:jc w:val="both"/>
        <w:rPr>
          <w:rFonts w:ascii="Avenir Next" w:hAnsi="Avenir Next" w:cs="Arial"/>
          <w:sz w:val="22"/>
          <w:szCs w:val="22"/>
          <w:lang w:val="en-GB"/>
        </w:rPr>
      </w:pPr>
    </w:p>
    <w:p w14:paraId="34D15276" w14:textId="7D9FA6FF" w:rsidR="007E3AA9" w:rsidRPr="00041D2C" w:rsidRDefault="007E3AA9" w:rsidP="007E3AA9">
      <w:pPr>
        <w:jc w:val="both"/>
        <w:rPr>
          <w:rFonts w:ascii="Avenir Next" w:hAnsi="Avenir Next" w:cs="Arial"/>
          <w:sz w:val="22"/>
          <w:szCs w:val="22"/>
          <w:lang w:val="en-GB"/>
        </w:rPr>
      </w:pPr>
      <w:r w:rsidRPr="00041D2C">
        <w:rPr>
          <w:rFonts w:ascii="Avenir Next" w:hAnsi="Avenir Next" w:cs="Arial"/>
          <w:sz w:val="22"/>
          <w:szCs w:val="22"/>
          <w:lang w:val="en-GB"/>
        </w:rPr>
        <w:t xml:space="preserve">The EIR Recast’s objective remains, as much as possible, the universality of proceedings. However, several exceptions to this universal vision exist throughout the Regulation.  Provide </w:t>
      </w:r>
      <w:r w:rsidRPr="00041D2C">
        <w:rPr>
          <w:rFonts w:ascii="Avenir Next Demi Bold" w:hAnsi="Avenir Next Demi Bold" w:cs="Arial"/>
          <w:b/>
          <w:bCs/>
          <w:sz w:val="22"/>
          <w:szCs w:val="22"/>
          <w:u w:val="single"/>
          <w:lang w:val="en-GB"/>
        </w:rPr>
        <w:t>three (3) examples</w:t>
      </w:r>
      <w:r w:rsidRPr="00041D2C">
        <w:rPr>
          <w:rFonts w:ascii="Avenir Next" w:hAnsi="Avenir Next" w:cs="Arial"/>
          <w:sz w:val="22"/>
          <w:szCs w:val="22"/>
          <w:lang w:val="en-GB"/>
        </w:rPr>
        <w:t xml:space="preserve"> of provisions from the EIR Recast which depart from a universal approach to cross-border insolvency.  </w:t>
      </w:r>
    </w:p>
    <w:p w14:paraId="2BFFB7B5" w14:textId="77777777" w:rsidR="00E70FA4" w:rsidRPr="00041D2C" w:rsidRDefault="00E70FA4" w:rsidP="00636C15">
      <w:pPr>
        <w:jc w:val="both"/>
        <w:rPr>
          <w:rFonts w:ascii="Avenir Next" w:hAnsi="Avenir Next" w:cs="Arial"/>
          <w:sz w:val="22"/>
          <w:szCs w:val="22"/>
          <w:lang w:val="en-GB"/>
        </w:rPr>
      </w:pPr>
    </w:p>
    <w:p w14:paraId="541F1100" w14:textId="793B0DC4" w:rsidR="000A3278" w:rsidRDefault="00CE1213"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One of the key features of the EIR </w:t>
      </w:r>
      <w:r w:rsidR="00B34C12" w:rsidRPr="00041D2C">
        <w:rPr>
          <w:rFonts w:ascii="Avenir Next" w:hAnsi="Avenir Next" w:cs="Arial"/>
          <w:color w:val="7B7B7B" w:themeColor="accent3" w:themeShade="BF"/>
          <w:sz w:val="22"/>
          <w:szCs w:val="22"/>
          <w:lang w:val="en-GB"/>
        </w:rPr>
        <w:t>Recast</w:t>
      </w:r>
      <w:r w:rsidR="00DF7125" w:rsidRPr="00041D2C">
        <w:rPr>
          <w:rFonts w:ascii="Avenir Next" w:hAnsi="Avenir Next" w:cs="Arial"/>
          <w:color w:val="7B7B7B" w:themeColor="accent3" w:themeShade="BF"/>
          <w:sz w:val="22"/>
          <w:szCs w:val="22"/>
          <w:lang w:val="en-GB"/>
        </w:rPr>
        <w:t>,</w:t>
      </w:r>
      <w:r w:rsidRPr="00041D2C">
        <w:rPr>
          <w:rFonts w:ascii="Avenir Next" w:hAnsi="Avenir Next" w:cs="Arial"/>
          <w:color w:val="7B7B7B" w:themeColor="accent3" w:themeShade="BF"/>
          <w:sz w:val="22"/>
          <w:szCs w:val="22"/>
          <w:lang w:val="en-GB"/>
        </w:rPr>
        <w:t xml:space="preserve"> which points to it being a model of "modified universalism" rather than entirely universal, is the fact that there can be both main and secondary proceedings in relation to the same debtor. The fact that the Court of a Member State can open secondary/territorial proceedings in relation to the debtor's assets in that State (Article 1</w:t>
      </w:r>
      <w:r w:rsidR="00DF7125" w:rsidRPr="00041D2C">
        <w:rPr>
          <w:rFonts w:ascii="Avenir Next" w:hAnsi="Avenir Next" w:cs="Arial"/>
          <w:color w:val="7B7B7B" w:themeColor="accent3" w:themeShade="BF"/>
          <w:sz w:val="22"/>
          <w:szCs w:val="22"/>
          <w:lang w:val="en-GB"/>
        </w:rPr>
        <w:t xml:space="preserve"> and 19(2)</w:t>
      </w:r>
      <w:r w:rsidRPr="00041D2C">
        <w:rPr>
          <w:rFonts w:ascii="Avenir Next" w:hAnsi="Avenir Next" w:cs="Arial"/>
          <w:color w:val="7B7B7B" w:themeColor="accent3" w:themeShade="BF"/>
          <w:sz w:val="22"/>
          <w:szCs w:val="22"/>
          <w:lang w:val="en-GB"/>
        </w:rPr>
        <w:t>) even when main proceedings have already been opened elsewhere, is an</w:t>
      </w:r>
      <w:r w:rsidR="00EC1981">
        <w:rPr>
          <w:rFonts w:ascii="Avenir Next" w:hAnsi="Avenir Next" w:cs="Arial"/>
          <w:color w:val="7B7B7B" w:themeColor="accent3" w:themeShade="BF"/>
          <w:sz w:val="22"/>
          <w:szCs w:val="22"/>
          <w:lang w:val="en-GB"/>
        </w:rPr>
        <w:t xml:space="preserve"> overarching</w:t>
      </w:r>
      <w:r w:rsidRPr="00041D2C">
        <w:rPr>
          <w:rFonts w:ascii="Avenir Next" w:hAnsi="Avenir Next" w:cs="Arial"/>
          <w:color w:val="7B7B7B" w:themeColor="accent3" w:themeShade="BF"/>
          <w:sz w:val="22"/>
          <w:szCs w:val="22"/>
          <w:lang w:val="en-GB"/>
        </w:rPr>
        <w:t xml:space="preserve"> exception to the universal approach.</w:t>
      </w:r>
    </w:p>
    <w:p w14:paraId="3CF33227" w14:textId="77777777" w:rsidR="00EC1981" w:rsidRDefault="00EC1981" w:rsidP="000A3278">
      <w:pPr>
        <w:jc w:val="both"/>
        <w:rPr>
          <w:rFonts w:ascii="Avenir Next" w:hAnsi="Avenir Next" w:cs="Arial"/>
          <w:color w:val="7B7B7B" w:themeColor="accent3" w:themeShade="BF"/>
          <w:sz w:val="22"/>
          <w:szCs w:val="22"/>
          <w:lang w:val="en-GB"/>
        </w:rPr>
      </w:pPr>
    </w:p>
    <w:p w14:paraId="6A0C4252" w14:textId="4F4001C1" w:rsidR="00EC1981" w:rsidRPr="00041D2C" w:rsidRDefault="00EC1981" w:rsidP="000A32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specific derogations from the universal approach, Articles 8-18 </w:t>
      </w:r>
      <w:r w:rsidR="001453FF">
        <w:rPr>
          <w:rFonts w:ascii="Avenir Next" w:hAnsi="Avenir Next" w:cs="Arial"/>
          <w:color w:val="7B7B7B" w:themeColor="accent3" w:themeShade="BF"/>
          <w:sz w:val="22"/>
          <w:szCs w:val="22"/>
          <w:lang w:val="en-GB"/>
        </w:rPr>
        <w:t xml:space="preserve">EIR Recast </w:t>
      </w:r>
      <w:r>
        <w:rPr>
          <w:rFonts w:ascii="Avenir Next" w:hAnsi="Avenir Next" w:cs="Arial"/>
          <w:color w:val="7B7B7B" w:themeColor="accent3" w:themeShade="BF"/>
          <w:sz w:val="22"/>
          <w:szCs w:val="22"/>
          <w:lang w:val="en-GB"/>
        </w:rPr>
        <w:t xml:space="preserve">contain a number of exceptions to the </w:t>
      </w:r>
      <w:r w:rsidRPr="00EC1981">
        <w:rPr>
          <w:rFonts w:ascii="Avenir Next" w:hAnsi="Avenir Next" w:cs="Arial"/>
          <w:color w:val="7B7B7B" w:themeColor="accent3" w:themeShade="BF"/>
          <w:sz w:val="22"/>
          <w:szCs w:val="22"/>
          <w:lang w:val="en-GB"/>
        </w:rPr>
        <w:t xml:space="preserve">rule at Article 7 that the </w:t>
      </w:r>
      <w:r w:rsidRPr="00EC1981">
        <w:rPr>
          <w:rFonts w:ascii="Avenir Next" w:hAnsi="Avenir Next" w:cs="Arial"/>
          <w:i/>
          <w:iCs/>
          <w:color w:val="7B7B7B" w:themeColor="accent3" w:themeShade="BF"/>
          <w:sz w:val="22"/>
          <w:szCs w:val="22"/>
          <w:lang w:val="en-GB"/>
        </w:rPr>
        <w:t>lex concursus</w:t>
      </w:r>
      <w:r w:rsidRPr="00EC1981">
        <w:rPr>
          <w:rFonts w:ascii="Avenir Next" w:hAnsi="Avenir Next" w:cs="Arial"/>
          <w:color w:val="7B7B7B" w:themeColor="accent3" w:themeShade="BF"/>
          <w:sz w:val="22"/>
          <w:szCs w:val="22"/>
          <w:lang w:val="en-GB"/>
        </w:rPr>
        <w:t xml:space="preserve"> has universal application</w:t>
      </w:r>
      <w:r w:rsidR="006B2681">
        <w:rPr>
          <w:rFonts w:ascii="Avenir Next" w:hAnsi="Avenir Next" w:cs="Arial"/>
          <w:color w:val="7B7B7B" w:themeColor="accent3" w:themeShade="BF"/>
          <w:sz w:val="22"/>
          <w:szCs w:val="22"/>
          <w:lang w:val="en-GB"/>
        </w:rPr>
        <w:t xml:space="preserve"> </w:t>
      </w:r>
      <w:r w:rsidR="006B2681">
        <w:rPr>
          <w:rFonts w:ascii="Avenir Next" w:hAnsi="Avenir Next" w:cs="Arial"/>
          <w:color w:val="7B7B7B" w:themeColor="accent3" w:themeShade="BF"/>
          <w:sz w:val="22"/>
          <w:szCs w:val="22"/>
          <w:lang w:val="en-GB"/>
        </w:rPr>
        <w:t xml:space="preserve">(in some cases by simply excluding the application of the </w:t>
      </w:r>
      <w:r w:rsidR="006B2681" w:rsidRPr="00336F93">
        <w:rPr>
          <w:rFonts w:ascii="Avenir Next" w:hAnsi="Avenir Next" w:cs="Arial"/>
          <w:i/>
          <w:iCs/>
          <w:color w:val="7B7B7B" w:themeColor="accent3" w:themeShade="BF"/>
          <w:sz w:val="22"/>
          <w:szCs w:val="22"/>
          <w:lang w:val="en-GB"/>
        </w:rPr>
        <w:t>lex concursus</w:t>
      </w:r>
      <w:r w:rsidR="006B2681">
        <w:rPr>
          <w:rFonts w:ascii="Avenir Next" w:hAnsi="Avenir Next" w:cs="Arial"/>
          <w:color w:val="7B7B7B" w:themeColor="accent3" w:themeShade="BF"/>
          <w:sz w:val="22"/>
          <w:szCs w:val="22"/>
          <w:lang w:val="en-GB"/>
        </w:rPr>
        <w:t xml:space="preserve"> and in other cases providing for an explicit choice of law)</w:t>
      </w:r>
      <w:r>
        <w:rPr>
          <w:rFonts w:ascii="Avenir Next" w:hAnsi="Avenir Next" w:cs="Arial"/>
          <w:color w:val="7B7B7B" w:themeColor="accent3" w:themeShade="BF"/>
          <w:sz w:val="22"/>
          <w:szCs w:val="22"/>
          <w:lang w:val="en-GB"/>
        </w:rPr>
        <w:t xml:space="preserve">. </w:t>
      </w:r>
      <w:r w:rsidR="001453FF">
        <w:rPr>
          <w:rFonts w:ascii="Avenir Next" w:hAnsi="Avenir Next" w:cs="Arial"/>
          <w:color w:val="7B7B7B" w:themeColor="accent3" w:themeShade="BF"/>
          <w:sz w:val="22"/>
          <w:szCs w:val="22"/>
          <w:lang w:val="en-GB"/>
        </w:rPr>
        <w:t xml:space="preserve">These exceptions are in recognition of the fact that certain areas of law are particularly sensitive to national policy considerations. </w:t>
      </w:r>
      <w:r>
        <w:rPr>
          <w:rFonts w:ascii="Avenir Next" w:hAnsi="Avenir Next" w:cs="Arial"/>
          <w:color w:val="7B7B7B" w:themeColor="accent3" w:themeShade="BF"/>
          <w:sz w:val="22"/>
          <w:szCs w:val="22"/>
          <w:lang w:val="en-GB"/>
        </w:rPr>
        <w:t>Three examples are:</w:t>
      </w:r>
    </w:p>
    <w:p w14:paraId="206703B8" w14:textId="77777777" w:rsidR="00CE1213" w:rsidRPr="00041D2C" w:rsidRDefault="00CE1213" w:rsidP="000A3278">
      <w:pPr>
        <w:jc w:val="both"/>
        <w:rPr>
          <w:rFonts w:ascii="Avenir Next" w:hAnsi="Avenir Next" w:cs="Arial"/>
          <w:color w:val="7B7B7B" w:themeColor="accent3" w:themeShade="BF"/>
          <w:sz w:val="22"/>
          <w:szCs w:val="22"/>
          <w:lang w:val="en-GB"/>
        </w:rPr>
      </w:pPr>
    </w:p>
    <w:p w14:paraId="47FDA649" w14:textId="3BA884D8" w:rsidR="00EC1981" w:rsidRDefault="00B34C12" w:rsidP="00EC1981">
      <w:pPr>
        <w:pStyle w:val="ListParagraph"/>
        <w:numPr>
          <w:ilvl w:val="0"/>
          <w:numId w:val="42"/>
        </w:numPr>
        <w:jc w:val="both"/>
        <w:rPr>
          <w:rFonts w:ascii="Avenir Next" w:hAnsi="Avenir Next" w:cs="Arial"/>
          <w:color w:val="7B7B7B" w:themeColor="accent3" w:themeShade="BF"/>
          <w:sz w:val="22"/>
          <w:szCs w:val="22"/>
          <w:lang w:val="en-GB"/>
        </w:rPr>
      </w:pPr>
      <w:r w:rsidRPr="00EC1981">
        <w:rPr>
          <w:rFonts w:ascii="Avenir Next" w:hAnsi="Avenir Next" w:cs="Arial"/>
          <w:color w:val="7B7B7B" w:themeColor="accent3" w:themeShade="BF"/>
          <w:sz w:val="22"/>
          <w:szCs w:val="22"/>
          <w:lang w:val="en-GB"/>
        </w:rPr>
        <w:t>Article 8</w:t>
      </w:r>
      <w:r w:rsidR="0057658E">
        <w:rPr>
          <w:rFonts w:ascii="Avenir Next" w:hAnsi="Avenir Next" w:cs="Arial"/>
          <w:color w:val="7B7B7B" w:themeColor="accent3" w:themeShade="BF"/>
          <w:sz w:val="22"/>
          <w:szCs w:val="22"/>
          <w:lang w:val="en-GB"/>
        </w:rPr>
        <w:t xml:space="preserve"> (Recital 68)</w:t>
      </w:r>
      <w:r w:rsidRPr="00EC1981">
        <w:rPr>
          <w:rFonts w:ascii="Avenir Next" w:hAnsi="Avenir Next" w:cs="Arial"/>
          <w:color w:val="7B7B7B" w:themeColor="accent3" w:themeShade="BF"/>
          <w:sz w:val="22"/>
          <w:szCs w:val="22"/>
          <w:lang w:val="en-GB"/>
        </w:rPr>
        <w:t xml:space="preserve">, whereby the opening of insolvency proceedings does not affect the rights </w:t>
      </w:r>
      <w:r w:rsidR="00DF7125" w:rsidRPr="00EC1981">
        <w:rPr>
          <w:rFonts w:ascii="Avenir Next" w:hAnsi="Avenir Next" w:cs="Arial"/>
          <w:i/>
          <w:iCs/>
          <w:color w:val="7B7B7B" w:themeColor="accent3" w:themeShade="BF"/>
          <w:sz w:val="22"/>
          <w:szCs w:val="22"/>
          <w:lang w:val="en-GB"/>
        </w:rPr>
        <w:t>in rem</w:t>
      </w:r>
      <w:r w:rsidR="00DF7125" w:rsidRPr="00EC1981">
        <w:rPr>
          <w:rFonts w:ascii="Avenir Next" w:hAnsi="Avenir Next" w:cs="Arial"/>
          <w:color w:val="7B7B7B" w:themeColor="accent3" w:themeShade="BF"/>
          <w:sz w:val="22"/>
          <w:szCs w:val="22"/>
          <w:lang w:val="en-GB"/>
        </w:rPr>
        <w:t xml:space="preserve"> </w:t>
      </w:r>
      <w:r w:rsidRPr="00EC1981">
        <w:rPr>
          <w:rFonts w:ascii="Avenir Next" w:hAnsi="Avenir Next" w:cs="Arial"/>
          <w:color w:val="7B7B7B" w:themeColor="accent3" w:themeShade="BF"/>
          <w:sz w:val="22"/>
          <w:szCs w:val="22"/>
          <w:lang w:val="en-GB"/>
        </w:rPr>
        <w:t xml:space="preserve">of creditors or third parties over </w:t>
      </w:r>
      <w:r w:rsidR="00DF7125" w:rsidRPr="00EC1981">
        <w:rPr>
          <w:rFonts w:ascii="Avenir Next" w:hAnsi="Avenir Next" w:cs="Arial"/>
          <w:i/>
          <w:iCs/>
          <w:color w:val="7B7B7B" w:themeColor="accent3" w:themeShade="BF"/>
          <w:sz w:val="22"/>
          <w:szCs w:val="22"/>
          <w:lang w:val="en-GB"/>
        </w:rPr>
        <w:t>"</w:t>
      </w:r>
      <w:r w:rsidRPr="00EC1981">
        <w:rPr>
          <w:rFonts w:ascii="Avenir Next" w:hAnsi="Avenir Next" w:cs="Arial"/>
          <w:i/>
          <w:iCs/>
          <w:color w:val="7B7B7B" w:themeColor="accent3" w:themeShade="BF"/>
          <w:sz w:val="22"/>
          <w:szCs w:val="22"/>
          <w:lang w:val="en-GB"/>
        </w:rPr>
        <w:t>tangible or intangible, moveable or immoveable assets</w:t>
      </w:r>
      <w:r w:rsidR="00DF7125" w:rsidRPr="00EC1981">
        <w:rPr>
          <w:rFonts w:ascii="Avenir Next" w:hAnsi="Avenir Next" w:cs="Arial"/>
          <w:i/>
          <w:iCs/>
          <w:color w:val="7B7B7B" w:themeColor="accent3" w:themeShade="BF"/>
          <w:sz w:val="22"/>
          <w:szCs w:val="22"/>
          <w:lang w:val="en-GB"/>
        </w:rPr>
        <w:t>"</w:t>
      </w:r>
      <w:r w:rsidRPr="00EC1981">
        <w:rPr>
          <w:rFonts w:ascii="Avenir Next" w:hAnsi="Avenir Next" w:cs="Arial"/>
          <w:i/>
          <w:iCs/>
          <w:color w:val="7B7B7B" w:themeColor="accent3" w:themeShade="BF"/>
          <w:sz w:val="22"/>
          <w:szCs w:val="22"/>
          <w:lang w:val="en-GB"/>
        </w:rPr>
        <w:t xml:space="preserve">. </w:t>
      </w:r>
      <w:r w:rsidRPr="00EC1981">
        <w:rPr>
          <w:rFonts w:ascii="Avenir Next" w:hAnsi="Avenir Next" w:cs="Arial"/>
          <w:color w:val="7B7B7B" w:themeColor="accent3" w:themeShade="BF"/>
          <w:sz w:val="22"/>
          <w:szCs w:val="22"/>
          <w:lang w:val="en-GB"/>
        </w:rPr>
        <w:t>The EIR Recast does not contain a definition of "</w:t>
      </w:r>
      <w:r w:rsidRPr="00EC1981">
        <w:rPr>
          <w:rFonts w:ascii="Avenir Next" w:hAnsi="Avenir Next" w:cs="Arial"/>
          <w:i/>
          <w:iCs/>
          <w:color w:val="7B7B7B" w:themeColor="accent3" w:themeShade="BF"/>
          <w:sz w:val="22"/>
          <w:szCs w:val="22"/>
          <w:lang w:val="en-GB"/>
        </w:rPr>
        <w:t>in rem</w:t>
      </w:r>
      <w:r w:rsidRPr="00EC1981">
        <w:rPr>
          <w:rFonts w:ascii="Avenir Next" w:hAnsi="Avenir Next" w:cs="Arial"/>
          <w:color w:val="7B7B7B" w:themeColor="accent3" w:themeShade="BF"/>
          <w:sz w:val="22"/>
          <w:szCs w:val="22"/>
          <w:lang w:val="en-GB"/>
        </w:rPr>
        <w:t xml:space="preserve">" and this would therefore be a matter of national law (although Article 8(2) does provide a list of examples of rights </w:t>
      </w:r>
      <w:r w:rsidRPr="00EC1981">
        <w:rPr>
          <w:rFonts w:ascii="Avenir Next" w:hAnsi="Avenir Next" w:cs="Arial"/>
          <w:i/>
          <w:iCs/>
          <w:color w:val="7B7B7B" w:themeColor="accent3" w:themeShade="BF"/>
          <w:sz w:val="22"/>
          <w:szCs w:val="22"/>
          <w:lang w:val="en-GB"/>
        </w:rPr>
        <w:t>in rem</w:t>
      </w:r>
      <w:r w:rsidRPr="00EC1981">
        <w:rPr>
          <w:rFonts w:ascii="Avenir Next" w:hAnsi="Avenir Next" w:cs="Arial"/>
          <w:color w:val="7B7B7B" w:themeColor="accent3" w:themeShade="BF"/>
          <w:sz w:val="22"/>
          <w:szCs w:val="22"/>
          <w:lang w:val="en-GB"/>
        </w:rPr>
        <w:t>)</w:t>
      </w:r>
      <w:r w:rsidR="00EC1981">
        <w:rPr>
          <w:rFonts w:ascii="Avenir Next" w:hAnsi="Avenir Next" w:cs="Arial"/>
          <w:color w:val="7B7B7B" w:themeColor="accent3" w:themeShade="BF"/>
          <w:sz w:val="22"/>
          <w:szCs w:val="22"/>
          <w:lang w:val="en-GB"/>
        </w:rPr>
        <w:t>;</w:t>
      </w:r>
    </w:p>
    <w:p w14:paraId="502A3A6A" w14:textId="59DC10C1" w:rsidR="00B34C12" w:rsidRDefault="00B34C12" w:rsidP="000A3278">
      <w:pPr>
        <w:pStyle w:val="ListParagraph"/>
        <w:numPr>
          <w:ilvl w:val="0"/>
          <w:numId w:val="42"/>
        </w:numPr>
        <w:jc w:val="both"/>
        <w:rPr>
          <w:rFonts w:ascii="Avenir Next" w:hAnsi="Avenir Next" w:cs="Arial"/>
          <w:color w:val="7B7B7B" w:themeColor="accent3" w:themeShade="BF"/>
          <w:sz w:val="22"/>
          <w:szCs w:val="22"/>
          <w:lang w:val="en-GB"/>
        </w:rPr>
      </w:pPr>
      <w:r w:rsidRPr="00EC1981">
        <w:rPr>
          <w:rFonts w:ascii="Avenir Next" w:hAnsi="Avenir Next" w:cs="Arial"/>
          <w:color w:val="7B7B7B" w:themeColor="accent3" w:themeShade="BF"/>
          <w:sz w:val="22"/>
          <w:szCs w:val="22"/>
          <w:lang w:val="en-GB"/>
        </w:rPr>
        <w:t>Article 11, relating to contracts relating to immoveable property. Such contracts are governed solely by the law of the Member State where the immoveable property is situated</w:t>
      </w:r>
      <w:r w:rsidR="00EC1981">
        <w:rPr>
          <w:rFonts w:ascii="Avenir Next" w:hAnsi="Avenir Next" w:cs="Arial"/>
          <w:color w:val="7B7B7B" w:themeColor="accent3" w:themeShade="BF"/>
          <w:sz w:val="22"/>
          <w:szCs w:val="22"/>
          <w:lang w:val="en-GB"/>
        </w:rPr>
        <w:t>; and</w:t>
      </w:r>
    </w:p>
    <w:p w14:paraId="25BB1AB5" w14:textId="4FD79C1B" w:rsidR="00EC1981" w:rsidRPr="00EC1981" w:rsidRDefault="00EC1981" w:rsidP="000A3278">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13 </w:t>
      </w:r>
      <w:r w:rsidR="0057658E">
        <w:rPr>
          <w:rFonts w:ascii="Avenir Next" w:hAnsi="Avenir Next" w:cs="Arial"/>
          <w:color w:val="7B7B7B" w:themeColor="accent3" w:themeShade="BF"/>
          <w:sz w:val="22"/>
          <w:szCs w:val="22"/>
          <w:lang w:val="en-GB"/>
        </w:rPr>
        <w:t xml:space="preserve">(and Recital 72) </w:t>
      </w:r>
      <w:r>
        <w:rPr>
          <w:rFonts w:ascii="Avenir Next" w:hAnsi="Avenir Next" w:cs="Arial"/>
          <w:color w:val="7B7B7B" w:themeColor="accent3" w:themeShade="BF"/>
          <w:sz w:val="22"/>
          <w:szCs w:val="22"/>
          <w:lang w:val="en-GB"/>
        </w:rPr>
        <w:t xml:space="preserve">relating to contracts of employment </w:t>
      </w:r>
      <w:r w:rsidR="001453FF">
        <w:rPr>
          <w:rFonts w:ascii="Avenir Next" w:hAnsi="Avenir Next" w:cs="Arial"/>
          <w:color w:val="7B7B7B" w:themeColor="accent3" w:themeShade="BF"/>
          <w:sz w:val="22"/>
          <w:szCs w:val="22"/>
          <w:lang w:val="en-GB"/>
        </w:rPr>
        <w:t>(which are governed solely by the law of the Member State applicable to the contract of employment).</w:t>
      </w:r>
    </w:p>
    <w:p w14:paraId="6948B395" w14:textId="65A1604F" w:rsidR="00E90991" w:rsidRPr="00041D2C" w:rsidRDefault="00E90991" w:rsidP="000A3278">
      <w:pPr>
        <w:jc w:val="both"/>
        <w:rPr>
          <w:rFonts w:ascii="Avenir Next" w:hAnsi="Avenir Next" w:cs="Arial"/>
          <w:sz w:val="22"/>
          <w:szCs w:val="22"/>
          <w:lang w:val="en-GB"/>
        </w:rPr>
      </w:pPr>
    </w:p>
    <w:p w14:paraId="34516371" w14:textId="6DFAB56A" w:rsidR="00C72848" w:rsidRPr="00041D2C" w:rsidRDefault="00C72848" w:rsidP="002A37BB">
      <w:pPr>
        <w:ind w:left="720" w:hanging="720"/>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w:t>
      </w:r>
      <w:r w:rsidR="00E6452F" w:rsidRPr="00041D2C">
        <w:rPr>
          <w:rFonts w:ascii="Avenir Next Demi Bold" w:hAnsi="Avenir Next Demi Bold" w:cs="Arial"/>
          <w:b/>
          <w:bCs/>
          <w:sz w:val="22"/>
          <w:szCs w:val="22"/>
          <w:lang w:val="en-GB"/>
        </w:rPr>
        <w:t>2.3</w:t>
      </w:r>
      <w:r w:rsidR="00E6452F" w:rsidRPr="00041D2C">
        <w:rPr>
          <w:rFonts w:ascii="Avenir Next Demi Bold" w:hAnsi="Avenir Next Demi Bold" w:cs="Arial"/>
          <w:b/>
          <w:bCs/>
          <w:sz w:val="22"/>
          <w:szCs w:val="22"/>
          <w:lang w:val="en-GB"/>
        </w:rPr>
        <w:tab/>
        <w:t>[</w:t>
      </w:r>
      <w:r w:rsidR="00D17FDC" w:rsidRPr="00041D2C">
        <w:rPr>
          <w:rFonts w:ascii="Avenir Next Demi Bold" w:hAnsi="Avenir Next Demi Bold" w:cs="Arial"/>
          <w:b/>
          <w:bCs/>
          <w:sz w:val="22"/>
          <w:szCs w:val="22"/>
          <w:lang w:val="en-GB"/>
        </w:rPr>
        <w:t>m</w:t>
      </w:r>
      <w:r w:rsidR="00E6452F" w:rsidRPr="00041D2C">
        <w:rPr>
          <w:rFonts w:ascii="Avenir Next Demi Bold" w:hAnsi="Avenir Next Demi Bold" w:cs="Arial"/>
          <w:b/>
          <w:bCs/>
          <w:sz w:val="22"/>
          <w:szCs w:val="22"/>
          <w:lang w:val="en-GB"/>
        </w:rPr>
        <w:t xml:space="preserve">aximum </w:t>
      </w:r>
      <w:r w:rsidR="00ED472A" w:rsidRPr="00041D2C">
        <w:rPr>
          <w:rFonts w:ascii="Avenir Next Demi Bold" w:hAnsi="Avenir Next Demi Bold" w:cs="Arial"/>
          <w:b/>
          <w:bCs/>
          <w:sz w:val="22"/>
          <w:szCs w:val="22"/>
          <w:lang w:val="en-GB"/>
        </w:rPr>
        <w:t>3</w:t>
      </w:r>
      <w:r w:rsidR="00E6452F" w:rsidRPr="00041D2C">
        <w:rPr>
          <w:rFonts w:ascii="Avenir Next Demi Bold" w:hAnsi="Avenir Next Demi Bold" w:cs="Arial"/>
          <w:b/>
          <w:bCs/>
          <w:sz w:val="22"/>
          <w:szCs w:val="22"/>
          <w:lang w:val="en-GB"/>
        </w:rPr>
        <w:t xml:space="preserve"> marks] </w:t>
      </w:r>
    </w:p>
    <w:p w14:paraId="64670543" w14:textId="77777777" w:rsidR="00C72848" w:rsidRPr="00041D2C" w:rsidRDefault="00C72848" w:rsidP="002A37BB">
      <w:pPr>
        <w:ind w:left="720" w:hanging="720"/>
        <w:jc w:val="both"/>
        <w:rPr>
          <w:rFonts w:ascii="Avenir Next" w:hAnsi="Avenir Next" w:cs="Arial"/>
          <w:b/>
          <w:bCs/>
          <w:sz w:val="22"/>
          <w:szCs w:val="22"/>
          <w:lang w:val="en-GB"/>
        </w:rPr>
      </w:pPr>
    </w:p>
    <w:p w14:paraId="1E24B4CD" w14:textId="3A1C2A64" w:rsidR="00956E63" w:rsidRPr="00041D2C" w:rsidRDefault="00956E63" w:rsidP="00956E63">
      <w:pPr>
        <w:jc w:val="both"/>
        <w:rPr>
          <w:rFonts w:ascii="Avenir Next" w:hAnsi="Avenir Next" w:cs="Arial"/>
          <w:sz w:val="22"/>
          <w:szCs w:val="22"/>
          <w:lang w:val="en-GB"/>
        </w:rPr>
      </w:pPr>
      <w:r w:rsidRPr="00041D2C">
        <w:rPr>
          <w:rFonts w:ascii="Avenir Next" w:hAnsi="Avenir Next" w:cs="Arial"/>
          <w:sz w:val="22"/>
          <w:szCs w:val="22"/>
          <w:lang w:val="en-GB"/>
        </w:rPr>
        <w:t>The EIR Recast regulates</w:t>
      </w:r>
      <w:r w:rsidRPr="00041D2C">
        <w:rPr>
          <w:rFonts w:ascii="Avenir Next" w:hAnsi="Avenir Next"/>
          <w:sz w:val="22"/>
          <w:lang w:val="en-GB"/>
        </w:rPr>
        <w:t xml:space="preserve"> the </w:t>
      </w:r>
      <w:r w:rsidRPr="00041D2C">
        <w:rPr>
          <w:rFonts w:ascii="Avenir Next" w:hAnsi="Avenir Next" w:cs="Arial"/>
          <w:sz w:val="22"/>
          <w:szCs w:val="22"/>
          <w:lang w:val="en-GB"/>
        </w:rPr>
        <w:t>material scope of the Regulation in relation to national</w:t>
      </w:r>
      <w:r w:rsidRPr="00041D2C">
        <w:rPr>
          <w:rFonts w:ascii="Avenir Next" w:hAnsi="Avenir Next"/>
          <w:sz w:val="22"/>
          <w:lang w:val="en-GB"/>
        </w:rPr>
        <w:t xml:space="preserve"> insolvency proceedings in </w:t>
      </w:r>
      <w:r w:rsidRPr="00041D2C">
        <w:rPr>
          <w:rFonts w:ascii="Avenir Next" w:hAnsi="Avenir Next" w:cs="Arial"/>
          <w:sz w:val="22"/>
          <w:szCs w:val="22"/>
          <w:lang w:val="en-GB"/>
        </w:rPr>
        <w:t>Member States.</w:t>
      </w:r>
      <w:r w:rsidRPr="00041D2C">
        <w:rPr>
          <w:rFonts w:ascii="Avenir Next" w:hAnsi="Avenir Next"/>
          <w:sz w:val="22"/>
          <w:lang w:val="en-GB"/>
        </w:rPr>
        <w:t xml:space="preserve"> </w:t>
      </w:r>
      <w:r w:rsidRPr="00041D2C">
        <w:rPr>
          <w:rFonts w:ascii="Avenir Next" w:hAnsi="Avenir Next" w:cs="Arial"/>
          <w:sz w:val="22"/>
          <w:szCs w:val="22"/>
          <w:lang w:val="en-GB"/>
        </w:rPr>
        <w:t xml:space="preserve">List </w:t>
      </w:r>
      <w:r w:rsidRPr="00041D2C">
        <w:rPr>
          <w:rFonts w:ascii="Avenir Next Demi Bold" w:hAnsi="Avenir Next Demi Bold" w:cs="Arial"/>
          <w:b/>
          <w:bCs/>
          <w:sz w:val="22"/>
          <w:szCs w:val="22"/>
          <w:u w:val="single"/>
          <w:lang w:val="en-GB"/>
        </w:rPr>
        <w:t>three (3) elements</w:t>
      </w:r>
      <w:r w:rsidRPr="00041D2C">
        <w:rPr>
          <w:rFonts w:ascii="Avenir Next" w:hAnsi="Avenir Next" w:cs="Arial"/>
          <w:sz w:val="22"/>
          <w:szCs w:val="22"/>
          <w:lang w:val="en-GB"/>
        </w:rPr>
        <w:t xml:space="preserve"> of the EIR Recast that deal with this matter and explain how they relate to this. </w:t>
      </w:r>
    </w:p>
    <w:p w14:paraId="4F051265" w14:textId="77777777" w:rsidR="006723E9" w:rsidRPr="00041D2C" w:rsidRDefault="006723E9" w:rsidP="002A37BB">
      <w:pPr>
        <w:jc w:val="both"/>
        <w:rPr>
          <w:rFonts w:ascii="Avenir Next" w:hAnsi="Avenir Next" w:cs="Arial"/>
          <w:sz w:val="22"/>
          <w:szCs w:val="22"/>
          <w:lang w:val="en-GB"/>
        </w:rPr>
      </w:pPr>
    </w:p>
    <w:p w14:paraId="4E88C085" w14:textId="7D83F7B5" w:rsidR="0040710C" w:rsidRPr="00041D2C" w:rsidRDefault="0040710C"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Article 1</w:t>
      </w:r>
      <w:r w:rsidR="00C8784E" w:rsidRPr="00041D2C">
        <w:rPr>
          <w:rFonts w:ascii="Avenir Next" w:hAnsi="Avenir Next" w:cs="Arial"/>
          <w:color w:val="7B7B7B" w:themeColor="accent3" w:themeShade="BF"/>
          <w:sz w:val="22"/>
          <w:szCs w:val="22"/>
          <w:lang w:val="en-GB"/>
        </w:rPr>
        <w:t>(1)</w:t>
      </w:r>
      <w:r w:rsidRPr="00041D2C">
        <w:rPr>
          <w:rFonts w:ascii="Avenir Next" w:hAnsi="Avenir Next" w:cs="Arial"/>
          <w:color w:val="7B7B7B" w:themeColor="accent3" w:themeShade="BF"/>
          <w:sz w:val="22"/>
          <w:szCs w:val="22"/>
          <w:lang w:val="en-GB"/>
        </w:rPr>
        <w:t xml:space="preserve"> of the EIR Recast provides the overarching rule as to the material scope of the Regulation. It applies to "</w:t>
      </w:r>
      <w:r w:rsidRPr="00041D2C">
        <w:rPr>
          <w:rFonts w:ascii="Avenir Next" w:hAnsi="Avenir Next" w:cs="Arial"/>
          <w:i/>
          <w:iCs/>
          <w:color w:val="7B7B7B" w:themeColor="accent3" w:themeShade="BF"/>
          <w:sz w:val="22"/>
          <w:szCs w:val="22"/>
          <w:lang w:val="en-GB"/>
        </w:rPr>
        <w:t>public collective proceedings… based on laws relating to insolvency.</w:t>
      </w:r>
      <w:r w:rsidRPr="00041D2C">
        <w:rPr>
          <w:rFonts w:ascii="Avenir Next" w:hAnsi="Avenir Next" w:cs="Arial"/>
          <w:color w:val="7B7B7B" w:themeColor="accent3" w:themeShade="BF"/>
          <w:sz w:val="22"/>
          <w:szCs w:val="22"/>
          <w:lang w:val="en-GB"/>
        </w:rPr>
        <w:t>" Article 1(1) then lists at a)-c) the types of proceedings that are captured by this definition. However, the impact of this provision is lessened by Annex A.</w:t>
      </w:r>
    </w:p>
    <w:p w14:paraId="34A37E1A" w14:textId="77777777" w:rsidR="0040710C" w:rsidRPr="00041D2C" w:rsidRDefault="0040710C" w:rsidP="000A3278">
      <w:pPr>
        <w:jc w:val="both"/>
        <w:rPr>
          <w:rFonts w:ascii="Avenir Next" w:hAnsi="Avenir Next" w:cs="Arial"/>
          <w:color w:val="7B7B7B" w:themeColor="accent3" w:themeShade="BF"/>
          <w:sz w:val="22"/>
          <w:szCs w:val="22"/>
          <w:lang w:val="en-GB"/>
        </w:rPr>
      </w:pPr>
    </w:p>
    <w:p w14:paraId="729864FB" w14:textId="7BB534D3" w:rsidR="0040710C" w:rsidRPr="00041D2C" w:rsidRDefault="0040710C"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lastRenderedPageBreak/>
        <w:t>Annex A contains a definitive list of the proceedings that are captured by the Regulation. As per Recital 9, the Regulation "</w:t>
      </w:r>
      <w:r w:rsidRPr="00041D2C">
        <w:rPr>
          <w:rFonts w:ascii="Avenir Next" w:hAnsi="Avenir Next" w:cs="Arial"/>
          <w:i/>
          <w:iCs/>
          <w:color w:val="7B7B7B" w:themeColor="accent3" w:themeShade="BF"/>
          <w:sz w:val="22"/>
          <w:szCs w:val="22"/>
          <w:lang w:val="en-GB"/>
        </w:rPr>
        <w:t>should apply [to proceedings listed in Annex A] without any further examination by the courts of another Member State as to whether the conditions set out in this Regulation are met.</w:t>
      </w:r>
      <w:r w:rsidRPr="00041D2C">
        <w:rPr>
          <w:rFonts w:ascii="Avenir Next" w:hAnsi="Avenir Next" w:cs="Arial"/>
          <w:color w:val="7B7B7B" w:themeColor="accent3" w:themeShade="BF"/>
          <w:sz w:val="22"/>
          <w:szCs w:val="22"/>
          <w:lang w:val="en-GB"/>
        </w:rPr>
        <w:t>" In contrast, i</w:t>
      </w:r>
      <w:r w:rsidR="008D1368" w:rsidRPr="00041D2C">
        <w:rPr>
          <w:rFonts w:ascii="Avenir Next" w:hAnsi="Avenir Next" w:cs="Arial"/>
          <w:color w:val="7B7B7B" w:themeColor="accent3" w:themeShade="BF"/>
          <w:sz w:val="22"/>
          <w:szCs w:val="22"/>
          <w:lang w:val="en-GB"/>
        </w:rPr>
        <w:t>f</w:t>
      </w:r>
      <w:r w:rsidRPr="00041D2C">
        <w:rPr>
          <w:rFonts w:ascii="Avenir Next" w:hAnsi="Avenir Next" w:cs="Arial"/>
          <w:color w:val="7B7B7B" w:themeColor="accent3" w:themeShade="BF"/>
          <w:sz w:val="22"/>
          <w:szCs w:val="22"/>
          <w:lang w:val="en-GB"/>
        </w:rPr>
        <w:t xml:space="preserve"> a proceeding is not listed in Annex A it is not captured by the EIR Recast.</w:t>
      </w:r>
    </w:p>
    <w:p w14:paraId="31CC4663" w14:textId="77777777" w:rsidR="00C8784E" w:rsidRPr="00041D2C" w:rsidRDefault="00C8784E" w:rsidP="000A3278">
      <w:pPr>
        <w:jc w:val="both"/>
        <w:rPr>
          <w:rFonts w:ascii="Avenir Next" w:hAnsi="Avenir Next" w:cs="Arial"/>
          <w:color w:val="7B7B7B" w:themeColor="accent3" w:themeShade="BF"/>
          <w:sz w:val="22"/>
          <w:szCs w:val="22"/>
          <w:lang w:val="en-GB"/>
        </w:rPr>
      </w:pPr>
    </w:p>
    <w:p w14:paraId="2F1509BF" w14:textId="6D72A6C2" w:rsidR="00C8784E" w:rsidRPr="00041D2C" w:rsidRDefault="00C8784E"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The EIR Recast also sets out particular cases where the Regulation does not apply – this includes proceedings relating to insurance undertakings</w:t>
      </w:r>
      <w:r w:rsidR="008D1368" w:rsidRPr="00041D2C">
        <w:rPr>
          <w:rFonts w:ascii="Avenir Next" w:hAnsi="Avenir Next" w:cs="Arial"/>
          <w:color w:val="7B7B7B" w:themeColor="accent3" w:themeShade="BF"/>
          <w:sz w:val="22"/>
          <w:szCs w:val="22"/>
          <w:lang w:val="en-GB"/>
        </w:rPr>
        <w:t>, c</w:t>
      </w:r>
      <w:r w:rsidRPr="00041D2C">
        <w:rPr>
          <w:rFonts w:ascii="Avenir Next" w:hAnsi="Avenir Next" w:cs="Arial"/>
          <w:color w:val="7B7B7B" w:themeColor="accent3" w:themeShade="BF"/>
          <w:sz w:val="22"/>
          <w:szCs w:val="22"/>
          <w:lang w:val="en-GB"/>
        </w:rPr>
        <w:t>redit institutions, investment firms and collective investment undertakings (Article 1(2)).</w:t>
      </w:r>
    </w:p>
    <w:p w14:paraId="572227E7" w14:textId="10041403" w:rsidR="0045683E" w:rsidRPr="00041D2C" w:rsidRDefault="0045683E" w:rsidP="002A37BB">
      <w:pPr>
        <w:jc w:val="both"/>
        <w:rPr>
          <w:rFonts w:ascii="Avenir Next" w:hAnsi="Avenir Next" w:cs="Arial"/>
          <w:bCs/>
          <w:sz w:val="22"/>
          <w:szCs w:val="22"/>
          <w:lang w:val="en-GB"/>
        </w:rPr>
      </w:pPr>
    </w:p>
    <w:p w14:paraId="57CD06CF" w14:textId="60DBC8AE" w:rsidR="009954B2" w:rsidRPr="00041D2C" w:rsidRDefault="00C00B20" w:rsidP="002A37BB">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Question 2.4</w:t>
      </w:r>
      <w:r w:rsidRPr="00041D2C">
        <w:rPr>
          <w:rFonts w:ascii="Avenir Next Demi Bold" w:hAnsi="Avenir Next Demi Bold" w:cs="Arial"/>
          <w:b/>
          <w:bCs/>
          <w:sz w:val="22"/>
          <w:szCs w:val="22"/>
          <w:lang w:val="en-GB"/>
        </w:rPr>
        <w:tab/>
        <w:t>[maximum 2</w:t>
      </w:r>
      <w:r w:rsidR="009954B2" w:rsidRPr="00041D2C">
        <w:rPr>
          <w:rFonts w:ascii="Avenir Next Demi Bold" w:hAnsi="Avenir Next Demi Bold" w:cs="Arial"/>
          <w:b/>
          <w:bCs/>
          <w:sz w:val="22"/>
          <w:szCs w:val="22"/>
          <w:lang w:val="en-GB"/>
        </w:rPr>
        <w:t xml:space="preserve"> marks]</w:t>
      </w:r>
    </w:p>
    <w:p w14:paraId="2A3AE6C9" w14:textId="30B4825D" w:rsidR="009954B2" w:rsidRPr="00041D2C" w:rsidRDefault="009954B2" w:rsidP="002A37BB">
      <w:pPr>
        <w:jc w:val="both"/>
        <w:rPr>
          <w:rFonts w:ascii="Avenir Next" w:hAnsi="Avenir Next" w:cs="Arial"/>
          <w:bCs/>
          <w:sz w:val="22"/>
          <w:szCs w:val="22"/>
          <w:lang w:val="en-GB"/>
        </w:rPr>
      </w:pPr>
    </w:p>
    <w:p w14:paraId="157B313A" w14:textId="61E59F59" w:rsidR="000A373F" w:rsidRPr="00041D2C" w:rsidRDefault="00DD47EF" w:rsidP="002A37BB">
      <w:pPr>
        <w:jc w:val="both"/>
        <w:rPr>
          <w:rFonts w:ascii="Avenir Next" w:hAnsi="Avenir Next" w:cs="Arial"/>
          <w:sz w:val="22"/>
          <w:szCs w:val="22"/>
          <w:lang w:val="en-GB"/>
        </w:rPr>
      </w:pPr>
      <w:r w:rsidRPr="00041D2C">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041D2C">
        <w:rPr>
          <w:rFonts w:ascii="Avenir Next Demi Bold" w:hAnsi="Avenir Next Demi Bold" w:cs="Arial"/>
          <w:b/>
          <w:bCs/>
          <w:sz w:val="22"/>
          <w:szCs w:val="22"/>
          <w:u w:val="single"/>
          <w:lang w:val="en-GB"/>
        </w:rPr>
        <w:t>two (2) examples</w:t>
      </w:r>
      <w:r w:rsidRPr="00041D2C">
        <w:rPr>
          <w:rFonts w:ascii="Avenir Next" w:hAnsi="Avenir Next" w:cs="Arial"/>
          <w:sz w:val="22"/>
          <w:szCs w:val="22"/>
          <w:lang w:val="en-GB"/>
        </w:rPr>
        <w:t xml:space="preserve"> of such instruments and briefly (in </w:t>
      </w:r>
      <w:r w:rsidR="00DD1686" w:rsidRPr="00041D2C">
        <w:rPr>
          <w:rFonts w:ascii="Avenir Next" w:hAnsi="Avenir Next" w:cs="Arial"/>
          <w:sz w:val="22"/>
          <w:szCs w:val="22"/>
          <w:lang w:val="en-GB"/>
        </w:rPr>
        <w:t>one</w:t>
      </w:r>
      <w:r w:rsidRPr="00041D2C">
        <w:rPr>
          <w:rFonts w:ascii="Avenir Next" w:hAnsi="Avenir Next" w:cs="Arial"/>
          <w:sz w:val="22"/>
          <w:szCs w:val="22"/>
          <w:lang w:val="en-GB"/>
        </w:rPr>
        <w:t xml:space="preserve"> to </w:t>
      </w:r>
      <w:r w:rsidR="00DD1686" w:rsidRPr="00041D2C">
        <w:rPr>
          <w:rFonts w:ascii="Avenir Next" w:hAnsi="Avenir Next" w:cs="Arial"/>
          <w:sz w:val="22"/>
          <w:szCs w:val="22"/>
          <w:lang w:val="en-GB"/>
        </w:rPr>
        <w:t>three</w:t>
      </w:r>
      <w:r w:rsidRPr="00041D2C">
        <w:rPr>
          <w:rFonts w:ascii="Avenir Next" w:hAnsi="Avenir Next" w:cs="Arial"/>
          <w:sz w:val="22"/>
          <w:szCs w:val="22"/>
          <w:lang w:val="en-GB"/>
        </w:rPr>
        <w:t xml:space="preserve"> sentences) explain how they operate.</w:t>
      </w:r>
    </w:p>
    <w:p w14:paraId="01D03511" w14:textId="77777777" w:rsidR="000A373F" w:rsidRPr="00041D2C" w:rsidRDefault="000A373F" w:rsidP="002A37BB">
      <w:pPr>
        <w:jc w:val="both"/>
        <w:rPr>
          <w:rFonts w:ascii="Avenir Next" w:hAnsi="Avenir Next" w:cs="Arial"/>
          <w:sz w:val="22"/>
          <w:szCs w:val="22"/>
          <w:lang w:val="en-GB"/>
        </w:rPr>
      </w:pPr>
    </w:p>
    <w:p w14:paraId="1A72971A" w14:textId="6E62E612" w:rsidR="00D72770" w:rsidRPr="00041D2C" w:rsidRDefault="00552618" w:rsidP="002A37BB">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The EIR Recast contains provisions for the stay of the opening of secondary proceedings where a temporary stay of individual enforcement proceedings has been granted in the main proceedings (Article 38(3)). The insolvency practitioner for the debtor must make a request for the stay (it does not happen automatically). The stay is at the discretion of the Court where the stay is sought and can only be imposed for a maximum of three months on the condition that suitable measures are in place to protect the interests of local creditors.  </w:t>
      </w:r>
    </w:p>
    <w:p w14:paraId="0ACC6CA8" w14:textId="77777777" w:rsidR="00552618" w:rsidRPr="00041D2C" w:rsidRDefault="00552618" w:rsidP="002A37BB">
      <w:pPr>
        <w:jc w:val="both"/>
        <w:rPr>
          <w:rFonts w:ascii="Avenir Next" w:hAnsi="Avenir Next" w:cs="Arial"/>
          <w:color w:val="7B7B7B" w:themeColor="accent3" w:themeShade="BF"/>
          <w:sz w:val="22"/>
          <w:szCs w:val="22"/>
          <w:lang w:val="en-GB"/>
        </w:rPr>
      </w:pPr>
    </w:p>
    <w:p w14:paraId="132E4414" w14:textId="13C53F14" w:rsidR="00552618" w:rsidRPr="00041D2C" w:rsidRDefault="00552618" w:rsidP="002A37BB">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Another measure to avoid the opening of secondary proceedings is the undertaking provisions of Article 36. In this case, the insolvency practitioner in the main proceedings may give a unilateral undertaking in respect of the assets located in the Member State in which secondary insolvency proceedings could be opened </w:t>
      </w:r>
      <w:r w:rsidRPr="00041D2C">
        <w:rPr>
          <w:rFonts w:ascii="Avenir Next" w:hAnsi="Avenir Next" w:cs="Arial"/>
          <w:i/>
          <w:iCs/>
          <w:color w:val="7B7B7B" w:themeColor="accent3" w:themeShade="BF"/>
          <w:sz w:val="22"/>
          <w:szCs w:val="22"/>
          <w:lang w:val="en-GB"/>
        </w:rPr>
        <w:t>"that when distributing those assets or the proceeds received as a result of their realisation, it will comply with the distribution and priority rights under national law that creditors would have if secondary insolvency proceedings were opened in that Member State"</w:t>
      </w:r>
      <w:r w:rsidR="00F4726A" w:rsidRPr="00041D2C">
        <w:rPr>
          <w:rFonts w:ascii="Avenir Next" w:hAnsi="Avenir Next" w:cs="Arial"/>
          <w:color w:val="7B7B7B" w:themeColor="accent3" w:themeShade="BF"/>
          <w:sz w:val="22"/>
          <w:szCs w:val="22"/>
          <w:lang w:val="en-GB"/>
        </w:rPr>
        <w:t xml:space="preserve"> (creating so-called "synthetic" secondary proceedings.</w:t>
      </w:r>
      <w:r w:rsidRPr="00041D2C">
        <w:rPr>
          <w:rFonts w:ascii="Avenir Next" w:hAnsi="Avenir Next" w:cs="Arial"/>
          <w:i/>
          <w:iCs/>
          <w:color w:val="7B7B7B" w:themeColor="accent3" w:themeShade="BF"/>
          <w:sz w:val="22"/>
          <w:szCs w:val="22"/>
          <w:lang w:val="en-GB"/>
        </w:rPr>
        <w:t xml:space="preserve"> </w:t>
      </w:r>
      <w:r w:rsidRPr="00041D2C">
        <w:rPr>
          <w:rFonts w:ascii="Avenir Next" w:hAnsi="Avenir Next" w:cs="Arial"/>
          <w:color w:val="7B7B7B" w:themeColor="accent3" w:themeShade="BF"/>
          <w:sz w:val="22"/>
          <w:szCs w:val="22"/>
          <w:lang w:val="en-GB"/>
        </w:rPr>
        <w:t xml:space="preserve">As long as the </w:t>
      </w:r>
      <w:r w:rsidR="007D5F30" w:rsidRPr="00041D2C">
        <w:rPr>
          <w:rFonts w:ascii="Avenir Next" w:hAnsi="Avenir Next" w:cs="Arial"/>
          <w:color w:val="7B7B7B" w:themeColor="accent3" w:themeShade="BF"/>
          <w:sz w:val="22"/>
          <w:szCs w:val="22"/>
          <w:lang w:val="en-GB"/>
        </w:rPr>
        <w:t xml:space="preserve">substantive and </w:t>
      </w:r>
      <w:r w:rsidRPr="00041D2C">
        <w:rPr>
          <w:rFonts w:ascii="Avenir Next" w:hAnsi="Avenir Next" w:cs="Arial"/>
          <w:color w:val="7B7B7B" w:themeColor="accent3" w:themeShade="BF"/>
          <w:sz w:val="22"/>
          <w:szCs w:val="22"/>
          <w:lang w:val="en-GB"/>
        </w:rPr>
        <w:t xml:space="preserve">procedural requirements for the undertaking are met, </w:t>
      </w:r>
      <w:r w:rsidR="007D5F30" w:rsidRPr="00041D2C">
        <w:rPr>
          <w:rFonts w:ascii="Avenir Next" w:hAnsi="Avenir Next" w:cs="Arial"/>
          <w:color w:val="7B7B7B" w:themeColor="accent3" w:themeShade="BF"/>
          <w:sz w:val="22"/>
          <w:szCs w:val="22"/>
          <w:lang w:val="en-GB"/>
        </w:rPr>
        <w:t>the Court in the potential "secondary</w:t>
      </w:r>
      <w:r w:rsidR="00F4726A" w:rsidRPr="00041D2C">
        <w:rPr>
          <w:rFonts w:ascii="Avenir Next" w:hAnsi="Avenir Next" w:cs="Arial"/>
          <w:color w:val="7B7B7B" w:themeColor="accent3" w:themeShade="BF"/>
          <w:sz w:val="22"/>
          <w:szCs w:val="22"/>
          <w:lang w:val="en-GB"/>
        </w:rPr>
        <w:t xml:space="preserve"> proceeding</w:t>
      </w:r>
      <w:r w:rsidR="007D5F30" w:rsidRPr="00041D2C">
        <w:rPr>
          <w:rFonts w:ascii="Avenir Next" w:hAnsi="Avenir Next" w:cs="Arial"/>
          <w:color w:val="7B7B7B" w:themeColor="accent3" w:themeShade="BF"/>
          <w:sz w:val="22"/>
          <w:szCs w:val="22"/>
          <w:lang w:val="en-GB"/>
        </w:rPr>
        <w:t xml:space="preserve">" Member State </w:t>
      </w:r>
      <w:r w:rsidR="007D5F30" w:rsidRPr="00041D2C">
        <w:rPr>
          <w:rFonts w:ascii="Avenir Next" w:hAnsi="Avenir Next" w:cs="Arial"/>
          <w:color w:val="7B7B7B" w:themeColor="accent3" w:themeShade="BF"/>
          <w:sz w:val="22"/>
          <w:szCs w:val="22"/>
          <w:u w:val="single"/>
          <w:lang w:val="en-GB"/>
        </w:rPr>
        <w:t>must not</w:t>
      </w:r>
      <w:r w:rsidR="007D5F30" w:rsidRPr="00041D2C">
        <w:rPr>
          <w:rFonts w:ascii="Avenir Next" w:hAnsi="Avenir Next" w:cs="Arial"/>
          <w:color w:val="7B7B7B" w:themeColor="accent3" w:themeShade="BF"/>
          <w:sz w:val="22"/>
          <w:szCs w:val="22"/>
          <w:lang w:val="en-GB"/>
        </w:rPr>
        <w:t xml:space="preserve"> open secondary proceedings</w:t>
      </w:r>
      <w:r w:rsidR="00802F6A" w:rsidRPr="00041D2C">
        <w:rPr>
          <w:rFonts w:ascii="Avenir Next" w:hAnsi="Avenir Next" w:cs="Arial"/>
          <w:color w:val="7B7B7B" w:themeColor="accent3" w:themeShade="BF"/>
          <w:sz w:val="22"/>
          <w:szCs w:val="22"/>
          <w:lang w:val="en-GB"/>
        </w:rPr>
        <w:t xml:space="preserve"> (</w:t>
      </w:r>
      <w:r w:rsidR="00802F6A" w:rsidRPr="00041D2C">
        <w:rPr>
          <w:rFonts w:ascii="Avenir Next" w:hAnsi="Avenir Next" w:cs="Arial"/>
          <w:color w:val="7B7B7B" w:themeColor="accent3" w:themeShade="BF"/>
          <w:sz w:val="22"/>
          <w:szCs w:val="22"/>
          <w:lang w:val="en-GB"/>
        </w:rPr>
        <w:t>if it is satisfied that the undertaking adequately protects the general interests of local creditors</w:t>
      </w:r>
      <w:r w:rsidR="00802F6A" w:rsidRPr="00041D2C">
        <w:rPr>
          <w:rFonts w:ascii="Avenir Next" w:hAnsi="Avenir Next" w:cs="Arial"/>
          <w:color w:val="7B7B7B" w:themeColor="accent3" w:themeShade="BF"/>
          <w:sz w:val="22"/>
          <w:szCs w:val="22"/>
          <w:lang w:val="en-GB"/>
        </w:rPr>
        <w:t>) (Article 38(2))</w:t>
      </w:r>
      <w:r w:rsidR="00802F6A" w:rsidRPr="00041D2C">
        <w:rPr>
          <w:rFonts w:ascii="Avenir Next" w:hAnsi="Avenir Next" w:cs="Arial"/>
          <w:color w:val="7B7B7B" w:themeColor="accent3" w:themeShade="BF"/>
          <w:sz w:val="22"/>
          <w:szCs w:val="22"/>
          <w:lang w:val="en-GB"/>
        </w:rPr>
        <w:t>.</w:t>
      </w:r>
    </w:p>
    <w:p w14:paraId="40BE8EB4" w14:textId="77777777" w:rsidR="00552618" w:rsidRPr="00041D2C" w:rsidRDefault="00552618" w:rsidP="002A37BB">
      <w:pPr>
        <w:jc w:val="both"/>
        <w:rPr>
          <w:rFonts w:ascii="Avenir Next" w:hAnsi="Avenir Next" w:cs="Arial"/>
          <w:bCs/>
          <w:sz w:val="22"/>
          <w:szCs w:val="22"/>
          <w:lang w:val="en-GB"/>
        </w:rPr>
      </w:pPr>
    </w:p>
    <w:p w14:paraId="170A9E71" w14:textId="56B0A9CC" w:rsidR="00962045" w:rsidRPr="00041D2C" w:rsidRDefault="00DF75F8" w:rsidP="002A37BB">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QUESTION</w:t>
      </w:r>
      <w:r w:rsidR="00962045" w:rsidRPr="00041D2C">
        <w:rPr>
          <w:rFonts w:ascii="Avenir Next Demi Bold" w:hAnsi="Avenir Next Demi Bold" w:cs="Arial"/>
          <w:b/>
          <w:bCs/>
          <w:sz w:val="22"/>
          <w:szCs w:val="22"/>
          <w:lang w:val="en-GB"/>
        </w:rPr>
        <w:t xml:space="preserve"> 3 (essay-type questions) [15 marks</w:t>
      </w:r>
      <w:r w:rsidR="006A2646" w:rsidRPr="00041D2C">
        <w:rPr>
          <w:rFonts w:ascii="Avenir Next Demi Bold" w:hAnsi="Avenir Next Demi Bold" w:cs="Arial"/>
          <w:b/>
          <w:bCs/>
          <w:sz w:val="22"/>
          <w:szCs w:val="22"/>
          <w:lang w:val="en-GB"/>
        </w:rPr>
        <w:t xml:space="preserve"> in total</w:t>
      </w:r>
      <w:r w:rsidR="00962045" w:rsidRPr="00041D2C">
        <w:rPr>
          <w:rFonts w:ascii="Avenir Next Demi Bold" w:hAnsi="Avenir Next Demi Bold" w:cs="Arial"/>
          <w:b/>
          <w:bCs/>
          <w:sz w:val="22"/>
          <w:szCs w:val="22"/>
          <w:lang w:val="en-GB"/>
        </w:rPr>
        <w:t xml:space="preserve">] </w:t>
      </w:r>
    </w:p>
    <w:p w14:paraId="0D6D151E" w14:textId="1C7A4CD8" w:rsidR="00962045" w:rsidRPr="00041D2C" w:rsidRDefault="00962045" w:rsidP="002A37BB">
      <w:pPr>
        <w:jc w:val="both"/>
        <w:rPr>
          <w:rFonts w:ascii="Avenir Next" w:hAnsi="Avenir Next" w:cs="Arial"/>
          <w:sz w:val="22"/>
          <w:szCs w:val="22"/>
          <w:lang w:val="en-GB"/>
        </w:rPr>
      </w:pPr>
    </w:p>
    <w:p w14:paraId="1AE2B78A" w14:textId="5985DB87" w:rsidR="00390B57" w:rsidRPr="00041D2C" w:rsidRDefault="00390B57" w:rsidP="002A37BB">
      <w:pPr>
        <w:jc w:val="both"/>
        <w:rPr>
          <w:rFonts w:ascii="Avenir Next" w:hAnsi="Avenir Next" w:cs="Arial"/>
          <w:i/>
          <w:iCs/>
          <w:sz w:val="22"/>
          <w:szCs w:val="22"/>
          <w:lang w:val="en-GB"/>
        </w:rPr>
      </w:pPr>
      <w:r w:rsidRPr="00041D2C">
        <w:rPr>
          <w:rFonts w:ascii="Avenir Next" w:hAnsi="Avenir Next" w:cs="Arial"/>
          <w:i/>
          <w:iCs/>
          <w:sz w:val="22"/>
          <w:szCs w:val="22"/>
          <w:lang w:val="en-GB"/>
        </w:rPr>
        <w:t>In addition to the correctness, completeness (including references to case law, if applicable) and originality of your answers</w:t>
      </w:r>
      <w:r w:rsidR="00364836" w:rsidRPr="00041D2C">
        <w:rPr>
          <w:rFonts w:ascii="Avenir Next" w:hAnsi="Avenir Next" w:cs="Arial"/>
          <w:i/>
          <w:iCs/>
          <w:sz w:val="22"/>
          <w:szCs w:val="22"/>
          <w:lang w:val="en-GB"/>
        </w:rPr>
        <w:t xml:space="preserve"> to the questions below</w:t>
      </w:r>
      <w:r w:rsidRPr="00041D2C">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041D2C" w:rsidRDefault="00390B57" w:rsidP="002A37BB">
      <w:pPr>
        <w:jc w:val="both"/>
        <w:rPr>
          <w:rFonts w:ascii="Avenir Next" w:hAnsi="Avenir Next" w:cs="Arial"/>
          <w:sz w:val="22"/>
          <w:szCs w:val="22"/>
          <w:lang w:val="en-GB"/>
        </w:rPr>
      </w:pPr>
    </w:p>
    <w:p w14:paraId="4DDCEC2C" w14:textId="73526CFE" w:rsidR="00C550C8" w:rsidRPr="00041D2C" w:rsidRDefault="00C550C8" w:rsidP="002A37BB">
      <w:pPr>
        <w:ind w:left="720" w:hanging="720"/>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xml:space="preserve">Question </w:t>
      </w:r>
      <w:r w:rsidR="00807119" w:rsidRPr="00041D2C">
        <w:rPr>
          <w:rFonts w:ascii="Avenir Next Demi Bold" w:hAnsi="Avenir Next Demi Bold" w:cs="Arial"/>
          <w:b/>
          <w:bCs/>
          <w:sz w:val="22"/>
          <w:szCs w:val="22"/>
          <w:lang w:val="en-GB"/>
        </w:rPr>
        <w:t>3.1</w:t>
      </w:r>
      <w:r w:rsidRPr="00041D2C">
        <w:rPr>
          <w:rFonts w:ascii="Avenir Next Demi Bold" w:hAnsi="Avenir Next Demi Bold" w:cs="Arial"/>
          <w:b/>
          <w:bCs/>
          <w:sz w:val="22"/>
          <w:szCs w:val="22"/>
          <w:lang w:val="en-GB"/>
        </w:rPr>
        <w:t xml:space="preserve"> [</w:t>
      </w:r>
      <w:r w:rsidR="006A2646" w:rsidRPr="00041D2C">
        <w:rPr>
          <w:rFonts w:ascii="Avenir Next Demi Bold" w:hAnsi="Avenir Next Demi Bold" w:cs="Arial"/>
          <w:b/>
          <w:bCs/>
          <w:sz w:val="22"/>
          <w:szCs w:val="22"/>
          <w:lang w:val="en-GB"/>
        </w:rPr>
        <w:t>m</w:t>
      </w:r>
      <w:r w:rsidRPr="00041D2C">
        <w:rPr>
          <w:rFonts w:ascii="Avenir Next Demi Bold" w:hAnsi="Avenir Next Demi Bold" w:cs="Arial"/>
          <w:b/>
          <w:bCs/>
          <w:sz w:val="22"/>
          <w:szCs w:val="22"/>
          <w:lang w:val="en-GB"/>
        </w:rPr>
        <w:t xml:space="preserve">aximum </w:t>
      </w:r>
      <w:r w:rsidR="00E90991" w:rsidRPr="00041D2C">
        <w:rPr>
          <w:rFonts w:ascii="Avenir Next Demi Bold" w:hAnsi="Avenir Next Demi Bold" w:cs="Arial"/>
          <w:b/>
          <w:bCs/>
          <w:sz w:val="22"/>
          <w:szCs w:val="22"/>
          <w:lang w:val="en-GB"/>
        </w:rPr>
        <w:t>5</w:t>
      </w:r>
      <w:r w:rsidRPr="00041D2C">
        <w:rPr>
          <w:rFonts w:ascii="Avenir Next Demi Bold" w:hAnsi="Avenir Next Demi Bold" w:cs="Arial"/>
          <w:b/>
          <w:bCs/>
          <w:sz w:val="22"/>
          <w:szCs w:val="22"/>
          <w:lang w:val="en-GB"/>
        </w:rPr>
        <w:t xml:space="preserve"> marks]</w:t>
      </w:r>
    </w:p>
    <w:p w14:paraId="23D3936A" w14:textId="77777777" w:rsidR="00C550C8" w:rsidRPr="00041D2C" w:rsidRDefault="00C550C8" w:rsidP="002A37BB">
      <w:pPr>
        <w:ind w:left="720" w:hanging="720"/>
        <w:jc w:val="both"/>
        <w:rPr>
          <w:rFonts w:ascii="Avenir Next" w:hAnsi="Avenir Next" w:cs="Arial"/>
          <w:sz w:val="22"/>
          <w:szCs w:val="22"/>
          <w:lang w:val="en-GB"/>
        </w:rPr>
      </w:pPr>
    </w:p>
    <w:p w14:paraId="0EBC5244" w14:textId="22AA9070" w:rsidR="00B12499" w:rsidRPr="00041D2C" w:rsidRDefault="00745D6F" w:rsidP="002A37BB">
      <w:pPr>
        <w:jc w:val="both"/>
        <w:rPr>
          <w:rFonts w:ascii="Avenir Next" w:hAnsi="Avenir Next" w:cs="Arial"/>
          <w:sz w:val="22"/>
          <w:szCs w:val="22"/>
          <w:lang w:val="en-GB"/>
        </w:rPr>
      </w:pPr>
      <w:r w:rsidRPr="00041D2C">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041D2C" w:rsidRDefault="00241FA3" w:rsidP="002A37BB">
      <w:pPr>
        <w:jc w:val="both"/>
        <w:rPr>
          <w:rFonts w:ascii="Avenir Next" w:hAnsi="Avenir Next" w:cs="Arial"/>
          <w:sz w:val="22"/>
          <w:szCs w:val="22"/>
          <w:lang w:val="en-GB"/>
        </w:rPr>
      </w:pPr>
    </w:p>
    <w:p w14:paraId="35ADCF95" w14:textId="6BA543DF" w:rsidR="000A3278" w:rsidRPr="00041D2C" w:rsidRDefault="002F4E56"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On 12 December 2012, the European Commission published a </w:t>
      </w:r>
      <w:r w:rsidR="00B03286" w:rsidRPr="00041D2C">
        <w:rPr>
          <w:rFonts w:ascii="Avenir Next" w:hAnsi="Avenir Next" w:cs="Arial"/>
          <w:color w:val="7B7B7B" w:themeColor="accent3" w:themeShade="BF"/>
          <w:sz w:val="22"/>
          <w:szCs w:val="22"/>
          <w:lang w:val="en-GB"/>
        </w:rPr>
        <w:t xml:space="preserve">Report </w:t>
      </w:r>
      <w:r w:rsidRPr="00041D2C">
        <w:rPr>
          <w:rFonts w:ascii="Avenir Next" w:hAnsi="Avenir Next" w:cs="Arial"/>
          <w:color w:val="7B7B7B" w:themeColor="accent3" w:themeShade="BF"/>
          <w:sz w:val="22"/>
          <w:szCs w:val="22"/>
          <w:lang w:val="en-GB"/>
        </w:rPr>
        <w:t>(COM (2012) 74</w:t>
      </w:r>
      <w:r w:rsidR="00B03286" w:rsidRPr="00041D2C">
        <w:rPr>
          <w:rFonts w:ascii="Avenir Next" w:hAnsi="Avenir Next" w:cs="Arial"/>
          <w:color w:val="7B7B7B" w:themeColor="accent3" w:themeShade="BF"/>
          <w:sz w:val="22"/>
          <w:szCs w:val="22"/>
          <w:lang w:val="en-GB"/>
        </w:rPr>
        <w:t>3</w:t>
      </w:r>
      <w:r w:rsidRPr="00041D2C">
        <w:rPr>
          <w:rFonts w:ascii="Avenir Next" w:hAnsi="Avenir Next" w:cs="Arial"/>
          <w:color w:val="7B7B7B" w:themeColor="accent3" w:themeShade="BF"/>
          <w:sz w:val="22"/>
          <w:szCs w:val="22"/>
          <w:lang w:val="en-GB"/>
        </w:rPr>
        <w:t xml:space="preserve">) on </w:t>
      </w:r>
      <w:r w:rsidR="00B03286" w:rsidRPr="00041D2C">
        <w:rPr>
          <w:rFonts w:ascii="Avenir Next" w:hAnsi="Avenir Next" w:cs="Arial"/>
          <w:color w:val="7B7B7B" w:themeColor="accent3" w:themeShade="BF"/>
          <w:sz w:val="22"/>
          <w:szCs w:val="22"/>
          <w:lang w:val="en-GB"/>
        </w:rPr>
        <w:t xml:space="preserve">the application of EIR 2000 </w:t>
      </w:r>
      <w:r w:rsidRPr="00041D2C">
        <w:rPr>
          <w:rFonts w:ascii="Avenir Next" w:hAnsi="Avenir Next" w:cs="Arial"/>
          <w:color w:val="7B7B7B" w:themeColor="accent3" w:themeShade="BF"/>
          <w:sz w:val="22"/>
          <w:szCs w:val="22"/>
          <w:lang w:val="en-GB"/>
        </w:rPr>
        <w:t>(the "</w:t>
      </w:r>
      <w:r w:rsidR="00B03286" w:rsidRPr="00041D2C">
        <w:rPr>
          <w:rFonts w:ascii="Avenir Next" w:hAnsi="Avenir Next" w:cs="Arial"/>
          <w:b/>
          <w:bCs/>
          <w:color w:val="7B7B7B" w:themeColor="accent3" w:themeShade="BF"/>
          <w:sz w:val="22"/>
          <w:szCs w:val="22"/>
          <w:lang w:val="en-GB"/>
        </w:rPr>
        <w:t>Report</w:t>
      </w:r>
      <w:r w:rsidRPr="00041D2C">
        <w:rPr>
          <w:rFonts w:ascii="Avenir Next" w:hAnsi="Avenir Next" w:cs="Arial"/>
          <w:color w:val="7B7B7B" w:themeColor="accent3" w:themeShade="BF"/>
          <w:sz w:val="22"/>
          <w:szCs w:val="22"/>
          <w:lang w:val="en-GB"/>
        </w:rPr>
        <w:t>"). It was accompanied by a Proposal for</w:t>
      </w:r>
      <w:r w:rsidR="003071A4" w:rsidRPr="00041D2C">
        <w:rPr>
          <w:rFonts w:ascii="Avenir Next" w:hAnsi="Avenir Next" w:cs="Arial"/>
          <w:color w:val="7B7B7B" w:themeColor="accent3" w:themeShade="BF"/>
          <w:sz w:val="22"/>
          <w:szCs w:val="22"/>
          <w:lang w:val="en-GB"/>
        </w:rPr>
        <w:t xml:space="preserve"> amendment</w:t>
      </w:r>
      <w:r w:rsidR="00B03286" w:rsidRPr="00041D2C">
        <w:rPr>
          <w:rFonts w:ascii="Avenir Next" w:hAnsi="Avenir Next" w:cs="Arial"/>
          <w:color w:val="7B7B7B" w:themeColor="accent3" w:themeShade="BF"/>
          <w:sz w:val="22"/>
          <w:szCs w:val="22"/>
          <w:lang w:val="en-GB"/>
        </w:rPr>
        <w:t>s</w:t>
      </w:r>
      <w:r w:rsidR="003071A4" w:rsidRPr="00041D2C">
        <w:rPr>
          <w:rFonts w:ascii="Avenir Next" w:hAnsi="Avenir Next" w:cs="Arial"/>
          <w:color w:val="7B7B7B" w:themeColor="accent3" w:themeShade="BF"/>
          <w:sz w:val="22"/>
          <w:szCs w:val="22"/>
          <w:lang w:val="en-GB"/>
        </w:rPr>
        <w:t xml:space="preserve"> to EIR 2000</w:t>
      </w:r>
      <w:r w:rsidR="00B03286" w:rsidRPr="00041D2C">
        <w:rPr>
          <w:rFonts w:ascii="Avenir Next" w:hAnsi="Avenir Next" w:cs="Arial"/>
          <w:color w:val="7B7B7B" w:themeColor="accent3" w:themeShade="BF"/>
          <w:sz w:val="22"/>
          <w:szCs w:val="22"/>
          <w:lang w:val="en-GB"/>
        </w:rPr>
        <w:t>.</w:t>
      </w:r>
    </w:p>
    <w:p w14:paraId="545468E9" w14:textId="77777777" w:rsidR="002F4E56" w:rsidRPr="00041D2C" w:rsidRDefault="002F4E56" w:rsidP="000A3278">
      <w:pPr>
        <w:jc w:val="both"/>
        <w:rPr>
          <w:rFonts w:ascii="Avenir Next" w:hAnsi="Avenir Next" w:cs="Arial"/>
          <w:color w:val="7B7B7B" w:themeColor="accent3" w:themeShade="BF"/>
          <w:sz w:val="22"/>
          <w:szCs w:val="22"/>
          <w:lang w:val="en-GB"/>
        </w:rPr>
      </w:pPr>
    </w:p>
    <w:p w14:paraId="27104FA0" w14:textId="6D4C4570" w:rsidR="00B03286" w:rsidRPr="00041D2C" w:rsidRDefault="002F4E56" w:rsidP="00C7709D">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The </w:t>
      </w:r>
      <w:r w:rsidR="00B03286" w:rsidRPr="00041D2C">
        <w:rPr>
          <w:rFonts w:ascii="Avenir Next" w:hAnsi="Avenir Next" w:cs="Arial"/>
          <w:color w:val="7B7B7B" w:themeColor="accent3" w:themeShade="BF"/>
          <w:sz w:val="22"/>
          <w:szCs w:val="22"/>
          <w:lang w:val="en-GB"/>
        </w:rPr>
        <w:t>Report</w:t>
      </w:r>
      <w:r w:rsidR="003071A4" w:rsidRPr="00041D2C">
        <w:rPr>
          <w:rFonts w:ascii="Avenir Next" w:hAnsi="Avenir Next" w:cs="Arial"/>
          <w:color w:val="7B7B7B" w:themeColor="accent3" w:themeShade="BF"/>
          <w:sz w:val="22"/>
          <w:szCs w:val="22"/>
          <w:lang w:val="en-GB"/>
        </w:rPr>
        <w:t>, broadly, identified</w:t>
      </w:r>
      <w:r w:rsidR="00C7709D" w:rsidRPr="00041D2C">
        <w:rPr>
          <w:rFonts w:ascii="Avenir Next" w:hAnsi="Avenir Next" w:cs="Arial"/>
          <w:color w:val="7B7B7B" w:themeColor="accent3" w:themeShade="BF"/>
          <w:sz w:val="22"/>
          <w:szCs w:val="22"/>
          <w:lang w:val="en-GB"/>
        </w:rPr>
        <w:t xml:space="preserve"> the following as issues with EIR 2000: "</w:t>
      </w:r>
      <w:r w:rsidR="00C7709D" w:rsidRPr="00041D2C">
        <w:rPr>
          <w:rFonts w:ascii="Avenir Next" w:hAnsi="Avenir Next" w:cs="Arial"/>
          <w:i/>
          <w:iCs/>
          <w:color w:val="7B7B7B" w:themeColor="accent3" w:themeShade="BF"/>
          <w:sz w:val="22"/>
          <w:szCs w:val="22"/>
          <w:lang w:val="en-GB"/>
        </w:rPr>
        <w:t xml:space="preserve">Essentially, problems have been identified in relation to the scope of the Regulation, the rules on jurisdiction, the relation between main </w:t>
      </w:r>
      <w:r w:rsidR="00C7709D" w:rsidRPr="00041D2C">
        <w:rPr>
          <w:rFonts w:ascii="Avenir Next" w:hAnsi="Avenir Next" w:cs="Arial"/>
          <w:i/>
          <w:iCs/>
          <w:color w:val="7B7B7B" w:themeColor="accent3" w:themeShade="BF"/>
          <w:sz w:val="22"/>
          <w:szCs w:val="22"/>
          <w:lang w:val="en-GB"/>
        </w:rPr>
        <w:lastRenderedPageBreak/>
        <w:t>and secondary proceedings, the publicity of insolvency-related decisions and the lodging of claims. In addition, the absence of specific rules for the insolvency of members of a group of companies has been criticise</w:t>
      </w:r>
      <w:r w:rsidR="009B1DEF" w:rsidRPr="00041D2C">
        <w:rPr>
          <w:rFonts w:ascii="Avenir Next" w:hAnsi="Avenir Next" w:cs="Arial"/>
          <w:i/>
          <w:iCs/>
          <w:color w:val="7B7B7B" w:themeColor="accent3" w:themeShade="BF"/>
          <w:sz w:val="22"/>
          <w:szCs w:val="22"/>
          <w:lang w:val="en-GB"/>
        </w:rPr>
        <w:t>d</w:t>
      </w:r>
      <w:r w:rsidR="00C7709D" w:rsidRPr="00041D2C">
        <w:rPr>
          <w:rFonts w:ascii="Avenir Next" w:hAnsi="Avenir Next" w:cs="Arial"/>
          <w:i/>
          <w:iCs/>
          <w:color w:val="7B7B7B" w:themeColor="accent3" w:themeShade="BF"/>
          <w:sz w:val="22"/>
          <w:szCs w:val="22"/>
          <w:lang w:val="en-GB"/>
        </w:rPr>
        <w:t>"</w:t>
      </w:r>
      <w:r w:rsidR="00C7709D" w:rsidRPr="00041D2C">
        <w:rPr>
          <w:rFonts w:ascii="Avenir Next" w:hAnsi="Avenir Next" w:cs="Arial"/>
          <w:color w:val="7B7B7B" w:themeColor="accent3" w:themeShade="BF"/>
          <w:sz w:val="22"/>
          <w:szCs w:val="22"/>
          <w:lang w:val="en-GB"/>
        </w:rPr>
        <w:t xml:space="preserve"> (para 1.2 of the Report).</w:t>
      </w:r>
    </w:p>
    <w:p w14:paraId="14FD264E" w14:textId="77777777" w:rsidR="00B03286" w:rsidRPr="00041D2C" w:rsidRDefault="00B03286" w:rsidP="000A3278">
      <w:pPr>
        <w:jc w:val="both"/>
        <w:rPr>
          <w:rFonts w:ascii="Avenir Next" w:hAnsi="Avenir Next" w:cs="Arial"/>
          <w:color w:val="7B7B7B" w:themeColor="accent3" w:themeShade="BF"/>
          <w:sz w:val="22"/>
          <w:szCs w:val="22"/>
          <w:lang w:val="en-GB"/>
        </w:rPr>
      </w:pPr>
    </w:p>
    <w:p w14:paraId="2C412FB9" w14:textId="496856E3" w:rsidR="00C7709D" w:rsidRPr="00041D2C" w:rsidRDefault="00C7709D"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Some more specific issues identified by the Report </w:t>
      </w:r>
      <w:r w:rsidR="009B1DEF" w:rsidRPr="00041D2C">
        <w:rPr>
          <w:rFonts w:ascii="Avenir Next" w:hAnsi="Avenir Next" w:cs="Arial"/>
          <w:color w:val="7B7B7B" w:themeColor="accent3" w:themeShade="BF"/>
          <w:sz w:val="22"/>
          <w:szCs w:val="22"/>
          <w:lang w:val="en-GB"/>
        </w:rPr>
        <w:t>were</w:t>
      </w:r>
      <w:r w:rsidRPr="00041D2C">
        <w:rPr>
          <w:rFonts w:ascii="Avenir Next" w:hAnsi="Avenir Next" w:cs="Arial"/>
          <w:color w:val="7B7B7B" w:themeColor="accent3" w:themeShade="BF"/>
          <w:sz w:val="22"/>
          <w:szCs w:val="22"/>
          <w:lang w:val="en-GB"/>
        </w:rPr>
        <w:t>:</w:t>
      </w:r>
    </w:p>
    <w:p w14:paraId="11A033D7" w14:textId="2212C83B" w:rsidR="00C7709D" w:rsidRPr="00041D2C" w:rsidRDefault="00C7709D" w:rsidP="00C7709D">
      <w:pPr>
        <w:pStyle w:val="ListParagraph"/>
        <w:numPr>
          <w:ilvl w:val="0"/>
          <w:numId w:val="37"/>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That a substantial number of pre-insolvency and hybrid proceedings were not covered by EIR 2000 and therefore their effects were not recogni</w:t>
      </w:r>
      <w:r w:rsidR="008D5C57" w:rsidRPr="00041D2C">
        <w:rPr>
          <w:rFonts w:ascii="Avenir Next" w:hAnsi="Avenir Next" w:cs="Arial"/>
          <w:color w:val="7B7B7B" w:themeColor="accent3" w:themeShade="BF"/>
          <w:sz w:val="22"/>
          <w:szCs w:val="22"/>
          <w:lang w:val="en-GB"/>
        </w:rPr>
        <w:t>s</w:t>
      </w:r>
      <w:r w:rsidRPr="00041D2C">
        <w:rPr>
          <w:rFonts w:ascii="Avenir Next" w:hAnsi="Avenir Next" w:cs="Arial"/>
          <w:color w:val="7B7B7B" w:themeColor="accent3" w:themeShade="BF"/>
          <w:sz w:val="22"/>
          <w:szCs w:val="22"/>
          <w:lang w:val="en-GB"/>
        </w:rPr>
        <w:t>ed throughout the EU.</w:t>
      </w:r>
      <w:r w:rsidR="008D5C57" w:rsidRPr="00041D2C">
        <w:rPr>
          <w:rFonts w:ascii="Avenir Next" w:hAnsi="Avenir Next" w:cs="Arial"/>
          <w:color w:val="7B7B7B" w:themeColor="accent3" w:themeShade="BF"/>
          <w:sz w:val="22"/>
          <w:szCs w:val="22"/>
          <w:lang w:val="en-GB"/>
        </w:rPr>
        <w:t xml:space="preserve"> This </w:t>
      </w:r>
      <w:r w:rsidR="009B1DEF" w:rsidRPr="00041D2C">
        <w:rPr>
          <w:rFonts w:ascii="Avenir Next" w:hAnsi="Avenir Next" w:cs="Arial"/>
          <w:color w:val="7B7B7B" w:themeColor="accent3" w:themeShade="BF"/>
          <w:sz w:val="22"/>
          <w:szCs w:val="22"/>
          <w:lang w:val="en-GB"/>
        </w:rPr>
        <w:t xml:space="preserve">concern </w:t>
      </w:r>
      <w:r w:rsidR="008D5C57" w:rsidRPr="00041D2C">
        <w:rPr>
          <w:rFonts w:ascii="Avenir Next" w:hAnsi="Avenir Next" w:cs="Arial"/>
          <w:color w:val="7B7B7B" w:themeColor="accent3" w:themeShade="BF"/>
          <w:sz w:val="22"/>
          <w:szCs w:val="22"/>
          <w:lang w:val="en-GB"/>
        </w:rPr>
        <w:t xml:space="preserve">was ultimately reflected in EIR 2015 in the form of provisions aimed at restructuring and corporate rescue. </w:t>
      </w:r>
    </w:p>
    <w:p w14:paraId="44CD2905" w14:textId="5E8B89D6" w:rsidR="00013544" w:rsidRPr="00041D2C" w:rsidRDefault="00013544" w:rsidP="00756C71">
      <w:pPr>
        <w:pStyle w:val="ListParagraph"/>
        <w:numPr>
          <w:ilvl w:val="0"/>
          <w:numId w:val="37"/>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Debtors abusing the COMI provisions by relocating their place of incorporation prior to the commencement of insolvency proceedings. The Report noted a particular issue with German and Irish debtors </w:t>
      </w:r>
      <w:r w:rsidR="009B1DEF" w:rsidRPr="00041D2C">
        <w:rPr>
          <w:rFonts w:ascii="Avenir Next" w:hAnsi="Avenir Next" w:cs="Arial"/>
          <w:color w:val="7B7B7B" w:themeColor="accent3" w:themeShade="BF"/>
          <w:sz w:val="22"/>
          <w:szCs w:val="22"/>
          <w:lang w:val="en-GB"/>
        </w:rPr>
        <w:t>taking</w:t>
      </w:r>
      <w:r w:rsidRPr="00041D2C">
        <w:rPr>
          <w:rFonts w:ascii="Avenir Next" w:hAnsi="Avenir Next" w:cs="Arial"/>
          <w:color w:val="7B7B7B" w:themeColor="accent3" w:themeShade="BF"/>
          <w:sz w:val="22"/>
          <w:szCs w:val="22"/>
          <w:lang w:val="en-GB"/>
        </w:rPr>
        <w:t xml:space="preserve"> advantage of the discharge opportunities of English law which provides for a debt release within only one year. However, the Report also acknowledged that where companies relocate to another Member State to benefit from a more sophisticated restructuring regime, it will not necessarily be abusive "bankruptcy tourism".</w:t>
      </w:r>
    </w:p>
    <w:p w14:paraId="0ABEEDCE" w14:textId="638EB0F5" w:rsidR="00200533" w:rsidRPr="00041D2C" w:rsidRDefault="00200533" w:rsidP="00756C71">
      <w:pPr>
        <w:pStyle w:val="ListParagraph"/>
        <w:numPr>
          <w:ilvl w:val="0"/>
          <w:numId w:val="37"/>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National courts taking different approaches to whether they had jurisdiction under EIR 2000.</w:t>
      </w:r>
    </w:p>
    <w:p w14:paraId="4B8966EA" w14:textId="3624A6B9" w:rsidR="00DE367E" w:rsidRPr="00041D2C" w:rsidRDefault="00DE367E" w:rsidP="00756C71">
      <w:pPr>
        <w:pStyle w:val="ListParagraph"/>
        <w:numPr>
          <w:ilvl w:val="0"/>
          <w:numId w:val="37"/>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The Report concluded that "</w:t>
      </w:r>
      <w:r w:rsidRPr="00041D2C">
        <w:rPr>
          <w:rFonts w:ascii="Avenir Next" w:hAnsi="Avenir Next" w:cs="Arial"/>
          <w:i/>
          <w:iCs/>
          <w:color w:val="7B7B7B" w:themeColor="accent3" w:themeShade="BF"/>
          <w:sz w:val="22"/>
          <w:szCs w:val="22"/>
          <w:lang w:val="en-GB"/>
        </w:rPr>
        <w:t>disadvantages of secondary proceedings are more significant than their advantages</w:t>
      </w:r>
      <w:r w:rsidRPr="00041D2C">
        <w:rPr>
          <w:rFonts w:ascii="Avenir Next" w:hAnsi="Avenir Next" w:cs="Arial"/>
          <w:color w:val="7B7B7B" w:themeColor="accent3" w:themeShade="BF"/>
          <w:sz w:val="22"/>
          <w:szCs w:val="22"/>
          <w:lang w:val="en-GB"/>
        </w:rPr>
        <w:t>." The disadvantages included</w:t>
      </w:r>
      <w:r w:rsidR="00CB5631" w:rsidRPr="00041D2C">
        <w:rPr>
          <w:rFonts w:ascii="Avenir Next" w:hAnsi="Avenir Next" w:cs="Arial"/>
          <w:color w:val="7B7B7B" w:themeColor="accent3" w:themeShade="BF"/>
          <w:sz w:val="22"/>
          <w:szCs w:val="22"/>
          <w:lang w:val="en-GB"/>
        </w:rPr>
        <w:t>:</w:t>
      </w:r>
      <w:r w:rsidRPr="00041D2C">
        <w:rPr>
          <w:rFonts w:ascii="Avenir Next" w:hAnsi="Avenir Next" w:cs="Arial"/>
          <w:color w:val="7B7B7B" w:themeColor="accent3" w:themeShade="BF"/>
          <w:sz w:val="22"/>
          <w:szCs w:val="22"/>
          <w:lang w:val="en-GB"/>
        </w:rPr>
        <w:t xml:space="preserve"> that secondary proceedings </w:t>
      </w:r>
      <w:r w:rsidR="00CB5631" w:rsidRPr="00041D2C">
        <w:rPr>
          <w:rFonts w:ascii="Avenir Next" w:hAnsi="Avenir Next" w:cs="Arial"/>
          <w:color w:val="7B7B7B" w:themeColor="accent3" w:themeShade="BF"/>
          <w:sz w:val="22"/>
          <w:szCs w:val="22"/>
          <w:lang w:val="en-GB"/>
        </w:rPr>
        <w:t>had to be</w:t>
      </w:r>
      <w:r w:rsidRPr="00041D2C">
        <w:rPr>
          <w:rFonts w:ascii="Avenir Next" w:hAnsi="Avenir Next" w:cs="Arial"/>
          <w:color w:val="7B7B7B" w:themeColor="accent3" w:themeShade="BF"/>
          <w:sz w:val="22"/>
          <w:szCs w:val="22"/>
          <w:lang w:val="en-GB"/>
        </w:rPr>
        <w:t xml:space="preserve"> winding-up proceedings, the absence of specific rules for the opening of s</w:t>
      </w:r>
      <w:r w:rsidR="009B1DEF" w:rsidRPr="00041D2C">
        <w:rPr>
          <w:rFonts w:ascii="Avenir Next" w:hAnsi="Avenir Next" w:cs="Arial"/>
          <w:color w:val="7B7B7B" w:themeColor="accent3" w:themeShade="BF"/>
          <w:sz w:val="22"/>
          <w:szCs w:val="22"/>
          <w:lang w:val="en-GB"/>
        </w:rPr>
        <w:t>econdary</w:t>
      </w:r>
      <w:r w:rsidRPr="00041D2C">
        <w:rPr>
          <w:rFonts w:ascii="Avenir Next" w:hAnsi="Avenir Next" w:cs="Arial"/>
          <w:color w:val="7B7B7B" w:themeColor="accent3" w:themeShade="BF"/>
          <w:sz w:val="22"/>
          <w:szCs w:val="22"/>
          <w:lang w:val="en-GB"/>
        </w:rPr>
        <w:t xml:space="preserve"> proceedings, </w:t>
      </w:r>
      <w:r w:rsidR="00047ECF" w:rsidRPr="00041D2C">
        <w:rPr>
          <w:rFonts w:ascii="Avenir Next" w:hAnsi="Avenir Next" w:cs="Arial"/>
          <w:color w:val="7B7B7B" w:themeColor="accent3" w:themeShade="BF"/>
          <w:sz w:val="22"/>
          <w:szCs w:val="22"/>
          <w:lang w:val="en-GB"/>
        </w:rPr>
        <w:t xml:space="preserve">and </w:t>
      </w:r>
      <w:r w:rsidRPr="00041D2C">
        <w:rPr>
          <w:rFonts w:ascii="Avenir Next" w:hAnsi="Avenir Next" w:cs="Arial"/>
          <w:color w:val="7B7B7B" w:themeColor="accent3" w:themeShade="BF"/>
          <w:sz w:val="22"/>
          <w:szCs w:val="22"/>
          <w:lang w:val="en-GB"/>
        </w:rPr>
        <w:t>the lack of clarity about whether liquidators in main proceedings can give undertaking</w:t>
      </w:r>
      <w:r w:rsidR="009B1DEF" w:rsidRPr="00041D2C">
        <w:rPr>
          <w:rFonts w:ascii="Avenir Next" w:hAnsi="Avenir Next" w:cs="Arial"/>
          <w:color w:val="7B7B7B" w:themeColor="accent3" w:themeShade="BF"/>
          <w:sz w:val="22"/>
          <w:szCs w:val="22"/>
          <w:lang w:val="en-GB"/>
        </w:rPr>
        <w:t>s</w:t>
      </w:r>
      <w:r w:rsidRPr="00041D2C">
        <w:rPr>
          <w:rFonts w:ascii="Avenir Next" w:hAnsi="Avenir Next" w:cs="Arial"/>
          <w:color w:val="7B7B7B" w:themeColor="accent3" w:themeShade="BF"/>
          <w:sz w:val="22"/>
          <w:szCs w:val="22"/>
          <w:lang w:val="en-GB"/>
        </w:rPr>
        <w:t xml:space="preserve"> to creditors in potential secondary proceeding jurisdictions (</w:t>
      </w:r>
      <w:r w:rsidR="009B1DEF" w:rsidRPr="00041D2C">
        <w:rPr>
          <w:rFonts w:ascii="Avenir Next" w:hAnsi="Avenir Next" w:cs="Arial"/>
          <w:color w:val="7B7B7B" w:themeColor="accent3" w:themeShade="BF"/>
          <w:sz w:val="22"/>
          <w:szCs w:val="22"/>
          <w:lang w:val="en-GB"/>
        </w:rPr>
        <w:t xml:space="preserve">a point </w:t>
      </w:r>
      <w:r w:rsidRPr="00041D2C">
        <w:rPr>
          <w:rFonts w:ascii="Avenir Next" w:hAnsi="Avenir Next" w:cs="Arial"/>
          <w:color w:val="7B7B7B" w:themeColor="accent3" w:themeShade="BF"/>
          <w:sz w:val="22"/>
          <w:szCs w:val="22"/>
          <w:lang w:val="en-GB"/>
        </w:rPr>
        <w:t xml:space="preserve">which is now clearer in EIR </w:t>
      </w:r>
      <w:r w:rsidR="001C7FCC" w:rsidRPr="00041D2C">
        <w:rPr>
          <w:rFonts w:ascii="Avenir Next" w:hAnsi="Avenir Next" w:cs="Arial"/>
          <w:color w:val="7B7B7B" w:themeColor="accent3" w:themeShade="BF"/>
          <w:sz w:val="22"/>
          <w:szCs w:val="22"/>
          <w:lang w:val="en-GB"/>
        </w:rPr>
        <w:t>Recast</w:t>
      </w:r>
      <w:r w:rsidRPr="00041D2C">
        <w:rPr>
          <w:rFonts w:ascii="Avenir Next" w:hAnsi="Avenir Next" w:cs="Arial"/>
          <w:color w:val="7B7B7B" w:themeColor="accent3" w:themeShade="BF"/>
          <w:sz w:val="22"/>
          <w:szCs w:val="22"/>
          <w:lang w:val="en-GB"/>
        </w:rPr>
        <w:t>)</w:t>
      </w:r>
      <w:r w:rsidR="00D06421" w:rsidRPr="00041D2C">
        <w:rPr>
          <w:rFonts w:ascii="Avenir Next" w:hAnsi="Avenir Next" w:cs="Arial"/>
          <w:color w:val="7B7B7B" w:themeColor="accent3" w:themeShade="BF"/>
          <w:sz w:val="22"/>
          <w:szCs w:val="22"/>
          <w:lang w:val="en-GB"/>
        </w:rPr>
        <w:t>.</w:t>
      </w:r>
    </w:p>
    <w:p w14:paraId="0624596D" w14:textId="3C215281" w:rsidR="00D06421" w:rsidRPr="00041D2C" w:rsidRDefault="00D06421" w:rsidP="00756C71">
      <w:pPr>
        <w:pStyle w:val="ListParagraph"/>
        <w:numPr>
          <w:ilvl w:val="0"/>
          <w:numId w:val="37"/>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The lack of rules dealing with cross-border, enterprise group insolvencies</w:t>
      </w:r>
      <w:r w:rsidR="00921C49" w:rsidRPr="00041D2C">
        <w:rPr>
          <w:rFonts w:ascii="Avenir Next" w:hAnsi="Avenir Next" w:cs="Arial"/>
          <w:color w:val="7B7B7B" w:themeColor="accent3" w:themeShade="BF"/>
          <w:sz w:val="22"/>
          <w:szCs w:val="22"/>
          <w:lang w:val="en-GB"/>
        </w:rPr>
        <w:t xml:space="preserve"> (now dealt with by an entire Chapter in EIR </w:t>
      </w:r>
      <w:r w:rsidR="001C7FCC" w:rsidRPr="00041D2C">
        <w:rPr>
          <w:rFonts w:ascii="Avenir Next" w:hAnsi="Avenir Next" w:cs="Arial"/>
          <w:color w:val="7B7B7B" w:themeColor="accent3" w:themeShade="BF"/>
          <w:sz w:val="22"/>
          <w:szCs w:val="22"/>
          <w:lang w:val="en-GB"/>
        </w:rPr>
        <w:t>Recast</w:t>
      </w:r>
      <w:r w:rsidR="00921C49" w:rsidRPr="00041D2C">
        <w:rPr>
          <w:rFonts w:ascii="Avenir Next" w:hAnsi="Avenir Next" w:cs="Arial"/>
          <w:color w:val="7B7B7B" w:themeColor="accent3" w:themeShade="BF"/>
          <w:sz w:val="22"/>
          <w:szCs w:val="22"/>
          <w:lang w:val="en-GB"/>
        </w:rPr>
        <w:t xml:space="preserve"> dedicated to group insolvencies).</w:t>
      </w:r>
    </w:p>
    <w:p w14:paraId="004FE9E9" w14:textId="20280188" w:rsidR="00D06421" w:rsidRPr="00041D2C" w:rsidRDefault="00D06421" w:rsidP="000467E8">
      <w:pPr>
        <w:pStyle w:val="ListParagraph"/>
        <w:numPr>
          <w:ilvl w:val="0"/>
          <w:numId w:val="37"/>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Three quarters of respondents to the public consultation on EIR 2000 considered that the absence of mandatory publication and registration of the decision opening insolvency </w:t>
      </w:r>
      <w:r w:rsidR="009B1DEF" w:rsidRPr="00041D2C">
        <w:rPr>
          <w:rFonts w:ascii="Avenir Next" w:hAnsi="Avenir Next" w:cs="Arial"/>
          <w:color w:val="7B7B7B" w:themeColor="accent3" w:themeShade="BF"/>
          <w:sz w:val="22"/>
          <w:szCs w:val="22"/>
          <w:lang w:val="en-GB"/>
        </w:rPr>
        <w:t xml:space="preserve">proceedings </w:t>
      </w:r>
      <w:r w:rsidRPr="00041D2C">
        <w:rPr>
          <w:rFonts w:ascii="Avenir Next" w:hAnsi="Avenir Next" w:cs="Arial"/>
          <w:color w:val="7B7B7B" w:themeColor="accent3" w:themeShade="BF"/>
          <w:sz w:val="22"/>
          <w:szCs w:val="22"/>
          <w:lang w:val="en-GB"/>
        </w:rPr>
        <w:t>was a problem.</w:t>
      </w:r>
    </w:p>
    <w:p w14:paraId="0FECBCE0" w14:textId="77777777" w:rsidR="00173DD5" w:rsidRPr="00041D2C" w:rsidRDefault="00173DD5" w:rsidP="00173DD5">
      <w:pPr>
        <w:jc w:val="both"/>
        <w:rPr>
          <w:rFonts w:ascii="Avenir Next" w:hAnsi="Avenir Next" w:cs="Arial"/>
          <w:color w:val="7B7B7B" w:themeColor="accent3" w:themeShade="BF"/>
          <w:sz w:val="22"/>
          <w:szCs w:val="22"/>
          <w:lang w:val="en-GB"/>
        </w:rPr>
      </w:pPr>
    </w:p>
    <w:p w14:paraId="0AC7F0F4" w14:textId="75FC6B6B" w:rsidR="00173DD5" w:rsidRPr="00041D2C" w:rsidRDefault="00173DD5" w:rsidP="00173DD5">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The Report </w:t>
      </w:r>
      <w:r w:rsidR="008C6D0F" w:rsidRPr="00041D2C">
        <w:rPr>
          <w:rFonts w:ascii="Avenir Next" w:hAnsi="Avenir Next" w:cs="Arial"/>
          <w:color w:val="7B7B7B" w:themeColor="accent3" w:themeShade="BF"/>
          <w:sz w:val="22"/>
          <w:szCs w:val="22"/>
          <w:lang w:val="en-GB"/>
        </w:rPr>
        <w:t xml:space="preserve">also </w:t>
      </w:r>
      <w:r w:rsidRPr="00041D2C">
        <w:rPr>
          <w:rFonts w:ascii="Avenir Next" w:hAnsi="Avenir Next" w:cs="Arial"/>
          <w:color w:val="7B7B7B" w:themeColor="accent3" w:themeShade="BF"/>
          <w:sz w:val="22"/>
          <w:szCs w:val="22"/>
          <w:lang w:val="en-GB"/>
        </w:rPr>
        <w:t>acknowledged some issues surrounding the interaction with proceedings in non-</w:t>
      </w:r>
      <w:r w:rsidR="009B1DEF" w:rsidRPr="00041D2C">
        <w:rPr>
          <w:rFonts w:ascii="Avenir Next" w:hAnsi="Avenir Next" w:cs="Arial"/>
          <w:color w:val="7B7B7B" w:themeColor="accent3" w:themeShade="BF"/>
          <w:sz w:val="22"/>
          <w:szCs w:val="22"/>
          <w:lang w:val="en-GB"/>
        </w:rPr>
        <w:t>Member</w:t>
      </w:r>
      <w:r w:rsidRPr="00041D2C">
        <w:rPr>
          <w:rFonts w:ascii="Avenir Next" w:hAnsi="Avenir Next" w:cs="Arial"/>
          <w:color w:val="7B7B7B" w:themeColor="accent3" w:themeShade="BF"/>
          <w:sz w:val="22"/>
          <w:szCs w:val="22"/>
          <w:lang w:val="en-GB"/>
        </w:rPr>
        <w:t xml:space="preserve"> States (such as the non-recognition of EU insolvency judgments) but noted that this could not be solved by an EU instrument – only by international, bilateral </w:t>
      </w:r>
      <w:r w:rsidR="00013544" w:rsidRPr="00041D2C">
        <w:rPr>
          <w:rFonts w:ascii="Avenir Next" w:hAnsi="Avenir Next" w:cs="Arial"/>
          <w:color w:val="7B7B7B" w:themeColor="accent3" w:themeShade="BF"/>
          <w:sz w:val="22"/>
          <w:szCs w:val="22"/>
          <w:lang w:val="en-GB"/>
        </w:rPr>
        <w:t>instruments</w:t>
      </w:r>
      <w:r w:rsidRPr="00041D2C">
        <w:rPr>
          <w:rFonts w:ascii="Avenir Next" w:hAnsi="Avenir Next" w:cs="Arial"/>
          <w:color w:val="7B7B7B" w:themeColor="accent3" w:themeShade="BF"/>
          <w:sz w:val="22"/>
          <w:szCs w:val="22"/>
          <w:lang w:val="en-GB"/>
        </w:rPr>
        <w:t>.</w:t>
      </w:r>
    </w:p>
    <w:p w14:paraId="4F310034" w14:textId="77777777" w:rsidR="00B03286" w:rsidRPr="00041D2C" w:rsidRDefault="00B03286" w:rsidP="000A3278">
      <w:pPr>
        <w:jc w:val="both"/>
        <w:rPr>
          <w:rFonts w:ascii="Avenir Next" w:hAnsi="Avenir Next" w:cs="Arial"/>
          <w:color w:val="7B7B7B" w:themeColor="accent3" w:themeShade="BF"/>
          <w:sz w:val="22"/>
          <w:szCs w:val="22"/>
          <w:lang w:val="en-GB"/>
        </w:rPr>
      </w:pPr>
    </w:p>
    <w:p w14:paraId="755D6AFF" w14:textId="524CD220" w:rsidR="00C550C8" w:rsidRPr="00041D2C" w:rsidRDefault="003071A4" w:rsidP="000A3278">
      <w:pPr>
        <w:jc w:val="both"/>
        <w:rPr>
          <w:rFonts w:ascii="Avenir Next Demi Bold" w:hAnsi="Avenir Next Demi Bold" w:cs="Arial"/>
          <w:b/>
          <w:bCs/>
          <w:sz w:val="22"/>
          <w:szCs w:val="22"/>
          <w:lang w:val="en-GB"/>
        </w:rPr>
      </w:pPr>
      <w:r w:rsidRPr="00041D2C">
        <w:rPr>
          <w:rFonts w:ascii="Avenir Next" w:hAnsi="Avenir Next" w:cs="Arial"/>
          <w:color w:val="7B7B7B" w:themeColor="accent3" w:themeShade="BF"/>
          <w:sz w:val="22"/>
          <w:szCs w:val="22"/>
          <w:lang w:val="en-GB"/>
        </w:rPr>
        <w:t xml:space="preserve"> </w:t>
      </w:r>
      <w:r w:rsidR="00C550C8" w:rsidRPr="00041D2C">
        <w:rPr>
          <w:rFonts w:ascii="Avenir Next Demi Bold" w:hAnsi="Avenir Next Demi Bold" w:cs="Arial"/>
          <w:b/>
          <w:bCs/>
          <w:sz w:val="22"/>
          <w:szCs w:val="22"/>
          <w:lang w:val="en-GB"/>
        </w:rPr>
        <w:t xml:space="preserve">Question </w:t>
      </w:r>
      <w:r w:rsidR="00544127" w:rsidRPr="00041D2C">
        <w:rPr>
          <w:rFonts w:ascii="Avenir Next Demi Bold" w:hAnsi="Avenir Next Demi Bold" w:cs="Arial"/>
          <w:b/>
          <w:bCs/>
          <w:sz w:val="22"/>
          <w:szCs w:val="22"/>
          <w:lang w:val="en-GB"/>
        </w:rPr>
        <w:t>3.2</w:t>
      </w:r>
      <w:r w:rsidR="00C550C8" w:rsidRPr="00041D2C">
        <w:rPr>
          <w:rFonts w:ascii="Avenir Next Demi Bold" w:hAnsi="Avenir Next Demi Bold" w:cs="Arial"/>
          <w:b/>
          <w:bCs/>
          <w:sz w:val="22"/>
          <w:szCs w:val="22"/>
          <w:lang w:val="en-GB"/>
        </w:rPr>
        <w:t xml:space="preserve"> [</w:t>
      </w:r>
      <w:r w:rsidR="006A2646" w:rsidRPr="00041D2C">
        <w:rPr>
          <w:rFonts w:ascii="Avenir Next Demi Bold" w:hAnsi="Avenir Next Demi Bold" w:cs="Arial"/>
          <w:b/>
          <w:bCs/>
          <w:sz w:val="22"/>
          <w:szCs w:val="22"/>
          <w:lang w:val="en-GB"/>
        </w:rPr>
        <w:t>m</w:t>
      </w:r>
      <w:r w:rsidR="00C550C8" w:rsidRPr="00041D2C">
        <w:rPr>
          <w:rFonts w:ascii="Avenir Next Demi Bold" w:hAnsi="Avenir Next Demi Bold" w:cs="Arial"/>
          <w:b/>
          <w:bCs/>
          <w:sz w:val="22"/>
          <w:szCs w:val="22"/>
          <w:lang w:val="en-GB"/>
        </w:rPr>
        <w:t xml:space="preserve">aximum </w:t>
      </w:r>
      <w:r w:rsidR="00980E61" w:rsidRPr="00041D2C">
        <w:rPr>
          <w:rFonts w:ascii="Avenir Next Demi Bold" w:hAnsi="Avenir Next Demi Bold" w:cs="Arial"/>
          <w:b/>
          <w:bCs/>
          <w:sz w:val="22"/>
          <w:szCs w:val="22"/>
          <w:lang w:val="en-GB"/>
        </w:rPr>
        <w:t>5</w:t>
      </w:r>
      <w:r w:rsidR="00C550C8" w:rsidRPr="00041D2C">
        <w:rPr>
          <w:rFonts w:ascii="Avenir Next Demi Bold" w:hAnsi="Avenir Next Demi Bold" w:cs="Arial"/>
          <w:b/>
          <w:bCs/>
          <w:sz w:val="22"/>
          <w:szCs w:val="22"/>
          <w:lang w:val="en-GB"/>
        </w:rPr>
        <w:t xml:space="preserve"> marks]</w:t>
      </w:r>
    </w:p>
    <w:p w14:paraId="49F0073B" w14:textId="77777777" w:rsidR="00C550C8" w:rsidRPr="00041D2C" w:rsidRDefault="00C550C8" w:rsidP="002A37BB">
      <w:pPr>
        <w:ind w:left="720" w:hanging="720"/>
        <w:jc w:val="both"/>
        <w:rPr>
          <w:rFonts w:ascii="Avenir Next" w:hAnsi="Avenir Next" w:cs="Arial"/>
          <w:sz w:val="22"/>
          <w:szCs w:val="22"/>
          <w:lang w:val="en-GB"/>
        </w:rPr>
      </w:pPr>
    </w:p>
    <w:p w14:paraId="20889CDD" w14:textId="720BFEB2" w:rsidR="008115C6" w:rsidRPr="00041D2C" w:rsidRDefault="008115C6" w:rsidP="008115C6">
      <w:pPr>
        <w:jc w:val="both"/>
        <w:rPr>
          <w:rFonts w:ascii="Avenir Next" w:hAnsi="Avenir Next" w:cs="Arial"/>
          <w:sz w:val="22"/>
          <w:szCs w:val="22"/>
          <w:lang w:val="en-GB"/>
        </w:rPr>
      </w:pPr>
      <w:r w:rsidRPr="00041D2C">
        <w:rPr>
          <w:rFonts w:ascii="Avenir Next" w:hAnsi="Avenir Next" w:cs="Arial"/>
          <w:sz w:val="22"/>
          <w:szCs w:val="22"/>
          <w:lang w:val="en-GB"/>
        </w:rPr>
        <w:t xml:space="preserve">The concept of the “centre of main interest” has been both praised and criticised by EU institutions, academics, and practitioners. List </w:t>
      </w:r>
      <w:r w:rsidRPr="00041D2C">
        <w:rPr>
          <w:rFonts w:ascii="Avenir Next Demi Bold" w:hAnsi="Avenir Next Demi Bold" w:cs="Arial"/>
          <w:b/>
          <w:bCs/>
          <w:sz w:val="22"/>
          <w:szCs w:val="22"/>
          <w:u w:val="single"/>
          <w:lang w:val="en-GB"/>
        </w:rPr>
        <w:t>two (2) praises and</w:t>
      </w:r>
      <w:r w:rsidR="00F3562C" w:rsidRPr="00041D2C">
        <w:rPr>
          <w:rFonts w:ascii="Avenir Next Demi Bold" w:hAnsi="Avenir Next Demi Bold" w:cs="Arial"/>
          <w:b/>
          <w:bCs/>
          <w:sz w:val="22"/>
          <w:szCs w:val="22"/>
          <w:u w:val="single"/>
          <w:lang w:val="en-GB"/>
        </w:rPr>
        <w:t xml:space="preserve"> </w:t>
      </w:r>
      <w:r w:rsidRPr="00041D2C">
        <w:rPr>
          <w:rFonts w:ascii="Avenir Next Demi Bold" w:hAnsi="Avenir Next Demi Bold" w:cs="Arial"/>
          <w:b/>
          <w:bCs/>
          <w:sz w:val="22"/>
          <w:szCs w:val="22"/>
          <w:u w:val="single"/>
          <w:lang w:val="en-GB"/>
        </w:rPr>
        <w:t>/</w:t>
      </w:r>
      <w:r w:rsidR="00F3562C" w:rsidRPr="00041D2C">
        <w:rPr>
          <w:rFonts w:ascii="Avenir Next Demi Bold" w:hAnsi="Avenir Next Demi Bold" w:cs="Arial"/>
          <w:b/>
          <w:bCs/>
          <w:sz w:val="22"/>
          <w:szCs w:val="22"/>
          <w:u w:val="single"/>
          <w:lang w:val="en-GB"/>
        </w:rPr>
        <w:t xml:space="preserve"> </w:t>
      </w:r>
      <w:r w:rsidRPr="00041D2C">
        <w:rPr>
          <w:rFonts w:ascii="Avenir Next Demi Bold" w:hAnsi="Avenir Next Demi Bold"/>
          <w:b/>
          <w:sz w:val="22"/>
          <w:u w:val="single"/>
          <w:lang w:val="en-GB"/>
        </w:rPr>
        <w:t>or shortcomings</w:t>
      </w:r>
      <w:r w:rsidRPr="00041D2C">
        <w:rPr>
          <w:rFonts w:ascii="Avenir Next Demi Bold" w:hAnsi="Avenir Next Demi Bold"/>
          <w:b/>
          <w:sz w:val="22"/>
          <w:lang w:val="en-GB"/>
        </w:rPr>
        <w:t xml:space="preserve"> </w:t>
      </w:r>
      <w:r w:rsidRPr="00041D2C">
        <w:rPr>
          <w:rFonts w:ascii="Avenir Next" w:hAnsi="Avenir Next" w:cs="Arial"/>
          <w:sz w:val="22"/>
          <w:szCs w:val="22"/>
          <w:lang w:val="en-GB"/>
        </w:rPr>
        <w:t>and explain why they are considered praises</w:t>
      </w:r>
      <w:r w:rsidR="00F3562C" w:rsidRPr="00041D2C">
        <w:rPr>
          <w:rFonts w:ascii="Avenir Next" w:hAnsi="Avenir Next" w:cs="Arial"/>
          <w:sz w:val="22"/>
          <w:szCs w:val="22"/>
          <w:lang w:val="en-GB"/>
        </w:rPr>
        <w:t xml:space="preserve"> </w:t>
      </w:r>
      <w:r w:rsidRPr="00041D2C">
        <w:rPr>
          <w:rFonts w:ascii="Avenir Next" w:hAnsi="Avenir Next" w:cs="Arial"/>
          <w:sz w:val="22"/>
          <w:szCs w:val="22"/>
          <w:lang w:val="en-GB"/>
        </w:rPr>
        <w:t>/</w:t>
      </w:r>
      <w:r w:rsidR="00F3562C" w:rsidRPr="00041D2C">
        <w:rPr>
          <w:rFonts w:ascii="Avenir Next" w:hAnsi="Avenir Next" w:cs="Arial"/>
          <w:sz w:val="22"/>
          <w:szCs w:val="22"/>
          <w:lang w:val="en-GB"/>
        </w:rPr>
        <w:t xml:space="preserve"> </w:t>
      </w:r>
      <w:r w:rsidRPr="00041D2C">
        <w:rPr>
          <w:rFonts w:ascii="Avenir Next" w:hAnsi="Avenir Next" w:cs="Arial"/>
          <w:sz w:val="22"/>
          <w:szCs w:val="22"/>
          <w:lang w:val="en-GB"/>
        </w:rPr>
        <w:t>shortcomings.</w:t>
      </w:r>
    </w:p>
    <w:p w14:paraId="55B2B266" w14:textId="77777777" w:rsidR="003D4A79" w:rsidRPr="00041D2C" w:rsidRDefault="003D4A79" w:rsidP="003D4A79">
      <w:pPr>
        <w:jc w:val="both"/>
        <w:rPr>
          <w:rFonts w:ascii="Avenir Next" w:hAnsi="Avenir Next" w:cs="Arial"/>
          <w:sz w:val="22"/>
          <w:szCs w:val="22"/>
          <w:lang w:val="en-GB"/>
        </w:rPr>
      </w:pPr>
    </w:p>
    <w:p w14:paraId="510CCBE4" w14:textId="79A64E21" w:rsidR="001E6D21" w:rsidRPr="00041D2C" w:rsidRDefault="001E6D21" w:rsidP="001E6D21">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One of the benefits to the COMI approach is that it means main insolvency proceedings take place in the Member State where the debtor has a genuine connection, rather than relying on a (potentially) arbitrary choice of incorporation. This should, in theory, make it easier for creditors to ascertain the risks in lending (as they are better able to gauge where main insolvency proceedings would take place)</w:t>
      </w:r>
      <w:r w:rsidR="00445B87" w:rsidRPr="00041D2C">
        <w:rPr>
          <w:rFonts w:ascii="Avenir Next" w:hAnsi="Avenir Next" w:cs="Arial"/>
          <w:color w:val="7B7B7B" w:themeColor="accent3" w:themeShade="BF"/>
          <w:sz w:val="22"/>
          <w:szCs w:val="22"/>
          <w:lang w:val="en-GB"/>
        </w:rPr>
        <w:t>.</w:t>
      </w:r>
      <w:r w:rsidRPr="00041D2C">
        <w:rPr>
          <w:rFonts w:ascii="Avenir Next" w:hAnsi="Avenir Next" w:cs="Arial"/>
          <w:color w:val="7B7B7B" w:themeColor="accent3" w:themeShade="BF"/>
          <w:sz w:val="22"/>
          <w:szCs w:val="22"/>
          <w:lang w:val="en-GB"/>
        </w:rPr>
        <w:t xml:space="preserve"> </w:t>
      </w:r>
      <w:r w:rsidR="00445B87" w:rsidRPr="00041D2C">
        <w:rPr>
          <w:rFonts w:ascii="Avenir Next" w:hAnsi="Avenir Next" w:cs="Arial"/>
          <w:color w:val="7B7B7B" w:themeColor="accent3" w:themeShade="BF"/>
          <w:sz w:val="22"/>
          <w:szCs w:val="22"/>
          <w:lang w:val="en-GB"/>
        </w:rPr>
        <w:t>It</w:t>
      </w:r>
      <w:r w:rsidRPr="00041D2C">
        <w:rPr>
          <w:rFonts w:ascii="Avenir Next" w:hAnsi="Avenir Next" w:cs="Arial"/>
          <w:color w:val="7B7B7B" w:themeColor="accent3" w:themeShade="BF"/>
          <w:sz w:val="22"/>
          <w:szCs w:val="22"/>
          <w:lang w:val="en-GB"/>
        </w:rPr>
        <w:t xml:space="preserve"> is also a benefit to weaker creditors, who may not be sophisticated users of legal services. For example, employees in particular, are more likely to reside where the debtor has its COMI, and so it will be easier for them to participate in main insolvency proceedings in their own jurisdiction (</w:t>
      </w:r>
      <w:r w:rsidR="00445B87" w:rsidRPr="00041D2C">
        <w:rPr>
          <w:rFonts w:ascii="Avenir Next" w:hAnsi="Avenir Next" w:cs="Arial"/>
          <w:color w:val="7B7B7B" w:themeColor="accent3" w:themeShade="BF"/>
          <w:sz w:val="22"/>
          <w:szCs w:val="22"/>
          <w:lang w:val="en-GB"/>
        </w:rPr>
        <w:t>due to greater</w:t>
      </w:r>
      <w:r w:rsidRPr="00041D2C">
        <w:rPr>
          <w:rFonts w:ascii="Avenir Next" w:hAnsi="Avenir Next" w:cs="Arial"/>
          <w:color w:val="7B7B7B" w:themeColor="accent3" w:themeShade="BF"/>
          <w:sz w:val="22"/>
          <w:szCs w:val="22"/>
          <w:lang w:val="en-GB"/>
        </w:rPr>
        <w:t xml:space="preserve"> familiarity with the legal system and </w:t>
      </w:r>
      <w:r w:rsidR="00445B87" w:rsidRPr="00041D2C">
        <w:rPr>
          <w:rFonts w:ascii="Avenir Next" w:hAnsi="Avenir Next" w:cs="Arial"/>
          <w:color w:val="7B7B7B" w:themeColor="accent3" w:themeShade="BF"/>
          <w:sz w:val="22"/>
          <w:szCs w:val="22"/>
          <w:lang w:val="en-GB"/>
        </w:rPr>
        <w:t xml:space="preserve">a lack of </w:t>
      </w:r>
      <w:r w:rsidRPr="00041D2C">
        <w:rPr>
          <w:rFonts w:ascii="Avenir Next" w:hAnsi="Avenir Next" w:cs="Arial"/>
          <w:color w:val="7B7B7B" w:themeColor="accent3" w:themeShade="BF"/>
          <w:sz w:val="22"/>
          <w:szCs w:val="22"/>
          <w:lang w:val="en-GB"/>
        </w:rPr>
        <w:t>language barriers).</w:t>
      </w:r>
    </w:p>
    <w:p w14:paraId="742F873B" w14:textId="77777777" w:rsidR="001E6D21" w:rsidRPr="00041D2C" w:rsidRDefault="001E6D21" w:rsidP="001E6D21">
      <w:pPr>
        <w:jc w:val="both"/>
        <w:rPr>
          <w:rFonts w:ascii="Avenir Next" w:hAnsi="Avenir Next" w:cs="Arial"/>
          <w:color w:val="7B7B7B" w:themeColor="accent3" w:themeShade="BF"/>
          <w:sz w:val="22"/>
          <w:szCs w:val="22"/>
          <w:lang w:val="en-GB"/>
        </w:rPr>
      </w:pPr>
    </w:p>
    <w:p w14:paraId="36D271CB" w14:textId="0C2AC7C9" w:rsidR="001E6D21" w:rsidRPr="00041D2C" w:rsidRDefault="001E6D21" w:rsidP="001E6D21">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On the other hand, the concept of COMI (particularly before the EIR </w:t>
      </w:r>
      <w:r w:rsidR="001C7FCC" w:rsidRPr="00041D2C">
        <w:rPr>
          <w:rFonts w:ascii="Avenir Next" w:hAnsi="Avenir Next" w:cs="Arial"/>
          <w:color w:val="7B7B7B" w:themeColor="accent3" w:themeShade="BF"/>
          <w:sz w:val="22"/>
          <w:szCs w:val="22"/>
          <w:lang w:val="en-GB"/>
        </w:rPr>
        <w:t>Recast</w:t>
      </w:r>
      <w:r w:rsidRPr="00041D2C">
        <w:rPr>
          <w:rFonts w:ascii="Avenir Next" w:hAnsi="Avenir Next" w:cs="Arial"/>
          <w:color w:val="7B7B7B" w:themeColor="accent3" w:themeShade="BF"/>
          <w:sz w:val="22"/>
          <w:szCs w:val="22"/>
          <w:lang w:val="en-GB"/>
        </w:rPr>
        <w:t xml:space="preserve">) was criticised as being vague and, accordingly, open to manipulation. Whilst the EIR </w:t>
      </w:r>
      <w:r w:rsidR="001C7FCC" w:rsidRPr="00041D2C">
        <w:rPr>
          <w:rFonts w:ascii="Avenir Next" w:hAnsi="Avenir Next" w:cs="Arial"/>
          <w:color w:val="7B7B7B" w:themeColor="accent3" w:themeShade="BF"/>
          <w:sz w:val="22"/>
          <w:szCs w:val="22"/>
          <w:lang w:val="en-GB"/>
        </w:rPr>
        <w:t>Recast</w:t>
      </w:r>
      <w:r w:rsidRPr="00041D2C">
        <w:rPr>
          <w:rFonts w:ascii="Avenir Next" w:hAnsi="Avenir Next" w:cs="Arial"/>
          <w:color w:val="7B7B7B" w:themeColor="accent3" w:themeShade="BF"/>
          <w:sz w:val="22"/>
          <w:szCs w:val="22"/>
          <w:lang w:val="en-GB"/>
        </w:rPr>
        <w:t xml:space="preserve"> addresses this to a degree by introducing the "suspect" period (where the </w:t>
      </w:r>
      <w:r w:rsidR="006C6067" w:rsidRPr="00041D2C">
        <w:rPr>
          <w:rFonts w:ascii="Avenir Next" w:hAnsi="Avenir Next" w:cs="Arial"/>
          <w:color w:val="7B7B7B" w:themeColor="accent3" w:themeShade="BF"/>
          <w:sz w:val="22"/>
          <w:szCs w:val="22"/>
          <w:lang w:val="en-GB"/>
        </w:rPr>
        <w:t>registered office</w:t>
      </w:r>
      <w:r w:rsidRPr="00041D2C">
        <w:rPr>
          <w:rFonts w:ascii="Avenir Next" w:hAnsi="Avenir Next" w:cs="Arial"/>
          <w:color w:val="7B7B7B" w:themeColor="accent3" w:themeShade="BF"/>
          <w:sz w:val="22"/>
          <w:szCs w:val="22"/>
          <w:lang w:val="en-GB"/>
        </w:rPr>
        <w:t xml:space="preserve"> presumption does not apply where the </w:t>
      </w:r>
      <w:r w:rsidR="006C6067" w:rsidRPr="00041D2C">
        <w:rPr>
          <w:rFonts w:ascii="Avenir Next" w:hAnsi="Avenir Next" w:cs="Arial"/>
          <w:color w:val="7B7B7B" w:themeColor="accent3" w:themeShade="BF"/>
          <w:sz w:val="22"/>
          <w:szCs w:val="22"/>
          <w:lang w:val="en-GB"/>
        </w:rPr>
        <w:t>corporate debtor's registered office</w:t>
      </w:r>
      <w:r w:rsidRPr="00041D2C">
        <w:rPr>
          <w:rFonts w:ascii="Avenir Next" w:hAnsi="Avenir Next" w:cs="Arial"/>
          <w:color w:val="7B7B7B" w:themeColor="accent3" w:themeShade="BF"/>
          <w:sz w:val="22"/>
          <w:szCs w:val="22"/>
          <w:lang w:val="en-GB"/>
        </w:rPr>
        <w:t xml:space="preserve"> has moved to another Member State within the three months </w:t>
      </w:r>
      <w:r w:rsidRPr="00041D2C">
        <w:rPr>
          <w:rFonts w:ascii="Avenir Next" w:hAnsi="Avenir Next" w:cs="Arial"/>
          <w:color w:val="7B7B7B" w:themeColor="accent3" w:themeShade="BF"/>
          <w:sz w:val="22"/>
          <w:szCs w:val="22"/>
          <w:lang w:val="en-GB"/>
        </w:rPr>
        <w:lastRenderedPageBreak/>
        <w:t xml:space="preserve">prior to the request for opening of insolvency proceedings) it has not completely alleviated concerns about forum shopping and the uncertainty this brings to creditors. </w:t>
      </w:r>
      <w:r w:rsidR="00673021" w:rsidRPr="00041D2C">
        <w:rPr>
          <w:rFonts w:ascii="Avenir Next" w:hAnsi="Avenir Next" w:cs="Arial"/>
          <w:color w:val="7B7B7B" w:themeColor="accent3" w:themeShade="BF"/>
          <w:sz w:val="22"/>
          <w:szCs w:val="22"/>
          <w:lang w:val="en-GB"/>
        </w:rPr>
        <w:t xml:space="preserve">Despite the fact that other jurisdictions (such as the New York Courts in </w:t>
      </w:r>
      <w:r w:rsidR="00673021" w:rsidRPr="00041D2C">
        <w:rPr>
          <w:rFonts w:ascii="Avenir Next" w:hAnsi="Avenir Next" w:cs="Arial"/>
          <w:i/>
          <w:iCs/>
          <w:color w:val="7B7B7B" w:themeColor="accent3" w:themeShade="BF"/>
          <w:sz w:val="22"/>
          <w:szCs w:val="22"/>
          <w:lang w:val="en-GB"/>
        </w:rPr>
        <w:t xml:space="preserve">In re Ocean Rig UDW Inc, </w:t>
      </w:r>
      <w:r w:rsidR="00673021" w:rsidRPr="00041D2C">
        <w:rPr>
          <w:rFonts w:ascii="Avenir Next" w:hAnsi="Avenir Next" w:cs="Arial"/>
          <w:color w:val="7B7B7B" w:themeColor="accent3" w:themeShade="BF"/>
          <w:sz w:val="22"/>
          <w:szCs w:val="22"/>
          <w:lang w:val="en-GB"/>
        </w:rPr>
        <w:t xml:space="preserve">570 B.R. 687 (Bankr SDNY 2017)) have acknowledged that forum shopping can be done in good faith, within the EU, the public perception of such conduct </w:t>
      </w:r>
      <w:r w:rsidR="00FA556C">
        <w:rPr>
          <w:rFonts w:ascii="Avenir Next" w:hAnsi="Avenir Next" w:cs="Arial"/>
          <w:color w:val="7B7B7B" w:themeColor="accent3" w:themeShade="BF"/>
          <w:sz w:val="22"/>
          <w:szCs w:val="22"/>
          <w:lang w:val="en-GB"/>
        </w:rPr>
        <w:t>t</w:t>
      </w:r>
      <w:r w:rsidR="00673021" w:rsidRPr="00041D2C">
        <w:rPr>
          <w:rFonts w:ascii="Avenir Next" w:hAnsi="Avenir Next" w:cs="Arial"/>
          <w:color w:val="7B7B7B" w:themeColor="accent3" w:themeShade="BF"/>
          <w:sz w:val="22"/>
          <w:szCs w:val="22"/>
          <w:lang w:val="en-GB"/>
        </w:rPr>
        <w:t xml:space="preserve">ends to be negative. </w:t>
      </w:r>
    </w:p>
    <w:p w14:paraId="49D55C6D" w14:textId="77777777" w:rsidR="0028751D" w:rsidRPr="00041D2C" w:rsidRDefault="0028751D" w:rsidP="002A37BB">
      <w:pPr>
        <w:ind w:left="720" w:hanging="720"/>
        <w:jc w:val="both"/>
        <w:rPr>
          <w:rFonts w:ascii="Avenir Next" w:hAnsi="Avenir Next" w:cs="Arial"/>
          <w:color w:val="7B7B7B" w:themeColor="accent3" w:themeShade="BF"/>
          <w:sz w:val="22"/>
          <w:szCs w:val="22"/>
          <w:lang w:val="en-GB"/>
        </w:rPr>
      </w:pPr>
    </w:p>
    <w:p w14:paraId="4B3595C7" w14:textId="79D30E7A" w:rsidR="00DF75F8" w:rsidRPr="00041D2C" w:rsidRDefault="00DF75F8" w:rsidP="002A37BB">
      <w:pPr>
        <w:ind w:left="720" w:hanging="720"/>
        <w:jc w:val="both"/>
        <w:rPr>
          <w:rFonts w:ascii="Avenir Next Demi Bold" w:hAnsi="Avenir Next Demi Bold" w:cs="Arial"/>
          <w:b/>
          <w:bCs/>
          <w:sz w:val="22"/>
          <w:szCs w:val="22"/>
          <w:shd w:val="clear" w:color="auto" w:fill="FFFFFF"/>
          <w:lang w:val="en-GB"/>
        </w:rPr>
      </w:pPr>
      <w:r w:rsidRPr="00041D2C">
        <w:rPr>
          <w:rFonts w:ascii="Avenir Next Demi Bold" w:hAnsi="Avenir Next Demi Bold" w:cs="Arial"/>
          <w:b/>
          <w:bCs/>
          <w:sz w:val="22"/>
          <w:szCs w:val="22"/>
          <w:shd w:val="clear" w:color="auto" w:fill="FFFFFF"/>
          <w:lang w:val="en-GB"/>
        </w:rPr>
        <w:t xml:space="preserve">Question </w:t>
      </w:r>
      <w:r w:rsidR="00962045" w:rsidRPr="00041D2C">
        <w:rPr>
          <w:rFonts w:ascii="Avenir Next Demi Bold" w:hAnsi="Avenir Next Demi Bold" w:cs="Arial"/>
          <w:b/>
          <w:bCs/>
          <w:sz w:val="22"/>
          <w:szCs w:val="22"/>
          <w:shd w:val="clear" w:color="auto" w:fill="FFFFFF"/>
          <w:lang w:val="en-GB"/>
        </w:rPr>
        <w:t>3.</w:t>
      </w:r>
      <w:r w:rsidR="00807119" w:rsidRPr="00041D2C">
        <w:rPr>
          <w:rFonts w:ascii="Avenir Next Demi Bold" w:hAnsi="Avenir Next Demi Bold" w:cs="Arial"/>
          <w:b/>
          <w:bCs/>
          <w:sz w:val="22"/>
          <w:szCs w:val="22"/>
          <w:shd w:val="clear" w:color="auto" w:fill="FFFFFF"/>
          <w:lang w:val="en-GB"/>
        </w:rPr>
        <w:t>3</w:t>
      </w:r>
      <w:r w:rsidRPr="00041D2C">
        <w:rPr>
          <w:rFonts w:ascii="Avenir Next Demi Bold" w:hAnsi="Avenir Next Demi Bold" w:cs="Arial"/>
          <w:b/>
          <w:bCs/>
          <w:sz w:val="22"/>
          <w:szCs w:val="22"/>
          <w:shd w:val="clear" w:color="auto" w:fill="FFFFFF"/>
          <w:lang w:val="en-GB"/>
        </w:rPr>
        <w:t xml:space="preserve"> </w:t>
      </w:r>
      <w:r w:rsidRPr="00041D2C">
        <w:rPr>
          <w:rFonts w:ascii="Avenir Next Demi Bold" w:hAnsi="Avenir Next Demi Bold" w:cs="Arial"/>
          <w:b/>
          <w:bCs/>
          <w:sz w:val="22"/>
          <w:szCs w:val="22"/>
          <w:lang w:val="en-GB"/>
        </w:rPr>
        <w:t>[</w:t>
      </w:r>
      <w:r w:rsidR="006A2646" w:rsidRPr="00041D2C">
        <w:rPr>
          <w:rFonts w:ascii="Avenir Next Demi Bold" w:hAnsi="Avenir Next Demi Bold" w:cs="Arial"/>
          <w:b/>
          <w:bCs/>
          <w:sz w:val="22"/>
          <w:szCs w:val="22"/>
          <w:lang w:val="en-GB"/>
        </w:rPr>
        <w:t>m</w:t>
      </w:r>
      <w:r w:rsidRPr="00041D2C">
        <w:rPr>
          <w:rFonts w:ascii="Avenir Next Demi Bold" w:hAnsi="Avenir Next Demi Bold" w:cs="Arial"/>
          <w:b/>
          <w:bCs/>
          <w:sz w:val="22"/>
          <w:szCs w:val="22"/>
          <w:lang w:val="en-GB"/>
        </w:rPr>
        <w:t xml:space="preserve">aximum </w:t>
      </w:r>
      <w:r w:rsidR="00980E61" w:rsidRPr="00041D2C">
        <w:rPr>
          <w:rFonts w:ascii="Avenir Next Demi Bold" w:hAnsi="Avenir Next Demi Bold" w:cs="Arial"/>
          <w:b/>
          <w:bCs/>
          <w:sz w:val="22"/>
          <w:szCs w:val="22"/>
          <w:lang w:val="en-GB"/>
        </w:rPr>
        <w:t>5</w:t>
      </w:r>
      <w:r w:rsidRPr="00041D2C">
        <w:rPr>
          <w:rFonts w:ascii="Avenir Next Demi Bold" w:hAnsi="Avenir Next Demi Bold" w:cs="Arial"/>
          <w:b/>
          <w:bCs/>
          <w:sz w:val="22"/>
          <w:szCs w:val="22"/>
          <w:lang w:val="en-GB"/>
        </w:rPr>
        <w:t xml:space="preserve"> marks]</w:t>
      </w:r>
    </w:p>
    <w:p w14:paraId="14F4111F" w14:textId="77777777" w:rsidR="00DF75F8" w:rsidRPr="00041D2C" w:rsidRDefault="00DF75F8" w:rsidP="002A37BB">
      <w:pPr>
        <w:ind w:left="720" w:hanging="720"/>
        <w:jc w:val="both"/>
        <w:rPr>
          <w:rFonts w:ascii="Avenir Next" w:hAnsi="Avenir Next" w:cs="Arial"/>
          <w:sz w:val="22"/>
          <w:szCs w:val="22"/>
          <w:shd w:val="clear" w:color="auto" w:fill="FFFFFF"/>
          <w:lang w:val="en-GB"/>
        </w:rPr>
      </w:pPr>
    </w:p>
    <w:p w14:paraId="722B5381" w14:textId="554B5539" w:rsidR="00DF75F8" w:rsidRPr="00041D2C" w:rsidRDefault="003D4A79" w:rsidP="002A37BB">
      <w:pPr>
        <w:jc w:val="both"/>
        <w:rPr>
          <w:rFonts w:ascii="Avenir Next" w:hAnsi="Avenir Next" w:cs="Arial"/>
          <w:sz w:val="22"/>
          <w:szCs w:val="22"/>
          <w:lang w:val="en-GB"/>
        </w:rPr>
      </w:pPr>
      <w:r w:rsidRPr="00041D2C">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041D2C">
        <w:rPr>
          <w:rFonts w:ascii="Avenir Next" w:hAnsi="Avenir Next" w:cs="Arial"/>
          <w:sz w:val="22"/>
          <w:szCs w:val="22"/>
          <w:lang w:val="en-GB"/>
        </w:rPr>
        <w:t xml:space="preserve">the European Insolvency Regulation. List </w:t>
      </w:r>
      <w:r w:rsidR="008C385B" w:rsidRPr="00041D2C">
        <w:rPr>
          <w:rFonts w:ascii="Avenir Next Demi Bold" w:hAnsi="Avenir Next Demi Bold" w:cs="Arial"/>
          <w:b/>
          <w:bCs/>
          <w:sz w:val="22"/>
          <w:szCs w:val="22"/>
          <w:u w:val="single"/>
          <w:lang w:val="en-GB"/>
        </w:rPr>
        <w:t>two (2)</w:t>
      </w:r>
      <w:r w:rsidR="008C385B" w:rsidRPr="00041D2C">
        <w:rPr>
          <w:rFonts w:ascii="Avenir Next" w:hAnsi="Avenir Next" w:cs="Arial"/>
          <w:sz w:val="22"/>
          <w:szCs w:val="22"/>
          <w:lang w:val="en-GB"/>
        </w:rPr>
        <w:t xml:space="preserve"> ways in which the Regulation and the Directive differ.</w:t>
      </w:r>
    </w:p>
    <w:p w14:paraId="164701CB" w14:textId="77777777" w:rsidR="00445B87" w:rsidRPr="00041D2C" w:rsidRDefault="00445B87" w:rsidP="002A37BB">
      <w:pPr>
        <w:jc w:val="both"/>
        <w:rPr>
          <w:rFonts w:ascii="Avenir Next" w:hAnsi="Avenir Next" w:cs="Arial"/>
          <w:sz w:val="22"/>
          <w:szCs w:val="22"/>
          <w:lang w:val="en-GB"/>
        </w:rPr>
      </w:pPr>
    </w:p>
    <w:p w14:paraId="44E98C06" w14:textId="4BFD690C" w:rsidR="00973AA6" w:rsidRPr="00041D2C" w:rsidRDefault="00973AA6" w:rsidP="00973AA6">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The Directive harmoni</w:t>
      </w:r>
      <w:r w:rsidR="00FA556C">
        <w:rPr>
          <w:rFonts w:ascii="Avenir Next" w:hAnsi="Avenir Next" w:cs="Arial"/>
          <w:color w:val="7B7B7B" w:themeColor="accent3" w:themeShade="BF"/>
          <w:sz w:val="22"/>
          <w:szCs w:val="22"/>
          <w:lang w:val="en-GB"/>
        </w:rPr>
        <w:t>s</w:t>
      </w:r>
      <w:r w:rsidRPr="00041D2C">
        <w:rPr>
          <w:rFonts w:ascii="Avenir Next" w:hAnsi="Avenir Next" w:cs="Arial"/>
          <w:color w:val="7B7B7B" w:themeColor="accent3" w:themeShade="BF"/>
          <w:sz w:val="22"/>
          <w:szCs w:val="22"/>
          <w:lang w:val="en-GB"/>
        </w:rPr>
        <w:t>es substantive law across Member States in relation to the issues within its scope</w:t>
      </w:r>
      <w:r w:rsidR="00445B87" w:rsidRPr="00041D2C">
        <w:rPr>
          <w:rFonts w:ascii="Avenir Next" w:hAnsi="Avenir Next" w:cs="Arial"/>
          <w:color w:val="7B7B7B" w:themeColor="accent3" w:themeShade="BF"/>
          <w:sz w:val="22"/>
          <w:szCs w:val="22"/>
          <w:lang w:val="en-GB"/>
        </w:rPr>
        <w:t xml:space="preserve">, </w:t>
      </w:r>
      <w:r w:rsidRPr="00041D2C">
        <w:rPr>
          <w:rFonts w:ascii="Avenir Next" w:hAnsi="Avenir Next" w:cs="Arial"/>
          <w:color w:val="7B7B7B" w:themeColor="accent3" w:themeShade="BF"/>
          <w:sz w:val="22"/>
          <w:szCs w:val="22"/>
          <w:lang w:val="en-GB"/>
        </w:rPr>
        <w:t>something which</w:t>
      </w:r>
      <w:r w:rsidR="00445B87" w:rsidRPr="00041D2C">
        <w:rPr>
          <w:rFonts w:ascii="Avenir Next" w:hAnsi="Avenir Next" w:cs="Arial"/>
          <w:color w:val="7B7B7B" w:themeColor="accent3" w:themeShade="BF"/>
          <w:sz w:val="22"/>
          <w:szCs w:val="22"/>
          <w:lang w:val="en-GB"/>
        </w:rPr>
        <w:t xml:space="preserve"> (</w:t>
      </w:r>
      <w:r w:rsidRPr="00041D2C">
        <w:rPr>
          <w:rFonts w:ascii="Avenir Next" w:hAnsi="Avenir Next" w:cs="Arial"/>
          <w:color w:val="7B7B7B" w:themeColor="accent3" w:themeShade="BF"/>
          <w:sz w:val="22"/>
          <w:szCs w:val="22"/>
          <w:lang w:val="en-GB"/>
        </w:rPr>
        <w:t xml:space="preserve">as the question notes), the EIR </w:t>
      </w:r>
      <w:r w:rsidR="001C7FCC" w:rsidRPr="00041D2C">
        <w:rPr>
          <w:rFonts w:ascii="Avenir Next" w:hAnsi="Avenir Next" w:cs="Arial"/>
          <w:color w:val="7B7B7B" w:themeColor="accent3" w:themeShade="BF"/>
          <w:sz w:val="22"/>
          <w:szCs w:val="22"/>
          <w:lang w:val="en-GB"/>
        </w:rPr>
        <w:t>Recast</w:t>
      </w:r>
      <w:r w:rsidRPr="00041D2C">
        <w:rPr>
          <w:rFonts w:ascii="Avenir Next" w:hAnsi="Avenir Next" w:cs="Arial"/>
          <w:color w:val="7B7B7B" w:themeColor="accent3" w:themeShade="BF"/>
          <w:sz w:val="22"/>
          <w:szCs w:val="22"/>
          <w:lang w:val="en-GB"/>
        </w:rPr>
        <w:t xml:space="preserve"> does not (generally speaking) do. However, the Directive is much narrower in scope tha</w:t>
      </w:r>
      <w:r w:rsidR="00C351F8">
        <w:rPr>
          <w:rFonts w:ascii="Avenir Next" w:hAnsi="Avenir Next" w:cs="Arial"/>
          <w:color w:val="7B7B7B" w:themeColor="accent3" w:themeShade="BF"/>
          <w:sz w:val="22"/>
          <w:szCs w:val="22"/>
          <w:lang w:val="en-GB"/>
        </w:rPr>
        <w:t>n</w:t>
      </w:r>
      <w:r w:rsidRPr="00041D2C">
        <w:rPr>
          <w:rFonts w:ascii="Avenir Next" w:hAnsi="Avenir Next" w:cs="Arial"/>
          <w:color w:val="7B7B7B" w:themeColor="accent3" w:themeShade="BF"/>
          <w:sz w:val="22"/>
          <w:szCs w:val="22"/>
          <w:lang w:val="en-GB"/>
        </w:rPr>
        <w:t xml:space="preserve"> EIR </w:t>
      </w:r>
      <w:r w:rsidR="001C7FCC" w:rsidRPr="00041D2C">
        <w:rPr>
          <w:rFonts w:ascii="Avenir Next" w:hAnsi="Avenir Next" w:cs="Arial"/>
          <w:color w:val="7B7B7B" w:themeColor="accent3" w:themeShade="BF"/>
          <w:sz w:val="22"/>
          <w:szCs w:val="22"/>
          <w:lang w:val="en-GB"/>
        </w:rPr>
        <w:t>Recast</w:t>
      </w:r>
      <w:r w:rsidRPr="00041D2C">
        <w:rPr>
          <w:rFonts w:ascii="Avenir Next" w:hAnsi="Avenir Next" w:cs="Arial"/>
          <w:color w:val="7B7B7B" w:themeColor="accent3" w:themeShade="BF"/>
          <w:sz w:val="22"/>
          <w:szCs w:val="22"/>
          <w:lang w:val="en-GB"/>
        </w:rPr>
        <w:t>, as the Directive only addresses preventative restructuring through early access to restructuring procedures for viable businesses.</w:t>
      </w:r>
    </w:p>
    <w:p w14:paraId="53DF7C5F" w14:textId="77777777" w:rsidR="00973AA6" w:rsidRPr="00041D2C" w:rsidRDefault="00973AA6" w:rsidP="00973AA6">
      <w:pPr>
        <w:jc w:val="both"/>
        <w:rPr>
          <w:rFonts w:ascii="Avenir Next" w:hAnsi="Avenir Next" w:cs="Arial"/>
          <w:color w:val="7B7B7B" w:themeColor="accent3" w:themeShade="BF"/>
          <w:sz w:val="22"/>
          <w:szCs w:val="22"/>
          <w:lang w:val="en-GB"/>
        </w:rPr>
      </w:pPr>
    </w:p>
    <w:p w14:paraId="568FE47C" w14:textId="64762D68" w:rsidR="00973AA6" w:rsidRPr="00041D2C" w:rsidRDefault="00973AA6" w:rsidP="00973AA6">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Another difference between the Directive and EIR </w:t>
      </w:r>
      <w:r w:rsidR="001C7FCC" w:rsidRPr="00041D2C">
        <w:rPr>
          <w:rFonts w:ascii="Avenir Next" w:hAnsi="Avenir Next" w:cs="Arial"/>
          <w:color w:val="7B7B7B" w:themeColor="accent3" w:themeShade="BF"/>
          <w:sz w:val="22"/>
          <w:szCs w:val="22"/>
          <w:lang w:val="en-GB"/>
        </w:rPr>
        <w:t>Recast</w:t>
      </w:r>
      <w:r w:rsidRPr="00041D2C">
        <w:rPr>
          <w:rFonts w:ascii="Avenir Next" w:hAnsi="Avenir Next" w:cs="Arial"/>
          <w:color w:val="7B7B7B" w:themeColor="accent3" w:themeShade="BF"/>
          <w:sz w:val="22"/>
          <w:szCs w:val="22"/>
          <w:lang w:val="en-GB"/>
        </w:rPr>
        <w:t xml:space="preserve"> arises by virtue of their respective statuses as Directive and Regulation. The Regulation had binding force throughout Member States from the date it came into effect, without the need for national implementation. The Directive, on the other hand, is reliant on Member States transposing its provisions into national law. The Directive contained a significant number of derogations (i.e. areas that allowed Member States to </w:t>
      </w:r>
      <w:r w:rsidR="00317B65" w:rsidRPr="00041D2C">
        <w:rPr>
          <w:rFonts w:ascii="Avenir Next" w:hAnsi="Avenir Next" w:cs="Arial"/>
          <w:color w:val="7B7B7B" w:themeColor="accent3" w:themeShade="BF"/>
          <w:sz w:val="22"/>
          <w:szCs w:val="22"/>
          <w:lang w:val="en-GB"/>
        </w:rPr>
        <w:t>diverge from its provisions) and so it is much more susceptible to the uncertainty caused by the differences in implementation efforts across Member States.</w:t>
      </w:r>
    </w:p>
    <w:p w14:paraId="1B25A8C1" w14:textId="77777777" w:rsidR="000A373F" w:rsidRPr="00041D2C" w:rsidRDefault="000A373F" w:rsidP="002A37BB">
      <w:pPr>
        <w:jc w:val="both"/>
        <w:rPr>
          <w:rFonts w:ascii="Avenir Next" w:hAnsi="Avenir Next" w:cs="Arial"/>
          <w:sz w:val="22"/>
          <w:szCs w:val="22"/>
          <w:lang w:val="en-GB"/>
        </w:rPr>
      </w:pPr>
    </w:p>
    <w:p w14:paraId="55C402CC" w14:textId="746A48C9" w:rsidR="009B0723" w:rsidRPr="00041D2C" w:rsidRDefault="00DF75F8" w:rsidP="002A37BB">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QUESTION 4</w:t>
      </w:r>
      <w:r w:rsidR="009B0723" w:rsidRPr="00041D2C">
        <w:rPr>
          <w:rFonts w:ascii="Avenir Next Demi Bold" w:hAnsi="Avenir Next Demi Bold" w:cs="Arial"/>
          <w:b/>
          <w:bCs/>
          <w:sz w:val="22"/>
          <w:szCs w:val="22"/>
          <w:lang w:val="en-GB"/>
        </w:rPr>
        <w:t xml:space="preserve"> (fact-based application-type question) [15 marks</w:t>
      </w:r>
      <w:r w:rsidR="006A2646" w:rsidRPr="00041D2C">
        <w:rPr>
          <w:rFonts w:ascii="Avenir Next Demi Bold" w:hAnsi="Avenir Next Demi Bold" w:cs="Arial"/>
          <w:b/>
          <w:bCs/>
          <w:sz w:val="22"/>
          <w:szCs w:val="22"/>
          <w:lang w:val="en-GB"/>
        </w:rPr>
        <w:t xml:space="preserve"> in total</w:t>
      </w:r>
      <w:r w:rsidR="009B0723" w:rsidRPr="00041D2C">
        <w:rPr>
          <w:rFonts w:ascii="Avenir Next Demi Bold" w:hAnsi="Avenir Next Demi Bold" w:cs="Arial"/>
          <w:b/>
          <w:bCs/>
          <w:sz w:val="22"/>
          <w:szCs w:val="22"/>
          <w:lang w:val="en-GB"/>
        </w:rPr>
        <w:t>]</w:t>
      </w:r>
    </w:p>
    <w:p w14:paraId="5BAC2B6B" w14:textId="77777777" w:rsidR="009B0723" w:rsidRPr="00041D2C" w:rsidRDefault="009B0723" w:rsidP="002A37BB">
      <w:pPr>
        <w:jc w:val="both"/>
        <w:rPr>
          <w:rFonts w:ascii="Avenir Next" w:hAnsi="Avenir Next" w:cs="Arial"/>
          <w:sz w:val="22"/>
          <w:szCs w:val="22"/>
          <w:lang w:val="en-GB"/>
        </w:rPr>
      </w:pPr>
    </w:p>
    <w:p w14:paraId="11B8986E" w14:textId="77777777" w:rsidR="00E70FA4" w:rsidRPr="00041D2C" w:rsidRDefault="00AE477C" w:rsidP="002A37BB">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Scenario</w:t>
      </w:r>
    </w:p>
    <w:p w14:paraId="64D8D9D9" w14:textId="77777777" w:rsidR="00E70FA4" w:rsidRPr="00041D2C" w:rsidRDefault="00E70FA4" w:rsidP="002A37BB">
      <w:pPr>
        <w:jc w:val="both"/>
        <w:rPr>
          <w:rFonts w:ascii="Avenir Next" w:hAnsi="Avenir Next" w:cs="Arial"/>
          <w:sz w:val="22"/>
          <w:szCs w:val="22"/>
          <w:lang w:val="en-GB"/>
        </w:rPr>
      </w:pPr>
    </w:p>
    <w:p w14:paraId="330F5DD7" w14:textId="02F6C6F7" w:rsidR="00434072" w:rsidRPr="00041D2C" w:rsidRDefault="00434072" w:rsidP="00434072">
      <w:pPr>
        <w:jc w:val="both"/>
        <w:rPr>
          <w:rFonts w:ascii="Avenir Next" w:hAnsi="Avenir Next" w:cs="Arial"/>
          <w:sz w:val="22"/>
          <w:szCs w:val="22"/>
          <w:lang w:val="en-GB"/>
        </w:rPr>
      </w:pPr>
      <w:r w:rsidRPr="00041D2C">
        <w:rPr>
          <w:rFonts w:ascii="Avenir Next" w:hAnsi="Avenir Next" w:cs="Arial"/>
          <w:sz w:val="22"/>
          <w:szCs w:val="22"/>
          <w:lang w:val="en-GB"/>
        </w:rPr>
        <w:t xml:space="preserve">Dinosaurus SARL is a company selling children stuffed animals. It is incorporated in France and has opened its first store in La Flèche in 2015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041D2C" w:rsidRDefault="00434072" w:rsidP="00434072">
      <w:pPr>
        <w:jc w:val="both"/>
        <w:rPr>
          <w:rFonts w:ascii="Avenir Next" w:hAnsi="Avenir Next" w:cs="Arial"/>
          <w:sz w:val="22"/>
          <w:szCs w:val="22"/>
          <w:lang w:val="en-GB"/>
        </w:rPr>
      </w:pPr>
    </w:p>
    <w:p w14:paraId="7D566181" w14:textId="65415CB5" w:rsidR="00434072" w:rsidRPr="00041D2C" w:rsidRDefault="00434072" w:rsidP="00434072">
      <w:pPr>
        <w:jc w:val="both"/>
        <w:rPr>
          <w:rFonts w:ascii="Avenir Next" w:hAnsi="Avenir Next" w:cs="Arial"/>
          <w:sz w:val="22"/>
          <w:szCs w:val="22"/>
          <w:lang w:val="en-GB"/>
        </w:rPr>
      </w:pPr>
      <w:r w:rsidRPr="00041D2C">
        <w:rPr>
          <w:rFonts w:ascii="Avenir Next" w:hAnsi="Avenir Next" w:cs="Arial"/>
          <w:sz w:val="22"/>
          <w:szCs w:val="22"/>
          <w:lang w:val="en-GB"/>
        </w:rPr>
        <w:t xml:space="preserve">In 2020, Dinosaurus SARL entered into a loan agreement with a Spanish bank because it was hoping to expand its reach onto the Spanish children toys market. It opened a bank account with the bank while also negotiating prices with local suppliers. It signed some (non-binding) memoranda of understanding with three Madrid-based suppliers. </w:t>
      </w:r>
    </w:p>
    <w:p w14:paraId="75E78FD1" w14:textId="77777777" w:rsidR="00434072" w:rsidRPr="00041D2C" w:rsidRDefault="00434072" w:rsidP="00434072">
      <w:pPr>
        <w:jc w:val="both"/>
        <w:rPr>
          <w:rFonts w:ascii="Avenir Next" w:hAnsi="Avenir Next" w:cs="Arial"/>
          <w:sz w:val="22"/>
          <w:szCs w:val="22"/>
          <w:lang w:val="en-GB"/>
        </w:rPr>
      </w:pPr>
    </w:p>
    <w:p w14:paraId="4F852BCD" w14:textId="5B122CAB" w:rsidR="00434072" w:rsidRPr="00041D2C" w:rsidRDefault="00434072" w:rsidP="00434072">
      <w:pPr>
        <w:jc w:val="both"/>
        <w:rPr>
          <w:rFonts w:ascii="Avenir Next" w:hAnsi="Avenir Next" w:cs="Arial"/>
          <w:sz w:val="22"/>
          <w:szCs w:val="22"/>
          <w:lang w:val="en-GB"/>
        </w:rPr>
      </w:pPr>
      <w:r w:rsidRPr="00041D2C">
        <w:rPr>
          <w:rFonts w:ascii="Avenir Next" w:hAnsi="Avenir Next" w:cs="Arial"/>
          <w:sz w:val="22"/>
          <w:szCs w:val="22"/>
          <w:lang w:val="en-GB"/>
        </w:rPr>
        <w:t>Unfortunately for Dinosaurus SARL, the timing of this initiative coincided with the C</w:t>
      </w:r>
      <w:r w:rsidR="00B137B0" w:rsidRPr="00041D2C">
        <w:rPr>
          <w:rFonts w:ascii="Avenir Next" w:hAnsi="Avenir Next" w:cs="Arial"/>
          <w:sz w:val="22"/>
          <w:szCs w:val="22"/>
          <w:lang w:val="en-GB"/>
        </w:rPr>
        <w:t>ovid</w:t>
      </w:r>
      <w:r w:rsidRPr="00041D2C">
        <w:rPr>
          <w:rFonts w:ascii="Avenir Next" w:hAnsi="Avenir Next" w:cs="Arial"/>
          <w:sz w:val="22"/>
          <w:szCs w:val="22"/>
          <w:lang w:val="en-GB"/>
        </w:rPr>
        <w:t xml:space="preserve">-19 pandemic which hit the world in 2020. By 2021, the company was in financial difficulty, yet managed to keep afloat for another two years. On 20 June 2023, it filed a petition to open safeguard proceedings in the Commercial Court in Le Mans, France. </w:t>
      </w:r>
    </w:p>
    <w:p w14:paraId="6820FBC0" w14:textId="77777777" w:rsidR="00390B57" w:rsidRPr="00041D2C" w:rsidRDefault="00390B57" w:rsidP="002A37BB">
      <w:pPr>
        <w:jc w:val="both"/>
        <w:rPr>
          <w:rFonts w:ascii="Avenir Next" w:hAnsi="Avenir Next" w:cs="Arial"/>
          <w:sz w:val="22"/>
          <w:szCs w:val="22"/>
          <w:lang w:val="en-GB"/>
        </w:rPr>
      </w:pPr>
    </w:p>
    <w:p w14:paraId="3EEBCF39" w14:textId="3A5B5314" w:rsidR="002F75A3" w:rsidRPr="00041D2C" w:rsidRDefault="009B0723" w:rsidP="002A37BB">
      <w:pPr>
        <w:jc w:val="both"/>
        <w:rPr>
          <w:rFonts w:ascii="Avenir Next Demi Bold" w:hAnsi="Avenir Next Demi Bold" w:cs="Arial"/>
          <w:b/>
          <w:bCs/>
          <w:sz w:val="22"/>
          <w:szCs w:val="22"/>
          <w:lang w:val="en-GB"/>
        </w:rPr>
      </w:pPr>
      <w:bookmarkStart w:id="1" w:name="_Hlk17745211"/>
      <w:r w:rsidRPr="00041D2C">
        <w:rPr>
          <w:rFonts w:ascii="Avenir Next Demi Bold" w:hAnsi="Avenir Next Demi Bold" w:cs="Arial"/>
          <w:b/>
          <w:bCs/>
          <w:sz w:val="22"/>
          <w:szCs w:val="22"/>
          <w:lang w:val="en-GB"/>
        </w:rPr>
        <w:t>Question 4.1 [</w:t>
      </w:r>
      <w:r w:rsidR="00D17FDC" w:rsidRPr="00041D2C">
        <w:rPr>
          <w:rFonts w:ascii="Avenir Next Demi Bold" w:hAnsi="Avenir Next Demi Bold" w:cs="Arial"/>
          <w:b/>
          <w:bCs/>
          <w:sz w:val="22"/>
          <w:szCs w:val="22"/>
          <w:lang w:val="en-GB"/>
        </w:rPr>
        <w:t>m</w:t>
      </w:r>
      <w:r w:rsidRPr="00041D2C">
        <w:rPr>
          <w:rFonts w:ascii="Avenir Next Demi Bold" w:hAnsi="Avenir Next Demi Bold" w:cs="Arial"/>
          <w:b/>
          <w:bCs/>
          <w:sz w:val="22"/>
          <w:szCs w:val="22"/>
          <w:lang w:val="en-GB"/>
        </w:rPr>
        <w:t xml:space="preserve">aximum </w:t>
      </w:r>
      <w:r w:rsidR="009B4976" w:rsidRPr="00041D2C">
        <w:rPr>
          <w:rFonts w:ascii="Avenir Next Demi Bold" w:hAnsi="Avenir Next Demi Bold" w:cs="Arial"/>
          <w:b/>
          <w:bCs/>
          <w:sz w:val="22"/>
          <w:szCs w:val="22"/>
          <w:lang w:val="en-GB"/>
        </w:rPr>
        <w:t>5</w:t>
      </w:r>
      <w:r w:rsidRPr="00041D2C">
        <w:rPr>
          <w:rFonts w:ascii="Avenir Next Demi Bold" w:hAnsi="Avenir Next Demi Bold" w:cs="Arial"/>
          <w:b/>
          <w:bCs/>
          <w:sz w:val="22"/>
          <w:szCs w:val="22"/>
          <w:lang w:val="en-GB"/>
        </w:rPr>
        <w:t xml:space="preserve"> marks] </w:t>
      </w:r>
    </w:p>
    <w:p w14:paraId="0FD43ABB" w14:textId="77777777" w:rsidR="002F75A3" w:rsidRPr="00041D2C" w:rsidRDefault="002F75A3" w:rsidP="002A37BB">
      <w:pPr>
        <w:jc w:val="both"/>
        <w:rPr>
          <w:rFonts w:ascii="Avenir Next" w:hAnsi="Avenir Next" w:cs="Arial"/>
          <w:sz w:val="22"/>
          <w:szCs w:val="22"/>
          <w:lang w:val="en-GB"/>
        </w:rPr>
      </w:pPr>
    </w:p>
    <w:p w14:paraId="1024ED52" w14:textId="7AF84BA5" w:rsidR="003D17A2" w:rsidRPr="00041D2C" w:rsidRDefault="009B4976" w:rsidP="002A37BB">
      <w:pPr>
        <w:jc w:val="both"/>
        <w:rPr>
          <w:rFonts w:ascii="Avenir Next" w:hAnsi="Avenir Next" w:cs="Arial"/>
          <w:sz w:val="22"/>
          <w:szCs w:val="22"/>
          <w:lang w:val="en-GB"/>
        </w:rPr>
      </w:pPr>
      <w:r w:rsidRPr="00041D2C">
        <w:rPr>
          <w:rFonts w:ascii="Avenir Next" w:hAnsi="Avenir Next" w:cs="Arial"/>
          <w:sz w:val="22"/>
          <w:szCs w:val="22"/>
          <w:lang w:val="en-GB"/>
        </w:rPr>
        <w:lastRenderedPageBreak/>
        <w:t xml:space="preserve">Assume that </w:t>
      </w:r>
      <w:r w:rsidR="003D17A2" w:rsidRPr="00041D2C">
        <w:rPr>
          <w:rFonts w:ascii="Avenir Next" w:hAnsi="Avenir Next" w:cs="Arial"/>
          <w:sz w:val="22"/>
          <w:szCs w:val="22"/>
          <w:lang w:val="en-GB"/>
        </w:rPr>
        <w:t>the timeline is slightly different and</w:t>
      </w:r>
      <w:r w:rsidR="004F4245" w:rsidRPr="00041D2C">
        <w:rPr>
          <w:rFonts w:ascii="Avenir Next" w:hAnsi="Avenir Next" w:cs="Arial"/>
          <w:sz w:val="22"/>
          <w:szCs w:val="22"/>
          <w:lang w:val="en-GB"/>
        </w:rPr>
        <w:t>,</w:t>
      </w:r>
      <w:r w:rsidR="003D17A2" w:rsidRPr="00041D2C">
        <w:rPr>
          <w:rFonts w:ascii="Avenir Next" w:hAnsi="Avenir Next" w:cs="Arial"/>
          <w:sz w:val="22"/>
          <w:szCs w:val="22"/>
          <w:lang w:val="en-GB"/>
        </w:rPr>
        <w:t xml:space="preserve"> therefore, assume that it is not the EIR 2015 </w:t>
      </w:r>
      <w:r w:rsidR="004F4245" w:rsidRPr="00041D2C">
        <w:rPr>
          <w:rFonts w:ascii="Avenir Next" w:hAnsi="Avenir Next" w:cs="Arial"/>
          <w:sz w:val="22"/>
          <w:szCs w:val="22"/>
          <w:lang w:val="en-GB"/>
        </w:rPr>
        <w:t>that</w:t>
      </w:r>
      <w:r w:rsidR="003D17A2" w:rsidRPr="00041D2C">
        <w:rPr>
          <w:rFonts w:ascii="Avenir Next" w:hAnsi="Avenir Next" w:cs="Arial"/>
          <w:sz w:val="22"/>
          <w:szCs w:val="22"/>
          <w:lang w:val="en-GB"/>
        </w:rPr>
        <w:t xml:space="preserve"> applies but the EIR 2000. </w:t>
      </w:r>
    </w:p>
    <w:p w14:paraId="55A2226D" w14:textId="77777777" w:rsidR="006723E9" w:rsidRPr="00041D2C" w:rsidRDefault="006723E9" w:rsidP="002A37BB">
      <w:pPr>
        <w:jc w:val="both"/>
        <w:rPr>
          <w:rFonts w:ascii="Avenir Next" w:hAnsi="Avenir Next" w:cs="Arial"/>
          <w:sz w:val="22"/>
          <w:szCs w:val="22"/>
          <w:lang w:val="en-GB"/>
        </w:rPr>
      </w:pPr>
    </w:p>
    <w:p w14:paraId="2B16CF87" w14:textId="3EE010D4" w:rsidR="00F60B34" w:rsidRPr="00041D2C" w:rsidRDefault="00F60B34" w:rsidP="00F60B34">
      <w:pPr>
        <w:jc w:val="both"/>
        <w:rPr>
          <w:rFonts w:ascii="Avenir Next Demi Bold" w:hAnsi="Avenir Next Demi Bold" w:cs="Arial"/>
          <w:b/>
          <w:bCs/>
          <w:i/>
          <w:iCs/>
          <w:sz w:val="22"/>
          <w:szCs w:val="22"/>
          <w:lang w:val="en-GB"/>
        </w:rPr>
      </w:pPr>
      <w:r w:rsidRPr="00041D2C">
        <w:rPr>
          <w:rFonts w:ascii="Avenir Next Demi Bold" w:hAnsi="Avenir Next Demi Bold" w:cs="Arial"/>
          <w:b/>
          <w:bCs/>
          <w:i/>
          <w:iCs/>
          <w:sz w:val="22"/>
          <w:szCs w:val="22"/>
          <w:lang w:val="en-GB"/>
        </w:rPr>
        <w:t xml:space="preserve">Does the EIR 2000 apply to this case and to the opening of safeguard proceedings? </w:t>
      </w:r>
    </w:p>
    <w:p w14:paraId="1A235C51" w14:textId="77777777" w:rsidR="006723E9" w:rsidRPr="00041D2C" w:rsidRDefault="006723E9" w:rsidP="002A37BB">
      <w:pPr>
        <w:jc w:val="both"/>
        <w:rPr>
          <w:rFonts w:ascii="Avenir Next" w:hAnsi="Avenir Next" w:cs="Arial"/>
          <w:sz w:val="22"/>
          <w:szCs w:val="22"/>
          <w:lang w:val="en-GB"/>
        </w:rPr>
      </w:pPr>
    </w:p>
    <w:p w14:paraId="42DD66CB" w14:textId="7B1E8BD2" w:rsidR="00E70FA4" w:rsidRPr="00041D2C" w:rsidRDefault="003D17A2" w:rsidP="002A37BB">
      <w:pPr>
        <w:jc w:val="both"/>
        <w:rPr>
          <w:rFonts w:ascii="Avenir Next" w:hAnsi="Avenir Next" w:cs="Arial"/>
          <w:sz w:val="22"/>
          <w:szCs w:val="22"/>
          <w:lang w:val="en-GB"/>
        </w:rPr>
      </w:pPr>
      <w:r w:rsidRPr="00041D2C">
        <w:rPr>
          <w:rFonts w:ascii="Avenir Next" w:hAnsi="Avenir Next" w:cs="Arial"/>
          <w:sz w:val="22"/>
          <w:szCs w:val="22"/>
          <w:lang w:val="en-GB"/>
        </w:rPr>
        <w:t>You must justify your answer when explaining why it does or does not have jurisdiction.</w:t>
      </w:r>
      <w:r w:rsidR="009B4976" w:rsidRPr="00041D2C">
        <w:rPr>
          <w:rFonts w:ascii="Avenir Next" w:hAnsi="Avenir Next" w:cs="Arial"/>
          <w:sz w:val="22"/>
          <w:szCs w:val="22"/>
          <w:lang w:val="en-GB"/>
        </w:rPr>
        <w:t xml:space="preserve"> Your answer should contain references to the applicable law and the relevant CJEU jurisprudence.</w:t>
      </w:r>
      <w:r w:rsidR="00E03AF0" w:rsidRPr="00041D2C">
        <w:rPr>
          <w:rFonts w:ascii="Avenir Next" w:hAnsi="Avenir Next" w:cs="Arial"/>
          <w:sz w:val="22"/>
          <w:szCs w:val="22"/>
          <w:lang w:val="en-GB"/>
        </w:rPr>
        <w:t xml:space="preserve"> </w:t>
      </w:r>
    </w:p>
    <w:p w14:paraId="7FB759B1" w14:textId="77777777" w:rsidR="00EC0181" w:rsidRPr="00041D2C" w:rsidRDefault="00EC0181" w:rsidP="002A37BB">
      <w:pPr>
        <w:jc w:val="both"/>
        <w:rPr>
          <w:rFonts w:ascii="Avenir Next" w:hAnsi="Avenir Next" w:cs="Arial"/>
          <w:sz w:val="22"/>
          <w:szCs w:val="22"/>
          <w:lang w:val="en-GB"/>
        </w:rPr>
      </w:pPr>
    </w:p>
    <w:p w14:paraId="4076B512" w14:textId="77777777" w:rsidR="00C80BB6" w:rsidRPr="00041D2C" w:rsidRDefault="00A245CC" w:rsidP="00A245CC">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The EIR 2000 would not </w:t>
      </w:r>
      <w:r w:rsidR="00C05955" w:rsidRPr="00041D2C">
        <w:rPr>
          <w:rFonts w:ascii="Avenir Next" w:hAnsi="Avenir Next" w:cs="Arial"/>
          <w:color w:val="7B7B7B" w:themeColor="accent3" w:themeShade="BF"/>
          <w:sz w:val="22"/>
          <w:szCs w:val="22"/>
          <w:lang w:val="en-GB"/>
        </w:rPr>
        <w:t xml:space="preserve">appear to </w:t>
      </w:r>
      <w:r w:rsidRPr="00041D2C">
        <w:rPr>
          <w:rFonts w:ascii="Avenir Next" w:hAnsi="Avenir Next" w:cs="Arial"/>
          <w:color w:val="7B7B7B" w:themeColor="accent3" w:themeShade="BF"/>
          <w:sz w:val="22"/>
          <w:szCs w:val="22"/>
          <w:lang w:val="en-GB"/>
        </w:rPr>
        <w:t>apply to the opening of safeguard proceedings</w:t>
      </w:r>
      <w:r w:rsidR="0012780D" w:rsidRPr="00041D2C">
        <w:rPr>
          <w:rFonts w:ascii="Avenir Next" w:hAnsi="Avenir Next" w:cs="Arial"/>
          <w:color w:val="7B7B7B" w:themeColor="accent3" w:themeShade="BF"/>
          <w:sz w:val="22"/>
          <w:szCs w:val="22"/>
          <w:lang w:val="en-GB"/>
        </w:rPr>
        <w:t>,</w:t>
      </w:r>
      <w:r w:rsidRPr="00041D2C">
        <w:rPr>
          <w:rFonts w:ascii="Avenir Next" w:hAnsi="Avenir Next" w:cs="Arial"/>
          <w:color w:val="7B7B7B" w:themeColor="accent3" w:themeShade="BF"/>
          <w:sz w:val="22"/>
          <w:szCs w:val="22"/>
          <w:lang w:val="en-GB"/>
        </w:rPr>
        <w:t xml:space="preserve"> as these are not within the material scope of the EIR 2000. Under Article 1(1), the EIR 2000 applies to "</w:t>
      </w:r>
      <w:r w:rsidRPr="00041D2C">
        <w:rPr>
          <w:rFonts w:ascii="Avenir Next" w:hAnsi="Avenir Next" w:cs="Arial"/>
          <w:i/>
          <w:iCs/>
          <w:color w:val="7B7B7B" w:themeColor="accent3" w:themeShade="BF"/>
          <w:sz w:val="22"/>
          <w:szCs w:val="22"/>
          <w:lang w:val="en-GB"/>
        </w:rPr>
        <w:t>collective insolvency proceedings</w:t>
      </w:r>
      <w:r w:rsidRPr="00041D2C">
        <w:rPr>
          <w:rFonts w:ascii="Avenir Next" w:hAnsi="Avenir Next" w:cs="Arial"/>
          <w:color w:val="7B7B7B" w:themeColor="accent3" w:themeShade="BF"/>
          <w:sz w:val="22"/>
          <w:szCs w:val="22"/>
          <w:lang w:val="en-GB"/>
        </w:rPr>
        <w:t xml:space="preserve"> </w:t>
      </w:r>
      <w:r w:rsidRPr="00041D2C">
        <w:rPr>
          <w:rFonts w:ascii="Avenir Next" w:hAnsi="Avenir Next" w:cs="Arial"/>
          <w:i/>
          <w:iCs/>
          <w:color w:val="7B7B7B" w:themeColor="accent3" w:themeShade="BF"/>
          <w:sz w:val="22"/>
          <w:szCs w:val="22"/>
          <w:lang w:val="en-GB"/>
        </w:rPr>
        <w:t>which entail the partial or total divestment of a debtor and the appointment of a liquidator.</w:t>
      </w:r>
      <w:r w:rsidRPr="00041D2C">
        <w:rPr>
          <w:rFonts w:ascii="Avenir Next" w:hAnsi="Avenir Next" w:cs="Arial"/>
          <w:color w:val="7B7B7B" w:themeColor="accent3" w:themeShade="BF"/>
          <w:sz w:val="22"/>
          <w:szCs w:val="22"/>
          <w:lang w:val="en-GB"/>
        </w:rPr>
        <w:t>" Article 2 defines "</w:t>
      </w:r>
      <w:r w:rsidRPr="00041D2C">
        <w:rPr>
          <w:rFonts w:ascii="Avenir Next" w:hAnsi="Avenir Next" w:cs="Arial"/>
          <w:i/>
          <w:iCs/>
          <w:color w:val="7B7B7B" w:themeColor="accent3" w:themeShade="BF"/>
          <w:sz w:val="22"/>
          <w:szCs w:val="22"/>
          <w:lang w:val="en-GB"/>
        </w:rPr>
        <w:t>insolvency proceedings</w:t>
      </w:r>
      <w:r w:rsidRPr="00041D2C">
        <w:rPr>
          <w:rFonts w:ascii="Avenir Next" w:hAnsi="Avenir Next" w:cs="Arial"/>
          <w:color w:val="7B7B7B" w:themeColor="accent3" w:themeShade="BF"/>
          <w:sz w:val="22"/>
          <w:szCs w:val="22"/>
          <w:lang w:val="en-GB"/>
        </w:rPr>
        <w:t>" as "</w:t>
      </w:r>
      <w:r w:rsidRPr="00041D2C">
        <w:rPr>
          <w:rFonts w:ascii="Avenir Next" w:hAnsi="Avenir Next" w:cs="Arial"/>
          <w:i/>
          <w:iCs/>
          <w:color w:val="7B7B7B" w:themeColor="accent3" w:themeShade="BF"/>
          <w:sz w:val="22"/>
          <w:szCs w:val="22"/>
          <w:lang w:val="en-GB"/>
        </w:rPr>
        <w:t>the collective proceedings referred to in Article 1(1). These proceedings are listed in Annex A</w:t>
      </w:r>
      <w:r w:rsidRPr="00041D2C">
        <w:rPr>
          <w:rFonts w:ascii="Avenir Next" w:hAnsi="Avenir Next" w:cs="Arial"/>
          <w:i/>
          <w:iCs/>
          <w:color w:val="7B7B7B" w:themeColor="accent3" w:themeShade="BF"/>
          <w:sz w:val="22"/>
          <w:szCs w:val="22"/>
          <w:lang w:val="en-GB"/>
        </w:rPr>
        <w:t>."</w:t>
      </w:r>
      <w:r w:rsidRPr="00041D2C">
        <w:rPr>
          <w:rFonts w:ascii="Avenir Next" w:hAnsi="Avenir Next" w:cs="Arial"/>
          <w:color w:val="7B7B7B" w:themeColor="accent3" w:themeShade="BF"/>
          <w:sz w:val="22"/>
          <w:szCs w:val="22"/>
          <w:lang w:val="en-GB"/>
        </w:rPr>
        <w:t xml:space="preserve"> </w:t>
      </w:r>
    </w:p>
    <w:p w14:paraId="0A8F31B7" w14:textId="77777777" w:rsidR="00C80BB6" w:rsidRPr="00041D2C" w:rsidRDefault="00C80BB6" w:rsidP="00A245CC">
      <w:pPr>
        <w:jc w:val="both"/>
        <w:rPr>
          <w:rFonts w:ascii="Avenir Next" w:hAnsi="Avenir Next" w:cs="Arial"/>
          <w:color w:val="7B7B7B" w:themeColor="accent3" w:themeShade="BF"/>
          <w:sz w:val="22"/>
          <w:szCs w:val="22"/>
          <w:lang w:val="en-GB"/>
        </w:rPr>
      </w:pPr>
    </w:p>
    <w:p w14:paraId="62B0E8D5" w14:textId="597492CF" w:rsidR="00A245CC" w:rsidRPr="00041D2C" w:rsidRDefault="00A245CC" w:rsidP="00A245CC">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Safeguard proceedings are not listed in Annex A.</w:t>
      </w:r>
      <w:r w:rsidR="00BB0F23" w:rsidRPr="00041D2C">
        <w:rPr>
          <w:rFonts w:ascii="Avenir Next" w:hAnsi="Avenir Next" w:cs="Arial"/>
          <w:color w:val="7B7B7B" w:themeColor="accent3" w:themeShade="BF"/>
          <w:sz w:val="22"/>
          <w:szCs w:val="22"/>
          <w:lang w:val="en-GB"/>
        </w:rPr>
        <w:t xml:space="preserve"> This appears to be in line with the EIR 2000 being </w:t>
      </w:r>
      <w:r w:rsidR="00C80BB6" w:rsidRPr="00041D2C">
        <w:rPr>
          <w:rFonts w:ascii="Avenir Next" w:hAnsi="Avenir Next" w:cs="Arial"/>
          <w:color w:val="7B7B7B" w:themeColor="accent3" w:themeShade="BF"/>
          <w:sz w:val="22"/>
          <w:szCs w:val="22"/>
          <w:lang w:val="en-GB"/>
        </w:rPr>
        <w:t>concerned with</w:t>
      </w:r>
      <w:r w:rsidR="00BB0F23" w:rsidRPr="00041D2C">
        <w:rPr>
          <w:rFonts w:ascii="Avenir Next" w:hAnsi="Avenir Next" w:cs="Arial"/>
          <w:color w:val="7B7B7B" w:themeColor="accent3" w:themeShade="BF"/>
          <w:sz w:val="22"/>
          <w:szCs w:val="22"/>
          <w:lang w:val="en-GB"/>
        </w:rPr>
        <w:t xml:space="preserve"> liquidation, not restructuring (my understanding being that safeguard proceedings are a form of restructuring proceeding). </w:t>
      </w:r>
      <w:r w:rsidR="00C64EBB" w:rsidRPr="00041D2C">
        <w:rPr>
          <w:rFonts w:ascii="Avenir Next" w:hAnsi="Avenir Next" w:cs="Arial"/>
          <w:color w:val="7B7B7B" w:themeColor="accent3" w:themeShade="BF"/>
          <w:sz w:val="22"/>
          <w:szCs w:val="22"/>
          <w:lang w:val="en-GB"/>
        </w:rPr>
        <w:t xml:space="preserve"> As noted in </w:t>
      </w:r>
      <w:r w:rsidR="00C64EBB" w:rsidRPr="00041D2C">
        <w:rPr>
          <w:rFonts w:ascii="Avenir Next" w:hAnsi="Avenir Next" w:cs="Arial"/>
          <w:i/>
          <w:iCs/>
          <w:color w:val="7B7B7B" w:themeColor="accent3" w:themeShade="BF"/>
          <w:sz w:val="22"/>
          <w:szCs w:val="22"/>
          <w:lang w:val="en-GB"/>
        </w:rPr>
        <w:t xml:space="preserve">Bank Handlowy w Warszawie SA v Christianapol sp. Z o.o. </w:t>
      </w:r>
      <w:r w:rsidR="00C64EBB" w:rsidRPr="00041D2C">
        <w:rPr>
          <w:rFonts w:ascii="Avenir Next" w:hAnsi="Avenir Next" w:cs="Arial"/>
          <w:color w:val="7B7B7B" w:themeColor="accent3" w:themeShade="BF"/>
          <w:sz w:val="22"/>
          <w:szCs w:val="22"/>
          <w:lang w:val="en-GB"/>
        </w:rPr>
        <w:t>(CJEU Case C-116/11, 22</w:t>
      </w:r>
      <w:r w:rsidR="00C80BB6" w:rsidRPr="00041D2C">
        <w:rPr>
          <w:rFonts w:ascii="Avenir Next" w:hAnsi="Avenir Next" w:cs="Arial"/>
          <w:color w:val="7B7B7B" w:themeColor="accent3" w:themeShade="BF"/>
          <w:sz w:val="22"/>
          <w:szCs w:val="22"/>
          <w:lang w:val="en-GB"/>
        </w:rPr>
        <w:t xml:space="preserve"> </w:t>
      </w:r>
      <w:r w:rsidR="00C64EBB" w:rsidRPr="00041D2C">
        <w:rPr>
          <w:rFonts w:ascii="Avenir Next" w:hAnsi="Avenir Next" w:cs="Arial"/>
          <w:color w:val="7B7B7B" w:themeColor="accent3" w:themeShade="BF"/>
          <w:sz w:val="22"/>
          <w:szCs w:val="22"/>
          <w:lang w:val="en-GB"/>
        </w:rPr>
        <w:t>November 2012), Annex A is decisive as to whether proceedings fall within EIR 2000.</w:t>
      </w:r>
    </w:p>
    <w:p w14:paraId="499CD43C" w14:textId="77777777" w:rsidR="00A245CC" w:rsidRPr="00041D2C" w:rsidRDefault="00A245CC" w:rsidP="00A245CC">
      <w:pPr>
        <w:jc w:val="both"/>
        <w:rPr>
          <w:rFonts w:ascii="Avenir Next" w:hAnsi="Avenir Next" w:cs="Arial"/>
          <w:color w:val="7B7B7B" w:themeColor="accent3" w:themeShade="BF"/>
          <w:sz w:val="22"/>
          <w:szCs w:val="22"/>
          <w:lang w:val="en-GB"/>
        </w:rPr>
      </w:pPr>
    </w:p>
    <w:p w14:paraId="72A476DD" w14:textId="7F4CDB09" w:rsidR="00A245CC" w:rsidRPr="00041D2C" w:rsidRDefault="00A245CC" w:rsidP="00A245CC">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For the avoidance of doubt, </w:t>
      </w:r>
      <w:r w:rsidR="00C05955" w:rsidRPr="00041D2C">
        <w:rPr>
          <w:rFonts w:ascii="Avenir Next" w:hAnsi="Avenir Next" w:cs="Arial"/>
          <w:color w:val="7B7B7B" w:themeColor="accent3" w:themeShade="BF"/>
          <w:sz w:val="22"/>
          <w:szCs w:val="22"/>
          <w:lang w:val="en-GB"/>
        </w:rPr>
        <w:t xml:space="preserve">if "safeguard" proceedings </w:t>
      </w:r>
      <w:r w:rsidR="00C05955" w:rsidRPr="00041D2C">
        <w:rPr>
          <w:rFonts w:ascii="Avenir Next" w:hAnsi="Avenir Next" w:cs="Arial"/>
          <w:color w:val="7B7B7B" w:themeColor="accent3" w:themeShade="BF"/>
          <w:sz w:val="22"/>
          <w:szCs w:val="22"/>
          <w:u w:val="single"/>
          <w:lang w:val="en-GB"/>
        </w:rPr>
        <w:t>are</w:t>
      </w:r>
      <w:r w:rsidR="00C05955" w:rsidRPr="00041D2C">
        <w:rPr>
          <w:rFonts w:ascii="Avenir Next" w:hAnsi="Avenir Next" w:cs="Arial"/>
          <w:color w:val="7B7B7B" w:themeColor="accent3" w:themeShade="BF"/>
          <w:sz w:val="22"/>
          <w:szCs w:val="22"/>
          <w:lang w:val="en-GB"/>
        </w:rPr>
        <w:t xml:space="preserve"> one of the proceedings listed at Annex A (i.e. it is mere</w:t>
      </w:r>
      <w:r w:rsidR="00C80BB6" w:rsidRPr="00041D2C">
        <w:rPr>
          <w:rFonts w:ascii="Avenir Next" w:hAnsi="Avenir Next" w:cs="Arial"/>
          <w:color w:val="7B7B7B" w:themeColor="accent3" w:themeShade="BF"/>
          <w:sz w:val="22"/>
          <w:szCs w:val="22"/>
          <w:lang w:val="en-GB"/>
        </w:rPr>
        <w:t>ly</w:t>
      </w:r>
      <w:r w:rsidR="00C05955" w:rsidRPr="00041D2C">
        <w:rPr>
          <w:rFonts w:ascii="Avenir Next" w:hAnsi="Avenir Next" w:cs="Arial"/>
          <w:color w:val="7B7B7B" w:themeColor="accent3" w:themeShade="BF"/>
          <w:sz w:val="22"/>
          <w:szCs w:val="22"/>
          <w:lang w:val="en-GB"/>
        </w:rPr>
        <w:t xml:space="preserve"> a point of translation that they do not appear to be so</w:t>
      </w:r>
      <w:r w:rsidR="00C351F8">
        <w:rPr>
          <w:rFonts w:ascii="Avenir Next" w:hAnsi="Avenir Next" w:cs="Arial"/>
          <w:color w:val="7B7B7B" w:themeColor="accent3" w:themeShade="BF"/>
          <w:sz w:val="22"/>
          <w:szCs w:val="22"/>
          <w:lang w:val="en-GB"/>
        </w:rPr>
        <w:t xml:space="preserve"> on the face of it</w:t>
      </w:r>
      <w:r w:rsidR="00C05955" w:rsidRPr="00041D2C">
        <w:rPr>
          <w:rFonts w:ascii="Avenir Next" w:hAnsi="Avenir Next" w:cs="Arial"/>
          <w:color w:val="7B7B7B" w:themeColor="accent3" w:themeShade="BF"/>
          <w:sz w:val="22"/>
          <w:szCs w:val="22"/>
          <w:lang w:val="en-GB"/>
        </w:rPr>
        <w:t xml:space="preserve">), the </w:t>
      </w:r>
      <w:r w:rsidRPr="00041D2C">
        <w:rPr>
          <w:rFonts w:ascii="Avenir Next" w:hAnsi="Avenir Next" w:cs="Arial"/>
          <w:color w:val="7B7B7B" w:themeColor="accent3" w:themeShade="BF"/>
          <w:sz w:val="22"/>
          <w:szCs w:val="22"/>
          <w:lang w:val="en-GB"/>
        </w:rPr>
        <w:t xml:space="preserve">other criteria for the application of the EIR 2000 </w:t>
      </w:r>
      <w:r w:rsidR="00C80BB6" w:rsidRPr="00041D2C">
        <w:rPr>
          <w:rFonts w:ascii="Avenir Next" w:hAnsi="Avenir Next" w:cs="Arial"/>
          <w:color w:val="7B7B7B" w:themeColor="accent3" w:themeShade="BF"/>
          <w:sz w:val="22"/>
          <w:szCs w:val="22"/>
          <w:lang w:val="en-GB"/>
        </w:rPr>
        <w:t xml:space="preserve">are </w:t>
      </w:r>
      <w:r w:rsidRPr="00041D2C">
        <w:rPr>
          <w:rFonts w:ascii="Avenir Next" w:hAnsi="Avenir Next" w:cs="Arial"/>
          <w:color w:val="7B7B7B" w:themeColor="accent3" w:themeShade="BF"/>
          <w:sz w:val="22"/>
          <w:szCs w:val="22"/>
          <w:lang w:val="en-GB"/>
        </w:rPr>
        <w:t>met:</w:t>
      </w:r>
    </w:p>
    <w:p w14:paraId="4050FD2B" w14:textId="77777777" w:rsidR="00A245CC" w:rsidRPr="00041D2C" w:rsidRDefault="00A245CC" w:rsidP="00A245CC">
      <w:pPr>
        <w:jc w:val="both"/>
        <w:rPr>
          <w:rFonts w:ascii="Avenir Next" w:hAnsi="Avenir Next" w:cs="Arial"/>
          <w:color w:val="7B7B7B" w:themeColor="accent3" w:themeShade="BF"/>
          <w:sz w:val="22"/>
          <w:szCs w:val="22"/>
          <w:lang w:val="en-GB"/>
        </w:rPr>
      </w:pPr>
    </w:p>
    <w:p w14:paraId="7CFD71FE" w14:textId="0DE78A59" w:rsidR="000275C1" w:rsidRPr="00041D2C" w:rsidRDefault="00A245CC" w:rsidP="007C7702">
      <w:pPr>
        <w:pStyle w:val="ListParagraph"/>
        <w:numPr>
          <w:ilvl w:val="0"/>
          <w:numId w:val="40"/>
        </w:numPr>
        <w:jc w:val="both"/>
        <w:rPr>
          <w:rFonts w:ascii="Avenir Next" w:hAnsi="Avenir Next" w:cs="Arial"/>
          <w:i/>
          <w:iCs/>
          <w:color w:val="7B7B7B" w:themeColor="accent3" w:themeShade="BF"/>
          <w:sz w:val="22"/>
          <w:szCs w:val="22"/>
          <w:lang w:val="en-GB"/>
        </w:rPr>
      </w:pPr>
      <w:r w:rsidRPr="00041D2C">
        <w:rPr>
          <w:rFonts w:ascii="Avenir Next" w:hAnsi="Avenir Next" w:cs="Arial"/>
          <w:color w:val="7B7B7B" w:themeColor="accent3" w:themeShade="BF"/>
          <w:sz w:val="22"/>
          <w:szCs w:val="22"/>
          <w:lang w:val="en-GB"/>
        </w:rPr>
        <w:t>In terms of territorial/geographical scope, t</w:t>
      </w:r>
      <w:r w:rsidR="00366D28" w:rsidRPr="00041D2C">
        <w:rPr>
          <w:rFonts w:ascii="Avenir Next" w:hAnsi="Avenir Next" w:cs="Arial"/>
          <w:color w:val="7B7B7B" w:themeColor="accent3" w:themeShade="BF"/>
          <w:sz w:val="22"/>
          <w:szCs w:val="22"/>
          <w:lang w:val="en-GB"/>
        </w:rPr>
        <w:t>he EIR 2000 applies where the debtor's COMI is in a Member State</w:t>
      </w:r>
      <w:r w:rsidR="00EB4B24" w:rsidRPr="00041D2C">
        <w:rPr>
          <w:rFonts w:ascii="Avenir Next" w:hAnsi="Avenir Next" w:cs="Arial"/>
          <w:color w:val="7B7B7B" w:themeColor="accent3" w:themeShade="BF"/>
          <w:sz w:val="22"/>
          <w:szCs w:val="22"/>
          <w:lang w:val="en-GB"/>
        </w:rPr>
        <w:t xml:space="preserve"> (Recital 14 EIR 2000)</w:t>
      </w:r>
      <w:r w:rsidR="00366D28" w:rsidRPr="00041D2C">
        <w:rPr>
          <w:rFonts w:ascii="Avenir Next" w:hAnsi="Avenir Next" w:cs="Arial"/>
          <w:color w:val="7B7B7B" w:themeColor="accent3" w:themeShade="BF"/>
          <w:sz w:val="22"/>
          <w:szCs w:val="22"/>
          <w:lang w:val="en-GB"/>
        </w:rPr>
        <w:t xml:space="preserve">. The EIR 2000 does not formally define "COMI", but at </w:t>
      </w:r>
      <w:r w:rsidR="00736580" w:rsidRPr="00041D2C">
        <w:rPr>
          <w:rFonts w:ascii="Avenir Next" w:hAnsi="Avenir Next" w:cs="Arial"/>
          <w:color w:val="7B7B7B" w:themeColor="accent3" w:themeShade="BF"/>
          <w:sz w:val="22"/>
          <w:szCs w:val="22"/>
          <w:lang w:val="en-GB"/>
        </w:rPr>
        <w:t>R</w:t>
      </w:r>
      <w:r w:rsidR="00366D28" w:rsidRPr="00041D2C">
        <w:rPr>
          <w:rFonts w:ascii="Avenir Next" w:hAnsi="Avenir Next" w:cs="Arial"/>
          <w:color w:val="7B7B7B" w:themeColor="accent3" w:themeShade="BF"/>
          <w:sz w:val="22"/>
          <w:szCs w:val="22"/>
          <w:lang w:val="en-GB"/>
        </w:rPr>
        <w:t xml:space="preserve">ecital 13, it states that: </w:t>
      </w:r>
      <w:r w:rsidR="00366D28" w:rsidRPr="00041D2C">
        <w:rPr>
          <w:rFonts w:ascii="Avenir Next" w:hAnsi="Avenir Next" w:cs="Arial"/>
          <w:i/>
          <w:iCs/>
          <w:color w:val="7B7B7B" w:themeColor="accent3" w:themeShade="BF"/>
          <w:sz w:val="22"/>
          <w:szCs w:val="22"/>
          <w:lang w:val="en-GB"/>
        </w:rPr>
        <w:t>"</w:t>
      </w:r>
      <w:r w:rsidR="00366D28" w:rsidRPr="00041D2C">
        <w:rPr>
          <w:rFonts w:ascii="Avenir Next" w:hAnsi="Avenir Next" w:cs="Arial"/>
          <w:i/>
          <w:iCs/>
          <w:color w:val="7B7B7B" w:themeColor="accent3" w:themeShade="BF"/>
          <w:sz w:val="22"/>
          <w:szCs w:val="22"/>
          <w:lang w:val="en-GB"/>
        </w:rPr>
        <w:t xml:space="preserve">The </w:t>
      </w:r>
      <w:r w:rsidR="005E193A" w:rsidRPr="00041D2C">
        <w:rPr>
          <w:rFonts w:ascii="Avenir Next" w:hAnsi="Avenir Next" w:cs="Arial"/>
          <w:i/>
          <w:iCs/>
          <w:color w:val="7B7B7B" w:themeColor="accent3" w:themeShade="BF"/>
          <w:sz w:val="22"/>
          <w:szCs w:val="22"/>
          <w:lang w:val="en-GB"/>
        </w:rPr>
        <w:t>'</w:t>
      </w:r>
      <w:r w:rsidR="00366D28" w:rsidRPr="00041D2C">
        <w:rPr>
          <w:rFonts w:ascii="Avenir Next" w:hAnsi="Avenir Next" w:cs="Arial"/>
          <w:i/>
          <w:iCs/>
          <w:color w:val="7B7B7B" w:themeColor="accent3" w:themeShade="BF"/>
          <w:sz w:val="22"/>
          <w:szCs w:val="22"/>
          <w:lang w:val="en-GB"/>
        </w:rPr>
        <w:t>centre of main interests</w:t>
      </w:r>
      <w:r w:rsidR="005E193A" w:rsidRPr="00041D2C">
        <w:rPr>
          <w:rFonts w:ascii="Avenir Next" w:hAnsi="Avenir Next" w:cs="Arial"/>
          <w:i/>
          <w:iCs/>
          <w:color w:val="7B7B7B" w:themeColor="accent3" w:themeShade="BF"/>
          <w:sz w:val="22"/>
          <w:szCs w:val="22"/>
          <w:lang w:val="en-GB"/>
        </w:rPr>
        <w:t>'</w:t>
      </w:r>
      <w:r w:rsidR="00366D28" w:rsidRPr="00041D2C">
        <w:rPr>
          <w:rFonts w:ascii="Avenir Next" w:hAnsi="Avenir Next" w:cs="Arial"/>
          <w:i/>
          <w:iCs/>
          <w:color w:val="7B7B7B" w:themeColor="accent3" w:themeShade="BF"/>
          <w:sz w:val="22"/>
          <w:szCs w:val="22"/>
          <w:lang w:val="en-GB"/>
        </w:rPr>
        <w:t xml:space="preserve"> should correspond to the place where the debtor conducts the administration of his interests on a regular basis and is therefore ascertainable by third parties.</w:t>
      </w:r>
      <w:r w:rsidR="00366D28" w:rsidRPr="00041D2C">
        <w:rPr>
          <w:rFonts w:ascii="Avenir Next" w:hAnsi="Avenir Next" w:cs="Arial"/>
          <w:i/>
          <w:iCs/>
          <w:color w:val="7B7B7B" w:themeColor="accent3" w:themeShade="BF"/>
          <w:sz w:val="22"/>
          <w:szCs w:val="22"/>
          <w:lang w:val="en-GB"/>
        </w:rPr>
        <w:t>"</w:t>
      </w:r>
      <w:r w:rsidRPr="00041D2C">
        <w:rPr>
          <w:rFonts w:ascii="Avenir Next" w:hAnsi="Avenir Next" w:cs="Arial"/>
          <w:i/>
          <w:iCs/>
          <w:color w:val="7B7B7B" w:themeColor="accent3" w:themeShade="BF"/>
          <w:sz w:val="22"/>
          <w:szCs w:val="22"/>
          <w:lang w:val="en-GB"/>
        </w:rPr>
        <w:t xml:space="preserve"> </w:t>
      </w:r>
      <w:r w:rsidR="000275C1" w:rsidRPr="00041D2C">
        <w:rPr>
          <w:rFonts w:ascii="Avenir Next" w:hAnsi="Avenir Next" w:cs="Arial"/>
          <w:color w:val="7B7B7B" w:themeColor="accent3" w:themeShade="BF"/>
          <w:sz w:val="22"/>
          <w:szCs w:val="22"/>
          <w:lang w:val="en-GB"/>
        </w:rPr>
        <w:t>The meaning of COMI is autonomous to the EIR 2000 (that is, it is not subject to any definition within national legislation), a point emphasi</w:t>
      </w:r>
      <w:r w:rsidR="005E193A" w:rsidRPr="00041D2C">
        <w:rPr>
          <w:rFonts w:ascii="Avenir Next" w:hAnsi="Avenir Next" w:cs="Arial"/>
          <w:color w:val="7B7B7B" w:themeColor="accent3" w:themeShade="BF"/>
          <w:sz w:val="22"/>
          <w:szCs w:val="22"/>
          <w:lang w:val="en-GB"/>
        </w:rPr>
        <w:t>s</w:t>
      </w:r>
      <w:r w:rsidR="000275C1" w:rsidRPr="00041D2C">
        <w:rPr>
          <w:rFonts w:ascii="Avenir Next" w:hAnsi="Avenir Next" w:cs="Arial"/>
          <w:color w:val="7B7B7B" w:themeColor="accent3" w:themeShade="BF"/>
          <w:sz w:val="22"/>
          <w:szCs w:val="22"/>
          <w:lang w:val="en-GB"/>
        </w:rPr>
        <w:t xml:space="preserve">ed in the case of </w:t>
      </w:r>
      <w:r w:rsidR="000275C1" w:rsidRPr="00041D2C">
        <w:rPr>
          <w:rFonts w:ascii="Avenir Next" w:hAnsi="Avenir Next" w:cs="Arial"/>
          <w:i/>
          <w:iCs/>
          <w:color w:val="7B7B7B" w:themeColor="accent3" w:themeShade="BF"/>
          <w:sz w:val="22"/>
          <w:szCs w:val="22"/>
          <w:lang w:val="en-GB"/>
        </w:rPr>
        <w:t xml:space="preserve">Eurofood IFSC Ltd </w:t>
      </w:r>
      <w:r w:rsidR="000275C1" w:rsidRPr="00041D2C">
        <w:rPr>
          <w:rFonts w:ascii="Avenir Next" w:hAnsi="Avenir Next" w:cs="Arial"/>
          <w:color w:val="7B7B7B" w:themeColor="accent3" w:themeShade="BF"/>
          <w:sz w:val="22"/>
          <w:szCs w:val="22"/>
          <w:lang w:val="en-GB"/>
        </w:rPr>
        <w:t xml:space="preserve">(Case C-341/04, 2 May 2006). </w:t>
      </w:r>
    </w:p>
    <w:p w14:paraId="072F88B0" w14:textId="77777777" w:rsidR="000275C1" w:rsidRPr="00041D2C" w:rsidRDefault="000275C1" w:rsidP="000275C1">
      <w:pPr>
        <w:pStyle w:val="ListParagraph"/>
        <w:jc w:val="both"/>
        <w:rPr>
          <w:rFonts w:ascii="Avenir Next" w:hAnsi="Avenir Next" w:cs="Arial"/>
          <w:color w:val="7B7B7B" w:themeColor="accent3" w:themeShade="BF"/>
          <w:sz w:val="22"/>
          <w:szCs w:val="22"/>
          <w:lang w:val="en-GB"/>
        </w:rPr>
      </w:pPr>
    </w:p>
    <w:p w14:paraId="77FFED01" w14:textId="77777777" w:rsidR="000275C1" w:rsidRPr="00041D2C" w:rsidRDefault="00366D28" w:rsidP="000275C1">
      <w:pPr>
        <w:pStyle w:val="ListParagraph"/>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Article 3(1) of EIR 2000 also contains the registered office presumption: </w:t>
      </w:r>
      <w:r w:rsidRPr="00041D2C">
        <w:rPr>
          <w:rFonts w:ascii="Avenir Next" w:hAnsi="Avenir Next" w:cs="Arial"/>
          <w:i/>
          <w:iCs/>
          <w:color w:val="7B7B7B" w:themeColor="accent3" w:themeShade="BF"/>
          <w:sz w:val="22"/>
          <w:szCs w:val="22"/>
          <w:lang w:val="en-GB"/>
        </w:rPr>
        <w:t>"</w:t>
      </w:r>
      <w:r w:rsidRPr="00041D2C">
        <w:rPr>
          <w:rFonts w:ascii="Avenir Next" w:hAnsi="Avenir Next" w:cs="Arial"/>
          <w:i/>
          <w:iCs/>
          <w:color w:val="7B7B7B" w:themeColor="accent3" w:themeShade="BF"/>
          <w:sz w:val="22"/>
          <w:szCs w:val="22"/>
          <w:lang w:val="en-GB"/>
        </w:rPr>
        <w:t>In the case of a company or legal person, the place of the registered office shall be presumed to be the centre of its main interests in the absence of proof to the contrary.</w:t>
      </w:r>
      <w:r w:rsidRPr="00041D2C">
        <w:rPr>
          <w:rFonts w:ascii="Avenir Next" w:hAnsi="Avenir Next" w:cs="Arial"/>
          <w:i/>
          <w:iCs/>
          <w:color w:val="7B7B7B" w:themeColor="accent3" w:themeShade="BF"/>
          <w:sz w:val="22"/>
          <w:szCs w:val="22"/>
          <w:lang w:val="en-GB"/>
        </w:rPr>
        <w:t>"</w:t>
      </w:r>
      <w:r w:rsidR="00A245CC" w:rsidRPr="00041D2C">
        <w:rPr>
          <w:rFonts w:ascii="Avenir Next" w:hAnsi="Avenir Next" w:cs="Arial"/>
          <w:color w:val="7B7B7B" w:themeColor="accent3" w:themeShade="BF"/>
          <w:sz w:val="22"/>
          <w:szCs w:val="22"/>
          <w:lang w:val="en-GB"/>
        </w:rPr>
        <w:t xml:space="preserve"> </w:t>
      </w:r>
    </w:p>
    <w:p w14:paraId="6057A555" w14:textId="77777777" w:rsidR="000275C1" w:rsidRPr="00041D2C" w:rsidRDefault="000275C1" w:rsidP="000275C1">
      <w:pPr>
        <w:pStyle w:val="ListParagraph"/>
        <w:jc w:val="both"/>
        <w:rPr>
          <w:rFonts w:ascii="Avenir Next" w:hAnsi="Avenir Next" w:cs="Arial"/>
          <w:color w:val="7B7B7B" w:themeColor="accent3" w:themeShade="BF"/>
          <w:sz w:val="22"/>
          <w:szCs w:val="22"/>
          <w:lang w:val="en-GB"/>
        </w:rPr>
      </w:pPr>
    </w:p>
    <w:p w14:paraId="5D7CA520" w14:textId="660B37CA" w:rsidR="00366D28" w:rsidRPr="00041D2C" w:rsidRDefault="00A245CC" w:rsidP="000275C1">
      <w:pPr>
        <w:pStyle w:val="ListParagraph"/>
        <w:jc w:val="both"/>
        <w:rPr>
          <w:rFonts w:ascii="Avenir Next" w:hAnsi="Avenir Next" w:cs="Arial"/>
          <w:i/>
          <w:iCs/>
          <w:color w:val="7B7B7B" w:themeColor="accent3" w:themeShade="BF"/>
          <w:sz w:val="22"/>
          <w:szCs w:val="22"/>
          <w:lang w:val="en-GB"/>
        </w:rPr>
      </w:pPr>
      <w:r w:rsidRPr="00041D2C">
        <w:rPr>
          <w:rFonts w:ascii="Avenir Next" w:hAnsi="Avenir Next" w:cs="Arial"/>
          <w:color w:val="7B7B7B" w:themeColor="accent3" w:themeShade="BF"/>
          <w:sz w:val="22"/>
          <w:szCs w:val="22"/>
          <w:lang w:val="en-GB"/>
        </w:rPr>
        <w:t>For reasons outlined in</w:t>
      </w:r>
      <w:r w:rsidR="005E193A" w:rsidRPr="00041D2C">
        <w:rPr>
          <w:rFonts w:ascii="Avenir Next" w:hAnsi="Avenir Next" w:cs="Arial"/>
          <w:color w:val="7B7B7B" w:themeColor="accent3" w:themeShade="BF"/>
          <w:sz w:val="22"/>
          <w:szCs w:val="22"/>
          <w:lang w:val="en-GB"/>
        </w:rPr>
        <w:t xml:space="preserve"> more</w:t>
      </w:r>
      <w:r w:rsidRPr="00041D2C">
        <w:rPr>
          <w:rFonts w:ascii="Avenir Next" w:hAnsi="Avenir Next" w:cs="Arial"/>
          <w:color w:val="7B7B7B" w:themeColor="accent3" w:themeShade="BF"/>
          <w:sz w:val="22"/>
          <w:szCs w:val="22"/>
          <w:lang w:val="en-GB"/>
        </w:rPr>
        <w:t xml:space="preserve"> detail below in relation to EIR 2015, the COMI here appears to be France.</w:t>
      </w:r>
    </w:p>
    <w:p w14:paraId="6480C60D" w14:textId="77777777" w:rsidR="009E46B8" w:rsidRPr="00041D2C" w:rsidRDefault="009E46B8" w:rsidP="009E46B8">
      <w:pPr>
        <w:pStyle w:val="ListParagraph"/>
        <w:jc w:val="both"/>
        <w:rPr>
          <w:rFonts w:ascii="Avenir Next" w:hAnsi="Avenir Next" w:cs="Arial"/>
          <w:color w:val="7B7B7B" w:themeColor="accent3" w:themeShade="BF"/>
          <w:sz w:val="22"/>
          <w:szCs w:val="22"/>
          <w:lang w:val="en-GB"/>
        </w:rPr>
      </w:pPr>
    </w:p>
    <w:p w14:paraId="230BE6F5" w14:textId="6AD48652" w:rsidR="00366D28" w:rsidRPr="00041D2C" w:rsidRDefault="00736580" w:rsidP="00366D28">
      <w:pPr>
        <w:pStyle w:val="ListParagraph"/>
        <w:numPr>
          <w:ilvl w:val="0"/>
          <w:numId w:val="40"/>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In terms of personal scope of EIR 2000, Dinosaurus is not </w:t>
      </w:r>
      <w:r w:rsidR="00A245CC" w:rsidRPr="00041D2C">
        <w:rPr>
          <w:rFonts w:ascii="Avenir Next" w:hAnsi="Avenir Next" w:cs="Arial"/>
          <w:color w:val="7B7B7B" w:themeColor="accent3" w:themeShade="BF"/>
          <w:sz w:val="22"/>
          <w:szCs w:val="22"/>
          <w:lang w:val="en-GB"/>
        </w:rPr>
        <w:t>one of the excluded undertakings under Article 1(2) EIR 2000 (</w:t>
      </w:r>
      <w:r w:rsidR="00A245CC" w:rsidRPr="00041D2C">
        <w:rPr>
          <w:rFonts w:ascii="Avenir Next" w:hAnsi="Avenir Next" w:cs="Arial"/>
          <w:color w:val="7B7B7B" w:themeColor="accent3" w:themeShade="BF"/>
          <w:sz w:val="22"/>
          <w:szCs w:val="22"/>
          <w:lang w:val="en-GB"/>
        </w:rPr>
        <w:t>insurance undertaking, credit institution, investment undertaking which provide</w:t>
      </w:r>
      <w:r w:rsidR="00A245CC" w:rsidRPr="00041D2C">
        <w:rPr>
          <w:rFonts w:ascii="Avenir Next" w:hAnsi="Avenir Next" w:cs="Arial"/>
          <w:color w:val="7B7B7B" w:themeColor="accent3" w:themeShade="BF"/>
          <w:sz w:val="22"/>
          <w:szCs w:val="22"/>
          <w:lang w:val="en-GB"/>
        </w:rPr>
        <w:t>s</w:t>
      </w:r>
      <w:r w:rsidR="00A245CC" w:rsidRPr="00041D2C">
        <w:rPr>
          <w:rFonts w:ascii="Avenir Next" w:hAnsi="Avenir Next" w:cs="Arial"/>
          <w:color w:val="7B7B7B" w:themeColor="accent3" w:themeShade="BF"/>
          <w:sz w:val="22"/>
          <w:szCs w:val="22"/>
          <w:lang w:val="en-GB"/>
        </w:rPr>
        <w:t xml:space="preserve"> services involving the holding of funds or securities for third parties, or collective investment undertaking</w:t>
      </w:r>
      <w:r w:rsidR="00A245CC" w:rsidRPr="00041D2C">
        <w:rPr>
          <w:rFonts w:ascii="Avenir Next" w:hAnsi="Avenir Next" w:cs="Arial"/>
          <w:color w:val="7B7B7B" w:themeColor="accent3" w:themeShade="BF"/>
          <w:sz w:val="22"/>
          <w:szCs w:val="22"/>
          <w:lang w:val="en-GB"/>
        </w:rPr>
        <w:t>)</w:t>
      </w:r>
      <w:r w:rsidR="00A245CC" w:rsidRPr="00041D2C">
        <w:rPr>
          <w:rFonts w:ascii="Avenir Next" w:hAnsi="Avenir Next" w:cs="Arial"/>
          <w:color w:val="7B7B7B" w:themeColor="accent3" w:themeShade="BF"/>
          <w:sz w:val="22"/>
          <w:szCs w:val="22"/>
          <w:lang w:val="en-GB"/>
        </w:rPr>
        <w:t>.</w:t>
      </w:r>
      <w:r w:rsidR="00370C32" w:rsidRPr="00041D2C">
        <w:rPr>
          <w:rFonts w:ascii="Avenir Next" w:hAnsi="Avenir Next" w:cs="Arial"/>
          <w:color w:val="7B7B7B" w:themeColor="accent3" w:themeShade="BF"/>
          <w:sz w:val="22"/>
          <w:szCs w:val="22"/>
          <w:lang w:val="en-GB"/>
        </w:rPr>
        <w:t xml:space="preserve"> </w:t>
      </w:r>
    </w:p>
    <w:p w14:paraId="316A324A" w14:textId="77777777" w:rsidR="00F74F8C" w:rsidRPr="00041D2C" w:rsidRDefault="00F74F8C" w:rsidP="00F74F8C">
      <w:pPr>
        <w:pStyle w:val="ListParagraph"/>
        <w:rPr>
          <w:rFonts w:ascii="Avenir Next" w:hAnsi="Avenir Next" w:cs="Arial"/>
          <w:color w:val="7B7B7B" w:themeColor="accent3" w:themeShade="BF"/>
          <w:sz w:val="22"/>
          <w:szCs w:val="22"/>
          <w:lang w:val="en-GB"/>
        </w:rPr>
      </w:pPr>
    </w:p>
    <w:p w14:paraId="3847B151" w14:textId="0FD7BF86" w:rsidR="00F74F8C" w:rsidRPr="00041D2C" w:rsidRDefault="00F74F8C" w:rsidP="00366D28">
      <w:pPr>
        <w:pStyle w:val="ListParagraph"/>
        <w:numPr>
          <w:ilvl w:val="0"/>
          <w:numId w:val="40"/>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In terms of temporal scope, the EIR 2000 came into force on 31 May 2002</w:t>
      </w:r>
      <w:r w:rsidR="005E193A" w:rsidRPr="00041D2C">
        <w:rPr>
          <w:rFonts w:ascii="Avenir Next" w:hAnsi="Avenir Next" w:cs="Arial"/>
          <w:color w:val="7B7B7B" w:themeColor="accent3" w:themeShade="BF"/>
          <w:sz w:val="22"/>
          <w:szCs w:val="22"/>
          <w:lang w:val="en-GB"/>
        </w:rPr>
        <w:t>, s</w:t>
      </w:r>
      <w:r w:rsidRPr="00041D2C">
        <w:rPr>
          <w:rFonts w:ascii="Avenir Next" w:hAnsi="Avenir Next" w:cs="Arial"/>
          <w:color w:val="7B7B7B" w:themeColor="accent3" w:themeShade="BF"/>
          <w:sz w:val="22"/>
          <w:szCs w:val="22"/>
          <w:lang w:val="en-GB"/>
        </w:rPr>
        <w:t>o would apply to any proceedings</w:t>
      </w:r>
      <w:r w:rsidR="005E193A" w:rsidRPr="00041D2C">
        <w:rPr>
          <w:rFonts w:ascii="Avenir Next" w:hAnsi="Avenir Next" w:cs="Arial"/>
          <w:color w:val="7B7B7B" w:themeColor="accent3" w:themeShade="BF"/>
          <w:sz w:val="22"/>
          <w:szCs w:val="22"/>
          <w:lang w:val="en-GB"/>
        </w:rPr>
        <w:t xml:space="preserve"> commenced</w:t>
      </w:r>
      <w:r w:rsidRPr="00041D2C">
        <w:rPr>
          <w:rFonts w:ascii="Avenir Next" w:hAnsi="Avenir Next" w:cs="Arial"/>
          <w:color w:val="7B7B7B" w:themeColor="accent3" w:themeShade="BF"/>
          <w:sz w:val="22"/>
          <w:szCs w:val="22"/>
          <w:lang w:val="en-GB"/>
        </w:rPr>
        <w:t xml:space="preserve"> between then and 26 June 2017 </w:t>
      </w:r>
      <w:r w:rsidR="005E193A" w:rsidRPr="00041D2C">
        <w:rPr>
          <w:rFonts w:ascii="Avenir Next" w:hAnsi="Avenir Next" w:cs="Arial"/>
          <w:color w:val="7B7B7B" w:themeColor="accent3" w:themeShade="BF"/>
          <w:sz w:val="22"/>
          <w:szCs w:val="22"/>
          <w:lang w:val="en-GB"/>
        </w:rPr>
        <w:t>(</w:t>
      </w:r>
      <w:r w:rsidRPr="00041D2C">
        <w:rPr>
          <w:rFonts w:ascii="Avenir Next" w:hAnsi="Avenir Next" w:cs="Arial"/>
          <w:color w:val="7B7B7B" w:themeColor="accent3" w:themeShade="BF"/>
          <w:sz w:val="22"/>
          <w:szCs w:val="22"/>
          <w:lang w:val="en-GB"/>
        </w:rPr>
        <w:t>when the EIR Recast came into force</w:t>
      </w:r>
      <w:r w:rsidR="005E193A" w:rsidRPr="00041D2C">
        <w:rPr>
          <w:rFonts w:ascii="Avenir Next" w:hAnsi="Avenir Next" w:cs="Arial"/>
          <w:color w:val="7B7B7B" w:themeColor="accent3" w:themeShade="BF"/>
          <w:sz w:val="22"/>
          <w:szCs w:val="22"/>
          <w:lang w:val="en-GB"/>
        </w:rPr>
        <w:t>)</w:t>
      </w:r>
      <w:r w:rsidRPr="00041D2C">
        <w:rPr>
          <w:rFonts w:ascii="Avenir Next" w:hAnsi="Avenir Next" w:cs="Arial"/>
          <w:color w:val="7B7B7B" w:themeColor="accent3" w:themeShade="BF"/>
          <w:sz w:val="22"/>
          <w:szCs w:val="22"/>
          <w:lang w:val="en-GB"/>
        </w:rPr>
        <w:t>.</w:t>
      </w:r>
    </w:p>
    <w:p w14:paraId="1F597719" w14:textId="77777777" w:rsidR="00A245CC" w:rsidRPr="00041D2C" w:rsidRDefault="00A245CC" w:rsidP="00A245CC">
      <w:pPr>
        <w:pStyle w:val="ListParagraph"/>
        <w:jc w:val="both"/>
        <w:rPr>
          <w:rFonts w:ascii="Avenir Next" w:hAnsi="Avenir Next" w:cs="Arial"/>
          <w:color w:val="7B7B7B" w:themeColor="accent3" w:themeShade="BF"/>
          <w:sz w:val="22"/>
          <w:szCs w:val="22"/>
          <w:lang w:val="en-GB"/>
        </w:rPr>
      </w:pPr>
    </w:p>
    <w:p w14:paraId="4A288851" w14:textId="1228DF6F" w:rsidR="003E4DB0" w:rsidRPr="00041D2C" w:rsidRDefault="003E4DB0" w:rsidP="002A37BB">
      <w:pPr>
        <w:jc w:val="both"/>
        <w:rPr>
          <w:rFonts w:ascii="Avenir Next" w:hAnsi="Avenir Next" w:cs="Arial"/>
          <w:sz w:val="22"/>
          <w:szCs w:val="22"/>
          <w:lang w:val="en-GB"/>
        </w:rPr>
      </w:pPr>
    </w:p>
    <w:p w14:paraId="40921E31" w14:textId="7125C35C" w:rsidR="002F75A3" w:rsidRPr="00041D2C" w:rsidRDefault="009B0723" w:rsidP="002A37BB">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Question 4.2 [</w:t>
      </w:r>
      <w:r w:rsidR="00126A4D" w:rsidRPr="00041D2C">
        <w:rPr>
          <w:rFonts w:ascii="Avenir Next Demi Bold" w:hAnsi="Avenir Next Demi Bold" w:cs="Arial"/>
          <w:b/>
          <w:bCs/>
          <w:sz w:val="22"/>
          <w:szCs w:val="22"/>
          <w:lang w:val="en-GB"/>
        </w:rPr>
        <w:t>m</w:t>
      </w:r>
      <w:r w:rsidRPr="00041D2C">
        <w:rPr>
          <w:rFonts w:ascii="Avenir Next Demi Bold" w:hAnsi="Avenir Next Demi Bold" w:cs="Arial"/>
          <w:b/>
          <w:bCs/>
          <w:sz w:val="22"/>
          <w:szCs w:val="22"/>
          <w:lang w:val="en-GB"/>
        </w:rPr>
        <w:t xml:space="preserve">aximum </w:t>
      </w:r>
      <w:r w:rsidR="009B4976" w:rsidRPr="00041D2C">
        <w:rPr>
          <w:rFonts w:ascii="Avenir Next Demi Bold" w:hAnsi="Avenir Next Demi Bold" w:cs="Arial"/>
          <w:b/>
          <w:bCs/>
          <w:sz w:val="22"/>
          <w:szCs w:val="22"/>
          <w:lang w:val="en-GB"/>
        </w:rPr>
        <w:t>5</w:t>
      </w:r>
      <w:r w:rsidRPr="00041D2C">
        <w:rPr>
          <w:rFonts w:ascii="Avenir Next Demi Bold" w:hAnsi="Avenir Next Demi Bold" w:cs="Arial"/>
          <w:b/>
          <w:bCs/>
          <w:sz w:val="22"/>
          <w:szCs w:val="22"/>
          <w:lang w:val="en-GB"/>
        </w:rPr>
        <w:t xml:space="preserve"> marks] </w:t>
      </w:r>
    </w:p>
    <w:p w14:paraId="6433B0AC" w14:textId="77777777" w:rsidR="002F75A3" w:rsidRPr="00041D2C" w:rsidRDefault="002F75A3" w:rsidP="002A37BB">
      <w:pPr>
        <w:jc w:val="both"/>
        <w:rPr>
          <w:rFonts w:ascii="Avenir Next" w:hAnsi="Avenir Next" w:cs="Arial"/>
          <w:b/>
          <w:bCs/>
          <w:sz w:val="22"/>
          <w:szCs w:val="22"/>
          <w:lang w:val="en-GB"/>
        </w:rPr>
      </w:pPr>
    </w:p>
    <w:p w14:paraId="02CDA1A3" w14:textId="50AE5949" w:rsidR="003D17A2" w:rsidRPr="00041D2C" w:rsidRDefault="003D17A2" w:rsidP="002A37BB">
      <w:pPr>
        <w:jc w:val="both"/>
        <w:rPr>
          <w:rFonts w:ascii="Avenir Next" w:hAnsi="Avenir Next" w:cs="Arial"/>
          <w:sz w:val="22"/>
          <w:szCs w:val="22"/>
          <w:lang w:val="en-GB"/>
        </w:rPr>
      </w:pPr>
      <w:r w:rsidRPr="00041D2C">
        <w:rPr>
          <w:rFonts w:ascii="Avenir Next" w:hAnsi="Avenir Next" w:cs="Arial"/>
          <w:sz w:val="22"/>
          <w:szCs w:val="22"/>
          <w:lang w:val="en-GB"/>
        </w:rPr>
        <w:lastRenderedPageBreak/>
        <w:t xml:space="preserve">Assume that the timeline is as explained in the </w:t>
      </w:r>
      <w:r w:rsidR="00E70FA4" w:rsidRPr="00041D2C">
        <w:rPr>
          <w:rFonts w:ascii="Avenir Next" w:hAnsi="Avenir Next" w:cs="Arial"/>
          <w:sz w:val="22"/>
          <w:szCs w:val="22"/>
          <w:lang w:val="en-GB"/>
        </w:rPr>
        <w:t xml:space="preserve">original </w:t>
      </w:r>
      <w:r w:rsidRPr="00041D2C">
        <w:rPr>
          <w:rFonts w:ascii="Avenir Next" w:hAnsi="Avenir Next" w:cs="Arial"/>
          <w:sz w:val="22"/>
          <w:szCs w:val="22"/>
          <w:lang w:val="en-GB"/>
        </w:rPr>
        <w:t xml:space="preserve">scenario above and that the French High Court opens safeguard proceedings on </w:t>
      </w:r>
      <w:r w:rsidR="00751788" w:rsidRPr="00041D2C">
        <w:rPr>
          <w:rFonts w:ascii="Avenir Next" w:hAnsi="Avenir Next" w:cs="Arial"/>
          <w:sz w:val="22"/>
          <w:szCs w:val="22"/>
          <w:lang w:val="en-GB"/>
        </w:rPr>
        <w:t>23</w:t>
      </w:r>
      <w:r w:rsidRPr="00041D2C">
        <w:rPr>
          <w:rFonts w:ascii="Avenir Next" w:hAnsi="Avenir Next" w:cs="Arial"/>
          <w:sz w:val="22"/>
          <w:szCs w:val="22"/>
          <w:lang w:val="en-GB"/>
        </w:rPr>
        <w:t xml:space="preserve"> June 20</w:t>
      </w:r>
      <w:r w:rsidR="00751788" w:rsidRPr="00041D2C">
        <w:rPr>
          <w:rFonts w:ascii="Avenir Next" w:hAnsi="Avenir Next" w:cs="Arial"/>
          <w:sz w:val="22"/>
          <w:szCs w:val="22"/>
          <w:lang w:val="en-GB"/>
        </w:rPr>
        <w:t>23</w:t>
      </w:r>
      <w:r w:rsidRPr="00041D2C">
        <w:rPr>
          <w:rFonts w:ascii="Avenir Next" w:hAnsi="Avenir Next" w:cs="Arial"/>
          <w:sz w:val="22"/>
          <w:szCs w:val="22"/>
          <w:lang w:val="en-GB"/>
        </w:rPr>
        <w:t xml:space="preserve">. </w:t>
      </w:r>
    </w:p>
    <w:p w14:paraId="66F351BC" w14:textId="77777777" w:rsidR="006723E9" w:rsidRPr="00041D2C" w:rsidRDefault="006723E9" w:rsidP="002A37BB">
      <w:pPr>
        <w:jc w:val="both"/>
        <w:rPr>
          <w:rFonts w:ascii="Avenir Next" w:hAnsi="Avenir Next" w:cs="Arial"/>
          <w:sz w:val="22"/>
          <w:szCs w:val="22"/>
          <w:lang w:val="en-GB"/>
        </w:rPr>
      </w:pPr>
    </w:p>
    <w:p w14:paraId="4FED367C" w14:textId="1E133EA6" w:rsidR="003D17A2" w:rsidRPr="00041D2C" w:rsidRDefault="009B4976" w:rsidP="002A37BB">
      <w:pPr>
        <w:jc w:val="both"/>
        <w:rPr>
          <w:rFonts w:ascii="Avenir Next Demi Bold" w:hAnsi="Avenir Next Demi Bold" w:cs="Arial"/>
          <w:b/>
          <w:bCs/>
          <w:i/>
          <w:iCs/>
          <w:sz w:val="22"/>
          <w:szCs w:val="22"/>
          <w:lang w:val="en-GB"/>
        </w:rPr>
      </w:pPr>
      <w:r w:rsidRPr="00041D2C">
        <w:rPr>
          <w:rFonts w:ascii="Avenir Next Demi Bold" w:hAnsi="Avenir Next Demi Bold" w:cs="Arial"/>
          <w:b/>
          <w:bCs/>
          <w:i/>
          <w:iCs/>
          <w:sz w:val="22"/>
          <w:szCs w:val="22"/>
          <w:lang w:val="en-GB"/>
        </w:rPr>
        <w:t>Will the EIR Recast be applicable</w:t>
      </w:r>
      <w:r w:rsidR="003D17A2" w:rsidRPr="00041D2C">
        <w:rPr>
          <w:rFonts w:ascii="Avenir Next Demi Bold" w:hAnsi="Avenir Next Demi Bold" w:cs="Arial"/>
          <w:b/>
          <w:bCs/>
          <w:i/>
          <w:iCs/>
          <w:sz w:val="22"/>
          <w:szCs w:val="22"/>
          <w:lang w:val="en-GB"/>
        </w:rPr>
        <w:t xml:space="preserve"> to the proceedings</w:t>
      </w:r>
      <w:r w:rsidRPr="00041D2C">
        <w:rPr>
          <w:rFonts w:ascii="Avenir Next Demi Bold" w:hAnsi="Avenir Next Demi Bold" w:cs="Arial"/>
          <w:b/>
          <w:bCs/>
          <w:i/>
          <w:iCs/>
          <w:sz w:val="22"/>
          <w:szCs w:val="22"/>
          <w:lang w:val="en-GB"/>
        </w:rPr>
        <w:t xml:space="preserve">? </w:t>
      </w:r>
    </w:p>
    <w:p w14:paraId="7B0D4556" w14:textId="77777777" w:rsidR="006723E9" w:rsidRPr="00041D2C" w:rsidRDefault="006723E9" w:rsidP="002A37BB">
      <w:pPr>
        <w:jc w:val="both"/>
        <w:rPr>
          <w:rFonts w:ascii="Avenir Next" w:hAnsi="Avenir Next" w:cs="Arial"/>
          <w:sz w:val="22"/>
          <w:szCs w:val="22"/>
          <w:lang w:val="en-GB"/>
        </w:rPr>
      </w:pPr>
    </w:p>
    <w:p w14:paraId="27FE742D" w14:textId="1F939023" w:rsidR="009B0723" w:rsidRPr="00041D2C" w:rsidRDefault="009B4976" w:rsidP="002A37BB">
      <w:pPr>
        <w:jc w:val="both"/>
        <w:rPr>
          <w:rFonts w:ascii="Avenir Next" w:hAnsi="Avenir Next" w:cs="Arial"/>
          <w:sz w:val="22"/>
          <w:szCs w:val="22"/>
          <w:lang w:val="en-GB"/>
        </w:rPr>
      </w:pPr>
      <w:r w:rsidRPr="00041D2C">
        <w:rPr>
          <w:rFonts w:ascii="Avenir Next" w:hAnsi="Avenir Next" w:cs="Arial"/>
          <w:sz w:val="22"/>
          <w:szCs w:val="22"/>
          <w:lang w:val="en-GB"/>
        </w:rPr>
        <w:t xml:space="preserve">Your answer should address the EIR Recast’s scope and contain </w:t>
      </w:r>
      <w:r w:rsidRPr="00041D2C">
        <w:rPr>
          <w:rFonts w:ascii="Avenir Next Demi Bold" w:hAnsi="Avenir Next Demi Bold" w:cs="Arial"/>
          <w:b/>
          <w:bCs/>
          <w:sz w:val="22"/>
          <w:szCs w:val="22"/>
          <w:u w:val="single"/>
          <w:lang w:val="en-GB"/>
        </w:rPr>
        <w:t>all</w:t>
      </w:r>
      <w:r w:rsidRPr="00041D2C">
        <w:rPr>
          <w:rFonts w:ascii="Avenir Next Demi Bold" w:hAnsi="Avenir Next Demi Bold" w:cs="Arial"/>
          <w:b/>
          <w:bCs/>
          <w:sz w:val="22"/>
          <w:szCs w:val="22"/>
          <w:lang w:val="en-GB"/>
        </w:rPr>
        <w:t xml:space="preserve"> </w:t>
      </w:r>
      <w:r w:rsidRPr="00041D2C">
        <w:rPr>
          <w:rFonts w:ascii="Avenir Next" w:hAnsi="Avenir Next" w:cs="Arial"/>
          <w:sz w:val="22"/>
          <w:szCs w:val="22"/>
          <w:lang w:val="en-GB"/>
        </w:rPr>
        <w:t>steps taken to answer the question.</w:t>
      </w:r>
    </w:p>
    <w:p w14:paraId="468C3857" w14:textId="77777777" w:rsidR="000A3278" w:rsidRPr="00041D2C" w:rsidRDefault="000A3278" w:rsidP="002A37BB">
      <w:pPr>
        <w:jc w:val="both"/>
        <w:rPr>
          <w:rFonts w:ascii="Avenir Next" w:hAnsi="Avenir Next" w:cs="Arial"/>
          <w:sz w:val="22"/>
          <w:szCs w:val="22"/>
          <w:lang w:val="en-GB"/>
        </w:rPr>
      </w:pPr>
    </w:p>
    <w:p w14:paraId="388F5071" w14:textId="2FED6F18" w:rsidR="00EA14EE" w:rsidRPr="00041D2C" w:rsidRDefault="009C1EBF" w:rsidP="002A37BB">
      <w:pPr>
        <w:autoSpaceDE w:val="0"/>
        <w:autoSpaceDN w:val="0"/>
        <w:adjustRightInd w:val="0"/>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Yes, the EIR Recast would be applicable for the following reasons:</w:t>
      </w:r>
    </w:p>
    <w:p w14:paraId="1CAF0469" w14:textId="77777777" w:rsidR="009C1EBF" w:rsidRPr="00041D2C" w:rsidRDefault="009C1EBF" w:rsidP="002A37BB">
      <w:pPr>
        <w:autoSpaceDE w:val="0"/>
        <w:autoSpaceDN w:val="0"/>
        <w:adjustRightInd w:val="0"/>
        <w:jc w:val="both"/>
        <w:rPr>
          <w:rFonts w:ascii="Avenir Next" w:hAnsi="Avenir Next" w:cs="Arial"/>
          <w:color w:val="7B7B7B" w:themeColor="accent3" w:themeShade="BF"/>
          <w:sz w:val="22"/>
          <w:szCs w:val="22"/>
          <w:lang w:val="en-GB"/>
        </w:rPr>
      </w:pPr>
    </w:p>
    <w:p w14:paraId="37696181" w14:textId="2421F804" w:rsidR="00366D28" w:rsidRPr="00041D2C" w:rsidRDefault="009C1EBF" w:rsidP="009C1EBF">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041D2C">
        <w:rPr>
          <w:rFonts w:ascii="Avenir Next" w:hAnsi="Avenir Next" w:cs="Arial"/>
          <w:color w:val="808080" w:themeColor="background1" w:themeShade="80"/>
          <w:sz w:val="22"/>
          <w:szCs w:val="22"/>
          <w:lang w:val="en-GB"/>
        </w:rPr>
        <w:t>Firstly, the proceedings are within the EIR Recast's geographical/territorial scope, as the debtor</w:t>
      </w:r>
      <w:r w:rsidR="001C7FCC" w:rsidRPr="00041D2C">
        <w:rPr>
          <w:rFonts w:ascii="Avenir Next" w:hAnsi="Avenir Next" w:cs="Arial"/>
          <w:color w:val="808080" w:themeColor="background1" w:themeShade="80"/>
          <w:sz w:val="22"/>
          <w:szCs w:val="22"/>
          <w:lang w:val="en-GB"/>
        </w:rPr>
        <w:t>'s</w:t>
      </w:r>
      <w:r w:rsidRPr="00041D2C">
        <w:rPr>
          <w:rFonts w:ascii="Avenir Next" w:hAnsi="Avenir Next" w:cs="Arial"/>
          <w:color w:val="808080" w:themeColor="background1" w:themeShade="80"/>
          <w:sz w:val="22"/>
          <w:szCs w:val="22"/>
          <w:lang w:val="en-GB"/>
        </w:rPr>
        <w:t xml:space="preserve"> COMI is a Member State</w:t>
      </w:r>
      <w:r w:rsidR="00C133FF" w:rsidRPr="00041D2C">
        <w:rPr>
          <w:rFonts w:ascii="Avenir Next" w:hAnsi="Avenir Next" w:cs="Arial"/>
          <w:color w:val="808080" w:themeColor="background1" w:themeShade="80"/>
          <w:sz w:val="22"/>
          <w:szCs w:val="22"/>
          <w:lang w:val="en-GB"/>
        </w:rPr>
        <w:t xml:space="preserve"> (Recital 25 EIR Recast)</w:t>
      </w:r>
      <w:r w:rsidRPr="00041D2C">
        <w:rPr>
          <w:rFonts w:ascii="Avenir Next" w:hAnsi="Avenir Next" w:cs="Arial"/>
          <w:color w:val="808080" w:themeColor="background1" w:themeShade="80"/>
          <w:sz w:val="22"/>
          <w:szCs w:val="22"/>
          <w:lang w:val="en-GB"/>
        </w:rPr>
        <w:t xml:space="preserve">. In this particular case, the COMI, overwhelmingly, appears to be France. </w:t>
      </w:r>
      <w:r w:rsidR="00366D28" w:rsidRPr="00041D2C">
        <w:rPr>
          <w:rFonts w:ascii="Avenir Next" w:hAnsi="Avenir Next" w:cs="Arial"/>
          <w:color w:val="808080" w:themeColor="background1" w:themeShade="80"/>
          <w:sz w:val="22"/>
          <w:szCs w:val="22"/>
          <w:lang w:val="en-GB"/>
        </w:rPr>
        <w:t>Under Article 3(1) EIR Recast, t</w:t>
      </w:r>
      <w:r w:rsidR="00366D28" w:rsidRPr="00041D2C">
        <w:rPr>
          <w:rFonts w:ascii="Avenir Next" w:hAnsi="Avenir Next" w:cs="Arial"/>
          <w:color w:val="808080" w:themeColor="background1" w:themeShade="80"/>
          <w:sz w:val="22"/>
          <w:szCs w:val="22"/>
          <w:lang w:val="en-GB"/>
        </w:rPr>
        <w:t xml:space="preserve">he </w:t>
      </w:r>
      <w:r w:rsidR="00366D28" w:rsidRPr="00041D2C">
        <w:rPr>
          <w:rFonts w:ascii="Avenir Next" w:hAnsi="Avenir Next" w:cs="Arial"/>
          <w:color w:val="808080" w:themeColor="background1" w:themeShade="80"/>
          <w:sz w:val="22"/>
          <w:szCs w:val="22"/>
          <w:lang w:val="en-GB"/>
        </w:rPr>
        <w:t>COMI</w:t>
      </w:r>
      <w:r w:rsidR="00366D28" w:rsidRPr="00041D2C">
        <w:rPr>
          <w:rFonts w:ascii="Avenir Next" w:hAnsi="Avenir Next" w:cs="Arial"/>
          <w:color w:val="808080" w:themeColor="background1" w:themeShade="80"/>
          <w:sz w:val="22"/>
          <w:szCs w:val="22"/>
          <w:lang w:val="en-GB"/>
        </w:rPr>
        <w:t xml:space="preserve"> shall be the place where the debtor conducts the administration of its interests on a regular basis and which is ascertainable by third parties</w:t>
      </w:r>
      <w:r w:rsidR="00366D28" w:rsidRPr="00041D2C">
        <w:rPr>
          <w:rFonts w:ascii="Avenir Next" w:hAnsi="Avenir Next" w:cs="Arial"/>
          <w:color w:val="808080" w:themeColor="background1" w:themeShade="80"/>
          <w:sz w:val="22"/>
          <w:szCs w:val="22"/>
          <w:lang w:val="en-GB"/>
        </w:rPr>
        <w:t xml:space="preserve"> (i.e. the wording that was previous in the recitals to EIR 2000 now features in the body of EIR Recast)</w:t>
      </w:r>
      <w:r w:rsidR="00366D28" w:rsidRPr="00041D2C">
        <w:rPr>
          <w:rFonts w:ascii="Avenir Next" w:hAnsi="Avenir Next" w:cs="Arial"/>
          <w:color w:val="808080" w:themeColor="background1" w:themeShade="80"/>
          <w:sz w:val="22"/>
          <w:szCs w:val="22"/>
          <w:lang w:val="en-GB"/>
        </w:rPr>
        <w:t>.</w:t>
      </w:r>
    </w:p>
    <w:p w14:paraId="6B8AB89A" w14:textId="77777777" w:rsidR="00366D28" w:rsidRPr="00041D2C" w:rsidRDefault="00366D28" w:rsidP="00366D28">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1CBB64EC" w14:textId="77777777" w:rsidR="00C351F8" w:rsidRDefault="009C1EBF" w:rsidP="00366D28">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041D2C">
        <w:rPr>
          <w:rFonts w:ascii="Avenir Next" w:hAnsi="Avenir Next" w:cs="Arial"/>
          <w:color w:val="808080" w:themeColor="background1" w:themeShade="80"/>
          <w:sz w:val="22"/>
          <w:szCs w:val="22"/>
          <w:lang w:val="en-GB"/>
        </w:rPr>
        <w:t xml:space="preserve">The </w:t>
      </w:r>
      <w:r w:rsidR="00366D28" w:rsidRPr="00041D2C">
        <w:rPr>
          <w:rFonts w:ascii="Avenir Next" w:hAnsi="Avenir Next" w:cs="Arial"/>
          <w:color w:val="808080" w:themeColor="background1" w:themeShade="80"/>
          <w:sz w:val="22"/>
          <w:szCs w:val="22"/>
          <w:lang w:val="en-GB"/>
        </w:rPr>
        <w:t xml:space="preserve">same </w:t>
      </w:r>
      <w:r w:rsidRPr="00041D2C">
        <w:rPr>
          <w:rFonts w:ascii="Avenir Next" w:hAnsi="Avenir Next" w:cs="Arial"/>
          <w:color w:val="808080" w:themeColor="background1" w:themeShade="80"/>
          <w:sz w:val="22"/>
          <w:szCs w:val="22"/>
          <w:lang w:val="en-GB"/>
        </w:rPr>
        <w:t>registered office presumption</w:t>
      </w:r>
      <w:r w:rsidR="00A245CC" w:rsidRPr="00041D2C">
        <w:rPr>
          <w:rFonts w:ascii="Avenir Next" w:hAnsi="Avenir Next" w:cs="Arial"/>
          <w:color w:val="808080" w:themeColor="background1" w:themeShade="80"/>
          <w:sz w:val="22"/>
          <w:szCs w:val="22"/>
          <w:lang w:val="en-GB"/>
        </w:rPr>
        <w:t xml:space="preserve"> as in EIR 2000 applies to the EIR 2015</w:t>
      </w:r>
      <w:r w:rsidRPr="00041D2C">
        <w:rPr>
          <w:rFonts w:ascii="Avenir Next" w:hAnsi="Avenir Next" w:cs="Arial"/>
          <w:color w:val="808080" w:themeColor="background1" w:themeShade="80"/>
          <w:sz w:val="22"/>
          <w:szCs w:val="22"/>
          <w:lang w:val="en-GB"/>
        </w:rPr>
        <w:t xml:space="preserve"> </w:t>
      </w:r>
      <w:r w:rsidR="002939CA" w:rsidRPr="00041D2C">
        <w:rPr>
          <w:rFonts w:ascii="Avenir Next" w:hAnsi="Avenir Next" w:cs="Arial"/>
          <w:color w:val="808080" w:themeColor="background1" w:themeShade="80"/>
          <w:sz w:val="22"/>
          <w:szCs w:val="22"/>
          <w:lang w:val="en-GB"/>
        </w:rPr>
        <w:t>(Article 3(1))</w:t>
      </w:r>
      <w:r w:rsidR="00A245CC" w:rsidRPr="00041D2C">
        <w:rPr>
          <w:rFonts w:ascii="Avenir Next" w:hAnsi="Avenir Next" w:cs="Arial"/>
          <w:color w:val="808080" w:themeColor="background1" w:themeShade="80"/>
          <w:sz w:val="22"/>
          <w:szCs w:val="22"/>
          <w:lang w:val="en-GB"/>
        </w:rPr>
        <w:t>. This would mean</w:t>
      </w:r>
      <w:r w:rsidRPr="00041D2C">
        <w:rPr>
          <w:rFonts w:ascii="Avenir Next" w:hAnsi="Avenir Next" w:cs="Arial"/>
          <w:color w:val="808080" w:themeColor="background1" w:themeShade="80"/>
          <w:sz w:val="22"/>
          <w:szCs w:val="22"/>
          <w:lang w:val="en-GB"/>
        </w:rPr>
        <w:t xml:space="preserve"> a </w:t>
      </w:r>
      <w:r w:rsidR="00C351F8">
        <w:rPr>
          <w:rFonts w:ascii="Avenir Next" w:hAnsi="Avenir Next" w:cs="Arial"/>
          <w:color w:val="808080" w:themeColor="background1" w:themeShade="80"/>
          <w:sz w:val="22"/>
          <w:szCs w:val="22"/>
          <w:lang w:val="en-GB"/>
        </w:rPr>
        <w:t xml:space="preserve">presumption of </w:t>
      </w:r>
      <w:r w:rsidRPr="00041D2C">
        <w:rPr>
          <w:rFonts w:ascii="Avenir Next" w:hAnsi="Avenir Next" w:cs="Arial"/>
          <w:color w:val="808080" w:themeColor="background1" w:themeShade="80"/>
          <w:sz w:val="22"/>
          <w:szCs w:val="22"/>
          <w:lang w:val="en-GB"/>
        </w:rPr>
        <w:t xml:space="preserve">French COMI </w:t>
      </w:r>
      <w:r w:rsidR="0073328E" w:rsidRPr="00041D2C">
        <w:rPr>
          <w:rFonts w:ascii="Avenir Next" w:hAnsi="Avenir Next" w:cs="Arial"/>
          <w:color w:val="808080" w:themeColor="background1" w:themeShade="80"/>
          <w:sz w:val="22"/>
          <w:szCs w:val="22"/>
          <w:lang w:val="en-GB"/>
        </w:rPr>
        <w:t xml:space="preserve">(if we assume that a company incorporated in France must have its registered office in France – although the facts do not explicitly state where the </w:t>
      </w:r>
      <w:r w:rsidR="00C351F8">
        <w:rPr>
          <w:rFonts w:ascii="Avenir Next" w:hAnsi="Avenir Next" w:cs="Arial"/>
          <w:color w:val="808080" w:themeColor="background1" w:themeShade="80"/>
          <w:sz w:val="22"/>
          <w:szCs w:val="22"/>
          <w:lang w:val="en-GB"/>
        </w:rPr>
        <w:t xml:space="preserve">Dinosaurus </w:t>
      </w:r>
      <w:r w:rsidR="0073328E" w:rsidRPr="00041D2C">
        <w:rPr>
          <w:rFonts w:ascii="Avenir Next" w:hAnsi="Avenir Next" w:cs="Arial"/>
          <w:color w:val="808080" w:themeColor="background1" w:themeShade="80"/>
          <w:sz w:val="22"/>
          <w:szCs w:val="22"/>
          <w:lang w:val="en-GB"/>
        </w:rPr>
        <w:t>registered office is)</w:t>
      </w:r>
      <w:r w:rsidR="00DB4363" w:rsidRPr="00041D2C">
        <w:rPr>
          <w:rFonts w:ascii="Avenir Next" w:hAnsi="Avenir Next" w:cs="Arial"/>
          <w:color w:val="808080" w:themeColor="background1" w:themeShade="80"/>
          <w:sz w:val="22"/>
          <w:szCs w:val="22"/>
          <w:lang w:val="en-GB"/>
        </w:rPr>
        <w:t xml:space="preserve">. </w:t>
      </w:r>
    </w:p>
    <w:p w14:paraId="264AE926" w14:textId="77777777" w:rsidR="00C351F8" w:rsidRDefault="00C351F8" w:rsidP="00366D28">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66C0E05E" w14:textId="4E580830" w:rsidR="009C1EBF" w:rsidRPr="00041D2C" w:rsidRDefault="00DB4363" w:rsidP="00366D28">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041D2C">
        <w:rPr>
          <w:rFonts w:ascii="Avenir Next" w:hAnsi="Avenir Next" w:cs="Arial"/>
          <w:color w:val="808080" w:themeColor="background1" w:themeShade="80"/>
          <w:sz w:val="22"/>
          <w:szCs w:val="22"/>
          <w:lang w:val="en-GB"/>
        </w:rPr>
        <w:t>T</w:t>
      </w:r>
      <w:r w:rsidR="009C1EBF" w:rsidRPr="00041D2C">
        <w:rPr>
          <w:rFonts w:ascii="Avenir Next" w:hAnsi="Avenir Next" w:cs="Arial"/>
          <w:color w:val="808080" w:themeColor="background1" w:themeShade="80"/>
          <w:sz w:val="22"/>
          <w:szCs w:val="22"/>
          <w:lang w:val="en-GB"/>
        </w:rPr>
        <w:t>here doe</w:t>
      </w:r>
      <w:r w:rsidR="001C7FCC" w:rsidRPr="00041D2C">
        <w:rPr>
          <w:rFonts w:ascii="Avenir Next" w:hAnsi="Avenir Next" w:cs="Arial"/>
          <w:color w:val="808080" w:themeColor="background1" w:themeShade="80"/>
          <w:sz w:val="22"/>
          <w:szCs w:val="22"/>
          <w:lang w:val="en-GB"/>
        </w:rPr>
        <w:t>s</w:t>
      </w:r>
      <w:r w:rsidR="009C1EBF" w:rsidRPr="00041D2C">
        <w:rPr>
          <w:rFonts w:ascii="Avenir Next" w:hAnsi="Avenir Next" w:cs="Arial"/>
          <w:color w:val="808080" w:themeColor="background1" w:themeShade="80"/>
          <w:sz w:val="22"/>
          <w:szCs w:val="22"/>
          <w:lang w:val="en-GB"/>
        </w:rPr>
        <w:t xml:space="preserve"> not seem to be enough </w:t>
      </w:r>
      <w:r w:rsidRPr="00041D2C">
        <w:rPr>
          <w:rFonts w:ascii="Avenir Next" w:hAnsi="Avenir Next" w:cs="Arial"/>
          <w:color w:val="808080" w:themeColor="background1" w:themeShade="80"/>
          <w:sz w:val="22"/>
          <w:szCs w:val="22"/>
          <w:lang w:val="en-GB"/>
        </w:rPr>
        <w:t>on the facts given to rebut the registered office presumption</w:t>
      </w:r>
      <w:r w:rsidR="00A245CC" w:rsidRPr="00041D2C">
        <w:rPr>
          <w:rFonts w:ascii="Avenir Next" w:hAnsi="Avenir Next" w:cs="Arial"/>
          <w:color w:val="808080" w:themeColor="background1" w:themeShade="80"/>
          <w:sz w:val="22"/>
          <w:szCs w:val="22"/>
          <w:lang w:val="en-GB"/>
        </w:rPr>
        <w:t>:</w:t>
      </w:r>
      <w:r w:rsidR="00A245CC" w:rsidRPr="00041D2C">
        <w:rPr>
          <w:lang w:val="en-GB"/>
        </w:rPr>
        <w:t xml:space="preserve"> </w:t>
      </w:r>
      <w:r w:rsidR="00A245CC" w:rsidRPr="00041D2C">
        <w:rPr>
          <w:rFonts w:ascii="Avenir Next" w:hAnsi="Avenir Next" w:cs="Arial"/>
          <w:color w:val="808080" w:themeColor="background1" w:themeShade="80"/>
          <w:sz w:val="22"/>
          <w:szCs w:val="22"/>
          <w:lang w:val="en-GB"/>
        </w:rPr>
        <w:t>most of the company's stores and employees are based in France, as are most customers.</w:t>
      </w:r>
      <w:r w:rsidR="00A245CC" w:rsidRPr="00041D2C">
        <w:rPr>
          <w:rFonts w:ascii="Avenir Next" w:hAnsi="Avenir Next" w:cs="Arial"/>
          <w:color w:val="808080" w:themeColor="background1" w:themeShade="80"/>
          <w:sz w:val="22"/>
          <w:szCs w:val="22"/>
          <w:lang w:val="en-GB"/>
        </w:rPr>
        <w:t xml:space="preserve"> E</w:t>
      </w:r>
      <w:r w:rsidR="00366D28" w:rsidRPr="00041D2C">
        <w:rPr>
          <w:rFonts w:ascii="Avenir Next" w:hAnsi="Avenir Next" w:cs="Arial"/>
          <w:color w:val="808080" w:themeColor="background1" w:themeShade="80"/>
          <w:sz w:val="22"/>
          <w:szCs w:val="22"/>
          <w:lang w:val="en-GB"/>
        </w:rPr>
        <w:t xml:space="preserve">ven if it could be argued </w:t>
      </w:r>
      <w:r w:rsidR="00C351F8">
        <w:rPr>
          <w:rFonts w:ascii="Avenir Next" w:hAnsi="Avenir Next" w:cs="Arial"/>
          <w:color w:val="808080" w:themeColor="background1" w:themeShade="80"/>
          <w:sz w:val="22"/>
          <w:szCs w:val="22"/>
          <w:lang w:val="en-GB"/>
        </w:rPr>
        <w:t xml:space="preserve">successfully that </w:t>
      </w:r>
      <w:r w:rsidR="00366D28" w:rsidRPr="00041D2C">
        <w:rPr>
          <w:rFonts w:ascii="Avenir Next" w:hAnsi="Avenir Next" w:cs="Arial"/>
          <w:color w:val="808080" w:themeColor="background1" w:themeShade="80"/>
          <w:sz w:val="22"/>
          <w:szCs w:val="22"/>
          <w:lang w:val="en-GB"/>
        </w:rPr>
        <w:t xml:space="preserve">another country is the COMI, </w:t>
      </w:r>
      <w:r w:rsidR="009C1EBF" w:rsidRPr="00041D2C">
        <w:rPr>
          <w:rFonts w:ascii="Avenir Next" w:hAnsi="Avenir Next" w:cs="Arial"/>
          <w:color w:val="808080" w:themeColor="background1" w:themeShade="80"/>
          <w:sz w:val="22"/>
          <w:szCs w:val="22"/>
          <w:lang w:val="en-GB"/>
        </w:rPr>
        <w:t>Dinosaurus' other activities appear to be in Spain and Ireland</w:t>
      </w:r>
      <w:r w:rsidR="00C351F8">
        <w:rPr>
          <w:rFonts w:ascii="Avenir Next" w:hAnsi="Avenir Next" w:cs="Arial"/>
          <w:color w:val="808080" w:themeColor="background1" w:themeShade="80"/>
          <w:sz w:val="22"/>
          <w:szCs w:val="22"/>
          <w:lang w:val="en-GB"/>
        </w:rPr>
        <w:t xml:space="preserve"> (i.e. other Member States)</w:t>
      </w:r>
      <w:r w:rsidR="009C1EBF" w:rsidRPr="00041D2C">
        <w:rPr>
          <w:rFonts w:ascii="Avenir Next" w:hAnsi="Avenir Next" w:cs="Arial"/>
          <w:color w:val="808080" w:themeColor="background1" w:themeShade="80"/>
          <w:sz w:val="22"/>
          <w:szCs w:val="22"/>
          <w:lang w:val="en-GB"/>
        </w:rPr>
        <w:t xml:space="preserve"> so even if one of these countries was the COMI, </w:t>
      </w:r>
      <w:r w:rsidR="00C351F8">
        <w:rPr>
          <w:rFonts w:ascii="Avenir Next" w:hAnsi="Avenir Next" w:cs="Arial"/>
          <w:color w:val="808080" w:themeColor="background1" w:themeShade="80"/>
          <w:sz w:val="22"/>
          <w:szCs w:val="22"/>
          <w:lang w:val="en-GB"/>
        </w:rPr>
        <w:t>the EIR Recast would still apply to main proceedings commenced in those jurisdictions in the alternative.</w:t>
      </w:r>
    </w:p>
    <w:p w14:paraId="47CC44AF" w14:textId="77777777" w:rsidR="009C1EBF" w:rsidRPr="00041D2C" w:rsidRDefault="009C1EBF" w:rsidP="009C1EBF">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70015C87" w14:textId="3BC87EC1" w:rsidR="009C1EBF" w:rsidRPr="00041D2C" w:rsidRDefault="009C1EBF" w:rsidP="009C1EBF">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041D2C">
        <w:rPr>
          <w:rFonts w:ascii="Avenir Next" w:hAnsi="Avenir Next" w:cs="Arial"/>
          <w:color w:val="808080" w:themeColor="background1" w:themeShade="80"/>
          <w:sz w:val="22"/>
          <w:szCs w:val="22"/>
          <w:lang w:val="en-GB"/>
        </w:rPr>
        <w:t>Secondly, Dinosaurus would be within the personal scope of EIR Recast as it is not one of the excluded undertakings</w:t>
      </w:r>
      <w:r w:rsidR="001F7891" w:rsidRPr="00041D2C">
        <w:rPr>
          <w:rFonts w:ascii="Avenir Next" w:hAnsi="Avenir Next" w:cs="Arial"/>
          <w:color w:val="808080" w:themeColor="background1" w:themeShade="80"/>
          <w:sz w:val="22"/>
          <w:szCs w:val="22"/>
          <w:lang w:val="en-GB"/>
        </w:rPr>
        <w:t xml:space="preserve"> under Article 1(2)</w:t>
      </w:r>
      <w:r w:rsidRPr="00041D2C">
        <w:rPr>
          <w:rFonts w:ascii="Avenir Next" w:hAnsi="Avenir Next" w:cs="Arial"/>
          <w:color w:val="808080" w:themeColor="background1" w:themeShade="80"/>
          <w:sz w:val="22"/>
          <w:szCs w:val="22"/>
          <w:lang w:val="en-GB"/>
        </w:rPr>
        <w:t xml:space="preserve"> </w:t>
      </w:r>
      <w:r w:rsidR="00DB4363" w:rsidRPr="00041D2C">
        <w:rPr>
          <w:rFonts w:ascii="Avenir Next" w:hAnsi="Avenir Next" w:cs="Arial"/>
          <w:color w:val="808080" w:themeColor="background1" w:themeShade="80"/>
          <w:sz w:val="22"/>
          <w:szCs w:val="22"/>
          <w:lang w:val="en-GB"/>
        </w:rPr>
        <w:t>(</w:t>
      </w:r>
      <w:r w:rsidRPr="00041D2C">
        <w:rPr>
          <w:rFonts w:ascii="Avenir Next" w:hAnsi="Avenir Next" w:cs="Arial"/>
          <w:color w:val="808080" w:themeColor="background1" w:themeShade="80"/>
          <w:sz w:val="22"/>
          <w:szCs w:val="22"/>
          <w:lang w:val="en-GB"/>
        </w:rPr>
        <w:t>e.g. insurance undertaking, credit institution, investment f</w:t>
      </w:r>
      <w:r w:rsidR="001C7FCC" w:rsidRPr="00041D2C">
        <w:rPr>
          <w:rFonts w:ascii="Avenir Next" w:hAnsi="Avenir Next" w:cs="Arial"/>
          <w:color w:val="808080" w:themeColor="background1" w:themeShade="80"/>
          <w:sz w:val="22"/>
          <w:szCs w:val="22"/>
          <w:lang w:val="en-GB"/>
        </w:rPr>
        <w:t>i</w:t>
      </w:r>
      <w:r w:rsidRPr="00041D2C">
        <w:rPr>
          <w:rFonts w:ascii="Avenir Next" w:hAnsi="Avenir Next" w:cs="Arial"/>
          <w:color w:val="808080" w:themeColor="background1" w:themeShade="80"/>
          <w:sz w:val="22"/>
          <w:szCs w:val="22"/>
          <w:lang w:val="en-GB"/>
        </w:rPr>
        <w:t>rm, or collective investment undertaking</w:t>
      </w:r>
      <w:r w:rsidR="00DB4363" w:rsidRPr="00041D2C">
        <w:rPr>
          <w:rFonts w:ascii="Avenir Next" w:hAnsi="Avenir Next" w:cs="Arial"/>
          <w:color w:val="808080" w:themeColor="background1" w:themeShade="80"/>
          <w:sz w:val="22"/>
          <w:szCs w:val="22"/>
          <w:lang w:val="en-GB"/>
        </w:rPr>
        <w:t>).</w:t>
      </w:r>
    </w:p>
    <w:p w14:paraId="2ACDBF67" w14:textId="77777777" w:rsidR="009C1EBF" w:rsidRPr="00041D2C" w:rsidRDefault="009C1EBF" w:rsidP="009C1EBF">
      <w:pPr>
        <w:pStyle w:val="ListParagraph"/>
        <w:rPr>
          <w:rFonts w:ascii="Avenir Next" w:hAnsi="Avenir Next" w:cs="Arial"/>
          <w:color w:val="808080" w:themeColor="background1" w:themeShade="80"/>
          <w:sz w:val="22"/>
          <w:szCs w:val="22"/>
          <w:lang w:val="en-GB"/>
        </w:rPr>
      </w:pPr>
    </w:p>
    <w:p w14:paraId="72C5D6C9" w14:textId="5D94BA01" w:rsidR="009C1EBF" w:rsidRPr="00041D2C" w:rsidRDefault="009C1EBF" w:rsidP="009C1EBF">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041D2C">
        <w:rPr>
          <w:rFonts w:ascii="Avenir Next" w:hAnsi="Avenir Next" w:cs="Arial"/>
          <w:color w:val="808080" w:themeColor="background1" w:themeShade="80"/>
          <w:sz w:val="22"/>
          <w:szCs w:val="22"/>
          <w:lang w:val="en-GB"/>
        </w:rPr>
        <w:t>Thirdly, French "sauvegarde" proceedings are within the EIR Recast's material scope as they are listed within Annex A of the Regulation</w:t>
      </w:r>
      <w:r w:rsidR="00C05955" w:rsidRPr="00041D2C">
        <w:rPr>
          <w:rFonts w:ascii="Avenir Next" w:hAnsi="Avenir Next" w:cs="Arial"/>
          <w:color w:val="808080" w:themeColor="background1" w:themeShade="80"/>
          <w:sz w:val="22"/>
          <w:szCs w:val="22"/>
          <w:lang w:val="en-GB"/>
        </w:rPr>
        <w:t xml:space="preserve"> (compare this to Annex A of EIR 2000 where they do not feature)</w:t>
      </w:r>
      <w:r w:rsidRPr="00041D2C">
        <w:rPr>
          <w:rFonts w:ascii="Avenir Next" w:hAnsi="Avenir Next" w:cs="Arial"/>
          <w:color w:val="808080" w:themeColor="background1" w:themeShade="80"/>
          <w:sz w:val="22"/>
          <w:szCs w:val="22"/>
          <w:lang w:val="en-GB"/>
        </w:rPr>
        <w:t>. This is determinative of the question of whether the proceedings fall within the material scope of the Regulation</w:t>
      </w:r>
      <w:r w:rsidR="00DD2FF3" w:rsidRPr="00041D2C">
        <w:rPr>
          <w:rFonts w:ascii="Avenir Next" w:hAnsi="Avenir Next" w:cs="Arial"/>
          <w:color w:val="808080" w:themeColor="background1" w:themeShade="80"/>
          <w:sz w:val="22"/>
          <w:szCs w:val="22"/>
          <w:lang w:val="en-GB"/>
        </w:rPr>
        <w:t xml:space="preserve">, </w:t>
      </w:r>
      <w:r w:rsidR="00C64EBB" w:rsidRPr="00041D2C">
        <w:rPr>
          <w:rFonts w:ascii="Avenir Next" w:hAnsi="Avenir Next" w:cs="Arial"/>
          <w:color w:val="808080" w:themeColor="background1" w:themeShade="80"/>
          <w:sz w:val="22"/>
          <w:szCs w:val="22"/>
          <w:lang w:val="en-GB"/>
        </w:rPr>
        <w:t xml:space="preserve">as noted in </w:t>
      </w:r>
      <w:r w:rsidR="00DD2FF3" w:rsidRPr="00041D2C">
        <w:rPr>
          <w:rFonts w:ascii="Avenir Next" w:hAnsi="Avenir Next" w:cs="Arial"/>
          <w:color w:val="808080" w:themeColor="background1" w:themeShade="80"/>
          <w:sz w:val="22"/>
          <w:szCs w:val="22"/>
          <w:lang w:val="en-GB"/>
        </w:rPr>
        <w:t xml:space="preserve">Recital 9 to EIR Recast (confirming the position previously taken by the CJEU in respect of EIR 2000 in </w:t>
      </w:r>
      <w:r w:rsidR="00DD2FF3" w:rsidRPr="00041D2C">
        <w:rPr>
          <w:rFonts w:ascii="Avenir Next" w:hAnsi="Avenir Next" w:cs="Arial"/>
          <w:i/>
          <w:iCs/>
          <w:color w:val="808080" w:themeColor="background1" w:themeShade="80"/>
          <w:sz w:val="22"/>
          <w:szCs w:val="22"/>
          <w:lang w:val="en-GB"/>
        </w:rPr>
        <w:t xml:space="preserve">Bank Handlowy, </w:t>
      </w:r>
      <w:r w:rsidR="00DD2FF3" w:rsidRPr="00041D2C">
        <w:rPr>
          <w:rFonts w:ascii="Avenir Next" w:hAnsi="Avenir Next" w:cs="Arial"/>
          <w:color w:val="808080" w:themeColor="background1" w:themeShade="80"/>
          <w:sz w:val="22"/>
          <w:szCs w:val="22"/>
          <w:lang w:val="en-GB"/>
        </w:rPr>
        <w:t>referred to above</w:t>
      </w:r>
      <w:r w:rsidR="00C64EBB" w:rsidRPr="00041D2C">
        <w:rPr>
          <w:rFonts w:ascii="Avenir Next" w:hAnsi="Avenir Next" w:cs="Arial"/>
          <w:color w:val="808080" w:themeColor="background1" w:themeShade="80"/>
          <w:sz w:val="22"/>
          <w:szCs w:val="22"/>
          <w:lang w:val="en-GB"/>
        </w:rPr>
        <w:t>)</w:t>
      </w:r>
      <w:r w:rsidRPr="00041D2C">
        <w:rPr>
          <w:rFonts w:ascii="Avenir Next" w:hAnsi="Avenir Next" w:cs="Arial"/>
          <w:color w:val="808080" w:themeColor="background1" w:themeShade="80"/>
          <w:sz w:val="22"/>
          <w:szCs w:val="22"/>
          <w:lang w:val="en-GB"/>
        </w:rPr>
        <w:t>.</w:t>
      </w:r>
    </w:p>
    <w:p w14:paraId="672F2624" w14:textId="77777777" w:rsidR="009C1EBF" w:rsidRPr="00041D2C" w:rsidRDefault="009C1EBF" w:rsidP="009C1EBF">
      <w:pPr>
        <w:pStyle w:val="ListParagraph"/>
        <w:rPr>
          <w:rFonts w:ascii="Avenir Next" w:hAnsi="Avenir Next" w:cs="Arial"/>
          <w:color w:val="808080" w:themeColor="background1" w:themeShade="80"/>
          <w:sz w:val="22"/>
          <w:szCs w:val="22"/>
          <w:lang w:val="en-GB"/>
        </w:rPr>
      </w:pPr>
    </w:p>
    <w:p w14:paraId="6F5D3E62" w14:textId="75D7DA80" w:rsidR="009C1EBF" w:rsidRPr="00041D2C" w:rsidRDefault="009C1EBF" w:rsidP="009C1EBF">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041D2C">
        <w:rPr>
          <w:rFonts w:ascii="Avenir Next" w:hAnsi="Avenir Next" w:cs="Arial"/>
          <w:color w:val="808080" w:themeColor="background1" w:themeShade="80"/>
          <w:sz w:val="22"/>
          <w:szCs w:val="22"/>
          <w:lang w:val="en-GB"/>
        </w:rPr>
        <w:t xml:space="preserve">Finally, the proceedings </w:t>
      </w:r>
      <w:r w:rsidR="001F7891" w:rsidRPr="00041D2C">
        <w:rPr>
          <w:rFonts w:ascii="Avenir Next" w:hAnsi="Avenir Next" w:cs="Arial"/>
          <w:color w:val="808080" w:themeColor="background1" w:themeShade="80"/>
          <w:sz w:val="22"/>
          <w:szCs w:val="22"/>
          <w:lang w:val="en-GB"/>
        </w:rPr>
        <w:t>fall within</w:t>
      </w:r>
      <w:r w:rsidRPr="00041D2C">
        <w:rPr>
          <w:rFonts w:ascii="Avenir Next" w:hAnsi="Avenir Next" w:cs="Arial"/>
          <w:color w:val="808080" w:themeColor="background1" w:themeShade="80"/>
          <w:sz w:val="22"/>
          <w:szCs w:val="22"/>
          <w:lang w:val="en-GB"/>
        </w:rPr>
        <w:t xml:space="preserve"> the temporal </w:t>
      </w:r>
      <w:r w:rsidR="001F7891" w:rsidRPr="00041D2C">
        <w:rPr>
          <w:rFonts w:ascii="Avenir Next" w:hAnsi="Avenir Next" w:cs="Arial"/>
          <w:color w:val="808080" w:themeColor="background1" w:themeShade="80"/>
          <w:sz w:val="22"/>
          <w:szCs w:val="22"/>
          <w:lang w:val="en-GB"/>
        </w:rPr>
        <w:t>scope</w:t>
      </w:r>
      <w:r w:rsidRPr="00041D2C">
        <w:rPr>
          <w:rFonts w:ascii="Avenir Next" w:hAnsi="Avenir Next" w:cs="Arial"/>
          <w:color w:val="808080" w:themeColor="background1" w:themeShade="80"/>
          <w:sz w:val="22"/>
          <w:szCs w:val="22"/>
          <w:lang w:val="en-GB"/>
        </w:rPr>
        <w:t xml:space="preserve"> of the EIR Recast as they were opened after 26 June 2017.</w:t>
      </w:r>
    </w:p>
    <w:p w14:paraId="7782BED2" w14:textId="77777777" w:rsidR="009C1EBF" w:rsidRPr="00041D2C" w:rsidRDefault="009C1EBF" w:rsidP="009C1EBF">
      <w:pPr>
        <w:pStyle w:val="ListParagraph"/>
        <w:rPr>
          <w:rFonts w:ascii="Avenir Next" w:hAnsi="Avenir Next" w:cs="Arial"/>
          <w:color w:val="808080" w:themeColor="background1" w:themeShade="80"/>
          <w:sz w:val="22"/>
          <w:szCs w:val="22"/>
          <w:lang w:val="en-GB"/>
        </w:rPr>
      </w:pPr>
    </w:p>
    <w:p w14:paraId="033C67A4" w14:textId="20B4FE7F" w:rsidR="002D3473" w:rsidRPr="00041D2C" w:rsidRDefault="009B0723" w:rsidP="002A37BB">
      <w:pPr>
        <w:jc w:val="both"/>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Question 4.3 [</w:t>
      </w:r>
      <w:r w:rsidR="00126A4D" w:rsidRPr="00041D2C">
        <w:rPr>
          <w:rFonts w:ascii="Avenir Next Demi Bold" w:hAnsi="Avenir Next Demi Bold" w:cs="Arial"/>
          <w:b/>
          <w:bCs/>
          <w:sz w:val="22"/>
          <w:szCs w:val="22"/>
          <w:lang w:val="en-GB"/>
        </w:rPr>
        <w:t>m</w:t>
      </w:r>
      <w:r w:rsidRPr="00041D2C">
        <w:rPr>
          <w:rFonts w:ascii="Avenir Next Demi Bold" w:hAnsi="Avenir Next Demi Bold" w:cs="Arial"/>
          <w:b/>
          <w:bCs/>
          <w:sz w:val="22"/>
          <w:szCs w:val="22"/>
          <w:lang w:val="en-GB"/>
        </w:rPr>
        <w:t xml:space="preserve">aximum </w:t>
      </w:r>
      <w:r w:rsidR="009B4976" w:rsidRPr="00041D2C">
        <w:rPr>
          <w:rFonts w:ascii="Avenir Next Demi Bold" w:hAnsi="Avenir Next Demi Bold" w:cs="Arial"/>
          <w:b/>
          <w:bCs/>
          <w:sz w:val="22"/>
          <w:szCs w:val="22"/>
          <w:lang w:val="en-GB"/>
        </w:rPr>
        <w:t>5</w:t>
      </w:r>
      <w:r w:rsidRPr="00041D2C">
        <w:rPr>
          <w:rFonts w:ascii="Avenir Next Demi Bold" w:hAnsi="Avenir Next Demi Bold" w:cs="Arial"/>
          <w:b/>
          <w:bCs/>
          <w:sz w:val="22"/>
          <w:szCs w:val="22"/>
          <w:lang w:val="en-GB"/>
        </w:rPr>
        <w:t xml:space="preserve"> marks]</w:t>
      </w:r>
    </w:p>
    <w:bookmarkEnd w:id="1"/>
    <w:p w14:paraId="2122CCB5" w14:textId="77777777" w:rsidR="003D17A2" w:rsidRPr="00041D2C" w:rsidRDefault="003D17A2" w:rsidP="002A37BB">
      <w:pPr>
        <w:jc w:val="both"/>
        <w:rPr>
          <w:rFonts w:ascii="Avenir Next" w:hAnsi="Avenir Next" w:cs="Arial"/>
          <w:sz w:val="22"/>
          <w:szCs w:val="22"/>
          <w:lang w:val="en-GB"/>
        </w:rPr>
      </w:pPr>
    </w:p>
    <w:p w14:paraId="2596630B" w14:textId="356395B8" w:rsidR="0078463C" w:rsidRPr="00041D2C" w:rsidRDefault="0078463C" w:rsidP="0078463C">
      <w:pPr>
        <w:jc w:val="both"/>
        <w:rPr>
          <w:rFonts w:ascii="Avenir Next" w:hAnsi="Avenir Next" w:cs="Arial"/>
          <w:sz w:val="22"/>
          <w:szCs w:val="22"/>
          <w:lang w:val="en-GB"/>
        </w:rPr>
      </w:pPr>
      <w:r w:rsidRPr="00041D2C">
        <w:rPr>
          <w:rFonts w:ascii="Avenir Next" w:hAnsi="Avenir Next" w:cs="Arial"/>
          <w:sz w:val="22"/>
          <w:szCs w:val="22"/>
          <w:lang w:val="en-GB"/>
        </w:rPr>
        <w:t xml:space="preserve">A Spanish bank files a petition to open secondary insolvency proceedings in Spain with the purpose of securing a Spanish insolvency distribution ranking. </w:t>
      </w:r>
    </w:p>
    <w:p w14:paraId="2C3811C2" w14:textId="77777777" w:rsidR="006723E9" w:rsidRPr="00041D2C" w:rsidRDefault="006723E9" w:rsidP="002A37BB">
      <w:pPr>
        <w:jc w:val="both"/>
        <w:rPr>
          <w:rFonts w:ascii="Avenir Next" w:hAnsi="Avenir Next" w:cs="Arial"/>
          <w:sz w:val="22"/>
          <w:szCs w:val="22"/>
          <w:lang w:val="en-GB"/>
        </w:rPr>
      </w:pPr>
    </w:p>
    <w:p w14:paraId="24DB2305" w14:textId="72043C16" w:rsidR="003D17A2" w:rsidRPr="00041D2C" w:rsidRDefault="009B4976" w:rsidP="002A37BB">
      <w:pPr>
        <w:jc w:val="both"/>
        <w:rPr>
          <w:rFonts w:ascii="Avenir Next Demi Bold" w:hAnsi="Avenir Next Demi Bold" w:cs="Arial"/>
          <w:b/>
          <w:bCs/>
          <w:i/>
          <w:iCs/>
          <w:sz w:val="22"/>
          <w:szCs w:val="22"/>
          <w:lang w:val="en-GB"/>
        </w:rPr>
      </w:pPr>
      <w:r w:rsidRPr="00041D2C">
        <w:rPr>
          <w:rFonts w:ascii="Avenir Next Demi Bold" w:hAnsi="Avenir Next Demi Bold" w:cs="Arial"/>
          <w:b/>
          <w:bCs/>
          <w:i/>
          <w:iCs/>
          <w:sz w:val="22"/>
          <w:szCs w:val="22"/>
          <w:lang w:val="en-GB"/>
        </w:rPr>
        <w:t xml:space="preserve">Given the facts of the case, can such proceedings be opened in </w:t>
      </w:r>
      <w:r w:rsidR="004F4AF9" w:rsidRPr="00041D2C">
        <w:rPr>
          <w:rFonts w:ascii="Avenir Next Demi Bold" w:hAnsi="Avenir Next Demi Bold" w:cs="Arial"/>
          <w:b/>
          <w:bCs/>
          <w:i/>
          <w:iCs/>
          <w:sz w:val="22"/>
          <w:szCs w:val="22"/>
          <w:highlight w:val="yellow"/>
          <w:lang w:val="en-GB"/>
        </w:rPr>
        <w:t>Italy</w:t>
      </w:r>
      <w:r w:rsidRPr="00041D2C">
        <w:rPr>
          <w:rFonts w:ascii="Avenir Next Demi Bold" w:hAnsi="Avenir Next Demi Bold" w:cs="Arial"/>
          <w:b/>
          <w:bCs/>
          <w:i/>
          <w:iCs/>
          <w:sz w:val="22"/>
          <w:szCs w:val="22"/>
          <w:lang w:val="en-GB"/>
        </w:rPr>
        <w:t xml:space="preserve"> under the EIR Recast? </w:t>
      </w:r>
    </w:p>
    <w:p w14:paraId="16C5B577" w14:textId="77777777" w:rsidR="006723E9" w:rsidRPr="00041D2C" w:rsidRDefault="006723E9" w:rsidP="002A37BB">
      <w:pPr>
        <w:jc w:val="both"/>
        <w:rPr>
          <w:rFonts w:ascii="Avenir Next" w:hAnsi="Avenir Next" w:cs="Arial"/>
          <w:sz w:val="22"/>
          <w:szCs w:val="22"/>
          <w:lang w:val="en-GB"/>
        </w:rPr>
      </w:pPr>
    </w:p>
    <w:p w14:paraId="7938A593" w14:textId="54533283" w:rsidR="002D0021" w:rsidRPr="00041D2C" w:rsidRDefault="009B4976" w:rsidP="002A37BB">
      <w:pPr>
        <w:jc w:val="both"/>
        <w:rPr>
          <w:rFonts w:ascii="Avenir Next" w:hAnsi="Avenir Next" w:cs="Arial"/>
          <w:sz w:val="22"/>
          <w:szCs w:val="22"/>
          <w:lang w:val="en-GB"/>
        </w:rPr>
      </w:pPr>
      <w:r w:rsidRPr="00041D2C">
        <w:rPr>
          <w:rFonts w:ascii="Avenir Next" w:hAnsi="Avenir Next" w:cs="Arial"/>
          <w:sz w:val="22"/>
          <w:szCs w:val="22"/>
          <w:lang w:val="en-GB"/>
        </w:rPr>
        <w:t>Your answer should contain references to the applicable law and the relevant CJEU jurisprudence.</w:t>
      </w:r>
      <w:r w:rsidR="00457CA3" w:rsidRPr="00041D2C">
        <w:rPr>
          <w:rFonts w:ascii="Avenir Next" w:hAnsi="Avenir Next" w:cs="Arial"/>
          <w:sz w:val="22"/>
          <w:szCs w:val="22"/>
          <w:lang w:val="en-GB"/>
        </w:rPr>
        <w:t xml:space="preserve"> </w:t>
      </w:r>
    </w:p>
    <w:p w14:paraId="44D8DC8E" w14:textId="33DFCD31" w:rsidR="002D0021" w:rsidRPr="00041D2C" w:rsidRDefault="002D0021" w:rsidP="002A37BB">
      <w:pPr>
        <w:jc w:val="both"/>
        <w:rPr>
          <w:rFonts w:ascii="Avenir Next" w:hAnsi="Avenir Next" w:cs="Arial"/>
          <w:sz w:val="22"/>
          <w:szCs w:val="22"/>
          <w:lang w:val="en-GB"/>
        </w:rPr>
      </w:pPr>
    </w:p>
    <w:p w14:paraId="02EF711D" w14:textId="552FD1BB" w:rsidR="00BE713B" w:rsidRPr="00041D2C" w:rsidRDefault="00BE713B"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lastRenderedPageBreak/>
        <w:t xml:space="preserve">The response to this question assumes that "Italy" in this question is a typographical error and it should refer to "Spain". In the event that the question did mean to refer to Italy, the same theory explained below would apply – however, the facts presented suggest Dinosaurus has no presence in Italy at all, meaning there would be no "establishment" there for the purposes of secondary proceedings. </w:t>
      </w:r>
    </w:p>
    <w:p w14:paraId="548E9959" w14:textId="77777777" w:rsidR="00BE713B" w:rsidRPr="00041D2C" w:rsidRDefault="00BE713B" w:rsidP="000A3278">
      <w:pPr>
        <w:jc w:val="both"/>
        <w:rPr>
          <w:rFonts w:ascii="Avenir Next" w:hAnsi="Avenir Next" w:cs="Arial"/>
          <w:color w:val="7B7B7B" w:themeColor="accent3" w:themeShade="BF"/>
          <w:sz w:val="22"/>
          <w:szCs w:val="22"/>
          <w:lang w:val="en-GB"/>
        </w:rPr>
      </w:pPr>
    </w:p>
    <w:p w14:paraId="32CA069C" w14:textId="743D216E" w:rsidR="00BE713B" w:rsidRPr="00041D2C" w:rsidRDefault="004D30D0" w:rsidP="000A32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Firstly, it should be noted that once main proceedings have been opened in France, by virtue of Article 20</w:t>
      </w:r>
      <w:r>
        <w:rPr>
          <w:rFonts w:ascii="Avenir Next" w:hAnsi="Avenir Next" w:cs="Arial"/>
          <w:color w:val="7B7B7B" w:themeColor="accent3" w:themeShade="BF"/>
          <w:sz w:val="22"/>
          <w:szCs w:val="22"/>
          <w:lang w:val="en-GB"/>
        </w:rPr>
        <w:t xml:space="preserve"> EIR Recast the judgment opening those main proceedings must be automatically recognised across Member States </w:t>
      </w:r>
      <w:r w:rsidR="008A3699">
        <w:rPr>
          <w:rFonts w:ascii="Avenir Next" w:hAnsi="Avenir Next" w:cs="Arial"/>
          <w:color w:val="7B7B7B" w:themeColor="accent3" w:themeShade="BF"/>
          <w:sz w:val="22"/>
          <w:szCs w:val="22"/>
          <w:lang w:val="en-GB"/>
        </w:rPr>
        <w:t xml:space="preserve">(subject to a public policy exception) </w:t>
      </w:r>
      <w:r>
        <w:rPr>
          <w:rFonts w:ascii="Avenir Next" w:hAnsi="Avenir Next" w:cs="Arial"/>
          <w:color w:val="7B7B7B" w:themeColor="accent3" w:themeShade="BF"/>
          <w:sz w:val="22"/>
          <w:szCs w:val="22"/>
          <w:lang w:val="en-GB"/>
        </w:rPr>
        <w:t>and may not be challenged. However, t</w:t>
      </w:r>
      <w:r w:rsidR="00BE713B" w:rsidRPr="00041D2C">
        <w:rPr>
          <w:rFonts w:ascii="Avenir Next" w:hAnsi="Avenir Next" w:cs="Arial"/>
          <w:color w:val="7B7B7B" w:themeColor="accent3" w:themeShade="BF"/>
          <w:sz w:val="22"/>
          <w:szCs w:val="22"/>
          <w:lang w:val="en-GB"/>
        </w:rPr>
        <w:t>he courts of a Member State can open secondary proceedings in respect of a debtor where the debtor has an "establishment" in that Member State</w:t>
      </w:r>
      <w:r>
        <w:rPr>
          <w:rFonts w:ascii="Avenir Next" w:hAnsi="Avenir Next" w:cs="Arial"/>
          <w:color w:val="7B7B7B" w:themeColor="accent3" w:themeShade="BF"/>
          <w:sz w:val="22"/>
          <w:szCs w:val="22"/>
          <w:lang w:val="en-GB"/>
        </w:rPr>
        <w:t xml:space="preserve"> (Article 3(2))</w:t>
      </w:r>
      <w:r w:rsidR="00BE713B" w:rsidRPr="00041D2C">
        <w:rPr>
          <w:rFonts w:ascii="Avenir Next" w:hAnsi="Avenir Next" w:cs="Arial"/>
          <w:color w:val="7B7B7B" w:themeColor="accent3" w:themeShade="BF"/>
          <w:sz w:val="22"/>
          <w:szCs w:val="22"/>
          <w:lang w:val="en-GB"/>
        </w:rPr>
        <w:t xml:space="preserve">. "Establishment" is defined at Article 2(10) of the EIR Recast as, </w:t>
      </w:r>
      <w:r w:rsidR="00BE713B" w:rsidRPr="00041D2C">
        <w:rPr>
          <w:rFonts w:ascii="Avenir Next" w:hAnsi="Avenir Next" w:cs="Arial"/>
          <w:i/>
          <w:iCs/>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p>
    <w:p w14:paraId="465FF05F" w14:textId="77777777" w:rsidR="00BE713B" w:rsidRPr="00041D2C" w:rsidRDefault="00BE713B" w:rsidP="000A3278">
      <w:pPr>
        <w:jc w:val="both"/>
        <w:rPr>
          <w:rFonts w:ascii="Avenir Next" w:hAnsi="Avenir Next" w:cs="Arial"/>
          <w:color w:val="7B7B7B" w:themeColor="accent3" w:themeShade="BF"/>
          <w:sz w:val="22"/>
          <w:szCs w:val="22"/>
          <w:lang w:val="en-GB"/>
        </w:rPr>
      </w:pPr>
    </w:p>
    <w:p w14:paraId="15555B89" w14:textId="4537969D" w:rsidR="00AA4B92" w:rsidRPr="00041D2C" w:rsidRDefault="00AA4B92"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The Spanish court would scrutinise whether there is an establishment at the </w:t>
      </w:r>
      <w:r w:rsidRPr="00041D2C">
        <w:rPr>
          <w:rFonts w:ascii="Avenir Next" w:hAnsi="Avenir Next" w:cs="Arial"/>
          <w:color w:val="7B7B7B" w:themeColor="accent3" w:themeShade="BF"/>
          <w:sz w:val="22"/>
          <w:szCs w:val="22"/>
          <w:lang w:val="en-GB"/>
        </w:rPr>
        <w:t xml:space="preserve">point </w:t>
      </w:r>
      <w:r w:rsidRPr="00041D2C">
        <w:rPr>
          <w:rFonts w:ascii="Avenir Next" w:hAnsi="Avenir Next" w:cs="Arial"/>
          <w:color w:val="7B7B7B" w:themeColor="accent3" w:themeShade="BF"/>
          <w:sz w:val="22"/>
          <w:szCs w:val="22"/>
          <w:lang w:val="en-GB"/>
        </w:rPr>
        <w:t xml:space="preserve">of filing for secondary proceedings. The relevant "look-back" period is the three months prior to the opening of proceedings in France. The response </w:t>
      </w:r>
      <w:r w:rsidRPr="00041D2C">
        <w:rPr>
          <w:rFonts w:ascii="Avenir Next" w:hAnsi="Avenir Next" w:cs="Arial"/>
          <w:color w:val="7B7B7B" w:themeColor="accent3" w:themeShade="BF"/>
          <w:sz w:val="22"/>
          <w:szCs w:val="22"/>
          <w:lang w:val="en-GB"/>
        </w:rPr>
        <w:t>below</w:t>
      </w:r>
      <w:r w:rsidRPr="00041D2C">
        <w:rPr>
          <w:rFonts w:ascii="Avenir Next" w:hAnsi="Avenir Next" w:cs="Arial"/>
          <w:color w:val="7B7B7B" w:themeColor="accent3" w:themeShade="BF"/>
          <w:sz w:val="22"/>
          <w:szCs w:val="22"/>
          <w:lang w:val="en-GB"/>
        </w:rPr>
        <w:t xml:space="preserve"> </w:t>
      </w:r>
      <w:r w:rsidRPr="00041D2C">
        <w:rPr>
          <w:rFonts w:ascii="Avenir Next" w:hAnsi="Avenir Next" w:cs="Arial"/>
          <w:color w:val="7B7B7B" w:themeColor="accent3" w:themeShade="BF"/>
          <w:sz w:val="22"/>
          <w:szCs w:val="22"/>
          <w:lang w:val="en-GB"/>
        </w:rPr>
        <w:t>c</w:t>
      </w:r>
      <w:r w:rsidRPr="00041D2C">
        <w:rPr>
          <w:rFonts w:ascii="Avenir Next" w:hAnsi="Avenir Next" w:cs="Arial"/>
          <w:color w:val="7B7B7B" w:themeColor="accent3" w:themeShade="BF"/>
          <w:sz w:val="22"/>
          <w:szCs w:val="22"/>
          <w:lang w:val="en-GB"/>
        </w:rPr>
        <w:t xml:space="preserve">ould, therefore, be different if Dinosaurus' activities in Spain from 23 March 2023 </w:t>
      </w:r>
      <w:r w:rsidR="00041D2C" w:rsidRPr="00041D2C">
        <w:rPr>
          <w:rFonts w:ascii="Avenir Next" w:hAnsi="Avenir Next" w:cs="Arial"/>
          <w:color w:val="7B7B7B" w:themeColor="accent3" w:themeShade="BF"/>
          <w:sz w:val="22"/>
          <w:szCs w:val="22"/>
          <w:lang w:val="en-GB"/>
        </w:rPr>
        <w:t xml:space="preserve">onwards </w:t>
      </w:r>
      <w:r w:rsidRPr="00041D2C">
        <w:rPr>
          <w:rFonts w:ascii="Avenir Next" w:hAnsi="Avenir Next" w:cs="Arial"/>
          <w:color w:val="7B7B7B" w:themeColor="accent3" w:themeShade="BF"/>
          <w:sz w:val="22"/>
          <w:szCs w:val="22"/>
          <w:lang w:val="en-GB"/>
        </w:rPr>
        <w:t>are different to those in the fact pattern given.</w:t>
      </w:r>
    </w:p>
    <w:p w14:paraId="0CB9B499" w14:textId="77777777" w:rsidR="00AA4B92" w:rsidRPr="00041D2C" w:rsidRDefault="00AA4B92" w:rsidP="000A3278">
      <w:pPr>
        <w:jc w:val="both"/>
        <w:rPr>
          <w:rFonts w:ascii="Avenir Next" w:hAnsi="Avenir Next" w:cs="Arial"/>
          <w:color w:val="7B7B7B" w:themeColor="accent3" w:themeShade="BF"/>
          <w:sz w:val="22"/>
          <w:szCs w:val="22"/>
          <w:lang w:val="en-GB"/>
        </w:rPr>
      </w:pPr>
    </w:p>
    <w:p w14:paraId="4C3EF6B3" w14:textId="06A540F5" w:rsidR="00BE713B" w:rsidRPr="00041D2C" w:rsidRDefault="00BE713B"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Dinosaurus' activities/assets within Spain are as follows:</w:t>
      </w:r>
    </w:p>
    <w:p w14:paraId="7D425415" w14:textId="0D94E508" w:rsidR="00BE713B" w:rsidRPr="00041D2C" w:rsidRDefault="00445D16" w:rsidP="00BE713B">
      <w:pPr>
        <w:pStyle w:val="ListParagraph"/>
        <w:numPr>
          <w:ilvl w:val="0"/>
          <w:numId w:val="41"/>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Its</w:t>
      </w:r>
      <w:r w:rsidR="00BE713B" w:rsidRPr="00041D2C">
        <w:rPr>
          <w:rFonts w:ascii="Avenir Next" w:hAnsi="Avenir Next" w:cs="Arial"/>
          <w:color w:val="7B7B7B" w:themeColor="accent3" w:themeShade="BF"/>
          <w:sz w:val="22"/>
          <w:szCs w:val="22"/>
          <w:lang w:val="en-GB"/>
        </w:rPr>
        <w:t xml:space="preserve"> main warehouse</w:t>
      </w:r>
      <w:r w:rsidR="00041D2C" w:rsidRPr="00041D2C">
        <w:rPr>
          <w:rFonts w:ascii="Avenir Next" w:hAnsi="Avenir Next" w:cs="Arial"/>
          <w:color w:val="7B7B7B" w:themeColor="accent3" w:themeShade="BF"/>
          <w:sz w:val="22"/>
          <w:szCs w:val="22"/>
          <w:lang w:val="en-GB"/>
        </w:rPr>
        <w:t>;</w:t>
      </w:r>
    </w:p>
    <w:p w14:paraId="098854BE" w14:textId="7516D0C3" w:rsidR="00BE713B" w:rsidRPr="00041D2C" w:rsidRDefault="00BE713B" w:rsidP="00BE713B">
      <w:pPr>
        <w:pStyle w:val="ListParagraph"/>
        <w:numPr>
          <w:ilvl w:val="0"/>
          <w:numId w:val="41"/>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2020 loan agreement with a Spanish bank (and a bank account opened with the same bank)</w:t>
      </w:r>
      <w:r w:rsidR="00041D2C" w:rsidRPr="00041D2C">
        <w:rPr>
          <w:rFonts w:ascii="Avenir Next" w:hAnsi="Avenir Next" w:cs="Arial"/>
          <w:color w:val="7B7B7B" w:themeColor="accent3" w:themeShade="BF"/>
          <w:sz w:val="22"/>
          <w:szCs w:val="22"/>
          <w:lang w:val="en-GB"/>
        </w:rPr>
        <w:t>; and</w:t>
      </w:r>
    </w:p>
    <w:p w14:paraId="030E9CED" w14:textId="7AE77EE3" w:rsidR="00BE713B" w:rsidRPr="00041D2C" w:rsidRDefault="00BE713B" w:rsidP="00BE713B">
      <w:pPr>
        <w:pStyle w:val="ListParagraph"/>
        <w:numPr>
          <w:ilvl w:val="0"/>
          <w:numId w:val="41"/>
        </w:num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N</w:t>
      </w:r>
      <w:r w:rsidRPr="00041D2C">
        <w:rPr>
          <w:rFonts w:ascii="Avenir Next" w:hAnsi="Avenir Next" w:cs="Arial"/>
          <w:color w:val="7B7B7B" w:themeColor="accent3" w:themeShade="BF"/>
          <w:sz w:val="22"/>
          <w:szCs w:val="22"/>
          <w:lang w:val="en-GB"/>
        </w:rPr>
        <w:t>on-binding</w:t>
      </w:r>
      <w:r w:rsidRPr="00041D2C">
        <w:rPr>
          <w:rFonts w:ascii="Avenir Next" w:hAnsi="Avenir Next" w:cs="Arial"/>
          <w:color w:val="7B7B7B" w:themeColor="accent3" w:themeShade="BF"/>
          <w:sz w:val="22"/>
          <w:szCs w:val="22"/>
          <w:lang w:val="en-GB"/>
        </w:rPr>
        <w:t xml:space="preserve"> </w:t>
      </w:r>
      <w:r w:rsidRPr="00041D2C">
        <w:rPr>
          <w:rFonts w:ascii="Avenir Next" w:hAnsi="Avenir Next" w:cs="Arial"/>
          <w:color w:val="7B7B7B" w:themeColor="accent3" w:themeShade="BF"/>
          <w:sz w:val="22"/>
          <w:szCs w:val="22"/>
          <w:lang w:val="en-GB"/>
        </w:rPr>
        <w:t xml:space="preserve">memoranda of understanding </w:t>
      </w:r>
      <w:r w:rsidR="00D13AE1">
        <w:rPr>
          <w:rFonts w:ascii="Avenir Next" w:hAnsi="Avenir Next" w:cs="Arial"/>
          <w:color w:val="7B7B7B" w:themeColor="accent3" w:themeShade="BF"/>
          <w:sz w:val="22"/>
          <w:szCs w:val="22"/>
          <w:lang w:val="en-GB"/>
        </w:rPr>
        <w:t>("</w:t>
      </w:r>
      <w:r w:rsidR="00D13AE1" w:rsidRPr="00D13AE1">
        <w:rPr>
          <w:rFonts w:ascii="Avenir Next" w:hAnsi="Avenir Next" w:cs="Arial"/>
          <w:b/>
          <w:bCs/>
          <w:color w:val="7B7B7B" w:themeColor="accent3" w:themeShade="BF"/>
          <w:sz w:val="22"/>
          <w:szCs w:val="22"/>
          <w:lang w:val="en-GB"/>
        </w:rPr>
        <w:t>MOU</w:t>
      </w:r>
      <w:r w:rsidR="00D13AE1">
        <w:rPr>
          <w:rFonts w:ascii="Avenir Next" w:hAnsi="Avenir Next" w:cs="Arial"/>
          <w:color w:val="7B7B7B" w:themeColor="accent3" w:themeShade="BF"/>
          <w:sz w:val="22"/>
          <w:szCs w:val="22"/>
          <w:lang w:val="en-GB"/>
        </w:rPr>
        <w:t xml:space="preserve">") </w:t>
      </w:r>
      <w:r w:rsidRPr="00041D2C">
        <w:rPr>
          <w:rFonts w:ascii="Avenir Next" w:hAnsi="Avenir Next" w:cs="Arial"/>
          <w:color w:val="7B7B7B" w:themeColor="accent3" w:themeShade="BF"/>
          <w:sz w:val="22"/>
          <w:szCs w:val="22"/>
          <w:lang w:val="en-GB"/>
        </w:rPr>
        <w:t xml:space="preserve">in place </w:t>
      </w:r>
      <w:r w:rsidRPr="00041D2C">
        <w:rPr>
          <w:rFonts w:ascii="Avenir Next" w:hAnsi="Avenir Next" w:cs="Arial"/>
          <w:color w:val="7B7B7B" w:themeColor="accent3" w:themeShade="BF"/>
          <w:sz w:val="22"/>
          <w:szCs w:val="22"/>
          <w:lang w:val="en-GB"/>
        </w:rPr>
        <w:t>with three Madrid-based suppliers.</w:t>
      </w:r>
    </w:p>
    <w:p w14:paraId="3C75A056" w14:textId="77777777" w:rsidR="00BE713B" w:rsidRPr="00041D2C" w:rsidRDefault="00BE713B" w:rsidP="000A3278">
      <w:pPr>
        <w:jc w:val="both"/>
        <w:rPr>
          <w:rFonts w:ascii="Avenir Next" w:hAnsi="Avenir Next" w:cs="Arial"/>
          <w:color w:val="7B7B7B" w:themeColor="accent3" w:themeShade="BF"/>
          <w:sz w:val="22"/>
          <w:szCs w:val="22"/>
          <w:lang w:val="en-GB"/>
        </w:rPr>
      </w:pPr>
    </w:p>
    <w:p w14:paraId="76C3EB59" w14:textId="179376A0" w:rsidR="00BE713B" w:rsidRPr="00041D2C" w:rsidRDefault="00BE713B"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The concept of </w:t>
      </w:r>
      <w:r w:rsidR="003B37D4">
        <w:rPr>
          <w:rFonts w:ascii="Avenir Next" w:hAnsi="Avenir Next" w:cs="Arial"/>
          <w:color w:val="7B7B7B" w:themeColor="accent3" w:themeShade="BF"/>
          <w:sz w:val="22"/>
          <w:szCs w:val="22"/>
          <w:lang w:val="en-GB"/>
        </w:rPr>
        <w:t>"</w:t>
      </w:r>
      <w:r w:rsidRPr="00041D2C">
        <w:rPr>
          <w:rFonts w:ascii="Avenir Next" w:hAnsi="Avenir Next" w:cs="Arial"/>
          <w:color w:val="7B7B7B" w:themeColor="accent3" w:themeShade="BF"/>
          <w:sz w:val="22"/>
          <w:szCs w:val="22"/>
          <w:lang w:val="en-GB"/>
        </w:rPr>
        <w:t>establishment</w:t>
      </w:r>
      <w:r w:rsidR="003B37D4">
        <w:rPr>
          <w:rFonts w:ascii="Avenir Next" w:hAnsi="Avenir Next" w:cs="Arial"/>
          <w:color w:val="7B7B7B" w:themeColor="accent3" w:themeShade="BF"/>
          <w:sz w:val="22"/>
          <w:szCs w:val="22"/>
          <w:lang w:val="en-GB"/>
        </w:rPr>
        <w:t>"</w:t>
      </w:r>
      <w:r w:rsidRPr="00041D2C">
        <w:rPr>
          <w:rFonts w:ascii="Avenir Next" w:hAnsi="Avenir Next" w:cs="Arial"/>
          <w:color w:val="7B7B7B" w:themeColor="accent3" w:themeShade="BF"/>
          <w:sz w:val="22"/>
          <w:szCs w:val="22"/>
          <w:lang w:val="en-GB"/>
        </w:rPr>
        <w:t xml:space="preserve"> </w:t>
      </w:r>
      <w:r w:rsidR="00041D2C" w:rsidRPr="00041D2C">
        <w:rPr>
          <w:rFonts w:ascii="Avenir Next" w:hAnsi="Avenir Next" w:cs="Arial"/>
          <w:color w:val="7B7B7B" w:themeColor="accent3" w:themeShade="BF"/>
          <w:sz w:val="22"/>
          <w:szCs w:val="22"/>
          <w:lang w:val="en-GB"/>
        </w:rPr>
        <w:t>w</w:t>
      </w:r>
      <w:r w:rsidRPr="00041D2C">
        <w:rPr>
          <w:rFonts w:ascii="Avenir Next" w:hAnsi="Avenir Next" w:cs="Arial"/>
          <w:color w:val="7B7B7B" w:themeColor="accent3" w:themeShade="BF"/>
          <w:sz w:val="22"/>
          <w:szCs w:val="22"/>
          <w:lang w:val="en-GB"/>
        </w:rPr>
        <w:t xml:space="preserve">as considered in the CJEU case of </w:t>
      </w:r>
      <w:r w:rsidRPr="00041D2C">
        <w:rPr>
          <w:rFonts w:ascii="Avenir Next" w:hAnsi="Avenir Next" w:cs="Arial"/>
          <w:i/>
          <w:iCs/>
          <w:color w:val="7B7B7B" w:themeColor="accent3" w:themeShade="BF"/>
          <w:sz w:val="22"/>
          <w:szCs w:val="22"/>
          <w:lang w:val="en-GB"/>
        </w:rPr>
        <w:t>Interedil</w:t>
      </w:r>
      <w:r w:rsidRPr="00041D2C">
        <w:rPr>
          <w:rFonts w:ascii="Avenir Next" w:hAnsi="Avenir Next" w:cs="Arial"/>
          <w:color w:val="7B7B7B" w:themeColor="accent3" w:themeShade="BF"/>
          <w:sz w:val="22"/>
          <w:szCs w:val="22"/>
          <w:lang w:val="en-GB"/>
        </w:rPr>
        <w:t xml:space="preserve"> (Case C-396/09, 20 October 2011). The CJEU concluded that the requirement for there to be some form of human resource shows a need for a minimum level of organi</w:t>
      </w:r>
      <w:r w:rsidR="00041D2C" w:rsidRPr="00041D2C">
        <w:rPr>
          <w:rFonts w:ascii="Avenir Next" w:hAnsi="Avenir Next" w:cs="Arial"/>
          <w:color w:val="7B7B7B" w:themeColor="accent3" w:themeShade="BF"/>
          <w:sz w:val="22"/>
          <w:szCs w:val="22"/>
          <w:lang w:val="en-GB"/>
        </w:rPr>
        <w:t>s</w:t>
      </w:r>
      <w:r w:rsidRPr="00041D2C">
        <w:rPr>
          <w:rFonts w:ascii="Avenir Next" w:hAnsi="Avenir Next" w:cs="Arial"/>
          <w:color w:val="7B7B7B" w:themeColor="accent3" w:themeShade="BF"/>
          <w:sz w:val="22"/>
          <w:szCs w:val="22"/>
          <w:lang w:val="en-GB"/>
        </w:rPr>
        <w:t xml:space="preserve">ation and stability. As </w:t>
      </w:r>
      <w:r w:rsidR="00445D16" w:rsidRPr="00041D2C">
        <w:rPr>
          <w:rFonts w:ascii="Avenir Next" w:hAnsi="Avenir Next" w:cs="Arial"/>
          <w:color w:val="7B7B7B" w:themeColor="accent3" w:themeShade="BF"/>
          <w:sz w:val="22"/>
          <w:szCs w:val="22"/>
          <w:lang w:val="en-GB"/>
        </w:rPr>
        <w:t xml:space="preserve">suggested by the </w:t>
      </w:r>
      <w:r w:rsidR="00445D16" w:rsidRPr="00041D2C">
        <w:rPr>
          <w:rFonts w:ascii="Avenir Next" w:hAnsi="Avenir Next" w:cs="Arial"/>
          <w:color w:val="7B7B7B" w:themeColor="accent3" w:themeShade="BF"/>
          <w:sz w:val="22"/>
          <w:szCs w:val="22"/>
          <w:lang w:val="en-GB"/>
        </w:rPr>
        <w:t>Virgos Schmit Report</w:t>
      </w:r>
      <w:r w:rsidR="009467E5">
        <w:rPr>
          <w:rFonts w:ascii="Avenir Next" w:hAnsi="Avenir Next" w:cs="Arial"/>
          <w:color w:val="7B7B7B" w:themeColor="accent3" w:themeShade="BF"/>
          <w:sz w:val="22"/>
          <w:szCs w:val="22"/>
          <w:lang w:val="en-GB"/>
        </w:rPr>
        <w:t xml:space="preserve"> 1996</w:t>
      </w:r>
      <w:r w:rsidR="00445D16" w:rsidRPr="00041D2C">
        <w:rPr>
          <w:rFonts w:ascii="Avenir Next" w:hAnsi="Avenir Next" w:cs="Arial"/>
          <w:color w:val="7B7B7B" w:themeColor="accent3" w:themeShade="BF"/>
          <w:sz w:val="22"/>
          <w:szCs w:val="22"/>
          <w:lang w:val="en-GB"/>
        </w:rPr>
        <w:t>, the decisive factor is how the activity appears externally to third parties. It is not necessary, under the EIR Recast, that there be some form of official branch or office in the Member State</w:t>
      </w:r>
      <w:r w:rsidR="009467E5">
        <w:rPr>
          <w:rFonts w:ascii="Avenir Next" w:hAnsi="Avenir Next" w:cs="Arial"/>
          <w:color w:val="7B7B7B" w:themeColor="accent3" w:themeShade="BF"/>
          <w:sz w:val="22"/>
          <w:szCs w:val="22"/>
          <w:lang w:val="en-GB"/>
        </w:rPr>
        <w:t xml:space="preserve">, any form of external business activity will suffice, as long as it is ascertainable by third parties and otherwise meets the Article 2(10) definition (see the decision of the CJEU in </w:t>
      </w:r>
      <w:r w:rsidR="009467E5">
        <w:rPr>
          <w:rFonts w:ascii="Avenir Next" w:hAnsi="Avenir Next" w:cs="Arial"/>
          <w:i/>
          <w:iCs/>
          <w:color w:val="7B7B7B" w:themeColor="accent3" w:themeShade="BF"/>
          <w:sz w:val="22"/>
          <w:szCs w:val="22"/>
          <w:lang w:val="en-GB"/>
        </w:rPr>
        <w:t>Burgo Group</w:t>
      </w:r>
      <w:r w:rsidR="009467E5">
        <w:rPr>
          <w:rFonts w:ascii="Avenir Next" w:hAnsi="Avenir Next" w:cs="Arial"/>
          <w:color w:val="7B7B7B" w:themeColor="accent3" w:themeShade="BF"/>
          <w:sz w:val="22"/>
          <w:szCs w:val="22"/>
          <w:lang w:val="en-GB"/>
        </w:rPr>
        <w:t xml:space="preserve"> (Case C-327/13, 4 September 2014)).</w:t>
      </w:r>
      <w:r w:rsidR="00445D16" w:rsidRPr="00041D2C">
        <w:rPr>
          <w:rFonts w:ascii="Avenir Next" w:hAnsi="Avenir Next" w:cs="Arial"/>
          <w:color w:val="7B7B7B" w:themeColor="accent3" w:themeShade="BF"/>
          <w:sz w:val="22"/>
          <w:szCs w:val="22"/>
          <w:lang w:val="en-GB"/>
        </w:rPr>
        <w:t xml:space="preserve"> </w:t>
      </w:r>
    </w:p>
    <w:p w14:paraId="07AD1530" w14:textId="77777777" w:rsidR="00445D16" w:rsidRPr="00041D2C" w:rsidRDefault="00445D16" w:rsidP="000A3278">
      <w:pPr>
        <w:jc w:val="both"/>
        <w:rPr>
          <w:rFonts w:ascii="Avenir Next" w:hAnsi="Avenir Next" w:cs="Arial"/>
          <w:color w:val="7B7B7B" w:themeColor="accent3" w:themeShade="BF"/>
          <w:sz w:val="22"/>
          <w:szCs w:val="22"/>
          <w:lang w:val="en-GB"/>
        </w:rPr>
      </w:pPr>
    </w:p>
    <w:p w14:paraId="7602D540" w14:textId="6E24DC95" w:rsidR="00904D80" w:rsidRPr="00041D2C" w:rsidRDefault="00445D16"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In this case, the key factor that points to the fact Dinosaurus </w:t>
      </w:r>
      <w:r w:rsidRPr="00041D2C">
        <w:rPr>
          <w:rFonts w:ascii="Avenir Next" w:hAnsi="Avenir Next" w:cs="Arial"/>
          <w:color w:val="7B7B7B" w:themeColor="accent3" w:themeShade="BF"/>
          <w:sz w:val="22"/>
          <w:szCs w:val="22"/>
          <w:u w:val="single"/>
          <w:lang w:val="en-GB"/>
        </w:rPr>
        <w:t>does</w:t>
      </w:r>
      <w:r w:rsidRPr="00041D2C">
        <w:rPr>
          <w:rFonts w:ascii="Avenir Next" w:hAnsi="Avenir Next" w:cs="Arial"/>
          <w:color w:val="7B7B7B" w:themeColor="accent3" w:themeShade="BF"/>
          <w:sz w:val="22"/>
          <w:szCs w:val="22"/>
          <w:lang w:val="en-GB"/>
        </w:rPr>
        <w:t xml:space="preserve"> have an establishment in Spain is the warehouse. This is an asset, presumably, operated through human means and would have the requisite degree of permanence to be considered "non-transitory". </w:t>
      </w:r>
      <w:r w:rsidR="00904D80" w:rsidRPr="00041D2C">
        <w:rPr>
          <w:rFonts w:ascii="Avenir Next" w:hAnsi="Avenir Next" w:cs="Arial"/>
          <w:color w:val="7B7B7B" w:themeColor="accent3" w:themeShade="BF"/>
          <w:sz w:val="22"/>
          <w:szCs w:val="22"/>
          <w:lang w:val="en-GB"/>
        </w:rPr>
        <w:t>To any objective third party there would be an establishment in Spain</w:t>
      </w:r>
      <w:r w:rsidR="009467E5">
        <w:rPr>
          <w:rFonts w:ascii="Avenir Next" w:hAnsi="Avenir Next" w:cs="Arial"/>
          <w:color w:val="7B7B7B" w:themeColor="accent3" w:themeShade="BF"/>
          <w:sz w:val="22"/>
          <w:szCs w:val="22"/>
          <w:lang w:val="en-GB"/>
        </w:rPr>
        <w:t>, especially as we are told this is the company's "main" warehouse</w:t>
      </w:r>
      <w:r w:rsidR="00904D80" w:rsidRPr="00041D2C">
        <w:rPr>
          <w:rFonts w:ascii="Avenir Next" w:hAnsi="Avenir Next" w:cs="Arial"/>
          <w:color w:val="7B7B7B" w:themeColor="accent3" w:themeShade="BF"/>
          <w:sz w:val="22"/>
          <w:szCs w:val="22"/>
          <w:lang w:val="en-GB"/>
        </w:rPr>
        <w:t>.</w:t>
      </w:r>
    </w:p>
    <w:p w14:paraId="7770C94C" w14:textId="77777777" w:rsidR="00904D80" w:rsidRPr="00041D2C" w:rsidRDefault="00904D80" w:rsidP="000A3278">
      <w:pPr>
        <w:jc w:val="both"/>
        <w:rPr>
          <w:rFonts w:ascii="Avenir Next" w:hAnsi="Avenir Next" w:cs="Arial"/>
          <w:color w:val="7B7B7B" w:themeColor="accent3" w:themeShade="BF"/>
          <w:sz w:val="22"/>
          <w:szCs w:val="22"/>
          <w:lang w:val="en-GB"/>
        </w:rPr>
      </w:pPr>
    </w:p>
    <w:p w14:paraId="5D43EF39" w14:textId="5F024713" w:rsidR="00445D16" w:rsidRPr="00041D2C" w:rsidRDefault="00445D16" w:rsidP="000A3278">
      <w:pPr>
        <w:jc w:val="both"/>
        <w:rPr>
          <w:rFonts w:ascii="Avenir Next" w:hAnsi="Avenir Next" w:cs="Arial"/>
          <w:color w:val="7B7B7B" w:themeColor="accent3" w:themeShade="BF"/>
          <w:sz w:val="22"/>
          <w:szCs w:val="22"/>
          <w:lang w:val="en-GB"/>
        </w:rPr>
      </w:pPr>
      <w:r w:rsidRPr="00041D2C">
        <w:rPr>
          <w:rFonts w:ascii="Avenir Next" w:hAnsi="Avenir Next" w:cs="Arial"/>
          <w:color w:val="7B7B7B" w:themeColor="accent3" w:themeShade="BF"/>
          <w:sz w:val="22"/>
          <w:szCs w:val="22"/>
          <w:lang w:val="en-GB"/>
        </w:rPr>
        <w:t xml:space="preserve">The other aspects of Dinosaurus business in Spain are helpful in proving an "establishment" although by themselves may not have been enough. A bank account in the jurisdiction, alone, would not be </w:t>
      </w:r>
      <w:r w:rsidR="00D13AE1">
        <w:rPr>
          <w:rFonts w:ascii="Avenir Next" w:hAnsi="Avenir Next" w:cs="Arial"/>
          <w:color w:val="7B7B7B" w:themeColor="accent3" w:themeShade="BF"/>
          <w:sz w:val="22"/>
          <w:szCs w:val="22"/>
          <w:lang w:val="en-GB"/>
        </w:rPr>
        <w:t>sufficient</w:t>
      </w:r>
      <w:r w:rsidRPr="00041D2C">
        <w:rPr>
          <w:rFonts w:ascii="Avenir Next" w:hAnsi="Avenir Next" w:cs="Arial"/>
          <w:color w:val="7B7B7B" w:themeColor="accent3" w:themeShade="BF"/>
          <w:sz w:val="22"/>
          <w:szCs w:val="22"/>
          <w:lang w:val="en-GB"/>
        </w:rPr>
        <w:t xml:space="preserve">. The </w:t>
      </w:r>
      <w:r w:rsidR="009467E5">
        <w:rPr>
          <w:rFonts w:ascii="Avenir Next" w:hAnsi="Avenir Next" w:cs="Arial"/>
          <w:color w:val="7B7B7B" w:themeColor="accent3" w:themeShade="BF"/>
          <w:sz w:val="22"/>
          <w:szCs w:val="22"/>
          <w:lang w:val="en-GB"/>
        </w:rPr>
        <w:t xml:space="preserve">current </w:t>
      </w:r>
      <w:r w:rsidRPr="00041D2C">
        <w:rPr>
          <w:rFonts w:ascii="Avenir Next" w:hAnsi="Avenir Next" w:cs="Arial"/>
          <w:color w:val="7B7B7B" w:themeColor="accent3" w:themeShade="BF"/>
          <w:sz w:val="22"/>
          <w:szCs w:val="22"/>
          <w:lang w:val="en-GB"/>
        </w:rPr>
        <w:t xml:space="preserve">status of the </w:t>
      </w:r>
      <w:r w:rsidR="00D13AE1">
        <w:rPr>
          <w:rFonts w:ascii="Avenir Next" w:hAnsi="Avenir Next" w:cs="Arial"/>
          <w:color w:val="7B7B7B" w:themeColor="accent3" w:themeShade="BF"/>
          <w:sz w:val="22"/>
          <w:szCs w:val="22"/>
          <w:lang w:val="en-GB"/>
        </w:rPr>
        <w:t>MOU</w:t>
      </w:r>
      <w:r w:rsidRPr="00041D2C">
        <w:rPr>
          <w:rFonts w:ascii="Avenir Next" w:hAnsi="Avenir Next" w:cs="Arial"/>
          <w:color w:val="7B7B7B" w:themeColor="accent3" w:themeShade="BF"/>
          <w:sz w:val="22"/>
          <w:szCs w:val="22"/>
          <w:lang w:val="en-GB"/>
        </w:rPr>
        <w:t xml:space="preserve"> </w:t>
      </w:r>
      <w:r w:rsidR="00D13AE1">
        <w:rPr>
          <w:rFonts w:ascii="Avenir Next" w:hAnsi="Avenir Next" w:cs="Arial"/>
          <w:color w:val="7B7B7B" w:themeColor="accent3" w:themeShade="BF"/>
          <w:sz w:val="22"/>
          <w:szCs w:val="22"/>
          <w:lang w:val="en-GB"/>
        </w:rPr>
        <w:t>are</w:t>
      </w:r>
      <w:r w:rsidRPr="00041D2C">
        <w:rPr>
          <w:rFonts w:ascii="Avenir Next" w:hAnsi="Avenir Next" w:cs="Arial"/>
          <w:color w:val="7B7B7B" w:themeColor="accent3" w:themeShade="BF"/>
          <w:sz w:val="22"/>
          <w:szCs w:val="22"/>
          <w:lang w:val="en-GB"/>
        </w:rPr>
        <w:t xml:space="preserve"> unclear. If either party had started to act on the MOU in commencing business activity</w:t>
      </w:r>
      <w:r w:rsidR="00D13AE1">
        <w:rPr>
          <w:rFonts w:ascii="Avenir Next" w:hAnsi="Avenir Next" w:cs="Arial"/>
          <w:color w:val="7B7B7B" w:themeColor="accent3" w:themeShade="BF"/>
          <w:sz w:val="22"/>
          <w:szCs w:val="22"/>
          <w:lang w:val="en-GB"/>
        </w:rPr>
        <w:t xml:space="preserve"> (perhaps unlikely given they are non-binding)</w:t>
      </w:r>
      <w:r w:rsidRPr="00041D2C">
        <w:rPr>
          <w:rFonts w:ascii="Avenir Next" w:hAnsi="Avenir Next" w:cs="Arial"/>
          <w:color w:val="7B7B7B" w:themeColor="accent3" w:themeShade="BF"/>
          <w:sz w:val="22"/>
          <w:szCs w:val="22"/>
          <w:lang w:val="en-GB"/>
        </w:rPr>
        <w:t xml:space="preserve">, then this might point to an establishment. However, it is unnecessary to consider further as the bank account, loan, MOU and (most importantly) warehouse together suggest Dinosaurus does have an establishment in Spain and the Spanish court can therefore open secondary proceedings. </w:t>
      </w:r>
      <w:r w:rsidR="00D13AE1">
        <w:rPr>
          <w:rFonts w:ascii="Avenir Next" w:hAnsi="Avenir Next" w:cs="Arial"/>
          <w:color w:val="7B7B7B" w:themeColor="accent3" w:themeShade="BF"/>
          <w:sz w:val="22"/>
          <w:szCs w:val="22"/>
          <w:lang w:val="en-GB"/>
        </w:rPr>
        <w:t xml:space="preserve">The secondary proceedings would, of course, only apply to Dinosaurus' assets in Spain. </w:t>
      </w:r>
    </w:p>
    <w:p w14:paraId="5A8D17C0" w14:textId="77777777" w:rsidR="00BE713B" w:rsidRPr="00041D2C" w:rsidRDefault="00BE713B" w:rsidP="000A3278">
      <w:pPr>
        <w:jc w:val="both"/>
        <w:rPr>
          <w:rFonts w:ascii="Avenir Next" w:hAnsi="Avenir Next" w:cs="Arial"/>
          <w:color w:val="7B7B7B" w:themeColor="accent3" w:themeShade="BF"/>
          <w:sz w:val="22"/>
          <w:szCs w:val="22"/>
          <w:lang w:val="en-GB"/>
        </w:rPr>
      </w:pPr>
    </w:p>
    <w:p w14:paraId="5B8F9BB8" w14:textId="0B599A45" w:rsidR="007F3383" w:rsidRPr="00041D2C" w:rsidRDefault="007B4B3D" w:rsidP="000A32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2878B8" w:rsidRPr="00041D2C">
        <w:rPr>
          <w:rFonts w:ascii="Avenir Next" w:hAnsi="Avenir Next" w:cs="Arial"/>
          <w:color w:val="7B7B7B" w:themeColor="accent3" w:themeShade="BF"/>
          <w:sz w:val="22"/>
          <w:szCs w:val="22"/>
          <w:lang w:val="en-GB"/>
        </w:rPr>
        <w:t xml:space="preserve"> potential "block" to the opening of secondary proceedings in Spain is if the insolvency practitioner in the main proceedings in France (the "</w:t>
      </w:r>
      <w:r w:rsidR="002878B8" w:rsidRPr="00041D2C">
        <w:rPr>
          <w:rFonts w:ascii="Avenir Next" w:hAnsi="Avenir Next" w:cs="Arial"/>
          <w:b/>
          <w:bCs/>
          <w:color w:val="7B7B7B" w:themeColor="accent3" w:themeShade="BF"/>
          <w:sz w:val="22"/>
          <w:szCs w:val="22"/>
          <w:lang w:val="en-GB"/>
        </w:rPr>
        <w:t>French IP</w:t>
      </w:r>
      <w:r w:rsidR="002878B8" w:rsidRPr="00041D2C">
        <w:rPr>
          <w:rFonts w:ascii="Avenir Next" w:hAnsi="Avenir Next" w:cs="Arial"/>
          <w:color w:val="7B7B7B" w:themeColor="accent3" w:themeShade="BF"/>
          <w:sz w:val="22"/>
          <w:szCs w:val="22"/>
          <w:lang w:val="en-GB"/>
        </w:rPr>
        <w:t xml:space="preserve">") has made use of the unilateral undertaking </w:t>
      </w:r>
      <w:r w:rsidR="002878B8" w:rsidRPr="00041D2C">
        <w:rPr>
          <w:rFonts w:ascii="Avenir Next" w:hAnsi="Avenir Next" w:cs="Arial"/>
          <w:color w:val="7B7B7B" w:themeColor="accent3" w:themeShade="BF"/>
          <w:sz w:val="22"/>
          <w:szCs w:val="22"/>
          <w:lang w:val="en-GB"/>
        </w:rPr>
        <w:lastRenderedPageBreak/>
        <w:t>provisions at Article 36 EIR Recast. If the French IP has given an undertaking in respect of Dinosaurus' Spanish assets that, w</w:t>
      </w:r>
      <w:r w:rsidR="002878B8" w:rsidRPr="00041D2C">
        <w:rPr>
          <w:rFonts w:ascii="Avenir Next" w:hAnsi="Avenir Next" w:cs="Arial"/>
          <w:color w:val="7B7B7B" w:themeColor="accent3" w:themeShade="BF"/>
          <w:sz w:val="22"/>
          <w:szCs w:val="22"/>
          <w:lang w:val="en-GB"/>
        </w:rPr>
        <w:t>hen distributing those assets</w:t>
      </w:r>
      <w:r w:rsidR="002878B8" w:rsidRPr="00041D2C">
        <w:rPr>
          <w:rFonts w:ascii="Avenir Next" w:hAnsi="Avenir Next" w:cs="Arial"/>
          <w:color w:val="7B7B7B" w:themeColor="accent3" w:themeShade="BF"/>
          <w:sz w:val="22"/>
          <w:szCs w:val="22"/>
          <w:lang w:val="en-GB"/>
        </w:rPr>
        <w:t xml:space="preserve"> or their proceeds</w:t>
      </w:r>
      <w:r w:rsidR="002878B8" w:rsidRPr="00041D2C">
        <w:rPr>
          <w:rFonts w:ascii="Avenir Next" w:hAnsi="Avenir Next" w:cs="Arial"/>
          <w:color w:val="7B7B7B" w:themeColor="accent3" w:themeShade="BF"/>
          <w:sz w:val="22"/>
          <w:szCs w:val="22"/>
          <w:lang w:val="en-GB"/>
        </w:rPr>
        <w:t xml:space="preserve">, it will comply with the distribution and priority rights under </w:t>
      </w:r>
      <w:r w:rsidR="002878B8" w:rsidRPr="00041D2C">
        <w:rPr>
          <w:rFonts w:ascii="Avenir Next" w:hAnsi="Avenir Next" w:cs="Arial"/>
          <w:color w:val="7B7B7B" w:themeColor="accent3" w:themeShade="BF"/>
          <w:sz w:val="22"/>
          <w:szCs w:val="22"/>
          <w:lang w:val="en-GB"/>
        </w:rPr>
        <w:t>Spanish</w:t>
      </w:r>
      <w:r w:rsidR="002878B8" w:rsidRPr="00041D2C">
        <w:rPr>
          <w:rFonts w:ascii="Avenir Next" w:hAnsi="Avenir Next" w:cs="Arial"/>
          <w:color w:val="7B7B7B" w:themeColor="accent3" w:themeShade="BF"/>
          <w:sz w:val="22"/>
          <w:szCs w:val="22"/>
          <w:lang w:val="en-GB"/>
        </w:rPr>
        <w:t xml:space="preserve"> law</w:t>
      </w:r>
      <w:r w:rsidR="002878B8" w:rsidRPr="00041D2C">
        <w:rPr>
          <w:rFonts w:ascii="Avenir Next" w:hAnsi="Avenir Next" w:cs="Arial"/>
          <w:color w:val="7B7B7B" w:themeColor="accent3" w:themeShade="BF"/>
          <w:sz w:val="22"/>
          <w:szCs w:val="22"/>
          <w:lang w:val="en-GB"/>
        </w:rPr>
        <w:t xml:space="preserve">, </w:t>
      </w:r>
      <w:r w:rsidR="00B00D6A">
        <w:rPr>
          <w:rFonts w:ascii="Avenir Next" w:hAnsi="Avenir Next" w:cs="Arial"/>
          <w:color w:val="7B7B7B" w:themeColor="accent3" w:themeShade="BF"/>
          <w:sz w:val="22"/>
          <w:szCs w:val="22"/>
          <w:lang w:val="en-GB"/>
        </w:rPr>
        <w:t xml:space="preserve">then </w:t>
      </w:r>
      <w:r w:rsidR="002878B8" w:rsidRPr="00041D2C">
        <w:rPr>
          <w:rFonts w:ascii="Avenir Next" w:hAnsi="Avenir Next" w:cs="Arial"/>
          <w:color w:val="7B7B7B" w:themeColor="accent3" w:themeShade="BF"/>
          <w:sz w:val="22"/>
          <w:szCs w:val="22"/>
          <w:lang w:val="en-GB"/>
        </w:rPr>
        <w:t xml:space="preserve">the </w:t>
      </w:r>
      <w:r w:rsidR="002878B8" w:rsidRPr="00041D2C">
        <w:rPr>
          <w:rFonts w:ascii="Avenir Next" w:hAnsi="Avenir Next" w:cs="Arial"/>
          <w:color w:val="7B7B7B" w:themeColor="accent3" w:themeShade="BF"/>
          <w:sz w:val="22"/>
          <w:szCs w:val="22"/>
          <w:lang w:val="en-GB"/>
        </w:rPr>
        <w:t>Spanish court</w:t>
      </w:r>
      <w:r w:rsidR="002878B8" w:rsidRPr="00041D2C">
        <w:rPr>
          <w:rFonts w:ascii="Avenir Next" w:hAnsi="Avenir Next" w:cs="Arial"/>
          <w:color w:val="7B7B7B" w:themeColor="accent3" w:themeShade="BF"/>
          <w:sz w:val="22"/>
          <w:szCs w:val="22"/>
          <w:lang w:val="en-GB"/>
        </w:rPr>
        <w:t xml:space="preserve"> must not open secondary proceedings</w:t>
      </w:r>
      <w:r w:rsidR="00802F6A" w:rsidRPr="00041D2C">
        <w:rPr>
          <w:rFonts w:ascii="Avenir Next" w:hAnsi="Avenir Next" w:cs="Arial"/>
          <w:color w:val="7B7B7B" w:themeColor="accent3" w:themeShade="BF"/>
          <w:sz w:val="22"/>
          <w:szCs w:val="22"/>
          <w:lang w:val="en-GB"/>
        </w:rPr>
        <w:t xml:space="preserve"> </w:t>
      </w:r>
      <w:r w:rsidR="00B00D6A">
        <w:rPr>
          <w:rFonts w:ascii="Avenir Next" w:hAnsi="Avenir Next" w:cs="Arial"/>
          <w:color w:val="7B7B7B" w:themeColor="accent3" w:themeShade="BF"/>
          <w:sz w:val="22"/>
          <w:szCs w:val="22"/>
          <w:lang w:val="en-GB"/>
        </w:rPr>
        <w:t>if:</w:t>
      </w:r>
      <w:r w:rsidR="00802F6A" w:rsidRPr="00041D2C">
        <w:rPr>
          <w:rFonts w:ascii="Avenir Next" w:hAnsi="Avenir Next" w:cs="Arial"/>
          <w:color w:val="7B7B7B" w:themeColor="accent3" w:themeShade="BF"/>
          <w:sz w:val="22"/>
          <w:szCs w:val="22"/>
          <w:lang w:val="en-GB"/>
        </w:rPr>
        <w:t xml:space="preserve"> </w:t>
      </w:r>
      <w:r w:rsidR="00B00D6A">
        <w:rPr>
          <w:rFonts w:ascii="Avenir Next" w:hAnsi="Avenir Next" w:cs="Arial"/>
          <w:color w:val="7B7B7B" w:themeColor="accent3" w:themeShade="BF"/>
          <w:sz w:val="22"/>
          <w:szCs w:val="22"/>
          <w:lang w:val="en-GB"/>
        </w:rPr>
        <w:t>a) the undertaking meets the procedural and substantive requirements of Article 36 and b) the Spanish</w:t>
      </w:r>
      <w:r w:rsidR="00802F6A" w:rsidRPr="00041D2C">
        <w:rPr>
          <w:rFonts w:ascii="Avenir Next" w:hAnsi="Avenir Next" w:cs="Arial"/>
          <w:color w:val="7B7B7B" w:themeColor="accent3" w:themeShade="BF"/>
          <w:sz w:val="22"/>
          <w:szCs w:val="22"/>
          <w:lang w:val="en-GB"/>
        </w:rPr>
        <w:t xml:space="preserve"> court is </w:t>
      </w:r>
      <w:r w:rsidR="00802F6A" w:rsidRPr="00041D2C">
        <w:rPr>
          <w:rFonts w:ascii="Avenir Next" w:hAnsi="Avenir Next" w:cs="Arial"/>
          <w:color w:val="7B7B7B" w:themeColor="accent3" w:themeShade="BF"/>
          <w:sz w:val="22"/>
          <w:szCs w:val="22"/>
          <w:lang w:val="en-GB"/>
        </w:rPr>
        <w:t>satisfied that the undertaking adequately protects the general interests of local creditors</w:t>
      </w:r>
      <w:r w:rsidR="00802F6A" w:rsidRPr="00041D2C">
        <w:rPr>
          <w:rFonts w:ascii="Avenir Next" w:hAnsi="Avenir Next" w:cs="Arial"/>
          <w:color w:val="7B7B7B" w:themeColor="accent3" w:themeShade="BF"/>
          <w:sz w:val="22"/>
          <w:szCs w:val="22"/>
          <w:lang w:val="en-GB"/>
        </w:rPr>
        <w:t>) (Article 38(2))</w:t>
      </w:r>
      <w:r w:rsidR="00802F6A" w:rsidRPr="00041D2C">
        <w:rPr>
          <w:rFonts w:ascii="Avenir Next" w:hAnsi="Avenir Next" w:cs="Arial"/>
          <w:color w:val="7B7B7B" w:themeColor="accent3" w:themeShade="BF"/>
          <w:sz w:val="22"/>
          <w:szCs w:val="22"/>
          <w:lang w:val="en-GB"/>
        </w:rPr>
        <w:t>.</w:t>
      </w:r>
    </w:p>
    <w:p w14:paraId="74769381" w14:textId="77777777" w:rsidR="002878B8" w:rsidRPr="00041D2C" w:rsidRDefault="002878B8" w:rsidP="000A3278">
      <w:pPr>
        <w:jc w:val="both"/>
        <w:rPr>
          <w:rFonts w:ascii="Avenir Next" w:hAnsi="Avenir Next" w:cs="Arial"/>
          <w:color w:val="7B7B7B" w:themeColor="accent3" w:themeShade="BF"/>
          <w:sz w:val="22"/>
          <w:szCs w:val="22"/>
          <w:lang w:val="en-GB"/>
        </w:rPr>
      </w:pPr>
    </w:p>
    <w:p w14:paraId="2943D6F8" w14:textId="77777777" w:rsidR="00EA14EE" w:rsidRPr="00041D2C"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041D2C"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041D2C" w:rsidRDefault="00187A34" w:rsidP="004E3A6B">
      <w:pPr>
        <w:jc w:val="center"/>
        <w:rPr>
          <w:rFonts w:ascii="Arial" w:hAnsi="Arial" w:cs="Arial"/>
          <w:b/>
          <w:bCs/>
          <w:sz w:val="22"/>
          <w:szCs w:val="22"/>
          <w:lang w:val="en-GB"/>
        </w:rPr>
      </w:pPr>
    </w:p>
    <w:p w14:paraId="081EF1D0" w14:textId="2B0E58A5" w:rsidR="00187A34" w:rsidRPr="00041D2C" w:rsidRDefault="006723E9" w:rsidP="004E3A6B">
      <w:pPr>
        <w:jc w:val="center"/>
        <w:rPr>
          <w:rFonts w:ascii="Avenir Next Demi Bold" w:hAnsi="Avenir Next Demi Bold" w:cs="Arial"/>
          <w:b/>
          <w:bCs/>
          <w:sz w:val="22"/>
          <w:szCs w:val="22"/>
          <w:lang w:val="en-GB"/>
        </w:rPr>
      </w:pPr>
      <w:r w:rsidRPr="00041D2C">
        <w:rPr>
          <w:rFonts w:ascii="Avenir Next Demi Bold" w:hAnsi="Avenir Next Demi Bold" w:cs="Arial"/>
          <w:b/>
          <w:bCs/>
          <w:sz w:val="22"/>
          <w:szCs w:val="22"/>
          <w:lang w:val="en-GB"/>
        </w:rPr>
        <w:t>*** END OF ASSESSMENT ***</w:t>
      </w:r>
    </w:p>
    <w:sectPr w:rsidR="00187A34" w:rsidRPr="00041D2C"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65CE" w14:textId="77777777" w:rsidR="006E07D8" w:rsidRDefault="006E07D8" w:rsidP="00241B44">
      <w:r>
        <w:separator/>
      </w:r>
    </w:p>
  </w:endnote>
  <w:endnote w:type="continuationSeparator" w:id="0">
    <w:p w14:paraId="5D9B96E7" w14:textId="77777777" w:rsidR="006E07D8" w:rsidRDefault="006E07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0D94A15A" w:rsidR="00D509A5" w:rsidRPr="005418A0" w:rsidRDefault="00694E0B" w:rsidP="009B4976">
    <w:pPr>
      <w:pStyle w:val="Footer"/>
      <w:ind w:right="360"/>
      <w:rPr>
        <w:rFonts w:ascii="Avenir Next" w:hAnsi="Avenir Next" w:cs="Arial"/>
        <w:sz w:val="22"/>
        <w:szCs w:val="22"/>
        <w:lang w:val="en-GB"/>
      </w:rPr>
    </w:pPr>
    <w:r>
      <w:rPr>
        <w:rFonts w:ascii="Avenir Next" w:hAnsi="Avenir Next" w:cs="Arial"/>
        <w:sz w:val="22"/>
        <w:szCs w:val="22"/>
        <w:lang w:val="en-GB"/>
      </w:rPr>
      <w:t>FC202324-1361</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6637" w14:textId="77777777" w:rsidR="006E07D8" w:rsidRDefault="006E07D8" w:rsidP="00241B44">
      <w:r>
        <w:separator/>
      </w:r>
    </w:p>
  </w:footnote>
  <w:footnote w:type="continuationSeparator" w:id="0">
    <w:p w14:paraId="0F643B6D" w14:textId="77777777" w:rsidR="006E07D8" w:rsidRDefault="006E07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605"/>
    <w:multiLevelType w:val="hybridMultilevel"/>
    <w:tmpl w:val="9AD20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4850FCC"/>
    <w:multiLevelType w:val="hybridMultilevel"/>
    <w:tmpl w:val="55F87184"/>
    <w:lvl w:ilvl="0" w:tplc="72D60F4E">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2050E65"/>
    <w:multiLevelType w:val="hybridMultilevel"/>
    <w:tmpl w:val="F31E63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A952DC4"/>
    <w:multiLevelType w:val="hybridMultilevel"/>
    <w:tmpl w:val="0A6C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F66246D"/>
    <w:multiLevelType w:val="hybridMultilevel"/>
    <w:tmpl w:val="520E4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C35A7E"/>
    <w:multiLevelType w:val="hybridMultilevel"/>
    <w:tmpl w:val="E0ACCF46"/>
    <w:lvl w:ilvl="0" w:tplc="865C1EE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2D657FC"/>
    <w:multiLevelType w:val="hybridMultilevel"/>
    <w:tmpl w:val="7DE43068"/>
    <w:lvl w:ilvl="0" w:tplc="72D60F4E">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9947E82"/>
    <w:multiLevelType w:val="hybridMultilevel"/>
    <w:tmpl w:val="D5BABD32"/>
    <w:lvl w:ilvl="0" w:tplc="463A6ACE">
      <w:start w:val="1"/>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6"/>
  </w:num>
  <w:num w:numId="2" w16cid:durableId="2002611782">
    <w:abstractNumId w:val="26"/>
  </w:num>
  <w:num w:numId="3" w16cid:durableId="1046681177">
    <w:abstractNumId w:val="19"/>
  </w:num>
  <w:num w:numId="4" w16cid:durableId="1250502507">
    <w:abstractNumId w:val="34"/>
  </w:num>
  <w:num w:numId="5" w16cid:durableId="262424646">
    <w:abstractNumId w:val="25"/>
  </w:num>
  <w:num w:numId="6" w16cid:durableId="2052070068">
    <w:abstractNumId w:val="28"/>
  </w:num>
  <w:num w:numId="7" w16cid:durableId="1461680123">
    <w:abstractNumId w:val="9"/>
  </w:num>
  <w:num w:numId="8" w16cid:durableId="892274553">
    <w:abstractNumId w:val="23"/>
  </w:num>
  <w:num w:numId="9" w16cid:durableId="626088575">
    <w:abstractNumId w:val="22"/>
  </w:num>
  <w:num w:numId="10" w16cid:durableId="1127773174">
    <w:abstractNumId w:val="17"/>
  </w:num>
  <w:num w:numId="11" w16cid:durableId="1017780422">
    <w:abstractNumId w:val="24"/>
  </w:num>
  <w:num w:numId="12" w16cid:durableId="1731923168">
    <w:abstractNumId w:val="4"/>
  </w:num>
  <w:num w:numId="13" w16cid:durableId="325937709">
    <w:abstractNumId w:val="14"/>
  </w:num>
  <w:num w:numId="14" w16cid:durableId="87119507">
    <w:abstractNumId w:val="21"/>
  </w:num>
  <w:num w:numId="15" w16cid:durableId="537401627">
    <w:abstractNumId w:val="18"/>
  </w:num>
  <w:num w:numId="16" w16cid:durableId="225994540">
    <w:abstractNumId w:val="13"/>
  </w:num>
  <w:num w:numId="17" w16cid:durableId="1550260514">
    <w:abstractNumId w:val="16"/>
  </w:num>
  <w:num w:numId="18" w16cid:durableId="641735283">
    <w:abstractNumId w:val="5"/>
  </w:num>
  <w:num w:numId="19" w16cid:durableId="792407038">
    <w:abstractNumId w:val="1"/>
  </w:num>
  <w:num w:numId="20" w16cid:durableId="1217475378">
    <w:abstractNumId w:val="8"/>
  </w:num>
  <w:num w:numId="21" w16cid:durableId="1798719523">
    <w:abstractNumId w:val="1"/>
  </w:num>
  <w:num w:numId="22" w16cid:durableId="120156217">
    <w:abstractNumId w:val="11"/>
  </w:num>
  <w:num w:numId="23" w16cid:durableId="1566800475">
    <w:abstractNumId w:val="27"/>
  </w:num>
  <w:num w:numId="24" w16cid:durableId="1845364164">
    <w:abstractNumId w:val="29"/>
  </w:num>
  <w:num w:numId="25" w16cid:durableId="1565870678">
    <w:abstractNumId w:val="7"/>
  </w:num>
  <w:num w:numId="26" w16cid:durableId="974988881">
    <w:abstractNumId w:val="36"/>
  </w:num>
  <w:num w:numId="27" w16cid:durableId="1096101251">
    <w:abstractNumId w:val="12"/>
  </w:num>
  <w:num w:numId="28" w16cid:durableId="1807311193">
    <w:abstractNumId w:val="3"/>
  </w:num>
  <w:num w:numId="29" w16cid:durableId="614291072">
    <w:abstractNumId w:val="15"/>
  </w:num>
  <w:num w:numId="30" w16cid:durableId="1134907189">
    <w:abstractNumId w:val="33"/>
  </w:num>
  <w:num w:numId="31" w16cid:durableId="92938254">
    <w:abstractNumId w:val="31"/>
  </w:num>
  <w:num w:numId="32" w16cid:durableId="1838615408">
    <w:abstractNumId w:val="10"/>
  </w:num>
  <w:num w:numId="33" w16cid:durableId="2087847088">
    <w:abstractNumId w:val="39"/>
  </w:num>
  <w:num w:numId="34" w16cid:durableId="1031685811">
    <w:abstractNumId w:val="38"/>
  </w:num>
  <w:num w:numId="35" w16cid:durableId="1122650878">
    <w:abstractNumId w:val="35"/>
  </w:num>
  <w:num w:numId="36" w16cid:durableId="1635063101">
    <w:abstractNumId w:val="2"/>
  </w:num>
  <w:num w:numId="37" w16cid:durableId="1207715200">
    <w:abstractNumId w:val="6"/>
  </w:num>
  <w:num w:numId="38" w16cid:durableId="1425609990">
    <w:abstractNumId w:val="32"/>
  </w:num>
  <w:num w:numId="39" w16cid:durableId="1136873748">
    <w:abstractNumId w:val="37"/>
  </w:num>
  <w:num w:numId="40" w16cid:durableId="1645355546">
    <w:abstractNumId w:val="0"/>
  </w:num>
  <w:num w:numId="41" w16cid:durableId="1143548434">
    <w:abstractNumId w:val="20"/>
  </w:num>
  <w:num w:numId="42" w16cid:durableId="213590469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76F"/>
    <w:rsid w:val="00007146"/>
    <w:rsid w:val="00010BA0"/>
    <w:rsid w:val="0001344B"/>
    <w:rsid w:val="00013544"/>
    <w:rsid w:val="00016162"/>
    <w:rsid w:val="00020557"/>
    <w:rsid w:val="0002365D"/>
    <w:rsid w:val="000250C7"/>
    <w:rsid w:val="00026F16"/>
    <w:rsid w:val="000275C1"/>
    <w:rsid w:val="00037621"/>
    <w:rsid w:val="00041B32"/>
    <w:rsid w:val="00041D2C"/>
    <w:rsid w:val="00044D46"/>
    <w:rsid w:val="00045088"/>
    <w:rsid w:val="00045904"/>
    <w:rsid w:val="00047ECF"/>
    <w:rsid w:val="00054E15"/>
    <w:rsid w:val="00065166"/>
    <w:rsid w:val="000756D2"/>
    <w:rsid w:val="00082609"/>
    <w:rsid w:val="000851CC"/>
    <w:rsid w:val="00086936"/>
    <w:rsid w:val="00087CD6"/>
    <w:rsid w:val="0009376F"/>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2780D"/>
    <w:rsid w:val="00134137"/>
    <w:rsid w:val="0014171F"/>
    <w:rsid w:val="001453FF"/>
    <w:rsid w:val="0014622C"/>
    <w:rsid w:val="00152348"/>
    <w:rsid w:val="0015456D"/>
    <w:rsid w:val="00155FA2"/>
    <w:rsid w:val="00161F1B"/>
    <w:rsid w:val="00162829"/>
    <w:rsid w:val="00173DD5"/>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C7FCC"/>
    <w:rsid w:val="001D0469"/>
    <w:rsid w:val="001D4862"/>
    <w:rsid w:val="001D6E1C"/>
    <w:rsid w:val="001E25B9"/>
    <w:rsid w:val="001E49E0"/>
    <w:rsid w:val="001E5F8A"/>
    <w:rsid w:val="001E6D21"/>
    <w:rsid w:val="001E7B5A"/>
    <w:rsid w:val="001F7412"/>
    <w:rsid w:val="001F7891"/>
    <w:rsid w:val="00200533"/>
    <w:rsid w:val="00202DFE"/>
    <w:rsid w:val="00203720"/>
    <w:rsid w:val="0020725B"/>
    <w:rsid w:val="002110F1"/>
    <w:rsid w:val="00222FB5"/>
    <w:rsid w:val="0024116D"/>
    <w:rsid w:val="00241B44"/>
    <w:rsid w:val="00241FA3"/>
    <w:rsid w:val="00242918"/>
    <w:rsid w:val="00244C44"/>
    <w:rsid w:val="00245EFB"/>
    <w:rsid w:val="0025386E"/>
    <w:rsid w:val="002638B0"/>
    <w:rsid w:val="0026647A"/>
    <w:rsid w:val="002668D3"/>
    <w:rsid w:val="002673DD"/>
    <w:rsid w:val="0027299F"/>
    <w:rsid w:val="002729AB"/>
    <w:rsid w:val="00284EBE"/>
    <w:rsid w:val="0028751D"/>
    <w:rsid w:val="002878B8"/>
    <w:rsid w:val="002939CA"/>
    <w:rsid w:val="0029433F"/>
    <w:rsid w:val="00294829"/>
    <w:rsid w:val="0029690F"/>
    <w:rsid w:val="00297C8A"/>
    <w:rsid w:val="002A2A60"/>
    <w:rsid w:val="002A37BB"/>
    <w:rsid w:val="002B1C45"/>
    <w:rsid w:val="002C13C8"/>
    <w:rsid w:val="002C3547"/>
    <w:rsid w:val="002D0021"/>
    <w:rsid w:val="002D3473"/>
    <w:rsid w:val="002D583D"/>
    <w:rsid w:val="002E4CF1"/>
    <w:rsid w:val="002F1956"/>
    <w:rsid w:val="002F2B86"/>
    <w:rsid w:val="002F3440"/>
    <w:rsid w:val="002F4E56"/>
    <w:rsid w:val="002F55D2"/>
    <w:rsid w:val="002F70C6"/>
    <w:rsid w:val="002F75A3"/>
    <w:rsid w:val="00302D76"/>
    <w:rsid w:val="00303C2F"/>
    <w:rsid w:val="003071A4"/>
    <w:rsid w:val="003144EF"/>
    <w:rsid w:val="00317B65"/>
    <w:rsid w:val="0032234E"/>
    <w:rsid w:val="003252C2"/>
    <w:rsid w:val="00326292"/>
    <w:rsid w:val="00326415"/>
    <w:rsid w:val="00330937"/>
    <w:rsid w:val="00330F31"/>
    <w:rsid w:val="00331480"/>
    <w:rsid w:val="00334648"/>
    <w:rsid w:val="00336F93"/>
    <w:rsid w:val="0033768C"/>
    <w:rsid w:val="00337938"/>
    <w:rsid w:val="00340769"/>
    <w:rsid w:val="00341AA6"/>
    <w:rsid w:val="0034705B"/>
    <w:rsid w:val="003525B6"/>
    <w:rsid w:val="00361A0A"/>
    <w:rsid w:val="00364836"/>
    <w:rsid w:val="003650E5"/>
    <w:rsid w:val="0036565C"/>
    <w:rsid w:val="0036625E"/>
    <w:rsid w:val="00366415"/>
    <w:rsid w:val="00366D28"/>
    <w:rsid w:val="00370C32"/>
    <w:rsid w:val="0037465A"/>
    <w:rsid w:val="00375D11"/>
    <w:rsid w:val="00382C98"/>
    <w:rsid w:val="0038533C"/>
    <w:rsid w:val="00386568"/>
    <w:rsid w:val="00390B57"/>
    <w:rsid w:val="003948D5"/>
    <w:rsid w:val="00396821"/>
    <w:rsid w:val="00397D3A"/>
    <w:rsid w:val="003A051E"/>
    <w:rsid w:val="003A5DF3"/>
    <w:rsid w:val="003B0A27"/>
    <w:rsid w:val="003B170F"/>
    <w:rsid w:val="003B37D4"/>
    <w:rsid w:val="003B3C5F"/>
    <w:rsid w:val="003C4342"/>
    <w:rsid w:val="003C4471"/>
    <w:rsid w:val="003C4BCB"/>
    <w:rsid w:val="003D0A6D"/>
    <w:rsid w:val="003D17A2"/>
    <w:rsid w:val="003D1974"/>
    <w:rsid w:val="003D4A79"/>
    <w:rsid w:val="003E0B16"/>
    <w:rsid w:val="003E1D56"/>
    <w:rsid w:val="003E2475"/>
    <w:rsid w:val="003E4DB0"/>
    <w:rsid w:val="003E67D1"/>
    <w:rsid w:val="003F0515"/>
    <w:rsid w:val="00404329"/>
    <w:rsid w:val="00405DC1"/>
    <w:rsid w:val="0040710C"/>
    <w:rsid w:val="00415F1F"/>
    <w:rsid w:val="004202D2"/>
    <w:rsid w:val="0042108F"/>
    <w:rsid w:val="00425094"/>
    <w:rsid w:val="00427CBB"/>
    <w:rsid w:val="00430FED"/>
    <w:rsid w:val="00434072"/>
    <w:rsid w:val="00434A8C"/>
    <w:rsid w:val="00437297"/>
    <w:rsid w:val="00444284"/>
    <w:rsid w:val="0044574C"/>
    <w:rsid w:val="00445B87"/>
    <w:rsid w:val="00445CE6"/>
    <w:rsid w:val="00445D16"/>
    <w:rsid w:val="00447153"/>
    <w:rsid w:val="004534C2"/>
    <w:rsid w:val="0045446F"/>
    <w:rsid w:val="0045683E"/>
    <w:rsid w:val="00456E55"/>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0D0"/>
    <w:rsid w:val="004D3721"/>
    <w:rsid w:val="004D64F9"/>
    <w:rsid w:val="004E3A6B"/>
    <w:rsid w:val="004E622C"/>
    <w:rsid w:val="004F4245"/>
    <w:rsid w:val="004F4AF9"/>
    <w:rsid w:val="004F5FDF"/>
    <w:rsid w:val="004F75B8"/>
    <w:rsid w:val="005177FE"/>
    <w:rsid w:val="0052263B"/>
    <w:rsid w:val="00524728"/>
    <w:rsid w:val="005331CA"/>
    <w:rsid w:val="00537970"/>
    <w:rsid w:val="00540E3A"/>
    <w:rsid w:val="005418A0"/>
    <w:rsid w:val="00544127"/>
    <w:rsid w:val="00544F6E"/>
    <w:rsid w:val="005463A9"/>
    <w:rsid w:val="00552618"/>
    <w:rsid w:val="00553EB2"/>
    <w:rsid w:val="00560534"/>
    <w:rsid w:val="0056391B"/>
    <w:rsid w:val="005650E2"/>
    <w:rsid w:val="00567AD7"/>
    <w:rsid w:val="0057161E"/>
    <w:rsid w:val="00575B2D"/>
    <w:rsid w:val="0057658E"/>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93A"/>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434D7"/>
    <w:rsid w:val="00654B27"/>
    <w:rsid w:val="00654C2F"/>
    <w:rsid w:val="00656DA7"/>
    <w:rsid w:val="00657087"/>
    <w:rsid w:val="006603F1"/>
    <w:rsid w:val="006639DB"/>
    <w:rsid w:val="00664A67"/>
    <w:rsid w:val="006661EF"/>
    <w:rsid w:val="006723E9"/>
    <w:rsid w:val="00673021"/>
    <w:rsid w:val="00677AEB"/>
    <w:rsid w:val="00680EF2"/>
    <w:rsid w:val="00687A1D"/>
    <w:rsid w:val="00694E0B"/>
    <w:rsid w:val="00696ED8"/>
    <w:rsid w:val="00697EA1"/>
    <w:rsid w:val="006A2646"/>
    <w:rsid w:val="006A6530"/>
    <w:rsid w:val="006B2681"/>
    <w:rsid w:val="006B435A"/>
    <w:rsid w:val="006B4C64"/>
    <w:rsid w:val="006C3FB7"/>
    <w:rsid w:val="006C4FAA"/>
    <w:rsid w:val="006C6067"/>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28E"/>
    <w:rsid w:val="007333CC"/>
    <w:rsid w:val="0073399A"/>
    <w:rsid w:val="00736580"/>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B4B3D"/>
    <w:rsid w:val="007C1FCC"/>
    <w:rsid w:val="007C50AA"/>
    <w:rsid w:val="007C6201"/>
    <w:rsid w:val="007D5F30"/>
    <w:rsid w:val="007D7C92"/>
    <w:rsid w:val="007E1154"/>
    <w:rsid w:val="007E39B3"/>
    <w:rsid w:val="007E3AA9"/>
    <w:rsid w:val="007E44C4"/>
    <w:rsid w:val="007E6BA4"/>
    <w:rsid w:val="007F3383"/>
    <w:rsid w:val="007F41F8"/>
    <w:rsid w:val="007F6A57"/>
    <w:rsid w:val="00800B1B"/>
    <w:rsid w:val="00800B76"/>
    <w:rsid w:val="008017F0"/>
    <w:rsid w:val="00802F6A"/>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81058"/>
    <w:rsid w:val="00881DE6"/>
    <w:rsid w:val="008837A6"/>
    <w:rsid w:val="0089145D"/>
    <w:rsid w:val="0089362E"/>
    <w:rsid w:val="00894C1D"/>
    <w:rsid w:val="00897A78"/>
    <w:rsid w:val="008A3699"/>
    <w:rsid w:val="008A4DF2"/>
    <w:rsid w:val="008A6CFE"/>
    <w:rsid w:val="008A7391"/>
    <w:rsid w:val="008B5333"/>
    <w:rsid w:val="008B6223"/>
    <w:rsid w:val="008C385B"/>
    <w:rsid w:val="008C4AC6"/>
    <w:rsid w:val="008C66E0"/>
    <w:rsid w:val="008C6D0F"/>
    <w:rsid w:val="008D1368"/>
    <w:rsid w:val="008D5C57"/>
    <w:rsid w:val="008D6048"/>
    <w:rsid w:val="008D62F7"/>
    <w:rsid w:val="008D70EB"/>
    <w:rsid w:val="008E0EC8"/>
    <w:rsid w:val="008E3339"/>
    <w:rsid w:val="008E3C96"/>
    <w:rsid w:val="008E7371"/>
    <w:rsid w:val="008F20FC"/>
    <w:rsid w:val="008F5FFE"/>
    <w:rsid w:val="00904D80"/>
    <w:rsid w:val="00905A43"/>
    <w:rsid w:val="00912C79"/>
    <w:rsid w:val="00914A23"/>
    <w:rsid w:val="00921C49"/>
    <w:rsid w:val="00935A21"/>
    <w:rsid w:val="00942123"/>
    <w:rsid w:val="009467E5"/>
    <w:rsid w:val="0095207B"/>
    <w:rsid w:val="00956E63"/>
    <w:rsid w:val="00962045"/>
    <w:rsid w:val="009651D2"/>
    <w:rsid w:val="00967219"/>
    <w:rsid w:val="00971896"/>
    <w:rsid w:val="00973AA6"/>
    <w:rsid w:val="00980E61"/>
    <w:rsid w:val="00986FCB"/>
    <w:rsid w:val="00991428"/>
    <w:rsid w:val="00992676"/>
    <w:rsid w:val="009954B2"/>
    <w:rsid w:val="00996691"/>
    <w:rsid w:val="009B0723"/>
    <w:rsid w:val="009B07AD"/>
    <w:rsid w:val="009B0883"/>
    <w:rsid w:val="009B15E2"/>
    <w:rsid w:val="009B1DEF"/>
    <w:rsid w:val="009B4976"/>
    <w:rsid w:val="009C0B8E"/>
    <w:rsid w:val="009C1BC8"/>
    <w:rsid w:val="009C1EBF"/>
    <w:rsid w:val="009C2442"/>
    <w:rsid w:val="009C5E52"/>
    <w:rsid w:val="009D0811"/>
    <w:rsid w:val="009D0EE1"/>
    <w:rsid w:val="009D693A"/>
    <w:rsid w:val="009E2AEB"/>
    <w:rsid w:val="009E2E27"/>
    <w:rsid w:val="009E39B2"/>
    <w:rsid w:val="009E46B8"/>
    <w:rsid w:val="009E4DE3"/>
    <w:rsid w:val="009F275E"/>
    <w:rsid w:val="00A02A4A"/>
    <w:rsid w:val="00A047EE"/>
    <w:rsid w:val="00A07E6F"/>
    <w:rsid w:val="00A11E80"/>
    <w:rsid w:val="00A17858"/>
    <w:rsid w:val="00A2274A"/>
    <w:rsid w:val="00A235B7"/>
    <w:rsid w:val="00A245CC"/>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4B92"/>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AF592C"/>
    <w:rsid w:val="00B00D6A"/>
    <w:rsid w:val="00B016A8"/>
    <w:rsid w:val="00B03286"/>
    <w:rsid w:val="00B070D2"/>
    <w:rsid w:val="00B12499"/>
    <w:rsid w:val="00B12EF7"/>
    <w:rsid w:val="00B137B0"/>
    <w:rsid w:val="00B14819"/>
    <w:rsid w:val="00B14A1A"/>
    <w:rsid w:val="00B15E2F"/>
    <w:rsid w:val="00B17AA9"/>
    <w:rsid w:val="00B30D9A"/>
    <w:rsid w:val="00B32588"/>
    <w:rsid w:val="00B34C12"/>
    <w:rsid w:val="00B437B1"/>
    <w:rsid w:val="00B44713"/>
    <w:rsid w:val="00B56103"/>
    <w:rsid w:val="00B56856"/>
    <w:rsid w:val="00B64929"/>
    <w:rsid w:val="00B70CB2"/>
    <w:rsid w:val="00B736DF"/>
    <w:rsid w:val="00B743D6"/>
    <w:rsid w:val="00B74FBD"/>
    <w:rsid w:val="00B77F46"/>
    <w:rsid w:val="00B82586"/>
    <w:rsid w:val="00B829A3"/>
    <w:rsid w:val="00B86DB1"/>
    <w:rsid w:val="00B87869"/>
    <w:rsid w:val="00B96CE3"/>
    <w:rsid w:val="00BA2843"/>
    <w:rsid w:val="00BA543A"/>
    <w:rsid w:val="00BB0F23"/>
    <w:rsid w:val="00BB0F2B"/>
    <w:rsid w:val="00BB38D1"/>
    <w:rsid w:val="00BD73DA"/>
    <w:rsid w:val="00BE0747"/>
    <w:rsid w:val="00BE4BFD"/>
    <w:rsid w:val="00BE4FF3"/>
    <w:rsid w:val="00BE713B"/>
    <w:rsid w:val="00BF50F7"/>
    <w:rsid w:val="00C00B20"/>
    <w:rsid w:val="00C00E77"/>
    <w:rsid w:val="00C02F29"/>
    <w:rsid w:val="00C05955"/>
    <w:rsid w:val="00C133FF"/>
    <w:rsid w:val="00C15FA2"/>
    <w:rsid w:val="00C20AFE"/>
    <w:rsid w:val="00C22A25"/>
    <w:rsid w:val="00C351F8"/>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64EBB"/>
    <w:rsid w:val="00C72848"/>
    <w:rsid w:val="00C7709D"/>
    <w:rsid w:val="00C7729F"/>
    <w:rsid w:val="00C7736C"/>
    <w:rsid w:val="00C80BB6"/>
    <w:rsid w:val="00C82D87"/>
    <w:rsid w:val="00C8712A"/>
    <w:rsid w:val="00C8784E"/>
    <w:rsid w:val="00C963D3"/>
    <w:rsid w:val="00CA7069"/>
    <w:rsid w:val="00CB1983"/>
    <w:rsid w:val="00CB2CBB"/>
    <w:rsid w:val="00CB5631"/>
    <w:rsid w:val="00CB7CAC"/>
    <w:rsid w:val="00CC5335"/>
    <w:rsid w:val="00CC5BA4"/>
    <w:rsid w:val="00CD4998"/>
    <w:rsid w:val="00CE1035"/>
    <w:rsid w:val="00CE1213"/>
    <w:rsid w:val="00CE4206"/>
    <w:rsid w:val="00CE6E50"/>
    <w:rsid w:val="00CF0F57"/>
    <w:rsid w:val="00CF1AF7"/>
    <w:rsid w:val="00CF2819"/>
    <w:rsid w:val="00CF4F9D"/>
    <w:rsid w:val="00CF70DC"/>
    <w:rsid w:val="00D06421"/>
    <w:rsid w:val="00D13AE1"/>
    <w:rsid w:val="00D148DC"/>
    <w:rsid w:val="00D17FDC"/>
    <w:rsid w:val="00D21F62"/>
    <w:rsid w:val="00D24871"/>
    <w:rsid w:val="00D26E26"/>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363"/>
    <w:rsid w:val="00DB482A"/>
    <w:rsid w:val="00DB56F2"/>
    <w:rsid w:val="00DB6EF5"/>
    <w:rsid w:val="00DC3089"/>
    <w:rsid w:val="00DC4420"/>
    <w:rsid w:val="00DD0802"/>
    <w:rsid w:val="00DD1686"/>
    <w:rsid w:val="00DD2E11"/>
    <w:rsid w:val="00DD2FF3"/>
    <w:rsid w:val="00DD47EF"/>
    <w:rsid w:val="00DE03AF"/>
    <w:rsid w:val="00DE121C"/>
    <w:rsid w:val="00DE367E"/>
    <w:rsid w:val="00DE6633"/>
    <w:rsid w:val="00DF0864"/>
    <w:rsid w:val="00DF7125"/>
    <w:rsid w:val="00DF75F8"/>
    <w:rsid w:val="00DF7A3A"/>
    <w:rsid w:val="00E00C00"/>
    <w:rsid w:val="00E03AF0"/>
    <w:rsid w:val="00E050F8"/>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4B24"/>
    <w:rsid w:val="00EB5CA4"/>
    <w:rsid w:val="00EC00F9"/>
    <w:rsid w:val="00EC0181"/>
    <w:rsid w:val="00EC1981"/>
    <w:rsid w:val="00EC242E"/>
    <w:rsid w:val="00ED0BC4"/>
    <w:rsid w:val="00ED20E8"/>
    <w:rsid w:val="00ED472A"/>
    <w:rsid w:val="00ED54B6"/>
    <w:rsid w:val="00ED5F37"/>
    <w:rsid w:val="00EE4971"/>
    <w:rsid w:val="00EF090E"/>
    <w:rsid w:val="00F033DA"/>
    <w:rsid w:val="00F13FB1"/>
    <w:rsid w:val="00F27CD8"/>
    <w:rsid w:val="00F30351"/>
    <w:rsid w:val="00F3323E"/>
    <w:rsid w:val="00F341F4"/>
    <w:rsid w:val="00F34F9D"/>
    <w:rsid w:val="00F3562C"/>
    <w:rsid w:val="00F35CCE"/>
    <w:rsid w:val="00F4726A"/>
    <w:rsid w:val="00F47545"/>
    <w:rsid w:val="00F51441"/>
    <w:rsid w:val="00F5524B"/>
    <w:rsid w:val="00F57C8E"/>
    <w:rsid w:val="00F60538"/>
    <w:rsid w:val="00F60B34"/>
    <w:rsid w:val="00F61DD2"/>
    <w:rsid w:val="00F66AFF"/>
    <w:rsid w:val="00F71433"/>
    <w:rsid w:val="00F746D8"/>
    <w:rsid w:val="00F74F8C"/>
    <w:rsid w:val="00F76CD4"/>
    <w:rsid w:val="00F814B4"/>
    <w:rsid w:val="00F83464"/>
    <w:rsid w:val="00F93BE7"/>
    <w:rsid w:val="00F97C5B"/>
    <w:rsid w:val="00FA3D50"/>
    <w:rsid w:val="00FA556C"/>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Indent">
    <w:name w:val="Body Text Indent"/>
    <w:basedOn w:val="Normal"/>
    <w:link w:val="BodyTextIndentChar"/>
    <w:uiPriority w:val="99"/>
    <w:unhideWhenUsed/>
    <w:rsid w:val="000275C1"/>
    <w:pPr>
      <w:spacing w:after="120"/>
      <w:ind w:left="360"/>
    </w:pPr>
  </w:style>
  <w:style w:type="character" w:customStyle="1" w:styleId="BodyTextIndentChar">
    <w:name w:val="Body Text Indent Char"/>
    <w:basedOn w:val="DefaultParagraphFont"/>
    <w:link w:val="BodyTextIndent"/>
    <w:uiPriority w:val="99"/>
    <w:rsid w:val="000275C1"/>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14</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Moseley</cp:lastModifiedBy>
  <cp:revision>84</cp:revision>
  <cp:lastPrinted>2019-08-27T05:42:00Z</cp:lastPrinted>
  <dcterms:created xsi:type="dcterms:W3CDTF">2023-06-21T09:48:00Z</dcterms:created>
  <dcterms:modified xsi:type="dcterms:W3CDTF">2024-06-12T23:12:00Z</dcterms:modified>
</cp:coreProperties>
</file>