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C77891">
        <w:rPr>
          <w:rFonts w:ascii="Avenir Next" w:hAnsi="Avenir Next"/>
          <w:highlight w:val="yellow"/>
        </w:rPr>
        <w:t>(b)</w:t>
      </w:r>
      <w:r w:rsidRPr="00C77891">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C77891">
        <w:rPr>
          <w:rFonts w:ascii="Avenir Next" w:hAnsi="Avenir Next"/>
        </w:rPr>
        <w:t>(e)</w:t>
      </w:r>
      <w:r w:rsidRPr="00C77891">
        <w:rPr>
          <w:rFonts w:ascii="Avenir Next" w:hAnsi="Avenir Next"/>
        </w:rPr>
        <w:tab/>
        <w:t>No, because Parts Inc</w:t>
      </w:r>
      <w:r w:rsidR="00A81F08" w:rsidRPr="00C77891">
        <w:rPr>
          <w:rFonts w:ascii="Avenir Next" w:hAnsi="Avenir Next"/>
        </w:rPr>
        <w:t xml:space="preserve"> </w:t>
      </w:r>
      <w:r w:rsidRPr="00C77891">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9C6AA0" w:rsidRDefault="00CE0ECD" w:rsidP="00B77B19">
      <w:pPr>
        <w:pStyle w:val="AODocTxt"/>
        <w:keepNext/>
        <w:spacing w:before="0" w:line="240" w:lineRule="auto"/>
        <w:rPr>
          <w:rFonts w:ascii="Avenir Next Demi Bold" w:hAnsi="Avenir Next Demi Bold"/>
          <w:b/>
          <w:bCs/>
        </w:rPr>
      </w:pPr>
      <w:r w:rsidRPr="00511714">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Pr="00EB5D6F"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w:t>
      </w:r>
      <w:r w:rsidRPr="00EB5D6F">
        <w:rPr>
          <w:rFonts w:ascii="Avenir Next" w:hAnsi="Avenir Next"/>
        </w:rPr>
        <w:t xml:space="preserve">following is likely to be a </w:t>
      </w:r>
      <w:r w:rsidRPr="00EB5D6F">
        <w:rPr>
          <w:rFonts w:ascii="Avenir Next Demi Bold" w:hAnsi="Avenir Next Demi Bold"/>
          <w:u w:val="single"/>
        </w:rPr>
        <w:t>party in interest</w:t>
      </w:r>
      <w:r w:rsidRPr="00EB5D6F">
        <w:rPr>
          <w:rFonts w:ascii="Avenir Next" w:hAnsi="Avenir Next"/>
        </w:rPr>
        <w:t xml:space="preserve"> in the bankruptcy of Car Corp?</w:t>
      </w:r>
    </w:p>
    <w:p w14:paraId="5F691818" w14:textId="77777777" w:rsidR="00197E4B" w:rsidRPr="00EB5D6F" w:rsidRDefault="00197E4B" w:rsidP="00B77B19">
      <w:pPr>
        <w:pStyle w:val="AODocTxt"/>
        <w:spacing w:before="0" w:line="240" w:lineRule="auto"/>
        <w:rPr>
          <w:rFonts w:ascii="Avenir Next" w:hAnsi="Avenir Next"/>
        </w:rPr>
      </w:pPr>
    </w:p>
    <w:p w14:paraId="6F1C0A86" w14:textId="451B19CC" w:rsidR="001109FE" w:rsidRPr="00EB5D6F" w:rsidRDefault="001109FE" w:rsidP="001109FE">
      <w:pPr>
        <w:pStyle w:val="AODocTxt"/>
        <w:spacing w:before="0" w:line="240" w:lineRule="auto"/>
        <w:ind w:left="426" w:hanging="426"/>
        <w:rPr>
          <w:rFonts w:ascii="Avenir Next" w:hAnsi="Avenir Next"/>
        </w:rPr>
      </w:pPr>
      <w:r w:rsidRPr="00EB5D6F">
        <w:rPr>
          <w:rFonts w:ascii="Avenir Next" w:hAnsi="Avenir Next"/>
        </w:rPr>
        <w:t>(a)</w:t>
      </w:r>
      <w:r w:rsidRPr="00EB5D6F">
        <w:rPr>
          <w:rFonts w:ascii="Avenir Next" w:hAnsi="Avenir Next"/>
        </w:rPr>
        <w:tab/>
        <w:t>A shareholder in Parts Inc, to which Car Corp is indebted</w:t>
      </w:r>
      <w:r w:rsidR="00631394" w:rsidRPr="00EB5D6F">
        <w:rPr>
          <w:rFonts w:ascii="Avenir Next" w:hAnsi="Avenir Next"/>
        </w:rPr>
        <w:t>.</w:t>
      </w:r>
    </w:p>
    <w:p w14:paraId="1F972184" w14:textId="77777777" w:rsidR="00631394" w:rsidRPr="00EB5D6F" w:rsidRDefault="00631394" w:rsidP="001109FE">
      <w:pPr>
        <w:pStyle w:val="AODocTxt"/>
        <w:spacing w:before="0" w:line="240" w:lineRule="auto"/>
        <w:ind w:left="426" w:hanging="426"/>
        <w:rPr>
          <w:rFonts w:ascii="Avenir Next" w:hAnsi="Avenir Next"/>
        </w:rPr>
      </w:pPr>
    </w:p>
    <w:p w14:paraId="21CCB6BC" w14:textId="09346C80" w:rsidR="001109FE" w:rsidRPr="00EB5D6F" w:rsidRDefault="001109FE" w:rsidP="001109FE">
      <w:pPr>
        <w:pStyle w:val="AODocTxt"/>
        <w:spacing w:before="0" w:line="240" w:lineRule="auto"/>
        <w:ind w:left="426" w:hanging="426"/>
        <w:rPr>
          <w:rFonts w:ascii="Avenir Next" w:hAnsi="Avenir Next"/>
        </w:rPr>
      </w:pPr>
      <w:r w:rsidRPr="00EB5D6F">
        <w:rPr>
          <w:rFonts w:ascii="Avenir Next" w:hAnsi="Avenir Next"/>
        </w:rPr>
        <w:t>(b)</w:t>
      </w:r>
      <w:r w:rsidRPr="00EB5D6F">
        <w:rPr>
          <w:rFonts w:ascii="Avenir Next" w:hAnsi="Avenir Next"/>
        </w:rPr>
        <w:tab/>
        <w:t>A journalist writing about Car Corp’s bankruptcy</w:t>
      </w:r>
      <w:r w:rsidR="00631394" w:rsidRPr="00EB5D6F">
        <w:rPr>
          <w:rFonts w:ascii="Avenir Next" w:hAnsi="Avenir Next"/>
        </w:rPr>
        <w:t>.</w:t>
      </w:r>
    </w:p>
    <w:p w14:paraId="3356CE64" w14:textId="77777777" w:rsidR="00631394" w:rsidRPr="00EB5D6F" w:rsidRDefault="00631394" w:rsidP="001109FE">
      <w:pPr>
        <w:pStyle w:val="AODocTxt"/>
        <w:spacing w:before="0" w:line="240" w:lineRule="auto"/>
        <w:ind w:left="426" w:hanging="426"/>
        <w:rPr>
          <w:rFonts w:ascii="Avenir Next" w:hAnsi="Avenir Next"/>
        </w:rPr>
      </w:pPr>
    </w:p>
    <w:p w14:paraId="458B0E1B" w14:textId="2438958A" w:rsidR="001109FE" w:rsidRPr="00EB5D6F" w:rsidRDefault="001109FE" w:rsidP="001109FE">
      <w:pPr>
        <w:pStyle w:val="AODocTxt"/>
        <w:spacing w:before="0" w:line="240" w:lineRule="auto"/>
        <w:ind w:left="426" w:hanging="426"/>
        <w:rPr>
          <w:rFonts w:ascii="Avenir Next" w:hAnsi="Avenir Next"/>
        </w:rPr>
      </w:pPr>
      <w:r w:rsidRPr="00177231">
        <w:rPr>
          <w:rFonts w:ascii="Avenir Next" w:hAnsi="Avenir Next"/>
        </w:rPr>
        <w:t>(c)</w:t>
      </w:r>
      <w:r w:rsidRPr="00177231">
        <w:rPr>
          <w:rFonts w:ascii="Avenir Next" w:hAnsi="Avenir Next"/>
        </w:rPr>
        <w:tab/>
        <w:t>A shareholder in Investment Corp, Car Corp’s parent company</w:t>
      </w:r>
      <w:r w:rsidR="00631394" w:rsidRPr="00177231">
        <w:rPr>
          <w:rFonts w:ascii="Avenir Next" w:hAnsi="Avenir Next"/>
        </w:rPr>
        <w:t>.</w:t>
      </w:r>
    </w:p>
    <w:p w14:paraId="51738EA8" w14:textId="77777777" w:rsidR="00631394" w:rsidRPr="00EB5D6F"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177231">
        <w:rPr>
          <w:rFonts w:ascii="Avenir Next" w:hAnsi="Avenir Next"/>
          <w:highlight w:val="yellow"/>
        </w:rPr>
        <w:t>(d)</w:t>
      </w:r>
      <w:r w:rsidRPr="00177231">
        <w:rPr>
          <w:rFonts w:ascii="Avenir Next" w:hAnsi="Avenir Next"/>
          <w:highlight w:val="yellow"/>
        </w:rPr>
        <w:tab/>
        <w:t>A retired employee of Car Corp who receives payments from the company’s pension plan</w:t>
      </w:r>
      <w:r w:rsidR="00631394" w:rsidRPr="00177231">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9B7CAF">
        <w:rPr>
          <w:rFonts w:ascii="Avenir Next" w:hAnsi="Avenir Next"/>
          <w:highlight w:val="yellow"/>
        </w:rPr>
        <w:t>(d)</w:t>
      </w:r>
      <w:r w:rsidRPr="009B7CAF">
        <w:rPr>
          <w:rFonts w:ascii="Avenir Next" w:hAnsi="Avenir Next"/>
          <w:highlight w:val="yellow"/>
        </w:rPr>
        <w:tab/>
      </w:r>
      <w:r w:rsidR="00B849C5" w:rsidRPr="009B7CAF">
        <w:rPr>
          <w:rFonts w:ascii="Avenir Next" w:hAnsi="Avenir Next"/>
          <w:highlight w:val="yellow"/>
        </w:rPr>
        <w:t xml:space="preserve">Options (a) to (c) </w:t>
      </w:r>
      <w:r w:rsidRPr="009B7CAF">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306500">
        <w:rPr>
          <w:rFonts w:ascii="Avenir Next" w:hAnsi="Avenir Next"/>
        </w:rPr>
        <w:lastRenderedPageBreak/>
        <w:t>(e)</w:t>
      </w:r>
      <w:r w:rsidRPr="00306500">
        <w:rPr>
          <w:rFonts w:ascii="Avenir Next" w:hAnsi="Avenir Next"/>
        </w:rPr>
        <w:tab/>
        <w:t>None of the above</w:t>
      </w:r>
      <w:r w:rsidR="007D6135">
        <w:rPr>
          <w:rFonts w:ascii="Avenir Next" w:hAnsi="Avenir Next"/>
        </w:rPr>
        <w:t xml:space="preserve"> (options (a) to (d))</w:t>
      </w:r>
      <w:r w:rsidRPr="00306500">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DA3026">
        <w:rPr>
          <w:rFonts w:ascii="Avenir Next" w:hAnsi="Avenir Next"/>
          <w:highlight w:val="yellow"/>
        </w:rPr>
        <w:t>(e)</w:t>
      </w:r>
      <w:r w:rsidRPr="00DA3026">
        <w:rPr>
          <w:rFonts w:ascii="Avenir Next" w:hAnsi="Avenir Next"/>
          <w:highlight w:val="yellow"/>
        </w:rPr>
        <w:tab/>
        <w:t>All of the above</w:t>
      </w:r>
      <w:r w:rsidR="006A42F8" w:rsidRPr="00DA3026">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9C6AA0">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9C6AA0">
        <w:rPr>
          <w:rFonts w:ascii="Avenir Next" w:hAnsi="Avenir Next"/>
          <w:highlight w:val="yellow"/>
        </w:rPr>
        <w:t>(b)</w:t>
      </w:r>
      <w:r w:rsidRPr="009C6AA0">
        <w:rPr>
          <w:rFonts w:ascii="Avenir Next" w:hAnsi="Avenir Next"/>
          <w:highlight w:val="yellow"/>
        </w:rPr>
        <w:tab/>
        <w:t xml:space="preserve">Executory contracts are clearly defined by the </w:t>
      </w:r>
      <w:r w:rsidR="00ED7BF3" w:rsidRPr="009C6AA0">
        <w:rPr>
          <w:rFonts w:ascii="Avenir Next" w:hAnsi="Avenir Next"/>
          <w:highlight w:val="yellow"/>
        </w:rPr>
        <w:t>B</w:t>
      </w:r>
      <w:r w:rsidRPr="009C6AA0">
        <w:rPr>
          <w:rFonts w:ascii="Avenir Next" w:hAnsi="Avenir Next"/>
          <w:highlight w:val="yellow"/>
        </w:rPr>
        <w:t xml:space="preserve">ankruptcy </w:t>
      </w:r>
      <w:r w:rsidR="00ED7BF3" w:rsidRPr="009C6AA0">
        <w:rPr>
          <w:rFonts w:ascii="Avenir Next" w:hAnsi="Avenir Next"/>
          <w:highlight w:val="yellow"/>
        </w:rPr>
        <w:t>C</w:t>
      </w:r>
      <w:r w:rsidRPr="009C6AA0">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Chapter 11 debtors have greater flexibility than chapter 7 debtors on when they may assume, assign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9C6AA0" w:rsidRDefault="000643AB" w:rsidP="00875912">
      <w:pPr>
        <w:pStyle w:val="AODocTxt"/>
        <w:numPr>
          <w:ilvl w:val="0"/>
          <w:numId w:val="24"/>
        </w:numPr>
        <w:spacing w:before="0" w:line="240" w:lineRule="auto"/>
        <w:ind w:left="426" w:hanging="426"/>
        <w:rPr>
          <w:rFonts w:ascii="Avenir Next" w:hAnsi="Avenir Next"/>
          <w:highlight w:val="yellow"/>
        </w:rPr>
      </w:pPr>
      <w:r w:rsidRPr="009C6AA0">
        <w:rPr>
          <w:rFonts w:ascii="Avenir Next" w:hAnsi="Avenir Next"/>
          <w:highlight w:val="yellow"/>
        </w:rPr>
        <w:t>Acceptance of the plan by all classes of secured creditors</w:t>
      </w:r>
      <w:r w:rsidR="006844A8" w:rsidRPr="009C6AA0">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A25A76">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9A3196" w:rsidRDefault="00C24FAB" w:rsidP="009017A1">
      <w:pPr>
        <w:pStyle w:val="AODocTxt"/>
        <w:numPr>
          <w:ilvl w:val="0"/>
          <w:numId w:val="33"/>
        </w:numPr>
        <w:spacing w:before="0" w:line="240" w:lineRule="auto"/>
        <w:ind w:left="426" w:hanging="426"/>
        <w:rPr>
          <w:rFonts w:ascii="Avenir Next" w:hAnsi="Avenir Next"/>
          <w:highlight w:val="yellow"/>
        </w:rPr>
      </w:pPr>
      <w:r w:rsidRPr="009A3196">
        <w:rPr>
          <w:rFonts w:ascii="Avenir Next" w:hAnsi="Avenir Next"/>
          <w:highlight w:val="yellow"/>
        </w:rPr>
        <w:t xml:space="preserve">A pre-pack cannot be used if the debtor wishes to reject executory contracts. </w:t>
      </w:r>
    </w:p>
    <w:p w14:paraId="2AEF3B85" w14:textId="77777777" w:rsidR="00BF1B3E" w:rsidRPr="00F84311" w:rsidRDefault="00BF1B3E" w:rsidP="009017A1">
      <w:pPr>
        <w:pStyle w:val="AODocTxt"/>
        <w:spacing w:before="0" w:line="240" w:lineRule="auto"/>
        <w:ind w:left="426" w:hanging="426"/>
        <w:rPr>
          <w:rFonts w:ascii="Avenir Next" w:hAnsi="Avenir Next"/>
        </w:rPr>
      </w:pPr>
    </w:p>
    <w:p w14:paraId="421613D7" w14:textId="6E9B6977" w:rsidR="00C24FAB" w:rsidRPr="009A3196" w:rsidRDefault="00C24FAB" w:rsidP="009017A1">
      <w:pPr>
        <w:pStyle w:val="AODocTxt"/>
        <w:numPr>
          <w:ilvl w:val="0"/>
          <w:numId w:val="33"/>
        </w:numPr>
        <w:spacing w:before="0" w:line="240" w:lineRule="auto"/>
        <w:ind w:left="426" w:hanging="426"/>
        <w:rPr>
          <w:rFonts w:ascii="Avenir Next" w:hAnsi="Avenir Next"/>
        </w:rPr>
      </w:pPr>
      <w:r w:rsidRPr="009A3196">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Pr="00F346B7" w:rsidRDefault="00C24FAB" w:rsidP="009017A1">
      <w:pPr>
        <w:pStyle w:val="AODocTxt"/>
        <w:numPr>
          <w:ilvl w:val="0"/>
          <w:numId w:val="33"/>
        </w:numPr>
        <w:spacing w:before="0" w:line="240" w:lineRule="auto"/>
        <w:ind w:left="426" w:hanging="426"/>
        <w:rPr>
          <w:rFonts w:ascii="Avenir Next" w:hAnsi="Avenir Next"/>
        </w:rPr>
      </w:pPr>
      <w:r w:rsidRPr="00F346B7">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686C57A7" w14:textId="77777777" w:rsidR="009C6AA0" w:rsidRDefault="009C6AA0" w:rsidP="00B77B19">
      <w:pPr>
        <w:pStyle w:val="AODocTxt"/>
        <w:keepNext/>
        <w:spacing w:before="0" w:line="240" w:lineRule="auto"/>
        <w:rPr>
          <w:rFonts w:ascii="Avenir Next Demi Bold" w:hAnsi="Avenir Next Demi Bold"/>
          <w:b/>
          <w:bCs/>
        </w:rPr>
      </w:pPr>
    </w:p>
    <w:p w14:paraId="2A18FD7D" w14:textId="3AA85FB4" w:rsidR="00CE0ECD" w:rsidRPr="000346E7" w:rsidRDefault="00CE0ECD" w:rsidP="00B77B19">
      <w:pPr>
        <w:pStyle w:val="AODocTxt"/>
        <w:keepNext/>
        <w:spacing w:before="0" w:line="240" w:lineRule="auto"/>
        <w:rPr>
          <w:rFonts w:ascii="Avenir Next Demi Bold" w:hAnsi="Avenir Next Demi Bold"/>
          <w:b/>
          <w:bCs/>
        </w:rPr>
      </w:pPr>
      <w:r w:rsidRPr="00A25A76">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787864" w:rsidRDefault="000B2B06" w:rsidP="00B77B19">
      <w:pPr>
        <w:pStyle w:val="AODocTxt"/>
        <w:keepNext/>
        <w:spacing w:before="0" w:line="240" w:lineRule="auto"/>
        <w:rPr>
          <w:rFonts w:ascii="Avenir Next" w:hAnsi="Avenir Next"/>
        </w:rPr>
      </w:pPr>
      <w:r w:rsidRPr="00787864">
        <w:rPr>
          <w:rFonts w:ascii="Avenir Next" w:hAnsi="Avenir Next"/>
        </w:rPr>
        <w:t xml:space="preserve">If a debtor rejects an executory trademark license agreement under which the debtor licenses its trademark to a manufacturer, which of the following is </w:t>
      </w:r>
      <w:r w:rsidRPr="00787864">
        <w:rPr>
          <w:rFonts w:ascii="Avenir Next Demi Bold" w:hAnsi="Avenir Next Demi Bold"/>
          <w:u w:val="single"/>
        </w:rPr>
        <w:t>true</w:t>
      </w:r>
      <w:r w:rsidRPr="00787864">
        <w:rPr>
          <w:rFonts w:ascii="Avenir Next" w:hAnsi="Avenir Next"/>
        </w:rPr>
        <w:t>:</w:t>
      </w:r>
    </w:p>
    <w:p w14:paraId="2846FAD4" w14:textId="77777777" w:rsidR="000B2B06" w:rsidRPr="00787864" w:rsidRDefault="000B2B06" w:rsidP="00B77B19">
      <w:pPr>
        <w:pStyle w:val="AODocTxt"/>
        <w:keepNext/>
        <w:spacing w:before="0" w:line="240" w:lineRule="auto"/>
        <w:rPr>
          <w:rFonts w:ascii="Avenir Next" w:hAnsi="Avenir Next"/>
        </w:rPr>
      </w:pPr>
    </w:p>
    <w:p w14:paraId="323ECA2E" w14:textId="638F15F8" w:rsidR="00853272" w:rsidRPr="00787864" w:rsidRDefault="00853272" w:rsidP="00BA74EF">
      <w:pPr>
        <w:pStyle w:val="AODocTxt"/>
        <w:numPr>
          <w:ilvl w:val="0"/>
          <w:numId w:val="28"/>
        </w:numPr>
        <w:spacing w:before="0" w:line="240" w:lineRule="auto"/>
        <w:ind w:left="426" w:hanging="426"/>
        <w:rPr>
          <w:rFonts w:ascii="Avenir Next" w:hAnsi="Avenir Next"/>
        </w:rPr>
      </w:pPr>
      <w:r w:rsidRPr="00787864">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Both</w:t>
      </w:r>
      <w:r w:rsidR="0072569E" w:rsidRPr="00352E16">
        <w:rPr>
          <w:rFonts w:ascii="Avenir Next" w:hAnsi="Avenir Next"/>
        </w:rPr>
        <w:t xml:space="preserve"> options</w:t>
      </w:r>
      <w:r w:rsidRPr="00352E16">
        <w:rPr>
          <w:rFonts w:ascii="Avenir Next" w:hAnsi="Avenir Next"/>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787864" w:rsidRDefault="00853272" w:rsidP="00BA74EF">
      <w:pPr>
        <w:pStyle w:val="AODocTxt"/>
        <w:numPr>
          <w:ilvl w:val="0"/>
          <w:numId w:val="28"/>
        </w:numPr>
        <w:spacing w:before="0" w:line="240" w:lineRule="auto"/>
        <w:ind w:left="426" w:hanging="426"/>
        <w:rPr>
          <w:rFonts w:ascii="Avenir Next" w:hAnsi="Avenir Next"/>
          <w:highlight w:val="yellow"/>
        </w:rPr>
      </w:pPr>
      <w:r w:rsidRPr="00787864">
        <w:rPr>
          <w:rFonts w:ascii="Avenir Next" w:hAnsi="Avenir Next"/>
          <w:highlight w:val="yellow"/>
        </w:rPr>
        <w:t xml:space="preserve">Both </w:t>
      </w:r>
      <w:r w:rsidR="0072569E" w:rsidRPr="00787864">
        <w:rPr>
          <w:rFonts w:ascii="Avenir Next" w:hAnsi="Avenir Next"/>
          <w:highlight w:val="yellow"/>
        </w:rPr>
        <w:t xml:space="preserve">options </w:t>
      </w:r>
      <w:r w:rsidRPr="00787864">
        <w:rPr>
          <w:rFonts w:ascii="Avenir Next" w:hAnsi="Avenir Next"/>
          <w:highlight w:val="yellow"/>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7A1100">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0337E9" w:rsidRDefault="00334B98" w:rsidP="00676F12">
      <w:pPr>
        <w:pStyle w:val="AODocTxt"/>
        <w:keepNext/>
        <w:numPr>
          <w:ilvl w:val="0"/>
          <w:numId w:val="30"/>
        </w:numPr>
        <w:spacing w:before="0" w:line="240" w:lineRule="auto"/>
        <w:ind w:left="426" w:hanging="426"/>
        <w:rPr>
          <w:rFonts w:ascii="Avenir Next" w:hAnsi="Avenir Next"/>
          <w:highlight w:val="yellow"/>
        </w:rPr>
      </w:pPr>
      <w:r w:rsidRPr="000337E9">
        <w:rPr>
          <w:rFonts w:ascii="Avenir Next" w:hAnsi="Avenir Next"/>
          <w:highlight w:val="yellow"/>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462C8F1B"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r w:rsidR="000337E9">
        <w:rPr>
          <w:rFonts w:ascii="Avenir Next" w:hAnsi="Avenir Next"/>
        </w:rPr>
        <w:t xml:space="preserve"> </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682AC0" w:rsidRDefault="00740655" w:rsidP="00DF5F7C">
      <w:pPr>
        <w:pStyle w:val="AODocTxt"/>
        <w:keepNext/>
        <w:numPr>
          <w:ilvl w:val="0"/>
          <w:numId w:val="35"/>
        </w:numPr>
        <w:spacing w:before="0" w:line="240" w:lineRule="auto"/>
        <w:ind w:left="426" w:hanging="426"/>
        <w:rPr>
          <w:rFonts w:ascii="Avenir Next" w:hAnsi="Avenir Next"/>
          <w:highlight w:val="yellow"/>
        </w:rPr>
      </w:pPr>
      <w:r w:rsidRPr="00682AC0">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69A977BF"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r w:rsidR="000337E9">
        <w:rPr>
          <w:rFonts w:ascii="Avenir Next" w:hAnsi="Avenir Next"/>
        </w:rPr>
        <w:t xml:space="preserve"> </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6D6C60" w:rsidRDefault="00740655" w:rsidP="00DF5F7C">
      <w:pPr>
        <w:pStyle w:val="AODocTxt"/>
        <w:keepNext/>
        <w:numPr>
          <w:ilvl w:val="0"/>
          <w:numId w:val="35"/>
        </w:numPr>
        <w:spacing w:before="0" w:line="240" w:lineRule="auto"/>
        <w:ind w:left="426" w:hanging="426"/>
        <w:rPr>
          <w:rFonts w:ascii="Avenir Next" w:hAnsi="Avenir Next"/>
        </w:rPr>
      </w:pPr>
      <w:r w:rsidRPr="006D6C60">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2EFB5850" w14:textId="0CDDEBA8" w:rsidR="00323167" w:rsidRPr="002B5D64" w:rsidRDefault="00151216"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Setoff is a principle which would (if </w:t>
      </w:r>
      <w:r w:rsidR="008239FB">
        <w:rPr>
          <w:rFonts w:ascii="Avenir Next" w:hAnsi="Avenir Next"/>
          <w:color w:val="808080" w:themeColor="background1" w:themeShade="80"/>
        </w:rPr>
        <w:t>permissible</w:t>
      </w:r>
      <w:r>
        <w:rPr>
          <w:rFonts w:ascii="Avenir Next" w:hAnsi="Avenir Next"/>
          <w:color w:val="808080" w:themeColor="background1" w:themeShade="80"/>
        </w:rPr>
        <w:t xml:space="preserve">) allow a creditor holding a claim against the debtor and simultaneously owing money to the debtor to net out the two (or more) obligations. </w:t>
      </w:r>
      <w:r w:rsidR="00C45C1E">
        <w:rPr>
          <w:rFonts w:ascii="Avenir Next" w:hAnsi="Avenir Next"/>
          <w:color w:val="808080" w:themeColor="background1" w:themeShade="80"/>
        </w:rPr>
        <w:t xml:space="preserve">If this creditor elected to setoff its claims, </w:t>
      </w:r>
      <w:r w:rsidR="00C070D2">
        <w:rPr>
          <w:rFonts w:ascii="Avenir Next" w:hAnsi="Avenir Next"/>
          <w:color w:val="808080" w:themeColor="background1" w:themeShade="80"/>
        </w:rPr>
        <w:t xml:space="preserve">their </w:t>
      </w:r>
      <w:r w:rsidR="00C45C1E">
        <w:rPr>
          <w:rFonts w:ascii="Avenir Next" w:hAnsi="Avenir Next"/>
          <w:color w:val="808080" w:themeColor="background1" w:themeShade="80"/>
        </w:rPr>
        <w:t>position would be improved as compared to other unsecured creditors of the debtor</w:t>
      </w:r>
      <w:r w:rsidR="006D3C9F">
        <w:rPr>
          <w:rFonts w:ascii="Avenir Next" w:hAnsi="Avenir Next"/>
          <w:color w:val="808080" w:themeColor="background1" w:themeShade="80"/>
        </w:rPr>
        <w:t xml:space="preserve">, and is therefore preferential (because it decreases its obligation to the estate by the full amount owed by the debtor rather than the lesser amount the debtor would pay on the unsecured claim). It is therefore not permitted in a number of circumstances. </w:t>
      </w:r>
      <w:r w:rsidR="00C070D2">
        <w:rPr>
          <w:rFonts w:ascii="Avenir Next" w:hAnsi="Avenir Next"/>
          <w:color w:val="808080" w:themeColor="background1" w:themeShade="80"/>
        </w:rPr>
        <w:t xml:space="preserve"> </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 xml:space="preserve">What is a “priming lien” and </w:t>
      </w:r>
      <w:r w:rsidRPr="00DA3026">
        <w:rPr>
          <w:rFonts w:ascii="Avenir Next" w:hAnsi="Avenir Next"/>
        </w:rPr>
        <w:t>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3FD924BB" w14:textId="633C6506" w:rsidR="001D3BAA" w:rsidRPr="002B5D64" w:rsidRDefault="00D92F3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"priming lien" is a lien on property which is senior to, or has the same priority </w:t>
      </w:r>
      <w:r w:rsidR="009B7CAF">
        <w:rPr>
          <w:rFonts w:ascii="Avenir Next" w:hAnsi="Avenir Next"/>
          <w:color w:val="808080" w:themeColor="background1" w:themeShade="80"/>
        </w:rPr>
        <w:t>as</w:t>
      </w:r>
      <w:r>
        <w:rPr>
          <w:rFonts w:ascii="Avenir Next" w:hAnsi="Avenir Next"/>
          <w:color w:val="808080" w:themeColor="background1" w:themeShade="80"/>
        </w:rPr>
        <w:t xml:space="preserve">, existing liens on the </w:t>
      </w:r>
      <w:r w:rsidR="009B7CAF">
        <w:rPr>
          <w:rFonts w:ascii="Avenir Next" w:hAnsi="Avenir Next"/>
          <w:color w:val="808080" w:themeColor="background1" w:themeShade="80"/>
        </w:rPr>
        <w:t>estate property,</w:t>
      </w:r>
      <w:r w:rsidR="0084077A">
        <w:rPr>
          <w:rFonts w:ascii="Avenir Next" w:hAnsi="Avenir Next"/>
          <w:color w:val="808080" w:themeColor="background1" w:themeShade="80"/>
        </w:rPr>
        <w:t xml:space="preserve"> provided</w:t>
      </w:r>
      <w:r w:rsidR="009B7CAF">
        <w:rPr>
          <w:rFonts w:ascii="Avenir Next" w:hAnsi="Avenir Next"/>
          <w:color w:val="808080" w:themeColor="background1" w:themeShade="80"/>
        </w:rPr>
        <w:t xml:space="preserve"> in order to secure post-petition financing. </w:t>
      </w:r>
      <w:r>
        <w:rPr>
          <w:rFonts w:ascii="Avenir Next" w:hAnsi="Avenir Next"/>
          <w:color w:val="808080" w:themeColor="background1" w:themeShade="80"/>
        </w:rPr>
        <w:t>In the context of DIP (debtor-in-possession) financing</w:t>
      </w:r>
      <w:r w:rsidR="009B7CAF">
        <w:rPr>
          <w:rFonts w:ascii="Avenir Next" w:hAnsi="Avenir Next"/>
          <w:color w:val="808080" w:themeColor="background1" w:themeShade="80"/>
        </w:rPr>
        <w:t xml:space="preserve"> under Chapter 11 of US bankruptcy</w:t>
      </w:r>
      <w:r>
        <w:rPr>
          <w:rFonts w:ascii="Avenir Next" w:hAnsi="Avenir Next"/>
          <w:color w:val="808080" w:themeColor="background1" w:themeShade="80"/>
        </w:rPr>
        <w:t xml:space="preserve">, a priming lien allows a </w:t>
      </w:r>
      <w:r w:rsidR="009B7CAF">
        <w:rPr>
          <w:rFonts w:ascii="Avenir Next" w:hAnsi="Avenir Next"/>
          <w:color w:val="808080" w:themeColor="background1" w:themeShade="80"/>
        </w:rPr>
        <w:t xml:space="preserve">lender </w:t>
      </w:r>
      <w:r>
        <w:rPr>
          <w:rFonts w:ascii="Avenir Next" w:hAnsi="Avenir Next"/>
          <w:color w:val="808080" w:themeColor="background1" w:themeShade="80"/>
        </w:rPr>
        <w:t xml:space="preserve">to secure new financing </w:t>
      </w:r>
      <w:r w:rsidR="009B7CAF">
        <w:rPr>
          <w:rFonts w:ascii="Avenir Next" w:hAnsi="Avenir Next"/>
          <w:color w:val="808080" w:themeColor="background1" w:themeShade="80"/>
        </w:rPr>
        <w:t xml:space="preserve">with a lien that takes precedence over the claims of existing creditors. A priming lien can be granted by the Court is financing cannot be obtained on any other terms. The debtor must also demonstrate that the interest of the secured creditor being primed is adequately protected. </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1C23721F" w14:textId="659C5CFE" w:rsidR="001D3BAA" w:rsidRPr="002B5D64" w:rsidRDefault="00DA302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Any act taken in violation of the automatic stay, which comes into effect immediately on the filing of any plenary petition under the US Bankruptcy Code, constitutes a contempt of Court and is void or voidable (the distinction depends on the circuit in which the bankruptcy is pending, due to a current division in the US circuit Courts on this issue).</w:t>
      </w:r>
      <w:r w:rsidR="009C6AA0">
        <w:rPr>
          <w:rFonts w:ascii="Avenir Next" w:hAnsi="Avenir Next"/>
          <w:color w:val="808080" w:themeColor="background1" w:themeShade="80"/>
        </w:rPr>
        <w:t xml:space="preserve"> These consequences apply even if the act is taken without notice of the filing of the petition.  </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lastRenderedPageBreak/>
        <w:t>In voting on a plan of reorganization, which class(es) of creditors are (i)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4BACF4B1" w14:textId="77777777" w:rsidR="006A2E34" w:rsidRDefault="006A2E3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u w:val="single"/>
        </w:rPr>
        <w:t>Deemed to accept the plan:</w:t>
      </w:r>
      <w:r>
        <w:rPr>
          <w:rFonts w:ascii="Avenir Next" w:hAnsi="Avenir Next"/>
          <w:color w:val="808080" w:themeColor="background1" w:themeShade="80"/>
        </w:rPr>
        <w:t xml:space="preserve"> an unimpaired class of creditors (including one whose acceleration of debt has been reversed) is deemed to accept the plan. </w:t>
      </w:r>
    </w:p>
    <w:p w14:paraId="792AB841" w14:textId="77777777" w:rsidR="006A2E34" w:rsidRDefault="006A2E34" w:rsidP="001D3BAA">
      <w:pPr>
        <w:pStyle w:val="AODocTxt"/>
        <w:spacing w:before="0" w:line="240" w:lineRule="auto"/>
        <w:rPr>
          <w:rFonts w:ascii="Avenir Next" w:hAnsi="Avenir Next"/>
          <w:color w:val="808080" w:themeColor="background1" w:themeShade="80"/>
        </w:rPr>
      </w:pPr>
    </w:p>
    <w:p w14:paraId="7FDC12E7" w14:textId="04AA4698" w:rsidR="006A2E34" w:rsidRDefault="006A2E34"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u w:val="single"/>
        </w:rPr>
        <w:t>Deemed to reject the plan:</w:t>
      </w:r>
      <w:r>
        <w:rPr>
          <w:rFonts w:ascii="Avenir Next" w:hAnsi="Avenir Next"/>
          <w:color w:val="808080" w:themeColor="background1" w:themeShade="80"/>
        </w:rPr>
        <w:t xml:space="preserve"> </w:t>
      </w:r>
      <w:r w:rsidR="00EA1DED">
        <w:rPr>
          <w:rFonts w:ascii="Avenir Next" w:hAnsi="Avenir Next"/>
          <w:color w:val="808080" w:themeColor="background1" w:themeShade="80"/>
        </w:rPr>
        <w:t xml:space="preserve">any class that will receive nothing in any proposed reorganization is deemed to reject the plan. </w:t>
      </w:r>
      <w:r>
        <w:rPr>
          <w:rFonts w:ascii="Avenir Next" w:hAnsi="Avenir Next"/>
          <w:color w:val="808080" w:themeColor="background1" w:themeShade="80"/>
        </w:rPr>
        <w:t xml:space="preserve"> </w:t>
      </w:r>
    </w:p>
    <w:p w14:paraId="57450179" w14:textId="77777777" w:rsidR="00842102" w:rsidRDefault="00842102" w:rsidP="001D3BAA">
      <w:pPr>
        <w:pStyle w:val="AODocTxt"/>
        <w:spacing w:before="0" w:line="240" w:lineRule="auto"/>
        <w:rPr>
          <w:rFonts w:ascii="Avenir Next" w:hAnsi="Avenir Next"/>
          <w:color w:val="808080" w:themeColor="background1" w:themeShade="80"/>
        </w:rPr>
      </w:pPr>
    </w:p>
    <w:p w14:paraId="4409A23F" w14:textId="61C35538" w:rsidR="00842102" w:rsidRPr="00842102" w:rsidRDefault="00842102"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u w:val="single"/>
        </w:rPr>
        <w:t>Permitted to vote on the plan:</w:t>
      </w:r>
      <w:r>
        <w:rPr>
          <w:rFonts w:ascii="Avenir Next" w:hAnsi="Avenir Next"/>
          <w:color w:val="808080" w:themeColor="background1" w:themeShade="80"/>
        </w:rPr>
        <w:t xml:space="preserve"> all impaired classes of creditors </w:t>
      </w:r>
      <w:r w:rsidR="00C8318D">
        <w:rPr>
          <w:rFonts w:ascii="Avenir Next" w:hAnsi="Avenir Next"/>
          <w:color w:val="808080" w:themeColor="background1" w:themeShade="80"/>
        </w:rPr>
        <w:t>(subject to the cramdown rules)</w:t>
      </w:r>
    </w:p>
    <w:p w14:paraId="564811A1" w14:textId="77777777" w:rsidR="006A2E34" w:rsidRDefault="006A2E34" w:rsidP="001D3BAA">
      <w:pPr>
        <w:pStyle w:val="AODocTxt"/>
        <w:spacing w:before="0" w:line="240" w:lineRule="auto"/>
        <w:rPr>
          <w:rFonts w:ascii="Avenir Next" w:hAnsi="Avenir Next"/>
          <w:color w:val="808080" w:themeColor="background1" w:themeShade="80"/>
        </w:rPr>
      </w:pPr>
    </w:p>
    <w:p w14:paraId="037B4B36" w14:textId="38CE1D55" w:rsidR="001D3BAA" w:rsidRDefault="0018155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order for a class of creditors to accept a plan a simple majority of the creditors in that class, holding at least two-thirds of the value of claims in the class, vote in </w:t>
      </w:r>
      <w:r w:rsidR="00F77B97">
        <w:rPr>
          <w:rFonts w:ascii="Avenir Next" w:hAnsi="Avenir Next"/>
          <w:color w:val="808080" w:themeColor="background1" w:themeShade="80"/>
        </w:rPr>
        <w:t xml:space="preserve">favour (or, for equity interests, if two-thirds in amount of interests vote in favour).  </w:t>
      </w:r>
    </w:p>
    <w:p w14:paraId="110272BD" w14:textId="77777777" w:rsidR="00C819D3" w:rsidRPr="002B5D64" w:rsidRDefault="00C819D3" w:rsidP="001D3BAA">
      <w:pPr>
        <w:pStyle w:val="AODocTxt"/>
        <w:spacing w:before="0" w:line="240" w:lineRule="auto"/>
        <w:rPr>
          <w:rFonts w:ascii="Avenir Next" w:hAnsi="Avenir Next"/>
          <w:color w:val="808080" w:themeColor="background1" w:themeShade="80"/>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Answer the following questions about preferences, actual fraudulent conveyances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6393F27" w14:textId="1C6F6371" w:rsidR="00E239B8" w:rsidRDefault="0051587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the elements of a preference claim are (i) a transfer of an interest of the debtor in property (ii) to or for the benefit of a creditor, </w:t>
      </w:r>
      <w:r w:rsidR="00577E7A">
        <w:rPr>
          <w:rFonts w:ascii="Avenir Next" w:hAnsi="Avenir Next"/>
          <w:color w:val="808080" w:themeColor="background1" w:themeShade="80"/>
        </w:rPr>
        <w:t xml:space="preserve">(iii) for or on account of an antecedent debt owed by the debtor before such transfer was made, (iv) made while the debtor was insolvent, (v) made during the suspect period and (vi) that enables the creditor to receive more than it would have in a chapter 7 liquidation. Consequently, </w:t>
      </w:r>
      <w:r w:rsidR="00B54DF3">
        <w:rPr>
          <w:rFonts w:ascii="Avenir Next" w:hAnsi="Avenir Next"/>
          <w:color w:val="808080" w:themeColor="background1" w:themeShade="80"/>
        </w:rPr>
        <w:t xml:space="preserve">the cause of action which applies only to transfers made on account of antecedent debt is </w:t>
      </w:r>
      <w:r w:rsidR="00B54DF3">
        <w:rPr>
          <w:rFonts w:ascii="Avenir Next" w:hAnsi="Avenir Next"/>
          <w:b/>
          <w:bCs/>
          <w:color w:val="808080" w:themeColor="background1" w:themeShade="80"/>
          <w:u w:val="single"/>
        </w:rPr>
        <w:t>preferences</w:t>
      </w:r>
      <w:r w:rsidR="00B54DF3">
        <w:rPr>
          <w:rFonts w:ascii="Avenir Next" w:hAnsi="Avenir Next"/>
          <w:color w:val="808080" w:themeColor="background1" w:themeShade="80"/>
        </w:rPr>
        <w:t xml:space="preserve">. </w:t>
      </w:r>
    </w:p>
    <w:p w14:paraId="4870F6B9" w14:textId="241E7FFC" w:rsidR="00B54DF3" w:rsidRDefault="00B54DF3" w:rsidP="001D3BAA">
      <w:pPr>
        <w:pStyle w:val="AODocTxt"/>
        <w:spacing w:before="0" w:line="240" w:lineRule="auto"/>
        <w:rPr>
          <w:rFonts w:ascii="Avenir Next" w:hAnsi="Avenir Next"/>
          <w:color w:val="808080" w:themeColor="background1" w:themeShade="80"/>
        </w:rPr>
      </w:pPr>
    </w:p>
    <w:p w14:paraId="669FCBBC" w14:textId="0E11CAB0" w:rsidR="003F316D" w:rsidRDefault="00C5390D" w:rsidP="003F316D">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(b) </w:t>
      </w:r>
      <w:r w:rsidR="00832B6B">
        <w:rPr>
          <w:rFonts w:ascii="Avenir Next" w:hAnsi="Avenir Next"/>
          <w:color w:val="808080" w:themeColor="background1" w:themeShade="80"/>
        </w:rPr>
        <w:t>an actual fraudulent conveyance is proven by showing that the debtor made a transfer or incurred an obligation "</w:t>
      </w:r>
      <w:r w:rsidR="00832B6B">
        <w:rPr>
          <w:rFonts w:ascii="Avenir Next" w:hAnsi="Avenir Next"/>
          <w:i/>
          <w:iCs/>
          <w:color w:val="808080" w:themeColor="background1" w:themeShade="80"/>
        </w:rPr>
        <w:t>with actual intent to hinder, delay or defraud any entity to which the debtor was or became … indebted"</w:t>
      </w:r>
      <w:r w:rsidR="00832B6B">
        <w:rPr>
          <w:rFonts w:ascii="Avenir Next" w:hAnsi="Avenir Next"/>
          <w:color w:val="808080" w:themeColor="background1" w:themeShade="80"/>
        </w:rPr>
        <w:t xml:space="preserve">. As actual intent is required, </w:t>
      </w:r>
      <w:r w:rsidR="003F316D">
        <w:rPr>
          <w:rFonts w:ascii="Avenir Next" w:hAnsi="Avenir Next"/>
          <w:color w:val="808080" w:themeColor="background1" w:themeShade="80"/>
        </w:rPr>
        <w:t xml:space="preserve">the cause of action that requires a debtor to have been proven to have intended to frustrate creditors' recoveries is </w:t>
      </w:r>
      <w:r w:rsidR="003F316D">
        <w:rPr>
          <w:rFonts w:ascii="Avenir Next" w:hAnsi="Avenir Next"/>
          <w:b/>
          <w:bCs/>
          <w:color w:val="808080" w:themeColor="background1" w:themeShade="80"/>
          <w:u w:val="single"/>
        </w:rPr>
        <w:t>actual fraudulent conveyance</w:t>
      </w:r>
      <w:r w:rsidR="003F316D" w:rsidRPr="00A66E81">
        <w:rPr>
          <w:rFonts w:ascii="Avenir Next" w:hAnsi="Avenir Next"/>
          <w:color w:val="808080" w:themeColor="background1" w:themeShade="80"/>
        </w:rPr>
        <w:t xml:space="preserve">. </w:t>
      </w:r>
    </w:p>
    <w:p w14:paraId="0F7B28A3" w14:textId="77777777" w:rsidR="00832B6B" w:rsidRDefault="00832B6B" w:rsidP="001D3BAA">
      <w:pPr>
        <w:pStyle w:val="AODocTxt"/>
        <w:spacing w:before="0" w:line="240" w:lineRule="auto"/>
        <w:rPr>
          <w:rFonts w:ascii="Avenir Next" w:hAnsi="Avenir Next"/>
          <w:color w:val="808080" w:themeColor="background1" w:themeShade="80"/>
        </w:rPr>
      </w:pPr>
    </w:p>
    <w:p w14:paraId="1BC73E16" w14:textId="76284948" w:rsidR="00B54DF3" w:rsidRPr="00A66E81" w:rsidRDefault="003F316D"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 </w:t>
      </w:r>
      <w:r w:rsidR="006E7A7C" w:rsidRPr="00F71717">
        <w:rPr>
          <w:rFonts w:ascii="Avenir Next" w:hAnsi="Avenir Next"/>
          <w:b/>
          <w:bCs/>
          <w:color w:val="808080" w:themeColor="background1" w:themeShade="80"/>
          <w:u w:val="single"/>
        </w:rPr>
        <w:t>a constructive fraudulent conveyance</w:t>
      </w:r>
      <w:r w:rsidR="006E7A7C">
        <w:rPr>
          <w:rFonts w:ascii="Avenir Next" w:hAnsi="Avenir Next"/>
          <w:color w:val="808080" w:themeColor="background1" w:themeShade="80"/>
        </w:rPr>
        <w:t xml:space="preserve"> requires the</w:t>
      </w:r>
      <w:r>
        <w:rPr>
          <w:rFonts w:ascii="Avenir Next" w:hAnsi="Avenir Next"/>
          <w:color w:val="808080" w:themeColor="background1" w:themeShade="80"/>
        </w:rPr>
        <w:t xml:space="preserve"> debtor</w:t>
      </w:r>
      <w:r w:rsidR="00F71717">
        <w:rPr>
          <w:rFonts w:ascii="Avenir Next" w:hAnsi="Avenir Next"/>
          <w:color w:val="808080" w:themeColor="background1" w:themeShade="80"/>
        </w:rPr>
        <w:t xml:space="preserve"> to be presumed or proven to have been insolvent at the time of the transfer (amongst other requirements). </w:t>
      </w:r>
      <w:r w:rsidR="00A66E81">
        <w:rPr>
          <w:rFonts w:ascii="Avenir Next" w:hAnsi="Avenir Next"/>
          <w:color w:val="808080" w:themeColor="background1" w:themeShade="80"/>
        </w:rPr>
        <w:t xml:space="preserve">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0D348CE7" w14:textId="77777777" w:rsidR="00DC4AB9" w:rsidRDefault="00DC4AB9" w:rsidP="000778B1">
      <w:pPr>
        <w:pStyle w:val="AODocTxt"/>
        <w:spacing w:before="0" w:line="240" w:lineRule="auto"/>
        <w:rPr>
          <w:rFonts w:ascii="Avenir Next" w:hAnsi="Avenir Next"/>
        </w:rPr>
      </w:pPr>
    </w:p>
    <w:p w14:paraId="1D18E293" w14:textId="77777777" w:rsidR="00DC4AB9" w:rsidRDefault="00DC4AB9" w:rsidP="000778B1">
      <w:pPr>
        <w:pStyle w:val="AODocTxt"/>
        <w:spacing w:before="0" w:line="240" w:lineRule="auto"/>
        <w:rPr>
          <w:rFonts w:ascii="Avenir Next" w:hAnsi="Avenir Next"/>
        </w:rPr>
      </w:pPr>
    </w:p>
    <w:p w14:paraId="7746A551" w14:textId="77777777" w:rsidR="00DC4AB9" w:rsidRDefault="00DC4AB9" w:rsidP="000778B1">
      <w:pPr>
        <w:pStyle w:val="AODocTxt"/>
        <w:spacing w:before="0" w:line="240" w:lineRule="auto"/>
        <w:rPr>
          <w:rFonts w:ascii="Avenir Next" w:hAnsi="Avenir Next"/>
        </w:rPr>
      </w:pPr>
    </w:p>
    <w:p w14:paraId="14763D3E" w14:textId="5EB8EC1B" w:rsidR="00484B73" w:rsidRDefault="007C690E" w:rsidP="000778B1">
      <w:pPr>
        <w:pStyle w:val="AODocTxt"/>
        <w:spacing w:before="0" w:line="240" w:lineRule="auto"/>
        <w:rPr>
          <w:rFonts w:ascii="Avenir Next" w:hAnsi="Avenir Next"/>
        </w:rPr>
      </w:pPr>
      <w:r w:rsidRPr="007C690E">
        <w:rPr>
          <w:rFonts w:ascii="Avenir Next" w:hAnsi="Avenir Next"/>
        </w:rPr>
        <w:lastRenderedPageBreak/>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7D8E9514" w14:textId="6C283EE4" w:rsidR="00013774" w:rsidRDefault="009524A8" w:rsidP="001F53BE">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As US bankruptcy judges are appointed by Courts of Appeal, they have limited jurisdiction to enter final orders</w:t>
      </w:r>
      <w:r w:rsidR="00DC4AB9">
        <w:rPr>
          <w:rFonts w:ascii="Avenir Next" w:hAnsi="Avenir Next"/>
          <w:color w:val="808080" w:themeColor="background1" w:themeShade="80"/>
        </w:rPr>
        <w:t xml:space="preserve">. </w:t>
      </w:r>
      <w:r w:rsidR="00013774">
        <w:rPr>
          <w:rFonts w:ascii="Avenir Next" w:hAnsi="Avenir Next"/>
          <w:color w:val="808080" w:themeColor="background1" w:themeShade="80"/>
        </w:rPr>
        <w:t>In order to be consistent with the US Constitution, a bankruptcy court can therefore make a final order</w:t>
      </w:r>
      <w:r w:rsidR="001F53BE">
        <w:rPr>
          <w:rFonts w:ascii="Avenir Next" w:hAnsi="Avenir Next"/>
          <w:color w:val="808080" w:themeColor="background1" w:themeShade="80"/>
        </w:rPr>
        <w:t xml:space="preserve"> </w:t>
      </w:r>
      <w:r w:rsidR="005221A0">
        <w:rPr>
          <w:rFonts w:ascii="Avenir Next" w:hAnsi="Avenir Next"/>
          <w:color w:val="808080" w:themeColor="background1" w:themeShade="80"/>
        </w:rPr>
        <w:t>on core bankruptcy issues</w:t>
      </w:r>
      <w:r w:rsidR="008963A9">
        <w:rPr>
          <w:rFonts w:ascii="Avenir Next" w:hAnsi="Avenir Next"/>
          <w:color w:val="808080" w:themeColor="background1" w:themeShade="80"/>
        </w:rPr>
        <w:t>, as defined in the United States Bankruptcy Code (</w:t>
      </w:r>
      <w:r w:rsidR="001F53BE">
        <w:rPr>
          <w:rFonts w:ascii="Avenir Next" w:hAnsi="Avenir Next"/>
          <w:color w:val="808080" w:themeColor="background1" w:themeShade="80"/>
        </w:rPr>
        <w:t>US Code paragraph 157)</w:t>
      </w:r>
      <w:r w:rsidR="005B3A56">
        <w:rPr>
          <w:rFonts w:ascii="Avenir Next" w:hAnsi="Avenir Next"/>
          <w:color w:val="808080" w:themeColor="background1" w:themeShade="80"/>
        </w:rPr>
        <w:t xml:space="preserve">, which do not invade Article III jurisdiction (see </w:t>
      </w:r>
      <w:r w:rsidR="005B3A56">
        <w:rPr>
          <w:rFonts w:ascii="Avenir Next" w:hAnsi="Avenir Next"/>
          <w:color w:val="808080" w:themeColor="background1" w:themeShade="80"/>
          <w:u w:val="single"/>
        </w:rPr>
        <w:t xml:space="preserve">Stern v Marshall </w:t>
      </w:r>
      <w:r w:rsidR="000822A7">
        <w:rPr>
          <w:rFonts w:ascii="Avenir Next" w:hAnsi="Avenir Next"/>
          <w:color w:val="808080" w:themeColor="background1" w:themeShade="80"/>
        </w:rPr>
        <w:t>564 US 462 (2011)).</w:t>
      </w:r>
      <w:r w:rsidR="001F53BE">
        <w:rPr>
          <w:rFonts w:ascii="Avenir Next" w:hAnsi="Avenir Next"/>
          <w:color w:val="808080" w:themeColor="background1" w:themeShade="80"/>
        </w:rPr>
        <w:t xml:space="preserve">. </w:t>
      </w:r>
      <w:r w:rsidR="007B1169">
        <w:rPr>
          <w:rFonts w:ascii="Avenir Next" w:hAnsi="Avenir Next"/>
          <w:color w:val="808080" w:themeColor="background1" w:themeShade="80"/>
        </w:rPr>
        <w:t xml:space="preserve">In relation to non-core proceedings, the bankruptcy court may hear the proceedings (if they are sufficiently </w:t>
      </w:r>
      <w:r w:rsidR="005B3A56">
        <w:rPr>
          <w:rFonts w:ascii="Avenir Next" w:hAnsi="Avenir Next"/>
          <w:color w:val="808080" w:themeColor="background1" w:themeShade="80"/>
        </w:rPr>
        <w:t xml:space="preserve">related to a bankruptcy proceeding) but cannot make a final determination. </w:t>
      </w:r>
    </w:p>
    <w:p w14:paraId="61C74955" w14:textId="77777777" w:rsidR="002F1BBB" w:rsidRDefault="002F1BBB" w:rsidP="001F53BE">
      <w:pPr>
        <w:pStyle w:val="AODocTxt"/>
        <w:spacing w:before="0" w:line="240" w:lineRule="auto"/>
        <w:rPr>
          <w:rFonts w:ascii="Avenir Next" w:hAnsi="Avenir Next"/>
          <w:color w:val="808080" w:themeColor="background1" w:themeShade="80"/>
        </w:rPr>
      </w:pPr>
    </w:p>
    <w:p w14:paraId="4CE23776" w14:textId="77777777" w:rsidR="004F7D64" w:rsidRDefault="002F1BBB" w:rsidP="001F53BE">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Generally, appeals from bankruptcy court decisions are heard by the district court for the distract in which they sit</w:t>
      </w:r>
      <w:r w:rsidR="00AD5455">
        <w:rPr>
          <w:rFonts w:ascii="Avenir Next" w:hAnsi="Avenir Next"/>
          <w:color w:val="808080" w:themeColor="background1" w:themeShade="80"/>
        </w:rPr>
        <w:t xml:space="preserve">, although in certain circulates bankruptcy appeals are heard by a Bankruptcy Appellate Panel. </w:t>
      </w:r>
    </w:p>
    <w:p w14:paraId="65E13159" w14:textId="77777777" w:rsidR="004F7D64" w:rsidRDefault="004F7D64" w:rsidP="001F53BE">
      <w:pPr>
        <w:pStyle w:val="AODocTxt"/>
        <w:spacing w:before="0" w:line="240" w:lineRule="auto"/>
        <w:rPr>
          <w:rFonts w:ascii="Avenir Next" w:hAnsi="Avenir Next"/>
          <w:color w:val="808080" w:themeColor="background1" w:themeShade="80"/>
        </w:rPr>
      </w:pPr>
    </w:p>
    <w:p w14:paraId="536AAC10" w14:textId="77777777" w:rsidR="000922FC" w:rsidRDefault="004F7D64" w:rsidP="001F53BE">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w:t>
      </w:r>
      <w:r w:rsidR="005F2FE5">
        <w:rPr>
          <w:rFonts w:ascii="Avenir Next" w:hAnsi="Avenir Next"/>
          <w:color w:val="808080" w:themeColor="background1" w:themeShade="80"/>
        </w:rPr>
        <w:t>a bankruptcy Court ruling was in a noncore proceeding, or the bankruptcy court did not have authority to enter a final order, the district court or Bankruptcy Appellate Panel re-reviews (de novo) all findings of fact and conclusions</w:t>
      </w:r>
      <w:r w:rsidR="001E4726">
        <w:rPr>
          <w:rFonts w:ascii="Avenir Next" w:hAnsi="Avenir Next"/>
          <w:color w:val="808080" w:themeColor="background1" w:themeShade="80"/>
        </w:rPr>
        <w:t xml:space="preserve"> of law to which a party is objected. The order of a district court or Bankruptcy Appellate Panel is reviewed </w:t>
      </w:r>
      <w:r w:rsidR="00D31528">
        <w:rPr>
          <w:rFonts w:ascii="Avenir Next" w:hAnsi="Avenir Next"/>
          <w:color w:val="808080" w:themeColor="background1" w:themeShade="80"/>
        </w:rPr>
        <w:t xml:space="preserve">by a circuit court of appeal </w:t>
      </w:r>
      <w:r w:rsidR="00D31528">
        <w:rPr>
          <w:rFonts w:ascii="Avenir Next" w:hAnsi="Avenir Next"/>
          <w:i/>
          <w:iCs/>
          <w:color w:val="808080" w:themeColor="background1" w:themeShade="80"/>
        </w:rPr>
        <w:t>de novo</w:t>
      </w:r>
      <w:r w:rsidR="00D31528">
        <w:rPr>
          <w:rFonts w:ascii="Avenir Next" w:hAnsi="Avenir Next"/>
          <w:color w:val="808080" w:themeColor="background1" w:themeShade="80"/>
        </w:rPr>
        <w:t xml:space="preserve"> as to conclusions of law and for abuse of discretion for findings of fa</w:t>
      </w:r>
      <w:r w:rsidR="007A379D">
        <w:rPr>
          <w:rFonts w:ascii="Avenir Next" w:hAnsi="Avenir Next"/>
          <w:color w:val="808080" w:themeColor="background1" w:themeShade="80"/>
        </w:rPr>
        <w:t xml:space="preserve">ct. </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563007FE" w14:textId="3F4F8FA7" w:rsidR="001D3BAA" w:rsidRDefault="008B03EE"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Chapter 15 excludes from the rights granted to foreign representatives the use of the avoidance powers provided by the Bankruptcy Code </w:t>
      </w:r>
      <w:r w:rsidR="00DA575E">
        <w:rPr>
          <w:rFonts w:ascii="Avenir Next" w:hAnsi="Avenir Next"/>
          <w:color w:val="808080" w:themeColor="background1" w:themeShade="80"/>
        </w:rPr>
        <w:t>(see US Bankruptcy Code paragraph 1521(a)(7))</w:t>
      </w:r>
      <w:r w:rsidR="00BB2A76">
        <w:rPr>
          <w:rFonts w:ascii="Avenir Next" w:hAnsi="Avenir Next"/>
          <w:color w:val="808080" w:themeColor="background1" w:themeShade="80"/>
        </w:rPr>
        <w:t xml:space="preserve">, although this has been widely interpreted to apply to the use of the Bankruptcy Code's powers of avoidance of preferences and fraudulent conveyances. </w:t>
      </w:r>
    </w:p>
    <w:p w14:paraId="33D52E99" w14:textId="77777777" w:rsidR="00C45256" w:rsidRDefault="00C45256" w:rsidP="001D3BAA">
      <w:pPr>
        <w:pStyle w:val="AODocTxt"/>
        <w:spacing w:before="0" w:line="240" w:lineRule="auto"/>
        <w:rPr>
          <w:rFonts w:ascii="Avenir Next" w:hAnsi="Avenir Next"/>
          <w:color w:val="808080" w:themeColor="background1" w:themeShade="80"/>
        </w:rPr>
      </w:pPr>
    </w:p>
    <w:p w14:paraId="2D7EEF99" w14:textId="7B7B68B5" w:rsidR="00C45256" w:rsidRPr="002B5D64" w:rsidRDefault="00D34FA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foreign representative </w:t>
      </w:r>
      <w:r w:rsidR="003B433F">
        <w:rPr>
          <w:rFonts w:ascii="Avenir Next" w:hAnsi="Avenir Next"/>
          <w:color w:val="808080" w:themeColor="background1" w:themeShade="80"/>
        </w:rPr>
        <w:t>can invoke the Bankruptcy Code's avoidance powers in a plenary proceeding such as Chapter 7 or Chapter</w:t>
      </w:r>
      <w:r w:rsidR="00D02E36">
        <w:rPr>
          <w:rFonts w:ascii="Avenir Next" w:hAnsi="Avenir Next"/>
          <w:color w:val="808080" w:themeColor="background1" w:themeShade="80"/>
        </w:rPr>
        <w:t xml:space="preserve"> 11. Such plenary proceedings could have been commenced by a debtor (or its creditors, dependent on the Chapter) prior to involvement of the foreign representative, and avoidance</w:t>
      </w:r>
      <w:r w:rsidR="001941F3">
        <w:rPr>
          <w:rFonts w:ascii="Avenir Next" w:hAnsi="Avenir Next"/>
          <w:color w:val="808080" w:themeColor="background1" w:themeShade="80"/>
        </w:rPr>
        <w:t xml:space="preserve"> powers may therefore already exist. The foreign representative may also choose to commence plenary Chapter 7 or 11 proceedings under the Bankruptcy Code following recognition of the foreign proceeding under Chapter 15</w:t>
      </w:r>
      <w:r w:rsidR="0087109A">
        <w:rPr>
          <w:rFonts w:ascii="Avenir Next" w:hAnsi="Avenir Next"/>
          <w:color w:val="808080" w:themeColor="background1" w:themeShade="80"/>
        </w:rPr>
        <w:t>. If this option is pursued by the foreign representative, the plenary proceeding would be limited to the debtor's US assets</w:t>
      </w:r>
      <w:r w:rsidR="008B17DF">
        <w:rPr>
          <w:rFonts w:ascii="Avenir Next" w:hAnsi="Avenir Next"/>
          <w:color w:val="808080" w:themeColor="background1" w:themeShade="80"/>
        </w:rPr>
        <w:t xml:space="preserve"> and would be coordinated with the foreign proceeding (see US Bankruptcy Code paragraph 1528)). </w:t>
      </w:r>
      <w:r w:rsidR="00D02E36">
        <w:rPr>
          <w:rFonts w:ascii="Avenir Next" w:hAnsi="Avenir Next"/>
          <w:color w:val="808080" w:themeColor="background1" w:themeShade="80"/>
        </w:rPr>
        <w:t xml:space="preserve"> </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71A424A" w14:textId="66E31A1F" w:rsidR="001D3BAA" w:rsidRDefault="005938C6" w:rsidP="005938C6">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US Bankruptcy Code</w:t>
      </w:r>
    </w:p>
    <w:p w14:paraId="62E0F771" w14:textId="570E7FDC" w:rsidR="005938C6" w:rsidRDefault="005938C6" w:rsidP="005938C6">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Federal Rules of Bankruptcy Procedure (and, by reference, the Federal Rules of Civil Procedure)</w:t>
      </w:r>
    </w:p>
    <w:p w14:paraId="37AC342A" w14:textId="33A0A4A4" w:rsidR="006701F5" w:rsidRDefault="006701F5" w:rsidP="006701F5">
      <w:pPr>
        <w:pStyle w:val="AODocTxt"/>
        <w:numPr>
          <w:ilvl w:val="0"/>
          <w:numId w:val="39"/>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local rules of the relevant bankruptcy court and the judge's personal practices </w:t>
      </w:r>
    </w:p>
    <w:p w14:paraId="015DB6F9" w14:textId="77777777" w:rsidR="006701F5" w:rsidRDefault="006701F5" w:rsidP="006701F5">
      <w:pPr>
        <w:pStyle w:val="AODocTxt"/>
        <w:spacing w:before="0" w:line="240" w:lineRule="auto"/>
        <w:rPr>
          <w:rFonts w:ascii="Avenir Next" w:hAnsi="Avenir Next"/>
          <w:color w:val="808080" w:themeColor="background1" w:themeShade="80"/>
        </w:rPr>
      </w:pPr>
    </w:p>
    <w:p w14:paraId="4A07A2C3" w14:textId="505324F2" w:rsidR="00E01803" w:rsidRDefault="006701F5" w:rsidP="000778B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To the extent that you are not practicing regularly in any given jurisdiction, it is advisable to consult with a local practitioner for any advice on unwritten local practices. </w:t>
      </w:r>
    </w:p>
    <w:p w14:paraId="1738931F" w14:textId="77777777" w:rsidR="006701F5" w:rsidRPr="006701F5" w:rsidRDefault="006701F5" w:rsidP="000778B1">
      <w:pPr>
        <w:pStyle w:val="AODocTxt"/>
        <w:spacing w:before="0" w:line="240" w:lineRule="auto"/>
        <w:rPr>
          <w:rFonts w:ascii="Avenir Next" w:hAnsi="Avenir Next"/>
          <w:color w:val="808080" w:themeColor="background1" w:themeShade="80"/>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lastRenderedPageBreak/>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433F563A" w:rsidR="001D3BAA" w:rsidRDefault="00E40EE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Directors of Delaware corporations owe limited fiduciary duties, but owe: </w:t>
      </w:r>
    </w:p>
    <w:p w14:paraId="5F32D33E" w14:textId="11238800" w:rsidR="00E40EE5" w:rsidRDefault="00E40EE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br/>
        <w:t xml:space="preserve">(a) a fiduciary duty of loyalty to the corporation's best interest; and </w:t>
      </w:r>
    </w:p>
    <w:p w14:paraId="797C4A69" w14:textId="77777777" w:rsidR="00E40EE5" w:rsidRDefault="00E40EE5" w:rsidP="001D3BAA">
      <w:pPr>
        <w:pStyle w:val="AODocTxt"/>
        <w:spacing w:before="0" w:line="240" w:lineRule="auto"/>
        <w:rPr>
          <w:rFonts w:ascii="Avenir Next" w:hAnsi="Avenir Next"/>
          <w:color w:val="808080" w:themeColor="background1" w:themeShade="80"/>
        </w:rPr>
      </w:pPr>
    </w:p>
    <w:p w14:paraId="242DF3E3" w14:textId="176402D5" w:rsidR="00E40EE5" w:rsidRDefault="00E40EE5"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(b) a duty of care in educated decision-making (and, under the business judgment rule, t</w:t>
      </w:r>
      <w:r w:rsidR="00311C49">
        <w:rPr>
          <w:rFonts w:ascii="Avenir Next" w:hAnsi="Avenir Next"/>
          <w:color w:val="808080" w:themeColor="background1" w:themeShade="80"/>
        </w:rPr>
        <w:t xml:space="preserve">here is a rebuttable presumption that </w:t>
      </w:r>
      <w:r>
        <w:rPr>
          <w:rFonts w:ascii="Avenir Next" w:hAnsi="Avenir Next"/>
          <w:color w:val="808080" w:themeColor="background1" w:themeShade="80"/>
        </w:rPr>
        <w:t xml:space="preserve">he board of directors have acted in good faith </w:t>
      </w:r>
      <w:r w:rsidR="00311C49">
        <w:rPr>
          <w:rFonts w:ascii="Avenir Next" w:hAnsi="Avenir Next"/>
          <w:color w:val="808080" w:themeColor="background1" w:themeShade="80"/>
        </w:rPr>
        <w:t xml:space="preserve">on the basis of reasonable information). </w:t>
      </w:r>
      <w:r>
        <w:rPr>
          <w:rFonts w:ascii="Avenir Next" w:hAnsi="Avenir Next"/>
          <w:color w:val="808080" w:themeColor="background1" w:themeShade="80"/>
        </w:rPr>
        <w:t xml:space="preserve"> </w:t>
      </w:r>
    </w:p>
    <w:p w14:paraId="4B8E92F4" w14:textId="77777777" w:rsidR="00311C49" w:rsidRDefault="00311C49" w:rsidP="001D3BAA">
      <w:pPr>
        <w:pStyle w:val="AODocTxt"/>
        <w:spacing w:before="0" w:line="240" w:lineRule="auto"/>
        <w:rPr>
          <w:rFonts w:ascii="Avenir Next" w:hAnsi="Avenir Next"/>
          <w:color w:val="808080" w:themeColor="background1" w:themeShade="80"/>
        </w:rPr>
      </w:pPr>
    </w:p>
    <w:p w14:paraId="5535DC98" w14:textId="55211AC1" w:rsidR="00311C49" w:rsidRPr="000A5BA1" w:rsidRDefault="00311C4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These duties are owed to the corporation and its shareholders, even if the corporation is potentially or actually insolvent</w:t>
      </w:r>
      <w:r w:rsidR="000A5BA1">
        <w:rPr>
          <w:rFonts w:ascii="Avenir Next" w:hAnsi="Avenir Next"/>
          <w:color w:val="808080" w:themeColor="background1" w:themeShade="80"/>
        </w:rPr>
        <w:t>, pursuant to the rules of the Delaware Supreme Court</w:t>
      </w:r>
      <w:r w:rsidR="00AA5078">
        <w:rPr>
          <w:rFonts w:ascii="Avenir Next" w:hAnsi="Avenir Next"/>
          <w:color w:val="808080" w:themeColor="background1" w:themeShade="80"/>
        </w:rPr>
        <w:t>. Thus, even where the corporation is insolvent, the board of directors may pursue (in good faith) strategies to maximise the value of the corporation (</w:t>
      </w:r>
      <w:r w:rsidR="00AA5078">
        <w:rPr>
          <w:rFonts w:ascii="Avenir Next" w:hAnsi="Avenir Next"/>
          <w:color w:val="808080" w:themeColor="background1" w:themeShade="80"/>
          <w:u w:val="single"/>
        </w:rPr>
        <w:t>Trenwick AM Litig Trust v Ernst &amp; Young LLP</w:t>
      </w:r>
      <w:r w:rsidR="00AA5078">
        <w:rPr>
          <w:rFonts w:ascii="Avenir Next" w:hAnsi="Avenir Next"/>
          <w:color w:val="808080" w:themeColor="background1" w:themeShade="80"/>
        </w:rPr>
        <w:t xml:space="preserve"> 906, A.2D 168 (Del Ch 2006)). </w:t>
      </w:r>
      <w:r w:rsidR="000A5BA1">
        <w:rPr>
          <w:rFonts w:ascii="Avenir Next" w:hAnsi="Avenir Next"/>
          <w:color w:val="808080" w:themeColor="background1" w:themeShade="80"/>
        </w:rPr>
        <w:t xml:space="preserve"> </w:t>
      </w:r>
      <w:r w:rsidR="00AA5078">
        <w:rPr>
          <w:rFonts w:ascii="Avenir Next" w:hAnsi="Avenir Next"/>
          <w:color w:val="808080" w:themeColor="background1" w:themeShade="80"/>
        </w:rPr>
        <w:t xml:space="preserve">There is, therefore, no equivalent under US law of the </w:t>
      </w:r>
      <w:r w:rsidR="009160E5">
        <w:rPr>
          <w:rFonts w:ascii="Avenir Next" w:hAnsi="Avenir Next"/>
          <w:color w:val="808080" w:themeColor="background1" w:themeShade="80"/>
        </w:rPr>
        <w:t xml:space="preserve">concepts of 'wrongful trading' or 'deepening insolvency'. </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53C2C279" w14:textId="7D5BD17B" w:rsidR="001D3BAA" w:rsidRDefault="004B41E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a scenario where iWork Ltd </w:t>
      </w:r>
      <w:r w:rsidR="00424E73">
        <w:rPr>
          <w:rFonts w:ascii="Avenir Next" w:hAnsi="Avenir Next"/>
          <w:color w:val="808080" w:themeColor="background1" w:themeShade="80"/>
        </w:rPr>
        <w:t xml:space="preserve">voluntarily </w:t>
      </w:r>
      <w:r w:rsidR="00F26F78">
        <w:rPr>
          <w:rFonts w:ascii="Avenir Next" w:hAnsi="Avenir Next"/>
          <w:color w:val="808080" w:themeColor="background1" w:themeShade="80"/>
        </w:rPr>
        <w:t>files for bankruptcy in the US, as a result of its decline in revenues</w:t>
      </w:r>
      <w:r w:rsidR="00424E73">
        <w:rPr>
          <w:rFonts w:ascii="Avenir Next" w:hAnsi="Avenir Next"/>
          <w:color w:val="808080" w:themeColor="background1" w:themeShade="80"/>
        </w:rPr>
        <w:t xml:space="preserve">, lessors of office space to a bankrupt tenant would be granted various protections under the US Bankruptcy Code, such that they would receive payment for the leased space. </w:t>
      </w:r>
    </w:p>
    <w:p w14:paraId="5CEA126D" w14:textId="77777777" w:rsidR="00424E73" w:rsidRDefault="00424E73" w:rsidP="001D3BAA">
      <w:pPr>
        <w:pStyle w:val="AODocTxt"/>
        <w:spacing w:before="0" w:line="240" w:lineRule="auto"/>
        <w:rPr>
          <w:rFonts w:ascii="Avenir Next" w:hAnsi="Avenir Next"/>
          <w:color w:val="808080" w:themeColor="background1" w:themeShade="80"/>
        </w:rPr>
      </w:pPr>
    </w:p>
    <w:p w14:paraId="3FFFBA1D" w14:textId="278F84FE" w:rsidR="00D900A9" w:rsidRDefault="00B0209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Firstly, a worldwide automatic stay would come into effect immediately upon iWork filing a petition</w:t>
      </w:r>
      <w:r w:rsidR="00C5399C">
        <w:rPr>
          <w:rFonts w:ascii="Avenir Next" w:hAnsi="Avenir Next"/>
          <w:color w:val="808080" w:themeColor="background1" w:themeShade="80"/>
        </w:rPr>
        <w:t xml:space="preserve"> (US Bankruptcy Code paragraph 363)</w:t>
      </w:r>
      <w:r>
        <w:rPr>
          <w:rFonts w:ascii="Avenir Next" w:hAnsi="Avenir Next"/>
          <w:color w:val="808080" w:themeColor="background1" w:themeShade="80"/>
        </w:rPr>
        <w:t xml:space="preserve">. This is designed to give iWork time to formulate a restructuring plan </w:t>
      </w:r>
      <w:r w:rsidR="00AE7C7B">
        <w:rPr>
          <w:rFonts w:ascii="Avenir Next" w:hAnsi="Avenir Next"/>
          <w:color w:val="808080" w:themeColor="background1" w:themeShade="80"/>
        </w:rPr>
        <w:t xml:space="preserve">which could culminate in payments being made to </w:t>
      </w:r>
      <w:r w:rsidR="00C5399C">
        <w:rPr>
          <w:rFonts w:ascii="Avenir Next" w:hAnsi="Avenir Next"/>
          <w:color w:val="808080" w:themeColor="background1" w:themeShade="80"/>
        </w:rPr>
        <w:t xml:space="preserve">lessors. </w:t>
      </w:r>
      <w:r w:rsidR="00B61C73">
        <w:rPr>
          <w:rFonts w:ascii="Avenir Next" w:hAnsi="Avenir Next"/>
          <w:color w:val="808080" w:themeColor="background1" w:themeShade="80"/>
        </w:rPr>
        <w:t xml:space="preserve">Alternatively, </w:t>
      </w:r>
      <w:r w:rsidR="00EE0B01">
        <w:rPr>
          <w:rFonts w:ascii="Avenir Next" w:hAnsi="Avenir Next"/>
          <w:color w:val="808080" w:themeColor="background1" w:themeShade="80"/>
        </w:rPr>
        <w:t xml:space="preserve">iWork's lessors, as estate creditors, could </w:t>
      </w:r>
      <w:r w:rsidR="00314F2E">
        <w:rPr>
          <w:rFonts w:ascii="Avenir Next" w:hAnsi="Avenir Next"/>
          <w:color w:val="808080" w:themeColor="background1" w:themeShade="80"/>
        </w:rPr>
        <w:t xml:space="preserve">submit a lift-stay or relief from stay motion, and submit </w:t>
      </w:r>
      <w:r w:rsidR="00B61C73">
        <w:rPr>
          <w:rFonts w:ascii="Avenir Next" w:hAnsi="Avenir Next"/>
          <w:color w:val="808080" w:themeColor="background1" w:themeShade="80"/>
        </w:rPr>
        <w:t xml:space="preserve">there is a lack of adequate protection of their interest in the property of the estate </w:t>
      </w:r>
      <w:r w:rsidR="00D011A0">
        <w:rPr>
          <w:rFonts w:ascii="Avenir Next" w:hAnsi="Avenir Next"/>
          <w:color w:val="808080" w:themeColor="background1" w:themeShade="80"/>
        </w:rPr>
        <w:t>(as the value of the property may decline during the course of proceedings and result in them, as interested parties, making a less than full recovery)</w:t>
      </w:r>
      <w:r w:rsidR="007E1E20">
        <w:rPr>
          <w:rFonts w:ascii="Avenir Next" w:hAnsi="Avenir Next"/>
          <w:color w:val="808080" w:themeColor="background1" w:themeShade="80"/>
        </w:rPr>
        <w:t xml:space="preserve">. If the Court determines that adequate protection is lacking, the lessor creditors could pursue iWork for the "indubitable equivalent" of the value </w:t>
      </w:r>
      <w:r w:rsidR="00EE0EBE">
        <w:rPr>
          <w:rFonts w:ascii="Avenir Next" w:hAnsi="Avenir Next"/>
          <w:color w:val="808080" w:themeColor="background1" w:themeShade="80"/>
        </w:rPr>
        <w:t xml:space="preserve">of their interests </w:t>
      </w:r>
      <w:r w:rsidR="007E1E20">
        <w:rPr>
          <w:rFonts w:ascii="Avenir Next" w:hAnsi="Avenir Next"/>
          <w:color w:val="808080" w:themeColor="background1" w:themeShade="80"/>
        </w:rPr>
        <w:t>that may otherwise be lost through, for example, periodic cash payments from iWork</w:t>
      </w:r>
      <w:r w:rsidR="00E252E9">
        <w:rPr>
          <w:rFonts w:ascii="Avenir Next" w:hAnsi="Avenir Next"/>
          <w:color w:val="808080" w:themeColor="background1" w:themeShade="80"/>
        </w:rPr>
        <w:t xml:space="preserve">. If the adequate protection awarded by the court proves to be insufficient, any lessors' shortfall would be given administrative expense priority. </w:t>
      </w:r>
      <w:r w:rsidR="007E1E20">
        <w:rPr>
          <w:rFonts w:ascii="Avenir Next" w:hAnsi="Avenir Next"/>
          <w:color w:val="808080" w:themeColor="background1" w:themeShade="80"/>
        </w:rPr>
        <w:t xml:space="preserve"> </w:t>
      </w:r>
    </w:p>
    <w:p w14:paraId="4DB0E1C4" w14:textId="77777777" w:rsidR="00D900A9" w:rsidRDefault="00D900A9" w:rsidP="001D3BAA">
      <w:pPr>
        <w:pStyle w:val="AODocTxt"/>
        <w:spacing w:before="0" w:line="240" w:lineRule="auto"/>
        <w:rPr>
          <w:rFonts w:ascii="Avenir Next" w:hAnsi="Avenir Next"/>
          <w:color w:val="808080" w:themeColor="background1" w:themeShade="80"/>
        </w:rPr>
      </w:pPr>
    </w:p>
    <w:p w14:paraId="5D0630AF" w14:textId="24EF09E3" w:rsidR="00B0209A" w:rsidRDefault="00D900A9"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Further, </w:t>
      </w:r>
      <w:r w:rsidR="00880027">
        <w:rPr>
          <w:rFonts w:ascii="Avenir Next" w:hAnsi="Avenir Next"/>
          <w:color w:val="808080" w:themeColor="background1" w:themeShade="80"/>
        </w:rPr>
        <w:t xml:space="preserve">As lessors of office space owed pre-petition rent by iWork, all lessors would be entitled to file claims in iWork's </w:t>
      </w:r>
      <w:r>
        <w:rPr>
          <w:rFonts w:ascii="Avenir Next" w:hAnsi="Avenir Next"/>
          <w:color w:val="808080" w:themeColor="background1" w:themeShade="80"/>
        </w:rPr>
        <w:t xml:space="preserve">bankruptcy. </w:t>
      </w:r>
      <w:r w:rsidR="00281EDC">
        <w:rPr>
          <w:rFonts w:ascii="Avenir Next" w:hAnsi="Avenir Next"/>
          <w:color w:val="808080" w:themeColor="background1" w:themeShade="80"/>
        </w:rPr>
        <w:t xml:space="preserve">Under paragraph 507(a)(7) of the US Bankruptcy Code, </w:t>
      </w:r>
      <w:r w:rsidR="00EE1EBC">
        <w:rPr>
          <w:rFonts w:ascii="Avenir Next" w:hAnsi="Avenir Next"/>
          <w:color w:val="808080" w:themeColor="background1" w:themeShade="80"/>
        </w:rPr>
        <w:t xml:space="preserve">unpaid rent obligations incurred by the debtor for the period following the filing of the bankruptcy petition (post-petition debt) would be categorized as administrative expenses. These administrative expenses have priority over other claims made against iWork's estate. </w:t>
      </w:r>
    </w:p>
    <w:p w14:paraId="676D0CC3" w14:textId="457DB6B4" w:rsidR="004C0A0B" w:rsidRDefault="004C0A0B" w:rsidP="001D3BAA">
      <w:pPr>
        <w:pStyle w:val="AODocTxt"/>
        <w:spacing w:before="0" w:line="240" w:lineRule="auto"/>
        <w:rPr>
          <w:rFonts w:ascii="Avenir Next" w:hAnsi="Avenir Next"/>
          <w:color w:val="808080" w:themeColor="background1" w:themeShade="80"/>
        </w:rPr>
      </w:pPr>
    </w:p>
    <w:p w14:paraId="303A94A3" w14:textId="2E909326" w:rsidR="004C0A0B" w:rsidRDefault="004C0A0B"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As the US Bankruptcy Code reflects a debtor-friendly approach, </w:t>
      </w:r>
      <w:r w:rsidR="002D5C86">
        <w:rPr>
          <w:rFonts w:ascii="Avenir Next" w:hAnsi="Avenir Next"/>
          <w:color w:val="808080" w:themeColor="background1" w:themeShade="80"/>
        </w:rPr>
        <w:t>iWork has the ability to assume, rejec</w:t>
      </w:r>
      <w:r w:rsidR="00BE2A65">
        <w:rPr>
          <w:rFonts w:ascii="Avenir Next" w:hAnsi="Avenir Next"/>
          <w:color w:val="808080" w:themeColor="background1" w:themeShade="80"/>
        </w:rPr>
        <w:t>t,</w:t>
      </w:r>
      <w:r w:rsidR="002D5C86">
        <w:rPr>
          <w:rFonts w:ascii="Avenir Next" w:hAnsi="Avenir Next"/>
          <w:color w:val="808080" w:themeColor="background1" w:themeShade="80"/>
        </w:rPr>
        <w:t xml:space="preserve"> </w:t>
      </w:r>
      <w:r w:rsidR="00BE2A65">
        <w:rPr>
          <w:rFonts w:ascii="Avenir Next" w:hAnsi="Avenir Next"/>
          <w:color w:val="808080" w:themeColor="background1" w:themeShade="80"/>
        </w:rPr>
        <w:t xml:space="preserve">or </w:t>
      </w:r>
      <w:r w:rsidR="002D5C86">
        <w:rPr>
          <w:rFonts w:ascii="Avenir Next" w:hAnsi="Avenir Next"/>
          <w:color w:val="808080" w:themeColor="background1" w:themeShade="80"/>
        </w:rPr>
        <w:t xml:space="preserve">assign executory contracts. </w:t>
      </w:r>
      <w:r w:rsidR="00BE2A65">
        <w:rPr>
          <w:rFonts w:ascii="Avenir Next" w:hAnsi="Avenir Next"/>
          <w:color w:val="808080" w:themeColor="background1" w:themeShade="80"/>
        </w:rPr>
        <w:t>iWork's leases of office space are assignable</w:t>
      </w:r>
      <w:r w:rsidR="0002431D">
        <w:rPr>
          <w:rFonts w:ascii="Avenir Next" w:hAnsi="Avenir Next"/>
          <w:color w:val="808080" w:themeColor="background1" w:themeShade="80"/>
        </w:rPr>
        <w:t xml:space="preserve"> </w:t>
      </w:r>
      <w:r w:rsidR="00291F00">
        <w:rPr>
          <w:rFonts w:ascii="Avenir Next" w:hAnsi="Avenir Next"/>
          <w:color w:val="808080" w:themeColor="background1" w:themeShade="80"/>
        </w:rPr>
        <w:t xml:space="preserve">executory contracts </w:t>
      </w:r>
      <w:r w:rsidR="0002431D">
        <w:rPr>
          <w:rFonts w:ascii="Avenir Next" w:hAnsi="Avenir Next"/>
          <w:color w:val="808080" w:themeColor="background1" w:themeShade="80"/>
        </w:rPr>
        <w:t>and, as such, iWork could elect to assume it</w:t>
      </w:r>
      <w:r w:rsidR="00291F00">
        <w:rPr>
          <w:rFonts w:ascii="Avenir Next" w:hAnsi="Avenir Next"/>
          <w:color w:val="808080" w:themeColor="background1" w:themeShade="80"/>
        </w:rPr>
        <w:t xml:space="preserve"> under the 'hypothetical test'.</w:t>
      </w:r>
      <w:r w:rsidR="0002431D">
        <w:rPr>
          <w:rFonts w:ascii="Avenir Next" w:hAnsi="Avenir Next"/>
          <w:color w:val="808080" w:themeColor="background1" w:themeShade="80"/>
        </w:rPr>
        <w:t xml:space="preserve"> If </w:t>
      </w:r>
      <w:r w:rsidR="00291F00">
        <w:rPr>
          <w:rFonts w:ascii="Avenir Next" w:hAnsi="Avenir Next"/>
          <w:color w:val="808080" w:themeColor="background1" w:themeShade="80"/>
        </w:rPr>
        <w:t xml:space="preserve">iWork </w:t>
      </w:r>
      <w:r w:rsidR="0002431D">
        <w:rPr>
          <w:rFonts w:ascii="Avenir Next" w:hAnsi="Avenir Next"/>
          <w:color w:val="808080" w:themeColor="background1" w:themeShade="80"/>
        </w:rPr>
        <w:t>does</w:t>
      </w:r>
      <w:r w:rsidR="00291F00">
        <w:rPr>
          <w:rFonts w:ascii="Avenir Next" w:hAnsi="Avenir Next"/>
          <w:color w:val="808080" w:themeColor="background1" w:themeShade="80"/>
        </w:rPr>
        <w:t xml:space="preserve"> assume the leases</w:t>
      </w:r>
      <w:r w:rsidR="0002431D">
        <w:rPr>
          <w:rFonts w:ascii="Avenir Next" w:hAnsi="Avenir Next"/>
          <w:color w:val="808080" w:themeColor="background1" w:themeShade="80"/>
        </w:rPr>
        <w:t>, iWork must cure defaults</w:t>
      </w:r>
      <w:r w:rsidR="00291F00">
        <w:rPr>
          <w:rFonts w:ascii="Avenir Next" w:hAnsi="Avenir Next"/>
          <w:color w:val="808080" w:themeColor="background1" w:themeShade="80"/>
        </w:rPr>
        <w:t xml:space="preserve"> (i.e. pay the unpaid rent)</w:t>
      </w:r>
      <w:r w:rsidR="0002431D">
        <w:rPr>
          <w:rFonts w:ascii="Avenir Next" w:hAnsi="Avenir Next"/>
          <w:color w:val="808080" w:themeColor="background1" w:themeShade="80"/>
        </w:rPr>
        <w:t xml:space="preserve"> and give the lessor counterparties sufficient assurances of future performance (US Bankruptcy Code paragraph </w:t>
      </w:r>
      <w:r w:rsidR="00291F00">
        <w:rPr>
          <w:rFonts w:ascii="Avenir Next" w:hAnsi="Avenir Next"/>
          <w:color w:val="808080" w:themeColor="background1" w:themeShade="80"/>
        </w:rPr>
        <w:t xml:space="preserve">365(b)(1)). </w:t>
      </w:r>
      <w:r>
        <w:rPr>
          <w:rFonts w:ascii="Avenir Next" w:hAnsi="Avenir Next"/>
          <w:color w:val="808080" w:themeColor="background1" w:themeShade="80"/>
        </w:rPr>
        <w:t xml:space="preserve"> </w:t>
      </w:r>
      <w:r w:rsidR="00AA34A2">
        <w:rPr>
          <w:rFonts w:ascii="Avenir Next" w:hAnsi="Avenir Next"/>
          <w:color w:val="808080" w:themeColor="background1" w:themeShade="80"/>
        </w:rPr>
        <w:t xml:space="preserve">If iWork rejects the leases, the lessor's claims for unpaid rent owing would become a pre-petition claim against the iWork estate. </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485D4FED" w14:textId="12C0A3B5" w:rsidR="001D3BAA" w:rsidRDefault="00C256C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Provided that the foreign representative for the English scheme of arrangement can establish that a foreign court or administrative proceeding with respect to the deb</w:t>
      </w:r>
      <w:r w:rsidR="002745D6">
        <w:rPr>
          <w:rFonts w:ascii="Avenir Next" w:hAnsi="Avenir Next"/>
          <w:color w:val="808080" w:themeColor="background1" w:themeShade="80"/>
        </w:rPr>
        <w:t xml:space="preserve">tor is pending (i.e. the English scheme of arrangement), and that they are empowered to act by the proceeding, the </w:t>
      </w:r>
      <w:r w:rsidR="00CB1F1E">
        <w:rPr>
          <w:rFonts w:ascii="Avenir Next" w:hAnsi="Avenir Next"/>
          <w:color w:val="808080" w:themeColor="background1" w:themeShade="80"/>
        </w:rPr>
        <w:t xml:space="preserve">English scheme of arrangement </w:t>
      </w:r>
      <w:r w:rsidR="002745D6">
        <w:rPr>
          <w:rFonts w:ascii="Avenir Next" w:hAnsi="Avenir Next"/>
          <w:color w:val="808080" w:themeColor="background1" w:themeShade="80"/>
        </w:rPr>
        <w:t>could</w:t>
      </w:r>
      <w:r w:rsidR="00CB1F1E">
        <w:rPr>
          <w:rFonts w:ascii="Avenir Next" w:hAnsi="Avenir Next"/>
          <w:color w:val="808080" w:themeColor="background1" w:themeShade="80"/>
        </w:rPr>
        <w:t xml:space="preserve"> be </w:t>
      </w:r>
      <w:r w:rsidR="00BF4AE0">
        <w:rPr>
          <w:rFonts w:ascii="Avenir Next" w:hAnsi="Avenir Next"/>
          <w:color w:val="808080" w:themeColor="background1" w:themeShade="80"/>
        </w:rPr>
        <w:t>granted recognition under US Chapter 15 as "</w:t>
      </w:r>
      <w:r w:rsidR="00BF4AE0">
        <w:rPr>
          <w:rFonts w:ascii="Avenir Next" w:hAnsi="Avenir Next"/>
          <w:i/>
          <w:iCs/>
          <w:color w:val="808080" w:themeColor="background1" w:themeShade="80"/>
        </w:rPr>
        <w:t xml:space="preserve">a collective judicial or administrative proceeding in a foreign country … under a law relating to insolvency or adjustment of debt in which proceeding the assets and affairs of the debtor are subject to control or supervision by a foreign court, for the purpose of </w:t>
      </w:r>
      <w:r w:rsidR="002745D6">
        <w:rPr>
          <w:rFonts w:ascii="Avenir Next" w:hAnsi="Avenir Next"/>
          <w:i/>
          <w:iCs/>
          <w:color w:val="808080" w:themeColor="background1" w:themeShade="80"/>
        </w:rPr>
        <w:t xml:space="preserve">reorganization </w:t>
      </w:r>
      <w:r w:rsidR="00BF4AE0">
        <w:rPr>
          <w:rFonts w:ascii="Avenir Next" w:hAnsi="Avenir Next"/>
          <w:i/>
          <w:iCs/>
          <w:color w:val="808080" w:themeColor="background1" w:themeShade="80"/>
        </w:rPr>
        <w:t>or liquidation"</w:t>
      </w:r>
      <w:r w:rsidR="00BF4AE0">
        <w:rPr>
          <w:rFonts w:ascii="Avenir Next" w:hAnsi="Avenir Next"/>
          <w:color w:val="808080" w:themeColor="background1" w:themeShade="80"/>
        </w:rPr>
        <w:t xml:space="preserve"> (US Bankruptcy Code, paragraph 101(23)). </w:t>
      </w:r>
      <w:r w:rsidR="001F61CC">
        <w:rPr>
          <w:rFonts w:ascii="Avenir Next" w:hAnsi="Avenir Next"/>
          <w:color w:val="808080" w:themeColor="background1" w:themeShade="80"/>
        </w:rPr>
        <w:t xml:space="preserve">Following </w:t>
      </w:r>
      <w:r w:rsidR="001F61CC">
        <w:rPr>
          <w:rFonts w:ascii="Avenir Next" w:hAnsi="Avenir Next"/>
          <w:color w:val="808080" w:themeColor="background1" w:themeShade="80"/>
          <w:u w:val="single"/>
        </w:rPr>
        <w:t>In re Global Cord Blood Corp</w:t>
      </w:r>
      <w:r w:rsidR="001F61CC">
        <w:rPr>
          <w:rFonts w:ascii="Avenir Next" w:hAnsi="Avenir Next"/>
          <w:color w:val="808080" w:themeColor="background1" w:themeShade="80"/>
        </w:rPr>
        <w:t xml:space="preserve"> (Case no. 22011347</w:t>
      </w:r>
      <w:r w:rsidR="00992EC8">
        <w:rPr>
          <w:rFonts w:ascii="Avenir Next" w:hAnsi="Avenir Next"/>
          <w:color w:val="808080" w:themeColor="background1" w:themeShade="80"/>
        </w:rPr>
        <w:t xml:space="preserve">, DSJ, 2022, WL 17478530) the foreign representative would have to establish that the English scheme of arrangement has not been commenced solely for the purposes of investigation and instead relates to the adjustment of debt. </w:t>
      </w:r>
    </w:p>
    <w:p w14:paraId="7486DC49" w14:textId="77777777" w:rsidR="00992EC8" w:rsidRDefault="00992EC8" w:rsidP="001D3BAA">
      <w:pPr>
        <w:pStyle w:val="AODocTxt"/>
        <w:spacing w:before="0" w:line="240" w:lineRule="auto"/>
        <w:rPr>
          <w:rFonts w:ascii="Avenir Next" w:hAnsi="Avenir Next"/>
          <w:color w:val="808080" w:themeColor="background1" w:themeShade="80"/>
        </w:rPr>
      </w:pPr>
    </w:p>
    <w:p w14:paraId="335F0728" w14:textId="1BD6012E" w:rsidR="00992EC8" w:rsidRPr="001F61CC" w:rsidRDefault="000F726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From the above fact-pattern, </w:t>
      </w:r>
      <w:r w:rsidR="00FF7999">
        <w:rPr>
          <w:rFonts w:ascii="Avenir Next" w:hAnsi="Avenir Next"/>
          <w:color w:val="808080" w:themeColor="background1" w:themeShade="80"/>
        </w:rPr>
        <w:t>Skin Luxe's centre of main interest appears to be in France, as its principal place of business</w:t>
      </w:r>
      <w:r w:rsidR="00CA4372">
        <w:rPr>
          <w:rFonts w:ascii="Avenir Next" w:hAnsi="Avenir Next"/>
          <w:color w:val="808080" w:themeColor="background1" w:themeShade="80"/>
        </w:rPr>
        <w:t xml:space="preserve">, although the centre of main interests would need to be assessed as at the date of the US </w:t>
      </w:r>
      <w:r w:rsidR="007415B6">
        <w:rPr>
          <w:rFonts w:ascii="Avenir Next" w:hAnsi="Avenir Next"/>
          <w:color w:val="808080" w:themeColor="background1" w:themeShade="80"/>
        </w:rPr>
        <w:t xml:space="preserve">Chapter 15 petition following </w:t>
      </w:r>
      <w:r w:rsidR="007415B6">
        <w:rPr>
          <w:rFonts w:ascii="Avenir Next" w:hAnsi="Avenir Next"/>
          <w:color w:val="808080" w:themeColor="background1" w:themeShade="80"/>
          <w:u w:val="single"/>
        </w:rPr>
        <w:t>Bear Stearns</w:t>
      </w:r>
      <w:r w:rsidR="007415B6">
        <w:rPr>
          <w:rFonts w:ascii="Avenir Next" w:hAnsi="Avenir Next"/>
          <w:color w:val="808080" w:themeColor="background1" w:themeShade="80"/>
        </w:rPr>
        <w:t xml:space="preserve"> (374 BR 122)</w:t>
      </w:r>
      <w:r w:rsidR="00FF7999">
        <w:rPr>
          <w:rFonts w:ascii="Avenir Next" w:hAnsi="Avenir Next"/>
          <w:color w:val="808080" w:themeColor="background1" w:themeShade="80"/>
        </w:rPr>
        <w:t xml:space="preserve">. Consequently </w:t>
      </w:r>
      <w:r w:rsidR="007415B6">
        <w:rPr>
          <w:rFonts w:ascii="Avenir Next" w:hAnsi="Avenir Next"/>
          <w:color w:val="808080" w:themeColor="background1" w:themeShade="80"/>
        </w:rPr>
        <w:t>Skin Luxe's</w:t>
      </w:r>
      <w:r w:rsidR="00FF7999">
        <w:rPr>
          <w:rFonts w:ascii="Avenir Next" w:hAnsi="Avenir Next"/>
          <w:color w:val="808080" w:themeColor="background1" w:themeShade="80"/>
        </w:rPr>
        <w:t xml:space="preserve"> English scheme of arrangement could not be recognised </w:t>
      </w:r>
      <w:r>
        <w:rPr>
          <w:rFonts w:ascii="Avenir Next" w:hAnsi="Avenir Next"/>
          <w:color w:val="808080" w:themeColor="background1" w:themeShade="80"/>
        </w:rPr>
        <w:t xml:space="preserve">under US Chapter 15 proceeding </w:t>
      </w:r>
      <w:r w:rsidR="00FF7999">
        <w:rPr>
          <w:rFonts w:ascii="Avenir Next" w:hAnsi="Avenir Next"/>
          <w:color w:val="808080" w:themeColor="background1" w:themeShade="80"/>
        </w:rPr>
        <w:t>as a foreign main proceeding.</w:t>
      </w:r>
      <w:r>
        <w:rPr>
          <w:rFonts w:ascii="Avenir Next" w:hAnsi="Avenir Next"/>
          <w:color w:val="808080" w:themeColor="background1" w:themeShade="80"/>
        </w:rPr>
        <w:t xml:space="preserve"> Instead, it would be capable of recognition under Chapter 15 as a foreign non main proceeding, as Skin Luxe has an establishment in England (via its boutiques in London) such that it carried out non-transitory economic activity in England prior to the commencement of (future) Chapter 15 proceedings. </w:t>
      </w:r>
      <w:r w:rsidR="00FF7999">
        <w:rPr>
          <w:rFonts w:ascii="Avenir Next" w:hAnsi="Avenir Next"/>
          <w:color w:val="808080" w:themeColor="background1" w:themeShade="80"/>
        </w:rPr>
        <w:t xml:space="preserve"> </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lastRenderedPageBreak/>
        <w:t>What would be the effect of a chapter 11 petition being filed by Speculation Inc</w:t>
      </w:r>
      <w:r w:rsidR="00872711">
        <w:rPr>
          <w:rFonts w:ascii="Avenir Next" w:hAnsi="Avenir Next"/>
        </w:rPr>
        <w:t xml:space="preserve"> </w:t>
      </w:r>
      <w:r w:rsidRPr="00FB2838">
        <w:rPr>
          <w:rFonts w:ascii="Avenir Next" w:hAnsi="Avenir Next"/>
        </w:rPr>
        <w:t>on each of (i)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844BC4" w14:textId="7FC99DB0" w:rsidR="001D3BAA" w:rsidRDefault="00B75FA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If Speculation Inc were to file a Chapter 11 </w:t>
      </w:r>
      <w:r w:rsidR="000B07BA">
        <w:rPr>
          <w:rFonts w:ascii="Avenir Next" w:hAnsi="Avenir Next"/>
          <w:color w:val="808080" w:themeColor="background1" w:themeShade="80"/>
        </w:rPr>
        <w:t xml:space="preserve">petition: </w:t>
      </w:r>
    </w:p>
    <w:p w14:paraId="215121C7" w14:textId="77777777" w:rsidR="000B07BA" w:rsidRDefault="000B07BA" w:rsidP="001D3BAA">
      <w:pPr>
        <w:pStyle w:val="AODocTxt"/>
        <w:spacing w:before="0" w:line="240" w:lineRule="auto"/>
        <w:rPr>
          <w:rFonts w:ascii="Avenir Next" w:hAnsi="Avenir Next"/>
          <w:color w:val="808080" w:themeColor="background1" w:themeShade="80"/>
        </w:rPr>
      </w:pPr>
    </w:p>
    <w:p w14:paraId="771149BC" w14:textId="7285E7A7" w:rsidR="000B07BA" w:rsidRDefault="000B07B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u w:val="single"/>
        </w:rPr>
        <w:t>DOJ investigation:</w:t>
      </w:r>
      <w:r>
        <w:rPr>
          <w:rFonts w:ascii="Avenir Next" w:hAnsi="Avenir Next"/>
          <w:color w:val="808080" w:themeColor="background1" w:themeShade="80"/>
        </w:rPr>
        <w:t xml:space="preserve"> </w:t>
      </w:r>
      <w:r w:rsidR="006D337C">
        <w:rPr>
          <w:rFonts w:ascii="Avenir Next" w:hAnsi="Avenir Next"/>
          <w:color w:val="808080" w:themeColor="background1" w:themeShade="80"/>
        </w:rPr>
        <w:t xml:space="preserve">as </w:t>
      </w:r>
      <w:r w:rsidR="00C4516B">
        <w:rPr>
          <w:rFonts w:ascii="Avenir Next" w:hAnsi="Avenir Next"/>
          <w:color w:val="808080" w:themeColor="background1" w:themeShade="80"/>
        </w:rPr>
        <w:t>criminal proceedings</w:t>
      </w:r>
      <w:r w:rsidR="006D337C">
        <w:rPr>
          <w:rFonts w:ascii="Avenir Next" w:hAnsi="Avenir Next"/>
          <w:color w:val="808080" w:themeColor="background1" w:themeShade="80"/>
        </w:rPr>
        <w:t xml:space="preserve"> </w:t>
      </w:r>
      <w:r>
        <w:rPr>
          <w:rFonts w:ascii="Avenir Next" w:hAnsi="Avenir Next"/>
          <w:color w:val="808080" w:themeColor="background1" w:themeShade="80"/>
        </w:rPr>
        <w:t>th</w:t>
      </w:r>
      <w:r w:rsidR="00C4516B">
        <w:rPr>
          <w:rFonts w:ascii="Avenir Next" w:hAnsi="Avenir Next"/>
          <w:color w:val="808080" w:themeColor="background1" w:themeShade="80"/>
        </w:rPr>
        <w:t xml:space="preserve">e DOJ's </w:t>
      </w:r>
      <w:r>
        <w:rPr>
          <w:rFonts w:ascii="Avenir Next" w:hAnsi="Avenir Next"/>
          <w:color w:val="808080" w:themeColor="background1" w:themeShade="80"/>
        </w:rPr>
        <w:t xml:space="preserve">investigation would </w:t>
      </w:r>
      <w:r w:rsidR="006D337C">
        <w:rPr>
          <w:rFonts w:ascii="Avenir Next" w:hAnsi="Avenir Next"/>
          <w:color w:val="808080" w:themeColor="background1" w:themeShade="80"/>
        </w:rPr>
        <w:t xml:space="preserve">not </w:t>
      </w:r>
      <w:r>
        <w:rPr>
          <w:rFonts w:ascii="Avenir Next" w:hAnsi="Avenir Next"/>
          <w:color w:val="808080" w:themeColor="background1" w:themeShade="80"/>
        </w:rPr>
        <w:t>be impacted by the worldwide automatic stay on any proceedings against the debtor or its property</w:t>
      </w:r>
      <w:r w:rsidR="0097786F">
        <w:rPr>
          <w:rFonts w:ascii="Avenir Next" w:hAnsi="Avenir Next"/>
          <w:color w:val="808080" w:themeColor="background1" w:themeShade="80"/>
        </w:rPr>
        <w:t>, as a statutory exception to the US Bankruptcy Code</w:t>
      </w:r>
      <w:r w:rsidR="00C4516B">
        <w:rPr>
          <w:rFonts w:ascii="Avenir Next" w:hAnsi="Avenir Next"/>
          <w:color w:val="808080" w:themeColor="background1" w:themeShade="80"/>
        </w:rPr>
        <w:t xml:space="preserve"> which, instead,</w:t>
      </w:r>
      <w:r w:rsidR="00550F85">
        <w:rPr>
          <w:rFonts w:ascii="Avenir Next" w:hAnsi="Avenir Next"/>
          <w:color w:val="808080" w:themeColor="background1" w:themeShade="80"/>
        </w:rPr>
        <w:t xml:space="preserve"> provides the debtor with a temporary reprieve from civil actions to encourage the restructuring of debts</w:t>
      </w:r>
      <w:r w:rsidR="006D488A">
        <w:rPr>
          <w:rFonts w:ascii="Avenir Next" w:hAnsi="Avenir Next"/>
          <w:color w:val="808080" w:themeColor="background1" w:themeShade="80"/>
        </w:rPr>
        <w:t xml:space="preserve">. The Department of Justice would retain its authority to investigate and prosecute alleged criminal activity irrespective of Speculation Inc's status.  </w:t>
      </w:r>
    </w:p>
    <w:p w14:paraId="71A682A1" w14:textId="77777777" w:rsidR="00F731A8" w:rsidRDefault="00F731A8" w:rsidP="001D3BAA">
      <w:pPr>
        <w:pStyle w:val="AODocTxt"/>
        <w:spacing w:before="0" w:line="240" w:lineRule="auto"/>
        <w:rPr>
          <w:rFonts w:ascii="Avenir Next" w:hAnsi="Avenir Next"/>
          <w:color w:val="808080" w:themeColor="background1" w:themeShade="80"/>
        </w:rPr>
      </w:pPr>
    </w:p>
    <w:p w14:paraId="22DD982F" w14:textId="7D40D9DA" w:rsidR="00F731A8" w:rsidRPr="00F731A8" w:rsidRDefault="00F731A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u w:val="single"/>
        </w:rPr>
        <w:t>Margin loan default:</w:t>
      </w:r>
      <w:r>
        <w:rPr>
          <w:rFonts w:ascii="Avenir Next" w:hAnsi="Avenir Next"/>
          <w:color w:val="808080" w:themeColor="background1" w:themeShade="80"/>
        </w:rPr>
        <w:t xml:space="preserve"> </w:t>
      </w:r>
      <w:r w:rsidR="002D32D9">
        <w:rPr>
          <w:rFonts w:ascii="Avenir Next" w:hAnsi="Avenir Next"/>
          <w:color w:val="808080" w:themeColor="background1" w:themeShade="80"/>
        </w:rPr>
        <w:t xml:space="preserve">as a result of the worldwide automatic stay imposed following the filing of a Chapter 11 petition, the broker would not be able to bring enforcement action against Speculation Inc. (and any existing enforcement action would be stayed). This stay would provide Speculation Inc. </w:t>
      </w:r>
      <w:r w:rsidR="00677EC6">
        <w:rPr>
          <w:rFonts w:ascii="Avenir Next" w:hAnsi="Avenir Next"/>
          <w:color w:val="808080" w:themeColor="background1" w:themeShade="80"/>
        </w:rPr>
        <w:t>with some breathing room to formulate a restructuring plan</w:t>
      </w:r>
      <w:r w:rsidR="007A799D">
        <w:rPr>
          <w:rFonts w:ascii="Avenir Next" w:hAnsi="Avenir Next"/>
          <w:color w:val="808080" w:themeColor="background1" w:themeShade="80"/>
        </w:rPr>
        <w:t>, and would not (for example) permit the broker to unilaterally sell the shares held as collateral</w:t>
      </w:r>
      <w:r w:rsidR="00677EC6">
        <w:rPr>
          <w:rFonts w:ascii="Avenir Next" w:hAnsi="Avenir Next"/>
          <w:color w:val="808080" w:themeColor="background1" w:themeShade="80"/>
        </w:rPr>
        <w:t xml:space="preserve">. </w:t>
      </w:r>
      <w:r w:rsidR="002579C0">
        <w:rPr>
          <w:rFonts w:ascii="Avenir Next" w:hAnsi="Avenir Next"/>
          <w:color w:val="808080" w:themeColor="background1" w:themeShade="80"/>
        </w:rPr>
        <w:t xml:space="preserve">Unless a trustee is appointed, which requires a high threshold for a creditor or another party in interest to be met, </w:t>
      </w:r>
      <w:r w:rsidR="00D51F40">
        <w:rPr>
          <w:rFonts w:ascii="Avenir Next" w:hAnsi="Avenir Next"/>
          <w:color w:val="808080" w:themeColor="background1" w:themeShade="80"/>
        </w:rPr>
        <w:t xml:space="preserve">Speculation Inc would continue its ordinary course of business operations as a debtor in possession. Such operations may, for example, result in </w:t>
      </w:r>
      <w:r w:rsidR="007A799D">
        <w:rPr>
          <w:rFonts w:ascii="Avenir Next" w:hAnsi="Avenir Next"/>
          <w:color w:val="808080" w:themeColor="background1" w:themeShade="80"/>
        </w:rPr>
        <w:t xml:space="preserve">repayments being made to remedy the default. </w:t>
      </w:r>
      <w:r w:rsidR="007765E3">
        <w:rPr>
          <w:rFonts w:ascii="Avenir Next" w:hAnsi="Avenir Next"/>
          <w:color w:val="808080" w:themeColor="background1" w:themeShade="80"/>
        </w:rPr>
        <w:t>Alternatively, Speculation Inc would propose a reorganization plan</w:t>
      </w:r>
      <w:r w:rsidR="008D10B6">
        <w:rPr>
          <w:rFonts w:ascii="Avenir Next" w:hAnsi="Avenir Next"/>
          <w:color w:val="808080" w:themeColor="background1" w:themeShade="80"/>
        </w:rPr>
        <w:t xml:space="preserve"> within 120 days from the petition (see </w:t>
      </w:r>
      <w:r w:rsidR="00F82E81">
        <w:rPr>
          <w:rFonts w:ascii="Avenir Next" w:hAnsi="Avenir Next"/>
          <w:color w:val="808080" w:themeColor="background1" w:themeShade="80"/>
        </w:rPr>
        <w:t>US Bankruptcy Code paragraph 1121)</w:t>
      </w:r>
      <w:r w:rsidR="007765E3">
        <w:rPr>
          <w:rFonts w:ascii="Avenir Next" w:hAnsi="Avenir Next"/>
          <w:color w:val="808080" w:themeColor="background1" w:themeShade="80"/>
        </w:rPr>
        <w:t xml:space="preserve"> to address its debts (</w:t>
      </w:r>
      <w:r w:rsidR="00F82E81">
        <w:rPr>
          <w:rFonts w:ascii="Avenir Next" w:hAnsi="Avenir Next"/>
          <w:color w:val="808080" w:themeColor="background1" w:themeShade="80"/>
        </w:rPr>
        <w:t xml:space="preserve">i.e. </w:t>
      </w:r>
      <w:r w:rsidR="007765E3">
        <w:rPr>
          <w:rFonts w:ascii="Avenir Next" w:hAnsi="Avenir Next"/>
          <w:color w:val="808080" w:themeColor="background1" w:themeShade="80"/>
        </w:rPr>
        <w:t>including the debt owed following its default on the margin loan)</w:t>
      </w:r>
      <w:r w:rsidR="008D10B6">
        <w:rPr>
          <w:rFonts w:ascii="Avenir Next" w:hAnsi="Avenir Next"/>
          <w:color w:val="808080" w:themeColor="background1" w:themeShade="80"/>
        </w:rPr>
        <w:t xml:space="preserve">. </w:t>
      </w:r>
      <w:r w:rsidR="00DE2451">
        <w:rPr>
          <w:rFonts w:ascii="Avenir Next" w:hAnsi="Avenir Next"/>
          <w:color w:val="808080" w:themeColor="background1" w:themeShade="80"/>
        </w:rPr>
        <w:t xml:space="preserve">This reorganization plan must then be approved by the Court and accepted by Speculation Inc's creditors, including the broker. </w:t>
      </w:r>
    </w:p>
    <w:p w14:paraId="70C6A8B6" w14:textId="1261BD9D" w:rsidR="00126A4D"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p w14:paraId="341B9A49" w14:textId="67867D44" w:rsidR="00A76D00" w:rsidRDefault="00514FCD" w:rsidP="000778B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Lease</w:t>
      </w:r>
      <w:r>
        <w:rPr>
          <w:rFonts w:ascii="Avenir Next" w:hAnsi="Avenir Next" w:cs="Arial"/>
          <w:color w:val="808080" w:themeColor="background1" w:themeShade="80"/>
          <w:sz w:val="22"/>
          <w:szCs w:val="22"/>
          <w:lang w:val="en-GB"/>
        </w:rPr>
        <w:t xml:space="preserve">: as with the margin loan default, </w:t>
      </w:r>
      <w:r w:rsidR="005C4A6A">
        <w:rPr>
          <w:rFonts w:ascii="Avenir Next" w:hAnsi="Avenir Next" w:cs="Arial"/>
          <w:color w:val="808080" w:themeColor="background1" w:themeShade="80"/>
          <w:sz w:val="22"/>
          <w:szCs w:val="22"/>
          <w:lang w:val="en-GB"/>
        </w:rPr>
        <w:t>the worldwide automatic stay imposed following the filing of the Chapter 11 petition would temporarily halt Speculation Inc's landlord's ability to take any legal action (including eviction proceedings</w:t>
      </w:r>
      <w:r w:rsidR="007B36DF">
        <w:rPr>
          <w:rFonts w:ascii="Avenir Next" w:hAnsi="Avenir Next" w:cs="Arial"/>
          <w:color w:val="808080" w:themeColor="background1" w:themeShade="80"/>
          <w:sz w:val="22"/>
          <w:szCs w:val="22"/>
          <w:lang w:val="en-GB"/>
        </w:rPr>
        <w:t xml:space="preserve">, unless the lease has expired) </w:t>
      </w:r>
      <w:r w:rsidR="004375D2">
        <w:rPr>
          <w:rFonts w:ascii="Avenir Next" w:hAnsi="Avenir Next" w:cs="Arial"/>
          <w:color w:val="808080" w:themeColor="background1" w:themeShade="80"/>
          <w:sz w:val="22"/>
          <w:szCs w:val="22"/>
          <w:lang w:val="en-GB"/>
        </w:rPr>
        <w:t xml:space="preserve">against Speculation Inc. </w:t>
      </w:r>
      <w:r w:rsidR="00084462">
        <w:rPr>
          <w:rFonts w:ascii="Avenir Next" w:hAnsi="Avenir Next" w:cs="Arial"/>
          <w:color w:val="808080" w:themeColor="background1" w:themeShade="80"/>
          <w:sz w:val="22"/>
          <w:szCs w:val="22"/>
          <w:lang w:val="en-GB"/>
        </w:rPr>
        <w:t xml:space="preserve">for past rental payments. However, during the bankruptcy process, Speculation Inc. remains responsible for payment of rent. </w:t>
      </w:r>
      <w:r w:rsidR="004375D2">
        <w:rPr>
          <w:rFonts w:ascii="Avenir Next" w:hAnsi="Avenir Next" w:cs="Arial"/>
          <w:color w:val="808080" w:themeColor="background1" w:themeShade="80"/>
          <w:sz w:val="22"/>
          <w:szCs w:val="22"/>
          <w:lang w:val="en-GB"/>
        </w:rPr>
        <w:t>As a lease is an executory contract, Speculation Inc has the option to assume or reject its lease in the Chapter 11 process. If Speculation Inc choose</w:t>
      </w:r>
      <w:r w:rsidR="00084462">
        <w:rPr>
          <w:rFonts w:ascii="Avenir Next" w:hAnsi="Avenir Next" w:cs="Arial"/>
          <w:color w:val="808080" w:themeColor="background1" w:themeShade="80"/>
          <w:sz w:val="22"/>
          <w:szCs w:val="22"/>
          <w:lang w:val="en-GB"/>
        </w:rPr>
        <w:t>s</w:t>
      </w:r>
      <w:r w:rsidR="004375D2">
        <w:rPr>
          <w:rFonts w:ascii="Avenir Next" w:hAnsi="Avenir Next" w:cs="Arial"/>
          <w:color w:val="808080" w:themeColor="background1" w:themeShade="80"/>
          <w:sz w:val="22"/>
          <w:szCs w:val="22"/>
          <w:lang w:val="en-GB"/>
        </w:rPr>
        <w:t xml:space="preserve"> to assume the lease, it must cure any existing defaults, i.e</w:t>
      </w:r>
      <w:r w:rsidR="00BE4930">
        <w:rPr>
          <w:rFonts w:ascii="Avenir Next" w:hAnsi="Avenir Next" w:cs="Arial"/>
          <w:color w:val="808080" w:themeColor="background1" w:themeShade="80"/>
          <w:sz w:val="22"/>
          <w:szCs w:val="22"/>
          <w:lang w:val="en-GB"/>
        </w:rPr>
        <w:t>. make payments of unpaid rent, and provide adequate assurance</w:t>
      </w:r>
      <w:r w:rsidR="00676285">
        <w:rPr>
          <w:rFonts w:ascii="Avenir Next" w:hAnsi="Avenir Next" w:cs="Arial"/>
          <w:color w:val="808080" w:themeColor="background1" w:themeShade="80"/>
          <w:sz w:val="22"/>
          <w:szCs w:val="22"/>
          <w:lang w:val="en-GB"/>
        </w:rPr>
        <w:t xml:space="preserve"> as to its ability to make rental payments in future to the </w:t>
      </w:r>
      <w:r w:rsidR="00084462">
        <w:rPr>
          <w:rFonts w:ascii="Avenir Next" w:hAnsi="Avenir Next" w:cs="Arial"/>
          <w:color w:val="808080" w:themeColor="background1" w:themeShade="80"/>
          <w:sz w:val="22"/>
          <w:szCs w:val="22"/>
          <w:lang w:val="en-GB"/>
        </w:rPr>
        <w:t>landlord</w:t>
      </w:r>
      <w:r w:rsidR="00676285">
        <w:rPr>
          <w:rFonts w:ascii="Avenir Next" w:hAnsi="Avenir Next" w:cs="Arial"/>
          <w:color w:val="808080" w:themeColor="background1" w:themeShade="80"/>
          <w:sz w:val="22"/>
          <w:szCs w:val="22"/>
          <w:lang w:val="en-GB"/>
        </w:rPr>
        <w:t xml:space="preserve">. </w:t>
      </w:r>
      <w:r w:rsidR="00084462">
        <w:rPr>
          <w:rFonts w:ascii="Avenir Next" w:hAnsi="Avenir Next" w:cs="Arial"/>
          <w:color w:val="808080" w:themeColor="background1" w:themeShade="80"/>
          <w:sz w:val="22"/>
          <w:szCs w:val="22"/>
          <w:lang w:val="en-GB"/>
        </w:rPr>
        <w:t xml:space="preserve">If Speculation Inc chooses to reject the lease, if it cannot afford to maintain it, the historic (i.e. overdue) rental payments would be classes as a pre-petition claim by the landlord. </w:t>
      </w:r>
    </w:p>
    <w:p w14:paraId="35A9587A" w14:textId="77777777" w:rsidR="00084462" w:rsidRDefault="00084462" w:rsidP="000778B1">
      <w:pPr>
        <w:autoSpaceDE w:val="0"/>
        <w:autoSpaceDN w:val="0"/>
        <w:adjustRightInd w:val="0"/>
        <w:jc w:val="both"/>
        <w:rPr>
          <w:rFonts w:ascii="Avenir Next" w:hAnsi="Avenir Next" w:cs="Arial"/>
          <w:color w:val="808080" w:themeColor="background1" w:themeShade="80"/>
          <w:sz w:val="22"/>
          <w:szCs w:val="22"/>
          <w:lang w:val="en-GB"/>
        </w:rPr>
      </w:pPr>
    </w:p>
    <w:p w14:paraId="633735C1" w14:textId="588FAD1C" w:rsidR="00084462" w:rsidRPr="00084462" w:rsidRDefault="00084462" w:rsidP="000778B1">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Employment discrimination claim:</w:t>
      </w:r>
      <w:r>
        <w:rPr>
          <w:rFonts w:ascii="Avenir Next" w:hAnsi="Avenir Next" w:cs="Arial"/>
          <w:color w:val="808080" w:themeColor="background1" w:themeShade="80"/>
          <w:sz w:val="22"/>
          <w:szCs w:val="22"/>
          <w:lang w:val="en-GB"/>
        </w:rPr>
        <w:t xml:space="preserve"> </w:t>
      </w:r>
      <w:r w:rsidR="003D6B5B">
        <w:rPr>
          <w:rFonts w:ascii="Avenir Next" w:hAnsi="Avenir Next" w:cs="Arial"/>
          <w:color w:val="808080" w:themeColor="background1" w:themeShade="80"/>
          <w:sz w:val="22"/>
          <w:szCs w:val="22"/>
          <w:lang w:val="en-GB"/>
        </w:rPr>
        <w:t xml:space="preserve">as above, the worldwide automatic stay imposed by filing the Chapter 11 petition would temporarily pause </w:t>
      </w:r>
      <w:r w:rsidR="007B6E40">
        <w:rPr>
          <w:rFonts w:ascii="Avenir Next" w:hAnsi="Avenir Next" w:cs="Arial"/>
          <w:color w:val="808080" w:themeColor="background1" w:themeShade="80"/>
          <w:sz w:val="22"/>
          <w:szCs w:val="22"/>
          <w:lang w:val="en-GB"/>
        </w:rPr>
        <w:t>the civil suit</w:t>
      </w:r>
      <w:r w:rsidR="00072009">
        <w:rPr>
          <w:rFonts w:ascii="Avenir Next" w:hAnsi="Avenir Next" w:cs="Arial"/>
          <w:color w:val="808080" w:themeColor="background1" w:themeShade="80"/>
          <w:sz w:val="22"/>
          <w:szCs w:val="22"/>
          <w:lang w:val="en-GB"/>
        </w:rPr>
        <w:t xml:space="preserve"> </w:t>
      </w:r>
      <w:r w:rsidR="007B6E40">
        <w:rPr>
          <w:rFonts w:ascii="Avenir Next" w:hAnsi="Avenir Next" w:cs="Arial"/>
          <w:color w:val="808080" w:themeColor="background1" w:themeShade="80"/>
          <w:sz w:val="22"/>
          <w:szCs w:val="22"/>
          <w:lang w:val="en-GB"/>
        </w:rPr>
        <w:t xml:space="preserve">and the former employee would not be able to take further legal action against Speculation Inc. </w:t>
      </w:r>
      <w:r w:rsidR="00965310">
        <w:rPr>
          <w:rFonts w:ascii="Avenir Next" w:hAnsi="Avenir Next" w:cs="Arial"/>
          <w:color w:val="808080" w:themeColor="background1" w:themeShade="80"/>
          <w:sz w:val="22"/>
          <w:szCs w:val="22"/>
          <w:lang w:val="en-GB"/>
        </w:rPr>
        <w:t>Under paragraph 501 of the US Bankruptcy Code the former employee would need to file a proof of claim with the bankruptcy court</w:t>
      </w:r>
      <w:r w:rsidR="001D1B9B">
        <w:rPr>
          <w:rFonts w:ascii="Avenir Next" w:hAnsi="Avenir Next" w:cs="Arial"/>
          <w:color w:val="808080" w:themeColor="background1" w:themeShade="80"/>
          <w:sz w:val="22"/>
          <w:szCs w:val="22"/>
          <w:lang w:val="en-GB"/>
        </w:rPr>
        <w:t>, who would have jurisdiction to determine the issue as a core matter</w:t>
      </w:r>
      <w:r w:rsidR="00262B23">
        <w:rPr>
          <w:rFonts w:ascii="Avenir Next" w:hAnsi="Avenir Next" w:cs="Arial"/>
          <w:color w:val="808080" w:themeColor="background1" w:themeShade="80"/>
          <w:sz w:val="22"/>
          <w:szCs w:val="22"/>
          <w:lang w:val="en-GB"/>
        </w:rPr>
        <w:t xml:space="preserve">, </w:t>
      </w:r>
      <w:r w:rsidR="00965310">
        <w:rPr>
          <w:rFonts w:ascii="Avenir Next" w:hAnsi="Avenir Next" w:cs="Arial"/>
          <w:color w:val="808080" w:themeColor="background1" w:themeShade="80"/>
          <w:sz w:val="22"/>
          <w:szCs w:val="22"/>
          <w:lang w:val="en-GB"/>
        </w:rPr>
        <w:t xml:space="preserve">to continue to assert her claim for damages </w:t>
      </w:r>
      <w:r w:rsidR="00044DB2">
        <w:rPr>
          <w:rFonts w:ascii="Avenir Next" w:hAnsi="Avenir Next" w:cs="Arial"/>
          <w:color w:val="808080" w:themeColor="background1" w:themeShade="80"/>
          <w:sz w:val="22"/>
          <w:szCs w:val="22"/>
          <w:lang w:val="en-GB"/>
        </w:rPr>
        <w:t xml:space="preserve">and, if accepted, potentially receive a distribution from the estate's assets. </w:t>
      </w:r>
    </w:p>
    <w:p w14:paraId="57717FCD" w14:textId="77777777" w:rsidR="005C4A6A" w:rsidRPr="00514FCD" w:rsidRDefault="005C4A6A"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B26C" w14:textId="77777777" w:rsidR="00A94F29" w:rsidRDefault="00A94F29" w:rsidP="00241B44">
      <w:r>
        <w:separator/>
      </w:r>
    </w:p>
  </w:endnote>
  <w:endnote w:type="continuationSeparator" w:id="0">
    <w:p w14:paraId="749D7EB5" w14:textId="77777777" w:rsidR="00A94F29" w:rsidRDefault="00A94F2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Default="00445CE6" w:rsidP="00FC7B47">
    <w:pPr>
      <w:pStyle w:val="Footer"/>
      <w:ind w:right="360"/>
    </w:pPr>
    <w:r>
      <w:t>student number.assessment</w:t>
    </w:r>
    <w:r w:rsidR="005F2AEA">
      <w:t>2B</w:t>
    </w:r>
    <w:r>
      <w:t>.docx</w:t>
    </w:r>
  </w:p>
  <w:p w14:paraId="0ABE541A" w14:textId="6962BA62" w:rsidR="00E650F6" w:rsidRPr="00FC7B47" w:rsidRDefault="00E650F6" w:rsidP="00FC7B47">
    <w:pPr>
      <w:pStyle w:val="Footer"/>
      <w:ind w:right="360"/>
      <w:rPr>
        <w:rFonts w:ascii="Arial" w:hAnsi="Arial" w:cs="Arial"/>
        <w:sz w:val="22"/>
        <w:szCs w:val="22"/>
      </w:rPr>
    </w:pPr>
    <w:r>
      <w:rPr>
        <w:rFonts w:ascii="Arial" w:hAnsi="Arial" w:cs="Arial"/>
        <w:sz w:val="22"/>
        <w:szCs w:val="22"/>
      </w:rPr>
      <w:fldChar w:fldCharType="begin"/>
    </w:r>
    <w:r w:rsidR="00BD7BF2">
      <w:rPr>
        <w:rFonts w:ascii="Arial" w:hAnsi="Arial" w:cs="Arial"/>
        <w:sz w:val="22"/>
        <w:szCs w:val="22"/>
      </w:rPr>
      <w:instrText xml:space="preserve">DOCPROPERTY DOCXDOCID DMS=FileSystem Format=&lt;&lt;NAME&gt;&gt;-&lt;&lt;SDTE&gt;&gt; \* MERGEFORMAT </w:instrText>
    </w:r>
    <w:r>
      <w:rPr>
        <w:rFonts w:ascii="Arial" w:hAnsi="Arial" w:cs="Arial"/>
        <w:sz w:val="22"/>
        <w:szCs w:val="22"/>
      </w:rPr>
      <w:fldChar w:fldCharType="separate"/>
    </w:r>
    <w:r w:rsidR="00BD7BF2">
      <w:rPr>
        <w:rFonts w:ascii="Arial" w:hAnsi="Arial" w:cs="Arial"/>
        <w:sz w:val="22"/>
        <w:szCs w:val="22"/>
      </w:rPr>
      <w:t>WG 16 FCIIL Summative Assessment (Module 3A) March 2024-12/06/2024</w:t>
    </w:r>
    <w:r>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5CEBFF0" w14:textId="5D76851B" w:rsidR="00E650F6" w:rsidRPr="00494B81" w:rsidRDefault="009B7CAF" w:rsidP="009B4976">
    <w:pPr>
      <w:pStyle w:val="Footer"/>
      <w:ind w:right="360"/>
      <w:rPr>
        <w:rFonts w:ascii="Avenir Next" w:hAnsi="Avenir Next" w:cs="Arial"/>
        <w:sz w:val="22"/>
        <w:szCs w:val="22"/>
        <w:lang w:val="en-GB"/>
      </w:rPr>
    </w:pPr>
    <w:r w:rsidRPr="009B7CAF">
      <w:rPr>
        <w:rFonts w:ascii="Avenir Next" w:hAnsi="Avenir Next" w:cs="Arial"/>
        <w:sz w:val="22"/>
        <w:szCs w:val="22"/>
        <w:lang w:val="en-GB"/>
      </w:rPr>
      <w:t>FC202324-1387</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0961" w14:textId="7E4F06BC" w:rsidR="00E650F6" w:rsidRDefault="006701F5">
    <w:pPr>
      <w:pStyle w:val="Footer"/>
    </w:pPr>
    <w:r>
      <w:fldChar w:fldCharType="begin"/>
    </w:r>
    <w:r w:rsidR="00BD7BF2">
      <w:instrText xml:space="preserve">DOCPROPERTY DOCXDOCID DMS=FileSystem Format=&lt;&lt;NAME&gt;&gt;-&lt;&lt;SDTE&gt;&gt; \* MERGEFORMAT </w:instrText>
    </w:r>
    <w:r>
      <w:fldChar w:fldCharType="separate"/>
    </w:r>
    <w:r w:rsidR="00BD7BF2">
      <w:t>WG 16 FCIIL Summative Assessment (Module 3A) March 2024-12/06/2024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8F68" w14:textId="77777777" w:rsidR="00A94F29" w:rsidRDefault="00A94F29" w:rsidP="00241B44">
      <w:r>
        <w:separator/>
      </w:r>
    </w:p>
  </w:footnote>
  <w:footnote w:type="continuationSeparator" w:id="0">
    <w:p w14:paraId="1C129B93" w14:textId="77777777" w:rsidR="00A94F29" w:rsidRDefault="00A94F2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A0D3" w14:textId="77777777" w:rsidR="00F34B82" w:rsidRDefault="00F34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248" w14:textId="77777777" w:rsidR="00F34B82" w:rsidRDefault="00F34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D017" w14:textId="77777777" w:rsidR="00F34B82" w:rsidRDefault="00F3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24797C"/>
    <w:multiLevelType w:val="hybridMultilevel"/>
    <w:tmpl w:val="81D072A2"/>
    <w:lvl w:ilvl="0" w:tplc="3AA666E2">
      <w:start w:val="2"/>
      <w:numFmt w:val="bullet"/>
      <w:lvlText w:val="-"/>
      <w:lvlJc w:val="left"/>
      <w:pPr>
        <w:ind w:left="360" w:hanging="360"/>
      </w:pPr>
      <w:rPr>
        <w:rFonts w:ascii="Avenir Next" w:eastAsiaTheme="minorHAnsi" w:hAnsi="Avenir Nex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6142CD"/>
    <w:multiLevelType w:val="hybridMultilevel"/>
    <w:tmpl w:val="A192C91C"/>
    <w:lvl w:ilvl="0" w:tplc="0AC8EBCC">
      <w:start w:val="15"/>
      <w:numFmt w:val="bullet"/>
      <w:lvlText w:val="-"/>
      <w:lvlJc w:val="left"/>
      <w:pPr>
        <w:ind w:left="360" w:hanging="360"/>
      </w:pPr>
      <w:rPr>
        <w:rFonts w:ascii="Avenir Next" w:eastAsiaTheme="minorHAnsi" w:hAnsi="Avenir Nex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6"/>
  </w:num>
  <w:num w:numId="2" w16cid:durableId="1783306908">
    <w:abstractNumId w:val="29"/>
  </w:num>
  <w:num w:numId="3" w16cid:durableId="1942764495">
    <w:abstractNumId w:val="5"/>
  </w:num>
  <w:num w:numId="4" w16cid:durableId="298269076">
    <w:abstractNumId w:val="9"/>
  </w:num>
  <w:num w:numId="5" w16cid:durableId="730929724">
    <w:abstractNumId w:val="12"/>
  </w:num>
  <w:num w:numId="6" w16cid:durableId="1594360553">
    <w:abstractNumId w:val="32"/>
  </w:num>
  <w:num w:numId="7" w16cid:durableId="1661152946">
    <w:abstractNumId w:val="6"/>
  </w:num>
  <w:num w:numId="8" w16cid:durableId="45877589">
    <w:abstractNumId w:val="35"/>
  </w:num>
  <w:num w:numId="9" w16cid:durableId="876742117">
    <w:abstractNumId w:val="13"/>
  </w:num>
  <w:num w:numId="10" w16cid:durableId="1035689165">
    <w:abstractNumId w:val="28"/>
  </w:num>
  <w:num w:numId="11" w16cid:durableId="926307185">
    <w:abstractNumId w:val="15"/>
  </w:num>
  <w:num w:numId="12" w16cid:durableId="621232781">
    <w:abstractNumId w:val="24"/>
  </w:num>
  <w:num w:numId="13" w16cid:durableId="1204442417">
    <w:abstractNumId w:val="0"/>
  </w:num>
  <w:num w:numId="14" w16cid:durableId="1001467812">
    <w:abstractNumId w:val="11"/>
  </w:num>
  <w:num w:numId="15" w16cid:durableId="189758179">
    <w:abstractNumId w:val="19"/>
  </w:num>
  <w:num w:numId="16" w16cid:durableId="1491479825">
    <w:abstractNumId w:val="8"/>
  </w:num>
  <w:num w:numId="17" w16cid:durableId="882793158">
    <w:abstractNumId w:val="4"/>
  </w:num>
  <w:num w:numId="18" w16cid:durableId="777675833">
    <w:abstractNumId w:val="3"/>
  </w:num>
  <w:num w:numId="19" w16cid:durableId="1129937292">
    <w:abstractNumId w:val="30"/>
  </w:num>
  <w:num w:numId="20" w16cid:durableId="1471096614">
    <w:abstractNumId w:val="7"/>
  </w:num>
  <w:num w:numId="21" w16cid:durableId="398864111">
    <w:abstractNumId w:val="27"/>
  </w:num>
  <w:num w:numId="22" w16cid:durableId="2133940203">
    <w:abstractNumId w:val="37"/>
  </w:num>
  <w:num w:numId="23" w16cid:durableId="950893894">
    <w:abstractNumId w:val="14"/>
  </w:num>
  <w:num w:numId="24" w16cid:durableId="1962497721">
    <w:abstractNumId w:val="31"/>
  </w:num>
  <w:num w:numId="25" w16cid:durableId="869756453">
    <w:abstractNumId w:val="21"/>
  </w:num>
  <w:num w:numId="26" w16cid:durableId="1092049203">
    <w:abstractNumId w:val="22"/>
  </w:num>
  <w:num w:numId="27" w16cid:durableId="1146704350">
    <w:abstractNumId w:val="17"/>
  </w:num>
  <w:num w:numId="28" w16cid:durableId="937979478">
    <w:abstractNumId w:val="33"/>
  </w:num>
  <w:num w:numId="29" w16cid:durableId="1970553734">
    <w:abstractNumId w:val="1"/>
  </w:num>
  <w:num w:numId="30" w16cid:durableId="293563849">
    <w:abstractNumId w:val="18"/>
  </w:num>
  <w:num w:numId="31" w16cid:durableId="2126381093">
    <w:abstractNumId w:val="23"/>
  </w:num>
  <w:num w:numId="32" w16cid:durableId="1605572703">
    <w:abstractNumId w:val="38"/>
  </w:num>
  <w:num w:numId="33" w16cid:durableId="1203253494">
    <w:abstractNumId w:val="16"/>
  </w:num>
  <w:num w:numId="34" w16cid:durableId="1104031608">
    <w:abstractNumId w:val="2"/>
  </w:num>
  <w:num w:numId="35" w16cid:durableId="2144806674">
    <w:abstractNumId w:val="34"/>
  </w:num>
  <w:num w:numId="36" w16cid:durableId="1673992024">
    <w:abstractNumId w:val="36"/>
  </w:num>
  <w:num w:numId="37" w16cid:durableId="2022775299">
    <w:abstractNumId w:val="10"/>
  </w:num>
  <w:num w:numId="38" w16cid:durableId="276448244">
    <w:abstractNumId w:val="20"/>
  </w:num>
  <w:num w:numId="39" w16cid:durableId="128385125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13774"/>
    <w:rsid w:val="00020557"/>
    <w:rsid w:val="00021FC2"/>
    <w:rsid w:val="00022E00"/>
    <w:rsid w:val="0002431D"/>
    <w:rsid w:val="000250C7"/>
    <w:rsid w:val="00026F16"/>
    <w:rsid w:val="000337E9"/>
    <w:rsid w:val="000346E7"/>
    <w:rsid w:val="00036543"/>
    <w:rsid w:val="00037621"/>
    <w:rsid w:val="00037671"/>
    <w:rsid w:val="00044D46"/>
    <w:rsid w:val="00044DB2"/>
    <w:rsid w:val="00045088"/>
    <w:rsid w:val="00045904"/>
    <w:rsid w:val="000502FD"/>
    <w:rsid w:val="000643AB"/>
    <w:rsid w:val="00065166"/>
    <w:rsid w:val="00072009"/>
    <w:rsid w:val="000778B1"/>
    <w:rsid w:val="000810B2"/>
    <w:rsid w:val="000822A7"/>
    <w:rsid w:val="00082609"/>
    <w:rsid w:val="00084462"/>
    <w:rsid w:val="000851CC"/>
    <w:rsid w:val="000922FC"/>
    <w:rsid w:val="00093BE8"/>
    <w:rsid w:val="000968D6"/>
    <w:rsid w:val="00097B45"/>
    <w:rsid w:val="00097D56"/>
    <w:rsid w:val="000A407B"/>
    <w:rsid w:val="000A5BA1"/>
    <w:rsid w:val="000A636A"/>
    <w:rsid w:val="000A68ED"/>
    <w:rsid w:val="000A7A3D"/>
    <w:rsid w:val="000B07BA"/>
    <w:rsid w:val="000B2B06"/>
    <w:rsid w:val="000B5FF1"/>
    <w:rsid w:val="000B609F"/>
    <w:rsid w:val="000C4C5B"/>
    <w:rsid w:val="000D55A8"/>
    <w:rsid w:val="000D569D"/>
    <w:rsid w:val="000E4841"/>
    <w:rsid w:val="000F1677"/>
    <w:rsid w:val="000F3D6C"/>
    <w:rsid w:val="000F7267"/>
    <w:rsid w:val="000F7FC2"/>
    <w:rsid w:val="00101707"/>
    <w:rsid w:val="00102CC9"/>
    <w:rsid w:val="00106CA8"/>
    <w:rsid w:val="001109FE"/>
    <w:rsid w:val="0011473D"/>
    <w:rsid w:val="00115C85"/>
    <w:rsid w:val="0012224B"/>
    <w:rsid w:val="00123855"/>
    <w:rsid w:val="00126A4D"/>
    <w:rsid w:val="0014171F"/>
    <w:rsid w:val="001437A8"/>
    <w:rsid w:val="001445EF"/>
    <w:rsid w:val="0014622C"/>
    <w:rsid w:val="00151216"/>
    <w:rsid w:val="00152348"/>
    <w:rsid w:val="0015456D"/>
    <w:rsid w:val="00155FA2"/>
    <w:rsid w:val="00160679"/>
    <w:rsid w:val="00161F1B"/>
    <w:rsid w:val="00162829"/>
    <w:rsid w:val="001647AD"/>
    <w:rsid w:val="00177231"/>
    <w:rsid w:val="00177FA9"/>
    <w:rsid w:val="00180548"/>
    <w:rsid w:val="00180AC4"/>
    <w:rsid w:val="00180CCE"/>
    <w:rsid w:val="0018155D"/>
    <w:rsid w:val="0018267A"/>
    <w:rsid w:val="00182779"/>
    <w:rsid w:val="001830DF"/>
    <w:rsid w:val="001941F3"/>
    <w:rsid w:val="001966D9"/>
    <w:rsid w:val="00197E4B"/>
    <w:rsid w:val="001A7E9A"/>
    <w:rsid w:val="001B0F70"/>
    <w:rsid w:val="001B1763"/>
    <w:rsid w:val="001B33F5"/>
    <w:rsid w:val="001B5016"/>
    <w:rsid w:val="001C45FC"/>
    <w:rsid w:val="001D0469"/>
    <w:rsid w:val="001D1B9B"/>
    <w:rsid w:val="001D3BAA"/>
    <w:rsid w:val="001D4862"/>
    <w:rsid w:val="001E25B9"/>
    <w:rsid w:val="001E4726"/>
    <w:rsid w:val="001E49E0"/>
    <w:rsid w:val="001E7B5A"/>
    <w:rsid w:val="001F53BE"/>
    <w:rsid w:val="001F61CC"/>
    <w:rsid w:val="001F7412"/>
    <w:rsid w:val="00202DFE"/>
    <w:rsid w:val="0020725B"/>
    <w:rsid w:val="002110F1"/>
    <w:rsid w:val="002204B8"/>
    <w:rsid w:val="0022369F"/>
    <w:rsid w:val="00223917"/>
    <w:rsid w:val="00224888"/>
    <w:rsid w:val="0024116D"/>
    <w:rsid w:val="00241B44"/>
    <w:rsid w:val="00241FA3"/>
    <w:rsid w:val="00245EFB"/>
    <w:rsid w:val="0025386E"/>
    <w:rsid w:val="00256B74"/>
    <w:rsid w:val="002579C0"/>
    <w:rsid w:val="00262B23"/>
    <w:rsid w:val="002638B0"/>
    <w:rsid w:val="0026647A"/>
    <w:rsid w:val="002668D3"/>
    <w:rsid w:val="0027299F"/>
    <w:rsid w:val="00274119"/>
    <w:rsid w:val="002745D6"/>
    <w:rsid w:val="00281EDC"/>
    <w:rsid w:val="00284EBE"/>
    <w:rsid w:val="00287DD9"/>
    <w:rsid w:val="002903A7"/>
    <w:rsid w:val="00291367"/>
    <w:rsid w:val="00291F00"/>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2D9"/>
    <w:rsid w:val="002D3473"/>
    <w:rsid w:val="002D5C86"/>
    <w:rsid w:val="002D6789"/>
    <w:rsid w:val="002D78C5"/>
    <w:rsid w:val="002E7A78"/>
    <w:rsid w:val="002F1956"/>
    <w:rsid w:val="002F1BBB"/>
    <w:rsid w:val="002F3440"/>
    <w:rsid w:val="002F7429"/>
    <w:rsid w:val="002F75A3"/>
    <w:rsid w:val="00301D2B"/>
    <w:rsid w:val="00303C2F"/>
    <w:rsid w:val="00306500"/>
    <w:rsid w:val="00311C49"/>
    <w:rsid w:val="003144EF"/>
    <w:rsid w:val="00314F2E"/>
    <w:rsid w:val="00323167"/>
    <w:rsid w:val="00326292"/>
    <w:rsid w:val="00326415"/>
    <w:rsid w:val="00327AF7"/>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17C1"/>
    <w:rsid w:val="003B3C5F"/>
    <w:rsid w:val="003B433F"/>
    <w:rsid w:val="003B7184"/>
    <w:rsid w:val="003C0F8C"/>
    <w:rsid w:val="003C1190"/>
    <w:rsid w:val="003C3388"/>
    <w:rsid w:val="003C4471"/>
    <w:rsid w:val="003C53FE"/>
    <w:rsid w:val="003D0A6D"/>
    <w:rsid w:val="003D450D"/>
    <w:rsid w:val="003D6B5B"/>
    <w:rsid w:val="003E0B16"/>
    <w:rsid w:val="003E67D1"/>
    <w:rsid w:val="003F316D"/>
    <w:rsid w:val="00404329"/>
    <w:rsid w:val="00405DC1"/>
    <w:rsid w:val="00415F1F"/>
    <w:rsid w:val="004172DA"/>
    <w:rsid w:val="0042108F"/>
    <w:rsid w:val="004248F6"/>
    <w:rsid w:val="00424E73"/>
    <w:rsid w:val="004273B0"/>
    <w:rsid w:val="00430FED"/>
    <w:rsid w:val="00434A8C"/>
    <w:rsid w:val="00435733"/>
    <w:rsid w:val="00437297"/>
    <w:rsid w:val="004375D2"/>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7A9"/>
    <w:rsid w:val="004A7B51"/>
    <w:rsid w:val="004A7D71"/>
    <w:rsid w:val="004A7EF3"/>
    <w:rsid w:val="004B11FD"/>
    <w:rsid w:val="004B23A2"/>
    <w:rsid w:val="004B41E9"/>
    <w:rsid w:val="004C0A0B"/>
    <w:rsid w:val="004D1A5A"/>
    <w:rsid w:val="004D2FFF"/>
    <w:rsid w:val="004D36D5"/>
    <w:rsid w:val="004D3721"/>
    <w:rsid w:val="004D4255"/>
    <w:rsid w:val="004D47C8"/>
    <w:rsid w:val="004D64F9"/>
    <w:rsid w:val="004E1F4B"/>
    <w:rsid w:val="004E3A6B"/>
    <w:rsid w:val="004E4828"/>
    <w:rsid w:val="004E5AF5"/>
    <w:rsid w:val="004E622C"/>
    <w:rsid w:val="004F49B5"/>
    <w:rsid w:val="004F5FDF"/>
    <w:rsid w:val="004F7B99"/>
    <w:rsid w:val="004F7D64"/>
    <w:rsid w:val="00511714"/>
    <w:rsid w:val="00514FCD"/>
    <w:rsid w:val="00515810"/>
    <w:rsid w:val="00515878"/>
    <w:rsid w:val="005177FE"/>
    <w:rsid w:val="005221A0"/>
    <w:rsid w:val="0052263B"/>
    <w:rsid w:val="00523D70"/>
    <w:rsid w:val="00524728"/>
    <w:rsid w:val="00524AC2"/>
    <w:rsid w:val="005331CA"/>
    <w:rsid w:val="005344F8"/>
    <w:rsid w:val="00537970"/>
    <w:rsid w:val="00540E3A"/>
    <w:rsid w:val="00543CCE"/>
    <w:rsid w:val="00544127"/>
    <w:rsid w:val="005463A9"/>
    <w:rsid w:val="00550F85"/>
    <w:rsid w:val="00553EB2"/>
    <w:rsid w:val="00560534"/>
    <w:rsid w:val="0056391B"/>
    <w:rsid w:val="005650E2"/>
    <w:rsid w:val="00567AD7"/>
    <w:rsid w:val="00575B2D"/>
    <w:rsid w:val="00577E7A"/>
    <w:rsid w:val="00580B65"/>
    <w:rsid w:val="005833D0"/>
    <w:rsid w:val="00583D8E"/>
    <w:rsid w:val="005846F3"/>
    <w:rsid w:val="0058622F"/>
    <w:rsid w:val="00587019"/>
    <w:rsid w:val="00592F82"/>
    <w:rsid w:val="005938C6"/>
    <w:rsid w:val="005A0CCA"/>
    <w:rsid w:val="005A6FF2"/>
    <w:rsid w:val="005A726D"/>
    <w:rsid w:val="005B3A56"/>
    <w:rsid w:val="005B67AC"/>
    <w:rsid w:val="005B79F4"/>
    <w:rsid w:val="005C1C1C"/>
    <w:rsid w:val="005C4A6A"/>
    <w:rsid w:val="005D1293"/>
    <w:rsid w:val="005D27A5"/>
    <w:rsid w:val="005D4357"/>
    <w:rsid w:val="005D43E0"/>
    <w:rsid w:val="005D58A3"/>
    <w:rsid w:val="005D6642"/>
    <w:rsid w:val="005E1B79"/>
    <w:rsid w:val="005E3C17"/>
    <w:rsid w:val="005E6076"/>
    <w:rsid w:val="005E7008"/>
    <w:rsid w:val="005F026D"/>
    <w:rsid w:val="005F1B2A"/>
    <w:rsid w:val="005F2AEA"/>
    <w:rsid w:val="005F2D0B"/>
    <w:rsid w:val="005F2FE5"/>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01F5"/>
    <w:rsid w:val="00676285"/>
    <w:rsid w:val="00676F12"/>
    <w:rsid w:val="00677AEB"/>
    <w:rsid w:val="00677EC6"/>
    <w:rsid w:val="00680EF2"/>
    <w:rsid w:val="00682AC0"/>
    <w:rsid w:val="006844A8"/>
    <w:rsid w:val="00687A1D"/>
    <w:rsid w:val="0069730B"/>
    <w:rsid w:val="00697EA1"/>
    <w:rsid w:val="006A2646"/>
    <w:rsid w:val="006A2E34"/>
    <w:rsid w:val="006A42F8"/>
    <w:rsid w:val="006A6530"/>
    <w:rsid w:val="006B3571"/>
    <w:rsid w:val="006B435A"/>
    <w:rsid w:val="006B4C64"/>
    <w:rsid w:val="006C1AD2"/>
    <w:rsid w:val="006C65F4"/>
    <w:rsid w:val="006D337C"/>
    <w:rsid w:val="006D3C9F"/>
    <w:rsid w:val="006D488A"/>
    <w:rsid w:val="006D6BD5"/>
    <w:rsid w:val="006D6C60"/>
    <w:rsid w:val="006E481A"/>
    <w:rsid w:val="006E5298"/>
    <w:rsid w:val="006E7A7C"/>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5B6"/>
    <w:rsid w:val="00741CBF"/>
    <w:rsid w:val="007603F5"/>
    <w:rsid w:val="00763444"/>
    <w:rsid w:val="00764DB0"/>
    <w:rsid w:val="0076764D"/>
    <w:rsid w:val="00767C70"/>
    <w:rsid w:val="0077498C"/>
    <w:rsid w:val="007765E3"/>
    <w:rsid w:val="00776E08"/>
    <w:rsid w:val="00777C53"/>
    <w:rsid w:val="007809BC"/>
    <w:rsid w:val="00784128"/>
    <w:rsid w:val="00787864"/>
    <w:rsid w:val="00787BCC"/>
    <w:rsid w:val="00793173"/>
    <w:rsid w:val="007A1100"/>
    <w:rsid w:val="007A2A33"/>
    <w:rsid w:val="007A379D"/>
    <w:rsid w:val="007A799D"/>
    <w:rsid w:val="007B0809"/>
    <w:rsid w:val="007B1169"/>
    <w:rsid w:val="007B36DF"/>
    <w:rsid w:val="007B5C89"/>
    <w:rsid w:val="007B6E40"/>
    <w:rsid w:val="007C1FCC"/>
    <w:rsid w:val="007C6201"/>
    <w:rsid w:val="007C690E"/>
    <w:rsid w:val="007D0192"/>
    <w:rsid w:val="007D11F3"/>
    <w:rsid w:val="007D23F3"/>
    <w:rsid w:val="007D6135"/>
    <w:rsid w:val="007D7C92"/>
    <w:rsid w:val="007E1154"/>
    <w:rsid w:val="007E1E20"/>
    <w:rsid w:val="007E6BA4"/>
    <w:rsid w:val="007E6F16"/>
    <w:rsid w:val="007F12AB"/>
    <w:rsid w:val="007F41F8"/>
    <w:rsid w:val="007F659B"/>
    <w:rsid w:val="0080454E"/>
    <w:rsid w:val="00804C32"/>
    <w:rsid w:val="00805305"/>
    <w:rsid w:val="00806302"/>
    <w:rsid w:val="00807119"/>
    <w:rsid w:val="00821F0A"/>
    <w:rsid w:val="008239FB"/>
    <w:rsid w:val="0082483F"/>
    <w:rsid w:val="008279C0"/>
    <w:rsid w:val="00832B6B"/>
    <w:rsid w:val="00834F92"/>
    <w:rsid w:val="0083721E"/>
    <w:rsid w:val="00837A43"/>
    <w:rsid w:val="0084077A"/>
    <w:rsid w:val="00842102"/>
    <w:rsid w:val="00853272"/>
    <w:rsid w:val="00855BA7"/>
    <w:rsid w:val="0087109A"/>
    <w:rsid w:val="0087116D"/>
    <w:rsid w:val="008723F3"/>
    <w:rsid w:val="00872711"/>
    <w:rsid w:val="00875912"/>
    <w:rsid w:val="00880027"/>
    <w:rsid w:val="00881DE6"/>
    <w:rsid w:val="008837A6"/>
    <w:rsid w:val="00884643"/>
    <w:rsid w:val="0089145D"/>
    <w:rsid w:val="0089582E"/>
    <w:rsid w:val="00895EF1"/>
    <w:rsid w:val="008963A9"/>
    <w:rsid w:val="008A4DF2"/>
    <w:rsid w:val="008A6CFE"/>
    <w:rsid w:val="008A771D"/>
    <w:rsid w:val="008B03EE"/>
    <w:rsid w:val="008B17DF"/>
    <w:rsid w:val="008B5333"/>
    <w:rsid w:val="008B6223"/>
    <w:rsid w:val="008C45A7"/>
    <w:rsid w:val="008C66E0"/>
    <w:rsid w:val="008D10B6"/>
    <w:rsid w:val="008D7934"/>
    <w:rsid w:val="008E3339"/>
    <w:rsid w:val="008E58C7"/>
    <w:rsid w:val="008F0FCD"/>
    <w:rsid w:val="008F12C7"/>
    <w:rsid w:val="008F20FC"/>
    <w:rsid w:val="008F5FFE"/>
    <w:rsid w:val="00900BBE"/>
    <w:rsid w:val="009017A1"/>
    <w:rsid w:val="00902FA7"/>
    <w:rsid w:val="00905A43"/>
    <w:rsid w:val="00906C11"/>
    <w:rsid w:val="00912C79"/>
    <w:rsid w:val="009160E5"/>
    <w:rsid w:val="00921B8C"/>
    <w:rsid w:val="0092565E"/>
    <w:rsid w:val="0093467C"/>
    <w:rsid w:val="00935386"/>
    <w:rsid w:val="00942123"/>
    <w:rsid w:val="009427E0"/>
    <w:rsid w:val="0095207B"/>
    <w:rsid w:val="009524A8"/>
    <w:rsid w:val="00962045"/>
    <w:rsid w:val="00963D77"/>
    <w:rsid w:val="00965310"/>
    <w:rsid w:val="0097786F"/>
    <w:rsid w:val="00980E61"/>
    <w:rsid w:val="00991428"/>
    <w:rsid w:val="00992676"/>
    <w:rsid w:val="00992EC8"/>
    <w:rsid w:val="009954B2"/>
    <w:rsid w:val="00996691"/>
    <w:rsid w:val="009A2F63"/>
    <w:rsid w:val="009A3196"/>
    <w:rsid w:val="009B0723"/>
    <w:rsid w:val="009B07AD"/>
    <w:rsid w:val="009B0883"/>
    <w:rsid w:val="009B15E2"/>
    <w:rsid w:val="009B4976"/>
    <w:rsid w:val="009B7CAF"/>
    <w:rsid w:val="009C0B8E"/>
    <w:rsid w:val="009C1BC8"/>
    <w:rsid w:val="009C2442"/>
    <w:rsid w:val="009C6AA0"/>
    <w:rsid w:val="009D0811"/>
    <w:rsid w:val="009D0EE1"/>
    <w:rsid w:val="009D5B73"/>
    <w:rsid w:val="009E2AEB"/>
    <w:rsid w:val="009E2E27"/>
    <w:rsid w:val="009E45DF"/>
    <w:rsid w:val="009E4DE3"/>
    <w:rsid w:val="009F275E"/>
    <w:rsid w:val="00A024E7"/>
    <w:rsid w:val="00A047EE"/>
    <w:rsid w:val="00A04D79"/>
    <w:rsid w:val="00A2274A"/>
    <w:rsid w:val="00A235B7"/>
    <w:rsid w:val="00A25A76"/>
    <w:rsid w:val="00A27A7A"/>
    <w:rsid w:val="00A3165E"/>
    <w:rsid w:val="00A34ABE"/>
    <w:rsid w:val="00A407EF"/>
    <w:rsid w:val="00A46B4C"/>
    <w:rsid w:val="00A50997"/>
    <w:rsid w:val="00A5117B"/>
    <w:rsid w:val="00A56D34"/>
    <w:rsid w:val="00A60074"/>
    <w:rsid w:val="00A6313C"/>
    <w:rsid w:val="00A6627C"/>
    <w:rsid w:val="00A66E81"/>
    <w:rsid w:val="00A676C9"/>
    <w:rsid w:val="00A67795"/>
    <w:rsid w:val="00A71019"/>
    <w:rsid w:val="00A75D43"/>
    <w:rsid w:val="00A76D00"/>
    <w:rsid w:val="00A77C98"/>
    <w:rsid w:val="00A81029"/>
    <w:rsid w:val="00A81F08"/>
    <w:rsid w:val="00A82B32"/>
    <w:rsid w:val="00A94F29"/>
    <w:rsid w:val="00A94F58"/>
    <w:rsid w:val="00A95463"/>
    <w:rsid w:val="00A96489"/>
    <w:rsid w:val="00AA0280"/>
    <w:rsid w:val="00AA34A2"/>
    <w:rsid w:val="00AA5078"/>
    <w:rsid w:val="00AA7BE3"/>
    <w:rsid w:val="00AB1B65"/>
    <w:rsid w:val="00AB2425"/>
    <w:rsid w:val="00AB685C"/>
    <w:rsid w:val="00AB6C2D"/>
    <w:rsid w:val="00AC08F7"/>
    <w:rsid w:val="00AC3839"/>
    <w:rsid w:val="00AC7082"/>
    <w:rsid w:val="00AD4BE8"/>
    <w:rsid w:val="00AD5455"/>
    <w:rsid w:val="00AE7C7B"/>
    <w:rsid w:val="00AF228E"/>
    <w:rsid w:val="00B016A8"/>
    <w:rsid w:val="00B01E81"/>
    <w:rsid w:val="00B0209A"/>
    <w:rsid w:val="00B10961"/>
    <w:rsid w:val="00B14819"/>
    <w:rsid w:val="00B15E2F"/>
    <w:rsid w:val="00B17AA9"/>
    <w:rsid w:val="00B27E6E"/>
    <w:rsid w:val="00B44713"/>
    <w:rsid w:val="00B54DF3"/>
    <w:rsid w:val="00B56103"/>
    <w:rsid w:val="00B61C73"/>
    <w:rsid w:val="00B63E83"/>
    <w:rsid w:val="00B64929"/>
    <w:rsid w:val="00B736DF"/>
    <w:rsid w:val="00B743D6"/>
    <w:rsid w:val="00B74FBD"/>
    <w:rsid w:val="00B75FA7"/>
    <w:rsid w:val="00B77B19"/>
    <w:rsid w:val="00B77F46"/>
    <w:rsid w:val="00B82586"/>
    <w:rsid w:val="00B829A3"/>
    <w:rsid w:val="00B849C5"/>
    <w:rsid w:val="00B86DB1"/>
    <w:rsid w:val="00B87869"/>
    <w:rsid w:val="00B9639B"/>
    <w:rsid w:val="00BA3326"/>
    <w:rsid w:val="00BA74EF"/>
    <w:rsid w:val="00BB0F2B"/>
    <w:rsid w:val="00BB2A76"/>
    <w:rsid w:val="00BD4A58"/>
    <w:rsid w:val="00BD7337"/>
    <w:rsid w:val="00BD7BF2"/>
    <w:rsid w:val="00BE2A65"/>
    <w:rsid w:val="00BE4930"/>
    <w:rsid w:val="00BE4FF3"/>
    <w:rsid w:val="00BF0003"/>
    <w:rsid w:val="00BF1B3E"/>
    <w:rsid w:val="00BF4AE0"/>
    <w:rsid w:val="00BF50F7"/>
    <w:rsid w:val="00BF6B84"/>
    <w:rsid w:val="00C02F29"/>
    <w:rsid w:val="00C05A9F"/>
    <w:rsid w:val="00C06CA0"/>
    <w:rsid w:val="00C070D2"/>
    <w:rsid w:val="00C20AFE"/>
    <w:rsid w:val="00C22A25"/>
    <w:rsid w:val="00C24FAB"/>
    <w:rsid w:val="00C256CC"/>
    <w:rsid w:val="00C32CF3"/>
    <w:rsid w:val="00C35671"/>
    <w:rsid w:val="00C35B77"/>
    <w:rsid w:val="00C362AA"/>
    <w:rsid w:val="00C376EB"/>
    <w:rsid w:val="00C4516B"/>
    <w:rsid w:val="00C45256"/>
    <w:rsid w:val="00C452BC"/>
    <w:rsid w:val="00C45C1E"/>
    <w:rsid w:val="00C46A92"/>
    <w:rsid w:val="00C46EC1"/>
    <w:rsid w:val="00C50B31"/>
    <w:rsid w:val="00C51EA5"/>
    <w:rsid w:val="00C52796"/>
    <w:rsid w:val="00C5390D"/>
    <w:rsid w:val="00C5399C"/>
    <w:rsid w:val="00C53E2C"/>
    <w:rsid w:val="00C550C8"/>
    <w:rsid w:val="00C56B61"/>
    <w:rsid w:val="00C606C3"/>
    <w:rsid w:val="00C620F4"/>
    <w:rsid w:val="00C637DC"/>
    <w:rsid w:val="00C651D6"/>
    <w:rsid w:val="00C72848"/>
    <w:rsid w:val="00C73B97"/>
    <w:rsid w:val="00C7736C"/>
    <w:rsid w:val="00C77891"/>
    <w:rsid w:val="00C819D3"/>
    <w:rsid w:val="00C82D87"/>
    <w:rsid w:val="00C8318D"/>
    <w:rsid w:val="00C8695A"/>
    <w:rsid w:val="00C8712A"/>
    <w:rsid w:val="00C87E0A"/>
    <w:rsid w:val="00C902C8"/>
    <w:rsid w:val="00C919D1"/>
    <w:rsid w:val="00C963D3"/>
    <w:rsid w:val="00CA4372"/>
    <w:rsid w:val="00CB1983"/>
    <w:rsid w:val="00CB1F1E"/>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11A0"/>
    <w:rsid w:val="00D02E36"/>
    <w:rsid w:val="00D041E0"/>
    <w:rsid w:val="00D04AFE"/>
    <w:rsid w:val="00D11729"/>
    <w:rsid w:val="00D14336"/>
    <w:rsid w:val="00D148DC"/>
    <w:rsid w:val="00D17FDC"/>
    <w:rsid w:val="00D21021"/>
    <w:rsid w:val="00D21D8C"/>
    <w:rsid w:val="00D221F8"/>
    <w:rsid w:val="00D2621C"/>
    <w:rsid w:val="00D31528"/>
    <w:rsid w:val="00D316F2"/>
    <w:rsid w:val="00D34584"/>
    <w:rsid w:val="00D34FAF"/>
    <w:rsid w:val="00D51F40"/>
    <w:rsid w:val="00D53719"/>
    <w:rsid w:val="00D61CC1"/>
    <w:rsid w:val="00D6273C"/>
    <w:rsid w:val="00D63EFD"/>
    <w:rsid w:val="00D7456A"/>
    <w:rsid w:val="00D844FA"/>
    <w:rsid w:val="00D84752"/>
    <w:rsid w:val="00D85559"/>
    <w:rsid w:val="00D85AF6"/>
    <w:rsid w:val="00D86B3B"/>
    <w:rsid w:val="00D8748A"/>
    <w:rsid w:val="00D900A9"/>
    <w:rsid w:val="00D92F30"/>
    <w:rsid w:val="00D93196"/>
    <w:rsid w:val="00D9565D"/>
    <w:rsid w:val="00DA0DC0"/>
    <w:rsid w:val="00DA1213"/>
    <w:rsid w:val="00DA1D45"/>
    <w:rsid w:val="00DA3026"/>
    <w:rsid w:val="00DA575E"/>
    <w:rsid w:val="00DB243C"/>
    <w:rsid w:val="00DB482A"/>
    <w:rsid w:val="00DB50FB"/>
    <w:rsid w:val="00DB56F2"/>
    <w:rsid w:val="00DB6EF5"/>
    <w:rsid w:val="00DC3089"/>
    <w:rsid w:val="00DC359F"/>
    <w:rsid w:val="00DC4420"/>
    <w:rsid w:val="00DC4AB9"/>
    <w:rsid w:val="00DC73DF"/>
    <w:rsid w:val="00DD0802"/>
    <w:rsid w:val="00DD2E11"/>
    <w:rsid w:val="00DE03AF"/>
    <w:rsid w:val="00DE121C"/>
    <w:rsid w:val="00DE2451"/>
    <w:rsid w:val="00DE5357"/>
    <w:rsid w:val="00DE6633"/>
    <w:rsid w:val="00DE7E9B"/>
    <w:rsid w:val="00DF158F"/>
    <w:rsid w:val="00DF5F7C"/>
    <w:rsid w:val="00DF75F8"/>
    <w:rsid w:val="00DF7A3A"/>
    <w:rsid w:val="00E00C00"/>
    <w:rsid w:val="00E01803"/>
    <w:rsid w:val="00E07C5A"/>
    <w:rsid w:val="00E15ACE"/>
    <w:rsid w:val="00E15BA9"/>
    <w:rsid w:val="00E239B8"/>
    <w:rsid w:val="00E252E9"/>
    <w:rsid w:val="00E26E10"/>
    <w:rsid w:val="00E26E19"/>
    <w:rsid w:val="00E30E60"/>
    <w:rsid w:val="00E31DF3"/>
    <w:rsid w:val="00E40EE5"/>
    <w:rsid w:val="00E421C6"/>
    <w:rsid w:val="00E450A4"/>
    <w:rsid w:val="00E506BE"/>
    <w:rsid w:val="00E55547"/>
    <w:rsid w:val="00E6302B"/>
    <w:rsid w:val="00E6452F"/>
    <w:rsid w:val="00E64F45"/>
    <w:rsid w:val="00E650F6"/>
    <w:rsid w:val="00E6742D"/>
    <w:rsid w:val="00E71CB0"/>
    <w:rsid w:val="00E77C3D"/>
    <w:rsid w:val="00E90991"/>
    <w:rsid w:val="00E909F0"/>
    <w:rsid w:val="00E90D47"/>
    <w:rsid w:val="00E91BE5"/>
    <w:rsid w:val="00E93993"/>
    <w:rsid w:val="00E9597C"/>
    <w:rsid w:val="00EA0913"/>
    <w:rsid w:val="00EA1DED"/>
    <w:rsid w:val="00EA5B00"/>
    <w:rsid w:val="00EA78AC"/>
    <w:rsid w:val="00EB146B"/>
    <w:rsid w:val="00EB45AC"/>
    <w:rsid w:val="00EB5D6F"/>
    <w:rsid w:val="00EC441F"/>
    <w:rsid w:val="00EC4755"/>
    <w:rsid w:val="00EC48D0"/>
    <w:rsid w:val="00EC6918"/>
    <w:rsid w:val="00ED0181"/>
    <w:rsid w:val="00ED0BC4"/>
    <w:rsid w:val="00ED447D"/>
    <w:rsid w:val="00ED738F"/>
    <w:rsid w:val="00ED74BC"/>
    <w:rsid w:val="00ED7BF3"/>
    <w:rsid w:val="00EE0B01"/>
    <w:rsid w:val="00EE0EBE"/>
    <w:rsid w:val="00EE1EBC"/>
    <w:rsid w:val="00EE4971"/>
    <w:rsid w:val="00EF090E"/>
    <w:rsid w:val="00EF37CB"/>
    <w:rsid w:val="00EF5572"/>
    <w:rsid w:val="00F033DA"/>
    <w:rsid w:val="00F13691"/>
    <w:rsid w:val="00F13FB1"/>
    <w:rsid w:val="00F20365"/>
    <w:rsid w:val="00F26F78"/>
    <w:rsid w:val="00F27CD8"/>
    <w:rsid w:val="00F30351"/>
    <w:rsid w:val="00F3323E"/>
    <w:rsid w:val="00F341F4"/>
    <w:rsid w:val="00F346B7"/>
    <w:rsid w:val="00F34B82"/>
    <w:rsid w:val="00F34F9D"/>
    <w:rsid w:val="00F35618"/>
    <w:rsid w:val="00F35CCE"/>
    <w:rsid w:val="00F418CA"/>
    <w:rsid w:val="00F5524B"/>
    <w:rsid w:val="00F60538"/>
    <w:rsid w:val="00F61DD2"/>
    <w:rsid w:val="00F63187"/>
    <w:rsid w:val="00F65A24"/>
    <w:rsid w:val="00F66AFF"/>
    <w:rsid w:val="00F71246"/>
    <w:rsid w:val="00F71433"/>
    <w:rsid w:val="00F71717"/>
    <w:rsid w:val="00F731A8"/>
    <w:rsid w:val="00F77B97"/>
    <w:rsid w:val="00F82E81"/>
    <w:rsid w:val="00F84311"/>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11</Pages>
  <Words>4671</Words>
  <Characters>23827</Characters>
  <Application>Microsoft Office Word</Application>
  <DocSecurity>0</DocSecurity>
  <Lines>541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Rivett</cp:lastModifiedBy>
  <cp:revision>166</cp:revision>
  <cp:lastPrinted>2019-08-27T05:42:00Z</cp:lastPrinted>
  <dcterms:created xsi:type="dcterms:W3CDTF">2024-06-07T12:55:00Z</dcterms:created>
  <dcterms:modified xsi:type="dcterms:W3CDTF">2024-06-12T18:30:00Z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WG 16 FCIIL Summative Assessment (Module 3A) March 2024-12/06/2024</vt:lpwstr>
  </property>
  <property fmtid="{D5CDD505-2E9C-101B-9397-08002B2CF9AE}" pid="3" name="DocXFormat">
    <vt:lpwstr>FILE-DATE</vt:lpwstr>
  </property>
  <property fmtid="{D5CDD505-2E9C-101B-9397-08002B2CF9AE}" pid="4" name="DocXLocation">
    <vt:lpwstr>EveryPage</vt:lpwstr>
  </property>
</Properties>
</file>