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07EF8" w14:textId="77777777" w:rsidR="000A7286" w:rsidRPr="009B0CE9" w:rsidRDefault="000A7286" w:rsidP="000A7286">
      <w:pPr>
        <w:spacing w:line="360" w:lineRule="auto"/>
        <w:jc w:val="both"/>
        <w:rPr>
          <w:rFonts w:ascii="Arial" w:hAnsi="Arial" w:cs="Arial"/>
          <w:b/>
          <w:bCs/>
          <w:sz w:val="36"/>
          <w:szCs w:val="36"/>
        </w:rPr>
      </w:pPr>
      <w:r w:rsidRPr="009B0CE9">
        <w:rPr>
          <w:rFonts w:ascii="Arial" w:hAnsi="Arial" w:cs="Arial"/>
          <w:b/>
          <w:bCs/>
          <w:sz w:val="36"/>
          <w:szCs w:val="36"/>
        </w:rPr>
        <w:t>Universalism is dead. Long live modified universalism.</w:t>
      </w:r>
    </w:p>
    <w:p w14:paraId="6513B567" w14:textId="77777777" w:rsidR="000A7286" w:rsidRPr="009B1B3D" w:rsidRDefault="000A7286" w:rsidP="000A7286">
      <w:pPr>
        <w:spacing w:line="360" w:lineRule="auto"/>
        <w:jc w:val="both"/>
        <w:rPr>
          <w:rFonts w:ascii="Arial" w:hAnsi="Arial" w:cs="Arial"/>
          <w:b/>
          <w:bCs/>
          <w:sz w:val="26"/>
          <w:szCs w:val="26"/>
        </w:rPr>
      </w:pPr>
      <w:r w:rsidRPr="009B1B3D">
        <w:rPr>
          <w:rFonts w:ascii="Arial" w:hAnsi="Arial" w:cs="Arial"/>
          <w:b/>
          <w:bCs/>
          <w:sz w:val="26"/>
          <w:szCs w:val="26"/>
        </w:rPr>
        <w:t>The extent to which the principle of universalism still applies in the common law: An analysis by reference to English and Cayman Islands law.</w:t>
      </w:r>
    </w:p>
    <w:p w14:paraId="40230AEF" w14:textId="77777777" w:rsidR="000A7286" w:rsidRPr="00B168E0" w:rsidRDefault="000A7286" w:rsidP="000A7286">
      <w:pPr>
        <w:spacing w:line="360" w:lineRule="auto"/>
        <w:jc w:val="both"/>
        <w:rPr>
          <w:rFonts w:ascii="Arial" w:hAnsi="Arial" w:cs="Arial"/>
          <w:b/>
          <w:bCs/>
        </w:rPr>
      </w:pPr>
    </w:p>
    <w:p w14:paraId="1B67367D" w14:textId="77777777" w:rsidR="000A7286" w:rsidRPr="00B168E0" w:rsidRDefault="000A7286" w:rsidP="000A7286">
      <w:pPr>
        <w:spacing w:line="360" w:lineRule="auto"/>
        <w:jc w:val="both"/>
        <w:rPr>
          <w:rFonts w:ascii="Arial" w:hAnsi="Arial" w:cs="Arial"/>
          <w:b/>
          <w:bCs/>
        </w:rPr>
      </w:pPr>
      <w:r w:rsidRPr="00B168E0">
        <w:rPr>
          <w:rFonts w:ascii="Arial" w:hAnsi="Arial" w:cs="Arial"/>
          <w:b/>
          <w:bCs/>
        </w:rPr>
        <w:t>TABLE OF CONTENTS</w:t>
      </w:r>
    </w:p>
    <w:p w14:paraId="61A20DB5" w14:textId="77777777" w:rsidR="000A7286" w:rsidRPr="00B168E0" w:rsidRDefault="000A7286" w:rsidP="000A7286">
      <w:pPr>
        <w:spacing w:line="360" w:lineRule="auto"/>
        <w:jc w:val="both"/>
        <w:rPr>
          <w:rFonts w:ascii="Arial" w:hAnsi="Arial" w:cs="Arial"/>
          <w:b/>
          <w:bCs/>
        </w:rPr>
      </w:pPr>
    </w:p>
    <w:p w14:paraId="609AE637" w14:textId="3798CB1E" w:rsidR="007D3175" w:rsidRDefault="000A7286">
      <w:pPr>
        <w:pStyle w:val="TOC1"/>
        <w:tabs>
          <w:tab w:val="left" w:pos="480"/>
          <w:tab w:val="right" w:leader="dot" w:pos="9350"/>
        </w:tabs>
        <w:rPr>
          <w:rFonts w:asciiTheme="minorHAnsi" w:eastAsiaTheme="minorEastAsia" w:hAnsiTheme="minorHAnsi" w:cstheme="minorBidi"/>
          <w:noProof/>
          <w:kern w:val="2"/>
          <w:sz w:val="24"/>
          <w:szCs w:val="24"/>
        </w:rPr>
      </w:pPr>
      <w:r w:rsidRPr="00B168E0">
        <w:rPr>
          <w:rFonts w:ascii="Arial" w:hAnsi="Arial" w:cs="Arial"/>
          <w:b/>
          <w:bCs/>
        </w:rPr>
        <w:fldChar w:fldCharType="begin"/>
      </w:r>
      <w:r w:rsidRPr="00B168E0">
        <w:rPr>
          <w:rFonts w:ascii="Arial" w:hAnsi="Arial" w:cs="Arial"/>
          <w:b/>
          <w:bCs/>
        </w:rPr>
        <w:instrText xml:space="preserve"> TOC \o "1-3" \h \z \u </w:instrText>
      </w:r>
      <w:r w:rsidRPr="00B168E0">
        <w:rPr>
          <w:rFonts w:ascii="Arial" w:hAnsi="Arial" w:cs="Arial"/>
          <w:b/>
          <w:bCs/>
        </w:rPr>
        <w:fldChar w:fldCharType="separate"/>
      </w:r>
      <w:hyperlink w:anchor="_Toc164722697" w:history="1">
        <w:r w:rsidR="007D3175" w:rsidRPr="009324DE">
          <w:rPr>
            <w:rStyle w:val="Hyperlink"/>
            <w:rFonts w:cs="Arial"/>
            <w:noProof/>
          </w:rPr>
          <w:t>1.</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INTRODUCTION</w:t>
        </w:r>
        <w:r w:rsidR="007D3175">
          <w:rPr>
            <w:noProof/>
            <w:webHidden/>
          </w:rPr>
          <w:tab/>
        </w:r>
        <w:r w:rsidR="007D3175">
          <w:rPr>
            <w:noProof/>
            <w:webHidden/>
          </w:rPr>
          <w:fldChar w:fldCharType="begin"/>
        </w:r>
        <w:r w:rsidR="007D3175">
          <w:rPr>
            <w:noProof/>
            <w:webHidden/>
          </w:rPr>
          <w:instrText xml:space="preserve"> PAGEREF _Toc164722697 \h </w:instrText>
        </w:r>
        <w:r w:rsidR="007D3175">
          <w:rPr>
            <w:noProof/>
            <w:webHidden/>
          </w:rPr>
        </w:r>
        <w:r w:rsidR="007D3175">
          <w:rPr>
            <w:noProof/>
            <w:webHidden/>
          </w:rPr>
          <w:fldChar w:fldCharType="separate"/>
        </w:r>
        <w:r w:rsidR="007D3175">
          <w:rPr>
            <w:noProof/>
            <w:webHidden/>
          </w:rPr>
          <w:t>1</w:t>
        </w:r>
        <w:r w:rsidR="007D3175">
          <w:rPr>
            <w:noProof/>
            <w:webHidden/>
          </w:rPr>
          <w:fldChar w:fldCharType="end"/>
        </w:r>
      </w:hyperlink>
    </w:p>
    <w:p w14:paraId="317EBAF3" w14:textId="26B0A90B"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698" w:history="1">
        <w:r w:rsidR="007D3175" w:rsidRPr="009324DE">
          <w:rPr>
            <w:rStyle w:val="Hyperlink"/>
            <w:rFonts w:cs="Arial"/>
            <w:noProof/>
          </w:rPr>
          <w:t>2.</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THE THEORY</w:t>
        </w:r>
        <w:r w:rsidR="007D3175">
          <w:rPr>
            <w:noProof/>
            <w:webHidden/>
          </w:rPr>
          <w:tab/>
        </w:r>
        <w:r w:rsidR="007D3175">
          <w:rPr>
            <w:noProof/>
            <w:webHidden/>
          </w:rPr>
          <w:fldChar w:fldCharType="begin"/>
        </w:r>
        <w:r w:rsidR="007D3175">
          <w:rPr>
            <w:noProof/>
            <w:webHidden/>
          </w:rPr>
          <w:instrText xml:space="preserve"> PAGEREF _Toc164722698 \h </w:instrText>
        </w:r>
        <w:r w:rsidR="007D3175">
          <w:rPr>
            <w:noProof/>
            <w:webHidden/>
          </w:rPr>
        </w:r>
        <w:r w:rsidR="007D3175">
          <w:rPr>
            <w:noProof/>
            <w:webHidden/>
          </w:rPr>
          <w:fldChar w:fldCharType="separate"/>
        </w:r>
        <w:r w:rsidR="007D3175">
          <w:rPr>
            <w:noProof/>
            <w:webHidden/>
          </w:rPr>
          <w:t>2</w:t>
        </w:r>
        <w:r w:rsidR="007D3175">
          <w:rPr>
            <w:noProof/>
            <w:webHidden/>
          </w:rPr>
          <w:fldChar w:fldCharType="end"/>
        </w:r>
      </w:hyperlink>
    </w:p>
    <w:p w14:paraId="65D6D67D" w14:textId="2B7158BE"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699" w:history="1">
        <w:r w:rsidR="007D3175" w:rsidRPr="009324DE">
          <w:rPr>
            <w:rStyle w:val="Hyperlink"/>
            <w:rFonts w:cs="Arial"/>
            <w:noProof/>
          </w:rPr>
          <w:t>3.</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IMPLEMENTATION AND DEVELOPMENT</w:t>
        </w:r>
        <w:r w:rsidR="007D3175">
          <w:rPr>
            <w:noProof/>
            <w:webHidden/>
          </w:rPr>
          <w:tab/>
        </w:r>
        <w:r w:rsidR="007D3175">
          <w:rPr>
            <w:noProof/>
            <w:webHidden/>
          </w:rPr>
          <w:fldChar w:fldCharType="begin"/>
        </w:r>
        <w:r w:rsidR="007D3175">
          <w:rPr>
            <w:noProof/>
            <w:webHidden/>
          </w:rPr>
          <w:instrText xml:space="preserve"> PAGEREF _Toc164722699 \h </w:instrText>
        </w:r>
        <w:r w:rsidR="007D3175">
          <w:rPr>
            <w:noProof/>
            <w:webHidden/>
          </w:rPr>
        </w:r>
        <w:r w:rsidR="007D3175">
          <w:rPr>
            <w:noProof/>
            <w:webHidden/>
          </w:rPr>
          <w:fldChar w:fldCharType="separate"/>
        </w:r>
        <w:r w:rsidR="007D3175">
          <w:rPr>
            <w:noProof/>
            <w:webHidden/>
          </w:rPr>
          <w:t>3</w:t>
        </w:r>
        <w:r w:rsidR="007D3175">
          <w:rPr>
            <w:noProof/>
            <w:webHidden/>
          </w:rPr>
          <w:fldChar w:fldCharType="end"/>
        </w:r>
      </w:hyperlink>
    </w:p>
    <w:p w14:paraId="7DEF6DEC" w14:textId="7E7F29A3" w:rsidR="007D3175" w:rsidRDefault="00CF6CEF" w:rsidP="007D3175">
      <w:pPr>
        <w:pStyle w:val="TOC2"/>
        <w:ind w:left="450"/>
        <w:rPr>
          <w:rFonts w:asciiTheme="minorHAnsi" w:eastAsiaTheme="minorEastAsia" w:hAnsiTheme="minorHAnsi" w:cstheme="minorBidi"/>
          <w:noProof/>
          <w:kern w:val="2"/>
          <w:sz w:val="24"/>
          <w:szCs w:val="24"/>
        </w:rPr>
      </w:pPr>
      <w:hyperlink w:anchor="_Toc164722700" w:history="1">
        <w:r w:rsidR="007D3175" w:rsidRPr="009324DE">
          <w:rPr>
            <w:rStyle w:val="Hyperlink"/>
            <w:rFonts w:cs="Arial"/>
            <w:noProof/>
          </w:rPr>
          <w:t>Early examples</w:t>
        </w:r>
        <w:r w:rsidR="007D3175">
          <w:rPr>
            <w:noProof/>
            <w:webHidden/>
          </w:rPr>
          <w:tab/>
        </w:r>
        <w:r w:rsidR="007D3175">
          <w:rPr>
            <w:noProof/>
            <w:webHidden/>
          </w:rPr>
          <w:fldChar w:fldCharType="begin"/>
        </w:r>
        <w:r w:rsidR="007D3175">
          <w:rPr>
            <w:noProof/>
            <w:webHidden/>
          </w:rPr>
          <w:instrText xml:space="preserve"> PAGEREF _Toc164722700 \h </w:instrText>
        </w:r>
        <w:r w:rsidR="007D3175">
          <w:rPr>
            <w:noProof/>
            <w:webHidden/>
          </w:rPr>
        </w:r>
        <w:r w:rsidR="007D3175">
          <w:rPr>
            <w:noProof/>
            <w:webHidden/>
          </w:rPr>
          <w:fldChar w:fldCharType="separate"/>
        </w:r>
        <w:r w:rsidR="007D3175">
          <w:rPr>
            <w:noProof/>
            <w:webHidden/>
          </w:rPr>
          <w:t>3</w:t>
        </w:r>
        <w:r w:rsidR="007D3175">
          <w:rPr>
            <w:noProof/>
            <w:webHidden/>
          </w:rPr>
          <w:fldChar w:fldCharType="end"/>
        </w:r>
      </w:hyperlink>
    </w:p>
    <w:p w14:paraId="6558E1E1" w14:textId="2B824A28" w:rsidR="007D3175" w:rsidRDefault="00CF6CEF" w:rsidP="007D3175">
      <w:pPr>
        <w:pStyle w:val="TOC2"/>
        <w:ind w:left="450"/>
        <w:rPr>
          <w:rFonts w:asciiTheme="minorHAnsi" w:eastAsiaTheme="minorEastAsia" w:hAnsiTheme="minorHAnsi" w:cstheme="minorBidi"/>
          <w:noProof/>
          <w:kern w:val="2"/>
          <w:sz w:val="24"/>
          <w:szCs w:val="24"/>
        </w:rPr>
      </w:pPr>
      <w:hyperlink w:anchor="_Toc164722701" w:history="1">
        <w:r w:rsidR="007D3175" w:rsidRPr="009324DE">
          <w:rPr>
            <w:rStyle w:val="Hyperlink"/>
            <w:rFonts w:cs="Arial"/>
            <w:noProof/>
          </w:rPr>
          <w:t>The rise of legislation and the “arrested development” of the common law in England</w:t>
        </w:r>
        <w:r w:rsidR="007D3175">
          <w:rPr>
            <w:noProof/>
            <w:webHidden/>
          </w:rPr>
          <w:tab/>
        </w:r>
        <w:r w:rsidR="007D3175">
          <w:rPr>
            <w:noProof/>
            <w:webHidden/>
          </w:rPr>
          <w:fldChar w:fldCharType="begin"/>
        </w:r>
        <w:r w:rsidR="007D3175">
          <w:rPr>
            <w:noProof/>
            <w:webHidden/>
          </w:rPr>
          <w:instrText xml:space="preserve"> PAGEREF _Toc164722701 \h </w:instrText>
        </w:r>
        <w:r w:rsidR="007D3175">
          <w:rPr>
            <w:noProof/>
            <w:webHidden/>
          </w:rPr>
        </w:r>
        <w:r w:rsidR="007D3175">
          <w:rPr>
            <w:noProof/>
            <w:webHidden/>
          </w:rPr>
          <w:fldChar w:fldCharType="separate"/>
        </w:r>
        <w:r w:rsidR="007D3175">
          <w:rPr>
            <w:noProof/>
            <w:webHidden/>
          </w:rPr>
          <w:t>4</w:t>
        </w:r>
        <w:r w:rsidR="007D3175">
          <w:rPr>
            <w:noProof/>
            <w:webHidden/>
          </w:rPr>
          <w:fldChar w:fldCharType="end"/>
        </w:r>
      </w:hyperlink>
    </w:p>
    <w:p w14:paraId="1DDE6B5A" w14:textId="18071843" w:rsidR="007D3175" w:rsidRDefault="00CF6CEF" w:rsidP="007D3175">
      <w:pPr>
        <w:pStyle w:val="TOC2"/>
        <w:ind w:left="450"/>
        <w:rPr>
          <w:rFonts w:asciiTheme="minorHAnsi" w:eastAsiaTheme="minorEastAsia" w:hAnsiTheme="minorHAnsi" w:cstheme="minorBidi"/>
          <w:noProof/>
          <w:kern w:val="2"/>
          <w:sz w:val="24"/>
          <w:szCs w:val="24"/>
        </w:rPr>
      </w:pPr>
      <w:hyperlink w:anchor="_Toc164722702" w:history="1">
        <w:r w:rsidR="007D3175" w:rsidRPr="009324DE">
          <w:rPr>
            <w:rStyle w:val="Hyperlink"/>
            <w:rFonts w:cs="Arial"/>
            <w:noProof/>
          </w:rPr>
          <w:t>The limited legislation in Cayman</w:t>
        </w:r>
        <w:r w:rsidR="007D3175">
          <w:rPr>
            <w:noProof/>
            <w:webHidden/>
          </w:rPr>
          <w:tab/>
        </w:r>
        <w:r w:rsidR="007D3175">
          <w:rPr>
            <w:noProof/>
            <w:webHidden/>
          </w:rPr>
          <w:fldChar w:fldCharType="begin"/>
        </w:r>
        <w:r w:rsidR="007D3175">
          <w:rPr>
            <w:noProof/>
            <w:webHidden/>
          </w:rPr>
          <w:instrText xml:space="preserve"> PAGEREF _Toc164722702 \h </w:instrText>
        </w:r>
        <w:r w:rsidR="007D3175">
          <w:rPr>
            <w:noProof/>
            <w:webHidden/>
          </w:rPr>
        </w:r>
        <w:r w:rsidR="007D3175">
          <w:rPr>
            <w:noProof/>
            <w:webHidden/>
          </w:rPr>
          <w:fldChar w:fldCharType="separate"/>
        </w:r>
        <w:r w:rsidR="007D3175">
          <w:rPr>
            <w:noProof/>
            <w:webHidden/>
          </w:rPr>
          <w:t>4</w:t>
        </w:r>
        <w:r w:rsidR="007D3175">
          <w:rPr>
            <w:noProof/>
            <w:webHidden/>
          </w:rPr>
          <w:fldChar w:fldCharType="end"/>
        </w:r>
      </w:hyperlink>
    </w:p>
    <w:p w14:paraId="78C923C6" w14:textId="04F368EB" w:rsidR="007D3175" w:rsidRDefault="00CF6CEF" w:rsidP="007D3175">
      <w:pPr>
        <w:pStyle w:val="TOC2"/>
        <w:ind w:left="450"/>
        <w:rPr>
          <w:rFonts w:asciiTheme="minorHAnsi" w:eastAsiaTheme="minorEastAsia" w:hAnsiTheme="minorHAnsi" w:cstheme="minorBidi"/>
          <w:noProof/>
          <w:kern w:val="2"/>
          <w:sz w:val="24"/>
          <w:szCs w:val="24"/>
        </w:rPr>
      </w:pPr>
      <w:hyperlink w:anchor="_Toc164722703" w:history="1">
        <w:r w:rsidR="007D3175" w:rsidRPr="009324DE">
          <w:rPr>
            <w:rStyle w:val="Hyperlink"/>
            <w:rFonts w:cs="Arial"/>
            <w:noProof/>
          </w:rPr>
          <w:t>Cambridge Gas – Crossing the Rubicon to an extreme version of the principle of universality?</w:t>
        </w:r>
        <w:r w:rsidR="007D3175">
          <w:rPr>
            <w:noProof/>
            <w:webHidden/>
          </w:rPr>
          <w:tab/>
        </w:r>
        <w:r w:rsidR="007D3175">
          <w:rPr>
            <w:noProof/>
            <w:webHidden/>
          </w:rPr>
          <w:fldChar w:fldCharType="begin"/>
        </w:r>
        <w:r w:rsidR="007D3175">
          <w:rPr>
            <w:noProof/>
            <w:webHidden/>
          </w:rPr>
          <w:instrText xml:space="preserve"> PAGEREF _Toc164722703 \h </w:instrText>
        </w:r>
        <w:r w:rsidR="007D3175">
          <w:rPr>
            <w:noProof/>
            <w:webHidden/>
          </w:rPr>
        </w:r>
        <w:r w:rsidR="007D3175">
          <w:rPr>
            <w:noProof/>
            <w:webHidden/>
          </w:rPr>
          <w:fldChar w:fldCharType="separate"/>
        </w:r>
        <w:r w:rsidR="007D3175">
          <w:rPr>
            <w:noProof/>
            <w:webHidden/>
          </w:rPr>
          <w:t>5</w:t>
        </w:r>
        <w:r w:rsidR="007D3175">
          <w:rPr>
            <w:noProof/>
            <w:webHidden/>
          </w:rPr>
          <w:fldChar w:fldCharType="end"/>
        </w:r>
      </w:hyperlink>
    </w:p>
    <w:p w14:paraId="576E5917" w14:textId="52CE8EE2" w:rsidR="007D3175" w:rsidRDefault="00CF6CEF" w:rsidP="007D3175">
      <w:pPr>
        <w:pStyle w:val="TOC2"/>
        <w:ind w:left="450"/>
        <w:rPr>
          <w:rFonts w:asciiTheme="minorHAnsi" w:eastAsiaTheme="minorEastAsia" w:hAnsiTheme="minorHAnsi" w:cstheme="minorBidi"/>
          <w:noProof/>
          <w:kern w:val="2"/>
          <w:sz w:val="24"/>
          <w:szCs w:val="24"/>
        </w:rPr>
      </w:pPr>
      <w:hyperlink w:anchor="_Toc164722704" w:history="1">
        <w:r w:rsidR="007D3175" w:rsidRPr="009324DE">
          <w:rPr>
            <w:rStyle w:val="Hyperlink"/>
            <w:rFonts w:cs="Arial"/>
            <w:noProof/>
          </w:rPr>
          <w:t>HIH: Modified universalism prevails in England – albeit in the context of the legislative regime</w:t>
        </w:r>
        <w:r w:rsidR="007D3175">
          <w:rPr>
            <w:noProof/>
            <w:webHidden/>
          </w:rPr>
          <w:tab/>
        </w:r>
        <w:r w:rsidR="007D3175">
          <w:rPr>
            <w:noProof/>
            <w:webHidden/>
          </w:rPr>
          <w:fldChar w:fldCharType="begin"/>
        </w:r>
        <w:r w:rsidR="007D3175">
          <w:rPr>
            <w:noProof/>
            <w:webHidden/>
          </w:rPr>
          <w:instrText xml:space="preserve"> PAGEREF _Toc164722704 \h </w:instrText>
        </w:r>
        <w:r w:rsidR="007D3175">
          <w:rPr>
            <w:noProof/>
            <w:webHidden/>
          </w:rPr>
        </w:r>
        <w:r w:rsidR="007D3175">
          <w:rPr>
            <w:noProof/>
            <w:webHidden/>
          </w:rPr>
          <w:fldChar w:fldCharType="separate"/>
        </w:r>
        <w:r w:rsidR="007D3175">
          <w:rPr>
            <w:noProof/>
            <w:webHidden/>
          </w:rPr>
          <w:t>7</w:t>
        </w:r>
        <w:r w:rsidR="007D3175">
          <w:rPr>
            <w:noProof/>
            <w:webHidden/>
          </w:rPr>
          <w:fldChar w:fldCharType="end"/>
        </w:r>
      </w:hyperlink>
    </w:p>
    <w:p w14:paraId="3F5CB26E" w14:textId="2F42CA44" w:rsidR="007D3175" w:rsidRDefault="00CF6CEF" w:rsidP="007D3175">
      <w:pPr>
        <w:pStyle w:val="TOC2"/>
        <w:ind w:left="450"/>
        <w:rPr>
          <w:rFonts w:asciiTheme="minorHAnsi" w:eastAsiaTheme="minorEastAsia" w:hAnsiTheme="minorHAnsi" w:cstheme="minorBidi"/>
          <w:noProof/>
          <w:kern w:val="2"/>
          <w:sz w:val="24"/>
          <w:szCs w:val="24"/>
        </w:rPr>
      </w:pPr>
      <w:hyperlink w:anchor="_Toc164722705" w:history="1">
        <w:r w:rsidR="007D3175" w:rsidRPr="009324DE">
          <w:rPr>
            <w:rStyle w:val="Hyperlink"/>
            <w:rFonts w:cs="Arial"/>
            <w:noProof/>
          </w:rPr>
          <w:t>Cayman embraces Cambridge Gas</w:t>
        </w:r>
        <w:r w:rsidR="007D3175">
          <w:rPr>
            <w:noProof/>
            <w:webHidden/>
          </w:rPr>
          <w:tab/>
        </w:r>
        <w:r w:rsidR="007D3175">
          <w:rPr>
            <w:noProof/>
            <w:webHidden/>
          </w:rPr>
          <w:fldChar w:fldCharType="begin"/>
        </w:r>
        <w:r w:rsidR="007D3175">
          <w:rPr>
            <w:noProof/>
            <w:webHidden/>
          </w:rPr>
          <w:instrText xml:space="preserve"> PAGEREF _Toc164722705 \h </w:instrText>
        </w:r>
        <w:r w:rsidR="007D3175">
          <w:rPr>
            <w:noProof/>
            <w:webHidden/>
          </w:rPr>
        </w:r>
        <w:r w:rsidR="007D3175">
          <w:rPr>
            <w:noProof/>
            <w:webHidden/>
          </w:rPr>
          <w:fldChar w:fldCharType="separate"/>
        </w:r>
        <w:r w:rsidR="007D3175">
          <w:rPr>
            <w:noProof/>
            <w:webHidden/>
          </w:rPr>
          <w:t>9</w:t>
        </w:r>
        <w:r w:rsidR="007D3175">
          <w:rPr>
            <w:noProof/>
            <w:webHidden/>
          </w:rPr>
          <w:fldChar w:fldCharType="end"/>
        </w:r>
      </w:hyperlink>
    </w:p>
    <w:p w14:paraId="6235EF17" w14:textId="174186C0" w:rsidR="007D3175" w:rsidRDefault="00CF6CEF" w:rsidP="007D3175">
      <w:pPr>
        <w:pStyle w:val="TOC2"/>
        <w:ind w:left="450"/>
        <w:rPr>
          <w:rFonts w:asciiTheme="minorHAnsi" w:eastAsiaTheme="minorEastAsia" w:hAnsiTheme="minorHAnsi" w:cstheme="minorBidi"/>
          <w:noProof/>
          <w:kern w:val="2"/>
          <w:sz w:val="24"/>
          <w:szCs w:val="24"/>
        </w:rPr>
      </w:pPr>
      <w:hyperlink w:anchor="_Toc164722706" w:history="1">
        <w:r w:rsidR="007D3175" w:rsidRPr="009324DE">
          <w:rPr>
            <w:rStyle w:val="Hyperlink"/>
            <w:rFonts w:cs="Arial"/>
            <w:noProof/>
          </w:rPr>
          <w:t>Rubin</w:t>
        </w:r>
        <w:r w:rsidR="007D3175">
          <w:rPr>
            <w:noProof/>
            <w:webHidden/>
          </w:rPr>
          <w:tab/>
        </w:r>
        <w:r w:rsidR="007D3175">
          <w:rPr>
            <w:noProof/>
            <w:webHidden/>
          </w:rPr>
          <w:fldChar w:fldCharType="begin"/>
        </w:r>
        <w:r w:rsidR="007D3175">
          <w:rPr>
            <w:noProof/>
            <w:webHidden/>
          </w:rPr>
          <w:instrText xml:space="preserve"> PAGEREF _Toc164722706 \h </w:instrText>
        </w:r>
        <w:r w:rsidR="007D3175">
          <w:rPr>
            <w:noProof/>
            <w:webHidden/>
          </w:rPr>
        </w:r>
        <w:r w:rsidR="007D3175">
          <w:rPr>
            <w:noProof/>
            <w:webHidden/>
          </w:rPr>
          <w:fldChar w:fldCharType="separate"/>
        </w:r>
        <w:r w:rsidR="007D3175">
          <w:rPr>
            <w:noProof/>
            <w:webHidden/>
          </w:rPr>
          <w:t>10</w:t>
        </w:r>
        <w:r w:rsidR="007D3175">
          <w:rPr>
            <w:noProof/>
            <w:webHidden/>
          </w:rPr>
          <w:fldChar w:fldCharType="end"/>
        </w:r>
      </w:hyperlink>
    </w:p>
    <w:p w14:paraId="4A2229FC" w14:textId="2E22B70A"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707" w:history="1">
        <w:r w:rsidR="007D3175" w:rsidRPr="009324DE">
          <w:rPr>
            <w:rStyle w:val="Hyperlink"/>
            <w:rFonts w:cs="Arial"/>
            <w:noProof/>
          </w:rPr>
          <w:t>4.</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THE CURRENT STATE OF PLAY: SINGULARIS PREVAILS</w:t>
        </w:r>
        <w:r w:rsidR="007D3175">
          <w:rPr>
            <w:noProof/>
            <w:webHidden/>
          </w:rPr>
          <w:tab/>
        </w:r>
        <w:r w:rsidR="007D3175">
          <w:rPr>
            <w:noProof/>
            <w:webHidden/>
          </w:rPr>
          <w:fldChar w:fldCharType="begin"/>
        </w:r>
        <w:r w:rsidR="007D3175">
          <w:rPr>
            <w:noProof/>
            <w:webHidden/>
          </w:rPr>
          <w:instrText xml:space="preserve"> PAGEREF _Toc164722707 \h </w:instrText>
        </w:r>
        <w:r w:rsidR="007D3175">
          <w:rPr>
            <w:noProof/>
            <w:webHidden/>
          </w:rPr>
        </w:r>
        <w:r w:rsidR="007D3175">
          <w:rPr>
            <w:noProof/>
            <w:webHidden/>
          </w:rPr>
          <w:fldChar w:fldCharType="separate"/>
        </w:r>
        <w:r w:rsidR="007D3175">
          <w:rPr>
            <w:noProof/>
            <w:webHidden/>
          </w:rPr>
          <w:t>11</w:t>
        </w:r>
        <w:r w:rsidR="007D3175">
          <w:rPr>
            <w:noProof/>
            <w:webHidden/>
          </w:rPr>
          <w:fldChar w:fldCharType="end"/>
        </w:r>
      </w:hyperlink>
    </w:p>
    <w:p w14:paraId="1BB18037" w14:textId="077451F6" w:rsidR="007D3175" w:rsidRDefault="00CF6CEF" w:rsidP="007D3175">
      <w:pPr>
        <w:pStyle w:val="TOC2"/>
        <w:ind w:firstLine="230"/>
        <w:rPr>
          <w:rFonts w:asciiTheme="minorHAnsi" w:eastAsiaTheme="minorEastAsia" w:hAnsiTheme="minorHAnsi" w:cstheme="minorBidi"/>
          <w:noProof/>
          <w:kern w:val="2"/>
          <w:sz w:val="24"/>
          <w:szCs w:val="24"/>
        </w:rPr>
      </w:pPr>
      <w:hyperlink w:anchor="_Toc164722708" w:history="1">
        <w:r w:rsidR="007D3175" w:rsidRPr="009324DE">
          <w:rPr>
            <w:rStyle w:val="Hyperlink"/>
            <w:rFonts w:cs="Arial"/>
            <w:noProof/>
          </w:rPr>
          <w:t>Recent examples of modified universalism (or not) in the Grand Court</w:t>
        </w:r>
        <w:r w:rsidR="007D3175">
          <w:rPr>
            <w:noProof/>
            <w:webHidden/>
          </w:rPr>
          <w:tab/>
        </w:r>
        <w:r w:rsidR="007D3175">
          <w:rPr>
            <w:noProof/>
            <w:webHidden/>
          </w:rPr>
          <w:fldChar w:fldCharType="begin"/>
        </w:r>
        <w:r w:rsidR="007D3175">
          <w:rPr>
            <w:noProof/>
            <w:webHidden/>
          </w:rPr>
          <w:instrText xml:space="preserve"> PAGEREF _Toc164722708 \h </w:instrText>
        </w:r>
        <w:r w:rsidR="007D3175">
          <w:rPr>
            <w:noProof/>
            <w:webHidden/>
          </w:rPr>
        </w:r>
        <w:r w:rsidR="007D3175">
          <w:rPr>
            <w:noProof/>
            <w:webHidden/>
          </w:rPr>
          <w:fldChar w:fldCharType="separate"/>
        </w:r>
        <w:r w:rsidR="007D3175">
          <w:rPr>
            <w:noProof/>
            <w:webHidden/>
          </w:rPr>
          <w:t>12</w:t>
        </w:r>
        <w:r w:rsidR="007D3175">
          <w:rPr>
            <w:noProof/>
            <w:webHidden/>
          </w:rPr>
          <w:fldChar w:fldCharType="end"/>
        </w:r>
      </w:hyperlink>
    </w:p>
    <w:p w14:paraId="03908564" w14:textId="5C321B98"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709" w:history="1">
        <w:r w:rsidR="007D3175" w:rsidRPr="009324DE">
          <w:rPr>
            <w:rStyle w:val="Hyperlink"/>
            <w:rFonts w:cs="Arial"/>
            <w:noProof/>
          </w:rPr>
          <w:t>5.</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WHAT NEXT?</w:t>
        </w:r>
        <w:r w:rsidR="007D3175">
          <w:rPr>
            <w:noProof/>
            <w:webHidden/>
          </w:rPr>
          <w:tab/>
        </w:r>
        <w:r w:rsidR="007D3175">
          <w:rPr>
            <w:noProof/>
            <w:webHidden/>
          </w:rPr>
          <w:fldChar w:fldCharType="begin"/>
        </w:r>
        <w:r w:rsidR="007D3175">
          <w:rPr>
            <w:noProof/>
            <w:webHidden/>
          </w:rPr>
          <w:instrText xml:space="preserve"> PAGEREF _Toc164722709 \h </w:instrText>
        </w:r>
        <w:r w:rsidR="007D3175">
          <w:rPr>
            <w:noProof/>
            <w:webHidden/>
          </w:rPr>
        </w:r>
        <w:r w:rsidR="007D3175">
          <w:rPr>
            <w:noProof/>
            <w:webHidden/>
          </w:rPr>
          <w:fldChar w:fldCharType="separate"/>
        </w:r>
        <w:r w:rsidR="007D3175">
          <w:rPr>
            <w:noProof/>
            <w:webHidden/>
          </w:rPr>
          <w:t>14</w:t>
        </w:r>
        <w:r w:rsidR="007D3175">
          <w:rPr>
            <w:noProof/>
            <w:webHidden/>
          </w:rPr>
          <w:fldChar w:fldCharType="end"/>
        </w:r>
      </w:hyperlink>
    </w:p>
    <w:p w14:paraId="5A5A04C6" w14:textId="6B143373"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710" w:history="1">
        <w:r w:rsidR="007D3175" w:rsidRPr="009324DE">
          <w:rPr>
            <w:rStyle w:val="Hyperlink"/>
            <w:rFonts w:cs="Arial"/>
            <w:noProof/>
          </w:rPr>
          <w:t>6.</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CONCLUSION</w:t>
        </w:r>
        <w:r w:rsidR="007D3175">
          <w:rPr>
            <w:noProof/>
            <w:webHidden/>
          </w:rPr>
          <w:tab/>
        </w:r>
        <w:r w:rsidR="007D3175">
          <w:rPr>
            <w:noProof/>
            <w:webHidden/>
          </w:rPr>
          <w:fldChar w:fldCharType="begin"/>
        </w:r>
        <w:r w:rsidR="007D3175">
          <w:rPr>
            <w:noProof/>
            <w:webHidden/>
          </w:rPr>
          <w:instrText xml:space="preserve"> PAGEREF _Toc164722710 \h </w:instrText>
        </w:r>
        <w:r w:rsidR="007D3175">
          <w:rPr>
            <w:noProof/>
            <w:webHidden/>
          </w:rPr>
        </w:r>
        <w:r w:rsidR="007D3175">
          <w:rPr>
            <w:noProof/>
            <w:webHidden/>
          </w:rPr>
          <w:fldChar w:fldCharType="separate"/>
        </w:r>
        <w:r w:rsidR="007D3175">
          <w:rPr>
            <w:noProof/>
            <w:webHidden/>
          </w:rPr>
          <w:t>15</w:t>
        </w:r>
        <w:r w:rsidR="007D3175">
          <w:rPr>
            <w:noProof/>
            <w:webHidden/>
          </w:rPr>
          <w:fldChar w:fldCharType="end"/>
        </w:r>
      </w:hyperlink>
    </w:p>
    <w:p w14:paraId="4A7609A7" w14:textId="1CAFC1EA" w:rsidR="007D3175" w:rsidRDefault="00CF6CEF">
      <w:pPr>
        <w:pStyle w:val="TOC1"/>
        <w:tabs>
          <w:tab w:val="left" w:pos="480"/>
          <w:tab w:val="right" w:leader="dot" w:pos="9350"/>
        </w:tabs>
        <w:rPr>
          <w:rFonts w:asciiTheme="minorHAnsi" w:eastAsiaTheme="minorEastAsia" w:hAnsiTheme="minorHAnsi" w:cstheme="minorBidi"/>
          <w:noProof/>
          <w:kern w:val="2"/>
          <w:sz w:val="24"/>
          <w:szCs w:val="24"/>
        </w:rPr>
      </w:pPr>
      <w:hyperlink w:anchor="_Toc164722711" w:history="1">
        <w:r w:rsidR="007D3175" w:rsidRPr="009324DE">
          <w:rPr>
            <w:rStyle w:val="Hyperlink"/>
            <w:rFonts w:cs="Arial"/>
            <w:noProof/>
          </w:rPr>
          <w:t>7.</w:t>
        </w:r>
        <w:r w:rsidR="007D3175">
          <w:rPr>
            <w:rFonts w:asciiTheme="minorHAnsi" w:eastAsiaTheme="minorEastAsia" w:hAnsiTheme="minorHAnsi" w:cstheme="minorBidi"/>
            <w:noProof/>
            <w:kern w:val="2"/>
            <w:sz w:val="24"/>
            <w:szCs w:val="24"/>
          </w:rPr>
          <w:tab/>
        </w:r>
        <w:r w:rsidR="007D3175" w:rsidRPr="009324DE">
          <w:rPr>
            <w:rStyle w:val="Hyperlink"/>
            <w:rFonts w:cs="Arial"/>
            <w:noProof/>
          </w:rPr>
          <w:t>BIBLIOGRAPHY</w:t>
        </w:r>
        <w:r w:rsidR="007D3175">
          <w:rPr>
            <w:noProof/>
            <w:webHidden/>
          </w:rPr>
          <w:tab/>
        </w:r>
        <w:r w:rsidR="007D3175">
          <w:rPr>
            <w:noProof/>
            <w:webHidden/>
          </w:rPr>
          <w:fldChar w:fldCharType="begin"/>
        </w:r>
        <w:r w:rsidR="007D3175">
          <w:rPr>
            <w:noProof/>
            <w:webHidden/>
          </w:rPr>
          <w:instrText xml:space="preserve"> PAGEREF _Toc164722711 \h </w:instrText>
        </w:r>
        <w:r w:rsidR="007D3175">
          <w:rPr>
            <w:noProof/>
            <w:webHidden/>
          </w:rPr>
        </w:r>
        <w:r w:rsidR="007D3175">
          <w:rPr>
            <w:noProof/>
            <w:webHidden/>
          </w:rPr>
          <w:fldChar w:fldCharType="separate"/>
        </w:r>
        <w:r w:rsidR="007D3175">
          <w:rPr>
            <w:noProof/>
            <w:webHidden/>
          </w:rPr>
          <w:t>15</w:t>
        </w:r>
        <w:r w:rsidR="007D3175">
          <w:rPr>
            <w:noProof/>
            <w:webHidden/>
          </w:rPr>
          <w:fldChar w:fldCharType="end"/>
        </w:r>
      </w:hyperlink>
    </w:p>
    <w:p w14:paraId="27BE73A7" w14:textId="2D5D30D3" w:rsidR="000A7286" w:rsidRPr="00B168E0" w:rsidRDefault="000A7286" w:rsidP="000A7286">
      <w:pPr>
        <w:spacing w:line="360" w:lineRule="auto"/>
        <w:jc w:val="both"/>
        <w:rPr>
          <w:rFonts w:ascii="Arial" w:hAnsi="Arial" w:cs="Arial"/>
          <w:b/>
          <w:bCs/>
        </w:rPr>
      </w:pPr>
      <w:r w:rsidRPr="00B168E0">
        <w:rPr>
          <w:rFonts w:ascii="Arial" w:hAnsi="Arial" w:cs="Arial"/>
          <w:b/>
          <w:bCs/>
        </w:rPr>
        <w:fldChar w:fldCharType="end"/>
      </w:r>
    </w:p>
    <w:p w14:paraId="5067A02A" w14:textId="7285DDFD" w:rsidR="000A7286" w:rsidRPr="00B168E0" w:rsidRDefault="00DB7261" w:rsidP="001862DD">
      <w:pPr>
        <w:pStyle w:val="Heading1"/>
        <w:numPr>
          <w:ilvl w:val="0"/>
          <w:numId w:val="2"/>
        </w:numPr>
        <w:ind w:left="360"/>
        <w:rPr>
          <w:rFonts w:cs="Arial"/>
          <w:sz w:val="22"/>
          <w:szCs w:val="22"/>
        </w:rPr>
      </w:pPr>
      <w:bookmarkStart w:id="0" w:name="_Toc164722697"/>
      <w:r w:rsidRPr="00B168E0">
        <w:rPr>
          <w:rFonts w:cs="Arial"/>
          <w:sz w:val="22"/>
          <w:szCs w:val="22"/>
        </w:rPr>
        <w:t>INTRODUCTION</w:t>
      </w:r>
      <w:bookmarkEnd w:id="0"/>
    </w:p>
    <w:p w14:paraId="32784493" w14:textId="77777777" w:rsidR="000A7286" w:rsidRPr="00B168E0" w:rsidRDefault="000A7286" w:rsidP="000A7286">
      <w:pPr>
        <w:spacing w:line="360" w:lineRule="auto"/>
        <w:jc w:val="both"/>
        <w:rPr>
          <w:rFonts w:ascii="Arial" w:hAnsi="Arial" w:cs="Arial"/>
          <w:b/>
          <w:bCs/>
        </w:rPr>
      </w:pPr>
    </w:p>
    <w:p w14:paraId="4AEB82A9" w14:textId="1B2638B7" w:rsidR="000A7286" w:rsidRPr="00B168E0" w:rsidRDefault="004B3864" w:rsidP="000A7286">
      <w:pPr>
        <w:spacing w:line="360" w:lineRule="auto"/>
        <w:jc w:val="both"/>
        <w:rPr>
          <w:rFonts w:ascii="Arial" w:hAnsi="Arial" w:cs="Arial"/>
        </w:rPr>
      </w:pPr>
      <w:r w:rsidRPr="00B168E0">
        <w:rPr>
          <w:rFonts w:ascii="Arial" w:hAnsi="Arial" w:cs="Arial"/>
        </w:rPr>
        <w:t>C</w:t>
      </w:r>
      <w:r w:rsidR="000A7286" w:rsidRPr="00B168E0">
        <w:rPr>
          <w:rFonts w:ascii="Arial" w:hAnsi="Arial" w:cs="Arial"/>
        </w:rPr>
        <w:t xml:space="preserve">o-operation between courts and officeholders </w:t>
      </w:r>
      <w:r w:rsidR="00421CA8" w:rsidRPr="00B168E0">
        <w:rPr>
          <w:rFonts w:ascii="Arial" w:hAnsi="Arial" w:cs="Arial"/>
        </w:rPr>
        <w:t>across the globe</w:t>
      </w:r>
      <w:r w:rsidR="000A7286" w:rsidRPr="00B168E0">
        <w:rPr>
          <w:rFonts w:ascii="Arial" w:hAnsi="Arial" w:cs="Arial"/>
        </w:rPr>
        <w:t xml:space="preserve"> is </w:t>
      </w:r>
      <w:r w:rsidR="00835366" w:rsidRPr="00B168E0">
        <w:rPr>
          <w:rFonts w:ascii="Arial" w:hAnsi="Arial" w:cs="Arial"/>
        </w:rPr>
        <w:t>essential</w:t>
      </w:r>
      <w:r w:rsidR="000A7286" w:rsidRPr="00B168E0">
        <w:rPr>
          <w:rFonts w:ascii="Arial" w:hAnsi="Arial" w:cs="Arial"/>
        </w:rPr>
        <w:t xml:space="preserve"> </w:t>
      </w:r>
      <w:r w:rsidR="00441AFD" w:rsidRPr="00B168E0">
        <w:rPr>
          <w:rFonts w:ascii="Arial" w:hAnsi="Arial" w:cs="Arial"/>
        </w:rPr>
        <w:t>to</w:t>
      </w:r>
      <w:r w:rsidR="000A7286" w:rsidRPr="00B168E0">
        <w:rPr>
          <w:rFonts w:ascii="Arial" w:hAnsi="Arial" w:cs="Arial"/>
        </w:rPr>
        <w:t xml:space="preserve"> preserv</w:t>
      </w:r>
      <w:r w:rsidR="00835366" w:rsidRPr="00B168E0">
        <w:rPr>
          <w:rFonts w:ascii="Arial" w:hAnsi="Arial" w:cs="Arial"/>
        </w:rPr>
        <w:t>ing</w:t>
      </w:r>
      <w:r w:rsidR="000A7286" w:rsidRPr="00B168E0">
        <w:rPr>
          <w:rFonts w:ascii="Arial" w:hAnsi="Arial" w:cs="Arial"/>
        </w:rPr>
        <w:t xml:space="preserve"> a debtor’s international asset pool during a restructuring or demise. </w:t>
      </w:r>
      <w:r w:rsidR="008A2AA4" w:rsidRPr="00B168E0">
        <w:rPr>
          <w:rFonts w:ascii="Arial" w:hAnsi="Arial" w:cs="Arial"/>
        </w:rPr>
        <w:t>Th</w:t>
      </w:r>
      <w:r w:rsidR="004D1F46" w:rsidRPr="00B168E0">
        <w:rPr>
          <w:rFonts w:ascii="Arial" w:hAnsi="Arial" w:cs="Arial"/>
        </w:rPr>
        <w:t>e</w:t>
      </w:r>
      <w:r w:rsidR="008A2AA4" w:rsidRPr="00B168E0">
        <w:rPr>
          <w:rFonts w:ascii="Arial" w:hAnsi="Arial" w:cs="Arial"/>
        </w:rPr>
        <w:t xml:space="preserve"> </w:t>
      </w:r>
      <w:r w:rsidR="00D020D4" w:rsidRPr="00B168E0">
        <w:rPr>
          <w:rFonts w:ascii="Arial" w:hAnsi="Arial" w:cs="Arial"/>
        </w:rPr>
        <w:t xml:space="preserve">ideal is well accepted by the common law courts. What they seemingly struggle with is how this goal can be achieved </w:t>
      </w:r>
      <w:r w:rsidR="00BC3954" w:rsidRPr="00B168E0">
        <w:rPr>
          <w:rFonts w:ascii="Arial" w:hAnsi="Arial" w:cs="Arial"/>
        </w:rPr>
        <w:t>in practice whe</w:t>
      </w:r>
      <w:r w:rsidR="008E511B" w:rsidRPr="00B168E0">
        <w:rPr>
          <w:rFonts w:ascii="Arial" w:hAnsi="Arial" w:cs="Arial"/>
        </w:rPr>
        <w:t>n legislation primarily rules the field</w:t>
      </w:r>
      <w:r w:rsidR="004D1F46" w:rsidRPr="00B168E0">
        <w:rPr>
          <w:rFonts w:ascii="Arial" w:hAnsi="Arial" w:cs="Arial"/>
        </w:rPr>
        <w:t xml:space="preserve"> and</w:t>
      </w:r>
      <w:r w:rsidR="00D25E3B">
        <w:rPr>
          <w:rFonts w:ascii="Arial" w:hAnsi="Arial" w:cs="Arial"/>
        </w:rPr>
        <w:t xml:space="preserve"> how</w:t>
      </w:r>
      <w:r w:rsidR="004D1F46" w:rsidRPr="00B168E0">
        <w:rPr>
          <w:rFonts w:ascii="Arial" w:hAnsi="Arial" w:cs="Arial"/>
        </w:rPr>
        <w:t xml:space="preserve"> to ensure the protection of local interests if other courts adopt a different approach</w:t>
      </w:r>
      <w:r w:rsidR="000A7286" w:rsidRPr="00B168E0">
        <w:rPr>
          <w:rFonts w:ascii="Arial" w:hAnsi="Arial" w:cs="Arial"/>
        </w:rPr>
        <w:t>.</w:t>
      </w:r>
    </w:p>
    <w:p w14:paraId="5B2056F8" w14:textId="77777777" w:rsidR="00677855" w:rsidRPr="00B168E0" w:rsidRDefault="00677855" w:rsidP="000A7286">
      <w:pPr>
        <w:spacing w:line="360" w:lineRule="auto"/>
        <w:jc w:val="both"/>
        <w:rPr>
          <w:rFonts w:ascii="Arial" w:hAnsi="Arial" w:cs="Arial"/>
        </w:rPr>
      </w:pPr>
    </w:p>
    <w:p w14:paraId="6D037A89" w14:textId="0A141CFB" w:rsidR="00002F8B" w:rsidRPr="00B168E0" w:rsidRDefault="00C117EE" w:rsidP="000A7286">
      <w:pPr>
        <w:spacing w:line="360" w:lineRule="auto"/>
        <w:jc w:val="both"/>
        <w:rPr>
          <w:rFonts w:ascii="Arial" w:hAnsi="Arial" w:cs="Arial"/>
        </w:rPr>
      </w:pPr>
      <w:r>
        <w:rPr>
          <w:rFonts w:ascii="Arial" w:hAnsi="Arial" w:cs="Arial"/>
        </w:rPr>
        <w:t>Over the past two decades some of the greatest legal minds have grappled with this issue – and have even disagreed with their own previous decision</w:t>
      </w:r>
      <w:r w:rsidR="00392CEB">
        <w:rPr>
          <w:rFonts w:ascii="Arial" w:hAnsi="Arial" w:cs="Arial"/>
        </w:rPr>
        <w:t>s</w:t>
      </w:r>
      <w:r>
        <w:rPr>
          <w:rFonts w:ascii="Arial" w:hAnsi="Arial" w:cs="Arial"/>
        </w:rPr>
        <w:t xml:space="preserve">. </w:t>
      </w:r>
      <w:r w:rsidR="00C01205">
        <w:rPr>
          <w:rFonts w:ascii="Arial" w:hAnsi="Arial" w:cs="Arial"/>
        </w:rPr>
        <w:t xml:space="preserve">Following </w:t>
      </w:r>
      <w:r w:rsidR="00392CEB">
        <w:rPr>
          <w:rFonts w:ascii="Arial" w:hAnsi="Arial" w:cs="Arial"/>
        </w:rPr>
        <w:t>this interesting, yet somewhat</w:t>
      </w:r>
      <w:r>
        <w:rPr>
          <w:rFonts w:ascii="Arial" w:hAnsi="Arial" w:cs="Arial"/>
        </w:rPr>
        <w:t xml:space="preserve"> </w:t>
      </w:r>
      <w:r>
        <w:rPr>
          <w:rFonts w:ascii="Arial" w:hAnsi="Arial" w:cs="Arial"/>
        </w:rPr>
        <w:lastRenderedPageBreak/>
        <w:t>tumu</w:t>
      </w:r>
      <w:r w:rsidR="00C01205">
        <w:rPr>
          <w:rFonts w:ascii="Arial" w:hAnsi="Arial" w:cs="Arial"/>
        </w:rPr>
        <w:t xml:space="preserve">ltuous </w:t>
      </w:r>
      <w:r w:rsidR="00BC687F">
        <w:rPr>
          <w:rFonts w:ascii="Arial" w:hAnsi="Arial" w:cs="Arial"/>
        </w:rPr>
        <w:t>period of judicial intervention</w:t>
      </w:r>
      <w:r>
        <w:rPr>
          <w:rFonts w:ascii="Arial" w:hAnsi="Arial" w:cs="Arial"/>
        </w:rPr>
        <w:t>, does t</w:t>
      </w:r>
      <w:r w:rsidR="000A7286" w:rsidRPr="00B168E0">
        <w:rPr>
          <w:rFonts w:ascii="Arial" w:hAnsi="Arial" w:cs="Arial"/>
        </w:rPr>
        <w:t xml:space="preserve">he Board’s </w:t>
      </w:r>
      <w:r>
        <w:rPr>
          <w:rFonts w:ascii="Arial" w:hAnsi="Arial" w:cs="Arial"/>
        </w:rPr>
        <w:t>recommendation</w:t>
      </w:r>
      <w:r w:rsidR="000A7286" w:rsidRPr="00B168E0">
        <w:rPr>
          <w:rFonts w:ascii="Arial" w:hAnsi="Arial" w:cs="Arial"/>
        </w:rPr>
        <w:t xml:space="preserve"> in </w:t>
      </w:r>
      <w:proofErr w:type="spellStart"/>
      <w:r w:rsidR="000A7286" w:rsidRPr="00B168E0">
        <w:rPr>
          <w:rFonts w:ascii="Arial" w:hAnsi="Arial" w:cs="Arial"/>
          <w:i/>
          <w:iCs/>
        </w:rPr>
        <w:t>Singularis</w:t>
      </w:r>
      <w:proofErr w:type="spellEnd"/>
      <w:r w:rsidR="00BC687F">
        <w:rPr>
          <w:rStyle w:val="FootnoteReference"/>
          <w:rFonts w:ascii="Arial" w:hAnsi="Arial" w:cs="Arial"/>
          <w:i/>
          <w:iCs/>
        </w:rPr>
        <w:footnoteReference w:id="1"/>
      </w:r>
      <w:r w:rsidR="00A62CB3">
        <w:rPr>
          <w:rFonts w:ascii="Arial" w:hAnsi="Arial" w:cs="Arial"/>
          <w:i/>
          <w:iCs/>
        </w:rPr>
        <w:t xml:space="preserve"> </w:t>
      </w:r>
      <w:r w:rsidR="00BC687F" w:rsidRPr="00BC687F">
        <w:rPr>
          <w:rFonts w:ascii="Arial" w:hAnsi="Arial" w:cs="Arial"/>
        </w:rPr>
        <w:t>(</w:t>
      </w:r>
      <w:r w:rsidR="006C5A6E">
        <w:rPr>
          <w:rFonts w:ascii="Arial" w:hAnsi="Arial" w:cs="Arial"/>
        </w:rPr>
        <w:t xml:space="preserve">which </w:t>
      </w:r>
      <w:r w:rsidR="00A62CB3" w:rsidRPr="00B168E0">
        <w:rPr>
          <w:rFonts w:ascii="Arial" w:hAnsi="Arial" w:cs="Arial"/>
        </w:rPr>
        <w:t>emphasiz</w:t>
      </w:r>
      <w:r w:rsidR="006C5A6E">
        <w:rPr>
          <w:rFonts w:ascii="Arial" w:hAnsi="Arial" w:cs="Arial"/>
        </w:rPr>
        <w:t>ed</w:t>
      </w:r>
      <w:r w:rsidR="00A62CB3" w:rsidRPr="00B168E0">
        <w:rPr>
          <w:rFonts w:ascii="Arial" w:hAnsi="Arial" w:cs="Arial"/>
        </w:rPr>
        <w:t xml:space="preserve"> that any </w:t>
      </w:r>
      <w:r w:rsidR="006C5A6E">
        <w:rPr>
          <w:rFonts w:ascii="Arial" w:hAnsi="Arial" w:cs="Arial"/>
        </w:rPr>
        <w:t xml:space="preserve">cross-border </w:t>
      </w:r>
      <w:r w:rsidR="00A62CB3" w:rsidRPr="00B168E0">
        <w:rPr>
          <w:rFonts w:ascii="Arial" w:hAnsi="Arial" w:cs="Arial"/>
        </w:rPr>
        <w:t>support must be grounded in the law of the country where the assistanc</w:t>
      </w:r>
      <w:r w:rsidR="006C5A6E">
        <w:rPr>
          <w:rFonts w:ascii="Arial" w:hAnsi="Arial" w:cs="Arial"/>
        </w:rPr>
        <w:t>e</w:t>
      </w:r>
      <w:r w:rsidR="00A62CB3" w:rsidRPr="00B168E0">
        <w:rPr>
          <w:rFonts w:ascii="Arial" w:hAnsi="Arial" w:cs="Arial"/>
        </w:rPr>
        <w:t xml:space="preserve"> is being sought</w:t>
      </w:r>
      <w:r w:rsidR="00BC687F">
        <w:rPr>
          <w:rFonts w:ascii="Arial" w:hAnsi="Arial" w:cs="Arial"/>
        </w:rPr>
        <w:t>)</w:t>
      </w:r>
      <w:r w:rsidR="000A7286" w:rsidRPr="00B168E0">
        <w:rPr>
          <w:rFonts w:ascii="Arial" w:hAnsi="Arial" w:cs="Arial"/>
          <w:i/>
          <w:iCs/>
        </w:rPr>
        <w:t xml:space="preserve"> </w:t>
      </w:r>
      <w:r w:rsidR="00C01205">
        <w:rPr>
          <w:rFonts w:ascii="Arial" w:hAnsi="Arial" w:cs="Arial"/>
        </w:rPr>
        <w:t xml:space="preserve">now represent the </w:t>
      </w:r>
      <w:r w:rsidR="008429AE">
        <w:rPr>
          <w:rFonts w:ascii="Arial" w:hAnsi="Arial" w:cs="Arial"/>
        </w:rPr>
        <w:t>limits of</w:t>
      </w:r>
      <w:r w:rsidR="00C01205">
        <w:rPr>
          <w:rFonts w:ascii="Arial" w:hAnsi="Arial" w:cs="Arial"/>
        </w:rPr>
        <w:t xml:space="preserve"> </w:t>
      </w:r>
      <w:r w:rsidR="00D25E3B">
        <w:rPr>
          <w:rFonts w:ascii="Arial" w:hAnsi="Arial" w:cs="Arial"/>
        </w:rPr>
        <w:t>“</w:t>
      </w:r>
      <w:r w:rsidR="008429AE">
        <w:rPr>
          <w:rFonts w:ascii="Arial" w:hAnsi="Arial" w:cs="Arial"/>
        </w:rPr>
        <w:t>universalism</w:t>
      </w:r>
      <w:r w:rsidR="00D25E3B">
        <w:rPr>
          <w:rFonts w:ascii="Arial" w:hAnsi="Arial" w:cs="Arial"/>
        </w:rPr>
        <w:t>”</w:t>
      </w:r>
      <w:r w:rsidR="006C5A6E">
        <w:rPr>
          <w:rFonts w:ascii="Arial" w:hAnsi="Arial" w:cs="Arial"/>
        </w:rPr>
        <w:t>?</w:t>
      </w:r>
    </w:p>
    <w:p w14:paraId="1D9EC992" w14:textId="77777777" w:rsidR="00002F8B" w:rsidRPr="00B168E0" w:rsidRDefault="00002F8B" w:rsidP="000A7286">
      <w:pPr>
        <w:spacing w:line="360" w:lineRule="auto"/>
        <w:jc w:val="both"/>
        <w:rPr>
          <w:rFonts w:ascii="Arial" w:hAnsi="Arial" w:cs="Arial"/>
        </w:rPr>
      </w:pPr>
    </w:p>
    <w:p w14:paraId="0E28F291" w14:textId="2DBE5869" w:rsidR="00002F8B" w:rsidRPr="00B168E0" w:rsidRDefault="00002F8B" w:rsidP="000A7286">
      <w:pPr>
        <w:spacing w:line="360" w:lineRule="auto"/>
        <w:jc w:val="both"/>
        <w:rPr>
          <w:rFonts w:ascii="Arial" w:hAnsi="Arial" w:cs="Arial"/>
        </w:rPr>
      </w:pPr>
      <w:r w:rsidRPr="00B168E0">
        <w:rPr>
          <w:rFonts w:ascii="Arial" w:hAnsi="Arial" w:cs="Arial"/>
        </w:rPr>
        <w:t xml:space="preserve">This paper seeks </w:t>
      </w:r>
      <w:r w:rsidR="00CC0590" w:rsidRPr="00B168E0">
        <w:rPr>
          <w:rFonts w:ascii="Arial" w:hAnsi="Arial" w:cs="Arial"/>
        </w:rPr>
        <w:t xml:space="preserve">(i) </w:t>
      </w:r>
      <w:r w:rsidRPr="00B168E0">
        <w:rPr>
          <w:rFonts w:ascii="Arial" w:hAnsi="Arial" w:cs="Arial"/>
        </w:rPr>
        <w:t xml:space="preserve">to </w:t>
      </w:r>
      <w:r w:rsidR="00A23584" w:rsidRPr="00B168E0">
        <w:rPr>
          <w:rFonts w:ascii="Arial" w:hAnsi="Arial" w:cs="Arial"/>
        </w:rPr>
        <w:t xml:space="preserve">trace </w:t>
      </w:r>
      <w:r w:rsidR="0042770C" w:rsidRPr="00B168E0">
        <w:rPr>
          <w:rFonts w:ascii="Arial" w:hAnsi="Arial" w:cs="Arial"/>
        </w:rPr>
        <w:t>t</w:t>
      </w:r>
      <w:r w:rsidR="00A23584" w:rsidRPr="00B168E0">
        <w:rPr>
          <w:rFonts w:ascii="Arial" w:hAnsi="Arial" w:cs="Arial"/>
        </w:rPr>
        <w:t>he development of the common law in this area in England and the Cayman Islands</w:t>
      </w:r>
      <w:r w:rsidR="00CC0590" w:rsidRPr="00B168E0">
        <w:rPr>
          <w:rFonts w:ascii="Arial" w:hAnsi="Arial" w:cs="Arial"/>
        </w:rPr>
        <w:t>; (ii) to draw conclusions as to the current state of the law; and (iii) to ask, what next?</w:t>
      </w:r>
    </w:p>
    <w:p w14:paraId="1CAF528F" w14:textId="734F0205" w:rsidR="000A7286" w:rsidRPr="00B168E0" w:rsidRDefault="00DB7261" w:rsidP="008E5C32">
      <w:pPr>
        <w:pStyle w:val="Heading1"/>
        <w:numPr>
          <w:ilvl w:val="0"/>
          <w:numId w:val="2"/>
        </w:numPr>
        <w:ind w:left="360"/>
        <w:rPr>
          <w:rFonts w:cs="Arial"/>
          <w:sz w:val="22"/>
          <w:szCs w:val="22"/>
        </w:rPr>
      </w:pPr>
      <w:bookmarkStart w:id="1" w:name="_Toc164722698"/>
      <w:r w:rsidRPr="00B168E0">
        <w:rPr>
          <w:rFonts w:cs="Arial"/>
          <w:sz w:val="22"/>
          <w:szCs w:val="22"/>
        </w:rPr>
        <w:t>THE THEORY</w:t>
      </w:r>
      <w:bookmarkEnd w:id="1"/>
    </w:p>
    <w:p w14:paraId="0CFEEE0D" w14:textId="77777777" w:rsidR="000A7286" w:rsidRPr="00B168E0" w:rsidRDefault="000A7286" w:rsidP="00850100">
      <w:pPr>
        <w:keepNext/>
        <w:spacing w:line="360" w:lineRule="auto"/>
        <w:jc w:val="both"/>
        <w:rPr>
          <w:rFonts w:ascii="Arial" w:hAnsi="Arial" w:cs="Arial"/>
        </w:rPr>
      </w:pPr>
    </w:p>
    <w:p w14:paraId="6A180606" w14:textId="48D412BF" w:rsidR="00AE5ED1" w:rsidRPr="00B168E0" w:rsidRDefault="00AE5ED1" w:rsidP="000A7286">
      <w:pPr>
        <w:spacing w:line="360" w:lineRule="auto"/>
        <w:jc w:val="both"/>
        <w:rPr>
          <w:rFonts w:ascii="Arial" w:hAnsi="Arial" w:cs="Arial"/>
        </w:rPr>
      </w:pPr>
      <w:r w:rsidRPr="00B168E0">
        <w:rPr>
          <w:rFonts w:ascii="Arial" w:hAnsi="Arial" w:cs="Arial"/>
        </w:rPr>
        <w:t>Universalism can be thought of as a system in which bankruptcies involve “</w:t>
      </w:r>
      <w:r w:rsidRPr="00B168E0">
        <w:rPr>
          <w:rFonts w:ascii="Arial" w:hAnsi="Arial" w:cs="Arial"/>
          <w:i/>
          <w:iCs/>
        </w:rPr>
        <w:t>unified global proceedings, administered by one principal court under a single governing law, but potentially with the assistance of courts in other jurisdictions. Assets located in ‘secondary jurisdictions’ are either transferred to the main one or simply subject to the same bankruptcy regime</w:t>
      </w:r>
      <w:r w:rsidR="004D1F46" w:rsidRPr="00B168E0">
        <w:rPr>
          <w:rFonts w:ascii="Arial" w:hAnsi="Arial" w:cs="Arial"/>
          <w:i/>
          <w:iCs/>
        </w:rPr>
        <w:t>…</w:t>
      </w:r>
      <w:r w:rsidRPr="00B168E0">
        <w:rPr>
          <w:rFonts w:ascii="Arial" w:hAnsi="Arial" w:cs="Arial"/>
        </w:rPr>
        <w:t>”</w:t>
      </w:r>
      <w:r w:rsidR="00745F48" w:rsidRPr="00B168E0">
        <w:rPr>
          <w:rFonts w:ascii="Arial" w:hAnsi="Arial" w:cs="Arial"/>
          <w:vertAlign w:val="superscript"/>
        </w:rPr>
        <w:footnoteReference w:id="2"/>
      </w:r>
    </w:p>
    <w:p w14:paraId="71DFA214" w14:textId="77777777" w:rsidR="00182A04" w:rsidRPr="00B168E0" w:rsidRDefault="00182A04" w:rsidP="000A7286">
      <w:pPr>
        <w:spacing w:line="360" w:lineRule="auto"/>
        <w:jc w:val="both"/>
        <w:rPr>
          <w:rFonts w:ascii="Arial" w:hAnsi="Arial" w:cs="Arial"/>
        </w:rPr>
      </w:pPr>
    </w:p>
    <w:p w14:paraId="3170046A" w14:textId="31F986A5" w:rsidR="00BC2816" w:rsidRPr="00B168E0" w:rsidRDefault="00BC2816" w:rsidP="000A7286">
      <w:pPr>
        <w:spacing w:line="360" w:lineRule="auto"/>
        <w:jc w:val="both"/>
        <w:rPr>
          <w:rFonts w:ascii="Arial" w:hAnsi="Arial" w:cs="Arial"/>
        </w:rPr>
      </w:pPr>
      <w:r w:rsidRPr="00B168E0">
        <w:rPr>
          <w:rFonts w:ascii="Arial" w:hAnsi="Arial" w:cs="Arial"/>
        </w:rPr>
        <w:t xml:space="preserve">The </w:t>
      </w:r>
      <w:r w:rsidR="004D1F46" w:rsidRPr="00B168E0">
        <w:rPr>
          <w:rFonts w:ascii="Arial" w:hAnsi="Arial" w:cs="Arial"/>
        </w:rPr>
        <w:t xml:space="preserve">practical </w:t>
      </w:r>
      <w:r w:rsidRPr="00B168E0">
        <w:rPr>
          <w:rFonts w:ascii="Arial" w:hAnsi="Arial" w:cs="Arial"/>
        </w:rPr>
        <w:t xml:space="preserve">problem with universalism is that, absent one rule book applied everywhere with equal force, it does not work. Take the English position as a case in point: English law (as with most other territories) ascribes a universal effect to its own insolvency proceedings, and assumes that </w:t>
      </w:r>
      <w:r w:rsidR="002F25C3" w:rsidRPr="00B168E0">
        <w:rPr>
          <w:rFonts w:ascii="Arial" w:hAnsi="Arial" w:cs="Arial"/>
        </w:rPr>
        <w:t>such proceedings</w:t>
      </w:r>
      <w:r w:rsidRPr="00B168E0">
        <w:rPr>
          <w:rFonts w:ascii="Arial" w:hAnsi="Arial" w:cs="Arial"/>
        </w:rPr>
        <w:t xml:space="preserve"> will take effect whe</w:t>
      </w:r>
      <w:r w:rsidR="002F25C3" w:rsidRPr="00B168E0">
        <w:rPr>
          <w:rFonts w:ascii="Arial" w:hAnsi="Arial" w:cs="Arial"/>
        </w:rPr>
        <w:t>re</w:t>
      </w:r>
      <w:r w:rsidR="00C66C00" w:rsidRPr="00B168E0">
        <w:rPr>
          <w:rFonts w:ascii="Arial" w:hAnsi="Arial" w:cs="Arial"/>
        </w:rPr>
        <w:t>ver the assets are.</w:t>
      </w:r>
      <w:r w:rsidR="0029744A" w:rsidRPr="00B168E0">
        <w:rPr>
          <w:rStyle w:val="FootnoteReference"/>
          <w:rFonts w:ascii="Arial" w:hAnsi="Arial" w:cs="Arial"/>
        </w:rPr>
        <w:footnoteReference w:id="3"/>
      </w:r>
      <w:r w:rsidR="00D4626B" w:rsidRPr="00B168E0">
        <w:rPr>
          <w:rFonts w:ascii="Arial" w:hAnsi="Arial" w:cs="Arial"/>
        </w:rPr>
        <w:t xml:space="preserve"> </w:t>
      </w:r>
      <w:r w:rsidR="004E284C" w:rsidRPr="00B168E0">
        <w:rPr>
          <w:rFonts w:ascii="Arial" w:hAnsi="Arial" w:cs="Arial"/>
        </w:rPr>
        <w:t>Practically, the English court is restricted in its ability to deal with assets abroad (that is where assistance comes in)</w:t>
      </w:r>
      <w:r w:rsidR="00656E13" w:rsidRPr="00B168E0">
        <w:rPr>
          <w:rFonts w:ascii="Arial" w:hAnsi="Arial" w:cs="Arial"/>
        </w:rPr>
        <w:t>; but strictly, it considers that the assets should be dealt with within the English (statutory) regime.</w:t>
      </w:r>
      <w:r w:rsidR="00823A2C" w:rsidRPr="00B168E0">
        <w:rPr>
          <w:rFonts w:ascii="Arial" w:hAnsi="Arial" w:cs="Arial"/>
        </w:rPr>
        <w:t xml:space="preserve"> Further</w:t>
      </w:r>
      <w:r w:rsidR="00314935" w:rsidRPr="00B168E0">
        <w:rPr>
          <w:rFonts w:ascii="Arial" w:hAnsi="Arial" w:cs="Arial"/>
        </w:rPr>
        <w:t xml:space="preserve">, how can the English court’s position be reconciled with the position of any other court where </w:t>
      </w:r>
      <w:r w:rsidR="00FB14F4" w:rsidRPr="00B168E0">
        <w:rPr>
          <w:rFonts w:ascii="Arial" w:hAnsi="Arial" w:cs="Arial"/>
        </w:rPr>
        <w:t>that court also believes itself to be seized of insolvency proceedings in respect of an entity (or a group)</w:t>
      </w:r>
      <w:r w:rsidR="007A48CC">
        <w:rPr>
          <w:rFonts w:ascii="Arial" w:hAnsi="Arial" w:cs="Arial"/>
        </w:rPr>
        <w:t>?</w:t>
      </w:r>
      <w:r w:rsidR="00DF0B72" w:rsidRPr="00B168E0">
        <w:rPr>
          <w:rFonts w:ascii="Arial" w:hAnsi="Arial" w:cs="Arial"/>
        </w:rPr>
        <w:t xml:space="preserve"> Such potential conflict is acute and real in circumstances where England (and </w:t>
      </w:r>
      <w:r w:rsidR="002A2022">
        <w:rPr>
          <w:rFonts w:ascii="Arial" w:hAnsi="Arial" w:cs="Arial"/>
        </w:rPr>
        <w:t xml:space="preserve">the </w:t>
      </w:r>
      <w:r w:rsidR="00DF0B72" w:rsidRPr="00B168E0">
        <w:rPr>
          <w:rFonts w:ascii="Arial" w:hAnsi="Arial" w:cs="Arial"/>
        </w:rPr>
        <w:t>Cayman</w:t>
      </w:r>
      <w:r w:rsidR="002A2022">
        <w:rPr>
          <w:rFonts w:ascii="Arial" w:hAnsi="Arial" w:cs="Arial"/>
        </w:rPr>
        <w:t xml:space="preserve"> Islands</w:t>
      </w:r>
      <w:r w:rsidR="00DF0B72" w:rsidRPr="00B168E0">
        <w:rPr>
          <w:rFonts w:ascii="Arial" w:hAnsi="Arial" w:cs="Arial"/>
        </w:rPr>
        <w:t xml:space="preserve">) provide for the </w:t>
      </w:r>
      <w:r w:rsidR="002B35F4" w:rsidRPr="00B168E0">
        <w:rPr>
          <w:rFonts w:ascii="Arial" w:hAnsi="Arial" w:cs="Arial"/>
        </w:rPr>
        <w:t>winding up of a foreign company.</w:t>
      </w:r>
      <w:r w:rsidR="004A268D" w:rsidRPr="00B168E0">
        <w:rPr>
          <w:rFonts w:ascii="Arial" w:hAnsi="Arial" w:cs="Arial"/>
        </w:rPr>
        <w:t xml:space="preserve"> The fear of lack of reciprocity by other courts, and therefore the fear of potential prejudice against creditors in a court’s own jursidiction lead judges to be somewhat circumspect. That, combined with the understanding that treaties and legis</w:t>
      </w:r>
      <w:r w:rsidR="001B530C" w:rsidRPr="00B168E0">
        <w:rPr>
          <w:rFonts w:ascii="Arial" w:hAnsi="Arial" w:cs="Arial"/>
        </w:rPr>
        <w:t>l</w:t>
      </w:r>
      <w:r w:rsidR="004A268D" w:rsidRPr="00B168E0">
        <w:rPr>
          <w:rFonts w:ascii="Arial" w:hAnsi="Arial" w:cs="Arial"/>
        </w:rPr>
        <w:t>ations occupy most of the field</w:t>
      </w:r>
      <w:r w:rsidR="00D429DA">
        <w:rPr>
          <w:rFonts w:ascii="Arial" w:hAnsi="Arial" w:cs="Arial"/>
        </w:rPr>
        <w:t xml:space="preserve">, has led some judges to be cautious about </w:t>
      </w:r>
      <w:r w:rsidR="00B83791">
        <w:rPr>
          <w:rFonts w:ascii="Arial" w:hAnsi="Arial" w:cs="Arial"/>
        </w:rPr>
        <w:t xml:space="preserve">using </w:t>
      </w:r>
      <w:proofErr w:type="gramStart"/>
      <w:r w:rsidR="00B83791">
        <w:rPr>
          <w:rFonts w:ascii="Arial" w:hAnsi="Arial" w:cs="Arial"/>
        </w:rPr>
        <w:t>the common</w:t>
      </w:r>
      <w:proofErr w:type="gramEnd"/>
      <w:r w:rsidR="00B83791">
        <w:rPr>
          <w:rFonts w:ascii="Arial" w:hAnsi="Arial" w:cs="Arial"/>
        </w:rPr>
        <w:t xml:space="preserve"> law to fill </w:t>
      </w:r>
      <w:r w:rsidR="00DD2680">
        <w:rPr>
          <w:rFonts w:ascii="Arial" w:hAnsi="Arial" w:cs="Arial"/>
        </w:rPr>
        <w:t>any perceived gap between the legislati</w:t>
      </w:r>
      <w:r w:rsidR="008E571E">
        <w:rPr>
          <w:rFonts w:ascii="Arial" w:hAnsi="Arial" w:cs="Arial"/>
        </w:rPr>
        <w:t>ve framework</w:t>
      </w:r>
      <w:r w:rsidR="00DD2680">
        <w:rPr>
          <w:rFonts w:ascii="Arial" w:hAnsi="Arial" w:cs="Arial"/>
        </w:rPr>
        <w:t xml:space="preserve"> and </w:t>
      </w:r>
      <w:r w:rsidR="008E571E">
        <w:rPr>
          <w:rFonts w:ascii="Arial" w:hAnsi="Arial" w:cs="Arial"/>
        </w:rPr>
        <w:t>theory</w:t>
      </w:r>
      <w:r w:rsidR="00DD2680">
        <w:rPr>
          <w:rFonts w:ascii="Arial" w:hAnsi="Arial" w:cs="Arial"/>
        </w:rPr>
        <w:t xml:space="preserve"> of </w:t>
      </w:r>
      <w:r w:rsidR="00DD2680">
        <w:rPr>
          <w:rFonts w:ascii="Arial" w:hAnsi="Arial" w:cs="Arial"/>
        </w:rPr>
        <w:lastRenderedPageBreak/>
        <w:t>universalism</w:t>
      </w:r>
      <w:r w:rsidR="004A268D" w:rsidRPr="00B168E0">
        <w:rPr>
          <w:rFonts w:ascii="Arial" w:hAnsi="Arial" w:cs="Arial"/>
        </w:rPr>
        <w:t>.</w:t>
      </w:r>
      <w:r w:rsidR="00DD2680">
        <w:rPr>
          <w:rFonts w:ascii="Arial" w:hAnsi="Arial" w:cs="Arial"/>
        </w:rPr>
        <w:t xml:space="preserve"> This is particularly so given that the principle of universalism is just that: It is </w:t>
      </w:r>
      <w:r w:rsidR="001B7A02">
        <w:rPr>
          <w:rFonts w:ascii="Arial" w:hAnsi="Arial" w:cs="Arial"/>
        </w:rPr>
        <w:t xml:space="preserve">a principle, </w:t>
      </w:r>
      <w:r w:rsidR="00DD2680">
        <w:rPr>
          <w:rFonts w:ascii="Arial" w:hAnsi="Arial" w:cs="Arial"/>
        </w:rPr>
        <w:t>not a rule.</w:t>
      </w:r>
    </w:p>
    <w:p w14:paraId="2920AF7B" w14:textId="20AAF479" w:rsidR="00AD101B" w:rsidRPr="00B168E0" w:rsidRDefault="00AD101B" w:rsidP="000A7286">
      <w:pPr>
        <w:spacing w:line="360" w:lineRule="auto"/>
        <w:jc w:val="both"/>
        <w:rPr>
          <w:rFonts w:ascii="Arial" w:hAnsi="Arial" w:cs="Arial"/>
        </w:rPr>
      </w:pPr>
    </w:p>
    <w:p w14:paraId="4276EC19" w14:textId="0FE40261" w:rsidR="0018518A" w:rsidRPr="00B168E0" w:rsidRDefault="00931FA6" w:rsidP="003216DD">
      <w:pPr>
        <w:keepNext/>
        <w:spacing w:line="360" w:lineRule="auto"/>
        <w:jc w:val="both"/>
        <w:rPr>
          <w:rFonts w:ascii="Arial" w:hAnsi="Arial" w:cs="Arial"/>
          <w:b/>
          <w:bCs/>
          <w:i/>
          <w:iCs/>
          <w:u w:val="single"/>
        </w:rPr>
      </w:pPr>
      <w:r w:rsidRPr="00B168E0">
        <w:rPr>
          <w:rFonts w:ascii="Arial" w:hAnsi="Arial" w:cs="Arial"/>
          <w:b/>
          <w:bCs/>
          <w:i/>
          <w:iCs/>
          <w:u w:val="single"/>
        </w:rPr>
        <w:t>Modified Universalism</w:t>
      </w:r>
    </w:p>
    <w:p w14:paraId="6A28E2E6" w14:textId="77777777" w:rsidR="00931FA6" w:rsidRPr="00B168E0" w:rsidRDefault="00931FA6" w:rsidP="003216DD">
      <w:pPr>
        <w:keepNext/>
        <w:spacing w:line="360" w:lineRule="auto"/>
        <w:jc w:val="both"/>
        <w:rPr>
          <w:rFonts w:ascii="Arial" w:hAnsi="Arial" w:cs="Arial"/>
        </w:rPr>
      </w:pPr>
    </w:p>
    <w:p w14:paraId="056FBD14" w14:textId="0C2E5820" w:rsidR="0099013E" w:rsidRPr="00B168E0" w:rsidRDefault="0099013E" w:rsidP="000A7286">
      <w:pPr>
        <w:spacing w:line="360" w:lineRule="auto"/>
        <w:jc w:val="both"/>
        <w:rPr>
          <w:rFonts w:ascii="Arial" w:hAnsi="Arial" w:cs="Arial"/>
        </w:rPr>
      </w:pPr>
      <w:r w:rsidRPr="00B168E0">
        <w:rPr>
          <w:rFonts w:ascii="Arial" w:hAnsi="Arial" w:cs="Arial"/>
        </w:rPr>
        <w:t xml:space="preserve">Therefore, while many academics – and judges – laud the ideal of </w:t>
      </w:r>
      <w:r w:rsidR="00A84946" w:rsidRPr="00B168E0">
        <w:rPr>
          <w:rFonts w:ascii="Arial" w:hAnsi="Arial" w:cs="Arial"/>
        </w:rPr>
        <w:t>universalism</w:t>
      </w:r>
      <w:r w:rsidRPr="00B168E0">
        <w:rPr>
          <w:rFonts w:ascii="Arial" w:hAnsi="Arial" w:cs="Arial"/>
        </w:rPr>
        <w:t>, most concede that it</w:t>
      </w:r>
      <w:r w:rsidR="00A84946" w:rsidRPr="00B168E0">
        <w:rPr>
          <w:rFonts w:ascii="Arial" w:hAnsi="Arial" w:cs="Arial"/>
        </w:rPr>
        <w:t xml:space="preserve"> is not a </w:t>
      </w:r>
      <w:r w:rsidR="00334455" w:rsidRPr="00B168E0">
        <w:rPr>
          <w:rFonts w:ascii="Arial" w:hAnsi="Arial" w:cs="Arial"/>
        </w:rPr>
        <w:t xml:space="preserve">practical reality in the common law in its purest form. Some academics go so far as to suggest that if the principle </w:t>
      </w:r>
      <w:r w:rsidR="00EE6E56" w:rsidRPr="00B168E0">
        <w:rPr>
          <w:rFonts w:ascii="Arial" w:hAnsi="Arial" w:cs="Arial"/>
        </w:rPr>
        <w:t xml:space="preserve">cannot be made into a practical reality, it should not </w:t>
      </w:r>
      <w:r w:rsidR="00024DBE" w:rsidRPr="00B168E0">
        <w:rPr>
          <w:rFonts w:ascii="Arial" w:hAnsi="Arial" w:cs="Arial"/>
        </w:rPr>
        <w:t>influence</w:t>
      </w:r>
      <w:r w:rsidR="00EE6E56" w:rsidRPr="00B168E0">
        <w:rPr>
          <w:rFonts w:ascii="Arial" w:hAnsi="Arial" w:cs="Arial"/>
        </w:rPr>
        <w:t xml:space="preserve"> the </w:t>
      </w:r>
      <w:r w:rsidR="00024DBE" w:rsidRPr="00B168E0">
        <w:rPr>
          <w:rFonts w:ascii="Arial" w:hAnsi="Arial" w:cs="Arial"/>
        </w:rPr>
        <w:t>interpretation</w:t>
      </w:r>
      <w:r w:rsidR="00EE6E56" w:rsidRPr="00B168E0">
        <w:rPr>
          <w:rFonts w:ascii="Arial" w:hAnsi="Arial" w:cs="Arial"/>
        </w:rPr>
        <w:t xml:space="preserve"> of international insolvency agreements</w:t>
      </w:r>
      <w:r w:rsidR="00024DBE" w:rsidRPr="00B168E0">
        <w:rPr>
          <w:rFonts w:ascii="Arial" w:hAnsi="Arial" w:cs="Arial"/>
        </w:rPr>
        <w:t>.</w:t>
      </w:r>
      <w:r w:rsidR="00024DBE" w:rsidRPr="00B168E0">
        <w:rPr>
          <w:rStyle w:val="FootnoteReference"/>
          <w:rFonts w:ascii="Arial" w:hAnsi="Arial" w:cs="Arial"/>
        </w:rPr>
        <w:footnoteReference w:id="4"/>
      </w:r>
    </w:p>
    <w:p w14:paraId="55E32F89" w14:textId="77777777" w:rsidR="0099013E" w:rsidRPr="00B168E0" w:rsidRDefault="0099013E" w:rsidP="000A7286">
      <w:pPr>
        <w:spacing w:line="360" w:lineRule="auto"/>
        <w:jc w:val="both"/>
        <w:rPr>
          <w:rFonts w:ascii="Arial" w:hAnsi="Arial" w:cs="Arial"/>
        </w:rPr>
      </w:pPr>
    </w:p>
    <w:p w14:paraId="7174A72F" w14:textId="12DFFAF6" w:rsidR="00032D9D" w:rsidRPr="00B168E0" w:rsidRDefault="00F21AC4" w:rsidP="000A7286">
      <w:pPr>
        <w:spacing w:line="360" w:lineRule="auto"/>
        <w:jc w:val="both"/>
        <w:rPr>
          <w:rFonts w:ascii="Arial" w:hAnsi="Arial" w:cs="Arial"/>
        </w:rPr>
      </w:pPr>
      <w:r w:rsidRPr="00B168E0">
        <w:rPr>
          <w:rFonts w:ascii="Arial" w:hAnsi="Arial" w:cs="Arial"/>
        </w:rPr>
        <w:t xml:space="preserve">In the context of </w:t>
      </w:r>
      <w:proofErr w:type="gramStart"/>
      <w:r w:rsidRPr="00B168E0">
        <w:rPr>
          <w:rFonts w:ascii="Arial" w:hAnsi="Arial" w:cs="Arial"/>
        </w:rPr>
        <w:t>this</w:t>
      </w:r>
      <w:proofErr w:type="gramEnd"/>
      <w:r w:rsidRPr="00B168E0">
        <w:rPr>
          <w:rFonts w:ascii="Arial" w:hAnsi="Arial" w:cs="Arial"/>
        </w:rPr>
        <w:t xml:space="preserve"> </w:t>
      </w:r>
      <w:r w:rsidR="002715F5" w:rsidRPr="00B168E0">
        <w:rPr>
          <w:rFonts w:ascii="Arial" w:hAnsi="Arial" w:cs="Arial"/>
        </w:rPr>
        <w:t>discussions</w:t>
      </w:r>
      <w:r w:rsidRPr="00B168E0">
        <w:rPr>
          <w:rFonts w:ascii="Arial" w:hAnsi="Arial" w:cs="Arial"/>
        </w:rPr>
        <w:t>, the term “modified univer</w:t>
      </w:r>
      <w:r w:rsidR="00A16095" w:rsidRPr="00B168E0">
        <w:rPr>
          <w:rFonts w:ascii="Arial" w:hAnsi="Arial" w:cs="Arial"/>
        </w:rPr>
        <w:t>s</w:t>
      </w:r>
      <w:r w:rsidRPr="00B168E0">
        <w:rPr>
          <w:rFonts w:ascii="Arial" w:hAnsi="Arial" w:cs="Arial"/>
        </w:rPr>
        <w:t>alism” was coined</w:t>
      </w:r>
      <w:r w:rsidR="00A45E00" w:rsidRPr="00B168E0">
        <w:rPr>
          <w:rFonts w:ascii="Arial" w:hAnsi="Arial" w:cs="Arial"/>
        </w:rPr>
        <w:t xml:space="preserve">. </w:t>
      </w:r>
      <w:r w:rsidR="00DE79FB" w:rsidRPr="00B168E0">
        <w:rPr>
          <w:rFonts w:ascii="Arial" w:hAnsi="Arial" w:cs="Arial"/>
        </w:rPr>
        <w:t>T</w:t>
      </w:r>
      <w:r w:rsidR="00A45E00" w:rsidRPr="00B168E0">
        <w:rPr>
          <w:rFonts w:ascii="Arial" w:hAnsi="Arial" w:cs="Arial"/>
        </w:rPr>
        <w:t xml:space="preserve">he underlying premise </w:t>
      </w:r>
      <w:r w:rsidR="003216DD">
        <w:rPr>
          <w:rFonts w:ascii="Arial" w:hAnsi="Arial" w:cs="Arial"/>
        </w:rPr>
        <w:t>r</w:t>
      </w:r>
      <w:r w:rsidR="00DE79FB" w:rsidRPr="00B168E0">
        <w:rPr>
          <w:rFonts w:ascii="Arial" w:hAnsi="Arial" w:cs="Arial"/>
        </w:rPr>
        <w:t xml:space="preserve">emains that the assets of a debtor should be </w:t>
      </w:r>
      <w:r w:rsidR="007F1E37" w:rsidRPr="00B168E0">
        <w:rPr>
          <w:rFonts w:ascii="Arial" w:hAnsi="Arial" w:cs="Arial"/>
        </w:rPr>
        <w:t>c</w:t>
      </w:r>
      <w:r w:rsidR="00DE79FB" w:rsidRPr="00B168E0">
        <w:rPr>
          <w:rFonts w:ascii="Arial" w:hAnsi="Arial" w:cs="Arial"/>
        </w:rPr>
        <w:t>olle</w:t>
      </w:r>
      <w:r w:rsidR="007F1E37" w:rsidRPr="00B168E0">
        <w:rPr>
          <w:rFonts w:ascii="Arial" w:hAnsi="Arial" w:cs="Arial"/>
        </w:rPr>
        <w:t>c</w:t>
      </w:r>
      <w:r w:rsidR="00DE79FB" w:rsidRPr="00B168E0">
        <w:rPr>
          <w:rFonts w:ascii="Arial" w:hAnsi="Arial" w:cs="Arial"/>
        </w:rPr>
        <w:t>ted and distributed on</w:t>
      </w:r>
      <w:r w:rsidR="003B4A23" w:rsidRPr="00B168E0">
        <w:rPr>
          <w:rFonts w:ascii="Arial" w:hAnsi="Arial" w:cs="Arial"/>
        </w:rPr>
        <w:t xml:space="preserve"> </w:t>
      </w:r>
      <w:r w:rsidR="00DE79FB" w:rsidRPr="00B168E0">
        <w:rPr>
          <w:rFonts w:ascii="Arial" w:hAnsi="Arial" w:cs="Arial"/>
        </w:rPr>
        <w:t>a worldwide basis in a single proceeding</w:t>
      </w:r>
      <w:r w:rsidR="00D95176" w:rsidRPr="00B168E0">
        <w:rPr>
          <w:rFonts w:ascii="Arial" w:hAnsi="Arial" w:cs="Arial"/>
        </w:rPr>
        <w:t>, with fairness between creditors</w:t>
      </w:r>
      <w:r w:rsidR="00DE79FB" w:rsidRPr="00B168E0">
        <w:rPr>
          <w:rFonts w:ascii="Arial" w:hAnsi="Arial" w:cs="Arial"/>
        </w:rPr>
        <w:t xml:space="preserve">. However, </w:t>
      </w:r>
      <w:r w:rsidR="00842AE1" w:rsidRPr="00B168E0">
        <w:rPr>
          <w:rFonts w:ascii="Arial" w:hAnsi="Arial" w:cs="Arial"/>
        </w:rPr>
        <w:t>the application of universalism is not automatic and depend</w:t>
      </w:r>
      <w:r w:rsidR="00A11E24" w:rsidRPr="00B168E0">
        <w:rPr>
          <w:rFonts w:ascii="Arial" w:hAnsi="Arial" w:cs="Arial"/>
        </w:rPr>
        <w:t>s up</w:t>
      </w:r>
      <w:r w:rsidR="00842AE1" w:rsidRPr="00B168E0">
        <w:rPr>
          <w:rFonts w:ascii="Arial" w:hAnsi="Arial" w:cs="Arial"/>
        </w:rPr>
        <w:t xml:space="preserve">on the local court satisfying itself that </w:t>
      </w:r>
      <w:r w:rsidR="00FC7543" w:rsidRPr="00B168E0">
        <w:rPr>
          <w:rFonts w:ascii="Arial" w:hAnsi="Arial" w:cs="Arial"/>
        </w:rPr>
        <w:t>the main proceedings are fair.</w:t>
      </w:r>
    </w:p>
    <w:p w14:paraId="759C1380" w14:textId="1F5586F8" w:rsidR="0038028C" w:rsidRPr="00B168E0" w:rsidRDefault="00B921EA" w:rsidP="001862DD">
      <w:pPr>
        <w:pStyle w:val="Heading1"/>
        <w:numPr>
          <w:ilvl w:val="0"/>
          <w:numId w:val="2"/>
        </w:numPr>
        <w:ind w:left="360"/>
        <w:rPr>
          <w:rFonts w:cs="Arial"/>
          <w:sz w:val="22"/>
          <w:szCs w:val="22"/>
        </w:rPr>
      </w:pPr>
      <w:bookmarkStart w:id="2" w:name="_Toc164722699"/>
      <w:r w:rsidRPr="00B168E0">
        <w:rPr>
          <w:rFonts w:cs="Arial"/>
          <w:sz w:val="22"/>
          <w:szCs w:val="22"/>
        </w:rPr>
        <w:t>I</w:t>
      </w:r>
      <w:r w:rsidR="0038028C" w:rsidRPr="00B168E0">
        <w:rPr>
          <w:rFonts w:cs="Arial"/>
          <w:sz w:val="22"/>
          <w:szCs w:val="22"/>
        </w:rPr>
        <w:t>MPLEMENTATION</w:t>
      </w:r>
      <w:r w:rsidR="0048621A" w:rsidRPr="00B168E0">
        <w:rPr>
          <w:rFonts w:cs="Arial"/>
          <w:sz w:val="22"/>
          <w:szCs w:val="22"/>
        </w:rPr>
        <w:t xml:space="preserve"> AND DEVELOPMENT</w:t>
      </w:r>
      <w:bookmarkEnd w:id="2"/>
    </w:p>
    <w:p w14:paraId="3BBB240E" w14:textId="77777777" w:rsidR="00181E00" w:rsidRPr="00B168E0" w:rsidRDefault="00181E00" w:rsidP="008C643E">
      <w:pPr>
        <w:pStyle w:val="Heading2"/>
        <w:rPr>
          <w:rFonts w:cs="Arial"/>
          <w:szCs w:val="22"/>
        </w:rPr>
      </w:pPr>
    </w:p>
    <w:p w14:paraId="021EEA69" w14:textId="5E609EDB" w:rsidR="0048621A" w:rsidRPr="00B168E0" w:rsidRDefault="0048621A" w:rsidP="008C643E">
      <w:pPr>
        <w:pStyle w:val="Heading2"/>
        <w:rPr>
          <w:rFonts w:cs="Arial"/>
          <w:b w:val="0"/>
          <w:i w:val="0"/>
          <w:szCs w:val="22"/>
        </w:rPr>
      </w:pPr>
      <w:bookmarkStart w:id="3" w:name="_Toc164722700"/>
      <w:r w:rsidRPr="00B168E0">
        <w:rPr>
          <w:rFonts w:cs="Arial"/>
          <w:szCs w:val="22"/>
        </w:rPr>
        <w:t>Early examples</w:t>
      </w:r>
      <w:bookmarkEnd w:id="3"/>
    </w:p>
    <w:p w14:paraId="795ACDB2" w14:textId="77777777" w:rsidR="0048621A" w:rsidRPr="00B168E0" w:rsidRDefault="0048621A" w:rsidP="0038028C">
      <w:pPr>
        <w:spacing w:line="360" w:lineRule="auto"/>
        <w:jc w:val="both"/>
        <w:rPr>
          <w:rFonts w:ascii="Arial" w:hAnsi="Arial" w:cs="Arial"/>
          <w:b/>
          <w:bCs/>
        </w:rPr>
      </w:pPr>
    </w:p>
    <w:p w14:paraId="56800D32" w14:textId="0CAEC2F9" w:rsidR="00A0158C" w:rsidRPr="00B168E0" w:rsidRDefault="00024DBE" w:rsidP="00F434EA">
      <w:pPr>
        <w:spacing w:line="360" w:lineRule="auto"/>
        <w:jc w:val="both"/>
        <w:rPr>
          <w:rFonts w:ascii="Arial" w:hAnsi="Arial" w:cs="Arial"/>
        </w:rPr>
      </w:pPr>
      <w:r w:rsidRPr="00B168E0">
        <w:rPr>
          <w:rFonts w:ascii="Arial" w:hAnsi="Arial" w:cs="Arial"/>
        </w:rPr>
        <w:t>T</w:t>
      </w:r>
      <w:r w:rsidR="00F434EA" w:rsidRPr="00B168E0">
        <w:rPr>
          <w:rFonts w:ascii="Arial" w:hAnsi="Arial" w:cs="Arial"/>
        </w:rPr>
        <w:t xml:space="preserve">he eighteenth-century decision in </w:t>
      </w:r>
      <w:r w:rsidR="00F434EA" w:rsidRPr="00B168E0">
        <w:rPr>
          <w:rFonts w:ascii="Arial" w:hAnsi="Arial" w:cs="Arial"/>
          <w:i/>
          <w:iCs/>
        </w:rPr>
        <w:t xml:space="preserve">Solomons v Ross </w:t>
      </w:r>
      <w:r w:rsidR="00F434EA" w:rsidRPr="00B168E0">
        <w:rPr>
          <w:rFonts w:ascii="Arial" w:hAnsi="Arial" w:cs="Arial"/>
        </w:rPr>
        <w:t>(1764) 1 H B1 131</w:t>
      </w:r>
      <w:r w:rsidRPr="00B168E0">
        <w:rPr>
          <w:rFonts w:ascii="Arial" w:hAnsi="Arial" w:cs="Arial"/>
        </w:rPr>
        <w:t xml:space="preserve"> is oft cre</w:t>
      </w:r>
      <w:r w:rsidR="00A0158C" w:rsidRPr="00B168E0">
        <w:rPr>
          <w:rFonts w:ascii="Arial" w:hAnsi="Arial" w:cs="Arial"/>
        </w:rPr>
        <w:t xml:space="preserve">dited with being the </w:t>
      </w:r>
      <w:r w:rsidR="006E63B1" w:rsidRPr="00B168E0">
        <w:rPr>
          <w:rFonts w:ascii="Arial" w:hAnsi="Arial" w:cs="Arial"/>
        </w:rPr>
        <w:t xml:space="preserve">first example of </w:t>
      </w:r>
      <w:r w:rsidR="00A0158C" w:rsidRPr="00B168E0">
        <w:rPr>
          <w:rFonts w:ascii="Arial" w:hAnsi="Arial" w:cs="Arial"/>
        </w:rPr>
        <w:t>universalism applied in cross-border insolvency</w:t>
      </w:r>
      <w:r w:rsidR="00396B00" w:rsidRPr="00B168E0">
        <w:rPr>
          <w:rFonts w:ascii="Arial" w:hAnsi="Arial" w:cs="Arial"/>
        </w:rPr>
        <w:t>.</w:t>
      </w:r>
      <w:r w:rsidR="00A0158C" w:rsidRPr="00B168E0">
        <w:rPr>
          <w:rStyle w:val="FootnoteReference"/>
          <w:rFonts w:ascii="Arial" w:hAnsi="Arial" w:cs="Arial"/>
        </w:rPr>
        <w:footnoteReference w:id="5"/>
      </w:r>
      <w:r w:rsidR="00A0158C" w:rsidRPr="00B168E0">
        <w:rPr>
          <w:rFonts w:ascii="Arial" w:hAnsi="Arial" w:cs="Arial"/>
        </w:rPr>
        <w:t xml:space="preserve"> </w:t>
      </w:r>
      <w:r w:rsidR="00F434EA" w:rsidRPr="00B168E0">
        <w:rPr>
          <w:rFonts w:ascii="Arial" w:hAnsi="Arial" w:cs="Arial"/>
        </w:rPr>
        <w:t xml:space="preserve">Evidence before the English court showed that English creditors would be treated equally in the Dutch bankruptcy that was already ongoing. Thus, the English court required creditors based in England to prove in the foreign bankruptcy. </w:t>
      </w:r>
    </w:p>
    <w:p w14:paraId="1DC0E3BF" w14:textId="77777777" w:rsidR="00A0158C" w:rsidRPr="00B168E0" w:rsidRDefault="00A0158C" w:rsidP="00F434EA">
      <w:pPr>
        <w:spacing w:line="360" w:lineRule="auto"/>
        <w:jc w:val="both"/>
        <w:rPr>
          <w:rFonts w:ascii="Arial" w:hAnsi="Arial" w:cs="Arial"/>
        </w:rPr>
      </w:pPr>
    </w:p>
    <w:p w14:paraId="17D97588" w14:textId="7CC96823" w:rsidR="00F434EA" w:rsidRPr="00B168E0" w:rsidRDefault="00F434EA" w:rsidP="00F434EA">
      <w:pPr>
        <w:spacing w:line="360" w:lineRule="auto"/>
        <w:jc w:val="both"/>
        <w:rPr>
          <w:rFonts w:ascii="Arial" w:hAnsi="Arial" w:cs="Arial"/>
        </w:rPr>
      </w:pPr>
      <w:r w:rsidRPr="00B168E0">
        <w:rPr>
          <w:rFonts w:ascii="Arial" w:hAnsi="Arial" w:cs="Arial"/>
        </w:rPr>
        <w:t>Arguably, the decision was years before its tim</w:t>
      </w:r>
      <w:r w:rsidR="00E97968" w:rsidRPr="00B168E0">
        <w:rPr>
          <w:rFonts w:ascii="Arial" w:hAnsi="Arial" w:cs="Arial"/>
        </w:rPr>
        <w:t>e. But</w:t>
      </w:r>
      <w:r w:rsidRPr="00B168E0">
        <w:rPr>
          <w:rFonts w:ascii="Arial" w:hAnsi="Arial" w:cs="Arial"/>
          <w:color w:val="FF0000"/>
        </w:rPr>
        <w:t xml:space="preserve"> </w:t>
      </w:r>
      <w:r w:rsidRPr="00B168E0">
        <w:rPr>
          <w:rFonts w:ascii="Arial" w:hAnsi="Arial" w:cs="Arial"/>
        </w:rPr>
        <w:t>looking through the prism of international trade via shipping, it demonstrates a fact pattern that could be reminiscent of modern times – principal creditors in Britain, with the debtor’s assets in foreign jurisdictions.</w:t>
      </w:r>
    </w:p>
    <w:p w14:paraId="74BD28F7" w14:textId="348264DF" w:rsidR="00F434EA" w:rsidRPr="00B168E0" w:rsidRDefault="00F434EA" w:rsidP="0038028C">
      <w:pPr>
        <w:spacing w:line="360" w:lineRule="auto"/>
        <w:jc w:val="both"/>
        <w:rPr>
          <w:rFonts w:ascii="Arial" w:hAnsi="Arial" w:cs="Arial"/>
          <w:b/>
          <w:bCs/>
        </w:rPr>
      </w:pPr>
    </w:p>
    <w:p w14:paraId="7EF975F2" w14:textId="77777777" w:rsidR="00E16B68" w:rsidRPr="00B168E0" w:rsidRDefault="00E16B68" w:rsidP="0038028C">
      <w:pPr>
        <w:spacing w:line="360" w:lineRule="auto"/>
        <w:jc w:val="both"/>
        <w:rPr>
          <w:rFonts w:ascii="Arial" w:hAnsi="Arial" w:cs="Arial"/>
          <w:b/>
          <w:bCs/>
        </w:rPr>
      </w:pPr>
    </w:p>
    <w:p w14:paraId="5D0A9FD3" w14:textId="064A0B0A" w:rsidR="005F0BEC" w:rsidRPr="00B168E0" w:rsidRDefault="005F0BEC" w:rsidP="008C643E">
      <w:pPr>
        <w:pStyle w:val="Heading2"/>
        <w:rPr>
          <w:rFonts w:cs="Arial"/>
          <w:szCs w:val="22"/>
        </w:rPr>
      </w:pPr>
      <w:bookmarkStart w:id="4" w:name="_Toc164722701"/>
      <w:r w:rsidRPr="00B168E0">
        <w:rPr>
          <w:rFonts w:cs="Arial"/>
          <w:szCs w:val="22"/>
        </w:rPr>
        <w:t>The rise of legislation</w:t>
      </w:r>
      <w:r w:rsidR="009512D1" w:rsidRPr="00B168E0">
        <w:rPr>
          <w:rFonts w:cs="Arial"/>
          <w:szCs w:val="22"/>
        </w:rPr>
        <w:t xml:space="preserve"> and the “arrested </w:t>
      </w:r>
      <w:r w:rsidR="009512D1" w:rsidRPr="008A4A5A">
        <w:rPr>
          <w:rFonts w:cs="Arial"/>
          <w:szCs w:val="22"/>
        </w:rPr>
        <w:t>development”</w:t>
      </w:r>
      <w:r w:rsidR="00884C82" w:rsidRPr="008A4A5A">
        <w:rPr>
          <w:rStyle w:val="FootnoteReference"/>
          <w:rFonts w:cs="Arial"/>
          <w:szCs w:val="22"/>
        </w:rPr>
        <w:t xml:space="preserve"> </w:t>
      </w:r>
      <w:r w:rsidR="00884C82" w:rsidRPr="008A4A5A">
        <w:rPr>
          <w:rStyle w:val="FootnoteReference"/>
          <w:rFonts w:cs="Arial"/>
          <w:szCs w:val="22"/>
        </w:rPr>
        <w:footnoteReference w:id="6"/>
      </w:r>
      <w:r w:rsidR="009512D1" w:rsidRPr="00B168E0">
        <w:rPr>
          <w:rFonts w:cs="Arial"/>
          <w:szCs w:val="22"/>
        </w:rPr>
        <w:t xml:space="preserve"> of the common law</w:t>
      </w:r>
      <w:r w:rsidR="00F477F1" w:rsidRPr="00B168E0">
        <w:rPr>
          <w:rFonts w:cs="Arial"/>
          <w:szCs w:val="22"/>
        </w:rPr>
        <w:t xml:space="preserve"> in England</w:t>
      </w:r>
      <w:bookmarkEnd w:id="4"/>
    </w:p>
    <w:p w14:paraId="42720F10" w14:textId="77777777" w:rsidR="005F0BEC" w:rsidRPr="00B168E0" w:rsidRDefault="005F0BEC" w:rsidP="0038028C">
      <w:pPr>
        <w:spacing w:line="360" w:lineRule="auto"/>
        <w:jc w:val="both"/>
        <w:rPr>
          <w:rFonts w:ascii="Arial" w:hAnsi="Arial" w:cs="Arial"/>
          <w:b/>
          <w:bCs/>
        </w:rPr>
      </w:pPr>
    </w:p>
    <w:p w14:paraId="49844399" w14:textId="5B7FE513" w:rsidR="00D03C5D" w:rsidRPr="009060BB" w:rsidRDefault="00592806" w:rsidP="000E3C9E">
      <w:pPr>
        <w:spacing w:line="360" w:lineRule="auto"/>
        <w:jc w:val="both"/>
        <w:rPr>
          <w:rFonts w:ascii="Arial" w:hAnsi="Arial" w:cs="Arial"/>
        </w:rPr>
      </w:pPr>
      <w:r w:rsidRPr="009060BB">
        <w:rPr>
          <w:rFonts w:ascii="Arial" w:hAnsi="Arial" w:cs="Arial"/>
        </w:rPr>
        <w:t>At an early stage of the development of the law of corporate insolvency, the potential conflict between the locally effective winding-up of an overseas company in England, and a universal winding-up in the country of the debtor’s incorporation was resolved by a judge made principle which treated the English proceedings as ancillary to the principal winding-up</w:t>
      </w:r>
      <w:r w:rsidR="00D03C5D" w:rsidRPr="009060BB">
        <w:rPr>
          <w:rFonts w:ascii="Arial" w:hAnsi="Arial" w:cs="Arial"/>
        </w:rPr>
        <w:t>.</w:t>
      </w:r>
      <w:r w:rsidR="00D03C5D" w:rsidRPr="009060BB">
        <w:rPr>
          <w:rStyle w:val="FootnoteReference"/>
          <w:rFonts w:ascii="Arial" w:hAnsi="Arial" w:cs="Arial"/>
        </w:rPr>
        <w:footnoteReference w:id="7"/>
      </w:r>
    </w:p>
    <w:p w14:paraId="219CCAEB" w14:textId="77777777" w:rsidR="00D03C5D" w:rsidRPr="00B168E0" w:rsidRDefault="00D03C5D" w:rsidP="000E3C9E">
      <w:pPr>
        <w:spacing w:line="360" w:lineRule="auto"/>
        <w:jc w:val="both"/>
        <w:rPr>
          <w:rFonts w:ascii="Arial" w:hAnsi="Arial" w:cs="Arial"/>
          <w:i/>
          <w:iCs/>
          <w:color w:val="FF0000"/>
        </w:rPr>
      </w:pPr>
    </w:p>
    <w:p w14:paraId="21757980" w14:textId="04106999" w:rsidR="000E3C9E" w:rsidRPr="00B168E0" w:rsidRDefault="000E3C9E" w:rsidP="000E3C9E">
      <w:pPr>
        <w:spacing w:line="360" w:lineRule="auto"/>
        <w:jc w:val="both"/>
        <w:rPr>
          <w:rFonts w:ascii="Arial" w:hAnsi="Arial" w:cs="Arial"/>
        </w:rPr>
      </w:pPr>
      <w:r w:rsidRPr="00B168E0">
        <w:rPr>
          <w:rFonts w:ascii="Arial" w:hAnsi="Arial" w:cs="Arial"/>
        </w:rPr>
        <w:t>Over time, the common law power to recognise and grant assistance to foreign insolvency</w:t>
      </w:r>
      <w:r w:rsidR="00BD130E" w:rsidRPr="00B168E0">
        <w:rPr>
          <w:rFonts w:ascii="Arial" w:hAnsi="Arial" w:cs="Arial"/>
        </w:rPr>
        <w:t xml:space="preserve"> </w:t>
      </w:r>
      <w:r w:rsidRPr="00B168E0">
        <w:rPr>
          <w:rFonts w:ascii="Arial" w:hAnsi="Arial" w:cs="Arial"/>
        </w:rPr>
        <w:t xml:space="preserve">proceedings has been </w:t>
      </w:r>
      <w:r w:rsidR="00D03C5D" w:rsidRPr="00B168E0">
        <w:rPr>
          <w:rFonts w:ascii="Arial" w:hAnsi="Arial" w:cs="Arial"/>
        </w:rPr>
        <w:t xml:space="preserve">somewhat </w:t>
      </w:r>
      <w:r w:rsidRPr="00B168E0">
        <w:rPr>
          <w:rFonts w:ascii="Arial" w:hAnsi="Arial" w:cs="Arial"/>
        </w:rPr>
        <w:t xml:space="preserve">relegated to a supplementary power </w:t>
      </w:r>
      <w:r w:rsidR="00BD130E" w:rsidRPr="00B168E0">
        <w:rPr>
          <w:rFonts w:ascii="Arial" w:hAnsi="Arial" w:cs="Arial"/>
        </w:rPr>
        <w:t xml:space="preserve">which can only be utilized </w:t>
      </w:r>
      <w:r w:rsidRPr="00B168E0">
        <w:rPr>
          <w:rFonts w:ascii="Arial" w:hAnsi="Arial" w:cs="Arial"/>
        </w:rPr>
        <w:t>where legislation does not occupy the field.</w:t>
      </w:r>
      <w:r w:rsidR="00BD130E" w:rsidRPr="00B168E0">
        <w:rPr>
          <w:rFonts w:ascii="Arial" w:hAnsi="Arial" w:cs="Arial"/>
        </w:rPr>
        <w:t xml:space="preserve"> Currently the </w:t>
      </w:r>
      <w:r w:rsidR="00C71034" w:rsidRPr="00B168E0">
        <w:rPr>
          <w:rFonts w:ascii="Arial" w:hAnsi="Arial" w:cs="Arial"/>
        </w:rPr>
        <w:t xml:space="preserve">main </w:t>
      </w:r>
      <w:r w:rsidR="00582F67" w:rsidRPr="00B168E0">
        <w:rPr>
          <w:rFonts w:ascii="Arial" w:hAnsi="Arial" w:cs="Arial"/>
        </w:rPr>
        <w:t>applicable</w:t>
      </w:r>
      <w:r w:rsidR="00BD130E" w:rsidRPr="00B168E0">
        <w:rPr>
          <w:rFonts w:ascii="Arial" w:hAnsi="Arial" w:cs="Arial"/>
        </w:rPr>
        <w:t xml:space="preserve"> legislation i</w:t>
      </w:r>
      <w:r w:rsidR="00C71034" w:rsidRPr="00B168E0">
        <w:rPr>
          <w:rFonts w:ascii="Arial" w:hAnsi="Arial" w:cs="Arial"/>
        </w:rPr>
        <w:t>n</w:t>
      </w:r>
      <w:r w:rsidR="00582F67" w:rsidRPr="00B168E0">
        <w:rPr>
          <w:rFonts w:ascii="Arial" w:hAnsi="Arial" w:cs="Arial"/>
        </w:rPr>
        <w:t xml:space="preserve"> England is</w:t>
      </w:r>
      <w:r w:rsidR="00BD130E" w:rsidRPr="00B168E0">
        <w:rPr>
          <w:rFonts w:ascii="Arial" w:hAnsi="Arial" w:cs="Arial"/>
        </w:rPr>
        <w:t>:</w:t>
      </w:r>
    </w:p>
    <w:p w14:paraId="28015B5D" w14:textId="77777777" w:rsidR="00956B43" w:rsidRPr="00B168E0" w:rsidRDefault="00956B43" w:rsidP="00BB1F7B">
      <w:pPr>
        <w:spacing w:line="360" w:lineRule="auto"/>
        <w:jc w:val="both"/>
        <w:rPr>
          <w:rFonts w:ascii="Arial" w:hAnsi="Arial" w:cs="Arial"/>
        </w:rPr>
      </w:pPr>
    </w:p>
    <w:p w14:paraId="17D773BF" w14:textId="5A786786" w:rsidR="00BB1F7B" w:rsidRPr="00B168E0" w:rsidRDefault="00BB1F7B" w:rsidP="00BB1F7B">
      <w:pPr>
        <w:spacing w:line="360" w:lineRule="auto"/>
        <w:jc w:val="both"/>
        <w:rPr>
          <w:rFonts w:ascii="Arial" w:hAnsi="Arial" w:cs="Arial"/>
        </w:rPr>
      </w:pPr>
      <w:r w:rsidRPr="00B168E0">
        <w:rPr>
          <w:rFonts w:ascii="Arial" w:hAnsi="Arial" w:cs="Arial"/>
        </w:rPr>
        <w:t xml:space="preserve">(1) </w:t>
      </w:r>
      <w:r w:rsidRPr="00B168E0">
        <w:rPr>
          <w:rFonts w:ascii="Arial" w:hAnsi="Arial" w:cs="Arial"/>
          <w:i/>
          <w:iCs/>
        </w:rPr>
        <w:t>Section 426 of the Insolvency Act 1986</w:t>
      </w:r>
      <w:r w:rsidR="00956B43" w:rsidRPr="00B168E0">
        <w:rPr>
          <w:rFonts w:ascii="Arial" w:hAnsi="Arial" w:cs="Arial"/>
        </w:rPr>
        <w:t>: This</w:t>
      </w:r>
      <w:r w:rsidRPr="00B168E0">
        <w:rPr>
          <w:rFonts w:ascii="Arial" w:hAnsi="Arial" w:cs="Arial"/>
        </w:rPr>
        <w:t xml:space="preserve"> provides a statutory power to assist corporate as</w:t>
      </w:r>
      <w:r w:rsidR="00D46667" w:rsidRPr="00B168E0">
        <w:rPr>
          <w:rFonts w:ascii="Arial" w:hAnsi="Arial" w:cs="Arial"/>
        </w:rPr>
        <w:t xml:space="preserve"> </w:t>
      </w:r>
      <w:r w:rsidRPr="00B168E0">
        <w:rPr>
          <w:rFonts w:ascii="Arial" w:hAnsi="Arial" w:cs="Arial"/>
        </w:rPr>
        <w:t>well as personal insolvency proceedings in countries specified in the Act or designated for</w:t>
      </w:r>
      <w:r w:rsidR="00D46667" w:rsidRPr="00B168E0">
        <w:rPr>
          <w:rFonts w:ascii="Arial" w:hAnsi="Arial" w:cs="Arial"/>
        </w:rPr>
        <w:t xml:space="preserve"> </w:t>
      </w:r>
      <w:r w:rsidRPr="00B168E0">
        <w:rPr>
          <w:rFonts w:ascii="Arial" w:hAnsi="Arial" w:cs="Arial"/>
        </w:rPr>
        <w:t>that purpose by the Secretary of State</w:t>
      </w:r>
      <w:r w:rsidR="00BD130E" w:rsidRPr="00B168E0">
        <w:rPr>
          <w:rFonts w:ascii="Arial" w:hAnsi="Arial" w:cs="Arial"/>
        </w:rPr>
        <w:t>; and</w:t>
      </w:r>
    </w:p>
    <w:p w14:paraId="4FA38297" w14:textId="77777777" w:rsidR="000E3C9E" w:rsidRPr="00B168E0" w:rsidRDefault="000E3C9E" w:rsidP="00BB1F7B">
      <w:pPr>
        <w:spacing w:line="360" w:lineRule="auto"/>
        <w:jc w:val="both"/>
        <w:rPr>
          <w:rFonts w:ascii="Arial" w:hAnsi="Arial" w:cs="Arial"/>
        </w:rPr>
      </w:pPr>
    </w:p>
    <w:p w14:paraId="47ACEB71" w14:textId="4BFFE0D0" w:rsidR="00BB1F7B" w:rsidRPr="00B168E0" w:rsidRDefault="00BB1F7B" w:rsidP="00BB1F7B">
      <w:pPr>
        <w:spacing w:line="360" w:lineRule="auto"/>
        <w:jc w:val="both"/>
        <w:rPr>
          <w:rFonts w:ascii="Arial" w:hAnsi="Arial" w:cs="Arial"/>
        </w:rPr>
      </w:pPr>
      <w:r w:rsidRPr="00B168E0">
        <w:rPr>
          <w:rFonts w:ascii="Arial" w:hAnsi="Arial" w:cs="Arial"/>
        </w:rPr>
        <w:t>(</w:t>
      </w:r>
      <w:r w:rsidR="000E3C9E" w:rsidRPr="00B168E0">
        <w:rPr>
          <w:rFonts w:ascii="Arial" w:hAnsi="Arial" w:cs="Arial"/>
        </w:rPr>
        <w:t>2</w:t>
      </w:r>
      <w:r w:rsidRPr="00B168E0">
        <w:rPr>
          <w:rFonts w:ascii="Arial" w:hAnsi="Arial" w:cs="Arial"/>
        </w:rPr>
        <w:t xml:space="preserve">) </w:t>
      </w:r>
      <w:r w:rsidRPr="00B168E0">
        <w:rPr>
          <w:rFonts w:ascii="Arial" w:hAnsi="Arial" w:cs="Arial"/>
          <w:i/>
          <w:iCs/>
        </w:rPr>
        <w:t xml:space="preserve">The Cross-Border Insolvency Regulations </w:t>
      </w:r>
      <w:r w:rsidRPr="00B168E0">
        <w:rPr>
          <w:rFonts w:ascii="Arial" w:hAnsi="Arial" w:cs="Arial"/>
        </w:rPr>
        <w:t>(</w:t>
      </w:r>
      <w:r w:rsidRPr="00B168E0">
        <w:rPr>
          <w:rFonts w:ascii="Arial" w:hAnsi="Arial" w:cs="Arial"/>
          <w:b/>
          <w:bCs/>
        </w:rPr>
        <w:t>CBIR</w:t>
      </w:r>
      <w:r w:rsidRPr="00B168E0">
        <w:rPr>
          <w:rFonts w:ascii="Arial" w:hAnsi="Arial" w:cs="Arial"/>
        </w:rPr>
        <w:t>)</w:t>
      </w:r>
      <w:r w:rsidR="00956B43" w:rsidRPr="00B168E0">
        <w:rPr>
          <w:rFonts w:ascii="Arial" w:hAnsi="Arial" w:cs="Arial"/>
        </w:rPr>
        <w:t xml:space="preserve">: The CIBR </w:t>
      </w:r>
      <w:r w:rsidRPr="00B168E0">
        <w:rPr>
          <w:rFonts w:ascii="Arial" w:hAnsi="Arial" w:cs="Arial"/>
        </w:rPr>
        <w:t>came into force on 4 April 2006</w:t>
      </w:r>
    </w:p>
    <w:p w14:paraId="5990BC2C" w14:textId="580DD54B" w:rsidR="00BB1F7B" w:rsidRPr="00B168E0" w:rsidRDefault="00BB1F7B" w:rsidP="00D46667">
      <w:pPr>
        <w:spacing w:line="360" w:lineRule="auto"/>
        <w:jc w:val="both"/>
        <w:rPr>
          <w:rFonts w:ascii="Arial" w:hAnsi="Arial" w:cs="Arial"/>
        </w:rPr>
      </w:pPr>
      <w:r w:rsidRPr="00B168E0">
        <w:rPr>
          <w:rFonts w:ascii="Arial" w:hAnsi="Arial" w:cs="Arial"/>
        </w:rPr>
        <w:t xml:space="preserve">implementing the </w:t>
      </w:r>
      <w:r w:rsidR="00247248" w:rsidRPr="00B168E0">
        <w:rPr>
          <w:rFonts w:ascii="Arial" w:hAnsi="Arial" w:cs="Arial"/>
        </w:rPr>
        <w:t xml:space="preserve">UNCITRAL </w:t>
      </w:r>
      <w:r w:rsidRPr="00B168E0">
        <w:rPr>
          <w:rFonts w:ascii="Arial" w:hAnsi="Arial" w:cs="Arial"/>
        </w:rPr>
        <w:t>Model Law</w:t>
      </w:r>
      <w:r w:rsidR="00247248" w:rsidRPr="00B168E0">
        <w:rPr>
          <w:rFonts w:ascii="Arial" w:hAnsi="Arial" w:cs="Arial"/>
        </w:rPr>
        <w:t xml:space="preserve"> on Cross-Border Insolvency (the </w:t>
      </w:r>
      <w:r w:rsidR="00247248" w:rsidRPr="00B168E0">
        <w:rPr>
          <w:rFonts w:ascii="Arial" w:hAnsi="Arial" w:cs="Arial"/>
          <w:b/>
          <w:bCs/>
        </w:rPr>
        <w:t>Model Law</w:t>
      </w:r>
      <w:r w:rsidR="00247248" w:rsidRPr="00B168E0">
        <w:rPr>
          <w:rFonts w:ascii="Arial" w:hAnsi="Arial" w:cs="Arial"/>
        </w:rPr>
        <w:t>)</w:t>
      </w:r>
      <w:r w:rsidR="00C71034" w:rsidRPr="00B168E0">
        <w:rPr>
          <w:rFonts w:ascii="Arial" w:hAnsi="Arial" w:cs="Arial"/>
        </w:rPr>
        <w:t>.</w:t>
      </w:r>
    </w:p>
    <w:p w14:paraId="4C040265" w14:textId="77777777" w:rsidR="00C71034" w:rsidRPr="00B168E0" w:rsidRDefault="00C71034" w:rsidP="00D46667">
      <w:pPr>
        <w:spacing w:line="360" w:lineRule="auto"/>
        <w:jc w:val="both"/>
        <w:rPr>
          <w:rFonts w:ascii="Arial" w:hAnsi="Arial" w:cs="Arial"/>
        </w:rPr>
      </w:pPr>
    </w:p>
    <w:p w14:paraId="3E39723E" w14:textId="04AFD353" w:rsidR="00C71034" w:rsidRPr="00B168E0" w:rsidRDefault="00C1166E" w:rsidP="00D46667">
      <w:pPr>
        <w:spacing w:line="360" w:lineRule="auto"/>
        <w:jc w:val="both"/>
        <w:rPr>
          <w:rFonts w:ascii="Arial" w:hAnsi="Arial" w:cs="Arial"/>
        </w:rPr>
      </w:pPr>
      <w:r>
        <w:rPr>
          <w:rFonts w:ascii="Arial" w:hAnsi="Arial" w:cs="Arial"/>
        </w:rPr>
        <w:t>I</w:t>
      </w:r>
      <w:r w:rsidR="00C71034" w:rsidRPr="00B168E0">
        <w:rPr>
          <w:rFonts w:ascii="Arial" w:hAnsi="Arial" w:cs="Arial"/>
        </w:rPr>
        <w:t>t is worth noting that there are or</w:t>
      </w:r>
      <w:r>
        <w:rPr>
          <w:rFonts w:ascii="Arial" w:hAnsi="Arial" w:cs="Arial"/>
        </w:rPr>
        <w:t>,</w:t>
      </w:r>
      <w:r w:rsidR="00C71034" w:rsidRPr="00B168E0">
        <w:rPr>
          <w:rFonts w:ascii="Arial" w:hAnsi="Arial" w:cs="Arial"/>
        </w:rPr>
        <w:t xml:space="preserve"> at least, were, other applicable rules, particularly in the context of the UK’s European membership</w:t>
      </w:r>
      <w:r w:rsidRPr="00B168E0">
        <w:rPr>
          <w:rStyle w:val="FootnoteReference"/>
          <w:rFonts w:ascii="Arial" w:hAnsi="Arial" w:cs="Arial"/>
        </w:rPr>
        <w:footnoteReference w:id="8"/>
      </w:r>
      <w:r w:rsidR="00C71034" w:rsidRPr="00B168E0">
        <w:rPr>
          <w:rFonts w:ascii="Arial" w:hAnsi="Arial" w:cs="Arial"/>
        </w:rPr>
        <w:t xml:space="preserve"> and the highly regulated industries (such as insurance).</w:t>
      </w:r>
    </w:p>
    <w:p w14:paraId="3A5C20B2" w14:textId="77777777" w:rsidR="00C1166E" w:rsidRDefault="00C1166E" w:rsidP="00B168E0">
      <w:pPr>
        <w:pStyle w:val="Heading2"/>
        <w:rPr>
          <w:rFonts w:cs="Arial"/>
          <w:szCs w:val="22"/>
        </w:rPr>
      </w:pPr>
    </w:p>
    <w:p w14:paraId="7FAF086D" w14:textId="7777649F" w:rsidR="005E6B6F" w:rsidRPr="00B168E0" w:rsidRDefault="00B168E0" w:rsidP="00B168E0">
      <w:pPr>
        <w:pStyle w:val="Heading2"/>
        <w:rPr>
          <w:rFonts w:cs="Arial"/>
          <w:szCs w:val="22"/>
        </w:rPr>
      </w:pPr>
      <w:bookmarkStart w:id="5" w:name="_Toc164722702"/>
      <w:r w:rsidRPr="00B168E0">
        <w:rPr>
          <w:rFonts w:cs="Arial"/>
          <w:szCs w:val="22"/>
        </w:rPr>
        <w:t xml:space="preserve">The limited legislation in </w:t>
      </w:r>
      <w:r w:rsidR="005E6B6F" w:rsidRPr="00B168E0">
        <w:rPr>
          <w:rFonts w:cs="Arial"/>
          <w:szCs w:val="22"/>
        </w:rPr>
        <w:t>Cayman</w:t>
      </w:r>
      <w:bookmarkEnd w:id="5"/>
    </w:p>
    <w:p w14:paraId="20E532DE" w14:textId="77777777" w:rsidR="005E6B6F" w:rsidRPr="00C1166E" w:rsidRDefault="005E6B6F" w:rsidP="00C1166E">
      <w:pPr>
        <w:spacing w:line="360" w:lineRule="auto"/>
        <w:jc w:val="both"/>
        <w:rPr>
          <w:rFonts w:ascii="Arial" w:hAnsi="Arial" w:cs="Arial"/>
        </w:rPr>
      </w:pPr>
    </w:p>
    <w:p w14:paraId="13DD2832" w14:textId="4B9A5F0D" w:rsidR="005E6B6F" w:rsidRPr="00B168E0" w:rsidRDefault="005E6B6F" w:rsidP="005E6B6F">
      <w:pPr>
        <w:spacing w:line="360" w:lineRule="auto"/>
        <w:jc w:val="both"/>
        <w:rPr>
          <w:rFonts w:ascii="Arial" w:hAnsi="Arial" w:cs="Arial"/>
        </w:rPr>
      </w:pPr>
      <w:r w:rsidRPr="00B168E0">
        <w:rPr>
          <w:rFonts w:ascii="Arial" w:hAnsi="Arial" w:cs="Arial"/>
        </w:rPr>
        <w:t>The Cayman Islands, like many British offshore jurisdictions, has not implemented the Model Law. Instead, the Cayman Islands ha</w:t>
      </w:r>
      <w:r w:rsidR="006C58B0" w:rsidRPr="00B168E0">
        <w:rPr>
          <w:rFonts w:ascii="Arial" w:hAnsi="Arial" w:cs="Arial"/>
        </w:rPr>
        <w:t>s</w:t>
      </w:r>
      <w:r w:rsidRPr="00B168E0">
        <w:rPr>
          <w:rFonts w:ascii="Arial" w:hAnsi="Arial" w:cs="Arial"/>
        </w:rPr>
        <w:t xml:space="preserve"> established </w:t>
      </w:r>
      <w:r w:rsidR="006C58B0" w:rsidRPr="00B168E0">
        <w:rPr>
          <w:rFonts w:ascii="Arial" w:hAnsi="Arial" w:cs="Arial"/>
        </w:rPr>
        <w:t>its</w:t>
      </w:r>
      <w:r w:rsidRPr="00B168E0">
        <w:rPr>
          <w:rFonts w:ascii="Arial" w:hAnsi="Arial" w:cs="Arial"/>
        </w:rPr>
        <w:t xml:space="preserve"> own framework for international cooperation in insolvency matters, which includes the application of common law principles to support foreign insolvency proceedings.</w:t>
      </w:r>
    </w:p>
    <w:p w14:paraId="265BCCD3" w14:textId="77777777" w:rsidR="005E6B6F" w:rsidRPr="00B168E0" w:rsidRDefault="005E6B6F" w:rsidP="005E6B6F">
      <w:pPr>
        <w:spacing w:line="360" w:lineRule="auto"/>
        <w:jc w:val="both"/>
        <w:rPr>
          <w:rFonts w:ascii="Arial" w:hAnsi="Arial" w:cs="Arial"/>
        </w:rPr>
      </w:pPr>
    </w:p>
    <w:p w14:paraId="2ACD7925" w14:textId="77777777" w:rsidR="005E6B6F" w:rsidRPr="00B168E0" w:rsidRDefault="005E6B6F" w:rsidP="005E6B6F">
      <w:pPr>
        <w:spacing w:line="360" w:lineRule="auto"/>
        <w:jc w:val="both"/>
        <w:rPr>
          <w:rFonts w:ascii="Arial" w:hAnsi="Arial" w:cs="Arial"/>
        </w:rPr>
      </w:pPr>
      <w:r w:rsidRPr="00B168E0">
        <w:rPr>
          <w:rFonts w:ascii="Arial" w:hAnsi="Arial" w:cs="Arial"/>
        </w:rPr>
        <w:t>Under Section 241 of the Companies Act, "foreign representatives" — which includes liquidators, trustees, or other insolvency practitioners appointed in other jurisdictions — may petition the Grand Court of the Cayman Islands for ancillary orders related to foreign insolvency proceedings. These orders can encompass several measures, such as:</w:t>
      </w:r>
    </w:p>
    <w:p w14:paraId="27AD46A7" w14:textId="77777777" w:rsidR="005E6B6F" w:rsidRPr="00B168E0" w:rsidRDefault="005E6B6F" w:rsidP="005E6B6F">
      <w:pPr>
        <w:spacing w:line="360" w:lineRule="auto"/>
        <w:jc w:val="both"/>
        <w:rPr>
          <w:rFonts w:ascii="Arial" w:hAnsi="Arial" w:cs="Arial"/>
        </w:rPr>
      </w:pPr>
    </w:p>
    <w:p w14:paraId="5F4EE657" w14:textId="77777777" w:rsidR="00700EBA" w:rsidRPr="00B168E0" w:rsidRDefault="00700EBA" w:rsidP="00700EBA">
      <w:pPr>
        <w:pStyle w:val="ListParagraph"/>
        <w:numPr>
          <w:ilvl w:val="0"/>
          <w:numId w:val="9"/>
        </w:numPr>
        <w:spacing w:line="360" w:lineRule="auto"/>
        <w:jc w:val="both"/>
        <w:rPr>
          <w:rFonts w:ascii="Arial" w:hAnsi="Arial" w:cs="Arial"/>
        </w:rPr>
      </w:pPr>
      <w:r w:rsidRPr="00B168E0">
        <w:rPr>
          <w:rFonts w:ascii="Arial" w:hAnsi="Arial" w:cs="Arial"/>
        </w:rPr>
        <w:t xml:space="preserve">recognizing the right of the foreign representative to act on behalf of the foreign debtor within the Cayman </w:t>
      </w:r>
      <w:proofErr w:type="gramStart"/>
      <w:r w:rsidRPr="00B168E0">
        <w:rPr>
          <w:rFonts w:ascii="Arial" w:hAnsi="Arial" w:cs="Arial"/>
        </w:rPr>
        <w:t>Islands;</w:t>
      </w:r>
      <w:proofErr w:type="gramEnd"/>
      <w:r w:rsidRPr="00B168E0">
        <w:rPr>
          <w:rFonts w:ascii="Arial" w:hAnsi="Arial" w:cs="Arial"/>
        </w:rPr>
        <w:t xml:space="preserve"> </w:t>
      </w:r>
    </w:p>
    <w:p w14:paraId="7FFC5EC5" w14:textId="77777777" w:rsidR="00700EBA" w:rsidRPr="00B168E0" w:rsidRDefault="00700EBA" w:rsidP="00700EBA">
      <w:pPr>
        <w:pStyle w:val="ListParagraph"/>
        <w:numPr>
          <w:ilvl w:val="0"/>
          <w:numId w:val="9"/>
        </w:numPr>
        <w:spacing w:line="360" w:lineRule="auto"/>
        <w:jc w:val="both"/>
        <w:rPr>
          <w:rFonts w:ascii="Arial" w:hAnsi="Arial" w:cs="Arial"/>
        </w:rPr>
      </w:pPr>
      <w:r w:rsidRPr="00B168E0">
        <w:rPr>
          <w:rFonts w:ascii="Arial" w:hAnsi="Arial" w:cs="Arial"/>
        </w:rPr>
        <w:t xml:space="preserve">staying legal proceedings or the enforcement of judgments against the </w:t>
      </w:r>
      <w:proofErr w:type="gramStart"/>
      <w:r w:rsidRPr="00B168E0">
        <w:rPr>
          <w:rFonts w:ascii="Arial" w:hAnsi="Arial" w:cs="Arial"/>
        </w:rPr>
        <w:t>debtor;</w:t>
      </w:r>
      <w:proofErr w:type="gramEnd"/>
      <w:r w:rsidRPr="00B168E0">
        <w:rPr>
          <w:rFonts w:ascii="Arial" w:hAnsi="Arial" w:cs="Arial"/>
        </w:rPr>
        <w:t xml:space="preserve"> </w:t>
      </w:r>
    </w:p>
    <w:p w14:paraId="66C5BAB6" w14:textId="77777777" w:rsidR="00700EBA" w:rsidRPr="00B168E0" w:rsidRDefault="00700EBA" w:rsidP="00700EBA">
      <w:pPr>
        <w:pStyle w:val="ListParagraph"/>
        <w:numPr>
          <w:ilvl w:val="0"/>
          <w:numId w:val="9"/>
        </w:numPr>
        <w:spacing w:line="360" w:lineRule="auto"/>
        <w:jc w:val="both"/>
        <w:rPr>
          <w:rFonts w:ascii="Arial" w:hAnsi="Arial" w:cs="Arial"/>
        </w:rPr>
      </w:pPr>
      <w:r w:rsidRPr="00B168E0">
        <w:rPr>
          <w:rFonts w:ascii="Arial" w:hAnsi="Arial" w:cs="Arial"/>
        </w:rPr>
        <w:t>requiring persons with information relating to the business or affairs of the debtor to be examined and/or produce documents; and</w:t>
      </w:r>
    </w:p>
    <w:p w14:paraId="122B2203" w14:textId="4FCC2C20" w:rsidR="006C58B0" w:rsidRPr="00B168E0" w:rsidRDefault="00700EBA" w:rsidP="00700EBA">
      <w:pPr>
        <w:pStyle w:val="ListParagraph"/>
        <w:numPr>
          <w:ilvl w:val="0"/>
          <w:numId w:val="9"/>
        </w:numPr>
        <w:spacing w:line="360" w:lineRule="auto"/>
        <w:jc w:val="both"/>
        <w:rPr>
          <w:rFonts w:ascii="Arial" w:hAnsi="Arial" w:cs="Arial"/>
        </w:rPr>
      </w:pPr>
      <w:r w:rsidRPr="00B168E0">
        <w:rPr>
          <w:rFonts w:ascii="Arial" w:hAnsi="Arial" w:cs="Arial"/>
        </w:rPr>
        <w:t xml:space="preserve">ordering the turnover of property </w:t>
      </w:r>
      <w:proofErr w:type="gramStart"/>
      <w:r w:rsidRPr="00B168E0">
        <w:rPr>
          <w:rFonts w:ascii="Arial" w:hAnsi="Arial" w:cs="Arial"/>
        </w:rPr>
        <w:t>to</w:t>
      </w:r>
      <w:proofErr w:type="gramEnd"/>
      <w:r w:rsidRPr="00B168E0">
        <w:rPr>
          <w:rFonts w:ascii="Arial" w:hAnsi="Arial" w:cs="Arial"/>
        </w:rPr>
        <w:t xml:space="preserve"> the foreign representative.</w:t>
      </w:r>
    </w:p>
    <w:p w14:paraId="66220E2A" w14:textId="77777777" w:rsidR="006C58B0" w:rsidRPr="00B168E0" w:rsidRDefault="006C58B0" w:rsidP="005E6B6F">
      <w:pPr>
        <w:spacing w:line="360" w:lineRule="auto"/>
        <w:jc w:val="both"/>
        <w:rPr>
          <w:rFonts w:ascii="Arial" w:hAnsi="Arial" w:cs="Arial"/>
        </w:rPr>
      </w:pPr>
    </w:p>
    <w:p w14:paraId="7A3F2F38" w14:textId="7CC9D5F5" w:rsidR="005E6B6F" w:rsidRDefault="005E6B6F" w:rsidP="005E6B6F">
      <w:pPr>
        <w:spacing w:line="360" w:lineRule="auto"/>
        <w:jc w:val="both"/>
        <w:rPr>
          <w:rFonts w:ascii="Arial" w:hAnsi="Arial" w:cs="Arial"/>
        </w:rPr>
      </w:pPr>
      <w:r w:rsidRPr="00B168E0">
        <w:rPr>
          <w:rFonts w:ascii="Arial" w:hAnsi="Arial" w:cs="Arial"/>
        </w:rPr>
        <w:t>However, this legislation does not extend to foreign insolvency proceedings concerning Cayman Islands companies. In such cases, recognition and assistance must be sought through common law principles, which historically have only limitedly recognized the rights of foreign officeholders appointed over Cayman Islands companies. As a result, parallel insolvency proceedings are often necessary within the Cayman Islands to secure the protections afforded by insolvency laws.</w:t>
      </w:r>
    </w:p>
    <w:p w14:paraId="38BA83E0" w14:textId="77777777" w:rsidR="006735C0" w:rsidRPr="00B168E0" w:rsidRDefault="006735C0" w:rsidP="005E6B6F">
      <w:pPr>
        <w:spacing w:line="360" w:lineRule="auto"/>
        <w:jc w:val="both"/>
        <w:rPr>
          <w:rFonts w:ascii="Arial" w:hAnsi="Arial" w:cs="Arial"/>
        </w:rPr>
      </w:pPr>
    </w:p>
    <w:p w14:paraId="38360017" w14:textId="725E22C0" w:rsidR="00805CAA" w:rsidRPr="00406430" w:rsidRDefault="00805CAA" w:rsidP="00377A3B">
      <w:pPr>
        <w:pStyle w:val="Heading2"/>
        <w:rPr>
          <w:rFonts w:cs="Arial"/>
          <w:szCs w:val="22"/>
        </w:rPr>
      </w:pPr>
      <w:bookmarkStart w:id="6" w:name="_Toc164722703"/>
      <w:r w:rsidRPr="00377A3B">
        <w:rPr>
          <w:rFonts w:cs="Arial"/>
          <w:szCs w:val="22"/>
        </w:rPr>
        <w:t xml:space="preserve">Cambridge Gas – Crossing the Rubicon to an extreme version of the principle of </w:t>
      </w:r>
      <w:r w:rsidRPr="00406430">
        <w:rPr>
          <w:rFonts w:cs="Arial"/>
          <w:szCs w:val="22"/>
        </w:rPr>
        <w:t>universality?</w:t>
      </w:r>
      <w:bookmarkEnd w:id="6"/>
    </w:p>
    <w:p w14:paraId="0AAE4501" w14:textId="77777777" w:rsidR="00805CAA" w:rsidRPr="00B168E0" w:rsidRDefault="00805CAA" w:rsidP="00805CAA">
      <w:pPr>
        <w:keepNext/>
        <w:spacing w:line="360" w:lineRule="auto"/>
        <w:jc w:val="both"/>
        <w:rPr>
          <w:rFonts w:ascii="Arial" w:hAnsi="Arial" w:cs="Arial"/>
          <w:b/>
          <w:bCs/>
          <w:highlight w:val="yellow"/>
        </w:rPr>
      </w:pPr>
    </w:p>
    <w:p w14:paraId="5A99F840" w14:textId="7DFBC971" w:rsidR="00805CAA" w:rsidRPr="00023CBF" w:rsidRDefault="00023CBF" w:rsidP="00805CAA">
      <w:pPr>
        <w:spacing w:line="360" w:lineRule="auto"/>
        <w:jc w:val="both"/>
        <w:rPr>
          <w:rFonts w:ascii="Arial" w:hAnsi="Arial" w:cs="Arial"/>
        </w:rPr>
      </w:pPr>
      <w:r w:rsidRPr="00023CBF">
        <w:rPr>
          <w:rFonts w:ascii="Arial" w:hAnsi="Arial" w:cs="Arial"/>
        </w:rPr>
        <w:t xml:space="preserve">The central thesis of the key reasoning in </w:t>
      </w:r>
      <w:r w:rsidR="00C80063" w:rsidRPr="00023CBF">
        <w:rPr>
          <w:rFonts w:ascii="Arial" w:hAnsi="Arial" w:cs="Arial"/>
          <w:i/>
          <w:iCs/>
        </w:rPr>
        <w:t>Cambridge Gas Transportation Corporation v Official Committee of Unsecured Creditors of Navigator Holdings Plc</w:t>
      </w:r>
      <w:r w:rsidR="00C80063" w:rsidRPr="00023CBF">
        <w:rPr>
          <w:rFonts w:ascii="Arial" w:hAnsi="Arial" w:cs="Arial"/>
        </w:rPr>
        <w:t xml:space="preserve"> [2007] 1 AC 508</w:t>
      </w:r>
      <w:r w:rsidRPr="00023CBF">
        <w:rPr>
          <w:rFonts w:ascii="Arial" w:hAnsi="Arial" w:cs="Arial"/>
        </w:rPr>
        <w:t xml:space="preserve"> was </w:t>
      </w:r>
      <w:r w:rsidR="00805CAA" w:rsidRPr="00023CBF">
        <w:rPr>
          <w:rFonts w:ascii="Arial" w:hAnsi="Arial" w:cs="Arial"/>
        </w:rPr>
        <w:t>the importance of recognizing and cooperating with foreign insolvency proceedings to facilitate the efficient administration of cross border insolvency.</w:t>
      </w:r>
    </w:p>
    <w:p w14:paraId="250E7BCB" w14:textId="77777777" w:rsidR="00805CAA" w:rsidRPr="00B168E0" w:rsidRDefault="00805CAA" w:rsidP="0038028C">
      <w:pPr>
        <w:spacing w:line="360" w:lineRule="auto"/>
        <w:jc w:val="both"/>
        <w:rPr>
          <w:rFonts w:ascii="Arial" w:hAnsi="Arial" w:cs="Arial"/>
          <w:b/>
          <w:bCs/>
        </w:rPr>
      </w:pPr>
    </w:p>
    <w:p w14:paraId="72DEF986" w14:textId="4E5C42C4" w:rsidR="00805CAA" w:rsidRPr="00B168E0" w:rsidRDefault="00805CAA" w:rsidP="00805CAA">
      <w:pPr>
        <w:spacing w:line="360" w:lineRule="auto"/>
        <w:jc w:val="both"/>
        <w:rPr>
          <w:rFonts w:ascii="Arial" w:hAnsi="Arial" w:cs="Arial"/>
        </w:rPr>
      </w:pPr>
      <w:r w:rsidRPr="00B168E0">
        <w:rPr>
          <w:rFonts w:ascii="Arial" w:hAnsi="Arial" w:cs="Arial"/>
        </w:rPr>
        <w:t>Cambridge Gas Transport Corporation (</w:t>
      </w:r>
      <w:r w:rsidRPr="00B168E0">
        <w:rPr>
          <w:rFonts w:ascii="Arial" w:hAnsi="Arial" w:cs="Arial"/>
          <w:b/>
          <w:bCs/>
        </w:rPr>
        <w:t>Cambridge Gas</w:t>
      </w:r>
      <w:r w:rsidRPr="00B168E0">
        <w:rPr>
          <w:rFonts w:ascii="Arial" w:hAnsi="Arial" w:cs="Arial"/>
        </w:rPr>
        <w:t>) was involved in a dispute regarding the insolvency proceedings of Navigator Holdings PLC (</w:t>
      </w:r>
      <w:r w:rsidRPr="00B168E0">
        <w:rPr>
          <w:rFonts w:ascii="Arial" w:hAnsi="Arial" w:cs="Arial"/>
          <w:b/>
          <w:bCs/>
        </w:rPr>
        <w:t>Navigator</w:t>
      </w:r>
      <w:r w:rsidRPr="00B168E0">
        <w:rPr>
          <w:rFonts w:ascii="Arial" w:hAnsi="Arial" w:cs="Arial"/>
        </w:rPr>
        <w:t>)</w:t>
      </w:r>
      <w:r w:rsidR="004E4B82" w:rsidRPr="00B168E0">
        <w:rPr>
          <w:rFonts w:ascii="Arial" w:hAnsi="Arial" w:cs="Arial"/>
        </w:rPr>
        <w:t xml:space="preserve">, a company that had gone through </w:t>
      </w:r>
      <w:r w:rsidRPr="00B168E0">
        <w:rPr>
          <w:rFonts w:ascii="Arial" w:hAnsi="Arial" w:cs="Arial"/>
        </w:rPr>
        <w:t>a Chapter 11 restructuring process in the United States.</w:t>
      </w:r>
      <w:r w:rsidR="004E4B82" w:rsidRPr="00B168E0">
        <w:rPr>
          <w:rFonts w:ascii="Arial" w:hAnsi="Arial" w:cs="Arial"/>
        </w:rPr>
        <w:t xml:space="preserve"> </w:t>
      </w:r>
      <w:r w:rsidRPr="00B168E0">
        <w:rPr>
          <w:rFonts w:ascii="Arial" w:hAnsi="Arial" w:cs="Arial"/>
        </w:rPr>
        <w:t>The primary legal issue was whether the US bankruptcy court's decisions regarding the restructuring of Navigator, specifically the transfer of shares owned by Cambridge Gas to Navigator’s creditors, could be recognized and enforced in the Isle of Man, where Cambridge Gas was incorporated.</w:t>
      </w:r>
    </w:p>
    <w:p w14:paraId="0E8EF633" w14:textId="77777777" w:rsidR="00084873" w:rsidRPr="00B168E0" w:rsidRDefault="00084873" w:rsidP="00805CAA">
      <w:pPr>
        <w:spacing w:line="360" w:lineRule="auto"/>
        <w:jc w:val="both"/>
        <w:rPr>
          <w:rFonts w:ascii="Arial" w:hAnsi="Arial" w:cs="Arial"/>
        </w:rPr>
      </w:pPr>
    </w:p>
    <w:p w14:paraId="4C2A28BC" w14:textId="6A74A47C" w:rsidR="00BB2C25" w:rsidRPr="00B168E0" w:rsidRDefault="00AE6F33" w:rsidP="00BB2C25">
      <w:pPr>
        <w:spacing w:line="360" w:lineRule="auto"/>
        <w:jc w:val="both"/>
        <w:rPr>
          <w:rFonts w:ascii="Arial" w:hAnsi="Arial" w:cs="Arial"/>
        </w:rPr>
      </w:pPr>
      <w:r w:rsidRPr="00B168E0">
        <w:rPr>
          <w:rFonts w:ascii="Arial" w:hAnsi="Arial" w:cs="Arial"/>
        </w:rPr>
        <w:lastRenderedPageBreak/>
        <w:t xml:space="preserve">Delivering the </w:t>
      </w:r>
      <w:r w:rsidR="00D2776E">
        <w:rPr>
          <w:rFonts w:ascii="Arial" w:hAnsi="Arial" w:cs="Arial"/>
        </w:rPr>
        <w:t>recommendation</w:t>
      </w:r>
      <w:r w:rsidRPr="00B168E0">
        <w:rPr>
          <w:rFonts w:ascii="Arial" w:hAnsi="Arial" w:cs="Arial"/>
        </w:rPr>
        <w:t xml:space="preserve"> on behalf of the Board, </w:t>
      </w:r>
      <w:r w:rsidR="001502C8" w:rsidRPr="00B168E0">
        <w:rPr>
          <w:rFonts w:ascii="Arial" w:hAnsi="Arial" w:cs="Arial"/>
        </w:rPr>
        <w:t xml:space="preserve">Lord Hoffman </w:t>
      </w:r>
      <w:r w:rsidR="0084200C" w:rsidRPr="00B168E0">
        <w:rPr>
          <w:rFonts w:ascii="Arial" w:hAnsi="Arial" w:cs="Arial"/>
        </w:rPr>
        <w:t>described universality as having “</w:t>
      </w:r>
      <w:r w:rsidR="0084200C" w:rsidRPr="00B168E0">
        <w:rPr>
          <w:rFonts w:ascii="Arial" w:hAnsi="Arial" w:cs="Arial"/>
          <w:i/>
          <w:iCs/>
        </w:rPr>
        <w:t>long been an aspiration, if not always fully achieved</w:t>
      </w:r>
      <w:r w:rsidR="0084200C" w:rsidRPr="00B168E0">
        <w:rPr>
          <w:rFonts w:ascii="Arial" w:hAnsi="Arial" w:cs="Arial"/>
        </w:rPr>
        <w:t>” of the common law, partly because “</w:t>
      </w:r>
      <w:r w:rsidR="0084200C" w:rsidRPr="00B168E0">
        <w:rPr>
          <w:rFonts w:ascii="Arial" w:hAnsi="Arial" w:cs="Arial"/>
          <w:i/>
          <w:iCs/>
        </w:rPr>
        <w:t>a good deal of the ground has been occupied by statutory provisions.</w:t>
      </w:r>
      <w:r w:rsidR="0084200C" w:rsidRPr="00B168E0">
        <w:rPr>
          <w:rFonts w:ascii="Arial" w:hAnsi="Arial" w:cs="Arial"/>
        </w:rPr>
        <w:t>”</w:t>
      </w:r>
      <w:r w:rsidR="0084200C" w:rsidRPr="00B168E0">
        <w:rPr>
          <w:rStyle w:val="FootnoteReference"/>
          <w:rFonts w:ascii="Arial" w:hAnsi="Arial" w:cs="Arial"/>
        </w:rPr>
        <w:footnoteReference w:id="9"/>
      </w:r>
      <w:r w:rsidR="0084200C" w:rsidRPr="00B168E0">
        <w:rPr>
          <w:rFonts w:ascii="Arial" w:hAnsi="Arial" w:cs="Arial"/>
        </w:rPr>
        <w:t xml:space="preserve"> However, he said, the issue in that case was not covered by any such legislation, so the Privy Council</w:t>
      </w:r>
      <w:r w:rsidR="00BB54B6">
        <w:rPr>
          <w:rStyle w:val="FootnoteReference"/>
          <w:rFonts w:ascii="Arial" w:hAnsi="Arial" w:cs="Arial"/>
        </w:rPr>
        <w:footnoteReference w:id="10"/>
      </w:r>
      <w:r w:rsidR="0084200C" w:rsidRPr="00B168E0">
        <w:rPr>
          <w:rFonts w:ascii="Arial" w:hAnsi="Arial" w:cs="Arial"/>
        </w:rPr>
        <w:t xml:space="preserve"> unanimously recommended that it could give effect to a New York-based </w:t>
      </w:r>
      <w:r w:rsidR="007639E8">
        <w:rPr>
          <w:rFonts w:ascii="Arial" w:hAnsi="Arial" w:cs="Arial"/>
        </w:rPr>
        <w:t>C</w:t>
      </w:r>
      <w:r w:rsidR="0084200C" w:rsidRPr="00B168E0">
        <w:rPr>
          <w:rFonts w:ascii="Arial" w:hAnsi="Arial" w:cs="Arial"/>
        </w:rPr>
        <w:t>hapter 11 order so as to give effect to the enforcement of collective rights.</w:t>
      </w:r>
      <w:r w:rsidR="006B4163" w:rsidRPr="00B168E0">
        <w:rPr>
          <w:rFonts w:ascii="Arial" w:hAnsi="Arial" w:cs="Arial"/>
        </w:rPr>
        <w:t xml:space="preserve"> In so doing, the </w:t>
      </w:r>
      <w:r w:rsidR="007639E8">
        <w:rPr>
          <w:rFonts w:ascii="Arial" w:hAnsi="Arial" w:cs="Arial"/>
        </w:rPr>
        <w:t>B</w:t>
      </w:r>
      <w:r w:rsidR="006B4163" w:rsidRPr="00B168E0">
        <w:rPr>
          <w:rFonts w:ascii="Arial" w:hAnsi="Arial" w:cs="Arial"/>
        </w:rPr>
        <w:t xml:space="preserve">oard </w:t>
      </w:r>
      <w:r w:rsidR="001502C8" w:rsidRPr="00B168E0">
        <w:rPr>
          <w:rFonts w:ascii="Arial" w:hAnsi="Arial" w:cs="Arial"/>
        </w:rPr>
        <w:t>considered</w:t>
      </w:r>
      <w:r w:rsidR="00BB2C25" w:rsidRPr="00B168E0">
        <w:rPr>
          <w:rFonts w:ascii="Arial" w:hAnsi="Arial" w:cs="Arial"/>
        </w:rPr>
        <w:t xml:space="preserve"> the nature of bankruptcy proceeding</w:t>
      </w:r>
      <w:r w:rsidR="001529FD" w:rsidRPr="00B168E0">
        <w:rPr>
          <w:rFonts w:ascii="Arial" w:hAnsi="Arial" w:cs="Arial"/>
        </w:rPr>
        <w:t xml:space="preserve">s </w:t>
      </w:r>
      <w:r w:rsidR="006B4163" w:rsidRPr="00B168E0">
        <w:rPr>
          <w:rFonts w:ascii="Arial" w:hAnsi="Arial" w:cs="Arial"/>
        </w:rPr>
        <w:t>is</w:t>
      </w:r>
      <w:r w:rsidR="001529FD" w:rsidRPr="00B168E0">
        <w:rPr>
          <w:rFonts w:ascii="Arial" w:hAnsi="Arial" w:cs="Arial"/>
        </w:rPr>
        <w:t xml:space="preserve"> not </w:t>
      </w:r>
      <w:r w:rsidR="006B4163" w:rsidRPr="00B168E0">
        <w:rPr>
          <w:rFonts w:ascii="Arial" w:hAnsi="Arial" w:cs="Arial"/>
        </w:rPr>
        <w:t xml:space="preserve">to </w:t>
      </w:r>
      <w:r w:rsidR="001529FD" w:rsidRPr="00B168E0">
        <w:rPr>
          <w:rFonts w:ascii="Arial" w:hAnsi="Arial" w:cs="Arial"/>
        </w:rPr>
        <w:t>determine or establish the existence of right</w:t>
      </w:r>
      <w:r w:rsidR="004C65D8" w:rsidRPr="00B168E0">
        <w:rPr>
          <w:rFonts w:ascii="Arial" w:hAnsi="Arial" w:cs="Arial"/>
        </w:rPr>
        <w:t>s; r</w:t>
      </w:r>
      <w:r w:rsidR="001529FD" w:rsidRPr="00B168E0">
        <w:rPr>
          <w:rFonts w:ascii="Arial" w:hAnsi="Arial" w:cs="Arial"/>
        </w:rPr>
        <w:t xml:space="preserve">ather, </w:t>
      </w:r>
      <w:r w:rsidR="006B4163" w:rsidRPr="00B168E0">
        <w:rPr>
          <w:rFonts w:ascii="Arial" w:hAnsi="Arial" w:cs="Arial"/>
        </w:rPr>
        <w:t>to</w:t>
      </w:r>
      <w:r w:rsidR="00BB2C25" w:rsidRPr="00B168E0">
        <w:rPr>
          <w:rFonts w:ascii="Arial" w:hAnsi="Arial" w:cs="Arial"/>
        </w:rPr>
        <w:t xml:space="preserve"> serve as a collective mechanism for creditors to execute against a debtor’s property. </w:t>
      </w:r>
      <w:r w:rsidR="006B4163" w:rsidRPr="00B168E0">
        <w:rPr>
          <w:rFonts w:ascii="Arial" w:hAnsi="Arial" w:cs="Arial"/>
        </w:rPr>
        <w:t>And against such a backdrop, t</w:t>
      </w:r>
      <w:r w:rsidR="00BB2C25" w:rsidRPr="00B168E0">
        <w:rPr>
          <w:rFonts w:ascii="Arial" w:hAnsi="Arial" w:cs="Arial"/>
        </w:rPr>
        <w:t>he principles governing insolvency were deemed adequate for the Manx court to assist the creditors' committee, recognized under the New York court's orders, to enforce the restructuring plan.</w:t>
      </w:r>
    </w:p>
    <w:p w14:paraId="08698FDD" w14:textId="77777777" w:rsidR="00BB2C25" w:rsidRPr="00B168E0" w:rsidRDefault="00BB2C25" w:rsidP="00BB2C25">
      <w:pPr>
        <w:spacing w:line="360" w:lineRule="auto"/>
        <w:jc w:val="both"/>
        <w:rPr>
          <w:rFonts w:ascii="Arial" w:hAnsi="Arial" w:cs="Arial"/>
        </w:rPr>
      </w:pPr>
    </w:p>
    <w:p w14:paraId="6936E29C" w14:textId="67897AF1" w:rsidR="00580172" w:rsidRPr="00B168E0" w:rsidRDefault="00580172" w:rsidP="00580172">
      <w:pPr>
        <w:spacing w:line="360" w:lineRule="auto"/>
        <w:jc w:val="both"/>
        <w:rPr>
          <w:rFonts w:ascii="Arial" w:hAnsi="Arial" w:cs="Arial"/>
        </w:rPr>
      </w:pPr>
      <w:r w:rsidRPr="00B168E0">
        <w:rPr>
          <w:rFonts w:ascii="Arial" w:hAnsi="Arial" w:cs="Arial"/>
        </w:rPr>
        <w:t xml:space="preserve">The </w:t>
      </w:r>
      <w:r w:rsidR="00480F9A" w:rsidRPr="00B168E0">
        <w:rPr>
          <w:rFonts w:ascii="Arial" w:hAnsi="Arial" w:cs="Arial"/>
        </w:rPr>
        <w:t xml:space="preserve">Board </w:t>
      </w:r>
      <w:r w:rsidR="009A6ABE" w:rsidRPr="00B168E0">
        <w:rPr>
          <w:rFonts w:ascii="Arial" w:hAnsi="Arial" w:cs="Arial"/>
        </w:rPr>
        <w:t xml:space="preserve">also </w:t>
      </w:r>
      <w:r w:rsidR="00480F9A" w:rsidRPr="00B168E0">
        <w:rPr>
          <w:rFonts w:ascii="Arial" w:hAnsi="Arial" w:cs="Arial"/>
        </w:rPr>
        <w:t>considered</w:t>
      </w:r>
      <w:r w:rsidRPr="00B168E0">
        <w:rPr>
          <w:rFonts w:ascii="Arial" w:hAnsi="Arial" w:cs="Arial"/>
        </w:rPr>
        <w:t xml:space="preserve"> the boundaries of judicial assistance in cross-border insolvency cases, outlining the role of both statutory and common law frameworks. Under statutory provisions, such as section 426(5) of the Insolvency Act 1986, an English court is authorized to apply its own insolvency laws or those of a foreign court, provided there is a direct request from the foreign jurisdiction and the matters are comparable to those within its own jurisdiction.</w:t>
      </w:r>
    </w:p>
    <w:p w14:paraId="134713D6" w14:textId="77777777" w:rsidR="009A6ABE" w:rsidRPr="00B168E0" w:rsidRDefault="009A6ABE" w:rsidP="00580172">
      <w:pPr>
        <w:spacing w:line="360" w:lineRule="auto"/>
        <w:jc w:val="both"/>
        <w:rPr>
          <w:rFonts w:ascii="Arial" w:hAnsi="Arial" w:cs="Arial"/>
        </w:rPr>
      </w:pPr>
    </w:p>
    <w:p w14:paraId="1AD3695B" w14:textId="6F98AC6A" w:rsidR="00580172" w:rsidRPr="00B168E0" w:rsidRDefault="006A6E10" w:rsidP="00580172">
      <w:pPr>
        <w:spacing w:line="360" w:lineRule="auto"/>
        <w:jc w:val="both"/>
        <w:rPr>
          <w:rFonts w:ascii="Arial" w:hAnsi="Arial" w:cs="Arial"/>
        </w:rPr>
      </w:pPr>
      <w:r w:rsidRPr="00B168E0">
        <w:rPr>
          <w:rFonts w:ascii="Arial" w:hAnsi="Arial" w:cs="Arial"/>
        </w:rPr>
        <w:t xml:space="preserve">The Board considered that </w:t>
      </w:r>
      <w:proofErr w:type="gramStart"/>
      <w:r w:rsidRPr="00B168E0">
        <w:rPr>
          <w:rFonts w:ascii="Arial" w:hAnsi="Arial" w:cs="Arial"/>
        </w:rPr>
        <w:t>a</w:t>
      </w:r>
      <w:r w:rsidR="00580172" w:rsidRPr="00B168E0">
        <w:rPr>
          <w:rFonts w:ascii="Arial" w:hAnsi="Arial" w:cs="Arial"/>
        </w:rPr>
        <w:t>t</w:t>
      </w:r>
      <w:proofErr w:type="gramEnd"/>
      <w:r w:rsidR="00580172" w:rsidRPr="00B168E0">
        <w:rPr>
          <w:rFonts w:ascii="Arial" w:hAnsi="Arial" w:cs="Arial"/>
        </w:rPr>
        <w:t xml:space="preserve"> common law the extent of assistance is more restricted. </w:t>
      </w:r>
      <w:r w:rsidRPr="00B168E0">
        <w:rPr>
          <w:rFonts w:ascii="Arial" w:hAnsi="Arial" w:cs="Arial"/>
        </w:rPr>
        <w:t>They thought it doubtful that a</w:t>
      </w:r>
      <w:r w:rsidR="00580172" w:rsidRPr="00B168E0">
        <w:rPr>
          <w:rFonts w:ascii="Arial" w:hAnsi="Arial" w:cs="Arial"/>
        </w:rPr>
        <w:t xml:space="preserve"> domestic court c</w:t>
      </w:r>
      <w:r w:rsidRPr="00B168E0">
        <w:rPr>
          <w:rFonts w:ascii="Arial" w:hAnsi="Arial" w:cs="Arial"/>
        </w:rPr>
        <w:t>ould</w:t>
      </w:r>
      <w:r w:rsidR="00580172" w:rsidRPr="00B168E0">
        <w:rPr>
          <w:rFonts w:ascii="Arial" w:hAnsi="Arial" w:cs="Arial"/>
        </w:rPr>
        <w:t xml:space="preserve"> apply foreign insolvency laws that are not part of its domestic legal system</w:t>
      </w:r>
      <w:r w:rsidRPr="00B168E0">
        <w:rPr>
          <w:rFonts w:ascii="Arial" w:hAnsi="Arial" w:cs="Arial"/>
        </w:rPr>
        <w:t>, but that nonethe</w:t>
      </w:r>
      <w:r w:rsidR="006B67C7">
        <w:rPr>
          <w:rFonts w:ascii="Arial" w:hAnsi="Arial" w:cs="Arial"/>
        </w:rPr>
        <w:t>le</w:t>
      </w:r>
      <w:r w:rsidRPr="00B168E0">
        <w:rPr>
          <w:rFonts w:ascii="Arial" w:hAnsi="Arial" w:cs="Arial"/>
        </w:rPr>
        <w:t>ss</w:t>
      </w:r>
      <w:r w:rsidR="00580172" w:rsidRPr="00B168E0">
        <w:rPr>
          <w:rFonts w:ascii="Arial" w:hAnsi="Arial" w:cs="Arial"/>
        </w:rPr>
        <w:t xml:space="preserve">, the domestic court is expected to </w:t>
      </w:r>
      <w:proofErr w:type="gramStart"/>
      <w:r w:rsidR="00580172" w:rsidRPr="00B168E0">
        <w:rPr>
          <w:rFonts w:ascii="Arial" w:hAnsi="Arial" w:cs="Arial"/>
        </w:rPr>
        <w:t>provide assistance</w:t>
      </w:r>
      <w:proofErr w:type="gramEnd"/>
      <w:r w:rsidR="00580172" w:rsidRPr="00B168E0">
        <w:rPr>
          <w:rFonts w:ascii="Arial" w:hAnsi="Arial" w:cs="Arial"/>
        </w:rPr>
        <w:t xml:space="preserve"> by utilizing the tools and processes available under its own insolvency laws, akin to what it would do in a domestic insolvency scenario.</w:t>
      </w:r>
    </w:p>
    <w:p w14:paraId="3B7D75FE" w14:textId="77777777" w:rsidR="00580172" w:rsidRPr="00B168E0" w:rsidRDefault="00580172" w:rsidP="00580172">
      <w:pPr>
        <w:spacing w:line="360" w:lineRule="auto"/>
        <w:jc w:val="both"/>
        <w:rPr>
          <w:rFonts w:ascii="Arial" w:hAnsi="Arial" w:cs="Arial"/>
        </w:rPr>
      </w:pPr>
    </w:p>
    <w:p w14:paraId="62EF6B20" w14:textId="6645C35D" w:rsidR="00580172" w:rsidRPr="00B168E0" w:rsidRDefault="00580172" w:rsidP="00580172">
      <w:pPr>
        <w:spacing w:line="360" w:lineRule="auto"/>
        <w:jc w:val="both"/>
        <w:rPr>
          <w:rFonts w:ascii="Arial" w:hAnsi="Arial" w:cs="Arial"/>
        </w:rPr>
      </w:pPr>
      <w:r w:rsidRPr="00B168E0">
        <w:rPr>
          <w:rFonts w:ascii="Arial" w:hAnsi="Arial" w:cs="Arial"/>
        </w:rPr>
        <w:t>The</w:t>
      </w:r>
      <w:r w:rsidR="00AC1FDD">
        <w:rPr>
          <w:rFonts w:ascii="Arial" w:hAnsi="Arial" w:cs="Arial"/>
        </w:rPr>
        <w:t>y considered that the</w:t>
      </w:r>
      <w:r w:rsidRPr="00B168E0">
        <w:rPr>
          <w:rFonts w:ascii="Arial" w:hAnsi="Arial" w:cs="Arial"/>
        </w:rPr>
        <w:t xml:space="preserve"> overarching purpose of recognizing foreign insolvency proceedings is to prevent the need for initiating parallel proceedings in multiple jurisdictions. This recognition aims to enable foreign officeholders or creditors to access remedies they would have been entitled to if the proceedings had occurred domestically, thus facilitating a more streamlined and efficient handling of cross-border insolvencies.</w:t>
      </w:r>
    </w:p>
    <w:p w14:paraId="021580D8" w14:textId="77777777" w:rsidR="00BB2C25" w:rsidRPr="00B168E0" w:rsidRDefault="00BB2C25" w:rsidP="00BB2C25">
      <w:pPr>
        <w:spacing w:line="360" w:lineRule="auto"/>
        <w:jc w:val="both"/>
        <w:rPr>
          <w:rFonts w:ascii="Arial" w:hAnsi="Arial" w:cs="Arial"/>
        </w:rPr>
      </w:pPr>
    </w:p>
    <w:p w14:paraId="56E7D415" w14:textId="1CF3B011" w:rsidR="00BB2C25" w:rsidRPr="00B168E0" w:rsidRDefault="00BB2C25" w:rsidP="00BB2C25">
      <w:pPr>
        <w:spacing w:line="360" w:lineRule="auto"/>
        <w:jc w:val="both"/>
        <w:rPr>
          <w:rFonts w:ascii="Arial" w:hAnsi="Arial" w:cs="Arial"/>
        </w:rPr>
      </w:pPr>
      <w:r w:rsidRPr="00B168E0">
        <w:rPr>
          <w:rFonts w:ascii="Arial" w:hAnsi="Arial" w:cs="Arial"/>
        </w:rPr>
        <w:t xml:space="preserve">The </w:t>
      </w:r>
      <w:r w:rsidR="006B4163" w:rsidRPr="00B168E0">
        <w:rPr>
          <w:rFonts w:ascii="Arial" w:hAnsi="Arial" w:cs="Arial"/>
        </w:rPr>
        <w:t>final</w:t>
      </w:r>
      <w:r w:rsidRPr="00B168E0">
        <w:rPr>
          <w:rFonts w:ascii="Arial" w:hAnsi="Arial" w:cs="Arial"/>
        </w:rPr>
        <w:t xml:space="preserve"> point of contention addressed a misunderstanding regarding the nature of company shares. As a shareholder, Cambridge Gas was subject to the transactions Navigator </w:t>
      </w:r>
      <w:proofErr w:type="gramStart"/>
      <w:r w:rsidRPr="00B168E0">
        <w:rPr>
          <w:rFonts w:ascii="Arial" w:hAnsi="Arial" w:cs="Arial"/>
        </w:rPr>
        <w:t>entered into</w:t>
      </w:r>
      <w:proofErr w:type="gramEnd"/>
      <w:r w:rsidRPr="00B168E0">
        <w:rPr>
          <w:rFonts w:ascii="Arial" w:hAnsi="Arial" w:cs="Arial"/>
        </w:rPr>
        <w:t xml:space="preserve">, </w:t>
      </w:r>
      <w:r w:rsidRPr="00B168E0">
        <w:rPr>
          <w:rFonts w:ascii="Arial" w:hAnsi="Arial" w:cs="Arial"/>
        </w:rPr>
        <w:lastRenderedPageBreak/>
        <w:t>including the Chapter 11 reorganization plan in the US. Despite not formally submitting to the New York jurisdiction, Cambridge Gas had no economic stake in the proceedings and had sufficient opportunity to participate. Therefore, it was deemed fair for the reorganization plan to proceed, and the Court of Appeal’s decision to enforce this plan was upheld.</w:t>
      </w:r>
    </w:p>
    <w:p w14:paraId="7217E47F" w14:textId="77777777" w:rsidR="00084873" w:rsidRPr="00B168E0" w:rsidRDefault="00084873" w:rsidP="00805CAA">
      <w:pPr>
        <w:spacing w:line="360" w:lineRule="auto"/>
        <w:jc w:val="both"/>
        <w:rPr>
          <w:rFonts w:ascii="Arial" w:hAnsi="Arial" w:cs="Arial"/>
        </w:rPr>
      </w:pPr>
    </w:p>
    <w:p w14:paraId="6AC7B1CD" w14:textId="45734481" w:rsidR="00084873" w:rsidRPr="00B168E0" w:rsidRDefault="00084873" w:rsidP="00805CAA">
      <w:pPr>
        <w:spacing w:line="360" w:lineRule="auto"/>
        <w:jc w:val="both"/>
        <w:rPr>
          <w:rFonts w:ascii="Arial" w:hAnsi="Arial" w:cs="Arial"/>
        </w:rPr>
      </w:pPr>
      <w:r w:rsidRPr="00B168E0">
        <w:rPr>
          <w:rFonts w:ascii="Arial" w:hAnsi="Arial" w:cs="Arial"/>
        </w:rPr>
        <w:t>The case emphasized the importance of the "universal approach" to insolvency, wherein an insolvency proceeding in one jurisdiction can potentially have a worldwide effect on the debtor’s assets and liabilities.</w:t>
      </w:r>
    </w:p>
    <w:p w14:paraId="0BDA5DBB" w14:textId="77777777" w:rsidR="00084873" w:rsidRPr="00B168E0" w:rsidRDefault="00084873" w:rsidP="00805CAA">
      <w:pPr>
        <w:spacing w:line="360" w:lineRule="auto"/>
        <w:jc w:val="both"/>
        <w:rPr>
          <w:rFonts w:ascii="Arial" w:hAnsi="Arial" w:cs="Arial"/>
        </w:rPr>
      </w:pPr>
    </w:p>
    <w:p w14:paraId="417A1680" w14:textId="6DD04E5D" w:rsidR="00805CAA" w:rsidRPr="00B168E0" w:rsidRDefault="00805CAA" w:rsidP="00805CAA">
      <w:pPr>
        <w:spacing w:line="360" w:lineRule="auto"/>
        <w:jc w:val="both"/>
        <w:rPr>
          <w:rFonts w:ascii="Arial" w:hAnsi="Arial" w:cs="Arial"/>
        </w:rPr>
      </w:pPr>
      <w:r w:rsidRPr="00B168E0">
        <w:rPr>
          <w:rFonts w:ascii="Arial" w:hAnsi="Arial" w:cs="Arial"/>
        </w:rPr>
        <w:t xml:space="preserve">The </w:t>
      </w:r>
      <w:r w:rsidR="00084873" w:rsidRPr="00B168E0">
        <w:rPr>
          <w:rFonts w:ascii="Arial" w:hAnsi="Arial" w:cs="Arial"/>
        </w:rPr>
        <w:t>recommendation</w:t>
      </w:r>
      <w:r w:rsidRPr="00B168E0">
        <w:rPr>
          <w:rFonts w:ascii="Arial" w:hAnsi="Arial" w:cs="Arial"/>
        </w:rPr>
        <w:t xml:space="preserve"> was significant as it expanded </w:t>
      </w:r>
      <w:proofErr w:type="gramStart"/>
      <w:r w:rsidRPr="00B168E0">
        <w:rPr>
          <w:rFonts w:ascii="Arial" w:hAnsi="Arial" w:cs="Arial"/>
        </w:rPr>
        <w:t xml:space="preserve">the </w:t>
      </w:r>
      <w:r w:rsidR="00580172" w:rsidRPr="00B168E0">
        <w:rPr>
          <w:rFonts w:ascii="Arial" w:hAnsi="Arial" w:cs="Arial"/>
        </w:rPr>
        <w:t>then</w:t>
      </w:r>
      <w:proofErr w:type="gramEnd"/>
      <w:r w:rsidR="00580172" w:rsidRPr="00B168E0">
        <w:rPr>
          <w:rFonts w:ascii="Arial" w:hAnsi="Arial" w:cs="Arial"/>
        </w:rPr>
        <w:t xml:space="preserve"> </w:t>
      </w:r>
      <w:r w:rsidRPr="00B168E0">
        <w:rPr>
          <w:rFonts w:ascii="Arial" w:hAnsi="Arial" w:cs="Arial"/>
        </w:rPr>
        <w:t>understanding of cross-border insolvency recognition. The Privy Council noted that the cooperation between courts in different jurisdictions is essential to manage the assets and liabilities of insolvent debtors effectively.</w:t>
      </w:r>
    </w:p>
    <w:p w14:paraId="54267019" w14:textId="77777777" w:rsidR="00B168E0" w:rsidRDefault="00B168E0" w:rsidP="00805CAA">
      <w:pPr>
        <w:spacing w:line="360" w:lineRule="auto"/>
        <w:jc w:val="both"/>
        <w:rPr>
          <w:rFonts w:ascii="Arial" w:hAnsi="Arial" w:cs="Arial"/>
        </w:rPr>
      </w:pPr>
    </w:p>
    <w:p w14:paraId="710542F8" w14:textId="74C5E671" w:rsidR="00534FB9" w:rsidRDefault="00B73290" w:rsidP="00B315FF">
      <w:pPr>
        <w:spacing w:line="360" w:lineRule="auto"/>
        <w:jc w:val="both"/>
        <w:rPr>
          <w:rFonts w:ascii="Arial" w:hAnsi="Arial" w:cs="Arial"/>
        </w:rPr>
      </w:pPr>
      <w:r>
        <w:rPr>
          <w:rFonts w:ascii="Arial" w:hAnsi="Arial" w:cs="Arial"/>
        </w:rPr>
        <w:t xml:space="preserve">To summarise by reference to the inimitable </w:t>
      </w:r>
      <w:r w:rsidR="00534FB9" w:rsidRPr="00534FB9">
        <w:rPr>
          <w:rFonts w:ascii="Arial" w:hAnsi="Arial" w:cs="Arial"/>
        </w:rPr>
        <w:t>Lord Sumption</w:t>
      </w:r>
      <w:r>
        <w:rPr>
          <w:rFonts w:ascii="Arial" w:hAnsi="Arial" w:cs="Arial"/>
        </w:rPr>
        <w:t>,</w:t>
      </w:r>
      <w:r>
        <w:rPr>
          <w:rStyle w:val="FootnoteReference"/>
          <w:rFonts w:ascii="Arial" w:hAnsi="Arial" w:cs="Arial"/>
        </w:rPr>
        <w:footnoteReference w:id="11"/>
      </w:r>
      <w:r>
        <w:rPr>
          <w:rFonts w:ascii="Arial" w:hAnsi="Arial" w:cs="Arial"/>
        </w:rPr>
        <w:t xml:space="preserve"> </w:t>
      </w:r>
      <w:r w:rsidR="00534FB9" w:rsidRPr="00B73290">
        <w:rPr>
          <w:rFonts w:ascii="Arial" w:hAnsi="Arial" w:cs="Arial"/>
          <w:i/>
          <w:iCs/>
        </w:rPr>
        <w:t>Cambridge Gas</w:t>
      </w:r>
      <w:r w:rsidR="00534FB9" w:rsidRPr="00534FB9">
        <w:rPr>
          <w:rFonts w:ascii="Arial" w:hAnsi="Arial" w:cs="Arial"/>
        </w:rPr>
        <w:t xml:space="preserve"> supported three</w:t>
      </w:r>
      <w:r w:rsidR="00B315FF">
        <w:rPr>
          <w:rFonts w:ascii="Arial" w:hAnsi="Arial" w:cs="Arial"/>
        </w:rPr>
        <w:t xml:space="preserve"> </w:t>
      </w:r>
      <w:r w:rsidR="00534FB9" w:rsidRPr="00534FB9">
        <w:rPr>
          <w:rFonts w:ascii="Arial" w:hAnsi="Arial" w:cs="Arial"/>
        </w:rPr>
        <w:t xml:space="preserve">propositions: </w:t>
      </w:r>
    </w:p>
    <w:p w14:paraId="73C4F6C3" w14:textId="77777777" w:rsidR="0085353C" w:rsidRPr="00534FB9" w:rsidRDefault="0085353C" w:rsidP="00B315FF">
      <w:pPr>
        <w:spacing w:line="360" w:lineRule="auto"/>
        <w:jc w:val="both"/>
        <w:rPr>
          <w:rFonts w:ascii="Arial" w:hAnsi="Arial" w:cs="Arial"/>
        </w:rPr>
      </w:pPr>
    </w:p>
    <w:p w14:paraId="0307D5F1" w14:textId="77777777" w:rsidR="0097641F" w:rsidRDefault="00534FB9" w:rsidP="00534FB9">
      <w:pPr>
        <w:pStyle w:val="ListParagraph"/>
        <w:numPr>
          <w:ilvl w:val="0"/>
          <w:numId w:val="13"/>
        </w:numPr>
        <w:spacing w:line="360" w:lineRule="auto"/>
        <w:jc w:val="both"/>
        <w:rPr>
          <w:rFonts w:ascii="Arial" w:hAnsi="Arial" w:cs="Arial"/>
        </w:rPr>
      </w:pPr>
      <w:r w:rsidRPr="0097641F">
        <w:rPr>
          <w:rFonts w:ascii="Arial" w:hAnsi="Arial" w:cs="Arial"/>
        </w:rPr>
        <w:t>The principle of modified universalism exists. Thus, the court “</w:t>
      </w:r>
      <w:r w:rsidRPr="00D15F4E">
        <w:rPr>
          <w:rFonts w:ascii="Arial" w:hAnsi="Arial" w:cs="Arial"/>
          <w:i/>
          <w:iCs/>
        </w:rPr>
        <w:t>has a common law power to assist foreign winding-up proceedings so far as it properly can</w:t>
      </w:r>
      <w:r w:rsidRPr="0097641F">
        <w:rPr>
          <w:rFonts w:ascii="Arial" w:hAnsi="Arial" w:cs="Arial"/>
        </w:rPr>
        <w:t xml:space="preserve">”. </w:t>
      </w:r>
    </w:p>
    <w:p w14:paraId="18604443" w14:textId="77777777" w:rsidR="0085353C" w:rsidRDefault="0085353C" w:rsidP="0085353C">
      <w:pPr>
        <w:pStyle w:val="ListParagraph"/>
        <w:spacing w:line="360" w:lineRule="auto"/>
        <w:ind w:left="360"/>
        <w:jc w:val="both"/>
        <w:rPr>
          <w:rFonts w:ascii="Arial" w:hAnsi="Arial" w:cs="Arial"/>
        </w:rPr>
      </w:pPr>
    </w:p>
    <w:p w14:paraId="6AF98A87" w14:textId="77777777" w:rsidR="0097641F" w:rsidRDefault="00534FB9" w:rsidP="00534FB9">
      <w:pPr>
        <w:pStyle w:val="ListParagraph"/>
        <w:numPr>
          <w:ilvl w:val="0"/>
          <w:numId w:val="13"/>
        </w:numPr>
        <w:spacing w:line="360" w:lineRule="auto"/>
        <w:jc w:val="both"/>
        <w:rPr>
          <w:rFonts w:ascii="Arial" w:hAnsi="Arial" w:cs="Arial"/>
        </w:rPr>
      </w:pPr>
      <w:r w:rsidRPr="0097641F">
        <w:rPr>
          <w:rFonts w:ascii="Arial" w:hAnsi="Arial" w:cs="Arial"/>
        </w:rPr>
        <w:t>This assistance “</w:t>
      </w:r>
      <w:r w:rsidRPr="00D15F4E">
        <w:rPr>
          <w:rFonts w:ascii="Arial" w:hAnsi="Arial" w:cs="Arial"/>
          <w:i/>
          <w:iCs/>
        </w:rPr>
        <w:t>includes doing whatever [the local court] could properly have done in a domestic insolvency, subject to its own law and public policy</w:t>
      </w:r>
      <w:r w:rsidRPr="0097641F">
        <w:rPr>
          <w:rFonts w:ascii="Arial" w:hAnsi="Arial" w:cs="Arial"/>
        </w:rPr>
        <w:t xml:space="preserve">”. </w:t>
      </w:r>
    </w:p>
    <w:p w14:paraId="4512476A" w14:textId="77777777" w:rsidR="0085353C" w:rsidRDefault="0085353C" w:rsidP="0085353C">
      <w:pPr>
        <w:pStyle w:val="ListParagraph"/>
        <w:spacing w:line="360" w:lineRule="auto"/>
        <w:ind w:left="360"/>
        <w:jc w:val="both"/>
        <w:rPr>
          <w:rFonts w:ascii="Arial" w:hAnsi="Arial" w:cs="Arial"/>
        </w:rPr>
      </w:pPr>
    </w:p>
    <w:p w14:paraId="53C50F6A" w14:textId="17B4DB0C" w:rsidR="00534FB9" w:rsidRDefault="00534FB9" w:rsidP="00534FB9">
      <w:pPr>
        <w:pStyle w:val="ListParagraph"/>
        <w:numPr>
          <w:ilvl w:val="0"/>
          <w:numId w:val="13"/>
        </w:numPr>
        <w:spacing w:line="360" w:lineRule="auto"/>
        <w:jc w:val="both"/>
        <w:rPr>
          <w:rFonts w:ascii="Arial" w:hAnsi="Arial" w:cs="Arial"/>
        </w:rPr>
      </w:pPr>
      <w:r w:rsidRPr="0097641F">
        <w:rPr>
          <w:rFonts w:ascii="Arial" w:hAnsi="Arial" w:cs="Arial"/>
        </w:rPr>
        <w:t>By implication, “</w:t>
      </w:r>
      <w:r w:rsidRPr="00D15F4E">
        <w:rPr>
          <w:rFonts w:ascii="Arial" w:hAnsi="Arial" w:cs="Arial"/>
          <w:i/>
          <w:iCs/>
        </w:rPr>
        <w:t>this power is itself the source of [the local court’s] jurisdiction over those affected, and […] the absence of jurisdiction in rem</w:t>
      </w:r>
      <w:r w:rsidR="00B73290" w:rsidRPr="00D15F4E">
        <w:rPr>
          <w:rFonts w:ascii="Arial" w:hAnsi="Arial" w:cs="Arial"/>
          <w:i/>
          <w:iCs/>
        </w:rPr>
        <w:t xml:space="preserve"> or in </w:t>
      </w:r>
      <w:proofErr w:type="spellStart"/>
      <w:r w:rsidR="00B73290" w:rsidRPr="00D15F4E">
        <w:rPr>
          <w:rFonts w:ascii="Arial" w:hAnsi="Arial" w:cs="Arial"/>
          <w:i/>
          <w:iCs/>
        </w:rPr>
        <w:t>personam</w:t>
      </w:r>
      <w:proofErr w:type="spellEnd"/>
      <w:r w:rsidR="00B73290" w:rsidRPr="00D15F4E">
        <w:rPr>
          <w:rFonts w:ascii="Arial" w:hAnsi="Arial" w:cs="Arial"/>
          <w:i/>
          <w:iCs/>
        </w:rPr>
        <w:t xml:space="preserve"> according to ordinary common law principles is irrelevant</w:t>
      </w:r>
      <w:r w:rsidR="00B73290" w:rsidRPr="0097641F">
        <w:rPr>
          <w:rFonts w:ascii="Arial" w:hAnsi="Arial" w:cs="Arial"/>
        </w:rPr>
        <w:t>”.</w:t>
      </w:r>
    </w:p>
    <w:p w14:paraId="10C8ED85" w14:textId="77777777" w:rsidR="0097641F" w:rsidRDefault="0097641F" w:rsidP="0097641F">
      <w:pPr>
        <w:spacing w:line="360" w:lineRule="auto"/>
        <w:jc w:val="both"/>
        <w:rPr>
          <w:rFonts w:ascii="Arial" w:hAnsi="Arial" w:cs="Arial"/>
        </w:rPr>
      </w:pPr>
    </w:p>
    <w:p w14:paraId="7BCB542D" w14:textId="73B1AB91" w:rsidR="009A4F68" w:rsidRPr="00B168E0" w:rsidRDefault="00C34E3C" w:rsidP="00222FD5">
      <w:pPr>
        <w:pStyle w:val="Heading2"/>
        <w:rPr>
          <w:rFonts w:cs="Arial"/>
          <w:szCs w:val="22"/>
        </w:rPr>
      </w:pPr>
      <w:bookmarkStart w:id="7" w:name="_Toc164722704"/>
      <w:r w:rsidRPr="00B168E0">
        <w:rPr>
          <w:rFonts w:cs="Arial"/>
          <w:szCs w:val="22"/>
        </w:rPr>
        <w:t>HIH:</w:t>
      </w:r>
      <w:r w:rsidR="002C415F" w:rsidRPr="00B168E0">
        <w:rPr>
          <w:rFonts w:cs="Arial"/>
          <w:szCs w:val="22"/>
        </w:rPr>
        <w:t xml:space="preserve"> M</w:t>
      </w:r>
      <w:r w:rsidR="00382EFD" w:rsidRPr="00B168E0">
        <w:rPr>
          <w:rFonts w:cs="Arial"/>
          <w:szCs w:val="22"/>
        </w:rPr>
        <w:t>odified universalism</w:t>
      </w:r>
      <w:r w:rsidR="00C9597E" w:rsidRPr="00B168E0">
        <w:rPr>
          <w:rFonts w:cs="Arial"/>
          <w:szCs w:val="22"/>
        </w:rPr>
        <w:t xml:space="preserve"> </w:t>
      </w:r>
      <w:r w:rsidR="002C415F" w:rsidRPr="00B168E0">
        <w:rPr>
          <w:rFonts w:cs="Arial"/>
          <w:szCs w:val="22"/>
        </w:rPr>
        <w:t>prevails</w:t>
      </w:r>
      <w:r w:rsidR="00EB77D6" w:rsidRPr="00B168E0">
        <w:rPr>
          <w:rFonts w:cs="Arial"/>
          <w:szCs w:val="22"/>
        </w:rPr>
        <w:t xml:space="preserve"> in England</w:t>
      </w:r>
      <w:r w:rsidR="002C415F" w:rsidRPr="00B168E0">
        <w:rPr>
          <w:rFonts w:cs="Arial"/>
          <w:szCs w:val="22"/>
        </w:rPr>
        <w:t xml:space="preserve"> </w:t>
      </w:r>
      <w:r w:rsidRPr="00B168E0">
        <w:rPr>
          <w:rFonts w:cs="Arial"/>
          <w:szCs w:val="22"/>
        </w:rPr>
        <w:t xml:space="preserve">– albeit in the context of the </w:t>
      </w:r>
      <w:r w:rsidR="00C9597E" w:rsidRPr="00B168E0">
        <w:rPr>
          <w:rFonts w:cs="Arial"/>
          <w:szCs w:val="22"/>
        </w:rPr>
        <w:t xml:space="preserve">legislative </w:t>
      </w:r>
      <w:r w:rsidRPr="00B168E0">
        <w:rPr>
          <w:rFonts w:cs="Arial"/>
          <w:szCs w:val="22"/>
        </w:rPr>
        <w:t>regime</w:t>
      </w:r>
      <w:bookmarkEnd w:id="7"/>
    </w:p>
    <w:p w14:paraId="5D081780" w14:textId="77777777" w:rsidR="009A4F68" w:rsidRPr="00B168E0" w:rsidRDefault="009A4F68" w:rsidP="00C34E3C">
      <w:pPr>
        <w:keepNext/>
        <w:spacing w:line="360" w:lineRule="auto"/>
        <w:jc w:val="both"/>
        <w:rPr>
          <w:rFonts w:ascii="Arial" w:hAnsi="Arial" w:cs="Arial"/>
          <w:b/>
          <w:bCs/>
        </w:rPr>
      </w:pPr>
    </w:p>
    <w:p w14:paraId="28921F49" w14:textId="5CF7C001" w:rsidR="004B0B84" w:rsidRPr="00B168E0" w:rsidRDefault="007E4460" w:rsidP="0038028C">
      <w:pPr>
        <w:spacing w:line="360" w:lineRule="auto"/>
        <w:jc w:val="both"/>
        <w:rPr>
          <w:rFonts w:ascii="Arial" w:eastAsia="Times New Roman" w:hAnsi="Arial" w:cs="Arial"/>
          <w14:ligatures w14:val="none"/>
        </w:rPr>
      </w:pPr>
      <w:r w:rsidRPr="00B168E0">
        <w:rPr>
          <w:rFonts w:ascii="Arial" w:hAnsi="Arial" w:cs="Arial"/>
        </w:rPr>
        <w:t>In</w:t>
      </w:r>
      <w:r w:rsidR="00B11A09" w:rsidRPr="00B168E0">
        <w:rPr>
          <w:rFonts w:ascii="Arial" w:hAnsi="Arial" w:cs="Arial"/>
        </w:rPr>
        <w:t xml:space="preserve"> what was a</w:t>
      </w:r>
      <w:r w:rsidR="00105B47" w:rsidRPr="00B168E0">
        <w:rPr>
          <w:rFonts w:ascii="Arial" w:hAnsi="Arial" w:cs="Arial"/>
        </w:rPr>
        <w:t>nother</w:t>
      </w:r>
      <w:r w:rsidR="00B11A09" w:rsidRPr="00B168E0">
        <w:rPr>
          <w:rFonts w:ascii="Arial" w:hAnsi="Arial" w:cs="Arial"/>
        </w:rPr>
        <w:t xml:space="preserve"> significant j</w:t>
      </w:r>
      <w:r w:rsidR="00A40E45" w:rsidRPr="00B168E0">
        <w:rPr>
          <w:rFonts w:ascii="Arial" w:hAnsi="Arial" w:cs="Arial"/>
        </w:rPr>
        <w:t>ud</w:t>
      </w:r>
      <w:r w:rsidR="00B11A09" w:rsidRPr="00B168E0">
        <w:rPr>
          <w:rFonts w:ascii="Arial" w:hAnsi="Arial" w:cs="Arial"/>
        </w:rPr>
        <w:t xml:space="preserve">gment </w:t>
      </w:r>
      <w:r w:rsidR="00105B47" w:rsidRPr="00B168E0">
        <w:rPr>
          <w:rFonts w:ascii="Arial" w:hAnsi="Arial" w:cs="Arial"/>
        </w:rPr>
        <w:t>of its</w:t>
      </w:r>
      <w:r w:rsidR="00B11A09" w:rsidRPr="00B168E0">
        <w:rPr>
          <w:rFonts w:ascii="Arial" w:hAnsi="Arial" w:cs="Arial"/>
        </w:rPr>
        <w:t xml:space="preserve"> time,</w:t>
      </w:r>
      <w:r w:rsidR="00A40E45" w:rsidRPr="00B168E0">
        <w:rPr>
          <w:rStyle w:val="FootnoteReference"/>
          <w:rFonts w:ascii="Arial" w:hAnsi="Arial" w:cs="Arial"/>
        </w:rPr>
        <w:footnoteReference w:id="12"/>
      </w:r>
      <w:r w:rsidR="00105B47" w:rsidRPr="00B168E0">
        <w:rPr>
          <w:rFonts w:ascii="Arial" w:hAnsi="Arial" w:cs="Arial"/>
        </w:rPr>
        <w:t xml:space="preserve"> and following quickly on the heels of </w:t>
      </w:r>
      <w:r w:rsidR="00105B47" w:rsidRPr="00B168E0">
        <w:rPr>
          <w:rFonts w:ascii="Arial" w:hAnsi="Arial" w:cs="Arial"/>
          <w:i/>
          <w:iCs/>
        </w:rPr>
        <w:t>Cambridge Gas</w:t>
      </w:r>
      <w:r w:rsidR="00105B47" w:rsidRPr="00B168E0">
        <w:rPr>
          <w:rFonts w:ascii="Arial" w:hAnsi="Arial" w:cs="Arial"/>
        </w:rPr>
        <w:t>,</w:t>
      </w:r>
      <w:r w:rsidR="00B11A09" w:rsidRPr="00B168E0">
        <w:rPr>
          <w:rFonts w:ascii="Arial" w:hAnsi="Arial" w:cs="Arial"/>
        </w:rPr>
        <w:t xml:space="preserve"> </w:t>
      </w:r>
      <w:r w:rsidR="002F5E1D" w:rsidRPr="00B168E0">
        <w:rPr>
          <w:rFonts w:ascii="Arial" w:hAnsi="Arial" w:cs="Arial"/>
        </w:rPr>
        <w:t xml:space="preserve">in </w:t>
      </w:r>
      <w:r w:rsidR="002F5E1D" w:rsidRPr="00B168E0">
        <w:rPr>
          <w:rFonts w:ascii="Arial" w:hAnsi="Arial" w:cs="Arial"/>
          <w:i/>
          <w:iCs/>
        </w:rPr>
        <w:t>Re HIH Casualty and General Insurance Ltd</w:t>
      </w:r>
      <w:r w:rsidR="002F5E1D" w:rsidRPr="00B168E0">
        <w:rPr>
          <w:rFonts w:ascii="Arial" w:hAnsi="Arial" w:cs="Arial"/>
        </w:rPr>
        <w:t xml:space="preserve"> [2008] 1 WLR 852</w:t>
      </w:r>
      <w:r w:rsidRPr="00B168E0">
        <w:rPr>
          <w:rFonts w:ascii="Arial" w:hAnsi="Arial" w:cs="Arial"/>
        </w:rPr>
        <w:t xml:space="preserve">, </w:t>
      </w:r>
      <w:r w:rsidR="0015313C" w:rsidRPr="00B168E0">
        <w:rPr>
          <w:rFonts w:ascii="Arial" w:hAnsi="Arial" w:cs="Arial"/>
        </w:rPr>
        <w:t xml:space="preserve">the </w:t>
      </w:r>
      <w:r w:rsidR="00BD643B" w:rsidRPr="00B168E0">
        <w:rPr>
          <w:rFonts w:ascii="Arial" w:hAnsi="Arial" w:cs="Arial"/>
        </w:rPr>
        <w:t xml:space="preserve">then </w:t>
      </w:r>
      <w:r w:rsidR="00BD643B" w:rsidRPr="00B168E0">
        <w:rPr>
          <w:rFonts w:ascii="Arial" w:hAnsi="Arial" w:cs="Arial"/>
        </w:rPr>
        <w:lastRenderedPageBreak/>
        <w:t>called House of Lords (the highest court in England &amp; Wales)</w:t>
      </w:r>
      <w:r w:rsidR="009A4F68" w:rsidRPr="00B168E0">
        <w:rPr>
          <w:rFonts w:ascii="Arial" w:hAnsi="Arial" w:cs="Arial"/>
        </w:rPr>
        <w:t xml:space="preserve">, with an esteemed </w:t>
      </w:r>
      <w:r w:rsidR="00DC0658" w:rsidRPr="00B168E0">
        <w:rPr>
          <w:rFonts w:ascii="Arial" w:hAnsi="Arial" w:cs="Arial"/>
        </w:rPr>
        <w:t>panel</w:t>
      </w:r>
      <w:r w:rsidR="009A4F68" w:rsidRPr="00B168E0">
        <w:rPr>
          <w:rFonts w:ascii="Arial" w:hAnsi="Arial" w:cs="Arial"/>
        </w:rPr>
        <w:t xml:space="preserve"> of Lord Hoffman, Lord Neuberger, Lord Walker, Lord Phillips and Lord Scott,</w:t>
      </w:r>
      <w:r w:rsidR="0015313C" w:rsidRPr="00B168E0">
        <w:rPr>
          <w:rFonts w:ascii="Arial" w:hAnsi="Arial" w:cs="Arial"/>
        </w:rPr>
        <w:t xml:space="preserve"> </w:t>
      </w:r>
      <w:r w:rsidR="001C548A">
        <w:rPr>
          <w:rFonts w:ascii="Arial" w:hAnsi="Arial" w:cs="Arial"/>
        </w:rPr>
        <w:t>re-</w:t>
      </w:r>
      <w:r w:rsidR="00953006">
        <w:rPr>
          <w:rFonts w:ascii="Arial" w:hAnsi="Arial" w:cs="Arial"/>
        </w:rPr>
        <w:t>visited</w:t>
      </w:r>
      <w:r w:rsidR="001C548A">
        <w:rPr>
          <w:rFonts w:ascii="Arial" w:hAnsi="Arial" w:cs="Arial"/>
        </w:rPr>
        <w:t xml:space="preserve"> the first two of the </w:t>
      </w:r>
      <w:r w:rsidR="001C548A">
        <w:rPr>
          <w:rFonts w:ascii="Arial" w:hAnsi="Arial" w:cs="Arial"/>
          <w:i/>
          <w:iCs/>
        </w:rPr>
        <w:t xml:space="preserve">Cambridge Gas </w:t>
      </w:r>
      <w:r w:rsidR="001C548A">
        <w:rPr>
          <w:rFonts w:ascii="Arial" w:hAnsi="Arial" w:cs="Arial"/>
        </w:rPr>
        <w:t xml:space="preserve">propositions in a decision which </w:t>
      </w:r>
      <w:r w:rsidR="0015313C" w:rsidRPr="00B168E0">
        <w:rPr>
          <w:rFonts w:ascii="Arial" w:eastAsia="Times New Roman" w:hAnsi="Arial" w:cs="Arial"/>
          <w14:ligatures w14:val="none"/>
        </w:rPr>
        <w:t xml:space="preserve">considered how assets should be distributed among creditors in different countries when an insurance company </w:t>
      </w:r>
      <w:r w:rsidR="004D7EB7" w:rsidRPr="00B168E0">
        <w:rPr>
          <w:rFonts w:ascii="Arial" w:eastAsia="Times New Roman" w:hAnsi="Arial" w:cs="Arial"/>
          <w14:ligatures w14:val="none"/>
        </w:rPr>
        <w:t>went</w:t>
      </w:r>
      <w:r w:rsidR="0015313C" w:rsidRPr="00B168E0">
        <w:rPr>
          <w:rFonts w:ascii="Arial" w:eastAsia="Times New Roman" w:hAnsi="Arial" w:cs="Arial"/>
          <w14:ligatures w14:val="none"/>
        </w:rPr>
        <w:t xml:space="preserve"> insolvent across multiple jurisdictions.</w:t>
      </w:r>
    </w:p>
    <w:p w14:paraId="47A8848C" w14:textId="77777777" w:rsidR="003B4A23" w:rsidRPr="00B168E0" w:rsidRDefault="003B4A23" w:rsidP="0038028C">
      <w:pPr>
        <w:spacing w:line="360" w:lineRule="auto"/>
        <w:jc w:val="both"/>
        <w:rPr>
          <w:rFonts w:ascii="Arial" w:eastAsia="Times New Roman" w:hAnsi="Arial" w:cs="Arial"/>
          <w14:ligatures w14:val="none"/>
        </w:rPr>
      </w:pPr>
    </w:p>
    <w:p w14:paraId="26343B1D" w14:textId="76837EE6" w:rsidR="003B4A23" w:rsidRPr="00B168E0" w:rsidRDefault="003B4A23" w:rsidP="0038028C">
      <w:pPr>
        <w:spacing w:line="360" w:lineRule="auto"/>
        <w:jc w:val="both"/>
        <w:rPr>
          <w:rFonts w:ascii="Arial" w:eastAsia="Times New Roman" w:hAnsi="Arial" w:cs="Arial"/>
          <w14:ligatures w14:val="none"/>
        </w:rPr>
      </w:pPr>
      <w:r w:rsidRPr="00B168E0">
        <w:rPr>
          <w:rFonts w:ascii="Arial" w:eastAsia="Times New Roman" w:hAnsi="Arial" w:cs="Arial"/>
          <w14:ligatures w14:val="none"/>
        </w:rPr>
        <w:t xml:space="preserve">The issue before the House of Lords was </w:t>
      </w:r>
      <w:r w:rsidR="00BF4108" w:rsidRPr="00B168E0">
        <w:rPr>
          <w:rFonts w:ascii="Arial" w:eastAsia="Times New Roman" w:hAnsi="Arial" w:cs="Arial"/>
          <w14:ligatures w14:val="none"/>
        </w:rPr>
        <w:t xml:space="preserve">whether to </w:t>
      </w:r>
      <w:proofErr w:type="spellStart"/>
      <w:r w:rsidR="00BF4108" w:rsidRPr="00B168E0">
        <w:rPr>
          <w:rFonts w:ascii="Arial" w:eastAsia="Times New Roman" w:hAnsi="Arial" w:cs="Arial"/>
          <w14:ligatures w14:val="none"/>
        </w:rPr>
        <w:t>acede</w:t>
      </w:r>
      <w:proofErr w:type="spellEnd"/>
      <w:r w:rsidR="00BF4108" w:rsidRPr="00B168E0">
        <w:rPr>
          <w:rFonts w:ascii="Arial" w:eastAsia="Times New Roman" w:hAnsi="Arial" w:cs="Arial"/>
          <w14:ligatures w14:val="none"/>
        </w:rPr>
        <w:t xml:space="preserve"> to a letter of request from the Australian court to remit assets back to Australia in circumstances where </w:t>
      </w:r>
      <w:r w:rsidR="00770592">
        <w:rPr>
          <w:rFonts w:ascii="Arial" w:eastAsia="Times New Roman" w:hAnsi="Arial" w:cs="Arial"/>
          <w14:ligatures w14:val="none"/>
        </w:rPr>
        <w:t>four</w:t>
      </w:r>
      <w:r w:rsidR="00BF4108" w:rsidRPr="00B168E0">
        <w:rPr>
          <w:rFonts w:ascii="Arial" w:eastAsia="Times New Roman" w:hAnsi="Arial" w:cs="Arial"/>
          <w14:ligatures w14:val="none"/>
        </w:rPr>
        <w:t xml:space="preserve"> Australian companies were the subject of winding up proceedings in both Australia and England</w:t>
      </w:r>
      <w:r w:rsidRPr="00B168E0">
        <w:rPr>
          <w:rFonts w:ascii="Arial" w:eastAsia="Times New Roman" w:hAnsi="Arial" w:cs="Arial"/>
          <w14:ligatures w14:val="none"/>
        </w:rPr>
        <w:t xml:space="preserve">. The Court of Appeal had determined it had jursidiction but had declined to exercise it </w:t>
      </w:r>
      <w:r w:rsidR="00367A82" w:rsidRPr="00B168E0">
        <w:rPr>
          <w:rFonts w:ascii="Arial" w:eastAsia="Times New Roman" w:hAnsi="Arial" w:cs="Arial"/>
          <w14:ligatures w14:val="none"/>
        </w:rPr>
        <w:t xml:space="preserve">on the basis that English creditors would be worse off under a distribution pursuant to the Australian regime. </w:t>
      </w:r>
      <w:proofErr w:type="spellStart"/>
      <w:r w:rsidR="00367A82" w:rsidRPr="00B168E0">
        <w:rPr>
          <w:rFonts w:ascii="Arial" w:eastAsia="Times New Roman" w:hAnsi="Arial" w:cs="Arial"/>
          <w14:ligatures w14:val="none"/>
        </w:rPr>
        <w:t>Carnworth</w:t>
      </w:r>
      <w:proofErr w:type="spellEnd"/>
      <w:r w:rsidR="00367A82" w:rsidRPr="00B168E0">
        <w:rPr>
          <w:rFonts w:ascii="Arial" w:eastAsia="Times New Roman" w:hAnsi="Arial" w:cs="Arial"/>
          <w14:ligatures w14:val="none"/>
        </w:rPr>
        <w:t xml:space="preserve"> LJ determin</w:t>
      </w:r>
      <w:r w:rsidR="005E2530" w:rsidRPr="00B168E0">
        <w:rPr>
          <w:rFonts w:ascii="Arial" w:eastAsia="Times New Roman" w:hAnsi="Arial" w:cs="Arial"/>
          <w14:ligatures w14:val="none"/>
        </w:rPr>
        <w:t>ing that there was no “</w:t>
      </w:r>
      <w:r w:rsidR="005E2530" w:rsidRPr="00B168E0">
        <w:rPr>
          <w:rFonts w:ascii="Arial" w:eastAsia="Times New Roman" w:hAnsi="Arial" w:cs="Arial"/>
          <w:i/>
          <w:iCs/>
          <w14:ligatures w14:val="none"/>
        </w:rPr>
        <w:t xml:space="preserve">rule of private international law, or any other countervailing benefit” </w:t>
      </w:r>
      <w:r w:rsidR="005E2530" w:rsidRPr="00B168E0">
        <w:rPr>
          <w:rFonts w:ascii="Arial" w:eastAsia="Times New Roman" w:hAnsi="Arial" w:cs="Arial"/>
          <w14:ligatures w14:val="none"/>
        </w:rPr>
        <w:t>that would require the court</w:t>
      </w:r>
      <w:r w:rsidR="00262764">
        <w:rPr>
          <w:rFonts w:ascii="Arial" w:eastAsia="Times New Roman" w:hAnsi="Arial" w:cs="Arial"/>
          <w14:ligatures w14:val="none"/>
        </w:rPr>
        <w:t xml:space="preserve"> to</w:t>
      </w:r>
      <w:r w:rsidR="005E2530" w:rsidRPr="00B168E0">
        <w:rPr>
          <w:rFonts w:ascii="Arial" w:eastAsia="Times New Roman" w:hAnsi="Arial" w:cs="Arial"/>
          <w14:ligatures w14:val="none"/>
        </w:rPr>
        <w:t xml:space="preserve"> disregard the principles applicable under English insolvency law.</w:t>
      </w:r>
      <w:r w:rsidR="005E2530" w:rsidRPr="00B168E0">
        <w:rPr>
          <w:rStyle w:val="FootnoteReference"/>
          <w:rFonts w:ascii="Arial" w:eastAsia="Times New Roman" w:hAnsi="Arial" w:cs="Arial"/>
          <w14:ligatures w14:val="none"/>
        </w:rPr>
        <w:footnoteReference w:id="13"/>
      </w:r>
    </w:p>
    <w:p w14:paraId="630D85EE" w14:textId="77777777" w:rsidR="005E2530" w:rsidRPr="00B168E0" w:rsidRDefault="005E2530" w:rsidP="0038028C">
      <w:pPr>
        <w:spacing w:line="360" w:lineRule="auto"/>
        <w:jc w:val="both"/>
        <w:rPr>
          <w:rFonts w:ascii="Arial" w:eastAsia="Times New Roman" w:hAnsi="Arial" w:cs="Arial"/>
          <w14:ligatures w14:val="none"/>
        </w:rPr>
      </w:pPr>
    </w:p>
    <w:p w14:paraId="2BD3D480" w14:textId="6E3DC591" w:rsidR="005E2530" w:rsidRPr="00B168E0" w:rsidRDefault="005E2530" w:rsidP="0038028C">
      <w:pPr>
        <w:spacing w:line="360" w:lineRule="auto"/>
        <w:jc w:val="both"/>
        <w:rPr>
          <w:rFonts w:ascii="Arial" w:eastAsia="Times New Roman" w:hAnsi="Arial" w:cs="Arial"/>
          <w14:ligatures w14:val="none"/>
        </w:rPr>
      </w:pPr>
      <w:r w:rsidRPr="00B168E0">
        <w:rPr>
          <w:rFonts w:ascii="Arial" w:eastAsia="Times New Roman" w:hAnsi="Arial" w:cs="Arial"/>
          <w14:ligatures w14:val="none"/>
        </w:rPr>
        <w:t>Lord Millett</w:t>
      </w:r>
      <w:r w:rsidR="001B399F" w:rsidRPr="00B168E0">
        <w:rPr>
          <w:rFonts w:ascii="Arial" w:eastAsia="Times New Roman" w:hAnsi="Arial" w:cs="Arial"/>
          <w14:ligatures w14:val="none"/>
        </w:rPr>
        <w:t xml:space="preserve"> disagreed with this. </w:t>
      </w:r>
      <w:r w:rsidR="002848F8" w:rsidRPr="00B168E0">
        <w:rPr>
          <w:rFonts w:ascii="Arial" w:eastAsia="Times New Roman" w:hAnsi="Arial" w:cs="Arial"/>
          <w14:ligatures w14:val="none"/>
        </w:rPr>
        <w:t>H</w:t>
      </w:r>
      <w:r w:rsidR="001B399F" w:rsidRPr="00B168E0">
        <w:rPr>
          <w:rFonts w:ascii="Arial" w:eastAsia="Times New Roman" w:hAnsi="Arial" w:cs="Arial"/>
          <w14:ligatures w14:val="none"/>
        </w:rPr>
        <w:t xml:space="preserve">e </w:t>
      </w:r>
      <w:r w:rsidR="002848F8" w:rsidRPr="00B168E0">
        <w:rPr>
          <w:rFonts w:ascii="Arial" w:eastAsia="Times New Roman" w:hAnsi="Arial" w:cs="Arial"/>
          <w14:ligatures w14:val="none"/>
        </w:rPr>
        <w:t>considered</w:t>
      </w:r>
      <w:r w:rsidR="001B399F" w:rsidRPr="00B168E0">
        <w:rPr>
          <w:rFonts w:ascii="Arial" w:eastAsia="Times New Roman" w:hAnsi="Arial" w:cs="Arial"/>
          <w14:ligatures w14:val="none"/>
        </w:rPr>
        <w:t xml:space="preserve"> that</w:t>
      </w:r>
      <w:r w:rsidR="00D629CF" w:rsidRPr="00B168E0">
        <w:rPr>
          <w:rFonts w:ascii="Arial" w:eastAsia="Times New Roman" w:hAnsi="Arial" w:cs="Arial"/>
          <w14:ligatures w14:val="none"/>
        </w:rPr>
        <w:t>:</w:t>
      </w:r>
    </w:p>
    <w:p w14:paraId="6FB3BE1F" w14:textId="77777777" w:rsidR="00F434EA" w:rsidRPr="00B168E0" w:rsidRDefault="00F434EA" w:rsidP="0038028C">
      <w:pPr>
        <w:spacing w:line="360" w:lineRule="auto"/>
        <w:jc w:val="both"/>
        <w:rPr>
          <w:rFonts w:ascii="Arial" w:hAnsi="Arial" w:cs="Arial"/>
          <w:b/>
          <w:bCs/>
        </w:rPr>
      </w:pPr>
    </w:p>
    <w:p w14:paraId="6080F413" w14:textId="66843300" w:rsidR="00B1358B" w:rsidRPr="00B168E0" w:rsidRDefault="00B1358B" w:rsidP="00B1358B">
      <w:pPr>
        <w:spacing w:line="360" w:lineRule="auto"/>
        <w:ind w:left="720"/>
        <w:jc w:val="both"/>
        <w:rPr>
          <w:rFonts w:ascii="Arial" w:hAnsi="Arial" w:cs="Arial"/>
        </w:rPr>
      </w:pPr>
      <w:r w:rsidRPr="00B168E0">
        <w:rPr>
          <w:rFonts w:ascii="Arial" w:hAnsi="Arial" w:cs="Arial"/>
        </w:rPr>
        <w:t>“</w:t>
      </w:r>
      <w:r w:rsidRPr="00B168E0">
        <w:rPr>
          <w:rFonts w:ascii="Arial" w:hAnsi="Arial" w:cs="Arial"/>
          <w:i/>
          <w:iCs/>
        </w:rPr>
        <w:t>The primary rule of private international law which seems to me applicable to this case is the principle of (modified) universalism, which has been the golden thread running through English cross-border insolvency law since the 18th century. That principle requires that English courts should, so far as is consistent with justice and UK public policy, co-operate with the courts in the country of the principal liquidation to ensure that all the company's assets are distributed to its creditors under a single system of distribution. That is the purpose of the power to direct remittal.</w:t>
      </w:r>
      <w:r w:rsidR="00A73E3A" w:rsidRPr="00B168E0">
        <w:rPr>
          <w:rFonts w:ascii="Arial" w:hAnsi="Arial" w:cs="Arial"/>
        </w:rPr>
        <w:t>”</w:t>
      </w:r>
    </w:p>
    <w:p w14:paraId="4FD08BA3" w14:textId="77777777" w:rsidR="00DC3035" w:rsidRPr="00B168E0" w:rsidRDefault="00DC3035" w:rsidP="00B1358B">
      <w:pPr>
        <w:spacing w:line="360" w:lineRule="auto"/>
        <w:jc w:val="both"/>
        <w:rPr>
          <w:rFonts w:ascii="Arial" w:eastAsia="Times New Roman" w:hAnsi="Arial" w:cs="Arial"/>
          <w14:ligatures w14:val="none"/>
        </w:rPr>
      </w:pPr>
    </w:p>
    <w:p w14:paraId="482FEFCC" w14:textId="178ACD79" w:rsidR="00C338BE" w:rsidRPr="00B168E0" w:rsidRDefault="00C338BE" w:rsidP="00B1358B">
      <w:pPr>
        <w:spacing w:line="360" w:lineRule="auto"/>
        <w:jc w:val="both"/>
        <w:rPr>
          <w:rFonts w:ascii="Arial" w:eastAsia="Times New Roman" w:hAnsi="Arial" w:cs="Arial"/>
          <w14:ligatures w14:val="none"/>
        </w:rPr>
      </w:pPr>
      <w:r w:rsidRPr="00B168E0">
        <w:rPr>
          <w:rFonts w:ascii="Arial" w:eastAsia="Times New Roman" w:hAnsi="Arial" w:cs="Arial"/>
          <w14:ligatures w14:val="none"/>
        </w:rPr>
        <w:t xml:space="preserve">Being satisfied, amongst other things, that the companies were incorporated in Australia, their central management were in Australia and </w:t>
      </w:r>
      <w:proofErr w:type="gramStart"/>
      <w:r w:rsidRPr="00B168E0">
        <w:rPr>
          <w:rFonts w:ascii="Arial" w:eastAsia="Times New Roman" w:hAnsi="Arial" w:cs="Arial"/>
          <w14:ligatures w14:val="none"/>
        </w:rPr>
        <w:t>the overwhelming majority of</w:t>
      </w:r>
      <w:proofErr w:type="gramEnd"/>
      <w:r w:rsidRPr="00B168E0">
        <w:rPr>
          <w:rFonts w:ascii="Arial" w:eastAsia="Times New Roman" w:hAnsi="Arial" w:cs="Arial"/>
          <w14:ligatures w14:val="none"/>
        </w:rPr>
        <w:t xml:space="preserve"> their assets and liabilities are situated in Australia</w:t>
      </w:r>
      <w:r w:rsidR="00DC3035" w:rsidRPr="00B168E0">
        <w:rPr>
          <w:rFonts w:ascii="Arial" w:eastAsia="Times New Roman" w:hAnsi="Arial" w:cs="Arial"/>
          <w14:ligatures w14:val="none"/>
        </w:rPr>
        <w:t>, Lord Millett concluded that “</w:t>
      </w:r>
      <w:r w:rsidR="00DC3035" w:rsidRPr="00B168E0">
        <w:rPr>
          <w:rFonts w:ascii="Arial" w:eastAsia="Times New Roman" w:hAnsi="Arial" w:cs="Arial"/>
          <w:i/>
          <w:iCs/>
          <w14:ligatures w14:val="none"/>
        </w:rPr>
        <w:t>this is a case in which it is appropriate to give the principle of universalism full rein</w:t>
      </w:r>
      <w:r w:rsidR="00DC3035" w:rsidRPr="00B168E0">
        <w:rPr>
          <w:rFonts w:ascii="Arial" w:eastAsia="Times New Roman" w:hAnsi="Arial" w:cs="Arial"/>
          <w14:ligatures w14:val="none"/>
        </w:rPr>
        <w:t>.”</w:t>
      </w:r>
    </w:p>
    <w:p w14:paraId="75B516C8" w14:textId="77777777" w:rsidR="00D629CF" w:rsidRPr="00B168E0" w:rsidRDefault="00D629CF" w:rsidP="00B1358B">
      <w:pPr>
        <w:spacing w:line="360" w:lineRule="auto"/>
        <w:jc w:val="both"/>
        <w:rPr>
          <w:rFonts w:ascii="Arial" w:eastAsia="Times New Roman" w:hAnsi="Arial" w:cs="Arial"/>
          <w14:ligatures w14:val="none"/>
        </w:rPr>
      </w:pPr>
    </w:p>
    <w:p w14:paraId="5DDB8C23" w14:textId="61FDC1A3" w:rsidR="00D629CF" w:rsidRPr="00B168E0" w:rsidRDefault="00D629CF" w:rsidP="00B1358B">
      <w:pPr>
        <w:spacing w:line="360" w:lineRule="auto"/>
        <w:jc w:val="both"/>
        <w:rPr>
          <w:rFonts w:ascii="Arial" w:eastAsia="Times New Roman" w:hAnsi="Arial" w:cs="Arial"/>
          <w14:ligatures w14:val="none"/>
        </w:rPr>
      </w:pPr>
      <w:r w:rsidRPr="00B168E0">
        <w:rPr>
          <w:rFonts w:ascii="Arial" w:eastAsia="Times New Roman" w:hAnsi="Arial" w:cs="Arial"/>
          <w14:ligatures w14:val="none"/>
        </w:rPr>
        <w:t xml:space="preserve">What was particularly </w:t>
      </w:r>
      <w:r w:rsidR="003B5ABD" w:rsidRPr="00B168E0">
        <w:rPr>
          <w:rFonts w:ascii="Arial" w:eastAsia="Times New Roman" w:hAnsi="Arial" w:cs="Arial"/>
          <w14:ligatures w14:val="none"/>
        </w:rPr>
        <w:t>interesting</w:t>
      </w:r>
      <w:r w:rsidRPr="00B168E0">
        <w:rPr>
          <w:rFonts w:ascii="Arial" w:eastAsia="Times New Roman" w:hAnsi="Arial" w:cs="Arial"/>
          <w14:ligatures w14:val="none"/>
        </w:rPr>
        <w:t xml:space="preserve"> about this case is </w:t>
      </w:r>
      <w:r w:rsidR="006C18B2" w:rsidRPr="00B168E0">
        <w:rPr>
          <w:rFonts w:ascii="Arial" w:eastAsia="Times New Roman" w:hAnsi="Arial" w:cs="Arial"/>
          <w14:ligatures w14:val="none"/>
        </w:rPr>
        <w:t xml:space="preserve">that it left open the question as to whether assets could be remitted to a liquidator in a country whose insolvency scheme is not in accordance </w:t>
      </w:r>
      <w:r w:rsidR="006C18B2" w:rsidRPr="00B168E0">
        <w:rPr>
          <w:rFonts w:ascii="Arial" w:eastAsia="Times New Roman" w:hAnsi="Arial" w:cs="Arial"/>
          <w14:ligatures w14:val="none"/>
        </w:rPr>
        <w:lastRenderedPageBreak/>
        <w:t xml:space="preserve">with English law: In the instant case it was somewhat irrelevant because </w:t>
      </w:r>
      <w:r w:rsidR="006E6189" w:rsidRPr="00B168E0">
        <w:rPr>
          <w:rFonts w:ascii="Arial" w:eastAsia="Times New Roman" w:hAnsi="Arial" w:cs="Arial"/>
          <w14:ligatures w14:val="none"/>
        </w:rPr>
        <w:t>s426 occupied the field</w:t>
      </w:r>
      <w:r w:rsidR="00163213" w:rsidRPr="00B168E0">
        <w:rPr>
          <w:rFonts w:ascii="Arial" w:eastAsia="Times New Roman" w:hAnsi="Arial" w:cs="Arial"/>
          <w14:ligatures w14:val="none"/>
        </w:rPr>
        <w:t xml:space="preserve">. But the </w:t>
      </w:r>
      <w:r w:rsidR="004B025A" w:rsidRPr="00B168E0">
        <w:rPr>
          <w:rFonts w:ascii="Arial" w:eastAsia="Times New Roman" w:hAnsi="Arial" w:cs="Arial"/>
          <w14:ligatures w14:val="none"/>
        </w:rPr>
        <w:t>panel</w:t>
      </w:r>
      <w:r w:rsidR="00163213" w:rsidRPr="00B168E0">
        <w:rPr>
          <w:rFonts w:ascii="Arial" w:eastAsia="Times New Roman" w:hAnsi="Arial" w:cs="Arial"/>
          <w14:ligatures w14:val="none"/>
        </w:rPr>
        <w:t xml:space="preserve"> was </w:t>
      </w:r>
      <w:r w:rsidR="00BA7A79" w:rsidRPr="00B168E0">
        <w:rPr>
          <w:rFonts w:ascii="Arial" w:eastAsia="Times New Roman" w:hAnsi="Arial" w:cs="Arial"/>
          <w14:ligatures w14:val="none"/>
        </w:rPr>
        <w:t>split as</w:t>
      </w:r>
      <w:r w:rsidR="00EB4834" w:rsidRPr="00B168E0">
        <w:rPr>
          <w:rFonts w:ascii="Arial" w:eastAsia="Times New Roman" w:hAnsi="Arial" w:cs="Arial"/>
          <w14:ligatures w14:val="none"/>
        </w:rPr>
        <w:t xml:space="preserve"> to whether there was any discretion outside of s426</w:t>
      </w:r>
      <w:r w:rsidR="00953006">
        <w:rPr>
          <w:rFonts w:ascii="Arial" w:eastAsia="Times New Roman" w:hAnsi="Arial" w:cs="Arial"/>
          <w14:ligatures w14:val="none"/>
        </w:rPr>
        <w:t>:</w:t>
      </w:r>
      <w:r w:rsidR="00EB4834" w:rsidRPr="00B168E0">
        <w:rPr>
          <w:rFonts w:ascii="Arial" w:eastAsia="Times New Roman" w:hAnsi="Arial" w:cs="Arial"/>
          <w14:ligatures w14:val="none"/>
        </w:rPr>
        <w:t xml:space="preserve"> Lords Hoffman and Walker said </w:t>
      </w:r>
      <w:r w:rsidR="00FF6278" w:rsidRPr="00B168E0">
        <w:rPr>
          <w:rFonts w:ascii="Arial" w:eastAsia="Times New Roman" w:hAnsi="Arial" w:cs="Arial"/>
          <w14:ligatures w14:val="none"/>
        </w:rPr>
        <w:t>there was still an inherent power under common law that so far as consist</w:t>
      </w:r>
      <w:r w:rsidR="00885806">
        <w:rPr>
          <w:rFonts w:ascii="Arial" w:eastAsia="Times New Roman" w:hAnsi="Arial" w:cs="Arial"/>
          <w14:ligatures w14:val="none"/>
        </w:rPr>
        <w:t>e</w:t>
      </w:r>
      <w:r w:rsidR="002D0CBE">
        <w:rPr>
          <w:rFonts w:ascii="Arial" w:eastAsia="Times New Roman" w:hAnsi="Arial" w:cs="Arial"/>
          <w14:ligatures w14:val="none"/>
        </w:rPr>
        <w:t>nt</w:t>
      </w:r>
      <w:r w:rsidR="00FF6278" w:rsidRPr="00B168E0">
        <w:rPr>
          <w:rFonts w:ascii="Arial" w:eastAsia="Times New Roman" w:hAnsi="Arial" w:cs="Arial"/>
          <w14:ligatures w14:val="none"/>
        </w:rPr>
        <w:t xml:space="preserve"> with justice and UK public policy</w:t>
      </w:r>
      <w:r w:rsidR="00885806">
        <w:rPr>
          <w:rFonts w:ascii="Arial" w:eastAsia="Times New Roman" w:hAnsi="Arial" w:cs="Arial"/>
          <w14:ligatures w14:val="none"/>
        </w:rPr>
        <w:t xml:space="preserve"> (in this context, including legislation)</w:t>
      </w:r>
      <w:r w:rsidR="00FF6278" w:rsidRPr="00B168E0">
        <w:rPr>
          <w:rFonts w:ascii="Arial" w:eastAsia="Times New Roman" w:hAnsi="Arial" w:cs="Arial"/>
          <w14:ligatures w14:val="none"/>
        </w:rPr>
        <w:t xml:space="preserve"> then co-operation should be given; but</w:t>
      </w:r>
      <w:r w:rsidR="00EB4834" w:rsidRPr="00B168E0">
        <w:rPr>
          <w:rFonts w:ascii="Arial" w:eastAsia="Times New Roman" w:hAnsi="Arial" w:cs="Arial"/>
          <w14:ligatures w14:val="none"/>
        </w:rPr>
        <w:t xml:space="preserve"> </w:t>
      </w:r>
      <w:r w:rsidR="006E6189" w:rsidRPr="00B168E0">
        <w:rPr>
          <w:rFonts w:ascii="Arial" w:eastAsia="Times New Roman" w:hAnsi="Arial" w:cs="Arial"/>
          <w14:ligatures w14:val="none"/>
        </w:rPr>
        <w:t>L</w:t>
      </w:r>
      <w:r w:rsidR="00E3178E" w:rsidRPr="00B168E0">
        <w:rPr>
          <w:rFonts w:ascii="Arial" w:eastAsia="Times New Roman" w:hAnsi="Arial" w:cs="Arial"/>
          <w14:ligatures w14:val="none"/>
        </w:rPr>
        <w:t xml:space="preserve">ords Scott and Neuberger </w:t>
      </w:r>
      <w:r w:rsidR="00FF6278" w:rsidRPr="00B168E0">
        <w:rPr>
          <w:rFonts w:ascii="Arial" w:eastAsia="Times New Roman" w:hAnsi="Arial" w:cs="Arial"/>
          <w14:ligatures w14:val="none"/>
        </w:rPr>
        <w:t>thought there was no such discretion beyond the application o</w:t>
      </w:r>
      <w:r w:rsidR="0095654B" w:rsidRPr="00B168E0">
        <w:rPr>
          <w:rFonts w:ascii="Arial" w:eastAsia="Times New Roman" w:hAnsi="Arial" w:cs="Arial"/>
          <w14:ligatures w14:val="none"/>
        </w:rPr>
        <w:t>f</w:t>
      </w:r>
      <w:r w:rsidR="00FF6278" w:rsidRPr="00B168E0">
        <w:rPr>
          <w:rFonts w:ascii="Arial" w:eastAsia="Times New Roman" w:hAnsi="Arial" w:cs="Arial"/>
          <w14:ligatures w14:val="none"/>
        </w:rPr>
        <w:t xml:space="preserve"> s426.</w:t>
      </w:r>
      <w:r w:rsidR="006E6189" w:rsidRPr="00B168E0">
        <w:rPr>
          <w:rFonts w:ascii="Arial" w:eastAsia="Times New Roman" w:hAnsi="Arial" w:cs="Arial"/>
          <w14:ligatures w14:val="none"/>
        </w:rPr>
        <w:t xml:space="preserve"> </w:t>
      </w:r>
    </w:p>
    <w:p w14:paraId="48466DCB" w14:textId="77777777" w:rsidR="00885806" w:rsidRDefault="00885806" w:rsidP="00B168E0">
      <w:pPr>
        <w:pStyle w:val="Heading2"/>
        <w:rPr>
          <w:rFonts w:cs="Arial"/>
          <w:szCs w:val="22"/>
        </w:rPr>
      </w:pPr>
    </w:p>
    <w:p w14:paraId="74D0F015" w14:textId="16E41D58" w:rsidR="00F40491" w:rsidRPr="00B168E0" w:rsidRDefault="00EB77D6" w:rsidP="00B168E0">
      <w:pPr>
        <w:pStyle w:val="Heading2"/>
        <w:rPr>
          <w:rFonts w:cs="Arial"/>
          <w:szCs w:val="22"/>
        </w:rPr>
      </w:pPr>
      <w:bookmarkStart w:id="8" w:name="_Toc164722705"/>
      <w:r w:rsidRPr="00B168E0">
        <w:rPr>
          <w:rFonts w:cs="Arial"/>
          <w:szCs w:val="22"/>
        </w:rPr>
        <w:t>Cayman embraces Cambridge Gas</w:t>
      </w:r>
      <w:bookmarkEnd w:id="8"/>
    </w:p>
    <w:p w14:paraId="5FBE21AC" w14:textId="77777777" w:rsidR="00EB77D6" w:rsidRPr="00B168E0" w:rsidRDefault="00EB77D6" w:rsidP="001862DD">
      <w:pPr>
        <w:spacing w:line="360" w:lineRule="auto"/>
        <w:jc w:val="both"/>
        <w:rPr>
          <w:rFonts w:ascii="Arial" w:hAnsi="Arial" w:cs="Arial"/>
          <w:b/>
          <w:bCs/>
        </w:rPr>
      </w:pPr>
    </w:p>
    <w:p w14:paraId="002C992E" w14:textId="72C0001B" w:rsidR="00D656E3" w:rsidRPr="00B168E0" w:rsidRDefault="00A60772" w:rsidP="00D656E3">
      <w:pPr>
        <w:spacing w:line="360" w:lineRule="auto"/>
        <w:jc w:val="both"/>
        <w:rPr>
          <w:rFonts w:ascii="Arial" w:hAnsi="Arial" w:cs="Arial"/>
          <w:color w:val="0D0D0D"/>
          <w:shd w:val="clear" w:color="auto" w:fill="FFFFFF"/>
        </w:rPr>
      </w:pPr>
      <w:r w:rsidRPr="00B168E0">
        <w:rPr>
          <w:rFonts w:ascii="Arial" w:hAnsi="Arial" w:cs="Arial"/>
          <w:color w:val="0D0D0D"/>
          <w:shd w:val="clear" w:color="auto" w:fill="FFFFFF"/>
        </w:rPr>
        <w:t xml:space="preserve">Shortly after </w:t>
      </w:r>
      <w:r w:rsidRPr="00B168E0">
        <w:rPr>
          <w:rFonts w:ascii="Arial" w:hAnsi="Arial" w:cs="Arial"/>
          <w:i/>
          <w:iCs/>
          <w:color w:val="0D0D0D"/>
          <w:shd w:val="clear" w:color="auto" w:fill="FFFFFF"/>
        </w:rPr>
        <w:t>Cambridge Gas</w:t>
      </w:r>
      <w:r w:rsidRPr="00B168E0">
        <w:rPr>
          <w:rFonts w:ascii="Arial" w:hAnsi="Arial" w:cs="Arial"/>
          <w:color w:val="0D0D0D"/>
          <w:shd w:val="clear" w:color="auto" w:fill="FFFFFF"/>
        </w:rPr>
        <w:t xml:space="preserve"> and </w:t>
      </w:r>
      <w:r w:rsidRPr="00B168E0">
        <w:rPr>
          <w:rFonts w:ascii="Arial" w:hAnsi="Arial" w:cs="Arial"/>
          <w:i/>
          <w:iCs/>
          <w:color w:val="0D0D0D"/>
          <w:shd w:val="clear" w:color="auto" w:fill="FFFFFF"/>
        </w:rPr>
        <w:t>HIH</w:t>
      </w:r>
      <w:r w:rsidRPr="00B168E0">
        <w:rPr>
          <w:rFonts w:ascii="Arial" w:hAnsi="Arial" w:cs="Arial"/>
          <w:color w:val="0D0D0D"/>
          <w:shd w:val="clear" w:color="auto" w:fill="FFFFFF"/>
        </w:rPr>
        <w:t>, Cayman had its own opportunity to consider the bre</w:t>
      </w:r>
      <w:r w:rsidR="00B34569" w:rsidRPr="00B168E0">
        <w:rPr>
          <w:rFonts w:ascii="Arial" w:hAnsi="Arial" w:cs="Arial"/>
          <w:color w:val="0D0D0D"/>
          <w:shd w:val="clear" w:color="auto" w:fill="FFFFFF"/>
        </w:rPr>
        <w:t>a</w:t>
      </w:r>
      <w:r w:rsidRPr="00B168E0">
        <w:rPr>
          <w:rFonts w:ascii="Arial" w:hAnsi="Arial" w:cs="Arial"/>
          <w:color w:val="0D0D0D"/>
          <w:shd w:val="clear" w:color="auto" w:fill="FFFFFF"/>
        </w:rPr>
        <w:t xml:space="preserve">dth of </w:t>
      </w:r>
      <w:r w:rsidR="00850172" w:rsidRPr="00B168E0">
        <w:rPr>
          <w:rFonts w:ascii="Arial" w:hAnsi="Arial" w:cs="Arial"/>
          <w:color w:val="0D0D0D"/>
          <w:shd w:val="clear" w:color="auto" w:fill="FFFFFF"/>
        </w:rPr>
        <w:t xml:space="preserve">applicable </w:t>
      </w:r>
      <w:r w:rsidRPr="00B168E0">
        <w:rPr>
          <w:rFonts w:ascii="Arial" w:hAnsi="Arial" w:cs="Arial"/>
          <w:color w:val="0D0D0D"/>
          <w:shd w:val="clear" w:color="auto" w:fill="FFFFFF"/>
        </w:rPr>
        <w:t>universalism</w:t>
      </w:r>
      <w:r w:rsidR="00237D38" w:rsidRPr="00B168E0">
        <w:rPr>
          <w:rFonts w:ascii="Arial" w:hAnsi="Arial" w:cs="Arial"/>
          <w:color w:val="0D0D0D"/>
          <w:shd w:val="clear" w:color="auto" w:fill="FFFFFF"/>
        </w:rPr>
        <w:t xml:space="preserve"> </w:t>
      </w:r>
      <w:r w:rsidR="00850172" w:rsidRPr="00B168E0">
        <w:rPr>
          <w:rFonts w:ascii="Arial" w:hAnsi="Arial" w:cs="Arial"/>
          <w:color w:val="0D0D0D"/>
          <w:shd w:val="clear" w:color="auto" w:fill="FFFFFF"/>
        </w:rPr>
        <w:t xml:space="preserve">principles </w:t>
      </w:r>
      <w:r w:rsidR="00237D38" w:rsidRPr="00B168E0">
        <w:rPr>
          <w:rFonts w:ascii="Arial" w:hAnsi="Arial" w:cs="Arial"/>
          <w:color w:val="0D0D0D"/>
          <w:shd w:val="clear" w:color="auto" w:fill="FFFFFF"/>
        </w:rPr>
        <w:t>i</w:t>
      </w:r>
      <w:r w:rsidRPr="00B168E0">
        <w:rPr>
          <w:rFonts w:ascii="Arial" w:hAnsi="Arial" w:cs="Arial"/>
          <w:color w:val="0D0D0D"/>
          <w:shd w:val="clear" w:color="auto" w:fill="FFFFFF"/>
        </w:rPr>
        <w:t xml:space="preserve">n </w:t>
      </w:r>
      <w:r w:rsidRPr="00B168E0">
        <w:rPr>
          <w:rFonts w:ascii="Arial" w:hAnsi="Arial" w:cs="Arial"/>
          <w:i/>
          <w:iCs/>
          <w:color w:val="0D0D0D"/>
          <w:shd w:val="clear" w:color="auto" w:fill="FFFFFF"/>
        </w:rPr>
        <w:t>In t</w:t>
      </w:r>
      <w:r w:rsidR="00D656E3" w:rsidRPr="00B168E0">
        <w:rPr>
          <w:rFonts w:ascii="Arial" w:hAnsi="Arial" w:cs="Arial"/>
          <w:i/>
          <w:iCs/>
          <w:color w:val="0D0D0D"/>
          <w:shd w:val="clear" w:color="auto" w:fill="FFFFFF"/>
        </w:rPr>
        <w:t>he Matter of FUJI Food and Catering Services Holdings Limited</w:t>
      </w:r>
      <w:r w:rsidR="00D656E3" w:rsidRPr="00B168E0">
        <w:rPr>
          <w:rFonts w:ascii="Arial" w:hAnsi="Arial" w:cs="Arial"/>
          <w:color w:val="0D0D0D"/>
          <w:shd w:val="clear" w:color="auto" w:fill="FFFFFF"/>
        </w:rPr>
        <w:t xml:space="preserve"> (FSD Cause No: 222 of 2010, Grand Court of the Cayman Islands)</w:t>
      </w:r>
      <w:r w:rsidR="009220DB" w:rsidRPr="00B168E0">
        <w:rPr>
          <w:rFonts w:ascii="Arial" w:hAnsi="Arial" w:cs="Arial"/>
          <w:color w:val="0D0D0D"/>
          <w:shd w:val="clear" w:color="auto" w:fill="FFFFFF"/>
        </w:rPr>
        <w:t xml:space="preserve">, when the </w:t>
      </w:r>
      <w:r w:rsidR="00D656E3" w:rsidRPr="00B168E0">
        <w:rPr>
          <w:rFonts w:ascii="Arial" w:hAnsi="Arial" w:cs="Arial"/>
          <w:color w:val="0D0D0D"/>
          <w:shd w:val="clear" w:color="auto" w:fill="FFFFFF"/>
        </w:rPr>
        <w:t>High Court of Hong Kong</w:t>
      </w:r>
      <w:r w:rsidR="005F07E8" w:rsidRPr="00B168E0">
        <w:rPr>
          <w:rFonts w:ascii="Arial" w:hAnsi="Arial" w:cs="Arial"/>
          <w:color w:val="0D0D0D"/>
          <w:shd w:val="clear" w:color="auto" w:fill="FFFFFF"/>
        </w:rPr>
        <w:t xml:space="preserve"> sought the assistance of the Grand Court o</w:t>
      </w:r>
      <w:r w:rsidR="00D656E3" w:rsidRPr="00B168E0">
        <w:rPr>
          <w:rFonts w:ascii="Arial" w:hAnsi="Arial" w:cs="Arial"/>
          <w:color w:val="0D0D0D"/>
          <w:shd w:val="clear" w:color="auto" w:fill="FFFFFF"/>
        </w:rPr>
        <w:t>f the Cayman Islands</w:t>
      </w:r>
      <w:r w:rsidR="005F07E8" w:rsidRPr="00B168E0">
        <w:rPr>
          <w:rFonts w:ascii="Arial" w:hAnsi="Arial" w:cs="Arial"/>
          <w:color w:val="0D0D0D"/>
          <w:shd w:val="clear" w:color="auto" w:fill="FFFFFF"/>
        </w:rPr>
        <w:t xml:space="preserve"> to </w:t>
      </w:r>
      <w:r w:rsidR="004A70B0" w:rsidRPr="00B168E0">
        <w:rPr>
          <w:rFonts w:ascii="Arial" w:hAnsi="Arial" w:cs="Arial"/>
          <w:color w:val="0D0D0D"/>
          <w:shd w:val="clear" w:color="auto" w:fill="FFFFFF"/>
        </w:rPr>
        <w:t>stay pro</w:t>
      </w:r>
      <w:r w:rsidR="00053DD8" w:rsidRPr="00B168E0">
        <w:rPr>
          <w:rFonts w:ascii="Arial" w:hAnsi="Arial" w:cs="Arial"/>
          <w:color w:val="0D0D0D"/>
          <w:shd w:val="clear" w:color="auto" w:fill="FFFFFF"/>
        </w:rPr>
        <w:t>c</w:t>
      </w:r>
      <w:r w:rsidR="004A70B0" w:rsidRPr="00B168E0">
        <w:rPr>
          <w:rFonts w:ascii="Arial" w:hAnsi="Arial" w:cs="Arial"/>
          <w:color w:val="0D0D0D"/>
          <w:shd w:val="clear" w:color="auto" w:fill="FFFFFF"/>
        </w:rPr>
        <w:t xml:space="preserve">eedings in Cayman </w:t>
      </w:r>
      <w:r w:rsidR="00B34569" w:rsidRPr="00B168E0">
        <w:rPr>
          <w:rFonts w:ascii="Arial" w:hAnsi="Arial" w:cs="Arial"/>
          <w:color w:val="0D0D0D"/>
          <w:shd w:val="clear" w:color="auto" w:fill="FFFFFF"/>
        </w:rPr>
        <w:t>to enable a restructuring to be effected in Hong Kong</w:t>
      </w:r>
      <w:r w:rsidR="00474C1D" w:rsidRPr="00B168E0">
        <w:rPr>
          <w:rFonts w:ascii="Arial" w:hAnsi="Arial" w:cs="Arial"/>
          <w:color w:val="0D0D0D"/>
          <w:shd w:val="clear" w:color="auto" w:fill="FFFFFF"/>
        </w:rPr>
        <w:t xml:space="preserve"> and to</w:t>
      </w:r>
      <w:r w:rsidR="008D3D4E" w:rsidRPr="00B168E0">
        <w:rPr>
          <w:rFonts w:ascii="Arial" w:hAnsi="Arial" w:cs="Arial"/>
          <w:color w:val="0D0D0D"/>
          <w:shd w:val="clear" w:color="auto" w:fill="FFFFFF"/>
        </w:rPr>
        <w:t xml:space="preserve"> afford the Hong Kong appointed provisional liquidators the same powers as they would have been afforded had </w:t>
      </w:r>
      <w:r w:rsidR="00385F80">
        <w:rPr>
          <w:rFonts w:ascii="Arial" w:hAnsi="Arial" w:cs="Arial"/>
          <w:color w:val="0D0D0D"/>
          <w:shd w:val="clear" w:color="auto" w:fill="FFFFFF"/>
        </w:rPr>
        <w:t>they been appointed in Cayman</w:t>
      </w:r>
      <w:r w:rsidR="00D656E3" w:rsidRPr="00B168E0">
        <w:rPr>
          <w:rFonts w:ascii="Arial" w:hAnsi="Arial" w:cs="Arial"/>
          <w:color w:val="0D0D0D"/>
          <w:shd w:val="clear" w:color="auto" w:fill="FFFFFF"/>
        </w:rPr>
        <w:t>.</w:t>
      </w:r>
      <w:r w:rsidR="00B34569" w:rsidRPr="00B168E0">
        <w:rPr>
          <w:rFonts w:ascii="Arial" w:hAnsi="Arial" w:cs="Arial"/>
          <w:color w:val="0D0D0D"/>
          <w:shd w:val="clear" w:color="auto" w:fill="FFFFFF"/>
        </w:rPr>
        <w:t xml:space="preserve"> </w:t>
      </w:r>
      <w:r w:rsidR="00D656E3" w:rsidRPr="00B168E0">
        <w:rPr>
          <w:rFonts w:ascii="Arial" w:hAnsi="Arial" w:cs="Arial"/>
          <w:color w:val="0D0D0D"/>
          <w:shd w:val="clear" w:color="auto" w:fill="FFFFFF"/>
        </w:rPr>
        <w:t>Th</w:t>
      </w:r>
      <w:r w:rsidR="00B34569" w:rsidRPr="00B168E0">
        <w:rPr>
          <w:rFonts w:ascii="Arial" w:hAnsi="Arial" w:cs="Arial"/>
          <w:color w:val="0D0D0D"/>
          <w:shd w:val="clear" w:color="auto" w:fill="FFFFFF"/>
        </w:rPr>
        <w:t>e</w:t>
      </w:r>
      <w:r w:rsidR="00D656E3" w:rsidRPr="00B168E0">
        <w:rPr>
          <w:rFonts w:ascii="Arial" w:hAnsi="Arial" w:cs="Arial"/>
          <w:color w:val="0D0D0D"/>
          <w:shd w:val="clear" w:color="auto" w:fill="FFFFFF"/>
        </w:rPr>
        <w:t xml:space="preserve"> restructuring would have been unattainable if creditors continued to have the ability to initiate winding-up proceedings in the Cayman Islands, where the company was incorporated and domiciled, or to pursue debt recovery through the Cayman courts.</w:t>
      </w:r>
      <w:r w:rsidR="00252B7A">
        <w:rPr>
          <w:rFonts w:ascii="Arial" w:hAnsi="Arial" w:cs="Arial"/>
          <w:color w:val="0D0D0D"/>
          <w:shd w:val="clear" w:color="auto" w:fill="FFFFFF"/>
        </w:rPr>
        <w:t xml:space="preserve"> </w:t>
      </w:r>
      <w:r w:rsidR="00D656E3" w:rsidRPr="00B168E0">
        <w:rPr>
          <w:rFonts w:ascii="Arial" w:hAnsi="Arial" w:cs="Arial"/>
          <w:color w:val="0D0D0D"/>
          <w:shd w:val="clear" w:color="auto" w:fill="FFFFFF"/>
        </w:rPr>
        <w:t>Consequently, the company sought a stay of proceedings from the Cayman Courts and authorization for its Joint Provisional Liquidators (</w:t>
      </w:r>
      <w:r w:rsidR="00D656E3" w:rsidRPr="00D7312F">
        <w:rPr>
          <w:rFonts w:ascii="Arial" w:hAnsi="Arial" w:cs="Arial"/>
          <w:b/>
          <w:bCs/>
          <w:color w:val="0D0D0D"/>
          <w:shd w:val="clear" w:color="auto" w:fill="FFFFFF"/>
        </w:rPr>
        <w:t>JPLs</w:t>
      </w:r>
      <w:r w:rsidR="00D656E3" w:rsidRPr="00B168E0">
        <w:rPr>
          <w:rFonts w:ascii="Arial" w:hAnsi="Arial" w:cs="Arial"/>
          <w:color w:val="0D0D0D"/>
          <w:shd w:val="clear" w:color="auto" w:fill="FFFFFF"/>
        </w:rPr>
        <w:t>) to represent it locally, thus prompting the request to the High Court of Hong Kong.</w:t>
      </w:r>
    </w:p>
    <w:p w14:paraId="49FD350E" w14:textId="77777777" w:rsidR="00D656E3" w:rsidRPr="00B168E0" w:rsidRDefault="00D656E3" w:rsidP="00D656E3">
      <w:pPr>
        <w:spacing w:line="360" w:lineRule="auto"/>
        <w:jc w:val="both"/>
        <w:rPr>
          <w:rFonts w:ascii="Arial" w:hAnsi="Arial" w:cs="Arial"/>
          <w:color w:val="0D0D0D"/>
          <w:shd w:val="clear" w:color="auto" w:fill="FFFFFF"/>
        </w:rPr>
      </w:pPr>
    </w:p>
    <w:p w14:paraId="11E92E89" w14:textId="77777777" w:rsidR="00D656E3" w:rsidRPr="00B168E0" w:rsidRDefault="00D656E3" w:rsidP="00D656E3">
      <w:pPr>
        <w:spacing w:line="360" w:lineRule="auto"/>
        <w:jc w:val="both"/>
        <w:rPr>
          <w:rFonts w:ascii="Arial" w:hAnsi="Arial" w:cs="Arial"/>
          <w:color w:val="0D0D0D"/>
          <w:shd w:val="clear" w:color="auto" w:fill="FFFFFF"/>
        </w:rPr>
      </w:pPr>
      <w:r w:rsidRPr="00B168E0">
        <w:rPr>
          <w:rFonts w:ascii="Arial" w:hAnsi="Arial" w:cs="Arial"/>
          <w:color w:val="0D0D0D"/>
          <w:shd w:val="clear" w:color="auto" w:fill="FFFFFF"/>
        </w:rPr>
        <w:t xml:space="preserve">The Grand Court acknowledged its inherent common law jurisdiction to send or receive requests for judicial assistance. It recognized the restructuring's aim to safeguard the interests of all creditors and the company itself, allowing it to resume trading on the HKSE as a going concern. The court deemed the request from the High Court as justified, noting no public policy </w:t>
      </w:r>
      <w:proofErr w:type="gramStart"/>
      <w:r w:rsidRPr="00B168E0">
        <w:rPr>
          <w:rFonts w:ascii="Arial" w:hAnsi="Arial" w:cs="Arial"/>
          <w:color w:val="0D0D0D"/>
          <w:shd w:val="clear" w:color="auto" w:fill="FFFFFF"/>
        </w:rPr>
        <w:t>concerns</w:t>
      </w:r>
      <w:proofErr w:type="gramEnd"/>
      <w:r w:rsidRPr="00B168E0">
        <w:rPr>
          <w:rFonts w:ascii="Arial" w:hAnsi="Arial" w:cs="Arial"/>
          <w:color w:val="0D0D0D"/>
          <w:shd w:val="clear" w:color="auto" w:fill="FFFFFF"/>
        </w:rPr>
        <w:t xml:space="preserve"> and affirming the application of the universality principle. It referenced </w:t>
      </w:r>
      <w:r w:rsidRPr="00B168E0">
        <w:rPr>
          <w:rFonts w:ascii="Arial" w:hAnsi="Arial" w:cs="Arial"/>
          <w:i/>
          <w:iCs/>
          <w:color w:val="0D0D0D"/>
          <w:shd w:val="clear" w:color="auto" w:fill="FFFFFF"/>
        </w:rPr>
        <w:t>Cambridge Gas</w:t>
      </w:r>
      <w:r w:rsidRPr="00B168E0">
        <w:rPr>
          <w:rFonts w:ascii="Arial" w:hAnsi="Arial" w:cs="Arial"/>
          <w:color w:val="0D0D0D"/>
          <w:shd w:val="clear" w:color="auto" w:fill="FFFFFF"/>
        </w:rPr>
        <w:t>, emphasizing the recognition's purpose to prevent parallel insolvency proceedings and provide remedies as if the proceedings were domestic.</w:t>
      </w:r>
    </w:p>
    <w:p w14:paraId="39AAF478" w14:textId="77777777" w:rsidR="00D656E3" w:rsidRPr="00B168E0" w:rsidRDefault="00D656E3" w:rsidP="00D656E3">
      <w:pPr>
        <w:spacing w:line="360" w:lineRule="auto"/>
        <w:jc w:val="both"/>
        <w:rPr>
          <w:rFonts w:ascii="Arial" w:hAnsi="Arial" w:cs="Arial"/>
          <w:color w:val="0D0D0D"/>
          <w:shd w:val="clear" w:color="auto" w:fill="FFFFFF"/>
        </w:rPr>
      </w:pPr>
    </w:p>
    <w:p w14:paraId="6E7169FF" w14:textId="39F4D697" w:rsidR="00D656E3" w:rsidRPr="00B168E0" w:rsidRDefault="00D656E3" w:rsidP="00D656E3">
      <w:pPr>
        <w:spacing w:line="360" w:lineRule="auto"/>
        <w:jc w:val="both"/>
        <w:rPr>
          <w:rFonts w:ascii="Arial" w:hAnsi="Arial" w:cs="Arial"/>
          <w:color w:val="0D0D0D"/>
          <w:shd w:val="clear" w:color="auto" w:fill="FFFFFF"/>
        </w:rPr>
      </w:pPr>
      <w:r w:rsidRPr="00B168E0">
        <w:rPr>
          <w:rFonts w:ascii="Arial" w:hAnsi="Arial" w:cs="Arial"/>
          <w:color w:val="0D0D0D"/>
          <w:shd w:val="clear" w:color="auto" w:fill="FFFFFF"/>
        </w:rPr>
        <w:t xml:space="preserve">The Grand Court recognized the substantial connection of </w:t>
      </w:r>
      <w:r w:rsidR="005F07E8" w:rsidRPr="00B168E0">
        <w:rPr>
          <w:rFonts w:ascii="Arial" w:hAnsi="Arial" w:cs="Arial"/>
          <w:color w:val="0D0D0D"/>
          <w:shd w:val="clear" w:color="auto" w:fill="FFFFFF"/>
        </w:rPr>
        <w:t>FUJI</w:t>
      </w:r>
      <w:r w:rsidRPr="00B168E0">
        <w:rPr>
          <w:rFonts w:ascii="Arial" w:hAnsi="Arial" w:cs="Arial"/>
          <w:color w:val="0D0D0D"/>
          <w:shd w:val="clear" w:color="auto" w:fill="FFFFFF"/>
        </w:rPr>
        <w:t xml:space="preserve"> Food Ltd to Hong Kong, where the company managed its main business operations and secured financing. The restructuring intended to re-list the company on the HKSE and sustain its Hong Kong operations post-provisional liquidation without leading to winding up.</w:t>
      </w:r>
    </w:p>
    <w:p w14:paraId="0FFC43A4" w14:textId="77777777" w:rsidR="00D656E3" w:rsidRPr="00B168E0" w:rsidRDefault="00D656E3" w:rsidP="00D656E3">
      <w:pPr>
        <w:spacing w:line="360" w:lineRule="auto"/>
        <w:jc w:val="both"/>
        <w:rPr>
          <w:rFonts w:ascii="Arial" w:hAnsi="Arial" w:cs="Arial"/>
          <w:color w:val="0D0D0D"/>
          <w:shd w:val="clear" w:color="auto" w:fill="FFFFFF"/>
        </w:rPr>
      </w:pPr>
    </w:p>
    <w:p w14:paraId="5BBBA28C" w14:textId="5ECD9902" w:rsidR="00D656E3" w:rsidRPr="00B168E0" w:rsidRDefault="00D656E3" w:rsidP="00D656E3">
      <w:pPr>
        <w:spacing w:line="360" w:lineRule="auto"/>
        <w:jc w:val="both"/>
        <w:rPr>
          <w:rFonts w:ascii="Arial" w:hAnsi="Arial" w:cs="Arial"/>
          <w:color w:val="0D0D0D"/>
          <w:shd w:val="clear" w:color="auto" w:fill="FFFFFF"/>
        </w:rPr>
      </w:pPr>
      <w:r w:rsidRPr="00B168E0">
        <w:rPr>
          <w:rFonts w:ascii="Arial" w:hAnsi="Arial" w:cs="Arial"/>
          <w:color w:val="0D0D0D"/>
          <w:shd w:val="clear" w:color="auto" w:fill="FFFFFF"/>
        </w:rPr>
        <w:t xml:space="preserve">It was ruled that the JPLs be fully recognized as if appointed by the Grand Court, including the authority to modify the company's capital structure as per their Appointment Order. Furthermore, section 97 of the Cayman Islands Companies </w:t>
      </w:r>
      <w:r w:rsidR="000C764C">
        <w:rPr>
          <w:rFonts w:ascii="Arial" w:hAnsi="Arial" w:cs="Arial"/>
          <w:color w:val="0D0D0D"/>
          <w:shd w:val="clear" w:color="auto" w:fill="FFFFFF"/>
        </w:rPr>
        <w:t>Law (as it then was)</w:t>
      </w:r>
      <w:r w:rsidRPr="00B168E0">
        <w:rPr>
          <w:rFonts w:ascii="Arial" w:hAnsi="Arial" w:cs="Arial"/>
          <w:color w:val="0D0D0D"/>
          <w:shd w:val="clear" w:color="auto" w:fill="FFFFFF"/>
        </w:rPr>
        <w:t xml:space="preserve"> was applied, prohibiting any legal actions against the company without court approval. The JPLs were also granted the liberty to approach the Grand Court regarding any relevant matters during their tenure.</w:t>
      </w:r>
    </w:p>
    <w:p w14:paraId="4857C8FF" w14:textId="77777777" w:rsidR="00D656E3" w:rsidRPr="00B168E0" w:rsidRDefault="00D656E3" w:rsidP="00D656E3">
      <w:pPr>
        <w:spacing w:line="360" w:lineRule="auto"/>
        <w:jc w:val="both"/>
        <w:rPr>
          <w:rFonts w:ascii="Arial" w:hAnsi="Arial" w:cs="Arial"/>
          <w:color w:val="0D0D0D"/>
          <w:shd w:val="clear" w:color="auto" w:fill="FFFFFF"/>
        </w:rPr>
      </w:pPr>
    </w:p>
    <w:p w14:paraId="3B49DFF0" w14:textId="6AC6CD4E" w:rsidR="002249DE" w:rsidRPr="00B168E0" w:rsidRDefault="00D656E3" w:rsidP="00D656E3">
      <w:pPr>
        <w:spacing w:line="360" w:lineRule="auto"/>
        <w:jc w:val="both"/>
        <w:rPr>
          <w:rFonts w:ascii="Arial" w:hAnsi="Arial" w:cs="Arial"/>
          <w:color w:val="0D0D0D"/>
          <w:shd w:val="clear" w:color="auto" w:fill="FFFFFF"/>
        </w:rPr>
      </w:pPr>
      <w:r w:rsidRPr="00B168E0">
        <w:rPr>
          <w:rFonts w:ascii="Arial" w:hAnsi="Arial" w:cs="Arial"/>
          <w:color w:val="0D0D0D"/>
          <w:shd w:val="clear" w:color="auto" w:fill="FFFFFF"/>
        </w:rPr>
        <w:t>However, the court noted potential complications in aligning with foreign insolvency proceedings, especially if there are compelling reasons for local winding up or existing local proceedings. Such challenges would be addressed on an individual basis, guided by principles of private international law as delineated in Article 29 of the UNCITRAL Model Law, which typically prioritizes local proceedings over foreign ones.</w:t>
      </w:r>
    </w:p>
    <w:p w14:paraId="5F853589" w14:textId="77777777" w:rsidR="00F40491" w:rsidRPr="00B168E0" w:rsidRDefault="00F40491" w:rsidP="001862DD">
      <w:pPr>
        <w:spacing w:line="360" w:lineRule="auto"/>
        <w:jc w:val="both"/>
        <w:rPr>
          <w:rFonts w:ascii="Arial" w:hAnsi="Arial" w:cs="Arial"/>
          <w:b/>
          <w:bCs/>
        </w:rPr>
      </w:pPr>
    </w:p>
    <w:p w14:paraId="4E452220" w14:textId="2950B30A" w:rsidR="00F40491" w:rsidRPr="00B168E0" w:rsidRDefault="00F40491" w:rsidP="00222FD5">
      <w:pPr>
        <w:pStyle w:val="Heading2"/>
        <w:rPr>
          <w:rFonts w:cs="Arial"/>
          <w:szCs w:val="22"/>
        </w:rPr>
      </w:pPr>
      <w:bookmarkStart w:id="9" w:name="_Toc164722706"/>
      <w:r w:rsidRPr="00B168E0">
        <w:rPr>
          <w:rFonts w:cs="Arial"/>
          <w:szCs w:val="22"/>
        </w:rPr>
        <w:t>Rubin</w:t>
      </w:r>
      <w:bookmarkEnd w:id="9"/>
    </w:p>
    <w:p w14:paraId="567A5A60" w14:textId="77777777" w:rsidR="007C2088" w:rsidRPr="00B168E0" w:rsidRDefault="007C2088" w:rsidP="001862DD">
      <w:pPr>
        <w:spacing w:line="360" w:lineRule="auto"/>
        <w:jc w:val="both"/>
        <w:rPr>
          <w:rFonts w:ascii="Arial" w:hAnsi="Arial" w:cs="Arial"/>
        </w:rPr>
      </w:pPr>
    </w:p>
    <w:p w14:paraId="633DD621" w14:textId="320A6E8B" w:rsidR="00E34780" w:rsidRPr="00B168E0" w:rsidRDefault="0098267A" w:rsidP="0098267A">
      <w:pPr>
        <w:spacing w:line="360" w:lineRule="auto"/>
        <w:jc w:val="both"/>
        <w:rPr>
          <w:rFonts w:ascii="Arial" w:hAnsi="Arial" w:cs="Arial"/>
        </w:rPr>
      </w:pPr>
      <w:r w:rsidRPr="00B168E0">
        <w:rPr>
          <w:rFonts w:ascii="Arial" w:hAnsi="Arial" w:cs="Arial"/>
        </w:rPr>
        <w:t xml:space="preserve">Four years after the </w:t>
      </w:r>
      <w:r w:rsidRPr="00B168E0">
        <w:rPr>
          <w:rFonts w:ascii="Arial" w:hAnsi="Arial" w:cs="Arial"/>
          <w:i/>
          <w:iCs/>
        </w:rPr>
        <w:t>Cambridge Gas</w:t>
      </w:r>
      <w:r w:rsidRPr="00B168E0">
        <w:rPr>
          <w:rFonts w:ascii="Arial" w:hAnsi="Arial" w:cs="Arial"/>
        </w:rPr>
        <w:t xml:space="preserve"> decision, common law universalism faced significant challenges </w:t>
      </w:r>
      <w:r w:rsidR="00AE6227" w:rsidRPr="00B168E0">
        <w:rPr>
          <w:rFonts w:ascii="Arial" w:hAnsi="Arial" w:cs="Arial"/>
        </w:rPr>
        <w:t>following the Supreme Court</w:t>
      </w:r>
      <w:r w:rsidR="00AE6227" w:rsidRPr="00B168E0">
        <w:rPr>
          <w:rStyle w:val="FootnoteReference"/>
          <w:rFonts w:ascii="Arial" w:hAnsi="Arial" w:cs="Arial"/>
        </w:rPr>
        <w:footnoteReference w:id="14"/>
      </w:r>
      <w:r w:rsidR="00AE6227" w:rsidRPr="00B168E0">
        <w:rPr>
          <w:rFonts w:ascii="Arial" w:hAnsi="Arial" w:cs="Arial"/>
        </w:rPr>
        <w:t xml:space="preserve"> decision in</w:t>
      </w:r>
      <w:r w:rsidRPr="00B168E0">
        <w:rPr>
          <w:rFonts w:ascii="Arial" w:hAnsi="Arial" w:cs="Arial"/>
        </w:rPr>
        <w:t xml:space="preserve"> </w:t>
      </w:r>
      <w:r w:rsidRPr="00B168E0">
        <w:rPr>
          <w:rFonts w:ascii="Arial" w:hAnsi="Arial" w:cs="Arial"/>
          <w:i/>
          <w:iCs/>
        </w:rPr>
        <w:t>Rubin</w:t>
      </w:r>
      <w:r w:rsidRPr="00B168E0">
        <w:rPr>
          <w:rFonts w:ascii="Arial" w:hAnsi="Arial" w:cs="Arial"/>
        </w:rPr>
        <w:t>.</w:t>
      </w:r>
      <w:r w:rsidR="0028007C" w:rsidRPr="00B168E0">
        <w:rPr>
          <w:rStyle w:val="FootnoteReference"/>
          <w:rFonts w:ascii="Arial" w:hAnsi="Arial" w:cs="Arial"/>
        </w:rPr>
        <w:footnoteReference w:id="15"/>
      </w:r>
      <w:r w:rsidRPr="00B168E0">
        <w:rPr>
          <w:rFonts w:ascii="Arial" w:hAnsi="Arial" w:cs="Arial"/>
        </w:rPr>
        <w:t xml:space="preserve"> </w:t>
      </w:r>
    </w:p>
    <w:p w14:paraId="54B663E6" w14:textId="77777777" w:rsidR="00AE6227" w:rsidRPr="00B168E0" w:rsidRDefault="00AE6227" w:rsidP="00E34780">
      <w:pPr>
        <w:spacing w:line="360" w:lineRule="auto"/>
        <w:jc w:val="both"/>
        <w:rPr>
          <w:rFonts w:ascii="Arial" w:hAnsi="Arial" w:cs="Arial"/>
        </w:rPr>
      </w:pPr>
    </w:p>
    <w:p w14:paraId="52644F45" w14:textId="154BA178" w:rsidR="00E34780" w:rsidRPr="00B168E0" w:rsidRDefault="00E34780" w:rsidP="00E34780">
      <w:pPr>
        <w:spacing w:line="360" w:lineRule="auto"/>
        <w:jc w:val="both"/>
        <w:rPr>
          <w:rFonts w:ascii="Arial" w:hAnsi="Arial" w:cs="Arial"/>
        </w:rPr>
      </w:pPr>
      <w:r w:rsidRPr="00B168E0">
        <w:rPr>
          <w:rFonts w:ascii="Arial" w:hAnsi="Arial" w:cs="Arial"/>
        </w:rPr>
        <w:t xml:space="preserve">The </w:t>
      </w:r>
      <w:r w:rsidRPr="00B168E0">
        <w:rPr>
          <w:rFonts w:ascii="Arial" w:hAnsi="Arial" w:cs="Arial"/>
          <w:i/>
          <w:iCs/>
        </w:rPr>
        <w:t xml:space="preserve">Rubin </w:t>
      </w:r>
      <w:r w:rsidRPr="00B168E0">
        <w:rPr>
          <w:rFonts w:ascii="Arial" w:hAnsi="Arial" w:cs="Arial"/>
        </w:rPr>
        <w:t>decision involved two cases where liquidators were seeking to enforce in England</w:t>
      </w:r>
      <w:r w:rsidR="00913C5E">
        <w:rPr>
          <w:rFonts w:ascii="Arial" w:hAnsi="Arial" w:cs="Arial"/>
        </w:rPr>
        <w:t xml:space="preserve"> two</w:t>
      </w:r>
      <w:r w:rsidRPr="00B168E0">
        <w:rPr>
          <w:rFonts w:ascii="Arial" w:hAnsi="Arial" w:cs="Arial"/>
        </w:rPr>
        <w:t xml:space="preserve"> default judgment</w:t>
      </w:r>
      <w:r w:rsidR="00913C5E">
        <w:rPr>
          <w:rFonts w:ascii="Arial" w:hAnsi="Arial" w:cs="Arial"/>
        </w:rPr>
        <w:t>s</w:t>
      </w:r>
      <w:r w:rsidRPr="00B168E0">
        <w:rPr>
          <w:rFonts w:ascii="Arial" w:hAnsi="Arial" w:cs="Arial"/>
        </w:rPr>
        <w:t xml:space="preserve"> made by foreign insolvency court</w:t>
      </w:r>
      <w:r w:rsidR="00236071" w:rsidRPr="00B168E0">
        <w:rPr>
          <w:rFonts w:ascii="Arial" w:hAnsi="Arial" w:cs="Arial"/>
        </w:rPr>
        <w:t>s</w:t>
      </w:r>
      <w:r w:rsidRPr="00B168E0">
        <w:rPr>
          <w:rFonts w:ascii="Arial" w:hAnsi="Arial" w:cs="Arial"/>
        </w:rPr>
        <w:t xml:space="preserve"> (New York </w:t>
      </w:r>
      <w:r w:rsidR="00236071" w:rsidRPr="00B168E0">
        <w:rPr>
          <w:rFonts w:ascii="Arial" w:hAnsi="Arial" w:cs="Arial"/>
        </w:rPr>
        <w:t>and</w:t>
      </w:r>
      <w:r w:rsidRPr="00B168E0">
        <w:rPr>
          <w:rFonts w:ascii="Arial" w:hAnsi="Arial" w:cs="Arial"/>
        </w:rPr>
        <w:t xml:space="preserve"> New South Wales </w:t>
      </w:r>
      <w:r w:rsidR="00236071" w:rsidRPr="00B168E0">
        <w:rPr>
          <w:rFonts w:ascii="Arial" w:hAnsi="Arial" w:cs="Arial"/>
        </w:rPr>
        <w:t>respectively</w:t>
      </w:r>
      <w:r w:rsidRPr="00B168E0">
        <w:rPr>
          <w:rFonts w:ascii="Arial" w:hAnsi="Arial" w:cs="Arial"/>
        </w:rPr>
        <w:t>) setting aside prior transaction</w:t>
      </w:r>
      <w:r w:rsidR="00236071" w:rsidRPr="00B168E0">
        <w:rPr>
          <w:rFonts w:ascii="Arial" w:hAnsi="Arial" w:cs="Arial"/>
        </w:rPr>
        <w:t>s</w:t>
      </w:r>
      <w:r w:rsidRPr="00B168E0">
        <w:rPr>
          <w:rFonts w:ascii="Arial" w:hAnsi="Arial" w:cs="Arial"/>
        </w:rPr>
        <w:t xml:space="preserve"> </w:t>
      </w:r>
      <w:proofErr w:type="gramStart"/>
      <w:r w:rsidRPr="00B168E0">
        <w:rPr>
          <w:rFonts w:ascii="Arial" w:hAnsi="Arial" w:cs="Arial"/>
        </w:rPr>
        <w:t>entered into</w:t>
      </w:r>
      <w:proofErr w:type="gramEnd"/>
      <w:r w:rsidRPr="00B168E0">
        <w:rPr>
          <w:rFonts w:ascii="Arial" w:hAnsi="Arial" w:cs="Arial"/>
        </w:rPr>
        <w:t xml:space="preserve"> by an insolvent company on the ground that it involved a fraudulent preference or the like</w:t>
      </w:r>
      <w:r w:rsidR="00AE6227" w:rsidRPr="00B168E0">
        <w:rPr>
          <w:rFonts w:ascii="Arial" w:hAnsi="Arial" w:cs="Arial"/>
        </w:rPr>
        <w:t xml:space="preserve">. </w:t>
      </w:r>
    </w:p>
    <w:p w14:paraId="0B0440B1" w14:textId="77777777" w:rsidR="00AE6227" w:rsidRPr="00B168E0" w:rsidRDefault="00AE6227" w:rsidP="0098267A">
      <w:pPr>
        <w:spacing w:line="360" w:lineRule="auto"/>
        <w:jc w:val="both"/>
        <w:rPr>
          <w:rFonts w:ascii="Arial" w:hAnsi="Arial" w:cs="Arial"/>
        </w:rPr>
      </w:pPr>
    </w:p>
    <w:p w14:paraId="33A25B26" w14:textId="7423586D" w:rsidR="0098267A" w:rsidRPr="00B168E0" w:rsidRDefault="0098267A" w:rsidP="0098267A">
      <w:pPr>
        <w:spacing w:line="360" w:lineRule="auto"/>
        <w:jc w:val="both"/>
        <w:rPr>
          <w:rFonts w:ascii="Arial" w:hAnsi="Arial" w:cs="Arial"/>
        </w:rPr>
      </w:pPr>
      <w:r w:rsidRPr="00B168E0">
        <w:rPr>
          <w:rFonts w:ascii="Arial" w:hAnsi="Arial" w:cs="Arial"/>
        </w:rPr>
        <w:t xml:space="preserve">Lord Collins, with agreement from Lords Walker and Sumption, applied conventional private international law conflict rules. They ruled that a foreign court's </w:t>
      </w:r>
      <w:r w:rsidRPr="00913C5E">
        <w:rPr>
          <w:rFonts w:ascii="Arial" w:hAnsi="Arial" w:cs="Arial"/>
          <w:i/>
          <w:iCs/>
        </w:rPr>
        <w:t xml:space="preserve">in </w:t>
      </w:r>
      <w:proofErr w:type="spellStart"/>
      <w:r w:rsidRPr="00913C5E">
        <w:rPr>
          <w:rFonts w:ascii="Arial" w:hAnsi="Arial" w:cs="Arial"/>
          <w:i/>
          <w:iCs/>
        </w:rPr>
        <w:t>personam</w:t>
      </w:r>
      <w:proofErr w:type="spellEnd"/>
      <w:r w:rsidRPr="00B168E0">
        <w:rPr>
          <w:rFonts w:ascii="Arial" w:hAnsi="Arial" w:cs="Arial"/>
        </w:rPr>
        <w:t xml:space="preserve"> orders could only be enforced against individuals who had submitted to its jurisdiction, as seen in the Australian case, not the U.S. case.</w:t>
      </w:r>
    </w:p>
    <w:p w14:paraId="768F95D8" w14:textId="77777777" w:rsidR="0098267A" w:rsidRPr="00B168E0" w:rsidRDefault="0098267A" w:rsidP="0098267A">
      <w:pPr>
        <w:spacing w:line="360" w:lineRule="auto"/>
        <w:jc w:val="both"/>
        <w:rPr>
          <w:rFonts w:ascii="Arial" w:hAnsi="Arial" w:cs="Arial"/>
        </w:rPr>
      </w:pPr>
    </w:p>
    <w:p w14:paraId="72788FBE" w14:textId="3280B695" w:rsidR="007E0F37" w:rsidRPr="00B168E0" w:rsidRDefault="0098267A" w:rsidP="007E0F37">
      <w:pPr>
        <w:spacing w:line="360" w:lineRule="auto"/>
        <w:jc w:val="both"/>
        <w:rPr>
          <w:rFonts w:ascii="Arial" w:hAnsi="Arial" w:cs="Arial"/>
        </w:rPr>
      </w:pPr>
      <w:r w:rsidRPr="00B168E0">
        <w:rPr>
          <w:rFonts w:ascii="Arial" w:hAnsi="Arial" w:cs="Arial"/>
        </w:rPr>
        <w:t xml:space="preserve">Lord Collins argued against creating a new rule to enforce foreign insolvency judgments in </w:t>
      </w:r>
      <w:r w:rsidR="00AE6227" w:rsidRPr="00B168E0">
        <w:rPr>
          <w:rFonts w:ascii="Arial" w:hAnsi="Arial" w:cs="Arial"/>
        </w:rPr>
        <w:t>England</w:t>
      </w:r>
      <w:r w:rsidRPr="00B168E0">
        <w:rPr>
          <w:rFonts w:ascii="Arial" w:hAnsi="Arial" w:cs="Arial"/>
        </w:rPr>
        <w:t xml:space="preserve"> unless they conformed with established principles. He emphasized that creating such a </w:t>
      </w:r>
      <w:r w:rsidRPr="00B168E0">
        <w:rPr>
          <w:rFonts w:ascii="Arial" w:hAnsi="Arial" w:cs="Arial"/>
        </w:rPr>
        <w:lastRenderedPageBreak/>
        <w:t>rule would represent a radical departure</w:t>
      </w:r>
      <w:r w:rsidR="006E1E90" w:rsidRPr="00B168E0">
        <w:rPr>
          <w:rStyle w:val="FootnoteReference"/>
          <w:rFonts w:ascii="Arial" w:hAnsi="Arial" w:cs="Arial"/>
        </w:rPr>
        <w:footnoteReference w:id="16"/>
      </w:r>
      <w:r w:rsidRPr="00B168E0">
        <w:rPr>
          <w:rFonts w:ascii="Arial" w:hAnsi="Arial" w:cs="Arial"/>
        </w:rPr>
        <w:t xml:space="preserve"> from established law without guaranteed reciprocity from other jurisdictions</w:t>
      </w:r>
      <w:r w:rsidR="007E0F37" w:rsidRPr="00B168E0">
        <w:rPr>
          <w:rFonts w:ascii="Arial" w:hAnsi="Arial" w:cs="Arial"/>
        </w:rPr>
        <w:t xml:space="preserve">. He also emphasized that developing such a principle without assured reciprocity from other jurisdictions would disadvantage the UK. Consequently, Lord Collins acknowledged that this reasoning supported the view that </w:t>
      </w:r>
      <w:r w:rsidR="007E0F37" w:rsidRPr="00B168E0">
        <w:rPr>
          <w:rFonts w:ascii="Arial" w:hAnsi="Arial" w:cs="Arial"/>
          <w:i/>
          <w:iCs/>
        </w:rPr>
        <w:t>Cambridge Gas</w:t>
      </w:r>
      <w:r w:rsidR="007E0F37" w:rsidRPr="00B168E0">
        <w:rPr>
          <w:rFonts w:ascii="Arial" w:hAnsi="Arial" w:cs="Arial"/>
        </w:rPr>
        <w:t xml:space="preserve"> had been incorrectly decided.</w:t>
      </w:r>
      <w:r w:rsidR="00014C42" w:rsidRPr="00B168E0">
        <w:rPr>
          <w:rFonts w:ascii="Arial" w:hAnsi="Arial" w:cs="Arial"/>
        </w:rPr>
        <w:t xml:space="preserve"> </w:t>
      </w:r>
      <w:r w:rsidR="007E0F37" w:rsidRPr="00B168E0">
        <w:rPr>
          <w:rFonts w:ascii="Arial" w:hAnsi="Arial" w:cs="Arial"/>
        </w:rPr>
        <w:t xml:space="preserve">Lord Mance concurred with Lord Collins but did not definitively state whether </w:t>
      </w:r>
      <w:r w:rsidR="007E0F37" w:rsidRPr="00B168E0">
        <w:rPr>
          <w:rFonts w:ascii="Arial" w:hAnsi="Arial" w:cs="Arial"/>
          <w:i/>
          <w:iCs/>
        </w:rPr>
        <w:t>Cambridge Gas</w:t>
      </w:r>
      <w:r w:rsidR="007E0F37" w:rsidRPr="00B168E0">
        <w:rPr>
          <w:rFonts w:ascii="Arial" w:hAnsi="Arial" w:cs="Arial"/>
        </w:rPr>
        <w:t xml:space="preserve"> had been decided in error. On the other hand, Lord Clarke dissented, fully endorsing Lord Hoffmann's broader perspective on universalism.</w:t>
      </w:r>
    </w:p>
    <w:p w14:paraId="2331A784" w14:textId="77777777" w:rsidR="00014C42" w:rsidRPr="00B168E0" w:rsidRDefault="00014C42" w:rsidP="0098267A">
      <w:pPr>
        <w:spacing w:line="360" w:lineRule="auto"/>
        <w:jc w:val="both"/>
        <w:rPr>
          <w:rFonts w:ascii="Arial" w:hAnsi="Arial" w:cs="Arial"/>
        </w:rPr>
      </w:pPr>
    </w:p>
    <w:p w14:paraId="3F866720" w14:textId="4D689ED3" w:rsidR="0098267A" w:rsidRDefault="0098267A" w:rsidP="0098267A">
      <w:pPr>
        <w:spacing w:line="360" w:lineRule="auto"/>
        <w:jc w:val="both"/>
        <w:rPr>
          <w:rFonts w:ascii="Arial" w:hAnsi="Arial" w:cs="Arial"/>
          <w:i/>
          <w:iCs/>
        </w:rPr>
      </w:pPr>
      <w:r w:rsidRPr="00B168E0">
        <w:rPr>
          <w:rFonts w:ascii="Arial" w:hAnsi="Arial" w:cs="Arial"/>
        </w:rPr>
        <w:t xml:space="preserve">This </w:t>
      </w:r>
      <w:r w:rsidR="009B5F8E" w:rsidRPr="00B168E0">
        <w:rPr>
          <w:rFonts w:ascii="Arial" w:hAnsi="Arial" w:cs="Arial"/>
        </w:rPr>
        <w:t>decision</w:t>
      </w:r>
      <w:r w:rsidRPr="00B168E0">
        <w:rPr>
          <w:rFonts w:ascii="Arial" w:hAnsi="Arial" w:cs="Arial"/>
        </w:rPr>
        <w:t xml:space="preserve"> suggested a shift from the more expansive universalism of </w:t>
      </w:r>
      <w:r w:rsidRPr="00B168E0">
        <w:rPr>
          <w:rFonts w:ascii="Arial" w:hAnsi="Arial" w:cs="Arial"/>
          <w:i/>
          <w:iCs/>
        </w:rPr>
        <w:t>Cambridge Gas</w:t>
      </w:r>
      <w:r w:rsidRPr="00B168E0">
        <w:rPr>
          <w:rFonts w:ascii="Arial" w:hAnsi="Arial" w:cs="Arial"/>
        </w:rPr>
        <w:t xml:space="preserve"> to a more cautious approach.</w:t>
      </w:r>
      <w:r w:rsidR="00C52F23">
        <w:rPr>
          <w:rFonts w:ascii="Arial" w:hAnsi="Arial" w:cs="Arial"/>
        </w:rPr>
        <w:t xml:space="preserve"> It essentially put recognition of foreign insolvency judgments back on </w:t>
      </w:r>
      <w:r w:rsidR="00B94147">
        <w:rPr>
          <w:rFonts w:ascii="Arial" w:hAnsi="Arial" w:cs="Arial"/>
        </w:rPr>
        <w:t xml:space="preserve">level footing with the recognition of any foreign </w:t>
      </w:r>
      <w:proofErr w:type="gramStart"/>
      <w:r w:rsidR="00B94147">
        <w:rPr>
          <w:rFonts w:ascii="Arial" w:hAnsi="Arial" w:cs="Arial"/>
        </w:rPr>
        <w:t>judgment;</w:t>
      </w:r>
      <w:proofErr w:type="gramEnd"/>
      <w:r w:rsidR="00B94147">
        <w:rPr>
          <w:rFonts w:ascii="Arial" w:hAnsi="Arial" w:cs="Arial"/>
        </w:rPr>
        <w:t xml:space="preserve"> rather than the exalted status that arguably existed immediately following </w:t>
      </w:r>
      <w:r w:rsidR="00B94147">
        <w:rPr>
          <w:rFonts w:ascii="Arial" w:hAnsi="Arial" w:cs="Arial"/>
          <w:i/>
          <w:iCs/>
        </w:rPr>
        <w:t>Cambridge Gas.</w:t>
      </w:r>
    </w:p>
    <w:p w14:paraId="1D0C9688" w14:textId="77777777" w:rsidR="00406430" w:rsidRPr="00B94147" w:rsidRDefault="00406430" w:rsidP="0098267A">
      <w:pPr>
        <w:spacing w:line="360" w:lineRule="auto"/>
        <w:jc w:val="both"/>
        <w:rPr>
          <w:rFonts w:ascii="Arial" w:hAnsi="Arial" w:cs="Arial"/>
          <w:i/>
          <w:iCs/>
        </w:rPr>
      </w:pPr>
    </w:p>
    <w:p w14:paraId="7C58718A" w14:textId="46C9C5C2" w:rsidR="000518DE" w:rsidRPr="00B168E0" w:rsidRDefault="00222FD5" w:rsidP="008E5C32">
      <w:pPr>
        <w:pStyle w:val="Heading1"/>
        <w:numPr>
          <w:ilvl w:val="0"/>
          <w:numId w:val="2"/>
        </w:numPr>
        <w:ind w:left="360"/>
        <w:rPr>
          <w:rFonts w:cs="Arial"/>
          <w:sz w:val="22"/>
          <w:szCs w:val="22"/>
        </w:rPr>
      </w:pPr>
      <w:bookmarkStart w:id="10" w:name="_Toc164722707"/>
      <w:r w:rsidRPr="00B168E0">
        <w:rPr>
          <w:rFonts w:cs="Arial"/>
          <w:sz w:val="22"/>
          <w:szCs w:val="22"/>
        </w:rPr>
        <w:t>THE CURRENT STATE OF PLAY: SINGULARIS</w:t>
      </w:r>
      <w:r w:rsidR="00022245" w:rsidRPr="00B168E0">
        <w:rPr>
          <w:rFonts w:cs="Arial"/>
          <w:sz w:val="22"/>
          <w:szCs w:val="22"/>
        </w:rPr>
        <w:t xml:space="preserve"> PREVAILS</w:t>
      </w:r>
      <w:bookmarkEnd w:id="10"/>
    </w:p>
    <w:p w14:paraId="4436011D" w14:textId="77777777" w:rsidR="007C2088" w:rsidRPr="00B168E0" w:rsidRDefault="007C2088" w:rsidP="001862DD">
      <w:pPr>
        <w:spacing w:line="360" w:lineRule="auto"/>
        <w:jc w:val="both"/>
        <w:rPr>
          <w:rFonts w:ascii="Arial" w:hAnsi="Arial" w:cs="Arial"/>
        </w:rPr>
      </w:pPr>
    </w:p>
    <w:p w14:paraId="0824FF2F" w14:textId="70EE04C5" w:rsidR="0089464E" w:rsidRPr="00B168E0" w:rsidRDefault="00A26DAC" w:rsidP="00F742C1">
      <w:pPr>
        <w:spacing w:line="360" w:lineRule="auto"/>
        <w:jc w:val="both"/>
        <w:rPr>
          <w:rFonts w:ascii="Arial" w:hAnsi="Arial" w:cs="Arial"/>
        </w:rPr>
      </w:pPr>
      <w:r w:rsidRPr="00B168E0">
        <w:rPr>
          <w:rFonts w:ascii="Arial" w:hAnsi="Arial" w:cs="Arial"/>
        </w:rPr>
        <w:t xml:space="preserve">To this day, </w:t>
      </w:r>
      <w:r w:rsidR="00B94147">
        <w:rPr>
          <w:rFonts w:ascii="Arial" w:hAnsi="Arial" w:cs="Arial"/>
        </w:rPr>
        <w:t>modified</w:t>
      </w:r>
      <w:r w:rsidR="00F742C1" w:rsidRPr="00B168E0">
        <w:rPr>
          <w:rFonts w:ascii="Arial" w:hAnsi="Arial" w:cs="Arial"/>
        </w:rPr>
        <w:t xml:space="preserve"> universalism persist</w:t>
      </w:r>
      <w:r w:rsidRPr="00B168E0">
        <w:rPr>
          <w:rFonts w:ascii="Arial" w:hAnsi="Arial" w:cs="Arial"/>
        </w:rPr>
        <w:t>s</w:t>
      </w:r>
      <w:r w:rsidR="00F742C1" w:rsidRPr="00B168E0">
        <w:rPr>
          <w:rFonts w:ascii="Arial" w:hAnsi="Arial" w:cs="Arial"/>
        </w:rPr>
        <w:t xml:space="preserve">, as seen in the Privy Council’s recommendation in </w:t>
      </w:r>
      <w:proofErr w:type="spellStart"/>
      <w:r w:rsidR="0089464E" w:rsidRPr="00B168E0">
        <w:rPr>
          <w:rFonts w:ascii="Arial" w:hAnsi="Arial" w:cs="Arial"/>
          <w:i/>
          <w:iCs/>
        </w:rPr>
        <w:t>Singularis</w:t>
      </w:r>
      <w:proofErr w:type="spellEnd"/>
      <w:r w:rsidR="0089464E" w:rsidRPr="00B168E0">
        <w:rPr>
          <w:rFonts w:ascii="Arial" w:hAnsi="Arial" w:cs="Arial"/>
          <w:i/>
          <w:iCs/>
        </w:rPr>
        <w:t xml:space="preserve"> Holdings Ltd v PricewaterhouseCoopers (Bermuda)</w:t>
      </w:r>
      <w:r w:rsidR="0089464E" w:rsidRPr="00B168E0">
        <w:rPr>
          <w:rFonts w:ascii="Arial" w:hAnsi="Arial" w:cs="Arial"/>
        </w:rPr>
        <w:t xml:space="preserve"> [2014] UKPC 3.</w:t>
      </w:r>
      <w:r w:rsidR="002D1616" w:rsidRPr="00B168E0">
        <w:rPr>
          <w:rStyle w:val="FootnoteReference"/>
          <w:rFonts w:ascii="Arial" w:hAnsi="Arial" w:cs="Arial"/>
        </w:rPr>
        <w:footnoteReference w:id="17"/>
      </w:r>
    </w:p>
    <w:p w14:paraId="577A9CC1" w14:textId="77777777" w:rsidR="0089464E" w:rsidRPr="00B168E0" w:rsidRDefault="0089464E" w:rsidP="00F742C1">
      <w:pPr>
        <w:spacing w:line="360" w:lineRule="auto"/>
        <w:jc w:val="both"/>
        <w:rPr>
          <w:rFonts w:ascii="Arial" w:hAnsi="Arial" w:cs="Arial"/>
        </w:rPr>
      </w:pPr>
    </w:p>
    <w:p w14:paraId="5FB8B88F" w14:textId="08DCAA9B" w:rsidR="00947229" w:rsidRDefault="008D08F9" w:rsidP="00107052">
      <w:pPr>
        <w:spacing w:line="360" w:lineRule="auto"/>
        <w:jc w:val="both"/>
        <w:rPr>
          <w:rFonts w:ascii="Arial" w:hAnsi="Arial" w:cs="Arial"/>
        </w:rPr>
      </w:pPr>
      <w:r>
        <w:rPr>
          <w:rFonts w:ascii="Arial" w:hAnsi="Arial" w:cs="Arial"/>
        </w:rPr>
        <w:t>In this case the Privy Council was asked to consider</w:t>
      </w:r>
      <w:r w:rsidR="00F742C1" w:rsidRPr="00B168E0">
        <w:rPr>
          <w:rFonts w:ascii="Arial" w:hAnsi="Arial" w:cs="Arial"/>
        </w:rPr>
        <w:t xml:space="preserve"> whether the Bermuda court could compel auditors to provide information to liquidators</w:t>
      </w:r>
      <w:r w:rsidR="00002224">
        <w:rPr>
          <w:rFonts w:ascii="Arial" w:hAnsi="Arial" w:cs="Arial"/>
        </w:rPr>
        <w:t xml:space="preserve"> appointed by the Cayman court</w:t>
      </w:r>
      <w:r w:rsidR="00F742C1" w:rsidRPr="00B168E0">
        <w:rPr>
          <w:rFonts w:ascii="Arial" w:hAnsi="Arial" w:cs="Arial"/>
        </w:rPr>
        <w:t xml:space="preserve">. </w:t>
      </w:r>
      <w:r w:rsidR="00947229">
        <w:rPr>
          <w:rFonts w:ascii="Arial" w:hAnsi="Arial" w:cs="Arial"/>
        </w:rPr>
        <w:t>The Board considered two issues:</w:t>
      </w:r>
    </w:p>
    <w:p w14:paraId="574AB77E" w14:textId="77777777" w:rsidR="00913C5E" w:rsidRDefault="00913C5E" w:rsidP="00107052">
      <w:pPr>
        <w:spacing w:line="360" w:lineRule="auto"/>
        <w:jc w:val="both"/>
        <w:rPr>
          <w:rFonts w:ascii="Arial" w:hAnsi="Arial" w:cs="Arial"/>
        </w:rPr>
      </w:pPr>
    </w:p>
    <w:p w14:paraId="1CFAE561" w14:textId="6357EA10" w:rsidR="00EC1EB7" w:rsidRDefault="0096737E" w:rsidP="006A463B">
      <w:pPr>
        <w:pStyle w:val="ListParagraph"/>
        <w:numPr>
          <w:ilvl w:val="0"/>
          <w:numId w:val="12"/>
        </w:numPr>
        <w:spacing w:line="360" w:lineRule="auto"/>
        <w:jc w:val="both"/>
        <w:rPr>
          <w:rFonts w:ascii="Arial" w:hAnsi="Arial" w:cs="Arial"/>
        </w:rPr>
      </w:pPr>
      <w:r w:rsidRPr="00EC1EB7">
        <w:rPr>
          <w:rFonts w:ascii="Arial" w:hAnsi="Arial" w:cs="Arial"/>
        </w:rPr>
        <w:t xml:space="preserve">On the first, the majority, </w:t>
      </w:r>
      <w:r w:rsidR="00FB604E">
        <w:rPr>
          <w:rFonts w:ascii="Arial" w:hAnsi="Arial" w:cs="Arial"/>
        </w:rPr>
        <w:t>advised</w:t>
      </w:r>
      <w:r w:rsidR="009B5D9E" w:rsidRPr="00EC1EB7">
        <w:rPr>
          <w:rFonts w:ascii="Arial" w:hAnsi="Arial" w:cs="Arial"/>
        </w:rPr>
        <w:t xml:space="preserve"> that the Bermudian court, unable to wind up overseas companies, had a common-law power to assist </w:t>
      </w:r>
      <w:r w:rsidR="00107052" w:rsidRPr="00EC1EB7">
        <w:rPr>
          <w:rFonts w:ascii="Arial" w:hAnsi="Arial" w:cs="Arial"/>
        </w:rPr>
        <w:t>foreign insolvency proceedings</w:t>
      </w:r>
      <w:r w:rsidR="00EC1EB7">
        <w:rPr>
          <w:rFonts w:ascii="Arial" w:hAnsi="Arial" w:cs="Arial"/>
        </w:rPr>
        <w:t xml:space="preserve"> (with </w:t>
      </w:r>
      <w:r w:rsidR="00107052" w:rsidRPr="00EC1EB7">
        <w:rPr>
          <w:rFonts w:ascii="Arial" w:hAnsi="Arial" w:cs="Arial"/>
        </w:rPr>
        <w:t>limitations</w:t>
      </w:r>
      <w:r w:rsidR="00EC1EB7">
        <w:rPr>
          <w:rFonts w:ascii="Arial" w:hAnsi="Arial" w:cs="Arial"/>
        </w:rPr>
        <w:t>)</w:t>
      </w:r>
      <w:r w:rsidR="00107052" w:rsidRPr="00EC1EB7">
        <w:rPr>
          <w:rFonts w:ascii="Arial" w:hAnsi="Arial" w:cs="Arial"/>
        </w:rPr>
        <w:t>.</w:t>
      </w:r>
    </w:p>
    <w:p w14:paraId="63CADF1B" w14:textId="77777777" w:rsidR="00913C5E" w:rsidRDefault="00913C5E" w:rsidP="00913C5E">
      <w:pPr>
        <w:pStyle w:val="ListParagraph"/>
        <w:spacing w:line="360" w:lineRule="auto"/>
        <w:ind w:left="360"/>
        <w:jc w:val="both"/>
        <w:rPr>
          <w:rFonts w:ascii="Arial" w:hAnsi="Arial" w:cs="Arial"/>
        </w:rPr>
      </w:pPr>
    </w:p>
    <w:p w14:paraId="7B5C4287" w14:textId="3C26C643" w:rsidR="00107052" w:rsidRPr="00EC1EB7" w:rsidRDefault="004340E8" w:rsidP="006A463B">
      <w:pPr>
        <w:pStyle w:val="ListParagraph"/>
        <w:numPr>
          <w:ilvl w:val="0"/>
          <w:numId w:val="12"/>
        </w:numPr>
        <w:spacing w:line="360" w:lineRule="auto"/>
        <w:jc w:val="both"/>
        <w:rPr>
          <w:rFonts w:ascii="Arial" w:hAnsi="Arial" w:cs="Arial"/>
        </w:rPr>
      </w:pPr>
      <w:r>
        <w:rPr>
          <w:rFonts w:ascii="Arial" w:hAnsi="Arial" w:cs="Arial"/>
        </w:rPr>
        <w:t xml:space="preserve">On the second, </w:t>
      </w:r>
      <w:r w:rsidR="00107052" w:rsidRPr="00EC1EB7">
        <w:rPr>
          <w:rFonts w:ascii="Arial" w:hAnsi="Arial" w:cs="Arial"/>
        </w:rPr>
        <w:t xml:space="preserve">the </w:t>
      </w:r>
      <w:r w:rsidR="00762E8B" w:rsidRPr="00EC1EB7">
        <w:rPr>
          <w:rFonts w:ascii="Arial" w:hAnsi="Arial" w:cs="Arial"/>
        </w:rPr>
        <w:t xml:space="preserve">Board </w:t>
      </w:r>
      <w:r>
        <w:rPr>
          <w:rFonts w:ascii="Arial" w:hAnsi="Arial" w:cs="Arial"/>
        </w:rPr>
        <w:t xml:space="preserve">unanimously </w:t>
      </w:r>
      <w:r w:rsidR="00762E8B" w:rsidRPr="00EC1EB7">
        <w:rPr>
          <w:rFonts w:ascii="Arial" w:hAnsi="Arial" w:cs="Arial"/>
        </w:rPr>
        <w:t>recommended</w:t>
      </w:r>
      <w:r w:rsidR="00107052" w:rsidRPr="00EC1EB7">
        <w:rPr>
          <w:rFonts w:ascii="Arial" w:hAnsi="Arial" w:cs="Arial"/>
        </w:rPr>
        <w:t xml:space="preserve"> that the Bermuda court could not order PwC to provide information because it would exceed the powers available in a domestic insolvency context under Bermuda law.</w:t>
      </w:r>
    </w:p>
    <w:p w14:paraId="1D713865" w14:textId="77777777" w:rsidR="00107052" w:rsidRPr="00B168E0" w:rsidRDefault="00107052" w:rsidP="00107052">
      <w:pPr>
        <w:spacing w:line="360" w:lineRule="auto"/>
        <w:jc w:val="both"/>
        <w:rPr>
          <w:rFonts w:ascii="Arial" w:hAnsi="Arial" w:cs="Arial"/>
        </w:rPr>
      </w:pPr>
    </w:p>
    <w:p w14:paraId="7D76CAC9" w14:textId="08A6221D" w:rsidR="00107052" w:rsidRPr="00B168E0" w:rsidRDefault="00107052" w:rsidP="00107052">
      <w:pPr>
        <w:spacing w:line="360" w:lineRule="auto"/>
        <w:jc w:val="both"/>
        <w:rPr>
          <w:rFonts w:ascii="Arial" w:hAnsi="Arial" w:cs="Arial"/>
        </w:rPr>
      </w:pPr>
      <w:r w:rsidRPr="00B168E0">
        <w:rPr>
          <w:rFonts w:ascii="Arial" w:hAnsi="Arial" w:cs="Arial"/>
        </w:rPr>
        <w:lastRenderedPageBreak/>
        <w:t>The decision was significant in clarifying the boundaries of judicial assistance that can be provided in cross-border insolvency cases</w:t>
      </w:r>
      <w:r w:rsidR="00891C3F">
        <w:rPr>
          <w:rFonts w:ascii="Arial" w:hAnsi="Arial" w:cs="Arial"/>
        </w:rPr>
        <w:t>. L</w:t>
      </w:r>
      <w:r w:rsidR="00EA5C5D" w:rsidRPr="00B168E0">
        <w:rPr>
          <w:rFonts w:ascii="Arial" w:hAnsi="Arial" w:cs="Arial"/>
        </w:rPr>
        <w:t>ike the majority</w:t>
      </w:r>
      <w:r w:rsidR="00891C3F">
        <w:rPr>
          <w:rFonts w:ascii="Arial" w:hAnsi="Arial" w:cs="Arial"/>
        </w:rPr>
        <w:t xml:space="preserve"> in</w:t>
      </w:r>
      <w:r w:rsidR="00EA5C5D" w:rsidRPr="00B168E0">
        <w:rPr>
          <w:rFonts w:ascii="Arial" w:hAnsi="Arial" w:cs="Arial"/>
        </w:rPr>
        <w:t xml:space="preserve"> </w:t>
      </w:r>
      <w:r w:rsidR="00EA5C5D" w:rsidRPr="00B168E0">
        <w:rPr>
          <w:rFonts w:ascii="Arial" w:hAnsi="Arial" w:cs="Arial"/>
          <w:i/>
          <w:iCs/>
        </w:rPr>
        <w:t xml:space="preserve">Rubin, </w:t>
      </w:r>
      <w:r w:rsidR="00891C3F">
        <w:rPr>
          <w:rFonts w:ascii="Arial" w:hAnsi="Arial" w:cs="Arial"/>
        </w:rPr>
        <w:t xml:space="preserve">the Board </w:t>
      </w:r>
      <w:r w:rsidR="00EA5C5D" w:rsidRPr="00B168E0">
        <w:rPr>
          <w:rFonts w:ascii="Arial" w:hAnsi="Arial" w:cs="Arial"/>
        </w:rPr>
        <w:t xml:space="preserve">indicated that the broad approach in </w:t>
      </w:r>
      <w:r w:rsidR="00EA5C5D" w:rsidRPr="00B168E0">
        <w:rPr>
          <w:rFonts w:ascii="Arial" w:hAnsi="Arial" w:cs="Arial"/>
          <w:i/>
          <w:iCs/>
        </w:rPr>
        <w:t xml:space="preserve">Cambridge Gas </w:t>
      </w:r>
      <w:r w:rsidR="00EA5C5D" w:rsidRPr="00B168E0">
        <w:rPr>
          <w:rFonts w:ascii="Arial" w:hAnsi="Arial" w:cs="Arial"/>
        </w:rPr>
        <w:t>could not be supported</w:t>
      </w:r>
      <w:r w:rsidRPr="00B168E0">
        <w:rPr>
          <w:rFonts w:ascii="Arial" w:hAnsi="Arial" w:cs="Arial"/>
        </w:rPr>
        <w:t>.</w:t>
      </w:r>
      <w:r w:rsidR="00EA5C5D" w:rsidRPr="00B168E0">
        <w:rPr>
          <w:rStyle w:val="FootnoteReference"/>
          <w:rFonts w:ascii="Arial" w:hAnsi="Arial" w:cs="Arial"/>
        </w:rPr>
        <w:footnoteReference w:id="18"/>
      </w:r>
      <w:r w:rsidRPr="00B168E0">
        <w:rPr>
          <w:rFonts w:ascii="Arial" w:hAnsi="Arial" w:cs="Arial"/>
        </w:rPr>
        <w:t xml:space="preserve"> It affirmed the principle of modified universalism but emphasized that such assistance must align with the statutory and common law powers of the assisting court, as well as local public </w:t>
      </w:r>
      <w:proofErr w:type="gramStart"/>
      <w:r w:rsidRPr="00B168E0">
        <w:rPr>
          <w:rFonts w:ascii="Arial" w:hAnsi="Arial" w:cs="Arial"/>
        </w:rPr>
        <w:t>policy</w:t>
      </w:r>
      <w:proofErr w:type="gramEnd"/>
    </w:p>
    <w:p w14:paraId="45EA0AC6" w14:textId="77777777" w:rsidR="00F742C1" w:rsidRPr="00B168E0" w:rsidRDefault="00F742C1" w:rsidP="00F742C1">
      <w:pPr>
        <w:spacing w:line="360" w:lineRule="auto"/>
        <w:jc w:val="both"/>
        <w:rPr>
          <w:rFonts w:ascii="Arial" w:hAnsi="Arial" w:cs="Arial"/>
        </w:rPr>
      </w:pPr>
    </w:p>
    <w:p w14:paraId="316C8149" w14:textId="49D5F372" w:rsidR="00903EA2" w:rsidRDefault="00903EA2" w:rsidP="00F742C1">
      <w:pPr>
        <w:spacing w:line="360" w:lineRule="auto"/>
        <w:jc w:val="both"/>
        <w:rPr>
          <w:rFonts w:ascii="Arial" w:hAnsi="Arial" w:cs="Arial"/>
        </w:rPr>
      </w:pPr>
      <w:r w:rsidRPr="00B168E0">
        <w:rPr>
          <w:rFonts w:ascii="Arial" w:hAnsi="Arial" w:cs="Arial"/>
        </w:rPr>
        <w:t>Per Lord Sumption:</w:t>
      </w:r>
    </w:p>
    <w:p w14:paraId="6203508C" w14:textId="77777777" w:rsidR="00B168E0" w:rsidRPr="00B168E0" w:rsidRDefault="00B168E0" w:rsidP="00F742C1">
      <w:pPr>
        <w:spacing w:line="360" w:lineRule="auto"/>
        <w:jc w:val="both"/>
        <w:rPr>
          <w:rFonts w:ascii="Arial" w:hAnsi="Arial" w:cs="Arial"/>
        </w:rPr>
      </w:pPr>
    </w:p>
    <w:p w14:paraId="4749EF91" w14:textId="3469AABA" w:rsidR="00D53CF0" w:rsidRPr="00B168E0" w:rsidRDefault="00903EA2" w:rsidP="00903EA2">
      <w:pPr>
        <w:ind w:left="720"/>
        <w:jc w:val="both"/>
        <w:rPr>
          <w:rFonts w:ascii="Arial" w:hAnsi="Arial" w:cs="Arial"/>
          <w:i/>
          <w:iCs/>
        </w:rPr>
      </w:pPr>
      <w:r w:rsidRPr="00B168E0">
        <w:rPr>
          <w:rFonts w:ascii="Arial" w:hAnsi="Arial" w:cs="Arial"/>
          <w:i/>
          <w:iCs/>
        </w:rPr>
        <w:t>“</w:t>
      </w:r>
      <w:r w:rsidR="00D53CF0" w:rsidRPr="00B168E0">
        <w:rPr>
          <w:rFonts w:ascii="Arial" w:hAnsi="Arial" w:cs="Arial"/>
          <w:i/>
          <w:iCs/>
        </w:rPr>
        <w:t xml:space="preserve">In the Board’s opinion, the principle of modified universalism is part of the common law, but it is necessary to bear in mind, first, that it is subject to local law and local public policy and, secondly, that the court can only ever act within the limits of its own statutory and common law powers. What are those limits? In the absence of </w:t>
      </w:r>
      <w:proofErr w:type="gramStart"/>
      <w:r w:rsidR="00D53CF0" w:rsidRPr="00B168E0">
        <w:rPr>
          <w:rFonts w:ascii="Arial" w:hAnsi="Arial" w:cs="Arial"/>
          <w:i/>
          <w:iCs/>
        </w:rPr>
        <w:t>a relevant</w:t>
      </w:r>
      <w:proofErr w:type="gramEnd"/>
      <w:r w:rsidR="00D53CF0" w:rsidRPr="00B168E0">
        <w:rPr>
          <w:rFonts w:ascii="Arial" w:hAnsi="Arial" w:cs="Arial"/>
          <w:i/>
          <w:iCs/>
        </w:rPr>
        <w:t xml:space="preserve"> statutory power, they must depend on the common</w:t>
      </w:r>
      <w:r w:rsidR="00E17AC4" w:rsidRPr="00B168E0">
        <w:rPr>
          <w:rFonts w:ascii="Arial" w:hAnsi="Arial" w:cs="Arial"/>
          <w:i/>
          <w:iCs/>
        </w:rPr>
        <w:t xml:space="preserve"> law, including any proper development of the common law. The </w:t>
      </w:r>
      <w:proofErr w:type="gramStart"/>
      <w:r w:rsidR="00E17AC4" w:rsidRPr="00B168E0">
        <w:rPr>
          <w:rFonts w:ascii="Arial" w:hAnsi="Arial" w:cs="Arial"/>
          <w:i/>
          <w:iCs/>
        </w:rPr>
        <w:t>question</w:t>
      </w:r>
      <w:proofErr w:type="gramEnd"/>
      <w:r w:rsidR="00E17AC4" w:rsidRPr="00B168E0">
        <w:rPr>
          <w:rFonts w:ascii="Arial" w:hAnsi="Arial" w:cs="Arial"/>
          <w:i/>
          <w:iCs/>
        </w:rPr>
        <w:t xml:space="preserve"> how far it is appropriate to develop the common law </w:t>
      </w:r>
      <w:proofErr w:type="gramStart"/>
      <w:r w:rsidR="00E17AC4" w:rsidRPr="00B168E0">
        <w:rPr>
          <w:rFonts w:ascii="Arial" w:hAnsi="Arial" w:cs="Arial"/>
          <w:i/>
          <w:iCs/>
        </w:rPr>
        <w:t>so as to</w:t>
      </w:r>
      <w:proofErr w:type="gramEnd"/>
      <w:r w:rsidR="00E17AC4" w:rsidRPr="00B168E0">
        <w:rPr>
          <w:rFonts w:ascii="Arial" w:hAnsi="Arial" w:cs="Arial"/>
          <w:i/>
          <w:iCs/>
        </w:rPr>
        <w:t xml:space="preserve"> recognise an equivalent power does not admit of a single, universal answer. It depends on the nature of the power that the court is being asked to exercise.</w:t>
      </w:r>
      <w:r w:rsidRPr="00B168E0">
        <w:rPr>
          <w:rFonts w:ascii="Arial" w:hAnsi="Arial" w:cs="Arial"/>
          <w:i/>
          <w:iCs/>
        </w:rPr>
        <w:t>”</w:t>
      </w:r>
    </w:p>
    <w:p w14:paraId="0BE55443" w14:textId="77777777" w:rsidR="005E5E50" w:rsidRPr="00B168E0" w:rsidRDefault="005E5E50" w:rsidP="005E5E50">
      <w:pPr>
        <w:spacing w:line="360" w:lineRule="auto"/>
        <w:jc w:val="both"/>
        <w:rPr>
          <w:rFonts w:ascii="Arial" w:hAnsi="Arial" w:cs="Arial"/>
        </w:rPr>
      </w:pPr>
    </w:p>
    <w:p w14:paraId="35895D02" w14:textId="25906B5A" w:rsidR="00022245" w:rsidRPr="00B168E0" w:rsidRDefault="000D66B5" w:rsidP="000502B4">
      <w:pPr>
        <w:pStyle w:val="Heading2"/>
        <w:rPr>
          <w:rFonts w:cs="Arial"/>
          <w:szCs w:val="22"/>
        </w:rPr>
      </w:pPr>
      <w:bookmarkStart w:id="11" w:name="_Toc164722708"/>
      <w:r>
        <w:rPr>
          <w:rFonts w:cs="Arial"/>
          <w:szCs w:val="22"/>
        </w:rPr>
        <w:t>Recent examples of modified universalism</w:t>
      </w:r>
      <w:r w:rsidR="00EB0B86">
        <w:rPr>
          <w:rFonts w:cs="Arial"/>
          <w:szCs w:val="22"/>
        </w:rPr>
        <w:t xml:space="preserve"> (or not)</w:t>
      </w:r>
      <w:r>
        <w:rPr>
          <w:rFonts w:cs="Arial"/>
          <w:szCs w:val="22"/>
        </w:rPr>
        <w:t xml:space="preserve"> in the Grand Court</w:t>
      </w:r>
      <w:bookmarkEnd w:id="11"/>
    </w:p>
    <w:p w14:paraId="08E6CB12" w14:textId="77777777" w:rsidR="00022245" w:rsidRPr="00B168E0" w:rsidRDefault="00022245" w:rsidP="00F742C1">
      <w:pPr>
        <w:spacing w:line="360" w:lineRule="auto"/>
        <w:jc w:val="both"/>
        <w:rPr>
          <w:rFonts w:ascii="Arial" w:hAnsi="Arial" w:cs="Arial"/>
        </w:rPr>
      </w:pPr>
    </w:p>
    <w:p w14:paraId="17F16081" w14:textId="5EB9D6DE" w:rsidR="00022245" w:rsidRPr="00B168E0" w:rsidRDefault="00022245" w:rsidP="00A31912">
      <w:pPr>
        <w:spacing w:line="360" w:lineRule="auto"/>
        <w:jc w:val="both"/>
        <w:rPr>
          <w:rFonts w:ascii="Arial" w:hAnsi="Arial" w:cs="Arial"/>
        </w:rPr>
      </w:pPr>
      <w:r w:rsidRPr="00B168E0">
        <w:rPr>
          <w:rFonts w:ascii="Arial" w:hAnsi="Arial" w:cs="Arial"/>
        </w:rPr>
        <w:t>In</w:t>
      </w:r>
      <w:r w:rsidR="00A26DAC" w:rsidRPr="00B168E0">
        <w:rPr>
          <w:rFonts w:ascii="Arial" w:hAnsi="Arial" w:cs="Arial"/>
        </w:rPr>
        <w:t xml:space="preserve"> </w:t>
      </w:r>
      <w:r w:rsidR="00A26DAC" w:rsidRPr="00B168E0">
        <w:rPr>
          <w:rFonts w:ascii="Arial" w:hAnsi="Arial" w:cs="Arial"/>
          <w:i/>
          <w:iCs/>
        </w:rPr>
        <w:t>In</w:t>
      </w:r>
      <w:r w:rsidRPr="00B168E0">
        <w:rPr>
          <w:rFonts w:ascii="Arial" w:hAnsi="Arial" w:cs="Arial"/>
          <w:i/>
          <w:iCs/>
        </w:rPr>
        <w:t xml:space="preserve"> the Matter of China </w:t>
      </w:r>
      <w:proofErr w:type="spellStart"/>
      <w:r w:rsidRPr="00B168E0">
        <w:rPr>
          <w:rFonts w:ascii="Arial" w:hAnsi="Arial" w:cs="Arial"/>
          <w:i/>
          <w:iCs/>
        </w:rPr>
        <w:t>Agrotech</w:t>
      </w:r>
      <w:proofErr w:type="spellEnd"/>
      <w:r w:rsidRPr="00B168E0">
        <w:rPr>
          <w:rFonts w:ascii="Arial" w:hAnsi="Arial" w:cs="Arial"/>
          <w:i/>
          <w:iCs/>
        </w:rPr>
        <w:t xml:space="preserve"> Holdings Limited </w:t>
      </w:r>
      <w:r w:rsidR="005F47E8" w:rsidRPr="00B168E0">
        <w:rPr>
          <w:rFonts w:ascii="Arial" w:hAnsi="Arial" w:cs="Arial"/>
        </w:rPr>
        <w:t xml:space="preserve">[2017 2 CILR 526] </w:t>
      </w:r>
      <w:r w:rsidRPr="00B168E0">
        <w:rPr>
          <w:rFonts w:ascii="Arial" w:hAnsi="Arial" w:cs="Arial"/>
        </w:rPr>
        <w:t>involved a Cayman incorporated company that was wound up in Hong Kong. The Hong Kong court issued a letter of request</w:t>
      </w:r>
      <w:r w:rsidR="00F96288" w:rsidRPr="00B168E0">
        <w:rPr>
          <w:rFonts w:ascii="Arial" w:hAnsi="Arial" w:cs="Arial"/>
        </w:rPr>
        <w:t xml:space="preserve"> </w:t>
      </w:r>
      <w:r w:rsidR="00874D1D" w:rsidRPr="00B168E0">
        <w:rPr>
          <w:rFonts w:ascii="Arial" w:hAnsi="Arial" w:cs="Arial"/>
        </w:rPr>
        <w:t>seeking an order that</w:t>
      </w:r>
      <w:r w:rsidR="00F96288" w:rsidRPr="00B168E0">
        <w:rPr>
          <w:rFonts w:ascii="Arial" w:hAnsi="Arial" w:cs="Arial"/>
        </w:rPr>
        <w:t xml:space="preserve"> Cay</w:t>
      </w:r>
      <w:r w:rsidR="003E11E2" w:rsidRPr="00B168E0">
        <w:rPr>
          <w:rFonts w:ascii="Arial" w:hAnsi="Arial" w:cs="Arial"/>
        </w:rPr>
        <w:t>m</w:t>
      </w:r>
      <w:r w:rsidR="00F96288" w:rsidRPr="00B168E0">
        <w:rPr>
          <w:rFonts w:ascii="Arial" w:hAnsi="Arial" w:cs="Arial"/>
        </w:rPr>
        <w:t xml:space="preserve">an court </w:t>
      </w:r>
      <w:r w:rsidR="007029A5" w:rsidRPr="00B168E0">
        <w:rPr>
          <w:rFonts w:ascii="Arial" w:hAnsi="Arial" w:cs="Arial"/>
        </w:rPr>
        <w:t xml:space="preserve">recognise </w:t>
      </w:r>
      <w:r w:rsidR="003E11E2" w:rsidRPr="00B168E0">
        <w:rPr>
          <w:rFonts w:ascii="Arial" w:hAnsi="Arial" w:cs="Arial"/>
        </w:rPr>
        <w:t xml:space="preserve">the Hong Kong appointed liquidators as though they </w:t>
      </w:r>
      <w:r w:rsidR="00874D1D" w:rsidRPr="00B168E0">
        <w:rPr>
          <w:rFonts w:ascii="Arial" w:hAnsi="Arial" w:cs="Arial"/>
        </w:rPr>
        <w:t>h</w:t>
      </w:r>
      <w:r w:rsidR="003E11E2" w:rsidRPr="00B168E0">
        <w:rPr>
          <w:rFonts w:ascii="Arial" w:hAnsi="Arial" w:cs="Arial"/>
        </w:rPr>
        <w:t>a</w:t>
      </w:r>
      <w:r w:rsidR="002A7762" w:rsidRPr="00B168E0">
        <w:rPr>
          <w:rFonts w:ascii="Arial" w:hAnsi="Arial" w:cs="Arial"/>
        </w:rPr>
        <w:t>d been appointed in Cayman</w:t>
      </w:r>
      <w:r w:rsidR="00EF5866" w:rsidRPr="00B168E0">
        <w:rPr>
          <w:rFonts w:ascii="Arial" w:hAnsi="Arial" w:cs="Arial"/>
        </w:rPr>
        <w:t>, and a separate application was made by the Hong Kong liquidators for an o</w:t>
      </w:r>
      <w:r w:rsidR="003560F5">
        <w:rPr>
          <w:rFonts w:ascii="Arial" w:hAnsi="Arial" w:cs="Arial"/>
        </w:rPr>
        <w:t>r</w:t>
      </w:r>
      <w:r w:rsidR="00EF5866" w:rsidRPr="00B168E0">
        <w:rPr>
          <w:rFonts w:ascii="Arial" w:hAnsi="Arial" w:cs="Arial"/>
        </w:rPr>
        <w:t xml:space="preserve">der in Cayman that section 97 of the Companies Act shall apply to the company </w:t>
      </w:r>
      <w:r w:rsidR="003560F5">
        <w:rPr>
          <w:rFonts w:ascii="Arial" w:hAnsi="Arial" w:cs="Arial"/>
        </w:rPr>
        <w:t>s</w:t>
      </w:r>
      <w:r w:rsidR="00EF5866" w:rsidRPr="00B168E0">
        <w:rPr>
          <w:rFonts w:ascii="Arial" w:hAnsi="Arial" w:cs="Arial"/>
        </w:rPr>
        <w:t>uch that no action or other proceedings shall continue or be commenced against the company before the Grand Court expect with leave</w:t>
      </w:r>
      <w:r w:rsidRPr="00B168E0">
        <w:rPr>
          <w:rFonts w:ascii="Arial" w:hAnsi="Arial" w:cs="Arial"/>
        </w:rPr>
        <w:t>.</w:t>
      </w:r>
    </w:p>
    <w:p w14:paraId="221004E4" w14:textId="77777777" w:rsidR="00022245" w:rsidRPr="00B168E0" w:rsidRDefault="00022245" w:rsidP="00022245">
      <w:pPr>
        <w:rPr>
          <w:rFonts w:ascii="Arial" w:hAnsi="Arial" w:cs="Arial"/>
        </w:rPr>
      </w:pPr>
    </w:p>
    <w:p w14:paraId="7861B6F8" w14:textId="355A0509" w:rsidR="00712DB2" w:rsidRPr="00B168E0" w:rsidRDefault="00022245" w:rsidP="00712DB2">
      <w:pPr>
        <w:spacing w:line="360" w:lineRule="auto"/>
        <w:jc w:val="both"/>
        <w:rPr>
          <w:rFonts w:ascii="Arial" w:hAnsi="Arial" w:cs="Arial"/>
        </w:rPr>
      </w:pPr>
      <w:r w:rsidRPr="00B168E0">
        <w:rPr>
          <w:rFonts w:ascii="Arial" w:hAnsi="Arial" w:cs="Arial"/>
        </w:rPr>
        <w:t xml:space="preserve">Having considered in detail </w:t>
      </w:r>
      <w:r w:rsidRPr="00B168E0">
        <w:rPr>
          <w:rFonts w:ascii="Arial" w:hAnsi="Arial" w:cs="Arial"/>
          <w:i/>
          <w:iCs/>
        </w:rPr>
        <w:t xml:space="preserve">Cambridge Gas, Rubin and </w:t>
      </w:r>
      <w:proofErr w:type="spellStart"/>
      <w:r w:rsidRPr="00B168E0">
        <w:rPr>
          <w:rFonts w:ascii="Arial" w:hAnsi="Arial" w:cs="Arial"/>
          <w:i/>
          <w:iCs/>
        </w:rPr>
        <w:t>Singularis</w:t>
      </w:r>
      <w:proofErr w:type="spellEnd"/>
      <w:r w:rsidRPr="00B168E0">
        <w:rPr>
          <w:rFonts w:ascii="Arial" w:hAnsi="Arial" w:cs="Arial"/>
        </w:rPr>
        <w:t>, Segal J concluded that</w:t>
      </w:r>
      <w:r w:rsidR="00712DB2" w:rsidRPr="00B168E0">
        <w:rPr>
          <w:rFonts w:ascii="Arial" w:hAnsi="Arial" w:cs="Arial"/>
        </w:rPr>
        <w:t xml:space="preserve"> he was unable to issue the requested order, observing that relief under section 97 was contingent upon the appointment of a provisional liquidator by the court itself. Granting such relief as if the court had made the appointment would constitute the same type of "heresy" that Lord Collins identified as impermissible in both the </w:t>
      </w:r>
      <w:r w:rsidR="00712DB2" w:rsidRPr="00B168E0">
        <w:rPr>
          <w:rFonts w:ascii="Arial" w:hAnsi="Arial" w:cs="Arial"/>
          <w:i/>
          <w:iCs/>
        </w:rPr>
        <w:t>Rubin</w:t>
      </w:r>
      <w:r w:rsidR="00712DB2" w:rsidRPr="00B168E0">
        <w:rPr>
          <w:rFonts w:ascii="Arial" w:hAnsi="Arial" w:cs="Arial"/>
        </w:rPr>
        <w:t xml:space="preserve"> and </w:t>
      </w:r>
      <w:proofErr w:type="spellStart"/>
      <w:r w:rsidR="00712DB2" w:rsidRPr="00B168E0">
        <w:rPr>
          <w:rFonts w:ascii="Arial" w:hAnsi="Arial" w:cs="Arial"/>
          <w:i/>
          <w:iCs/>
        </w:rPr>
        <w:t>Singularis</w:t>
      </w:r>
      <w:proofErr w:type="spellEnd"/>
      <w:r w:rsidR="00712DB2" w:rsidRPr="00B168E0">
        <w:rPr>
          <w:rFonts w:ascii="Arial" w:hAnsi="Arial" w:cs="Arial"/>
        </w:rPr>
        <w:t xml:space="preserve"> cases.</w:t>
      </w:r>
    </w:p>
    <w:p w14:paraId="57B53929" w14:textId="77777777" w:rsidR="00712DB2" w:rsidRPr="00B168E0" w:rsidRDefault="00712DB2" w:rsidP="00712DB2">
      <w:pPr>
        <w:spacing w:line="360" w:lineRule="auto"/>
        <w:jc w:val="both"/>
        <w:rPr>
          <w:rFonts w:ascii="Arial" w:hAnsi="Arial" w:cs="Arial"/>
        </w:rPr>
      </w:pPr>
    </w:p>
    <w:p w14:paraId="1EDC7381" w14:textId="43EE456B" w:rsidR="00712DB2" w:rsidRPr="00B168E0" w:rsidRDefault="00712DB2" w:rsidP="00712DB2">
      <w:pPr>
        <w:spacing w:line="360" w:lineRule="auto"/>
        <w:jc w:val="both"/>
        <w:rPr>
          <w:rFonts w:ascii="Arial" w:hAnsi="Arial" w:cs="Arial"/>
        </w:rPr>
      </w:pPr>
      <w:r w:rsidRPr="00B168E0">
        <w:rPr>
          <w:rFonts w:ascii="Arial" w:hAnsi="Arial" w:cs="Arial"/>
        </w:rPr>
        <w:t xml:space="preserve">Despite this constraint, Justice Segal implemented a practical approach by ordering that any ongoing or newly initiated proceedings against the company in the Cayman Court be assigned to </w:t>
      </w:r>
      <w:r w:rsidRPr="00B168E0">
        <w:rPr>
          <w:rFonts w:ascii="Arial" w:hAnsi="Arial" w:cs="Arial"/>
        </w:rPr>
        <w:lastRenderedPageBreak/>
        <w:t xml:space="preserve">him. This measure </w:t>
      </w:r>
      <w:r w:rsidR="00BA5646" w:rsidRPr="00B168E0">
        <w:rPr>
          <w:rFonts w:ascii="Arial" w:hAnsi="Arial" w:cs="Arial"/>
        </w:rPr>
        <w:t xml:space="preserve">thereby </w:t>
      </w:r>
      <w:r w:rsidRPr="00B168E0">
        <w:rPr>
          <w:rFonts w:ascii="Arial" w:hAnsi="Arial" w:cs="Arial"/>
        </w:rPr>
        <w:t>aim</w:t>
      </w:r>
      <w:r w:rsidR="00BA5646" w:rsidRPr="00B168E0">
        <w:rPr>
          <w:rFonts w:ascii="Arial" w:hAnsi="Arial" w:cs="Arial"/>
        </w:rPr>
        <w:t>ed</w:t>
      </w:r>
      <w:r w:rsidRPr="00B168E0">
        <w:rPr>
          <w:rFonts w:ascii="Arial" w:hAnsi="Arial" w:cs="Arial"/>
        </w:rPr>
        <w:t xml:space="preserve"> to ensure that these proceedings </w:t>
      </w:r>
      <w:r w:rsidR="00BA5646" w:rsidRPr="00B168E0">
        <w:rPr>
          <w:rFonts w:ascii="Arial" w:hAnsi="Arial" w:cs="Arial"/>
        </w:rPr>
        <w:t>we</w:t>
      </w:r>
      <w:r w:rsidRPr="00B168E0">
        <w:rPr>
          <w:rFonts w:ascii="Arial" w:hAnsi="Arial" w:cs="Arial"/>
        </w:rPr>
        <w:t>re either stayed or adjourned, thereby maintaining the integrity of the scheme until its completion.</w:t>
      </w:r>
    </w:p>
    <w:p w14:paraId="4DCCE555" w14:textId="77777777" w:rsidR="002B785F" w:rsidRPr="00B168E0" w:rsidRDefault="002B785F" w:rsidP="00712DB2">
      <w:pPr>
        <w:spacing w:line="360" w:lineRule="auto"/>
        <w:jc w:val="both"/>
        <w:rPr>
          <w:rFonts w:ascii="Arial" w:hAnsi="Arial" w:cs="Arial"/>
        </w:rPr>
      </w:pPr>
    </w:p>
    <w:p w14:paraId="42CF74A5" w14:textId="2D9A3AD8" w:rsidR="002B785F" w:rsidRPr="00B168E0" w:rsidRDefault="00666BB9" w:rsidP="00712DB2">
      <w:pPr>
        <w:spacing w:line="360" w:lineRule="auto"/>
        <w:jc w:val="both"/>
        <w:rPr>
          <w:rFonts w:ascii="Arial" w:hAnsi="Arial" w:cs="Arial"/>
        </w:rPr>
      </w:pPr>
      <w:r w:rsidRPr="00B168E0">
        <w:rPr>
          <w:rFonts w:ascii="Arial" w:hAnsi="Arial" w:cs="Arial"/>
        </w:rPr>
        <w:t xml:space="preserve">Indeed, Cayman continues to show a reasonable amount of flexibility when it comes to seeking solutions to </w:t>
      </w:r>
      <w:r w:rsidR="002578A6" w:rsidRPr="00B168E0">
        <w:rPr>
          <w:rFonts w:ascii="Arial" w:hAnsi="Arial" w:cs="Arial"/>
        </w:rPr>
        <w:t>assist other courts wherever it can.</w:t>
      </w:r>
    </w:p>
    <w:p w14:paraId="21F907C9" w14:textId="77777777" w:rsidR="002578A6" w:rsidRPr="00B168E0" w:rsidRDefault="002578A6" w:rsidP="00712DB2">
      <w:pPr>
        <w:spacing w:line="360" w:lineRule="auto"/>
        <w:jc w:val="both"/>
        <w:rPr>
          <w:rFonts w:ascii="Arial" w:hAnsi="Arial" w:cs="Arial"/>
        </w:rPr>
      </w:pPr>
    </w:p>
    <w:p w14:paraId="7D4AC59C" w14:textId="75A65016" w:rsidR="002578A6" w:rsidRPr="00B168E0" w:rsidRDefault="002578A6" w:rsidP="002578A6">
      <w:pPr>
        <w:spacing w:line="360" w:lineRule="auto"/>
        <w:jc w:val="both"/>
        <w:rPr>
          <w:rFonts w:ascii="Arial" w:hAnsi="Arial" w:cs="Arial"/>
        </w:rPr>
      </w:pPr>
      <w:r w:rsidRPr="00B168E0">
        <w:rPr>
          <w:rFonts w:ascii="Arial" w:hAnsi="Arial" w:cs="Arial"/>
        </w:rPr>
        <w:t xml:space="preserve">One interesting subsequent example is </w:t>
      </w:r>
      <w:r w:rsidRPr="00B168E0">
        <w:rPr>
          <w:rFonts w:ascii="Arial" w:hAnsi="Arial" w:cs="Arial"/>
          <w:i/>
          <w:iCs/>
        </w:rPr>
        <w:t xml:space="preserve">In the </w:t>
      </w:r>
      <w:r w:rsidR="00765651" w:rsidRPr="00B168E0">
        <w:rPr>
          <w:rFonts w:ascii="Arial" w:hAnsi="Arial" w:cs="Arial"/>
          <w:i/>
          <w:iCs/>
        </w:rPr>
        <w:t>Matter</w:t>
      </w:r>
      <w:r w:rsidRPr="00B168E0">
        <w:rPr>
          <w:rFonts w:ascii="Arial" w:hAnsi="Arial" w:cs="Arial"/>
          <w:i/>
          <w:iCs/>
        </w:rPr>
        <w:t xml:space="preserve"> of Silk Road Funds Ltd</w:t>
      </w:r>
      <w:r w:rsidRPr="00B168E0">
        <w:rPr>
          <w:rFonts w:ascii="Arial" w:hAnsi="Arial" w:cs="Arial"/>
        </w:rPr>
        <w:t xml:space="preserve"> (Unreported, 8 February 2018, Smellie CJ), </w:t>
      </w:r>
      <w:r w:rsidR="00765651" w:rsidRPr="00B168E0">
        <w:rPr>
          <w:rFonts w:ascii="Arial" w:hAnsi="Arial" w:cs="Arial"/>
        </w:rPr>
        <w:t xml:space="preserve">when </w:t>
      </w:r>
      <w:r w:rsidRPr="00B168E0">
        <w:rPr>
          <w:rFonts w:ascii="Arial" w:hAnsi="Arial" w:cs="Arial"/>
        </w:rPr>
        <w:t xml:space="preserve">the </w:t>
      </w:r>
      <w:r w:rsidR="00765651" w:rsidRPr="00B168E0">
        <w:rPr>
          <w:rFonts w:ascii="Arial" w:hAnsi="Arial" w:cs="Arial"/>
        </w:rPr>
        <w:t xml:space="preserve">Cayman </w:t>
      </w:r>
      <w:r w:rsidR="00D447E7">
        <w:rPr>
          <w:rFonts w:ascii="Arial" w:hAnsi="Arial" w:cs="Arial"/>
        </w:rPr>
        <w:t>c</w:t>
      </w:r>
      <w:r w:rsidRPr="00B168E0">
        <w:rPr>
          <w:rFonts w:ascii="Arial" w:hAnsi="Arial" w:cs="Arial"/>
        </w:rPr>
        <w:t>ourt evaluated the criteria for granting orders to recognize and enforce the powers of receivers appointed by a foreign court.</w:t>
      </w:r>
    </w:p>
    <w:p w14:paraId="388BF88B" w14:textId="77777777" w:rsidR="002578A6" w:rsidRPr="00B168E0" w:rsidRDefault="002578A6" w:rsidP="002578A6">
      <w:pPr>
        <w:spacing w:line="360" w:lineRule="auto"/>
        <w:jc w:val="both"/>
        <w:rPr>
          <w:rFonts w:ascii="Arial" w:hAnsi="Arial" w:cs="Arial"/>
        </w:rPr>
      </w:pPr>
    </w:p>
    <w:p w14:paraId="14CBF396" w14:textId="44A7C4D8" w:rsidR="00F231D0" w:rsidRPr="00B168E0" w:rsidRDefault="00765651" w:rsidP="002578A6">
      <w:pPr>
        <w:spacing w:line="360" w:lineRule="auto"/>
        <w:jc w:val="both"/>
        <w:rPr>
          <w:rFonts w:ascii="Arial" w:hAnsi="Arial" w:cs="Arial"/>
        </w:rPr>
      </w:pPr>
      <w:r w:rsidRPr="00B168E0">
        <w:rPr>
          <w:rFonts w:ascii="Arial" w:hAnsi="Arial" w:cs="Arial"/>
        </w:rPr>
        <w:t>Smellie CJ</w:t>
      </w:r>
      <w:r w:rsidR="002578A6" w:rsidRPr="00B168E0">
        <w:rPr>
          <w:rFonts w:ascii="Arial" w:hAnsi="Arial" w:cs="Arial"/>
        </w:rPr>
        <w:t xml:space="preserve"> assessed various mechanisms through which an officeholder could seek recognition, examining them in the context of the specific circumstances of their appointment. The principal methods considered were</w:t>
      </w:r>
      <w:r w:rsidR="008505FF" w:rsidRPr="00B168E0">
        <w:rPr>
          <w:rFonts w:ascii="Arial" w:hAnsi="Arial" w:cs="Arial"/>
        </w:rPr>
        <w:t xml:space="preserve"> legislation (</w:t>
      </w:r>
      <w:r w:rsidR="002578A6" w:rsidRPr="00B168E0">
        <w:rPr>
          <w:rFonts w:ascii="Arial" w:hAnsi="Arial" w:cs="Arial"/>
        </w:rPr>
        <w:t xml:space="preserve">Part XVII of the Companies </w:t>
      </w:r>
      <w:r w:rsidR="004503C7" w:rsidRPr="00B168E0">
        <w:rPr>
          <w:rFonts w:ascii="Arial" w:hAnsi="Arial" w:cs="Arial"/>
        </w:rPr>
        <w:t>Act</w:t>
      </w:r>
      <w:r w:rsidR="008505FF" w:rsidRPr="00B168E0">
        <w:rPr>
          <w:rFonts w:ascii="Arial" w:hAnsi="Arial" w:cs="Arial"/>
        </w:rPr>
        <w:t>);</w:t>
      </w:r>
      <w:r w:rsidR="0097115B" w:rsidRPr="00B168E0">
        <w:rPr>
          <w:rFonts w:ascii="Arial" w:hAnsi="Arial" w:cs="Arial"/>
        </w:rPr>
        <w:t xml:space="preserve"> </w:t>
      </w:r>
      <w:r w:rsidR="002578A6" w:rsidRPr="00B168E0">
        <w:rPr>
          <w:rFonts w:ascii="Arial" w:hAnsi="Arial" w:cs="Arial"/>
        </w:rPr>
        <w:t>"</w:t>
      </w:r>
      <w:r w:rsidR="0097115B" w:rsidRPr="00B168E0">
        <w:rPr>
          <w:rFonts w:ascii="Arial" w:hAnsi="Arial" w:cs="Arial"/>
        </w:rPr>
        <w:t>m</w:t>
      </w:r>
      <w:r w:rsidR="002578A6" w:rsidRPr="00B168E0">
        <w:rPr>
          <w:rFonts w:ascii="Arial" w:hAnsi="Arial" w:cs="Arial"/>
        </w:rPr>
        <w:t>odified universalism"</w:t>
      </w:r>
      <w:r w:rsidR="00F231D0" w:rsidRPr="00B168E0">
        <w:rPr>
          <w:rFonts w:ascii="Arial" w:hAnsi="Arial" w:cs="Arial"/>
        </w:rPr>
        <w:t xml:space="preserve"> </w:t>
      </w:r>
      <w:r w:rsidR="002578A6" w:rsidRPr="00B168E0">
        <w:rPr>
          <w:rFonts w:ascii="Arial" w:hAnsi="Arial" w:cs="Arial"/>
        </w:rPr>
        <w:t>and common law</w:t>
      </w:r>
      <w:r w:rsidR="0097115B" w:rsidRPr="00B168E0">
        <w:rPr>
          <w:rFonts w:ascii="Arial" w:hAnsi="Arial" w:cs="Arial"/>
        </w:rPr>
        <w:t>.</w:t>
      </w:r>
      <w:r w:rsidR="000F032F" w:rsidRPr="00B168E0">
        <w:rPr>
          <w:rFonts w:ascii="Arial" w:hAnsi="Arial" w:cs="Arial"/>
        </w:rPr>
        <w:t xml:space="preserve"> </w:t>
      </w:r>
      <w:r w:rsidR="00F231D0" w:rsidRPr="00B168E0">
        <w:rPr>
          <w:rFonts w:ascii="Arial" w:hAnsi="Arial" w:cs="Arial"/>
        </w:rPr>
        <w:t xml:space="preserve">The purpose </w:t>
      </w:r>
      <w:r w:rsidR="00B93F26">
        <w:rPr>
          <w:rFonts w:ascii="Arial" w:hAnsi="Arial" w:cs="Arial"/>
        </w:rPr>
        <w:t xml:space="preserve">in that case </w:t>
      </w:r>
      <w:r w:rsidR="00F231D0" w:rsidRPr="00B168E0">
        <w:rPr>
          <w:rFonts w:ascii="Arial" w:hAnsi="Arial" w:cs="Arial"/>
        </w:rPr>
        <w:t xml:space="preserve">of distinguishing modified </w:t>
      </w:r>
      <w:r w:rsidR="00FE7463" w:rsidRPr="00B168E0">
        <w:rPr>
          <w:rFonts w:ascii="Arial" w:hAnsi="Arial" w:cs="Arial"/>
        </w:rPr>
        <w:t>universalism</w:t>
      </w:r>
      <w:r w:rsidR="00F231D0" w:rsidRPr="00B168E0">
        <w:rPr>
          <w:rFonts w:ascii="Arial" w:hAnsi="Arial" w:cs="Arial"/>
        </w:rPr>
        <w:t xml:space="preserve"> from </w:t>
      </w:r>
      <w:r w:rsidR="00FE7463" w:rsidRPr="00B168E0">
        <w:rPr>
          <w:rFonts w:ascii="Arial" w:hAnsi="Arial" w:cs="Arial"/>
        </w:rPr>
        <w:t>the common law was because it</w:t>
      </w:r>
      <w:r w:rsidR="000F032F" w:rsidRPr="00B168E0">
        <w:rPr>
          <w:rFonts w:ascii="Arial" w:hAnsi="Arial" w:cs="Arial"/>
        </w:rPr>
        <w:t xml:space="preserve"> was considered that modified univer</w:t>
      </w:r>
      <w:r w:rsidR="00B93F26">
        <w:rPr>
          <w:rFonts w:ascii="Arial" w:hAnsi="Arial" w:cs="Arial"/>
        </w:rPr>
        <w:t>s</w:t>
      </w:r>
      <w:r w:rsidR="000F032F" w:rsidRPr="00B168E0">
        <w:rPr>
          <w:rFonts w:ascii="Arial" w:hAnsi="Arial" w:cs="Arial"/>
        </w:rPr>
        <w:t>alism is only applicable to the universality of insolvency and bankruptcy proceedings due to their specific legal consequences, rather than applying broadly to general receivership scenarios.</w:t>
      </w:r>
    </w:p>
    <w:p w14:paraId="39E2A605" w14:textId="77777777" w:rsidR="002578A6" w:rsidRPr="00B168E0" w:rsidRDefault="002578A6" w:rsidP="002578A6">
      <w:pPr>
        <w:spacing w:line="360" w:lineRule="auto"/>
        <w:jc w:val="both"/>
        <w:rPr>
          <w:rFonts w:ascii="Arial" w:hAnsi="Arial" w:cs="Arial"/>
        </w:rPr>
      </w:pPr>
    </w:p>
    <w:p w14:paraId="4707D72C" w14:textId="3FB0A035" w:rsidR="002578A6" w:rsidRDefault="002578A6" w:rsidP="002578A6">
      <w:pPr>
        <w:spacing w:line="360" w:lineRule="auto"/>
        <w:jc w:val="both"/>
        <w:rPr>
          <w:rFonts w:ascii="Arial" w:hAnsi="Arial" w:cs="Arial"/>
        </w:rPr>
      </w:pPr>
      <w:r w:rsidRPr="00B168E0">
        <w:rPr>
          <w:rFonts w:ascii="Arial" w:hAnsi="Arial" w:cs="Arial"/>
        </w:rPr>
        <w:t>In th</w:t>
      </w:r>
      <w:r w:rsidR="000F032F" w:rsidRPr="00B168E0">
        <w:rPr>
          <w:rFonts w:ascii="Arial" w:hAnsi="Arial" w:cs="Arial"/>
        </w:rPr>
        <w:t>at case</w:t>
      </w:r>
      <w:r w:rsidRPr="00B168E0">
        <w:rPr>
          <w:rFonts w:ascii="Arial" w:hAnsi="Arial" w:cs="Arial"/>
        </w:rPr>
        <w:t xml:space="preserve"> instance, the </w:t>
      </w:r>
      <w:r w:rsidR="00B93F26">
        <w:rPr>
          <w:rFonts w:ascii="Arial" w:hAnsi="Arial" w:cs="Arial"/>
        </w:rPr>
        <w:t>Chief Justice</w:t>
      </w:r>
      <w:r w:rsidRPr="00B168E0">
        <w:rPr>
          <w:rFonts w:ascii="Arial" w:hAnsi="Arial" w:cs="Arial"/>
        </w:rPr>
        <w:t xml:space="preserve"> determined that</w:t>
      </w:r>
      <w:r w:rsidR="000F032F" w:rsidRPr="00B168E0">
        <w:rPr>
          <w:rFonts w:ascii="Arial" w:hAnsi="Arial" w:cs="Arial"/>
        </w:rPr>
        <w:t xml:space="preserve"> </w:t>
      </w:r>
      <w:r w:rsidR="00B93F26">
        <w:rPr>
          <w:rFonts w:ascii="Arial" w:hAnsi="Arial" w:cs="Arial"/>
        </w:rPr>
        <w:t>the court</w:t>
      </w:r>
      <w:r w:rsidR="000F032F" w:rsidRPr="00B168E0">
        <w:rPr>
          <w:rFonts w:ascii="Arial" w:hAnsi="Arial" w:cs="Arial"/>
        </w:rPr>
        <w:t xml:space="preserve"> has an </w:t>
      </w:r>
      <w:r w:rsidRPr="00B168E0">
        <w:rPr>
          <w:rFonts w:ascii="Arial" w:hAnsi="Arial" w:cs="Arial"/>
        </w:rPr>
        <w:t xml:space="preserve">inherent jurisdiction to recognize foreign receivers according to the terms of their appointment </w:t>
      </w:r>
      <w:r w:rsidR="00365CFC" w:rsidRPr="00B168E0">
        <w:rPr>
          <w:rFonts w:ascii="Arial" w:hAnsi="Arial" w:cs="Arial"/>
        </w:rPr>
        <w:t>in the following circumstances (the underlying principle being to demonstrate a significant connection between the company and the jurisdiction appointing the receiver)</w:t>
      </w:r>
      <w:r w:rsidRPr="00B168E0">
        <w:rPr>
          <w:rFonts w:ascii="Arial" w:hAnsi="Arial" w:cs="Arial"/>
        </w:rPr>
        <w:t>:</w:t>
      </w:r>
    </w:p>
    <w:p w14:paraId="4D0146BF" w14:textId="77777777" w:rsidR="00B93F26" w:rsidRPr="00B168E0" w:rsidRDefault="00B93F26" w:rsidP="002578A6">
      <w:pPr>
        <w:spacing w:line="360" w:lineRule="auto"/>
        <w:jc w:val="both"/>
        <w:rPr>
          <w:rFonts w:ascii="Arial" w:hAnsi="Arial" w:cs="Arial"/>
        </w:rPr>
      </w:pPr>
    </w:p>
    <w:p w14:paraId="10F37745" w14:textId="29EBC9E4" w:rsidR="002578A6" w:rsidRPr="00B168E0" w:rsidRDefault="00365CFC" w:rsidP="004503C7">
      <w:pPr>
        <w:pStyle w:val="ListParagraph"/>
        <w:numPr>
          <w:ilvl w:val="0"/>
          <w:numId w:val="11"/>
        </w:numPr>
        <w:spacing w:line="360" w:lineRule="auto"/>
        <w:jc w:val="both"/>
        <w:rPr>
          <w:rFonts w:ascii="Arial" w:hAnsi="Arial" w:cs="Arial"/>
        </w:rPr>
      </w:pPr>
      <w:r w:rsidRPr="00B168E0">
        <w:rPr>
          <w:rFonts w:ascii="Arial" w:hAnsi="Arial" w:cs="Arial"/>
        </w:rPr>
        <w:t>T</w:t>
      </w:r>
      <w:r w:rsidR="002578A6" w:rsidRPr="00B168E0">
        <w:rPr>
          <w:rFonts w:ascii="Arial" w:hAnsi="Arial" w:cs="Arial"/>
        </w:rPr>
        <w:t xml:space="preserve">he company in respect of whose assets the receiver and manager has been appointed, </w:t>
      </w:r>
      <w:r w:rsidRPr="00B168E0">
        <w:rPr>
          <w:rFonts w:ascii="Arial" w:hAnsi="Arial" w:cs="Arial"/>
        </w:rPr>
        <w:t xml:space="preserve">has </w:t>
      </w:r>
      <w:r w:rsidR="002578A6" w:rsidRPr="00B168E0">
        <w:rPr>
          <w:rFonts w:ascii="Arial" w:hAnsi="Arial" w:cs="Arial"/>
        </w:rPr>
        <w:t xml:space="preserve">been made a defendant in the action in the foreign </w:t>
      </w:r>
      <w:proofErr w:type="gramStart"/>
      <w:r w:rsidR="002578A6" w:rsidRPr="00B168E0">
        <w:rPr>
          <w:rFonts w:ascii="Arial" w:hAnsi="Arial" w:cs="Arial"/>
        </w:rPr>
        <w:t>court</w:t>
      </w:r>
      <w:r w:rsidRPr="00B168E0">
        <w:rPr>
          <w:rFonts w:ascii="Arial" w:hAnsi="Arial" w:cs="Arial"/>
        </w:rPr>
        <w:t>;</w:t>
      </w:r>
      <w:proofErr w:type="gramEnd"/>
    </w:p>
    <w:p w14:paraId="43F254E9" w14:textId="77777777" w:rsidR="00B93F26" w:rsidRPr="00B93F26" w:rsidRDefault="00B93F26" w:rsidP="00B93F26">
      <w:pPr>
        <w:spacing w:line="360" w:lineRule="auto"/>
        <w:jc w:val="both"/>
        <w:rPr>
          <w:rFonts w:ascii="Arial" w:hAnsi="Arial" w:cs="Arial"/>
        </w:rPr>
      </w:pPr>
    </w:p>
    <w:p w14:paraId="6733453E" w14:textId="4503F59D" w:rsidR="002578A6" w:rsidRPr="00B168E0" w:rsidRDefault="00365CFC" w:rsidP="004503C7">
      <w:pPr>
        <w:pStyle w:val="ListParagraph"/>
        <w:numPr>
          <w:ilvl w:val="0"/>
          <w:numId w:val="11"/>
        </w:numPr>
        <w:spacing w:line="360" w:lineRule="auto"/>
        <w:jc w:val="both"/>
        <w:rPr>
          <w:rFonts w:ascii="Arial" w:hAnsi="Arial" w:cs="Arial"/>
        </w:rPr>
      </w:pPr>
      <w:r w:rsidRPr="00B168E0">
        <w:rPr>
          <w:rFonts w:ascii="Arial" w:hAnsi="Arial" w:cs="Arial"/>
        </w:rPr>
        <w:t>T</w:t>
      </w:r>
      <w:r w:rsidR="002578A6" w:rsidRPr="00B168E0">
        <w:rPr>
          <w:rFonts w:ascii="Arial" w:hAnsi="Arial" w:cs="Arial"/>
        </w:rPr>
        <w:t xml:space="preserve">he company in respect of whose assets the receiver and manager has been appointed, </w:t>
      </w:r>
      <w:r w:rsidRPr="00B168E0">
        <w:rPr>
          <w:rFonts w:ascii="Arial" w:hAnsi="Arial" w:cs="Arial"/>
        </w:rPr>
        <w:t xml:space="preserve">has </w:t>
      </w:r>
      <w:r w:rsidR="002578A6" w:rsidRPr="00B168E0">
        <w:rPr>
          <w:rFonts w:ascii="Arial" w:hAnsi="Arial" w:cs="Arial"/>
        </w:rPr>
        <w:t xml:space="preserve">been incorporated in the country which appointed the receiver and </w:t>
      </w:r>
      <w:proofErr w:type="gramStart"/>
      <w:r w:rsidR="002578A6" w:rsidRPr="00B168E0">
        <w:rPr>
          <w:rFonts w:ascii="Arial" w:hAnsi="Arial" w:cs="Arial"/>
        </w:rPr>
        <w:t>manager</w:t>
      </w:r>
      <w:r w:rsidRPr="00B168E0">
        <w:rPr>
          <w:rFonts w:ascii="Arial" w:hAnsi="Arial" w:cs="Arial"/>
        </w:rPr>
        <w:t>;</w:t>
      </w:r>
      <w:proofErr w:type="gramEnd"/>
    </w:p>
    <w:p w14:paraId="53F885CD" w14:textId="77777777" w:rsidR="00B93F26" w:rsidRDefault="00B93F26" w:rsidP="00B93F26">
      <w:pPr>
        <w:pStyle w:val="ListParagraph"/>
        <w:spacing w:line="360" w:lineRule="auto"/>
        <w:ind w:left="360"/>
        <w:jc w:val="both"/>
        <w:rPr>
          <w:rFonts w:ascii="Arial" w:hAnsi="Arial" w:cs="Arial"/>
        </w:rPr>
      </w:pPr>
    </w:p>
    <w:p w14:paraId="34F437B0" w14:textId="7C25DF68" w:rsidR="002578A6" w:rsidRPr="00B168E0" w:rsidRDefault="00365CFC" w:rsidP="004503C7">
      <w:pPr>
        <w:pStyle w:val="ListParagraph"/>
        <w:numPr>
          <w:ilvl w:val="0"/>
          <w:numId w:val="11"/>
        </w:numPr>
        <w:spacing w:line="360" w:lineRule="auto"/>
        <w:jc w:val="both"/>
        <w:rPr>
          <w:rFonts w:ascii="Arial" w:hAnsi="Arial" w:cs="Arial"/>
        </w:rPr>
      </w:pPr>
      <w:r w:rsidRPr="00B168E0">
        <w:rPr>
          <w:rFonts w:ascii="Arial" w:hAnsi="Arial" w:cs="Arial"/>
        </w:rPr>
        <w:t>If</w:t>
      </w:r>
      <w:r w:rsidR="002578A6" w:rsidRPr="00B168E0">
        <w:rPr>
          <w:rFonts w:ascii="Arial" w:hAnsi="Arial" w:cs="Arial"/>
        </w:rPr>
        <w:t xml:space="preserve"> the courts of the country of incorporation recognise a foreign appointed receiver</w:t>
      </w:r>
      <w:r w:rsidRPr="00B168E0">
        <w:rPr>
          <w:rFonts w:ascii="Arial" w:hAnsi="Arial" w:cs="Arial"/>
        </w:rPr>
        <w:t>; and</w:t>
      </w:r>
    </w:p>
    <w:p w14:paraId="1693B299" w14:textId="77777777" w:rsidR="00B93F26" w:rsidRDefault="00B93F26" w:rsidP="00B93F26">
      <w:pPr>
        <w:pStyle w:val="ListParagraph"/>
        <w:spacing w:line="360" w:lineRule="auto"/>
        <w:ind w:left="360"/>
        <w:jc w:val="both"/>
        <w:rPr>
          <w:rFonts w:ascii="Arial" w:hAnsi="Arial" w:cs="Arial"/>
        </w:rPr>
      </w:pPr>
    </w:p>
    <w:p w14:paraId="18091E73" w14:textId="0031EE68" w:rsidR="002578A6" w:rsidRPr="00B168E0" w:rsidRDefault="00365CFC" w:rsidP="004503C7">
      <w:pPr>
        <w:pStyle w:val="ListParagraph"/>
        <w:numPr>
          <w:ilvl w:val="0"/>
          <w:numId w:val="11"/>
        </w:numPr>
        <w:spacing w:line="360" w:lineRule="auto"/>
        <w:jc w:val="both"/>
        <w:rPr>
          <w:rFonts w:ascii="Arial" w:hAnsi="Arial" w:cs="Arial"/>
        </w:rPr>
      </w:pPr>
      <w:r w:rsidRPr="00B168E0">
        <w:rPr>
          <w:rFonts w:ascii="Arial" w:hAnsi="Arial" w:cs="Arial"/>
        </w:rPr>
        <w:t>T</w:t>
      </w:r>
      <w:r w:rsidR="002578A6" w:rsidRPr="00B168E0">
        <w:rPr>
          <w:rFonts w:ascii="Arial" w:hAnsi="Arial" w:cs="Arial"/>
        </w:rPr>
        <w:t xml:space="preserve">he company carried on business in the jurisdiction of the appointment or the seat of its central management and control </w:t>
      </w:r>
      <w:r w:rsidRPr="00B168E0">
        <w:rPr>
          <w:rFonts w:ascii="Arial" w:hAnsi="Arial" w:cs="Arial"/>
        </w:rPr>
        <w:t xml:space="preserve">is </w:t>
      </w:r>
      <w:r w:rsidR="002578A6" w:rsidRPr="00B168E0">
        <w:rPr>
          <w:rFonts w:ascii="Arial" w:hAnsi="Arial" w:cs="Arial"/>
        </w:rPr>
        <w:t>located there</w:t>
      </w:r>
      <w:r w:rsidRPr="00B168E0">
        <w:rPr>
          <w:rFonts w:ascii="Arial" w:hAnsi="Arial" w:cs="Arial"/>
        </w:rPr>
        <w:t>.</w:t>
      </w:r>
    </w:p>
    <w:p w14:paraId="53CB988A" w14:textId="77777777" w:rsidR="00B93F26" w:rsidRDefault="00B93F26" w:rsidP="002578A6">
      <w:pPr>
        <w:spacing w:line="360" w:lineRule="auto"/>
        <w:jc w:val="both"/>
        <w:rPr>
          <w:rFonts w:ascii="Arial" w:hAnsi="Arial" w:cs="Arial"/>
        </w:rPr>
      </w:pPr>
    </w:p>
    <w:p w14:paraId="29F65730" w14:textId="3B374E82" w:rsidR="002578A6" w:rsidRPr="00B168E0" w:rsidRDefault="00365CFC" w:rsidP="002578A6">
      <w:pPr>
        <w:spacing w:line="360" w:lineRule="auto"/>
        <w:jc w:val="both"/>
        <w:rPr>
          <w:rFonts w:ascii="Arial" w:hAnsi="Arial" w:cs="Arial"/>
        </w:rPr>
      </w:pPr>
      <w:r w:rsidRPr="00B168E0">
        <w:rPr>
          <w:rFonts w:ascii="Arial" w:hAnsi="Arial" w:cs="Arial"/>
        </w:rPr>
        <w:lastRenderedPageBreak/>
        <w:t xml:space="preserve">However, if </w:t>
      </w:r>
      <w:r w:rsidR="002578A6" w:rsidRPr="00B168E0">
        <w:rPr>
          <w:rFonts w:ascii="Arial" w:hAnsi="Arial" w:cs="Arial"/>
        </w:rPr>
        <w:t>recognizing a receiver would serve to enforce the penal, revenue, or other public law of a foreign state, the Cayman Court would not grant recognition, regardless of whether the specified criteria were met.</w:t>
      </w:r>
    </w:p>
    <w:p w14:paraId="21036D5E" w14:textId="77777777" w:rsidR="002578A6" w:rsidRPr="00B168E0" w:rsidRDefault="002578A6" w:rsidP="00712DB2">
      <w:pPr>
        <w:spacing w:line="360" w:lineRule="auto"/>
        <w:jc w:val="both"/>
        <w:rPr>
          <w:rFonts w:ascii="Arial" w:hAnsi="Arial" w:cs="Arial"/>
        </w:rPr>
      </w:pPr>
    </w:p>
    <w:p w14:paraId="0ED750D5" w14:textId="26ADAAB1" w:rsidR="000F7CE5" w:rsidRPr="003871FF" w:rsidRDefault="00F3366F" w:rsidP="00471D18">
      <w:pPr>
        <w:spacing w:line="360" w:lineRule="auto"/>
        <w:jc w:val="both"/>
        <w:rPr>
          <w:rFonts w:ascii="Arial" w:hAnsi="Arial" w:cs="Arial"/>
        </w:rPr>
      </w:pPr>
      <w:r>
        <w:rPr>
          <w:rFonts w:ascii="Arial" w:hAnsi="Arial" w:cs="Arial"/>
        </w:rPr>
        <w:t xml:space="preserve">But since the somewhat pragmatic decisions in </w:t>
      </w:r>
      <w:r>
        <w:rPr>
          <w:rFonts w:ascii="Arial" w:hAnsi="Arial" w:cs="Arial"/>
          <w:i/>
          <w:iCs/>
        </w:rPr>
        <w:t xml:space="preserve">China </w:t>
      </w:r>
      <w:proofErr w:type="spellStart"/>
      <w:r>
        <w:rPr>
          <w:rFonts w:ascii="Arial" w:hAnsi="Arial" w:cs="Arial"/>
          <w:i/>
          <w:iCs/>
        </w:rPr>
        <w:t>Agrotech</w:t>
      </w:r>
      <w:proofErr w:type="spellEnd"/>
      <w:r>
        <w:rPr>
          <w:rFonts w:ascii="Arial" w:hAnsi="Arial" w:cs="Arial"/>
          <w:i/>
          <w:iCs/>
        </w:rPr>
        <w:t xml:space="preserve"> </w:t>
      </w:r>
      <w:r>
        <w:rPr>
          <w:rFonts w:ascii="Arial" w:hAnsi="Arial" w:cs="Arial"/>
        </w:rPr>
        <w:t xml:space="preserve">and </w:t>
      </w:r>
      <w:r>
        <w:rPr>
          <w:rFonts w:ascii="Arial" w:hAnsi="Arial" w:cs="Arial"/>
          <w:i/>
          <w:iCs/>
        </w:rPr>
        <w:t>Silk Road Funds</w:t>
      </w:r>
      <w:r>
        <w:rPr>
          <w:rFonts w:ascii="Arial" w:hAnsi="Arial" w:cs="Arial"/>
        </w:rPr>
        <w:t xml:space="preserve">, the Grand Court </w:t>
      </w:r>
      <w:r w:rsidR="000F7CE5" w:rsidRPr="00B168E0">
        <w:rPr>
          <w:rFonts w:ascii="Arial" w:hAnsi="Arial" w:cs="Arial"/>
        </w:rPr>
        <w:t xml:space="preserve">has </w:t>
      </w:r>
      <w:r>
        <w:rPr>
          <w:rFonts w:ascii="Arial" w:hAnsi="Arial" w:cs="Arial"/>
        </w:rPr>
        <w:t>seemingly become more conservative in its approach to the application of modified</w:t>
      </w:r>
      <w:r w:rsidR="000F7CE5" w:rsidRPr="00B168E0">
        <w:rPr>
          <w:rFonts w:ascii="Arial" w:hAnsi="Arial" w:cs="Arial"/>
        </w:rPr>
        <w:t xml:space="preserve"> </w:t>
      </w:r>
      <w:r w:rsidR="00A37FE1" w:rsidRPr="00B168E0">
        <w:rPr>
          <w:rFonts w:ascii="Arial" w:hAnsi="Arial" w:cs="Arial"/>
        </w:rPr>
        <w:t>universalism</w:t>
      </w:r>
      <w:r w:rsidR="008C4CB9">
        <w:rPr>
          <w:rFonts w:ascii="Arial" w:hAnsi="Arial" w:cs="Arial"/>
        </w:rPr>
        <w:t>. In both</w:t>
      </w:r>
      <w:r w:rsidR="00A37FE1" w:rsidRPr="008C4CB9">
        <w:rPr>
          <w:rFonts w:ascii="Arial" w:hAnsi="Arial" w:cs="Arial"/>
        </w:rPr>
        <w:t xml:space="preserve"> </w:t>
      </w:r>
      <w:r w:rsidR="008C4CB9" w:rsidRPr="008C4CB9">
        <w:rPr>
          <w:rFonts w:ascii="Arial" w:hAnsi="Arial" w:cs="Arial"/>
          <w:i/>
          <w:iCs/>
        </w:rPr>
        <w:t>In t</w:t>
      </w:r>
      <w:r w:rsidR="00A37FE1" w:rsidRPr="008C4CB9">
        <w:rPr>
          <w:rFonts w:ascii="Arial" w:hAnsi="Arial" w:cs="Arial"/>
          <w:i/>
          <w:iCs/>
        </w:rPr>
        <w:t>he Matter of Sun Cheong Creative Development Holdings Limited</w:t>
      </w:r>
      <w:r w:rsidR="00A37FE1" w:rsidRPr="008C4CB9">
        <w:rPr>
          <w:rFonts w:ascii="Arial" w:hAnsi="Arial" w:cs="Arial"/>
        </w:rPr>
        <w:t xml:space="preserve"> [2020 2 CILR 942]</w:t>
      </w:r>
      <w:r w:rsidR="00471D18">
        <w:rPr>
          <w:rFonts w:ascii="Arial" w:hAnsi="Arial" w:cs="Arial"/>
        </w:rPr>
        <w:t xml:space="preserve"> and </w:t>
      </w:r>
      <w:r w:rsidR="00471D18" w:rsidRPr="00471D18">
        <w:rPr>
          <w:rFonts w:ascii="Arial" w:hAnsi="Arial" w:cs="Arial"/>
          <w:i/>
          <w:iCs/>
        </w:rPr>
        <w:t>I</w:t>
      </w:r>
      <w:r w:rsidR="000F7CE5" w:rsidRPr="00471D18">
        <w:rPr>
          <w:rFonts w:ascii="Arial" w:hAnsi="Arial" w:cs="Arial"/>
          <w:i/>
          <w:iCs/>
        </w:rPr>
        <w:t>n the Matter of GTI Holdings Limited</w:t>
      </w:r>
      <w:r w:rsidR="000F7CE5" w:rsidRPr="008C4CB9">
        <w:rPr>
          <w:rFonts w:ascii="Arial" w:hAnsi="Arial" w:cs="Arial"/>
        </w:rPr>
        <w:t xml:space="preserve"> [2022 1 CILR 472]</w:t>
      </w:r>
      <w:r w:rsidR="00471D18">
        <w:rPr>
          <w:rFonts w:ascii="Arial" w:hAnsi="Arial" w:cs="Arial"/>
        </w:rPr>
        <w:t xml:space="preserve"> comity concerns came to the fore.</w:t>
      </w:r>
      <w:r w:rsidR="00087AB1">
        <w:rPr>
          <w:rFonts w:ascii="Arial" w:hAnsi="Arial" w:cs="Arial"/>
        </w:rPr>
        <w:t xml:space="preserve"> Both cases involved competing proceedings in Hong Kong and Cayman in respect of Cayman incorporated companies. </w:t>
      </w:r>
      <w:r w:rsidR="00D601F9">
        <w:rPr>
          <w:rFonts w:ascii="Arial" w:hAnsi="Arial" w:cs="Arial"/>
        </w:rPr>
        <w:t xml:space="preserve">In both cases, the court took a somewhat territorial approach – in </w:t>
      </w:r>
      <w:r w:rsidR="00D601F9">
        <w:rPr>
          <w:rFonts w:ascii="Arial" w:hAnsi="Arial" w:cs="Arial"/>
          <w:i/>
          <w:iCs/>
        </w:rPr>
        <w:t>Sun Cheong</w:t>
      </w:r>
      <w:r w:rsidR="00D601F9">
        <w:rPr>
          <w:rFonts w:ascii="Arial" w:hAnsi="Arial" w:cs="Arial"/>
        </w:rPr>
        <w:t xml:space="preserve"> the court indicated that it should be slow to give primacy to pure </w:t>
      </w:r>
      <w:r w:rsidR="003871FF">
        <w:rPr>
          <w:rFonts w:ascii="Arial" w:hAnsi="Arial" w:cs="Arial"/>
        </w:rPr>
        <w:t>winding</w:t>
      </w:r>
      <w:r w:rsidR="00D601F9">
        <w:rPr>
          <w:rFonts w:ascii="Arial" w:hAnsi="Arial" w:cs="Arial"/>
        </w:rPr>
        <w:t xml:space="preserve"> up proceedings brought overseas in respect of a Cayman company where it was satisfied that there was an intention on the part of the company to present a plan of </w:t>
      </w:r>
      <w:r w:rsidR="003871FF">
        <w:rPr>
          <w:rFonts w:ascii="Arial" w:hAnsi="Arial" w:cs="Arial"/>
        </w:rPr>
        <w:t>reorganization</w:t>
      </w:r>
      <w:r w:rsidR="00D601F9">
        <w:rPr>
          <w:rFonts w:ascii="Arial" w:hAnsi="Arial" w:cs="Arial"/>
        </w:rPr>
        <w:t xml:space="preserve"> for the benefit of creditors; and </w:t>
      </w:r>
      <w:r w:rsidR="003871FF">
        <w:rPr>
          <w:rFonts w:ascii="Arial" w:hAnsi="Arial" w:cs="Arial"/>
        </w:rPr>
        <w:t xml:space="preserve">a similar view was reached in </w:t>
      </w:r>
      <w:r w:rsidR="003871FF">
        <w:rPr>
          <w:rFonts w:ascii="Arial" w:hAnsi="Arial" w:cs="Arial"/>
          <w:i/>
          <w:iCs/>
        </w:rPr>
        <w:t>GTI Holdings</w:t>
      </w:r>
      <w:r w:rsidR="003871FF">
        <w:rPr>
          <w:rFonts w:ascii="Arial" w:hAnsi="Arial" w:cs="Arial"/>
        </w:rPr>
        <w:t xml:space="preserve"> where Doyle J</w:t>
      </w:r>
      <w:r w:rsidR="00444847">
        <w:rPr>
          <w:rFonts w:ascii="Arial" w:hAnsi="Arial" w:cs="Arial"/>
        </w:rPr>
        <w:t xml:space="preserve">, notwithstanding that the Hong Kong court had purported to wind up the company, appointed liquidators in Cayman and indicated that he </w:t>
      </w:r>
      <w:r w:rsidR="006C67BF">
        <w:rPr>
          <w:rFonts w:ascii="Arial" w:hAnsi="Arial" w:cs="Arial"/>
        </w:rPr>
        <w:t>hoped</w:t>
      </w:r>
      <w:r w:rsidR="00444847">
        <w:rPr>
          <w:rFonts w:ascii="Arial" w:hAnsi="Arial" w:cs="Arial"/>
        </w:rPr>
        <w:t xml:space="preserve"> the Cayman appointment to be given primacy.</w:t>
      </w:r>
    </w:p>
    <w:p w14:paraId="2E4E8A76" w14:textId="77777777" w:rsidR="000F7CE5" w:rsidRPr="00B168E0" w:rsidRDefault="000F7CE5" w:rsidP="00F742C1">
      <w:pPr>
        <w:spacing w:line="360" w:lineRule="auto"/>
        <w:jc w:val="both"/>
        <w:rPr>
          <w:rFonts w:ascii="Arial" w:hAnsi="Arial" w:cs="Arial"/>
        </w:rPr>
      </w:pPr>
    </w:p>
    <w:p w14:paraId="6E5C3AD4" w14:textId="0CBDFA02" w:rsidR="00E67250" w:rsidRPr="00B168E0" w:rsidRDefault="00222FD5" w:rsidP="008E5C32">
      <w:pPr>
        <w:pStyle w:val="Heading1"/>
        <w:numPr>
          <w:ilvl w:val="0"/>
          <w:numId w:val="2"/>
        </w:numPr>
        <w:ind w:left="360"/>
        <w:rPr>
          <w:rFonts w:cs="Arial"/>
          <w:sz w:val="22"/>
          <w:szCs w:val="22"/>
        </w:rPr>
      </w:pPr>
      <w:bookmarkStart w:id="12" w:name="_Toc164722709"/>
      <w:r w:rsidRPr="00B168E0">
        <w:rPr>
          <w:rFonts w:cs="Arial"/>
          <w:sz w:val="22"/>
          <w:szCs w:val="22"/>
        </w:rPr>
        <w:t>WHAT NEXT?</w:t>
      </w:r>
      <w:bookmarkEnd w:id="12"/>
    </w:p>
    <w:p w14:paraId="6349CFF3" w14:textId="77777777" w:rsidR="00E67250" w:rsidRPr="00B168E0" w:rsidRDefault="00E67250" w:rsidP="00E67250">
      <w:pPr>
        <w:spacing w:line="360" w:lineRule="auto"/>
        <w:jc w:val="both"/>
        <w:rPr>
          <w:rFonts w:ascii="Arial" w:hAnsi="Arial" w:cs="Arial"/>
        </w:rPr>
      </w:pPr>
    </w:p>
    <w:p w14:paraId="15E05B07" w14:textId="46A6C95D" w:rsidR="00F742C1" w:rsidRDefault="00F742C1" w:rsidP="00F742C1">
      <w:pPr>
        <w:spacing w:line="360" w:lineRule="auto"/>
        <w:jc w:val="both"/>
        <w:rPr>
          <w:rFonts w:ascii="Arial" w:hAnsi="Arial" w:cs="Arial"/>
        </w:rPr>
      </w:pPr>
      <w:r w:rsidRPr="00B168E0">
        <w:rPr>
          <w:rFonts w:ascii="Arial" w:hAnsi="Arial" w:cs="Arial"/>
        </w:rPr>
        <w:t xml:space="preserve">Ultimately, the legal trajectory moved from broad universalism in </w:t>
      </w:r>
      <w:r w:rsidRPr="00B168E0">
        <w:rPr>
          <w:rFonts w:ascii="Arial" w:hAnsi="Arial" w:cs="Arial"/>
          <w:i/>
          <w:iCs/>
        </w:rPr>
        <w:t>Cambridge Gas</w:t>
      </w:r>
      <w:r w:rsidRPr="00B168E0">
        <w:rPr>
          <w:rFonts w:ascii="Arial" w:hAnsi="Arial" w:cs="Arial"/>
        </w:rPr>
        <w:t xml:space="preserve"> toward a more refined "modified universalism" in </w:t>
      </w:r>
      <w:proofErr w:type="spellStart"/>
      <w:r w:rsidRPr="00B168E0">
        <w:rPr>
          <w:rFonts w:ascii="Arial" w:hAnsi="Arial" w:cs="Arial"/>
          <w:i/>
          <w:iCs/>
        </w:rPr>
        <w:t>Singularis</w:t>
      </w:r>
      <w:proofErr w:type="spellEnd"/>
      <w:r w:rsidRPr="00B168E0">
        <w:rPr>
          <w:rFonts w:ascii="Arial" w:hAnsi="Arial" w:cs="Arial"/>
        </w:rPr>
        <w:t>, aligning with a cautious yet progressive judicial approach. This approach recognizes the need for incremental legal developments, avoiding the pitfalls of drastic changes without sufficient judicial consensus</w:t>
      </w:r>
      <w:r w:rsidR="00EA0436">
        <w:rPr>
          <w:rFonts w:ascii="Arial" w:hAnsi="Arial" w:cs="Arial"/>
        </w:rPr>
        <w:t xml:space="preserve"> (the irony being that </w:t>
      </w:r>
      <w:r w:rsidR="00EA0436">
        <w:rPr>
          <w:rFonts w:ascii="Arial" w:hAnsi="Arial" w:cs="Arial"/>
          <w:i/>
          <w:iCs/>
        </w:rPr>
        <w:t>Cambridge Gas</w:t>
      </w:r>
      <w:r w:rsidR="00EA0436">
        <w:rPr>
          <w:rFonts w:ascii="Arial" w:hAnsi="Arial" w:cs="Arial"/>
        </w:rPr>
        <w:t xml:space="preserve"> was the only decision that at the time had </w:t>
      </w:r>
      <w:r w:rsidR="00BE3C5E">
        <w:rPr>
          <w:rFonts w:ascii="Arial" w:hAnsi="Arial" w:cs="Arial"/>
        </w:rPr>
        <w:t xml:space="preserve">the </w:t>
      </w:r>
      <w:r w:rsidR="00EA0436">
        <w:rPr>
          <w:rFonts w:ascii="Arial" w:hAnsi="Arial" w:cs="Arial"/>
        </w:rPr>
        <w:t>unanimous</w:t>
      </w:r>
      <w:r w:rsidR="00BE3C5E">
        <w:rPr>
          <w:rFonts w:ascii="Arial" w:hAnsi="Arial" w:cs="Arial"/>
        </w:rPr>
        <w:t xml:space="preserve"> support</w:t>
      </w:r>
      <w:r w:rsidR="00EA0436">
        <w:rPr>
          <w:rFonts w:ascii="Arial" w:hAnsi="Arial" w:cs="Arial"/>
        </w:rPr>
        <w:t xml:space="preserve"> of its Board/panel)</w:t>
      </w:r>
      <w:r w:rsidRPr="00B168E0">
        <w:rPr>
          <w:rFonts w:ascii="Arial" w:hAnsi="Arial" w:cs="Arial"/>
        </w:rPr>
        <w:t>.</w:t>
      </w:r>
    </w:p>
    <w:p w14:paraId="1E661F7E" w14:textId="77777777" w:rsidR="00696675" w:rsidRDefault="00696675" w:rsidP="00F742C1">
      <w:pPr>
        <w:spacing w:line="360" w:lineRule="auto"/>
        <w:jc w:val="both"/>
        <w:rPr>
          <w:rFonts w:ascii="Arial" w:hAnsi="Arial" w:cs="Arial"/>
        </w:rPr>
      </w:pPr>
    </w:p>
    <w:p w14:paraId="100DBE20" w14:textId="02B7C5B9" w:rsidR="0070191C" w:rsidRPr="00B168E0" w:rsidRDefault="0070191C" w:rsidP="0070191C">
      <w:pPr>
        <w:spacing w:line="360" w:lineRule="auto"/>
        <w:jc w:val="both"/>
        <w:rPr>
          <w:rFonts w:ascii="Arial" w:hAnsi="Arial" w:cs="Arial"/>
        </w:rPr>
      </w:pPr>
      <w:r w:rsidRPr="00B168E0">
        <w:rPr>
          <w:rFonts w:ascii="Arial" w:hAnsi="Arial" w:cs="Arial"/>
        </w:rPr>
        <w:t>The proposition from Cambridge Gas that lives on “</w:t>
      </w:r>
      <w:r w:rsidRPr="00B168E0">
        <w:rPr>
          <w:rStyle w:val="user-highlighted-active"/>
          <w:rFonts w:ascii="Arial" w:hAnsi="Arial" w:cs="Arial"/>
          <w:i/>
          <w:iCs/>
          <w:color w:val="333333"/>
          <w:shd w:val="clear" w:color="auto" w:fill="FFFFFF"/>
        </w:rPr>
        <w:t>The principle of modified universalism, namely that the Court has a common law power to assist foreign winding up proceedings so far as it possibly can</w:t>
      </w:r>
      <w:r w:rsidR="00BE3C5E">
        <w:rPr>
          <w:rStyle w:val="user-highlighted-active"/>
          <w:rFonts w:ascii="Arial" w:hAnsi="Arial" w:cs="Arial"/>
          <w:color w:val="333333"/>
          <w:shd w:val="clear" w:color="auto" w:fill="FFFFFF"/>
        </w:rPr>
        <w:t>,</w:t>
      </w:r>
      <w:r w:rsidRPr="00B168E0">
        <w:rPr>
          <w:rFonts w:ascii="Arial" w:hAnsi="Arial" w:cs="Arial"/>
        </w:rPr>
        <w:t>”</w:t>
      </w:r>
      <w:r w:rsidR="00BE3C5E">
        <w:rPr>
          <w:rFonts w:ascii="Arial" w:hAnsi="Arial" w:cs="Arial"/>
        </w:rPr>
        <w:t xml:space="preserve"> may be a thread that judges cling to in their judgments. But as some of the recent Cayman judgments show, there is a lot of judicial discretion involved in determining quite what assistance ought to be provided based on the relevant facts.</w:t>
      </w:r>
    </w:p>
    <w:p w14:paraId="547A10DB" w14:textId="77777777" w:rsidR="00696675" w:rsidRDefault="00696675" w:rsidP="00F742C1">
      <w:pPr>
        <w:spacing w:line="360" w:lineRule="auto"/>
        <w:jc w:val="both"/>
        <w:rPr>
          <w:rFonts w:ascii="Arial" w:hAnsi="Arial" w:cs="Arial"/>
        </w:rPr>
      </w:pPr>
    </w:p>
    <w:p w14:paraId="43EB9179" w14:textId="77777777" w:rsidR="000A7286" w:rsidRPr="00B168E0" w:rsidRDefault="000A7286" w:rsidP="00BE3C5E">
      <w:pPr>
        <w:pStyle w:val="Heading1"/>
        <w:numPr>
          <w:ilvl w:val="0"/>
          <w:numId w:val="2"/>
        </w:numPr>
        <w:ind w:left="360"/>
        <w:rPr>
          <w:rFonts w:cs="Arial"/>
          <w:sz w:val="22"/>
          <w:szCs w:val="22"/>
        </w:rPr>
      </w:pPr>
      <w:bookmarkStart w:id="13" w:name="_Toc164722710"/>
      <w:r w:rsidRPr="00B168E0">
        <w:rPr>
          <w:rFonts w:cs="Arial"/>
          <w:sz w:val="22"/>
          <w:szCs w:val="22"/>
        </w:rPr>
        <w:lastRenderedPageBreak/>
        <w:t>CONCLUSION</w:t>
      </w:r>
      <w:bookmarkEnd w:id="13"/>
    </w:p>
    <w:p w14:paraId="3F38AC78" w14:textId="77777777" w:rsidR="000A7286" w:rsidRPr="00B168E0" w:rsidRDefault="000A7286" w:rsidP="00BE3C5E">
      <w:pPr>
        <w:keepNext/>
        <w:spacing w:line="360" w:lineRule="auto"/>
        <w:jc w:val="both"/>
        <w:rPr>
          <w:rFonts w:ascii="Arial" w:hAnsi="Arial" w:cs="Arial"/>
          <w:b/>
          <w:bCs/>
        </w:rPr>
      </w:pPr>
    </w:p>
    <w:p w14:paraId="4EF37787" w14:textId="41E4C945" w:rsidR="004D530E" w:rsidRDefault="004D530E" w:rsidP="00BE3C5E">
      <w:pPr>
        <w:spacing w:line="360" w:lineRule="auto"/>
        <w:jc w:val="both"/>
        <w:rPr>
          <w:rFonts w:ascii="Arial" w:hAnsi="Arial" w:cs="Arial"/>
        </w:rPr>
      </w:pPr>
      <w:r>
        <w:rPr>
          <w:rFonts w:ascii="Arial" w:hAnsi="Arial" w:cs="Arial"/>
        </w:rPr>
        <w:t>Even in countries such as England</w:t>
      </w:r>
      <w:r w:rsidR="00A6685D">
        <w:rPr>
          <w:rFonts w:ascii="Arial" w:hAnsi="Arial" w:cs="Arial"/>
        </w:rPr>
        <w:t>,</w:t>
      </w:r>
      <w:r>
        <w:rPr>
          <w:rFonts w:ascii="Arial" w:hAnsi="Arial" w:cs="Arial"/>
        </w:rPr>
        <w:t xml:space="preserve"> with broad legislation on cross-border recognition, there remains a place for common law recognition</w:t>
      </w:r>
      <w:r w:rsidR="00A6685D">
        <w:rPr>
          <w:rFonts w:ascii="Arial" w:hAnsi="Arial" w:cs="Arial"/>
        </w:rPr>
        <w:t xml:space="preserve">. </w:t>
      </w:r>
      <w:r w:rsidR="008A44FC">
        <w:rPr>
          <w:rFonts w:ascii="Arial" w:hAnsi="Arial" w:cs="Arial"/>
        </w:rPr>
        <w:t>The extent of t</w:t>
      </w:r>
      <w:r w:rsidR="00A6685D">
        <w:rPr>
          <w:rFonts w:ascii="Arial" w:hAnsi="Arial" w:cs="Arial"/>
        </w:rPr>
        <w:t xml:space="preserve">hat place </w:t>
      </w:r>
      <w:r w:rsidR="006B61D4">
        <w:rPr>
          <w:rFonts w:ascii="Arial" w:hAnsi="Arial" w:cs="Arial"/>
        </w:rPr>
        <w:t>is</w:t>
      </w:r>
      <w:r w:rsidR="008A44FC">
        <w:rPr>
          <w:rFonts w:ascii="Arial" w:hAnsi="Arial" w:cs="Arial"/>
        </w:rPr>
        <w:t xml:space="preserve"> </w:t>
      </w:r>
      <w:r w:rsidR="006B61D4">
        <w:rPr>
          <w:rFonts w:ascii="Arial" w:hAnsi="Arial" w:cs="Arial"/>
        </w:rPr>
        <w:t xml:space="preserve">a question that has been answered quite differently over the course of </w:t>
      </w:r>
      <w:r w:rsidR="00A6685D">
        <w:rPr>
          <w:rFonts w:ascii="Arial" w:hAnsi="Arial" w:cs="Arial"/>
        </w:rPr>
        <w:t xml:space="preserve">the past 20 years. </w:t>
      </w:r>
      <w:r w:rsidR="00E2014F">
        <w:rPr>
          <w:rFonts w:ascii="Arial" w:hAnsi="Arial" w:cs="Arial"/>
        </w:rPr>
        <w:t xml:space="preserve">And while that debate could theoretically be reopened in the wake of Brexit, </w:t>
      </w:r>
      <w:r w:rsidR="006B61D4">
        <w:rPr>
          <w:rFonts w:ascii="Arial" w:hAnsi="Arial" w:cs="Arial"/>
        </w:rPr>
        <w:t xml:space="preserve">it seems unlikely that the English court will depart from the principles set out in </w:t>
      </w:r>
      <w:proofErr w:type="spellStart"/>
      <w:r w:rsidR="006B61D4">
        <w:rPr>
          <w:rFonts w:ascii="Arial" w:hAnsi="Arial" w:cs="Arial"/>
          <w:i/>
          <w:iCs/>
        </w:rPr>
        <w:t>Singularis</w:t>
      </w:r>
      <w:proofErr w:type="spellEnd"/>
      <w:r w:rsidR="006B61D4">
        <w:rPr>
          <w:rFonts w:ascii="Arial" w:hAnsi="Arial" w:cs="Arial"/>
          <w:i/>
          <w:iCs/>
        </w:rPr>
        <w:t xml:space="preserve"> </w:t>
      </w:r>
      <w:r w:rsidR="006B61D4">
        <w:rPr>
          <w:rFonts w:ascii="Arial" w:hAnsi="Arial" w:cs="Arial"/>
        </w:rPr>
        <w:t>anytime soon.</w:t>
      </w:r>
    </w:p>
    <w:p w14:paraId="01E32841" w14:textId="77777777" w:rsidR="006B61D4" w:rsidRDefault="006B61D4" w:rsidP="00BE3C5E">
      <w:pPr>
        <w:spacing w:line="360" w:lineRule="auto"/>
        <w:jc w:val="both"/>
        <w:rPr>
          <w:rFonts w:ascii="Arial" w:hAnsi="Arial" w:cs="Arial"/>
        </w:rPr>
      </w:pPr>
    </w:p>
    <w:p w14:paraId="4CB4F1FD" w14:textId="3641CCAB" w:rsidR="006B61D4" w:rsidRPr="00606A7F" w:rsidRDefault="006B61D4" w:rsidP="00BE3C5E">
      <w:pPr>
        <w:spacing w:line="360" w:lineRule="auto"/>
        <w:jc w:val="both"/>
        <w:rPr>
          <w:rFonts w:ascii="Arial" w:hAnsi="Arial" w:cs="Arial"/>
        </w:rPr>
      </w:pPr>
      <w:r>
        <w:rPr>
          <w:rFonts w:ascii="Arial" w:hAnsi="Arial" w:cs="Arial"/>
        </w:rPr>
        <w:t>Whether the same can be said for Cayman remains to be seen</w:t>
      </w:r>
      <w:r w:rsidR="00E64DC2">
        <w:rPr>
          <w:rFonts w:ascii="Arial" w:hAnsi="Arial" w:cs="Arial"/>
        </w:rPr>
        <w:t xml:space="preserve">, particularly in circumstances </w:t>
      </w:r>
      <w:r w:rsidR="00AD1C57">
        <w:rPr>
          <w:rFonts w:ascii="Arial" w:hAnsi="Arial" w:cs="Arial"/>
        </w:rPr>
        <w:t xml:space="preserve">where </w:t>
      </w:r>
      <w:r w:rsidR="00E64DC2">
        <w:rPr>
          <w:rFonts w:ascii="Arial" w:hAnsi="Arial" w:cs="Arial"/>
        </w:rPr>
        <w:t xml:space="preserve">Cayman has </w:t>
      </w:r>
      <w:r w:rsidR="00DC582C">
        <w:rPr>
          <w:rFonts w:ascii="Arial" w:hAnsi="Arial" w:cs="Arial"/>
        </w:rPr>
        <w:t>limited</w:t>
      </w:r>
      <w:r w:rsidR="00B5650A">
        <w:rPr>
          <w:rFonts w:ascii="Arial" w:hAnsi="Arial" w:cs="Arial"/>
        </w:rPr>
        <w:t xml:space="preserve"> </w:t>
      </w:r>
      <w:r w:rsidR="00DC582C">
        <w:rPr>
          <w:rFonts w:ascii="Arial" w:hAnsi="Arial" w:cs="Arial"/>
        </w:rPr>
        <w:t xml:space="preserve">legislation </w:t>
      </w:r>
      <w:r w:rsidR="00CC0F1D">
        <w:rPr>
          <w:rFonts w:ascii="Arial" w:hAnsi="Arial" w:cs="Arial"/>
        </w:rPr>
        <w:t>relating to</w:t>
      </w:r>
      <w:r w:rsidR="00AD1C57">
        <w:rPr>
          <w:rFonts w:ascii="Arial" w:hAnsi="Arial" w:cs="Arial"/>
        </w:rPr>
        <w:t xml:space="preserve"> cross-border recognition </w:t>
      </w:r>
      <w:r w:rsidR="00CC0F1D">
        <w:rPr>
          <w:rFonts w:ascii="Arial" w:hAnsi="Arial" w:cs="Arial"/>
        </w:rPr>
        <w:t xml:space="preserve">and assistance in insolvency proceedings </w:t>
      </w:r>
      <w:r w:rsidR="00DC582C">
        <w:rPr>
          <w:rFonts w:ascii="Arial" w:hAnsi="Arial" w:cs="Arial"/>
        </w:rPr>
        <w:t xml:space="preserve">yet, by its very location and </w:t>
      </w:r>
      <w:r w:rsidR="00776F29">
        <w:rPr>
          <w:rFonts w:ascii="Arial" w:hAnsi="Arial" w:cs="Arial"/>
        </w:rPr>
        <w:t>the nature of the corporate structures in which Cayman vehicles are used (usually as holding or intermediary holding compan</w:t>
      </w:r>
      <w:r w:rsidR="007A1620">
        <w:rPr>
          <w:rFonts w:ascii="Arial" w:hAnsi="Arial" w:cs="Arial"/>
        </w:rPr>
        <w:t>ies</w:t>
      </w:r>
      <w:r w:rsidR="00776F29">
        <w:rPr>
          <w:rFonts w:ascii="Arial" w:hAnsi="Arial" w:cs="Arial"/>
        </w:rPr>
        <w:t xml:space="preserve"> for assets held by onshore subsidiar</w:t>
      </w:r>
      <w:r w:rsidR="007A1620">
        <w:rPr>
          <w:rFonts w:ascii="Arial" w:hAnsi="Arial" w:cs="Arial"/>
        </w:rPr>
        <w:t>ies</w:t>
      </w:r>
      <w:r w:rsidR="00B5650A">
        <w:rPr>
          <w:rFonts w:ascii="Arial" w:hAnsi="Arial" w:cs="Arial"/>
        </w:rPr>
        <w:t>, where the corporate group’s operations are far from Cayman</w:t>
      </w:r>
      <w:r w:rsidR="00776F29">
        <w:rPr>
          <w:rFonts w:ascii="Arial" w:hAnsi="Arial" w:cs="Arial"/>
        </w:rPr>
        <w:t>)</w:t>
      </w:r>
      <w:r w:rsidR="00E318F7">
        <w:rPr>
          <w:rFonts w:ascii="Arial" w:hAnsi="Arial" w:cs="Arial"/>
        </w:rPr>
        <w:t xml:space="preserve">, the court will likely continue to be subjected to myriad cross-border requests. </w:t>
      </w:r>
      <w:r w:rsidR="004F1124">
        <w:rPr>
          <w:rFonts w:ascii="Arial" w:hAnsi="Arial" w:cs="Arial"/>
        </w:rPr>
        <w:t>While the judges will likely</w:t>
      </w:r>
      <w:r w:rsidR="00606A7F">
        <w:rPr>
          <w:rFonts w:ascii="Arial" w:hAnsi="Arial" w:cs="Arial"/>
        </w:rPr>
        <w:t xml:space="preserve"> continue to follow </w:t>
      </w:r>
      <w:proofErr w:type="spellStart"/>
      <w:r w:rsidR="00606A7F">
        <w:rPr>
          <w:rFonts w:ascii="Arial" w:hAnsi="Arial" w:cs="Arial"/>
          <w:i/>
          <w:iCs/>
        </w:rPr>
        <w:t>Singularis</w:t>
      </w:r>
      <w:proofErr w:type="spellEnd"/>
      <w:r w:rsidR="00606A7F">
        <w:rPr>
          <w:rFonts w:ascii="Arial" w:hAnsi="Arial" w:cs="Arial"/>
          <w:i/>
          <w:iCs/>
        </w:rPr>
        <w:t xml:space="preserve"> </w:t>
      </w:r>
      <w:r w:rsidR="00606A7F">
        <w:rPr>
          <w:rFonts w:ascii="Arial" w:hAnsi="Arial" w:cs="Arial"/>
        </w:rPr>
        <w:t xml:space="preserve">in spirit, the substance of their decisions may well </w:t>
      </w:r>
      <w:r w:rsidR="00F54A82">
        <w:rPr>
          <w:rFonts w:ascii="Arial" w:hAnsi="Arial" w:cs="Arial"/>
        </w:rPr>
        <w:t xml:space="preserve">ensure that in the case of Cayman incorporated vehicles, the </w:t>
      </w:r>
      <w:r w:rsidR="00031361">
        <w:rPr>
          <w:rFonts w:ascii="Arial" w:hAnsi="Arial" w:cs="Arial"/>
        </w:rPr>
        <w:t xml:space="preserve">emphasis </w:t>
      </w:r>
      <w:r w:rsidR="002D28BC">
        <w:rPr>
          <w:rFonts w:ascii="Arial" w:hAnsi="Arial" w:cs="Arial"/>
        </w:rPr>
        <w:t>in</w:t>
      </w:r>
      <w:r w:rsidR="009942B1">
        <w:rPr>
          <w:rFonts w:ascii="Arial" w:hAnsi="Arial" w:cs="Arial"/>
        </w:rPr>
        <w:t xml:space="preserve"> their decisions is on the modified part of universalism.</w:t>
      </w:r>
    </w:p>
    <w:p w14:paraId="1BED9F26" w14:textId="77777777" w:rsidR="00BE3C5E" w:rsidRPr="00BE3C5E" w:rsidRDefault="00BE3C5E" w:rsidP="00BE3C5E">
      <w:pPr>
        <w:spacing w:line="360" w:lineRule="auto"/>
        <w:jc w:val="both"/>
        <w:rPr>
          <w:rFonts w:ascii="Arial" w:hAnsi="Arial" w:cs="Arial"/>
          <w:i/>
          <w:iCs/>
        </w:rPr>
      </w:pPr>
    </w:p>
    <w:p w14:paraId="5755C1E6" w14:textId="77777777" w:rsidR="000A7286" w:rsidRPr="00B168E0" w:rsidRDefault="000A7286" w:rsidP="001D3BE4">
      <w:pPr>
        <w:pStyle w:val="Heading1"/>
        <w:numPr>
          <w:ilvl w:val="0"/>
          <w:numId w:val="2"/>
        </w:numPr>
        <w:ind w:left="360"/>
        <w:rPr>
          <w:rFonts w:cs="Arial"/>
          <w:sz w:val="22"/>
          <w:szCs w:val="22"/>
        </w:rPr>
      </w:pPr>
      <w:bookmarkStart w:id="14" w:name="_Toc164722711"/>
      <w:r w:rsidRPr="00B168E0">
        <w:rPr>
          <w:rFonts w:cs="Arial"/>
          <w:sz w:val="22"/>
          <w:szCs w:val="22"/>
        </w:rPr>
        <w:t>BIBLIOGRAPHY</w:t>
      </w:r>
      <w:bookmarkEnd w:id="14"/>
    </w:p>
    <w:p w14:paraId="0FFC8ADF" w14:textId="77777777" w:rsidR="000A7286" w:rsidRPr="00B168E0" w:rsidRDefault="000A7286" w:rsidP="000A7286">
      <w:pPr>
        <w:spacing w:line="360" w:lineRule="auto"/>
        <w:jc w:val="both"/>
        <w:rPr>
          <w:rFonts w:ascii="Arial" w:hAnsi="Arial" w:cs="Arial"/>
        </w:rPr>
      </w:pPr>
    </w:p>
    <w:p w14:paraId="603FF917" w14:textId="078F90CF" w:rsidR="00D15322" w:rsidRPr="00B168E0" w:rsidRDefault="00D15322" w:rsidP="000A7286">
      <w:pPr>
        <w:spacing w:line="360" w:lineRule="auto"/>
        <w:jc w:val="both"/>
        <w:rPr>
          <w:rFonts w:ascii="Arial" w:hAnsi="Arial" w:cs="Arial"/>
          <w:b/>
          <w:bCs/>
        </w:rPr>
      </w:pPr>
      <w:r w:rsidRPr="00B168E0">
        <w:rPr>
          <w:rFonts w:ascii="Arial" w:hAnsi="Arial" w:cs="Arial"/>
          <w:b/>
          <w:bCs/>
          <w:color w:val="3D3D3D"/>
          <w:shd w:val="clear" w:color="auto" w:fill="FFFFFF"/>
        </w:rPr>
        <w:t>Case law</w:t>
      </w:r>
    </w:p>
    <w:p w14:paraId="6DA42FC2"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 xml:space="preserve">Ahmad Hamad </w:t>
      </w:r>
      <w:proofErr w:type="spellStart"/>
      <w:r w:rsidRPr="00B168E0">
        <w:rPr>
          <w:rFonts w:ascii="Arial" w:hAnsi="Arial" w:cs="Arial"/>
          <w:i/>
          <w:iCs/>
        </w:rPr>
        <w:t>Algosaibi</w:t>
      </w:r>
      <w:proofErr w:type="spellEnd"/>
      <w:r w:rsidRPr="00B168E0">
        <w:rPr>
          <w:rFonts w:ascii="Arial" w:hAnsi="Arial" w:cs="Arial"/>
          <w:i/>
          <w:iCs/>
        </w:rPr>
        <w:t xml:space="preserve"> and Brothers Company v Saad Investments Company Limited et al </w:t>
      </w:r>
      <w:r w:rsidRPr="00B168E0">
        <w:rPr>
          <w:rFonts w:ascii="Arial" w:hAnsi="Arial" w:cs="Arial"/>
        </w:rPr>
        <w:t>(unreported, 21 December 202, Smellie CJ)</w:t>
      </w:r>
    </w:p>
    <w:p w14:paraId="4EC907A2" w14:textId="51D0E6D5" w:rsidR="003164AE" w:rsidRPr="00B168E0" w:rsidRDefault="00CF6CEF" w:rsidP="000A7286">
      <w:pPr>
        <w:pStyle w:val="ListParagraph"/>
        <w:numPr>
          <w:ilvl w:val="0"/>
          <w:numId w:val="1"/>
        </w:numPr>
        <w:spacing w:line="360" w:lineRule="auto"/>
        <w:jc w:val="both"/>
        <w:rPr>
          <w:rFonts w:ascii="Arial" w:hAnsi="Arial" w:cs="Arial"/>
        </w:rPr>
      </w:pPr>
      <w:hyperlink r:id="rId7" w:history="1">
        <w:r w:rsidR="003164AE" w:rsidRPr="00B168E0">
          <w:rPr>
            <w:rFonts w:ascii="Arial" w:hAnsi="Arial" w:cs="Arial"/>
            <w:i/>
            <w:iCs/>
          </w:rPr>
          <w:t>Al-Sabah v Grupo Torras SA</w:t>
        </w:r>
      </w:hyperlink>
      <w:r w:rsidR="003164AE" w:rsidRPr="00B168E0">
        <w:rPr>
          <w:rFonts w:ascii="Arial" w:hAnsi="Arial" w:cs="Arial"/>
        </w:rPr>
        <w:t xml:space="preserve">  </w:t>
      </w:r>
      <w:hyperlink r:id="rId8" w:history="1">
        <w:r w:rsidR="003164AE" w:rsidRPr="00B168E0">
          <w:rPr>
            <w:rFonts w:ascii="Arial" w:hAnsi="Arial" w:cs="Arial"/>
          </w:rPr>
          <w:t>[2005] 2 W.L.R. 904</w:t>
        </w:r>
      </w:hyperlink>
    </w:p>
    <w:p w14:paraId="1136A9E5" w14:textId="77777777" w:rsidR="003164AE" w:rsidRPr="00B168E0" w:rsidRDefault="003164AE" w:rsidP="00525606">
      <w:pPr>
        <w:pStyle w:val="ListParagraph"/>
        <w:numPr>
          <w:ilvl w:val="0"/>
          <w:numId w:val="1"/>
        </w:numPr>
        <w:spacing w:line="360" w:lineRule="auto"/>
        <w:jc w:val="both"/>
        <w:rPr>
          <w:rFonts w:ascii="Arial" w:hAnsi="Arial" w:cs="Arial"/>
        </w:rPr>
      </w:pPr>
      <w:r w:rsidRPr="00B168E0">
        <w:rPr>
          <w:rFonts w:ascii="Arial" w:hAnsi="Arial" w:cs="Arial"/>
          <w:i/>
          <w:iCs/>
        </w:rPr>
        <w:t xml:space="preserve">Banque Indosuez SA v </w:t>
      </w:r>
      <w:proofErr w:type="spellStart"/>
      <w:r w:rsidRPr="00B168E0">
        <w:rPr>
          <w:rFonts w:ascii="Arial" w:hAnsi="Arial" w:cs="Arial"/>
          <w:i/>
          <w:iCs/>
        </w:rPr>
        <w:t>Ferromet</w:t>
      </w:r>
      <w:proofErr w:type="spellEnd"/>
      <w:r w:rsidRPr="00B168E0">
        <w:rPr>
          <w:rFonts w:ascii="Arial" w:hAnsi="Arial" w:cs="Arial"/>
          <w:i/>
          <w:iCs/>
        </w:rPr>
        <w:t xml:space="preserve"> Resources Inc</w:t>
      </w:r>
      <w:r w:rsidRPr="00B168E0">
        <w:rPr>
          <w:rFonts w:ascii="Arial" w:hAnsi="Arial" w:cs="Arial"/>
        </w:rPr>
        <w:t xml:space="preserve"> [1993] BCLC 112, 117</w:t>
      </w:r>
    </w:p>
    <w:p w14:paraId="79207A13" w14:textId="77777777" w:rsidR="003164AE" w:rsidRPr="003164AE" w:rsidRDefault="003164AE" w:rsidP="00525606">
      <w:pPr>
        <w:pStyle w:val="ListParagraph"/>
        <w:numPr>
          <w:ilvl w:val="0"/>
          <w:numId w:val="1"/>
        </w:numPr>
        <w:spacing w:line="360" w:lineRule="auto"/>
        <w:jc w:val="both"/>
        <w:rPr>
          <w:rFonts w:ascii="Arial" w:hAnsi="Arial" w:cs="Arial"/>
        </w:rPr>
      </w:pPr>
      <w:r w:rsidRPr="003164AE">
        <w:rPr>
          <w:rFonts w:ascii="Arial" w:hAnsi="Arial" w:cs="Arial"/>
          <w:i/>
          <w:iCs/>
        </w:rPr>
        <w:t>Cambridge Gas Transportation Corporation v Official Committee of Unsecured Creditors of Navigator Holdings Plc</w:t>
      </w:r>
      <w:r w:rsidRPr="003164AE">
        <w:rPr>
          <w:rFonts w:ascii="Arial" w:hAnsi="Arial" w:cs="Arial"/>
        </w:rPr>
        <w:t xml:space="preserve"> [2007] 1 AC 508</w:t>
      </w:r>
    </w:p>
    <w:p w14:paraId="6DF81A78" w14:textId="4A560968" w:rsidR="003164AE" w:rsidRPr="00B168E0" w:rsidRDefault="003164AE" w:rsidP="000A7286">
      <w:pPr>
        <w:pStyle w:val="ListParagraph"/>
        <w:numPr>
          <w:ilvl w:val="0"/>
          <w:numId w:val="1"/>
        </w:numPr>
        <w:spacing w:line="360" w:lineRule="auto"/>
        <w:jc w:val="both"/>
        <w:rPr>
          <w:rFonts w:ascii="Arial" w:hAnsi="Arial" w:cs="Arial"/>
        </w:rPr>
      </w:pPr>
      <w:proofErr w:type="spellStart"/>
      <w:r w:rsidRPr="00B168E0">
        <w:rPr>
          <w:rFonts w:ascii="Arial" w:hAnsi="Arial" w:cs="Arial"/>
          <w:i/>
          <w:iCs/>
        </w:rPr>
        <w:t>Changgang</w:t>
      </w:r>
      <w:proofErr w:type="spellEnd"/>
      <w:r w:rsidRPr="00B168E0">
        <w:rPr>
          <w:rFonts w:ascii="Arial" w:hAnsi="Arial" w:cs="Arial"/>
          <w:i/>
          <w:iCs/>
        </w:rPr>
        <w:t xml:space="preserve"> </w:t>
      </w:r>
      <w:proofErr w:type="spellStart"/>
      <w:r w:rsidRPr="00B168E0">
        <w:rPr>
          <w:rFonts w:ascii="Arial" w:hAnsi="Arial" w:cs="Arial"/>
          <w:i/>
          <w:iCs/>
        </w:rPr>
        <w:t>Dunxin</w:t>
      </w:r>
      <w:proofErr w:type="spellEnd"/>
      <w:r w:rsidRPr="00B168E0">
        <w:rPr>
          <w:rFonts w:ascii="Arial" w:hAnsi="Arial" w:cs="Arial"/>
          <w:i/>
          <w:iCs/>
        </w:rPr>
        <w:t xml:space="preserve"> Enterprise Company Limited</w:t>
      </w:r>
      <w:r w:rsidRPr="00B168E0">
        <w:rPr>
          <w:rFonts w:ascii="Arial" w:hAnsi="Arial" w:cs="Arial"/>
        </w:rPr>
        <w:t xml:space="preserve"> (unreported, 1 March 2018)</w:t>
      </w:r>
    </w:p>
    <w:p w14:paraId="621C5944" w14:textId="77777777" w:rsidR="003164AE" w:rsidRPr="00B168E0" w:rsidRDefault="003164AE" w:rsidP="00525606">
      <w:pPr>
        <w:pStyle w:val="ListParagraph"/>
        <w:numPr>
          <w:ilvl w:val="0"/>
          <w:numId w:val="1"/>
        </w:numPr>
        <w:spacing w:line="360" w:lineRule="auto"/>
        <w:jc w:val="both"/>
        <w:rPr>
          <w:rFonts w:ascii="Arial" w:hAnsi="Arial" w:cs="Arial"/>
        </w:rPr>
      </w:pPr>
      <w:r w:rsidRPr="00B168E0">
        <w:rPr>
          <w:rFonts w:ascii="Arial" w:hAnsi="Arial" w:cs="Arial"/>
          <w:i/>
          <w:iCs/>
        </w:rPr>
        <w:t xml:space="preserve">Credit Suisse Fides Trust v </w:t>
      </w:r>
      <w:proofErr w:type="spellStart"/>
      <w:r w:rsidRPr="00B168E0">
        <w:rPr>
          <w:rFonts w:ascii="Arial" w:hAnsi="Arial" w:cs="Arial"/>
          <w:i/>
          <w:iCs/>
        </w:rPr>
        <w:t>Cuoghi</w:t>
      </w:r>
      <w:proofErr w:type="spellEnd"/>
      <w:r w:rsidRPr="00B168E0">
        <w:rPr>
          <w:rFonts w:ascii="Arial" w:hAnsi="Arial" w:cs="Arial"/>
        </w:rPr>
        <w:t xml:space="preserve"> [1998] Q.B. 818 C.A</w:t>
      </w:r>
    </w:p>
    <w:p w14:paraId="7499604A" w14:textId="77777777" w:rsidR="003164AE" w:rsidRPr="00B168E0" w:rsidRDefault="00CF6CEF" w:rsidP="00525606">
      <w:pPr>
        <w:pStyle w:val="ListParagraph"/>
        <w:numPr>
          <w:ilvl w:val="0"/>
          <w:numId w:val="1"/>
        </w:numPr>
        <w:spacing w:line="360" w:lineRule="auto"/>
        <w:jc w:val="both"/>
        <w:rPr>
          <w:rFonts w:ascii="Arial" w:hAnsi="Arial" w:cs="Arial"/>
        </w:rPr>
      </w:pPr>
      <w:hyperlink r:id="rId9" w:history="1">
        <w:r w:rsidR="003164AE" w:rsidRPr="00B168E0">
          <w:rPr>
            <w:rFonts w:ascii="Arial" w:hAnsi="Arial" w:cs="Arial"/>
            <w:i/>
            <w:iCs/>
          </w:rPr>
          <w:t>Galbraith v Grimshaw</w:t>
        </w:r>
      </w:hyperlink>
      <w:r w:rsidR="003164AE" w:rsidRPr="00B168E0">
        <w:rPr>
          <w:rFonts w:ascii="Arial" w:hAnsi="Arial" w:cs="Arial"/>
        </w:rPr>
        <w:t xml:space="preserve"> [1910] 1 K.B. 339</w:t>
      </w:r>
    </w:p>
    <w:p w14:paraId="3B0FE7E0" w14:textId="235CC97A" w:rsidR="003164AE" w:rsidRPr="00B168E0" w:rsidRDefault="00CF6CEF" w:rsidP="00525606">
      <w:pPr>
        <w:pStyle w:val="ListParagraph"/>
        <w:numPr>
          <w:ilvl w:val="0"/>
          <w:numId w:val="1"/>
        </w:numPr>
        <w:spacing w:line="360" w:lineRule="auto"/>
        <w:jc w:val="both"/>
        <w:rPr>
          <w:rFonts w:ascii="Arial" w:hAnsi="Arial" w:cs="Arial"/>
        </w:rPr>
      </w:pPr>
      <w:hyperlink r:id="rId10" w:history="1">
        <w:r w:rsidR="003164AE" w:rsidRPr="00B168E0">
          <w:rPr>
            <w:rFonts w:ascii="Arial" w:hAnsi="Arial" w:cs="Arial"/>
            <w:i/>
            <w:iCs/>
          </w:rPr>
          <w:t>Galbraith v Grimshaw</w:t>
        </w:r>
      </w:hyperlink>
      <w:r w:rsidR="003164AE" w:rsidRPr="00B168E0">
        <w:rPr>
          <w:rFonts w:ascii="Arial" w:hAnsi="Arial" w:cs="Arial"/>
          <w:i/>
          <w:iCs/>
        </w:rPr>
        <w:t xml:space="preserve"> </w:t>
      </w:r>
      <w:r w:rsidR="003164AE" w:rsidRPr="00B168E0">
        <w:rPr>
          <w:rFonts w:ascii="Arial" w:hAnsi="Arial" w:cs="Arial"/>
        </w:rPr>
        <w:t>[1910] A.C. 508</w:t>
      </w:r>
    </w:p>
    <w:p w14:paraId="6C3F52EA" w14:textId="54F44EAE" w:rsidR="003164AE" w:rsidRPr="00B168E0" w:rsidRDefault="00CF6CEF" w:rsidP="000A7286">
      <w:pPr>
        <w:pStyle w:val="ListParagraph"/>
        <w:numPr>
          <w:ilvl w:val="0"/>
          <w:numId w:val="1"/>
        </w:numPr>
        <w:spacing w:line="360" w:lineRule="auto"/>
        <w:jc w:val="both"/>
        <w:rPr>
          <w:rFonts w:ascii="Arial" w:hAnsi="Arial" w:cs="Arial"/>
        </w:rPr>
      </w:pPr>
      <w:hyperlink r:id="rId11" w:history="1">
        <w:r w:rsidR="003164AE" w:rsidRPr="00B168E0">
          <w:rPr>
            <w:rFonts w:ascii="Arial" w:hAnsi="Arial" w:cs="Arial"/>
            <w:i/>
            <w:iCs/>
          </w:rPr>
          <w:t>HIH Casualty &amp; General Insurance Ltd, Re</w:t>
        </w:r>
      </w:hyperlink>
      <w:r w:rsidR="003164AE" w:rsidRPr="00B168E0">
        <w:rPr>
          <w:rFonts w:ascii="Arial" w:hAnsi="Arial" w:cs="Arial"/>
        </w:rPr>
        <w:t xml:space="preserve"> [2007] 1 All E.R. 177</w:t>
      </w:r>
    </w:p>
    <w:p w14:paraId="545CD357" w14:textId="56345C0F" w:rsidR="003164AE" w:rsidRPr="00B168E0" w:rsidRDefault="00CF6CEF" w:rsidP="00525606">
      <w:pPr>
        <w:pStyle w:val="ListParagraph"/>
        <w:numPr>
          <w:ilvl w:val="0"/>
          <w:numId w:val="1"/>
        </w:numPr>
        <w:spacing w:line="360" w:lineRule="auto"/>
        <w:jc w:val="both"/>
        <w:rPr>
          <w:rFonts w:ascii="Arial" w:hAnsi="Arial" w:cs="Arial"/>
          <w:i/>
          <w:iCs/>
        </w:rPr>
      </w:pPr>
      <w:hyperlink r:id="rId12" w:history="1">
        <w:r w:rsidR="003164AE" w:rsidRPr="00B168E0">
          <w:rPr>
            <w:rFonts w:ascii="Arial" w:hAnsi="Arial" w:cs="Arial"/>
            <w:i/>
            <w:iCs/>
          </w:rPr>
          <w:t>HIH Casualty &amp; General Insurance Ltd, Re</w:t>
        </w:r>
      </w:hyperlink>
      <w:r w:rsidR="003164AE" w:rsidRPr="00B168E0">
        <w:rPr>
          <w:rFonts w:ascii="Arial" w:hAnsi="Arial" w:cs="Arial"/>
          <w:i/>
          <w:iCs/>
        </w:rPr>
        <w:t xml:space="preserve"> </w:t>
      </w:r>
      <w:hyperlink r:id="rId13" w:history="1">
        <w:r w:rsidR="003164AE" w:rsidRPr="00B168E0">
          <w:rPr>
            <w:rFonts w:ascii="Arial" w:hAnsi="Arial" w:cs="Arial"/>
          </w:rPr>
          <w:t>[2008] 1 W.L.R. 852</w:t>
        </w:r>
      </w:hyperlink>
    </w:p>
    <w:p w14:paraId="0824A606" w14:textId="77777777" w:rsidR="003164AE" w:rsidRPr="00B168E0" w:rsidRDefault="003164AE" w:rsidP="005569B0">
      <w:pPr>
        <w:pStyle w:val="ListParagraph"/>
        <w:numPr>
          <w:ilvl w:val="0"/>
          <w:numId w:val="1"/>
        </w:numPr>
        <w:spacing w:line="360" w:lineRule="auto"/>
        <w:jc w:val="both"/>
        <w:rPr>
          <w:rFonts w:ascii="Arial" w:hAnsi="Arial" w:cs="Arial"/>
        </w:rPr>
      </w:pPr>
      <w:r w:rsidRPr="003164AE">
        <w:rPr>
          <w:rFonts w:ascii="Arial" w:hAnsi="Arial" w:cs="Arial"/>
          <w:i/>
          <w:iCs/>
        </w:rPr>
        <w:lastRenderedPageBreak/>
        <w:t>Hunt v. Transworld Payment Solutions U.K. Ltd.</w:t>
      </w:r>
      <w:r w:rsidRPr="00B168E0">
        <w:rPr>
          <w:rFonts w:ascii="Arial" w:hAnsi="Arial" w:cs="Arial"/>
        </w:rPr>
        <w:t xml:space="preserve"> [2020] SC (</w:t>
      </w:r>
      <w:proofErr w:type="spellStart"/>
      <w:r w:rsidRPr="00B168E0">
        <w:rPr>
          <w:rFonts w:ascii="Arial" w:hAnsi="Arial" w:cs="Arial"/>
        </w:rPr>
        <w:t>Bda</w:t>
      </w:r>
      <w:proofErr w:type="spellEnd"/>
      <w:r w:rsidRPr="00B168E0">
        <w:rPr>
          <w:rFonts w:ascii="Arial" w:hAnsi="Arial" w:cs="Arial"/>
        </w:rPr>
        <w:t>) 14 Com</w:t>
      </w:r>
    </w:p>
    <w:p w14:paraId="0101D980" w14:textId="77777777" w:rsidR="003164AE" w:rsidRPr="00B168E0" w:rsidRDefault="003164AE" w:rsidP="00525606">
      <w:pPr>
        <w:pStyle w:val="ListParagraph"/>
        <w:numPr>
          <w:ilvl w:val="0"/>
          <w:numId w:val="1"/>
        </w:numPr>
        <w:spacing w:line="360" w:lineRule="auto"/>
        <w:jc w:val="both"/>
        <w:rPr>
          <w:rFonts w:ascii="Arial" w:hAnsi="Arial" w:cs="Arial"/>
        </w:rPr>
      </w:pPr>
      <w:r w:rsidRPr="00B168E0">
        <w:rPr>
          <w:rFonts w:ascii="Arial" w:hAnsi="Arial" w:cs="Arial"/>
          <w:i/>
          <w:iCs/>
        </w:rPr>
        <w:t xml:space="preserve">In re African Farms Ltd </w:t>
      </w:r>
      <w:r w:rsidRPr="00B168E0">
        <w:rPr>
          <w:rFonts w:ascii="Arial" w:hAnsi="Arial" w:cs="Arial"/>
        </w:rPr>
        <w:t>[1906] TS 373</w:t>
      </w:r>
    </w:p>
    <w:p w14:paraId="3F01A225" w14:textId="77777777" w:rsidR="003164AE" w:rsidRPr="00B168E0" w:rsidRDefault="003164AE" w:rsidP="005569B0">
      <w:pPr>
        <w:pStyle w:val="ListParagraph"/>
        <w:numPr>
          <w:ilvl w:val="0"/>
          <w:numId w:val="1"/>
        </w:numPr>
        <w:spacing w:line="360" w:lineRule="auto"/>
        <w:jc w:val="both"/>
        <w:rPr>
          <w:rFonts w:ascii="Arial" w:hAnsi="Arial" w:cs="Arial"/>
        </w:rPr>
      </w:pPr>
      <w:r w:rsidRPr="0094196C">
        <w:rPr>
          <w:rFonts w:ascii="Arial" w:hAnsi="Arial" w:cs="Arial"/>
          <w:i/>
          <w:iCs/>
        </w:rPr>
        <w:t xml:space="preserve">In re Grand TG Gold Holdings </w:t>
      </w:r>
      <w:proofErr w:type="gramStart"/>
      <w:r w:rsidRPr="0094196C">
        <w:rPr>
          <w:rFonts w:ascii="Arial" w:hAnsi="Arial" w:cs="Arial"/>
          <w:i/>
          <w:iCs/>
        </w:rPr>
        <w:t>Ltd</w:t>
      </w:r>
      <w:r w:rsidRPr="00B168E0">
        <w:rPr>
          <w:rFonts w:ascii="Arial" w:hAnsi="Arial" w:cs="Arial"/>
        </w:rPr>
        <w:t>.</w:t>
      </w:r>
      <w:r>
        <w:rPr>
          <w:rFonts w:ascii="Arial" w:hAnsi="Arial" w:cs="Arial"/>
        </w:rPr>
        <w:t>(</w:t>
      </w:r>
      <w:proofErr w:type="gramEnd"/>
      <w:r w:rsidRPr="00B168E0">
        <w:rPr>
          <w:rFonts w:ascii="Arial" w:hAnsi="Arial" w:cs="Arial"/>
        </w:rPr>
        <w:t>Cause No. FSD 84 of 2016, Grand Ct., August 29th, 2016, unreported</w:t>
      </w:r>
      <w:r>
        <w:rPr>
          <w:rFonts w:ascii="Arial" w:hAnsi="Arial" w:cs="Arial"/>
        </w:rPr>
        <w:t>)</w:t>
      </w:r>
    </w:p>
    <w:p w14:paraId="3CB64A72" w14:textId="77777777" w:rsidR="003164AE" w:rsidRPr="003164AE" w:rsidRDefault="003164AE" w:rsidP="000A7286">
      <w:pPr>
        <w:pStyle w:val="ListParagraph"/>
        <w:numPr>
          <w:ilvl w:val="0"/>
          <w:numId w:val="1"/>
        </w:numPr>
        <w:spacing w:line="360" w:lineRule="auto"/>
        <w:jc w:val="both"/>
        <w:rPr>
          <w:rFonts w:ascii="Arial" w:hAnsi="Arial" w:cs="Arial"/>
        </w:rPr>
      </w:pPr>
      <w:r w:rsidRPr="003164AE">
        <w:rPr>
          <w:rStyle w:val="user-highlighted-active"/>
          <w:rFonts w:ascii="Arial" w:hAnsi="Arial" w:cs="Arial"/>
          <w:i/>
          <w:iCs/>
          <w:color w:val="333333"/>
          <w:shd w:val="clear" w:color="auto" w:fill="FFFFFF"/>
        </w:rPr>
        <w:t>In re Guoan Intl. Ltd.</w:t>
      </w:r>
      <w:r w:rsidRPr="003164AE">
        <w:rPr>
          <w:rStyle w:val="user-highlighted-active"/>
          <w:rFonts w:ascii="Arial" w:hAnsi="Arial" w:cs="Arial"/>
          <w:color w:val="333333"/>
          <w:shd w:val="clear" w:color="auto" w:fill="FFFFFF"/>
        </w:rPr>
        <w:t> [2021 (2) CILR 625]</w:t>
      </w:r>
    </w:p>
    <w:p w14:paraId="3852D706" w14:textId="32FA1F21" w:rsidR="003164AE" w:rsidRPr="003164AE" w:rsidRDefault="003164AE" w:rsidP="000A7286">
      <w:pPr>
        <w:pStyle w:val="ListParagraph"/>
        <w:numPr>
          <w:ilvl w:val="0"/>
          <w:numId w:val="1"/>
        </w:numPr>
        <w:spacing w:line="360" w:lineRule="auto"/>
        <w:jc w:val="both"/>
        <w:rPr>
          <w:rFonts w:ascii="Arial" w:hAnsi="Arial" w:cs="Arial"/>
        </w:rPr>
      </w:pPr>
      <w:r w:rsidRPr="003164AE">
        <w:rPr>
          <w:rFonts w:ascii="Arial" w:hAnsi="Arial" w:cs="Arial"/>
          <w:i/>
          <w:iCs/>
        </w:rPr>
        <w:t>In the Matter of Ardent Harmony Fund Inc</w:t>
      </w:r>
      <w:r w:rsidRPr="003164AE">
        <w:rPr>
          <w:rFonts w:ascii="Arial" w:hAnsi="Arial" w:cs="Arial"/>
        </w:rPr>
        <w:t xml:space="preserve"> (unreported, 30 May 2016)</w:t>
      </w:r>
    </w:p>
    <w:p w14:paraId="5D0FD253"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 xml:space="preserve">In the Matter of China </w:t>
      </w:r>
      <w:proofErr w:type="spellStart"/>
      <w:r w:rsidRPr="00B168E0">
        <w:rPr>
          <w:rFonts w:ascii="Arial" w:hAnsi="Arial" w:cs="Arial"/>
          <w:i/>
          <w:iCs/>
        </w:rPr>
        <w:t>Agrotech</w:t>
      </w:r>
      <w:proofErr w:type="spellEnd"/>
      <w:r w:rsidRPr="00B168E0">
        <w:rPr>
          <w:rFonts w:ascii="Arial" w:hAnsi="Arial" w:cs="Arial"/>
          <w:i/>
          <w:iCs/>
        </w:rPr>
        <w:t xml:space="preserve"> Holdings Limited</w:t>
      </w:r>
      <w:r w:rsidRPr="00B168E0">
        <w:rPr>
          <w:rFonts w:ascii="Arial" w:hAnsi="Arial" w:cs="Arial"/>
        </w:rPr>
        <w:t xml:space="preserve"> </w:t>
      </w:r>
      <w:r>
        <w:rPr>
          <w:rFonts w:ascii="Arial" w:hAnsi="Arial" w:cs="Arial"/>
        </w:rPr>
        <w:t>[</w:t>
      </w:r>
      <w:r w:rsidRPr="00B168E0">
        <w:rPr>
          <w:rFonts w:ascii="Arial" w:hAnsi="Arial" w:cs="Arial"/>
        </w:rPr>
        <w:t>2017 2 CILR 526]</w:t>
      </w:r>
    </w:p>
    <w:p w14:paraId="4304AF7D"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In the Matter of GTI Holdings Limited</w:t>
      </w:r>
      <w:r w:rsidRPr="00B168E0">
        <w:rPr>
          <w:rFonts w:ascii="Arial" w:hAnsi="Arial" w:cs="Arial"/>
        </w:rPr>
        <w:t xml:space="preserve"> </w:t>
      </w:r>
      <w:r w:rsidRPr="008C4CB9">
        <w:rPr>
          <w:rFonts w:ascii="Arial" w:hAnsi="Arial" w:cs="Arial"/>
        </w:rPr>
        <w:t>[2022 1 CILR 472]</w:t>
      </w:r>
    </w:p>
    <w:p w14:paraId="25CD397C"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In the Matter of HQP Corporation Ltd (In official liquidation)</w:t>
      </w:r>
      <w:r w:rsidRPr="00B168E0">
        <w:rPr>
          <w:rFonts w:ascii="Arial" w:hAnsi="Arial" w:cs="Arial"/>
        </w:rPr>
        <w:t xml:space="preserve"> (unreported, 7 July 2023, Doyle J)</w:t>
      </w:r>
    </w:p>
    <w:p w14:paraId="4D23132D"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 xml:space="preserve">In the Matter of LATAM Finance Limited et.al </w:t>
      </w:r>
      <w:r w:rsidRPr="00B168E0">
        <w:rPr>
          <w:rFonts w:ascii="Arial" w:hAnsi="Arial" w:cs="Arial"/>
        </w:rPr>
        <w:t>(unreported, 24 August 2020, Kawaley J)</w:t>
      </w:r>
    </w:p>
    <w:p w14:paraId="55A389FA" w14:textId="77777777" w:rsidR="003164AE" w:rsidRPr="00B168E0" w:rsidRDefault="003164AE" w:rsidP="005F6104">
      <w:pPr>
        <w:pStyle w:val="ListParagraph"/>
        <w:numPr>
          <w:ilvl w:val="0"/>
          <w:numId w:val="1"/>
        </w:numPr>
        <w:spacing w:line="360" w:lineRule="auto"/>
        <w:jc w:val="both"/>
        <w:rPr>
          <w:rFonts w:ascii="Arial" w:hAnsi="Arial" w:cs="Arial"/>
        </w:rPr>
      </w:pPr>
      <w:r>
        <w:rPr>
          <w:rFonts w:ascii="Arial" w:hAnsi="Arial" w:cs="Arial"/>
          <w:i/>
          <w:iCs/>
        </w:rPr>
        <w:t xml:space="preserve">In the Matter of </w:t>
      </w:r>
      <w:r w:rsidRPr="00B168E0">
        <w:rPr>
          <w:rFonts w:ascii="Arial" w:hAnsi="Arial" w:cs="Arial"/>
          <w:i/>
          <w:iCs/>
        </w:rPr>
        <w:t>Sun Cheong Creative Development Holdings</w:t>
      </w:r>
      <w:r w:rsidRPr="00B168E0">
        <w:rPr>
          <w:rFonts w:ascii="Arial" w:hAnsi="Arial" w:cs="Arial"/>
        </w:rPr>
        <w:t xml:space="preserve"> </w:t>
      </w:r>
      <w:r w:rsidRPr="008C4CB9">
        <w:rPr>
          <w:rFonts w:ascii="Arial" w:hAnsi="Arial" w:cs="Arial"/>
        </w:rPr>
        <w:t>[2020 2 CILR 942]</w:t>
      </w:r>
    </w:p>
    <w:p w14:paraId="7DF1137C" w14:textId="7FDBA946" w:rsidR="003164AE" w:rsidRPr="003164AE" w:rsidRDefault="003164AE" w:rsidP="000A7286">
      <w:pPr>
        <w:pStyle w:val="ListParagraph"/>
        <w:numPr>
          <w:ilvl w:val="0"/>
          <w:numId w:val="1"/>
        </w:numPr>
        <w:spacing w:line="360" w:lineRule="auto"/>
        <w:jc w:val="both"/>
        <w:rPr>
          <w:rFonts w:ascii="Arial" w:hAnsi="Arial" w:cs="Arial"/>
        </w:rPr>
      </w:pPr>
      <w:r w:rsidRPr="003164AE">
        <w:rPr>
          <w:rFonts w:ascii="Arial" w:hAnsi="Arial" w:cs="Arial"/>
          <w:i/>
          <w:iCs/>
        </w:rPr>
        <w:t>Mitchell v Carter</w:t>
      </w:r>
      <w:r w:rsidRPr="003164AE">
        <w:rPr>
          <w:rFonts w:ascii="Arial" w:hAnsi="Arial" w:cs="Arial"/>
        </w:rPr>
        <w:t xml:space="preserve"> [1997] 1 BCLC 673</w:t>
      </w:r>
    </w:p>
    <w:p w14:paraId="248569D2" w14:textId="77777777" w:rsidR="003164AE" w:rsidRPr="00B168E0" w:rsidRDefault="003164AE" w:rsidP="005569B0">
      <w:pPr>
        <w:pStyle w:val="ListParagraph"/>
        <w:numPr>
          <w:ilvl w:val="0"/>
          <w:numId w:val="1"/>
        </w:numPr>
        <w:spacing w:line="360" w:lineRule="auto"/>
        <w:jc w:val="both"/>
        <w:rPr>
          <w:rFonts w:ascii="Arial" w:hAnsi="Arial" w:cs="Arial"/>
        </w:rPr>
      </w:pPr>
      <w:r w:rsidRPr="0094196C">
        <w:rPr>
          <w:rFonts w:ascii="Arial" w:hAnsi="Arial" w:cs="Arial"/>
          <w:i/>
          <w:iCs/>
        </w:rPr>
        <w:t xml:space="preserve">Re Altair Asia </w:t>
      </w:r>
      <w:proofErr w:type="spellStart"/>
      <w:r w:rsidRPr="0094196C">
        <w:rPr>
          <w:rFonts w:ascii="Arial" w:hAnsi="Arial" w:cs="Arial"/>
          <w:i/>
          <w:iCs/>
        </w:rPr>
        <w:t>Invs</w:t>
      </w:r>
      <w:proofErr w:type="spellEnd"/>
      <w:r w:rsidRPr="0094196C">
        <w:rPr>
          <w:rFonts w:ascii="Arial" w:hAnsi="Arial" w:cs="Arial"/>
          <w:i/>
          <w:iCs/>
        </w:rPr>
        <w:t>. Ltd.</w:t>
      </w:r>
      <w:r w:rsidRPr="00B168E0">
        <w:rPr>
          <w:rFonts w:ascii="Arial" w:hAnsi="Arial" w:cs="Arial"/>
        </w:rPr>
        <w:t xml:space="preserve"> (Cause No. FSD 200 of 2019, 16 March 2020, unreported)</w:t>
      </w:r>
    </w:p>
    <w:p w14:paraId="2D3954D0" w14:textId="77777777" w:rsidR="003164AE" w:rsidRPr="00B168E0" w:rsidRDefault="003164AE" w:rsidP="005569B0">
      <w:pPr>
        <w:pStyle w:val="ListParagraph"/>
        <w:numPr>
          <w:ilvl w:val="0"/>
          <w:numId w:val="1"/>
        </w:numPr>
        <w:spacing w:line="360" w:lineRule="auto"/>
        <w:jc w:val="both"/>
        <w:rPr>
          <w:rFonts w:ascii="Arial" w:hAnsi="Arial" w:cs="Arial"/>
        </w:rPr>
      </w:pPr>
      <w:r w:rsidRPr="003164AE">
        <w:rPr>
          <w:rFonts w:ascii="Arial" w:hAnsi="Arial" w:cs="Arial"/>
          <w:i/>
          <w:iCs/>
        </w:rPr>
        <w:t>Re Guoan Intl. Ltd.</w:t>
      </w:r>
      <w:r w:rsidRPr="00B168E0">
        <w:rPr>
          <w:rFonts w:ascii="Arial" w:hAnsi="Arial" w:cs="Arial"/>
        </w:rPr>
        <w:t xml:space="preserve"> [2021 (2) CILR 625]</w:t>
      </w:r>
    </w:p>
    <w:p w14:paraId="0B7779E5" w14:textId="77777777" w:rsidR="003164AE" w:rsidRPr="003164AE" w:rsidRDefault="003164AE" w:rsidP="005569B0">
      <w:pPr>
        <w:pStyle w:val="ListParagraph"/>
        <w:numPr>
          <w:ilvl w:val="0"/>
          <w:numId w:val="1"/>
        </w:numPr>
        <w:spacing w:line="360" w:lineRule="auto"/>
        <w:jc w:val="both"/>
        <w:rPr>
          <w:rFonts w:ascii="Arial" w:hAnsi="Arial" w:cs="Arial"/>
        </w:rPr>
      </w:pPr>
      <w:r w:rsidRPr="003164AE">
        <w:rPr>
          <w:rFonts w:ascii="Arial" w:hAnsi="Arial" w:cs="Arial"/>
          <w:i/>
          <w:iCs/>
        </w:rPr>
        <w:t>Re International Tin Council</w:t>
      </w:r>
      <w:r w:rsidRPr="003164AE">
        <w:rPr>
          <w:rFonts w:ascii="Arial" w:hAnsi="Arial" w:cs="Arial"/>
        </w:rPr>
        <w:t xml:space="preserve"> [1987] Ch. 219; [1987] 2 W.L.R. 1229</w:t>
      </w:r>
    </w:p>
    <w:p w14:paraId="018C00DD" w14:textId="77777777" w:rsidR="003164AE" w:rsidRPr="00B168E0" w:rsidRDefault="003164AE" w:rsidP="005569B0">
      <w:pPr>
        <w:pStyle w:val="ListParagraph"/>
        <w:numPr>
          <w:ilvl w:val="0"/>
          <w:numId w:val="1"/>
        </w:numPr>
        <w:spacing w:line="360" w:lineRule="auto"/>
        <w:jc w:val="both"/>
        <w:rPr>
          <w:rFonts w:ascii="Arial" w:hAnsi="Arial" w:cs="Arial"/>
        </w:rPr>
      </w:pPr>
      <w:r>
        <w:rPr>
          <w:rFonts w:ascii="Arial" w:hAnsi="Arial" w:cs="Arial"/>
          <w:i/>
          <w:iCs/>
        </w:rPr>
        <w:t xml:space="preserve">Re </w:t>
      </w:r>
      <w:r w:rsidRPr="003164AE">
        <w:rPr>
          <w:rFonts w:ascii="Arial" w:hAnsi="Arial" w:cs="Arial"/>
          <w:i/>
          <w:iCs/>
        </w:rPr>
        <w:t xml:space="preserve">Silver Base Group Holdings </w:t>
      </w:r>
      <w:proofErr w:type="gramStart"/>
      <w:r w:rsidRPr="003164AE">
        <w:rPr>
          <w:rFonts w:ascii="Arial" w:hAnsi="Arial" w:cs="Arial"/>
          <w:i/>
          <w:iCs/>
        </w:rPr>
        <w:t>Ltd.</w:t>
      </w:r>
      <w:r>
        <w:rPr>
          <w:rFonts w:ascii="Arial" w:hAnsi="Arial" w:cs="Arial"/>
        </w:rPr>
        <w:t>(</w:t>
      </w:r>
      <w:proofErr w:type="gramEnd"/>
      <w:r w:rsidRPr="00B168E0">
        <w:rPr>
          <w:rFonts w:ascii="Arial" w:hAnsi="Arial" w:cs="Arial"/>
        </w:rPr>
        <w:t>Cause No. FSD 329 of 2021, Grand Ct., December 8th, 2021, unreported</w:t>
      </w:r>
      <w:r>
        <w:rPr>
          <w:rFonts w:ascii="Arial" w:hAnsi="Arial" w:cs="Arial"/>
        </w:rPr>
        <w:t>)</w:t>
      </w:r>
    </w:p>
    <w:p w14:paraId="7B371EDD" w14:textId="77777777" w:rsidR="00031361" w:rsidRPr="00B168E0" w:rsidRDefault="00CF6CEF" w:rsidP="00031361">
      <w:pPr>
        <w:pStyle w:val="ListParagraph"/>
        <w:numPr>
          <w:ilvl w:val="0"/>
          <w:numId w:val="1"/>
        </w:numPr>
        <w:spacing w:line="360" w:lineRule="auto"/>
        <w:jc w:val="both"/>
        <w:rPr>
          <w:rFonts w:ascii="Arial" w:hAnsi="Arial" w:cs="Arial"/>
        </w:rPr>
      </w:pPr>
      <w:hyperlink r:id="rId14" w:history="1">
        <w:r w:rsidR="00031361">
          <w:rPr>
            <w:rFonts w:ascii="Arial" w:hAnsi="Arial" w:cs="Arial"/>
            <w:i/>
            <w:iCs/>
          </w:rPr>
          <w:t>Re S</w:t>
        </w:r>
        <w:r w:rsidR="00031361" w:rsidRPr="00B168E0">
          <w:rPr>
            <w:rFonts w:ascii="Arial" w:hAnsi="Arial" w:cs="Arial"/>
            <w:i/>
            <w:iCs/>
          </w:rPr>
          <w:t>tanford International Bank Ltd (In Receivership)</w:t>
        </w:r>
      </w:hyperlink>
      <w:r w:rsidR="00031361" w:rsidRPr="00B168E0">
        <w:rPr>
          <w:rFonts w:ascii="Arial" w:hAnsi="Arial" w:cs="Arial"/>
          <w:i/>
          <w:iCs/>
        </w:rPr>
        <w:t xml:space="preserve"> </w:t>
      </w:r>
      <w:r w:rsidR="00031361" w:rsidRPr="00B168E0">
        <w:rPr>
          <w:rFonts w:ascii="Arial" w:hAnsi="Arial" w:cs="Arial"/>
        </w:rPr>
        <w:t> </w:t>
      </w:r>
      <w:hyperlink r:id="rId15" w:history="1">
        <w:r w:rsidR="00031361" w:rsidRPr="00B168E0">
          <w:rPr>
            <w:rFonts w:ascii="Arial" w:hAnsi="Arial" w:cs="Arial"/>
          </w:rPr>
          <w:t>[2010] 3 W.L.R. 941</w:t>
        </w:r>
      </w:hyperlink>
      <w:r w:rsidR="00031361" w:rsidRPr="00B168E0">
        <w:rPr>
          <w:rFonts w:ascii="Arial" w:hAnsi="Arial" w:cs="Arial"/>
        </w:rPr>
        <w:t> </w:t>
      </w:r>
    </w:p>
    <w:p w14:paraId="7309DA60" w14:textId="77777777"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 xml:space="preserve">Rubin and Lan v </w:t>
      </w:r>
      <w:proofErr w:type="spellStart"/>
      <w:r w:rsidRPr="00B168E0">
        <w:rPr>
          <w:rFonts w:ascii="Arial" w:hAnsi="Arial" w:cs="Arial"/>
          <w:i/>
          <w:iCs/>
        </w:rPr>
        <w:t>Eurofinance</w:t>
      </w:r>
      <w:proofErr w:type="spellEnd"/>
      <w:r w:rsidRPr="00B168E0">
        <w:rPr>
          <w:rFonts w:ascii="Arial" w:hAnsi="Arial" w:cs="Arial"/>
          <w:i/>
          <w:iCs/>
        </w:rPr>
        <w:t xml:space="preserve"> SA and others</w:t>
      </w:r>
      <w:r w:rsidRPr="00B168E0">
        <w:rPr>
          <w:rFonts w:ascii="Arial" w:hAnsi="Arial" w:cs="Arial"/>
        </w:rPr>
        <w:t xml:space="preserve"> [2010] EWCA Civ 895</w:t>
      </w:r>
    </w:p>
    <w:p w14:paraId="5C0B88A4" w14:textId="77777777" w:rsidR="003164AE" w:rsidRPr="00B168E0" w:rsidRDefault="00CF6CEF" w:rsidP="00525606">
      <w:pPr>
        <w:pStyle w:val="ListParagraph"/>
        <w:numPr>
          <w:ilvl w:val="0"/>
          <w:numId w:val="1"/>
        </w:numPr>
        <w:spacing w:line="360" w:lineRule="auto"/>
        <w:jc w:val="both"/>
        <w:rPr>
          <w:rFonts w:ascii="Arial" w:hAnsi="Arial" w:cs="Arial"/>
        </w:rPr>
      </w:pPr>
      <w:hyperlink r:id="rId16" w:history="1">
        <w:r w:rsidR="003164AE" w:rsidRPr="00B168E0">
          <w:rPr>
            <w:rFonts w:ascii="Arial" w:hAnsi="Arial" w:cs="Arial"/>
            <w:i/>
            <w:iCs/>
          </w:rPr>
          <w:t xml:space="preserve">Rubin v </w:t>
        </w:r>
        <w:proofErr w:type="spellStart"/>
        <w:r w:rsidR="003164AE" w:rsidRPr="00B168E0">
          <w:rPr>
            <w:rFonts w:ascii="Arial" w:hAnsi="Arial" w:cs="Arial"/>
            <w:i/>
            <w:iCs/>
          </w:rPr>
          <w:t>Eurofinance</w:t>
        </w:r>
        <w:proofErr w:type="spellEnd"/>
        <w:r w:rsidR="003164AE" w:rsidRPr="00B168E0">
          <w:rPr>
            <w:rFonts w:ascii="Arial" w:hAnsi="Arial" w:cs="Arial"/>
            <w:i/>
            <w:iCs/>
          </w:rPr>
          <w:t xml:space="preserve"> SA</w:t>
        </w:r>
      </w:hyperlink>
      <w:r w:rsidR="003164AE" w:rsidRPr="00B168E0">
        <w:rPr>
          <w:rFonts w:ascii="Arial" w:hAnsi="Arial" w:cs="Arial"/>
        </w:rPr>
        <w:t xml:space="preserve"> [2012] UKSC 46 </w:t>
      </w:r>
    </w:p>
    <w:p w14:paraId="4185D305" w14:textId="77777777" w:rsidR="003164AE" w:rsidRPr="00B168E0" w:rsidRDefault="00CF6CEF" w:rsidP="00525606">
      <w:pPr>
        <w:pStyle w:val="ListParagraph"/>
        <w:numPr>
          <w:ilvl w:val="0"/>
          <w:numId w:val="1"/>
        </w:numPr>
        <w:spacing w:line="360" w:lineRule="auto"/>
        <w:jc w:val="both"/>
        <w:rPr>
          <w:rFonts w:ascii="Arial" w:hAnsi="Arial" w:cs="Arial"/>
        </w:rPr>
      </w:pPr>
      <w:hyperlink r:id="rId17" w:history="1">
        <w:r w:rsidR="003164AE" w:rsidRPr="00B168E0">
          <w:rPr>
            <w:rFonts w:ascii="Arial" w:hAnsi="Arial" w:cs="Arial"/>
            <w:i/>
            <w:iCs/>
          </w:rPr>
          <w:t>Schmitt v Deichmann</w:t>
        </w:r>
      </w:hyperlink>
      <w:r w:rsidR="003164AE" w:rsidRPr="00B168E0">
        <w:rPr>
          <w:rFonts w:ascii="Arial" w:hAnsi="Arial" w:cs="Arial"/>
          <w:i/>
          <w:iCs/>
        </w:rPr>
        <w:t xml:space="preserve">  </w:t>
      </w:r>
      <w:hyperlink r:id="rId18" w:history="1">
        <w:r w:rsidR="003164AE" w:rsidRPr="00B168E0">
          <w:rPr>
            <w:rFonts w:ascii="Arial" w:hAnsi="Arial" w:cs="Arial"/>
          </w:rPr>
          <w:t>[2012] 3 W.L.R. 681</w:t>
        </w:r>
      </w:hyperlink>
    </w:p>
    <w:p w14:paraId="45FD3FAE" w14:textId="228B939F" w:rsidR="003164AE" w:rsidRPr="00B168E0" w:rsidRDefault="003164AE" w:rsidP="000A7286">
      <w:pPr>
        <w:pStyle w:val="ListParagraph"/>
        <w:numPr>
          <w:ilvl w:val="0"/>
          <w:numId w:val="1"/>
        </w:numPr>
        <w:spacing w:line="360" w:lineRule="auto"/>
        <w:jc w:val="both"/>
        <w:rPr>
          <w:rFonts w:ascii="Arial" w:hAnsi="Arial" w:cs="Arial"/>
        </w:rPr>
      </w:pPr>
      <w:r w:rsidRPr="00B168E0">
        <w:rPr>
          <w:rFonts w:ascii="Arial" w:hAnsi="Arial" w:cs="Arial"/>
          <w:i/>
          <w:iCs/>
        </w:rPr>
        <w:t>Silk Road M3 Fund</w:t>
      </w:r>
      <w:r w:rsidRPr="00B168E0">
        <w:rPr>
          <w:rFonts w:ascii="Arial" w:hAnsi="Arial" w:cs="Arial"/>
        </w:rPr>
        <w:t xml:space="preserve"> (unreported, 29 May 2019, Smellie CJ)</w:t>
      </w:r>
    </w:p>
    <w:p w14:paraId="1F80E063" w14:textId="77777777" w:rsidR="003164AE" w:rsidRPr="003A5CA0" w:rsidRDefault="003164AE" w:rsidP="00525606">
      <w:pPr>
        <w:pStyle w:val="ListParagraph"/>
        <w:numPr>
          <w:ilvl w:val="0"/>
          <w:numId w:val="1"/>
        </w:numPr>
        <w:spacing w:line="360" w:lineRule="auto"/>
        <w:jc w:val="both"/>
        <w:rPr>
          <w:rFonts w:ascii="Arial" w:hAnsi="Arial" w:cs="Arial"/>
        </w:rPr>
      </w:pPr>
      <w:proofErr w:type="spellStart"/>
      <w:r w:rsidRPr="003A5CA0">
        <w:rPr>
          <w:rFonts w:ascii="Arial" w:hAnsi="Arial" w:cs="Arial"/>
          <w:i/>
          <w:iCs/>
        </w:rPr>
        <w:t>Singularis</w:t>
      </w:r>
      <w:proofErr w:type="spellEnd"/>
      <w:r w:rsidRPr="003A5CA0">
        <w:rPr>
          <w:rFonts w:ascii="Arial" w:hAnsi="Arial" w:cs="Arial"/>
          <w:i/>
          <w:iCs/>
        </w:rPr>
        <w:t xml:space="preserve"> Holdings Ltd v PricewaterhouseCoopers</w:t>
      </w:r>
      <w:r w:rsidRPr="003A5CA0">
        <w:rPr>
          <w:rFonts w:ascii="Arial" w:hAnsi="Arial" w:cs="Arial"/>
        </w:rPr>
        <w:t xml:space="preserve"> (2014) 87 WIR 215</w:t>
      </w:r>
    </w:p>
    <w:p w14:paraId="2E2CF834" w14:textId="77777777" w:rsidR="003164AE" w:rsidRPr="00B168E0" w:rsidRDefault="003164AE" w:rsidP="005569B0">
      <w:pPr>
        <w:pStyle w:val="ListParagraph"/>
        <w:numPr>
          <w:ilvl w:val="0"/>
          <w:numId w:val="1"/>
        </w:numPr>
        <w:spacing w:line="360" w:lineRule="auto"/>
        <w:jc w:val="both"/>
        <w:rPr>
          <w:rFonts w:ascii="Arial" w:hAnsi="Arial" w:cs="Arial"/>
        </w:rPr>
      </w:pPr>
      <w:proofErr w:type="spellStart"/>
      <w:r w:rsidRPr="003164AE">
        <w:rPr>
          <w:rFonts w:ascii="Arial" w:hAnsi="Arial" w:cs="Arial"/>
          <w:i/>
          <w:iCs/>
        </w:rPr>
        <w:t>Singularis</w:t>
      </w:r>
      <w:proofErr w:type="spellEnd"/>
      <w:r w:rsidRPr="003164AE">
        <w:rPr>
          <w:rFonts w:ascii="Arial" w:hAnsi="Arial" w:cs="Arial"/>
          <w:i/>
          <w:iCs/>
        </w:rPr>
        <w:t xml:space="preserve"> Holdings Ltd. v. PricewaterhouseCoopers</w:t>
      </w:r>
      <w:r w:rsidRPr="00B168E0">
        <w:rPr>
          <w:rFonts w:ascii="Arial" w:hAnsi="Arial" w:cs="Arial"/>
        </w:rPr>
        <w:t xml:space="preserve"> [2014] UKPC 36</w:t>
      </w:r>
    </w:p>
    <w:p w14:paraId="0E3AAC40" w14:textId="77777777" w:rsidR="003164AE" w:rsidRPr="00B168E0" w:rsidRDefault="00CF6CEF" w:rsidP="000A7286">
      <w:pPr>
        <w:pStyle w:val="ListParagraph"/>
        <w:numPr>
          <w:ilvl w:val="0"/>
          <w:numId w:val="1"/>
        </w:numPr>
        <w:spacing w:line="360" w:lineRule="auto"/>
        <w:jc w:val="both"/>
        <w:rPr>
          <w:rFonts w:ascii="Arial" w:hAnsi="Arial" w:cs="Arial"/>
        </w:rPr>
      </w:pPr>
      <w:hyperlink r:id="rId19" w:history="1">
        <w:proofErr w:type="spellStart"/>
        <w:r w:rsidR="003164AE" w:rsidRPr="00B168E0">
          <w:rPr>
            <w:rFonts w:ascii="Arial" w:hAnsi="Arial" w:cs="Arial"/>
            <w:i/>
            <w:iCs/>
          </w:rPr>
          <w:t>Societe</w:t>
        </w:r>
        <w:proofErr w:type="spellEnd"/>
        <w:r w:rsidR="003164AE" w:rsidRPr="00B168E0">
          <w:rPr>
            <w:rFonts w:ascii="Arial" w:hAnsi="Arial" w:cs="Arial"/>
            <w:i/>
            <w:iCs/>
          </w:rPr>
          <w:t xml:space="preserve"> Eram Shipping Co Ltd v Compagnie </w:t>
        </w:r>
        <w:proofErr w:type="spellStart"/>
        <w:r w:rsidR="003164AE" w:rsidRPr="00B168E0">
          <w:rPr>
            <w:rFonts w:ascii="Arial" w:hAnsi="Arial" w:cs="Arial"/>
            <w:i/>
            <w:iCs/>
          </w:rPr>
          <w:t>Internationale</w:t>
        </w:r>
        <w:proofErr w:type="spellEnd"/>
        <w:r w:rsidR="003164AE" w:rsidRPr="00B168E0">
          <w:rPr>
            <w:rFonts w:ascii="Arial" w:hAnsi="Arial" w:cs="Arial"/>
            <w:i/>
            <w:iCs/>
          </w:rPr>
          <w:t xml:space="preserve"> de Navigation</w:t>
        </w:r>
      </w:hyperlink>
      <w:r w:rsidR="003164AE" w:rsidRPr="00B168E0">
        <w:rPr>
          <w:rFonts w:ascii="Arial" w:hAnsi="Arial" w:cs="Arial"/>
          <w:i/>
          <w:iCs/>
        </w:rPr>
        <w:t xml:space="preserve"> </w:t>
      </w:r>
      <w:hyperlink r:id="rId20" w:history="1">
        <w:r w:rsidR="003164AE" w:rsidRPr="00B168E0">
          <w:rPr>
            <w:rFonts w:ascii="Arial" w:hAnsi="Arial" w:cs="Arial"/>
          </w:rPr>
          <w:t>[2003] 3 W.L.R. 21</w:t>
        </w:r>
      </w:hyperlink>
    </w:p>
    <w:p w14:paraId="531AC497" w14:textId="77777777" w:rsidR="005569B0" w:rsidRPr="00B168E0" w:rsidRDefault="005569B0" w:rsidP="005569B0">
      <w:pPr>
        <w:spacing w:line="360" w:lineRule="auto"/>
        <w:jc w:val="both"/>
        <w:rPr>
          <w:rFonts w:ascii="Arial" w:hAnsi="Arial" w:cs="Arial"/>
        </w:rPr>
      </w:pPr>
    </w:p>
    <w:p w14:paraId="7B9F2028" w14:textId="77777777" w:rsidR="005569B0" w:rsidRPr="00B168E0" w:rsidRDefault="005569B0" w:rsidP="005569B0">
      <w:pPr>
        <w:spacing w:line="360" w:lineRule="auto"/>
        <w:jc w:val="both"/>
        <w:rPr>
          <w:rFonts w:ascii="Arial" w:hAnsi="Arial" w:cs="Arial"/>
        </w:rPr>
      </w:pPr>
    </w:p>
    <w:p w14:paraId="69B95AA9" w14:textId="77777777" w:rsidR="000A7286" w:rsidRPr="00B168E0" w:rsidRDefault="000A7286" w:rsidP="00525606">
      <w:pPr>
        <w:keepNext/>
        <w:spacing w:line="360" w:lineRule="auto"/>
        <w:jc w:val="both"/>
        <w:rPr>
          <w:rFonts w:ascii="Arial" w:hAnsi="Arial" w:cs="Arial"/>
          <w:b/>
          <w:bCs/>
        </w:rPr>
      </w:pPr>
      <w:r w:rsidRPr="00B168E0">
        <w:rPr>
          <w:rFonts w:ascii="Arial" w:hAnsi="Arial" w:cs="Arial"/>
          <w:b/>
          <w:bCs/>
        </w:rPr>
        <w:t>Articles</w:t>
      </w:r>
    </w:p>
    <w:p w14:paraId="726ED491" w14:textId="2483FF37" w:rsidR="00E60EF2" w:rsidRPr="00C52F23" w:rsidRDefault="00C52F23" w:rsidP="000A7286">
      <w:pPr>
        <w:pStyle w:val="ListParagraph"/>
        <w:numPr>
          <w:ilvl w:val="0"/>
          <w:numId w:val="1"/>
        </w:numPr>
        <w:spacing w:line="360" w:lineRule="auto"/>
        <w:jc w:val="both"/>
        <w:rPr>
          <w:rFonts w:ascii="Arial" w:hAnsi="Arial" w:cs="Arial"/>
        </w:rPr>
      </w:pPr>
      <w:r w:rsidRPr="00C52F23">
        <w:rPr>
          <w:rFonts w:ascii="Arial" w:hAnsi="Arial" w:cs="Arial"/>
        </w:rPr>
        <w:t xml:space="preserve">John Verrill, </w:t>
      </w:r>
      <w:r w:rsidR="00E60EF2" w:rsidRPr="00C52F23">
        <w:rPr>
          <w:rFonts w:ascii="Arial" w:hAnsi="Arial" w:cs="Arial"/>
        </w:rPr>
        <w:t xml:space="preserve">The Snipping of the Golden </w:t>
      </w:r>
      <w:proofErr w:type="gramStart"/>
      <w:r w:rsidR="00E60EF2" w:rsidRPr="00C52F23">
        <w:rPr>
          <w:rFonts w:ascii="Arial" w:hAnsi="Arial" w:cs="Arial"/>
        </w:rPr>
        <w:t>Thread</w:t>
      </w:r>
      <w:proofErr w:type="gramEnd"/>
      <w:r w:rsidR="00E60EF2" w:rsidRPr="00C52F23">
        <w:rPr>
          <w:rFonts w:ascii="Arial" w:hAnsi="Arial" w:cs="Arial"/>
        </w:rPr>
        <w:t xml:space="preserve"> and the Sacking of the Temple of Universalism [INSOL technical paper], read 18 March 2024</w:t>
      </w:r>
    </w:p>
    <w:p w14:paraId="20DDBBA9" w14:textId="77777777" w:rsidR="00E60EF2" w:rsidRPr="00B168E0" w:rsidRDefault="00E60EF2" w:rsidP="000A7286">
      <w:pPr>
        <w:pStyle w:val="ListParagraph"/>
        <w:numPr>
          <w:ilvl w:val="0"/>
          <w:numId w:val="1"/>
        </w:numPr>
        <w:spacing w:line="360" w:lineRule="auto"/>
        <w:jc w:val="both"/>
        <w:rPr>
          <w:rFonts w:ascii="Arial" w:hAnsi="Arial" w:cs="Arial"/>
        </w:rPr>
      </w:pPr>
      <w:r w:rsidRPr="00B168E0">
        <w:rPr>
          <w:rFonts w:ascii="Arial" w:hAnsi="Arial" w:cs="Arial"/>
        </w:rPr>
        <w:lastRenderedPageBreak/>
        <w:t xml:space="preserve">Andrew Godwin, Timothy Howse &amp; Ian Ramsay, The Inherent Power of Common Law Courts to </w:t>
      </w:r>
      <w:proofErr w:type="gramStart"/>
      <w:r w:rsidRPr="00B168E0">
        <w:rPr>
          <w:rFonts w:ascii="Arial" w:hAnsi="Arial" w:cs="Arial"/>
        </w:rPr>
        <w:t>Provide Assistance</w:t>
      </w:r>
      <w:proofErr w:type="gramEnd"/>
      <w:r w:rsidRPr="00B168E0">
        <w:rPr>
          <w:rFonts w:ascii="Arial" w:hAnsi="Arial" w:cs="Arial"/>
        </w:rPr>
        <w:t xml:space="preserve"> in Cross-Border Insolvencies: From Comity to Complexity, 26 INT’I INSOLVENCY REV.5 (2017), read 18 March 2024</w:t>
      </w:r>
    </w:p>
    <w:p w14:paraId="7574F4F8" w14:textId="77777777" w:rsidR="00E60EF2" w:rsidRPr="00B168E0" w:rsidRDefault="00E60EF2" w:rsidP="000A7286">
      <w:pPr>
        <w:pStyle w:val="ListParagraph"/>
        <w:numPr>
          <w:ilvl w:val="0"/>
          <w:numId w:val="1"/>
        </w:numPr>
        <w:spacing w:line="360" w:lineRule="auto"/>
        <w:jc w:val="both"/>
        <w:rPr>
          <w:rFonts w:ascii="Arial" w:hAnsi="Arial" w:cs="Arial"/>
        </w:rPr>
      </w:pPr>
      <w:r w:rsidRPr="00B168E0">
        <w:rPr>
          <w:rFonts w:ascii="Arial" w:hAnsi="Arial" w:cs="Arial"/>
        </w:rPr>
        <w:t>Michael Crystal, ‘The Golden Thread: Universalism and Assistance in International Insolvency’, Jersey &amp; Guernsey Law Review, February 2011, read 18 March 2024</w:t>
      </w:r>
    </w:p>
    <w:p w14:paraId="22E6BF3D" w14:textId="77777777" w:rsidR="00E60EF2" w:rsidRPr="00B168E0" w:rsidRDefault="00E60EF2" w:rsidP="000A7286">
      <w:pPr>
        <w:pStyle w:val="ListParagraph"/>
        <w:numPr>
          <w:ilvl w:val="0"/>
          <w:numId w:val="1"/>
        </w:numPr>
        <w:spacing w:line="360" w:lineRule="auto"/>
        <w:jc w:val="both"/>
        <w:rPr>
          <w:rFonts w:ascii="Arial" w:hAnsi="Arial" w:cs="Arial"/>
        </w:rPr>
      </w:pPr>
      <w:r w:rsidRPr="00FB5112">
        <w:rPr>
          <w:rFonts w:ascii="Arial" w:hAnsi="Arial" w:cs="Arial"/>
        </w:rPr>
        <w:t xml:space="preserve">Yuri Saunders, </w:t>
      </w:r>
      <w:proofErr w:type="spellStart"/>
      <w:r w:rsidRPr="00FB5112">
        <w:rPr>
          <w:rFonts w:ascii="Arial" w:hAnsi="Arial" w:cs="Arial"/>
        </w:rPr>
        <w:t>Stanbrook</w:t>
      </w:r>
      <w:proofErr w:type="spellEnd"/>
      <w:r w:rsidRPr="00FB5112">
        <w:rPr>
          <w:rFonts w:ascii="Arial" w:hAnsi="Arial" w:cs="Arial"/>
        </w:rPr>
        <w:t xml:space="preserve"> Prudhoe, Modified Universalism and its Parallel in the South African</w:t>
      </w:r>
      <w:r w:rsidRPr="00B168E0">
        <w:rPr>
          <w:rFonts w:ascii="Arial" w:hAnsi="Arial" w:cs="Arial"/>
        </w:rPr>
        <w:t xml:space="preserve"> Common Law, April 2023, read 18 March 2024</w:t>
      </w:r>
    </w:p>
    <w:p w14:paraId="4DE84196" w14:textId="31B581AA" w:rsidR="00EF29E7" w:rsidRPr="00B168E0" w:rsidRDefault="00C029E5" w:rsidP="005960A4">
      <w:pPr>
        <w:pStyle w:val="ListParagraph"/>
        <w:numPr>
          <w:ilvl w:val="0"/>
          <w:numId w:val="1"/>
        </w:numPr>
        <w:spacing w:line="360" w:lineRule="auto"/>
        <w:jc w:val="both"/>
        <w:rPr>
          <w:rFonts w:ascii="Arial" w:hAnsi="Arial" w:cs="Arial"/>
        </w:rPr>
      </w:pPr>
      <w:r>
        <w:rPr>
          <w:rFonts w:ascii="Arial" w:hAnsi="Arial" w:cs="Arial"/>
        </w:rPr>
        <w:t>‘</w:t>
      </w:r>
      <w:r w:rsidR="005960A4" w:rsidRPr="00B168E0">
        <w:rPr>
          <w:rFonts w:ascii="Arial" w:hAnsi="Arial" w:cs="Arial"/>
        </w:rPr>
        <w:t>Insolvency, internationalism and Supreme Court judgments’, speech by Lord Neuberger to the Insolvency Lawyers Association, 16 November 2009</w:t>
      </w:r>
      <w:r>
        <w:rPr>
          <w:rFonts w:ascii="Arial" w:hAnsi="Arial" w:cs="Arial"/>
        </w:rPr>
        <w:t>, read 18 March 2024</w:t>
      </w:r>
    </w:p>
    <w:p w14:paraId="15A0593A" w14:textId="77777777" w:rsidR="0016190E" w:rsidRPr="00B168E0" w:rsidRDefault="0016190E" w:rsidP="0048621A">
      <w:pPr>
        <w:spacing w:line="360" w:lineRule="auto"/>
        <w:jc w:val="both"/>
        <w:rPr>
          <w:rFonts w:ascii="Arial" w:hAnsi="Arial" w:cs="Arial"/>
        </w:rPr>
      </w:pPr>
    </w:p>
    <w:sectPr w:rsidR="0016190E" w:rsidRPr="00B168E0" w:rsidSect="00FF3D5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D9E32" w14:textId="77777777" w:rsidR="00FF3D54" w:rsidRDefault="00FF3D54" w:rsidP="000A7286">
      <w:r>
        <w:separator/>
      </w:r>
    </w:p>
  </w:endnote>
  <w:endnote w:type="continuationSeparator" w:id="0">
    <w:p w14:paraId="5CF5AF59" w14:textId="77777777" w:rsidR="00FF3D54" w:rsidRDefault="00FF3D54" w:rsidP="000A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616824545"/>
      <w:docPartObj>
        <w:docPartGallery w:val="Page Numbers (Bottom of Page)"/>
        <w:docPartUnique/>
      </w:docPartObj>
    </w:sdtPr>
    <w:sdtEndPr>
      <w:rPr>
        <w:noProof/>
      </w:rPr>
    </w:sdtEndPr>
    <w:sdtContent>
      <w:p w14:paraId="51369F85" w14:textId="40E13433" w:rsidR="00700EBA" w:rsidRPr="009B0CE9" w:rsidRDefault="00700EBA" w:rsidP="009B0CE9">
        <w:pPr>
          <w:pStyle w:val="Footer"/>
          <w:jc w:val="center"/>
          <w:rPr>
            <w:rFonts w:ascii="Arial" w:hAnsi="Arial" w:cs="Arial"/>
          </w:rPr>
        </w:pPr>
        <w:r w:rsidRPr="009B0CE9">
          <w:rPr>
            <w:rFonts w:ascii="Arial" w:hAnsi="Arial" w:cs="Arial"/>
          </w:rPr>
          <w:fldChar w:fldCharType="begin"/>
        </w:r>
        <w:r w:rsidRPr="009B0CE9">
          <w:rPr>
            <w:rFonts w:ascii="Arial" w:hAnsi="Arial" w:cs="Arial"/>
          </w:rPr>
          <w:instrText xml:space="preserve"> PAGE   \* MERGEFORMAT </w:instrText>
        </w:r>
        <w:r w:rsidRPr="009B0CE9">
          <w:rPr>
            <w:rFonts w:ascii="Arial" w:hAnsi="Arial" w:cs="Arial"/>
          </w:rPr>
          <w:fldChar w:fldCharType="separate"/>
        </w:r>
        <w:r w:rsidRPr="009B0CE9">
          <w:rPr>
            <w:rFonts w:ascii="Arial" w:hAnsi="Arial" w:cs="Arial"/>
            <w:noProof/>
          </w:rPr>
          <w:t>2</w:t>
        </w:r>
        <w:r w:rsidRPr="009B0CE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D0E05" w14:textId="77777777" w:rsidR="00FF3D54" w:rsidRDefault="00FF3D54" w:rsidP="000A7286">
      <w:r>
        <w:separator/>
      </w:r>
    </w:p>
  </w:footnote>
  <w:footnote w:type="continuationSeparator" w:id="0">
    <w:p w14:paraId="34FDEA14" w14:textId="77777777" w:rsidR="00FF3D54" w:rsidRDefault="00FF3D54" w:rsidP="000A7286">
      <w:r>
        <w:continuationSeparator/>
      </w:r>
    </w:p>
  </w:footnote>
  <w:footnote w:id="1">
    <w:p w14:paraId="40A89204" w14:textId="39218682" w:rsidR="00BC687F" w:rsidRPr="00B34D60" w:rsidRDefault="00BC687F"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w:t>
      </w:r>
      <w:proofErr w:type="spellStart"/>
      <w:r w:rsidRPr="00B34D60">
        <w:rPr>
          <w:rFonts w:ascii="Arial" w:hAnsi="Arial" w:cs="Arial"/>
          <w:i/>
          <w:iCs/>
        </w:rPr>
        <w:t>Singularis</w:t>
      </w:r>
      <w:proofErr w:type="spellEnd"/>
      <w:r w:rsidRPr="00B34D60">
        <w:rPr>
          <w:rFonts w:ascii="Arial" w:hAnsi="Arial" w:cs="Arial"/>
          <w:i/>
          <w:iCs/>
        </w:rPr>
        <w:t xml:space="preserve"> Holdings Ltd v PricewaterhouseCoopers (Bermuda)</w:t>
      </w:r>
      <w:r w:rsidRPr="00B34D60">
        <w:rPr>
          <w:rFonts w:ascii="Arial" w:hAnsi="Arial" w:cs="Arial"/>
        </w:rPr>
        <w:t xml:space="preserve"> [2014] UKPC 3</w:t>
      </w:r>
    </w:p>
  </w:footnote>
  <w:footnote w:id="2">
    <w:p w14:paraId="4F45D401" w14:textId="4E72CA66" w:rsidR="00745F48" w:rsidRPr="00B34D60" w:rsidRDefault="00745F48"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w:t>
      </w:r>
      <w:r w:rsidR="00791E36" w:rsidRPr="00B34D60">
        <w:rPr>
          <w:rFonts w:ascii="Arial" w:hAnsi="Arial" w:cs="Arial"/>
        </w:rPr>
        <w:t xml:space="preserve">Per </w:t>
      </w:r>
      <w:r w:rsidR="00385B09" w:rsidRPr="00B34D60">
        <w:rPr>
          <w:rFonts w:ascii="Arial" w:hAnsi="Arial" w:cs="Arial"/>
        </w:rPr>
        <w:t>note 21</w:t>
      </w:r>
      <w:r w:rsidR="00791E36" w:rsidRPr="00B34D60">
        <w:rPr>
          <w:rFonts w:ascii="Arial" w:hAnsi="Arial" w:cs="Arial"/>
        </w:rPr>
        <w:t xml:space="preserve"> Fabio Weinberg Crocco, When Deference Makes a Difference: The Role of U.S. Courts in Cross-Border Bankruptcies, 28 NORTON J. BANKR. L. &amp; PRAC. (2019)</w:t>
      </w:r>
      <w:r w:rsidR="00385B09" w:rsidRPr="00B34D60">
        <w:rPr>
          <w:rFonts w:ascii="Arial" w:hAnsi="Arial" w:cs="Arial"/>
        </w:rPr>
        <w:t>, as quoted in Eric Sokol, The Fate of Universalism in Global Insolvency: Neoconservatism and New Horizons Volume 33 Number 1 Winder 2021 Article 4 Hastings International and Comparative Law Review</w:t>
      </w:r>
    </w:p>
  </w:footnote>
  <w:footnote w:id="3">
    <w:p w14:paraId="546DD754" w14:textId="20599246" w:rsidR="0029744A" w:rsidRPr="00B34D60" w:rsidRDefault="0029744A"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w:t>
      </w:r>
      <w:r w:rsidRPr="00B34D60">
        <w:rPr>
          <w:rFonts w:ascii="Arial" w:hAnsi="Arial" w:cs="Arial"/>
          <w:i/>
          <w:iCs/>
        </w:rPr>
        <w:t>Mitchell v Carter</w:t>
      </w:r>
      <w:r w:rsidR="00A30E9A" w:rsidRPr="00B34D60">
        <w:rPr>
          <w:rFonts w:ascii="Arial" w:hAnsi="Arial" w:cs="Arial"/>
        </w:rPr>
        <w:t xml:space="preserve"> [1997] 1 BCLC 673, 686-7 (Millett LJ)</w:t>
      </w:r>
    </w:p>
  </w:footnote>
  <w:footnote w:id="4">
    <w:p w14:paraId="68F780C4" w14:textId="083F5B9B" w:rsidR="00024DBE" w:rsidRPr="008A4A5A" w:rsidRDefault="00024DBE" w:rsidP="000809DE">
      <w:pPr>
        <w:pStyle w:val="FootnoteText"/>
        <w:jc w:val="both"/>
        <w:rPr>
          <w:rFonts w:ascii="Arial" w:hAnsi="Arial" w:cs="Arial"/>
        </w:rPr>
      </w:pPr>
      <w:r w:rsidRPr="008A4A5A">
        <w:rPr>
          <w:rStyle w:val="FootnoteReference"/>
          <w:rFonts w:ascii="Arial" w:hAnsi="Arial" w:cs="Arial"/>
        </w:rPr>
        <w:footnoteRef/>
      </w:r>
      <w:r w:rsidRPr="008A4A5A">
        <w:rPr>
          <w:rFonts w:ascii="Arial" w:hAnsi="Arial" w:cs="Arial"/>
        </w:rPr>
        <w:t xml:space="preserve"> Gerard McCormack, Universalism in Insolvency Proceedings and the Common Law, </w:t>
      </w:r>
      <w:r w:rsidRPr="008A4A5A">
        <w:rPr>
          <w:rFonts w:ascii="Arial" w:hAnsi="Arial" w:cs="Arial"/>
          <w:i/>
          <w:iCs/>
        </w:rPr>
        <w:t xml:space="preserve">Oxford Journal of Studies, </w:t>
      </w:r>
      <w:r w:rsidRPr="008A4A5A">
        <w:rPr>
          <w:rFonts w:ascii="Arial" w:hAnsi="Arial" w:cs="Arial"/>
        </w:rPr>
        <w:t>Vol. 32, No. 2 (2012)</w:t>
      </w:r>
    </w:p>
  </w:footnote>
  <w:footnote w:id="5">
    <w:p w14:paraId="291A20C3" w14:textId="74D66CBF" w:rsidR="00A0158C" w:rsidRPr="00B34D60" w:rsidRDefault="00A0158C" w:rsidP="000809DE">
      <w:pPr>
        <w:pStyle w:val="FootnoteText"/>
        <w:jc w:val="both"/>
        <w:rPr>
          <w:rFonts w:ascii="Arial" w:hAnsi="Arial" w:cs="Arial"/>
        </w:rPr>
      </w:pPr>
      <w:r w:rsidRPr="008A4A5A">
        <w:rPr>
          <w:rStyle w:val="FootnoteReference"/>
          <w:rFonts w:ascii="Arial" w:hAnsi="Arial" w:cs="Arial"/>
        </w:rPr>
        <w:footnoteRef/>
      </w:r>
      <w:r w:rsidRPr="008A4A5A">
        <w:rPr>
          <w:rFonts w:ascii="Arial" w:hAnsi="Arial" w:cs="Arial"/>
        </w:rPr>
        <w:t xml:space="preserve"> Michael Crystal, ‘The Golden Thread: </w:t>
      </w:r>
      <w:proofErr w:type="spellStart"/>
      <w:r w:rsidRPr="008A4A5A">
        <w:rPr>
          <w:rFonts w:ascii="Arial" w:hAnsi="Arial" w:cs="Arial"/>
        </w:rPr>
        <w:t>Univeralism</w:t>
      </w:r>
      <w:proofErr w:type="spellEnd"/>
      <w:r w:rsidRPr="008A4A5A">
        <w:rPr>
          <w:rFonts w:ascii="Arial" w:hAnsi="Arial" w:cs="Arial"/>
        </w:rPr>
        <w:t xml:space="preserve"> and Assistance in International Insolvency’, Jersey &amp; Guernsey Law Review, February 2011; Solomons v. Ross and International Bankruptcy Law, K.H. </w:t>
      </w:r>
      <w:proofErr w:type="spellStart"/>
      <w:r w:rsidRPr="00B34D60">
        <w:rPr>
          <w:rFonts w:ascii="Arial" w:hAnsi="Arial" w:cs="Arial"/>
        </w:rPr>
        <w:t>Nadelmann</w:t>
      </w:r>
      <w:proofErr w:type="spellEnd"/>
      <w:r w:rsidRPr="00B34D60">
        <w:rPr>
          <w:rFonts w:ascii="Arial" w:hAnsi="Arial" w:cs="Arial"/>
        </w:rPr>
        <w:t>, The Modern Law Review, Vol. 9, No. 2 (</w:t>
      </w:r>
      <w:proofErr w:type="gramStart"/>
      <w:r w:rsidRPr="00B34D60">
        <w:rPr>
          <w:rFonts w:ascii="Arial" w:hAnsi="Arial" w:cs="Arial"/>
        </w:rPr>
        <w:t>Jul</w:t>
      </w:r>
      <w:r w:rsidR="00B34D60">
        <w:rPr>
          <w:rFonts w:ascii="Arial" w:hAnsi="Arial" w:cs="Arial"/>
        </w:rPr>
        <w:t>y</w:t>
      </w:r>
      <w:r w:rsidRPr="00B34D60">
        <w:rPr>
          <w:rFonts w:ascii="Arial" w:hAnsi="Arial" w:cs="Arial"/>
        </w:rPr>
        <w:t>,</w:t>
      </w:r>
      <w:proofErr w:type="gramEnd"/>
      <w:r w:rsidRPr="00B34D60">
        <w:rPr>
          <w:rFonts w:ascii="Arial" w:hAnsi="Arial" w:cs="Arial"/>
        </w:rPr>
        <w:t xml:space="preserve"> 1946) pp, 154-168</w:t>
      </w:r>
    </w:p>
  </w:footnote>
  <w:footnote w:id="6">
    <w:p w14:paraId="7353902F" w14:textId="19A5F917" w:rsidR="00884C82" w:rsidRPr="00B34D60" w:rsidRDefault="00884C82" w:rsidP="000809DE">
      <w:pPr>
        <w:autoSpaceDE w:val="0"/>
        <w:autoSpaceDN w:val="0"/>
        <w:adjustRightInd w:val="0"/>
        <w:jc w:val="both"/>
        <w:rPr>
          <w:rFonts w:ascii="Arial" w:hAnsi="Arial" w:cs="Arial"/>
          <w:i/>
          <w:iCs/>
          <w:sz w:val="20"/>
          <w:szCs w:val="20"/>
        </w:rPr>
      </w:pPr>
      <w:r w:rsidRPr="00B34D60">
        <w:rPr>
          <w:rStyle w:val="FootnoteReference"/>
          <w:rFonts w:ascii="Arial" w:hAnsi="Arial" w:cs="Arial"/>
          <w:sz w:val="20"/>
          <w:szCs w:val="20"/>
        </w:rPr>
        <w:footnoteRef/>
      </w:r>
      <w:r w:rsidRPr="00B34D60">
        <w:rPr>
          <w:rFonts w:ascii="Arial" w:hAnsi="Arial" w:cs="Arial"/>
          <w:sz w:val="20"/>
          <w:szCs w:val="20"/>
        </w:rPr>
        <w:t xml:space="preserve"> </w:t>
      </w:r>
      <w:r w:rsidRPr="00B34D60">
        <w:rPr>
          <w:rFonts w:ascii="Arial" w:hAnsi="Arial" w:cs="Arial"/>
          <w:i/>
          <w:iCs/>
          <w:sz w:val="20"/>
          <w:szCs w:val="20"/>
        </w:rPr>
        <w:t xml:space="preserve">Re HIH Casualty and General Insurance Ltd </w:t>
      </w:r>
      <w:r w:rsidRPr="00B34D60">
        <w:rPr>
          <w:rFonts w:ascii="Arial" w:hAnsi="Arial" w:cs="Arial"/>
          <w:sz w:val="20"/>
          <w:szCs w:val="20"/>
        </w:rPr>
        <w:t>[2008] 1 W.L.R. 852</w:t>
      </w:r>
    </w:p>
  </w:footnote>
  <w:footnote w:id="7">
    <w:p w14:paraId="3D0F8D40" w14:textId="58826EB6" w:rsidR="00D03C5D" w:rsidRPr="009060BB" w:rsidRDefault="00D03C5D" w:rsidP="000809DE">
      <w:pPr>
        <w:pStyle w:val="FootnoteText"/>
        <w:jc w:val="both"/>
        <w:rPr>
          <w:rFonts w:ascii="Arial" w:hAnsi="Arial" w:cs="Arial"/>
        </w:rPr>
      </w:pPr>
      <w:r w:rsidRPr="009060BB">
        <w:rPr>
          <w:rStyle w:val="FootnoteReference"/>
          <w:rFonts w:ascii="Arial" w:hAnsi="Arial" w:cs="Arial"/>
        </w:rPr>
        <w:footnoteRef/>
      </w:r>
      <w:r w:rsidRPr="009060BB">
        <w:rPr>
          <w:rFonts w:ascii="Arial" w:hAnsi="Arial" w:cs="Arial"/>
        </w:rPr>
        <w:t xml:space="preserve"> </w:t>
      </w:r>
      <w:r w:rsidRPr="009060BB">
        <w:rPr>
          <w:rFonts w:ascii="Arial" w:hAnsi="Arial" w:cs="Arial"/>
          <w:i/>
          <w:iCs/>
        </w:rPr>
        <w:t xml:space="preserve">Re International Tin Council </w:t>
      </w:r>
      <w:r w:rsidRPr="009060BB">
        <w:rPr>
          <w:rFonts w:ascii="Arial" w:hAnsi="Arial" w:cs="Arial"/>
        </w:rPr>
        <w:t>[1987] Ch. 419, 446-447 (Millett J)</w:t>
      </w:r>
    </w:p>
  </w:footnote>
  <w:footnote w:id="8">
    <w:p w14:paraId="684AC83A" w14:textId="77777777" w:rsidR="00C1166E" w:rsidRPr="00B34D60" w:rsidRDefault="00C1166E" w:rsidP="00C1166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Prior to the United Kingdom exiting from the EU, </w:t>
      </w:r>
      <w:r>
        <w:rPr>
          <w:rFonts w:ascii="Arial" w:hAnsi="Arial" w:cs="Arial"/>
        </w:rPr>
        <w:t>t</w:t>
      </w:r>
      <w:r w:rsidRPr="00B34D60">
        <w:rPr>
          <w:rFonts w:ascii="Arial" w:hAnsi="Arial" w:cs="Arial"/>
        </w:rPr>
        <w:t xml:space="preserve">he EC Regulation on Insolvency Proceedings was also applicable in England. However, since the transition arrangements came to an end, this Regulation is no longer applicable. It remains to be seen quite what impact the inapplicability of the EC Regulation will have on cross-border insolvency with an English </w:t>
      </w:r>
      <w:proofErr w:type="gramStart"/>
      <w:r w:rsidRPr="00B34D60">
        <w:rPr>
          <w:rFonts w:ascii="Arial" w:hAnsi="Arial" w:cs="Arial"/>
        </w:rPr>
        <w:t>nexus</w:t>
      </w:r>
      <w:proofErr w:type="gramEnd"/>
    </w:p>
  </w:footnote>
  <w:footnote w:id="9">
    <w:p w14:paraId="3A853979" w14:textId="1E0595A0" w:rsidR="0084200C" w:rsidRPr="00B34D60" w:rsidRDefault="0084200C"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w:t>
      </w:r>
      <w:r w:rsidR="008A4A5A">
        <w:rPr>
          <w:rFonts w:ascii="Arial" w:hAnsi="Arial" w:cs="Arial"/>
        </w:rPr>
        <w:t>D</w:t>
      </w:r>
      <w:r w:rsidRPr="00B34D60">
        <w:rPr>
          <w:rFonts w:ascii="Arial" w:hAnsi="Arial" w:cs="Arial"/>
        </w:rPr>
        <w:t>omestic, EU and international</w:t>
      </w:r>
    </w:p>
  </w:footnote>
  <w:footnote w:id="10">
    <w:p w14:paraId="0A044ECA" w14:textId="13EEFDA3" w:rsidR="00BB54B6" w:rsidRPr="00B34D60" w:rsidRDefault="00BB54B6"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The Privy Council </w:t>
      </w:r>
      <w:r w:rsidR="00B81C63" w:rsidRPr="00B34D60">
        <w:rPr>
          <w:rFonts w:ascii="Arial" w:hAnsi="Arial" w:cs="Arial"/>
        </w:rPr>
        <w:t xml:space="preserve">is </w:t>
      </w:r>
      <w:r w:rsidRPr="00B34D60">
        <w:rPr>
          <w:rFonts w:ascii="Arial" w:hAnsi="Arial" w:cs="Arial"/>
        </w:rPr>
        <w:t>the apex court of appeal for, among other courts, those of many current and former Commonwealth countries, as well as the United Kingdom’s overseas territories, crown dependencies, and military sovereign base areas</w:t>
      </w:r>
      <w:r w:rsidR="00B81C63" w:rsidRPr="00B34D60">
        <w:rPr>
          <w:rFonts w:ascii="Arial" w:hAnsi="Arial" w:cs="Arial"/>
        </w:rPr>
        <w:t>, including of the Cayman Islands</w:t>
      </w:r>
    </w:p>
  </w:footnote>
  <w:footnote w:id="11">
    <w:p w14:paraId="6BA7073A" w14:textId="6CEB8B7B" w:rsidR="00B73290" w:rsidRPr="00B34D60" w:rsidRDefault="00B73290"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Per paragraph 15 of </w:t>
      </w:r>
      <w:proofErr w:type="spellStart"/>
      <w:r w:rsidRPr="0085353C">
        <w:rPr>
          <w:rFonts w:ascii="Arial" w:hAnsi="Arial" w:cs="Arial"/>
          <w:i/>
          <w:iCs/>
        </w:rPr>
        <w:t>Singularis</w:t>
      </w:r>
      <w:proofErr w:type="spellEnd"/>
    </w:p>
  </w:footnote>
  <w:footnote w:id="12">
    <w:p w14:paraId="45C4B4C3" w14:textId="471A2983" w:rsidR="00A40E45" w:rsidRPr="00B34D60" w:rsidRDefault="00A40E45"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And subsequently – for example, this decision </w:t>
      </w:r>
      <w:proofErr w:type="gramStart"/>
      <w:r w:rsidRPr="00B34D60">
        <w:rPr>
          <w:rFonts w:ascii="Arial" w:hAnsi="Arial" w:cs="Arial"/>
        </w:rPr>
        <w:t xml:space="preserve">was </w:t>
      </w:r>
      <w:r w:rsidR="00EF6797" w:rsidRPr="00B34D60">
        <w:rPr>
          <w:rFonts w:ascii="Arial" w:hAnsi="Arial" w:cs="Arial"/>
        </w:rPr>
        <w:t>has</w:t>
      </w:r>
      <w:proofErr w:type="gramEnd"/>
      <w:r w:rsidR="00EF6797" w:rsidRPr="00B34D60">
        <w:rPr>
          <w:rFonts w:ascii="Arial" w:hAnsi="Arial" w:cs="Arial"/>
        </w:rPr>
        <w:t xml:space="preserve"> been referenced in discussions around the adoption and implementation of international insolvency frameworks, such as the Model Law</w:t>
      </w:r>
    </w:p>
  </w:footnote>
  <w:footnote w:id="13">
    <w:p w14:paraId="7DEB57DD" w14:textId="24904B68" w:rsidR="005E2530" w:rsidRPr="00B34D60" w:rsidRDefault="005E2530"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[2007] Bus LR 250, para</w:t>
      </w:r>
      <w:r w:rsidR="008A4A5A">
        <w:rPr>
          <w:rFonts w:ascii="Arial" w:hAnsi="Arial" w:cs="Arial"/>
        </w:rPr>
        <w:t>graph</w:t>
      </w:r>
      <w:r w:rsidRPr="00B34D60">
        <w:rPr>
          <w:rFonts w:ascii="Arial" w:hAnsi="Arial" w:cs="Arial"/>
        </w:rPr>
        <w:t xml:space="preserve"> 72</w:t>
      </w:r>
    </w:p>
  </w:footnote>
  <w:footnote w:id="14">
    <w:p w14:paraId="553F9BF1" w14:textId="25ABCB99" w:rsidR="00AE6227" w:rsidRPr="00B34D60" w:rsidRDefault="00AE6227"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The current name of England</w:t>
      </w:r>
      <w:r w:rsidR="00913C5E">
        <w:rPr>
          <w:rFonts w:ascii="Arial" w:hAnsi="Arial" w:cs="Arial"/>
        </w:rPr>
        <w:t xml:space="preserve"> &amp; </w:t>
      </w:r>
      <w:proofErr w:type="spellStart"/>
      <w:r w:rsidR="00913C5E">
        <w:rPr>
          <w:rFonts w:ascii="Arial" w:hAnsi="Arial" w:cs="Arial"/>
        </w:rPr>
        <w:t>Wales</w:t>
      </w:r>
      <w:r w:rsidRPr="00B34D60">
        <w:rPr>
          <w:rFonts w:ascii="Arial" w:hAnsi="Arial" w:cs="Arial"/>
        </w:rPr>
        <w:t>’</w:t>
      </w:r>
      <w:proofErr w:type="spellEnd"/>
      <w:r w:rsidRPr="00B34D60">
        <w:rPr>
          <w:rFonts w:ascii="Arial" w:hAnsi="Arial" w:cs="Arial"/>
        </w:rPr>
        <w:t xml:space="preserve"> highest court</w:t>
      </w:r>
    </w:p>
  </w:footnote>
  <w:footnote w:id="15">
    <w:p w14:paraId="4FEE16E4" w14:textId="42A1A1E2" w:rsidR="0028007C" w:rsidRPr="00B34D60" w:rsidRDefault="0028007C"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w:t>
      </w:r>
      <w:r w:rsidRPr="00913C5E">
        <w:rPr>
          <w:rFonts w:ascii="Arial" w:hAnsi="Arial" w:cs="Arial"/>
          <w:i/>
          <w:iCs/>
        </w:rPr>
        <w:t xml:space="preserve">Rubin v </w:t>
      </w:r>
      <w:proofErr w:type="spellStart"/>
      <w:r w:rsidRPr="00913C5E">
        <w:rPr>
          <w:rFonts w:ascii="Arial" w:hAnsi="Arial" w:cs="Arial"/>
          <w:i/>
          <w:iCs/>
        </w:rPr>
        <w:t>Eurofinance</w:t>
      </w:r>
      <w:proofErr w:type="spellEnd"/>
      <w:r w:rsidRPr="00913C5E">
        <w:rPr>
          <w:rFonts w:ascii="Arial" w:hAnsi="Arial" w:cs="Arial"/>
          <w:i/>
          <w:iCs/>
        </w:rPr>
        <w:t xml:space="preserve"> SA</w:t>
      </w:r>
      <w:r w:rsidRPr="00B34D60">
        <w:rPr>
          <w:rFonts w:ascii="Arial" w:hAnsi="Arial" w:cs="Arial"/>
        </w:rPr>
        <w:t xml:space="preserve"> [2012] UKSC 46</w:t>
      </w:r>
    </w:p>
  </w:footnote>
  <w:footnote w:id="16">
    <w:p w14:paraId="51829DCE" w14:textId="470C2B52" w:rsidR="006E1E90" w:rsidRPr="00913C5E" w:rsidRDefault="006E1E90" w:rsidP="000809DE">
      <w:pPr>
        <w:pStyle w:val="FootnoteText"/>
        <w:jc w:val="both"/>
        <w:rPr>
          <w:rFonts w:ascii="Arial" w:hAnsi="Arial" w:cs="Arial"/>
        </w:rPr>
      </w:pPr>
      <w:r w:rsidRPr="00913C5E">
        <w:rPr>
          <w:rStyle w:val="FootnoteReference"/>
          <w:rFonts w:ascii="Arial" w:hAnsi="Arial" w:cs="Arial"/>
        </w:rPr>
        <w:footnoteRef/>
      </w:r>
      <w:r w:rsidRPr="00913C5E">
        <w:rPr>
          <w:rFonts w:ascii="Arial" w:hAnsi="Arial" w:cs="Arial"/>
        </w:rPr>
        <w:t xml:space="preserve"> It “</w:t>
      </w:r>
      <w:r w:rsidRPr="00913C5E">
        <w:rPr>
          <w:rFonts w:ascii="Arial" w:hAnsi="Arial" w:cs="Arial"/>
          <w:i/>
          <w:iCs/>
        </w:rPr>
        <w:t xml:space="preserve">would not be an incremental development of existing principles, but a radical departure from substantially settled </w:t>
      </w:r>
      <w:proofErr w:type="gramStart"/>
      <w:r w:rsidRPr="00913C5E">
        <w:rPr>
          <w:rFonts w:ascii="Arial" w:hAnsi="Arial" w:cs="Arial"/>
          <w:i/>
          <w:iCs/>
        </w:rPr>
        <w:t>law</w:t>
      </w:r>
      <w:proofErr w:type="gramEnd"/>
      <w:r w:rsidRPr="00913C5E">
        <w:rPr>
          <w:rFonts w:ascii="Arial" w:hAnsi="Arial" w:cs="Arial"/>
        </w:rPr>
        <w:t>”</w:t>
      </w:r>
    </w:p>
  </w:footnote>
  <w:footnote w:id="17">
    <w:p w14:paraId="5A598941" w14:textId="5F92FA55" w:rsidR="002D1616" w:rsidRPr="00B34D60" w:rsidRDefault="002D1616"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Per paragraph 9 of the </w:t>
      </w:r>
      <w:r w:rsidR="008F541C" w:rsidRPr="00B34D60">
        <w:rPr>
          <w:rFonts w:ascii="Arial" w:hAnsi="Arial" w:cs="Arial"/>
        </w:rPr>
        <w:t>P</w:t>
      </w:r>
      <w:r w:rsidR="00913C5E">
        <w:rPr>
          <w:rFonts w:ascii="Arial" w:hAnsi="Arial" w:cs="Arial"/>
        </w:rPr>
        <w:t xml:space="preserve">rivy </w:t>
      </w:r>
      <w:r w:rsidR="008F541C" w:rsidRPr="00B34D60">
        <w:rPr>
          <w:rFonts w:ascii="Arial" w:hAnsi="Arial" w:cs="Arial"/>
        </w:rPr>
        <w:t>C</w:t>
      </w:r>
      <w:r w:rsidR="00913C5E">
        <w:rPr>
          <w:rFonts w:ascii="Arial" w:hAnsi="Arial" w:cs="Arial"/>
        </w:rPr>
        <w:t>ouncil</w:t>
      </w:r>
      <w:r w:rsidR="008F541C" w:rsidRPr="00B34D60">
        <w:rPr>
          <w:rFonts w:ascii="Arial" w:hAnsi="Arial" w:cs="Arial"/>
        </w:rPr>
        <w:t xml:space="preserve"> decision “</w:t>
      </w:r>
      <w:r w:rsidR="008F541C" w:rsidRPr="00B34D60">
        <w:rPr>
          <w:rFonts w:ascii="Arial" w:hAnsi="Arial" w:cs="Arial"/>
          <w:i/>
          <w:iCs/>
        </w:rPr>
        <w:t xml:space="preserve">The common law of Bermuda is the same, in every relevant respect, as that of </w:t>
      </w:r>
      <w:proofErr w:type="gramStart"/>
      <w:r w:rsidR="008F541C" w:rsidRPr="00B34D60">
        <w:rPr>
          <w:rFonts w:ascii="Arial" w:hAnsi="Arial" w:cs="Arial"/>
          <w:i/>
          <w:iCs/>
        </w:rPr>
        <w:t>England</w:t>
      </w:r>
      <w:proofErr w:type="gramEnd"/>
      <w:r w:rsidR="008F541C" w:rsidRPr="00B34D60">
        <w:rPr>
          <w:rFonts w:ascii="Arial" w:hAnsi="Arial" w:cs="Arial"/>
        </w:rPr>
        <w:t>”</w:t>
      </w:r>
    </w:p>
  </w:footnote>
  <w:footnote w:id="18">
    <w:p w14:paraId="2EA2964C" w14:textId="112F5315" w:rsidR="00EA5C5D" w:rsidRPr="00B34D60" w:rsidRDefault="00EA5C5D" w:rsidP="000809DE">
      <w:pPr>
        <w:pStyle w:val="FootnoteText"/>
        <w:jc w:val="both"/>
        <w:rPr>
          <w:rFonts w:ascii="Arial" w:hAnsi="Arial" w:cs="Arial"/>
        </w:rPr>
      </w:pPr>
      <w:r w:rsidRPr="00B34D60">
        <w:rPr>
          <w:rStyle w:val="FootnoteReference"/>
          <w:rFonts w:ascii="Arial" w:hAnsi="Arial" w:cs="Arial"/>
        </w:rPr>
        <w:footnoteRef/>
      </w:r>
      <w:r w:rsidRPr="00B34D60">
        <w:rPr>
          <w:rFonts w:ascii="Arial" w:hAnsi="Arial" w:cs="Arial"/>
        </w:rPr>
        <w:t xml:space="preserve"> Paragr</w:t>
      </w:r>
      <w:r w:rsidR="00913C5E">
        <w:rPr>
          <w:rFonts w:ascii="Arial" w:hAnsi="Arial" w:cs="Arial"/>
        </w:rPr>
        <w:t>a</w:t>
      </w:r>
      <w:r w:rsidRPr="00B34D60">
        <w:rPr>
          <w:rFonts w:ascii="Arial" w:hAnsi="Arial" w:cs="Arial"/>
        </w:rPr>
        <w:t>ph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C0C04"/>
    <w:multiLevelType w:val="hybridMultilevel"/>
    <w:tmpl w:val="2D160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8064C"/>
    <w:multiLevelType w:val="hybridMultilevel"/>
    <w:tmpl w:val="96AA9690"/>
    <w:lvl w:ilvl="0" w:tplc="E66A0E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B3EA7"/>
    <w:multiLevelType w:val="hybridMultilevel"/>
    <w:tmpl w:val="4638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93B0D"/>
    <w:multiLevelType w:val="hybridMultilevel"/>
    <w:tmpl w:val="82CE7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5426C"/>
    <w:multiLevelType w:val="hybridMultilevel"/>
    <w:tmpl w:val="FB8CD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C17EBD"/>
    <w:multiLevelType w:val="hybridMultilevel"/>
    <w:tmpl w:val="13786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361FE3"/>
    <w:multiLevelType w:val="multilevel"/>
    <w:tmpl w:val="195A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B4156"/>
    <w:multiLevelType w:val="multilevel"/>
    <w:tmpl w:val="88D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D38AB"/>
    <w:multiLevelType w:val="multilevel"/>
    <w:tmpl w:val="4EFA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E0CA4"/>
    <w:multiLevelType w:val="multilevel"/>
    <w:tmpl w:val="2D847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73EE8"/>
    <w:multiLevelType w:val="hybridMultilevel"/>
    <w:tmpl w:val="3F9C9778"/>
    <w:lvl w:ilvl="0" w:tplc="7EE6B9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AE3755"/>
    <w:multiLevelType w:val="hybridMultilevel"/>
    <w:tmpl w:val="E544F61E"/>
    <w:lvl w:ilvl="0" w:tplc="1D7202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26303"/>
    <w:multiLevelType w:val="hybridMultilevel"/>
    <w:tmpl w:val="564AC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C12C4"/>
    <w:multiLevelType w:val="hybridMultilevel"/>
    <w:tmpl w:val="6010B93E"/>
    <w:lvl w:ilvl="0" w:tplc="CB587378">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1065816">
    <w:abstractNumId w:val="10"/>
  </w:num>
  <w:num w:numId="2" w16cid:durableId="605160087">
    <w:abstractNumId w:val="2"/>
  </w:num>
  <w:num w:numId="3" w16cid:durableId="566300916">
    <w:abstractNumId w:val="11"/>
  </w:num>
  <w:num w:numId="4" w16cid:durableId="1636108177">
    <w:abstractNumId w:val="7"/>
  </w:num>
  <w:num w:numId="5" w16cid:durableId="269437838">
    <w:abstractNumId w:val="9"/>
  </w:num>
  <w:num w:numId="6" w16cid:durableId="2090348089">
    <w:abstractNumId w:val="6"/>
  </w:num>
  <w:num w:numId="7" w16cid:durableId="652223776">
    <w:abstractNumId w:val="8"/>
  </w:num>
  <w:num w:numId="8" w16cid:durableId="1977372916">
    <w:abstractNumId w:val="1"/>
  </w:num>
  <w:num w:numId="9" w16cid:durableId="669216063">
    <w:abstractNumId w:val="12"/>
  </w:num>
  <w:num w:numId="10" w16cid:durableId="56628865">
    <w:abstractNumId w:val="0"/>
  </w:num>
  <w:num w:numId="11" w16cid:durableId="1019547975">
    <w:abstractNumId w:val="5"/>
  </w:num>
  <w:num w:numId="12" w16cid:durableId="565339471">
    <w:abstractNumId w:val="13"/>
  </w:num>
  <w:num w:numId="13" w16cid:durableId="781342797">
    <w:abstractNumId w:val="3"/>
  </w:num>
  <w:num w:numId="14" w16cid:durableId="22025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86"/>
    <w:rsid w:val="00002224"/>
    <w:rsid w:val="00002F8B"/>
    <w:rsid w:val="00014655"/>
    <w:rsid w:val="00014C42"/>
    <w:rsid w:val="00022245"/>
    <w:rsid w:val="00023CBF"/>
    <w:rsid w:val="00024DBE"/>
    <w:rsid w:val="00031361"/>
    <w:rsid w:val="00032D9D"/>
    <w:rsid w:val="00036407"/>
    <w:rsid w:val="000368F1"/>
    <w:rsid w:val="00040FB5"/>
    <w:rsid w:val="00045564"/>
    <w:rsid w:val="000502B4"/>
    <w:rsid w:val="000518DE"/>
    <w:rsid w:val="00053DD8"/>
    <w:rsid w:val="00060616"/>
    <w:rsid w:val="000809DE"/>
    <w:rsid w:val="00084873"/>
    <w:rsid w:val="00087AB1"/>
    <w:rsid w:val="0009434A"/>
    <w:rsid w:val="000A7286"/>
    <w:rsid w:val="000B2638"/>
    <w:rsid w:val="000B6494"/>
    <w:rsid w:val="000C5518"/>
    <w:rsid w:val="000C764C"/>
    <w:rsid w:val="000D66B5"/>
    <w:rsid w:val="000E3C9E"/>
    <w:rsid w:val="000E7BF0"/>
    <w:rsid w:val="000F032F"/>
    <w:rsid w:val="000F057E"/>
    <w:rsid w:val="000F7CE5"/>
    <w:rsid w:val="001000D3"/>
    <w:rsid w:val="00105B47"/>
    <w:rsid w:val="00107052"/>
    <w:rsid w:val="001126A9"/>
    <w:rsid w:val="00117736"/>
    <w:rsid w:val="00120590"/>
    <w:rsid w:val="00124420"/>
    <w:rsid w:val="0013321F"/>
    <w:rsid w:val="0014308C"/>
    <w:rsid w:val="001502C8"/>
    <w:rsid w:val="001529FD"/>
    <w:rsid w:val="0015313C"/>
    <w:rsid w:val="001536E7"/>
    <w:rsid w:val="0015737A"/>
    <w:rsid w:val="0016190E"/>
    <w:rsid w:val="00163213"/>
    <w:rsid w:val="00165B3F"/>
    <w:rsid w:val="001718A5"/>
    <w:rsid w:val="00181E00"/>
    <w:rsid w:val="00182A04"/>
    <w:rsid w:val="0018518A"/>
    <w:rsid w:val="001862DD"/>
    <w:rsid w:val="00193089"/>
    <w:rsid w:val="001A2E4C"/>
    <w:rsid w:val="001B25BD"/>
    <w:rsid w:val="001B399F"/>
    <w:rsid w:val="001B530C"/>
    <w:rsid w:val="001B7A02"/>
    <w:rsid w:val="001C016E"/>
    <w:rsid w:val="001C207A"/>
    <w:rsid w:val="001C548A"/>
    <w:rsid w:val="001D3BE4"/>
    <w:rsid w:val="001E1414"/>
    <w:rsid w:val="001E3685"/>
    <w:rsid w:val="001F3E1F"/>
    <w:rsid w:val="001F5CAF"/>
    <w:rsid w:val="002008A1"/>
    <w:rsid w:val="00207E6D"/>
    <w:rsid w:val="00213A05"/>
    <w:rsid w:val="00222FD5"/>
    <w:rsid w:val="002249DE"/>
    <w:rsid w:val="00236071"/>
    <w:rsid w:val="00237D38"/>
    <w:rsid w:val="00247248"/>
    <w:rsid w:val="00252B7A"/>
    <w:rsid w:val="002578A6"/>
    <w:rsid w:val="00262764"/>
    <w:rsid w:val="002662A4"/>
    <w:rsid w:val="00266D10"/>
    <w:rsid w:val="002715F5"/>
    <w:rsid w:val="0028007C"/>
    <w:rsid w:val="002816FC"/>
    <w:rsid w:val="002848F8"/>
    <w:rsid w:val="0029744A"/>
    <w:rsid w:val="002A2022"/>
    <w:rsid w:val="002A7762"/>
    <w:rsid w:val="002B35F4"/>
    <w:rsid w:val="002B785F"/>
    <w:rsid w:val="002C2E3D"/>
    <w:rsid w:val="002C415F"/>
    <w:rsid w:val="002D0CBE"/>
    <w:rsid w:val="002D1616"/>
    <w:rsid w:val="002D28BC"/>
    <w:rsid w:val="002F25C3"/>
    <w:rsid w:val="002F5E1D"/>
    <w:rsid w:val="00314935"/>
    <w:rsid w:val="003164AE"/>
    <w:rsid w:val="003216DD"/>
    <w:rsid w:val="00332237"/>
    <w:rsid w:val="00334455"/>
    <w:rsid w:val="00340C39"/>
    <w:rsid w:val="003560F5"/>
    <w:rsid w:val="00365CFC"/>
    <w:rsid w:val="00367A82"/>
    <w:rsid w:val="003740D1"/>
    <w:rsid w:val="00377A3B"/>
    <w:rsid w:val="0038028C"/>
    <w:rsid w:val="00382EFD"/>
    <w:rsid w:val="00385B09"/>
    <w:rsid w:val="00385F80"/>
    <w:rsid w:val="003871FF"/>
    <w:rsid w:val="00392CEB"/>
    <w:rsid w:val="00396B00"/>
    <w:rsid w:val="003A05BA"/>
    <w:rsid w:val="003A5CA0"/>
    <w:rsid w:val="003B4A23"/>
    <w:rsid w:val="003B5ABD"/>
    <w:rsid w:val="003C12F6"/>
    <w:rsid w:val="003C22F5"/>
    <w:rsid w:val="003C4FB7"/>
    <w:rsid w:val="003E11E2"/>
    <w:rsid w:val="00406430"/>
    <w:rsid w:val="00410D24"/>
    <w:rsid w:val="00421CA8"/>
    <w:rsid w:val="0042770C"/>
    <w:rsid w:val="004340E8"/>
    <w:rsid w:val="00435C16"/>
    <w:rsid w:val="00440702"/>
    <w:rsid w:val="00441240"/>
    <w:rsid w:val="00441AFD"/>
    <w:rsid w:val="00444847"/>
    <w:rsid w:val="004503C7"/>
    <w:rsid w:val="00461DE6"/>
    <w:rsid w:val="00471927"/>
    <w:rsid w:val="00471D18"/>
    <w:rsid w:val="00474C1D"/>
    <w:rsid w:val="00480F9A"/>
    <w:rsid w:val="0048621A"/>
    <w:rsid w:val="004915B8"/>
    <w:rsid w:val="00491FED"/>
    <w:rsid w:val="004A268D"/>
    <w:rsid w:val="004A4D45"/>
    <w:rsid w:val="004A6899"/>
    <w:rsid w:val="004A70B0"/>
    <w:rsid w:val="004B025A"/>
    <w:rsid w:val="004B0B84"/>
    <w:rsid w:val="004B3864"/>
    <w:rsid w:val="004B752F"/>
    <w:rsid w:val="004C10C4"/>
    <w:rsid w:val="004C25B0"/>
    <w:rsid w:val="004C65D8"/>
    <w:rsid w:val="004D0560"/>
    <w:rsid w:val="004D1F46"/>
    <w:rsid w:val="004D530E"/>
    <w:rsid w:val="004D7EB7"/>
    <w:rsid w:val="004E284C"/>
    <w:rsid w:val="004E4B82"/>
    <w:rsid w:val="004F1124"/>
    <w:rsid w:val="004F52AE"/>
    <w:rsid w:val="004F608D"/>
    <w:rsid w:val="005159A5"/>
    <w:rsid w:val="00525606"/>
    <w:rsid w:val="00534FB9"/>
    <w:rsid w:val="00544B81"/>
    <w:rsid w:val="0054683E"/>
    <w:rsid w:val="005569B0"/>
    <w:rsid w:val="00560BDC"/>
    <w:rsid w:val="0057579A"/>
    <w:rsid w:val="00580172"/>
    <w:rsid w:val="00582F67"/>
    <w:rsid w:val="00592806"/>
    <w:rsid w:val="005943E8"/>
    <w:rsid w:val="005960A4"/>
    <w:rsid w:val="005A345E"/>
    <w:rsid w:val="005A7154"/>
    <w:rsid w:val="005B2D41"/>
    <w:rsid w:val="005B5796"/>
    <w:rsid w:val="005C4E30"/>
    <w:rsid w:val="005C4EFA"/>
    <w:rsid w:val="005E2530"/>
    <w:rsid w:val="005E5E50"/>
    <w:rsid w:val="005E6B6F"/>
    <w:rsid w:val="005F07E8"/>
    <w:rsid w:val="005F0BEC"/>
    <w:rsid w:val="005F3E1C"/>
    <w:rsid w:val="005F47E8"/>
    <w:rsid w:val="005F6104"/>
    <w:rsid w:val="00601227"/>
    <w:rsid w:val="0060673A"/>
    <w:rsid w:val="00606A7F"/>
    <w:rsid w:val="006236FD"/>
    <w:rsid w:val="00650736"/>
    <w:rsid w:val="00656E13"/>
    <w:rsid w:val="00664412"/>
    <w:rsid w:val="00666BB9"/>
    <w:rsid w:val="006714B7"/>
    <w:rsid w:val="006735C0"/>
    <w:rsid w:val="00677855"/>
    <w:rsid w:val="00696675"/>
    <w:rsid w:val="006A1E75"/>
    <w:rsid w:val="006A6E10"/>
    <w:rsid w:val="006B4163"/>
    <w:rsid w:val="006B61D4"/>
    <w:rsid w:val="006B6779"/>
    <w:rsid w:val="006B67C7"/>
    <w:rsid w:val="006C18B2"/>
    <w:rsid w:val="006C4FFB"/>
    <w:rsid w:val="006C58B0"/>
    <w:rsid w:val="006C5A6E"/>
    <w:rsid w:val="006C67BF"/>
    <w:rsid w:val="006D2E74"/>
    <w:rsid w:val="006E1E90"/>
    <w:rsid w:val="006E6189"/>
    <w:rsid w:val="006E63B1"/>
    <w:rsid w:val="00700EBA"/>
    <w:rsid w:val="0070191C"/>
    <w:rsid w:val="007029A5"/>
    <w:rsid w:val="00712DB2"/>
    <w:rsid w:val="0072654B"/>
    <w:rsid w:val="00727007"/>
    <w:rsid w:val="00732333"/>
    <w:rsid w:val="00745F48"/>
    <w:rsid w:val="00747F70"/>
    <w:rsid w:val="00760BE7"/>
    <w:rsid w:val="00762C00"/>
    <w:rsid w:val="00762E8B"/>
    <w:rsid w:val="007639E8"/>
    <w:rsid w:val="00765651"/>
    <w:rsid w:val="00770592"/>
    <w:rsid w:val="00776F29"/>
    <w:rsid w:val="0079086C"/>
    <w:rsid w:val="00791E36"/>
    <w:rsid w:val="007A1620"/>
    <w:rsid w:val="007A48CC"/>
    <w:rsid w:val="007B0EC1"/>
    <w:rsid w:val="007B5262"/>
    <w:rsid w:val="007B7C40"/>
    <w:rsid w:val="007C2088"/>
    <w:rsid w:val="007C4175"/>
    <w:rsid w:val="007D3175"/>
    <w:rsid w:val="007E0F37"/>
    <w:rsid w:val="007E4460"/>
    <w:rsid w:val="007F1E37"/>
    <w:rsid w:val="007F30EF"/>
    <w:rsid w:val="008037A4"/>
    <w:rsid w:val="00805CAA"/>
    <w:rsid w:val="00820B93"/>
    <w:rsid w:val="00823A2C"/>
    <w:rsid w:val="00824800"/>
    <w:rsid w:val="00835366"/>
    <w:rsid w:val="00841DF7"/>
    <w:rsid w:val="00841F12"/>
    <w:rsid w:val="0084200C"/>
    <w:rsid w:val="008429AE"/>
    <w:rsid w:val="00842AE1"/>
    <w:rsid w:val="00845CDF"/>
    <w:rsid w:val="00850100"/>
    <w:rsid w:val="00850172"/>
    <w:rsid w:val="008505FF"/>
    <w:rsid w:val="0085353C"/>
    <w:rsid w:val="00855B04"/>
    <w:rsid w:val="00874D1D"/>
    <w:rsid w:val="00875068"/>
    <w:rsid w:val="0087732B"/>
    <w:rsid w:val="00880E3A"/>
    <w:rsid w:val="00884C82"/>
    <w:rsid w:val="00885806"/>
    <w:rsid w:val="00891C3F"/>
    <w:rsid w:val="0089464E"/>
    <w:rsid w:val="008964BF"/>
    <w:rsid w:val="008A2AA4"/>
    <w:rsid w:val="008A44FC"/>
    <w:rsid w:val="008A4A5A"/>
    <w:rsid w:val="008C4CB9"/>
    <w:rsid w:val="008C643E"/>
    <w:rsid w:val="008D08F9"/>
    <w:rsid w:val="008D3D4E"/>
    <w:rsid w:val="008E511B"/>
    <w:rsid w:val="008E571E"/>
    <w:rsid w:val="008E5C32"/>
    <w:rsid w:val="008F30E7"/>
    <w:rsid w:val="008F541C"/>
    <w:rsid w:val="00903EA2"/>
    <w:rsid w:val="009060BB"/>
    <w:rsid w:val="00913C5E"/>
    <w:rsid w:val="00917ADB"/>
    <w:rsid w:val="009220DB"/>
    <w:rsid w:val="00931FA6"/>
    <w:rsid w:val="00941766"/>
    <w:rsid w:val="0094196C"/>
    <w:rsid w:val="00947229"/>
    <w:rsid w:val="009512D1"/>
    <w:rsid w:val="00953006"/>
    <w:rsid w:val="0095654B"/>
    <w:rsid w:val="00956B43"/>
    <w:rsid w:val="0096199E"/>
    <w:rsid w:val="00965DC9"/>
    <w:rsid w:val="00966D86"/>
    <w:rsid w:val="0096737E"/>
    <w:rsid w:val="0097115B"/>
    <w:rsid w:val="0097641F"/>
    <w:rsid w:val="00980D0E"/>
    <w:rsid w:val="0098267A"/>
    <w:rsid w:val="0099013E"/>
    <w:rsid w:val="0099309C"/>
    <w:rsid w:val="009942B1"/>
    <w:rsid w:val="0099645D"/>
    <w:rsid w:val="009A4F68"/>
    <w:rsid w:val="009A6ABE"/>
    <w:rsid w:val="009B0CE9"/>
    <w:rsid w:val="009B1B3D"/>
    <w:rsid w:val="009B230C"/>
    <w:rsid w:val="009B3E83"/>
    <w:rsid w:val="009B51FF"/>
    <w:rsid w:val="009B5D9E"/>
    <w:rsid w:val="009B5F8E"/>
    <w:rsid w:val="009B6133"/>
    <w:rsid w:val="009C5008"/>
    <w:rsid w:val="009C76A1"/>
    <w:rsid w:val="009D7199"/>
    <w:rsid w:val="009D7ACC"/>
    <w:rsid w:val="009E5C48"/>
    <w:rsid w:val="009E6719"/>
    <w:rsid w:val="00A0158C"/>
    <w:rsid w:val="00A053B1"/>
    <w:rsid w:val="00A11E24"/>
    <w:rsid w:val="00A16095"/>
    <w:rsid w:val="00A21B09"/>
    <w:rsid w:val="00A21D56"/>
    <w:rsid w:val="00A23584"/>
    <w:rsid w:val="00A26DAC"/>
    <w:rsid w:val="00A30E9A"/>
    <w:rsid w:val="00A31912"/>
    <w:rsid w:val="00A37FE1"/>
    <w:rsid w:val="00A40E45"/>
    <w:rsid w:val="00A40EE4"/>
    <w:rsid w:val="00A45E00"/>
    <w:rsid w:val="00A54415"/>
    <w:rsid w:val="00A60772"/>
    <w:rsid w:val="00A62CB3"/>
    <w:rsid w:val="00A64C93"/>
    <w:rsid w:val="00A6685D"/>
    <w:rsid w:val="00A6692A"/>
    <w:rsid w:val="00A73E3A"/>
    <w:rsid w:val="00A80F07"/>
    <w:rsid w:val="00A84946"/>
    <w:rsid w:val="00AA0894"/>
    <w:rsid w:val="00AB4B85"/>
    <w:rsid w:val="00AB6466"/>
    <w:rsid w:val="00AC1FDD"/>
    <w:rsid w:val="00AC330D"/>
    <w:rsid w:val="00AD101B"/>
    <w:rsid w:val="00AD1C57"/>
    <w:rsid w:val="00AD6A8F"/>
    <w:rsid w:val="00AD7CF6"/>
    <w:rsid w:val="00AE33FF"/>
    <w:rsid w:val="00AE5ED1"/>
    <w:rsid w:val="00AE6227"/>
    <w:rsid w:val="00AE6F33"/>
    <w:rsid w:val="00B0221E"/>
    <w:rsid w:val="00B02C2B"/>
    <w:rsid w:val="00B11A09"/>
    <w:rsid w:val="00B1358B"/>
    <w:rsid w:val="00B168E0"/>
    <w:rsid w:val="00B315FF"/>
    <w:rsid w:val="00B31E02"/>
    <w:rsid w:val="00B34569"/>
    <w:rsid w:val="00B34D60"/>
    <w:rsid w:val="00B4474D"/>
    <w:rsid w:val="00B511C2"/>
    <w:rsid w:val="00B5608B"/>
    <w:rsid w:val="00B5650A"/>
    <w:rsid w:val="00B62622"/>
    <w:rsid w:val="00B64884"/>
    <w:rsid w:val="00B73290"/>
    <w:rsid w:val="00B76601"/>
    <w:rsid w:val="00B81C63"/>
    <w:rsid w:val="00B83791"/>
    <w:rsid w:val="00B8692B"/>
    <w:rsid w:val="00B921EA"/>
    <w:rsid w:val="00B93F26"/>
    <w:rsid w:val="00B94147"/>
    <w:rsid w:val="00B960A5"/>
    <w:rsid w:val="00BA07FC"/>
    <w:rsid w:val="00BA5646"/>
    <w:rsid w:val="00BA7A79"/>
    <w:rsid w:val="00BB00C8"/>
    <w:rsid w:val="00BB1F7B"/>
    <w:rsid w:val="00BB2C25"/>
    <w:rsid w:val="00BB4A15"/>
    <w:rsid w:val="00BB54B6"/>
    <w:rsid w:val="00BC2816"/>
    <w:rsid w:val="00BC3954"/>
    <w:rsid w:val="00BC687F"/>
    <w:rsid w:val="00BC796C"/>
    <w:rsid w:val="00BD130E"/>
    <w:rsid w:val="00BD643B"/>
    <w:rsid w:val="00BE3C5E"/>
    <w:rsid w:val="00BF4108"/>
    <w:rsid w:val="00BF7D66"/>
    <w:rsid w:val="00C00122"/>
    <w:rsid w:val="00C01205"/>
    <w:rsid w:val="00C029E5"/>
    <w:rsid w:val="00C04EEA"/>
    <w:rsid w:val="00C11524"/>
    <w:rsid w:val="00C1166E"/>
    <w:rsid w:val="00C117EE"/>
    <w:rsid w:val="00C12111"/>
    <w:rsid w:val="00C151FA"/>
    <w:rsid w:val="00C338BE"/>
    <w:rsid w:val="00C34E3C"/>
    <w:rsid w:val="00C5240B"/>
    <w:rsid w:val="00C52F23"/>
    <w:rsid w:val="00C57C7B"/>
    <w:rsid w:val="00C66C00"/>
    <w:rsid w:val="00C71034"/>
    <w:rsid w:val="00C73CD1"/>
    <w:rsid w:val="00C75967"/>
    <w:rsid w:val="00C75F76"/>
    <w:rsid w:val="00C768C5"/>
    <w:rsid w:val="00C80063"/>
    <w:rsid w:val="00C805C5"/>
    <w:rsid w:val="00C813DD"/>
    <w:rsid w:val="00C84849"/>
    <w:rsid w:val="00C91B79"/>
    <w:rsid w:val="00C93F70"/>
    <w:rsid w:val="00C9597E"/>
    <w:rsid w:val="00CA1E22"/>
    <w:rsid w:val="00CB5947"/>
    <w:rsid w:val="00CC0590"/>
    <w:rsid w:val="00CC0F1D"/>
    <w:rsid w:val="00CD3EE5"/>
    <w:rsid w:val="00CF39B0"/>
    <w:rsid w:val="00CF4883"/>
    <w:rsid w:val="00CF6CEF"/>
    <w:rsid w:val="00D020D4"/>
    <w:rsid w:val="00D03C5D"/>
    <w:rsid w:val="00D131C8"/>
    <w:rsid w:val="00D150D3"/>
    <w:rsid w:val="00D15322"/>
    <w:rsid w:val="00D15F4E"/>
    <w:rsid w:val="00D17A11"/>
    <w:rsid w:val="00D25E3B"/>
    <w:rsid w:val="00D2776E"/>
    <w:rsid w:val="00D429DA"/>
    <w:rsid w:val="00D447E7"/>
    <w:rsid w:val="00D4626B"/>
    <w:rsid w:val="00D46667"/>
    <w:rsid w:val="00D47E0D"/>
    <w:rsid w:val="00D53CF0"/>
    <w:rsid w:val="00D601F9"/>
    <w:rsid w:val="00D629CF"/>
    <w:rsid w:val="00D63D2E"/>
    <w:rsid w:val="00D656E3"/>
    <w:rsid w:val="00D65896"/>
    <w:rsid w:val="00D7020C"/>
    <w:rsid w:val="00D7312F"/>
    <w:rsid w:val="00D74915"/>
    <w:rsid w:val="00D8744B"/>
    <w:rsid w:val="00D95176"/>
    <w:rsid w:val="00DA146C"/>
    <w:rsid w:val="00DA18E0"/>
    <w:rsid w:val="00DB7261"/>
    <w:rsid w:val="00DC0658"/>
    <w:rsid w:val="00DC3035"/>
    <w:rsid w:val="00DC582C"/>
    <w:rsid w:val="00DC6A30"/>
    <w:rsid w:val="00DD2680"/>
    <w:rsid w:val="00DD4AFA"/>
    <w:rsid w:val="00DE48CC"/>
    <w:rsid w:val="00DE79FB"/>
    <w:rsid w:val="00DF0B72"/>
    <w:rsid w:val="00DF47EF"/>
    <w:rsid w:val="00E16B68"/>
    <w:rsid w:val="00E17AC4"/>
    <w:rsid w:val="00E2014F"/>
    <w:rsid w:val="00E2335A"/>
    <w:rsid w:val="00E3178E"/>
    <w:rsid w:val="00E318F7"/>
    <w:rsid w:val="00E33403"/>
    <w:rsid w:val="00E34780"/>
    <w:rsid w:val="00E37A10"/>
    <w:rsid w:val="00E41604"/>
    <w:rsid w:val="00E550DE"/>
    <w:rsid w:val="00E60EF2"/>
    <w:rsid w:val="00E63E02"/>
    <w:rsid w:val="00E64DC2"/>
    <w:rsid w:val="00E67250"/>
    <w:rsid w:val="00E70FA5"/>
    <w:rsid w:val="00E72E10"/>
    <w:rsid w:val="00E922B0"/>
    <w:rsid w:val="00E97968"/>
    <w:rsid w:val="00EA0436"/>
    <w:rsid w:val="00EA5C5D"/>
    <w:rsid w:val="00EB0B86"/>
    <w:rsid w:val="00EB4834"/>
    <w:rsid w:val="00EB71AB"/>
    <w:rsid w:val="00EB77D6"/>
    <w:rsid w:val="00EC030D"/>
    <w:rsid w:val="00EC1EB7"/>
    <w:rsid w:val="00EC2764"/>
    <w:rsid w:val="00ED0CD0"/>
    <w:rsid w:val="00EE6E56"/>
    <w:rsid w:val="00EF29E7"/>
    <w:rsid w:val="00EF5866"/>
    <w:rsid w:val="00EF6797"/>
    <w:rsid w:val="00F046EA"/>
    <w:rsid w:val="00F079FB"/>
    <w:rsid w:val="00F14693"/>
    <w:rsid w:val="00F1708C"/>
    <w:rsid w:val="00F21AC4"/>
    <w:rsid w:val="00F231D0"/>
    <w:rsid w:val="00F3366F"/>
    <w:rsid w:val="00F3507A"/>
    <w:rsid w:val="00F353FE"/>
    <w:rsid w:val="00F40491"/>
    <w:rsid w:val="00F40955"/>
    <w:rsid w:val="00F434EA"/>
    <w:rsid w:val="00F477F1"/>
    <w:rsid w:val="00F54A82"/>
    <w:rsid w:val="00F661BA"/>
    <w:rsid w:val="00F742C1"/>
    <w:rsid w:val="00F96288"/>
    <w:rsid w:val="00FB14F4"/>
    <w:rsid w:val="00FB4BAF"/>
    <w:rsid w:val="00FB5112"/>
    <w:rsid w:val="00FB604E"/>
    <w:rsid w:val="00FB6888"/>
    <w:rsid w:val="00FB78D3"/>
    <w:rsid w:val="00FC267D"/>
    <w:rsid w:val="00FC32D9"/>
    <w:rsid w:val="00FC7543"/>
    <w:rsid w:val="00FE7463"/>
    <w:rsid w:val="00FE7E6F"/>
    <w:rsid w:val="00FF3D54"/>
    <w:rsid w:val="00F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9797"/>
  <w15:chartTrackingRefBased/>
  <w15:docId w15:val="{7B35EFB0-A8C7-4408-85DD-2542AC0C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6"/>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FB78D3"/>
    <w:pPr>
      <w:keepNext/>
      <w:keepLines/>
      <w:spacing w:before="360" w:after="80"/>
      <w:outlineLvl w:val="0"/>
    </w:pPr>
    <w:rPr>
      <w:rFonts w:ascii="Arial" w:eastAsiaTheme="majorEastAsia" w:hAnsi="Arial" w:cstheme="majorBidi"/>
      <w:b/>
      <w:caps/>
      <w:sz w:val="32"/>
      <w:szCs w:val="40"/>
    </w:rPr>
  </w:style>
  <w:style w:type="paragraph" w:styleId="Heading2">
    <w:name w:val="heading 2"/>
    <w:basedOn w:val="Normal"/>
    <w:next w:val="Normal"/>
    <w:link w:val="Heading2Char"/>
    <w:uiPriority w:val="9"/>
    <w:unhideWhenUsed/>
    <w:qFormat/>
    <w:rsid w:val="008C643E"/>
    <w:pPr>
      <w:keepNext/>
      <w:keepLines/>
      <w:spacing w:before="160" w:after="80"/>
      <w:outlineLvl w:val="1"/>
    </w:pPr>
    <w:rPr>
      <w:rFonts w:ascii="Arial" w:eastAsiaTheme="majorEastAsia" w:hAnsi="Arial" w:cstheme="majorBidi"/>
      <w:b/>
      <w:i/>
      <w:szCs w:val="32"/>
      <w:u w:val="single"/>
    </w:rPr>
  </w:style>
  <w:style w:type="paragraph" w:styleId="Heading3">
    <w:name w:val="heading 3"/>
    <w:basedOn w:val="Normal"/>
    <w:next w:val="Normal"/>
    <w:link w:val="Heading3Char"/>
    <w:uiPriority w:val="9"/>
    <w:semiHidden/>
    <w:unhideWhenUsed/>
    <w:qFormat/>
    <w:rsid w:val="000A728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A728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A728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A72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72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72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72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D3"/>
    <w:rPr>
      <w:rFonts w:ascii="Arial" w:eastAsiaTheme="majorEastAsia" w:hAnsi="Arial" w:cstheme="majorBidi"/>
      <w:b/>
      <w:caps/>
      <w:kern w:val="0"/>
      <w:sz w:val="32"/>
      <w:szCs w:val="40"/>
    </w:rPr>
  </w:style>
  <w:style w:type="character" w:customStyle="1" w:styleId="Heading2Char">
    <w:name w:val="Heading 2 Char"/>
    <w:basedOn w:val="DefaultParagraphFont"/>
    <w:link w:val="Heading2"/>
    <w:uiPriority w:val="9"/>
    <w:rsid w:val="008C643E"/>
    <w:rPr>
      <w:rFonts w:ascii="Arial" w:eastAsiaTheme="majorEastAsia" w:hAnsi="Arial" w:cstheme="majorBidi"/>
      <w:b/>
      <w:i/>
      <w:kern w:val="0"/>
      <w:szCs w:val="32"/>
      <w:u w:val="single"/>
    </w:rPr>
  </w:style>
  <w:style w:type="character" w:customStyle="1" w:styleId="Heading3Char">
    <w:name w:val="Heading 3 Char"/>
    <w:basedOn w:val="DefaultParagraphFont"/>
    <w:link w:val="Heading3"/>
    <w:uiPriority w:val="9"/>
    <w:semiHidden/>
    <w:rsid w:val="000A728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A728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A728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A72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72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72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7286"/>
    <w:rPr>
      <w:rFonts w:eastAsiaTheme="majorEastAsia" w:cstheme="majorBidi"/>
      <w:color w:val="272727" w:themeColor="text1" w:themeTint="D8"/>
    </w:rPr>
  </w:style>
  <w:style w:type="paragraph" w:styleId="Title">
    <w:name w:val="Title"/>
    <w:basedOn w:val="Normal"/>
    <w:next w:val="Normal"/>
    <w:link w:val="TitleChar"/>
    <w:uiPriority w:val="10"/>
    <w:qFormat/>
    <w:rsid w:val="000A72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2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72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72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7286"/>
    <w:pPr>
      <w:spacing w:before="160"/>
      <w:jc w:val="center"/>
    </w:pPr>
    <w:rPr>
      <w:i/>
      <w:iCs/>
      <w:color w:val="404040" w:themeColor="text1" w:themeTint="BF"/>
    </w:rPr>
  </w:style>
  <w:style w:type="character" w:customStyle="1" w:styleId="QuoteChar">
    <w:name w:val="Quote Char"/>
    <w:basedOn w:val="DefaultParagraphFont"/>
    <w:link w:val="Quote"/>
    <w:uiPriority w:val="29"/>
    <w:rsid w:val="000A7286"/>
    <w:rPr>
      <w:i/>
      <w:iCs/>
      <w:color w:val="404040" w:themeColor="text1" w:themeTint="BF"/>
    </w:rPr>
  </w:style>
  <w:style w:type="paragraph" w:styleId="ListParagraph">
    <w:name w:val="List Paragraph"/>
    <w:basedOn w:val="Normal"/>
    <w:uiPriority w:val="34"/>
    <w:qFormat/>
    <w:rsid w:val="000A7286"/>
    <w:pPr>
      <w:ind w:left="720"/>
      <w:contextualSpacing/>
    </w:pPr>
  </w:style>
  <w:style w:type="character" w:styleId="IntenseEmphasis">
    <w:name w:val="Intense Emphasis"/>
    <w:basedOn w:val="DefaultParagraphFont"/>
    <w:uiPriority w:val="21"/>
    <w:qFormat/>
    <w:rsid w:val="000A7286"/>
    <w:rPr>
      <w:i/>
      <w:iCs/>
      <w:color w:val="2F5496" w:themeColor="accent1" w:themeShade="BF"/>
    </w:rPr>
  </w:style>
  <w:style w:type="paragraph" w:styleId="IntenseQuote">
    <w:name w:val="Intense Quote"/>
    <w:basedOn w:val="Normal"/>
    <w:next w:val="Normal"/>
    <w:link w:val="IntenseQuoteChar"/>
    <w:uiPriority w:val="30"/>
    <w:qFormat/>
    <w:rsid w:val="000A728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A7286"/>
    <w:rPr>
      <w:i/>
      <w:iCs/>
      <w:color w:val="2F5496" w:themeColor="accent1" w:themeShade="BF"/>
    </w:rPr>
  </w:style>
  <w:style w:type="character" w:styleId="IntenseReference">
    <w:name w:val="Intense Reference"/>
    <w:basedOn w:val="DefaultParagraphFont"/>
    <w:uiPriority w:val="32"/>
    <w:qFormat/>
    <w:rsid w:val="000A7286"/>
    <w:rPr>
      <w:b/>
      <w:bCs/>
      <w:smallCaps/>
      <w:color w:val="2F5496" w:themeColor="accent1" w:themeShade="BF"/>
      <w:spacing w:val="5"/>
    </w:rPr>
  </w:style>
  <w:style w:type="paragraph" w:styleId="TOC1">
    <w:name w:val="toc 1"/>
    <w:basedOn w:val="Normal"/>
    <w:next w:val="Normal"/>
    <w:autoRedefine/>
    <w:uiPriority w:val="39"/>
    <w:unhideWhenUsed/>
    <w:rsid w:val="000A7286"/>
    <w:pPr>
      <w:spacing w:after="100"/>
    </w:pPr>
  </w:style>
  <w:style w:type="character" w:styleId="Hyperlink">
    <w:name w:val="Hyperlink"/>
    <w:basedOn w:val="DefaultParagraphFont"/>
    <w:uiPriority w:val="99"/>
    <w:unhideWhenUsed/>
    <w:rsid w:val="000A7286"/>
    <w:rPr>
      <w:color w:val="0563C1" w:themeColor="hyperlink"/>
      <w:u w:val="single"/>
    </w:rPr>
  </w:style>
  <w:style w:type="paragraph" w:styleId="TOC2">
    <w:name w:val="toc 2"/>
    <w:basedOn w:val="Normal"/>
    <w:next w:val="Normal"/>
    <w:autoRedefine/>
    <w:uiPriority w:val="39"/>
    <w:unhideWhenUsed/>
    <w:rsid w:val="0060673A"/>
    <w:pPr>
      <w:tabs>
        <w:tab w:val="left" w:pos="450"/>
        <w:tab w:val="right" w:leader="dot" w:pos="9350"/>
      </w:tabs>
      <w:spacing w:after="100"/>
      <w:ind w:left="220"/>
    </w:pPr>
  </w:style>
  <w:style w:type="paragraph" w:styleId="FootnoteText">
    <w:name w:val="footnote text"/>
    <w:basedOn w:val="Normal"/>
    <w:link w:val="FootnoteTextChar"/>
    <w:uiPriority w:val="99"/>
    <w:semiHidden/>
    <w:unhideWhenUsed/>
    <w:rsid w:val="000A7286"/>
    <w:rPr>
      <w:sz w:val="20"/>
      <w:szCs w:val="20"/>
    </w:rPr>
  </w:style>
  <w:style w:type="character" w:customStyle="1" w:styleId="FootnoteTextChar">
    <w:name w:val="Footnote Text Char"/>
    <w:basedOn w:val="DefaultParagraphFont"/>
    <w:link w:val="FootnoteText"/>
    <w:uiPriority w:val="99"/>
    <w:semiHidden/>
    <w:rsid w:val="000A7286"/>
    <w:rPr>
      <w:rFonts w:ascii="Calibri" w:hAnsi="Calibri" w:cs="Calibri"/>
      <w:kern w:val="0"/>
      <w:sz w:val="20"/>
      <w:szCs w:val="20"/>
    </w:rPr>
  </w:style>
  <w:style w:type="character" w:styleId="FootnoteReference">
    <w:name w:val="footnote reference"/>
    <w:basedOn w:val="DefaultParagraphFont"/>
    <w:uiPriority w:val="99"/>
    <w:semiHidden/>
    <w:unhideWhenUsed/>
    <w:rsid w:val="000A7286"/>
    <w:rPr>
      <w:vertAlign w:val="superscript"/>
    </w:rPr>
  </w:style>
  <w:style w:type="character" w:customStyle="1" w:styleId="cohidesearchterm">
    <w:name w:val="co_hidesearchterm"/>
    <w:basedOn w:val="DefaultParagraphFont"/>
    <w:rsid w:val="000A7286"/>
  </w:style>
  <w:style w:type="character" w:styleId="Emphasis">
    <w:name w:val="Emphasis"/>
    <w:basedOn w:val="DefaultParagraphFont"/>
    <w:uiPriority w:val="20"/>
    <w:qFormat/>
    <w:rsid w:val="000A7286"/>
    <w:rPr>
      <w:i/>
      <w:iCs/>
    </w:rPr>
  </w:style>
  <w:style w:type="character" w:customStyle="1" w:styleId="icon25">
    <w:name w:val="icon25"/>
    <w:basedOn w:val="DefaultParagraphFont"/>
    <w:rsid w:val="000A7286"/>
  </w:style>
  <w:style w:type="character" w:customStyle="1" w:styleId="coglossaryterm">
    <w:name w:val="co_glossaryterm"/>
    <w:basedOn w:val="DefaultParagraphFont"/>
    <w:rsid w:val="000A7286"/>
  </w:style>
  <w:style w:type="character" w:customStyle="1" w:styleId="coplaceholderlink">
    <w:name w:val="co_placeholderlink"/>
    <w:basedOn w:val="DefaultParagraphFont"/>
    <w:rsid w:val="000A7286"/>
  </w:style>
  <w:style w:type="paragraph" w:styleId="NormalWeb">
    <w:name w:val="Normal (Web)"/>
    <w:basedOn w:val="Normal"/>
    <w:uiPriority w:val="99"/>
    <w:semiHidden/>
    <w:unhideWhenUsed/>
    <w:rsid w:val="000A728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7286"/>
    <w:rPr>
      <w:color w:val="954F72" w:themeColor="followedHyperlink"/>
      <w:u w:val="single"/>
    </w:rPr>
  </w:style>
  <w:style w:type="paragraph" w:styleId="Header">
    <w:name w:val="header"/>
    <w:basedOn w:val="Normal"/>
    <w:link w:val="HeaderChar"/>
    <w:uiPriority w:val="99"/>
    <w:unhideWhenUsed/>
    <w:rsid w:val="00700EBA"/>
    <w:pPr>
      <w:tabs>
        <w:tab w:val="center" w:pos="4680"/>
        <w:tab w:val="right" w:pos="9360"/>
      </w:tabs>
    </w:pPr>
  </w:style>
  <w:style w:type="character" w:customStyle="1" w:styleId="HeaderChar">
    <w:name w:val="Header Char"/>
    <w:basedOn w:val="DefaultParagraphFont"/>
    <w:link w:val="Header"/>
    <w:uiPriority w:val="99"/>
    <w:rsid w:val="00700EBA"/>
    <w:rPr>
      <w:rFonts w:ascii="Calibri" w:hAnsi="Calibri" w:cs="Calibri"/>
      <w:kern w:val="0"/>
    </w:rPr>
  </w:style>
  <w:style w:type="paragraph" w:styleId="Footer">
    <w:name w:val="footer"/>
    <w:basedOn w:val="Normal"/>
    <w:link w:val="FooterChar"/>
    <w:uiPriority w:val="99"/>
    <w:unhideWhenUsed/>
    <w:rsid w:val="00700EBA"/>
    <w:pPr>
      <w:tabs>
        <w:tab w:val="center" w:pos="4680"/>
        <w:tab w:val="right" w:pos="9360"/>
      </w:tabs>
    </w:pPr>
  </w:style>
  <w:style w:type="character" w:customStyle="1" w:styleId="FooterChar">
    <w:name w:val="Footer Char"/>
    <w:basedOn w:val="DefaultParagraphFont"/>
    <w:link w:val="Footer"/>
    <w:uiPriority w:val="99"/>
    <w:rsid w:val="00700EBA"/>
    <w:rPr>
      <w:rFonts w:ascii="Calibri" w:hAnsi="Calibri" w:cs="Calibri"/>
      <w:kern w:val="0"/>
    </w:rPr>
  </w:style>
  <w:style w:type="character" w:customStyle="1" w:styleId="user-highlighted-active">
    <w:name w:val="user-highlighted-active"/>
    <w:basedOn w:val="DefaultParagraphFont"/>
    <w:rsid w:val="00C1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2392">
      <w:bodyDiv w:val="1"/>
      <w:marLeft w:val="0"/>
      <w:marRight w:val="0"/>
      <w:marTop w:val="0"/>
      <w:marBottom w:val="0"/>
      <w:divBdr>
        <w:top w:val="none" w:sz="0" w:space="0" w:color="auto"/>
        <w:left w:val="none" w:sz="0" w:space="0" w:color="auto"/>
        <w:bottom w:val="none" w:sz="0" w:space="0" w:color="auto"/>
        <w:right w:val="none" w:sz="0" w:space="0" w:color="auto"/>
      </w:divBdr>
    </w:div>
    <w:div w:id="115567795">
      <w:bodyDiv w:val="1"/>
      <w:marLeft w:val="0"/>
      <w:marRight w:val="0"/>
      <w:marTop w:val="0"/>
      <w:marBottom w:val="0"/>
      <w:divBdr>
        <w:top w:val="none" w:sz="0" w:space="0" w:color="auto"/>
        <w:left w:val="none" w:sz="0" w:space="0" w:color="auto"/>
        <w:bottom w:val="none" w:sz="0" w:space="0" w:color="auto"/>
        <w:right w:val="none" w:sz="0" w:space="0" w:color="auto"/>
      </w:divBdr>
    </w:div>
    <w:div w:id="386804066">
      <w:bodyDiv w:val="1"/>
      <w:marLeft w:val="0"/>
      <w:marRight w:val="0"/>
      <w:marTop w:val="0"/>
      <w:marBottom w:val="0"/>
      <w:divBdr>
        <w:top w:val="none" w:sz="0" w:space="0" w:color="auto"/>
        <w:left w:val="none" w:sz="0" w:space="0" w:color="auto"/>
        <w:bottom w:val="none" w:sz="0" w:space="0" w:color="auto"/>
        <w:right w:val="none" w:sz="0" w:space="0" w:color="auto"/>
      </w:divBdr>
    </w:div>
    <w:div w:id="599337024">
      <w:bodyDiv w:val="1"/>
      <w:marLeft w:val="0"/>
      <w:marRight w:val="0"/>
      <w:marTop w:val="0"/>
      <w:marBottom w:val="0"/>
      <w:divBdr>
        <w:top w:val="none" w:sz="0" w:space="0" w:color="auto"/>
        <w:left w:val="none" w:sz="0" w:space="0" w:color="auto"/>
        <w:bottom w:val="none" w:sz="0" w:space="0" w:color="auto"/>
        <w:right w:val="none" w:sz="0" w:space="0" w:color="auto"/>
      </w:divBdr>
    </w:div>
    <w:div w:id="1047490166">
      <w:bodyDiv w:val="1"/>
      <w:marLeft w:val="0"/>
      <w:marRight w:val="0"/>
      <w:marTop w:val="0"/>
      <w:marBottom w:val="0"/>
      <w:divBdr>
        <w:top w:val="none" w:sz="0" w:space="0" w:color="auto"/>
        <w:left w:val="none" w:sz="0" w:space="0" w:color="auto"/>
        <w:bottom w:val="none" w:sz="0" w:space="0" w:color="auto"/>
        <w:right w:val="none" w:sz="0" w:space="0" w:color="auto"/>
      </w:divBdr>
    </w:div>
    <w:div w:id="1069613387">
      <w:bodyDiv w:val="1"/>
      <w:marLeft w:val="0"/>
      <w:marRight w:val="0"/>
      <w:marTop w:val="0"/>
      <w:marBottom w:val="0"/>
      <w:divBdr>
        <w:top w:val="none" w:sz="0" w:space="0" w:color="auto"/>
        <w:left w:val="none" w:sz="0" w:space="0" w:color="auto"/>
        <w:bottom w:val="none" w:sz="0" w:space="0" w:color="auto"/>
        <w:right w:val="none" w:sz="0" w:space="0" w:color="auto"/>
      </w:divBdr>
    </w:div>
    <w:div w:id="1366061959">
      <w:bodyDiv w:val="1"/>
      <w:marLeft w:val="0"/>
      <w:marRight w:val="0"/>
      <w:marTop w:val="0"/>
      <w:marBottom w:val="0"/>
      <w:divBdr>
        <w:top w:val="none" w:sz="0" w:space="0" w:color="auto"/>
        <w:left w:val="none" w:sz="0" w:space="0" w:color="auto"/>
        <w:bottom w:val="none" w:sz="0" w:space="0" w:color="auto"/>
        <w:right w:val="none" w:sz="0" w:space="0" w:color="auto"/>
      </w:divBdr>
    </w:div>
    <w:div w:id="1402170777">
      <w:bodyDiv w:val="1"/>
      <w:marLeft w:val="0"/>
      <w:marRight w:val="0"/>
      <w:marTop w:val="0"/>
      <w:marBottom w:val="0"/>
      <w:divBdr>
        <w:top w:val="none" w:sz="0" w:space="0" w:color="auto"/>
        <w:left w:val="none" w:sz="0" w:space="0" w:color="auto"/>
        <w:bottom w:val="none" w:sz="0" w:space="0" w:color="auto"/>
        <w:right w:val="none" w:sz="0" w:space="0" w:color="auto"/>
      </w:divBdr>
    </w:div>
    <w:div w:id="1402750475">
      <w:bodyDiv w:val="1"/>
      <w:marLeft w:val="0"/>
      <w:marRight w:val="0"/>
      <w:marTop w:val="0"/>
      <w:marBottom w:val="0"/>
      <w:divBdr>
        <w:top w:val="none" w:sz="0" w:space="0" w:color="auto"/>
        <w:left w:val="none" w:sz="0" w:space="0" w:color="auto"/>
        <w:bottom w:val="none" w:sz="0" w:space="0" w:color="auto"/>
        <w:right w:val="none" w:sz="0" w:space="0" w:color="auto"/>
      </w:divBdr>
    </w:div>
    <w:div w:id="1566987710">
      <w:bodyDiv w:val="1"/>
      <w:marLeft w:val="0"/>
      <w:marRight w:val="0"/>
      <w:marTop w:val="0"/>
      <w:marBottom w:val="0"/>
      <w:divBdr>
        <w:top w:val="none" w:sz="0" w:space="0" w:color="auto"/>
        <w:left w:val="none" w:sz="0" w:space="0" w:color="auto"/>
        <w:bottom w:val="none" w:sz="0" w:space="0" w:color="auto"/>
        <w:right w:val="none" w:sz="0" w:space="0" w:color="auto"/>
      </w:divBdr>
      <w:divsChild>
        <w:div w:id="886378994">
          <w:marLeft w:val="0"/>
          <w:marRight w:val="0"/>
          <w:marTop w:val="0"/>
          <w:marBottom w:val="0"/>
          <w:divBdr>
            <w:top w:val="none" w:sz="0" w:space="0" w:color="auto"/>
            <w:left w:val="none" w:sz="0" w:space="0" w:color="auto"/>
            <w:bottom w:val="none" w:sz="0" w:space="0" w:color="auto"/>
            <w:right w:val="none" w:sz="0" w:space="0" w:color="auto"/>
          </w:divBdr>
          <w:divsChild>
            <w:div w:id="1543055584">
              <w:marLeft w:val="0"/>
              <w:marRight w:val="0"/>
              <w:marTop w:val="0"/>
              <w:marBottom w:val="0"/>
              <w:divBdr>
                <w:top w:val="none" w:sz="0" w:space="0" w:color="auto"/>
                <w:left w:val="none" w:sz="0" w:space="0" w:color="auto"/>
                <w:bottom w:val="none" w:sz="0" w:space="0" w:color="auto"/>
                <w:right w:val="none" w:sz="0" w:space="0" w:color="auto"/>
              </w:divBdr>
            </w:div>
          </w:divsChild>
        </w:div>
        <w:div w:id="1527140510">
          <w:marLeft w:val="0"/>
          <w:marRight w:val="0"/>
          <w:marTop w:val="0"/>
          <w:marBottom w:val="0"/>
          <w:divBdr>
            <w:top w:val="none" w:sz="0" w:space="0" w:color="auto"/>
            <w:left w:val="none" w:sz="0" w:space="0" w:color="auto"/>
            <w:bottom w:val="none" w:sz="0" w:space="0" w:color="auto"/>
            <w:right w:val="none" w:sz="0" w:space="0" w:color="auto"/>
          </w:divBdr>
          <w:divsChild>
            <w:div w:id="172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959">
      <w:bodyDiv w:val="1"/>
      <w:marLeft w:val="0"/>
      <w:marRight w:val="0"/>
      <w:marTop w:val="0"/>
      <w:marBottom w:val="0"/>
      <w:divBdr>
        <w:top w:val="none" w:sz="0" w:space="0" w:color="auto"/>
        <w:left w:val="none" w:sz="0" w:space="0" w:color="auto"/>
        <w:bottom w:val="none" w:sz="0" w:space="0" w:color="auto"/>
        <w:right w:val="none" w:sz="0" w:space="0" w:color="auto"/>
      </w:divBdr>
    </w:div>
    <w:div w:id="17483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54470950E42711DA8FC2A0F0355337E9/View/FullText.html?navigationPath=Search%2Fv1%2Fresults%2Fnavigation%2Fi0ad62af00000018e483c4ecc9b5ac21e%3Fppcid%3D3004e0eff79b488f91a795e4be3fbd5a%26Nav%3DRESEARCH_COMBINED_WLUK%26fragmentIdentifier%3DI5446BB30E42711DA8FC2A0F0355337E9%26parentRank%3D0%26startIndex%3D1%26contextData%3D%2528sc.Search%2529%26transitionType%3DSearchItem&amp;listSource=Search&amp;listPageSource=fbf23494f01732399fbbc12f9e5edf23&amp;list=RESEARCH_COMBINED_WLUK&amp;rank=12&amp;sessionScopeId=e7a513e2a6f3f17075d7a3f117bfe45b624aafa7e10756909d48b35a5d26dd39&amp;ppcid=3004e0eff79b488f91a795e4be3fbd5a&amp;originationContext=Search%20Result&amp;transitionType=SearchItem&amp;contextData=%28sc.Search%29" TargetMode="External"/><Relationship Id="rId13" Type="http://schemas.openxmlformats.org/officeDocument/2006/relationships/hyperlink" Target="https://uk.westlaw.com/Document/IEA42C7D0173A11DD93A0C12E1F02CB89/View/FullText.html?navigationPath=Search%2Fv1%2Fresults%2Fnavigation%2Fi0ad62af00000018e483c4ecc9b5ac21e%3Fppcid%3D3004e0eff79b488f91a795e4be3fbd5a%26Nav%3DRESEARCH_COMBINED_WLUK%26fragmentIdentifier%3DI0C1BA6E006BC11DD9648D6D9C2D79D32%26parentRank%3D0%26startIndex%3D1%26contextData%3D%2528sc.Search%2529%26transitionType%3DSearchItem&amp;listSource=Search&amp;listPageSource=fbf23494f01732399fbbc12f9e5edf23&amp;list=RESEARCH_COMBINED_WLUK&amp;rank=10&amp;sessionScopeId=e7a513e2a6f3f17075d7a3f117bfe45b624aafa7e10756909d48b35a5d26dd39&amp;ppcid=3004e0eff79b488f91a795e4be3fbd5a&amp;originationContext=Search%20Result&amp;transitionType=SearchItem&amp;contextData=(sc.Search)&amp;comp=wluk" TargetMode="External"/><Relationship Id="rId18" Type="http://schemas.openxmlformats.org/officeDocument/2006/relationships/hyperlink" Target="https://uk.westlaw.com/Document/I2142FAD0172611E2B192B2541B1B1573/View/FullText.html?navigationPath=Search%2Fv1%2Fresults%2Fnavigation%2Fi0ad62af00000018e483c4ecc9b5ac21e%3Fppcid%3D3004e0eff79b488f91a795e4be3fbd5a%26Nav%3DRESEARCH_COMBINED_WLUK%26fragmentIdentifier%3DI00153DD0462211E1BBADBFFAB830B8B2%26parentRank%3D0%26startIndex%3D1%26contextData%3D%2528sc.Search%2529%26transitionType%3DSearchItem&amp;listSource=Search&amp;listPageSource=fbf23494f01732399fbbc12f9e5edf23&amp;list=RESEARCH_COMBINED_WLUK&amp;rank=6&amp;sessionScopeId=e7a513e2a6f3f17075d7a3f117bfe45b624aafa7e10756909d48b35a5d26dd39&amp;ppcid=3004e0eff79b488f91a795e4be3fbd5a&amp;originationContext=Search%20Result&amp;transitionType=SearchItem&amp;contextData=%28sc.Search%29"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k.westlaw.com/Document/I5446BB30E42711DA8FC2A0F0355337E9/View/FullText.html?navigationPath=Search%2Fv1%2Fresults%2Fnavigation%2Fi0ad62af00000018e483c4ecc9b5ac21e%3Fppcid%3D3004e0eff79b488f91a795e4be3fbd5a%26Nav%3DRESEARCH_COMBINED_WLUK%26fragmentIdentifier%3DI5446BB30E42711DA8FC2A0F0355337E9%26parentRank%3D0%26startIndex%3D1%26contextData%3D%2528sc.Search%2529%26transitionType%3DSearchItem&amp;listSource=Search&amp;listPageSource=fbf23494f01732399fbbc12f9e5edf23&amp;list=RESEARCH_COMBINED_WLUK&amp;rank=12&amp;sessionScopeId=e7a513e2a6f3f17075d7a3f117bfe45b624aafa7e10756909d48b35a5d26dd39&amp;ppcid=3004e0eff79b488f91a795e4be3fbd5a&amp;originationContext=Search%20Result&amp;transitionType=SearchItem&amp;contextData=(sc.Search)&amp;comp=wluk" TargetMode="External"/><Relationship Id="rId12" Type="http://schemas.openxmlformats.org/officeDocument/2006/relationships/hyperlink" Target="https://uk.westlaw.com/Document/I0C1BA6E006BC11DD9648D6D9C2D79D32/View/FullText.html?navigationPath=Search%2Fv1%2Fresults%2Fnavigation%2Fi0ad62af00000018e483c4ecc9b5ac21e%3Fppcid%3D3004e0eff79b488f91a795e4be3fbd5a%26Nav%3DRESEARCH_COMBINED_WLUK%26fragmentIdentifier%3DI0C1BA6E006BC11DD9648D6D9C2D79D32%26parentRank%3D0%26startIndex%3D1%26contextData%3D%2528sc.Search%2529%26transitionType%3DSearchItem&amp;listSource=Search&amp;listPageSource=fbf23494f01732399fbbc12f9e5edf23&amp;list=RESEARCH_COMBINED_WLUK&amp;rank=10&amp;sessionScopeId=e7a513e2a6f3f17075d7a3f117bfe45b624aafa7e10756909d48b35a5d26dd39&amp;ppcid=3004e0eff79b488f91a795e4be3fbd5a&amp;originationContext=Search%20Result&amp;transitionType=SearchItem&amp;contextData=%28sc.Search%29" TargetMode="External"/><Relationship Id="rId17" Type="http://schemas.openxmlformats.org/officeDocument/2006/relationships/hyperlink" Target="https://uk.westlaw.com/Document/I00153DD0462211E1BBADBFFAB830B8B2/View/FullText.html?navigationPath=Search%2Fv1%2Fresults%2Fnavigation%2Fi0ad62af00000018e483c4ecc9b5ac21e%3Fppcid%3D3004e0eff79b488f91a795e4be3fbd5a%26Nav%3DRESEARCH_COMBINED_WLUK%26fragmentIdentifier%3DI00153DD0462211E1BBADBFFAB830B8B2%26parentRank%3D0%26startIndex%3D1%26contextData%3D%2528sc.Search%2529%26transitionType%3DSearchItem&amp;listSource=Search&amp;listPageSource=fbf23494f01732399fbbc12f9e5edf23&amp;list=RESEARCH_COMBINED_WLUK&amp;rank=6&amp;sessionScopeId=e7a513e2a6f3f17075d7a3f117bfe45b624aafa7e10756909d48b35a5d26dd39&amp;ppcid=3004e0eff79b488f91a795e4be3fbd5a&amp;originationContext=Search%20Result&amp;transitionType=SearchItem&amp;contextData=%28sc.Search%2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k.westlaw.com/Document/I01D9D0B01E3811E2BFA6A8332BD758D7/View/FullText.html?navigationPath=Search%2Fv1%2Fresults%2Fnavigation%2Fi0ad62af00000018e483c4ecc9b5ac21e%3Fppcid%3D3004e0eff79b488f91a795e4be3fbd5a%26Nav%3DRESEARCH_COMBINED_WLUK%26fragmentIdentifier%3DI01D9D0B01E3811E2BFA6A8332BD758D7%26parentRank%3D0%26startIndex%3D1%26contextData%3D%2528sc.Search%2529%26transitionType%3DSearchItem&amp;listSource=Search&amp;listPageSource=fbf23494f01732399fbbc12f9e5edf23&amp;list=RESEARCH_COMBINED_WLUK&amp;rank=5&amp;sessionScopeId=e7a513e2a6f3f17075d7a3f117bfe45b624aafa7e10756909d48b35a5d26dd39&amp;ppcid=3004e0eff79b488f91a795e4be3fbd5a&amp;originationContext=Search%20Result&amp;transitionType=SearchItem&amp;contextData=%28sc.Search%29" TargetMode="External"/><Relationship Id="rId20" Type="http://schemas.openxmlformats.org/officeDocument/2006/relationships/hyperlink" Target="https://uk.westlaw.com/Document/IB051B320E42811DA8FC2A0F0355337E9/View/FullText.html?navigationPath=Search%2Fv1%2Fresults%2Fnavigation%2Fi0ad62af00000018e483c4ecc9b5ac21e%3Fppcid%3D3004e0eff79b488f91a795e4be3fbd5a%26Nav%3DRESEARCH_COMBINED_WLUK%26fragmentIdentifier%3DIB0518C10E42811DA8FC2A0F0355337E9%26parentRank%3D0%26startIndex%3D1%26contextData%3D%2528sc.Search%2529%26transitionType%3DSearchItem&amp;listSource=Search&amp;listPageSource=fbf23494f01732399fbbc12f9e5edf23&amp;list=RESEARCH_COMBINED_WLUK&amp;rank=14&amp;sessionScopeId=e7a513e2a6f3f17075d7a3f117bfe45b624aafa7e10756909d48b35a5d26dd39&amp;ppcid=3004e0eff79b488f91a795e4be3fbd5a&amp;originationContext=Search%20Result&amp;transitionType=SearchItem&amp;contextData=%28sc.Search%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estlaw.com/Document/I10CE7D50FA9511DA9D7CC210083E0BB2/View/FullText.html?navigationPath=Search%2Fv1%2Fresults%2Fnavigation%2Fi0ad62af00000018e483c4ecc9b5ac21e%3Fppcid%3D3004e0eff79b488f91a795e4be3fbd5a%26Nav%3DRESEARCH_COMBINED_WLUK%26fragmentIdentifier%3DI10CE7D50FA9511DA9D7CC210083E0BB2%26parentRank%3D0%26startIndex%3D1%26contextData%3D%2528sc.Search%2529%26transitionType%3DSearchItem&amp;listSource=Search&amp;listPageSource=fbf23494f01732399fbbc12f9e5edf23&amp;list=RESEARCH_COMBINED_WLUK&amp;rank=11&amp;sessionScopeId=e7a513e2a6f3f17075d7a3f117bfe45b624aafa7e10756909d48b35a5d26dd39&amp;ppcid=3004e0eff79b488f91a795e4be3fbd5a&amp;originationContext=Search%20Result&amp;transitionType=SearchItem&amp;contextData=(sc.Search)&amp;comp=wluk"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uk.westlaw.com/Document/I1DAB1FB0D26811DF81A1BA800504861D/View/FullText.html?navigationPath=Search%2Fv1%2Fresults%2Fnavigation%2Fi0ad62af00000018e483c4ecc9b5ac21e%3Fppcid%3D3004e0eff79b488f91a795e4be3fbd5a%26Nav%3DRESEARCH_COMBINED_WLUK%26fragmentIdentifier%3DID9F374D0228511DFB0DC96FD2EC6B83D%26parentRank%3D0%26startIndex%3D1%26contextData%3D%2528sc.Search%2529%26transitionType%3DSearchItem&amp;listSource=Search&amp;listPageSource=fbf23494f01732399fbbc12f9e5edf23&amp;list=RESEARCH_COMBINED_WLUK&amp;rank=9&amp;sessionScopeId=e7a513e2a6f3f17075d7a3f117bfe45b624aafa7e10756909d48b35a5d26dd39&amp;ppcid=3004e0eff79b488f91a795e4be3fbd5a&amp;originationContext=Search%20Result&amp;transitionType=SearchItem&amp;contextData=%28sc.Search%29" TargetMode="External"/><Relationship Id="rId23" Type="http://schemas.openxmlformats.org/officeDocument/2006/relationships/theme" Target="theme/theme1.xml"/><Relationship Id="rId10" Type="http://schemas.openxmlformats.org/officeDocument/2006/relationships/hyperlink" Target="https://uk.westlaw.com/Document/IAC7D9620E42711DA8FC2A0F0355337E9/View/FullText.html?navigationPath=Search%2Fv1%2Fresults%2Fnavigation%2Fi0ad62af00000018e483c4ecc9b5ac21e%3Fppcid%3D3004e0eff79b488f91a795e4be3fbd5a%26Nav%3DRESEARCH_COMBINED_WLUK%26fragmentIdentifier%3DIAC7D9620E42711DA8FC2A0F0355337E9%26parentRank%3D0%26startIndex%3D1%26contextData%3D%2528sc.Search%2529%26transitionType%3DSearchItem&amp;listSource=Search&amp;listPageSource=fbf23494f01732399fbbc12f9e5edf23&amp;list=RESEARCH_COMBINED_WLUK&amp;rank=1&amp;sessionScopeId=e7a513e2a6f3f17075d7a3f117bfe45b624aafa7e10756909d48b35a5d26dd39&amp;ppcid=3004e0eff79b488f91a795e4be3fbd5a&amp;originationContext=Search%20Result&amp;transitionType=SearchItem&amp;contextData=%28sc.Search%29" TargetMode="External"/><Relationship Id="rId19" Type="http://schemas.openxmlformats.org/officeDocument/2006/relationships/hyperlink" Target="https://uk.westlaw.com/Document/IB0518C10E42811DA8FC2A0F0355337E9/View/FullText.html?navigationPath=Search%2Fv1%2Fresults%2Fnavigation%2Fi0ad62af00000018e483c4ecc9b5ac21e%3Fppcid%3D3004e0eff79b488f91a795e4be3fbd5a%26Nav%3DRESEARCH_COMBINED_WLUK%26fragmentIdentifier%3DIB0518C10E42811DA8FC2A0F0355337E9%26parentRank%3D0%26startIndex%3D1%26contextData%3D%2528sc.Search%2529%26transitionType%3DSearchItem&amp;listSource=Search&amp;listPageSource=fbf23494f01732399fbbc12f9e5edf23&amp;list=RESEARCH_COMBINED_WLUK&amp;rank=14&amp;sessionScopeId=e7a513e2a6f3f17075d7a3f117bfe45b624aafa7e10756909d48b35a5d26dd39&amp;ppcid=3004e0eff79b488f91a795e4be3fbd5a&amp;originationContext=Search%20Result&amp;transitionType=SearchItem&amp;contextData=(sc.Search)&amp;comp=wluk" TargetMode="External"/><Relationship Id="rId4" Type="http://schemas.openxmlformats.org/officeDocument/2006/relationships/webSettings" Target="webSettings.xml"/><Relationship Id="rId9" Type="http://schemas.openxmlformats.org/officeDocument/2006/relationships/hyperlink" Target="https://uk.westlaw.com/Document/IAC7D4801E42711DA8FC2A0F0355337E9/View/FullText.html?navigationPath=Search%2Fv1%2Fresults%2Fnavigation%2Fi0ad62af00000018e483c4ecc9b5ac21e%3Fppcid%3D3004e0eff79b488f91a795e4be3fbd5a%26Nav%3DRESEARCH_COMBINED_WLUK%26fragmentIdentifier%3DIAC7D4801E42711DA8FC2A0F0355337E9%26parentRank%3D0%26startIndex%3D1%26contextData%3D%2528sc.Search%2529%26transitionType%3DSearchItem&amp;listSource=Search&amp;listPageSource=fbf23494f01732399fbbc12f9e5edf23&amp;list=RESEARCH_COMBINED_WLUK&amp;rank=2&amp;sessionScopeId=e7a513e2a6f3f17075d7a3f117bfe45b624aafa7e10756909d48b35a5d26dd39&amp;ppcid=3004e0eff79b488f91a795e4be3fbd5a&amp;originationContext=Search%20Result&amp;transitionType=SearchItem&amp;contextData=%28sc.Search%29" TargetMode="External"/><Relationship Id="rId14" Type="http://schemas.openxmlformats.org/officeDocument/2006/relationships/hyperlink" Target="https://uk.westlaw.com/Document/ID9F374D0228511DFB0DC96FD2EC6B83D/View/FullText.html?navigationPath=Search%2Fv1%2Fresults%2Fnavigation%2Fi0ad62af00000018e483c4ecc9b5ac21e%3Fppcid%3D3004e0eff79b488f91a795e4be3fbd5a%26Nav%3DRESEARCH_COMBINED_WLUK%26fragmentIdentifier%3DID9F374D0228511DFB0DC96FD2EC6B83D%26parentRank%3D0%26startIndex%3D1%26contextData%3D%2528sc.Search%2529%26transitionType%3DSearchItem&amp;listSource=Search&amp;listPageSource=fbf23494f01732399fbbc12f9e5edf23&amp;list=RESEARCH_COMBINED_WLUK&amp;rank=9&amp;sessionScopeId=e7a513e2a6f3f17075d7a3f117bfe45b624aafa7e10756909d48b35a5d26dd39&amp;ppcid=3004e0eff79b488f91a795e4be3fbd5a&amp;originationContext=Search%20Result&amp;transitionType=SearchItem&amp;contextData=%28sc.Search%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F1FB82D9-DBC0-42C8-A22E-4A87BF1D9155}"/>
</file>

<file path=customXml/itemProps2.xml><?xml version="1.0" encoding="utf-8"?>
<ds:datastoreItem xmlns:ds="http://schemas.openxmlformats.org/officeDocument/2006/customXml" ds:itemID="{632C7D58-7815-40E5-8EE8-CB32977F82E7}"/>
</file>

<file path=customXml/itemProps3.xml><?xml version="1.0" encoding="utf-8"?>
<ds:datastoreItem xmlns:ds="http://schemas.openxmlformats.org/officeDocument/2006/customXml" ds:itemID="{96182DE6-086F-4AB1-9F2E-60AC695F214C}"/>
</file>

<file path=docProps/app.xml><?xml version="1.0" encoding="utf-8"?>
<Properties xmlns="http://schemas.openxmlformats.org/officeDocument/2006/extended-properties" xmlns:vt="http://schemas.openxmlformats.org/officeDocument/2006/docPropsVTypes">
  <Template>Normal</Template>
  <TotalTime>1</TotalTime>
  <Pages>17</Pages>
  <Words>6584</Words>
  <Characters>37535</Characters>
  <Application>Microsoft Office Word</Application>
  <DocSecurity>4</DocSecurity>
  <Lines>312</Lines>
  <Paragraphs>88</Paragraphs>
  <ScaleCrop>false</ScaleCrop>
  <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Callow</dc:creator>
  <cp:lastModifiedBy>Heather Callow</cp:lastModifiedBy>
  <cp:revision>2</cp:revision>
  <cp:lastPrinted>1900-01-01T05:00:00Z</cp:lastPrinted>
  <dcterms:created xsi:type="dcterms:W3CDTF">2024-04-23T09:38:00Z</dcterms:created>
  <dcterms:modified xsi:type="dcterms:W3CDTF">2024-04-23T09:38:00Z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