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8F532" w14:textId="77777777" w:rsidR="00B721F3" w:rsidRPr="00030BC3" w:rsidRDefault="00B721F3" w:rsidP="00B721F3">
      <w:pPr>
        <w:jc w:val="both"/>
        <w:rPr>
          <w:rFonts w:ascii="Arial" w:hAnsi="Arial" w:cs="Arial"/>
          <w:b/>
          <w:bCs/>
        </w:rPr>
      </w:pPr>
      <w:r w:rsidRPr="00030BC3">
        <w:rPr>
          <w:rFonts w:ascii="Arial" w:hAnsi="Arial" w:cs="Arial"/>
          <w:b/>
          <w:bCs/>
        </w:rPr>
        <w:t xml:space="preserve">Case Study </w:t>
      </w:r>
      <w:r>
        <w:rPr>
          <w:rFonts w:ascii="Arial" w:hAnsi="Arial" w:cs="Arial"/>
          <w:b/>
          <w:bCs/>
        </w:rPr>
        <w:t>II</w:t>
      </w:r>
      <w:r w:rsidRPr="00030BC3">
        <w:rPr>
          <w:rFonts w:ascii="Arial" w:hAnsi="Arial" w:cs="Arial"/>
          <w:b/>
          <w:bCs/>
        </w:rPr>
        <w:t xml:space="preserve">: </w:t>
      </w:r>
      <w:r>
        <w:rPr>
          <w:rFonts w:ascii="Arial" w:hAnsi="Arial" w:cs="Arial"/>
          <w:b/>
          <w:bCs/>
        </w:rPr>
        <w:t xml:space="preserve">Advice to </w:t>
      </w:r>
      <w:r w:rsidRPr="00793387">
        <w:rPr>
          <w:rFonts w:ascii="Arial" w:hAnsi="Arial" w:cs="Arial"/>
          <w:b/>
          <w:bCs/>
        </w:rPr>
        <w:t>Benedict Maximov</w:t>
      </w:r>
    </w:p>
    <w:p w14:paraId="320356E8" w14:textId="77777777" w:rsidR="00B721F3" w:rsidRDefault="00B721F3" w:rsidP="00B721F3">
      <w:pPr>
        <w:jc w:val="both"/>
        <w:rPr>
          <w:rFonts w:ascii="Arial" w:hAnsi="Arial" w:cs="Arial"/>
          <w:b/>
          <w:bCs/>
        </w:rPr>
      </w:pPr>
      <w:r w:rsidRPr="00030BC3">
        <w:rPr>
          <w:rFonts w:ascii="Arial" w:hAnsi="Arial" w:cs="Arial"/>
          <w:b/>
          <w:bCs/>
        </w:rPr>
        <w:t>Nina Mocheva</w:t>
      </w:r>
    </w:p>
    <w:p w14:paraId="4529D0A8" w14:textId="77777777" w:rsidR="00B721F3" w:rsidRDefault="00B721F3" w:rsidP="00B721F3">
      <w:pPr>
        <w:jc w:val="both"/>
        <w:rPr>
          <w:rFonts w:ascii="Arial" w:hAnsi="Arial" w:cs="Arial"/>
          <w:b/>
          <w:bCs/>
        </w:rPr>
      </w:pPr>
    </w:p>
    <w:tbl>
      <w:tblPr>
        <w:tblW w:w="9540" w:type="dxa"/>
        <w:tblInd w:w="-90" w:type="dxa"/>
        <w:tblBorders>
          <w:bottom w:val="double" w:sz="4" w:space="0" w:color="auto"/>
        </w:tblBorders>
        <w:tblLayout w:type="fixed"/>
        <w:tblCellMar>
          <w:left w:w="115" w:type="dxa"/>
          <w:bottom w:w="216" w:type="dxa"/>
          <w:right w:w="115" w:type="dxa"/>
        </w:tblCellMar>
        <w:tblLook w:val="0000" w:firstRow="0" w:lastRow="0" w:firstColumn="0" w:lastColumn="0" w:noHBand="0" w:noVBand="0"/>
      </w:tblPr>
      <w:tblGrid>
        <w:gridCol w:w="1440"/>
        <w:gridCol w:w="8100"/>
      </w:tblGrid>
      <w:tr w:rsidR="00B721F3" w:rsidRPr="00BE4787" w14:paraId="4CE7D12F" w14:textId="77777777" w:rsidTr="00DE07F0">
        <w:trPr>
          <w:cantSplit/>
        </w:trPr>
        <w:tc>
          <w:tcPr>
            <w:tcW w:w="1440" w:type="dxa"/>
            <w:tcBorders>
              <w:top w:val="nil"/>
              <w:bottom w:val="nil"/>
            </w:tcBorders>
            <w:tcMar>
              <w:left w:w="115" w:type="dxa"/>
              <w:bottom w:w="216" w:type="dxa"/>
              <w:right w:w="115" w:type="dxa"/>
            </w:tcMar>
          </w:tcPr>
          <w:p w14:paraId="703696B8" w14:textId="77777777" w:rsidR="00B721F3" w:rsidRPr="00BE4787" w:rsidRDefault="00B721F3" w:rsidP="00DE07F0">
            <w:pPr>
              <w:jc w:val="both"/>
              <w:rPr>
                <w:rFonts w:ascii="Arial" w:hAnsi="Arial" w:cs="Arial"/>
                <w:b/>
                <w:bCs/>
              </w:rPr>
            </w:pPr>
            <w:r w:rsidRPr="00BE4787">
              <w:rPr>
                <w:rFonts w:ascii="Arial" w:hAnsi="Arial" w:cs="Arial"/>
                <w:b/>
                <w:bCs/>
              </w:rPr>
              <w:t>From:</w:t>
            </w:r>
          </w:p>
        </w:tc>
        <w:tc>
          <w:tcPr>
            <w:tcW w:w="8100" w:type="dxa"/>
            <w:tcBorders>
              <w:top w:val="nil"/>
              <w:bottom w:val="nil"/>
            </w:tcBorders>
            <w:tcMar>
              <w:left w:w="115" w:type="dxa"/>
              <w:bottom w:w="216" w:type="dxa"/>
              <w:right w:w="115" w:type="dxa"/>
            </w:tcMar>
          </w:tcPr>
          <w:p w14:paraId="7940FAF0" w14:textId="77777777" w:rsidR="00B721F3" w:rsidRPr="00BE4787" w:rsidRDefault="00B721F3" w:rsidP="00DE07F0">
            <w:pPr>
              <w:jc w:val="both"/>
              <w:rPr>
                <w:rFonts w:ascii="Arial" w:hAnsi="Arial" w:cs="Arial"/>
                <w:b/>
                <w:bCs/>
              </w:rPr>
            </w:pPr>
            <w:r>
              <w:rPr>
                <w:rFonts w:ascii="Arial" w:hAnsi="Arial" w:cs="Arial"/>
                <w:b/>
                <w:bCs/>
              </w:rPr>
              <w:t>Nina Mocheva</w:t>
            </w:r>
          </w:p>
        </w:tc>
      </w:tr>
      <w:tr w:rsidR="007E089F" w:rsidRPr="00BE4787" w14:paraId="224C25A0" w14:textId="77777777" w:rsidTr="00DE07F0">
        <w:trPr>
          <w:cantSplit/>
        </w:trPr>
        <w:tc>
          <w:tcPr>
            <w:tcW w:w="1440" w:type="dxa"/>
            <w:tcBorders>
              <w:top w:val="nil"/>
              <w:bottom w:val="nil"/>
            </w:tcBorders>
            <w:tcMar>
              <w:left w:w="115" w:type="dxa"/>
              <w:bottom w:w="216" w:type="dxa"/>
              <w:right w:w="115" w:type="dxa"/>
            </w:tcMar>
          </w:tcPr>
          <w:p w14:paraId="4B03C3CE" w14:textId="2BF09BE3" w:rsidR="007E089F" w:rsidRPr="00BE4787" w:rsidRDefault="007E089F" w:rsidP="00DE07F0">
            <w:pPr>
              <w:jc w:val="both"/>
              <w:rPr>
                <w:rFonts w:ascii="Arial" w:hAnsi="Arial" w:cs="Arial"/>
                <w:b/>
                <w:bCs/>
              </w:rPr>
            </w:pPr>
            <w:r>
              <w:rPr>
                <w:rFonts w:ascii="Arial" w:hAnsi="Arial" w:cs="Arial"/>
                <w:b/>
                <w:bCs/>
              </w:rPr>
              <w:t>To:</w:t>
            </w:r>
          </w:p>
        </w:tc>
        <w:tc>
          <w:tcPr>
            <w:tcW w:w="8100" w:type="dxa"/>
            <w:tcBorders>
              <w:top w:val="nil"/>
              <w:bottom w:val="nil"/>
            </w:tcBorders>
            <w:tcMar>
              <w:left w:w="115" w:type="dxa"/>
              <w:bottom w:w="216" w:type="dxa"/>
              <w:right w:w="115" w:type="dxa"/>
            </w:tcMar>
          </w:tcPr>
          <w:p w14:paraId="6A7B9691" w14:textId="512CCC55" w:rsidR="007E089F" w:rsidRDefault="007E089F" w:rsidP="00DE07F0">
            <w:pPr>
              <w:jc w:val="both"/>
              <w:rPr>
                <w:rFonts w:ascii="Arial" w:hAnsi="Arial" w:cs="Arial"/>
                <w:b/>
                <w:bCs/>
              </w:rPr>
            </w:pPr>
            <w:proofErr w:type="spellStart"/>
            <w:r w:rsidRPr="007E089F">
              <w:rPr>
                <w:rFonts w:ascii="Arial" w:hAnsi="Arial" w:cs="Arial"/>
                <w:b/>
                <w:bCs/>
              </w:rPr>
              <w:t>Efwon</w:t>
            </w:r>
            <w:proofErr w:type="spellEnd"/>
            <w:r w:rsidRPr="007E089F">
              <w:rPr>
                <w:rFonts w:ascii="Arial" w:hAnsi="Arial" w:cs="Arial"/>
                <w:b/>
                <w:bCs/>
              </w:rPr>
              <w:t xml:space="preserve"> Group and Mr. Benedict Maximov</w:t>
            </w:r>
          </w:p>
        </w:tc>
      </w:tr>
      <w:tr w:rsidR="00B721F3" w:rsidRPr="00BE4787" w14:paraId="1EC083A9" w14:textId="77777777" w:rsidTr="00DE07F0">
        <w:trPr>
          <w:cantSplit/>
          <w:trHeight w:val="81"/>
        </w:trPr>
        <w:tc>
          <w:tcPr>
            <w:tcW w:w="1440" w:type="dxa"/>
            <w:tcBorders>
              <w:top w:val="nil"/>
              <w:bottom w:val="nil"/>
            </w:tcBorders>
            <w:tcMar>
              <w:left w:w="115" w:type="dxa"/>
              <w:bottom w:w="216" w:type="dxa"/>
              <w:right w:w="115" w:type="dxa"/>
            </w:tcMar>
          </w:tcPr>
          <w:p w14:paraId="7450C59F" w14:textId="77777777" w:rsidR="00B721F3" w:rsidRPr="00BE4787" w:rsidRDefault="00B721F3" w:rsidP="00DE07F0">
            <w:pPr>
              <w:jc w:val="both"/>
              <w:rPr>
                <w:rFonts w:ascii="Arial" w:hAnsi="Arial" w:cs="Arial"/>
                <w:b/>
                <w:bCs/>
              </w:rPr>
            </w:pPr>
            <w:r w:rsidRPr="00BE4787">
              <w:rPr>
                <w:rFonts w:ascii="Arial" w:hAnsi="Arial" w:cs="Arial"/>
                <w:b/>
                <w:bCs/>
              </w:rPr>
              <w:t>Re:</w:t>
            </w:r>
          </w:p>
        </w:tc>
        <w:tc>
          <w:tcPr>
            <w:tcW w:w="8100" w:type="dxa"/>
            <w:tcBorders>
              <w:top w:val="nil"/>
              <w:bottom w:val="nil"/>
            </w:tcBorders>
            <w:tcMar>
              <w:left w:w="115" w:type="dxa"/>
              <w:bottom w:w="216" w:type="dxa"/>
              <w:right w:w="115" w:type="dxa"/>
            </w:tcMar>
          </w:tcPr>
          <w:p w14:paraId="5EBD49AE" w14:textId="6D898B48" w:rsidR="00B721F3" w:rsidRPr="00BE4787" w:rsidRDefault="00954B80" w:rsidP="00DE07F0">
            <w:pPr>
              <w:jc w:val="both"/>
              <w:rPr>
                <w:rFonts w:ascii="Arial" w:hAnsi="Arial" w:cs="Arial"/>
                <w:b/>
                <w:bCs/>
              </w:rPr>
            </w:pPr>
            <w:r w:rsidRPr="00954B80">
              <w:rPr>
                <w:rFonts w:ascii="Arial" w:hAnsi="Arial" w:cs="Arial"/>
                <w:b/>
                <w:bCs/>
              </w:rPr>
              <w:t xml:space="preserve">Proposed Strategy for Dealing with the </w:t>
            </w:r>
            <w:proofErr w:type="spellStart"/>
            <w:r w:rsidRPr="00954B80">
              <w:rPr>
                <w:rFonts w:ascii="Arial" w:hAnsi="Arial" w:cs="Arial"/>
                <w:b/>
                <w:bCs/>
              </w:rPr>
              <w:t>Efwon</w:t>
            </w:r>
            <w:proofErr w:type="spellEnd"/>
            <w:r w:rsidRPr="00954B80">
              <w:rPr>
                <w:rFonts w:ascii="Arial" w:hAnsi="Arial" w:cs="Arial"/>
                <w:b/>
                <w:bCs/>
              </w:rPr>
              <w:t xml:space="preserve"> Group and Its Stakeholders</w:t>
            </w:r>
          </w:p>
        </w:tc>
      </w:tr>
      <w:tr w:rsidR="00B721F3" w:rsidRPr="00BE4787" w14:paraId="6CCE3D80" w14:textId="77777777" w:rsidTr="00DE07F0">
        <w:trPr>
          <w:cantSplit/>
          <w:trHeight w:val="87"/>
        </w:trPr>
        <w:tc>
          <w:tcPr>
            <w:tcW w:w="1440" w:type="dxa"/>
            <w:tcBorders>
              <w:top w:val="nil"/>
              <w:bottom w:val="single" w:sz="4" w:space="0" w:color="auto"/>
            </w:tcBorders>
            <w:tcMar>
              <w:left w:w="115" w:type="dxa"/>
              <w:bottom w:w="216" w:type="dxa"/>
              <w:right w:w="115" w:type="dxa"/>
            </w:tcMar>
          </w:tcPr>
          <w:p w14:paraId="5A87B000" w14:textId="77777777" w:rsidR="00B721F3" w:rsidRPr="00BE4787" w:rsidRDefault="00B721F3" w:rsidP="00DE07F0">
            <w:pPr>
              <w:jc w:val="both"/>
              <w:rPr>
                <w:rFonts w:ascii="Arial" w:hAnsi="Arial" w:cs="Arial"/>
                <w:b/>
                <w:bCs/>
              </w:rPr>
            </w:pPr>
            <w:r w:rsidRPr="00BE4787">
              <w:rPr>
                <w:rFonts w:ascii="Arial" w:hAnsi="Arial" w:cs="Arial"/>
                <w:b/>
                <w:bCs/>
              </w:rPr>
              <w:t>Date:</w:t>
            </w:r>
          </w:p>
        </w:tc>
        <w:tc>
          <w:tcPr>
            <w:tcW w:w="8100" w:type="dxa"/>
            <w:tcBorders>
              <w:top w:val="nil"/>
              <w:bottom w:val="single" w:sz="4" w:space="0" w:color="auto"/>
            </w:tcBorders>
            <w:tcMar>
              <w:left w:w="115" w:type="dxa"/>
              <w:bottom w:w="216" w:type="dxa"/>
              <w:right w:w="115" w:type="dxa"/>
            </w:tcMar>
          </w:tcPr>
          <w:p w14:paraId="2277E664" w14:textId="77777777" w:rsidR="00B721F3" w:rsidRPr="00BE4787" w:rsidRDefault="00B721F3" w:rsidP="00DE07F0">
            <w:pPr>
              <w:jc w:val="both"/>
              <w:rPr>
                <w:rFonts w:ascii="Arial" w:hAnsi="Arial" w:cs="Arial"/>
                <w:b/>
                <w:bCs/>
              </w:rPr>
            </w:pPr>
            <w:r>
              <w:rPr>
                <w:rFonts w:ascii="Arial" w:hAnsi="Arial" w:cs="Arial"/>
                <w:b/>
                <w:bCs/>
              </w:rPr>
              <w:t>April 15, 2024</w:t>
            </w:r>
          </w:p>
        </w:tc>
      </w:tr>
    </w:tbl>
    <w:p w14:paraId="3F1A5A07" w14:textId="77777777" w:rsidR="00B721F3" w:rsidRDefault="00B721F3" w:rsidP="00B721F3">
      <w:pPr>
        <w:jc w:val="both"/>
        <w:rPr>
          <w:rFonts w:ascii="Arial" w:hAnsi="Arial" w:cs="Arial"/>
          <w:b/>
          <w:bCs/>
        </w:rPr>
      </w:pPr>
    </w:p>
    <w:p w14:paraId="70FC8233" w14:textId="77777777" w:rsidR="00B721F3" w:rsidRPr="0049613B" w:rsidRDefault="00B721F3" w:rsidP="00B721F3">
      <w:pPr>
        <w:pStyle w:val="SectionI"/>
      </w:pPr>
      <w:r w:rsidRPr="0049613B">
        <w:t>Introduction</w:t>
      </w:r>
    </w:p>
    <w:p w14:paraId="221BDF8E" w14:textId="77777777" w:rsidR="00B721F3" w:rsidRPr="0049613B" w:rsidRDefault="00B721F3" w:rsidP="00B721F3">
      <w:pPr>
        <w:pStyle w:val="ListParagraph"/>
        <w:numPr>
          <w:ilvl w:val="0"/>
          <w:numId w:val="2"/>
        </w:numPr>
        <w:spacing w:before="120" w:after="120" w:line="300" w:lineRule="exact"/>
        <w:ind w:left="0" w:firstLine="360"/>
        <w:jc w:val="both"/>
        <w:rPr>
          <w:rFonts w:ascii="Arial" w:hAnsi="Arial" w:cs="Arial"/>
          <w:iCs/>
          <w:lang w:val="en-GB"/>
        </w:rPr>
      </w:pPr>
      <w:r w:rsidRPr="0049613B">
        <w:rPr>
          <w:rFonts w:ascii="Arial" w:hAnsi="Arial" w:cs="Arial"/>
          <w:iCs/>
        </w:rPr>
        <w:t>We were asked to propose a</w:t>
      </w:r>
      <w:r w:rsidRPr="0049613B">
        <w:rPr>
          <w:rFonts w:ascii="Arial" w:hAnsi="Arial" w:cs="Arial"/>
          <w:iCs/>
          <w:lang w:val="en-GB"/>
        </w:rPr>
        <w:t xml:space="preserve"> legal strategy that lays out a path forward to address the insolvency risks currently threatening the </w:t>
      </w:r>
      <w:proofErr w:type="spellStart"/>
      <w:r w:rsidRPr="0049613B">
        <w:rPr>
          <w:rFonts w:ascii="Arial" w:hAnsi="Arial" w:cs="Arial"/>
          <w:iCs/>
          <w:lang w:val="en-GB"/>
        </w:rPr>
        <w:t>Efwon</w:t>
      </w:r>
      <w:proofErr w:type="spellEnd"/>
      <w:r w:rsidRPr="0049613B">
        <w:rPr>
          <w:rFonts w:ascii="Arial" w:hAnsi="Arial" w:cs="Arial"/>
          <w:iCs/>
          <w:lang w:val="en-GB"/>
        </w:rPr>
        <w:t xml:space="preserve"> Group’s viability, covering, at least, the matters enumerated below (see “Issues”), </w:t>
      </w:r>
      <w:proofErr w:type="gramStart"/>
      <w:r w:rsidRPr="0049613B">
        <w:rPr>
          <w:rFonts w:ascii="Arial" w:hAnsi="Arial" w:cs="Arial"/>
          <w:iCs/>
          <w:lang w:val="en-GB"/>
        </w:rPr>
        <w:t>in order to</w:t>
      </w:r>
      <w:proofErr w:type="gramEnd"/>
      <w:r w:rsidRPr="0049613B">
        <w:rPr>
          <w:rFonts w:ascii="Arial" w:hAnsi="Arial" w:cs="Arial"/>
          <w:iCs/>
          <w:lang w:val="en-GB"/>
        </w:rPr>
        <w:t xml:space="preserve"> facilitate the deal with </w:t>
      </w:r>
      <w:proofErr w:type="spellStart"/>
      <w:r w:rsidRPr="0049613B">
        <w:rPr>
          <w:rFonts w:ascii="Arial" w:hAnsi="Arial" w:cs="Arial"/>
          <w:iCs/>
          <w:lang w:val="en-GB"/>
        </w:rPr>
        <w:t>KuasaNas</w:t>
      </w:r>
      <w:proofErr w:type="spellEnd"/>
      <w:r w:rsidRPr="0049613B">
        <w:rPr>
          <w:rFonts w:ascii="Arial" w:hAnsi="Arial" w:cs="Arial"/>
          <w:iCs/>
          <w:lang w:val="en-GB"/>
        </w:rPr>
        <w:t>, save the Maximov</w:t>
      </w:r>
      <w:r>
        <w:rPr>
          <w:rFonts w:ascii="Arial" w:hAnsi="Arial" w:cs="Arial"/>
          <w:iCs/>
          <w:lang w:val="en-GB"/>
        </w:rPr>
        <w:t xml:space="preserve"> </w:t>
      </w:r>
      <w:r w:rsidRPr="0049613B">
        <w:rPr>
          <w:rFonts w:ascii="Arial" w:hAnsi="Arial" w:cs="Arial"/>
          <w:iCs/>
          <w:lang w:val="en-GB"/>
        </w:rPr>
        <w:t>F1 team and safeguard Mr. Maximov’s position at the same time.</w:t>
      </w:r>
    </w:p>
    <w:p w14:paraId="1E8CE114" w14:textId="77777777" w:rsidR="00963915" w:rsidRDefault="00B721F3" w:rsidP="00B721F3">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 xml:space="preserve">In this memorandum we propose </w:t>
      </w:r>
      <w:r w:rsidR="00A92172">
        <w:rPr>
          <w:rFonts w:ascii="Arial" w:hAnsi="Arial" w:cs="Arial"/>
          <w:iCs/>
        </w:rPr>
        <w:t xml:space="preserve">a group-wide </w:t>
      </w:r>
      <w:r w:rsidR="009E46F8">
        <w:rPr>
          <w:rFonts w:ascii="Arial" w:hAnsi="Arial" w:cs="Arial"/>
          <w:iCs/>
        </w:rPr>
        <w:t xml:space="preserve">financial </w:t>
      </w:r>
      <w:r w:rsidR="00A92172">
        <w:rPr>
          <w:rFonts w:ascii="Arial" w:hAnsi="Arial" w:cs="Arial"/>
          <w:iCs/>
        </w:rPr>
        <w:t>restructuring</w:t>
      </w:r>
      <w:r w:rsidR="00DE5427">
        <w:rPr>
          <w:rFonts w:ascii="Arial" w:hAnsi="Arial" w:cs="Arial"/>
          <w:iCs/>
        </w:rPr>
        <w:t xml:space="preserve"> </w:t>
      </w:r>
      <w:r w:rsidR="00343A40">
        <w:rPr>
          <w:rFonts w:ascii="Arial" w:hAnsi="Arial" w:cs="Arial"/>
          <w:iCs/>
        </w:rPr>
        <w:t xml:space="preserve">for the </w:t>
      </w:r>
      <w:proofErr w:type="spellStart"/>
      <w:r w:rsidR="00343A40">
        <w:rPr>
          <w:rFonts w:ascii="Arial" w:hAnsi="Arial" w:cs="Arial"/>
          <w:iCs/>
        </w:rPr>
        <w:t>Efwon</w:t>
      </w:r>
      <w:proofErr w:type="spellEnd"/>
      <w:r w:rsidR="00343A40">
        <w:rPr>
          <w:rFonts w:ascii="Arial" w:hAnsi="Arial" w:cs="Arial"/>
          <w:iCs/>
        </w:rPr>
        <w:t xml:space="preserve"> Group </w:t>
      </w:r>
      <w:r w:rsidR="00DE5427">
        <w:rPr>
          <w:rFonts w:ascii="Arial" w:hAnsi="Arial" w:cs="Arial"/>
          <w:iCs/>
        </w:rPr>
        <w:t xml:space="preserve">through </w:t>
      </w:r>
      <w:r w:rsidR="00806054">
        <w:rPr>
          <w:rFonts w:ascii="Arial" w:hAnsi="Arial" w:cs="Arial"/>
          <w:iCs/>
        </w:rPr>
        <w:t>conducting</w:t>
      </w:r>
      <w:r w:rsidR="00F33E81">
        <w:rPr>
          <w:rFonts w:ascii="Arial" w:hAnsi="Arial" w:cs="Arial"/>
          <w:iCs/>
        </w:rPr>
        <w:t xml:space="preserve"> three</w:t>
      </w:r>
      <w:r w:rsidR="00806054">
        <w:rPr>
          <w:rFonts w:ascii="Arial" w:hAnsi="Arial" w:cs="Arial"/>
          <w:iCs/>
        </w:rPr>
        <w:t xml:space="preserve"> </w:t>
      </w:r>
      <w:r w:rsidR="00CB24E9">
        <w:rPr>
          <w:rFonts w:ascii="Arial" w:hAnsi="Arial" w:cs="Arial"/>
          <w:iCs/>
        </w:rPr>
        <w:t xml:space="preserve">parallel </w:t>
      </w:r>
      <w:r w:rsidR="00DE5427">
        <w:rPr>
          <w:rFonts w:ascii="Arial" w:hAnsi="Arial" w:cs="Arial"/>
          <w:iCs/>
        </w:rPr>
        <w:t xml:space="preserve">preventive </w:t>
      </w:r>
      <w:r w:rsidR="00806054">
        <w:rPr>
          <w:rFonts w:ascii="Arial" w:hAnsi="Arial" w:cs="Arial"/>
          <w:iCs/>
        </w:rPr>
        <w:t xml:space="preserve">restructuring </w:t>
      </w:r>
      <w:r w:rsidR="00CB24E9">
        <w:rPr>
          <w:rFonts w:ascii="Arial" w:hAnsi="Arial" w:cs="Arial"/>
          <w:iCs/>
        </w:rPr>
        <w:t xml:space="preserve">plan </w:t>
      </w:r>
      <w:r w:rsidR="00DE7C8E">
        <w:rPr>
          <w:rFonts w:ascii="Arial" w:hAnsi="Arial" w:cs="Arial"/>
          <w:iCs/>
        </w:rPr>
        <w:t xml:space="preserve">proceedings </w:t>
      </w:r>
      <w:r w:rsidR="00C3459B" w:rsidRPr="003A1F0A">
        <w:rPr>
          <w:rFonts w:ascii="Arial" w:hAnsi="Arial" w:cs="Arial"/>
          <w:iCs/>
        </w:rPr>
        <w:t xml:space="preserve">in the Netherlands for </w:t>
      </w:r>
      <w:proofErr w:type="spellStart"/>
      <w:r w:rsidR="00C20BA2" w:rsidRPr="003A1F0A">
        <w:rPr>
          <w:rFonts w:ascii="Arial" w:hAnsi="Arial" w:cs="Arial"/>
          <w:iCs/>
        </w:rPr>
        <w:t>Efwon</w:t>
      </w:r>
      <w:proofErr w:type="spellEnd"/>
      <w:r w:rsidR="00C20BA2" w:rsidRPr="003A1F0A">
        <w:rPr>
          <w:rFonts w:ascii="Arial" w:hAnsi="Arial" w:cs="Arial"/>
          <w:iCs/>
        </w:rPr>
        <w:t xml:space="preserve"> Investment</w:t>
      </w:r>
      <w:r w:rsidR="008260F4" w:rsidRPr="003A1F0A">
        <w:rPr>
          <w:rFonts w:ascii="Arial" w:hAnsi="Arial" w:cs="Arial"/>
          <w:iCs/>
        </w:rPr>
        <w:t>s</w:t>
      </w:r>
      <w:r w:rsidR="00277B45" w:rsidRPr="003A1F0A">
        <w:rPr>
          <w:rFonts w:ascii="Arial" w:hAnsi="Arial" w:cs="Arial"/>
          <w:iCs/>
        </w:rPr>
        <w:t xml:space="preserve">, </w:t>
      </w:r>
      <w:proofErr w:type="spellStart"/>
      <w:r w:rsidR="00277B45" w:rsidRPr="003A1F0A">
        <w:rPr>
          <w:rFonts w:ascii="Arial" w:hAnsi="Arial" w:cs="Arial"/>
          <w:iCs/>
        </w:rPr>
        <w:t>Efwon</w:t>
      </w:r>
      <w:proofErr w:type="spellEnd"/>
      <w:r w:rsidR="00277B45" w:rsidRPr="003A1F0A">
        <w:rPr>
          <w:rFonts w:ascii="Arial" w:hAnsi="Arial" w:cs="Arial"/>
          <w:iCs/>
        </w:rPr>
        <w:t xml:space="preserve"> Romania and</w:t>
      </w:r>
      <w:r w:rsidR="00C20BA2" w:rsidRPr="003A1F0A">
        <w:rPr>
          <w:rFonts w:ascii="Arial" w:hAnsi="Arial" w:cs="Arial"/>
          <w:iCs/>
        </w:rPr>
        <w:t xml:space="preserve"> </w:t>
      </w:r>
      <w:proofErr w:type="spellStart"/>
      <w:r w:rsidR="00C20BA2" w:rsidRPr="003A1F0A">
        <w:rPr>
          <w:rFonts w:ascii="Arial" w:hAnsi="Arial" w:cs="Arial"/>
          <w:iCs/>
        </w:rPr>
        <w:t>Efwon</w:t>
      </w:r>
      <w:proofErr w:type="spellEnd"/>
      <w:r w:rsidR="00C20BA2" w:rsidRPr="003A1F0A">
        <w:rPr>
          <w:rFonts w:ascii="Arial" w:hAnsi="Arial" w:cs="Arial"/>
          <w:iCs/>
        </w:rPr>
        <w:t xml:space="preserve"> Trading</w:t>
      </w:r>
      <w:r w:rsidR="003247A2" w:rsidRPr="003A1F0A">
        <w:rPr>
          <w:rFonts w:ascii="Arial" w:hAnsi="Arial" w:cs="Arial"/>
          <w:iCs/>
        </w:rPr>
        <w:t xml:space="preserve"> </w:t>
      </w:r>
      <w:r w:rsidR="008F47FD" w:rsidRPr="003A1F0A">
        <w:rPr>
          <w:rFonts w:ascii="Arial" w:hAnsi="Arial" w:cs="Arial"/>
          <w:iCs/>
        </w:rPr>
        <w:t>B.V.</w:t>
      </w:r>
      <w:r w:rsidR="00277B45" w:rsidRPr="003A1F0A">
        <w:rPr>
          <w:rFonts w:ascii="Arial" w:hAnsi="Arial" w:cs="Arial"/>
          <w:iCs/>
        </w:rPr>
        <w:t xml:space="preserve">, with the latter </w:t>
      </w:r>
      <w:r w:rsidR="003247A2" w:rsidRPr="003A1F0A">
        <w:rPr>
          <w:rFonts w:ascii="Arial" w:hAnsi="Arial" w:cs="Arial"/>
          <w:iCs/>
        </w:rPr>
        <w:t xml:space="preserve">also </w:t>
      </w:r>
      <w:r w:rsidR="003A1F0A" w:rsidRPr="003A1F0A">
        <w:rPr>
          <w:rFonts w:ascii="Arial" w:hAnsi="Arial" w:cs="Arial"/>
          <w:iCs/>
        </w:rPr>
        <w:t>dealing</w:t>
      </w:r>
      <w:r w:rsidR="003247A2" w:rsidRPr="003A1F0A">
        <w:rPr>
          <w:rFonts w:ascii="Arial" w:hAnsi="Arial" w:cs="Arial"/>
          <w:iCs/>
        </w:rPr>
        <w:t xml:space="preserve"> with the </w:t>
      </w:r>
      <w:r w:rsidR="00D41B76" w:rsidRPr="003A1F0A">
        <w:rPr>
          <w:rFonts w:ascii="Arial" w:hAnsi="Arial" w:cs="Arial"/>
          <w:iCs/>
        </w:rPr>
        <w:t xml:space="preserve">release of the </w:t>
      </w:r>
      <w:r w:rsidR="003247A2" w:rsidRPr="003A1F0A">
        <w:rPr>
          <w:rFonts w:ascii="Arial" w:hAnsi="Arial" w:cs="Arial"/>
          <w:iCs/>
        </w:rPr>
        <w:t xml:space="preserve">guarantees provided by </w:t>
      </w:r>
      <w:proofErr w:type="spellStart"/>
      <w:r w:rsidR="003247A2" w:rsidRPr="003A1F0A">
        <w:rPr>
          <w:rFonts w:ascii="Arial" w:hAnsi="Arial" w:cs="Arial"/>
          <w:iCs/>
        </w:rPr>
        <w:t>Efwon</w:t>
      </w:r>
      <w:proofErr w:type="spellEnd"/>
      <w:r w:rsidR="003247A2" w:rsidRPr="003A1F0A">
        <w:rPr>
          <w:rFonts w:ascii="Arial" w:hAnsi="Arial" w:cs="Arial"/>
          <w:iCs/>
        </w:rPr>
        <w:t xml:space="preserve"> Singapore</w:t>
      </w:r>
      <w:r w:rsidR="007D1CD5" w:rsidRPr="003A1F0A">
        <w:rPr>
          <w:rFonts w:ascii="Arial" w:hAnsi="Arial" w:cs="Arial"/>
          <w:iCs/>
        </w:rPr>
        <w:t>. These proceedings should</w:t>
      </w:r>
      <w:r w:rsidR="007D1CD5">
        <w:rPr>
          <w:rFonts w:ascii="Arial" w:hAnsi="Arial" w:cs="Arial"/>
          <w:iCs/>
        </w:rPr>
        <w:t xml:space="preserve"> be con</w:t>
      </w:r>
      <w:r w:rsidR="00553A6C">
        <w:rPr>
          <w:rFonts w:ascii="Arial" w:hAnsi="Arial" w:cs="Arial"/>
          <w:iCs/>
        </w:rPr>
        <w:t>solidated within the same Dutch court to ensure coordination of the proposed plans</w:t>
      </w:r>
      <w:r w:rsidR="00150C5A">
        <w:rPr>
          <w:rFonts w:ascii="Arial" w:hAnsi="Arial" w:cs="Arial"/>
          <w:iCs/>
        </w:rPr>
        <w:t xml:space="preserve"> for the whole Group</w:t>
      </w:r>
      <w:r w:rsidR="000D6B5F">
        <w:rPr>
          <w:rFonts w:ascii="Arial" w:hAnsi="Arial" w:cs="Arial"/>
          <w:iCs/>
        </w:rPr>
        <w:t xml:space="preserve">. Finally, a </w:t>
      </w:r>
      <w:r w:rsidR="00E92F52">
        <w:rPr>
          <w:rFonts w:ascii="Arial" w:hAnsi="Arial" w:cs="Arial"/>
          <w:iCs/>
        </w:rPr>
        <w:t>non-main</w:t>
      </w:r>
      <w:r w:rsidR="000D6B5F">
        <w:rPr>
          <w:rFonts w:ascii="Arial" w:hAnsi="Arial" w:cs="Arial"/>
          <w:iCs/>
        </w:rPr>
        <w:t xml:space="preserve"> proceeding</w:t>
      </w:r>
      <w:r w:rsidR="00A729D9">
        <w:rPr>
          <w:rFonts w:ascii="Arial" w:hAnsi="Arial" w:cs="Arial"/>
          <w:iCs/>
        </w:rPr>
        <w:t xml:space="preserve"> </w:t>
      </w:r>
      <w:r w:rsidR="000D6B5F">
        <w:rPr>
          <w:rFonts w:ascii="Arial" w:hAnsi="Arial" w:cs="Arial"/>
          <w:iCs/>
        </w:rPr>
        <w:t xml:space="preserve">should be </w:t>
      </w:r>
      <w:r w:rsidR="00E92F52">
        <w:rPr>
          <w:rFonts w:ascii="Arial" w:hAnsi="Arial" w:cs="Arial"/>
          <w:iCs/>
        </w:rPr>
        <w:t>opened</w:t>
      </w:r>
      <w:r w:rsidR="00C51DC3">
        <w:rPr>
          <w:rFonts w:ascii="Arial" w:hAnsi="Arial" w:cs="Arial"/>
          <w:iCs/>
        </w:rPr>
        <w:t xml:space="preserve"> in the U.S. to ensure the recognition and enforceability </w:t>
      </w:r>
      <w:r w:rsidR="00E42355">
        <w:rPr>
          <w:rFonts w:ascii="Arial" w:hAnsi="Arial" w:cs="Arial"/>
          <w:iCs/>
        </w:rPr>
        <w:t>of the Dutch restructuring plan</w:t>
      </w:r>
      <w:r w:rsidR="00150C5A">
        <w:rPr>
          <w:rFonts w:ascii="Arial" w:hAnsi="Arial" w:cs="Arial"/>
          <w:iCs/>
        </w:rPr>
        <w:t xml:space="preserve"> over </w:t>
      </w:r>
      <w:proofErr w:type="spellStart"/>
      <w:r w:rsidR="00150C5A">
        <w:rPr>
          <w:rFonts w:ascii="Arial" w:hAnsi="Arial" w:cs="Arial"/>
          <w:iCs/>
        </w:rPr>
        <w:t>Efwon</w:t>
      </w:r>
      <w:proofErr w:type="spellEnd"/>
      <w:r w:rsidR="00150C5A">
        <w:rPr>
          <w:rFonts w:ascii="Arial" w:hAnsi="Arial" w:cs="Arial"/>
          <w:iCs/>
        </w:rPr>
        <w:t xml:space="preserve"> Investments</w:t>
      </w:r>
      <w:r w:rsidR="00C65E68">
        <w:rPr>
          <w:rFonts w:ascii="Arial" w:hAnsi="Arial" w:cs="Arial"/>
          <w:iCs/>
        </w:rPr>
        <w:t xml:space="preserve">, </w:t>
      </w:r>
      <w:r w:rsidR="00AB2CBF">
        <w:rPr>
          <w:rFonts w:ascii="Arial" w:hAnsi="Arial" w:cs="Arial"/>
          <w:iCs/>
        </w:rPr>
        <w:t>and</w:t>
      </w:r>
      <w:r w:rsidR="00C65E68">
        <w:rPr>
          <w:rFonts w:ascii="Arial" w:hAnsi="Arial" w:cs="Arial"/>
          <w:iCs/>
        </w:rPr>
        <w:t xml:space="preserve"> the territorial insolvency proceeding</w:t>
      </w:r>
      <w:r w:rsidR="00AB2CBF">
        <w:rPr>
          <w:rFonts w:ascii="Arial" w:hAnsi="Arial" w:cs="Arial"/>
          <w:iCs/>
        </w:rPr>
        <w:t xml:space="preserve"> already commenced in Romania should be converted in a non-main proceeding</w:t>
      </w:r>
      <w:r w:rsidR="005F06D0">
        <w:rPr>
          <w:rFonts w:ascii="Arial" w:hAnsi="Arial" w:cs="Arial"/>
          <w:iCs/>
        </w:rPr>
        <w:t xml:space="preserve">, to ensure preservation of the Romania-based assets of the </w:t>
      </w:r>
      <w:proofErr w:type="spellStart"/>
      <w:r w:rsidR="005F06D0">
        <w:rPr>
          <w:rFonts w:ascii="Arial" w:hAnsi="Arial" w:cs="Arial"/>
          <w:iCs/>
        </w:rPr>
        <w:t>Efwon</w:t>
      </w:r>
      <w:proofErr w:type="spellEnd"/>
      <w:r w:rsidR="005F06D0">
        <w:rPr>
          <w:rFonts w:ascii="Arial" w:hAnsi="Arial" w:cs="Arial"/>
          <w:iCs/>
        </w:rPr>
        <w:t xml:space="preserve"> Group</w:t>
      </w:r>
      <w:r w:rsidR="00C51A1B">
        <w:rPr>
          <w:rFonts w:ascii="Arial" w:hAnsi="Arial" w:cs="Arial"/>
          <w:iCs/>
        </w:rPr>
        <w:t>.</w:t>
      </w:r>
      <w:r w:rsidR="00C65E68">
        <w:rPr>
          <w:rFonts w:ascii="Arial" w:hAnsi="Arial" w:cs="Arial"/>
          <w:iCs/>
        </w:rPr>
        <w:t xml:space="preserve"> </w:t>
      </w:r>
      <w:r w:rsidR="00594980">
        <w:rPr>
          <w:rFonts w:ascii="Arial" w:hAnsi="Arial" w:cs="Arial"/>
          <w:iCs/>
        </w:rPr>
        <w:t xml:space="preserve"> </w:t>
      </w:r>
    </w:p>
    <w:p w14:paraId="225C1C56" w14:textId="7C7FDB6C" w:rsidR="00B721F3" w:rsidRPr="0049613B" w:rsidRDefault="00DB7BDD" w:rsidP="00B721F3">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 xml:space="preserve">The proposed </w:t>
      </w:r>
      <w:r w:rsidR="001F7D91">
        <w:rPr>
          <w:rFonts w:ascii="Arial" w:hAnsi="Arial" w:cs="Arial"/>
          <w:iCs/>
        </w:rPr>
        <w:t>group-wide</w:t>
      </w:r>
      <w:r w:rsidR="002B73B5">
        <w:rPr>
          <w:rFonts w:ascii="Arial" w:hAnsi="Arial" w:cs="Arial"/>
          <w:iCs/>
        </w:rPr>
        <w:t xml:space="preserve"> restructuring </w:t>
      </w:r>
      <w:r w:rsidR="00CE6E5A">
        <w:rPr>
          <w:rFonts w:ascii="Arial" w:hAnsi="Arial" w:cs="Arial"/>
          <w:iCs/>
        </w:rPr>
        <w:t>is likely to</w:t>
      </w:r>
      <w:r w:rsidR="00B721F3" w:rsidRPr="0049613B">
        <w:rPr>
          <w:rFonts w:ascii="Arial" w:hAnsi="Arial" w:cs="Arial"/>
          <w:iCs/>
        </w:rPr>
        <w:t xml:space="preserve"> maximize the benefits</w:t>
      </w:r>
      <w:r w:rsidR="002B73B5">
        <w:rPr>
          <w:rFonts w:ascii="Arial" w:hAnsi="Arial" w:cs="Arial"/>
          <w:iCs/>
        </w:rPr>
        <w:t xml:space="preserve"> and </w:t>
      </w:r>
      <w:r w:rsidR="00B721F3" w:rsidRPr="0049613B">
        <w:rPr>
          <w:rFonts w:ascii="Arial" w:hAnsi="Arial" w:cs="Arial"/>
          <w:iCs/>
        </w:rPr>
        <w:t xml:space="preserve">advantages of the </w:t>
      </w:r>
      <w:r w:rsidR="00521663">
        <w:rPr>
          <w:rFonts w:ascii="Arial" w:hAnsi="Arial" w:cs="Arial"/>
          <w:iCs/>
        </w:rPr>
        <w:t>applicable</w:t>
      </w:r>
      <w:r w:rsidR="00B721F3" w:rsidRPr="0049613B">
        <w:rPr>
          <w:rFonts w:ascii="Arial" w:hAnsi="Arial" w:cs="Arial"/>
          <w:iCs/>
        </w:rPr>
        <w:t xml:space="preserve"> legal regimes that would </w:t>
      </w:r>
      <w:r w:rsidR="00521663">
        <w:rPr>
          <w:rFonts w:ascii="Arial" w:hAnsi="Arial" w:cs="Arial"/>
          <w:iCs/>
        </w:rPr>
        <w:t>affect</w:t>
      </w:r>
      <w:r w:rsidR="00B721F3" w:rsidRPr="0049613B">
        <w:rPr>
          <w:rFonts w:ascii="Arial" w:hAnsi="Arial" w:cs="Arial"/>
          <w:iCs/>
        </w:rPr>
        <w:t xml:space="preserve"> each of those cases </w:t>
      </w:r>
      <w:r w:rsidR="00950E59">
        <w:rPr>
          <w:rFonts w:ascii="Arial" w:hAnsi="Arial" w:cs="Arial"/>
          <w:iCs/>
        </w:rPr>
        <w:t>related to</w:t>
      </w:r>
      <w:r w:rsidR="00B82EF0">
        <w:rPr>
          <w:rFonts w:ascii="Arial" w:hAnsi="Arial" w:cs="Arial"/>
          <w:iCs/>
        </w:rPr>
        <w:t xml:space="preserve"> resolving</w:t>
      </w:r>
      <w:r w:rsidR="00B721F3" w:rsidRPr="0049613B">
        <w:rPr>
          <w:rFonts w:ascii="Arial" w:hAnsi="Arial" w:cs="Arial"/>
          <w:iCs/>
        </w:rPr>
        <w:t xml:space="preserve"> the insolvency of the </w:t>
      </w:r>
      <w:proofErr w:type="spellStart"/>
      <w:r w:rsidR="00B721F3" w:rsidRPr="0049613B">
        <w:rPr>
          <w:rFonts w:ascii="Arial" w:hAnsi="Arial" w:cs="Arial"/>
          <w:iCs/>
        </w:rPr>
        <w:t>Efwon</w:t>
      </w:r>
      <w:proofErr w:type="spellEnd"/>
      <w:r w:rsidR="00B721F3" w:rsidRPr="0049613B">
        <w:rPr>
          <w:rFonts w:ascii="Arial" w:hAnsi="Arial" w:cs="Arial"/>
          <w:iCs/>
        </w:rPr>
        <w:t xml:space="preserve"> Group or of some of its companies</w:t>
      </w:r>
      <w:r w:rsidR="00B82EF0">
        <w:rPr>
          <w:rFonts w:ascii="Arial" w:hAnsi="Arial" w:cs="Arial"/>
          <w:iCs/>
        </w:rPr>
        <w:t xml:space="preserve">, with the objective to </w:t>
      </w:r>
      <w:r w:rsidR="005F5C59">
        <w:rPr>
          <w:rFonts w:ascii="Arial" w:hAnsi="Arial" w:cs="Arial"/>
          <w:iCs/>
        </w:rPr>
        <w:t xml:space="preserve">facilitate the deal with </w:t>
      </w:r>
      <w:proofErr w:type="spellStart"/>
      <w:r w:rsidR="005F5C59">
        <w:rPr>
          <w:rFonts w:ascii="Arial" w:hAnsi="Arial" w:cs="Arial"/>
          <w:iCs/>
        </w:rPr>
        <w:t>KuasaNas</w:t>
      </w:r>
      <w:proofErr w:type="spellEnd"/>
      <w:r w:rsidR="00A64DB5">
        <w:rPr>
          <w:rFonts w:ascii="Arial" w:hAnsi="Arial" w:cs="Arial"/>
          <w:iCs/>
        </w:rPr>
        <w:t xml:space="preserve">, the position of </w:t>
      </w:r>
      <w:proofErr w:type="spellStart"/>
      <w:r w:rsidR="00A64DB5">
        <w:rPr>
          <w:rFonts w:ascii="Arial" w:hAnsi="Arial" w:cs="Arial"/>
          <w:iCs/>
        </w:rPr>
        <w:t>Efwon</w:t>
      </w:r>
      <w:proofErr w:type="spellEnd"/>
      <w:r w:rsidR="00A64DB5">
        <w:rPr>
          <w:rFonts w:ascii="Arial" w:hAnsi="Arial" w:cs="Arial"/>
          <w:iCs/>
        </w:rPr>
        <w:t xml:space="preserve"> Investments and Mr. </w:t>
      </w:r>
      <w:r w:rsidR="002659C7">
        <w:rPr>
          <w:rFonts w:ascii="Arial" w:hAnsi="Arial" w:cs="Arial"/>
          <w:iCs/>
        </w:rPr>
        <w:t>Maksimov’s</w:t>
      </w:r>
      <w:r w:rsidR="00F952EB">
        <w:rPr>
          <w:rFonts w:ascii="Arial" w:hAnsi="Arial" w:cs="Arial"/>
          <w:iCs/>
        </w:rPr>
        <w:t xml:space="preserve"> ownership of the Maximov F1 Team</w:t>
      </w:r>
      <w:r w:rsidR="000C0543">
        <w:rPr>
          <w:rFonts w:ascii="Arial" w:hAnsi="Arial" w:cs="Arial"/>
          <w:iCs/>
        </w:rPr>
        <w:t>, while keeping the related costs at a reasonable level.</w:t>
      </w:r>
    </w:p>
    <w:p w14:paraId="42B7C93D" w14:textId="7C50FC1C" w:rsidR="00B721F3" w:rsidRPr="0049613B" w:rsidRDefault="00B721F3" w:rsidP="00B721F3">
      <w:pPr>
        <w:pStyle w:val="SectionI"/>
      </w:pPr>
      <w:proofErr w:type="spellStart"/>
      <w:r w:rsidRPr="0049613B">
        <w:t>Efwon</w:t>
      </w:r>
      <w:proofErr w:type="spellEnd"/>
      <w:r w:rsidRPr="0049613B">
        <w:t xml:space="preserve"> Group Background</w:t>
      </w:r>
      <w:r w:rsidR="00291804">
        <w:t xml:space="preserve"> and Problem</w:t>
      </w:r>
    </w:p>
    <w:p w14:paraId="1FAFF344" w14:textId="0017DED7" w:rsidR="00B721F3" w:rsidRPr="0049613B" w:rsidRDefault="004A0E22" w:rsidP="00B721F3">
      <w:pPr>
        <w:pStyle w:val="ListParagraph"/>
        <w:numPr>
          <w:ilvl w:val="0"/>
          <w:numId w:val="2"/>
        </w:numPr>
        <w:spacing w:before="120" w:after="120" w:line="300" w:lineRule="exact"/>
        <w:ind w:left="0" w:firstLine="360"/>
        <w:jc w:val="both"/>
        <w:rPr>
          <w:rFonts w:ascii="Arial" w:hAnsi="Arial" w:cs="Arial"/>
          <w:iCs/>
        </w:rPr>
      </w:pPr>
      <w:r w:rsidRPr="004A0E22">
        <w:rPr>
          <w:rFonts w:ascii="Arial" w:hAnsi="Arial" w:cs="Arial"/>
          <w:iCs/>
        </w:rPr>
        <w:t xml:space="preserve">Mr. Benedict Maximov established </w:t>
      </w:r>
      <w:proofErr w:type="spellStart"/>
      <w:r w:rsidRPr="004A0E22">
        <w:rPr>
          <w:rFonts w:ascii="Arial" w:hAnsi="Arial" w:cs="Arial"/>
          <w:iCs/>
        </w:rPr>
        <w:t>Efwon</w:t>
      </w:r>
      <w:proofErr w:type="spellEnd"/>
      <w:r w:rsidRPr="004A0E22">
        <w:rPr>
          <w:rFonts w:ascii="Arial" w:hAnsi="Arial" w:cs="Arial"/>
          <w:iCs/>
        </w:rPr>
        <w:t xml:space="preserve"> Investment</w:t>
      </w:r>
      <w:r w:rsidR="00073A65">
        <w:rPr>
          <w:rFonts w:ascii="Arial" w:hAnsi="Arial" w:cs="Arial"/>
          <w:iCs/>
        </w:rPr>
        <w:t>s</w:t>
      </w:r>
      <w:r w:rsidRPr="004A0E22">
        <w:rPr>
          <w:rFonts w:ascii="Arial" w:hAnsi="Arial" w:cs="Arial"/>
          <w:iCs/>
        </w:rPr>
        <w:t xml:space="preserve">, a financial vehicle organized and existing under the laws of Texas, and capitalized as follows: (i) an equity investment of US$100 MM by Mr. Maximov; and (ii) US$250 MM of secured debt (the “US Facility”) provided by a syndicate of US </w:t>
      </w:r>
      <w:r w:rsidR="00E12AB0">
        <w:rPr>
          <w:rFonts w:ascii="Arial" w:hAnsi="Arial" w:cs="Arial"/>
          <w:iCs/>
        </w:rPr>
        <w:t>banks</w:t>
      </w:r>
      <w:r w:rsidRPr="004A0E22">
        <w:rPr>
          <w:rFonts w:ascii="Arial" w:hAnsi="Arial" w:cs="Arial"/>
          <w:iCs/>
        </w:rPr>
        <w:t xml:space="preserve"> (the “US Lenders”)</w:t>
      </w:r>
      <w:r w:rsidR="00B721F3" w:rsidRPr="0049613B">
        <w:rPr>
          <w:rFonts w:ascii="Arial" w:hAnsi="Arial" w:cs="Arial"/>
          <w:iCs/>
        </w:rPr>
        <w:t xml:space="preserve">. </w:t>
      </w:r>
    </w:p>
    <w:p w14:paraId="3C1443D5" w14:textId="49394364" w:rsidR="00B721F3" w:rsidRDefault="00AC5788" w:rsidP="00B721F3">
      <w:pPr>
        <w:pStyle w:val="ListParagraph"/>
        <w:numPr>
          <w:ilvl w:val="0"/>
          <w:numId w:val="2"/>
        </w:numPr>
        <w:spacing w:before="120" w:after="120" w:line="300" w:lineRule="exact"/>
        <w:ind w:left="0" w:firstLine="360"/>
        <w:jc w:val="both"/>
        <w:rPr>
          <w:rFonts w:ascii="Arial" w:hAnsi="Arial" w:cs="Arial"/>
          <w:iCs/>
        </w:rPr>
      </w:pPr>
      <w:r w:rsidRPr="00AC5788">
        <w:rPr>
          <w:rFonts w:ascii="Arial" w:hAnsi="Arial" w:cs="Arial"/>
          <w:iCs/>
        </w:rPr>
        <w:lastRenderedPageBreak/>
        <w:t xml:space="preserve">Subsequently, Mr. Maximov established </w:t>
      </w:r>
      <w:proofErr w:type="spellStart"/>
      <w:r w:rsidRPr="00AC5788">
        <w:rPr>
          <w:rFonts w:ascii="Arial" w:hAnsi="Arial" w:cs="Arial"/>
          <w:iCs/>
        </w:rPr>
        <w:t>Efwon</w:t>
      </w:r>
      <w:proofErr w:type="spellEnd"/>
      <w:r w:rsidRPr="00AC5788">
        <w:rPr>
          <w:rFonts w:ascii="Arial" w:hAnsi="Arial" w:cs="Arial"/>
          <w:iCs/>
        </w:rPr>
        <w:t xml:space="preserve"> Trading </w:t>
      </w:r>
      <w:r w:rsidR="00004132">
        <w:rPr>
          <w:rFonts w:ascii="Arial" w:hAnsi="Arial" w:cs="Arial"/>
          <w:iCs/>
        </w:rPr>
        <w:t>B</w:t>
      </w:r>
      <w:r w:rsidRPr="00AC5788">
        <w:rPr>
          <w:rFonts w:ascii="Arial" w:hAnsi="Arial" w:cs="Arial"/>
          <w:iCs/>
        </w:rPr>
        <w:t>.V., a holding company in the Netherlands (“</w:t>
      </w:r>
      <w:proofErr w:type="spellStart"/>
      <w:r w:rsidRPr="00AC5788">
        <w:rPr>
          <w:rFonts w:ascii="Arial" w:hAnsi="Arial" w:cs="Arial"/>
          <w:iCs/>
        </w:rPr>
        <w:t>Efwon</w:t>
      </w:r>
      <w:proofErr w:type="spellEnd"/>
      <w:r w:rsidRPr="00AC5788">
        <w:rPr>
          <w:rFonts w:ascii="Arial" w:hAnsi="Arial" w:cs="Arial"/>
          <w:iCs/>
        </w:rPr>
        <w:t xml:space="preserve"> Trading”)</w:t>
      </w:r>
      <w:r w:rsidR="00967853">
        <w:rPr>
          <w:rFonts w:ascii="Arial" w:hAnsi="Arial" w:cs="Arial"/>
          <w:iCs/>
        </w:rPr>
        <w:t xml:space="preserve"> under the </w:t>
      </w:r>
      <w:r w:rsidR="00FE5DDF">
        <w:rPr>
          <w:rFonts w:ascii="Arial" w:hAnsi="Arial" w:cs="Arial"/>
          <w:iCs/>
        </w:rPr>
        <w:t>laws of the Netherlands</w:t>
      </w:r>
      <w:r w:rsidRPr="00AC5788">
        <w:rPr>
          <w:rFonts w:ascii="Arial" w:hAnsi="Arial" w:cs="Arial"/>
          <w:iCs/>
        </w:rPr>
        <w:t xml:space="preserve">, </w:t>
      </w:r>
      <w:r w:rsidR="007F3B39">
        <w:rPr>
          <w:rFonts w:ascii="Arial" w:hAnsi="Arial" w:cs="Arial"/>
          <w:iCs/>
        </w:rPr>
        <w:t xml:space="preserve">which </w:t>
      </w:r>
      <w:r w:rsidR="00B10754">
        <w:rPr>
          <w:rFonts w:ascii="Arial" w:hAnsi="Arial" w:cs="Arial"/>
          <w:iCs/>
        </w:rPr>
        <w:t>in turn established</w:t>
      </w:r>
      <w:r w:rsidRPr="00AC5788">
        <w:rPr>
          <w:rFonts w:ascii="Arial" w:hAnsi="Arial" w:cs="Arial"/>
          <w:iCs/>
        </w:rPr>
        <w:t xml:space="preserve"> two </w:t>
      </w:r>
      <w:r w:rsidR="00D141D6" w:rsidRPr="00AC5788">
        <w:rPr>
          <w:rFonts w:ascii="Arial" w:hAnsi="Arial" w:cs="Arial"/>
          <w:iCs/>
        </w:rPr>
        <w:t>wholly</w:t>
      </w:r>
      <w:r w:rsidR="00D141D6">
        <w:rPr>
          <w:rFonts w:ascii="Arial" w:hAnsi="Arial" w:cs="Arial"/>
          <w:iCs/>
        </w:rPr>
        <w:t xml:space="preserve"> owned</w:t>
      </w:r>
      <w:r w:rsidRPr="00AC5788">
        <w:rPr>
          <w:rFonts w:ascii="Arial" w:hAnsi="Arial" w:cs="Arial"/>
          <w:iCs/>
        </w:rPr>
        <w:t xml:space="preserve"> subsidiaries: (</w:t>
      </w:r>
      <w:proofErr w:type="spellStart"/>
      <w:r w:rsidRPr="00AC5788">
        <w:rPr>
          <w:rFonts w:ascii="Arial" w:hAnsi="Arial" w:cs="Arial"/>
          <w:iCs/>
        </w:rPr>
        <w:t>i</w:t>
      </w:r>
      <w:proofErr w:type="spellEnd"/>
      <w:r w:rsidRPr="00AC5788">
        <w:rPr>
          <w:rFonts w:ascii="Arial" w:hAnsi="Arial" w:cs="Arial"/>
          <w:iCs/>
        </w:rPr>
        <w:t xml:space="preserve">) </w:t>
      </w:r>
      <w:proofErr w:type="spellStart"/>
      <w:r w:rsidRPr="00AC5788">
        <w:rPr>
          <w:rFonts w:ascii="Arial" w:hAnsi="Arial" w:cs="Arial"/>
          <w:iCs/>
        </w:rPr>
        <w:t>Efwon</w:t>
      </w:r>
      <w:proofErr w:type="spellEnd"/>
      <w:r w:rsidRPr="00AC5788">
        <w:rPr>
          <w:rFonts w:ascii="Arial" w:hAnsi="Arial" w:cs="Arial"/>
          <w:iCs/>
        </w:rPr>
        <w:t xml:space="preserve"> Romania; and (ii) </w:t>
      </w:r>
      <w:proofErr w:type="spellStart"/>
      <w:r w:rsidRPr="00AC5788">
        <w:rPr>
          <w:rFonts w:ascii="Arial" w:hAnsi="Arial" w:cs="Arial"/>
          <w:iCs/>
        </w:rPr>
        <w:t>Efwon</w:t>
      </w:r>
      <w:proofErr w:type="spellEnd"/>
      <w:r w:rsidRPr="00AC5788">
        <w:rPr>
          <w:rFonts w:ascii="Arial" w:hAnsi="Arial" w:cs="Arial"/>
          <w:iCs/>
        </w:rPr>
        <w:t xml:space="preserve"> Singapore.  We will refer to all those vehicles </w:t>
      </w:r>
      <w:r w:rsidR="00166310">
        <w:rPr>
          <w:rFonts w:ascii="Arial" w:hAnsi="Arial" w:cs="Arial"/>
          <w:iCs/>
        </w:rPr>
        <w:t xml:space="preserve">collectively </w:t>
      </w:r>
      <w:r w:rsidRPr="00AC5788">
        <w:rPr>
          <w:rFonts w:ascii="Arial" w:hAnsi="Arial" w:cs="Arial"/>
          <w:iCs/>
        </w:rPr>
        <w:t xml:space="preserve">as the </w:t>
      </w:r>
      <w:r w:rsidR="00166310">
        <w:rPr>
          <w:rFonts w:ascii="Arial" w:hAnsi="Arial" w:cs="Arial"/>
          <w:iCs/>
        </w:rPr>
        <w:t>“</w:t>
      </w:r>
      <w:proofErr w:type="spellStart"/>
      <w:r w:rsidRPr="00AC5788">
        <w:rPr>
          <w:rFonts w:ascii="Arial" w:hAnsi="Arial" w:cs="Arial"/>
          <w:iCs/>
        </w:rPr>
        <w:t>Efwon</w:t>
      </w:r>
      <w:proofErr w:type="spellEnd"/>
      <w:r w:rsidRPr="00AC5788">
        <w:rPr>
          <w:rFonts w:ascii="Arial" w:hAnsi="Arial" w:cs="Arial"/>
          <w:iCs/>
        </w:rPr>
        <w:t xml:space="preserve"> Group</w:t>
      </w:r>
      <w:r w:rsidR="00166310">
        <w:rPr>
          <w:rFonts w:ascii="Arial" w:hAnsi="Arial" w:cs="Arial"/>
          <w:iCs/>
        </w:rPr>
        <w:t>”</w:t>
      </w:r>
      <w:r w:rsidR="00B721F3">
        <w:rPr>
          <w:rFonts w:ascii="Arial" w:hAnsi="Arial" w:cs="Arial"/>
          <w:iCs/>
        </w:rPr>
        <w:t xml:space="preserve">.    </w:t>
      </w:r>
    </w:p>
    <w:p w14:paraId="707B0AD5" w14:textId="0A87F213" w:rsidR="00B721F3" w:rsidRDefault="008B5043" w:rsidP="00B721F3">
      <w:pPr>
        <w:pStyle w:val="ListParagraph"/>
        <w:numPr>
          <w:ilvl w:val="0"/>
          <w:numId w:val="2"/>
        </w:numPr>
        <w:spacing w:before="120" w:after="120" w:line="300" w:lineRule="exact"/>
        <w:ind w:left="0" w:firstLine="360"/>
        <w:jc w:val="both"/>
        <w:rPr>
          <w:rFonts w:ascii="Arial" w:hAnsi="Arial" w:cs="Arial"/>
          <w:iCs/>
        </w:rPr>
      </w:pPr>
      <w:r w:rsidRPr="008B5043">
        <w:rPr>
          <w:rFonts w:ascii="Arial" w:hAnsi="Arial" w:cs="Arial"/>
          <w:iCs/>
        </w:rPr>
        <w:t>The US Facility was secured as follows: (</w:t>
      </w:r>
      <w:r w:rsidR="00B36215">
        <w:rPr>
          <w:rFonts w:ascii="Arial" w:hAnsi="Arial" w:cs="Arial"/>
          <w:iCs/>
        </w:rPr>
        <w:t>i</w:t>
      </w:r>
      <w:r w:rsidRPr="008B5043">
        <w:rPr>
          <w:rFonts w:ascii="Arial" w:hAnsi="Arial" w:cs="Arial"/>
          <w:iCs/>
        </w:rPr>
        <w:t>) security over real estate of Mr. Maximov valued at US$75 MM (multiple locations); (</w:t>
      </w:r>
      <w:r w:rsidR="00B36215">
        <w:rPr>
          <w:rFonts w:ascii="Arial" w:hAnsi="Arial" w:cs="Arial"/>
          <w:iCs/>
        </w:rPr>
        <w:t>ii</w:t>
      </w:r>
      <w:r w:rsidRPr="008B5043">
        <w:rPr>
          <w:rFonts w:ascii="Arial" w:hAnsi="Arial" w:cs="Arial"/>
          <w:iCs/>
        </w:rPr>
        <w:t>) pledge over borrower’s cash flows; (</w:t>
      </w:r>
      <w:r w:rsidR="00B36215">
        <w:rPr>
          <w:rFonts w:ascii="Arial" w:hAnsi="Arial" w:cs="Arial"/>
          <w:iCs/>
        </w:rPr>
        <w:t>iii</w:t>
      </w:r>
      <w:r w:rsidRPr="008B5043">
        <w:rPr>
          <w:rFonts w:ascii="Arial" w:hAnsi="Arial" w:cs="Arial"/>
          <w:iCs/>
        </w:rPr>
        <w:t>) pledge over the borrower’s shares; and (</w:t>
      </w:r>
      <w:r w:rsidR="00B36215">
        <w:rPr>
          <w:rFonts w:ascii="Arial" w:hAnsi="Arial" w:cs="Arial"/>
          <w:iCs/>
        </w:rPr>
        <w:t>iv</w:t>
      </w:r>
      <w:r w:rsidRPr="008B5043">
        <w:rPr>
          <w:rFonts w:ascii="Arial" w:hAnsi="Arial" w:cs="Arial"/>
          <w:iCs/>
        </w:rPr>
        <w:t xml:space="preserve">) pledge over </w:t>
      </w:r>
      <w:proofErr w:type="spellStart"/>
      <w:r w:rsidRPr="008B5043">
        <w:rPr>
          <w:rFonts w:ascii="Arial" w:hAnsi="Arial" w:cs="Arial"/>
          <w:iCs/>
        </w:rPr>
        <w:t>Efwon</w:t>
      </w:r>
      <w:proofErr w:type="spellEnd"/>
      <w:r w:rsidRPr="008B5043">
        <w:rPr>
          <w:rFonts w:ascii="Arial" w:hAnsi="Arial" w:cs="Arial"/>
          <w:iCs/>
        </w:rPr>
        <w:t xml:space="preserve"> Trading shares (</w:t>
      </w:r>
      <w:r w:rsidR="00D141D6" w:rsidRPr="008B5043">
        <w:rPr>
          <w:rFonts w:ascii="Arial" w:hAnsi="Arial" w:cs="Arial"/>
          <w:iCs/>
        </w:rPr>
        <w:t>wholly</w:t>
      </w:r>
      <w:r w:rsidR="00D141D6">
        <w:rPr>
          <w:rFonts w:ascii="Arial" w:hAnsi="Arial" w:cs="Arial"/>
          <w:iCs/>
        </w:rPr>
        <w:t xml:space="preserve"> owned</w:t>
      </w:r>
      <w:r w:rsidRPr="008B5043">
        <w:rPr>
          <w:rFonts w:ascii="Arial" w:hAnsi="Arial" w:cs="Arial"/>
          <w:iCs/>
        </w:rPr>
        <w:t xml:space="preserve"> by Mr. Maximov)</w:t>
      </w:r>
      <w:r w:rsidR="00B721F3">
        <w:rPr>
          <w:rFonts w:ascii="Arial" w:hAnsi="Arial" w:cs="Arial"/>
          <w:iCs/>
        </w:rPr>
        <w:t>.</w:t>
      </w:r>
    </w:p>
    <w:p w14:paraId="30866ED7" w14:textId="77777777" w:rsidR="000958CD" w:rsidRDefault="000958CD" w:rsidP="000958CD">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 xml:space="preserve">The initial capitalization allowed the </w:t>
      </w:r>
      <w:proofErr w:type="spellStart"/>
      <w:r>
        <w:rPr>
          <w:rFonts w:ascii="Arial" w:hAnsi="Arial" w:cs="Arial"/>
          <w:iCs/>
        </w:rPr>
        <w:t>Efwon</w:t>
      </w:r>
      <w:proofErr w:type="spellEnd"/>
      <w:r>
        <w:rPr>
          <w:rFonts w:ascii="Arial" w:hAnsi="Arial" w:cs="Arial"/>
          <w:iCs/>
        </w:rPr>
        <w:t xml:space="preserve"> Group to finance:</w:t>
      </w:r>
    </w:p>
    <w:p w14:paraId="3056F4EA" w14:textId="77777777" w:rsidR="000958CD" w:rsidRDefault="000958CD" w:rsidP="000958CD">
      <w:pPr>
        <w:pStyle w:val="ListParagraph"/>
        <w:numPr>
          <w:ilvl w:val="1"/>
          <w:numId w:val="2"/>
        </w:numPr>
        <w:spacing w:before="120" w:after="120" w:line="300" w:lineRule="exact"/>
        <w:jc w:val="both"/>
        <w:rPr>
          <w:rFonts w:ascii="Arial" w:hAnsi="Arial" w:cs="Arial"/>
          <w:iCs/>
        </w:rPr>
      </w:pPr>
      <w:r>
        <w:rPr>
          <w:rFonts w:ascii="Arial" w:hAnsi="Arial" w:cs="Arial"/>
          <w:iCs/>
        </w:rPr>
        <w:t xml:space="preserve">The </w:t>
      </w:r>
      <w:r w:rsidRPr="00B66769">
        <w:rPr>
          <w:rFonts w:ascii="Arial" w:hAnsi="Arial" w:cs="Arial"/>
          <w:iCs/>
        </w:rPr>
        <w:t>acqui</w:t>
      </w:r>
      <w:r>
        <w:rPr>
          <w:rFonts w:ascii="Arial" w:hAnsi="Arial" w:cs="Arial"/>
          <w:iCs/>
        </w:rPr>
        <w:t xml:space="preserve">sition of </w:t>
      </w:r>
      <w:r w:rsidRPr="00B66769">
        <w:rPr>
          <w:rFonts w:ascii="Arial" w:hAnsi="Arial" w:cs="Arial"/>
          <w:iCs/>
        </w:rPr>
        <w:t xml:space="preserve">the assets and liabilities </w:t>
      </w:r>
      <w:r>
        <w:rPr>
          <w:rFonts w:ascii="Arial" w:hAnsi="Arial" w:cs="Arial"/>
          <w:iCs/>
        </w:rPr>
        <w:t>(</w:t>
      </w:r>
      <w:r w:rsidRPr="00B66769">
        <w:rPr>
          <w:rFonts w:ascii="Arial" w:hAnsi="Arial" w:cs="Arial"/>
          <w:iCs/>
        </w:rPr>
        <w:t>cars, facilities, team and F1 licenses</w:t>
      </w:r>
      <w:r>
        <w:rPr>
          <w:rFonts w:ascii="Arial" w:hAnsi="Arial" w:cs="Arial"/>
          <w:iCs/>
        </w:rPr>
        <w:t xml:space="preserve">) </w:t>
      </w:r>
      <w:r w:rsidRPr="00B66769">
        <w:rPr>
          <w:rFonts w:ascii="Arial" w:hAnsi="Arial" w:cs="Arial"/>
          <w:iCs/>
        </w:rPr>
        <w:t>of a Romanian F1 team for US$50 MM</w:t>
      </w:r>
      <w:r>
        <w:rPr>
          <w:rFonts w:ascii="Arial" w:hAnsi="Arial" w:cs="Arial"/>
          <w:iCs/>
        </w:rPr>
        <w:t>, f</w:t>
      </w:r>
      <w:r w:rsidRPr="00B66769">
        <w:rPr>
          <w:rFonts w:ascii="Arial" w:hAnsi="Arial" w:cs="Arial"/>
          <w:iCs/>
        </w:rPr>
        <w:t xml:space="preserve">ollowing </w:t>
      </w:r>
      <w:r>
        <w:rPr>
          <w:rFonts w:ascii="Arial" w:hAnsi="Arial" w:cs="Arial"/>
          <w:iCs/>
        </w:rPr>
        <w:t>which the</w:t>
      </w:r>
      <w:r w:rsidRPr="00B66769">
        <w:rPr>
          <w:rFonts w:ascii="Arial" w:hAnsi="Arial" w:cs="Arial"/>
          <w:iCs/>
        </w:rPr>
        <w:t xml:space="preserve"> </w:t>
      </w:r>
      <w:proofErr w:type="spellStart"/>
      <w:r w:rsidRPr="00B66769">
        <w:rPr>
          <w:rFonts w:ascii="Arial" w:hAnsi="Arial" w:cs="Arial"/>
          <w:iCs/>
        </w:rPr>
        <w:t>Efwon</w:t>
      </w:r>
      <w:proofErr w:type="spellEnd"/>
      <w:r w:rsidRPr="00B66769">
        <w:rPr>
          <w:rFonts w:ascii="Arial" w:hAnsi="Arial" w:cs="Arial"/>
          <w:iCs/>
        </w:rPr>
        <w:t xml:space="preserve"> Group started competing in the 2015 season as Team Maximov</w:t>
      </w:r>
      <w:r>
        <w:rPr>
          <w:rFonts w:ascii="Arial" w:hAnsi="Arial" w:cs="Arial"/>
          <w:iCs/>
        </w:rPr>
        <w:t xml:space="preserve">; and </w:t>
      </w:r>
    </w:p>
    <w:p w14:paraId="12FE8170" w14:textId="77777777" w:rsidR="000958CD" w:rsidRDefault="000958CD" w:rsidP="000958CD">
      <w:pPr>
        <w:pStyle w:val="ListParagraph"/>
        <w:numPr>
          <w:ilvl w:val="1"/>
          <w:numId w:val="2"/>
        </w:numPr>
        <w:spacing w:before="120" w:after="120" w:line="300" w:lineRule="exact"/>
        <w:jc w:val="both"/>
        <w:rPr>
          <w:rFonts w:ascii="Arial" w:hAnsi="Arial" w:cs="Arial"/>
          <w:iCs/>
        </w:rPr>
      </w:pPr>
      <w:r>
        <w:rPr>
          <w:rFonts w:ascii="Arial" w:hAnsi="Arial" w:cs="Arial"/>
          <w:iCs/>
        </w:rPr>
        <w:t xml:space="preserve">Team Maximov’s participation in the 2015 – 2017 F1 seasons (at roughly US$100 yearly).  </w:t>
      </w:r>
    </w:p>
    <w:p w14:paraId="404B165C" w14:textId="3938D237" w:rsidR="00B721F3" w:rsidRDefault="00D34DDD" w:rsidP="00B721F3">
      <w:pPr>
        <w:pStyle w:val="ListParagraph"/>
        <w:numPr>
          <w:ilvl w:val="0"/>
          <w:numId w:val="2"/>
        </w:numPr>
        <w:spacing w:before="120" w:after="120" w:line="300" w:lineRule="exact"/>
        <w:ind w:left="0" w:firstLine="360"/>
        <w:jc w:val="both"/>
        <w:rPr>
          <w:rFonts w:ascii="Arial" w:hAnsi="Arial" w:cs="Arial"/>
          <w:iCs/>
        </w:rPr>
      </w:pPr>
      <w:proofErr w:type="gramStart"/>
      <w:r w:rsidRPr="00D34DDD">
        <w:rPr>
          <w:rFonts w:ascii="Arial" w:hAnsi="Arial" w:cs="Arial"/>
          <w:iCs/>
        </w:rPr>
        <w:t>In order to</w:t>
      </w:r>
      <w:proofErr w:type="gramEnd"/>
      <w:r w:rsidRPr="00D34DDD">
        <w:rPr>
          <w:rFonts w:ascii="Arial" w:hAnsi="Arial" w:cs="Arial"/>
          <w:iCs/>
        </w:rPr>
        <w:t xml:space="preserve"> finance the 2018 season, </w:t>
      </w:r>
      <w:proofErr w:type="spellStart"/>
      <w:r w:rsidRPr="00D34DDD">
        <w:rPr>
          <w:rFonts w:ascii="Arial" w:hAnsi="Arial" w:cs="Arial"/>
          <w:iCs/>
        </w:rPr>
        <w:t>Efwon</w:t>
      </w:r>
      <w:proofErr w:type="spellEnd"/>
      <w:r w:rsidRPr="00D34DDD">
        <w:rPr>
          <w:rFonts w:ascii="Arial" w:hAnsi="Arial" w:cs="Arial"/>
          <w:iCs/>
        </w:rPr>
        <w:t xml:space="preserve"> Trading obtained a high-yield senior secured US$100 MM loan (the “Monaco Loan”) from a Monaco</w:t>
      </w:r>
      <w:r w:rsidR="00B06F75">
        <w:rPr>
          <w:rFonts w:ascii="Arial" w:hAnsi="Arial" w:cs="Arial"/>
          <w:iCs/>
        </w:rPr>
        <w:t>-based</w:t>
      </w:r>
      <w:r w:rsidRPr="00D34DDD">
        <w:rPr>
          <w:rFonts w:ascii="Arial" w:hAnsi="Arial" w:cs="Arial"/>
          <w:iCs/>
        </w:rPr>
        <w:t xml:space="preserve"> lender (the “Monaco Lender”). The Monaco Loan was secured by (</w:t>
      </w:r>
      <w:r w:rsidR="00F64D7B">
        <w:rPr>
          <w:rFonts w:ascii="Arial" w:hAnsi="Arial" w:cs="Arial"/>
          <w:iCs/>
        </w:rPr>
        <w:t>i</w:t>
      </w:r>
      <w:r w:rsidRPr="00D34DDD">
        <w:rPr>
          <w:rFonts w:ascii="Arial" w:hAnsi="Arial" w:cs="Arial"/>
          <w:iCs/>
        </w:rPr>
        <w:t xml:space="preserve">) a pledge over the revenues of </w:t>
      </w:r>
      <w:proofErr w:type="spellStart"/>
      <w:r w:rsidRPr="00D34DDD">
        <w:rPr>
          <w:rFonts w:ascii="Arial" w:hAnsi="Arial" w:cs="Arial"/>
          <w:iCs/>
        </w:rPr>
        <w:t>Efwon</w:t>
      </w:r>
      <w:proofErr w:type="spellEnd"/>
      <w:r w:rsidRPr="00D34DDD">
        <w:rPr>
          <w:rFonts w:ascii="Arial" w:hAnsi="Arial" w:cs="Arial"/>
          <w:iCs/>
        </w:rPr>
        <w:t xml:space="preserve"> Trading and its subsidiaries </w:t>
      </w:r>
      <w:proofErr w:type="spellStart"/>
      <w:r w:rsidRPr="00D34DDD">
        <w:rPr>
          <w:rFonts w:ascii="Arial" w:hAnsi="Arial" w:cs="Arial"/>
          <w:iCs/>
        </w:rPr>
        <w:t>Efwon</w:t>
      </w:r>
      <w:proofErr w:type="spellEnd"/>
      <w:r w:rsidRPr="00D34DDD">
        <w:rPr>
          <w:rFonts w:ascii="Arial" w:hAnsi="Arial" w:cs="Arial"/>
          <w:iCs/>
        </w:rPr>
        <w:t xml:space="preserve"> Romania and </w:t>
      </w:r>
      <w:proofErr w:type="spellStart"/>
      <w:r w:rsidRPr="00D34DDD">
        <w:rPr>
          <w:rFonts w:ascii="Arial" w:hAnsi="Arial" w:cs="Arial"/>
          <w:iCs/>
        </w:rPr>
        <w:t>Efwon</w:t>
      </w:r>
      <w:proofErr w:type="spellEnd"/>
      <w:r w:rsidRPr="00D34DDD">
        <w:rPr>
          <w:rFonts w:ascii="Arial" w:hAnsi="Arial" w:cs="Arial"/>
          <w:iCs/>
        </w:rPr>
        <w:t xml:space="preserve"> Singapore; and (ii) corporate guarantees issued by its subsidiaries </w:t>
      </w:r>
      <w:proofErr w:type="spellStart"/>
      <w:r w:rsidRPr="00D34DDD">
        <w:rPr>
          <w:rFonts w:ascii="Arial" w:hAnsi="Arial" w:cs="Arial"/>
          <w:iCs/>
        </w:rPr>
        <w:t>Efwon</w:t>
      </w:r>
      <w:proofErr w:type="spellEnd"/>
      <w:r w:rsidRPr="00D34DDD">
        <w:rPr>
          <w:rFonts w:ascii="Arial" w:hAnsi="Arial" w:cs="Arial"/>
          <w:iCs/>
        </w:rPr>
        <w:t xml:space="preserve"> Romania and </w:t>
      </w:r>
      <w:proofErr w:type="spellStart"/>
      <w:r w:rsidRPr="00D34DDD">
        <w:rPr>
          <w:rFonts w:ascii="Arial" w:hAnsi="Arial" w:cs="Arial"/>
          <w:iCs/>
        </w:rPr>
        <w:t>Efwon</w:t>
      </w:r>
      <w:proofErr w:type="spellEnd"/>
      <w:r w:rsidRPr="00D34DDD">
        <w:rPr>
          <w:rFonts w:ascii="Arial" w:hAnsi="Arial" w:cs="Arial"/>
          <w:iCs/>
        </w:rPr>
        <w:t xml:space="preserve"> Singapore</w:t>
      </w:r>
      <w:r w:rsidR="00B721F3" w:rsidRPr="0049613B">
        <w:rPr>
          <w:rFonts w:ascii="Arial" w:hAnsi="Arial" w:cs="Arial"/>
          <w:iCs/>
        </w:rPr>
        <w:t xml:space="preserve">.  </w:t>
      </w:r>
    </w:p>
    <w:p w14:paraId="3AB58E1F" w14:textId="6D078AC1" w:rsidR="003D094C" w:rsidRPr="00B66769" w:rsidRDefault="003D094C" w:rsidP="003D094C">
      <w:pPr>
        <w:pStyle w:val="ListParagraph"/>
        <w:numPr>
          <w:ilvl w:val="0"/>
          <w:numId w:val="2"/>
        </w:numPr>
        <w:spacing w:before="120" w:after="120" w:line="300" w:lineRule="exact"/>
        <w:ind w:left="0" w:firstLine="360"/>
        <w:jc w:val="both"/>
        <w:rPr>
          <w:rFonts w:ascii="Arial" w:hAnsi="Arial" w:cs="Arial"/>
          <w:iCs/>
        </w:rPr>
      </w:pPr>
      <w:r w:rsidRPr="00B66769">
        <w:rPr>
          <w:rFonts w:ascii="Arial" w:hAnsi="Arial" w:cs="Arial"/>
          <w:iCs/>
        </w:rPr>
        <w:t xml:space="preserve">The budget for the seasons 2019 – 2023 was financed </w:t>
      </w:r>
      <w:r>
        <w:rPr>
          <w:rFonts w:ascii="Arial" w:hAnsi="Arial" w:cs="Arial"/>
          <w:iCs/>
        </w:rPr>
        <w:t xml:space="preserve">entirely </w:t>
      </w:r>
      <w:r w:rsidRPr="00B66769">
        <w:rPr>
          <w:rFonts w:ascii="Arial" w:hAnsi="Arial" w:cs="Arial"/>
          <w:iCs/>
        </w:rPr>
        <w:t xml:space="preserve">through a 5-year exclusive sponsorship </w:t>
      </w:r>
      <w:proofErr w:type="gramStart"/>
      <w:r w:rsidRPr="00B66769">
        <w:rPr>
          <w:rFonts w:ascii="Arial" w:hAnsi="Arial" w:cs="Arial"/>
          <w:iCs/>
        </w:rPr>
        <w:t>entered into</w:t>
      </w:r>
      <w:proofErr w:type="gramEnd"/>
      <w:r w:rsidRPr="00B66769">
        <w:rPr>
          <w:rFonts w:ascii="Arial" w:hAnsi="Arial" w:cs="Arial"/>
          <w:iCs/>
        </w:rPr>
        <w:t xml:space="preserve"> with Kretek</w:t>
      </w:r>
      <w:r w:rsidR="00EB0F99">
        <w:rPr>
          <w:rFonts w:ascii="Arial" w:hAnsi="Arial" w:cs="Arial"/>
          <w:iCs/>
        </w:rPr>
        <w:t xml:space="preserve"> Indonesia</w:t>
      </w:r>
      <w:r>
        <w:rPr>
          <w:rFonts w:ascii="Arial" w:hAnsi="Arial" w:cs="Arial"/>
          <w:iCs/>
        </w:rPr>
        <w:t xml:space="preserve"> (US$100 MM per annum) and a portion of the revenues of each season</w:t>
      </w:r>
      <w:r w:rsidRPr="00B66769">
        <w:rPr>
          <w:rFonts w:ascii="Arial" w:hAnsi="Arial" w:cs="Arial"/>
          <w:iCs/>
        </w:rPr>
        <w:t xml:space="preserve">. </w:t>
      </w:r>
    </w:p>
    <w:p w14:paraId="621A1D44" w14:textId="2C0B0950" w:rsidR="003D094C" w:rsidRPr="0049613B" w:rsidRDefault="003D094C" w:rsidP="003D094C">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T</w:t>
      </w:r>
      <w:r w:rsidRPr="0049613B">
        <w:rPr>
          <w:rFonts w:ascii="Arial" w:hAnsi="Arial" w:cs="Arial"/>
          <w:iCs/>
        </w:rPr>
        <w:t xml:space="preserve">his puts the known financial liabilities of </w:t>
      </w:r>
      <w:r>
        <w:rPr>
          <w:rFonts w:ascii="Arial" w:hAnsi="Arial" w:cs="Arial"/>
          <w:iCs/>
        </w:rPr>
        <w:t xml:space="preserve">the </w:t>
      </w:r>
      <w:proofErr w:type="spellStart"/>
      <w:r>
        <w:rPr>
          <w:rFonts w:ascii="Arial" w:hAnsi="Arial" w:cs="Arial"/>
          <w:iCs/>
        </w:rPr>
        <w:t>Efwon</w:t>
      </w:r>
      <w:proofErr w:type="spellEnd"/>
      <w:r>
        <w:rPr>
          <w:rFonts w:ascii="Arial" w:hAnsi="Arial" w:cs="Arial"/>
          <w:iCs/>
        </w:rPr>
        <w:t xml:space="preserve"> Group </w:t>
      </w:r>
      <w:r w:rsidRPr="0049613B">
        <w:rPr>
          <w:rFonts w:ascii="Arial" w:hAnsi="Arial" w:cs="Arial"/>
          <w:iCs/>
        </w:rPr>
        <w:t>at around US$350 MM in debt and US$100 MM in equity.</w:t>
      </w:r>
      <w:r>
        <w:rPr>
          <w:rFonts w:ascii="Arial" w:hAnsi="Arial" w:cs="Arial"/>
          <w:iCs/>
        </w:rPr>
        <w:t xml:space="preserve">  This does not take into consideration the amounts of principal that have been repaid over the years, nor any non-financial liabilities.</w:t>
      </w:r>
    </w:p>
    <w:p w14:paraId="1EE1AA06" w14:textId="77777777" w:rsidR="003D094C" w:rsidRDefault="003D094C" w:rsidP="003D094C">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 xml:space="preserve">The </w:t>
      </w:r>
      <w:r>
        <w:rPr>
          <w:rFonts w:ascii="Arial" w:hAnsi="Arial" w:cs="Arial"/>
          <w:iCs/>
        </w:rPr>
        <w:t xml:space="preserve">Maximov </w:t>
      </w:r>
      <w:r w:rsidRPr="0049613B">
        <w:rPr>
          <w:rFonts w:ascii="Arial" w:hAnsi="Arial" w:cs="Arial"/>
          <w:iCs/>
        </w:rPr>
        <w:t xml:space="preserve">Team collected roughly US$30 MM in revenue in the 2015 season when it ranked 17th, and US$60 MM in revenue in the 2016 season revenue when it ranked 10th.  Team Maximov went all the way up to 6th place in the following seasons (presumably, so did the revenue). </w:t>
      </w:r>
    </w:p>
    <w:p w14:paraId="48428FC0" w14:textId="7D1E1B7F" w:rsidR="00996F65" w:rsidRDefault="004771E7" w:rsidP="003D094C">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 xml:space="preserve">At the end of </w:t>
      </w:r>
      <w:r w:rsidR="00247B7E">
        <w:rPr>
          <w:rFonts w:ascii="Arial" w:hAnsi="Arial" w:cs="Arial"/>
          <w:iCs/>
        </w:rPr>
        <w:t xml:space="preserve">the </w:t>
      </w:r>
      <w:r>
        <w:rPr>
          <w:rFonts w:ascii="Arial" w:hAnsi="Arial" w:cs="Arial"/>
          <w:iCs/>
        </w:rPr>
        <w:t>2022</w:t>
      </w:r>
      <w:r w:rsidR="00247B7E">
        <w:rPr>
          <w:rFonts w:ascii="Arial" w:hAnsi="Arial" w:cs="Arial"/>
          <w:iCs/>
        </w:rPr>
        <w:t xml:space="preserve"> season, Kretek Indonesia </w:t>
      </w:r>
      <w:r w:rsidR="00280F59">
        <w:rPr>
          <w:rFonts w:ascii="Arial" w:hAnsi="Arial" w:cs="Arial"/>
          <w:iCs/>
        </w:rPr>
        <w:t xml:space="preserve">informally indicated that it does not intend to renew its sponsorship for </w:t>
      </w:r>
      <w:r w:rsidR="005B4BCE">
        <w:rPr>
          <w:rFonts w:ascii="Arial" w:hAnsi="Arial" w:cs="Arial"/>
          <w:iCs/>
        </w:rPr>
        <w:t xml:space="preserve">2024 onward. Thus, the </w:t>
      </w:r>
      <w:proofErr w:type="spellStart"/>
      <w:r w:rsidR="005B4BCE">
        <w:rPr>
          <w:rFonts w:ascii="Arial" w:hAnsi="Arial" w:cs="Arial"/>
          <w:iCs/>
        </w:rPr>
        <w:t>Efwon</w:t>
      </w:r>
      <w:proofErr w:type="spellEnd"/>
      <w:r w:rsidR="005B4BCE">
        <w:rPr>
          <w:rFonts w:ascii="Arial" w:hAnsi="Arial" w:cs="Arial"/>
          <w:iCs/>
        </w:rPr>
        <w:t xml:space="preserve"> Group </w:t>
      </w:r>
      <w:r w:rsidR="007E1689">
        <w:rPr>
          <w:rFonts w:ascii="Arial" w:hAnsi="Arial" w:cs="Arial"/>
          <w:iCs/>
        </w:rPr>
        <w:t xml:space="preserve">had to identify a replacement sponsor. </w:t>
      </w:r>
    </w:p>
    <w:p w14:paraId="512605DF" w14:textId="1ED953BC" w:rsidR="007E1689" w:rsidRDefault="007E1689" w:rsidP="003D094C">
      <w:pPr>
        <w:pStyle w:val="ListParagraph"/>
        <w:numPr>
          <w:ilvl w:val="0"/>
          <w:numId w:val="2"/>
        </w:numPr>
        <w:spacing w:before="120" w:after="120" w:line="300" w:lineRule="exact"/>
        <w:ind w:left="0" w:firstLine="360"/>
        <w:jc w:val="both"/>
        <w:rPr>
          <w:rFonts w:ascii="Arial" w:hAnsi="Arial" w:cs="Arial"/>
          <w:iCs/>
        </w:rPr>
      </w:pPr>
      <w:proofErr w:type="spellStart"/>
      <w:r>
        <w:rPr>
          <w:rFonts w:ascii="Arial" w:hAnsi="Arial" w:cs="Arial"/>
          <w:iCs/>
        </w:rPr>
        <w:t>Efwon</w:t>
      </w:r>
      <w:proofErr w:type="spellEnd"/>
      <w:r>
        <w:rPr>
          <w:rFonts w:ascii="Arial" w:hAnsi="Arial" w:cs="Arial"/>
          <w:iCs/>
        </w:rPr>
        <w:t xml:space="preserve"> Singapore </w:t>
      </w:r>
      <w:r w:rsidR="00B07A01">
        <w:rPr>
          <w:rFonts w:ascii="Arial" w:hAnsi="Arial" w:cs="Arial"/>
          <w:iCs/>
        </w:rPr>
        <w:t xml:space="preserve">located </w:t>
      </w:r>
      <w:proofErr w:type="spellStart"/>
      <w:r w:rsidR="00B07A01">
        <w:rPr>
          <w:rFonts w:ascii="Arial" w:hAnsi="Arial" w:cs="Arial"/>
          <w:iCs/>
        </w:rPr>
        <w:t>KuasaNas</w:t>
      </w:r>
      <w:proofErr w:type="spellEnd"/>
      <w:r w:rsidR="00B07A01">
        <w:rPr>
          <w:rFonts w:ascii="Arial" w:hAnsi="Arial" w:cs="Arial"/>
          <w:iCs/>
        </w:rPr>
        <w:t xml:space="preserve">, a state-owned Malaysian company, </w:t>
      </w:r>
      <w:r w:rsidR="0004397A">
        <w:rPr>
          <w:rFonts w:ascii="Arial" w:hAnsi="Arial" w:cs="Arial"/>
          <w:iCs/>
        </w:rPr>
        <w:t xml:space="preserve">potentially interested to sponsor </w:t>
      </w:r>
      <w:r w:rsidR="00AA2A6A">
        <w:rPr>
          <w:rFonts w:ascii="Arial" w:hAnsi="Arial" w:cs="Arial"/>
          <w:iCs/>
        </w:rPr>
        <w:t xml:space="preserve">the Team and likely able to offer funding </w:t>
      </w:r>
      <w:proofErr w:type="gramStart"/>
      <w:r w:rsidR="00AA2A6A">
        <w:rPr>
          <w:rFonts w:ascii="Arial" w:hAnsi="Arial" w:cs="Arial"/>
          <w:iCs/>
        </w:rPr>
        <w:t>in excess of</w:t>
      </w:r>
      <w:proofErr w:type="gramEnd"/>
      <w:r w:rsidR="00AA2A6A">
        <w:rPr>
          <w:rFonts w:ascii="Arial" w:hAnsi="Arial" w:cs="Arial"/>
          <w:iCs/>
        </w:rPr>
        <w:t xml:space="preserve"> </w:t>
      </w:r>
      <w:r w:rsidR="009800A6">
        <w:rPr>
          <w:rFonts w:ascii="Arial" w:hAnsi="Arial" w:cs="Arial"/>
          <w:iCs/>
        </w:rPr>
        <w:t xml:space="preserve">US$100 MM annually. </w:t>
      </w:r>
      <w:proofErr w:type="spellStart"/>
      <w:r w:rsidR="00C01155">
        <w:rPr>
          <w:rFonts w:ascii="Arial" w:hAnsi="Arial" w:cs="Arial"/>
          <w:iCs/>
        </w:rPr>
        <w:t>KuasaNas</w:t>
      </w:r>
      <w:proofErr w:type="spellEnd"/>
      <w:r w:rsidR="00C01155">
        <w:rPr>
          <w:rFonts w:ascii="Arial" w:hAnsi="Arial" w:cs="Arial"/>
          <w:iCs/>
        </w:rPr>
        <w:t xml:space="preserve"> </w:t>
      </w:r>
      <w:r w:rsidR="00196204">
        <w:rPr>
          <w:rFonts w:ascii="Arial" w:hAnsi="Arial" w:cs="Arial"/>
          <w:iCs/>
        </w:rPr>
        <w:t xml:space="preserve">conditioned its sponsorship on acquiring a majority stake (51%) in </w:t>
      </w:r>
      <w:r w:rsidR="00A971B4">
        <w:rPr>
          <w:rFonts w:ascii="Arial" w:hAnsi="Arial" w:cs="Arial"/>
          <w:iCs/>
        </w:rPr>
        <w:t>the Team</w:t>
      </w:r>
      <w:r w:rsidR="00060326">
        <w:rPr>
          <w:rFonts w:ascii="Arial" w:hAnsi="Arial" w:cs="Arial"/>
          <w:iCs/>
        </w:rPr>
        <w:t xml:space="preserve"> and eventually move the Team to Malaysia</w:t>
      </w:r>
      <w:r w:rsidR="0034406C">
        <w:rPr>
          <w:rFonts w:ascii="Arial" w:hAnsi="Arial" w:cs="Arial"/>
          <w:iCs/>
        </w:rPr>
        <w:t>.</w:t>
      </w:r>
    </w:p>
    <w:p w14:paraId="2251683E" w14:textId="5A582D0F" w:rsidR="0034406C" w:rsidRDefault="005E5A23" w:rsidP="003D094C">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 xml:space="preserve">In </w:t>
      </w:r>
      <w:r w:rsidR="0076415F">
        <w:rPr>
          <w:rFonts w:ascii="Arial" w:hAnsi="Arial" w:cs="Arial"/>
          <w:iCs/>
        </w:rPr>
        <w:t xml:space="preserve">the </w:t>
      </w:r>
      <w:r w:rsidR="009E7F91">
        <w:rPr>
          <w:rFonts w:ascii="Arial" w:hAnsi="Arial" w:cs="Arial"/>
          <w:iCs/>
        </w:rPr>
        <w:t>last race of 2023</w:t>
      </w:r>
      <w:r w:rsidR="0076415F">
        <w:rPr>
          <w:rFonts w:ascii="Arial" w:hAnsi="Arial" w:cs="Arial"/>
          <w:iCs/>
        </w:rPr>
        <w:t xml:space="preserve">, </w:t>
      </w:r>
      <w:r w:rsidR="004E0013">
        <w:rPr>
          <w:rFonts w:ascii="Arial" w:hAnsi="Arial" w:cs="Arial"/>
          <w:iCs/>
        </w:rPr>
        <w:t>the Romanian drivers</w:t>
      </w:r>
      <w:r w:rsidR="00875FAD">
        <w:rPr>
          <w:rFonts w:ascii="Arial" w:hAnsi="Arial" w:cs="Arial"/>
          <w:iCs/>
        </w:rPr>
        <w:t xml:space="preserve"> were injured </w:t>
      </w:r>
      <w:r w:rsidR="009E7F91">
        <w:rPr>
          <w:rFonts w:ascii="Arial" w:hAnsi="Arial" w:cs="Arial"/>
          <w:iCs/>
        </w:rPr>
        <w:t xml:space="preserve">and filed </w:t>
      </w:r>
      <w:r w:rsidR="007D7C9C">
        <w:rPr>
          <w:rFonts w:ascii="Arial" w:hAnsi="Arial" w:cs="Arial"/>
          <w:iCs/>
        </w:rPr>
        <w:t>claims in Romanian courts, citing defects in safety and management</w:t>
      </w:r>
      <w:r w:rsidR="00A5586E">
        <w:rPr>
          <w:rFonts w:ascii="Arial" w:hAnsi="Arial" w:cs="Arial"/>
          <w:iCs/>
        </w:rPr>
        <w:t>, which may award them substantial compensation if successful.</w:t>
      </w:r>
    </w:p>
    <w:p w14:paraId="06C0CA8A" w14:textId="35EE15AF" w:rsidR="008C01C8" w:rsidRDefault="008C01C8" w:rsidP="003D094C">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As part of a legal strategy</w:t>
      </w:r>
      <w:r w:rsidR="00A728C5">
        <w:rPr>
          <w:rFonts w:ascii="Arial" w:hAnsi="Arial" w:cs="Arial"/>
          <w:iCs/>
        </w:rPr>
        <w:t xml:space="preserve"> and as an interim measure</w:t>
      </w:r>
      <w:r>
        <w:rPr>
          <w:rFonts w:ascii="Arial" w:hAnsi="Arial" w:cs="Arial"/>
          <w:iCs/>
        </w:rPr>
        <w:t xml:space="preserve">, </w:t>
      </w:r>
      <w:r w:rsidR="00A728C5">
        <w:rPr>
          <w:rFonts w:ascii="Arial" w:hAnsi="Arial" w:cs="Arial"/>
          <w:iCs/>
        </w:rPr>
        <w:t xml:space="preserve">the </w:t>
      </w:r>
      <w:r w:rsidR="00FF6C6C">
        <w:rPr>
          <w:rFonts w:ascii="Arial" w:hAnsi="Arial" w:cs="Arial"/>
          <w:iCs/>
        </w:rPr>
        <w:t xml:space="preserve">lawyers of the </w:t>
      </w:r>
      <w:r w:rsidR="00A728C5">
        <w:rPr>
          <w:rFonts w:ascii="Arial" w:hAnsi="Arial" w:cs="Arial"/>
          <w:iCs/>
        </w:rPr>
        <w:t xml:space="preserve">Romanian drivers </w:t>
      </w:r>
      <w:r w:rsidR="00FF6C6C">
        <w:rPr>
          <w:rFonts w:ascii="Arial" w:hAnsi="Arial" w:cs="Arial"/>
          <w:iCs/>
        </w:rPr>
        <w:t>file</w:t>
      </w:r>
      <w:r w:rsidR="00B558FA">
        <w:rPr>
          <w:rFonts w:ascii="Arial" w:hAnsi="Arial" w:cs="Arial"/>
          <w:iCs/>
        </w:rPr>
        <w:t>d</w:t>
      </w:r>
      <w:r w:rsidR="00FF6C6C">
        <w:rPr>
          <w:rFonts w:ascii="Arial" w:hAnsi="Arial" w:cs="Arial"/>
          <w:iCs/>
        </w:rPr>
        <w:t xml:space="preserve"> an insolvency petition against </w:t>
      </w:r>
      <w:proofErr w:type="spellStart"/>
      <w:r w:rsidR="00FF6C6C">
        <w:rPr>
          <w:rFonts w:ascii="Arial" w:hAnsi="Arial" w:cs="Arial"/>
          <w:iCs/>
        </w:rPr>
        <w:t>Efwon</w:t>
      </w:r>
      <w:proofErr w:type="spellEnd"/>
      <w:r w:rsidR="00FF6C6C">
        <w:rPr>
          <w:rFonts w:ascii="Arial" w:hAnsi="Arial" w:cs="Arial"/>
          <w:iCs/>
        </w:rPr>
        <w:t xml:space="preserve"> Romania in </w:t>
      </w:r>
      <w:r w:rsidR="00860B93">
        <w:rPr>
          <w:rFonts w:ascii="Arial" w:hAnsi="Arial" w:cs="Arial"/>
          <w:iCs/>
        </w:rPr>
        <w:t xml:space="preserve">the </w:t>
      </w:r>
      <w:r w:rsidR="00FF6C6C">
        <w:rPr>
          <w:rFonts w:ascii="Arial" w:hAnsi="Arial" w:cs="Arial"/>
          <w:iCs/>
        </w:rPr>
        <w:t>Romania</w:t>
      </w:r>
      <w:r w:rsidR="00860B93">
        <w:rPr>
          <w:rFonts w:ascii="Arial" w:hAnsi="Arial" w:cs="Arial"/>
          <w:iCs/>
        </w:rPr>
        <w:t xml:space="preserve"> bankruptcy court </w:t>
      </w:r>
      <w:r w:rsidR="002710F1">
        <w:rPr>
          <w:rFonts w:ascii="Arial" w:hAnsi="Arial" w:cs="Arial"/>
          <w:iCs/>
        </w:rPr>
        <w:t xml:space="preserve">and have obtained </w:t>
      </w:r>
      <w:r w:rsidR="00724AB4">
        <w:rPr>
          <w:rFonts w:ascii="Arial" w:hAnsi="Arial" w:cs="Arial"/>
          <w:iCs/>
        </w:rPr>
        <w:t xml:space="preserve">freezing injunctions over </w:t>
      </w:r>
      <w:proofErr w:type="spellStart"/>
      <w:r w:rsidR="00724AB4">
        <w:rPr>
          <w:rFonts w:ascii="Arial" w:hAnsi="Arial" w:cs="Arial"/>
          <w:iCs/>
        </w:rPr>
        <w:t>Efwon</w:t>
      </w:r>
      <w:proofErr w:type="spellEnd"/>
      <w:r w:rsidR="00724AB4">
        <w:rPr>
          <w:rFonts w:ascii="Arial" w:hAnsi="Arial" w:cs="Arial"/>
          <w:iCs/>
        </w:rPr>
        <w:t xml:space="preserve"> Romania </w:t>
      </w:r>
      <w:r w:rsidR="007C78B8">
        <w:rPr>
          <w:rFonts w:ascii="Arial" w:hAnsi="Arial" w:cs="Arial"/>
          <w:iCs/>
        </w:rPr>
        <w:t>assets and income, pending the Romania bankruptcy court’s order to open insolvency proceedings.</w:t>
      </w:r>
    </w:p>
    <w:p w14:paraId="19475DD1" w14:textId="49D8F33F" w:rsidR="008C55CD" w:rsidRDefault="008C55CD" w:rsidP="003D094C">
      <w:pPr>
        <w:pStyle w:val="ListParagraph"/>
        <w:numPr>
          <w:ilvl w:val="0"/>
          <w:numId w:val="2"/>
        </w:numPr>
        <w:spacing w:before="120" w:after="120" w:line="300" w:lineRule="exact"/>
        <w:ind w:left="0" w:firstLine="360"/>
        <w:jc w:val="both"/>
        <w:rPr>
          <w:rFonts w:ascii="Arial" w:hAnsi="Arial" w:cs="Arial"/>
          <w:iCs/>
        </w:rPr>
      </w:pPr>
      <w:r w:rsidRPr="007C4D69">
        <w:rPr>
          <w:rFonts w:ascii="Arial" w:hAnsi="Arial" w:cs="Arial"/>
          <w:iCs/>
        </w:rPr>
        <w:lastRenderedPageBreak/>
        <w:t xml:space="preserve">The </w:t>
      </w:r>
      <w:r w:rsidR="008E6AB4" w:rsidRPr="007C4D69">
        <w:rPr>
          <w:rFonts w:ascii="Arial" w:hAnsi="Arial" w:cs="Arial"/>
          <w:iCs/>
        </w:rPr>
        <w:t>drivers’ tort claims and potential</w:t>
      </w:r>
      <w:r w:rsidR="00BC62F0" w:rsidRPr="007C4D69">
        <w:rPr>
          <w:rFonts w:ascii="Arial" w:hAnsi="Arial" w:cs="Arial"/>
          <w:iCs/>
        </w:rPr>
        <w:t xml:space="preserve"> opening of</w:t>
      </w:r>
      <w:r w:rsidR="008E6AB4" w:rsidRPr="007C4D69">
        <w:rPr>
          <w:rFonts w:ascii="Arial" w:hAnsi="Arial" w:cs="Arial"/>
          <w:iCs/>
        </w:rPr>
        <w:t xml:space="preserve"> insolvency proceeding of </w:t>
      </w:r>
      <w:proofErr w:type="spellStart"/>
      <w:r w:rsidR="008E6AB4" w:rsidRPr="007C4D69">
        <w:rPr>
          <w:rFonts w:ascii="Arial" w:hAnsi="Arial" w:cs="Arial"/>
          <w:iCs/>
        </w:rPr>
        <w:t>Efwon</w:t>
      </w:r>
      <w:proofErr w:type="spellEnd"/>
      <w:r w:rsidR="008E6AB4" w:rsidRPr="007C4D69">
        <w:rPr>
          <w:rFonts w:ascii="Arial" w:hAnsi="Arial" w:cs="Arial"/>
          <w:iCs/>
        </w:rPr>
        <w:t xml:space="preserve"> Romania</w:t>
      </w:r>
      <w:r w:rsidR="00427E9D" w:rsidRPr="007C4D69">
        <w:rPr>
          <w:rFonts w:ascii="Arial" w:hAnsi="Arial" w:cs="Arial"/>
          <w:iCs/>
        </w:rPr>
        <w:t xml:space="preserve"> </w:t>
      </w:r>
      <w:r w:rsidR="001C22D8" w:rsidRPr="007C4D69">
        <w:rPr>
          <w:rFonts w:ascii="Arial" w:hAnsi="Arial" w:cs="Arial"/>
          <w:iCs/>
        </w:rPr>
        <w:t>may</w:t>
      </w:r>
      <w:r w:rsidR="005503CC" w:rsidRPr="007C4D69">
        <w:rPr>
          <w:rFonts w:ascii="Arial" w:hAnsi="Arial" w:cs="Arial"/>
          <w:iCs/>
        </w:rPr>
        <w:t xml:space="preserve"> cause the company to</w:t>
      </w:r>
      <w:r w:rsidR="00427E9D" w:rsidRPr="007C4D69">
        <w:rPr>
          <w:rFonts w:ascii="Arial" w:hAnsi="Arial" w:cs="Arial"/>
          <w:iCs/>
        </w:rPr>
        <w:t xml:space="preserve"> default on its payments to </w:t>
      </w:r>
      <w:proofErr w:type="spellStart"/>
      <w:r w:rsidR="00427E9D" w:rsidRPr="007C4D69">
        <w:rPr>
          <w:rFonts w:ascii="Arial" w:hAnsi="Arial" w:cs="Arial"/>
          <w:iCs/>
        </w:rPr>
        <w:t>Efwon</w:t>
      </w:r>
      <w:proofErr w:type="spellEnd"/>
      <w:r w:rsidR="00427E9D" w:rsidRPr="007C4D69">
        <w:rPr>
          <w:rFonts w:ascii="Arial" w:hAnsi="Arial" w:cs="Arial"/>
          <w:iCs/>
        </w:rPr>
        <w:t xml:space="preserve"> Trading</w:t>
      </w:r>
      <w:r w:rsidR="00F910D6" w:rsidRPr="007C4D69">
        <w:rPr>
          <w:rFonts w:ascii="Arial" w:hAnsi="Arial" w:cs="Arial"/>
          <w:iCs/>
        </w:rPr>
        <w:t xml:space="preserve"> due in early 2024. This, in turn, will lead to default on </w:t>
      </w:r>
      <w:proofErr w:type="spellStart"/>
      <w:r w:rsidR="00F910D6" w:rsidRPr="007C4D69">
        <w:rPr>
          <w:rFonts w:ascii="Arial" w:hAnsi="Arial" w:cs="Arial"/>
          <w:iCs/>
        </w:rPr>
        <w:t>Efwon</w:t>
      </w:r>
      <w:proofErr w:type="spellEnd"/>
      <w:r w:rsidR="00F910D6" w:rsidRPr="007C4D69">
        <w:rPr>
          <w:rFonts w:ascii="Arial" w:hAnsi="Arial" w:cs="Arial"/>
          <w:iCs/>
        </w:rPr>
        <w:t xml:space="preserve"> Trading’s obligations to </w:t>
      </w:r>
      <w:proofErr w:type="spellStart"/>
      <w:r w:rsidR="00F910D6" w:rsidRPr="007C4D69">
        <w:rPr>
          <w:rFonts w:ascii="Arial" w:hAnsi="Arial" w:cs="Arial"/>
          <w:iCs/>
        </w:rPr>
        <w:t>Efwon</w:t>
      </w:r>
      <w:proofErr w:type="spellEnd"/>
      <w:r w:rsidR="00F910D6" w:rsidRPr="007C4D69">
        <w:rPr>
          <w:rFonts w:ascii="Arial" w:hAnsi="Arial" w:cs="Arial"/>
          <w:iCs/>
        </w:rPr>
        <w:t xml:space="preserve"> Investments</w:t>
      </w:r>
      <w:r w:rsidR="002565AC" w:rsidRPr="007C4D69">
        <w:rPr>
          <w:rFonts w:ascii="Arial" w:hAnsi="Arial" w:cs="Arial"/>
          <w:iCs/>
        </w:rPr>
        <w:t xml:space="preserve"> and placing it in risk of insolvency.</w:t>
      </w:r>
      <w:r w:rsidR="00EF5616" w:rsidRPr="007C4D69">
        <w:rPr>
          <w:rFonts w:ascii="Arial" w:hAnsi="Arial" w:cs="Arial"/>
          <w:iCs/>
        </w:rPr>
        <w:t xml:space="preserve"> </w:t>
      </w:r>
      <w:proofErr w:type="spellStart"/>
      <w:r w:rsidR="00EF5616" w:rsidRPr="007C4D69">
        <w:rPr>
          <w:rFonts w:ascii="Arial" w:hAnsi="Arial" w:cs="Arial"/>
          <w:iCs/>
        </w:rPr>
        <w:t>Efwon</w:t>
      </w:r>
      <w:proofErr w:type="spellEnd"/>
      <w:r w:rsidR="00EF5616">
        <w:rPr>
          <w:rFonts w:ascii="Arial" w:hAnsi="Arial" w:cs="Arial"/>
          <w:iCs/>
        </w:rPr>
        <w:t xml:space="preserve"> Trading may </w:t>
      </w:r>
      <w:r w:rsidR="00816442">
        <w:rPr>
          <w:rFonts w:ascii="Arial" w:hAnsi="Arial" w:cs="Arial"/>
          <w:iCs/>
        </w:rPr>
        <w:t xml:space="preserve">default </w:t>
      </w:r>
      <w:r w:rsidR="00363811">
        <w:rPr>
          <w:rFonts w:ascii="Arial" w:hAnsi="Arial" w:cs="Arial"/>
          <w:iCs/>
        </w:rPr>
        <w:t>on</w:t>
      </w:r>
      <w:r w:rsidR="00816442">
        <w:rPr>
          <w:rFonts w:ascii="Arial" w:hAnsi="Arial" w:cs="Arial"/>
          <w:iCs/>
        </w:rPr>
        <w:t xml:space="preserve"> its obligations to the Monaco lender</w:t>
      </w:r>
      <w:r w:rsidR="0099241C">
        <w:rPr>
          <w:rFonts w:ascii="Arial" w:hAnsi="Arial" w:cs="Arial"/>
          <w:iCs/>
        </w:rPr>
        <w:t xml:space="preserve"> which could lead to enforcement actions and potentially bankruptcy.</w:t>
      </w:r>
    </w:p>
    <w:p w14:paraId="51A6F347" w14:textId="45471DCB" w:rsidR="007C4D69" w:rsidRDefault="003E0883" w:rsidP="003D094C">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The US lenders are considering foreclosing on</w:t>
      </w:r>
      <w:r w:rsidR="00B30DB2">
        <w:rPr>
          <w:rFonts w:ascii="Arial" w:hAnsi="Arial" w:cs="Arial"/>
          <w:iCs/>
        </w:rPr>
        <w:t xml:space="preserve"> their security provided by </w:t>
      </w:r>
      <w:proofErr w:type="spellStart"/>
      <w:r w:rsidR="00B30DB2">
        <w:rPr>
          <w:rFonts w:ascii="Arial" w:hAnsi="Arial" w:cs="Arial"/>
          <w:iCs/>
        </w:rPr>
        <w:t>Efwon</w:t>
      </w:r>
      <w:proofErr w:type="spellEnd"/>
      <w:r w:rsidR="00B30DB2">
        <w:rPr>
          <w:rFonts w:ascii="Arial" w:hAnsi="Arial" w:cs="Arial"/>
          <w:iCs/>
        </w:rPr>
        <w:t xml:space="preserve"> Investments</w:t>
      </w:r>
      <w:r w:rsidR="00BF6EC8">
        <w:rPr>
          <w:rFonts w:ascii="Arial" w:hAnsi="Arial" w:cs="Arial"/>
          <w:iCs/>
        </w:rPr>
        <w:t>. The Monaco lender is also considering its options</w:t>
      </w:r>
      <w:r w:rsidR="0004087B">
        <w:rPr>
          <w:rFonts w:ascii="Arial" w:hAnsi="Arial" w:cs="Arial"/>
          <w:iCs/>
        </w:rPr>
        <w:t xml:space="preserve"> for the loan it extended to </w:t>
      </w:r>
      <w:proofErr w:type="spellStart"/>
      <w:r w:rsidR="0004087B">
        <w:rPr>
          <w:rFonts w:ascii="Arial" w:hAnsi="Arial" w:cs="Arial"/>
          <w:iCs/>
        </w:rPr>
        <w:t>Efwon</w:t>
      </w:r>
      <w:proofErr w:type="spellEnd"/>
      <w:r w:rsidR="0004087B">
        <w:rPr>
          <w:rFonts w:ascii="Arial" w:hAnsi="Arial" w:cs="Arial"/>
          <w:iCs/>
        </w:rPr>
        <w:t xml:space="preserve"> Trading, which is </w:t>
      </w:r>
      <w:r w:rsidR="008D174F">
        <w:rPr>
          <w:rFonts w:ascii="Arial" w:hAnsi="Arial" w:cs="Arial"/>
          <w:iCs/>
        </w:rPr>
        <w:t>secured on the latter’s revenues</w:t>
      </w:r>
      <w:r w:rsidR="003C508F">
        <w:rPr>
          <w:rFonts w:ascii="Arial" w:hAnsi="Arial" w:cs="Arial"/>
          <w:iCs/>
        </w:rPr>
        <w:t xml:space="preserve">, as well as those of </w:t>
      </w:r>
      <w:proofErr w:type="spellStart"/>
      <w:r w:rsidR="00A85765">
        <w:rPr>
          <w:rFonts w:ascii="Arial" w:hAnsi="Arial" w:cs="Arial"/>
          <w:iCs/>
        </w:rPr>
        <w:t>Efwon</w:t>
      </w:r>
      <w:proofErr w:type="spellEnd"/>
      <w:r w:rsidR="00A85765">
        <w:rPr>
          <w:rFonts w:ascii="Arial" w:hAnsi="Arial" w:cs="Arial"/>
          <w:iCs/>
        </w:rPr>
        <w:t xml:space="preserve"> Singapore and </w:t>
      </w:r>
      <w:proofErr w:type="spellStart"/>
      <w:r w:rsidR="00A85765">
        <w:rPr>
          <w:rFonts w:ascii="Arial" w:hAnsi="Arial" w:cs="Arial"/>
          <w:iCs/>
        </w:rPr>
        <w:t>Efwon</w:t>
      </w:r>
      <w:proofErr w:type="spellEnd"/>
      <w:r w:rsidR="00A85765">
        <w:rPr>
          <w:rFonts w:ascii="Arial" w:hAnsi="Arial" w:cs="Arial"/>
          <w:iCs/>
        </w:rPr>
        <w:t xml:space="preserve"> Romania</w:t>
      </w:r>
      <w:r w:rsidR="009620A3">
        <w:rPr>
          <w:rFonts w:ascii="Arial" w:hAnsi="Arial" w:cs="Arial"/>
          <w:iCs/>
        </w:rPr>
        <w:t xml:space="preserve"> and guaranteed by</w:t>
      </w:r>
      <w:r w:rsidR="00E8394C">
        <w:rPr>
          <w:rFonts w:ascii="Arial" w:hAnsi="Arial" w:cs="Arial"/>
          <w:iCs/>
        </w:rPr>
        <w:t xml:space="preserve"> all three companies (</w:t>
      </w:r>
      <w:proofErr w:type="spellStart"/>
      <w:r w:rsidR="00E8394C">
        <w:rPr>
          <w:rFonts w:ascii="Arial" w:hAnsi="Arial" w:cs="Arial"/>
          <w:iCs/>
        </w:rPr>
        <w:t>EfwonTrading</w:t>
      </w:r>
      <w:proofErr w:type="spellEnd"/>
      <w:r w:rsidR="00E8394C">
        <w:rPr>
          <w:rFonts w:ascii="Arial" w:hAnsi="Arial" w:cs="Arial"/>
          <w:iCs/>
        </w:rPr>
        <w:t xml:space="preserve">, </w:t>
      </w:r>
      <w:proofErr w:type="spellStart"/>
      <w:r w:rsidR="00E8394C">
        <w:rPr>
          <w:rFonts w:ascii="Arial" w:hAnsi="Arial" w:cs="Arial"/>
          <w:iCs/>
        </w:rPr>
        <w:t>Efwon</w:t>
      </w:r>
      <w:proofErr w:type="spellEnd"/>
      <w:r w:rsidR="00E8394C">
        <w:rPr>
          <w:rFonts w:ascii="Arial" w:hAnsi="Arial" w:cs="Arial"/>
          <w:iCs/>
        </w:rPr>
        <w:t xml:space="preserve"> Romania and </w:t>
      </w:r>
      <w:proofErr w:type="spellStart"/>
      <w:r w:rsidR="00E8394C">
        <w:rPr>
          <w:rFonts w:ascii="Arial" w:hAnsi="Arial" w:cs="Arial"/>
          <w:iCs/>
        </w:rPr>
        <w:t>Efwon</w:t>
      </w:r>
      <w:proofErr w:type="spellEnd"/>
      <w:r w:rsidR="00E8394C">
        <w:rPr>
          <w:rFonts w:ascii="Arial" w:hAnsi="Arial" w:cs="Arial"/>
          <w:iCs/>
        </w:rPr>
        <w:t xml:space="preserve"> Singapore)</w:t>
      </w:r>
      <w:r w:rsidR="00A85765">
        <w:rPr>
          <w:rFonts w:ascii="Arial" w:hAnsi="Arial" w:cs="Arial"/>
          <w:iCs/>
        </w:rPr>
        <w:t xml:space="preserve">. </w:t>
      </w:r>
    </w:p>
    <w:p w14:paraId="123661A8" w14:textId="2EB819B7" w:rsidR="00326E7E" w:rsidRPr="0049613B" w:rsidRDefault="00E95F6B" w:rsidP="003D094C">
      <w:pPr>
        <w:pStyle w:val="ListParagraph"/>
        <w:numPr>
          <w:ilvl w:val="0"/>
          <w:numId w:val="2"/>
        </w:numPr>
        <w:spacing w:before="120" w:after="120" w:line="300" w:lineRule="exact"/>
        <w:ind w:left="0" w:firstLine="360"/>
        <w:jc w:val="both"/>
        <w:rPr>
          <w:rFonts w:ascii="Arial" w:hAnsi="Arial" w:cs="Arial"/>
          <w:iCs/>
        </w:rPr>
      </w:pPr>
      <w:proofErr w:type="spellStart"/>
      <w:r>
        <w:rPr>
          <w:rFonts w:ascii="Arial" w:hAnsi="Arial" w:cs="Arial"/>
          <w:iCs/>
        </w:rPr>
        <w:t>KuasaNas</w:t>
      </w:r>
      <w:proofErr w:type="spellEnd"/>
      <w:r>
        <w:rPr>
          <w:rFonts w:ascii="Arial" w:hAnsi="Arial" w:cs="Arial"/>
          <w:iCs/>
        </w:rPr>
        <w:t xml:space="preserve"> </w:t>
      </w:r>
      <w:r w:rsidR="006F3392">
        <w:rPr>
          <w:rFonts w:ascii="Arial" w:hAnsi="Arial" w:cs="Arial"/>
          <w:iCs/>
        </w:rPr>
        <w:t xml:space="preserve">still </w:t>
      </w:r>
      <w:proofErr w:type="gramStart"/>
      <w:r w:rsidR="006F3392">
        <w:rPr>
          <w:rFonts w:ascii="Arial" w:hAnsi="Arial" w:cs="Arial"/>
          <w:iCs/>
        </w:rPr>
        <w:t>has to</w:t>
      </w:r>
      <w:proofErr w:type="gramEnd"/>
      <w:r w:rsidR="006F3392">
        <w:rPr>
          <w:rFonts w:ascii="Arial" w:hAnsi="Arial" w:cs="Arial"/>
          <w:iCs/>
        </w:rPr>
        <w:t xml:space="preserve"> go through</w:t>
      </w:r>
      <w:r>
        <w:rPr>
          <w:rFonts w:ascii="Arial" w:hAnsi="Arial" w:cs="Arial"/>
          <w:iCs/>
        </w:rPr>
        <w:t xml:space="preserve"> the Malaysian Government review of its intended contract</w:t>
      </w:r>
      <w:r w:rsidR="006F3392">
        <w:rPr>
          <w:rFonts w:ascii="Arial" w:hAnsi="Arial" w:cs="Arial"/>
          <w:iCs/>
        </w:rPr>
        <w:t xml:space="preserve"> but is also pre-conditioning </w:t>
      </w:r>
      <w:r w:rsidR="004A0BB0">
        <w:rPr>
          <w:rFonts w:ascii="Arial" w:hAnsi="Arial" w:cs="Arial"/>
          <w:iCs/>
        </w:rPr>
        <w:t xml:space="preserve">its sponsorship to the </w:t>
      </w:r>
      <w:proofErr w:type="spellStart"/>
      <w:r w:rsidR="004A0BB0">
        <w:rPr>
          <w:rFonts w:ascii="Arial" w:hAnsi="Arial" w:cs="Arial"/>
          <w:iCs/>
        </w:rPr>
        <w:t>Efwon</w:t>
      </w:r>
      <w:proofErr w:type="spellEnd"/>
      <w:r w:rsidR="004A0BB0">
        <w:rPr>
          <w:rFonts w:ascii="Arial" w:hAnsi="Arial" w:cs="Arial"/>
          <w:iCs/>
        </w:rPr>
        <w:t xml:space="preserve"> Group on the</w:t>
      </w:r>
      <w:r w:rsidR="00516A86">
        <w:rPr>
          <w:rFonts w:ascii="Arial" w:hAnsi="Arial" w:cs="Arial"/>
          <w:iCs/>
        </w:rPr>
        <w:t xml:space="preserve"> quick</w:t>
      </w:r>
      <w:r w:rsidR="004A0BB0">
        <w:rPr>
          <w:rFonts w:ascii="Arial" w:hAnsi="Arial" w:cs="Arial"/>
          <w:iCs/>
        </w:rPr>
        <w:t xml:space="preserve"> </w:t>
      </w:r>
      <w:r w:rsidR="00516A86">
        <w:rPr>
          <w:rFonts w:ascii="Arial" w:hAnsi="Arial" w:cs="Arial"/>
          <w:iCs/>
        </w:rPr>
        <w:t xml:space="preserve">resolution of the impending insolvency issues. </w:t>
      </w:r>
      <w:proofErr w:type="spellStart"/>
      <w:r w:rsidR="00516A86">
        <w:rPr>
          <w:rFonts w:ascii="Arial" w:hAnsi="Arial" w:cs="Arial"/>
          <w:iCs/>
        </w:rPr>
        <w:t>KuasaNas</w:t>
      </w:r>
      <w:proofErr w:type="spellEnd"/>
      <w:r w:rsidR="00516A86">
        <w:rPr>
          <w:rFonts w:ascii="Arial" w:hAnsi="Arial" w:cs="Arial"/>
          <w:iCs/>
        </w:rPr>
        <w:t xml:space="preserve"> will only agree to invest</w:t>
      </w:r>
      <w:r w:rsidR="003A3A3A">
        <w:rPr>
          <w:rFonts w:ascii="Arial" w:hAnsi="Arial" w:cs="Arial"/>
          <w:iCs/>
        </w:rPr>
        <w:t xml:space="preserve"> and participate in the Group if its financial situation is </w:t>
      </w:r>
      <w:r w:rsidR="00000627">
        <w:rPr>
          <w:rFonts w:ascii="Arial" w:hAnsi="Arial" w:cs="Arial"/>
          <w:iCs/>
        </w:rPr>
        <w:t>stabilized,</w:t>
      </w:r>
      <w:r w:rsidR="003A3A3A">
        <w:rPr>
          <w:rFonts w:ascii="Arial" w:hAnsi="Arial" w:cs="Arial"/>
          <w:iCs/>
        </w:rPr>
        <w:t xml:space="preserve"> and insolvency is avoided at all Group levels.</w:t>
      </w:r>
    </w:p>
    <w:p w14:paraId="1BA59965" w14:textId="2608325E" w:rsidR="00B721F3" w:rsidRPr="00221713" w:rsidRDefault="00B721F3" w:rsidP="00B721F3">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 xml:space="preserve">We have attached for convenience a table of </w:t>
      </w:r>
      <w:r w:rsidR="000C2754">
        <w:rPr>
          <w:rFonts w:ascii="Arial" w:hAnsi="Arial" w:cs="Arial"/>
          <w:iCs/>
        </w:rPr>
        <w:t>the members of</w:t>
      </w:r>
      <w:r w:rsidR="000325D3">
        <w:rPr>
          <w:rFonts w:ascii="Arial" w:hAnsi="Arial" w:cs="Arial"/>
          <w:iCs/>
        </w:rPr>
        <w:t xml:space="preserve"> the </w:t>
      </w:r>
      <w:proofErr w:type="spellStart"/>
      <w:r w:rsidR="000325D3">
        <w:rPr>
          <w:rFonts w:ascii="Arial" w:hAnsi="Arial" w:cs="Arial"/>
          <w:iCs/>
        </w:rPr>
        <w:t>Efwon</w:t>
      </w:r>
      <w:proofErr w:type="spellEnd"/>
      <w:r w:rsidR="000325D3">
        <w:rPr>
          <w:rFonts w:ascii="Arial" w:hAnsi="Arial" w:cs="Arial"/>
          <w:iCs/>
        </w:rPr>
        <w:t xml:space="preserve"> Group</w:t>
      </w:r>
      <w:r w:rsidR="000C2754">
        <w:rPr>
          <w:rFonts w:ascii="Arial" w:hAnsi="Arial" w:cs="Arial"/>
          <w:iCs/>
        </w:rPr>
        <w:t xml:space="preserve"> a</w:t>
      </w:r>
      <w:r w:rsidR="00DF59C4">
        <w:rPr>
          <w:rFonts w:ascii="Arial" w:hAnsi="Arial" w:cs="Arial"/>
          <w:iCs/>
        </w:rPr>
        <w:t>nd its relevant stakeholders</w:t>
      </w:r>
      <w:r w:rsidR="000325D3">
        <w:rPr>
          <w:rFonts w:ascii="Arial" w:hAnsi="Arial" w:cs="Arial"/>
          <w:iCs/>
        </w:rPr>
        <w:t xml:space="preserve"> </w:t>
      </w:r>
      <w:r w:rsidRPr="0049613B">
        <w:rPr>
          <w:rFonts w:ascii="Arial" w:hAnsi="Arial" w:cs="Arial"/>
          <w:iCs/>
        </w:rPr>
        <w:t xml:space="preserve">as Appendix </w:t>
      </w:r>
      <w:r w:rsidR="004A632B">
        <w:rPr>
          <w:rFonts w:ascii="Arial" w:hAnsi="Arial" w:cs="Arial"/>
          <w:iCs/>
        </w:rPr>
        <w:t>A</w:t>
      </w:r>
      <w:r w:rsidRPr="0049613B">
        <w:rPr>
          <w:rFonts w:ascii="Arial" w:hAnsi="Arial" w:cs="Arial"/>
          <w:iCs/>
        </w:rPr>
        <w:t>.</w:t>
      </w:r>
    </w:p>
    <w:p w14:paraId="3AFA8697" w14:textId="77777777" w:rsidR="00B721F3" w:rsidRDefault="00B721F3" w:rsidP="00B721F3">
      <w:pPr>
        <w:pStyle w:val="SectionI"/>
      </w:pPr>
      <w:r w:rsidRPr="0049613B">
        <w:t>Assumptions</w:t>
      </w:r>
    </w:p>
    <w:p w14:paraId="0A48F8BF" w14:textId="3320A24B" w:rsidR="008062A6" w:rsidRDefault="008062A6" w:rsidP="008062A6">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 xml:space="preserve">The F1 registration for a new team is </w:t>
      </w:r>
      <w:r>
        <w:rPr>
          <w:rFonts w:ascii="Arial" w:hAnsi="Arial" w:cs="Arial"/>
          <w:iCs/>
        </w:rPr>
        <w:t xml:space="preserve">overly expensive so we have assumed that maintaining the F1 licenses must be a priority of any </w:t>
      </w:r>
      <w:r w:rsidR="00463041">
        <w:rPr>
          <w:rFonts w:ascii="Arial" w:hAnsi="Arial" w:cs="Arial"/>
          <w:iCs/>
        </w:rPr>
        <w:t>group restructuring.</w:t>
      </w:r>
    </w:p>
    <w:p w14:paraId="2C7B6ACA" w14:textId="77777777" w:rsidR="008062A6" w:rsidRPr="0049613B" w:rsidRDefault="008062A6" w:rsidP="008062A6">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 xml:space="preserve">Assuming, for purposes of the options considered in this memo, </w:t>
      </w:r>
      <w:r w:rsidRPr="0049613B">
        <w:rPr>
          <w:rFonts w:ascii="Arial" w:hAnsi="Arial" w:cs="Arial"/>
          <w:iCs/>
        </w:rPr>
        <w:t>that</w:t>
      </w:r>
      <w:r>
        <w:rPr>
          <w:rFonts w:ascii="Arial" w:hAnsi="Arial" w:cs="Arial"/>
          <w:iCs/>
        </w:rPr>
        <w:t xml:space="preserve"> the </w:t>
      </w:r>
      <w:proofErr w:type="spellStart"/>
      <w:r>
        <w:rPr>
          <w:rFonts w:ascii="Arial" w:hAnsi="Arial" w:cs="Arial"/>
          <w:iCs/>
        </w:rPr>
        <w:t>Efwon</w:t>
      </w:r>
      <w:proofErr w:type="spellEnd"/>
      <w:r>
        <w:rPr>
          <w:rFonts w:ascii="Arial" w:hAnsi="Arial" w:cs="Arial"/>
          <w:iCs/>
        </w:rPr>
        <w:t xml:space="preserve"> Group’s</w:t>
      </w:r>
      <w:r w:rsidRPr="0049613B">
        <w:rPr>
          <w:rFonts w:ascii="Arial" w:hAnsi="Arial" w:cs="Arial"/>
          <w:iCs/>
        </w:rPr>
        <w:t xml:space="preserve"> revenue remained unchanged for the subsequent seasons</w:t>
      </w:r>
      <w:r>
        <w:rPr>
          <w:rFonts w:ascii="Arial" w:hAnsi="Arial" w:cs="Arial"/>
          <w:iCs/>
        </w:rPr>
        <w:t>,</w:t>
      </w:r>
      <w:r w:rsidRPr="0049613B">
        <w:rPr>
          <w:rFonts w:ascii="Arial" w:hAnsi="Arial" w:cs="Arial"/>
          <w:iCs/>
        </w:rPr>
        <w:t xml:space="preserve"> the </w:t>
      </w:r>
      <w:proofErr w:type="spellStart"/>
      <w:r w:rsidRPr="0049613B">
        <w:rPr>
          <w:rFonts w:ascii="Arial" w:hAnsi="Arial" w:cs="Arial"/>
          <w:iCs/>
        </w:rPr>
        <w:t>Efwon</w:t>
      </w:r>
      <w:proofErr w:type="spellEnd"/>
      <w:r w:rsidRPr="0049613B">
        <w:rPr>
          <w:rFonts w:ascii="Arial" w:hAnsi="Arial" w:cs="Arial"/>
          <w:iCs/>
        </w:rPr>
        <w:t xml:space="preserve"> Group </w:t>
      </w:r>
      <w:r>
        <w:rPr>
          <w:rFonts w:ascii="Arial" w:hAnsi="Arial" w:cs="Arial"/>
          <w:iCs/>
        </w:rPr>
        <w:t xml:space="preserve">must have </w:t>
      </w:r>
      <w:r w:rsidRPr="0049613B">
        <w:rPr>
          <w:rFonts w:ascii="Arial" w:hAnsi="Arial" w:cs="Arial"/>
          <w:iCs/>
        </w:rPr>
        <w:t xml:space="preserve">made at least US$60 MM a year from 2018 through 2023, for a total revenue of $360 MM. </w:t>
      </w:r>
      <w:r>
        <w:rPr>
          <w:rFonts w:ascii="Arial" w:hAnsi="Arial" w:cs="Arial"/>
          <w:iCs/>
        </w:rPr>
        <w:t xml:space="preserve">This is </w:t>
      </w:r>
      <w:r w:rsidRPr="0049613B">
        <w:rPr>
          <w:rFonts w:ascii="Arial" w:hAnsi="Arial" w:cs="Arial"/>
          <w:iCs/>
        </w:rPr>
        <w:t xml:space="preserve">a conservative assumption given that the Team improved </w:t>
      </w:r>
      <w:r>
        <w:rPr>
          <w:rFonts w:ascii="Arial" w:hAnsi="Arial" w:cs="Arial"/>
          <w:iCs/>
        </w:rPr>
        <w:t xml:space="preserve">significantly </w:t>
      </w:r>
      <w:r w:rsidRPr="0049613B">
        <w:rPr>
          <w:rFonts w:ascii="Arial" w:hAnsi="Arial" w:cs="Arial"/>
          <w:iCs/>
        </w:rPr>
        <w:t xml:space="preserve">in the </w:t>
      </w:r>
      <w:r>
        <w:rPr>
          <w:rFonts w:ascii="Arial" w:hAnsi="Arial" w:cs="Arial"/>
          <w:iCs/>
        </w:rPr>
        <w:t xml:space="preserve">F1 </w:t>
      </w:r>
      <w:r w:rsidRPr="0049613B">
        <w:rPr>
          <w:rFonts w:ascii="Arial" w:hAnsi="Arial" w:cs="Arial"/>
          <w:iCs/>
        </w:rPr>
        <w:t>ranking</w:t>
      </w:r>
      <w:r>
        <w:rPr>
          <w:rFonts w:ascii="Arial" w:hAnsi="Arial" w:cs="Arial"/>
          <w:iCs/>
        </w:rPr>
        <w:t>.</w:t>
      </w:r>
      <w:r w:rsidRPr="0049613B">
        <w:rPr>
          <w:rFonts w:ascii="Arial" w:hAnsi="Arial" w:cs="Arial"/>
          <w:iCs/>
        </w:rPr>
        <w:t xml:space="preserve"> </w:t>
      </w:r>
      <w:r>
        <w:rPr>
          <w:rFonts w:ascii="Arial" w:hAnsi="Arial" w:cs="Arial"/>
          <w:iCs/>
        </w:rPr>
        <w:t xml:space="preserve">Had revenue </w:t>
      </w:r>
      <w:r w:rsidRPr="0049613B">
        <w:rPr>
          <w:rFonts w:ascii="Arial" w:hAnsi="Arial" w:cs="Arial"/>
          <w:iCs/>
        </w:rPr>
        <w:t xml:space="preserve">increased proportionally as the team moved up through the rankings, their income </w:t>
      </w:r>
      <w:r>
        <w:rPr>
          <w:rFonts w:ascii="Arial" w:hAnsi="Arial" w:cs="Arial"/>
          <w:iCs/>
        </w:rPr>
        <w:t xml:space="preserve">-excluding sponsorships- </w:t>
      </w:r>
      <w:r w:rsidRPr="0049613B">
        <w:rPr>
          <w:rFonts w:ascii="Arial" w:hAnsi="Arial" w:cs="Arial"/>
          <w:iCs/>
        </w:rPr>
        <w:t xml:space="preserve">could have </w:t>
      </w:r>
      <w:r>
        <w:rPr>
          <w:rFonts w:ascii="Arial" w:hAnsi="Arial" w:cs="Arial"/>
          <w:iCs/>
        </w:rPr>
        <w:t>been</w:t>
      </w:r>
      <w:r w:rsidRPr="0049613B">
        <w:rPr>
          <w:rFonts w:ascii="Arial" w:hAnsi="Arial" w:cs="Arial"/>
          <w:iCs/>
        </w:rPr>
        <w:t xml:space="preserve"> as high as US$600 MM.</w:t>
      </w:r>
      <w:r>
        <w:rPr>
          <w:rFonts w:ascii="Arial" w:hAnsi="Arial" w:cs="Arial"/>
          <w:iCs/>
        </w:rPr>
        <w:t xml:space="preserve"> </w:t>
      </w:r>
    </w:p>
    <w:p w14:paraId="15BC9217" w14:textId="77777777" w:rsidR="008062A6" w:rsidRDefault="008062A6" w:rsidP="008062A6">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In addition to that, the team received US$600 MM from its exclusive sponsorship agreement with Kretek</w:t>
      </w:r>
      <w:r>
        <w:rPr>
          <w:rFonts w:ascii="Arial" w:hAnsi="Arial" w:cs="Arial"/>
          <w:iCs/>
        </w:rPr>
        <w:t>, up to 2023</w:t>
      </w:r>
      <w:r w:rsidRPr="0049613B">
        <w:rPr>
          <w:rFonts w:ascii="Arial" w:hAnsi="Arial" w:cs="Arial"/>
          <w:iCs/>
        </w:rPr>
        <w:t xml:space="preserve">.  </w:t>
      </w:r>
    </w:p>
    <w:p w14:paraId="04B80302" w14:textId="7E3D3380" w:rsidR="00B721F3" w:rsidRDefault="008062A6" w:rsidP="008062A6">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That’s roughly a billion dollars income in 9 seasons</w:t>
      </w:r>
      <w:r>
        <w:rPr>
          <w:rFonts w:ascii="Arial" w:hAnsi="Arial" w:cs="Arial"/>
          <w:iCs/>
        </w:rPr>
        <w:t>, a</w:t>
      </w:r>
      <w:r w:rsidRPr="0049613B">
        <w:rPr>
          <w:rFonts w:ascii="Arial" w:hAnsi="Arial" w:cs="Arial"/>
          <w:iCs/>
        </w:rPr>
        <w:t>verag</w:t>
      </w:r>
      <w:r>
        <w:rPr>
          <w:rFonts w:ascii="Arial" w:hAnsi="Arial" w:cs="Arial"/>
          <w:iCs/>
        </w:rPr>
        <w:t>ing</w:t>
      </w:r>
      <w:r w:rsidRPr="0049613B">
        <w:rPr>
          <w:rFonts w:ascii="Arial" w:hAnsi="Arial" w:cs="Arial"/>
          <w:iCs/>
        </w:rPr>
        <w:t xml:space="preserve"> US$100 MM </w:t>
      </w:r>
      <w:r>
        <w:rPr>
          <w:rFonts w:ascii="Arial" w:hAnsi="Arial" w:cs="Arial"/>
          <w:iCs/>
        </w:rPr>
        <w:t xml:space="preserve">revenue </w:t>
      </w:r>
      <w:r w:rsidRPr="0049613B">
        <w:rPr>
          <w:rFonts w:ascii="Arial" w:hAnsi="Arial" w:cs="Arial"/>
          <w:iCs/>
        </w:rPr>
        <w:t>per year.</w:t>
      </w:r>
      <w:r>
        <w:rPr>
          <w:rFonts w:ascii="Arial" w:hAnsi="Arial" w:cs="Arial"/>
          <w:iCs/>
        </w:rPr>
        <w:t xml:space="preserve"> </w:t>
      </w:r>
      <w:r w:rsidRPr="0049613B">
        <w:rPr>
          <w:rFonts w:ascii="Arial" w:hAnsi="Arial" w:cs="Arial"/>
          <w:iCs/>
        </w:rPr>
        <w:t xml:space="preserve">This is a </w:t>
      </w:r>
      <w:proofErr w:type="gramStart"/>
      <w:r w:rsidRPr="0049613B">
        <w:rPr>
          <w:rFonts w:ascii="Arial" w:hAnsi="Arial" w:cs="Arial"/>
          <w:iCs/>
        </w:rPr>
        <w:t>fairly significant</w:t>
      </w:r>
      <w:proofErr w:type="gramEnd"/>
      <w:r>
        <w:rPr>
          <w:rFonts w:ascii="Arial" w:hAnsi="Arial" w:cs="Arial"/>
          <w:iCs/>
        </w:rPr>
        <w:t xml:space="preserve"> and consistent income, and we will use this amount as the proforma cash flow of the </w:t>
      </w:r>
      <w:proofErr w:type="spellStart"/>
      <w:r>
        <w:rPr>
          <w:rFonts w:ascii="Arial" w:hAnsi="Arial" w:cs="Arial"/>
          <w:iCs/>
        </w:rPr>
        <w:t>Efwon</w:t>
      </w:r>
      <w:proofErr w:type="spellEnd"/>
      <w:r>
        <w:rPr>
          <w:rFonts w:ascii="Arial" w:hAnsi="Arial" w:cs="Arial"/>
          <w:iCs/>
        </w:rPr>
        <w:t xml:space="preserve"> Group for </w:t>
      </w:r>
      <w:proofErr w:type="gramStart"/>
      <w:r>
        <w:rPr>
          <w:rFonts w:ascii="Arial" w:hAnsi="Arial" w:cs="Arial"/>
          <w:iCs/>
        </w:rPr>
        <w:t>purposes</w:t>
      </w:r>
      <w:proofErr w:type="gramEnd"/>
      <w:r>
        <w:rPr>
          <w:rFonts w:ascii="Arial" w:hAnsi="Arial" w:cs="Arial"/>
          <w:iCs/>
        </w:rPr>
        <w:t xml:space="preserve"> of the options to be analyzed</w:t>
      </w:r>
      <w:r w:rsidR="00B721F3">
        <w:rPr>
          <w:rFonts w:ascii="Arial" w:hAnsi="Arial" w:cs="Arial"/>
          <w:iCs/>
        </w:rPr>
        <w:t>.</w:t>
      </w:r>
      <w:r w:rsidR="00B721F3" w:rsidRPr="0049613B">
        <w:rPr>
          <w:rFonts w:ascii="Arial" w:hAnsi="Arial" w:cs="Arial"/>
          <w:iCs/>
        </w:rPr>
        <w:t xml:space="preserve"> </w:t>
      </w:r>
    </w:p>
    <w:p w14:paraId="7DF9A435" w14:textId="5E555110" w:rsidR="007A6346" w:rsidRDefault="00A80BA9" w:rsidP="00C4708F">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Based on the information provided to us,</w:t>
      </w:r>
      <w:r w:rsidR="006F3A62" w:rsidRPr="00C4708F">
        <w:rPr>
          <w:rFonts w:ascii="Arial" w:hAnsi="Arial" w:cs="Arial"/>
          <w:iCs/>
        </w:rPr>
        <w:t xml:space="preserve"> </w:t>
      </w:r>
      <w:proofErr w:type="spellStart"/>
      <w:r w:rsidR="006F3A62" w:rsidRPr="00C4708F">
        <w:rPr>
          <w:rFonts w:ascii="Arial" w:hAnsi="Arial" w:cs="Arial"/>
          <w:iCs/>
        </w:rPr>
        <w:t>Efwon</w:t>
      </w:r>
      <w:proofErr w:type="spellEnd"/>
      <w:r w:rsidR="006F3A62" w:rsidRPr="00C4708F">
        <w:rPr>
          <w:rFonts w:ascii="Arial" w:hAnsi="Arial" w:cs="Arial"/>
          <w:iCs/>
        </w:rPr>
        <w:t xml:space="preserve"> Trading established the </w:t>
      </w:r>
      <w:proofErr w:type="spellStart"/>
      <w:r w:rsidR="006F3A62" w:rsidRPr="00C4708F">
        <w:rPr>
          <w:rFonts w:ascii="Arial" w:hAnsi="Arial" w:cs="Arial"/>
          <w:iCs/>
        </w:rPr>
        <w:t>Efwon</w:t>
      </w:r>
      <w:proofErr w:type="spellEnd"/>
      <w:r w:rsidR="006F3A62" w:rsidRPr="00C4708F">
        <w:rPr>
          <w:rFonts w:ascii="Arial" w:hAnsi="Arial" w:cs="Arial"/>
          <w:iCs/>
        </w:rPr>
        <w:t xml:space="preserve"> Romania </w:t>
      </w:r>
      <w:r w:rsidR="00DB6B37" w:rsidRPr="00C4708F">
        <w:rPr>
          <w:rFonts w:ascii="Arial" w:hAnsi="Arial" w:cs="Arial"/>
          <w:iCs/>
        </w:rPr>
        <w:t>subsidiary for pur</w:t>
      </w:r>
      <w:r w:rsidR="000C71D5" w:rsidRPr="00C4708F">
        <w:rPr>
          <w:rFonts w:ascii="Arial" w:hAnsi="Arial" w:cs="Arial"/>
          <w:iCs/>
        </w:rPr>
        <w:t xml:space="preserve">poses of </w:t>
      </w:r>
      <w:r w:rsidR="00DA7D8C" w:rsidRPr="00C4708F">
        <w:rPr>
          <w:rFonts w:ascii="Arial" w:hAnsi="Arial" w:cs="Arial"/>
          <w:iCs/>
        </w:rPr>
        <w:t xml:space="preserve">obtaining the </w:t>
      </w:r>
      <w:r w:rsidR="0024706D" w:rsidRPr="00C4708F">
        <w:rPr>
          <w:rFonts w:ascii="Arial" w:hAnsi="Arial" w:cs="Arial"/>
          <w:iCs/>
        </w:rPr>
        <w:t>licenses</w:t>
      </w:r>
      <w:r w:rsidR="00DA7D8C" w:rsidRPr="00C4708F">
        <w:rPr>
          <w:rFonts w:ascii="Arial" w:hAnsi="Arial" w:cs="Arial"/>
          <w:iCs/>
        </w:rPr>
        <w:t xml:space="preserve"> accorded by the </w:t>
      </w:r>
      <w:r w:rsidR="006C5671" w:rsidRPr="00C4708F">
        <w:rPr>
          <w:rFonts w:ascii="Arial" w:hAnsi="Arial" w:cs="Arial"/>
          <w:iCs/>
        </w:rPr>
        <w:t xml:space="preserve">Fédération </w:t>
      </w:r>
      <w:proofErr w:type="spellStart"/>
      <w:r w:rsidR="006C5671" w:rsidRPr="00C4708F">
        <w:rPr>
          <w:rFonts w:ascii="Arial" w:hAnsi="Arial" w:cs="Arial"/>
          <w:iCs/>
        </w:rPr>
        <w:t>Internationale</w:t>
      </w:r>
      <w:proofErr w:type="spellEnd"/>
      <w:r w:rsidR="006C5671" w:rsidRPr="00C4708F">
        <w:rPr>
          <w:rFonts w:ascii="Arial" w:hAnsi="Arial" w:cs="Arial"/>
          <w:iCs/>
        </w:rPr>
        <w:t xml:space="preserve"> de</w:t>
      </w:r>
      <w:r w:rsidR="00776C8E" w:rsidRPr="00C4708F">
        <w:rPr>
          <w:rFonts w:ascii="Arial" w:hAnsi="Arial" w:cs="Arial"/>
          <w:iCs/>
        </w:rPr>
        <w:t xml:space="preserve"> </w:t>
      </w:r>
      <w:proofErr w:type="spellStart"/>
      <w:r w:rsidR="006C5671" w:rsidRPr="00C4708F">
        <w:rPr>
          <w:rFonts w:ascii="Arial" w:hAnsi="Arial" w:cs="Arial"/>
          <w:iCs/>
        </w:rPr>
        <w:t>l’Automobile</w:t>
      </w:r>
      <w:proofErr w:type="spellEnd"/>
      <w:r w:rsidR="006C5671" w:rsidRPr="00C4708F">
        <w:rPr>
          <w:rFonts w:ascii="Arial" w:hAnsi="Arial" w:cs="Arial"/>
          <w:iCs/>
        </w:rPr>
        <w:t xml:space="preserve"> (FIA)</w:t>
      </w:r>
      <w:r w:rsidR="00023F27" w:rsidRPr="00C4708F">
        <w:rPr>
          <w:rFonts w:ascii="Arial" w:hAnsi="Arial" w:cs="Arial"/>
          <w:iCs/>
        </w:rPr>
        <w:t xml:space="preserve">. </w:t>
      </w:r>
      <w:r w:rsidR="00A22BB3">
        <w:rPr>
          <w:rFonts w:ascii="Arial" w:hAnsi="Arial" w:cs="Arial"/>
          <w:iCs/>
        </w:rPr>
        <w:t>We assume</w:t>
      </w:r>
      <w:r w:rsidR="00BB5112" w:rsidRPr="00C4708F">
        <w:rPr>
          <w:rFonts w:ascii="Arial" w:hAnsi="Arial" w:cs="Arial"/>
          <w:iCs/>
        </w:rPr>
        <w:t xml:space="preserve"> that</w:t>
      </w:r>
      <w:r w:rsidR="00C4708F" w:rsidRPr="00C4708F">
        <w:rPr>
          <w:rFonts w:ascii="Arial" w:hAnsi="Arial" w:cs="Arial"/>
          <w:iCs/>
        </w:rPr>
        <w:t xml:space="preserve"> </w:t>
      </w:r>
      <w:proofErr w:type="spellStart"/>
      <w:r w:rsidR="00C4708F">
        <w:rPr>
          <w:rFonts w:ascii="Arial" w:hAnsi="Arial" w:cs="Arial"/>
          <w:iCs/>
        </w:rPr>
        <w:t>Efwon</w:t>
      </w:r>
      <w:proofErr w:type="spellEnd"/>
      <w:r w:rsidR="00C4708F">
        <w:rPr>
          <w:rFonts w:ascii="Arial" w:hAnsi="Arial" w:cs="Arial"/>
          <w:iCs/>
        </w:rPr>
        <w:t xml:space="preserve"> Romania is</w:t>
      </w:r>
      <w:r w:rsidR="00C4708F" w:rsidRPr="00C4708F">
        <w:rPr>
          <w:rFonts w:ascii="Arial" w:hAnsi="Arial" w:cs="Arial"/>
          <w:iCs/>
        </w:rPr>
        <w:t xml:space="preserve"> established under the laws of </w:t>
      </w:r>
      <w:r w:rsidR="00C4708F">
        <w:rPr>
          <w:rFonts w:ascii="Arial" w:hAnsi="Arial" w:cs="Arial"/>
          <w:iCs/>
        </w:rPr>
        <w:t>Romania</w:t>
      </w:r>
      <w:r w:rsidR="00C4708F" w:rsidRPr="00C4708F">
        <w:rPr>
          <w:rFonts w:ascii="Arial" w:hAnsi="Arial" w:cs="Arial"/>
          <w:iCs/>
        </w:rPr>
        <w:t xml:space="preserve"> </w:t>
      </w:r>
      <w:r w:rsidR="00A40C7D">
        <w:rPr>
          <w:rFonts w:ascii="Arial" w:hAnsi="Arial" w:cs="Arial"/>
          <w:iCs/>
        </w:rPr>
        <w:t>and has</w:t>
      </w:r>
      <w:r w:rsidR="00C4708F" w:rsidRPr="00C4708F">
        <w:rPr>
          <w:rFonts w:ascii="Arial" w:hAnsi="Arial" w:cs="Arial"/>
          <w:iCs/>
        </w:rPr>
        <w:t xml:space="preserve"> a registered office in</w:t>
      </w:r>
      <w:r w:rsidR="00C4708F">
        <w:rPr>
          <w:rFonts w:ascii="Arial" w:hAnsi="Arial" w:cs="Arial"/>
          <w:iCs/>
        </w:rPr>
        <w:t xml:space="preserve"> </w:t>
      </w:r>
      <w:r w:rsidR="00A40C7D">
        <w:rPr>
          <w:rFonts w:ascii="Arial" w:hAnsi="Arial" w:cs="Arial"/>
          <w:iCs/>
        </w:rPr>
        <w:t>Romania, which</w:t>
      </w:r>
      <w:r w:rsidR="004202A6">
        <w:rPr>
          <w:rFonts w:ascii="Arial" w:hAnsi="Arial" w:cs="Arial"/>
          <w:iCs/>
        </w:rPr>
        <w:t xml:space="preserve"> seems also supported by the fact that Mr. Maximov sub</w:t>
      </w:r>
      <w:r w:rsidR="00891514">
        <w:rPr>
          <w:rFonts w:ascii="Arial" w:hAnsi="Arial" w:cs="Arial"/>
          <w:iCs/>
        </w:rPr>
        <w:t xml:space="preserve">sequently “put in” </w:t>
      </w:r>
      <w:r w:rsidR="00CE2855">
        <w:rPr>
          <w:rFonts w:ascii="Arial" w:hAnsi="Arial" w:cs="Arial"/>
          <w:iCs/>
        </w:rPr>
        <w:t xml:space="preserve">resident </w:t>
      </w:r>
      <w:r w:rsidR="00093D32">
        <w:rPr>
          <w:rFonts w:ascii="Arial" w:hAnsi="Arial" w:cs="Arial"/>
          <w:iCs/>
        </w:rPr>
        <w:t>directors (</w:t>
      </w:r>
      <w:r w:rsidR="00CE2855">
        <w:rPr>
          <w:rFonts w:ascii="Arial" w:hAnsi="Arial" w:cs="Arial"/>
          <w:iCs/>
        </w:rPr>
        <w:t xml:space="preserve">full time staff), </w:t>
      </w:r>
      <w:r w:rsidR="00C82AC6">
        <w:rPr>
          <w:rFonts w:ascii="Arial" w:hAnsi="Arial" w:cs="Arial"/>
          <w:iCs/>
        </w:rPr>
        <w:t>at</w:t>
      </w:r>
      <w:r w:rsidR="00CE2855">
        <w:rPr>
          <w:rFonts w:ascii="Arial" w:hAnsi="Arial" w:cs="Arial"/>
          <w:iCs/>
        </w:rPr>
        <w:t xml:space="preserve"> the Romanian subsidiary. </w:t>
      </w:r>
      <w:r w:rsidR="00BB5112" w:rsidRPr="00C4708F">
        <w:rPr>
          <w:rFonts w:ascii="Arial" w:hAnsi="Arial" w:cs="Arial"/>
          <w:iCs/>
        </w:rPr>
        <w:t xml:space="preserve"> </w:t>
      </w:r>
    </w:p>
    <w:p w14:paraId="01BE101B" w14:textId="1B8004FD" w:rsidR="00563E9F" w:rsidRDefault="00563E9F" w:rsidP="00C4708F">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Based on the information provided to us</w:t>
      </w:r>
      <w:r w:rsidR="00B236B0">
        <w:rPr>
          <w:rFonts w:ascii="Arial" w:hAnsi="Arial" w:cs="Arial"/>
          <w:iCs/>
        </w:rPr>
        <w:t xml:space="preserve"> and</w:t>
      </w:r>
      <w:r>
        <w:rPr>
          <w:rFonts w:ascii="Arial" w:hAnsi="Arial" w:cs="Arial"/>
          <w:iCs/>
        </w:rPr>
        <w:t xml:space="preserve"> for purposes of this analysis</w:t>
      </w:r>
      <w:r w:rsidR="00B236B0">
        <w:rPr>
          <w:rFonts w:ascii="Arial" w:hAnsi="Arial" w:cs="Arial"/>
          <w:iCs/>
        </w:rPr>
        <w:t>,</w:t>
      </w:r>
      <w:r>
        <w:rPr>
          <w:rFonts w:ascii="Arial" w:hAnsi="Arial" w:cs="Arial"/>
          <w:iCs/>
        </w:rPr>
        <w:t xml:space="preserve"> we assume that neither of the </w:t>
      </w:r>
      <w:proofErr w:type="spellStart"/>
      <w:r>
        <w:rPr>
          <w:rFonts w:ascii="Arial" w:hAnsi="Arial" w:cs="Arial"/>
          <w:iCs/>
        </w:rPr>
        <w:t>Efwon</w:t>
      </w:r>
      <w:proofErr w:type="spellEnd"/>
      <w:r>
        <w:rPr>
          <w:rFonts w:ascii="Arial" w:hAnsi="Arial" w:cs="Arial"/>
          <w:iCs/>
        </w:rPr>
        <w:t xml:space="preserve"> Group members is insolvent, </w:t>
      </w:r>
      <w:r w:rsidR="00117571">
        <w:rPr>
          <w:rFonts w:ascii="Arial" w:hAnsi="Arial" w:cs="Arial"/>
          <w:iCs/>
        </w:rPr>
        <w:t xml:space="preserve">rather each Group member is </w:t>
      </w:r>
      <w:r w:rsidR="0049420B">
        <w:rPr>
          <w:rFonts w:ascii="Arial" w:hAnsi="Arial" w:cs="Arial"/>
          <w:iCs/>
        </w:rPr>
        <w:t>“at a risk of insolvency”.</w:t>
      </w:r>
    </w:p>
    <w:p w14:paraId="79F9E064" w14:textId="08FA5365" w:rsidR="00203449" w:rsidRPr="00203449" w:rsidRDefault="00203449" w:rsidP="00203449">
      <w:pPr>
        <w:pStyle w:val="ListParagraph"/>
        <w:numPr>
          <w:ilvl w:val="0"/>
          <w:numId w:val="2"/>
        </w:numPr>
        <w:spacing w:before="120" w:after="120" w:line="300" w:lineRule="exact"/>
        <w:ind w:left="0" w:firstLine="360"/>
        <w:jc w:val="both"/>
        <w:rPr>
          <w:rFonts w:ascii="Arial" w:hAnsi="Arial" w:cs="Arial"/>
          <w:iCs/>
        </w:rPr>
      </w:pPr>
      <w:r w:rsidRPr="00203449">
        <w:rPr>
          <w:rFonts w:ascii="Arial" w:hAnsi="Arial" w:cs="Arial"/>
          <w:iCs/>
        </w:rPr>
        <w:t xml:space="preserve">We will assume that labor and tax obligations, if any, are negligible when compared to the financial debt of the </w:t>
      </w:r>
      <w:proofErr w:type="spellStart"/>
      <w:r w:rsidRPr="00203449">
        <w:rPr>
          <w:rFonts w:ascii="Arial" w:hAnsi="Arial" w:cs="Arial"/>
          <w:iCs/>
        </w:rPr>
        <w:t>Efwon</w:t>
      </w:r>
      <w:proofErr w:type="spellEnd"/>
      <w:r w:rsidRPr="00203449">
        <w:rPr>
          <w:rFonts w:ascii="Arial" w:hAnsi="Arial" w:cs="Arial"/>
          <w:iCs/>
        </w:rPr>
        <w:t xml:space="preserve"> Group and the interests of creditors in either class will be significantly aligned with any plan that provides a viable pathway to recovery of the </w:t>
      </w:r>
      <w:r w:rsidR="007741B1">
        <w:rPr>
          <w:rFonts w:ascii="Arial" w:hAnsi="Arial" w:cs="Arial"/>
          <w:iCs/>
        </w:rPr>
        <w:t>whole Group</w:t>
      </w:r>
      <w:r w:rsidRPr="00203449">
        <w:rPr>
          <w:rFonts w:ascii="Arial" w:hAnsi="Arial" w:cs="Arial"/>
          <w:iCs/>
        </w:rPr>
        <w:t>.</w:t>
      </w:r>
    </w:p>
    <w:p w14:paraId="22582750" w14:textId="77777777" w:rsidR="00B721F3" w:rsidRPr="0049613B" w:rsidRDefault="00B721F3" w:rsidP="00B721F3">
      <w:pPr>
        <w:pStyle w:val="SectionI"/>
      </w:pPr>
      <w:r w:rsidRPr="0049613B">
        <w:lastRenderedPageBreak/>
        <w:t xml:space="preserve"> Issues</w:t>
      </w:r>
    </w:p>
    <w:p w14:paraId="2AE8FBC2" w14:textId="0C7903AE" w:rsidR="00B721F3" w:rsidRPr="0049613B" w:rsidRDefault="00B721F3" w:rsidP="00B721F3">
      <w:pPr>
        <w:pStyle w:val="ListParagraph"/>
        <w:numPr>
          <w:ilvl w:val="0"/>
          <w:numId w:val="2"/>
        </w:numPr>
        <w:spacing w:before="120" w:after="120" w:line="300" w:lineRule="exact"/>
        <w:ind w:left="0" w:firstLine="360"/>
        <w:jc w:val="both"/>
        <w:rPr>
          <w:rFonts w:ascii="Arial" w:hAnsi="Arial" w:cs="Arial"/>
          <w:iCs/>
        </w:rPr>
      </w:pPr>
      <w:r w:rsidRPr="0049613B">
        <w:rPr>
          <w:rFonts w:ascii="Arial" w:hAnsi="Arial" w:cs="Arial"/>
          <w:iCs/>
        </w:rPr>
        <w:t xml:space="preserve">As requested by </w:t>
      </w:r>
      <w:r w:rsidR="001761EE">
        <w:rPr>
          <w:rFonts w:ascii="Arial" w:hAnsi="Arial" w:cs="Arial"/>
          <w:iCs/>
        </w:rPr>
        <w:t>the</w:t>
      </w:r>
      <w:r w:rsidRPr="0049613B">
        <w:rPr>
          <w:rFonts w:ascii="Arial" w:hAnsi="Arial" w:cs="Arial"/>
          <w:iCs/>
        </w:rPr>
        <w:t xml:space="preserve"> General Counsel of </w:t>
      </w:r>
      <w:r w:rsidR="00101132">
        <w:rPr>
          <w:rFonts w:ascii="Arial" w:hAnsi="Arial" w:cs="Arial"/>
          <w:iCs/>
        </w:rPr>
        <w:t>Mr. Maximov</w:t>
      </w:r>
      <w:r w:rsidRPr="0049613B">
        <w:rPr>
          <w:rFonts w:ascii="Arial" w:hAnsi="Arial" w:cs="Arial"/>
          <w:iCs/>
        </w:rPr>
        <w:t>, in this memorandum we will</w:t>
      </w:r>
      <w:r w:rsidR="00FE17B0">
        <w:rPr>
          <w:rFonts w:ascii="Arial" w:hAnsi="Arial" w:cs="Arial"/>
          <w:iCs/>
        </w:rPr>
        <w:t xml:space="preserve"> address the following issues</w:t>
      </w:r>
      <w:r w:rsidRPr="0049613B">
        <w:rPr>
          <w:rFonts w:ascii="Arial" w:hAnsi="Arial" w:cs="Arial"/>
          <w:iCs/>
        </w:rPr>
        <w:t>:</w:t>
      </w:r>
    </w:p>
    <w:p w14:paraId="470F1732" w14:textId="2ECF24A6" w:rsidR="00B721F3" w:rsidRPr="0049613B"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sidRPr="0049613B">
        <w:rPr>
          <w:rFonts w:ascii="Arial" w:hAnsi="Arial" w:cs="Arial"/>
          <w:iCs/>
          <w:lang w:val="en-GB"/>
        </w:rPr>
        <w:t xml:space="preserve">propose a strategy for dealing with the </w:t>
      </w:r>
      <w:proofErr w:type="spellStart"/>
      <w:r w:rsidRPr="0049613B">
        <w:rPr>
          <w:rFonts w:ascii="Arial" w:hAnsi="Arial" w:cs="Arial"/>
          <w:iCs/>
          <w:lang w:val="en-GB"/>
        </w:rPr>
        <w:t>Efwon</w:t>
      </w:r>
      <w:proofErr w:type="spellEnd"/>
      <w:r w:rsidRPr="0049613B">
        <w:rPr>
          <w:rFonts w:ascii="Arial" w:hAnsi="Arial" w:cs="Arial"/>
          <w:iCs/>
          <w:lang w:val="en-GB"/>
        </w:rPr>
        <w:t xml:space="preserve"> group and its various stakeholders</w:t>
      </w:r>
      <w:r w:rsidR="00FE17B0">
        <w:rPr>
          <w:rFonts w:ascii="Arial" w:hAnsi="Arial" w:cs="Arial"/>
          <w:iCs/>
          <w:lang w:val="en-GB"/>
        </w:rPr>
        <w:t xml:space="preserve"> in a quick and cost-efficient </w:t>
      </w:r>
      <w:proofErr w:type="gramStart"/>
      <w:r w:rsidR="00FE17B0">
        <w:rPr>
          <w:rFonts w:ascii="Arial" w:hAnsi="Arial" w:cs="Arial"/>
          <w:iCs/>
          <w:lang w:val="en-GB"/>
        </w:rPr>
        <w:t>manner</w:t>
      </w:r>
      <w:r w:rsidRPr="0049613B">
        <w:rPr>
          <w:rFonts w:ascii="Arial" w:hAnsi="Arial" w:cs="Arial"/>
          <w:iCs/>
          <w:lang w:val="en-GB"/>
        </w:rPr>
        <w:t>;</w:t>
      </w:r>
      <w:proofErr w:type="gramEnd"/>
      <w:r w:rsidRPr="0049613B">
        <w:rPr>
          <w:rFonts w:ascii="Arial" w:hAnsi="Arial" w:cs="Arial"/>
          <w:iCs/>
          <w:lang w:val="en-GB"/>
        </w:rPr>
        <w:t xml:space="preserve"> </w:t>
      </w:r>
    </w:p>
    <w:p w14:paraId="28F9AB36" w14:textId="62290318" w:rsidR="00B721F3" w:rsidRPr="0002303B" w:rsidRDefault="00DE1C2B"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Pr>
          <w:rFonts w:ascii="Arial" w:hAnsi="Arial" w:cs="Arial"/>
          <w:iCs/>
          <w:lang w:val="en-GB"/>
        </w:rPr>
        <w:t>determine</w:t>
      </w:r>
      <w:r w:rsidR="00B721F3" w:rsidRPr="0002303B">
        <w:rPr>
          <w:rFonts w:ascii="Arial" w:hAnsi="Arial" w:cs="Arial"/>
          <w:iCs/>
          <w:lang w:val="en-GB"/>
        </w:rPr>
        <w:t xml:space="preserve"> whether one or more insolvency proceedings or (preventive) restructuring frameworks are required to achieve the goal of selling a stake in the group to </w:t>
      </w:r>
      <w:proofErr w:type="spellStart"/>
      <w:r w:rsidR="00B721F3" w:rsidRPr="0002303B">
        <w:rPr>
          <w:rFonts w:ascii="Arial" w:hAnsi="Arial" w:cs="Arial"/>
          <w:iCs/>
          <w:lang w:val="en-GB"/>
        </w:rPr>
        <w:t>KuasaNas</w:t>
      </w:r>
      <w:proofErr w:type="spellEnd"/>
      <w:r w:rsidR="00B721F3" w:rsidRPr="0002303B">
        <w:rPr>
          <w:rFonts w:ascii="Arial" w:hAnsi="Arial" w:cs="Arial"/>
          <w:iCs/>
          <w:lang w:val="en-GB"/>
        </w:rPr>
        <w:t xml:space="preserve"> (assuming the intended contract receive government clearance</w:t>
      </w:r>
      <w:proofErr w:type="gramStart"/>
      <w:r w:rsidR="00B721F3" w:rsidRPr="0002303B">
        <w:rPr>
          <w:rFonts w:ascii="Arial" w:hAnsi="Arial" w:cs="Arial"/>
          <w:iCs/>
          <w:lang w:val="en-GB"/>
        </w:rPr>
        <w:t>);</w:t>
      </w:r>
      <w:proofErr w:type="gramEnd"/>
      <w:r w:rsidR="00B721F3" w:rsidRPr="0002303B">
        <w:rPr>
          <w:rFonts w:ascii="Arial" w:hAnsi="Arial" w:cs="Arial"/>
          <w:iCs/>
          <w:lang w:val="en-GB"/>
        </w:rPr>
        <w:t xml:space="preserve"> </w:t>
      </w:r>
    </w:p>
    <w:p w14:paraId="0D2A0C7D" w14:textId="0923ACF4" w:rsidR="00B721F3" w:rsidRPr="0002303B" w:rsidRDefault="00DE1C2B"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Pr>
          <w:rFonts w:ascii="Arial" w:hAnsi="Arial" w:cs="Arial"/>
          <w:iCs/>
          <w:lang w:val="en-GB"/>
        </w:rPr>
        <w:t xml:space="preserve">determine </w:t>
      </w:r>
      <w:r w:rsidR="00B721F3" w:rsidRPr="0002303B">
        <w:rPr>
          <w:rFonts w:ascii="Arial" w:hAnsi="Arial" w:cs="Arial"/>
          <w:iCs/>
          <w:lang w:val="en-GB"/>
        </w:rPr>
        <w:t xml:space="preserve">where and how these proceedings will take </w:t>
      </w:r>
      <w:proofErr w:type="gramStart"/>
      <w:r w:rsidR="00B721F3" w:rsidRPr="0002303B">
        <w:rPr>
          <w:rFonts w:ascii="Arial" w:hAnsi="Arial" w:cs="Arial"/>
          <w:iCs/>
          <w:lang w:val="en-GB"/>
        </w:rPr>
        <w:t>place;</w:t>
      </w:r>
      <w:proofErr w:type="gramEnd"/>
      <w:r w:rsidR="00B721F3" w:rsidRPr="0002303B">
        <w:rPr>
          <w:rFonts w:ascii="Arial" w:hAnsi="Arial" w:cs="Arial"/>
          <w:iCs/>
          <w:lang w:val="en-GB"/>
        </w:rPr>
        <w:t xml:space="preserve"> </w:t>
      </w:r>
    </w:p>
    <w:p w14:paraId="212DD108" w14:textId="77777777" w:rsidR="00B721F3" w:rsidRPr="0002303B"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sidRPr="0002303B">
        <w:rPr>
          <w:rFonts w:ascii="Arial" w:hAnsi="Arial" w:cs="Arial"/>
          <w:iCs/>
          <w:lang w:val="en-GB"/>
        </w:rPr>
        <w:t xml:space="preserve">determine how these proceedings may (or may not) interact or influence </w:t>
      </w:r>
      <w:proofErr w:type="gramStart"/>
      <w:r w:rsidRPr="0002303B">
        <w:rPr>
          <w:rFonts w:ascii="Arial" w:hAnsi="Arial" w:cs="Arial"/>
          <w:iCs/>
          <w:lang w:val="en-GB"/>
        </w:rPr>
        <w:t>each other;</w:t>
      </w:r>
      <w:proofErr w:type="gramEnd"/>
      <w:r w:rsidRPr="0002303B">
        <w:rPr>
          <w:rFonts w:ascii="Arial" w:hAnsi="Arial" w:cs="Arial"/>
          <w:iCs/>
          <w:lang w:val="en-GB"/>
        </w:rPr>
        <w:t xml:space="preserve"> </w:t>
      </w:r>
    </w:p>
    <w:p w14:paraId="75B8ED87" w14:textId="77777777" w:rsidR="00B721F3" w:rsidRPr="0002303B"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sidRPr="0002303B">
        <w:rPr>
          <w:rFonts w:ascii="Arial" w:hAnsi="Arial" w:cs="Arial"/>
          <w:iCs/>
          <w:lang w:val="en-GB"/>
        </w:rPr>
        <w:t xml:space="preserve">assess what impediments may exist to proceedings taking </w:t>
      </w:r>
      <w:proofErr w:type="gramStart"/>
      <w:r w:rsidRPr="0002303B">
        <w:rPr>
          <w:rFonts w:ascii="Arial" w:hAnsi="Arial" w:cs="Arial"/>
          <w:iCs/>
          <w:lang w:val="en-GB"/>
        </w:rPr>
        <w:t>place;</w:t>
      </w:r>
      <w:proofErr w:type="gramEnd"/>
      <w:r w:rsidRPr="0002303B">
        <w:rPr>
          <w:rFonts w:ascii="Arial" w:hAnsi="Arial" w:cs="Arial"/>
          <w:iCs/>
          <w:lang w:val="en-GB"/>
        </w:rPr>
        <w:t xml:space="preserve"> </w:t>
      </w:r>
    </w:p>
    <w:p w14:paraId="527D5B23" w14:textId="77777777" w:rsidR="00B721F3" w:rsidRPr="0002303B"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sidRPr="0002303B">
        <w:rPr>
          <w:rFonts w:ascii="Arial" w:hAnsi="Arial" w:cs="Arial"/>
          <w:iCs/>
          <w:lang w:val="en-GB"/>
        </w:rPr>
        <w:t xml:space="preserve">identify what advantages / disadvantages may exist in relation to proceedings being organised in the way </w:t>
      </w:r>
      <w:r>
        <w:rPr>
          <w:rFonts w:ascii="Arial" w:hAnsi="Arial" w:cs="Arial"/>
          <w:iCs/>
          <w:lang w:val="en-GB"/>
        </w:rPr>
        <w:t>we</w:t>
      </w:r>
      <w:r w:rsidRPr="0002303B">
        <w:rPr>
          <w:rFonts w:ascii="Arial" w:hAnsi="Arial" w:cs="Arial"/>
          <w:iCs/>
          <w:lang w:val="en-GB"/>
        </w:rPr>
        <w:t xml:space="preserve"> </w:t>
      </w:r>
      <w:proofErr w:type="gramStart"/>
      <w:r w:rsidRPr="0002303B">
        <w:rPr>
          <w:rFonts w:ascii="Arial" w:hAnsi="Arial" w:cs="Arial"/>
          <w:iCs/>
          <w:lang w:val="en-GB"/>
        </w:rPr>
        <w:t>propose;</w:t>
      </w:r>
      <w:proofErr w:type="gramEnd"/>
      <w:r w:rsidRPr="0002303B">
        <w:rPr>
          <w:rFonts w:ascii="Arial" w:hAnsi="Arial" w:cs="Arial"/>
          <w:iCs/>
          <w:lang w:val="en-GB"/>
        </w:rPr>
        <w:t xml:space="preserve"> </w:t>
      </w:r>
    </w:p>
    <w:p w14:paraId="2E1E3ABD" w14:textId="77777777" w:rsidR="00B721F3" w:rsidRPr="0002303B"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sidRPr="0002303B">
        <w:rPr>
          <w:rFonts w:ascii="Arial" w:hAnsi="Arial" w:cs="Arial"/>
          <w:iCs/>
          <w:lang w:val="en-GB"/>
        </w:rPr>
        <w:t xml:space="preserve">analyse how the application of the European Insolvency Regulation and / or UNCITRAL Model Law and / or other international instruments may assist or impede the strategy </w:t>
      </w:r>
      <w:r>
        <w:rPr>
          <w:rFonts w:ascii="Arial" w:hAnsi="Arial" w:cs="Arial"/>
          <w:iCs/>
          <w:lang w:val="en-GB"/>
        </w:rPr>
        <w:t>we</w:t>
      </w:r>
      <w:r w:rsidRPr="0002303B">
        <w:rPr>
          <w:rFonts w:ascii="Arial" w:hAnsi="Arial" w:cs="Arial"/>
          <w:iCs/>
          <w:lang w:val="en-GB"/>
        </w:rPr>
        <w:t xml:space="preserve"> propose to </w:t>
      </w:r>
      <w:proofErr w:type="gramStart"/>
      <w:r w:rsidRPr="0002303B">
        <w:rPr>
          <w:rFonts w:ascii="Arial" w:hAnsi="Arial" w:cs="Arial"/>
          <w:iCs/>
          <w:lang w:val="en-GB"/>
        </w:rPr>
        <w:t>implement</w:t>
      </w:r>
      <w:r>
        <w:rPr>
          <w:rFonts w:ascii="Arial" w:hAnsi="Arial" w:cs="Arial"/>
          <w:iCs/>
          <w:lang w:val="en-GB"/>
        </w:rPr>
        <w:t>;</w:t>
      </w:r>
      <w:proofErr w:type="gramEnd"/>
    </w:p>
    <w:p w14:paraId="58C02326" w14:textId="77777777" w:rsidR="00B721F3" w:rsidRPr="0002303B"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Pr>
          <w:rFonts w:ascii="Arial" w:hAnsi="Arial" w:cs="Arial"/>
          <w:iCs/>
          <w:lang w:val="en-GB"/>
        </w:rPr>
        <w:t>advise whether</w:t>
      </w:r>
      <w:r w:rsidRPr="0002303B">
        <w:rPr>
          <w:rFonts w:ascii="Arial" w:hAnsi="Arial" w:cs="Arial"/>
          <w:iCs/>
          <w:lang w:val="en-GB"/>
        </w:rPr>
        <w:t xml:space="preserve"> </w:t>
      </w:r>
      <w:proofErr w:type="spellStart"/>
      <w:r w:rsidRPr="0002303B">
        <w:rPr>
          <w:rFonts w:ascii="Arial" w:hAnsi="Arial" w:cs="Arial"/>
          <w:iCs/>
          <w:lang w:val="en-GB"/>
        </w:rPr>
        <w:t>Efwon</w:t>
      </w:r>
      <w:proofErr w:type="spellEnd"/>
      <w:r w:rsidRPr="0002303B">
        <w:rPr>
          <w:rFonts w:ascii="Arial" w:hAnsi="Arial" w:cs="Arial"/>
          <w:iCs/>
          <w:lang w:val="en-GB"/>
        </w:rPr>
        <w:t xml:space="preserve"> (with hindsight) </w:t>
      </w:r>
      <w:r>
        <w:rPr>
          <w:rFonts w:ascii="Arial" w:hAnsi="Arial" w:cs="Arial"/>
          <w:iCs/>
          <w:lang w:val="en-GB"/>
        </w:rPr>
        <w:t xml:space="preserve">should </w:t>
      </w:r>
      <w:r w:rsidRPr="0002303B">
        <w:rPr>
          <w:rFonts w:ascii="Arial" w:hAnsi="Arial" w:cs="Arial"/>
          <w:iCs/>
          <w:lang w:val="en-GB"/>
        </w:rPr>
        <w:t xml:space="preserve">have structured through England rather than the </w:t>
      </w:r>
      <w:proofErr w:type="gramStart"/>
      <w:r w:rsidRPr="0002303B">
        <w:rPr>
          <w:rFonts w:ascii="Arial" w:hAnsi="Arial" w:cs="Arial"/>
          <w:iCs/>
          <w:lang w:val="en-GB"/>
        </w:rPr>
        <w:t>Netherlands</w:t>
      </w:r>
      <w:r>
        <w:rPr>
          <w:rFonts w:ascii="Arial" w:hAnsi="Arial" w:cs="Arial"/>
          <w:iCs/>
          <w:lang w:val="en-GB"/>
        </w:rPr>
        <w:t>;</w:t>
      </w:r>
      <w:proofErr w:type="gramEnd"/>
    </w:p>
    <w:p w14:paraId="5E115560" w14:textId="77777777" w:rsidR="00B721F3" w:rsidRDefault="00B721F3" w:rsidP="00B721F3">
      <w:pPr>
        <w:pStyle w:val="ListParagraph"/>
        <w:numPr>
          <w:ilvl w:val="1"/>
          <w:numId w:val="4"/>
        </w:numPr>
        <w:tabs>
          <w:tab w:val="center" w:pos="1260"/>
        </w:tabs>
        <w:spacing w:before="120" w:after="120" w:line="300" w:lineRule="exact"/>
        <w:ind w:left="806"/>
        <w:jc w:val="both"/>
        <w:rPr>
          <w:rFonts w:ascii="Arial" w:hAnsi="Arial" w:cs="Arial"/>
          <w:iCs/>
          <w:lang w:val="en-GB"/>
        </w:rPr>
      </w:pPr>
      <w:r>
        <w:rPr>
          <w:rFonts w:ascii="Arial" w:hAnsi="Arial" w:cs="Arial"/>
          <w:iCs/>
          <w:lang w:val="en-GB"/>
        </w:rPr>
        <w:t>advise on</w:t>
      </w:r>
      <w:r w:rsidRPr="0002303B">
        <w:rPr>
          <w:rFonts w:ascii="Arial" w:hAnsi="Arial" w:cs="Arial"/>
          <w:iCs/>
          <w:lang w:val="en-GB"/>
        </w:rPr>
        <w:t xml:space="preserve"> the </w:t>
      </w:r>
      <w:r>
        <w:rPr>
          <w:rFonts w:ascii="Arial" w:hAnsi="Arial" w:cs="Arial"/>
          <w:iCs/>
          <w:lang w:val="en-GB"/>
        </w:rPr>
        <w:t xml:space="preserve">possible </w:t>
      </w:r>
      <w:r w:rsidRPr="0002303B">
        <w:rPr>
          <w:rFonts w:ascii="Arial" w:hAnsi="Arial" w:cs="Arial"/>
          <w:iCs/>
          <w:lang w:val="en-GB"/>
        </w:rPr>
        <w:t>outcome</w:t>
      </w:r>
      <w:r>
        <w:rPr>
          <w:rFonts w:ascii="Arial" w:hAnsi="Arial" w:cs="Arial"/>
          <w:iCs/>
          <w:lang w:val="en-GB"/>
        </w:rPr>
        <w:t>s</w:t>
      </w:r>
      <w:r w:rsidRPr="0002303B">
        <w:rPr>
          <w:rFonts w:ascii="Arial" w:hAnsi="Arial" w:cs="Arial"/>
          <w:iCs/>
          <w:lang w:val="en-GB"/>
        </w:rPr>
        <w:t xml:space="preserve"> for each of the various stakeholders</w:t>
      </w:r>
      <w:r>
        <w:rPr>
          <w:rFonts w:ascii="Arial" w:hAnsi="Arial" w:cs="Arial"/>
          <w:iCs/>
          <w:lang w:val="en-GB"/>
        </w:rPr>
        <w:t xml:space="preserve"> and the likelihood of their acceptance, or, in the event, they do not accept, whether </w:t>
      </w:r>
      <w:r w:rsidRPr="0002303B">
        <w:rPr>
          <w:rFonts w:ascii="Arial" w:hAnsi="Arial" w:cs="Arial"/>
          <w:iCs/>
          <w:lang w:val="en-GB"/>
        </w:rPr>
        <w:t>the</w:t>
      </w:r>
      <w:r>
        <w:rPr>
          <w:rFonts w:ascii="Arial" w:hAnsi="Arial" w:cs="Arial"/>
          <w:iCs/>
          <w:lang w:val="en-GB"/>
        </w:rPr>
        <w:t xml:space="preserve"> proposed may be imposed on them.</w:t>
      </w:r>
    </w:p>
    <w:p w14:paraId="750106F3" w14:textId="77777777" w:rsidR="007A2425" w:rsidRPr="007A2425" w:rsidRDefault="007A2425" w:rsidP="007A2425">
      <w:pPr>
        <w:tabs>
          <w:tab w:val="center" w:pos="1260"/>
        </w:tabs>
        <w:spacing w:before="120" w:after="120" w:line="300" w:lineRule="exact"/>
        <w:ind w:left="446"/>
        <w:jc w:val="both"/>
        <w:rPr>
          <w:rFonts w:ascii="Arial" w:hAnsi="Arial" w:cs="Arial"/>
          <w:iCs/>
          <w:lang w:val="en-GB"/>
        </w:rPr>
      </w:pPr>
    </w:p>
    <w:p w14:paraId="5A052548" w14:textId="1A90C7B4" w:rsidR="00F707AF" w:rsidRPr="00A12EDA" w:rsidRDefault="00B721F3" w:rsidP="00B721F3">
      <w:pPr>
        <w:pStyle w:val="ListParagraph"/>
        <w:numPr>
          <w:ilvl w:val="0"/>
          <w:numId w:val="1"/>
        </w:numPr>
        <w:jc w:val="both"/>
        <w:rPr>
          <w:rFonts w:ascii="Arial" w:hAnsi="Arial" w:cs="Arial"/>
          <w:b/>
          <w:bCs/>
          <w:iCs/>
          <w:u w:val="single"/>
          <w:lang w:val="en-GB"/>
        </w:rPr>
      </w:pPr>
      <w:r w:rsidRPr="00A12EDA">
        <w:rPr>
          <w:rFonts w:ascii="Arial" w:hAnsi="Arial" w:cs="Arial"/>
          <w:b/>
          <w:bCs/>
          <w:iCs/>
          <w:u w:val="single"/>
          <w:lang w:val="en-GB"/>
        </w:rPr>
        <w:t xml:space="preserve">Proposed Strategy for Dealing with the </w:t>
      </w:r>
      <w:proofErr w:type="spellStart"/>
      <w:r w:rsidRPr="00A12EDA">
        <w:rPr>
          <w:rFonts w:ascii="Arial" w:hAnsi="Arial" w:cs="Arial"/>
          <w:b/>
          <w:bCs/>
          <w:iCs/>
          <w:u w:val="single"/>
          <w:lang w:val="en-GB"/>
        </w:rPr>
        <w:t>Efwon</w:t>
      </w:r>
      <w:proofErr w:type="spellEnd"/>
      <w:r w:rsidRPr="00A12EDA">
        <w:rPr>
          <w:rFonts w:ascii="Arial" w:hAnsi="Arial" w:cs="Arial"/>
          <w:b/>
          <w:bCs/>
          <w:iCs/>
          <w:u w:val="single"/>
          <w:lang w:val="en-GB"/>
        </w:rPr>
        <w:t xml:space="preserve"> Group and Its Stakeholders</w:t>
      </w:r>
    </w:p>
    <w:p w14:paraId="01AD2841" w14:textId="77777777" w:rsidR="0032346A" w:rsidRPr="0032346A" w:rsidRDefault="0032346A" w:rsidP="0032346A">
      <w:pPr>
        <w:ind w:left="360"/>
        <w:jc w:val="both"/>
        <w:rPr>
          <w:rFonts w:ascii="Arial" w:hAnsi="Arial" w:cs="Arial"/>
          <w:b/>
          <w:bCs/>
          <w:iCs/>
          <w:lang w:val="en-GB"/>
        </w:rPr>
      </w:pPr>
    </w:p>
    <w:p w14:paraId="7D5F078C" w14:textId="59DF7181" w:rsidR="009E63D5" w:rsidRDefault="000F5EA6" w:rsidP="009E63D5">
      <w:pPr>
        <w:pStyle w:val="ListParagraph"/>
        <w:numPr>
          <w:ilvl w:val="0"/>
          <w:numId w:val="5"/>
        </w:numPr>
        <w:jc w:val="both"/>
        <w:rPr>
          <w:rFonts w:ascii="Arial" w:hAnsi="Arial" w:cs="Arial"/>
          <w:b/>
          <w:bCs/>
          <w:iCs/>
          <w:lang w:val="en-GB"/>
        </w:rPr>
      </w:pPr>
      <w:r>
        <w:rPr>
          <w:rFonts w:ascii="Arial" w:hAnsi="Arial" w:cs="Arial"/>
          <w:b/>
          <w:bCs/>
          <w:iCs/>
          <w:lang w:val="en-GB"/>
        </w:rPr>
        <w:t xml:space="preserve">Proposed </w:t>
      </w:r>
      <w:r w:rsidR="008C51DE">
        <w:rPr>
          <w:rFonts w:ascii="Arial" w:hAnsi="Arial" w:cs="Arial"/>
          <w:b/>
          <w:bCs/>
          <w:iCs/>
          <w:lang w:val="en-GB"/>
        </w:rPr>
        <w:t xml:space="preserve">Group </w:t>
      </w:r>
      <w:r w:rsidR="00D43139">
        <w:rPr>
          <w:rFonts w:ascii="Arial" w:hAnsi="Arial" w:cs="Arial"/>
          <w:b/>
          <w:bCs/>
          <w:iCs/>
          <w:lang w:val="en-GB"/>
        </w:rPr>
        <w:t>Restructuring</w:t>
      </w:r>
      <w:r w:rsidR="00FD1DA1">
        <w:rPr>
          <w:rFonts w:ascii="Arial" w:hAnsi="Arial" w:cs="Arial"/>
          <w:b/>
          <w:bCs/>
          <w:iCs/>
          <w:lang w:val="en-GB"/>
        </w:rPr>
        <w:t xml:space="preserve"> Strategy</w:t>
      </w:r>
      <w:r w:rsidR="00D81692">
        <w:rPr>
          <w:rFonts w:ascii="Arial" w:hAnsi="Arial" w:cs="Arial"/>
          <w:b/>
          <w:bCs/>
          <w:iCs/>
          <w:lang w:val="en-GB"/>
        </w:rPr>
        <w:t xml:space="preserve"> </w:t>
      </w:r>
    </w:p>
    <w:p w14:paraId="2FE303EE" w14:textId="77777777" w:rsidR="0000456D" w:rsidRPr="00311F3F" w:rsidRDefault="0000456D" w:rsidP="0000456D">
      <w:pPr>
        <w:pStyle w:val="ListParagraph"/>
        <w:numPr>
          <w:ilvl w:val="0"/>
          <w:numId w:val="2"/>
        </w:numPr>
        <w:spacing w:before="240" w:after="120" w:line="360" w:lineRule="exact"/>
        <w:ind w:left="0" w:firstLine="360"/>
        <w:jc w:val="both"/>
        <w:rPr>
          <w:rFonts w:ascii="Arial" w:hAnsi="Arial" w:cs="Arial"/>
          <w:b/>
          <w:bCs/>
          <w:iCs/>
          <w:lang w:val="en-GB"/>
        </w:rPr>
      </w:pPr>
      <w:proofErr w:type="spellStart"/>
      <w:r>
        <w:rPr>
          <w:rFonts w:ascii="Arial" w:hAnsi="Arial" w:cs="Arial"/>
          <w:iCs/>
          <w:lang w:val="en-GB"/>
        </w:rPr>
        <w:t>KuasaNas</w:t>
      </w:r>
      <w:proofErr w:type="spellEnd"/>
      <w:r>
        <w:rPr>
          <w:rFonts w:ascii="Arial" w:hAnsi="Arial" w:cs="Arial"/>
          <w:iCs/>
          <w:lang w:val="en-GB"/>
        </w:rPr>
        <w:t xml:space="preserve"> has expressed an interest in becoming the new sponsor of Team Maximov, with an offer to fund </w:t>
      </w:r>
      <w:proofErr w:type="gramStart"/>
      <w:r>
        <w:rPr>
          <w:rFonts w:ascii="Arial" w:hAnsi="Arial" w:cs="Arial"/>
          <w:iCs/>
          <w:lang w:val="en-GB"/>
        </w:rPr>
        <w:t>in excess of</w:t>
      </w:r>
      <w:proofErr w:type="gramEnd"/>
      <w:r>
        <w:rPr>
          <w:rFonts w:ascii="Arial" w:hAnsi="Arial" w:cs="Arial"/>
          <w:iCs/>
          <w:lang w:val="en-GB"/>
        </w:rPr>
        <w:t xml:space="preserve"> US$100 MM annually, subject to certain conditions, which include a majority stake in the team and a relocation to Malaysia.  Upon the developments of </w:t>
      </w:r>
      <w:proofErr w:type="spellStart"/>
      <w:r>
        <w:rPr>
          <w:rFonts w:ascii="Arial" w:hAnsi="Arial" w:cs="Arial"/>
          <w:iCs/>
          <w:lang w:val="en-GB"/>
        </w:rPr>
        <w:t>Efwon</w:t>
      </w:r>
      <w:proofErr w:type="spellEnd"/>
      <w:r>
        <w:rPr>
          <w:rFonts w:ascii="Arial" w:hAnsi="Arial" w:cs="Arial"/>
          <w:iCs/>
          <w:lang w:val="en-GB"/>
        </w:rPr>
        <w:t xml:space="preserve"> Group, </w:t>
      </w:r>
      <w:proofErr w:type="spellStart"/>
      <w:r>
        <w:rPr>
          <w:rFonts w:ascii="Arial" w:hAnsi="Arial" w:cs="Arial"/>
          <w:iCs/>
          <w:lang w:val="en-GB"/>
        </w:rPr>
        <w:t>KuasaNas</w:t>
      </w:r>
      <w:proofErr w:type="spellEnd"/>
      <w:r>
        <w:rPr>
          <w:rFonts w:ascii="Arial" w:hAnsi="Arial" w:cs="Arial"/>
          <w:iCs/>
          <w:lang w:val="en-GB"/>
        </w:rPr>
        <w:t xml:space="preserve"> has reiterated its interest and offered to pay a portion of its consideration at the closing table of the </w:t>
      </w:r>
      <w:proofErr w:type="spellStart"/>
      <w:r>
        <w:rPr>
          <w:rFonts w:ascii="Arial" w:hAnsi="Arial" w:cs="Arial"/>
          <w:iCs/>
          <w:lang w:val="en-GB"/>
        </w:rPr>
        <w:t>Efwon</w:t>
      </w:r>
      <w:proofErr w:type="spellEnd"/>
      <w:r>
        <w:rPr>
          <w:rFonts w:ascii="Arial" w:hAnsi="Arial" w:cs="Arial"/>
          <w:iCs/>
          <w:lang w:val="en-GB"/>
        </w:rPr>
        <w:t xml:space="preserve"> Group restructuring, provided that the </w:t>
      </w:r>
      <w:proofErr w:type="spellStart"/>
      <w:r>
        <w:rPr>
          <w:rFonts w:ascii="Arial" w:hAnsi="Arial" w:cs="Arial"/>
          <w:iCs/>
          <w:lang w:val="en-GB"/>
        </w:rPr>
        <w:t>Efwon</w:t>
      </w:r>
      <w:proofErr w:type="spellEnd"/>
      <w:r>
        <w:rPr>
          <w:rFonts w:ascii="Arial" w:hAnsi="Arial" w:cs="Arial"/>
          <w:iCs/>
          <w:lang w:val="en-GB"/>
        </w:rPr>
        <w:t xml:space="preserve"> Group’s insolvency risk is adequately managed and that their investment is insulated from the financial turmoil. </w:t>
      </w:r>
    </w:p>
    <w:p w14:paraId="331A886B" w14:textId="5945E701" w:rsidR="0000456D" w:rsidRPr="00AA3698" w:rsidRDefault="0000456D" w:rsidP="0000456D">
      <w:pPr>
        <w:pStyle w:val="ListParagraph"/>
        <w:numPr>
          <w:ilvl w:val="0"/>
          <w:numId w:val="2"/>
        </w:numPr>
        <w:spacing w:before="240" w:after="120" w:line="360" w:lineRule="exact"/>
        <w:ind w:left="0" w:firstLine="360"/>
        <w:jc w:val="both"/>
        <w:rPr>
          <w:rFonts w:ascii="Arial" w:hAnsi="Arial" w:cs="Arial"/>
          <w:b/>
          <w:bCs/>
          <w:iCs/>
          <w:lang w:val="en-GB"/>
        </w:rPr>
      </w:pPr>
      <w:r>
        <w:rPr>
          <w:rFonts w:ascii="Arial" w:hAnsi="Arial" w:cs="Arial"/>
          <w:iCs/>
          <w:lang w:val="en-GB"/>
        </w:rPr>
        <w:t xml:space="preserve">You have indicated </w:t>
      </w:r>
      <w:r w:rsidR="00832FB1">
        <w:rPr>
          <w:rFonts w:ascii="Arial" w:hAnsi="Arial" w:cs="Arial"/>
          <w:iCs/>
          <w:lang w:val="en-GB"/>
        </w:rPr>
        <w:t xml:space="preserve">to </w:t>
      </w:r>
      <w:r>
        <w:rPr>
          <w:rFonts w:ascii="Arial" w:hAnsi="Arial" w:cs="Arial"/>
          <w:iCs/>
          <w:lang w:val="en-GB"/>
        </w:rPr>
        <w:t xml:space="preserve">us that the </w:t>
      </w:r>
      <w:proofErr w:type="spellStart"/>
      <w:r>
        <w:rPr>
          <w:rFonts w:ascii="Arial" w:hAnsi="Arial" w:cs="Arial"/>
          <w:iCs/>
          <w:lang w:val="en-GB"/>
        </w:rPr>
        <w:t>KuasaNas</w:t>
      </w:r>
      <w:proofErr w:type="spellEnd"/>
      <w:r>
        <w:rPr>
          <w:rFonts w:ascii="Arial" w:hAnsi="Arial" w:cs="Arial"/>
          <w:iCs/>
          <w:lang w:val="en-GB"/>
        </w:rPr>
        <w:t xml:space="preserve"> proposal is, given timing considerations and the current circumstances, the </w:t>
      </w:r>
      <w:proofErr w:type="spellStart"/>
      <w:r>
        <w:rPr>
          <w:rFonts w:ascii="Arial" w:hAnsi="Arial" w:cs="Arial"/>
          <w:iCs/>
          <w:lang w:val="en-GB"/>
        </w:rPr>
        <w:t>Efwon</w:t>
      </w:r>
      <w:proofErr w:type="spellEnd"/>
      <w:r>
        <w:rPr>
          <w:rFonts w:ascii="Arial" w:hAnsi="Arial" w:cs="Arial"/>
          <w:iCs/>
          <w:lang w:val="en-GB"/>
        </w:rPr>
        <w:t xml:space="preserve"> Group’s only viable choice.  </w:t>
      </w:r>
    </w:p>
    <w:p w14:paraId="1BF04B3D" w14:textId="6259F6DF" w:rsidR="0000456D" w:rsidRPr="00311F3F" w:rsidRDefault="0000456D" w:rsidP="0000456D">
      <w:pPr>
        <w:pStyle w:val="ListParagraph"/>
        <w:numPr>
          <w:ilvl w:val="0"/>
          <w:numId w:val="2"/>
        </w:numPr>
        <w:spacing w:before="240" w:after="120" w:line="360" w:lineRule="exact"/>
        <w:ind w:left="0" w:firstLine="360"/>
        <w:jc w:val="both"/>
        <w:rPr>
          <w:rFonts w:ascii="Arial" w:hAnsi="Arial" w:cs="Arial"/>
          <w:b/>
          <w:bCs/>
          <w:iCs/>
          <w:lang w:val="en-GB"/>
        </w:rPr>
      </w:pPr>
      <w:r w:rsidRPr="00311F3F">
        <w:rPr>
          <w:rFonts w:ascii="Arial" w:hAnsi="Arial" w:cs="Arial"/>
          <w:iCs/>
          <w:lang w:val="en-GB"/>
        </w:rPr>
        <w:t xml:space="preserve">For our </w:t>
      </w:r>
      <w:r w:rsidR="004B5FA8">
        <w:rPr>
          <w:rFonts w:ascii="Arial" w:hAnsi="Arial" w:cs="Arial"/>
          <w:iCs/>
          <w:lang w:val="en-GB"/>
        </w:rPr>
        <w:t xml:space="preserve">proposed </w:t>
      </w:r>
      <w:r w:rsidRPr="00311F3F">
        <w:rPr>
          <w:rFonts w:ascii="Arial" w:hAnsi="Arial" w:cs="Arial"/>
          <w:iCs/>
          <w:lang w:val="en-GB"/>
        </w:rPr>
        <w:t xml:space="preserve">plan to prosper, it will be critical to count on </w:t>
      </w:r>
      <w:proofErr w:type="spellStart"/>
      <w:r w:rsidRPr="00311F3F">
        <w:rPr>
          <w:rFonts w:ascii="Arial" w:hAnsi="Arial" w:cs="Arial"/>
          <w:iCs/>
          <w:lang w:val="en-GB"/>
        </w:rPr>
        <w:t>KuasaNas</w:t>
      </w:r>
      <w:proofErr w:type="spellEnd"/>
      <w:r w:rsidRPr="00311F3F">
        <w:rPr>
          <w:rFonts w:ascii="Arial" w:hAnsi="Arial" w:cs="Arial"/>
          <w:iCs/>
          <w:lang w:val="en-GB"/>
        </w:rPr>
        <w:t xml:space="preserve"> commitment and on their cash contri</w:t>
      </w:r>
      <w:r>
        <w:rPr>
          <w:rFonts w:ascii="Arial" w:hAnsi="Arial" w:cs="Arial"/>
          <w:iCs/>
          <w:lang w:val="en-GB"/>
        </w:rPr>
        <w:t>b</w:t>
      </w:r>
      <w:r w:rsidRPr="00311F3F">
        <w:rPr>
          <w:rFonts w:ascii="Arial" w:hAnsi="Arial" w:cs="Arial"/>
          <w:iCs/>
          <w:lang w:val="en-GB"/>
        </w:rPr>
        <w:t xml:space="preserve">ution at settlement date.  </w:t>
      </w:r>
      <w:r>
        <w:rPr>
          <w:rFonts w:ascii="Arial" w:hAnsi="Arial" w:cs="Arial"/>
          <w:iCs/>
          <w:lang w:val="en-GB"/>
        </w:rPr>
        <w:t xml:space="preserve">There are various options for </w:t>
      </w:r>
      <w:proofErr w:type="spellStart"/>
      <w:r>
        <w:rPr>
          <w:rFonts w:ascii="Arial" w:hAnsi="Arial" w:cs="Arial"/>
          <w:iCs/>
          <w:lang w:val="en-GB"/>
        </w:rPr>
        <w:t>KuasaNas</w:t>
      </w:r>
      <w:proofErr w:type="spellEnd"/>
      <w:r>
        <w:rPr>
          <w:rFonts w:ascii="Arial" w:hAnsi="Arial" w:cs="Arial"/>
          <w:iCs/>
          <w:lang w:val="en-GB"/>
        </w:rPr>
        <w:t xml:space="preserve"> to acquire a 51% interest in the equity of the Team:</w:t>
      </w:r>
    </w:p>
    <w:p w14:paraId="6C8318E2" w14:textId="77777777" w:rsidR="0000456D" w:rsidRPr="00311F3F" w:rsidRDefault="0000456D" w:rsidP="0000456D">
      <w:pPr>
        <w:pStyle w:val="ListParagraph"/>
        <w:numPr>
          <w:ilvl w:val="1"/>
          <w:numId w:val="2"/>
        </w:numPr>
        <w:spacing w:before="240" w:after="120" w:line="360" w:lineRule="exact"/>
        <w:jc w:val="both"/>
        <w:rPr>
          <w:rFonts w:ascii="Arial" w:hAnsi="Arial" w:cs="Arial"/>
          <w:b/>
          <w:bCs/>
          <w:iCs/>
          <w:lang w:val="en-GB"/>
        </w:rPr>
      </w:pPr>
      <w:r w:rsidRPr="00311F3F">
        <w:rPr>
          <w:rFonts w:ascii="Arial" w:hAnsi="Arial" w:cs="Arial"/>
          <w:iCs/>
          <w:lang w:val="en-GB"/>
        </w:rPr>
        <w:t xml:space="preserve">Acquisition of 51% of the shares of </w:t>
      </w:r>
      <w:proofErr w:type="spellStart"/>
      <w:r w:rsidRPr="00311F3F">
        <w:rPr>
          <w:rFonts w:ascii="Arial" w:hAnsi="Arial" w:cs="Arial"/>
          <w:iCs/>
          <w:lang w:val="en-GB"/>
        </w:rPr>
        <w:t>Efwon</w:t>
      </w:r>
      <w:proofErr w:type="spellEnd"/>
      <w:r w:rsidRPr="00311F3F">
        <w:rPr>
          <w:rFonts w:ascii="Arial" w:hAnsi="Arial" w:cs="Arial"/>
          <w:iCs/>
          <w:lang w:val="en-GB"/>
        </w:rPr>
        <w:t xml:space="preserve"> Romania.  This option is less than optimal as the cash would flow directly into the balance sheet of </w:t>
      </w:r>
      <w:proofErr w:type="spellStart"/>
      <w:r w:rsidRPr="00311F3F">
        <w:rPr>
          <w:rFonts w:ascii="Arial" w:hAnsi="Arial" w:cs="Arial"/>
          <w:iCs/>
          <w:lang w:val="en-GB"/>
        </w:rPr>
        <w:t>Efwon</w:t>
      </w:r>
      <w:proofErr w:type="spellEnd"/>
      <w:r w:rsidRPr="00311F3F">
        <w:rPr>
          <w:rFonts w:ascii="Arial" w:hAnsi="Arial" w:cs="Arial"/>
          <w:iCs/>
          <w:lang w:val="en-GB"/>
        </w:rPr>
        <w:t xml:space="preserve"> Romania</w:t>
      </w:r>
      <w:r>
        <w:rPr>
          <w:rFonts w:ascii="Arial" w:hAnsi="Arial" w:cs="Arial"/>
          <w:iCs/>
          <w:lang w:val="en-GB"/>
        </w:rPr>
        <w:t xml:space="preserve">, </w:t>
      </w:r>
      <w:r>
        <w:rPr>
          <w:rFonts w:ascii="Arial" w:hAnsi="Arial" w:cs="Arial"/>
          <w:iCs/>
          <w:lang w:val="en-GB"/>
        </w:rPr>
        <w:lastRenderedPageBreak/>
        <w:t>it would be amenable to a freeze by local courts</w:t>
      </w:r>
      <w:r w:rsidRPr="00311F3F">
        <w:rPr>
          <w:rFonts w:ascii="Arial" w:hAnsi="Arial" w:cs="Arial"/>
          <w:iCs/>
          <w:lang w:val="en-GB"/>
        </w:rPr>
        <w:t xml:space="preserve"> and increase the leverage of the Drivers</w:t>
      </w:r>
      <w:r>
        <w:rPr>
          <w:rFonts w:ascii="Arial" w:hAnsi="Arial" w:cs="Arial"/>
          <w:iCs/>
          <w:lang w:val="en-GB"/>
        </w:rPr>
        <w:t>, if their claim is not settled upfront.</w:t>
      </w:r>
    </w:p>
    <w:p w14:paraId="7C5E7901" w14:textId="77777777" w:rsidR="0000456D" w:rsidRPr="0074092F" w:rsidRDefault="0000456D" w:rsidP="0000456D">
      <w:pPr>
        <w:pStyle w:val="ListParagraph"/>
        <w:numPr>
          <w:ilvl w:val="1"/>
          <w:numId w:val="2"/>
        </w:numPr>
        <w:spacing w:before="240" w:after="120" w:line="360" w:lineRule="exact"/>
        <w:jc w:val="both"/>
        <w:rPr>
          <w:rFonts w:ascii="Arial" w:hAnsi="Arial" w:cs="Arial"/>
          <w:b/>
          <w:bCs/>
          <w:iCs/>
          <w:lang w:val="en-GB"/>
        </w:rPr>
      </w:pPr>
      <w:r>
        <w:rPr>
          <w:rFonts w:ascii="Arial" w:hAnsi="Arial" w:cs="Arial"/>
          <w:iCs/>
          <w:lang w:val="en-GB"/>
        </w:rPr>
        <w:t xml:space="preserve">Acquisition of the Monaco Loan and subsequent conversion into equity of </w:t>
      </w:r>
      <w:proofErr w:type="spellStart"/>
      <w:r>
        <w:rPr>
          <w:rFonts w:ascii="Arial" w:hAnsi="Arial" w:cs="Arial"/>
          <w:iCs/>
          <w:lang w:val="en-GB"/>
        </w:rPr>
        <w:t>Efwon</w:t>
      </w:r>
      <w:proofErr w:type="spellEnd"/>
      <w:r>
        <w:rPr>
          <w:rFonts w:ascii="Arial" w:hAnsi="Arial" w:cs="Arial"/>
          <w:iCs/>
          <w:lang w:val="en-GB"/>
        </w:rPr>
        <w:t xml:space="preserve"> Trading for at least 51% of its shares (subject to valuation).  This would allow, subject to the amount converted, for the release of the corporate guarantees of </w:t>
      </w:r>
      <w:proofErr w:type="spellStart"/>
      <w:r>
        <w:rPr>
          <w:rFonts w:ascii="Arial" w:hAnsi="Arial" w:cs="Arial"/>
          <w:iCs/>
          <w:lang w:val="en-GB"/>
        </w:rPr>
        <w:t>Efwon</w:t>
      </w:r>
      <w:proofErr w:type="spellEnd"/>
      <w:r>
        <w:rPr>
          <w:rFonts w:ascii="Arial" w:hAnsi="Arial" w:cs="Arial"/>
          <w:iCs/>
          <w:lang w:val="en-GB"/>
        </w:rPr>
        <w:t xml:space="preserve"> Romania and </w:t>
      </w:r>
      <w:proofErr w:type="spellStart"/>
      <w:r>
        <w:rPr>
          <w:rFonts w:ascii="Arial" w:hAnsi="Arial" w:cs="Arial"/>
          <w:iCs/>
          <w:lang w:val="en-GB"/>
        </w:rPr>
        <w:t>Efwon</w:t>
      </w:r>
      <w:proofErr w:type="spellEnd"/>
      <w:r>
        <w:rPr>
          <w:rFonts w:ascii="Arial" w:hAnsi="Arial" w:cs="Arial"/>
          <w:iCs/>
          <w:lang w:val="en-GB"/>
        </w:rPr>
        <w:t xml:space="preserve"> Singapore, and the release of the pledge over future cash flows of the </w:t>
      </w:r>
      <w:proofErr w:type="spellStart"/>
      <w:r>
        <w:rPr>
          <w:rFonts w:ascii="Arial" w:hAnsi="Arial" w:cs="Arial"/>
          <w:iCs/>
          <w:lang w:val="en-GB"/>
        </w:rPr>
        <w:t>HoldCo</w:t>
      </w:r>
      <w:proofErr w:type="spellEnd"/>
      <w:r>
        <w:rPr>
          <w:rFonts w:ascii="Arial" w:hAnsi="Arial" w:cs="Arial"/>
          <w:iCs/>
          <w:lang w:val="en-GB"/>
        </w:rPr>
        <w:t xml:space="preserve"> and its subsidiaries. Because the US Lenders are structurally subordinated to the Monaco Loan, this option would give more leverage to </w:t>
      </w:r>
      <w:proofErr w:type="spellStart"/>
      <w:proofErr w:type="gramStart"/>
      <w:r>
        <w:rPr>
          <w:rFonts w:ascii="Arial" w:hAnsi="Arial" w:cs="Arial"/>
          <w:iCs/>
          <w:lang w:val="en-GB"/>
        </w:rPr>
        <w:t>KuasaNas</w:t>
      </w:r>
      <w:proofErr w:type="spellEnd"/>
      <w:proofErr w:type="gramEnd"/>
      <w:r>
        <w:rPr>
          <w:rFonts w:ascii="Arial" w:hAnsi="Arial" w:cs="Arial"/>
          <w:iCs/>
          <w:lang w:val="en-GB"/>
        </w:rPr>
        <w:t xml:space="preserve"> but the restructuring plan would need to cover both, the acquisition of the Monaco Loan by </w:t>
      </w:r>
      <w:proofErr w:type="spellStart"/>
      <w:r>
        <w:rPr>
          <w:rFonts w:ascii="Arial" w:hAnsi="Arial" w:cs="Arial"/>
          <w:iCs/>
          <w:lang w:val="en-GB"/>
        </w:rPr>
        <w:t>KuasaNas</w:t>
      </w:r>
      <w:proofErr w:type="spellEnd"/>
      <w:r>
        <w:rPr>
          <w:rFonts w:ascii="Arial" w:hAnsi="Arial" w:cs="Arial"/>
          <w:iCs/>
          <w:lang w:val="en-GB"/>
        </w:rPr>
        <w:t xml:space="preserve"> and its conversion into at least 51% of </w:t>
      </w:r>
      <w:proofErr w:type="spellStart"/>
      <w:r>
        <w:rPr>
          <w:rFonts w:ascii="Arial" w:hAnsi="Arial" w:cs="Arial"/>
          <w:iCs/>
          <w:lang w:val="en-GB"/>
        </w:rPr>
        <w:t>Efwon</w:t>
      </w:r>
      <w:proofErr w:type="spellEnd"/>
      <w:r>
        <w:rPr>
          <w:rFonts w:ascii="Arial" w:hAnsi="Arial" w:cs="Arial"/>
          <w:iCs/>
          <w:lang w:val="en-GB"/>
        </w:rPr>
        <w:t xml:space="preserve"> Trading, to be implemented via an issuance of new shares of </w:t>
      </w:r>
      <w:proofErr w:type="spellStart"/>
      <w:r>
        <w:rPr>
          <w:rFonts w:ascii="Arial" w:hAnsi="Arial" w:cs="Arial"/>
          <w:iCs/>
          <w:lang w:val="en-GB"/>
        </w:rPr>
        <w:t>Efwon</w:t>
      </w:r>
      <w:proofErr w:type="spellEnd"/>
      <w:r>
        <w:rPr>
          <w:rFonts w:ascii="Arial" w:hAnsi="Arial" w:cs="Arial"/>
          <w:iCs/>
          <w:lang w:val="en-GB"/>
        </w:rPr>
        <w:t xml:space="preserve"> Trading to be subscribed by </w:t>
      </w:r>
      <w:proofErr w:type="spellStart"/>
      <w:r>
        <w:rPr>
          <w:rFonts w:ascii="Arial" w:hAnsi="Arial" w:cs="Arial"/>
          <w:iCs/>
          <w:lang w:val="en-GB"/>
        </w:rPr>
        <w:t>KuasaNas</w:t>
      </w:r>
      <w:proofErr w:type="spellEnd"/>
      <w:r>
        <w:rPr>
          <w:rFonts w:ascii="Arial" w:hAnsi="Arial" w:cs="Arial"/>
          <w:iCs/>
          <w:lang w:val="en-GB"/>
        </w:rPr>
        <w:t>.</w:t>
      </w:r>
    </w:p>
    <w:p w14:paraId="4F551293" w14:textId="77777777" w:rsidR="0000456D" w:rsidRPr="00311F3F" w:rsidRDefault="0000456D" w:rsidP="0000456D">
      <w:pPr>
        <w:pStyle w:val="ListParagraph"/>
        <w:numPr>
          <w:ilvl w:val="1"/>
          <w:numId w:val="2"/>
        </w:numPr>
        <w:spacing w:before="240" w:after="120" w:line="360" w:lineRule="exact"/>
        <w:jc w:val="both"/>
        <w:rPr>
          <w:rFonts w:ascii="Arial" w:hAnsi="Arial" w:cs="Arial"/>
          <w:b/>
          <w:bCs/>
          <w:iCs/>
          <w:lang w:val="en-GB"/>
        </w:rPr>
      </w:pPr>
      <w:r>
        <w:rPr>
          <w:rFonts w:ascii="Arial" w:hAnsi="Arial" w:cs="Arial"/>
          <w:iCs/>
          <w:lang w:val="en-GB"/>
        </w:rPr>
        <w:t xml:space="preserve">Acquisition of 51% of the shares of </w:t>
      </w:r>
      <w:proofErr w:type="spellStart"/>
      <w:r>
        <w:rPr>
          <w:rFonts w:ascii="Arial" w:hAnsi="Arial" w:cs="Arial"/>
          <w:iCs/>
          <w:lang w:val="en-GB"/>
        </w:rPr>
        <w:t>Efwon</w:t>
      </w:r>
      <w:proofErr w:type="spellEnd"/>
      <w:r>
        <w:rPr>
          <w:rFonts w:ascii="Arial" w:hAnsi="Arial" w:cs="Arial"/>
          <w:iCs/>
          <w:lang w:val="en-GB"/>
        </w:rPr>
        <w:t xml:space="preserve"> Trading in a direct stock purchase from Mr. Maximov or from the estate, for</w:t>
      </w:r>
      <w:r w:rsidRPr="0074092F">
        <w:rPr>
          <w:rFonts w:ascii="Arial" w:hAnsi="Arial" w:cs="Arial"/>
          <w:iCs/>
          <w:lang w:val="en-GB"/>
        </w:rPr>
        <w:t xml:space="preserve"> </w:t>
      </w:r>
      <w:r w:rsidRPr="00311F3F">
        <w:rPr>
          <w:rFonts w:ascii="Arial" w:hAnsi="Arial" w:cs="Arial"/>
          <w:iCs/>
          <w:lang w:val="en-GB"/>
        </w:rPr>
        <w:t xml:space="preserve">which </w:t>
      </w:r>
      <w:r>
        <w:rPr>
          <w:rFonts w:ascii="Arial" w:hAnsi="Arial" w:cs="Arial"/>
          <w:iCs/>
          <w:lang w:val="en-GB"/>
        </w:rPr>
        <w:t xml:space="preserve">purpose </w:t>
      </w:r>
      <w:r w:rsidRPr="00311F3F">
        <w:rPr>
          <w:rFonts w:ascii="Arial" w:hAnsi="Arial" w:cs="Arial"/>
          <w:iCs/>
          <w:lang w:val="en-GB"/>
        </w:rPr>
        <w:t xml:space="preserve">the </w:t>
      </w:r>
      <w:r>
        <w:rPr>
          <w:rFonts w:ascii="Arial" w:hAnsi="Arial" w:cs="Arial"/>
          <w:iCs/>
          <w:lang w:val="en-GB"/>
        </w:rPr>
        <w:t>U</w:t>
      </w:r>
      <w:r w:rsidRPr="00311F3F">
        <w:rPr>
          <w:rFonts w:ascii="Arial" w:hAnsi="Arial" w:cs="Arial"/>
          <w:iCs/>
          <w:lang w:val="en-GB"/>
        </w:rPr>
        <w:t>S Lenders shall</w:t>
      </w:r>
      <w:r>
        <w:rPr>
          <w:rFonts w:ascii="Arial" w:hAnsi="Arial" w:cs="Arial"/>
          <w:iCs/>
          <w:lang w:val="en-GB"/>
        </w:rPr>
        <w:t xml:space="preserve"> partially </w:t>
      </w:r>
      <w:r w:rsidRPr="00311F3F">
        <w:rPr>
          <w:rFonts w:ascii="Arial" w:hAnsi="Arial" w:cs="Arial"/>
          <w:iCs/>
          <w:lang w:val="en-GB"/>
        </w:rPr>
        <w:t xml:space="preserve">waive their pledge over </w:t>
      </w:r>
      <w:r>
        <w:rPr>
          <w:rFonts w:ascii="Arial" w:hAnsi="Arial" w:cs="Arial"/>
          <w:iCs/>
          <w:lang w:val="en-GB"/>
        </w:rPr>
        <w:t xml:space="preserve">those 51% of shares of </w:t>
      </w:r>
      <w:proofErr w:type="spellStart"/>
      <w:r>
        <w:rPr>
          <w:rFonts w:ascii="Arial" w:hAnsi="Arial" w:cs="Arial"/>
          <w:iCs/>
          <w:lang w:val="en-GB"/>
        </w:rPr>
        <w:t>Efwon</w:t>
      </w:r>
      <w:proofErr w:type="spellEnd"/>
      <w:r>
        <w:rPr>
          <w:rFonts w:ascii="Arial" w:hAnsi="Arial" w:cs="Arial"/>
          <w:iCs/>
          <w:lang w:val="en-GB"/>
        </w:rPr>
        <w:t xml:space="preserve"> </w:t>
      </w:r>
      <w:proofErr w:type="gramStart"/>
      <w:r>
        <w:rPr>
          <w:rFonts w:ascii="Arial" w:hAnsi="Arial" w:cs="Arial"/>
          <w:iCs/>
          <w:lang w:val="en-GB"/>
        </w:rPr>
        <w:t>Trading;</w:t>
      </w:r>
      <w:proofErr w:type="gramEnd"/>
      <w:r>
        <w:rPr>
          <w:rFonts w:ascii="Arial" w:hAnsi="Arial" w:cs="Arial"/>
          <w:iCs/>
          <w:lang w:val="en-GB"/>
        </w:rPr>
        <w:t xml:space="preserve">  </w:t>
      </w:r>
    </w:p>
    <w:p w14:paraId="0DB66AF2" w14:textId="77777777" w:rsidR="0000456D" w:rsidRPr="00311F3F" w:rsidRDefault="0000456D" w:rsidP="0000456D">
      <w:pPr>
        <w:pStyle w:val="ListParagraph"/>
        <w:numPr>
          <w:ilvl w:val="0"/>
          <w:numId w:val="2"/>
        </w:numPr>
        <w:spacing w:before="240" w:after="120" w:line="360" w:lineRule="exact"/>
        <w:ind w:left="0" w:firstLine="360"/>
        <w:jc w:val="both"/>
        <w:rPr>
          <w:rFonts w:ascii="Arial" w:hAnsi="Arial" w:cs="Arial"/>
          <w:b/>
          <w:bCs/>
          <w:iCs/>
          <w:lang w:val="en-GB"/>
        </w:rPr>
      </w:pPr>
      <w:r>
        <w:rPr>
          <w:rFonts w:ascii="Arial" w:hAnsi="Arial" w:cs="Arial"/>
          <w:iCs/>
          <w:lang w:val="en-GB"/>
        </w:rPr>
        <w:t xml:space="preserve">We find that the optimal approach is the [acquisition of 51% of </w:t>
      </w:r>
      <w:proofErr w:type="spellStart"/>
      <w:r>
        <w:rPr>
          <w:rFonts w:ascii="Arial" w:hAnsi="Arial" w:cs="Arial"/>
          <w:iCs/>
          <w:lang w:val="en-GB"/>
        </w:rPr>
        <w:t>Efwon</w:t>
      </w:r>
      <w:proofErr w:type="spellEnd"/>
      <w:r>
        <w:rPr>
          <w:rFonts w:ascii="Arial" w:hAnsi="Arial" w:cs="Arial"/>
          <w:iCs/>
          <w:lang w:val="en-GB"/>
        </w:rPr>
        <w:t xml:space="preserve"> Trading shares directly], provided that at closing:</w:t>
      </w:r>
    </w:p>
    <w:p w14:paraId="2A317BB7" w14:textId="77777777" w:rsidR="0000456D" w:rsidRPr="003D5A32" w:rsidRDefault="0000456D" w:rsidP="0000456D">
      <w:pPr>
        <w:pStyle w:val="ListParagraph"/>
        <w:numPr>
          <w:ilvl w:val="1"/>
          <w:numId w:val="2"/>
        </w:numPr>
        <w:spacing w:before="240" w:after="120" w:line="360" w:lineRule="exact"/>
        <w:jc w:val="both"/>
        <w:rPr>
          <w:rFonts w:ascii="Arial" w:hAnsi="Arial" w:cs="Arial"/>
          <w:iCs/>
          <w:lang w:val="en-GB"/>
        </w:rPr>
      </w:pPr>
      <w:proofErr w:type="spellStart"/>
      <w:r w:rsidRPr="003D5A32">
        <w:rPr>
          <w:rFonts w:ascii="Arial" w:hAnsi="Arial" w:cs="Arial"/>
          <w:iCs/>
          <w:lang w:val="en-GB"/>
        </w:rPr>
        <w:t>KuasaNas</w:t>
      </w:r>
      <w:proofErr w:type="spellEnd"/>
      <w:r w:rsidRPr="003D5A32">
        <w:rPr>
          <w:rFonts w:ascii="Arial" w:hAnsi="Arial" w:cs="Arial"/>
          <w:iCs/>
          <w:lang w:val="en-GB"/>
        </w:rPr>
        <w:t xml:space="preserve"> acquires 51% of the shares of </w:t>
      </w:r>
      <w:proofErr w:type="spellStart"/>
      <w:r w:rsidRPr="003D5A32">
        <w:rPr>
          <w:rFonts w:ascii="Arial" w:hAnsi="Arial" w:cs="Arial"/>
          <w:iCs/>
          <w:lang w:val="en-GB"/>
        </w:rPr>
        <w:t>Efwon</w:t>
      </w:r>
      <w:proofErr w:type="spellEnd"/>
      <w:r w:rsidRPr="003D5A32">
        <w:rPr>
          <w:rFonts w:ascii="Arial" w:hAnsi="Arial" w:cs="Arial"/>
          <w:iCs/>
          <w:lang w:val="en-GB"/>
        </w:rPr>
        <w:t xml:space="preserve"> Trading from Mr. Maximov and </w:t>
      </w:r>
      <w:r>
        <w:rPr>
          <w:rFonts w:ascii="Arial" w:hAnsi="Arial" w:cs="Arial"/>
          <w:iCs/>
          <w:lang w:val="en-GB"/>
        </w:rPr>
        <w:t>a</w:t>
      </w:r>
      <w:r w:rsidRPr="003D5A32">
        <w:rPr>
          <w:rFonts w:ascii="Arial" w:hAnsi="Arial" w:cs="Arial"/>
          <w:iCs/>
          <w:lang w:val="en-GB"/>
        </w:rPr>
        <w:t xml:space="preserve">ny cash consideration from this transaction goes to </w:t>
      </w:r>
      <w:r>
        <w:rPr>
          <w:rFonts w:ascii="Arial" w:hAnsi="Arial" w:cs="Arial"/>
          <w:iCs/>
          <w:lang w:val="en-GB"/>
        </w:rPr>
        <w:t xml:space="preserve">finance </w:t>
      </w:r>
      <w:r w:rsidRPr="003D5A32">
        <w:rPr>
          <w:rFonts w:ascii="Arial" w:hAnsi="Arial" w:cs="Arial"/>
          <w:iCs/>
          <w:lang w:val="en-GB"/>
        </w:rPr>
        <w:t xml:space="preserve">the restructuring </w:t>
      </w:r>
      <w:proofErr w:type="gramStart"/>
      <w:r w:rsidRPr="003D5A32">
        <w:rPr>
          <w:rFonts w:ascii="Arial" w:hAnsi="Arial" w:cs="Arial"/>
          <w:iCs/>
          <w:lang w:val="en-GB"/>
        </w:rPr>
        <w:t>plan</w:t>
      </w:r>
      <w:r>
        <w:rPr>
          <w:rFonts w:ascii="Arial" w:hAnsi="Arial" w:cs="Arial"/>
          <w:iCs/>
          <w:lang w:val="en-GB"/>
        </w:rPr>
        <w:t>;</w:t>
      </w:r>
      <w:proofErr w:type="gramEnd"/>
    </w:p>
    <w:p w14:paraId="4763DEFE" w14:textId="6285C7DD" w:rsidR="0000456D" w:rsidRPr="0074092F" w:rsidRDefault="0000456D" w:rsidP="0000456D">
      <w:pPr>
        <w:pStyle w:val="ListParagraph"/>
        <w:numPr>
          <w:ilvl w:val="1"/>
          <w:numId w:val="2"/>
        </w:numPr>
        <w:spacing w:before="240" w:after="120" w:line="360" w:lineRule="exact"/>
        <w:jc w:val="both"/>
        <w:rPr>
          <w:rFonts w:ascii="Arial" w:hAnsi="Arial" w:cs="Arial"/>
          <w:b/>
          <w:bCs/>
          <w:iCs/>
          <w:lang w:val="en-GB"/>
        </w:rPr>
      </w:pPr>
      <w:r>
        <w:rPr>
          <w:rFonts w:ascii="Arial" w:hAnsi="Arial" w:cs="Arial"/>
          <w:iCs/>
          <w:lang w:val="en-GB"/>
        </w:rPr>
        <w:t xml:space="preserve">If acquisition is implemented directly (option (c) above), then the </w:t>
      </w:r>
      <w:r w:rsidRPr="003D5A32">
        <w:rPr>
          <w:rFonts w:ascii="Arial" w:hAnsi="Arial" w:cs="Arial"/>
          <w:iCs/>
          <w:lang w:val="en-GB"/>
        </w:rPr>
        <w:t xml:space="preserve">Monaco Loan </w:t>
      </w:r>
      <w:r>
        <w:rPr>
          <w:rFonts w:ascii="Arial" w:hAnsi="Arial" w:cs="Arial"/>
          <w:iCs/>
          <w:lang w:val="en-GB"/>
        </w:rPr>
        <w:t>must be</w:t>
      </w:r>
      <w:r w:rsidRPr="003D5A32">
        <w:rPr>
          <w:rFonts w:ascii="Arial" w:hAnsi="Arial" w:cs="Arial"/>
          <w:iCs/>
          <w:lang w:val="en-GB"/>
        </w:rPr>
        <w:t xml:space="preserve"> restructured and the current guarantees supporting it </w:t>
      </w:r>
      <w:r w:rsidR="00472E65">
        <w:rPr>
          <w:rFonts w:ascii="Arial" w:hAnsi="Arial" w:cs="Arial"/>
          <w:iCs/>
          <w:lang w:val="en-GB"/>
        </w:rPr>
        <w:t>must be</w:t>
      </w:r>
      <w:r w:rsidRPr="003D5A32">
        <w:rPr>
          <w:rFonts w:ascii="Arial" w:hAnsi="Arial" w:cs="Arial"/>
          <w:iCs/>
          <w:lang w:val="en-GB"/>
        </w:rPr>
        <w:t xml:space="preserve"> </w:t>
      </w:r>
      <w:r>
        <w:rPr>
          <w:rFonts w:ascii="Arial" w:hAnsi="Arial" w:cs="Arial"/>
          <w:iCs/>
          <w:lang w:val="en-GB"/>
        </w:rPr>
        <w:t xml:space="preserve">released, in exchange for a security interest in </w:t>
      </w:r>
      <w:proofErr w:type="spellStart"/>
      <w:r>
        <w:rPr>
          <w:rFonts w:ascii="Arial" w:hAnsi="Arial" w:cs="Arial"/>
          <w:iCs/>
          <w:lang w:val="en-GB"/>
        </w:rPr>
        <w:t>Efwon</w:t>
      </w:r>
      <w:proofErr w:type="spellEnd"/>
      <w:r>
        <w:rPr>
          <w:rFonts w:ascii="Arial" w:hAnsi="Arial" w:cs="Arial"/>
          <w:iCs/>
          <w:lang w:val="en-GB"/>
        </w:rPr>
        <w:t xml:space="preserve"> Investment shares and/or cash flows, while the senior lenders of the US Facility retain their security over assets (which presumably covers an amount in excess of their outstanding balance</w:t>
      </w:r>
      <w:proofErr w:type="gramStart"/>
      <w:r>
        <w:rPr>
          <w:rFonts w:ascii="Arial" w:hAnsi="Arial" w:cs="Arial"/>
          <w:iCs/>
          <w:lang w:val="en-GB"/>
        </w:rPr>
        <w:t>);</w:t>
      </w:r>
      <w:proofErr w:type="gramEnd"/>
    </w:p>
    <w:p w14:paraId="5D6E8300" w14:textId="77777777" w:rsidR="0000456D" w:rsidRPr="003D5A32" w:rsidRDefault="0000456D" w:rsidP="0000456D">
      <w:pPr>
        <w:pStyle w:val="ListParagraph"/>
        <w:numPr>
          <w:ilvl w:val="1"/>
          <w:numId w:val="2"/>
        </w:numPr>
        <w:spacing w:before="240" w:after="120" w:line="360" w:lineRule="exact"/>
        <w:jc w:val="both"/>
        <w:rPr>
          <w:rFonts w:ascii="Arial" w:hAnsi="Arial" w:cs="Arial"/>
          <w:b/>
          <w:bCs/>
          <w:iCs/>
          <w:lang w:val="en-GB"/>
        </w:rPr>
      </w:pPr>
      <w:r>
        <w:rPr>
          <w:rFonts w:ascii="Arial" w:hAnsi="Arial" w:cs="Arial"/>
          <w:iCs/>
          <w:lang w:val="en-GB"/>
        </w:rPr>
        <w:t xml:space="preserve">The outstanding balance of the mezzanine and junior loans within the US Facility are forgiven (as there probably is no legitimate expectation of recovery in an insolvency), alternatively, they agree to a reprogramming including a subordination of their claims to the Monaco </w:t>
      </w:r>
      <w:proofErr w:type="gramStart"/>
      <w:r>
        <w:rPr>
          <w:rFonts w:ascii="Arial" w:hAnsi="Arial" w:cs="Arial"/>
          <w:iCs/>
          <w:lang w:val="en-GB"/>
        </w:rPr>
        <w:t>Lender;</w:t>
      </w:r>
      <w:proofErr w:type="gramEnd"/>
      <w:r>
        <w:rPr>
          <w:rFonts w:ascii="Arial" w:hAnsi="Arial" w:cs="Arial"/>
          <w:iCs/>
          <w:lang w:val="en-GB"/>
        </w:rPr>
        <w:t xml:space="preserve"> </w:t>
      </w:r>
    </w:p>
    <w:p w14:paraId="73A470D6" w14:textId="77777777" w:rsidR="0000456D" w:rsidRDefault="0000456D" w:rsidP="0000456D">
      <w:pPr>
        <w:pStyle w:val="ListParagraph"/>
        <w:numPr>
          <w:ilvl w:val="1"/>
          <w:numId w:val="2"/>
        </w:numPr>
        <w:spacing w:before="240" w:after="120" w:line="360" w:lineRule="exact"/>
        <w:jc w:val="both"/>
        <w:rPr>
          <w:rFonts w:ascii="Arial" w:hAnsi="Arial" w:cs="Arial"/>
          <w:iCs/>
          <w:lang w:val="en-GB"/>
        </w:rPr>
      </w:pPr>
      <w:r>
        <w:rPr>
          <w:rFonts w:ascii="Arial" w:hAnsi="Arial" w:cs="Arial"/>
          <w:iCs/>
          <w:lang w:val="en-GB"/>
        </w:rPr>
        <w:t xml:space="preserve">If no agreement can be reached with the mezzanine and junior lenders under the US Facility and the Dutch Court lacks the powers to write off those obligations, consideration should be given to the advantages of filing -in parallel- a Chapter 11 vis-à-vis </w:t>
      </w:r>
      <w:proofErr w:type="spellStart"/>
      <w:r>
        <w:rPr>
          <w:rFonts w:ascii="Arial" w:hAnsi="Arial" w:cs="Arial"/>
          <w:iCs/>
          <w:lang w:val="en-GB"/>
        </w:rPr>
        <w:t>Efwon</w:t>
      </w:r>
      <w:proofErr w:type="spellEnd"/>
      <w:r>
        <w:rPr>
          <w:rFonts w:ascii="Arial" w:hAnsi="Arial" w:cs="Arial"/>
          <w:iCs/>
          <w:lang w:val="en-GB"/>
        </w:rPr>
        <w:t xml:space="preserve"> Investment. </w:t>
      </w:r>
    </w:p>
    <w:p w14:paraId="0689B9C8" w14:textId="77777777" w:rsidR="0000456D" w:rsidRPr="00343A8E" w:rsidRDefault="0000456D" w:rsidP="0000456D">
      <w:pPr>
        <w:pStyle w:val="ListParagraph"/>
        <w:numPr>
          <w:ilvl w:val="1"/>
          <w:numId w:val="2"/>
        </w:numPr>
        <w:spacing w:before="240" w:after="120" w:line="360" w:lineRule="exact"/>
        <w:jc w:val="both"/>
        <w:rPr>
          <w:rFonts w:ascii="Arial" w:hAnsi="Arial" w:cs="Arial"/>
          <w:iCs/>
          <w:lang w:val="en-GB"/>
        </w:rPr>
      </w:pPr>
      <w:r w:rsidRPr="00343A8E">
        <w:rPr>
          <w:rFonts w:ascii="Arial" w:hAnsi="Arial" w:cs="Arial"/>
          <w:iCs/>
          <w:lang w:val="en-GB"/>
        </w:rPr>
        <w:t>Mr. Benedict Maximov</w:t>
      </w:r>
      <w:r>
        <w:rPr>
          <w:rFonts w:ascii="Arial" w:hAnsi="Arial" w:cs="Arial"/>
          <w:iCs/>
          <w:lang w:val="en-GB"/>
        </w:rPr>
        <w:t xml:space="preserve"> should enter into a sponsor support agreement to further capitalize the Group (equity or deeply subordinated debt), </w:t>
      </w:r>
      <w:proofErr w:type="gramStart"/>
      <w:r>
        <w:rPr>
          <w:rFonts w:ascii="Arial" w:hAnsi="Arial" w:cs="Arial"/>
          <w:iCs/>
          <w:lang w:val="en-GB"/>
        </w:rPr>
        <w:t>as a way to</w:t>
      </w:r>
      <w:proofErr w:type="gramEnd"/>
      <w:r>
        <w:rPr>
          <w:rFonts w:ascii="Arial" w:hAnsi="Arial" w:cs="Arial"/>
          <w:iCs/>
          <w:lang w:val="en-GB"/>
        </w:rPr>
        <w:t xml:space="preserve"> show alignment of interests and his conviction about the viability of the plan. </w:t>
      </w:r>
    </w:p>
    <w:p w14:paraId="22802C60" w14:textId="185ACBEB" w:rsidR="006A5B6A" w:rsidRDefault="0000456D" w:rsidP="0000456D">
      <w:pPr>
        <w:pStyle w:val="ListParagraph"/>
        <w:numPr>
          <w:ilvl w:val="1"/>
          <w:numId w:val="2"/>
        </w:numPr>
        <w:spacing w:before="240" w:after="120" w:line="360" w:lineRule="exact"/>
        <w:jc w:val="both"/>
        <w:rPr>
          <w:rFonts w:ascii="Arial" w:hAnsi="Arial" w:cs="Arial"/>
          <w:b/>
          <w:bCs/>
          <w:iCs/>
          <w:lang w:val="en-GB"/>
        </w:rPr>
      </w:pPr>
      <w:r>
        <w:rPr>
          <w:rFonts w:ascii="Arial" w:hAnsi="Arial" w:cs="Arial"/>
          <w:iCs/>
          <w:lang w:val="en-GB"/>
        </w:rPr>
        <w:lastRenderedPageBreak/>
        <w:t xml:space="preserve">The </w:t>
      </w:r>
      <w:r w:rsidR="00494B48">
        <w:rPr>
          <w:rFonts w:ascii="Arial" w:hAnsi="Arial" w:cs="Arial"/>
          <w:iCs/>
          <w:lang w:val="en-GB"/>
        </w:rPr>
        <w:t xml:space="preserve">Romanian </w:t>
      </w:r>
      <w:r>
        <w:rPr>
          <w:rFonts w:ascii="Arial" w:hAnsi="Arial" w:cs="Arial"/>
          <w:iCs/>
          <w:lang w:val="en-GB"/>
        </w:rPr>
        <w:t xml:space="preserve">Drivers claims must be settled, if </w:t>
      </w:r>
      <w:r w:rsidR="00F56EC5">
        <w:rPr>
          <w:rFonts w:ascii="Arial" w:hAnsi="Arial" w:cs="Arial"/>
          <w:iCs/>
          <w:lang w:val="en-GB"/>
        </w:rPr>
        <w:t>possible,</w:t>
      </w:r>
      <w:r>
        <w:rPr>
          <w:rFonts w:ascii="Arial" w:hAnsi="Arial" w:cs="Arial"/>
          <w:iCs/>
          <w:lang w:val="en-GB"/>
        </w:rPr>
        <w:t xml:space="preserve"> with cash resulting from the settlement, from equity or debt from the sponsor Mr. Maximov, or with shares of </w:t>
      </w:r>
      <w:proofErr w:type="spellStart"/>
      <w:r>
        <w:rPr>
          <w:rFonts w:ascii="Arial" w:hAnsi="Arial" w:cs="Arial"/>
          <w:iCs/>
          <w:lang w:val="en-GB"/>
        </w:rPr>
        <w:t>Efwon</w:t>
      </w:r>
      <w:proofErr w:type="spellEnd"/>
      <w:r>
        <w:rPr>
          <w:rFonts w:ascii="Arial" w:hAnsi="Arial" w:cs="Arial"/>
          <w:iCs/>
          <w:lang w:val="en-GB"/>
        </w:rPr>
        <w:t xml:space="preserve"> Investment</w:t>
      </w:r>
      <w:r w:rsidR="006A5B6A">
        <w:rPr>
          <w:rFonts w:ascii="Arial" w:hAnsi="Arial" w:cs="Arial"/>
          <w:iCs/>
          <w:lang w:val="en-GB"/>
        </w:rPr>
        <w:t>.</w:t>
      </w:r>
    </w:p>
    <w:p w14:paraId="0C2F9360" w14:textId="77777777" w:rsidR="00895B12" w:rsidRPr="00895B12" w:rsidRDefault="00895B12" w:rsidP="00895B12">
      <w:pPr>
        <w:spacing w:before="120" w:after="120" w:line="300" w:lineRule="exact"/>
        <w:ind w:left="360"/>
        <w:jc w:val="both"/>
        <w:rPr>
          <w:rFonts w:ascii="Arial" w:hAnsi="Arial" w:cs="Arial"/>
          <w:iCs/>
          <w:lang w:val="en-GB"/>
        </w:rPr>
      </w:pPr>
    </w:p>
    <w:p w14:paraId="2EBEACC1" w14:textId="6A8E0F01" w:rsidR="00D81692" w:rsidRDefault="00277C70" w:rsidP="008543FD">
      <w:pPr>
        <w:pStyle w:val="ListParagraph"/>
        <w:numPr>
          <w:ilvl w:val="0"/>
          <w:numId w:val="5"/>
        </w:numPr>
        <w:jc w:val="both"/>
        <w:rPr>
          <w:rFonts w:ascii="Arial" w:hAnsi="Arial" w:cs="Arial"/>
          <w:b/>
          <w:bCs/>
          <w:iCs/>
          <w:lang w:val="en-GB"/>
        </w:rPr>
      </w:pPr>
      <w:r>
        <w:rPr>
          <w:rFonts w:ascii="Arial" w:hAnsi="Arial" w:cs="Arial"/>
          <w:b/>
          <w:bCs/>
          <w:iCs/>
          <w:lang w:val="en-GB"/>
        </w:rPr>
        <w:t xml:space="preserve">Proposed </w:t>
      </w:r>
      <w:r w:rsidR="00494B48">
        <w:rPr>
          <w:rFonts w:ascii="Arial" w:hAnsi="Arial" w:cs="Arial"/>
          <w:b/>
          <w:bCs/>
          <w:iCs/>
          <w:lang w:val="en-GB"/>
        </w:rPr>
        <w:t>Group</w:t>
      </w:r>
      <w:r w:rsidR="008C51DE">
        <w:rPr>
          <w:rFonts w:ascii="Arial" w:hAnsi="Arial" w:cs="Arial"/>
          <w:b/>
          <w:bCs/>
          <w:iCs/>
          <w:lang w:val="en-GB"/>
        </w:rPr>
        <w:t xml:space="preserve"> </w:t>
      </w:r>
      <w:r w:rsidR="00D81692">
        <w:rPr>
          <w:rFonts w:ascii="Arial" w:hAnsi="Arial" w:cs="Arial"/>
          <w:b/>
          <w:bCs/>
          <w:iCs/>
          <w:lang w:val="en-GB"/>
        </w:rPr>
        <w:t>Legal Strategy</w:t>
      </w:r>
    </w:p>
    <w:p w14:paraId="35CA0C60" w14:textId="4CA82637" w:rsidR="00F56EC5" w:rsidRDefault="0084514A" w:rsidP="005C5F67">
      <w:pPr>
        <w:pStyle w:val="ListParagraph"/>
        <w:numPr>
          <w:ilvl w:val="0"/>
          <w:numId w:val="2"/>
        </w:numPr>
        <w:spacing w:before="240" w:after="120" w:line="360" w:lineRule="exact"/>
        <w:ind w:left="0" w:firstLine="360"/>
        <w:jc w:val="both"/>
        <w:rPr>
          <w:rFonts w:ascii="Arial" w:hAnsi="Arial" w:cs="Arial"/>
          <w:iCs/>
          <w:lang w:val="en-GB"/>
        </w:rPr>
      </w:pPr>
      <w:r w:rsidRPr="005C5F67">
        <w:rPr>
          <w:rFonts w:ascii="Arial" w:hAnsi="Arial" w:cs="Arial"/>
          <w:iCs/>
          <w:lang w:val="en-GB"/>
        </w:rPr>
        <w:t xml:space="preserve">We propose to achieve the </w:t>
      </w:r>
      <w:proofErr w:type="spellStart"/>
      <w:r w:rsidRPr="005C5F67">
        <w:rPr>
          <w:rFonts w:ascii="Arial" w:hAnsi="Arial" w:cs="Arial"/>
          <w:iCs/>
          <w:lang w:val="en-GB"/>
        </w:rPr>
        <w:t>Efwon</w:t>
      </w:r>
      <w:proofErr w:type="spellEnd"/>
      <w:r w:rsidR="00290E60" w:rsidRPr="005C5F67">
        <w:rPr>
          <w:rFonts w:ascii="Arial" w:hAnsi="Arial" w:cs="Arial"/>
          <w:iCs/>
          <w:lang w:val="en-GB"/>
        </w:rPr>
        <w:t xml:space="preserve"> Group restr</w:t>
      </w:r>
      <w:r w:rsidR="007B66DD" w:rsidRPr="005C5F67">
        <w:rPr>
          <w:rFonts w:ascii="Arial" w:hAnsi="Arial" w:cs="Arial"/>
          <w:iCs/>
          <w:lang w:val="en-GB"/>
        </w:rPr>
        <w:t>ucturing</w:t>
      </w:r>
      <w:r w:rsidR="00290E60" w:rsidRPr="005C5F67">
        <w:rPr>
          <w:rFonts w:ascii="Arial" w:hAnsi="Arial" w:cs="Arial"/>
          <w:iCs/>
          <w:lang w:val="en-GB"/>
        </w:rPr>
        <w:t xml:space="preserve"> </w:t>
      </w:r>
      <w:r w:rsidRPr="005C5F67">
        <w:rPr>
          <w:rFonts w:ascii="Arial" w:hAnsi="Arial" w:cs="Arial"/>
          <w:iCs/>
          <w:lang w:val="en-GB"/>
        </w:rPr>
        <w:t>through</w:t>
      </w:r>
      <w:r w:rsidR="003B3FFF" w:rsidRPr="005C5F67">
        <w:rPr>
          <w:rFonts w:ascii="Arial" w:hAnsi="Arial" w:cs="Arial"/>
          <w:iCs/>
          <w:lang w:val="en-GB"/>
        </w:rPr>
        <w:t xml:space="preserve"> instituti</w:t>
      </w:r>
      <w:r w:rsidR="007B66DD" w:rsidRPr="005C5F67">
        <w:rPr>
          <w:rFonts w:ascii="Arial" w:hAnsi="Arial" w:cs="Arial"/>
          <w:iCs/>
          <w:lang w:val="en-GB"/>
        </w:rPr>
        <w:t xml:space="preserve">ng three separate </w:t>
      </w:r>
      <w:r w:rsidR="00B318C1" w:rsidRPr="005C5F67">
        <w:rPr>
          <w:rFonts w:ascii="Arial" w:hAnsi="Arial" w:cs="Arial"/>
          <w:iCs/>
          <w:lang w:val="en-GB"/>
        </w:rPr>
        <w:t>preventive restructuring</w:t>
      </w:r>
      <w:r w:rsidR="007B66DD" w:rsidRPr="005C5F67">
        <w:rPr>
          <w:rFonts w:ascii="Arial" w:hAnsi="Arial" w:cs="Arial"/>
          <w:iCs/>
          <w:lang w:val="en-GB"/>
        </w:rPr>
        <w:t xml:space="preserve"> proceedings </w:t>
      </w:r>
      <w:r w:rsidR="00B318C1" w:rsidRPr="005C5F67">
        <w:rPr>
          <w:rFonts w:ascii="Arial" w:hAnsi="Arial" w:cs="Arial"/>
          <w:iCs/>
          <w:lang w:val="en-GB"/>
        </w:rPr>
        <w:t xml:space="preserve">in the Netherlands, </w:t>
      </w:r>
      <w:r w:rsidR="00E60D63">
        <w:rPr>
          <w:rFonts w:ascii="Arial" w:hAnsi="Arial" w:cs="Arial"/>
          <w:iCs/>
          <w:lang w:val="en-GB"/>
        </w:rPr>
        <w:t xml:space="preserve">to be filed at the same time </w:t>
      </w:r>
      <w:r w:rsidR="005E0B48">
        <w:rPr>
          <w:rFonts w:ascii="Arial" w:hAnsi="Arial" w:cs="Arial"/>
          <w:iCs/>
          <w:lang w:val="en-GB"/>
        </w:rPr>
        <w:t xml:space="preserve">in the Amsterdam Court, </w:t>
      </w:r>
      <w:r w:rsidR="00E60D63">
        <w:rPr>
          <w:rFonts w:ascii="Arial" w:hAnsi="Arial" w:cs="Arial"/>
          <w:iCs/>
          <w:lang w:val="en-GB"/>
        </w:rPr>
        <w:t xml:space="preserve">by </w:t>
      </w:r>
      <w:proofErr w:type="spellStart"/>
      <w:r w:rsidR="00E60D63">
        <w:rPr>
          <w:rFonts w:ascii="Arial" w:hAnsi="Arial" w:cs="Arial"/>
          <w:iCs/>
          <w:lang w:val="en-GB"/>
        </w:rPr>
        <w:t>Efwon</w:t>
      </w:r>
      <w:proofErr w:type="spellEnd"/>
      <w:r w:rsidR="00E60D63">
        <w:rPr>
          <w:rFonts w:ascii="Arial" w:hAnsi="Arial" w:cs="Arial"/>
          <w:iCs/>
          <w:lang w:val="en-GB"/>
        </w:rPr>
        <w:t xml:space="preserve"> Investments, </w:t>
      </w:r>
      <w:proofErr w:type="spellStart"/>
      <w:r w:rsidR="00E60D63">
        <w:rPr>
          <w:rFonts w:ascii="Arial" w:hAnsi="Arial" w:cs="Arial"/>
          <w:iCs/>
          <w:lang w:val="en-GB"/>
        </w:rPr>
        <w:t>Efwon</w:t>
      </w:r>
      <w:proofErr w:type="spellEnd"/>
      <w:r w:rsidR="00E60D63">
        <w:rPr>
          <w:rFonts w:ascii="Arial" w:hAnsi="Arial" w:cs="Arial"/>
          <w:iCs/>
          <w:lang w:val="en-GB"/>
        </w:rPr>
        <w:t xml:space="preserve"> Trading and </w:t>
      </w:r>
      <w:proofErr w:type="spellStart"/>
      <w:r w:rsidR="00E60D63">
        <w:rPr>
          <w:rFonts w:ascii="Arial" w:hAnsi="Arial" w:cs="Arial"/>
          <w:iCs/>
          <w:lang w:val="en-GB"/>
        </w:rPr>
        <w:t>Efwon</w:t>
      </w:r>
      <w:proofErr w:type="spellEnd"/>
      <w:r w:rsidR="00E60D63">
        <w:rPr>
          <w:rFonts w:ascii="Arial" w:hAnsi="Arial" w:cs="Arial"/>
          <w:iCs/>
          <w:lang w:val="en-GB"/>
        </w:rPr>
        <w:t xml:space="preserve"> Romania, </w:t>
      </w:r>
      <w:r w:rsidR="00B318C1" w:rsidRPr="005C5F67">
        <w:rPr>
          <w:rFonts w:ascii="Arial" w:hAnsi="Arial" w:cs="Arial"/>
          <w:iCs/>
          <w:lang w:val="en-GB"/>
        </w:rPr>
        <w:t xml:space="preserve">under the </w:t>
      </w:r>
      <w:r w:rsidR="001F4381" w:rsidRPr="005C5F67">
        <w:rPr>
          <w:rFonts w:ascii="Arial" w:hAnsi="Arial" w:cs="Arial"/>
          <w:iCs/>
          <w:lang w:val="en-GB"/>
        </w:rPr>
        <w:t xml:space="preserve">new Dutch Act on the Confirmation of Out-of-Court Restructuring Plans (Wet </w:t>
      </w:r>
      <w:proofErr w:type="spellStart"/>
      <w:r w:rsidR="001F4381" w:rsidRPr="005C5F67">
        <w:rPr>
          <w:rFonts w:ascii="Arial" w:hAnsi="Arial" w:cs="Arial"/>
          <w:iCs/>
          <w:lang w:val="en-GB"/>
        </w:rPr>
        <w:t>Homologatie</w:t>
      </w:r>
      <w:proofErr w:type="spellEnd"/>
      <w:r w:rsidR="001F4381" w:rsidRPr="005C5F67">
        <w:rPr>
          <w:rFonts w:ascii="Arial" w:hAnsi="Arial" w:cs="Arial"/>
          <w:iCs/>
          <w:lang w:val="en-GB"/>
        </w:rPr>
        <w:t xml:space="preserve"> </w:t>
      </w:r>
      <w:proofErr w:type="spellStart"/>
      <w:r w:rsidR="001F4381" w:rsidRPr="005C5F67">
        <w:rPr>
          <w:rFonts w:ascii="Arial" w:hAnsi="Arial" w:cs="Arial"/>
          <w:iCs/>
          <w:lang w:val="en-GB"/>
        </w:rPr>
        <w:t>Onderhands</w:t>
      </w:r>
      <w:proofErr w:type="spellEnd"/>
      <w:r w:rsidR="005C5F67" w:rsidRPr="005C5F67">
        <w:rPr>
          <w:rFonts w:ascii="Arial" w:hAnsi="Arial" w:cs="Arial"/>
          <w:iCs/>
          <w:lang w:val="en-GB"/>
        </w:rPr>
        <w:t xml:space="preserve"> </w:t>
      </w:r>
      <w:proofErr w:type="spellStart"/>
      <w:r w:rsidR="001F4381" w:rsidRPr="005C5F67">
        <w:rPr>
          <w:rFonts w:ascii="Arial" w:hAnsi="Arial" w:cs="Arial"/>
          <w:iCs/>
          <w:lang w:val="en-GB"/>
        </w:rPr>
        <w:t>Akkoord</w:t>
      </w:r>
      <w:proofErr w:type="spellEnd"/>
      <w:r w:rsidR="001F4381" w:rsidRPr="005C5F67">
        <w:rPr>
          <w:rFonts w:ascii="Arial" w:hAnsi="Arial" w:cs="Arial"/>
          <w:iCs/>
          <w:lang w:val="en-GB"/>
        </w:rPr>
        <w:t xml:space="preserve"> or the</w:t>
      </w:r>
      <w:r w:rsidR="005C5F67">
        <w:rPr>
          <w:rFonts w:ascii="Arial" w:hAnsi="Arial" w:cs="Arial"/>
          <w:iCs/>
          <w:lang w:val="en-GB"/>
        </w:rPr>
        <w:t xml:space="preserve"> </w:t>
      </w:r>
      <w:r w:rsidR="005C5F67" w:rsidRPr="005C5F67">
        <w:rPr>
          <w:rFonts w:ascii="Arial" w:hAnsi="Arial" w:cs="Arial"/>
          <w:iCs/>
          <w:lang w:val="en-GB"/>
        </w:rPr>
        <w:t xml:space="preserve">“WHOA </w:t>
      </w:r>
      <w:r w:rsidR="001F4381" w:rsidRPr="005C5F67">
        <w:rPr>
          <w:rFonts w:ascii="Arial" w:hAnsi="Arial" w:cs="Arial"/>
          <w:iCs/>
          <w:lang w:val="en-GB"/>
        </w:rPr>
        <w:t xml:space="preserve">Act”) will </w:t>
      </w:r>
      <w:r w:rsidR="00A74F64">
        <w:rPr>
          <w:rFonts w:ascii="Arial" w:hAnsi="Arial" w:cs="Arial"/>
          <w:iCs/>
          <w:lang w:val="en-GB"/>
        </w:rPr>
        <w:t>allows</w:t>
      </w:r>
      <w:r w:rsidR="001F4381" w:rsidRPr="005C5F67">
        <w:rPr>
          <w:rFonts w:ascii="Arial" w:hAnsi="Arial" w:cs="Arial"/>
          <w:iCs/>
          <w:lang w:val="en-GB"/>
        </w:rPr>
        <w:t xml:space="preserve"> debtors to propose a plan and restructure their debts outside of formal</w:t>
      </w:r>
      <w:r w:rsidR="005C5F67">
        <w:rPr>
          <w:rFonts w:ascii="Arial" w:hAnsi="Arial" w:cs="Arial"/>
          <w:iCs/>
          <w:lang w:val="en-GB"/>
        </w:rPr>
        <w:t xml:space="preserve"> </w:t>
      </w:r>
      <w:r w:rsidR="001F4381" w:rsidRPr="005C5F67">
        <w:rPr>
          <w:rFonts w:ascii="Arial" w:hAnsi="Arial" w:cs="Arial"/>
          <w:iCs/>
          <w:lang w:val="en-GB"/>
        </w:rPr>
        <w:t>insolvency proceedings.</w:t>
      </w:r>
      <w:r w:rsidR="00A74F64">
        <w:rPr>
          <w:rStyle w:val="FootnoteReference"/>
          <w:rFonts w:ascii="Arial" w:hAnsi="Arial" w:cs="Arial"/>
          <w:iCs/>
          <w:lang w:val="en-GB"/>
        </w:rPr>
        <w:footnoteReference w:id="1"/>
      </w:r>
    </w:p>
    <w:p w14:paraId="5D042511" w14:textId="638953FE" w:rsidR="00104828" w:rsidRDefault="00104828" w:rsidP="005C5F67">
      <w:pPr>
        <w:pStyle w:val="ListParagraph"/>
        <w:numPr>
          <w:ilvl w:val="0"/>
          <w:numId w:val="2"/>
        </w:numPr>
        <w:spacing w:before="240" w:after="120" w:line="360" w:lineRule="exact"/>
        <w:ind w:left="0" w:firstLine="360"/>
        <w:jc w:val="both"/>
        <w:rPr>
          <w:rFonts w:ascii="Arial" w:hAnsi="Arial" w:cs="Arial"/>
          <w:iCs/>
          <w:lang w:val="en-GB"/>
        </w:rPr>
      </w:pPr>
      <w:r w:rsidRPr="00104828">
        <w:rPr>
          <w:rFonts w:ascii="Arial" w:hAnsi="Arial" w:cs="Arial"/>
          <w:iCs/>
          <w:lang w:val="en-GB"/>
        </w:rPr>
        <w:t xml:space="preserve">Separate </w:t>
      </w:r>
      <w:r>
        <w:rPr>
          <w:rFonts w:ascii="Arial" w:hAnsi="Arial" w:cs="Arial"/>
          <w:iCs/>
          <w:lang w:val="en-GB"/>
        </w:rPr>
        <w:t>WHOA</w:t>
      </w:r>
      <w:r w:rsidRPr="00104828">
        <w:rPr>
          <w:rFonts w:ascii="Arial" w:hAnsi="Arial" w:cs="Arial"/>
          <w:iCs/>
          <w:lang w:val="en-GB"/>
        </w:rPr>
        <w:t xml:space="preserve"> plan proceedings would be required for each group member involved in an operational restructuring or a financial restructuring involving non-group debt because the non-group debt of one member cannot be restructured in a Dutch </w:t>
      </w:r>
      <w:r w:rsidR="0023052D">
        <w:rPr>
          <w:rFonts w:ascii="Arial" w:hAnsi="Arial" w:cs="Arial"/>
          <w:iCs/>
          <w:lang w:val="en-GB"/>
        </w:rPr>
        <w:t>plan proceeding</w:t>
      </w:r>
      <w:r w:rsidRPr="00104828">
        <w:rPr>
          <w:rFonts w:ascii="Arial" w:hAnsi="Arial" w:cs="Arial"/>
          <w:iCs/>
          <w:lang w:val="en-GB"/>
        </w:rPr>
        <w:t xml:space="preserve"> filed by a different member</w:t>
      </w:r>
      <w:r w:rsidR="0023052D">
        <w:rPr>
          <w:rFonts w:ascii="Arial" w:hAnsi="Arial" w:cs="Arial"/>
          <w:iCs/>
          <w:lang w:val="en-GB"/>
        </w:rPr>
        <w:t>.</w:t>
      </w:r>
    </w:p>
    <w:p w14:paraId="778DA5F1" w14:textId="56FD66BC" w:rsidR="00246CD1" w:rsidRDefault="00246CD1" w:rsidP="005C5F67">
      <w:pPr>
        <w:pStyle w:val="ListParagraph"/>
        <w:numPr>
          <w:ilvl w:val="0"/>
          <w:numId w:val="2"/>
        </w:numPr>
        <w:spacing w:before="240" w:after="120" w:line="360" w:lineRule="exact"/>
        <w:ind w:left="0" w:firstLine="360"/>
        <w:jc w:val="both"/>
        <w:rPr>
          <w:rFonts w:ascii="Arial" w:hAnsi="Arial" w:cs="Arial"/>
          <w:iCs/>
          <w:lang w:val="en-GB"/>
        </w:rPr>
      </w:pPr>
      <w:proofErr w:type="gramStart"/>
      <w:r>
        <w:rPr>
          <w:rFonts w:ascii="Arial" w:hAnsi="Arial" w:cs="Arial"/>
          <w:iCs/>
          <w:lang w:val="en-GB"/>
        </w:rPr>
        <w:t>In order to</w:t>
      </w:r>
      <w:proofErr w:type="gramEnd"/>
      <w:r>
        <w:rPr>
          <w:rFonts w:ascii="Arial" w:hAnsi="Arial" w:cs="Arial"/>
          <w:iCs/>
          <w:lang w:val="en-GB"/>
        </w:rPr>
        <w:t xml:space="preserve"> be eligible to file for a WHOA plan restructuring, the </w:t>
      </w:r>
      <w:proofErr w:type="spellStart"/>
      <w:r>
        <w:rPr>
          <w:rFonts w:ascii="Arial" w:hAnsi="Arial" w:cs="Arial"/>
          <w:iCs/>
          <w:lang w:val="en-GB"/>
        </w:rPr>
        <w:t>Efwon</w:t>
      </w:r>
      <w:proofErr w:type="spellEnd"/>
      <w:r>
        <w:rPr>
          <w:rFonts w:ascii="Arial" w:hAnsi="Arial" w:cs="Arial"/>
          <w:iCs/>
          <w:lang w:val="en-GB"/>
        </w:rPr>
        <w:t xml:space="preserve"> Group members should not be insolvent at the time of </w:t>
      </w:r>
      <w:r w:rsidR="0080372E">
        <w:rPr>
          <w:rFonts w:ascii="Arial" w:hAnsi="Arial" w:cs="Arial"/>
          <w:iCs/>
          <w:lang w:val="en-GB"/>
        </w:rPr>
        <w:t>filing but</w:t>
      </w:r>
      <w:r w:rsidR="003F296C">
        <w:rPr>
          <w:rFonts w:ascii="Arial" w:hAnsi="Arial" w:cs="Arial"/>
          <w:iCs/>
        </w:rPr>
        <w:t xml:space="preserve"> are</w:t>
      </w:r>
      <w:r w:rsidR="003F296C" w:rsidRPr="003F296C">
        <w:rPr>
          <w:rFonts w:ascii="Arial" w:hAnsi="Arial" w:cs="Arial"/>
          <w:iCs/>
        </w:rPr>
        <w:t xml:space="preserve"> </w:t>
      </w:r>
      <w:r w:rsidR="003F296C">
        <w:rPr>
          <w:rFonts w:ascii="Arial" w:hAnsi="Arial" w:cs="Arial"/>
          <w:iCs/>
        </w:rPr>
        <w:t>“</w:t>
      </w:r>
      <w:r w:rsidR="003F296C" w:rsidRPr="003F296C">
        <w:rPr>
          <w:rFonts w:ascii="Arial" w:hAnsi="Arial" w:cs="Arial"/>
          <w:iCs/>
        </w:rPr>
        <w:t xml:space="preserve">in a condition where it is reasonably plausible that </w:t>
      </w:r>
      <w:r w:rsidR="0080372E">
        <w:rPr>
          <w:rFonts w:ascii="Arial" w:hAnsi="Arial" w:cs="Arial"/>
          <w:iCs/>
        </w:rPr>
        <w:t>[they]</w:t>
      </w:r>
      <w:r w:rsidR="003F296C" w:rsidRPr="003F296C">
        <w:rPr>
          <w:rFonts w:ascii="Arial" w:hAnsi="Arial" w:cs="Arial"/>
          <w:iCs/>
        </w:rPr>
        <w:t xml:space="preserve"> will not be able to continue paying </w:t>
      </w:r>
      <w:r w:rsidR="0080372E">
        <w:rPr>
          <w:rFonts w:ascii="Arial" w:hAnsi="Arial" w:cs="Arial"/>
          <w:iCs/>
        </w:rPr>
        <w:t>[their]</w:t>
      </w:r>
      <w:r w:rsidR="003F296C" w:rsidRPr="003F296C">
        <w:rPr>
          <w:rFonts w:ascii="Arial" w:hAnsi="Arial" w:cs="Arial"/>
          <w:iCs/>
        </w:rPr>
        <w:t xml:space="preserve"> debts."</w:t>
      </w:r>
    </w:p>
    <w:p w14:paraId="2CBF8AC3" w14:textId="77777777" w:rsidR="004F640A" w:rsidRDefault="006463B3" w:rsidP="005C5F67">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 xml:space="preserve">The </w:t>
      </w:r>
      <w:r w:rsidR="00F31FA8">
        <w:rPr>
          <w:rFonts w:ascii="Arial" w:hAnsi="Arial" w:cs="Arial"/>
          <w:iCs/>
          <w:lang w:val="en-GB"/>
        </w:rPr>
        <w:t xml:space="preserve">advantage of the WHOA restructuring </w:t>
      </w:r>
      <w:r w:rsidR="00763721">
        <w:rPr>
          <w:rFonts w:ascii="Arial" w:hAnsi="Arial" w:cs="Arial"/>
          <w:iCs/>
          <w:lang w:val="en-GB"/>
        </w:rPr>
        <w:t>is that requires limited court intervention</w:t>
      </w:r>
      <w:r w:rsidR="004F640A">
        <w:rPr>
          <w:rFonts w:ascii="Arial" w:hAnsi="Arial" w:cs="Arial"/>
          <w:iCs/>
          <w:lang w:val="en-GB"/>
        </w:rPr>
        <w:t xml:space="preserve"> while allowing for:</w:t>
      </w:r>
    </w:p>
    <w:p w14:paraId="0EF0DB3F" w14:textId="1FA0A6B7" w:rsidR="006463B3" w:rsidRDefault="00C87A29" w:rsidP="001661F2">
      <w:pPr>
        <w:pStyle w:val="ListParagraph"/>
        <w:numPr>
          <w:ilvl w:val="0"/>
          <w:numId w:val="10"/>
        </w:numPr>
        <w:spacing w:before="240" w:after="120" w:line="360" w:lineRule="exact"/>
        <w:jc w:val="both"/>
        <w:rPr>
          <w:rFonts w:ascii="Arial" w:hAnsi="Arial" w:cs="Arial"/>
          <w:iCs/>
          <w:lang w:val="en-GB"/>
        </w:rPr>
      </w:pPr>
      <w:r>
        <w:rPr>
          <w:rFonts w:ascii="Arial" w:hAnsi="Arial" w:cs="Arial"/>
          <w:iCs/>
          <w:lang w:val="en-GB"/>
        </w:rPr>
        <w:t xml:space="preserve">Extensive control of the </w:t>
      </w:r>
      <w:proofErr w:type="spellStart"/>
      <w:r>
        <w:rPr>
          <w:rFonts w:ascii="Arial" w:hAnsi="Arial" w:cs="Arial"/>
          <w:iCs/>
          <w:lang w:val="en-GB"/>
        </w:rPr>
        <w:t>Efwon</w:t>
      </w:r>
      <w:proofErr w:type="spellEnd"/>
      <w:r>
        <w:rPr>
          <w:rFonts w:ascii="Arial" w:hAnsi="Arial" w:cs="Arial"/>
          <w:iCs/>
          <w:lang w:val="en-GB"/>
        </w:rPr>
        <w:t xml:space="preserve"> Group through its d</w:t>
      </w:r>
      <w:r w:rsidR="00AD3EB1" w:rsidRPr="00AD3EB1">
        <w:rPr>
          <w:rFonts w:ascii="Arial" w:hAnsi="Arial" w:cs="Arial"/>
          <w:iCs/>
          <w:lang w:val="en-GB"/>
        </w:rPr>
        <w:t>ebtor</w:t>
      </w:r>
      <w:r w:rsidR="008F739D">
        <w:rPr>
          <w:rFonts w:ascii="Arial" w:hAnsi="Arial" w:cs="Arial"/>
          <w:iCs/>
          <w:lang w:val="en-GB"/>
        </w:rPr>
        <w:t>-</w:t>
      </w:r>
      <w:r w:rsidR="00AD3EB1" w:rsidRPr="00AD3EB1">
        <w:rPr>
          <w:rFonts w:ascii="Arial" w:hAnsi="Arial" w:cs="Arial"/>
          <w:iCs/>
          <w:lang w:val="en-GB"/>
        </w:rPr>
        <w:t>in</w:t>
      </w:r>
      <w:r w:rsidR="008F739D">
        <w:rPr>
          <w:rFonts w:ascii="Arial" w:hAnsi="Arial" w:cs="Arial"/>
          <w:iCs/>
          <w:lang w:val="en-GB"/>
        </w:rPr>
        <w:t>-</w:t>
      </w:r>
      <w:r w:rsidR="00AD3EB1" w:rsidRPr="00AD3EB1">
        <w:rPr>
          <w:rFonts w:ascii="Arial" w:hAnsi="Arial" w:cs="Arial"/>
          <w:iCs/>
          <w:lang w:val="en-GB"/>
        </w:rPr>
        <w:t>possession</w:t>
      </w:r>
      <w:r w:rsidR="008F739D">
        <w:rPr>
          <w:rFonts w:ascii="Arial" w:hAnsi="Arial" w:cs="Arial"/>
          <w:iCs/>
          <w:lang w:val="en-GB"/>
        </w:rPr>
        <w:t xml:space="preserve"> process</w:t>
      </w:r>
      <w:r w:rsidR="00AD3EB1" w:rsidRPr="00AD3EB1">
        <w:rPr>
          <w:rFonts w:ascii="Arial" w:hAnsi="Arial" w:cs="Arial"/>
          <w:iCs/>
          <w:lang w:val="en-GB"/>
        </w:rPr>
        <w:t>: The debtor retains possession of its property and the authority to manage and dispose of its assets during the proceedings (</w:t>
      </w:r>
      <w:r w:rsidR="00AA5BF1" w:rsidRPr="00AD3EB1">
        <w:rPr>
          <w:rFonts w:ascii="Arial" w:hAnsi="Arial" w:cs="Arial"/>
          <w:iCs/>
          <w:lang w:val="en-GB"/>
        </w:rPr>
        <w:t>i.e.,</w:t>
      </w:r>
      <w:r w:rsidR="00AD3EB1" w:rsidRPr="00AD3EB1">
        <w:rPr>
          <w:rFonts w:ascii="Arial" w:hAnsi="Arial" w:cs="Arial"/>
          <w:iCs/>
          <w:lang w:val="en-GB"/>
        </w:rPr>
        <w:t xml:space="preserve"> no administrator or supervisor </w:t>
      </w:r>
      <w:r w:rsidR="00827303">
        <w:rPr>
          <w:rFonts w:ascii="Arial" w:hAnsi="Arial" w:cs="Arial"/>
          <w:iCs/>
          <w:lang w:val="en-GB"/>
        </w:rPr>
        <w:t xml:space="preserve">takes control of the </w:t>
      </w:r>
      <w:r w:rsidR="00AA5BF1">
        <w:rPr>
          <w:rFonts w:ascii="Arial" w:hAnsi="Arial" w:cs="Arial"/>
          <w:iCs/>
          <w:lang w:val="en-GB"/>
        </w:rPr>
        <w:t>debtor’s assets</w:t>
      </w:r>
      <w:r w:rsidR="00AD3EB1" w:rsidRPr="00AD3EB1">
        <w:rPr>
          <w:rFonts w:ascii="Arial" w:hAnsi="Arial" w:cs="Arial"/>
          <w:iCs/>
          <w:lang w:val="en-GB"/>
        </w:rPr>
        <w:t>). The debtor can continue to</w:t>
      </w:r>
      <w:r w:rsidR="00AD3EB1">
        <w:rPr>
          <w:rFonts w:ascii="Arial" w:hAnsi="Arial" w:cs="Arial"/>
          <w:iCs/>
          <w:lang w:val="en-GB"/>
        </w:rPr>
        <w:t xml:space="preserve"> </w:t>
      </w:r>
      <w:r w:rsidR="00AD3EB1" w:rsidRPr="00AD3EB1">
        <w:rPr>
          <w:rFonts w:ascii="Arial" w:hAnsi="Arial" w:cs="Arial"/>
          <w:iCs/>
          <w:lang w:val="en-GB"/>
        </w:rPr>
        <w:t>conduct its business as usual</w:t>
      </w:r>
      <w:r w:rsidR="00AD3EB1">
        <w:rPr>
          <w:rFonts w:ascii="Arial" w:hAnsi="Arial" w:cs="Arial"/>
          <w:iCs/>
          <w:lang w:val="en-GB"/>
        </w:rPr>
        <w:t>.</w:t>
      </w:r>
    </w:p>
    <w:p w14:paraId="4003BABD" w14:textId="0F0D41CB" w:rsidR="00AD3EB1" w:rsidRDefault="00C00893" w:rsidP="00EB6B53">
      <w:pPr>
        <w:pStyle w:val="ListParagraph"/>
        <w:numPr>
          <w:ilvl w:val="0"/>
          <w:numId w:val="10"/>
        </w:numPr>
        <w:spacing w:before="240" w:after="120" w:line="360" w:lineRule="exact"/>
        <w:jc w:val="both"/>
        <w:rPr>
          <w:rFonts w:ascii="Arial" w:hAnsi="Arial" w:cs="Arial"/>
          <w:iCs/>
          <w:lang w:val="en-GB"/>
        </w:rPr>
      </w:pPr>
      <w:r w:rsidRPr="00C00893">
        <w:rPr>
          <w:rFonts w:ascii="Arial" w:hAnsi="Arial" w:cs="Arial"/>
          <w:iCs/>
          <w:lang w:val="en-GB"/>
        </w:rPr>
        <w:t xml:space="preserve">Moratorium: </w:t>
      </w:r>
      <w:r w:rsidR="00E41D89">
        <w:rPr>
          <w:rFonts w:ascii="Arial" w:hAnsi="Arial" w:cs="Arial"/>
          <w:iCs/>
          <w:lang w:val="en-GB"/>
        </w:rPr>
        <w:t>I</w:t>
      </w:r>
      <w:r w:rsidRPr="00C00893">
        <w:rPr>
          <w:rFonts w:ascii="Arial" w:hAnsi="Arial" w:cs="Arial"/>
          <w:iCs/>
          <w:lang w:val="en-GB"/>
        </w:rPr>
        <w:t xml:space="preserve">nitiating plan proceedings can be </w:t>
      </w:r>
      <w:r w:rsidR="00833B67">
        <w:rPr>
          <w:rFonts w:ascii="Arial" w:hAnsi="Arial" w:cs="Arial"/>
          <w:iCs/>
          <w:lang w:val="en-GB"/>
        </w:rPr>
        <w:t>accompanied</w:t>
      </w:r>
      <w:r w:rsidR="00BE61D7">
        <w:rPr>
          <w:rFonts w:ascii="Arial" w:hAnsi="Arial" w:cs="Arial"/>
          <w:iCs/>
          <w:lang w:val="en-GB"/>
        </w:rPr>
        <w:t xml:space="preserve"> by</w:t>
      </w:r>
      <w:r w:rsidRPr="00C00893">
        <w:rPr>
          <w:rFonts w:ascii="Arial" w:hAnsi="Arial" w:cs="Arial"/>
          <w:iCs/>
          <w:lang w:val="en-GB"/>
        </w:rPr>
        <w:t xml:space="preserve"> </w:t>
      </w:r>
      <w:r w:rsidR="00BE61D7">
        <w:rPr>
          <w:rFonts w:ascii="Arial" w:hAnsi="Arial" w:cs="Arial"/>
          <w:iCs/>
          <w:lang w:val="en-GB"/>
        </w:rPr>
        <w:t>requesting</w:t>
      </w:r>
      <w:r w:rsidRPr="00C00893">
        <w:rPr>
          <w:rFonts w:ascii="Arial" w:hAnsi="Arial" w:cs="Arial"/>
          <w:iCs/>
          <w:lang w:val="en-GB"/>
        </w:rPr>
        <w:t xml:space="preserve"> a court-ordered stay for a maximum of eight months. This stay will stop creditors </w:t>
      </w:r>
      <w:r w:rsidR="00BE61D7">
        <w:rPr>
          <w:rFonts w:ascii="Arial" w:hAnsi="Arial" w:cs="Arial"/>
          <w:iCs/>
          <w:lang w:val="en-GB"/>
        </w:rPr>
        <w:t xml:space="preserve">from </w:t>
      </w:r>
      <w:r w:rsidRPr="00C00893">
        <w:rPr>
          <w:rFonts w:ascii="Arial" w:hAnsi="Arial" w:cs="Arial"/>
          <w:iCs/>
          <w:lang w:val="en-GB"/>
        </w:rPr>
        <w:t>enforcing their rights, including the right to invoke termination</w:t>
      </w:r>
      <w:r>
        <w:rPr>
          <w:rFonts w:ascii="Arial" w:hAnsi="Arial" w:cs="Arial"/>
          <w:iCs/>
          <w:lang w:val="en-GB"/>
        </w:rPr>
        <w:t xml:space="preserve"> </w:t>
      </w:r>
      <w:r w:rsidRPr="00C00893">
        <w:rPr>
          <w:rFonts w:ascii="Arial" w:hAnsi="Arial" w:cs="Arial"/>
          <w:iCs/>
          <w:lang w:val="en-GB"/>
        </w:rPr>
        <w:t>clauses in contracts</w:t>
      </w:r>
      <w:r w:rsidR="00BE61D7">
        <w:rPr>
          <w:rFonts w:ascii="Arial" w:hAnsi="Arial" w:cs="Arial"/>
          <w:iCs/>
          <w:lang w:val="en-GB"/>
        </w:rPr>
        <w:t xml:space="preserve"> and a</w:t>
      </w:r>
      <w:r w:rsidRPr="00C00893">
        <w:rPr>
          <w:rFonts w:ascii="Arial" w:hAnsi="Arial" w:cs="Arial"/>
          <w:iCs/>
          <w:lang w:val="en-GB"/>
        </w:rPr>
        <w:t>ttachments can also be lifted.</w:t>
      </w:r>
      <w:r w:rsidR="00497704">
        <w:rPr>
          <w:rFonts w:ascii="Arial" w:hAnsi="Arial" w:cs="Arial"/>
          <w:iCs/>
          <w:lang w:val="en-GB"/>
        </w:rPr>
        <w:t xml:space="preserve"> Such stay will be necessary to prevent the U.S. lenders from enforcing on their claims against </w:t>
      </w:r>
      <w:proofErr w:type="spellStart"/>
      <w:r w:rsidR="00497704">
        <w:rPr>
          <w:rFonts w:ascii="Arial" w:hAnsi="Arial" w:cs="Arial"/>
          <w:iCs/>
          <w:lang w:val="en-GB"/>
        </w:rPr>
        <w:t>Efwon</w:t>
      </w:r>
      <w:proofErr w:type="spellEnd"/>
      <w:r w:rsidR="00497704">
        <w:rPr>
          <w:rFonts w:ascii="Arial" w:hAnsi="Arial" w:cs="Arial"/>
          <w:iCs/>
          <w:lang w:val="en-GB"/>
        </w:rPr>
        <w:t xml:space="preserve"> </w:t>
      </w:r>
      <w:r w:rsidR="00B3201E">
        <w:rPr>
          <w:rFonts w:ascii="Arial" w:hAnsi="Arial" w:cs="Arial"/>
          <w:iCs/>
          <w:lang w:val="en-GB"/>
        </w:rPr>
        <w:t xml:space="preserve">Investments, the Monaco lender to </w:t>
      </w:r>
      <w:r w:rsidR="003E74E9">
        <w:rPr>
          <w:rFonts w:ascii="Arial" w:hAnsi="Arial" w:cs="Arial"/>
          <w:iCs/>
          <w:lang w:val="en-GB"/>
        </w:rPr>
        <w:t>invoke</w:t>
      </w:r>
      <w:r w:rsidR="00B3201E">
        <w:rPr>
          <w:rFonts w:ascii="Arial" w:hAnsi="Arial" w:cs="Arial"/>
          <w:iCs/>
          <w:lang w:val="en-GB"/>
        </w:rPr>
        <w:t xml:space="preserve"> its guarantees over the three Group entities and </w:t>
      </w:r>
      <w:r w:rsidR="00DD4E6A">
        <w:rPr>
          <w:rFonts w:ascii="Arial" w:hAnsi="Arial" w:cs="Arial"/>
          <w:iCs/>
          <w:lang w:val="en-GB"/>
        </w:rPr>
        <w:t xml:space="preserve">the Romanian drivers to continue their enforcement actions in Romania (after </w:t>
      </w:r>
      <w:r w:rsidR="00AE4ED2">
        <w:rPr>
          <w:rFonts w:ascii="Arial" w:hAnsi="Arial" w:cs="Arial"/>
          <w:iCs/>
          <w:lang w:val="en-GB"/>
        </w:rPr>
        <w:t xml:space="preserve">petitioning the Romanian court to recognize the WHOA plan proceedings for </w:t>
      </w:r>
      <w:proofErr w:type="spellStart"/>
      <w:r w:rsidR="00AE4ED2">
        <w:rPr>
          <w:rFonts w:ascii="Arial" w:hAnsi="Arial" w:cs="Arial"/>
          <w:iCs/>
          <w:lang w:val="en-GB"/>
        </w:rPr>
        <w:t>Efwon</w:t>
      </w:r>
      <w:proofErr w:type="spellEnd"/>
      <w:r w:rsidR="00AE4ED2">
        <w:rPr>
          <w:rFonts w:ascii="Arial" w:hAnsi="Arial" w:cs="Arial"/>
          <w:iCs/>
          <w:lang w:val="en-GB"/>
        </w:rPr>
        <w:t xml:space="preserve"> Romania in the Netherlands as main proceedings, and </w:t>
      </w:r>
      <w:r w:rsidR="00B50843">
        <w:rPr>
          <w:rFonts w:ascii="Arial" w:hAnsi="Arial" w:cs="Arial"/>
          <w:iCs/>
          <w:lang w:val="en-GB"/>
        </w:rPr>
        <w:t>request</w:t>
      </w:r>
      <w:r w:rsidR="00DB055E">
        <w:rPr>
          <w:rFonts w:ascii="Arial" w:hAnsi="Arial" w:cs="Arial"/>
          <w:iCs/>
          <w:lang w:val="en-GB"/>
        </w:rPr>
        <w:t>ing to</w:t>
      </w:r>
      <w:r w:rsidR="00B50843">
        <w:rPr>
          <w:rFonts w:ascii="Arial" w:hAnsi="Arial" w:cs="Arial"/>
          <w:iCs/>
          <w:lang w:val="en-GB"/>
        </w:rPr>
        <w:t xml:space="preserve"> conver</w:t>
      </w:r>
      <w:r w:rsidR="00DB055E">
        <w:rPr>
          <w:rFonts w:ascii="Arial" w:hAnsi="Arial" w:cs="Arial"/>
          <w:iCs/>
          <w:lang w:val="en-GB"/>
        </w:rPr>
        <w:t>t</w:t>
      </w:r>
      <w:r w:rsidR="00B50843">
        <w:rPr>
          <w:rFonts w:ascii="Arial" w:hAnsi="Arial" w:cs="Arial"/>
          <w:iCs/>
          <w:lang w:val="en-GB"/>
        </w:rPr>
        <w:t xml:space="preserve"> the initiated </w:t>
      </w:r>
      <w:r w:rsidR="007E2F6D">
        <w:rPr>
          <w:rFonts w:ascii="Arial" w:hAnsi="Arial" w:cs="Arial"/>
          <w:iCs/>
          <w:lang w:val="en-GB"/>
        </w:rPr>
        <w:t xml:space="preserve">territorial insolvency </w:t>
      </w:r>
      <w:r w:rsidR="007E2F6D">
        <w:rPr>
          <w:rFonts w:ascii="Arial" w:hAnsi="Arial" w:cs="Arial"/>
          <w:iCs/>
          <w:lang w:val="en-GB"/>
        </w:rPr>
        <w:lastRenderedPageBreak/>
        <w:t xml:space="preserve">proceedings against </w:t>
      </w:r>
      <w:proofErr w:type="spellStart"/>
      <w:r w:rsidR="007E2F6D">
        <w:rPr>
          <w:rFonts w:ascii="Arial" w:hAnsi="Arial" w:cs="Arial"/>
          <w:iCs/>
          <w:lang w:val="en-GB"/>
        </w:rPr>
        <w:t>Efwon</w:t>
      </w:r>
      <w:proofErr w:type="spellEnd"/>
      <w:r w:rsidR="007E2F6D">
        <w:rPr>
          <w:rFonts w:ascii="Arial" w:hAnsi="Arial" w:cs="Arial"/>
          <w:iCs/>
          <w:lang w:val="en-GB"/>
        </w:rPr>
        <w:t xml:space="preserve"> Romania into </w:t>
      </w:r>
      <w:r w:rsidR="00BE1E44">
        <w:rPr>
          <w:rFonts w:ascii="Arial" w:hAnsi="Arial" w:cs="Arial"/>
          <w:iCs/>
          <w:lang w:val="en-GB"/>
        </w:rPr>
        <w:t>secondary proceedings, as discussed in more detail below).</w:t>
      </w:r>
    </w:p>
    <w:p w14:paraId="38FE6F11" w14:textId="2D9D3AD0" w:rsidR="00C81099" w:rsidRDefault="00C81099" w:rsidP="004728E4">
      <w:pPr>
        <w:pStyle w:val="ListParagraph"/>
        <w:numPr>
          <w:ilvl w:val="0"/>
          <w:numId w:val="10"/>
        </w:numPr>
        <w:spacing w:before="240" w:after="120" w:line="360" w:lineRule="exact"/>
        <w:jc w:val="both"/>
        <w:rPr>
          <w:rFonts w:ascii="Arial" w:hAnsi="Arial" w:cs="Arial"/>
          <w:iCs/>
          <w:lang w:val="en-GB"/>
        </w:rPr>
      </w:pPr>
      <w:r w:rsidRPr="00DC0371">
        <w:rPr>
          <w:rFonts w:ascii="Arial" w:hAnsi="Arial" w:cs="Arial"/>
          <w:iCs/>
          <w:lang w:val="en-GB"/>
        </w:rPr>
        <w:t xml:space="preserve">Plan proposal can made by the debtor or by a restructuring expert: By default, the debtor </w:t>
      </w:r>
      <w:proofErr w:type="gramStart"/>
      <w:r w:rsidRPr="00DC0371">
        <w:rPr>
          <w:rFonts w:ascii="Arial" w:hAnsi="Arial" w:cs="Arial"/>
          <w:iCs/>
          <w:lang w:val="en-GB"/>
        </w:rPr>
        <w:t>is in charge of</w:t>
      </w:r>
      <w:proofErr w:type="gramEnd"/>
      <w:r w:rsidRPr="00DC0371">
        <w:rPr>
          <w:rFonts w:ascii="Arial" w:hAnsi="Arial" w:cs="Arial"/>
          <w:iCs/>
          <w:lang w:val="en-GB"/>
        </w:rPr>
        <w:t xml:space="preserve"> offering a plan. Creditors,</w:t>
      </w:r>
      <w:r w:rsidR="00DC0371" w:rsidRPr="00DC0371">
        <w:rPr>
          <w:rFonts w:ascii="Arial" w:hAnsi="Arial" w:cs="Arial"/>
          <w:iCs/>
          <w:lang w:val="en-GB"/>
        </w:rPr>
        <w:t xml:space="preserve"> </w:t>
      </w:r>
      <w:proofErr w:type="gramStart"/>
      <w:r w:rsidRPr="00DC0371">
        <w:rPr>
          <w:rFonts w:ascii="Arial" w:hAnsi="Arial" w:cs="Arial"/>
          <w:iCs/>
          <w:lang w:val="en-GB"/>
        </w:rPr>
        <w:t>shareholders</w:t>
      </w:r>
      <w:proofErr w:type="gramEnd"/>
      <w:r w:rsidRPr="00DC0371">
        <w:rPr>
          <w:rFonts w:ascii="Arial" w:hAnsi="Arial" w:cs="Arial"/>
          <w:iCs/>
          <w:lang w:val="en-GB"/>
        </w:rPr>
        <w:t xml:space="preserve"> and </w:t>
      </w:r>
      <w:r w:rsidR="00DC0371" w:rsidRPr="00DC0371">
        <w:rPr>
          <w:rFonts w:ascii="Arial" w:hAnsi="Arial" w:cs="Arial"/>
          <w:iCs/>
          <w:lang w:val="en-GB"/>
        </w:rPr>
        <w:t>employee</w:t>
      </w:r>
      <w:r w:rsidRPr="00DC0371">
        <w:rPr>
          <w:rFonts w:ascii="Arial" w:hAnsi="Arial" w:cs="Arial"/>
          <w:iCs/>
          <w:lang w:val="en-GB"/>
        </w:rPr>
        <w:t xml:space="preserve"> representatives are not allowed to offer a plan themselves. </w:t>
      </w:r>
      <w:r w:rsidR="004E4756">
        <w:rPr>
          <w:rFonts w:ascii="Arial" w:hAnsi="Arial" w:cs="Arial"/>
          <w:iCs/>
          <w:lang w:val="en-GB"/>
        </w:rPr>
        <w:t xml:space="preserve">This will allow Mr. Maximov and the Group to have </w:t>
      </w:r>
      <w:r w:rsidR="00497704">
        <w:rPr>
          <w:rFonts w:ascii="Arial" w:hAnsi="Arial" w:cs="Arial"/>
          <w:iCs/>
          <w:lang w:val="en-GB"/>
        </w:rPr>
        <w:t>broad</w:t>
      </w:r>
      <w:r w:rsidR="004E4756">
        <w:rPr>
          <w:rFonts w:ascii="Arial" w:hAnsi="Arial" w:cs="Arial"/>
          <w:iCs/>
          <w:lang w:val="en-GB"/>
        </w:rPr>
        <w:t xml:space="preserve"> control </w:t>
      </w:r>
      <w:r w:rsidR="00497704">
        <w:rPr>
          <w:rFonts w:ascii="Arial" w:hAnsi="Arial" w:cs="Arial"/>
          <w:iCs/>
          <w:lang w:val="en-GB"/>
        </w:rPr>
        <w:t>over</w:t>
      </w:r>
      <w:r w:rsidR="004E4756">
        <w:rPr>
          <w:rFonts w:ascii="Arial" w:hAnsi="Arial" w:cs="Arial"/>
          <w:iCs/>
          <w:lang w:val="en-GB"/>
        </w:rPr>
        <w:t xml:space="preserve"> the </w:t>
      </w:r>
      <w:r w:rsidR="00497704">
        <w:rPr>
          <w:rFonts w:ascii="Arial" w:hAnsi="Arial" w:cs="Arial"/>
          <w:iCs/>
          <w:lang w:val="en-GB"/>
        </w:rPr>
        <w:t>restructuring options</w:t>
      </w:r>
      <w:r w:rsidR="006873D4">
        <w:rPr>
          <w:rFonts w:ascii="Arial" w:hAnsi="Arial" w:cs="Arial"/>
          <w:iCs/>
          <w:lang w:val="en-GB"/>
        </w:rPr>
        <w:t xml:space="preserve"> and to coordinate across the three WHOA plans</w:t>
      </w:r>
      <w:r w:rsidR="00497704">
        <w:rPr>
          <w:rFonts w:ascii="Arial" w:hAnsi="Arial" w:cs="Arial"/>
          <w:iCs/>
          <w:lang w:val="en-GB"/>
        </w:rPr>
        <w:t>.</w:t>
      </w:r>
    </w:p>
    <w:p w14:paraId="33ACDF9E" w14:textId="70E27105" w:rsidR="00B21343" w:rsidRDefault="00B21343" w:rsidP="004728E4">
      <w:pPr>
        <w:pStyle w:val="ListParagraph"/>
        <w:numPr>
          <w:ilvl w:val="0"/>
          <w:numId w:val="10"/>
        </w:numPr>
        <w:spacing w:before="240" w:after="120" w:line="360" w:lineRule="exact"/>
        <w:jc w:val="both"/>
        <w:rPr>
          <w:rFonts w:ascii="Arial" w:hAnsi="Arial" w:cs="Arial"/>
          <w:iCs/>
          <w:lang w:val="en-GB"/>
        </w:rPr>
      </w:pPr>
      <w:r>
        <w:rPr>
          <w:rFonts w:ascii="Arial" w:hAnsi="Arial" w:cs="Arial"/>
          <w:iCs/>
          <w:lang w:val="en-GB"/>
        </w:rPr>
        <w:t xml:space="preserve">Post-petition financing: </w:t>
      </w:r>
      <w:r w:rsidRPr="00B21343">
        <w:rPr>
          <w:rFonts w:ascii="Arial" w:hAnsi="Arial" w:cs="Arial"/>
          <w:iCs/>
          <w:lang w:val="en-GB"/>
        </w:rPr>
        <w:t xml:space="preserve">new financing can be sanctioned under </w:t>
      </w:r>
      <w:r>
        <w:rPr>
          <w:rFonts w:ascii="Arial" w:hAnsi="Arial" w:cs="Arial"/>
          <w:iCs/>
          <w:lang w:val="en-GB"/>
        </w:rPr>
        <w:t xml:space="preserve">the </w:t>
      </w:r>
      <w:r w:rsidRPr="00B21343">
        <w:rPr>
          <w:rFonts w:ascii="Arial" w:hAnsi="Arial" w:cs="Arial"/>
          <w:iCs/>
          <w:lang w:val="en-GB"/>
        </w:rPr>
        <w:t xml:space="preserve">WHOA and </w:t>
      </w:r>
      <w:r>
        <w:rPr>
          <w:rFonts w:ascii="Arial" w:hAnsi="Arial" w:cs="Arial"/>
          <w:iCs/>
          <w:lang w:val="en-GB"/>
        </w:rPr>
        <w:t xml:space="preserve">is </w:t>
      </w:r>
      <w:r w:rsidRPr="00B21343">
        <w:rPr>
          <w:rFonts w:ascii="Arial" w:hAnsi="Arial" w:cs="Arial"/>
          <w:iCs/>
          <w:lang w:val="en-GB"/>
        </w:rPr>
        <w:t>clawback proof</w:t>
      </w:r>
      <w:r>
        <w:rPr>
          <w:rFonts w:ascii="Arial" w:hAnsi="Arial" w:cs="Arial"/>
          <w:iCs/>
          <w:lang w:val="en-GB"/>
        </w:rPr>
        <w:t>.</w:t>
      </w:r>
    </w:p>
    <w:p w14:paraId="4845D193" w14:textId="77777777" w:rsidR="00DD480B" w:rsidRPr="00DD480B" w:rsidRDefault="003B5FAE" w:rsidP="004728E4">
      <w:pPr>
        <w:pStyle w:val="ListParagraph"/>
        <w:numPr>
          <w:ilvl w:val="0"/>
          <w:numId w:val="10"/>
        </w:numPr>
        <w:spacing w:before="240" w:after="120" w:line="360" w:lineRule="exact"/>
        <w:jc w:val="both"/>
        <w:rPr>
          <w:rFonts w:ascii="Arial" w:hAnsi="Arial" w:cs="Arial"/>
          <w:iCs/>
          <w:lang w:val="en-GB"/>
        </w:rPr>
      </w:pPr>
      <w:r w:rsidRPr="003B5FAE">
        <w:rPr>
          <w:rFonts w:ascii="Arial" w:hAnsi="Arial" w:cs="Arial"/>
          <w:iCs/>
        </w:rPr>
        <w:t>Only creditors or shareholders whose rights are affected by a plan may vote</w:t>
      </w:r>
      <w:r>
        <w:rPr>
          <w:rFonts w:ascii="Arial" w:hAnsi="Arial" w:cs="Arial"/>
          <w:iCs/>
        </w:rPr>
        <w:t xml:space="preserve"> for the proposed plan</w:t>
      </w:r>
      <w:r w:rsidRPr="003B5FAE">
        <w:rPr>
          <w:rFonts w:ascii="Arial" w:hAnsi="Arial" w:cs="Arial"/>
          <w:iCs/>
        </w:rPr>
        <w:t xml:space="preserve">. Class formation is based on the similarity of new and existing rights of class participants. </w:t>
      </w:r>
    </w:p>
    <w:p w14:paraId="67E75513" w14:textId="77777777" w:rsidR="00E41D89" w:rsidRPr="00E41D89" w:rsidRDefault="003B5FAE" w:rsidP="004728E4">
      <w:pPr>
        <w:pStyle w:val="ListParagraph"/>
        <w:numPr>
          <w:ilvl w:val="0"/>
          <w:numId w:val="10"/>
        </w:numPr>
        <w:spacing w:before="240" w:after="120" w:line="360" w:lineRule="exact"/>
        <w:jc w:val="both"/>
        <w:rPr>
          <w:rFonts w:ascii="Arial" w:hAnsi="Arial" w:cs="Arial"/>
          <w:iCs/>
          <w:lang w:val="en-GB"/>
        </w:rPr>
      </w:pPr>
      <w:r w:rsidRPr="003B5FAE">
        <w:rPr>
          <w:rFonts w:ascii="Arial" w:hAnsi="Arial" w:cs="Arial"/>
          <w:iCs/>
        </w:rPr>
        <w:t xml:space="preserve">Cross-class cram down: If the plan is approved by at least one class of affected creditors, the plan may be confirmed by the court. Once the court has confirmed a plan, it will bind all creditors regardless of their rank and </w:t>
      </w:r>
      <w:proofErr w:type="gramStart"/>
      <w:r w:rsidRPr="003B5FAE">
        <w:rPr>
          <w:rFonts w:ascii="Arial" w:hAnsi="Arial" w:cs="Arial"/>
          <w:iCs/>
        </w:rPr>
        <w:t>whether or not</w:t>
      </w:r>
      <w:proofErr w:type="gramEnd"/>
      <w:r w:rsidRPr="003B5FAE">
        <w:rPr>
          <w:rFonts w:ascii="Arial" w:hAnsi="Arial" w:cs="Arial"/>
          <w:iCs/>
        </w:rPr>
        <w:t xml:space="preserve"> they have voted in </w:t>
      </w:r>
      <w:r w:rsidR="00DD480B" w:rsidRPr="003B5FAE">
        <w:rPr>
          <w:rFonts w:ascii="Arial" w:hAnsi="Arial" w:cs="Arial"/>
          <w:iCs/>
        </w:rPr>
        <w:t>favor</w:t>
      </w:r>
      <w:r w:rsidRPr="003B5FAE">
        <w:rPr>
          <w:rFonts w:ascii="Arial" w:hAnsi="Arial" w:cs="Arial"/>
          <w:iCs/>
        </w:rPr>
        <w:t xml:space="preserve"> of the plan. </w:t>
      </w:r>
    </w:p>
    <w:p w14:paraId="36307DA0" w14:textId="352F5BF5" w:rsidR="000A4BE4" w:rsidRDefault="000A4BE4" w:rsidP="000A4BE4">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 xml:space="preserve">Since </w:t>
      </w:r>
      <w:r w:rsidR="00DF79C4">
        <w:rPr>
          <w:rFonts w:ascii="Arial" w:hAnsi="Arial" w:cs="Arial"/>
          <w:iCs/>
          <w:lang w:val="en-GB"/>
        </w:rPr>
        <w:t xml:space="preserve">recognition of the Dutch-plan proceedings will be required for </w:t>
      </w:r>
      <w:proofErr w:type="spellStart"/>
      <w:r w:rsidR="00DF79C4">
        <w:rPr>
          <w:rFonts w:ascii="Arial" w:hAnsi="Arial" w:cs="Arial"/>
          <w:iCs/>
          <w:lang w:val="en-GB"/>
        </w:rPr>
        <w:t>Efwon</w:t>
      </w:r>
      <w:proofErr w:type="spellEnd"/>
      <w:r w:rsidR="00DF79C4">
        <w:rPr>
          <w:rFonts w:ascii="Arial" w:hAnsi="Arial" w:cs="Arial"/>
          <w:iCs/>
          <w:lang w:val="en-GB"/>
        </w:rPr>
        <w:t xml:space="preserve"> </w:t>
      </w:r>
      <w:r w:rsidR="005D07C5">
        <w:rPr>
          <w:rFonts w:ascii="Arial" w:hAnsi="Arial" w:cs="Arial"/>
          <w:iCs/>
          <w:lang w:val="en-GB"/>
        </w:rPr>
        <w:t xml:space="preserve">Investments in the U.S. and </w:t>
      </w:r>
      <w:proofErr w:type="spellStart"/>
      <w:r w:rsidR="005D07C5">
        <w:rPr>
          <w:rFonts w:ascii="Arial" w:hAnsi="Arial" w:cs="Arial"/>
          <w:iCs/>
          <w:lang w:val="en-GB"/>
        </w:rPr>
        <w:t>Efwon</w:t>
      </w:r>
      <w:proofErr w:type="spellEnd"/>
      <w:r w:rsidR="005D07C5">
        <w:rPr>
          <w:rFonts w:ascii="Arial" w:hAnsi="Arial" w:cs="Arial"/>
          <w:iCs/>
          <w:lang w:val="en-GB"/>
        </w:rPr>
        <w:t xml:space="preserve"> Romania in Romania</w:t>
      </w:r>
      <w:r w:rsidR="0090041B">
        <w:rPr>
          <w:rFonts w:ascii="Arial" w:hAnsi="Arial" w:cs="Arial"/>
          <w:iCs/>
          <w:lang w:val="en-GB"/>
        </w:rPr>
        <w:t xml:space="preserve">, we propose that each entity requests the Amsterdam District Court to appoint </w:t>
      </w:r>
      <w:r w:rsidR="00F50F7C">
        <w:rPr>
          <w:rFonts w:ascii="Arial" w:hAnsi="Arial" w:cs="Arial"/>
          <w:iCs/>
          <w:lang w:val="en-GB"/>
        </w:rPr>
        <w:t>the same</w:t>
      </w:r>
      <w:r w:rsidR="0090041B">
        <w:rPr>
          <w:rFonts w:ascii="Arial" w:hAnsi="Arial" w:cs="Arial"/>
          <w:iCs/>
          <w:lang w:val="en-GB"/>
        </w:rPr>
        <w:t xml:space="preserve"> Restructuring Expert to act as </w:t>
      </w:r>
      <w:r w:rsidR="00F50F7C" w:rsidRPr="00F50F7C">
        <w:rPr>
          <w:rFonts w:ascii="Arial" w:hAnsi="Arial" w:cs="Arial"/>
          <w:iCs/>
          <w:lang w:val="en-GB"/>
        </w:rPr>
        <w:t xml:space="preserve">the </w:t>
      </w:r>
      <w:r w:rsidR="00F50F7C">
        <w:rPr>
          <w:rFonts w:ascii="Arial" w:hAnsi="Arial" w:cs="Arial"/>
          <w:iCs/>
          <w:lang w:val="en-GB"/>
        </w:rPr>
        <w:t>I</w:t>
      </w:r>
      <w:r w:rsidR="00F50F7C" w:rsidRPr="00F50F7C">
        <w:rPr>
          <w:rFonts w:ascii="Arial" w:hAnsi="Arial" w:cs="Arial"/>
          <w:iCs/>
          <w:lang w:val="en-GB"/>
        </w:rPr>
        <w:t xml:space="preserve">nsolvency </w:t>
      </w:r>
      <w:r w:rsidR="00F50F7C">
        <w:rPr>
          <w:rFonts w:ascii="Arial" w:hAnsi="Arial" w:cs="Arial"/>
          <w:iCs/>
          <w:lang w:val="en-GB"/>
        </w:rPr>
        <w:t>P</w:t>
      </w:r>
      <w:r w:rsidR="00F50F7C" w:rsidRPr="00F50F7C">
        <w:rPr>
          <w:rFonts w:ascii="Arial" w:hAnsi="Arial" w:cs="Arial"/>
          <w:iCs/>
          <w:lang w:val="en-GB"/>
        </w:rPr>
        <w:t xml:space="preserve">ractitioner </w:t>
      </w:r>
      <w:r w:rsidR="00C24D1F">
        <w:rPr>
          <w:rFonts w:ascii="Arial" w:hAnsi="Arial" w:cs="Arial"/>
          <w:iCs/>
          <w:lang w:val="en-GB"/>
        </w:rPr>
        <w:t xml:space="preserve">for all three proceedings, and </w:t>
      </w:r>
      <w:r w:rsidR="003E3A66">
        <w:rPr>
          <w:rFonts w:ascii="Arial" w:hAnsi="Arial" w:cs="Arial"/>
          <w:iCs/>
          <w:lang w:val="en-GB"/>
        </w:rPr>
        <w:t xml:space="preserve">who </w:t>
      </w:r>
      <w:r w:rsidR="00F50F7C" w:rsidRPr="00F50F7C">
        <w:rPr>
          <w:rFonts w:ascii="Arial" w:hAnsi="Arial" w:cs="Arial"/>
          <w:iCs/>
          <w:lang w:val="en-GB"/>
        </w:rPr>
        <w:t xml:space="preserve">may bring </w:t>
      </w:r>
      <w:r w:rsidR="001A62A1">
        <w:rPr>
          <w:rFonts w:ascii="Arial" w:hAnsi="Arial" w:cs="Arial"/>
          <w:iCs/>
          <w:lang w:val="en-GB"/>
        </w:rPr>
        <w:t xml:space="preserve">necessary </w:t>
      </w:r>
      <w:r w:rsidR="00F50F7C" w:rsidRPr="00F50F7C">
        <w:rPr>
          <w:rFonts w:ascii="Arial" w:hAnsi="Arial" w:cs="Arial"/>
          <w:iCs/>
          <w:lang w:val="en-GB"/>
        </w:rPr>
        <w:t xml:space="preserve">actions before the courts </w:t>
      </w:r>
      <w:r w:rsidR="00DF6B85">
        <w:rPr>
          <w:rFonts w:ascii="Arial" w:hAnsi="Arial" w:cs="Arial"/>
          <w:iCs/>
          <w:lang w:val="en-GB"/>
        </w:rPr>
        <w:t xml:space="preserve">of </w:t>
      </w:r>
      <w:r w:rsidR="001A62A1">
        <w:rPr>
          <w:rFonts w:ascii="Arial" w:hAnsi="Arial" w:cs="Arial"/>
          <w:iCs/>
          <w:lang w:val="en-GB"/>
        </w:rPr>
        <w:t xml:space="preserve">other relevant jurisdictions (the U.S, </w:t>
      </w:r>
      <w:proofErr w:type="gramStart"/>
      <w:r w:rsidR="001A62A1">
        <w:rPr>
          <w:rFonts w:ascii="Arial" w:hAnsi="Arial" w:cs="Arial"/>
          <w:iCs/>
          <w:lang w:val="en-GB"/>
        </w:rPr>
        <w:t>Romania</w:t>
      </w:r>
      <w:proofErr w:type="gramEnd"/>
      <w:r w:rsidR="001A62A1">
        <w:rPr>
          <w:rFonts w:ascii="Arial" w:hAnsi="Arial" w:cs="Arial"/>
          <w:iCs/>
          <w:lang w:val="en-GB"/>
        </w:rPr>
        <w:t xml:space="preserve"> and Singapore)</w:t>
      </w:r>
      <w:r w:rsidR="00C24D1F">
        <w:rPr>
          <w:rFonts w:ascii="Arial" w:hAnsi="Arial" w:cs="Arial"/>
          <w:iCs/>
          <w:lang w:val="en-GB"/>
        </w:rPr>
        <w:t>.</w:t>
      </w:r>
    </w:p>
    <w:p w14:paraId="0D2B62E4" w14:textId="5E02AC87" w:rsidR="00C24D1F" w:rsidRPr="003D1640" w:rsidRDefault="00537BB2" w:rsidP="000A4BE4">
      <w:pPr>
        <w:pStyle w:val="ListParagraph"/>
        <w:numPr>
          <w:ilvl w:val="0"/>
          <w:numId w:val="2"/>
        </w:numPr>
        <w:spacing w:before="240" w:after="120" w:line="360" w:lineRule="exact"/>
        <w:ind w:left="0" w:firstLine="360"/>
        <w:jc w:val="both"/>
        <w:rPr>
          <w:rFonts w:ascii="Arial" w:hAnsi="Arial" w:cs="Arial"/>
          <w:iCs/>
          <w:lang w:val="en-GB"/>
        </w:rPr>
      </w:pPr>
      <w:r w:rsidRPr="00EF48BC">
        <w:rPr>
          <w:rFonts w:ascii="Arial" w:hAnsi="Arial" w:cs="Arial"/>
          <w:color w:val="000000"/>
          <w:shd w:val="clear" w:color="auto" w:fill="FFFFFF"/>
        </w:rPr>
        <w:t>Procedural consolidation is possible</w:t>
      </w:r>
      <w:r w:rsidR="00B8536D">
        <w:rPr>
          <w:rFonts w:ascii="Arial" w:hAnsi="Arial" w:cs="Arial"/>
          <w:color w:val="000000"/>
          <w:shd w:val="clear" w:color="auto" w:fill="FFFFFF"/>
        </w:rPr>
        <w:t xml:space="preserve"> under the </w:t>
      </w:r>
      <w:r w:rsidR="007A27A2">
        <w:rPr>
          <w:rFonts w:ascii="Arial" w:hAnsi="Arial" w:cs="Arial"/>
          <w:color w:val="000000"/>
          <w:shd w:val="clear" w:color="auto" w:fill="FFFFFF"/>
        </w:rPr>
        <w:t>Dutch insolvency regime</w:t>
      </w:r>
      <w:r w:rsidR="00B8536D">
        <w:rPr>
          <w:rFonts w:ascii="Arial" w:hAnsi="Arial" w:cs="Arial"/>
          <w:color w:val="000000"/>
          <w:shd w:val="clear" w:color="auto" w:fill="FFFFFF"/>
        </w:rPr>
        <w:t xml:space="preserve"> </w:t>
      </w:r>
      <w:r w:rsidR="00610B20">
        <w:rPr>
          <w:rFonts w:ascii="Arial" w:hAnsi="Arial" w:cs="Arial"/>
          <w:color w:val="000000"/>
          <w:shd w:val="clear" w:color="auto" w:fill="FFFFFF"/>
        </w:rPr>
        <w:t>(</w:t>
      </w:r>
      <w:r w:rsidR="00610B20" w:rsidRPr="00610B20">
        <w:rPr>
          <w:rFonts w:ascii="Arial" w:hAnsi="Arial" w:cs="Arial"/>
          <w:color w:val="000000"/>
          <w:shd w:val="clear" w:color="auto" w:fill="FFFFFF"/>
        </w:rPr>
        <w:t>“</w:t>
      </w:r>
      <w:proofErr w:type="spellStart"/>
      <w:r w:rsidR="00610B20" w:rsidRPr="00610B20">
        <w:rPr>
          <w:rFonts w:ascii="Arial" w:hAnsi="Arial" w:cs="Arial"/>
          <w:color w:val="000000"/>
          <w:shd w:val="clear" w:color="auto" w:fill="FFFFFF"/>
        </w:rPr>
        <w:t>Faillissementswet</w:t>
      </w:r>
      <w:proofErr w:type="spellEnd"/>
      <w:r w:rsidR="00610B20" w:rsidRPr="00610B20">
        <w:rPr>
          <w:rFonts w:ascii="Arial" w:hAnsi="Arial" w:cs="Arial"/>
          <w:color w:val="000000"/>
          <w:shd w:val="clear" w:color="auto" w:fill="FFFFFF"/>
        </w:rPr>
        <w:t>”</w:t>
      </w:r>
      <w:r w:rsidR="00610B20">
        <w:rPr>
          <w:rFonts w:ascii="Arial" w:hAnsi="Arial" w:cs="Arial"/>
          <w:color w:val="000000"/>
          <w:shd w:val="clear" w:color="auto" w:fill="FFFFFF"/>
        </w:rPr>
        <w:t>,</w:t>
      </w:r>
      <w:r w:rsidR="00610B20" w:rsidRPr="00610B20">
        <w:rPr>
          <w:rFonts w:ascii="Arial" w:hAnsi="Arial" w:cs="Arial"/>
          <w:color w:val="000000"/>
          <w:shd w:val="clear" w:color="auto" w:fill="FFFFFF"/>
        </w:rPr>
        <w:t xml:space="preserve"> hereinafter the “Dutch Bankruptcy Act” or the “DBA”</w:t>
      </w:r>
      <w:r w:rsidR="00610B20">
        <w:rPr>
          <w:rFonts w:ascii="Arial" w:hAnsi="Arial" w:cs="Arial"/>
          <w:color w:val="000000"/>
          <w:shd w:val="clear" w:color="auto" w:fill="FFFFFF"/>
        </w:rPr>
        <w:t xml:space="preserve">) </w:t>
      </w:r>
      <w:r w:rsidR="00B8536D">
        <w:rPr>
          <w:rFonts w:ascii="Arial" w:hAnsi="Arial" w:cs="Arial"/>
          <w:color w:val="000000"/>
          <w:shd w:val="clear" w:color="auto" w:fill="FFFFFF"/>
        </w:rPr>
        <w:t xml:space="preserve">and is recommended in the case of the </w:t>
      </w:r>
      <w:proofErr w:type="spellStart"/>
      <w:r w:rsidR="00B8536D">
        <w:rPr>
          <w:rFonts w:ascii="Arial" w:hAnsi="Arial" w:cs="Arial"/>
          <w:color w:val="000000"/>
          <w:shd w:val="clear" w:color="auto" w:fill="FFFFFF"/>
        </w:rPr>
        <w:t>Efwon</w:t>
      </w:r>
      <w:proofErr w:type="spellEnd"/>
      <w:r w:rsidR="00B8536D">
        <w:rPr>
          <w:rFonts w:ascii="Arial" w:hAnsi="Arial" w:cs="Arial"/>
          <w:color w:val="000000"/>
          <w:shd w:val="clear" w:color="auto" w:fill="FFFFFF"/>
        </w:rPr>
        <w:t xml:space="preserve"> Group restructuring</w:t>
      </w:r>
      <w:r w:rsidR="00FB3609">
        <w:rPr>
          <w:rFonts w:ascii="Arial" w:hAnsi="Arial" w:cs="Arial"/>
          <w:color w:val="000000"/>
          <w:shd w:val="clear" w:color="auto" w:fill="FFFFFF"/>
        </w:rPr>
        <w:t xml:space="preserve">, </w:t>
      </w:r>
      <w:r w:rsidR="00B30E4F">
        <w:rPr>
          <w:rFonts w:ascii="Arial" w:hAnsi="Arial" w:cs="Arial"/>
          <w:color w:val="000000"/>
          <w:shd w:val="clear" w:color="auto" w:fill="FFFFFF"/>
        </w:rPr>
        <w:t>since it</w:t>
      </w:r>
      <w:r w:rsidR="00FB3609">
        <w:rPr>
          <w:rFonts w:ascii="Arial" w:hAnsi="Arial" w:cs="Arial"/>
          <w:color w:val="000000"/>
          <w:shd w:val="clear" w:color="auto" w:fill="FFFFFF"/>
        </w:rPr>
        <w:t xml:space="preserve"> would involve three separate restructuring plans</w:t>
      </w:r>
      <w:r w:rsidRPr="00EF48BC">
        <w:rPr>
          <w:rFonts w:ascii="Arial" w:hAnsi="Arial" w:cs="Arial"/>
          <w:color w:val="000000"/>
          <w:shd w:val="clear" w:color="auto" w:fill="FFFFFF"/>
        </w:rPr>
        <w:t xml:space="preserve">. Pursuant to </w:t>
      </w:r>
      <w:r w:rsidR="00B30E4F">
        <w:rPr>
          <w:rFonts w:ascii="Arial" w:hAnsi="Arial" w:cs="Arial"/>
          <w:color w:val="000000"/>
          <w:shd w:val="clear" w:color="auto" w:fill="FFFFFF"/>
        </w:rPr>
        <w:t>Article</w:t>
      </w:r>
      <w:r w:rsidRPr="00EF48BC">
        <w:rPr>
          <w:rFonts w:ascii="Arial" w:hAnsi="Arial" w:cs="Arial"/>
          <w:color w:val="000000"/>
          <w:shd w:val="clear" w:color="auto" w:fill="FFFFFF"/>
        </w:rPr>
        <w:t xml:space="preserve"> 369(8) DBA, these multiple plans in relation to various group companies may all be dealt with by the same court.</w:t>
      </w:r>
      <w:r>
        <w:rPr>
          <w:rStyle w:val="FootnoteReference"/>
          <w:rFonts w:ascii="Arial" w:hAnsi="Arial" w:cs="Arial"/>
          <w:color w:val="000000"/>
          <w:shd w:val="clear" w:color="auto" w:fill="FFFFFF"/>
        </w:rPr>
        <w:footnoteReference w:id="2"/>
      </w:r>
      <w:r w:rsidR="004E5D01">
        <w:rPr>
          <w:rFonts w:ascii="Arial" w:hAnsi="Arial" w:cs="Arial"/>
          <w:color w:val="000000"/>
          <w:shd w:val="clear" w:color="auto" w:fill="FFFFFF"/>
        </w:rPr>
        <w:t xml:space="preserve"> Consolidation should be requested by all three WHOA plan petitioners (</w:t>
      </w:r>
      <w:proofErr w:type="spellStart"/>
      <w:r w:rsidR="004E5D01">
        <w:rPr>
          <w:rFonts w:ascii="Arial" w:hAnsi="Arial" w:cs="Arial"/>
          <w:color w:val="000000"/>
          <w:shd w:val="clear" w:color="auto" w:fill="FFFFFF"/>
        </w:rPr>
        <w:t>Efwon</w:t>
      </w:r>
      <w:proofErr w:type="spellEnd"/>
      <w:r w:rsidR="004E5D01">
        <w:rPr>
          <w:rFonts w:ascii="Arial" w:hAnsi="Arial" w:cs="Arial"/>
          <w:color w:val="000000"/>
          <w:shd w:val="clear" w:color="auto" w:fill="FFFFFF"/>
        </w:rPr>
        <w:t xml:space="preserve"> Trading, </w:t>
      </w:r>
      <w:proofErr w:type="spellStart"/>
      <w:r w:rsidR="004E5D01">
        <w:rPr>
          <w:rFonts w:ascii="Arial" w:hAnsi="Arial" w:cs="Arial"/>
          <w:color w:val="000000"/>
          <w:shd w:val="clear" w:color="auto" w:fill="FFFFFF"/>
        </w:rPr>
        <w:t>Efwon</w:t>
      </w:r>
      <w:proofErr w:type="spellEnd"/>
      <w:r w:rsidR="004E5D01">
        <w:rPr>
          <w:rFonts w:ascii="Arial" w:hAnsi="Arial" w:cs="Arial"/>
          <w:color w:val="000000"/>
          <w:shd w:val="clear" w:color="auto" w:fill="FFFFFF"/>
        </w:rPr>
        <w:t xml:space="preserve"> Investments and </w:t>
      </w:r>
      <w:proofErr w:type="spellStart"/>
      <w:r w:rsidR="004E5D01">
        <w:rPr>
          <w:rFonts w:ascii="Arial" w:hAnsi="Arial" w:cs="Arial"/>
          <w:color w:val="000000"/>
          <w:shd w:val="clear" w:color="auto" w:fill="FFFFFF"/>
        </w:rPr>
        <w:t>Efwon</w:t>
      </w:r>
      <w:proofErr w:type="spellEnd"/>
      <w:r w:rsidR="004E5D01">
        <w:rPr>
          <w:rFonts w:ascii="Arial" w:hAnsi="Arial" w:cs="Arial"/>
          <w:color w:val="000000"/>
          <w:shd w:val="clear" w:color="auto" w:fill="FFFFFF"/>
        </w:rPr>
        <w:t xml:space="preserve"> Romania) w</w:t>
      </w:r>
      <w:r w:rsidR="001A6DCB">
        <w:rPr>
          <w:rFonts w:ascii="Arial" w:hAnsi="Arial" w:cs="Arial"/>
          <w:color w:val="000000"/>
          <w:shd w:val="clear" w:color="auto" w:fill="FFFFFF"/>
        </w:rPr>
        <w:t xml:space="preserve">hen filing their petitions with the Amsterdam District Court. </w:t>
      </w:r>
    </w:p>
    <w:p w14:paraId="32C36CF3" w14:textId="2610D9BC" w:rsidR="003D1640" w:rsidRPr="003D1640" w:rsidRDefault="003D1640" w:rsidP="00FC1A99">
      <w:pPr>
        <w:pStyle w:val="ListParagraph"/>
        <w:numPr>
          <w:ilvl w:val="0"/>
          <w:numId w:val="2"/>
        </w:numPr>
        <w:spacing w:before="240" w:after="120" w:line="360" w:lineRule="exact"/>
        <w:ind w:left="0" w:firstLine="360"/>
        <w:jc w:val="both"/>
        <w:rPr>
          <w:rFonts w:ascii="Arial" w:hAnsi="Arial" w:cs="Arial"/>
          <w:iCs/>
          <w:lang w:val="en-GB"/>
        </w:rPr>
      </w:pPr>
      <w:r w:rsidRPr="00FC1A99">
        <w:rPr>
          <w:rFonts w:ascii="Arial" w:hAnsi="Arial" w:cs="Arial"/>
          <w:color w:val="000000"/>
          <w:shd w:val="clear" w:color="auto" w:fill="FFFFFF"/>
        </w:rPr>
        <w:t>The</w:t>
      </w:r>
      <w:r>
        <w:rPr>
          <w:rFonts w:ascii="Arial" w:hAnsi="Arial" w:cs="Arial"/>
          <w:iCs/>
          <w:lang w:val="en-GB"/>
        </w:rPr>
        <w:t xml:space="preserve"> WHOA</w:t>
      </w:r>
      <w:r w:rsidRPr="003D1640">
        <w:rPr>
          <w:rFonts w:ascii="Arial" w:hAnsi="Arial" w:cs="Arial"/>
          <w:iCs/>
          <w:lang w:val="en-GB"/>
        </w:rPr>
        <w:t xml:space="preserve"> Act provides </w:t>
      </w:r>
      <w:r w:rsidR="006A2CCC">
        <w:rPr>
          <w:rFonts w:ascii="Arial" w:hAnsi="Arial" w:cs="Arial"/>
          <w:iCs/>
          <w:lang w:val="en-GB"/>
        </w:rPr>
        <w:t xml:space="preserve">for </w:t>
      </w:r>
      <w:r w:rsidRPr="003D1640">
        <w:rPr>
          <w:rFonts w:ascii="Arial" w:hAnsi="Arial" w:cs="Arial"/>
          <w:iCs/>
          <w:lang w:val="en-GB"/>
        </w:rPr>
        <w:t>two different</w:t>
      </w:r>
      <w:r w:rsidR="006A2CCC">
        <w:rPr>
          <w:rFonts w:ascii="Arial" w:hAnsi="Arial" w:cs="Arial"/>
          <w:iCs/>
          <w:lang w:val="en-GB"/>
        </w:rPr>
        <w:t xml:space="preserve"> possible</w:t>
      </w:r>
      <w:r w:rsidRPr="003D1640">
        <w:rPr>
          <w:rFonts w:ascii="Arial" w:hAnsi="Arial" w:cs="Arial"/>
          <w:iCs/>
          <w:lang w:val="en-GB"/>
        </w:rPr>
        <w:t xml:space="preserve"> tracks</w:t>
      </w:r>
      <w:r w:rsidR="00FC1A99">
        <w:rPr>
          <w:rFonts w:ascii="Arial" w:hAnsi="Arial" w:cs="Arial"/>
          <w:iCs/>
          <w:lang w:val="en-GB"/>
        </w:rPr>
        <w:t xml:space="preserve"> which are identical in terms of process, with the only difference than one is conducted in a confidential manner and the other one is </w:t>
      </w:r>
      <w:r w:rsidR="00AA350D">
        <w:rPr>
          <w:rFonts w:ascii="Arial" w:hAnsi="Arial" w:cs="Arial"/>
          <w:iCs/>
          <w:lang w:val="en-GB"/>
        </w:rPr>
        <w:t>public:</w:t>
      </w:r>
    </w:p>
    <w:p w14:paraId="33EE8E3B" w14:textId="73DC273E" w:rsidR="00645956" w:rsidRDefault="00030E09" w:rsidP="007D67E0">
      <w:pPr>
        <w:spacing w:before="240" w:after="120" w:line="360" w:lineRule="exact"/>
        <w:ind w:left="720"/>
        <w:jc w:val="both"/>
        <w:rPr>
          <w:rFonts w:ascii="Arial" w:hAnsi="Arial" w:cs="Arial"/>
          <w:iCs/>
          <w:lang w:val="en-GB"/>
        </w:rPr>
      </w:pPr>
      <w:r>
        <w:rPr>
          <w:rFonts w:ascii="Arial" w:hAnsi="Arial" w:cs="Arial"/>
          <w:iCs/>
          <w:lang w:val="en-GB"/>
        </w:rPr>
        <w:t xml:space="preserve">- </w:t>
      </w:r>
      <w:r w:rsidR="003D1640" w:rsidRPr="00030E09">
        <w:rPr>
          <w:rFonts w:ascii="Arial" w:hAnsi="Arial" w:cs="Arial"/>
          <w:iCs/>
          <w:lang w:val="en-GB"/>
        </w:rPr>
        <w:t>Public track: suitable for complex multiple class restructurings</w:t>
      </w:r>
      <w:r w:rsidR="00164F3E">
        <w:rPr>
          <w:rFonts w:ascii="Arial" w:hAnsi="Arial" w:cs="Arial"/>
          <w:iCs/>
          <w:lang w:val="en-GB"/>
        </w:rPr>
        <w:t>, and</w:t>
      </w:r>
    </w:p>
    <w:p w14:paraId="5EC85A06" w14:textId="5FDA6517" w:rsidR="00FC1A99" w:rsidRDefault="00FC1A99" w:rsidP="007D67E0">
      <w:pPr>
        <w:spacing w:before="240" w:after="120" w:line="360" w:lineRule="exact"/>
        <w:ind w:left="720"/>
        <w:jc w:val="both"/>
        <w:rPr>
          <w:rFonts w:ascii="Arial" w:hAnsi="Arial" w:cs="Arial"/>
          <w:iCs/>
          <w:lang w:val="en-GB"/>
        </w:rPr>
      </w:pPr>
      <w:r>
        <w:rPr>
          <w:rFonts w:ascii="Arial" w:hAnsi="Arial" w:cs="Arial"/>
          <w:iCs/>
          <w:lang w:val="en-GB"/>
        </w:rPr>
        <w:lastRenderedPageBreak/>
        <w:t xml:space="preserve">- </w:t>
      </w:r>
      <w:r w:rsidRPr="003D1640">
        <w:rPr>
          <w:rFonts w:ascii="Arial" w:hAnsi="Arial" w:cs="Arial"/>
          <w:iCs/>
          <w:lang w:val="en-GB"/>
        </w:rPr>
        <w:t>Non-public track: more suitable for targeted single class restructurings.</w:t>
      </w:r>
    </w:p>
    <w:p w14:paraId="2B1BA60D" w14:textId="01A26ACB" w:rsidR="0015736C" w:rsidRDefault="007D67E0" w:rsidP="0015736C">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If</w:t>
      </w:r>
      <w:r w:rsidR="003D1640" w:rsidRPr="00030E09">
        <w:rPr>
          <w:rFonts w:ascii="Arial" w:hAnsi="Arial" w:cs="Arial"/>
          <w:iCs/>
          <w:lang w:val="en-GB"/>
        </w:rPr>
        <w:t xml:space="preserve"> a plan is </w:t>
      </w:r>
      <w:r>
        <w:rPr>
          <w:rFonts w:ascii="Arial" w:hAnsi="Arial" w:cs="Arial"/>
          <w:iCs/>
          <w:lang w:val="en-GB"/>
        </w:rPr>
        <w:t>conducted</w:t>
      </w:r>
      <w:r w:rsidR="003D1640" w:rsidRPr="00030E09">
        <w:rPr>
          <w:rFonts w:ascii="Arial" w:hAnsi="Arial" w:cs="Arial"/>
          <w:iCs/>
          <w:lang w:val="en-GB"/>
        </w:rPr>
        <w:t xml:space="preserve"> in a public track,</w:t>
      </w:r>
      <w:r>
        <w:rPr>
          <w:rFonts w:ascii="Arial" w:hAnsi="Arial" w:cs="Arial"/>
          <w:iCs/>
          <w:lang w:val="en-GB"/>
        </w:rPr>
        <w:t xml:space="preserve"> </w:t>
      </w:r>
      <w:r w:rsidR="002A0D1F">
        <w:rPr>
          <w:rFonts w:ascii="Arial" w:hAnsi="Arial" w:cs="Arial"/>
          <w:iCs/>
          <w:lang w:val="en-GB"/>
        </w:rPr>
        <w:t>it</w:t>
      </w:r>
      <w:r w:rsidR="003D1640" w:rsidRPr="003D1640">
        <w:rPr>
          <w:rFonts w:ascii="Arial" w:hAnsi="Arial" w:cs="Arial"/>
          <w:iCs/>
          <w:lang w:val="en-GB"/>
        </w:rPr>
        <w:t xml:space="preserve"> will automatically be recognised in each EU Member State </w:t>
      </w:r>
      <w:r w:rsidR="002A0D1F">
        <w:rPr>
          <w:rFonts w:ascii="Arial" w:hAnsi="Arial" w:cs="Arial"/>
          <w:iCs/>
          <w:lang w:val="en-GB"/>
        </w:rPr>
        <w:t xml:space="preserve">since it is a covered </w:t>
      </w:r>
      <w:r w:rsidR="005F5FB5">
        <w:rPr>
          <w:rFonts w:ascii="Arial" w:hAnsi="Arial" w:cs="Arial"/>
          <w:iCs/>
          <w:lang w:val="en-GB"/>
        </w:rPr>
        <w:t>(pre) insolvency proceeding under the</w:t>
      </w:r>
      <w:r w:rsidR="003D1640" w:rsidRPr="003D1640">
        <w:rPr>
          <w:rFonts w:ascii="Arial" w:hAnsi="Arial" w:cs="Arial"/>
          <w:iCs/>
          <w:lang w:val="en-GB"/>
        </w:rPr>
        <w:t xml:space="preserve"> EU Insolvency Regulation</w:t>
      </w:r>
      <w:r w:rsidR="00164F3E">
        <w:rPr>
          <w:rFonts w:ascii="Arial" w:hAnsi="Arial" w:cs="Arial"/>
          <w:iCs/>
          <w:lang w:val="en-GB"/>
        </w:rPr>
        <w:t xml:space="preserve"> (EIR recast)</w:t>
      </w:r>
      <w:r w:rsidR="00087F3C">
        <w:rPr>
          <w:rFonts w:ascii="Arial" w:hAnsi="Arial" w:cs="Arial"/>
          <w:iCs/>
          <w:lang w:val="en-GB"/>
        </w:rPr>
        <w:t>.</w:t>
      </w:r>
      <w:r w:rsidR="00087F3C">
        <w:rPr>
          <w:rStyle w:val="FootnoteReference"/>
          <w:rFonts w:ascii="Arial" w:hAnsi="Arial" w:cs="Arial"/>
          <w:iCs/>
          <w:lang w:val="en-GB"/>
        </w:rPr>
        <w:footnoteReference w:id="3"/>
      </w:r>
      <w:r w:rsidR="0015736C">
        <w:rPr>
          <w:rFonts w:ascii="Arial" w:hAnsi="Arial" w:cs="Arial"/>
          <w:iCs/>
          <w:lang w:val="en-GB"/>
        </w:rPr>
        <w:t xml:space="preserve"> </w:t>
      </w:r>
      <w:r w:rsidR="00090060">
        <w:rPr>
          <w:rFonts w:ascii="Arial" w:hAnsi="Arial" w:cs="Arial"/>
          <w:iCs/>
          <w:lang w:val="en-GB"/>
        </w:rPr>
        <w:t>The</w:t>
      </w:r>
      <w:r w:rsidR="0015736C" w:rsidRPr="003D1640">
        <w:rPr>
          <w:rFonts w:ascii="Arial" w:hAnsi="Arial" w:cs="Arial"/>
          <w:iCs/>
          <w:lang w:val="en-GB"/>
        </w:rPr>
        <w:t xml:space="preserve"> non-public track is not recognised under the</w:t>
      </w:r>
      <w:r w:rsidR="00090060">
        <w:rPr>
          <w:rFonts w:ascii="Arial" w:hAnsi="Arial" w:cs="Arial"/>
          <w:iCs/>
          <w:lang w:val="en-GB"/>
        </w:rPr>
        <w:t xml:space="preserve"> </w:t>
      </w:r>
      <w:r w:rsidR="00164F3E">
        <w:rPr>
          <w:rFonts w:ascii="Arial" w:hAnsi="Arial" w:cs="Arial"/>
          <w:iCs/>
          <w:lang w:val="en-GB"/>
        </w:rPr>
        <w:t xml:space="preserve">EIR recast and therefore it is not recommended in the case of the </w:t>
      </w:r>
      <w:proofErr w:type="spellStart"/>
      <w:r w:rsidR="00164F3E">
        <w:rPr>
          <w:rFonts w:ascii="Arial" w:hAnsi="Arial" w:cs="Arial"/>
          <w:iCs/>
          <w:lang w:val="en-GB"/>
        </w:rPr>
        <w:t>Efwon</w:t>
      </w:r>
      <w:proofErr w:type="spellEnd"/>
      <w:r w:rsidR="00164F3E">
        <w:rPr>
          <w:rFonts w:ascii="Arial" w:hAnsi="Arial" w:cs="Arial"/>
          <w:iCs/>
          <w:lang w:val="en-GB"/>
        </w:rPr>
        <w:t xml:space="preserve"> Group restructuring.</w:t>
      </w:r>
      <w:r w:rsidR="009324B2">
        <w:rPr>
          <w:rFonts w:ascii="Arial" w:hAnsi="Arial" w:cs="Arial"/>
          <w:iCs/>
          <w:lang w:val="en-GB"/>
        </w:rPr>
        <w:t xml:space="preserve"> Therefore, we recommend that all three WHOA restructurings are conducted </w:t>
      </w:r>
      <w:r w:rsidR="00646402">
        <w:rPr>
          <w:rFonts w:ascii="Arial" w:hAnsi="Arial" w:cs="Arial"/>
          <w:iCs/>
          <w:lang w:val="en-GB"/>
        </w:rPr>
        <w:t>as public track restructurings.</w:t>
      </w:r>
    </w:p>
    <w:p w14:paraId="52A28CF2" w14:textId="70992661" w:rsidR="00DB1EBC" w:rsidRDefault="00B936A6" w:rsidP="0015736C">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The Amsterdam District Court</w:t>
      </w:r>
      <w:r w:rsidR="00147C8B">
        <w:rPr>
          <w:rFonts w:ascii="Arial" w:hAnsi="Arial" w:cs="Arial"/>
          <w:iCs/>
          <w:lang w:val="en-GB"/>
        </w:rPr>
        <w:t xml:space="preserve">, when determining whether it has jurisdiction over the three WHOA plan proceedings for </w:t>
      </w:r>
      <w:proofErr w:type="spellStart"/>
      <w:r w:rsidR="00147C8B">
        <w:rPr>
          <w:rFonts w:ascii="Arial" w:hAnsi="Arial" w:cs="Arial"/>
          <w:iCs/>
          <w:lang w:val="en-GB"/>
        </w:rPr>
        <w:t>Efwon</w:t>
      </w:r>
      <w:proofErr w:type="spellEnd"/>
      <w:r w:rsidR="00147C8B">
        <w:rPr>
          <w:rFonts w:ascii="Arial" w:hAnsi="Arial" w:cs="Arial"/>
          <w:iCs/>
          <w:lang w:val="en-GB"/>
        </w:rPr>
        <w:t xml:space="preserve"> </w:t>
      </w:r>
      <w:r w:rsidR="003343B3">
        <w:rPr>
          <w:rFonts w:ascii="Arial" w:hAnsi="Arial" w:cs="Arial"/>
          <w:iCs/>
          <w:lang w:val="en-GB"/>
        </w:rPr>
        <w:t xml:space="preserve">Trading, </w:t>
      </w:r>
      <w:proofErr w:type="spellStart"/>
      <w:r w:rsidR="003343B3">
        <w:rPr>
          <w:rFonts w:ascii="Arial" w:hAnsi="Arial" w:cs="Arial"/>
          <w:iCs/>
          <w:lang w:val="en-GB"/>
        </w:rPr>
        <w:t>Efwon</w:t>
      </w:r>
      <w:proofErr w:type="spellEnd"/>
      <w:r w:rsidR="003343B3">
        <w:rPr>
          <w:rFonts w:ascii="Arial" w:hAnsi="Arial" w:cs="Arial"/>
          <w:iCs/>
          <w:lang w:val="en-GB"/>
        </w:rPr>
        <w:t xml:space="preserve"> Investments and </w:t>
      </w:r>
      <w:proofErr w:type="spellStart"/>
      <w:r w:rsidR="003343B3">
        <w:rPr>
          <w:rFonts w:ascii="Arial" w:hAnsi="Arial" w:cs="Arial"/>
          <w:iCs/>
          <w:lang w:val="en-GB"/>
        </w:rPr>
        <w:t>Efwon</w:t>
      </w:r>
      <w:proofErr w:type="spellEnd"/>
      <w:r w:rsidR="003343B3">
        <w:rPr>
          <w:rFonts w:ascii="Arial" w:hAnsi="Arial" w:cs="Arial"/>
          <w:iCs/>
          <w:lang w:val="en-GB"/>
        </w:rPr>
        <w:t xml:space="preserve"> Romania</w:t>
      </w:r>
      <w:r w:rsidR="00147C8B">
        <w:rPr>
          <w:rFonts w:ascii="Arial" w:hAnsi="Arial" w:cs="Arial"/>
          <w:iCs/>
          <w:lang w:val="en-GB"/>
        </w:rPr>
        <w:t xml:space="preserve">, </w:t>
      </w:r>
      <w:r w:rsidR="00120847">
        <w:rPr>
          <w:rFonts w:ascii="Arial" w:hAnsi="Arial" w:cs="Arial"/>
          <w:iCs/>
          <w:lang w:val="en-GB"/>
        </w:rPr>
        <w:t>“</w:t>
      </w:r>
      <w:r w:rsidR="00120847" w:rsidRPr="00120847">
        <w:rPr>
          <w:rFonts w:ascii="Arial" w:hAnsi="Arial" w:cs="Arial"/>
          <w:iCs/>
          <w:lang w:val="en-GB"/>
        </w:rPr>
        <w:t>shall of its own motion</w:t>
      </w:r>
      <w:r w:rsidR="00C47136">
        <w:rPr>
          <w:rFonts w:ascii="Arial" w:hAnsi="Arial" w:cs="Arial"/>
          <w:iCs/>
          <w:lang w:val="en-GB"/>
        </w:rPr>
        <w:t>”</w:t>
      </w:r>
      <w:r w:rsidR="00120847" w:rsidRPr="00120847">
        <w:rPr>
          <w:rFonts w:ascii="Arial" w:hAnsi="Arial" w:cs="Arial"/>
          <w:iCs/>
          <w:lang w:val="en-GB"/>
        </w:rPr>
        <w:t xml:space="preserve"> examine whether it has jurisdiction pursuant to Article 3</w:t>
      </w:r>
      <w:r w:rsidR="00D57A7F">
        <w:rPr>
          <w:rFonts w:ascii="Arial" w:hAnsi="Arial" w:cs="Arial"/>
          <w:iCs/>
          <w:lang w:val="en-GB"/>
        </w:rPr>
        <w:t xml:space="preserve"> of the EIR, which will qualify all three as main proceedings for each </w:t>
      </w:r>
      <w:r w:rsidR="00DB1EBC">
        <w:rPr>
          <w:rFonts w:ascii="Arial" w:hAnsi="Arial" w:cs="Arial"/>
          <w:iCs/>
          <w:lang w:val="en-GB"/>
        </w:rPr>
        <w:t>member under the EIR.</w:t>
      </w:r>
      <w:r w:rsidR="00DB1EBC">
        <w:rPr>
          <w:rStyle w:val="FootnoteReference"/>
          <w:rFonts w:ascii="Arial" w:hAnsi="Arial" w:cs="Arial"/>
          <w:iCs/>
          <w:lang w:val="en-GB"/>
        </w:rPr>
        <w:footnoteReference w:id="4"/>
      </w:r>
      <w:r w:rsidR="00C47136">
        <w:rPr>
          <w:rFonts w:ascii="Arial" w:hAnsi="Arial" w:cs="Arial"/>
          <w:iCs/>
          <w:lang w:val="en-GB"/>
        </w:rPr>
        <w:t xml:space="preserve"> </w:t>
      </w:r>
      <w:r w:rsidR="00120847" w:rsidRPr="00120847">
        <w:rPr>
          <w:rFonts w:ascii="Arial" w:hAnsi="Arial" w:cs="Arial"/>
          <w:iCs/>
          <w:lang w:val="en-GB"/>
        </w:rPr>
        <w:t xml:space="preserve"> </w:t>
      </w:r>
    </w:p>
    <w:p w14:paraId="610F7FEC" w14:textId="7A48ABA6" w:rsidR="00B85177" w:rsidRDefault="00B85177" w:rsidP="0015736C">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As soon as the WHOA proceedings commence</w:t>
      </w:r>
      <w:r w:rsidR="007F0528">
        <w:rPr>
          <w:rFonts w:ascii="Arial" w:hAnsi="Arial" w:cs="Arial"/>
          <w:iCs/>
          <w:lang w:val="en-GB"/>
        </w:rPr>
        <w:t xml:space="preserve"> as “main proceedings” covered by the EIR</w:t>
      </w:r>
      <w:r>
        <w:rPr>
          <w:rFonts w:ascii="Arial" w:hAnsi="Arial" w:cs="Arial"/>
          <w:iCs/>
          <w:lang w:val="en-GB"/>
        </w:rPr>
        <w:t xml:space="preserve">, </w:t>
      </w:r>
      <w:r w:rsidR="00B936A6">
        <w:rPr>
          <w:rFonts w:ascii="Arial" w:hAnsi="Arial" w:cs="Arial"/>
          <w:iCs/>
          <w:lang w:val="en-GB"/>
        </w:rPr>
        <w:t xml:space="preserve">the </w:t>
      </w:r>
      <w:r w:rsidR="007F0528">
        <w:rPr>
          <w:rFonts w:ascii="Arial" w:hAnsi="Arial" w:cs="Arial"/>
          <w:iCs/>
          <w:lang w:val="en-GB"/>
        </w:rPr>
        <w:t>Ins</w:t>
      </w:r>
      <w:r w:rsidR="00EF78E5">
        <w:rPr>
          <w:rFonts w:ascii="Arial" w:hAnsi="Arial" w:cs="Arial"/>
          <w:iCs/>
          <w:lang w:val="en-GB"/>
        </w:rPr>
        <w:t xml:space="preserve">olvency Practitioner should be appointed and request the Romania court to convert the pending insolvency </w:t>
      </w:r>
      <w:r w:rsidR="00DB745A">
        <w:rPr>
          <w:rFonts w:ascii="Arial" w:hAnsi="Arial" w:cs="Arial"/>
          <w:iCs/>
          <w:lang w:val="en-GB"/>
        </w:rPr>
        <w:t xml:space="preserve">order filed by the Romanian drivers there into a secondary insolvency proceeding against </w:t>
      </w:r>
      <w:proofErr w:type="spellStart"/>
      <w:r w:rsidR="00DB745A">
        <w:rPr>
          <w:rFonts w:ascii="Arial" w:hAnsi="Arial" w:cs="Arial"/>
          <w:iCs/>
          <w:lang w:val="en-GB"/>
        </w:rPr>
        <w:t>Efwon</w:t>
      </w:r>
      <w:proofErr w:type="spellEnd"/>
      <w:r w:rsidR="00DB745A">
        <w:rPr>
          <w:rFonts w:ascii="Arial" w:hAnsi="Arial" w:cs="Arial"/>
          <w:iCs/>
          <w:lang w:val="en-GB"/>
        </w:rPr>
        <w:t xml:space="preserve"> Romania</w:t>
      </w:r>
      <w:r w:rsidR="00346013">
        <w:rPr>
          <w:rFonts w:ascii="Arial" w:hAnsi="Arial" w:cs="Arial"/>
          <w:iCs/>
          <w:lang w:val="en-GB"/>
        </w:rPr>
        <w:t>.</w:t>
      </w:r>
      <w:r w:rsidR="00346013">
        <w:rPr>
          <w:rStyle w:val="FootnoteReference"/>
          <w:rFonts w:ascii="Arial" w:hAnsi="Arial" w:cs="Arial"/>
          <w:iCs/>
          <w:lang w:val="en-GB"/>
        </w:rPr>
        <w:footnoteReference w:id="5"/>
      </w:r>
      <w:r w:rsidR="00DB745A">
        <w:rPr>
          <w:rFonts w:ascii="Arial" w:hAnsi="Arial" w:cs="Arial"/>
          <w:iCs/>
          <w:lang w:val="en-GB"/>
        </w:rPr>
        <w:t xml:space="preserve"> </w:t>
      </w:r>
      <w:r w:rsidR="000E3679">
        <w:rPr>
          <w:rFonts w:ascii="Arial" w:hAnsi="Arial" w:cs="Arial"/>
          <w:iCs/>
          <w:lang w:val="en-GB"/>
        </w:rPr>
        <w:t xml:space="preserve">Based on the facts presented to us, </w:t>
      </w:r>
      <w:r w:rsidR="00924314">
        <w:rPr>
          <w:rFonts w:ascii="Arial" w:hAnsi="Arial" w:cs="Arial"/>
          <w:iCs/>
          <w:lang w:val="en-GB"/>
        </w:rPr>
        <w:t xml:space="preserve">the proceedings pending before the Romania bankruptcy court are </w:t>
      </w:r>
      <w:r w:rsidR="003B1AA1">
        <w:rPr>
          <w:rFonts w:ascii="Arial" w:hAnsi="Arial" w:cs="Arial"/>
          <w:iCs/>
          <w:lang w:val="en-GB"/>
        </w:rPr>
        <w:t xml:space="preserve">of an “interim measure” nature and no insolvency order has been made by that court against </w:t>
      </w:r>
      <w:proofErr w:type="spellStart"/>
      <w:r w:rsidR="003B1AA1">
        <w:rPr>
          <w:rFonts w:ascii="Arial" w:hAnsi="Arial" w:cs="Arial"/>
          <w:iCs/>
          <w:lang w:val="en-GB"/>
        </w:rPr>
        <w:t>Efwon</w:t>
      </w:r>
      <w:proofErr w:type="spellEnd"/>
      <w:r w:rsidR="003B1AA1">
        <w:rPr>
          <w:rFonts w:ascii="Arial" w:hAnsi="Arial" w:cs="Arial"/>
          <w:iCs/>
          <w:lang w:val="en-GB"/>
        </w:rPr>
        <w:t xml:space="preserve"> Romania</w:t>
      </w:r>
      <w:r w:rsidR="00433953">
        <w:rPr>
          <w:rFonts w:ascii="Arial" w:hAnsi="Arial" w:cs="Arial"/>
          <w:iCs/>
          <w:lang w:val="en-GB"/>
        </w:rPr>
        <w:t xml:space="preserve"> (the drivers in the Romania proceedings have obtain </w:t>
      </w:r>
      <w:r w:rsidR="00D039CF">
        <w:rPr>
          <w:rFonts w:ascii="Arial" w:hAnsi="Arial" w:cs="Arial"/>
          <w:iCs/>
          <w:lang w:val="en-GB"/>
        </w:rPr>
        <w:t xml:space="preserve">“freezing injunctions over the company’s assets and income”, “pending an order being made”. </w:t>
      </w:r>
      <w:r w:rsidR="0007439F">
        <w:rPr>
          <w:rFonts w:ascii="Arial" w:hAnsi="Arial" w:cs="Arial"/>
          <w:iCs/>
          <w:lang w:val="en-GB"/>
        </w:rPr>
        <w:t xml:space="preserve">After the Romania bankruptcy court </w:t>
      </w:r>
      <w:r w:rsidR="00976AAC">
        <w:rPr>
          <w:rFonts w:ascii="Arial" w:hAnsi="Arial" w:cs="Arial"/>
          <w:iCs/>
          <w:lang w:val="en-GB"/>
        </w:rPr>
        <w:t xml:space="preserve">opens secondary insolvency proceedings, a moratorium against the individual enforcement actions files by the drivers </w:t>
      </w:r>
      <w:r w:rsidR="00E827EB">
        <w:rPr>
          <w:rFonts w:ascii="Arial" w:hAnsi="Arial" w:cs="Arial"/>
          <w:iCs/>
          <w:lang w:val="en-GB"/>
        </w:rPr>
        <w:t>for compensation should be stayed</w:t>
      </w:r>
      <w:r w:rsidR="00BB5A4D">
        <w:rPr>
          <w:rFonts w:ascii="Arial" w:hAnsi="Arial" w:cs="Arial"/>
          <w:iCs/>
          <w:lang w:val="en-GB"/>
        </w:rPr>
        <w:t>, at the request of the WHOA Insolvency Practitioner</w:t>
      </w:r>
      <w:r w:rsidR="00122062">
        <w:rPr>
          <w:rFonts w:ascii="Arial" w:hAnsi="Arial" w:cs="Arial"/>
          <w:iCs/>
          <w:lang w:val="en-GB"/>
        </w:rPr>
        <w:t xml:space="preserve">, pursuant to his/her powers under Article </w:t>
      </w:r>
      <w:r w:rsidR="00C70438">
        <w:rPr>
          <w:rFonts w:ascii="Arial" w:hAnsi="Arial" w:cs="Arial"/>
          <w:iCs/>
          <w:lang w:val="en-GB"/>
        </w:rPr>
        <w:t>21(2) EIR</w:t>
      </w:r>
      <w:r w:rsidR="00BB5A4D">
        <w:rPr>
          <w:rFonts w:ascii="Arial" w:hAnsi="Arial" w:cs="Arial"/>
          <w:iCs/>
          <w:lang w:val="en-GB"/>
        </w:rPr>
        <w:t xml:space="preserve">. </w:t>
      </w:r>
    </w:p>
    <w:p w14:paraId="614F0AA8" w14:textId="1DBAB71D" w:rsidR="00D846B5" w:rsidRDefault="00D846B5" w:rsidP="0015736C">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 xml:space="preserve">As soon as the Insolvency Practitioner is appointed, he/she should </w:t>
      </w:r>
      <w:r w:rsidR="005A33AB">
        <w:rPr>
          <w:rFonts w:ascii="Arial" w:hAnsi="Arial" w:cs="Arial"/>
          <w:iCs/>
          <w:lang w:val="en-GB"/>
        </w:rPr>
        <w:t xml:space="preserve">request the opening of </w:t>
      </w:r>
      <w:r w:rsidR="00715667">
        <w:rPr>
          <w:rFonts w:ascii="Arial" w:hAnsi="Arial" w:cs="Arial"/>
          <w:iCs/>
          <w:lang w:val="en-GB"/>
        </w:rPr>
        <w:t xml:space="preserve">a foreign nonmain proceedings against </w:t>
      </w:r>
      <w:proofErr w:type="spellStart"/>
      <w:r w:rsidR="00715667">
        <w:rPr>
          <w:rFonts w:ascii="Arial" w:hAnsi="Arial" w:cs="Arial"/>
          <w:iCs/>
          <w:lang w:val="en-GB"/>
        </w:rPr>
        <w:t>Efwon</w:t>
      </w:r>
      <w:proofErr w:type="spellEnd"/>
      <w:r w:rsidR="00715667">
        <w:rPr>
          <w:rFonts w:ascii="Arial" w:hAnsi="Arial" w:cs="Arial"/>
          <w:iCs/>
          <w:lang w:val="en-GB"/>
        </w:rPr>
        <w:t xml:space="preserve"> Investments with the Texas </w:t>
      </w:r>
      <w:r w:rsidR="00B424EC">
        <w:rPr>
          <w:rFonts w:ascii="Arial" w:hAnsi="Arial" w:cs="Arial"/>
          <w:iCs/>
          <w:lang w:val="en-GB"/>
        </w:rPr>
        <w:t xml:space="preserve">Bankruptcy Court </w:t>
      </w:r>
      <w:r w:rsidR="00715667">
        <w:rPr>
          <w:rFonts w:ascii="Arial" w:hAnsi="Arial" w:cs="Arial"/>
          <w:iCs/>
          <w:lang w:val="en-GB"/>
        </w:rPr>
        <w:t>under Chapter 15 of the U.S. Bankruptcy Code</w:t>
      </w:r>
      <w:r w:rsidR="005A33AB">
        <w:rPr>
          <w:rFonts w:ascii="Arial" w:hAnsi="Arial" w:cs="Arial"/>
          <w:iCs/>
          <w:lang w:val="en-GB"/>
        </w:rPr>
        <w:t xml:space="preserve"> </w:t>
      </w:r>
      <w:r w:rsidR="00EB149E">
        <w:rPr>
          <w:rFonts w:ascii="Arial" w:hAnsi="Arial" w:cs="Arial"/>
          <w:iCs/>
          <w:lang w:val="en-GB"/>
        </w:rPr>
        <w:t xml:space="preserve">which will trigger a moratorium on enforcement actions against </w:t>
      </w:r>
      <w:proofErr w:type="spellStart"/>
      <w:r w:rsidR="00EB149E">
        <w:rPr>
          <w:rFonts w:ascii="Arial" w:hAnsi="Arial" w:cs="Arial"/>
          <w:iCs/>
          <w:lang w:val="en-GB"/>
        </w:rPr>
        <w:t>Efwon</w:t>
      </w:r>
      <w:proofErr w:type="spellEnd"/>
      <w:r w:rsidR="00EB149E">
        <w:rPr>
          <w:rFonts w:ascii="Arial" w:hAnsi="Arial" w:cs="Arial"/>
          <w:iCs/>
          <w:lang w:val="en-GB"/>
        </w:rPr>
        <w:t xml:space="preserve"> Investments.</w:t>
      </w:r>
    </w:p>
    <w:p w14:paraId="771733AF" w14:textId="2356821B" w:rsidR="003E703E" w:rsidRDefault="00FD5316" w:rsidP="0015736C">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The</w:t>
      </w:r>
      <w:r w:rsidR="006E1994">
        <w:rPr>
          <w:rFonts w:ascii="Arial" w:hAnsi="Arial" w:cs="Arial"/>
          <w:iCs/>
          <w:lang w:val="en-GB"/>
        </w:rPr>
        <w:t xml:space="preserve"> </w:t>
      </w:r>
      <w:proofErr w:type="spellStart"/>
      <w:r w:rsidR="006E1994">
        <w:rPr>
          <w:rFonts w:ascii="Arial" w:hAnsi="Arial" w:cs="Arial"/>
          <w:iCs/>
          <w:lang w:val="en-GB"/>
        </w:rPr>
        <w:t>Efwon</w:t>
      </w:r>
      <w:proofErr w:type="spellEnd"/>
      <w:r w:rsidR="006E1994">
        <w:rPr>
          <w:rFonts w:ascii="Arial" w:hAnsi="Arial" w:cs="Arial"/>
          <w:iCs/>
          <w:lang w:val="en-GB"/>
        </w:rPr>
        <w:t xml:space="preserve"> restructuring </w:t>
      </w:r>
      <w:r>
        <w:rPr>
          <w:rFonts w:ascii="Arial" w:hAnsi="Arial" w:cs="Arial"/>
          <w:iCs/>
          <w:lang w:val="en-GB"/>
        </w:rPr>
        <w:t xml:space="preserve">may be achieved without a separate WHOA proceeding for </w:t>
      </w:r>
      <w:proofErr w:type="spellStart"/>
      <w:r>
        <w:rPr>
          <w:rFonts w:ascii="Arial" w:hAnsi="Arial" w:cs="Arial"/>
          <w:iCs/>
          <w:lang w:val="en-GB"/>
        </w:rPr>
        <w:t>Efwon</w:t>
      </w:r>
      <w:proofErr w:type="spellEnd"/>
      <w:r>
        <w:rPr>
          <w:rFonts w:ascii="Arial" w:hAnsi="Arial" w:cs="Arial"/>
          <w:iCs/>
          <w:lang w:val="en-GB"/>
        </w:rPr>
        <w:t xml:space="preserve"> Singapore since it may be </w:t>
      </w:r>
      <w:r w:rsidR="00680B80">
        <w:rPr>
          <w:rFonts w:ascii="Arial" w:hAnsi="Arial" w:cs="Arial"/>
          <w:iCs/>
          <w:lang w:val="en-GB"/>
        </w:rPr>
        <w:t xml:space="preserve">released of its group-related debt guarantee within the </w:t>
      </w:r>
      <w:proofErr w:type="spellStart"/>
      <w:r w:rsidR="00680B80">
        <w:rPr>
          <w:rFonts w:ascii="Arial" w:hAnsi="Arial" w:cs="Arial"/>
          <w:iCs/>
          <w:lang w:val="en-GB"/>
        </w:rPr>
        <w:t>Efwon</w:t>
      </w:r>
      <w:proofErr w:type="spellEnd"/>
      <w:r w:rsidR="00680B80">
        <w:rPr>
          <w:rFonts w:ascii="Arial" w:hAnsi="Arial" w:cs="Arial"/>
          <w:iCs/>
          <w:lang w:val="en-GB"/>
        </w:rPr>
        <w:t xml:space="preserve"> Trading </w:t>
      </w:r>
      <w:r w:rsidR="00657AE0">
        <w:rPr>
          <w:rFonts w:ascii="Arial" w:hAnsi="Arial" w:cs="Arial"/>
          <w:iCs/>
          <w:lang w:val="en-GB"/>
        </w:rPr>
        <w:t xml:space="preserve">WHOA plan proceeding. </w:t>
      </w:r>
      <w:r w:rsidR="00971A1A" w:rsidRPr="00971A1A">
        <w:rPr>
          <w:rFonts w:ascii="Arial" w:hAnsi="Arial" w:cs="Arial"/>
          <w:iCs/>
          <w:lang w:val="en-GB"/>
        </w:rPr>
        <w:t xml:space="preserve">In a WHOA enterprise group restructuring, there is a possibility for the release of affiliate-guaranteed debt obligations. </w:t>
      </w:r>
      <w:r w:rsidR="00672DE7">
        <w:rPr>
          <w:rFonts w:ascii="Arial" w:hAnsi="Arial" w:cs="Arial"/>
          <w:iCs/>
          <w:lang w:val="en-GB"/>
        </w:rPr>
        <w:t>Thus</w:t>
      </w:r>
      <w:r w:rsidR="00971A1A" w:rsidRPr="00971A1A">
        <w:rPr>
          <w:rFonts w:ascii="Arial" w:hAnsi="Arial" w:cs="Arial"/>
          <w:iCs/>
          <w:lang w:val="en-GB"/>
        </w:rPr>
        <w:t xml:space="preserve">, </w:t>
      </w:r>
      <w:r w:rsidR="00672DE7">
        <w:rPr>
          <w:rFonts w:ascii="Arial" w:hAnsi="Arial" w:cs="Arial"/>
          <w:iCs/>
          <w:lang w:val="en-GB"/>
        </w:rPr>
        <w:t>since the Monaco loan</w:t>
      </w:r>
      <w:r w:rsidR="00505EBD">
        <w:rPr>
          <w:rFonts w:ascii="Arial" w:hAnsi="Arial" w:cs="Arial"/>
          <w:iCs/>
          <w:lang w:val="en-GB"/>
        </w:rPr>
        <w:t xml:space="preserve"> is incurred by </w:t>
      </w:r>
      <w:proofErr w:type="spellStart"/>
      <w:r w:rsidR="00505EBD">
        <w:rPr>
          <w:rFonts w:ascii="Arial" w:hAnsi="Arial" w:cs="Arial"/>
          <w:iCs/>
          <w:lang w:val="en-GB"/>
        </w:rPr>
        <w:t>Efwon</w:t>
      </w:r>
      <w:proofErr w:type="spellEnd"/>
      <w:r w:rsidR="00505EBD">
        <w:rPr>
          <w:rFonts w:ascii="Arial" w:hAnsi="Arial" w:cs="Arial"/>
          <w:iCs/>
          <w:lang w:val="en-GB"/>
        </w:rPr>
        <w:t xml:space="preserve"> Trading but is also </w:t>
      </w:r>
      <w:r w:rsidR="00971A1A" w:rsidRPr="00971A1A">
        <w:rPr>
          <w:rFonts w:ascii="Arial" w:hAnsi="Arial" w:cs="Arial"/>
          <w:iCs/>
          <w:lang w:val="en-GB"/>
        </w:rPr>
        <w:t xml:space="preserve">guaranteed by </w:t>
      </w:r>
      <w:proofErr w:type="spellStart"/>
      <w:r w:rsidR="00505EBD">
        <w:rPr>
          <w:rFonts w:ascii="Arial" w:hAnsi="Arial" w:cs="Arial"/>
          <w:iCs/>
          <w:lang w:val="en-GB"/>
        </w:rPr>
        <w:t>Efwon</w:t>
      </w:r>
      <w:proofErr w:type="spellEnd"/>
      <w:r w:rsidR="00505EBD">
        <w:rPr>
          <w:rFonts w:ascii="Arial" w:hAnsi="Arial" w:cs="Arial"/>
          <w:iCs/>
          <w:lang w:val="en-GB"/>
        </w:rPr>
        <w:t xml:space="preserve"> Romania and </w:t>
      </w:r>
      <w:proofErr w:type="spellStart"/>
      <w:r w:rsidR="00505EBD">
        <w:rPr>
          <w:rFonts w:ascii="Arial" w:hAnsi="Arial" w:cs="Arial"/>
          <w:iCs/>
          <w:lang w:val="en-GB"/>
        </w:rPr>
        <w:t>Efwon</w:t>
      </w:r>
      <w:proofErr w:type="spellEnd"/>
      <w:r w:rsidR="00505EBD">
        <w:rPr>
          <w:rFonts w:ascii="Arial" w:hAnsi="Arial" w:cs="Arial"/>
          <w:iCs/>
          <w:lang w:val="en-GB"/>
        </w:rPr>
        <w:t xml:space="preserve"> Singapore</w:t>
      </w:r>
      <w:r w:rsidR="00971A1A" w:rsidRPr="00971A1A">
        <w:rPr>
          <w:rFonts w:ascii="Arial" w:hAnsi="Arial" w:cs="Arial"/>
          <w:iCs/>
          <w:lang w:val="en-GB"/>
        </w:rPr>
        <w:t xml:space="preserve">, a group restructuring </w:t>
      </w:r>
      <w:r w:rsidR="00971A1A" w:rsidRPr="00971A1A">
        <w:rPr>
          <w:rFonts w:ascii="Arial" w:hAnsi="Arial" w:cs="Arial"/>
          <w:iCs/>
          <w:lang w:val="en-GB"/>
        </w:rPr>
        <w:lastRenderedPageBreak/>
        <w:t>requires that the debt adjustments made with respect to one member be effective as to all co-obligors.</w:t>
      </w:r>
      <w:r w:rsidR="00E13E02">
        <w:rPr>
          <w:rStyle w:val="FootnoteReference"/>
          <w:rFonts w:ascii="Arial" w:hAnsi="Arial" w:cs="Arial"/>
          <w:iCs/>
          <w:lang w:val="en-GB"/>
        </w:rPr>
        <w:footnoteReference w:id="6"/>
      </w:r>
      <w:r>
        <w:rPr>
          <w:rFonts w:ascii="Arial" w:hAnsi="Arial" w:cs="Arial"/>
          <w:iCs/>
          <w:lang w:val="en-GB"/>
        </w:rPr>
        <w:t xml:space="preserve"> </w:t>
      </w:r>
      <w:r w:rsidR="006E1994">
        <w:rPr>
          <w:rFonts w:ascii="Arial" w:hAnsi="Arial" w:cs="Arial"/>
          <w:iCs/>
          <w:lang w:val="en-GB"/>
        </w:rPr>
        <w:t xml:space="preserve"> </w:t>
      </w:r>
      <w:r w:rsidR="00576A42">
        <w:rPr>
          <w:rFonts w:ascii="Arial" w:hAnsi="Arial" w:cs="Arial"/>
          <w:iCs/>
          <w:lang w:val="en-GB"/>
        </w:rPr>
        <w:t xml:space="preserve"> </w:t>
      </w:r>
    </w:p>
    <w:p w14:paraId="463D335F" w14:textId="39F00C06" w:rsidR="00790CBC" w:rsidRPr="003D1640" w:rsidRDefault="00790CBC" w:rsidP="0015736C">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 xml:space="preserve">After </w:t>
      </w:r>
      <w:proofErr w:type="gramStart"/>
      <w:r>
        <w:rPr>
          <w:rFonts w:ascii="Arial" w:hAnsi="Arial" w:cs="Arial"/>
          <w:iCs/>
          <w:lang w:val="en-GB"/>
        </w:rPr>
        <w:t>all</w:t>
      </w:r>
      <w:proofErr w:type="gramEnd"/>
      <w:r>
        <w:rPr>
          <w:rFonts w:ascii="Arial" w:hAnsi="Arial" w:cs="Arial"/>
          <w:iCs/>
          <w:lang w:val="en-GB"/>
        </w:rPr>
        <w:t xml:space="preserve"> three WHOA Plans are confirmed </w:t>
      </w:r>
      <w:r w:rsidR="00F64C06">
        <w:rPr>
          <w:rFonts w:ascii="Arial" w:hAnsi="Arial" w:cs="Arial"/>
          <w:iCs/>
          <w:lang w:val="en-GB"/>
        </w:rPr>
        <w:t xml:space="preserve">by the court, recognition should be sought in the U.S. and Singapore under </w:t>
      </w:r>
      <w:r w:rsidR="00911D27">
        <w:rPr>
          <w:rFonts w:ascii="Arial" w:hAnsi="Arial" w:cs="Arial"/>
          <w:iCs/>
          <w:lang w:val="en-GB"/>
        </w:rPr>
        <w:t xml:space="preserve">Chapter 15 of the U.S. </w:t>
      </w:r>
      <w:r w:rsidR="00387922">
        <w:rPr>
          <w:rFonts w:ascii="Arial" w:hAnsi="Arial" w:cs="Arial"/>
          <w:iCs/>
          <w:lang w:val="en-GB"/>
        </w:rPr>
        <w:t>Bankruptcy</w:t>
      </w:r>
      <w:r w:rsidR="00911D27">
        <w:rPr>
          <w:rFonts w:ascii="Arial" w:hAnsi="Arial" w:cs="Arial"/>
          <w:iCs/>
          <w:lang w:val="en-GB"/>
        </w:rPr>
        <w:t xml:space="preserve"> </w:t>
      </w:r>
      <w:r w:rsidR="00387922">
        <w:rPr>
          <w:rFonts w:ascii="Arial" w:hAnsi="Arial" w:cs="Arial"/>
          <w:iCs/>
          <w:lang w:val="en-GB"/>
        </w:rPr>
        <w:t xml:space="preserve">Code and the Singapore Model Law, respectively; recognition in Romania </w:t>
      </w:r>
      <w:r w:rsidR="00B62BFF">
        <w:rPr>
          <w:rFonts w:ascii="Arial" w:hAnsi="Arial" w:cs="Arial"/>
          <w:iCs/>
          <w:lang w:val="en-GB"/>
        </w:rPr>
        <w:t>will be under the EIR.</w:t>
      </w:r>
    </w:p>
    <w:p w14:paraId="60A853CC" w14:textId="350026B0" w:rsidR="003D1640" w:rsidRPr="003D1640" w:rsidRDefault="003D1640" w:rsidP="0015736C">
      <w:pPr>
        <w:pStyle w:val="ListParagraph"/>
        <w:spacing w:before="240" w:after="120" w:line="360" w:lineRule="exact"/>
        <w:jc w:val="both"/>
        <w:rPr>
          <w:rFonts w:ascii="Arial" w:hAnsi="Arial" w:cs="Arial"/>
          <w:iCs/>
          <w:lang w:val="en-GB"/>
        </w:rPr>
      </w:pPr>
    </w:p>
    <w:p w14:paraId="3A1F8192" w14:textId="57773EDF" w:rsidR="005E355B" w:rsidRPr="00482670" w:rsidRDefault="005E355B" w:rsidP="00C82C0E">
      <w:pPr>
        <w:pStyle w:val="ListParagraph"/>
        <w:numPr>
          <w:ilvl w:val="0"/>
          <w:numId w:val="1"/>
        </w:numPr>
        <w:jc w:val="both"/>
        <w:rPr>
          <w:rFonts w:ascii="Arial" w:hAnsi="Arial" w:cs="Arial"/>
          <w:b/>
          <w:bCs/>
          <w:iCs/>
          <w:u w:val="single"/>
          <w:lang w:val="en-GB"/>
        </w:rPr>
      </w:pPr>
      <w:r w:rsidRPr="00482670">
        <w:rPr>
          <w:rFonts w:ascii="Arial" w:hAnsi="Arial" w:cs="Arial"/>
          <w:b/>
          <w:bCs/>
          <w:iCs/>
          <w:u w:val="single"/>
          <w:lang w:val="en-GB"/>
        </w:rPr>
        <w:t>Applicable International Instruments for Cross-Border Insolvency Matters</w:t>
      </w:r>
      <w:r w:rsidR="0088742D">
        <w:rPr>
          <w:rFonts w:ascii="Arial" w:hAnsi="Arial" w:cs="Arial"/>
          <w:b/>
          <w:bCs/>
          <w:iCs/>
          <w:u w:val="single"/>
          <w:lang w:val="en-GB"/>
        </w:rPr>
        <w:t xml:space="preserve"> in the </w:t>
      </w:r>
      <w:proofErr w:type="spellStart"/>
      <w:r w:rsidR="0088742D">
        <w:rPr>
          <w:rFonts w:ascii="Arial" w:hAnsi="Arial" w:cs="Arial"/>
          <w:b/>
          <w:bCs/>
          <w:iCs/>
          <w:u w:val="single"/>
          <w:lang w:val="en-GB"/>
        </w:rPr>
        <w:t>Efwon</w:t>
      </w:r>
      <w:proofErr w:type="spellEnd"/>
      <w:r w:rsidR="0088742D">
        <w:rPr>
          <w:rFonts w:ascii="Arial" w:hAnsi="Arial" w:cs="Arial"/>
          <w:b/>
          <w:bCs/>
          <w:iCs/>
          <w:u w:val="single"/>
          <w:lang w:val="en-GB"/>
        </w:rPr>
        <w:t xml:space="preserve"> Group Restructuring: </w:t>
      </w:r>
      <w:proofErr w:type="gramStart"/>
      <w:r w:rsidR="0088742D">
        <w:rPr>
          <w:rFonts w:ascii="Arial" w:hAnsi="Arial" w:cs="Arial"/>
          <w:b/>
          <w:bCs/>
          <w:iCs/>
          <w:u w:val="single"/>
          <w:lang w:val="en-GB"/>
        </w:rPr>
        <w:t>the</w:t>
      </w:r>
      <w:proofErr w:type="gramEnd"/>
      <w:r w:rsidR="0088742D">
        <w:rPr>
          <w:rFonts w:ascii="Arial" w:hAnsi="Arial" w:cs="Arial"/>
          <w:b/>
          <w:bCs/>
          <w:iCs/>
          <w:u w:val="single"/>
          <w:lang w:val="en-GB"/>
        </w:rPr>
        <w:t xml:space="preserve"> European </w:t>
      </w:r>
      <w:r w:rsidR="00A12EDA">
        <w:rPr>
          <w:rFonts w:ascii="Arial" w:hAnsi="Arial" w:cs="Arial"/>
          <w:b/>
          <w:bCs/>
          <w:iCs/>
          <w:u w:val="single"/>
          <w:lang w:val="en-GB"/>
        </w:rPr>
        <w:t>Insolvency Regulation</w:t>
      </w:r>
      <w:r w:rsidR="004230D0">
        <w:rPr>
          <w:rFonts w:ascii="Arial" w:hAnsi="Arial" w:cs="Arial"/>
          <w:b/>
          <w:bCs/>
          <w:iCs/>
          <w:u w:val="single"/>
          <w:lang w:val="en-GB"/>
        </w:rPr>
        <w:t xml:space="preserve"> and</w:t>
      </w:r>
      <w:r w:rsidR="00A12EDA">
        <w:rPr>
          <w:rFonts w:ascii="Arial" w:hAnsi="Arial" w:cs="Arial"/>
          <w:b/>
          <w:bCs/>
          <w:iCs/>
          <w:u w:val="single"/>
          <w:lang w:val="en-GB"/>
        </w:rPr>
        <w:t xml:space="preserve"> the UNCITRAL Model Law</w:t>
      </w:r>
    </w:p>
    <w:p w14:paraId="6C45579D" w14:textId="203A2498" w:rsidR="0032346A" w:rsidRDefault="0015736C" w:rsidP="00396B95">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In relation to the</w:t>
      </w:r>
      <w:r w:rsidR="00AE30FB">
        <w:rPr>
          <w:rFonts w:ascii="Arial" w:hAnsi="Arial" w:cs="Arial"/>
          <w:iCs/>
          <w:lang w:val="en-GB"/>
        </w:rPr>
        <w:t xml:space="preserve"> proposed legal strategy for the </w:t>
      </w:r>
      <w:proofErr w:type="spellStart"/>
      <w:r w:rsidR="00AE30FB">
        <w:rPr>
          <w:rFonts w:ascii="Arial" w:hAnsi="Arial" w:cs="Arial"/>
          <w:iCs/>
          <w:lang w:val="en-GB"/>
        </w:rPr>
        <w:t>Efwon</w:t>
      </w:r>
      <w:proofErr w:type="spellEnd"/>
      <w:r w:rsidR="00AE30FB">
        <w:rPr>
          <w:rFonts w:ascii="Arial" w:hAnsi="Arial" w:cs="Arial"/>
          <w:iCs/>
          <w:lang w:val="en-GB"/>
        </w:rPr>
        <w:t xml:space="preserve"> Group restructuring, </w:t>
      </w:r>
      <w:r w:rsidR="00F93955">
        <w:rPr>
          <w:rFonts w:ascii="Arial" w:hAnsi="Arial" w:cs="Arial"/>
          <w:iCs/>
          <w:lang w:val="en-GB"/>
        </w:rPr>
        <w:t>we will review the</w:t>
      </w:r>
      <w:r w:rsidR="00A76935">
        <w:rPr>
          <w:rFonts w:ascii="Arial" w:hAnsi="Arial" w:cs="Arial"/>
          <w:iCs/>
          <w:lang w:val="en-GB"/>
        </w:rPr>
        <w:t xml:space="preserve"> relevant provisions to the </w:t>
      </w:r>
      <w:proofErr w:type="spellStart"/>
      <w:r w:rsidR="00A76935">
        <w:rPr>
          <w:rFonts w:ascii="Arial" w:hAnsi="Arial" w:cs="Arial"/>
          <w:iCs/>
          <w:lang w:val="en-GB"/>
        </w:rPr>
        <w:t>Efwon</w:t>
      </w:r>
      <w:proofErr w:type="spellEnd"/>
      <w:r w:rsidR="00A76935">
        <w:rPr>
          <w:rFonts w:ascii="Arial" w:hAnsi="Arial" w:cs="Arial"/>
          <w:iCs/>
          <w:lang w:val="en-GB"/>
        </w:rPr>
        <w:t xml:space="preserve"> Group situation</w:t>
      </w:r>
      <w:r w:rsidR="00AA5479">
        <w:rPr>
          <w:rFonts w:ascii="Arial" w:hAnsi="Arial" w:cs="Arial"/>
          <w:iCs/>
          <w:lang w:val="en-GB"/>
        </w:rPr>
        <w:t xml:space="preserve"> of the</w:t>
      </w:r>
      <w:r w:rsidR="00F93955">
        <w:rPr>
          <w:rFonts w:ascii="Arial" w:hAnsi="Arial" w:cs="Arial"/>
          <w:iCs/>
          <w:lang w:val="en-GB"/>
        </w:rPr>
        <w:t xml:space="preserve"> applicable international </w:t>
      </w:r>
      <w:r w:rsidR="007514A4">
        <w:rPr>
          <w:rFonts w:ascii="Arial" w:hAnsi="Arial" w:cs="Arial"/>
          <w:iCs/>
          <w:lang w:val="en-GB"/>
        </w:rPr>
        <w:t>instruments</w:t>
      </w:r>
      <w:r w:rsidR="00AA5479">
        <w:rPr>
          <w:rFonts w:ascii="Arial" w:hAnsi="Arial" w:cs="Arial"/>
          <w:iCs/>
          <w:lang w:val="en-GB"/>
        </w:rPr>
        <w:t>,</w:t>
      </w:r>
      <w:r w:rsidR="007514A4">
        <w:rPr>
          <w:rFonts w:ascii="Arial" w:hAnsi="Arial" w:cs="Arial"/>
          <w:iCs/>
          <w:lang w:val="en-GB"/>
        </w:rPr>
        <w:t xml:space="preserve"> and related </w:t>
      </w:r>
      <w:r w:rsidR="00AC0E9E">
        <w:rPr>
          <w:rFonts w:ascii="Arial" w:hAnsi="Arial" w:cs="Arial"/>
          <w:iCs/>
          <w:lang w:val="en-GB"/>
        </w:rPr>
        <w:t>national laws with respect to cross-border insolvency situations</w:t>
      </w:r>
      <w:r w:rsidR="00AA5479">
        <w:rPr>
          <w:rFonts w:ascii="Arial" w:hAnsi="Arial" w:cs="Arial"/>
          <w:iCs/>
          <w:lang w:val="en-GB"/>
        </w:rPr>
        <w:t>.</w:t>
      </w:r>
      <w:r w:rsidR="0081232B">
        <w:rPr>
          <w:rFonts w:ascii="Arial" w:hAnsi="Arial" w:cs="Arial"/>
          <w:iCs/>
          <w:lang w:val="en-GB"/>
        </w:rPr>
        <w:t xml:space="preserve"> </w:t>
      </w:r>
      <w:r w:rsidR="00AA5479">
        <w:rPr>
          <w:rFonts w:ascii="Arial" w:hAnsi="Arial" w:cs="Arial"/>
          <w:iCs/>
          <w:lang w:val="en-GB"/>
        </w:rPr>
        <w:t xml:space="preserve">Then, we </w:t>
      </w:r>
      <w:r w:rsidR="002C037A">
        <w:rPr>
          <w:rFonts w:ascii="Arial" w:hAnsi="Arial" w:cs="Arial"/>
          <w:iCs/>
          <w:lang w:val="en-GB"/>
        </w:rPr>
        <w:t xml:space="preserve">will determine </w:t>
      </w:r>
      <w:r w:rsidR="00E14723">
        <w:rPr>
          <w:rFonts w:ascii="Arial" w:hAnsi="Arial" w:cs="Arial"/>
          <w:iCs/>
          <w:lang w:val="en-GB"/>
        </w:rPr>
        <w:t xml:space="preserve">the centre of main interest </w:t>
      </w:r>
      <w:r w:rsidR="00B7306A">
        <w:rPr>
          <w:rFonts w:ascii="Arial" w:hAnsi="Arial" w:cs="Arial"/>
          <w:iCs/>
          <w:lang w:val="en-GB"/>
        </w:rPr>
        <w:t xml:space="preserve">(COMI) for the Group members which will </w:t>
      </w:r>
      <w:r w:rsidR="00A6590E">
        <w:rPr>
          <w:rFonts w:ascii="Arial" w:hAnsi="Arial" w:cs="Arial"/>
          <w:iCs/>
          <w:lang w:val="en-GB"/>
        </w:rPr>
        <w:t xml:space="preserve">in turn </w:t>
      </w:r>
      <w:r w:rsidR="001071D6">
        <w:rPr>
          <w:rFonts w:ascii="Arial" w:hAnsi="Arial" w:cs="Arial"/>
          <w:iCs/>
          <w:lang w:val="en-GB"/>
        </w:rPr>
        <w:t>allow us</w:t>
      </w:r>
      <w:r w:rsidR="004F54A3">
        <w:rPr>
          <w:rFonts w:ascii="Arial" w:hAnsi="Arial" w:cs="Arial"/>
          <w:iCs/>
          <w:lang w:val="en-GB"/>
        </w:rPr>
        <w:t xml:space="preserve"> to achieve the </w:t>
      </w:r>
      <w:r w:rsidR="00920906">
        <w:rPr>
          <w:rFonts w:ascii="Arial" w:hAnsi="Arial" w:cs="Arial"/>
          <w:iCs/>
          <w:lang w:val="en-GB"/>
        </w:rPr>
        <w:t>Group Restructuring</w:t>
      </w:r>
      <w:r w:rsidR="001071D6">
        <w:rPr>
          <w:rFonts w:ascii="Arial" w:hAnsi="Arial" w:cs="Arial"/>
          <w:iCs/>
          <w:lang w:val="en-GB"/>
        </w:rPr>
        <w:t xml:space="preserve"> in the above proposed manner</w:t>
      </w:r>
      <w:r w:rsidR="00B40829">
        <w:rPr>
          <w:rFonts w:ascii="Arial" w:hAnsi="Arial" w:cs="Arial"/>
          <w:iCs/>
          <w:lang w:val="en-GB"/>
        </w:rPr>
        <w:t xml:space="preserve">. </w:t>
      </w:r>
    </w:p>
    <w:p w14:paraId="6393C946" w14:textId="0EA8C72C" w:rsidR="00AE30FB" w:rsidRPr="00DE4D9A" w:rsidRDefault="00C57392" w:rsidP="00AE30FB">
      <w:pPr>
        <w:spacing w:before="240" w:after="120" w:line="360" w:lineRule="exact"/>
        <w:ind w:left="360"/>
        <w:jc w:val="both"/>
        <w:rPr>
          <w:rFonts w:ascii="Arial" w:hAnsi="Arial" w:cs="Arial"/>
          <w:b/>
          <w:bCs/>
          <w:iCs/>
          <w:u w:val="single"/>
        </w:rPr>
      </w:pPr>
      <w:r w:rsidRPr="00DE4D9A">
        <w:rPr>
          <w:rFonts w:ascii="Arial" w:hAnsi="Arial" w:cs="Arial"/>
          <w:b/>
          <w:bCs/>
          <w:iCs/>
          <w:u w:val="single"/>
        </w:rPr>
        <w:t>The European Insolvency Regulation</w:t>
      </w:r>
      <w:r w:rsidR="00A81300" w:rsidRPr="00DE4D9A">
        <w:rPr>
          <w:rStyle w:val="FootnoteReference"/>
          <w:rFonts w:ascii="Arial" w:hAnsi="Arial" w:cs="Arial"/>
          <w:b/>
          <w:bCs/>
          <w:iCs/>
          <w:u w:val="single"/>
        </w:rPr>
        <w:footnoteReference w:id="7"/>
      </w:r>
      <w:r w:rsidRPr="00DE4D9A">
        <w:rPr>
          <w:rFonts w:ascii="Arial" w:hAnsi="Arial" w:cs="Arial"/>
          <w:b/>
          <w:bCs/>
          <w:iCs/>
          <w:u w:val="single"/>
        </w:rPr>
        <w:t xml:space="preserve"> </w:t>
      </w:r>
    </w:p>
    <w:p w14:paraId="3CD44ADE" w14:textId="385C068D" w:rsidR="008E6D36" w:rsidRDefault="007C089D" w:rsidP="007C089D">
      <w:pPr>
        <w:pStyle w:val="ListParagraph"/>
        <w:numPr>
          <w:ilvl w:val="0"/>
          <w:numId w:val="2"/>
        </w:numPr>
        <w:spacing w:before="240" w:after="120" w:line="360" w:lineRule="exact"/>
        <w:ind w:left="0" w:firstLine="360"/>
        <w:jc w:val="both"/>
        <w:rPr>
          <w:rFonts w:ascii="Arial" w:hAnsi="Arial" w:cs="Arial"/>
          <w:iCs/>
        </w:rPr>
      </w:pPr>
      <w:r w:rsidRPr="007C089D">
        <w:rPr>
          <w:rFonts w:ascii="Arial" w:hAnsi="Arial" w:cs="Arial"/>
          <w:iCs/>
        </w:rPr>
        <w:t xml:space="preserve">Given that </w:t>
      </w:r>
      <w:r>
        <w:rPr>
          <w:rFonts w:ascii="Arial" w:hAnsi="Arial" w:cs="Arial"/>
          <w:iCs/>
        </w:rPr>
        <w:t xml:space="preserve">two of the Group members are based in European Union (EU) Member States – Efron Trading (Netherlands) and </w:t>
      </w:r>
      <w:proofErr w:type="spellStart"/>
      <w:r>
        <w:rPr>
          <w:rFonts w:ascii="Arial" w:hAnsi="Arial" w:cs="Arial"/>
          <w:iCs/>
        </w:rPr>
        <w:t>Efwon</w:t>
      </w:r>
      <w:proofErr w:type="spellEnd"/>
      <w:r>
        <w:rPr>
          <w:rFonts w:ascii="Arial" w:hAnsi="Arial" w:cs="Arial"/>
          <w:iCs/>
        </w:rPr>
        <w:t xml:space="preserve"> (Romania) </w:t>
      </w:r>
      <w:r w:rsidR="008F1AC9">
        <w:rPr>
          <w:rFonts w:ascii="Arial" w:hAnsi="Arial" w:cs="Arial"/>
          <w:iCs/>
        </w:rPr>
        <w:t>–</w:t>
      </w:r>
      <w:r>
        <w:rPr>
          <w:rFonts w:ascii="Arial" w:hAnsi="Arial" w:cs="Arial"/>
          <w:iCs/>
        </w:rPr>
        <w:t xml:space="preserve"> </w:t>
      </w:r>
      <w:r w:rsidR="008F1AC9">
        <w:rPr>
          <w:rFonts w:ascii="Arial" w:hAnsi="Arial" w:cs="Arial"/>
          <w:iCs/>
        </w:rPr>
        <w:t xml:space="preserve">with </w:t>
      </w:r>
      <w:proofErr w:type="spellStart"/>
      <w:r w:rsidR="008F1AC9">
        <w:rPr>
          <w:rFonts w:ascii="Arial" w:hAnsi="Arial" w:cs="Arial"/>
          <w:iCs/>
        </w:rPr>
        <w:t>Efwon</w:t>
      </w:r>
      <w:proofErr w:type="spellEnd"/>
      <w:r w:rsidR="008F1AC9">
        <w:rPr>
          <w:rFonts w:ascii="Arial" w:hAnsi="Arial" w:cs="Arial"/>
          <w:iCs/>
        </w:rPr>
        <w:t xml:space="preserve"> Trading</w:t>
      </w:r>
      <w:r w:rsidR="00F7794F">
        <w:rPr>
          <w:rFonts w:ascii="Arial" w:hAnsi="Arial" w:cs="Arial"/>
          <w:iCs/>
        </w:rPr>
        <w:t>,</w:t>
      </w:r>
      <w:r w:rsidR="008F1AC9">
        <w:rPr>
          <w:rFonts w:ascii="Arial" w:hAnsi="Arial" w:cs="Arial"/>
          <w:iCs/>
        </w:rPr>
        <w:t xml:space="preserve"> being </w:t>
      </w:r>
      <w:r w:rsidR="00CF77FD">
        <w:rPr>
          <w:rFonts w:ascii="Arial" w:hAnsi="Arial" w:cs="Arial"/>
          <w:iCs/>
        </w:rPr>
        <w:t>the entity,</w:t>
      </w:r>
      <w:r w:rsidR="008F1AC9">
        <w:rPr>
          <w:rFonts w:ascii="Arial" w:hAnsi="Arial" w:cs="Arial"/>
          <w:iCs/>
        </w:rPr>
        <w:t xml:space="preserve"> which established </w:t>
      </w:r>
      <w:r w:rsidR="00F7794F">
        <w:rPr>
          <w:rFonts w:ascii="Arial" w:hAnsi="Arial" w:cs="Arial"/>
          <w:iCs/>
        </w:rPr>
        <w:t xml:space="preserve">two Group </w:t>
      </w:r>
      <w:r w:rsidR="00247176">
        <w:rPr>
          <w:rFonts w:ascii="Arial" w:hAnsi="Arial" w:cs="Arial"/>
          <w:iCs/>
        </w:rPr>
        <w:t>s</w:t>
      </w:r>
      <w:r w:rsidR="00F7794F">
        <w:rPr>
          <w:rFonts w:ascii="Arial" w:hAnsi="Arial" w:cs="Arial"/>
          <w:iCs/>
        </w:rPr>
        <w:t xml:space="preserve">ubsidiaries </w:t>
      </w:r>
      <w:r w:rsidR="00247176">
        <w:rPr>
          <w:rFonts w:ascii="Arial" w:hAnsi="Arial" w:cs="Arial"/>
          <w:iCs/>
        </w:rPr>
        <w:t>(</w:t>
      </w:r>
      <w:proofErr w:type="spellStart"/>
      <w:r w:rsidR="00247176">
        <w:rPr>
          <w:rFonts w:ascii="Arial" w:hAnsi="Arial" w:cs="Arial"/>
          <w:iCs/>
        </w:rPr>
        <w:t>Efwon</w:t>
      </w:r>
      <w:proofErr w:type="spellEnd"/>
      <w:r w:rsidR="00247176">
        <w:rPr>
          <w:rFonts w:ascii="Arial" w:hAnsi="Arial" w:cs="Arial"/>
          <w:iCs/>
        </w:rPr>
        <w:t xml:space="preserve"> Romania and </w:t>
      </w:r>
      <w:proofErr w:type="spellStart"/>
      <w:r w:rsidR="00247176">
        <w:rPr>
          <w:rFonts w:ascii="Arial" w:hAnsi="Arial" w:cs="Arial"/>
          <w:iCs/>
        </w:rPr>
        <w:t>Efwon</w:t>
      </w:r>
      <w:proofErr w:type="spellEnd"/>
      <w:r w:rsidR="00247176">
        <w:rPr>
          <w:rFonts w:ascii="Arial" w:hAnsi="Arial" w:cs="Arial"/>
          <w:iCs/>
        </w:rPr>
        <w:t xml:space="preserve"> Singapore)</w:t>
      </w:r>
      <w:r w:rsidR="00E83E65">
        <w:rPr>
          <w:rFonts w:ascii="Arial" w:hAnsi="Arial" w:cs="Arial"/>
          <w:iCs/>
        </w:rPr>
        <w:t xml:space="preserve">, wholly owned by </w:t>
      </w:r>
      <w:proofErr w:type="spellStart"/>
      <w:r w:rsidR="00E83E65">
        <w:rPr>
          <w:rFonts w:ascii="Arial" w:hAnsi="Arial" w:cs="Arial"/>
          <w:iCs/>
        </w:rPr>
        <w:t>Efwon</w:t>
      </w:r>
      <w:proofErr w:type="spellEnd"/>
      <w:r w:rsidR="00E83E65">
        <w:rPr>
          <w:rFonts w:ascii="Arial" w:hAnsi="Arial" w:cs="Arial"/>
          <w:iCs/>
        </w:rPr>
        <w:t xml:space="preserve"> Trading, we will first </w:t>
      </w:r>
      <w:r w:rsidR="0030755D">
        <w:rPr>
          <w:rFonts w:ascii="Arial" w:hAnsi="Arial" w:cs="Arial"/>
          <w:iCs/>
        </w:rPr>
        <w:t>review the European Insolvency Regulation</w:t>
      </w:r>
      <w:r w:rsidR="00CB0E68">
        <w:rPr>
          <w:rFonts w:ascii="Arial" w:hAnsi="Arial" w:cs="Arial"/>
          <w:iCs/>
        </w:rPr>
        <w:t xml:space="preserve"> Recast (EIR) and its application over insolvency proceedings </w:t>
      </w:r>
      <w:r w:rsidR="000823D9">
        <w:rPr>
          <w:rFonts w:ascii="Arial" w:hAnsi="Arial" w:cs="Arial"/>
          <w:iCs/>
        </w:rPr>
        <w:t>within the EU.</w:t>
      </w:r>
    </w:p>
    <w:p w14:paraId="090A5B5C" w14:textId="6BCAD11F" w:rsidR="00B73CB6" w:rsidRPr="003F5AB3" w:rsidRDefault="00085839" w:rsidP="003F5AB3">
      <w:pPr>
        <w:pStyle w:val="ListParagraph"/>
        <w:numPr>
          <w:ilvl w:val="0"/>
          <w:numId w:val="2"/>
        </w:numPr>
        <w:spacing w:before="240" w:after="120" w:line="360" w:lineRule="exact"/>
        <w:ind w:left="0" w:firstLine="360"/>
        <w:jc w:val="both"/>
        <w:rPr>
          <w:rFonts w:ascii="Arial" w:hAnsi="Arial" w:cs="Arial"/>
          <w:iCs/>
        </w:rPr>
      </w:pPr>
      <w:r w:rsidRPr="003F5AB3">
        <w:rPr>
          <w:rFonts w:ascii="Arial" w:hAnsi="Arial" w:cs="Arial"/>
          <w:iCs/>
        </w:rPr>
        <w:t xml:space="preserve">The EIR provides </w:t>
      </w:r>
      <w:r w:rsidR="00AB744D">
        <w:rPr>
          <w:rFonts w:ascii="Arial" w:hAnsi="Arial" w:cs="Arial"/>
          <w:iCs/>
        </w:rPr>
        <w:t>an EU-level (except Denmark) regime</w:t>
      </w:r>
      <w:r w:rsidRPr="003F5AB3">
        <w:rPr>
          <w:rFonts w:ascii="Arial" w:hAnsi="Arial" w:cs="Arial"/>
          <w:iCs/>
        </w:rPr>
        <w:t xml:space="preserve"> of jurisdiction and for recognition of </w:t>
      </w:r>
      <w:r w:rsidR="00252CDC">
        <w:rPr>
          <w:rFonts w:ascii="Arial" w:hAnsi="Arial" w:cs="Arial"/>
          <w:iCs/>
        </w:rPr>
        <w:t xml:space="preserve">(pre) </w:t>
      </w:r>
      <w:r w:rsidRPr="003F5AB3">
        <w:rPr>
          <w:rFonts w:ascii="Arial" w:hAnsi="Arial" w:cs="Arial"/>
          <w:iCs/>
        </w:rPr>
        <w:t xml:space="preserve">insolvency proceedings opened in </w:t>
      </w:r>
      <w:r w:rsidR="00AB744D">
        <w:rPr>
          <w:rFonts w:ascii="Arial" w:hAnsi="Arial" w:cs="Arial"/>
          <w:iCs/>
        </w:rPr>
        <w:t xml:space="preserve">different </w:t>
      </w:r>
      <w:r w:rsidR="00252CDC">
        <w:rPr>
          <w:rFonts w:ascii="Arial" w:hAnsi="Arial" w:cs="Arial"/>
          <w:iCs/>
        </w:rPr>
        <w:t>EU</w:t>
      </w:r>
      <w:r w:rsidRPr="003F5AB3">
        <w:rPr>
          <w:rFonts w:ascii="Arial" w:hAnsi="Arial" w:cs="Arial"/>
          <w:iCs/>
        </w:rPr>
        <w:t xml:space="preserve"> member states, for recognition and enforcement of insolvency-related judgments, for rules on the law applicable to</w:t>
      </w:r>
      <w:r w:rsidR="004E45C3" w:rsidRPr="003F5AB3">
        <w:rPr>
          <w:rFonts w:ascii="Arial" w:hAnsi="Arial" w:cs="Arial"/>
          <w:iCs/>
        </w:rPr>
        <w:t xml:space="preserve"> </w:t>
      </w:r>
      <w:r w:rsidR="003F5AB3" w:rsidRPr="003F5AB3">
        <w:rPr>
          <w:rFonts w:ascii="Arial" w:hAnsi="Arial" w:cs="Arial"/>
          <w:iCs/>
        </w:rPr>
        <w:t xml:space="preserve">insolvency issues, for rules on the interplay between main and secondary proceedings and for procedures on lodging claims. </w:t>
      </w:r>
      <w:r w:rsidR="00310170">
        <w:rPr>
          <w:rFonts w:ascii="Arial" w:hAnsi="Arial" w:cs="Arial"/>
          <w:iCs/>
        </w:rPr>
        <w:t>Rules on substantive insolvency law are not included in the EIR</w:t>
      </w:r>
      <w:r w:rsidR="00CB1818">
        <w:rPr>
          <w:rFonts w:ascii="Arial" w:hAnsi="Arial" w:cs="Arial"/>
          <w:iCs/>
        </w:rPr>
        <w:t xml:space="preserve">, rather they are left to national insolvency laws. All EU Member States had to </w:t>
      </w:r>
      <w:r w:rsidR="007B5284">
        <w:rPr>
          <w:rFonts w:ascii="Arial" w:hAnsi="Arial" w:cs="Arial"/>
          <w:iCs/>
        </w:rPr>
        <w:t xml:space="preserve">transpose into their national insolvency legislation the 2019 </w:t>
      </w:r>
      <w:r w:rsidR="00F221C0">
        <w:rPr>
          <w:rFonts w:ascii="Arial" w:hAnsi="Arial" w:cs="Arial"/>
          <w:iCs/>
        </w:rPr>
        <w:t xml:space="preserve">EU </w:t>
      </w:r>
      <w:r w:rsidR="00AC6BAC">
        <w:rPr>
          <w:rFonts w:ascii="Arial" w:hAnsi="Arial" w:cs="Arial"/>
          <w:iCs/>
        </w:rPr>
        <w:t>Preventive Restructuring</w:t>
      </w:r>
      <w:r w:rsidR="00F221C0">
        <w:rPr>
          <w:rFonts w:ascii="Arial" w:hAnsi="Arial" w:cs="Arial"/>
          <w:iCs/>
        </w:rPr>
        <w:t xml:space="preserve"> Directive</w:t>
      </w:r>
      <w:r w:rsidR="00F221C0">
        <w:rPr>
          <w:rStyle w:val="FootnoteReference"/>
          <w:rFonts w:ascii="Arial" w:hAnsi="Arial" w:cs="Arial"/>
          <w:iCs/>
        </w:rPr>
        <w:footnoteReference w:id="8"/>
      </w:r>
      <w:r w:rsidR="009E1707">
        <w:rPr>
          <w:rFonts w:ascii="Arial" w:hAnsi="Arial" w:cs="Arial"/>
          <w:iCs/>
        </w:rPr>
        <w:t xml:space="preserve">, </w:t>
      </w:r>
      <w:r w:rsidR="000129F3">
        <w:rPr>
          <w:rFonts w:ascii="Arial" w:hAnsi="Arial" w:cs="Arial"/>
          <w:iCs/>
        </w:rPr>
        <w:t>including the Netherlands and Romania.</w:t>
      </w:r>
    </w:p>
    <w:p w14:paraId="2983DC07" w14:textId="5EBB68B0" w:rsidR="008B4FD9" w:rsidRDefault="00171E07" w:rsidP="007C089D">
      <w:pPr>
        <w:pStyle w:val="ListParagraph"/>
        <w:numPr>
          <w:ilvl w:val="0"/>
          <w:numId w:val="2"/>
        </w:numPr>
        <w:spacing w:before="240" w:after="120" w:line="360" w:lineRule="exact"/>
        <w:ind w:left="0" w:firstLine="360"/>
        <w:jc w:val="both"/>
        <w:rPr>
          <w:rFonts w:ascii="Arial" w:hAnsi="Arial" w:cs="Arial"/>
          <w:iCs/>
        </w:rPr>
      </w:pPr>
      <w:r>
        <w:rPr>
          <w:rFonts w:ascii="Arial" w:hAnsi="Arial" w:cs="Arial"/>
          <w:iCs/>
        </w:rPr>
        <w:lastRenderedPageBreak/>
        <w:t>While the previous</w:t>
      </w:r>
      <w:r w:rsidRPr="00605C79">
        <w:rPr>
          <w:rFonts w:ascii="Arial" w:hAnsi="Arial" w:cs="Arial"/>
          <w:iCs/>
        </w:rPr>
        <w:t xml:space="preserve"> EIR presupposed the insolvency of the debtor, the EIR </w:t>
      </w:r>
      <w:r>
        <w:rPr>
          <w:rFonts w:ascii="Arial" w:hAnsi="Arial" w:cs="Arial"/>
          <w:iCs/>
        </w:rPr>
        <w:t xml:space="preserve">recast </w:t>
      </w:r>
      <w:r w:rsidRPr="00605C79">
        <w:rPr>
          <w:rFonts w:ascii="Arial" w:hAnsi="Arial" w:cs="Arial"/>
          <w:iCs/>
        </w:rPr>
        <w:t xml:space="preserve">also </w:t>
      </w:r>
      <w:r>
        <w:rPr>
          <w:rFonts w:ascii="Arial" w:hAnsi="Arial" w:cs="Arial"/>
          <w:iCs/>
        </w:rPr>
        <w:t>covers</w:t>
      </w:r>
      <w:r w:rsidRPr="00605C79">
        <w:rPr>
          <w:rFonts w:ascii="Arial" w:hAnsi="Arial" w:cs="Arial"/>
          <w:iCs/>
        </w:rPr>
        <w:t xml:space="preserve"> public pre-insolvency proceedings based on insolvency-related laws concerning (the prevention of) a debtor's insolvency or </w:t>
      </w:r>
      <w:r>
        <w:rPr>
          <w:rFonts w:ascii="Arial" w:hAnsi="Arial" w:cs="Arial"/>
          <w:iCs/>
        </w:rPr>
        <w:t>financial distress</w:t>
      </w:r>
      <w:r w:rsidRPr="00605C79">
        <w:rPr>
          <w:rFonts w:ascii="Arial" w:hAnsi="Arial" w:cs="Arial"/>
          <w:iCs/>
        </w:rPr>
        <w:t>. The mere likelihood of insolvency is sufficient, provided that the proceedings aim to avoid the debtor's insolvency.</w:t>
      </w:r>
    </w:p>
    <w:p w14:paraId="634A2008" w14:textId="293B8B17" w:rsidR="001E3325" w:rsidRDefault="001E3325" w:rsidP="007C089D">
      <w:pPr>
        <w:pStyle w:val="ListParagraph"/>
        <w:numPr>
          <w:ilvl w:val="0"/>
          <w:numId w:val="2"/>
        </w:numPr>
        <w:spacing w:before="240" w:after="120" w:line="360" w:lineRule="exact"/>
        <w:ind w:left="0" w:firstLine="360"/>
        <w:jc w:val="both"/>
        <w:rPr>
          <w:rFonts w:ascii="Arial" w:hAnsi="Arial" w:cs="Arial"/>
          <w:iCs/>
        </w:rPr>
      </w:pPr>
      <w:r w:rsidRPr="001E3325">
        <w:rPr>
          <w:rFonts w:ascii="Arial" w:hAnsi="Arial" w:cs="Arial"/>
          <w:iCs/>
        </w:rPr>
        <w:t>Article 2(4) EIR provide</w:t>
      </w:r>
      <w:r w:rsidR="004A3F4D">
        <w:rPr>
          <w:rFonts w:ascii="Arial" w:hAnsi="Arial" w:cs="Arial"/>
          <w:iCs/>
        </w:rPr>
        <w:t>d</w:t>
      </w:r>
      <w:r w:rsidR="00846DF8">
        <w:rPr>
          <w:rStyle w:val="FootnoteReference"/>
          <w:rFonts w:ascii="Arial" w:hAnsi="Arial" w:cs="Arial"/>
          <w:iCs/>
        </w:rPr>
        <w:footnoteReference w:id="9"/>
      </w:r>
      <w:r w:rsidRPr="001E3325">
        <w:rPr>
          <w:rFonts w:ascii="Arial" w:hAnsi="Arial" w:cs="Arial"/>
          <w:iCs/>
        </w:rPr>
        <w:t xml:space="preserve"> that ‘insolvency proceedings’ mean</w:t>
      </w:r>
      <w:r w:rsidR="00B12813">
        <w:rPr>
          <w:rFonts w:ascii="Arial" w:hAnsi="Arial" w:cs="Arial"/>
          <w:iCs/>
        </w:rPr>
        <w:t>t</w:t>
      </w:r>
      <w:r w:rsidRPr="001E3325">
        <w:rPr>
          <w:rFonts w:ascii="Arial" w:hAnsi="Arial" w:cs="Arial"/>
          <w:iCs/>
        </w:rPr>
        <w:t xml:space="preserve"> the proceedings listed in Annex A</w:t>
      </w:r>
      <w:r w:rsidR="00D21E97">
        <w:rPr>
          <w:rFonts w:ascii="Arial" w:hAnsi="Arial" w:cs="Arial"/>
          <w:iCs/>
        </w:rPr>
        <w:t xml:space="preserve"> which included the specific national insolvency proceedings covered by the EIR</w:t>
      </w:r>
      <w:r w:rsidR="00924F77">
        <w:rPr>
          <w:rFonts w:ascii="Arial" w:hAnsi="Arial" w:cs="Arial"/>
          <w:iCs/>
        </w:rPr>
        <w:t xml:space="preserve">, and Annex B covered </w:t>
      </w:r>
      <w:r w:rsidR="00C552F0">
        <w:rPr>
          <w:rFonts w:ascii="Arial" w:hAnsi="Arial" w:cs="Arial"/>
          <w:iCs/>
        </w:rPr>
        <w:t>the practitioners</w:t>
      </w:r>
      <w:r w:rsidR="00326FB4">
        <w:rPr>
          <w:rFonts w:ascii="Arial" w:hAnsi="Arial" w:cs="Arial"/>
          <w:iCs/>
        </w:rPr>
        <w:t xml:space="preserve"> referred to in the EIR</w:t>
      </w:r>
      <w:r w:rsidRPr="001E3325">
        <w:rPr>
          <w:rFonts w:ascii="Arial" w:hAnsi="Arial" w:cs="Arial"/>
          <w:iCs/>
        </w:rPr>
        <w:t xml:space="preserve">. </w:t>
      </w:r>
      <w:r w:rsidR="00945455" w:rsidRPr="00945455">
        <w:rPr>
          <w:rFonts w:ascii="Arial" w:hAnsi="Arial" w:cs="Arial"/>
          <w:iCs/>
        </w:rPr>
        <w:t xml:space="preserve">The EIR </w:t>
      </w:r>
      <w:r w:rsidR="00945455">
        <w:rPr>
          <w:rFonts w:ascii="Arial" w:hAnsi="Arial" w:cs="Arial"/>
          <w:iCs/>
        </w:rPr>
        <w:t xml:space="preserve">Recast </w:t>
      </w:r>
      <w:r w:rsidR="00945455" w:rsidRPr="00945455">
        <w:rPr>
          <w:rFonts w:ascii="Arial" w:hAnsi="Arial" w:cs="Arial"/>
          <w:iCs/>
        </w:rPr>
        <w:t xml:space="preserve">was amended </w:t>
      </w:r>
      <w:r w:rsidR="00D97BF0">
        <w:rPr>
          <w:rFonts w:ascii="Arial" w:hAnsi="Arial" w:cs="Arial"/>
          <w:iCs/>
        </w:rPr>
        <w:t>through</w:t>
      </w:r>
      <w:r w:rsidR="00945455" w:rsidRPr="00945455">
        <w:rPr>
          <w:rFonts w:ascii="Arial" w:hAnsi="Arial" w:cs="Arial"/>
          <w:iCs/>
        </w:rPr>
        <w:t xml:space="preserve"> Regulation (EU) 2021/2260 of 15 December 2021 (Amendment Regulation). The Amendment Regulation replaces Annexes A and B of the EIR, after 8 </w:t>
      </w:r>
      <w:r w:rsidR="00B12813">
        <w:rPr>
          <w:rFonts w:ascii="Arial" w:hAnsi="Arial" w:cs="Arial"/>
          <w:iCs/>
        </w:rPr>
        <w:t xml:space="preserve">EU </w:t>
      </w:r>
      <w:r w:rsidR="00945455" w:rsidRPr="00945455">
        <w:rPr>
          <w:rFonts w:ascii="Arial" w:hAnsi="Arial" w:cs="Arial"/>
          <w:iCs/>
        </w:rPr>
        <w:t xml:space="preserve">Member States informed the </w:t>
      </w:r>
      <w:r w:rsidR="00B12813">
        <w:rPr>
          <w:rFonts w:ascii="Arial" w:hAnsi="Arial" w:cs="Arial"/>
          <w:iCs/>
        </w:rPr>
        <w:t xml:space="preserve">EU </w:t>
      </w:r>
      <w:r w:rsidR="00945455" w:rsidRPr="00945455">
        <w:rPr>
          <w:rFonts w:ascii="Arial" w:hAnsi="Arial" w:cs="Arial"/>
          <w:iCs/>
        </w:rPr>
        <w:t>Commission of the implementation of new restructuring proceedings in their respective national laws</w:t>
      </w:r>
      <w:r w:rsidR="00C0634B">
        <w:rPr>
          <w:rFonts w:ascii="Arial" w:hAnsi="Arial" w:cs="Arial"/>
          <w:iCs/>
        </w:rPr>
        <w:t>. Preventive restructuring procedures such as the Dutch WHOA scheme</w:t>
      </w:r>
      <w:r w:rsidR="00D13FCD">
        <w:rPr>
          <w:rFonts w:ascii="Arial" w:hAnsi="Arial" w:cs="Arial"/>
          <w:iCs/>
        </w:rPr>
        <w:t xml:space="preserve"> (but only its public track described below) and </w:t>
      </w:r>
      <w:r w:rsidR="00EC7F64">
        <w:rPr>
          <w:rFonts w:ascii="Arial" w:hAnsi="Arial" w:cs="Arial"/>
          <w:iCs/>
        </w:rPr>
        <w:t>four</w:t>
      </w:r>
      <w:r w:rsidR="00D13FCD">
        <w:rPr>
          <w:rFonts w:ascii="Arial" w:hAnsi="Arial" w:cs="Arial"/>
          <w:iCs/>
        </w:rPr>
        <w:t xml:space="preserve"> Romanian </w:t>
      </w:r>
      <w:r w:rsidR="00EC7F64">
        <w:rPr>
          <w:rFonts w:ascii="Arial" w:hAnsi="Arial" w:cs="Arial"/>
          <w:iCs/>
        </w:rPr>
        <w:t xml:space="preserve">pre-insolvency and insolvency </w:t>
      </w:r>
      <w:r w:rsidR="00811BFB">
        <w:rPr>
          <w:rFonts w:ascii="Arial" w:hAnsi="Arial" w:cs="Arial"/>
          <w:iCs/>
        </w:rPr>
        <w:t>procedure</w:t>
      </w:r>
      <w:r w:rsidR="00EC7F64">
        <w:rPr>
          <w:rFonts w:ascii="Arial" w:hAnsi="Arial" w:cs="Arial"/>
          <w:iCs/>
        </w:rPr>
        <w:t xml:space="preserve">s are </w:t>
      </w:r>
      <w:r w:rsidR="00270DC8">
        <w:rPr>
          <w:rFonts w:ascii="Arial" w:hAnsi="Arial" w:cs="Arial"/>
          <w:iCs/>
        </w:rPr>
        <w:t>now covered under the EIR recast</w:t>
      </w:r>
      <w:r w:rsidR="00945455" w:rsidRPr="00945455">
        <w:rPr>
          <w:rFonts w:ascii="Arial" w:hAnsi="Arial" w:cs="Arial"/>
          <w:iCs/>
        </w:rPr>
        <w:t>.</w:t>
      </w:r>
      <w:r w:rsidR="00AD3728">
        <w:rPr>
          <w:rStyle w:val="FootnoteReference"/>
          <w:rFonts w:ascii="Arial" w:hAnsi="Arial" w:cs="Arial"/>
          <w:iCs/>
        </w:rPr>
        <w:footnoteReference w:id="10"/>
      </w:r>
    </w:p>
    <w:p w14:paraId="2BA53356" w14:textId="77777777" w:rsidR="00D74C98" w:rsidRPr="004E5183" w:rsidRDefault="004E5183" w:rsidP="00D74C98">
      <w:pPr>
        <w:pStyle w:val="ListParagraph"/>
        <w:numPr>
          <w:ilvl w:val="0"/>
          <w:numId w:val="2"/>
        </w:numPr>
        <w:spacing w:before="240" w:after="120" w:line="360" w:lineRule="exact"/>
        <w:ind w:left="0" w:firstLine="360"/>
        <w:jc w:val="both"/>
        <w:rPr>
          <w:rFonts w:ascii="Arial" w:hAnsi="Arial" w:cs="Arial"/>
          <w:iCs/>
        </w:rPr>
      </w:pPr>
      <w:r w:rsidRPr="004E5183">
        <w:rPr>
          <w:rFonts w:ascii="Arial" w:hAnsi="Arial" w:cs="Arial"/>
          <w:iCs/>
        </w:rPr>
        <w:t xml:space="preserve">The </w:t>
      </w:r>
      <w:r w:rsidR="0066478B" w:rsidRPr="004E5183">
        <w:rPr>
          <w:rFonts w:ascii="Arial" w:hAnsi="Arial" w:cs="Arial"/>
          <w:iCs/>
        </w:rPr>
        <w:t>center</w:t>
      </w:r>
      <w:r w:rsidRPr="004E5183">
        <w:rPr>
          <w:rFonts w:ascii="Arial" w:hAnsi="Arial" w:cs="Arial"/>
          <w:iCs/>
        </w:rPr>
        <w:t xml:space="preserve"> of main interests (COMI) is defined </w:t>
      </w:r>
      <w:r w:rsidR="006F2177">
        <w:rPr>
          <w:rFonts w:ascii="Arial" w:hAnsi="Arial" w:cs="Arial"/>
          <w:iCs/>
        </w:rPr>
        <w:t xml:space="preserve">in the EIR </w:t>
      </w:r>
      <w:r w:rsidR="00735C72">
        <w:rPr>
          <w:rFonts w:ascii="Arial" w:hAnsi="Arial" w:cs="Arial"/>
          <w:iCs/>
        </w:rPr>
        <w:t>recast</w:t>
      </w:r>
      <w:r w:rsidR="001C1B73">
        <w:rPr>
          <w:rFonts w:ascii="Arial" w:hAnsi="Arial" w:cs="Arial"/>
          <w:iCs/>
        </w:rPr>
        <w:t xml:space="preserve"> </w:t>
      </w:r>
      <w:r w:rsidRPr="004E5183">
        <w:rPr>
          <w:rFonts w:ascii="Arial" w:hAnsi="Arial" w:cs="Arial"/>
          <w:iCs/>
        </w:rPr>
        <w:t>as ‘the place where the debtor conducts the administration of its interests</w:t>
      </w:r>
      <w:r>
        <w:rPr>
          <w:rFonts w:ascii="Arial" w:hAnsi="Arial" w:cs="Arial"/>
          <w:iCs/>
        </w:rPr>
        <w:t xml:space="preserve"> </w:t>
      </w:r>
      <w:r w:rsidRPr="004E5183">
        <w:rPr>
          <w:rFonts w:ascii="Arial" w:hAnsi="Arial" w:cs="Arial"/>
          <w:iCs/>
        </w:rPr>
        <w:t xml:space="preserve">on a regular </w:t>
      </w:r>
      <w:r w:rsidR="007F1590" w:rsidRPr="004E5183">
        <w:rPr>
          <w:rFonts w:ascii="Arial" w:hAnsi="Arial" w:cs="Arial"/>
          <w:iCs/>
        </w:rPr>
        <w:t>basis,</w:t>
      </w:r>
      <w:r w:rsidRPr="004E5183">
        <w:rPr>
          <w:rFonts w:ascii="Arial" w:hAnsi="Arial" w:cs="Arial"/>
          <w:iCs/>
        </w:rPr>
        <w:t xml:space="preserve"> and which is ascertainable by third parties’.</w:t>
      </w:r>
      <w:r w:rsidR="006F2177">
        <w:rPr>
          <w:rStyle w:val="FootnoteReference"/>
          <w:rFonts w:ascii="Arial" w:hAnsi="Arial" w:cs="Arial"/>
          <w:iCs/>
        </w:rPr>
        <w:footnoteReference w:id="11"/>
      </w:r>
      <w:r w:rsidR="001C1B73">
        <w:rPr>
          <w:rFonts w:ascii="Arial" w:hAnsi="Arial" w:cs="Arial"/>
          <w:iCs/>
        </w:rPr>
        <w:t xml:space="preserve"> </w:t>
      </w:r>
      <w:r w:rsidR="00D74C98">
        <w:rPr>
          <w:rFonts w:ascii="Arial" w:hAnsi="Arial" w:cs="Arial"/>
          <w:iCs/>
        </w:rPr>
        <w:t>T</w:t>
      </w:r>
      <w:r w:rsidR="00D74C98" w:rsidRPr="000219F5">
        <w:rPr>
          <w:rFonts w:ascii="Arial" w:hAnsi="Arial" w:cs="Arial"/>
          <w:iCs/>
        </w:rPr>
        <w:t>he second paragraph of Article 3(1) provides</w:t>
      </w:r>
      <w:r w:rsidR="00D74C98">
        <w:rPr>
          <w:rFonts w:ascii="Arial" w:hAnsi="Arial" w:cs="Arial"/>
          <w:iCs/>
        </w:rPr>
        <w:t xml:space="preserve"> </w:t>
      </w:r>
      <w:r w:rsidR="00D74C98" w:rsidRPr="000219F5">
        <w:rPr>
          <w:rFonts w:ascii="Arial" w:hAnsi="Arial" w:cs="Arial"/>
          <w:iCs/>
        </w:rPr>
        <w:t>that in the case of a company or legal person there is a rebuttable presumption that the place of its registered office is the</w:t>
      </w:r>
      <w:r w:rsidR="00D74C98">
        <w:rPr>
          <w:rFonts w:ascii="Arial" w:hAnsi="Arial" w:cs="Arial"/>
          <w:iCs/>
        </w:rPr>
        <w:t xml:space="preserve"> </w:t>
      </w:r>
      <w:r w:rsidR="00D74C98" w:rsidRPr="000219F5">
        <w:rPr>
          <w:rFonts w:ascii="Arial" w:hAnsi="Arial" w:cs="Arial"/>
          <w:iCs/>
        </w:rPr>
        <w:t xml:space="preserve">COMI. </w:t>
      </w:r>
    </w:p>
    <w:p w14:paraId="2A6CEA98" w14:textId="7BAF31F2" w:rsidR="004E5183" w:rsidRDefault="001C1B73" w:rsidP="008B4FD9">
      <w:pPr>
        <w:pStyle w:val="ListParagraph"/>
        <w:numPr>
          <w:ilvl w:val="0"/>
          <w:numId w:val="2"/>
        </w:numPr>
        <w:spacing w:before="240" w:after="120" w:line="360" w:lineRule="exact"/>
        <w:ind w:left="0" w:firstLine="360"/>
        <w:jc w:val="both"/>
        <w:rPr>
          <w:rFonts w:ascii="Arial" w:hAnsi="Arial" w:cs="Arial"/>
          <w:iCs/>
        </w:rPr>
      </w:pPr>
      <w:r>
        <w:rPr>
          <w:rFonts w:ascii="Arial" w:hAnsi="Arial" w:cs="Arial"/>
          <w:iCs/>
        </w:rPr>
        <w:t xml:space="preserve">This is important </w:t>
      </w:r>
      <w:proofErr w:type="gramStart"/>
      <w:r>
        <w:rPr>
          <w:rFonts w:ascii="Arial" w:hAnsi="Arial" w:cs="Arial"/>
          <w:iCs/>
        </w:rPr>
        <w:t>in order to</w:t>
      </w:r>
      <w:proofErr w:type="gramEnd"/>
      <w:r>
        <w:rPr>
          <w:rFonts w:ascii="Arial" w:hAnsi="Arial" w:cs="Arial"/>
          <w:iCs/>
        </w:rPr>
        <w:t xml:space="preserve"> determine in which jurisdiction the debtor can open </w:t>
      </w:r>
      <w:r w:rsidR="002B2599">
        <w:rPr>
          <w:rFonts w:ascii="Arial" w:hAnsi="Arial" w:cs="Arial"/>
          <w:iCs/>
        </w:rPr>
        <w:t xml:space="preserve">a main insolvency proceeding for </w:t>
      </w:r>
      <w:proofErr w:type="gramStart"/>
      <w:r w:rsidR="002B2599">
        <w:rPr>
          <w:rFonts w:ascii="Arial" w:hAnsi="Arial" w:cs="Arial"/>
          <w:iCs/>
        </w:rPr>
        <w:t>purposes</w:t>
      </w:r>
      <w:proofErr w:type="gramEnd"/>
      <w:r w:rsidR="002B2599">
        <w:rPr>
          <w:rFonts w:ascii="Arial" w:hAnsi="Arial" w:cs="Arial"/>
          <w:iCs/>
        </w:rPr>
        <w:t xml:space="preserve"> of achieving a restructuring plan</w:t>
      </w:r>
      <w:r w:rsidR="00D34187">
        <w:rPr>
          <w:rFonts w:ascii="Arial" w:hAnsi="Arial" w:cs="Arial"/>
          <w:iCs/>
        </w:rPr>
        <w:t>.</w:t>
      </w:r>
    </w:p>
    <w:p w14:paraId="656C8C7A" w14:textId="40DAFABE" w:rsidR="00D34187" w:rsidRDefault="00D34187" w:rsidP="008B4FD9">
      <w:pPr>
        <w:pStyle w:val="ListParagraph"/>
        <w:numPr>
          <w:ilvl w:val="0"/>
          <w:numId w:val="2"/>
        </w:numPr>
        <w:spacing w:before="240" w:after="120" w:line="360" w:lineRule="exact"/>
        <w:ind w:left="0" w:firstLine="360"/>
        <w:jc w:val="both"/>
        <w:rPr>
          <w:rFonts w:ascii="Arial" w:hAnsi="Arial" w:cs="Arial"/>
          <w:iCs/>
        </w:rPr>
      </w:pPr>
      <w:r>
        <w:rPr>
          <w:rFonts w:ascii="Arial" w:hAnsi="Arial" w:cs="Arial"/>
          <w:iCs/>
        </w:rPr>
        <w:t>The EIR</w:t>
      </w:r>
      <w:r w:rsidRPr="00D34187">
        <w:rPr>
          <w:rFonts w:ascii="Arial" w:hAnsi="Arial" w:cs="Arial"/>
          <w:iCs/>
        </w:rPr>
        <w:t xml:space="preserve"> </w:t>
      </w:r>
      <w:r w:rsidR="00341BC3">
        <w:rPr>
          <w:rFonts w:ascii="Arial" w:hAnsi="Arial" w:cs="Arial"/>
          <w:iCs/>
        </w:rPr>
        <w:t xml:space="preserve">allows for </w:t>
      </w:r>
      <w:r w:rsidRPr="00D34187">
        <w:rPr>
          <w:rFonts w:ascii="Arial" w:hAnsi="Arial" w:cs="Arial"/>
          <w:iCs/>
        </w:rPr>
        <w:t xml:space="preserve">secondary insolvency proceedings to be opened to in parallel with the main insolvency proceedings. Secondary insolvency proceedings may be opened in the Member State where the debtor has an establishment. </w:t>
      </w:r>
      <w:r w:rsidR="009E1DC1" w:rsidRPr="0023051F">
        <w:rPr>
          <w:rFonts w:ascii="Arial" w:hAnsi="Arial" w:cs="Arial"/>
          <w:iCs/>
        </w:rPr>
        <w:t>Establishment is defined by the EIR as</w:t>
      </w:r>
      <w:r w:rsidR="009E1DC1">
        <w:rPr>
          <w:rFonts w:ascii="Arial" w:hAnsi="Arial" w:cs="Arial"/>
          <w:iCs/>
        </w:rPr>
        <w:t xml:space="preserve"> </w:t>
      </w:r>
      <w:r w:rsidR="005721A7">
        <w:rPr>
          <w:rFonts w:ascii="Arial" w:hAnsi="Arial" w:cs="Arial"/>
          <w:iCs/>
        </w:rPr>
        <w:t>“</w:t>
      </w:r>
      <w:r w:rsidR="005721A7" w:rsidRPr="005721A7">
        <w:rPr>
          <w:rFonts w:ascii="Arial" w:hAnsi="Arial" w:cs="Arial"/>
          <w:iCs/>
        </w:rPr>
        <w:t>‘establishment’ means any place of operations where a debtor carries out or has carried out in the 3-month period prior to the request to open main insolvency proceedings a non-transitory economic activity with human means and assets</w:t>
      </w:r>
      <w:r w:rsidR="005721A7">
        <w:rPr>
          <w:rFonts w:ascii="Arial" w:hAnsi="Arial" w:cs="Arial"/>
          <w:iCs/>
        </w:rPr>
        <w:t>”.</w:t>
      </w:r>
      <w:r w:rsidR="005721A7">
        <w:rPr>
          <w:rStyle w:val="FootnoteReference"/>
          <w:rFonts w:ascii="Arial" w:hAnsi="Arial" w:cs="Arial"/>
          <w:iCs/>
        </w:rPr>
        <w:footnoteReference w:id="12"/>
      </w:r>
      <w:r w:rsidR="005721A7">
        <w:rPr>
          <w:rFonts w:ascii="Arial" w:hAnsi="Arial" w:cs="Arial"/>
          <w:iCs/>
        </w:rPr>
        <w:t xml:space="preserve"> </w:t>
      </w:r>
      <w:r w:rsidRPr="00D34187">
        <w:rPr>
          <w:rFonts w:ascii="Arial" w:hAnsi="Arial" w:cs="Arial"/>
          <w:iCs/>
        </w:rPr>
        <w:t>The effects of secondary insolvency proceedings are limited to the assets located in that State.</w:t>
      </w:r>
      <w:r w:rsidR="00341BC3">
        <w:rPr>
          <w:rStyle w:val="FootnoteReference"/>
          <w:rFonts w:ascii="Arial" w:hAnsi="Arial" w:cs="Arial"/>
          <w:iCs/>
        </w:rPr>
        <w:footnoteReference w:id="13"/>
      </w:r>
    </w:p>
    <w:p w14:paraId="4CD53FC7" w14:textId="7D09C247" w:rsidR="00082F28" w:rsidRDefault="00082F28" w:rsidP="008B4FD9">
      <w:pPr>
        <w:pStyle w:val="ListParagraph"/>
        <w:numPr>
          <w:ilvl w:val="0"/>
          <w:numId w:val="2"/>
        </w:numPr>
        <w:spacing w:before="240" w:after="120" w:line="360" w:lineRule="exact"/>
        <w:ind w:left="0" w:firstLine="360"/>
        <w:jc w:val="both"/>
        <w:rPr>
          <w:rFonts w:ascii="Arial" w:hAnsi="Arial" w:cs="Arial"/>
          <w:iCs/>
        </w:rPr>
      </w:pPr>
      <w:r>
        <w:rPr>
          <w:rFonts w:ascii="Arial" w:hAnsi="Arial" w:cs="Arial"/>
          <w:iCs/>
        </w:rPr>
        <w:t xml:space="preserve">The EIR also allows </w:t>
      </w:r>
      <w:r w:rsidR="00A00B2F">
        <w:rPr>
          <w:rFonts w:ascii="Arial" w:hAnsi="Arial" w:cs="Arial"/>
          <w:iCs/>
        </w:rPr>
        <w:t xml:space="preserve">local creditors </w:t>
      </w:r>
      <w:r w:rsidR="004A11BD">
        <w:rPr>
          <w:rFonts w:ascii="Arial" w:hAnsi="Arial" w:cs="Arial"/>
          <w:iCs/>
        </w:rPr>
        <w:t xml:space="preserve">and public authorities to request </w:t>
      </w:r>
      <w:r w:rsidR="00A00B2F" w:rsidRPr="00A00B2F">
        <w:rPr>
          <w:rFonts w:ascii="Arial" w:hAnsi="Arial" w:cs="Arial"/>
          <w:iCs/>
        </w:rPr>
        <w:t xml:space="preserve">opening of </w:t>
      </w:r>
      <w:r w:rsidR="004A11BD">
        <w:rPr>
          <w:rFonts w:ascii="Arial" w:hAnsi="Arial" w:cs="Arial"/>
          <w:iCs/>
        </w:rPr>
        <w:t xml:space="preserve">territorial </w:t>
      </w:r>
      <w:r w:rsidR="00C453FF">
        <w:rPr>
          <w:rFonts w:ascii="Arial" w:hAnsi="Arial" w:cs="Arial"/>
          <w:iCs/>
        </w:rPr>
        <w:t xml:space="preserve">insolvency proceedings </w:t>
      </w:r>
      <w:r w:rsidR="00A00B2F" w:rsidRPr="00A00B2F">
        <w:rPr>
          <w:rFonts w:ascii="Arial" w:hAnsi="Arial" w:cs="Arial"/>
          <w:iCs/>
        </w:rPr>
        <w:t>in the Member State where the debtor has an establishment</w:t>
      </w:r>
      <w:r w:rsidR="00C74012">
        <w:rPr>
          <w:rFonts w:ascii="Arial" w:hAnsi="Arial" w:cs="Arial"/>
          <w:iCs/>
        </w:rPr>
        <w:t xml:space="preserve">, prior to </w:t>
      </w:r>
      <w:r w:rsidR="00C74012">
        <w:rPr>
          <w:rFonts w:ascii="Arial" w:hAnsi="Arial" w:cs="Arial"/>
          <w:iCs/>
        </w:rPr>
        <w:lastRenderedPageBreak/>
        <w:t>opening of</w:t>
      </w:r>
      <w:r w:rsidR="00C453FF">
        <w:rPr>
          <w:rFonts w:ascii="Arial" w:hAnsi="Arial" w:cs="Arial"/>
          <w:iCs/>
        </w:rPr>
        <w:t xml:space="preserve"> </w:t>
      </w:r>
      <w:r w:rsidR="00C453FF" w:rsidRPr="00A00B2F">
        <w:rPr>
          <w:rFonts w:ascii="Arial" w:hAnsi="Arial" w:cs="Arial"/>
          <w:iCs/>
        </w:rPr>
        <w:t>the main insolvency proceedings</w:t>
      </w:r>
      <w:r w:rsidR="00A00B2F" w:rsidRPr="00A00B2F">
        <w:rPr>
          <w:rFonts w:ascii="Arial" w:hAnsi="Arial" w:cs="Arial"/>
          <w:iCs/>
        </w:rPr>
        <w:t>.</w:t>
      </w:r>
      <w:r w:rsidR="00C74012">
        <w:rPr>
          <w:rStyle w:val="FootnoteReference"/>
          <w:rFonts w:ascii="Arial" w:hAnsi="Arial" w:cs="Arial"/>
          <w:iCs/>
        </w:rPr>
        <w:footnoteReference w:id="14"/>
      </w:r>
      <w:r w:rsidR="004F22FB">
        <w:rPr>
          <w:rFonts w:ascii="Arial" w:hAnsi="Arial" w:cs="Arial"/>
          <w:iCs/>
        </w:rPr>
        <w:t xml:space="preserve"> After</w:t>
      </w:r>
      <w:r w:rsidR="004F22FB" w:rsidRPr="004F22FB">
        <w:rPr>
          <w:rFonts w:ascii="Arial" w:hAnsi="Arial" w:cs="Arial"/>
          <w:iCs/>
        </w:rPr>
        <w:t xml:space="preserve"> main insolvency proceedings are opened, the territorial insolvency proceeding</w:t>
      </w:r>
      <w:r w:rsidR="006A248D">
        <w:rPr>
          <w:rFonts w:ascii="Arial" w:hAnsi="Arial" w:cs="Arial"/>
          <w:iCs/>
        </w:rPr>
        <w:t>s</w:t>
      </w:r>
      <w:r w:rsidR="004F22FB" w:rsidRPr="004F22FB">
        <w:rPr>
          <w:rFonts w:ascii="Arial" w:hAnsi="Arial" w:cs="Arial"/>
          <w:iCs/>
        </w:rPr>
        <w:t xml:space="preserve"> become secondary insolvency proceedings.</w:t>
      </w:r>
      <w:r w:rsidR="00DC0D2C">
        <w:rPr>
          <w:rStyle w:val="FootnoteReference"/>
          <w:rFonts w:ascii="Arial" w:hAnsi="Arial" w:cs="Arial"/>
          <w:iCs/>
        </w:rPr>
        <w:footnoteReference w:id="15"/>
      </w:r>
    </w:p>
    <w:p w14:paraId="79809649" w14:textId="01070F4A" w:rsidR="00891309" w:rsidRDefault="001B5526" w:rsidP="00186862">
      <w:pPr>
        <w:pStyle w:val="ListParagraph"/>
        <w:numPr>
          <w:ilvl w:val="0"/>
          <w:numId w:val="2"/>
        </w:numPr>
        <w:spacing w:before="240" w:after="120" w:line="360" w:lineRule="exact"/>
        <w:ind w:left="0" w:firstLine="360"/>
        <w:jc w:val="both"/>
        <w:rPr>
          <w:rFonts w:ascii="Arial" w:hAnsi="Arial" w:cs="Arial"/>
          <w:iCs/>
        </w:rPr>
      </w:pPr>
      <w:r w:rsidRPr="001B5526">
        <w:rPr>
          <w:rFonts w:ascii="Arial" w:hAnsi="Arial" w:cs="Arial"/>
          <w:iCs/>
        </w:rPr>
        <w:t xml:space="preserve">It should </w:t>
      </w:r>
      <w:r w:rsidR="00CD318E">
        <w:rPr>
          <w:rFonts w:ascii="Arial" w:hAnsi="Arial" w:cs="Arial"/>
          <w:iCs/>
        </w:rPr>
        <w:t xml:space="preserve">also </w:t>
      </w:r>
      <w:r w:rsidRPr="001B5526">
        <w:rPr>
          <w:rFonts w:ascii="Arial" w:hAnsi="Arial" w:cs="Arial"/>
          <w:iCs/>
        </w:rPr>
        <w:t>be noted that if there has been a request to open insolvency proceedings, the court may order preservation</w:t>
      </w:r>
      <w:r>
        <w:rPr>
          <w:rFonts w:ascii="Arial" w:hAnsi="Arial" w:cs="Arial"/>
          <w:iCs/>
        </w:rPr>
        <w:t xml:space="preserve"> </w:t>
      </w:r>
      <w:r w:rsidRPr="001B5526">
        <w:rPr>
          <w:rFonts w:ascii="Arial" w:hAnsi="Arial" w:cs="Arial"/>
          <w:iCs/>
        </w:rPr>
        <w:t xml:space="preserve">measures prior to deciding on that request. An order of this kind is </w:t>
      </w:r>
      <w:r w:rsidR="001B3C84" w:rsidRPr="001B5526">
        <w:rPr>
          <w:rFonts w:ascii="Arial" w:hAnsi="Arial" w:cs="Arial"/>
          <w:iCs/>
        </w:rPr>
        <w:t>recognized</w:t>
      </w:r>
      <w:r w:rsidRPr="001B5526">
        <w:rPr>
          <w:rFonts w:ascii="Arial" w:hAnsi="Arial" w:cs="Arial"/>
          <w:iCs/>
        </w:rPr>
        <w:t xml:space="preserve"> in other member states under Article 32(1)</w:t>
      </w:r>
      <w:r>
        <w:rPr>
          <w:rFonts w:ascii="Arial" w:hAnsi="Arial" w:cs="Arial"/>
          <w:iCs/>
        </w:rPr>
        <w:t xml:space="preserve"> </w:t>
      </w:r>
      <w:r w:rsidRPr="001B5526">
        <w:rPr>
          <w:rFonts w:ascii="Arial" w:hAnsi="Arial" w:cs="Arial"/>
          <w:iCs/>
        </w:rPr>
        <w:t>EIR. However, preservation measures of this kind do not imply a decision on the presence of a COMI or an establishment. It</w:t>
      </w:r>
      <w:r>
        <w:rPr>
          <w:rFonts w:ascii="Arial" w:hAnsi="Arial" w:cs="Arial"/>
          <w:iCs/>
        </w:rPr>
        <w:t xml:space="preserve"> </w:t>
      </w:r>
      <w:r w:rsidRPr="001B5526">
        <w:rPr>
          <w:rFonts w:ascii="Arial" w:hAnsi="Arial" w:cs="Arial"/>
          <w:iCs/>
        </w:rPr>
        <w:t xml:space="preserve">follows, for example, that a preservation measure ordered in </w:t>
      </w:r>
      <w:r w:rsidR="00CD318E">
        <w:rPr>
          <w:rFonts w:ascii="Arial" w:hAnsi="Arial" w:cs="Arial"/>
          <w:iCs/>
        </w:rPr>
        <w:t>Romania</w:t>
      </w:r>
      <w:r w:rsidRPr="001B5526">
        <w:rPr>
          <w:rFonts w:ascii="Arial" w:hAnsi="Arial" w:cs="Arial"/>
          <w:iCs/>
        </w:rPr>
        <w:t xml:space="preserve"> should be automatically </w:t>
      </w:r>
      <w:r w:rsidR="001B3C84" w:rsidRPr="001B5526">
        <w:rPr>
          <w:rFonts w:ascii="Arial" w:hAnsi="Arial" w:cs="Arial"/>
          <w:iCs/>
        </w:rPr>
        <w:t>recognized</w:t>
      </w:r>
      <w:r w:rsidRPr="001B5526">
        <w:rPr>
          <w:rFonts w:ascii="Arial" w:hAnsi="Arial" w:cs="Arial"/>
          <w:iCs/>
        </w:rPr>
        <w:t xml:space="preserve"> in </w:t>
      </w:r>
      <w:r w:rsidR="004553CB">
        <w:rPr>
          <w:rFonts w:ascii="Arial" w:hAnsi="Arial" w:cs="Arial"/>
          <w:iCs/>
        </w:rPr>
        <w:t>the Netherlands</w:t>
      </w:r>
      <w:r w:rsidRPr="001B5526">
        <w:rPr>
          <w:rFonts w:ascii="Arial" w:hAnsi="Arial" w:cs="Arial"/>
          <w:iCs/>
        </w:rPr>
        <w:t>, but if a</w:t>
      </w:r>
      <w:r>
        <w:rPr>
          <w:rFonts w:ascii="Arial" w:hAnsi="Arial" w:cs="Arial"/>
          <w:iCs/>
        </w:rPr>
        <w:t xml:space="preserve"> </w:t>
      </w:r>
      <w:r w:rsidRPr="001B5526">
        <w:rPr>
          <w:rFonts w:ascii="Arial" w:hAnsi="Arial" w:cs="Arial"/>
          <w:iCs/>
        </w:rPr>
        <w:t xml:space="preserve">concurrent request to open main proceedings is pending in </w:t>
      </w:r>
      <w:r w:rsidR="004553CB">
        <w:rPr>
          <w:rFonts w:ascii="Arial" w:hAnsi="Arial" w:cs="Arial"/>
          <w:iCs/>
        </w:rPr>
        <w:t>the Netherlands</w:t>
      </w:r>
      <w:r w:rsidRPr="001B5526">
        <w:rPr>
          <w:rFonts w:ascii="Arial" w:hAnsi="Arial" w:cs="Arial"/>
          <w:iCs/>
        </w:rPr>
        <w:t xml:space="preserve"> and </w:t>
      </w:r>
      <w:r w:rsidR="004553CB">
        <w:rPr>
          <w:rFonts w:ascii="Arial" w:hAnsi="Arial" w:cs="Arial"/>
          <w:iCs/>
        </w:rPr>
        <w:t>the Dutch</w:t>
      </w:r>
      <w:r w:rsidRPr="001B5526">
        <w:rPr>
          <w:rFonts w:ascii="Arial" w:hAnsi="Arial" w:cs="Arial"/>
          <w:iCs/>
        </w:rPr>
        <w:t xml:space="preserve"> court holds that the COMI is in </w:t>
      </w:r>
      <w:r w:rsidR="004553CB">
        <w:rPr>
          <w:rFonts w:ascii="Arial" w:hAnsi="Arial" w:cs="Arial"/>
          <w:iCs/>
        </w:rPr>
        <w:t>the Netherlands</w:t>
      </w:r>
      <w:r w:rsidRPr="001B5526">
        <w:rPr>
          <w:rFonts w:ascii="Arial" w:hAnsi="Arial" w:cs="Arial"/>
          <w:iCs/>
        </w:rPr>
        <w:t xml:space="preserve"> and</w:t>
      </w:r>
      <w:r>
        <w:rPr>
          <w:rFonts w:ascii="Arial" w:hAnsi="Arial" w:cs="Arial"/>
          <w:iCs/>
        </w:rPr>
        <w:t xml:space="preserve"> </w:t>
      </w:r>
      <w:r w:rsidRPr="001B5526">
        <w:rPr>
          <w:rFonts w:ascii="Arial" w:hAnsi="Arial" w:cs="Arial"/>
          <w:iCs/>
        </w:rPr>
        <w:t xml:space="preserve">opens main proceedings there before such proceedings are opened in </w:t>
      </w:r>
      <w:r w:rsidR="007775BE">
        <w:rPr>
          <w:rFonts w:ascii="Arial" w:hAnsi="Arial" w:cs="Arial"/>
          <w:iCs/>
        </w:rPr>
        <w:t>Romania</w:t>
      </w:r>
      <w:r w:rsidRPr="001B5526">
        <w:rPr>
          <w:rFonts w:ascii="Arial" w:hAnsi="Arial" w:cs="Arial"/>
          <w:iCs/>
        </w:rPr>
        <w:t>, main proceedings can no longer be opened</w:t>
      </w:r>
      <w:r>
        <w:rPr>
          <w:rFonts w:ascii="Arial" w:hAnsi="Arial" w:cs="Arial"/>
          <w:iCs/>
        </w:rPr>
        <w:t xml:space="preserve"> </w:t>
      </w:r>
      <w:r w:rsidRPr="001B5526">
        <w:rPr>
          <w:rFonts w:ascii="Arial" w:hAnsi="Arial" w:cs="Arial"/>
          <w:iCs/>
        </w:rPr>
        <w:t xml:space="preserve">in </w:t>
      </w:r>
      <w:r w:rsidR="007775BE">
        <w:rPr>
          <w:rFonts w:ascii="Arial" w:hAnsi="Arial" w:cs="Arial"/>
          <w:iCs/>
        </w:rPr>
        <w:t>Romania</w:t>
      </w:r>
      <w:r w:rsidRPr="001B5526">
        <w:rPr>
          <w:rFonts w:ascii="Arial" w:hAnsi="Arial" w:cs="Arial"/>
          <w:iCs/>
        </w:rPr>
        <w:t>.</w:t>
      </w:r>
      <w:r>
        <w:rPr>
          <w:rStyle w:val="FootnoteReference"/>
          <w:rFonts w:ascii="Arial" w:hAnsi="Arial" w:cs="Arial"/>
          <w:iCs/>
        </w:rPr>
        <w:footnoteReference w:id="16"/>
      </w:r>
      <w:r w:rsidR="0026428F">
        <w:rPr>
          <w:rFonts w:ascii="Arial" w:hAnsi="Arial" w:cs="Arial"/>
          <w:iCs/>
        </w:rPr>
        <w:t xml:space="preserve"> </w:t>
      </w:r>
      <w:r w:rsidR="006A4B97">
        <w:rPr>
          <w:rFonts w:ascii="Arial" w:hAnsi="Arial" w:cs="Arial"/>
          <w:iCs/>
        </w:rPr>
        <w:t xml:space="preserve">In the </w:t>
      </w:r>
      <w:r w:rsidR="009221C8">
        <w:rPr>
          <w:rFonts w:ascii="Arial" w:hAnsi="Arial" w:cs="Arial"/>
          <w:iCs/>
        </w:rPr>
        <w:t xml:space="preserve">case of the </w:t>
      </w:r>
      <w:proofErr w:type="spellStart"/>
      <w:r w:rsidR="006A4B97">
        <w:rPr>
          <w:rFonts w:ascii="Arial" w:hAnsi="Arial" w:cs="Arial"/>
          <w:iCs/>
        </w:rPr>
        <w:t>Efwon</w:t>
      </w:r>
      <w:proofErr w:type="spellEnd"/>
      <w:r w:rsidR="006A4B97">
        <w:rPr>
          <w:rFonts w:ascii="Arial" w:hAnsi="Arial" w:cs="Arial"/>
          <w:iCs/>
        </w:rPr>
        <w:t xml:space="preserve"> Romania insolvency filin</w:t>
      </w:r>
      <w:r w:rsidR="009221C8">
        <w:rPr>
          <w:rFonts w:ascii="Arial" w:hAnsi="Arial" w:cs="Arial"/>
          <w:iCs/>
        </w:rPr>
        <w:t>g petitioned by the Romania drivers,</w:t>
      </w:r>
      <w:r w:rsidR="006A4B97">
        <w:rPr>
          <w:rFonts w:ascii="Arial" w:hAnsi="Arial" w:cs="Arial"/>
          <w:iCs/>
        </w:rPr>
        <w:t xml:space="preserve"> based on the </w:t>
      </w:r>
      <w:r w:rsidR="00C15D1E">
        <w:rPr>
          <w:rFonts w:ascii="Arial" w:hAnsi="Arial" w:cs="Arial"/>
          <w:iCs/>
        </w:rPr>
        <w:t xml:space="preserve">facts presented to us, it appears that the Romanian court has only </w:t>
      </w:r>
      <w:r w:rsidR="005F6DD9">
        <w:rPr>
          <w:rFonts w:ascii="Arial" w:hAnsi="Arial" w:cs="Arial"/>
          <w:iCs/>
        </w:rPr>
        <w:t xml:space="preserve">afforded freezing injunctions over </w:t>
      </w:r>
      <w:proofErr w:type="spellStart"/>
      <w:r w:rsidR="005F6DD9">
        <w:rPr>
          <w:rFonts w:ascii="Arial" w:hAnsi="Arial" w:cs="Arial"/>
          <w:iCs/>
        </w:rPr>
        <w:t>Efwon</w:t>
      </w:r>
      <w:proofErr w:type="spellEnd"/>
      <w:r w:rsidR="005F6DD9">
        <w:rPr>
          <w:rFonts w:ascii="Arial" w:hAnsi="Arial" w:cs="Arial"/>
          <w:iCs/>
        </w:rPr>
        <w:t xml:space="preserve"> Romania’s assets and income, as a form of </w:t>
      </w:r>
      <w:proofErr w:type="spellStart"/>
      <w:r w:rsidR="005F6DD9">
        <w:rPr>
          <w:rFonts w:ascii="Arial" w:hAnsi="Arial" w:cs="Arial"/>
          <w:iCs/>
        </w:rPr>
        <w:t>a</w:t>
      </w:r>
      <w:proofErr w:type="spellEnd"/>
      <w:r w:rsidR="005F6DD9">
        <w:rPr>
          <w:rFonts w:ascii="Arial" w:hAnsi="Arial" w:cs="Arial"/>
          <w:iCs/>
        </w:rPr>
        <w:t xml:space="preserve"> </w:t>
      </w:r>
      <w:r w:rsidR="009B6161">
        <w:rPr>
          <w:rFonts w:ascii="Arial" w:hAnsi="Arial" w:cs="Arial"/>
          <w:iCs/>
        </w:rPr>
        <w:t xml:space="preserve">interim measure, and has not opened insolvency proceedings yet, </w:t>
      </w:r>
      <w:r w:rsidR="00920429">
        <w:rPr>
          <w:rFonts w:ascii="Arial" w:hAnsi="Arial" w:cs="Arial"/>
          <w:iCs/>
        </w:rPr>
        <w:t xml:space="preserve">hence </w:t>
      </w:r>
      <w:r w:rsidR="00906D91">
        <w:rPr>
          <w:rFonts w:ascii="Arial" w:hAnsi="Arial" w:cs="Arial"/>
          <w:iCs/>
        </w:rPr>
        <w:t>the Romanian court order is still pending on that matter</w:t>
      </w:r>
      <w:r w:rsidR="00920429">
        <w:rPr>
          <w:rFonts w:ascii="Arial" w:hAnsi="Arial" w:cs="Arial"/>
          <w:iCs/>
        </w:rPr>
        <w:t xml:space="preserve"> and </w:t>
      </w:r>
      <w:proofErr w:type="spellStart"/>
      <w:r w:rsidR="00920429">
        <w:rPr>
          <w:rFonts w:ascii="Arial" w:hAnsi="Arial" w:cs="Arial"/>
          <w:iCs/>
        </w:rPr>
        <w:t>Efwon</w:t>
      </w:r>
      <w:proofErr w:type="spellEnd"/>
      <w:r w:rsidR="00920429">
        <w:rPr>
          <w:rFonts w:ascii="Arial" w:hAnsi="Arial" w:cs="Arial"/>
          <w:iCs/>
        </w:rPr>
        <w:t xml:space="preserve"> Romania can request the opening of main insolvency proceedings in the Netherlands</w:t>
      </w:r>
      <w:r w:rsidR="00906D91">
        <w:rPr>
          <w:rFonts w:ascii="Arial" w:hAnsi="Arial" w:cs="Arial"/>
          <w:iCs/>
        </w:rPr>
        <w:t>.</w:t>
      </w:r>
    </w:p>
    <w:p w14:paraId="72E75C0E" w14:textId="141E247B" w:rsidR="001B5526" w:rsidRPr="00BA3421" w:rsidRDefault="0026428F" w:rsidP="00464E6C">
      <w:pPr>
        <w:pStyle w:val="ListParagraph"/>
        <w:numPr>
          <w:ilvl w:val="0"/>
          <w:numId w:val="2"/>
        </w:numPr>
        <w:spacing w:before="120" w:after="120" w:line="300" w:lineRule="exact"/>
        <w:ind w:left="0" w:firstLine="360"/>
        <w:jc w:val="both"/>
        <w:rPr>
          <w:rFonts w:ascii="Arial" w:hAnsi="Arial" w:cs="Arial"/>
          <w:iCs/>
        </w:rPr>
      </w:pPr>
      <w:r w:rsidRPr="00BA3421">
        <w:rPr>
          <w:rFonts w:ascii="Arial" w:hAnsi="Arial" w:cs="Arial"/>
          <w:iCs/>
        </w:rPr>
        <w:t xml:space="preserve">Shortly after the adoption of the </w:t>
      </w:r>
      <w:r w:rsidR="00096A07" w:rsidRPr="00BA3421">
        <w:rPr>
          <w:rFonts w:ascii="Arial" w:hAnsi="Arial" w:cs="Arial"/>
          <w:iCs/>
        </w:rPr>
        <w:t xml:space="preserve">old </w:t>
      </w:r>
      <w:r w:rsidRPr="00BA3421">
        <w:rPr>
          <w:rFonts w:ascii="Arial" w:hAnsi="Arial" w:cs="Arial"/>
          <w:iCs/>
        </w:rPr>
        <w:t>EIR, a difference of opinion arose as to whether the COMI was primarily located where the managerial decisions were taken (the ‘head function’) or rather where the debtor’s actions were visible to third parties.</w:t>
      </w:r>
      <w:r w:rsidR="006A4B97" w:rsidRPr="00BA3421">
        <w:rPr>
          <w:rFonts w:ascii="Arial" w:hAnsi="Arial" w:cs="Arial"/>
          <w:iCs/>
        </w:rPr>
        <w:t xml:space="preserve"> </w:t>
      </w:r>
    </w:p>
    <w:p w14:paraId="670E38DD" w14:textId="77777777" w:rsidR="002702D7" w:rsidRDefault="00250BCA" w:rsidP="007C2DD3">
      <w:pPr>
        <w:pStyle w:val="ListParagraph"/>
        <w:numPr>
          <w:ilvl w:val="0"/>
          <w:numId w:val="2"/>
        </w:numPr>
        <w:spacing w:before="120" w:after="120" w:line="300" w:lineRule="exact"/>
        <w:ind w:left="0" w:firstLine="360"/>
        <w:jc w:val="both"/>
        <w:rPr>
          <w:rFonts w:ascii="Arial" w:hAnsi="Arial" w:cs="Arial"/>
          <w:iCs/>
        </w:rPr>
      </w:pPr>
      <w:r w:rsidRPr="007C2DD3">
        <w:rPr>
          <w:rFonts w:ascii="Arial" w:hAnsi="Arial" w:cs="Arial"/>
          <w:iCs/>
        </w:rPr>
        <w:t>Prior to the</w:t>
      </w:r>
      <w:r w:rsidR="00BB6321" w:rsidRPr="007C2DD3">
        <w:rPr>
          <w:rFonts w:ascii="Arial" w:hAnsi="Arial" w:cs="Arial"/>
          <w:iCs/>
        </w:rPr>
        <w:t xml:space="preserve"> EIR Recast, two </w:t>
      </w:r>
      <w:r w:rsidR="004C0BEF" w:rsidRPr="007C2DD3">
        <w:rPr>
          <w:rFonts w:ascii="Arial" w:hAnsi="Arial" w:cs="Arial"/>
          <w:iCs/>
        </w:rPr>
        <w:t xml:space="preserve">notable cases </w:t>
      </w:r>
      <w:r w:rsidR="00096A07" w:rsidRPr="007C2DD3">
        <w:rPr>
          <w:rFonts w:ascii="Arial" w:hAnsi="Arial" w:cs="Arial"/>
          <w:iCs/>
        </w:rPr>
        <w:t>defined the</w:t>
      </w:r>
      <w:r w:rsidR="00BA3421" w:rsidRPr="007C2DD3">
        <w:rPr>
          <w:rFonts w:ascii="Arial" w:hAnsi="Arial" w:cs="Arial"/>
          <w:iCs/>
        </w:rPr>
        <w:t xml:space="preserve"> existence of COMI</w:t>
      </w:r>
      <w:r w:rsidR="004C0BEF" w:rsidRPr="007C2DD3">
        <w:rPr>
          <w:rFonts w:ascii="Arial" w:hAnsi="Arial" w:cs="Arial"/>
          <w:iCs/>
        </w:rPr>
        <w:t xml:space="preserve">. In the </w:t>
      </w:r>
      <w:proofErr w:type="spellStart"/>
      <w:r w:rsidR="004C0BEF" w:rsidRPr="007C2DD3">
        <w:rPr>
          <w:rFonts w:ascii="Arial" w:hAnsi="Arial" w:cs="Arial"/>
          <w:i/>
        </w:rPr>
        <w:t>Eurofood</w:t>
      </w:r>
      <w:proofErr w:type="spellEnd"/>
      <w:r w:rsidR="004C0BEF" w:rsidRPr="007C2DD3">
        <w:rPr>
          <w:rFonts w:ascii="Arial" w:hAnsi="Arial" w:cs="Arial"/>
          <w:iCs/>
        </w:rPr>
        <w:t xml:space="preserve"> case</w:t>
      </w:r>
      <w:r w:rsidR="004C0BEF">
        <w:rPr>
          <w:rStyle w:val="FootnoteReference"/>
          <w:rFonts w:ascii="Arial" w:hAnsi="Arial" w:cs="Arial"/>
          <w:iCs/>
        </w:rPr>
        <w:footnoteReference w:id="17"/>
      </w:r>
      <w:r w:rsidR="004C0BEF" w:rsidRPr="007C2DD3">
        <w:rPr>
          <w:rFonts w:ascii="Arial" w:hAnsi="Arial" w:cs="Arial"/>
          <w:iCs/>
        </w:rPr>
        <w:t xml:space="preserve">, </w:t>
      </w:r>
      <w:r w:rsidR="00A8284A" w:rsidRPr="007C2DD3">
        <w:rPr>
          <w:rFonts w:ascii="Arial" w:hAnsi="Arial" w:cs="Arial"/>
          <w:iCs/>
        </w:rPr>
        <w:t>the Irish court</w:t>
      </w:r>
      <w:r w:rsidR="00EB203E" w:rsidRPr="007C2DD3">
        <w:rPr>
          <w:rFonts w:ascii="Arial" w:hAnsi="Arial" w:cs="Arial"/>
          <w:iCs/>
        </w:rPr>
        <w:t xml:space="preserve"> </w:t>
      </w:r>
      <w:r w:rsidR="009C5D1B" w:rsidRPr="007C2DD3">
        <w:rPr>
          <w:rFonts w:ascii="Arial" w:hAnsi="Arial" w:cs="Arial"/>
          <w:iCs/>
        </w:rPr>
        <w:t>(</w:t>
      </w:r>
      <w:r w:rsidR="008D1216" w:rsidRPr="007C2DD3">
        <w:rPr>
          <w:rFonts w:ascii="Arial" w:hAnsi="Arial" w:cs="Arial"/>
          <w:iCs/>
        </w:rPr>
        <w:t xml:space="preserve">where </w:t>
      </w:r>
      <w:proofErr w:type="spellStart"/>
      <w:r w:rsidR="008D1216" w:rsidRPr="007C2DD3">
        <w:rPr>
          <w:rFonts w:ascii="Arial" w:hAnsi="Arial" w:cs="Arial"/>
          <w:iCs/>
        </w:rPr>
        <w:t>Eurofood</w:t>
      </w:r>
      <w:proofErr w:type="spellEnd"/>
      <w:r w:rsidR="008D1216" w:rsidRPr="007C2DD3">
        <w:rPr>
          <w:rFonts w:ascii="Arial" w:hAnsi="Arial" w:cs="Arial"/>
          <w:iCs/>
        </w:rPr>
        <w:t xml:space="preserve"> had its registered office and which was first seized with </w:t>
      </w:r>
      <w:r w:rsidR="007A429C" w:rsidRPr="007C2DD3">
        <w:rPr>
          <w:rFonts w:ascii="Arial" w:hAnsi="Arial" w:cs="Arial"/>
          <w:iCs/>
        </w:rPr>
        <w:t xml:space="preserve">an insolvency petition) </w:t>
      </w:r>
      <w:r w:rsidR="009C5D1B" w:rsidRPr="007C2DD3">
        <w:rPr>
          <w:rFonts w:ascii="Arial" w:hAnsi="Arial" w:cs="Arial"/>
          <w:iCs/>
        </w:rPr>
        <w:t xml:space="preserve">held that the Parma court </w:t>
      </w:r>
      <w:r w:rsidR="007A429C" w:rsidRPr="007C2DD3">
        <w:rPr>
          <w:rFonts w:ascii="Arial" w:hAnsi="Arial" w:cs="Arial"/>
          <w:iCs/>
        </w:rPr>
        <w:t xml:space="preserve">(where </w:t>
      </w:r>
      <w:proofErr w:type="spellStart"/>
      <w:r w:rsidR="007A429C" w:rsidRPr="007C2DD3">
        <w:rPr>
          <w:rFonts w:ascii="Arial" w:hAnsi="Arial" w:cs="Arial"/>
          <w:iCs/>
        </w:rPr>
        <w:t>Eurofood’s</w:t>
      </w:r>
      <w:proofErr w:type="spellEnd"/>
      <w:r w:rsidR="007A429C" w:rsidRPr="007C2DD3">
        <w:rPr>
          <w:rFonts w:ascii="Arial" w:hAnsi="Arial" w:cs="Arial"/>
          <w:iCs/>
        </w:rPr>
        <w:t xml:space="preserve"> Parent Company had a registered office and which </w:t>
      </w:r>
      <w:r w:rsidR="00C031A5" w:rsidRPr="007C2DD3">
        <w:rPr>
          <w:rFonts w:ascii="Arial" w:hAnsi="Arial" w:cs="Arial"/>
          <w:iCs/>
        </w:rPr>
        <w:t>opened</w:t>
      </w:r>
      <w:r w:rsidR="007A429C" w:rsidRPr="007C2DD3">
        <w:rPr>
          <w:rFonts w:ascii="Arial" w:hAnsi="Arial" w:cs="Arial"/>
          <w:iCs/>
        </w:rPr>
        <w:t xml:space="preserve"> an insolvency </w:t>
      </w:r>
      <w:r w:rsidR="00C031A5" w:rsidRPr="007C2DD3">
        <w:rPr>
          <w:rFonts w:ascii="Arial" w:hAnsi="Arial" w:cs="Arial"/>
          <w:iCs/>
        </w:rPr>
        <w:t xml:space="preserve">proceeding against </w:t>
      </w:r>
      <w:proofErr w:type="spellStart"/>
      <w:r w:rsidR="00F75C4D" w:rsidRPr="007C2DD3">
        <w:rPr>
          <w:rFonts w:ascii="Arial" w:hAnsi="Arial" w:cs="Arial"/>
          <w:iCs/>
        </w:rPr>
        <w:t>Eurofood</w:t>
      </w:r>
      <w:proofErr w:type="spellEnd"/>
      <w:r w:rsidR="00F75C4D" w:rsidRPr="007C2DD3">
        <w:rPr>
          <w:rFonts w:ascii="Arial" w:hAnsi="Arial" w:cs="Arial"/>
          <w:iCs/>
        </w:rPr>
        <w:t xml:space="preserve"> one month after the Irish proceeding) </w:t>
      </w:r>
      <w:r w:rsidR="009C5D1B" w:rsidRPr="007C2DD3">
        <w:rPr>
          <w:rFonts w:ascii="Arial" w:hAnsi="Arial" w:cs="Arial"/>
          <w:iCs/>
        </w:rPr>
        <w:t xml:space="preserve">could not open main proceedings </w:t>
      </w:r>
      <w:r w:rsidR="00F75C4D" w:rsidRPr="007C2DD3">
        <w:rPr>
          <w:rFonts w:ascii="Arial" w:hAnsi="Arial" w:cs="Arial"/>
          <w:iCs/>
        </w:rPr>
        <w:t>because</w:t>
      </w:r>
      <w:r w:rsidR="00B12A6C" w:rsidRPr="007C2DD3">
        <w:rPr>
          <w:rFonts w:ascii="Arial" w:hAnsi="Arial" w:cs="Arial"/>
          <w:iCs/>
        </w:rPr>
        <w:t xml:space="preserve"> </w:t>
      </w:r>
      <w:r w:rsidR="009C5D1B" w:rsidRPr="007C2DD3">
        <w:rPr>
          <w:rFonts w:ascii="Arial" w:hAnsi="Arial" w:cs="Arial"/>
          <w:iCs/>
        </w:rPr>
        <w:t xml:space="preserve">proceedings </w:t>
      </w:r>
      <w:r w:rsidR="00B12A6C" w:rsidRPr="007C2DD3">
        <w:rPr>
          <w:rFonts w:ascii="Arial" w:hAnsi="Arial" w:cs="Arial"/>
          <w:iCs/>
        </w:rPr>
        <w:t>were</w:t>
      </w:r>
      <w:r w:rsidR="009C5D1B" w:rsidRPr="007C2DD3">
        <w:rPr>
          <w:rFonts w:ascii="Arial" w:hAnsi="Arial" w:cs="Arial"/>
          <w:iCs/>
        </w:rPr>
        <w:t xml:space="preserve"> opened </w:t>
      </w:r>
      <w:r w:rsidR="00B12A6C" w:rsidRPr="007C2DD3">
        <w:rPr>
          <w:rFonts w:ascii="Arial" w:hAnsi="Arial" w:cs="Arial"/>
          <w:iCs/>
        </w:rPr>
        <w:t xml:space="preserve">first </w:t>
      </w:r>
      <w:r w:rsidR="009C5D1B" w:rsidRPr="007C2DD3">
        <w:rPr>
          <w:rFonts w:ascii="Arial" w:hAnsi="Arial" w:cs="Arial"/>
          <w:iCs/>
        </w:rPr>
        <w:t xml:space="preserve">by the Irish court and, the Parma judgment was contrary to public policy as </w:t>
      </w:r>
      <w:proofErr w:type="spellStart"/>
      <w:r w:rsidR="009C5D1B" w:rsidRPr="007C2DD3">
        <w:rPr>
          <w:rFonts w:ascii="Arial" w:hAnsi="Arial" w:cs="Arial"/>
          <w:iCs/>
        </w:rPr>
        <w:t>Eurofood’s</w:t>
      </w:r>
      <w:proofErr w:type="spellEnd"/>
      <w:r w:rsidR="009C5D1B" w:rsidRPr="007C2DD3">
        <w:rPr>
          <w:rFonts w:ascii="Arial" w:hAnsi="Arial" w:cs="Arial"/>
          <w:iCs/>
        </w:rPr>
        <w:t xml:space="preserve"> creditors had not received a notice of the hearing and because </w:t>
      </w:r>
      <w:r w:rsidR="0018142B" w:rsidRPr="007C2DD3">
        <w:rPr>
          <w:rFonts w:ascii="Arial" w:hAnsi="Arial" w:cs="Arial"/>
          <w:iCs/>
        </w:rPr>
        <w:t xml:space="preserve">the Irish </w:t>
      </w:r>
      <w:r w:rsidR="00511F0B" w:rsidRPr="007C2DD3">
        <w:rPr>
          <w:rFonts w:ascii="Arial" w:hAnsi="Arial" w:cs="Arial"/>
          <w:iCs/>
        </w:rPr>
        <w:t>Administrator</w:t>
      </w:r>
      <w:r w:rsidR="009C5D1B" w:rsidRPr="007C2DD3">
        <w:rPr>
          <w:rFonts w:ascii="Arial" w:hAnsi="Arial" w:cs="Arial"/>
          <w:iCs/>
        </w:rPr>
        <w:t xml:space="preserve"> had</w:t>
      </w:r>
      <w:r w:rsidR="0018142B" w:rsidRPr="007C2DD3">
        <w:rPr>
          <w:rFonts w:ascii="Arial" w:hAnsi="Arial" w:cs="Arial"/>
          <w:iCs/>
        </w:rPr>
        <w:t xml:space="preserve"> </w:t>
      </w:r>
      <w:r w:rsidR="009C5D1B" w:rsidRPr="007C2DD3">
        <w:rPr>
          <w:rFonts w:ascii="Arial" w:hAnsi="Arial" w:cs="Arial"/>
          <w:iCs/>
        </w:rPr>
        <w:t>not been furnished with the petition or other papers grounding the application until after the hearing had taken place.</w:t>
      </w:r>
      <w:r w:rsidR="00511F0B" w:rsidRPr="007C2DD3">
        <w:rPr>
          <w:rFonts w:ascii="Arial" w:hAnsi="Arial" w:cs="Arial"/>
          <w:iCs/>
        </w:rPr>
        <w:t xml:space="preserve"> </w:t>
      </w:r>
    </w:p>
    <w:p w14:paraId="7F72A928" w14:textId="77777777" w:rsidR="002702D7" w:rsidRDefault="00511F0B" w:rsidP="007C2DD3">
      <w:pPr>
        <w:pStyle w:val="ListParagraph"/>
        <w:numPr>
          <w:ilvl w:val="0"/>
          <w:numId w:val="2"/>
        </w:numPr>
        <w:spacing w:before="120" w:after="120" w:line="300" w:lineRule="exact"/>
        <w:ind w:left="0" w:firstLine="360"/>
        <w:jc w:val="both"/>
        <w:rPr>
          <w:rFonts w:ascii="Arial" w:hAnsi="Arial" w:cs="Arial"/>
          <w:iCs/>
        </w:rPr>
      </w:pPr>
      <w:r w:rsidRPr="007C2DD3">
        <w:rPr>
          <w:rFonts w:ascii="Arial" w:hAnsi="Arial" w:cs="Arial"/>
          <w:iCs/>
        </w:rPr>
        <w:t xml:space="preserve">The </w:t>
      </w:r>
      <w:proofErr w:type="spellStart"/>
      <w:r w:rsidRPr="007C2DD3">
        <w:rPr>
          <w:rFonts w:ascii="Arial" w:hAnsi="Arial" w:cs="Arial"/>
          <w:i/>
        </w:rPr>
        <w:t>Eurofood</w:t>
      </w:r>
      <w:proofErr w:type="spellEnd"/>
      <w:r w:rsidRPr="007C2DD3">
        <w:rPr>
          <w:rFonts w:ascii="Arial" w:hAnsi="Arial" w:cs="Arial"/>
          <w:iCs/>
        </w:rPr>
        <w:t xml:space="preserve"> case was taken to the European Court of Justice (ECJ) </w:t>
      </w:r>
      <w:r w:rsidR="00084EAB" w:rsidRPr="007C2DD3">
        <w:rPr>
          <w:rFonts w:ascii="Arial" w:hAnsi="Arial" w:cs="Arial"/>
          <w:iCs/>
        </w:rPr>
        <w:t>which held ‘in the system established by the EIR for determining the competence of the courts of the Member States, each debtor constituting a distinct legal entity is subject to its own court jurisdiction’.</w:t>
      </w:r>
      <w:r w:rsidR="00A2373A">
        <w:rPr>
          <w:rStyle w:val="FootnoteReference"/>
          <w:rFonts w:ascii="Arial" w:hAnsi="Arial" w:cs="Arial"/>
          <w:iCs/>
        </w:rPr>
        <w:footnoteReference w:id="18"/>
      </w:r>
      <w:r w:rsidR="00F05493" w:rsidRPr="007C2DD3">
        <w:rPr>
          <w:rFonts w:ascii="Arial" w:hAnsi="Arial" w:cs="Arial"/>
          <w:iCs/>
        </w:rPr>
        <w:t xml:space="preserve"> The ECJ further held that ‘(W)here a company carries on its business in the territory of the Member State where its registered office is situated, the mere fact that its economic choices are or can be controlled by a parent company in another Member State is not enough to rebut the presumption </w:t>
      </w:r>
      <w:r w:rsidR="00F05493" w:rsidRPr="007C2DD3">
        <w:rPr>
          <w:rFonts w:ascii="Arial" w:hAnsi="Arial" w:cs="Arial"/>
          <w:iCs/>
        </w:rPr>
        <w:lastRenderedPageBreak/>
        <w:t>laid down by the Regulation.”</w:t>
      </w:r>
      <w:r w:rsidR="00F05493">
        <w:rPr>
          <w:rStyle w:val="FootnoteReference"/>
          <w:rFonts w:ascii="Arial" w:hAnsi="Arial" w:cs="Arial"/>
          <w:iCs/>
        </w:rPr>
        <w:footnoteReference w:id="19"/>
      </w:r>
      <w:r w:rsidR="00ED00E7" w:rsidRPr="007C2DD3">
        <w:rPr>
          <w:rFonts w:ascii="Arial" w:hAnsi="Arial" w:cs="Arial"/>
          <w:iCs/>
        </w:rPr>
        <w:t xml:space="preserve"> The ECJ judgment emphasized the requirement that third parties could ascertain the COMI</w:t>
      </w:r>
      <w:r w:rsidR="00464E6C" w:rsidRPr="007C2DD3">
        <w:rPr>
          <w:rFonts w:ascii="Arial" w:hAnsi="Arial" w:cs="Arial"/>
          <w:iCs/>
        </w:rPr>
        <w:t xml:space="preserve">, </w:t>
      </w:r>
      <w:r w:rsidR="00ED00E7" w:rsidRPr="007C2DD3">
        <w:rPr>
          <w:rFonts w:ascii="Arial" w:hAnsi="Arial" w:cs="Arial"/>
          <w:iCs/>
        </w:rPr>
        <w:t>by identifying the place of the</w:t>
      </w:r>
      <w:r w:rsidR="00B527D6" w:rsidRPr="007C2DD3">
        <w:rPr>
          <w:rFonts w:ascii="Arial" w:hAnsi="Arial" w:cs="Arial"/>
          <w:iCs/>
        </w:rPr>
        <w:t xml:space="preserve"> </w:t>
      </w:r>
      <w:r w:rsidR="00ED00E7" w:rsidRPr="007C2DD3">
        <w:rPr>
          <w:rFonts w:ascii="Arial" w:hAnsi="Arial" w:cs="Arial"/>
          <w:iCs/>
        </w:rPr>
        <w:t>registered office. Rebuttal of the presumption must be based on their perception.</w:t>
      </w:r>
      <w:r w:rsidR="00A42AA0" w:rsidRPr="007C2DD3">
        <w:rPr>
          <w:rFonts w:ascii="Arial" w:hAnsi="Arial" w:cs="Arial"/>
          <w:iCs/>
        </w:rPr>
        <w:t xml:space="preserve"> </w:t>
      </w:r>
    </w:p>
    <w:p w14:paraId="3D76117D" w14:textId="27A85286" w:rsidR="008B61AE" w:rsidRPr="007C2DD3" w:rsidRDefault="00A42AA0" w:rsidP="007C2DD3">
      <w:pPr>
        <w:pStyle w:val="ListParagraph"/>
        <w:numPr>
          <w:ilvl w:val="0"/>
          <w:numId w:val="2"/>
        </w:numPr>
        <w:spacing w:before="120" w:after="120" w:line="300" w:lineRule="exact"/>
        <w:ind w:left="0" w:firstLine="360"/>
        <w:jc w:val="both"/>
        <w:rPr>
          <w:rFonts w:ascii="Arial" w:hAnsi="Arial" w:cs="Arial"/>
          <w:iCs/>
        </w:rPr>
      </w:pPr>
      <w:r w:rsidRPr="007C2DD3">
        <w:rPr>
          <w:rFonts w:ascii="Arial" w:hAnsi="Arial" w:cs="Arial"/>
          <w:iCs/>
        </w:rPr>
        <w:t xml:space="preserve">In the </w:t>
      </w:r>
      <w:proofErr w:type="spellStart"/>
      <w:r w:rsidR="007F1E6A" w:rsidRPr="009267DF">
        <w:rPr>
          <w:rFonts w:ascii="Arial" w:hAnsi="Arial" w:cs="Arial"/>
          <w:i/>
        </w:rPr>
        <w:t>Interedil</w:t>
      </w:r>
      <w:proofErr w:type="spellEnd"/>
      <w:r w:rsidR="007F1E6A" w:rsidRPr="009267DF">
        <w:rPr>
          <w:rFonts w:ascii="Arial" w:hAnsi="Arial" w:cs="Arial"/>
          <w:i/>
        </w:rPr>
        <w:t xml:space="preserve"> v Intesa</w:t>
      </w:r>
      <w:r w:rsidR="009267DF">
        <w:rPr>
          <w:rFonts w:ascii="Arial" w:hAnsi="Arial" w:cs="Arial"/>
          <w:iCs/>
        </w:rPr>
        <w:t xml:space="preserve"> case</w:t>
      </w:r>
      <w:r w:rsidR="0029029E">
        <w:rPr>
          <w:rFonts w:ascii="Arial" w:hAnsi="Arial" w:cs="Arial"/>
          <w:iCs/>
        </w:rPr>
        <w:t>,</w:t>
      </w:r>
      <w:r w:rsidR="006807A8">
        <w:rPr>
          <w:rStyle w:val="FootnoteReference"/>
          <w:rFonts w:ascii="Arial" w:hAnsi="Arial" w:cs="Arial"/>
          <w:iCs/>
        </w:rPr>
        <w:footnoteReference w:id="20"/>
      </w:r>
      <w:r w:rsidR="0029029E">
        <w:rPr>
          <w:rFonts w:ascii="Arial" w:hAnsi="Arial" w:cs="Arial"/>
          <w:iCs/>
        </w:rPr>
        <w:t xml:space="preserve"> the ECJ was petitioned with </w:t>
      </w:r>
      <w:r w:rsidR="007F1E6A" w:rsidRPr="007C2DD3">
        <w:rPr>
          <w:rFonts w:ascii="Arial" w:hAnsi="Arial" w:cs="Arial"/>
          <w:iCs/>
        </w:rPr>
        <w:t xml:space="preserve">a case in which a registered office had been transferred from </w:t>
      </w:r>
      <w:r w:rsidR="00E51777">
        <w:rPr>
          <w:rFonts w:ascii="Arial" w:hAnsi="Arial" w:cs="Arial"/>
          <w:iCs/>
        </w:rPr>
        <w:t>Italy</w:t>
      </w:r>
      <w:r w:rsidR="007F1E6A" w:rsidRPr="007C2DD3">
        <w:rPr>
          <w:rFonts w:ascii="Arial" w:hAnsi="Arial" w:cs="Arial"/>
          <w:iCs/>
        </w:rPr>
        <w:t xml:space="preserve"> to London. The ECJ held that the COMI may not be at the place of the registered office if, from the viewpoint of third parties, the place in which the company’s central administration is located differs from the registered office. The location of immovable property owned by the debtor company, in respect of which the company had entered into a lease agreement, and the existence in that member state of a contract concluded with a financial institution, may be regarded as objective factors and, in the light of the fact that they are likely to be matters in the public domain, as factors that are ascertainable by third parties. However, even in such a case a comprehensive assessment of all the relevant factors is required </w:t>
      </w:r>
      <w:proofErr w:type="gramStart"/>
      <w:r w:rsidR="007F1E6A" w:rsidRPr="007C2DD3">
        <w:rPr>
          <w:rFonts w:ascii="Arial" w:hAnsi="Arial" w:cs="Arial"/>
          <w:iCs/>
        </w:rPr>
        <w:t>in order to</w:t>
      </w:r>
      <w:proofErr w:type="gramEnd"/>
      <w:r w:rsidR="007F1E6A" w:rsidRPr="007C2DD3">
        <w:rPr>
          <w:rFonts w:ascii="Arial" w:hAnsi="Arial" w:cs="Arial"/>
          <w:iCs/>
        </w:rPr>
        <w:t xml:space="preserve"> establish whether </w:t>
      </w:r>
      <w:r w:rsidR="00BF258B">
        <w:rPr>
          <w:rFonts w:ascii="Arial" w:hAnsi="Arial" w:cs="Arial"/>
          <w:iCs/>
        </w:rPr>
        <w:t>“</w:t>
      </w:r>
      <w:r w:rsidR="007F1E6A" w:rsidRPr="007C2DD3">
        <w:rPr>
          <w:rFonts w:ascii="Arial" w:hAnsi="Arial" w:cs="Arial"/>
          <w:iCs/>
        </w:rPr>
        <w:t xml:space="preserve">the company’s actual </w:t>
      </w:r>
      <w:proofErr w:type="spellStart"/>
      <w:r w:rsidR="007F1E6A" w:rsidRPr="007C2DD3">
        <w:rPr>
          <w:rFonts w:ascii="Arial" w:hAnsi="Arial" w:cs="Arial"/>
          <w:iCs/>
        </w:rPr>
        <w:t>centre</w:t>
      </w:r>
      <w:proofErr w:type="spellEnd"/>
      <w:r w:rsidR="007F1E6A" w:rsidRPr="007C2DD3">
        <w:rPr>
          <w:rFonts w:ascii="Arial" w:hAnsi="Arial" w:cs="Arial"/>
          <w:iCs/>
        </w:rPr>
        <w:t xml:space="preserve"> of management and supervision and</w:t>
      </w:r>
      <w:r w:rsidR="007C2DD3">
        <w:rPr>
          <w:rFonts w:ascii="Arial" w:hAnsi="Arial" w:cs="Arial"/>
          <w:iCs/>
        </w:rPr>
        <w:t xml:space="preserve"> </w:t>
      </w:r>
      <w:r w:rsidR="007F1E6A" w:rsidRPr="007C2DD3">
        <w:rPr>
          <w:rFonts w:ascii="Arial" w:hAnsi="Arial" w:cs="Arial"/>
          <w:iCs/>
        </w:rPr>
        <w:t>of the management of its interests is located in that other Member State</w:t>
      </w:r>
      <w:r w:rsidR="00BF258B">
        <w:rPr>
          <w:rFonts w:ascii="Arial" w:hAnsi="Arial" w:cs="Arial"/>
          <w:iCs/>
        </w:rPr>
        <w:t>”</w:t>
      </w:r>
      <w:r w:rsidR="007F1E6A" w:rsidRPr="007C2DD3">
        <w:rPr>
          <w:rFonts w:ascii="Arial" w:hAnsi="Arial" w:cs="Arial"/>
          <w:iCs/>
        </w:rPr>
        <w:t>.</w:t>
      </w:r>
    </w:p>
    <w:p w14:paraId="07BB7FE2" w14:textId="08150BC7" w:rsidR="00464E6C" w:rsidRDefault="00844949" w:rsidP="00844949">
      <w:pPr>
        <w:pStyle w:val="ListParagraph"/>
        <w:numPr>
          <w:ilvl w:val="0"/>
          <w:numId w:val="2"/>
        </w:numPr>
        <w:spacing w:before="120" w:after="120" w:line="300" w:lineRule="exact"/>
        <w:ind w:left="0" w:firstLine="360"/>
        <w:jc w:val="both"/>
        <w:rPr>
          <w:rFonts w:ascii="Arial" w:hAnsi="Arial" w:cs="Arial"/>
          <w:iCs/>
        </w:rPr>
      </w:pPr>
      <w:r w:rsidRPr="00844949">
        <w:rPr>
          <w:rFonts w:ascii="Arial" w:hAnsi="Arial" w:cs="Arial"/>
          <w:iCs/>
        </w:rPr>
        <w:t xml:space="preserve">The EIR </w:t>
      </w:r>
      <w:r>
        <w:rPr>
          <w:rFonts w:ascii="Arial" w:hAnsi="Arial" w:cs="Arial"/>
          <w:iCs/>
        </w:rPr>
        <w:t xml:space="preserve">recast </w:t>
      </w:r>
      <w:r w:rsidR="00140267">
        <w:rPr>
          <w:rFonts w:ascii="Arial" w:hAnsi="Arial" w:cs="Arial"/>
          <w:iCs/>
        </w:rPr>
        <w:t>now clarifies that</w:t>
      </w:r>
      <w:r w:rsidRPr="00844949">
        <w:rPr>
          <w:rFonts w:ascii="Arial" w:hAnsi="Arial" w:cs="Arial"/>
          <w:iCs/>
        </w:rPr>
        <w:t xml:space="preserve"> the COMI shall be the place where the debtor regularly administers its </w:t>
      </w:r>
      <w:r w:rsidR="00140267" w:rsidRPr="00844949">
        <w:rPr>
          <w:rFonts w:ascii="Arial" w:hAnsi="Arial" w:cs="Arial"/>
          <w:iCs/>
        </w:rPr>
        <w:t>interests,</w:t>
      </w:r>
      <w:r w:rsidRPr="00844949">
        <w:rPr>
          <w:rFonts w:ascii="Arial" w:hAnsi="Arial" w:cs="Arial"/>
          <w:iCs/>
        </w:rPr>
        <w:t xml:space="preserve"> and which can be ascertained by third parties. The decisive factor is thus clarified as not merely the debtor's intention but also the creditors' perception of where the debtor administers its interests.</w:t>
      </w:r>
      <w:r w:rsidR="00CC5E19">
        <w:rPr>
          <w:rStyle w:val="FootnoteReference"/>
          <w:rFonts w:ascii="Arial" w:hAnsi="Arial" w:cs="Arial"/>
          <w:iCs/>
        </w:rPr>
        <w:footnoteReference w:id="21"/>
      </w:r>
    </w:p>
    <w:p w14:paraId="3ED8E89C" w14:textId="0854B827" w:rsidR="00140267" w:rsidRPr="00DE4D9A" w:rsidRDefault="00E7537A" w:rsidP="008764B0">
      <w:pPr>
        <w:spacing w:before="120" w:after="120" w:line="300" w:lineRule="exact"/>
        <w:ind w:left="360"/>
        <w:jc w:val="both"/>
        <w:rPr>
          <w:rFonts w:ascii="Arial" w:hAnsi="Arial" w:cs="Arial"/>
          <w:b/>
          <w:bCs/>
          <w:iCs/>
          <w:u w:val="single"/>
        </w:rPr>
      </w:pPr>
      <w:r w:rsidRPr="00DE4D9A">
        <w:rPr>
          <w:rFonts w:ascii="Arial" w:hAnsi="Arial" w:cs="Arial"/>
          <w:b/>
          <w:bCs/>
          <w:iCs/>
          <w:u w:val="single"/>
        </w:rPr>
        <w:t xml:space="preserve">UNCITRAL Model Law on Cross-Border Insolvency </w:t>
      </w:r>
      <w:r w:rsidR="00C63D84" w:rsidRPr="00DE4D9A">
        <w:rPr>
          <w:rFonts w:ascii="Arial" w:hAnsi="Arial" w:cs="Arial"/>
          <w:b/>
          <w:bCs/>
          <w:iCs/>
          <w:u w:val="single"/>
        </w:rPr>
        <w:t xml:space="preserve">1997 </w:t>
      </w:r>
      <w:r w:rsidRPr="00DE4D9A">
        <w:rPr>
          <w:rFonts w:ascii="Arial" w:hAnsi="Arial" w:cs="Arial"/>
          <w:b/>
          <w:bCs/>
          <w:iCs/>
          <w:u w:val="single"/>
        </w:rPr>
        <w:t>(</w:t>
      </w:r>
      <w:r w:rsidR="00014CAE" w:rsidRPr="00DE4D9A">
        <w:rPr>
          <w:rFonts w:ascii="Arial" w:hAnsi="Arial" w:cs="Arial"/>
          <w:b/>
          <w:bCs/>
          <w:iCs/>
          <w:u w:val="single"/>
        </w:rPr>
        <w:t>the</w:t>
      </w:r>
      <w:r w:rsidR="00C63D84" w:rsidRPr="00DE4D9A">
        <w:rPr>
          <w:rFonts w:ascii="Arial" w:hAnsi="Arial" w:cs="Arial"/>
          <w:b/>
          <w:bCs/>
          <w:iCs/>
          <w:u w:val="single"/>
        </w:rPr>
        <w:t xml:space="preserve"> Model Law</w:t>
      </w:r>
      <w:r w:rsidRPr="00DE4D9A">
        <w:rPr>
          <w:rFonts w:ascii="Arial" w:hAnsi="Arial" w:cs="Arial"/>
          <w:b/>
          <w:bCs/>
          <w:iCs/>
          <w:u w:val="single"/>
        </w:rPr>
        <w:t>)</w:t>
      </w:r>
      <w:r w:rsidR="00853465" w:rsidRPr="00DE4D9A">
        <w:rPr>
          <w:rStyle w:val="FootnoteReference"/>
          <w:rFonts w:ascii="Arial" w:hAnsi="Arial" w:cs="Arial"/>
          <w:b/>
          <w:bCs/>
          <w:iCs/>
          <w:u w:val="single"/>
        </w:rPr>
        <w:footnoteReference w:id="22"/>
      </w:r>
    </w:p>
    <w:p w14:paraId="77605A60" w14:textId="6F941BBE" w:rsidR="00111394" w:rsidRPr="00111394" w:rsidRDefault="00111394" w:rsidP="00111394">
      <w:pPr>
        <w:pStyle w:val="ListParagraph"/>
        <w:numPr>
          <w:ilvl w:val="0"/>
          <w:numId w:val="2"/>
        </w:numPr>
        <w:spacing w:before="120" w:after="120" w:line="300" w:lineRule="exact"/>
        <w:ind w:left="0" w:firstLine="360"/>
        <w:jc w:val="both"/>
        <w:rPr>
          <w:rFonts w:ascii="Arial" w:hAnsi="Arial" w:cs="Arial"/>
          <w:iCs/>
          <w:lang w:val="en-GB"/>
        </w:rPr>
      </w:pPr>
      <w:r w:rsidRPr="00014CAE">
        <w:rPr>
          <w:rFonts w:ascii="Arial" w:hAnsi="Arial" w:cs="Arial"/>
          <w:iCs/>
          <w:lang w:val="en-GB"/>
        </w:rPr>
        <w:t>Designed to provi</w:t>
      </w:r>
      <w:r w:rsidRPr="00111394">
        <w:rPr>
          <w:rFonts w:ascii="Arial" w:hAnsi="Arial" w:cs="Arial"/>
          <w:iCs/>
          <w:lang w:val="en-GB"/>
        </w:rPr>
        <w:t xml:space="preserve">de effective mechanisms for dealing with cross-border insolvency cases, </w:t>
      </w:r>
      <w:r w:rsidR="00AB5732">
        <w:rPr>
          <w:rFonts w:ascii="Arial" w:hAnsi="Arial" w:cs="Arial"/>
          <w:iCs/>
          <w:lang w:val="en-GB"/>
        </w:rPr>
        <w:t xml:space="preserve">the UNCITRAL Model Law </w:t>
      </w:r>
      <w:r w:rsidR="00AB5732" w:rsidRPr="00AB5732">
        <w:rPr>
          <w:rFonts w:ascii="Arial" w:hAnsi="Arial" w:cs="Arial"/>
          <w:iCs/>
          <w:lang w:val="en-GB"/>
        </w:rPr>
        <w:t>was conceived in 1997 with the objective of facilitating the optimal management of cross-border insolvency. It aim</w:t>
      </w:r>
      <w:r w:rsidR="00792D8C">
        <w:rPr>
          <w:rFonts w:ascii="Arial" w:hAnsi="Arial" w:cs="Arial"/>
          <w:iCs/>
          <w:lang w:val="en-GB"/>
        </w:rPr>
        <w:t>s</w:t>
      </w:r>
      <w:r w:rsidR="00AB5732" w:rsidRPr="00AB5732">
        <w:rPr>
          <w:rFonts w:ascii="Arial" w:hAnsi="Arial" w:cs="Arial"/>
          <w:iCs/>
          <w:lang w:val="en-GB"/>
        </w:rPr>
        <w:t xml:space="preserve"> </w:t>
      </w:r>
      <w:r w:rsidR="00792D8C">
        <w:rPr>
          <w:rFonts w:ascii="Arial" w:hAnsi="Arial" w:cs="Arial"/>
          <w:iCs/>
          <w:lang w:val="en-GB"/>
        </w:rPr>
        <w:t>is</w:t>
      </w:r>
      <w:r w:rsidR="00AB5732" w:rsidRPr="00AB5732">
        <w:rPr>
          <w:rFonts w:ascii="Arial" w:hAnsi="Arial" w:cs="Arial"/>
          <w:iCs/>
          <w:lang w:val="en-GB"/>
        </w:rPr>
        <w:t xml:space="preserve"> to </w:t>
      </w:r>
      <w:r w:rsidR="00792D8C">
        <w:rPr>
          <w:rFonts w:ascii="Arial" w:hAnsi="Arial" w:cs="Arial"/>
          <w:iCs/>
          <w:lang w:val="en-GB"/>
        </w:rPr>
        <w:t>achieve this is</w:t>
      </w:r>
      <w:r w:rsidR="00AB5732" w:rsidRPr="00AB5732">
        <w:rPr>
          <w:rFonts w:ascii="Arial" w:hAnsi="Arial" w:cs="Arial"/>
          <w:iCs/>
          <w:lang w:val="en-GB"/>
        </w:rPr>
        <w:t xml:space="preserve"> by providing an adoptable, consistent framework for countries to recognize foreign insolvency proceedings. </w:t>
      </w:r>
      <w:r w:rsidR="00C5337A">
        <w:rPr>
          <w:rFonts w:ascii="Arial" w:hAnsi="Arial" w:cs="Arial"/>
          <w:iCs/>
          <w:lang w:val="en-GB"/>
        </w:rPr>
        <w:t>A</w:t>
      </w:r>
      <w:r w:rsidRPr="00111394">
        <w:rPr>
          <w:rFonts w:ascii="Arial" w:hAnsi="Arial" w:cs="Arial"/>
          <w:iCs/>
          <w:lang w:val="en-GB"/>
        </w:rPr>
        <w:t>s of 2024 legislation based on or influenced by the Model Law has been adopted in 60 States in a total of 63 jurisdictions.</w:t>
      </w:r>
      <w:r w:rsidRPr="00111394">
        <w:rPr>
          <w:rStyle w:val="FootnoteReference"/>
          <w:rFonts w:ascii="Arial" w:hAnsi="Arial" w:cs="Arial"/>
          <w:iCs/>
          <w:lang w:val="en-GB"/>
        </w:rPr>
        <w:footnoteReference w:id="23"/>
      </w:r>
    </w:p>
    <w:p w14:paraId="69A39C50" w14:textId="494FB664" w:rsidR="008764B0" w:rsidRDefault="00220236" w:rsidP="00F92B14">
      <w:pPr>
        <w:pStyle w:val="ListParagraph"/>
        <w:numPr>
          <w:ilvl w:val="0"/>
          <w:numId w:val="2"/>
        </w:numPr>
        <w:spacing w:before="120" w:after="120" w:line="300" w:lineRule="exact"/>
        <w:ind w:left="0" w:firstLine="360"/>
        <w:jc w:val="both"/>
        <w:rPr>
          <w:rFonts w:ascii="Arial" w:hAnsi="Arial" w:cs="Arial"/>
          <w:iCs/>
        </w:rPr>
      </w:pPr>
      <w:r w:rsidRPr="00220236">
        <w:rPr>
          <w:rFonts w:ascii="Arial" w:hAnsi="Arial" w:cs="Arial"/>
          <w:iCs/>
        </w:rPr>
        <w:t>For a foreign proceeding to be recognized under the UNCITRAL Model Law</w:t>
      </w:r>
      <w:r w:rsidR="001F0B8C">
        <w:rPr>
          <w:rFonts w:ascii="Arial" w:hAnsi="Arial" w:cs="Arial"/>
          <w:iCs/>
        </w:rPr>
        <w:t xml:space="preserve">, </w:t>
      </w:r>
      <w:r w:rsidR="001F0B8C" w:rsidRPr="001F0B8C">
        <w:rPr>
          <w:rFonts w:ascii="Arial" w:hAnsi="Arial" w:cs="Arial"/>
          <w:iCs/>
        </w:rPr>
        <w:t>the foreign proceeding must be either a foreign main proceeding or a foreign nonmain proceeding. A foreign main proceeding is one taking place in the country where the debtor has the center of its main interests (“COMI”). A foreign non</w:t>
      </w:r>
      <w:r w:rsidR="00CB3B8E">
        <w:rPr>
          <w:rFonts w:ascii="Arial" w:hAnsi="Arial" w:cs="Arial"/>
          <w:iCs/>
        </w:rPr>
        <w:t>-</w:t>
      </w:r>
      <w:r w:rsidR="001F0B8C" w:rsidRPr="001F0B8C">
        <w:rPr>
          <w:rFonts w:ascii="Arial" w:hAnsi="Arial" w:cs="Arial"/>
          <w:iCs/>
        </w:rPr>
        <w:t xml:space="preserve">main proceeding is one taking place in a country where the debtor has an establishment, </w:t>
      </w:r>
      <w:r w:rsidR="00DB19C0" w:rsidRPr="001F0B8C">
        <w:rPr>
          <w:rFonts w:ascii="Arial" w:hAnsi="Arial" w:cs="Arial"/>
          <w:iCs/>
        </w:rPr>
        <w:t>i.e.,</w:t>
      </w:r>
      <w:r w:rsidR="001F0B8C" w:rsidRPr="001F0B8C">
        <w:rPr>
          <w:rFonts w:ascii="Arial" w:hAnsi="Arial" w:cs="Arial"/>
          <w:iCs/>
        </w:rPr>
        <w:t xml:space="preserve"> a place of operations where the debtor carries out a non-transitory economic activity.</w:t>
      </w:r>
      <w:r w:rsidR="00DB19C0">
        <w:rPr>
          <w:rStyle w:val="FootnoteReference"/>
          <w:rFonts w:ascii="Arial" w:hAnsi="Arial" w:cs="Arial"/>
          <w:iCs/>
        </w:rPr>
        <w:footnoteReference w:id="24"/>
      </w:r>
    </w:p>
    <w:p w14:paraId="326CA956" w14:textId="552973C9" w:rsidR="00FF1ACF" w:rsidRDefault="006631AA" w:rsidP="00F92B14">
      <w:pPr>
        <w:pStyle w:val="ListParagraph"/>
        <w:numPr>
          <w:ilvl w:val="0"/>
          <w:numId w:val="2"/>
        </w:numPr>
        <w:spacing w:before="120" w:after="120" w:line="300" w:lineRule="exact"/>
        <w:ind w:left="0" w:firstLine="360"/>
        <w:jc w:val="both"/>
        <w:rPr>
          <w:rFonts w:ascii="Arial" w:hAnsi="Arial" w:cs="Arial"/>
          <w:iCs/>
        </w:rPr>
      </w:pPr>
      <w:r w:rsidRPr="006631AA">
        <w:rPr>
          <w:rFonts w:ascii="Arial" w:hAnsi="Arial" w:cs="Arial"/>
          <w:iCs/>
        </w:rPr>
        <w:t xml:space="preserve">Recognition of a foreign main proceeding has </w:t>
      </w:r>
      <w:r w:rsidR="00083645">
        <w:rPr>
          <w:rFonts w:ascii="Arial" w:hAnsi="Arial" w:cs="Arial"/>
          <w:iCs/>
        </w:rPr>
        <w:t xml:space="preserve">an </w:t>
      </w:r>
      <w:r w:rsidRPr="006631AA">
        <w:rPr>
          <w:rFonts w:ascii="Arial" w:hAnsi="Arial" w:cs="Arial"/>
          <w:iCs/>
        </w:rPr>
        <w:t xml:space="preserve">automatic effect on the debtor’s </w:t>
      </w:r>
      <w:r w:rsidR="00083645">
        <w:rPr>
          <w:rFonts w:ascii="Arial" w:hAnsi="Arial" w:cs="Arial"/>
          <w:iCs/>
        </w:rPr>
        <w:t xml:space="preserve">assets </w:t>
      </w:r>
      <w:r w:rsidRPr="006631AA">
        <w:rPr>
          <w:rFonts w:ascii="Arial" w:hAnsi="Arial" w:cs="Arial"/>
          <w:iCs/>
        </w:rPr>
        <w:t>and the conduct of creditors (</w:t>
      </w:r>
      <w:r w:rsidR="009F398E">
        <w:rPr>
          <w:rFonts w:ascii="Arial" w:hAnsi="Arial" w:cs="Arial"/>
          <w:iCs/>
        </w:rPr>
        <w:t>e.g.</w:t>
      </w:r>
      <w:r w:rsidRPr="006631AA">
        <w:rPr>
          <w:rFonts w:ascii="Arial" w:hAnsi="Arial" w:cs="Arial"/>
          <w:iCs/>
        </w:rPr>
        <w:t xml:space="preserve">, protection from creditor </w:t>
      </w:r>
      <w:r w:rsidR="009F398E">
        <w:rPr>
          <w:rFonts w:ascii="Arial" w:hAnsi="Arial" w:cs="Arial"/>
          <w:iCs/>
        </w:rPr>
        <w:t xml:space="preserve">enforcement </w:t>
      </w:r>
      <w:r w:rsidRPr="006631AA">
        <w:rPr>
          <w:rFonts w:ascii="Arial" w:hAnsi="Arial" w:cs="Arial"/>
          <w:iCs/>
        </w:rPr>
        <w:t xml:space="preserve">actions and </w:t>
      </w:r>
      <w:r w:rsidR="00F8000E">
        <w:rPr>
          <w:rFonts w:ascii="Arial" w:hAnsi="Arial" w:cs="Arial"/>
          <w:iCs/>
        </w:rPr>
        <w:t>preventing</w:t>
      </w:r>
      <w:r w:rsidRPr="006631AA">
        <w:rPr>
          <w:rFonts w:ascii="Arial" w:hAnsi="Arial" w:cs="Arial"/>
          <w:iCs/>
        </w:rPr>
        <w:t xml:space="preserve"> of lawsuits)</w:t>
      </w:r>
      <w:r w:rsidR="00EE1FF4">
        <w:rPr>
          <w:rFonts w:ascii="Arial" w:hAnsi="Arial" w:cs="Arial"/>
          <w:iCs/>
        </w:rPr>
        <w:t>, and</w:t>
      </w:r>
      <w:r w:rsidRPr="006631AA">
        <w:rPr>
          <w:rFonts w:ascii="Arial" w:hAnsi="Arial" w:cs="Arial"/>
          <w:iCs/>
        </w:rPr>
        <w:t xml:space="preserve"> recognition of a foreign non</w:t>
      </w:r>
      <w:r w:rsidR="00CB3B8E">
        <w:rPr>
          <w:rFonts w:ascii="Arial" w:hAnsi="Arial" w:cs="Arial"/>
          <w:iCs/>
        </w:rPr>
        <w:t>-</w:t>
      </w:r>
      <w:r w:rsidRPr="006631AA">
        <w:rPr>
          <w:rFonts w:ascii="Arial" w:hAnsi="Arial" w:cs="Arial"/>
          <w:iCs/>
        </w:rPr>
        <w:t xml:space="preserve">main proceeding permits such </w:t>
      </w:r>
      <w:r w:rsidR="00075975" w:rsidRPr="006631AA">
        <w:rPr>
          <w:rFonts w:ascii="Arial" w:hAnsi="Arial" w:cs="Arial"/>
          <w:iCs/>
        </w:rPr>
        <w:t>relief,</w:t>
      </w:r>
      <w:r w:rsidRPr="006631AA">
        <w:rPr>
          <w:rFonts w:ascii="Arial" w:hAnsi="Arial" w:cs="Arial"/>
          <w:iCs/>
        </w:rPr>
        <w:t xml:space="preserve"> but it is not automatic. In addition, the status of a proceeding as a foreign main proceeding often effects crucial choice of law determinations, such as the fixing of the law governing whether transactions </w:t>
      </w:r>
      <w:proofErr w:type="gramStart"/>
      <w:r w:rsidR="00A35FFC">
        <w:rPr>
          <w:rFonts w:ascii="Arial" w:hAnsi="Arial" w:cs="Arial"/>
          <w:iCs/>
        </w:rPr>
        <w:lastRenderedPageBreak/>
        <w:t>entered into</w:t>
      </w:r>
      <w:proofErr w:type="gramEnd"/>
      <w:r w:rsidR="00A35FFC">
        <w:rPr>
          <w:rFonts w:ascii="Arial" w:hAnsi="Arial" w:cs="Arial"/>
          <w:iCs/>
        </w:rPr>
        <w:t xml:space="preserve"> </w:t>
      </w:r>
      <w:r w:rsidRPr="006631AA">
        <w:rPr>
          <w:rFonts w:ascii="Arial" w:hAnsi="Arial" w:cs="Arial"/>
          <w:iCs/>
        </w:rPr>
        <w:t>prior to the commencement of insolvency proceedings may be avoidable by a</w:t>
      </w:r>
      <w:r w:rsidR="00A35FFC">
        <w:rPr>
          <w:rFonts w:ascii="Arial" w:hAnsi="Arial" w:cs="Arial"/>
          <w:iCs/>
        </w:rPr>
        <w:t>n administrator</w:t>
      </w:r>
      <w:r w:rsidRPr="006631AA">
        <w:rPr>
          <w:rFonts w:ascii="Arial" w:hAnsi="Arial" w:cs="Arial"/>
          <w:iCs/>
        </w:rPr>
        <w:t>.</w:t>
      </w:r>
    </w:p>
    <w:p w14:paraId="2C573AD6" w14:textId="6A3FD609" w:rsidR="00554B90" w:rsidRDefault="00A46A63" w:rsidP="00F92B14">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T</w:t>
      </w:r>
      <w:r w:rsidRPr="00A46A63">
        <w:rPr>
          <w:rFonts w:ascii="Arial" w:hAnsi="Arial" w:cs="Arial"/>
          <w:iCs/>
        </w:rPr>
        <w:t xml:space="preserve">he COMI determination is among the requirements for recognition of a foreign main proceeding that will enable a domestic court to assist </w:t>
      </w:r>
      <w:r w:rsidR="00E61AE7">
        <w:rPr>
          <w:rFonts w:ascii="Arial" w:hAnsi="Arial" w:cs="Arial"/>
          <w:iCs/>
        </w:rPr>
        <w:t>the</w:t>
      </w:r>
      <w:r w:rsidRPr="00A46A63">
        <w:rPr>
          <w:rFonts w:ascii="Arial" w:hAnsi="Arial" w:cs="Arial"/>
          <w:iCs/>
        </w:rPr>
        <w:t xml:space="preserve"> foreign proceeding. Recognition is essentially an eligibility test of whether there </w:t>
      </w:r>
      <w:r w:rsidR="00E61AE7">
        <w:rPr>
          <w:rFonts w:ascii="Arial" w:hAnsi="Arial" w:cs="Arial"/>
          <w:iCs/>
        </w:rPr>
        <w:t>are</w:t>
      </w:r>
      <w:r w:rsidRPr="00A46A63">
        <w:rPr>
          <w:rFonts w:ascii="Arial" w:hAnsi="Arial" w:cs="Arial"/>
          <w:iCs/>
        </w:rPr>
        <w:t xml:space="preserve"> sufficient “connecting factors” between the debtor and the foreign court to warrant recognition of the foreign proceeding.</w:t>
      </w:r>
      <w:r w:rsidR="002F0A8C">
        <w:rPr>
          <w:rFonts w:ascii="Arial" w:hAnsi="Arial" w:cs="Arial"/>
          <w:iCs/>
        </w:rPr>
        <w:t xml:space="preserve"> As the EIR, the Model Law also </w:t>
      </w:r>
      <w:r w:rsidR="002F0A8C" w:rsidRPr="002F0A8C">
        <w:rPr>
          <w:rFonts w:ascii="Arial" w:hAnsi="Arial" w:cs="Arial"/>
          <w:iCs/>
        </w:rPr>
        <w:t>contain</w:t>
      </w:r>
      <w:r w:rsidR="002F0A8C">
        <w:rPr>
          <w:rFonts w:ascii="Arial" w:hAnsi="Arial" w:cs="Arial"/>
          <w:iCs/>
        </w:rPr>
        <w:t>s</w:t>
      </w:r>
      <w:r w:rsidR="002F0A8C" w:rsidRPr="002F0A8C">
        <w:rPr>
          <w:rFonts w:ascii="Arial" w:hAnsi="Arial" w:cs="Arial"/>
          <w:iCs/>
        </w:rPr>
        <w:t xml:space="preserve"> a presumption that a debtor’s country of registration is its COMI.</w:t>
      </w:r>
      <w:r w:rsidR="002F0A8C">
        <w:rPr>
          <w:rStyle w:val="FootnoteReference"/>
          <w:rFonts w:ascii="Arial" w:hAnsi="Arial" w:cs="Arial"/>
          <w:iCs/>
        </w:rPr>
        <w:footnoteReference w:id="25"/>
      </w:r>
      <w:r w:rsidR="001C20C9">
        <w:rPr>
          <w:rFonts w:ascii="Arial" w:hAnsi="Arial" w:cs="Arial"/>
          <w:iCs/>
        </w:rPr>
        <w:t xml:space="preserve"> Unlike the EIR, i</w:t>
      </w:r>
      <w:r w:rsidR="001C20C9" w:rsidRPr="001C20C9">
        <w:rPr>
          <w:rFonts w:ascii="Arial" w:hAnsi="Arial" w:cs="Arial"/>
          <w:iCs/>
        </w:rPr>
        <w:t>n the Model Law, the presumption is designed to facilitate the recognition of foreign insolvency proceedings and the provision of assistance to those proceedings.</w:t>
      </w:r>
      <w:r w:rsidR="006E37A9">
        <w:rPr>
          <w:rFonts w:ascii="Arial" w:hAnsi="Arial" w:cs="Arial"/>
          <w:iCs/>
        </w:rPr>
        <w:t xml:space="preserve"> </w:t>
      </w:r>
      <w:r w:rsidR="00A70115" w:rsidRPr="00A70115">
        <w:rPr>
          <w:rFonts w:ascii="Arial" w:hAnsi="Arial" w:cs="Arial"/>
          <w:iCs/>
        </w:rPr>
        <w:t xml:space="preserve">Under the </w:t>
      </w:r>
      <w:r w:rsidR="00A70115">
        <w:rPr>
          <w:rFonts w:ascii="Arial" w:hAnsi="Arial" w:cs="Arial"/>
          <w:iCs/>
        </w:rPr>
        <w:t>EIR</w:t>
      </w:r>
      <w:r w:rsidR="00A70115" w:rsidRPr="00A70115">
        <w:rPr>
          <w:rFonts w:ascii="Arial" w:hAnsi="Arial" w:cs="Arial"/>
          <w:iCs/>
        </w:rPr>
        <w:t xml:space="preserve">, the decision on </w:t>
      </w:r>
      <w:r w:rsidR="00A70115">
        <w:rPr>
          <w:rFonts w:ascii="Arial" w:hAnsi="Arial" w:cs="Arial"/>
          <w:iCs/>
        </w:rPr>
        <w:t>COMI</w:t>
      </w:r>
      <w:r w:rsidR="00A70115" w:rsidRPr="00A70115">
        <w:rPr>
          <w:rFonts w:ascii="Arial" w:hAnsi="Arial" w:cs="Arial"/>
          <w:iCs/>
        </w:rPr>
        <w:t xml:space="preserve"> is made by the court </w:t>
      </w:r>
      <w:r w:rsidR="00E12136">
        <w:rPr>
          <w:rFonts w:ascii="Arial" w:hAnsi="Arial" w:cs="Arial"/>
          <w:iCs/>
        </w:rPr>
        <w:t>seized with</w:t>
      </w:r>
      <w:r w:rsidR="00A70115" w:rsidRPr="00A70115">
        <w:rPr>
          <w:rFonts w:ascii="Arial" w:hAnsi="Arial" w:cs="Arial"/>
          <w:iCs/>
        </w:rPr>
        <w:t xml:space="preserve"> an application for commencement of insolvency proceedings at the time of consideration of that application. Under the Model Law, a request for recognition of a foreign proceeding may be made at any time after the commencement of that proceeding</w:t>
      </w:r>
      <w:r w:rsidR="00E12136">
        <w:rPr>
          <w:rFonts w:ascii="Arial" w:hAnsi="Arial" w:cs="Arial"/>
          <w:iCs/>
        </w:rPr>
        <w:t>.</w:t>
      </w:r>
    </w:p>
    <w:p w14:paraId="4C1AA6A4" w14:textId="0E8F4AF1" w:rsidR="008543FD" w:rsidRPr="00DE4D9A" w:rsidRDefault="008E6D36" w:rsidP="00320434">
      <w:pPr>
        <w:ind w:left="360"/>
        <w:jc w:val="both"/>
        <w:rPr>
          <w:rFonts w:ascii="Arial" w:hAnsi="Arial" w:cs="Arial"/>
          <w:b/>
          <w:bCs/>
          <w:iCs/>
          <w:u w:val="single"/>
        </w:rPr>
      </w:pPr>
      <w:r w:rsidRPr="00DE4D9A">
        <w:rPr>
          <w:rFonts w:ascii="Arial" w:hAnsi="Arial" w:cs="Arial"/>
          <w:b/>
          <w:bCs/>
          <w:iCs/>
          <w:u w:val="single"/>
        </w:rPr>
        <w:t>US Chapter 15</w:t>
      </w:r>
      <w:r w:rsidR="00320434" w:rsidRPr="00DE4D9A">
        <w:rPr>
          <w:rFonts w:ascii="Arial" w:hAnsi="Arial" w:cs="Arial"/>
          <w:b/>
          <w:bCs/>
          <w:iCs/>
          <w:u w:val="single"/>
        </w:rPr>
        <w:t xml:space="preserve"> and the </w:t>
      </w:r>
      <w:r w:rsidR="00674838" w:rsidRPr="00DE4D9A">
        <w:rPr>
          <w:rFonts w:ascii="Arial" w:hAnsi="Arial" w:cs="Arial"/>
          <w:b/>
          <w:bCs/>
          <w:iCs/>
          <w:u w:val="single"/>
        </w:rPr>
        <w:t>Singapore Model Law</w:t>
      </w:r>
    </w:p>
    <w:p w14:paraId="671DCF3B" w14:textId="114A9784" w:rsidR="00D01FDE" w:rsidRPr="00D01FDE" w:rsidRDefault="00D01FDE" w:rsidP="00D01FDE">
      <w:pPr>
        <w:pStyle w:val="ListParagraph"/>
        <w:numPr>
          <w:ilvl w:val="0"/>
          <w:numId w:val="2"/>
        </w:numPr>
        <w:spacing w:before="120" w:after="120" w:line="300" w:lineRule="exact"/>
        <w:ind w:left="0" w:firstLine="360"/>
        <w:jc w:val="both"/>
        <w:rPr>
          <w:rFonts w:ascii="Arial" w:hAnsi="Arial" w:cs="Arial"/>
          <w:iCs/>
        </w:rPr>
      </w:pPr>
      <w:r w:rsidRPr="00D01FDE">
        <w:rPr>
          <w:rFonts w:ascii="Arial" w:hAnsi="Arial" w:cs="Arial"/>
          <w:iCs/>
        </w:rPr>
        <w:t>Both the US</w:t>
      </w:r>
      <w:r>
        <w:rPr>
          <w:rFonts w:ascii="Arial" w:hAnsi="Arial" w:cs="Arial"/>
          <w:iCs/>
        </w:rPr>
        <w:t xml:space="preserve"> and Singapore have enacted </w:t>
      </w:r>
      <w:r w:rsidR="00883AF2">
        <w:rPr>
          <w:rFonts w:ascii="Arial" w:hAnsi="Arial" w:cs="Arial"/>
          <w:iCs/>
        </w:rPr>
        <w:t xml:space="preserve">national legislation based on the UNCITRAL Model Law, which is important in our case since two of the </w:t>
      </w:r>
      <w:proofErr w:type="spellStart"/>
      <w:r w:rsidR="00883AF2">
        <w:rPr>
          <w:rFonts w:ascii="Arial" w:hAnsi="Arial" w:cs="Arial"/>
          <w:iCs/>
        </w:rPr>
        <w:t>Efwon</w:t>
      </w:r>
      <w:proofErr w:type="spellEnd"/>
      <w:r w:rsidR="00883AF2">
        <w:rPr>
          <w:rFonts w:ascii="Arial" w:hAnsi="Arial" w:cs="Arial"/>
          <w:iCs/>
        </w:rPr>
        <w:t xml:space="preserve"> Group entities are </w:t>
      </w:r>
      <w:r w:rsidR="006B2771">
        <w:rPr>
          <w:rFonts w:ascii="Arial" w:hAnsi="Arial" w:cs="Arial"/>
          <w:iCs/>
        </w:rPr>
        <w:t xml:space="preserve">registered in the US and Singapore, and have creditors in those locations, which may </w:t>
      </w:r>
      <w:r w:rsidR="00ED6EB9">
        <w:rPr>
          <w:rFonts w:ascii="Arial" w:hAnsi="Arial" w:cs="Arial"/>
          <w:iCs/>
        </w:rPr>
        <w:t>impact</w:t>
      </w:r>
      <w:r w:rsidR="006B2771">
        <w:rPr>
          <w:rFonts w:ascii="Arial" w:hAnsi="Arial" w:cs="Arial"/>
          <w:iCs/>
        </w:rPr>
        <w:t xml:space="preserve"> the resolution of the </w:t>
      </w:r>
      <w:proofErr w:type="spellStart"/>
      <w:r w:rsidR="006B2771">
        <w:rPr>
          <w:rFonts w:ascii="Arial" w:hAnsi="Arial" w:cs="Arial"/>
          <w:iCs/>
        </w:rPr>
        <w:t>Efwon</w:t>
      </w:r>
      <w:proofErr w:type="spellEnd"/>
      <w:r w:rsidR="006B2771">
        <w:rPr>
          <w:rFonts w:ascii="Arial" w:hAnsi="Arial" w:cs="Arial"/>
          <w:iCs/>
        </w:rPr>
        <w:t xml:space="preserve"> group restructuring</w:t>
      </w:r>
      <w:r w:rsidR="002419F1">
        <w:rPr>
          <w:rFonts w:ascii="Arial" w:hAnsi="Arial" w:cs="Arial"/>
          <w:iCs/>
        </w:rPr>
        <w:t xml:space="preserve">. </w:t>
      </w:r>
    </w:p>
    <w:p w14:paraId="63A561CC" w14:textId="17BE1809" w:rsidR="00320434" w:rsidRPr="00073201" w:rsidRDefault="004617C4" w:rsidP="004617C4">
      <w:pPr>
        <w:pStyle w:val="ListParagraph"/>
        <w:numPr>
          <w:ilvl w:val="0"/>
          <w:numId w:val="2"/>
        </w:numPr>
        <w:spacing w:before="120" w:after="120" w:line="300" w:lineRule="exact"/>
        <w:ind w:left="0" w:firstLine="360"/>
        <w:jc w:val="both"/>
        <w:rPr>
          <w:rFonts w:ascii="Arial" w:hAnsi="Arial" w:cs="Arial"/>
          <w:b/>
          <w:bCs/>
          <w:iCs/>
        </w:rPr>
      </w:pPr>
      <w:r w:rsidRPr="00111394">
        <w:rPr>
          <w:rFonts w:ascii="Arial" w:hAnsi="Arial" w:cs="Arial"/>
          <w:iCs/>
          <w:lang w:val="en-GB"/>
        </w:rPr>
        <w:t xml:space="preserve">Enacted in 2005, </w:t>
      </w:r>
      <w:r>
        <w:rPr>
          <w:rFonts w:ascii="Arial" w:hAnsi="Arial" w:cs="Arial"/>
          <w:iCs/>
          <w:lang w:val="en-GB"/>
        </w:rPr>
        <w:t>the US C</w:t>
      </w:r>
      <w:r w:rsidRPr="00111394">
        <w:rPr>
          <w:rFonts w:ascii="Arial" w:hAnsi="Arial" w:cs="Arial"/>
          <w:iCs/>
          <w:lang w:val="en-GB"/>
        </w:rPr>
        <w:t xml:space="preserve">hapter 15 is patterned on the </w:t>
      </w:r>
      <w:r w:rsidRPr="00014CAE">
        <w:rPr>
          <w:rFonts w:ascii="Arial" w:hAnsi="Arial" w:cs="Arial"/>
          <w:iCs/>
          <w:lang w:val="en-GB"/>
        </w:rPr>
        <w:t>1997 UNCITRAL Model Law on Cross-Border Insolvency (the “Model Law”)</w:t>
      </w:r>
      <w:r>
        <w:rPr>
          <w:rFonts w:ascii="Arial" w:hAnsi="Arial" w:cs="Arial"/>
          <w:iCs/>
          <w:lang w:val="en-GB"/>
        </w:rPr>
        <w:t>.</w:t>
      </w:r>
      <w:r w:rsidR="0085683B">
        <w:rPr>
          <w:rStyle w:val="FootnoteReference"/>
          <w:rFonts w:ascii="Arial" w:hAnsi="Arial" w:cs="Arial"/>
          <w:iCs/>
          <w:lang w:val="en-GB"/>
        </w:rPr>
        <w:footnoteReference w:id="26"/>
      </w:r>
      <w:r w:rsidR="00571B88">
        <w:rPr>
          <w:rFonts w:ascii="Arial" w:hAnsi="Arial" w:cs="Arial"/>
          <w:iCs/>
          <w:lang w:val="en-GB"/>
        </w:rPr>
        <w:t xml:space="preserve"> Singapore </w:t>
      </w:r>
      <w:r w:rsidR="004159C2" w:rsidRPr="004159C2">
        <w:rPr>
          <w:rFonts w:ascii="Arial" w:hAnsi="Arial" w:cs="Arial"/>
          <w:iCs/>
          <w:lang w:val="en-GB"/>
        </w:rPr>
        <w:t xml:space="preserve">adopted the UNCITRAL Model Law on Cross-Border Insolvency </w:t>
      </w:r>
      <w:r w:rsidR="00073201">
        <w:rPr>
          <w:rFonts w:ascii="Arial" w:hAnsi="Arial" w:cs="Arial"/>
          <w:iCs/>
          <w:lang w:val="en-GB"/>
        </w:rPr>
        <w:t xml:space="preserve">in 2017 </w:t>
      </w:r>
      <w:r w:rsidR="004159C2" w:rsidRPr="004159C2">
        <w:rPr>
          <w:rFonts w:ascii="Arial" w:hAnsi="Arial" w:cs="Arial"/>
          <w:iCs/>
          <w:lang w:val="en-GB"/>
        </w:rPr>
        <w:t>(Singapore Model Law), to aid in the recognition of, and assistance to, foreign insolvency proceedings and insolvency office holders.</w:t>
      </w:r>
    </w:p>
    <w:p w14:paraId="12AFD6C7" w14:textId="1030D0B5" w:rsidR="006A3914" w:rsidRPr="00B17C8C" w:rsidRDefault="0026403B" w:rsidP="00584247">
      <w:pPr>
        <w:pStyle w:val="ListParagraph"/>
        <w:numPr>
          <w:ilvl w:val="0"/>
          <w:numId w:val="2"/>
        </w:numPr>
        <w:spacing w:before="120" w:after="120" w:line="300" w:lineRule="exact"/>
        <w:ind w:left="0" w:firstLine="360"/>
        <w:jc w:val="both"/>
        <w:rPr>
          <w:rFonts w:ascii="Arial" w:hAnsi="Arial" w:cs="Arial"/>
          <w:iCs/>
        </w:rPr>
      </w:pPr>
      <w:r w:rsidRPr="00B17C8C">
        <w:rPr>
          <w:rFonts w:ascii="Arial" w:hAnsi="Arial" w:cs="Arial"/>
          <w:iCs/>
        </w:rPr>
        <w:t>U</w:t>
      </w:r>
      <w:r w:rsidR="001D4081" w:rsidRPr="00B17C8C">
        <w:rPr>
          <w:rFonts w:ascii="Arial" w:hAnsi="Arial" w:cs="Arial"/>
          <w:iCs/>
        </w:rPr>
        <w:t>.</w:t>
      </w:r>
      <w:r w:rsidRPr="00B17C8C">
        <w:rPr>
          <w:rFonts w:ascii="Arial" w:hAnsi="Arial" w:cs="Arial"/>
          <w:iCs/>
        </w:rPr>
        <w:t>S</w:t>
      </w:r>
      <w:r w:rsidR="001D4081" w:rsidRPr="00B17C8C">
        <w:rPr>
          <w:rFonts w:ascii="Arial" w:hAnsi="Arial" w:cs="Arial"/>
          <w:iCs/>
        </w:rPr>
        <w:t>.</w:t>
      </w:r>
      <w:r w:rsidRPr="00B17C8C">
        <w:rPr>
          <w:rFonts w:ascii="Arial" w:hAnsi="Arial" w:cs="Arial"/>
          <w:iCs/>
        </w:rPr>
        <w:t xml:space="preserve"> courts have repeatedly </w:t>
      </w:r>
      <w:r w:rsidR="002D2156" w:rsidRPr="00B17C8C">
        <w:rPr>
          <w:rFonts w:ascii="Arial" w:hAnsi="Arial" w:cs="Arial"/>
          <w:iCs/>
        </w:rPr>
        <w:t xml:space="preserve">ruled in favor of a value-preservation group-wide solution, even </w:t>
      </w:r>
      <w:r w:rsidR="00870555" w:rsidRPr="00B17C8C">
        <w:rPr>
          <w:rFonts w:ascii="Arial" w:hAnsi="Arial" w:cs="Arial"/>
          <w:iCs/>
        </w:rPr>
        <w:t>with respect to recognizing</w:t>
      </w:r>
      <w:r w:rsidR="002D2156" w:rsidRPr="00B17C8C">
        <w:rPr>
          <w:rFonts w:ascii="Arial" w:hAnsi="Arial" w:cs="Arial"/>
          <w:iCs/>
        </w:rPr>
        <w:t xml:space="preserve"> foreign main proceedings </w:t>
      </w:r>
      <w:r w:rsidR="00415D22">
        <w:rPr>
          <w:rFonts w:ascii="Arial" w:hAnsi="Arial" w:cs="Arial"/>
          <w:iCs/>
        </w:rPr>
        <w:t xml:space="preserve">against an entity incorporated in another jurisdiction (different from the one where </w:t>
      </w:r>
      <w:r w:rsidR="00FC2DD7">
        <w:rPr>
          <w:rFonts w:ascii="Arial" w:hAnsi="Arial" w:cs="Arial"/>
          <w:iCs/>
        </w:rPr>
        <w:t xml:space="preserve">the </w:t>
      </w:r>
      <w:r w:rsidR="00415D22">
        <w:rPr>
          <w:rFonts w:ascii="Arial" w:hAnsi="Arial" w:cs="Arial"/>
          <w:iCs/>
        </w:rPr>
        <w:t>main insolvency proceedings were open)</w:t>
      </w:r>
      <w:r w:rsidR="00276A0D" w:rsidRPr="00B17C8C">
        <w:rPr>
          <w:rFonts w:ascii="Arial" w:hAnsi="Arial" w:cs="Arial"/>
          <w:iCs/>
        </w:rPr>
        <w:t>. For example, in the</w:t>
      </w:r>
      <w:r w:rsidR="001D4081" w:rsidRPr="00B17C8C">
        <w:rPr>
          <w:rFonts w:ascii="Arial" w:hAnsi="Arial" w:cs="Arial"/>
          <w:iCs/>
        </w:rPr>
        <w:t xml:space="preserve"> case of</w:t>
      </w:r>
      <w:r w:rsidR="006A3914" w:rsidRPr="00B17C8C">
        <w:rPr>
          <w:rFonts w:ascii="Arial" w:hAnsi="Arial" w:cs="Arial"/>
          <w:iCs/>
        </w:rPr>
        <w:t xml:space="preserve"> </w:t>
      </w:r>
      <w:r w:rsidR="006A3914" w:rsidRPr="00B17C8C">
        <w:rPr>
          <w:rFonts w:ascii="Arial" w:hAnsi="Arial" w:cs="Arial"/>
          <w:i/>
        </w:rPr>
        <w:t>OAS S.A</w:t>
      </w:r>
      <w:r w:rsidR="006A3914" w:rsidRPr="00B17C8C">
        <w:rPr>
          <w:rFonts w:ascii="Arial" w:hAnsi="Arial" w:cs="Arial"/>
          <w:iCs/>
        </w:rPr>
        <w:t>. ("</w:t>
      </w:r>
      <w:r w:rsidR="006A3914" w:rsidRPr="00B17C8C">
        <w:rPr>
          <w:rFonts w:ascii="Arial" w:hAnsi="Arial" w:cs="Arial"/>
          <w:i/>
        </w:rPr>
        <w:t>OAS</w:t>
      </w:r>
      <w:r w:rsidR="006A3914" w:rsidRPr="00B17C8C">
        <w:rPr>
          <w:rFonts w:ascii="Arial" w:hAnsi="Arial" w:cs="Arial"/>
          <w:iCs/>
        </w:rPr>
        <w:t>") and its affiliates</w:t>
      </w:r>
      <w:r w:rsidR="006317A5" w:rsidRPr="00B17C8C">
        <w:rPr>
          <w:rFonts w:ascii="Arial" w:hAnsi="Arial" w:cs="Arial"/>
          <w:iCs/>
        </w:rPr>
        <w:t>,</w:t>
      </w:r>
      <w:r w:rsidR="006A3914" w:rsidRPr="00B17C8C">
        <w:rPr>
          <w:rFonts w:ascii="Arial" w:hAnsi="Arial" w:cs="Arial"/>
          <w:iCs/>
        </w:rPr>
        <w:t xml:space="preserve"> </w:t>
      </w:r>
      <w:r w:rsidR="001D4081" w:rsidRPr="00B17C8C">
        <w:rPr>
          <w:rFonts w:ascii="Arial" w:hAnsi="Arial" w:cs="Arial"/>
          <w:iCs/>
        </w:rPr>
        <w:t>the</w:t>
      </w:r>
      <w:r w:rsidR="006A3914" w:rsidRPr="00B17C8C">
        <w:rPr>
          <w:rFonts w:ascii="Arial" w:hAnsi="Arial" w:cs="Arial"/>
          <w:iCs/>
        </w:rPr>
        <w:t xml:space="preserve"> U.S. bankruptcy court </w:t>
      </w:r>
      <w:r w:rsidR="006542D4" w:rsidRPr="00B17C8C">
        <w:rPr>
          <w:rFonts w:ascii="Arial" w:hAnsi="Arial" w:cs="Arial"/>
          <w:iCs/>
        </w:rPr>
        <w:t>was</w:t>
      </w:r>
      <w:r w:rsidR="006A3914" w:rsidRPr="00B17C8C">
        <w:rPr>
          <w:rFonts w:ascii="Arial" w:hAnsi="Arial" w:cs="Arial"/>
          <w:iCs/>
        </w:rPr>
        <w:t xml:space="preserve"> confronted with the recognition of insolvency proceedings in Brazil</w:t>
      </w:r>
      <w:r w:rsidR="00907C75" w:rsidRPr="00B17C8C">
        <w:rPr>
          <w:rFonts w:ascii="Arial" w:hAnsi="Arial" w:cs="Arial"/>
          <w:iCs/>
        </w:rPr>
        <w:t xml:space="preserve"> which was </w:t>
      </w:r>
      <w:r w:rsidR="00FC2DD7" w:rsidRPr="00B17C8C">
        <w:rPr>
          <w:rFonts w:ascii="Arial" w:hAnsi="Arial" w:cs="Arial"/>
          <w:iCs/>
        </w:rPr>
        <w:t>challenged</w:t>
      </w:r>
      <w:r w:rsidR="006A3914" w:rsidRPr="00B17C8C">
        <w:rPr>
          <w:rFonts w:ascii="Arial" w:hAnsi="Arial" w:cs="Arial"/>
          <w:iCs/>
        </w:rPr>
        <w:t xml:space="preserve"> by a group of U.S. creditors. The U.S. Bankruptcy Court for the Southern District of New York ruled in favor of OAS, </w:t>
      </w:r>
      <w:r w:rsidR="00724885">
        <w:rPr>
          <w:rFonts w:ascii="Arial" w:hAnsi="Arial" w:cs="Arial"/>
          <w:iCs/>
        </w:rPr>
        <w:t xml:space="preserve">holding </w:t>
      </w:r>
      <w:r w:rsidR="006A3914" w:rsidRPr="00B17C8C">
        <w:rPr>
          <w:rFonts w:ascii="Arial" w:hAnsi="Arial" w:cs="Arial"/>
          <w:iCs/>
        </w:rPr>
        <w:t>that: (i) a foreign representative need not be appointed by a foreign court, but may be authorized to seek chapter 15 recognition by a foreign debtor's board of directors; (ii) OAS's foreign representative successfully established that the debtor's "center of main interests" ("COMI") for purposes of chapter 15 was Brazil rather than its country of incorporation (Austria); and (iii) recognition of the Brazilian proceedings was not manifestly contrary to U.S. public policy.</w:t>
      </w:r>
      <w:r w:rsidR="005250F0">
        <w:rPr>
          <w:rStyle w:val="FootnoteReference"/>
          <w:rFonts w:ascii="Arial" w:hAnsi="Arial" w:cs="Arial"/>
          <w:iCs/>
        </w:rPr>
        <w:footnoteReference w:id="27"/>
      </w:r>
    </w:p>
    <w:p w14:paraId="68A2E974" w14:textId="2875C297" w:rsidR="00073201" w:rsidRDefault="006A3914" w:rsidP="006A3914">
      <w:pPr>
        <w:pStyle w:val="ListParagraph"/>
        <w:numPr>
          <w:ilvl w:val="0"/>
          <w:numId w:val="2"/>
        </w:numPr>
        <w:spacing w:before="120" w:after="120" w:line="300" w:lineRule="exact"/>
        <w:ind w:left="0" w:firstLine="360"/>
        <w:jc w:val="both"/>
        <w:rPr>
          <w:rFonts w:ascii="Arial" w:hAnsi="Arial" w:cs="Arial"/>
          <w:iCs/>
        </w:rPr>
      </w:pPr>
      <w:r w:rsidRPr="006A3914">
        <w:rPr>
          <w:rFonts w:ascii="Arial" w:hAnsi="Arial" w:cs="Arial"/>
          <w:iCs/>
        </w:rPr>
        <w:t>The</w:t>
      </w:r>
      <w:r w:rsidR="00FD53D5">
        <w:rPr>
          <w:rFonts w:ascii="Arial" w:hAnsi="Arial" w:cs="Arial"/>
          <w:iCs/>
        </w:rPr>
        <w:t xml:space="preserve"> </w:t>
      </w:r>
      <w:r w:rsidR="00FD53D5" w:rsidRPr="00FD53D5">
        <w:rPr>
          <w:rFonts w:ascii="Arial" w:hAnsi="Arial" w:cs="Arial"/>
          <w:i/>
        </w:rPr>
        <w:t>OAS</w:t>
      </w:r>
      <w:r w:rsidRPr="006A3914">
        <w:rPr>
          <w:rFonts w:ascii="Arial" w:hAnsi="Arial" w:cs="Arial"/>
          <w:iCs/>
        </w:rPr>
        <w:t xml:space="preserve"> decision is an endorsement of </w:t>
      </w:r>
      <w:r w:rsidR="00A4437B">
        <w:rPr>
          <w:rFonts w:ascii="Arial" w:hAnsi="Arial" w:cs="Arial"/>
          <w:iCs/>
        </w:rPr>
        <w:t>the foreign proceedings</w:t>
      </w:r>
      <w:r w:rsidRPr="006A3914">
        <w:rPr>
          <w:rFonts w:ascii="Arial" w:hAnsi="Arial" w:cs="Arial"/>
          <w:iCs/>
        </w:rPr>
        <w:t xml:space="preserve"> and the </w:t>
      </w:r>
      <w:proofErr w:type="gramStart"/>
      <w:r w:rsidRPr="006A3914">
        <w:rPr>
          <w:rFonts w:ascii="Arial" w:hAnsi="Arial" w:cs="Arial"/>
          <w:iCs/>
        </w:rPr>
        <w:t>manner in which</w:t>
      </w:r>
      <w:proofErr w:type="gramEnd"/>
      <w:r w:rsidRPr="006A3914">
        <w:rPr>
          <w:rFonts w:ascii="Arial" w:hAnsi="Arial" w:cs="Arial"/>
          <w:iCs/>
        </w:rPr>
        <w:t xml:space="preserve"> they are conducted before Brazilian courts. </w:t>
      </w:r>
    </w:p>
    <w:p w14:paraId="65A3C315" w14:textId="025F73AD" w:rsidR="00CE5AC9" w:rsidRDefault="00B97057" w:rsidP="006A3914">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 xml:space="preserve">Since we do not propose to open Dutch main proceedings for </w:t>
      </w:r>
      <w:proofErr w:type="spellStart"/>
      <w:r>
        <w:rPr>
          <w:rFonts w:ascii="Arial" w:hAnsi="Arial" w:cs="Arial"/>
          <w:iCs/>
        </w:rPr>
        <w:t>Efwon</w:t>
      </w:r>
      <w:proofErr w:type="spellEnd"/>
      <w:r>
        <w:rPr>
          <w:rFonts w:ascii="Arial" w:hAnsi="Arial" w:cs="Arial"/>
          <w:iCs/>
        </w:rPr>
        <w:t xml:space="preserve"> Singapore, rather to alleviate it from its guarantee to </w:t>
      </w:r>
      <w:r w:rsidR="00457406">
        <w:rPr>
          <w:rFonts w:ascii="Arial" w:hAnsi="Arial" w:cs="Arial"/>
          <w:iCs/>
        </w:rPr>
        <w:t xml:space="preserve">the Monaco loan through the </w:t>
      </w:r>
      <w:r w:rsidR="00CF1E7C">
        <w:rPr>
          <w:rFonts w:ascii="Arial" w:hAnsi="Arial" w:cs="Arial"/>
          <w:iCs/>
        </w:rPr>
        <w:t xml:space="preserve">Dutch Plan proceeding for </w:t>
      </w:r>
      <w:proofErr w:type="spellStart"/>
      <w:r w:rsidR="00CF1E7C">
        <w:rPr>
          <w:rFonts w:ascii="Arial" w:hAnsi="Arial" w:cs="Arial"/>
          <w:iCs/>
        </w:rPr>
        <w:t>Efwon</w:t>
      </w:r>
      <w:proofErr w:type="spellEnd"/>
      <w:r w:rsidR="00CF1E7C">
        <w:rPr>
          <w:rFonts w:ascii="Arial" w:hAnsi="Arial" w:cs="Arial"/>
          <w:iCs/>
        </w:rPr>
        <w:t xml:space="preserve"> Trading (as explained in more detail below), </w:t>
      </w:r>
      <w:r w:rsidR="00CE5AC9">
        <w:rPr>
          <w:rFonts w:ascii="Arial" w:hAnsi="Arial" w:cs="Arial"/>
          <w:iCs/>
        </w:rPr>
        <w:t xml:space="preserve">we do not envisage </w:t>
      </w:r>
      <w:r w:rsidR="00D87EE0">
        <w:rPr>
          <w:rFonts w:ascii="Arial" w:hAnsi="Arial" w:cs="Arial"/>
          <w:iCs/>
        </w:rPr>
        <w:t xml:space="preserve">a problem for the </w:t>
      </w:r>
      <w:r w:rsidR="0035569A">
        <w:rPr>
          <w:rFonts w:ascii="Arial" w:hAnsi="Arial" w:cs="Arial"/>
          <w:iCs/>
        </w:rPr>
        <w:t xml:space="preserve">Singapore courts’ </w:t>
      </w:r>
      <w:r w:rsidR="00D87EE0">
        <w:rPr>
          <w:rFonts w:ascii="Arial" w:hAnsi="Arial" w:cs="Arial"/>
          <w:iCs/>
        </w:rPr>
        <w:t>recognition of the Dutch proceedings as foreign main proceedings, and</w:t>
      </w:r>
      <w:r w:rsidR="0035569A">
        <w:rPr>
          <w:rFonts w:ascii="Arial" w:hAnsi="Arial" w:cs="Arial"/>
          <w:iCs/>
        </w:rPr>
        <w:t xml:space="preserve"> assisting the </w:t>
      </w:r>
      <w:r w:rsidR="0035569A">
        <w:rPr>
          <w:rFonts w:ascii="Arial" w:hAnsi="Arial" w:cs="Arial"/>
          <w:iCs/>
        </w:rPr>
        <w:lastRenderedPageBreak/>
        <w:t xml:space="preserve">Dutch-appointed administrator for </w:t>
      </w:r>
      <w:proofErr w:type="spellStart"/>
      <w:r w:rsidR="0035569A">
        <w:rPr>
          <w:rFonts w:ascii="Arial" w:hAnsi="Arial" w:cs="Arial"/>
          <w:iCs/>
        </w:rPr>
        <w:t>Efwon</w:t>
      </w:r>
      <w:proofErr w:type="spellEnd"/>
      <w:r w:rsidR="0035569A">
        <w:rPr>
          <w:rFonts w:ascii="Arial" w:hAnsi="Arial" w:cs="Arial"/>
          <w:iCs/>
        </w:rPr>
        <w:t xml:space="preserve"> Trading </w:t>
      </w:r>
      <w:r w:rsidR="00015634">
        <w:rPr>
          <w:rFonts w:ascii="Arial" w:hAnsi="Arial" w:cs="Arial"/>
          <w:iCs/>
        </w:rPr>
        <w:t xml:space="preserve">in case he/she needs to request protection of the </w:t>
      </w:r>
      <w:proofErr w:type="spellStart"/>
      <w:r w:rsidR="00015634">
        <w:rPr>
          <w:rFonts w:ascii="Arial" w:hAnsi="Arial" w:cs="Arial"/>
          <w:iCs/>
        </w:rPr>
        <w:t>Efwon</w:t>
      </w:r>
      <w:proofErr w:type="spellEnd"/>
      <w:r w:rsidR="00015634">
        <w:rPr>
          <w:rFonts w:ascii="Arial" w:hAnsi="Arial" w:cs="Arial"/>
          <w:iCs/>
        </w:rPr>
        <w:t xml:space="preserve"> assets in Singapore</w:t>
      </w:r>
      <w:r w:rsidR="00B07FBE">
        <w:rPr>
          <w:rFonts w:ascii="Arial" w:hAnsi="Arial" w:cs="Arial"/>
          <w:iCs/>
        </w:rPr>
        <w:t xml:space="preserve"> or </w:t>
      </w:r>
      <w:r w:rsidR="004E3DD0">
        <w:rPr>
          <w:rFonts w:ascii="Arial" w:hAnsi="Arial" w:cs="Arial"/>
          <w:iCs/>
        </w:rPr>
        <w:t xml:space="preserve">if </w:t>
      </w:r>
      <w:r w:rsidR="00B07FBE">
        <w:rPr>
          <w:rFonts w:ascii="Arial" w:hAnsi="Arial" w:cs="Arial"/>
          <w:iCs/>
        </w:rPr>
        <w:t>a recognition of the Dutch p</w:t>
      </w:r>
      <w:r w:rsidR="00E02FA5">
        <w:rPr>
          <w:rFonts w:ascii="Arial" w:hAnsi="Arial" w:cs="Arial"/>
          <w:iCs/>
        </w:rPr>
        <w:t>lan is necessary in Singapore</w:t>
      </w:r>
      <w:r w:rsidR="00015634">
        <w:rPr>
          <w:rFonts w:ascii="Arial" w:hAnsi="Arial" w:cs="Arial"/>
          <w:iCs/>
        </w:rPr>
        <w:t>.</w:t>
      </w:r>
      <w:r w:rsidR="00836559">
        <w:rPr>
          <w:rFonts w:ascii="Arial" w:hAnsi="Arial" w:cs="Arial"/>
          <w:iCs/>
        </w:rPr>
        <w:t xml:space="preserve"> </w:t>
      </w:r>
      <w:r w:rsidR="00E52D1B" w:rsidRPr="00E52D1B">
        <w:rPr>
          <w:rFonts w:ascii="Arial" w:hAnsi="Arial" w:cs="Arial"/>
          <w:iCs/>
        </w:rPr>
        <w:t>Prior to 18 October 2023, there were two exceptions under the Singapore Model Law, to the recognition of foreign proceedings</w:t>
      </w:r>
      <w:r w:rsidR="00061FEB">
        <w:rPr>
          <w:rFonts w:ascii="Arial" w:hAnsi="Arial" w:cs="Arial"/>
          <w:iCs/>
        </w:rPr>
        <w:t xml:space="preserve">. The </w:t>
      </w:r>
      <w:r w:rsidR="00D87925">
        <w:rPr>
          <w:rFonts w:ascii="Arial" w:hAnsi="Arial" w:cs="Arial"/>
          <w:iCs/>
        </w:rPr>
        <w:t xml:space="preserve">potentially </w:t>
      </w:r>
      <w:r w:rsidR="00061FEB">
        <w:rPr>
          <w:rFonts w:ascii="Arial" w:hAnsi="Arial" w:cs="Arial"/>
          <w:iCs/>
        </w:rPr>
        <w:t xml:space="preserve">relevant exception in our case is </w:t>
      </w:r>
      <w:r w:rsidR="00D87925">
        <w:rPr>
          <w:rFonts w:ascii="Arial" w:hAnsi="Arial" w:cs="Arial"/>
          <w:iCs/>
        </w:rPr>
        <w:t>that the Singapore court</w:t>
      </w:r>
      <w:r w:rsidR="00D87925" w:rsidRPr="00D87925">
        <w:rPr>
          <w:rFonts w:ascii="Arial" w:hAnsi="Arial" w:cs="Arial"/>
          <w:iCs/>
        </w:rPr>
        <w:t xml:space="preserve"> could refuse to recognize a foreign restructuring or insolvency proceeding on the ground that recognition would be "contrary to the public policy of Singapore"</w:t>
      </w:r>
      <w:r w:rsidR="008228EF">
        <w:rPr>
          <w:rStyle w:val="FootnoteReference"/>
          <w:rFonts w:ascii="Arial" w:hAnsi="Arial" w:cs="Arial"/>
          <w:iCs/>
        </w:rPr>
        <w:footnoteReference w:id="28"/>
      </w:r>
      <w:r w:rsidR="00D87925" w:rsidRPr="00D87925">
        <w:rPr>
          <w:rFonts w:ascii="Arial" w:hAnsi="Arial" w:cs="Arial"/>
          <w:iCs/>
        </w:rPr>
        <w:t xml:space="preserve">. This was </w:t>
      </w:r>
      <w:r w:rsidR="009212C6">
        <w:rPr>
          <w:rFonts w:ascii="Arial" w:hAnsi="Arial" w:cs="Arial"/>
          <w:iCs/>
        </w:rPr>
        <w:t>considered</w:t>
      </w:r>
      <w:r w:rsidR="00D87925" w:rsidRPr="00D87925">
        <w:rPr>
          <w:rFonts w:ascii="Arial" w:hAnsi="Arial" w:cs="Arial"/>
          <w:iCs/>
        </w:rPr>
        <w:t xml:space="preserve"> a lower threshold than that under the UNCITRAL Model Law, which refers to an action which is "manifestly contrary" to the public policy of the state</w:t>
      </w:r>
      <w:r w:rsidR="00F85558">
        <w:rPr>
          <w:rFonts w:ascii="Arial" w:hAnsi="Arial" w:cs="Arial"/>
          <w:iCs/>
        </w:rPr>
        <w:t xml:space="preserve"> where recognition is sought</w:t>
      </w:r>
      <w:r w:rsidR="00D87925" w:rsidRPr="00D87925">
        <w:rPr>
          <w:rFonts w:ascii="Arial" w:hAnsi="Arial" w:cs="Arial"/>
          <w:iCs/>
        </w:rPr>
        <w:t>.</w:t>
      </w:r>
    </w:p>
    <w:p w14:paraId="799B56EE" w14:textId="49DB19EA" w:rsidR="000B0D71" w:rsidRPr="006A3914" w:rsidRDefault="000B0D71" w:rsidP="006A3914">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rPr>
        <w:t>Recent Singapore</w:t>
      </w:r>
      <w:r w:rsidR="00BE37C2">
        <w:rPr>
          <w:rFonts w:ascii="Arial" w:hAnsi="Arial" w:cs="Arial"/>
          <w:iCs/>
        </w:rPr>
        <w:t xml:space="preserve"> court</w:t>
      </w:r>
      <w:r w:rsidRPr="000B0D71">
        <w:rPr>
          <w:rFonts w:ascii="Arial" w:hAnsi="Arial" w:cs="Arial"/>
          <w:iCs/>
        </w:rPr>
        <w:t xml:space="preserve"> decisions </w:t>
      </w:r>
      <w:r w:rsidR="00BE37C2">
        <w:rPr>
          <w:rFonts w:ascii="Arial" w:hAnsi="Arial" w:cs="Arial"/>
          <w:iCs/>
        </w:rPr>
        <w:t xml:space="preserve">issued </w:t>
      </w:r>
      <w:r w:rsidRPr="000B0D71">
        <w:rPr>
          <w:rFonts w:ascii="Arial" w:hAnsi="Arial" w:cs="Arial"/>
          <w:iCs/>
        </w:rPr>
        <w:t xml:space="preserve">over the last 6 months demonstrate </w:t>
      </w:r>
      <w:r w:rsidR="00712FA9">
        <w:rPr>
          <w:rFonts w:ascii="Arial" w:hAnsi="Arial" w:cs="Arial"/>
          <w:iCs/>
        </w:rPr>
        <w:t xml:space="preserve">that Singapore bankruptcy </w:t>
      </w:r>
      <w:r w:rsidR="004000BC">
        <w:rPr>
          <w:rFonts w:ascii="Arial" w:hAnsi="Arial" w:cs="Arial"/>
          <w:iCs/>
        </w:rPr>
        <w:t>courts</w:t>
      </w:r>
      <w:r w:rsidR="00712FA9">
        <w:rPr>
          <w:rFonts w:ascii="Arial" w:hAnsi="Arial" w:cs="Arial"/>
          <w:iCs/>
        </w:rPr>
        <w:t xml:space="preserve"> are supportive to </w:t>
      </w:r>
      <w:r w:rsidR="004000BC">
        <w:rPr>
          <w:rFonts w:ascii="Arial" w:hAnsi="Arial" w:cs="Arial"/>
          <w:iCs/>
        </w:rPr>
        <w:t>value-preserving</w:t>
      </w:r>
      <w:r w:rsidR="00E52D1B">
        <w:rPr>
          <w:rFonts w:ascii="Arial" w:hAnsi="Arial" w:cs="Arial"/>
          <w:iCs/>
        </w:rPr>
        <w:t xml:space="preserve"> solutions</w:t>
      </w:r>
      <w:r w:rsidRPr="000B0D71">
        <w:rPr>
          <w:rFonts w:ascii="Arial" w:hAnsi="Arial" w:cs="Arial"/>
          <w:iCs/>
        </w:rPr>
        <w:t>.</w:t>
      </w:r>
      <w:r w:rsidR="00E52D1B">
        <w:rPr>
          <w:rFonts w:ascii="Arial" w:hAnsi="Arial" w:cs="Arial"/>
          <w:iCs/>
        </w:rPr>
        <w:t xml:space="preserve"> </w:t>
      </w:r>
      <w:r w:rsidR="003D41B7">
        <w:rPr>
          <w:rFonts w:ascii="Arial" w:hAnsi="Arial" w:cs="Arial"/>
          <w:iCs/>
        </w:rPr>
        <w:t>Notably, o</w:t>
      </w:r>
      <w:r w:rsidR="003D41B7" w:rsidRPr="003D41B7">
        <w:rPr>
          <w:rFonts w:ascii="Arial" w:hAnsi="Arial" w:cs="Arial"/>
          <w:iCs/>
        </w:rPr>
        <w:t>n January 18, 2024, the S</w:t>
      </w:r>
      <w:r w:rsidR="003D41B7">
        <w:rPr>
          <w:rFonts w:ascii="Arial" w:hAnsi="Arial" w:cs="Arial"/>
          <w:iCs/>
        </w:rPr>
        <w:t xml:space="preserve">ingapore </w:t>
      </w:r>
      <w:r w:rsidR="003D41B7" w:rsidRPr="003D41B7">
        <w:rPr>
          <w:rFonts w:ascii="Arial" w:hAnsi="Arial" w:cs="Arial"/>
          <w:iCs/>
        </w:rPr>
        <w:t>I</w:t>
      </w:r>
      <w:r w:rsidR="003D41B7">
        <w:rPr>
          <w:rFonts w:ascii="Arial" w:hAnsi="Arial" w:cs="Arial"/>
          <w:iCs/>
        </w:rPr>
        <w:t xml:space="preserve">nternational </w:t>
      </w:r>
      <w:r w:rsidR="003D41B7" w:rsidRPr="003D41B7">
        <w:rPr>
          <w:rFonts w:ascii="Arial" w:hAnsi="Arial" w:cs="Arial"/>
          <w:iCs/>
        </w:rPr>
        <w:t>C</w:t>
      </w:r>
      <w:r w:rsidR="003D41B7">
        <w:rPr>
          <w:rFonts w:ascii="Arial" w:hAnsi="Arial" w:cs="Arial"/>
          <w:iCs/>
        </w:rPr>
        <w:t xml:space="preserve">ommercial </w:t>
      </w:r>
      <w:r w:rsidR="003D41B7" w:rsidRPr="003D41B7">
        <w:rPr>
          <w:rFonts w:ascii="Arial" w:hAnsi="Arial" w:cs="Arial"/>
          <w:iCs/>
        </w:rPr>
        <w:t>C</w:t>
      </w:r>
      <w:r w:rsidR="003D41B7">
        <w:rPr>
          <w:rFonts w:ascii="Arial" w:hAnsi="Arial" w:cs="Arial"/>
          <w:iCs/>
        </w:rPr>
        <w:t>ourt</w:t>
      </w:r>
      <w:r w:rsidR="003D41B7" w:rsidRPr="003D41B7">
        <w:rPr>
          <w:rFonts w:ascii="Arial" w:hAnsi="Arial" w:cs="Arial"/>
          <w:iCs/>
        </w:rPr>
        <w:t xml:space="preserve"> </w:t>
      </w:r>
      <w:r w:rsidR="00B1473D">
        <w:rPr>
          <w:rFonts w:ascii="Arial" w:hAnsi="Arial" w:cs="Arial"/>
          <w:iCs/>
        </w:rPr>
        <w:t xml:space="preserve">(SICC) </w:t>
      </w:r>
      <w:r w:rsidR="003D41B7">
        <w:rPr>
          <w:rFonts w:ascii="Arial" w:hAnsi="Arial" w:cs="Arial"/>
          <w:iCs/>
        </w:rPr>
        <w:t>issued</w:t>
      </w:r>
      <w:r w:rsidR="003D41B7" w:rsidRPr="003D41B7">
        <w:rPr>
          <w:rFonts w:ascii="Arial" w:hAnsi="Arial" w:cs="Arial"/>
          <w:iCs/>
        </w:rPr>
        <w:t xml:space="preserve"> its first insolvency-related ruling. In </w:t>
      </w:r>
      <w:r w:rsidR="003D41B7" w:rsidRPr="003D41B7">
        <w:rPr>
          <w:rFonts w:ascii="Arial" w:hAnsi="Arial" w:cs="Arial"/>
          <w:i/>
        </w:rPr>
        <w:t xml:space="preserve">Re PT Garuda Indonesia (Persero) </w:t>
      </w:r>
      <w:proofErr w:type="spellStart"/>
      <w:r w:rsidR="003D41B7" w:rsidRPr="003D41B7">
        <w:rPr>
          <w:rFonts w:ascii="Arial" w:hAnsi="Arial" w:cs="Arial"/>
          <w:i/>
        </w:rPr>
        <w:t>Tbk</w:t>
      </w:r>
      <w:proofErr w:type="spellEnd"/>
      <w:r w:rsidR="003D41B7" w:rsidRPr="003D41B7">
        <w:rPr>
          <w:rFonts w:ascii="Arial" w:hAnsi="Arial" w:cs="Arial"/>
          <w:i/>
        </w:rPr>
        <w:t xml:space="preserve"> [2024] SGHC(I) 1</w:t>
      </w:r>
      <w:r w:rsidR="003D41B7" w:rsidRPr="003D41B7">
        <w:rPr>
          <w:rFonts w:ascii="Arial" w:hAnsi="Arial" w:cs="Arial"/>
          <w:iCs/>
        </w:rPr>
        <w:t xml:space="preserve">, the SICC granted recognition in Singapore of an Indonesian debtor-airline's "suspension of payments" proceeding under </w:t>
      </w:r>
      <w:r w:rsidR="00B1473D">
        <w:rPr>
          <w:rFonts w:ascii="Arial" w:hAnsi="Arial" w:cs="Arial"/>
          <w:iCs/>
        </w:rPr>
        <w:t>the Singapore Model Law</w:t>
      </w:r>
      <w:r w:rsidR="003D41B7" w:rsidRPr="003D41B7">
        <w:rPr>
          <w:rFonts w:ascii="Arial" w:hAnsi="Arial" w:cs="Arial"/>
          <w:iCs/>
        </w:rPr>
        <w:t xml:space="preserve">. The SICC recognized and enforced the terms of a composition plan approved by creditors and confirmed by an Indonesian court. </w:t>
      </w:r>
      <w:r w:rsidR="00B805D5">
        <w:rPr>
          <w:rFonts w:ascii="Arial" w:hAnsi="Arial" w:cs="Arial"/>
          <w:iCs/>
        </w:rPr>
        <w:t>The</w:t>
      </w:r>
      <w:r w:rsidR="003D41B7" w:rsidRPr="003D41B7">
        <w:rPr>
          <w:rFonts w:ascii="Arial" w:hAnsi="Arial" w:cs="Arial"/>
          <w:iCs/>
        </w:rPr>
        <w:t xml:space="preserve"> SICC overruled objections to recognition </w:t>
      </w:r>
      <w:r w:rsidR="00B805D5">
        <w:rPr>
          <w:rFonts w:ascii="Arial" w:hAnsi="Arial" w:cs="Arial"/>
          <w:iCs/>
        </w:rPr>
        <w:t>made by</w:t>
      </w:r>
      <w:r w:rsidR="003D41B7" w:rsidRPr="003D41B7">
        <w:rPr>
          <w:rFonts w:ascii="Arial" w:hAnsi="Arial" w:cs="Arial"/>
          <w:iCs/>
        </w:rPr>
        <w:t xml:space="preserve"> aircraft lessors asserting, among other things, that recognition of the Indonesian proceeding would violate Singapore's public policy because creditors were treated unfairly in the debtor's composition plan.</w:t>
      </w:r>
      <w:r w:rsidR="00DA378D">
        <w:rPr>
          <w:rStyle w:val="FootnoteReference"/>
          <w:rFonts w:ascii="Arial" w:hAnsi="Arial" w:cs="Arial"/>
          <w:iCs/>
        </w:rPr>
        <w:footnoteReference w:id="29"/>
      </w:r>
    </w:p>
    <w:p w14:paraId="32DB0F42" w14:textId="43B489C9" w:rsidR="00095078" w:rsidRPr="006A3914" w:rsidRDefault="00095078" w:rsidP="00D52B9D">
      <w:pPr>
        <w:ind w:left="360"/>
        <w:jc w:val="both"/>
        <w:rPr>
          <w:rFonts w:ascii="Arial" w:hAnsi="Arial" w:cs="Arial"/>
          <w:b/>
          <w:bCs/>
          <w:iCs/>
          <w:u w:val="single"/>
        </w:rPr>
      </w:pPr>
      <w:r w:rsidRPr="006A3914">
        <w:rPr>
          <w:rFonts w:ascii="Arial" w:hAnsi="Arial" w:cs="Arial"/>
          <w:b/>
          <w:bCs/>
          <w:iCs/>
          <w:u w:val="single"/>
        </w:rPr>
        <w:t>Interp</w:t>
      </w:r>
      <w:r w:rsidR="00AE1F8A" w:rsidRPr="006A3914">
        <w:rPr>
          <w:rFonts w:ascii="Arial" w:hAnsi="Arial" w:cs="Arial"/>
          <w:b/>
          <w:bCs/>
          <w:iCs/>
          <w:u w:val="single"/>
        </w:rPr>
        <w:t>lay between EIR, the UNCITRAL Model Law and the US Chapter 15</w:t>
      </w:r>
    </w:p>
    <w:p w14:paraId="62163173" w14:textId="730F993C" w:rsidR="00D52B9D" w:rsidRPr="00E066D1" w:rsidRDefault="00D52B9D" w:rsidP="00D52B9D">
      <w:pPr>
        <w:pStyle w:val="ListParagraph"/>
        <w:numPr>
          <w:ilvl w:val="0"/>
          <w:numId w:val="2"/>
        </w:numPr>
        <w:spacing w:before="120" w:after="120" w:line="300" w:lineRule="exact"/>
        <w:ind w:left="0" w:firstLine="360"/>
        <w:jc w:val="both"/>
        <w:rPr>
          <w:rFonts w:ascii="Arial" w:hAnsi="Arial" w:cs="Arial"/>
          <w:iCs/>
        </w:rPr>
      </w:pPr>
      <w:r>
        <w:rPr>
          <w:rFonts w:ascii="Arial" w:hAnsi="Arial" w:cs="Arial"/>
          <w:iCs/>
          <w:lang w:val="en-GB"/>
        </w:rPr>
        <w:t>T</w:t>
      </w:r>
      <w:r w:rsidRPr="00EF4658">
        <w:rPr>
          <w:rFonts w:ascii="Arial" w:hAnsi="Arial" w:cs="Arial"/>
          <w:iCs/>
          <w:lang w:val="en-GB"/>
        </w:rPr>
        <w:t xml:space="preserve">he </w:t>
      </w:r>
      <w:r>
        <w:rPr>
          <w:rFonts w:ascii="Arial" w:hAnsi="Arial" w:cs="Arial"/>
          <w:iCs/>
          <w:lang w:val="en-GB"/>
        </w:rPr>
        <w:t>EIR</w:t>
      </w:r>
      <w:r w:rsidR="00C63D84">
        <w:rPr>
          <w:rFonts w:ascii="Arial" w:hAnsi="Arial" w:cs="Arial"/>
          <w:iCs/>
          <w:lang w:val="en-GB"/>
        </w:rPr>
        <w:t xml:space="preserve"> recast</w:t>
      </w:r>
      <w:r>
        <w:rPr>
          <w:rFonts w:ascii="Arial" w:hAnsi="Arial" w:cs="Arial"/>
          <w:iCs/>
          <w:lang w:val="en-GB"/>
        </w:rPr>
        <w:t>, the UNCITRAL Model Law,</w:t>
      </w:r>
      <w:r w:rsidRPr="00EF4658">
        <w:rPr>
          <w:rFonts w:ascii="Arial" w:hAnsi="Arial" w:cs="Arial"/>
          <w:iCs/>
          <w:lang w:val="en-GB"/>
        </w:rPr>
        <w:t xml:space="preserve"> and </w:t>
      </w:r>
      <w:r>
        <w:rPr>
          <w:rFonts w:ascii="Arial" w:hAnsi="Arial" w:cs="Arial"/>
          <w:iCs/>
          <w:lang w:val="en-GB"/>
        </w:rPr>
        <w:t>C</w:t>
      </w:r>
      <w:r w:rsidRPr="00EF4658">
        <w:rPr>
          <w:rFonts w:ascii="Arial" w:hAnsi="Arial" w:cs="Arial"/>
          <w:iCs/>
          <w:lang w:val="en-GB"/>
        </w:rPr>
        <w:t xml:space="preserve">hapter 15 </w:t>
      </w:r>
      <w:r>
        <w:rPr>
          <w:rFonts w:ascii="Arial" w:hAnsi="Arial" w:cs="Arial"/>
          <w:iCs/>
          <w:lang w:val="en-GB"/>
        </w:rPr>
        <w:t>include</w:t>
      </w:r>
      <w:r w:rsidRPr="00EF4658">
        <w:rPr>
          <w:rFonts w:ascii="Arial" w:hAnsi="Arial" w:cs="Arial"/>
          <w:iCs/>
          <w:lang w:val="en-GB"/>
        </w:rPr>
        <w:t xml:space="preserve"> a presumption that the COMI is located at the </w:t>
      </w:r>
      <w:r w:rsidR="00C2060D">
        <w:rPr>
          <w:rFonts w:ascii="Arial" w:hAnsi="Arial" w:cs="Arial"/>
          <w:iCs/>
          <w:lang w:val="en-GB"/>
        </w:rPr>
        <w:t>debtor</w:t>
      </w:r>
      <w:r w:rsidRPr="00EF4658">
        <w:rPr>
          <w:rFonts w:ascii="Arial" w:hAnsi="Arial" w:cs="Arial"/>
          <w:iCs/>
          <w:lang w:val="en-GB"/>
        </w:rPr>
        <w:t xml:space="preserve">’s registered office, </w:t>
      </w:r>
      <w:r>
        <w:rPr>
          <w:rFonts w:ascii="Arial" w:hAnsi="Arial" w:cs="Arial"/>
          <w:iCs/>
          <w:lang w:val="en-GB"/>
        </w:rPr>
        <w:t>which may be interpreted to mean that there</w:t>
      </w:r>
      <w:r w:rsidRPr="00EF4658">
        <w:rPr>
          <w:rFonts w:ascii="Arial" w:hAnsi="Arial" w:cs="Arial"/>
          <w:iCs/>
          <w:lang w:val="en-GB"/>
        </w:rPr>
        <w:t xml:space="preserve"> could be no group COMI </w:t>
      </w:r>
      <w:r>
        <w:rPr>
          <w:rFonts w:ascii="Arial" w:hAnsi="Arial" w:cs="Arial"/>
          <w:iCs/>
          <w:lang w:val="en-GB"/>
        </w:rPr>
        <w:t>if the</w:t>
      </w:r>
      <w:r w:rsidRPr="00EF4658">
        <w:rPr>
          <w:rFonts w:ascii="Arial" w:hAnsi="Arial" w:cs="Arial"/>
          <w:iCs/>
          <w:lang w:val="en-GB"/>
        </w:rPr>
        <w:t xml:space="preserve"> group members’ registered offices are in different jurisdictions</w:t>
      </w:r>
      <w:r>
        <w:rPr>
          <w:rFonts w:ascii="Arial" w:hAnsi="Arial" w:cs="Arial"/>
          <w:iCs/>
          <w:lang w:val="en-GB"/>
        </w:rPr>
        <w:t xml:space="preserve"> as is the case with the </w:t>
      </w:r>
      <w:proofErr w:type="spellStart"/>
      <w:r>
        <w:rPr>
          <w:rFonts w:ascii="Arial" w:hAnsi="Arial" w:cs="Arial"/>
          <w:iCs/>
          <w:lang w:val="en-GB"/>
        </w:rPr>
        <w:t>Efwon</w:t>
      </w:r>
      <w:proofErr w:type="spellEnd"/>
      <w:r>
        <w:rPr>
          <w:rFonts w:ascii="Arial" w:hAnsi="Arial" w:cs="Arial"/>
          <w:iCs/>
          <w:lang w:val="en-GB"/>
        </w:rPr>
        <w:t xml:space="preserve"> Group</w:t>
      </w:r>
      <w:r w:rsidR="007C2415">
        <w:rPr>
          <w:rFonts w:ascii="Arial" w:hAnsi="Arial" w:cs="Arial"/>
          <w:iCs/>
          <w:lang w:val="en-GB"/>
        </w:rPr>
        <w:t xml:space="preserve"> (each member of the </w:t>
      </w:r>
      <w:proofErr w:type="spellStart"/>
      <w:r w:rsidR="007C2415">
        <w:rPr>
          <w:rFonts w:ascii="Arial" w:hAnsi="Arial" w:cs="Arial"/>
          <w:iCs/>
          <w:lang w:val="en-GB"/>
        </w:rPr>
        <w:t>Efwon</w:t>
      </w:r>
      <w:proofErr w:type="spellEnd"/>
      <w:r w:rsidR="007C2415">
        <w:rPr>
          <w:rFonts w:ascii="Arial" w:hAnsi="Arial" w:cs="Arial"/>
          <w:iCs/>
          <w:lang w:val="en-GB"/>
        </w:rPr>
        <w:t xml:space="preserve"> Group is registered in a different jurisdiction, assuming that </w:t>
      </w:r>
      <w:proofErr w:type="spellStart"/>
      <w:r w:rsidR="007C2415">
        <w:rPr>
          <w:rFonts w:ascii="Arial" w:hAnsi="Arial" w:cs="Arial"/>
          <w:iCs/>
          <w:lang w:val="en-GB"/>
        </w:rPr>
        <w:t>Efwon</w:t>
      </w:r>
      <w:proofErr w:type="spellEnd"/>
      <w:r w:rsidR="007C2415">
        <w:rPr>
          <w:rFonts w:ascii="Arial" w:hAnsi="Arial" w:cs="Arial"/>
          <w:iCs/>
          <w:lang w:val="en-GB"/>
        </w:rPr>
        <w:t xml:space="preserve"> Romania is registered in Romania</w:t>
      </w:r>
      <w:r>
        <w:rPr>
          <w:rFonts w:ascii="Arial" w:hAnsi="Arial" w:cs="Arial"/>
          <w:iCs/>
          <w:lang w:val="en-GB"/>
        </w:rPr>
        <w:t>. The</w:t>
      </w:r>
      <w:r w:rsidRPr="00EB1245">
        <w:rPr>
          <w:rFonts w:ascii="Arial" w:hAnsi="Arial" w:cs="Arial"/>
          <w:iCs/>
          <w:lang w:val="en-GB"/>
        </w:rPr>
        <w:t xml:space="preserve"> presumption </w:t>
      </w:r>
      <w:r>
        <w:rPr>
          <w:rFonts w:ascii="Arial" w:hAnsi="Arial" w:cs="Arial"/>
          <w:iCs/>
          <w:lang w:val="en-GB"/>
        </w:rPr>
        <w:t xml:space="preserve">may be rebutted if we show through the governance structure of </w:t>
      </w:r>
      <w:proofErr w:type="spellStart"/>
      <w:r>
        <w:rPr>
          <w:rFonts w:ascii="Arial" w:hAnsi="Arial" w:cs="Arial"/>
          <w:iCs/>
          <w:lang w:val="en-GB"/>
        </w:rPr>
        <w:t>Efwon</w:t>
      </w:r>
      <w:proofErr w:type="spellEnd"/>
      <w:r>
        <w:rPr>
          <w:rFonts w:ascii="Arial" w:hAnsi="Arial" w:cs="Arial"/>
          <w:iCs/>
          <w:lang w:val="en-GB"/>
        </w:rPr>
        <w:t xml:space="preserve"> that</w:t>
      </w:r>
      <w:r w:rsidRPr="00EB1245">
        <w:rPr>
          <w:rFonts w:ascii="Arial" w:hAnsi="Arial" w:cs="Arial"/>
          <w:iCs/>
          <w:lang w:val="en-GB"/>
        </w:rPr>
        <w:t xml:space="preserve"> the COMI of </w:t>
      </w:r>
      <w:r>
        <w:rPr>
          <w:rFonts w:ascii="Arial" w:hAnsi="Arial" w:cs="Arial"/>
          <w:iCs/>
          <w:lang w:val="en-GB"/>
        </w:rPr>
        <w:t>the</w:t>
      </w:r>
      <w:r w:rsidRPr="00EB1245">
        <w:rPr>
          <w:rFonts w:ascii="Arial" w:hAnsi="Arial" w:cs="Arial"/>
          <w:iCs/>
          <w:lang w:val="en-GB"/>
        </w:rPr>
        <w:t xml:space="preserve"> subsidiar</w:t>
      </w:r>
      <w:r>
        <w:rPr>
          <w:rFonts w:ascii="Arial" w:hAnsi="Arial" w:cs="Arial"/>
          <w:iCs/>
          <w:lang w:val="en-GB"/>
        </w:rPr>
        <w:t>ies are</w:t>
      </w:r>
      <w:r w:rsidRPr="00EB1245">
        <w:rPr>
          <w:rFonts w:ascii="Arial" w:hAnsi="Arial" w:cs="Arial"/>
          <w:iCs/>
          <w:lang w:val="en-GB"/>
        </w:rPr>
        <w:t xml:space="preserve"> at the location of the group headquarters if the decision-making for the subsidiary takes place there</w:t>
      </w:r>
      <w:r>
        <w:rPr>
          <w:rFonts w:ascii="Arial" w:hAnsi="Arial" w:cs="Arial"/>
          <w:iCs/>
          <w:lang w:val="en-GB"/>
        </w:rPr>
        <w:t xml:space="preserve">, which could put all </w:t>
      </w:r>
      <w:proofErr w:type="spellStart"/>
      <w:r>
        <w:rPr>
          <w:rFonts w:ascii="Arial" w:hAnsi="Arial" w:cs="Arial"/>
          <w:iCs/>
          <w:lang w:val="en-GB"/>
        </w:rPr>
        <w:t>Efwon</w:t>
      </w:r>
      <w:proofErr w:type="spellEnd"/>
      <w:r>
        <w:rPr>
          <w:rFonts w:ascii="Arial" w:hAnsi="Arial" w:cs="Arial"/>
          <w:iCs/>
          <w:lang w:val="en-GB"/>
        </w:rPr>
        <w:t xml:space="preserve"> members’</w:t>
      </w:r>
      <w:r w:rsidRPr="00EB1245">
        <w:rPr>
          <w:rFonts w:ascii="Arial" w:hAnsi="Arial" w:cs="Arial"/>
          <w:iCs/>
          <w:lang w:val="en-GB"/>
        </w:rPr>
        <w:t xml:space="preserve"> COMIs in a single jurisdiction and permit a group restructuring</w:t>
      </w:r>
      <w:r>
        <w:rPr>
          <w:rFonts w:ascii="Arial" w:hAnsi="Arial" w:cs="Arial"/>
          <w:iCs/>
          <w:lang w:val="en-GB"/>
        </w:rPr>
        <w:t xml:space="preserve"> in the Netherlands if it can be demonstrated that the group is governed and decisions are made through </w:t>
      </w:r>
      <w:proofErr w:type="spellStart"/>
      <w:r>
        <w:rPr>
          <w:rFonts w:ascii="Arial" w:hAnsi="Arial" w:cs="Arial"/>
          <w:iCs/>
          <w:lang w:val="en-GB"/>
        </w:rPr>
        <w:t>Efwon</w:t>
      </w:r>
      <w:proofErr w:type="spellEnd"/>
      <w:r>
        <w:rPr>
          <w:rFonts w:ascii="Arial" w:hAnsi="Arial" w:cs="Arial"/>
          <w:iCs/>
          <w:lang w:val="en-GB"/>
        </w:rPr>
        <w:t xml:space="preserve"> Trading based in the Netherlands. After all, </w:t>
      </w:r>
      <w:proofErr w:type="spellStart"/>
      <w:r>
        <w:rPr>
          <w:rFonts w:ascii="Arial" w:hAnsi="Arial" w:cs="Arial"/>
          <w:iCs/>
          <w:lang w:val="en-GB"/>
        </w:rPr>
        <w:t>Efwon</w:t>
      </w:r>
      <w:proofErr w:type="spellEnd"/>
      <w:r>
        <w:rPr>
          <w:rFonts w:ascii="Arial" w:hAnsi="Arial" w:cs="Arial"/>
          <w:iCs/>
          <w:lang w:val="en-GB"/>
        </w:rPr>
        <w:t xml:space="preserve"> Trading has set up the Romania and Singapore subsidiaries, and the </w:t>
      </w:r>
      <w:proofErr w:type="spellStart"/>
      <w:r>
        <w:rPr>
          <w:rFonts w:ascii="Arial" w:hAnsi="Arial" w:cs="Arial"/>
          <w:iCs/>
          <w:lang w:val="en-GB"/>
        </w:rPr>
        <w:t>Efwon</w:t>
      </w:r>
      <w:proofErr w:type="spellEnd"/>
      <w:r>
        <w:rPr>
          <w:rFonts w:ascii="Arial" w:hAnsi="Arial" w:cs="Arial"/>
          <w:iCs/>
          <w:lang w:val="en-GB"/>
        </w:rPr>
        <w:t xml:space="preserve"> Investment financing is channelled through </w:t>
      </w:r>
      <w:proofErr w:type="spellStart"/>
      <w:r>
        <w:rPr>
          <w:rFonts w:ascii="Arial" w:hAnsi="Arial" w:cs="Arial"/>
          <w:iCs/>
          <w:lang w:val="en-GB"/>
        </w:rPr>
        <w:t>Efwon</w:t>
      </w:r>
      <w:proofErr w:type="spellEnd"/>
      <w:r>
        <w:rPr>
          <w:rFonts w:ascii="Arial" w:hAnsi="Arial" w:cs="Arial"/>
          <w:iCs/>
          <w:lang w:val="en-GB"/>
        </w:rPr>
        <w:t xml:space="preserve"> Trading. The EIR also provides for</w:t>
      </w:r>
      <w:r w:rsidRPr="00E8357C">
        <w:rPr>
          <w:rFonts w:ascii="Arial" w:hAnsi="Arial" w:cs="Arial"/>
          <w:iCs/>
          <w:lang w:val="en-GB"/>
        </w:rPr>
        <w:t xml:space="preserve"> a group COMI: “The introduction of rules on the insolvency proceedings of groups of companies should not limit the possibility for a court to open insolvency proceedings for several companies belonging to the same group in a single jurisdiction if the court finds that the centre of main interests of those companies is located in a single Member State.</w:t>
      </w:r>
      <w:r>
        <w:rPr>
          <w:rFonts w:ascii="Arial" w:hAnsi="Arial" w:cs="Arial"/>
          <w:iCs/>
        </w:rPr>
        <w:t>”</w:t>
      </w:r>
      <w:r w:rsidR="00FA68BF">
        <w:rPr>
          <w:rStyle w:val="FootnoteReference"/>
          <w:rFonts w:ascii="Arial" w:hAnsi="Arial" w:cs="Arial"/>
          <w:iCs/>
        </w:rPr>
        <w:footnoteReference w:id="30"/>
      </w:r>
    </w:p>
    <w:p w14:paraId="79843217" w14:textId="77777777" w:rsidR="003E7E3E" w:rsidRPr="003E7E3E" w:rsidRDefault="003E7E3E" w:rsidP="003E7E3E">
      <w:pPr>
        <w:jc w:val="both"/>
        <w:rPr>
          <w:rFonts w:ascii="Arial" w:hAnsi="Arial" w:cs="Arial"/>
          <w:b/>
          <w:bCs/>
          <w:iCs/>
        </w:rPr>
      </w:pPr>
    </w:p>
    <w:p w14:paraId="73948A7B" w14:textId="64B1D1C6" w:rsidR="005D069B" w:rsidRDefault="00AD19A1" w:rsidP="00B721F3">
      <w:pPr>
        <w:pStyle w:val="ListParagraph"/>
        <w:numPr>
          <w:ilvl w:val="0"/>
          <w:numId w:val="1"/>
        </w:numPr>
        <w:jc w:val="both"/>
        <w:rPr>
          <w:rFonts w:ascii="Arial" w:hAnsi="Arial" w:cs="Arial"/>
          <w:b/>
          <w:bCs/>
          <w:iCs/>
          <w:lang w:val="en-GB"/>
        </w:rPr>
      </w:pPr>
      <w:r>
        <w:rPr>
          <w:rFonts w:ascii="Arial" w:hAnsi="Arial" w:cs="Arial"/>
          <w:b/>
          <w:bCs/>
          <w:iCs/>
          <w:lang w:val="en-GB"/>
        </w:rPr>
        <w:t>Potential Impediments for the Proposed</w:t>
      </w:r>
      <w:r w:rsidR="00276CD7">
        <w:rPr>
          <w:rFonts w:ascii="Arial" w:hAnsi="Arial" w:cs="Arial"/>
          <w:b/>
          <w:bCs/>
          <w:iCs/>
          <w:lang w:val="en-GB"/>
        </w:rPr>
        <w:t xml:space="preserve"> </w:t>
      </w:r>
      <w:proofErr w:type="spellStart"/>
      <w:r w:rsidR="00276CD7">
        <w:rPr>
          <w:rFonts w:ascii="Arial" w:hAnsi="Arial" w:cs="Arial"/>
          <w:b/>
          <w:bCs/>
          <w:iCs/>
          <w:lang w:val="en-GB"/>
        </w:rPr>
        <w:t>Efwon</w:t>
      </w:r>
      <w:proofErr w:type="spellEnd"/>
      <w:r w:rsidR="00276CD7">
        <w:rPr>
          <w:rFonts w:ascii="Arial" w:hAnsi="Arial" w:cs="Arial"/>
          <w:b/>
          <w:bCs/>
          <w:iCs/>
          <w:lang w:val="en-GB"/>
        </w:rPr>
        <w:t xml:space="preserve"> Restructuring Approach</w:t>
      </w:r>
    </w:p>
    <w:p w14:paraId="392D2DEC" w14:textId="02CC588A" w:rsidR="003E7E3E" w:rsidRDefault="004922BD" w:rsidP="008B64DB">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lastRenderedPageBreak/>
        <w:t>A poten</w:t>
      </w:r>
      <w:r w:rsidR="00574CE7">
        <w:rPr>
          <w:rFonts w:ascii="Arial" w:hAnsi="Arial" w:cs="Arial"/>
          <w:iCs/>
          <w:lang w:val="en-GB"/>
        </w:rPr>
        <w:t xml:space="preserve">tial impediment to restructure the </w:t>
      </w:r>
      <w:proofErr w:type="spellStart"/>
      <w:r w:rsidR="00574CE7">
        <w:rPr>
          <w:rFonts w:ascii="Arial" w:hAnsi="Arial" w:cs="Arial"/>
          <w:iCs/>
          <w:lang w:val="en-GB"/>
        </w:rPr>
        <w:t>Efwon</w:t>
      </w:r>
      <w:proofErr w:type="spellEnd"/>
      <w:r w:rsidR="00574CE7">
        <w:rPr>
          <w:rFonts w:ascii="Arial" w:hAnsi="Arial" w:cs="Arial"/>
          <w:iCs/>
          <w:lang w:val="en-GB"/>
        </w:rPr>
        <w:t xml:space="preserve"> Group through multiple WHOA proceeding is if any of the petitioning members is already insolvent at the time of filing. </w:t>
      </w:r>
      <w:r w:rsidR="002742DA">
        <w:rPr>
          <w:rFonts w:ascii="Arial" w:hAnsi="Arial" w:cs="Arial"/>
          <w:iCs/>
          <w:lang w:val="en-GB"/>
        </w:rPr>
        <w:t xml:space="preserve">As explained above, the WHOA plan procedure is a </w:t>
      </w:r>
      <w:r w:rsidR="00B80313">
        <w:rPr>
          <w:rFonts w:ascii="Arial" w:hAnsi="Arial" w:cs="Arial"/>
          <w:iCs/>
          <w:lang w:val="en-GB"/>
        </w:rPr>
        <w:t xml:space="preserve">type of </w:t>
      </w:r>
      <w:r w:rsidR="002742DA">
        <w:rPr>
          <w:rFonts w:ascii="Arial" w:hAnsi="Arial" w:cs="Arial"/>
          <w:iCs/>
          <w:lang w:val="en-GB"/>
        </w:rPr>
        <w:t xml:space="preserve">pre-insolvency procedure and only </w:t>
      </w:r>
      <w:r w:rsidR="00B80313">
        <w:rPr>
          <w:rFonts w:ascii="Arial" w:hAnsi="Arial" w:cs="Arial"/>
          <w:iCs/>
          <w:lang w:val="en-GB"/>
        </w:rPr>
        <w:t xml:space="preserve">a </w:t>
      </w:r>
      <w:r w:rsidR="002742DA">
        <w:rPr>
          <w:rFonts w:ascii="Arial" w:hAnsi="Arial" w:cs="Arial"/>
          <w:iCs/>
          <w:lang w:val="en-GB"/>
        </w:rPr>
        <w:t>debtor</w:t>
      </w:r>
      <w:r w:rsidR="00B80313">
        <w:rPr>
          <w:rFonts w:ascii="Arial" w:hAnsi="Arial" w:cs="Arial"/>
          <w:iCs/>
          <w:lang w:val="en-GB"/>
        </w:rPr>
        <w:t xml:space="preserve"> for whom</w:t>
      </w:r>
      <w:r w:rsidR="00425786">
        <w:rPr>
          <w:rFonts w:ascii="Arial" w:hAnsi="Arial" w:cs="Arial"/>
          <w:iCs/>
          <w:lang w:val="en-GB"/>
        </w:rPr>
        <w:t xml:space="preserve"> “</w:t>
      </w:r>
      <w:r w:rsidR="00425786" w:rsidRPr="00425786">
        <w:rPr>
          <w:rFonts w:ascii="Arial" w:hAnsi="Arial" w:cs="Arial"/>
          <w:iCs/>
          <w:lang w:val="en-GB"/>
        </w:rPr>
        <w:t>it can reasonably be assumed</w:t>
      </w:r>
      <w:r w:rsidR="00CC3621">
        <w:rPr>
          <w:rFonts w:ascii="Arial" w:hAnsi="Arial" w:cs="Arial"/>
          <w:iCs/>
          <w:lang w:val="en-GB"/>
        </w:rPr>
        <w:t>”</w:t>
      </w:r>
      <w:r w:rsidR="00425786" w:rsidRPr="00425786">
        <w:rPr>
          <w:rFonts w:ascii="Arial" w:hAnsi="Arial" w:cs="Arial"/>
          <w:iCs/>
          <w:lang w:val="en-GB"/>
        </w:rPr>
        <w:t xml:space="preserve"> that </w:t>
      </w:r>
      <w:r w:rsidR="00C345C6">
        <w:rPr>
          <w:rFonts w:ascii="Arial" w:hAnsi="Arial" w:cs="Arial"/>
          <w:iCs/>
          <w:lang w:val="en-GB"/>
        </w:rPr>
        <w:t>“</w:t>
      </w:r>
      <w:r w:rsidR="00C345C6" w:rsidRPr="00425786">
        <w:rPr>
          <w:rFonts w:ascii="Arial" w:hAnsi="Arial" w:cs="Arial"/>
          <w:iCs/>
          <w:lang w:val="en-GB"/>
        </w:rPr>
        <w:t>will</w:t>
      </w:r>
      <w:r w:rsidR="00425786" w:rsidRPr="00425786">
        <w:rPr>
          <w:rFonts w:ascii="Arial" w:hAnsi="Arial" w:cs="Arial"/>
          <w:iCs/>
          <w:lang w:val="en-GB"/>
        </w:rPr>
        <w:t xml:space="preserve"> not be able to continue paying its debts as they fall due</w:t>
      </w:r>
      <w:r w:rsidR="00425786">
        <w:rPr>
          <w:rFonts w:ascii="Arial" w:hAnsi="Arial" w:cs="Arial"/>
          <w:iCs/>
          <w:lang w:val="en-GB"/>
        </w:rPr>
        <w:t>”</w:t>
      </w:r>
      <w:r w:rsidR="00CC3621">
        <w:rPr>
          <w:rFonts w:ascii="Arial" w:hAnsi="Arial" w:cs="Arial"/>
          <w:iCs/>
          <w:lang w:val="en-GB"/>
        </w:rPr>
        <w:t xml:space="preserve"> is eligible to file for it</w:t>
      </w:r>
      <w:r w:rsidR="00425786">
        <w:rPr>
          <w:rFonts w:ascii="Arial" w:hAnsi="Arial" w:cs="Arial"/>
          <w:iCs/>
          <w:lang w:val="en-GB"/>
        </w:rPr>
        <w:t>.</w:t>
      </w:r>
      <w:r w:rsidR="00425786">
        <w:rPr>
          <w:rStyle w:val="FootnoteReference"/>
          <w:rFonts w:ascii="Arial" w:hAnsi="Arial" w:cs="Arial"/>
          <w:iCs/>
          <w:lang w:val="en-GB"/>
        </w:rPr>
        <w:footnoteReference w:id="31"/>
      </w:r>
      <w:r w:rsidRPr="004922BD">
        <w:rPr>
          <w:rFonts w:ascii="Arial" w:hAnsi="Arial" w:cs="Arial"/>
          <w:iCs/>
          <w:lang w:val="en-GB"/>
        </w:rPr>
        <w:t xml:space="preserve"> </w:t>
      </w:r>
    </w:p>
    <w:p w14:paraId="7623E9CA" w14:textId="391735AE" w:rsidR="00CC3621" w:rsidRDefault="00CC3621" w:rsidP="008B64DB">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Since the WHOA Act is relatively recent</w:t>
      </w:r>
      <w:r w:rsidR="00695A74">
        <w:rPr>
          <w:rFonts w:ascii="Arial" w:hAnsi="Arial" w:cs="Arial"/>
          <w:iCs/>
          <w:lang w:val="en-GB"/>
        </w:rPr>
        <w:t xml:space="preserve">, to our knowledge, the Dutch Courts have not been tested yet with a </w:t>
      </w:r>
      <w:r w:rsidR="003013DE">
        <w:rPr>
          <w:rFonts w:ascii="Arial" w:hAnsi="Arial" w:cs="Arial"/>
          <w:iCs/>
          <w:lang w:val="en-GB"/>
        </w:rPr>
        <w:t>petition from a non-Dutch debtor, in a main</w:t>
      </w:r>
      <w:r w:rsidR="00727C88">
        <w:rPr>
          <w:rFonts w:ascii="Arial" w:hAnsi="Arial" w:cs="Arial"/>
          <w:iCs/>
          <w:lang w:val="en-GB"/>
        </w:rPr>
        <w:t xml:space="preserve"> proceeding (plenary</w:t>
      </w:r>
      <w:r w:rsidR="00C345C6">
        <w:rPr>
          <w:rFonts w:ascii="Arial" w:hAnsi="Arial" w:cs="Arial"/>
          <w:iCs/>
          <w:lang w:val="en-GB"/>
        </w:rPr>
        <w:t>)</w:t>
      </w:r>
      <w:r w:rsidR="00727C88">
        <w:rPr>
          <w:rFonts w:ascii="Arial" w:hAnsi="Arial" w:cs="Arial"/>
          <w:iCs/>
          <w:lang w:val="en-GB"/>
        </w:rPr>
        <w:t xml:space="preserve"> proceeding</w:t>
      </w:r>
      <w:r w:rsidR="00727C88">
        <w:rPr>
          <w:rFonts w:ascii="Arial" w:hAnsi="Arial" w:cs="Arial"/>
          <w:iCs/>
        </w:rPr>
        <w:t xml:space="preserve">. There have already been several successful WHOA plan restructurings </w:t>
      </w:r>
      <w:r w:rsidR="004569FE">
        <w:rPr>
          <w:rFonts w:ascii="Arial" w:hAnsi="Arial" w:cs="Arial"/>
          <w:iCs/>
        </w:rPr>
        <w:t>in the context of enterprise groups, but the Dutch proceedings so far have only been used for the Dutch entit</w:t>
      </w:r>
      <w:r w:rsidR="004C1E68">
        <w:rPr>
          <w:rFonts w:ascii="Arial" w:hAnsi="Arial" w:cs="Arial"/>
          <w:iCs/>
        </w:rPr>
        <w:t>ies of international groups.</w:t>
      </w:r>
      <w:r w:rsidR="004C1E68">
        <w:rPr>
          <w:rStyle w:val="FootnoteReference"/>
          <w:rFonts w:ascii="Arial" w:hAnsi="Arial" w:cs="Arial"/>
          <w:iCs/>
        </w:rPr>
        <w:footnoteReference w:id="32"/>
      </w:r>
      <w:r w:rsidR="00695A74">
        <w:rPr>
          <w:rFonts w:ascii="Arial" w:hAnsi="Arial" w:cs="Arial"/>
          <w:iCs/>
          <w:lang w:val="en-GB"/>
        </w:rPr>
        <w:t xml:space="preserve"> </w:t>
      </w:r>
      <w:r w:rsidR="00175DD1">
        <w:rPr>
          <w:rFonts w:ascii="Arial" w:hAnsi="Arial" w:cs="Arial"/>
          <w:iCs/>
          <w:lang w:val="en-GB"/>
        </w:rPr>
        <w:t xml:space="preserve">Thus, some of the </w:t>
      </w:r>
      <w:proofErr w:type="spellStart"/>
      <w:r w:rsidR="00175DD1">
        <w:rPr>
          <w:rFonts w:ascii="Arial" w:hAnsi="Arial" w:cs="Arial"/>
          <w:iCs/>
          <w:lang w:val="en-GB"/>
        </w:rPr>
        <w:t>Efwon</w:t>
      </w:r>
      <w:proofErr w:type="spellEnd"/>
      <w:r w:rsidR="00175DD1">
        <w:rPr>
          <w:rFonts w:ascii="Arial" w:hAnsi="Arial" w:cs="Arial"/>
          <w:iCs/>
          <w:lang w:val="en-GB"/>
        </w:rPr>
        <w:t xml:space="preserve"> stakeholders might be concerned and may prefer to us</w:t>
      </w:r>
      <w:r w:rsidR="00BA4FC1">
        <w:rPr>
          <w:rFonts w:ascii="Arial" w:hAnsi="Arial" w:cs="Arial"/>
          <w:iCs/>
          <w:lang w:val="en-GB"/>
        </w:rPr>
        <w:t>e</w:t>
      </w:r>
      <w:r w:rsidR="00175DD1">
        <w:rPr>
          <w:rFonts w:ascii="Arial" w:hAnsi="Arial" w:cs="Arial"/>
          <w:iCs/>
          <w:lang w:val="en-GB"/>
        </w:rPr>
        <w:t xml:space="preserve"> already tested options, such as the U.S. Chapter 11</w:t>
      </w:r>
      <w:r w:rsidR="00BA4FC1">
        <w:rPr>
          <w:rFonts w:ascii="Arial" w:hAnsi="Arial" w:cs="Arial"/>
          <w:iCs/>
          <w:lang w:val="en-GB"/>
        </w:rPr>
        <w:t xml:space="preserve"> procedure</w:t>
      </w:r>
      <w:r w:rsidR="00175DD1">
        <w:rPr>
          <w:rFonts w:ascii="Arial" w:hAnsi="Arial" w:cs="Arial"/>
          <w:iCs/>
          <w:lang w:val="en-GB"/>
        </w:rPr>
        <w:t xml:space="preserve">. In the </w:t>
      </w:r>
      <w:proofErr w:type="spellStart"/>
      <w:r w:rsidR="00175DD1">
        <w:rPr>
          <w:rFonts w:ascii="Arial" w:hAnsi="Arial" w:cs="Arial"/>
          <w:iCs/>
          <w:lang w:val="en-GB"/>
        </w:rPr>
        <w:t>Efwon</w:t>
      </w:r>
      <w:proofErr w:type="spellEnd"/>
      <w:r w:rsidR="00175DD1">
        <w:rPr>
          <w:rFonts w:ascii="Arial" w:hAnsi="Arial" w:cs="Arial"/>
          <w:iCs/>
          <w:lang w:val="en-GB"/>
        </w:rPr>
        <w:t xml:space="preserve"> </w:t>
      </w:r>
      <w:r w:rsidR="00434259">
        <w:rPr>
          <w:rFonts w:ascii="Arial" w:hAnsi="Arial" w:cs="Arial"/>
          <w:iCs/>
          <w:lang w:val="en-GB"/>
        </w:rPr>
        <w:t xml:space="preserve">case, the U.S. lenders </w:t>
      </w:r>
      <w:r w:rsidR="00BA4FC1">
        <w:rPr>
          <w:rFonts w:ascii="Arial" w:hAnsi="Arial" w:cs="Arial"/>
          <w:iCs/>
          <w:lang w:val="en-GB"/>
        </w:rPr>
        <w:t xml:space="preserve">may decide to </w:t>
      </w:r>
      <w:r w:rsidR="00174FC0" w:rsidRPr="00174FC0">
        <w:rPr>
          <w:rFonts w:ascii="Arial" w:hAnsi="Arial" w:cs="Arial"/>
          <w:iCs/>
          <w:lang w:val="en-GB"/>
        </w:rPr>
        <w:t xml:space="preserve">challenge the recognition of </w:t>
      </w:r>
      <w:r w:rsidR="00BA4FC1">
        <w:rPr>
          <w:rFonts w:ascii="Arial" w:hAnsi="Arial" w:cs="Arial"/>
          <w:iCs/>
          <w:lang w:val="en-GB"/>
        </w:rPr>
        <w:t>the WHOA</w:t>
      </w:r>
      <w:r w:rsidR="00174FC0" w:rsidRPr="00174FC0">
        <w:rPr>
          <w:rFonts w:ascii="Arial" w:hAnsi="Arial" w:cs="Arial"/>
          <w:iCs/>
          <w:lang w:val="en-GB"/>
        </w:rPr>
        <w:t xml:space="preserve"> proceedings </w:t>
      </w:r>
      <w:r w:rsidR="00C50D4A">
        <w:rPr>
          <w:rFonts w:ascii="Arial" w:hAnsi="Arial" w:cs="Arial"/>
          <w:iCs/>
          <w:lang w:val="en-GB"/>
        </w:rPr>
        <w:t>for</w:t>
      </w:r>
      <w:r w:rsidR="00434259">
        <w:rPr>
          <w:rFonts w:ascii="Arial" w:hAnsi="Arial" w:cs="Arial"/>
          <w:iCs/>
          <w:lang w:val="en-GB"/>
        </w:rPr>
        <w:t xml:space="preserve"> </w:t>
      </w:r>
      <w:proofErr w:type="spellStart"/>
      <w:r w:rsidR="00434259">
        <w:rPr>
          <w:rFonts w:ascii="Arial" w:hAnsi="Arial" w:cs="Arial"/>
          <w:iCs/>
          <w:lang w:val="en-GB"/>
        </w:rPr>
        <w:t>Efwon</w:t>
      </w:r>
      <w:proofErr w:type="spellEnd"/>
      <w:r w:rsidR="00434259">
        <w:rPr>
          <w:rFonts w:ascii="Arial" w:hAnsi="Arial" w:cs="Arial"/>
          <w:iCs/>
          <w:lang w:val="en-GB"/>
        </w:rPr>
        <w:t xml:space="preserve"> Investments in </w:t>
      </w:r>
      <w:r w:rsidR="003D6616">
        <w:rPr>
          <w:rFonts w:ascii="Arial" w:hAnsi="Arial" w:cs="Arial"/>
          <w:iCs/>
          <w:lang w:val="en-GB"/>
        </w:rPr>
        <w:t xml:space="preserve">U.S. courts, but in our view, the U.S. court will </w:t>
      </w:r>
      <w:r w:rsidR="00584EB1">
        <w:rPr>
          <w:rFonts w:ascii="Arial" w:hAnsi="Arial" w:cs="Arial"/>
          <w:iCs/>
          <w:lang w:val="en-GB"/>
        </w:rPr>
        <w:t xml:space="preserve">rule in </w:t>
      </w:r>
      <w:proofErr w:type="spellStart"/>
      <w:r w:rsidR="00584EB1">
        <w:rPr>
          <w:rFonts w:ascii="Arial" w:hAnsi="Arial" w:cs="Arial"/>
          <w:iCs/>
          <w:lang w:val="en-GB"/>
        </w:rPr>
        <w:t>favor</w:t>
      </w:r>
      <w:proofErr w:type="spellEnd"/>
      <w:r w:rsidR="00584EB1">
        <w:rPr>
          <w:rFonts w:ascii="Arial" w:hAnsi="Arial" w:cs="Arial"/>
          <w:iCs/>
          <w:lang w:val="en-GB"/>
        </w:rPr>
        <w:t xml:space="preserve"> of the </w:t>
      </w:r>
      <w:proofErr w:type="spellStart"/>
      <w:r w:rsidR="00584EB1">
        <w:rPr>
          <w:rFonts w:ascii="Arial" w:hAnsi="Arial" w:cs="Arial"/>
          <w:iCs/>
          <w:lang w:val="en-GB"/>
        </w:rPr>
        <w:t>Efwon</w:t>
      </w:r>
      <w:proofErr w:type="spellEnd"/>
      <w:r w:rsidR="00584EB1">
        <w:rPr>
          <w:rFonts w:ascii="Arial" w:hAnsi="Arial" w:cs="Arial"/>
          <w:iCs/>
          <w:lang w:val="en-GB"/>
        </w:rPr>
        <w:t xml:space="preserve"> Group. </w:t>
      </w:r>
    </w:p>
    <w:p w14:paraId="3E4AA1F4" w14:textId="1B040D3A" w:rsidR="00584EB1" w:rsidRDefault="005A1CFD" w:rsidP="008B64DB">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 xml:space="preserve">Another impediment may </w:t>
      </w:r>
      <w:r w:rsidR="006C1AE1">
        <w:rPr>
          <w:rFonts w:ascii="Arial" w:hAnsi="Arial" w:cs="Arial"/>
          <w:iCs/>
          <w:lang w:val="en-GB"/>
        </w:rPr>
        <w:t xml:space="preserve">be if the Romanian bankruptcy court, which was first seized with an insolvency petition in the case of </w:t>
      </w:r>
      <w:proofErr w:type="spellStart"/>
      <w:r w:rsidR="006C1AE1">
        <w:rPr>
          <w:rFonts w:ascii="Arial" w:hAnsi="Arial" w:cs="Arial"/>
          <w:iCs/>
          <w:lang w:val="en-GB"/>
        </w:rPr>
        <w:t>Efwon</w:t>
      </w:r>
      <w:proofErr w:type="spellEnd"/>
      <w:r w:rsidR="006C1AE1">
        <w:rPr>
          <w:rFonts w:ascii="Arial" w:hAnsi="Arial" w:cs="Arial"/>
          <w:iCs/>
          <w:lang w:val="en-GB"/>
        </w:rPr>
        <w:t xml:space="preserve"> Romania</w:t>
      </w:r>
      <w:r w:rsidR="00305CF5">
        <w:rPr>
          <w:rFonts w:ascii="Arial" w:hAnsi="Arial" w:cs="Arial"/>
          <w:iCs/>
          <w:lang w:val="en-GB"/>
        </w:rPr>
        <w:t xml:space="preserve"> objects to the </w:t>
      </w:r>
      <w:proofErr w:type="spellStart"/>
      <w:r w:rsidR="00305CF5">
        <w:rPr>
          <w:rFonts w:ascii="Arial" w:hAnsi="Arial" w:cs="Arial"/>
          <w:iCs/>
          <w:lang w:val="en-GB"/>
        </w:rPr>
        <w:t>Netherdlands</w:t>
      </w:r>
      <w:proofErr w:type="spellEnd"/>
      <w:r w:rsidR="00305CF5">
        <w:rPr>
          <w:rFonts w:ascii="Arial" w:hAnsi="Arial" w:cs="Arial"/>
          <w:iCs/>
          <w:lang w:val="en-GB"/>
        </w:rPr>
        <w:t xml:space="preserve"> COMI and the jurisdiction of the Dutch </w:t>
      </w:r>
      <w:r w:rsidR="00152056">
        <w:rPr>
          <w:rFonts w:ascii="Arial" w:hAnsi="Arial" w:cs="Arial"/>
          <w:iCs/>
          <w:lang w:val="en-GB"/>
        </w:rPr>
        <w:t xml:space="preserve">court over </w:t>
      </w:r>
      <w:proofErr w:type="spellStart"/>
      <w:r w:rsidR="00152056">
        <w:rPr>
          <w:rFonts w:ascii="Arial" w:hAnsi="Arial" w:cs="Arial"/>
          <w:iCs/>
          <w:lang w:val="en-GB"/>
        </w:rPr>
        <w:t>Efwon</w:t>
      </w:r>
      <w:proofErr w:type="spellEnd"/>
      <w:r w:rsidR="00152056">
        <w:rPr>
          <w:rFonts w:ascii="Arial" w:hAnsi="Arial" w:cs="Arial"/>
          <w:iCs/>
          <w:lang w:val="en-GB"/>
        </w:rPr>
        <w:t xml:space="preserve"> Romania’s restructuring, </w:t>
      </w:r>
      <w:proofErr w:type="gramStart"/>
      <w:r w:rsidR="00152056">
        <w:rPr>
          <w:rFonts w:ascii="Arial" w:hAnsi="Arial" w:cs="Arial"/>
          <w:iCs/>
          <w:lang w:val="en-GB"/>
        </w:rPr>
        <w:t>on the basis of</w:t>
      </w:r>
      <w:proofErr w:type="gramEnd"/>
      <w:r w:rsidR="00152056">
        <w:rPr>
          <w:rFonts w:ascii="Arial" w:hAnsi="Arial" w:cs="Arial"/>
          <w:iCs/>
          <w:lang w:val="en-GB"/>
        </w:rPr>
        <w:t xml:space="preserve"> the registered office presumption of the EIR. </w:t>
      </w:r>
      <w:r w:rsidR="0021111D">
        <w:rPr>
          <w:rFonts w:ascii="Arial" w:hAnsi="Arial" w:cs="Arial"/>
          <w:iCs/>
          <w:lang w:val="en-GB"/>
        </w:rPr>
        <w:t xml:space="preserve">That said, since it does not appear that the Romania insolvency order has been made yet, and the latest amendment of the EIR supports the </w:t>
      </w:r>
      <w:r w:rsidR="004A5175">
        <w:rPr>
          <w:rFonts w:ascii="Arial" w:hAnsi="Arial" w:cs="Arial"/>
          <w:iCs/>
          <w:lang w:val="en-GB"/>
        </w:rPr>
        <w:t>value-preservation</w:t>
      </w:r>
      <w:r w:rsidR="00A46957">
        <w:rPr>
          <w:rFonts w:ascii="Arial" w:hAnsi="Arial" w:cs="Arial"/>
          <w:iCs/>
          <w:lang w:val="en-GB"/>
        </w:rPr>
        <w:t xml:space="preserve"> </w:t>
      </w:r>
      <w:r w:rsidR="004A5175">
        <w:rPr>
          <w:rFonts w:ascii="Arial" w:hAnsi="Arial" w:cs="Arial"/>
          <w:iCs/>
          <w:lang w:val="en-GB"/>
        </w:rPr>
        <w:t>approach in the case of restructuring of groups</w:t>
      </w:r>
      <w:r w:rsidR="005954BF">
        <w:rPr>
          <w:rStyle w:val="FootnoteReference"/>
          <w:rFonts w:ascii="Arial" w:hAnsi="Arial" w:cs="Arial"/>
          <w:iCs/>
          <w:lang w:val="en-GB"/>
        </w:rPr>
        <w:footnoteReference w:id="33"/>
      </w:r>
      <w:r w:rsidR="004A5175">
        <w:rPr>
          <w:rFonts w:ascii="Arial" w:hAnsi="Arial" w:cs="Arial"/>
          <w:iCs/>
          <w:lang w:val="en-GB"/>
        </w:rPr>
        <w:t>, in ou</w:t>
      </w:r>
      <w:r w:rsidR="005954BF">
        <w:rPr>
          <w:rFonts w:ascii="Arial" w:hAnsi="Arial" w:cs="Arial"/>
          <w:iCs/>
          <w:lang w:val="en-GB"/>
        </w:rPr>
        <w:t xml:space="preserve">r view, this is unlikely. </w:t>
      </w:r>
    </w:p>
    <w:p w14:paraId="05EAF102" w14:textId="77777777" w:rsidR="00A46957" w:rsidRPr="00A46957" w:rsidRDefault="00A46957" w:rsidP="00A46957">
      <w:pPr>
        <w:spacing w:before="120" w:after="120" w:line="300" w:lineRule="exact"/>
        <w:ind w:left="360"/>
        <w:jc w:val="both"/>
        <w:rPr>
          <w:rFonts w:ascii="Arial" w:hAnsi="Arial" w:cs="Arial"/>
          <w:iCs/>
          <w:lang w:val="en-GB"/>
        </w:rPr>
      </w:pPr>
    </w:p>
    <w:p w14:paraId="52FDDCCC" w14:textId="491C531F" w:rsidR="00B90860" w:rsidRDefault="00A46957" w:rsidP="00A46957">
      <w:pPr>
        <w:pStyle w:val="ListParagraph"/>
        <w:numPr>
          <w:ilvl w:val="0"/>
          <w:numId w:val="1"/>
        </w:numPr>
        <w:jc w:val="both"/>
        <w:rPr>
          <w:rFonts w:ascii="Arial" w:hAnsi="Arial" w:cs="Arial"/>
          <w:b/>
          <w:bCs/>
          <w:iCs/>
          <w:lang w:val="en-GB"/>
        </w:rPr>
      </w:pPr>
      <w:r w:rsidRPr="00A46957">
        <w:rPr>
          <w:rFonts w:ascii="Arial" w:hAnsi="Arial" w:cs="Arial"/>
          <w:b/>
          <w:bCs/>
          <w:iCs/>
          <w:lang w:val="en-GB"/>
        </w:rPr>
        <w:t xml:space="preserve">Should </w:t>
      </w:r>
      <w:proofErr w:type="spellStart"/>
      <w:r w:rsidRPr="00A46957">
        <w:rPr>
          <w:rFonts w:ascii="Arial" w:hAnsi="Arial" w:cs="Arial"/>
          <w:b/>
          <w:bCs/>
          <w:iCs/>
          <w:lang w:val="en-GB"/>
        </w:rPr>
        <w:t>Efwon</w:t>
      </w:r>
      <w:proofErr w:type="spellEnd"/>
      <w:r w:rsidRPr="00A46957">
        <w:rPr>
          <w:rFonts w:ascii="Arial" w:hAnsi="Arial" w:cs="Arial"/>
          <w:b/>
          <w:bCs/>
          <w:iCs/>
          <w:lang w:val="en-GB"/>
        </w:rPr>
        <w:t xml:space="preserve"> </w:t>
      </w:r>
      <w:r>
        <w:rPr>
          <w:rFonts w:ascii="Arial" w:hAnsi="Arial" w:cs="Arial"/>
          <w:b/>
          <w:bCs/>
          <w:iCs/>
          <w:lang w:val="en-GB"/>
        </w:rPr>
        <w:t>H</w:t>
      </w:r>
      <w:r w:rsidRPr="00A46957">
        <w:rPr>
          <w:rFonts w:ascii="Arial" w:hAnsi="Arial" w:cs="Arial"/>
          <w:b/>
          <w:bCs/>
          <w:iCs/>
          <w:lang w:val="en-GB"/>
        </w:rPr>
        <w:t xml:space="preserve">ave </w:t>
      </w:r>
      <w:r>
        <w:rPr>
          <w:rFonts w:ascii="Arial" w:hAnsi="Arial" w:cs="Arial"/>
          <w:b/>
          <w:bCs/>
          <w:iCs/>
          <w:lang w:val="en-GB"/>
        </w:rPr>
        <w:t>S</w:t>
      </w:r>
      <w:r w:rsidRPr="00A46957">
        <w:rPr>
          <w:rFonts w:ascii="Arial" w:hAnsi="Arial" w:cs="Arial"/>
          <w:b/>
          <w:bCs/>
          <w:iCs/>
          <w:lang w:val="en-GB"/>
        </w:rPr>
        <w:t xml:space="preserve">tructured through England </w:t>
      </w:r>
      <w:r>
        <w:rPr>
          <w:rFonts w:ascii="Arial" w:hAnsi="Arial" w:cs="Arial"/>
          <w:b/>
          <w:bCs/>
          <w:iCs/>
          <w:lang w:val="en-GB"/>
        </w:rPr>
        <w:t>R</w:t>
      </w:r>
      <w:r w:rsidRPr="00A46957">
        <w:rPr>
          <w:rFonts w:ascii="Arial" w:hAnsi="Arial" w:cs="Arial"/>
          <w:b/>
          <w:bCs/>
          <w:iCs/>
          <w:lang w:val="en-GB"/>
        </w:rPr>
        <w:t xml:space="preserve">ather </w:t>
      </w:r>
      <w:r>
        <w:rPr>
          <w:rFonts w:ascii="Arial" w:hAnsi="Arial" w:cs="Arial"/>
          <w:b/>
          <w:bCs/>
          <w:iCs/>
          <w:lang w:val="en-GB"/>
        </w:rPr>
        <w:t>T</w:t>
      </w:r>
      <w:r w:rsidRPr="00A46957">
        <w:rPr>
          <w:rFonts w:ascii="Arial" w:hAnsi="Arial" w:cs="Arial"/>
          <w:b/>
          <w:bCs/>
          <w:iCs/>
          <w:lang w:val="en-GB"/>
        </w:rPr>
        <w:t>han the Netherlands</w:t>
      </w:r>
    </w:p>
    <w:p w14:paraId="42C42ACF" w14:textId="3D058DDB" w:rsidR="00ED3886" w:rsidRDefault="00AC128C" w:rsidP="00C47777">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England has been a popular</w:t>
      </w:r>
      <w:r w:rsidR="00C47777" w:rsidRPr="00C47777">
        <w:rPr>
          <w:rFonts w:ascii="Arial" w:hAnsi="Arial" w:cs="Arial"/>
          <w:iCs/>
          <w:lang w:val="en-GB"/>
        </w:rPr>
        <w:t xml:space="preserve"> jurisdiction for global restructurings</w:t>
      </w:r>
      <w:r>
        <w:rPr>
          <w:rFonts w:ascii="Arial" w:hAnsi="Arial" w:cs="Arial"/>
          <w:iCs/>
          <w:lang w:val="en-GB"/>
        </w:rPr>
        <w:t xml:space="preserve"> for a long time</w:t>
      </w:r>
      <w:r w:rsidR="00CA7489">
        <w:rPr>
          <w:rFonts w:ascii="Arial" w:hAnsi="Arial" w:cs="Arial"/>
          <w:iCs/>
          <w:lang w:val="en-GB"/>
        </w:rPr>
        <w:t xml:space="preserve"> through its schemes of arrangement </w:t>
      </w:r>
      <w:r w:rsidR="00C54DD4">
        <w:rPr>
          <w:rFonts w:ascii="Arial" w:hAnsi="Arial" w:cs="Arial"/>
          <w:iCs/>
          <w:lang w:val="en-GB"/>
        </w:rPr>
        <w:t xml:space="preserve">(which do not qualify as insolvency procedure) </w:t>
      </w:r>
      <w:r w:rsidR="00CA7489">
        <w:rPr>
          <w:rFonts w:ascii="Arial" w:hAnsi="Arial" w:cs="Arial"/>
          <w:iCs/>
          <w:lang w:val="en-GB"/>
        </w:rPr>
        <w:t xml:space="preserve">and it recently also introduced a </w:t>
      </w:r>
      <w:r w:rsidR="00F63D21">
        <w:rPr>
          <w:rFonts w:ascii="Arial" w:hAnsi="Arial" w:cs="Arial"/>
          <w:iCs/>
          <w:lang w:val="en-GB"/>
        </w:rPr>
        <w:t xml:space="preserve">hybrid restructuring option through the new </w:t>
      </w:r>
      <w:r w:rsidR="00F63D21" w:rsidRPr="00F63D21">
        <w:rPr>
          <w:rFonts w:ascii="Arial" w:hAnsi="Arial" w:cs="Arial"/>
          <w:iCs/>
          <w:lang w:val="en-GB"/>
        </w:rPr>
        <w:t>UK Plan</w:t>
      </w:r>
      <w:r w:rsidR="009E25C7">
        <w:rPr>
          <w:rFonts w:ascii="Arial" w:hAnsi="Arial" w:cs="Arial"/>
          <w:iCs/>
          <w:lang w:val="en-GB"/>
        </w:rPr>
        <w:t xml:space="preserve"> (</w:t>
      </w:r>
      <w:r w:rsidR="00F63D21" w:rsidRPr="00F63D21">
        <w:rPr>
          <w:rFonts w:ascii="Arial" w:hAnsi="Arial" w:cs="Arial"/>
          <w:iCs/>
          <w:lang w:val="en-GB"/>
        </w:rPr>
        <w:t>Part 26A</w:t>
      </w:r>
      <w:r w:rsidR="009E25C7">
        <w:rPr>
          <w:rFonts w:ascii="Arial" w:hAnsi="Arial" w:cs="Arial"/>
          <w:iCs/>
          <w:lang w:val="en-GB"/>
        </w:rPr>
        <w:t>)</w:t>
      </w:r>
      <w:r w:rsidR="00ED3886">
        <w:rPr>
          <w:rFonts w:ascii="Arial" w:hAnsi="Arial" w:cs="Arial"/>
          <w:iCs/>
          <w:lang w:val="en-GB"/>
        </w:rPr>
        <w:t>.</w:t>
      </w:r>
      <w:r w:rsidR="00606B94">
        <w:rPr>
          <w:rStyle w:val="FootnoteReference"/>
          <w:rFonts w:ascii="Arial" w:hAnsi="Arial" w:cs="Arial"/>
          <w:iCs/>
          <w:lang w:val="en-GB"/>
        </w:rPr>
        <w:footnoteReference w:id="34"/>
      </w:r>
      <w:r w:rsidR="00ED3886">
        <w:rPr>
          <w:rFonts w:ascii="Arial" w:hAnsi="Arial" w:cs="Arial"/>
          <w:iCs/>
          <w:lang w:val="en-GB"/>
        </w:rPr>
        <w:t xml:space="preserve"> </w:t>
      </w:r>
    </w:p>
    <w:p w14:paraId="3C3AC453" w14:textId="1CB3B7C4" w:rsidR="00C47777" w:rsidRPr="00C47777" w:rsidRDefault="00ED3886" w:rsidP="00C47777">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The UK Plan</w:t>
      </w:r>
      <w:r w:rsidR="00F63D21" w:rsidRPr="00F63D21">
        <w:rPr>
          <w:rFonts w:ascii="Arial" w:hAnsi="Arial" w:cs="Arial"/>
          <w:iCs/>
          <w:lang w:val="en-GB"/>
        </w:rPr>
        <w:t xml:space="preserve"> unlike the scheme of arrangement, would have qualified as an insolvency proceeding for purposes of the EIR</w:t>
      </w:r>
      <w:r w:rsidR="00E37F9D">
        <w:rPr>
          <w:rFonts w:ascii="Arial" w:hAnsi="Arial" w:cs="Arial"/>
          <w:iCs/>
          <w:lang w:val="en-GB"/>
        </w:rPr>
        <w:t xml:space="preserve">. However, </w:t>
      </w:r>
      <w:r w:rsidR="00C47777" w:rsidRPr="00C47777">
        <w:rPr>
          <w:rFonts w:ascii="Arial" w:hAnsi="Arial" w:cs="Arial"/>
          <w:iCs/>
          <w:lang w:val="en-GB"/>
        </w:rPr>
        <w:t>the UK’s departure from the EU deprives English restructurings of the automatic EU-wide enforcement they previously enjoyed.</w:t>
      </w:r>
      <w:r w:rsidR="00C47777" w:rsidRPr="00C47777">
        <w:rPr>
          <w:rFonts w:ascii="Arial" w:hAnsi="Arial" w:cs="Arial"/>
        </w:rPr>
        <w:t xml:space="preserve"> </w:t>
      </w:r>
      <w:r w:rsidR="00C47777" w:rsidRPr="00C47777">
        <w:rPr>
          <w:rFonts w:ascii="Arial" w:hAnsi="Arial" w:cs="Arial"/>
          <w:iCs/>
          <w:lang w:val="en-GB"/>
        </w:rPr>
        <w:t>The UK-EU Trade and Cooperation Agreement does not address insolvency law and thus there has been a “hard Brexit” for the English restructuring practice.</w:t>
      </w:r>
      <w:r w:rsidR="00C47777" w:rsidRPr="00C47777">
        <w:rPr>
          <w:rStyle w:val="FootnoteReference"/>
          <w:rFonts w:ascii="Arial" w:hAnsi="Arial" w:cs="Arial"/>
          <w:iCs/>
          <w:lang w:val="en-GB"/>
        </w:rPr>
        <w:footnoteReference w:id="35"/>
      </w:r>
      <w:r w:rsidR="00E34F09">
        <w:rPr>
          <w:rFonts w:ascii="Arial" w:hAnsi="Arial" w:cs="Arial"/>
          <w:iCs/>
          <w:lang w:val="en-GB"/>
        </w:rPr>
        <w:t xml:space="preserve"> </w:t>
      </w:r>
      <w:r w:rsidR="00F83D84">
        <w:rPr>
          <w:rFonts w:ascii="Arial" w:hAnsi="Arial" w:cs="Arial"/>
          <w:iCs/>
          <w:lang w:val="en-GB"/>
        </w:rPr>
        <w:t>Hence, the</w:t>
      </w:r>
      <w:r w:rsidR="00C47777" w:rsidRPr="00C47777">
        <w:rPr>
          <w:rFonts w:ascii="Arial" w:hAnsi="Arial" w:cs="Arial"/>
          <w:iCs/>
          <w:lang w:val="en-GB"/>
        </w:rPr>
        <w:t xml:space="preserve"> tools that gave English restructurings </w:t>
      </w:r>
      <w:r w:rsidR="00C47777" w:rsidRPr="00C47777">
        <w:rPr>
          <w:rFonts w:ascii="Arial" w:hAnsi="Arial" w:cs="Arial"/>
          <w:iCs/>
          <w:lang w:val="en-GB"/>
        </w:rPr>
        <w:lastRenderedPageBreak/>
        <w:t xml:space="preserve">EU-wide effect are no longer available: the </w:t>
      </w:r>
      <w:r w:rsidR="00F83D84">
        <w:rPr>
          <w:rFonts w:ascii="Arial" w:hAnsi="Arial" w:cs="Arial"/>
          <w:iCs/>
          <w:lang w:val="en-GB"/>
        </w:rPr>
        <w:t>EIR</w:t>
      </w:r>
      <w:r w:rsidR="00C47777" w:rsidRPr="00C47777">
        <w:rPr>
          <w:rFonts w:ascii="Arial" w:hAnsi="Arial" w:cs="Arial"/>
          <w:iCs/>
          <w:lang w:val="en-GB"/>
        </w:rPr>
        <w:t xml:space="preserve"> no longer applies to English insolvency</w:t>
      </w:r>
      <w:r w:rsidR="00341A1D">
        <w:rPr>
          <w:rFonts w:ascii="Arial" w:hAnsi="Arial" w:cs="Arial"/>
          <w:iCs/>
          <w:lang w:val="en-GB"/>
        </w:rPr>
        <w:t xml:space="preserve"> </w:t>
      </w:r>
      <w:r w:rsidR="00C47777" w:rsidRPr="00C47777">
        <w:rPr>
          <w:rFonts w:ascii="Arial" w:hAnsi="Arial" w:cs="Arial"/>
          <w:iCs/>
          <w:lang w:val="en-GB"/>
        </w:rPr>
        <w:t>proceedings and the Brussels I Regulation</w:t>
      </w:r>
      <w:r w:rsidR="000260B4">
        <w:rPr>
          <w:rStyle w:val="FootnoteReference"/>
          <w:rFonts w:ascii="Arial" w:hAnsi="Arial" w:cs="Arial"/>
          <w:iCs/>
          <w:lang w:val="en-GB"/>
        </w:rPr>
        <w:footnoteReference w:id="36"/>
      </w:r>
      <w:r w:rsidR="00C47777" w:rsidRPr="00C47777">
        <w:rPr>
          <w:rFonts w:ascii="Arial" w:hAnsi="Arial" w:cs="Arial"/>
          <w:iCs/>
          <w:lang w:val="en-GB"/>
        </w:rPr>
        <w:t xml:space="preserve"> no longer applies to English schemes.</w:t>
      </w:r>
      <w:r w:rsidR="00C47777" w:rsidRPr="00C47777">
        <w:rPr>
          <w:rStyle w:val="FootnoteReference"/>
          <w:rFonts w:ascii="Arial" w:hAnsi="Arial" w:cs="Arial"/>
          <w:iCs/>
          <w:lang w:val="en-GB"/>
        </w:rPr>
        <w:footnoteReference w:id="37"/>
      </w:r>
    </w:p>
    <w:p w14:paraId="1A082DDE" w14:textId="30585432" w:rsidR="00C47777" w:rsidRPr="00C47777" w:rsidRDefault="009743D4" w:rsidP="00B37111">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With respect to</w:t>
      </w:r>
      <w:r w:rsidR="00B37111">
        <w:rPr>
          <w:rFonts w:ascii="Arial" w:hAnsi="Arial" w:cs="Arial"/>
          <w:iCs/>
          <w:lang w:val="en-GB"/>
        </w:rPr>
        <w:t xml:space="preserve"> the </w:t>
      </w:r>
      <w:proofErr w:type="spellStart"/>
      <w:r w:rsidR="00B37111">
        <w:rPr>
          <w:rFonts w:ascii="Arial" w:hAnsi="Arial" w:cs="Arial"/>
          <w:iCs/>
          <w:lang w:val="en-GB"/>
        </w:rPr>
        <w:t>Efwon</w:t>
      </w:r>
      <w:proofErr w:type="spellEnd"/>
      <w:r w:rsidR="00B37111">
        <w:rPr>
          <w:rFonts w:ascii="Arial" w:hAnsi="Arial" w:cs="Arial"/>
          <w:iCs/>
          <w:lang w:val="en-GB"/>
        </w:rPr>
        <w:t xml:space="preserve"> Group </w:t>
      </w:r>
      <w:r>
        <w:rPr>
          <w:rFonts w:ascii="Arial" w:hAnsi="Arial" w:cs="Arial"/>
          <w:iCs/>
          <w:lang w:val="en-GB"/>
        </w:rPr>
        <w:t>situation, t</w:t>
      </w:r>
      <w:r w:rsidR="00C47777" w:rsidRPr="00C47777">
        <w:rPr>
          <w:rFonts w:ascii="Arial" w:hAnsi="Arial" w:cs="Arial"/>
          <w:iCs/>
          <w:lang w:val="en-GB"/>
        </w:rPr>
        <w:t xml:space="preserve">he only scenario when an UK scheme would have been more advantageous is in </w:t>
      </w:r>
      <w:r w:rsidR="00DD7A91">
        <w:rPr>
          <w:rFonts w:ascii="Arial" w:hAnsi="Arial" w:cs="Arial"/>
          <w:iCs/>
          <w:lang w:val="en-GB"/>
        </w:rPr>
        <w:t xml:space="preserve">a situation when </w:t>
      </w:r>
      <w:r w:rsidR="00C47777" w:rsidRPr="00C47777">
        <w:rPr>
          <w:rFonts w:ascii="Arial" w:hAnsi="Arial" w:cs="Arial"/>
          <w:iCs/>
          <w:lang w:val="en-GB"/>
        </w:rPr>
        <w:t xml:space="preserve">the proceedings should include non-insolvent members of the group in the EU. </w:t>
      </w:r>
      <w:r w:rsidR="005015E9">
        <w:rPr>
          <w:rFonts w:ascii="Arial" w:hAnsi="Arial" w:cs="Arial"/>
          <w:iCs/>
          <w:lang w:val="en-GB"/>
        </w:rPr>
        <w:t xml:space="preserve">Since most EU </w:t>
      </w:r>
      <w:r w:rsidR="00625F66">
        <w:rPr>
          <w:rFonts w:ascii="Arial" w:hAnsi="Arial" w:cs="Arial"/>
          <w:iCs/>
          <w:lang w:val="en-GB"/>
        </w:rPr>
        <w:t>jurisdictions</w:t>
      </w:r>
      <w:r w:rsidR="00C47777" w:rsidRPr="00C47777">
        <w:rPr>
          <w:rFonts w:ascii="Arial" w:hAnsi="Arial" w:cs="Arial"/>
          <w:iCs/>
          <w:lang w:val="en-GB"/>
        </w:rPr>
        <w:t xml:space="preserve"> </w:t>
      </w:r>
      <w:r w:rsidR="000F0382">
        <w:rPr>
          <w:rFonts w:ascii="Arial" w:hAnsi="Arial" w:cs="Arial"/>
          <w:iCs/>
          <w:lang w:val="en-GB"/>
        </w:rPr>
        <w:t>require</w:t>
      </w:r>
      <w:r w:rsidR="00C47777" w:rsidRPr="00C47777">
        <w:rPr>
          <w:rFonts w:ascii="Arial" w:hAnsi="Arial" w:cs="Arial"/>
          <w:iCs/>
          <w:lang w:val="en-GB"/>
        </w:rPr>
        <w:t xml:space="preserve"> a state of insolvency or pre-insolvency for the availability of restructuring tools, which is also reflected in the Dutch </w:t>
      </w:r>
      <w:r w:rsidR="00DD1435">
        <w:rPr>
          <w:rFonts w:ascii="Arial" w:hAnsi="Arial" w:cs="Arial"/>
          <w:iCs/>
          <w:lang w:val="en-GB"/>
        </w:rPr>
        <w:t>WHOA procedure</w:t>
      </w:r>
      <w:r w:rsidR="00C47777" w:rsidRPr="00C47777">
        <w:rPr>
          <w:rFonts w:ascii="Arial" w:hAnsi="Arial" w:cs="Arial"/>
          <w:iCs/>
          <w:lang w:val="en-GB"/>
        </w:rPr>
        <w:t xml:space="preserve">, </w:t>
      </w:r>
      <w:r w:rsidR="001C0842">
        <w:rPr>
          <w:rFonts w:ascii="Arial" w:hAnsi="Arial" w:cs="Arial"/>
          <w:iCs/>
          <w:lang w:val="en-GB"/>
        </w:rPr>
        <w:t>this</w:t>
      </w:r>
      <w:r w:rsidR="00C47777" w:rsidRPr="00C47777">
        <w:rPr>
          <w:rFonts w:ascii="Arial" w:hAnsi="Arial" w:cs="Arial"/>
          <w:iCs/>
          <w:lang w:val="en-GB"/>
        </w:rPr>
        <w:t xml:space="preserve"> makes </w:t>
      </w:r>
      <w:r w:rsidR="001C0842">
        <w:rPr>
          <w:rFonts w:ascii="Arial" w:hAnsi="Arial" w:cs="Arial"/>
          <w:iCs/>
          <w:lang w:val="en-GB"/>
        </w:rPr>
        <w:t>the WHOA inapplicable</w:t>
      </w:r>
      <w:r w:rsidR="00C47777" w:rsidRPr="00C47777">
        <w:rPr>
          <w:rFonts w:ascii="Arial" w:hAnsi="Arial" w:cs="Arial"/>
          <w:iCs/>
          <w:lang w:val="en-GB"/>
        </w:rPr>
        <w:t xml:space="preserve"> for cases where it is necessary to include solvent, or potentially solvent, group members in the restructuring plan.</w:t>
      </w:r>
      <w:r w:rsidR="00625F66">
        <w:rPr>
          <w:rFonts w:ascii="Arial" w:hAnsi="Arial" w:cs="Arial"/>
          <w:iCs/>
          <w:lang w:val="en-GB"/>
        </w:rPr>
        <w:t xml:space="preserve"> </w:t>
      </w:r>
      <w:r w:rsidR="00C47777" w:rsidRPr="00C47777">
        <w:rPr>
          <w:rFonts w:ascii="Arial" w:hAnsi="Arial" w:cs="Arial"/>
          <w:iCs/>
          <w:lang w:val="en-GB"/>
        </w:rPr>
        <w:t>The English scheme</w:t>
      </w:r>
      <w:r w:rsidR="00167102">
        <w:rPr>
          <w:rFonts w:ascii="Arial" w:hAnsi="Arial" w:cs="Arial"/>
          <w:iCs/>
          <w:lang w:val="en-GB"/>
        </w:rPr>
        <w:t xml:space="preserve"> (but not the new </w:t>
      </w:r>
      <w:r w:rsidR="00C332E5">
        <w:rPr>
          <w:rFonts w:ascii="Arial" w:hAnsi="Arial" w:cs="Arial"/>
          <w:iCs/>
          <w:lang w:val="en-GB"/>
        </w:rPr>
        <w:t>UK Plan)</w:t>
      </w:r>
      <w:r w:rsidR="00C47777" w:rsidRPr="00C47777">
        <w:rPr>
          <w:rFonts w:ascii="Arial" w:hAnsi="Arial" w:cs="Arial"/>
          <w:iCs/>
          <w:lang w:val="en-GB"/>
        </w:rPr>
        <w:t xml:space="preserve">, not being limited to insolvency situations, </w:t>
      </w:r>
      <w:r w:rsidR="00C332E5">
        <w:rPr>
          <w:rFonts w:ascii="Arial" w:hAnsi="Arial" w:cs="Arial"/>
          <w:iCs/>
          <w:lang w:val="en-GB"/>
        </w:rPr>
        <w:t xml:space="preserve">used to </w:t>
      </w:r>
      <w:r w:rsidR="00171ACC">
        <w:rPr>
          <w:rFonts w:ascii="Arial" w:hAnsi="Arial" w:cs="Arial"/>
          <w:iCs/>
          <w:lang w:val="en-GB"/>
        </w:rPr>
        <w:t xml:space="preserve">benefit from </w:t>
      </w:r>
      <w:r w:rsidR="00171ACC" w:rsidRPr="00C47777">
        <w:rPr>
          <w:rFonts w:ascii="Arial" w:hAnsi="Arial" w:cs="Arial"/>
          <w:iCs/>
          <w:lang w:val="en-GB"/>
        </w:rPr>
        <w:t>enforceability</w:t>
      </w:r>
      <w:r w:rsidR="00C332E5">
        <w:rPr>
          <w:rFonts w:ascii="Arial" w:hAnsi="Arial" w:cs="Arial"/>
          <w:iCs/>
          <w:lang w:val="en-GB"/>
        </w:rPr>
        <w:t xml:space="preserve"> in the EU under</w:t>
      </w:r>
      <w:r w:rsidR="00C47777" w:rsidRPr="00C47777">
        <w:rPr>
          <w:rFonts w:ascii="Arial" w:hAnsi="Arial" w:cs="Arial"/>
          <w:iCs/>
          <w:lang w:val="en-GB"/>
        </w:rPr>
        <w:t xml:space="preserve"> the Brussels I Regulation </w:t>
      </w:r>
      <w:r w:rsidR="00543683">
        <w:rPr>
          <w:rFonts w:ascii="Arial" w:hAnsi="Arial" w:cs="Arial"/>
          <w:iCs/>
          <w:lang w:val="en-GB"/>
        </w:rPr>
        <w:t xml:space="preserve">but </w:t>
      </w:r>
      <w:r w:rsidR="001C51A2">
        <w:rPr>
          <w:rFonts w:ascii="Arial" w:hAnsi="Arial" w:cs="Arial"/>
          <w:iCs/>
          <w:lang w:val="en-GB"/>
        </w:rPr>
        <w:t>the latter</w:t>
      </w:r>
      <w:r w:rsidR="007A5E6F">
        <w:rPr>
          <w:rFonts w:ascii="Arial" w:hAnsi="Arial" w:cs="Arial"/>
          <w:iCs/>
          <w:lang w:val="en-GB"/>
        </w:rPr>
        <w:t xml:space="preserve"> no longer applies in the UK</w:t>
      </w:r>
      <w:r w:rsidR="00C47777" w:rsidRPr="00C47777">
        <w:rPr>
          <w:rFonts w:ascii="Arial" w:hAnsi="Arial" w:cs="Arial"/>
          <w:iCs/>
          <w:lang w:val="en-GB"/>
        </w:rPr>
        <w:t xml:space="preserve">. </w:t>
      </w:r>
    </w:p>
    <w:p w14:paraId="46D450D3" w14:textId="0B829195" w:rsidR="00C47777" w:rsidRDefault="00C47777" w:rsidP="009741D0">
      <w:pPr>
        <w:pStyle w:val="ListParagraph"/>
        <w:numPr>
          <w:ilvl w:val="0"/>
          <w:numId w:val="2"/>
        </w:numPr>
        <w:spacing w:before="120" w:after="120" w:line="300" w:lineRule="exact"/>
        <w:ind w:left="0" w:firstLine="360"/>
        <w:jc w:val="both"/>
        <w:rPr>
          <w:rFonts w:ascii="Arial" w:hAnsi="Arial" w:cs="Arial"/>
          <w:iCs/>
          <w:lang w:val="en-GB"/>
        </w:rPr>
      </w:pPr>
      <w:r w:rsidRPr="00C47777">
        <w:rPr>
          <w:rFonts w:ascii="Arial" w:hAnsi="Arial" w:cs="Arial"/>
          <w:iCs/>
          <w:lang w:val="en-GB"/>
        </w:rPr>
        <w:t xml:space="preserve">In the above scenario, we would have proposed an </w:t>
      </w:r>
      <w:proofErr w:type="spellStart"/>
      <w:r w:rsidRPr="00C47777">
        <w:rPr>
          <w:rFonts w:ascii="Arial" w:hAnsi="Arial" w:cs="Arial"/>
          <w:iCs/>
          <w:lang w:val="en-GB"/>
        </w:rPr>
        <w:t>Efwon</w:t>
      </w:r>
      <w:proofErr w:type="spellEnd"/>
      <w:r w:rsidRPr="00C47777">
        <w:rPr>
          <w:rFonts w:ascii="Arial" w:hAnsi="Arial" w:cs="Arial"/>
          <w:iCs/>
          <w:lang w:val="en-GB"/>
        </w:rPr>
        <w:t xml:space="preserve"> restructuring using an English scheme (if </w:t>
      </w:r>
      <w:proofErr w:type="spellStart"/>
      <w:r w:rsidRPr="00C47777">
        <w:rPr>
          <w:rFonts w:ascii="Arial" w:hAnsi="Arial" w:cs="Arial"/>
          <w:iCs/>
          <w:lang w:val="en-GB"/>
        </w:rPr>
        <w:t>Efwon</w:t>
      </w:r>
      <w:proofErr w:type="spellEnd"/>
      <w:r w:rsidRPr="00C47777">
        <w:rPr>
          <w:rFonts w:ascii="Arial" w:hAnsi="Arial" w:cs="Arial"/>
          <w:iCs/>
          <w:lang w:val="en-GB"/>
        </w:rPr>
        <w:t xml:space="preserve"> had structured through England rather than the Netherlands, or </w:t>
      </w:r>
      <w:r w:rsidR="00D14EF9">
        <w:rPr>
          <w:rFonts w:ascii="Arial" w:hAnsi="Arial" w:cs="Arial"/>
          <w:iCs/>
          <w:lang w:val="en-GB"/>
        </w:rPr>
        <w:t xml:space="preserve">if </w:t>
      </w:r>
      <w:r w:rsidRPr="00C47777">
        <w:rPr>
          <w:rFonts w:ascii="Arial" w:hAnsi="Arial" w:cs="Arial"/>
          <w:iCs/>
          <w:lang w:val="en-GB"/>
        </w:rPr>
        <w:t>it had sufficient connection</w:t>
      </w:r>
      <w:r w:rsidR="00D87A37">
        <w:rPr>
          <w:rFonts w:ascii="Arial" w:hAnsi="Arial" w:cs="Arial"/>
          <w:iCs/>
          <w:lang w:val="en-GB"/>
        </w:rPr>
        <w:t xml:space="preserve"> with England which is enough for UK courts to assume jurisdiction</w:t>
      </w:r>
      <w:r w:rsidRPr="00C47777">
        <w:rPr>
          <w:rFonts w:ascii="Arial" w:hAnsi="Arial" w:cs="Arial"/>
          <w:iCs/>
          <w:lang w:val="en-GB"/>
        </w:rPr>
        <w:t>)</w:t>
      </w:r>
      <w:r w:rsidR="00D87A37">
        <w:rPr>
          <w:rFonts w:ascii="Arial" w:hAnsi="Arial" w:cs="Arial"/>
          <w:iCs/>
          <w:lang w:val="en-GB"/>
        </w:rPr>
        <w:t>. The</w:t>
      </w:r>
      <w:r w:rsidRPr="00C47777">
        <w:rPr>
          <w:rFonts w:ascii="Arial" w:hAnsi="Arial" w:cs="Arial"/>
          <w:iCs/>
          <w:lang w:val="en-GB"/>
        </w:rPr>
        <w:t xml:space="preserve"> U</w:t>
      </w:r>
      <w:r w:rsidR="00D87A37">
        <w:rPr>
          <w:rFonts w:ascii="Arial" w:hAnsi="Arial" w:cs="Arial"/>
          <w:iCs/>
          <w:lang w:val="en-GB"/>
        </w:rPr>
        <w:t>.</w:t>
      </w:r>
      <w:r w:rsidRPr="00C47777">
        <w:rPr>
          <w:rFonts w:ascii="Arial" w:hAnsi="Arial" w:cs="Arial"/>
          <w:iCs/>
          <w:lang w:val="en-GB"/>
        </w:rPr>
        <w:t>S</w:t>
      </w:r>
      <w:r w:rsidR="00D87A37">
        <w:rPr>
          <w:rFonts w:ascii="Arial" w:hAnsi="Arial" w:cs="Arial"/>
          <w:iCs/>
          <w:lang w:val="en-GB"/>
        </w:rPr>
        <w:t>.</w:t>
      </w:r>
      <w:r w:rsidRPr="00C47777">
        <w:rPr>
          <w:rFonts w:ascii="Arial" w:hAnsi="Arial" w:cs="Arial"/>
          <w:iCs/>
          <w:lang w:val="en-GB"/>
        </w:rPr>
        <w:t xml:space="preserve"> courts regularly recognize English schemes under </w:t>
      </w:r>
      <w:r w:rsidR="00D87A37">
        <w:rPr>
          <w:rFonts w:ascii="Arial" w:hAnsi="Arial" w:cs="Arial"/>
          <w:iCs/>
          <w:lang w:val="en-GB"/>
        </w:rPr>
        <w:t>C</w:t>
      </w:r>
      <w:r w:rsidRPr="00C47777">
        <w:rPr>
          <w:rFonts w:ascii="Arial" w:hAnsi="Arial" w:cs="Arial"/>
          <w:iCs/>
          <w:lang w:val="en-GB"/>
        </w:rPr>
        <w:t xml:space="preserve">hapter 15, so the non-insolvency or pre-insolvency status of the </w:t>
      </w:r>
      <w:r w:rsidR="00E31553">
        <w:rPr>
          <w:rFonts w:ascii="Arial" w:hAnsi="Arial" w:cs="Arial"/>
          <w:iCs/>
          <w:lang w:val="en-GB"/>
        </w:rPr>
        <w:t>debtor</w:t>
      </w:r>
      <w:r w:rsidRPr="00C47777">
        <w:rPr>
          <w:rFonts w:ascii="Arial" w:hAnsi="Arial" w:cs="Arial"/>
          <w:iCs/>
          <w:lang w:val="en-GB"/>
        </w:rPr>
        <w:t xml:space="preserve"> would not have posed problems to apply the</w:t>
      </w:r>
      <w:r w:rsidR="00E31553">
        <w:rPr>
          <w:rFonts w:ascii="Arial" w:hAnsi="Arial" w:cs="Arial"/>
          <w:iCs/>
          <w:lang w:val="en-GB"/>
        </w:rPr>
        <w:t xml:space="preserve"> UK</w:t>
      </w:r>
      <w:r w:rsidRPr="00C47777">
        <w:rPr>
          <w:rFonts w:ascii="Arial" w:hAnsi="Arial" w:cs="Arial"/>
          <w:iCs/>
          <w:lang w:val="en-GB"/>
        </w:rPr>
        <w:t xml:space="preserve"> scheme. </w:t>
      </w:r>
    </w:p>
    <w:p w14:paraId="61E15E55" w14:textId="77777777" w:rsidR="00014924" w:rsidRDefault="00014924" w:rsidP="00014924">
      <w:pPr>
        <w:pStyle w:val="ListParagraph"/>
        <w:spacing w:before="120" w:after="120" w:line="300" w:lineRule="exact"/>
        <w:ind w:left="360"/>
        <w:jc w:val="both"/>
        <w:rPr>
          <w:rFonts w:ascii="Arial" w:hAnsi="Arial" w:cs="Arial"/>
          <w:iCs/>
          <w:lang w:val="en-GB"/>
        </w:rPr>
      </w:pPr>
    </w:p>
    <w:p w14:paraId="7E1367FC" w14:textId="30C5C091" w:rsidR="00014924" w:rsidRDefault="00014924" w:rsidP="00014924">
      <w:pPr>
        <w:pStyle w:val="ListParagraph"/>
        <w:numPr>
          <w:ilvl w:val="0"/>
          <w:numId w:val="1"/>
        </w:numPr>
        <w:jc w:val="both"/>
        <w:rPr>
          <w:rFonts w:ascii="Arial" w:hAnsi="Arial" w:cs="Arial"/>
          <w:b/>
          <w:bCs/>
          <w:iCs/>
          <w:lang w:val="en-GB"/>
        </w:rPr>
      </w:pPr>
      <w:r w:rsidRPr="00006E68">
        <w:rPr>
          <w:rFonts w:ascii="Arial" w:hAnsi="Arial" w:cs="Arial"/>
          <w:b/>
          <w:bCs/>
          <w:iCs/>
          <w:lang w:val="en-GB"/>
        </w:rPr>
        <w:t xml:space="preserve">Potential Outcomes for </w:t>
      </w:r>
      <w:r w:rsidR="00006E68" w:rsidRPr="00006E68">
        <w:rPr>
          <w:rFonts w:ascii="Arial" w:hAnsi="Arial" w:cs="Arial"/>
          <w:b/>
          <w:bCs/>
          <w:iCs/>
          <w:lang w:val="en-GB"/>
        </w:rPr>
        <w:t>the Various Stakeholders and Likelihood of Acceptance</w:t>
      </w:r>
    </w:p>
    <w:p w14:paraId="2DC58CA6" w14:textId="4CEDF7D9" w:rsidR="000A5127" w:rsidRDefault="000A5127" w:rsidP="000A5127">
      <w:pPr>
        <w:pStyle w:val="ListParagraph"/>
        <w:numPr>
          <w:ilvl w:val="0"/>
          <w:numId w:val="2"/>
        </w:numPr>
        <w:spacing w:before="240" w:after="120" w:line="360" w:lineRule="exact"/>
        <w:ind w:left="0" w:firstLine="360"/>
        <w:jc w:val="both"/>
        <w:rPr>
          <w:rFonts w:ascii="Arial" w:hAnsi="Arial" w:cs="Arial"/>
          <w:iCs/>
          <w:lang w:val="en-GB"/>
        </w:rPr>
      </w:pPr>
      <w:r w:rsidRPr="006976C9">
        <w:rPr>
          <w:rFonts w:ascii="Arial" w:hAnsi="Arial" w:cs="Arial"/>
          <w:iCs/>
          <w:lang w:val="en-GB"/>
        </w:rPr>
        <w:t xml:space="preserve">Considering that </w:t>
      </w:r>
      <w:proofErr w:type="spellStart"/>
      <w:r w:rsidRPr="006976C9">
        <w:rPr>
          <w:rFonts w:ascii="Arial" w:hAnsi="Arial" w:cs="Arial"/>
          <w:iCs/>
          <w:lang w:val="en-GB"/>
        </w:rPr>
        <w:t>labor</w:t>
      </w:r>
      <w:proofErr w:type="spellEnd"/>
      <w:r w:rsidRPr="006976C9">
        <w:rPr>
          <w:rFonts w:ascii="Arial" w:hAnsi="Arial" w:cs="Arial"/>
          <w:iCs/>
          <w:lang w:val="en-GB"/>
        </w:rPr>
        <w:t xml:space="preserve"> and tax obligations are likely negligible</w:t>
      </w:r>
      <w:r>
        <w:rPr>
          <w:rFonts w:ascii="Arial" w:hAnsi="Arial" w:cs="Arial"/>
          <w:iCs/>
          <w:lang w:val="en-GB"/>
        </w:rPr>
        <w:t xml:space="preserve"> by comparison to the financial and non-financial debt of the </w:t>
      </w:r>
      <w:proofErr w:type="spellStart"/>
      <w:r>
        <w:rPr>
          <w:rFonts w:ascii="Arial" w:hAnsi="Arial" w:cs="Arial"/>
          <w:iCs/>
          <w:lang w:val="en-GB"/>
        </w:rPr>
        <w:t>Efwon</w:t>
      </w:r>
      <w:proofErr w:type="spellEnd"/>
      <w:r>
        <w:rPr>
          <w:rFonts w:ascii="Arial" w:hAnsi="Arial" w:cs="Arial"/>
          <w:iCs/>
          <w:lang w:val="en-GB"/>
        </w:rPr>
        <w:t xml:space="preserve"> Group,</w:t>
      </w:r>
      <w:r w:rsidRPr="006976C9">
        <w:rPr>
          <w:rFonts w:ascii="Arial" w:hAnsi="Arial" w:cs="Arial"/>
          <w:iCs/>
          <w:lang w:val="en-GB"/>
        </w:rPr>
        <w:t xml:space="preserve"> and that most of </w:t>
      </w:r>
      <w:r>
        <w:rPr>
          <w:rFonts w:ascii="Arial" w:hAnsi="Arial" w:cs="Arial"/>
          <w:iCs/>
          <w:lang w:val="en-GB"/>
        </w:rPr>
        <w:t>its</w:t>
      </w:r>
      <w:r w:rsidRPr="006976C9">
        <w:rPr>
          <w:rFonts w:ascii="Arial" w:hAnsi="Arial" w:cs="Arial"/>
          <w:iCs/>
          <w:lang w:val="en-GB"/>
        </w:rPr>
        <w:t xml:space="preserve"> revenue </w:t>
      </w:r>
      <w:r>
        <w:rPr>
          <w:rFonts w:ascii="Arial" w:hAnsi="Arial" w:cs="Arial"/>
          <w:iCs/>
          <w:lang w:val="en-GB"/>
        </w:rPr>
        <w:t xml:space="preserve">-other than sponsorships- came from its share in the broadcasting revenues of the Formula One Group, any </w:t>
      </w:r>
      <w:r w:rsidR="00E1521F">
        <w:rPr>
          <w:rFonts w:ascii="Arial" w:hAnsi="Arial" w:cs="Arial"/>
          <w:iCs/>
          <w:lang w:val="en-GB"/>
        </w:rPr>
        <w:t>restructuring</w:t>
      </w:r>
      <w:r>
        <w:rPr>
          <w:rFonts w:ascii="Arial" w:hAnsi="Arial" w:cs="Arial"/>
          <w:iCs/>
          <w:lang w:val="en-GB"/>
        </w:rPr>
        <w:t xml:space="preserve"> that allows for the continued participation of Team Maximov in </w:t>
      </w:r>
      <w:r w:rsidR="0055244D">
        <w:rPr>
          <w:rFonts w:ascii="Arial" w:hAnsi="Arial" w:cs="Arial"/>
          <w:iCs/>
          <w:lang w:val="en-GB"/>
        </w:rPr>
        <w:t xml:space="preserve">the </w:t>
      </w:r>
      <w:r>
        <w:rPr>
          <w:rFonts w:ascii="Arial" w:hAnsi="Arial" w:cs="Arial"/>
          <w:iCs/>
          <w:lang w:val="en-GB"/>
        </w:rPr>
        <w:t xml:space="preserve">2024 season, and onwards, will be strongly preferred. </w:t>
      </w:r>
    </w:p>
    <w:p w14:paraId="0EB18630" w14:textId="072C0C2C" w:rsidR="000A5127" w:rsidRPr="006976C9" w:rsidRDefault="000A5127" w:rsidP="000A5127">
      <w:pPr>
        <w:pStyle w:val="ListParagraph"/>
        <w:numPr>
          <w:ilvl w:val="0"/>
          <w:numId w:val="2"/>
        </w:numPr>
        <w:spacing w:before="240" w:after="120" w:line="360" w:lineRule="exact"/>
        <w:ind w:left="0" w:firstLine="360"/>
        <w:jc w:val="both"/>
        <w:rPr>
          <w:rFonts w:ascii="Arial" w:hAnsi="Arial" w:cs="Arial"/>
          <w:iCs/>
          <w:lang w:val="en-GB"/>
        </w:rPr>
      </w:pPr>
      <w:r>
        <w:rPr>
          <w:rFonts w:ascii="Arial" w:hAnsi="Arial" w:cs="Arial"/>
          <w:iCs/>
          <w:lang w:val="en-GB"/>
        </w:rPr>
        <w:t xml:space="preserve">The matrix below illustrates the expected outcome of the restructuring and instances where </w:t>
      </w:r>
      <w:r w:rsidR="0055244D">
        <w:rPr>
          <w:rFonts w:ascii="Arial" w:hAnsi="Arial" w:cs="Arial"/>
          <w:iCs/>
          <w:lang w:val="en-GB"/>
        </w:rPr>
        <w:t>Plan imposition</w:t>
      </w:r>
      <w:r>
        <w:rPr>
          <w:rFonts w:ascii="Arial" w:hAnsi="Arial" w:cs="Arial"/>
          <w:iCs/>
          <w:lang w:val="en-GB"/>
        </w:rPr>
        <w:t xml:space="preserve"> </w:t>
      </w:r>
      <w:r w:rsidR="0055244D">
        <w:rPr>
          <w:rFonts w:ascii="Arial" w:hAnsi="Arial" w:cs="Arial"/>
          <w:iCs/>
          <w:lang w:val="en-GB"/>
        </w:rPr>
        <w:t>may be required</w:t>
      </w:r>
      <w:r>
        <w:rPr>
          <w:rFonts w:ascii="Arial" w:hAnsi="Arial" w:cs="Arial"/>
          <w:iCs/>
          <w:lang w:val="en-GB"/>
        </w:rPr>
        <w:t xml:space="preserve">. Financial creditors have received, so far, several payments of principal, </w:t>
      </w:r>
      <w:proofErr w:type="gramStart"/>
      <w:r>
        <w:rPr>
          <w:rFonts w:ascii="Arial" w:hAnsi="Arial" w:cs="Arial"/>
          <w:iCs/>
          <w:lang w:val="en-GB"/>
        </w:rPr>
        <w:t>interests</w:t>
      </w:r>
      <w:proofErr w:type="gramEnd"/>
      <w:r>
        <w:rPr>
          <w:rFonts w:ascii="Arial" w:hAnsi="Arial" w:cs="Arial"/>
          <w:iCs/>
          <w:lang w:val="en-GB"/>
        </w:rPr>
        <w:t xml:space="preserve"> and commissions</w:t>
      </w:r>
      <w:r w:rsidR="00433D35">
        <w:rPr>
          <w:rFonts w:ascii="Arial" w:hAnsi="Arial" w:cs="Arial"/>
          <w:iCs/>
          <w:lang w:val="en-GB"/>
        </w:rPr>
        <w:t>.</w:t>
      </w:r>
      <w:r>
        <w:rPr>
          <w:rFonts w:ascii="Arial" w:hAnsi="Arial" w:cs="Arial"/>
          <w:iCs/>
          <w:lang w:val="en-GB"/>
        </w:rPr>
        <w:t xml:space="preserve"> </w:t>
      </w:r>
    </w:p>
    <w:tbl>
      <w:tblPr>
        <w:tblStyle w:val="TableGrid"/>
        <w:tblW w:w="0" w:type="auto"/>
        <w:tblLook w:val="04A0" w:firstRow="1" w:lastRow="0" w:firstColumn="1" w:lastColumn="0" w:noHBand="0" w:noVBand="1"/>
      </w:tblPr>
      <w:tblGrid>
        <w:gridCol w:w="2155"/>
        <w:gridCol w:w="4228"/>
        <w:gridCol w:w="2967"/>
      </w:tblGrid>
      <w:tr w:rsidR="000A5127" w14:paraId="5E059462" w14:textId="77777777" w:rsidTr="00DE07F0">
        <w:tc>
          <w:tcPr>
            <w:tcW w:w="2155" w:type="dxa"/>
          </w:tcPr>
          <w:p w14:paraId="4B7596A9" w14:textId="77777777" w:rsidR="000A5127" w:rsidRDefault="000A5127" w:rsidP="00DE07F0">
            <w:pPr>
              <w:tabs>
                <w:tab w:val="center" w:pos="900"/>
              </w:tabs>
              <w:jc w:val="both"/>
              <w:rPr>
                <w:rFonts w:ascii="Arial" w:hAnsi="Arial" w:cs="Arial"/>
                <w:b/>
                <w:bCs/>
                <w:iCs/>
                <w:lang w:val="en-GB"/>
              </w:rPr>
            </w:pPr>
            <w:r>
              <w:rPr>
                <w:rFonts w:ascii="Arial" w:hAnsi="Arial" w:cs="Arial"/>
                <w:b/>
                <w:bCs/>
                <w:iCs/>
                <w:lang w:val="en-GB"/>
              </w:rPr>
              <w:t>Party</w:t>
            </w:r>
          </w:p>
        </w:tc>
        <w:tc>
          <w:tcPr>
            <w:tcW w:w="4228" w:type="dxa"/>
          </w:tcPr>
          <w:p w14:paraId="7921A636" w14:textId="0C68AB07" w:rsidR="000A5127" w:rsidRDefault="000A5127" w:rsidP="00DE07F0">
            <w:pPr>
              <w:tabs>
                <w:tab w:val="center" w:pos="900"/>
              </w:tabs>
              <w:jc w:val="both"/>
              <w:rPr>
                <w:rFonts w:ascii="Arial" w:hAnsi="Arial" w:cs="Arial"/>
                <w:b/>
                <w:bCs/>
                <w:iCs/>
                <w:lang w:val="en-GB"/>
              </w:rPr>
            </w:pPr>
            <w:r>
              <w:rPr>
                <w:rFonts w:ascii="Arial" w:hAnsi="Arial" w:cs="Arial"/>
                <w:b/>
                <w:bCs/>
                <w:iCs/>
                <w:lang w:val="en-GB"/>
              </w:rPr>
              <w:t>Expected outcome</w:t>
            </w:r>
            <w:r w:rsidR="00433D35">
              <w:rPr>
                <w:rFonts w:ascii="Arial" w:hAnsi="Arial" w:cs="Arial"/>
                <w:b/>
                <w:bCs/>
                <w:iCs/>
                <w:lang w:val="en-GB"/>
              </w:rPr>
              <w:t xml:space="preserve"> under the</w:t>
            </w:r>
            <w:r>
              <w:rPr>
                <w:rFonts w:ascii="Arial" w:hAnsi="Arial" w:cs="Arial"/>
                <w:b/>
                <w:bCs/>
                <w:iCs/>
                <w:lang w:val="en-GB"/>
              </w:rPr>
              <w:t xml:space="preserve"> </w:t>
            </w:r>
            <w:r w:rsidR="00433D35">
              <w:rPr>
                <w:rFonts w:ascii="Arial" w:hAnsi="Arial" w:cs="Arial"/>
                <w:b/>
                <w:bCs/>
                <w:iCs/>
                <w:lang w:val="en-GB"/>
              </w:rPr>
              <w:t>Plan P</w:t>
            </w:r>
            <w:r>
              <w:rPr>
                <w:rFonts w:ascii="Arial" w:hAnsi="Arial" w:cs="Arial"/>
                <w:b/>
                <w:bCs/>
                <w:iCs/>
                <w:lang w:val="en-GB"/>
              </w:rPr>
              <w:t>roposal</w:t>
            </w:r>
          </w:p>
        </w:tc>
        <w:tc>
          <w:tcPr>
            <w:tcW w:w="2967" w:type="dxa"/>
          </w:tcPr>
          <w:p w14:paraId="1AF25723" w14:textId="40873941" w:rsidR="000A5127" w:rsidRDefault="000A5127" w:rsidP="00DE07F0">
            <w:pPr>
              <w:tabs>
                <w:tab w:val="center" w:pos="900"/>
              </w:tabs>
              <w:jc w:val="both"/>
              <w:rPr>
                <w:rFonts w:ascii="Arial" w:hAnsi="Arial" w:cs="Arial"/>
                <w:b/>
                <w:bCs/>
                <w:iCs/>
                <w:lang w:val="en-GB"/>
              </w:rPr>
            </w:pPr>
            <w:r>
              <w:rPr>
                <w:rFonts w:ascii="Arial" w:hAnsi="Arial" w:cs="Arial"/>
                <w:b/>
                <w:bCs/>
                <w:iCs/>
                <w:lang w:val="en-GB"/>
              </w:rPr>
              <w:t xml:space="preserve">Necessity to </w:t>
            </w:r>
            <w:r w:rsidR="007B44EF">
              <w:rPr>
                <w:rFonts w:ascii="Arial" w:hAnsi="Arial" w:cs="Arial"/>
                <w:b/>
                <w:bCs/>
                <w:iCs/>
                <w:lang w:val="en-GB"/>
              </w:rPr>
              <w:t>impose Plan</w:t>
            </w:r>
          </w:p>
        </w:tc>
      </w:tr>
      <w:tr w:rsidR="000A5127" w14:paraId="719C0E1F" w14:textId="77777777" w:rsidTr="00DE07F0">
        <w:tc>
          <w:tcPr>
            <w:tcW w:w="2155" w:type="dxa"/>
          </w:tcPr>
          <w:p w14:paraId="171A560F" w14:textId="77777777" w:rsidR="000A5127" w:rsidRDefault="000A5127" w:rsidP="00DE07F0">
            <w:pPr>
              <w:tabs>
                <w:tab w:val="center" w:pos="900"/>
              </w:tabs>
              <w:jc w:val="both"/>
              <w:rPr>
                <w:rFonts w:ascii="Arial" w:hAnsi="Arial" w:cs="Arial"/>
                <w:b/>
                <w:bCs/>
                <w:iCs/>
                <w:lang w:val="en-GB"/>
              </w:rPr>
            </w:pPr>
            <w:r>
              <w:rPr>
                <w:rFonts w:ascii="Arial" w:hAnsi="Arial" w:cs="Arial"/>
                <w:b/>
                <w:bCs/>
                <w:iCs/>
                <w:lang w:val="en-GB"/>
              </w:rPr>
              <w:t>Monaco Lender</w:t>
            </w:r>
          </w:p>
        </w:tc>
        <w:tc>
          <w:tcPr>
            <w:tcW w:w="4228" w:type="dxa"/>
          </w:tcPr>
          <w:p w14:paraId="68644AD9" w14:textId="77777777" w:rsidR="000A5127" w:rsidRPr="006976C9" w:rsidRDefault="000A5127" w:rsidP="000A5127">
            <w:pPr>
              <w:pStyle w:val="ListParagraph"/>
              <w:numPr>
                <w:ilvl w:val="0"/>
                <w:numId w:val="12"/>
              </w:numPr>
              <w:tabs>
                <w:tab w:val="center" w:pos="900"/>
              </w:tabs>
              <w:ind w:left="340"/>
              <w:jc w:val="both"/>
              <w:rPr>
                <w:rFonts w:ascii="Arial" w:hAnsi="Arial" w:cs="Arial"/>
                <w:iCs/>
                <w:lang w:val="en-GB"/>
              </w:rPr>
            </w:pPr>
            <w:r w:rsidRPr="00122E41">
              <w:rPr>
                <w:rFonts w:ascii="Arial" w:hAnsi="Arial" w:cs="Arial"/>
                <w:iCs/>
                <w:lang w:val="en-GB"/>
              </w:rPr>
              <w:t>It</w:t>
            </w:r>
            <w:r>
              <w:rPr>
                <w:rFonts w:ascii="Arial" w:hAnsi="Arial" w:cs="Arial"/>
                <w:iCs/>
                <w:lang w:val="en-GB"/>
              </w:rPr>
              <w:t xml:space="preserve"> has already collected a portion of its Loan and it should be comfortable accepting some form of subordination of its credit (debt to equity conversion, structural or contractual </w:t>
            </w:r>
            <w:r w:rsidRPr="006976C9">
              <w:rPr>
                <w:rFonts w:ascii="Arial" w:hAnsi="Arial" w:cs="Arial"/>
                <w:iCs/>
                <w:lang w:val="en-GB"/>
              </w:rPr>
              <w:t>subordination</w:t>
            </w:r>
            <w:r>
              <w:rPr>
                <w:rFonts w:ascii="Arial" w:hAnsi="Arial" w:cs="Arial"/>
                <w:iCs/>
                <w:lang w:val="en-GB"/>
              </w:rPr>
              <w:t>)</w:t>
            </w:r>
            <w:r w:rsidRPr="006976C9">
              <w:rPr>
                <w:rFonts w:ascii="Arial" w:hAnsi="Arial" w:cs="Arial"/>
                <w:iCs/>
                <w:lang w:val="en-GB"/>
              </w:rPr>
              <w:t xml:space="preserve">.  </w:t>
            </w:r>
          </w:p>
        </w:tc>
        <w:tc>
          <w:tcPr>
            <w:tcW w:w="2967" w:type="dxa"/>
          </w:tcPr>
          <w:p w14:paraId="6A985905" w14:textId="63A296CC" w:rsidR="000A5127" w:rsidRPr="008D7113" w:rsidRDefault="000A5127" w:rsidP="00DE07F0">
            <w:pPr>
              <w:tabs>
                <w:tab w:val="center" w:pos="900"/>
              </w:tabs>
              <w:jc w:val="both"/>
              <w:rPr>
                <w:rFonts w:ascii="Arial" w:hAnsi="Arial" w:cs="Arial"/>
                <w:iCs/>
                <w:lang w:val="en-GB"/>
              </w:rPr>
            </w:pPr>
            <w:r>
              <w:rPr>
                <w:rFonts w:ascii="Arial" w:hAnsi="Arial" w:cs="Arial"/>
                <w:iCs/>
                <w:lang w:val="en-GB"/>
              </w:rPr>
              <w:t xml:space="preserve">Potentially - to </w:t>
            </w:r>
            <w:r w:rsidR="007B44EF">
              <w:rPr>
                <w:rFonts w:ascii="Arial" w:hAnsi="Arial" w:cs="Arial"/>
                <w:iCs/>
                <w:lang w:val="en-GB"/>
              </w:rPr>
              <w:t>make the Monaco</w:t>
            </w:r>
            <w:r>
              <w:rPr>
                <w:rFonts w:ascii="Arial" w:hAnsi="Arial" w:cs="Arial"/>
                <w:iCs/>
                <w:lang w:val="en-GB"/>
              </w:rPr>
              <w:t xml:space="preserve"> Lender move its credits up one level (structurally subordinating it). </w:t>
            </w:r>
          </w:p>
        </w:tc>
      </w:tr>
      <w:tr w:rsidR="000A5127" w14:paraId="4315E8C3" w14:textId="77777777" w:rsidTr="00DE07F0">
        <w:tc>
          <w:tcPr>
            <w:tcW w:w="2155" w:type="dxa"/>
          </w:tcPr>
          <w:p w14:paraId="0AD6BE64" w14:textId="77777777" w:rsidR="000A5127" w:rsidRDefault="000A5127" w:rsidP="00DE07F0">
            <w:pPr>
              <w:tabs>
                <w:tab w:val="center" w:pos="900"/>
              </w:tabs>
              <w:jc w:val="both"/>
              <w:rPr>
                <w:rFonts w:ascii="Arial" w:hAnsi="Arial" w:cs="Arial"/>
                <w:b/>
                <w:bCs/>
                <w:iCs/>
                <w:lang w:val="en-GB"/>
              </w:rPr>
            </w:pPr>
            <w:r>
              <w:rPr>
                <w:rFonts w:ascii="Arial" w:hAnsi="Arial" w:cs="Arial"/>
                <w:b/>
                <w:bCs/>
                <w:iCs/>
                <w:lang w:val="en-GB"/>
              </w:rPr>
              <w:t xml:space="preserve">US Senior Lenders </w:t>
            </w:r>
          </w:p>
        </w:tc>
        <w:tc>
          <w:tcPr>
            <w:tcW w:w="4228" w:type="dxa"/>
          </w:tcPr>
          <w:p w14:paraId="6B52B102" w14:textId="77777777" w:rsidR="000A5127" w:rsidRPr="00F340EA" w:rsidRDefault="000A5127" w:rsidP="000A5127">
            <w:pPr>
              <w:pStyle w:val="ListParagraph"/>
              <w:numPr>
                <w:ilvl w:val="0"/>
                <w:numId w:val="13"/>
              </w:numPr>
              <w:tabs>
                <w:tab w:val="center" w:pos="900"/>
              </w:tabs>
              <w:ind w:left="160" w:hanging="180"/>
              <w:jc w:val="both"/>
              <w:rPr>
                <w:rFonts w:ascii="Arial" w:hAnsi="Arial" w:cs="Arial"/>
                <w:iCs/>
                <w:lang w:val="en-GB"/>
              </w:rPr>
            </w:pPr>
            <w:r w:rsidRPr="00F340EA">
              <w:rPr>
                <w:rFonts w:ascii="Arial" w:hAnsi="Arial" w:cs="Arial"/>
                <w:iCs/>
                <w:lang w:val="en-GB"/>
              </w:rPr>
              <w:t xml:space="preserve">They have collected some amount of principal, but </w:t>
            </w:r>
            <w:r>
              <w:rPr>
                <w:rFonts w:ascii="Arial" w:hAnsi="Arial" w:cs="Arial"/>
                <w:iCs/>
                <w:lang w:val="en-GB"/>
              </w:rPr>
              <w:t xml:space="preserve">a balance remains and gives them a seat at the restructuring table. </w:t>
            </w:r>
          </w:p>
        </w:tc>
        <w:tc>
          <w:tcPr>
            <w:tcW w:w="2967" w:type="dxa"/>
          </w:tcPr>
          <w:p w14:paraId="5E5D79C8" w14:textId="4D708E1C" w:rsidR="000A5127" w:rsidRPr="008D7113" w:rsidRDefault="00DA1A46" w:rsidP="00DE07F0">
            <w:pPr>
              <w:tabs>
                <w:tab w:val="center" w:pos="900"/>
              </w:tabs>
              <w:jc w:val="both"/>
              <w:rPr>
                <w:rFonts w:ascii="Arial" w:hAnsi="Arial" w:cs="Arial"/>
                <w:iCs/>
                <w:lang w:val="en-GB"/>
              </w:rPr>
            </w:pPr>
            <w:r>
              <w:rPr>
                <w:rFonts w:ascii="Arial" w:hAnsi="Arial" w:cs="Arial"/>
                <w:iCs/>
                <w:lang w:val="en-GB"/>
              </w:rPr>
              <w:t xml:space="preserve">The </w:t>
            </w:r>
            <w:r w:rsidR="00DE1808">
              <w:rPr>
                <w:rFonts w:ascii="Arial" w:hAnsi="Arial" w:cs="Arial"/>
                <w:iCs/>
                <w:lang w:val="en-GB"/>
              </w:rPr>
              <w:t>Group</w:t>
            </w:r>
            <w:r>
              <w:rPr>
                <w:rFonts w:ascii="Arial" w:hAnsi="Arial" w:cs="Arial"/>
                <w:iCs/>
                <w:lang w:val="en-GB"/>
              </w:rPr>
              <w:t xml:space="preserve"> needs </w:t>
            </w:r>
            <w:r w:rsidR="00DD0251">
              <w:rPr>
                <w:rFonts w:ascii="Arial" w:hAnsi="Arial" w:cs="Arial"/>
                <w:iCs/>
                <w:lang w:val="en-GB"/>
              </w:rPr>
              <w:t xml:space="preserve">them </w:t>
            </w:r>
            <w:r>
              <w:rPr>
                <w:rFonts w:ascii="Arial" w:hAnsi="Arial" w:cs="Arial"/>
                <w:iCs/>
                <w:lang w:val="en-GB"/>
              </w:rPr>
              <w:t xml:space="preserve">to </w:t>
            </w:r>
            <w:r w:rsidR="00DE1808">
              <w:rPr>
                <w:rFonts w:ascii="Arial" w:hAnsi="Arial" w:cs="Arial"/>
                <w:iCs/>
                <w:lang w:val="en-GB"/>
              </w:rPr>
              <w:t xml:space="preserve">agree with the Plan, they are a preferred class in the </w:t>
            </w:r>
            <w:proofErr w:type="spellStart"/>
            <w:r w:rsidR="00DE1808">
              <w:rPr>
                <w:rFonts w:ascii="Arial" w:hAnsi="Arial" w:cs="Arial"/>
                <w:iCs/>
                <w:lang w:val="en-GB"/>
              </w:rPr>
              <w:t>Efwon</w:t>
            </w:r>
            <w:proofErr w:type="spellEnd"/>
            <w:r w:rsidR="00DE1808">
              <w:rPr>
                <w:rFonts w:ascii="Arial" w:hAnsi="Arial" w:cs="Arial"/>
                <w:iCs/>
                <w:lang w:val="en-GB"/>
              </w:rPr>
              <w:t xml:space="preserve"> </w:t>
            </w:r>
            <w:r w:rsidR="00DD0251">
              <w:rPr>
                <w:rFonts w:ascii="Arial" w:hAnsi="Arial" w:cs="Arial"/>
                <w:iCs/>
                <w:lang w:val="en-GB"/>
              </w:rPr>
              <w:t>Investments WHOA.</w:t>
            </w:r>
          </w:p>
        </w:tc>
      </w:tr>
      <w:tr w:rsidR="000A5127" w14:paraId="5FB4F409" w14:textId="77777777" w:rsidTr="00DE07F0">
        <w:tc>
          <w:tcPr>
            <w:tcW w:w="2155" w:type="dxa"/>
          </w:tcPr>
          <w:p w14:paraId="3A8F6B63" w14:textId="77777777" w:rsidR="000A5127" w:rsidRDefault="000A5127" w:rsidP="00DE07F0">
            <w:pPr>
              <w:tabs>
                <w:tab w:val="center" w:pos="900"/>
              </w:tabs>
              <w:jc w:val="both"/>
              <w:rPr>
                <w:rFonts w:ascii="Arial" w:hAnsi="Arial" w:cs="Arial"/>
                <w:b/>
                <w:bCs/>
                <w:iCs/>
                <w:lang w:val="en-GB"/>
              </w:rPr>
            </w:pPr>
            <w:r>
              <w:rPr>
                <w:rFonts w:ascii="Arial" w:hAnsi="Arial" w:cs="Arial"/>
                <w:b/>
                <w:bCs/>
                <w:iCs/>
                <w:lang w:val="en-GB"/>
              </w:rPr>
              <w:t xml:space="preserve">US Mezzanine Lenders </w:t>
            </w:r>
          </w:p>
        </w:tc>
        <w:tc>
          <w:tcPr>
            <w:tcW w:w="4228" w:type="dxa"/>
            <w:vMerge w:val="restart"/>
          </w:tcPr>
          <w:p w14:paraId="2B179A0B" w14:textId="77777777" w:rsidR="000A5127" w:rsidRDefault="000A5127" w:rsidP="000A5127">
            <w:pPr>
              <w:pStyle w:val="ListParagraph"/>
              <w:numPr>
                <w:ilvl w:val="0"/>
                <w:numId w:val="13"/>
              </w:numPr>
              <w:tabs>
                <w:tab w:val="center" w:pos="900"/>
              </w:tabs>
              <w:ind w:left="160" w:hanging="180"/>
              <w:jc w:val="both"/>
              <w:rPr>
                <w:rFonts w:ascii="Arial" w:hAnsi="Arial" w:cs="Arial"/>
                <w:iCs/>
                <w:lang w:val="en-GB"/>
              </w:rPr>
            </w:pPr>
            <w:r>
              <w:rPr>
                <w:rFonts w:ascii="Arial" w:hAnsi="Arial" w:cs="Arial"/>
                <w:iCs/>
                <w:lang w:val="en-GB"/>
              </w:rPr>
              <w:t xml:space="preserve">This class of lenders are so deeply subordinated that their likelihood of recovery in insolvency seems remote. </w:t>
            </w:r>
          </w:p>
          <w:p w14:paraId="437D731C" w14:textId="77777777" w:rsidR="000A5127" w:rsidRPr="00DF19FD" w:rsidRDefault="000A5127" w:rsidP="000A5127">
            <w:pPr>
              <w:pStyle w:val="ListParagraph"/>
              <w:numPr>
                <w:ilvl w:val="0"/>
                <w:numId w:val="13"/>
              </w:numPr>
              <w:tabs>
                <w:tab w:val="center" w:pos="900"/>
              </w:tabs>
              <w:ind w:left="160" w:hanging="180"/>
              <w:jc w:val="both"/>
              <w:rPr>
                <w:rFonts w:ascii="Arial" w:hAnsi="Arial" w:cs="Arial"/>
                <w:iCs/>
                <w:lang w:val="en-GB"/>
              </w:rPr>
            </w:pPr>
            <w:r>
              <w:rPr>
                <w:rFonts w:ascii="Arial" w:hAnsi="Arial" w:cs="Arial"/>
                <w:iCs/>
                <w:lang w:val="en-GB"/>
              </w:rPr>
              <w:t>These lenders should consider other options, including but not limited to conversion of debt to equity.</w:t>
            </w:r>
          </w:p>
        </w:tc>
        <w:tc>
          <w:tcPr>
            <w:tcW w:w="2967" w:type="dxa"/>
            <w:vMerge w:val="restart"/>
          </w:tcPr>
          <w:p w14:paraId="3EB5CE37" w14:textId="77777777" w:rsidR="000A5127" w:rsidRPr="008D7113" w:rsidRDefault="000A5127" w:rsidP="00DE07F0">
            <w:pPr>
              <w:tabs>
                <w:tab w:val="center" w:pos="900"/>
              </w:tabs>
              <w:rPr>
                <w:rFonts w:ascii="Arial" w:hAnsi="Arial" w:cs="Arial"/>
                <w:iCs/>
                <w:lang w:val="en-GB"/>
              </w:rPr>
            </w:pPr>
            <w:r w:rsidRPr="008D7113">
              <w:rPr>
                <w:rFonts w:ascii="Arial" w:hAnsi="Arial" w:cs="Arial"/>
                <w:iCs/>
                <w:lang w:val="en-GB"/>
              </w:rPr>
              <w:t xml:space="preserve">Potentially </w:t>
            </w:r>
            <w:r>
              <w:rPr>
                <w:rFonts w:ascii="Arial" w:hAnsi="Arial" w:cs="Arial"/>
                <w:iCs/>
                <w:lang w:val="en-GB"/>
              </w:rPr>
              <w:t xml:space="preserve">- to write down the balances of those loans </w:t>
            </w:r>
            <w:r>
              <w:rPr>
                <w:rFonts w:ascii="Arial" w:hAnsi="Arial" w:cs="Arial"/>
                <w:iCs/>
                <w:lang w:val="en-GB"/>
              </w:rPr>
              <w:lastRenderedPageBreak/>
              <w:t>as they would not be worse off if the plan gets approved</w:t>
            </w:r>
            <w:r w:rsidRPr="008D7113">
              <w:rPr>
                <w:rFonts w:ascii="Arial" w:hAnsi="Arial" w:cs="Arial"/>
                <w:iCs/>
                <w:lang w:val="en-GB"/>
              </w:rPr>
              <w:t>.</w:t>
            </w:r>
          </w:p>
        </w:tc>
      </w:tr>
      <w:tr w:rsidR="000A5127" w14:paraId="081FC8C6" w14:textId="77777777" w:rsidTr="00DE07F0">
        <w:tc>
          <w:tcPr>
            <w:tcW w:w="2155" w:type="dxa"/>
          </w:tcPr>
          <w:p w14:paraId="3C02F83A" w14:textId="77777777" w:rsidR="000A5127" w:rsidRDefault="000A5127" w:rsidP="00DE07F0">
            <w:pPr>
              <w:tabs>
                <w:tab w:val="center" w:pos="900"/>
              </w:tabs>
              <w:jc w:val="both"/>
              <w:rPr>
                <w:rFonts w:ascii="Arial" w:hAnsi="Arial" w:cs="Arial"/>
                <w:b/>
                <w:bCs/>
                <w:iCs/>
                <w:lang w:val="en-GB"/>
              </w:rPr>
            </w:pPr>
            <w:r>
              <w:rPr>
                <w:rFonts w:ascii="Arial" w:hAnsi="Arial" w:cs="Arial"/>
                <w:b/>
                <w:bCs/>
                <w:iCs/>
                <w:lang w:val="en-GB"/>
              </w:rPr>
              <w:lastRenderedPageBreak/>
              <w:t>US Junior Lenders</w:t>
            </w:r>
          </w:p>
        </w:tc>
        <w:tc>
          <w:tcPr>
            <w:tcW w:w="4228" w:type="dxa"/>
            <w:vMerge/>
          </w:tcPr>
          <w:p w14:paraId="58F9A5AE" w14:textId="77777777" w:rsidR="000A5127" w:rsidRDefault="000A5127" w:rsidP="00DE07F0">
            <w:pPr>
              <w:tabs>
                <w:tab w:val="center" w:pos="900"/>
              </w:tabs>
              <w:jc w:val="both"/>
              <w:rPr>
                <w:rFonts w:ascii="Arial" w:hAnsi="Arial" w:cs="Arial"/>
                <w:b/>
                <w:bCs/>
                <w:iCs/>
                <w:lang w:val="en-GB"/>
              </w:rPr>
            </w:pPr>
          </w:p>
        </w:tc>
        <w:tc>
          <w:tcPr>
            <w:tcW w:w="2967" w:type="dxa"/>
            <w:vMerge/>
          </w:tcPr>
          <w:p w14:paraId="7C55F187" w14:textId="77777777" w:rsidR="000A5127" w:rsidRDefault="000A5127" w:rsidP="00DE07F0">
            <w:pPr>
              <w:tabs>
                <w:tab w:val="center" w:pos="900"/>
              </w:tabs>
              <w:rPr>
                <w:rFonts w:ascii="Arial" w:hAnsi="Arial" w:cs="Arial"/>
                <w:b/>
                <w:bCs/>
                <w:iCs/>
                <w:lang w:val="en-GB"/>
              </w:rPr>
            </w:pPr>
          </w:p>
        </w:tc>
      </w:tr>
      <w:tr w:rsidR="000A5127" w14:paraId="5036A71F" w14:textId="77777777" w:rsidTr="00DE07F0">
        <w:tc>
          <w:tcPr>
            <w:tcW w:w="2155" w:type="dxa"/>
          </w:tcPr>
          <w:p w14:paraId="466609CE" w14:textId="77777777" w:rsidR="000A5127" w:rsidRDefault="000A5127" w:rsidP="00DE07F0">
            <w:pPr>
              <w:tabs>
                <w:tab w:val="center" w:pos="900"/>
              </w:tabs>
              <w:jc w:val="both"/>
              <w:rPr>
                <w:rFonts w:ascii="Arial" w:hAnsi="Arial" w:cs="Arial"/>
                <w:b/>
                <w:bCs/>
                <w:iCs/>
                <w:lang w:val="en-GB"/>
              </w:rPr>
            </w:pPr>
            <w:r>
              <w:rPr>
                <w:rFonts w:ascii="Arial" w:hAnsi="Arial" w:cs="Arial"/>
                <w:b/>
                <w:bCs/>
                <w:iCs/>
                <w:lang w:val="en-GB"/>
              </w:rPr>
              <w:t>Benedict Maximov</w:t>
            </w:r>
          </w:p>
        </w:tc>
        <w:tc>
          <w:tcPr>
            <w:tcW w:w="4228" w:type="dxa"/>
          </w:tcPr>
          <w:p w14:paraId="5392EE50" w14:textId="77777777" w:rsidR="000A5127" w:rsidRDefault="000A5127" w:rsidP="00DE07F0">
            <w:pPr>
              <w:tabs>
                <w:tab w:val="center" w:pos="900"/>
              </w:tabs>
              <w:jc w:val="both"/>
              <w:rPr>
                <w:rFonts w:ascii="Arial" w:hAnsi="Arial" w:cs="Arial"/>
                <w:b/>
                <w:bCs/>
                <w:iCs/>
                <w:lang w:val="en-GB"/>
              </w:rPr>
            </w:pPr>
            <w:r>
              <w:rPr>
                <w:rFonts w:ascii="Arial" w:hAnsi="Arial" w:cs="Arial"/>
                <w:iCs/>
                <w:lang w:val="en-GB"/>
              </w:rPr>
              <w:t xml:space="preserve">Equity investment into the Team Maximov may need to be increased, to show continued support and alignment of interests. </w:t>
            </w:r>
          </w:p>
        </w:tc>
        <w:tc>
          <w:tcPr>
            <w:tcW w:w="2967" w:type="dxa"/>
          </w:tcPr>
          <w:p w14:paraId="46CD6208" w14:textId="77777777" w:rsidR="000A5127" w:rsidRPr="008D7113" w:rsidRDefault="000A5127" w:rsidP="00DE07F0">
            <w:pPr>
              <w:tabs>
                <w:tab w:val="center" w:pos="900"/>
              </w:tabs>
              <w:jc w:val="both"/>
              <w:rPr>
                <w:rFonts w:ascii="Arial" w:hAnsi="Arial" w:cs="Arial"/>
                <w:iCs/>
                <w:lang w:val="en-GB"/>
              </w:rPr>
            </w:pPr>
            <w:r w:rsidRPr="008D7113">
              <w:rPr>
                <w:rFonts w:ascii="Arial" w:hAnsi="Arial" w:cs="Arial"/>
                <w:iCs/>
                <w:lang w:val="en-GB"/>
              </w:rPr>
              <w:t xml:space="preserve">Potentially </w:t>
            </w:r>
            <w:r>
              <w:rPr>
                <w:rFonts w:ascii="Arial" w:hAnsi="Arial" w:cs="Arial"/>
                <w:iCs/>
                <w:lang w:val="en-GB"/>
              </w:rPr>
              <w:t xml:space="preserve">- </w:t>
            </w:r>
            <w:r w:rsidRPr="008D7113">
              <w:rPr>
                <w:rFonts w:ascii="Arial" w:hAnsi="Arial" w:cs="Arial"/>
                <w:iCs/>
                <w:lang w:val="en-GB"/>
              </w:rPr>
              <w:t>to</w:t>
            </w:r>
            <w:r>
              <w:rPr>
                <w:rFonts w:ascii="Arial" w:hAnsi="Arial" w:cs="Arial"/>
                <w:iCs/>
                <w:lang w:val="en-GB"/>
              </w:rPr>
              <w:t xml:space="preserve"> secure a sponsor support agreement or a complete dilution of the shares in </w:t>
            </w:r>
            <w:proofErr w:type="spellStart"/>
            <w:r>
              <w:rPr>
                <w:rFonts w:ascii="Arial" w:hAnsi="Arial" w:cs="Arial"/>
                <w:iCs/>
                <w:lang w:val="en-GB"/>
              </w:rPr>
              <w:t>Efwon</w:t>
            </w:r>
            <w:proofErr w:type="spellEnd"/>
            <w:r>
              <w:rPr>
                <w:rFonts w:ascii="Arial" w:hAnsi="Arial" w:cs="Arial"/>
                <w:iCs/>
                <w:lang w:val="en-GB"/>
              </w:rPr>
              <w:t xml:space="preserve"> Trading. </w:t>
            </w:r>
          </w:p>
        </w:tc>
      </w:tr>
    </w:tbl>
    <w:p w14:paraId="28CAD31E" w14:textId="77777777" w:rsidR="00F330BB" w:rsidRPr="000A5127" w:rsidRDefault="00F330BB" w:rsidP="000A5127">
      <w:pPr>
        <w:spacing w:before="120" w:after="120" w:line="300" w:lineRule="exact"/>
        <w:jc w:val="both"/>
        <w:rPr>
          <w:rFonts w:ascii="Arial" w:hAnsi="Arial" w:cs="Arial"/>
          <w:b/>
          <w:bCs/>
          <w:iCs/>
          <w:lang w:val="en-GB"/>
        </w:rPr>
      </w:pPr>
    </w:p>
    <w:p w14:paraId="4E7D694B" w14:textId="77777777" w:rsidR="00C3450A" w:rsidRPr="00C3450A" w:rsidRDefault="00161450" w:rsidP="007D5B54">
      <w:pPr>
        <w:pStyle w:val="SectionI"/>
        <w:rPr>
          <w:b/>
          <w:bCs w:val="0"/>
          <w:iCs/>
          <w:lang w:val="en-GB"/>
        </w:rPr>
      </w:pPr>
      <w:r w:rsidRPr="007D5B54">
        <w:t>Conclusion</w:t>
      </w:r>
    </w:p>
    <w:p w14:paraId="78E3FBD7" w14:textId="79DA5267" w:rsidR="0015425A" w:rsidRDefault="00C3450A" w:rsidP="00C3450A">
      <w:pPr>
        <w:pStyle w:val="ListParagraph"/>
        <w:numPr>
          <w:ilvl w:val="0"/>
          <w:numId w:val="2"/>
        </w:numPr>
        <w:spacing w:before="120" w:after="120" w:line="300" w:lineRule="exact"/>
        <w:ind w:left="0" w:firstLine="360"/>
        <w:jc w:val="both"/>
        <w:rPr>
          <w:rFonts w:ascii="Arial" w:hAnsi="Arial" w:cs="Arial"/>
          <w:iCs/>
          <w:lang w:val="en-GB"/>
        </w:rPr>
      </w:pPr>
      <w:r w:rsidRPr="00C3450A">
        <w:rPr>
          <w:rFonts w:ascii="Arial" w:hAnsi="Arial" w:cs="Arial"/>
          <w:iCs/>
          <w:lang w:val="en-GB"/>
        </w:rPr>
        <w:t xml:space="preserve">The </w:t>
      </w:r>
      <w:r w:rsidR="00F377E7">
        <w:rPr>
          <w:rFonts w:ascii="Arial" w:hAnsi="Arial" w:cs="Arial"/>
          <w:iCs/>
          <w:lang w:val="en-GB"/>
        </w:rPr>
        <w:t>recent developments in</w:t>
      </w:r>
      <w:r w:rsidRPr="00C3450A">
        <w:rPr>
          <w:rFonts w:ascii="Arial" w:hAnsi="Arial" w:cs="Arial"/>
          <w:iCs/>
          <w:lang w:val="en-GB"/>
        </w:rPr>
        <w:t xml:space="preserve"> cross-border </w:t>
      </w:r>
      <w:r w:rsidR="00F377E7">
        <w:rPr>
          <w:rFonts w:ascii="Arial" w:hAnsi="Arial" w:cs="Arial"/>
          <w:iCs/>
          <w:lang w:val="en-GB"/>
        </w:rPr>
        <w:t>court decisions</w:t>
      </w:r>
      <w:r w:rsidRPr="00C3450A">
        <w:rPr>
          <w:rFonts w:ascii="Arial" w:hAnsi="Arial" w:cs="Arial"/>
          <w:iCs/>
          <w:lang w:val="en-GB"/>
        </w:rPr>
        <w:t xml:space="preserve"> ha</w:t>
      </w:r>
      <w:r w:rsidR="008D6840">
        <w:rPr>
          <w:rFonts w:ascii="Arial" w:hAnsi="Arial" w:cs="Arial"/>
          <w:iCs/>
          <w:lang w:val="en-GB"/>
        </w:rPr>
        <w:t>ve</w:t>
      </w:r>
      <w:r w:rsidRPr="00C3450A">
        <w:rPr>
          <w:rFonts w:ascii="Arial" w:hAnsi="Arial" w:cs="Arial"/>
          <w:iCs/>
          <w:lang w:val="en-GB"/>
        </w:rPr>
        <w:t xml:space="preserve"> largely ignored entity-specific COMI </w:t>
      </w:r>
      <w:proofErr w:type="gramStart"/>
      <w:r w:rsidR="008D6840">
        <w:rPr>
          <w:rFonts w:ascii="Arial" w:hAnsi="Arial" w:cs="Arial"/>
          <w:iCs/>
          <w:lang w:val="en-GB"/>
        </w:rPr>
        <w:t>in order to</w:t>
      </w:r>
      <w:proofErr w:type="gramEnd"/>
      <w:r w:rsidR="008D6840">
        <w:rPr>
          <w:rFonts w:ascii="Arial" w:hAnsi="Arial" w:cs="Arial"/>
          <w:iCs/>
          <w:lang w:val="en-GB"/>
        </w:rPr>
        <w:t xml:space="preserve"> achieve</w:t>
      </w:r>
      <w:r w:rsidRPr="00C3450A">
        <w:rPr>
          <w:rFonts w:ascii="Arial" w:hAnsi="Arial" w:cs="Arial"/>
          <w:iCs/>
          <w:lang w:val="en-GB"/>
        </w:rPr>
        <w:t xml:space="preserve"> </w:t>
      </w:r>
      <w:r w:rsidR="0015425A">
        <w:rPr>
          <w:rFonts w:ascii="Arial" w:hAnsi="Arial" w:cs="Arial"/>
          <w:iCs/>
          <w:lang w:val="en-GB"/>
        </w:rPr>
        <w:t xml:space="preserve">a </w:t>
      </w:r>
      <w:r w:rsidRPr="00C3450A">
        <w:rPr>
          <w:rFonts w:ascii="Arial" w:hAnsi="Arial" w:cs="Arial"/>
          <w:iCs/>
          <w:lang w:val="en-GB"/>
        </w:rPr>
        <w:t>value-preserv</w:t>
      </w:r>
      <w:r w:rsidR="0015425A">
        <w:rPr>
          <w:rFonts w:ascii="Arial" w:hAnsi="Arial" w:cs="Arial"/>
          <w:iCs/>
          <w:lang w:val="en-GB"/>
        </w:rPr>
        <w:t>ation solution at the</w:t>
      </w:r>
      <w:r w:rsidRPr="00C3450A">
        <w:rPr>
          <w:rFonts w:ascii="Arial" w:hAnsi="Arial" w:cs="Arial"/>
          <w:iCs/>
          <w:lang w:val="en-GB"/>
        </w:rPr>
        <w:t xml:space="preserve"> enterprise-level. Courts in many </w:t>
      </w:r>
      <w:r w:rsidR="0015425A">
        <w:rPr>
          <w:rFonts w:ascii="Arial" w:hAnsi="Arial" w:cs="Arial"/>
          <w:iCs/>
          <w:lang w:val="en-GB"/>
        </w:rPr>
        <w:t>jurisdictions</w:t>
      </w:r>
      <w:r w:rsidRPr="00C3450A">
        <w:rPr>
          <w:rFonts w:ascii="Arial" w:hAnsi="Arial" w:cs="Arial"/>
          <w:iCs/>
          <w:lang w:val="en-GB"/>
        </w:rPr>
        <w:t xml:space="preserve"> have approved the restructuring of enterprise group debt even though several group members had foreign COMIs.</w:t>
      </w:r>
      <w:r w:rsidR="00AA7EE8">
        <w:rPr>
          <w:rFonts w:ascii="Arial" w:hAnsi="Arial" w:cs="Arial"/>
          <w:iCs/>
          <w:lang w:val="en-GB"/>
        </w:rPr>
        <w:t xml:space="preserve"> This makes our proposed strategy for a Group restructuring of the various </w:t>
      </w:r>
      <w:proofErr w:type="spellStart"/>
      <w:r w:rsidR="00AA7EE8">
        <w:rPr>
          <w:rFonts w:ascii="Arial" w:hAnsi="Arial" w:cs="Arial"/>
          <w:iCs/>
          <w:lang w:val="en-GB"/>
        </w:rPr>
        <w:t>Efwon</w:t>
      </w:r>
      <w:proofErr w:type="spellEnd"/>
      <w:r w:rsidR="00AA7EE8">
        <w:rPr>
          <w:rFonts w:ascii="Arial" w:hAnsi="Arial" w:cs="Arial"/>
          <w:iCs/>
          <w:lang w:val="en-GB"/>
        </w:rPr>
        <w:t xml:space="preserve"> members in one jurisdiction, the Netherlands, a plausible and potentially most </w:t>
      </w:r>
      <w:r w:rsidR="002356CD">
        <w:rPr>
          <w:rFonts w:ascii="Arial" w:hAnsi="Arial" w:cs="Arial"/>
          <w:iCs/>
          <w:lang w:val="en-GB"/>
        </w:rPr>
        <w:t>cost-efficient</w:t>
      </w:r>
      <w:r w:rsidR="00AA7EE8">
        <w:rPr>
          <w:rFonts w:ascii="Arial" w:hAnsi="Arial" w:cs="Arial"/>
          <w:iCs/>
          <w:lang w:val="en-GB"/>
        </w:rPr>
        <w:t xml:space="preserve"> approach in this case.</w:t>
      </w:r>
    </w:p>
    <w:p w14:paraId="26740A2E" w14:textId="77777777" w:rsidR="00B364C3" w:rsidRDefault="0015425A" w:rsidP="00C3450A">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 xml:space="preserve"> </w:t>
      </w:r>
      <w:r w:rsidR="004D49A6">
        <w:rPr>
          <w:rFonts w:ascii="Arial" w:hAnsi="Arial" w:cs="Arial"/>
          <w:iCs/>
          <w:lang w:val="en-GB"/>
        </w:rPr>
        <w:t xml:space="preserve">The Dutch WHOA scheme successfully combining elements from the UK scheme of arrangement and the U.S. Chapter 11, </w:t>
      </w:r>
      <w:r w:rsidR="00AA7EE8">
        <w:rPr>
          <w:rFonts w:ascii="Arial" w:hAnsi="Arial" w:cs="Arial"/>
          <w:iCs/>
          <w:lang w:val="en-GB"/>
        </w:rPr>
        <w:t xml:space="preserve">have already gained </w:t>
      </w:r>
      <w:r w:rsidR="00DC421D">
        <w:rPr>
          <w:rFonts w:ascii="Arial" w:hAnsi="Arial" w:cs="Arial"/>
          <w:iCs/>
          <w:lang w:val="en-GB"/>
        </w:rPr>
        <w:t>successful</w:t>
      </w:r>
      <w:r w:rsidR="00AA7EE8">
        <w:rPr>
          <w:rFonts w:ascii="Arial" w:hAnsi="Arial" w:cs="Arial"/>
          <w:iCs/>
          <w:lang w:val="en-GB"/>
        </w:rPr>
        <w:t xml:space="preserve"> traction for purposes of group enterprises restructuring (e.g., in D</w:t>
      </w:r>
      <w:r w:rsidR="00F82ED1">
        <w:rPr>
          <w:rFonts w:ascii="Arial" w:hAnsi="Arial" w:cs="Arial"/>
          <w:iCs/>
          <w:lang w:val="en-GB"/>
        </w:rPr>
        <w:t xml:space="preserve">iebold </w:t>
      </w:r>
      <w:r w:rsidR="00DC421D">
        <w:rPr>
          <w:rFonts w:ascii="Arial" w:hAnsi="Arial" w:cs="Arial"/>
          <w:iCs/>
          <w:lang w:val="en-GB"/>
        </w:rPr>
        <w:t>Nixdorf, McDermott</w:t>
      </w:r>
      <w:r w:rsidR="00F82ED1">
        <w:rPr>
          <w:rFonts w:ascii="Arial" w:hAnsi="Arial" w:cs="Arial"/>
          <w:iCs/>
          <w:lang w:val="en-GB"/>
        </w:rPr>
        <w:t xml:space="preserve"> and </w:t>
      </w:r>
      <w:proofErr w:type="spellStart"/>
      <w:r w:rsidR="00F82ED1">
        <w:rPr>
          <w:rFonts w:ascii="Arial" w:hAnsi="Arial" w:cs="Arial"/>
          <w:iCs/>
          <w:lang w:val="en-GB"/>
        </w:rPr>
        <w:t>Mercon</w:t>
      </w:r>
      <w:proofErr w:type="spellEnd"/>
      <w:r w:rsidR="00F82ED1">
        <w:rPr>
          <w:rFonts w:ascii="Arial" w:hAnsi="Arial" w:cs="Arial"/>
          <w:iCs/>
          <w:lang w:val="en-GB"/>
        </w:rPr>
        <w:t xml:space="preserve"> </w:t>
      </w:r>
      <w:r w:rsidR="006D01B8">
        <w:rPr>
          <w:rFonts w:ascii="Arial" w:hAnsi="Arial" w:cs="Arial"/>
          <w:iCs/>
          <w:lang w:val="en-GB"/>
        </w:rPr>
        <w:t>restructurings</w:t>
      </w:r>
      <w:r w:rsidR="00F82ED1">
        <w:rPr>
          <w:rFonts w:ascii="Arial" w:hAnsi="Arial" w:cs="Arial"/>
          <w:iCs/>
          <w:lang w:val="en-GB"/>
        </w:rPr>
        <w:t>)</w:t>
      </w:r>
      <w:r w:rsidR="00DC421D">
        <w:rPr>
          <w:rFonts w:ascii="Arial" w:hAnsi="Arial" w:cs="Arial"/>
          <w:iCs/>
          <w:lang w:val="en-GB"/>
        </w:rPr>
        <w:t xml:space="preserve"> </w:t>
      </w:r>
      <w:r w:rsidR="004633C1">
        <w:rPr>
          <w:rFonts w:ascii="Arial" w:hAnsi="Arial" w:cs="Arial"/>
          <w:iCs/>
          <w:lang w:val="en-GB"/>
        </w:rPr>
        <w:t xml:space="preserve">and </w:t>
      </w:r>
      <w:r w:rsidR="006D01B8">
        <w:rPr>
          <w:rFonts w:ascii="Arial" w:hAnsi="Arial" w:cs="Arial"/>
          <w:iCs/>
          <w:lang w:val="en-GB"/>
        </w:rPr>
        <w:t>Dutch bankruptcy judges have already proven their value-preservation approach.</w:t>
      </w:r>
      <w:r w:rsidR="002356CD">
        <w:rPr>
          <w:rFonts w:ascii="Arial" w:hAnsi="Arial" w:cs="Arial"/>
          <w:iCs/>
          <w:lang w:val="en-GB"/>
        </w:rPr>
        <w:t xml:space="preserve"> Therefore, attempting the proposed strategy, even though elements of it have not yet been </w:t>
      </w:r>
      <w:r w:rsidR="00B112DE">
        <w:rPr>
          <w:rFonts w:ascii="Arial" w:hAnsi="Arial" w:cs="Arial"/>
          <w:iCs/>
          <w:lang w:val="en-GB"/>
        </w:rPr>
        <w:t>tested</w:t>
      </w:r>
      <w:r w:rsidR="008239AA">
        <w:rPr>
          <w:rFonts w:ascii="Arial" w:hAnsi="Arial" w:cs="Arial"/>
          <w:iCs/>
          <w:lang w:val="en-GB"/>
        </w:rPr>
        <w:t xml:space="preserve"> (such as WHOA restructuring of non-Dutch members of groups)</w:t>
      </w:r>
      <w:r w:rsidR="00B112DE">
        <w:rPr>
          <w:rFonts w:ascii="Arial" w:hAnsi="Arial" w:cs="Arial"/>
          <w:iCs/>
          <w:lang w:val="en-GB"/>
        </w:rPr>
        <w:t>, should not pose risks or major concerns.</w:t>
      </w:r>
    </w:p>
    <w:p w14:paraId="192AB803" w14:textId="414AD80F" w:rsidR="0015425A" w:rsidRDefault="00B364C3" w:rsidP="00C3450A">
      <w:pPr>
        <w:pStyle w:val="ListParagraph"/>
        <w:numPr>
          <w:ilvl w:val="0"/>
          <w:numId w:val="2"/>
        </w:numPr>
        <w:spacing w:before="120" w:after="120" w:line="300" w:lineRule="exact"/>
        <w:ind w:left="0" w:firstLine="360"/>
        <w:jc w:val="both"/>
        <w:rPr>
          <w:rFonts w:ascii="Arial" w:hAnsi="Arial" w:cs="Arial"/>
          <w:iCs/>
          <w:lang w:val="en-GB"/>
        </w:rPr>
      </w:pPr>
      <w:r>
        <w:rPr>
          <w:rFonts w:ascii="Arial" w:hAnsi="Arial" w:cs="Arial"/>
          <w:iCs/>
          <w:lang w:val="en-GB"/>
        </w:rPr>
        <w:t>The outcomes of the Dutch public track restructuring as proposed, will be enforceable across the</w:t>
      </w:r>
      <w:r w:rsidR="006A662B">
        <w:rPr>
          <w:rFonts w:ascii="Arial" w:hAnsi="Arial" w:cs="Arial"/>
          <w:iCs/>
          <w:lang w:val="en-GB"/>
        </w:rPr>
        <w:t xml:space="preserve"> EU under the EIR, as well as in Model Law jurisdictions, such as the U.S. and Singapore. </w:t>
      </w:r>
      <w:r w:rsidR="00C305A1">
        <w:rPr>
          <w:rFonts w:ascii="Arial" w:hAnsi="Arial" w:cs="Arial"/>
          <w:iCs/>
          <w:lang w:val="en-GB"/>
        </w:rPr>
        <w:t xml:space="preserve">U.S. courts have already </w:t>
      </w:r>
      <w:r w:rsidR="002A2F47">
        <w:rPr>
          <w:rFonts w:ascii="Arial" w:hAnsi="Arial" w:cs="Arial"/>
          <w:iCs/>
          <w:lang w:val="en-GB"/>
        </w:rPr>
        <w:t>recognized</w:t>
      </w:r>
      <w:r w:rsidR="00C305A1">
        <w:rPr>
          <w:rFonts w:ascii="Arial" w:hAnsi="Arial" w:cs="Arial"/>
          <w:iCs/>
          <w:lang w:val="en-GB"/>
        </w:rPr>
        <w:t xml:space="preserve"> </w:t>
      </w:r>
      <w:r w:rsidR="00F57593">
        <w:rPr>
          <w:rFonts w:ascii="Arial" w:hAnsi="Arial" w:cs="Arial"/>
          <w:iCs/>
          <w:lang w:val="en-GB"/>
        </w:rPr>
        <w:t xml:space="preserve">a </w:t>
      </w:r>
      <w:r w:rsidR="00F57593" w:rsidRPr="00F57593">
        <w:rPr>
          <w:rFonts w:ascii="Arial" w:hAnsi="Arial" w:cs="Arial"/>
          <w:iCs/>
          <w:lang w:val="en-GB"/>
        </w:rPr>
        <w:t>WHOA plan as a foreign main proceeding under Chapter 15</w:t>
      </w:r>
      <w:r w:rsidR="00F57593">
        <w:rPr>
          <w:rFonts w:ascii="Arial" w:hAnsi="Arial" w:cs="Arial"/>
          <w:iCs/>
          <w:lang w:val="en-GB"/>
        </w:rPr>
        <w:t xml:space="preserve"> (</w:t>
      </w:r>
      <w:r w:rsidR="00173FF7">
        <w:rPr>
          <w:rFonts w:ascii="Arial" w:hAnsi="Arial" w:cs="Arial"/>
          <w:iCs/>
          <w:lang w:val="en-GB"/>
        </w:rPr>
        <w:t xml:space="preserve">in the case of </w:t>
      </w:r>
      <w:r w:rsidR="00F57593">
        <w:rPr>
          <w:rFonts w:ascii="Arial" w:hAnsi="Arial" w:cs="Arial"/>
          <w:iCs/>
          <w:lang w:val="en-GB"/>
        </w:rPr>
        <w:t xml:space="preserve">the Diebold </w:t>
      </w:r>
      <w:proofErr w:type="spellStart"/>
      <w:r w:rsidR="00F57593">
        <w:rPr>
          <w:rFonts w:ascii="Arial" w:hAnsi="Arial" w:cs="Arial"/>
          <w:iCs/>
          <w:lang w:val="en-GB"/>
        </w:rPr>
        <w:t>Nixdrof</w:t>
      </w:r>
      <w:proofErr w:type="spellEnd"/>
      <w:r w:rsidR="00F57593">
        <w:rPr>
          <w:rFonts w:ascii="Arial" w:hAnsi="Arial" w:cs="Arial"/>
          <w:iCs/>
          <w:lang w:val="en-GB"/>
        </w:rPr>
        <w:t xml:space="preserve"> group restructuring)</w:t>
      </w:r>
      <w:r w:rsidR="00173FF7">
        <w:rPr>
          <w:rFonts w:ascii="Arial" w:hAnsi="Arial" w:cs="Arial"/>
          <w:iCs/>
          <w:lang w:val="en-GB"/>
        </w:rPr>
        <w:t xml:space="preserve">, which </w:t>
      </w:r>
      <w:r w:rsidR="00F57593" w:rsidRPr="00F57593">
        <w:rPr>
          <w:rFonts w:ascii="Arial" w:hAnsi="Arial" w:cs="Arial"/>
          <w:iCs/>
          <w:lang w:val="en-GB"/>
        </w:rPr>
        <w:t xml:space="preserve">also allows the WHOA plan to be enforced against creditors in the US, making it </w:t>
      </w:r>
      <w:r w:rsidR="005F14C3">
        <w:rPr>
          <w:rFonts w:ascii="Arial" w:hAnsi="Arial" w:cs="Arial"/>
          <w:iCs/>
          <w:lang w:val="en-GB"/>
        </w:rPr>
        <w:t>an</w:t>
      </w:r>
      <w:r w:rsidR="00F57593" w:rsidRPr="00F57593">
        <w:rPr>
          <w:rFonts w:ascii="Arial" w:hAnsi="Arial" w:cs="Arial"/>
          <w:iCs/>
          <w:lang w:val="en-GB"/>
        </w:rPr>
        <w:t xml:space="preserve"> attractive option for </w:t>
      </w:r>
      <w:r w:rsidR="005F14C3">
        <w:rPr>
          <w:rFonts w:ascii="Arial" w:hAnsi="Arial" w:cs="Arial"/>
          <w:iCs/>
          <w:lang w:val="en-GB"/>
        </w:rPr>
        <w:t xml:space="preserve">the </w:t>
      </w:r>
      <w:r w:rsidR="00F57593" w:rsidRPr="00F57593">
        <w:rPr>
          <w:rFonts w:ascii="Arial" w:hAnsi="Arial" w:cs="Arial"/>
          <w:iCs/>
          <w:lang w:val="en-GB"/>
        </w:rPr>
        <w:t>cross-border restructuring</w:t>
      </w:r>
      <w:r w:rsidR="005F14C3">
        <w:rPr>
          <w:rFonts w:ascii="Arial" w:hAnsi="Arial" w:cs="Arial"/>
          <w:iCs/>
          <w:lang w:val="en-GB"/>
        </w:rPr>
        <w:t xml:space="preserve"> of the </w:t>
      </w:r>
      <w:proofErr w:type="spellStart"/>
      <w:r w:rsidR="005F14C3">
        <w:rPr>
          <w:rFonts w:ascii="Arial" w:hAnsi="Arial" w:cs="Arial"/>
          <w:iCs/>
          <w:lang w:val="en-GB"/>
        </w:rPr>
        <w:t>Efwon</w:t>
      </w:r>
      <w:proofErr w:type="spellEnd"/>
      <w:r w:rsidR="005F14C3">
        <w:rPr>
          <w:rFonts w:ascii="Arial" w:hAnsi="Arial" w:cs="Arial"/>
          <w:iCs/>
          <w:lang w:val="en-GB"/>
        </w:rPr>
        <w:t xml:space="preserve"> Group</w:t>
      </w:r>
      <w:r w:rsidR="00F57593" w:rsidRPr="00F57593">
        <w:rPr>
          <w:rFonts w:ascii="Arial" w:hAnsi="Arial" w:cs="Arial"/>
          <w:iCs/>
          <w:lang w:val="en-GB"/>
        </w:rPr>
        <w:t>.</w:t>
      </w:r>
    </w:p>
    <w:p w14:paraId="3F4A0102" w14:textId="6C5F2566" w:rsidR="00F707AF" w:rsidRPr="00C3450A" w:rsidRDefault="00F707AF" w:rsidP="00C3450A">
      <w:pPr>
        <w:pStyle w:val="ListParagraph"/>
        <w:numPr>
          <w:ilvl w:val="0"/>
          <w:numId w:val="2"/>
        </w:numPr>
        <w:spacing w:before="120" w:after="120" w:line="300" w:lineRule="exact"/>
        <w:ind w:left="0" w:firstLine="360"/>
        <w:jc w:val="both"/>
        <w:rPr>
          <w:rFonts w:ascii="Arial" w:hAnsi="Arial" w:cs="Arial"/>
          <w:iCs/>
          <w:lang w:val="en-GB"/>
        </w:rPr>
      </w:pPr>
      <w:r w:rsidRPr="00C3450A">
        <w:rPr>
          <w:rFonts w:ascii="Arial" w:hAnsi="Arial" w:cs="Arial"/>
          <w:iCs/>
          <w:lang w:val="en-GB"/>
        </w:rPr>
        <w:br w:type="page"/>
      </w:r>
    </w:p>
    <w:p w14:paraId="05059675" w14:textId="3926D374" w:rsidR="00161450" w:rsidRDefault="00881D32">
      <w:pPr>
        <w:rPr>
          <w:rFonts w:ascii="Arial" w:hAnsi="Arial" w:cs="Arial"/>
          <w:b/>
          <w:bCs/>
          <w:iCs/>
          <w:lang w:val="en-GB"/>
        </w:rPr>
      </w:pPr>
      <w:r>
        <w:rPr>
          <w:rFonts w:ascii="Arial" w:hAnsi="Arial" w:cs="Arial"/>
          <w:b/>
          <w:bCs/>
          <w:iCs/>
          <w:lang w:val="en-GB"/>
        </w:rPr>
        <w:lastRenderedPageBreak/>
        <w:t xml:space="preserve">Appendix A: Structure of </w:t>
      </w:r>
      <w:proofErr w:type="spellStart"/>
      <w:r>
        <w:rPr>
          <w:rFonts w:ascii="Arial" w:hAnsi="Arial" w:cs="Arial"/>
          <w:b/>
          <w:bCs/>
          <w:iCs/>
          <w:lang w:val="en-GB"/>
        </w:rPr>
        <w:t>Efwon</w:t>
      </w:r>
      <w:proofErr w:type="spellEnd"/>
      <w:r>
        <w:rPr>
          <w:rFonts w:ascii="Arial" w:hAnsi="Arial" w:cs="Arial"/>
          <w:b/>
          <w:bCs/>
          <w:iCs/>
          <w:lang w:val="en-GB"/>
        </w:rPr>
        <w:t xml:space="preserve"> Group</w:t>
      </w:r>
    </w:p>
    <w:p w14:paraId="0ACDF731" w14:textId="6E246D63" w:rsidR="00B721F3" w:rsidRDefault="00B721F3" w:rsidP="00F707AF">
      <w:pPr>
        <w:pStyle w:val="ListParagraph"/>
        <w:jc w:val="both"/>
        <w:rPr>
          <w:rFonts w:ascii="Arial" w:hAnsi="Arial" w:cs="Arial"/>
          <w:b/>
          <w:bCs/>
          <w:iCs/>
          <w:lang w:val="en-GB"/>
        </w:rPr>
      </w:pPr>
    </w:p>
    <w:tbl>
      <w:tblPr>
        <w:tblStyle w:val="TableGrid"/>
        <w:tblpPr w:leftFromText="180" w:rightFromText="180" w:vertAnchor="page" w:horzAnchor="margin" w:tblpXSpec="center" w:tblpY="172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3932"/>
        <w:gridCol w:w="2683"/>
        <w:gridCol w:w="2503"/>
      </w:tblGrid>
      <w:tr w:rsidR="00D42F2C" w14:paraId="55819872" w14:textId="77777777" w:rsidTr="00DE07F0">
        <w:tc>
          <w:tcPr>
            <w:tcW w:w="10620" w:type="dxa"/>
            <w:gridSpan w:val="4"/>
          </w:tcPr>
          <w:p w14:paraId="5180CE92" w14:textId="77777777" w:rsidR="00D42F2C" w:rsidRPr="00C40587" w:rsidRDefault="00D42F2C" w:rsidP="00DE07F0">
            <w:pPr>
              <w:spacing w:before="120" w:after="120"/>
              <w:jc w:val="center"/>
              <w:rPr>
                <w:b/>
                <w:bCs/>
                <w:smallCaps/>
              </w:rPr>
            </w:pPr>
            <w:r w:rsidRPr="00C40587">
              <w:rPr>
                <w:b/>
                <w:bCs/>
                <w:smallCaps/>
              </w:rPr>
              <w:t>Relevant Parties</w:t>
            </w:r>
          </w:p>
        </w:tc>
      </w:tr>
      <w:tr w:rsidR="00D42F2C" w14:paraId="56FAB6DB" w14:textId="77777777" w:rsidTr="00DE07F0">
        <w:tc>
          <w:tcPr>
            <w:tcW w:w="1502" w:type="dxa"/>
            <w:vMerge w:val="restart"/>
          </w:tcPr>
          <w:p w14:paraId="67C22C59" w14:textId="6F192AF4" w:rsidR="00D42F2C" w:rsidRPr="00C40587" w:rsidRDefault="00D42F2C" w:rsidP="00DE07F0">
            <w:pPr>
              <w:spacing w:before="120" w:after="120"/>
              <w:rPr>
                <w:b/>
                <w:bCs/>
                <w:smallCaps/>
              </w:rPr>
            </w:pPr>
            <w:proofErr w:type="spellStart"/>
            <w:r w:rsidRPr="00C40587">
              <w:rPr>
                <w:b/>
                <w:bCs/>
                <w:smallCaps/>
              </w:rPr>
              <w:t>Ef</w:t>
            </w:r>
            <w:r w:rsidR="003046BC">
              <w:rPr>
                <w:b/>
                <w:bCs/>
                <w:smallCaps/>
              </w:rPr>
              <w:t>w</w:t>
            </w:r>
            <w:r w:rsidRPr="00C40587">
              <w:rPr>
                <w:b/>
                <w:bCs/>
                <w:smallCaps/>
              </w:rPr>
              <w:t>on</w:t>
            </w:r>
            <w:proofErr w:type="spellEnd"/>
            <w:r w:rsidRPr="00C40587">
              <w:rPr>
                <w:b/>
                <w:bCs/>
                <w:smallCaps/>
              </w:rPr>
              <w:t xml:space="preserve"> Group:</w:t>
            </w:r>
          </w:p>
        </w:tc>
        <w:tc>
          <w:tcPr>
            <w:tcW w:w="9118" w:type="dxa"/>
            <w:gridSpan w:val="3"/>
          </w:tcPr>
          <w:p w14:paraId="1F2C317E" w14:textId="77777777" w:rsidR="00D42F2C" w:rsidRDefault="00D42F2C" w:rsidP="00DE07F0">
            <w:pPr>
              <w:jc w:val="center"/>
            </w:pPr>
            <w:r w:rsidRPr="007E5ED7">
              <w:rPr>
                <w:b/>
                <w:bCs/>
              </w:rPr>
              <w:t>Benedict Maximov</w:t>
            </w:r>
            <w:r>
              <w:t xml:space="preserve"> (US based entrepreneur)</w:t>
            </w:r>
          </w:p>
          <w:p w14:paraId="7D737C78" w14:textId="77777777" w:rsidR="00D42F2C" w:rsidRDefault="00D42F2C" w:rsidP="00DE07F0">
            <w:pPr>
              <w:tabs>
                <w:tab w:val="center" w:pos="4451"/>
                <w:tab w:val="left" w:pos="5840"/>
              </w:tabs>
            </w:pPr>
            <w:r>
              <w:tab/>
              <w:t>Sole shareholder</w:t>
            </w:r>
          </w:p>
          <w:p w14:paraId="527B15A8" w14:textId="77777777" w:rsidR="00D42F2C" w:rsidRDefault="00D42F2C" w:rsidP="00DE07F0">
            <w:pPr>
              <w:tabs>
                <w:tab w:val="center" w:pos="4451"/>
                <w:tab w:val="left" w:pos="5840"/>
              </w:tabs>
              <w:spacing w:before="120" w:after="120"/>
            </w:pPr>
            <w:r>
              <w:tab/>
            </w:r>
          </w:p>
        </w:tc>
      </w:tr>
      <w:tr w:rsidR="00D42F2C" w14:paraId="2AFA03E5" w14:textId="77777777" w:rsidTr="00DE07F0">
        <w:trPr>
          <w:trHeight w:val="602"/>
        </w:trPr>
        <w:tc>
          <w:tcPr>
            <w:tcW w:w="1502" w:type="dxa"/>
            <w:vMerge/>
          </w:tcPr>
          <w:p w14:paraId="6B45CDD1" w14:textId="77777777" w:rsidR="00D42F2C" w:rsidRPr="00C40587" w:rsidRDefault="00D42F2C" w:rsidP="00DE07F0">
            <w:pPr>
              <w:spacing w:before="120" w:after="120"/>
              <w:rPr>
                <w:smallCaps/>
              </w:rPr>
            </w:pPr>
          </w:p>
        </w:tc>
        <w:tc>
          <w:tcPr>
            <w:tcW w:w="3932" w:type="dxa"/>
            <w:vMerge w:val="restart"/>
          </w:tcPr>
          <w:p w14:paraId="6FF5B818" w14:textId="77777777" w:rsidR="00D42F2C" w:rsidRDefault="00D42F2C" w:rsidP="00DE07F0">
            <w:pPr>
              <w:spacing w:before="120" w:after="120"/>
              <w:jc w:val="center"/>
            </w:pPr>
            <w:proofErr w:type="spellStart"/>
            <w:r w:rsidRPr="004F5755">
              <w:rPr>
                <w:b/>
                <w:bCs/>
              </w:rPr>
              <w:t>Efwon</w:t>
            </w:r>
            <w:proofErr w:type="spellEnd"/>
            <w:r w:rsidRPr="004F5755">
              <w:rPr>
                <w:b/>
                <w:bCs/>
              </w:rPr>
              <w:t xml:space="preserve"> Investments</w:t>
            </w:r>
            <w:r>
              <w:t xml:space="preserve"> (Texas)</w:t>
            </w:r>
          </w:p>
          <w:p w14:paraId="40A46396" w14:textId="5CB6507A" w:rsidR="00D42F2C" w:rsidRDefault="00D42F2C" w:rsidP="00DE07F0">
            <w:pPr>
              <w:spacing w:before="120" w:after="120"/>
              <w:jc w:val="center"/>
            </w:pPr>
            <w:r>
              <w:t xml:space="preserve">(the US </w:t>
            </w:r>
            <w:r w:rsidR="003046BC">
              <w:t>entity</w:t>
            </w:r>
            <w:r>
              <w:t>)</w:t>
            </w:r>
          </w:p>
          <w:p w14:paraId="7D8D367F" w14:textId="77777777" w:rsidR="00D42F2C" w:rsidRDefault="00D42F2C" w:rsidP="00DE07F0">
            <w:pPr>
              <w:spacing w:before="120" w:after="120"/>
              <w:jc w:val="center"/>
            </w:pPr>
          </w:p>
        </w:tc>
        <w:tc>
          <w:tcPr>
            <w:tcW w:w="5186" w:type="dxa"/>
            <w:gridSpan w:val="2"/>
          </w:tcPr>
          <w:p w14:paraId="2D70B181" w14:textId="1E48B8CB" w:rsidR="00D42F2C" w:rsidRDefault="00D42F2C" w:rsidP="00DE07F0">
            <w:pPr>
              <w:spacing w:before="120" w:after="120"/>
              <w:jc w:val="center"/>
            </w:pPr>
            <w:proofErr w:type="spellStart"/>
            <w:r w:rsidRPr="004F5755">
              <w:rPr>
                <w:b/>
                <w:bCs/>
              </w:rPr>
              <w:t>Efwon</w:t>
            </w:r>
            <w:proofErr w:type="spellEnd"/>
            <w:r w:rsidRPr="004F5755">
              <w:rPr>
                <w:b/>
                <w:bCs/>
              </w:rPr>
              <w:t xml:space="preserve"> Trading N.V.</w:t>
            </w:r>
            <w:r>
              <w:t xml:space="preserve"> (Netherlands) (the Dutch </w:t>
            </w:r>
            <w:r w:rsidR="003046BC">
              <w:t>entity</w:t>
            </w:r>
            <w:r>
              <w:t>)</w:t>
            </w:r>
          </w:p>
          <w:p w14:paraId="57567602" w14:textId="77777777" w:rsidR="00D42F2C" w:rsidRDefault="00D42F2C" w:rsidP="00DE07F0">
            <w:pPr>
              <w:spacing w:before="120" w:after="120"/>
              <w:jc w:val="center"/>
            </w:pPr>
          </w:p>
        </w:tc>
      </w:tr>
      <w:tr w:rsidR="00D42F2C" w14:paraId="2222513D" w14:textId="77777777" w:rsidTr="00DE07F0">
        <w:tc>
          <w:tcPr>
            <w:tcW w:w="1502" w:type="dxa"/>
            <w:vMerge/>
          </w:tcPr>
          <w:p w14:paraId="54742183" w14:textId="77777777" w:rsidR="00D42F2C" w:rsidRPr="00C40587" w:rsidRDefault="00D42F2C" w:rsidP="00DE07F0">
            <w:pPr>
              <w:spacing w:before="120" w:after="120"/>
              <w:rPr>
                <w:smallCaps/>
              </w:rPr>
            </w:pPr>
          </w:p>
        </w:tc>
        <w:tc>
          <w:tcPr>
            <w:tcW w:w="3932" w:type="dxa"/>
            <w:vMerge/>
          </w:tcPr>
          <w:p w14:paraId="063676B6" w14:textId="77777777" w:rsidR="00D42F2C" w:rsidRDefault="00D42F2C" w:rsidP="00DE07F0">
            <w:pPr>
              <w:spacing w:before="120" w:after="120"/>
              <w:jc w:val="center"/>
            </w:pPr>
          </w:p>
        </w:tc>
        <w:tc>
          <w:tcPr>
            <w:tcW w:w="2683" w:type="dxa"/>
          </w:tcPr>
          <w:p w14:paraId="7274C89B" w14:textId="77777777" w:rsidR="00D42F2C" w:rsidRDefault="00D42F2C" w:rsidP="00DE07F0">
            <w:pPr>
              <w:spacing w:before="120" w:after="120"/>
              <w:jc w:val="center"/>
            </w:pPr>
            <w:proofErr w:type="spellStart"/>
            <w:r w:rsidRPr="004F5755">
              <w:rPr>
                <w:b/>
                <w:bCs/>
              </w:rPr>
              <w:t>Efwon</w:t>
            </w:r>
            <w:proofErr w:type="spellEnd"/>
            <w:r w:rsidRPr="004F5755">
              <w:rPr>
                <w:b/>
                <w:bCs/>
              </w:rPr>
              <w:t xml:space="preserve"> Romania</w:t>
            </w:r>
            <w:r>
              <w:t xml:space="preserve"> (Romania) (the Romanian Borrower)</w:t>
            </w:r>
          </w:p>
        </w:tc>
        <w:tc>
          <w:tcPr>
            <w:tcW w:w="2503" w:type="dxa"/>
          </w:tcPr>
          <w:p w14:paraId="0540CDC2" w14:textId="77777777" w:rsidR="00D42F2C" w:rsidRDefault="00D42F2C" w:rsidP="00DE07F0">
            <w:pPr>
              <w:spacing w:before="120" w:after="120"/>
              <w:jc w:val="center"/>
            </w:pPr>
            <w:r>
              <w:rPr>
                <w:b/>
                <w:bCs/>
                <w:noProof/>
              </w:rPr>
              <mc:AlternateContent>
                <mc:Choice Requires="wpi">
                  <w:drawing>
                    <wp:anchor distT="0" distB="0" distL="114300" distR="114300" simplePos="0" relativeHeight="251659264" behindDoc="0" locked="0" layoutInCell="1" allowOverlap="1" wp14:anchorId="0207ED69" wp14:editId="052B75D2">
                      <wp:simplePos x="0" y="0"/>
                      <wp:positionH relativeFrom="column">
                        <wp:posOffset>1108165</wp:posOffset>
                      </wp:positionH>
                      <wp:positionV relativeFrom="paragraph">
                        <wp:posOffset>228220</wp:posOffset>
                      </wp:positionV>
                      <wp:extent cx="360" cy="360"/>
                      <wp:effectExtent l="38100" t="38100" r="57150" b="57150"/>
                      <wp:wrapNone/>
                      <wp:docPr id="1609968313"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697D5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86.55pt;margin-top:17.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">
                      <v:imagedata r:id="rId9" o:title=""/>
                    </v:shape>
                  </w:pict>
                </mc:Fallback>
              </mc:AlternateContent>
            </w:r>
            <w:proofErr w:type="spellStart"/>
            <w:r w:rsidRPr="004F5755">
              <w:rPr>
                <w:b/>
                <w:bCs/>
              </w:rPr>
              <w:t>Efwon</w:t>
            </w:r>
            <w:proofErr w:type="spellEnd"/>
            <w:r w:rsidRPr="004F5755">
              <w:rPr>
                <w:b/>
                <w:bCs/>
              </w:rPr>
              <w:t xml:space="preserve"> Singapo</w:t>
            </w:r>
            <w:r>
              <w:rPr>
                <w:b/>
                <w:bCs/>
              </w:rPr>
              <w:t>r</w:t>
            </w:r>
            <w:r w:rsidRPr="004F5755">
              <w:rPr>
                <w:b/>
                <w:bCs/>
              </w:rPr>
              <w:t>e</w:t>
            </w:r>
            <w:r>
              <w:t xml:space="preserve"> (Singapore)</w:t>
            </w:r>
          </w:p>
        </w:tc>
      </w:tr>
      <w:tr w:rsidR="00D42F2C" w:rsidRPr="00CF647C" w14:paraId="7211428B" w14:textId="77777777" w:rsidTr="00DE07F0">
        <w:tc>
          <w:tcPr>
            <w:tcW w:w="1502" w:type="dxa"/>
          </w:tcPr>
          <w:p w14:paraId="199348C2" w14:textId="77777777" w:rsidR="00D42F2C" w:rsidRPr="00C40587" w:rsidRDefault="00D42F2C" w:rsidP="00DE07F0">
            <w:pPr>
              <w:spacing w:before="120" w:after="120"/>
              <w:rPr>
                <w:b/>
                <w:bCs/>
                <w:smallCaps/>
              </w:rPr>
            </w:pPr>
            <w:r w:rsidRPr="00C40587">
              <w:rPr>
                <w:b/>
                <w:bCs/>
                <w:smallCaps/>
              </w:rPr>
              <w:t>Lenders</w:t>
            </w:r>
          </w:p>
        </w:tc>
        <w:tc>
          <w:tcPr>
            <w:tcW w:w="9118" w:type="dxa"/>
            <w:gridSpan w:val="3"/>
          </w:tcPr>
          <w:p w14:paraId="425B0BC6" w14:textId="3ECFEDB1" w:rsidR="00D42F2C" w:rsidRDefault="00D42F2C" w:rsidP="00DE07F0">
            <w:pPr>
              <w:spacing w:before="120" w:after="120"/>
            </w:pPr>
            <w:proofErr w:type="gramStart"/>
            <w:r w:rsidRPr="000A2652">
              <w:rPr>
                <w:b/>
                <w:bCs/>
              </w:rPr>
              <w:t>U</w:t>
            </w:r>
            <w:r w:rsidR="00FA46E7">
              <w:rPr>
                <w:b/>
                <w:bCs/>
              </w:rPr>
              <w:t>.</w:t>
            </w:r>
            <w:r w:rsidRPr="000A2652">
              <w:rPr>
                <w:b/>
                <w:bCs/>
              </w:rPr>
              <w:t>S</w:t>
            </w:r>
            <w:proofErr w:type="gramEnd"/>
            <w:r w:rsidRPr="000A2652">
              <w:rPr>
                <w:b/>
                <w:bCs/>
              </w:rPr>
              <w:t xml:space="preserve"> </w:t>
            </w:r>
            <w:r w:rsidR="00FA46E7">
              <w:rPr>
                <w:b/>
                <w:bCs/>
              </w:rPr>
              <w:t>.</w:t>
            </w:r>
            <w:r w:rsidRPr="000A2652">
              <w:rPr>
                <w:b/>
                <w:bCs/>
              </w:rPr>
              <w:t>Lenders</w:t>
            </w:r>
            <w:r>
              <w:t xml:space="preserve"> </w:t>
            </w:r>
          </w:p>
          <w:p w14:paraId="39DF87D7" w14:textId="77777777" w:rsidR="00D42F2C" w:rsidRDefault="00D42F2C" w:rsidP="00D42F2C">
            <w:pPr>
              <w:pStyle w:val="ListParagraph"/>
              <w:numPr>
                <w:ilvl w:val="0"/>
                <w:numId w:val="15"/>
              </w:numPr>
              <w:spacing w:before="120" w:after="120"/>
              <w:contextualSpacing w:val="0"/>
            </w:pPr>
            <w:r>
              <w:t>2 senior lenders: up to US$100 MM</w:t>
            </w:r>
          </w:p>
          <w:p w14:paraId="4F6B25EF" w14:textId="77777777" w:rsidR="00D42F2C" w:rsidRDefault="00D42F2C" w:rsidP="00D42F2C">
            <w:pPr>
              <w:pStyle w:val="ListParagraph"/>
              <w:numPr>
                <w:ilvl w:val="0"/>
                <w:numId w:val="15"/>
              </w:numPr>
              <w:spacing w:before="120" w:after="120"/>
              <w:contextualSpacing w:val="0"/>
            </w:pPr>
            <w:r>
              <w:t>2 mezzanine lenders: up to US$60 MM</w:t>
            </w:r>
          </w:p>
          <w:p w14:paraId="5C9B3211" w14:textId="77777777" w:rsidR="00D42F2C" w:rsidRDefault="00D42F2C" w:rsidP="00D42F2C">
            <w:pPr>
              <w:pStyle w:val="ListParagraph"/>
              <w:numPr>
                <w:ilvl w:val="0"/>
                <w:numId w:val="15"/>
              </w:numPr>
              <w:spacing w:before="120" w:after="120"/>
              <w:contextualSpacing w:val="0"/>
            </w:pPr>
            <w:r>
              <w:t xml:space="preserve">5 junior lenders: up to US$90 MM </w:t>
            </w:r>
          </w:p>
          <w:p w14:paraId="48DC93C3" w14:textId="77777777" w:rsidR="00D42F2C" w:rsidRDefault="00D42F2C" w:rsidP="00DE07F0">
            <w:pPr>
              <w:spacing w:before="120" w:after="120"/>
            </w:pPr>
            <w:r w:rsidRPr="000A2652">
              <w:rPr>
                <w:b/>
                <w:bCs/>
              </w:rPr>
              <w:t>Monaco Lender</w:t>
            </w:r>
            <w:r w:rsidRPr="00CF647C">
              <w:t xml:space="preserve"> </w:t>
            </w:r>
          </w:p>
          <w:p w14:paraId="511D74A8" w14:textId="77777777" w:rsidR="00D42F2C" w:rsidRPr="00CF647C" w:rsidRDefault="00D42F2C" w:rsidP="00D42F2C">
            <w:pPr>
              <w:pStyle w:val="ListParagraph"/>
              <w:numPr>
                <w:ilvl w:val="0"/>
                <w:numId w:val="17"/>
              </w:numPr>
              <w:spacing w:before="120" w:after="120"/>
            </w:pPr>
            <w:r w:rsidRPr="00CF647C">
              <w:t>European bank who lent US</w:t>
            </w:r>
            <w:r>
              <w:t>$100 MM to cover the 2017 season budget</w:t>
            </w:r>
          </w:p>
        </w:tc>
      </w:tr>
      <w:tr w:rsidR="00D42F2C" w:rsidRPr="00CF647C" w14:paraId="560709C5" w14:textId="77777777" w:rsidTr="00DE07F0">
        <w:tc>
          <w:tcPr>
            <w:tcW w:w="1502" w:type="dxa"/>
          </w:tcPr>
          <w:p w14:paraId="1B32D5D2" w14:textId="77777777" w:rsidR="00D42F2C" w:rsidRPr="00C40587" w:rsidRDefault="00D42F2C" w:rsidP="00DE07F0">
            <w:pPr>
              <w:spacing w:before="120" w:after="120"/>
              <w:rPr>
                <w:b/>
                <w:bCs/>
                <w:smallCaps/>
              </w:rPr>
            </w:pPr>
            <w:r w:rsidRPr="00C40587">
              <w:rPr>
                <w:b/>
                <w:bCs/>
                <w:smallCaps/>
              </w:rPr>
              <w:t>Other Creditors</w:t>
            </w:r>
          </w:p>
        </w:tc>
        <w:tc>
          <w:tcPr>
            <w:tcW w:w="9118" w:type="dxa"/>
            <w:gridSpan w:val="3"/>
          </w:tcPr>
          <w:p w14:paraId="08418E91" w14:textId="77777777" w:rsidR="00D42F2C" w:rsidRPr="00CF647C" w:rsidRDefault="00D42F2C" w:rsidP="00DE07F0">
            <w:pPr>
              <w:spacing w:before="120" w:after="120"/>
            </w:pPr>
            <w:r w:rsidRPr="00A31274">
              <w:rPr>
                <w:b/>
                <w:bCs/>
              </w:rPr>
              <w:t>Drivers’</w:t>
            </w:r>
            <w:r>
              <w:t xml:space="preserve"> claims for damages suffered in car crash in the last race of 2023</w:t>
            </w:r>
          </w:p>
        </w:tc>
      </w:tr>
      <w:tr w:rsidR="00D42F2C" w:rsidRPr="00CF647C" w14:paraId="60397C36" w14:textId="77777777" w:rsidTr="00DE07F0">
        <w:tc>
          <w:tcPr>
            <w:tcW w:w="1502" w:type="dxa"/>
          </w:tcPr>
          <w:p w14:paraId="670EB423" w14:textId="77777777" w:rsidR="00D42F2C" w:rsidRPr="00C40587" w:rsidRDefault="00D42F2C" w:rsidP="00DE07F0">
            <w:pPr>
              <w:spacing w:before="120" w:after="120"/>
              <w:rPr>
                <w:b/>
                <w:bCs/>
                <w:smallCaps/>
              </w:rPr>
            </w:pPr>
            <w:r w:rsidRPr="00C40587">
              <w:rPr>
                <w:b/>
                <w:bCs/>
                <w:smallCaps/>
              </w:rPr>
              <w:t>Sponsors</w:t>
            </w:r>
          </w:p>
        </w:tc>
        <w:tc>
          <w:tcPr>
            <w:tcW w:w="9118" w:type="dxa"/>
            <w:gridSpan w:val="3"/>
          </w:tcPr>
          <w:p w14:paraId="3A21A04C" w14:textId="7701DE88" w:rsidR="00D42F2C" w:rsidRDefault="00D42F2C" w:rsidP="00DE07F0">
            <w:pPr>
              <w:spacing w:before="120" w:after="120"/>
            </w:pPr>
            <w:r w:rsidRPr="005673E7">
              <w:rPr>
                <w:b/>
                <w:bCs/>
              </w:rPr>
              <w:t>Kre</w:t>
            </w:r>
            <w:r w:rsidR="000F1343">
              <w:rPr>
                <w:b/>
                <w:bCs/>
              </w:rPr>
              <w:t>tek (Indonesia)</w:t>
            </w:r>
            <w:r>
              <w:t>: current sponsor (sponsorship might terminate at end of 2023 season)</w:t>
            </w:r>
          </w:p>
          <w:p w14:paraId="370F4792" w14:textId="51CEBAB2" w:rsidR="00D42F2C" w:rsidRPr="00CF647C" w:rsidRDefault="00D42F2C" w:rsidP="00DE07F0">
            <w:pPr>
              <w:spacing w:before="120" w:after="120"/>
            </w:pPr>
            <w:proofErr w:type="spellStart"/>
            <w:r w:rsidRPr="005673E7">
              <w:rPr>
                <w:b/>
                <w:bCs/>
              </w:rPr>
              <w:t>KuasaNas</w:t>
            </w:r>
            <w:proofErr w:type="spellEnd"/>
            <w:r w:rsidR="000F1343">
              <w:rPr>
                <w:b/>
                <w:bCs/>
              </w:rPr>
              <w:t xml:space="preserve"> (Malaysia)</w:t>
            </w:r>
            <w:r>
              <w:t>: potential sponsorship starting in 2024</w:t>
            </w:r>
          </w:p>
        </w:tc>
      </w:tr>
      <w:tr w:rsidR="00D42F2C" w:rsidRPr="00CF647C" w14:paraId="22A8174C" w14:textId="77777777" w:rsidTr="00DE07F0">
        <w:tc>
          <w:tcPr>
            <w:tcW w:w="1502" w:type="dxa"/>
          </w:tcPr>
          <w:p w14:paraId="185F0B19" w14:textId="77777777" w:rsidR="00D42F2C" w:rsidRPr="00C40587" w:rsidRDefault="00D42F2C" w:rsidP="00DE07F0">
            <w:pPr>
              <w:spacing w:before="120" w:after="120"/>
              <w:rPr>
                <w:b/>
                <w:bCs/>
                <w:smallCaps/>
              </w:rPr>
            </w:pPr>
            <w:r w:rsidRPr="00C40587">
              <w:rPr>
                <w:b/>
                <w:bCs/>
                <w:smallCaps/>
              </w:rPr>
              <w:t>Formula One Group</w:t>
            </w:r>
          </w:p>
        </w:tc>
        <w:tc>
          <w:tcPr>
            <w:tcW w:w="9118" w:type="dxa"/>
            <w:gridSpan w:val="3"/>
          </w:tcPr>
          <w:p w14:paraId="11396BA4" w14:textId="77777777" w:rsidR="00D42F2C" w:rsidRDefault="00D42F2C" w:rsidP="00DE07F0">
            <w:pPr>
              <w:spacing w:before="120" w:after="120"/>
            </w:pPr>
            <w:r>
              <w:t>Formula One Group is the entity that:</w:t>
            </w:r>
          </w:p>
          <w:p w14:paraId="62E336D6" w14:textId="77777777" w:rsidR="00D42F2C" w:rsidRDefault="00D42F2C" w:rsidP="00D42F2C">
            <w:pPr>
              <w:pStyle w:val="ListParagraph"/>
              <w:numPr>
                <w:ilvl w:val="0"/>
                <w:numId w:val="16"/>
              </w:numPr>
              <w:spacing w:before="120" w:after="120"/>
              <w:contextualSpacing w:val="0"/>
            </w:pPr>
            <w:r>
              <w:t>Issues the licenses and permits required to operate of the F1; and</w:t>
            </w:r>
          </w:p>
          <w:p w14:paraId="55546B60" w14:textId="29402F93" w:rsidR="00D42F2C" w:rsidRPr="00CF647C" w:rsidRDefault="00D42F2C" w:rsidP="00613D75">
            <w:pPr>
              <w:pStyle w:val="ListParagraph"/>
              <w:numPr>
                <w:ilvl w:val="0"/>
                <w:numId w:val="16"/>
              </w:numPr>
              <w:spacing w:before="120" w:after="120"/>
              <w:contextualSpacing w:val="0"/>
            </w:pPr>
            <w:r>
              <w:t xml:space="preserve">Pays to each F1 team, including Team Maximov, their share in the broadcasting rights. </w:t>
            </w:r>
          </w:p>
        </w:tc>
      </w:tr>
      <w:tr w:rsidR="00D42F2C" w:rsidRPr="00CF647C" w14:paraId="025B4237" w14:textId="77777777" w:rsidTr="00DE07F0">
        <w:tc>
          <w:tcPr>
            <w:tcW w:w="1502" w:type="dxa"/>
          </w:tcPr>
          <w:p w14:paraId="259274C9" w14:textId="77777777" w:rsidR="00D42F2C" w:rsidRPr="00C40587" w:rsidRDefault="00D42F2C" w:rsidP="00DE07F0">
            <w:pPr>
              <w:spacing w:before="120" w:after="120"/>
              <w:rPr>
                <w:b/>
                <w:bCs/>
                <w:smallCaps/>
              </w:rPr>
            </w:pPr>
          </w:p>
        </w:tc>
        <w:tc>
          <w:tcPr>
            <w:tcW w:w="9118" w:type="dxa"/>
            <w:gridSpan w:val="3"/>
          </w:tcPr>
          <w:p w14:paraId="7E970301" w14:textId="77777777" w:rsidR="00D42F2C" w:rsidRDefault="00D42F2C" w:rsidP="00DE07F0">
            <w:pPr>
              <w:spacing w:before="120" w:after="120"/>
            </w:pPr>
          </w:p>
        </w:tc>
      </w:tr>
    </w:tbl>
    <w:p w14:paraId="1EF9540F" w14:textId="77777777" w:rsidR="000325D3" w:rsidRDefault="000325D3" w:rsidP="000325D3"/>
    <w:p w14:paraId="1AB71671" w14:textId="77777777" w:rsidR="000325D3" w:rsidRDefault="000325D3" w:rsidP="000325D3"/>
    <w:p w14:paraId="7CE49D60" w14:textId="77777777" w:rsidR="000325D3" w:rsidRDefault="000325D3" w:rsidP="000325D3"/>
    <w:p w14:paraId="69767225" w14:textId="77777777" w:rsidR="000325D3" w:rsidRDefault="000325D3" w:rsidP="000325D3"/>
    <w:p w14:paraId="0005E277" w14:textId="77777777" w:rsidR="000325D3" w:rsidRDefault="000325D3" w:rsidP="000325D3"/>
    <w:p w14:paraId="7CCDADB8" w14:textId="77777777" w:rsidR="000325D3" w:rsidRDefault="000325D3" w:rsidP="000325D3">
      <w:r>
        <w:t xml:space="preserve"> </w:t>
      </w:r>
    </w:p>
    <w:p w14:paraId="2FD1CE08" w14:textId="77777777" w:rsidR="000325D3" w:rsidRPr="00CA684F" w:rsidRDefault="000325D3" w:rsidP="00F707AF">
      <w:pPr>
        <w:pStyle w:val="ListParagraph"/>
        <w:jc w:val="both"/>
        <w:rPr>
          <w:rFonts w:ascii="Arial" w:hAnsi="Arial" w:cs="Arial"/>
          <w:b/>
          <w:bCs/>
          <w:iCs/>
          <w:lang w:val="en-GB"/>
        </w:rPr>
      </w:pPr>
    </w:p>
    <w:p w14:paraId="583215D0" w14:textId="77777777" w:rsidR="00984290" w:rsidRPr="00B721F3" w:rsidRDefault="00984290">
      <w:pPr>
        <w:rPr>
          <w:lang w:val="en-GB"/>
        </w:rPr>
      </w:pPr>
    </w:p>
    <w:sectPr w:rsidR="00984290" w:rsidRPr="00B721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D66EB" w14:textId="77777777" w:rsidR="00F62040" w:rsidRDefault="00F62040" w:rsidP="000031FA">
      <w:pPr>
        <w:spacing w:after="0" w:line="240" w:lineRule="auto"/>
      </w:pPr>
      <w:r>
        <w:separator/>
      </w:r>
    </w:p>
  </w:endnote>
  <w:endnote w:type="continuationSeparator" w:id="0">
    <w:p w14:paraId="3CF72D45" w14:textId="77777777" w:rsidR="00F62040" w:rsidRDefault="00F62040" w:rsidP="0000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2624523"/>
      <w:docPartObj>
        <w:docPartGallery w:val="Page Numbers (Bottom of Page)"/>
        <w:docPartUnique/>
      </w:docPartObj>
    </w:sdtPr>
    <w:sdtEndPr>
      <w:rPr>
        <w:noProof/>
      </w:rPr>
    </w:sdtEndPr>
    <w:sdtContent>
      <w:p w14:paraId="7144AE33" w14:textId="4B84D90E" w:rsidR="00613D75" w:rsidRDefault="00613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9E378" w14:textId="77777777" w:rsidR="00613D75" w:rsidRDefault="0061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BE69D" w14:textId="77777777" w:rsidR="00F62040" w:rsidRDefault="00F62040" w:rsidP="000031FA">
      <w:pPr>
        <w:spacing w:after="0" w:line="240" w:lineRule="auto"/>
      </w:pPr>
      <w:r>
        <w:separator/>
      </w:r>
    </w:p>
  </w:footnote>
  <w:footnote w:type="continuationSeparator" w:id="0">
    <w:p w14:paraId="3F0BF103" w14:textId="77777777" w:rsidR="00F62040" w:rsidRDefault="00F62040" w:rsidP="000031FA">
      <w:pPr>
        <w:spacing w:after="0" w:line="240" w:lineRule="auto"/>
      </w:pPr>
      <w:r>
        <w:continuationSeparator/>
      </w:r>
    </w:p>
  </w:footnote>
  <w:footnote w:id="1">
    <w:p w14:paraId="6306E541" w14:textId="5BF81BDA" w:rsidR="00A74F64" w:rsidRDefault="00A74F64" w:rsidP="0098496D">
      <w:pPr>
        <w:pStyle w:val="FootnoteText"/>
        <w:jc w:val="both"/>
      </w:pPr>
      <w:r>
        <w:rPr>
          <w:rStyle w:val="FootnoteReference"/>
        </w:rPr>
        <w:footnoteRef/>
      </w:r>
      <w:r>
        <w:t xml:space="preserve"> </w:t>
      </w:r>
      <w:r w:rsidR="002D36DE">
        <w:t xml:space="preserve">Act on the </w:t>
      </w:r>
      <w:r w:rsidR="00752911">
        <w:t>C</w:t>
      </w:r>
      <w:r w:rsidR="002D36DE">
        <w:t xml:space="preserve">onfirmation of </w:t>
      </w:r>
      <w:r w:rsidR="00752911">
        <w:t>P</w:t>
      </w:r>
      <w:r w:rsidR="002D36DE">
        <w:t xml:space="preserve">rivate </w:t>
      </w:r>
      <w:r w:rsidR="00752911">
        <w:t>R</w:t>
      </w:r>
      <w:r w:rsidR="002D36DE">
        <w:t xml:space="preserve">estructuring </w:t>
      </w:r>
      <w:r w:rsidR="00752911">
        <w:t>P</w:t>
      </w:r>
      <w:r w:rsidR="002D36DE">
        <w:t>lans (Wet homologatie onderhands akkoord or WHOA),</w:t>
      </w:r>
      <w:r w:rsidR="00F444D4">
        <w:t xml:space="preserve"> </w:t>
      </w:r>
      <w:r w:rsidR="002D36DE">
        <w:t xml:space="preserve">entered into force </w:t>
      </w:r>
      <w:r w:rsidR="00752911" w:rsidRPr="00752911">
        <w:t>on 1 January 2021</w:t>
      </w:r>
      <w:r w:rsidR="00752911">
        <w:t>.</w:t>
      </w:r>
    </w:p>
  </w:footnote>
  <w:footnote w:id="2">
    <w:p w14:paraId="46F4DF3F" w14:textId="77777777" w:rsidR="00537BB2" w:rsidRPr="008B7F12" w:rsidRDefault="00537BB2" w:rsidP="0098496D">
      <w:pPr>
        <w:pStyle w:val="FootnoteText"/>
        <w:jc w:val="both"/>
        <w:rPr>
          <w:rFonts w:cstheme="minorHAnsi"/>
        </w:rPr>
      </w:pPr>
      <w:r w:rsidRPr="008B7F12">
        <w:rPr>
          <w:rStyle w:val="FootnoteReference"/>
          <w:rFonts w:cstheme="minorHAnsi"/>
        </w:rPr>
        <w:footnoteRef/>
      </w:r>
      <w:r w:rsidRPr="008B7F12">
        <w:rPr>
          <w:rFonts w:cstheme="minorHAnsi"/>
        </w:rPr>
        <w:t xml:space="preserve"> Rb. Noord-Holland 19 February 2021, ECLI:</w:t>
      </w:r>
      <w:r w:rsidRPr="008B7F12">
        <w:rPr>
          <w:rFonts w:cstheme="minorHAnsi"/>
        </w:rPr>
        <w:t>NL:RBNHO:2021:1398 (</w:t>
      </w:r>
      <w:r w:rsidRPr="008B7F12">
        <w:rPr>
          <w:rFonts w:cstheme="minorHAnsi"/>
        </w:rPr>
        <w:t>Jurlights).</w:t>
      </w:r>
    </w:p>
  </w:footnote>
  <w:footnote w:id="3">
    <w:p w14:paraId="39238277" w14:textId="150AB3FB" w:rsidR="00087F3C" w:rsidRDefault="00087F3C" w:rsidP="0098496D">
      <w:pPr>
        <w:pStyle w:val="FootnoteText"/>
        <w:jc w:val="both"/>
      </w:pPr>
      <w:r>
        <w:rPr>
          <w:rStyle w:val="FootnoteReference"/>
        </w:rPr>
        <w:footnoteRef/>
      </w:r>
      <w:r>
        <w:t xml:space="preserve"> </w:t>
      </w:r>
      <w:r w:rsidRPr="00243C40">
        <w:t>Regulation (EU) 2015/848 of the European Parliament and of the Council of 20 May 2015 on insolvency proceedings (recast)</w:t>
      </w:r>
      <w:r>
        <w:t xml:space="preserve"> and </w:t>
      </w:r>
      <w:r w:rsidR="00621580" w:rsidRPr="00621580">
        <w:t>Regulation (EU) 2021/2260 of 15 December 2021 (Amendment Regulation)</w:t>
      </w:r>
      <w:r w:rsidR="00621580">
        <w:t>.</w:t>
      </w:r>
    </w:p>
  </w:footnote>
  <w:footnote w:id="4">
    <w:p w14:paraId="3E624FF3" w14:textId="2942B53F" w:rsidR="00DB1EBC" w:rsidRDefault="00DB1EBC" w:rsidP="0098496D">
      <w:pPr>
        <w:pStyle w:val="FootnoteText"/>
        <w:jc w:val="both"/>
      </w:pPr>
      <w:r>
        <w:rPr>
          <w:rStyle w:val="FootnoteReference"/>
        </w:rPr>
        <w:footnoteRef/>
      </w:r>
      <w:r>
        <w:t xml:space="preserve"> </w:t>
      </w:r>
      <w:r w:rsidRPr="00DB1EBC">
        <w:t xml:space="preserve">The </w:t>
      </w:r>
      <w:r w:rsidR="00FC7791">
        <w:t xml:space="preserve">Amsterdam court </w:t>
      </w:r>
      <w:r w:rsidRPr="00DB1EBC">
        <w:t>judgment opening insolvency proceedings shall specify the grounds on which the</w:t>
      </w:r>
      <w:r w:rsidR="00FC7791">
        <w:t xml:space="preserve"> </w:t>
      </w:r>
      <w:r w:rsidRPr="00DB1EBC">
        <w:t>jurisdiction of the court is based, and</w:t>
      </w:r>
      <w:r w:rsidRPr="00DB1EBC">
        <w:t xml:space="preserve">, in particular, whether jurisdiction is based on Article 3(1) </w:t>
      </w:r>
      <w:r w:rsidR="00FC7791">
        <w:t>of the EIR</w:t>
      </w:r>
      <w:r w:rsidRPr="00DB1EBC">
        <w:t>.</w:t>
      </w:r>
    </w:p>
  </w:footnote>
  <w:footnote w:id="5">
    <w:p w14:paraId="017BA88F" w14:textId="438BC0A9" w:rsidR="00346013" w:rsidRDefault="00346013">
      <w:pPr>
        <w:pStyle w:val="FootnoteText"/>
      </w:pPr>
      <w:r>
        <w:rPr>
          <w:rStyle w:val="FootnoteReference"/>
        </w:rPr>
        <w:footnoteRef/>
      </w:r>
      <w:r>
        <w:t xml:space="preserve"> P</w:t>
      </w:r>
      <w:r w:rsidRPr="00346013">
        <w:t xml:space="preserve">ursuant to Article 3(2) </w:t>
      </w:r>
      <w:r w:rsidR="004C26C2">
        <w:t xml:space="preserve">and 3(4), last paragraph </w:t>
      </w:r>
      <w:r w:rsidRPr="00346013">
        <w:t>of the EIR in connection with</w:t>
      </w:r>
      <w:r>
        <w:t xml:space="preserve"> Recital 37</w:t>
      </w:r>
      <w:r w:rsidR="00E32E14">
        <w:t>, EIR.</w:t>
      </w:r>
    </w:p>
  </w:footnote>
  <w:footnote w:id="6">
    <w:p w14:paraId="48C9FD2E" w14:textId="4DBD6BC4" w:rsidR="00E13E02" w:rsidRDefault="00E13E02">
      <w:pPr>
        <w:pStyle w:val="FootnoteText"/>
      </w:pPr>
      <w:r>
        <w:rPr>
          <w:rStyle w:val="FootnoteReference"/>
        </w:rPr>
        <w:footnoteRef/>
      </w:r>
      <w:r>
        <w:t xml:space="preserve"> </w:t>
      </w:r>
      <w:r w:rsidR="009A13F4">
        <w:t>P</w:t>
      </w:r>
      <w:r w:rsidR="009A13F4" w:rsidRPr="009A13F4">
        <w:t>rovided</w:t>
      </w:r>
      <w:r w:rsidR="009A13F4">
        <w:t xml:space="preserve"> that the requirement Article</w:t>
      </w:r>
      <w:r w:rsidR="009A13F4" w:rsidRPr="009A13F4">
        <w:t xml:space="preserve"> 372 DBA are met, one plan may suffice</w:t>
      </w:r>
      <w:r w:rsidR="009A13F4">
        <w:t xml:space="preserve"> for </w:t>
      </w:r>
      <w:r w:rsidR="003D11C9">
        <w:t>Efwon Trading and Efwon Singapore.</w:t>
      </w:r>
    </w:p>
  </w:footnote>
  <w:footnote w:id="7">
    <w:p w14:paraId="7BEDA73E" w14:textId="4D6B4911" w:rsidR="00A81300" w:rsidRDefault="00A81300" w:rsidP="0098496D">
      <w:pPr>
        <w:pStyle w:val="FootnoteText"/>
        <w:jc w:val="both"/>
      </w:pPr>
      <w:r>
        <w:rPr>
          <w:rStyle w:val="FootnoteReference"/>
        </w:rPr>
        <w:footnoteRef/>
      </w:r>
      <w:r>
        <w:t xml:space="preserve"> </w:t>
      </w:r>
      <w:r w:rsidRPr="00243C40">
        <w:t>Regulation (EU) 2015/848 of the European Parliament and of the Council of 20 May 2015 on insolvency proceedings (recast)</w:t>
      </w:r>
      <w:r>
        <w:t>.</w:t>
      </w:r>
    </w:p>
  </w:footnote>
  <w:footnote w:id="8">
    <w:p w14:paraId="03219155" w14:textId="739C40E6" w:rsidR="00F221C0" w:rsidRDefault="00F221C0" w:rsidP="0098496D">
      <w:pPr>
        <w:pStyle w:val="FootnoteText"/>
        <w:jc w:val="both"/>
      </w:pPr>
      <w:r>
        <w:rPr>
          <w:rStyle w:val="FootnoteReference"/>
        </w:rPr>
        <w:footnoteRef/>
      </w:r>
      <w:r>
        <w:t xml:space="preserve"> </w:t>
      </w:r>
      <w:r w:rsidRPr="00F221C0">
        <w:t xml:space="preserve">Directive (EU) 2019/1023 of the European Parliament and of the Council of 20 June 2019 on preventive restructuring frameworks, on discharge of debt and disqualifications, and on measures to increase the efficiency of procedures concerning restructuring, </w:t>
      </w:r>
      <w:r w:rsidRPr="00F221C0">
        <w:t>insolvency and discharge of debt, and amending Directive (EU) 2017/1132 (Directive on restructuring and insolvency)</w:t>
      </w:r>
      <w:r w:rsidR="00AC6BAC">
        <w:t>.</w:t>
      </w:r>
    </w:p>
  </w:footnote>
  <w:footnote w:id="9">
    <w:p w14:paraId="08A6F05D" w14:textId="053401E6" w:rsidR="00846DF8" w:rsidRDefault="00846DF8" w:rsidP="0098496D">
      <w:pPr>
        <w:pStyle w:val="FootnoteText"/>
        <w:jc w:val="both"/>
      </w:pPr>
      <w:r>
        <w:rPr>
          <w:rStyle w:val="FootnoteReference"/>
        </w:rPr>
        <w:footnoteRef/>
      </w:r>
      <w:r>
        <w:t xml:space="preserve"> </w:t>
      </w:r>
      <w:r w:rsidR="00064AD4" w:rsidRPr="00064AD4">
        <w:t>https://eur-lex.europa.eu/legal-content/EN/TXT/PDF/?uri=CELEX:32015R0848</w:t>
      </w:r>
    </w:p>
  </w:footnote>
  <w:footnote w:id="10">
    <w:p w14:paraId="6C53B05E" w14:textId="335BE386" w:rsidR="00AD3728" w:rsidRDefault="00AD3728" w:rsidP="0098496D">
      <w:pPr>
        <w:pStyle w:val="FootnoteText"/>
        <w:jc w:val="both"/>
      </w:pPr>
      <w:r>
        <w:rPr>
          <w:rStyle w:val="FootnoteReference"/>
        </w:rPr>
        <w:footnoteRef/>
      </w:r>
      <w:r>
        <w:t xml:space="preserve"> </w:t>
      </w:r>
      <w:r w:rsidR="00DF1C34" w:rsidRPr="00A55E29">
        <w:rPr>
          <w:i/>
          <w:iCs/>
        </w:rPr>
        <w:t>See</w:t>
      </w:r>
      <w:r w:rsidR="00DF1C34" w:rsidRPr="00DF1C34">
        <w:t xml:space="preserve"> https://www.simmons-simmons.com/en/publications/cky2qoe0o150m0a90i5zb334u/amendment-of-the-recast-european-insolvency-regulation.</w:t>
      </w:r>
    </w:p>
  </w:footnote>
  <w:footnote w:id="11">
    <w:p w14:paraId="5029DD7D" w14:textId="4D6BAF49" w:rsidR="006F2177" w:rsidRDefault="006F2177" w:rsidP="0098496D">
      <w:pPr>
        <w:pStyle w:val="FootnoteText"/>
        <w:jc w:val="both"/>
      </w:pPr>
      <w:r>
        <w:rPr>
          <w:rStyle w:val="FootnoteReference"/>
        </w:rPr>
        <w:footnoteRef/>
      </w:r>
      <w:r>
        <w:t xml:space="preserve"> </w:t>
      </w:r>
      <w:r w:rsidR="00FB6C9B" w:rsidRPr="00FB6C9B">
        <w:t>Article 3(1) EIR.</w:t>
      </w:r>
    </w:p>
  </w:footnote>
  <w:footnote w:id="12">
    <w:p w14:paraId="2BD233DA" w14:textId="563CA584" w:rsidR="005721A7" w:rsidRPr="007E089F" w:rsidRDefault="005721A7" w:rsidP="0098496D">
      <w:pPr>
        <w:pStyle w:val="FootnoteText"/>
        <w:jc w:val="both"/>
      </w:pPr>
      <w:r>
        <w:rPr>
          <w:rStyle w:val="FootnoteReference"/>
        </w:rPr>
        <w:footnoteRef/>
      </w:r>
      <w:r w:rsidRPr="007E089F">
        <w:t xml:space="preserve"> Article </w:t>
      </w:r>
      <w:r w:rsidR="00A55E29" w:rsidRPr="007E089F">
        <w:t>2(10) EIR.</w:t>
      </w:r>
    </w:p>
  </w:footnote>
  <w:footnote w:id="13">
    <w:p w14:paraId="3CDD281A" w14:textId="6C7824A7" w:rsidR="00341BC3" w:rsidRPr="007E089F" w:rsidRDefault="00341BC3" w:rsidP="0098496D">
      <w:pPr>
        <w:pStyle w:val="FootnoteText"/>
        <w:jc w:val="both"/>
      </w:pPr>
      <w:r>
        <w:rPr>
          <w:rStyle w:val="FootnoteReference"/>
        </w:rPr>
        <w:footnoteRef/>
      </w:r>
      <w:r w:rsidRPr="007E089F">
        <w:t xml:space="preserve"> Recital </w:t>
      </w:r>
      <w:r w:rsidR="009E1DC1" w:rsidRPr="007E089F">
        <w:t>23 EIR.</w:t>
      </w:r>
    </w:p>
  </w:footnote>
  <w:footnote w:id="14">
    <w:p w14:paraId="7BB69064" w14:textId="29F5DDC8" w:rsidR="00C74012" w:rsidRPr="007E089F" w:rsidRDefault="00C74012" w:rsidP="0098496D">
      <w:pPr>
        <w:pStyle w:val="FootnoteText"/>
        <w:jc w:val="both"/>
      </w:pPr>
      <w:r>
        <w:rPr>
          <w:rStyle w:val="FootnoteReference"/>
        </w:rPr>
        <w:footnoteRef/>
      </w:r>
      <w:r w:rsidRPr="007E089F">
        <w:t xml:space="preserve"> Recital </w:t>
      </w:r>
      <w:r w:rsidR="00C74BC3" w:rsidRPr="007E089F">
        <w:t>37 EIR.</w:t>
      </w:r>
    </w:p>
  </w:footnote>
  <w:footnote w:id="15">
    <w:p w14:paraId="3AC71A06" w14:textId="6619E259" w:rsidR="00DC0D2C" w:rsidRDefault="00DC0D2C" w:rsidP="0098496D">
      <w:pPr>
        <w:pStyle w:val="FootnoteText"/>
        <w:jc w:val="both"/>
      </w:pPr>
      <w:r>
        <w:rPr>
          <w:rStyle w:val="FootnoteReference"/>
        </w:rPr>
        <w:footnoteRef/>
      </w:r>
      <w:r>
        <w:t xml:space="preserve"> </w:t>
      </w:r>
      <w:r w:rsidR="003670CD">
        <w:t xml:space="preserve">Article 3(4), last paragraph. </w:t>
      </w:r>
    </w:p>
  </w:footnote>
  <w:footnote w:id="16">
    <w:p w14:paraId="5A03CA38" w14:textId="68A6344A" w:rsidR="001B5526" w:rsidRPr="003670CD" w:rsidRDefault="001B5526" w:rsidP="0098496D">
      <w:pPr>
        <w:pStyle w:val="FootnoteText"/>
        <w:jc w:val="both"/>
      </w:pPr>
      <w:r>
        <w:rPr>
          <w:rStyle w:val="FootnoteReference"/>
        </w:rPr>
        <w:footnoteRef/>
      </w:r>
      <w:r w:rsidRPr="003670CD">
        <w:t xml:space="preserve"> </w:t>
      </w:r>
      <w:r w:rsidR="0030176A" w:rsidRPr="003670CD">
        <w:t>Recital 15 EIR.</w:t>
      </w:r>
    </w:p>
  </w:footnote>
  <w:footnote w:id="17">
    <w:p w14:paraId="1BFFF174" w14:textId="61B1D606" w:rsidR="004C0BEF" w:rsidRDefault="004C0BEF" w:rsidP="0098496D">
      <w:pPr>
        <w:pStyle w:val="FootnoteText"/>
        <w:jc w:val="both"/>
      </w:pPr>
      <w:r>
        <w:rPr>
          <w:rStyle w:val="FootnoteReference"/>
        </w:rPr>
        <w:footnoteRef/>
      </w:r>
      <w:r>
        <w:t xml:space="preserve"> </w:t>
      </w:r>
      <w:r w:rsidRPr="004C0BEF">
        <w:t xml:space="preserve">The </w:t>
      </w:r>
      <w:r w:rsidRPr="004C0BEF">
        <w:t>Eurofood judgment, ECJ 2 May 2006, C-341/04, ECLI/281</w:t>
      </w:r>
      <w:r w:rsidR="00A8284A">
        <w:t>.</w:t>
      </w:r>
    </w:p>
  </w:footnote>
  <w:footnote w:id="18">
    <w:p w14:paraId="2D25098B" w14:textId="310E1EBE" w:rsidR="00A2373A" w:rsidRDefault="00A2373A" w:rsidP="0098496D">
      <w:pPr>
        <w:pStyle w:val="FootnoteText"/>
        <w:jc w:val="both"/>
      </w:pPr>
      <w:r>
        <w:rPr>
          <w:rStyle w:val="FootnoteReference"/>
        </w:rPr>
        <w:footnoteRef/>
      </w:r>
      <w:r>
        <w:t xml:space="preserve"> </w:t>
      </w:r>
      <w:r w:rsidR="00D66082" w:rsidRPr="00D66082">
        <w:t>Paragraphs 29-30.</w:t>
      </w:r>
    </w:p>
  </w:footnote>
  <w:footnote w:id="19">
    <w:p w14:paraId="31559EB9" w14:textId="567A4AD9" w:rsidR="00F05493" w:rsidRDefault="00F05493" w:rsidP="0098496D">
      <w:pPr>
        <w:pStyle w:val="FootnoteText"/>
        <w:jc w:val="both"/>
      </w:pPr>
      <w:r>
        <w:rPr>
          <w:rStyle w:val="FootnoteReference"/>
        </w:rPr>
        <w:footnoteRef/>
      </w:r>
      <w:r>
        <w:t xml:space="preserve"> </w:t>
      </w:r>
      <w:r w:rsidR="00CF0B30" w:rsidRPr="00CF0B30">
        <w:t>Paragraph 36.</w:t>
      </w:r>
    </w:p>
  </w:footnote>
  <w:footnote w:id="20">
    <w:p w14:paraId="4E2891F2" w14:textId="763E1304" w:rsidR="006807A8" w:rsidRPr="007E089F" w:rsidRDefault="006807A8" w:rsidP="0098496D">
      <w:pPr>
        <w:pStyle w:val="FootnoteText"/>
        <w:jc w:val="both"/>
      </w:pPr>
      <w:r>
        <w:rPr>
          <w:rStyle w:val="FootnoteReference"/>
        </w:rPr>
        <w:footnoteRef/>
      </w:r>
      <w:r w:rsidRPr="007E089F">
        <w:t xml:space="preserve"> ECJ 20 October 2011, C-396/09, ECLI:EU:C:2011:671, </w:t>
      </w:r>
      <w:r w:rsidRPr="007E089F">
        <w:rPr>
          <w:i/>
          <w:iCs/>
        </w:rPr>
        <w:t>Interedil v Intesa</w:t>
      </w:r>
      <w:r w:rsidRPr="007E089F">
        <w:t>.</w:t>
      </w:r>
    </w:p>
  </w:footnote>
  <w:footnote w:id="21">
    <w:p w14:paraId="2A71861E" w14:textId="6FCE00BF" w:rsidR="00CC5E19" w:rsidRPr="007E089F" w:rsidRDefault="00CC5E19" w:rsidP="0098496D">
      <w:pPr>
        <w:pStyle w:val="FootnoteText"/>
        <w:jc w:val="both"/>
      </w:pPr>
      <w:r>
        <w:rPr>
          <w:rStyle w:val="FootnoteReference"/>
        </w:rPr>
        <w:footnoteRef/>
      </w:r>
      <w:r w:rsidRPr="007E089F">
        <w:t xml:space="preserve"> </w:t>
      </w:r>
      <w:r w:rsidRPr="00FB6C9B">
        <w:t>Article 3(1) EIR</w:t>
      </w:r>
      <w:r>
        <w:t xml:space="preserve"> recast</w:t>
      </w:r>
      <w:r w:rsidRPr="00FB6C9B">
        <w:t>.</w:t>
      </w:r>
    </w:p>
  </w:footnote>
  <w:footnote w:id="22">
    <w:p w14:paraId="5EF15FA1" w14:textId="7B972076" w:rsidR="00853465" w:rsidRPr="007E089F" w:rsidRDefault="00853465" w:rsidP="0098496D">
      <w:pPr>
        <w:pStyle w:val="FootnoteText"/>
        <w:jc w:val="both"/>
      </w:pPr>
      <w:r>
        <w:rPr>
          <w:rStyle w:val="FootnoteReference"/>
        </w:rPr>
        <w:footnoteRef/>
      </w:r>
      <w:r w:rsidRPr="007E089F">
        <w:t xml:space="preserve"> https://uncitral.un.org/en/texts/insolvency/modellaw/cross-border_insolvency</w:t>
      </w:r>
    </w:p>
  </w:footnote>
  <w:footnote w:id="23">
    <w:p w14:paraId="4678124E" w14:textId="77777777" w:rsidR="00111394" w:rsidRPr="007E089F" w:rsidRDefault="00111394" w:rsidP="0098496D">
      <w:pPr>
        <w:pStyle w:val="FootnoteText"/>
        <w:jc w:val="both"/>
        <w:rPr>
          <w:rFonts w:cstheme="minorHAnsi"/>
        </w:rPr>
      </w:pPr>
      <w:r w:rsidRPr="008B7F12">
        <w:rPr>
          <w:rStyle w:val="FootnoteReference"/>
          <w:rFonts w:cstheme="minorHAnsi"/>
        </w:rPr>
        <w:footnoteRef/>
      </w:r>
      <w:r w:rsidRPr="007E089F">
        <w:rPr>
          <w:rFonts w:cstheme="minorHAnsi"/>
        </w:rPr>
        <w:t xml:space="preserve"> https://uncitral.un.org/en/texts/insolvency/modellaw/cross-border_insolvency/status</w:t>
      </w:r>
    </w:p>
  </w:footnote>
  <w:footnote w:id="24">
    <w:p w14:paraId="4510A697" w14:textId="36F1A2D0" w:rsidR="00DB19C0" w:rsidRDefault="00DB19C0" w:rsidP="0098496D">
      <w:pPr>
        <w:pStyle w:val="FootnoteText"/>
        <w:jc w:val="both"/>
      </w:pPr>
      <w:r>
        <w:rPr>
          <w:rStyle w:val="FootnoteReference"/>
        </w:rPr>
        <w:footnoteRef/>
      </w:r>
      <w:r>
        <w:t xml:space="preserve"> </w:t>
      </w:r>
      <w:r w:rsidR="00B347FD" w:rsidRPr="00B347FD">
        <w:t>Articles 2(b), (c), (f), 17(2)</w:t>
      </w:r>
      <w:r w:rsidR="009E4687">
        <w:t xml:space="preserve">, </w:t>
      </w:r>
      <w:r w:rsidR="009E4687" w:rsidRPr="00B347FD">
        <w:t>Model Law</w:t>
      </w:r>
      <w:r w:rsidR="009E4687">
        <w:t>.</w:t>
      </w:r>
    </w:p>
  </w:footnote>
  <w:footnote w:id="25">
    <w:p w14:paraId="6FE49D59" w14:textId="7A5B3894" w:rsidR="002F0A8C" w:rsidRDefault="002F0A8C" w:rsidP="0098496D">
      <w:pPr>
        <w:pStyle w:val="FootnoteText"/>
        <w:jc w:val="both"/>
      </w:pPr>
      <w:r>
        <w:rPr>
          <w:rStyle w:val="FootnoteReference"/>
        </w:rPr>
        <w:footnoteRef/>
      </w:r>
      <w:r>
        <w:t xml:space="preserve"> </w:t>
      </w:r>
      <w:r w:rsidR="009E4687">
        <w:t>A</w:t>
      </w:r>
      <w:r w:rsidR="009E4687" w:rsidRPr="009E4687">
        <w:t>rticle 16, chapter 15 §1516</w:t>
      </w:r>
      <w:r w:rsidR="009E4687">
        <w:t xml:space="preserve">, </w:t>
      </w:r>
      <w:r w:rsidR="009E4687" w:rsidRPr="009E4687">
        <w:t>Model Law</w:t>
      </w:r>
      <w:r w:rsidR="009E4687">
        <w:t>.</w:t>
      </w:r>
    </w:p>
  </w:footnote>
  <w:footnote w:id="26">
    <w:p w14:paraId="373EF5DA" w14:textId="53CD3D7F" w:rsidR="0085683B" w:rsidRDefault="0085683B" w:rsidP="0098496D">
      <w:pPr>
        <w:pStyle w:val="FootnoteText"/>
        <w:jc w:val="both"/>
      </w:pPr>
      <w:r>
        <w:rPr>
          <w:rStyle w:val="FootnoteReference"/>
        </w:rPr>
        <w:footnoteRef/>
      </w:r>
      <w:r>
        <w:t xml:space="preserve"> </w:t>
      </w:r>
      <w:r w:rsidRPr="0085683B">
        <w:t>11 U.S.C. §§1501-1532.</w:t>
      </w:r>
    </w:p>
  </w:footnote>
  <w:footnote w:id="27">
    <w:p w14:paraId="3BC37776" w14:textId="367C7A2D" w:rsidR="005250F0" w:rsidRPr="007E089F" w:rsidRDefault="005250F0" w:rsidP="0098496D">
      <w:pPr>
        <w:pStyle w:val="FootnoteText"/>
        <w:jc w:val="both"/>
      </w:pPr>
      <w:r>
        <w:rPr>
          <w:rStyle w:val="FootnoteReference"/>
        </w:rPr>
        <w:footnoteRef/>
      </w:r>
      <w:r>
        <w:t xml:space="preserve"> </w:t>
      </w:r>
      <w:r w:rsidRPr="005250F0">
        <w:t>In In re OAS S.A., 533 B.R. 83 (</w:t>
      </w:r>
      <w:r w:rsidRPr="005250F0">
        <w:t xml:space="preserve">Bankr. </w:t>
      </w:r>
      <w:r w:rsidRPr="007E089F">
        <w:t>S.D.N.Y. 2015).</w:t>
      </w:r>
    </w:p>
  </w:footnote>
  <w:footnote w:id="28">
    <w:p w14:paraId="30E3844B" w14:textId="2012CA14" w:rsidR="008228EF" w:rsidRDefault="008228EF" w:rsidP="0098496D">
      <w:pPr>
        <w:pStyle w:val="FootnoteText"/>
        <w:jc w:val="both"/>
      </w:pPr>
      <w:r>
        <w:rPr>
          <w:rStyle w:val="FootnoteReference"/>
        </w:rPr>
        <w:footnoteRef/>
      </w:r>
      <w:r>
        <w:t xml:space="preserve"> </w:t>
      </w:r>
      <w:r w:rsidRPr="008228EF">
        <w:t>Article 6</w:t>
      </w:r>
      <w:r>
        <w:t>, Singapore Model Law.</w:t>
      </w:r>
    </w:p>
  </w:footnote>
  <w:footnote w:id="29">
    <w:p w14:paraId="757E00E5" w14:textId="0D413F7C" w:rsidR="00DA378D" w:rsidRDefault="00DA378D" w:rsidP="0098496D">
      <w:pPr>
        <w:pStyle w:val="FootnoteText"/>
        <w:jc w:val="both"/>
      </w:pPr>
      <w:r>
        <w:rPr>
          <w:rStyle w:val="FootnoteReference"/>
        </w:rPr>
        <w:footnoteRef/>
      </w:r>
      <w:r>
        <w:t xml:space="preserve"> </w:t>
      </w:r>
      <w:r w:rsidRPr="00DA378D">
        <w:t>https://www.jonesday.com/en/insights/2024/03/singapore-international-commercial-court-issues-first-decision-on-recognition-of-crossborder-bankruptcy-cases-under-mode</w:t>
      </w:r>
      <w:r>
        <w:t>.</w:t>
      </w:r>
    </w:p>
  </w:footnote>
  <w:footnote w:id="30">
    <w:p w14:paraId="38769B04" w14:textId="39EB782B" w:rsidR="00FA68BF" w:rsidRPr="008228EF" w:rsidRDefault="00FA68BF" w:rsidP="0098496D">
      <w:pPr>
        <w:pStyle w:val="FootnoteText"/>
        <w:jc w:val="both"/>
      </w:pPr>
      <w:r>
        <w:rPr>
          <w:rStyle w:val="FootnoteReference"/>
        </w:rPr>
        <w:footnoteRef/>
      </w:r>
      <w:r w:rsidRPr="008228EF">
        <w:t xml:space="preserve"> Recital 53 EIR.</w:t>
      </w:r>
    </w:p>
  </w:footnote>
  <w:footnote w:id="31">
    <w:p w14:paraId="49729CCA" w14:textId="5CE4EF04" w:rsidR="00425786" w:rsidRDefault="00425786">
      <w:pPr>
        <w:pStyle w:val="FootnoteText"/>
      </w:pPr>
      <w:r>
        <w:rPr>
          <w:rStyle w:val="FootnoteReference"/>
        </w:rPr>
        <w:footnoteRef/>
      </w:r>
      <w:r>
        <w:t xml:space="preserve"> Article </w:t>
      </w:r>
      <w:r w:rsidR="00B80313">
        <w:t xml:space="preserve">370(1), WHOA Act. </w:t>
      </w:r>
    </w:p>
  </w:footnote>
  <w:footnote w:id="32">
    <w:p w14:paraId="01511D19" w14:textId="3BC39C78" w:rsidR="004C1E68" w:rsidRDefault="004C1E68">
      <w:pPr>
        <w:pStyle w:val="FootnoteText"/>
      </w:pPr>
      <w:r>
        <w:rPr>
          <w:rStyle w:val="FootnoteReference"/>
        </w:rPr>
        <w:footnoteRef/>
      </w:r>
      <w:r>
        <w:t xml:space="preserve"> This has been the case of the recent WHOA plan </w:t>
      </w:r>
      <w:r w:rsidR="007B17BD">
        <w:t xml:space="preserve">of the </w:t>
      </w:r>
      <w:r w:rsidR="007B17BD" w:rsidRPr="007B17BD">
        <w:t>McDermott Group</w:t>
      </w:r>
      <w:r w:rsidR="007B17BD">
        <w:t xml:space="preserve">, where only the </w:t>
      </w:r>
      <w:r w:rsidR="00AB2766">
        <w:t xml:space="preserve">Dutch B.V. was restructured in the Netherlands, </w:t>
      </w:r>
      <w:r w:rsidR="00211273">
        <w:t xml:space="preserve">in combination with an </w:t>
      </w:r>
      <w:r w:rsidR="00211273" w:rsidRPr="00211273">
        <w:t>English restructuring plan</w:t>
      </w:r>
      <w:r w:rsidR="00211273">
        <w:t xml:space="preserve"> for the UK </w:t>
      </w:r>
      <w:r w:rsidR="00202F6F">
        <w:t xml:space="preserve">group member, </w:t>
      </w:r>
      <w:r w:rsidR="00202F6F" w:rsidRPr="00202F6F">
        <w:t>CB&amp;I UK Limited (CB&amp;I)</w:t>
      </w:r>
      <w:r w:rsidR="00202F6F">
        <w:t>.</w:t>
      </w:r>
      <w:r w:rsidR="00007EC2">
        <w:t xml:space="preserve"> Also, </w:t>
      </w:r>
      <w:r w:rsidR="00D428A0">
        <w:t xml:space="preserve">the recent </w:t>
      </w:r>
      <w:r w:rsidR="00D428A0" w:rsidRPr="00D428A0">
        <w:t>Diebold Nixdorf</w:t>
      </w:r>
      <w:r w:rsidR="00D428A0">
        <w:t xml:space="preserve"> restructuring</w:t>
      </w:r>
      <w:r w:rsidR="003E1729">
        <w:t xml:space="preserve"> included combined</w:t>
      </w:r>
      <w:r w:rsidR="00D428A0">
        <w:t xml:space="preserve"> </w:t>
      </w:r>
      <w:r w:rsidR="001D6744" w:rsidRPr="001D6744">
        <w:t xml:space="preserve">Chapter 11 proceedings in the US (US plan) </w:t>
      </w:r>
      <w:r w:rsidR="003E1729">
        <w:t>and</w:t>
      </w:r>
      <w:r w:rsidR="001D6744" w:rsidRPr="001D6744">
        <w:t xml:space="preserve"> WHOA proceedings in the Netherlands (WHOA plan).</w:t>
      </w:r>
      <w:r w:rsidR="003E1729">
        <w:t xml:space="preserve"> </w:t>
      </w:r>
    </w:p>
  </w:footnote>
  <w:footnote w:id="33">
    <w:p w14:paraId="5E972ECA" w14:textId="15FFDB76" w:rsidR="005954BF" w:rsidRDefault="005954BF">
      <w:pPr>
        <w:pStyle w:val="FootnoteText"/>
      </w:pPr>
      <w:r>
        <w:rPr>
          <w:rStyle w:val="FootnoteReference"/>
        </w:rPr>
        <w:footnoteRef/>
      </w:r>
      <w:r>
        <w:t xml:space="preserve"> The </w:t>
      </w:r>
      <w:r w:rsidR="00733347" w:rsidRPr="00733347">
        <w:t xml:space="preserve">new provisions, included in Chapter V of the EIR </w:t>
      </w:r>
      <w:r w:rsidR="00942EA4">
        <w:t>recast</w:t>
      </w:r>
      <w:r w:rsidR="00733347" w:rsidRPr="00733347">
        <w:t>, are aimed at ensuring the efficient administration of insolvency proceedings</w:t>
      </w:r>
      <w:r w:rsidR="00942EA4">
        <w:t xml:space="preserve"> of groups for the first time.</w:t>
      </w:r>
    </w:p>
  </w:footnote>
  <w:footnote w:id="34">
    <w:p w14:paraId="2053169B" w14:textId="62328A9D" w:rsidR="00606B94" w:rsidRDefault="00606B94">
      <w:pPr>
        <w:pStyle w:val="FootnoteText"/>
      </w:pPr>
      <w:r>
        <w:rPr>
          <w:rStyle w:val="FootnoteReference"/>
        </w:rPr>
        <w:footnoteRef/>
      </w:r>
      <w:r>
        <w:t xml:space="preserve"> </w:t>
      </w:r>
      <w:r w:rsidRPr="00606B94">
        <w:t>A restructuring procedure for companies in financial difficulty</w:t>
      </w:r>
      <w:r w:rsidR="009E25C7">
        <w:t>,</w:t>
      </w:r>
      <w:r w:rsidRPr="00606B94">
        <w:t xml:space="preserve"> operative provisions are contained in Part 26A </w:t>
      </w:r>
      <w:r w:rsidR="009E25C7">
        <w:t>of</w:t>
      </w:r>
      <w:r w:rsidRPr="00606B94">
        <w:t xml:space="preserve"> the </w:t>
      </w:r>
      <w:r w:rsidR="009E25C7">
        <w:t xml:space="preserve">UK </w:t>
      </w:r>
      <w:r w:rsidRPr="00606B94">
        <w:t>Companies Act 2006</w:t>
      </w:r>
      <w:r w:rsidR="009E25C7">
        <w:t>.</w:t>
      </w:r>
    </w:p>
  </w:footnote>
  <w:footnote w:id="35">
    <w:p w14:paraId="5A2D8AD0" w14:textId="77777777" w:rsidR="00C47777" w:rsidRPr="008B7F12" w:rsidRDefault="00C47777" w:rsidP="00C47777">
      <w:pPr>
        <w:pStyle w:val="FootnoteText"/>
        <w:jc w:val="both"/>
        <w:rPr>
          <w:rFonts w:cstheme="minorHAnsi"/>
        </w:rPr>
      </w:pPr>
      <w:r w:rsidRPr="008B7F12">
        <w:rPr>
          <w:rStyle w:val="FootnoteReference"/>
          <w:rFonts w:cstheme="minorHAnsi"/>
        </w:rPr>
        <w:footnoteRef/>
      </w:r>
      <w:r w:rsidRPr="008B7F12">
        <w:rPr>
          <w:rFonts w:cstheme="minorHAnsi"/>
        </w:rPr>
        <w:t xml:space="preserve"> Katharina </w:t>
      </w:r>
      <w:r w:rsidRPr="008B7F12">
        <w:rPr>
          <w:rFonts w:cstheme="minorHAnsi"/>
        </w:rPr>
        <w:t>Crinson &amp; Nicholas Cooper, Ouch, it’s a hard Brexit for UK restructuring and insolvency – but life goes on (Freshfields Bruckhaus Deringer 2021), https://transactions.freshfields.com/post/102gof4/ouch-its-a-hard-brexit-for-uk-restructuring-and-insolvency-but-life-goes-on (last visited 5 October 2021).</w:t>
      </w:r>
    </w:p>
  </w:footnote>
  <w:footnote w:id="36">
    <w:p w14:paraId="359DA429" w14:textId="1C7E1D6F" w:rsidR="000260B4" w:rsidRDefault="000260B4">
      <w:pPr>
        <w:pStyle w:val="FootnoteText"/>
      </w:pPr>
      <w:r>
        <w:rPr>
          <w:rStyle w:val="FootnoteReference"/>
        </w:rPr>
        <w:footnoteRef/>
      </w:r>
      <w:r>
        <w:t xml:space="preserve"> </w:t>
      </w:r>
      <w:r w:rsidRPr="000260B4">
        <w:t>Art. 1(2)(b) Brussels I Regulation provides that the regulation shall not apply to: “bankruptcy, proceedings relating to the winding-up of insolvent companies or other legal persons, judicial arrangements, compositions and analogous proceedings”.</w:t>
      </w:r>
    </w:p>
  </w:footnote>
  <w:footnote w:id="37">
    <w:p w14:paraId="20333770" w14:textId="77777777" w:rsidR="00C47777" w:rsidRPr="008B7F12" w:rsidRDefault="00C47777" w:rsidP="00C47777">
      <w:pPr>
        <w:pStyle w:val="FootnoteText"/>
        <w:jc w:val="both"/>
        <w:rPr>
          <w:rFonts w:cstheme="minorHAnsi"/>
        </w:rPr>
      </w:pPr>
      <w:r w:rsidRPr="008B7F12">
        <w:rPr>
          <w:rStyle w:val="FootnoteReference"/>
          <w:rFonts w:cstheme="minorHAnsi"/>
        </w:rPr>
        <w:footnoteRef/>
      </w:r>
      <w:r w:rsidRPr="008B7F12">
        <w:rPr>
          <w:rFonts w:cstheme="minorHAnsi"/>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7F53"/>
    <w:multiLevelType w:val="hybridMultilevel"/>
    <w:tmpl w:val="6CF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5291"/>
    <w:multiLevelType w:val="hybridMultilevel"/>
    <w:tmpl w:val="71E0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76EAE"/>
    <w:multiLevelType w:val="hybridMultilevel"/>
    <w:tmpl w:val="95CAD164"/>
    <w:lvl w:ilvl="0" w:tplc="9950FFEE">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174BD"/>
    <w:multiLevelType w:val="hybridMultilevel"/>
    <w:tmpl w:val="B06E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B7793"/>
    <w:multiLevelType w:val="hybridMultilevel"/>
    <w:tmpl w:val="0DD4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267D5"/>
    <w:multiLevelType w:val="hybridMultilevel"/>
    <w:tmpl w:val="67F45D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1C63984"/>
    <w:multiLevelType w:val="hybridMultilevel"/>
    <w:tmpl w:val="3A7ADDB6"/>
    <w:lvl w:ilvl="0" w:tplc="12083238">
      <w:start w:val="1"/>
      <w:numFmt w:val="decimal"/>
      <w:lvlText w:val="%1."/>
      <w:lvlJc w:val="left"/>
      <w:pPr>
        <w:ind w:left="720" w:hanging="360"/>
      </w:pPr>
      <w:rPr>
        <w:b w:val="0"/>
        <w:bCs w:val="0"/>
      </w:rPr>
    </w:lvl>
    <w:lvl w:ilvl="1" w:tplc="E1C04600">
      <w:start w:val="1"/>
      <w:numFmt w:val="lowerLetter"/>
      <w:lvlText w:val="(%2)"/>
      <w:lvlJc w:val="left"/>
      <w:pPr>
        <w:ind w:left="1440" w:hanging="360"/>
      </w:pPr>
      <w:rPr>
        <w:rFonts w:hint="default"/>
        <w:b w:val="0"/>
        <w:bCs w:val="0"/>
      </w:rPr>
    </w:lvl>
    <w:lvl w:ilvl="2" w:tplc="52A86950">
      <w:start w:val="3"/>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25AC6"/>
    <w:multiLevelType w:val="hybridMultilevel"/>
    <w:tmpl w:val="4ABA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67286"/>
    <w:multiLevelType w:val="hybridMultilevel"/>
    <w:tmpl w:val="F1BAFF2C"/>
    <w:lvl w:ilvl="0" w:tplc="E23A63A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47E27"/>
    <w:multiLevelType w:val="hybridMultilevel"/>
    <w:tmpl w:val="D1C871B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4B1F1921"/>
    <w:multiLevelType w:val="hybridMultilevel"/>
    <w:tmpl w:val="F654A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25362B"/>
    <w:multiLevelType w:val="hybridMultilevel"/>
    <w:tmpl w:val="F654A85E"/>
    <w:lvl w:ilvl="0" w:tplc="3A72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7294E"/>
    <w:multiLevelType w:val="hybridMultilevel"/>
    <w:tmpl w:val="9D6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13ED"/>
    <w:multiLevelType w:val="hybridMultilevel"/>
    <w:tmpl w:val="6FFC82A4"/>
    <w:lvl w:ilvl="0" w:tplc="5D0CF1BA">
      <w:start w:val="1"/>
      <w:numFmt w:val="upperRoman"/>
      <w:pStyle w:val="SectionI"/>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529369">
    <w:abstractNumId w:val="8"/>
  </w:num>
  <w:num w:numId="2" w16cid:durableId="1986856267">
    <w:abstractNumId w:val="6"/>
  </w:num>
  <w:num w:numId="3" w16cid:durableId="799306169">
    <w:abstractNumId w:val="13"/>
  </w:num>
  <w:num w:numId="4" w16cid:durableId="406222489">
    <w:abstractNumId w:val="2"/>
  </w:num>
  <w:num w:numId="5" w16cid:durableId="2045248208">
    <w:abstractNumId w:val="11"/>
  </w:num>
  <w:num w:numId="6" w16cid:durableId="2146654343">
    <w:abstractNumId w:val="0"/>
  </w:num>
  <w:num w:numId="7" w16cid:durableId="83304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9886491">
    <w:abstractNumId w:val="10"/>
  </w:num>
  <w:num w:numId="9" w16cid:durableId="7876096">
    <w:abstractNumId w:val="13"/>
  </w:num>
  <w:num w:numId="10" w16cid:durableId="182667940">
    <w:abstractNumId w:val="5"/>
  </w:num>
  <w:num w:numId="11" w16cid:durableId="430784194">
    <w:abstractNumId w:val="9"/>
  </w:num>
  <w:num w:numId="12" w16cid:durableId="1500735836">
    <w:abstractNumId w:val="12"/>
  </w:num>
  <w:num w:numId="13" w16cid:durableId="1209073879">
    <w:abstractNumId w:val="7"/>
  </w:num>
  <w:num w:numId="14" w16cid:durableId="1312323147">
    <w:abstractNumId w:val="13"/>
  </w:num>
  <w:num w:numId="15" w16cid:durableId="258605193">
    <w:abstractNumId w:val="3"/>
  </w:num>
  <w:num w:numId="16" w16cid:durableId="879588916">
    <w:abstractNumId w:val="4"/>
  </w:num>
  <w:num w:numId="17" w16cid:durableId="213228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90"/>
    <w:rsid w:val="00000627"/>
    <w:rsid w:val="000027C9"/>
    <w:rsid w:val="000031FA"/>
    <w:rsid w:val="00004132"/>
    <w:rsid w:val="0000456D"/>
    <w:rsid w:val="00006E68"/>
    <w:rsid w:val="00007EC2"/>
    <w:rsid w:val="00010592"/>
    <w:rsid w:val="00010920"/>
    <w:rsid w:val="000129F3"/>
    <w:rsid w:val="00014924"/>
    <w:rsid w:val="00014CAE"/>
    <w:rsid w:val="00015634"/>
    <w:rsid w:val="000219F5"/>
    <w:rsid w:val="00023F27"/>
    <w:rsid w:val="000260B4"/>
    <w:rsid w:val="00027028"/>
    <w:rsid w:val="00030E09"/>
    <w:rsid w:val="000325D3"/>
    <w:rsid w:val="00037C5E"/>
    <w:rsid w:val="0004087B"/>
    <w:rsid w:val="0004397A"/>
    <w:rsid w:val="00046C3F"/>
    <w:rsid w:val="00056EA8"/>
    <w:rsid w:val="00060326"/>
    <w:rsid w:val="00061FEB"/>
    <w:rsid w:val="00064AD4"/>
    <w:rsid w:val="00073201"/>
    <w:rsid w:val="00073A65"/>
    <w:rsid w:val="0007439F"/>
    <w:rsid w:val="00075975"/>
    <w:rsid w:val="000823D9"/>
    <w:rsid w:val="00082F28"/>
    <w:rsid w:val="00083645"/>
    <w:rsid w:val="00084EAB"/>
    <w:rsid w:val="00085839"/>
    <w:rsid w:val="00087F3C"/>
    <w:rsid w:val="00090060"/>
    <w:rsid w:val="00093D32"/>
    <w:rsid w:val="00094B3E"/>
    <w:rsid w:val="00095078"/>
    <w:rsid w:val="000958CD"/>
    <w:rsid w:val="00096A07"/>
    <w:rsid w:val="000A12D4"/>
    <w:rsid w:val="000A4BE4"/>
    <w:rsid w:val="000A5127"/>
    <w:rsid w:val="000B0D71"/>
    <w:rsid w:val="000B3FBD"/>
    <w:rsid w:val="000B5042"/>
    <w:rsid w:val="000B60F2"/>
    <w:rsid w:val="000C0543"/>
    <w:rsid w:val="000C2754"/>
    <w:rsid w:val="000C71D5"/>
    <w:rsid w:val="000D6B5F"/>
    <w:rsid w:val="000E3679"/>
    <w:rsid w:val="000F0382"/>
    <w:rsid w:val="000F1343"/>
    <w:rsid w:val="000F1574"/>
    <w:rsid w:val="000F5EA6"/>
    <w:rsid w:val="00101132"/>
    <w:rsid w:val="00104828"/>
    <w:rsid w:val="0010584A"/>
    <w:rsid w:val="001071D6"/>
    <w:rsid w:val="00111394"/>
    <w:rsid w:val="00111A26"/>
    <w:rsid w:val="00117571"/>
    <w:rsid w:val="00120847"/>
    <w:rsid w:val="00122062"/>
    <w:rsid w:val="00136185"/>
    <w:rsid w:val="00136CE6"/>
    <w:rsid w:val="00140267"/>
    <w:rsid w:val="00147C8B"/>
    <w:rsid w:val="00150C5A"/>
    <w:rsid w:val="0015146F"/>
    <w:rsid w:val="00152056"/>
    <w:rsid w:val="0015425A"/>
    <w:rsid w:val="0015736C"/>
    <w:rsid w:val="00161450"/>
    <w:rsid w:val="00164F3E"/>
    <w:rsid w:val="00166310"/>
    <w:rsid w:val="00167102"/>
    <w:rsid w:val="001714CC"/>
    <w:rsid w:val="00171ACC"/>
    <w:rsid w:val="00171E07"/>
    <w:rsid w:val="00173FF7"/>
    <w:rsid w:val="00174FC0"/>
    <w:rsid w:val="00175DD1"/>
    <w:rsid w:val="001761EE"/>
    <w:rsid w:val="0018142B"/>
    <w:rsid w:val="00186862"/>
    <w:rsid w:val="00196204"/>
    <w:rsid w:val="001A62A1"/>
    <w:rsid w:val="001A6DCB"/>
    <w:rsid w:val="001A7F4D"/>
    <w:rsid w:val="001B3C84"/>
    <w:rsid w:val="001B5526"/>
    <w:rsid w:val="001B5BFC"/>
    <w:rsid w:val="001B7FC0"/>
    <w:rsid w:val="001C0842"/>
    <w:rsid w:val="001C1116"/>
    <w:rsid w:val="001C1B73"/>
    <w:rsid w:val="001C20C9"/>
    <w:rsid w:val="001C22D8"/>
    <w:rsid w:val="001C39F3"/>
    <w:rsid w:val="001C51A2"/>
    <w:rsid w:val="001D3D3A"/>
    <w:rsid w:val="001D4081"/>
    <w:rsid w:val="001D6744"/>
    <w:rsid w:val="001E3325"/>
    <w:rsid w:val="001F0B8C"/>
    <w:rsid w:val="001F4381"/>
    <w:rsid w:val="001F7D91"/>
    <w:rsid w:val="00202F6F"/>
    <w:rsid w:val="00203449"/>
    <w:rsid w:val="0020605C"/>
    <w:rsid w:val="0021111D"/>
    <w:rsid w:val="00211273"/>
    <w:rsid w:val="00211EE5"/>
    <w:rsid w:val="00220236"/>
    <w:rsid w:val="0023051F"/>
    <w:rsid w:val="0023052D"/>
    <w:rsid w:val="002356CD"/>
    <w:rsid w:val="002419F1"/>
    <w:rsid w:val="00243C40"/>
    <w:rsid w:val="00246A8C"/>
    <w:rsid w:val="00246CD1"/>
    <w:rsid w:val="0024706D"/>
    <w:rsid w:val="00247176"/>
    <w:rsid w:val="00247B7E"/>
    <w:rsid w:val="00250BCA"/>
    <w:rsid w:val="00252CDC"/>
    <w:rsid w:val="0025489F"/>
    <w:rsid w:val="002565AC"/>
    <w:rsid w:val="002624A6"/>
    <w:rsid w:val="0026403B"/>
    <w:rsid w:val="0026428F"/>
    <w:rsid w:val="002659C7"/>
    <w:rsid w:val="00266A98"/>
    <w:rsid w:val="002702D7"/>
    <w:rsid w:val="00270DC8"/>
    <w:rsid w:val="002710F1"/>
    <w:rsid w:val="002742DA"/>
    <w:rsid w:val="00276A0D"/>
    <w:rsid w:val="00276CD7"/>
    <w:rsid w:val="00277B45"/>
    <w:rsid w:val="00277C70"/>
    <w:rsid w:val="00280F59"/>
    <w:rsid w:val="0029029E"/>
    <w:rsid w:val="00290E60"/>
    <w:rsid w:val="00291804"/>
    <w:rsid w:val="002A0D1F"/>
    <w:rsid w:val="002A2F47"/>
    <w:rsid w:val="002B1F31"/>
    <w:rsid w:val="002B2599"/>
    <w:rsid w:val="002B73B5"/>
    <w:rsid w:val="002C037A"/>
    <w:rsid w:val="002C6B12"/>
    <w:rsid w:val="002C7B41"/>
    <w:rsid w:val="002D2156"/>
    <w:rsid w:val="002D36DE"/>
    <w:rsid w:val="002D5176"/>
    <w:rsid w:val="002D5683"/>
    <w:rsid w:val="002E0015"/>
    <w:rsid w:val="002E06A0"/>
    <w:rsid w:val="002E1EE1"/>
    <w:rsid w:val="002F0A8C"/>
    <w:rsid w:val="003013DE"/>
    <w:rsid w:val="0030176A"/>
    <w:rsid w:val="0030379D"/>
    <w:rsid w:val="003046BC"/>
    <w:rsid w:val="00305CF5"/>
    <w:rsid w:val="0030755D"/>
    <w:rsid w:val="00310170"/>
    <w:rsid w:val="0031142C"/>
    <w:rsid w:val="00320434"/>
    <w:rsid w:val="003223FE"/>
    <w:rsid w:val="0032346A"/>
    <w:rsid w:val="003247A2"/>
    <w:rsid w:val="00326E7E"/>
    <w:rsid w:val="00326FB4"/>
    <w:rsid w:val="003343B3"/>
    <w:rsid w:val="00335F79"/>
    <w:rsid w:val="0034028A"/>
    <w:rsid w:val="00341A1D"/>
    <w:rsid w:val="00341BC3"/>
    <w:rsid w:val="00343A40"/>
    <w:rsid w:val="0034406C"/>
    <w:rsid w:val="00346013"/>
    <w:rsid w:val="0035252A"/>
    <w:rsid w:val="003526E3"/>
    <w:rsid w:val="0035393F"/>
    <w:rsid w:val="00353A15"/>
    <w:rsid w:val="00353E78"/>
    <w:rsid w:val="0035569A"/>
    <w:rsid w:val="003565DE"/>
    <w:rsid w:val="00363811"/>
    <w:rsid w:val="003670CD"/>
    <w:rsid w:val="00387922"/>
    <w:rsid w:val="00391157"/>
    <w:rsid w:val="00396B95"/>
    <w:rsid w:val="003A0539"/>
    <w:rsid w:val="003A1F0A"/>
    <w:rsid w:val="003A3A3A"/>
    <w:rsid w:val="003B1533"/>
    <w:rsid w:val="003B1AA1"/>
    <w:rsid w:val="003B3FFF"/>
    <w:rsid w:val="003B5FAE"/>
    <w:rsid w:val="003C2270"/>
    <w:rsid w:val="003C508F"/>
    <w:rsid w:val="003D094C"/>
    <w:rsid w:val="003D11C9"/>
    <w:rsid w:val="003D1640"/>
    <w:rsid w:val="003D365A"/>
    <w:rsid w:val="003D41B7"/>
    <w:rsid w:val="003D6616"/>
    <w:rsid w:val="003E0883"/>
    <w:rsid w:val="003E1729"/>
    <w:rsid w:val="003E32DD"/>
    <w:rsid w:val="003E3A66"/>
    <w:rsid w:val="003E703E"/>
    <w:rsid w:val="003E74E9"/>
    <w:rsid w:val="003E7E3E"/>
    <w:rsid w:val="003F296C"/>
    <w:rsid w:val="003F5AB3"/>
    <w:rsid w:val="003F79DB"/>
    <w:rsid w:val="004000BC"/>
    <w:rsid w:val="00402F5F"/>
    <w:rsid w:val="00407D0C"/>
    <w:rsid w:val="004159C2"/>
    <w:rsid w:val="00415D22"/>
    <w:rsid w:val="004202A6"/>
    <w:rsid w:val="004230D0"/>
    <w:rsid w:val="004250A2"/>
    <w:rsid w:val="00425786"/>
    <w:rsid w:val="00427E9D"/>
    <w:rsid w:val="00433953"/>
    <w:rsid w:val="00433D35"/>
    <w:rsid w:val="00434259"/>
    <w:rsid w:val="00434A0D"/>
    <w:rsid w:val="00435F45"/>
    <w:rsid w:val="00442E60"/>
    <w:rsid w:val="00446AAD"/>
    <w:rsid w:val="004553CB"/>
    <w:rsid w:val="004569FE"/>
    <w:rsid w:val="00457406"/>
    <w:rsid w:val="004617C4"/>
    <w:rsid w:val="00463041"/>
    <w:rsid w:val="004633C1"/>
    <w:rsid w:val="00464E6C"/>
    <w:rsid w:val="00472E65"/>
    <w:rsid w:val="004771E7"/>
    <w:rsid w:val="00482670"/>
    <w:rsid w:val="004922BD"/>
    <w:rsid w:val="0049420B"/>
    <w:rsid w:val="00494B48"/>
    <w:rsid w:val="00497704"/>
    <w:rsid w:val="00497C58"/>
    <w:rsid w:val="004A0BB0"/>
    <w:rsid w:val="004A0E22"/>
    <w:rsid w:val="004A11BD"/>
    <w:rsid w:val="004A12A9"/>
    <w:rsid w:val="004A3F4D"/>
    <w:rsid w:val="004A5175"/>
    <w:rsid w:val="004A632B"/>
    <w:rsid w:val="004B5FA8"/>
    <w:rsid w:val="004B69A5"/>
    <w:rsid w:val="004C0BEF"/>
    <w:rsid w:val="004C1E68"/>
    <w:rsid w:val="004C26C2"/>
    <w:rsid w:val="004D49A6"/>
    <w:rsid w:val="004E0013"/>
    <w:rsid w:val="004E07E9"/>
    <w:rsid w:val="004E3DD0"/>
    <w:rsid w:val="004E45C3"/>
    <w:rsid w:val="004E4756"/>
    <w:rsid w:val="004E5183"/>
    <w:rsid w:val="004E5D01"/>
    <w:rsid w:val="004F22FB"/>
    <w:rsid w:val="004F54A3"/>
    <w:rsid w:val="004F640A"/>
    <w:rsid w:val="005015E9"/>
    <w:rsid w:val="00505EBD"/>
    <w:rsid w:val="00511F0B"/>
    <w:rsid w:val="00516A86"/>
    <w:rsid w:val="00521663"/>
    <w:rsid w:val="00523590"/>
    <w:rsid w:val="005250F0"/>
    <w:rsid w:val="005277B4"/>
    <w:rsid w:val="0053740C"/>
    <w:rsid w:val="00537BB2"/>
    <w:rsid w:val="00540DFB"/>
    <w:rsid w:val="0054103B"/>
    <w:rsid w:val="005419EF"/>
    <w:rsid w:val="00543683"/>
    <w:rsid w:val="00545CB4"/>
    <w:rsid w:val="005503CC"/>
    <w:rsid w:val="0055244D"/>
    <w:rsid w:val="00552F7E"/>
    <w:rsid w:val="00553A6C"/>
    <w:rsid w:val="00554B90"/>
    <w:rsid w:val="00563E9F"/>
    <w:rsid w:val="00565B6E"/>
    <w:rsid w:val="00571B88"/>
    <w:rsid w:val="005721A7"/>
    <w:rsid w:val="00574CE7"/>
    <w:rsid w:val="00576A42"/>
    <w:rsid w:val="00584EB1"/>
    <w:rsid w:val="00594980"/>
    <w:rsid w:val="005954BF"/>
    <w:rsid w:val="005A1CFD"/>
    <w:rsid w:val="005A33AB"/>
    <w:rsid w:val="005B4BCE"/>
    <w:rsid w:val="005C55AB"/>
    <w:rsid w:val="005C5F67"/>
    <w:rsid w:val="005D069B"/>
    <w:rsid w:val="005D07C5"/>
    <w:rsid w:val="005D2440"/>
    <w:rsid w:val="005E0B48"/>
    <w:rsid w:val="005E355B"/>
    <w:rsid w:val="005E5A23"/>
    <w:rsid w:val="005F06D0"/>
    <w:rsid w:val="005F14C3"/>
    <w:rsid w:val="005F5C59"/>
    <w:rsid w:val="005F5FB5"/>
    <w:rsid w:val="005F6DD9"/>
    <w:rsid w:val="006024F6"/>
    <w:rsid w:val="006031DB"/>
    <w:rsid w:val="00603320"/>
    <w:rsid w:val="00605C79"/>
    <w:rsid w:val="00606B94"/>
    <w:rsid w:val="00610B20"/>
    <w:rsid w:val="00611637"/>
    <w:rsid w:val="00613D75"/>
    <w:rsid w:val="00614321"/>
    <w:rsid w:val="00621580"/>
    <w:rsid w:val="00625F66"/>
    <w:rsid w:val="006317A5"/>
    <w:rsid w:val="006366C0"/>
    <w:rsid w:val="00636E19"/>
    <w:rsid w:val="00637D0E"/>
    <w:rsid w:val="00645956"/>
    <w:rsid w:val="006463B3"/>
    <w:rsid w:val="00646402"/>
    <w:rsid w:val="00646B52"/>
    <w:rsid w:val="00651786"/>
    <w:rsid w:val="006542D4"/>
    <w:rsid w:val="00655A46"/>
    <w:rsid w:val="00657AE0"/>
    <w:rsid w:val="006631AA"/>
    <w:rsid w:val="0066478B"/>
    <w:rsid w:val="00672DE7"/>
    <w:rsid w:val="00674838"/>
    <w:rsid w:val="006807A8"/>
    <w:rsid w:val="00680B80"/>
    <w:rsid w:val="006836BE"/>
    <w:rsid w:val="006873D4"/>
    <w:rsid w:val="00691E6E"/>
    <w:rsid w:val="00695A74"/>
    <w:rsid w:val="006A248D"/>
    <w:rsid w:val="006A2CCC"/>
    <w:rsid w:val="006A3914"/>
    <w:rsid w:val="006A4B97"/>
    <w:rsid w:val="006A5B6A"/>
    <w:rsid w:val="006A662B"/>
    <w:rsid w:val="006B2771"/>
    <w:rsid w:val="006B458C"/>
    <w:rsid w:val="006C1AE1"/>
    <w:rsid w:val="006C5671"/>
    <w:rsid w:val="006D01B8"/>
    <w:rsid w:val="006D4C5E"/>
    <w:rsid w:val="006D7EF5"/>
    <w:rsid w:val="006E1994"/>
    <w:rsid w:val="006E37A9"/>
    <w:rsid w:val="006F2177"/>
    <w:rsid w:val="006F3392"/>
    <w:rsid w:val="006F3A62"/>
    <w:rsid w:val="006F4DD4"/>
    <w:rsid w:val="00712FA9"/>
    <w:rsid w:val="007146CF"/>
    <w:rsid w:val="00715667"/>
    <w:rsid w:val="0072325A"/>
    <w:rsid w:val="00724885"/>
    <w:rsid w:val="00724AB4"/>
    <w:rsid w:val="0072603E"/>
    <w:rsid w:val="00727C88"/>
    <w:rsid w:val="00733347"/>
    <w:rsid w:val="00735C72"/>
    <w:rsid w:val="00744F13"/>
    <w:rsid w:val="00747949"/>
    <w:rsid w:val="0075043F"/>
    <w:rsid w:val="007514A4"/>
    <w:rsid w:val="00752911"/>
    <w:rsid w:val="00763721"/>
    <w:rsid w:val="0076415F"/>
    <w:rsid w:val="007741B1"/>
    <w:rsid w:val="00775779"/>
    <w:rsid w:val="00776C8E"/>
    <w:rsid w:val="007775BE"/>
    <w:rsid w:val="00790CBC"/>
    <w:rsid w:val="00792528"/>
    <w:rsid w:val="00792D8C"/>
    <w:rsid w:val="00796B84"/>
    <w:rsid w:val="00797690"/>
    <w:rsid w:val="007A2425"/>
    <w:rsid w:val="007A27A2"/>
    <w:rsid w:val="007A429C"/>
    <w:rsid w:val="007A531E"/>
    <w:rsid w:val="007A5E6F"/>
    <w:rsid w:val="007A6346"/>
    <w:rsid w:val="007A765F"/>
    <w:rsid w:val="007B17BD"/>
    <w:rsid w:val="007B44EF"/>
    <w:rsid w:val="007B5284"/>
    <w:rsid w:val="007B66DD"/>
    <w:rsid w:val="007C089D"/>
    <w:rsid w:val="007C1E7B"/>
    <w:rsid w:val="007C2415"/>
    <w:rsid w:val="007C2DD3"/>
    <w:rsid w:val="007C4D69"/>
    <w:rsid w:val="007C78B8"/>
    <w:rsid w:val="007D02C6"/>
    <w:rsid w:val="007D1CD5"/>
    <w:rsid w:val="007D5B54"/>
    <w:rsid w:val="007D67E0"/>
    <w:rsid w:val="007D68F4"/>
    <w:rsid w:val="007D7C9C"/>
    <w:rsid w:val="007E089F"/>
    <w:rsid w:val="007E1689"/>
    <w:rsid w:val="007E2210"/>
    <w:rsid w:val="007E2F6D"/>
    <w:rsid w:val="007F0528"/>
    <w:rsid w:val="007F1590"/>
    <w:rsid w:val="007F1E6A"/>
    <w:rsid w:val="007F3B39"/>
    <w:rsid w:val="0080372E"/>
    <w:rsid w:val="00806054"/>
    <w:rsid w:val="008062A6"/>
    <w:rsid w:val="00811BFB"/>
    <w:rsid w:val="0081232B"/>
    <w:rsid w:val="00816442"/>
    <w:rsid w:val="00817AAE"/>
    <w:rsid w:val="008228EF"/>
    <w:rsid w:val="008239AA"/>
    <w:rsid w:val="00825402"/>
    <w:rsid w:val="008260F4"/>
    <w:rsid w:val="00827303"/>
    <w:rsid w:val="00827F96"/>
    <w:rsid w:val="00832FB1"/>
    <w:rsid w:val="00833B67"/>
    <w:rsid w:val="00836559"/>
    <w:rsid w:val="0084016D"/>
    <w:rsid w:val="00842426"/>
    <w:rsid w:val="00844949"/>
    <w:rsid w:val="0084514A"/>
    <w:rsid w:val="00846DF8"/>
    <w:rsid w:val="008502B9"/>
    <w:rsid w:val="00853465"/>
    <w:rsid w:val="008543FD"/>
    <w:rsid w:val="0085683B"/>
    <w:rsid w:val="00857E5F"/>
    <w:rsid w:val="00860B93"/>
    <w:rsid w:val="0086734E"/>
    <w:rsid w:val="00870555"/>
    <w:rsid w:val="00875FAD"/>
    <w:rsid w:val="008764B0"/>
    <w:rsid w:val="00881D32"/>
    <w:rsid w:val="00883AF2"/>
    <w:rsid w:val="008853C1"/>
    <w:rsid w:val="008861AA"/>
    <w:rsid w:val="008872AF"/>
    <w:rsid w:val="0088742D"/>
    <w:rsid w:val="00891309"/>
    <w:rsid w:val="00891514"/>
    <w:rsid w:val="00895B12"/>
    <w:rsid w:val="008B4FD9"/>
    <w:rsid w:val="008B5043"/>
    <w:rsid w:val="008B56C2"/>
    <w:rsid w:val="008B61AE"/>
    <w:rsid w:val="008B64DB"/>
    <w:rsid w:val="008C01C8"/>
    <w:rsid w:val="008C4F89"/>
    <w:rsid w:val="008C51DE"/>
    <w:rsid w:val="008C55CD"/>
    <w:rsid w:val="008D1216"/>
    <w:rsid w:val="008D174F"/>
    <w:rsid w:val="008D6840"/>
    <w:rsid w:val="008E1E42"/>
    <w:rsid w:val="008E6AB4"/>
    <w:rsid w:val="008E6D36"/>
    <w:rsid w:val="008F1AC9"/>
    <w:rsid w:val="008F47FD"/>
    <w:rsid w:val="008F739D"/>
    <w:rsid w:val="0090041B"/>
    <w:rsid w:val="00902BE2"/>
    <w:rsid w:val="00906D91"/>
    <w:rsid w:val="00907C75"/>
    <w:rsid w:val="00911D27"/>
    <w:rsid w:val="00916E1C"/>
    <w:rsid w:val="00920429"/>
    <w:rsid w:val="00920906"/>
    <w:rsid w:val="009212C6"/>
    <w:rsid w:val="009221C8"/>
    <w:rsid w:val="00924314"/>
    <w:rsid w:val="00924F77"/>
    <w:rsid w:val="009267DF"/>
    <w:rsid w:val="009324B2"/>
    <w:rsid w:val="00937706"/>
    <w:rsid w:val="00942EA4"/>
    <w:rsid w:val="00945455"/>
    <w:rsid w:val="00950E59"/>
    <w:rsid w:val="00954B80"/>
    <w:rsid w:val="009620A3"/>
    <w:rsid w:val="00963915"/>
    <w:rsid w:val="00966F27"/>
    <w:rsid w:val="00967853"/>
    <w:rsid w:val="00971A1A"/>
    <w:rsid w:val="00973619"/>
    <w:rsid w:val="009741D0"/>
    <w:rsid w:val="009743D4"/>
    <w:rsid w:val="00976AAC"/>
    <w:rsid w:val="009800A6"/>
    <w:rsid w:val="009836E6"/>
    <w:rsid w:val="00984290"/>
    <w:rsid w:val="0098496D"/>
    <w:rsid w:val="0099241C"/>
    <w:rsid w:val="00992F1C"/>
    <w:rsid w:val="00995089"/>
    <w:rsid w:val="00996F65"/>
    <w:rsid w:val="009A13F4"/>
    <w:rsid w:val="009B580E"/>
    <w:rsid w:val="009B6161"/>
    <w:rsid w:val="009B665D"/>
    <w:rsid w:val="009B6770"/>
    <w:rsid w:val="009C5D1B"/>
    <w:rsid w:val="009D75D5"/>
    <w:rsid w:val="009E1707"/>
    <w:rsid w:val="009E1DC1"/>
    <w:rsid w:val="009E25C7"/>
    <w:rsid w:val="009E25FA"/>
    <w:rsid w:val="009E4687"/>
    <w:rsid w:val="009E46F8"/>
    <w:rsid w:val="009E63D5"/>
    <w:rsid w:val="009E7F91"/>
    <w:rsid w:val="009F02C0"/>
    <w:rsid w:val="009F398E"/>
    <w:rsid w:val="00A00B2F"/>
    <w:rsid w:val="00A12EDA"/>
    <w:rsid w:val="00A13AAF"/>
    <w:rsid w:val="00A140AE"/>
    <w:rsid w:val="00A22BB3"/>
    <w:rsid w:val="00A2373A"/>
    <w:rsid w:val="00A35FFC"/>
    <w:rsid w:val="00A40C7D"/>
    <w:rsid w:val="00A42AA0"/>
    <w:rsid w:val="00A42F04"/>
    <w:rsid w:val="00A4437B"/>
    <w:rsid w:val="00A446CB"/>
    <w:rsid w:val="00A46957"/>
    <w:rsid w:val="00A46A63"/>
    <w:rsid w:val="00A46FE1"/>
    <w:rsid w:val="00A5586E"/>
    <w:rsid w:val="00A55E29"/>
    <w:rsid w:val="00A573CD"/>
    <w:rsid w:val="00A61D9E"/>
    <w:rsid w:val="00A638FC"/>
    <w:rsid w:val="00A648CD"/>
    <w:rsid w:val="00A64DB5"/>
    <w:rsid w:val="00A654B2"/>
    <w:rsid w:val="00A6590E"/>
    <w:rsid w:val="00A70115"/>
    <w:rsid w:val="00A728C5"/>
    <w:rsid w:val="00A729D9"/>
    <w:rsid w:val="00A74F64"/>
    <w:rsid w:val="00A76139"/>
    <w:rsid w:val="00A76935"/>
    <w:rsid w:val="00A80BA9"/>
    <w:rsid w:val="00A8111A"/>
    <w:rsid w:val="00A81300"/>
    <w:rsid w:val="00A8284A"/>
    <w:rsid w:val="00A85765"/>
    <w:rsid w:val="00A92172"/>
    <w:rsid w:val="00A9267F"/>
    <w:rsid w:val="00A971B4"/>
    <w:rsid w:val="00AA1DF3"/>
    <w:rsid w:val="00AA2A6A"/>
    <w:rsid w:val="00AA350D"/>
    <w:rsid w:val="00AA5479"/>
    <w:rsid w:val="00AA5BF1"/>
    <w:rsid w:val="00AA7EE8"/>
    <w:rsid w:val="00AB0446"/>
    <w:rsid w:val="00AB0FE4"/>
    <w:rsid w:val="00AB2766"/>
    <w:rsid w:val="00AB2CBF"/>
    <w:rsid w:val="00AB5732"/>
    <w:rsid w:val="00AB6ADE"/>
    <w:rsid w:val="00AB744D"/>
    <w:rsid w:val="00AB7579"/>
    <w:rsid w:val="00AC0E9E"/>
    <w:rsid w:val="00AC128C"/>
    <w:rsid w:val="00AC5788"/>
    <w:rsid w:val="00AC6A0E"/>
    <w:rsid w:val="00AC6BAC"/>
    <w:rsid w:val="00AC74A2"/>
    <w:rsid w:val="00AD19A1"/>
    <w:rsid w:val="00AD3728"/>
    <w:rsid w:val="00AD3EB1"/>
    <w:rsid w:val="00AD76CA"/>
    <w:rsid w:val="00AE1F8A"/>
    <w:rsid w:val="00AE30FB"/>
    <w:rsid w:val="00AE4ED2"/>
    <w:rsid w:val="00B06F75"/>
    <w:rsid w:val="00B07A01"/>
    <w:rsid w:val="00B07FBE"/>
    <w:rsid w:val="00B10754"/>
    <w:rsid w:val="00B112DE"/>
    <w:rsid w:val="00B12813"/>
    <w:rsid w:val="00B12A6C"/>
    <w:rsid w:val="00B1473D"/>
    <w:rsid w:val="00B17C8C"/>
    <w:rsid w:val="00B21343"/>
    <w:rsid w:val="00B234FB"/>
    <w:rsid w:val="00B236B0"/>
    <w:rsid w:val="00B30DB2"/>
    <w:rsid w:val="00B30E4F"/>
    <w:rsid w:val="00B318C1"/>
    <w:rsid w:val="00B3201E"/>
    <w:rsid w:val="00B347FD"/>
    <w:rsid w:val="00B36215"/>
    <w:rsid w:val="00B364C3"/>
    <w:rsid w:val="00B36B39"/>
    <w:rsid w:val="00B37111"/>
    <w:rsid w:val="00B40829"/>
    <w:rsid w:val="00B41098"/>
    <w:rsid w:val="00B424EC"/>
    <w:rsid w:val="00B50843"/>
    <w:rsid w:val="00B5154F"/>
    <w:rsid w:val="00B527D6"/>
    <w:rsid w:val="00B558FA"/>
    <w:rsid w:val="00B62BFF"/>
    <w:rsid w:val="00B721F3"/>
    <w:rsid w:val="00B7306A"/>
    <w:rsid w:val="00B73CB6"/>
    <w:rsid w:val="00B80313"/>
    <w:rsid w:val="00B805D5"/>
    <w:rsid w:val="00B813FF"/>
    <w:rsid w:val="00B82EF0"/>
    <w:rsid w:val="00B85177"/>
    <w:rsid w:val="00B8536D"/>
    <w:rsid w:val="00B90860"/>
    <w:rsid w:val="00B936A6"/>
    <w:rsid w:val="00B97057"/>
    <w:rsid w:val="00BA3421"/>
    <w:rsid w:val="00BA4FC1"/>
    <w:rsid w:val="00BB5112"/>
    <w:rsid w:val="00BB5A4D"/>
    <w:rsid w:val="00BB6321"/>
    <w:rsid w:val="00BC05DE"/>
    <w:rsid w:val="00BC62F0"/>
    <w:rsid w:val="00BC6FE5"/>
    <w:rsid w:val="00BE1E44"/>
    <w:rsid w:val="00BE37C2"/>
    <w:rsid w:val="00BE61D7"/>
    <w:rsid w:val="00BE6BFA"/>
    <w:rsid w:val="00BF258B"/>
    <w:rsid w:val="00BF2C42"/>
    <w:rsid w:val="00BF6EC8"/>
    <w:rsid w:val="00C00893"/>
    <w:rsid w:val="00C01155"/>
    <w:rsid w:val="00C031A5"/>
    <w:rsid w:val="00C0634B"/>
    <w:rsid w:val="00C148AD"/>
    <w:rsid w:val="00C15D1E"/>
    <w:rsid w:val="00C2060D"/>
    <w:rsid w:val="00C20BA2"/>
    <w:rsid w:val="00C24D1F"/>
    <w:rsid w:val="00C258D2"/>
    <w:rsid w:val="00C305A1"/>
    <w:rsid w:val="00C32077"/>
    <w:rsid w:val="00C332E5"/>
    <w:rsid w:val="00C3450A"/>
    <w:rsid w:val="00C3459B"/>
    <w:rsid w:val="00C345C6"/>
    <w:rsid w:val="00C453FF"/>
    <w:rsid w:val="00C4708F"/>
    <w:rsid w:val="00C47136"/>
    <w:rsid w:val="00C47777"/>
    <w:rsid w:val="00C50D4A"/>
    <w:rsid w:val="00C51A1B"/>
    <w:rsid w:val="00C51A78"/>
    <w:rsid w:val="00C51DC3"/>
    <w:rsid w:val="00C5337A"/>
    <w:rsid w:val="00C54DD4"/>
    <w:rsid w:val="00C552F0"/>
    <w:rsid w:val="00C564C3"/>
    <w:rsid w:val="00C57392"/>
    <w:rsid w:val="00C62820"/>
    <w:rsid w:val="00C63D84"/>
    <w:rsid w:val="00C65E68"/>
    <w:rsid w:val="00C70438"/>
    <w:rsid w:val="00C7335C"/>
    <w:rsid w:val="00C74012"/>
    <w:rsid w:val="00C74BC3"/>
    <w:rsid w:val="00C760B9"/>
    <w:rsid w:val="00C81099"/>
    <w:rsid w:val="00C8265B"/>
    <w:rsid w:val="00C82AC6"/>
    <w:rsid w:val="00C82C0E"/>
    <w:rsid w:val="00C87A29"/>
    <w:rsid w:val="00CA3686"/>
    <w:rsid w:val="00CA6FFE"/>
    <w:rsid w:val="00CA7489"/>
    <w:rsid w:val="00CB0E68"/>
    <w:rsid w:val="00CB1818"/>
    <w:rsid w:val="00CB24E9"/>
    <w:rsid w:val="00CB3B8E"/>
    <w:rsid w:val="00CC3621"/>
    <w:rsid w:val="00CC5E19"/>
    <w:rsid w:val="00CC75C1"/>
    <w:rsid w:val="00CD318E"/>
    <w:rsid w:val="00CE2855"/>
    <w:rsid w:val="00CE5AC9"/>
    <w:rsid w:val="00CE6E5A"/>
    <w:rsid w:val="00CF0B30"/>
    <w:rsid w:val="00CF1E7C"/>
    <w:rsid w:val="00CF77FD"/>
    <w:rsid w:val="00D01FDE"/>
    <w:rsid w:val="00D039CF"/>
    <w:rsid w:val="00D13FCD"/>
    <w:rsid w:val="00D141D6"/>
    <w:rsid w:val="00D14EF9"/>
    <w:rsid w:val="00D21E97"/>
    <w:rsid w:val="00D34187"/>
    <w:rsid w:val="00D34DDD"/>
    <w:rsid w:val="00D41B76"/>
    <w:rsid w:val="00D428A0"/>
    <w:rsid w:val="00D42F2C"/>
    <w:rsid w:val="00D43139"/>
    <w:rsid w:val="00D52B9D"/>
    <w:rsid w:val="00D57A7F"/>
    <w:rsid w:val="00D66082"/>
    <w:rsid w:val="00D74C98"/>
    <w:rsid w:val="00D80913"/>
    <w:rsid w:val="00D81692"/>
    <w:rsid w:val="00D846B5"/>
    <w:rsid w:val="00D87925"/>
    <w:rsid w:val="00D87A37"/>
    <w:rsid w:val="00D87EE0"/>
    <w:rsid w:val="00D93C54"/>
    <w:rsid w:val="00D93CD7"/>
    <w:rsid w:val="00D94188"/>
    <w:rsid w:val="00D97BF0"/>
    <w:rsid w:val="00DA1A46"/>
    <w:rsid w:val="00DA24EC"/>
    <w:rsid w:val="00DA378D"/>
    <w:rsid w:val="00DA7D8C"/>
    <w:rsid w:val="00DB055E"/>
    <w:rsid w:val="00DB19C0"/>
    <w:rsid w:val="00DB1EBC"/>
    <w:rsid w:val="00DB2CFE"/>
    <w:rsid w:val="00DB6B37"/>
    <w:rsid w:val="00DB745A"/>
    <w:rsid w:val="00DB7BDD"/>
    <w:rsid w:val="00DC0371"/>
    <w:rsid w:val="00DC0D2C"/>
    <w:rsid w:val="00DC3019"/>
    <w:rsid w:val="00DC421D"/>
    <w:rsid w:val="00DD0251"/>
    <w:rsid w:val="00DD11AF"/>
    <w:rsid w:val="00DD1435"/>
    <w:rsid w:val="00DD285D"/>
    <w:rsid w:val="00DD480B"/>
    <w:rsid w:val="00DD4E6A"/>
    <w:rsid w:val="00DD7A91"/>
    <w:rsid w:val="00DE1808"/>
    <w:rsid w:val="00DE1C2B"/>
    <w:rsid w:val="00DE4D9A"/>
    <w:rsid w:val="00DE5427"/>
    <w:rsid w:val="00DE7B6E"/>
    <w:rsid w:val="00DE7C8E"/>
    <w:rsid w:val="00DF1C34"/>
    <w:rsid w:val="00DF59C4"/>
    <w:rsid w:val="00DF615C"/>
    <w:rsid w:val="00DF6B85"/>
    <w:rsid w:val="00DF79C4"/>
    <w:rsid w:val="00E02FA5"/>
    <w:rsid w:val="00E12136"/>
    <w:rsid w:val="00E12AB0"/>
    <w:rsid w:val="00E13E02"/>
    <w:rsid w:val="00E14723"/>
    <w:rsid w:val="00E1521F"/>
    <w:rsid w:val="00E25EA6"/>
    <w:rsid w:val="00E311D2"/>
    <w:rsid w:val="00E31553"/>
    <w:rsid w:val="00E32E14"/>
    <w:rsid w:val="00E34932"/>
    <w:rsid w:val="00E34F09"/>
    <w:rsid w:val="00E37F9D"/>
    <w:rsid w:val="00E41D89"/>
    <w:rsid w:val="00E42355"/>
    <w:rsid w:val="00E510A8"/>
    <w:rsid w:val="00E51777"/>
    <w:rsid w:val="00E52D1B"/>
    <w:rsid w:val="00E60D63"/>
    <w:rsid w:val="00E61AE7"/>
    <w:rsid w:val="00E7537A"/>
    <w:rsid w:val="00E827EB"/>
    <w:rsid w:val="00E837EB"/>
    <w:rsid w:val="00E8394C"/>
    <w:rsid w:val="00E83E65"/>
    <w:rsid w:val="00E857F8"/>
    <w:rsid w:val="00E92F52"/>
    <w:rsid w:val="00E95F6B"/>
    <w:rsid w:val="00EA488F"/>
    <w:rsid w:val="00EA5934"/>
    <w:rsid w:val="00EB0F99"/>
    <w:rsid w:val="00EB149E"/>
    <w:rsid w:val="00EB14DE"/>
    <w:rsid w:val="00EB203E"/>
    <w:rsid w:val="00EB5823"/>
    <w:rsid w:val="00EC7F64"/>
    <w:rsid w:val="00ED00E7"/>
    <w:rsid w:val="00ED0F8A"/>
    <w:rsid w:val="00ED3886"/>
    <w:rsid w:val="00ED6EB9"/>
    <w:rsid w:val="00EE1FF4"/>
    <w:rsid w:val="00EF5616"/>
    <w:rsid w:val="00EF78E5"/>
    <w:rsid w:val="00F043B5"/>
    <w:rsid w:val="00F05493"/>
    <w:rsid w:val="00F221C0"/>
    <w:rsid w:val="00F24799"/>
    <w:rsid w:val="00F31FA8"/>
    <w:rsid w:val="00F330BB"/>
    <w:rsid w:val="00F33E81"/>
    <w:rsid w:val="00F377E7"/>
    <w:rsid w:val="00F37CD0"/>
    <w:rsid w:val="00F444D4"/>
    <w:rsid w:val="00F50F7C"/>
    <w:rsid w:val="00F56EC5"/>
    <w:rsid w:val="00F57593"/>
    <w:rsid w:val="00F62040"/>
    <w:rsid w:val="00F63D21"/>
    <w:rsid w:val="00F64C06"/>
    <w:rsid w:val="00F64D7B"/>
    <w:rsid w:val="00F70174"/>
    <w:rsid w:val="00F707AF"/>
    <w:rsid w:val="00F74040"/>
    <w:rsid w:val="00F75C4D"/>
    <w:rsid w:val="00F7794F"/>
    <w:rsid w:val="00F8000E"/>
    <w:rsid w:val="00F82ED1"/>
    <w:rsid w:val="00F83D84"/>
    <w:rsid w:val="00F85558"/>
    <w:rsid w:val="00F910D6"/>
    <w:rsid w:val="00F93955"/>
    <w:rsid w:val="00F952EB"/>
    <w:rsid w:val="00FA46E7"/>
    <w:rsid w:val="00FA68BF"/>
    <w:rsid w:val="00FB3609"/>
    <w:rsid w:val="00FB4038"/>
    <w:rsid w:val="00FB448E"/>
    <w:rsid w:val="00FB5BCE"/>
    <w:rsid w:val="00FB6A3E"/>
    <w:rsid w:val="00FB6C9B"/>
    <w:rsid w:val="00FC1A99"/>
    <w:rsid w:val="00FC2DD7"/>
    <w:rsid w:val="00FC2F2C"/>
    <w:rsid w:val="00FC7791"/>
    <w:rsid w:val="00FD1DA1"/>
    <w:rsid w:val="00FD5316"/>
    <w:rsid w:val="00FD53D5"/>
    <w:rsid w:val="00FD7C87"/>
    <w:rsid w:val="00FE17B0"/>
    <w:rsid w:val="00FE19C6"/>
    <w:rsid w:val="00FE5DDF"/>
    <w:rsid w:val="00FE6857"/>
    <w:rsid w:val="00FF1ACF"/>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3F5E"/>
  <w15:chartTrackingRefBased/>
  <w15:docId w15:val="{679D530A-C8E3-4022-B36F-43AE1B95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3"/>
    <w:rPr>
      <w:kern w:val="0"/>
      <w14:ligatures w14:val="none"/>
    </w:rPr>
  </w:style>
  <w:style w:type="paragraph" w:styleId="Heading1">
    <w:name w:val="heading 1"/>
    <w:basedOn w:val="Normal"/>
    <w:next w:val="Normal"/>
    <w:link w:val="Heading1Char"/>
    <w:uiPriority w:val="9"/>
    <w:qFormat/>
    <w:rsid w:val="00B72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F3"/>
    <w:pPr>
      <w:ind w:left="720"/>
      <w:contextualSpacing/>
    </w:pPr>
  </w:style>
  <w:style w:type="paragraph" w:customStyle="1" w:styleId="SectionI">
    <w:name w:val="Section I"/>
    <w:basedOn w:val="Heading1"/>
    <w:link w:val="SectionIChar"/>
    <w:qFormat/>
    <w:rsid w:val="00B721F3"/>
    <w:pPr>
      <w:numPr>
        <w:numId w:val="3"/>
      </w:numPr>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ectionIChar">
    <w:name w:val="Section I Char"/>
    <w:basedOn w:val="Heading1Char"/>
    <w:link w:val="SectionI"/>
    <w:rsid w:val="00B721F3"/>
    <w:rPr>
      <w:rFonts w:ascii="Arial" w:eastAsiaTheme="majorEastAsia" w:hAnsi="Arial" w:cs="Arial"/>
      <w:bCs/>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style>
  <w:style w:type="character" w:customStyle="1" w:styleId="Heading1Char">
    <w:name w:val="Heading 1 Char"/>
    <w:basedOn w:val="DefaultParagraphFont"/>
    <w:link w:val="Heading1"/>
    <w:uiPriority w:val="9"/>
    <w:rsid w:val="00B721F3"/>
    <w:rPr>
      <w:rFonts w:asciiTheme="majorHAnsi" w:eastAsiaTheme="majorEastAsia" w:hAnsiTheme="majorHAnsi" w:cstheme="majorBidi"/>
      <w:color w:val="2F5496" w:themeColor="accent1" w:themeShade="BF"/>
      <w:kern w:val="0"/>
      <w:sz w:val="32"/>
      <w:szCs w:val="32"/>
      <w14:ligatures w14:val="none"/>
    </w:rPr>
  </w:style>
  <w:style w:type="paragraph" w:customStyle="1" w:styleId="Default">
    <w:name w:val="Default"/>
    <w:rsid w:val="00BE6BFA"/>
    <w:pPr>
      <w:autoSpaceDE w:val="0"/>
      <w:autoSpaceDN w:val="0"/>
      <w:adjustRightInd w:val="0"/>
      <w:spacing w:after="0" w:line="240" w:lineRule="auto"/>
    </w:pPr>
    <w:rPr>
      <w:rFonts w:ascii="Arial" w:hAnsi="Arial" w:cs="Arial"/>
      <w:color w:val="000000"/>
      <w:kern w:val="0"/>
      <w:sz w:val="24"/>
      <w:szCs w:val="24"/>
    </w:rPr>
  </w:style>
  <w:style w:type="paragraph" w:styleId="FootnoteText">
    <w:name w:val="footnote text"/>
    <w:basedOn w:val="Normal"/>
    <w:link w:val="FootnoteTextChar"/>
    <w:uiPriority w:val="99"/>
    <w:unhideWhenUsed/>
    <w:rsid w:val="000031FA"/>
    <w:pPr>
      <w:spacing w:after="0" w:line="240" w:lineRule="auto"/>
    </w:pPr>
    <w:rPr>
      <w:sz w:val="20"/>
      <w:szCs w:val="20"/>
    </w:rPr>
  </w:style>
  <w:style w:type="character" w:customStyle="1" w:styleId="FootnoteTextChar">
    <w:name w:val="Footnote Text Char"/>
    <w:basedOn w:val="DefaultParagraphFont"/>
    <w:link w:val="FootnoteText"/>
    <w:uiPriority w:val="99"/>
    <w:rsid w:val="000031FA"/>
    <w:rPr>
      <w:kern w:val="0"/>
      <w:sz w:val="20"/>
      <w:szCs w:val="20"/>
      <w14:ligatures w14:val="none"/>
    </w:rPr>
  </w:style>
  <w:style w:type="character" w:styleId="FootnoteReference">
    <w:name w:val="footnote reference"/>
    <w:aliases w:val="C26 Footnote Number,EN Footnote Reference,Footnote Reference Number,Footnote Reference_LVL6,Footnote Reference_LVL61,Footnote Reference_LVL62,Footnote Reference_LVL63,Footnote Reference_LVL64,Footnote symbol,Ref,SUPERS,fr,ftref,number"/>
    <w:basedOn w:val="DefaultParagraphFont"/>
    <w:uiPriority w:val="99"/>
    <w:unhideWhenUsed/>
    <w:qFormat/>
    <w:rsid w:val="000031FA"/>
    <w:rPr>
      <w:vertAlign w:val="superscript"/>
    </w:rPr>
  </w:style>
  <w:style w:type="table" w:styleId="TableGrid">
    <w:name w:val="Table Grid"/>
    <w:basedOn w:val="TableNormal"/>
    <w:uiPriority w:val="39"/>
    <w:rsid w:val="000A51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75"/>
    <w:rPr>
      <w:kern w:val="0"/>
      <w14:ligatures w14:val="none"/>
    </w:rPr>
  </w:style>
  <w:style w:type="paragraph" w:styleId="Footer">
    <w:name w:val="footer"/>
    <w:basedOn w:val="Normal"/>
    <w:link w:val="FooterChar"/>
    <w:uiPriority w:val="99"/>
    <w:unhideWhenUsed/>
    <w:rsid w:val="0061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7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4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3T23:51:04.734"/>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235C-5016-4D49-8B1E-CF07ECCB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6938</Words>
  <Characters>39549</Characters>
  <Application>Microsoft Office Word</Application>
  <DocSecurity>4</DocSecurity>
  <Lines>329</Lines>
  <Paragraphs>92</Paragraphs>
  <ScaleCrop>false</ScaleCrop>
  <Company>WBG</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Pavlova Mocheva</dc:creator>
  <cp:keywords/>
  <dc:description/>
  <cp:lastModifiedBy>Heather Callow</cp:lastModifiedBy>
  <cp:revision>2</cp:revision>
  <dcterms:created xsi:type="dcterms:W3CDTF">2024-04-17T08:21:00Z</dcterms:created>
  <dcterms:modified xsi:type="dcterms:W3CDTF">2024-04-17T08:21:00Z</dcterms:modified>
</cp:coreProperties>
</file>