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654" w:rsidRPr="007C17EA" w:rsidRDefault="00362654" w:rsidP="00362654">
      <w:pPr>
        <w:spacing w:line="240" w:lineRule="auto"/>
        <w:rPr>
          <w:rFonts w:ascii="Arial" w:hAnsi="Arial" w:cs="Arial"/>
          <w:b/>
          <w:u w:val="single"/>
        </w:rPr>
      </w:pPr>
      <w:bookmarkStart w:id="0" w:name="_GoBack"/>
      <w:bookmarkEnd w:id="0"/>
      <w:r w:rsidRPr="007C17EA">
        <w:rPr>
          <w:rFonts w:ascii="Arial" w:hAnsi="Arial" w:cs="Arial"/>
          <w:b/>
          <w:u w:val="single"/>
        </w:rPr>
        <w:t>GLOBAL INSOLVENCY</w:t>
      </w:r>
      <w:r>
        <w:rPr>
          <w:rFonts w:ascii="Arial" w:hAnsi="Arial" w:cs="Arial"/>
          <w:b/>
          <w:u w:val="single"/>
        </w:rPr>
        <w:t xml:space="preserve"> </w:t>
      </w:r>
      <w:r w:rsidRPr="007C17EA">
        <w:rPr>
          <w:rFonts w:ascii="Arial" w:hAnsi="Arial" w:cs="Arial"/>
          <w:b/>
          <w:u w:val="single"/>
        </w:rPr>
        <w:t>PRACTICE COURSE</w:t>
      </w:r>
      <w:r>
        <w:rPr>
          <w:rFonts w:ascii="Arial" w:hAnsi="Arial" w:cs="Arial"/>
          <w:b/>
          <w:u w:val="single"/>
        </w:rPr>
        <w:t xml:space="preserve"> </w:t>
      </w:r>
      <w:r w:rsidRPr="007C17EA">
        <w:rPr>
          <w:rFonts w:ascii="Arial" w:hAnsi="Arial" w:cs="Arial"/>
          <w:b/>
          <w:u w:val="single"/>
        </w:rPr>
        <w:t>2023 / 2024</w:t>
      </w:r>
    </w:p>
    <w:p w:rsidR="00362654" w:rsidRDefault="00362654" w:rsidP="00362654">
      <w:pPr>
        <w:spacing w:line="240" w:lineRule="auto"/>
        <w:rPr>
          <w:rFonts w:ascii="Arial" w:hAnsi="Arial" w:cs="Arial"/>
          <w:b/>
          <w:u w:val="single"/>
        </w:rPr>
      </w:pPr>
      <w:r w:rsidRPr="007C17EA">
        <w:rPr>
          <w:rFonts w:ascii="Arial" w:hAnsi="Arial" w:cs="Arial"/>
          <w:b/>
          <w:u w:val="single"/>
        </w:rPr>
        <w:t xml:space="preserve">Case Study </w:t>
      </w:r>
      <w:r>
        <w:rPr>
          <w:rFonts w:ascii="Arial" w:hAnsi="Arial" w:cs="Arial"/>
          <w:b/>
          <w:u w:val="single"/>
        </w:rPr>
        <w:t xml:space="preserve">2 </w:t>
      </w:r>
    </w:p>
    <w:p w:rsidR="00362654" w:rsidRPr="00362654" w:rsidRDefault="00362654" w:rsidP="005376C5">
      <w:pPr>
        <w:spacing w:after="360" w:line="800" w:lineRule="exact"/>
        <w:outlineLvl w:val="0"/>
        <w:rPr>
          <w:rFonts w:ascii="Arial" w:eastAsia="Times New Roman" w:hAnsi="Arial" w:cs="Arial"/>
          <w:b/>
          <w:bCs/>
          <w:color w:val="4F2D7F"/>
          <w:kern w:val="28"/>
          <w:sz w:val="72"/>
          <w:szCs w:val="32"/>
          <w:lang w:eastAsia="en-US"/>
        </w:rPr>
      </w:pPr>
    </w:p>
    <w:p w:rsidR="005376C5" w:rsidRPr="005376C5" w:rsidRDefault="005376C5" w:rsidP="005376C5">
      <w:pPr>
        <w:spacing w:after="360" w:line="800" w:lineRule="exact"/>
        <w:outlineLvl w:val="0"/>
        <w:rPr>
          <w:rFonts w:ascii="Arial" w:eastAsia="Times New Roman" w:hAnsi="Arial" w:cs="Arial"/>
          <w:b/>
          <w:bCs/>
          <w:color w:val="4F2D7F"/>
          <w:kern w:val="28"/>
          <w:sz w:val="72"/>
          <w:szCs w:val="32"/>
          <w:lang w:val="en-US" w:eastAsia="en-US"/>
        </w:rPr>
      </w:pPr>
      <w:r w:rsidRPr="005376C5">
        <w:rPr>
          <w:rFonts w:ascii="Arial" w:eastAsia="Times New Roman" w:hAnsi="Arial" w:cs="Arial"/>
          <w:b/>
          <w:bCs/>
          <w:color w:val="4F2D7F"/>
          <w:kern w:val="28"/>
          <w:sz w:val="72"/>
          <w:szCs w:val="32"/>
          <w:lang w:val="en-US" w:eastAsia="en-US"/>
        </w:rPr>
        <w:t>Memorandum</w:t>
      </w:r>
    </w:p>
    <w:tbl>
      <w:tblPr>
        <w:tblW w:w="4992" w:type="pct"/>
        <w:tblLayout w:type="fixed"/>
        <w:tblCellMar>
          <w:top w:w="57" w:type="dxa"/>
          <w:left w:w="0" w:type="dxa"/>
          <w:bottom w:w="57" w:type="dxa"/>
          <w:right w:w="0" w:type="dxa"/>
        </w:tblCellMar>
        <w:tblLook w:val="01E0" w:firstRow="1" w:lastRow="1" w:firstColumn="1" w:lastColumn="1" w:noHBand="0" w:noVBand="0"/>
      </w:tblPr>
      <w:tblGrid>
        <w:gridCol w:w="1273"/>
        <w:gridCol w:w="8072"/>
      </w:tblGrid>
      <w:tr w:rsidR="005376C5" w:rsidRPr="005376C5" w:rsidTr="004406B5">
        <w:trPr>
          <w:trHeight w:val="161"/>
        </w:trPr>
        <w:tc>
          <w:tcPr>
            <w:tcW w:w="681" w:type="pct"/>
          </w:tcPr>
          <w:p w:rsidR="005376C5" w:rsidRPr="005376C5" w:rsidRDefault="005376C5" w:rsidP="005376C5">
            <w:pPr>
              <w:spacing w:after="0" w:line="240" w:lineRule="auto"/>
              <w:rPr>
                <w:rFonts w:ascii="Arial" w:eastAsia="Times New Roman" w:hAnsi="Arial" w:cs="Arial"/>
                <w:b/>
                <w:bCs/>
                <w:kern w:val="32"/>
                <w:sz w:val="18"/>
                <w:lang w:eastAsia="en-US"/>
              </w:rPr>
            </w:pPr>
            <w:r w:rsidRPr="005376C5">
              <w:rPr>
                <w:rFonts w:ascii="Arial" w:eastAsia="Times New Roman" w:hAnsi="Arial" w:cs="Arial"/>
                <w:b/>
                <w:bCs/>
                <w:kern w:val="32"/>
                <w:sz w:val="18"/>
                <w:lang w:eastAsia="en-US"/>
              </w:rPr>
              <w:t>To</w:t>
            </w:r>
          </w:p>
        </w:tc>
        <w:tc>
          <w:tcPr>
            <w:tcW w:w="4319" w:type="pct"/>
          </w:tcPr>
          <w:p w:rsidR="005376C5" w:rsidRPr="005376C5" w:rsidRDefault="00BA0BF6" w:rsidP="005376C5">
            <w:pPr>
              <w:spacing w:after="0" w:line="240" w:lineRule="auto"/>
              <w:rPr>
                <w:rFonts w:ascii="Arial" w:eastAsia="Times New Roman" w:hAnsi="Arial" w:cs="Arial"/>
                <w:szCs w:val="18"/>
                <w:lang w:eastAsia="en-US"/>
              </w:rPr>
            </w:pPr>
            <w:r>
              <w:rPr>
                <w:rFonts w:ascii="Arial" w:eastAsia="Times New Roman" w:hAnsi="Arial" w:cs="Arial"/>
                <w:szCs w:val="18"/>
                <w:lang w:eastAsia="en-US"/>
              </w:rPr>
              <w:t>General Counsel of Benedict Maximov (</w:t>
            </w:r>
            <w:r w:rsidR="00E80584">
              <w:rPr>
                <w:rFonts w:ascii="Arial" w:eastAsia="Times New Roman" w:hAnsi="Arial" w:cs="Arial"/>
                <w:szCs w:val="18"/>
                <w:lang w:eastAsia="en-US"/>
              </w:rPr>
              <w:t>“GC</w:t>
            </w:r>
            <w:r>
              <w:rPr>
                <w:rFonts w:ascii="Arial" w:eastAsia="Times New Roman" w:hAnsi="Arial" w:cs="Arial"/>
                <w:szCs w:val="18"/>
                <w:lang w:eastAsia="en-US"/>
              </w:rPr>
              <w:t>”)</w:t>
            </w:r>
          </w:p>
        </w:tc>
      </w:tr>
      <w:tr w:rsidR="005376C5" w:rsidRPr="005376C5" w:rsidTr="004406B5">
        <w:trPr>
          <w:trHeight w:val="171"/>
        </w:trPr>
        <w:tc>
          <w:tcPr>
            <w:tcW w:w="681" w:type="pct"/>
          </w:tcPr>
          <w:p w:rsidR="005376C5" w:rsidRPr="005376C5" w:rsidRDefault="005376C5" w:rsidP="005376C5">
            <w:pPr>
              <w:spacing w:after="0" w:line="240" w:lineRule="auto"/>
              <w:rPr>
                <w:rFonts w:ascii="Arial" w:eastAsia="Times New Roman" w:hAnsi="Arial" w:cs="Arial"/>
                <w:b/>
                <w:bCs/>
                <w:kern w:val="32"/>
                <w:sz w:val="18"/>
                <w:lang w:eastAsia="en-US"/>
              </w:rPr>
            </w:pPr>
            <w:r w:rsidRPr="005376C5">
              <w:rPr>
                <w:rFonts w:ascii="Arial" w:eastAsia="Times New Roman" w:hAnsi="Arial" w:cs="Arial"/>
                <w:b/>
                <w:bCs/>
                <w:kern w:val="32"/>
                <w:sz w:val="18"/>
                <w:lang w:eastAsia="en-US"/>
              </w:rPr>
              <w:t>From</w:t>
            </w:r>
          </w:p>
        </w:tc>
        <w:tc>
          <w:tcPr>
            <w:tcW w:w="4317" w:type="pct"/>
          </w:tcPr>
          <w:p w:rsidR="005376C5" w:rsidRPr="005376C5" w:rsidRDefault="005376C5" w:rsidP="005376C5">
            <w:pPr>
              <w:spacing w:after="0" w:line="240" w:lineRule="auto"/>
              <w:rPr>
                <w:rFonts w:ascii="Arial" w:eastAsia="Times New Roman" w:hAnsi="Arial" w:cs="Arial"/>
                <w:szCs w:val="18"/>
                <w:lang w:eastAsia="en-US"/>
              </w:rPr>
            </w:pPr>
            <w:r w:rsidRPr="005376C5">
              <w:rPr>
                <w:rFonts w:ascii="Arial" w:eastAsia="Times New Roman" w:hAnsi="Arial" w:cs="Arial"/>
                <w:szCs w:val="18"/>
                <w:lang w:eastAsia="en-US"/>
              </w:rPr>
              <w:t xml:space="preserve">Nigel Trayers </w:t>
            </w:r>
          </w:p>
        </w:tc>
      </w:tr>
      <w:tr w:rsidR="005376C5" w:rsidRPr="005376C5" w:rsidTr="004406B5">
        <w:trPr>
          <w:trHeight w:val="161"/>
        </w:trPr>
        <w:tc>
          <w:tcPr>
            <w:tcW w:w="681" w:type="pct"/>
          </w:tcPr>
          <w:p w:rsidR="005376C5" w:rsidRPr="005376C5" w:rsidRDefault="005376C5" w:rsidP="005376C5">
            <w:pPr>
              <w:spacing w:after="0" w:line="240" w:lineRule="auto"/>
              <w:rPr>
                <w:rFonts w:ascii="Arial" w:eastAsia="Times New Roman" w:hAnsi="Arial" w:cs="Arial"/>
                <w:b/>
                <w:bCs/>
                <w:kern w:val="32"/>
                <w:sz w:val="18"/>
                <w:lang w:eastAsia="en-US"/>
              </w:rPr>
            </w:pPr>
            <w:r w:rsidRPr="005376C5">
              <w:rPr>
                <w:rFonts w:ascii="Arial" w:eastAsia="Times New Roman" w:hAnsi="Arial" w:cs="Arial"/>
                <w:b/>
                <w:bCs/>
                <w:kern w:val="32"/>
                <w:sz w:val="18"/>
                <w:lang w:eastAsia="en-US"/>
              </w:rPr>
              <w:t>Date</w:t>
            </w:r>
          </w:p>
        </w:tc>
        <w:tc>
          <w:tcPr>
            <w:tcW w:w="4317" w:type="pct"/>
          </w:tcPr>
          <w:p w:rsidR="005376C5" w:rsidRPr="005376C5" w:rsidRDefault="00362654" w:rsidP="005376C5">
            <w:pPr>
              <w:spacing w:after="0" w:line="240" w:lineRule="auto"/>
              <w:rPr>
                <w:rFonts w:ascii="Arial" w:eastAsia="Times New Roman" w:hAnsi="Arial" w:cs="Arial"/>
                <w:szCs w:val="18"/>
                <w:lang w:eastAsia="en-US"/>
              </w:rPr>
            </w:pPr>
            <w:r>
              <w:rPr>
                <w:rFonts w:ascii="Arial" w:eastAsia="Times New Roman" w:hAnsi="Arial" w:cs="Arial"/>
                <w:szCs w:val="18"/>
                <w:lang w:eastAsia="en-US"/>
              </w:rPr>
              <w:t>15</w:t>
            </w:r>
            <w:r w:rsidR="005376C5">
              <w:rPr>
                <w:rFonts w:ascii="Arial" w:eastAsia="Times New Roman" w:hAnsi="Arial" w:cs="Arial"/>
                <w:szCs w:val="18"/>
                <w:lang w:eastAsia="en-US"/>
              </w:rPr>
              <w:t xml:space="preserve"> April </w:t>
            </w:r>
            <w:r w:rsidR="005376C5" w:rsidRPr="005376C5">
              <w:rPr>
                <w:rFonts w:ascii="Arial" w:eastAsia="Times New Roman" w:hAnsi="Arial" w:cs="Arial"/>
                <w:szCs w:val="18"/>
                <w:lang w:eastAsia="en-US"/>
              </w:rPr>
              <w:t>2024</w:t>
            </w:r>
          </w:p>
        </w:tc>
      </w:tr>
      <w:tr w:rsidR="005376C5" w:rsidRPr="005376C5" w:rsidTr="005376C5">
        <w:trPr>
          <w:trHeight w:val="262"/>
        </w:trPr>
        <w:tc>
          <w:tcPr>
            <w:tcW w:w="681" w:type="pct"/>
            <w:tcBorders>
              <w:bottom w:val="single" w:sz="8" w:space="0" w:color="4F2D7F"/>
            </w:tcBorders>
          </w:tcPr>
          <w:p w:rsidR="005376C5" w:rsidRPr="005376C5" w:rsidRDefault="005376C5" w:rsidP="005376C5">
            <w:pPr>
              <w:spacing w:after="120" w:line="240" w:lineRule="auto"/>
              <w:rPr>
                <w:rFonts w:ascii="Arial" w:eastAsia="Times New Roman" w:hAnsi="Arial" w:cs="Arial"/>
                <w:b/>
                <w:bCs/>
                <w:kern w:val="32"/>
                <w:sz w:val="18"/>
                <w:lang w:eastAsia="en-US"/>
              </w:rPr>
            </w:pPr>
            <w:r w:rsidRPr="005376C5">
              <w:rPr>
                <w:rFonts w:ascii="Arial" w:eastAsia="Times New Roman" w:hAnsi="Arial" w:cs="Arial"/>
                <w:b/>
                <w:bCs/>
                <w:kern w:val="32"/>
                <w:sz w:val="18"/>
                <w:lang w:eastAsia="en-US"/>
              </w:rPr>
              <w:t>Regarding</w:t>
            </w:r>
          </w:p>
        </w:tc>
        <w:tc>
          <w:tcPr>
            <w:tcW w:w="4317" w:type="pct"/>
            <w:tcBorders>
              <w:bottom w:val="single" w:sz="8" w:space="0" w:color="4F2D7F"/>
            </w:tcBorders>
          </w:tcPr>
          <w:p w:rsidR="005376C5" w:rsidRPr="005376C5" w:rsidRDefault="005376C5" w:rsidP="005376C5">
            <w:pPr>
              <w:spacing w:after="0" w:line="240" w:lineRule="auto"/>
              <w:rPr>
                <w:rFonts w:ascii="Arial" w:eastAsia="Times New Roman" w:hAnsi="Arial" w:cs="Arial"/>
                <w:szCs w:val="18"/>
                <w:lang w:eastAsia="en-US"/>
              </w:rPr>
            </w:pPr>
            <w:r>
              <w:rPr>
                <w:rFonts w:ascii="Arial" w:eastAsia="Times New Roman" w:hAnsi="Arial" w:cs="Arial"/>
                <w:szCs w:val="18"/>
                <w:lang w:eastAsia="en-US"/>
              </w:rPr>
              <w:t xml:space="preserve">Efwon </w:t>
            </w:r>
            <w:r w:rsidR="00BA0BF6">
              <w:rPr>
                <w:rFonts w:ascii="Arial" w:eastAsia="Times New Roman" w:hAnsi="Arial" w:cs="Arial"/>
                <w:szCs w:val="18"/>
                <w:lang w:eastAsia="en-US"/>
              </w:rPr>
              <w:t>Group financial position and restructuring options</w:t>
            </w:r>
          </w:p>
        </w:tc>
      </w:tr>
    </w:tbl>
    <w:p w:rsidR="006E2C83" w:rsidRDefault="006E2C83">
      <w:pPr>
        <w:rPr>
          <w:lang w:val="en-US"/>
        </w:rPr>
      </w:pPr>
    </w:p>
    <w:p w:rsidR="00362654" w:rsidRDefault="00362654" w:rsidP="00362654">
      <w:pPr>
        <w:jc w:val="center"/>
        <w:rPr>
          <w:rFonts w:ascii="AvenirNext-Regular" w:hAnsi="AvenirNext-Regular" w:cs="AvenirNext-Regular"/>
          <w:b/>
        </w:rPr>
      </w:pPr>
      <w:r w:rsidRPr="005C1787">
        <w:rPr>
          <w:rFonts w:ascii="AvenirNext-Regular" w:hAnsi="AvenirNext-Regular" w:cs="AvenirNext-Regular"/>
          <w:b/>
        </w:rPr>
        <w:t>TABLE OF CONTENTS</w:t>
      </w:r>
    </w:p>
    <w:p w:rsidR="00362654" w:rsidRPr="005C1787" w:rsidRDefault="00362654" w:rsidP="00362654">
      <w:pPr>
        <w:rPr>
          <w:rFonts w:ascii="AvenirNext-Regular" w:hAnsi="AvenirNext-Regular" w:cs="AvenirNext-Regular"/>
          <w:b/>
        </w:rPr>
      </w:pPr>
      <w:r>
        <w:rPr>
          <w:rFonts w:ascii="AvenirNext-Regular" w:hAnsi="AvenirNext-Regular" w:cs="AvenirNext-Regular"/>
          <w:b/>
        </w:rPr>
        <w:tab/>
      </w:r>
      <w:r>
        <w:rPr>
          <w:rFonts w:ascii="AvenirNext-Regular" w:hAnsi="AvenirNext-Regular" w:cs="AvenirNext-Regular"/>
          <w:b/>
        </w:rPr>
        <w:tab/>
      </w:r>
      <w:r>
        <w:rPr>
          <w:rFonts w:ascii="AvenirNext-Regular" w:hAnsi="AvenirNext-Regular" w:cs="AvenirNext-Regular"/>
          <w:b/>
        </w:rPr>
        <w:tab/>
      </w:r>
      <w:r>
        <w:rPr>
          <w:rFonts w:ascii="AvenirNext-Regular" w:hAnsi="AvenirNext-Regular" w:cs="AvenirNext-Regular"/>
          <w:b/>
        </w:rPr>
        <w:tab/>
      </w:r>
      <w:r>
        <w:rPr>
          <w:rFonts w:ascii="AvenirNext-Regular" w:hAnsi="AvenirNext-Regular" w:cs="AvenirNext-Regular"/>
          <w:b/>
        </w:rPr>
        <w:tab/>
      </w:r>
      <w:r>
        <w:rPr>
          <w:rFonts w:ascii="AvenirNext-Regular" w:hAnsi="AvenirNext-Regular" w:cs="AvenirNext-Regular"/>
          <w:b/>
        </w:rPr>
        <w:tab/>
      </w:r>
      <w:r>
        <w:rPr>
          <w:rFonts w:ascii="AvenirNext-Regular" w:hAnsi="AvenirNext-Regular" w:cs="AvenirNext-Regular"/>
          <w:b/>
        </w:rPr>
        <w:tab/>
      </w:r>
      <w:r>
        <w:rPr>
          <w:rFonts w:ascii="AvenirNext-Regular" w:hAnsi="AvenirNext-Regular" w:cs="AvenirNext-Regular"/>
          <w:b/>
        </w:rPr>
        <w:tab/>
      </w:r>
      <w:r>
        <w:rPr>
          <w:rFonts w:ascii="AvenirNext-Regular" w:hAnsi="AvenirNext-Regular" w:cs="AvenirNext-Regular"/>
          <w:b/>
        </w:rPr>
        <w:tab/>
      </w:r>
      <w:r>
        <w:rPr>
          <w:rFonts w:ascii="AvenirNext-Regular" w:hAnsi="AvenirNext-Regular" w:cs="AvenirNext-Regular"/>
          <w:b/>
        </w:rPr>
        <w:tab/>
        <w:t xml:space="preserve">        </w:t>
      </w:r>
      <w:r w:rsidR="002F59CC">
        <w:rPr>
          <w:rFonts w:ascii="AvenirNext-Regular" w:hAnsi="AvenirNext-Regular" w:cs="AvenirNext-Regular"/>
          <w:b/>
        </w:rPr>
        <w:tab/>
        <w:t xml:space="preserve">         </w:t>
      </w:r>
      <w:r>
        <w:rPr>
          <w:rFonts w:ascii="AvenirNext-Regular" w:hAnsi="AvenirNext-Regular" w:cs="AvenirNext-Regular"/>
          <w:b/>
        </w:rPr>
        <w:t>Page</w:t>
      </w:r>
      <w:r>
        <w:rPr>
          <w:rFonts w:ascii="AvenirNext-Regular" w:hAnsi="AvenirNext-Regular" w:cs="AvenirNext-Regular"/>
          <w:b/>
        </w:rPr>
        <w:tab/>
      </w:r>
    </w:p>
    <w:p w:rsidR="00362654" w:rsidRDefault="00362654" w:rsidP="00362654">
      <w:pPr>
        <w:rPr>
          <w:rFonts w:ascii="AvenirNext-Regular" w:hAnsi="AvenirNext-Regular" w:cs="AvenirNext-Regular"/>
        </w:rPr>
      </w:pPr>
    </w:p>
    <w:p w:rsidR="00362654" w:rsidRDefault="002F59CC" w:rsidP="00362654">
      <w:pPr>
        <w:pStyle w:val="ListParagraph"/>
        <w:numPr>
          <w:ilvl w:val="0"/>
          <w:numId w:val="14"/>
        </w:numPr>
        <w:spacing w:after="0" w:line="240" w:lineRule="auto"/>
        <w:rPr>
          <w:rFonts w:ascii="AvenirNext-Regular" w:hAnsi="AvenirNext-Regular" w:cs="AvenirNext-Regular"/>
        </w:rPr>
      </w:pPr>
      <w:r>
        <w:rPr>
          <w:rFonts w:ascii="AvenirNext-Regular" w:hAnsi="AvenirNext-Regular" w:cs="AvenirNext-Regular"/>
        </w:rPr>
        <w:t>Introduction</w:t>
      </w:r>
      <w:r>
        <w:rPr>
          <w:rFonts w:ascii="AvenirNext-Regular" w:hAnsi="AvenirNext-Regular" w:cs="AvenirNext-Regular"/>
        </w:rPr>
        <w:tab/>
      </w:r>
      <w:r w:rsidR="00362654">
        <w:rPr>
          <w:rFonts w:ascii="AvenirNext-Regular" w:hAnsi="AvenirNext-Regular" w:cs="AvenirNext-Regular"/>
        </w:rPr>
        <w:tab/>
      </w:r>
      <w:r w:rsidR="00362654">
        <w:rPr>
          <w:rFonts w:ascii="AvenirNext-Regular" w:hAnsi="AvenirNext-Regular" w:cs="AvenirNext-Regular"/>
        </w:rPr>
        <w:tab/>
      </w:r>
      <w:r w:rsidR="00362654">
        <w:rPr>
          <w:rFonts w:ascii="AvenirNext-Regular" w:hAnsi="AvenirNext-Regular" w:cs="AvenirNext-Regular"/>
        </w:rPr>
        <w:tab/>
      </w:r>
      <w:r w:rsidR="00362654">
        <w:rPr>
          <w:rFonts w:ascii="AvenirNext-Regular" w:hAnsi="AvenirNext-Regular" w:cs="AvenirNext-Regular"/>
        </w:rPr>
        <w:tab/>
      </w:r>
      <w:r w:rsidR="00362654">
        <w:rPr>
          <w:rFonts w:ascii="AvenirNext-Regular" w:hAnsi="AvenirNext-Regular" w:cs="AvenirNext-Regular"/>
        </w:rPr>
        <w:tab/>
      </w:r>
      <w:r w:rsidR="00362654">
        <w:rPr>
          <w:rFonts w:ascii="AvenirNext-Regular" w:hAnsi="AvenirNext-Regular" w:cs="AvenirNext-Regular"/>
        </w:rPr>
        <w:tab/>
      </w:r>
      <w:r w:rsidR="00362654">
        <w:rPr>
          <w:rFonts w:ascii="AvenirNext-Regular" w:hAnsi="AvenirNext-Regular" w:cs="AvenirNext-Regular"/>
        </w:rPr>
        <w:tab/>
      </w:r>
      <w:r w:rsidR="00362654">
        <w:rPr>
          <w:rFonts w:ascii="AvenirNext-Regular" w:hAnsi="AvenirNext-Regular" w:cs="AvenirNext-Regular"/>
        </w:rPr>
        <w:tab/>
      </w:r>
      <w:r>
        <w:rPr>
          <w:rFonts w:ascii="AvenirNext-Regular" w:hAnsi="AvenirNext-Regular" w:cs="AvenirNext-Regular"/>
        </w:rPr>
        <w:tab/>
      </w:r>
      <w:r w:rsidR="0086322A">
        <w:rPr>
          <w:rFonts w:ascii="AvenirNext-Regular" w:hAnsi="AvenirNext-Regular" w:cs="AvenirNext-Regular"/>
        </w:rPr>
        <w:t>2</w:t>
      </w:r>
    </w:p>
    <w:p w:rsidR="00362654" w:rsidRPr="00007223" w:rsidRDefault="00362654" w:rsidP="00362654">
      <w:pPr>
        <w:pStyle w:val="ListParagraph"/>
        <w:rPr>
          <w:rFonts w:ascii="AvenirNext-Regular" w:hAnsi="AvenirNext-Regular" w:cs="AvenirNext-Regular"/>
        </w:rPr>
      </w:pPr>
    </w:p>
    <w:p w:rsidR="00362654" w:rsidRPr="002F59CC" w:rsidRDefault="002F59CC" w:rsidP="002F59CC">
      <w:pPr>
        <w:pStyle w:val="ListParagraph"/>
        <w:numPr>
          <w:ilvl w:val="0"/>
          <w:numId w:val="14"/>
        </w:numPr>
        <w:rPr>
          <w:rFonts w:ascii="AvenirNext-Regular" w:hAnsi="AvenirNext-Regular" w:cs="AvenirNext-Regular"/>
        </w:rPr>
      </w:pPr>
      <w:r w:rsidRPr="002F59CC">
        <w:rPr>
          <w:rFonts w:ascii="AvenirNext-Regular" w:hAnsi="AvenirNext-Regular" w:cs="AvenirNext-Regular"/>
        </w:rPr>
        <w:t>Detailed background information and stakeholder analysis</w:t>
      </w:r>
      <w:r w:rsidR="00406527" w:rsidRPr="002F59CC">
        <w:rPr>
          <w:rFonts w:ascii="AvenirNext-Regular" w:hAnsi="AvenirNext-Regular" w:cs="AvenirNext-Regular"/>
        </w:rPr>
        <w:tab/>
      </w:r>
      <w:r w:rsidR="00406527" w:rsidRPr="002F59CC">
        <w:rPr>
          <w:rFonts w:ascii="AvenirNext-Regular" w:hAnsi="AvenirNext-Regular" w:cs="AvenirNext-Regular"/>
        </w:rPr>
        <w:tab/>
      </w:r>
      <w:r w:rsidR="00406527" w:rsidRPr="002F59CC">
        <w:rPr>
          <w:rFonts w:ascii="AvenirNext-Regular" w:hAnsi="AvenirNext-Regular" w:cs="AvenirNext-Regular"/>
        </w:rPr>
        <w:tab/>
      </w:r>
      <w:r>
        <w:rPr>
          <w:rFonts w:ascii="AvenirNext-Regular" w:hAnsi="AvenirNext-Regular" w:cs="AvenirNext-Regular"/>
        </w:rPr>
        <w:tab/>
      </w:r>
      <w:r w:rsidR="0086322A">
        <w:rPr>
          <w:rFonts w:ascii="AvenirNext-Regular" w:hAnsi="AvenirNext-Regular" w:cs="AvenirNext-Regular"/>
        </w:rPr>
        <w:t>2</w:t>
      </w:r>
    </w:p>
    <w:p w:rsidR="00362654" w:rsidRPr="005C1787" w:rsidRDefault="00362654" w:rsidP="00362654">
      <w:pPr>
        <w:pStyle w:val="ListParagraph"/>
        <w:rPr>
          <w:rFonts w:ascii="AvenirNext-Regular" w:hAnsi="AvenirNext-Regular" w:cs="AvenirNext-Regular"/>
        </w:rPr>
      </w:pPr>
    </w:p>
    <w:p w:rsidR="00362654" w:rsidRPr="002F59CC" w:rsidRDefault="002F59CC" w:rsidP="002F59CC">
      <w:pPr>
        <w:pStyle w:val="ListParagraph"/>
        <w:numPr>
          <w:ilvl w:val="0"/>
          <w:numId w:val="14"/>
        </w:numPr>
        <w:rPr>
          <w:rFonts w:ascii="AvenirNext-Regular" w:hAnsi="AvenirNext-Regular" w:cs="AvenirNext-Regular"/>
        </w:rPr>
      </w:pPr>
      <w:r w:rsidRPr="002F59CC">
        <w:rPr>
          <w:rFonts w:ascii="AvenirNext-Regular" w:hAnsi="AvenirNext-Regular" w:cs="AvenirNext-Regular"/>
        </w:rPr>
        <w:t>Potential use of restructuring schemes in various jurisdictions</w:t>
      </w:r>
      <w:r>
        <w:rPr>
          <w:rFonts w:ascii="AvenirNext-Regular" w:hAnsi="AvenirNext-Regular" w:cs="AvenirNext-Regular"/>
        </w:rPr>
        <w:tab/>
      </w:r>
      <w:r>
        <w:rPr>
          <w:rFonts w:ascii="AvenirNext-Regular" w:hAnsi="AvenirNext-Regular" w:cs="AvenirNext-Regular"/>
        </w:rPr>
        <w:tab/>
      </w:r>
      <w:r>
        <w:rPr>
          <w:rFonts w:ascii="AvenirNext-Regular" w:hAnsi="AvenirNext-Regular" w:cs="AvenirNext-Regular"/>
        </w:rPr>
        <w:tab/>
      </w:r>
      <w:r>
        <w:rPr>
          <w:rFonts w:ascii="AvenirNext-Regular" w:hAnsi="AvenirNext-Regular" w:cs="AvenirNext-Regular"/>
        </w:rPr>
        <w:tab/>
        <w:t>5</w:t>
      </w:r>
    </w:p>
    <w:p w:rsidR="00362654" w:rsidRPr="005C1787" w:rsidRDefault="00362654" w:rsidP="00362654">
      <w:pPr>
        <w:pStyle w:val="ListParagraph"/>
        <w:rPr>
          <w:rFonts w:ascii="AvenirNext-Regular" w:hAnsi="AvenirNext-Regular" w:cs="AvenirNext-Regular"/>
        </w:rPr>
      </w:pPr>
    </w:p>
    <w:p w:rsidR="00362654" w:rsidRPr="002F59CC" w:rsidRDefault="002F59CC" w:rsidP="002F59CC">
      <w:pPr>
        <w:pStyle w:val="ListParagraph"/>
        <w:numPr>
          <w:ilvl w:val="0"/>
          <w:numId w:val="14"/>
        </w:numPr>
        <w:rPr>
          <w:rFonts w:ascii="AvenirNext-Regular" w:hAnsi="AvenirNext-Regular" w:cs="AvenirNext-Regular"/>
        </w:rPr>
      </w:pPr>
      <w:r w:rsidRPr="002F59CC">
        <w:rPr>
          <w:rFonts w:ascii="AvenirNext-Regular" w:hAnsi="AvenirNext-Regular" w:cs="AvenirNext-Regular"/>
        </w:rPr>
        <w:t>Group valuation and waterfall analysi</w:t>
      </w:r>
      <w:r>
        <w:rPr>
          <w:rFonts w:ascii="AvenirNext-Regular" w:hAnsi="AvenirNext-Regular" w:cs="AvenirNext-Regular"/>
        </w:rPr>
        <w:t>s</w:t>
      </w:r>
      <w:r w:rsidR="00362654" w:rsidRPr="002F59CC">
        <w:rPr>
          <w:rFonts w:ascii="AvenirNext-Regular" w:hAnsi="AvenirNext-Regular" w:cs="AvenirNext-Regular"/>
        </w:rPr>
        <w:tab/>
      </w:r>
      <w:r w:rsidR="00362654" w:rsidRPr="002F59CC">
        <w:rPr>
          <w:rFonts w:ascii="AvenirNext-Regular" w:hAnsi="AvenirNext-Regular" w:cs="AvenirNext-Regular"/>
        </w:rPr>
        <w:tab/>
      </w:r>
      <w:r w:rsidR="00362654" w:rsidRPr="002F59CC">
        <w:rPr>
          <w:rFonts w:ascii="AvenirNext-Regular" w:hAnsi="AvenirNext-Regular" w:cs="AvenirNext-Regular"/>
        </w:rPr>
        <w:tab/>
      </w:r>
      <w:r w:rsidR="00406527" w:rsidRPr="002F59CC">
        <w:rPr>
          <w:rFonts w:ascii="AvenirNext-Regular" w:hAnsi="AvenirNext-Regular" w:cs="AvenirNext-Regular"/>
        </w:rPr>
        <w:tab/>
      </w:r>
      <w:r w:rsidR="00406527" w:rsidRPr="002F59CC">
        <w:rPr>
          <w:rFonts w:ascii="AvenirNext-Regular" w:hAnsi="AvenirNext-Regular" w:cs="AvenirNext-Regular"/>
        </w:rPr>
        <w:tab/>
      </w:r>
      <w:r w:rsidR="00406527" w:rsidRPr="002F59CC">
        <w:rPr>
          <w:rFonts w:ascii="AvenirNext-Regular" w:hAnsi="AvenirNext-Regular" w:cs="AvenirNext-Regular"/>
        </w:rPr>
        <w:tab/>
      </w:r>
      <w:r>
        <w:rPr>
          <w:rFonts w:ascii="AvenirNext-Regular" w:hAnsi="AvenirNext-Regular" w:cs="AvenirNext-Regular"/>
        </w:rPr>
        <w:tab/>
        <w:t>10</w:t>
      </w:r>
    </w:p>
    <w:p w:rsidR="00362654" w:rsidRPr="005C1787" w:rsidRDefault="00362654" w:rsidP="00362654">
      <w:pPr>
        <w:pStyle w:val="ListParagraph"/>
        <w:rPr>
          <w:rFonts w:ascii="AvenirNext-Regular" w:hAnsi="AvenirNext-Regular" w:cs="AvenirNext-Regular"/>
        </w:rPr>
      </w:pPr>
    </w:p>
    <w:p w:rsidR="002F59CC" w:rsidRPr="002F59CC" w:rsidRDefault="002F59CC" w:rsidP="002F59CC">
      <w:pPr>
        <w:pStyle w:val="ListParagraph"/>
        <w:numPr>
          <w:ilvl w:val="0"/>
          <w:numId w:val="14"/>
        </w:numPr>
        <w:rPr>
          <w:rFonts w:ascii="AvenirNext-Regular" w:hAnsi="AvenirNext-Regular" w:cs="AvenirNext-Regular"/>
        </w:rPr>
      </w:pPr>
      <w:r w:rsidRPr="002F59CC">
        <w:rPr>
          <w:rFonts w:ascii="AvenirNext-Regular" w:hAnsi="AvenirNext-Regular" w:cs="AvenirNext-Regular"/>
        </w:rPr>
        <w:t>Proposed restructuring – financial considerations and method of implementation</w:t>
      </w:r>
      <w:r>
        <w:rPr>
          <w:rFonts w:ascii="AvenirNext-Regular" w:hAnsi="AvenirNext-Regular" w:cs="AvenirNext-Regular"/>
        </w:rPr>
        <w:tab/>
        <w:t>11</w:t>
      </w:r>
    </w:p>
    <w:p w:rsidR="002F59CC" w:rsidRDefault="002F59CC" w:rsidP="002F59CC">
      <w:pPr>
        <w:pStyle w:val="ListParagraph"/>
        <w:spacing w:after="0" w:line="240" w:lineRule="auto"/>
        <w:rPr>
          <w:rFonts w:ascii="AvenirNext-Regular" w:hAnsi="AvenirNext-Regular" w:cs="AvenirNext-Regular"/>
        </w:rPr>
      </w:pPr>
    </w:p>
    <w:p w:rsidR="002F59CC" w:rsidRPr="002F59CC" w:rsidRDefault="002F59CC" w:rsidP="002F59CC">
      <w:pPr>
        <w:pStyle w:val="ListParagraph"/>
        <w:numPr>
          <w:ilvl w:val="0"/>
          <w:numId w:val="14"/>
        </w:numPr>
        <w:spacing w:after="0" w:line="360" w:lineRule="auto"/>
        <w:rPr>
          <w:rFonts w:cstheme="minorHAnsi"/>
          <w:sz w:val="20"/>
          <w:szCs w:val="20"/>
        </w:rPr>
      </w:pPr>
      <w:r w:rsidRPr="002F59CC">
        <w:rPr>
          <w:rFonts w:ascii="AvenirNext-Regular" w:hAnsi="AvenirNext-Regular" w:cs="AvenirNext-Regular"/>
        </w:rPr>
        <w:t>Implementation of the restructuring plan</w:t>
      </w:r>
      <w:r w:rsidRPr="002F59CC">
        <w:rPr>
          <w:rFonts w:ascii="AvenirNext-Regular" w:hAnsi="AvenirNext-Regular" w:cs="AvenirNext-Regular"/>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F59CC">
        <w:rPr>
          <w:rFonts w:ascii="AvenirNext-Regular" w:hAnsi="AvenirNext-Regular" w:cs="AvenirNext-Regular"/>
        </w:rPr>
        <w:t>12</w:t>
      </w:r>
    </w:p>
    <w:p w:rsidR="00362654" w:rsidRDefault="00362654" w:rsidP="002F59CC">
      <w:pPr>
        <w:pStyle w:val="ListParagraph"/>
        <w:spacing w:after="0" w:line="240" w:lineRule="auto"/>
        <w:rPr>
          <w:rFonts w:cstheme="minorHAnsi"/>
          <w:sz w:val="20"/>
          <w:szCs w:val="20"/>
        </w:rPr>
      </w:pPr>
    </w:p>
    <w:p w:rsidR="002F59CC" w:rsidRPr="002F59CC" w:rsidRDefault="002F59CC" w:rsidP="002F59CC">
      <w:pPr>
        <w:pStyle w:val="ListParagraph"/>
        <w:numPr>
          <w:ilvl w:val="0"/>
          <w:numId w:val="14"/>
        </w:numPr>
        <w:spacing w:after="0" w:line="360" w:lineRule="auto"/>
        <w:rPr>
          <w:rFonts w:cstheme="minorHAnsi"/>
          <w:sz w:val="20"/>
          <w:szCs w:val="20"/>
        </w:rPr>
      </w:pPr>
      <w:r w:rsidRPr="002F59CC">
        <w:rPr>
          <w:rFonts w:ascii="AvenirNext-Regular" w:hAnsi="AvenirNext-Regular" w:cs="AvenirNext-Regular"/>
        </w:rPr>
        <w:t>Specific considerations relating to implementing the Chapter 11 Plan</w:t>
      </w:r>
      <w:r>
        <w:rPr>
          <w:rFonts w:ascii="AvenirNext-Regular" w:hAnsi="AvenirNext-Regular" w:cs="AvenirNext-Regular"/>
        </w:rPr>
        <w:tab/>
      </w:r>
      <w:r>
        <w:rPr>
          <w:rFonts w:ascii="AvenirNext-Regular" w:hAnsi="AvenirNext-Regular" w:cs="AvenirNext-Regular"/>
        </w:rPr>
        <w:tab/>
      </w:r>
      <w:r>
        <w:rPr>
          <w:rFonts w:ascii="AvenirNext-Regular" w:hAnsi="AvenirNext-Regular" w:cs="AvenirNext-Regular"/>
        </w:rPr>
        <w:tab/>
        <w:t>13</w:t>
      </w:r>
    </w:p>
    <w:p w:rsidR="00406527" w:rsidRPr="002F59CC" w:rsidRDefault="00406527" w:rsidP="002F59CC">
      <w:pPr>
        <w:spacing w:after="0" w:line="240" w:lineRule="auto"/>
        <w:rPr>
          <w:rFonts w:ascii="AvenirNext-Regular" w:hAnsi="AvenirNext-Regular" w:cs="AvenirNext-Regular"/>
        </w:rPr>
      </w:pPr>
    </w:p>
    <w:p w:rsidR="00362654" w:rsidRDefault="00362654" w:rsidP="00362654">
      <w:pPr>
        <w:pStyle w:val="ListParagraph"/>
        <w:rPr>
          <w:rFonts w:ascii="AvenirNext-Regular" w:hAnsi="AvenirNext-Regular" w:cs="AvenirNext-Regular"/>
        </w:rPr>
      </w:pPr>
      <w:r>
        <w:rPr>
          <w:rFonts w:ascii="AvenirNext-Regular" w:hAnsi="AvenirNext-Regular" w:cs="AvenirNext-Regular"/>
        </w:rPr>
        <w:t>Bibliography</w:t>
      </w:r>
      <w:r>
        <w:rPr>
          <w:rFonts w:ascii="AvenirNext-Regular" w:hAnsi="AvenirNext-Regular" w:cs="AvenirNext-Regular"/>
        </w:rPr>
        <w:tab/>
      </w:r>
      <w:r>
        <w:rPr>
          <w:rFonts w:ascii="AvenirNext-Regular" w:hAnsi="AvenirNext-Regular" w:cs="AvenirNext-Regular"/>
        </w:rPr>
        <w:tab/>
      </w:r>
      <w:r>
        <w:rPr>
          <w:rFonts w:ascii="AvenirNext-Regular" w:hAnsi="AvenirNext-Regular" w:cs="AvenirNext-Regular"/>
        </w:rPr>
        <w:tab/>
      </w:r>
      <w:r>
        <w:rPr>
          <w:rFonts w:ascii="AvenirNext-Regular" w:hAnsi="AvenirNext-Regular" w:cs="AvenirNext-Regular"/>
        </w:rPr>
        <w:tab/>
      </w:r>
      <w:r>
        <w:rPr>
          <w:rFonts w:ascii="AvenirNext-Regular" w:hAnsi="AvenirNext-Regular" w:cs="AvenirNext-Regular"/>
        </w:rPr>
        <w:tab/>
      </w:r>
      <w:r>
        <w:rPr>
          <w:rFonts w:ascii="AvenirNext-Regular" w:hAnsi="AvenirNext-Regular" w:cs="AvenirNext-Regular"/>
        </w:rPr>
        <w:tab/>
      </w:r>
      <w:r>
        <w:rPr>
          <w:rFonts w:ascii="AvenirNext-Regular" w:hAnsi="AvenirNext-Regular" w:cs="AvenirNext-Regular"/>
        </w:rPr>
        <w:tab/>
      </w:r>
      <w:r>
        <w:rPr>
          <w:rFonts w:ascii="AvenirNext-Regular" w:hAnsi="AvenirNext-Regular" w:cs="AvenirNext-Regular"/>
        </w:rPr>
        <w:tab/>
      </w:r>
      <w:r>
        <w:rPr>
          <w:rFonts w:ascii="AvenirNext-Regular" w:hAnsi="AvenirNext-Regular" w:cs="AvenirNext-Regular"/>
        </w:rPr>
        <w:tab/>
      </w:r>
      <w:r w:rsidR="002F59CC">
        <w:rPr>
          <w:rFonts w:ascii="AvenirNext-Regular" w:hAnsi="AvenirNext-Regular" w:cs="AvenirNext-Regular"/>
        </w:rPr>
        <w:tab/>
      </w:r>
      <w:r>
        <w:rPr>
          <w:rFonts w:ascii="AvenirNext-Regular" w:hAnsi="AvenirNext-Regular" w:cs="AvenirNext-Regular"/>
        </w:rPr>
        <w:t>1</w:t>
      </w:r>
      <w:r w:rsidR="002F59CC">
        <w:rPr>
          <w:rFonts w:ascii="AvenirNext-Regular" w:hAnsi="AvenirNext-Regular" w:cs="AvenirNext-Regular"/>
        </w:rPr>
        <w:t>6</w:t>
      </w:r>
    </w:p>
    <w:p w:rsidR="00362654" w:rsidRDefault="00362654" w:rsidP="007102A2">
      <w:pPr>
        <w:pStyle w:val="BodyText"/>
        <w:spacing w:line="360" w:lineRule="auto"/>
        <w:rPr>
          <w:rFonts w:cstheme="minorHAnsi"/>
          <w:b/>
          <w:sz w:val="20"/>
          <w:szCs w:val="20"/>
        </w:rPr>
      </w:pPr>
    </w:p>
    <w:p w:rsidR="00362654" w:rsidRDefault="00362654" w:rsidP="007102A2">
      <w:pPr>
        <w:pStyle w:val="BodyText"/>
        <w:spacing w:line="360" w:lineRule="auto"/>
        <w:rPr>
          <w:rFonts w:cstheme="minorHAnsi"/>
          <w:b/>
          <w:sz w:val="20"/>
          <w:szCs w:val="20"/>
        </w:rPr>
      </w:pPr>
    </w:p>
    <w:p w:rsidR="00362654" w:rsidRDefault="00362654" w:rsidP="007102A2">
      <w:pPr>
        <w:pStyle w:val="BodyText"/>
        <w:spacing w:line="360" w:lineRule="auto"/>
        <w:rPr>
          <w:rFonts w:cstheme="minorHAnsi"/>
          <w:b/>
          <w:sz w:val="20"/>
          <w:szCs w:val="20"/>
        </w:rPr>
      </w:pPr>
    </w:p>
    <w:p w:rsidR="00406527" w:rsidRDefault="00406527" w:rsidP="007102A2">
      <w:pPr>
        <w:pStyle w:val="BodyText"/>
        <w:spacing w:line="360" w:lineRule="auto"/>
        <w:rPr>
          <w:rFonts w:cstheme="minorHAnsi"/>
          <w:b/>
          <w:sz w:val="20"/>
          <w:szCs w:val="20"/>
        </w:rPr>
      </w:pPr>
    </w:p>
    <w:p w:rsidR="00406527" w:rsidRDefault="00406527" w:rsidP="007102A2">
      <w:pPr>
        <w:pStyle w:val="BodyText"/>
        <w:spacing w:line="360" w:lineRule="auto"/>
        <w:rPr>
          <w:rFonts w:cstheme="minorHAnsi"/>
          <w:b/>
          <w:sz w:val="20"/>
          <w:szCs w:val="20"/>
        </w:rPr>
      </w:pPr>
    </w:p>
    <w:p w:rsidR="00406527" w:rsidRDefault="00406527" w:rsidP="007102A2">
      <w:pPr>
        <w:pStyle w:val="BodyText"/>
        <w:spacing w:line="360" w:lineRule="auto"/>
        <w:rPr>
          <w:rFonts w:cstheme="minorHAnsi"/>
          <w:b/>
          <w:sz w:val="20"/>
          <w:szCs w:val="20"/>
        </w:rPr>
      </w:pPr>
    </w:p>
    <w:p w:rsidR="005376C5" w:rsidRPr="007728B8" w:rsidRDefault="007728B8" w:rsidP="007728B8">
      <w:pPr>
        <w:pStyle w:val="BodyText"/>
        <w:numPr>
          <w:ilvl w:val="0"/>
          <w:numId w:val="16"/>
        </w:numPr>
        <w:spacing w:line="360" w:lineRule="auto"/>
        <w:rPr>
          <w:rFonts w:cstheme="minorHAnsi"/>
          <w:b/>
          <w:sz w:val="20"/>
          <w:szCs w:val="20"/>
          <w:lang w:val="en-GB"/>
        </w:rPr>
      </w:pPr>
      <w:r w:rsidRPr="007728B8">
        <w:rPr>
          <w:rFonts w:cstheme="minorHAnsi"/>
          <w:b/>
          <w:sz w:val="20"/>
          <w:szCs w:val="20"/>
          <w:lang w:val="en-GB"/>
        </w:rPr>
        <w:t>Introduction</w:t>
      </w:r>
    </w:p>
    <w:p w:rsidR="005376C5" w:rsidRPr="007728B8" w:rsidRDefault="00E80584" w:rsidP="007728B8">
      <w:pPr>
        <w:pStyle w:val="BodyText"/>
        <w:numPr>
          <w:ilvl w:val="1"/>
          <w:numId w:val="16"/>
        </w:numPr>
        <w:spacing w:line="360" w:lineRule="auto"/>
        <w:rPr>
          <w:rFonts w:cstheme="minorHAnsi"/>
          <w:sz w:val="20"/>
          <w:szCs w:val="20"/>
          <w:lang w:val="en-GB"/>
        </w:rPr>
      </w:pPr>
      <w:r w:rsidRPr="007728B8">
        <w:rPr>
          <w:rFonts w:cstheme="minorHAnsi"/>
          <w:sz w:val="20"/>
          <w:szCs w:val="20"/>
          <w:lang w:val="en-GB"/>
        </w:rPr>
        <w:t xml:space="preserve">I </w:t>
      </w:r>
      <w:r w:rsidR="00D02276" w:rsidRPr="007728B8">
        <w:rPr>
          <w:rFonts w:cstheme="minorHAnsi"/>
          <w:sz w:val="20"/>
          <w:szCs w:val="20"/>
          <w:lang w:val="en-GB"/>
        </w:rPr>
        <w:t xml:space="preserve">have been engaged by </w:t>
      </w:r>
      <w:r w:rsidR="000B7DB3">
        <w:rPr>
          <w:rFonts w:cstheme="minorHAnsi"/>
          <w:sz w:val="20"/>
          <w:szCs w:val="20"/>
          <w:lang w:val="en-GB"/>
        </w:rPr>
        <w:t>the General Counsel (“</w:t>
      </w:r>
      <w:r w:rsidR="000B7DB3" w:rsidRPr="00A4271B">
        <w:rPr>
          <w:rFonts w:cstheme="minorHAnsi"/>
          <w:b/>
          <w:sz w:val="20"/>
          <w:szCs w:val="20"/>
          <w:lang w:val="en-GB"/>
        </w:rPr>
        <w:t>GC</w:t>
      </w:r>
      <w:r w:rsidR="000B7DB3">
        <w:rPr>
          <w:rFonts w:cstheme="minorHAnsi"/>
          <w:sz w:val="20"/>
          <w:szCs w:val="20"/>
          <w:lang w:val="en-GB"/>
        </w:rPr>
        <w:t xml:space="preserve">”) of </w:t>
      </w:r>
      <w:r w:rsidR="007B1FC7" w:rsidRPr="007728B8">
        <w:rPr>
          <w:rFonts w:cstheme="minorHAnsi"/>
          <w:sz w:val="20"/>
          <w:szCs w:val="20"/>
          <w:lang w:val="en-GB"/>
        </w:rPr>
        <w:t>Benedict Maximov (“</w:t>
      </w:r>
      <w:r w:rsidR="007B1FC7" w:rsidRPr="00A4271B">
        <w:rPr>
          <w:rFonts w:cstheme="minorHAnsi"/>
          <w:b/>
          <w:sz w:val="20"/>
          <w:szCs w:val="20"/>
          <w:lang w:val="en-GB"/>
        </w:rPr>
        <w:t>Maximov</w:t>
      </w:r>
      <w:r w:rsidR="007B1FC7" w:rsidRPr="007728B8">
        <w:rPr>
          <w:rFonts w:cstheme="minorHAnsi"/>
          <w:sz w:val="20"/>
          <w:szCs w:val="20"/>
          <w:lang w:val="en-GB"/>
        </w:rPr>
        <w:t xml:space="preserve">”) to review the current situation of Efwon Group and to advise on a strategy for the restructuring of Efwon Group. </w:t>
      </w:r>
    </w:p>
    <w:p w:rsidR="007B1FC7" w:rsidRPr="007728B8" w:rsidRDefault="007B1FC7" w:rsidP="007728B8">
      <w:pPr>
        <w:pStyle w:val="BodyText"/>
        <w:numPr>
          <w:ilvl w:val="1"/>
          <w:numId w:val="16"/>
        </w:numPr>
        <w:spacing w:line="360" w:lineRule="auto"/>
        <w:rPr>
          <w:rFonts w:cstheme="minorHAnsi"/>
          <w:sz w:val="20"/>
          <w:szCs w:val="20"/>
          <w:lang w:val="en-GB"/>
        </w:rPr>
      </w:pPr>
      <w:r w:rsidRPr="007728B8">
        <w:rPr>
          <w:rFonts w:cstheme="minorHAnsi"/>
          <w:sz w:val="20"/>
          <w:szCs w:val="20"/>
          <w:lang w:val="en-GB"/>
        </w:rPr>
        <w:t xml:space="preserve">Efwon Group was founded </w:t>
      </w:r>
      <w:r w:rsidR="005F7ACF" w:rsidRPr="007728B8">
        <w:rPr>
          <w:rFonts w:cstheme="minorHAnsi"/>
          <w:sz w:val="20"/>
          <w:szCs w:val="20"/>
          <w:lang w:val="en-GB"/>
        </w:rPr>
        <w:t xml:space="preserve">in </w:t>
      </w:r>
      <w:r w:rsidR="00B41129" w:rsidRPr="007728B8">
        <w:rPr>
          <w:rFonts w:cstheme="minorHAnsi"/>
          <w:sz w:val="20"/>
          <w:szCs w:val="20"/>
          <w:lang w:val="en-GB"/>
        </w:rPr>
        <w:t>2014</w:t>
      </w:r>
      <w:r w:rsidR="00A4271B">
        <w:rPr>
          <w:rFonts w:cstheme="minorHAnsi"/>
          <w:sz w:val="20"/>
          <w:szCs w:val="20"/>
          <w:lang w:val="en-GB"/>
        </w:rPr>
        <w:t xml:space="preserve"> to acquire and run an F1 team</w:t>
      </w:r>
      <w:r w:rsidR="00B41129" w:rsidRPr="007728B8">
        <w:rPr>
          <w:rFonts w:cstheme="minorHAnsi"/>
          <w:sz w:val="20"/>
          <w:szCs w:val="20"/>
          <w:lang w:val="en-GB"/>
        </w:rPr>
        <w:t xml:space="preserve">. The group structure is set out below. </w:t>
      </w:r>
    </w:p>
    <w:p w:rsidR="00093F6F" w:rsidRPr="007728B8" w:rsidRDefault="00093F6F" w:rsidP="00093F6F">
      <w:pPr>
        <w:pStyle w:val="BodyText"/>
        <w:spacing w:line="360" w:lineRule="auto"/>
        <w:ind w:left="1440"/>
        <w:rPr>
          <w:rFonts w:cstheme="minorHAnsi"/>
          <w:sz w:val="20"/>
          <w:szCs w:val="20"/>
          <w:lang w:val="en-GB"/>
        </w:rPr>
      </w:pPr>
      <w:r>
        <w:rPr>
          <w:rFonts w:cstheme="minorHAnsi"/>
          <w:noProof/>
          <w:sz w:val="20"/>
          <w:szCs w:val="20"/>
          <w:lang w:val="en-GB"/>
        </w:rPr>
        <w:drawing>
          <wp:inline distT="0" distB="0" distL="0" distR="0" wp14:anchorId="145B3593">
            <wp:extent cx="5821831" cy="2186609"/>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857" cy="2275257"/>
                    </a:xfrm>
                    <a:prstGeom prst="rect">
                      <a:avLst/>
                    </a:prstGeom>
                    <a:noFill/>
                  </pic:spPr>
                </pic:pic>
              </a:graphicData>
            </a:graphic>
          </wp:inline>
        </w:drawing>
      </w:r>
    </w:p>
    <w:p w:rsidR="00E80584" w:rsidRPr="007728B8" w:rsidRDefault="00E80584" w:rsidP="007728B8">
      <w:pPr>
        <w:pStyle w:val="BodyText"/>
        <w:numPr>
          <w:ilvl w:val="1"/>
          <w:numId w:val="16"/>
        </w:numPr>
        <w:spacing w:line="360" w:lineRule="auto"/>
        <w:rPr>
          <w:rFonts w:cstheme="minorHAnsi"/>
          <w:sz w:val="20"/>
          <w:szCs w:val="20"/>
          <w:lang w:val="en-GB"/>
        </w:rPr>
      </w:pPr>
      <w:r w:rsidRPr="007728B8">
        <w:rPr>
          <w:rFonts w:cstheme="minorHAnsi"/>
          <w:sz w:val="20"/>
          <w:szCs w:val="20"/>
          <w:lang w:val="en-GB"/>
        </w:rPr>
        <w:t xml:space="preserve">In addition to the briefing note provided, a long </w:t>
      </w:r>
      <w:r w:rsidR="007C1FC7" w:rsidRPr="007728B8">
        <w:rPr>
          <w:rFonts w:cstheme="minorHAnsi"/>
          <w:sz w:val="20"/>
          <w:szCs w:val="20"/>
          <w:lang w:val="en-GB"/>
        </w:rPr>
        <w:t xml:space="preserve">and helpful </w:t>
      </w:r>
      <w:r w:rsidRPr="007728B8">
        <w:rPr>
          <w:rFonts w:cstheme="minorHAnsi"/>
          <w:sz w:val="20"/>
          <w:szCs w:val="20"/>
          <w:lang w:val="en-GB"/>
        </w:rPr>
        <w:t xml:space="preserve">conference call with the GC </w:t>
      </w:r>
      <w:r w:rsidR="007C1FC7" w:rsidRPr="007728B8">
        <w:rPr>
          <w:rFonts w:cstheme="minorHAnsi"/>
          <w:sz w:val="20"/>
          <w:szCs w:val="20"/>
          <w:lang w:val="en-GB"/>
        </w:rPr>
        <w:t>(</w:t>
      </w:r>
      <w:r w:rsidRPr="007728B8">
        <w:rPr>
          <w:rFonts w:cstheme="minorHAnsi"/>
          <w:sz w:val="20"/>
          <w:szCs w:val="20"/>
          <w:lang w:val="en-GB"/>
        </w:rPr>
        <w:t>“</w:t>
      </w:r>
      <w:r w:rsidRPr="00A4271B">
        <w:rPr>
          <w:rFonts w:cstheme="minorHAnsi"/>
          <w:b/>
          <w:sz w:val="20"/>
          <w:szCs w:val="20"/>
          <w:lang w:val="en-GB"/>
        </w:rPr>
        <w:t>the Call</w:t>
      </w:r>
      <w:r w:rsidRPr="007728B8">
        <w:rPr>
          <w:rFonts w:cstheme="minorHAnsi"/>
          <w:sz w:val="20"/>
          <w:szCs w:val="20"/>
          <w:lang w:val="en-GB"/>
        </w:rPr>
        <w:t xml:space="preserve">”) has provided additional information which I have </w:t>
      </w:r>
      <w:r w:rsidR="007C1FC7" w:rsidRPr="007728B8">
        <w:rPr>
          <w:rFonts w:cstheme="minorHAnsi"/>
          <w:sz w:val="20"/>
          <w:szCs w:val="20"/>
          <w:lang w:val="en-GB"/>
        </w:rPr>
        <w:t>considered</w:t>
      </w:r>
      <w:r w:rsidRPr="007728B8">
        <w:rPr>
          <w:rFonts w:cstheme="minorHAnsi"/>
          <w:sz w:val="20"/>
          <w:szCs w:val="20"/>
          <w:lang w:val="en-GB"/>
        </w:rPr>
        <w:t xml:space="preserve"> in providing this memorandum of advice. </w:t>
      </w:r>
      <w:r w:rsidR="007C1FC7" w:rsidRPr="007728B8">
        <w:rPr>
          <w:rFonts w:cstheme="minorHAnsi"/>
          <w:sz w:val="20"/>
          <w:szCs w:val="20"/>
          <w:lang w:val="en-GB"/>
        </w:rPr>
        <w:t xml:space="preserve">Details of information disclosed to me in the Call have been referenced below. </w:t>
      </w:r>
    </w:p>
    <w:p w:rsidR="00B41129" w:rsidRPr="007728B8" w:rsidRDefault="007728B8" w:rsidP="007728B8">
      <w:pPr>
        <w:pStyle w:val="BodyText"/>
        <w:numPr>
          <w:ilvl w:val="1"/>
          <w:numId w:val="16"/>
        </w:numPr>
        <w:spacing w:line="360" w:lineRule="auto"/>
        <w:rPr>
          <w:rFonts w:cstheme="minorHAnsi"/>
          <w:sz w:val="20"/>
          <w:szCs w:val="20"/>
          <w:lang w:val="en-GB"/>
        </w:rPr>
      </w:pPr>
      <w:r>
        <w:rPr>
          <w:rFonts w:cstheme="minorHAnsi"/>
          <w:sz w:val="20"/>
          <w:szCs w:val="20"/>
          <w:lang w:val="en-GB"/>
        </w:rPr>
        <w:t xml:space="preserve">As requested during the Call, </w:t>
      </w:r>
      <w:r w:rsidR="000B7DB3">
        <w:rPr>
          <w:rFonts w:cstheme="minorHAnsi"/>
          <w:sz w:val="20"/>
          <w:szCs w:val="20"/>
          <w:lang w:val="en-GB"/>
        </w:rPr>
        <w:t xml:space="preserve">in addition to setting out my advice on the best way to proceed with the restructuring, </w:t>
      </w:r>
      <w:r w:rsidR="00A14951">
        <w:rPr>
          <w:rFonts w:cstheme="minorHAnsi"/>
          <w:sz w:val="20"/>
          <w:szCs w:val="20"/>
          <w:lang w:val="en-GB"/>
        </w:rPr>
        <w:t xml:space="preserve">I have </w:t>
      </w:r>
      <w:r w:rsidR="000B7DB3">
        <w:rPr>
          <w:rFonts w:cstheme="minorHAnsi"/>
          <w:sz w:val="20"/>
          <w:szCs w:val="20"/>
          <w:lang w:val="en-GB"/>
        </w:rPr>
        <w:t xml:space="preserve">also </w:t>
      </w:r>
      <w:r w:rsidR="00A14951">
        <w:rPr>
          <w:rFonts w:cstheme="minorHAnsi"/>
          <w:sz w:val="20"/>
          <w:szCs w:val="20"/>
          <w:lang w:val="en-GB"/>
        </w:rPr>
        <w:t>set out an overview of the restructuring options available in the key jurisdictions</w:t>
      </w:r>
      <w:r w:rsidR="000B7DB3">
        <w:rPr>
          <w:rFonts w:cstheme="minorHAnsi"/>
          <w:sz w:val="20"/>
          <w:szCs w:val="20"/>
          <w:lang w:val="en-GB"/>
        </w:rPr>
        <w:t xml:space="preserve"> even where they are not </w:t>
      </w:r>
      <w:r w:rsidR="00A4271B">
        <w:rPr>
          <w:rFonts w:cstheme="minorHAnsi"/>
          <w:sz w:val="20"/>
          <w:szCs w:val="20"/>
          <w:lang w:val="en-GB"/>
        </w:rPr>
        <w:t xml:space="preserve">the </w:t>
      </w:r>
      <w:r w:rsidR="000B7DB3">
        <w:rPr>
          <w:rFonts w:cstheme="minorHAnsi"/>
          <w:sz w:val="20"/>
          <w:szCs w:val="20"/>
          <w:lang w:val="en-GB"/>
        </w:rPr>
        <w:t>recommended</w:t>
      </w:r>
      <w:r w:rsidR="00A4271B">
        <w:rPr>
          <w:rFonts w:cstheme="minorHAnsi"/>
          <w:sz w:val="20"/>
          <w:szCs w:val="20"/>
          <w:lang w:val="en-GB"/>
        </w:rPr>
        <w:t xml:space="preserve"> approach</w:t>
      </w:r>
      <w:r w:rsidR="000B7DB3">
        <w:rPr>
          <w:rFonts w:cstheme="minorHAnsi"/>
          <w:sz w:val="20"/>
          <w:szCs w:val="20"/>
          <w:lang w:val="en-GB"/>
        </w:rPr>
        <w:t xml:space="preserve">. </w:t>
      </w:r>
      <w:r w:rsidR="00A14951">
        <w:rPr>
          <w:rFonts w:cstheme="minorHAnsi"/>
          <w:sz w:val="20"/>
          <w:szCs w:val="20"/>
          <w:lang w:val="en-GB"/>
        </w:rPr>
        <w:t xml:space="preserve"> </w:t>
      </w:r>
    </w:p>
    <w:p w:rsidR="0016601C" w:rsidRDefault="0016601C" w:rsidP="007728B8">
      <w:pPr>
        <w:pStyle w:val="BodyText"/>
        <w:numPr>
          <w:ilvl w:val="0"/>
          <w:numId w:val="16"/>
        </w:numPr>
        <w:spacing w:line="360" w:lineRule="auto"/>
        <w:rPr>
          <w:rFonts w:cstheme="minorHAnsi"/>
          <w:b/>
          <w:sz w:val="20"/>
          <w:szCs w:val="20"/>
          <w:lang w:val="en-GB"/>
        </w:rPr>
      </w:pPr>
      <w:r>
        <w:rPr>
          <w:rFonts w:cstheme="minorHAnsi"/>
          <w:b/>
          <w:sz w:val="20"/>
          <w:szCs w:val="20"/>
          <w:lang w:val="en-GB"/>
        </w:rPr>
        <w:t>Detailed background information</w:t>
      </w:r>
      <w:r w:rsidR="00A320F3">
        <w:rPr>
          <w:rFonts w:cstheme="minorHAnsi"/>
          <w:b/>
          <w:sz w:val="20"/>
          <w:szCs w:val="20"/>
          <w:lang w:val="en-GB"/>
        </w:rPr>
        <w:t xml:space="preserve"> and stakeholder analysis</w:t>
      </w:r>
    </w:p>
    <w:p w:rsidR="0016601C" w:rsidRDefault="0016601C" w:rsidP="0016601C">
      <w:pPr>
        <w:pStyle w:val="BodyText"/>
        <w:numPr>
          <w:ilvl w:val="1"/>
          <w:numId w:val="16"/>
        </w:numPr>
        <w:spacing w:line="360" w:lineRule="auto"/>
        <w:rPr>
          <w:rFonts w:cstheme="minorHAnsi"/>
          <w:sz w:val="20"/>
          <w:szCs w:val="20"/>
          <w:lang w:val="en-GB"/>
        </w:rPr>
      </w:pPr>
      <w:r w:rsidRPr="007523D4">
        <w:rPr>
          <w:rFonts w:cstheme="minorHAnsi"/>
          <w:sz w:val="20"/>
          <w:szCs w:val="20"/>
          <w:lang w:val="en-GB"/>
        </w:rPr>
        <w:t xml:space="preserve">Below </w:t>
      </w:r>
      <w:r w:rsidR="00E4237A">
        <w:rPr>
          <w:rFonts w:cstheme="minorHAnsi"/>
          <w:sz w:val="20"/>
          <w:szCs w:val="20"/>
          <w:lang w:val="en-GB"/>
        </w:rPr>
        <w:t xml:space="preserve">I have set out a summary of the key information </w:t>
      </w:r>
      <w:r w:rsidR="000B7DB3">
        <w:rPr>
          <w:rFonts w:cstheme="minorHAnsi"/>
          <w:sz w:val="20"/>
          <w:szCs w:val="20"/>
          <w:lang w:val="en-GB"/>
        </w:rPr>
        <w:t xml:space="preserve">provided to me </w:t>
      </w:r>
      <w:r w:rsidR="00A320F3">
        <w:rPr>
          <w:rFonts w:cstheme="minorHAnsi"/>
          <w:sz w:val="20"/>
          <w:szCs w:val="20"/>
          <w:lang w:val="en-GB"/>
        </w:rPr>
        <w:t xml:space="preserve">that </w:t>
      </w:r>
      <w:r w:rsidR="000B7DB3">
        <w:rPr>
          <w:rFonts w:cstheme="minorHAnsi"/>
          <w:sz w:val="20"/>
          <w:szCs w:val="20"/>
          <w:lang w:val="en-GB"/>
        </w:rPr>
        <w:t xml:space="preserve">I </w:t>
      </w:r>
      <w:r w:rsidR="00A320F3">
        <w:rPr>
          <w:rFonts w:cstheme="minorHAnsi"/>
          <w:sz w:val="20"/>
          <w:szCs w:val="20"/>
          <w:lang w:val="en-GB"/>
        </w:rPr>
        <w:t xml:space="preserve">considered in deciding the best strategy for a restructuring of the Efwon Group. This information is from the briefing note provided, the Call and some additional research undertaken. </w:t>
      </w:r>
    </w:p>
    <w:p w:rsidR="00694C3E" w:rsidRPr="007728B8" w:rsidRDefault="00694C3E" w:rsidP="00694C3E">
      <w:pPr>
        <w:pStyle w:val="ListParagraph"/>
        <w:numPr>
          <w:ilvl w:val="1"/>
          <w:numId w:val="16"/>
        </w:numPr>
        <w:spacing w:line="360" w:lineRule="auto"/>
        <w:rPr>
          <w:rFonts w:cstheme="minorHAnsi"/>
          <w:sz w:val="20"/>
          <w:szCs w:val="20"/>
        </w:rPr>
      </w:pPr>
      <w:r w:rsidRPr="007728B8">
        <w:rPr>
          <w:rFonts w:cstheme="minorHAnsi"/>
          <w:sz w:val="20"/>
          <w:szCs w:val="20"/>
        </w:rPr>
        <w:t>Efwon Romania</w:t>
      </w:r>
      <w:r w:rsidR="000B7DB3">
        <w:rPr>
          <w:rFonts w:cstheme="minorHAnsi"/>
          <w:sz w:val="20"/>
          <w:szCs w:val="20"/>
        </w:rPr>
        <w:t>:</w:t>
      </w:r>
    </w:p>
    <w:p w:rsidR="00694C3E" w:rsidRPr="007728B8" w:rsidRDefault="00694C3E" w:rsidP="00694C3E">
      <w:pPr>
        <w:pStyle w:val="ListParagraph"/>
        <w:numPr>
          <w:ilvl w:val="2"/>
          <w:numId w:val="16"/>
        </w:numPr>
        <w:spacing w:line="360" w:lineRule="auto"/>
        <w:rPr>
          <w:rFonts w:cstheme="minorHAnsi"/>
          <w:sz w:val="20"/>
          <w:szCs w:val="20"/>
        </w:rPr>
      </w:pPr>
      <w:r w:rsidRPr="007728B8">
        <w:rPr>
          <w:rFonts w:cstheme="minorHAnsi"/>
          <w:sz w:val="20"/>
          <w:szCs w:val="20"/>
        </w:rPr>
        <w:t xml:space="preserve">Efwon Romania </w:t>
      </w:r>
      <w:r w:rsidR="000B7DB3">
        <w:rPr>
          <w:rFonts w:cstheme="minorHAnsi"/>
          <w:sz w:val="20"/>
          <w:szCs w:val="20"/>
        </w:rPr>
        <w:t xml:space="preserve">is incorporated in Romania and </w:t>
      </w:r>
      <w:r w:rsidRPr="007728B8">
        <w:rPr>
          <w:rFonts w:cstheme="minorHAnsi"/>
          <w:sz w:val="20"/>
          <w:szCs w:val="20"/>
        </w:rPr>
        <w:t xml:space="preserve">is the key trading entity </w:t>
      </w:r>
      <w:r w:rsidR="000B7DB3">
        <w:rPr>
          <w:rFonts w:cstheme="minorHAnsi"/>
          <w:sz w:val="20"/>
          <w:szCs w:val="20"/>
        </w:rPr>
        <w:t xml:space="preserve">of Efwon Group, holding </w:t>
      </w:r>
      <w:r w:rsidRPr="007728B8">
        <w:rPr>
          <w:rFonts w:cstheme="minorHAnsi"/>
          <w:sz w:val="20"/>
          <w:szCs w:val="20"/>
        </w:rPr>
        <w:t xml:space="preserve">the racing assets and relevant licenses to compete in F1. </w:t>
      </w:r>
    </w:p>
    <w:p w:rsidR="00694C3E" w:rsidRPr="007728B8" w:rsidRDefault="00694C3E" w:rsidP="00694C3E">
      <w:pPr>
        <w:pStyle w:val="ListParagraph"/>
        <w:numPr>
          <w:ilvl w:val="2"/>
          <w:numId w:val="16"/>
        </w:numPr>
        <w:spacing w:line="360" w:lineRule="auto"/>
        <w:rPr>
          <w:rFonts w:cstheme="minorHAnsi"/>
          <w:sz w:val="20"/>
          <w:szCs w:val="20"/>
        </w:rPr>
      </w:pPr>
      <w:r w:rsidRPr="007728B8">
        <w:rPr>
          <w:rFonts w:cstheme="minorHAnsi"/>
          <w:sz w:val="20"/>
          <w:szCs w:val="20"/>
        </w:rPr>
        <w:lastRenderedPageBreak/>
        <w:t>Efwon Romania is facing a lawsuit from the team</w:t>
      </w:r>
      <w:r w:rsidR="000B7DB3">
        <w:rPr>
          <w:rFonts w:cstheme="minorHAnsi"/>
          <w:sz w:val="20"/>
          <w:szCs w:val="20"/>
        </w:rPr>
        <w:t>’</w:t>
      </w:r>
      <w:r w:rsidRPr="007728B8">
        <w:rPr>
          <w:rFonts w:cstheme="minorHAnsi"/>
          <w:sz w:val="20"/>
          <w:szCs w:val="20"/>
        </w:rPr>
        <w:t>s two Romanian drivers</w:t>
      </w:r>
      <w:r w:rsidR="000B7DB3">
        <w:rPr>
          <w:rFonts w:cstheme="minorHAnsi"/>
          <w:sz w:val="20"/>
          <w:szCs w:val="20"/>
        </w:rPr>
        <w:t xml:space="preserve"> (“</w:t>
      </w:r>
      <w:r w:rsidR="000B7DB3" w:rsidRPr="00A4271B">
        <w:rPr>
          <w:rFonts w:cstheme="minorHAnsi"/>
          <w:b/>
          <w:sz w:val="20"/>
          <w:szCs w:val="20"/>
        </w:rPr>
        <w:t>the Drivers</w:t>
      </w:r>
      <w:r w:rsidR="000B7DB3">
        <w:rPr>
          <w:rFonts w:cstheme="minorHAnsi"/>
          <w:sz w:val="20"/>
          <w:szCs w:val="20"/>
        </w:rPr>
        <w:t>”)</w:t>
      </w:r>
      <w:r w:rsidRPr="007728B8">
        <w:rPr>
          <w:rFonts w:cstheme="minorHAnsi"/>
          <w:sz w:val="20"/>
          <w:szCs w:val="20"/>
        </w:rPr>
        <w:t xml:space="preserve">, </w:t>
      </w:r>
      <w:r w:rsidR="000B7DB3">
        <w:rPr>
          <w:rFonts w:cstheme="minorHAnsi"/>
          <w:sz w:val="20"/>
          <w:szCs w:val="20"/>
        </w:rPr>
        <w:t xml:space="preserve">as well as </w:t>
      </w:r>
      <w:r w:rsidRPr="007728B8">
        <w:rPr>
          <w:rFonts w:cstheme="minorHAnsi"/>
          <w:sz w:val="20"/>
          <w:szCs w:val="20"/>
        </w:rPr>
        <w:t>a winding up petition and an asset freez</w:t>
      </w:r>
      <w:r w:rsidR="000B7DB3">
        <w:rPr>
          <w:rFonts w:cstheme="minorHAnsi"/>
          <w:sz w:val="20"/>
          <w:szCs w:val="20"/>
        </w:rPr>
        <w:t>ing order</w:t>
      </w:r>
      <w:r w:rsidRPr="007728B8">
        <w:rPr>
          <w:rFonts w:cstheme="minorHAnsi"/>
          <w:sz w:val="20"/>
          <w:szCs w:val="20"/>
        </w:rPr>
        <w:t xml:space="preserve">. </w:t>
      </w:r>
    </w:p>
    <w:p w:rsidR="00694C3E" w:rsidRPr="007728B8" w:rsidRDefault="00694C3E" w:rsidP="00694C3E">
      <w:pPr>
        <w:pStyle w:val="ListParagraph"/>
        <w:numPr>
          <w:ilvl w:val="2"/>
          <w:numId w:val="16"/>
        </w:numPr>
        <w:spacing w:line="360" w:lineRule="auto"/>
        <w:rPr>
          <w:rFonts w:cstheme="minorHAnsi"/>
          <w:sz w:val="20"/>
          <w:szCs w:val="20"/>
        </w:rPr>
      </w:pPr>
      <w:r w:rsidRPr="007728B8">
        <w:rPr>
          <w:rFonts w:cstheme="minorHAnsi"/>
          <w:sz w:val="20"/>
          <w:szCs w:val="20"/>
        </w:rPr>
        <w:t xml:space="preserve">The local Romanian </w:t>
      </w:r>
      <w:r w:rsidR="000B7DB3">
        <w:rPr>
          <w:rFonts w:cstheme="minorHAnsi"/>
          <w:sz w:val="20"/>
          <w:szCs w:val="20"/>
        </w:rPr>
        <w:t>d</w:t>
      </w:r>
      <w:r w:rsidRPr="007728B8">
        <w:rPr>
          <w:rFonts w:cstheme="minorHAnsi"/>
          <w:sz w:val="20"/>
          <w:szCs w:val="20"/>
        </w:rPr>
        <w:t xml:space="preserve">irectors are nervous about the position </w:t>
      </w:r>
      <w:r w:rsidR="000B7DB3">
        <w:rPr>
          <w:rFonts w:cstheme="minorHAnsi"/>
          <w:sz w:val="20"/>
          <w:szCs w:val="20"/>
        </w:rPr>
        <w:t xml:space="preserve">of the company </w:t>
      </w:r>
      <w:r w:rsidRPr="007728B8">
        <w:rPr>
          <w:rFonts w:cstheme="minorHAnsi"/>
          <w:sz w:val="20"/>
          <w:szCs w:val="20"/>
        </w:rPr>
        <w:t xml:space="preserve">given the above issues. </w:t>
      </w:r>
    </w:p>
    <w:p w:rsidR="00694C3E" w:rsidRPr="007728B8" w:rsidRDefault="00694C3E" w:rsidP="00694C3E">
      <w:pPr>
        <w:pStyle w:val="ListParagraph"/>
        <w:numPr>
          <w:ilvl w:val="2"/>
          <w:numId w:val="16"/>
        </w:numPr>
        <w:spacing w:line="360" w:lineRule="auto"/>
        <w:rPr>
          <w:rFonts w:cstheme="minorHAnsi"/>
          <w:sz w:val="20"/>
          <w:szCs w:val="20"/>
        </w:rPr>
      </w:pPr>
      <w:r w:rsidRPr="007728B8">
        <w:rPr>
          <w:rFonts w:cstheme="minorHAnsi"/>
          <w:sz w:val="20"/>
          <w:szCs w:val="20"/>
        </w:rPr>
        <w:t>From the Call, I understand that the legal advice you have received in Romania is that:</w:t>
      </w:r>
    </w:p>
    <w:p w:rsidR="00694C3E" w:rsidRPr="007728B8" w:rsidRDefault="00694C3E" w:rsidP="00694C3E">
      <w:pPr>
        <w:pStyle w:val="ListParagraph"/>
        <w:numPr>
          <w:ilvl w:val="3"/>
          <w:numId w:val="16"/>
        </w:numPr>
        <w:spacing w:line="360" w:lineRule="auto"/>
        <w:rPr>
          <w:rFonts w:cstheme="minorHAnsi"/>
          <w:sz w:val="20"/>
          <w:szCs w:val="20"/>
        </w:rPr>
      </w:pPr>
      <w:r w:rsidRPr="007728B8">
        <w:rPr>
          <w:rFonts w:cstheme="minorHAnsi"/>
          <w:sz w:val="20"/>
          <w:szCs w:val="20"/>
        </w:rPr>
        <w:t xml:space="preserve">The Drivers case </w:t>
      </w:r>
      <w:r w:rsidR="00A4271B">
        <w:rPr>
          <w:rFonts w:cstheme="minorHAnsi"/>
          <w:sz w:val="20"/>
          <w:szCs w:val="20"/>
        </w:rPr>
        <w:t xml:space="preserve">has some merit but that it is understood that they wish to get a quick settlement rather than a protracted legal action </w:t>
      </w:r>
      <w:r w:rsidRPr="007728B8">
        <w:rPr>
          <w:rFonts w:cstheme="minorHAnsi"/>
          <w:sz w:val="20"/>
          <w:szCs w:val="20"/>
        </w:rPr>
        <w:t xml:space="preserve">and </w:t>
      </w:r>
      <w:r w:rsidR="00A4271B">
        <w:rPr>
          <w:rFonts w:cstheme="minorHAnsi"/>
          <w:sz w:val="20"/>
          <w:szCs w:val="20"/>
        </w:rPr>
        <w:t xml:space="preserve">the aggressive legal filings are a </w:t>
      </w:r>
      <w:r w:rsidRPr="007728B8">
        <w:rPr>
          <w:rFonts w:cstheme="minorHAnsi"/>
          <w:sz w:val="20"/>
          <w:szCs w:val="20"/>
        </w:rPr>
        <w:t xml:space="preserve">tactic to force a settlement given that they expected to not have their contracts renewed due to speculation about a takeover by KuasaNas. </w:t>
      </w:r>
    </w:p>
    <w:p w:rsidR="00694C3E" w:rsidRDefault="00694C3E" w:rsidP="00694C3E">
      <w:pPr>
        <w:pStyle w:val="ListParagraph"/>
        <w:numPr>
          <w:ilvl w:val="3"/>
          <w:numId w:val="16"/>
        </w:numPr>
        <w:spacing w:line="360" w:lineRule="auto"/>
        <w:rPr>
          <w:rFonts w:cstheme="minorHAnsi"/>
          <w:sz w:val="20"/>
          <w:szCs w:val="20"/>
        </w:rPr>
      </w:pPr>
      <w:r w:rsidRPr="007728B8">
        <w:rPr>
          <w:rFonts w:cstheme="minorHAnsi"/>
          <w:sz w:val="20"/>
          <w:szCs w:val="20"/>
        </w:rPr>
        <w:t>The Drivers are expected to be agree to drop all claims</w:t>
      </w:r>
      <w:r w:rsidR="000B7DB3">
        <w:rPr>
          <w:rFonts w:cstheme="minorHAnsi"/>
          <w:sz w:val="20"/>
          <w:szCs w:val="20"/>
        </w:rPr>
        <w:t xml:space="preserve"> against Efwon Romania</w:t>
      </w:r>
      <w:r w:rsidRPr="007728B8">
        <w:rPr>
          <w:rFonts w:cstheme="minorHAnsi"/>
          <w:sz w:val="20"/>
          <w:szCs w:val="20"/>
        </w:rPr>
        <w:t xml:space="preserve"> for a payment of USD</w:t>
      </w:r>
      <w:r w:rsidR="000B7DB3">
        <w:rPr>
          <w:rFonts w:cstheme="minorHAnsi"/>
          <w:sz w:val="20"/>
          <w:szCs w:val="20"/>
        </w:rPr>
        <w:t xml:space="preserve"> </w:t>
      </w:r>
      <w:r w:rsidRPr="007728B8">
        <w:rPr>
          <w:rFonts w:cstheme="minorHAnsi"/>
          <w:sz w:val="20"/>
          <w:szCs w:val="20"/>
        </w:rPr>
        <w:t>1</w:t>
      </w:r>
      <w:r w:rsidR="0001588C">
        <w:rPr>
          <w:rFonts w:cstheme="minorHAnsi"/>
          <w:sz w:val="20"/>
          <w:szCs w:val="20"/>
        </w:rPr>
        <w:t>0</w:t>
      </w:r>
      <w:r w:rsidRPr="007728B8">
        <w:rPr>
          <w:rFonts w:cstheme="minorHAnsi"/>
          <w:sz w:val="20"/>
          <w:szCs w:val="20"/>
        </w:rPr>
        <w:t xml:space="preserve"> million each. </w:t>
      </w:r>
    </w:p>
    <w:p w:rsidR="00EF3DCC" w:rsidRDefault="00EF3DCC" w:rsidP="00EF3DCC">
      <w:pPr>
        <w:pStyle w:val="ListParagraph"/>
        <w:numPr>
          <w:ilvl w:val="1"/>
          <w:numId w:val="16"/>
        </w:numPr>
        <w:spacing w:line="360" w:lineRule="auto"/>
        <w:rPr>
          <w:rFonts w:cstheme="minorHAnsi"/>
          <w:sz w:val="20"/>
          <w:szCs w:val="20"/>
        </w:rPr>
      </w:pPr>
      <w:r>
        <w:rPr>
          <w:rFonts w:cstheme="minorHAnsi"/>
          <w:sz w:val="20"/>
          <w:szCs w:val="20"/>
        </w:rPr>
        <w:t>Efwon Trading</w:t>
      </w:r>
      <w:r w:rsidR="000B7DB3">
        <w:rPr>
          <w:rFonts w:cstheme="minorHAnsi"/>
          <w:sz w:val="20"/>
          <w:szCs w:val="20"/>
        </w:rPr>
        <w:t>:</w:t>
      </w:r>
      <w:r>
        <w:rPr>
          <w:rFonts w:cstheme="minorHAnsi"/>
          <w:sz w:val="20"/>
          <w:szCs w:val="20"/>
        </w:rPr>
        <w:t xml:space="preserve"> </w:t>
      </w:r>
    </w:p>
    <w:p w:rsidR="00EF3DCC" w:rsidRDefault="00EF3DCC" w:rsidP="00EF3DCC">
      <w:pPr>
        <w:pStyle w:val="ListParagraph"/>
        <w:numPr>
          <w:ilvl w:val="2"/>
          <w:numId w:val="16"/>
        </w:numPr>
        <w:spacing w:line="360" w:lineRule="auto"/>
        <w:rPr>
          <w:rFonts w:cstheme="minorHAnsi"/>
          <w:sz w:val="20"/>
          <w:szCs w:val="20"/>
        </w:rPr>
      </w:pPr>
      <w:r>
        <w:rPr>
          <w:rFonts w:cstheme="minorHAnsi"/>
          <w:sz w:val="20"/>
          <w:szCs w:val="20"/>
        </w:rPr>
        <w:t xml:space="preserve">Efwon Trading is a Netherlands </w:t>
      </w:r>
      <w:r w:rsidR="00B90A6F">
        <w:rPr>
          <w:rFonts w:cstheme="minorHAnsi"/>
          <w:sz w:val="20"/>
          <w:szCs w:val="20"/>
        </w:rPr>
        <w:t>incorporated</w:t>
      </w:r>
      <w:r>
        <w:rPr>
          <w:rFonts w:cstheme="minorHAnsi"/>
          <w:sz w:val="20"/>
          <w:szCs w:val="20"/>
        </w:rPr>
        <w:t xml:space="preserve"> company whose only asset is its shareholding in Efwon Romania. </w:t>
      </w:r>
    </w:p>
    <w:p w:rsidR="00EF3DCC" w:rsidRDefault="00EF3DCC" w:rsidP="00EF3DCC">
      <w:pPr>
        <w:pStyle w:val="ListParagraph"/>
        <w:numPr>
          <w:ilvl w:val="2"/>
          <w:numId w:val="16"/>
        </w:numPr>
        <w:spacing w:line="360" w:lineRule="auto"/>
        <w:rPr>
          <w:rFonts w:cstheme="minorHAnsi"/>
          <w:sz w:val="20"/>
          <w:szCs w:val="20"/>
        </w:rPr>
      </w:pPr>
      <w:r>
        <w:rPr>
          <w:rFonts w:cstheme="minorHAnsi"/>
          <w:sz w:val="20"/>
          <w:szCs w:val="20"/>
        </w:rPr>
        <w:t xml:space="preserve">Efwon Trading received a loan from the Monaco Lender of USD 100 million. </w:t>
      </w:r>
    </w:p>
    <w:p w:rsidR="00EF3DCC" w:rsidRDefault="00EF3DCC" w:rsidP="00FE249C">
      <w:pPr>
        <w:pStyle w:val="ListParagraph"/>
        <w:numPr>
          <w:ilvl w:val="2"/>
          <w:numId w:val="16"/>
        </w:numPr>
        <w:spacing w:line="360" w:lineRule="auto"/>
        <w:rPr>
          <w:rFonts w:cstheme="minorHAnsi"/>
          <w:sz w:val="20"/>
          <w:szCs w:val="20"/>
        </w:rPr>
      </w:pPr>
      <w:r>
        <w:rPr>
          <w:rFonts w:cstheme="minorHAnsi"/>
          <w:sz w:val="20"/>
          <w:szCs w:val="20"/>
        </w:rPr>
        <w:t xml:space="preserve">Its revenues are pledged to the Monaco Lender and </w:t>
      </w:r>
      <w:r w:rsidR="00FE249C">
        <w:rPr>
          <w:rFonts w:cstheme="minorHAnsi"/>
          <w:sz w:val="20"/>
          <w:szCs w:val="20"/>
        </w:rPr>
        <w:t>i</w:t>
      </w:r>
      <w:r w:rsidRPr="00FE249C">
        <w:rPr>
          <w:rFonts w:cstheme="minorHAnsi"/>
          <w:sz w:val="20"/>
          <w:szCs w:val="20"/>
        </w:rPr>
        <w:t xml:space="preserve">ts shares are pledged to the US Lenders. </w:t>
      </w:r>
    </w:p>
    <w:p w:rsidR="005D2535" w:rsidRPr="00FE249C" w:rsidRDefault="005D2535" w:rsidP="00FE249C">
      <w:pPr>
        <w:pStyle w:val="ListParagraph"/>
        <w:numPr>
          <w:ilvl w:val="2"/>
          <w:numId w:val="16"/>
        </w:numPr>
        <w:spacing w:line="360" w:lineRule="auto"/>
        <w:rPr>
          <w:rFonts w:cstheme="minorHAnsi"/>
          <w:sz w:val="20"/>
          <w:szCs w:val="20"/>
        </w:rPr>
      </w:pPr>
      <w:r>
        <w:rPr>
          <w:rFonts w:cstheme="minorHAnsi"/>
          <w:sz w:val="20"/>
          <w:szCs w:val="20"/>
        </w:rPr>
        <w:t xml:space="preserve">The </w:t>
      </w:r>
      <w:r w:rsidR="00A4271B">
        <w:rPr>
          <w:rFonts w:cstheme="minorHAnsi"/>
          <w:sz w:val="20"/>
          <w:szCs w:val="20"/>
        </w:rPr>
        <w:t xml:space="preserve">local </w:t>
      </w:r>
      <w:r>
        <w:rPr>
          <w:rFonts w:cstheme="minorHAnsi"/>
          <w:sz w:val="20"/>
          <w:szCs w:val="20"/>
        </w:rPr>
        <w:t>nominee directors are concerned about their personal position</w:t>
      </w:r>
      <w:r w:rsidR="00A4271B">
        <w:rPr>
          <w:rFonts w:cstheme="minorHAnsi"/>
          <w:sz w:val="20"/>
          <w:szCs w:val="20"/>
        </w:rPr>
        <w:t xml:space="preserve"> given the financial situation of the company</w:t>
      </w:r>
      <w:r>
        <w:rPr>
          <w:rFonts w:cstheme="minorHAnsi"/>
          <w:sz w:val="20"/>
          <w:szCs w:val="20"/>
        </w:rPr>
        <w:t>.</w:t>
      </w:r>
    </w:p>
    <w:p w:rsidR="00EF3DCC" w:rsidRDefault="00EF3DCC" w:rsidP="00EF3DCC">
      <w:pPr>
        <w:pStyle w:val="ListParagraph"/>
        <w:numPr>
          <w:ilvl w:val="1"/>
          <w:numId w:val="16"/>
        </w:numPr>
        <w:spacing w:line="360" w:lineRule="auto"/>
        <w:rPr>
          <w:rFonts w:cstheme="minorHAnsi"/>
          <w:sz w:val="20"/>
          <w:szCs w:val="20"/>
        </w:rPr>
      </w:pPr>
      <w:r>
        <w:rPr>
          <w:rFonts w:cstheme="minorHAnsi"/>
          <w:sz w:val="20"/>
          <w:szCs w:val="20"/>
        </w:rPr>
        <w:t>Efwon Investments</w:t>
      </w:r>
      <w:r w:rsidR="00FE249C">
        <w:rPr>
          <w:rFonts w:cstheme="minorHAnsi"/>
          <w:sz w:val="20"/>
          <w:szCs w:val="20"/>
        </w:rPr>
        <w:t>:</w:t>
      </w:r>
    </w:p>
    <w:p w:rsidR="00EF3DCC" w:rsidRDefault="00EF3DCC" w:rsidP="00EF3DCC">
      <w:pPr>
        <w:pStyle w:val="ListParagraph"/>
        <w:numPr>
          <w:ilvl w:val="2"/>
          <w:numId w:val="16"/>
        </w:numPr>
        <w:spacing w:line="360" w:lineRule="auto"/>
        <w:rPr>
          <w:rFonts w:cstheme="minorHAnsi"/>
          <w:sz w:val="20"/>
          <w:szCs w:val="20"/>
        </w:rPr>
      </w:pPr>
      <w:r>
        <w:rPr>
          <w:rFonts w:cstheme="minorHAnsi"/>
          <w:sz w:val="20"/>
          <w:szCs w:val="20"/>
        </w:rPr>
        <w:t xml:space="preserve">Efwon Investments received a loan of USD 100 million from Maximov and a loan of USD </w:t>
      </w:r>
      <w:r w:rsidR="00461336">
        <w:rPr>
          <w:rFonts w:cstheme="minorHAnsi"/>
          <w:sz w:val="20"/>
          <w:szCs w:val="20"/>
        </w:rPr>
        <w:t>2</w:t>
      </w:r>
      <w:r>
        <w:rPr>
          <w:rFonts w:cstheme="minorHAnsi"/>
          <w:sz w:val="20"/>
          <w:szCs w:val="20"/>
        </w:rPr>
        <w:t xml:space="preserve">50 million from the US Lenders, further details are below. </w:t>
      </w:r>
      <w:r w:rsidR="00A4271B">
        <w:rPr>
          <w:rFonts w:cstheme="minorHAnsi"/>
          <w:sz w:val="20"/>
          <w:szCs w:val="20"/>
        </w:rPr>
        <w:t xml:space="preserve">The money was lent on to Efwon Trading. </w:t>
      </w:r>
    </w:p>
    <w:p w:rsidR="00EF3DCC" w:rsidRPr="007728B8" w:rsidRDefault="00EF3DCC" w:rsidP="00EF3DCC">
      <w:pPr>
        <w:pStyle w:val="ListParagraph"/>
        <w:numPr>
          <w:ilvl w:val="1"/>
          <w:numId w:val="16"/>
        </w:numPr>
        <w:spacing w:line="360" w:lineRule="auto"/>
        <w:rPr>
          <w:rFonts w:cstheme="minorHAnsi"/>
          <w:sz w:val="20"/>
          <w:szCs w:val="20"/>
        </w:rPr>
      </w:pPr>
      <w:r w:rsidRPr="007728B8">
        <w:rPr>
          <w:rFonts w:cstheme="minorHAnsi"/>
          <w:sz w:val="20"/>
          <w:szCs w:val="20"/>
        </w:rPr>
        <w:t>Maximov</w:t>
      </w:r>
      <w:r w:rsidR="00FE249C">
        <w:rPr>
          <w:rFonts w:cstheme="minorHAnsi"/>
          <w:sz w:val="20"/>
          <w:szCs w:val="20"/>
        </w:rPr>
        <w:t>:</w:t>
      </w:r>
    </w:p>
    <w:p w:rsidR="00EF3DCC" w:rsidRPr="007728B8" w:rsidRDefault="00EF3DCC" w:rsidP="00EF3DCC">
      <w:pPr>
        <w:pStyle w:val="ListParagraph"/>
        <w:numPr>
          <w:ilvl w:val="2"/>
          <w:numId w:val="16"/>
        </w:numPr>
        <w:spacing w:line="360" w:lineRule="auto"/>
        <w:rPr>
          <w:rFonts w:cstheme="minorHAnsi"/>
          <w:sz w:val="20"/>
          <w:szCs w:val="20"/>
        </w:rPr>
      </w:pPr>
      <w:r w:rsidRPr="007728B8">
        <w:rPr>
          <w:rFonts w:cstheme="minorHAnsi"/>
          <w:sz w:val="20"/>
          <w:szCs w:val="20"/>
        </w:rPr>
        <w:t>From the Call, I understand that Maximov’s priorities are:</w:t>
      </w:r>
    </w:p>
    <w:p w:rsidR="00EF3DCC" w:rsidRPr="007728B8" w:rsidRDefault="00EF3DCC" w:rsidP="00EF3DCC">
      <w:pPr>
        <w:pStyle w:val="ListParagraph"/>
        <w:numPr>
          <w:ilvl w:val="3"/>
          <w:numId w:val="16"/>
        </w:numPr>
        <w:spacing w:line="360" w:lineRule="auto"/>
        <w:rPr>
          <w:rFonts w:cstheme="minorHAnsi"/>
          <w:sz w:val="20"/>
          <w:szCs w:val="20"/>
        </w:rPr>
      </w:pPr>
      <w:r w:rsidRPr="007728B8">
        <w:rPr>
          <w:rFonts w:cstheme="minorHAnsi"/>
          <w:sz w:val="20"/>
          <w:szCs w:val="20"/>
        </w:rPr>
        <w:t xml:space="preserve">To maintain his status as an ‘F1 owner’, though he is less concerned about his shareholding percentage and the control of the team. </w:t>
      </w:r>
    </w:p>
    <w:p w:rsidR="00EF3DCC" w:rsidRPr="007728B8" w:rsidRDefault="00EF3DCC" w:rsidP="00EF3DCC">
      <w:pPr>
        <w:pStyle w:val="ListParagraph"/>
        <w:numPr>
          <w:ilvl w:val="3"/>
          <w:numId w:val="16"/>
        </w:numPr>
        <w:spacing w:line="360" w:lineRule="auto"/>
        <w:rPr>
          <w:rFonts w:cstheme="minorHAnsi"/>
          <w:sz w:val="20"/>
          <w:szCs w:val="20"/>
        </w:rPr>
      </w:pPr>
      <w:r w:rsidRPr="007728B8">
        <w:rPr>
          <w:rFonts w:cstheme="minorHAnsi"/>
          <w:sz w:val="20"/>
          <w:szCs w:val="20"/>
        </w:rPr>
        <w:t xml:space="preserve">To avoid any significant negative press about lenders foreclosing on him, though he is open to the use of restructuring processes that are public information. </w:t>
      </w:r>
    </w:p>
    <w:p w:rsidR="00EF3DCC" w:rsidRPr="007728B8" w:rsidRDefault="00EF3DCC" w:rsidP="00EF3DCC">
      <w:pPr>
        <w:pStyle w:val="ListParagraph"/>
        <w:numPr>
          <w:ilvl w:val="3"/>
          <w:numId w:val="16"/>
        </w:numPr>
        <w:spacing w:line="360" w:lineRule="auto"/>
        <w:rPr>
          <w:rFonts w:cstheme="minorHAnsi"/>
          <w:sz w:val="20"/>
          <w:szCs w:val="20"/>
        </w:rPr>
      </w:pPr>
      <w:r w:rsidRPr="007728B8">
        <w:rPr>
          <w:rFonts w:cstheme="minorHAnsi"/>
          <w:sz w:val="20"/>
          <w:szCs w:val="20"/>
        </w:rPr>
        <w:t xml:space="preserve">To avoid the US Lenders enforcing against his personal properties which were provided as security. </w:t>
      </w:r>
    </w:p>
    <w:p w:rsidR="00EF3DCC" w:rsidRPr="007728B8" w:rsidRDefault="00EF3DCC" w:rsidP="00EF3DCC">
      <w:pPr>
        <w:pStyle w:val="ListParagraph"/>
        <w:numPr>
          <w:ilvl w:val="2"/>
          <w:numId w:val="16"/>
        </w:numPr>
        <w:spacing w:line="360" w:lineRule="auto"/>
        <w:rPr>
          <w:rFonts w:cstheme="minorHAnsi"/>
          <w:sz w:val="20"/>
          <w:szCs w:val="20"/>
        </w:rPr>
      </w:pPr>
      <w:r w:rsidRPr="007728B8">
        <w:rPr>
          <w:rFonts w:cstheme="minorHAnsi"/>
          <w:sz w:val="20"/>
          <w:szCs w:val="20"/>
        </w:rPr>
        <w:t xml:space="preserve">From the Call, I further understand that the USD 100 million that he put into the group was by way of an unsecured loan to Efwon Investments. </w:t>
      </w:r>
    </w:p>
    <w:p w:rsidR="00A320F3" w:rsidRPr="007523D4" w:rsidRDefault="00A320F3" w:rsidP="0016601C">
      <w:pPr>
        <w:pStyle w:val="BodyText"/>
        <w:numPr>
          <w:ilvl w:val="1"/>
          <w:numId w:val="16"/>
        </w:numPr>
        <w:spacing w:line="360" w:lineRule="auto"/>
        <w:rPr>
          <w:rFonts w:cstheme="minorHAnsi"/>
          <w:sz w:val="20"/>
          <w:szCs w:val="20"/>
          <w:lang w:val="en-GB"/>
        </w:rPr>
      </w:pPr>
      <w:r>
        <w:rPr>
          <w:rFonts w:cstheme="minorHAnsi"/>
          <w:sz w:val="20"/>
          <w:szCs w:val="20"/>
          <w:lang w:val="en-GB"/>
        </w:rPr>
        <w:lastRenderedPageBreak/>
        <w:t>US Lenders:</w:t>
      </w:r>
    </w:p>
    <w:p w:rsidR="00B41129" w:rsidRPr="007728B8" w:rsidRDefault="00B41129" w:rsidP="007523D4">
      <w:pPr>
        <w:pStyle w:val="BodyText"/>
        <w:numPr>
          <w:ilvl w:val="2"/>
          <w:numId w:val="16"/>
        </w:numPr>
        <w:spacing w:line="360" w:lineRule="auto"/>
        <w:rPr>
          <w:rFonts w:cstheme="minorHAnsi"/>
          <w:sz w:val="20"/>
          <w:szCs w:val="20"/>
          <w:lang w:val="en-GB"/>
        </w:rPr>
      </w:pPr>
      <w:r w:rsidRPr="007728B8">
        <w:rPr>
          <w:rFonts w:cstheme="minorHAnsi"/>
          <w:sz w:val="20"/>
          <w:szCs w:val="20"/>
          <w:lang w:val="en-GB"/>
        </w:rPr>
        <w:t>The US Lenders provided a loan of USD 250 million in 2014</w:t>
      </w:r>
      <w:r w:rsidR="00EF3DCC">
        <w:rPr>
          <w:rFonts w:cstheme="minorHAnsi"/>
          <w:sz w:val="20"/>
          <w:szCs w:val="20"/>
          <w:lang w:val="en-GB"/>
        </w:rPr>
        <w:t xml:space="preserve"> to Efwon Investments.</w:t>
      </w:r>
      <w:r w:rsidRPr="007728B8">
        <w:rPr>
          <w:rFonts w:cstheme="minorHAnsi"/>
          <w:sz w:val="20"/>
          <w:szCs w:val="20"/>
          <w:lang w:val="en-GB"/>
        </w:rPr>
        <w:t xml:space="preserve"> The key terms were:</w:t>
      </w:r>
    </w:p>
    <w:p w:rsidR="00B41129" w:rsidRPr="007728B8" w:rsidRDefault="00B41129" w:rsidP="007523D4">
      <w:pPr>
        <w:pStyle w:val="BodyText"/>
        <w:numPr>
          <w:ilvl w:val="3"/>
          <w:numId w:val="16"/>
        </w:numPr>
        <w:spacing w:line="360" w:lineRule="auto"/>
        <w:rPr>
          <w:rFonts w:cstheme="minorHAnsi"/>
          <w:sz w:val="20"/>
          <w:szCs w:val="20"/>
          <w:lang w:val="en-GB"/>
        </w:rPr>
      </w:pPr>
      <w:r w:rsidRPr="007728B8">
        <w:rPr>
          <w:rFonts w:cstheme="minorHAnsi"/>
          <w:sz w:val="20"/>
          <w:szCs w:val="20"/>
          <w:lang w:val="en-GB"/>
        </w:rPr>
        <w:t xml:space="preserve">10-year term with bullet repayment in 2024. </w:t>
      </w:r>
    </w:p>
    <w:p w:rsidR="00B41129" w:rsidRPr="007728B8" w:rsidRDefault="00B41129" w:rsidP="007523D4">
      <w:pPr>
        <w:pStyle w:val="BodyText"/>
        <w:numPr>
          <w:ilvl w:val="3"/>
          <w:numId w:val="16"/>
        </w:numPr>
        <w:spacing w:line="360" w:lineRule="auto"/>
        <w:rPr>
          <w:rFonts w:cstheme="minorHAnsi"/>
          <w:sz w:val="20"/>
          <w:szCs w:val="20"/>
          <w:lang w:val="en-GB"/>
        </w:rPr>
      </w:pPr>
      <w:r w:rsidRPr="007728B8">
        <w:rPr>
          <w:rFonts w:cstheme="minorHAnsi"/>
          <w:sz w:val="20"/>
          <w:szCs w:val="20"/>
          <w:lang w:val="en-GB"/>
        </w:rPr>
        <w:t xml:space="preserve">Interest of Libor + 4%, subsequently increased to 6% after interest waiver required. </w:t>
      </w:r>
    </w:p>
    <w:p w:rsidR="00B41129" w:rsidRPr="007728B8" w:rsidRDefault="00B41129" w:rsidP="007523D4">
      <w:pPr>
        <w:pStyle w:val="BodyText"/>
        <w:numPr>
          <w:ilvl w:val="3"/>
          <w:numId w:val="16"/>
        </w:numPr>
        <w:spacing w:line="360" w:lineRule="auto"/>
        <w:rPr>
          <w:rFonts w:cstheme="minorHAnsi"/>
          <w:sz w:val="20"/>
          <w:szCs w:val="20"/>
          <w:lang w:val="en-GB"/>
        </w:rPr>
      </w:pPr>
      <w:r w:rsidRPr="007728B8">
        <w:rPr>
          <w:rFonts w:cstheme="minorHAnsi"/>
          <w:sz w:val="20"/>
          <w:szCs w:val="20"/>
          <w:lang w:val="en-GB"/>
        </w:rPr>
        <w:t>Security over propert</w:t>
      </w:r>
      <w:r w:rsidR="00A4271B">
        <w:rPr>
          <w:rFonts w:cstheme="minorHAnsi"/>
          <w:sz w:val="20"/>
          <w:szCs w:val="20"/>
          <w:lang w:val="en-GB"/>
        </w:rPr>
        <w:t>ies</w:t>
      </w:r>
      <w:r w:rsidRPr="007728B8">
        <w:rPr>
          <w:rFonts w:cstheme="minorHAnsi"/>
          <w:sz w:val="20"/>
          <w:szCs w:val="20"/>
          <w:lang w:val="en-GB"/>
        </w:rPr>
        <w:t xml:space="preserve"> of Maximov valued at c. USD 75m</w:t>
      </w:r>
      <w:r w:rsidR="0016601C">
        <w:rPr>
          <w:rFonts w:cstheme="minorHAnsi"/>
          <w:sz w:val="20"/>
          <w:szCs w:val="20"/>
          <w:lang w:val="en-GB"/>
        </w:rPr>
        <w:t xml:space="preserve"> (only sufficient to partly cover the Senior Lenders (as defined below))</w:t>
      </w:r>
      <w:r w:rsidRPr="007728B8">
        <w:rPr>
          <w:rFonts w:cstheme="minorHAnsi"/>
          <w:sz w:val="20"/>
          <w:szCs w:val="20"/>
          <w:lang w:val="en-GB"/>
        </w:rPr>
        <w:t xml:space="preserve">. </w:t>
      </w:r>
    </w:p>
    <w:p w:rsidR="00B41129" w:rsidRPr="007728B8" w:rsidRDefault="00B41129" w:rsidP="007523D4">
      <w:pPr>
        <w:pStyle w:val="BodyText"/>
        <w:numPr>
          <w:ilvl w:val="3"/>
          <w:numId w:val="16"/>
        </w:numPr>
        <w:spacing w:line="360" w:lineRule="auto"/>
        <w:rPr>
          <w:rFonts w:cstheme="minorHAnsi"/>
          <w:sz w:val="20"/>
          <w:szCs w:val="20"/>
          <w:lang w:val="en-GB"/>
        </w:rPr>
      </w:pPr>
      <w:r w:rsidRPr="007728B8">
        <w:rPr>
          <w:rFonts w:cstheme="minorHAnsi"/>
          <w:sz w:val="20"/>
          <w:szCs w:val="20"/>
          <w:lang w:val="en-GB"/>
        </w:rPr>
        <w:t>Various pledge</w:t>
      </w:r>
      <w:r w:rsidR="007523D4">
        <w:rPr>
          <w:rFonts w:cstheme="minorHAnsi"/>
          <w:sz w:val="20"/>
          <w:szCs w:val="20"/>
          <w:lang w:val="en-GB"/>
        </w:rPr>
        <w:t>s</w:t>
      </w:r>
      <w:r w:rsidRPr="007728B8">
        <w:rPr>
          <w:rFonts w:cstheme="minorHAnsi"/>
          <w:sz w:val="20"/>
          <w:szCs w:val="20"/>
          <w:lang w:val="en-GB"/>
        </w:rPr>
        <w:t xml:space="preserve"> including</w:t>
      </w:r>
      <w:r w:rsidR="007523D4">
        <w:rPr>
          <w:rFonts w:cstheme="minorHAnsi"/>
          <w:sz w:val="20"/>
          <w:szCs w:val="20"/>
          <w:lang w:val="en-GB"/>
        </w:rPr>
        <w:t>:</w:t>
      </w:r>
      <w:r w:rsidRPr="007728B8">
        <w:rPr>
          <w:rFonts w:cstheme="minorHAnsi"/>
          <w:sz w:val="20"/>
          <w:szCs w:val="20"/>
          <w:lang w:val="en-GB"/>
        </w:rPr>
        <w:t xml:space="preserve"> </w:t>
      </w:r>
    </w:p>
    <w:p w:rsidR="00B41129" w:rsidRPr="007728B8" w:rsidRDefault="00B41129" w:rsidP="007523D4">
      <w:pPr>
        <w:pStyle w:val="BodyText"/>
        <w:numPr>
          <w:ilvl w:val="4"/>
          <w:numId w:val="16"/>
        </w:numPr>
        <w:spacing w:line="360" w:lineRule="auto"/>
        <w:rPr>
          <w:rFonts w:cstheme="minorHAnsi"/>
          <w:sz w:val="20"/>
          <w:szCs w:val="20"/>
          <w:lang w:val="en-GB"/>
        </w:rPr>
      </w:pPr>
      <w:r w:rsidRPr="007728B8">
        <w:rPr>
          <w:rFonts w:cstheme="minorHAnsi"/>
          <w:sz w:val="20"/>
          <w:szCs w:val="20"/>
          <w:lang w:val="en-GB"/>
        </w:rPr>
        <w:t xml:space="preserve">pledge over the shares of Efwon Investments and Efwon Trading. </w:t>
      </w:r>
    </w:p>
    <w:p w:rsidR="00B41129" w:rsidRPr="007728B8" w:rsidRDefault="00B41129" w:rsidP="007523D4">
      <w:pPr>
        <w:pStyle w:val="BodyText"/>
        <w:numPr>
          <w:ilvl w:val="4"/>
          <w:numId w:val="16"/>
        </w:numPr>
        <w:spacing w:line="360" w:lineRule="auto"/>
        <w:rPr>
          <w:rFonts w:cstheme="minorHAnsi"/>
          <w:sz w:val="20"/>
          <w:szCs w:val="20"/>
          <w:lang w:val="en-GB"/>
        </w:rPr>
      </w:pPr>
      <w:r w:rsidRPr="007728B8">
        <w:rPr>
          <w:rFonts w:cstheme="minorHAnsi"/>
          <w:sz w:val="20"/>
          <w:szCs w:val="20"/>
          <w:lang w:val="en-GB"/>
        </w:rPr>
        <w:t xml:space="preserve">Pledge over the revenue of Efwon Investments. </w:t>
      </w:r>
    </w:p>
    <w:p w:rsidR="00B92CDE" w:rsidRPr="007728B8" w:rsidRDefault="00B92CDE" w:rsidP="007523D4">
      <w:pPr>
        <w:pStyle w:val="BodyText"/>
        <w:numPr>
          <w:ilvl w:val="2"/>
          <w:numId w:val="16"/>
        </w:numPr>
        <w:spacing w:line="360" w:lineRule="auto"/>
        <w:rPr>
          <w:rFonts w:cstheme="minorHAnsi"/>
          <w:sz w:val="20"/>
          <w:szCs w:val="20"/>
          <w:lang w:val="en-GB"/>
        </w:rPr>
      </w:pPr>
      <w:r w:rsidRPr="007728B8">
        <w:rPr>
          <w:rFonts w:cstheme="minorHAnsi"/>
          <w:sz w:val="20"/>
          <w:szCs w:val="20"/>
          <w:lang w:val="en-GB"/>
        </w:rPr>
        <w:t xml:space="preserve">The US Lenders consist of three different </w:t>
      </w:r>
      <w:r w:rsidR="00BA0BF6" w:rsidRPr="007728B8">
        <w:rPr>
          <w:rFonts w:cstheme="minorHAnsi"/>
          <w:sz w:val="20"/>
          <w:szCs w:val="20"/>
          <w:lang w:val="en-GB"/>
        </w:rPr>
        <w:t>groups</w:t>
      </w:r>
      <w:r w:rsidR="00FE249C">
        <w:rPr>
          <w:rFonts w:cstheme="minorHAnsi"/>
          <w:sz w:val="20"/>
          <w:szCs w:val="20"/>
          <w:lang w:val="en-GB"/>
        </w:rPr>
        <w:t xml:space="preserve"> with differing levels of seniority</w:t>
      </w:r>
      <w:r w:rsidR="00BA0BF6" w:rsidRPr="007728B8">
        <w:rPr>
          <w:rFonts w:cstheme="minorHAnsi"/>
          <w:sz w:val="20"/>
          <w:szCs w:val="20"/>
          <w:lang w:val="en-GB"/>
        </w:rPr>
        <w:t>:</w:t>
      </w:r>
    </w:p>
    <w:p w:rsidR="00BA0BF6" w:rsidRPr="007728B8" w:rsidRDefault="00BA0BF6" w:rsidP="007523D4">
      <w:pPr>
        <w:pStyle w:val="BodyText"/>
        <w:numPr>
          <w:ilvl w:val="3"/>
          <w:numId w:val="16"/>
        </w:numPr>
        <w:spacing w:line="360" w:lineRule="auto"/>
        <w:rPr>
          <w:rFonts w:cstheme="minorHAnsi"/>
          <w:sz w:val="20"/>
          <w:szCs w:val="20"/>
          <w:lang w:val="en-GB"/>
        </w:rPr>
      </w:pPr>
      <w:r w:rsidRPr="007728B8">
        <w:rPr>
          <w:rFonts w:cstheme="minorHAnsi"/>
          <w:sz w:val="20"/>
          <w:szCs w:val="20"/>
          <w:lang w:val="en-GB"/>
        </w:rPr>
        <w:t>Two senior lenders with aggregate exposure of USD 100m (“</w:t>
      </w:r>
      <w:r w:rsidRPr="00A4271B">
        <w:rPr>
          <w:rFonts w:cstheme="minorHAnsi"/>
          <w:b/>
          <w:sz w:val="20"/>
          <w:szCs w:val="20"/>
          <w:lang w:val="en-GB"/>
        </w:rPr>
        <w:t>Senior Lenders</w:t>
      </w:r>
      <w:r w:rsidRPr="007728B8">
        <w:rPr>
          <w:rFonts w:cstheme="minorHAnsi"/>
          <w:sz w:val="20"/>
          <w:szCs w:val="20"/>
          <w:lang w:val="en-GB"/>
        </w:rPr>
        <w:t>”)</w:t>
      </w:r>
    </w:p>
    <w:p w:rsidR="00BA0BF6" w:rsidRPr="007728B8" w:rsidRDefault="00BA0BF6" w:rsidP="007523D4">
      <w:pPr>
        <w:pStyle w:val="BodyText"/>
        <w:numPr>
          <w:ilvl w:val="3"/>
          <w:numId w:val="16"/>
        </w:numPr>
        <w:spacing w:line="360" w:lineRule="auto"/>
        <w:rPr>
          <w:rFonts w:cstheme="minorHAnsi"/>
          <w:sz w:val="20"/>
          <w:szCs w:val="20"/>
          <w:lang w:val="en-GB"/>
        </w:rPr>
      </w:pPr>
      <w:r w:rsidRPr="007728B8">
        <w:rPr>
          <w:rFonts w:cstheme="minorHAnsi"/>
          <w:sz w:val="20"/>
          <w:szCs w:val="20"/>
          <w:lang w:val="en-GB"/>
        </w:rPr>
        <w:t>Two mezzanine lenders with aggregate exposure of USD 60m (“</w:t>
      </w:r>
      <w:r w:rsidRPr="00A4271B">
        <w:rPr>
          <w:rFonts w:cstheme="minorHAnsi"/>
          <w:b/>
          <w:sz w:val="20"/>
          <w:szCs w:val="20"/>
          <w:lang w:val="en-GB"/>
        </w:rPr>
        <w:t>Mezz Lenders</w:t>
      </w:r>
      <w:r w:rsidRPr="007728B8">
        <w:rPr>
          <w:rFonts w:cstheme="minorHAnsi"/>
          <w:sz w:val="20"/>
          <w:szCs w:val="20"/>
          <w:lang w:val="en-GB"/>
        </w:rPr>
        <w:t>”)</w:t>
      </w:r>
    </w:p>
    <w:p w:rsidR="00BA0BF6" w:rsidRPr="007728B8" w:rsidRDefault="00BA0BF6" w:rsidP="007523D4">
      <w:pPr>
        <w:pStyle w:val="BodyText"/>
        <w:numPr>
          <w:ilvl w:val="3"/>
          <w:numId w:val="16"/>
        </w:numPr>
        <w:spacing w:line="360" w:lineRule="auto"/>
        <w:rPr>
          <w:rFonts w:cstheme="minorHAnsi"/>
          <w:sz w:val="20"/>
          <w:szCs w:val="20"/>
          <w:lang w:val="en-GB"/>
        </w:rPr>
      </w:pPr>
      <w:r w:rsidRPr="007728B8">
        <w:rPr>
          <w:rFonts w:cstheme="minorHAnsi"/>
          <w:sz w:val="20"/>
          <w:szCs w:val="20"/>
          <w:lang w:val="en-GB"/>
        </w:rPr>
        <w:t>Five junior financial creditors with aggregate exposure of USD 90m (“</w:t>
      </w:r>
      <w:r w:rsidRPr="00A4271B">
        <w:rPr>
          <w:rFonts w:cstheme="minorHAnsi"/>
          <w:b/>
          <w:sz w:val="20"/>
          <w:szCs w:val="20"/>
          <w:lang w:val="en-GB"/>
        </w:rPr>
        <w:t>Junior Lenders</w:t>
      </w:r>
      <w:r w:rsidRPr="007728B8">
        <w:rPr>
          <w:rFonts w:cstheme="minorHAnsi"/>
          <w:sz w:val="20"/>
          <w:szCs w:val="20"/>
          <w:lang w:val="en-GB"/>
        </w:rPr>
        <w:t>”)</w:t>
      </w:r>
    </w:p>
    <w:p w:rsidR="00B41129" w:rsidRPr="007728B8" w:rsidRDefault="00B41129" w:rsidP="00A320F3">
      <w:pPr>
        <w:pStyle w:val="BodyText"/>
        <w:numPr>
          <w:ilvl w:val="2"/>
          <w:numId w:val="16"/>
        </w:numPr>
        <w:spacing w:line="360" w:lineRule="auto"/>
        <w:rPr>
          <w:rFonts w:cstheme="minorHAnsi"/>
          <w:sz w:val="20"/>
          <w:szCs w:val="20"/>
          <w:lang w:val="en-GB"/>
        </w:rPr>
      </w:pPr>
      <w:r w:rsidRPr="007728B8">
        <w:rPr>
          <w:rFonts w:cstheme="minorHAnsi"/>
          <w:sz w:val="20"/>
          <w:szCs w:val="20"/>
          <w:lang w:val="en-GB"/>
        </w:rPr>
        <w:t>Libor has increased substantially from sub 0.5% in 2014 to over 5% in 2023, so the cost of this loan will have increased substantially over time</w:t>
      </w:r>
      <w:r w:rsidR="00267BB1" w:rsidRPr="007728B8">
        <w:rPr>
          <w:rStyle w:val="FootnoteReference"/>
          <w:rFonts w:cstheme="minorHAnsi"/>
          <w:sz w:val="20"/>
          <w:szCs w:val="20"/>
          <w:lang w:val="en-GB"/>
        </w:rPr>
        <w:footnoteReference w:id="1"/>
      </w:r>
      <w:r w:rsidRPr="007728B8">
        <w:rPr>
          <w:rFonts w:cstheme="minorHAnsi"/>
          <w:sz w:val="20"/>
          <w:szCs w:val="20"/>
          <w:lang w:val="en-GB"/>
        </w:rPr>
        <w:t xml:space="preserve">. </w:t>
      </w:r>
    </w:p>
    <w:p w:rsidR="00B41129" w:rsidRPr="007728B8" w:rsidRDefault="00B41129" w:rsidP="00A320F3">
      <w:pPr>
        <w:pStyle w:val="BodyText"/>
        <w:numPr>
          <w:ilvl w:val="2"/>
          <w:numId w:val="16"/>
        </w:numPr>
        <w:spacing w:line="360" w:lineRule="auto"/>
        <w:rPr>
          <w:rFonts w:cstheme="minorHAnsi"/>
          <w:sz w:val="20"/>
          <w:szCs w:val="20"/>
          <w:lang w:val="en-GB"/>
        </w:rPr>
      </w:pPr>
      <w:r w:rsidRPr="007728B8">
        <w:rPr>
          <w:rFonts w:cstheme="minorHAnsi"/>
          <w:sz w:val="20"/>
          <w:szCs w:val="20"/>
          <w:lang w:val="en-GB"/>
        </w:rPr>
        <w:t xml:space="preserve">The current outstanding balance on the loan is unclear </w:t>
      </w:r>
      <w:r w:rsidR="00267BB1" w:rsidRPr="007728B8">
        <w:rPr>
          <w:rFonts w:cstheme="minorHAnsi"/>
          <w:sz w:val="20"/>
          <w:szCs w:val="20"/>
          <w:lang w:val="en-GB"/>
        </w:rPr>
        <w:t xml:space="preserve">from the information provided, but interest has not been fully paid over the period of the loan and the amount outstanding is accruing at a high interest rate, meaning it is likely to have risen, though for the purposes of this memorandum I will assume the outstanding debt is USD 250 million. </w:t>
      </w:r>
    </w:p>
    <w:p w:rsidR="00267BB1" w:rsidRPr="007728B8" w:rsidRDefault="00267BB1" w:rsidP="00A320F3">
      <w:pPr>
        <w:pStyle w:val="BodyText"/>
        <w:numPr>
          <w:ilvl w:val="2"/>
          <w:numId w:val="16"/>
        </w:numPr>
        <w:spacing w:line="360" w:lineRule="auto"/>
        <w:rPr>
          <w:rFonts w:cstheme="minorHAnsi"/>
          <w:sz w:val="20"/>
          <w:szCs w:val="20"/>
          <w:lang w:val="en-GB"/>
        </w:rPr>
      </w:pPr>
      <w:r w:rsidRPr="007728B8">
        <w:rPr>
          <w:rFonts w:cstheme="minorHAnsi"/>
          <w:sz w:val="20"/>
          <w:szCs w:val="20"/>
          <w:lang w:val="en-GB"/>
        </w:rPr>
        <w:t>Of note is that the US Lenders did not take any security over the assets or revenue of Efwon Trading</w:t>
      </w:r>
      <w:r w:rsidR="00FE249C">
        <w:rPr>
          <w:rFonts w:cstheme="minorHAnsi"/>
          <w:sz w:val="20"/>
          <w:szCs w:val="20"/>
          <w:lang w:val="en-GB"/>
        </w:rPr>
        <w:t>,</w:t>
      </w:r>
      <w:r w:rsidRPr="007728B8">
        <w:rPr>
          <w:rFonts w:cstheme="minorHAnsi"/>
          <w:sz w:val="20"/>
          <w:szCs w:val="20"/>
          <w:lang w:val="en-GB"/>
        </w:rPr>
        <w:t xml:space="preserve"> or the shares, assets or revenue of Efwon Romania leaving them remote from the key assets</w:t>
      </w:r>
      <w:r w:rsidR="00BA0BF6" w:rsidRPr="007728B8">
        <w:rPr>
          <w:rFonts w:cstheme="minorHAnsi"/>
          <w:sz w:val="20"/>
          <w:szCs w:val="20"/>
          <w:lang w:val="en-GB"/>
        </w:rPr>
        <w:t xml:space="preserve">, though the pledge over the shares of Efwon Trading does provide them with some leverage. </w:t>
      </w:r>
    </w:p>
    <w:p w:rsidR="00267BB1" w:rsidRPr="007728B8" w:rsidRDefault="00267BB1" w:rsidP="00A320F3">
      <w:pPr>
        <w:pStyle w:val="BodyText"/>
        <w:numPr>
          <w:ilvl w:val="2"/>
          <w:numId w:val="16"/>
        </w:numPr>
        <w:spacing w:line="360" w:lineRule="auto"/>
        <w:rPr>
          <w:rFonts w:cstheme="minorHAnsi"/>
          <w:sz w:val="20"/>
          <w:szCs w:val="20"/>
          <w:lang w:val="en-GB"/>
        </w:rPr>
      </w:pPr>
      <w:r w:rsidRPr="007728B8">
        <w:rPr>
          <w:rFonts w:cstheme="minorHAnsi"/>
          <w:sz w:val="20"/>
          <w:szCs w:val="20"/>
          <w:lang w:val="en-GB"/>
        </w:rPr>
        <w:lastRenderedPageBreak/>
        <w:t xml:space="preserve">Whilst Efwon Investments did </w:t>
      </w:r>
      <w:r w:rsidR="009D21F4" w:rsidRPr="007728B8">
        <w:rPr>
          <w:rFonts w:cstheme="minorHAnsi"/>
          <w:sz w:val="20"/>
          <w:szCs w:val="20"/>
          <w:lang w:val="en-GB"/>
        </w:rPr>
        <w:t>initially</w:t>
      </w:r>
      <w:r w:rsidR="00A145FE" w:rsidRPr="007728B8">
        <w:rPr>
          <w:rFonts w:cstheme="minorHAnsi"/>
          <w:sz w:val="20"/>
          <w:szCs w:val="20"/>
          <w:lang w:val="en-GB"/>
        </w:rPr>
        <w:t xml:space="preserve"> </w:t>
      </w:r>
      <w:r w:rsidRPr="007728B8">
        <w:rPr>
          <w:rFonts w:cstheme="minorHAnsi"/>
          <w:sz w:val="20"/>
          <w:szCs w:val="20"/>
          <w:lang w:val="en-GB"/>
        </w:rPr>
        <w:t xml:space="preserve">take security </w:t>
      </w:r>
      <w:r w:rsidR="00A145FE" w:rsidRPr="007728B8">
        <w:rPr>
          <w:rFonts w:cstheme="minorHAnsi"/>
          <w:sz w:val="20"/>
          <w:szCs w:val="20"/>
          <w:lang w:val="en-GB"/>
        </w:rPr>
        <w:t>over future revenue from Efwon Trading</w:t>
      </w:r>
      <w:r w:rsidR="009D21F4" w:rsidRPr="007728B8">
        <w:rPr>
          <w:rFonts w:cstheme="minorHAnsi"/>
          <w:sz w:val="20"/>
          <w:szCs w:val="20"/>
          <w:lang w:val="en-GB"/>
        </w:rPr>
        <w:t xml:space="preserve"> in relation to the USD 350 million loan it provided</w:t>
      </w:r>
      <w:r w:rsidR="00A145FE" w:rsidRPr="007728B8">
        <w:rPr>
          <w:rFonts w:cstheme="minorHAnsi"/>
          <w:sz w:val="20"/>
          <w:szCs w:val="20"/>
          <w:lang w:val="en-GB"/>
        </w:rPr>
        <w:t>, this appears to have been later superseded by security</w:t>
      </w:r>
      <w:r w:rsidR="009D21F4" w:rsidRPr="007728B8">
        <w:rPr>
          <w:rFonts w:cstheme="minorHAnsi"/>
          <w:sz w:val="20"/>
          <w:szCs w:val="20"/>
          <w:lang w:val="en-GB"/>
        </w:rPr>
        <w:t xml:space="preserve"> provided to the Monaco Lender (further discussed below). </w:t>
      </w:r>
    </w:p>
    <w:p w:rsidR="009D21F4" w:rsidRPr="007728B8" w:rsidRDefault="009D21F4" w:rsidP="00A320F3">
      <w:pPr>
        <w:pStyle w:val="BodyText"/>
        <w:numPr>
          <w:ilvl w:val="1"/>
          <w:numId w:val="16"/>
        </w:numPr>
        <w:spacing w:line="360" w:lineRule="auto"/>
        <w:rPr>
          <w:rFonts w:cstheme="minorHAnsi"/>
          <w:sz w:val="20"/>
          <w:szCs w:val="20"/>
          <w:lang w:val="en-GB"/>
        </w:rPr>
      </w:pPr>
      <w:r w:rsidRPr="007728B8">
        <w:rPr>
          <w:rFonts w:cstheme="minorHAnsi"/>
          <w:sz w:val="20"/>
          <w:szCs w:val="20"/>
          <w:lang w:val="en-GB"/>
        </w:rPr>
        <w:t>Monaco Lender</w:t>
      </w:r>
      <w:r w:rsidR="00FE249C">
        <w:rPr>
          <w:rFonts w:cstheme="minorHAnsi"/>
          <w:sz w:val="20"/>
          <w:szCs w:val="20"/>
          <w:lang w:val="en-GB"/>
        </w:rPr>
        <w:t>:</w:t>
      </w:r>
    </w:p>
    <w:p w:rsidR="009D21F4" w:rsidRPr="007728B8" w:rsidRDefault="009D21F4" w:rsidP="00A320F3">
      <w:pPr>
        <w:pStyle w:val="BodyText"/>
        <w:numPr>
          <w:ilvl w:val="2"/>
          <w:numId w:val="16"/>
        </w:numPr>
        <w:spacing w:line="360" w:lineRule="auto"/>
        <w:rPr>
          <w:rFonts w:cstheme="minorHAnsi"/>
          <w:sz w:val="20"/>
          <w:szCs w:val="20"/>
          <w:lang w:val="en-GB"/>
        </w:rPr>
      </w:pPr>
      <w:r w:rsidRPr="007728B8">
        <w:rPr>
          <w:rFonts w:cstheme="minorHAnsi"/>
          <w:sz w:val="20"/>
          <w:szCs w:val="20"/>
          <w:lang w:val="en-GB"/>
        </w:rPr>
        <w:t xml:space="preserve">In or around 2018, Efwon Trading obtained a USD 100 million loan from the Monaco Lender. Whilst the interest rate is not stated, the Monaco Lender is a high interest rate lender. It is unclear the level of any </w:t>
      </w:r>
      <w:r w:rsidR="00B94BA8" w:rsidRPr="007728B8">
        <w:rPr>
          <w:rFonts w:cstheme="minorHAnsi"/>
          <w:sz w:val="20"/>
          <w:szCs w:val="20"/>
          <w:lang w:val="en-GB"/>
        </w:rPr>
        <w:t xml:space="preserve">outstanding interest and for the purposes of this memorandum I will assume that the overall amount owing is USD 100 million. </w:t>
      </w:r>
    </w:p>
    <w:p w:rsidR="00B94BA8" w:rsidRPr="007728B8" w:rsidRDefault="00B94BA8" w:rsidP="00A320F3">
      <w:pPr>
        <w:pStyle w:val="BodyText"/>
        <w:numPr>
          <w:ilvl w:val="2"/>
          <w:numId w:val="16"/>
        </w:numPr>
        <w:spacing w:line="360" w:lineRule="auto"/>
        <w:rPr>
          <w:rFonts w:cstheme="minorHAnsi"/>
          <w:sz w:val="20"/>
          <w:szCs w:val="20"/>
          <w:lang w:val="en-GB"/>
        </w:rPr>
      </w:pPr>
      <w:r w:rsidRPr="007728B8">
        <w:rPr>
          <w:rFonts w:cstheme="minorHAnsi"/>
          <w:sz w:val="20"/>
          <w:szCs w:val="20"/>
          <w:lang w:val="en-GB"/>
        </w:rPr>
        <w:t xml:space="preserve">The loan was secured over the revenues of Efwon Trading, Efwon Romania and Efwon Singapore. </w:t>
      </w:r>
    </w:p>
    <w:p w:rsidR="005B13B8" w:rsidRPr="007728B8" w:rsidRDefault="005B13B8" w:rsidP="00A320F3">
      <w:pPr>
        <w:pStyle w:val="ListParagraph"/>
        <w:numPr>
          <w:ilvl w:val="1"/>
          <w:numId w:val="16"/>
        </w:numPr>
        <w:spacing w:line="360" w:lineRule="auto"/>
        <w:rPr>
          <w:rFonts w:cstheme="minorHAnsi"/>
          <w:sz w:val="20"/>
          <w:szCs w:val="20"/>
        </w:rPr>
      </w:pPr>
      <w:r w:rsidRPr="007728B8">
        <w:rPr>
          <w:rFonts w:cstheme="minorHAnsi"/>
          <w:sz w:val="20"/>
          <w:szCs w:val="20"/>
        </w:rPr>
        <w:t>Formula 1 (“F1”) and the FIA</w:t>
      </w:r>
      <w:r w:rsidR="0001588C">
        <w:rPr>
          <w:rFonts w:cstheme="minorHAnsi"/>
          <w:sz w:val="20"/>
          <w:szCs w:val="20"/>
        </w:rPr>
        <w:t>:</w:t>
      </w:r>
    </w:p>
    <w:p w:rsidR="005B13B8" w:rsidRPr="007728B8" w:rsidRDefault="005B13B8" w:rsidP="00A320F3">
      <w:pPr>
        <w:pStyle w:val="ListParagraph"/>
        <w:numPr>
          <w:ilvl w:val="2"/>
          <w:numId w:val="16"/>
        </w:numPr>
        <w:spacing w:line="360" w:lineRule="auto"/>
        <w:rPr>
          <w:rFonts w:cstheme="minorHAnsi"/>
          <w:sz w:val="20"/>
          <w:szCs w:val="20"/>
        </w:rPr>
      </w:pPr>
      <w:r w:rsidRPr="007728B8">
        <w:rPr>
          <w:rFonts w:cstheme="minorHAnsi"/>
          <w:sz w:val="20"/>
          <w:szCs w:val="20"/>
        </w:rPr>
        <w:t xml:space="preserve">An important aspect of the restructuring is to ensure that the team retains its licenses to compete in the </w:t>
      </w:r>
      <w:r w:rsidR="00FA508A">
        <w:rPr>
          <w:rFonts w:cstheme="minorHAnsi"/>
          <w:sz w:val="20"/>
          <w:szCs w:val="20"/>
        </w:rPr>
        <w:t>F1 World C</w:t>
      </w:r>
      <w:r w:rsidRPr="007728B8">
        <w:rPr>
          <w:rFonts w:cstheme="minorHAnsi"/>
          <w:sz w:val="20"/>
          <w:szCs w:val="20"/>
        </w:rPr>
        <w:t xml:space="preserve">hampionship. </w:t>
      </w:r>
    </w:p>
    <w:p w:rsidR="005B13B8" w:rsidRPr="007728B8" w:rsidRDefault="005B13B8" w:rsidP="00A320F3">
      <w:pPr>
        <w:pStyle w:val="ListParagraph"/>
        <w:numPr>
          <w:ilvl w:val="2"/>
          <w:numId w:val="16"/>
        </w:numPr>
        <w:spacing w:line="360" w:lineRule="auto"/>
        <w:rPr>
          <w:rFonts w:cstheme="minorHAnsi"/>
          <w:sz w:val="20"/>
          <w:szCs w:val="20"/>
        </w:rPr>
      </w:pPr>
      <w:r w:rsidRPr="007728B8">
        <w:rPr>
          <w:rFonts w:cstheme="minorHAnsi"/>
          <w:sz w:val="20"/>
          <w:szCs w:val="20"/>
        </w:rPr>
        <w:t xml:space="preserve">From the Call, I understand that F1 and FIA have had concerns about the viability of the team, but that they would welcome KuasaNas’ investment given their aim of growing F1 in Asia and whilst no application has yet been submitted, both F1 and the FIA have given tacit approval </w:t>
      </w:r>
      <w:r w:rsidR="00A00D42" w:rsidRPr="007728B8">
        <w:rPr>
          <w:rFonts w:cstheme="minorHAnsi"/>
          <w:sz w:val="20"/>
          <w:szCs w:val="20"/>
        </w:rPr>
        <w:t xml:space="preserve">for </w:t>
      </w:r>
      <w:r w:rsidRPr="007728B8">
        <w:rPr>
          <w:rFonts w:cstheme="minorHAnsi"/>
          <w:sz w:val="20"/>
          <w:szCs w:val="20"/>
        </w:rPr>
        <w:t xml:space="preserve">the transfer </w:t>
      </w:r>
      <w:r w:rsidR="00A00D42" w:rsidRPr="007728B8">
        <w:rPr>
          <w:rFonts w:cstheme="minorHAnsi"/>
          <w:sz w:val="20"/>
          <w:szCs w:val="20"/>
        </w:rPr>
        <w:t xml:space="preserve">of the team and licences to a new entity to be majority owned by KuasaNas. </w:t>
      </w:r>
    </w:p>
    <w:p w:rsidR="00BF21DB" w:rsidRPr="007728B8" w:rsidRDefault="00BF21DB" w:rsidP="00A320F3">
      <w:pPr>
        <w:pStyle w:val="ListParagraph"/>
        <w:numPr>
          <w:ilvl w:val="1"/>
          <w:numId w:val="16"/>
        </w:numPr>
        <w:spacing w:line="360" w:lineRule="auto"/>
        <w:rPr>
          <w:rFonts w:cstheme="minorHAnsi"/>
          <w:sz w:val="20"/>
          <w:szCs w:val="20"/>
        </w:rPr>
      </w:pPr>
      <w:r w:rsidRPr="007728B8">
        <w:rPr>
          <w:rFonts w:cstheme="minorHAnsi"/>
          <w:sz w:val="20"/>
          <w:szCs w:val="20"/>
        </w:rPr>
        <w:t>KuasaNas</w:t>
      </w:r>
      <w:r w:rsidR="0001588C">
        <w:rPr>
          <w:rFonts w:cstheme="minorHAnsi"/>
          <w:sz w:val="20"/>
          <w:szCs w:val="20"/>
        </w:rPr>
        <w:t>:</w:t>
      </w:r>
    </w:p>
    <w:p w:rsidR="00BF21DB" w:rsidRPr="007728B8" w:rsidRDefault="005E47C9" w:rsidP="00A320F3">
      <w:pPr>
        <w:pStyle w:val="ListParagraph"/>
        <w:numPr>
          <w:ilvl w:val="2"/>
          <w:numId w:val="16"/>
        </w:numPr>
        <w:spacing w:line="360" w:lineRule="auto"/>
        <w:rPr>
          <w:rFonts w:cstheme="minorHAnsi"/>
          <w:sz w:val="20"/>
          <w:szCs w:val="20"/>
        </w:rPr>
      </w:pPr>
      <w:r w:rsidRPr="007728B8">
        <w:rPr>
          <w:rFonts w:cstheme="minorHAnsi"/>
          <w:sz w:val="20"/>
          <w:szCs w:val="20"/>
        </w:rPr>
        <w:t xml:space="preserve">I understand from the </w:t>
      </w:r>
      <w:r w:rsidR="008D56C1">
        <w:rPr>
          <w:rFonts w:cstheme="minorHAnsi"/>
          <w:sz w:val="20"/>
          <w:szCs w:val="20"/>
        </w:rPr>
        <w:t>C</w:t>
      </w:r>
      <w:r w:rsidRPr="007728B8">
        <w:rPr>
          <w:rFonts w:cstheme="minorHAnsi"/>
          <w:sz w:val="20"/>
          <w:szCs w:val="20"/>
        </w:rPr>
        <w:t xml:space="preserve">all that KuasaNas remain very keen on acquiring a majority stake in the team and that whilst matters were delayed by the Malaysian government review, the intended transaction fits with the </w:t>
      </w:r>
      <w:r w:rsidR="00C92CC1" w:rsidRPr="007728B8">
        <w:rPr>
          <w:rFonts w:cstheme="minorHAnsi"/>
          <w:sz w:val="20"/>
          <w:szCs w:val="20"/>
        </w:rPr>
        <w:t>Malaysian</w:t>
      </w:r>
      <w:r w:rsidRPr="007728B8">
        <w:rPr>
          <w:rFonts w:cstheme="minorHAnsi"/>
          <w:sz w:val="20"/>
          <w:szCs w:val="20"/>
        </w:rPr>
        <w:t xml:space="preserve"> </w:t>
      </w:r>
      <w:r w:rsidR="00C92CC1" w:rsidRPr="007728B8">
        <w:rPr>
          <w:rFonts w:cstheme="minorHAnsi"/>
          <w:sz w:val="20"/>
          <w:szCs w:val="20"/>
        </w:rPr>
        <w:t>government’s</w:t>
      </w:r>
      <w:r w:rsidRPr="007728B8">
        <w:rPr>
          <w:rFonts w:cstheme="minorHAnsi"/>
          <w:sz w:val="20"/>
          <w:szCs w:val="20"/>
        </w:rPr>
        <w:t xml:space="preserve"> tourism plans and their hopes of getting F1 to stage a race in the country again. Current indications are that the final sign-off will be received from the Malaysian government within one month</w:t>
      </w:r>
      <w:r w:rsidR="00C92CC1" w:rsidRPr="007728B8">
        <w:rPr>
          <w:rFonts w:cstheme="minorHAnsi"/>
          <w:sz w:val="20"/>
          <w:szCs w:val="20"/>
        </w:rPr>
        <w:t xml:space="preserve"> and the deal can proceed, subject to resolving the other matters as KuasaNas only wants to invest in a new and solvent structure. </w:t>
      </w:r>
    </w:p>
    <w:p w:rsidR="00C92CC1" w:rsidRDefault="00C92CC1" w:rsidP="00A320F3">
      <w:pPr>
        <w:pStyle w:val="ListParagraph"/>
        <w:numPr>
          <w:ilvl w:val="2"/>
          <w:numId w:val="16"/>
        </w:numPr>
        <w:spacing w:line="360" w:lineRule="auto"/>
        <w:rPr>
          <w:rFonts w:cstheme="minorHAnsi"/>
          <w:sz w:val="20"/>
          <w:szCs w:val="20"/>
        </w:rPr>
      </w:pPr>
      <w:r w:rsidRPr="007728B8">
        <w:rPr>
          <w:rFonts w:cstheme="minorHAnsi"/>
          <w:sz w:val="20"/>
          <w:szCs w:val="20"/>
        </w:rPr>
        <w:t xml:space="preserve">I further understand from the Call that KuasaNas has agreed with the valuation report you obtained (discussed below) and is willing to </w:t>
      </w:r>
      <w:r w:rsidR="00A4271B">
        <w:rPr>
          <w:rFonts w:cstheme="minorHAnsi"/>
          <w:sz w:val="20"/>
          <w:szCs w:val="20"/>
        </w:rPr>
        <w:t xml:space="preserve">purchase </w:t>
      </w:r>
      <w:r w:rsidRPr="007728B8">
        <w:rPr>
          <w:rFonts w:cstheme="minorHAnsi"/>
          <w:sz w:val="20"/>
          <w:szCs w:val="20"/>
        </w:rPr>
        <w:t>51% of the team based on that valuation.</w:t>
      </w:r>
    </w:p>
    <w:p w:rsidR="00005697" w:rsidRDefault="00005697" w:rsidP="00A320F3">
      <w:pPr>
        <w:pStyle w:val="ListParagraph"/>
        <w:numPr>
          <w:ilvl w:val="2"/>
          <w:numId w:val="16"/>
        </w:numPr>
        <w:spacing w:line="360" w:lineRule="auto"/>
        <w:rPr>
          <w:rFonts w:cstheme="minorHAnsi"/>
          <w:sz w:val="20"/>
          <w:szCs w:val="20"/>
        </w:rPr>
      </w:pPr>
      <w:r>
        <w:rPr>
          <w:rFonts w:cstheme="minorHAnsi"/>
          <w:sz w:val="20"/>
          <w:szCs w:val="20"/>
        </w:rPr>
        <w:t xml:space="preserve">The F1 team will need USD 50 million of funding for next seasin and KuasaNas is willing to contribute it’s 51% share of that (USD 25.5 million). </w:t>
      </w:r>
    </w:p>
    <w:p w:rsidR="008D56C1" w:rsidRPr="007728B8" w:rsidRDefault="008D56C1" w:rsidP="008D56C1">
      <w:pPr>
        <w:pStyle w:val="ListParagraph"/>
        <w:spacing w:line="360" w:lineRule="auto"/>
        <w:ind w:left="2160"/>
        <w:rPr>
          <w:rFonts w:cstheme="minorHAnsi"/>
          <w:sz w:val="20"/>
          <w:szCs w:val="20"/>
        </w:rPr>
      </w:pPr>
    </w:p>
    <w:p w:rsidR="00461336" w:rsidRPr="0016601C" w:rsidRDefault="008D56C1" w:rsidP="00461336">
      <w:pPr>
        <w:pStyle w:val="ListParagraph"/>
        <w:numPr>
          <w:ilvl w:val="0"/>
          <w:numId w:val="16"/>
        </w:numPr>
        <w:spacing w:line="360" w:lineRule="auto"/>
        <w:rPr>
          <w:rFonts w:cstheme="minorHAnsi"/>
          <w:b/>
          <w:sz w:val="20"/>
          <w:szCs w:val="20"/>
        </w:rPr>
      </w:pPr>
      <w:r>
        <w:rPr>
          <w:rFonts w:cstheme="minorHAnsi"/>
          <w:b/>
          <w:sz w:val="20"/>
          <w:szCs w:val="20"/>
        </w:rPr>
        <w:t>Potential u</w:t>
      </w:r>
      <w:r w:rsidR="00461336" w:rsidRPr="0016601C">
        <w:rPr>
          <w:rFonts w:cstheme="minorHAnsi"/>
          <w:b/>
          <w:sz w:val="20"/>
          <w:szCs w:val="20"/>
        </w:rPr>
        <w:t>se of restructuring schemes</w:t>
      </w:r>
      <w:r>
        <w:rPr>
          <w:rFonts w:cstheme="minorHAnsi"/>
          <w:b/>
          <w:sz w:val="20"/>
          <w:szCs w:val="20"/>
        </w:rPr>
        <w:t xml:space="preserve"> in various jurisdictions</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lastRenderedPageBreak/>
        <w:t>In formulating the strategy for this restructuring, I have considered the use of various options in multiple jurisdictions</w:t>
      </w:r>
      <w:r w:rsidR="008D56C1">
        <w:rPr>
          <w:rFonts w:cstheme="minorHAnsi"/>
          <w:sz w:val="20"/>
          <w:szCs w:val="20"/>
        </w:rPr>
        <w:t>,</w:t>
      </w:r>
      <w:r w:rsidRPr="007728B8">
        <w:rPr>
          <w:rFonts w:cstheme="minorHAnsi"/>
          <w:sz w:val="20"/>
          <w:szCs w:val="20"/>
        </w:rPr>
        <w:t xml:space="preserve"> but primarily focused on the processes available in the countries in which the Efwon Group entities are incorporated.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The three entities in the Efwon Group are incorporated in the U</w:t>
      </w:r>
      <w:r w:rsidR="008D56C1">
        <w:rPr>
          <w:rFonts w:cstheme="minorHAnsi"/>
          <w:sz w:val="20"/>
          <w:szCs w:val="20"/>
        </w:rPr>
        <w:t xml:space="preserve">nited </w:t>
      </w:r>
      <w:r w:rsidRPr="007728B8">
        <w:rPr>
          <w:rFonts w:cstheme="minorHAnsi"/>
          <w:sz w:val="20"/>
          <w:szCs w:val="20"/>
        </w:rPr>
        <w:t>S</w:t>
      </w:r>
      <w:r w:rsidR="008D56C1">
        <w:rPr>
          <w:rFonts w:cstheme="minorHAnsi"/>
          <w:sz w:val="20"/>
          <w:szCs w:val="20"/>
        </w:rPr>
        <w:t>tates</w:t>
      </w:r>
      <w:r w:rsidRPr="007728B8">
        <w:rPr>
          <w:rFonts w:cstheme="minorHAnsi"/>
          <w:sz w:val="20"/>
          <w:szCs w:val="20"/>
        </w:rPr>
        <w:t xml:space="preserve">, the Netherlands and Romania. Therefore, the common starting position is to consider what restructuring options are available in the countries of incorporation.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Romania:</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Romania is a member of the European Union (“</w:t>
      </w:r>
      <w:r w:rsidRPr="00A4271B">
        <w:rPr>
          <w:rFonts w:cstheme="minorHAnsi"/>
          <w:b/>
          <w:sz w:val="20"/>
          <w:szCs w:val="20"/>
        </w:rPr>
        <w:t>EU</w:t>
      </w:r>
      <w:r w:rsidRPr="007728B8">
        <w:rPr>
          <w:rFonts w:cstheme="minorHAnsi"/>
          <w:sz w:val="20"/>
          <w:szCs w:val="20"/>
        </w:rPr>
        <w:t xml:space="preserve">”) and has in the recent past made legislative changes to implement the 2019 EU Directive on restructuring and insolvency. </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 xml:space="preserve">The options available include: </w:t>
      </w:r>
    </w:p>
    <w:p w:rsidR="00461336" w:rsidRPr="007728B8" w:rsidRDefault="00461336" w:rsidP="00461336">
      <w:pPr>
        <w:pStyle w:val="ListParagraph"/>
        <w:numPr>
          <w:ilvl w:val="3"/>
          <w:numId w:val="16"/>
        </w:numPr>
        <w:spacing w:line="360" w:lineRule="auto"/>
        <w:rPr>
          <w:rFonts w:cstheme="minorHAnsi"/>
          <w:sz w:val="20"/>
          <w:szCs w:val="20"/>
        </w:rPr>
      </w:pPr>
      <w:r w:rsidRPr="007728B8">
        <w:rPr>
          <w:rFonts w:cstheme="minorHAnsi"/>
          <w:sz w:val="20"/>
          <w:szCs w:val="20"/>
        </w:rPr>
        <w:t>a restructuring agreement whereby restructuring is negotiated in advance with the creditors and following a creditor vote is approved by a judge, with a restructuring administrator then monitoring the company and reporting to creditors</w:t>
      </w:r>
      <w:r w:rsidRPr="007728B8">
        <w:rPr>
          <w:rStyle w:val="FootnoteReference"/>
          <w:rFonts w:cstheme="minorHAnsi"/>
          <w:sz w:val="20"/>
          <w:szCs w:val="20"/>
        </w:rPr>
        <w:footnoteReference w:id="2"/>
      </w:r>
      <w:r w:rsidR="008D56C1">
        <w:rPr>
          <w:rFonts w:cstheme="minorHAnsi"/>
          <w:sz w:val="20"/>
          <w:szCs w:val="20"/>
        </w:rPr>
        <w:t>; and</w:t>
      </w:r>
    </w:p>
    <w:p w:rsidR="00461336" w:rsidRPr="007728B8" w:rsidRDefault="00461336" w:rsidP="00461336">
      <w:pPr>
        <w:pStyle w:val="ListParagraph"/>
        <w:numPr>
          <w:ilvl w:val="3"/>
          <w:numId w:val="16"/>
        </w:numPr>
        <w:spacing w:line="360" w:lineRule="auto"/>
        <w:rPr>
          <w:rFonts w:cstheme="minorHAnsi"/>
          <w:sz w:val="20"/>
          <w:szCs w:val="20"/>
        </w:rPr>
      </w:pPr>
      <w:r w:rsidRPr="007728B8">
        <w:rPr>
          <w:rFonts w:cstheme="minorHAnsi"/>
          <w:sz w:val="20"/>
          <w:szCs w:val="20"/>
        </w:rPr>
        <w:t>a preventative agreement which is a Court overseen formal process which suspends enforcement against the company whilst a plan is negotiated, agreed and approved by Court</w:t>
      </w:r>
      <w:r w:rsidRPr="007728B8">
        <w:rPr>
          <w:rStyle w:val="FootnoteReference"/>
          <w:rFonts w:cstheme="minorHAnsi"/>
          <w:sz w:val="20"/>
          <w:szCs w:val="20"/>
        </w:rPr>
        <w:footnoteReference w:id="3"/>
      </w:r>
      <w:r w:rsidRPr="007728B8">
        <w:rPr>
          <w:rFonts w:cstheme="minorHAnsi"/>
          <w:sz w:val="20"/>
          <w:szCs w:val="20"/>
        </w:rPr>
        <w:t xml:space="preserve">. </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Despite these new options being available, restructurings in Romania remain a largely untested process as there has not been much uptake since the introduction of the provisions</w:t>
      </w:r>
      <w:r w:rsidRPr="007728B8">
        <w:rPr>
          <w:rStyle w:val="FootnoteReference"/>
          <w:rFonts w:cstheme="minorHAnsi"/>
          <w:sz w:val="20"/>
          <w:szCs w:val="20"/>
        </w:rPr>
        <w:footnoteReference w:id="4"/>
      </w:r>
      <w:r w:rsidRPr="007728B8">
        <w:rPr>
          <w:rFonts w:cstheme="minorHAnsi"/>
          <w:sz w:val="20"/>
          <w:szCs w:val="20"/>
        </w:rPr>
        <w:t>.</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The Netherlands</w:t>
      </w:r>
      <w:r w:rsidR="0028508F">
        <w:rPr>
          <w:rFonts w:cstheme="minorHAnsi"/>
          <w:sz w:val="20"/>
          <w:szCs w:val="20"/>
        </w:rPr>
        <w:t>:</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On 1 January 2021, a new Dutch restructuring process came into effect which is known as the WHOA based on the Dutch acronym. It has been referred to as the Dutch equivalent of Chapter 11 or the UK scheme of arrangement</w:t>
      </w:r>
      <w:r w:rsidRPr="007728B8">
        <w:rPr>
          <w:rStyle w:val="FootnoteReference"/>
          <w:rFonts w:cstheme="minorHAnsi"/>
          <w:sz w:val="20"/>
          <w:szCs w:val="20"/>
        </w:rPr>
        <w:footnoteReference w:id="5"/>
      </w:r>
      <w:r w:rsidRPr="007728B8">
        <w:rPr>
          <w:rFonts w:cstheme="minorHAnsi"/>
          <w:sz w:val="20"/>
          <w:szCs w:val="20"/>
        </w:rPr>
        <w:t xml:space="preserve">. </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The process is attractive as it is based on debtor-in-possession and provides a moratorium</w:t>
      </w:r>
      <w:r w:rsidRPr="007728B8">
        <w:rPr>
          <w:rStyle w:val="FootnoteReference"/>
          <w:rFonts w:cstheme="minorHAnsi"/>
          <w:sz w:val="20"/>
          <w:szCs w:val="20"/>
        </w:rPr>
        <w:footnoteReference w:id="6"/>
      </w:r>
      <w:r w:rsidRPr="007728B8">
        <w:rPr>
          <w:rFonts w:cstheme="minorHAnsi"/>
          <w:sz w:val="20"/>
          <w:szCs w:val="20"/>
        </w:rPr>
        <w:t xml:space="preserve">. </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lastRenderedPageBreak/>
        <w:t>Court involvement in the WHOA is intended to be minimal and there is scope for the process to be completed in just a few weeks</w:t>
      </w:r>
      <w:r w:rsidRPr="007728B8">
        <w:rPr>
          <w:rStyle w:val="FootnoteReference"/>
          <w:rFonts w:cstheme="minorHAnsi"/>
          <w:sz w:val="20"/>
          <w:szCs w:val="20"/>
        </w:rPr>
        <w:footnoteReference w:id="7"/>
      </w:r>
      <w:r w:rsidRPr="007728B8">
        <w:rPr>
          <w:rFonts w:cstheme="minorHAnsi"/>
          <w:sz w:val="20"/>
          <w:szCs w:val="20"/>
        </w:rPr>
        <w:t>.</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Voting requires a 2/3</w:t>
      </w:r>
      <w:r w:rsidRPr="007728B8">
        <w:rPr>
          <w:rFonts w:cstheme="minorHAnsi"/>
          <w:sz w:val="20"/>
          <w:szCs w:val="20"/>
          <w:vertAlign w:val="superscript"/>
        </w:rPr>
        <w:t>rd</w:t>
      </w:r>
      <w:r w:rsidRPr="007728B8">
        <w:rPr>
          <w:rFonts w:cstheme="minorHAnsi"/>
          <w:sz w:val="20"/>
          <w:szCs w:val="20"/>
        </w:rPr>
        <w:t xml:space="preserve"> majority of creditors in favo</w:t>
      </w:r>
      <w:r w:rsidR="008D56C1">
        <w:rPr>
          <w:rFonts w:cstheme="minorHAnsi"/>
          <w:sz w:val="20"/>
          <w:szCs w:val="20"/>
        </w:rPr>
        <w:t>u</w:t>
      </w:r>
      <w:r w:rsidRPr="007728B8">
        <w:rPr>
          <w:rFonts w:cstheme="minorHAnsi"/>
          <w:sz w:val="20"/>
          <w:szCs w:val="20"/>
        </w:rPr>
        <w:t>r for each class and there is no numericity or headcount test</w:t>
      </w:r>
      <w:r w:rsidRPr="007728B8">
        <w:rPr>
          <w:rStyle w:val="FootnoteReference"/>
          <w:rFonts w:cstheme="minorHAnsi"/>
          <w:sz w:val="20"/>
          <w:szCs w:val="20"/>
        </w:rPr>
        <w:footnoteReference w:id="8"/>
      </w:r>
      <w:r w:rsidRPr="007728B8">
        <w:rPr>
          <w:rFonts w:cstheme="minorHAnsi"/>
          <w:sz w:val="20"/>
          <w:szCs w:val="20"/>
        </w:rPr>
        <w:t xml:space="preserve">. The WHOA also provides for </w:t>
      </w:r>
      <w:r w:rsidR="008D56C1">
        <w:rPr>
          <w:rFonts w:cstheme="minorHAnsi"/>
          <w:sz w:val="20"/>
          <w:szCs w:val="20"/>
        </w:rPr>
        <w:t xml:space="preserve">cross </w:t>
      </w:r>
      <w:r w:rsidRPr="007728B8">
        <w:rPr>
          <w:rFonts w:cstheme="minorHAnsi"/>
          <w:sz w:val="20"/>
          <w:szCs w:val="20"/>
        </w:rPr>
        <w:t>class cram down</w:t>
      </w:r>
      <w:r w:rsidRPr="007728B8">
        <w:rPr>
          <w:rStyle w:val="FootnoteReference"/>
          <w:rFonts w:cstheme="minorHAnsi"/>
          <w:sz w:val="20"/>
          <w:szCs w:val="20"/>
        </w:rPr>
        <w:footnoteReference w:id="9"/>
      </w:r>
      <w:r w:rsidRPr="007728B8">
        <w:rPr>
          <w:rFonts w:cstheme="minorHAnsi"/>
          <w:sz w:val="20"/>
          <w:szCs w:val="20"/>
        </w:rPr>
        <w:t xml:space="preserve">. </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There has been a recent case of a WHOA and Chapter 11 being used in an interconnected way in the Diebold Nixdorf case</w:t>
      </w:r>
      <w:r w:rsidRPr="007728B8">
        <w:rPr>
          <w:rStyle w:val="FootnoteReference"/>
          <w:rFonts w:cstheme="minorHAnsi"/>
          <w:sz w:val="20"/>
          <w:szCs w:val="20"/>
        </w:rPr>
        <w:footnoteReference w:id="10"/>
      </w:r>
      <w:r w:rsidRPr="007728B8">
        <w:rPr>
          <w:rFonts w:cstheme="minorHAnsi"/>
          <w:sz w:val="20"/>
          <w:szCs w:val="20"/>
        </w:rPr>
        <w:t xml:space="preserve"> which shows a clear template for using </w:t>
      </w:r>
      <w:r w:rsidR="00A4271B">
        <w:rPr>
          <w:rFonts w:cstheme="minorHAnsi"/>
          <w:sz w:val="20"/>
          <w:szCs w:val="20"/>
        </w:rPr>
        <w:t>these procedures</w:t>
      </w:r>
      <w:r w:rsidRPr="007728B8">
        <w:rPr>
          <w:rFonts w:cstheme="minorHAnsi"/>
          <w:sz w:val="20"/>
          <w:szCs w:val="20"/>
        </w:rPr>
        <w:t xml:space="preserve"> in an interconnected and inter-conditional way and gives a precedent for the US Courts recognizing WHOA plans.</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There is also an example of a WHOA being combined with an English scheme of arrangement in the case of Vroon, this being done to bind foreign creditors and so the English scheme could be recognized in Singapore (another common law jurisdiction)</w:t>
      </w:r>
      <w:r w:rsidRPr="007728B8">
        <w:rPr>
          <w:rStyle w:val="FootnoteReference"/>
          <w:rFonts w:cstheme="minorHAnsi"/>
          <w:sz w:val="20"/>
          <w:szCs w:val="20"/>
        </w:rPr>
        <w:footnoteReference w:id="11"/>
      </w:r>
      <w:r w:rsidRPr="007728B8">
        <w:rPr>
          <w:rFonts w:cstheme="minorHAnsi"/>
          <w:sz w:val="20"/>
          <w:szCs w:val="20"/>
        </w:rPr>
        <w:t xml:space="preserve">.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United States</w:t>
      </w:r>
      <w:r w:rsidR="0028508F">
        <w:rPr>
          <w:rFonts w:cstheme="minorHAnsi"/>
          <w:sz w:val="20"/>
          <w:szCs w:val="20"/>
        </w:rPr>
        <w:t>:</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Chapter 11 is the mechanism for restructuring of companies in the U</w:t>
      </w:r>
      <w:r w:rsidR="0028508F">
        <w:rPr>
          <w:rFonts w:cstheme="minorHAnsi"/>
          <w:sz w:val="20"/>
          <w:szCs w:val="20"/>
        </w:rPr>
        <w:t xml:space="preserve">nited </w:t>
      </w:r>
      <w:r w:rsidRPr="007728B8">
        <w:rPr>
          <w:rFonts w:cstheme="minorHAnsi"/>
          <w:sz w:val="20"/>
          <w:szCs w:val="20"/>
        </w:rPr>
        <w:t>S</w:t>
      </w:r>
      <w:r w:rsidR="0028508F">
        <w:rPr>
          <w:rFonts w:cstheme="minorHAnsi"/>
          <w:sz w:val="20"/>
          <w:szCs w:val="20"/>
        </w:rPr>
        <w:t>tates</w:t>
      </w:r>
      <w:r w:rsidRPr="007728B8">
        <w:rPr>
          <w:rFonts w:cstheme="minorHAnsi"/>
          <w:sz w:val="20"/>
          <w:szCs w:val="20"/>
        </w:rPr>
        <w:t xml:space="preserve">. </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It is a debtor</w:t>
      </w:r>
      <w:r w:rsidR="0028508F">
        <w:rPr>
          <w:rFonts w:cstheme="minorHAnsi"/>
          <w:sz w:val="20"/>
          <w:szCs w:val="20"/>
        </w:rPr>
        <w:t>-</w:t>
      </w:r>
      <w:r w:rsidRPr="007728B8">
        <w:rPr>
          <w:rFonts w:cstheme="minorHAnsi"/>
          <w:sz w:val="20"/>
          <w:szCs w:val="20"/>
        </w:rPr>
        <w:t>in</w:t>
      </w:r>
      <w:r w:rsidR="0028508F">
        <w:rPr>
          <w:rFonts w:cstheme="minorHAnsi"/>
          <w:sz w:val="20"/>
          <w:szCs w:val="20"/>
        </w:rPr>
        <w:t>-</w:t>
      </w:r>
      <w:r w:rsidRPr="007728B8">
        <w:rPr>
          <w:rFonts w:cstheme="minorHAnsi"/>
          <w:sz w:val="20"/>
          <w:szCs w:val="20"/>
        </w:rPr>
        <w:t>possession type scheme, where management continue to run the company and can, with court approval, borrow new money</w:t>
      </w:r>
      <w:r w:rsidRPr="007728B8">
        <w:rPr>
          <w:rStyle w:val="FootnoteReference"/>
          <w:rFonts w:cstheme="minorHAnsi"/>
          <w:sz w:val="20"/>
          <w:szCs w:val="20"/>
        </w:rPr>
        <w:footnoteReference w:id="12"/>
      </w:r>
      <w:r w:rsidRPr="007728B8">
        <w:rPr>
          <w:rFonts w:cstheme="minorHAnsi"/>
          <w:sz w:val="20"/>
          <w:szCs w:val="20"/>
        </w:rPr>
        <w:t>.</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A company does not have to be US incorporated to file for Chapter 11, but pursuant to section 109(a) of the Bankruptcy Code, it must at least have property in the U</w:t>
      </w:r>
      <w:r w:rsidR="0028508F">
        <w:rPr>
          <w:rFonts w:cstheme="minorHAnsi"/>
          <w:sz w:val="20"/>
          <w:szCs w:val="20"/>
        </w:rPr>
        <w:t xml:space="preserve">nited </w:t>
      </w:r>
      <w:r w:rsidRPr="007728B8">
        <w:rPr>
          <w:rFonts w:cstheme="minorHAnsi"/>
          <w:sz w:val="20"/>
          <w:szCs w:val="20"/>
        </w:rPr>
        <w:t>S</w:t>
      </w:r>
      <w:r w:rsidR="0028508F">
        <w:rPr>
          <w:rFonts w:cstheme="minorHAnsi"/>
          <w:sz w:val="20"/>
          <w:szCs w:val="20"/>
        </w:rPr>
        <w:t>tates</w:t>
      </w:r>
      <w:r w:rsidRPr="007728B8">
        <w:rPr>
          <w:rFonts w:cstheme="minorHAnsi"/>
          <w:sz w:val="20"/>
          <w:szCs w:val="20"/>
        </w:rPr>
        <w:t>. The US Court has interpreted property broadly and having a US bank account has been deemed to be sufficient as per the criteria established In re GLOBAL OCEAN</w:t>
      </w:r>
      <w:r w:rsidRPr="007728B8">
        <w:rPr>
          <w:rStyle w:val="FootnoteReference"/>
          <w:rFonts w:cstheme="minorHAnsi"/>
          <w:sz w:val="20"/>
          <w:szCs w:val="20"/>
        </w:rPr>
        <w:footnoteReference w:id="13"/>
      </w:r>
      <w:r w:rsidRPr="007728B8">
        <w:rPr>
          <w:rFonts w:cstheme="minorHAnsi"/>
          <w:sz w:val="20"/>
          <w:szCs w:val="20"/>
        </w:rPr>
        <w:t>.</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 xml:space="preserve">In group situations, consolidation is possible. The Court will usually have administrative consolidation with one Judge appointed to oversee all debtors in the group, whilst </w:t>
      </w:r>
      <w:r w:rsidRPr="007728B8">
        <w:rPr>
          <w:rFonts w:cstheme="minorHAnsi"/>
          <w:sz w:val="20"/>
          <w:szCs w:val="20"/>
        </w:rPr>
        <w:lastRenderedPageBreak/>
        <w:t>substantive consolidation is possible</w:t>
      </w:r>
      <w:r w:rsidRPr="007728B8">
        <w:rPr>
          <w:rStyle w:val="FootnoteReference"/>
          <w:rFonts w:cstheme="minorHAnsi"/>
          <w:sz w:val="20"/>
          <w:szCs w:val="20"/>
        </w:rPr>
        <w:footnoteReference w:id="14"/>
      </w:r>
      <w:r w:rsidRPr="007728B8">
        <w:rPr>
          <w:rFonts w:cstheme="minorHAnsi"/>
          <w:sz w:val="20"/>
          <w:szCs w:val="20"/>
        </w:rPr>
        <w:t>. Substantive consolidation is rarely actively enforced by Courts, but where creditor approved plans include consolidation these are often approved by the Court as a way to deal with the practical issues of group restructurings</w:t>
      </w:r>
      <w:r w:rsidRPr="007728B8">
        <w:rPr>
          <w:rStyle w:val="FootnoteReference"/>
          <w:rFonts w:cstheme="minorHAnsi"/>
          <w:sz w:val="20"/>
          <w:szCs w:val="20"/>
        </w:rPr>
        <w:footnoteReference w:id="15"/>
      </w:r>
      <w:r w:rsidRPr="007728B8">
        <w:rPr>
          <w:rFonts w:cstheme="minorHAnsi"/>
          <w:sz w:val="20"/>
          <w:szCs w:val="20"/>
        </w:rPr>
        <w:t xml:space="preserve">. </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The debtor entities will have the exclusive right to propose a plan for the first 120 days</w:t>
      </w:r>
      <w:r w:rsidRPr="007728B8">
        <w:rPr>
          <w:rStyle w:val="FootnoteReference"/>
          <w:rFonts w:cstheme="minorHAnsi"/>
          <w:sz w:val="20"/>
          <w:szCs w:val="20"/>
        </w:rPr>
        <w:footnoteReference w:id="16"/>
      </w:r>
      <w:r w:rsidRPr="007728B8">
        <w:rPr>
          <w:rFonts w:cstheme="minorHAnsi"/>
          <w:sz w:val="20"/>
          <w:szCs w:val="20"/>
        </w:rPr>
        <w:t xml:space="preserve">. </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In order to get a plan approved each class of creditors being impaired must approve the plan by a majority in number and two-thirds in amount</w:t>
      </w:r>
      <w:r w:rsidRPr="007728B8">
        <w:rPr>
          <w:rStyle w:val="FootnoteReference"/>
          <w:rFonts w:cstheme="minorHAnsi"/>
          <w:sz w:val="20"/>
          <w:szCs w:val="20"/>
        </w:rPr>
        <w:footnoteReference w:id="17"/>
      </w:r>
      <w:r w:rsidRPr="007728B8">
        <w:rPr>
          <w:rFonts w:cstheme="minorHAnsi"/>
          <w:sz w:val="20"/>
          <w:szCs w:val="20"/>
        </w:rPr>
        <w:t>. If a class of creditors does not accept the plan it may still be possible to cram down that class provided at least one impaired class has voted in favo</w:t>
      </w:r>
      <w:r w:rsidR="0028508F">
        <w:rPr>
          <w:rFonts w:cstheme="minorHAnsi"/>
          <w:sz w:val="20"/>
          <w:szCs w:val="20"/>
        </w:rPr>
        <w:t>u</w:t>
      </w:r>
      <w:r w:rsidRPr="007728B8">
        <w:rPr>
          <w:rFonts w:cstheme="minorHAnsi"/>
          <w:sz w:val="20"/>
          <w:szCs w:val="20"/>
        </w:rPr>
        <w:t>r and no junior class to the dissenting class is receiving anything under the plan</w:t>
      </w:r>
      <w:r w:rsidRPr="007728B8">
        <w:rPr>
          <w:rStyle w:val="FootnoteReference"/>
          <w:rFonts w:cstheme="minorHAnsi"/>
          <w:sz w:val="20"/>
          <w:szCs w:val="20"/>
        </w:rPr>
        <w:footnoteReference w:id="18"/>
      </w:r>
      <w:r w:rsidRPr="007728B8">
        <w:rPr>
          <w:rFonts w:cstheme="minorHAnsi"/>
          <w:sz w:val="20"/>
          <w:szCs w:val="20"/>
        </w:rPr>
        <w:t xml:space="preserve">. </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Finally, if there is a need for the process to be completed quickly, there is scope for a ‘prepack’ Chapter 11 plan whereby negotiations and votes are held in advance and when the matter is filed with the Court the Court is asked to approve the disclosure statements and approve the plan</w:t>
      </w:r>
      <w:r w:rsidRPr="007728B8">
        <w:rPr>
          <w:rStyle w:val="FootnoteReference"/>
          <w:rFonts w:cstheme="minorHAnsi"/>
          <w:sz w:val="20"/>
          <w:szCs w:val="20"/>
        </w:rPr>
        <w:footnoteReference w:id="19"/>
      </w:r>
      <w:r w:rsidRPr="007728B8">
        <w:rPr>
          <w:rFonts w:cstheme="minorHAnsi"/>
          <w:sz w:val="20"/>
          <w:szCs w:val="20"/>
        </w:rPr>
        <w:t xml:space="preserve">.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In the restructuring of a multi-jurisdictional group such as this it is important to be cognizant of how procedures in one country interact with procedures in another country or if they are recogni</w:t>
      </w:r>
      <w:r w:rsidR="0028508F">
        <w:rPr>
          <w:rFonts w:cstheme="minorHAnsi"/>
          <w:sz w:val="20"/>
          <w:szCs w:val="20"/>
        </w:rPr>
        <w:t>s</w:t>
      </w:r>
      <w:r w:rsidRPr="007728B8">
        <w:rPr>
          <w:rFonts w:cstheme="minorHAnsi"/>
          <w:sz w:val="20"/>
          <w:szCs w:val="20"/>
        </w:rPr>
        <w:t>ed</w:t>
      </w:r>
      <w:r w:rsidR="0028508F">
        <w:rPr>
          <w:rFonts w:cstheme="minorHAnsi"/>
          <w:sz w:val="20"/>
          <w:szCs w:val="20"/>
        </w:rPr>
        <w:t xml:space="preserve"> in different countries</w:t>
      </w:r>
      <w:r w:rsidRPr="007728B8">
        <w:rPr>
          <w:rFonts w:cstheme="minorHAnsi"/>
          <w:sz w:val="20"/>
          <w:szCs w:val="20"/>
        </w:rPr>
        <w:t xml:space="preserve">.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 xml:space="preserve">Some of the key concepts to be aware of include the UNCITRAL Model Law and the European Insolvency Regulation.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 xml:space="preserve">The UNCITRAL Model Law on Cross-Border Insolvency </w:t>
      </w:r>
      <w:r w:rsidR="0028508F">
        <w:rPr>
          <w:rFonts w:cstheme="minorHAnsi"/>
          <w:sz w:val="20"/>
          <w:szCs w:val="20"/>
        </w:rPr>
        <w:t xml:space="preserve">(“UMLCBI”) </w:t>
      </w:r>
      <w:r w:rsidRPr="007728B8">
        <w:rPr>
          <w:rFonts w:cstheme="minorHAnsi"/>
          <w:sz w:val="20"/>
          <w:szCs w:val="20"/>
        </w:rPr>
        <w:t>was developed to provide a framework to assist States in adopting laws and regulations which would facilitate a fair and harmonized way to deal with insolvency</w:t>
      </w:r>
      <w:r w:rsidRPr="007728B8">
        <w:rPr>
          <w:rStyle w:val="FootnoteReference"/>
          <w:rFonts w:cstheme="minorHAnsi"/>
          <w:sz w:val="20"/>
          <w:szCs w:val="20"/>
        </w:rPr>
        <w:footnoteReference w:id="20"/>
      </w:r>
      <w:r w:rsidRPr="007728B8">
        <w:rPr>
          <w:rFonts w:cstheme="minorHAnsi"/>
          <w:sz w:val="20"/>
          <w:szCs w:val="20"/>
        </w:rPr>
        <w:t xml:space="preserve">. The UMLCBI does not set out a prescribed way to approach all matters, but rather provides options that States can </w:t>
      </w:r>
      <w:r w:rsidR="0028508F">
        <w:rPr>
          <w:rFonts w:cstheme="minorHAnsi"/>
          <w:sz w:val="20"/>
          <w:szCs w:val="20"/>
        </w:rPr>
        <w:t>choose</w:t>
      </w:r>
      <w:r w:rsidRPr="007728B8">
        <w:rPr>
          <w:rFonts w:cstheme="minorHAnsi"/>
          <w:sz w:val="20"/>
          <w:szCs w:val="20"/>
        </w:rPr>
        <w:t xml:space="preserve"> to adopt dependent on </w:t>
      </w:r>
      <w:r w:rsidRPr="007728B8">
        <w:rPr>
          <w:rFonts w:cstheme="minorHAnsi"/>
          <w:sz w:val="20"/>
          <w:szCs w:val="20"/>
        </w:rPr>
        <w:lastRenderedPageBreak/>
        <w:t xml:space="preserve">their circumstances and the degree to which they are willing to abide by a universalism approach versus a protective territoriality approach.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Countries that adopt the UMLCBI use the concept of centre of main interest (“COMI”) to decide on how a foreign proceeding should be treated, i.e. as foreign main proceeding or foreign non-main proceeding</w:t>
      </w:r>
      <w:r w:rsidRPr="007728B8">
        <w:rPr>
          <w:rStyle w:val="FootnoteReference"/>
          <w:rFonts w:cstheme="minorHAnsi"/>
          <w:sz w:val="20"/>
          <w:szCs w:val="20"/>
        </w:rPr>
        <w:footnoteReference w:id="21"/>
      </w:r>
      <w:r w:rsidRPr="007728B8">
        <w:rPr>
          <w:rFonts w:cstheme="minorHAnsi"/>
          <w:sz w:val="20"/>
          <w:szCs w:val="20"/>
        </w:rPr>
        <w:t xml:space="preserve">.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In terms of the jurisdictions directly related to Efwon Group, both the U</w:t>
      </w:r>
      <w:r w:rsidR="0028508F">
        <w:rPr>
          <w:rFonts w:cstheme="minorHAnsi"/>
          <w:sz w:val="20"/>
          <w:szCs w:val="20"/>
        </w:rPr>
        <w:t xml:space="preserve">nited </w:t>
      </w:r>
      <w:r w:rsidRPr="007728B8">
        <w:rPr>
          <w:rFonts w:cstheme="minorHAnsi"/>
          <w:sz w:val="20"/>
          <w:szCs w:val="20"/>
        </w:rPr>
        <w:t>S</w:t>
      </w:r>
      <w:r w:rsidR="0028508F">
        <w:rPr>
          <w:rFonts w:cstheme="minorHAnsi"/>
          <w:sz w:val="20"/>
          <w:szCs w:val="20"/>
        </w:rPr>
        <w:t>tates</w:t>
      </w:r>
      <w:r w:rsidRPr="007728B8">
        <w:rPr>
          <w:rStyle w:val="FootnoteReference"/>
          <w:rFonts w:cstheme="minorHAnsi"/>
          <w:sz w:val="20"/>
          <w:szCs w:val="20"/>
        </w:rPr>
        <w:footnoteReference w:id="22"/>
      </w:r>
      <w:r w:rsidRPr="007728B8">
        <w:rPr>
          <w:rFonts w:cstheme="minorHAnsi"/>
          <w:sz w:val="20"/>
          <w:szCs w:val="20"/>
        </w:rPr>
        <w:t xml:space="preserve"> and Romania</w:t>
      </w:r>
      <w:r w:rsidRPr="007728B8">
        <w:rPr>
          <w:rStyle w:val="FootnoteReference"/>
          <w:rFonts w:cstheme="minorHAnsi"/>
          <w:sz w:val="20"/>
          <w:szCs w:val="20"/>
        </w:rPr>
        <w:footnoteReference w:id="23"/>
      </w:r>
      <w:r w:rsidRPr="007728B8">
        <w:rPr>
          <w:rFonts w:cstheme="minorHAnsi"/>
          <w:sz w:val="20"/>
          <w:szCs w:val="20"/>
        </w:rPr>
        <w:t xml:space="preserve"> have adopted the UMLCBI. The Netherlands has not adopted the U</w:t>
      </w:r>
      <w:r w:rsidR="0028508F">
        <w:rPr>
          <w:rFonts w:cstheme="minorHAnsi"/>
          <w:sz w:val="20"/>
          <w:szCs w:val="20"/>
        </w:rPr>
        <w:t>M</w:t>
      </w:r>
      <w:r w:rsidRPr="007728B8">
        <w:rPr>
          <w:rFonts w:cstheme="minorHAnsi"/>
          <w:sz w:val="20"/>
          <w:szCs w:val="20"/>
        </w:rPr>
        <w:t>LCBI and generally adopts a principal of territoriality in relation to foreign non-EU proceedings</w:t>
      </w:r>
      <w:r w:rsidRPr="007728B8">
        <w:rPr>
          <w:rStyle w:val="FootnoteReference"/>
          <w:rFonts w:cstheme="minorHAnsi"/>
          <w:sz w:val="20"/>
          <w:szCs w:val="20"/>
        </w:rPr>
        <w:footnoteReference w:id="24"/>
      </w:r>
      <w:r w:rsidRPr="007728B8">
        <w:rPr>
          <w:rFonts w:cstheme="minorHAnsi"/>
          <w:sz w:val="20"/>
          <w:szCs w:val="20"/>
        </w:rPr>
        <w:t xml:space="preserve">.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What is generally referred to as the European Insolvency Regulation (“</w:t>
      </w:r>
      <w:r w:rsidRPr="00A4271B">
        <w:rPr>
          <w:rFonts w:cstheme="minorHAnsi"/>
          <w:b/>
          <w:sz w:val="20"/>
          <w:szCs w:val="20"/>
        </w:rPr>
        <w:t>EIR</w:t>
      </w:r>
      <w:r w:rsidRPr="007728B8">
        <w:rPr>
          <w:rFonts w:cstheme="minorHAnsi"/>
          <w:sz w:val="20"/>
          <w:szCs w:val="20"/>
        </w:rPr>
        <w:t>”) comes from European Union Regulation on insolvency proceedings in 2015 which reformed a Regulation set in 2000. The main features of the Regulation were to:</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Extend the application to pre-insolvency proceedings to promote rescue of businesses;</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Creation of an EU wide online register of proceedings;</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Effort to avoid opening of multiple proceedings;</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New rules around secondary proceedings;</w:t>
      </w:r>
      <w:r w:rsidR="0028508F">
        <w:rPr>
          <w:rFonts w:cstheme="minorHAnsi"/>
          <w:sz w:val="20"/>
          <w:szCs w:val="20"/>
        </w:rPr>
        <w:t xml:space="preserve"> and</w:t>
      </w:r>
    </w:p>
    <w:p w:rsidR="00461336" w:rsidRPr="007728B8" w:rsidRDefault="00461336" w:rsidP="00461336">
      <w:pPr>
        <w:pStyle w:val="ListParagraph"/>
        <w:numPr>
          <w:ilvl w:val="2"/>
          <w:numId w:val="16"/>
        </w:numPr>
        <w:spacing w:line="360" w:lineRule="auto"/>
        <w:rPr>
          <w:rFonts w:cstheme="minorHAnsi"/>
          <w:sz w:val="20"/>
          <w:szCs w:val="20"/>
        </w:rPr>
      </w:pPr>
      <w:r w:rsidRPr="007728B8">
        <w:rPr>
          <w:rFonts w:cstheme="minorHAnsi"/>
          <w:sz w:val="20"/>
          <w:szCs w:val="20"/>
        </w:rPr>
        <w:t>Rules to facilitate cross border implementation</w:t>
      </w:r>
      <w:r w:rsidRPr="007728B8">
        <w:rPr>
          <w:rStyle w:val="FootnoteReference"/>
          <w:rFonts w:cstheme="minorHAnsi"/>
          <w:sz w:val="20"/>
          <w:szCs w:val="20"/>
        </w:rPr>
        <w:footnoteReference w:id="25"/>
      </w:r>
      <w:r w:rsidRPr="007728B8">
        <w:rPr>
          <w:rFonts w:cstheme="minorHAnsi"/>
          <w:sz w:val="20"/>
          <w:szCs w:val="20"/>
        </w:rPr>
        <w:t xml:space="preserve">.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The Regulation also provided further clarity on the definition of COMI, which is an important driver as to where proceedings should take place, with the COMI now presumed to be the place of incorporation of a company though this is a rebuttable presumption</w:t>
      </w:r>
      <w:r w:rsidRPr="007728B8">
        <w:rPr>
          <w:rStyle w:val="FootnoteReference"/>
          <w:rFonts w:cstheme="minorHAnsi"/>
          <w:sz w:val="20"/>
          <w:szCs w:val="20"/>
        </w:rPr>
        <w:footnoteReference w:id="26"/>
      </w:r>
      <w:r w:rsidRPr="007728B8">
        <w:rPr>
          <w:rFonts w:cstheme="minorHAnsi"/>
          <w:sz w:val="20"/>
          <w:szCs w:val="20"/>
        </w:rPr>
        <w:t xml:space="preserve">. A key aspect of deciding the location of COMI is where the company usually administers its business, but crucially </w:t>
      </w:r>
      <w:r w:rsidR="00A4271B">
        <w:rPr>
          <w:rFonts w:cstheme="minorHAnsi"/>
          <w:sz w:val="20"/>
          <w:szCs w:val="20"/>
        </w:rPr>
        <w:t xml:space="preserve">it should be the location </w:t>
      </w:r>
      <w:r w:rsidRPr="007728B8">
        <w:rPr>
          <w:rFonts w:cstheme="minorHAnsi"/>
          <w:sz w:val="20"/>
          <w:szCs w:val="20"/>
        </w:rPr>
        <w:t>which can be ascertained by third parties</w:t>
      </w:r>
      <w:r w:rsidRPr="007728B8">
        <w:rPr>
          <w:rStyle w:val="FootnoteReference"/>
          <w:rFonts w:cstheme="minorHAnsi"/>
          <w:sz w:val="20"/>
          <w:szCs w:val="20"/>
        </w:rPr>
        <w:footnoteReference w:id="27"/>
      </w:r>
      <w:r w:rsidRPr="007728B8">
        <w:rPr>
          <w:rFonts w:cstheme="minorHAnsi"/>
          <w:sz w:val="20"/>
          <w:szCs w:val="20"/>
        </w:rPr>
        <w:t xml:space="preserve">.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lastRenderedPageBreak/>
        <w:t>The EIR sets out the idea of main and secondary proceedings. Main proceedings will take place where the COMI of the company is, whilst secondary proceedings can be opened within the territory of another member state where the company has an establishment, solely with the view to liquidating the company’s assets in that jurisdiction</w:t>
      </w:r>
      <w:r w:rsidRPr="007728B8">
        <w:rPr>
          <w:rStyle w:val="FootnoteReference"/>
          <w:rFonts w:cstheme="minorHAnsi"/>
          <w:sz w:val="20"/>
          <w:szCs w:val="20"/>
        </w:rPr>
        <w:footnoteReference w:id="28"/>
      </w:r>
      <w:r w:rsidRPr="007728B8">
        <w:rPr>
          <w:rFonts w:cstheme="minorHAnsi"/>
          <w:sz w:val="20"/>
          <w:szCs w:val="20"/>
        </w:rPr>
        <w:t xml:space="preserve">.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A key aspect of the EIR is the automatic recognition of proceedings in other member states</w:t>
      </w:r>
      <w:r w:rsidRPr="007728B8">
        <w:rPr>
          <w:rStyle w:val="FootnoteReference"/>
          <w:rFonts w:cstheme="minorHAnsi"/>
          <w:sz w:val="20"/>
          <w:szCs w:val="20"/>
        </w:rPr>
        <w:footnoteReference w:id="29"/>
      </w:r>
      <w:r w:rsidRPr="007728B8">
        <w:rPr>
          <w:rFonts w:cstheme="minorHAnsi"/>
          <w:sz w:val="20"/>
          <w:szCs w:val="20"/>
        </w:rPr>
        <w:t xml:space="preserve">. </w:t>
      </w:r>
    </w:p>
    <w:p w:rsidR="00461336" w:rsidRPr="007728B8" w:rsidRDefault="00461336" w:rsidP="00461336">
      <w:pPr>
        <w:pStyle w:val="ListParagraph"/>
        <w:numPr>
          <w:ilvl w:val="1"/>
          <w:numId w:val="16"/>
        </w:numPr>
        <w:spacing w:line="360" w:lineRule="auto"/>
        <w:rPr>
          <w:rFonts w:cstheme="minorHAnsi"/>
          <w:sz w:val="20"/>
          <w:szCs w:val="20"/>
        </w:rPr>
      </w:pPr>
      <w:r w:rsidRPr="007728B8">
        <w:rPr>
          <w:rFonts w:cstheme="minorHAnsi"/>
          <w:sz w:val="20"/>
          <w:szCs w:val="20"/>
        </w:rPr>
        <w:t>One point to note is that following Brexit, recognition of restructuring and insolvency matters between the UK and EU members states is no longer automatic and governed by the EIR</w:t>
      </w:r>
      <w:r w:rsidRPr="007728B8">
        <w:rPr>
          <w:rStyle w:val="FootnoteReference"/>
          <w:rFonts w:cstheme="minorHAnsi"/>
          <w:sz w:val="20"/>
          <w:szCs w:val="20"/>
        </w:rPr>
        <w:footnoteReference w:id="30"/>
      </w:r>
      <w:r w:rsidRPr="007728B8">
        <w:rPr>
          <w:rFonts w:cstheme="minorHAnsi"/>
          <w:sz w:val="20"/>
          <w:szCs w:val="20"/>
        </w:rPr>
        <w:t xml:space="preserve">. Whilst the UK has a very </w:t>
      </w:r>
      <w:r w:rsidR="001B20DA" w:rsidRPr="007728B8">
        <w:rPr>
          <w:rFonts w:cstheme="minorHAnsi"/>
          <w:sz w:val="20"/>
          <w:szCs w:val="20"/>
        </w:rPr>
        <w:t>well-established</w:t>
      </w:r>
      <w:r w:rsidRPr="007728B8">
        <w:rPr>
          <w:rFonts w:cstheme="minorHAnsi"/>
          <w:sz w:val="20"/>
          <w:szCs w:val="20"/>
        </w:rPr>
        <w:t xml:space="preserve"> restructuring framework, the recognition of UK restructuring will be subject to local laws in the specific member states</w:t>
      </w:r>
      <w:r w:rsidRPr="007728B8">
        <w:rPr>
          <w:rStyle w:val="FootnoteReference"/>
          <w:rFonts w:cstheme="minorHAnsi"/>
          <w:sz w:val="20"/>
          <w:szCs w:val="20"/>
        </w:rPr>
        <w:footnoteReference w:id="31"/>
      </w:r>
      <w:r w:rsidRPr="007728B8">
        <w:rPr>
          <w:rFonts w:cstheme="minorHAnsi"/>
          <w:sz w:val="20"/>
          <w:szCs w:val="20"/>
        </w:rPr>
        <w:t>. In the particular circumstances of Efwon Group, it therefore appears that if a group restructuring of each entity is required, the automatic recognition of a, for example, WHOA process in the Netherland</w:t>
      </w:r>
      <w:r w:rsidR="00A4271B">
        <w:rPr>
          <w:rFonts w:cstheme="minorHAnsi"/>
          <w:sz w:val="20"/>
          <w:szCs w:val="20"/>
        </w:rPr>
        <w:t>s</w:t>
      </w:r>
      <w:r w:rsidRPr="007728B8">
        <w:rPr>
          <w:rFonts w:cstheme="minorHAnsi"/>
          <w:sz w:val="20"/>
          <w:szCs w:val="20"/>
        </w:rPr>
        <w:t xml:space="preserve"> by Romania would be a simpler approach then seeking recognition of a UK scheme or plan process in Romania. It will be discussed further later in this advice which processes are recommended and why. </w:t>
      </w:r>
    </w:p>
    <w:p w:rsidR="00661515" w:rsidRDefault="00661515" w:rsidP="00661515">
      <w:pPr>
        <w:pStyle w:val="ListParagraph"/>
        <w:spacing w:line="360" w:lineRule="auto"/>
        <w:rPr>
          <w:rFonts w:cstheme="minorHAnsi"/>
          <w:b/>
          <w:sz w:val="20"/>
          <w:szCs w:val="20"/>
        </w:rPr>
      </w:pPr>
    </w:p>
    <w:p w:rsidR="00BA0BF6" w:rsidRPr="00661515" w:rsidRDefault="00461336" w:rsidP="007728B8">
      <w:pPr>
        <w:pStyle w:val="ListParagraph"/>
        <w:numPr>
          <w:ilvl w:val="0"/>
          <w:numId w:val="16"/>
        </w:numPr>
        <w:spacing w:line="360" w:lineRule="auto"/>
        <w:rPr>
          <w:rFonts w:cstheme="minorHAnsi"/>
          <w:b/>
          <w:sz w:val="20"/>
          <w:szCs w:val="20"/>
        </w:rPr>
      </w:pPr>
      <w:r w:rsidRPr="00661515">
        <w:rPr>
          <w:rFonts w:cstheme="minorHAnsi"/>
          <w:b/>
          <w:sz w:val="20"/>
          <w:szCs w:val="20"/>
        </w:rPr>
        <w:t>Group valuation and waterfall analysis</w:t>
      </w:r>
    </w:p>
    <w:p w:rsidR="00FB3E23" w:rsidRPr="007728B8" w:rsidRDefault="00CD7123" w:rsidP="00A320F3">
      <w:pPr>
        <w:pStyle w:val="ListParagraph"/>
        <w:numPr>
          <w:ilvl w:val="1"/>
          <w:numId w:val="16"/>
        </w:numPr>
        <w:spacing w:line="360" w:lineRule="auto"/>
        <w:rPr>
          <w:rFonts w:cstheme="minorHAnsi"/>
          <w:sz w:val="20"/>
          <w:szCs w:val="20"/>
        </w:rPr>
      </w:pPr>
      <w:r w:rsidRPr="007728B8">
        <w:rPr>
          <w:rFonts w:cstheme="minorHAnsi"/>
          <w:sz w:val="20"/>
          <w:szCs w:val="20"/>
        </w:rPr>
        <w:t xml:space="preserve">As discussed on </w:t>
      </w:r>
      <w:r w:rsidR="00A00D42" w:rsidRPr="007728B8">
        <w:rPr>
          <w:rFonts w:cstheme="minorHAnsi"/>
          <w:sz w:val="20"/>
          <w:szCs w:val="20"/>
        </w:rPr>
        <w:t>the</w:t>
      </w:r>
      <w:r w:rsidRPr="007728B8">
        <w:rPr>
          <w:rFonts w:cstheme="minorHAnsi"/>
          <w:sz w:val="20"/>
          <w:szCs w:val="20"/>
        </w:rPr>
        <w:t xml:space="preserve"> </w:t>
      </w:r>
      <w:r w:rsidR="00A00D42" w:rsidRPr="007728B8">
        <w:rPr>
          <w:rFonts w:cstheme="minorHAnsi"/>
          <w:sz w:val="20"/>
          <w:szCs w:val="20"/>
        </w:rPr>
        <w:t>C</w:t>
      </w:r>
      <w:r w:rsidRPr="007728B8">
        <w:rPr>
          <w:rFonts w:cstheme="minorHAnsi"/>
          <w:sz w:val="20"/>
          <w:szCs w:val="20"/>
        </w:rPr>
        <w:t xml:space="preserve">all, </w:t>
      </w:r>
      <w:r w:rsidR="00212CF2" w:rsidRPr="007728B8">
        <w:rPr>
          <w:rFonts w:cstheme="minorHAnsi"/>
          <w:sz w:val="20"/>
          <w:szCs w:val="20"/>
        </w:rPr>
        <w:t>in order to understand each stakeholder</w:t>
      </w:r>
      <w:r w:rsidR="00FB3E23" w:rsidRPr="007728B8">
        <w:rPr>
          <w:rFonts w:cstheme="minorHAnsi"/>
          <w:sz w:val="20"/>
          <w:szCs w:val="20"/>
        </w:rPr>
        <w:t>’</w:t>
      </w:r>
      <w:r w:rsidR="00212CF2" w:rsidRPr="007728B8">
        <w:rPr>
          <w:rFonts w:cstheme="minorHAnsi"/>
          <w:sz w:val="20"/>
          <w:szCs w:val="20"/>
        </w:rPr>
        <w:t xml:space="preserve">s relative position in the restructuring it is </w:t>
      </w:r>
      <w:r w:rsidR="0001588C">
        <w:rPr>
          <w:rFonts w:cstheme="minorHAnsi"/>
          <w:sz w:val="20"/>
          <w:szCs w:val="20"/>
        </w:rPr>
        <w:t>critical</w:t>
      </w:r>
      <w:r w:rsidR="00C557BF" w:rsidRPr="007728B8">
        <w:rPr>
          <w:rFonts w:cstheme="minorHAnsi"/>
          <w:sz w:val="20"/>
          <w:szCs w:val="20"/>
        </w:rPr>
        <w:t xml:space="preserve"> to understand the value of the business in both a sale/going concern scenario and </w:t>
      </w:r>
      <w:r w:rsidR="007C4A51" w:rsidRPr="007728B8">
        <w:rPr>
          <w:rFonts w:cstheme="minorHAnsi"/>
          <w:sz w:val="20"/>
          <w:szCs w:val="20"/>
        </w:rPr>
        <w:t xml:space="preserve">in a liquidation scenario. </w:t>
      </w:r>
    </w:p>
    <w:p w:rsidR="00BA0BF6" w:rsidRPr="007728B8" w:rsidRDefault="007C4A51" w:rsidP="00A320F3">
      <w:pPr>
        <w:pStyle w:val="ListParagraph"/>
        <w:numPr>
          <w:ilvl w:val="1"/>
          <w:numId w:val="16"/>
        </w:numPr>
        <w:spacing w:line="360" w:lineRule="auto"/>
        <w:rPr>
          <w:rFonts w:cstheme="minorHAnsi"/>
          <w:sz w:val="20"/>
          <w:szCs w:val="20"/>
        </w:rPr>
      </w:pPr>
      <w:r w:rsidRPr="007728B8">
        <w:rPr>
          <w:rFonts w:cstheme="minorHAnsi"/>
          <w:sz w:val="20"/>
          <w:szCs w:val="20"/>
        </w:rPr>
        <w:t xml:space="preserve">From the Call, I understand that Maximov </w:t>
      </w:r>
      <w:r w:rsidR="0001588C">
        <w:rPr>
          <w:rFonts w:cstheme="minorHAnsi"/>
          <w:sz w:val="20"/>
          <w:szCs w:val="20"/>
        </w:rPr>
        <w:t xml:space="preserve">has </w:t>
      </w:r>
      <w:r w:rsidRPr="007728B8">
        <w:rPr>
          <w:rFonts w:cstheme="minorHAnsi"/>
          <w:sz w:val="20"/>
          <w:szCs w:val="20"/>
        </w:rPr>
        <w:t xml:space="preserve">already engaged expert valuers and the analysis </w:t>
      </w:r>
      <w:r w:rsidR="0001588C">
        <w:rPr>
          <w:rFonts w:cstheme="minorHAnsi"/>
          <w:sz w:val="20"/>
          <w:szCs w:val="20"/>
        </w:rPr>
        <w:t xml:space="preserve">states </w:t>
      </w:r>
      <w:r w:rsidRPr="007728B8">
        <w:rPr>
          <w:rFonts w:cstheme="minorHAnsi"/>
          <w:sz w:val="20"/>
          <w:szCs w:val="20"/>
        </w:rPr>
        <w:t xml:space="preserve">that the F1 team is worth USD </w:t>
      </w:r>
      <w:r w:rsidR="00CB12D9" w:rsidRPr="007728B8">
        <w:rPr>
          <w:rFonts w:cstheme="minorHAnsi"/>
          <w:sz w:val="20"/>
          <w:szCs w:val="20"/>
        </w:rPr>
        <w:t>300</w:t>
      </w:r>
      <w:r w:rsidRPr="007728B8">
        <w:rPr>
          <w:rFonts w:cstheme="minorHAnsi"/>
          <w:sz w:val="20"/>
          <w:szCs w:val="20"/>
        </w:rPr>
        <w:t xml:space="preserve"> million in a going concern scenario, whilst in a closure or liquidation scenario the value is likely to be minimal (less than USD </w:t>
      </w:r>
      <w:r w:rsidR="00CB12D9" w:rsidRPr="007728B8">
        <w:rPr>
          <w:rFonts w:cstheme="minorHAnsi"/>
          <w:sz w:val="20"/>
          <w:szCs w:val="20"/>
        </w:rPr>
        <w:t>2</w:t>
      </w:r>
      <w:r w:rsidRPr="007728B8">
        <w:rPr>
          <w:rFonts w:cstheme="minorHAnsi"/>
          <w:sz w:val="20"/>
          <w:szCs w:val="20"/>
        </w:rPr>
        <w:t xml:space="preserve">0 million) as the valuable license held by Efwon Romania </w:t>
      </w:r>
      <w:r w:rsidR="00461336">
        <w:rPr>
          <w:rFonts w:cstheme="minorHAnsi"/>
          <w:sz w:val="20"/>
          <w:szCs w:val="20"/>
        </w:rPr>
        <w:t>would</w:t>
      </w:r>
      <w:r w:rsidRPr="007728B8">
        <w:rPr>
          <w:rFonts w:cstheme="minorHAnsi"/>
          <w:sz w:val="20"/>
          <w:szCs w:val="20"/>
        </w:rPr>
        <w:t xml:space="preserve"> be terminated by F1/the FIA. </w:t>
      </w:r>
    </w:p>
    <w:p w:rsidR="000473FF" w:rsidRPr="007728B8" w:rsidRDefault="00FB3E23" w:rsidP="00A320F3">
      <w:pPr>
        <w:pStyle w:val="ListParagraph"/>
        <w:numPr>
          <w:ilvl w:val="1"/>
          <w:numId w:val="16"/>
        </w:numPr>
        <w:spacing w:line="360" w:lineRule="auto"/>
        <w:rPr>
          <w:rFonts w:cstheme="minorHAnsi"/>
          <w:sz w:val="20"/>
          <w:szCs w:val="20"/>
        </w:rPr>
      </w:pPr>
      <w:r w:rsidRPr="007728B8">
        <w:rPr>
          <w:rFonts w:cstheme="minorHAnsi"/>
          <w:sz w:val="20"/>
          <w:szCs w:val="20"/>
        </w:rPr>
        <w:t xml:space="preserve">Based on the valuation and agreed deal parameters with KuasaNas, the sale of a 51% stake will bring </w:t>
      </w:r>
      <w:r w:rsidR="0001588C">
        <w:rPr>
          <w:rFonts w:cstheme="minorHAnsi"/>
          <w:sz w:val="20"/>
          <w:szCs w:val="20"/>
        </w:rPr>
        <w:t xml:space="preserve">in </w:t>
      </w:r>
      <w:r w:rsidRPr="007728B8">
        <w:rPr>
          <w:rFonts w:cstheme="minorHAnsi"/>
          <w:sz w:val="20"/>
          <w:szCs w:val="20"/>
        </w:rPr>
        <w:t xml:space="preserve">USD </w:t>
      </w:r>
      <w:r w:rsidR="00461336">
        <w:rPr>
          <w:rFonts w:cstheme="minorHAnsi"/>
          <w:sz w:val="20"/>
          <w:szCs w:val="20"/>
        </w:rPr>
        <w:t>153</w:t>
      </w:r>
      <w:r w:rsidRPr="007728B8">
        <w:rPr>
          <w:rFonts w:cstheme="minorHAnsi"/>
          <w:sz w:val="20"/>
          <w:szCs w:val="20"/>
        </w:rPr>
        <w:t xml:space="preserve"> million. </w:t>
      </w:r>
    </w:p>
    <w:p w:rsidR="00BF21DB" w:rsidRPr="007728B8" w:rsidRDefault="00FB3E23" w:rsidP="00A320F3">
      <w:pPr>
        <w:pStyle w:val="ListParagraph"/>
        <w:numPr>
          <w:ilvl w:val="1"/>
          <w:numId w:val="16"/>
        </w:numPr>
        <w:spacing w:line="360" w:lineRule="auto"/>
        <w:rPr>
          <w:rFonts w:cstheme="minorHAnsi"/>
          <w:sz w:val="20"/>
          <w:szCs w:val="20"/>
        </w:rPr>
      </w:pPr>
      <w:r w:rsidRPr="007728B8">
        <w:rPr>
          <w:rFonts w:cstheme="minorHAnsi"/>
          <w:sz w:val="20"/>
          <w:szCs w:val="20"/>
        </w:rPr>
        <w:t xml:space="preserve">It is further understood that there is only </w:t>
      </w:r>
      <w:r w:rsidR="004E0158" w:rsidRPr="007728B8">
        <w:rPr>
          <w:rFonts w:cstheme="minorHAnsi"/>
          <w:sz w:val="20"/>
          <w:szCs w:val="20"/>
        </w:rPr>
        <w:t xml:space="preserve">a USD 1 million cash balance in Efwon Romania and no cash at Efwon Trading or Efwon Investments. </w:t>
      </w:r>
    </w:p>
    <w:p w:rsidR="000473FF" w:rsidRPr="007728B8" w:rsidRDefault="000473FF" w:rsidP="00A320F3">
      <w:pPr>
        <w:pStyle w:val="ListParagraph"/>
        <w:numPr>
          <w:ilvl w:val="1"/>
          <w:numId w:val="16"/>
        </w:numPr>
        <w:spacing w:line="360" w:lineRule="auto"/>
        <w:rPr>
          <w:rFonts w:cstheme="minorHAnsi"/>
          <w:sz w:val="20"/>
          <w:szCs w:val="20"/>
        </w:rPr>
      </w:pPr>
      <w:r w:rsidRPr="007728B8">
        <w:rPr>
          <w:rFonts w:cstheme="minorHAnsi"/>
          <w:sz w:val="20"/>
          <w:szCs w:val="20"/>
        </w:rPr>
        <w:t xml:space="preserve">USD </w:t>
      </w:r>
      <w:r w:rsidR="00A300AA" w:rsidRPr="007728B8">
        <w:rPr>
          <w:rFonts w:cstheme="minorHAnsi"/>
          <w:sz w:val="20"/>
          <w:szCs w:val="20"/>
        </w:rPr>
        <w:t>2</w:t>
      </w:r>
      <w:r w:rsidR="00CB12D9" w:rsidRPr="007728B8">
        <w:rPr>
          <w:rFonts w:cstheme="minorHAnsi"/>
          <w:sz w:val="20"/>
          <w:szCs w:val="20"/>
        </w:rPr>
        <w:t>0</w:t>
      </w:r>
      <w:r w:rsidR="000C5F31" w:rsidRPr="007728B8">
        <w:rPr>
          <w:rFonts w:cstheme="minorHAnsi"/>
          <w:sz w:val="20"/>
          <w:szCs w:val="20"/>
        </w:rPr>
        <w:t xml:space="preserve"> </w:t>
      </w:r>
      <w:r w:rsidRPr="007728B8">
        <w:rPr>
          <w:rFonts w:cstheme="minorHAnsi"/>
          <w:sz w:val="20"/>
          <w:szCs w:val="20"/>
        </w:rPr>
        <w:t xml:space="preserve">million from the KuasaNas </w:t>
      </w:r>
      <w:r w:rsidR="00461336">
        <w:rPr>
          <w:rFonts w:cstheme="minorHAnsi"/>
          <w:sz w:val="20"/>
          <w:szCs w:val="20"/>
        </w:rPr>
        <w:t xml:space="preserve">funds </w:t>
      </w:r>
      <w:r w:rsidRPr="007728B8">
        <w:rPr>
          <w:rFonts w:cstheme="minorHAnsi"/>
          <w:sz w:val="20"/>
          <w:szCs w:val="20"/>
        </w:rPr>
        <w:t xml:space="preserve">will be required to pay the Drivers for the settlement. The balance of USD 1 million cash currently in Efwon Romania will be required to pay off other miscellaneous creditors and cover costs and expenses for the liquidation of Efwon Romania. </w:t>
      </w:r>
    </w:p>
    <w:p w:rsidR="00434625" w:rsidRPr="007728B8" w:rsidRDefault="000473FF" w:rsidP="00A320F3">
      <w:pPr>
        <w:pStyle w:val="ListParagraph"/>
        <w:numPr>
          <w:ilvl w:val="1"/>
          <w:numId w:val="16"/>
        </w:numPr>
        <w:spacing w:line="360" w:lineRule="auto"/>
        <w:rPr>
          <w:rFonts w:cstheme="minorHAnsi"/>
          <w:sz w:val="20"/>
          <w:szCs w:val="20"/>
        </w:rPr>
      </w:pPr>
      <w:r w:rsidRPr="007728B8">
        <w:rPr>
          <w:rFonts w:cstheme="minorHAnsi"/>
          <w:sz w:val="20"/>
          <w:szCs w:val="20"/>
        </w:rPr>
        <w:lastRenderedPageBreak/>
        <w:t xml:space="preserve">This will leave an amount of USD </w:t>
      </w:r>
      <w:r w:rsidR="00CB12D9" w:rsidRPr="007728B8">
        <w:rPr>
          <w:rFonts w:cstheme="minorHAnsi"/>
          <w:sz w:val="20"/>
          <w:szCs w:val="20"/>
        </w:rPr>
        <w:t>1</w:t>
      </w:r>
      <w:r w:rsidR="00461336">
        <w:rPr>
          <w:rFonts w:cstheme="minorHAnsi"/>
          <w:sz w:val="20"/>
          <w:szCs w:val="20"/>
        </w:rPr>
        <w:t>3</w:t>
      </w:r>
      <w:r w:rsidR="00CB12D9" w:rsidRPr="007728B8">
        <w:rPr>
          <w:rFonts w:cstheme="minorHAnsi"/>
          <w:sz w:val="20"/>
          <w:szCs w:val="20"/>
        </w:rPr>
        <w:t>3</w:t>
      </w:r>
      <w:r w:rsidR="000C5F31" w:rsidRPr="007728B8">
        <w:rPr>
          <w:rFonts w:cstheme="minorHAnsi"/>
          <w:sz w:val="20"/>
          <w:szCs w:val="20"/>
        </w:rPr>
        <w:t xml:space="preserve"> </w:t>
      </w:r>
      <w:r w:rsidRPr="007728B8">
        <w:rPr>
          <w:rFonts w:cstheme="minorHAnsi"/>
          <w:sz w:val="20"/>
          <w:szCs w:val="20"/>
        </w:rPr>
        <w:t>million available to Efwon Trading. As</w:t>
      </w:r>
      <w:r w:rsidR="00434625" w:rsidRPr="007728B8">
        <w:rPr>
          <w:rFonts w:cstheme="minorHAnsi"/>
          <w:sz w:val="20"/>
          <w:szCs w:val="20"/>
        </w:rPr>
        <w:t xml:space="preserve"> the Monaco Lender is the only party with security over the assets</w:t>
      </w:r>
      <w:r w:rsidR="00A4271B">
        <w:rPr>
          <w:rFonts w:cstheme="minorHAnsi"/>
          <w:sz w:val="20"/>
          <w:szCs w:val="20"/>
        </w:rPr>
        <w:t>/income</w:t>
      </w:r>
      <w:r w:rsidR="00434625" w:rsidRPr="007728B8">
        <w:rPr>
          <w:rFonts w:cstheme="minorHAnsi"/>
          <w:sz w:val="20"/>
          <w:szCs w:val="20"/>
        </w:rPr>
        <w:t xml:space="preserve"> of Efwon Trading it will expect to be repaid its USD 100 million debt in full, leaving a further balance of USD </w:t>
      </w:r>
      <w:r w:rsidR="00461336">
        <w:rPr>
          <w:rFonts w:cstheme="minorHAnsi"/>
          <w:sz w:val="20"/>
          <w:szCs w:val="20"/>
        </w:rPr>
        <w:t>3</w:t>
      </w:r>
      <w:r w:rsidR="00CB12D9" w:rsidRPr="007728B8">
        <w:rPr>
          <w:rFonts w:cstheme="minorHAnsi"/>
          <w:sz w:val="20"/>
          <w:szCs w:val="20"/>
        </w:rPr>
        <w:t xml:space="preserve">3 </w:t>
      </w:r>
      <w:r w:rsidR="00434625" w:rsidRPr="007728B8">
        <w:rPr>
          <w:rFonts w:cstheme="minorHAnsi"/>
          <w:sz w:val="20"/>
          <w:szCs w:val="20"/>
        </w:rPr>
        <w:t>million available at the level of Efwon Trading.</w:t>
      </w:r>
    </w:p>
    <w:p w:rsidR="000473FF" w:rsidRPr="007728B8" w:rsidRDefault="00434625" w:rsidP="00A320F3">
      <w:pPr>
        <w:pStyle w:val="ListParagraph"/>
        <w:numPr>
          <w:ilvl w:val="1"/>
          <w:numId w:val="16"/>
        </w:numPr>
        <w:spacing w:line="360" w:lineRule="auto"/>
        <w:rPr>
          <w:rFonts w:cstheme="minorHAnsi"/>
          <w:sz w:val="20"/>
          <w:szCs w:val="20"/>
        </w:rPr>
      </w:pPr>
      <w:r w:rsidRPr="007728B8">
        <w:rPr>
          <w:rFonts w:cstheme="minorHAnsi"/>
          <w:sz w:val="20"/>
          <w:szCs w:val="20"/>
        </w:rPr>
        <w:t>As the US Lenders have security over the shares of Efwon Trading, they will have priority to th</w:t>
      </w:r>
      <w:r w:rsidR="000C5F31" w:rsidRPr="007728B8">
        <w:rPr>
          <w:rFonts w:cstheme="minorHAnsi"/>
          <w:sz w:val="20"/>
          <w:szCs w:val="20"/>
        </w:rPr>
        <w:t xml:space="preserve">ese funds ahead of the </w:t>
      </w:r>
      <w:r w:rsidR="00A4271B">
        <w:rPr>
          <w:rFonts w:cstheme="minorHAnsi"/>
          <w:sz w:val="20"/>
          <w:szCs w:val="20"/>
        </w:rPr>
        <w:t xml:space="preserve">unsecured </w:t>
      </w:r>
      <w:r w:rsidR="000C5F31" w:rsidRPr="007728B8">
        <w:rPr>
          <w:rFonts w:cstheme="minorHAnsi"/>
          <w:sz w:val="20"/>
          <w:szCs w:val="20"/>
        </w:rPr>
        <w:t xml:space="preserve">loan provided to Efwon Investments by Maximov. </w:t>
      </w:r>
    </w:p>
    <w:p w:rsidR="00461336" w:rsidRDefault="000C5F31" w:rsidP="00A320F3">
      <w:pPr>
        <w:pStyle w:val="ListParagraph"/>
        <w:numPr>
          <w:ilvl w:val="1"/>
          <w:numId w:val="16"/>
        </w:numPr>
        <w:spacing w:line="360" w:lineRule="auto"/>
        <w:rPr>
          <w:rFonts w:cstheme="minorHAnsi"/>
          <w:sz w:val="20"/>
          <w:szCs w:val="20"/>
        </w:rPr>
      </w:pPr>
      <w:r w:rsidRPr="007728B8">
        <w:rPr>
          <w:rFonts w:cstheme="minorHAnsi"/>
          <w:sz w:val="20"/>
          <w:szCs w:val="20"/>
        </w:rPr>
        <w:t xml:space="preserve">Given the structure of the US Lenders, the </w:t>
      </w:r>
      <w:r w:rsidR="0001588C">
        <w:rPr>
          <w:rFonts w:cstheme="minorHAnsi"/>
          <w:sz w:val="20"/>
          <w:szCs w:val="20"/>
        </w:rPr>
        <w:t>Senior Lenders</w:t>
      </w:r>
      <w:r w:rsidRPr="007728B8">
        <w:rPr>
          <w:rFonts w:cstheme="minorHAnsi"/>
          <w:sz w:val="20"/>
          <w:szCs w:val="20"/>
        </w:rPr>
        <w:t xml:space="preserve"> will be </w:t>
      </w:r>
      <w:r w:rsidR="00B17B39" w:rsidRPr="007728B8">
        <w:rPr>
          <w:rFonts w:cstheme="minorHAnsi"/>
          <w:sz w:val="20"/>
          <w:szCs w:val="20"/>
        </w:rPr>
        <w:t xml:space="preserve">repaid USD </w:t>
      </w:r>
      <w:r w:rsidR="00A300AA" w:rsidRPr="007728B8">
        <w:rPr>
          <w:rFonts w:cstheme="minorHAnsi"/>
          <w:sz w:val="20"/>
          <w:szCs w:val="20"/>
        </w:rPr>
        <w:t>3</w:t>
      </w:r>
      <w:r w:rsidR="00CB12D9" w:rsidRPr="007728B8">
        <w:rPr>
          <w:rFonts w:cstheme="minorHAnsi"/>
          <w:sz w:val="20"/>
          <w:szCs w:val="20"/>
        </w:rPr>
        <w:t xml:space="preserve">3 </w:t>
      </w:r>
      <w:r w:rsidR="00B17B39" w:rsidRPr="007728B8">
        <w:rPr>
          <w:rFonts w:cstheme="minorHAnsi"/>
          <w:sz w:val="20"/>
          <w:szCs w:val="20"/>
        </w:rPr>
        <w:t>million</w:t>
      </w:r>
      <w:r w:rsidR="00CB12D9" w:rsidRPr="007728B8">
        <w:rPr>
          <w:rFonts w:cstheme="minorHAnsi"/>
          <w:sz w:val="20"/>
          <w:szCs w:val="20"/>
        </w:rPr>
        <w:t xml:space="preserve"> and face a shortfall of USD </w:t>
      </w:r>
      <w:r w:rsidR="00A300AA" w:rsidRPr="007728B8">
        <w:rPr>
          <w:rFonts w:cstheme="minorHAnsi"/>
          <w:sz w:val="20"/>
          <w:szCs w:val="20"/>
        </w:rPr>
        <w:t xml:space="preserve">67 </w:t>
      </w:r>
      <w:r w:rsidR="00CB12D9" w:rsidRPr="007728B8">
        <w:rPr>
          <w:rFonts w:cstheme="minorHAnsi"/>
          <w:sz w:val="20"/>
          <w:szCs w:val="20"/>
        </w:rPr>
        <w:t>million</w:t>
      </w:r>
      <w:r w:rsidR="00B17B39" w:rsidRPr="007728B8">
        <w:rPr>
          <w:rFonts w:cstheme="minorHAnsi"/>
          <w:sz w:val="20"/>
          <w:szCs w:val="20"/>
        </w:rPr>
        <w:t xml:space="preserve">. </w:t>
      </w:r>
    </w:p>
    <w:p w:rsidR="00CB12D9" w:rsidRDefault="00B17B39" w:rsidP="00A320F3">
      <w:pPr>
        <w:pStyle w:val="ListParagraph"/>
        <w:numPr>
          <w:ilvl w:val="1"/>
          <w:numId w:val="16"/>
        </w:numPr>
        <w:spacing w:line="360" w:lineRule="auto"/>
        <w:rPr>
          <w:rFonts w:cstheme="minorHAnsi"/>
          <w:sz w:val="20"/>
          <w:szCs w:val="20"/>
        </w:rPr>
      </w:pPr>
      <w:r w:rsidRPr="007728B8">
        <w:rPr>
          <w:rFonts w:cstheme="minorHAnsi"/>
          <w:sz w:val="20"/>
          <w:szCs w:val="20"/>
        </w:rPr>
        <w:t xml:space="preserve">The </w:t>
      </w:r>
      <w:r w:rsidR="0001588C">
        <w:rPr>
          <w:rFonts w:cstheme="minorHAnsi"/>
          <w:sz w:val="20"/>
          <w:szCs w:val="20"/>
        </w:rPr>
        <w:t>Mezz Lenders</w:t>
      </w:r>
      <w:r w:rsidRPr="007728B8">
        <w:rPr>
          <w:rFonts w:cstheme="minorHAnsi"/>
          <w:sz w:val="20"/>
          <w:szCs w:val="20"/>
        </w:rPr>
        <w:t xml:space="preserve"> </w:t>
      </w:r>
      <w:r w:rsidR="00CB12D9" w:rsidRPr="007728B8">
        <w:rPr>
          <w:rFonts w:cstheme="minorHAnsi"/>
          <w:sz w:val="20"/>
          <w:szCs w:val="20"/>
        </w:rPr>
        <w:t xml:space="preserve">are owed </w:t>
      </w:r>
      <w:r w:rsidRPr="007728B8">
        <w:rPr>
          <w:rFonts w:cstheme="minorHAnsi"/>
          <w:sz w:val="20"/>
          <w:szCs w:val="20"/>
        </w:rPr>
        <w:t xml:space="preserve">USD 60 million, whilst the </w:t>
      </w:r>
      <w:r w:rsidR="0001588C">
        <w:rPr>
          <w:rFonts w:cstheme="minorHAnsi"/>
          <w:sz w:val="20"/>
          <w:szCs w:val="20"/>
        </w:rPr>
        <w:t>J</w:t>
      </w:r>
      <w:r w:rsidRPr="007728B8">
        <w:rPr>
          <w:rFonts w:cstheme="minorHAnsi"/>
          <w:sz w:val="20"/>
          <w:szCs w:val="20"/>
        </w:rPr>
        <w:t xml:space="preserve">unior </w:t>
      </w:r>
      <w:r w:rsidR="0001588C">
        <w:rPr>
          <w:rFonts w:cstheme="minorHAnsi"/>
          <w:sz w:val="20"/>
          <w:szCs w:val="20"/>
        </w:rPr>
        <w:t xml:space="preserve">Lenders </w:t>
      </w:r>
      <w:r w:rsidR="00CB12D9" w:rsidRPr="007728B8">
        <w:rPr>
          <w:rFonts w:cstheme="minorHAnsi"/>
          <w:sz w:val="20"/>
          <w:szCs w:val="20"/>
        </w:rPr>
        <w:t>are owed USD 90 million</w:t>
      </w:r>
      <w:r w:rsidR="006C5ADB">
        <w:rPr>
          <w:rFonts w:cstheme="minorHAnsi"/>
          <w:sz w:val="20"/>
          <w:szCs w:val="20"/>
        </w:rPr>
        <w:t xml:space="preserve"> and there are no remaining funds to pay </w:t>
      </w:r>
      <w:r w:rsidR="0001588C">
        <w:rPr>
          <w:rFonts w:cstheme="minorHAnsi"/>
          <w:sz w:val="20"/>
          <w:szCs w:val="20"/>
        </w:rPr>
        <w:t xml:space="preserve">either of </w:t>
      </w:r>
      <w:r w:rsidR="006C5ADB">
        <w:rPr>
          <w:rFonts w:cstheme="minorHAnsi"/>
          <w:sz w:val="20"/>
          <w:szCs w:val="20"/>
        </w:rPr>
        <w:t>these</w:t>
      </w:r>
      <w:r w:rsidRPr="007728B8">
        <w:rPr>
          <w:rFonts w:cstheme="minorHAnsi"/>
          <w:sz w:val="20"/>
          <w:szCs w:val="20"/>
        </w:rPr>
        <w:t>.</w:t>
      </w:r>
    </w:p>
    <w:p w:rsidR="00661515" w:rsidRDefault="00661515" w:rsidP="00661515">
      <w:pPr>
        <w:pStyle w:val="ListParagraph"/>
        <w:spacing w:line="360" w:lineRule="auto"/>
        <w:rPr>
          <w:rFonts w:cstheme="minorHAnsi"/>
          <w:b/>
          <w:sz w:val="20"/>
          <w:szCs w:val="20"/>
        </w:rPr>
      </w:pPr>
    </w:p>
    <w:p w:rsidR="006C5ADB" w:rsidRPr="006C5ADB" w:rsidRDefault="006C5ADB" w:rsidP="006C5ADB">
      <w:pPr>
        <w:pStyle w:val="ListParagraph"/>
        <w:numPr>
          <w:ilvl w:val="0"/>
          <w:numId w:val="16"/>
        </w:numPr>
        <w:spacing w:line="360" w:lineRule="auto"/>
        <w:rPr>
          <w:rFonts w:cstheme="minorHAnsi"/>
          <w:b/>
          <w:sz w:val="20"/>
          <w:szCs w:val="20"/>
        </w:rPr>
      </w:pPr>
      <w:r w:rsidRPr="006C5ADB">
        <w:rPr>
          <w:rFonts w:cstheme="minorHAnsi"/>
          <w:b/>
          <w:sz w:val="20"/>
          <w:szCs w:val="20"/>
        </w:rPr>
        <w:t>Proposed restructuring – financial considerations and method of implementation</w:t>
      </w:r>
    </w:p>
    <w:p w:rsidR="006C5ADB" w:rsidRDefault="00661515" w:rsidP="00A320F3">
      <w:pPr>
        <w:pStyle w:val="ListParagraph"/>
        <w:numPr>
          <w:ilvl w:val="1"/>
          <w:numId w:val="16"/>
        </w:numPr>
        <w:spacing w:line="360" w:lineRule="auto"/>
        <w:rPr>
          <w:rFonts w:cstheme="minorHAnsi"/>
          <w:sz w:val="20"/>
          <w:szCs w:val="20"/>
        </w:rPr>
      </w:pPr>
      <w:r>
        <w:rPr>
          <w:rFonts w:cstheme="minorHAnsi"/>
          <w:sz w:val="20"/>
          <w:szCs w:val="20"/>
        </w:rPr>
        <w:t xml:space="preserve">Based on the waterfall analysis set out above, it is clear that the Efwon Group is not in a position to repay its debts in full and needs to implement a restructuring. </w:t>
      </w:r>
    </w:p>
    <w:p w:rsidR="00661515" w:rsidRDefault="00661515" w:rsidP="00A320F3">
      <w:pPr>
        <w:pStyle w:val="ListParagraph"/>
        <w:numPr>
          <w:ilvl w:val="1"/>
          <w:numId w:val="16"/>
        </w:numPr>
        <w:spacing w:line="360" w:lineRule="auto"/>
        <w:rPr>
          <w:rFonts w:cstheme="minorHAnsi"/>
          <w:sz w:val="20"/>
          <w:szCs w:val="20"/>
        </w:rPr>
      </w:pPr>
      <w:r>
        <w:rPr>
          <w:rFonts w:cstheme="minorHAnsi"/>
          <w:sz w:val="20"/>
          <w:szCs w:val="20"/>
        </w:rPr>
        <w:t xml:space="preserve">Based on all of the information provided it is suggested that Efwon Group should consider placing Efwon Investments and Efwon Trading into Chapter 11. </w:t>
      </w:r>
    </w:p>
    <w:p w:rsidR="00661515" w:rsidRPr="00661515" w:rsidRDefault="00661515" w:rsidP="00005697">
      <w:pPr>
        <w:pStyle w:val="ListParagraph"/>
        <w:numPr>
          <w:ilvl w:val="1"/>
          <w:numId w:val="16"/>
        </w:numPr>
        <w:spacing w:line="360" w:lineRule="auto"/>
        <w:rPr>
          <w:rFonts w:cstheme="minorHAnsi"/>
          <w:sz w:val="20"/>
          <w:szCs w:val="20"/>
        </w:rPr>
      </w:pPr>
      <w:r>
        <w:rPr>
          <w:rFonts w:cstheme="minorHAnsi"/>
          <w:sz w:val="20"/>
          <w:szCs w:val="20"/>
        </w:rPr>
        <w:t>B</w:t>
      </w:r>
      <w:r w:rsidRPr="00661515">
        <w:rPr>
          <w:rFonts w:cstheme="minorHAnsi"/>
          <w:sz w:val="20"/>
          <w:szCs w:val="20"/>
        </w:rPr>
        <w:t>ased on the facts of this case, it is not considered necessary to implement any insolvency or restructuring proceedings outside of the Chapter 11. This is because of where the value breaks in the waterfall analysis, i.e. the Monaco Lender will recover in full. If this had not been the case or if the valuation report had found the value of the business to be much lower, then consideration would have been given to implementing a restructuring in the Netherlands utili</w:t>
      </w:r>
      <w:r w:rsidR="00005697">
        <w:rPr>
          <w:rFonts w:cstheme="minorHAnsi"/>
          <w:sz w:val="20"/>
          <w:szCs w:val="20"/>
        </w:rPr>
        <w:t>s</w:t>
      </w:r>
      <w:r w:rsidRPr="00661515">
        <w:rPr>
          <w:rFonts w:cstheme="minorHAnsi"/>
          <w:sz w:val="20"/>
          <w:szCs w:val="20"/>
        </w:rPr>
        <w:t xml:space="preserve">ing the </w:t>
      </w:r>
      <w:r>
        <w:rPr>
          <w:rFonts w:cstheme="minorHAnsi"/>
          <w:sz w:val="20"/>
          <w:szCs w:val="20"/>
        </w:rPr>
        <w:t xml:space="preserve">WHOA process. </w:t>
      </w:r>
    </w:p>
    <w:p w:rsidR="00661515" w:rsidRDefault="00661515" w:rsidP="00005697">
      <w:pPr>
        <w:pStyle w:val="ListParagraph"/>
        <w:numPr>
          <w:ilvl w:val="1"/>
          <w:numId w:val="16"/>
        </w:numPr>
        <w:spacing w:line="360" w:lineRule="auto"/>
        <w:rPr>
          <w:rFonts w:cstheme="minorHAnsi"/>
          <w:sz w:val="20"/>
          <w:szCs w:val="20"/>
        </w:rPr>
      </w:pPr>
      <w:r>
        <w:rPr>
          <w:rFonts w:cstheme="minorHAnsi"/>
          <w:sz w:val="20"/>
          <w:szCs w:val="20"/>
        </w:rPr>
        <w:t>In terms of the financial and structural parameters of a deal, it is suggested that the following plan be put forward</w:t>
      </w:r>
      <w:r w:rsidR="0001588C">
        <w:rPr>
          <w:rFonts w:cstheme="minorHAnsi"/>
          <w:sz w:val="20"/>
          <w:szCs w:val="20"/>
        </w:rPr>
        <w:t xml:space="preserve"> under the Chapter 11 (“</w:t>
      </w:r>
      <w:r w:rsidR="0001588C" w:rsidRPr="00005697">
        <w:rPr>
          <w:rFonts w:cstheme="minorHAnsi"/>
          <w:b/>
          <w:sz w:val="20"/>
          <w:szCs w:val="20"/>
        </w:rPr>
        <w:t>the Plan</w:t>
      </w:r>
      <w:r w:rsidR="0001588C">
        <w:rPr>
          <w:rFonts w:cstheme="minorHAnsi"/>
          <w:sz w:val="20"/>
          <w:szCs w:val="20"/>
        </w:rPr>
        <w:t>”)</w:t>
      </w:r>
      <w:r>
        <w:rPr>
          <w:rFonts w:cstheme="minorHAnsi"/>
          <w:sz w:val="20"/>
          <w:szCs w:val="20"/>
        </w:rPr>
        <w:t>:</w:t>
      </w:r>
    </w:p>
    <w:p w:rsidR="000C5F31" w:rsidRPr="007728B8" w:rsidRDefault="00CB12D9" w:rsidP="00661515">
      <w:pPr>
        <w:pStyle w:val="ListParagraph"/>
        <w:numPr>
          <w:ilvl w:val="2"/>
          <w:numId w:val="16"/>
        </w:numPr>
        <w:spacing w:line="360" w:lineRule="auto"/>
        <w:rPr>
          <w:rFonts w:cstheme="minorHAnsi"/>
          <w:sz w:val="20"/>
          <w:szCs w:val="20"/>
        </w:rPr>
      </w:pPr>
      <w:r w:rsidRPr="007728B8">
        <w:rPr>
          <w:rFonts w:cstheme="minorHAnsi"/>
          <w:sz w:val="20"/>
          <w:szCs w:val="20"/>
        </w:rPr>
        <w:t xml:space="preserve">The US Lenders will be offered </w:t>
      </w:r>
      <w:r w:rsidR="00E11871" w:rsidRPr="007728B8">
        <w:rPr>
          <w:rFonts w:cstheme="minorHAnsi"/>
          <w:sz w:val="20"/>
          <w:szCs w:val="20"/>
        </w:rPr>
        <w:t>79.6</w:t>
      </w:r>
      <w:r w:rsidR="00D42F24" w:rsidRPr="007728B8">
        <w:rPr>
          <w:rFonts w:cstheme="minorHAnsi"/>
          <w:sz w:val="20"/>
          <w:szCs w:val="20"/>
        </w:rPr>
        <w:t xml:space="preserve">% of the </w:t>
      </w:r>
      <w:r w:rsidRPr="007728B8">
        <w:rPr>
          <w:rFonts w:cstheme="minorHAnsi"/>
          <w:sz w:val="20"/>
          <w:szCs w:val="20"/>
        </w:rPr>
        <w:t xml:space="preserve">shares in Efwon Investments </w:t>
      </w:r>
      <w:r w:rsidR="00D42F24" w:rsidRPr="007728B8">
        <w:rPr>
          <w:rFonts w:cstheme="minorHAnsi"/>
          <w:sz w:val="20"/>
          <w:szCs w:val="20"/>
        </w:rPr>
        <w:t>valued at USD 117 million</w:t>
      </w:r>
      <w:r w:rsidR="00461336">
        <w:rPr>
          <w:rFonts w:cstheme="minorHAnsi"/>
          <w:sz w:val="20"/>
          <w:szCs w:val="20"/>
        </w:rPr>
        <w:t xml:space="preserve"> (based on its 49% shareholding </w:t>
      </w:r>
      <w:r w:rsidR="00005697">
        <w:rPr>
          <w:rFonts w:cstheme="minorHAnsi"/>
          <w:sz w:val="20"/>
          <w:szCs w:val="20"/>
        </w:rPr>
        <w:t xml:space="preserve">in the F1 team </w:t>
      </w:r>
      <w:r w:rsidR="00461336">
        <w:rPr>
          <w:rFonts w:cstheme="minorHAnsi"/>
          <w:sz w:val="20"/>
          <w:szCs w:val="20"/>
        </w:rPr>
        <w:t>following KuasaNas investment)</w:t>
      </w:r>
      <w:r w:rsidR="00D42F24" w:rsidRPr="007728B8">
        <w:rPr>
          <w:rFonts w:cstheme="minorHAnsi"/>
          <w:sz w:val="20"/>
          <w:szCs w:val="20"/>
        </w:rPr>
        <w:t>. This will breakdown as follows:</w:t>
      </w:r>
    </w:p>
    <w:p w:rsidR="00D42F24" w:rsidRPr="007728B8" w:rsidRDefault="00D42F24" w:rsidP="00661515">
      <w:pPr>
        <w:pStyle w:val="ListParagraph"/>
        <w:numPr>
          <w:ilvl w:val="3"/>
          <w:numId w:val="16"/>
        </w:numPr>
        <w:spacing w:line="360" w:lineRule="auto"/>
        <w:rPr>
          <w:rFonts w:cstheme="minorHAnsi"/>
          <w:sz w:val="20"/>
          <w:szCs w:val="20"/>
        </w:rPr>
      </w:pPr>
      <w:r w:rsidRPr="007728B8">
        <w:rPr>
          <w:rFonts w:cstheme="minorHAnsi"/>
          <w:sz w:val="20"/>
          <w:szCs w:val="20"/>
        </w:rPr>
        <w:t xml:space="preserve">Senior Lenders will receive </w:t>
      </w:r>
      <w:r w:rsidR="00E11871" w:rsidRPr="007728B8">
        <w:rPr>
          <w:rFonts w:cstheme="minorHAnsi"/>
          <w:sz w:val="20"/>
          <w:szCs w:val="20"/>
        </w:rPr>
        <w:t>45</w:t>
      </w:r>
      <w:r w:rsidR="00A300AA" w:rsidRPr="007728B8">
        <w:rPr>
          <w:rFonts w:cstheme="minorHAnsi"/>
          <w:sz w:val="20"/>
          <w:szCs w:val="20"/>
        </w:rPr>
        <w:t>.</w:t>
      </w:r>
      <w:r w:rsidR="00E11871" w:rsidRPr="007728B8">
        <w:rPr>
          <w:rFonts w:cstheme="minorHAnsi"/>
          <w:sz w:val="20"/>
          <w:szCs w:val="20"/>
        </w:rPr>
        <w:t>5</w:t>
      </w:r>
      <w:r w:rsidR="00A300AA" w:rsidRPr="007728B8">
        <w:rPr>
          <w:rFonts w:cstheme="minorHAnsi"/>
          <w:sz w:val="20"/>
          <w:szCs w:val="20"/>
        </w:rPr>
        <w:t xml:space="preserve">% of the shares in Efwon Investments valued at USD 67 million. Along with the USD 33 million cash payment, the Senior Lenders will effectively be paid in full. </w:t>
      </w:r>
    </w:p>
    <w:p w:rsidR="00A300AA" w:rsidRPr="007728B8" w:rsidRDefault="00A300AA" w:rsidP="00661515">
      <w:pPr>
        <w:pStyle w:val="ListParagraph"/>
        <w:numPr>
          <w:ilvl w:val="3"/>
          <w:numId w:val="16"/>
        </w:numPr>
        <w:spacing w:line="360" w:lineRule="auto"/>
        <w:rPr>
          <w:rFonts w:cstheme="minorHAnsi"/>
          <w:sz w:val="20"/>
          <w:szCs w:val="20"/>
        </w:rPr>
      </w:pPr>
      <w:r w:rsidRPr="007728B8">
        <w:rPr>
          <w:rFonts w:cstheme="minorHAnsi"/>
          <w:sz w:val="20"/>
          <w:szCs w:val="20"/>
        </w:rPr>
        <w:t xml:space="preserve">Mezz Lenders will receive </w:t>
      </w:r>
      <w:r w:rsidR="00E11871" w:rsidRPr="007728B8">
        <w:rPr>
          <w:rFonts w:cstheme="minorHAnsi"/>
          <w:sz w:val="20"/>
          <w:szCs w:val="20"/>
        </w:rPr>
        <w:t>34</w:t>
      </w:r>
      <w:r w:rsidRPr="007728B8">
        <w:rPr>
          <w:rFonts w:cstheme="minorHAnsi"/>
          <w:sz w:val="20"/>
          <w:szCs w:val="20"/>
        </w:rPr>
        <w:t>.</w:t>
      </w:r>
      <w:r w:rsidR="00E11871" w:rsidRPr="007728B8">
        <w:rPr>
          <w:rFonts w:cstheme="minorHAnsi"/>
          <w:sz w:val="20"/>
          <w:szCs w:val="20"/>
        </w:rPr>
        <w:t>1</w:t>
      </w:r>
      <w:r w:rsidRPr="007728B8">
        <w:rPr>
          <w:rFonts w:cstheme="minorHAnsi"/>
          <w:sz w:val="20"/>
          <w:szCs w:val="20"/>
        </w:rPr>
        <w:t>% of the shares in Efwon Investments valued at USD 50.1 million, leaving a shortfall</w:t>
      </w:r>
      <w:r w:rsidR="00E11871" w:rsidRPr="007728B8">
        <w:rPr>
          <w:rFonts w:cstheme="minorHAnsi"/>
          <w:sz w:val="20"/>
          <w:szCs w:val="20"/>
        </w:rPr>
        <w:t xml:space="preserve"> of USD 9.9 million</w:t>
      </w:r>
      <w:r w:rsidRPr="007728B8">
        <w:rPr>
          <w:rFonts w:cstheme="minorHAnsi"/>
          <w:sz w:val="20"/>
          <w:szCs w:val="20"/>
        </w:rPr>
        <w:t xml:space="preserve">. </w:t>
      </w:r>
    </w:p>
    <w:p w:rsidR="00E11871" w:rsidRPr="007728B8" w:rsidRDefault="00E11871" w:rsidP="00661515">
      <w:pPr>
        <w:pStyle w:val="ListParagraph"/>
        <w:numPr>
          <w:ilvl w:val="3"/>
          <w:numId w:val="16"/>
        </w:numPr>
        <w:spacing w:line="360" w:lineRule="auto"/>
        <w:rPr>
          <w:rFonts w:cstheme="minorHAnsi"/>
          <w:sz w:val="20"/>
          <w:szCs w:val="20"/>
        </w:rPr>
      </w:pPr>
      <w:r w:rsidRPr="007728B8">
        <w:rPr>
          <w:rFonts w:cstheme="minorHAnsi"/>
          <w:sz w:val="20"/>
          <w:szCs w:val="20"/>
        </w:rPr>
        <w:t xml:space="preserve">Junior Lenders will receive no cash or shares. </w:t>
      </w:r>
    </w:p>
    <w:p w:rsidR="00EE6282" w:rsidRPr="007728B8" w:rsidRDefault="00B17B39" w:rsidP="00661515">
      <w:pPr>
        <w:pStyle w:val="ListParagraph"/>
        <w:numPr>
          <w:ilvl w:val="2"/>
          <w:numId w:val="16"/>
        </w:numPr>
        <w:spacing w:line="360" w:lineRule="auto"/>
        <w:rPr>
          <w:rFonts w:cstheme="minorHAnsi"/>
          <w:sz w:val="20"/>
          <w:szCs w:val="20"/>
        </w:rPr>
      </w:pPr>
      <w:r w:rsidRPr="007728B8">
        <w:rPr>
          <w:rFonts w:cstheme="minorHAnsi"/>
          <w:sz w:val="20"/>
          <w:szCs w:val="20"/>
        </w:rPr>
        <w:lastRenderedPageBreak/>
        <w:t xml:space="preserve">Maximov will </w:t>
      </w:r>
      <w:r w:rsidR="00A300AA" w:rsidRPr="007728B8">
        <w:rPr>
          <w:rFonts w:cstheme="minorHAnsi"/>
          <w:sz w:val="20"/>
          <w:szCs w:val="20"/>
        </w:rPr>
        <w:t xml:space="preserve">retain </w:t>
      </w:r>
      <w:r w:rsidR="006C5ADB">
        <w:rPr>
          <w:rFonts w:cstheme="minorHAnsi"/>
          <w:sz w:val="20"/>
          <w:szCs w:val="20"/>
        </w:rPr>
        <w:t>20.4</w:t>
      </w:r>
      <w:r w:rsidR="00A300AA" w:rsidRPr="007728B8">
        <w:rPr>
          <w:rFonts w:cstheme="minorHAnsi"/>
          <w:sz w:val="20"/>
          <w:szCs w:val="20"/>
        </w:rPr>
        <w:t>% of the equity</w:t>
      </w:r>
      <w:r w:rsidR="006C5ADB">
        <w:rPr>
          <w:rFonts w:cstheme="minorHAnsi"/>
          <w:sz w:val="20"/>
          <w:szCs w:val="20"/>
        </w:rPr>
        <w:t xml:space="preserve"> of Efwon Investments (equivalent to 10% of the F1 team)</w:t>
      </w:r>
      <w:r w:rsidR="00EE6282" w:rsidRPr="007728B8">
        <w:rPr>
          <w:rFonts w:cstheme="minorHAnsi"/>
          <w:sz w:val="20"/>
          <w:szCs w:val="20"/>
        </w:rPr>
        <w:t>, but will need to provide USD 24.5 million of the funding for the next season (with the balance of USD 25.5 million coming from KuasaNas).</w:t>
      </w:r>
    </w:p>
    <w:p w:rsidR="00DA72F7" w:rsidRDefault="00E11871" w:rsidP="00661515">
      <w:pPr>
        <w:pStyle w:val="ListParagraph"/>
        <w:numPr>
          <w:ilvl w:val="2"/>
          <w:numId w:val="16"/>
        </w:numPr>
        <w:spacing w:line="360" w:lineRule="auto"/>
        <w:rPr>
          <w:rFonts w:cstheme="minorHAnsi"/>
          <w:sz w:val="20"/>
          <w:szCs w:val="20"/>
        </w:rPr>
      </w:pPr>
      <w:r w:rsidRPr="007728B8">
        <w:rPr>
          <w:rFonts w:cstheme="minorHAnsi"/>
          <w:sz w:val="20"/>
          <w:szCs w:val="20"/>
        </w:rPr>
        <w:t>The agreement will include a clause to allow Maximov to buy back the shares of the Senior Lenders and the Mezz Lenders in one years’ time at a rate of 1.</w:t>
      </w:r>
      <w:r w:rsidR="0001588C">
        <w:rPr>
          <w:rFonts w:cstheme="minorHAnsi"/>
          <w:sz w:val="20"/>
          <w:szCs w:val="20"/>
        </w:rPr>
        <w:t>2</w:t>
      </w:r>
      <w:r w:rsidRPr="007728B8">
        <w:rPr>
          <w:rFonts w:cstheme="minorHAnsi"/>
          <w:sz w:val="20"/>
          <w:szCs w:val="20"/>
        </w:rPr>
        <w:t xml:space="preserve"> times the current value. </w:t>
      </w:r>
      <w:r w:rsidR="006C5ADB">
        <w:rPr>
          <w:rFonts w:cstheme="minorHAnsi"/>
          <w:sz w:val="20"/>
          <w:szCs w:val="20"/>
        </w:rPr>
        <w:t xml:space="preserve">This provides Maximov with the opportunity to regain control of 49% of the F1 team if his financial position improves based on his expectation that his crypto assets will recover strongly in </w:t>
      </w:r>
      <w:r w:rsidR="00005697">
        <w:rPr>
          <w:rFonts w:cstheme="minorHAnsi"/>
          <w:sz w:val="20"/>
          <w:szCs w:val="20"/>
        </w:rPr>
        <w:t>2024.</w:t>
      </w:r>
    </w:p>
    <w:p w:rsidR="0001588C" w:rsidRDefault="0001588C" w:rsidP="00661515">
      <w:pPr>
        <w:pStyle w:val="ListParagraph"/>
        <w:numPr>
          <w:ilvl w:val="2"/>
          <w:numId w:val="16"/>
        </w:numPr>
        <w:spacing w:line="360" w:lineRule="auto"/>
        <w:rPr>
          <w:rFonts w:cstheme="minorHAnsi"/>
          <w:sz w:val="20"/>
          <w:szCs w:val="20"/>
        </w:rPr>
      </w:pPr>
      <w:r>
        <w:rPr>
          <w:rFonts w:cstheme="minorHAnsi"/>
          <w:sz w:val="20"/>
          <w:szCs w:val="20"/>
        </w:rPr>
        <w:t>The security o</w:t>
      </w:r>
      <w:r w:rsidR="00005697">
        <w:rPr>
          <w:rFonts w:cstheme="minorHAnsi"/>
          <w:sz w:val="20"/>
          <w:szCs w:val="20"/>
        </w:rPr>
        <w:t>ver</w:t>
      </w:r>
      <w:r>
        <w:rPr>
          <w:rFonts w:cstheme="minorHAnsi"/>
          <w:sz w:val="20"/>
          <w:szCs w:val="20"/>
        </w:rPr>
        <w:t xml:space="preserve"> Maximov’s properties will be released by the Senior Lenders. </w:t>
      </w:r>
    </w:p>
    <w:p w:rsidR="00E96692" w:rsidRPr="007728B8" w:rsidRDefault="00E96692" w:rsidP="0001588C">
      <w:pPr>
        <w:pStyle w:val="ListParagraph"/>
        <w:spacing w:line="360" w:lineRule="auto"/>
        <w:ind w:left="2160"/>
        <w:rPr>
          <w:rFonts w:cstheme="minorHAnsi"/>
          <w:sz w:val="20"/>
          <w:szCs w:val="20"/>
        </w:rPr>
      </w:pPr>
    </w:p>
    <w:p w:rsidR="000473FF" w:rsidRPr="00DD1E09" w:rsidRDefault="00DD1E09" w:rsidP="007728B8">
      <w:pPr>
        <w:pStyle w:val="ListParagraph"/>
        <w:numPr>
          <w:ilvl w:val="0"/>
          <w:numId w:val="16"/>
        </w:numPr>
        <w:spacing w:line="360" w:lineRule="auto"/>
        <w:rPr>
          <w:rFonts w:cstheme="minorHAnsi"/>
          <w:b/>
          <w:sz w:val="20"/>
          <w:szCs w:val="20"/>
        </w:rPr>
      </w:pPr>
      <w:r>
        <w:rPr>
          <w:rFonts w:cstheme="minorHAnsi"/>
          <w:b/>
          <w:sz w:val="20"/>
          <w:szCs w:val="20"/>
        </w:rPr>
        <w:t xml:space="preserve">Implementation of </w:t>
      </w:r>
      <w:r w:rsidR="0001588C">
        <w:rPr>
          <w:rFonts w:cstheme="minorHAnsi"/>
          <w:b/>
          <w:sz w:val="20"/>
          <w:szCs w:val="20"/>
        </w:rPr>
        <w:t xml:space="preserve">the </w:t>
      </w:r>
      <w:r>
        <w:rPr>
          <w:rFonts w:cstheme="minorHAnsi"/>
          <w:b/>
          <w:sz w:val="20"/>
          <w:szCs w:val="20"/>
        </w:rPr>
        <w:t>restructuring plan</w:t>
      </w:r>
    </w:p>
    <w:p w:rsidR="00B21BA0" w:rsidRPr="007728B8" w:rsidRDefault="00B21BA0" w:rsidP="00B21BA0">
      <w:pPr>
        <w:pStyle w:val="ListParagraph"/>
        <w:numPr>
          <w:ilvl w:val="1"/>
          <w:numId w:val="16"/>
        </w:numPr>
        <w:spacing w:line="360" w:lineRule="auto"/>
        <w:rPr>
          <w:rFonts w:cstheme="minorHAnsi"/>
          <w:sz w:val="20"/>
          <w:szCs w:val="20"/>
        </w:rPr>
      </w:pPr>
      <w:r w:rsidRPr="007728B8">
        <w:rPr>
          <w:rFonts w:cstheme="minorHAnsi"/>
          <w:sz w:val="20"/>
          <w:szCs w:val="20"/>
        </w:rPr>
        <w:t xml:space="preserve">The </w:t>
      </w:r>
      <w:r w:rsidR="005D2535">
        <w:rPr>
          <w:rFonts w:cstheme="minorHAnsi"/>
          <w:sz w:val="20"/>
          <w:szCs w:val="20"/>
        </w:rPr>
        <w:t xml:space="preserve">top </w:t>
      </w:r>
      <w:r w:rsidRPr="007728B8">
        <w:rPr>
          <w:rFonts w:cstheme="minorHAnsi"/>
          <w:sz w:val="20"/>
          <w:szCs w:val="20"/>
        </w:rPr>
        <w:t>priority actions are to stablise the situation and provide time for working through a full restructuring</w:t>
      </w:r>
      <w:r w:rsidR="0001588C">
        <w:rPr>
          <w:rFonts w:cstheme="minorHAnsi"/>
          <w:sz w:val="20"/>
          <w:szCs w:val="20"/>
        </w:rPr>
        <w:t xml:space="preserve"> with the stakeholders</w:t>
      </w:r>
      <w:r w:rsidRPr="007728B8">
        <w:rPr>
          <w:rFonts w:cstheme="minorHAnsi"/>
          <w:sz w:val="20"/>
          <w:szCs w:val="20"/>
        </w:rPr>
        <w:t xml:space="preserve">. </w:t>
      </w:r>
    </w:p>
    <w:p w:rsidR="005D2535" w:rsidRPr="005D2535" w:rsidRDefault="005D2535" w:rsidP="00B21BA0">
      <w:pPr>
        <w:pStyle w:val="ListParagraph"/>
        <w:numPr>
          <w:ilvl w:val="1"/>
          <w:numId w:val="16"/>
        </w:numPr>
        <w:spacing w:line="360" w:lineRule="auto"/>
        <w:rPr>
          <w:rFonts w:cstheme="minorHAnsi"/>
          <w:sz w:val="20"/>
          <w:szCs w:val="20"/>
        </w:rPr>
      </w:pPr>
      <w:r w:rsidRPr="005D2535">
        <w:rPr>
          <w:rFonts w:cstheme="minorHAnsi"/>
          <w:sz w:val="20"/>
          <w:szCs w:val="20"/>
        </w:rPr>
        <w:t>Two matters will need to be tackled simultaneously at the outset</w:t>
      </w:r>
      <w:r w:rsidR="00005697">
        <w:rPr>
          <w:rFonts w:cstheme="minorHAnsi"/>
          <w:sz w:val="20"/>
          <w:szCs w:val="20"/>
        </w:rPr>
        <w:t>;</w:t>
      </w:r>
      <w:r w:rsidRPr="005D2535">
        <w:rPr>
          <w:rFonts w:cstheme="minorHAnsi"/>
          <w:sz w:val="20"/>
          <w:szCs w:val="20"/>
        </w:rPr>
        <w:t xml:space="preserve"> </w:t>
      </w:r>
      <w:r w:rsidR="00005697">
        <w:rPr>
          <w:rFonts w:cstheme="minorHAnsi"/>
          <w:sz w:val="20"/>
          <w:szCs w:val="20"/>
        </w:rPr>
        <w:t xml:space="preserve">1) </w:t>
      </w:r>
      <w:r w:rsidRPr="005D2535">
        <w:rPr>
          <w:rFonts w:cstheme="minorHAnsi"/>
          <w:sz w:val="20"/>
          <w:szCs w:val="20"/>
        </w:rPr>
        <w:t xml:space="preserve">agreeing a standstill agreement with creditors and </w:t>
      </w:r>
      <w:r w:rsidR="00005697">
        <w:rPr>
          <w:rFonts w:cstheme="minorHAnsi"/>
          <w:sz w:val="20"/>
          <w:szCs w:val="20"/>
        </w:rPr>
        <w:t xml:space="preserve">2) </w:t>
      </w:r>
      <w:r w:rsidRPr="005D2535">
        <w:rPr>
          <w:rFonts w:cstheme="minorHAnsi"/>
          <w:sz w:val="20"/>
          <w:szCs w:val="20"/>
        </w:rPr>
        <w:t xml:space="preserve">dealing with pressing legal matters in Romania. The matters need to be tackled simultaneously as it is unlikely that the creditors of the wider group will sign off on the standstill until some clarity is provided on the issues in Romania. </w:t>
      </w:r>
    </w:p>
    <w:p w:rsidR="00B21BA0" w:rsidRPr="007728B8" w:rsidRDefault="005D2535" w:rsidP="00B21BA0">
      <w:pPr>
        <w:pStyle w:val="ListParagraph"/>
        <w:numPr>
          <w:ilvl w:val="1"/>
          <w:numId w:val="16"/>
        </w:numPr>
        <w:spacing w:line="360" w:lineRule="auto"/>
        <w:rPr>
          <w:rFonts w:cstheme="minorHAnsi"/>
          <w:sz w:val="20"/>
          <w:szCs w:val="20"/>
        </w:rPr>
      </w:pPr>
      <w:r w:rsidRPr="005D2535">
        <w:rPr>
          <w:rFonts w:cstheme="minorHAnsi"/>
          <w:sz w:val="20"/>
          <w:szCs w:val="20"/>
        </w:rPr>
        <w:t>T</w:t>
      </w:r>
      <w:r w:rsidR="00B21BA0" w:rsidRPr="005D2535">
        <w:rPr>
          <w:rFonts w:cstheme="minorHAnsi"/>
          <w:sz w:val="20"/>
          <w:szCs w:val="20"/>
        </w:rPr>
        <w:t>he position of the nominee directors at Efwon Trading and Efwon Romania</w:t>
      </w:r>
      <w:r w:rsidRPr="005D2535">
        <w:rPr>
          <w:rFonts w:cstheme="minorHAnsi"/>
          <w:sz w:val="20"/>
          <w:szCs w:val="20"/>
        </w:rPr>
        <w:t xml:space="preserve"> is concerning them</w:t>
      </w:r>
      <w:r w:rsidR="00B21BA0" w:rsidRPr="005D2535">
        <w:rPr>
          <w:rFonts w:cstheme="minorHAnsi"/>
          <w:sz w:val="20"/>
          <w:szCs w:val="20"/>
        </w:rPr>
        <w:t>.</w:t>
      </w:r>
      <w:r w:rsidR="00B21BA0" w:rsidRPr="007728B8">
        <w:rPr>
          <w:rFonts w:cstheme="minorHAnsi"/>
          <w:sz w:val="20"/>
          <w:szCs w:val="20"/>
        </w:rPr>
        <w:t xml:space="preserve"> In order to alleviate the concerns of these directors about the positions of the companies, it is important to put the companies into a stable position. This would be best achieved by getting the creditors to sign a standstill agreement to provide time for the restructuring plan to be developed and implemented. This is also in line with the First Principle of Insol International</w:t>
      </w:r>
      <w:r w:rsidR="00005697">
        <w:rPr>
          <w:rFonts w:cstheme="minorHAnsi"/>
          <w:sz w:val="20"/>
          <w:szCs w:val="20"/>
        </w:rPr>
        <w:t>’</w:t>
      </w:r>
      <w:r w:rsidR="00B21BA0" w:rsidRPr="007728B8">
        <w:rPr>
          <w:rFonts w:cstheme="minorHAnsi"/>
          <w:sz w:val="20"/>
          <w:szCs w:val="20"/>
        </w:rPr>
        <w:t xml:space="preserve">s Statement of Principles for a Global Approach to Multi Creditor Workouts II. </w:t>
      </w:r>
    </w:p>
    <w:p w:rsidR="00B21BA0" w:rsidRPr="007728B8" w:rsidRDefault="00B21BA0" w:rsidP="00B21BA0">
      <w:pPr>
        <w:pStyle w:val="ListParagraph"/>
        <w:numPr>
          <w:ilvl w:val="1"/>
          <w:numId w:val="16"/>
        </w:numPr>
        <w:spacing w:line="360" w:lineRule="auto"/>
        <w:rPr>
          <w:rFonts w:cstheme="minorHAnsi"/>
          <w:sz w:val="20"/>
          <w:szCs w:val="20"/>
        </w:rPr>
      </w:pPr>
      <w:r w:rsidRPr="007728B8">
        <w:rPr>
          <w:rFonts w:cstheme="minorHAnsi"/>
          <w:sz w:val="20"/>
          <w:szCs w:val="20"/>
        </w:rPr>
        <w:t xml:space="preserve">It is envisaged that to satisfy the directors of Efwon Romania, Efwon Trading will need to confirm that it will not call in its debts. In order for Efwon Trading to be comfortable doing this, it will also require the Monaco Lender and the US Lender to confirm that they will also standstill. </w:t>
      </w:r>
    </w:p>
    <w:p w:rsidR="00B21BA0" w:rsidRPr="007728B8" w:rsidRDefault="00B21BA0" w:rsidP="00B21BA0">
      <w:pPr>
        <w:pStyle w:val="ListParagraph"/>
        <w:numPr>
          <w:ilvl w:val="1"/>
          <w:numId w:val="16"/>
        </w:numPr>
        <w:spacing w:line="360" w:lineRule="auto"/>
        <w:rPr>
          <w:rFonts w:cstheme="minorHAnsi"/>
          <w:sz w:val="20"/>
          <w:szCs w:val="20"/>
        </w:rPr>
      </w:pPr>
      <w:r w:rsidRPr="007728B8">
        <w:rPr>
          <w:rFonts w:cstheme="minorHAnsi"/>
          <w:sz w:val="20"/>
          <w:szCs w:val="20"/>
        </w:rPr>
        <w:t>The proposal is for a three-month standstill arrangement and the terms will broadly mirror the principles of the Insol Internationals Statement of Principles for a Global Approach to Multi Creditor Workouts II</w:t>
      </w:r>
      <w:r w:rsidR="00005697">
        <w:rPr>
          <w:rFonts w:cstheme="minorHAnsi"/>
          <w:sz w:val="20"/>
          <w:szCs w:val="20"/>
        </w:rPr>
        <w:t>.</w:t>
      </w:r>
    </w:p>
    <w:p w:rsidR="00B21BA0" w:rsidRPr="007728B8" w:rsidRDefault="00B21BA0" w:rsidP="00B21BA0">
      <w:pPr>
        <w:pStyle w:val="ListParagraph"/>
        <w:numPr>
          <w:ilvl w:val="1"/>
          <w:numId w:val="16"/>
        </w:numPr>
        <w:spacing w:line="360" w:lineRule="auto"/>
        <w:rPr>
          <w:rFonts w:cstheme="minorHAnsi"/>
          <w:sz w:val="20"/>
          <w:szCs w:val="20"/>
        </w:rPr>
      </w:pPr>
      <w:r w:rsidRPr="007728B8">
        <w:rPr>
          <w:rFonts w:cstheme="minorHAnsi"/>
          <w:sz w:val="20"/>
          <w:szCs w:val="20"/>
        </w:rPr>
        <w:t>The other urgent first step is to resolve the issues in Romania. My initial research suggests that the winding up order filed against Efwon Romania has been filed on an inappropriate basis and does not meet the criteria as</w:t>
      </w:r>
      <w:r w:rsidR="0079569A">
        <w:rPr>
          <w:rFonts w:cstheme="minorHAnsi"/>
          <w:sz w:val="20"/>
          <w:szCs w:val="20"/>
        </w:rPr>
        <w:t xml:space="preserve"> the debt claimed</w:t>
      </w:r>
      <w:r w:rsidRPr="007728B8">
        <w:rPr>
          <w:rFonts w:cstheme="minorHAnsi"/>
          <w:sz w:val="20"/>
          <w:szCs w:val="20"/>
        </w:rPr>
        <w:t xml:space="preserve"> is not certain or due and payable</w:t>
      </w:r>
      <w:r w:rsidR="00C661EC">
        <w:rPr>
          <w:rStyle w:val="FootnoteReference"/>
          <w:rFonts w:cstheme="minorHAnsi"/>
          <w:sz w:val="20"/>
          <w:szCs w:val="20"/>
        </w:rPr>
        <w:footnoteReference w:id="32"/>
      </w:r>
      <w:r w:rsidRPr="007728B8">
        <w:rPr>
          <w:rFonts w:cstheme="minorHAnsi"/>
          <w:sz w:val="20"/>
          <w:szCs w:val="20"/>
        </w:rPr>
        <w:t xml:space="preserve">. Subject to </w:t>
      </w:r>
      <w:r w:rsidRPr="007728B8">
        <w:rPr>
          <w:rFonts w:cstheme="minorHAnsi"/>
          <w:sz w:val="20"/>
          <w:szCs w:val="20"/>
        </w:rPr>
        <w:lastRenderedPageBreak/>
        <w:t xml:space="preserve">obtaining specialist Romanian law advice, the intention is to seek to have that filing rejected as it is not compliant with the legal criteria and to also have the asset freeze lifted. Achieving these aims will assist in negotiating a settlement with the Drivers. </w:t>
      </w:r>
      <w:r w:rsidR="00C661EC">
        <w:rPr>
          <w:rFonts w:cstheme="minorHAnsi"/>
          <w:sz w:val="20"/>
          <w:szCs w:val="20"/>
        </w:rPr>
        <w:t>As noted above, it is expected that the Drivers will accept a payment of USD 1</w:t>
      </w:r>
      <w:r w:rsidR="0079569A">
        <w:rPr>
          <w:rFonts w:cstheme="minorHAnsi"/>
          <w:sz w:val="20"/>
          <w:szCs w:val="20"/>
        </w:rPr>
        <w:t>0</w:t>
      </w:r>
      <w:r w:rsidR="00C661EC">
        <w:rPr>
          <w:rFonts w:cstheme="minorHAnsi"/>
          <w:sz w:val="20"/>
          <w:szCs w:val="20"/>
        </w:rPr>
        <w:t xml:space="preserve"> million each to settle their claims. </w:t>
      </w:r>
    </w:p>
    <w:p w:rsidR="00DD1E09" w:rsidRDefault="00B74C44" w:rsidP="00C661EC">
      <w:pPr>
        <w:pStyle w:val="ListParagraph"/>
        <w:numPr>
          <w:ilvl w:val="1"/>
          <w:numId w:val="16"/>
        </w:numPr>
        <w:spacing w:line="360" w:lineRule="auto"/>
        <w:rPr>
          <w:rFonts w:cstheme="minorHAnsi"/>
          <w:sz w:val="20"/>
          <w:szCs w:val="20"/>
        </w:rPr>
      </w:pPr>
      <w:r>
        <w:rPr>
          <w:rFonts w:cstheme="minorHAnsi"/>
          <w:sz w:val="20"/>
          <w:szCs w:val="20"/>
        </w:rPr>
        <w:t xml:space="preserve">Once the initial stabilisation steps have been implemented and the standstill is in place, the terms of the </w:t>
      </w:r>
      <w:r w:rsidR="0079569A">
        <w:rPr>
          <w:rFonts w:cstheme="minorHAnsi"/>
          <w:sz w:val="20"/>
          <w:szCs w:val="20"/>
        </w:rPr>
        <w:t>Plan</w:t>
      </w:r>
      <w:r>
        <w:rPr>
          <w:rFonts w:cstheme="minorHAnsi"/>
          <w:sz w:val="20"/>
          <w:szCs w:val="20"/>
        </w:rPr>
        <w:t xml:space="preserve"> (as outlined above) will be presented to the creditors. T</w:t>
      </w:r>
      <w:r w:rsidR="00154B45">
        <w:rPr>
          <w:rFonts w:cstheme="minorHAnsi"/>
          <w:sz w:val="20"/>
          <w:szCs w:val="20"/>
        </w:rPr>
        <w:t>he key steps to implement it will be:</w:t>
      </w:r>
    </w:p>
    <w:p w:rsidR="00020B66" w:rsidRPr="007728B8" w:rsidRDefault="000473FF" w:rsidP="00B21BA0">
      <w:pPr>
        <w:pStyle w:val="ListParagraph"/>
        <w:numPr>
          <w:ilvl w:val="2"/>
          <w:numId w:val="16"/>
        </w:numPr>
        <w:spacing w:line="360" w:lineRule="auto"/>
        <w:rPr>
          <w:rFonts w:cstheme="minorHAnsi"/>
          <w:sz w:val="20"/>
          <w:szCs w:val="20"/>
        </w:rPr>
      </w:pPr>
      <w:r w:rsidRPr="007728B8">
        <w:rPr>
          <w:rFonts w:cstheme="minorHAnsi"/>
          <w:sz w:val="20"/>
          <w:szCs w:val="20"/>
        </w:rPr>
        <w:t xml:space="preserve">A new company, Efwon Racing will be incorporated in Singapore. </w:t>
      </w:r>
      <w:r w:rsidR="00020B66" w:rsidRPr="007728B8">
        <w:rPr>
          <w:rFonts w:cstheme="minorHAnsi"/>
          <w:sz w:val="20"/>
          <w:szCs w:val="20"/>
        </w:rPr>
        <w:t xml:space="preserve">Efwon Racing will </w:t>
      </w:r>
      <w:r w:rsidR="0049581C" w:rsidRPr="007728B8">
        <w:rPr>
          <w:rFonts w:cstheme="minorHAnsi"/>
          <w:sz w:val="20"/>
          <w:szCs w:val="20"/>
        </w:rPr>
        <w:t>be incorporated</w:t>
      </w:r>
      <w:r w:rsidR="00020B66" w:rsidRPr="007728B8">
        <w:rPr>
          <w:rFonts w:cstheme="minorHAnsi"/>
          <w:sz w:val="20"/>
          <w:szCs w:val="20"/>
        </w:rPr>
        <w:t xml:space="preserve"> as a subsidiary of Efwon </w:t>
      </w:r>
      <w:r w:rsidR="00DD1E09">
        <w:rPr>
          <w:rFonts w:cstheme="minorHAnsi"/>
          <w:sz w:val="20"/>
          <w:szCs w:val="20"/>
        </w:rPr>
        <w:t>Investments</w:t>
      </w:r>
      <w:r w:rsidR="00020B66" w:rsidRPr="007728B8">
        <w:rPr>
          <w:rFonts w:cstheme="minorHAnsi"/>
          <w:sz w:val="20"/>
          <w:szCs w:val="20"/>
        </w:rPr>
        <w:t>.</w:t>
      </w:r>
    </w:p>
    <w:p w:rsidR="00020B66" w:rsidRPr="007728B8" w:rsidRDefault="00020B66" w:rsidP="00B21BA0">
      <w:pPr>
        <w:pStyle w:val="ListParagraph"/>
        <w:numPr>
          <w:ilvl w:val="2"/>
          <w:numId w:val="16"/>
        </w:numPr>
        <w:spacing w:line="360" w:lineRule="auto"/>
        <w:rPr>
          <w:rFonts w:cstheme="minorHAnsi"/>
          <w:sz w:val="20"/>
          <w:szCs w:val="20"/>
        </w:rPr>
      </w:pPr>
      <w:r w:rsidRPr="007728B8">
        <w:rPr>
          <w:rFonts w:cstheme="minorHAnsi"/>
          <w:sz w:val="20"/>
          <w:szCs w:val="20"/>
        </w:rPr>
        <w:t xml:space="preserve">KuasaNas will pay USD 153 million for a 51% holdings in Efwon Racing. Efwon Singapore will become a subsidiary of Efwon Racing. </w:t>
      </w:r>
    </w:p>
    <w:p w:rsidR="00020B66" w:rsidRPr="007728B8" w:rsidRDefault="00020B66" w:rsidP="00B21BA0">
      <w:pPr>
        <w:pStyle w:val="ListParagraph"/>
        <w:numPr>
          <w:ilvl w:val="2"/>
          <w:numId w:val="16"/>
        </w:numPr>
        <w:spacing w:line="360" w:lineRule="auto"/>
        <w:rPr>
          <w:rFonts w:cstheme="minorHAnsi"/>
          <w:sz w:val="20"/>
          <w:szCs w:val="20"/>
        </w:rPr>
      </w:pPr>
      <w:r w:rsidRPr="007728B8">
        <w:rPr>
          <w:rFonts w:cstheme="minorHAnsi"/>
          <w:sz w:val="20"/>
          <w:szCs w:val="20"/>
        </w:rPr>
        <w:t xml:space="preserve">Efwon Racing will establish a branch in Malaysia to operate the team.  </w:t>
      </w:r>
    </w:p>
    <w:p w:rsidR="000473FF" w:rsidRPr="007728B8" w:rsidRDefault="000473FF" w:rsidP="00B21BA0">
      <w:pPr>
        <w:pStyle w:val="ListParagraph"/>
        <w:numPr>
          <w:ilvl w:val="2"/>
          <w:numId w:val="16"/>
        </w:numPr>
        <w:spacing w:line="360" w:lineRule="auto"/>
        <w:rPr>
          <w:rFonts w:cstheme="minorHAnsi"/>
          <w:sz w:val="20"/>
          <w:szCs w:val="20"/>
        </w:rPr>
      </w:pPr>
      <w:r w:rsidRPr="007728B8">
        <w:rPr>
          <w:rFonts w:cstheme="minorHAnsi"/>
          <w:sz w:val="20"/>
          <w:szCs w:val="20"/>
        </w:rPr>
        <w:t>The assets of Efwon Romania</w:t>
      </w:r>
      <w:r w:rsidR="00DD1E09">
        <w:rPr>
          <w:rFonts w:cstheme="minorHAnsi"/>
          <w:sz w:val="20"/>
          <w:szCs w:val="20"/>
        </w:rPr>
        <w:t xml:space="preserve">, including the required F1 licences, </w:t>
      </w:r>
      <w:r w:rsidRPr="007728B8">
        <w:rPr>
          <w:rFonts w:cstheme="minorHAnsi"/>
          <w:sz w:val="20"/>
          <w:szCs w:val="20"/>
        </w:rPr>
        <w:t xml:space="preserve">will be transferred to Efwon Racing. </w:t>
      </w:r>
      <w:r w:rsidR="00DD1E09">
        <w:rPr>
          <w:rFonts w:cstheme="minorHAnsi"/>
          <w:sz w:val="20"/>
          <w:szCs w:val="20"/>
        </w:rPr>
        <w:t xml:space="preserve">Efwon Romania will then be liquidated. </w:t>
      </w:r>
    </w:p>
    <w:p w:rsidR="000473FF" w:rsidRDefault="00434625" w:rsidP="00B21BA0">
      <w:pPr>
        <w:pStyle w:val="ListParagraph"/>
        <w:numPr>
          <w:ilvl w:val="2"/>
          <w:numId w:val="16"/>
        </w:numPr>
        <w:spacing w:line="360" w:lineRule="auto"/>
        <w:rPr>
          <w:rFonts w:cstheme="minorHAnsi"/>
          <w:sz w:val="20"/>
          <w:szCs w:val="20"/>
        </w:rPr>
      </w:pPr>
      <w:r w:rsidRPr="007728B8">
        <w:rPr>
          <w:rFonts w:cstheme="minorHAnsi"/>
          <w:sz w:val="20"/>
          <w:szCs w:val="20"/>
        </w:rPr>
        <w:t xml:space="preserve">Once the Monaco Lender is repaid, Efwon Trading will be superfluous and </w:t>
      </w:r>
      <w:r w:rsidR="00DD1E09">
        <w:rPr>
          <w:rFonts w:cstheme="minorHAnsi"/>
          <w:sz w:val="20"/>
          <w:szCs w:val="20"/>
        </w:rPr>
        <w:t xml:space="preserve">will </w:t>
      </w:r>
      <w:r w:rsidR="00B74C44">
        <w:rPr>
          <w:rFonts w:cstheme="minorHAnsi"/>
          <w:sz w:val="20"/>
          <w:szCs w:val="20"/>
        </w:rPr>
        <w:t xml:space="preserve">also </w:t>
      </w:r>
      <w:r w:rsidRPr="007728B8">
        <w:rPr>
          <w:rFonts w:cstheme="minorHAnsi"/>
          <w:sz w:val="20"/>
          <w:szCs w:val="20"/>
        </w:rPr>
        <w:t xml:space="preserve">be liquidated. </w:t>
      </w:r>
    </w:p>
    <w:p w:rsidR="00B74C44" w:rsidRPr="00B40A08" w:rsidRDefault="00B74C44" w:rsidP="00B74C44">
      <w:pPr>
        <w:pStyle w:val="ListParagraph"/>
        <w:numPr>
          <w:ilvl w:val="1"/>
          <w:numId w:val="16"/>
        </w:numPr>
        <w:spacing w:line="360" w:lineRule="auto"/>
        <w:rPr>
          <w:rFonts w:cstheme="minorHAnsi"/>
          <w:sz w:val="20"/>
          <w:szCs w:val="20"/>
        </w:rPr>
      </w:pPr>
      <w:r w:rsidRPr="00B40A08">
        <w:rPr>
          <w:rFonts w:cstheme="minorHAnsi"/>
          <w:sz w:val="20"/>
          <w:szCs w:val="20"/>
        </w:rPr>
        <w:t>The structure of the Efwon Group post restructuring will be as follows</w:t>
      </w:r>
      <w:r w:rsidR="00B40A08">
        <w:rPr>
          <w:rFonts w:cstheme="minorHAnsi"/>
          <w:sz w:val="20"/>
          <w:szCs w:val="20"/>
        </w:rPr>
        <w:t>:</w:t>
      </w:r>
      <w:r w:rsidRPr="00B40A08">
        <w:rPr>
          <w:rFonts w:cstheme="minorHAnsi"/>
          <w:sz w:val="20"/>
          <w:szCs w:val="20"/>
        </w:rPr>
        <w:t xml:space="preserve"> </w:t>
      </w:r>
    </w:p>
    <w:p w:rsidR="0079569A" w:rsidRDefault="00D6798A" w:rsidP="0079569A">
      <w:pPr>
        <w:pStyle w:val="ListParagraph"/>
        <w:spacing w:line="360" w:lineRule="auto"/>
        <w:rPr>
          <w:rFonts w:cstheme="minorHAnsi"/>
          <w:b/>
          <w:sz w:val="20"/>
          <w:szCs w:val="20"/>
        </w:rPr>
      </w:pPr>
      <w:r>
        <w:rPr>
          <w:rFonts w:cstheme="minorHAnsi"/>
          <w:b/>
          <w:noProof/>
          <w:sz w:val="20"/>
          <w:szCs w:val="20"/>
        </w:rPr>
        <w:drawing>
          <wp:inline distT="0" distB="0" distL="0" distR="0" wp14:anchorId="61564CD8">
            <wp:extent cx="6092482" cy="275115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3784" cy="2756256"/>
                    </a:xfrm>
                    <a:prstGeom prst="rect">
                      <a:avLst/>
                    </a:prstGeom>
                    <a:noFill/>
                  </pic:spPr>
                </pic:pic>
              </a:graphicData>
            </a:graphic>
          </wp:inline>
        </w:drawing>
      </w:r>
    </w:p>
    <w:p w:rsidR="00B40A08" w:rsidRDefault="00B40A08" w:rsidP="00B40A08">
      <w:pPr>
        <w:pStyle w:val="ListParagraph"/>
        <w:spacing w:line="360" w:lineRule="auto"/>
        <w:rPr>
          <w:rFonts w:cstheme="minorHAnsi"/>
          <w:b/>
          <w:sz w:val="20"/>
          <w:szCs w:val="20"/>
        </w:rPr>
      </w:pPr>
    </w:p>
    <w:p w:rsidR="00B74C44" w:rsidRPr="00DC04D0" w:rsidRDefault="006C56A9" w:rsidP="00B74C44">
      <w:pPr>
        <w:pStyle w:val="ListParagraph"/>
        <w:numPr>
          <w:ilvl w:val="0"/>
          <w:numId w:val="16"/>
        </w:numPr>
        <w:spacing w:line="360" w:lineRule="auto"/>
        <w:rPr>
          <w:rFonts w:cstheme="minorHAnsi"/>
          <w:b/>
          <w:sz w:val="20"/>
          <w:szCs w:val="20"/>
        </w:rPr>
      </w:pPr>
      <w:r w:rsidRPr="00DC04D0">
        <w:rPr>
          <w:rFonts w:cstheme="minorHAnsi"/>
          <w:b/>
          <w:sz w:val="20"/>
          <w:szCs w:val="20"/>
        </w:rPr>
        <w:t>Specific consideration</w:t>
      </w:r>
      <w:r w:rsidR="00DC04D0">
        <w:rPr>
          <w:rFonts w:cstheme="minorHAnsi"/>
          <w:b/>
          <w:sz w:val="20"/>
          <w:szCs w:val="20"/>
        </w:rPr>
        <w:t>s</w:t>
      </w:r>
      <w:r w:rsidRPr="00DC04D0">
        <w:rPr>
          <w:rFonts w:cstheme="minorHAnsi"/>
          <w:b/>
          <w:sz w:val="20"/>
          <w:szCs w:val="20"/>
        </w:rPr>
        <w:t xml:space="preserve"> relating to implementing the Chapter 11</w:t>
      </w:r>
      <w:r w:rsidR="0079569A">
        <w:rPr>
          <w:rFonts w:cstheme="minorHAnsi"/>
          <w:b/>
          <w:sz w:val="20"/>
          <w:szCs w:val="20"/>
        </w:rPr>
        <w:t xml:space="preserve"> Plan</w:t>
      </w:r>
    </w:p>
    <w:p w:rsidR="006C56A9" w:rsidRDefault="00764099" w:rsidP="006C56A9">
      <w:pPr>
        <w:pStyle w:val="ListParagraph"/>
        <w:numPr>
          <w:ilvl w:val="1"/>
          <w:numId w:val="16"/>
        </w:numPr>
        <w:spacing w:line="360" w:lineRule="auto"/>
        <w:rPr>
          <w:rFonts w:cstheme="minorHAnsi"/>
          <w:sz w:val="20"/>
          <w:szCs w:val="20"/>
        </w:rPr>
      </w:pPr>
      <w:r>
        <w:rPr>
          <w:rFonts w:cstheme="minorHAnsi"/>
          <w:sz w:val="20"/>
          <w:szCs w:val="20"/>
        </w:rPr>
        <w:t xml:space="preserve">In this section, I will set out details of some of the technical aspects of Chapter 11 that we will need to consider in implementing the </w:t>
      </w:r>
      <w:r w:rsidR="0079569A">
        <w:rPr>
          <w:rFonts w:cstheme="minorHAnsi"/>
          <w:sz w:val="20"/>
          <w:szCs w:val="20"/>
        </w:rPr>
        <w:t>Plan</w:t>
      </w:r>
      <w:r>
        <w:rPr>
          <w:rFonts w:cstheme="minorHAnsi"/>
          <w:sz w:val="20"/>
          <w:szCs w:val="20"/>
        </w:rPr>
        <w:t xml:space="preserve">. </w:t>
      </w:r>
    </w:p>
    <w:p w:rsidR="00093F6F" w:rsidRDefault="00093F6F" w:rsidP="00093F6F">
      <w:pPr>
        <w:pStyle w:val="ListParagraph"/>
        <w:numPr>
          <w:ilvl w:val="1"/>
          <w:numId w:val="16"/>
        </w:numPr>
        <w:spacing w:line="360" w:lineRule="auto"/>
        <w:rPr>
          <w:rFonts w:cstheme="minorHAnsi"/>
          <w:sz w:val="20"/>
          <w:szCs w:val="20"/>
        </w:rPr>
      </w:pPr>
      <w:r>
        <w:rPr>
          <w:rFonts w:cstheme="minorHAnsi"/>
          <w:sz w:val="20"/>
          <w:szCs w:val="20"/>
        </w:rPr>
        <w:lastRenderedPageBreak/>
        <w:t xml:space="preserve">Efwon Investments is registered in the United States and will therefore be eligible to enter Chapter 11. Efwon Trading is incorporated in the Netherlands, but has assets (a bank account with funds) in the United States. In line with the judgement </w:t>
      </w:r>
      <w:r w:rsidR="00005697">
        <w:rPr>
          <w:rFonts w:cstheme="minorHAnsi"/>
          <w:sz w:val="20"/>
          <w:szCs w:val="20"/>
        </w:rPr>
        <w:t>i</w:t>
      </w:r>
      <w:r>
        <w:rPr>
          <w:rFonts w:cstheme="minorHAnsi"/>
          <w:sz w:val="20"/>
          <w:szCs w:val="20"/>
        </w:rPr>
        <w:t>n Global Ocean Carriers, this would be sufficient to satisfy the criteria in section 109 of the Bankruptcy Code</w:t>
      </w:r>
      <w:r>
        <w:rPr>
          <w:rStyle w:val="FootnoteReference"/>
          <w:rFonts w:cstheme="minorHAnsi"/>
          <w:sz w:val="20"/>
          <w:szCs w:val="20"/>
        </w:rPr>
        <w:footnoteReference w:id="33"/>
      </w:r>
      <w:r>
        <w:rPr>
          <w:rFonts w:cstheme="minorHAnsi"/>
          <w:sz w:val="20"/>
          <w:szCs w:val="20"/>
        </w:rPr>
        <w:t xml:space="preserve">. </w:t>
      </w:r>
    </w:p>
    <w:p w:rsidR="00764099" w:rsidRDefault="00093F6F" w:rsidP="006C56A9">
      <w:pPr>
        <w:pStyle w:val="ListParagraph"/>
        <w:numPr>
          <w:ilvl w:val="1"/>
          <w:numId w:val="16"/>
        </w:numPr>
        <w:spacing w:line="360" w:lineRule="auto"/>
        <w:rPr>
          <w:rFonts w:cstheme="minorHAnsi"/>
          <w:sz w:val="20"/>
          <w:szCs w:val="20"/>
        </w:rPr>
      </w:pPr>
      <w:r>
        <w:rPr>
          <w:rFonts w:cstheme="minorHAnsi"/>
          <w:sz w:val="20"/>
          <w:szCs w:val="20"/>
        </w:rPr>
        <w:t>A</w:t>
      </w:r>
      <w:r w:rsidR="00764099">
        <w:rPr>
          <w:rFonts w:cstheme="minorHAnsi"/>
          <w:sz w:val="20"/>
          <w:szCs w:val="20"/>
        </w:rPr>
        <w:t>s it is intended to place two entities (Efwon Investments and Efwon Trading) in</w:t>
      </w:r>
      <w:r>
        <w:rPr>
          <w:rFonts w:cstheme="minorHAnsi"/>
          <w:sz w:val="20"/>
          <w:szCs w:val="20"/>
        </w:rPr>
        <w:t>to</w:t>
      </w:r>
      <w:r w:rsidR="00764099">
        <w:rPr>
          <w:rFonts w:cstheme="minorHAnsi"/>
          <w:sz w:val="20"/>
          <w:szCs w:val="20"/>
        </w:rPr>
        <w:t xml:space="preserve"> Chapter 11</w:t>
      </w:r>
      <w:r w:rsidR="00F908E5">
        <w:rPr>
          <w:rFonts w:cstheme="minorHAnsi"/>
          <w:sz w:val="20"/>
          <w:szCs w:val="20"/>
        </w:rPr>
        <w:t>, we will need to file two separate petitions with the US Bankruptcy Court. Despite filing two separate petitions there exists a mechanism to consolidate the proceedings, either through procedural consolidation or substantive consolidation</w:t>
      </w:r>
      <w:r w:rsidR="00F908E5">
        <w:rPr>
          <w:rStyle w:val="FootnoteReference"/>
          <w:rFonts w:cstheme="minorHAnsi"/>
          <w:sz w:val="20"/>
          <w:szCs w:val="20"/>
        </w:rPr>
        <w:footnoteReference w:id="34"/>
      </w:r>
      <w:r w:rsidR="00F908E5">
        <w:rPr>
          <w:rFonts w:cstheme="minorHAnsi"/>
          <w:sz w:val="20"/>
          <w:szCs w:val="20"/>
        </w:rPr>
        <w:t>. Procedural consolidation (or joint administration) has no substantive impact on the distinctiveness of the two entities whilst substantive consolidation refers to a situation where the assets are largely pooled</w:t>
      </w:r>
      <w:r w:rsidR="00F908E5">
        <w:rPr>
          <w:rStyle w:val="FootnoteReference"/>
          <w:rFonts w:cstheme="minorHAnsi"/>
          <w:sz w:val="20"/>
          <w:szCs w:val="20"/>
        </w:rPr>
        <w:footnoteReference w:id="35"/>
      </w:r>
      <w:r w:rsidR="00F908E5">
        <w:rPr>
          <w:rFonts w:cstheme="minorHAnsi"/>
          <w:sz w:val="20"/>
          <w:szCs w:val="20"/>
        </w:rPr>
        <w:t>. Whilst there have been numerous examples of substantive consolidation being granted by the US Courts over the years, the Bankruptcy Code does not specifically provide for it</w:t>
      </w:r>
      <w:r w:rsidR="00F908E5">
        <w:rPr>
          <w:rStyle w:val="FootnoteReference"/>
          <w:rFonts w:cstheme="minorHAnsi"/>
          <w:sz w:val="20"/>
          <w:szCs w:val="20"/>
        </w:rPr>
        <w:footnoteReference w:id="36"/>
      </w:r>
      <w:r w:rsidR="00F908E5">
        <w:rPr>
          <w:rFonts w:cstheme="minorHAnsi"/>
          <w:sz w:val="20"/>
          <w:szCs w:val="20"/>
        </w:rPr>
        <w:t xml:space="preserve">. In any event, </w:t>
      </w:r>
      <w:r w:rsidR="001B2846">
        <w:rPr>
          <w:rFonts w:cstheme="minorHAnsi"/>
          <w:sz w:val="20"/>
          <w:szCs w:val="20"/>
        </w:rPr>
        <w:t>based on the circumstances of this case and noting that there is clear details of assets and ownership</w:t>
      </w:r>
      <w:r w:rsidR="0079569A">
        <w:rPr>
          <w:rFonts w:cstheme="minorHAnsi"/>
          <w:sz w:val="20"/>
          <w:szCs w:val="20"/>
        </w:rPr>
        <w:t xml:space="preserve"> by entity</w:t>
      </w:r>
      <w:r w:rsidR="001B2846">
        <w:rPr>
          <w:rFonts w:cstheme="minorHAnsi"/>
          <w:sz w:val="20"/>
          <w:szCs w:val="20"/>
        </w:rPr>
        <w:t xml:space="preserve">, substantive consolidation is not required, though </w:t>
      </w:r>
      <w:r w:rsidR="00A65E70">
        <w:rPr>
          <w:rFonts w:cstheme="minorHAnsi"/>
          <w:sz w:val="20"/>
          <w:szCs w:val="20"/>
        </w:rPr>
        <w:t xml:space="preserve">procedural consolidation will be useful to ensure both cases are on a single docket and overseen by the same judge. </w:t>
      </w:r>
    </w:p>
    <w:p w:rsidR="00A65E70" w:rsidRDefault="00A05F88" w:rsidP="006C56A9">
      <w:pPr>
        <w:pStyle w:val="ListParagraph"/>
        <w:numPr>
          <w:ilvl w:val="1"/>
          <w:numId w:val="16"/>
        </w:numPr>
        <w:spacing w:line="360" w:lineRule="auto"/>
        <w:rPr>
          <w:rFonts w:cstheme="minorHAnsi"/>
          <w:sz w:val="20"/>
          <w:szCs w:val="20"/>
        </w:rPr>
      </w:pPr>
      <w:r>
        <w:rPr>
          <w:rFonts w:cstheme="minorHAnsi"/>
          <w:sz w:val="20"/>
          <w:szCs w:val="20"/>
        </w:rPr>
        <w:t>For the plan voting process, the votes of the Senior Lenders</w:t>
      </w:r>
      <w:r w:rsidR="0079569A">
        <w:rPr>
          <w:rFonts w:cstheme="minorHAnsi"/>
          <w:sz w:val="20"/>
          <w:szCs w:val="20"/>
        </w:rPr>
        <w:t xml:space="preserve"> and</w:t>
      </w:r>
      <w:r>
        <w:rPr>
          <w:rFonts w:cstheme="minorHAnsi"/>
          <w:sz w:val="20"/>
          <w:szCs w:val="20"/>
        </w:rPr>
        <w:t xml:space="preserve"> Mezz Lenders will be solicited. </w:t>
      </w:r>
      <w:r w:rsidR="002E375E">
        <w:rPr>
          <w:rFonts w:cstheme="minorHAnsi"/>
          <w:sz w:val="20"/>
          <w:szCs w:val="20"/>
        </w:rPr>
        <w:t xml:space="preserve">Based on the plan as set out above, the </w:t>
      </w:r>
      <w:r>
        <w:rPr>
          <w:rFonts w:cstheme="minorHAnsi"/>
          <w:sz w:val="20"/>
          <w:szCs w:val="20"/>
        </w:rPr>
        <w:t xml:space="preserve">Junior Lenders will receive no cash or shares and are deemed to be out-of-the-money. For this </w:t>
      </w:r>
      <w:r w:rsidR="0079569A">
        <w:rPr>
          <w:rFonts w:cstheme="minorHAnsi"/>
          <w:sz w:val="20"/>
          <w:szCs w:val="20"/>
        </w:rPr>
        <w:t>reason,</w:t>
      </w:r>
      <w:r>
        <w:rPr>
          <w:rFonts w:cstheme="minorHAnsi"/>
          <w:sz w:val="20"/>
          <w:szCs w:val="20"/>
        </w:rPr>
        <w:t xml:space="preserve"> their vote does not need to be solicited as they are deemed to reject the plan</w:t>
      </w:r>
      <w:r>
        <w:rPr>
          <w:rStyle w:val="FootnoteReference"/>
          <w:rFonts w:cstheme="minorHAnsi"/>
          <w:sz w:val="20"/>
          <w:szCs w:val="20"/>
        </w:rPr>
        <w:footnoteReference w:id="37"/>
      </w:r>
      <w:r>
        <w:rPr>
          <w:rFonts w:cstheme="minorHAnsi"/>
          <w:sz w:val="20"/>
          <w:szCs w:val="20"/>
        </w:rPr>
        <w:t xml:space="preserve">. Provided that the plan is passed by at least one impaired class, </w:t>
      </w:r>
      <w:r w:rsidR="0079569A">
        <w:rPr>
          <w:rFonts w:cstheme="minorHAnsi"/>
          <w:sz w:val="20"/>
          <w:szCs w:val="20"/>
        </w:rPr>
        <w:t xml:space="preserve">and it is expected to be passed by the Mezz Lenders given they would receive nothing in a bankruptcy scenario, then the Junior Lenders can be crammed down. </w:t>
      </w:r>
    </w:p>
    <w:p w:rsidR="00A05F88" w:rsidRDefault="00A05F88" w:rsidP="006C56A9">
      <w:pPr>
        <w:pStyle w:val="ListParagraph"/>
        <w:numPr>
          <w:ilvl w:val="1"/>
          <w:numId w:val="16"/>
        </w:numPr>
        <w:spacing w:line="360" w:lineRule="auto"/>
        <w:rPr>
          <w:rFonts w:cstheme="minorHAnsi"/>
          <w:sz w:val="20"/>
          <w:szCs w:val="20"/>
        </w:rPr>
      </w:pPr>
      <w:r>
        <w:rPr>
          <w:rFonts w:cstheme="minorHAnsi"/>
          <w:sz w:val="20"/>
          <w:szCs w:val="20"/>
        </w:rPr>
        <w:t>The Junior Lenders can still raise objections and we need to ensure that the plan passes two key criteria; 1) does not unfairly discriminate and 2) must be fair and equitable</w:t>
      </w:r>
      <w:r>
        <w:rPr>
          <w:rStyle w:val="FootnoteReference"/>
          <w:rFonts w:cstheme="minorHAnsi"/>
          <w:sz w:val="20"/>
          <w:szCs w:val="20"/>
        </w:rPr>
        <w:footnoteReference w:id="38"/>
      </w:r>
      <w:r>
        <w:rPr>
          <w:rFonts w:cstheme="minorHAnsi"/>
          <w:sz w:val="20"/>
          <w:szCs w:val="20"/>
        </w:rPr>
        <w:t xml:space="preserve">. </w:t>
      </w:r>
    </w:p>
    <w:p w:rsidR="00A05F88" w:rsidRDefault="00A05F88" w:rsidP="00A05F88">
      <w:pPr>
        <w:pStyle w:val="ListParagraph"/>
        <w:numPr>
          <w:ilvl w:val="2"/>
          <w:numId w:val="16"/>
        </w:numPr>
        <w:spacing w:line="360" w:lineRule="auto"/>
        <w:rPr>
          <w:rFonts w:cstheme="minorHAnsi"/>
          <w:sz w:val="20"/>
          <w:szCs w:val="20"/>
        </w:rPr>
      </w:pPr>
      <w:r>
        <w:rPr>
          <w:rFonts w:cstheme="minorHAnsi"/>
          <w:sz w:val="20"/>
          <w:szCs w:val="20"/>
        </w:rPr>
        <w:lastRenderedPageBreak/>
        <w:t xml:space="preserve">A plan would unfairly discriminate if another class of equal rank received more under the plan. As the Mezz Lenders have a higher rank they are entitled to receive more than the Junior Lenders and as such, the Plan does not unfairly discriminate. </w:t>
      </w:r>
      <w:r w:rsidR="004E0A79">
        <w:rPr>
          <w:rFonts w:cstheme="minorHAnsi"/>
          <w:sz w:val="20"/>
          <w:szCs w:val="20"/>
        </w:rPr>
        <w:t xml:space="preserve">Similarly, Maximov will not receive any payment in relation to the USD 100 million loan to Efwon Investments </w:t>
      </w:r>
      <w:r w:rsidR="00005697">
        <w:rPr>
          <w:rFonts w:cstheme="minorHAnsi"/>
          <w:sz w:val="20"/>
          <w:szCs w:val="20"/>
        </w:rPr>
        <w:t>due to its lack of security</w:t>
      </w:r>
      <w:r w:rsidR="004E0A79">
        <w:rPr>
          <w:rFonts w:cstheme="minorHAnsi"/>
          <w:sz w:val="20"/>
          <w:szCs w:val="20"/>
        </w:rPr>
        <w:t xml:space="preserve">. </w:t>
      </w:r>
    </w:p>
    <w:p w:rsidR="004E0A79" w:rsidRDefault="00A05F88" w:rsidP="00A05F88">
      <w:pPr>
        <w:pStyle w:val="ListParagraph"/>
        <w:numPr>
          <w:ilvl w:val="2"/>
          <w:numId w:val="16"/>
        </w:numPr>
        <w:spacing w:line="360" w:lineRule="auto"/>
        <w:rPr>
          <w:rFonts w:cstheme="minorHAnsi"/>
          <w:sz w:val="20"/>
          <w:szCs w:val="20"/>
        </w:rPr>
      </w:pPr>
      <w:r>
        <w:rPr>
          <w:rFonts w:cstheme="minorHAnsi"/>
          <w:sz w:val="20"/>
          <w:szCs w:val="20"/>
        </w:rPr>
        <w:t>The concept of fair and equitable has two limbs; 1) the absolute priority rule and 2) no payment in excess of allowed claim</w:t>
      </w:r>
      <w:r>
        <w:rPr>
          <w:rStyle w:val="FootnoteReference"/>
          <w:rFonts w:cstheme="minorHAnsi"/>
          <w:sz w:val="20"/>
          <w:szCs w:val="20"/>
        </w:rPr>
        <w:footnoteReference w:id="39"/>
      </w:r>
      <w:r>
        <w:rPr>
          <w:rFonts w:cstheme="minorHAnsi"/>
          <w:sz w:val="20"/>
          <w:szCs w:val="20"/>
        </w:rPr>
        <w:t xml:space="preserve">. </w:t>
      </w:r>
    </w:p>
    <w:p w:rsidR="00A05F88" w:rsidRDefault="004E0A79" w:rsidP="00A05F88">
      <w:pPr>
        <w:pStyle w:val="ListParagraph"/>
        <w:numPr>
          <w:ilvl w:val="2"/>
          <w:numId w:val="16"/>
        </w:numPr>
        <w:spacing w:line="360" w:lineRule="auto"/>
        <w:rPr>
          <w:rFonts w:cstheme="minorHAnsi"/>
          <w:sz w:val="20"/>
          <w:szCs w:val="20"/>
        </w:rPr>
      </w:pPr>
      <w:r>
        <w:rPr>
          <w:rFonts w:cstheme="minorHAnsi"/>
          <w:sz w:val="20"/>
          <w:szCs w:val="20"/>
        </w:rPr>
        <w:t>The Plan does involve Maximov retaining c.20% of the equity of Efwon Investments and therefore would be at risk of violating the rules of absolute priority as the equity investment ranks below that of the Junior Lenders. However, there is a New Value Exception to the absolute priority rule</w:t>
      </w:r>
      <w:r w:rsidR="00AA1D74">
        <w:rPr>
          <w:rFonts w:cstheme="minorHAnsi"/>
          <w:sz w:val="20"/>
          <w:szCs w:val="20"/>
        </w:rPr>
        <w:t xml:space="preserve"> which I consider will ensure the Plan does not fall foul of this rule as Maximov is contributing USD 2</w:t>
      </w:r>
      <w:r w:rsidR="0079569A">
        <w:rPr>
          <w:rFonts w:cstheme="minorHAnsi"/>
          <w:sz w:val="20"/>
          <w:szCs w:val="20"/>
        </w:rPr>
        <w:t>4.5</w:t>
      </w:r>
      <w:r w:rsidR="00AA1D74">
        <w:rPr>
          <w:rFonts w:cstheme="minorHAnsi"/>
          <w:sz w:val="20"/>
          <w:szCs w:val="20"/>
        </w:rPr>
        <w:t xml:space="preserve"> million to the Plan</w:t>
      </w:r>
      <w:r w:rsidR="00005697">
        <w:rPr>
          <w:rFonts w:cstheme="minorHAnsi"/>
          <w:sz w:val="20"/>
          <w:szCs w:val="20"/>
        </w:rPr>
        <w:t xml:space="preserve"> to part fund the F1 team’s business for the coming season</w:t>
      </w:r>
      <w:r>
        <w:rPr>
          <w:rFonts w:cstheme="minorHAnsi"/>
          <w:sz w:val="20"/>
          <w:szCs w:val="20"/>
        </w:rPr>
        <w:t xml:space="preserve">. </w:t>
      </w:r>
      <w:r w:rsidR="00AA1D74">
        <w:rPr>
          <w:rFonts w:cstheme="minorHAnsi"/>
          <w:sz w:val="20"/>
          <w:szCs w:val="20"/>
        </w:rPr>
        <w:t xml:space="preserve">It is noted that the new value must be </w:t>
      </w:r>
      <w:r w:rsidR="00AA1D74" w:rsidRPr="00AA1D74">
        <w:rPr>
          <w:rFonts w:cstheme="minorHAnsi"/>
          <w:sz w:val="20"/>
          <w:szCs w:val="20"/>
        </w:rPr>
        <w:t>i) new; (ii) substantial; (iii) necessary for the success of the plan; (iv) reasonably equivalent to the value retained; and (v) in the form of money or money's worth</w:t>
      </w:r>
      <w:r w:rsidR="00AA1D74">
        <w:rPr>
          <w:rStyle w:val="FootnoteReference"/>
          <w:rFonts w:cstheme="minorHAnsi"/>
          <w:sz w:val="20"/>
          <w:szCs w:val="20"/>
        </w:rPr>
        <w:footnoteReference w:id="40"/>
      </w:r>
      <w:r w:rsidR="00AA1D74">
        <w:rPr>
          <w:rFonts w:cstheme="minorHAnsi"/>
          <w:sz w:val="20"/>
          <w:szCs w:val="20"/>
        </w:rPr>
        <w:t xml:space="preserve"> and the investment from Maximov does seem to meet these criteria as the funding is needed for the team to function and the amount of USD 2</w:t>
      </w:r>
      <w:r w:rsidR="0079569A">
        <w:rPr>
          <w:rFonts w:cstheme="minorHAnsi"/>
          <w:sz w:val="20"/>
          <w:szCs w:val="20"/>
        </w:rPr>
        <w:t>4.5</w:t>
      </w:r>
      <w:r w:rsidR="00AA1D74">
        <w:rPr>
          <w:rFonts w:cstheme="minorHAnsi"/>
          <w:sz w:val="20"/>
          <w:szCs w:val="20"/>
        </w:rPr>
        <w:t xml:space="preserve"> million for c.10% interest in the F1 team is not substantially different from the USD 300 million assessed value</w:t>
      </w:r>
      <w:r w:rsidR="0079569A">
        <w:rPr>
          <w:rFonts w:cstheme="minorHAnsi"/>
          <w:sz w:val="20"/>
          <w:szCs w:val="20"/>
        </w:rPr>
        <w:t xml:space="preserve"> (i.e. USD 30 million for 10%)</w:t>
      </w:r>
      <w:r w:rsidR="00AA1D74">
        <w:rPr>
          <w:rFonts w:cstheme="minorHAnsi"/>
          <w:sz w:val="20"/>
          <w:szCs w:val="20"/>
        </w:rPr>
        <w:t xml:space="preserve">. </w:t>
      </w:r>
    </w:p>
    <w:p w:rsidR="00A57D52" w:rsidRDefault="00AA1D74" w:rsidP="00AA1D74">
      <w:pPr>
        <w:pStyle w:val="ListParagraph"/>
        <w:numPr>
          <w:ilvl w:val="1"/>
          <w:numId w:val="16"/>
        </w:numPr>
        <w:spacing w:line="360" w:lineRule="auto"/>
        <w:rPr>
          <w:rFonts w:cstheme="minorHAnsi"/>
          <w:sz w:val="20"/>
          <w:szCs w:val="20"/>
        </w:rPr>
      </w:pPr>
      <w:r>
        <w:rPr>
          <w:rFonts w:cstheme="minorHAnsi"/>
          <w:sz w:val="20"/>
          <w:szCs w:val="20"/>
        </w:rPr>
        <w:t xml:space="preserve">The Plan will also need to satisfy the “best interests of creditors test” which </w:t>
      </w:r>
      <w:r w:rsidR="00A57D52">
        <w:rPr>
          <w:rFonts w:cstheme="minorHAnsi"/>
          <w:sz w:val="20"/>
          <w:szCs w:val="20"/>
        </w:rPr>
        <w:t xml:space="preserve">is to ensure that creditors receive at least what </w:t>
      </w:r>
      <w:r w:rsidR="00005697">
        <w:rPr>
          <w:rFonts w:cstheme="minorHAnsi"/>
          <w:sz w:val="20"/>
          <w:szCs w:val="20"/>
        </w:rPr>
        <w:t xml:space="preserve">they </w:t>
      </w:r>
      <w:r w:rsidR="00A57D52">
        <w:rPr>
          <w:rFonts w:cstheme="minorHAnsi"/>
          <w:sz w:val="20"/>
          <w:szCs w:val="20"/>
        </w:rPr>
        <w:t>would receive under a Chapter 7 liquidation of the company</w:t>
      </w:r>
      <w:r w:rsidR="00A57D52">
        <w:rPr>
          <w:rStyle w:val="FootnoteReference"/>
          <w:rFonts w:cstheme="minorHAnsi"/>
          <w:sz w:val="20"/>
          <w:szCs w:val="20"/>
        </w:rPr>
        <w:footnoteReference w:id="41"/>
      </w:r>
      <w:r w:rsidR="00A57D52">
        <w:rPr>
          <w:rFonts w:cstheme="minorHAnsi"/>
          <w:sz w:val="20"/>
          <w:szCs w:val="20"/>
        </w:rPr>
        <w:t xml:space="preserve">. Given the value in liquidation as per the expert valuation report is only USD 20 million and </w:t>
      </w:r>
      <w:r w:rsidR="00005697">
        <w:rPr>
          <w:rFonts w:cstheme="minorHAnsi"/>
          <w:sz w:val="20"/>
          <w:szCs w:val="20"/>
        </w:rPr>
        <w:t>this would go to the Monaco Lender given their position in the waterfall. T</w:t>
      </w:r>
      <w:r w:rsidR="00A57D52">
        <w:rPr>
          <w:rFonts w:cstheme="minorHAnsi"/>
          <w:sz w:val="20"/>
          <w:szCs w:val="20"/>
        </w:rPr>
        <w:t xml:space="preserve">he </w:t>
      </w:r>
      <w:r w:rsidR="0079569A">
        <w:rPr>
          <w:rFonts w:cstheme="minorHAnsi"/>
          <w:sz w:val="20"/>
          <w:szCs w:val="20"/>
        </w:rPr>
        <w:t>security</w:t>
      </w:r>
      <w:r w:rsidR="00A57D52">
        <w:rPr>
          <w:rFonts w:cstheme="minorHAnsi"/>
          <w:sz w:val="20"/>
          <w:szCs w:val="20"/>
        </w:rPr>
        <w:t xml:space="preserve"> provided </w:t>
      </w:r>
      <w:r w:rsidR="00005697">
        <w:rPr>
          <w:rFonts w:cstheme="minorHAnsi"/>
          <w:sz w:val="20"/>
          <w:szCs w:val="20"/>
        </w:rPr>
        <w:t xml:space="preserve">to the US Lenders is </w:t>
      </w:r>
      <w:r w:rsidR="00A57D52">
        <w:rPr>
          <w:rFonts w:cstheme="minorHAnsi"/>
          <w:sz w:val="20"/>
          <w:szCs w:val="20"/>
        </w:rPr>
        <w:t xml:space="preserve">only valued at USD 75 million </w:t>
      </w:r>
      <w:r w:rsidR="00005697">
        <w:rPr>
          <w:rFonts w:cstheme="minorHAnsi"/>
          <w:sz w:val="20"/>
          <w:szCs w:val="20"/>
        </w:rPr>
        <w:t xml:space="preserve">and would </w:t>
      </w:r>
      <w:r w:rsidR="00A57D52">
        <w:rPr>
          <w:rFonts w:cstheme="minorHAnsi"/>
          <w:sz w:val="20"/>
          <w:szCs w:val="20"/>
        </w:rPr>
        <w:t xml:space="preserve">be insufficient to pay the Senior Lenders in full. </w:t>
      </w:r>
      <w:r w:rsidR="0079569A">
        <w:rPr>
          <w:rFonts w:cstheme="minorHAnsi"/>
          <w:sz w:val="20"/>
          <w:szCs w:val="20"/>
        </w:rPr>
        <w:t>As such,</w:t>
      </w:r>
      <w:r w:rsidR="00A57D52">
        <w:rPr>
          <w:rFonts w:cstheme="minorHAnsi"/>
          <w:sz w:val="20"/>
          <w:szCs w:val="20"/>
        </w:rPr>
        <w:t xml:space="preserve"> in a Chapter 7, the Junior Lenders would also have received </w:t>
      </w:r>
      <w:r w:rsidR="0079569A">
        <w:rPr>
          <w:rFonts w:cstheme="minorHAnsi"/>
          <w:sz w:val="20"/>
          <w:szCs w:val="20"/>
        </w:rPr>
        <w:t xml:space="preserve">a </w:t>
      </w:r>
      <w:r w:rsidR="00A57D52">
        <w:rPr>
          <w:rFonts w:cstheme="minorHAnsi"/>
          <w:sz w:val="20"/>
          <w:szCs w:val="20"/>
        </w:rPr>
        <w:t>zero return. Additionally, the Mezz Lenders would receive a zero return in a Chapter 7 liquidation</w:t>
      </w:r>
      <w:r w:rsidR="0079569A">
        <w:rPr>
          <w:rFonts w:cstheme="minorHAnsi"/>
          <w:sz w:val="20"/>
          <w:szCs w:val="20"/>
        </w:rPr>
        <w:t>,</w:t>
      </w:r>
      <w:r w:rsidR="00A57D52">
        <w:rPr>
          <w:rFonts w:cstheme="minorHAnsi"/>
          <w:sz w:val="20"/>
          <w:szCs w:val="20"/>
        </w:rPr>
        <w:t xml:space="preserve"> but </w:t>
      </w:r>
      <w:r w:rsidR="0079569A">
        <w:rPr>
          <w:rFonts w:cstheme="minorHAnsi"/>
          <w:sz w:val="20"/>
          <w:szCs w:val="20"/>
        </w:rPr>
        <w:t xml:space="preserve">they </w:t>
      </w:r>
      <w:r w:rsidR="00A57D52">
        <w:rPr>
          <w:rFonts w:cstheme="minorHAnsi"/>
          <w:sz w:val="20"/>
          <w:szCs w:val="20"/>
        </w:rPr>
        <w:t xml:space="preserve">are receiving </w:t>
      </w:r>
      <w:r w:rsidR="0079569A">
        <w:rPr>
          <w:rFonts w:cstheme="minorHAnsi"/>
          <w:sz w:val="20"/>
          <w:szCs w:val="20"/>
        </w:rPr>
        <w:t>substantially</w:t>
      </w:r>
      <w:r w:rsidR="00A57D52">
        <w:rPr>
          <w:rFonts w:cstheme="minorHAnsi"/>
          <w:sz w:val="20"/>
          <w:szCs w:val="20"/>
        </w:rPr>
        <w:t xml:space="preserve"> more under the Plan. </w:t>
      </w:r>
    </w:p>
    <w:p w:rsidR="00AA1D74" w:rsidRPr="007728B8" w:rsidRDefault="00A57D52" w:rsidP="00AA1D74">
      <w:pPr>
        <w:pStyle w:val="ListParagraph"/>
        <w:numPr>
          <w:ilvl w:val="1"/>
          <w:numId w:val="16"/>
        </w:numPr>
        <w:spacing w:line="360" w:lineRule="auto"/>
        <w:rPr>
          <w:rFonts w:cstheme="minorHAnsi"/>
          <w:sz w:val="20"/>
          <w:szCs w:val="20"/>
        </w:rPr>
      </w:pPr>
      <w:r>
        <w:rPr>
          <w:rFonts w:cstheme="minorHAnsi"/>
          <w:sz w:val="20"/>
          <w:szCs w:val="20"/>
        </w:rPr>
        <w:t>In conclusion, subject to final legal advice from a US bankruptcy attorney, the Plan should meet the relevant criteria to be passed and to cram down the Junior Lenders against their will</w:t>
      </w:r>
      <w:r w:rsidR="00005697">
        <w:rPr>
          <w:rFonts w:cstheme="minorHAnsi"/>
          <w:sz w:val="20"/>
          <w:szCs w:val="20"/>
        </w:rPr>
        <w:t xml:space="preserve"> and allow for a successful restructuring of the Efwon Group</w:t>
      </w:r>
      <w:r>
        <w:rPr>
          <w:rFonts w:cstheme="minorHAnsi"/>
          <w:sz w:val="20"/>
          <w:szCs w:val="20"/>
        </w:rPr>
        <w:t xml:space="preserve">. </w:t>
      </w:r>
    </w:p>
    <w:p w:rsidR="006E4DB6" w:rsidRPr="00F01134" w:rsidRDefault="006E4DB6" w:rsidP="006E4DB6">
      <w:pPr>
        <w:jc w:val="center"/>
        <w:rPr>
          <w:b/>
        </w:rPr>
      </w:pPr>
      <w:r>
        <w:rPr>
          <w:b/>
        </w:rPr>
        <w:lastRenderedPageBreak/>
        <w:t>BIBLIOGRAPHY</w:t>
      </w:r>
    </w:p>
    <w:p w:rsidR="00F567AC" w:rsidRPr="006E4DB6" w:rsidRDefault="00F567AC" w:rsidP="00F567AC">
      <w:pPr>
        <w:pStyle w:val="ListParagraph"/>
        <w:spacing w:line="360" w:lineRule="auto"/>
        <w:rPr>
          <w:rFonts w:cstheme="minorHAnsi"/>
          <w:sz w:val="20"/>
          <w:szCs w:val="20"/>
        </w:rPr>
      </w:pPr>
      <w:r w:rsidRPr="006E4DB6">
        <w:rPr>
          <w:rFonts w:cstheme="minorHAnsi"/>
          <w:sz w:val="20"/>
          <w:szCs w:val="20"/>
        </w:rPr>
        <w:t>Akin Gump. (2023). Restructuring Plans and Chapter 11: A Transatlantic Perspective. &lt;&lt; https://akingump.com/a/web/hRHTw5KiYyij47v1wrnGWX/4NXekx/financial-restructuring-in-depth-restructuring-plans-and-chapter-11-a-transatlantic-perspective-january-2023.pdf&gt;&gt; Accessed on 6 March 2024</w:t>
      </w:r>
    </w:p>
    <w:p w:rsidR="006E4DB6" w:rsidRPr="006E4DB6" w:rsidRDefault="006E4DB6" w:rsidP="007102A2">
      <w:pPr>
        <w:pStyle w:val="ListParagraph"/>
        <w:spacing w:line="360" w:lineRule="auto"/>
        <w:rPr>
          <w:rFonts w:cstheme="minorHAnsi"/>
          <w:sz w:val="20"/>
          <w:szCs w:val="20"/>
        </w:rPr>
      </w:pPr>
    </w:p>
    <w:p w:rsidR="006200AD" w:rsidRPr="006E4DB6" w:rsidRDefault="00CE0663" w:rsidP="007102A2">
      <w:pPr>
        <w:pStyle w:val="ListParagraph"/>
        <w:spacing w:line="360" w:lineRule="auto"/>
        <w:rPr>
          <w:rFonts w:cstheme="minorHAnsi"/>
          <w:sz w:val="20"/>
          <w:szCs w:val="20"/>
        </w:rPr>
      </w:pPr>
      <w:r w:rsidRPr="006E4DB6">
        <w:rPr>
          <w:rFonts w:cstheme="minorHAnsi"/>
          <w:sz w:val="20"/>
          <w:szCs w:val="20"/>
        </w:rPr>
        <w:t>Allen &amp; Overy. (2020). Restructuring Across Borders – Romania: Corporate restructuring and insolvency procedures. &lt;&lt; https://www.allenovery.com/global/-/media/allenovery/2_documents/practices/restructuring/restructuring_across_borders_final/romania.pdf&gt;&gt; Accessed on 3 March 2024</w:t>
      </w:r>
    </w:p>
    <w:p w:rsidR="006E4DB6" w:rsidRPr="006E4DB6" w:rsidRDefault="006E4DB6" w:rsidP="006200AD">
      <w:pPr>
        <w:pStyle w:val="ListParagraph"/>
        <w:spacing w:line="360" w:lineRule="auto"/>
        <w:rPr>
          <w:rFonts w:cstheme="minorHAnsi"/>
          <w:sz w:val="20"/>
          <w:szCs w:val="20"/>
        </w:rPr>
      </w:pPr>
    </w:p>
    <w:p w:rsidR="006200AD" w:rsidRPr="006E4DB6" w:rsidRDefault="006200AD" w:rsidP="006200AD">
      <w:pPr>
        <w:pStyle w:val="ListParagraph"/>
        <w:spacing w:line="360" w:lineRule="auto"/>
        <w:rPr>
          <w:rFonts w:cstheme="minorHAnsi"/>
          <w:sz w:val="20"/>
          <w:szCs w:val="20"/>
        </w:rPr>
      </w:pPr>
      <w:r w:rsidRPr="006E4DB6">
        <w:rPr>
          <w:rFonts w:cstheme="minorHAnsi"/>
          <w:sz w:val="20"/>
          <w:szCs w:val="20"/>
        </w:rPr>
        <w:t>Allen &amp; Overy. (2019). WHOA report. &lt;&lt; Allen &amp; Overy WHOA Report 2019 https://www.allenovery.com/global/-/media/allenovery/2_documents/news_and_insights/publications/2019/7/whoa-report.pdf&gt;&gt; Accessed on 10 March 2024</w:t>
      </w:r>
    </w:p>
    <w:p w:rsidR="006E4DB6" w:rsidRPr="006E4DB6" w:rsidRDefault="006E4DB6" w:rsidP="000143F3">
      <w:pPr>
        <w:pStyle w:val="ListParagraph"/>
        <w:spacing w:line="360" w:lineRule="auto"/>
        <w:rPr>
          <w:rFonts w:cstheme="minorHAnsi"/>
          <w:sz w:val="20"/>
          <w:szCs w:val="20"/>
        </w:rPr>
      </w:pPr>
    </w:p>
    <w:p w:rsidR="000143F3" w:rsidRPr="006E4DB6" w:rsidRDefault="000143F3" w:rsidP="000143F3">
      <w:pPr>
        <w:pStyle w:val="ListParagraph"/>
        <w:spacing w:line="360" w:lineRule="auto"/>
        <w:rPr>
          <w:rFonts w:cstheme="minorHAnsi"/>
          <w:sz w:val="20"/>
          <w:szCs w:val="20"/>
        </w:rPr>
      </w:pPr>
      <w:r w:rsidRPr="006E4DB6">
        <w:rPr>
          <w:rFonts w:cstheme="minorHAnsi"/>
          <w:sz w:val="20"/>
          <w:szCs w:val="20"/>
        </w:rPr>
        <w:t>Almedia, N. &amp; Dunne, D.F. (2023). Prepackaged Chapter 11 in the United States: An Overview. Global Restructuring Review. &lt;&lt; https://globalrestructuringreview.com/guide/the-art-of-the-pre-pack/edition-3/article/prepackaged-chapter-11-in-the-united-states-overview#:~:text=The%20acceptance%20of%20a%20Chapter,the%20holders%20of%20the%20claims.&gt;&gt; Accessed on 18 March 2024</w:t>
      </w:r>
    </w:p>
    <w:p w:rsidR="006E4DB6" w:rsidRPr="006E4DB6" w:rsidRDefault="006E4DB6" w:rsidP="00CE0663">
      <w:pPr>
        <w:pStyle w:val="ListParagraph"/>
        <w:spacing w:line="360" w:lineRule="auto"/>
        <w:rPr>
          <w:rFonts w:cstheme="minorHAnsi"/>
          <w:sz w:val="20"/>
          <w:szCs w:val="20"/>
        </w:rPr>
      </w:pPr>
    </w:p>
    <w:p w:rsidR="00CE0663" w:rsidRPr="006E4DB6" w:rsidRDefault="00CE0663" w:rsidP="00CE0663">
      <w:pPr>
        <w:pStyle w:val="ListParagraph"/>
        <w:spacing w:line="360" w:lineRule="auto"/>
        <w:rPr>
          <w:rFonts w:cstheme="minorHAnsi"/>
          <w:sz w:val="20"/>
          <w:szCs w:val="20"/>
        </w:rPr>
      </w:pPr>
      <w:r w:rsidRPr="006E4DB6">
        <w:rPr>
          <w:rFonts w:cstheme="minorHAnsi"/>
          <w:sz w:val="20"/>
          <w:szCs w:val="20"/>
        </w:rPr>
        <w:t>Arts, W. (2015). Main and Secondary Proceedings in the recast of the European Insolvency Regulation. &lt;&lt; https://www.iiiglobal.org/file.cfm/12/docs/2015_gold_arts_main_and_secondary_proceedings.pdf&gt;&gt; Accessed on 21 March 2024</w:t>
      </w:r>
    </w:p>
    <w:p w:rsidR="006E4DB6" w:rsidRPr="006E4DB6" w:rsidRDefault="006E4DB6" w:rsidP="006200AD">
      <w:pPr>
        <w:pStyle w:val="ListParagraph"/>
        <w:spacing w:line="360" w:lineRule="auto"/>
        <w:rPr>
          <w:rFonts w:cstheme="minorHAnsi"/>
          <w:sz w:val="20"/>
          <w:szCs w:val="20"/>
        </w:rPr>
      </w:pPr>
    </w:p>
    <w:p w:rsidR="006200AD" w:rsidRPr="006E4DB6" w:rsidRDefault="006200AD" w:rsidP="006200AD">
      <w:pPr>
        <w:pStyle w:val="ListParagraph"/>
        <w:spacing w:line="360" w:lineRule="auto"/>
        <w:rPr>
          <w:rFonts w:cstheme="minorHAnsi"/>
          <w:sz w:val="20"/>
          <w:szCs w:val="20"/>
        </w:rPr>
      </w:pPr>
      <w:r w:rsidRPr="006E4DB6">
        <w:rPr>
          <w:rFonts w:cstheme="minorHAnsi"/>
          <w:sz w:val="20"/>
          <w:szCs w:val="20"/>
        </w:rPr>
        <w:t>Ayer, J.D., Bernstein, M., &amp; Friedland, J. Confirming a Plan. American Bankruptcy Institute Journal. &lt;&lt; https://www.kirkland.com/siteFiles/kirkexp/publications/2365/Document1/Friedland%20-%20Confirming%20a%20Plan.pdf&gt;&gt; Accessed on 12 March 2024</w:t>
      </w:r>
    </w:p>
    <w:p w:rsidR="006E4DB6" w:rsidRPr="006E4DB6" w:rsidRDefault="006E4DB6" w:rsidP="00CE0663">
      <w:pPr>
        <w:pStyle w:val="ListParagraph"/>
        <w:spacing w:line="360" w:lineRule="auto"/>
        <w:rPr>
          <w:rFonts w:cstheme="minorHAnsi"/>
          <w:sz w:val="20"/>
          <w:szCs w:val="20"/>
        </w:rPr>
      </w:pPr>
    </w:p>
    <w:p w:rsidR="00CE0663" w:rsidRPr="006E4DB6" w:rsidRDefault="00CE0663" w:rsidP="00CE0663">
      <w:pPr>
        <w:pStyle w:val="ListParagraph"/>
        <w:spacing w:line="360" w:lineRule="auto"/>
        <w:rPr>
          <w:rFonts w:cstheme="minorHAnsi"/>
          <w:sz w:val="20"/>
          <w:szCs w:val="20"/>
        </w:rPr>
      </w:pPr>
      <w:r w:rsidRPr="006E4DB6">
        <w:rPr>
          <w:rFonts w:cstheme="minorHAnsi"/>
          <w:sz w:val="20"/>
          <w:szCs w:val="20"/>
        </w:rPr>
        <w:t>Chipper, I. The Romanian Insolvency Publication and Registration Requirements under Article 21</w:t>
      </w:r>
    </w:p>
    <w:p w:rsidR="00CE0663" w:rsidRPr="006E4DB6" w:rsidRDefault="00CE0663" w:rsidP="00CE0663">
      <w:pPr>
        <w:pStyle w:val="ListParagraph"/>
        <w:spacing w:line="360" w:lineRule="auto"/>
        <w:rPr>
          <w:rFonts w:cstheme="minorHAnsi"/>
          <w:sz w:val="20"/>
          <w:szCs w:val="20"/>
        </w:rPr>
      </w:pPr>
      <w:r w:rsidRPr="006E4DB6">
        <w:rPr>
          <w:rFonts w:cstheme="minorHAnsi"/>
          <w:sz w:val="20"/>
          <w:szCs w:val="20"/>
        </w:rPr>
        <w:t>and Article 22 of the European Insolvency Regulation. &lt;&lt;https://www.insol-europe.org/download/resource/142&gt;&gt; Accessed on 20 March 2024</w:t>
      </w:r>
    </w:p>
    <w:p w:rsidR="006E4DB6" w:rsidRPr="006E4DB6" w:rsidRDefault="006E4DB6" w:rsidP="00CE0663">
      <w:pPr>
        <w:pStyle w:val="ListParagraph"/>
        <w:spacing w:line="360" w:lineRule="auto"/>
        <w:rPr>
          <w:rFonts w:cstheme="minorHAnsi"/>
          <w:sz w:val="20"/>
          <w:szCs w:val="20"/>
        </w:rPr>
      </w:pPr>
    </w:p>
    <w:p w:rsidR="00CE0663" w:rsidRPr="006E4DB6" w:rsidRDefault="00CE0663" w:rsidP="00CE0663">
      <w:pPr>
        <w:pStyle w:val="ListParagraph"/>
        <w:spacing w:line="360" w:lineRule="auto"/>
        <w:rPr>
          <w:rFonts w:cstheme="minorHAnsi"/>
          <w:sz w:val="20"/>
          <w:szCs w:val="20"/>
        </w:rPr>
      </w:pPr>
      <w:r w:rsidRPr="006E4DB6">
        <w:rPr>
          <w:rFonts w:cstheme="minorHAnsi"/>
          <w:sz w:val="20"/>
          <w:szCs w:val="20"/>
        </w:rPr>
        <w:lastRenderedPageBreak/>
        <w:t>Craggs, M., Oliver, R., &amp; Thorn, M. (2021). Impact of Brexit on insolvency. &lt;&lt; https://www.nortonrosefulbright.com/en/knowledge/publications/fc0fb698/impact-of-brexit-on-insolvency&gt;&gt; Accessed on 20 March 2024</w:t>
      </w:r>
    </w:p>
    <w:p w:rsidR="006E4DB6" w:rsidRPr="006E4DB6" w:rsidRDefault="006E4DB6" w:rsidP="00CE0663">
      <w:pPr>
        <w:pStyle w:val="ListParagraph"/>
        <w:spacing w:line="360" w:lineRule="auto"/>
        <w:rPr>
          <w:rFonts w:cstheme="minorHAnsi"/>
          <w:sz w:val="20"/>
          <w:szCs w:val="20"/>
        </w:rPr>
      </w:pPr>
    </w:p>
    <w:p w:rsidR="00CE0663" w:rsidRPr="006E4DB6" w:rsidRDefault="00CE0663" w:rsidP="00CE0663">
      <w:pPr>
        <w:pStyle w:val="ListParagraph"/>
        <w:spacing w:line="360" w:lineRule="auto"/>
        <w:rPr>
          <w:rFonts w:cstheme="minorHAnsi"/>
          <w:sz w:val="20"/>
          <w:szCs w:val="20"/>
        </w:rPr>
      </w:pPr>
      <w:r w:rsidRPr="006E4DB6">
        <w:rPr>
          <w:rFonts w:cstheme="minorHAnsi"/>
          <w:sz w:val="20"/>
          <w:szCs w:val="20"/>
        </w:rPr>
        <w:t>Durlinger, K., Salah, O., &amp; van Hooijdonk, B. (2022). The Netherlands: UNCITRAL Model Law on Cross-Border Insolvency. &lt;&lt;https://www.nortonrosefulbright.com/en/knowledge/publications/cbfa12ac/netherlands-25th-anniversary-of the-model-law&gt;&gt; Accessed on 20 March 2024</w:t>
      </w:r>
    </w:p>
    <w:p w:rsidR="006200AD" w:rsidRPr="006E4DB6" w:rsidRDefault="006200AD" w:rsidP="007102A2">
      <w:pPr>
        <w:pStyle w:val="ListParagraph"/>
        <w:spacing w:line="360" w:lineRule="auto"/>
        <w:rPr>
          <w:rFonts w:cstheme="minorHAnsi"/>
          <w:sz w:val="20"/>
          <w:szCs w:val="20"/>
        </w:rPr>
      </w:pPr>
    </w:p>
    <w:p w:rsidR="006200AD" w:rsidRPr="006E4DB6" w:rsidRDefault="006200AD" w:rsidP="006200AD">
      <w:pPr>
        <w:pStyle w:val="ListParagraph"/>
        <w:spacing w:line="360" w:lineRule="auto"/>
        <w:rPr>
          <w:rFonts w:cstheme="minorHAnsi"/>
          <w:sz w:val="20"/>
          <w:szCs w:val="20"/>
        </w:rPr>
      </w:pPr>
      <w:r w:rsidRPr="006E4DB6">
        <w:rPr>
          <w:rFonts w:cstheme="minorHAnsi"/>
          <w:sz w:val="20"/>
          <w:szCs w:val="20"/>
        </w:rPr>
        <w:t>Houtfhoff. The New Dutch Act on the Confirmation of Out-of-Court Restructuring Plans. &lt;&lt;https://www.houthoff.com/-/media/6ee174f77b0c4e3797440e5a1cf1dd40.pdf&gt;&gt; Accessed on 10 March 2024</w:t>
      </w:r>
    </w:p>
    <w:p w:rsidR="006E4DB6" w:rsidRPr="006E4DB6" w:rsidRDefault="006E4DB6" w:rsidP="006200AD">
      <w:pPr>
        <w:pStyle w:val="ListParagraph"/>
        <w:spacing w:line="360" w:lineRule="auto"/>
        <w:rPr>
          <w:rFonts w:cstheme="minorHAnsi"/>
          <w:sz w:val="20"/>
          <w:szCs w:val="20"/>
        </w:rPr>
      </w:pPr>
    </w:p>
    <w:p w:rsidR="006200AD" w:rsidRPr="006E4DB6" w:rsidRDefault="006200AD" w:rsidP="006200AD">
      <w:pPr>
        <w:pStyle w:val="ListParagraph"/>
        <w:spacing w:line="360" w:lineRule="auto"/>
        <w:rPr>
          <w:rFonts w:cstheme="minorHAnsi"/>
          <w:sz w:val="20"/>
          <w:szCs w:val="20"/>
        </w:rPr>
      </w:pPr>
      <w:r w:rsidRPr="006E4DB6">
        <w:rPr>
          <w:rFonts w:cstheme="minorHAnsi"/>
          <w:sz w:val="20"/>
          <w:szCs w:val="20"/>
        </w:rPr>
        <w:t>In re GLOBAL OCEAN CARRIERS LIMITED, et al., Debtors. No. 00–955(MFW) to 00–969(MFW). | July 5, 2000. &lt;&lt; https://casetext.com/case/in-re-global-ocean-carriers-limited&gt;&gt; Accessed on 7 March 2024</w:t>
      </w:r>
    </w:p>
    <w:p w:rsidR="006E4DB6" w:rsidRPr="006E4DB6" w:rsidRDefault="006E4DB6" w:rsidP="00F567AC">
      <w:pPr>
        <w:pStyle w:val="ListParagraph"/>
        <w:spacing w:line="360" w:lineRule="auto"/>
        <w:rPr>
          <w:rFonts w:cstheme="minorHAnsi"/>
          <w:sz w:val="20"/>
          <w:szCs w:val="20"/>
        </w:rPr>
      </w:pPr>
    </w:p>
    <w:p w:rsidR="00F567AC" w:rsidRPr="006E4DB6" w:rsidRDefault="00F567AC" w:rsidP="00F567AC">
      <w:pPr>
        <w:pStyle w:val="ListParagraph"/>
        <w:spacing w:line="360" w:lineRule="auto"/>
        <w:rPr>
          <w:rFonts w:cstheme="minorHAnsi"/>
          <w:sz w:val="20"/>
          <w:szCs w:val="20"/>
        </w:rPr>
      </w:pPr>
      <w:r w:rsidRPr="006E4DB6">
        <w:rPr>
          <w:rFonts w:cstheme="minorHAnsi"/>
          <w:sz w:val="20"/>
          <w:szCs w:val="20"/>
        </w:rPr>
        <w:t>Kaplan, G.L. Understanding The Rules Of Bankruptcy Cramdown &lt;&lt;https://www.friedfrank.com/uploads/siteFiles/Publications/Understanding%20The%20Rules%20Of%20Bankruptcy%20Cramdown.pdf&gt;&gt; Accessed on 27 February 2024</w:t>
      </w:r>
    </w:p>
    <w:p w:rsidR="006E4DB6" w:rsidRPr="006E4DB6" w:rsidRDefault="006E4DB6" w:rsidP="006200AD">
      <w:pPr>
        <w:pStyle w:val="ListParagraph"/>
        <w:spacing w:line="360" w:lineRule="auto"/>
        <w:rPr>
          <w:rFonts w:cstheme="minorHAnsi"/>
          <w:sz w:val="20"/>
          <w:szCs w:val="20"/>
        </w:rPr>
      </w:pPr>
    </w:p>
    <w:p w:rsidR="006200AD" w:rsidRPr="006E4DB6" w:rsidRDefault="006200AD" w:rsidP="006200AD">
      <w:pPr>
        <w:pStyle w:val="ListParagraph"/>
        <w:spacing w:line="360" w:lineRule="auto"/>
        <w:rPr>
          <w:rFonts w:cstheme="minorHAnsi"/>
          <w:sz w:val="20"/>
          <w:szCs w:val="20"/>
        </w:rPr>
      </w:pPr>
      <w:r w:rsidRPr="006E4DB6">
        <w:rPr>
          <w:rFonts w:cstheme="minorHAnsi"/>
          <w:sz w:val="20"/>
          <w:szCs w:val="20"/>
        </w:rPr>
        <w:t>Loyens Loeff. WHOA - Dutch Scheme. &lt;&lt;https://www.loyensloeff.com/services/expertises/restructuring--insolvency/whoa/&gt;&gt; Accessed on 10 March 2024</w:t>
      </w:r>
    </w:p>
    <w:p w:rsidR="006E4DB6" w:rsidRPr="006E4DB6" w:rsidRDefault="006E4DB6" w:rsidP="006200AD">
      <w:pPr>
        <w:pStyle w:val="ListParagraph"/>
        <w:spacing w:line="360" w:lineRule="auto"/>
        <w:rPr>
          <w:rFonts w:cstheme="minorHAnsi"/>
          <w:sz w:val="20"/>
          <w:szCs w:val="20"/>
        </w:rPr>
      </w:pPr>
    </w:p>
    <w:p w:rsidR="006200AD" w:rsidRPr="006E4DB6" w:rsidRDefault="006200AD" w:rsidP="006200AD">
      <w:pPr>
        <w:pStyle w:val="ListParagraph"/>
        <w:spacing w:line="360" w:lineRule="auto"/>
        <w:rPr>
          <w:rFonts w:cstheme="minorHAnsi"/>
          <w:sz w:val="20"/>
          <w:szCs w:val="20"/>
        </w:rPr>
      </w:pPr>
      <w:r w:rsidRPr="006E4DB6">
        <w:rPr>
          <w:rFonts w:cstheme="minorHAnsi"/>
          <w:sz w:val="20"/>
          <w:szCs w:val="20"/>
        </w:rPr>
        <w:t>Osborne Clark. (2019). WHOA | The Dutch equivalent of the US Chapter 11 and UK Scheme of Arrangement is coming. &lt;&lt; https://www.osborneclarke.com/insights/whoa-dutch-equivalent-us-chapter-11-uk-scheme-arrangement-coming&gt;&gt; Accessed on 10 March 2024</w:t>
      </w:r>
    </w:p>
    <w:p w:rsidR="006E4DB6" w:rsidRPr="006E4DB6" w:rsidRDefault="006E4DB6" w:rsidP="00CE0663">
      <w:pPr>
        <w:pStyle w:val="ListParagraph"/>
        <w:spacing w:line="360" w:lineRule="auto"/>
        <w:rPr>
          <w:rFonts w:cstheme="minorHAnsi"/>
          <w:sz w:val="20"/>
          <w:szCs w:val="20"/>
        </w:rPr>
      </w:pPr>
    </w:p>
    <w:p w:rsidR="00CE0663" w:rsidRPr="006E4DB6" w:rsidRDefault="00CE0663" w:rsidP="00CE0663">
      <w:pPr>
        <w:pStyle w:val="ListParagraph"/>
        <w:spacing w:line="360" w:lineRule="auto"/>
        <w:rPr>
          <w:rFonts w:cstheme="minorHAnsi"/>
          <w:sz w:val="20"/>
          <w:szCs w:val="20"/>
        </w:rPr>
      </w:pPr>
      <w:r w:rsidRPr="006E4DB6">
        <w:rPr>
          <w:rFonts w:cstheme="minorHAnsi"/>
          <w:sz w:val="20"/>
          <w:szCs w:val="20"/>
        </w:rPr>
        <w:t>Schoenherr. (2017). Recast of the EU Regulation on Insolvency Law Applicable as of Today. &lt;&lt; https://www.schoenherr.eu/content/recast-of-the-eu-regulation-on-insolvency-law-applicable-as-of-today/&gt;&gt; Accessed on 21 March 2024</w:t>
      </w:r>
    </w:p>
    <w:p w:rsidR="006200AD" w:rsidRPr="006E4DB6" w:rsidRDefault="006200AD" w:rsidP="007102A2">
      <w:pPr>
        <w:pStyle w:val="ListParagraph"/>
        <w:spacing w:line="360" w:lineRule="auto"/>
        <w:rPr>
          <w:rFonts w:cstheme="minorHAnsi"/>
          <w:sz w:val="20"/>
          <w:szCs w:val="20"/>
        </w:rPr>
      </w:pPr>
    </w:p>
    <w:p w:rsidR="000143F3" w:rsidRPr="006E4DB6" w:rsidRDefault="000143F3" w:rsidP="000143F3">
      <w:pPr>
        <w:pStyle w:val="ListParagraph"/>
        <w:spacing w:line="360" w:lineRule="auto"/>
        <w:rPr>
          <w:rFonts w:cstheme="minorHAnsi"/>
          <w:sz w:val="20"/>
          <w:szCs w:val="20"/>
        </w:rPr>
      </w:pPr>
      <w:r w:rsidRPr="006E4DB6">
        <w:rPr>
          <w:rFonts w:cstheme="minorHAnsi"/>
          <w:sz w:val="20"/>
          <w:szCs w:val="20"/>
        </w:rPr>
        <w:t>Schuilwerve, D. (2023). The successful use of Dutch WHOA schemes in international restructurings. &lt;&lt; https://www.vbk.nl/en/legalupdate/successful-use-dutch-whoa-schemes-international-restructurings&gt;&gt; Accessed on 10 March 2024</w:t>
      </w:r>
    </w:p>
    <w:p w:rsidR="006E4DB6" w:rsidRPr="006E4DB6" w:rsidRDefault="006E4DB6" w:rsidP="000143F3">
      <w:pPr>
        <w:pStyle w:val="ListParagraph"/>
        <w:spacing w:line="360" w:lineRule="auto"/>
        <w:rPr>
          <w:rFonts w:cstheme="minorHAnsi"/>
          <w:sz w:val="20"/>
          <w:szCs w:val="20"/>
        </w:rPr>
      </w:pPr>
    </w:p>
    <w:p w:rsidR="006E4DB6" w:rsidRPr="006E4DB6" w:rsidRDefault="006E4DB6" w:rsidP="006E4DB6">
      <w:pPr>
        <w:pStyle w:val="ListParagraph"/>
        <w:spacing w:line="360" w:lineRule="auto"/>
        <w:rPr>
          <w:rFonts w:cstheme="minorHAnsi"/>
          <w:sz w:val="20"/>
          <w:szCs w:val="20"/>
        </w:rPr>
      </w:pPr>
      <w:r w:rsidRPr="006E4DB6">
        <w:rPr>
          <w:rFonts w:cstheme="minorHAnsi"/>
          <w:sz w:val="20"/>
          <w:szCs w:val="20"/>
        </w:rPr>
        <w:lastRenderedPageBreak/>
        <w:t xml:space="preserve">The Restructure of Corporate Groups – A Global Analysis of Substantive, Procedural and Synthetic Group Procedures. INSOL International. &lt;https://www.bairdholm.com/wp-content/uploads/2022/06/The-Restructuring-of-Corporate-Groups-USA-Chapter-by-Jeremy-C.-Hollembeak-of-Baird-Holm-LLP.pdf&gt;&gt; Accessed on 28 February 2024 </w:t>
      </w:r>
    </w:p>
    <w:p w:rsidR="006E4DB6" w:rsidRPr="006E4DB6" w:rsidRDefault="006E4DB6" w:rsidP="000143F3">
      <w:pPr>
        <w:pStyle w:val="ListParagraph"/>
        <w:spacing w:line="360" w:lineRule="auto"/>
        <w:rPr>
          <w:rFonts w:cstheme="minorHAnsi"/>
          <w:sz w:val="20"/>
          <w:szCs w:val="20"/>
        </w:rPr>
      </w:pPr>
    </w:p>
    <w:p w:rsidR="000143F3" w:rsidRPr="006E4DB6" w:rsidRDefault="000143F3" w:rsidP="000143F3">
      <w:pPr>
        <w:pStyle w:val="ListParagraph"/>
        <w:spacing w:line="360" w:lineRule="auto"/>
        <w:rPr>
          <w:rFonts w:cstheme="minorHAnsi"/>
          <w:sz w:val="20"/>
          <w:szCs w:val="20"/>
        </w:rPr>
      </w:pPr>
      <w:r w:rsidRPr="006E4DB6">
        <w:rPr>
          <w:rFonts w:cstheme="minorHAnsi"/>
          <w:sz w:val="20"/>
          <w:szCs w:val="20"/>
        </w:rPr>
        <w:t>UNCITRAL Model Law on Cross-Border Insolvency with Guide to Enactment and Interpretation. &lt;&lt; https://uncitral.un.org/sites/uncitral.un.org/files/media-documents/uncitral/en/1997-model-law-insol-2013-guide-enactment-e.pdf&gt;&gt; Accessed on 18 March 2024</w:t>
      </w:r>
    </w:p>
    <w:p w:rsidR="00CE0663" w:rsidRPr="006E4DB6" w:rsidRDefault="00CE0663" w:rsidP="00CE0663">
      <w:pPr>
        <w:pStyle w:val="ListParagraph"/>
        <w:spacing w:line="360" w:lineRule="auto"/>
        <w:rPr>
          <w:rFonts w:cstheme="minorHAnsi"/>
          <w:sz w:val="20"/>
          <w:szCs w:val="20"/>
        </w:rPr>
      </w:pPr>
      <w:r w:rsidRPr="006E4DB6">
        <w:rPr>
          <w:rFonts w:cstheme="minorHAnsi"/>
          <w:sz w:val="20"/>
          <w:szCs w:val="20"/>
        </w:rPr>
        <w:t>United Nations. Status: UNCITRAL Model Law on Cross-Border Insolvency (1997). &lt;&lt; https://uncitral.un.org/en/texts/insolvency/modellaw/cross-border_insolvency/status&gt;&gt; Accessed on</w:t>
      </w:r>
    </w:p>
    <w:p w:rsidR="00CE0663" w:rsidRPr="006E4DB6" w:rsidRDefault="00CE0663" w:rsidP="00CE0663">
      <w:pPr>
        <w:pStyle w:val="ListParagraph"/>
        <w:spacing w:line="360" w:lineRule="auto"/>
        <w:rPr>
          <w:rFonts w:cstheme="minorHAnsi"/>
          <w:sz w:val="20"/>
          <w:szCs w:val="20"/>
        </w:rPr>
      </w:pPr>
      <w:r w:rsidRPr="006E4DB6">
        <w:rPr>
          <w:rFonts w:cstheme="minorHAnsi"/>
          <w:sz w:val="20"/>
          <w:szCs w:val="20"/>
        </w:rPr>
        <w:t>18 March 2024</w:t>
      </w:r>
    </w:p>
    <w:p w:rsidR="000143F3" w:rsidRPr="006E4DB6" w:rsidRDefault="000143F3" w:rsidP="000143F3">
      <w:pPr>
        <w:pStyle w:val="ListParagraph"/>
        <w:spacing w:line="360" w:lineRule="auto"/>
        <w:rPr>
          <w:rFonts w:cstheme="minorHAnsi"/>
          <w:sz w:val="20"/>
          <w:szCs w:val="20"/>
        </w:rPr>
      </w:pPr>
    </w:p>
    <w:p w:rsidR="000143F3" w:rsidRPr="006E4DB6" w:rsidRDefault="000143F3" w:rsidP="000143F3">
      <w:pPr>
        <w:pStyle w:val="ListParagraph"/>
        <w:spacing w:line="360" w:lineRule="auto"/>
        <w:rPr>
          <w:rFonts w:cstheme="minorHAnsi"/>
          <w:sz w:val="20"/>
          <w:szCs w:val="20"/>
        </w:rPr>
      </w:pPr>
      <w:r w:rsidRPr="006E4DB6">
        <w:rPr>
          <w:rFonts w:cstheme="minorHAnsi"/>
          <w:sz w:val="20"/>
          <w:szCs w:val="20"/>
        </w:rPr>
        <w:t>United Nations. UNCITRAL Model Law on Cross-Border Insolvency. &lt;&lt; https://uncitral.un.org/en/texts/insolvency#:~:text=The%20UNCITRAL%20Model%20Law%20on,severe%20financial%20distress%20or%20insolvency.&gt;&gt; Accessed on 18 March 2024</w:t>
      </w:r>
    </w:p>
    <w:p w:rsidR="000143F3" w:rsidRPr="006E4DB6" w:rsidRDefault="000143F3" w:rsidP="000143F3">
      <w:pPr>
        <w:pStyle w:val="ListParagraph"/>
        <w:spacing w:line="360" w:lineRule="auto"/>
        <w:rPr>
          <w:rFonts w:cstheme="minorHAnsi"/>
          <w:sz w:val="20"/>
          <w:szCs w:val="20"/>
        </w:rPr>
      </w:pPr>
    </w:p>
    <w:p w:rsidR="000143F3" w:rsidRPr="006E4DB6" w:rsidRDefault="000143F3" w:rsidP="000143F3">
      <w:pPr>
        <w:pStyle w:val="ListParagraph"/>
        <w:spacing w:line="360" w:lineRule="auto"/>
        <w:rPr>
          <w:rFonts w:cstheme="minorHAnsi"/>
          <w:sz w:val="20"/>
          <w:szCs w:val="20"/>
        </w:rPr>
      </w:pPr>
      <w:r w:rsidRPr="006E4DB6">
        <w:rPr>
          <w:rFonts w:cstheme="minorHAnsi"/>
          <w:sz w:val="20"/>
          <w:szCs w:val="20"/>
        </w:rPr>
        <w:t>United States Courts. Chapter 11 - Bankruptcy Basics. &lt;&lt; https://www.uscourts.gov/services-forms/bankruptcy/bankruptcy-basics/chapter-11-bankruptcy-basics#:~:text=A%20case%20filed%20under%20chapter,court%20approval%2C%20borrow%20new%20money.&gt;&gt; Accessed on 7 March 2024.</w:t>
      </w:r>
    </w:p>
    <w:p w:rsidR="006200AD" w:rsidRPr="006E4DB6" w:rsidRDefault="006200AD" w:rsidP="007102A2">
      <w:pPr>
        <w:pStyle w:val="ListParagraph"/>
        <w:spacing w:line="360" w:lineRule="auto"/>
        <w:rPr>
          <w:rFonts w:cstheme="minorHAnsi"/>
          <w:sz w:val="20"/>
          <w:szCs w:val="20"/>
        </w:rPr>
      </w:pPr>
    </w:p>
    <w:p w:rsidR="0035232E" w:rsidRPr="006E4DB6" w:rsidRDefault="006200AD" w:rsidP="007102A2">
      <w:pPr>
        <w:pStyle w:val="ListParagraph"/>
        <w:spacing w:line="360" w:lineRule="auto"/>
        <w:rPr>
          <w:rFonts w:cstheme="minorHAnsi"/>
          <w:sz w:val="20"/>
          <w:szCs w:val="20"/>
        </w:rPr>
      </w:pPr>
      <w:r w:rsidRPr="006E4DB6">
        <w:rPr>
          <w:rFonts w:cstheme="minorHAnsi"/>
          <w:sz w:val="20"/>
          <w:szCs w:val="20"/>
        </w:rPr>
        <w:t>USD Libor historical rates. &lt;&lt; https://www.global-rates.com/en/interest-rates/libor/american-dollar/&gt;&gt; Accessed on 2 March 2024</w:t>
      </w:r>
    </w:p>
    <w:p w:rsidR="006E4DB6" w:rsidRPr="006E4DB6" w:rsidRDefault="006E4DB6" w:rsidP="006200AD">
      <w:pPr>
        <w:pStyle w:val="ListParagraph"/>
        <w:spacing w:line="360" w:lineRule="auto"/>
        <w:rPr>
          <w:rFonts w:cstheme="minorHAnsi"/>
          <w:sz w:val="20"/>
          <w:szCs w:val="20"/>
        </w:rPr>
      </w:pPr>
    </w:p>
    <w:p w:rsidR="006200AD" w:rsidRPr="006E4DB6" w:rsidRDefault="006200AD" w:rsidP="006200AD">
      <w:pPr>
        <w:pStyle w:val="ListParagraph"/>
        <w:spacing w:line="360" w:lineRule="auto"/>
        <w:rPr>
          <w:rFonts w:cstheme="minorHAnsi"/>
          <w:sz w:val="20"/>
          <w:szCs w:val="20"/>
        </w:rPr>
      </w:pPr>
      <w:r w:rsidRPr="006E4DB6">
        <w:rPr>
          <w:rFonts w:cstheme="minorHAnsi"/>
          <w:sz w:val="20"/>
          <w:szCs w:val="20"/>
        </w:rPr>
        <w:t xml:space="preserve">Warner, R. (2023). Overview of US Chapter 11. Insol Global Insolvency Practice Course notes. </w:t>
      </w:r>
    </w:p>
    <w:p w:rsidR="006200AD" w:rsidRPr="006E4DB6" w:rsidRDefault="006200AD" w:rsidP="006200AD">
      <w:pPr>
        <w:pStyle w:val="ListParagraph"/>
        <w:spacing w:line="360" w:lineRule="auto"/>
        <w:rPr>
          <w:rFonts w:cstheme="minorHAnsi"/>
          <w:sz w:val="20"/>
          <w:szCs w:val="20"/>
        </w:rPr>
      </w:pPr>
    </w:p>
    <w:p w:rsidR="006200AD" w:rsidRPr="006E4DB6" w:rsidRDefault="006200AD" w:rsidP="006200AD">
      <w:pPr>
        <w:pStyle w:val="ListParagraph"/>
        <w:spacing w:line="360" w:lineRule="auto"/>
        <w:rPr>
          <w:rFonts w:cstheme="minorHAnsi"/>
          <w:sz w:val="20"/>
          <w:szCs w:val="20"/>
        </w:rPr>
      </w:pPr>
      <w:r w:rsidRPr="006E4DB6">
        <w:rPr>
          <w:rFonts w:cstheme="minorHAnsi"/>
          <w:sz w:val="20"/>
          <w:szCs w:val="20"/>
        </w:rPr>
        <w:t>Wessels, B. (2023). The Dutch WHOA scheme as a successful tool in international restructurings. &lt;&lt;</w:t>
      </w:r>
      <w:hyperlink r:id="rId10" w:anchor=":~:text=The%20WHOA's%20sanction%20and%20recognition,successfully%20completed%20Chapter%2011%20proceedings" w:history="1">
        <w:r w:rsidRPr="006E4DB6">
          <w:rPr>
            <w:rStyle w:val="Hyperlink"/>
            <w:rFonts w:cstheme="minorHAnsi"/>
            <w:sz w:val="20"/>
            <w:szCs w:val="20"/>
          </w:rPr>
          <w:t>https://bobwessels.nl/blog/2023-12-doc1-the-dutch-whoa-scheme-as-a-successful-tool-in-international-restructurings/#:~:text=The%20WHOA's%20sanction%20and%20recognition,successfully%20completed%20Chapter%2011%20proceedings</w:t>
        </w:r>
      </w:hyperlink>
      <w:r w:rsidRPr="006E4DB6">
        <w:rPr>
          <w:rFonts w:cstheme="minorHAnsi"/>
          <w:sz w:val="20"/>
          <w:szCs w:val="20"/>
        </w:rPr>
        <w:t>.&gt;&gt; Accessed on 10 March 2024</w:t>
      </w:r>
    </w:p>
    <w:p w:rsidR="006E4DB6" w:rsidRPr="006E4DB6" w:rsidRDefault="006E4DB6" w:rsidP="00CE0663">
      <w:pPr>
        <w:pStyle w:val="ListParagraph"/>
        <w:spacing w:line="360" w:lineRule="auto"/>
        <w:rPr>
          <w:rFonts w:cstheme="minorHAnsi"/>
          <w:sz w:val="20"/>
          <w:szCs w:val="20"/>
        </w:rPr>
      </w:pPr>
    </w:p>
    <w:p w:rsidR="00CE0663" w:rsidRPr="006E4DB6" w:rsidRDefault="00CE0663" w:rsidP="00CE0663">
      <w:pPr>
        <w:pStyle w:val="ListParagraph"/>
        <w:spacing w:line="360" w:lineRule="auto"/>
        <w:rPr>
          <w:rFonts w:cstheme="minorHAnsi"/>
          <w:sz w:val="20"/>
          <w:szCs w:val="20"/>
        </w:rPr>
      </w:pPr>
      <w:r w:rsidRPr="006E4DB6">
        <w:rPr>
          <w:rFonts w:cstheme="minorHAnsi"/>
          <w:sz w:val="20"/>
          <w:szCs w:val="20"/>
        </w:rPr>
        <w:t>Wolff, C. (2015). New EU Regulation on Insolvency Proceedings. &lt;&lt; https://www.paulhastings.com/insights/client-alerts/new-eu-regulation-on-insolvency-proceedings&gt;&gt; Accessed on 21 March 2024</w:t>
      </w:r>
    </w:p>
    <w:p w:rsidR="006200AD" w:rsidRPr="006E4DB6" w:rsidRDefault="00CE0663" w:rsidP="006200AD">
      <w:pPr>
        <w:pStyle w:val="ListParagraph"/>
        <w:spacing w:line="360" w:lineRule="auto"/>
        <w:rPr>
          <w:rFonts w:cstheme="minorHAnsi"/>
          <w:sz w:val="20"/>
          <w:szCs w:val="20"/>
        </w:rPr>
      </w:pPr>
      <w:r w:rsidRPr="006E4DB6">
        <w:rPr>
          <w:rFonts w:cstheme="minorHAnsi"/>
          <w:sz w:val="20"/>
          <w:szCs w:val="20"/>
        </w:rPr>
        <w:lastRenderedPageBreak/>
        <w:t>Weil. (2015). Section 109(a) – Filing a Chapter 11 Case for a Foreign Business. &lt;&lt; https://restructuring.weil.com/breaking-the-code/section-109a-filing-a-chapter-11-case-for-a-foreign-business/&gt;&gt; Accessed on 25 February 2024</w:t>
      </w:r>
    </w:p>
    <w:p w:rsidR="006E4DB6" w:rsidRPr="006E4DB6" w:rsidRDefault="006E4DB6" w:rsidP="006200AD">
      <w:pPr>
        <w:pStyle w:val="ListParagraph"/>
        <w:spacing w:line="360" w:lineRule="auto"/>
        <w:rPr>
          <w:rFonts w:cstheme="minorHAnsi"/>
          <w:sz w:val="20"/>
          <w:szCs w:val="20"/>
        </w:rPr>
      </w:pPr>
    </w:p>
    <w:p w:rsidR="006200AD" w:rsidRPr="006E4DB6" w:rsidRDefault="006200AD" w:rsidP="006200AD">
      <w:pPr>
        <w:pStyle w:val="ListParagraph"/>
        <w:spacing w:line="360" w:lineRule="auto"/>
        <w:rPr>
          <w:rFonts w:cstheme="minorHAnsi"/>
          <w:sz w:val="20"/>
          <w:szCs w:val="20"/>
        </w:rPr>
      </w:pPr>
      <w:r w:rsidRPr="006E4DB6">
        <w:rPr>
          <w:rFonts w:cstheme="minorHAnsi"/>
          <w:sz w:val="20"/>
          <w:szCs w:val="20"/>
        </w:rPr>
        <w:t>Zamfirescu, A.M. (2023). Romania: New pre-insolvency proceedings. Accessed at &lt;&lt;https://bnt.eu/legal-news/romania-new-pre-insolvency-proceedings/&gt;&gt; Accessed on 24 February 2024</w:t>
      </w:r>
    </w:p>
    <w:p w:rsidR="006200AD" w:rsidRDefault="006200AD" w:rsidP="006200AD">
      <w:pPr>
        <w:pStyle w:val="ListParagraph"/>
        <w:spacing w:line="360" w:lineRule="auto"/>
        <w:rPr>
          <w:rFonts w:cstheme="minorHAnsi"/>
          <w:sz w:val="20"/>
          <w:szCs w:val="20"/>
        </w:rPr>
      </w:pPr>
    </w:p>
    <w:p w:rsidR="000143F3" w:rsidRDefault="000143F3" w:rsidP="006200AD">
      <w:pPr>
        <w:pStyle w:val="ListParagraph"/>
        <w:spacing w:line="360" w:lineRule="auto"/>
        <w:rPr>
          <w:rFonts w:cstheme="minorHAnsi"/>
          <w:sz w:val="20"/>
          <w:szCs w:val="20"/>
        </w:rPr>
      </w:pPr>
    </w:p>
    <w:p w:rsidR="000143F3" w:rsidRDefault="000143F3" w:rsidP="000143F3">
      <w:pPr>
        <w:pStyle w:val="ListParagraph"/>
        <w:spacing w:line="360" w:lineRule="auto"/>
        <w:rPr>
          <w:rFonts w:cstheme="minorHAnsi"/>
          <w:sz w:val="20"/>
          <w:szCs w:val="20"/>
        </w:rPr>
      </w:pPr>
    </w:p>
    <w:sectPr w:rsidR="000143F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280" w:rsidRDefault="007A3280" w:rsidP="00267BB1">
      <w:pPr>
        <w:spacing w:after="0" w:line="240" w:lineRule="auto"/>
      </w:pPr>
      <w:r>
        <w:separator/>
      </w:r>
    </w:p>
  </w:endnote>
  <w:endnote w:type="continuationSeparator" w:id="0">
    <w:p w:rsidR="007A3280" w:rsidRDefault="007A3280" w:rsidP="0026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057284"/>
      <w:docPartObj>
        <w:docPartGallery w:val="Page Numbers (Bottom of Page)"/>
        <w:docPartUnique/>
      </w:docPartObj>
    </w:sdtPr>
    <w:sdtEndPr>
      <w:rPr>
        <w:noProof/>
      </w:rPr>
    </w:sdtEndPr>
    <w:sdtContent>
      <w:p w:rsidR="0017036C" w:rsidRDefault="001703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7036C" w:rsidRDefault="00170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280" w:rsidRDefault="007A3280" w:rsidP="00267BB1">
      <w:pPr>
        <w:spacing w:after="0" w:line="240" w:lineRule="auto"/>
      </w:pPr>
      <w:r>
        <w:separator/>
      </w:r>
    </w:p>
  </w:footnote>
  <w:footnote w:type="continuationSeparator" w:id="0">
    <w:p w:rsidR="007A3280" w:rsidRDefault="007A3280" w:rsidP="00267BB1">
      <w:pPr>
        <w:spacing w:after="0" w:line="240" w:lineRule="auto"/>
      </w:pPr>
      <w:r>
        <w:continuationSeparator/>
      </w:r>
    </w:p>
  </w:footnote>
  <w:footnote w:id="1">
    <w:p w:rsidR="00267BB1" w:rsidRPr="00392BC6" w:rsidRDefault="00267BB1">
      <w:pPr>
        <w:pStyle w:val="FootnoteText"/>
      </w:pPr>
      <w:r>
        <w:rPr>
          <w:rStyle w:val="FootnoteReference"/>
        </w:rPr>
        <w:footnoteRef/>
      </w:r>
      <w:r>
        <w:t xml:space="preserve"> </w:t>
      </w:r>
      <w:r w:rsidR="00392BC6">
        <w:t xml:space="preserve">USD Libor historical rates. &lt;&lt; </w:t>
      </w:r>
      <w:hyperlink r:id="rId1" w:history="1">
        <w:r w:rsidR="00392BC6" w:rsidRPr="006D4936">
          <w:rPr>
            <w:rStyle w:val="Hyperlink"/>
          </w:rPr>
          <w:t>https://www.global-rates.com/en/interest-rates/libor/american-dollar/</w:t>
        </w:r>
      </w:hyperlink>
      <w:r w:rsidR="00392BC6">
        <w:rPr>
          <w:rStyle w:val="Hyperlink"/>
        </w:rPr>
        <w:t xml:space="preserve">&gt;&gt; </w:t>
      </w:r>
      <w:r w:rsidR="00392BC6">
        <w:rPr>
          <w:rStyle w:val="Hyperlink"/>
          <w:color w:val="auto"/>
          <w:u w:val="none"/>
        </w:rPr>
        <w:t>Accessed on 2 March 2024</w:t>
      </w:r>
    </w:p>
    <w:p w:rsidR="00267BB1" w:rsidRPr="00267BB1" w:rsidRDefault="00267BB1">
      <w:pPr>
        <w:pStyle w:val="FootnoteText"/>
        <w:rPr>
          <w:lang w:val="en-US"/>
        </w:rPr>
      </w:pPr>
    </w:p>
  </w:footnote>
  <w:footnote w:id="2">
    <w:p w:rsidR="00461336" w:rsidRPr="00C32AEF" w:rsidRDefault="00461336" w:rsidP="00461336">
      <w:pPr>
        <w:pStyle w:val="FootnoteText"/>
      </w:pPr>
      <w:r>
        <w:rPr>
          <w:rStyle w:val="FootnoteReference"/>
        </w:rPr>
        <w:footnoteRef/>
      </w:r>
      <w:r>
        <w:t xml:space="preserve"> </w:t>
      </w:r>
      <w:r w:rsidR="00392BC6">
        <w:t xml:space="preserve">Zamfirescu, A.M. (2023). </w:t>
      </w:r>
      <w:r w:rsidR="00392BC6" w:rsidRPr="00E517CD">
        <w:t>Romania: New pre-insolvency proceedings</w:t>
      </w:r>
      <w:r w:rsidR="00392BC6">
        <w:t>. Accessed at &lt;&lt;</w:t>
      </w:r>
      <w:hyperlink r:id="rId2" w:history="1">
        <w:r w:rsidR="00392BC6" w:rsidRPr="000D114C">
          <w:rPr>
            <w:rStyle w:val="Hyperlink"/>
          </w:rPr>
          <w:t>https://bnt.eu/legal-news/romania-new-pre-insolvency-proceedings/</w:t>
        </w:r>
      </w:hyperlink>
      <w:r w:rsidR="00392BC6">
        <w:t>&gt;&gt; Accessed on 24 February 2024</w:t>
      </w:r>
    </w:p>
  </w:footnote>
  <w:footnote w:id="3">
    <w:p w:rsidR="00461336" w:rsidRPr="00C32AEF" w:rsidRDefault="00461336" w:rsidP="00461336">
      <w:pPr>
        <w:pStyle w:val="FootnoteText"/>
      </w:pPr>
      <w:r>
        <w:rPr>
          <w:rStyle w:val="FootnoteReference"/>
        </w:rPr>
        <w:footnoteRef/>
      </w:r>
      <w:r>
        <w:t xml:space="preserve"> </w:t>
      </w:r>
      <w:r w:rsidR="00392BC6">
        <w:t>ibid.</w:t>
      </w:r>
    </w:p>
  </w:footnote>
  <w:footnote w:id="4">
    <w:p w:rsidR="00461336" w:rsidRPr="00191E6C" w:rsidRDefault="00461336" w:rsidP="00461336">
      <w:pPr>
        <w:pStyle w:val="FootnoteText"/>
      </w:pPr>
      <w:r>
        <w:rPr>
          <w:rStyle w:val="FootnoteReference"/>
        </w:rPr>
        <w:footnoteRef/>
      </w:r>
      <w:r>
        <w:t xml:space="preserve"> </w:t>
      </w:r>
      <w:r w:rsidR="00392BC6">
        <w:t>ibid.</w:t>
      </w:r>
    </w:p>
  </w:footnote>
  <w:footnote w:id="5">
    <w:p w:rsidR="00461336" w:rsidRPr="00E4672C" w:rsidRDefault="00461336" w:rsidP="00461336">
      <w:pPr>
        <w:pStyle w:val="FootnoteText"/>
      </w:pPr>
      <w:r>
        <w:rPr>
          <w:rStyle w:val="FootnoteReference"/>
        </w:rPr>
        <w:footnoteRef/>
      </w:r>
      <w:r>
        <w:t xml:space="preserve"> </w:t>
      </w:r>
      <w:r w:rsidR="00392BC6" w:rsidRPr="00392BC6">
        <w:t>Osborne Clark. (2019). WHOA | The Dutch equivalent of the US Chapter 11 and UK Scheme of Arrangement is coming. &lt;&lt; https://www.osborneclarke.com/insights/whoa-dutch-equivalent-us-chapter-11-uk-scheme-arrangement-coming&gt;&gt; Accessed on</w:t>
      </w:r>
      <w:r w:rsidR="00392BC6">
        <w:t xml:space="preserve"> 10 March 2024</w:t>
      </w:r>
    </w:p>
  </w:footnote>
  <w:footnote w:id="6">
    <w:p w:rsidR="00461336" w:rsidRPr="00E4672C" w:rsidRDefault="00461336" w:rsidP="00461336">
      <w:pPr>
        <w:pStyle w:val="FootnoteText"/>
      </w:pPr>
      <w:r>
        <w:rPr>
          <w:rStyle w:val="FootnoteReference"/>
        </w:rPr>
        <w:footnoteRef/>
      </w:r>
      <w:r>
        <w:t xml:space="preserve"> </w:t>
      </w:r>
      <w:r w:rsidR="00392BC6">
        <w:t>Houtfhoff. The New Dutch Act on the Confirmation of Out-of-Court Restructuring Plans. &lt;&lt;</w:t>
      </w:r>
      <w:hyperlink r:id="rId3" w:history="1">
        <w:r w:rsidR="00392BC6" w:rsidRPr="000D114C">
          <w:rPr>
            <w:rStyle w:val="Hyperlink"/>
          </w:rPr>
          <w:t>https://www.houthoff.com/-/media/6ee174f77b0c4e3797440e5a1cf1dd40.pdf</w:t>
        </w:r>
      </w:hyperlink>
      <w:r w:rsidR="00392BC6">
        <w:t>&gt;&gt; Accessed on 10 March 2024</w:t>
      </w:r>
    </w:p>
  </w:footnote>
  <w:footnote w:id="7">
    <w:p w:rsidR="00461336" w:rsidRPr="00B201AF" w:rsidRDefault="00461336" w:rsidP="00461336">
      <w:pPr>
        <w:pStyle w:val="FootnoteText"/>
      </w:pPr>
      <w:r>
        <w:rPr>
          <w:rStyle w:val="FootnoteReference"/>
        </w:rPr>
        <w:footnoteRef/>
      </w:r>
      <w:r>
        <w:t xml:space="preserve"> </w:t>
      </w:r>
      <w:r w:rsidR="00392BC6">
        <w:t xml:space="preserve">Loyens Loeff. </w:t>
      </w:r>
      <w:r w:rsidR="00392BC6" w:rsidRPr="00E517CD">
        <w:t>WHOA - Dutch Scheme</w:t>
      </w:r>
      <w:r w:rsidR="00392BC6">
        <w:t>. &lt;&lt;</w:t>
      </w:r>
      <w:hyperlink r:id="rId4" w:history="1">
        <w:r w:rsidR="00392BC6" w:rsidRPr="000D114C">
          <w:rPr>
            <w:rStyle w:val="Hyperlink"/>
          </w:rPr>
          <w:t>https://www.loyensloeff.com/services/expertises/restructuring--insolvency/whoa/</w:t>
        </w:r>
      </w:hyperlink>
      <w:r w:rsidR="00392BC6">
        <w:t>&gt;&gt; Accessed on 10 March 2024</w:t>
      </w:r>
    </w:p>
  </w:footnote>
  <w:footnote w:id="8">
    <w:p w:rsidR="00461336" w:rsidRPr="009C60F1" w:rsidRDefault="00461336" w:rsidP="00461336">
      <w:pPr>
        <w:pStyle w:val="FootnoteText"/>
        <w:rPr>
          <w:b/>
        </w:rPr>
      </w:pPr>
      <w:r>
        <w:rPr>
          <w:rStyle w:val="FootnoteReference"/>
        </w:rPr>
        <w:footnoteRef/>
      </w:r>
      <w:r>
        <w:t xml:space="preserve"> </w:t>
      </w:r>
      <w:r w:rsidR="00392BC6">
        <w:t>Allen &amp; Overy. (2019). WHOA report. &lt;&lt;</w:t>
      </w:r>
      <w:r w:rsidR="00392BC6" w:rsidRPr="00E517CD">
        <w:t xml:space="preserve"> </w:t>
      </w:r>
      <w:r w:rsidR="00392BC6">
        <w:t xml:space="preserve">Allen &amp; Overy WHOA Report 2019 </w:t>
      </w:r>
      <w:r w:rsidR="00392BC6" w:rsidRPr="009C60F1">
        <w:t>https://www.allenovery.com/global/-/media/allenovery/2_documents/news_and_insights/publications/2019/7/whoa-report.pdf</w:t>
      </w:r>
      <w:r w:rsidR="00392BC6">
        <w:t>&gt;&gt; Accessed on 10 March 2024</w:t>
      </w:r>
    </w:p>
  </w:footnote>
  <w:footnote w:id="9">
    <w:p w:rsidR="00461336" w:rsidRPr="009C60F1" w:rsidRDefault="00461336" w:rsidP="00461336">
      <w:pPr>
        <w:pStyle w:val="FootnoteText"/>
      </w:pPr>
      <w:r>
        <w:rPr>
          <w:rStyle w:val="FootnoteReference"/>
        </w:rPr>
        <w:footnoteRef/>
      </w:r>
      <w:r>
        <w:t xml:space="preserve"> </w:t>
      </w:r>
      <w:r w:rsidR="00392BC6">
        <w:t>ibid.</w:t>
      </w:r>
    </w:p>
  </w:footnote>
  <w:footnote w:id="10">
    <w:p w:rsidR="00461336" w:rsidRPr="00E248F4" w:rsidRDefault="00461336" w:rsidP="00461336">
      <w:pPr>
        <w:pStyle w:val="FootnoteText"/>
      </w:pPr>
      <w:r>
        <w:rPr>
          <w:rStyle w:val="FootnoteReference"/>
        </w:rPr>
        <w:footnoteRef/>
      </w:r>
      <w:r>
        <w:t xml:space="preserve"> </w:t>
      </w:r>
      <w:r w:rsidR="00392BC6" w:rsidRPr="0039202B">
        <w:t>Wessels, B. (2023). The Dutch WHOA scheme as a successful tool in international restructurings</w:t>
      </w:r>
      <w:r w:rsidR="00392BC6">
        <w:t>. &lt;&lt;</w:t>
      </w:r>
      <w:r w:rsidR="00392BC6" w:rsidRPr="0039202B">
        <w:t xml:space="preserve"> </w:t>
      </w:r>
      <w:hyperlink r:id="rId5" w:anchor=":~:text=The%20WHOA's%20sanction%20and%20recognition,successfully%20completed%20Chapter%2011%20proceedings" w:history="1">
        <w:r w:rsidR="00392BC6" w:rsidRPr="000D114C">
          <w:rPr>
            <w:rStyle w:val="Hyperlink"/>
          </w:rPr>
          <w:t>https://bobwessels.nl/blog/2023-12-doc1-the-dutch-whoa-scheme-as-a-successful-tool-in-international-restructurings/#:~:text=The%20WHOA's%20sanction%20and%20recognition,successfully%20completed%20Chapter%2011%20proceedings</w:t>
        </w:r>
      </w:hyperlink>
      <w:r w:rsidR="00392BC6" w:rsidRPr="0039202B">
        <w:t>.</w:t>
      </w:r>
      <w:r w:rsidR="00392BC6">
        <w:t>&gt;&gt; Accessed on 10 March 2024</w:t>
      </w:r>
    </w:p>
  </w:footnote>
  <w:footnote w:id="11">
    <w:p w:rsidR="00461336" w:rsidRPr="006627C0" w:rsidRDefault="00461336" w:rsidP="00461336">
      <w:pPr>
        <w:pStyle w:val="FootnoteText"/>
      </w:pPr>
      <w:r>
        <w:rPr>
          <w:rStyle w:val="FootnoteReference"/>
        </w:rPr>
        <w:footnoteRef/>
      </w:r>
      <w:r>
        <w:t xml:space="preserve"> </w:t>
      </w:r>
      <w:r w:rsidR="00392BC6" w:rsidRPr="0039202B">
        <w:t>Schuilwerve</w:t>
      </w:r>
      <w:r w:rsidR="00392BC6">
        <w:t xml:space="preserve">, D. (2023). </w:t>
      </w:r>
      <w:r w:rsidR="00392BC6" w:rsidRPr="0039202B">
        <w:t>The successful use of Dutch WHOA schemes in international restructurings</w:t>
      </w:r>
      <w:r w:rsidR="00392BC6">
        <w:t>. &lt;&lt;</w:t>
      </w:r>
      <w:r w:rsidR="00392BC6" w:rsidRPr="0039202B">
        <w:t xml:space="preserve"> </w:t>
      </w:r>
      <w:hyperlink r:id="rId6" w:history="1">
        <w:r w:rsidR="00392BC6" w:rsidRPr="000D114C">
          <w:rPr>
            <w:rStyle w:val="Hyperlink"/>
          </w:rPr>
          <w:t>https://www.vbk.nl/en/legalupdate/successful-use-dutch-whoa-schemes-international-restructurings</w:t>
        </w:r>
      </w:hyperlink>
      <w:r w:rsidR="00392BC6">
        <w:t>&gt;&gt; Accessed on 10 March 2024</w:t>
      </w:r>
    </w:p>
  </w:footnote>
  <w:footnote w:id="12">
    <w:p w:rsidR="00461336" w:rsidRPr="004E3176" w:rsidRDefault="00461336" w:rsidP="00461336">
      <w:pPr>
        <w:pStyle w:val="FootnoteText"/>
      </w:pPr>
      <w:r>
        <w:rPr>
          <w:rStyle w:val="FootnoteReference"/>
        </w:rPr>
        <w:footnoteRef/>
      </w:r>
      <w:r w:rsidR="0096415B">
        <w:t xml:space="preserve">United States Courts. </w:t>
      </w:r>
      <w:r w:rsidR="0096415B" w:rsidRPr="00FC6343">
        <w:t>Chapter 11 - Bankruptcy Basics</w:t>
      </w:r>
      <w:r w:rsidR="0096415B">
        <w:t>. &lt;&lt;</w:t>
      </w:r>
      <w:r w:rsidR="0096415B" w:rsidRPr="00FC6343">
        <w:t xml:space="preserve"> </w:t>
      </w:r>
      <w:hyperlink r:id="rId7" w:anchor=":~:text=A%20case%20filed%20under%20chapter,court%20approval%2C%20borrow%20new%20money" w:history="1">
        <w:r w:rsidR="0096415B" w:rsidRPr="00D03D84">
          <w:rPr>
            <w:rStyle w:val="Hyperlink"/>
          </w:rPr>
          <w:t>https://www.uscourts.gov/services-forms/bankruptcy/bankruptcy-basics/chapter-11-bankruptcy-basics#:~:text=A%20case%20filed%20under%20chapter,court%20approval%2C%20borrow%20new%20money</w:t>
        </w:r>
      </w:hyperlink>
      <w:r w:rsidR="0096415B" w:rsidRPr="00FC6343">
        <w:t>.</w:t>
      </w:r>
      <w:r w:rsidR="0096415B">
        <w:t>&gt;&gt; Accessed on 7 March 2024</w:t>
      </w:r>
      <w:r w:rsidRPr="004E3176">
        <w:t>.</w:t>
      </w:r>
    </w:p>
  </w:footnote>
  <w:footnote w:id="13">
    <w:p w:rsidR="00461336" w:rsidRPr="005877D6" w:rsidRDefault="00461336" w:rsidP="00461336">
      <w:pPr>
        <w:pStyle w:val="FootnoteText"/>
      </w:pPr>
      <w:r>
        <w:rPr>
          <w:rStyle w:val="FootnoteReference"/>
        </w:rPr>
        <w:footnoteRef/>
      </w:r>
      <w:r>
        <w:t xml:space="preserve"> </w:t>
      </w:r>
      <w:r w:rsidR="0096415B">
        <w:t>In re GLOBAL OCEAN CARRIERS LIMITED, et al., Debtors. No. 00–955(MFW) to 00–969(MFW). | July 5, 2000. &lt;&lt;</w:t>
      </w:r>
      <w:r w:rsidR="0096415B" w:rsidRPr="00FC6343">
        <w:t xml:space="preserve"> </w:t>
      </w:r>
      <w:hyperlink r:id="rId8" w:history="1">
        <w:r w:rsidR="0096415B" w:rsidRPr="00D03D84">
          <w:rPr>
            <w:rStyle w:val="Hyperlink"/>
          </w:rPr>
          <w:t>https://casetext.com/case/in-re-global-ocean-carriers-limited</w:t>
        </w:r>
      </w:hyperlink>
      <w:r w:rsidR="0096415B">
        <w:t>&gt;&gt; Accessed on 7 March 2024</w:t>
      </w:r>
    </w:p>
  </w:footnote>
  <w:footnote w:id="14">
    <w:p w:rsidR="00461336" w:rsidRPr="00A326F3" w:rsidRDefault="00461336" w:rsidP="00461336">
      <w:pPr>
        <w:pStyle w:val="FootnoteText"/>
      </w:pPr>
      <w:r>
        <w:rPr>
          <w:rStyle w:val="FootnoteReference"/>
        </w:rPr>
        <w:footnoteRef/>
      </w:r>
      <w:r>
        <w:t xml:space="preserve"> </w:t>
      </w:r>
      <w:r w:rsidR="0096415B">
        <w:t xml:space="preserve">Warner, R. (2023). Overview of US Chapter 11. Insol Global Insolvency Practice Course notes. </w:t>
      </w:r>
    </w:p>
  </w:footnote>
  <w:footnote w:id="15">
    <w:p w:rsidR="00461336" w:rsidRPr="00A326F3" w:rsidRDefault="00461336" w:rsidP="00461336">
      <w:pPr>
        <w:pStyle w:val="FootnoteText"/>
      </w:pPr>
      <w:r>
        <w:rPr>
          <w:rStyle w:val="FootnoteReference"/>
        </w:rPr>
        <w:footnoteRef/>
      </w:r>
      <w:r>
        <w:t xml:space="preserve"> </w:t>
      </w:r>
      <w:r w:rsidR="0096415B">
        <w:t>ibid.</w:t>
      </w:r>
    </w:p>
  </w:footnote>
  <w:footnote w:id="16">
    <w:p w:rsidR="00461336" w:rsidRPr="003B07AB" w:rsidRDefault="00461336" w:rsidP="00461336">
      <w:pPr>
        <w:pStyle w:val="FootnoteText"/>
        <w:rPr>
          <w:lang w:val="en-US"/>
        </w:rPr>
      </w:pPr>
      <w:r>
        <w:rPr>
          <w:rStyle w:val="FootnoteReference"/>
        </w:rPr>
        <w:footnoteRef/>
      </w:r>
      <w:r>
        <w:t xml:space="preserve"> </w:t>
      </w:r>
      <w:r w:rsidR="0096415B">
        <w:t>supra note, 12</w:t>
      </w:r>
    </w:p>
  </w:footnote>
  <w:footnote w:id="17">
    <w:p w:rsidR="00461336" w:rsidRPr="003B07AB" w:rsidRDefault="00461336" w:rsidP="00461336">
      <w:pPr>
        <w:pStyle w:val="FootnoteText"/>
        <w:rPr>
          <w:lang w:val="en-US"/>
        </w:rPr>
      </w:pPr>
      <w:r>
        <w:rPr>
          <w:rStyle w:val="FootnoteReference"/>
        </w:rPr>
        <w:footnoteRef/>
      </w:r>
      <w:r>
        <w:t xml:space="preserve"> </w:t>
      </w:r>
      <w:r w:rsidR="0096415B">
        <w:t>Ayer, J.D., Bernstein, M., &amp; Friedland, J. Confirming a Plan. American Bankruptcy Institute Journal. &lt;&lt;</w:t>
      </w:r>
      <w:r w:rsidR="0096415B" w:rsidRPr="0086333E">
        <w:t xml:space="preserve"> </w:t>
      </w:r>
      <w:hyperlink r:id="rId9" w:history="1">
        <w:r w:rsidR="0096415B" w:rsidRPr="00D03D84">
          <w:rPr>
            <w:rStyle w:val="Hyperlink"/>
          </w:rPr>
          <w:t>https://www.kirkland.com/siteFiles/kirkexp/publications/2365/Document1/Friedland%20-%20Confirming%20a%20Plan.pdf</w:t>
        </w:r>
      </w:hyperlink>
      <w:r w:rsidR="0096415B">
        <w:t>&gt;&gt; Accessed on 12 March 2024</w:t>
      </w:r>
    </w:p>
  </w:footnote>
  <w:footnote w:id="18">
    <w:p w:rsidR="00461336" w:rsidRPr="00D025BB" w:rsidRDefault="00461336" w:rsidP="00461336">
      <w:pPr>
        <w:pStyle w:val="FootnoteText"/>
        <w:rPr>
          <w:lang w:val="en-US"/>
        </w:rPr>
      </w:pPr>
      <w:r>
        <w:rPr>
          <w:rStyle w:val="FootnoteReference"/>
        </w:rPr>
        <w:footnoteRef/>
      </w:r>
      <w:r>
        <w:t xml:space="preserve"> </w:t>
      </w:r>
      <w:r w:rsidR="0096415B">
        <w:t>ibid.</w:t>
      </w:r>
    </w:p>
  </w:footnote>
  <w:footnote w:id="19">
    <w:p w:rsidR="00461336" w:rsidRPr="00445830" w:rsidRDefault="00461336" w:rsidP="00461336">
      <w:pPr>
        <w:pStyle w:val="FootnoteText"/>
        <w:rPr>
          <w:lang w:val="en-US"/>
        </w:rPr>
      </w:pPr>
      <w:r>
        <w:rPr>
          <w:rStyle w:val="FootnoteReference"/>
        </w:rPr>
        <w:footnoteRef/>
      </w:r>
      <w:r w:rsidR="0096415B">
        <w:t xml:space="preserve"> Almedia, N. &amp; Dunne, D.F. (2023). </w:t>
      </w:r>
      <w:r w:rsidR="0096415B" w:rsidRPr="00DD0444">
        <w:t>Prepackaged Chapter 11 in the United States: An Overview</w:t>
      </w:r>
      <w:r w:rsidR="0096415B">
        <w:t>. Global Restructuring Review. &lt;&lt;</w:t>
      </w:r>
      <w:r w:rsidR="0096415B" w:rsidRPr="00DD0444">
        <w:t xml:space="preserve"> </w:t>
      </w:r>
      <w:hyperlink r:id="rId10" w:anchor=":~:text=The%20acceptance%20of%20a%20Chapter,the%20holders%20of%20the%20claims" w:history="1">
        <w:r w:rsidR="0096415B" w:rsidRPr="00D03D84">
          <w:rPr>
            <w:rStyle w:val="Hyperlink"/>
          </w:rPr>
          <w:t>https://globalrestructuringreview.com/guide/the-art-of-the-pre-pack/edition-3/article/prepackaged-chapter-11-in-the-united-states-overview#:~:text=The%20acceptance%20of%20a%20Chapter,the%20holders%20of%20the%20claims</w:t>
        </w:r>
      </w:hyperlink>
      <w:r w:rsidR="0096415B" w:rsidRPr="00DD0444">
        <w:t>.</w:t>
      </w:r>
      <w:r w:rsidR="0096415B">
        <w:t>&gt;&gt; Accessed on 18 March 2024</w:t>
      </w:r>
    </w:p>
  </w:footnote>
  <w:footnote w:id="20">
    <w:p w:rsidR="00461336" w:rsidRPr="00C816BC" w:rsidRDefault="00461336" w:rsidP="00461336">
      <w:pPr>
        <w:pStyle w:val="FootnoteText"/>
        <w:rPr>
          <w:lang w:val="en-US"/>
        </w:rPr>
      </w:pPr>
      <w:r>
        <w:rPr>
          <w:rStyle w:val="FootnoteReference"/>
        </w:rPr>
        <w:footnoteRef/>
      </w:r>
      <w:r w:rsidR="0096415B">
        <w:t xml:space="preserve"> United Nations. UNCITRAL Model Law on Cross-Border Insolvency. &lt;&lt;</w:t>
      </w:r>
      <w:r w:rsidR="0096415B" w:rsidRPr="00DD0444">
        <w:t xml:space="preserve"> </w:t>
      </w:r>
      <w:hyperlink r:id="rId11" w:anchor=":~:text=The%20UNCITRAL%20Model%20Law%20on,severe%20financial%20distress%20or%20insolvency" w:history="1">
        <w:r w:rsidR="0096415B" w:rsidRPr="00D03D84">
          <w:rPr>
            <w:rStyle w:val="Hyperlink"/>
          </w:rPr>
          <w:t>https://uncitral.un.org/en/texts/insolvency#:~:text=The%20UNCITRAL%20Model%20Law%20on,severe%20financial%20distress%20or%20insolvency</w:t>
        </w:r>
      </w:hyperlink>
      <w:r w:rsidR="0096415B" w:rsidRPr="00DD0444">
        <w:t>.</w:t>
      </w:r>
      <w:r w:rsidR="0096415B">
        <w:t>&gt;&gt; Accessed on 18 March 2024</w:t>
      </w:r>
    </w:p>
  </w:footnote>
  <w:footnote w:id="21">
    <w:p w:rsidR="00461336" w:rsidRPr="000F6271" w:rsidRDefault="00461336" w:rsidP="00461336">
      <w:pPr>
        <w:pStyle w:val="FootnoteText"/>
      </w:pPr>
      <w:r>
        <w:rPr>
          <w:rStyle w:val="FootnoteReference"/>
        </w:rPr>
        <w:footnoteRef/>
      </w:r>
      <w:r>
        <w:t xml:space="preserve"> </w:t>
      </w:r>
      <w:r w:rsidR="00F12A3D">
        <w:t>UNCITRAL Model Law on Cross-Border Insolvency with Guide to Enactment and Interpretation. &lt;&lt;</w:t>
      </w:r>
      <w:r w:rsidR="00F12A3D" w:rsidRPr="00DD0444">
        <w:t xml:space="preserve"> </w:t>
      </w:r>
      <w:hyperlink r:id="rId12" w:history="1">
        <w:r w:rsidR="00F12A3D" w:rsidRPr="00D03D84">
          <w:rPr>
            <w:rStyle w:val="Hyperlink"/>
          </w:rPr>
          <w:t>https://uncitral.un.org/sites/uncitral.un.org/files/media-documents/uncitral/en/1997-model-law-insol-2013-guide-enactment-e.pdf</w:t>
        </w:r>
      </w:hyperlink>
      <w:r w:rsidR="00F12A3D">
        <w:t>&gt;&gt; Accessed on 18 March 2024</w:t>
      </w:r>
    </w:p>
  </w:footnote>
  <w:footnote w:id="22">
    <w:p w:rsidR="00F12A3D" w:rsidRDefault="00461336" w:rsidP="00F12A3D">
      <w:pPr>
        <w:pStyle w:val="FootnoteText"/>
      </w:pPr>
      <w:r>
        <w:rPr>
          <w:rStyle w:val="FootnoteReference"/>
        </w:rPr>
        <w:footnoteRef/>
      </w:r>
      <w:r>
        <w:t xml:space="preserve"> </w:t>
      </w:r>
      <w:r w:rsidR="00F12A3D">
        <w:t xml:space="preserve">United Nations. </w:t>
      </w:r>
      <w:r w:rsidR="00F12A3D" w:rsidRPr="00DD0444">
        <w:t>Status: UNCITRAL Model Law on Cross-Border Insolvency (1997)</w:t>
      </w:r>
      <w:r w:rsidR="00F12A3D">
        <w:t>. &lt;&lt;</w:t>
      </w:r>
      <w:r w:rsidR="00F12A3D" w:rsidRPr="009A2887">
        <w:t xml:space="preserve"> </w:t>
      </w:r>
      <w:hyperlink r:id="rId13" w:history="1">
        <w:r w:rsidR="00F12A3D" w:rsidRPr="00D03D84">
          <w:rPr>
            <w:rStyle w:val="Hyperlink"/>
          </w:rPr>
          <w:t>https://uncitral.un.org/en/texts/insolvency/modellaw/cross-border_insolvency/status</w:t>
        </w:r>
      </w:hyperlink>
      <w:r w:rsidR="00F12A3D">
        <w:t>&gt;&gt; Accessed on</w:t>
      </w:r>
    </w:p>
    <w:p w:rsidR="00461336" w:rsidRPr="00FF78EC" w:rsidRDefault="00F12A3D" w:rsidP="00461336">
      <w:pPr>
        <w:pStyle w:val="FootnoteText"/>
      </w:pPr>
      <w:r>
        <w:t>18 March 2024</w:t>
      </w:r>
    </w:p>
  </w:footnote>
  <w:footnote w:id="23">
    <w:p w:rsidR="00F12A3D" w:rsidRDefault="00461336" w:rsidP="00F12A3D">
      <w:pPr>
        <w:pStyle w:val="FootnoteText"/>
      </w:pPr>
      <w:r>
        <w:rPr>
          <w:rStyle w:val="FootnoteReference"/>
        </w:rPr>
        <w:footnoteRef/>
      </w:r>
      <w:r>
        <w:t xml:space="preserve"> </w:t>
      </w:r>
      <w:r w:rsidR="00F12A3D">
        <w:t>Chipper, I. The Romanian Insolvency Publication and Registration Requirements under Article 21</w:t>
      </w:r>
    </w:p>
    <w:p w:rsidR="00461336" w:rsidRPr="00F12A3D" w:rsidRDefault="00F12A3D" w:rsidP="00461336">
      <w:pPr>
        <w:pStyle w:val="FootnoteText"/>
        <w:rPr>
          <w:rFonts w:cstheme="minorHAnsi"/>
          <w:color w:val="0563C1" w:themeColor="hyperlink"/>
          <w:u w:val="single"/>
          <w:lang w:val="en-US"/>
        </w:rPr>
      </w:pPr>
      <w:r>
        <w:t>and Article 22 of the European Insolvency Regulation. &lt;&lt;</w:t>
      </w:r>
      <w:hyperlink r:id="rId14" w:history="1">
        <w:r w:rsidRPr="009319FC">
          <w:rPr>
            <w:rStyle w:val="Hyperlink"/>
            <w:rFonts w:cstheme="minorHAnsi"/>
            <w:lang w:val="en-US"/>
          </w:rPr>
          <w:t>https://www.insol-europe.org/download/resource/142</w:t>
        </w:r>
      </w:hyperlink>
      <w:r>
        <w:rPr>
          <w:rStyle w:val="Hyperlink"/>
          <w:rFonts w:cstheme="minorHAnsi"/>
          <w:lang w:val="en-US"/>
        </w:rPr>
        <w:t xml:space="preserve">&gt;&gt; </w:t>
      </w:r>
      <w:r w:rsidRPr="009A2887">
        <w:rPr>
          <w:rStyle w:val="Hyperlink"/>
          <w:rFonts w:cstheme="minorHAnsi"/>
          <w:color w:val="auto"/>
          <w:u w:val="none"/>
          <w:lang w:val="en-US"/>
        </w:rPr>
        <w:t>Accessed on</w:t>
      </w:r>
      <w:r>
        <w:rPr>
          <w:rStyle w:val="Hyperlink"/>
          <w:rFonts w:cstheme="minorHAnsi"/>
          <w:color w:val="auto"/>
          <w:u w:val="none"/>
          <w:lang w:val="en-US"/>
        </w:rPr>
        <w:t xml:space="preserve"> 20 March 2024</w:t>
      </w:r>
    </w:p>
  </w:footnote>
  <w:footnote w:id="24">
    <w:p w:rsidR="00461336" w:rsidRPr="00F12A3D" w:rsidRDefault="00461336" w:rsidP="00F12A3D">
      <w:pPr>
        <w:spacing w:after="0" w:line="240" w:lineRule="auto"/>
        <w:rPr>
          <w:rFonts w:cstheme="minorHAnsi"/>
          <w:sz w:val="20"/>
          <w:szCs w:val="20"/>
          <w:lang w:val="en-US"/>
        </w:rPr>
      </w:pPr>
      <w:r>
        <w:rPr>
          <w:rStyle w:val="FootnoteReference"/>
        </w:rPr>
        <w:footnoteRef/>
      </w:r>
      <w:r>
        <w:t xml:space="preserve"> </w:t>
      </w:r>
      <w:r w:rsidR="00F12A3D" w:rsidRPr="00F12A3D">
        <w:rPr>
          <w:sz w:val="20"/>
          <w:szCs w:val="20"/>
        </w:rPr>
        <w:t>Durlinger, K., Salah, O., &amp; van Hooijdonk, B. (2022). The Netherlands: UNCITRAL Model Law on Cross-Border Insolvency. &lt;&lt;https://www.nortonrosefulbright.com/en/knowledge/publications/cbfa12ac/netherlands-25th-anniversary-of the-model-law&gt;&gt; Accessed on</w:t>
      </w:r>
      <w:r w:rsidR="00F12A3D">
        <w:rPr>
          <w:sz w:val="20"/>
          <w:szCs w:val="20"/>
        </w:rPr>
        <w:t xml:space="preserve"> 20 March 2024</w:t>
      </w:r>
    </w:p>
  </w:footnote>
  <w:footnote w:id="25">
    <w:p w:rsidR="00461336" w:rsidRPr="00452256" w:rsidRDefault="00461336" w:rsidP="00461336">
      <w:pPr>
        <w:pStyle w:val="FootnoteText"/>
        <w:rPr>
          <w:lang w:val="en-US"/>
        </w:rPr>
      </w:pPr>
      <w:r>
        <w:rPr>
          <w:rStyle w:val="FootnoteReference"/>
        </w:rPr>
        <w:footnoteRef/>
      </w:r>
      <w:r w:rsidR="00F12A3D">
        <w:t xml:space="preserve"> Wolff, C. (2015). </w:t>
      </w:r>
      <w:r w:rsidR="00F12A3D" w:rsidRPr="009A2887">
        <w:t>New EU Regulation on Insolvency Proceedings</w:t>
      </w:r>
      <w:r w:rsidR="00F12A3D">
        <w:t>. &lt;&lt;</w:t>
      </w:r>
      <w:r w:rsidR="00F12A3D" w:rsidRPr="009A2887">
        <w:t xml:space="preserve"> </w:t>
      </w:r>
      <w:hyperlink r:id="rId15" w:history="1">
        <w:r w:rsidR="00F12A3D" w:rsidRPr="00D03D84">
          <w:rPr>
            <w:rStyle w:val="Hyperlink"/>
          </w:rPr>
          <w:t>https://www.paulhastings.com/insights/client-alerts/new-eu-regulation-on-insolvency-proceedings</w:t>
        </w:r>
      </w:hyperlink>
      <w:r w:rsidR="00F12A3D">
        <w:t>&gt;&gt; Accessed on 21 March 2024</w:t>
      </w:r>
    </w:p>
  </w:footnote>
  <w:footnote w:id="26">
    <w:p w:rsidR="00461336" w:rsidRPr="00452256" w:rsidRDefault="00461336" w:rsidP="00461336">
      <w:pPr>
        <w:pStyle w:val="FootnoteText"/>
        <w:rPr>
          <w:lang w:val="en-US"/>
        </w:rPr>
      </w:pPr>
      <w:r>
        <w:rPr>
          <w:rStyle w:val="FootnoteReference"/>
        </w:rPr>
        <w:footnoteRef/>
      </w:r>
      <w:r>
        <w:t xml:space="preserve"> </w:t>
      </w:r>
      <w:r w:rsidR="00F12A3D">
        <w:t>ibid.</w:t>
      </w:r>
    </w:p>
  </w:footnote>
  <w:footnote w:id="27">
    <w:p w:rsidR="00461336" w:rsidRPr="0072368F" w:rsidRDefault="00461336" w:rsidP="00461336">
      <w:pPr>
        <w:pStyle w:val="FootnoteText"/>
      </w:pPr>
      <w:r>
        <w:rPr>
          <w:rStyle w:val="FootnoteReference"/>
        </w:rPr>
        <w:footnoteRef/>
      </w:r>
      <w:r>
        <w:t xml:space="preserve"> </w:t>
      </w:r>
      <w:r w:rsidR="00F12A3D">
        <w:t xml:space="preserve">Schoenherr. (2017). </w:t>
      </w:r>
      <w:r w:rsidR="00F12A3D" w:rsidRPr="009A2887">
        <w:t>Recast of the EU Regulation on Insolvency Law Applicable as of Today</w:t>
      </w:r>
      <w:r w:rsidR="00F12A3D">
        <w:t>. &lt;&lt;</w:t>
      </w:r>
      <w:r w:rsidR="00F12A3D" w:rsidRPr="008C2F90">
        <w:t xml:space="preserve"> </w:t>
      </w:r>
      <w:hyperlink r:id="rId16" w:history="1">
        <w:r w:rsidR="00F12A3D" w:rsidRPr="00D03D84">
          <w:rPr>
            <w:rStyle w:val="Hyperlink"/>
          </w:rPr>
          <w:t>https://www.schoenherr.eu/content/recast-of-the-eu-regulation-on-insolvency-law-applicable-as-of-today/</w:t>
        </w:r>
      </w:hyperlink>
      <w:r w:rsidR="00F12A3D">
        <w:t>&gt;&gt; Accessed on 21 March 2024</w:t>
      </w:r>
    </w:p>
  </w:footnote>
  <w:footnote w:id="28">
    <w:p w:rsidR="00461336" w:rsidRPr="0072368F" w:rsidRDefault="00461336" w:rsidP="00461336">
      <w:pPr>
        <w:pStyle w:val="FootnoteText"/>
        <w:rPr>
          <w:lang w:val="en-US"/>
        </w:rPr>
      </w:pPr>
      <w:r>
        <w:rPr>
          <w:rStyle w:val="FootnoteReference"/>
        </w:rPr>
        <w:footnoteRef/>
      </w:r>
      <w:r>
        <w:t xml:space="preserve"> </w:t>
      </w:r>
      <w:r w:rsidR="00F12A3D">
        <w:t>Arts, W. (2015). Main and Secondary Proceedings in the recast of the European Insolvency Regulation. &lt;&lt;</w:t>
      </w:r>
      <w:r w:rsidR="00F12A3D" w:rsidRPr="008C2F90">
        <w:t xml:space="preserve"> </w:t>
      </w:r>
      <w:hyperlink r:id="rId17" w:history="1">
        <w:r w:rsidR="00F12A3D" w:rsidRPr="00D03D84">
          <w:rPr>
            <w:rStyle w:val="Hyperlink"/>
          </w:rPr>
          <w:t>https://www.iiiglobal.org/file.cfm/12/docs/2015_gold_arts_main_and_secondary_proceedings.pdf</w:t>
        </w:r>
      </w:hyperlink>
      <w:r w:rsidR="00F12A3D">
        <w:t>&gt;&gt; Accessed on 21 March 2024</w:t>
      </w:r>
    </w:p>
  </w:footnote>
  <w:footnote w:id="29">
    <w:p w:rsidR="00461336" w:rsidRPr="0072368F" w:rsidRDefault="00461336" w:rsidP="00461336">
      <w:pPr>
        <w:pStyle w:val="FootnoteText"/>
        <w:rPr>
          <w:lang w:val="en-US"/>
        </w:rPr>
      </w:pPr>
      <w:r>
        <w:rPr>
          <w:rStyle w:val="FootnoteReference"/>
        </w:rPr>
        <w:footnoteRef/>
      </w:r>
      <w:r>
        <w:t xml:space="preserve"> </w:t>
      </w:r>
      <w:r w:rsidR="00821B88">
        <w:t>s</w:t>
      </w:r>
      <w:r w:rsidR="00421A00">
        <w:t>upra, note 24</w:t>
      </w:r>
    </w:p>
  </w:footnote>
  <w:footnote w:id="30">
    <w:p w:rsidR="00461336" w:rsidRPr="005A4083" w:rsidRDefault="00461336" w:rsidP="00461336">
      <w:pPr>
        <w:pStyle w:val="FootnoteText"/>
        <w:rPr>
          <w:lang w:val="en-US"/>
        </w:rPr>
      </w:pPr>
      <w:r>
        <w:rPr>
          <w:rStyle w:val="FootnoteReference"/>
        </w:rPr>
        <w:footnoteRef/>
      </w:r>
      <w:r>
        <w:t xml:space="preserve"> </w:t>
      </w:r>
      <w:r w:rsidR="00421A00">
        <w:t>Craggs, M., Oliver, R., &amp; Thorn, M. (2021). Impact of Brexit on insolvency. &lt;&lt;</w:t>
      </w:r>
      <w:r w:rsidR="00421A00" w:rsidRPr="008C2F90">
        <w:t xml:space="preserve"> </w:t>
      </w:r>
      <w:hyperlink r:id="rId18" w:history="1">
        <w:r w:rsidR="00421A00" w:rsidRPr="00D03D84">
          <w:rPr>
            <w:rStyle w:val="Hyperlink"/>
          </w:rPr>
          <w:t>https://www.nortonrosefulbright.com/en/knowledge/publications/fc0fb698/impact-of-brexit-on-insolvency</w:t>
        </w:r>
      </w:hyperlink>
      <w:r w:rsidR="00421A00">
        <w:t>&gt;&gt; Accessed on 20 March 2024</w:t>
      </w:r>
    </w:p>
  </w:footnote>
  <w:footnote w:id="31">
    <w:p w:rsidR="00461336" w:rsidRPr="005A4083" w:rsidRDefault="00461336" w:rsidP="00461336">
      <w:pPr>
        <w:pStyle w:val="FootnoteText"/>
        <w:rPr>
          <w:lang w:val="en-US"/>
        </w:rPr>
      </w:pPr>
      <w:r>
        <w:rPr>
          <w:rStyle w:val="FootnoteReference"/>
        </w:rPr>
        <w:footnoteRef/>
      </w:r>
      <w:r>
        <w:t xml:space="preserve"> </w:t>
      </w:r>
      <w:r w:rsidR="00421A00">
        <w:t xml:space="preserve">ibid </w:t>
      </w:r>
    </w:p>
  </w:footnote>
  <w:footnote w:id="32">
    <w:p w:rsidR="00C661EC" w:rsidRPr="00C661EC" w:rsidRDefault="00C661EC">
      <w:pPr>
        <w:pStyle w:val="FootnoteText"/>
        <w:rPr>
          <w:lang w:val="en-US"/>
        </w:rPr>
      </w:pPr>
      <w:r>
        <w:rPr>
          <w:rStyle w:val="FootnoteReference"/>
        </w:rPr>
        <w:footnoteRef/>
      </w:r>
      <w:r>
        <w:t xml:space="preserve"> </w:t>
      </w:r>
      <w:r w:rsidR="00640983">
        <w:t>Allen &amp; Overy. (2020). Restructuring Across Borders – Romania: Corporate restructuring and insolvency procedures. &lt;&lt;</w:t>
      </w:r>
      <w:r w:rsidR="00640983" w:rsidRPr="008C2F90">
        <w:t xml:space="preserve"> </w:t>
      </w:r>
      <w:hyperlink r:id="rId19" w:history="1">
        <w:r w:rsidR="00640983" w:rsidRPr="00D03D84">
          <w:rPr>
            <w:rStyle w:val="Hyperlink"/>
          </w:rPr>
          <w:t>https://www.allenovery.com/global/-/media/allenovery/2_documents/practices/restructuring/restructuring_across_borders_final/romania.pdf</w:t>
        </w:r>
      </w:hyperlink>
      <w:r w:rsidR="00640983">
        <w:t>&gt;&gt; Accessed on 3 March 2024</w:t>
      </w:r>
    </w:p>
  </w:footnote>
  <w:footnote w:id="33">
    <w:p w:rsidR="00093F6F" w:rsidRPr="00E96692" w:rsidRDefault="00093F6F" w:rsidP="00093F6F">
      <w:pPr>
        <w:pStyle w:val="FootnoteText"/>
        <w:rPr>
          <w:lang w:val="en-US"/>
        </w:rPr>
      </w:pPr>
      <w:r>
        <w:rPr>
          <w:rStyle w:val="FootnoteReference"/>
        </w:rPr>
        <w:footnoteRef/>
      </w:r>
      <w:r>
        <w:t xml:space="preserve"> </w:t>
      </w:r>
      <w:r w:rsidR="00640983">
        <w:t>Weil. (2015). Section 109(a) – Filing a Chapter 11 Case for a Foreign Business. &lt;&lt;</w:t>
      </w:r>
      <w:r w:rsidR="00640983" w:rsidRPr="008C2F90">
        <w:t xml:space="preserve"> </w:t>
      </w:r>
      <w:hyperlink r:id="rId20" w:history="1">
        <w:r w:rsidR="00640983" w:rsidRPr="00D03D84">
          <w:rPr>
            <w:rStyle w:val="Hyperlink"/>
          </w:rPr>
          <w:t>https://restructuring.weil.com/breaking-the-code/section-109a-filing-a-chapter-11-case-for-a-foreign-business/</w:t>
        </w:r>
      </w:hyperlink>
      <w:r w:rsidR="00640983">
        <w:t>&gt;&gt; Accessed on 25 February 2024</w:t>
      </w:r>
    </w:p>
  </w:footnote>
  <w:footnote w:id="34">
    <w:p w:rsidR="00F908E5" w:rsidRPr="00B40A08" w:rsidRDefault="00F908E5">
      <w:pPr>
        <w:pStyle w:val="FootnoteText"/>
      </w:pPr>
      <w:r>
        <w:rPr>
          <w:rStyle w:val="FootnoteReference"/>
        </w:rPr>
        <w:footnoteRef/>
      </w:r>
      <w:r>
        <w:t xml:space="preserve"> </w:t>
      </w:r>
      <w:r w:rsidR="00640983">
        <w:t>The Restructure of Corporate Groups – A Global Analysis of Substantive, Procedural and Synthetic Group Procedures. INSOL International. &lt;</w:t>
      </w:r>
      <w:hyperlink r:id="rId21" w:history="1">
        <w:r w:rsidR="00640983" w:rsidRPr="00D03D84">
          <w:rPr>
            <w:rStyle w:val="Hyperlink"/>
          </w:rPr>
          <w:t>https://www.bairdholm.com/wp-content/uploads/2022/06/The-Restructuring-of-Corporate-Groups-USA-Chapter-by-Jeremy-C.-Hollembeak-of-Baird-Holm-LLP.pdf</w:t>
        </w:r>
      </w:hyperlink>
      <w:r w:rsidR="00640983">
        <w:t xml:space="preserve">&gt;&gt; Accessed on 28 February 2024 </w:t>
      </w:r>
    </w:p>
  </w:footnote>
  <w:footnote w:id="35">
    <w:p w:rsidR="00F908E5" w:rsidRPr="00F908E5" w:rsidRDefault="00F908E5">
      <w:pPr>
        <w:pStyle w:val="FootnoteText"/>
        <w:rPr>
          <w:lang w:val="en-US"/>
        </w:rPr>
      </w:pPr>
      <w:r>
        <w:rPr>
          <w:rStyle w:val="FootnoteReference"/>
        </w:rPr>
        <w:footnoteRef/>
      </w:r>
      <w:r>
        <w:t xml:space="preserve"> </w:t>
      </w:r>
      <w:r w:rsidR="00D71A07">
        <w:t xml:space="preserve">ibid </w:t>
      </w:r>
    </w:p>
  </w:footnote>
  <w:footnote w:id="36">
    <w:p w:rsidR="00F908E5" w:rsidRPr="00F908E5" w:rsidRDefault="00F908E5">
      <w:pPr>
        <w:pStyle w:val="FootnoteText"/>
        <w:rPr>
          <w:lang w:val="en-US"/>
        </w:rPr>
      </w:pPr>
      <w:r>
        <w:rPr>
          <w:rStyle w:val="FootnoteReference"/>
        </w:rPr>
        <w:footnoteRef/>
      </w:r>
      <w:r>
        <w:t xml:space="preserve"> </w:t>
      </w:r>
      <w:r w:rsidR="00D71A07">
        <w:t xml:space="preserve">ibid </w:t>
      </w:r>
    </w:p>
  </w:footnote>
  <w:footnote w:id="37">
    <w:p w:rsidR="00A05F88" w:rsidRPr="00A05F88" w:rsidRDefault="00A05F88">
      <w:pPr>
        <w:pStyle w:val="FootnoteText"/>
        <w:rPr>
          <w:lang w:val="en-US"/>
        </w:rPr>
      </w:pPr>
      <w:r>
        <w:rPr>
          <w:rStyle w:val="FootnoteReference"/>
        </w:rPr>
        <w:footnoteRef/>
      </w:r>
      <w:r>
        <w:t xml:space="preserve"> </w:t>
      </w:r>
      <w:r w:rsidR="00A002E7">
        <w:t>Akin Gump. (2023). Restructuring Plans and Chapter 11: A Transatlantic Perspective. &lt;&lt;</w:t>
      </w:r>
      <w:r w:rsidR="00A002E7" w:rsidRPr="006322A8">
        <w:t xml:space="preserve"> </w:t>
      </w:r>
      <w:hyperlink r:id="rId22" w:history="1">
        <w:r w:rsidR="00A002E7" w:rsidRPr="00D03D84">
          <w:rPr>
            <w:rStyle w:val="Hyperlink"/>
          </w:rPr>
          <w:t>https://akingump.com/a/web/hRHTw5KiYyij47v1wrnGWX/4NXekx/financial-restructuring-in-depth-restructuring-plans-and-chapter-11-a-transatlantic-perspective-january-2023.pdf</w:t>
        </w:r>
      </w:hyperlink>
      <w:r w:rsidR="00A002E7">
        <w:t>&gt;&gt; Accessed on 6 March 2024</w:t>
      </w:r>
    </w:p>
  </w:footnote>
  <w:footnote w:id="38">
    <w:p w:rsidR="00A05F88" w:rsidRPr="00A05F88" w:rsidRDefault="00A05F88">
      <w:pPr>
        <w:pStyle w:val="FootnoteText"/>
        <w:rPr>
          <w:lang w:val="en-US"/>
        </w:rPr>
      </w:pPr>
      <w:r>
        <w:rPr>
          <w:rStyle w:val="FootnoteReference"/>
        </w:rPr>
        <w:footnoteRef/>
      </w:r>
      <w:r>
        <w:t xml:space="preserve"> </w:t>
      </w:r>
      <w:r w:rsidR="00A002E7">
        <w:t xml:space="preserve">Kaplan, G.L. </w:t>
      </w:r>
      <w:r w:rsidR="00A002E7" w:rsidRPr="00EC27E4">
        <w:t xml:space="preserve">Understanding The Rules Of Bankruptcy Cramdown </w:t>
      </w:r>
      <w:r w:rsidR="00A002E7">
        <w:t>&lt;&lt;</w:t>
      </w:r>
      <w:r w:rsidR="00A002E7" w:rsidRPr="00A05F88">
        <w:t>https://www.friedfrank.com/uploads/siteFiles/Publications/Understanding%20The%20Rules%20Of%20Bankruptcy%20Cramdown.pdf</w:t>
      </w:r>
      <w:r w:rsidR="00A002E7">
        <w:t>&gt;&gt; Accessed on 27 February 2024</w:t>
      </w:r>
    </w:p>
  </w:footnote>
  <w:footnote w:id="39">
    <w:p w:rsidR="00A05F88" w:rsidRPr="00A05F88" w:rsidRDefault="00A05F88">
      <w:pPr>
        <w:pStyle w:val="FootnoteText"/>
        <w:rPr>
          <w:lang w:val="en-US"/>
        </w:rPr>
      </w:pPr>
      <w:r>
        <w:rPr>
          <w:rStyle w:val="FootnoteReference"/>
        </w:rPr>
        <w:footnoteRef/>
      </w:r>
      <w:r>
        <w:t xml:space="preserve"> </w:t>
      </w:r>
      <w:r w:rsidR="00A002E7">
        <w:t xml:space="preserve">ibid </w:t>
      </w:r>
    </w:p>
  </w:footnote>
  <w:footnote w:id="40">
    <w:p w:rsidR="00AA1D74" w:rsidRPr="00AA1D74" w:rsidRDefault="00AA1D74">
      <w:pPr>
        <w:pStyle w:val="FootnoteText"/>
        <w:rPr>
          <w:lang w:val="en-US"/>
        </w:rPr>
      </w:pPr>
      <w:r>
        <w:rPr>
          <w:rStyle w:val="FootnoteReference"/>
        </w:rPr>
        <w:footnoteRef/>
      </w:r>
      <w:r>
        <w:t xml:space="preserve"> </w:t>
      </w:r>
      <w:r w:rsidR="0035232E" w:rsidRPr="0035232E">
        <w:t>Green, P.M. (2022). Confirmation Denied: Chapter 11 Plan Did Not Satisfy New Value Exception to Absolute Priority Rule Without Market Testing. &lt;&lt; https://www.jonesday.com/en/insights/2022/03/confirmation-denied-chapter-11-plan-did-not-satisfy-new-value-exception-to-absolute-priority-rule-without-market-testing&gt;&gt; Accessed on</w:t>
      </w:r>
      <w:r w:rsidR="0035232E">
        <w:t xml:space="preserve"> 17 March 2024</w:t>
      </w:r>
    </w:p>
  </w:footnote>
  <w:footnote w:id="41">
    <w:p w:rsidR="00A57D52" w:rsidRPr="00A57D52" w:rsidRDefault="00A57D52">
      <w:pPr>
        <w:pStyle w:val="FootnoteText"/>
        <w:rPr>
          <w:lang w:val="en-US"/>
        </w:rPr>
      </w:pPr>
      <w:r>
        <w:rPr>
          <w:rStyle w:val="FootnoteReference"/>
        </w:rPr>
        <w:footnoteRef/>
      </w:r>
      <w:r>
        <w:t xml:space="preserve"> </w:t>
      </w:r>
      <w:r w:rsidR="00821B88">
        <w:t>s</w:t>
      </w:r>
      <w:r w:rsidR="0035232E">
        <w:t>upra, note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6FE"/>
    <w:multiLevelType w:val="hybridMultilevel"/>
    <w:tmpl w:val="AF608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70E"/>
    <w:multiLevelType w:val="hybridMultilevel"/>
    <w:tmpl w:val="3BA0C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37A61"/>
    <w:multiLevelType w:val="hybridMultilevel"/>
    <w:tmpl w:val="2E22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57AC"/>
    <w:multiLevelType w:val="hybridMultilevel"/>
    <w:tmpl w:val="4536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1282"/>
    <w:multiLevelType w:val="hybridMultilevel"/>
    <w:tmpl w:val="77A0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129E9"/>
    <w:multiLevelType w:val="hybridMultilevel"/>
    <w:tmpl w:val="0A2E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D29B9"/>
    <w:multiLevelType w:val="hybridMultilevel"/>
    <w:tmpl w:val="A844E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246CC9"/>
    <w:multiLevelType w:val="hybridMultilevel"/>
    <w:tmpl w:val="59269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F0B42"/>
    <w:multiLevelType w:val="hybridMultilevel"/>
    <w:tmpl w:val="14649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A2C35"/>
    <w:multiLevelType w:val="hybridMultilevel"/>
    <w:tmpl w:val="3D1C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50085"/>
    <w:multiLevelType w:val="hybridMultilevel"/>
    <w:tmpl w:val="28F6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C0952"/>
    <w:multiLevelType w:val="hybridMultilevel"/>
    <w:tmpl w:val="73B8EBC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5B0103FB"/>
    <w:multiLevelType w:val="hybridMultilevel"/>
    <w:tmpl w:val="AFB2CB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F4507"/>
    <w:multiLevelType w:val="hybridMultilevel"/>
    <w:tmpl w:val="E362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924CB"/>
    <w:multiLevelType w:val="hybridMultilevel"/>
    <w:tmpl w:val="544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410E7"/>
    <w:multiLevelType w:val="hybridMultilevel"/>
    <w:tmpl w:val="31308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14D82"/>
    <w:multiLevelType w:val="hybridMultilevel"/>
    <w:tmpl w:val="6FEAD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5"/>
  </w:num>
  <w:num w:numId="5">
    <w:abstractNumId w:val="14"/>
  </w:num>
  <w:num w:numId="6">
    <w:abstractNumId w:val="0"/>
  </w:num>
  <w:num w:numId="7">
    <w:abstractNumId w:val="2"/>
  </w:num>
  <w:num w:numId="8">
    <w:abstractNumId w:val="11"/>
  </w:num>
  <w:num w:numId="9">
    <w:abstractNumId w:val="10"/>
  </w:num>
  <w:num w:numId="10">
    <w:abstractNumId w:val="5"/>
  </w:num>
  <w:num w:numId="11">
    <w:abstractNumId w:val="8"/>
  </w:num>
  <w:num w:numId="12">
    <w:abstractNumId w:val="13"/>
  </w:num>
  <w:num w:numId="13">
    <w:abstractNumId w:val="4"/>
  </w:num>
  <w:num w:numId="14">
    <w:abstractNumId w:val="7"/>
  </w:num>
  <w:num w:numId="15">
    <w:abstractNumId w:val="1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C5"/>
    <w:rsid w:val="000041A3"/>
    <w:rsid w:val="00005697"/>
    <w:rsid w:val="00005F7E"/>
    <w:rsid w:val="000143F3"/>
    <w:rsid w:val="0001588C"/>
    <w:rsid w:val="00020B66"/>
    <w:rsid w:val="000473FF"/>
    <w:rsid w:val="00076142"/>
    <w:rsid w:val="000908AB"/>
    <w:rsid w:val="00093F6F"/>
    <w:rsid w:val="00095BDE"/>
    <w:rsid w:val="000A6791"/>
    <w:rsid w:val="000B7DB3"/>
    <w:rsid w:val="000C5F31"/>
    <w:rsid w:val="000D1EC0"/>
    <w:rsid w:val="000F2CEF"/>
    <w:rsid w:val="000F6271"/>
    <w:rsid w:val="000F722B"/>
    <w:rsid w:val="0011472C"/>
    <w:rsid w:val="00124AE6"/>
    <w:rsid w:val="0013298C"/>
    <w:rsid w:val="00154B45"/>
    <w:rsid w:val="0016601C"/>
    <w:rsid w:val="0017036C"/>
    <w:rsid w:val="00177E6D"/>
    <w:rsid w:val="00186963"/>
    <w:rsid w:val="00191E6C"/>
    <w:rsid w:val="001B20DA"/>
    <w:rsid w:val="001B2846"/>
    <w:rsid w:val="001F4502"/>
    <w:rsid w:val="00212CF2"/>
    <w:rsid w:val="002219E7"/>
    <w:rsid w:val="00223C39"/>
    <w:rsid w:val="00224975"/>
    <w:rsid w:val="00225882"/>
    <w:rsid w:val="00240C17"/>
    <w:rsid w:val="00267BB1"/>
    <w:rsid w:val="0027777A"/>
    <w:rsid w:val="00277BA0"/>
    <w:rsid w:val="0028508F"/>
    <w:rsid w:val="002A178E"/>
    <w:rsid w:val="002C5BDA"/>
    <w:rsid w:val="002E375E"/>
    <w:rsid w:val="002E55AE"/>
    <w:rsid w:val="002F59CC"/>
    <w:rsid w:val="00306693"/>
    <w:rsid w:val="00317362"/>
    <w:rsid w:val="00326C67"/>
    <w:rsid w:val="00341125"/>
    <w:rsid w:val="0035232E"/>
    <w:rsid w:val="00362654"/>
    <w:rsid w:val="0036600F"/>
    <w:rsid w:val="00387644"/>
    <w:rsid w:val="00392066"/>
    <w:rsid w:val="00392BC6"/>
    <w:rsid w:val="003B07AB"/>
    <w:rsid w:val="003B271A"/>
    <w:rsid w:val="003E04DE"/>
    <w:rsid w:val="00406527"/>
    <w:rsid w:val="00421A00"/>
    <w:rsid w:val="00424103"/>
    <w:rsid w:val="00434625"/>
    <w:rsid w:val="00445830"/>
    <w:rsid w:val="00452256"/>
    <w:rsid w:val="00456B66"/>
    <w:rsid w:val="00461336"/>
    <w:rsid w:val="0049069A"/>
    <w:rsid w:val="0049581C"/>
    <w:rsid w:val="004B203F"/>
    <w:rsid w:val="004E0158"/>
    <w:rsid w:val="004E0A79"/>
    <w:rsid w:val="004E3176"/>
    <w:rsid w:val="00531644"/>
    <w:rsid w:val="005376C5"/>
    <w:rsid w:val="0054008E"/>
    <w:rsid w:val="0054573E"/>
    <w:rsid w:val="005877D6"/>
    <w:rsid w:val="005A4083"/>
    <w:rsid w:val="005B13B8"/>
    <w:rsid w:val="005C2FCC"/>
    <w:rsid w:val="005C7B5E"/>
    <w:rsid w:val="005D2535"/>
    <w:rsid w:val="005E47C9"/>
    <w:rsid w:val="005F3295"/>
    <w:rsid w:val="005F7ACF"/>
    <w:rsid w:val="006200AD"/>
    <w:rsid w:val="00640983"/>
    <w:rsid w:val="00653BFA"/>
    <w:rsid w:val="00661515"/>
    <w:rsid w:val="006627C0"/>
    <w:rsid w:val="00666405"/>
    <w:rsid w:val="006875EE"/>
    <w:rsid w:val="00694C3E"/>
    <w:rsid w:val="006B2E0A"/>
    <w:rsid w:val="006C4578"/>
    <w:rsid w:val="006C56A9"/>
    <w:rsid w:val="006C5ADB"/>
    <w:rsid w:val="006D63B9"/>
    <w:rsid w:val="006E2C83"/>
    <w:rsid w:val="006E4DB6"/>
    <w:rsid w:val="006F413F"/>
    <w:rsid w:val="007102A2"/>
    <w:rsid w:val="00711788"/>
    <w:rsid w:val="0072368F"/>
    <w:rsid w:val="007523D4"/>
    <w:rsid w:val="00764099"/>
    <w:rsid w:val="007706E7"/>
    <w:rsid w:val="007728B8"/>
    <w:rsid w:val="00791F7B"/>
    <w:rsid w:val="0079569A"/>
    <w:rsid w:val="007A3280"/>
    <w:rsid w:val="007A472C"/>
    <w:rsid w:val="007A4DED"/>
    <w:rsid w:val="007B1D6B"/>
    <w:rsid w:val="007B1FC7"/>
    <w:rsid w:val="007C1FC7"/>
    <w:rsid w:val="007C4A51"/>
    <w:rsid w:val="007C60AE"/>
    <w:rsid w:val="00821B88"/>
    <w:rsid w:val="00823F90"/>
    <w:rsid w:val="00854619"/>
    <w:rsid w:val="0086322A"/>
    <w:rsid w:val="0088261A"/>
    <w:rsid w:val="008D56C1"/>
    <w:rsid w:val="00943C2E"/>
    <w:rsid w:val="0095475D"/>
    <w:rsid w:val="0096415B"/>
    <w:rsid w:val="009818AF"/>
    <w:rsid w:val="009A2BD6"/>
    <w:rsid w:val="009B43BA"/>
    <w:rsid w:val="009B7761"/>
    <w:rsid w:val="009B7AB9"/>
    <w:rsid w:val="009C60F1"/>
    <w:rsid w:val="009D21F4"/>
    <w:rsid w:val="009F5156"/>
    <w:rsid w:val="00A002E7"/>
    <w:rsid w:val="00A00D42"/>
    <w:rsid w:val="00A05F88"/>
    <w:rsid w:val="00A06E30"/>
    <w:rsid w:val="00A145FE"/>
    <w:rsid w:val="00A14951"/>
    <w:rsid w:val="00A21CFF"/>
    <w:rsid w:val="00A300AA"/>
    <w:rsid w:val="00A320F3"/>
    <w:rsid w:val="00A326F3"/>
    <w:rsid w:val="00A335EB"/>
    <w:rsid w:val="00A35BCF"/>
    <w:rsid w:val="00A4271B"/>
    <w:rsid w:val="00A57D52"/>
    <w:rsid w:val="00A65E70"/>
    <w:rsid w:val="00AA1D74"/>
    <w:rsid w:val="00AC7CBA"/>
    <w:rsid w:val="00B17B39"/>
    <w:rsid w:val="00B201AF"/>
    <w:rsid w:val="00B21BA0"/>
    <w:rsid w:val="00B40A08"/>
    <w:rsid w:val="00B41129"/>
    <w:rsid w:val="00B517AD"/>
    <w:rsid w:val="00B53B48"/>
    <w:rsid w:val="00B60AA1"/>
    <w:rsid w:val="00B74C44"/>
    <w:rsid w:val="00B90A6F"/>
    <w:rsid w:val="00B9221F"/>
    <w:rsid w:val="00B92CDE"/>
    <w:rsid w:val="00B94BA8"/>
    <w:rsid w:val="00BA0BF6"/>
    <w:rsid w:val="00BE4F38"/>
    <w:rsid w:val="00BF21DB"/>
    <w:rsid w:val="00C32AEF"/>
    <w:rsid w:val="00C557BF"/>
    <w:rsid w:val="00C661EC"/>
    <w:rsid w:val="00C816BC"/>
    <w:rsid w:val="00C92CC1"/>
    <w:rsid w:val="00CA3C99"/>
    <w:rsid w:val="00CB12D9"/>
    <w:rsid w:val="00CB5A44"/>
    <w:rsid w:val="00CC4F29"/>
    <w:rsid w:val="00CD7123"/>
    <w:rsid w:val="00CE0663"/>
    <w:rsid w:val="00CE7679"/>
    <w:rsid w:val="00D02276"/>
    <w:rsid w:val="00D025BB"/>
    <w:rsid w:val="00D13129"/>
    <w:rsid w:val="00D42F24"/>
    <w:rsid w:val="00D6798A"/>
    <w:rsid w:val="00D71A07"/>
    <w:rsid w:val="00D8044A"/>
    <w:rsid w:val="00D97B6D"/>
    <w:rsid w:val="00DA72F7"/>
    <w:rsid w:val="00DC04D0"/>
    <w:rsid w:val="00DC6DAC"/>
    <w:rsid w:val="00DD1E09"/>
    <w:rsid w:val="00DD4CC1"/>
    <w:rsid w:val="00E11871"/>
    <w:rsid w:val="00E248F4"/>
    <w:rsid w:val="00E328CF"/>
    <w:rsid w:val="00E4237A"/>
    <w:rsid w:val="00E45009"/>
    <w:rsid w:val="00E4672C"/>
    <w:rsid w:val="00E80584"/>
    <w:rsid w:val="00E96692"/>
    <w:rsid w:val="00EC506D"/>
    <w:rsid w:val="00EE6282"/>
    <w:rsid w:val="00EE7354"/>
    <w:rsid w:val="00EF3DCC"/>
    <w:rsid w:val="00F02D8D"/>
    <w:rsid w:val="00F12A3D"/>
    <w:rsid w:val="00F567AC"/>
    <w:rsid w:val="00F57847"/>
    <w:rsid w:val="00F73FE3"/>
    <w:rsid w:val="00F86BE4"/>
    <w:rsid w:val="00F908E5"/>
    <w:rsid w:val="00F915BF"/>
    <w:rsid w:val="00FA508A"/>
    <w:rsid w:val="00FB3E23"/>
    <w:rsid w:val="00FE249C"/>
    <w:rsid w:val="00FF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57F34-ECBA-415F-A2F8-932635CD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376C5"/>
    <w:pPr>
      <w:spacing w:after="120" w:line="240" w:lineRule="atLeast"/>
    </w:pPr>
    <w:rPr>
      <w:rFonts w:eastAsia="Times New Roman" w:cs="Times New Roman"/>
      <w:sz w:val="18"/>
      <w:szCs w:val="18"/>
      <w:lang w:val="en-US" w:eastAsia="en-US"/>
    </w:rPr>
  </w:style>
  <w:style w:type="character" w:customStyle="1" w:styleId="BodyTextChar">
    <w:name w:val="Body Text Char"/>
    <w:basedOn w:val="DefaultParagraphFont"/>
    <w:link w:val="BodyText"/>
    <w:rsid w:val="005376C5"/>
    <w:rPr>
      <w:rFonts w:eastAsia="Times New Roman" w:cs="Times New Roman"/>
      <w:sz w:val="18"/>
      <w:szCs w:val="18"/>
      <w:lang w:eastAsia="en-US"/>
    </w:rPr>
  </w:style>
  <w:style w:type="paragraph" w:styleId="FootnoteText">
    <w:name w:val="footnote text"/>
    <w:basedOn w:val="Normal"/>
    <w:link w:val="FootnoteTextChar"/>
    <w:uiPriority w:val="99"/>
    <w:semiHidden/>
    <w:unhideWhenUsed/>
    <w:rsid w:val="00267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BB1"/>
    <w:rPr>
      <w:sz w:val="20"/>
      <w:szCs w:val="20"/>
      <w:lang w:val="en-GB"/>
    </w:rPr>
  </w:style>
  <w:style w:type="character" w:styleId="FootnoteReference">
    <w:name w:val="footnote reference"/>
    <w:basedOn w:val="DefaultParagraphFont"/>
    <w:uiPriority w:val="99"/>
    <w:semiHidden/>
    <w:unhideWhenUsed/>
    <w:rsid w:val="00267BB1"/>
    <w:rPr>
      <w:vertAlign w:val="superscript"/>
    </w:rPr>
  </w:style>
  <w:style w:type="character" w:styleId="Hyperlink">
    <w:name w:val="Hyperlink"/>
    <w:basedOn w:val="DefaultParagraphFont"/>
    <w:uiPriority w:val="99"/>
    <w:unhideWhenUsed/>
    <w:rsid w:val="00267BB1"/>
    <w:rPr>
      <w:color w:val="0563C1" w:themeColor="hyperlink"/>
      <w:u w:val="single"/>
    </w:rPr>
  </w:style>
  <w:style w:type="character" w:styleId="UnresolvedMention">
    <w:name w:val="Unresolved Mention"/>
    <w:basedOn w:val="DefaultParagraphFont"/>
    <w:uiPriority w:val="99"/>
    <w:semiHidden/>
    <w:unhideWhenUsed/>
    <w:rsid w:val="00267BB1"/>
    <w:rPr>
      <w:color w:val="605E5C"/>
      <w:shd w:val="clear" w:color="auto" w:fill="E1DFDD"/>
    </w:rPr>
  </w:style>
  <w:style w:type="paragraph" w:styleId="ListParagraph">
    <w:name w:val="List Paragraph"/>
    <w:basedOn w:val="Normal"/>
    <w:uiPriority w:val="34"/>
    <w:qFormat/>
    <w:rsid w:val="006875EE"/>
    <w:pPr>
      <w:ind w:left="720"/>
      <w:contextualSpacing/>
    </w:pPr>
  </w:style>
  <w:style w:type="character" w:styleId="FollowedHyperlink">
    <w:name w:val="FollowedHyperlink"/>
    <w:basedOn w:val="DefaultParagraphFont"/>
    <w:uiPriority w:val="99"/>
    <w:semiHidden/>
    <w:unhideWhenUsed/>
    <w:rsid w:val="00FF78EC"/>
    <w:rPr>
      <w:color w:val="954F72" w:themeColor="followedHyperlink"/>
      <w:u w:val="single"/>
    </w:rPr>
  </w:style>
  <w:style w:type="paragraph" w:styleId="Header">
    <w:name w:val="header"/>
    <w:basedOn w:val="Normal"/>
    <w:link w:val="HeaderChar"/>
    <w:uiPriority w:val="99"/>
    <w:unhideWhenUsed/>
    <w:rsid w:val="00170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36C"/>
    <w:rPr>
      <w:lang w:val="en-GB"/>
    </w:rPr>
  </w:style>
  <w:style w:type="paragraph" w:styleId="Footer">
    <w:name w:val="footer"/>
    <w:basedOn w:val="Normal"/>
    <w:link w:val="FooterChar"/>
    <w:uiPriority w:val="99"/>
    <w:unhideWhenUsed/>
    <w:rsid w:val="00170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3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obwessels.nl/blog/2023-12-doc1-the-dutch-whoa-scheme-as-a-successful-tool-in-international-restructurings/"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casetext.com/case/in-re-global-ocean-carriers-limited" TargetMode="External"/><Relationship Id="rId13" Type="http://schemas.openxmlformats.org/officeDocument/2006/relationships/hyperlink" Target="https://uncitral.un.org/en/texts/insolvency/modellaw/cross-border_insolvency/status" TargetMode="External"/><Relationship Id="rId18" Type="http://schemas.openxmlformats.org/officeDocument/2006/relationships/hyperlink" Target="https://www.nortonrosefulbright.com/en/knowledge/publications/fc0fb698/impact-of-brexit-on-insolvency" TargetMode="External"/><Relationship Id="rId3" Type="http://schemas.openxmlformats.org/officeDocument/2006/relationships/hyperlink" Target="https://www.houthoff.com/-/media/6ee174f77b0c4e3797440e5a1cf1dd40.pdf" TargetMode="External"/><Relationship Id="rId21" Type="http://schemas.openxmlformats.org/officeDocument/2006/relationships/hyperlink" Target="https://www.bairdholm.com/wp-content/uploads/2022/06/The-Restructuring-of-Corporate-Groups-USA-Chapter-by-Jeremy-C.-Hollembeak-of-Baird-Holm-LLP.pdf" TargetMode="External"/><Relationship Id="rId7" Type="http://schemas.openxmlformats.org/officeDocument/2006/relationships/hyperlink" Target="https://www.uscourts.gov/services-forms/bankruptcy/bankruptcy-basics/chapter-11-bankruptcy-basics" TargetMode="External"/><Relationship Id="rId12" Type="http://schemas.openxmlformats.org/officeDocument/2006/relationships/hyperlink" Target="https://uncitral.un.org/sites/uncitral.un.org/files/media-documents/uncitral/en/1997-model-law-insol-2013-guide-enactment-e.pdf" TargetMode="External"/><Relationship Id="rId17" Type="http://schemas.openxmlformats.org/officeDocument/2006/relationships/hyperlink" Target="https://www.iiiglobal.org/file.cfm/12/docs/2015_gold_arts_main_and_secondary_proceedings.pdf" TargetMode="External"/><Relationship Id="rId2" Type="http://schemas.openxmlformats.org/officeDocument/2006/relationships/hyperlink" Target="https://bnt.eu/legal-news/romania-new-pre-insolvency-proceedings/" TargetMode="External"/><Relationship Id="rId16" Type="http://schemas.openxmlformats.org/officeDocument/2006/relationships/hyperlink" Target="https://www.schoenherr.eu/content/recast-of-the-eu-regulation-on-insolvency-law-applicable-as-of-today/" TargetMode="External"/><Relationship Id="rId20" Type="http://schemas.openxmlformats.org/officeDocument/2006/relationships/hyperlink" Target="https://restructuring.weil.com/breaking-the-code/section-109a-filing-a-chapter-11-case-for-a-foreign-business/" TargetMode="External"/><Relationship Id="rId1" Type="http://schemas.openxmlformats.org/officeDocument/2006/relationships/hyperlink" Target="https://www.global-rates.com/en/interest-rates/libor/american-dollar/" TargetMode="External"/><Relationship Id="rId6" Type="http://schemas.openxmlformats.org/officeDocument/2006/relationships/hyperlink" Target="https://www.vbk.nl/en/legalupdate/successful-use-dutch-whoa-schemes-international-restructurings" TargetMode="External"/><Relationship Id="rId11" Type="http://schemas.openxmlformats.org/officeDocument/2006/relationships/hyperlink" Target="https://uncitral.un.org/en/texts/insolvency" TargetMode="External"/><Relationship Id="rId5" Type="http://schemas.openxmlformats.org/officeDocument/2006/relationships/hyperlink" Target="https://bobwessels.nl/blog/2023-12-doc1-the-dutch-whoa-scheme-as-a-successful-tool-in-international-restructurings/" TargetMode="External"/><Relationship Id="rId15" Type="http://schemas.openxmlformats.org/officeDocument/2006/relationships/hyperlink" Target="https://www.paulhastings.com/insights/client-alerts/new-eu-regulation-on-insolvency-proceedings" TargetMode="External"/><Relationship Id="rId10" Type="http://schemas.openxmlformats.org/officeDocument/2006/relationships/hyperlink" Target="https://globalrestructuringreview.com/guide/the-art-of-the-pre-pack/edition-3/article/prepackaged-chapter-11-in-the-united-states-overview" TargetMode="External"/><Relationship Id="rId19" Type="http://schemas.openxmlformats.org/officeDocument/2006/relationships/hyperlink" Target="https://www.allenovery.com/global/-/media/allenovery/2_documents/practices/restructuring/restructuring_across_borders_final/romania.pdf" TargetMode="External"/><Relationship Id="rId4" Type="http://schemas.openxmlformats.org/officeDocument/2006/relationships/hyperlink" Target="https://www.loyensloeff.com/services/expertises/restructuring--insolvency/whoa/" TargetMode="External"/><Relationship Id="rId9" Type="http://schemas.openxmlformats.org/officeDocument/2006/relationships/hyperlink" Target="https://www.kirkland.com/siteFiles/kirkexp/publications/2365/Document1/Friedland%20-%20Confirming%20a%20Plan.pdf" TargetMode="External"/><Relationship Id="rId14" Type="http://schemas.openxmlformats.org/officeDocument/2006/relationships/hyperlink" Target="https://www.insol-europe.org/download/resource/142" TargetMode="External"/><Relationship Id="rId22" Type="http://schemas.openxmlformats.org/officeDocument/2006/relationships/hyperlink" Target="https://akingump.com/a/web/hRHTw5KiYyij47v1wrnGWX/4NXekx/financial-restructuring-in-depth-restructuring-plans-and-chapter-11-a-transatlantic-perspective-january-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7DFF-880B-446B-B223-0C89A70B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Trayers</dc:creator>
  <cp:keywords/>
  <dc:description/>
  <cp:lastModifiedBy>Nigel Trayers</cp:lastModifiedBy>
  <cp:revision>2</cp:revision>
  <dcterms:created xsi:type="dcterms:W3CDTF">2024-04-12T06:03:00Z</dcterms:created>
  <dcterms:modified xsi:type="dcterms:W3CDTF">2024-04-12T06:03:00Z</dcterms:modified>
</cp:coreProperties>
</file>