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FCAFD" w14:textId="740AFF91" w:rsidR="006436F1" w:rsidRDefault="00CF0F40" w:rsidP="00C139F3">
      <w:pPr>
        <w:jc w:val="center"/>
      </w:pPr>
      <w:r>
        <w:t>[FIRM LETTERHEAD]</w:t>
      </w:r>
    </w:p>
    <w:p w14:paraId="5CFCBBD1" w14:textId="77777777" w:rsidR="006436F1" w:rsidRDefault="006436F1">
      <w:pPr>
        <w:rPr>
          <w:rFonts w:ascii="Arial" w:hAnsi="Arial" w:cs="Arial"/>
          <w:sz w:val="20"/>
          <w:szCs w:val="20"/>
        </w:rPr>
      </w:pPr>
    </w:p>
    <w:p w14:paraId="1AD74C48" w14:textId="6D151374" w:rsidR="00CF0F40" w:rsidRDefault="00CF0F40" w:rsidP="00A43070">
      <w:pPr>
        <w:jc w:val="both"/>
        <w:rPr>
          <w:rFonts w:ascii="Arial" w:hAnsi="Arial" w:cs="Arial"/>
          <w:sz w:val="20"/>
          <w:szCs w:val="20"/>
        </w:rPr>
      </w:pPr>
      <w:r>
        <w:rPr>
          <w:rFonts w:ascii="Arial" w:hAnsi="Arial" w:cs="Arial"/>
          <w:sz w:val="20"/>
          <w:szCs w:val="20"/>
        </w:rPr>
        <w:t>15 April 2024</w:t>
      </w:r>
    </w:p>
    <w:p w14:paraId="13FFACF1" w14:textId="42E82FC1" w:rsidR="006436F1" w:rsidRPr="006436F1" w:rsidRDefault="006436F1" w:rsidP="00A43070">
      <w:pPr>
        <w:jc w:val="both"/>
        <w:rPr>
          <w:rFonts w:ascii="Arial" w:hAnsi="Arial" w:cs="Arial"/>
          <w:sz w:val="20"/>
          <w:szCs w:val="20"/>
        </w:rPr>
      </w:pPr>
      <w:r w:rsidRPr="006436F1">
        <w:rPr>
          <w:rFonts w:ascii="Arial" w:hAnsi="Arial" w:cs="Arial"/>
          <w:sz w:val="20"/>
          <w:szCs w:val="20"/>
        </w:rPr>
        <w:t>Mr Benedict Maximov</w:t>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r w:rsidR="00A43070">
        <w:rPr>
          <w:rFonts w:ascii="Arial" w:hAnsi="Arial" w:cs="Arial"/>
          <w:sz w:val="20"/>
          <w:szCs w:val="20"/>
        </w:rPr>
        <w:tab/>
      </w:r>
      <w:r w:rsidRPr="006436F1">
        <w:rPr>
          <w:rFonts w:ascii="Arial" w:hAnsi="Arial" w:cs="Arial"/>
          <w:b/>
          <w:bCs/>
          <w:sz w:val="20"/>
          <w:szCs w:val="20"/>
        </w:rPr>
        <w:t>PRIVATE &amp; CONFIDENTIAL</w:t>
      </w:r>
    </w:p>
    <w:p w14:paraId="019B6505" w14:textId="77777777" w:rsidR="006436F1" w:rsidRPr="006436F1" w:rsidRDefault="006436F1" w:rsidP="00A43070">
      <w:pPr>
        <w:jc w:val="both"/>
        <w:rPr>
          <w:rFonts w:ascii="Arial" w:hAnsi="Arial" w:cs="Arial"/>
          <w:sz w:val="20"/>
          <w:szCs w:val="20"/>
        </w:rPr>
      </w:pPr>
      <w:r w:rsidRPr="006436F1">
        <w:rPr>
          <w:rFonts w:ascii="Arial" w:hAnsi="Arial" w:cs="Arial"/>
          <w:sz w:val="20"/>
          <w:szCs w:val="20"/>
        </w:rPr>
        <w:t>[address]</w:t>
      </w:r>
    </w:p>
    <w:p w14:paraId="46525AE7" w14:textId="77777777" w:rsidR="006436F1" w:rsidRPr="006436F1" w:rsidRDefault="006436F1" w:rsidP="00A43070">
      <w:pPr>
        <w:jc w:val="both"/>
        <w:rPr>
          <w:rFonts w:ascii="Arial" w:hAnsi="Arial" w:cs="Arial"/>
          <w:sz w:val="20"/>
          <w:szCs w:val="20"/>
        </w:rPr>
      </w:pPr>
    </w:p>
    <w:p w14:paraId="50F67050" w14:textId="44326610" w:rsidR="006436F1" w:rsidRPr="006436F1" w:rsidRDefault="006436F1" w:rsidP="00A43070">
      <w:pPr>
        <w:spacing w:line="360" w:lineRule="auto"/>
        <w:jc w:val="both"/>
        <w:rPr>
          <w:rFonts w:ascii="Arial" w:hAnsi="Arial" w:cs="Arial"/>
          <w:sz w:val="20"/>
          <w:szCs w:val="20"/>
        </w:rPr>
      </w:pPr>
      <w:r w:rsidRPr="006436F1">
        <w:rPr>
          <w:rFonts w:ascii="Arial" w:hAnsi="Arial" w:cs="Arial"/>
          <w:sz w:val="20"/>
          <w:szCs w:val="20"/>
        </w:rPr>
        <w:t>Dear Sir,</w:t>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r w:rsidRPr="006436F1">
        <w:rPr>
          <w:rFonts w:ascii="Arial" w:hAnsi="Arial" w:cs="Arial"/>
          <w:sz w:val="20"/>
          <w:szCs w:val="20"/>
        </w:rPr>
        <w:tab/>
      </w:r>
    </w:p>
    <w:p w14:paraId="28504C33" w14:textId="4BD4E4CB" w:rsidR="006436F1" w:rsidRDefault="006436F1" w:rsidP="00A43070">
      <w:pPr>
        <w:spacing w:line="360" w:lineRule="auto"/>
        <w:jc w:val="both"/>
        <w:rPr>
          <w:rFonts w:ascii="Arial" w:hAnsi="Arial" w:cs="Arial"/>
          <w:b/>
          <w:bCs/>
          <w:sz w:val="20"/>
          <w:szCs w:val="20"/>
        </w:rPr>
      </w:pPr>
      <w:r w:rsidRPr="006436F1">
        <w:rPr>
          <w:rFonts w:ascii="Arial" w:hAnsi="Arial" w:cs="Arial"/>
          <w:b/>
          <w:bCs/>
          <w:sz w:val="20"/>
          <w:szCs w:val="20"/>
        </w:rPr>
        <w:t xml:space="preserve">OPTIONS AVAILABLE TO RESTRUCTURE </w:t>
      </w:r>
      <w:r w:rsidR="00F450C3">
        <w:rPr>
          <w:rFonts w:ascii="Arial" w:hAnsi="Arial" w:cs="Arial"/>
          <w:b/>
          <w:bCs/>
          <w:sz w:val="20"/>
          <w:szCs w:val="20"/>
        </w:rPr>
        <w:t xml:space="preserve">THE COMPANIES BEHIND TEAM </w:t>
      </w:r>
      <w:r w:rsidRPr="006436F1">
        <w:rPr>
          <w:rFonts w:ascii="Arial" w:hAnsi="Arial" w:cs="Arial"/>
          <w:b/>
          <w:bCs/>
          <w:sz w:val="20"/>
          <w:szCs w:val="20"/>
        </w:rPr>
        <w:t>MAXIMOV</w:t>
      </w:r>
    </w:p>
    <w:p w14:paraId="1722ED49" w14:textId="4AEAE846" w:rsidR="009D3704" w:rsidRDefault="006436F1" w:rsidP="00A43070">
      <w:pPr>
        <w:pStyle w:val="ListParagraph"/>
        <w:numPr>
          <w:ilvl w:val="0"/>
          <w:numId w:val="1"/>
        </w:numPr>
        <w:spacing w:line="360" w:lineRule="auto"/>
        <w:ind w:left="567" w:hanging="567"/>
        <w:jc w:val="both"/>
        <w:rPr>
          <w:rFonts w:ascii="Arial" w:hAnsi="Arial" w:cs="Arial"/>
          <w:sz w:val="20"/>
          <w:szCs w:val="20"/>
        </w:rPr>
      </w:pPr>
      <w:r w:rsidRPr="006436F1">
        <w:rPr>
          <w:rFonts w:ascii="Arial" w:hAnsi="Arial" w:cs="Arial"/>
          <w:sz w:val="20"/>
          <w:szCs w:val="20"/>
        </w:rPr>
        <w:t>Thank you for instructing us in this matter.</w:t>
      </w:r>
    </w:p>
    <w:p w14:paraId="13B6A376" w14:textId="7CA3A4A6" w:rsidR="006436F1" w:rsidRPr="00A43070" w:rsidRDefault="009D3704" w:rsidP="00A43070">
      <w:pPr>
        <w:spacing w:line="360" w:lineRule="auto"/>
        <w:ind w:left="567" w:hanging="567"/>
        <w:jc w:val="both"/>
        <w:rPr>
          <w:rFonts w:ascii="Arial" w:hAnsi="Arial" w:cs="Arial"/>
          <w:sz w:val="20"/>
          <w:szCs w:val="20"/>
          <w:u w:val="single"/>
        </w:rPr>
      </w:pPr>
      <w:r w:rsidRPr="009D3704">
        <w:rPr>
          <w:rFonts w:ascii="Arial" w:hAnsi="Arial" w:cs="Arial"/>
          <w:sz w:val="20"/>
          <w:szCs w:val="20"/>
          <w:u w:val="single"/>
        </w:rPr>
        <w:t>The Facts</w:t>
      </w:r>
    </w:p>
    <w:p w14:paraId="03A2286E" w14:textId="6C126D4E" w:rsidR="006436F1" w:rsidRDefault="006436F1"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Based on your instructions and the documents made available to us, we understand the facts to be as follows:</w:t>
      </w:r>
    </w:p>
    <w:p w14:paraId="35301A3D" w14:textId="77777777" w:rsidR="00CF0F40" w:rsidRDefault="00CF0F40" w:rsidP="00A43070">
      <w:pPr>
        <w:pStyle w:val="ListParagraph"/>
        <w:ind w:left="284"/>
        <w:jc w:val="both"/>
        <w:rPr>
          <w:rFonts w:ascii="Arial" w:hAnsi="Arial" w:cs="Arial"/>
          <w:sz w:val="20"/>
          <w:szCs w:val="20"/>
        </w:rPr>
      </w:pPr>
    </w:p>
    <w:p w14:paraId="60A958D0" w14:textId="2F94F11A" w:rsidR="006436F1" w:rsidRDefault="00506F5D"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 xml:space="preserve">In early 2014, you incorporated a company under Texan law called Efwon Investments Inc (“F1 Investments”) </w:t>
      </w:r>
      <w:r w:rsidR="00FA70C9">
        <w:rPr>
          <w:rFonts w:ascii="Arial" w:hAnsi="Arial" w:cs="Arial"/>
          <w:sz w:val="20"/>
          <w:szCs w:val="20"/>
        </w:rPr>
        <w:t>to</w:t>
      </w:r>
      <w:r>
        <w:rPr>
          <w:rFonts w:ascii="Arial" w:hAnsi="Arial" w:cs="Arial"/>
          <w:sz w:val="20"/>
          <w:szCs w:val="20"/>
        </w:rPr>
        <w:t xml:space="preserve"> which you contributed USD 100</w:t>
      </w:r>
      <w:r w:rsidR="00FA70C9">
        <w:rPr>
          <w:rFonts w:ascii="Arial" w:hAnsi="Arial" w:cs="Arial"/>
          <w:sz w:val="20"/>
          <w:szCs w:val="20"/>
        </w:rPr>
        <w:t xml:space="preserve"> </w:t>
      </w:r>
      <w:r>
        <w:rPr>
          <w:rFonts w:ascii="Arial" w:hAnsi="Arial" w:cs="Arial"/>
          <w:sz w:val="20"/>
          <w:szCs w:val="20"/>
        </w:rPr>
        <w:t>m</w:t>
      </w:r>
      <w:r w:rsidR="00FA70C9">
        <w:rPr>
          <w:rFonts w:ascii="Arial" w:hAnsi="Arial" w:cs="Arial"/>
          <w:sz w:val="20"/>
          <w:szCs w:val="20"/>
        </w:rPr>
        <w:t>illion</w:t>
      </w:r>
      <w:r>
        <w:rPr>
          <w:rFonts w:ascii="Arial" w:hAnsi="Arial" w:cs="Arial"/>
          <w:sz w:val="20"/>
          <w:szCs w:val="20"/>
        </w:rPr>
        <w:t xml:space="preserve">. </w:t>
      </w:r>
      <w:r w:rsidR="006E4B10">
        <w:rPr>
          <w:rFonts w:ascii="Arial" w:hAnsi="Arial" w:cs="Arial"/>
          <w:sz w:val="20"/>
          <w:szCs w:val="20"/>
        </w:rPr>
        <w:t>F</w:t>
      </w:r>
      <w:r>
        <w:rPr>
          <w:rFonts w:ascii="Arial" w:hAnsi="Arial" w:cs="Arial"/>
          <w:sz w:val="20"/>
          <w:szCs w:val="20"/>
        </w:rPr>
        <w:t>1 Investments borrowed USD250 million</w:t>
      </w:r>
      <w:r w:rsidR="006E4B10">
        <w:rPr>
          <w:rFonts w:ascii="Arial" w:hAnsi="Arial" w:cs="Arial"/>
          <w:sz w:val="20"/>
          <w:szCs w:val="20"/>
        </w:rPr>
        <w:t xml:space="preserve"> (the “US Loan”)</w:t>
      </w:r>
      <w:r>
        <w:rPr>
          <w:rFonts w:ascii="Arial" w:hAnsi="Arial" w:cs="Arial"/>
          <w:sz w:val="20"/>
          <w:szCs w:val="20"/>
        </w:rPr>
        <w:t xml:space="preserve"> from a syndicate of banks (the “US </w:t>
      </w:r>
      <w:r w:rsidR="00EF3FC2">
        <w:rPr>
          <w:rFonts w:ascii="Arial" w:hAnsi="Arial" w:cs="Arial"/>
          <w:sz w:val="20"/>
          <w:szCs w:val="20"/>
        </w:rPr>
        <w:t>Lenders</w:t>
      </w:r>
      <w:r>
        <w:rPr>
          <w:rFonts w:ascii="Arial" w:hAnsi="Arial" w:cs="Arial"/>
          <w:sz w:val="20"/>
          <w:szCs w:val="20"/>
        </w:rPr>
        <w:t>”)</w:t>
      </w:r>
      <w:r w:rsidR="006E4B10">
        <w:rPr>
          <w:rFonts w:ascii="Arial" w:hAnsi="Arial" w:cs="Arial"/>
          <w:sz w:val="20"/>
          <w:szCs w:val="20"/>
        </w:rPr>
        <w:t xml:space="preserve"> which was secured on:</w:t>
      </w:r>
    </w:p>
    <w:p w14:paraId="0D9124AA" w14:textId="77777777" w:rsidR="00A43070" w:rsidRDefault="00A43070" w:rsidP="00A43070">
      <w:pPr>
        <w:pStyle w:val="ListParagraph"/>
        <w:ind w:left="1134"/>
        <w:jc w:val="both"/>
        <w:rPr>
          <w:rFonts w:ascii="Arial" w:hAnsi="Arial" w:cs="Arial"/>
          <w:sz w:val="20"/>
          <w:szCs w:val="20"/>
        </w:rPr>
      </w:pPr>
    </w:p>
    <w:p w14:paraId="4955B463" w14:textId="61EB3803" w:rsidR="006E4B10" w:rsidRDefault="006E4B10" w:rsidP="00A43070">
      <w:pPr>
        <w:pStyle w:val="ListParagraph"/>
        <w:numPr>
          <w:ilvl w:val="2"/>
          <w:numId w:val="1"/>
        </w:numPr>
        <w:ind w:left="1701" w:hanging="567"/>
        <w:jc w:val="both"/>
        <w:rPr>
          <w:rFonts w:ascii="Arial" w:hAnsi="Arial" w:cs="Arial"/>
          <w:sz w:val="20"/>
          <w:szCs w:val="20"/>
        </w:rPr>
      </w:pPr>
      <w:r>
        <w:rPr>
          <w:rFonts w:ascii="Arial" w:hAnsi="Arial" w:cs="Arial"/>
          <w:sz w:val="20"/>
          <w:szCs w:val="20"/>
        </w:rPr>
        <w:t>mortgages over personal properties owned by you which have been recently valued at USD75m;</w:t>
      </w:r>
    </w:p>
    <w:p w14:paraId="3B8A822B" w14:textId="59F707BE" w:rsidR="006E4B10" w:rsidRDefault="006E4B10" w:rsidP="00A43070">
      <w:pPr>
        <w:pStyle w:val="ListParagraph"/>
        <w:numPr>
          <w:ilvl w:val="2"/>
          <w:numId w:val="1"/>
        </w:numPr>
        <w:ind w:left="1701" w:hanging="567"/>
        <w:jc w:val="both"/>
        <w:rPr>
          <w:rFonts w:ascii="Arial" w:hAnsi="Arial" w:cs="Arial"/>
          <w:sz w:val="20"/>
          <w:szCs w:val="20"/>
        </w:rPr>
      </w:pPr>
      <w:r>
        <w:rPr>
          <w:rFonts w:ascii="Arial" w:hAnsi="Arial" w:cs="Arial"/>
          <w:sz w:val="20"/>
          <w:szCs w:val="20"/>
        </w:rPr>
        <w:t>a pledge over the shares of F1 Investments;</w:t>
      </w:r>
    </w:p>
    <w:p w14:paraId="66238BC5" w14:textId="36C74851" w:rsidR="006E4B10" w:rsidRDefault="006E4B10" w:rsidP="00A43070">
      <w:pPr>
        <w:pStyle w:val="ListParagraph"/>
        <w:numPr>
          <w:ilvl w:val="2"/>
          <w:numId w:val="1"/>
        </w:numPr>
        <w:ind w:left="1701" w:hanging="567"/>
        <w:jc w:val="both"/>
        <w:rPr>
          <w:rFonts w:ascii="Arial" w:hAnsi="Arial" w:cs="Arial"/>
          <w:sz w:val="20"/>
          <w:szCs w:val="20"/>
        </w:rPr>
      </w:pPr>
      <w:r>
        <w:rPr>
          <w:rFonts w:ascii="Arial" w:hAnsi="Arial" w:cs="Arial"/>
          <w:sz w:val="20"/>
          <w:szCs w:val="20"/>
        </w:rPr>
        <w:t>positive and negative pledges.</w:t>
      </w:r>
    </w:p>
    <w:p w14:paraId="0C58DEF0" w14:textId="77777777" w:rsidR="006E4B10" w:rsidRDefault="006E4B10" w:rsidP="00A43070">
      <w:pPr>
        <w:pStyle w:val="ListParagraph"/>
        <w:ind w:left="1134"/>
        <w:jc w:val="both"/>
        <w:rPr>
          <w:rFonts w:ascii="Arial" w:hAnsi="Arial" w:cs="Arial"/>
          <w:sz w:val="20"/>
          <w:szCs w:val="20"/>
        </w:rPr>
      </w:pPr>
    </w:p>
    <w:p w14:paraId="02ABFB23" w14:textId="0BF3DC2F" w:rsidR="006E4B10" w:rsidRDefault="006E4B10"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Interest of 4% over LIBOR per annum would be applied on the outstanding principal of the US Loan</w:t>
      </w:r>
      <w:r w:rsidR="007D4C1A">
        <w:rPr>
          <w:rFonts w:ascii="Arial" w:hAnsi="Arial" w:cs="Arial"/>
          <w:sz w:val="20"/>
          <w:szCs w:val="20"/>
        </w:rPr>
        <w:t xml:space="preserve"> which raised in 2015 to 6% per annum</w:t>
      </w:r>
      <w:r>
        <w:rPr>
          <w:rFonts w:ascii="Arial" w:hAnsi="Arial" w:cs="Arial"/>
          <w:sz w:val="20"/>
          <w:szCs w:val="20"/>
        </w:rPr>
        <w:t>. The syndicate comprised 2 senior banks owed an aggregate of USD100</w:t>
      </w:r>
      <w:r w:rsidR="00FA70C9">
        <w:rPr>
          <w:rFonts w:ascii="Arial" w:hAnsi="Arial" w:cs="Arial"/>
          <w:sz w:val="20"/>
          <w:szCs w:val="20"/>
        </w:rPr>
        <w:t xml:space="preserve"> million</w:t>
      </w:r>
      <w:r>
        <w:rPr>
          <w:rFonts w:ascii="Arial" w:hAnsi="Arial" w:cs="Arial"/>
          <w:sz w:val="20"/>
          <w:szCs w:val="20"/>
        </w:rPr>
        <w:t>, 2 mezzanine financial creditors owed an aggregate of USD60</w:t>
      </w:r>
      <w:r w:rsidR="00FA70C9">
        <w:rPr>
          <w:rFonts w:ascii="Arial" w:hAnsi="Arial" w:cs="Arial"/>
          <w:sz w:val="20"/>
          <w:szCs w:val="20"/>
        </w:rPr>
        <w:t xml:space="preserve"> million </w:t>
      </w:r>
      <w:r>
        <w:rPr>
          <w:rFonts w:ascii="Arial" w:hAnsi="Arial" w:cs="Arial"/>
          <w:sz w:val="20"/>
          <w:szCs w:val="20"/>
        </w:rPr>
        <w:t>and 5 junior financial creditors owed an aggregate of USD 90</w:t>
      </w:r>
      <w:r w:rsidR="00FA70C9">
        <w:rPr>
          <w:rFonts w:ascii="Arial" w:hAnsi="Arial" w:cs="Arial"/>
          <w:sz w:val="20"/>
          <w:szCs w:val="20"/>
        </w:rPr>
        <w:t xml:space="preserve"> million</w:t>
      </w:r>
      <w:r>
        <w:rPr>
          <w:rFonts w:ascii="Arial" w:hAnsi="Arial" w:cs="Arial"/>
          <w:sz w:val="20"/>
          <w:szCs w:val="20"/>
        </w:rPr>
        <w:t>.</w:t>
      </w:r>
    </w:p>
    <w:p w14:paraId="4823313D" w14:textId="77777777" w:rsidR="006E4B10" w:rsidRDefault="006E4B10" w:rsidP="00A43070">
      <w:pPr>
        <w:pStyle w:val="ListParagraph"/>
        <w:ind w:left="567" w:hanging="567"/>
        <w:jc w:val="both"/>
        <w:rPr>
          <w:rFonts w:ascii="Arial" w:hAnsi="Arial" w:cs="Arial"/>
          <w:sz w:val="20"/>
          <w:szCs w:val="20"/>
        </w:rPr>
      </w:pPr>
    </w:p>
    <w:p w14:paraId="3D89F245" w14:textId="777AA18F" w:rsidR="00EF3FC2" w:rsidRDefault="00EF3FC2"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The US Loan was fully drawn down and a sum of USD350</w:t>
      </w:r>
      <w:r w:rsidR="00FA70C9">
        <w:rPr>
          <w:rFonts w:ascii="Arial" w:hAnsi="Arial" w:cs="Arial"/>
          <w:sz w:val="20"/>
          <w:szCs w:val="20"/>
        </w:rPr>
        <w:t xml:space="preserve"> million</w:t>
      </w:r>
      <w:r>
        <w:rPr>
          <w:rFonts w:ascii="Arial" w:hAnsi="Arial" w:cs="Arial"/>
          <w:sz w:val="20"/>
          <w:szCs w:val="20"/>
        </w:rPr>
        <w:t xml:space="preserve"> representing the equity and loan capital of F1 Investments was lent by F1 Investments to a Dutch company called Efwon Trading BV</w:t>
      </w:r>
      <w:r>
        <w:rPr>
          <w:rStyle w:val="FootnoteReference"/>
          <w:rFonts w:ascii="Arial" w:hAnsi="Arial" w:cs="Arial"/>
          <w:sz w:val="20"/>
          <w:szCs w:val="20"/>
        </w:rPr>
        <w:footnoteReference w:id="1"/>
      </w:r>
      <w:r>
        <w:rPr>
          <w:rFonts w:ascii="Arial" w:hAnsi="Arial" w:cs="Arial"/>
          <w:sz w:val="20"/>
          <w:szCs w:val="20"/>
        </w:rPr>
        <w:t xml:space="preserve"> (“F1 Trading”). F1 Trading in turned gave security over its future revenue streams to F1 Investments. The prospect of dividends from F1 Trading from such revenue streams appears to be F1 Investments</w:t>
      </w:r>
      <w:r w:rsidR="00FA70C9">
        <w:rPr>
          <w:rFonts w:ascii="Arial" w:hAnsi="Arial" w:cs="Arial"/>
          <w:sz w:val="20"/>
          <w:szCs w:val="20"/>
        </w:rPr>
        <w:t>’</w:t>
      </w:r>
      <w:r>
        <w:rPr>
          <w:rFonts w:ascii="Arial" w:hAnsi="Arial" w:cs="Arial"/>
          <w:sz w:val="20"/>
          <w:szCs w:val="20"/>
        </w:rPr>
        <w:t xml:space="preserve"> only source of income. The shares of F1 Trading, as with the shares of F1 Investments, were likewise pledged to the US Lenders.</w:t>
      </w:r>
      <w:r w:rsidR="00155D41">
        <w:rPr>
          <w:rFonts w:ascii="Arial" w:hAnsi="Arial" w:cs="Arial"/>
          <w:sz w:val="20"/>
          <w:szCs w:val="20"/>
        </w:rPr>
        <w:t xml:space="preserve"> It appears that there is no interest </w:t>
      </w:r>
      <w:r w:rsidR="00FA70C9">
        <w:rPr>
          <w:rFonts w:ascii="Arial" w:hAnsi="Arial" w:cs="Arial"/>
          <w:sz w:val="20"/>
          <w:szCs w:val="20"/>
        </w:rPr>
        <w:t>applicable to</w:t>
      </w:r>
      <w:r w:rsidR="00155D41">
        <w:rPr>
          <w:rFonts w:ascii="Arial" w:hAnsi="Arial" w:cs="Arial"/>
          <w:sz w:val="20"/>
          <w:szCs w:val="20"/>
        </w:rPr>
        <w:t xml:space="preserve"> this loan.</w:t>
      </w:r>
    </w:p>
    <w:p w14:paraId="05D96F6B" w14:textId="77777777" w:rsidR="00EF3FC2" w:rsidRPr="00EF3FC2" w:rsidRDefault="00EF3FC2" w:rsidP="00A43070">
      <w:pPr>
        <w:pStyle w:val="ListParagraph"/>
        <w:ind w:left="567" w:hanging="567"/>
        <w:jc w:val="both"/>
        <w:rPr>
          <w:rFonts w:ascii="Arial" w:hAnsi="Arial" w:cs="Arial"/>
          <w:sz w:val="20"/>
          <w:szCs w:val="20"/>
        </w:rPr>
      </w:pPr>
    </w:p>
    <w:p w14:paraId="17E6A1CA" w14:textId="154E4B70" w:rsidR="00EF3FC2" w:rsidRDefault="00EF3FC2"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In late 2014, F1 Trading acquired a racing team together with </w:t>
      </w:r>
      <w:r w:rsidR="00F450C3">
        <w:rPr>
          <w:rFonts w:ascii="Arial" w:hAnsi="Arial" w:cs="Arial"/>
          <w:sz w:val="20"/>
          <w:szCs w:val="20"/>
        </w:rPr>
        <w:t>the</w:t>
      </w:r>
      <w:r>
        <w:rPr>
          <w:rFonts w:ascii="Arial" w:hAnsi="Arial" w:cs="Arial"/>
          <w:sz w:val="20"/>
          <w:szCs w:val="20"/>
        </w:rPr>
        <w:t xml:space="preserve"> </w:t>
      </w:r>
      <w:r w:rsidR="004A19DD">
        <w:rPr>
          <w:rFonts w:ascii="Arial" w:hAnsi="Arial" w:cs="Arial"/>
          <w:sz w:val="20"/>
          <w:szCs w:val="20"/>
        </w:rPr>
        <w:t xml:space="preserve">team’s </w:t>
      </w:r>
      <w:r w:rsidR="00FA70C9">
        <w:rPr>
          <w:rFonts w:ascii="Arial" w:hAnsi="Arial" w:cs="Arial"/>
          <w:sz w:val="20"/>
          <w:szCs w:val="20"/>
        </w:rPr>
        <w:t>competition</w:t>
      </w:r>
      <w:r w:rsidR="004A19DD">
        <w:rPr>
          <w:rFonts w:ascii="Arial" w:hAnsi="Arial" w:cs="Arial"/>
          <w:sz w:val="20"/>
          <w:szCs w:val="20"/>
        </w:rPr>
        <w:t xml:space="preserve"> </w:t>
      </w:r>
      <w:r>
        <w:rPr>
          <w:rFonts w:ascii="Arial" w:hAnsi="Arial" w:cs="Arial"/>
          <w:sz w:val="20"/>
          <w:szCs w:val="20"/>
        </w:rPr>
        <w:t>licence</w:t>
      </w:r>
      <w:r w:rsidR="00FA70C9">
        <w:rPr>
          <w:rFonts w:ascii="Arial" w:hAnsi="Arial" w:cs="Arial"/>
          <w:sz w:val="20"/>
          <w:szCs w:val="20"/>
        </w:rPr>
        <w:t xml:space="preserve"> issued by FIA</w:t>
      </w:r>
      <w:r w:rsidR="00F450C3">
        <w:rPr>
          <w:rFonts w:ascii="Arial" w:hAnsi="Arial" w:cs="Arial"/>
          <w:sz w:val="20"/>
          <w:szCs w:val="20"/>
        </w:rPr>
        <w:t xml:space="preserve"> </w:t>
      </w:r>
      <w:r w:rsidR="004A19DD">
        <w:rPr>
          <w:rFonts w:ascii="Arial" w:hAnsi="Arial" w:cs="Arial"/>
          <w:sz w:val="20"/>
          <w:szCs w:val="20"/>
        </w:rPr>
        <w:t>and it</w:t>
      </w:r>
      <w:r w:rsidR="00F450C3">
        <w:rPr>
          <w:rFonts w:ascii="Arial" w:hAnsi="Arial" w:cs="Arial"/>
          <w:sz w:val="20"/>
          <w:szCs w:val="20"/>
        </w:rPr>
        <w:t xml:space="preserve">s </w:t>
      </w:r>
      <w:r>
        <w:rPr>
          <w:rFonts w:ascii="Arial" w:hAnsi="Arial" w:cs="Arial"/>
          <w:sz w:val="20"/>
          <w:szCs w:val="20"/>
        </w:rPr>
        <w:t>inventory</w:t>
      </w:r>
      <w:r w:rsidR="00F450C3">
        <w:rPr>
          <w:rFonts w:ascii="Arial" w:hAnsi="Arial" w:cs="Arial"/>
          <w:sz w:val="20"/>
          <w:szCs w:val="20"/>
        </w:rPr>
        <w:t xml:space="preserve"> </w:t>
      </w:r>
      <w:r w:rsidR="004A19DD">
        <w:rPr>
          <w:rFonts w:ascii="Arial" w:hAnsi="Arial" w:cs="Arial"/>
          <w:sz w:val="20"/>
          <w:szCs w:val="20"/>
        </w:rPr>
        <w:t>of</w:t>
      </w:r>
      <w:r w:rsidR="00F450C3">
        <w:rPr>
          <w:rFonts w:ascii="Arial" w:hAnsi="Arial" w:cs="Arial"/>
          <w:sz w:val="20"/>
          <w:szCs w:val="20"/>
        </w:rPr>
        <w:t xml:space="preserve"> race-ready F1 cars. This was done through a newly incorporated wholly-owned subsidiary called Efwon Romania (“F1 Romania”). F1 Trading lent USD</w:t>
      </w:r>
      <w:r w:rsidR="00155D41">
        <w:rPr>
          <w:rFonts w:ascii="Arial" w:hAnsi="Arial" w:cs="Arial"/>
          <w:sz w:val="20"/>
          <w:szCs w:val="20"/>
        </w:rPr>
        <w:t>150</w:t>
      </w:r>
      <w:r w:rsidR="00FA70C9">
        <w:rPr>
          <w:rFonts w:ascii="Arial" w:hAnsi="Arial" w:cs="Arial"/>
          <w:sz w:val="20"/>
          <w:szCs w:val="20"/>
        </w:rPr>
        <w:t xml:space="preserve"> million</w:t>
      </w:r>
      <w:r w:rsidR="00F450C3">
        <w:rPr>
          <w:rFonts w:ascii="Arial" w:hAnsi="Arial" w:cs="Arial"/>
          <w:sz w:val="20"/>
          <w:szCs w:val="20"/>
        </w:rPr>
        <w:t xml:space="preserve"> to F1 Romania</w:t>
      </w:r>
      <w:r w:rsidR="00A9666C">
        <w:rPr>
          <w:rFonts w:ascii="Arial" w:hAnsi="Arial" w:cs="Arial"/>
          <w:sz w:val="20"/>
          <w:szCs w:val="20"/>
        </w:rPr>
        <w:t xml:space="preserve"> in 2015</w:t>
      </w:r>
      <w:r w:rsidR="00F450C3">
        <w:rPr>
          <w:rFonts w:ascii="Arial" w:hAnsi="Arial" w:cs="Arial"/>
          <w:sz w:val="20"/>
          <w:szCs w:val="20"/>
        </w:rPr>
        <w:t xml:space="preserve"> which was secured on F1 Romania’s broadcasting revenue as F1 Romania then did not enjoy sponsorship revenue.</w:t>
      </w:r>
      <w:r w:rsidR="00A9666C">
        <w:rPr>
          <w:rFonts w:ascii="Arial" w:hAnsi="Arial" w:cs="Arial"/>
          <w:sz w:val="20"/>
          <w:szCs w:val="20"/>
        </w:rPr>
        <w:t xml:space="preserve"> </w:t>
      </w:r>
      <w:r w:rsidR="00155D41">
        <w:rPr>
          <w:rFonts w:ascii="Arial" w:hAnsi="Arial" w:cs="Arial"/>
          <w:sz w:val="20"/>
          <w:szCs w:val="20"/>
        </w:rPr>
        <w:t>Further sums of</w:t>
      </w:r>
      <w:r w:rsidR="00A9666C">
        <w:rPr>
          <w:rFonts w:ascii="Arial" w:hAnsi="Arial" w:cs="Arial"/>
          <w:sz w:val="20"/>
          <w:szCs w:val="20"/>
        </w:rPr>
        <w:t xml:space="preserve"> USD100</w:t>
      </w:r>
      <w:r w:rsidR="00FA70C9">
        <w:rPr>
          <w:rFonts w:ascii="Arial" w:hAnsi="Arial" w:cs="Arial"/>
          <w:sz w:val="20"/>
          <w:szCs w:val="20"/>
        </w:rPr>
        <w:t xml:space="preserve"> million</w:t>
      </w:r>
      <w:r w:rsidR="00155D41">
        <w:rPr>
          <w:rFonts w:ascii="Arial" w:hAnsi="Arial" w:cs="Arial"/>
          <w:sz w:val="20"/>
          <w:szCs w:val="20"/>
        </w:rPr>
        <w:t xml:space="preserve"> </w:t>
      </w:r>
      <w:r w:rsidR="00155D41">
        <w:rPr>
          <w:rFonts w:ascii="Arial" w:hAnsi="Arial" w:cs="Arial"/>
          <w:sz w:val="20"/>
          <w:szCs w:val="20"/>
        </w:rPr>
        <w:lastRenderedPageBreak/>
        <w:t>each</w:t>
      </w:r>
      <w:r w:rsidR="00A9666C">
        <w:rPr>
          <w:rFonts w:ascii="Arial" w:hAnsi="Arial" w:cs="Arial"/>
          <w:sz w:val="20"/>
          <w:szCs w:val="20"/>
        </w:rPr>
        <w:t xml:space="preserve"> </w:t>
      </w:r>
      <w:r w:rsidR="00155D41">
        <w:rPr>
          <w:rFonts w:ascii="Arial" w:hAnsi="Arial" w:cs="Arial"/>
          <w:sz w:val="20"/>
          <w:szCs w:val="20"/>
        </w:rPr>
        <w:t>were</w:t>
      </w:r>
      <w:r w:rsidR="00A9666C">
        <w:rPr>
          <w:rFonts w:ascii="Arial" w:hAnsi="Arial" w:cs="Arial"/>
          <w:sz w:val="20"/>
          <w:szCs w:val="20"/>
        </w:rPr>
        <w:t xml:space="preserve"> extended by F1 Trading to F1 Romania in </w:t>
      </w:r>
      <w:r w:rsidR="00155D41">
        <w:rPr>
          <w:rFonts w:ascii="Arial" w:hAnsi="Arial" w:cs="Arial"/>
          <w:sz w:val="20"/>
          <w:szCs w:val="20"/>
        </w:rPr>
        <w:t>respectively 2016 and 2017. A total of USD350m was therefore lent. No interest appeared to have been applicable on the amount lent.</w:t>
      </w:r>
    </w:p>
    <w:p w14:paraId="3AF0D68D" w14:textId="77777777" w:rsidR="00EF3FC2" w:rsidRPr="00EF3FC2" w:rsidRDefault="00EF3FC2" w:rsidP="00A43070">
      <w:pPr>
        <w:pStyle w:val="ListParagraph"/>
        <w:ind w:left="567" w:hanging="567"/>
        <w:jc w:val="both"/>
        <w:rPr>
          <w:rFonts w:ascii="Arial" w:hAnsi="Arial" w:cs="Arial"/>
          <w:sz w:val="20"/>
          <w:szCs w:val="20"/>
        </w:rPr>
      </w:pPr>
    </w:p>
    <w:p w14:paraId="744FF82D" w14:textId="669E9479" w:rsidR="00EF3FC2" w:rsidRDefault="00155D41"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In 2017, in a bid to explore new sponsorship opportunities, Efwon Singapore (“F1 Singapore”) was incorporated under Singapore law as a wholly owned subsidiary of F1 Trading. F1 Singapore secured and obtained sponsorship from Kretek from 2019 to 202</w:t>
      </w:r>
      <w:r w:rsidR="00CB217A">
        <w:rPr>
          <w:rFonts w:ascii="Arial" w:hAnsi="Arial" w:cs="Arial"/>
          <w:sz w:val="20"/>
          <w:szCs w:val="20"/>
        </w:rPr>
        <w:t>3</w:t>
      </w:r>
      <w:r>
        <w:rPr>
          <w:rFonts w:ascii="Arial" w:hAnsi="Arial" w:cs="Arial"/>
          <w:sz w:val="20"/>
          <w:szCs w:val="20"/>
        </w:rPr>
        <w:t xml:space="preserve"> to the tune of USD100m annually. For 2018, funding of USD 100m</w:t>
      </w:r>
      <w:r w:rsidR="00CB217A">
        <w:rPr>
          <w:rFonts w:ascii="Arial" w:hAnsi="Arial" w:cs="Arial"/>
          <w:sz w:val="20"/>
          <w:szCs w:val="20"/>
        </w:rPr>
        <w:t xml:space="preserve"> (the “Monaco Loan”)</w:t>
      </w:r>
      <w:r>
        <w:rPr>
          <w:rFonts w:ascii="Arial" w:hAnsi="Arial" w:cs="Arial"/>
          <w:sz w:val="20"/>
          <w:szCs w:val="20"/>
        </w:rPr>
        <w:t xml:space="preserve"> was obtained by F1 Trading from a lender in Monaco (the “Monaco Lender”) with high interest </w:t>
      </w:r>
      <w:r w:rsidR="00CB217A">
        <w:rPr>
          <w:rFonts w:ascii="Arial" w:hAnsi="Arial" w:cs="Arial"/>
          <w:sz w:val="20"/>
          <w:szCs w:val="20"/>
        </w:rPr>
        <w:t>rates which was secured on the revenues of F1 Romania and F1 Singapore. Both F1 Romania and F1 Singapore also gave corporate guarantees for that loan.</w:t>
      </w:r>
    </w:p>
    <w:p w14:paraId="5F4A9D37" w14:textId="77777777" w:rsidR="00CB217A" w:rsidRPr="00CB217A" w:rsidRDefault="00CB217A" w:rsidP="00A43070">
      <w:pPr>
        <w:pStyle w:val="ListParagraph"/>
        <w:ind w:left="567" w:hanging="567"/>
        <w:jc w:val="both"/>
        <w:rPr>
          <w:rFonts w:ascii="Arial" w:hAnsi="Arial" w:cs="Arial"/>
          <w:sz w:val="20"/>
          <w:szCs w:val="20"/>
        </w:rPr>
      </w:pPr>
    </w:p>
    <w:p w14:paraId="3499B376" w14:textId="1C4CC9F9" w:rsidR="00606960" w:rsidRDefault="00CB217A"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Kretek has indicated that it is not willing to continue as sponsor past 2023. Fortunately</w:t>
      </w:r>
      <w:r w:rsidR="00FA70C9">
        <w:rPr>
          <w:rFonts w:ascii="Arial" w:hAnsi="Arial" w:cs="Arial"/>
          <w:sz w:val="20"/>
          <w:szCs w:val="20"/>
        </w:rPr>
        <w:t>,</w:t>
      </w:r>
      <w:r>
        <w:rPr>
          <w:rFonts w:ascii="Arial" w:hAnsi="Arial" w:cs="Arial"/>
          <w:sz w:val="20"/>
          <w:szCs w:val="20"/>
        </w:rPr>
        <w:t xml:space="preserve"> an alternative sponsor, KuasaNas (“KN”)</w:t>
      </w:r>
      <w:r w:rsidR="00FA70C9">
        <w:rPr>
          <w:rFonts w:ascii="Arial" w:hAnsi="Arial" w:cs="Arial"/>
          <w:sz w:val="20"/>
          <w:szCs w:val="20"/>
        </w:rPr>
        <w:t>,</w:t>
      </w:r>
      <w:r>
        <w:rPr>
          <w:rFonts w:ascii="Arial" w:hAnsi="Arial" w:cs="Arial"/>
          <w:sz w:val="20"/>
          <w:szCs w:val="20"/>
        </w:rPr>
        <w:t xml:space="preserve"> was found which could offer fundng in excess of USD100m annually. </w:t>
      </w:r>
      <w:r w:rsidR="00606960">
        <w:rPr>
          <w:rFonts w:ascii="Arial" w:hAnsi="Arial" w:cs="Arial"/>
          <w:sz w:val="20"/>
          <w:szCs w:val="20"/>
        </w:rPr>
        <w:t>C</w:t>
      </w:r>
      <w:r>
        <w:rPr>
          <w:rFonts w:ascii="Arial" w:hAnsi="Arial" w:cs="Arial"/>
          <w:sz w:val="20"/>
          <w:szCs w:val="20"/>
        </w:rPr>
        <w:t>ondition</w:t>
      </w:r>
      <w:r w:rsidR="00606960">
        <w:rPr>
          <w:rFonts w:ascii="Arial" w:hAnsi="Arial" w:cs="Arial"/>
          <w:sz w:val="20"/>
          <w:szCs w:val="20"/>
        </w:rPr>
        <w:t>s</w:t>
      </w:r>
      <w:r>
        <w:rPr>
          <w:rFonts w:ascii="Arial" w:hAnsi="Arial" w:cs="Arial"/>
          <w:sz w:val="20"/>
          <w:szCs w:val="20"/>
        </w:rPr>
        <w:t xml:space="preserve"> to such funding </w:t>
      </w:r>
      <w:r w:rsidR="00606960">
        <w:rPr>
          <w:rFonts w:ascii="Arial" w:hAnsi="Arial" w:cs="Arial"/>
          <w:sz w:val="20"/>
          <w:szCs w:val="20"/>
        </w:rPr>
        <w:t>included</w:t>
      </w:r>
      <w:r>
        <w:rPr>
          <w:rFonts w:ascii="Arial" w:hAnsi="Arial" w:cs="Arial"/>
          <w:sz w:val="20"/>
          <w:szCs w:val="20"/>
        </w:rPr>
        <w:t xml:space="preserve"> KN</w:t>
      </w:r>
      <w:r w:rsidR="00606960">
        <w:rPr>
          <w:rFonts w:ascii="Arial" w:hAnsi="Arial" w:cs="Arial"/>
          <w:sz w:val="20"/>
          <w:szCs w:val="20"/>
        </w:rPr>
        <w:t>’s</w:t>
      </w:r>
      <w:r>
        <w:rPr>
          <w:rFonts w:ascii="Arial" w:hAnsi="Arial" w:cs="Arial"/>
          <w:sz w:val="20"/>
          <w:szCs w:val="20"/>
        </w:rPr>
        <w:t xml:space="preserve"> acqui</w:t>
      </w:r>
      <w:r w:rsidR="00606960">
        <w:rPr>
          <w:rFonts w:ascii="Arial" w:hAnsi="Arial" w:cs="Arial"/>
          <w:sz w:val="20"/>
          <w:szCs w:val="20"/>
        </w:rPr>
        <w:t>sition of 51% of</w:t>
      </w:r>
      <w:r w:rsidR="00FA70C9">
        <w:rPr>
          <w:rFonts w:ascii="Arial" w:hAnsi="Arial" w:cs="Arial"/>
          <w:sz w:val="20"/>
          <w:szCs w:val="20"/>
        </w:rPr>
        <w:t xml:space="preserve"> the shareholding of</w:t>
      </w:r>
      <w:r w:rsidR="00606960">
        <w:rPr>
          <w:rFonts w:ascii="Arial" w:hAnsi="Arial" w:cs="Arial"/>
          <w:sz w:val="20"/>
          <w:szCs w:val="20"/>
        </w:rPr>
        <w:t xml:space="preserve"> F1 Romania and the team with its drivers and machines moving to Malaysia.</w:t>
      </w:r>
    </w:p>
    <w:p w14:paraId="2EDFA624" w14:textId="77777777" w:rsidR="00606960" w:rsidRPr="00606960" w:rsidRDefault="00606960" w:rsidP="00A43070">
      <w:pPr>
        <w:pStyle w:val="ListParagraph"/>
        <w:ind w:left="567" w:hanging="567"/>
        <w:jc w:val="both"/>
        <w:rPr>
          <w:rFonts w:ascii="Arial" w:hAnsi="Arial" w:cs="Arial"/>
          <w:sz w:val="20"/>
          <w:szCs w:val="20"/>
        </w:rPr>
      </w:pPr>
    </w:p>
    <w:p w14:paraId="120397B5" w14:textId="1E9C1A58" w:rsidR="00606960" w:rsidRDefault="00606960"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In 2023, disaster struck when the </w:t>
      </w:r>
      <w:r w:rsidR="009D3704">
        <w:rPr>
          <w:rFonts w:ascii="Arial" w:hAnsi="Arial" w:cs="Arial"/>
          <w:sz w:val="20"/>
          <w:szCs w:val="20"/>
        </w:rPr>
        <w:t xml:space="preserve">F1 Romania </w:t>
      </w:r>
      <w:r>
        <w:rPr>
          <w:rFonts w:ascii="Arial" w:hAnsi="Arial" w:cs="Arial"/>
          <w:sz w:val="20"/>
          <w:szCs w:val="20"/>
        </w:rPr>
        <w:t>drivers</w:t>
      </w:r>
      <w:r w:rsidR="009D3704">
        <w:rPr>
          <w:rFonts w:ascii="Arial" w:hAnsi="Arial" w:cs="Arial"/>
          <w:sz w:val="20"/>
          <w:szCs w:val="20"/>
        </w:rPr>
        <w:t xml:space="preserve"> (the “Drivers”)</w:t>
      </w:r>
      <w:r>
        <w:rPr>
          <w:rFonts w:ascii="Arial" w:hAnsi="Arial" w:cs="Arial"/>
          <w:sz w:val="20"/>
          <w:szCs w:val="20"/>
        </w:rPr>
        <w:t xml:space="preserve"> </w:t>
      </w:r>
      <w:r w:rsidR="009D3704">
        <w:rPr>
          <w:rFonts w:ascii="Arial" w:hAnsi="Arial" w:cs="Arial"/>
          <w:sz w:val="20"/>
          <w:szCs w:val="20"/>
        </w:rPr>
        <w:t>were</w:t>
      </w:r>
      <w:r>
        <w:rPr>
          <w:rFonts w:ascii="Arial" w:hAnsi="Arial" w:cs="Arial"/>
          <w:sz w:val="20"/>
          <w:szCs w:val="20"/>
        </w:rPr>
        <w:t xml:space="preserve"> injured in the final </w:t>
      </w:r>
      <w:r w:rsidR="009D3704">
        <w:rPr>
          <w:rFonts w:ascii="Arial" w:hAnsi="Arial" w:cs="Arial"/>
          <w:sz w:val="20"/>
          <w:szCs w:val="20"/>
        </w:rPr>
        <w:t>race</w:t>
      </w:r>
      <w:r>
        <w:rPr>
          <w:rFonts w:ascii="Arial" w:hAnsi="Arial" w:cs="Arial"/>
          <w:sz w:val="20"/>
          <w:szCs w:val="20"/>
        </w:rPr>
        <w:t xml:space="preserve"> of 2023. The</w:t>
      </w:r>
      <w:r w:rsidR="009D3704">
        <w:rPr>
          <w:rFonts w:ascii="Arial" w:hAnsi="Arial" w:cs="Arial"/>
          <w:sz w:val="20"/>
          <w:szCs w:val="20"/>
        </w:rPr>
        <w:t xml:space="preserve"> D</w:t>
      </w:r>
      <w:r>
        <w:rPr>
          <w:rFonts w:ascii="Arial" w:hAnsi="Arial" w:cs="Arial"/>
          <w:sz w:val="20"/>
          <w:szCs w:val="20"/>
        </w:rPr>
        <w:t xml:space="preserve">rivers have brought claims in the Romanian courts (presumably) against F1 Romania, their employer. There is a risk of substantial compensation arising from such claims. The lawyers acting for the </w:t>
      </w:r>
      <w:r w:rsidR="009D3704">
        <w:rPr>
          <w:rFonts w:ascii="Arial" w:hAnsi="Arial" w:cs="Arial"/>
          <w:sz w:val="20"/>
          <w:szCs w:val="20"/>
        </w:rPr>
        <w:t>D</w:t>
      </w:r>
      <w:r>
        <w:rPr>
          <w:rFonts w:ascii="Arial" w:hAnsi="Arial" w:cs="Arial"/>
          <w:sz w:val="20"/>
          <w:szCs w:val="20"/>
        </w:rPr>
        <w:t xml:space="preserve">rivers have filed insolvency proceedings against F1 Romania and </w:t>
      </w:r>
      <w:r w:rsidR="009D3704">
        <w:rPr>
          <w:rFonts w:ascii="Arial" w:hAnsi="Arial" w:cs="Arial"/>
          <w:sz w:val="20"/>
          <w:szCs w:val="20"/>
        </w:rPr>
        <w:t>obtained interim freezing injunctions over F1 Romania’s assets</w:t>
      </w:r>
      <w:r w:rsidR="00BA6CB2">
        <w:rPr>
          <w:rFonts w:ascii="Arial" w:hAnsi="Arial" w:cs="Arial"/>
          <w:sz w:val="20"/>
          <w:szCs w:val="20"/>
        </w:rPr>
        <w:t xml:space="preserve"> and income (the “Freezing Injunctions”)</w:t>
      </w:r>
      <w:r w:rsidR="009D3704">
        <w:rPr>
          <w:rFonts w:ascii="Arial" w:hAnsi="Arial" w:cs="Arial"/>
          <w:sz w:val="20"/>
          <w:szCs w:val="20"/>
        </w:rPr>
        <w:t xml:space="preserve"> which would lead to a default on the loan owed by F1 Romania to F1 Trading. This default would cascade into a default by F1 Trading of its repayment obligations to F1 Investments and by extension F1 Investments to the US Lenders. F1 Trading would also default on the Monaco Loan.</w:t>
      </w:r>
    </w:p>
    <w:p w14:paraId="14257F97" w14:textId="77777777" w:rsidR="009D3704" w:rsidRPr="009D3704" w:rsidRDefault="009D3704" w:rsidP="00A43070">
      <w:pPr>
        <w:pStyle w:val="ListParagraph"/>
        <w:ind w:left="567" w:hanging="567"/>
        <w:jc w:val="both"/>
        <w:rPr>
          <w:rFonts w:ascii="Arial" w:hAnsi="Arial" w:cs="Arial"/>
          <w:sz w:val="20"/>
          <w:szCs w:val="20"/>
        </w:rPr>
      </w:pPr>
    </w:p>
    <w:p w14:paraId="63068E9F" w14:textId="77777777" w:rsidR="009D3704" w:rsidRDefault="009D3704"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KN has stipulated as a further condition for its sponsorship that all the insolvency issues affecting the Efwon group of companies (the “F1 Group”) be dealt with promptly. They will only invest if the threat to their investment is removed. </w:t>
      </w:r>
    </w:p>
    <w:p w14:paraId="0D9A5CB5" w14:textId="77777777" w:rsidR="009D3704" w:rsidRPr="009D3704" w:rsidRDefault="009D3704" w:rsidP="00A43070">
      <w:pPr>
        <w:pStyle w:val="ListParagraph"/>
        <w:ind w:left="567" w:hanging="567"/>
        <w:jc w:val="both"/>
        <w:rPr>
          <w:rFonts w:ascii="Arial" w:hAnsi="Arial" w:cs="Arial"/>
          <w:sz w:val="20"/>
          <w:szCs w:val="20"/>
        </w:rPr>
      </w:pPr>
    </w:p>
    <w:p w14:paraId="5D229E73" w14:textId="2452DBBB" w:rsidR="009D3704" w:rsidRDefault="009D3704"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Other than the injury sustained to the Drivers in the last race of 2023, Team Maximov has otherwise been doing well, placing 6</w:t>
      </w:r>
      <w:r w:rsidRPr="009D3704">
        <w:rPr>
          <w:rFonts w:ascii="Arial" w:hAnsi="Arial" w:cs="Arial"/>
          <w:sz w:val="20"/>
          <w:szCs w:val="20"/>
          <w:vertAlign w:val="superscript"/>
        </w:rPr>
        <w:t>th</w:t>
      </w:r>
      <w:r>
        <w:rPr>
          <w:rFonts w:ascii="Arial" w:hAnsi="Arial" w:cs="Arial"/>
          <w:sz w:val="20"/>
          <w:szCs w:val="20"/>
        </w:rPr>
        <w:t xml:space="preserve"> in 2022</w:t>
      </w:r>
      <w:r w:rsidR="00154ED9">
        <w:rPr>
          <w:rFonts w:ascii="Arial" w:hAnsi="Arial" w:cs="Arial"/>
          <w:sz w:val="20"/>
          <w:szCs w:val="20"/>
        </w:rPr>
        <w:t xml:space="preserve">. Its projected </w:t>
      </w:r>
      <w:r>
        <w:rPr>
          <w:rFonts w:ascii="Arial" w:hAnsi="Arial" w:cs="Arial"/>
          <w:sz w:val="20"/>
          <w:szCs w:val="20"/>
        </w:rPr>
        <w:t xml:space="preserve">income </w:t>
      </w:r>
      <w:r w:rsidR="00154ED9">
        <w:rPr>
          <w:rFonts w:ascii="Arial" w:hAnsi="Arial" w:cs="Arial"/>
          <w:sz w:val="20"/>
          <w:szCs w:val="20"/>
        </w:rPr>
        <w:t>will be assured</w:t>
      </w:r>
      <w:r>
        <w:rPr>
          <w:rFonts w:ascii="Arial" w:hAnsi="Arial" w:cs="Arial"/>
          <w:sz w:val="20"/>
          <w:szCs w:val="20"/>
        </w:rPr>
        <w:t xml:space="preserve"> </w:t>
      </w:r>
      <w:r w:rsidR="00154ED9">
        <w:rPr>
          <w:rFonts w:ascii="Arial" w:hAnsi="Arial" w:cs="Arial"/>
          <w:sz w:val="20"/>
          <w:szCs w:val="20"/>
        </w:rPr>
        <w:t>if it is able to replicate</w:t>
      </w:r>
      <w:r>
        <w:rPr>
          <w:rFonts w:ascii="Arial" w:hAnsi="Arial" w:cs="Arial"/>
          <w:sz w:val="20"/>
          <w:szCs w:val="20"/>
        </w:rPr>
        <w:t xml:space="preserve"> such performance.</w:t>
      </w:r>
    </w:p>
    <w:p w14:paraId="632F04DD" w14:textId="77777777" w:rsidR="009D3704" w:rsidRPr="009D3704" w:rsidRDefault="009D3704" w:rsidP="00A43070">
      <w:pPr>
        <w:pStyle w:val="ListParagraph"/>
        <w:jc w:val="both"/>
        <w:rPr>
          <w:rFonts w:ascii="Arial" w:hAnsi="Arial" w:cs="Arial"/>
          <w:sz w:val="20"/>
          <w:szCs w:val="20"/>
        </w:rPr>
      </w:pPr>
    </w:p>
    <w:p w14:paraId="57DA0CEF" w14:textId="727D2E9E" w:rsidR="009D3704" w:rsidRPr="009D3704" w:rsidRDefault="009D3704" w:rsidP="00A43070">
      <w:pPr>
        <w:pStyle w:val="ListParagraph"/>
        <w:ind w:left="0"/>
        <w:jc w:val="both"/>
        <w:rPr>
          <w:rFonts w:ascii="Arial" w:hAnsi="Arial" w:cs="Arial"/>
          <w:sz w:val="20"/>
          <w:szCs w:val="20"/>
          <w:u w:val="single"/>
        </w:rPr>
      </w:pPr>
      <w:r w:rsidRPr="009D3704">
        <w:rPr>
          <w:rFonts w:ascii="Arial" w:hAnsi="Arial" w:cs="Arial"/>
          <w:sz w:val="20"/>
          <w:szCs w:val="20"/>
          <w:u w:val="single"/>
        </w:rPr>
        <w:t>Our advice</w:t>
      </w:r>
    </w:p>
    <w:p w14:paraId="135ECA1B" w14:textId="77777777" w:rsidR="009D3704" w:rsidRPr="009D3704" w:rsidRDefault="009D3704" w:rsidP="00A43070">
      <w:pPr>
        <w:pStyle w:val="ListParagraph"/>
        <w:jc w:val="both"/>
        <w:rPr>
          <w:rFonts w:ascii="Arial" w:hAnsi="Arial" w:cs="Arial"/>
          <w:sz w:val="20"/>
          <w:szCs w:val="20"/>
        </w:rPr>
      </w:pPr>
    </w:p>
    <w:p w14:paraId="24D17ABF" w14:textId="18E52093" w:rsidR="009D3704" w:rsidRDefault="009D3704"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It is clearly imperative for the </w:t>
      </w:r>
      <w:r w:rsidR="00BA6CB2">
        <w:rPr>
          <w:rFonts w:ascii="Arial" w:hAnsi="Arial" w:cs="Arial"/>
          <w:sz w:val="20"/>
          <w:szCs w:val="20"/>
        </w:rPr>
        <w:t>F</w:t>
      </w:r>
      <w:r>
        <w:rPr>
          <w:rFonts w:ascii="Arial" w:hAnsi="Arial" w:cs="Arial"/>
          <w:sz w:val="20"/>
          <w:szCs w:val="20"/>
        </w:rPr>
        <w:t xml:space="preserve">reezing </w:t>
      </w:r>
      <w:r w:rsidR="00BA6CB2">
        <w:rPr>
          <w:rFonts w:ascii="Arial" w:hAnsi="Arial" w:cs="Arial"/>
          <w:sz w:val="20"/>
          <w:szCs w:val="20"/>
        </w:rPr>
        <w:t>I</w:t>
      </w:r>
      <w:r>
        <w:rPr>
          <w:rFonts w:ascii="Arial" w:hAnsi="Arial" w:cs="Arial"/>
          <w:sz w:val="20"/>
          <w:szCs w:val="20"/>
        </w:rPr>
        <w:t>njunctions</w:t>
      </w:r>
      <w:r w:rsidR="00BA6CB2">
        <w:rPr>
          <w:rFonts w:ascii="Arial" w:hAnsi="Arial" w:cs="Arial"/>
          <w:sz w:val="20"/>
          <w:szCs w:val="20"/>
        </w:rPr>
        <w:t xml:space="preserve"> </w:t>
      </w:r>
      <w:r>
        <w:rPr>
          <w:rFonts w:ascii="Arial" w:hAnsi="Arial" w:cs="Arial"/>
          <w:sz w:val="20"/>
          <w:szCs w:val="20"/>
        </w:rPr>
        <w:t xml:space="preserve">to be discharged.  </w:t>
      </w:r>
      <w:r w:rsidR="00BA6CB2">
        <w:rPr>
          <w:rFonts w:ascii="Arial" w:hAnsi="Arial" w:cs="Arial"/>
          <w:sz w:val="20"/>
          <w:szCs w:val="20"/>
        </w:rPr>
        <w:t>This should be done against the backdrop of a wider restructuring plan since the Drivers’ claims and the Freezing Injunctions imperil the existence of:</w:t>
      </w:r>
    </w:p>
    <w:p w14:paraId="7A338DF4" w14:textId="77777777" w:rsidR="00A43070" w:rsidRDefault="00A43070" w:rsidP="00A43070">
      <w:pPr>
        <w:pStyle w:val="ListParagraph"/>
        <w:ind w:left="567"/>
        <w:jc w:val="both"/>
        <w:rPr>
          <w:rFonts w:ascii="Arial" w:hAnsi="Arial" w:cs="Arial"/>
          <w:sz w:val="20"/>
          <w:szCs w:val="20"/>
        </w:rPr>
      </w:pPr>
    </w:p>
    <w:p w14:paraId="355DFF59" w14:textId="623EAED9" w:rsidR="00BA6CB2" w:rsidRDefault="00BA6CB2"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F1 Trading since F1 Trading owes the Monaco Loan which secured on the revenue of F1 Romania;</w:t>
      </w:r>
    </w:p>
    <w:p w14:paraId="2FE10089" w14:textId="786F514E" w:rsidR="00BA6CB2" w:rsidRDefault="00BA6CB2"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F1 Singapore since F1 Singapore gave a corporate guarantee for the Monaco Loan;</w:t>
      </w:r>
    </w:p>
    <w:p w14:paraId="4B80FC77" w14:textId="64F7DA7E" w:rsidR="00BA6CB2" w:rsidRDefault="00BA6CB2"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F1 Investments since F1 Investments depends</w:t>
      </w:r>
      <w:r w:rsidR="004A19DD">
        <w:rPr>
          <w:rFonts w:ascii="Arial" w:hAnsi="Arial" w:cs="Arial"/>
          <w:sz w:val="20"/>
          <w:szCs w:val="20"/>
        </w:rPr>
        <w:t xml:space="preserve"> on dividends from F1 Trading as its only source of income to repay the US Loan.</w:t>
      </w:r>
    </w:p>
    <w:p w14:paraId="35436807" w14:textId="77777777" w:rsidR="004A19DD" w:rsidRDefault="004A19DD" w:rsidP="00A43070">
      <w:pPr>
        <w:pStyle w:val="ListParagraph"/>
        <w:ind w:left="709"/>
        <w:jc w:val="both"/>
        <w:rPr>
          <w:rFonts w:ascii="Arial" w:hAnsi="Arial" w:cs="Arial"/>
          <w:sz w:val="20"/>
          <w:szCs w:val="20"/>
        </w:rPr>
      </w:pPr>
    </w:p>
    <w:p w14:paraId="16278E21" w14:textId="48ED0CD4" w:rsidR="00A71D16" w:rsidRDefault="004A19DD"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F1 Romania further owns the racing cars and the valuable </w:t>
      </w:r>
      <w:r w:rsidR="00A850A6">
        <w:rPr>
          <w:rFonts w:ascii="Arial" w:hAnsi="Arial" w:cs="Arial"/>
          <w:sz w:val="20"/>
          <w:szCs w:val="20"/>
        </w:rPr>
        <w:t xml:space="preserve">competition </w:t>
      </w:r>
      <w:r>
        <w:rPr>
          <w:rFonts w:ascii="Arial" w:hAnsi="Arial" w:cs="Arial"/>
          <w:sz w:val="20"/>
          <w:szCs w:val="20"/>
        </w:rPr>
        <w:t>licence granted by the FIA. Allowing F1 Romania to be liquidated would mean the loss of these key assets to the F1 Group which would preclude the ability to earn any future revenue.</w:t>
      </w:r>
      <w:r w:rsidR="00A71D16">
        <w:rPr>
          <w:rFonts w:ascii="Arial" w:hAnsi="Arial" w:cs="Arial"/>
          <w:sz w:val="20"/>
          <w:szCs w:val="20"/>
        </w:rPr>
        <w:t xml:space="preserve"> </w:t>
      </w:r>
    </w:p>
    <w:p w14:paraId="19BC17F9" w14:textId="77777777" w:rsidR="00A71D16" w:rsidRDefault="00A71D16" w:rsidP="00A43070">
      <w:pPr>
        <w:pStyle w:val="ListParagraph"/>
        <w:ind w:left="284"/>
        <w:jc w:val="both"/>
        <w:rPr>
          <w:rFonts w:ascii="Arial" w:hAnsi="Arial" w:cs="Arial"/>
          <w:sz w:val="20"/>
          <w:szCs w:val="20"/>
        </w:rPr>
      </w:pPr>
    </w:p>
    <w:p w14:paraId="3B417290" w14:textId="509BA4E5" w:rsidR="00A71D16" w:rsidRPr="00A71D16" w:rsidRDefault="00A71D16"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F1 Singapore was the entity which contracted with the former sponsor, Kretek. However it is less significant than F1 Romania since that sponsorship opportunity has come to an end and the </w:t>
      </w:r>
      <w:r>
        <w:rPr>
          <w:rFonts w:ascii="Arial" w:hAnsi="Arial" w:cs="Arial"/>
          <w:sz w:val="20"/>
          <w:szCs w:val="20"/>
        </w:rPr>
        <w:lastRenderedPageBreak/>
        <w:t>potential new sponsor can enter into a sponsorship agreement with a different entity.</w:t>
      </w:r>
      <w:r w:rsidR="004A1FBC">
        <w:rPr>
          <w:rFonts w:ascii="Arial" w:hAnsi="Arial" w:cs="Arial"/>
          <w:sz w:val="20"/>
          <w:szCs w:val="20"/>
        </w:rPr>
        <w:t xml:space="preserve"> It is not clear if F1 Singapore holds any assets of value.</w:t>
      </w:r>
    </w:p>
    <w:p w14:paraId="46C3B3B4" w14:textId="77777777" w:rsidR="000E69F7" w:rsidRDefault="000E69F7" w:rsidP="00A43070">
      <w:pPr>
        <w:pStyle w:val="ListParagraph"/>
        <w:ind w:left="567" w:hanging="567"/>
        <w:jc w:val="both"/>
        <w:rPr>
          <w:rFonts w:ascii="Arial" w:hAnsi="Arial" w:cs="Arial"/>
          <w:sz w:val="20"/>
          <w:szCs w:val="20"/>
        </w:rPr>
      </w:pPr>
    </w:p>
    <w:p w14:paraId="5CF6A338" w14:textId="278759AF" w:rsidR="000E69F7" w:rsidRDefault="000E69F7"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On the bright</w:t>
      </w:r>
      <w:r w:rsidR="00A71D16">
        <w:rPr>
          <w:rFonts w:ascii="Arial" w:hAnsi="Arial" w:cs="Arial"/>
          <w:sz w:val="20"/>
          <w:szCs w:val="20"/>
        </w:rPr>
        <w:t>er</w:t>
      </w:r>
      <w:r>
        <w:rPr>
          <w:rFonts w:ascii="Arial" w:hAnsi="Arial" w:cs="Arial"/>
          <w:sz w:val="20"/>
          <w:szCs w:val="20"/>
        </w:rPr>
        <w:t xml:space="preserve"> side, but for the unfortunate injury to the Drivers in 2023, Team Maximov was other performing well and appeared to have been able to generate healthy income streams. Further, in KN, it had secured a future sponsor albeit with conditions that would need to be fulfilled before funding would be made available.</w:t>
      </w:r>
    </w:p>
    <w:p w14:paraId="75225BA3" w14:textId="77777777" w:rsidR="004A19DD" w:rsidRDefault="004A19DD" w:rsidP="00A43070">
      <w:pPr>
        <w:pStyle w:val="ListParagraph"/>
        <w:ind w:left="567" w:hanging="567"/>
        <w:jc w:val="both"/>
        <w:rPr>
          <w:rFonts w:ascii="Arial" w:hAnsi="Arial" w:cs="Arial"/>
          <w:sz w:val="20"/>
          <w:szCs w:val="20"/>
        </w:rPr>
      </w:pPr>
    </w:p>
    <w:p w14:paraId="601EDBD3" w14:textId="5E7C8201" w:rsidR="008361EE" w:rsidRDefault="000E69F7"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There are a number of legal options that can be pursued to facilitate the </w:t>
      </w:r>
      <w:r w:rsidR="008361EE">
        <w:rPr>
          <w:rFonts w:ascii="Arial" w:hAnsi="Arial" w:cs="Arial"/>
          <w:sz w:val="20"/>
          <w:szCs w:val="20"/>
        </w:rPr>
        <w:t xml:space="preserve">formulation and implementation of the </w:t>
      </w:r>
      <w:r>
        <w:rPr>
          <w:rFonts w:ascii="Arial" w:hAnsi="Arial" w:cs="Arial"/>
          <w:sz w:val="20"/>
          <w:szCs w:val="20"/>
        </w:rPr>
        <w:t xml:space="preserve">wider restructuring </w:t>
      </w:r>
      <w:r w:rsidR="008361EE">
        <w:rPr>
          <w:rFonts w:ascii="Arial" w:hAnsi="Arial" w:cs="Arial"/>
          <w:sz w:val="20"/>
          <w:szCs w:val="20"/>
        </w:rPr>
        <w:t>plan</w:t>
      </w:r>
      <w:r>
        <w:rPr>
          <w:rFonts w:ascii="Arial" w:hAnsi="Arial" w:cs="Arial"/>
          <w:sz w:val="20"/>
          <w:szCs w:val="20"/>
        </w:rPr>
        <w:t>.</w:t>
      </w:r>
      <w:r w:rsidR="008361EE">
        <w:rPr>
          <w:rFonts w:ascii="Arial" w:hAnsi="Arial" w:cs="Arial"/>
          <w:sz w:val="20"/>
          <w:szCs w:val="20"/>
        </w:rPr>
        <w:t xml:space="preserve"> These options all purpose to obtain reprieve from legal and/or enforcement action from </w:t>
      </w:r>
      <w:r w:rsidR="00FA70C9">
        <w:rPr>
          <w:rFonts w:ascii="Arial" w:hAnsi="Arial" w:cs="Arial"/>
          <w:sz w:val="20"/>
          <w:szCs w:val="20"/>
        </w:rPr>
        <w:t xml:space="preserve">the </w:t>
      </w:r>
      <w:r w:rsidR="008361EE">
        <w:rPr>
          <w:rFonts w:ascii="Arial" w:hAnsi="Arial" w:cs="Arial"/>
          <w:sz w:val="20"/>
          <w:szCs w:val="20"/>
        </w:rPr>
        <w:t>F1 Group’s creditors so that the plan can be worked out and put in place.</w:t>
      </w:r>
      <w:r>
        <w:rPr>
          <w:rFonts w:ascii="Arial" w:hAnsi="Arial" w:cs="Arial"/>
          <w:sz w:val="20"/>
          <w:szCs w:val="20"/>
        </w:rPr>
        <w:t xml:space="preserve"> None of these</w:t>
      </w:r>
      <w:r w:rsidR="008361EE">
        <w:rPr>
          <w:rFonts w:ascii="Arial" w:hAnsi="Arial" w:cs="Arial"/>
          <w:sz w:val="20"/>
          <w:szCs w:val="20"/>
        </w:rPr>
        <w:t xml:space="preserve"> legal</w:t>
      </w:r>
      <w:r>
        <w:rPr>
          <w:rFonts w:ascii="Arial" w:hAnsi="Arial" w:cs="Arial"/>
          <w:sz w:val="20"/>
          <w:szCs w:val="20"/>
        </w:rPr>
        <w:t xml:space="preserve"> options represent a foolproof solution and may need to be coupled with other solutions to arrive at a satisfactory outcome. The costs associated with </w:t>
      </w:r>
      <w:r w:rsidR="008361EE">
        <w:rPr>
          <w:rFonts w:ascii="Arial" w:hAnsi="Arial" w:cs="Arial"/>
          <w:sz w:val="20"/>
          <w:szCs w:val="20"/>
        </w:rPr>
        <w:t>different</w:t>
      </w:r>
      <w:r>
        <w:rPr>
          <w:rFonts w:ascii="Arial" w:hAnsi="Arial" w:cs="Arial"/>
          <w:sz w:val="20"/>
          <w:szCs w:val="20"/>
        </w:rPr>
        <w:t xml:space="preserve"> options </w:t>
      </w:r>
      <w:r w:rsidR="008361EE">
        <w:rPr>
          <w:rFonts w:ascii="Arial" w:hAnsi="Arial" w:cs="Arial"/>
          <w:sz w:val="20"/>
          <w:szCs w:val="20"/>
        </w:rPr>
        <w:t xml:space="preserve">will </w:t>
      </w:r>
      <w:r>
        <w:rPr>
          <w:rFonts w:ascii="Arial" w:hAnsi="Arial" w:cs="Arial"/>
          <w:sz w:val="20"/>
          <w:szCs w:val="20"/>
        </w:rPr>
        <w:t>also vary greatly.</w:t>
      </w:r>
      <w:r w:rsidR="00CE6E3D">
        <w:rPr>
          <w:rFonts w:ascii="Arial" w:hAnsi="Arial" w:cs="Arial"/>
          <w:sz w:val="20"/>
          <w:szCs w:val="20"/>
        </w:rPr>
        <w:t xml:space="preserve"> </w:t>
      </w:r>
    </w:p>
    <w:p w14:paraId="26937DEF" w14:textId="77777777" w:rsidR="00A43070" w:rsidRPr="00A43070" w:rsidRDefault="00A43070" w:rsidP="00A43070">
      <w:pPr>
        <w:pStyle w:val="ListParagraph"/>
        <w:rPr>
          <w:rFonts w:ascii="Arial" w:hAnsi="Arial" w:cs="Arial"/>
          <w:sz w:val="20"/>
          <w:szCs w:val="20"/>
        </w:rPr>
      </w:pPr>
    </w:p>
    <w:p w14:paraId="344542C2" w14:textId="1673D40F" w:rsidR="008361EE" w:rsidRPr="008361EE" w:rsidRDefault="008361EE" w:rsidP="00A43070">
      <w:pPr>
        <w:ind w:left="567" w:hanging="567"/>
        <w:jc w:val="both"/>
        <w:rPr>
          <w:rFonts w:ascii="Arial" w:hAnsi="Arial" w:cs="Arial"/>
          <w:i/>
          <w:iCs/>
          <w:sz w:val="20"/>
          <w:szCs w:val="20"/>
        </w:rPr>
      </w:pPr>
      <w:r w:rsidRPr="00A43070">
        <w:rPr>
          <w:rFonts w:ascii="Arial" w:hAnsi="Arial" w:cs="Arial"/>
          <w:sz w:val="20"/>
          <w:szCs w:val="20"/>
          <w:u w:val="single"/>
        </w:rPr>
        <w:t>The Options</w:t>
      </w:r>
    </w:p>
    <w:p w14:paraId="11C245E3" w14:textId="77777777" w:rsidR="000E69F7" w:rsidRPr="000E69F7" w:rsidRDefault="000E69F7" w:rsidP="00A43070">
      <w:pPr>
        <w:pStyle w:val="ListParagraph"/>
        <w:jc w:val="both"/>
        <w:rPr>
          <w:rFonts w:ascii="Arial" w:hAnsi="Arial" w:cs="Arial"/>
          <w:sz w:val="20"/>
          <w:szCs w:val="20"/>
        </w:rPr>
      </w:pPr>
    </w:p>
    <w:p w14:paraId="59E06CFF" w14:textId="3369F0D2" w:rsidR="000E69F7" w:rsidRDefault="000E69F7" w:rsidP="00A43070">
      <w:pPr>
        <w:pStyle w:val="ListParagraph"/>
        <w:numPr>
          <w:ilvl w:val="0"/>
          <w:numId w:val="1"/>
        </w:numPr>
        <w:ind w:left="567" w:hanging="567"/>
        <w:jc w:val="both"/>
        <w:rPr>
          <w:rFonts w:ascii="Arial" w:hAnsi="Arial" w:cs="Arial"/>
          <w:sz w:val="20"/>
          <w:szCs w:val="20"/>
        </w:rPr>
      </w:pPr>
      <w:r w:rsidRPr="008361EE">
        <w:rPr>
          <w:rFonts w:ascii="Arial" w:hAnsi="Arial" w:cs="Arial"/>
          <w:sz w:val="20"/>
          <w:szCs w:val="20"/>
          <w:u w:val="single"/>
        </w:rPr>
        <w:t>First</w:t>
      </w:r>
      <w:r>
        <w:rPr>
          <w:rFonts w:ascii="Arial" w:hAnsi="Arial" w:cs="Arial"/>
          <w:sz w:val="20"/>
          <w:szCs w:val="20"/>
        </w:rPr>
        <w:t>, the</w:t>
      </w:r>
      <w:r w:rsidR="008361EE">
        <w:rPr>
          <w:rFonts w:ascii="Arial" w:hAnsi="Arial" w:cs="Arial"/>
          <w:sz w:val="20"/>
          <w:szCs w:val="20"/>
        </w:rPr>
        <w:t>re is the possibility of applying for Chapter 11 protection for F1 Investments. This will confer a stay on legal and enforcement action against F1 Investments</w:t>
      </w:r>
      <w:r w:rsidR="003125AE">
        <w:rPr>
          <w:rFonts w:ascii="Arial" w:hAnsi="Arial" w:cs="Arial"/>
          <w:sz w:val="20"/>
          <w:szCs w:val="20"/>
        </w:rPr>
        <w:t xml:space="preserve">. Chapter 11 protection may also be accorded to other companies in the F1 Group provided they meet the eligibility requirements for such filings. Further, the automatic stay applicable to F1 Investments </w:t>
      </w:r>
      <w:r w:rsidR="008361EE">
        <w:rPr>
          <w:rFonts w:ascii="Arial" w:hAnsi="Arial" w:cs="Arial"/>
          <w:sz w:val="20"/>
          <w:szCs w:val="20"/>
        </w:rPr>
        <w:t xml:space="preserve">may be extended by </w:t>
      </w:r>
      <w:r w:rsidR="00FA70C9" w:rsidRPr="00FA70C9">
        <w:rPr>
          <w:rFonts w:ascii="Arial" w:hAnsi="Arial" w:cs="Arial"/>
          <w:sz w:val="20"/>
          <w:szCs w:val="20"/>
        </w:rPr>
        <w:t>§</w:t>
      </w:r>
      <w:r w:rsidR="00FA70C9">
        <w:rPr>
          <w:rFonts w:ascii="Arial" w:hAnsi="Arial" w:cs="Arial"/>
          <w:sz w:val="16"/>
          <w:szCs w:val="16"/>
        </w:rPr>
        <w:t xml:space="preserve"> </w:t>
      </w:r>
      <w:r w:rsidR="008361EE">
        <w:rPr>
          <w:rFonts w:ascii="Arial" w:hAnsi="Arial" w:cs="Arial"/>
          <w:sz w:val="20"/>
          <w:szCs w:val="20"/>
        </w:rPr>
        <w:t xml:space="preserve">105(a) of the US Bankruptcy Code to </w:t>
      </w:r>
      <w:r w:rsidR="003125AE">
        <w:rPr>
          <w:rFonts w:ascii="Arial" w:hAnsi="Arial" w:cs="Arial"/>
          <w:sz w:val="20"/>
          <w:szCs w:val="20"/>
        </w:rPr>
        <w:t xml:space="preserve">these </w:t>
      </w:r>
      <w:r w:rsidR="008361EE">
        <w:rPr>
          <w:rFonts w:ascii="Arial" w:hAnsi="Arial" w:cs="Arial"/>
          <w:sz w:val="20"/>
          <w:szCs w:val="20"/>
        </w:rPr>
        <w:t>other companies.</w:t>
      </w:r>
      <w:r w:rsidR="00CE2175">
        <w:rPr>
          <w:rFonts w:ascii="Arial" w:hAnsi="Arial" w:cs="Arial"/>
          <w:sz w:val="20"/>
          <w:szCs w:val="20"/>
        </w:rPr>
        <w:t xml:space="preserve"> Chapter 11 proceedings and the protection thereby given may be recognised in Romania and Singapore through the UNCITRAL Model Law</w:t>
      </w:r>
      <w:r w:rsidR="003125AE">
        <w:rPr>
          <w:rFonts w:ascii="Arial" w:hAnsi="Arial" w:cs="Arial"/>
          <w:sz w:val="20"/>
          <w:szCs w:val="20"/>
        </w:rPr>
        <w:t xml:space="preserve"> on Cross Border Insolvency</w:t>
      </w:r>
      <w:r w:rsidR="00CE2175">
        <w:rPr>
          <w:rFonts w:ascii="Arial" w:hAnsi="Arial" w:cs="Arial"/>
          <w:sz w:val="20"/>
          <w:szCs w:val="20"/>
        </w:rPr>
        <w:t xml:space="preserve"> (</w:t>
      </w:r>
      <w:r w:rsidR="00FA70C9">
        <w:rPr>
          <w:rFonts w:ascii="Arial" w:hAnsi="Arial" w:cs="Arial"/>
          <w:sz w:val="20"/>
          <w:szCs w:val="20"/>
        </w:rPr>
        <w:t xml:space="preserve">the </w:t>
      </w:r>
      <w:r w:rsidR="00CE2175">
        <w:rPr>
          <w:rFonts w:ascii="Arial" w:hAnsi="Arial" w:cs="Arial"/>
          <w:sz w:val="20"/>
          <w:szCs w:val="20"/>
        </w:rPr>
        <w:t>“Model Law</w:t>
      </w:r>
      <w:r w:rsidR="00AB4F9E">
        <w:rPr>
          <w:rFonts w:ascii="Arial" w:hAnsi="Arial" w:cs="Arial"/>
          <w:sz w:val="20"/>
          <w:szCs w:val="20"/>
        </w:rPr>
        <w:t>”</w:t>
      </w:r>
      <w:r w:rsidR="00CE2175">
        <w:rPr>
          <w:rFonts w:ascii="Arial" w:hAnsi="Arial" w:cs="Arial"/>
          <w:sz w:val="20"/>
          <w:szCs w:val="20"/>
        </w:rPr>
        <w:t>).</w:t>
      </w:r>
    </w:p>
    <w:p w14:paraId="1F771E28" w14:textId="77777777" w:rsidR="008361EE" w:rsidRPr="008361EE" w:rsidRDefault="008361EE" w:rsidP="00A43070">
      <w:pPr>
        <w:pStyle w:val="ListParagraph"/>
        <w:ind w:left="567" w:hanging="567"/>
        <w:jc w:val="both"/>
        <w:rPr>
          <w:rFonts w:ascii="Arial" w:hAnsi="Arial" w:cs="Arial"/>
          <w:sz w:val="20"/>
          <w:szCs w:val="20"/>
        </w:rPr>
      </w:pPr>
    </w:p>
    <w:p w14:paraId="7C7D5F0B" w14:textId="0D19BCFC" w:rsidR="00CF0F40" w:rsidRDefault="008361EE" w:rsidP="007434C1">
      <w:pPr>
        <w:pStyle w:val="ListParagraph"/>
        <w:numPr>
          <w:ilvl w:val="0"/>
          <w:numId w:val="1"/>
        </w:numPr>
        <w:ind w:left="567" w:hanging="567"/>
        <w:jc w:val="both"/>
        <w:rPr>
          <w:rFonts w:ascii="Arial" w:hAnsi="Arial" w:cs="Arial"/>
          <w:sz w:val="20"/>
          <w:szCs w:val="20"/>
        </w:rPr>
      </w:pPr>
      <w:r w:rsidRPr="00996FA1">
        <w:rPr>
          <w:rFonts w:ascii="Arial" w:hAnsi="Arial" w:cs="Arial"/>
          <w:sz w:val="20"/>
          <w:szCs w:val="20"/>
          <w:u w:val="single"/>
        </w:rPr>
        <w:t>Second</w:t>
      </w:r>
      <w:r w:rsidRPr="00996FA1">
        <w:rPr>
          <w:rFonts w:ascii="Arial" w:hAnsi="Arial" w:cs="Arial"/>
          <w:sz w:val="20"/>
          <w:szCs w:val="20"/>
        </w:rPr>
        <w:t xml:space="preserve">, </w:t>
      </w:r>
      <w:r w:rsidR="00CE2175" w:rsidRPr="00996FA1">
        <w:rPr>
          <w:rFonts w:ascii="Arial" w:hAnsi="Arial" w:cs="Arial"/>
          <w:sz w:val="20"/>
          <w:szCs w:val="20"/>
        </w:rPr>
        <w:t>it may be possible to</w:t>
      </w:r>
      <w:r w:rsidR="00766D2B" w:rsidRPr="00996FA1">
        <w:rPr>
          <w:rFonts w:ascii="Arial" w:hAnsi="Arial" w:cs="Arial"/>
          <w:sz w:val="20"/>
          <w:szCs w:val="20"/>
        </w:rPr>
        <w:t xml:space="preserve"> open</w:t>
      </w:r>
      <w:r w:rsidR="00CE2175" w:rsidRPr="00996FA1">
        <w:rPr>
          <w:rFonts w:ascii="Arial" w:hAnsi="Arial" w:cs="Arial"/>
          <w:sz w:val="20"/>
          <w:szCs w:val="20"/>
        </w:rPr>
        <w:t xml:space="preserve"> insolvency proceedings in respect of F1 Trading in the Netherlands</w:t>
      </w:r>
      <w:r w:rsidR="002A64B9" w:rsidRPr="00996FA1">
        <w:rPr>
          <w:rFonts w:ascii="Arial" w:hAnsi="Arial" w:cs="Arial"/>
          <w:sz w:val="20"/>
          <w:szCs w:val="20"/>
        </w:rPr>
        <w:t xml:space="preserve"> (the “Netherlands proceedings”)</w:t>
      </w:r>
      <w:r w:rsidR="005D69A5" w:rsidRPr="00996FA1">
        <w:rPr>
          <w:rFonts w:ascii="Arial" w:hAnsi="Arial" w:cs="Arial"/>
          <w:sz w:val="20"/>
          <w:szCs w:val="20"/>
        </w:rPr>
        <w:t xml:space="preserve">. </w:t>
      </w:r>
      <w:r w:rsidR="00864913">
        <w:rPr>
          <w:rFonts w:ascii="Arial" w:hAnsi="Arial" w:cs="Arial"/>
          <w:sz w:val="20"/>
          <w:szCs w:val="20"/>
        </w:rPr>
        <w:t>If so, i</w:t>
      </w:r>
      <w:r w:rsidR="002A64B9" w:rsidRPr="00996FA1">
        <w:rPr>
          <w:rFonts w:ascii="Arial" w:hAnsi="Arial" w:cs="Arial"/>
          <w:sz w:val="20"/>
          <w:szCs w:val="20"/>
        </w:rPr>
        <w:t xml:space="preserve">t may be possible to rely on the </w:t>
      </w:r>
      <w:r w:rsidR="00996FA1">
        <w:rPr>
          <w:rFonts w:ascii="Arial" w:hAnsi="Arial" w:cs="Arial"/>
          <w:sz w:val="20"/>
          <w:szCs w:val="20"/>
        </w:rPr>
        <w:t xml:space="preserve">Recast </w:t>
      </w:r>
      <w:r w:rsidR="002A64B9" w:rsidRPr="00996FA1">
        <w:rPr>
          <w:rFonts w:ascii="Arial" w:hAnsi="Arial" w:cs="Arial"/>
          <w:sz w:val="20"/>
          <w:szCs w:val="20"/>
        </w:rPr>
        <w:t xml:space="preserve">EU Insolvency Regulation (“EU IR”) to </w:t>
      </w:r>
      <w:r w:rsidR="00996FA1" w:rsidRPr="00996FA1">
        <w:rPr>
          <w:rFonts w:ascii="Arial" w:hAnsi="Arial" w:cs="Arial"/>
          <w:sz w:val="20"/>
          <w:szCs w:val="20"/>
        </w:rPr>
        <w:t>promote cooperation and coordination between</w:t>
      </w:r>
      <w:r w:rsidR="002A64B9" w:rsidRPr="00996FA1">
        <w:rPr>
          <w:rFonts w:ascii="Arial" w:hAnsi="Arial" w:cs="Arial"/>
          <w:sz w:val="20"/>
          <w:szCs w:val="20"/>
        </w:rPr>
        <w:t xml:space="preserve"> the Netherlands proceedings </w:t>
      </w:r>
      <w:r w:rsidR="00996FA1" w:rsidRPr="00996FA1">
        <w:rPr>
          <w:rFonts w:ascii="Arial" w:hAnsi="Arial" w:cs="Arial"/>
          <w:sz w:val="20"/>
          <w:szCs w:val="20"/>
        </w:rPr>
        <w:t xml:space="preserve">and </w:t>
      </w:r>
      <w:r w:rsidR="002A64B9" w:rsidRPr="00996FA1">
        <w:rPr>
          <w:rFonts w:ascii="Arial" w:hAnsi="Arial" w:cs="Arial"/>
          <w:sz w:val="20"/>
          <w:szCs w:val="20"/>
        </w:rPr>
        <w:t xml:space="preserve">the insolvency proceedings </w:t>
      </w:r>
      <w:r w:rsidR="00996FA1" w:rsidRPr="00996FA1">
        <w:rPr>
          <w:rFonts w:ascii="Arial" w:hAnsi="Arial" w:cs="Arial"/>
          <w:sz w:val="20"/>
          <w:szCs w:val="20"/>
        </w:rPr>
        <w:t xml:space="preserve">taking place </w:t>
      </w:r>
      <w:r w:rsidR="002A64B9" w:rsidRPr="00996FA1">
        <w:rPr>
          <w:rFonts w:ascii="Arial" w:hAnsi="Arial" w:cs="Arial"/>
          <w:sz w:val="20"/>
          <w:szCs w:val="20"/>
        </w:rPr>
        <w:t xml:space="preserve">in </w:t>
      </w:r>
      <w:r w:rsidR="00A053BD" w:rsidRPr="00996FA1">
        <w:rPr>
          <w:rFonts w:ascii="Arial" w:hAnsi="Arial" w:cs="Arial"/>
          <w:sz w:val="20"/>
          <w:szCs w:val="20"/>
        </w:rPr>
        <w:t>Romania</w:t>
      </w:r>
      <w:r w:rsidR="00864913">
        <w:rPr>
          <w:rFonts w:ascii="Arial" w:hAnsi="Arial" w:cs="Arial"/>
          <w:sz w:val="20"/>
          <w:szCs w:val="20"/>
        </w:rPr>
        <w:t xml:space="preserve"> in respect of F1 Romania</w:t>
      </w:r>
      <w:r w:rsidR="00A053BD" w:rsidRPr="00996FA1">
        <w:rPr>
          <w:rFonts w:ascii="Arial" w:hAnsi="Arial" w:cs="Arial"/>
          <w:sz w:val="20"/>
          <w:szCs w:val="20"/>
        </w:rPr>
        <w:t xml:space="preserve"> (the “Romanian proceedings”)</w:t>
      </w:r>
      <w:r w:rsidR="00766D2B" w:rsidRPr="00996FA1">
        <w:rPr>
          <w:rFonts w:ascii="Arial" w:hAnsi="Arial" w:cs="Arial"/>
          <w:sz w:val="20"/>
          <w:szCs w:val="20"/>
        </w:rPr>
        <w:t xml:space="preserve">. </w:t>
      </w:r>
    </w:p>
    <w:p w14:paraId="5F4EDA92" w14:textId="77777777" w:rsidR="007434C1" w:rsidRPr="007434C1" w:rsidRDefault="007434C1" w:rsidP="007434C1">
      <w:pPr>
        <w:pStyle w:val="ListParagraph"/>
        <w:rPr>
          <w:rFonts w:ascii="Arial" w:hAnsi="Arial" w:cs="Arial"/>
          <w:sz w:val="20"/>
          <w:szCs w:val="20"/>
        </w:rPr>
      </w:pPr>
    </w:p>
    <w:p w14:paraId="07ABA7BE" w14:textId="77777777" w:rsidR="007434C1" w:rsidRPr="007434C1" w:rsidRDefault="007434C1" w:rsidP="007434C1">
      <w:pPr>
        <w:pStyle w:val="ListParagraph"/>
        <w:ind w:left="567"/>
        <w:jc w:val="both"/>
        <w:rPr>
          <w:rFonts w:ascii="Arial" w:hAnsi="Arial" w:cs="Arial"/>
          <w:sz w:val="20"/>
          <w:szCs w:val="20"/>
        </w:rPr>
      </w:pPr>
    </w:p>
    <w:p w14:paraId="563DBB1A" w14:textId="5E5C4EE9" w:rsidR="00CE2175" w:rsidRDefault="00CE2175" w:rsidP="00A43070">
      <w:pPr>
        <w:pStyle w:val="ListParagraph"/>
        <w:numPr>
          <w:ilvl w:val="0"/>
          <w:numId w:val="1"/>
        </w:numPr>
        <w:ind w:left="567" w:hanging="567"/>
        <w:jc w:val="both"/>
        <w:rPr>
          <w:rFonts w:ascii="Arial" w:hAnsi="Arial" w:cs="Arial"/>
          <w:sz w:val="20"/>
          <w:szCs w:val="20"/>
        </w:rPr>
      </w:pPr>
      <w:r w:rsidRPr="00CE2175">
        <w:rPr>
          <w:rFonts w:ascii="Arial" w:hAnsi="Arial" w:cs="Arial"/>
          <w:sz w:val="20"/>
          <w:szCs w:val="20"/>
          <w:u w:val="single"/>
        </w:rPr>
        <w:t>Third</w:t>
      </w:r>
      <w:r>
        <w:rPr>
          <w:rFonts w:ascii="Arial" w:hAnsi="Arial" w:cs="Arial"/>
          <w:sz w:val="20"/>
          <w:szCs w:val="20"/>
        </w:rPr>
        <w:t>, it may be possible to apply for a moratorium in Singapore in respect of F1 Singapore</w:t>
      </w:r>
      <w:r w:rsidR="006647CF">
        <w:rPr>
          <w:rFonts w:ascii="Arial" w:hAnsi="Arial" w:cs="Arial"/>
          <w:sz w:val="20"/>
          <w:szCs w:val="20"/>
        </w:rPr>
        <w:t xml:space="preserve"> under </w:t>
      </w:r>
      <w:r>
        <w:rPr>
          <w:rFonts w:ascii="Arial" w:hAnsi="Arial" w:cs="Arial"/>
          <w:sz w:val="20"/>
          <w:szCs w:val="20"/>
        </w:rPr>
        <w:t>section 6</w:t>
      </w:r>
      <w:r w:rsidR="006647CF">
        <w:rPr>
          <w:rFonts w:ascii="Arial" w:hAnsi="Arial" w:cs="Arial"/>
          <w:sz w:val="20"/>
          <w:szCs w:val="20"/>
        </w:rPr>
        <w:t>4</w:t>
      </w:r>
      <w:r>
        <w:rPr>
          <w:rFonts w:ascii="Arial" w:hAnsi="Arial" w:cs="Arial"/>
          <w:sz w:val="20"/>
          <w:szCs w:val="20"/>
        </w:rPr>
        <w:t xml:space="preserve"> of Singapore’s Insolvency Restructuring and Dissolution Act (“IRDA”).</w:t>
      </w:r>
      <w:r w:rsidR="006647CF">
        <w:rPr>
          <w:rFonts w:ascii="Arial" w:hAnsi="Arial" w:cs="Arial"/>
          <w:sz w:val="20"/>
          <w:szCs w:val="20"/>
        </w:rPr>
        <w:t xml:space="preserve"> A similar moratorium may be applied for in respect of F1 Trading and F1 Investments by reason of these companies being respectively the holding company and ultimate holding company of F1 Singapore.</w:t>
      </w:r>
      <w:r>
        <w:rPr>
          <w:rFonts w:ascii="Arial" w:hAnsi="Arial" w:cs="Arial"/>
          <w:sz w:val="20"/>
          <w:szCs w:val="20"/>
        </w:rPr>
        <w:t xml:space="preserve"> </w:t>
      </w:r>
      <w:r w:rsidR="009458D8">
        <w:rPr>
          <w:rFonts w:ascii="Arial" w:hAnsi="Arial" w:cs="Arial"/>
          <w:sz w:val="20"/>
          <w:szCs w:val="20"/>
        </w:rPr>
        <w:t>However the Netherlands is not a</w:t>
      </w:r>
      <w:r>
        <w:rPr>
          <w:rFonts w:ascii="Arial" w:hAnsi="Arial" w:cs="Arial"/>
          <w:sz w:val="20"/>
          <w:szCs w:val="20"/>
        </w:rPr>
        <w:t xml:space="preserve"> Model Law</w:t>
      </w:r>
      <w:r w:rsidR="009458D8">
        <w:rPr>
          <w:rFonts w:ascii="Arial" w:hAnsi="Arial" w:cs="Arial"/>
          <w:sz w:val="20"/>
          <w:szCs w:val="20"/>
        </w:rPr>
        <w:t xml:space="preserve"> country and there will be an issue as to how a moratorium</w:t>
      </w:r>
      <w:r w:rsidR="006647CF">
        <w:rPr>
          <w:rFonts w:ascii="Arial" w:hAnsi="Arial" w:cs="Arial"/>
          <w:sz w:val="20"/>
          <w:szCs w:val="20"/>
        </w:rPr>
        <w:t xml:space="preserve"> in respect of F1 Trading</w:t>
      </w:r>
      <w:r w:rsidR="009458D8">
        <w:rPr>
          <w:rFonts w:ascii="Arial" w:hAnsi="Arial" w:cs="Arial"/>
          <w:sz w:val="20"/>
          <w:szCs w:val="20"/>
        </w:rPr>
        <w:t xml:space="preserve"> is recognised in the Netherlands</w:t>
      </w:r>
      <w:r>
        <w:rPr>
          <w:rFonts w:ascii="Arial" w:hAnsi="Arial" w:cs="Arial"/>
          <w:sz w:val="20"/>
          <w:szCs w:val="20"/>
        </w:rPr>
        <w:t>.</w:t>
      </w:r>
      <w:r w:rsidR="006647CF">
        <w:rPr>
          <w:rFonts w:ascii="Arial" w:hAnsi="Arial" w:cs="Arial"/>
          <w:sz w:val="20"/>
          <w:szCs w:val="20"/>
        </w:rPr>
        <w:t xml:space="preserve"> The United States is a Model Law country but it is unclear if a moratorium obtained in respect of F1 Investments in Singapore qualifies a </w:t>
      </w:r>
      <w:r w:rsidR="00FA70C9">
        <w:rPr>
          <w:rFonts w:ascii="Arial" w:hAnsi="Arial" w:cs="Arial"/>
          <w:sz w:val="20"/>
          <w:szCs w:val="20"/>
        </w:rPr>
        <w:t>“</w:t>
      </w:r>
      <w:r w:rsidR="006647CF">
        <w:rPr>
          <w:rFonts w:ascii="Arial" w:hAnsi="Arial" w:cs="Arial"/>
          <w:sz w:val="20"/>
          <w:szCs w:val="20"/>
        </w:rPr>
        <w:t>foreign proceeding</w:t>
      </w:r>
      <w:r w:rsidR="00FA70C9">
        <w:rPr>
          <w:rFonts w:ascii="Arial" w:hAnsi="Arial" w:cs="Arial"/>
          <w:sz w:val="20"/>
          <w:szCs w:val="20"/>
        </w:rPr>
        <w:t>”</w:t>
      </w:r>
      <w:r w:rsidR="006647CF">
        <w:rPr>
          <w:rFonts w:ascii="Arial" w:hAnsi="Arial" w:cs="Arial"/>
          <w:sz w:val="20"/>
          <w:szCs w:val="20"/>
        </w:rPr>
        <w:t xml:space="preserve"> to be recognised in the United States. </w:t>
      </w:r>
    </w:p>
    <w:p w14:paraId="0A032780" w14:textId="77777777" w:rsidR="00CE2175" w:rsidRPr="00CE2175" w:rsidRDefault="00CE2175" w:rsidP="00A43070">
      <w:pPr>
        <w:pStyle w:val="ListParagraph"/>
        <w:ind w:left="567" w:hanging="567"/>
        <w:jc w:val="both"/>
        <w:rPr>
          <w:rFonts w:ascii="Arial" w:hAnsi="Arial" w:cs="Arial"/>
          <w:sz w:val="20"/>
          <w:szCs w:val="20"/>
        </w:rPr>
      </w:pPr>
    </w:p>
    <w:p w14:paraId="2BDE4B80" w14:textId="2C75F3FF" w:rsidR="00CE2175" w:rsidRDefault="00CE2175"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It will not be possible to accurately gauge the costs associated with each of these options although they are likely to be in descending order with each of the</w:t>
      </w:r>
      <w:r w:rsidR="0035641E">
        <w:rPr>
          <w:rFonts w:ascii="Arial" w:hAnsi="Arial" w:cs="Arial"/>
          <w:sz w:val="20"/>
          <w:szCs w:val="20"/>
        </w:rPr>
        <w:t>se</w:t>
      </w:r>
      <w:r>
        <w:rPr>
          <w:rFonts w:ascii="Arial" w:hAnsi="Arial" w:cs="Arial"/>
          <w:sz w:val="20"/>
          <w:szCs w:val="20"/>
        </w:rPr>
        <w:t xml:space="preserve"> options</w:t>
      </w:r>
      <w:r w:rsidR="0035641E">
        <w:rPr>
          <w:rFonts w:ascii="Arial" w:hAnsi="Arial" w:cs="Arial"/>
          <w:sz w:val="20"/>
          <w:szCs w:val="20"/>
        </w:rPr>
        <w:t xml:space="preserve"> (as set out above)</w:t>
      </w:r>
      <w:r>
        <w:rPr>
          <w:rFonts w:ascii="Arial" w:hAnsi="Arial" w:cs="Arial"/>
          <w:sz w:val="20"/>
          <w:szCs w:val="20"/>
        </w:rPr>
        <w:t>.</w:t>
      </w:r>
    </w:p>
    <w:p w14:paraId="1961F666" w14:textId="77777777" w:rsidR="0035641E" w:rsidRPr="0035641E" w:rsidRDefault="0035641E" w:rsidP="00A43070">
      <w:pPr>
        <w:pStyle w:val="ListParagraph"/>
        <w:ind w:left="567" w:hanging="567"/>
        <w:jc w:val="both"/>
        <w:rPr>
          <w:rFonts w:ascii="Arial" w:hAnsi="Arial" w:cs="Arial"/>
          <w:sz w:val="20"/>
          <w:szCs w:val="20"/>
        </w:rPr>
      </w:pPr>
    </w:p>
    <w:p w14:paraId="5AC6D839" w14:textId="7961C8E0" w:rsidR="0035641E" w:rsidRDefault="0035641E"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We elaborate on each of the options.</w:t>
      </w:r>
    </w:p>
    <w:p w14:paraId="0EB56255" w14:textId="77777777" w:rsidR="0035641E" w:rsidRPr="0035641E" w:rsidRDefault="0035641E" w:rsidP="00A43070">
      <w:pPr>
        <w:pStyle w:val="ListParagraph"/>
        <w:ind w:left="567" w:hanging="567"/>
        <w:jc w:val="both"/>
        <w:rPr>
          <w:rFonts w:ascii="Arial" w:hAnsi="Arial" w:cs="Arial"/>
          <w:sz w:val="20"/>
          <w:szCs w:val="20"/>
        </w:rPr>
      </w:pPr>
    </w:p>
    <w:p w14:paraId="72C1C527" w14:textId="77777777" w:rsidR="0035641E" w:rsidRDefault="0035641E" w:rsidP="00A43070">
      <w:pPr>
        <w:pStyle w:val="ListParagraph"/>
        <w:ind w:left="284"/>
        <w:jc w:val="both"/>
        <w:rPr>
          <w:rFonts w:ascii="Arial" w:hAnsi="Arial" w:cs="Arial"/>
          <w:sz w:val="20"/>
          <w:szCs w:val="20"/>
        </w:rPr>
      </w:pPr>
    </w:p>
    <w:p w14:paraId="24896279" w14:textId="77777777" w:rsidR="007434C1" w:rsidRDefault="007434C1" w:rsidP="00A43070">
      <w:pPr>
        <w:pStyle w:val="ListParagraph"/>
        <w:ind w:left="284"/>
        <w:jc w:val="both"/>
        <w:rPr>
          <w:rFonts w:ascii="Arial" w:hAnsi="Arial" w:cs="Arial"/>
          <w:sz w:val="20"/>
          <w:szCs w:val="20"/>
        </w:rPr>
      </w:pPr>
    </w:p>
    <w:p w14:paraId="473783B1" w14:textId="77777777" w:rsidR="007434C1" w:rsidRDefault="007434C1" w:rsidP="00A43070">
      <w:pPr>
        <w:pStyle w:val="ListParagraph"/>
        <w:ind w:left="284"/>
        <w:jc w:val="both"/>
        <w:rPr>
          <w:rFonts w:ascii="Arial" w:hAnsi="Arial" w:cs="Arial"/>
          <w:sz w:val="20"/>
          <w:szCs w:val="20"/>
        </w:rPr>
      </w:pPr>
    </w:p>
    <w:p w14:paraId="71FBA81F" w14:textId="77777777" w:rsidR="007434C1" w:rsidRDefault="007434C1" w:rsidP="00A43070">
      <w:pPr>
        <w:pStyle w:val="ListParagraph"/>
        <w:ind w:left="284"/>
        <w:jc w:val="both"/>
        <w:rPr>
          <w:rFonts w:ascii="Arial" w:hAnsi="Arial" w:cs="Arial"/>
          <w:sz w:val="20"/>
          <w:szCs w:val="20"/>
        </w:rPr>
      </w:pPr>
    </w:p>
    <w:p w14:paraId="2E2EFC3A" w14:textId="77777777" w:rsidR="007434C1" w:rsidRDefault="007434C1" w:rsidP="00A43070">
      <w:pPr>
        <w:pStyle w:val="ListParagraph"/>
        <w:ind w:left="284"/>
        <w:jc w:val="both"/>
        <w:rPr>
          <w:rFonts w:ascii="Arial" w:hAnsi="Arial" w:cs="Arial"/>
          <w:sz w:val="20"/>
          <w:szCs w:val="20"/>
        </w:rPr>
      </w:pPr>
    </w:p>
    <w:p w14:paraId="2BB5202A" w14:textId="497B3D54" w:rsidR="0035641E" w:rsidRPr="0035641E" w:rsidRDefault="0035641E" w:rsidP="00A43070">
      <w:pPr>
        <w:pStyle w:val="ListParagraph"/>
        <w:ind w:left="567"/>
        <w:jc w:val="both"/>
        <w:rPr>
          <w:rFonts w:ascii="Arial" w:hAnsi="Arial" w:cs="Arial"/>
          <w:i/>
          <w:iCs/>
          <w:sz w:val="20"/>
          <w:szCs w:val="20"/>
        </w:rPr>
      </w:pPr>
      <w:r w:rsidRPr="0035641E">
        <w:rPr>
          <w:rFonts w:ascii="Arial" w:hAnsi="Arial" w:cs="Arial"/>
          <w:i/>
          <w:iCs/>
          <w:sz w:val="20"/>
          <w:szCs w:val="20"/>
        </w:rPr>
        <w:lastRenderedPageBreak/>
        <w:t xml:space="preserve">Option 1 </w:t>
      </w:r>
    </w:p>
    <w:p w14:paraId="3E587A72" w14:textId="31DD6D94" w:rsidR="0035641E" w:rsidRPr="0035641E" w:rsidRDefault="0035641E" w:rsidP="00A43070">
      <w:pPr>
        <w:jc w:val="both"/>
        <w:rPr>
          <w:rFonts w:ascii="Arial" w:hAnsi="Arial" w:cs="Arial"/>
          <w:sz w:val="20"/>
          <w:szCs w:val="20"/>
        </w:rPr>
      </w:pPr>
    </w:p>
    <w:p w14:paraId="38094749" w14:textId="2DC99794" w:rsidR="004C3B6F" w:rsidRDefault="0035641E"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Option 1 is an option pursued in the United States. The option envisages an application under Chapter 11 of the US Bankruptcy Code (“Chapter 11”). Chapter 11 confers protection </w:t>
      </w:r>
      <w:r w:rsidR="00D83C79">
        <w:rPr>
          <w:rFonts w:ascii="Arial" w:hAnsi="Arial" w:cs="Arial"/>
          <w:sz w:val="20"/>
          <w:szCs w:val="20"/>
        </w:rPr>
        <w:t>to a distressed company whilst allow</w:t>
      </w:r>
      <w:r w:rsidR="0012541B">
        <w:rPr>
          <w:rFonts w:ascii="Arial" w:hAnsi="Arial" w:cs="Arial"/>
          <w:sz w:val="20"/>
          <w:szCs w:val="20"/>
        </w:rPr>
        <w:t>ing</w:t>
      </w:r>
      <w:r w:rsidR="00D83C79">
        <w:rPr>
          <w:rFonts w:ascii="Arial" w:hAnsi="Arial" w:cs="Arial"/>
          <w:sz w:val="20"/>
          <w:szCs w:val="20"/>
        </w:rPr>
        <w:t xml:space="preserve"> management to remain in control of the company and formulate a restructuring plan.</w:t>
      </w:r>
      <w:r w:rsidR="0012541B">
        <w:rPr>
          <w:rStyle w:val="FootnoteReference"/>
          <w:rFonts w:ascii="Arial" w:hAnsi="Arial" w:cs="Arial"/>
          <w:sz w:val="20"/>
          <w:szCs w:val="20"/>
        </w:rPr>
        <w:footnoteReference w:id="2"/>
      </w:r>
      <w:r w:rsidR="00D83C79">
        <w:rPr>
          <w:rFonts w:ascii="Arial" w:hAnsi="Arial" w:cs="Arial"/>
          <w:sz w:val="20"/>
          <w:szCs w:val="20"/>
        </w:rPr>
        <w:t xml:space="preserve"> The plan will have to be eventually approved by the US bankruptcy court and </w:t>
      </w:r>
      <w:r w:rsidR="00FA70C9">
        <w:rPr>
          <w:rFonts w:ascii="Arial" w:hAnsi="Arial" w:cs="Arial"/>
          <w:sz w:val="20"/>
          <w:szCs w:val="20"/>
        </w:rPr>
        <w:t xml:space="preserve">if so </w:t>
      </w:r>
      <w:r w:rsidR="00D83C79">
        <w:rPr>
          <w:rFonts w:ascii="Arial" w:hAnsi="Arial" w:cs="Arial"/>
          <w:sz w:val="20"/>
          <w:szCs w:val="20"/>
        </w:rPr>
        <w:t>will be binding on all creditors and shareholders.</w:t>
      </w:r>
    </w:p>
    <w:p w14:paraId="490347D0" w14:textId="77777777" w:rsidR="00293306" w:rsidRDefault="00293306" w:rsidP="00A43070">
      <w:pPr>
        <w:pStyle w:val="ListParagraph"/>
        <w:ind w:left="567" w:hanging="567"/>
        <w:jc w:val="both"/>
        <w:rPr>
          <w:rFonts w:ascii="Arial" w:hAnsi="Arial" w:cs="Arial"/>
          <w:sz w:val="20"/>
          <w:szCs w:val="20"/>
        </w:rPr>
      </w:pPr>
    </w:p>
    <w:p w14:paraId="5DCD3EC4" w14:textId="7BD550B2" w:rsidR="00293306" w:rsidRDefault="00293306"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protection offered by Chapter 11 comes in the form of an automatic stay which operates as an injunction against all actions affecting the company or its property. All actions by secured and unsecured creditors are stayed including acts to repossess or foreclose property without leave of the </w:t>
      </w:r>
      <w:r w:rsidR="00154ED9">
        <w:rPr>
          <w:rFonts w:ascii="Arial" w:hAnsi="Arial" w:cs="Arial"/>
          <w:sz w:val="20"/>
          <w:szCs w:val="20"/>
        </w:rPr>
        <w:t>B</w:t>
      </w:r>
      <w:r>
        <w:rPr>
          <w:rFonts w:ascii="Arial" w:hAnsi="Arial" w:cs="Arial"/>
          <w:sz w:val="20"/>
          <w:szCs w:val="20"/>
        </w:rPr>
        <w:t xml:space="preserve">ankruptcy </w:t>
      </w:r>
      <w:r w:rsidR="00154ED9">
        <w:rPr>
          <w:rFonts w:ascii="Arial" w:hAnsi="Arial" w:cs="Arial"/>
          <w:sz w:val="20"/>
          <w:szCs w:val="20"/>
        </w:rPr>
        <w:t>C</w:t>
      </w:r>
      <w:r>
        <w:rPr>
          <w:rFonts w:ascii="Arial" w:hAnsi="Arial" w:cs="Arial"/>
          <w:sz w:val="20"/>
          <w:szCs w:val="20"/>
        </w:rPr>
        <w:t>ourt or to create and perfect security on the company’s property. The company is only required to pay wages, taxes, expenses and debts incurred after the Chapter 11 filing.</w:t>
      </w:r>
    </w:p>
    <w:p w14:paraId="0ACD9836" w14:textId="77777777" w:rsidR="00293306" w:rsidRPr="00293306" w:rsidRDefault="00293306" w:rsidP="00A43070">
      <w:pPr>
        <w:pStyle w:val="ListParagraph"/>
        <w:ind w:left="567" w:hanging="567"/>
        <w:jc w:val="both"/>
        <w:rPr>
          <w:rFonts w:ascii="Arial" w:hAnsi="Arial" w:cs="Arial"/>
          <w:sz w:val="20"/>
          <w:szCs w:val="20"/>
        </w:rPr>
      </w:pPr>
    </w:p>
    <w:p w14:paraId="38D6281C" w14:textId="4971C583" w:rsidR="00293306" w:rsidRDefault="00293306"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automatic stay provides relief until a plan has been approved by the </w:t>
      </w:r>
      <w:r w:rsidR="00154ED9">
        <w:rPr>
          <w:rFonts w:ascii="Arial" w:hAnsi="Arial" w:cs="Arial"/>
          <w:sz w:val="20"/>
          <w:szCs w:val="20"/>
        </w:rPr>
        <w:t>B</w:t>
      </w:r>
      <w:r>
        <w:rPr>
          <w:rFonts w:ascii="Arial" w:hAnsi="Arial" w:cs="Arial"/>
          <w:sz w:val="20"/>
          <w:szCs w:val="20"/>
        </w:rPr>
        <w:t>ankruptcy</w:t>
      </w:r>
      <w:r w:rsidR="00154ED9">
        <w:rPr>
          <w:rFonts w:ascii="Arial" w:hAnsi="Arial" w:cs="Arial"/>
          <w:sz w:val="20"/>
          <w:szCs w:val="20"/>
        </w:rPr>
        <w:t xml:space="preserve"> Court</w:t>
      </w:r>
      <w:r>
        <w:rPr>
          <w:rFonts w:ascii="Arial" w:hAnsi="Arial" w:cs="Arial"/>
          <w:sz w:val="20"/>
          <w:szCs w:val="20"/>
        </w:rPr>
        <w:t xml:space="preserve"> or the Chapter 11 application is dismissed. </w:t>
      </w:r>
      <w:r w:rsidR="00323FE8">
        <w:rPr>
          <w:rFonts w:ascii="Arial" w:hAnsi="Arial" w:cs="Arial"/>
          <w:sz w:val="20"/>
          <w:szCs w:val="20"/>
        </w:rPr>
        <w:t xml:space="preserve">The plan can accommodate a variety of options. In this case, the company applying for Chapter 11 will be F1 Investments given that it is incorporated in Texas. The plan will likely a terming out of the repayments of the loans given the syndicate of banks (ie the term of repayment of the loans are extended) whilst the claims made by the Drivers are resolved. </w:t>
      </w:r>
      <w:r w:rsidR="00C346A6">
        <w:rPr>
          <w:rFonts w:ascii="Arial" w:hAnsi="Arial" w:cs="Arial"/>
          <w:sz w:val="20"/>
          <w:szCs w:val="20"/>
        </w:rPr>
        <w:t xml:space="preserve">The US Bankruptcy Court has approved plans with long repayment periods. </w:t>
      </w:r>
      <w:r w:rsidR="00323FE8">
        <w:rPr>
          <w:rFonts w:ascii="Arial" w:hAnsi="Arial" w:cs="Arial"/>
          <w:sz w:val="20"/>
          <w:szCs w:val="20"/>
        </w:rPr>
        <w:t>Such a plan is viable as:</w:t>
      </w:r>
    </w:p>
    <w:p w14:paraId="65C58D1C" w14:textId="77777777" w:rsidR="00323FE8" w:rsidRPr="00323FE8" w:rsidRDefault="00323FE8" w:rsidP="00A43070">
      <w:pPr>
        <w:pStyle w:val="ListParagraph"/>
        <w:jc w:val="both"/>
        <w:rPr>
          <w:rFonts w:ascii="Arial" w:hAnsi="Arial" w:cs="Arial"/>
          <w:sz w:val="20"/>
          <w:szCs w:val="20"/>
        </w:rPr>
      </w:pPr>
    </w:p>
    <w:p w14:paraId="3B32E0C3" w14:textId="0EA33CC0" w:rsidR="00C346A6" w:rsidRPr="00C346A6" w:rsidRDefault="00323FE8"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 xml:space="preserve">Team Maximov has </w:t>
      </w:r>
      <w:r w:rsidR="00C346A6">
        <w:rPr>
          <w:rFonts w:ascii="Arial" w:hAnsi="Arial" w:cs="Arial"/>
          <w:sz w:val="20"/>
          <w:szCs w:val="20"/>
        </w:rPr>
        <w:t xml:space="preserve">provisionally </w:t>
      </w:r>
      <w:r>
        <w:rPr>
          <w:rFonts w:ascii="Arial" w:hAnsi="Arial" w:cs="Arial"/>
          <w:sz w:val="20"/>
          <w:szCs w:val="20"/>
        </w:rPr>
        <w:t>secured a potential new sponsor, K</w:t>
      </w:r>
      <w:r w:rsidR="00B47FEA">
        <w:rPr>
          <w:rFonts w:ascii="Arial" w:hAnsi="Arial" w:cs="Arial"/>
          <w:sz w:val="20"/>
          <w:szCs w:val="20"/>
        </w:rPr>
        <w:t>N</w:t>
      </w:r>
      <w:r w:rsidR="00C346A6">
        <w:rPr>
          <w:rFonts w:ascii="Arial" w:hAnsi="Arial" w:cs="Arial"/>
          <w:sz w:val="20"/>
          <w:szCs w:val="20"/>
        </w:rPr>
        <w:t>,</w:t>
      </w:r>
      <w:r>
        <w:rPr>
          <w:rFonts w:ascii="Arial" w:hAnsi="Arial" w:cs="Arial"/>
          <w:sz w:val="20"/>
          <w:szCs w:val="20"/>
        </w:rPr>
        <w:t xml:space="preserve"> which will offer USD 100 million of funding annually. </w:t>
      </w:r>
      <w:r w:rsidR="00C346A6">
        <w:rPr>
          <w:rFonts w:ascii="Arial" w:hAnsi="Arial" w:cs="Arial"/>
          <w:sz w:val="20"/>
          <w:szCs w:val="20"/>
        </w:rPr>
        <w:t>C</w:t>
      </w:r>
      <w:r w:rsidR="00C346A6" w:rsidRPr="00C346A6">
        <w:rPr>
          <w:rFonts w:ascii="Arial" w:hAnsi="Arial" w:cs="Arial"/>
          <w:sz w:val="20"/>
          <w:szCs w:val="20"/>
        </w:rPr>
        <w:t>ondition</w:t>
      </w:r>
      <w:r w:rsidR="00C346A6">
        <w:rPr>
          <w:rFonts w:ascii="Arial" w:hAnsi="Arial" w:cs="Arial"/>
          <w:sz w:val="20"/>
          <w:szCs w:val="20"/>
        </w:rPr>
        <w:t>s</w:t>
      </w:r>
      <w:r w:rsidR="00C346A6" w:rsidRPr="00C346A6">
        <w:rPr>
          <w:rFonts w:ascii="Arial" w:hAnsi="Arial" w:cs="Arial"/>
          <w:sz w:val="20"/>
          <w:szCs w:val="20"/>
        </w:rPr>
        <w:t xml:space="preserve"> for the funding i</w:t>
      </w:r>
      <w:r w:rsidR="00C346A6">
        <w:rPr>
          <w:rFonts w:ascii="Arial" w:hAnsi="Arial" w:cs="Arial"/>
          <w:sz w:val="20"/>
          <w:szCs w:val="20"/>
        </w:rPr>
        <w:t>nclude</w:t>
      </w:r>
      <w:r w:rsidR="00C346A6" w:rsidRPr="00C346A6">
        <w:rPr>
          <w:rFonts w:ascii="Arial" w:hAnsi="Arial" w:cs="Arial"/>
          <w:sz w:val="20"/>
          <w:szCs w:val="20"/>
        </w:rPr>
        <w:t xml:space="preserve"> (a) a transfer of 51% of the shareholding of either F1 Trading or F1 Romania to K</w:t>
      </w:r>
      <w:r w:rsidR="00B47FEA">
        <w:rPr>
          <w:rFonts w:ascii="Arial" w:hAnsi="Arial" w:cs="Arial"/>
          <w:sz w:val="20"/>
          <w:szCs w:val="20"/>
        </w:rPr>
        <w:t>N</w:t>
      </w:r>
      <w:r w:rsidR="00C346A6">
        <w:rPr>
          <w:rFonts w:ascii="Arial" w:hAnsi="Arial" w:cs="Arial"/>
          <w:sz w:val="20"/>
          <w:szCs w:val="20"/>
        </w:rPr>
        <w:t xml:space="preserve"> and</w:t>
      </w:r>
      <w:r w:rsidR="00C346A6" w:rsidRPr="00C346A6">
        <w:rPr>
          <w:rFonts w:ascii="Arial" w:hAnsi="Arial" w:cs="Arial"/>
          <w:sz w:val="20"/>
          <w:szCs w:val="20"/>
        </w:rPr>
        <w:t xml:space="preserve"> (b) a move by the team </w:t>
      </w:r>
      <w:r w:rsidR="00154ED9">
        <w:rPr>
          <w:rFonts w:ascii="Arial" w:hAnsi="Arial" w:cs="Arial"/>
          <w:sz w:val="20"/>
          <w:szCs w:val="20"/>
        </w:rPr>
        <w:t xml:space="preserve">with its machines </w:t>
      </w:r>
      <w:r w:rsidR="00C346A6" w:rsidRPr="00C346A6">
        <w:rPr>
          <w:rFonts w:ascii="Arial" w:hAnsi="Arial" w:cs="Arial"/>
          <w:sz w:val="20"/>
          <w:szCs w:val="20"/>
        </w:rPr>
        <w:t xml:space="preserve">to Malaysia. </w:t>
      </w:r>
      <w:r w:rsidR="00C346A6">
        <w:rPr>
          <w:rFonts w:ascii="Arial" w:hAnsi="Arial" w:cs="Arial"/>
          <w:sz w:val="20"/>
          <w:szCs w:val="20"/>
        </w:rPr>
        <w:t xml:space="preserve">Both these conditions appear to be within Team Maximov’s ability to fulfil. </w:t>
      </w:r>
      <w:r w:rsidR="00C346A6" w:rsidRPr="00C346A6">
        <w:rPr>
          <w:rFonts w:ascii="Arial" w:hAnsi="Arial" w:cs="Arial"/>
          <w:sz w:val="20"/>
          <w:szCs w:val="20"/>
        </w:rPr>
        <w:t>The proposed funding is</w:t>
      </w:r>
      <w:r w:rsidR="00C346A6">
        <w:rPr>
          <w:rFonts w:ascii="Arial" w:hAnsi="Arial" w:cs="Arial"/>
          <w:sz w:val="20"/>
          <w:szCs w:val="20"/>
        </w:rPr>
        <w:t>, however,</w:t>
      </w:r>
      <w:r w:rsidR="00C346A6" w:rsidRPr="00C346A6">
        <w:rPr>
          <w:rFonts w:ascii="Arial" w:hAnsi="Arial" w:cs="Arial"/>
          <w:sz w:val="20"/>
          <w:szCs w:val="20"/>
        </w:rPr>
        <w:t xml:space="preserve"> also subject to review by the newly elected Malaysian Government.</w:t>
      </w:r>
    </w:p>
    <w:p w14:paraId="7872B8EF" w14:textId="63BE9328" w:rsidR="00C346A6" w:rsidRDefault="00C346A6" w:rsidP="00A43070">
      <w:pPr>
        <w:pStyle w:val="ListParagraph"/>
        <w:numPr>
          <w:ilvl w:val="1"/>
          <w:numId w:val="1"/>
        </w:numPr>
        <w:ind w:left="1134" w:hanging="567"/>
        <w:jc w:val="both"/>
        <w:rPr>
          <w:rFonts w:ascii="Arial" w:hAnsi="Arial" w:cs="Arial"/>
          <w:sz w:val="20"/>
          <w:szCs w:val="20"/>
        </w:rPr>
      </w:pPr>
      <w:r w:rsidRPr="00C346A6">
        <w:rPr>
          <w:rFonts w:ascii="Arial" w:hAnsi="Arial" w:cs="Arial"/>
          <w:sz w:val="20"/>
          <w:szCs w:val="20"/>
        </w:rPr>
        <w:t xml:space="preserve">Team Maximov has done well and placed 6th in the 2022 F1 season. This </w:t>
      </w:r>
      <w:r>
        <w:rPr>
          <w:rFonts w:ascii="Arial" w:hAnsi="Arial" w:cs="Arial"/>
          <w:sz w:val="20"/>
          <w:szCs w:val="20"/>
        </w:rPr>
        <w:t xml:space="preserve">gives some </w:t>
      </w:r>
      <w:r w:rsidRPr="00C346A6">
        <w:rPr>
          <w:rFonts w:ascii="Arial" w:hAnsi="Arial" w:cs="Arial"/>
          <w:sz w:val="20"/>
          <w:szCs w:val="20"/>
        </w:rPr>
        <w:t>assur</w:t>
      </w:r>
      <w:r>
        <w:rPr>
          <w:rFonts w:ascii="Arial" w:hAnsi="Arial" w:cs="Arial"/>
          <w:sz w:val="20"/>
          <w:szCs w:val="20"/>
        </w:rPr>
        <w:t>ance that it can earn income which can repay the loans extended by the syndicate of banks.</w:t>
      </w:r>
    </w:p>
    <w:p w14:paraId="7233B73E" w14:textId="77777777" w:rsidR="00C346A6" w:rsidRDefault="00C346A6" w:rsidP="00A43070">
      <w:pPr>
        <w:pStyle w:val="ListParagraph"/>
        <w:ind w:left="709"/>
        <w:jc w:val="both"/>
        <w:rPr>
          <w:rFonts w:ascii="Arial" w:hAnsi="Arial" w:cs="Arial"/>
          <w:sz w:val="20"/>
          <w:szCs w:val="20"/>
        </w:rPr>
      </w:pPr>
    </w:p>
    <w:p w14:paraId="5F86A021" w14:textId="2A7CE2A9" w:rsidR="00C346A6" w:rsidRDefault="00C346A6"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plan may also entail the banks taking an equity stake in F1 Investments in exchange for at least part of their loans. </w:t>
      </w:r>
      <w:r w:rsidR="00823105">
        <w:rPr>
          <w:rFonts w:ascii="Arial" w:hAnsi="Arial" w:cs="Arial"/>
          <w:sz w:val="20"/>
          <w:szCs w:val="20"/>
        </w:rPr>
        <w:t>It will also be possible to seek a reduction in the interest rates applicable on the US Loan.</w:t>
      </w:r>
    </w:p>
    <w:p w14:paraId="41D366BC" w14:textId="77777777" w:rsidR="001328EF" w:rsidRDefault="001328EF" w:rsidP="00A43070">
      <w:pPr>
        <w:pStyle w:val="ListParagraph"/>
        <w:ind w:left="567" w:hanging="567"/>
        <w:jc w:val="both"/>
        <w:rPr>
          <w:rFonts w:ascii="Arial" w:hAnsi="Arial" w:cs="Arial"/>
          <w:sz w:val="20"/>
          <w:szCs w:val="20"/>
        </w:rPr>
      </w:pPr>
    </w:p>
    <w:p w14:paraId="023B91FE" w14:textId="553FC5AD" w:rsidR="007434C1" w:rsidRDefault="001328EF"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If two-thirds of the creditors of F1 Investments agree to the plan, the plan will be deemed to be accepted. In this case, unless the plan provides for different treatment amongst them, there is no reason for any of the bank creditors to vote in a separate class since the claims of each creditor is substantially similar</w:t>
      </w:r>
      <w:r w:rsidR="00823105">
        <w:rPr>
          <w:rFonts w:ascii="Arial" w:hAnsi="Arial" w:cs="Arial"/>
          <w:sz w:val="20"/>
          <w:szCs w:val="20"/>
        </w:rPr>
        <w:t xml:space="preserve">, </w:t>
      </w:r>
      <w:r>
        <w:rPr>
          <w:rFonts w:ascii="Arial" w:hAnsi="Arial" w:cs="Arial"/>
          <w:sz w:val="20"/>
          <w:szCs w:val="20"/>
        </w:rPr>
        <w:t>the creditors all share in the same security</w:t>
      </w:r>
      <w:r>
        <w:rPr>
          <w:rStyle w:val="FootnoteReference"/>
          <w:rFonts w:ascii="Arial" w:hAnsi="Arial" w:cs="Arial"/>
          <w:sz w:val="20"/>
          <w:szCs w:val="20"/>
        </w:rPr>
        <w:footnoteReference w:id="3"/>
      </w:r>
      <w:r>
        <w:rPr>
          <w:rFonts w:ascii="Arial" w:hAnsi="Arial" w:cs="Arial"/>
          <w:sz w:val="20"/>
          <w:szCs w:val="20"/>
        </w:rPr>
        <w:t xml:space="preserve"> </w:t>
      </w:r>
      <w:r w:rsidR="00823105">
        <w:rPr>
          <w:rFonts w:ascii="Arial" w:hAnsi="Arial" w:cs="Arial"/>
          <w:sz w:val="20"/>
          <w:szCs w:val="20"/>
        </w:rPr>
        <w:t>and t</w:t>
      </w:r>
      <w:r w:rsidR="003E0464">
        <w:rPr>
          <w:rFonts w:ascii="Arial" w:hAnsi="Arial" w:cs="Arial"/>
          <w:sz w:val="20"/>
          <w:szCs w:val="20"/>
        </w:rPr>
        <w:t>here is no suggestion that the security</w:t>
      </w:r>
      <w:r w:rsidR="00EE2313">
        <w:rPr>
          <w:rFonts w:ascii="Arial" w:hAnsi="Arial" w:cs="Arial"/>
          <w:sz w:val="20"/>
          <w:szCs w:val="20"/>
        </w:rPr>
        <w:t xml:space="preserve"> when realised</w:t>
      </w:r>
      <w:r w:rsidR="003E0464">
        <w:rPr>
          <w:rFonts w:ascii="Arial" w:hAnsi="Arial" w:cs="Arial"/>
          <w:sz w:val="20"/>
          <w:szCs w:val="20"/>
        </w:rPr>
        <w:t xml:space="preserve"> </w:t>
      </w:r>
      <w:r w:rsidR="00EE2313">
        <w:rPr>
          <w:rFonts w:ascii="Arial" w:hAnsi="Arial" w:cs="Arial"/>
          <w:sz w:val="20"/>
          <w:szCs w:val="20"/>
        </w:rPr>
        <w:t>will be</w:t>
      </w:r>
      <w:r w:rsidR="003E0464">
        <w:rPr>
          <w:rFonts w:ascii="Arial" w:hAnsi="Arial" w:cs="Arial"/>
          <w:sz w:val="20"/>
          <w:szCs w:val="20"/>
        </w:rPr>
        <w:t xml:space="preserve"> insufficient to meet the </w:t>
      </w:r>
      <w:r w:rsidR="00823105">
        <w:rPr>
          <w:rFonts w:ascii="Arial" w:hAnsi="Arial" w:cs="Arial"/>
          <w:sz w:val="20"/>
          <w:szCs w:val="20"/>
        </w:rPr>
        <w:t>debt owed</w:t>
      </w:r>
      <w:r w:rsidR="003E0464">
        <w:rPr>
          <w:rFonts w:ascii="Arial" w:hAnsi="Arial" w:cs="Arial"/>
          <w:sz w:val="20"/>
          <w:szCs w:val="20"/>
        </w:rPr>
        <w:t xml:space="preserve">. </w:t>
      </w:r>
      <w:r w:rsidR="007434C1">
        <w:rPr>
          <w:rFonts w:ascii="Arial" w:hAnsi="Arial" w:cs="Arial"/>
          <w:sz w:val="20"/>
          <w:szCs w:val="20"/>
        </w:rPr>
        <w:t>If the bank creditors vote in the same class, t</w:t>
      </w:r>
      <w:r>
        <w:rPr>
          <w:rFonts w:ascii="Arial" w:hAnsi="Arial" w:cs="Arial"/>
          <w:sz w:val="20"/>
          <w:szCs w:val="20"/>
        </w:rPr>
        <w:t>he votes of the senior and junior bank creditors</w:t>
      </w:r>
      <w:r w:rsidR="007434C1">
        <w:rPr>
          <w:rFonts w:ascii="Arial" w:hAnsi="Arial" w:cs="Arial"/>
          <w:sz w:val="20"/>
          <w:szCs w:val="20"/>
        </w:rPr>
        <w:t>, which constitute 76% of the debt of F1 Investments,</w:t>
      </w:r>
      <w:r>
        <w:rPr>
          <w:rFonts w:ascii="Arial" w:hAnsi="Arial" w:cs="Arial"/>
          <w:sz w:val="20"/>
          <w:szCs w:val="20"/>
        </w:rPr>
        <w:t xml:space="preserve"> </w:t>
      </w:r>
      <w:r w:rsidR="007434C1">
        <w:rPr>
          <w:rFonts w:ascii="Arial" w:hAnsi="Arial" w:cs="Arial"/>
          <w:sz w:val="20"/>
          <w:szCs w:val="20"/>
        </w:rPr>
        <w:t>will be</w:t>
      </w:r>
      <w:r>
        <w:rPr>
          <w:rFonts w:ascii="Arial" w:hAnsi="Arial" w:cs="Arial"/>
          <w:sz w:val="20"/>
          <w:szCs w:val="20"/>
        </w:rPr>
        <w:t xml:space="preserve"> key to meeting the requisite threshold for approval. </w:t>
      </w:r>
      <w:r w:rsidR="007434C1">
        <w:rPr>
          <w:rFonts w:ascii="Arial" w:hAnsi="Arial" w:cs="Arial"/>
          <w:sz w:val="20"/>
          <w:szCs w:val="20"/>
        </w:rPr>
        <w:t>Further, e</w:t>
      </w:r>
      <w:r>
        <w:rPr>
          <w:rFonts w:ascii="Arial" w:hAnsi="Arial" w:cs="Arial"/>
          <w:sz w:val="20"/>
          <w:szCs w:val="20"/>
        </w:rPr>
        <w:t>ach of these groups of creditors</w:t>
      </w:r>
      <w:r w:rsidR="007434C1">
        <w:rPr>
          <w:rStyle w:val="FootnoteReference"/>
          <w:rFonts w:ascii="Arial" w:hAnsi="Arial" w:cs="Arial"/>
          <w:sz w:val="20"/>
          <w:szCs w:val="20"/>
        </w:rPr>
        <w:footnoteReference w:id="4"/>
      </w:r>
      <w:r>
        <w:rPr>
          <w:rFonts w:ascii="Arial" w:hAnsi="Arial" w:cs="Arial"/>
          <w:sz w:val="20"/>
          <w:szCs w:val="20"/>
        </w:rPr>
        <w:t xml:space="preserve"> will be able to prevent a successful vote on the plan. </w:t>
      </w:r>
      <w:r w:rsidR="007434C1">
        <w:rPr>
          <w:rFonts w:ascii="Arial" w:hAnsi="Arial" w:cs="Arial"/>
          <w:sz w:val="20"/>
          <w:szCs w:val="20"/>
        </w:rPr>
        <w:t xml:space="preserve">If the bank creditors vote in separate classes organized according to the seniority of the creditors, this </w:t>
      </w:r>
      <w:r w:rsidR="007434C1">
        <w:rPr>
          <w:rFonts w:ascii="Arial" w:hAnsi="Arial" w:cs="Arial"/>
          <w:sz w:val="20"/>
          <w:szCs w:val="20"/>
        </w:rPr>
        <w:lastRenderedPageBreak/>
        <w:t xml:space="preserve">may in some ways prove easier to approve the plan since Chapter 11 offers cross-class cramdown. Thus if the plan is approved by just one impaired class of creditors, there is the possibility of the plan being approved if the </w:t>
      </w:r>
      <w:r w:rsidR="003E0464">
        <w:rPr>
          <w:rFonts w:ascii="Arial" w:hAnsi="Arial" w:cs="Arial"/>
          <w:sz w:val="20"/>
          <w:szCs w:val="20"/>
        </w:rPr>
        <w:t>court</w:t>
      </w:r>
      <w:r w:rsidR="007434C1">
        <w:rPr>
          <w:rFonts w:ascii="Arial" w:hAnsi="Arial" w:cs="Arial"/>
          <w:sz w:val="20"/>
          <w:szCs w:val="20"/>
        </w:rPr>
        <w:t xml:space="preserve"> finds that the plan does not “discriminate unfairly” and is “fair and equitable</w:t>
      </w:r>
      <w:r w:rsidR="003E0464">
        <w:rPr>
          <w:rFonts w:ascii="Arial" w:hAnsi="Arial" w:cs="Arial"/>
          <w:sz w:val="20"/>
          <w:szCs w:val="20"/>
        </w:rPr>
        <w:t>.</w:t>
      </w:r>
      <w:r w:rsidR="007434C1">
        <w:rPr>
          <w:rFonts w:ascii="Arial" w:hAnsi="Arial" w:cs="Arial"/>
          <w:sz w:val="20"/>
          <w:szCs w:val="20"/>
        </w:rPr>
        <w:t>”</w:t>
      </w:r>
      <w:r w:rsidR="007434C1">
        <w:rPr>
          <w:rStyle w:val="FootnoteReference"/>
          <w:rFonts w:ascii="Arial" w:hAnsi="Arial" w:cs="Arial"/>
          <w:sz w:val="20"/>
          <w:szCs w:val="20"/>
        </w:rPr>
        <w:footnoteReference w:id="5"/>
      </w:r>
      <w:r w:rsidR="003E0464">
        <w:rPr>
          <w:rFonts w:ascii="Arial" w:hAnsi="Arial" w:cs="Arial"/>
          <w:sz w:val="20"/>
          <w:szCs w:val="20"/>
        </w:rPr>
        <w:t xml:space="preserve"> This means that similar claims or equity interests must be treated similarly unless there is reason for unequal treatment (such as such unequal treatment being contractually provided for). In a situation where the security is able to meet the claims of only some of the (more senior) creditors, cram down of that class of creditors will only be allowed if they at least receive the value of their security in the collateral.</w:t>
      </w:r>
      <w:r w:rsidR="003B2012">
        <w:rPr>
          <w:rFonts w:ascii="Arial" w:hAnsi="Arial" w:cs="Arial"/>
          <w:sz w:val="20"/>
          <w:szCs w:val="20"/>
        </w:rPr>
        <w:t xml:space="preserve"> If it is an unsecured class of creditors are to be crammed down, there will be fair and equitable treatment if it can be shown that the interests ranking lower received nothing. </w:t>
      </w:r>
    </w:p>
    <w:p w14:paraId="425C664C" w14:textId="77777777" w:rsidR="007434C1" w:rsidRPr="007434C1" w:rsidRDefault="007434C1" w:rsidP="007434C1">
      <w:pPr>
        <w:pStyle w:val="ListParagraph"/>
        <w:rPr>
          <w:rFonts w:ascii="Arial" w:hAnsi="Arial" w:cs="Arial"/>
          <w:sz w:val="20"/>
          <w:szCs w:val="20"/>
        </w:rPr>
      </w:pPr>
    </w:p>
    <w:p w14:paraId="0F7933FB" w14:textId="2080E33C" w:rsidR="00EE3354" w:rsidRDefault="007434C1"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Upon approval</w:t>
      </w:r>
      <w:r w:rsidR="007635C0">
        <w:rPr>
          <w:rFonts w:ascii="Arial" w:hAnsi="Arial" w:cs="Arial"/>
          <w:sz w:val="20"/>
          <w:szCs w:val="20"/>
        </w:rPr>
        <w:t xml:space="preserve"> by the requisite number of creditors</w:t>
      </w:r>
      <w:r>
        <w:rPr>
          <w:rFonts w:ascii="Arial" w:hAnsi="Arial" w:cs="Arial"/>
          <w:sz w:val="20"/>
          <w:szCs w:val="20"/>
        </w:rPr>
        <w:t>, t</w:t>
      </w:r>
      <w:r w:rsidR="001328EF">
        <w:rPr>
          <w:rFonts w:ascii="Arial" w:hAnsi="Arial" w:cs="Arial"/>
          <w:sz w:val="20"/>
          <w:szCs w:val="20"/>
        </w:rPr>
        <w:t xml:space="preserve">he plan will then be required to be submitted to the Bankruptcy Court for </w:t>
      </w:r>
      <w:r w:rsidR="007635C0">
        <w:rPr>
          <w:rFonts w:ascii="Arial" w:hAnsi="Arial" w:cs="Arial"/>
          <w:sz w:val="20"/>
          <w:szCs w:val="20"/>
        </w:rPr>
        <w:t>confirmation</w:t>
      </w:r>
      <w:r w:rsidR="001328EF">
        <w:rPr>
          <w:rFonts w:ascii="Arial" w:hAnsi="Arial" w:cs="Arial"/>
          <w:sz w:val="20"/>
          <w:szCs w:val="20"/>
        </w:rPr>
        <w:t>. The Bankruptcy Court will need to be satisfied that the plan is feasible, has complied with applicable law and has been proposed in good faith</w:t>
      </w:r>
      <w:r w:rsidR="005C7684">
        <w:rPr>
          <w:rFonts w:ascii="Arial" w:hAnsi="Arial" w:cs="Arial"/>
          <w:sz w:val="20"/>
          <w:szCs w:val="20"/>
        </w:rPr>
        <w:t xml:space="preserve">. If any of the creditors were to object </w:t>
      </w:r>
      <w:r w:rsidR="007635C0">
        <w:rPr>
          <w:rFonts w:ascii="Arial" w:hAnsi="Arial" w:cs="Arial"/>
          <w:sz w:val="20"/>
          <w:szCs w:val="20"/>
        </w:rPr>
        <w:t>at this stage</w:t>
      </w:r>
      <w:r w:rsidR="005C7684">
        <w:rPr>
          <w:rFonts w:ascii="Arial" w:hAnsi="Arial" w:cs="Arial"/>
          <w:sz w:val="20"/>
          <w:szCs w:val="20"/>
        </w:rPr>
        <w:t>, the Bankruptcy Court is required to further determine if the plan is in the “best interest of creditors</w:t>
      </w:r>
      <w:r w:rsidR="007635C0">
        <w:rPr>
          <w:rFonts w:ascii="Arial" w:hAnsi="Arial" w:cs="Arial"/>
          <w:sz w:val="20"/>
          <w:szCs w:val="20"/>
        </w:rPr>
        <w:t>.</w:t>
      </w:r>
      <w:r w:rsidR="005C7684">
        <w:rPr>
          <w:rFonts w:ascii="Arial" w:hAnsi="Arial" w:cs="Arial"/>
          <w:sz w:val="20"/>
          <w:szCs w:val="20"/>
        </w:rPr>
        <w:t xml:space="preserve">” </w:t>
      </w:r>
      <w:r w:rsidR="007635C0">
        <w:rPr>
          <w:rFonts w:ascii="Arial" w:hAnsi="Arial" w:cs="Arial"/>
          <w:sz w:val="20"/>
          <w:szCs w:val="20"/>
        </w:rPr>
        <w:t>This means assessing if the</w:t>
      </w:r>
      <w:r w:rsidR="005C7684">
        <w:rPr>
          <w:rFonts w:ascii="Arial" w:hAnsi="Arial" w:cs="Arial"/>
          <w:sz w:val="20"/>
          <w:szCs w:val="20"/>
        </w:rPr>
        <w:t xml:space="preserve"> objecting creditors would </w:t>
      </w:r>
      <w:r w:rsidR="003E0464">
        <w:rPr>
          <w:rFonts w:ascii="Arial" w:hAnsi="Arial" w:cs="Arial"/>
          <w:sz w:val="20"/>
          <w:szCs w:val="20"/>
        </w:rPr>
        <w:t>receive at least as much</w:t>
      </w:r>
      <w:r w:rsidR="005C7684">
        <w:rPr>
          <w:rFonts w:ascii="Arial" w:hAnsi="Arial" w:cs="Arial"/>
          <w:sz w:val="20"/>
          <w:szCs w:val="20"/>
        </w:rPr>
        <w:t xml:space="preserve"> as they would in the liquidation of F1 Investments.</w:t>
      </w:r>
    </w:p>
    <w:p w14:paraId="37CBDC61" w14:textId="77777777" w:rsidR="00EE3354" w:rsidRPr="00EE3354" w:rsidRDefault="00EE3354" w:rsidP="00A43070">
      <w:pPr>
        <w:pStyle w:val="ListParagraph"/>
        <w:ind w:left="567" w:hanging="567"/>
        <w:jc w:val="both"/>
        <w:rPr>
          <w:rFonts w:ascii="Arial" w:hAnsi="Arial" w:cs="Arial"/>
          <w:sz w:val="20"/>
          <w:szCs w:val="20"/>
        </w:rPr>
      </w:pPr>
    </w:p>
    <w:p w14:paraId="510B4F84" w14:textId="0ACE9123" w:rsidR="00EE3354" w:rsidRPr="00EE3354" w:rsidRDefault="005C7684" w:rsidP="00A43070">
      <w:pPr>
        <w:pStyle w:val="ListParagraph"/>
        <w:numPr>
          <w:ilvl w:val="0"/>
          <w:numId w:val="1"/>
        </w:numPr>
        <w:ind w:left="567" w:hanging="567"/>
        <w:jc w:val="both"/>
        <w:rPr>
          <w:rFonts w:ascii="Arial" w:hAnsi="Arial" w:cs="Arial"/>
          <w:sz w:val="20"/>
          <w:szCs w:val="20"/>
        </w:rPr>
      </w:pPr>
      <w:r w:rsidRPr="00EE3354">
        <w:rPr>
          <w:rFonts w:ascii="Arial" w:hAnsi="Arial" w:cs="Arial"/>
          <w:sz w:val="20"/>
          <w:szCs w:val="20"/>
        </w:rPr>
        <w:t xml:space="preserve">It may be possible to apply for Chapter 11 protection in respect of F1 Trading and/or F1 Romania if </w:t>
      </w:r>
      <w:r w:rsidR="007635C0">
        <w:rPr>
          <w:rFonts w:ascii="Arial" w:hAnsi="Arial" w:cs="Arial"/>
          <w:sz w:val="20"/>
          <w:szCs w:val="20"/>
        </w:rPr>
        <w:t>certain requirements are satisfied</w:t>
      </w:r>
      <w:r w:rsidRPr="00EE3354">
        <w:rPr>
          <w:rFonts w:ascii="Arial" w:hAnsi="Arial" w:cs="Arial"/>
          <w:sz w:val="20"/>
          <w:szCs w:val="20"/>
        </w:rPr>
        <w:t xml:space="preserve">. 11 § </w:t>
      </w:r>
      <w:r w:rsidRPr="00EE3354">
        <w:rPr>
          <w:rFonts w:ascii="Arial" w:hAnsi="Arial" w:cs="Arial"/>
          <w:color w:val="000000"/>
          <w:sz w:val="20"/>
          <w:szCs w:val="20"/>
        </w:rPr>
        <w:t>109(a)</w:t>
      </w:r>
      <w:r w:rsidR="0041571E" w:rsidRPr="00EE3354">
        <w:rPr>
          <w:rFonts w:ascii="Arial" w:hAnsi="Arial" w:cs="Arial"/>
          <w:color w:val="000000"/>
          <w:sz w:val="20"/>
          <w:szCs w:val="20"/>
        </w:rPr>
        <w:t xml:space="preserve"> </w:t>
      </w:r>
      <w:r w:rsidRPr="00EE3354">
        <w:rPr>
          <w:rFonts w:ascii="Arial" w:hAnsi="Arial" w:cs="Arial"/>
          <w:color w:val="000000"/>
          <w:sz w:val="20"/>
          <w:szCs w:val="20"/>
        </w:rPr>
        <w:t xml:space="preserve">sets forth the eligibility requirements for a debtor to </w:t>
      </w:r>
      <w:r w:rsidR="007635C0">
        <w:rPr>
          <w:rFonts w:ascii="Arial" w:hAnsi="Arial" w:cs="Arial"/>
          <w:color w:val="000000"/>
          <w:sz w:val="20"/>
          <w:szCs w:val="20"/>
        </w:rPr>
        <w:t xml:space="preserve">commence a case </w:t>
      </w:r>
      <w:r w:rsidRPr="00EE3354">
        <w:rPr>
          <w:rFonts w:ascii="Arial" w:hAnsi="Arial" w:cs="Arial"/>
          <w:color w:val="000000"/>
          <w:sz w:val="20"/>
          <w:szCs w:val="20"/>
        </w:rPr>
        <w:t>under the US Bankruptcy Code:</w:t>
      </w:r>
    </w:p>
    <w:p w14:paraId="39F664E7" w14:textId="77777777" w:rsidR="00EE3354" w:rsidRPr="00EE3354" w:rsidRDefault="00EE3354" w:rsidP="00A43070">
      <w:pPr>
        <w:pStyle w:val="ListParagraph"/>
        <w:ind w:left="567" w:hanging="567"/>
        <w:jc w:val="both"/>
        <w:rPr>
          <w:rFonts w:ascii="Arial" w:hAnsi="Arial" w:cs="Arial"/>
          <w:color w:val="000000"/>
          <w:sz w:val="20"/>
          <w:szCs w:val="20"/>
        </w:rPr>
      </w:pPr>
    </w:p>
    <w:p w14:paraId="309EFE38" w14:textId="5D3EE606" w:rsidR="005C7684" w:rsidRDefault="005C7684" w:rsidP="00A43070">
      <w:pPr>
        <w:pStyle w:val="ListParagraph"/>
        <w:ind w:left="567"/>
        <w:jc w:val="both"/>
        <w:rPr>
          <w:rFonts w:ascii="Arial" w:hAnsi="Arial" w:cs="Arial"/>
          <w:color w:val="000000"/>
          <w:sz w:val="20"/>
          <w:szCs w:val="20"/>
        </w:rPr>
      </w:pPr>
      <w:r w:rsidRPr="00EE3354">
        <w:rPr>
          <w:rFonts w:ascii="Arial" w:hAnsi="Arial" w:cs="Arial"/>
          <w:color w:val="000000"/>
          <w:sz w:val="20"/>
          <w:szCs w:val="20"/>
        </w:rPr>
        <w:t>“(</w:t>
      </w:r>
      <w:r w:rsidRPr="00EE3354">
        <w:rPr>
          <w:rFonts w:ascii="Arial" w:hAnsi="Arial" w:cs="Arial"/>
          <w:i/>
          <w:iCs/>
          <w:color w:val="000000"/>
          <w:sz w:val="20"/>
          <w:szCs w:val="20"/>
        </w:rPr>
        <w:t>a) Notwithstanding any other provision of this section, only a person that resides or has a domicile, a place of business, or property in the United States, or a municipality, may be a debtor under this title.</w:t>
      </w:r>
      <w:r w:rsidR="0041571E" w:rsidRPr="00EE3354">
        <w:rPr>
          <w:rFonts w:ascii="Arial" w:hAnsi="Arial" w:cs="Arial"/>
          <w:color w:val="000000"/>
          <w:sz w:val="20"/>
          <w:szCs w:val="20"/>
        </w:rPr>
        <w:t>”</w:t>
      </w:r>
    </w:p>
    <w:p w14:paraId="3F195EA0" w14:textId="77777777" w:rsidR="00EE3354" w:rsidRPr="00EE3354" w:rsidRDefault="00EE3354" w:rsidP="00A43070">
      <w:pPr>
        <w:pStyle w:val="ListParagraph"/>
        <w:ind w:left="284"/>
        <w:jc w:val="both"/>
        <w:rPr>
          <w:rFonts w:ascii="Arial" w:hAnsi="Arial" w:cs="Arial"/>
          <w:sz w:val="20"/>
          <w:szCs w:val="20"/>
        </w:rPr>
      </w:pPr>
    </w:p>
    <w:p w14:paraId="3373B410" w14:textId="78CF8BD2" w:rsidR="00B13BD6" w:rsidRDefault="0041571E"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Neither F1 Trading nor F1 Romania may be said to have a place of business in the United States. However</w:t>
      </w:r>
      <w:r w:rsidR="00EE3354">
        <w:rPr>
          <w:rFonts w:ascii="Arial" w:hAnsi="Arial" w:cs="Arial"/>
          <w:sz w:val="20"/>
          <w:szCs w:val="20"/>
        </w:rPr>
        <w:t>,</w:t>
      </w:r>
      <w:r>
        <w:rPr>
          <w:rFonts w:ascii="Arial" w:hAnsi="Arial" w:cs="Arial"/>
          <w:sz w:val="20"/>
          <w:szCs w:val="20"/>
        </w:rPr>
        <w:t xml:space="preserve"> it is possible to satisfy the requirements of </w:t>
      </w:r>
      <w:r w:rsidRPr="005C7684">
        <w:rPr>
          <w:rFonts w:ascii="Arial" w:hAnsi="Arial" w:cs="Arial"/>
          <w:sz w:val="20"/>
          <w:szCs w:val="20"/>
        </w:rPr>
        <w:t xml:space="preserve">§ </w:t>
      </w:r>
      <w:r w:rsidRPr="005C7684">
        <w:rPr>
          <w:rFonts w:ascii="Arial" w:hAnsi="Arial" w:cs="Arial"/>
          <w:color w:val="000000"/>
          <w:sz w:val="20"/>
          <w:szCs w:val="20"/>
        </w:rPr>
        <w:t>109(a)</w:t>
      </w:r>
      <w:r>
        <w:rPr>
          <w:rFonts w:ascii="Arial" w:hAnsi="Arial" w:cs="Arial"/>
          <w:color w:val="000000"/>
          <w:sz w:val="20"/>
          <w:szCs w:val="20"/>
        </w:rPr>
        <w:t xml:space="preserve"> by simply having property in the United States. This can be a bank account or even a retainer paid to a US law firm. </w:t>
      </w:r>
      <w:r>
        <w:rPr>
          <w:rFonts w:ascii="Flama-Basic" w:hAnsi="Flama-Basic"/>
          <w:color w:val="000000"/>
          <w:sz w:val="27"/>
          <w:szCs w:val="27"/>
          <w:shd w:val="clear" w:color="auto" w:fill="FFFFFF"/>
        </w:rPr>
        <w:t> </w:t>
      </w:r>
      <w:r w:rsidRPr="0041571E">
        <w:rPr>
          <w:rFonts w:ascii="Arial" w:hAnsi="Arial" w:cs="Arial"/>
          <w:color w:val="000000"/>
          <w:sz w:val="20"/>
          <w:szCs w:val="20"/>
          <w:shd w:val="clear" w:color="auto" w:fill="FFFFFF"/>
        </w:rPr>
        <w:t>In </w:t>
      </w:r>
      <w:r w:rsidRPr="0041571E">
        <w:rPr>
          <w:rFonts w:ascii="Arial" w:hAnsi="Arial" w:cs="Arial"/>
          <w:i/>
          <w:iCs/>
          <w:color w:val="000000"/>
          <w:sz w:val="20"/>
          <w:szCs w:val="20"/>
          <w:shd w:val="clear" w:color="auto" w:fill="FFFFFF"/>
        </w:rPr>
        <w:t>Re</w:t>
      </w:r>
      <w:r>
        <w:rPr>
          <w:rFonts w:ascii="Arial" w:hAnsi="Arial" w:cs="Arial"/>
          <w:color w:val="000000"/>
          <w:sz w:val="20"/>
          <w:szCs w:val="20"/>
          <w:shd w:val="clear" w:color="auto" w:fill="FFFFFF"/>
        </w:rPr>
        <w:t xml:space="preserve"> </w:t>
      </w:r>
      <w:r w:rsidRPr="0041571E">
        <w:rPr>
          <w:rStyle w:val="Emphasis"/>
          <w:rFonts w:ascii="Arial" w:hAnsi="Arial" w:cs="Arial"/>
          <w:color w:val="000000"/>
          <w:sz w:val="20"/>
          <w:szCs w:val="20"/>
          <w:shd w:val="clear" w:color="auto" w:fill="FFFFFF"/>
        </w:rPr>
        <w:t>Global Ocean Carriers</w:t>
      </w:r>
      <w:r>
        <w:rPr>
          <w:rStyle w:val="Emphasis"/>
          <w:rFonts w:ascii="Arial" w:hAnsi="Arial" w:cs="Arial"/>
          <w:color w:val="000000"/>
          <w:sz w:val="20"/>
          <w:szCs w:val="20"/>
          <w:shd w:val="clear" w:color="auto" w:fill="FFFFFF"/>
        </w:rPr>
        <w:t xml:space="preserve"> Limited</w:t>
      </w:r>
      <w:r w:rsidRPr="0041571E">
        <w:rPr>
          <w:rFonts w:ascii="Arial" w:hAnsi="Arial" w:cs="Arial"/>
          <w:color w:val="000000"/>
          <w:sz w:val="20"/>
          <w:szCs w:val="20"/>
          <w:shd w:val="clear" w:color="auto" w:fill="FFFFFF"/>
        </w:rPr>
        <w:t xml:space="preserve">, </w:t>
      </w:r>
      <w:r w:rsidRPr="0041571E">
        <w:rPr>
          <w:rFonts w:ascii="Arial" w:hAnsi="Arial" w:cs="Arial"/>
          <w:sz w:val="20"/>
          <w:szCs w:val="20"/>
        </w:rPr>
        <w:t xml:space="preserve">a shipping company headquartered in Greece filed Chapter 11 </w:t>
      </w:r>
      <w:r>
        <w:rPr>
          <w:rFonts w:ascii="Arial" w:hAnsi="Arial" w:cs="Arial"/>
          <w:sz w:val="20"/>
          <w:szCs w:val="20"/>
        </w:rPr>
        <w:t xml:space="preserve">applications </w:t>
      </w:r>
      <w:r w:rsidRPr="0041571E">
        <w:rPr>
          <w:rFonts w:ascii="Arial" w:hAnsi="Arial" w:cs="Arial"/>
          <w:sz w:val="20"/>
          <w:szCs w:val="20"/>
        </w:rPr>
        <w:t xml:space="preserve">in Delaware. In that case, the court held that a few thousand dollars in a US bank account and the unearned portions of retainers provided to local US counsel constituted sufficient property to meet the requirements of </w:t>
      </w:r>
      <w:r w:rsidRPr="005C7684">
        <w:rPr>
          <w:rFonts w:ascii="Arial" w:hAnsi="Arial" w:cs="Arial"/>
          <w:sz w:val="20"/>
          <w:szCs w:val="20"/>
        </w:rPr>
        <w:t xml:space="preserve">§ </w:t>
      </w:r>
      <w:r w:rsidRPr="005C7684">
        <w:rPr>
          <w:rFonts w:ascii="Arial" w:hAnsi="Arial" w:cs="Arial"/>
          <w:color w:val="000000"/>
          <w:sz w:val="20"/>
          <w:szCs w:val="20"/>
        </w:rPr>
        <w:t>109(a)</w:t>
      </w:r>
      <w:r>
        <w:rPr>
          <w:rFonts w:ascii="Arial" w:hAnsi="Arial" w:cs="Arial"/>
          <w:sz w:val="20"/>
          <w:szCs w:val="20"/>
        </w:rPr>
        <w:t>.</w:t>
      </w:r>
    </w:p>
    <w:p w14:paraId="5DCFCCC3" w14:textId="77777777" w:rsidR="00B13BD6" w:rsidRDefault="00B13BD6" w:rsidP="00B13BD6">
      <w:pPr>
        <w:pStyle w:val="ListParagraph"/>
        <w:ind w:left="567"/>
        <w:jc w:val="both"/>
        <w:rPr>
          <w:rFonts w:ascii="Arial" w:hAnsi="Arial" w:cs="Arial"/>
          <w:sz w:val="20"/>
          <w:szCs w:val="20"/>
        </w:rPr>
      </w:pPr>
    </w:p>
    <w:p w14:paraId="6EBCD498" w14:textId="77777777" w:rsidR="005404FF" w:rsidRDefault="00B13BD6"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Despite this generous jursidiction</w:t>
      </w:r>
      <w:r w:rsidR="004E2C68">
        <w:rPr>
          <w:rFonts w:ascii="Arial" w:hAnsi="Arial" w:cs="Arial"/>
          <w:sz w:val="20"/>
          <w:szCs w:val="20"/>
        </w:rPr>
        <w:t>, the Bankruptcy Court has the ability to dismiss the case</w:t>
      </w:r>
      <w:r w:rsidR="004E2C68">
        <w:rPr>
          <w:rStyle w:val="FootnoteReference"/>
          <w:rFonts w:ascii="Arial" w:hAnsi="Arial" w:cs="Arial"/>
          <w:sz w:val="20"/>
          <w:szCs w:val="20"/>
        </w:rPr>
        <w:footnoteReference w:id="6"/>
      </w:r>
      <w:r w:rsidR="004E2C68">
        <w:rPr>
          <w:rFonts w:ascii="Arial" w:hAnsi="Arial" w:cs="Arial"/>
          <w:sz w:val="20"/>
          <w:szCs w:val="20"/>
        </w:rPr>
        <w:t xml:space="preserve"> in circumstances where this was in the best interests of the debtor and the creditors</w:t>
      </w:r>
      <w:r w:rsidR="005404FF">
        <w:rPr>
          <w:rFonts w:ascii="Arial" w:hAnsi="Arial" w:cs="Arial"/>
          <w:sz w:val="20"/>
          <w:szCs w:val="20"/>
        </w:rPr>
        <w:t>:</w:t>
      </w:r>
    </w:p>
    <w:p w14:paraId="5D34CDD1" w14:textId="77777777" w:rsidR="005404FF" w:rsidRPr="005404FF" w:rsidRDefault="005404FF" w:rsidP="005404FF">
      <w:pPr>
        <w:pStyle w:val="ListParagraph"/>
        <w:rPr>
          <w:rFonts w:ascii="Arial" w:hAnsi="Arial" w:cs="Arial"/>
          <w:sz w:val="20"/>
          <w:szCs w:val="20"/>
        </w:rPr>
      </w:pPr>
    </w:p>
    <w:p w14:paraId="6CD26F48" w14:textId="5CFB8C77" w:rsidR="005404FF" w:rsidRPr="005404FF" w:rsidRDefault="005404FF" w:rsidP="005404FF">
      <w:pPr>
        <w:pStyle w:val="ListParagraph"/>
        <w:numPr>
          <w:ilvl w:val="1"/>
          <w:numId w:val="1"/>
        </w:numPr>
        <w:jc w:val="both"/>
        <w:rPr>
          <w:rFonts w:ascii="Arial" w:hAnsi="Arial" w:cs="Arial"/>
          <w:sz w:val="20"/>
          <w:szCs w:val="20"/>
        </w:rPr>
      </w:pPr>
      <w:r>
        <w:rPr>
          <w:rFonts w:ascii="Arial" w:hAnsi="Arial" w:cs="Arial"/>
          <w:color w:val="2A2A2A"/>
          <w:sz w:val="20"/>
          <w:szCs w:val="20"/>
          <w:shd w:val="clear" w:color="auto" w:fill="FFFFFF"/>
        </w:rPr>
        <w:t xml:space="preserve">In </w:t>
      </w:r>
      <w:r w:rsidRPr="009F676E">
        <w:rPr>
          <w:rFonts w:ascii="Arial" w:hAnsi="Arial" w:cs="Arial"/>
          <w:b/>
          <w:bCs/>
          <w:i/>
          <w:iCs/>
          <w:color w:val="2A2A2A"/>
          <w:sz w:val="20"/>
          <w:szCs w:val="20"/>
          <w:shd w:val="clear" w:color="auto" w:fill="FFFFFF"/>
        </w:rPr>
        <w:t>Yukos</w:t>
      </w:r>
      <w:r w:rsidR="004C29B2">
        <w:rPr>
          <w:rFonts w:ascii="Arial" w:hAnsi="Arial" w:cs="Arial"/>
          <w:b/>
          <w:bCs/>
          <w:i/>
          <w:iCs/>
          <w:color w:val="2A2A2A"/>
          <w:sz w:val="20"/>
          <w:szCs w:val="20"/>
          <w:shd w:val="clear" w:color="auto" w:fill="FFFFFF"/>
        </w:rPr>
        <w:t xml:space="preserve"> Oil Co.</w:t>
      </w:r>
      <w:r>
        <w:rPr>
          <w:rFonts w:ascii="Arial" w:hAnsi="Arial" w:cs="Arial"/>
          <w:color w:val="2A2A2A"/>
          <w:sz w:val="20"/>
          <w:szCs w:val="20"/>
          <w:shd w:val="clear" w:color="auto" w:fill="FFFFFF"/>
        </w:rPr>
        <w:t xml:space="preserve">, the Russian oil company </w:t>
      </w:r>
      <w:r w:rsidR="009F676E">
        <w:rPr>
          <w:rFonts w:ascii="Arial" w:hAnsi="Arial" w:cs="Arial"/>
          <w:color w:val="2A2A2A"/>
          <w:sz w:val="20"/>
          <w:szCs w:val="20"/>
          <w:shd w:val="clear" w:color="auto" w:fill="FFFFFF"/>
        </w:rPr>
        <w:t>filed for</w:t>
      </w:r>
      <w:r>
        <w:rPr>
          <w:rFonts w:ascii="Arial" w:hAnsi="Arial" w:cs="Arial"/>
          <w:color w:val="2A2A2A"/>
          <w:sz w:val="20"/>
          <w:szCs w:val="20"/>
          <w:shd w:val="clear" w:color="auto" w:fill="FFFFFF"/>
        </w:rPr>
        <w:t xml:space="preserve"> Chapter 11 protection</w:t>
      </w:r>
      <w:r w:rsidR="009F676E">
        <w:rPr>
          <w:rFonts w:ascii="Arial" w:hAnsi="Arial" w:cs="Arial"/>
          <w:color w:val="2A2A2A"/>
          <w:sz w:val="20"/>
          <w:szCs w:val="20"/>
          <w:shd w:val="clear" w:color="auto" w:fill="FFFFFF"/>
        </w:rPr>
        <w:t xml:space="preserve"> to </w:t>
      </w:r>
      <w:r w:rsidR="009F676E" w:rsidRPr="009F676E">
        <w:rPr>
          <w:rFonts w:ascii="Arial" w:hAnsi="Arial" w:cs="Arial"/>
          <w:color w:val="2A2A2A"/>
          <w:sz w:val="20"/>
          <w:szCs w:val="20"/>
        </w:rPr>
        <w:t>stop the Russian government from selling its core production unit at an auction</w:t>
      </w:r>
      <w:r w:rsidR="004C29B2">
        <w:rPr>
          <w:rFonts w:ascii="Arial" w:hAnsi="Arial" w:cs="Arial"/>
          <w:color w:val="2A2A2A"/>
          <w:sz w:val="20"/>
          <w:szCs w:val="20"/>
        </w:rPr>
        <w:t>.</w:t>
      </w:r>
      <w:r w:rsidRPr="009F676E">
        <w:rPr>
          <w:rFonts w:ascii="Arial" w:hAnsi="Arial" w:cs="Arial"/>
          <w:color w:val="2A2A2A"/>
          <w:sz w:val="20"/>
          <w:szCs w:val="20"/>
          <w:shd w:val="clear" w:color="auto" w:fill="FFFFFF"/>
        </w:rPr>
        <w:t xml:space="preserve"> </w:t>
      </w:r>
      <w:r w:rsidR="004C29B2">
        <w:rPr>
          <w:rFonts w:ascii="Arial" w:hAnsi="Arial" w:cs="Arial"/>
          <w:color w:val="2A2A2A"/>
          <w:sz w:val="20"/>
          <w:szCs w:val="20"/>
          <w:shd w:val="clear" w:color="auto" w:fill="FFFFFF"/>
        </w:rPr>
        <w:t>T</w:t>
      </w:r>
      <w:r w:rsidRPr="009F676E">
        <w:rPr>
          <w:rFonts w:ascii="Arial" w:hAnsi="Arial" w:cs="Arial"/>
          <w:color w:val="2A2A2A"/>
          <w:sz w:val="20"/>
          <w:szCs w:val="20"/>
          <w:shd w:val="clear" w:color="auto" w:fill="FFFFFF"/>
        </w:rPr>
        <w:t>he only factors grounding jurisdiction in the United States were two bank accounts and the residence</w:t>
      </w:r>
      <w:r>
        <w:rPr>
          <w:rFonts w:ascii="Arial" w:hAnsi="Arial" w:cs="Arial"/>
          <w:color w:val="2A2A2A"/>
          <w:sz w:val="20"/>
          <w:szCs w:val="20"/>
          <w:shd w:val="clear" w:color="auto" w:fill="FFFFFF"/>
        </w:rPr>
        <w:t xml:space="preserve"> of its former </w:t>
      </w:r>
      <w:r w:rsidR="0022051F">
        <w:rPr>
          <w:rFonts w:ascii="Arial" w:hAnsi="Arial" w:cs="Arial"/>
          <w:color w:val="2A2A2A"/>
          <w:sz w:val="20"/>
          <w:szCs w:val="20"/>
          <w:shd w:val="clear" w:color="auto" w:fill="FFFFFF"/>
        </w:rPr>
        <w:t>Chief Financial Officer</w:t>
      </w:r>
      <w:r>
        <w:rPr>
          <w:rFonts w:ascii="Arial" w:hAnsi="Arial" w:cs="Arial"/>
          <w:color w:val="2A2A2A"/>
          <w:sz w:val="20"/>
          <w:szCs w:val="20"/>
          <w:shd w:val="clear" w:color="auto" w:fill="FFFFFF"/>
        </w:rPr>
        <w:t xml:space="preserve">. The </w:t>
      </w:r>
      <w:r w:rsidR="0022051F">
        <w:rPr>
          <w:rFonts w:ascii="Arial" w:hAnsi="Arial" w:cs="Arial"/>
          <w:color w:val="2A2A2A"/>
          <w:sz w:val="20"/>
          <w:szCs w:val="20"/>
          <w:shd w:val="clear" w:color="auto" w:fill="FFFFFF"/>
        </w:rPr>
        <w:t xml:space="preserve">US </w:t>
      </w:r>
      <w:r>
        <w:rPr>
          <w:rFonts w:ascii="Arial" w:hAnsi="Arial" w:cs="Arial"/>
          <w:color w:val="2A2A2A"/>
          <w:sz w:val="20"/>
          <w:szCs w:val="20"/>
          <w:shd w:val="clear" w:color="auto" w:fill="FFFFFF"/>
        </w:rPr>
        <w:t xml:space="preserve">Bankruptcy Court </w:t>
      </w:r>
      <w:r w:rsidR="0022051F">
        <w:rPr>
          <w:rFonts w:ascii="Arial" w:hAnsi="Arial" w:cs="Arial"/>
          <w:color w:val="2A2A2A"/>
          <w:sz w:val="20"/>
          <w:szCs w:val="20"/>
          <w:shd w:val="clear" w:color="auto" w:fill="FFFFFF"/>
        </w:rPr>
        <w:t xml:space="preserve">in Houston </w:t>
      </w:r>
      <w:r>
        <w:rPr>
          <w:rFonts w:ascii="Arial" w:hAnsi="Arial" w:cs="Arial"/>
          <w:color w:val="2A2A2A"/>
          <w:sz w:val="20"/>
          <w:szCs w:val="20"/>
          <w:shd w:val="clear" w:color="auto" w:fill="FFFFFF"/>
        </w:rPr>
        <w:t>held:</w:t>
      </w:r>
    </w:p>
    <w:p w14:paraId="00E5984B" w14:textId="77777777" w:rsidR="005404FF" w:rsidRPr="005404FF" w:rsidRDefault="005404FF" w:rsidP="005404FF">
      <w:pPr>
        <w:pStyle w:val="ListParagraph"/>
        <w:ind w:left="1440"/>
        <w:jc w:val="both"/>
        <w:rPr>
          <w:rFonts w:ascii="Arial" w:hAnsi="Arial" w:cs="Arial"/>
          <w:sz w:val="20"/>
          <w:szCs w:val="20"/>
        </w:rPr>
      </w:pPr>
    </w:p>
    <w:p w14:paraId="43A75D38" w14:textId="70CDEF8D" w:rsidR="005404FF" w:rsidRDefault="005404FF" w:rsidP="005404FF">
      <w:pPr>
        <w:pStyle w:val="ListParagraph"/>
        <w:ind w:left="1440"/>
        <w:jc w:val="both"/>
        <w:rPr>
          <w:rFonts w:ascii="Arial" w:hAnsi="Arial" w:cs="Arial"/>
          <w:color w:val="2A2A2A"/>
          <w:sz w:val="20"/>
          <w:szCs w:val="20"/>
          <w:shd w:val="clear" w:color="auto" w:fill="FFFFFF"/>
        </w:rPr>
      </w:pPr>
      <w:r w:rsidRPr="005404FF">
        <w:rPr>
          <w:rFonts w:ascii="Arial" w:hAnsi="Arial" w:cs="Arial"/>
          <w:color w:val="2A2A2A"/>
          <w:sz w:val="20"/>
          <w:szCs w:val="20"/>
          <w:shd w:val="clear" w:color="auto" w:fill="FFFFFF"/>
        </w:rPr>
        <w:t>“</w:t>
      </w:r>
      <w:r w:rsidRPr="005404FF">
        <w:rPr>
          <w:rFonts w:ascii="Arial" w:hAnsi="Arial" w:cs="Arial"/>
          <w:i/>
          <w:iCs/>
          <w:color w:val="2A2A2A"/>
          <w:sz w:val="20"/>
          <w:szCs w:val="20"/>
          <w:shd w:val="clear" w:color="auto" w:fill="FFFFFF"/>
        </w:rPr>
        <w:t>The debtor is not a United States company, but a Russian company, and its assets are massive relative to the Russian economy, and, since they are primarily oil and gas in the ground, are literally a part of the Russian land. While there is precedent for maintenance of a bankruptcy case in the United States by corporations domiciled outside the United States, none of those precedents cover a corporation which is a central part of the economy of the nation in which the corporation was created</w:t>
      </w:r>
      <w:r>
        <w:rPr>
          <w:rFonts w:ascii="Arial" w:hAnsi="Arial" w:cs="Arial"/>
          <w:i/>
          <w:iCs/>
          <w:color w:val="2A2A2A"/>
          <w:sz w:val="20"/>
          <w:szCs w:val="20"/>
          <w:shd w:val="clear" w:color="auto" w:fill="FFFFFF"/>
        </w:rPr>
        <w:t>.</w:t>
      </w:r>
      <w:r>
        <w:rPr>
          <w:rFonts w:ascii="Arial" w:hAnsi="Arial" w:cs="Arial"/>
          <w:color w:val="2A2A2A"/>
          <w:sz w:val="20"/>
          <w:szCs w:val="20"/>
          <w:shd w:val="clear" w:color="auto" w:fill="FFFFFF"/>
        </w:rPr>
        <w:t>”</w:t>
      </w:r>
    </w:p>
    <w:p w14:paraId="0AB0B67A" w14:textId="77777777" w:rsidR="005404FF" w:rsidRPr="005404FF" w:rsidRDefault="005404FF" w:rsidP="005404FF">
      <w:pPr>
        <w:pStyle w:val="ListParagraph"/>
        <w:ind w:left="1440"/>
        <w:jc w:val="both"/>
        <w:rPr>
          <w:rFonts w:ascii="Arial" w:hAnsi="Arial" w:cs="Arial"/>
          <w:sz w:val="20"/>
          <w:szCs w:val="20"/>
        </w:rPr>
      </w:pPr>
    </w:p>
    <w:p w14:paraId="77B68565" w14:textId="550731F7" w:rsidR="005C7684" w:rsidRPr="00A43070" w:rsidRDefault="004E2C68" w:rsidP="005404FF">
      <w:pPr>
        <w:pStyle w:val="ListParagraph"/>
        <w:numPr>
          <w:ilvl w:val="1"/>
          <w:numId w:val="1"/>
        </w:numPr>
        <w:jc w:val="both"/>
        <w:rPr>
          <w:rFonts w:ascii="Arial" w:hAnsi="Arial" w:cs="Arial"/>
          <w:sz w:val="20"/>
          <w:szCs w:val="20"/>
        </w:rPr>
      </w:pPr>
      <w:r w:rsidRPr="004E2C68">
        <w:rPr>
          <w:rFonts w:ascii="Arial" w:hAnsi="Arial" w:cs="Arial"/>
          <w:sz w:val="20"/>
          <w:szCs w:val="20"/>
        </w:rPr>
        <w:lastRenderedPageBreak/>
        <w:t xml:space="preserve">In </w:t>
      </w:r>
      <w:r w:rsidRPr="009F676E">
        <w:rPr>
          <w:rFonts w:ascii="Arial" w:hAnsi="Arial" w:cs="Arial"/>
          <w:b/>
          <w:bCs/>
          <w:i/>
          <w:iCs/>
          <w:sz w:val="20"/>
          <w:szCs w:val="20"/>
        </w:rPr>
        <w:t>Baha Mar Ltd</w:t>
      </w:r>
      <w:r w:rsidRPr="004E2C68">
        <w:rPr>
          <w:rFonts w:ascii="Arial" w:hAnsi="Arial" w:cs="Arial"/>
          <w:sz w:val="20"/>
          <w:szCs w:val="20"/>
        </w:rPr>
        <w:t>, an application</w:t>
      </w:r>
      <w:r w:rsidR="00E23CED">
        <w:rPr>
          <w:rFonts w:ascii="Arial" w:hAnsi="Arial" w:cs="Arial"/>
          <w:sz w:val="20"/>
          <w:szCs w:val="20"/>
        </w:rPr>
        <w:t>s</w:t>
      </w:r>
      <w:r w:rsidRPr="004E2C68">
        <w:rPr>
          <w:rFonts w:ascii="Arial" w:hAnsi="Arial" w:cs="Arial"/>
          <w:sz w:val="20"/>
          <w:szCs w:val="20"/>
        </w:rPr>
        <w:t xml:space="preserve"> for Chapter 11 protection</w:t>
      </w:r>
      <w:r w:rsidR="00BB2F14">
        <w:rPr>
          <w:rFonts w:ascii="Arial" w:hAnsi="Arial" w:cs="Arial"/>
          <w:sz w:val="20"/>
          <w:szCs w:val="20"/>
        </w:rPr>
        <w:t xml:space="preserve"> by </w:t>
      </w:r>
      <w:r w:rsidR="00E23CED">
        <w:rPr>
          <w:rFonts w:ascii="Arial" w:hAnsi="Arial" w:cs="Arial"/>
          <w:sz w:val="20"/>
          <w:szCs w:val="20"/>
        </w:rPr>
        <w:t xml:space="preserve">a group of Bahaman companies which owned and developed </w:t>
      </w:r>
      <w:r w:rsidR="00BB2F14" w:rsidRPr="00BB2F14">
        <w:rPr>
          <w:rFonts w:ascii="Arial" w:hAnsi="Arial" w:cs="Arial"/>
          <w:sz w:val="20"/>
          <w:szCs w:val="20"/>
        </w:rPr>
        <w:t xml:space="preserve">a </w:t>
      </w:r>
      <w:r w:rsidR="00BB2F14" w:rsidRPr="00BB2F14">
        <w:rPr>
          <w:rFonts w:ascii="Arial" w:hAnsi="Arial" w:cs="Arial"/>
          <w:color w:val="212529"/>
          <w:spacing w:val="5"/>
          <w:sz w:val="20"/>
          <w:szCs w:val="20"/>
          <w:shd w:val="clear" w:color="auto" w:fill="FAFAFA"/>
        </w:rPr>
        <w:t>$3.5 billion resort in the Bahamas</w:t>
      </w:r>
      <w:r w:rsidRPr="00BB2F14">
        <w:rPr>
          <w:rFonts w:ascii="Arial" w:hAnsi="Arial" w:cs="Arial"/>
          <w:sz w:val="20"/>
          <w:szCs w:val="20"/>
        </w:rPr>
        <w:t xml:space="preserve"> was dismissed</w:t>
      </w:r>
      <w:r w:rsidR="00E23CED">
        <w:rPr>
          <w:rFonts w:ascii="Arial" w:hAnsi="Arial" w:cs="Arial"/>
          <w:sz w:val="20"/>
          <w:szCs w:val="20"/>
        </w:rPr>
        <w:t>.</w:t>
      </w:r>
      <w:r w:rsidR="00BB2F14">
        <w:rPr>
          <w:rStyle w:val="FootnoteReference"/>
          <w:rFonts w:ascii="Arial" w:hAnsi="Arial" w:cs="Arial"/>
          <w:sz w:val="20"/>
          <w:szCs w:val="20"/>
        </w:rPr>
        <w:footnoteReference w:id="7"/>
      </w:r>
      <w:r w:rsidRPr="00BB2F14">
        <w:rPr>
          <w:rFonts w:ascii="Arial" w:hAnsi="Arial" w:cs="Arial"/>
          <w:sz w:val="20"/>
          <w:szCs w:val="20"/>
        </w:rPr>
        <w:t xml:space="preserve"> </w:t>
      </w:r>
      <w:r w:rsidR="00E23CED">
        <w:rPr>
          <w:rFonts w:ascii="Arial" w:hAnsi="Arial" w:cs="Arial"/>
          <w:sz w:val="20"/>
          <w:szCs w:val="20"/>
        </w:rPr>
        <w:t>Faced with objections from the</w:t>
      </w:r>
      <w:r w:rsidR="004E7649">
        <w:rPr>
          <w:rFonts w:ascii="Arial" w:hAnsi="Arial" w:cs="Arial"/>
          <w:sz w:val="20"/>
          <w:szCs w:val="20"/>
        </w:rPr>
        <w:t xml:space="preserve"> major </w:t>
      </w:r>
      <w:r w:rsidR="00E23CED">
        <w:rPr>
          <w:rFonts w:ascii="Arial" w:hAnsi="Arial" w:cs="Arial"/>
          <w:sz w:val="20"/>
          <w:szCs w:val="20"/>
        </w:rPr>
        <w:t>creditors</w:t>
      </w:r>
      <w:r w:rsidR="004E7649">
        <w:rPr>
          <w:rFonts w:ascii="Arial" w:hAnsi="Arial" w:cs="Arial"/>
          <w:sz w:val="20"/>
          <w:szCs w:val="20"/>
        </w:rPr>
        <w:t xml:space="preserve"> and the Bahaman Attorney General</w:t>
      </w:r>
      <w:r w:rsidR="00E23CED">
        <w:rPr>
          <w:rFonts w:ascii="Arial" w:hAnsi="Arial" w:cs="Arial"/>
          <w:sz w:val="20"/>
          <w:szCs w:val="20"/>
        </w:rPr>
        <w:t xml:space="preserve">, </w:t>
      </w:r>
      <w:r w:rsidRPr="00BB2F14">
        <w:rPr>
          <w:rFonts w:ascii="Arial" w:hAnsi="Arial" w:cs="Arial"/>
          <w:color w:val="212529"/>
          <w:spacing w:val="5"/>
          <w:sz w:val="20"/>
          <w:szCs w:val="20"/>
          <w:shd w:val="clear" w:color="auto" w:fill="FAFAFA"/>
        </w:rPr>
        <w:t xml:space="preserve">the </w:t>
      </w:r>
      <w:r w:rsidR="00BB2F14">
        <w:rPr>
          <w:rFonts w:ascii="Arial" w:hAnsi="Arial" w:cs="Arial"/>
          <w:color w:val="212529"/>
          <w:spacing w:val="5"/>
          <w:sz w:val="20"/>
          <w:szCs w:val="20"/>
          <w:shd w:val="clear" w:color="auto" w:fill="FAFAFA"/>
        </w:rPr>
        <w:t xml:space="preserve">US Bankruptcy </w:t>
      </w:r>
      <w:r w:rsidRPr="00BB2F14">
        <w:rPr>
          <w:rFonts w:ascii="Arial" w:hAnsi="Arial" w:cs="Arial"/>
          <w:color w:val="212529"/>
          <w:spacing w:val="5"/>
          <w:sz w:val="20"/>
          <w:szCs w:val="20"/>
          <w:shd w:val="clear" w:color="auto" w:fill="FAFAFA"/>
        </w:rPr>
        <w:t xml:space="preserve">Court </w:t>
      </w:r>
      <w:r w:rsidR="0022051F">
        <w:rPr>
          <w:rFonts w:ascii="Arial" w:hAnsi="Arial" w:cs="Arial"/>
          <w:color w:val="212529"/>
          <w:spacing w:val="5"/>
          <w:sz w:val="20"/>
          <w:szCs w:val="20"/>
          <w:shd w:val="clear" w:color="auto" w:fill="FAFAFA"/>
        </w:rPr>
        <w:t xml:space="preserve">in Delaware </w:t>
      </w:r>
      <w:r w:rsidRPr="00BB2F14">
        <w:rPr>
          <w:rFonts w:ascii="Arial" w:hAnsi="Arial" w:cs="Arial"/>
          <w:color w:val="212529"/>
          <w:spacing w:val="5"/>
          <w:sz w:val="20"/>
          <w:szCs w:val="20"/>
          <w:shd w:val="clear" w:color="auto" w:fill="FAFAFA"/>
        </w:rPr>
        <w:t>felt that the case involved the economic interests of the Bahamas. The Court therefore took the view that the decision should take place there</w:t>
      </w:r>
      <w:r w:rsidR="00E23CED">
        <w:rPr>
          <w:rFonts w:ascii="Arial" w:hAnsi="Arial" w:cs="Arial"/>
          <w:color w:val="212529"/>
          <w:spacing w:val="5"/>
          <w:sz w:val="20"/>
          <w:szCs w:val="20"/>
          <w:shd w:val="clear" w:color="auto" w:fill="FAFAFA"/>
        </w:rPr>
        <w:t>, stating:</w:t>
      </w:r>
    </w:p>
    <w:p w14:paraId="5E0F4581" w14:textId="77777777" w:rsidR="00A43070" w:rsidRPr="00E23CED" w:rsidRDefault="00A43070" w:rsidP="00A43070">
      <w:pPr>
        <w:pStyle w:val="ListParagraph"/>
        <w:ind w:left="567"/>
        <w:jc w:val="both"/>
        <w:rPr>
          <w:rFonts w:ascii="Arial" w:hAnsi="Arial" w:cs="Arial"/>
          <w:sz w:val="20"/>
          <w:szCs w:val="20"/>
        </w:rPr>
      </w:pPr>
    </w:p>
    <w:p w14:paraId="5F3BFC08" w14:textId="2598C518" w:rsidR="00E23CED" w:rsidRDefault="005404FF" w:rsidP="005404FF">
      <w:pPr>
        <w:pStyle w:val="ListParagraph"/>
        <w:ind w:left="1440"/>
        <w:jc w:val="both"/>
        <w:rPr>
          <w:rStyle w:val="Emphasis"/>
          <w:rFonts w:ascii="Arial" w:hAnsi="Arial" w:cs="Arial"/>
          <w:color w:val="212529"/>
          <w:sz w:val="20"/>
          <w:szCs w:val="20"/>
          <w:shd w:val="clear" w:color="auto" w:fill="FFFFFF"/>
        </w:rPr>
      </w:pPr>
      <w:r>
        <w:rPr>
          <w:rStyle w:val="Emphasis"/>
          <w:rFonts w:ascii="Arial" w:hAnsi="Arial" w:cs="Arial"/>
          <w:color w:val="212529"/>
          <w:sz w:val="20"/>
          <w:szCs w:val="20"/>
          <w:shd w:val="clear" w:color="auto" w:fill="FFFFFF"/>
        </w:rPr>
        <w:t>“</w:t>
      </w:r>
      <w:r w:rsidR="00E23CED" w:rsidRPr="00E23CED">
        <w:rPr>
          <w:rStyle w:val="Emphasis"/>
          <w:rFonts w:ascii="Arial" w:hAnsi="Arial" w:cs="Arial"/>
          <w:color w:val="212529"/>
          <w:sz w:val="20"/>
          <w:szCs w:val="20"/>
          <w:shd w:val="clear" w:color="auto" w:fill="FFFFFF"/>
        </w:rPr>
        <w:t>In business transactions, particularly now in today's global economy, the parties, as one goal, seek certainty. Expectations of various factors - - including the expectations surrounding the question of where ultimately disputes will be resolved - - are important, should be respected, and not disrupted unless a greater good is to be accomplished. Under these circumstances, I can perceive no greater good to be accomplished by exercising jurisdiction over these chapter 11 cases..."</w:t>
      </w:r>
    </w:p>
    <w:p w14:paraId="37FA1B4E" w14:textId="77777777" w:rsidR="00E23CED" w:rsidRPr="00E23CED" w:rsidRDefault="00E23CED" w:rsidP="00A43070">
      <w:pPr>
        <w:pStyle w:val="ListParagraph"/>
        <w:ind w:left="567" w:hanging="567"/>
        <w:jc w:val="both"/>
        <w:rPr>
          <w:rFonts w:ascii="Arial" w:hAnsi="Arial" w:cs="Arial"/>
          <w:i/>
          <w:iCs/>
          <w:color w:val="212529"/>
          <w:sz w:val="20"/>
          <w:szCs w:val="20"/>
          <w:shd w:val="clear" w:color="auto" w:fill="FFFFFF"/>
        </w:rPr>
      </w:pPr>
    </w:p>
    <w:p w14:paraId="632C1A6F" w14:textId="27E9303A" w:rsidR="0068117C" w:rsidRDefault="00E23CED" w:rsidP="00A43070">
      <w:pPr>
        <w:pStyle w:val="ListParagraph"/>
        <w:numPr>
          <w:ilvl w:val="0"/>
          <w:numId w:val="1"/>
        </w:numPr>
        <w:ind w:left="567" w:hanging="567"/>
        <w:jc w:val="both"/>
        <w:rPr>
          <w:rFonts w:ascii="Arial" w:hAnsi="Arial" w:cs="Arial"/>
          <w:sz w:val="20"/>
          <w:szCs w:val="20"/>
        </w:rPr>
      </w:pPr>
      <w:r w:rsidRPr="0068117C">
        <w:rPr>
          <w:rFonts w:ascii="Arial" w:hAnsi="Arial" w:cs="Arial"/>
          <w:sz w:val="20"/>
          <w:szCs w:val="20"/>
        </w:rPr>
        <w:t xml:space="preserve">It is unclear if </w:t>
      </w:r>
      <w:r w:rsidR="00E25A50">
        <w:rPr>
          <w:rFonts w:ascii="Arial" w:hAnsi="Arial" w:cs="Arial"/>
          <w:sz w:val="20"/>
          <w:szCs w:val="20"/>
        </w:rPr>
        <w:t xml:space="preserve">such </w:t>
      </w:r>
      <w:r w:rsidR="004E7649" w:rsidRPr="0068117C">
        <w:rPr>
          <w:rFonts w:ascii="Arial" w:hAnsi="Arial" w:cs="Arial"/>
          <w:sz w:val="20"/>
          <w:szCs w:val="20"/>
        </w:rPr>
        <w:t xml:space="preserve">reasoning will be applied to </w:t>
      </w:r>
      <w:r w:rsidR="005F0E12">
        <w:rPr>
          <w:rFonts w:ascii="Arial" w:hAnsi="Arial" w:cs="Arial"/>
          <w:sz w:val="20"/>
          <w:szCs w:val="20"/>
        </w:rPr>
        <w:t xml:space="preserve">entities in the </w:t>
      </w:r>
      <w:r w:rsidR="004E7649" w:rsidRPr="0068117C">
        <w:rPr>
          <w:rFonts w:ascii="Arial" w:hAnsi="Arial" w:cs="Arial"/>
          <w:sz w:val="20"/>
          <w:szCs w:val="20"/>
        </w:rPr>
        <w:t xml:space="preserve">F1 Trading </w:t>
      </w:r>
      <w:r w:rsidR="005F0E12">
        <w:rPr>
          <w:rFonts w:ascii="Arial" w:hAnsi="Arial" w:cs="Arial"/>
          <w:sz w:val="20"/>
          <w:szCs w:val="20"/>
        </w:rPr>
        <w:t>Group</w:t>
      </w:r>
      <w:r w:rsidR="00E25A50">
        <w:rPr>
          <w:rFonts w:ascii="Arial" w:hAnsi="Arial" w:cs="Arial"/>
          <w:sz w:val="20"/>
          <w:szCs w:val="20"/>
        </w:rPr>
        <w:t xml:space="preserve"> </w:t>
      </w:r>
      <w:r w:rsidR="0022051F">
        <w:rPr>
          <w:rFonts w:ascii="Arial" w:hAnsi="Arial" w:cs="Arial"/>
          <w:sz w:val="20"/>
          <w:szCs w:val="20"/>
        </w:rPr>
        <w:t>(</w:t>
      </w:r>
      <w:r w:rsidR="00E25A50">
        <w:rPr>
          <w:rFonts w:ascii="Arial" w:hAnsi="Arial" w:cs="Arial"/>
          <w:sz w:val="20"/>
          <w:szCs w:val="20"/>
        </w:rPr>
        <w:t>other than F1 Investments</w:t>
      </w:r>
      <w:r w:rsidR="0022051F">
        <w:rPr>
          <w:rFonts w:ascii="Arial" w:hAnsi="Arial" w:cs="Arial"/>
          <w:sz w:val="20"/>
          <w:szCs w:val="20"/>
        </w:rPr>
        <w:t>) if they sought Chapter 11 protection on the basis that they have property in the United States</w:t>
      </w:r>
      <w:r w:rsidR="004E7649" w:rsidRPr="0068117C">
        <w:rPr>
          <w:rFonts w:ascii="Arial" w:hAnsi="Arial" w:cs="Arial"/>
          <w:sz w:val="20"/>
          <w:szCs w:val="20"/>
        </w:rPr>
        <w:t xml:space="preserve">. In </w:t>
      </w:r>
      <w:r w:rsidR="004E7649" w:rsidRPr="0068117C">
        <w:rPr>
          <w:rFonts w:ascii="Arial" w:hAnsi="Arial" w:cs="Arial"/>
          <w:i/>
          <w:iCs/>
          <w:sz w:val="20"/>
          <w:szCs w:val="20"/>
        </w:rPr>
        <w:t>Baha Mar Ltd</w:t>
      </w:r>
      <w:r w:rsidR="004E7649" w:rsidRPr="0068117C">
        <w:rPr>
          <w:rFonts w:ascii="Arial" w:hAnsi="Arial" w:cs="Arial"/>
          <w:sz w:val="20"/>
          <w:szCs w:val="20"/>
        </w:rPr>
        <w:t xml:space="preserve">, the Bankruptcy Court indicated that if creditors had not objected to the Chapter 11 filing, it would have allowed the matter to continue. </w:t>
      </w:r>
      <w:r w:rsidR="0022051F">
        <w:rPr>
          <w:rFonts w:ascii="Arial" w:hAnsi="Arial" w:cs="Arial"/>
          <w:sz w:val="20"/>
          <w:szCs w:val="20"/>
        </w:rPr>
        <w:t>Whether the US Bankruptcy Court will maintain its jurisdiction over the other F1 entities may well hinge on the strength of the objections mounted by</w:t>
      </w:r>
      <w:r w:rsidR="004E7649" w:rsidRPr="0068117C">
        <w:rPr>
          <w:rFonts w:ascii="Arial" w:hAnsi="Arial" w:cs="Arial"/>
          <w:sz w:val="20"/>
          <w:szCs w:val="20"/>
        </w:rPr>
        <w:t xml:space="preserve"> F1 Trading’s creditors (the Monaco Lender)</w:t>
      </w:r>
      <w:r w:rsidR="005F0E12">
        <w:rPr>
          <w:rFonts w:ascii="Arial" w:hAnsi="Arial" w:cs="Arial"/>
          <w:sz w:val="20"/>
          <w:szCs w:val="20"/>
        </w:rPr>
        <w:t>,</w:t>
      </w:r>
      <w:r w:rsidR="004E7649" w:rsidRPr="0068117C">
        <w:rPr>
          <w:rFonts w:ascii="Arial" w:hAnsi="Arial" w:cs="Arial"/>
          <w:sz w:val="20"/>
          <w:szCs w:val="20"/>
        </w:rPr>
        <w:t xml:space="preserve"> F1 Romania’s creditors (which will </w:t>
      </w:r>
      <w:r w:rsidR="005F0E12">
        <w:rPr>
          <w:rFonts w:ascii="Arial" w:hAnsi="Arial" w:cs="Arial"/>
          <w:sz w:val="20"/>
          <w:szCs w:val="20"/>
        </w:rPr>
        <w:t>include</w:t>
      </w:r>
      <w:r w:rsidR="004E7649" w:rsidRPr="0068117C">
        <w:rPr>
          <w:rFonts w:ascii="Arial" w:hAnsi="Arial" w:cs="Arial"/>
          <w:sz w:val="20"/>
          <w:szCs w:val="20"/>
        </w:rPr>
        <w:t xml:space="preserve"> the</w:t>
      </w:r>
      <w:r w:rsidR="005F0E12">
        <w:rPr>
          <w:rFonts w:ascii="Arial" w:hAnsi="Arial" w:cs="Arial"/>
          <w:sz w:val="20"/>
          <w:szCs w:val="20"/>
        </w:rPr>
        <w:t xml:space="preserve"> Monaco Lender and the</w:t>
      </w:r>
      <w:r w:rsidR="004E7649" w:rsidRPr="0068117C">
        <w:rPr>
          <w:rFonts w:ascii="Arial" w:hAnsi="Arial" w:cs="Arial"/>
          <w:sz w:val="20"/>
          <w:szCs w:val="20"/>
        </w:rPr>
        <w:t xml:space="preserve"> Drivers)</w:t>
      </w:r>
      <w:r w:rsidR="005F0E12">
        <w:rPr>
          <w:rFonts w:ascii="Arial" w:hAnsi="Arial" w:cs="Arial"/>
          <w:sz w:val="20"/>
          <w:szCs w:val="20"/>
        </w:rPr>
        <w:t xml:space="preserve"> and F1 Singapore’s creditors (the Monaco Lender)</w:t>
      </w:r>
      <w:r w:rsidR="0022051F">
        <w:rPr>
          <w:rFonts w:ascii="Arial" w:hAnsi="Arial" w:cs="Arial"/>
          <w:sz w:val="20"/>
          <w:szCs w:val="20"/>
        </w:rPr>
        <w:t>.</w:t>
      </w:r>
    </w:p>
    <w:p w14:paraId="4DE23654" w14:textId="77777777" w:rsidR="0068117C" w:rsidRPr="0068117C" w:rsidRDefault="0068117C" w:rsidP="00A43070">
      <w:pPr>
        <w:pStyle w:val="ListParagraph"/>
        <w:ind w:left="567" w:hanging="567"/>
        <w:jc w:val="both"/>
        <w:rPr>
          <w:rFonts w:ascii="Arial" w:hAnsi="Arial" w:cs="Arial"/>
          <w:sz w:val="20"/>
          <w:szCs w:val="20"/>
        </w:rPr>
      </w:pPr>
    </w:p>
    <w:p w14:paraId="19BF248B" w14:textId="08E639F5" w:rsidR="00EE3354" w:rsidRPr="0022051F" w:rsidRDefault="0022051F" w:rsidP="0022051F">
      <w:pPr>
        <w:pStyle w:val="ListParagraph"/>
        <w:numPr>
          <w:ilvl w:val="0"/>
          <w:numId w:val="1"/>
        </w:numPr>
        <w:ind w:left="567" w:hanging="567"/>
        <w:jc w:val="both"/>
        <w:rPr>
          <w:rFonts w:ascii="Arial" w:hAnsi="Arial" w:cs="Arial"/>
          <w:sz w:val="20"/>
          <w:szCs w:val="20"/>
        </w:rPr>
      </w:pPr>
      <w:r>
        <w:rPr>
          <w:rFonts w:ascii="Arial" w:hAnsi="Arial" w:cs="Arial"/>
          <w:sz w:val="20"/>
          <w:szCs w:val="20"/>
        </w:rPr>
        <w:t>Alternatively</w:t>
      </w:r>
      <w:r w:rsidR="004E7649" w:rsidRPr="0068117C">
        <w:rPr>
          <w:rFonts w:ascii="Arial" w:hAnsi="Arial" w:cs="Arial"/>
          <w:sz w:val="20"/>
          <w:szCs w:val="20"/>
        </w:rPr>
        <w:t xml:space="preserve">, given that these entities are key towards </w:t>
      </w:r>
      <w:r w:rsidR="0068117C" w:rsidRPr="0068117C">
        <w:rPr>
          <w:rFonts w:ascii="Arial" w:hAnsi="Arial" w:cs="Arial"/>
          <w:sz w:val="20"/>
          <w:szCs w:val="20"/>
        </w:rPr>
        <w:t>the restructuring efforts of F1 Investments (</w:t>
      </w:r>
      <w:r w:rsidR="005F0E12">
        <w:rPr>
          <w:rFonts w:ascii="Arial" w:hAnsi="Arial" w:cs="Arial"/>
          <w:sz w:val="20"/>
          <w:szCs w:val="20"/>
        </w:rPr>
        <w:t>F1 Netherlands and F1 Romania</w:t>
      </w:r>
      <w:r w:rsidR="0068117C" w:rsidRPr="0068117C">
        <w:rPr>
          <w:rFonts w:ascii="Arial" w:hAnsi="Arial" w:cs="Arial"/>
          <w:sz w:val="20"/>
          <w:szCs w:val="20"/>
        </w:rPr>
        <w:t xml:space="preserve"> are the source of the revenue to repay the debts of F1 Investments</w:t>
      </w:r>
      <w:r w:rsidR="005F0E12">
        <w:rPr>
          <w:rFonts w:ascii="Arial" w:hAnsi="Arial" w:cs="Arial"/>
          <w:sz w:val="20"/>
          <w:szCs w:val="20"/>
        </w:rPr>
        <w:t xml:space="preserve"> whilst F1 Singapore is the entity that </w:t>
      </w:r>
      <w:r>
        <w:rPr>
          <w:rFonts w:ascii="Arial" w:hAnsi="Arial" w:cs="Arial"/>
          <w:sz w:val="20"/>
          <w:szCs w:val="20"/>
        </w:rPr>
        <w:t>may c</w:t>
      </w:r>
      <w:r w:rsidR="00EC077C">
        <w:rPr>
          <w:rFonts w:ascii="Arial" w:hAnsi="Arial" w:cs="Arial"/>
          <w:sz w:val="20"/>
          <w:szCs w:val="20"/>
        </w:rPr>
        <w:t>ontract with</w:t>
      </w:r>
      <w:r w:rsidR="005F0E12">
        <w:rPr>
          <w:rFonts w:ascii="Arial" w:hAnsi="Arial" w:cs="Arial"/>
          <w:sz w:val="20"/>
          <w:szCs w:val="20"/>
        </w:rPr>
        <w:t xml:space="preserve"> K</w:t>
      </w:r>
      <w:r w:rsidR="00EC077C">
        <w:rPr>
          <w:rFonts w:ascii="Arial" w:hAnsi="Arial" w:cs="Arial"/>
          <w:sz w:val="20"/>
          <w:szCs w:val="20"/>
        </w:rPr>
        <w:t>N</w:t>
      </w:r>
      <w:r w:rsidR="005F0E12">
        <w:rPr>
          <w:rFonts w:ascii="Arial" w:hAnsi="Arial" w:cs="Arial"/>
          <w:sz w:val="20"/>
          <w:szCs w:val="20"/>
        </w:rPr>
        <w:t xml:space="preserve"> as a potential sponsor</w:t>
      </w:r>
      <w:r w:rsidR="005F0E12">
        <w:rPr>
          <w:rStyle w:val="FootnoteReference"/>
          <w:rFonts w:ascii="Arial" w:hAnsi="Arial" w:cs="Arial"/>
          <w:sz w:val="20"/>
          <w:szCs w:val="20"/>
        </w:rPr>
        <w:footnoteReference w:id="8"/>
      </w:r>
      <w:r w:rsidR="0068117C" w:rsidRPr="0068117C">
        <w:rPr>
          <w:rFonts w:ascii="Arial" w:hAnsi="Arial" w:cs="Arial"/>
          <w:sz w:val="20"/>
          <w:szCs w:val="20"/>
        </w:rPr>
        <w:t>), it may be possible to extend the automatic stay to them by reason of 11 USC § 105(a)</w:t>
      </w:r>
      <w:r w:rsidR="00CF2A64">
        <w:rPr>
          <w:rFonts w:ascii="Arial" w:hAnsi="Arial" w:cs="Arial"/>
          <w:sz w:val="20"/>
          <w:szCs w:val="20"/>
        </w:rPr>
        <w:t xml:space="preserve"> of the US Bankruptcy Code</w:t>
      </w:r>
      <w:r w:rsidR="0068117C" w:rsidRPr="0068117C">
        <w:rPr>
          <w:rFonts w:ascii="Arial" w:hAnsi="Arial" w:cs="Arial"/>
          <w:sz w:val="20"/>
          <w:szCs w:val="20"/>
        </w:rPr>
        <w:t xml:space="preserve">. This, </w:t>
      </w:r>
      <w:r w:rsidR="0068117C" w:rsidRPr="0068117C">
        <w:rPr>
          <w:rFonts w:ascii="Arial" w:hAnsi="Arial" w:cs="Arial"/>
          <w:i/>
          <w:iCs/>
          <w:sz w:val="20"/>
          <w:szCs w:val="20"/>
        </w:rPr>
        <w:t>inter alia</w:t>
      </w:r>
      <w:r w:rsidR="0068117C" w:rsidRPr="0068117C">
        <w:rPr>
          <w:rFonts w:ascii="Arial" w:hAnsi="Arial" w:cs="Arial"/>
          <w:sz w:val="20"/>
          <w:szCs w:val="20"/>
        </w:rPr>
        <w:t>, provides that the Bankruptcy Court may</w:t>
      </w:r>
      <w:r w:rsidR="0068117C" w:rsidRPr="0068117C">
        <w:rPr>
          <w:rFonts w:ascii="Arial" w:hAnsi="Arial" w:cs="Arial"/>
          <w:color w:val="333333"/>
          <w:sz w:val="20"/>
          <w:szCs w:val="20"/>
          <w:shd w:val="clear" w:color="auto" w:fill="FFFFFF"/>
        </w:rPr>
        <w:t xml:space="preserve"> “</w:t>
      </w:r>
      <w:r w:rsidR="0068117C" w:rsidRPr="0068117C">
        <w:rPr>
          <w:rFonts w:ascii="Arial" w:hAnsi="Arial" w:cs="Arial"/>
          <w:i/>
          <w:iCs/>
          <w:color w:val="333333"/>
          <w:sz w:val="20"/>
          <w:szCs w:val="20"/>
          <w:shd w:val="clear" w:color="auto" w:fill="FFFFFF"/>
        </w:rPr>
        <w:t>issue any order, process, or judgment that is necessary or appropriate to carry out the provisions of this title.</w:t>
      </w:r>
      <w:r w:rsidR="0068117C" w:rsidRPr="0068117C">
        <w:rPr>
          <w:rFonts w:ascii="Arial" w:hAnsi="Arial" w:cs="Arial"/>
          <w:color w:val="333333"/>
          <w:sz w:val="20"/>
          <w:szCs w:val="20"/>
          <w:shd w:val="clear" w:color="auto" w:fill="FFFFFF"/>
        </w:rPr>
        <w:t>”</w:t>
      </w:r>
      <w:r w:rsidR="0068117C">
        <w:rPr>
          <w:rFonts w:ascii="Arial" w:hAnsi="Arial" w:cs="Arial"/>
          <w:color w:val="333333"/>
          <w:sz w:val="20"/>
          <w:szCs w:val="20"/>
          <w:shd w:val="clear" w:color="auto" w:fill="FFFFFF"/>
        </w:rPr>
        <w:t xml:space="preserve"> The US </w:t>
      </w:r>
      <w:r w:rsidR="005472F8">
        <w:rPr>
          <w:rFonts w:ascii="Arial" w:hAnsi="Arial" w:cs="Arial"/>
          <w:color w:val="333333"/>
          <w:sz w:val="20"/>
          <w:szCs w:val="20"/>
          <w:shd w:val="clear" w:color="auto" w:fill="FFFFFF"/>
        </w:rPr>
        <w:t>c</w:t>
      </w:r>
      <w:r w:rsidR="0068117C">
        <w:rPr>
          <w:rFonts w:ascii="Arial" w:hAnsi="Arial" w:cs="Arial"/>
          <w:color w:val="333333"/>
          <w:sz w:val="20"/>
          <w:szCs w:val="20"/>
          <w:shd w:val="clear" w:color="auto" w:fill="FFFFFF"/>
        </w:rPr>
        <w:t>ourts have relied on this provision to extend the automatic stay to non-debtors “</w:t>
      </w:r>
      <w:r w:rsidR="0068117C" w:rsidRPr="00274156">
        <w:rPr>
          <w:rFonts w:ascii="Arial" w:hAnsi="Arial" w:cs="Arial"/>
          <w:i/>
          <w:iCs/>
          <w:color w:val="333333"/>
          <w:sz w:val="20"/>
          <w:szCs w:val="20"/>
          <w:shd w:val="clear" w:color="auto" w:fill="FFFFFF"/>
        </w:rPr>
        <w:t>only when the claim against the non-debtor</w:t>
      </w:r>
      <w:r w:rsidR="00CF2A64" w:rsidRPr="00274156">
        <w:rPr>
          <w:rFonts w:ascii="Arial" w:hAnsi="Arial" w:cs="Arial"/>
          <w:i/>
          <w:iCs/>
          <w:color w:val="333333"/>
          <w:sz w:val="20"/>
          <w:szCs w:val="20"/>
          <w:shd w:val="clear" w:color="auto" w:fill="FFFFFF"/>
        </w:rPr>
        <w:t xml:space="preserve"> will have an immediate adverse economic consequence for the debtor’s estate</w:t>
      </w:r>
      <w:r w:rsidR="00274156">
        <w:rPr>
          <w:rFonts w:ascii="Arial" w:hAnsi="Arial" w:cs="Arial"/>
          <w:color w:val="333333"/>
          <w:sz w:val="20"/>
          <w:szCs w:val="20"/>
          <w:shd w:val="clear" w:color="auto" w:fill="FFFFFF"/>
        </w:rPr>
        <w:t>.</w:t>
      </w:r>
      <w:r w:rsidR="00CF2A64">
        <w:rPr>
          <w:rFonts w:ascii="Arial" w:hAnsi="Arial" w:cs="Arial"/>
          <w:color w:val="333333"/>
          <w:sz w:val="20"/>
          <w:szCs w:val="20"/>
          <w:shd w:val="clear" w:color="auto" w:fill="FFFFFF"/>
        </w:rPr>
        <w:t>”</w:t>
      </w:r>
      <w:r w:rsidR="00CF2A64">
        <w:rPr>
          <w:rStyle w:val="FootnoteReference"/>
          <w:rFonts w:ascii="Arial" w:hAnsi="Arial" w:cs="Arial"/>
          <w:color w:val="333333"/>
          <w:sz w:val="20"/>
          <w:szCs w:val="20"/>
          <w:shd w:val="clear" w:color="auto" w:fill="FFFFFF"/>
        </w:rPr>
        <w:footnoteReference w:id="9"/>
      </w:r>
    </w:p>
    <w:p w14:paraId="16055F72" w14:textId="77777777" w:rsidR="0022051F" w:rsidRPr="0022051F" w:rsidRDefault="0022051F" w:rsidP="0022051F">
      <w:pPr>
        <w:pStyle w:val="ListParagraph"/>
        <w:rPr>
          <w:rFonts w:ascii="Arial" w:hAnsi="Arial" w:cs="Arial"/>
          <w:sz w:val="20"/>
          <w:szCs w:val="20"/>
        </w:rPr>
      </w:pPr>
    </w:p>
    <w:p w14:paraId="5BC45533" w14:textId="77777777" w:rsidR="0022051F" w:rsidRPr="0022051F" w:rsidRDefault="0022051F" w:rsidP="0022051F">
      <w:pPr>
        <w:pStyle w:val="ListParagraph"/>
        <w:ind w:left="567"/>
        <w:jc w:val="both"/>
        <w:rPr>
          <w:rFonts w:ascii="Arial" w:hAnsi="Arial" w:cs="Arial"/>
          <w:sz w:val="20"/>
          <w:szCs w:val="20"/>
        </w:rPr>
      </w:pPr>
    </w:p>
    <w:p w14:paraId="35273E27" w14:textId="17FDF3DC" w:rsidR="00AB4F9E" w:rsidRDefault="00AB4F9E"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difference between </w:t>
      </w:r>
      <w:r w:rsidR="00CF2A64">
        <w:rPr>
          <w:rFonts w:ascii="Arial" w:hAnsi="Arial" w:cs="Arial"/>
          <w:sz w:val="20"/>
          <w:szCs w:val="20"/>
        </w:rPr>
        <w:t xml:space="preserve">direct Chapter 11 protection </w:t>
      </w:r>
      <w:r>
        <w:rPr>
          <w:rFonts w:ascii="Arial" w:hAnsi="Arial" w:cs="Arial"/>
          <w:sz w:val="20"/>
          <w:szCs w:val="20"/>
        </w:rPr>
        <w:t>and</w:t>
      </w:r>
      <w:r w:rsidR="00CF2A64">
        <w:rPr>
          <w:rFonts w:ascii="Arial" w:hAnsi="Arial" w:cs="Arial"/>
          <w:sz w:val="20"/>
          <w:szCs w:val="20"/>
        </w:rPr>
        <w:t xml:space="preserve"> a stay pursuant to </w:t>
      </w:r>
      <w:r w:rsidR="00CF2A64" w:rsidRPr="0068117C">
        <w:rPr>
          <w:rFonts w:ascii="Arial" w:hAnsi="Arial" w:cs="Arial"/>
          <w:sz w:val="20"/>
          <w:szCs w:val="20"/>
        </w:rPr>
        <w:t>11 USC § 105(a)</w:t>
      </w:r>
      <w:r>
        <w:rPr>
          <w:rFonts w:ascii="Arial" w:hAnsi="Arial" w:cs="Arial"/>
          <w:sz w:val="20"/>
          <w:szCs w:val="20"/>
        </w:rPr>
        <w:t xml:space="preserve"> is that the former</w:t>
      </w:r>
      <w:r w:rsidR="00CF2A64">
        <w:rPr>
          <w:rFonts w:ascii="Arial" w:hAnsi="Arial" w:cs="Arial"/>
          <w:sz w:val="20"/>
          <w:szCs w:val="20"/>
        </w:rPr>
        <w:t xml:space="preserve"> </w:t>
      </w:r>
      <w:r>
        <w:rPr>
          <w:rFonts w:ascii="Arial" w:hAnsi="Arial" w:cs="Arial"/>
          <w:sz w:val="20"/>
          <w:szCs w:val="20"/>
        </w:rPr>
        <w:t>w</w:t>
      </w:r>
      <w:r w:rsidR="00CF2A64">
        <w:rPr>
          <w:rFonts w:ascii="Arial" w:hAnsi="Arial" w:cs="Arial"/>
          <w:sz w:val="20"/>
          <w:szCs w:val="20"/>
        </w:rPr>
        <w:t xml:space="preserve">ill have effect in Romania </w:t>
      </w:r>
      <w:r w:rsidR="003A224A">
        <w:rPr>
          <w:rFonts w:ascii="Arial" w:hAnsi="Arial" w:cs="Arial"/>
          <w:sz w:val="20"/>
          <w:szCs w:val="20"/>
        </w:rPr>
        <w:t>and Singapore</w:t>
      </w:r>
      <w:r>
        <w:rPr>
          <w:rFonts w:ascii="Arial" w:hAnsi="Arial" w:cs="Arial"/>
          <w:sz w:val="20"/>
          <w:szCs w:val="20"/>
        </w:rPr>
        <w:t xml:space="preserve"> as a “foreign proceeding”</w:t>
      </w:r>
      <w:r w:rsidR="003A224A">
        <w:rPr>
          <w:rFonts w:ascii="Arial" w:hAnsi="Arial" w:cs="Arial"/>
          <w:sz w:val="20"/>
          <w:szCs w:val="20"/>
        </w:rPr>
        <w:t xml:space="preserve"> </w:t>
      </w:r>
      <w:r>
        <w:rPr>
          <w:rFonts w:ascii="Arial" w:hAnsi="Arial" w:cs="Arial"/>
          <w:sz w:val="20"/>
          <w:szCs w:val="20"/>
        </w:rPr>
        <w:t>through</w:t>
      </w:r>
      <w:r w:rsidR="00CF2A64">
        <w:rPr>
          <w:rFonts w:ascii="Arial" w:hAnsi="Arial" w:cs="Arial"/>
          <w:sz w:val="20"/>
          <w:szCs w:val="20"/>
        </w:rPr>
        <w:t xml:space="preserve"> the Model Law which </w:t>
      </w:r>
      <w:r w:rsidR="003A224A">
        <w:rPr>
          <w:rFonts w:ascii="Arial" w:hAnsi="Arial" w:cs="Arial"/>
          <w:sz w:val="20"/>
          <w:szCs w:val="20"/>
        </w:rPr>
        <w:t>these countries</w:t>
      </w:r>
      <w:r w:rsidR="00CF2A64">
        <w:rPr>
          <w:rFonts w:ascii="Arial" w:hAnsi="Arial" w:cs="Arial"/>
          <w:sz w:val="20"/>
          <w:szCs w:val="20"/>
        </w:rPr>
        <w:t xml:space="preserve"> ha</w:t>
      </w:r>
      <w:r w:rsidR="003A224A">
        <w:rPr>
          <w:rFonts w:ascii="Arial" w:hAnsi="Arial" w:cs="Arial"/>
          <w:sz w:val="20"/>
          <w:szCs w:val="20"/>
        </w:rPr>
        <w:t>ve</w:t>
      </w:r>
      <w:r w:rsidR="00CF2A64">
        <w:rPr>
          <w:rFonts w:ascii="Arial" w:hAnsi="Arial" w:cs="Arial"/>
          <w:sz w:val="20"/>
          <w:szCs w:val="20"/>
        </w:rPr>
        <w:t xml:space="preserve"> adopted. </w:t>
      </w:r>
      <w:r>
        <w:rPr>
          <w:rFonts w:ascii="Arial" w:hAnsi="Arial" w:cs="Arial"/>
          <w:sz w:val="20"/>
          <w:szCs w:val="20"/>
        </w:rPr>
        <w:t xml:space="preserve">It is doubtful that the latter will </w:t>
      </w:r>
      <w:r w:rsidR="00274156">
        <w:rPr>
          <w:rFonts w:ascii="Arial" w:hAnsi="Arial" w:cs="Arial"/>
          <w:sz w:val="20"/>
          <w:szCs w:val="20"/>
        </w:rPr>
        <w:t xml:space="preserve">similarly </w:t>
      </w:r>
      <w:r>
        <w:rPr>
          <w:rFonts w:ascii="Arial" w:hAnsi="Arial" w:cs="Arial"/>
          <w:sz w:val="20"/>
          <w:szCs w:val="20"/>
        </w:rPr>
        <w:t>qualify as a foreign proceeding. Recognition of Chapter 11 proceedings in respect of F1 Romania and F1 Singapore will allow the insolvency practitioner appointed in the Chapter 11 proceedings to apply for</w:t>
      </w:r>
      <w:r w:rsidR="00E54476">
        <w:rPr>
          <w:rFonts w:ascii="Arial" w:hAnsi="Arial" w:cs="Arial"/>
          <w:sz w:val="20"/>
          <w:szCs w:val="20"/>
        </w:rPr>
        <w:t xml:space="preserve"> relief including</w:t>
      </w:r>
      <w:r>
        <w:rPr>
          <w:rFonts w:ascii="Arial" w:hAnsi="Arial" w:cs="Arial"/>
          <w:sz w:val="20"/>
          <w:szCs w:val="20"/>
        </w:rPr>
        <w:t>:</w:t>
      </w:r>
    </w:p>
    <w:p w14:paraId="6943E7FB" w14:textId="77777777" w:rsidR="00A43070" w:rsidRDefault="00A43070" w:rsidP="00A43070">
      <w:pPr>
        <w:pStyle w:val="ListParagraph"/>
        <w:ind w:left="709"/>
        <w:jc w:val="both"/>
        <w:rPr>
          <w:rFonts w:ascii="Arial" w:hAnsi="Arial" w:cs="Arial"/>
          <w:sz w:val="20"/>
          <w:szCs w:val="20"/>
        </w:rPr>
      </w:pPr>
    </w:p>
    <w:p w14:paraId="5A13B348" w14:textId="678EB85E" w:rsidR="00E54476" w:rsidRPr="00E54476" w:rsidRDefault="00E54476" w:rsidP="00A43070">
      <w:pPr>
        <w:pStyle w:val="ListParagraph"/>
        <w:numPr>
          <w:ilvl w:val="1"/>
          <w:numId w:val="1"/>
        </w:numPr>
        <w:ind w:left="1134" w:hanging="567"/>
        <w:jc w:val="both"/>
        <w:rPr>
          <w:rFonts w:ascii="Arial" w:hAnsi="Arial" w:cs="Arial"/>
          <w:sz w:val="20"/>
          <w:szCs w:val="20"/>
        </w:rPr>
      </w:pPr>
      <w:r w:rsidRPr="00E54476">
        <w:rPr>
          <w:rFonts w:ascii="Arial" w:hAnsi="Arial" w:cs="Arial"/>
          <w:sz w:val="20"/>
          <w:szCs w:val="20"/>
        </w:rPr>
        <w:t>staying the commencement or continuation of individual actions or individual proceedings concerning the debtor’s property, rights, obligations or liabilities;</w:t>
      </w:r>
    </w:p>
    <w:p w14:paraId="022172F4" w14:textId="0EA1EFA0" w:rsidR="00E54476" w:rsidRPr="00E54476" w:rsidRDefault="00E54476" w:rsidP="00A43070">
      <w:pPr>
        <w:pStyle w:val="ListParagraph"/>
        <w:numPr>
          <w:ilvl w:val="1"/>
          <w:numId w:val="1"/>
        </w:numPr>
        <w:ind w:left="1134" w:hanging="567"/>
        <w:jc w:val="both"/>
        <w:rPr>
          <w:rFonts w:ascii="Arial" w:hAnsi="Arial" w:cs="Arial"/>
          <w:sz w:val="20"/>
          <w:szCs w:val="20"/>
        </w:rPr>
      </w:pPr>
      <w:r w:rsidRPr="00E54476">
        <w:rPr>
          <w:rFonts w:ascii="Arial" w:hAnsi="Arial" w:cs="Arial"/>
          <w:color w:val="000000"/>
          <w:sz w:val="20"/>
          <w:szCs w:val="20"/>
          <w:shd w:val="clear" w:color="auto" w:fill="FFFFFF"/>
        </w:rPr>
        <w:t>staying execution against the debtor’s property;</w:t>
      </w:r>
    </w:p>
    <w:p w14:paraId="58B95464" w14:textId="2B972231" w:rsidR="00E54476" w:rsidRPr="008F03BE" w:rsidRDefault="00E54476" w:rsidP="00A43070">
      <w:pPr>
        <w:pStyle w:val="ListParagraph"/>
        <w:numPr>
          <w:ilvl w:val="1"/>
          <w:numId w:val="1"/>
        </w:numPr>
        <w:ind w:left="1134" w:hanging="567"/>
        <w:jc w:val="both"/>
        <w:rPr>
          <w:rFonts w:ascii="Arial" w:hAnsi="Arial" w:cs="Arial"/>
          <w:sz w:val="20"/>
          <w:szCs w:val="20"/>
        </w:rPr>
      </w:pPr>
      <w:r w:rsidRPr="00E54476">
        <w:rPr>
          <w:rFonts w:ascii="Arial" w:hAnsi="Arial" w:cs="Arial"/>
          <w:color w:val="000000"/>
          <w:sz w:val="20"/>
          <w:szCs w:val="20"/>
          <w:shd w:val="clear" w:color="auto" w:fill="FFFFFF"/>
        </w:rPr>
        <w:t>suspending the right to transfer, encumber or otherwise dispose of any property of the debtor.</w:t>
      </w:r>
      <w:r>
        <w:rPr>
          <w:rStyle w:val="FootnoteReference"/>
          <w:rFonts w:ascii="Arial" w:hAnsi="Arial" w:cs="Arial"/>
          <w:color w:val="000000"/>
          <w:sz w:val="20"/>
          <w:szCs w:val="20"/>
          <w:shd w:val="clear" w:color="auto" w:fill="FFFFFF"/>
        </w:rPr>
        <w:footnoteReference w:id="10"/>
      </w:r>
    </w:p>
    <w:p w14:paraId="2C020B9C" w14:textId="77777777" w:rsidR="00AB4F9E" w:rsidRDefault="00AB4F9E" w:rsidP="00A43070">
      <w:pPr>
        <w:pStyle w:val="ListParagraph"/>
        <w:ind w:left="284"/>
        <w:jc w:val="both"/>
        <w:rPr>
          <w:rFonts w:ascii="Arial" w:hAnsi="Arial" w:cs="Arial"/>
          <w:sz w:val="20"/>
          <w:szCs w:val="20"/>
        </w:rPr>
      </w:pPr>
    </w:p>
    <w:p w14:paraId="2B2676D7" w14:textId="2ABE973D" w:rsidR="00AB4F9E" w:rsidRDefault="00AB4F9E" w:rsidP="00274156">
      <w:pPr>
        <w:pStyle w:val="ListParagraph"/>
        <w:ind w:left="567"/>
        <w:jc w:val="both"/>
        <w:rPr>
          <w:rFonts w:ascii="Arial" w:hAnsi="Arial" w:cs="Arial"/>
          <w:sz w:val="20"/>
          <w:szCs w:val="20"/>
        </w:rPr>
      </w:pPr>
      <w:r>
        <w:rPr>
          <w:rFonts w:ascii="Arial" w:hAnsi="Arial" w:cs="Arial"/>
          <w:sz w:val="20"/>
          <w:szCs w:val="20"/>
        </w:rPr>
        <w:t xml:space="preserve">This </w:t>
      </w:r>
      <w:r w:rsidR="00CF2A64">
        <w:rPr>
          <w:rFonts w:ascii="Arial" w:hAnsi="Arial" w:cs="Arial"/>
          <w:sz w:val="20"/>
          <w:szCs w:val="20"/>
        </w:rPr>
        <w:t xml:space="preserve">will have the effect of precluding </w:t>
      </w:r>
      <w:r w:rsidR="00274156">
        <w:rPr>
          <w:rFonts w:ascii="Arial" w:hAnsi="Arial" w:cs="Arial"/>
          <w:sz w:val="20"/>
          <w:szCs w:val="20"/>
        </w:rPr>
        <w:t>(a) the</w:t>
      </w:r>
      <w:r w:rsidR="00CF2A64">
        <w:rPr>
          <w:rFonts w:ascii="Arial" w:hAnsi="Arial" w:cs="Arial"/>
          <w:sz w:val="20"/>
          <w:szCs w:val="20"/>
        </w:rPr>
        <w:t xml:space="preserve"> disposal of the assets of F1 Romania to meet its liabilities to its creditors</w:t>
      </w:r>
      <w:r w:rsidR="00274156">
        <w:rPr>
          <w:rFonts w:ascii="Arial" w:hAnsi="Arial" w:cs="Arial"/>
          <w:sz w:val="20"/>
          <w:szCs w:val="20"/>
        </w:rPr>
        <w:t xml:space="preserve"> in Romania</w:t>
      </w:r>
      <w:r w:rsidR="003A224A">
        <w:rPr>
          <w:rFonts w:ascii="Arial" w:hAnsi="Arial" w:cs="Arial"/>
          <w:sz w:val="20"/>
          <w:szCs w:val="20"/>
        </w:rPr>
        <w:t xml:space="preserve"> and </w:t>
      </w:r>
      <w:r w:rsidR="00274156">
        <w:rPr>
          <w:rFonts w:ascii="Arial" w:hAnsi="Arial" w:cs="Arial"/>
          <w:sz w:val="20"/>
          <w:szCs w:val="20"/>
        </w:rPr>
        <w:t xml:space="preserve">(b) </w:t>
      </w:r>
      <w:r w:rsidR="003A224A">
        <w:rPr>
          <w:rFonts w:ascii="Arial" w:hAnsi="Arial" w:cs="Arial"/>
          <w:sz w:val="20"/>
          <w:szCs w:val="20"/>
        </w:rPr>
        <w:t>the pursuit of claims against F1 Singapore by the Monaco Lender</w:t>
      </w:r>
      <w:r w:rsidR="00CF2A64">
        <w:rPr>
          <w:rFonts w:ascii="Arial" w:hAnsi="Arial" w:cs="Arial"/>
          <w:sz w:val="20"/>
          <w:szCs w:val="20"/>
        </w:rPr>
        <w:t xml:space="preserve">. </w:t>
      </w:r>
    </w:p>
    <w:p w14:paraId="4B0A5777" w14:textId="77777777" w:rsidR="00274156" w:rsidRDefault="00274156" w:rsidP="00274156">
      <w:pPr>
        <w:pStyle w:val="ListParagraph"/>
        <w:ind w:left="567"/>
        <w:jc w:val="both"/>
        <w:rPr>
          <w:rFonts w:ascii="Arial" w:hAnsi="Arial" w:cs="Arial"/>
          <w:sz w:val="20"/>
          <w:szCs w:val="20"/>
        </w:rPr>
      </w:pPr>
    </w:p>
    <w:p w14:paraId="65697BFD" w14:textId="41C508C1" w:rsidR="00274156" w:rsidRDefault="00274156"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Of course, the stay pursuant to </w:t>
      </w:r>
      <w:r w:rsidRPr="0068117C">
        <w:rPr>
          <w:rFonts w:ascii="Arial" w:hAnsi="Arial" w:cs="Arial"/>
          <w:sz w:val="20"/>
          <w:szCs w:val="20"/>
        </w:rPr>
        <w:t>11 USC § 105(a)</w:t>
      </w:r>
      <w:r>
        <w:rPr>
          <w:rFonts w:ascii="Arial" w:hAnsi="Arial" w:cs="Arial"/>
          <w:sz w:val="20"/>
          <w:szCs w:val="20"/>
        </w:rPr>
        <w:t xml:space="preserve"> may be compiled with even if it is not recognised under the Model Law. The creditors of F1 Romania and F1 Singapore may choose not to flout a stay granted by the US Bankruptcy Court especially if they have assets or dealings in the United States.</w:t>
      </w:r>
    </w:p>
    <w:p w14:paraId="7DA9DFAE" w14:textId="77777777" w:rsidR="00AB4F9E" w:rsidRPr="00AB4F9E" w:rsidRDefault="00AB4F9E" w:rsidP="00A43070">
      <w:pPr>
        <w:pStyle w:val="ListParagraph"/>
        <w:ind w:left="567" w:hanging="567"/>
        <w:jc w:val="both"/>
        <w:rPr>
          <w:rFonts w:ascii="Arial" w:hAnsi="Arial" w:cs="Arial"/>
          <w:sz w:val="20"/>
          <w:szCs w:val="20"/>
        </w:rPr>
      </w:pPr>
    </w:p>
    <w:p w14:paraId="2032F31E" w14:textId="1FED9F3B" w:rsidR="004C3B6F" w:rsidRDefault="00AB4F9E"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T</w:t>
      </w:r>
      <w:r w:rsidR="00CF2A64">
        <w:rPr>
          <w:rFonts w:ascii="Arial" w:hAnsi="Arial" w:cs="Arial"/>
          <w:sz w:val="20"/>
          <w:szCs w:val="20"/>
        </w:rPr>
        <w:t xml:space="preserve">he Netherlands has not adopted the UNCITRAL Model Law and the recognition of the </w:t>
      </w:r>
      <w:r>
        <w:rPr>
          <w:rFonts w:ascii="Arial" w:hAnsi="Arial" w:cs="Arial"/>
          <w:sz w:val="20"/>
          <w:szCs w:val="20"/>
        </w:rPr>
        <w:t>Chapter 11 proceedings</w:t>
      </w:r>
      <w:r w:rsidR="00CF2A64">
        <w:rPr>
          <w:rFonts w:ascii="Arial" w:hAnsi="Arial" w:cs="Arial"/>
          <w:sz w:val="20"/>
          <w:szCs w:val="20"/>
        </w:rPr>
        <w:t xml:space="preserve"> </w:t>
      </w:r>
      <w:r>
        <w:rPr>
          <w:rFonts w:ascii="Arial" w:hAnsi="Arial" w:cs="Arial"/>
          <w:sz w:val="20"/>
          <w:szCs w:val="20"/>
        </w:rPr>
        <w:t>in respect of F1 Trading</w:t>
      </w:r>
      <w:r w:rsidR="00CF2A64">
        <w:rPr>
          <w:rFonts w:ascii="Arial" w:hAnsi="Arial" w:cs="Arial"/>
          <w:sz w:val="20"/>
          <w:szCs w:val="20"/>
        </w:rPr>
        <w:t xml:space="preserve"> will depend on its domestic laws. If these domestic laws do not allow the recognition of th</w:t>
      </w:r>
      <w:r>
        <w:rPr>
          <w:rFonts w:ascii="Arial" w:hAnsi="Arial" w:cs="Arial"/>
          <w:sz w:val="20"/>
          <w:szCs w:val="20"/>
        </w:rPr>
        <w:t>ese proceedings</w:t>
      </w:r>
      <w:r w:rsidR="00CF2A64">
        <w:rPr>
          <w:rFonts w:ascii="Arial" w:hAnsi="Arial" w:cs="Arial"/>
          <w:sz w:val="20"/>
          <w:szCs w:val="20"/>
        </w:rPr>
        <w:t xml:space="preserve">, then a separate insolvency process under the laws of the Netherlands may have to be engaged in for F1 Trading. </w:t>
      </w:r>
    </w:p>
    <w:p w14:paraId="057F2B14" w14:textId="77777777" w:rsidR="003A224A" w:rsidRPr="003A224A" w:rsidRDefault="003A224A" w:rsidP="00A43070">
      <w:pPr>
        <w:pStyle w:val="ListParagraph"/>
        <w:ind w:left="567" w:hanging="567"/>
        <w:jc w:val="both"/>
        <w:rPr>
          <w:rFonts w:ascii="Arial" w:hAnsi="Arial" w:cs="Arial"/>
          <w:sz w:val="20"/>
          <w:szCs w:val="20"/>
        </w:rPr>
      </w:pPr>
    </w:p>
    <w:p w14:paraId="294CD013" w14:textId="1A557AB0" w:rsidR="004C3B6F" w:rsidRDefault="004C3B6F" w:rsidP="00A43070">
      <w:pPr>
        <w:pStyle w:val="ListParagraph"/>
        <w:ind w:left="567"/>
        <w:jc w:val="both"/>
        <w:rPr>
          <w:rFonts w:ascii="Arial" w:hAnsi="Arial" w:cs="Arial"/>
          <w:i/>
          <w:iCs/>
          <w:sz w:val="20"/>
          <w:szCs w:val="20"/>
        </w:rPr>
      </w:pPr>
      <w:r w:rsidRPr="0035641E">
        <w:rPr>
          <w:rFonts w:ascii="Arial" w:hAnsi="Arial" w:cs="Arial"/>
          <w:i/>
          <w:iCs/>
          <w:sz w:val="20"/>
          <w:szCs w:val="20"/>
        </w:rPr>
        <w:t xml:space="preserve">Option </w:t>
      </w:r>
      <w:r>
        <w:rPr>
          <w:rFonts w:ascii="Arial" w:hAnsi="Arial" w:cs="Arial"/>
          <w:i/>
          <w:iCs/>
          <w:sz w:val="20"/>
          <w:szCs w:val="20"/>
        </w:rPr>
        <w:t>2</w:t>
      </w:r>
      <w:r w:rsidRPr="0035641E">
        <w:rPr>
          <w:rFonts w:ascii="Arial" w:hAnsi="Arial" w:cs="Arial"/>
          <w:i/>
          <w:iCs/>
          <w:sz w:val="20"/>
          <w:szCs w:val="20"/>
        </w:rPr>
        <w:t xml:space="preserve"> </w:t>
      </w:r>
    </w:p>
    <w:p w14:paraId="165D4202" w14:textId="77777777" w:rsidR="0076784B" w:rsidRPr="0076784B" w:rsidRDefault="0076784B" w:rsidP="00A43070">
      <w:pPr>
        <w:pStyle w:val="ListParagraph"/>
        <w:ind w:left="284"/>
        <w:jc w:val="both"/>
        <w:rPr>
          <w:rFonts w:ascii="Arial" w:hAnsi="Arial" w:cs="Arial"/>
          <w:i/>
          <w:iCs/>
          <w:sz w:val="20"/>
          <w:szCs w:val="20"/>
        </w:rPr>
      </w:pPr>
    </w:p>
    <w:p w14:paraId="638C0754" w14:textId="4CBA0709" w:rsidR="00996FA1" w:rsidRPr="00A26E2D" w:rsidRDefault="00864913" w:rsidP="00A43070">
      <w:pPr>
        <w:pStyle w:val="ListParagraph"/>
        <w:numPr>
          <w:ilvl w:val="0"/>
          <w:numId w:val="1"/>
        </w:numPr>
        <w:ind w:left="567" w:hanging="567"/>
        <w:jc w:val="both"/>
        <w:rPr>
          <w:rFonts w:ascii="Arial" w:hAnsi="Arial" w:cs="Arial"/>
          <w:i/>
          <w:iCs/>
          <w:sz w:val="20"/>
          <w:szCs w:val="20"/>
        </w:rPr>
      </w:pPr>
      <w:r w:rsidRPr="00A26E2D">
        <w:rPr>
          <w:rFonts w:ascii="Arial" w:hAnsi="Arial" w:cs="Arial"/>
          <w:sz w:val="20"/>
          <w:szCs w:val="20"/>
        </w:rPr>
        <w:t>Option 2 envisages that insolvency proceedings are opened in the Netherlands in respect of F1 Trading.</w:t>
      </w:r>
      <w:r w:rsidR="00D16A82">
        <w:rPr>
          <w:rStyle w:val="FootnoteReference"/>
          <w:rFonts w:ascii="Arial" w:hAnsi="Arial" w:cs="Arial"/>
          <w:sz w:val="20"/>
          <w:szCs w:val="20"/>
        </w:rPr>
        <w:footnoteReference w:id="11"/>
      </w:r>
      <w:r w:rsidRPr="00A26E2D">
        <w:rPr>
          <w:rFonts w:ascii="Arial" w:hAnsi="Arial" w:cs="Arial"/>
          <w:sz w:val="20"/>
          <w:szCs w:val="20"/>
        </w:rPr>
        <w:t xml:space="preserve"> F1 Trading is set up under the laws of the Netherlands. It is assumed that the registered office of F1 Trading is in the Netherlands. Article 3 of the</w:t>
      </w:r>
      <w:r w:rsidR="00221A3E" w:rsidRPr="00A26E2D">
        <w:rPr>
          <w:rFonts w:ascii="Arial" w:hAnsi="Arial" w:cs="Arial"/>
          <w:sz w:val="20"/>
          <w:szCs w:val="20"/>
        </w:rPr>
        <w:t xml:space="preserve"> </w:t>
      </w:r>
      <w:r w:rsidRPr="00A26E2D">
        <w:rPr>
          <w:rFonts w:ascii="Arial" w:hAnsi="Arial" w:cs="Arial"/>
          <w:sz w:val="20"/>
          <w:szCs w:val="20"/>
        </w:rPr>
        <w:t>E</w:t>
      </w:r>
      <w:r w:rsidR="00221A3E" w:rsidRPr="00A26E2D">
        <w:rPr>
          <w:rFonts w:ascii="Arial" w:hAnsi="Arial" w:cs="Arial"/>
          <w:sz w:val="20"/>
          <w:szCs w:val="20"/>
        </w:rPr>
        <w:t xml:space="preserve">U </w:t>
      </w:r>
      <w:r w:rsidRPr="00A26E2D">
        <w:rPr>
          <w:rFonts w:ascii="Arial" w:hAnsi="Arial" w:cs="Arial"/>
          <w:sz w:val="20"/>
          <w:szCs w:val="20"/>
        </w:rPr>
        <w:t>IR</w:t>
      </w:r>
      <w:r w:rsidR="00221A3E" w:rsidRPr="00A26E2D">
        <w:rPr>
          <w:rFonts w:ascii="Arial" w:hAnsi="Arial" w:cs="Arial"/>
          <w:sz w:val="20"/>
          <w:szCs w:val="20"/>
        </w:rPr>
        <w:t xml:space="preserve"> provides that “</w:t>
      </w:r>
      <w:r w:rsidR="00221A3E" w:rsidRPr="00A26E2D">
        <w:rPr>
          <w:rFonts w:ascii="Arial" w:hAnsi="Arial" w:cs="Arial"/>
          <w:i/>
          <w:iCs/>
          <w:sz w:val="20"/>
          <w:szCs w:val="20"/>
        </w:rPr>
        <w:t xml:space="preserve">the place of the registered office shall be presumed to be the centre of its main interests in the absence of proof to the contrary” </w:t>
      </w:r>
      <w:r w:rsidR="00221A3E" w:rsidRPr="00A26E2D">
        <w:rPr>
          <w:rFonts w:ascii="Arial" w:hAnsi="Arial" w:cs="Arial"/>
          <w:sz w:val="20"/>
          <w:szCs w:val="20"/>
        </w:rPr>
        <w:t>and further that the courts of the Member State within the territory of which the debtor’s centre of main interests (“COMI”) is situated shall have jurisdiction to open the main insolvency proceedings. Having said this</w:t>
      </w:r>
      <w:r w:rsidR="008F03BE">
        <w:rPr>
          <w:rFonts w:ascii="Arial" w:hAnsi="Arial" w:cs="Arial"/>
          <w:sz w:val="20"/>
          <w:szCs w:val="20"/>
        </w:rPr>
        <w:t>,</w:t>
      </w:r>
      <w:r w:rsidR="00221A3E" w:rsidRPr="00A26E2D">
        <w:rPr>
          <w:rFonts w:ascii="Arial" w:hAnsi="Arial" w:cs="Arial"/>
          <w:sz w:val="20"/>
          <w:szCs w:val="20"/>
        </w:rPr>
        <w:t xml:space="preserve"> the location of the registered office merely create</w:t>
      </w:r>
      <w:r w:rsidR="008F03BE">
        <w:rPr>
          <w:rFonts w:ascii="Arial" w:hAnsi="Arial" w:cs="Arial"/>
          <w:sz w:val="20"/>
          <w:szCs w:val="20"/>
        </w:rPr>
        <w:t>s</w:t>
      </w:r>
      <w:r w:rsidR="00221A3E" w:rsidRPr="00A26E2D">
        <w:rPr>
          <w:rFonts w:ascii="Arial" w:hAnsi="Arial" w:cs="Arial"/>
          <w:sz w:val="20"/>
          <w:szCs w:val="20"/>
        </w:rPr>
        <w:t xml:space="preserve"> a rebuttable presumption that the COMI of F1 Trading is the Netherlands. It is possible to displace such a presumption if “</w:t>
      </w:r>
      <w:r w:rsidR="00221A3E" w:rsidRPr="00A26E2D">
        <w:rPr>
          <w:rFonts w:ascii="Arial" w:hAnsi="Arial" w:cs="Arial"/>
          <w:i/>
          <w:iCs/>
          <w:sz w:val="20"/>
          <w:szCs w:val="20"/>
        </w:rPr>
        <w:t>the company's central administration is located in a Member State other than that of its registered office, and where a comprehensive assessment of all the relevant factors establishes, in a manner that is ascertainable by third parties, that the company's actual centre of management and supervision and of the management of its interests is located in that other Member State</w:t>
      </w:r>
      <w:r w:rsidR="00A26E2D" w:rsidRPr="00A26E2D">
        <w:rPr>
          <w:rFonts w:ascii="Arial" w:hAnsi="Arial" w:cs="Arial"/>
          <w:i/>
          <w:iCs/>
          <w:sz w:val="20"/>
          <w:szCs w:val="20"/>
        </w:rPr>
        <w:t>.</w:t>
      </w:r>
      <w:r w:rsidR="00221A3E" w:rsidRPr="00A26E2D">
        <w:rPr>
          <w:rFonts w:ascii="Arial" w:hAnsi="Arial" w:cs="Arial"/>
          <w:sz w:val="20"/>
          <w:szCs w:val="20"/>
        </w:rPr>
        <w:t>”</w:t>
      </w:r>
      <w:r w:rsidR="00A26E2D">
        <w:rPr>
          <w:rStyle w:val="FootnoteReference"/>
          <w:rFonts w:ascii="Arial" w:hAnsi="Arial" w:cs="Arial"/>
          <w:sz w:val="20"/>
          <w:szCs w:val="20"/>
        </w:rPr>
        <w:footnoteReference w:id="12"/>
      </w:r>
      <w:r w:rsidR="00221A3E" w:rsidRPr="00A26E2D">
        <w:rPr>
          <w:rFonts w:ascii="Arial" w:hAnsi="Arial" w:cs="Arial"/>
          <w:sz w:val="20"/>
          <w:szCs w:val="20"/>
        </w:rPr>
        <w:t xml:space="preserve"> </w:t>
      </w:r>
    </w:p>
    <w:p w14:paraId="52979524" w14:textId="77777777" w:rsidR="00A26E2D" w:rsidRPr="00A26E2D" w:rsidRDefault="00A26E2D" w:rsidP="00A43070">
      <w:pPr>
        <w:pStyle w:val="ListParagraph"/>
        <w:ind w:left="284"/>
        <w:jc w:val="both"/>
        <w:rPr>
          <w:rFonts w:ascii="Arial" w:hAnsi="Arial" w:cs="Arial"/>
          <w:i/>
          <w:iCs/>
          <w:sz w:val="20"/>
          <w:szCs w:val="20"/>
        </w:rPr>
      </w:pPr>
    </w:p>
    <w:p w14:paraId="135F8E81" w14:textId="14961FF7" w:rsidR="00A26E2D" w:rsidRDefault="00A26E2D"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ability to open the main insolvency proceedings for F1 Trading in the Netherlands has </w:t>
      </w:r>
      <w:r w:rsidR="005738FD">
        <w:rPr>
          <w:rFonts w:ascii="Arial" w:hAnsi="Arial" w:cs="Arial"/>
          <w:sz w:val="20"/>
          <w:szCs w:val="20"/>
        </w:rPr>
        <w:t>t</w:t>
      </w:r>
      <w:r w:rsidR="008F03BE">
        <w:rPr>
          <w:rFonts w:ascii="Arial" w:hAnsi="Arial" w:cs="Arial"/>
          <w:sz w:val="20"/>
          <w:szCs w:val="20"/>
        </w:rPr>
        <w:t>wo</w:t>
      </w:r>
      <w:r>
        <w:rPr>
          <w:rFonts w:ascii="Arial" w:hAnsi="Arial" w:cs="Arial"/>
          <w:sz w:val="20"/>
          <w:szCs w:val="20"/>
        </w:rPr>
        <w:t xml:space="preserve"> immediate consequences:</w:t>
      </w:r>
    </w:p>
    <w:p w14:paraId="137983B2" w14:textId="77777777" w:rsidR="00A43070" w:rsidRPr="00A43070" w:rsidRDefault="00A43070" w:rsidP="00A43070">
      <w:pPr>
        <w:pStyle w:val="ListParagraph"/>
        <w:rPr>
          <w:rFonts w:ascii="Arial" w:hAnsi="Arial" w:cs="Arial"/>
          <w:sz w:val="20"/>
          <w:szCs w:val="20"/>
        </w:rPr>
      </w:pPr>
    </w:p>
    <w:p w14:paraId="1011BC82" w14:textId="77777777" w:rsidR="00A43070" w:rsidRDefault="00A43070" w:rsidP="00A43070">
      <w:pPr>
        <w:pStyle w:val="ListParagraph"/>
        <w:ind w:left="567"/>
        <w:jc w:val="both"/>
        <w:rPr>
          <w:rFonts w:ascii="Arial" w:hAnsi="Arial" w:cs="Arial"/>
          <w:sz w:val="20"/>
          <w:szCs w:val="20"/>
        </w:rPr>
      </w:pPr>
    </w:p>
    <w:p w14:paraId="7C26A25D" w14:textId="5230C19A" w:rsidR="00A26E2D" w:rsidRPr="00A26E2D" w:rsidRDefault="00A26E2D" w:rsidP="00A43070">
      <w:pPr>
        <w:pStyle w:val="ListParagraph"/>
        <w:numPr>
          <w:ilvl w:val="1"/>
          <w:numId w:val="1"/>
        </w:numPr>
        <w:ind w:left="1134" w:hanging="567"/>
        <w:jc w:val="both"/>
        <w:rPr>
          <w:rFonts w:ascii="Arial" w:hAnsi="Arial" w:cs="Arial"/>
          <w:sz w:val="20"/>
          <w:szCs w:val="20"/>
        </w:rPr>
      </w:pPr>
      <w:r w:rsidRPr="00A26E2D">
        <w:rPr>
          <w:rFonts w:ascii="Arial" w:hAnsi="Arial" w:cs="Arial"/>
          <w:sz w:val="20"/>
          <w:szCs w:val="20"/>
        </w:rPr>
        <w:t xml:space="preserve">the judgment opening the main insolvency proceedings handed down </w:t>
      </w:r>
      <w:r w:rsidR="00321ACC">
        <w:rPr>
          <w:rFonts w:ascii="Arial" w:hAnsi="Arial" w:cs="Arial"/>
          <w:sz w:val="20"/>
          <w:szCs w:val="20"/>
        </w:rPr>
        <w:t>by</w:t>
      </w:r>
      <w:r w:rsidRPr="00A26E2D">
        <w:rPr>
          <w:rFonts w:ascii="Arial" w:hAnsi="Arial" w:cs="Arial"/>
          <w:sz w:val="20"/>
          <w:szCs w:val="20"/>
        </w:rPr>
        <w:t xml:space="preserve"> the courts in the Netherlands will be recognised in all other Member States from the moment that it becomes effective in Netherlands</w:t>
      </w:r>
      <w:r w:rsidRPr="00A26E2D">
        <w:rPr>
          <w:rStyle w:val="FootnoteReference"/>
          <w:rFonts w:ascii="Arial" w:hAnsi="Arial" w:cs="Arial"/>
          <w:sz w:val="20"/>
          <w:szCs w:val="20"/>
        </w:rPr>
        <w:footnoteReference w:id="13"/>
      </w:r>
      <w:r w:rsidRPr="00A26E2D">
        <w:rPr>
          <w:rFonts w:ascii="Arial" w:hAnsi="Arial" w:cs="Arial"/>
          <w:sz w:val="20"/>
          <w:szCs w:val="20"/>
        </w:rPr>
        <w:t>;</w:t>
      </w:r>
      <w:r w:rsidR="004F560E">
        <w:rPr>
          <w:rFonts w:ascii="Arial" w:hAnsi="Arial" w:cs="Arial"/>
          <w:sz w:val="20"/>
          <w:szCs w:val="20"/>
        </w:rPr>
        <w:t xml:space="preserve"> and</w:t>
      </w:r>
    </w:p>
    <w:p w14:paraId="126D16A5" w14:textId="23A4B3A1" w:rsidR="00A26E2D" w:rsidRDefault="00A26E2D" w:rsidP="00A43070">
      <w:pPr>
        <w:pStyle w:val="ListParagraph"/>
        <w:numPr>
          <w:ilvl w:val="1"/>
          <w:numId w:val="1"/>
        </w:numPr>
        <w:ind w:left="1134" w:hanging="567"/>
        <w:jc w:val="both"/>
        <w:rPr>
          <w:rFonts w:ascii="Arial" w:hAnsi="Arial" w:cs="Arial"/>
          <w:sz w:val="20"/>
          <w:szCs w:val="20"/>
        </w:rPr>
      </w:pPr>
      <w:r w:rsidRPr="00A26E2D">
        <w:rPr>
          <w:rFonts w:ascii="Arial" w:hAnsi="Arial" w:cs="Arial"/>
          <w:sz w:val="20"/>
          <w:szCs w:val="20"/>
        </w:rPr>
        <w:t>the judgment opening the main insolvency proceedings will, with no further formalities, produce the same effects in any other Member State as under the law of the Netherland</w:t>
      </w:r>
      <w:r w:rsidR="00526613">
        <w:rPr>
          <w:rFonts w:ascii="Arial" w:hAnsi="Arial" w:cs="Arial"/>
          <w:sz w:val="20"/>
          <w:szCs w:val="20"/>
        </w:rPr>
        <w:t>s</w:t>
      </w:r>
      <w:r w:rsidRPr="00A26E2D">
        <w:rPr>
          <w:rFonts w:ascii="Arial" w:hAnsi="Arial" w:cs="Arial"/>
          <w:sz w:val="20"/>
          <w:szCs w:val="20"/>
        </w:rPr>
        <w:t>, unless provided otherwise in the EU IR and as long as no secondary insolvency proceedings are opened in that other Member State</w:t>
      </w:r>
      <w:r w:rsidR="004F560E">
        <w:rPr>
          <w:rFonts w:ascii="Arial" w:hAnsi="Arial" w:cs="Arial"/>
          <w:sz w:val="20"/>
          <w:szCs w:val="20"/>
        </w:rPr>
        <w:t>.</w:t>
      </w:r>
      <w:r w:rsidRPr="00A26E2D">
        <w:rPr>
          <w:rStyle w:val="FootnoteReference"/>
          <w:rFonts w:ascii="Arial" w:hAnsi="Arial" w:cs="Arial"/>
          <w:sz w:val="20"/>
          <w:szCs w:val="20"/>
        </w:rPr>
        <w:footnoteReference w:id="14"/>
      </w:r>
    </w:p>
    <w:p w14:paraId="09881A2A" w14:textId="7A3FFF97" w:rsidR="004F560E" w:rsidRPr="00A26E2D" w:rsidRDefault="004F560E" w:rsidP="00A43070">
      <w:pPr>
        <w:pStyle w:val="ListParagraph"/>
        <w:jc w:val="both"/>
        <w:rPr>
          <w:rFonts w:ascii="Arial" w:hAnsi="Arial" w:cs="Arial"/>
          <w:sz w:val="20"/>
          <w:szCs w:val="20"/>
        </w:rPr>
      </w:pPr>
    </w:p>
    <w:p w14:paraId="5B67CB2D" w14:textId="7F4177A0" w:rsidR="004F560E" w:rsidRPr="008F03BE" w:rsidRDefault="004F560E" w:rsidP="00A43070">
      <w:pPr>
        <w:pStyle w:val="ListParagraph"/>
        <w:numPr>
          <w:ilvl w:val="0"/>
          <w:numId w:val="1"/>
        </w:numPr>
        <w:ind w:left="567" w:hanging="567"/>
        <w:jc w:val="both"/>
        <w:rPr>
          <w:rFonts w:ascii="Arial" w:hAnsi="Arial" w:cs="Arial"/>
          <w:i/>
          <w:iCs/>
          <w:sz w:val="20"/>
          <w:szCs w:val="20"/>
        </w:rPr>
      </w:pPr>
      <w:r>
        <w:rPr>
          <w:rFonts w:ascii="Arial" w:hAnsi="Arial" w:cs="Arial"/>
          <w:sz w:val="20"/>
          <w:szCs w:val="20"/>
        </w:rPr>
        <w:t>An insolvency practitioner appointed by the courts of the Netherlands will be able to exert his authority over F1 Trading</w:t>
      </w:r>
      <w:r w:rsidR="008F03BE">
        <w:rPr>
          <w:rFonts w:ascii="Arial" w:hAnsi="Arial" w:cs="Arial"/>
          <w:sz w:val="20"/>
          <w:szCs w:val="20"/>
        </w:rPr>
        <w:t xml:space="preserve"> and the assets of F1 Trading</w:t>
      </w:r>
      <w:r>
        <w:rPr>
          <w:rFonts w:ascii="Arial" w:hAnsi="Arial" w:cs="Arial"/>
          <w:sz w:val="20"/>
          <w:szCs w:val="20"/>
        </w:rPr>
        <w:t xml:space="preserve"> in any other part of the EU (except Denmark) with the powers which are vested in him by reason the law of the Netherlands</w:t>
      </w:r>
      <w:r w:rsidR="005738FD">
        <w:rPr>
          <w:rFonts w:ascii="Arial" w:hAnsi="Arial" w:cs="Arial"/>
          <w:sz w:val="20"/>
          <w:szCs w:val="20"/>
        </w:rPr>
        <w:t>.</w:t>
      </w:r>
      <w:r>
        <w:rPr>
          <w:rStyle w:val="FootnoteReference"/>
          <w:rFonts w:ascii="Arial" w:hAnsi="Arial" w:cs="Arial"/>
          <w:sz w:val="20"/>
          <w:szCs w:val="20"/>
        </w:rPr>
        <w:footnoteReference w:id="15"/>
      </w:r>
      <w:r w:rsidR="008F03BE">
        <w:rPr>
          <w:rFonts w:ascii="Arial" w:hAnsi="Arial" w:cs="Arial"/>
          <w:sz w:val="20"/>
          <w:szCs w:val="20"/>
        </w:rPr>
        <w:t xml:space="preserve"> This gives that insolvency practitioner the power to dispose of F1 Trading’s shares in F1 Romania. </w:t>
      </w:r>
      <w:r w:rsidR="008F03BE">
        <w:rPr>
          <w:rFonts w:ascii="Arial" w:hAnsi="Arial" w:cs="Arial"/>
          <w:sz w:val="20"/>
          <w:szCs w:val="20"/>
        </w:rPr>
        <w:lastRenderedPageBreak/>
        <w:t>This is an important aspect of the restructuring since it is requirement of the new sponsor, KN, that it acquires a 51% stake in F1 Romania.</w:t>
      </w:r>
    </w:p>
    <w:p w14:paraId="5F45858C" w14:textId="77777777" w:rsidR="008F03BE" w:rsidRPr="008F03BE" w:rsidRDefault="008F03BE" w:rsidP="00A43070">
      <w:pPr>
        <w:pStyle w:val="ListParagraph"/>
        <w:ind w:left="567" w:hanging="567"/>
        <w:jc w:val="both"/>
        <w:rPr>
          <w:rFonts w:ascii="Arial" w:hAnsi="Arial" w:cs="Arial"/>
          <w:i/>
          <w:iCs/>
          <w:sz w:val="20"/>
          <w:szCs w:val="20"/>
        </w:rPr>
      </w:pPr>
    </w:p>
    <w:p w14:paraId="56626014" w14:textId="7053F9D8" w:rsidR="008F03BE" w:rsidRPr="005E16D6" w:rsidRDefault="008F03BE"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In terms of the insolvency proceedings which may be opened in the Netherlands, the</w:t>
      </w:r>
      <w:r w:rsidR="005E16D6">
        <w:rPr>
          <w:rFonts w:ascii="Arial" w:hAnsi="Arial" w:cs="Arial"/>
          <w:sz w:val="20"/>
          <w:szCs w:val="20"/>
        </w:rPr>
        <w:t xml:space="preserve"> </w:t>
      </w:r>
      <w:r w:rsidR="005E16D6" w:rsidRPr="005E16D6">
        <w:rPr>
          <w:rFonts w:ascii="Arial" w:hAnsi="Arial" w:cs="Arial"/>
          <w:i/>
          <w:iCs/>
          <w:sz w:val="20"/>
          <w:szCs w:val="20"/>
        </w:rPr>
        <w:t xml:space="preserve">Wet </w:t>
      </w:r>
      <w:r w:rsidR="005E16D6">
        <w:rPr>
          <w:rFonts w:ascii="Arial" w:hAnsi="Arial" w:cs="Arial"/>
          <w:i/>
          <w:iCs/>
          <w:sz w:val="20"/>
          <w:szCs w:val="20"/>
        </w:rPr>
        <w:t>H</w:t>
      </w:r>
      <w:r w:rsidR="005E16D6" w:rsidRPr="005E16D6">
        <w:rPr>
          <w:rFonts w:ascii="Arial" w:hAnsi="Arial" w:cs="Arial"/>
          <w:i/>
          <w:iCs/>
          <w:sz w:val="20"/>
          <w:szCs w:val="20"/>
        </w:rPr>
        <w:t xml:space="preserve">omologatie </w:t>
      </w:r>
      <w:r w:rsidR="005E16D6">
        <w:rPr>
          <w:rFonts w:ascii="Arial" w:hAnsi="Arial" w:cs="Arial"/>
          <w:i/>
          <w:iCs/>
          <w:sz w:val="20"/>
          <w:szCs w:val="20"/>
        </w:rPr>
        <w:t>O</w:t>
      </w:r>
      <w:r w:rsidR="005E16D6" w:rsidRPr="005E16D6">
        <w:rPr>
          <w:rFonts w:ascii="Arial" w:hAnsi="Arial" w:cs="Arial"/>
          <w:i/>
          <w:iCs/>
          <w:sz w:val="20"/>
          <w:szCs w:val="20"/>
        </w:rPr>
        <w:t xml:space="preserve">nderhands </w:t>
      </w:r>
      <w:r w:rsidR="005E16D6">
        <w:rPr>
          <w:rFonts w:ascii="Arial" w:hAnsi="Arial" w:cs="Arial"/>
          <w:i/>
          <w:iCs/>
          <w:sz w:val="20"/>
          <w:szCs w:val="20"/>
        </w:rPr>
        <w:t>A</w:t>
      </w:r>
      <w:r w:rsidR="005E16D6" w:rsidRPr="005E16D6">
        <w:rPr>
          <w:rFonts w:ascii="Arial" w:hAnsi="Arial" w:cs="Arial"/>
          <w:i/>
          <w:iCs/>
          <w:sz w:val="20"/>
          <w:szCs w:val="20"/>
        </w:rPr>
        <w:t>kkord</w:t>
      </w:r>
      <w:r w:rsidR="005E16D6">
        <w:rPr>
          <w:rFonts w:ascii="Arial" w:hAnsi="Arial" w:cs="Arial"/>
          <w:sz w:val="20"/>
          <w:szCs w:val="20"/>
        </w:rPr>
        <w:t xml:space="preserve"> or WHOA has been available since January 2021.</w:t>
      </w:r>
      <w:r w:rsidR="00003CB1">
        <w:rPr>
          <w:rStyle w:val="FootnoteReference"/>
          <w:rFonts w:ascii="Arial" w:hAnsi="Arial" w:cs="Arial"/>
          <w:sz w:val="20"/>
          <w:szCs w:val="20"/>
        </w:rPr>
        <w:footnoteReference w:id="16"/>
      </w:r>
      <w:r w:rsidR="005E16D6">
        <w:rPr>
          <w:rFonts w:ascii="Arial" w:hAnsi="Arial" w:cs="Arial"/>
          <w:sz w:val="20"/>
          <w:szCs w:val="20"/>
        </w:rPr>
        <w:t xml:space="preserve"> This is a flexible debtor-in-possession scheme proceeding which requires only two-thirds approval from the creditors in a class for approval by the court. It is possible to obtain a freeze period or </w:t>
      </w:r>
      <w:r w:rsidR="00406A9C">
        <w:rPr>
          <w:rFonts w:ascii="Arial" w:hAnsi="Arial" w:cs="Arial"/>
          <w:sz w:val="20"/>
          <w:szCs w:val="20"/>
        </w:rPr>
        <w:t>cool-down period</w:t>
      </w:r>
      <w:r w:rsidR="005E16D6">
        <w:rPr>
          <w:rFonts w:ascii="Arial" w:hAnsi="Arial" w:cs="Arial"/>
          <w:sz w:val="20"/>
          <w:szCs w:val="20"/>
        </w:rPr>
        <w:t xml:space="preserve"> of up to 8 months.</w:t>
      </w:r>
      <w:r w:rsidR="00406A9C">
        <w:rPr>
          <w:rFonts w:ascii="Arial" w:hAnsi="Arial" w:cs="Arial"/>
          <w:sz w:val="20"/>
          <w:szCs w:val="20"/>
        </w:rPr>
        <w:t xml:space="preserve"> This is akin to a moratorium which will prevent secured creditors for enforcing their security unless the court gives permission.</w:t>
      </w:r>
      <w:r w:rsidR="005E16D6">
        <w:rPr>
          <w:rFonts w:ascii="Arial" w:hAnsi="Arial" w:cs="Arial"/>
          <w:sz w:val="20"/>
          <w:szCs w:val="20"/>
        </w:rPr>
        <w:t xml:space="preserve"> In the case of F1 Trading, its creditors are F1 Investments and the Monaco Lender with the debt composition in the ratio of 78:22. </w:t>
      </w:r>
      <w:r w:rsidR="00003CB1">
        <w:rPr>
          <w:rFonts w:ascii="Arial" w:hAnsi="Arial" w:cs="Arial"/>
          <w:sz w:val="20"/>
          <w:szCs w:val="20"/>
        </w:rPr>
        <w:t>If these creditors are put in the same class, then e</w:t>
      </w:r>
      <w:r w:rsidR="005E16D6">
        <w:rPr>
          <w:rFonts w:ascii="Arial" w:hAnsi="Arial" w:cs="Arial"/>
          <w:sz w:val="20"/>
          <w:szCs w:val="20"/>
        </w:rPr>
        <w:t xml:space="preserve">ven if the Monaco Lender disagrees, F1 Investments will be able to provide the requisite support for the </w:t>
      </w:r>
      <w:r w:rsidR="009F676E">
        <w:rPr>
          <w:rFonts w:ascii="Arial" w:hAnsi="Arial" w:cs="Arial"/>
          <w:sz w:val="20"/>
          <w:szCs w:val="20"/>
        </w:rPr>
        <w:t xml:space="preserve">WHOA </w:t>
      </w:r>
      <w:r w:rsidR="005E16D6">
        <w:rPr>
          <w:rFonts w:ascii="Arial" w:hAnsi="Arial" w:cs="Arial"/>
          <w:sz w:val="20"/>
          <w:szCs w:val="20"/>
        </w:rPr>
        <w:t>scheme to be approved.</w:t>
      </w:r>
      <w:r w:rsidR="00406A9C">
        <w:rPr>
          <w:rFonts w:ascii="Arial" w:hAnsi="Arial" w:cs="Arial"/>
          <w:sz w:val="20"/>
          <w:szCs w:val="20"/>
        </w:rPr>
        <w:t xml:space="preserve"> There may however be an argument that as F1 Investments is also a shareholder</w:t>
      </w:r>
      <w:r w:rsidR="00A2759E">
        <w:rPr>
          <w:rFonts w:ascii="Arial" w:hAnsi="Arial" w:cs="Arial"/>
          <w:sz w:val="20"/>
          <w:szCs w:val="20"/>
        </w:rPr>
        <w:t>, it cannot be grouped in the same class as the Monaco Lender.</w:t>
      </w:r>
      <w:r w:rsidR="00003CB1">
        <w:rPr>
          <w:rFonts w:ascii="Arial" w:hAnsi="Arial" w:cs="Arial"/>
          <w:sz w:val="20"/>
          <w:szCs w:val="20"/>
        </w:rPr>
        <w:t xml:space="preserve"> If the creditors are put in separate classes, the Dutch Court may still declare the plan </w:t>
      </w:r>
      <w:r w:rsidR="00A2759E">
        <w:rPr>
          <w:rFonts w:ascii="Arial" w:hAnsi="Arial" w:cs="Arial"/>
          <w:sz w:val="20"/>
          <w:szCs w:val="20"/>
        </w:rPr>
        <w:t xml:space="preserve">binding in the face of </w:t>
      </w:r>
      <w:r w:rsidR="00003CB1">
        <w:rPr>
          <w:rFonts w:ascii="Arial" w:hAnsi="Arial" w:cs="Arial"/>
          <w:sz w:val="20"/>
          <w:szCs w:val="20"/>
        </w:rPr>
        <w:t>objections from the Monaco Lender. This is a form of cross-class cramdown.</w:t>
      </w:r>
    </w:p>
    <w:p w14:paraId="67F529C1" w14:textId="77777777" w:rsidR="005738FD" w:rsidRPr="005E16D6" w:rsidRDefault="005738FD" w:rsidP="00A43070">
      <w:pPr>
        <w:pStyle w:val="ListParagraph"/>
        <w:ind w:left="567" w:hanging="567"/>
        <w:jc w:val="both"/>
        <w:rPr>
          <w:rFonts w:ascii="Arial" w:hAnsi="Arial" w:cs="Arial"/>
          <w:sz w:val="20"/>
          <w:szCs w:val="20"/>
        </w:rPr>
      </w:pPr>
    </w:p>
    <w:p w14:paraId="158A5752" w14:textId="75C67600" w:rsidR="004C3B6F" w:rsidRPr="005738FD" w:rsidRDefault="005E16D6" w:rsidP="00A43070">
      <w:pPr>
        <w:pStyle w:val="ListParagraph"/>
        <w:numPr>
          <w:ilvl w:val="0"/>
          <w:numId w:val="1"/>
        </w:numPr>
        <w:ind w:left="567" w:hanging="567"/>
        <w:jc w:val="both"/>
        <w:rPr>
          <w:rFonts w:ascii="Arial" w:hAnsi="Arial" w:cs="Arial"/>
          <w:i/>
          <w:iCs/>
          <w:sz w:val="20"/>
          <w:szCs w:val="20"/>
        </w:rPr>
      </w:pPr>
      <w:r>
        <w:rPr>
          <w:rFonts w:ascii="Arial" w:hAnsi="Arial" w:cs="Arial"/>
          <w:sz w:val="20"/>
          <w:szCs w:val="20"/>
        </w:rPr>
        <w:t>A</w:t>
      </w:r>
      <w:r w:rsidR="005738FD">
        <w:rPr>
          <w:rFonts w:ascii="Arial" w:hAnsi="Arial" w:cs="Arial"/>
          <w:sz w:val="20"/>
          <w:szCs w:val="20"/>
        </w:rPr>
        <w:t>n insolvency practitioner</w:t>
      </w:r>
      <w:r>
        <w:rPr>
          <w:rFonts w:ascii="Arial" w:hAnsi="Arial" w:cs="Arial"/>
          <w:sz w:val="20"/>
          <w:szCs w:val="20"/>
        </w:rPr>
        <w:t xml:space="preserve"> appointed in the Netherlands over F1 Trading</w:t>
      </w:r>
      <w:r w:rsidR="005738FD">
        <w:rPr>
          <w:rFonts w:ascii="Arial" w:hAnsi="Arial" w:cs="Arial"/>
          <w:sz w:val="20"/>
          <w:szCs w:val="20"/>
        </w:rPr>
        <w:t xml:space="preserve"> </w:t>
      </w:r>
      <w:r w:rsidR="001A7B2D">
        <w:rPr>
          <w:rFonts w:ascii="Arial" w:hAnsi="Arial" w:cs="Arial"/>
          <w:sz w:val="20"/>
          <w:szCs w:val="20"/>
        </w:rPr>
        <w:t xml:space="preserve">may also have authority </w:t>
      </w:r>
      <w:r>
        <w:rPr>
          <w:rFonts w:ascii="Arial" w:hAnsi="Arial" w:cs="Arial"/>
          <w:sz w:val="20"/>
          <w:szCs w:val="20"/>
        </w:rPr>
        <w:t>over</w:t>
      </w:r>
      <w:r w:rsidR="005738FD">
        <w:rPr>
          <w:rFonts w:ascii="Arial" w:hAnsi="Arial" w:cs="Arial"/>
          <w:sz w:val="20"/>
          <w:szCs w:val="20"/>
        </w:rPr>
        <w:t xml:space="preserve"> F1 Romania</w:t>
      </w:r>
      <w:r>
        <w:rPr>
          <w:rFonts w:ascii="Arial" w:hAnsi="Arial" w:cs="Arial"/>
          <w:sz w:val="20"/>
          <w:szCs w:val="20"/>
        </w:rPr>
        <w:t xml:space="preserve"> </w:t>
      </w:r>
      <w:r w:rsidR="001A7B2D">
        <w:rPr>
          <w:rFonts w:ascii="Arial" w:hAnsi="Arial" w:cs="Arial"/>
          <w:sz w:val="20"/>
          <w:szCs w:val="20"/>
        </w:rPr>
        <w:t>even though its COMI is not in the Netherlands if it can be shown that its restructuring will be sufficiently linked to the Netherlands</w:t>
      </w:r>
      <w:r w:rsidR="005738FD">
        <w:rPr>
          <w:rFonts w:ascii="Arial" w:hAnsi="Arial" w:cs="Arial"/>
          <w:sz w:val="20"/>
          <w:szCs w:val="20"/>
        </w:rPr>
        <w:t>.</w:t>
      </w:r>
      <w:r w:rsidR="001A7B2D">
        <w:rPr>
          <w:rFonts w:ascii="Arial" w:hAnsi="Arial" w:cs="Arial"/>
          <w:sz w:val="20"/>
          <w:szCs w:val="20"/>
        </w:rPr>
        <w:t xml:space="preserve"> The legal framework for the WHOA is designed to accommodate group companies which may be outside the Netherlands.</w:t>
      </w:r>
      <w:r w:rsidR="005738FD">
        <w:rPr>
          <w:rFonts w:ascii="Arial" w:hAnsi="Arial" w:cs="Arial"/>
          <w:sz w:val="20"/>
          <w:szCs w:val="20"/>
        </w:rPr>
        <w:t xml:space="preserve"> In</w:t>
      </w:r>
      <w:r w:rsidR="001A7B2D">
        <w:rPr>
          <w:rFonts w:ascii="Arial" w:hAnsi="Arial" w:cs="Arial"/>
          <w:sz w:val="20"/>
          <w:szCs w:val="20"/>
        </w:rPr>
        <w:t xml:space="preserve"> this case, however, in</w:t>
      </w:r>
      <w:r w:rsidR="004C3B6F" w:rsidRPr="005738FD">
        <w:rPr>
          <w:rFonts w:ascii="Arial" w:hAnsi="Arial" w:cs="Arial"/>
          <w:sz w:val="20"/>
          <w:szCs w:val="20"/>
        </w:rPr>
        <w:t xml:space="preserve">solvency proceedings have been </w:t>
      </w:r>
      <w:r w:rsidR="001A7B2D">
        <w:rPr>
          <w:rFonts w:ascii="Arial" w:hAnsi="Arial" w:cs="Arial"/>
          <w:sz w:val="20"/>
          <w:szCs w:val="20"/>
        </w:rPr>
        <w:t xml:space="preserve">already </w:t>
      </w:r>
      <w:r w:rsidR="004C3B6F" w:rsidRPr="005738FD">
        <w:rPr>
          <w:rFonts w:ascii="Arial" w:hAnsi="Arial" w:cs="Arial"/>
          <w:sz w:val="20"/>
          <w:szCs w:val="20"/>
        </w:rPr>
        <w:t>opened in</w:t>
      </w:r>
      <w:r w:rsidR="005738FD">
        <w:rPr>
          <w:rFonts w:ascii="Arial" w:hAnsi="Arial" w:cs="Arial"/>
          <w:sz w:val="20"/>
          <w:szCs w:val="20"/>
        </w:rPr>
        <w:t xml:space="preserve"> respect of F1 Romania in Romania</w:t>
      </w:r>
      <w:r w:rsidR="004C3B6F" w:rsidRPr="005738FD">
        <w:rPr>
          <w:rFonts w:ascii="Arial" w:hAnsi="Arial" w:cs="Arial"/>
          <w:sz w:val="20"/>
          <w:szCs w:val="20"/>
        </w:rPr>
        <w:t>. The nature of the</w:t>
      </w:r>
      <w:r w:rsidR="00820395">
        <w:rPr>
          <w:rFonts w:ascii="Arial" w:hAnsi="Arial" w:cs="Arial"/>
          <w:sz w:val="20"/>
          <w:szCs w:val="20"/>
        </w:rPr>
        <w:t xml:space="preserve"> Romanian</w:t>
      </w:r>
      <w:r w:rsidR="004C3B6F" w:rsidRPr="005738FD">
        <w:rPr>
          <w:rFonts w:ascii="Arial" w:hAnsi="Arial" w:cs="Arial"/>
          <w:sz w:val="20"/>
          <w:szCs w:val="20"/>
        </w:rPr>
        <w:t xml:space="preserve"> proceedings is not clear.</w:t>
      </w:r>
      <w:r w:rsidR="00820395">
        <w:rPr>
          <w:rFonts w:ascii="Arial" w:hAnsi="Arial" w:cs="Arial"/>
          <w:sz w:val="20"/>
          <w:szCs w:val="20"/>
        </w:rPr>
        <w:t xml:space="preserve"> F</w:t>
      </w:r>
      <w:r w:rsidR="004C3B6F" w:rsidRPr="005738FD">
        <w:rPr>
          <w:rFonts w:ascii="Arial" w:hAnsi="Arial" w:cs="Arial"/>
          <w:sz w:val="20"/>
          <w:szCs w:val="20"/>
        </w:rPr>
        <w:t xml:space="preserve">or these proceedings to </w:t>
      </w:r>
      <w:r w:rsidR="00820395">
        <w:rPr>
          <w:rFonts w:ascii="Arial" w:hAnsi="Arial" w:cs="Arial"/>
          <w:sz w:val="20"/>
          <w:szCs w:val="20"/>
        </w:rPr>
        <w:t xml:space="preserve">fall under the ambit of the </w:t>
      </w:r>
      <w:r w:rsidR="004C3B6F" w:rsidRPr="005738FD">
        <w:rPr>
          <w:rFonts w:ascii="Arial" w:hAnsi="Arial" w:cs="Arial"/>
          <w:sz w:val="20"/>
          <w:szCs w:val="20"/>
        </w:rPr>
        <w:t>E</w:t>
      </w:r>
      <w:r w:rsidR="00820395">
        <w:rPr>
          <w:rFonts w:ascii="Arial" w:hAnsi="Arial" w:cs="Arial"/>
          <w:sz w:val="20"/>
          <w:szCs w:val="20"/>
        </w:rPr>
        <w:t xml:space="preserve">U </w:t>
      </w:r>
      <w:r w:rsidR="004C3B6F" w:rsidRPr="005738FD">
        <w:rPr>
          <w:rFonts w:ascii="Arial" w:hAnsi="Arial" w:cs="Arial"/>
          <w:sz w:val="20"/>
          <w:szCs w:val="20"/>
        </w:rPr>
        <w:t xml:space="preserve">IR, </w:t>
      </w:r>
      <w:r w:rsidR="00820395">
        <w:rPr>
          <w:rFonts w:ascii="Arial" w:hAnsi="Arial" w:cs="Arial"/>
          <w:sz w:val="20"/>
          <w:szCs w:val="20"/>
        </w:rPr>
        <w:t>they</w:t>
      </w:r>
      <w:r w:rsidR="004C3B6F" w:rsidRPr="005738FD">
        <w:rPr>
          <w:rFonts w:ascii="Arial" w:hAnsi="Arial" w:cs="Arial"/>
          <w:sz w:val="20"/>
          <w:szCs w:val="20"/>
        </w:rPr>
        <w:t xml:space="preserve"> must be “</w:t>
      </w:r>
      <w:r w:rsidR="004C3B6F" w:rsidRPr="005738FD">
        <w:rPr>
          <w:rFonts w:ascii="Arial" w:hAnsi="Arial" w:cs="Arial"/>
          <w:i/>
          <w:iCs/>
          <w:sz w:val="20"/>
          <w:szCs w:val="20"/>
        </w:rPr>
        <w:t xml:space="preserve">public collective proceedings, including interim proceedings, based on laws relating to insolvency and in which, </w:t>
      </w:r>
      <w:bookmarkStart w:id="0" w:name="_Hlk162792214"/>
      <w:r w:rsidR="004C3B6F" w:rsidRPr="005738FD">
        <w:rPr>
          <w:rFonts w:ascii="Arial" w:hAnsi="Arial" w:cs="Arial"/>
          <w:i/>
          <w:iCs/>
          <w:sz w:val="20"/>
          <w:szCs w:val="20"/>
        </w:rPr>
        <w:t>for the purpose of rescue, adjustment of debt, reorganisation or liquidation</w:t>
      </w:r>
      <w:bookmarkEnd w:id="0"/>
      <w:r w:rsidR="004C3B6F" w:rsidRPr="005738FD">
        <w:rPr>
          <w:rFonts w:ascii="Arial" w:hAnsi="Arial" w:cs="Arial"/>
          <w:i/>
          <w:iCs/>
          <w:sz w:val="20"/>
          <w:szCs w:val="20"/>
        </w:rPr>
        <w:t>:</w:t>
      </w:r>
    </w:p>
    <w:p w14:paraId="2F8DD493" w14:textId="77777777" w:rsidR="004C3B6F" w:rsidRPr="004C3B6F" w:rsidRDefault="004C3B6F" w:rsidP="00A43070">
      <w:pPr>
        <w:pStyle w:val="ListParagraph"/>
        <w:ind w:left="284"/>
        <w:jc w:val="both"/>
        <w:rPr>
          <w:rFonts w:ascii="Arial" w:hAnsi="Arial" w:cs="Arial"/>
          <w:i/>
          <w:iCs/>
          <w:sz w:val="20"/>
          <w:szCs w:val="20"/>
        </w:rPr>
      </w:pPr>
    </w:p>
    <w:p w14:paraId="7197A5A7" w14:textId="77777777" w:rsidR="004C3B6F" w:rsidRPr="004C3B6F" w:rsidRDefault="004C3B6F" w:rsidP="00A43070">
      <w:pPr>
        <w:pStyle w:val="ListParagraph"/>
        <w:numPr>
          <w:ilvl w:val="0"/>
          <w:numId w:val="2"/>
        </w:numPr>
        <w:ind w:left="1134" w:hanging="567"/>
        <w:jc w:val="both"/>
        <w:rPr>
          <w:rFonts w:ascii="Arial" w:hAnsi="Arial" w:cs="Arial"/>
          <w:i/>
          <w:iCs/>
          <w:sz w:val="20"/>
          <w:szCs w:val="20"/>
        </w:rPr>
      </w:pPr>
      <w:r w:rsidRPr="004C3B6F">
        <w:rPr>
          <w:rFonts w:ascii="Arial" w:hAnsi="Arial" w:cs="Arial"/>
          <w:i/>
          <w:iCs/>
          <w:sz w:val="20"/>
          <w:szCs w:val="20"/>
        </w:rPr>
        <w:t xml:space="preserve">a debtor is totally or partially divested of its assets and an insolvency practitioner is appointed; </w:t>
      </w:r>
    </w:p>
    <w:p w14:paraId="37DA935C" w14:textId="77777777" w:rsidR="004C3B6F" w:rsidRPr="004C3B6F" w:rsidRDefault="004C3B6F" w:rsidP="00A43070">
      <w:pPr>
        <w:pStyle w:val="ListParagraph"/>
        <w:numPr>
          <w:ilvl w:val="0"/>
          <w:numId w:val="2"/>
        </w:numPr>
        <w:ind w:left="1134" w:hanging="567"/>
        <w:jc w:val="both"/>
        <w:rPr>
          <w:rFonts w:ascii="Arial" w:hAnsi="Arial" w:cs="Arial"/>
          <w:i/>
          <w:iCs/>
          <w:sz w:val="20"/>
          <w:szCs w:val="20"/>
        </w:rPr>
      </w:pPr>
      <w:r w:rsidRPr="004C3B6F">
        <w:rPr>
          <w:rFonts w:ascii="Arial" w:hAnsi="Arial" w:cs="Arial"/>
          <w:i/>
          <w:iCs/>
          <w:sz w:val="20"/>
          <w:szCs w:val="20"/>
        </w:rPr>
        <w:t xml:space="preserve">the assets and affairs of a debtor are subject to control or supervision by a court; or </w:t>
      </w:r>
    </w:p>
    <w:p w14:paraId="0503CE9E" w14:textId="41282462" w:rsidR="004C3B6F" w:rsidRDefault="004C3B6F" w:rsidP="00A43070">
      <w:pPr>
        <w:pStyle w:val="ListParagraph"/>
        <w:numPr>
          <w:ilvl w:val="0"/>
          <w:numId w:val="2"/>
        </w:numPr>
        <w:ind w:left="1134" w:hanging="567"/>
        <w:jc w:val="both"/>
        <w:rPr>
          <w:rFonts w:ascii="Arial" w:hAnsi="Arial" w:cs="Arial"/>
          <w:i/>
          <w:iCs/>
          <w:sz w:val="20"/>
          <w:szCs w:val="20"/>
        </w:rPr>
      </w:pPr>
      <w:r w:rsidRPr="004C3B6F">
        <w:rPr>
          <w:rFonts w:ascii="Arial" w:hAnsi="Arial" w:cs="Arial"/>
          <w:i/>
          <w:iCs/>
          <w:sz w:val="20"/>
          <w:szCs w:val="20"/>
        </w:rPr>
        <w:t>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r>
        <w:rPr>
          <w:rFonts w:ascii="Arial" w:hAnsi="Arial" w:cs="Arial"/>
          <w:i/>
          <w:iCs/>
          <w:sz w:val="20"/>
          <w:szCs w:val="20"/>
        </w:rPr>
        <w:t>”</w:t>
      </w:r>
      <w:r w:rsidR="00820395">
        <w:rPr>
          <w:rStyle w:val="FootnoteReference"/>
          <w:rFonts w:ascii="Arial" w:hAnsi="Arial" w:cs="Arial"/>
          <w:i/>
          <w:iCs/>
          <w:sz w:val="20"/>
          <w:szCs w:val="20"/>
        </w:rPr>
        <w:footnoteReference w:id="17"/>
      </w:r>
    </w:p>
    <w:p w14:paraId="2F3404C1" w14:textId="77777777" w:rsidR="00A43070" w:rsidRPr="00A43070" w:rsidRDefault="00A43070" w:rsidP="00A43070">
      <w:pPr>
        <w:pStyle w:val="ListParagraph"/>
        <w:ind w:left="1134"/>
        <w:jc w:val="both"/>
        <w:rPr>
          <w:rFonts w:ascii="Arial" w:hAnsi="Arial" w:cs="Arial"/>
          <w:i/>
          <w:iCs/>
          <w:sz w:val="20"/>
          <w:szCs w:val="20"/>
        </w:rPr>
      </w:pPr>
    </w:p>
    <w:p w14:paraId="6227CE7E" w14:textId="231DEE7B" w:rsidR="001943CC" w:rsidRDefault="00820395" w:rsidP="00A43070">
      <w:pPr>
        <w:pStyle w:val="ListParagraph"/>
        <w:numPr>
          <w:ilvl w:val="0"/>
          <w:numId w:val="1"/>
        </w:numPr>
        <w:ind w:left="567" w:hanging="567"/>
        <w:jc w:val="both"/>
        <w:rPr>
          <w:rFonts w:ascii="Arial" w:hAnsi="Arial" w:cs="Arial"/>
          <w:sz w:val="20"/>
          <w:szCs w:val="20"/>
        </w:rPr>
      </w:pPr>
      <w:r w:rsidRPr="00DE2A0D">
        <w:rPr>
          <w:rFonts w:ascii="Arial" w:hAnsi="Arial" w:cs="Arial"/>
          <w:sz w:val="20"/>
          <w:szCs w:val="20"/>
        </w:rPr>
        <w:t>The proceedings falling under Article 1 of the EU IR are set out in Annex A</w:t>
      </w:r>
      <w:r w:rsidR="0091533C">
        <w:rPr>
          <w:rFonts w:ascii="Arial" w:hAnsi="Arial" w:cs="Arial"/>
          <w:sz w:val="20"/>
          <w:szCs w:val="20"/>
        </w:rPr>
        <w:t xml:space="preserve"> of the</w:t>
      </w:r>
      <w:r w:rsidRPr="00DE2A0D">
        <w:rPr>
          <w:rFonts w:ascii="Arial" w:hAnsi="Arial" w:cs="Arial"/>
          <w:sz w:val="20"/>
          <w:szCs w:val="20"/>
        </w:rPr>
        <w:t xml:space="preserve"> EU IR. </w:t>
      </w:r>
      <w:r w:rsidR="004C3B6F" w:rsidRPr="00DE2A0D">
        <w:rPr>
          <w:rFonts w:ascii="Arial" w:hAnsi="Arial" w:cs="Arial"/>
          <w:sz w:val="20"/>
          <w:szCs w:val="20"/>
        </w:rPr>
        <w:t xml:space="preserve">It is not clear </w:t>
      </w:r>
      <w:r w:rsidRPr="00DE2A0D">
        <w:rPr>
          <w:rFonts w:ascii="Arial" w:hAnsi="Arial" w:cs="Arial"/>
          <w:sz w:val="20"/>
          <w:szCs w:val="20"/>
        </w:rPr>
        <w:t>if</w:t>
      </w:r>
      <w:r w:rsidR="004C3B6F" w:rsidRPr="00DE2A0D">
        <w:rPr>
          <w:rFonts w:ascii="Arial" w:hAnsi="Arial" w:cs="Arial"/>
          <w:sz w:val="20"/>
          <w:szCs w:val="20"/>
        </w:rPr>
        <w:t xml:space="preserve"> the</w:t>
      </w:r>
      <w:r w:rsidRPr="00DE2A0D">
        <w:rPr>
          <w:rFonts w:ascii="Arial" w:hAnsi="Arial" w:cs="Arial"/>
          <w:sz w:val="20"/>
          <w:szCs w:val="20"/>
        </w:rPr>
        <w:t xml:space="preserve"> Romanian</w:t>
      </w:r>
      <w:r w:rsidR="004C3B6F" w:rsidRPr="00DE2A0D">
        <w:rPr>
          <w:rFonts w:ascii="Arial" w:hAnsi="Arial" w:cs="Arial"/>
          <w:sz w:val="20"/>
          <w:szCs w:val="20"/>
        </w:rPr>
        <w:t xml:space="preserve"> proceedings </w:t>
      </w:r>
      <w:r w:rsidRPr="00DE2A0D">
        <w:rPr>
          <w:rFonts w:ascii="Arial" w:hAnsi="Arial" w:cs="Arial"/>
          <w:sz w:val="20"/>
          <w:szCs w:val="20"/>
        </w:rPr>
        <w:t xml:space="preserve">are any of the proceedings so specified in Annex A. As the Romanian proceedings were commenced as part of litigation strategy underpinning the Drivers’ claims against F1 </w:t>
      </w:r>
      <w:r w:rsidR="004C3B6F" w:rsidRPr="00DE2A0D">
        <w:rPr>
          <w:rFonts w:ascii="Arial" w:hAnsi="Arial" w:cs="Arial"/>
          <w:sz w:val="20"/>
          <w:szCs w:val="20"/>
        </w:rPr>
        <w:t>Romania</w:t>
      </w:r>
      <w:r w:rsidRPr="00DE2A0D">
        <w:rPr>
          <w:rFonts w:ascii="Arial" w:hAnsi="Arial" w:cs="Arial"/>
          <w:sz w:val="20"/>
          <w:szCs w:val="20"/>
        </w:rPr>
        <w:t xml:space="preserve">, it may </w:t>
      </w:r>
      <w:r w:rsidR="009F676E">
        <w:rPr>
          <w:rFonts w:ascii="Arial" w:hAnsi="Arial" w:cs="Arial"/>
          <w:sz w:val="20"/>
          <w:szCs w:val="20"/>
        </w:rPr>
        <w:t xml:space="preserve">also </w:t>
      </w:r>
      <w:r w:rsidRPr="00DE2A0D">
        <w:rPr>
          <w:rFonts w:ascii="Arial" w:hAnsi="Arial" w:cs="Arial"/>
          <w:sz w:val="20"/>
          <w:szCs w:val="20"/>
        </w:rPr>
        <w:t xml:space="preserve">be argued that they are not </w:t>
      </w:r>
      <w:r w:rsidR="004C3B6F" w:rsidRPr="00DE2A0D">
        <w:rPr>
          <w:rFonts w:ascii="Arial" w:hAnsi="Arial" w:cs="Arial"/>
          <w:sz w:val="20"/>
          <w:szCs w:val="20"/>
        </w:rPr>
        <w:t>for the purpose of “</w:t>
      </w:r>
      <w:r w:rsidR="004C3B6F" w:rsidRPr="00DE2A0D">
        <w:rPr>
          <w:rFonts w:ascii="Arial" w:hAnsi="Arial" w:cs="Arial"/>
          <w:i/>
          <w:iCs/>
          <w:sz w:val="20"/>
          <w:szCs w:val="20"/>
        </w:rPr>
        <w:t xml:space="preserve">rescue, adjustment of debt, reorganisation or liquidation” </w:t>
      </w:r>
      <w:r w:rsidRPr="00DE2A0D">
        <w:rPr>
          <w:rFonts w:ascii="Arial" w:hAnsi="Arial" w:cs="Arial"/>
          <w:sz w:val="20"/>
          <w:szCs w:val="20"/>
        </w:rPr>
        <w:t xml:space="preserve">of F1 Romania. </w:t>
      </w:r>
      <w:r w:rsidR="009F676E">
        <w:rPr>
          <w:rFonts w:ascii="Arial" w:hAnsi="Arial" w:cs="Arial"/>
          <w:sz w:val="20"/>
          <w:szCs w:val="20"/>
        </w:rPr>
        <w:t>Indeed</w:t>
      </w:r>
      <w:r w:rsidR="00003CB1">
        <w:rPr>
          <w:rFonts w:ascii="Arial" w:hAnsi="Arial" w:cs="Arial"/>
          <w:sz w:val="20"/>
          <w:szCs w:val="20"/>
        </w:rPr>
        <w:t>,</w:t>
      </w:r>
      <w:r w:rsidR="009F676E">
        <w:rPr>
          <w:rFonts w:ascii="Arial" w:hAnsi="Arial" w:cs="Arial"/>
          <w:sz w:val="20"/>
          <w:szCs w:val="20"/>
        </w:rPr>
        <w:t xml:space="preserve"> t</w:t>
      </w:r>
      <w:r w:rsidR="00DE2A0D" w:rsidRPr="00DE2A0D">
        <w:rPr>
          <w:rFonts w:ascii="Arial" w:hAnsi="Arial" w:cs="Arial"/>
          <w:sz w:val="20"/>
          <w:szCs w:val="20"/>
        </w:rPr>
        <w:t xml:space="preserve">he Romanian proceedings appear to primarily motivated by the </w:t>
      </w:r>
      <w:r w:rsidR="009F676E">
        <w:rPr>
          <w:rFonts w:ascii="Arial" w:hAnsi="Arial" w:cs="Arial"/>
          <w:sz w:val="20"/>
          <w:szCs w:val="20"/>
        </w:rPr>
        <w:t xml:space="preserve">consequential effect of the </w:t>
      </w:r>
      <w:r w:rsidR="00DE2A0D" w:rsidRPr="00DE2A0D">
        <w:rPr>
          <w:rFonts w:ascii="Arial" w:hAnsi="Arial" w:cs="Arial"/>
          <w:sz w:val="20"/>
          <w:szCs w:val="20"/>
        </w:rPr>
        <w:t xml:space="preserve">freezing injunction against the assets and income of F1 Romania. </w:t>
      </w:r>
    </w:p>
    <w:p w14:paraId="3D3468CB" w14:textId="77777777" w:rsidR="00DE2A0D" w:rsidRDefault="00DE2A0D" w:rsidP="00A43070">
      <w:pPr>
        <w:pStyle w:val="ListParagraph"/>
        <w:ind w:left="567" w:hanging="567"/>
        <w:jc w:val="both"/>
        <w:rPr>
          <w:rFonts w:ascii="Arial" w:hAnsi="Arial" w:cs="Arial"/>
          <w:sz w:val="20"/>
          <w:szCs w:val="20"/>
        </w:rPr>
      </w:pPr>
    </w:p>
    <w:p w14:paraId="71665127" w14:textId="277D71F8" w:rsidR="00DC5BC2" w:rsidRDefault="00DE2A0D"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Assuming the Romanian proceedings do not fall within the EU IR, they will have no effect beyond Romania. </w:t>
      </w:r>
      <w:r w:rsidR="00DC5BC2">
        <w:rPr>
          <w:rFonts w:ascii="Arial" w:hAnsi="Arial" w:cs="Arial"/>
          <w:sz w:val="20"/>
          <w:szCs w:val="20"/>
        </w:rPr>
        <w:t>This may have the consequence that the insolvency practitioner appointed in respect of F1 Romania would have no power to obtain access to the inventory of F1 Romania (which includes the racing machines) and the competition licences assuming these assets are held outside of Romania.</w:t>
      </w:r>
    </w:p>
    <w:p w14:paraId="7D442659" w14:textId="77777777" w:rsidR="00DC5BC2" w:rsidRPr="00DC5BC2" w:rsidRDefault="00DC5BC2" w:rsidP="00A43070">
      <w:pPr>
        <w:pStyle w:val="ListParagraph"/>
        <w:ind w:left="567" w:hanging="567"/>
        <w:jc w:val="both"/>
        <w:rPr>
          <w:rFonts w:ascii="Arial" w:hAnsi="Arial" w:cs="Arial"/>
          <w:sz w:val="20"/>
          <w:szCs w:val="20"/>
        </w:rPr>
      </w:pPr>
    </w:p>
    <w:p w14:paraId="50BEB6F1" w14:textId="3E81DE55" w:rsidR="00DE2A0D" w:rsidRDefault="00DC5BC2"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 Assuming the Romanian proceedings do fall within the EU IR, there will be a question of whether these are main insolvency proceedings or secondary insolvency proceedings.</w:t>
      </w:r>
    </w:p>
    <w:p w14:paraId="7D404DD7" w14:textId="77777777" w:rsidR="00DC5BC2" w:rsidRPr="00DC5BC2" w:rsidRDefault="00DC5BC2" w:rsidP="00A43070">
      <w:pPr>
        <w:pStyle w:val="ListParagraph"/>
        <w:ind w:left="567" w:hanging="567"/>
        <w:jc w:val="both"/>
        <w:rPr>
          <w:rFonts w:ascii="Arial" w:hAnsi="Arial" w:cs="Arial"/>
          <w:sz w:val="20"/>
          <w:szCs w:val="20"/>
        </w:rPr>
      </w:pPr>
    </w:p>
    <w:p w14:paraId="56F12C60" w14:textId="7EAA9ECA" w:rsidR="00DC5BC2" w:rsidRDefault="00DC5BC2"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The registered office of F1 Romania is assumed to be in Romania. If that is so, then there will be a rebuttable presumption that the COMI of F1 Romania is Romania. This presumption may be displaced if it can be shown that “</w:t>
      </w:r>
      <w:r w:rsidRPr="00A26E2D">
        <w:rPr>
          <w:rFonts w:ascii="Arial" w:hAnsi="Arial" w:cs="Arial"/>
          <w:i/>
          <w:iCs/>
          <w:sz w:val="20"/>
          <w:szCs w:val="20"/>
        </w:rPr>
        <w:t>the company's central administration is located in a Member State other than that of its registered office, and where a comprehensive assessment of all the relevant factors establishes, in a manner that is ascertainable by third parties, that the company's actual centre of management and supervision and of the management of its interests is located in that other Member State.</w:t>
      </w:r>
      <w:r w:rsidRPr="00A26E2D">
        <w:rPr>
          <w:rFonts w:ascii="Arial" w:hAnsi="Arial" w:cs="Arial"/>
          <w:sz w:val="20"/>
          <w:szCs w:val="20"/>
        </w:rPr>
        <w:t>”</w:t>
      </w:r>
      <w:r>
        <w:rPr>
          <w:rStyle w:val="FootnoteReference"/>
          <w:rFonts w:ascii="Arial" w:hAnsi="Arial" w:cs="Arial"/>
          <w:sz w:val="20"/>
          <w:szCs w:val="20"/>
        </w:rPr>
        <w:footnoteReference w:id="18"/>
      </w:r>
      <w:r>
        <w:rPr>
          <w:rFonts w:ascii="Arial" w:hAnsi="Arial" w:cs="Arial"/>
          <w:sz w:val="20"/>
          <w:szCs w:val="20"/>
        </w:rPr>
        <w:t xml:space="preserve"> </w:t>
      </w:r>
    </w:p>
    <w:p w14:paraId="7EDECC56" w14:textId="77777777" w:rsidR="00DC5BC2" w:rsidRPr="00DC5BC2" w:rsidRDefault="00DC5BC2" w:rsidP="00A43070">
      <w:pPr>
        <w:pStyle w:val="ListParagraph"/>
        <w:ind w:left="567" w:hanging="567"/>
        <w:jc w:val="both"/>
        <w:rPr>
          <w:rFonts w:ascii="Arial" w:hAnsi="Arial" w:cs="Arial"/>
          <w:sz w:val="20"/>
          <w:szCs w:val="20"/>
        </w:rPr>
      </w:pPr>
    </w:p>
    <w:p w14:paraId="6EB50355" w14:textId="2BC2F520" w:rsidR="002F676B" w:rsidRPr="001943CC" w:rsidRDefault="00DC5BC2" w:rsidP="00A43070">
      <w:pPr>
        <w:pStyle w:val="ListParagraph"/>
        <w:numPr>
          <w:ilvl w:val="0"/>
          <w:numId w:val="1"/>
        </w:numPr>
        <w:ind w:left="567" w:hanging="567"/>
        <w:jc w:val="both"/>
        <w:rPr>
          <w:rFonts w:ascii="Arial" w:hAnsi="Arial" w:cs="Arial"/>
          <w:sz w:val="20"/>
          <w:szCs w:val="20"/>
        </w:rPr>
      </w:pPr>
      <w:r w:rsidRPr="002F676B">
        <w:rPr>
          <w:rFonts w:ascii="Arial" w:hAnsi="Arial" w:cs="Arial"/>
          <w:sz w:val="20"/>
          <w:szCs w:val="20"/>
        </w:rPr>
        <w:t xml:space="preserve">In this case, F1 Romania’s parent company is F1 Trading. </w:t>
      </w:r>
      <w:r w:rsidR="002F676B" w:rsidRPr="002F676B">
        <w:rPr>
          <w:rFonts w:ascii="Arial" w:hAnsi="Arial" w:cs="Arial"/>
          <w:sz w:val="20"/>
          <w:szCs w:val="20"/>
        </w:rPr>
        <w:t xml:space="preserve">In </w:t>
      </w:r>
      <w:r w:rsidR="002F676B" w:rsidRPr="002F676B">
        <w:rPr>
          <w:rFonts w:ascii="Arial" w:hAnsi="Arial" w:cs="Arial"/>
          <w:b/>
          <w:bCs/>
          <w:i/>
          <w:iCs/>
          <w:sz w:val="20"/>
          <w:szCs w:val="20"/>
        </w:rPr>
        <w:t>Eurofood IFSC Ltd</w:t>
      </w:r>
      <w:r w:rsidR="002F676B">
        <w:rPr>
          <w:rFonts w:ascii="Arial" w:hAnsi="Arial" w:cs="Arial"/>
          <w:sz w:val="20"/>
          <w:szCs w:val="20"/>
        </w:rPr>
        <w:t xml:space="preserve"> (“</w:t>
      </w:r>
      <w:r w:rsidR="002F676B" w:rsidRPr="002F676B">
        <w:rPr>
          <w:rFonts w:ascii="Arial" w:hAnsi="Arial" w:cs="Arial"/>
          <w:i/>
          <w:iCs/>
          <w:sz w:val="20"/>
          <w:szCs w:val="20"/>
        </w:rPr>
        <w:t>Eurofood</w:t>
      </w:r>
      <w:r w:rsidR="002F676B">
        <w:rPr>
          <w:rFonts w:ascii="Arial" w:hAnsi="Arial" w:cs="Arial"/>
          <w:sz w:val="20"/>
          <w:szCs w:val="20"/>
        </w:rPr>
        <w:t>”)</w:t>
      </w:r>
      <w:r w:rsidR="002F676B" w:rsidRPr="002F676B">
        <w:rPr>
          <w:rFonts w:ascii="Arial" w:hAnsi="Arial" w:cs="Arial"/>
          <w:sz w:val="20"/>
          <w:szCs w:val="20"/>
        </w:rPr>
        <w:t xml:space="preserve"> it was held by the ECJ that where a company carried on its business in the territory of </w:t>
      </w:r>
      <w:r w:rsidR="002F676B">
        <w:rPr>
          <w:rFonts w:ascii="Arial" w:hAnsi="Arial" w:cs="Arial"/>
          <w:sz w:val="20"/>
          <w:szCs w:val="20"/>
        </w:rPr>
        <w:t>a</w:t>
      </w:r>
      <w:r w:rsidR="002F676B" w:rsidRPr="002F676B">
        <w:rPr>
          <w:rFonts w:ascii="Arial" w:hAnsi="Arial" w:cs="Arial"/>
          <w:sz w:val="20"/>
          <w:szCs w:val="20"/>
        </w:rPr>
        <w:t xml:space="preserve"> </w:t>
      </w:r>
      <w:r w:rsidR="002F676B">
        <w:rPr>
          <w:rFonts w:ascii="Arial" w:hAnsi="Arial" w:cs="Arial"/>
          <w:sz w:val="20"/>
          <w:szCs w:val="20"/>
        </w:rPr>
        <w:t>M</w:t>
      </w:r>
      <w:r w:rsidR="002F676B" w:rsidRPr="002F676B">
        <w:rPr>
          <w:rFonts w:ascii="Arial" w:hAnsi="Arial" w:cs="Arial"/>
          <w:sz w:val="20"/>
          <w:szCs w:val="20"/>
        </w:rPr>
        <w:t xml:space="preserve">ember </w:t>
      </w:r>
      <w:r w:rsidR="002F676B">
        <w:rPr>
          <w:rFonts w:ascii="Arial" w:hAnsi="Arial" w:cs="Arial"/>
          <w:sz w:val="20"/>
          <w:szCs w:val="20"/>
        </w:rPr>
        <w:t>S</w:t>
      </w:r>
      <w:r w:rsidR="002F676B" w:rsidRPr="002F676B">
        <w:rPr>
          <w:rFonts w:ascii="Arial" w:hAnsi="Arial" w:cs="Arial"/>
          <w:sz w:val="20"/>
          <w:szCs w:val="20"/>
        </w:rPr>
        <w:t xml:space="preserve">tate where its registered office is situated, the mere fact that its economic choices were controlled by a parent company in another </w:t>
      </w:r>
      <w:r w:rsidR="002F676B">
        <w:rPr>
          <w:rFonts w:ascii="Arial" w:hAnsi="Arial" w:cs="Arial"/>
          <w:sz w:val="20"/>
          <w:szCs w:val="20"/>
        </w:rPr>
        <w:t>M</w:t>
      </w:r>
      <w:r w:rsidR="002F676B" w:rsidRPr="002F676B">
        <w:rPr>
          <w:rFonts w:ascii="Arial" w:hAnsi="Arial" w:cs="Arial"/>
          <w:sz w:val="20"/>
          <w:szCs w:val="20"/>
        </w:rPr>
        <w:t xml:space="preserve">ember </w:t>
      </w:r>
      <w:r w:rsidR="002F676B">
        <w:rPr>
          <w:rFonts w:ascii="Arial" w:hAnsi="Arial" w:cs="Arial"/>
          <w:sz w:val="20"/>
          <w:szCs w:val="20"/>
        </w:rPr>
        <w:t>S</w:t>
      </w:r>
      <w:r w:rsidR="002F676B" w:rsidRPr="002F676B">
        <w:rPr>
          <w:rFonts w:ascii="Arial" w:hAnsi="Arial" w:cs="Arial"/>
          <w:sz w:val="20"/>
          <w:szCs w:val="20"/>
        </w:rPr>
        <w:t>tate was not enough to rebut the presumption.</w:t>
      </w:r>
      <w:r w:rsidR="002F676B">
        <w:rPr>
          <w:rStyle w:val="FootnoteReference"/>
          <w:rFonts w:ascii="Arial" w:hAnsi="Arial" w:cs="Arial"/>
          <w:sz w:val="20"/>
          <w:szCs w:val="20"/>
        </w:rPr>
        <w:footnoteReference w:id="19"/>
      </w:r>
      <w:r w:rsidR="002F676B">
        <w:rPr>
          <w:rFonts w:ascii="Arial" w:hAnsi="Arial" w:cs="Arial"/>
          <w:sz w:val="20"/>
          <w:szCs w:val="20"/>
        </w:rPr>
        <w:t xml:space="preserve"> </w:t>
      </w:r>
      <w:r w:rsidR="002F676B" w:rsidRPr="001943CC">
        <w:rPr>
          <w:rFonts w:ascii="Arial" w:hAnsi="Arial" w:cs="Arial"/>
          <w:sz w:val="20"/>
          <w:szCs w:val="20"/>
        </w:rPr>
        <w:t xml:space="preserve">The principles of </w:t>
      </w:r>
      <w:r w:rsidR="002F676B" w:rsidRPr="002F676B">
        <w:rPr>
          <w:rFonts w:ascii="Arial" w:hAnsi="Arial" w:cs="Arial"/>
          <w:i/>
          <w:iCs/>
          <w:sz w:val="20"/>
          <w:szCs w:val="20"/>
        </w:rPr>
        <w:t>Eurofood</w:t>
      </w:r>
      <w:r w:rsidR="002F676B" w:rsidRPr="001943CC">
        <w:rPr>
          <w:rFonts w:ascii="Arial" w:hAnsi="Arial" w:cs="Arial"/>
          <w:sz w:val="20"/>
          <w:szCs w:val="20"/>
        </w:rPr>
        <w:t xml:space="preserve"> were upheld by the E</w:t>
      </w:r>
      <w:r w:rsidR="002F676B">
        <w:rPr>
          <w:rFonts w:ascii="Arial" w:hAnsi="Arial" w:cs="Arial"/>
          <w:sz w:val="20"/>
          <w:szCs w:val="20"/>
        </w:rPr>
        <w:t>CJ</w:t>
      </w:r>
      <w:r w:rsidR="002F676B" w:rsidRPr="001943CC">
        <w:rPr>
          <w:rFonts w:ascii="Arial" w:hAnsi="Arial" w:cs="Arial"/>
          <w:sz w:val="20"/>
          <w:szCs w:val="20"/>
        </w:rPr>
        <w:t xml:space="preserve"> in </w:t>
      </w:r>
      <w:r w:rsidR="002F676B" w:rsidRPr="002F676B">
        <w:rPr>
          <w:rFonts w:ascii="Arial" w:hAnsi="Arial" w:cs="Arial"/>
          <w:b/>
          <w:bCs/>
          <w:i/>
          <w:iCs/>
          <w:sz w:val="20"/>
          <w:szCs w:val="20"/>
        </w:rPr>
        <w:t>Interedil Srl (in liquidation) v Fallimento Interedil Srl</w:t>
      </w:r>
      <w:r w:rsidR="009E698A">
        <w:rPr>
          <w:rFonts w:ascii="Arial" w:hAnsi="Arial" w:cs="Arial"/>
          <w:b/>
          <w:bCs/>
          <w:i/>
          <w:iCs/>
          <w:sz w:val="20"/>
          <w:szCs w:val="20"/>
        </w:rPr>
        <w:t>.</w:t>
      </w:r>
      <w:r w:rsidR="002F676B">
        <w:rPr>
          <w:rStyle w:val="FootnoteReference"/>
          <w:rFonts w:ascii="Arial" w:hAnsi="Arial" w:cs="Arial"/>
          <w:i/>
          <w:iCs/>
          <w:sz w:val="20"/>
          <w:szCs w:val="20"/>
        </w:rPr>
        <w:footnoteReference w:id="20"/>
      </w:r>
    </w:p>
    <w:p w14:paraId="31CF7596" w14:textId="314DC82C" w:rsidR="00DC5BC2" w:rsidRPr="002F676B" w:rsidRDefault="00DC5BC2" w:rsidP="00A43070">
      <w:pPr>
        <w:pStyle w:val="ListParagraph"/>
        <w:ind w:left="567" w:hanging="567"/>
        <w:jc w:val="both"/>
        <w:rPr>
          <w:rFonts w:ascii="Arial" w:hAnsi="Arial" w:cs="Arial"/>
          <w:sz w:val="20"/>
          <w:szCs w:val="20"/>
        </w:rPr>
      </w:pPr>
    </w:p>
    <w:p w14:paraId="5459F1BF" w14:textId="77777777" w:rsidR="002F676B" w:rsidRDefault="002F676B"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Thus unless it can be said that there are additional factors, ascertainable by third parties, which shows that F1 Romania’s actual centre of management and supervision and the management of its interests is in the Netherlands, the COMI of F1 Romania will be deemed to be Romania and the Romanian proceedings (assuming they fall within the EU IR) will be the main insolvency proceedings for that company. This will allow an insolvency practitioner appointed in the Romanian proceedings to exert his/her powers in other parts of the EU (except Denmark) in respect of the assets of F1 Romania. </w:t>
      </w:r>
    </w:p>
    <w:p w14:paraId="199C0BB3" w14:textId="77777777" w:rsidR="002F676B" w:rsidRPr="002F676B" w:rsidRDefault="002F676B" w:rsidP="00A43070">
      <w:pPr>
        <w:pStyle w:val="ListParagraph"/>
        <w:ind w:left="567" w:hanging="567"/>
        <w:jc w:val="both"/>
        <w:rPr>
          <w:rFonts w:ascii="Arial" w:hAnsi="Arial" w:cs="Arial"/>
          <w:sz w:val="20"/>
          <w:szCs w:val="20"/>
        </w:rPr>
      </w:pPr>
    </w:p>
    <w:p w14:paraId="147E4EC0" w14:textId="7B9424A6" w:rsidR="009E698A" w:rsidRDefault="002F676B"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only </w:t>
      </w:r>
      <w:r w:rsidR="009E698A">
        <w:rPr>
          <w:rFonts w:ascii="Arial" w:hAnsi="Arial" w:cs="Arial"/>
          <w:sz w:val="20"/>
          <w:szCs w:val="20"/>
        </w:rPr>
        <w:t xml:space="preserve">apparent </w:t>
      </w:r>
      <w:r>
        <w:rPr>
          <w:rFonts w:ascii="Arial" w:hAnsi="Arial" w:cs="Arial"/>
          <w:sz w:val="20"/>
          <w:szCs w:val="20"/>
        </w:rPr>
        <w:t>factor</w:t>
      </w:r>
      <w:r w:rsidR="009E698A">
        <w:rPr>
          <w:rFonts w:ascii="Arial" w:hAnsi="Arial" w:cs="Arial"/>
          <w:sz w:val="20"/>
          <w:szCs w:val="20"/>
        </w:rPr>
        <w:t>s</w:t>
      </w:r>
      <w:r>
        <w:rPr>
          <w:rFonts w:ascii="Arial" w:hAnsi="Arial" w:cs="Arial"/>
          <w:sz w:val="20"/>
          <w:szCs w:val="20"/>
        </w:rPr>
        <w:t xml:space="preserve"> which </w:t>
      </w:r>
      <w:r w:rsidR="009E698A">
        <w:rPr>
          <w:rFonts w:ascii="Arial" w:hAnsi="Arial" w:cs="Arial"/>
          <w:sz w:val="20"/>
          <w:szCs w:val="20"/>
        </w:rPr>
        <w:t>may pave the way for an argument that F1 Romania’s COMI is the Netherlands are</w:t>
      </w:r>
      <w:r w:rsidR="00E54476">
        <w:rPr>
          <w:rFonts w:ascii="Arial" w:hAnsi="Arial" w:cs="Arial"/>
          <w:sz w:val="20"/>
          <w:szCs w:val="20"/>
        </w:rPr>
        <w:t>:</w:t>
      </w:r>
    </w:p>
    <w:p w14:paraId="4C9FD72B" w14:textId="77777777" w:rsidR="009E698A" w:rsidRPr="009E698A" w:rsidRDefault="009E698A" w:rsidP="00A43070">
      <w:pPr>
        <w:pStyle w:val="ListParagraph"/>
        <w:ind w:left="1134" w:hanging="567"/>
        <w:jc w:val="both"/>
        <w:rPr>
          <w:rFonts w:ascii="Arial" w:hAnsi="Arial" w:cs="Arial"/>
          <w:sz w:val="20"/>
          <w:szCs w:val="20"/>
        </w:rPr>
      </w:pPr>
    </w:p>
    <w:p w14:paraId="74FA7DB5" w14:textId="77777777" w:rsidR="009E698A" w:rsidRDefault="009E698A"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F1 Trading lent F1 Romania USD 150 million for the 2015 season;</w:t>
      </w:r>
    </w:p>
    <w:p w14:paraId="3936FF8A" w14:textId="77777777" w:rsidR="009E698A" w:rsidRDefault="009E698A"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 xml:space="preserve">F1 Trading lent F1 Romania sums of USD 100 million each for respectively the 2016 and 2017 seasons </w:t>
      </w:r>
    </w:p>
    <w:p w14:paraId="5A7250FC" w14:textId="70A12DF4" w:rsidR="006436F1" w:rsidRDefault="009E698A"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 xml:space="preserve">F1 Trading borrowed </w:t>
      </w:r>
      <w:r w:rsidR="008F03BE">
        <w:rPr>
          <w:rFonts w:ascii="Arial" w:hAnsi="Arial" w:cs="Arial"/>
          <w:sz w:val="20"/>
          <w:szCs w:val="20"/>
        </w:rPr>
        <w:t xml:space="preserve">the Monaco Loan for </w:t>
      </w:r>
      <w:r>
        <w:rPr>
          <w:rFonts w:ascii="Arial" w:hAnsi="Arial" w:cs="Arial"/>
          <w:sz w:val="20"/>
          <w:szCs w:val="20"/>
        </w:rPr>
        <w:t>funding for the 2018 season.</w:t>
      </w:r>
      <w:r w:rsidR="002F676B">
        <w:rPr>
          <w:rFonts w:ascii="Arial" w:hAnsi="Arial" w:cs="Arial"/>
          <w:sz w:val="20"/>
          <w:szCs w:val="20"/>
        </w:rPr>
        <w:t xml:space="preserve">  </w:t>
      </w:r>
    </w:p>
    <w:p w14:paraId="39BBBE46" w14:textId="77777777" w:rsidR="00B3548C" w:rsidRDefault="00B3548C" w:rsidP="00A43070">
      <w:pPr>
        <w:pStyle w:val="ListParagraph"/>
        <w:ind w:left="709"/>
        <w:jc w:val="both"/>
        <w:rPr>
          <w:rFonts w:ascii="Arial" w:hAnsi="Arial" w:cs="Arial"/>
          <w:sz w:val="20"/>
          <w:szCs w:val="20"/>
        </w:rPr>
      </w:pPr>
    </w:p>
    <w:p w14:paraId="29BDD253" w14:textId="0F62276F" w:rsidR="00B3548C" w:rsidRDefault="00B3548C"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It is unclear if these factors will be sufficient to argue that F1 Romania’s COMI is in the Netherlands. Even if they were and the main insolvency proceedings of F1 Romania are opened in the Netherlands, the Romanian proceedings will remain as secondary proceedings. The main insolvency proceedings opened in the Netherlands will have no effect in Romania so long as these secondary proceedings are extant.</w:t>
      </w:r>
      <w:r>
        <w:rPr>
          <w:rStyle w:val="FootnoteReference"/>
          <w:rFonts w:ascii="Arial" w:hAnsi="Arial" w:cs="Arial"/>
          <w:sz w:val="20"/>
          <w:szCs w:val="20"/>
        </w:rPr>
        <w:footnoteReference w:id="21"/>
      </w:r>
      <w:r>
        <w:rPr>
          <w:rFonts w:ascii="Arial" w:hAnsi="Arial" w:cs="Arial"/>
          <w:sz w:val="20"/>
          <w:szCs w:val="20"/>
        </w:rPr>
        <w:t xml:space="preserve"> The powers of an insolvency practitioner appointed in the Romanian proceedings </w:t>
      </w:r>
      <w:r w:rsidR="00CD0ABF">
        <w:rPr>
          <w:rFonts w:ascii="Arial" w:hAnsi="Arial" w:cs="Arial"/>
          <w:sz w:val="20"/>
          <w:szCs w:val="20"/>
        </w:rPr>
        <w:t>will however be</w:t>
      </w:r>
      <w:r>
        <w:rPr>
          <w:rFonts w:ascii="Arial" w:hAnsi="Arial" w:cs="Arial"/>
          <w:sz w:val="20"/>
          <w:szCs w:val="20"/>
        </w:rPr>
        <w:t xml:space="preserve"> limited to assets in Romania</w:t>
      </w:r>
      <w:r w:rsidR="00CF2A64">
        <w:rPr>
          <w:rFonts w:ascii="Arial" w:hAnsi="Arial" w:cs="Arial"/>
          <w:sz w:val="20"/>
          <w:szCs w:val="20"/>
        </w:rPr>
        <w:t>.</w:t>
      </w:r>
    </w:p>
    <w:p w14:paraId="08DB48F5" w14:textId="77777777" w:rsidR="00B3548C" w:rsidRDefault="00B3548C" w:rsidP="00A43070">
      <w:pPr>
        <w:pStyle w:val="ListParagraph"/>
        <w:ind w:left="567" w:hanging="567"/>
        <w:jc w:val="both"/>
        <w:rPr>
          <w:rFonts w:ascii="Arial" w:hAnsi="Arial" w:cs="Arial"/>
          <w:sz w:val="20"/>
          <w:szCs w:val="20"/>
        </w:rPr>
      </w:pPr>
    </w:p>
    <w:p w14:paraId="3913B26F" w14:textId="438F95A1" w:rsidR="00B3548C" w:rsidRDefault="00B3548C" w:rsidP="00A43070">
      <w:pPr>
        <w:pStyle w:val="ListParagraph"/>
        <w:numPr>
          <w:ilvl w:val="0"/>
          <w:numId w:val="1"/>
        </w:numPr>
        <w:ind w:left="567" w:hanging="567"/>
        <w:jc w:val="both"/>
        <w:rPr>
          <w:rFonts w:ascii="Arial" w:hAnsi="Arial" w:cs="Arial"/>
          <w:sz w:val="20"/>
          <w:szCs w:val="20"/>
        </w:rPr>
      </w:pPr>
      <w:r w:rsidRPr="004B0F4D">
        <w:rPr>
          <w:rFonts w:ascii="Arial" w:hAnsi="Arial" w:cs="Arial"/>
          <w:sz w:val="20"/>
          <w:szCs w:val="20"/>
        </w:rPr>
        <w:t>Thus</w:t>
      </w:r>
      <w:r w:rsidR="00CD0ABF">
        <w:rPr>
          <w:rFonts w:ascii="Arial" w:hAnsi="Arial" w:cs="Arial"/>
          <w:sz w:val="20"/>
          <w:szCs w:val="20"/>
        </w:rPr>
        <w:t>,</w:t>
      </w:r>
      <w:r w:rsidRPr="004B0F4D">
        <w:rPr>
          <w:rFonts w:ascii="Arial" w:hAnsi="Arial" w:cs="Arial"/>
          <w:sz w:val="20"/>
          <w:szCs w:val="20"/>
        </w:rPr>
        <w:t xml:space="preserve"> unless it can be said that there are additional factors, ascertainable by third parties, which shows that F1 Romania’s actual centre of management and supervision and the management of its interests is in the Netherlands, the COMI of F1 Romania will be deemed to be Romania and the Romanian proceedings (assuming they fall within the EU IR) will be the main insolvency proceedings for that company. This will allow an insolvency practitioner appointed in the </w:t>
      </w:r>
      <w:r w:rsidRPr="004B0F4D">
        <w:rPr>
          <w:rFonts w:ascii="Arial" w:hAnsi="Arial" w:cs="Arial"/>
          <w:sz w:val="20"/>
          <w:szCs w:val="20"/>
        </w:rPr>
        <w:lastRenderedPageBreak/>
        <w:t xml:space="preserve">Romanian proceedings to exert his/her powers in other parts of the EU (except Denmark) in respect of the assets of F1 Romania although in any other Member State, he/she will be able to claim through the courts or out of court moveable property was removed from </w:t>
      </w:r>
      <w:r w:rsidR="004B0F4D" w:rsidRPr="004B0F4D">
        <w:rPr>
          <w:rFonts w:ascii="Arial" w:hAnsi="Arial" w:cs="Arial"/>
          <w:sz w:val="20"/>
          <w:szCs w:val="20"/>
        </w:rPr>
        <w:t>Romania</w:t>
      </w:r>
      <w:r w:rsidRPr="004B0F4D">
        <w:rPr>
          <w:rFonts w:ascii="Arial" w:hAnsi="Arial" w:cs="Arial"/>
          <w:sz w:val="20"/>
          <w:szCs w:val="20"/>
        </w:rPr>
        <w:t xml:space="preserve"> to th</w:t>
      </w:r>
      <w:r w:rsidR="004B0F4D" w:rsidRPr="004B0F4D">
        <w:rPr>
          <w:rFonts w:ascii="Arial" w:hAnsi="Arial" w:cs="Arial"/>
          <w:sz w:val="20"/>
          <w:szCs w:val="20"/>
        </w:rPr>
        <w:t>at</w:t>
      </w:r>
      <w:r w:rsidRPr="004B0F4D">
        <w:rPr>
          <w:rFonts w:ascii="Arial" w:hAnsi="Arial" w:cs="Arial"/>
          <w:sz w:val="20"/>
          <w:szCs w:val="20"/>
        </w:rPr>
        <w:t xml:space="preserve"> other Member State after the opening of the </w:t>
      </w:r>
      <w:r w:rsidR="004B0F4D" w:rsidRPr="004B0F4D">
        <w:rPr>
          <w:rFonts w:ascii="Arial" w:hAnsi="Arial" w:cs="Arial"/>
          <w:sz w:val="20"/>
          <w:szCs w:val="20"/>
        </w:rPr>
        <w:t xml:space="preserve">Romanian </w:t>
      </w:r>
      <w:r w:rsidRPr="004B0F4D">
        <w:rPr>
          <w:rFonts w:ascii="Arial" w:hAnsi="Arial" w:cs="Arial"/>
          <w:sz w:val="20"/>
          <w:szCs w:val="20"/>
        </w:rPr>
        <w:t>proceeding</w:t>
      </w:r>
      <w:r w:rsidR="004B0F4D" w:rsidRPr="004B0F4D">
        <w:rPr>
          <w:rFonts w:ascii="Arial" w:hAnsi="Arial" w:cs="Arial"/>
          <w:sz w:val="20"/>
          <w:szCs w:val="20"/>
        </w:rPr>
        <w:t>s</w:t>
      </w:r>
      <w:r w:rsidRPr="004B0F4D">
        <w:rPr>
          <w:rFonts w:ascii="Arial" w:hAnsi="Arial" w:cs="Arial"/>
          <w:sz w:val="20"/>
          <w:szCs w:val="20"/>
        </w:rPr>
        <w:t>.</w:t>
      </w:r>
      <w:r w:rsidR="004B0F4D" w:rsidRPr="004B0F4D">
        <w:rPr>
          <w:rStyle w:val="FootnoteReference"/>
          <w:rFonts w:ascii="Arial" w:hAnsi="Arial" w:cs="Arial"/>
          <w:sz w:val="20"/>
          <w:szCs w:val="20"/>
        </w:rPr>
        <w:footnoteReference w:id="22"/>
      </w:r>
    </w:p>
    <w:p w14:paraId="51FE46CA" w14:textId="77777777" w:rsidR="004B0F4D" w:rsidRPr="004B0F4D" w:rsidRDefault="004B0F4D" w:rsidP="00A43070">
      <w:pPr>
        <w:pStyle w:val="ListParagraph"/>
        <w:ind w:left="567" w:hanging="567"/>
        <w:jc w:val="both"/>
        <w:rPr>
          <w:rFonts w:ascii="Arial" w:hAnsi="Arial" w:cs="Arial"/>
          <w:sz w:val="20"/>
          <w:szCs w:val="20"/>
        </w:rPr>
      </w:pPr>
    </w:p>
    <w:p w14:paraId="5A233234" w14:textId="2359E208" w:rsidR="004B0F4D" w:rsidRPr="004B0F4D" w:rsidRDefault="004B0F4D"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If both the insolvency proceedings in respect of F1 Trading and those in respect of F1 Romania fall under the EU IR, there will be scope for some coordination </w:t>
      </w:r>
      <w:r w:rsidR="00F2707E">
        <w:rPr>
          <w:rFonts w:ascii="Arial" w:hAnsi="Arial" w:cs="Arial"/>
          <w:sz w:val="20"/>
          <w:szCs w:val="20"/>
        </w:rPr>
        <w:t>between</w:t>
      </w:r>
      <w:r>
        <w:rPr>
          <w:rFonts w:ascii="Arial" w:hAnsi="Arial" w:cs="Arial"/>
          <w:sz w:val="20"/>
          <w:szCs w:val="20"/>
        </w:rPr>
        <w:t xml:space="preserve"> both sets of proceedings under Chapter V EU IR</w:t>
      </w:r>
      <w:r w:rsidRPr="004B0F4D">
        <w:rPr>
          <w:rFonts w:ascii="Arial" w:hAnsi="Arial" w:cs="Arial"/>
          <w:sz w:val="20"/>
          <w:szCs w:val="20"/>
        </w:rPr>
        <w:t>. A</w:t>
      </w:r>
      <w:r>
        <w:rPr>
          <w:rFonts w:ascii="Arial" w:hAnsi="Arial" w:cs="Arial"/>
          <w:sz w:val="20"/>
          <w:szCs w:val="20"/>
        </w:rPr>
        <w:t>mongst other things, an</w:t>
      </w:r>
      <w:r w:rsidRPr="004B0F4D">
        <w:rPr>
          <w:rFonts w:ascii="Arial" w:hAnsi="Arial" w:cs="Arial"/>
          <w:sz w:val="20"/>
          <w:szCs w:val="20"/>
        </w:rPr>
        <w:t xml:space="preserve"> insolvency practitioner appointed in insolvency proceedings opened in respect of a member of a group of companies may, to the extent appropriate to facilitate the effective administration of the proceedings: </w:t>
      </w:r>
    </w:p>
    <w:p w14:paraId="1349DD0B" w14:textId="77777777" w:rsidR="004B0F4D" w:rsidRPr="004B0F4D" w:rsidRDefault="004B0F4D" w:rsidP="00A43070">
      <w:pPr>
        <w:pStyle w:val="ListParagraph"/>
        <w:jc w:val="both"/>
        <w:rPr>
          <w:rFonts w:ascii="Arial" w:hAnsi="Arial" w:cs="Arial"/>
          <w:sz w:val="20"/>
          <w:szCs w:val="20"/>
        </w:rPr>
      </w:pPr>
    </w:p>
    <w:p w14:paraId="5925A478" w14:textId="77777777" w:rsidR="004B0F4D" w:rsidRPr="004B0F4D" w:rsidRDefault="004B0F4D" w:rsidP="00A43070">
      <w:pPr>
        <w:pStyle w:val="ListParagraph"/>
        <w:numPr>
          <w:ilvl w:val="1"/>
          <w:numId w:val="1"/>
        </w:numPr>
        <w:ind w:left="1134" w:hanging="567"/>
        <w:jc w:val="both"/>
        <w:rPr>
          <w:rFonts w:ascii="Arial" w:hAnsi="Arial" w:cs="Arial"/>
          <w:sz w:val="20"/>
          <w:szCs w:val="20"/>
        </w:rPr>
      </w:pPr>
      <w:r w:rsidRPr="004B0F4D">
        <w:rPr>
          <w:rFonts w:ascii="Arial" w:hAnsi="Arial" w:cs="Arial"/>
          <w:sz w:val="20"/>
          <w:szCs w:val="20"/>
        </w:rPr>
        <w:t xml:space="preserve">be heard in any of the proceedings opened in respect of any other member of the same group; and </w:t>
      </w:r>
    </w:p>
    <w:p w14:paraId="4AE5227A" w14:textId="2C8D6AD9" w:rsidR="004B0F4D" w:rsidRDefault="004B0F4D" w:rsidP="00A43070">
      <w:pPr>
        <w:pStyle w:val="ListParagraph"/>
        <w:numPr>
          <w:ilvl w:val="1"/>
          <w:numId w:val="1"/>
        </w:numPr>
        <w:ind w:left="1134" w:hanging="567"/>
        <w:jc w:val="both"/>
        <w:rPr>
          <w:rFonts w:ascii="Arial" w:hAnsi="Arial" w:cs="Arial"/>
          <w:sz w:val="20"/>
          <w:szCs w:val="20"/>
        </w:rPr>
      </w:pPr>
      <w:r w:rsidRPr="004B0F4D">
        <w:rPr>
          <w:rFonts w:ascii="Arial" w:hAnsi="Arial" w:cs="Arial"/>
          <w:sz w:val="20"/>
          <w:szCs w:val="20"/>
        </w:rPr>
        <w:t>request a stay of any measure related to the realisation of the assets in the proceedings opened with respect to any other member of the same group,</w:t>
      </w:r>
      <w:r>
        <w:rPr>
          <w:rFonts w:ascii="Arial" w:hAnsi="Arial" w:cs="Arial"/>
          <w:sz w:val="20"/>
          <w:szCs w:val="20"/>
        </w:rPr>
        <w:t xml:space="preserve"> </w:t>
      </w:r>
      <w:r w:rsidRPr="00CD0ABF">
        <w:rPr>
          <w:rFonts w:ascii="Arial" w:hAnsi="Arial" w:cs="Arial"/>
          <w:i/>
          <w:iCs/>
          <w:sz w:val="20"/>
          <w:szCs w:val="20"/>
        </w:rPr>
        <w:t>provided</w:t>
      </w:r>
      <w:r>
        <w:rPr>
          <w:rFonts w:ascii="Arial" w:hAnsi="Arial" w:cs="Arial"/>
          <w:sz w:val="20"/>
          <w:szCs w:val="20"/>
        </w:rPr>
        <w:t xml:space="preserve"> there is a viable restructuring plan proposed for all or some members of the same group for which insolvency proceedings have been opened which operates to the benefit of the creditors.</w:t>
      </w:r>
      <w:r>
        <w:rPr>
          <w:rStyle w:val="FootnoteReference"/>
          <w:rFonts w:ascii="Arial" w:hAnsi="Arial" w:cs="Arial"/>
          <w:sz w:val="20"/>
          <w:szCs w:val="20"/>
        </w:rPr>
        <w:footnoteReference w:id="23"/>
      </w:r>
    </w:p>
    <w:p w14:paraId="026D3DD4" w14:textId="77777777" w:rsidR="0076784B" w:rsidRDefault="0076784B" w:rsidP="00A43070">
      <w:pPr>
        <w:pStyle w:val="ListParagraph"/>
        <w:ind w:left="709"/>
        <w:jc w:val="both"/>
        <w:rPr>
          <w:rFonts w:ascii="Arial" w:hAnsi="Arial" w:cs="Arial"/>
          <w:sz w:val="20"/>
          <w:szCs w:val="20"/>
        </w:rPr>
      </w:pPr>
    </w:p>
    <w:p w14:paraId="75B3B86A" w14:textId="7B316B30" w:rsidR="004B0F4D" w:rsidRDefault="004B0F4D" w:rsidP="00A43070">
      <w:pPr>
        <w:pStyle w:val="ListParagraph"/>
        <w:numPr>
          <w:ilvl w:val="0"/>
          <w:numId w:val="1"/>
        </w:numPr>
        <w:ind w:left="567" w:hanging="567"/>
        <w:jc w:val="both"/>
        <w:rPr>
          <w:rFonts w:ascii="Arial" w:hAnsi="Arial" w:cs="Arial"/>
          <w:sz w:val="20"/>
          <w:szCs w:val="20"/>
        </w:rPr>
      </w:pPr>
      <w:r w:rsidRPr="00F2707E">
        <w:rPr>
          <w:rFonts w:ascii="Arial" w:hAnsi="Arial" w:cs="Arial"/>
          <w:sz w:val="20"/>
          <w:szCs w:val="20"/>
        </w:rPr>
        <w:t>The insolvency practitioner can also apply for group coordination proceedings</w:t>
      </w:r>
      <w:r>
        <w:rPr>
          <w:rStyle w:val="FootnoteReference"/>
          <w:rFonts w:ascii="Arial" w:hAnsi="Arial" w:cs="Arial"/>
          <w:sz w:val="20"/>
          <w:szCs w:val="20"/>
        </w:rPr>
        <w:footnoteReference w:id="24"/>
      </w:r>
      <w:r w:rsidRPr="00F2707E">
        <w:rPr>
          <w:rFonts w:ascii="Arial" w:hAnsi="Arial" w:cs="Arial"/>
          <w:sz w:val="20"/>
          <w:szCs w:val="20"/>
        </w:rPr>
        <w:t xml:space="preserve"> with a group coordinator appointed to coordinate between the two sets of insolvency proceedings.</w:t>
      </w:r>
      <w:r w:rsidR="00F2707E">
        <w:rPr>
          <w:rStyle w:val="FootnoteReference"/>
          <w:rFonts w:ascii="Arial" w:hAnsi="Arial" w:cs="Arial"/>
          <w:sz w:val="20"/>
          <w:szCs w:val="20"/>
        </w:rPr>
        <w:footnoteReference w:id="25"/>
      </w:r>
      <w:r w:rsidRPr="00F2707E">
        <w:rPr>
          <w:rFonts w:ascii="Arial" w:hAnsi="Arial" w:cs="Arial"/>
          <w:sz w:val="20"/>
          <w:szCs w:val="20"/>
        </w:rPr>
        <w:t xml:space="preserve"> </w:t>
      </w:r>
    </w:p>
    <w:p w14:paraId="3C2413DD" w14:textId="77777777" w:rsidR="00F2707E" w:rsidRDefault="00F2707E" w:rsidP="00A43070">
      <w:pPr>
        <w:pStyle w:val="ListParagraph"/>
        <w:ind w:left="567" w:hanging="567"/>
        <w:jc w:val="both"/>
        <w:rPr>
          <w:rFonts w:ascii="Arial" w:hAnsi="Arial" w:cs="Arial"/>
          <w:sz w:val="20"/>
          <w:szCs w:val="20"/>
        </w:rPr>
      </w:pPr>
    </w:p>
    <w:p w14:paraId="1C9F22B6" w14:textId="77777777" w:rsidR="00CD0ABF" w:rsidRDefault="00F2707E"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possibility of such coordination and cooperation between the two sets of proceedings would reduce the </w:t>
      </w:r>
      <w:r w:rsidR="00CD0ABF">
        <w:rPr>
          <w:rFonts w:ascii="Arial" w:hAnsi="Arial" w:cs="Arial"/>
          <w:sz w:val="20"/>
          <w:szCs w:val="20"/>
        </w:rPr>
        <w:t>chances</w:t>
      </w:r>
      <w:r>
        <w:rPr>
          <w:rFonts w:ascii="Arial" w:hAnsi="Arial" w:cs="Arial"/>
          <w:sz w:val="20"/>
          <w:szCs w:val="20"/>
        </w:rPr>
        <w:t xml:space="preserve"> of the assets of F1 Romania (assuming they are in the control of the insolvency practitioner appointed in the Romanian proceedings</w:t>
      </w:r>
      <w:r w:rsidR="00CD0ABF">
        <w:rPr>
          <w:rFonts w:ascii="Arial" w:hAnsi="Arial" w:cs="Arial"/>
          <w:sz w:val="20"/>
          <w:szCs w:val="20"/>
        </w:rPr>
        <w:t>)</w:t>
      </w:r>
      <w:r>
        <w:rPr>
          <w:rFonts w:ascii="Arial" w:hAnsi="Arial" w:cs="Arial"/>
          <w:sz w:val="20"/>
          <w:szCs w:val="20"/>
        </w:rPr>
        <w:t xml:space="preserve"> being used exclusively to satisfy the creditors of F1 Romania </w:t>
      </w:r>
      <w:r w:rsidR="00CD0ABF">
        <w:rPr>
          <w:rFonts w:ascii="Arial" w:hAnsi="Arial" w:cs="Arial"/>
          <w:sz w:val="20"/>
          <w:szCs w:val="20"/>
        </w:rPr>
        <w:t>(</w:t>
      </w:r>
      <w:r>
        <w:rPr>
          <w:rFonts w:ascii="Arial" w:hAnsi="Arial" w:cs="Arial"/>
          <w:sz w:val="20"/>
          <w:szCs w:val="20"/>
        </w:rPr>
        <w:t>which will include the Drivers</w:t>
      </w:r>
      <w:r w:rsidR="00CD0ABF">
        <w:rPr>
          <w:rFonts w:ascii="Arial" w:hAnsi="Arial" w:cs="Arial"/>
          <w:sz w:val="20"/>
          <w:szCs w:val="20"/>
        </w:rPr>
        <w:t>)</w:t>
      </w:r>
      <w:r>
        <w:rPr>
          <w:rFonts w:ascii="Arial" w:hAnsi="Arial" w:cs="Arial"/>
          <w:sz w:val="20"/>
          <w:szCs w:val="20"/>
        </w:rPr>
        <w:t xml:space="preserve">. Under Article 56(1) EU IR, </w:t>
      </w:r>
      <w:r w:rsidRPr="00F2707E">
        <w:rPr>
          <w:rFonts w:ascii="Arial" w:hAnsi="Arial" w:cs="Arial"/>
          <w:sz w:val="20"/>
          <w:szCs w:val="20"/>
        </w:rPr>
        <w:t xml:space="preserve">an insolvency practitioner appointed in proceedings concerning a member of the group shall cooperate with any insolvency practitioner appointed in proceedings concerning another member of the same group to the extent that such cooperation </w:t>
      </w:r>
    </w:p>
    <w:p w14:paraId="200355D8" w14:textId="77777777" w:rsidR="00CD0ABF" w:rsidRPr="00CD0ABF" w:rsidRDefault="00CD0ABF" w:rsidP="00CD0ABF">
      <w:pPr>
        <w:pStyle w:val="ListParagraph"/>
        <w:rPr>
          <w:rFonts w:ascii="Arial" w:hAnsi="Arial" w:cs="Arial"/>
          <w:sz w:val="20"/>
          <w:szCs w:val="20"/>
        </w:rPr>
      </w:pPr>
    </w:p>
    <w:p w14:paraId="5A604DA0" w14:textId="77777777" w:rsidR="00CD0ABF" w:rsidRDefault="00F2707E" w:rsidP="00CD0ABF">
      <w:pPr>
        <w:pStyle w:val="ListParagraph"/>
        <w:numPr>
          <w:ilvl w:val="1"/>
          <w:numId w:val="1"/>
        </w:numPr>
        <w:ind w:left="1134" w:hanging="567"/>
        <w:jc w:val="both"/>
        <w:rPr>
          <w:rFonts w:ascii="Arial" w:hAnsi="Arial" w:cs="Arial"/>
          <w:sz w:val="20"/>
          <w:szCs w:val="20"/>
        </w:rPr>
      </w:pPr>
      <w:r w:rsidRPr="00F2707E">
        <w:rPr>
          <w:rFonts w:ascii="Arial" w:hAnsi="Arial" w:cs="Arial"/>
          <w:sz w:val="20"/>
          <w:szCs w:val="20"/>
        </w:rPr>
        <w:t xml:space="preserve">is appropriate to facilitate the effective administration of those proceedings, </w:t>
      </w:r>
    </w:p>
    <w:p w14:paraId="5AF716F0" w14:textId="77777777" w:rsidR="00CD0ABF" w:rsidRDefault="00F2707E" w:rsidP="00CD0ABF">
      <w:pPr>
        <w:pStyle w:val="ListParagraph"/>
        <w:numPr>
          <w:ilvl w:val="1"/>
          <w:numId w:val="1"/>
        </w:numPr>
        <w:ind w:left="1134" w:hanging="567"/>
        <w:jc w:val="both"/>
        <w:rPr>
          <w:rFonts w:ascii="Arial" w:hAnsi="Arial" w:cs="Arial"/>
          <w:sz w:val="20"/>
          <w:szCs w:val="20"/>
        </w:rPr>
      </w:pPr>
      <w:r w:rsidRPr="00F2707E">
        <w:rPr>
          <w:rFonts w:ascii="Arial" w:hAnsi="Arial" w:cs="Arial"/>
          <w:sz w:val="20"/>
          <w:szCs w:val="20"/>
        </w:rPr>
        <w:t>is not incompatible with the rules applicable to such proceedings</w:t>
      </w:r>
      <w:r w:rsidR="00CD0ABF">
        <w:rPr>
          <w:rFonts w:ascii="Arial" w:hAnsi="Arial" w:cs="Arial"/>
          <w:sz w:val="20"/>
          <w:szCs w:val="20"/>
        </w:rPr>
        <w:t>;</w:t>
      </w:r>
      <w:r w:rsidRPr="00F2707E">
        <w:rPr>
          <w:rFonts w:ascii="Arial" w:hAnsi="Arial" w:cs="Arial"/>
          <w:sz w:val="20"/>
          <w:szCs w:val="20"/>
        </w:rPr>
        <w:t xml:space="preserve"> and </w:t>
      </w:r>
    </w:p>
    <w:p w14:paraId="7C364F67" w14:textId="77777777" w:rsidR="00CD0ABF" w:rsidRDefault="00F2707E" w:rsidP="00CD0ABF">
      <w:pPr>
        <w:pStyle w:val="ListParagraph"/>
        <w:numPr>
          <w:ilvl w:val="1"/>
          <w:numId w:val="1"/>
        </w:numPr>
        <w:ind w:left="1134" w:hanging="567"/>
        <w:jc w:val="both"/>
        <w:rPr>
          <w:rFonts w:ascii="Arial" w:hAnsi="Arial" w:cs="Arial"/>
          <w:sz w:val="20"/>
          <w:szCs w:val="20"/>
        </w:rPr>
      </w:pPr>
      <w:r w:rsidRPr="00F2707E">
        <w:rPr>
          <w:rFonts w:ascii="Arial" w:hAnsi="Arial" w:cs="Arial"/>
          <w:sz w:val="20"/>
          <w:szCs w:val="20"/>
        </w:rPr>
        <w:t>does not entail any conflict of interest.</w:t>
      </w:r>
      <w:r>
        <w:rPr>
          <w:rFonts w:ascii="Arial" w:hAnsi="Arial" w:cs="Arial"/>
          <w:sz w:val="20"/>
          <w:szCs w:val="20"/>
        </w:rPr>
        <w:t xml:space="preserve"> </w:t>
      </w:r>
    </w:p>
    <w:p w14:paraId="7D0E63FE" w14:textId="3EE71FBE" w:rsidR="00F2707E" w:rsidRPr="00CD0ABF" w:rsidRDefault="00F2707E" w:rsidP="00CD0ABF">
      <w:pPr>
        <w:ind w:left="567"/>
        <w:jc w:val="both"/>
        <w:rPr>
          <w:rFonts w:ascii="Arial" w:hAnsi="Arial" w:cs="Arial"/>
          <w:sz w:val="20"/>
          <w:szCs w:val="20"/>
        </w:rPr>
      </w:pPr>
      <w:r w:rsidRPr="00CD0ABF">
        <w:rPr>
          <w:rFonts w:ascii="Arial" w:hAnsi="Arial" w:cs="Arial"/>
          <w:sz w:val="20"/>
          <w:szCs w:val="20"/>
        </w:rPr>
        <w:t>Admittedly</w:t>
      </w:r>
      <w:r w:rsidR="00CD0ABF" w:rsidRPr="00CD0ABF">
        <w:rPr>
          <w:rFonts w:ascii="Arial" w:hAnsi="Arial" w:cs="Arial"/>
          <w:sz w:val="20"/>
          <w:szCs w:val="20"/>
        </w:rPr>
        <w:t>,</w:t>
      </w:r>
      <w:r w:rsidRPr="00CD0ABF">
        <w:rPr>
          <w:rFonts w:ascii="Arial" w:hAnsi="Arial" w:cs="Arial"/>
          <w:sz w:val="20"/>
          <w:szCs w:val="20"/>
        </w:rPr>
        <w:t xml:space="preserve"> the</w:t>
      </w:r>
      <w:r w:rsidR="00CD0ABF" w:rsidRPr="00CD0ABF">
        <w:rPr>
          <w:rFonts w:ascii="Arial" w:hAnsi="Arial" w:cs="Arial"/>
          <w:sz w:val="20"/>
          <w:szCs w:val="20"/>
        </w:rPr>
        <w:t>se</w:t>
      </w:r>
      <w:r w:rsidRPr="00CD0ABF">
        <w:rPr>
          <w:rFonts w:ascii="Arial" w:hAnsi="Arial" w:cs="Arial"/>
          <w:sz w:val="20"/>
          <w:szCs w:val="20"/>
        </w:rPr>
        <w:t xml:space="preserve"> caveats to Article 56(1) narrow the scope for coordination and cooperation. However</w:t>
      </w:r>
      <w:r w:rsidR="00CD0ABF">
        <w:rPr>
          <w:rFonts w:ascii="Arial" w:hAnsi="Arial" w:cs="Arial"/>
          <w:sz w:val="20"/>
          <w:szCs w:val="20"/>
        </w:rPr>
        <w:t>,</w:t>
      </w:r>
      <w:r w:rsidRPr="00CD0ABF">
        <w:rPr>
          <w:rFonts w:ascii="Arial" w:hAnsi="Arial" w:cs="Arial"/>
          <w:sz w:val="20"/>
          <w:szCs w:val="20"/>
        </w:rPr>
        <w:t xml:space="preserve"> in the face of intransigent conduct by any one insolvency </w:t>
      </w:r>
      <w:r w:rsidR="002E5262" w:rsidRPr="00CD0ABF">
        <w:rPr>
          <w:rFonts w:ascii="Arial" w:hAnsi="Arial" w:cs="Arial"/>
          <w:sz w:val="20"/>
          <w:szCs w:val="20"/>
        </w:rPr>
        <w:t>practitioner</w:t>
      </w:r>
      <w:r w:rsidRPr="00CD0ABF">
        <w:rPr>
          <w:rFonts w:ascii="Arial" w:hAnsi="Arial" w:cs="Arial"/>
          <w:sz w:val="20"/>
          <w:szCs w:val="20"/>
        </w:rPr>
        <w:t>, resort can be had to Article 57(1) which provides for coordination and cooperation between</w:t>
      </w:r>
      <w:r w:rsidR="002E5262" w:rsidRPr="00CD0ABF">
        <w:rPr>
          <w:rFonts w:ascii="Arial" w:hAnsi="Arial" w:cs="Arial"/>
          <w:sz w:val="20"/>
          <w:szCs w:val="20"/>
        </w:rPr>
        <w:t xml:space="preserve"> the courts seised of the different insolvency proceedings. Even though the same caveats </w:t>
      </w:r>
      <w:r w:rsidR="00CD0ABF">
        <w:rPr>
          <w:rFonts w:ascii="Arial" w:hAnsi="Arial" w:cs="Arial"/>
          <w:sz w:val="20"/>
          <w:szCs w:val="20"/>
        </w:rPr>
        <w:t>in</w:t>
      </w:r>
      <w:r w:rsidR="002E5262" w:rsidRPr="00CD0ABF">
        <w:rPr>
          <w:rFonts w:ascii="Arial" w:hAnsi="Arial" w:cs="Arial"/>
          <w:sz w:val="20"/>
          <w:szCs w:val="20"/>
        </w:rPr>
        <w:t xml:space="preserve"> Article 56(1) EU IR appear in Article 57(1) EU IR, the courts are far less likely to rely on such caveats unless the justification to do so is clear. </w:t>
      </w:r>
    </w:p>
    <w:p w14:paraId="55A6083B" w14:textId="77777777" w:rsidR="0091533C" w:rsidRDefault="0091533C" w:rsidP="00A43070">
      <w:pPr>
        <w:pStyle w:val="ListParagraph"/>
        <w:ind w:left="567" w:hanging="567"/>
        <w:jc w:val="both"/>
        <w:rPr>
          <w:rFonts w:ascii="Arial" w:hAnsi="Arial" w:cs="Arial"/>
          <w:sz w:val="20"/>
          <w:szCs w:val="20"/>
        </w:rPr>
      </w:pPr>
    </w:p>
    <w:p w14:paraId="2E5E4BC7" w14:textId="52EE3911" w:rsidR="002E5262" w:rsidRDefault="0091533C"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Given the lack of clarity over the nature of the Romanian proceedings, it is not clear to what extent the EU IR may be invoked to facilitate the formulation of a wider restructuring plan for the F1 Group and in particular to preclude the assets of F1 Romania from being used to satisfy the debts of F1 Romania.</w:t>
      </w:r>
    </w:p>
    <w:p w14:paraId="3CDDBAA5" w14:textId="77777777" w:rsidR="0091533C" w:rsidRDefault="0091533C" w:rsidP="00A43070">
      <w:pPr>
        <w:pStyle w:val="ListParagraph"/>
        <w:ind w:left="284"/>
        <w:jc w:val="both"/>
        <w:rPr>
          <w:rFonts w:ascii="Arial" w:hAnsi="Arial" w:cs="Arial"/>
          <w:sz w:val="20"/>
          <w:szCs w:val="20"/>
        </w:rPr>
      </w:pPr>
    </w:p>
    <w:p w14:paraId="499FD886" w14:textId="77777777" w:rsidR="00272F3C" w:rsidRDefault="00272F3C" w:rsidP="00A43070">
      <w:pPr>
        <w:pStyle w:val="ListParagraph"/>
        <w:ind w:left="284"/>
        <w:jc w:val="both"/>
        <w:rPr>
          <w:rFonts w:ascii="Arial" w:hAnsi="Arial" w:cs="Arial"/>
          <w:sz w:val="20"/>
          <w:szCs w:val="20"/>
        </w:rPr>
      </w:pPr>
    </w:p>
    <w:p w14:paraId="53ED9C45" w14:textId="77777777" w:rsidR="00272F3C" w:rsidRPr="0091533C" w:rsidRDefault="00272F3C" w:rsidP="00A43070">
      <w:pPr>
        <w:pStyle w:val="ListParagraph"/>
        <w:ind w:left="284"/>
        <w:jc w:val="both"/>
        <w:rPr>
          <w:rFonts w:ascii="Arial" w:hAnsi="Arial" w:cs="Arial"/>
          <w:sz w:val="20"/>
          <w:szCs w:val="20"/>
        </w:rPr>
      </w:pPr>
    </w:p>
    <w:p w14:paraId="6037CAAC" w14:textId="7F9C8328" w:rsidR="00A850A6" w:rsidRDefault="002E5262" w:rsidP="00A43070">
      <w:pPr>
        <w:pStyle w:val="ListParagraph"/>
        <w:ind w:left="567"/>
        <w:jc w:val="both"/>
        <w:rPr>
          <w:rFonts w:ascii="Arial" w:hAnsi="Arial" w:cs="Arial"/>
          <w:i/>
          <w:iCs/>
          <w:sz w:val="20"/>
          <w:szCs w:val="20"/>
        </w:rPr>
      </w:pPr>
      <w:r w:rsidRPr="0035641E">
        <w:rPr>
          <w:rFonts w:ascii="Arial" w:hAnsi="Arial" w:cs="Arial"/>
          <w:i/>
          <w:iCs/>
          <w:sz w:val="20"/>
          <w:szCs w:val="20"/>
        </w:rPr>
        <w:lastRenderedPageBreak/>
        <w:t xml:space="preserve">Option </w:t>
      </w:r>
      <w:r>
        <w:rPr>
          <w:rFonts w:ascii="Arial" w:hAnsi="Arial" w:cs="Arial"/>
          <w:i/>
          <w:iCs/>
          <w:sz w:val="20"/>
          <w:szCs w:val="20"/>
        </w:rPr>
        <w:t>3</w:t>
      </w:r>
      <w:r w:rsidRPr="0035641E">
        <w:rPr>
          <w:rFonts w:ascii="Arial" w:hAnsi="Arial" w:cs="Arial"/>
          <w:i/>
          <w:iCs/>
          <w:sz w:val="20"/>
          <w:szCs w:val="20"/>
        </w:rPr>
        <w:t xml:space="preserve"> </w:t>
      </w:r>
    </w:p>
    <w:p w14:paraId="3BD37C46" w14:textId="77777777" w:rsidR="0091533C" w:rsidRPr="0091533C" w:rsidRDefault="0091533C" w:rsidP="00A43070">
      <w:pPr>
        <w:pStyle w:val="ListParagraph"/>
        <w:ind w:left="284"/>
        <w:jc w:val="both"/>
        <w:rPr>
          <w:rFonts w:ascii="Arial" w:hAnsi="Arial" w:cs="Arial"/>
          <w:i/>
          <w:iCs/>
          <w:sz w:val="20"/>
          <w:szCs w:val="20"/>
        </w:rPr>
      </w:pPr>
    </w:p>
    <w:p w14:paraId="0413D9B6" w14:textId="1E76B544" w:rsidR="0091533C" w:rsidRDefault="005F0E12" w:rsidP="00A43070">
      <w:pPr>
        <w:pStyle w:val="ListParagraph"/>
        <w:numPr>
          <w:ilvl w:val="0"/>
          <w:numId w:val="1"/>
        </w:numPr>
        <w:tabs>
          <w:tab w:val="left" w:pos="567"/>
        </w:tabs>
        <w:ind w:left="567" w:hanging="567"/>
        <w:jc w:val="both"/>
        <w:rPr>
          <w:rFonts w:ascii="Arial" w:hAnsi="Arial" w:cs="Arial"/>
          <w:sz w:val="20"/>
          <w:szCs w:val="20"/>
        </w:rPr>
      </w:pPr>
      <w:r>
        <w:rPr>
          <w:rFonts w:ascii="Arial" w:hAnsi="Arial" w:cs="Arial"/>
          <w:sz w:val="20"/>
          <w:szCs w:val="20"/>
        </w:rPr>
        <w:t xml:space="preserve">For the sake of completeness, we </w:t>
      </w:r>
      <w:r w:rsidR="003A224A">
        <w:rPr>
          <w:rFonts w:ascii="Arial" w:hAnsi="Arial" w:cs="Arial"/>
          <w:sz w:val="20"/>
          <w:szCs w:val="20"/>
        </w:rPr>
        <w:t xml:space="preserve">must </w:t>
      </w:r>
      <w:r>
        <w:rPr>
          <w:rFonts w:ascii="Arial" w:hAnsi="Arial" w:cs="Arial"/>
          <w:sz w:val="20"/>
          <w:szCs w:val="20"/>
        </w:rPr>
        <w:t>point out that</w:t>
      </w:r>
      <w:r w:rsidR="00A850A6">
        <w:rPr>
          <w:rFonts w:ascii="Arial" w:hAnsi="Arial" w:cs="Arial"/>
          <w:sz w:val="20"/>
          <w:szCs w:val="20"/>
        </w:rPr>
        <w:t xml:space="preserve"> </w:t>
      </w:r>
      <w:r>
        <w:rPr>
          <w:rFonts w:ascii="Arial" w:hAnsi="Arial" w:cs="Arial"/>
          <w:sz w:val="20"/>
          <w:szCs w:val="20"/>
        </w:rPr>
        <w:t xml:space="preserve">it </w:t>
      </w:r>
      <w:r w:rsidR="003A224A">
        <w:rPr>
          <w:rFonts w:ascii="Arial" w:hAnsi="Arial" w:cs="Arial"/>
          <w:sz w:val="20"/>
          <w:szCs w:val="20"/>
        </w:rPr>
        <w:t>is possible</w:t>
      </w:r>
      <w:r>
        <w:rPr>
          <w:rFonts w:ascii="Arial" w:hAnsi="Arial" w:cs="Arial"/>
          <w:sz w:val="20"/>
          <w:szCs w:val="20"/>
        </w:rPr>
        <w:t xml:space="preserve"> to apply for a</w:t>
      </w:r>
      <w:r w:rsidR="000B7043">
        <w:rPr>
          <w:rFonts w:ascii="Arial" w:hAnsi="Arial" w:cs="Arial"/>
          <w:sz w:val="20"/>
          <w:szCs w:val="20"/>
        </w:rPr>
        <w:t xml:space="preserve"> </w:t>
      </w:r>
      <w:r w:rsidR="00A850A6">
        <w:rPr>
          <w:rFonts w:ascii="Arial" w:hAnsi="Arial" w:cs="Arial"/>
          <w:sz w:val="20"/>
          <w:szCs w:val="20"/>
        </w:rPr>
        <w:t>moratorium for F1 Singapore</w:t>
      </w:r>
      <w:r w:rsidR="000B7043">
        <w:rPr>
          <w:rFonts w:ascii="Arial" w:hAnsi="Arial" w:cs="Arial"/>
          <w:sz w:val="20"/>
          <w:szCs w:val="20"/>
        </w:rPr>
        <w:t xml:space="preserve"> under Singapore’s Insolvency Restructuring and Dissolution Act 2018 (“IRDA”)</w:t>
      </w:r>
      <w:r>
        <w:rPr>
          <w:rFonts w:ascii="Arial" w:hAnsi="Arial" w:cs="Arial"/>
          <w:sz w:val="20"/>
          <w:szCs w:val="20"/>
        </w:rPr>
        <w:t xml:space="preserve">. </w:t>
      </w:r>
      <w:r w:rsidR="003A224A">
        <w:rPr>
          <w:rFonts w:ascii="Arial" w:hAnsi="Arial" w:cs="Arial"/>
          <w:sz w:val="20"/>
          <w:szCs w:val="20"/>
        </w:rPr>
        <w:t xml:space="preserve">This </w:t>
      </w:r>
      <w:r>
        <w:rPr>
          <w:rFonts w:ascii="Arial" w:hAnsi="Arial" w:cs="Arial"/>
          <w:sz w:val="20"/>
          <w:szCs w:val="20"/>
        </w:rPr>
        <w:t>confers on the applicant the ability to</w:t>
      </w:r>
      <w:r w:rsidR="000B7043">
        <w:rPr>
          <w:rFonts w:ascii="Arial" w:hAnsi="Arial" w:cs="Arial"/>
          <w:sz w:val="20"/>
          <w:szCs w:val="20"/>
        </w:rPr>
        <w:t xml:space="preserve"> </w:t>
      </w:r>
      <w:r>
        <w:rPr>
          <w:rFonts w:ascii="Arial" w:hAnsi="Arial" w:cs="Arial"/>
          <w:sz w:val="20"/>
          <w:szCs w:val="20"/>
        </w:rPr>
        <w:t>apply</w:t>
      </w:r>
      <w:r w:rsidR="000B7043">
        <w:rPr>
          <w:rFonts w:ascii="Arial" w:hAnsi="Arial" w:cs="Arial"/>
          <w:sz w:val="20"/>
          <w:szCs w:val="20"/>
        </w:rPr>
        <w:t xml:space="preserve"> for a similar moratorium for F1 Trading</w:t>
      </w:r>
      <w:r w:rsidR="003A224A">
        <w:rPr>
          <w:rFonts w:ascii="Arial" w:hAnsi="Arial" w:cs="Arial"/>
          <w:sz w:val="20"/>
          <w:szCs w:val="20"/>
        </w:rPr>
        <w:t xml:space="preserve"> and even F1 Investments</w:t>
      </w:r>
      <w:r w:rsidR="000B7043">
        <w:rPr>
          <w:rFonts w:ascii="Arial" w:hAnsi="Arial" w:cs="Arial"/>
          <w:sz w:val="20"/>
          <w:szCs w:val="20"/>
        </w:rPr>
        <w:t xml:space="preserve"> as</w:t>
      </w:r>
      <w:r w:rsidR="003A224A">
        <w:rPr>
          <w:rFonts w:ascii="Arial" w:hAnsi="Arial" w:cs="Arial"/>
          <w:sz w:val="20"/>
          <w:szCs w:val="20"/>
        </w:rPr>
        <w:t xml:space="preserve"> respectively</w:t>
      </w:r>
      <w:r w:rsidR="000B7043">
        <w:rPr>
          <w:rFonts w:ascii="Arial" w:hAnsi="Arial" w:cs="Arial"/>
          <w:sz w:val="20"/>
          <w:szCs w:val="20"/>
        </w:rPr>
        <w:t xml:space="preserve"> F1 Singapo</w:t>
      </w:r>
      <w:r>
        <w:rPr>
          <w:rFonts w:ascii="Arial" w:hAnsi="Arial" w:cs="Arial"/>
          <w:sz w:val="20"/>
          <w:szCs w:val="20"/>
        </w:rPr>
        <w:t xml:space="preserve">re’s </w:t>
      </w:r>
      <w:r w:rsidR="003A224A">
        <w:rPr>
          <w:rFonts w:ascii="Arial" w:hAnsi="Arial" w:cs="Arial"/>
          <w:sz w:val="20"/>
          <w:szCs w:val="20"/>
        </w:rPr>
        <w:t>holding company and ultimate holding company.</w:t>
      </w:r>
      <w:r w:rsidR="00CD0ABF">
        <w:rPr>
          <w:rStyle w:val="FootnoteReference"/>
          <w:rFonts w:ascii="Arial" w:hAnsi="Arial" w:cs="Arial"/>
          <w:sz w:val="20"/>
          <w:szCs w:val="20"/>
        </w:rPr>
        <w:footnoteReference w:id="26"/>
      </w:r>
      <w:r w:rsidR="0091533C">
        <w:rPr>
          <w:rFonts w:ascii="Arial" w:hAnsi="Arial" w:cs="Arial"/>
          <w:sz w:val="20"/>
          <w:szCs w:val="20"/>
        </w:rPr>
        <w:t xml:space="preserve"> The effect of such moratoria may however be limited to Singapore since:</w:t>
      </w:r>
    </w:p>
    <w:p w14:paraId="6AB76815" w14:textId="77777777" w:rsidR="00A43070" w:rsidRDefault="00A43070" w:rsidP="00A43070">
      <w:pPr>
        <w:pStyle w:val="ListParagraph"/>
        <w:tabs>
          <w:tab w:val="left" w:pos="567"/>
        </w:tabs>
        <w:ind w:left="567"/>
        <w:jc w:val="both"/>
        <w:rPr>
          <w:rFonts w:ascii="Arial" w:hAnsi="Arial" w:cs="Arial"/>
          <w:sz w:val="20"/>
          <w:szCs w:val="20"/>
        </w:rPr>
      </w:pPr>
    </w:p>
    <w:p w14:paraId="1E8348FB" w14:textId="77777777" w:rsidR="0091533C" w:rsidRDefault="0091533C"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t</w:t>
      </w:r>
      <w:r w:rsidR="00551CD0">
        <w:rPr>
          <w:rFonts w:ascii="Arial" w:hAnsi="Arial" w:cs="Arial"/>
          <w:sz w:val="20"/>
          <w:szCs w:val="20"/>
        </w:rPr>
        <w:t>here</w:t>
      </w:r>
      <w:r w:rsidR="005F0E12">
        <w:rPr>
          <w:rFonts w:ascii="Arial" w:hAnsi="Arial" w:cs="Arial"/>
          <w:sz w:val="20"/>
          <w:szCs w:val="20"/>
        </w:rPr>
        <w:t xml:space="preserve"> is</w:t>
      </w:r>
      <w:r w:rsidR="00551CD0">
        <w:rPr>
          <w:rFonts w:ascii="Arial" w:hAnsi="Arial" w:cs="Arial"/>
          <w:sz w:val="20"/>
          <w:szCs w:val="20"/>
        </w:rPr>
        <w:t>, no clear</w:t>
      </w:r>
      <w:r w:rsidR="003A224A">
        <w:rPr>
          <w:rFonts w:ascii="Arial" w:hAnsi="Arial" w:cs="Arial"/>
          <w:sz w:val="20"/>
          <w:szCs w:val="20"/>
        </w:rPr>
        <w:t xml:space="preserve"> avenue for </w:t>
      </w:r>
      <w:r w:rsidR="00AB4F9E">
        <w:rPr>
          <w:rFonts w:ascii="Arial" w:hAnsi="Arial" w:cs="Arial"/>
          <w:sz w:val="20"/>
          <w:szCs w:val="20"/>
        </w:rPr>
        <w:t>any of the</w:t>
      </w:r>
      <w:r w:rsidR="005F0E12">
        <w:rPr>
          <w:rFonts w:ascii="Arial" w:hAnsi="Arial" w:cs="Arial"/>
          <w:sz w:val="20"/>
          <w:szCs w:val="20"/>
        </w:rPr>
        <w:t xml:space="preserve"> moratori</w:t>
      </w:r>
      <w:r>
        <w:rPr>
          <w:rFonts w:ascii="Arial" w:hAnsi="Arial" w:cs="Arial"/>
          <w:sz w:val="20"/>
          <w:szCs w:val="20"/>
        </w:rPr>
        <w:t>um in respect of F1 Trading</w:t>
      </w:r>
      <w:r w:rsidR="005F0E12">
        <w:rPr>
          <w:rFonts w:ascii="Arial" w:hAnsi="Arial" w:cs="Arial"/>
          <w:sz w:val="20"/>
          <w:szCs w:val="20"/>
        </w:rPr>
        <w:t xml:space="preserve"> </w:t>
      </w:r>
      <w:r w:rsidR="003A224A">
        <w:rPr>
          <w:rFonts w:ascii="Arial" w:hAnsi="Arial" w:cs="Arial"/>
          <w:sz w:val="20"/>
          <w:szCs w:val="20"/>
        </w:rPr>
        <w:t xml:space="preserve">to be </w:t>
      </w:r>
      <w:r w:rsidR="005F0E12">
        <w:rPr>
          <w:rFonts w:ascii="Arial" w:hAnsi="Arial" w:cs="Arial"/>
          <w:sz w:val="20"/>
          <w:szCs w:val="20"/>
        </w:rPr>
        <w:t>recognised in the Netherlands</w:t>
      </w:r>
      <w:r w:rsidR="000B7043">
        <w:rPr>
          <w:rFonts w:ascii="Arial" w:hAnsi="Arial" w:cs="Arial"/>
          <w:sz w:val="20"/>
          <w:szCs w:val="20"/>
        </w:rPr>
        <w:t>.</w:t>
      </w:r>
      <w:r w:rsidR="003A224A">
        <w:rPr>
          <w:rFonts w:ascii="Arial" w:hAnsi="Arial" w:cs="Arial"/>
          <w:sz w:val="20"/>
          <w:szCs w:val="20"/>
        </w:rPr>
        <w:t xml:space="preserve"> </w:t>
      </w:r>
    </w:p>
    <w:p w14:paraId="7899AA0C" w14:textId="5585C4FE" w:rsidR="0091533C" w:rsidRDefault="00CD0ABF"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a</w:t>
      </w:r>
      <w:r w:rsidR="0091533C">
        <w:rPr>
          <w:rFonts w:ascii="Arial" w:hAnsi="Arial" w:cs="Arial"/>
          <w:sz w:val="20"/>
          <w:szCs w:val="20"/>
        </w:rPr>
        <w:t xml:space="preserve">lthough </w:t>
      </w:r>
      <w:r w:rsidR="00AB4F9E">
        <w:rPr>
          <w:rFonts w:ascii="Arial" w:hAnsi="Arial" w:cs="Arial"/>
          <w:sz w:val="20"/>
          <w:szCs w:val="20"/>
        </w:rPr>
        <w:t xml:space="preserve">by reason of the Model Law, there </w:t>
      </w:r>
      <w:r w:rsidR="00CE57E0">
        <w:rPr>
          <w:rFonts w:ascii="Arial" w:hAnsi="Arial" w:cs="Arial"/>
          <w:sz w:val="20"/>
          <w:szCs w:val="20"/>
        </w:rPr>
        <w:t>can</w:t>
      </w:r>
      <w:r w:rsidR="00AB4F9E">
        <w:rPr>
          <w:rFonts w:ascii="Arial" w:hAnsi="Arial" w:cs="Arial"/>
          <w:sz w:val="20"/>
          <w:szCs w:val="20"/>
        </w:rPr>
        <w:t xml:space="preserve"> be recognition of the</w:t>
      </w:r>
      <w:r w:rsidR="009A3276">
        <w:rPr>
          <w:rFonts w:ascii="Arial" w:hAnsi="Arial" w:cs="Arial"/>
          <w:sz w:val="20"/>
          <w:szCs w:val="20"/>
        </w:rPr>
        <w:t xml:space="preserve"> proceedings opened in respect</w:t>
      </w:r>
      <w:r w:rsidR="00AB4F9E">
        <w:rPr>
          <w:rFonts w:ascii="Arial" w:hAnsi="Arial" w:cs="Arial"/>
          <w:sz w:val="20"/>
          <w:szCs w:val="20"/>
        </w:rPr>
        <w:t xml:space="preserve"> F1 Singapore</w:t>
      </w:r>
      <w:r w:rsidR="0091533C">
        <w:rPr>
          <w:rFonts w:ascii="Arial" w:hAnsi="Arial" w:cs="Arial"/>
          <w:sz w:val="20"/>
          <w:szCs w:val="20"/>
        </w:rPr>
        <w:t xml:space="preserve"> in the United States, a</w:t>
      </w:r>
      <w:r w:rsidR="00551CD0">
        <w:rPr>
          <w:rFonts w:ascii="Arial" w:hAnsi="Arial" w:cs="Arial"/>
          <w:sz w:val="20"/>
          <w:szCs w:val="20"/>
        </w:rPr>
        <w:t xml:space="preserve"> moratorium </w:t>
      </w:r>
      <w:r w:rsidR="0091533C">
        <w:rPr>
          <w:rFonts w:ascii="Arial" w:hAnsi="Arial" w:cs="Arial"/>
          <w:sz w:val="20"/>
          <w:szCs w:val="20"/>
        </w:rPr>
        <w:t>obtained in respect of</w:t>
      </w:r>
      <w:r w:rsidR="00551CD0">
        <w:rPr>
          <w:rFonts w:ascii="Arial" w:hAnsi="Arial" w:cs="Arial"/>
          <w:sz w:val="20"/>
          <w:szCs w:val="20"/>
        </w:rPr>
        <w:t xml:space="preserve"> F1 Investments </w:t>
      </w:r>
      <w:r w:rsidR="0091533C">
        <w:rPr>
          <w:rFonts w:ascii="Arial" w:hAnsi="Arial" w:cs="Arial"/>
          <w:sz w:val="20"/>
          <w:szCs w:val="20"/>
        </w:rPr>
        <w:t>may not</w:t>
      </w:r>
      <w:r w:rsidR="009A3276">
        <w:rPr>
          <w:rFonts w:ascii="Arial" w:hAnsi="Arial" w:cs="Arial"/>
          <w:sz w:val="20"/>
          <w:szCs w:val="20"/>
        </w:rPr>
        <w:t xml:space="preserve"> qualify as a </w:t>
      </w:r>
      <w:r w:rsidR="0091533C">
        <w:rPr>
          <w:rFonts w:ascii="Arial" w:hAnsi="Arial" w:cs="Arial"/>
          <w:sz w:val="20"/>
          <w:szCs w:val="20"/>
        </w:rPr>
        <w:t>“</w:t>
      </w:r>
      <w:r w:rsidR="009A3276">
        <w:rPr>
          <w:rFonts w:ascii="Arial" w:hAnsi="Arial" w:cs="Arial"/>
          <w:sz w:val="20"/>
          <w:szCs w:val="20"/>
        </w:rPr>
        <w:t>foreign proceeding</w:t>
      </w:r>
      <w:r w:rsidR="0091533C">
        <w:rPr>
          <w:rFonts w:ascii="Arial" w:hAnsi="Arial" w:cs="Arial"/>
          <w:sz w:val="20"/>
          <w:szCs w:val="20"/>
        </w:rPr>
        <w:t>”</w:t>
      </w:r>
      <w:r w:rsidR="009A3276">
        <w:rPr>
          <w:rFonts w:ascii="Arial" w:hAnsi="Arial" w:cs="Arial"/>
          <w:sz w:val="20"/>
          <w:szCs w:val="20"/>
        </w:rPr>
        <w:t xml:space="preserve"> </w:t>
      </w:r>
      <w:r w:rsidR="0091533C">
        <w:rPr>
          <w:rFonts w:ascii="Arial" w:hAnsi="Arial" w:cs="Arial"/>
          <w:sz w:val="20"/>
          <w:szCs w:val="20"/>
        </w:rPr>
        <w:t>that can be</w:t>
      </w:r>
      <w:r w:rsidR="00551CD0">
        <w:rPr>
          <w:rFonts w:ascii="Arial" w:hAnsi="Arial" w:cs="Arial"/>
          <w:sz w:val="20"/>
          <w:szCs w:val="20"/>
        </w:rPr>
        <w:t xml:space="preserve"> recognised</w:t>
      </w:r>
      <w:r w:rsidR="0091533C">
        <w:rPr>
          <w:rFonts w:ascii="Arial" w:hAnsi="Arial" w:cs="Arial"/>
          <w:sz w:val="20"/>
          <w:szCs w:val="20"/>
        </w:rPr>
        <w:t xml:space="preserve"> </w:t>
      </w:r>
      <w:r w:rsidR="00CE57E0">
        <w:rPr>
          <w:rFonts w:ascii="Arial" w:hAnsi="Arial" w:cs="Arial"/>
          <w:sz w:val="20"/>
          <w:szCs w:val="20"/>
        </w:rPr>
        <w:t>pursuant to</w:t>
      </w:r>
      <w:r w:rsidR="0091533C">
        <w:rPr>
          <w:rFonts w:ascii="Arial" w:hAnsi="Arial" w:cs="Arial"/>
          <w:sz w:val="20"/>
          <w:szCs w:val="20"/>
        </w:rPr>
        <w:t xml:space="preserve"> the Model Law</w:t>
      </w:r>
      <w:r w:rsidR="00551CD0">
        <w:rPr>
          <w:rFonts w:ascii="Arial" w:hAnsi="Arial" w:cs="Arial"/>
          <w:sz w:val="20"/>
          <w:szCs w:val="20"/>
        </w:rPr>
        <w:t>.</w:t>
      </w:r>
      <w:r w:rsidR="00AB4F9E">
        <w:rPr>
          <w:rFonts w:ascii="Arial" w:hAnsi="Arial" w:cs="Arial"/>
          <w:sz w:val="20"/>
          <w:szCs w:val="20"/>
        </w:rPr>
        <w:t xml:space="preserve"> </w:t>
      </w:r>
    </w:p>
    <w:p w14:paraId="7DE78C5B" w14:textId="77777777" w:rsidR="0091533C" w:rsidRDefault="0091533C" w:rsidP="00A43070">
      <w:pPr>
        <w:pStyle w:val="ListParagraph"/>
        <w:ind w:left="709"/>
        <w:jc w:val="both"/>
        <w:rPr>
          <w:rFonts w:ascii="Arial" w:hAnsi="Arial" w:cs="Arial"/>
          <w:sz w:val="20"/>
          <w:szCs w:val="20"/>
        </w:rPr>
      </w:pPr>
    </w:p>
    <w:p w14:paraId="62216D8C" w14:textId="110B6802" w:rsidR="000B7043" w:rsidRDefault="0091533C"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Since neither F1 Investments or F1 Trading appear to have assets in Singapore, </w:t>
      </w:r>
      <w:r w:rsidR="00CE57E0">
        <w:rPr>
          <w:rFonts w:ascii="Arial" w:hAnsi="Arial" w:cs="Arial"/>
          <w:sz w:val="20"/>
          <w:szCs w:val="20"/>
        </w:rPr>
        <w:t xml:space="preserve">the utility of </w:t>
      </w:r>
      <w:r>
        <w:rPr>
          <w:rFonts w:ascii="Arial" w:hAnsi="Arial" w:cs="Arial"/>
          <w:sz w:val="20"/>
          <w:szCs w:val="20"/>
        </w:rPr>
        <w:t xml:space="preserve">applying for </w:t>
      </w:r>
      <w:r w:rsidR="006647CF">
        <w:rPr>
          <w:rFonts w:ascii="Arial" w:hAnsi="Arial" w:cs="Arial"/>
          <w:sz w:val="20"/>
          <w:szCs w:val="20"/>
        </w:rPr>
        <w:t>moratori</w:t>
      </w:r>
      <w:r>
        <w:rPr>
          <w:rFonts w:ascii="Arial" w:hAnsi="Arial" w:cs="Arial"/>
          <w:sz w:val="20"/>
          <w:szCs w:val="20"/>
        </w:rPr>
        <w:t>a under IRDA is questionable</w:t>
      </w:r>
      <w:r w:rsidR="006647CF">
        <w:rPr>
          <w:rFonts w:ascii="Arial" w:hAnsi="Arial" w:cs="Arial"/>
          <w:sz w:val="20"/>
          <w:szCs w:val="20"/>
        </w:rPr>
        <w:t>.</w:t>
      </w:r>
    </w:p>
    <w:p w14:paraId="377480CE" w14:textId="77777777" w:rsidR="000B7043" w:rsidRPr="000B7043" w:rsidRDefault="000B7043" w:rsidP="00A43070">
      <w:pPr>
        <w:pStyle w:val="ListParagraph"/>
        <w:ind w:left="567" w:hanging="567"/>
        <w:jc w:val="both"/>
        <w:rPr>
          <w:rFonts w:ascii="Arial" w:hAnsi="Arial" w:cs="Arial"/>
          <w:sz w:val="20"/>
          <w:szCs w:val="20"/>
        </w:rPr>
      </w:pPr>
    </w:p>
    <w:p w14:paraId="6CA4DF7F" w14:textId="7224E11B" w:rsidR="000B7043" w:rsidRPr="000B7043" w:rsidRDefault="0091533C"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 The moratorium to be applied for in respect of F1 Singapore is provided for under s</w:t>
      </w:r>
      <w:r w:rsidR="000B7043" w:rsidRPr="000B7043">
        <w:rPr>
          <w:rFonts w:ascii="Arial" w:hAnsi="Arial" w:cs="Arial"/>
          <w:sz w:val="20"/>
          <w:szCs w:val="20"/>
        </w:rPr>
        <w:t>ection 64 IRDA</w:t>
      </w:r>
      <w:r>
        <w:rPr>
          <w:rFonts w:ascii="Arial" w:hAnsi="Arial" w:cs="Arial"/>
          <w:sz w:val="20"/>
          <w:szCs w:val="20"/>
        </w:rPr>
        <w:t xml:space="preserve"> which states that</w:t>
      </w:r>
      <w:r w:rsidR="000B7043" w:rsidRPr="000B7043">
        <w:rPr>
          <w:rFonts w:ascii="Arial" w:hAnsi="Arial" w:cs="Arial"/>
          <w:sz w:val="20"/>
          <w:szCs w:val="20"/>
        </w:rPr>
        <w:t xml:space="preserve"> </w:t>
      </w:r>
      <w:r w:rsidR="000B7043" w:rsidRPr="000B7043">
        <w:rPr>
          <w:rFonts w:ascii="Arial" w:hAnsi="Arial" w:cs="Arial"/>
          <w:color w:val="000000"/>
          <w:sz w:val="20"/>
          <w:szCs w:val="20"/>
          <w:shd w:val="clear" w:color="auto" w:fill="FFFFFF"/>
        </w:rPr>
        <w:t>“</w:t>
      </w:r>
      <w:r w:rsidR="000B7043" w:rsidRPr="0091533C">
        <w:rPr>
          <w:rFonts w:ascii="Arial" w:hAnsi="Arial" w:cs="Arial"/>
          <w:i/>
          <w:iCs/>
          <w:color w:val="000000"/>
          <w:sz w:val="20"/>
          <w:szCs w:val="20"/>
          <w:shd w:val="clear" w:color="auto" w:fill="FFFFFF"/>
        </w:rPr>
        <w:t>where a company proposes, or intends to propose, a compromise or an arrangement between the company and its creditors or any class of those creditors, the Court may, on the application of the company, make [orders]…. for such period as the Court thinks fit</w:t>
      </w:r>
      <w:r w:rsidR="000B7043" w:rsidRPr="000B7043">
        <w:rPr>
          <w:rFonts w:ascii="Arial" w:hAnsi="Arial" w:cs="Arial"/>
          <w:color w:val="000000"/>
          <w:sz w:val="20"/>
          <w:szCs w:val="20"/>
          <w:shd w:val="clear" w:color="auto" w:fill="FFFFFF"/>
        </w:rPr>
        <w:t xml:space="preserve">” restraining various proceedings against the company. </w:t>
      </w:r>
    </w:p>
    <w:p w14:paraId="0C1F025A" w14:textId="77777777" w:rsidR="000B7043" w:rsidRPr="000B7043" w:rsidRDefault="000B7043" w:rsidP="00A43070">
      <w:pPr>
        <w:pStyle w:val="ListParagraph"/>
        <w:ind w:left="567" w:hanging="567"/>
        <w:jc w:val="both"/>
        <w:rPr>
          <w:rFonts w:ascii="Arial" w:hAnsi="Arial" w:cs="Arial"/>
          <w:color w:val="000000"/>
          <w:sz w:val="20"/>
          <w:szCs w:val="20"/>
          <w:shd w:val="clear" w:color="auto" w:fill="FFFFFF"/>
        </w:rPr>
      </w:pPr>
    </w:p>
    <w:p w14:paraId="6133EAA9" w14:textId="73E848A2" w:rsidR="00A850A6" w:rsidRDefault="00CE57E0" w:rsidP="00A43070">
      <w:pPr>
        <w:pStyle w:val="ListParagraph"/>
        <w:numPr>
          <w:ilvl w:val="0"/>
          <w:numId w:val="1"/>
        </w:numPr>
        <w:ind w:left="567" w:hanging="567"/>
        <w:jc w:val="both"/>
        <w:rPr>
          <w:rFonts w:ascii="Arial" w:hAnsi="Arial" w:cs="Arial"/>
          <w:sz w:val="20"/>
          <w:szCs w:val="20"/>
        </w:rPr>
      </w:pPr>
      <w:r>
        <w:rPr>
          <w:rFonts w:ascii="Arial" w:hAnsi="Arial" w:cs="Arial"/>
          <w:color w:val="000000"/>
          <w:sz w:val="20"/>
          <w:szCs w:val="20"/>
          <w:shd w:val="clear" w:color="auto" w:fill="FFFFFF"/>
        </w:rPr>
        <w:t xml:space="preserve">The restrained </w:t>
      </w:r>
      <w:r w:rsidR="000B7043" w:rsidRPr="000B7043">
        <w:rPr>
          <w:rFonts w:ascii="Arial" w:hAnsi="Arial" w:cs="Arial"/>
          <w:color w:val="000000"/>
          <w:sz w:val="20"/>
          <w:szCs w:val="20"/>
          <w:shd w:val="clear" w:color="auto" w:fill="FFFFFF"/>
        </w:rPr>
        <w:t>proceedings include the winding up of the company, the appointment of a receiver and manager over the company, the “commencement or continuation of any proceedings… against the company”, the “commencement, continuation or levying of any execution, distress or other legal process against any property of the company” and the “taking of any step to enforce any security over any property of the company, or to repossess any goods held by the company under any chattels leasing agreement, hire</w:t>
      </w:r>
      <w:r w:rsidR="000B7043" w:rsidRPr="000B7043">
        <w:rPr>
          <w:rFonts w:ascii="Arial" w:hAnsi="Arial" w:cs="Arial"/>
          <w:color w:val="000000"/>
          <w:sz w:val="20"/>
          <w:szCs w:val="20"/>
          <w:shd w:val="clear" w:color="auto" w:fill="FFFFFF"/>
        </w:rPr>
        <w:noBreakHyphen/>
        <w:t>purchase agreement or retention of title agreement</w:t>
      </w:r>
      <w:r w:rsidR="000B7043">
        <w:rPr>
          <w:rFonts w:ascii="Arial" w:hAnsi="Arial" w:cs="Arial"/>
          <w:color w:val="000000"/>
          <w:sz w:val="20"/>
          <w:szCs w:val="20"/>
          <w:shd w:val="clear" w:color="auto" w:fill="FFFFFF"/>
        </w:rPr>
        <w:t>.</w:t>
      </w:r>
      <w:r w:rsidR="000B7043" w:rsidRPr="000B7043">
        <w:rPr>
          <w:rFonts w:ascii="Arial" w:hAnsi="Arial" w:cs="Arial"/>
          <w:color w:val="000000"/>
          <w:sz w:val="20"/>
          <w:szCs w:val="20"/>
          <w:shd w:val="clear" w:color="auto" w:fill="FFFFFF"/>
        </w:rPr>
        <w:t>”</w:t>
      </w:r>
      <w:r w:rsidR="000B7043" w:rsidRPr="000B7043">
        <w:rPr>
          <w:rStyle w:val="FootnoteReference"/>
          <w:rFonts w:ascii="Arial" w:hAnsi="Arial" w:cs="Arial"/>
          <w:color w:val="000000"/>
          <w:sz w:val="20"/>
          <w:szCs w:val="20"/>
          <w:shd w:val="clear" w:color="auto" w:fill="FFFFFF"/>
        </w:rPr>
        <w:footnoteReference w:id="27"/>
      </w:r>
      <w:r w:rsidR="00A850A6" w:rsidRPr="000B7043">
        <w:rPr>
          <w:rFonts w:ascii="Arial" w:hAnsi="Arial" w:cs="Arial"/>
          <w:sz w:val="20"/>
          <w:szCs w:val="20"/>
        </w:rPr>
        <w:t xml:space="preserve">  </w:t>
      </w:r>
    </w:p>
    <w:p w14:paraId="32A33F3B" w14:textId="77777777" w:rsidR="0091533C" w:rsidRPr="0091533C" w:rsidRDefault="0091533C" w:rsidP="00A43070">
      <w:pPr>
        <w:pStyle w:val="ListParagraph"/>
        <w:ind w:left="567" w:hanging="567"/>
        <w:jc w:val="both"/>
        <w:rPr>
          <w:rFonts w:ascii="Arial" w:hAnsi="Arial" w:cs="Arial"/>
          <w:sz w:val="20"/>
          <w:szCs w:val="20"/>
        </w:rPr>
      </w:pPr>
    </w:p>
    <w:p w14:paraId="30E74087" w14:textId="1EBE70F6" w:rsidR="0091533C" w:rsidRDefault="0091533C"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F1 Singapore is a guarantor of the Monaco Loan and there is a possibility that the Monaco Lender may take legal</w:t>
      </w:r>
      <w:r w:rsidR="009A5863">
        <w:rPr>
          <w:rFonts w:ascii="Arial" w:hAnsi="Arial" w:cs="Arial"/>
          <w:sz w:val="20"/>
          <w:szCs w:val="20"/>
        </w:rPr>
        <w:t xml:space="preserve"> action against F1 Singapore in the Singapore Court. The Monaco Lender also has security over the revenue of F1 Singapore. Should this be a reference to the funding made available by the sponsor to Team Maximov, the Monaco Lender could attempt to enforce its security rights over such funding in Singapore.</w:t>
      </w:r>
    </w:p>
    <w:p w14:paraId="71F2C6F2" w14:textId="77777777" w:rsidR="00100202" w:rsidRPr="00100202" w:rsidRDefault="00100202" w:rsidP="00A43070">
      <w:pPr>
        <w:pStyle w:val="ListParagraph"/>
        <w:ind w:left="567" w:hanging="567"/>
        <w:jc w:val="both"/>
        <w:rPr>
          <w:rFonts w:ascii="Arial" w:hAnsi="Arial" w:cs="Arial"/>
          <w:sz w:val="20"/>
          <w:szCs w:val="20"/>
        </w:rPr>
      </w:pPr>
    </w:p>
    <w:p w14:paraId="57979AB0" w14:textId="4A527CF8" w:rsidR="00362949" w:rsidRPr="00362949" w:rsidRDefault="00100202" w:rsidP="00A43070">
      <w:pPr>
        <w:pStyle w:val="ListParagraph"/>
        <w:numPr>
          <w:ilvl w:val="0"/>
          <w:numId w:val="1"/>
        </w:numPr>
        <w:ind w:left="567" w:hanging="567"/>
        <w:jc w:val="both"/>
        <w:rPr>
          <w:rFonts w:ascii="Arial" w:hAnsi="Arial" w:cs="Arial"/>
          <w:sz w:val="20"/>
          <w:szCs w:val="20"/>
        </w:rPr>
      </w:pPr>
      <w:r w:rsidRPr="00362949">
        <w:rPr>
          <w:rFonts w:ascii="Arial" w:hAnsi="Arial" w:cs="Arial"/>
          <w:sz w:val="20"/>
          <w:szCs w:val="20"/>
        </w:rPr>
        <w:t xml:space="preserve">The moratorium </w:t>
      </w:r>
      <w:r w:rsidR="009A5863">
        <w:rPr>
          <w:rFonts w:ascii="Arial" w:hAnsi="Arial" w:cs="Arial"/>
          <w:sz w:val="20"/>
          <w:szCs w:val="20"/>
        </w:rPr>
        <w:t xml:space="preserve">under IRDA will preclude such action. It </w:t>
      </w:r>
      <w:r w:rsidRPr="00362949">
        <w:rPr>
          <w:rFonts w:ascii="Arial" w:hAnsi="Arial" w:cs="Arial"/>
          <w:sz w:val="20"/>
          <w:szCs w:val="20"/>
        </w:rPr>
        <w:t xml:space="preserve">applies automatically once an application </w:t>
      </w:r>
      <w:r w:rsidR="009A5863">
        <w:rPr>
          <w:rFonts w:ascii="Arial" w:hAnsi="Arial" w:cs="Arial"/>
          <w:sz w:val="20"/>
          <w:szCs w:val="20"/>
        </w:rPr>
        <w:t xml:space="preserve">under section 64 </w:t>
      </w:r>
      <w:r w:rsidRPr="00362949">
        <w:rPr>
          <w:rFonts w:ascii="Arial" w:hAnsi="Arial" w:cs="Arial"/>
          <w:sz w:val="20"/>
          <w:szCs w:val="20"/>
        </w:rPr>
        <w:t xml:space="preserve">is made (and before the Court </w:t>
      </w:r>
      <w:r w:rsidR="009A5863">
        <w:rPr>
          <w:rFonts w:ascii="Arial" w:hAnsi="Arial" w:cs="Arial"/>
          <w:sz w:val="20"/>
          <w:szCs w:val="20"/>
        </w:rPr>
        <w:t xml:space="preserve">even </w:t>
      </w:r>
      <w:r w:rsidRPr="00362949">
        <w:rPr>
          <w:rFonts w:ascii="Arial" w:hAnsi="Arial" w:cs="Arial"/>
          <w:sz w:val="20"/>
          <w:szCs w:val="20"/>
        </w:rPr>
        <w:t>hears</w:t>
      </w:r>
      <w:r w:rsidR="009A5863">
        <w:rPr>
          <w:rFonts w:ascii="Arial" w:hAnsi="Arial" w:cs="Arial"/>
          <w:sz w:val="20"/>
          <w:szCs w:val="20"/>
        </w:rPr>
        <w:t xml:space="preserve"> and decides on</w:t>
      </w:r>
      <w:r w:rsidRPr="00362949">
        <w:rPr>
          <w:rFonts w:ascii="Arial" w:hAnsi="Arial" w:cs="Arial"/>
          <w:sz w:val="20"/>
          <w:szCs w:val="20"/>
        </w:rPr>
        <w:t xml:space="preserve"> the application). The pre-requisites</w:t>
      </w:r>
      <w:r w:rsidR="006647CF">
        <w:rPr>
          <w:rFonts w:ascii="Arial" w:hAnsi="Arial" w:cs="Arial"/>
          <w:sz w:val="20"/>
          <w:szCs w:val="20"/>
        </w:rPr>
        <w:t xml:space="preserve"> for such an application</w:t>
      </w:r>
      <w:r w:rsidRPr="00362949">
        <w:rPr>
          <w:rFonts w:ascii="Arial" w:hAnsi="Arial" w:cs="Arial"/>
          <w:sz w:val="20"/>
          <w:szCs w:val="20"/>
        </w:rPr>
        <w:t xml:space="preserve"> are that </w:t>
      </w:r>
      <w:r w:rsidR="00362949" w:rsidRPr="00362949">
        <w:rPr>
          <w:rFonts w:ascii="Arial" w:hAnsi="Arial" w:cs="Arial"/>
          <w:sz w:val="20"/>
          <w:szCs w:val="20"/>
        </w:rPr>
        <w:t xml:space="preserve">(a) </w:t>
      </w:r>
      <w:r w:rsidR="00362949" w:rsidRPr="00362949">
        <w:rPr>
          <w:rFonts w:ascii="Arial" w:hAnsi="Arial" w:cs="Arial"/>
          <w:color w:val="000000"/>
          <w:sz w:val="20"/>
          <w:szCs w:val="20"/>
          <w:shd w:val="clear" w:color="auto" w:fill="FFFFFF"/>
        </w:rPr>
        <w:t>no order has been made and no resolution has been passed for the winding up of the company and (b) the company makes, or undertakes to the Court to make as soon as practicable an application for the Court to order to be summoned a meeting of the creditors or class of creditors in relation to the compromise or arrangement between the relevant creditors.</w:t>
      </w:r>
      <w:r w:rsidR="00362949">
        <w:rPr>
          <w:rStyle w:val="FootnoteReference"/>
          <w:rFonts w:ascii="Arial" w:hAnsi="Arial" w:cs="Arial"/>
          <w:color w:val="000000"/>
          <w:sz w:val="20"/>
          <w:szCs w:val="20"/>
          <w:shd w:val="clear" w:color="auto" w:fill="FFFFFF"/>
        </w:rPr>
        <w:footnoteReference w:id="28"/>
      </w:r>
      <w:r w:rsidR="00362949">
        <w:rPr>
          <w:rFonts w:ascii="Arial" w:hAnsi="Arial" w:cs="Arial"/>
          <w:color w:val="000000"/>
          <w:sz w:val="20"/>
          <w:szCs w:val="20"/>
          <w:shd w:val="clear" w:color="auto" w:fill="FFFFFF"/>
        </w:rPr>
        <w:t xml:space="preserve"> In practice the moratorium applied </w:t>
      </w:r>
      <w:r w:rsidR="006647CF">
        <w:rPr>
          <w:rFonts w:ascii="Arial" w:hAnsi="Arial" w:cs="Arial"/>
          <w:color w:val="000000"/>
          <w:sz w:val="20"/>
          <w:szCs w:val="20"/>
          <w:shd w:val="clear" w:color="auto" w:fill="FFFFFF"/>
        </w:rPr>
        <w:t xml:space="preserve">for </w:t>
      </w:r>
      <w:r w:rsidR="00362949">
        <w:rPr>
          <w:rFonts w:ascii="Arial" w:hAnsi="Arial" w:cs="Arial"/>
          <w:color w:val="000000"/>
          <w:sz w:val="20"/>
          <w:szCs w:val="20"/>
          <w:shd w:val="clear" w:color="auto" w:fill="FFFFFF"/>
        </w:rPr>
        <w:t>is usually about 3-6 months but may be extended if the Court is satisfied that progress is made in the efforts to restructure the company.</w:t>
      </w:r>
    </w:p>
    <w:p w14:paraId="6E163C7C" w14:textId="77777777" w:rsidR="00362949" w:rsidRPr="00362949" w:rsidRDefault="00362949" w:rsidP="00A43070">
      <w:pPr>
        <w:pStyle w:val="ListParagraph"/>
        <w:ind w:left="567" w:hanging="567"/>
        <w:jc w:val="both"/>
        <w:rPr>
          <w:rFonts w:ascii="Arial" w:hAnsi="Arial" w:cs="Arial"/>
          <w:sz w:val="20"/>
          <w:szCs w:val="20"/>
        </w:rPr>
      </w:pPr>
    </w:p>
    <w:p w14:paraId="41C1FDE2" w14:textId="5604B325" w:rsidR="006647CF" w:rsidRDefault="006647CF"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lastRenderedPageBreak/>
        <w:t xml:space="preserve">A foreign company with a </w:t>
      </w:r>
      <w:r w:rsidR="0091533C">
        <w:rPr>
          <w:rFonts w:ascii="Arial" w:hAnsi="Arial" w:cs="Arial"/>
          <w:sz w:val="20"/>
          <w:szCs w:val="20"/>
        </w:rPr>
        <w:t>“</w:t>
      </w:r>
      <w:r>
        <w:rPr>
          <w:rFonts w:ascii="Arial" w:hAnsi="Arial" w:cs="Arial"/>
          <w:sz w:val="20"/>
          <w:szCs w:val="20"/>
        </w:rPr>
        <w:t>substantial connection</w:t>
      </w:r>
      <w:r w:rsidR="0091533C">
        <w:rPr>
          <w:rFonts w:ascii="Arial" w:hAnsi="Arial" w:cs="Arial"/>
          <w:sz w:val="20"/>
          <w:szCs w:val="20"/>
        </w:rPr>
        <w:t>”</w:t>
      </w:r>
      <w:r>
        <w:rPr>
          <w:rFonts w:ascii="Arial" w:hAnsi="Arial" w:cs="Arial"/>
          <w:sz w:val="20"/>
          <w:szCs w:val="20"/>
        </w:rPr>
        <w:t xml:space="preserve"> with Singapore</w:t>
      </w:r>
      <w:r w:rsidR="00100202">
        <w:rPr>
          <w:rFonts w:ascii="Arial" w:hAnsi="Arial" w:cs="Arial"/>
          <w:sz w:val="20"/>
          <w:szCs w:val="20"/>
        </w:rPr>
        <w:t xml:space="preserve"> </w:t>
      </w:r>
      <w:r w:rsidR="009A5863">
        <w:rPr>
          <w:rFonts w:ascii="Arial" w:hAnsi="Arial" w:cs="Arial"/>
          <w:sz w:val="20"/>
          <w:szCs w:val="20"/>
        </w:rPr>
        <w:t xml:space="preserve">is also </w:t>
      </w:r>
      <w:r w:rsidR="00100202">
        <w:rPr>
          <w:rFonts w:ascii="Arial" w:hAnsi="Arial" w:cs="Arial"/>
          <w:sz w:val="20"/>
          <w:szCs w:val="20"/>
        </w:rPr>
        <w:t>entitled to apply for such a moratorium.</w:t>
      </w:r>
      <w:r w:rsidR="00100202">
        <w:rPr>
          <w:rStyle w:val="FootnoteReference"/>
          <w:rFonts w:ascii="Arial" w:hAnsi="Arial" w:cs="Arial"/>
          <w:sz w:val="20"/>
          <w:szCs w:val="20"/>
        </w:rPr>
        <w:footnoteReference w:id="29"/>
      </w:r>
      <w:r w:rsidR="00100202">
        <w:rPr>
          <w:rFonts w:ascii="Arial" w:hAnsi="Arial" w:cs="Arial"/>
          <w:sz w:val="20"/>
          <w:szCs w:val="20"/>
        </w:rPr>
        <w:t xml:space="preserve"> </w:t>
      </w:r>
      <w:r w:rsidR="009A5863">
        <w:rPr>
          <w:rFonts w:ascii="Arial" w:hAnsi="Arial" w:cs="Arial"/>
          <w:sz w:val="20"/>
          <w:szCs w:val="20"/>
        </w:rPr>
        <w:t>I</w:t>
      </w:r>
      <w:r>
        <w:rPr>
          <w:rFonts w:ascii="Arial" w:hAnsi="Arial" w:cs="Arial"/>
          <w:sz w:val="20"/>
          <w:szCs w:val="20"/>
        </w:rPr>
        <w:t xml:space="preserve">t is questionable if </w:t>
      </w:r>
      <w:r w:rsidR="009A5863">
        <w:rPr>
          <w:rFonts w:ascii="Arial" w:hAnsi="Arial" w:cs="Arial"/>
          <w:sz w:val="20"/>
          <w:szCs w:val="20"/>
        </w:rPr>
        <w:t xml:space="preserve">the other companies </w:t>
      </w:r>
      <w:r>
        <w:rPr>
          <w:rFonts w:ascii="Arial" w:hAnsi="Arial" w:cs="Arial"/>
          <w:sz w:val="20"/>
          <w:szCs w:val="20"/>
        </w:rPr>
        <w:t>in the F1 Group</w:t>
      </w:r>
      <w:r w:rsidR="009A5863">
        <w:rPr>
          <w:rFonts w:ascii="Arial" w:hAnsi="Arial" w:cs="Arial"/>
          <w:sz w:val="20"/>
          <w:szCs w:val="20"/>
        </w:rPr>
        <w:t>, not being Singapore incorporated,</w:t>
      </w:r>
      <w:r>
        <w:rPr>
          <w:rFonts w:ascii="Arial" w:hAnsi="Arial" w:cs="Arial"/>
          <w:sz w:val="20"/>
          <w:szCs w:val="20"/>
        </w:rPr>
        <w:t xml:space="preserve"> can satisfy the test of </w:t>
      </w:r>
      <w:r w:rsidR="005472F8">
        <w:rPr>
          <w:rFonts w:ascii="Arial" w:hAnsi="Arial" w:cs="Arial"/>
          <w:sz w:val="20"/>
          <w:szCs w:val="20"/>
        </w:rPr>
        <w:t>“</w:t>
      </w:r>
      <w:r w:rsidR="0091533C">
        <w:rPr>
          <w:rFonts w:ascii="Arial" w:hAnsi="Arial" w:cs="Arial"/>
          <w:sz w:val="20"/>
          <w:szCs w:val="20"/>
        </w:rPr>
        <w:t>substantial</w:t>
      </w:r>
      <w:r>
        <w:rPr>
          <w:rFonts w:ascii="Arial" w:hAnsi="Arial" w:cs="Arial"/>
          <w:sz w:val="20"/>
          <w:szCs w:val="20"/>
        </w:rPr>
        <w:t xml:space="preserve"> connection</w:t>
      </w:r>
      <w:r w:rsidR="005472F8">
        <w:rPr>
          <w:rFonts w:ascii="Arial" w:hAnsi="Arial" w:cs="Arial"/>
          <w:sz w:val="20"/>
          <w:szCs w:val="20"/>
        </w:rPr>
        <w:t>”</w:t>
      </w:r>
      <w:r w:rsidR="0091533C">
        <w:rPr>
          <w:rFonts w:ascii="Arial" w:hAnsi="Arial" w:cs="Arial"/>
          <w:sz w:val="20"/>
          <w:szCs w:val="20"/>
        </w:rPr>
        <w:t>.</w:t>
      </w:r>
      <w:r w:rsidR="005472F8">
        <w:rPr>
          <w:rFonts w:ascii="Arial" w:hAnsi="Arial" w:cs="Arial"/>
          <w:sz w:val="20"/>
          <w:szCs w:val="20"/>
        </w:rPr>
        <w:t xml:space="preserve"> The Court may rely on the presence of factors such as the following to determine substantial connection:</w:t>
      </w:r>
    </w:p>
    <w:p w14:paraId="22380DD0" w14:textId="77777777" w:rsidR="005472F8" w:rsidRPr="005472F8" w:rsidRDefault="005472F8" w:rsidP="005472F8">
      <w:pPr>
        <w:pStyle w:val="ListParagraph"/>
        <w:rPr>
          <w:rFonts w:ascii="Arial" w:hAnsi="Arial" w:cs="Arial"/>
          <w:sz w:val="20"/>
          <w:szCs w:val="20"/>
        </w:rPr>
      </w:pPr>
    </w:p>
    <w:p w14:paraId="7538E1B7" w14:textId="6553C730" w:rsidR="005472F8" w:rsidRPr="005472F8" w:rsidRDefault="005472F8" w:rsidP="005472F8">
      <w:pPr>
        <w:pStyle w:val="ListParagraph"/>
        <w:numPr>
          <w:ilvl w:val="1"/>
          <w:numId w:val="1"/>
        </w:numPr>
        <w:ind w:left="1134" w:hanging="567"/>
        <w:jc w:val="both"/>
        <w:rPr>
          <w:rFonts w:ascii="Arial" w:hAnsi="Arial" w:cs="Arial"/>
          <w:sz w:val="20"/>
          <w:szCs w:val="20"/>
        </w:rPr>
      </w:pPr>
      <w:r w:rsidRPr="005472F8">
        <w:rPr>
          <w:rFonts w:ascii="Arial" w:hAnsi="Arial" w:cs="Arial"/>
          <w:sz w:val="20"/>
          <w:szCs w:val="20"/>
        </w:rPr>
        <w:t>the company’s COMI is Singapore;</w:t>
      </w:r>
    </w:p>
    <w:p w14:paraId="49CBC348" w14:textId="5466BDDB" w:rsidR="005472F8" w:rsidRPr="005472F8" w:rsidRDefault="005472F8" w:rsidP="005472F8">
      <w:pPr>
        <w:pStyle w:val="ListParagraph"/>
        <w:numPr>
          <w:ilvl w:val="1"/>
          <w:numId w:val="1"/>
        </w:numPr>
        <w:ind w:left="1134" w:hanging="567"/>
        <w:jc w:val="both"/>
        <w:rPr>
          <w:rFonts w:ascii="Arial" w:hAnsi="Arial" w:cs="Arial"/>
          <w:sz w:val="20"/>
          <w:szCs w:val="20"/>
        </w:rPr>
      </w:pPr>
      <w:r w:rsidRPr="005472F8">
        <w:rPr>
          <w:rFonts w:ascii="Arial" w:hAnsi="Arial" w:cs="Arial"/>
          <w:sz w:val="20"/>
          <w:szCs w:val="20"/>
        </w:rPr>
        <w:t>the company is carrying on business in Singapore or has a place of business in Singapore;</w:t>
      </w:r>
    </w:p>
    <w:p w14:paraId="640AC251" w14:textId="19B6E03A" w:rsidR="005472F8" w:rsidRPr="005472F8" w:rsidRDefault="005472F8" w:rsidP="005472F8">
      <w:pPr>
        <w:pStyle w:val="ListParagraph"/>
        <w:numPr>
          <w:ilvl w:val="1"/>
          <w:numId w:val="1"/>
        </w:numPr>
        <w:ind w:left="1134" w:hanging="567"/>
        <w:jc w:val="both"/>
        <w:rPr>
          <w:rFonts w:ascii="Arial" w:hAnsi="Arial" w:cs="Arial"/>
          <w:sz w:val="20"/>
          <w:szCs w:val="20"/>
        </w:rPr>
      </w:pPr>
      <w:r w:rsidRPr="005472F8">
        <w:rPr>
          <w:rFonts w:ascii="Arial" w:hAnsi="Arial" w:cs="Arial"/>
          <w:sz w:val="20"/>
          <w:szCs w:val="20"/>
        </w:rPr>
        <w:t>the company is a foreign company that is registered under Singapore’s Companies Act;</w:t>
      </w:r>
    </w:p>
    <w:p w14:paraId="74F106CB" w14:textId="5194836D" w:rsidR="005472F8" w:rsidRPr="005472F8" w:rsidRDefault="005472F8" w:rsidP="005472F8">
      <w:pPr>
        <w:pStyle w:val="ListParagraph"/>
        <w:numPr>
          <w:ilvl w:val="1"/>
          <w:numId w:val="1"/>
        </w:numPr>
        <w:ind w:left="1134" w:hanging="567"/>
        <w:jc w:val="both"/>
        <w:rPr>
          <w:rFonts w:ascii="Arial" w:hAnsi="Arial" w:cs="Arial"/>
          <w:sz w:val="20"/>
          <w:szCs w:val="20"/>
        </w:rPr>
      </w:pPr>
      <w:r w:rsidRPr="005472F8">
        <w:rPr>
          <w:rFonts w:ascii="Arial" w:hAnsi="Arial" w:cs="Arial"/>
          <w:sz w:val="20"/>
          <w:szCs w:val="20"/>
        </w:rPr>
        <w:t>the company has chosen Singapore law as the law governing a loan or other transaction, or the law governing the resolution of one or more disputes arising out of or in connection with a loan or other transaction;</w:t>
      </w:r>
    </w:p>
    <w:p w14:paraId="3959E650" w14:textId="61A9E51E" w:rsidR="005472F8" w:rsidRPr="005472F8" w:rsidRDefault="005472F8" w:rsidP="005472F8">
      <w:pPr>
        <w:pStyle w:val="ListParagraph"/>
        <w:numPr>
          <w:ilvl w:val="1"/>
          <w:numId w:val="1"/>
        </w:numPr>
        <w:ind w:left="1134" w:hanging="567"/>
        <w:jc w:val="both"/>
        <w:rPr>
          <w:rFonts w:ascii="Arial" w:hAnsi="Arial" w:cs="Arial"/>
          <w:sz w:val="20"/>
          <w:szCs w:val="20"/>
        </w:rPr>
      </w:pPr>
      <w:r w:rsidRPr="005472F8">
        <w:rPr>
          <w:rFonts w:ascii="Arial" w:hAnsi="Arial" w:cs="Arial"/>
          <w:sz w:val="20"/>
          <w:szCs w:val="20"/>
        </w:rPr>
        <w:t>the company has submitted to the jurisdiction of the Court for the resolution of one or more disputes relating to a loan or other transaction.</w:t>
      </w:r>
      <w:r>
        <w:rPr>
          <w:rStyle w:val="FootnoteReference"/>
          <w:rFonts w:ascii="Arial" w:hAnsi="Arial" w:cs="Arial"/>
          <w:sz w:val="20"/>
          <w:szCs w:val="20"/>
        </w:rPr>
        <w:footnoteReference w:id="30"/>
      </w:r>
    </w:p>
    <w:p w14:paraId="4A35B159" w14:textId="77777777" w:rsidR="006647CF" w:rsidRPr="006647CF" w:rsidRDefault="006647CF" w:rsidP="00A43070">
      <w:pPr>
        <w:pStyle w:val="ListParagraph"/>
        <w:ind w:left="567" w:hanging="567"/>
        <w:jc w:val="both"/>
        <w:rPr>
          <w:rFonts w:ascii="Arial" w:hAnsi="Arial" w:cs="Arial"/>
          <w:sz w:val="20"/>
          <w:szCs w:val="20"/>
        </w:rPr>
      </w:pPr>
    </w:p>
    <w:p w14:paraId="5AD67FD4" w14:textId="79A72472" w:rsidR="00100202" w:rsidRDefault="00362949"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What is however unique under IRDA is that the application for a moratorium for F1 Singapore </w:t>
      </w:r>
      <w:r w:rsidR="006647CF">
        <w:rPr>
          <w:rFonts w:ascii="Arial" w:hAnsi="Arial" w:cs="Arial"/>
          <w:sz w:val="20"/>
          <w:szCs w:val="20"/>
        </w:rPr>
        <w:t xml:space="preserve">allows a </w:t>
      </w:r>
      <w:r>
        <w:rPr>
          <w:rFonts w:ascii="Arial" w:hAnsi="Arial" w:cs="Arial"/>
          <w:sz w:val="20"/>
          <w:szCs w:val="20"/>
        </w:rPr>
        <w:t xml:space="preserve">similar </w:t>
      </w:r>
      <w:r w:rsidR="006647CF">
        <w:rPr>
          <w:rFonts w:ascii="Arial" w:hAnsi="Arial" w:cs="Arial"/>
          <w:sz w:val="20"/>
          <w:szCs w:val="20"/>
        </w:rPr>
        <w:t>application to be made</w:t>
      </w:r>
      <w:r>
        <w:rPr>
          <w:rFonts w:ascii="Arial" w:hAnsi="Arial" w:cs="Arial"/>
          <w:sz w:val="20"/>
          <w:szCs w:val="20"/>
        </w:rPr>
        <w:t xml:space="preserve"> for F1 Trading and even F1 Investments</w:t>
      </w:r>
      <w:r w:rsidR="006647CF">
        <w:rPr>
          <w:rFonts w:ascii="Arial" w:hAnsi="Arial" w:cs="Arial"/>
          <w:sz w:val="20"/>
          <w:szCs w:val="20"/>
        </w:rPr>
        <w:t xml:space="preserve"> by reason of these companies being respectively the holding company and ultimate holding company of F1 Singapore</w:t>
      </w:r>
      <w:r>
        <w:rPr>
          <w:rFonts w:ascii="Arial" w:hAnsi="Arial" w:cs="Arial"/>
          <w:sz w:val="20"/>
          <w:szCs w:val="20"/>
        </w:rPr>
        <w:t>.</w:t>
      </w:r>
      <w:r>
        <w:rPr>
          <w:rStyle w:val="FootnoteReference"/>
          <w:rFonts w:ascii="Arial" w:hAnsi="Arial" w:cs="Arial"/>
          <w:sz w:val="20"/>
          <w:szCs w:val="20"/>
        </w:rPr>
        <w:footnoteReference w:id="31"/>
      </w:r>
      <w:r w:rsidR="00FC2205">
        <w:rPr>
          <w:rFonts w:ascii="Arial" w:hAnsi="Arial" w:cs="Arial"/>
          <w:sz w:val="20"/>
          <w:szCs w:val="20"/>
        </w:rPr>
        <w:t xml:space="preserve"> </w:t>
      </w:r>
      <w:r w:rsidR="006647CF">
        <w:rPr>
          <w:rFonts w:ascii="Arial" w:hAnsi="Arial" w:cs="Arial"/>
          <w:sz w:val="20"/>
          <w:szCs w:val="20"/>
        </w:rPr>
        <w:t>Such an application</w:t>
      </w:r>
      <w:r w:rsidR="00FC2205">
        <w:rPr>
          <w:rFonts w:ascii="Arial" w:hAnsi="Arial" w:cs="Arial"/>
          <w:sz w:val="20"/>
          <w:szCs w:val="20"/>
        </w:rPr>
        <w:t xml:space="preserve"> however does not extend to F1 Romania since it is neither a subsidiary, holding company or ultimate holding company of F1 </w:t>
      </w:r>
      <w:r w:rsidR="0073692D">
        <w:rPr>
          <w:rFonts w:ascii="Arial" w:hAnsi="Arial" w:cs="Arial"/>
          <w:sz w:val="20"/>
          <w:szCs w:val="20"/>
        </w:rPr>
        <w:t>Singapore</w:t>
      </w:r>
      <w:r w:rsidR="00FC2205">
        <w:rPr>
          <w:rFonts w:ascii="Arial" w:hAnsi="Arial" w:cs="Arial"/>
          <w:sz w:val="20"/>
          <w:szCs w:val="20"/>
        </w:rPr>
        <w:t>.</w:t>
      </w:r>
      <w:r w:rsidR="00FC2205">
        <w:rPr>
          <w:rStyle w:val="FootnoteReference"/>
          <w:rFonts w:ascii="Arial" w:hAnsi="Arial" w:cs="Arial"/>
          <w:sz w:val="20"/>
          <w:szCs w:val="20"/>
        </w:rPr>
        <w:footnoteReference w:id="32"/>
      </w:r>
    </w:p>
    <w:p w14:paraId="4DD5E668" w14:textId="77777777" w:rsidR="0073692D" w:rsidRPr="0073692D" w:rsidRDefault="0073692D" w:rsidP="00A43070">
      <w:pPr>
        <w:pStyle w:val="ListParagraph"/>
        <w:ind w:left="567" w:hanging="567"/>
        <w:jc w:val="both"/>
        <w:rPr>
          <w:rFonts w:ascii="Arial" w:hAnsi="Arial" w:cs="Arial"/>
          <w:sz w:val="20"/>
          <w:szCs w:val="20"/>
        </w:rPr>
      </w:pPr>
    </w:p>
    <w:p w14:paraId="6E8928D6" w14:textId="61D93470" w:rsidR="0073692D" w:rsidRDefault="0073692D"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Whether a moratorium granted in Singapore in respect of F1 Trading will be recognised in the Netherlands is a matter of domestic law. </w:t>
      </w:r>
      <w:r w:rsidR="00551CD0">
        <w:rPr>
          <w:rFonts w:ascii="Arial" w:hAnsi="Arial" w:cs="Arial"/>
          <w:sz w:val="20"/>
          <w:szCs w:val="20"/>
        </w:rPr>
        <w:t>T</w:t>
      </w:r>
      <w:r>
        <w:rPr>
          <w:rFonts w:ascii="Arial" w:hAnsi="Arial" w:cs="Arial"/>
          <w:sz w:val="20"/>
          <w:szCs w:val="20"/>
        </w:rPr>
        <w:t xml:space="preserve">he Netherlands has not </w:t>
      </w:r>
      <w:r w:rsidR="00551CD0">
        <w:rPr>
          <w:rFonts w:ascii="Arial" w:hAnsi="Arial" w:cs="Arial"/>
          <w:sz w:val="20"/>
          <w:szCs w:val="20"/>
        </w:rPr>
        <w:t>adopted the Model Law</w:t>
      </w:r>
      <w:r>
        <w:rPr>
          <w:rFonts w:ascii="Arial" w:hAnsi="Arial" w:cs="Arial"/>
          <w:sz w:val="20"/>
          <w:szCs w:val="20"/>
        </w:rPr>
        <w:t xml:space="preserve">. It is unclear if Netherlands domestic law will allow recognition of a moratorium granted by the Singapore Court in respect of F1 Trading. </w:t>
      </w:r>
    </w:p>
    <w:p w14:paraId="1EF08F15" w14:textId="77777777" w:rsidR="0073692D" w:rsidRPr="0073692D" w:rsidRDefault="0073692D" w:rsidP="00A43070">
      <w:pPr>
        <w:pStyle w:val="ListParagraph"/>
        <w:ind w:left="567" w:hanging="567"/>
        <w:jc w:val="both"/>
        <w:rPr>
          <w:rFonts w:ascii="Arial" w:hAnsi="Arial" w:cs="Arial"/>
          <w:sz w:val="20"/>
          <w:szCs w:val="20"/>
        </w:rPr>
      </w:pPr>
    </w:p>
    <w:p w14:paraId="7F6EEE8B" w14:textId="293BE8BC" w:rsidR="009A3276" w:rsidRDefault="0073692D"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United States has however </w:t>
      </w:r>
      <w:r w:rsidR="009A5863">
        <w:rPr>
          <w:rFonts w:ascii="Arial" w:hAnsi="Arial" w:cs="Arial"/>
          <w:sz w:val="20"/>
          <w:szCs w:val="20"/>
        </w:rPr>
        <w:t xml:space="preserve">adopted </w:t>
      </w:r>
      <w:r>
        <w:rPr>
          <w:rFonts w:ascii="Arial" w:hAnsi="Arial" w:cs="Arial"/>
          <w:sz w:val="20"/>
          <w:szCs w:val="20"/>
        </w:rPr>
        <w:t>the Model Law</w:t>
      </w:r>
      <w:r w:rsidR="009A5863">
        <w:rPr>
          <w:rFonts w:ascii="Arial" w:hAnsi="Arial" w:cs="Arial"/>
          <w:sz w:val="20"/>
          <w:szCs w:val="20"/>
        </w:rPr>
        <w:t xml:space="preserve">. This </w:t>
      </w:r>
      <w:r w:rsidR="005F0E12">
        <w:rPr>
          <w:rFonts w:ascii="Arial" w:hAnsi="Arial" w:cs="Arial"/>
          <w:sz w:val="20"/>
          <w:szCs w:val="20"/>
        </w:rPr>
        <w:t xml:space="preserve">presents an avenue to </w:t>
      </w:r>
      <w:r w:rsidRPr="00822A4F">
        <w:rPr>
          <w:rFonts w:ascii="Arial" w:hAnsi="Arial" w:cs="Arial"/>
          <w:sz w:val="20"/>
          <w:szCs w:val="20"/>
        </w:rPr>
        <w:t>recogni</w:t>
      </w:r>
      <w:r w:rsidR="009A5863">
        <w:rPr>
          <w:rFonts w:ascii="Arial" w:hAnsi="Arial" w:cs="Arial"/>
          <w:sz w:val="20"/>
          <w:szCs w:val="20"/>
        </w:rPr>
        <w:t>se</w:t>
      </w:r>
      <w:r w:rsidRPr="00822A4F">
        <w:rPr>
          <w:rFonts w:ascii="Arial" w:hAnsi="Arial" w:cs="Arial"/>
          <w:sz w:val="20"/>
          <w:szCs w:val="20"/>
        </w:rPr>
        <w:t xml:space="preserve"> </w:t>
      </w:r>
      <w:r w:rsidR="006647CF">
        <w:rPr>
          <w:rFonts w:ascii="Arial" w:hAnsi="Arial" w:cs="Arial"/>
          <w:sz w:val="20"/>
          <w:szCs w:val="20"/>
        </w:rPr>
        <w:t xml:space="preserve">the insolvency </w:t>
      </w:r>
      <w:r w:rsidR="009A3276">
        <w:rPr>
          <w:rFonts w:ascii="Arial" w:hAnsi="Arial" w:cs="Arial"/>
          <w:sz w:val="20"/>
          <w:szCs w:val="20"/>
        </w:rPr>
        <w:t>proceedings</w:t>
      </w:r>
      <w:r w:rsidR="009A5863">
        <w:rPr>
          <w:rFonts w:ascii="Arial" w:hAnsi="Arial" w:cs="Arial"/>
          <w:sz w:val="20"/>
          <w:szCs w:val="20"/>
        </w:rPr>
        <w:t xml:space="preserve"> commenced in Singapore</w:t>
      </w:r>
      <w:r w:rsidRPr="00822A4F">
        <w:rPr>
          <w:rFonts w:ascii="Arial" w:hAnsi="Arial" w:cs="Arial"/>
          <w:sz w:val="20"/>
          <w:szCs w:val="20"/>
        </w:rPr>
        <w:t xml:space="preserve"> in respect of F1 </w:t>
      </w:r>
      <w:r w:rsidR="00551CD0">
        <w:rPr>
          <w:rFonts w:ascii="Arial" w:hAnsi="Arial" w:cs="Arial"/>
          <w:sz w:val="20"/>
          <w:szCs w:val="20"/>
        </w:rPr>
        <w:t xml:space="preserve">Singapore. The COMI of F1 Singapore is </w:t>
      </w:r>
      <w:r w:rsidR="009A5863">
        <w:rPr>
          <w:rFonts w:ascii="Arial" w:hAnsi="Arial" w:cs="Arial"/>
          <w:sz w:val="20"/>
          <w:szCs w:val="20"/>
        </w:rPr>
        <w:t xml:space="preserve">likely </w:t>
      </w:r>
      <w:r w:rsidR="00551CD0">
        <w:rPr>
          <w:rFonts w:ascii="Arial" w:hAnsi="Arial" w:cs="Arial"/>
          <w:sz w:val="20"/>
          <w:szCs w:val="20"/>
        </w:rPr>
        <w:t>Singapore</w:t>
      </w:r>
      <w:r w:rsidR="009A5863">
        <w:rPr>
          <w:rFonts w:ascii="Arial" w:hAnsi="Arial" w:cs="Arial"/>
          <w:sz w:val="20"/>
          <w:szCs w:val="20"/>
        </w:rPr>
        <w:t xml:space="preserve"> since it is a Singapore-incorporated company. T</w:t>
      </w:r>
      <w:r w:rsidR="00551CD0">
        <w:rPr>
          <w:rFonts w:ascii="Arial" w:hAnsi="Arial" w:cs="Arial"/>
          <w:sz w:val="20"/>
          <w:szCs w:val="20"/>
        </w:rPr>
        <w:t>he</w:t>
      </w:r>
      <w:r w:rsidR="009A5863">
        <w:rPr>
          <w:rFonts w:ascii="Arial" w:hAnsi="Arial" w:cs="Arial"/>
          <w:sz w:val="20"/>
          <w:szCs w:val="20"/>
        </w:rPr>
        <w:t xml:space="preserve"> insolvency proceedings would there be recognised as </w:t>
      </w:r>
      <w:r w:rsidR="009A3276">
        <w:rPr>
          <w:rFonts w:ascii="Arial" w:hAnsi="Arial" w:cs="Arial"/>
          <w:sz w:val="20"/>
          <w:szCs w:val="20"/>
        </w:rPr>
        <w:t xml:space="preserve">a </w:t>
      </w:r>
      <w:r w:rsidR="009A5863">
        <w:rPr>
          <w:rFonts w:ascii="Arial" w:hAnsi="Arial" w:cs="Arial"/>
          <w:sz w:val="20"/>
          <w:szCs w:val="20"/>
        </w:rPr>
        <w:t>“</w:t>
      </w:r>
      <w:r w:rsidR="009A3276">
        <w:rPr>
          <w:rFonts w:ascii="Arial" w:hAnsi="Arial" w:cs="Arial"/>
          <w:sz w:val="20"/>
          <w:szCs w:val="20"/>
        </w:rPr>
        <w:t>foreign main proceeding</w:t>
      </w:r>
      <w:r w:rsidR="009A5863">
        <w:rPr>
          <w:rFonts w:ascii="Arial" w:hAnsi="Arial" w:cs="Arial"/>
          <w:sz w:val="20"/>
          <w:szCs w:val="20"/>
        </w:rPr>
        <w:t>”</w:t>
      </w:r>
      <w:r w:rsidR="009A5863">
        <w:rPr>
          <w:rStyle w:val="FootnoteReference"/>
          <w:rFonts w:ascii="Arial" w:hAnsi="Arial" w:cs="Arial"/>
          <w:sz w:val="20"/>
          <w:szCs w:val="20"/>
        </w:rPr>
        <w:footnoteReference w:id="33"/>
      </w:r>
      <w:r w:rsidR="009A5863">
        <w:rPr>
          <w:rFonts w:ascii="Arial" w:hAnsi="Arial" w:cs="Arial"/>
          <w:sz w:val="20"/>
          <w:szCs w:val="20"/>
        </w:rPr>
        <w:t xml:space="preserve"> in the United States</w:t>
      </w:r>
      <w:r w:rsidR="00551CD0">
        <w:rPr>
          <w:rFonts w:ascii="Arial" w:hAnsi="Arial" w:cs="Arial"/>
          <w:sz w:val="20"/>
          <w:szCs w:val="20"/>
        </w:rPr>
        <w:t>.</w:t>
      </w:r>
      <w:r w:rsidR="009A3276">
        <w:rPr>
          <w:rFonts w:ascii="Arial" w:hAnsi="Arial" w:cs="Arial"/>
          <w:sz w:val="20"/>
          <w:szCs w:val="20"/>
        </w:rPr>
        <w:t xml:space="preserve"> </w:t>
      </w:r>
      <w:r w:rsidR="009A5863">
        <w:rPr>
          <w:rFonts w:ascii="Arial" w:hAnsi="Arial" w:cs="Arial"/>
          <w:sz w:val="20"/>
          <w:szCs w:val="20"/>
        </w:rPr>
        <w:t>P</w:t>
      </w:r>
      <w:r w:rsidR="009A3276">
        <w:rPr>
          <w:rFonts w:ascii="Arial" w:hAnsi="Arial" w:cs="Arial"/>
          <w:sz w:val="20"/>
          <w:szCs w:val="20"/>
        </w:rPr>
        <w:t>ursuant to Article 20 of the Model Law</w:t>
      </w:r>
      <w:r w:rsidR="009E012B">
        <w:rPr>
          <w:rFonts w:ascii="Arial" w:hAnsi="Arial" w:cs="Arial"/>
          <w:sz w:val="20"/>
          <w:szCs w:val="20"/>
        </w:rPr>
        <w:t xml:space="preserve">, </w:t>
      </w:r>
      <w:r w:rsidR="009A5863">
        <w:rPr>
          <w:rFonts w:ascii="Arial" w:hAnsi="Arial" w:cs="Arial"/>
          <w:sz w:val="20"/>
          <w:szCs w:val="20"/>
        </w:rPr>
        <w:t>such recognition would mean that in the United States:</w:t>
      </w:r>
    </w:p>
    <w:p w14:paraId="29B849EC" w14:textId="77777777" w:rsidR="009E012B" w:rsidRPr="009E012B" w:rsidRDefault="009E012B" w:rsidP="00A43070">
      <w:pPr>
        <w:pStyle w:val="ListParagraph"/>
        <w:ind w:left="567" w:hanging="567"/>
        <w:jc w:val="both"/>
        <w:rPr>
          <w:rFonts w:ascii="Arial" w:hAnsi="Arial" w:cs="Arial"/>
          <w:sz w:val="20"/>
          <w:szCs w:val="20"/>
        </w:rPr>
      </w:pPr>
    </w:p>
    <w:p w14:paraId="7D2258DE" w14:textId="02CD410A" w:rsidR="009E012B" w:rsidRPr="009E012B" w:rsidRDefault="009E012B" w:rsidP="00A43070">
      <w:pPr>
        <w:pStyle w:val="ListParagraph"/>
        <w:numPr>
          <w:ilvl w:val="1"/>
          <w:numId w:val="1"/>
        </w:numPr>
        <w:ind w:left="1134" w:hanging="567"/>
        <w:jc w:val="both"/>
        <w:rPr>
          <w:rFonts w:ascii="Arial" w:hAnsi="Arial" w:cs="Arial"/>
          <w:sz w:val="20"/>
          <w:szCs w:val="20"/>
        </w:rPr>
      </w:pPr>
      <w:r w:rsidRPr="00453BCF">
        <w:rPr>
          <w:rFonts w:ascii="Arial" w:hAnsi="Arial" w:cs="Arial"/>
          <w:sz w:val="20"/>
          <w:szCs w:val="20"/>
        </w:rPr>
        <w:t>the commencement or continuation of individual actions or individual proceedings concerning the debtor’s property, rights, obligations or liabilities is stayed;</w:t>
      </w:r>
    </w:p>
    <w:p w14:paraId="409CF5E6" w14:textId="0DD0A1EE" w:rsidR="009E012B" w:rsidRPr="009E012B" w:rsidRDefault="009E012B" w:rsidP="00A43070">
      <w:pPr>
        <w:pStyle w:val="ListParagraph"/>
        <w:numPr>
          <w:ilvl w:val="1"/>
          <w:numId w:val="1"/>
        </w:numPr>
        <w:ind w:left="1134" w:hanging="567"/>
        <w:jc w:val="both"/>
        <w:rPr>
          <w:rFonts w:ascii="Arial" w:hAnsi="Arial" w:cs="Arial"/>
          <w:sz w:val="20"/>
          <w:szCs w:val="20"/>
        </w:rPr>
      </w:pPr>
      <w:r w:rsidRPr="00453BCF">
        <w:rPr>
          <w:rFonts w:ascii="Arial" w:hAnsi="Arial" w:cs="Arial"/>
          <w:sz w:val="20"/>
          <w:szCs w:val="20"/>
        </w:rPr>
        <w:t>execution against the debtor’s property is stayed; and</w:t>
      </w:r>
    </w:p>
    <w:p w14:paraId="297A92CB" w14:textId="3BFC7EF1" w:rsidR="009E012B" w:rsidRPr="009E012B" w:rsidRDefault="009E012B" w:rsidP="00A43070">
      <w:pPr>
        <w:pStyle w:val="ListParagraph"/>
        <w:numPr>
          <w:ilvl w:val="1"/>
          <w:numId w:val="1"/>
        </w:numPr>
        <w:ind w:left="1134" w:hanging="567"/>
        <w:jc w:val="both"/>
        <w:rPr>
          <w:rFonts w:ascii="Arial" w:hAnsi="Arial" w:cs="Arial"/>
          <w:sz w:val="20"/>
          <w:szCs w:val="20"/>
        </w:rPr>
      </w:pPr>
      <w:r w:rsidRPr="00453BCF">
        <w:rPr>
          <w:rFonts w:ascii="Arial" w:hAnsi="Arial" w:cs="Arial"/>
          <w:sz w:val="20"/>
          <w:szCs w:val="20"/>
        </w:rPr>
        <w:t>the right to transfer, encumber or otherwise dispose of any property of the debtor is suspended.</w:t>
      </w:r>
    </w:p>
    <w:p w14:paraId="5DC25902" w14:textId="77777777" w:rsidR="009A3276" w:rsidRPr="009A3276" w:rsidRDefault="009A3276" w:rsidP="00A43070">
      <w:pPr>
        <w:pStyle w:val="ListParagraph"/>
        <w:jc w:val="both"/>
        <w:rPr>
          <w:rFonts w:ascii="Arial" w:hAnsi="Arial" w:cs="Arial"/>
          <w:sz w:val="20"/>
          <w:szCs w:val="20"/>
        </w:rPr>
      </w:pPr>
    </w:p>
    <w:p w14:paraId="3662C355" w14:textId="03E6FF8F" w:rsidR="006647CF" w:rsidRDefault="00551CD0"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 It is however less clear if the moratorium applicable to F1 </w:t>
      </w:r>
      <w:r w:rsidR="0073692D" w:rsidRPr="00822A4F">
        <w:rPr>
          <w:rFonts w:ascii="Arial" w:hAnsi="Arial" w:cs="Arial"/>
          <w:sz w:val="20"/>
          <w:szCs w:val="20"/>
        </w:rPr>
        <w:t>Investments</w:t>
      </w:r>
      <w:r w:rsidR="009A3276">
        <w:rPr>
          <w:rFonts w:ascii="Arial" w:hAnsi="Arial" w:cs="Arial"/>
          <w:sz w:val="20"/>
          <w:szCs w:val="20"/>
        </w:rPr>
        <w:t xml:space="preserve"> can be said to qualify as a foreign proceeding which can be recognised</w:t>
      </w:r>
      <w:r w:rsidR="00822A4F">
        <w:rPr>
          <w:rFonts w:ascii="Arial" w:hAnsi="Arial" w:cs="Arial"/>
          <w:sz w:val="20"/>
          <w:szCs w:val="20"/>
        </w:rPr>
        <w:t xml:space="preserve"> </w:t>
      </w:r>
      <w:r w:rsidR="009A3276">
        <w:rPr>
          <w:rFonts w:ascii="Arial" w:hAnsi="Arial" w:cs="Arial"/>
          <w:sz w:val="20"/>
          <w:szCs w:val="20"/>
        </w:rPr>
        <w:t>in</w:t>
      </w:r>
      <w:r w:rsidR="00822A4F">
        <w:rPr>
          <w:rFonts w:ascii="Arial" w:hAnsi="Arial" w:cs="Arial"/>
          <w:sz w:val="20"/>
          <w:szCs w:val="20"/>
        </w:rPr>
        <w:t xml:space="preserve"> United States</w:t>
      </w:r>
      <w:r>
        <w:rPr>
          <w:rFonts w:ascii="Arial" w:hAnsi="Arial" w:cs="Arial"/>
          <w:sz w:val="20"/>
          <w:szCs w:val="20"/>
        </w:rPr>
        <w:t xml:space="preserve"> through the Model Law</w:t>
      </w:r>
      <w:r w:rsidR="00822A4F">
        <w:rPr>
          <w:rFonts w:ascii="Arial" w:hAnsi="Arial" w:cs="Arial"/>
          <w:sz w:val="20"/>
          <w:szCs w:val="20"/>
        </w:rPr>
        <w:t>.</w:t>
      </w:r>
      <w:r w:rsidR="0073692D" w:rsidRPr="00822A4F">
        <w:rPr>
          <w:rFonts w:ascii="Arial" w:hAnsi="Arial" w:cs="Arial"/>
          <w:sz w:val="20"/>
          <w:szCs w:val="20"/>
        </w:rPr>
        <w:t xml:space="preserve"> </w:t>
      </w:r>
      <w:r w:rsidR="00C36878">
        <w:rPr>
          <w:rFonts w:ascii="Arial" w:hAnsi="Arial" w:cs="Arial"/>
          <w:sz w:val="20"/>
          <w:szCs w:val="20"/>
        </w:rPr>
        <w:t>“</w:t>
      </w:r>
      <w:r w:rsidR="00C36878" w:rsidRPr="00C36878">
        <w:rPr>
          <w:rFonts w:ascii="Arial" w:hAnsi="Arial" w:cs="Arial"/>
          <w:i/>
          <w:iCs/>
          <w:sz w:val="20"/>
          <w:szCs w:val="20"/>
        </w:rPr>
        <w:t>Foreign proceeding</w:t>
      </w:r>
      <w:r w:rsidR="00C36878">
        <w:rPr>
          <w:rFonts w:ascii="Arial" w:hAnsi="Arial" w:cs="Arial"/>
          <w:sz w:val="20"/>
          <w:szCs w:val="20"/>
        </w:rPr>
        <w:t>” is defined as a “</w:t>
      </w:r>
      <w:r w:rsidR="00C36878" w:rsidRPr="00C36878">
        <w:rPr>
          <w:rFonts w:ascii="Arial" w:hAnsi="Arial" w:cs="Arial"/>
          <w:i/>
          <w:iCs/>
          <w:sz w:val="20"/>
          <w:szCs w:val="20"/>
        </w:rPr>
        <w:t>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C36878">
        <w:rPr>
          <w:rFonts w:ascii="Arial" w:hAnsi="Arial" w:cs="Arial"/>
          <w:i/>
          <w:iCs/>
          <w:sz w:val="20"/>
          <w:szCs w:val="20"/>
        </w:rPr>
        <w:t>.</w:t>
      </w:r>
      <w:r w:rsidR="00C36878">
        <w:rPr>
          <w:rFonts w:ascii="Arial" w:hAnsi="Arial" w:cs="Arial"/>
          <w:sz w:val="20"/>
          <w:szCs w:val="20"/>
        </w:rPr>
        <w:t>”</w:t>
      </w:r>
      <w:r w:rsidR="00C36878">
        <w:rPr>
          <w:rStyle w:val="FootnoteReference"/>
          <w:rFonts w:ascii="Arial" w:hAnsi="Arial" w:cs="Arial"/>
          <w:sz w:val="20"/>
          <w:szCs w:val="20"/>
        </w:rPr>
        <w:footnoteReference w:id="34"/>
      </w:r>
      <w:r w:rsidR="00C36878">
        <w:rPr>
          <w:rFonts w:ascii="Arial" w:hAnsi="Arial" w:cs="Arial"/>
          <w:sz w:val="20"/>
          <w:szCs w:val="20"/>
        </w:rPr>
        <w:t xml:space="preserve"> Whilst the insolvency proceedings commenced in </w:t>
      </w:r>
      <w:r w:rsidR="00C36878">
        <w:rPr>
          <w:rFonts w:ascii="Arial" w:hAnsi="Arial" w:cs="Arial"/>
          <w:sz w:val="20"/>
          <w:szCs w:val="20"/>
        </w:rPr>
        <w:lastRenderedPageBreak/>
        <w:t>respect of F1 Singapore would fall under this definition, a moratorium applicable to F1</w:t>
      </w:r>
      <w:r w:rsidR="00CE57E0">
        <w:rPr>
          <w:rFonts w:ascii="Arial" w:hAnsi="Arial" w:cs="Arial"/>
          <w:sz w:val="20"/>
          <w:szCs w:val="20"/>
        </w:rPr>
        <w:t xml:space="preserve"> Investments as F1</w:t>
      </w:r>
      <w:r w:rsidR="00C36878">
        <w:rPr>
          <w:rFonts w:ascii="Arial" w:hAnsi="Arial" w:cs="Arial"/>
          <w:sz w:val="20"/>
          <w:szCs w:val="20"/>
        </w:rPr>
        <w:t xml:space="preserve"> Singapore’s ultimate holding company may not. Arguably, there are no collective judicial proceedings in respect of F1 Investments for the purpose of its reorganization or liquidation.</w:t>
      </w:r>
    </w:p>
    <w:p w14:paraId="05EC6867" w14:textId="77777777" w:rsidR="006647CF" w:rsidRPr="006647CF" w:rsidRDefault="006647CF" w:rsidP="00A43070">
      <w:pPr>
        <w:pStyle w:val="ListParagraph"/>
        <w:ind w:left="567" w:hanging="567"/>
        <w:jc w:val="both"/>
        <w:rPr>
          <w:rFonts w:ascii="Arial" w:hAnsi="Arial" w:cs="Arial"/>
          <w:sz w:val="20"/>
          <w:szCs w:val="20"/>
        </w:rPr>
      </w:pPr>
    </w:p>
    <w:p w14:paraId="3B984538" w14:textId="6A2858C9" w:rsidR="00C36878" w:rsidRDefault="006647CF" w:rsidP="00A02C89">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As such the utility in applying for a moratorium under IRDA is limited to primarily F1 Singapore. </w:t>
      </w:r>
    </w:p>
    <w:p w14:paraId="28EFB626" w14:textId="77777777" w:rsidR="00A02C89" w:rsidRPr="00A02C89" w:rsidRDefault="00A02C89" w:rsidP="00A02C89">
      <w:pPr>
        <w:pStyle w:val="ListParagraph"/>
        <w:rPr>
          <w:rFonts w:ascii="Arial" w:hAnsi="Arial" w:cs="Arial"/>
          <w:sz w:val="20"/>
          <w:szCs w:val="20"/>
        </w:rPr>
      </w:pPr>
    </w:p>
    <w:p w14:paraId="273EA293" w14:textId="77777777" w:rsidR="00A02C89" w:rsidRPr="00A02C89" w:rsidRDefault="00A02C89" w:rsidP="00A02C89">
      <w:pPr>
        <w:pStyle w:val="ListParagraph"/>
        <w:ind w:left="567"/>
        <w:jc w:val="both"/>
        <w:rPr>
          <w:rFonts w:ascii="Arial" w:hAnsi="Arial" w:cs="Arial"/>
          <w:sz w:val="20"/>
          <w:szCs w:val="20"/>
        </w:rPr>
      </w:pPr>
    </w:p>
    <w:p w14:paraId="0C85395C" w14:textId="6FBB24CF" w:rsidR="005E16D6" w:rsidRPr="00B47FEA" w:rsidRDefault="005E16D6" w:rsidP="00A43070">
      <w:pPr>
        <w:pStyle w:val="ListParagraph"/>
        <w:ind w:left="0"/>
        <w:jc w:val="both"/>
        <w:rPr>
          <w:rFonts w:ascii="Arial" w:hAnsi="Arial" w:cs="Arial"/>
          <w:sz w:val="20"/>
          <w:szCs w:val="20"/>
          <w:u w:val="single"/>
        </w:rPr>
      </w:pPr>
      <w:r w:rsidRPr="00B47FEA">
        <w:rPr>
          <w:rFonts w:ascii="Arial" w:hAnsi="Arial" w:cs="Arial"/>
          <w:sz w:val="20"/>
          <w:szCs w:val="20"/>
          <w:u w:val="single"/>
        </w:rPr>
        <w:t>Conclusion</w:t>
      </w:r>
    </w:p>
    <w:p w14:paraId="68CEFB8B" w14:textId="77777777" w:rsidR="005E16D6" w:rsidRPr="005E16D6" w:rsidRDefault="005E16D6" w:rsidP="00A43070">
      <w:pPr>
        <w:pStyle w:val="ListParagraph"/>
        <w:jc w:val="both"/>
        <w:rPr>
          <w:rFonts w:ascii="Arial" w:hAnsi="Arial" w:cs="Arial"/>
          <w:sz w:val="20"/>
          <w:szCs w:val="20"/>
        </w:rPr>
      </w:pPr>
    </w:p>
    <w:p w14:paraId="3A9802B9" w14:textId="547061C6" w:rsidR="00453BCF" w:rsidRDefault="005E16D6" w:rsidP="00A43070">
      <w:pPr>
        <w:pStyle w:val="ListParagraph"/>
        <w:numPr>
          <w:ilvl w:val="0"/>
          <w:numId w:val="1"/>
        </w:numPr>
        <w:ind w:left="567" w:hanging="567"/>
        <w:jc w:val="both"/>
        <w:rPr>
          <w:rFonts w:ascii="Arial" w:hAnsi="Arial" w:cs="Arial"/>
          <w:sz w:val="20"/>
          <w:szCs w:val="20"/>
        </w:rPr>
      </w:pPr>
      <w:r>
        <w:rPr>
          <w:rFonts w:ascii="Arial" w:hAnsi="Arial" w:cs="Arial"/>
          <w:sz w:val="20"/>
          <w:szCs w:val="20"/>
        </w:rPr>
        <w:t>The options presented above carry varying degrees of uncertainty</w:t>
      </w:r>
      <w:r w:rsidR="00CE57E0">
        <w:rPr>
          <w:rFonts w:ascii="Arial" w:hAnsi="Arial" w:cs="Arial"/>
          <w:sz w:val="20"/>
          <w:szCs w:val="20"/>
        </w:rPr>
        <w:t xml:space="preserve">, </w:t>
      </w:r>
      <w:r w:rsidR="00CE57E0" w:rsidRPr="00CE57E0">
        <w:rPr>
          <w:rFonts w:ascii="Arial" w:hAnsi="Arial" w:cs="Arial"/>
          <w:i/>
          <w:iCs/>
          <w:sz w:val="20"/>
          <w:szCs w:val="20"/>
        </w:rPr>
        <w:t>inter alia</w:t>
      </w:r>
      <w:r w:rsidR="00CE57E0">
        <w:rPr>
          <w:rFonts w:ascii="Arial" w:hAnsi="Arial" w:cs="Arial"/>
          <w:sz w:val="20"/>
          <w:szCs w:val="20"/>
        </w:rPr>
        <w:t>,</w:t>
      </w:r>
      <w:r w:rsidR="00453BCF">
        <w:rPr>
          <w:rFonts w:ascii="Arial" w:hAnsi="Arial" w:cs="Arial"/>
          <w:sz w:val="20"/>
          <w:szCs w:val="20"/>
        </w:rPr>
        <w:t xml:space="preserve"> because of:</w:t>
      </w:r>
    </w:p>
    <w:p w14:paraId="55686430" w14:textId="2BA02C5E" w:rsidR="00A43070" w:rsidRDefault="00A43070" w:rsidP="00A43070">
      <w:pPr>
        <w:pStyle w:val="ListParagraph"/>
        <w:ind w:left="284"/>
        <w:jc w:val="both"/>
        <w:rPr>
          <w:rFonts w:ascii="Arial" w:hAnsi="Arial" w:cs="Arial"/>
          <w:sz w:val="20"/>
          <w:szCs w:val="20"/>
        </w:rPr>
      </w:pPr>
    </w:p>
    <w:p w14:paraId="6363F39A" w14:textId="3A1E75FC" w:rsidR="005E16D6" w:rsidRDefault="00453BCF"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the unclear nature of the insolvency proceedings commenced by the Drivers in respect of F1 Romania;</w:t>
      </w:r>
    </w:p>
    <w:p w14:paraId="6AA43BCA" w14:textId="5FD06725" w:rsidR="00453BCF" w:rsidRDefault="00453BCF" w:rsidP="00A43070">
      <w:pPr>
        <w:pStyle w:val="ListParagraph"/>
        <w:numPr>
          <w:ilvl w:val="1"/>
          <w:numId w:val="1"/>
        </w:numPr>
        <w:ind w:left="1134" w:hanging="567"/>
        <w:jc w:val="both"/>
        <w:rPr>
          <w:rFonts w:ascii="Arial" w:hAnsi="Arial" w:cs="Arial"/>
          <w:sz w:val="20"/>
          <w:szCs w:val="20"/>
        </w:rPr>
      </w:pPr>
      <w:r>
        <w:rPr>
          <w:rFonts w:ascii="Arial" w:hAnsi="Arial" w:cs="Arial"/>
          <w:sz w:val="20"/>
          <w:szCs w:val="20"/>
        </w:rPr>
        <w:t>the lack of clarity on whether the Netherlands domestic law will allow the recognition of either Chapter 11 proceedings or Singapore insolvency proceedings in the Netherlands.</w:t>
      </w:r>
    </w:p>
    <w:p w14:paraId="55637B18" w14:textId="77777777" w:rsidR="00CF0F40" w:rsidRDefault="00CF0F40" w:rsidP="00A43070">
      <w:pPr>
        <w:pStyle w:val="ListParagraph"/>
        <w:ind w:left="709"/>
        <w:jc w:val="both"/>
        <w:rPr>
          <w:rFonts w:ascii="Arial" w:hAnsi="Arial" w:cs="Arial"/>
          <w:sz w:val="20"/>
          <w:szCs w:val="20"/>
        </w:rPr>
      </w:pPr>
    </w:p>
    <w:p w14:paraId="754975EB" w14:textId="4A291594" w:rsidR="00453BCF" w:rsidRPr="00CE57E0" w:rsidRDefault="00453BCF" w:rsidP="00CE57E0">
      <w:pPr>
        <w:pStyle w:val="ListParagraph"/>
        <w:numPr>
          <w:ilvl w:val="0"/>
          <w:numId w:val="1"/>
        </w:numPr>
        <w:ind w:left="567" w:hanging="567"/>
        <w:jc w:val="both"/>
        <w:rPr>
          <w:rFonts w:ascii="Arial" w:hAnsi="Arial" w:cs="Arial"/>
          <w:sz w:val="20"/>
          <w:szCs w:val="20"/>
        </w:rPr>
      </w:pPr>
      <w:r>
        <w:rPr>
          <w:rFonts w:ascii="Arial" w:hAnsi="Arial" w:cs="Arial"/>
          <w:sz w:val="20"/>
          <w:szCs w:val="20"/>
        </w:rPr>
        <w:t>Were F1 Trading incorporated in the United Kingdom which is a Model Law country</w:t>
      </w:r>
      <w:r w:rsidR="00CE57E0">
        <w:rPr>
          <w:rFonts w:ascii="Arial" w:hAnsi="Arial" w:cs="Arial"/>
          <w:sz w:val="20"/>
          <w:szCs w:val="20"/>
        </w:rPr>
        <w:t xml:space="preserve"> unlike the Netherlands</w:t>
      </w:r>
      <w:r>
        <w:rPr>
          <w:rFonts w:ascii="Arial" w:hAnsi="Arial" w:cs="Arial"/>
          <w:sz w:val="20"/>
          <w:szCs w:val="20"/>
        </w:rPr>
        <w:t>, there would be little doubt that Chapter 11 proceedings or Singapore insolvency proceedings would be recognised</w:t>
      </w:r>
      <w:r w:rsidR="00CE57E0">
        <w:rPr>
          <w:rFonts w:ascii="Arial" w:hAnsi="Arial" w:cs="Arial"/>
          <w:sz w:val="20"/>
          <w:szCs w:val="20"/>
        </w:rPr>
        <w:t xml:space="preserve"> there</w:t>
      </w:r>
      <w:r>
        <w:rPr>
          <w:rFonts w:ascii="Arial" w:hAnsi="Arial" w:cs="Arial"/>
          <w:sz w:val="20"/>
          <w:szCs w:val="20"/>
        </w:rPr>
        <w:t xml:space="preserve">. In </w:t>
      </w:r>
      <w:r w:rsidR="00CE57E0">
        <w:rPr>
          <w:rFonts w:ascii="Arial" w:hAnsi="Arial" w:cs="Arial"/>
          <w:sz w:val="20"/>
          <w:szCs w:val="20"/>
        </w:rPr>
        <w:t>such a scenario,</w:t>
      </w:r>
      <w:r>
        <w:rPr>
          <w:rFonts w:ascii="Arial" w:hAnsi="Arial" w:cs="Arial"/>
          <w:sz w:val="20"/>
          <w:szCs w:val="20"/>
        </w:rPr>
        <w:t xml:space="preserve"> t</w:t>
      </w:r>
      <w:r w:rsidRPr="00453BCF">
        <w:rPr>
          <w:rFonts w:ascii="Arial" w:hAnsi="Arial" w:cs="Arial"/>
          <w:sz w:val="20"/>
          <w:szCs w:val="20"/>
        </w:rPr>
        <w:t xml:space="preserve">he Chapter 11 proceedings </w:t>
      </w:r>
      <w:r w:rsidR="00CE57E0">
        <w:rPr>
          <w:rFonts w:ascii="Arial" w:hAnsi="Arial" w:cs="Arial"/>
          <w:sz w:val="20"/>
          <w:szCs w:val="20"/>
        </w:rPr>
        <w:t>will clearly be the most</w:t>
      </w:r>
      <w:r w:rsidRPr="00453BCF">
        <w:rPr>
          <w:rFonts w:ascii="Arial" w:hAnsi="Arial" w:cs="Arial"/>
          <w:sz w:val="20"/>
          <w:szCs w:val="20"/>
        </w:rPr>
        <w:t xml:space="preserve"> attractive option</w:t>
      </w:r>
      <w:r w:rsidR="00CE57E0">
        <w:rPr>
          <w:rFonts w:ascii="Arial" w:hAnsi="Arial" w:cs="Arial"/>
          <w:sz w:val="20"/>
          <w:szCs w:val="20"/>
        </w:rPr>
        <w:t xml:space="preserve"> given its applicability in the United Kingdom</w:t>
      </w:r>
      <w:r>
        <w:rPr>
          <w:rFonts w:ascii="Arial" w:hAnsi="Arial" w:cs="Arial"/>
          <w:sz w:val="20"/>
          <w:szCs w:val="20"/>
        </w:rPr>
        <w:t>.</w:t>
      </w:r>
      <w:r w:rsidR="00B75332">
        <w:rPr>
          <w:rFonts w:ascii="Arial" w:hAnsi="Arial" w:cs="Arial"/>
          <w:sz w:val="20"/>
          <w:szCs w:val="20"/>
        </w:rPr>
        <w:t xml:space="preserve"> </w:t>
      </w:r>
      <w:r w:rsidR="00B75332" w:rsidRPr="00CE57E0">
        <w:rPr>
          <w:rFonts w:ascii="Arial" w:hAnsi="Arial" w:cs="Arial"/>
          <w:sz w:val="20"/>
          <w:szCs w:val="20"/>
        </w:rPr>
        <w:t xml:space="preserve">Even if </w:t>
      </w:r>
      <w:r w:rsidR="00CE57E0">
        <w:rPr>
          <w:rFonts w:ascii="Arial" w:hAnsi="Arial" w:cs="Arial"/>
          <w:sz w:val="20"/>
          <w:szCs w:val="20"/>
        </w:rPr>
        <w:t>this were not so</w:t>
      </w:r>
      <w:r w:rsidR="00B75332" w:rsidRPr="00CE57E0">
        <w:rPr>
          <w:rFonts w:ascii="Arial" w:hAnsi="Arial" w:cs="Arial"/>
          <w:sz w:val="20"/>
          <w:szCs w:val="20"/>
        </w:rPr>
        <w:t xml:space="preserve">, there </w:t>
      </w:r>
      <w:r w:rsidR="00CE57E0">
        <w:rPr>
          <w:rFonts w:ascii="Arial" w:hAnsi="Arial" w:cs="Arial"/>
          <w:sz w:val="20"/>
          <w:szCs w:val="20"/>
        </w:rPr>
        <w:t>are</w:t>
      </w:r>
      <w:r w:rsidR="00B75332" w:rsidRPr="00CE57E0">
        <w:rPr>
          <w:rFonts w:ascii="Arial" w:hAnsi="Arial" w:cs="Arial"/>
          <w:sz w:val="20"/>
          <w:szCs w:val="20"/>
        </w:rPr>
        <w:t xml:space="preserve"> a gamut of restructuring options available in the UK that could apply to F1 Trading. </w:t>
      </w:r>
      <w:r w:rsidR="00CE57E0">
        <w:rPr>
          <w:rFonts w:ascii="Arial" w:hAnsi="Arial" w:cs="Arial"/>
          <w:sz w:val="20"/>
          <w:szCs w:val="20"/>
        </w:rPr>
        <w:t>T</w:t>
      </w:r>
      <w:r w:rsidR="00B75332" w:rsidRPr="00CE57E0">
        <w:rPr>
          <w:rFonts w:ascii="Arial" w:hAnsi="Arial" w:cs="Arial"/>
          <w:sz w:val="20"/>
          <w:szCs w:val="20"/>
        </w:rPr>
        <w:t>he UK restructuring plan</w:t>
      </w:r>
      <w:r w:rsidR="009C4E37">
        <w:rPr>
          <w:rStyle w:val="FootnoteReference"/>
          <w:rFonts w:ascii="Arial" w:hAnsi="Arial" w:cs="Arial"/>
          <w:sz w:val="20"/>
          <w:szCs w:val="20"/>
        </w:rPr>
        <w:footnoteReference w:id="35"/>
      </w:r>
      <w:r w:rsidR="00B75332" w:rsidRPr="00CE57E0">
        <w:rPr>
          <w:rFonts w:ascii="Arial" w:hAnsi="Arial" w:cs="Arial"/>
          <w:sz w:val="20"/>
          <w:szCs w:val="20"/>
        </w:rPr>
        <w:t xml:space="preserve"> would </w:t>
      </w:r>
      <w:r w:rsidR="00CE57E0">
        <w:rPr>
          <w:rFonts w:ascii="Arial" w:hAnsi="Arial" w:cs="Arial"/>
          <w:sz w:val="20"/>
          <w:szCs w:val="20"/>
        </w:rPr>
        <w:t xml:space="preserve">potentially </w:t>
      </w:r>
      <w:r w:rsidR="00B75332" w:rsidRPr="00CE57E0">
        <w:rPr>
          <w:rFonts w:ascii="Arial" w:hAnsi="Arial" w:cs="Arial"/>
          <w:sz w:val="20"/>
          <w:szCs w:val="20"/>
        </w:rPr>
        <w:t xml:space="preserve">be </w:t>
      </w:r>
      <w:r w:rsidR="00CE57E0">
        <w:rPr>
          <w:rFonts w:ascii="Arial" w:hAnsi="Arial" w:cs="Arial"/>
          <w:sz w:val="20"/>
          <w:szCs w:val="20"/>
        </w:rPr>
        <w:t xml:space="preserve">a </w:t>
      </w:r>
      <w:r w:rsidR="00B75332" w:rsidRPr="00CE57E0">
        <w:rPr>
          <w:rFonts w:ascii="Arial" w:hAnsi="Arial" w:cs="Arial"/>
          <w:sz w:val="20"/>
          <w:szCs w:val="20"/>
        </w:rPr>
        <w:t>viable optio</w:t>
      </w:r>
      <w:r w:rsidR="00CE57E0">
        <w:rPr>
          <w:rFonts w:ascii="Arial" w:hAnsi="Arial" w:cs="Arial"/>
          <w:sz w:val="20"/>
          <w:szCs w:val="20"/>
        </w:rPr>
        <w:t>n</w:t>
      </w:r>
      <w:r w:rsidR="00B75332" w:rsidRPr="00CE57E0">
        <w:rPr>
          <w:rFonts w:ascii="Arial" w:hAnsi="Arial" w:cs="Arial"/>
          <w:sz w:val="20"/>
          <w:szCs w:val="20"/>
        </w:rPr>
        <w:t xml:space="preserve"> since it requires only the support of 75% in value of the creditors in a class</w:t>
      </w:r>
      <w:r w:rsidR="00AF0B63">
        <w:rPr>
          <w:rFonts w:ascii="Arial" w:hAnsi="Arial" w:cs="Arial"/>
          <w:sz w:val="20"/>
          <w:szCs w:val="20"/>
        </w:rPr>
        <w:t xml:space="preserve"> (which has genuine economic interest ie its not “out of the money”)</w:t>
      </w:r>
      <w:r w:rsidR="00B75332" w:rsidRPr="00CE57E0">
        <w:rPr>
          <w:rFonts w:ascii="Arial" w:hAnsi="Arial" w:cs="Arial"/>
          <w:sz w:val="20"/>
          <w:szCs w:val="20"/>
        </w:rPr>
        <w:t xml:space="preserve">. The debt owed by F1 Trading to F1 Investments exceed this </w:t>
      </w:r>
      <w:r w:rsidR="00CE57E0">
        <w:rPr>
          <w:rFonts w:ascii="Arial" w:hAnsi="Arial" w:cs="Arial"/>
          <w:sz w:val="20"/>
          <w:szCs w:val="20"/>
        </w:rPr>
        <w:t>threshold</w:t>
      </w:r>
      <w:r w:rsidR="00B75332" w:rsidRPr="00CE57E0">
        <w:rPr>
          <w:rFonts w:ascii="Arial" w:hAnsi="Arial" w:cs="Arial"/>
          <w:sz w:val="20"/>
          <w:szCs w:val="20"/>
        </w:rPr>
        <w:t>.</w:t>
      </w:r>
      <w:r w:rsidR="009C4E37">
        <w:rPr>
          <w:rFonts w:ascii="Arial" w:hAnsi="Arial" w:cs="Arial"/>
          <w:sz w:val="20"/>
          <w:szCs w:val="20"/>
        </w:rPr>
        <w:t xml:space="preserve"> It should be pointed that the UK restructuring plan is an available option for foreign companies provide that can show there is a sufficient connection with the UK.</w:t>
      </w:r>
      <w:r w:rsidR="00DF289E">
        <w:rPr>
          <w:rStyle w:val="FootnoteReference"/>
          <w:rFonts w:ascii="Arial" w:hAnsi="Arial" w:cs="Arial"/>
          <w:sz w:val="20"/>
          <w:szCs w:val="20"/>
        </w:rPr>
        <w:footnoteReference w:id="36"/>
      </w:r>
      <w:r w:rsidR="009C4E37">
        <w:rPr>
          <w:rFonts w:ascii="Arial" w:hAnsi="Arial" w:cs="Arial"/>
          <w:sz w:val="20"/>
          <w:szCs w:val="20"/>
        </w:rPr>
        <w:t xml:space="preserve"> There are</w:t>
      </w:r>
      <w:r w:rsidR="00DF289E">
        <w:rPr>
          <w:rFonts w:ascii="Arial" w:hAnsi="Arial" w:cs="Arial"/>
          <w:sz w:val="20"/>
          <w:szCs w:val="20"/>
        </w:rPr>
        <w:t>, however,</w:t>
      </w:r>
      <w:r w:rsidR="009C4E37">
        <w:rPr>
          <w:rFonts w:ascii="Arial" w:hAnsi="Arial" w:cs="Arial"/>
          <w:sz w:val="20"/>
          <w:szCs w:val="20"/>
        </w:rPr>
        <w:t xml:space="preserve"> </w:t>
      </w:r>
      <w:r w:rsidR="00DF289E">
        <w:rPr>
          <w:rFonts w:ascii="Arial" w:hAnsi="Arial" w:cs="Arial"/>
          <w:sz w:val="20"/>
          <w:szCs w:val="20"/>
        </w:rPr>
        <w:t>some issues that should be taken note of if the restructuring plan is employed. First the plan does not in itself entail a moratorium. A standalone moratorium would have to be applied for.</w:t>
      </w:r>
      <w:r w:rsidR="00DF289E">
        <w:rPr>
          <w:rStyle w:val="FootnoteReference"/>
          <w:rFonts w:ascii="Arial" w:hAnsi="Arial" w:cs="Arial"/>
          <w:sz w:val="20"/>
          <w:szCs w:val="20"/>
        </w:rPr>
        <w:footnoteReference w:id="37"/>
      </w:r>
      <w:r w:rsidR="00DF289E">
        <w:rPr>
          <w:rFonts w:ascii="Arial" w:hAnsi="Arial" w:cs="Arial"/>
          <w:sz w:val="20"/>
          <w:szCs w:val="20"/>
        </w:rPr>
        <w:t xml:space="preserve"> Second, </w:t>
      </w:r>
      <w:r w:rsidR="009C4E37">
        <w:rPr>
          <w:rFonts w:ascii="Arial" w:hAnsi="Arial" w:cs="Arial"/>
          <w:sz w:val="20"/>
          <w:szCs w:val="20"/>
          <w:shd w:val="clear" w:color="auto" w:fill="FFFFFF"/>
        </w:rPr>
        <w:t>v</w:t>
      </w:r>
      <w:r w:rsidR="009C4E37" w:rsidRPr="009C4E37">
        <w:rPr>
          <w:rFonts w:ascii="Arial" w:hAnsi="Arial" w:cs="Arial"/>
          <w:sz w:val="20"/>
          <w:szCs w:val="20"/>
          <w:shd w:val="clear" w:color="auto" w:fill="FFFFFF"/>
        </w:rPr>
        <w:t>aluation issues could manifest themselves earl</w:t>
      </w:r>
      <w:r w:rsidR="009C4E37">
        <w:rPr>
          <w:rFonts w:ascii="Arial" w:hAnsi="Arial" w:cs="Arial"/>
          <w:sz w:val="20"/>
          <w:szCs w:val="20"/>
          <w:shd w:val="clear" w:color="auto" w:fill="FFFFFF"/>
        </w:rPr>
        <w:t>y</w:t>
      </w:r>
      <w:r w:rsidR="009C4E37" w:rsidRPr="009C4E37">
        <w:rPr>
          <w:rFonts w:ascii="Arial" w:hAnsi="Arial" w:cs="Arial"/>
          <w:sz w:val="20"/>
          <w:szCs w:val="20"/>
          <w:shd w:val="clear" w:color="auto" w:fill="FFFFFF"/>
        </w:rPr>
        <w:t xml:space="preserve"> in the</w:t>
      </w:r>
      <w:r w:rsidR="00DF289E">
        <w:rPr>
          <w:rFonts w:ascii="Arial" w:hAnsi="Arial" w:cs="Arial"/>
          <w:sz w:val="20"/>
          <w:szCs w:val="20"/>
          <w:shd w:val="clear" w:color="auto" w:fill="FFFFFF"/>
        </w:rPr>
        <w:t xml:space="preserve"> </w:t>
      </w:r>
      <w:r w:rsidR="009C4E37" w:rsidRPr="009C4E37">
        <w:rPr>
          <w:rFonts w:ascii="Arial" w:hAnsi="Arial" w:cs="Arial"/>
          <w:sz w:val="20"/>
          <w:szCs w:val="20"/>
          <w:shd w:val="clear" w:color="auto" w:fill="FFFFFF"/>
        </w:rPr>
        <w:t xml:space="preserve">process as arguments arise as to whether a creditor is “out of the money” and therefore ineligible to vote on the </w:t>
      </w:r>
      <w:r w:rsidR="009C4E37">
        <w:rPr>
          <w:rFonts w:ascii="Arial" w:hAnsi="Arial" w:cs="Arial"/>
          <w:sz w:val="20"/>
          <w:szCs w:val="20"/>
          <w:shd w:val="clear" w:color="auto" w:fill="FFFFFF"/>
        </w:rPr>
        <w:t>r</w:t>
      </w:r>
      <w:r w:rsidR="009C4E37" w:rsidRPr="009C4E37">
        <w:rPr>
          <w:rFonts w:ascii="Arial" w:hAnsi="Arial" w:cs="Arial"/>
          <w:sz w:val="20"/>
          <w:szCs w:val="20"/>
          <w:shd w:val="clear" w:color="auto" w:fill="FFFFFF"/>
        </w:rPr>
        <w:t xml:space="preserve">estructuring </w:t>
      </w:r>
      <w:r w:rsidR="009C4E37">
        <w:rPr>
          <w:rFonts w:ascii="Arial" w:hAnsi="Arial" w:cs="Arial"/>
          <w:sz w:val="20"/>
          <w:szCs w:val="20"/>
          <w:shd w:val="clear" w:color="auto" w:fill="FFFFFF"/>
        </w:rPr>
        <w:t>p</w:t>
      </w:r>
      <w:r w:rsidR="009C4E37" w:rsidRPr="009C4E37">
        <w:rPr>
          <w:rFonts w:ascii="Arial" w:hAnsi="Arial" w:cs="Arial"/>
          <w:sz w:val="20"/>
          <w:szCs w:val="20"/>
          <w:shd w:val="clear" w:color="auto" w:fill="FFFFFF"/>
        </w:rPr>
        <w:t>lan.</w:t>
      </w:r>
    </w:p>
    <w:p w14:paraId="4777BC1A" w14:textId="77777777" w:rsidR="00CF0F40" w:rsidRDefault="00CF0F40" w:rsidP="00A43070">
      <w:pPr>
        <w:pStyle w:val="ListParagraph"/>
        <w:ind w:left="567" w:hanging="567"/>
        <w:jc w:val="both"/>
        <w:rPr>
          <w:rFonts w:ascii="Arial" w:hAnsi="Arial" w:cs="Arial"/>
          <w:sz w:val="20"/>
          <w:szCs w:val="20"/>
        </w:rPr>
      </w:pPr>
    </w:p>
    <w:p w14:paraId="49DF08C6" w14:textId="6D5F2826" w:rsidR="0073692D" w:rsidRDefault="00453BCF" w:rsidP="00A43070">
      <w:pPr>
        <w:pStyle w:val="ListParagraph"/>
        <w:numPr>
          <w:ilvl w:val="0"/>
          <w:numId w:val="1"/>
        </w:numPr>
        <w:ind w:left="567" w:hanging="567"/>
        <w:jc w:val="both"/>
        <w:rPr>
          <w:rFonts w:ascii="Arial" w:hAnsi="Arial" w:cs="Arial"/>
          <w:sz w:val="20"/>
          <w:szCs w:val="20"/>
        </w:rPr>
      </w:pPr>
      <w:r w:rsidRPr="00B75332">
        <w:rPr>
          <w:rFonts w:ascii="Arial" w:hAnsi="Arial" w:cs="Arial"/>
          <w:sz w:val="20"/>
          <w:szCs w:val="20"/>
        </w:rPr>
        <w:t>Chapter 11 proceedings</w:t>
      </w:r>
      <w:r w:rsidR="00DF289E">
        <w:rPr>
          <w:rFonts w:ascii="Arial" w:hAnsi="Arial" w:cs="Arial"/>
          <w:sz w:val="20"/>
          <w:szCs w:val="20"/>
        </w:rPr>
        <w:t>, while attractive,</w:t>
      </w:r>
      <w:r w:rsidR="00CE57E0">
        <w:rPr>
          <w:rFonts w:ascii="Arial" w:hAnsi="Arial" w:cs="Arial"/>
          <w:sz w:val="20"/>
          <w:szCs w:val="20"/>
        </w:rPr>
        <w:t xml:space="preserve"> are</w:t>
      </w:r>
      <w:r w:rsidR="00B75332" w:rsidRPr="00B75332">
        <w:rPr>
          <w:rFonts w:ascii="Arial" w:hAnsi="Arial" w:cs="Arial"/>
          <w:sz w:val="20"/>
          <w:szCs w:val="20"/>
        </w:rPr>
        <w:t xml:space="preserve"> likely be the most expensive option. </w:t>
      </w:r>
      <w:r w:rsidR="00B75332">
        <w:rPr>
          <w:rFonts w:ascii="Arial" w:hAnsi="Arial" w:cs="Arial"/>
          <w:sz w:val="20"/>
          <w:szCs w:val="20"/>
        </w:rPr>
        <w:t xml:space="preserve">Insolvency proceedings in the Netherlands and Romania may be a close second. The application for a moratorium in Singapore </w:t>
      </w:r>
      <w:r w:rsidR="00CE57E0">
        <w:rPr>
          <w:rFonts w:ascii="Arial" w:hAnsi="Arial" w:cs="Arial"/>
          <w:sz w:val="20"/>
          <w:szCs w:val="20"/>
        </w:rPr>
        <w:t>could</w:t>
      </w:r>
      <w:r w:rsidR="00B75332">
        <w:rPr>
          <w:rFonts w:ascii="Arial" w:hAnsi="Arial" w:cs="Arial"/>
          <w:sz w:val="20"/>
          <w:szCs w:val="20"/>
        </w:rPr>
        <w:t xml:space="preserve"> be the cheapest option although its utility </w:t>
      </w:r>
      <w:r w:rsidR="00CE57E0">
        <w:rPr>
          <w:rFonts w:ascii="Arial" w:hAnsi="Arial" w:cs="Arial"/>
          <w:sz w:val="20"/>
          <w:szCs w:val="20"/>
        </w:rPr>
        <w:t>would</w:t>
      </w:r>
      <w:r w:rsidR="00B75332">
        <w:rPr>
          <w:rFonts w:ascii="Arial" w:hAnsi="Arial" w:cs="Arial"/>
          <w:sz w:val="20"/>
          <w:szCs w:val="20"/>
        </w:rPr>
        <w:t xml:space="preserve"> be limited </w:t>
      </w:r>
      <w:r w:rsidR="00CE57E0">
        <w:rPr>
          <w:rFonts w:ascii="Arial" w:hAnsi="Arial" w:cs="Arial"/>
          <w:sz w:val="20"/>
          <w:szCs w:val="20"/>
        </w:rPr>
        <w:t>for the reasons explained above</w:t>
      </w:r>
      <w:r w:rsidR="00B75332">
        <w:rPr>
          <w:rFonts w:ascii="Arial" w:hAnsi="Arial" w:cs="Arial"/>
          <w:sz w:val="20"/>
          <w:szCs w:val="20"/>
        </w:rPr>
        <w:t>.</w:t>
      </w:r>
    </w:p>
    <w:p w14:paraId="03FF9E36" w14:textId="77777777" w:rsidR="00CF0F40" w:rsidRDefault="00CF0F40" w:rsidP="00A43070">
      <w:pPr>
        <w:pStyle w:val="ListParagraph"/>
        <w:ind w:left="567" w:hanging="567"/>
        <w:jc w:val="both"/>
        <w:rPr>
          <w:rFonts w:ascii="Arial" w:hAnsi="Arial" w:cs="Arial"/>
          <w:sz w:val="20"/>
          <w:szCs w:val="20"/>
        </w:rPr>
      </w:pPr>
    </w:p>
    <w:p w14:paraId="515B89D6" w14:textId="75BA3AF1" w:rsidR="00A43070" w:rsidRDefault="00B75332" w:rsidP="00C139F3">
      <w:pPr>
        <w:pStyle w:val="ListParagraph"/>
        <w:numPr>
          <w:ilvl w:val="0"/>
          <w:numId w:val="1"/>
        </w:numPr>
        <w:ind w:left="567" w:hanging="567"/>
        <w:jc w:val="both"/>
        <w:rPr>
          <w:rFonts w:ascii="Arial" w:hAnsi="Arial" w:cs="Arial"/>
          <w:sz w:val="20"/>
          <w:szCs w:val="20"/>
        </w:rPr>
      </w:pPr>
      <w:r>
        <w:rPr>
          <w:rFonts w:ascii="Arial" w:hAnsi="Arial" w:cs="Arial"/>
          <w:sz w:val="20"/>
          <w:szCs w:val="20"/>
        </w:rPr>
        <w:t>We hope this gives you an understanding of the main restructuring options available. We appreciate that this opinion is fairly dense in legal content and will be happy to answer any queries you may have.</w:t>
      </w:r>
    </w:p>
    <w:p w14:paraId="6E91D0FF" w14:textId="77777777" w:rsidR="00272F3C" w:rsidRPr="00272F3C" w:rsidRDefault="00272F3C" w:rsidP="00272F3C">
      <w:pPr>
        <w:jc w:val="both"/>
        <w:rPr>
          <w:rFonts w:ascii="Arial" w:hAnsi="Arial" w:cs="Arial"/>
          <w:sz w:val="20"/>
          <w:szCs w:val="20"/>
        </w:rPr>
      </w:pPr>
    </w:p>
    <w:p w14:paraId="3F053D75" w14:textId="5D90E752" w:rsidR="00C139F3" w:rsidRDefault="00B75332" w:rsidP="00A43070">
      <w:pPr>
        <w:jc w:val="both"/>
        <w:rPr>
          <w:rFonts w:ascii="Arial" w:hAnsi="Arial" w:cs="Arial"/>
          <w:sz w:val="20"/>
          <w:szCs w:val="20"/>
        </w:rPr>
      </w:pPr>
      <w:r>
        <w:rPr>
          <w:rFonts w:ascii="Arial" w:hAnsi="Arial" w:cs="Arial"/>
          <w:sz w:val="20"/>
          <w:szCs w:val="20"/>
        </w:rPr>
        <w:t xml:space="preserve">Yours </w:t>
      </w:r>
      <w:r w:rsidR="00B47FEA">
        <w:rPr>
          <w:rFonts w:ascii="Arial" w:hAnsi="Arial" w:cs="Arial"/>
          <w:sz w:val="20"/>
          <w:szCs w:val="20"/>
        </w:rPr>
        <w:t>faithfully</w:t>
      </w:r>
    </w:p>
    <w:p w14:paraId="78FCC5D4" w14:textId="77777777" w:rsidR="00272F3C" w:rsidRDefault="00272F3C" w:rsidP="00A43070">
      <w:pPr>
        <w:jc w:val="both"/>
        <w:rPr>
          <w:rFonts w:ascii="Arial" w:hAnsi="Arial" w:cs="Arial"/>
          <w:sz w:val="20"/>
          <w:szCs w:val="20"/>
        </w:rPr>
      </w:pPr>
    </w:p>
    <w:p w14:paraId="684AB566" w14:textId="68A325C1" w:rsidR="00CF0F40" w:rsidRPr="00A43070" w:rsidRDefault="00CF0F40" w:rsidP="00A43070">
      <w:pPr>
        <w:jc w:val="both"/>
        <w:rPr>
          <w:rFonts w:ascii="Arial" w:hAnsi="Arial" w:cs="Arial"/>
          <w:b/>
          <w:bCs/>
          <w:sz w:val="20"/>
          <w:szCs w:val="20"/>
        </w:rPr>
      </w:pPr>
      <w:r w:rsidRPr="00A43070">
        <w:rPr>
          <w:rFonts w:ascii="Arial" w:hAnsi="Arial" w:cs="Arial"/>
          <w:b/>
          <w:bCs/>
          <w:sz w:val="20"/>
          <w:szCs w:val="20"/>
        </w:rPr>
        <w:t>Eddee Ng</w:t>
      </w:r>
    </w:p>
    <w:p w14:paraId="3EA51E34" w14:textId="3AA200B2" w:rsidR="006436F1" w:rsidRPr="006436F1" w:rsidRDefault="00CF0F40" w:rsidP="00A43070">
      <w:pPr>
        <w:jc w:val="both"/>
        <w:rPr>
          <w:rFonts w:ascii="Arial" w:hAnsi="Arial" w:cs="Arial"/>
          <w:sz w:val="20"/>
          <w:szCs w:val="20"/>
        </w:rPr>
      </w:pPr>
      <w:r w:rsidRPr="00A43070">
        <w:rPr>
          <w:rFonts w:ascii="Arial" w:hAnsi="Arial" w:cs="Arial"/>
          <w:b/>
          <w:bCs/>
          <w:sz w:val="20"/>
          <w:szCs w:val="20"/>
        </w:rPr>
        <w:t>Tan Kok Quan Partnership</w:t>
      </w:r>
    </w:p>
    <w:sectPr w:rsidR="006436F1" w:rsidRPr="006436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11AF9" w14:textId="77777777" w:rsidR="00C4754A" w:rsidRDefault="00C4754A" w:rsidP="00EF3FC2">
      <w:pPr>
        <w:spacing w:after="0" w:line="240" w:lineRule="auto"/>
      </w:pPr>
      <w:r>
        <w:separator/>
      </w:r>
    </w:p>
  </w:endnote>
  <w:endnote w:type="continuationSeparator" w:id="0">
    <w:p w14:paraId="4FB97AA1" w14:textId="77777777" w:rsidR="00C4754A" w:rsidRDefault="00C4754A" w:rsidP="00EF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lama-Bas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CB8DF" w14:textId="77777777" w:rsidR="003A224A" w:rsidRDefault="003A2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5BE98" w14:textId="77777777" w:rsidR="003A224A" w:rsidRDefault="003A2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87AF2" w14:textId="77777777" w:rsidR="003A224A" w:rsidRDefault="003A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1AD27" w14:textId="77777777" w:rsidR="00C4754A" w:rsidRDefault="00C4754A" w:rsidP="00EF3FC2">
      <w:pPr>
        <w:spacing w:after="0" w:line="240" w:lineRule="auto"/>
      </w:pPr>
      <w:r>
        <w:separator/>
      </w:r>
    </w:p>
  </w:footnote>
  <w:footnote w:type="continuationSeparator" w:id="0">
    <w:p w14:paraId="42F68DE1" w14:textId="77777777" w:rsidR="00C4754A" w:rsidRDefault="00C4754A" w:rsidP="00EF3FC2">
      <w:pPr>
        <w:spacing w:after="0" w:line="240" w:lineRule="auto"/>
      </w:pPr>
      <w:r>
        <w:continuationSeparator/>
      </w:r>
    </w:p>
  </w:footnote>
  <w:footnote w:id="1">
    <w:p w14:paraId="51366506" w14:textId="72125985" w:rsidR="00EF3FC2" w:rsidRPr="00A26E2D" w:rsidRDefault="00EF3FC2">
      <w:pPr>
        <w:pStyle w:val="FootnoteText"/>
        <w:rPr>
          <w:rFonts w:ascii="Arial" w:hAnsi="Arial" w:cs="Arial"/>
          <w:sz w:val="16"/>
          <w:szCs w:val="16"/>
          <w:lang w:val="en-US"/>
        </w:rPr>
      </w:pPr>
      <w:r>
        <w:rPr>
          <w:rStyle w:val="FootnoteReference"/>
        </w:rPr>
        <w:footnoteRef/>
      </w:r>
      <w:r>
        <w:t xml:space="preserve"> </w:t>
      </w:r>
      <w:r w:rsidRPr="00A26E2D">
        <w:rPr>
          <w:rFonts w:ascii="Arial" w:hAnsi="Arial" w:cs="Arial"/>
          <w:sz w:val="16"/>
          <w:szCs w:val="16"/>
          <w:lang w:val="en-US"/>
        </w:rPr>
        <w:t xml:space="preserve">It is not explicitly stated but F1 Trading appears to be a wholly owned subsidiary of F1 Investments – see </w:t>
      </w:r>
      <w:r w:rsidR="00A9666C" w:rsidRPr="00A26E2D">
        <w:rPr>
          <w:rFonts w:ascii="Arial" w:hAnsi="Arial" w:cs="Arial"/>
          <w:sz w:val="16"/>
          <w:szCs w:val="16"/>
          <w:lang w:val="en-US"/>
        </w:rPr>
        <w:t>references</w:t>
      </w:r>
      <w:r w:rsidRPr="00A26E2D">
        <w:rPr>
          <w:rFonts w:ascii="Arial" w:hAnsi="Arial" w:cs="Arial"/>
          <w:sz w:val="16"/>
          <w:szCs w:val="16"/>
          <w:lang w:val="en-US"/>
        </w:rPr>
        <w:t xml:space="preserve"> to “companies in the Efw</w:t>
      </w:r>
      <w:r w:rsidR="00A9666C" w:rsidRPr="00A26E2D">
        <w:rPr>
          <w:rFonts w:ascii="Arial" w:hAnsi="Arial" w:cs="Arial"/>
          <w:sz w:val="16"/>
          <w:szCs w:val="16"/>
          <w:lang w:val="en-US"/>
        </w:rPr>
        <w:t>o</w:t>
      </w:r>
      <w:r w:rsidRPr="00A26E2D">
        <w:rPr>
          <w:rFonts w:ascii="Arial" w:hAnsi="Arial" w:cs="Arial"/>
          <w:sz w:val="16"/>
          <w:szCs w:val="16"/>
          <w:lang w:val="en-US"/>
        </w:rPr>
        <w:t>n Group</w:t>
      </w:r>
      <w:r w:rsidR="00A9666C" w:rsidRPr="00A26E2D">
        <w:rPr>
          <w:rFonts w:ascii="Arial" w:hAnsi="Arial" w:cs="Arial"/>
          <w:sz w:val="16"/>
          <w:szCs w:val="16"/>
          <w:lang w:val="en-US"/>
        </w:rPr>
        <w:t xml:space="preserve">” </w:t>
      </w:r>
      <w:r w:rsidRPr="00A26E2D">
        <w:rPr>
          <w:rFonts w:ascii="Arial" w:hAnsi="Arial" w:cs="Arial"/>
          <w:sz w:val="16"/>
          <w:szCs w:val="16"/>
          <w:lang w:val="en-US"/>
        </w:rPr>
        <w:t>at p 5 of Case Study II.</w:t>
      </w:r>
    </w:p>
  </w:footnote>
  <w:footnote w:id="2">
    <w:p w14:paraId="7852846A" w14:textId="1385F1A8" w:rsidR="0012541B" w:rsidRPr="0012541B" w:rsidRDefault="0012541B">
      <w:pPr>
        <w:pStyle w:val="FootnoteText"/>
        <w:rPr>
          <w:rFonts w:ascii="Arial" w:hAnsi="Arial" w:cs="Arial"/>
          <w:sz w:val="16"/>
          <w:szCs w:val="16"/>
        </w:rPr>
      </w:pPr>
      <w:r>
        <w:rPr>
          <w:rStyle w:val="FootnoteReference"/>
        </w:rPr>
        <w:footnoteRef/>
      </w:r>
      <w:r>
        <w:t xml:space="preserve"> </w:t>
      </w:r>
      <w:r w:rsidRPr="0012541B">
        <w:rPr>
          <w:rFonts w:ascii="Arial" w:hAnsi="Arial" w:cs="Arial"/>
          <w:sz w:val="16"/>
          <w:szCs w:val="16"/>
        </w:rPr>
        <w:t>Creditors may file a restructuring plan once the debtor’s exclusive period for filing a plan has expired or has been terminated by the Bankruptcy Court</w:t>
      </w:r>
      <w:r>
        <w:rPr>
          <w:rFonts w:ascii="Arial" w:hAnsi="Arial" w:cs="Arial"/>
          <w:sz w:val="16"/>
          <w:szCs w:val="16"/>
        </w:rPr>
        <w:t xml:space="preserve"> – 11 USC § 1121.</w:t>
      </w:r>
    </w:p>
  </w:footnote>
  <w:footnote w:id="3">
    <w:p w14:paraId="5F9F3BF9" w14:textId="0890DE12" w:rsidR="001328EF" w:rsidRPr="001328EF" w:rsidRDefault="001328EF">
      <w:pPr>
        <w:pStyle w:val="FootnoteText"/>
      </w:pPr>
      <w:r>
        <w:rPr>
          <w:rStyle w:val="FootnoteReference"/>
        </w:rPr>
        <w:footnoteRef/>
      </w:r>
      <w:r>
        <w:t xml:space="preserve"> </w:t>
      </w:r>
      <w:r>
        <w:rPr>
          <w:rFonts w:ascii="Arial" w:hAnsi="Arial" w:cs="Arial"/>
          <w:sz w:val="16"/>
          <w:szCs w:val="16"/>
        </w:rPr>
        <w:t>11 USC §§  1122(a), 1123(a)(4)</w:t>
      </w:r>
    </w:p>
  </w:footnote>
  <w:footnote w:id="4">
    <w:p w14:paraId="0A7D45FC" w14:textId="1DC8C145" w:rsidR="007434C1" w:rsidRPr="007434C1" w:rsidRDefault="007434C1">
      <w:pPr>
        <w:pStyle w:val="FootnoteText"/>
        <w:rPr>
          <w:lang w:val="en-US"/>
        </w:rPr>
      </w:pPr>
      <w:r>
        <w:rPr>
          <w:rStyle w:val="FootnoteReference"/>
        </w:rPr>
        <w:footnoteRef/>
      </w:r>
      <w:r>
        <w:t xml:space="preserve"> </w:t>
      </w:r>
      <w:r w:rsidRPr="007434C1">
        <w:rPr>
          <w:rFonts w:ascii="Arial" w:hAnsi="Arial" w:cs="Arial"/>
          <w:sz w:val="16"/>
          <w:szCs w:val="16"/>
          <w:lang w:val="en-US"/>
        </w:rPr>
        <w:t>The senior creditors control 40% of the debt and the junior creditors control 36% of the debt.</w:t>
      </w:r>
    </w:p>
  </w:footnote>
  <w:footnote w:id="5">
    <w:p w14:paraId="596A4A72" w14:textId="488DF439" w:rsidR="007434C1" w:rsidRPr="007434C1" w:rsidRDefault="007434C1">
      <w:pPr>
        <w:pStyle w:val="FootnoteText"/>
        <w:rPr>
          <w:rFonts w:ascii="Arial" w:hAnsi="Arial" w:cs="Arial"/>
          <w:sz w:val="16"/>
          <w:szCs w:val="16"/>
        </w:rPr>
      </w:pPr>
      <w:r>
        <w:rPr>
          <w:rStyle w:val="FootnoteReference"/>
        </w:rPr>
        <w:footnoteRef/>
      </w:r>
      <w:r>
        <w:t xml:space="preserve"> </w:t>
      </w:r>
      <w:r w:rsidRPr="007434C1">
        <w:rPr>
          <w:rFonts w:ascii="Arial" w:hAnsi="Arial" w:cs="Arial"/>
          <w:sz w:val="16"/>
          <w:szCs w:val="16"/>
          <w:lang w:val="en-US"/>
        </w:rPr>
        <w:t xml:space="preserve">11 USC </w:t>
      </w:r>
      <w:r w:rsidRPr="007434C1">
        <w:rPr>
          <w:rFonts w:ascii="Arial" w:hAnsi="Arial" w:cs="Arial"/>
          <w:sz w:val="16"/>
          <w:szCs w:val="16"/>
        </w:rPr>
        <w:t>1129(b)</w:t>
      </w:r>
    </w:p>
  </w:footnote>
  <w:footnote w:id="6">
    <w:p w14:paraId="228A1267" w14:textId="4FA64461" w:rsidR="004E2C68" w:rsidRPr="004E2C68" w:rsidRDefault="004E2C68">
      <w:pPr>
        <w:pStyle w:val="FootnoteText"/>
      </w:pPr>
      <w:r>
        <w:rPr>
          <w:rStyle w:val="FootnoteReference"/>
        </w:rPr>
        <w:footnoteRef/>
      </w:r>
      <w:r>
        <w:t xml:space="preserve"> </w:t>
      </w:r>
      <w:r>
        <w:rPr>
          <w:rFonts w:ascii="Arial" w:hAnsi="Arial" w:cs="Arial"/>
          <w:sz w:val="16"/>
          <w:szCs w:val="16"/>
        </w:rPr>
        <w:t>11 USC § 305(a)</w:t>
      </w:r>
    </w:p>
  </w:footnote>
  <w:footnote w:id="7">
    <w:p w14:paraId="76A5B177" w14:textId="303CD1A7" w:rsidR="00BB2F14" w:rsidRPr="00CF2A64" w:rsidRDefault="00BB2F14">
      <w:pPr>
        <w:pStyle w:val="FootnoteText"/>
        <w:rPr>
          <w:rFonts w:ascii="Arial" w:hAnsi="Arial" w:cs="Arial"/>
          <w:sz w:val="16"/>
          <w:szCs w:val="16"/>
        </w:rPr>
      </w:pPr>
      <w:r>
        <w:rPr>
          <w:rStyle w:val="FootnoteReference"/>
        </w:rPr>
        <w:footnoteRef/>
      </w:r>
      <w:r>
        <w:t xml:space="preserve"> </w:t>
      </w:r>
      <w:r w:rsidRPr="00CF2A64">
        <w:rPr>
          <w:rFonts w:ascii="Arial" w:hAnsi="Arial" w:cs="Arial"/>
          <w:sz w:val="16"/>
          <w:szCs w:val="16"/>
        </w:rPr>
        <w:t>The Chapter 11 application for one of the subsidiaries</w:t>
      </w:r>
      <w:r w:rsidR="00711F04" w:rsidRPr="00CF2A64">
        <w:rPr>
          <w:rFonts w:ascii="Arial" w:hAnsi="Arial" w:cs="Arial"/>
          <w:sz w:val="16"/>
          <w:szCs w:val="16"/>
        </w:rPr>
        <w:t xml:space="preserve">, </w:t>
      </w:r>
      <w:r w:rsidR="00711F04" w:rsidRPr="00CF2A64">
        <w:rPr>
          <w:rFonts w:ascii="Arial" w:hAnsi="Arial" w:cs="Arial"/>
          <w:color w:val="212529"/>
          <w:sz w:val="16"/>
          <w:szCs w:val="16"/>
          <w:shd w:val="clear" w:color="auto" w:fill="FFFFFF"/>
        </w:rPr>
        <w:t>Northshore Mainland Services,</w:t>
      </w:r>
      <w:r w:rsidRPr="00CF2A64">
        <w:rPr>
          <w:rFonts w:ascii="Arial" w:hAnsi="Arial" w:cs="Arial"/>
          <w:sz w:val="16"/>
          <w:szCs w:val="16"/>
        </w:rPr>
        <w:t xml:space="preserve"> </w:t>
      </w:r>
      <w:r w:rsidR="00E23CED" w:rsidRPr="00CF2A64">
        <w:rPr>
          <w:rFonts w:ascii="Arial" w:hAnsi="Arial" w:cs="Arial"/>
          <w:sz w:val="16"/>
          <w:szCs w:val="16"/>
        </w:rPr>
        <w:t>was allowed to continue.</w:t>
      </w:r>
    </w:p>
  </w:footnote>
  <w:footnote w:id="8">
    <w:p w14:paraId="62A2FF65" w14:textId="12575329" w:rsidR="005F0E12" w:rsidRPr="005F0E12" w:rsidRDefault="005F0E12">
      <w:pPr>
        <w:pStyle w:val="FootnoteText"/>
      </w:pPr>
      <w:r>
        <w:rPr>
          <w:rStyle w:val="FootnoteReference"/>
        </w:rPr>
        <w:footnoteRef/>
      </w:r>
      <w:r>
        <w:t xml:space="preserve"> </w:t>
      </w:r>
      <w:r w:rsidRPr="003A224A">
        <w:rPr>
          <w:rFonts w:ascii="Arial" w:hAnsi="Arial" w:cs="Arial"/>
          <w:sz w:val="16"/>
          <w:szCs w:val="16"/>
        </w:rPr>
        <w:t xml:space="preserve">An IBR which was commissioned at the behest of the US bank creditors </w:t>
      </w:r>
      <w:r w:rsidR="003A224A" w:rsidRPr="003A224A">
        <w:rPr>
          <w:rFonts w:ascii="Arial" w:hAnsi="Arial" w:cs="Arial"/>
          <w:sz w:val="16"/>
          <w:szCs w:val="16"/>
        </w:rPr>
        <w:t>shows that the F1 Group will not be able to service its debt and be cash-positive without the sponsorship deal with K</w:t>
      </w:r>
      <w:r w:rsidR="00B47FEA">
        <w:rPr>
          <w:rFonts w:ascii="Arial" w:hAnsi="Arial" w:cs="Arial"/>
          <w:sz w:val="16"/>
          <w:szCs w:val="16"/>
        </w:rPr>
        <w:t>N</w:t>
      </w:r>
      <w:r w:rsidR="003A224A">
        <w:rPr>
          <w:rFonts w:ascii="Arial" w:hAnsi="Arial" w:cs="Arial"/>
          <w:sz w:val="16"/>
          <w:szCs w:val="16"/>
        </w:rPr>
        <w:t>.</w:t>
      </w:r>
    </w:p>
  </w:footnote>
  <w:footnote w:id="9">
    <w:p w14:paraId="0A45B520" w14:textId="3C803392" w:rsidR="00CF2A64" w:rsidRPr="00CF2A64" w:rsidRDefault="00CF2A64">
      <w:pPr>
        <w:pStyle w:val="FootnoteText"/>
        <w:rPr>
          <w:rFonts w:ascii="Arial" w:hAnsi="Arial" w:cs="Arial"/>
          <w:sz w:val="16"/>
          <w:szCs w:val="16"/>
        </w:rPr>
      </w:pPr>
      <w:r w:rsidRPr="00CF2A64">
        <w:rPr>
          <w:rStyle w:val="FootnoteReference"/>
          <w:rFonts w:ascii="Arial" w:hAnsi="Arial" w:cs="Arial"/>
          <w:sz w:val="16"/>
          <w:szCs w:val="16"/>
        </w:rPr>
        <w:footnoteRef/>
      </w:r>
      <w:r w:rsidRPr="00CF2A64">
        <w:rPr>
          <w:rFonts w:ascii="Arial" w:hAnsi="Arial" w:cs="Arial"/>
          <w:sz w:val="16"/>
          <w:szCs w:val="16"/>
        </w:rPr>
        <w:t xml:space="preserve"> See for eg </w:t>
      </w:r>
      <w:r w:rsidRPr="00CF2A64">
        <w:rPr>
          <w:rFonts w:ascii="Arial" w:hAnsi="Arial" w:cs="Arial"/>
          <w:i/>
          <w:iCs/>
          <w:sz w:val="16"/>
          <w:szCs w:val="16"/>
        </w:rPr>
        <w:t>AH Robins v Piccinin</w:t>
      </w:r>
      <w:r w:rsidRPr="00CF2A64">
        <w:rPr>
          <w:rFonts w:ascii="Arial" w:hAnsi="Arial" w:cs="Arial"/>
          <w:sz w:val="16"/>
          <w:szCs w:val="16"/>
        </w:rPr>
        <w:t xml:space="preserve"> (1986) 788 F 2d 994 at 999; </w:t>
      </w:r>
      <w:r w:rsidRPr="00CF2A64">
        <w:rPr>
          <w:rFonts w:ascii="Arial" w:hAnsi="Arial" w:cs="Arial"/>
          <w:i/>
          <w:iCs/>
          <w:sz w:val="16"/>
          <w:szCs w:val="16"/>
        </w:rPr>
        <w:t>Queenie Limited v Nygard International</w:t>
      </w:r>
      <w:r w:rsidRPr="00CF2A64">
        <w:rPr>
          <w:rFonts w:ascii="Arial" w:hAnsi="Arial" w:cs="Arial"/>
          <w:sz w:val="16"/>
          <w:szCs w:val="16"/>
        </w:rPr>
        <w:t xml:space="preserve"> (2003) 321 3 Fd 282 at 287</w:t>
      </w:r>
    </w:p>
  </w:footnote>
  <w:footnote w:id="10">
    <w:p w14:paraId="32C330D5" w14:textId="29300D2D" w:rsidR="00E54476" w:rsidRPr="00E54476" w:rsidRDefault="00E54476">
      <w:pPr>
        <w:pStyle w:val="FootnoteText"/>
        <w:rPr>
          <w:rFonts w:ascii="Arial" w:hAnsi="Arial" w:cs="Arial"/>
          <w:sz w:val="16"/>
          <w:szCs w:val="16"/>
        </w:rPr>
      </w:pPr>
      <w:r>
        <w:rPr>
          <w:rStyle w:val="FootnoteReference"/>
        </w:rPr>
        <w:footnoteRef/>
      </w:r>
      <w:r>
        <w:t xml:space="preserve"> </w:t>
      </w:r>
      <w:r w:rsidRPr="00E54476">
        <w:rPr>
          <w:rFonts w:ascii="Arial" w:hAnsi="Arial" w:cs="Arial"/>
          <w:sz w:val="16"/>
          <w:szCs w:val="16"/>
        </w:rPr>
        <w:t>Article 21 of the Model Law</w:t>
      </w:r>
    </w:p>
  </w:footnote>
  <w:footnote w:id="11">
    <w:p w14:paraId="17ACBB6A" w14:textId="6627A246" w:rsidR="00D16A82" w:rsidRPr="00D16A82" w:rsidRDefault="00D16A82">
      <w:pPr>
        <w:pStyle w:val="FootnoteText"/>
        <w:rPr>
          <w:rFonts w:ascii="Arial" w:hAnsi="Arial" w:cs="Arial"/>
          <w:sz w:val="16"/>
          <w:szCs w:val="16"/>
          <w:lang w:val="en-US"/>
        </w:rPr>
      </w:pPr>
      <w:r>
        <w:rPr>
          <w:rStyle w:val="FootnoteReference"/>
        </w:rPr>
        <w:footnoteRef/>
      </w:r>
      <w:r>
        <w:t xml:space="preserve"> </w:t>
      </w:r>
      <w:r w:rsidRPr="00D16A82">
        <w:rPr>
          <w:rFonts w:ascii="Arial" w:hAnsi="Arial" w:cs="Arial"/>
          <w:sz w:val="16"/>
          <w:szCs w:val="16"/>
          <w:lang w:val="en-US"/>
        </w:rPr>
        <w:t>This is a public extrajudicial restructuring process and not one which is undisclosed.</w:t>
      </w:r>
    </w:p>
  </w:footnote>
  <w:footnote w:id="12">
    <w:p w14:paraId="45B8E95B" w14:textId="71B82CC3" w:rsidR="00A26E2D" w:rsidRPr="0012541B" w:rsidRDefault="00A26E2D">
      <w:pPr>
        <w:pStyle w:val="FootnoteText"/>
        <w:rPr>
          <w:rFonts w:ascii="Arial" w:hAnsi="Arial" w:cs="Arial"/>
          <w:sz w:val="16"/>
          <w:szCs w:val="16"/>
          <w:lang w:val="en-US"/>
        </w:rPr>
      </w:pPr>
      <w:r w:rsidRPr="00E54476">
        <w:rPr>
          <w:rStyle w:val="FootnoteReference"/>
          <w:rFonts w:ascii="Arial" w:hAnsi="Arial" w:cs="Arial"/>
          <w:sz w:val="16"/>
          <w:szCs w:val="16"/>
        </w:rPr>
        <w:footnoteRef/>
      </w:r>
      <w:r w:rsidRPr="00E54476">
        <w:rPr>
          <w:rFonts w:ascii="Arial" w:hAnsi="Arial" w:cs="Arial"/>
          <w:sz w:val="16"/>
          <w:szCs w:val="16"/>
        </w:rPr>
        <w:t xml:space="preserve"> Preamble paragraph (30) of the EU</w:t>
      </w:r>
      <w:r w:rsidRPr="0012541B">
        <w:rPr>
          <w:rFonts w:ascii="Arial" w:hAnsi="Arial" w:cs="Arial"/>
          <w:sz w:val="16"/>
          <w:szCs w:val="16"/>
        </w:rPr>
        <w:t xml:space="preserve"> IR</w:t>
      </w:r>
    </w:p>
  </w:footnote>
  <w:footnote w:id="13">
    <w:p w14:paraId="4F56A65C" w14:textId="3D1E6DFB" w:rsidR="00A26E2D" w:rsidRPr="00A26E2D" w:rsidRDefault="00A26E2D">
      <w:pPr>
        <w:pStyle w:val="FootnoteText"/>
        <w:rPr>
          <w:rFonts w:ascii="Arial" w:hAnsi="Arial" w:cs="Arial"/>
          <w:sz w:val="16"/>
          <w:szCs w:val="16"/>
          <w:lang w:val="en-US"/>
        </w:rPr>
      </w:pPr>
      <w:r w:rsidRPr="00A26E2D">
        <w:rPr>
          <w:rStyle w:val="FootnoteReference"/>
          <w:rFonts w:ascii="Arial" w:hAnsi="Arial" w:cs="Arial"/>
          <w:sz w:val="16"/>
          <w:szCs w:val="16"/>
        </w:rPr>
        <w:footnoteRef/>
      </w:r>
      <w:r w:rsidRPr="00A26E2D">
        <w:rPr>
          <w:rFonts w:ascii="Arial" w:hAnsi="Arial" w:cs="Arial"/>
          <w:sz w:val="16"/>
          <w:szCs w:val="16"/>
        </w:rPr>
        <w:t xml:space="preserve"> </w:t>
      </w:r>
      <w:r w:rsidRPr="00A26E2D">
        <w:rPr>
          <w:rFonts w:ascii="Arial" w:hAnsi="Arial" w:cs="Arial"/>
          <w:sz w:val="16"/>
          <w:szCs w:val="16"/>
          <w:lang w:val="en-US"/>
        </w:rPr>
        <w:t>Article 19(1) of the EU IR</w:t>
      </w:r>
    </w:p>
  </w:footnote>
  <w:footnote w:id="14">
    <w:p w14:paraId="55DAD8AE" w14:textId="12360693" w:rsidR="00A26E2D" w:rsidRPr="00A26E2D" w:rsidRDefault="00A26E2D">
      <w:pPr>
        <w:pStyle w:val="FootnoteText"/>
        <w:rPr>
          <w:rFonts w:ascii="Arial" w:hAnsi="Arial" w:cs="Arial"/>
          <w:sz w:val="16"/>
          <w:szCs w:val="16"/>
          <w:lang w:val="en-US"/>
        </w:rPr>
      </w:pPr>
      <w:r w:rsidRPr="00A26E2D">
        <w:rPr>
          <w:rStyle w:val="FootnoteReference"/>
          <w:rFonts w:ascii="Arial" w:hAnsi="Arial" w:cs="Arial"/>
          <w:sz w:val="16"/>
          <w:szCs w:val="16"/>
        </w:rPr>
        <w:footnoteRef/>
      </w:r>
      <w:r w:rsidRPr="00A26E2D">
        <w:rPr>
          <w:rFonts w:ascii="Arial" w:hAnsi="Arial" w:cs="Arial"/>
          <w:sz w:val="16"/>
          <w:szCs w:val="16"/>
        </w:rPr>
        <w:t xml:space="preserve"> </w:t>
      </w:r>
      <w:r w:rsidRPr="00A26E2D">
        <w:rPr>
          <w:rFonts w:ascii="Arial" w:hAnsi="Arial" w:cs="Arial"/>
          <w:sz w:val="16"/>
          <w:szCs w:val="16"/>
          <w:lang w:val="en-US"/>
        </w:rPr>
        <w:t>Article 20(1) of the EU IR</w:t>
      </w:r>
    </w:p>
  </w:footnote>
  <w:footnote w:id="15">
    <w:p w14:paraId="52733EF3" w14:textId="333A8E1E" w:rsidR="004F560E" w:rsidRPr="004F560E" w:rsidRDefault="004F560E">
      <w:pPr>
        <w:pStyle w:val="FootnoteText"/>
        <w:rPr>
          <w:rFonts w:ascii="Arial" w:hAnsi="Arial" w:cs="Arial"/>
          <w:sz w:val="16"/>
          <w:szCs w:val="16"/>
          <w:lang w:val="en-US"/>
        </w:rPr>
      </w:pPr>
      <w:r>
        <w:rPr>
          <w:rStyle w:val="FootnoteReference"/>
        </w:rPr>
        <w:footnoteRef/>
      </w:r>
      <w:r>
        <w:t xml:space="preserve"> </w:t>
      </w:r>
      <w:r w:rsidRPr="004F560E">
        <w:rPr>
          <w:rFonts w:ascii="Arial" w:hAnsi="Arial" w:cs="Arial"/>
          <w:sz w:val="16"/>
          <w:szCs w:val="16"/>
        </w:rPr>
        <w:t>Article 21(1) of the EU IR</w:t>
      </w:r>
    </w:p>
  </w:footnote>
  <w:footnote w:id="16">
    <w:p w14:paraId="0977BBDE" w14:textId="485FAF5A" w:rsidR="00003CB1" w:rsidRPr="00003CB1" w:rsidRDefault="00003CB1">
      <w:pPr>
        <w:pStyle w:val="FootnoteText"/>
        <w:rPr>
          <w:lang w:val="en-US"/>
        </w:rPr>
      </w:pPr>
      <w:r>
        <w:rPr>
          <w:rStyle w:val="FootnoteReference"/>
        </w:rPr>
        <w:footnoteRef/>
      </w:r>
      <w:r>
        <w:t xml:space="preserve"> </w:t>
      </w:r>
      <w:r w:rsidRPr="00003CB1">
        <w:rPr>
          <w:rFonts w:ascii="Arial" w:hAnsi="Arial" w:cs="Arial"/>
          <w:sz w:val="16"/>
          <w:szCs w:val="16"/>
          <w:lang w:val="en-US"/>
        </w:rPr>
        <w:t>The Act on the Conformation of Extrajudicial Restructuring Plans</w:t>
      </w:r>
    </w:p>
  </w:footnote>
  <w:footnote w:id="17">
    <w:p w14:paraId="72E808DA" w14:textId="3A2CE7AA" w:rsidR="00820395" w:rsidRPr="00820395" w:rsidRDefault="00820395">
      <w:pPr>
        <w:pStyle w:val="FootnoteText"/>
        <w:rPr>
          <w:rFonts w:ascii="Arial" w:hAnsi="Arial" w:cs="Arial"/>
          <w:sz w:val="16"/>
          <w:szCs w:val="16"/>
          <w:lang w:val="en-US"/>
        </w:rPr>
      </w:pPr>
      <w:r>
        <w:rPr>
          <w:rStyle w:val="FootnoteReference"/>
        </w:rPr>
        <w:footnoteRef/>
      </w:r>
      <w:r>
        <w:t xml:space="preserve"> </w:t>
      </w:r>
      <w:r w:rsidRPr="00820395">
        <w:rPr>
          <w:rFonts w:ascii="Arial" w:hAnsi="Arial" w:cs="Arial"/>
          <w:sz w:val="16"/>
          <w:szCs w:val="16"/>
          <w:lang w:val="en-US"/>
        </w:rPr>
        <w:t>Article 1 of the EU IR</w:t>
      </w:r>
    </w:p>
  </w:footnote>
  <w:footnote w:id="18">
    <w:p w14:paraId="4BF2DFE5" w14:textId="77777777" w:rsidR="00DC5BC2" w:rsidRPr="00A26E2D" w:rsidRDefault="00DC5BC2" w:rsidP="00DC5BC2">
      <w:pPr>
        <w:pStyle w:val="FootnoteText"/>
        <w:rPr>
          <w:rFonts w:ascii="Arial" w:hAnsi="Arial" w:cs="Arial"/>
          <w:sz w:val="16"/>
          <w:szCs w:val="16"/>
          <w:lang w:val="en-US"/>
        </w:rPr>
      </w:pPr>
      <w:r>
        <w:rPr>
          <w:rStyle w:val="FootnoteReference"/>
        </w:rPr>
        <w:footnoteRef/>
      </w:r>
      <w:r>
        <w:t xml:space="preserve"> </w:t>
      </w:r>
      <w:r w:rsidRPr="00A26E2D">
        <w:rPr>
          <w:rFonts w:ascii="Arial" w:hAnsi="Arial" w:cs="Arial"/>
          <w:sz w:val="16"/>
          <w:szCs w:val="16"/>
        </w:rPr>
        <w:t>Preamble paragraph (30) of the EU IR</w:t>
      </w:r>
    </w:p>
  </w:footnote>
  <w:footnote w:id="19">
    <w:p w14:paraId="00C54F16" w14:textId="07D9643E" w:rsidR="002F676B" w:rsidRPr="002F676B" w:rsidRDefault="002F676B">
      <w:pPr>
        <w:pStyle w:val="FootnoteText"/>
        <w:rPr>
          <w:lang w:val="en-US"/>
        </w:rPr>
      </w:pPr>
      <w:r>
        <w:rPr>
          <w:rStyle w:val="FootnoteReference"/>
        </w:rPr>
        <w:footnoteRef/>
      </w:r>
      <w:r>
        <w:t xml:space="preserve"> </w:t>
      </w:r>
      <w:r w:rsidRPr="002F676B">
        <w:rPr>
          <w:rFonts w:ascii="Arial" w:hAnsi="Arial" w:cs="Arial"/>
          <w:sz w:val="16"/>
          <w:szCs w:val="16"/>
        </w:rPr>
        <w:t>[2006] EUECJ C-341/04</w:t>
      </w:r>
    </w:p>
  </w:footnote>
  <w:footnote w:id="20">
    <w:p w14:paraId="0E010FFE" w14:textId="39E745F0" w:rsidR="002F676B" w:rsidRPr="002F676B" w:rsidRDefault="002F676B">
      <w:pPr>
        <w:pStyle w:val="FootnoteText"/>
        <w:rPr>
          <w:sz w:val="16"/>
          <w:szCs w:val="16"/>
          <w:lang w:val="en-US"/>
        </w:rPr>
      </w:pPr>
      <w:r>
        <w:rPr>
          <w:rStyle w:val="FootnoteReference"/>
        </w:rPr>
        <w:footnoteRef/>
      </w:r>
      <w:r>
        <w:t xml:space="preserve"> </w:t>
      </w:r>
      <w:r w:rsidRPr="001943CC">
        <w:rPr>
          <w:rFonts w:ascii="Arial" w:hAnsi="Arial" w:cs="Arial"/>
        </w:rPr>
        <w:t>[</w:t>
      </w:r>
      <w:r w:rsidRPr="002F676B">
        <w:rPr>
          <w:rFonts w:ascii="Arial" w:hAnsi="Arial" w:cs="Arial"/>
          <w:sz w:val="16"/>
          <w:szCs w:val="16"/>
        </w:rPr>
        <w:t>2011] EUECJ C-396/09</w:t>
      </w:r>
    </w:p>
  </w:footnote>
  <w:footnote w:id="21">
    <w:p w14:paraId="2354B03F" w14:textId="5E42DBB5" w:rsidR="00B3548C" w:rsidRPr="00B3548C" w:rsidRDefault="00B3548C">
      <w:pPr>
        <w:pStyle w:val="FootnoteText"/>
        <w:rPr>
          <w:rFonts w:ascii="Arial" w:hAnsi="Arial" w:cs="Arial"/>
          <w:sz w:val="16"/>
          <w:szCs w:val="16"/>
          <w:lang w:val="en-US"/>
        </w:rPr>
      </w:pPr>
      <w:r>
        <w:rPr>
          <w:rStyle w:val="FootnoteReference"/>
        </w:rPr>
        <w:footnoteRef/>
      </w:r>
      <w:r>
        <w:t xml:space="preserve"> </w:t>
      </w:r>
      <w:r w:rsidRPr="00B3548C">
        <w:rPr>
          <w:rFonts w:ascii="Arial" w:hAnsi="Arial" w:cs="Arial"/>
          <w:sz w:val="16"/>
          <w:szCs w:val="16"/>
          <w:lang w:val="en-US"/>
        </w:rPr>
        <w:t>Article 20(1) EU IR.</w:t>
      </w:r>
    </w:p>
  </w:footnote>
  <w:footnote w:id="22">
    <w:p w14:paraId="25F9E485" w14:textId="20BDD9B3" w:rsidR="004B0F4D" w:rsidRPr="004B0F4D" w:rsidRDefault="004B0F4D">
      <w:pPr>
        <w:pStyle w:val="FootnoteText"/>
        <w:rPr>
          <w:rFonts w:ascii="Arial" w:hAnsi="Arial" w:cs="Arial"/>
          <w:sz w:val="16"/>
          <w:szCs w:val="16"/>
          <w:lang w:val="en-US"/>
        </w:rPr>
      </w:pPr>
      <w:r>
        <w:rPr>
          <w:rStyle w:val="FootnoteReference"/>
        </w:rPr>
        <w:footnoteRef/>
      </w:r>
      <w:r>
        <w:t xml:space="preserve"> </w:t>
      </w:r>
      <w:r w:rsidRPr="004B0F4D">
        <w:rPr>
          <w:rFonts w:ascii="Arial" w:hAnsi="Arial" w:cs="Arial"/>
          <w:sz w:val="16"/>
          <w:szCs w:val="16"/>
          <w:lang w:val="en-US"/>
        </w:rPr>
        <w:t>Article 21(2) EU IR</w:t>
      </w:r>
    </w:p>
  </w:footnote>
  <w:footnote w:id="23">
    <w:p w14:paraId="5C8901E8" w14:textId="6C56AC69" w:rsidR="004B0F4D" w:rsidRPr="004B0F4D" w:rsidRDefault="004B0F4D">
      <w:pPr>
        <w:pStyle w:val="FootnoteText"/>
        <w:rPr>
          <w:rFonts w:ascii="Arial" w:hAnsi="Arial" w:cs="Arial"/>
          <w:sz w:val="16"/>
          <w:szCs w:val="16"/>
          <w:lang w:val="en-US"/>
        </w:rPr>
      </w:pPr>
      <w:r>
        <w:rPr>
          <w:rStyle w:val="FootnoteReference"/>
        </w:rPr>
        <w:footnoteRef/>
      </w:r>
      <w:r>
        <w:t xml:space="preserve"> </w:t>
      </w:r>
      <w:r w:rsidRPr="004B0F4D">
        <w:rPr>
          <w:rFonts w:ascii="Arial" w:hAnsi="Arial" w:cs="Arial"/>
          <w:sz w:val="16"/>
          <w:szCs w:val="16"/>
          <w:lang w:val="en-US"/>
        </w:rPr>
        <w:t>Article 60(1) EU IR</w:t>
      </w:r>
    </w:p>
  </w:footnote>
  <w:footnote w:id="24">
    <w:p w14:paraId="7FA34672" w14:textId="48D6D90E" w:rsidR="004B0F4D" w:rsidRPr="004B0F4D" w:rsidRDefault="004B0F4D">
      <w:pPr>
        <w:pStyle w:val="FootnoteText"/>
        <w:rPr>
          <w:rFonts w:ascii="Arial" w:hAnsi="Arial" w:cs="Arial"/>
          <w:sz w:val="16"/>
          <w:szCs w:val="16"/>
          <w:lang w:val="en-US"/>
        </w:rPr>
      </w:pPr>
      <w:r>
        <w:rPr>
          <w:rStyle w:val="FootnoteReference"/>
        </w:rPr>
        <w:footnoteRef/>
      </w:r>
      <w:r>
        <w:t xml:space="preserve"> </w:t>
      </w:r>
      <w:r w:rsidRPr="004B0F4D">
        <w:rPr>
          <w:rFonts w:ascii="Arial" w:hAnsi="Arial" w:cs="Arial"/>
          <w:sz w:val="16"/>
          <w:szCs w:val="16"/>
          <w:lang w:val="en-US"/>
        </w:rPr>
        <w:t>Article 60(1)(c) EU IR</w:t>
      </w:r>
    </w:p>
  </w:footnote>
  <w:footnote w:id="25">
    <w:p w14:paraId="2BF2E610" w14:textId="25BF88F2" w:rsidR="00F2707E" w:rsidRPr="00F2707E" w:rsidRDefault="00F2707E">
      <w:pPr>
        <w:pStyle w:val="FootnoteText"/>
        <w:rPr>
          <w:rFonts w:ascii="Arial" w:hAnsi="Arial" w:cs="Arial"/>
          <w:sz w:val="16"/>
          <w:szCs w:val="16"/>
          <w:lang w:val="en-US"/>
        </w:rPr>
      </w:pPr>
      <w:r>
        <w:rPr>
          <w:rStyle w:val="FootnoteReference"/>
        </w:rPr>
        <w:footnoteRef/>
      </w:r>
      <w:r>
        <w:t xml:space="preserve"> </w:t>
      </w:r>
      <w:r w:rsidRPr="00F2707E">
        <w:rPr>
          <w:rFonts w:ascii="Arial" w:hAnsi="Arial" w:cs="Arial"/>
          <w:sz w:val="16"/>
          <w:szCs w:val="16"/>
        </w:rPr>
        <w:t xml:space="preserve">See </w:t>
      </w:r>
      <w:r w:rsidRPr="00F2707E">
        <w:rPr>
          <w:rFonts w:ascii="Arial" w:hAnsi="Arial" w:cs="Arial"/>
          <w:sz w:val="16"/>
          <w:szCs w:val="16"/>
          <w:lang w:val="en-US"/>
        </w:rPr>
        <w:t xml:space="preserve">Article 71 </w:t>
      </w:r>
      <w:r>
        <w:rPr>
          <w:rFonts w:ascii="Arial" w:hAnsi="Arial" w:cs="Arial"/>
          <w:sz w:val="16"/>
          <w:szCs w:val="16"/>
          <w:lang w:val="en-US"/>
        </w:rPr>
        <w:t xml:space="preserve">EU IR </w:t>
      </w:r>
      <w:r w:rsidRPr="00F2707E">
        <w:rPr>
          <w:rFonts w:ascii="Arial" w:hAnsi="Arial" w:cs="Arial"/>
          <w:sz w:val="16"/>
          <w:szCs w:val="16"/>
          <w:lang w:val="en-US"/>
        </w:rPr>
        <w:t>for the eligibility of the coordinator and Article 72 EU IR for the tasks and rights of the coordinator</w:t>
      </w:r>
      <w:r w:rsidR="00CD0ABF">
        <w:rPr>
          <w:rFonts w:ascii="Arial" w:hAnsi="Arial" w:cs="Arial"/>
          <w:sz w:val="16"/>
          <w:szCs w:val="16"/>
          <w:lang w:val="en-US"/>
        </w:rPr>
        <w:t>.</w:t>
      </w:r>
    </w:p>
  </w:footnote>
  <w:footnote w:id="26">
    <w:p w14:paraId="4B14AB8C" w14:textId="5A9F677F" w:rsidR="00CD0ABF" w:rsidRPr="00CD0ABF" w:rsidRDefault="00CD0ABF">
      <w:pPr>
        <w:pStyle w:val="FootnoteText"/>
        <w:rPr>
          <w:rFonts w:ascii="Arial" w:hAnsi="Arial" w:cs="Arial"/>
          <w:sz w:val="16"/>
          <w:szCs w:val="16"/>
          <w:lang w:val="en-US"/>
        </w:rPr>
      </w:pPr>
      <w:r w:rsidRPr="00CD0ABF">
        <w:rPr>
          <w:rStyle w:val="FootnoteReference"/>
          <w:rFonts w:ascii="Arial" w:hAnsi="Arial" w:cs="Arial"/>
          <w:sz w:val="16"/>
          <w:szCs w:val="16"/>
        </w:rPr>
        <w:footnoteRef/>
      </w:r>
      <w:r w:rsidRPr="00CD0ABF">
        <w:rPr>
          <w:rFonts w:ascii="Arial" w:hAnsi="Arial" w:cs="Arial"/>
          <w:sz w:val="16"/>
          <w:szCs w:val="16"/>
        </w:rPr>
        <w:t xml:space="preserve"> </w:t>
      </w:r>
      <w:r w:rsidRPr="00CD0ABF">
        <w:rPr>
          <w:rFonts w:ascii="Arial" w:hAnsi="Arial" w:cs="Arial"/>
          <w:sz w:val="16"/>
          <w:szCs w:val="16"/>
          <w:lang w:val="en-US"/>
        </w:rPr>
        <w:t>This is a novel provision that has no equivalent in Chapter 11 despite IRDA being modelled on the same.</w:t>
      </w:r>
    </w:p>
  </w:footnote>
  <w:footnote w:id="27">
    <w:p w14:paraId="71F055A1" w14:textId="585B11BA" w:rsidR="000B7043" w:rsidRPr="00362949" w:rsidRDefault="000B7043">
      <w:pPr>
        <w:pStyle w:val="FootnoteText"/>
        <w:rPr>
          <w:rFonts w:ascii="Arial" w:hAnsi="Arial" w:cs="Arial"/>
          <w:sz w:val="16"/>
          <w:szCs w:val="16"/>
          <w:lang w:val="en-US"/>
        </w:rPr>
      </w:pPr>
      <w:r w:rsidRPr="00362949">
        <w:rPr>
          <w:rStyle w:val="FootnoteReference"/>
          <w:rFonts w:ascii="Arial" w:hAnsi="Arial" w:cs="Arial"/>
          <w:sz w:val="16"/>
          <w:szCs w:val="16"/>
        </w:rPr>
        <w:footnoteRef/>
      </w:r>
      <w:r w:rsidRPr="00362949">
        <w:rPr>
          <w:rFonts w:ascii="Arial" w:hAnsi="Arial" w:cs="Arial"/>
          <w:sz w:val="16"/>
          <w:szCs w:val="16"/>
        </w:rPr>
        <w:t xml:space="preserve"> </w:t>
      </w:r>
      <w:r w:rsidRPr="00362949">
        <w:rPr>
          <w:rFonts w:ascii="Arial" w:hAnsi="Arial" w:cs="Arial"/>
          <w:sz w:val="16"/>
          <w:szCs w:val="16"/>
          <w:lang w:val="en-US"/>
        </w:rPr>
        <w:t>Section 64 (1) (a) to (e) IRDA</w:t>
      </w:r>
    </w:p>
  </w:footnote>
  <w:footnote w:id="28">
    <w:p w14:paraId="161DE489" w14:textId="40319B19" w:rsidR="00362949" w:rsidRPr="00362949" w:rsidRDefault="00362949">
      <w:pPr>
        <w:pStyle w:val="FootnoteText"/>
        <w:rPr>
          <w:rFonts w:ascii="Arial" w:hAnsi="Arial" w:cs="Arial"/>
          <w:sz w:val="16"/>
          <w:szCs w:val="16"/>
        </w:rPr>
      </w:pPr>
      <w:r w:rsidRPr="00362949">
        <w:rPr>
          <w:rStyle w:val="FootnoteReference"/>
          <w:rFonts w:ascii="Arial" w:hAnsi="Arial" w:cs="Arial"/>
          <w:sz w:val="16"/>
          <w:szCs w:val="16"/>
        </w:rPr>
        <w:footnoteRef/>
      </w:r>
      <w:r w:rsidRPr="00362949">
        <w:rPr>
          <w:rFonts w:ascii="Arial" w:hAnsi="Arial" w:cs="Arial"/>
          <w:sz w:val="16"/>
          <w:szCs w:val="16"/>
        </w:rPr>
        <w:t xml:space="preserve"> Section 64(2) IRDA</w:t>
      </w:r>
    </w:p>
  </w:footnote>
  <w:footnote w:id="29">
    <w:p w14:paraId="6AA3609C" w14:textId="59591AA6" w:rsidR="00100202" w:rsidRPr="00100202" w:rsidRDefault="00100202">
      <w:pPr>
        <w:pStyle w:val="FootnoteText"/>
        <w:rPr>
          <w:rFonts w:ascii="Arial" w:hAnsi="Arial" w:cs="Arial"/>
          <w:sz w:val="16"/>
          <w:szCs w:val="16"/>
          <w:lang w:val="en-US"/>
        </w:rPr>
      </w:pPr>
      <w:r w:rsidRPr="00362949">
        <w:rPr>
          <w:rStyle w:val="FootnoteReference"/>
          <w:rFonts w:ascii="Arial" w:hAnsi="Arial" w:cs="Arial"/>
          <w:sz w:val="16"/>
          <w:szCs w:val="16"/>
        </w:rPr>
        <w:footnoteRef/>
      </w:r>
      <w:r w:rsidRPr="00362949">
        <w:rPr>
          <w:rFonts w:ascii="Arial" w:hAnsi="Arial" w:cs="Arial"/>
          <w:sz w:val="16"/>
          <w:szCs w:val="16"/>
        </w:rPr>
        <w:t xml:space="preserve"> See </w:t>
      </w:r>
      <w:r w:rsidRPr="00362949">
        <w:rPr>
          <w:rStyle w:val="Strong"/>
          <w:rFonts w:ascii="Arial" w:hAnsi="Arial" w:cs="Arial"/>
          <w:b w:val="0"/>
          <w:bCs w:val="0"/>
          <w:i/>
          <w:iCs/>
          <w:color w:val="010101"/>
          <w:sz w:val="16"/>
          <w:szCs w:val="16"/>
          <w:shd w:val="clear" w:color="auto" w:fill="FFFFFF"/>
        </w:rPr>
        <w:t>Re PT MNC Investama</w:t>
      </w:r>
      <w:r w:rsidRPr="00100202">
        <w:rPr>
          <w:rStyle w:val="Strong"/>
          <w:rFonts w:ascii="Arial" w:hAnsi="Arial" w:cs="Arial"/>
          <w:b w:val="0"/>
          <w:bCs w:val="0"/>
          <w:i/>
          <w:iCs/>
          <w:color w:val="010101"/>
          <w:sz w:val="16"/>
          <w:szCs w:val="16"/>
          <w:shd w:val="clear" w:color="auto" w:fill="FFFFFF"/>
        </w:rPr>
        <w:t xml:space="preserve"> TBK</w:t>
      </w:r>
      <w:r w:rsidRPr="00100202">
        <w:rPr>
          <w:rStyle w:val="Strong"/>
          <w:rFonts w:ascii="Arial" w:hAnsi="Arial" w:cs="Arial"/>
          <w:b w:val="0"/>
          <w:bCs w:val="0"/>
          <w:color w:val="010101"/>
          <w:sz w:val="16"/>
          <w:szCs w:val="16"/>
          <w:shd w:val="clear" w:color="auto" w:fill="FFFFFF"/>
        </w:rPr>
        <w:t xml:space="preserve"> [2020] SGHC 149</w:t>
      </w:r>
      <w:r w:rsidRPr="00100202">
        <w:rPr>
          <w:rFonts w:ascii="Arial" w:hAnsi="Arial" w:cs="Arial"/>
          <w:sz w:val="16"/>
          <w:szCs w:val="16"/>
          <w:lang w:val="en-US"/>
        </w:rPr>
        <w:t>.</w:t>
      </w:r>
    </w:p>
  </w:footnote>
  <w:footnote w:id="30">
    <w:p w14:paraId="4DC7986C" w14:textId="5F911B4B" w:rsidR="005472F8" w:rsidRPr="005472F8" w:rsidRDefault="005472F8">
      <w:pPr>
        <w:pStyle w:val="FootnoteText"/>
        <w:rPr>
          <w:rFonts w:ascii="Arial" w:hAnsi="Arial" w:cs="Arial"/>
          <w:sz w:val="16"/>
          <w:szCs w:val="16"/>
          <w:lang w:val="en-US"/>
        </w:rPr>
      </w:pPr>
      <w:r>
        <w:rPr>
          <w:rStyle w:val="FootnoteReference"/>
        </w:rPr>
        <w:footnoteRef/>
      </w:r>
      <w:r>
        <w:t xml:space="preserve"> </w:t>
      </w:r>
      <w:r>
        <w:rPr>
          <w:rFonts w:ascii="Arial" w:hAnsi="Arial" w:cs="Arial"/>
          <w:sz w:val="16"/>
          <w:szCs w:val="16"/>
          <w:lang w:val="en-US"/>
        </w:rPr>
        <w:t>S</w:t>
      </w:r>
      <w:r w:rsidRPr="00100202">
        <w:rPr>
          <w:rFonts w:ascii="Arial" w:hAnsi="Arial" w:cs="Arial"/>
          <w:sz w:val="16"/>
          <w:szCs w:val="16"/>
          <w:lang w:val="en-US"/>
        </w:rPr>
        <w:t>ection 246(3) of IRDA.</w:t>
      </w:r>
    </w:p>
  </w:footnote>
  <w:footnote w:id="31">
    <w:p w14:paraId="74B30950" w14:textId="04A6CAEE" w:rsidR="00362949" w:rsidRPr="00C40433" w:rsidRDefault="00362949">
      <w:pPr>
        <w:pStyle w:val="FootnoteText"/>
        <w:rPr>
          <w:rFonts w:ascii="Arial" w:hAnsi="Arial" w:cs="Arial"/>
          <w:sz w:val="16"/>
          <w:szCs w:val="16"/>
          <w:lang w:val="en-US"/>
        </w:rPr>
      </w:pPr>
      <w:r>
        <w:rPr>
          <w:rStyle w:val="FootnoteReference"/>
        </w:rPr>
        <w:footnoteRef/>
      </w:r>
      <w:r>
        <w:t xml:space="preserve"> </w:t>
      </w:r>
      <w:r w:rsidRPr="00FC2205">
        <w:rPr>
          <w:rFonts w:ascii="Arial" w:hAnsi="Arial" w:cs="Arial"/>
          <w:sz w:val="16"/>
          <w:szCs w:val="16"/>
          <w:lang w:val="en-US"/>
        </w:rPr>
        <w:t>Section 65</w:t>
      </w:r>
      <w:r w:rsidR="00FC2205" w:rsidRPr="00FC2205">
        <w:rPr>
          <w:rFonts w:ascii="Arial" w:hAnsi="Arial" w:cs="Arial"/>
          <w:sz w:val="16"/>
          <w:szCs w:val="16"/>
          <w:lang w:val="en-US"/>
        </w:rPr>
        <w:t xml:space="preserve"> (1)</w:t>
      </w:r>
      <w:r w:rsidRPr="00FC2205">
        <w:rPr>
          <w:rFonts w:ascii="Arial" w:hAnsi="Arial" w:cs="Arial"/>
          <w:sz w:val="16"/>
          <w:szCs w:val="16"/>
          <w:lang w:val="en-US"/>
        </w:rPr>
        <w:t xml:space="preserve"> IRDA. Although Section 65</w:t>
      </w:r>
      <w:r w:rsidR="00FC2205" w:rsidRPr="00FC2205">
        <w:rPr>
          <w:rFonts w:ascii="Arial" w:hAnsi="Arial" w:cs="Arial"/>
          <w:sz w:val="16"/>
          <w:szCs w:val="16"/>
          <w:lang w:val="en-US"/>
        </w:rPr>
        <w:t xml:space="preserve"> (1)</w:t>
      </w:r>
      <w:r w:rsidRPr="00FC2205">
        <w:rPr>
          <w:rFonts w:ascii="Arial" w:hAnsi="Arial" w:cs="Arial"/>
          <w:sz w:val="16"/>
          <w:szCs w:val="16"/>
          <w:lang w:val="en-US"/>
        </w:rPr>
        <w:t xml:space="preserve"> is worded such that the application for a moratorium by the subsidiary, holding </w:t>
      </w:r>
      <w:r w:rsidRPr="00C40433">
        <w:rPr>
          <w:rFonts w:ascii="Arial" w:hAnsi="Arial" w:cs="Arial"/>
          <w:sz w:val="16"/>
          <w:szCs w:val="16"/>
          <w:lang w:val="en-US"/>
        </w:rPr>
        <w:t>company or ultimate holding company of the subject company</w:t>
      </w:r>
      <w:r w:rsidR="00FC2205" w:rsidRPr="00C40433">
        <w:rPr>
          <w:rFonts w:ascii="Arial" w:hAnsi="Arial" w:cs="Arial"/>
          <w:sz w:val="16"/>
          <w:szCs w:val="16"/>
          <w:lang w:val="en-US"/>
        </w:rPr>
        <w:t xml:space="preserve"> (“related company”)</w:t>
      </w:r>
      <w:r w:rsidRPr="00C40433">
        <w:rPr>
          <w:rFonts w:ascii="Arial" w:hAnsi="Arial" w:cs="Arial"/>
          <w:sz w:val="16"/>
          <w:szCs w:val="16"/>
          <w:lang w:val="en-US"/>
        </w:rPr>
        <w:t xml:space="preserve"> may be made only when the moratorium is ordered for the subject company, </w:t>
      </w:r>
      <w:r w:rsidR="00FC2205" w:rsidRPr="00C40433">
        <w:rPr>
          <w:rFonts w:ascii="Arial" w:hAnsi="Arial" w:cs="Arial"/>
          <w:sz w:val="16"/>
          <w:szCs w:val="16"/>
          <w:lang w:val="en-US"/>
        </w:rPr>
        <w:t>in practice the applications are made together with the moratorium order for the related company being made only after the moratorium order for the subject company is made.</w:t>
      </w:r>
    </w:p>
  </w:footnote>
  <w:footnote w:id="32">
    <w:p w14:paraId="20B8C34D" w14:textId="76394F2B" w:rsidR="00FC2205" w:rsidRPr="00C40433" w:rsidRDefault="00FC2205">
      <w:pPr>
        <w:pStyle w:val="FootnoteText"/>
        <w:rPr>
          <w:rFonts w:ascii="Arial" w:hAnsi="Arial" w:cs="Arial"/>
          <w:sz w:val="16"/>
          <w:szCs w:val="16"/>
          <w:lang w:val="en-US"/>
        </w:rPr>
      </w:pPr>
      <w:r w:rsidRPr="00C40433">
        <w:rPr>
          <w:rStyle w:val="FootnoteReference"/>
          <w:rFonts w:ascii="Arial" w:hAnsi="Arial" w:cs="Arial"/>
          <w:sz w:val="16"/>
          <w:szCs w:val="16"/>
        </w:rPr>
        <w:footnoteRef/>
      </w:r>
      <w:r w:rsidRPr="00C40433">
        <w:rPr>
          <w:rFonts w:ascii="Arial" w:hAnsi="Arial" w:cs="Arial"/>
          <w:sz w:val="16"/>
          <w:szCs w:val="16"/>
        </w:rPr>
        <w:t xml:space="preserve"> </w:t>
      </w:r>
      <w:r w:rsidRPr="00C40433">
        <w:rPr>
          <w:rFonts w:ascii="Arial" w:hAnsi="Arial" w:cs="Arial"/>
          <w:sz w:val="16"/>
          <w:szCs w:val="16"/>
          <w:lang w:val="en-US"/>
        </w:rPr>
        <w:t>For the definition of “subsidiary”, “</w:t>
      </w:r>
      <w:r w:rsidR="00C40433" w:rsidRPr="00C40433">
        <w:rPr>
          <w:rFonts w:ascii="Arial" w:hAnsi="Arial" w:cs="Arial"/>
          <w:sz w:val="16"/>
          <w:szCs w:val="16"/>
          <w:lang w:val="en-US"/>
        </w:rPr>
        <w:t>holding company”, “ultimate holding company” see sections 5 and 5A of the Companies Act 1967.</w:t>
      </w:r>
    </w:p>
  </w:footnote>
  <w:footnote w:id="33">
    <w:p w14:paraId="7A5C3329" w14:textId="696AFCC8" w:rsidR="009A5863" w:rsidRPr="009A5863" w:rsidRDefault="009A5863">
      <w:pPr>
        <w:pStyle w:val="FootnoteText"/>
        <w:rPr>
          <w:rFonts w:ascii="Arial" w:hAnsi="Arial" w:cs="Arial"/>
          <w:sz w:val="16"/>
          <w:szCs w:val="16"/>
          <w:lang w:val="en-US"/>
        </w:rPr>
      </w:pPr>
      <w:r>
        <w:rPr>
          <w:rStyle w:val="FootnoteReference"/>
        </w:rPr>
        <w:footnoteRef/>
      </w:r>
      <w:r>
        <w:t xml:space="preserve"> </w:t>
      </w:r>
      <w:r w:rsidRPr="009A5863">
        <w:rPr>
          <w:rFonts w:ascii="Arial" w:hAnsi="Arial" w:cs="Arial"/>
          <w:sz w:val="16"/>
          <w:szCs w:val="16"/>
          <w:lang w:val="en-US"/>
        </w:rPr>
        <w:t>Article 2(</w:t>
      </w:r>
      <w:r w:rsidR="00C36878">
        <w:rPr>
          <w:rFonts w:ascii="Arial" w:hAnsi="Arial" w:cs="Arial"/>
          <w:sz w:val="16"/>
          <w:szCs w:val="16"/>
          <w:lang w:val="en-US"/>
        </w:rPr>
        <w:t>b</w:t>
      </w:r>
      <w:r w:rsidRPr="009A5863">
        <w:rPr>
          <w:rFonts w:ascii="Arial" w:hAnsi="Arial" w:cs="Arial"/>
          <w:sz w:val="16"/>
          <w:szCs w:val="16"/>
          <w:lang w:val="en-US"/>
        </w:rPr>
        <w:t>) of the Model Law</w:t>
      </w:r>
    </w:p>
  </w:footnote>
  <w:footnote w:id="34">
    <w:p w14:paraId="551D5B3B" w14:textId="3DC40DE1" w:rsidR="00C36878" w:rsidRPr="00C36878" w:rsidRDefault="00C36878">
      <w:pPr>
        <w:pStyle w:val="FootnoteText"/>
        <w:rPr>
          <w:lang w:val="en-US"/>
        </w:rPr>
      </w:pPr>
      <w:r>
        <w:rPr>
          <w:rStyle w:val="FootnoteReference"/>
        </w:rPr>
        <w:footnoteRef/>
      </w:r>
      <w:r>
        <w:t xml:space="preserve"> </w:t>
      </w:r>
      <w:r w:rsidRPr="00C36878">
        <w:rPr>
          <w:rFonts w:ascii="Arial" w:hAnsi="Arial" w:cs="Arial"/>
          <w:sz w:val="16"/>
          <w:szCs w:val="16"/>
          <w:lang w:val="en-US"/>
        </w:rPr>
        <w:t>Article 2(a) of the Model Law</w:t>
      </w:r>
    </w:p>
  </w:footnote>
  <w:footnote w:id="35">
    <w:p w14:paraId="1376344F" w14:textId="1859D839" w:rsidR="009C4E37" w:rsidRPr="007A1367" w:rsidRDefault="009C4E37" w:rsidP="009C4E37">
      <w:pPr>
        <w:pStyle w:val="FootnoteText"/>
        <w:rPr>
          <w:rFonts w:ascii="Arial" w:hAnsi="Arial" w:cs="Arial"/>
          <w:sz w:val="16"/>
          <w:szCs w:val="16"/>
          <w:lang w:val="en-US"/>
        </w:rPr>
      </w:pPr>
      <w:r w:rsidRPr="007A1367">
        <w:rPr>
          <w:rStyle w:val="FootnoteReference"/>
          <w:rFonts w:ascii="Arial" w:hAnsi="Arial" w:cs="Arial"/>
          <w:sz w:val="16"/>
          <w:szCs w:val="16"/>
        </w:rPr>
        <w:footnoteRef/>
      </w:r>
      <w:r w:rsidRPr="007A1367">
        <w:rPr>
          <w:rFonts w:ascii="Arial" w:hAnsi="Arial" w:cs="Arial"/>
          <w:sz w:val="16"/>
          <w:szCs w:val="16"/>
        </w:rPr>
        <w:t xml:space="preserve"> </w:t>
      </w:r>
      <w:r w:rsidRPr="007A1367">
        <w:rPr>
          <w:rFonts w:ascii="Arial" w:hAnsi="Arial" w:cs="Arial"/>
          <w:sz w:val="16"/>
          <w:szCs w:val="16"/>
          <w:lang w:val="en-US"/>
        </w:rPr>
        <w:t>Part 26A of the (UK) Companies Act 2006</w:t>
      </w:r>
    </w:p>
  </w:footnote>
  <w:footnote w:id="36">
    <w:p w14:paraId="1F64756E" w14:textId="41052FEA" w:rsidR="00DF289E" w:rsidRPr="00DF289E" w:rsidRDefault="00DF289E">
      <w:pPr>
        <w:pStyle w:val="FootnoteText"/>
        <w:rPr>
          <w:lang w:val="en-US"/>
        </w:rPr>
      </w:pPr>
      <w:r>
        <w:rPr>
          <w:rStyle w:val="FootnoteReference"/>
        </w:rPr>
        <w:footnoteRef/>
      </w:r>
      <w:r>
        <w:t xml:space="preserve"> </w:t>
      </w:r>
      <w:r w:rsidRPr="007A1367">
        <w:rPr>
          <w:rFonts w:ascii="Arial" w:hAnsi="Arial" w:cs="Arial"/>
          <w:sz w:val="16"/>
          <w:szCs w:val="16"/>
          <w:lang w:val="en-US"/>
        </w:rPr>
        <w:t xml:space="preserve">See for e.g. </w:t>
      </w:r>
      <w:r w:rsidRPr="00DF289E">
        <w:rPr>
          <w:rFonts w:ascii="Arial" w:hAnsi="Arial" w:cs="Arial"/>
          <w:i/>
          <w:iCs/>
          <w:sz w:val="16"/>
          <w:szCs w:val="16"/>
          <w:lang w:val="en-US"/>
        </w:rPr>
        <w:t>In the Matter of Rodenstock GmbH</w:t>
      </w:r>
    </w:p>
  </w:footnote>
  <w:footnote w:id="37">
    <w:p w14:paraId="6052AD41" w14:textId="2C422D4A" w:rsidR="00DF289E" w:rsidRPr="00DF289E" w:rsidRDefault="00DF289E">
      <w:pPr>
        <w:pStyle w:val="FootnoteText"/>
        <w:rPr>
          <w:rFonts w:ascii="Arial" w:hAnsi="Arial" w:cs="Arial"/>
          <w:sz w:val="16"/>
          <w:szCs w:val="16"/>
          <w:lang w:val="en-US"/>
        </w:rPr>
      </w:pPr>
      <w:r>
        <w:rPr>
          <w:rStyle w:val="FootnoteReference"/>
        </w:rPr>
        <w:footnoteRef/>
      </w:r>
      <w:r>
        <w:t xml:space="preserve"> </w:t>
      </w:r>
      <w:r w:rsidRPr="00DF289E">
        <w:rPr>
          <w:rFonts w:ascii="Arial" w:hAnsi="Arial" w:cs="Arial"/>
          <w:color w:val="08122C"/>
          <w:sz w:val="16"/>
          <w:szCs w:val="16"/>
          <w:shd w:val="clear" w:color="auto" w:fill="FFFFFF"/>
        </w:rPr>
        <w:t>Part A1 UK Insolvency Act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058F6" w14:textId="77777777" w:rsidR="003A224A" w:rsidRDefault="003A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5465359"/>
      <w:docPartObj>
        <w:docPartGallery w:val="Page Numbers (Top of Page)"/>
        <w:docPartUnique/>
      </w:docPartObj>
    </w:sdtPr>
    <w:sdtEndPr>
      <w:rPr>
        <w:noProof/>
      </w:rPr>
    </w:sdtEndPr>
    <w:sdtContent>
      <w:p w14:paraId="62618E52" w14:textId="767B011C" w:rsidR="003A224A" w:rsidRDefault="003A22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70230F" w14:textId="77777777" w:rsidR="003A224A" w:rsidRDefault="003A2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83989" w14:textId="77777777" w:rsidR="003A224A" w:rsidRDefault="003A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B4540"/>
    <w:multiLevelType w:val="hybridMultilevel"/>
    <w:tmpl w:val="52C02654"/>
    <w:lvl w:ilvl="0" w:tplc="C3589D62">
      <w:start w:val="1"/>
      <w:numFmt w:val="decimal"/>
      <w:lvlText w:val="%1."/>
      <w:lvlJc w:val="left"/>
      <w:pPr>
        <w:ind w:left="5179" w:hanging="360"/>
      </w:pPr>
      <w:rPr>
        <w:rFonts w:hint="default"/>
        <w:i w:val="0"/>
        <w:iCs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95329C"/>
    <w:multiLevelType w:val="hybridMultilevel"/>
    <w:tmpl w:val="74B849B2"/>
    <w:lvl w:ilvl="0" w:tplc="4130298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 w15:restartNumberingAfterBreak="0">
    <w:nsid w:val="4D93547A"/>
    <w:multiLevelType w:val="hybridMultilevel"/>
    <w:tmpl w:val="E95E43AE"/>
    <w:lvl w:ilvl="0" w:tplc="E308406C">
      <w:start w:val="1"/>
      <w:numFmt w:val="lowerLetter"/>
      <w:lvlText w:val="(%1)"/>
      <w:lvlJc w:val="left"/>
      <w:pPr>
        <w:ind w:left="644" w:hanging="360"/>
      </w:pPr>
      <w:rPr>
        <w:rFonts w:asciiTheme="minorHAnsi" w:hAnsiTheme="minorHAnsi" w:cstheme="minorBidi" w:hint="default"/>
        <w:sz w:val="19"/>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16cid:durableId="1529104581">
    <w:abstractNumId w:val="0"/>
  </w:num>
  <w:num w:numId="2" w16cid:durableId="1590233851">
    <w:abstractNumId w:val="2"/>
  </w:num>
  <w:num w:numId="3" w16cid:durableId="91567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8E"/>
    <w:rsid w:val="00003CB1"/>
    <w:rsid w:val="00077797"/>
    <w:rsid w:val="000B7043"/>
    <w:rsid w:val="000E69F7"/>
    <w:rsid w:val="00100202"/>
    <w:rsid w:val="00102EA5"/>
    <w:rsid w:val="00103E1E"/>
    <w:rsid w:val="001150BB"/>
    <w:rsid w:val="001168A8"/>
    <w:rsid w:val="00120884"/>
    <w:rsid w:val="0012541B"/>
    <w:rsid w:val="001328EF"/>
    <w:rsid w:val="00154ED9"/>
    <w:rsid w:val="00155D41"/>
    <w:rsid w:val="001943CC"/>
    <w:rsid w:val="001A7B2D"/>
    <w:rsid w:val="0022051F"/>
    <w:rsid w:val="00221A3E"/>
    <w:rsid w:val="00271F63"/>
    <w:rsid w:val="00272F3C"/>
    <w:rsid w:val="00274156"/>
    <w:rsid w:val="00293306"/>
    <w:rsid w:val="002A64B9"/>
    <w:rsid w:val="002E2717"/>
    <w:rsid w:val="002E5262"/>
    <w:rsid w:val="002E5C70"/>
    <w:rsid w:val="002F676B"/>
    <w:rsid w:val="003125AE"/>
    <w:rsid w:val="00321ACC"/>
    <w:rsid w:val="00323FE8"/>
    <w:rsid w:val="0033334E"/>
    <w:rsid w:val="0035641E"/>
    <w:rsid w:val="00362949"/>
    <w:rsid w:val="003A224A"/>
    <w:rsid w:val="003B2012"/>
    <w:rsid w:val="003E0464"/>
    <w:rsid w:val="00406A9C"/>
    <w:rsid w:val="0041571E"/>
    <w:rsid w:val="00453BCF"/>
    <w:rsid w:val="00483C1E"/>
    <w:rsid w:val="004A0CC0"/>
    <w:rsid w:val="004A19DD"/>
    <w:rsid w:val="004A1FBC"/>
    <w:rsid w:val="004B0F4D"/>
    <w:rsid w:val="004B4CA4"/>
    <w:rsid w:val="004C29B2"/>
    <w:rsid w:val="004C3B6F"/>
    <w:rsid w:val="004E2C68"/>
    <w:rsid w:val="004E7649"/>
    <w:rsid w:val="004F560E"/>
    <w:rsid w:val="00506F5D"/>
    <w:rsid w:val="00526613"/>
    <w:rsid w:val="005404FF"/>
    <w:rsid w:val="005472F8"/>
    <w:rsid w:val="00551CD0"/>
    <w:rsid w:val="0056406D"/>
    <w:rsid w:val="00564E8E"/>
    <w:rsid w:val="005738FD"/>
    <w:rsid w:val="005C7684"/>
    <w:rsid w:val="005D69A5"/>
    <w:rsid w:val="005E16D6"/>
    <w:rsid w:val="005F0E12"/>
    <w:rsid w:val="005F7206"/>
    <w:rsid w:val="00606960"/>
    <w:rsid w:val="006436F1"/>
    <w:rsid w:val="006647CF"/>
    <w:rsid w:val="0068117C"/>
    <w:rsid w:val="006E4B10"/>
    <w:rsid w:val="00711F04"/>
    <w:rsid w:val="0073692D"/>
    <w:rsid w:val="007434C1"/>
    <w:rsid w:val="007635C0"/>
    <w:rsid w:val="00766D2B"/>
    <w:rsid w:val="0076784B"/>
    <w:rsid w:val="007A1367"/>
    <w:rsid w:val="007D3113"/>
    <w:rsid w:val="007D4C1A"/>
    <w:rsid w:val="00820395"/>
    <w:rsid w:val="00822A4F"/>
    <w:rsid w:val="00823105"/>
    <w:rsid w:val="008361EE"/>
    <w:rsid w:val="00844F4B"/>
    <w:rsid w:val="00864913"/>
    <w:rsid w:val="008D2187"/>
    <w:rsid w:val="008F03BE"/>
    <w:rsid w:val="0091533C"/>
    <w:rsid w:val="009458D8"/>
    <w:rsid w:val="00996FA1"/>
    <w:rsid w:val="009A3276"/>
    <w:rsid w:val="009A5863"/>
    <w:rsid w:val="009C41E0"/>
    <w:rsid w:val="009C4E37"/>
    <w:rsid w:val="009D3704"/>
    <w:rsid w:val="009E012B"/>
    <w:rsid w:val="009E698A"/>
    <w:rsid w:val="009F676E"/>
    <w:rsid w:val="00A02C89"/>
    <w:rsid w:val="00A053BD"/>
    <w:rsid w:val="00A23630"/>
    <w:rsid w:val="00A26E2D"/>
    <w:rsid w:val="00A2759E"/>
    <w:rsid w:val="00A43070"/>
    <w:rsid w:val="00A71D16"/>
    <w:rsid w:val="00A850A6"/>
    <w:rsid w:val="00A9439B"/>
    <w:rsid w:val="00A9666C"/>
    <w:rsid w:val="00AB478B"/>
    <w:rsid w:val="00AB4F9E"/>
    <w:rsid w:val="00AF0B63"/>
    <w:rsid w:val="00B13BD6"/>
    <w:rsid w:val="00B3548C"/>
    <w:rsid w:val="00B426D4"/>
    <w:rsid w:val="00B47FEA"/>
    <w:rsid w:val="00B75332"/>
    <w:rsid w:val="00BA6CB2"/>
    <w:rsid w:val="00BB2F14"/>
    <w:rsid w:val="00C139F3"/>
    <w:rsid w:val="00C346A6"/>
    <w:rsid w:val="00C36878"/>
    <w:rsid w:val="00C40433"/>
    <w:rsid w:val="00C4754A"/>
    <w:rsid w:val="00C57F33"/>
    <w:rsid w:val="00CB217A"/>
    <w:rsid w:val="00CD0ABF"/>
    <w:rsid w:val="00CE2175"/>
    <w:rsid w:val="00CE3EF8"/>
    <w:rsid w:val="00CE57E0"/>
    <w:rsid w:val="00CE6E3D"/>
    <w:rsid w:val="00CF0F40"/>
    <w:rsid w:val="00CF2A64"/>
    <w:rsid w:val="00CF36AD"/>
    <w:rsid w:val="00D16A82"/>
    <w:rsid w:val="00D31DFA"/>
    <w:rsid w:val="00D83C79"/>
    <w:rsid w:val="00DB17F2"/>
    <w:rsid w:val="00DB18FD"/>
    <w:rsid w:val="00DC5BC2"/>
    <w:rsid w:val="00DE2A0D"/>
    <w:rsid w:val="00DF289E"/>
    <w:rsid w:val="00DF391A"/>
    <w:rsid w:val="00E23CED"/>
    <w:rsid w:val="00E25A50"/>
    <w:rsid w:val="00E351DF"/>
    <w:rsid w:val="00E52DC3"/>
    <w:rsid w:val="00E54476"/>
    <w:rsid w:val="00EB6D71"/>
    <w:rsid w:val="00EC077C"/>
    <w:rsid w:val="00EE2313"/>
    <w:rsid w:val="00EE3354"/>
    <w:rsid w:val="00EF03FC"/>
    <w:rsid w:val="00EF3FC2"/>
    <w:rsid w:val="00EF55E1"/>
    <w:rsid w:val="00F21C6E"/>
    <w:rsid w:val="00F2707E"/>
    <w:rsid w:val="00F450C3"/>
    <w:rsid w:val="00F63F03"/>
    <w:rsid w:val="00FA70C9"/>
    <w:rsid w:val="00FC220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04732"/>
  <w15:chartTrackingRefBased/>
  <w15:docId w15:val="{E71ADBA2-D9EC-40D2-8EB8-919DEE55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SG"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E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4E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4E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4E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4E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4E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4E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4E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4E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E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4E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4E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4E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4E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4E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4E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4E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4E8E"/>
    <w:rPr>
      <w:rFonts w:eastAsiaTheme="majorEastAsia" w:cstheme="majorBidi"/>
      <w:color w:val="272727" w:themeColor="text1" w:themeTint="D8"/>
    </w:rPr>
  </w:style>
  <w:style w:type="paragraph" w:styleId="Title">
    <w:name w:val="Title"/>
    <w:basedOn w:val="Normal"/>
    <w:next w:val="Normal"/>
    <w:link w:val="TitleChar"/>
    <w:uiPriority w:val="10"/>
    <w:qFormat/>
    <w:rsid w:val="00564E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4E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4E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4E8E"/>
    <w:pPr>
      <w:spacing w:before="160"/>
      <w:jc w:val="center"/>
    </w:pPr>
    <w:rPr>
      <w:i/>
      <w:iCs/>
      <w:color w:val="404040" w:themeColor="text1" w:themeTint="BF"/>
    </w:rPr>
  </w:style>
  <w:style w:type="character" w:customStyle="1" w:styleId="QuoteChar">
    <w:name w:val="Quote Char"/>
    <w:basedOn w:val="DefaultParagraphFont"/>
    <w:link w:val="Quote"/>
    <w:uiPriority w:val="29"/>
    <w:rsid w:val="00564E8E"/>
    <w:rPr>
      <w:i/>
      <w:iCs/>
      <w:color w:val="404040" w:themeColor="text1" w:themeTint="BF"/>
    </w:rPr>
  </w:style>
  <w:style w:type="paragraph" w:styleId="ListParagraph">
    <w:name w:val="List Paragraph"/>
    <w:basedOn w:val="Normal"/>
    <w:uiPriority w:val="34"/>
    <w:qFormat/>
    <w:rsid w:val="00564E8E"/>
    <w:pPr>
      <w:ind w:left="720"/>
      <w:contextualSpacing/>
    </w:pPr>
  </w:style>
  <w:style w:type="character" w:styleId="IntenseEmphasis">
    <w:name w:val="Intense Emphasis"/>
    <w:basedOn w:val="DefaultParagraphFont"/>
    <w:uiPriority w:val="21"/>
    <w:qFormat/>
    <w:rsid w:val="00564E8E"/>
    <w:rPr>
      <w:i/>
      <w:iCs/>
      <w:color w:val="0F4761" w:themeColor="accent1" w:themeShade="BF"/>
    </w:rPr>
  </w:style>
  <w:style w:type="paragraph" w:styleId="IntenseQuote">
    <w:name w:val="Intense Quote"/>
    <w:basedOn w:val="Normal"/>
    <w:next w:val="Normal"/>
    <w:link w:val="IntenseQuoteChar"/>
    <w:uiPriority w:val="30"/>
    <w:qFormat/>
    <w:rsid w:val="00564E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4E8E"/>
    <w:rPr>
      <w:i/>
      <w:iCs/>
      <w:color w:val="0F4761" w:themeColor="accent1" w:themeShade="BF"/>
    </w:rPr>
  </w:style>
  <w:style w:type="character" w:styleId="IntenseReference">
    <w:name w:val="Intense Reference"/>
    <w:basedOn w:val="DefaultParagraphFont"/>
    <w:uiPriority w:val="32"/>
    <w:qFormat/>
    <w:rsid w:val="00564E8E"/>
    <w:rPr>
      <w:b/>
      <w:bCs/>
      <w:smallCaps/>
      <w:color w:val="0F4761" w:themeColor="accent1" w:themeShade="BF"/>
      <w:spacing w:val="5"/>
    </w:rPr>
  </w:style>
  <w:style w:type="paragraph" w:styleId="FootnoteText">
    <w:name w:val="footnote text"/>
    <w:basedOn w:val="Normal"/>
    <w:link w:val="FootnoteTextChar"/>
    <w:uiPriority w:val="99"/>
    <w:semiHidden/>
    <w:unhideWhenUsed/>
    <w:rsid w:val="00EF3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FC2"/>
    <w:rPr>
      <w:sz w:val="20"/>
      <w:szCs w:val="20"/>
    </w:rPr>
  </w:style>
  <w:style w:type="character" w:styleId="FootnoteReference">
    <w:name w:val="footnote reference"/>
    <w:basedOn w:val="DefaultParagraphFont"/>
    <w:uiPriority w:val="99"/>
    <w:semiHidden/>
    <w:unhideWhenUsed/>
    <w:rsid w:val="00EF3FC2"/>
    <w:rPr>
      <w:vertAlign w:val="superscript"/>
    </w:rPr>
  </w:style>
  <w:style w:type="paragraph" w:styleId="Header">
    <w:name w:val="header"/>
    <w:basedOn w:val="Normal"/>
    <w:link w:val="HeaderChar"/>
    <w:uiPriority w:val="99"/>
    <w:unhideWhenUsed/>
    <w:rsid w:val="004C3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6F"/>
  </w:style>
  <w:style w:type="paragraph" w:styleId="Footer">
    <w:name w:val="footer"/>
    <w:basedOn w:val="Normal"/>
    <w:link w:val="FooterChar"/>
    <w:uiPriority w:val="99"/>
    <w:unhideWhenUsed/>
    <w:rsid w:val="004C3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6F"/>
  </w:style>
  <w:style w:type="character" w:styleId="Strong">
    <w:name w:val="Strong"/>
    <w:basedOn w:val="DefaultParagraphFont"/>
    <w:uiPriority w:val="22"/>
    <w:qFormat/>
    <w:rsid w:val="00100202"/>
    <w:rPr>
      <w:b/>
      <w:bCs/>
    </w:rPr>
  </w:style>
  <w:style w:type="paragraph" w:styleId="NormalWeb">
    <w:name w:val="Normal (Web)"/>
    <w:basedOn w:val="Normal"/>
    <w:uiPriority w:val="99"/>
    <w:semiHidden/>
    <w:unhideWhenUsed/>
    <w:rsid w:val="005C7684"/>
    <w:pPr>
      <w:spacing w:before="100" w:beforeAutospacing="1" w:after="100" w:afterAutospacing="1" w:line="240" w:lineRule="auto"/>
    </w:pPr>
    <w:rPr>
      <w:rFonts w:ascii="Times New Roman" w:eastAsia="Times New Roman" w:hAnsi="Times New Roman" w:cs="Times New Roman"/>
      <w:kern w:val="0"/>
      <w:lang w:val="en-US"/>
      <w14:ligatures w14:val="none"/>
    </w:rPr>
  </w:style>
  <w:style w:type="character" w:styleId="Emphasis">
    <w:name w:val="Emphasis"/>
    <w:basedOn w:val="DefaultParagraphFont"/>
    <w:uiPriority w:val="20"/>
    <w:qFormat/>
    <w:rsid w:val="0041571E"/>
    <w:rPr>
      <w:i/>
      <w:iCs/>
    </w:rPr>
  </w:style>
  <w:style w:type="character" w:styleId="Hyperlink">
    <w:name w:val="Hyperlink"/>
    <w:basedOn w:val="DefaultParagraphFont"/>
    <w:uiPriority w:val="99"/>
    <w:semiHidden/>
    <w:unhideWhenUsed/>
    <w:rsid w:val="004E2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3210">
      <w:bodyDiv w:val="1"/>
      <w:marLeft w:val="0"/>
      <w:marRight w:val="0"/>
      <w:marTop w:val="0"/>
      <w:marBottom w:val="0"/>
      <w:divBdr>
        <w:top w:val="none" w:sz="0" w:space="0" w:color="auto"/>
        <w:left w:val="none" w:sz="0" w:space="0" w:color="auto"/>
        <w:bottom w:val="none" w:sz="0" w:space="0" w:color="auto"/>
        <w:right w:val="none" w:sz="0" w:space="0" w:color="auto"/>
      </w:divBdr>
    </w:div>
    <w:div w:id="101193828">
      <w:bodyDiv w:val="1"/>
      <w:marLeft w:val="0"/>
      <w:marRight w:val="0"/>
      <w:marTop w:val="0"/>
      <w:marBottom w:val="0"/>
      <w:divBdr>
        <w:top w:val="none" w:sz="0" w:space="0" w:color="auto"/>
        <w:left w:val="none" w:sz="0" w:space="0" w:color="auto"/>
        <w:bottom w:val="none" w:sz="0" w:space="0" w:color="auto"/>
        <w:right w:val="none" w:sz="0" w:space="0" w:color="auto"/>
      </w:divBdr>
    </w:div>
    <w:div w:id="238910243">
      <w:bodyDiv w:val="1"/>
      <w:marLeft w:val="0"/>
      <w:marRight w:val="0"/>
      <w:marTop w:val="0"/>
      <w:marBottom w:val="0"/>
      <w:divBdr>
        <w:top w:val="none" w:sz="0" w:space="0" w:color="auto"/>
        <w:left w:val="none" w:sz="0" w:space="0" w:color="auto"/>
        <w:bottom w:val="none" w:sz="0" w:space="0" w:color="auto"/>
        <w:right w:val="none" w:sz="0" w:space="0" w:color="auto"/>
      </w:divBdr>
    </w:div>
    <w:div w:id="315650153">
      <w:bodyDiv w:val="1"/>
      <w:marLeft w:val="0"/>
      <w:marRight w:val="0"/>
      <w:marTop w:val="0"/>
      <w:marBottom w:val="0"/>
      <w:divBdr>
        <w:top w:val="none" w:sz="0" w:space="0" w:color="auto"/>
        <w:left w:val="none" w:sz="0" w:space="0" w:color="auto"/>
        <w:bottom w:val="none" w:sz="0" w:space="0" w:color="auto"/>
        <w:right w:val="none" w:sz="0" w:space="0" w:color="auto"/>
      </w:divBdr>
    </w:div>
    <w:div w:id="570819079">
      <w:bodyDiv w:val="1"/>
      <w:marLeft w:val="0"/>
      <w:marRight w:val="0"/>
      <w:marTop w:val="0"/>
      <w:marBottom w:val="0"/>
      <w:divBdr>
        <w:top w:val="none" w:sz="0" w:space="0" w:color="auto"/>
        <w:left w:val="none" w:sz="0" w:space="0" w:color="auto"/>
        <w:bottom w:val="none" w:sz="0" w:space="0" w:color="auto"/>
        <w:right w:val="none" w:sz="0" w:space="0" w:color="auto"/>
      </w:divBdr>
    </w:div>
    <w:div w:id="900411656">
      <w:bodyDiv w:val="1"/>
      <w:marLeft w:val="0"/>
      <w:marRight w:val="0"/>
      <w:marTop w:val="0"/>
      <w:marBottom w:val="0"/>
      <w:divBdr>
        <w:top w:val="none" w:sz="0" w:space="0" w:color="auto"/>
        <w:left w:val="none" w:sz="0" w:space="0" w:color="auto"/>
        <w:bottom w:val="none" w:sz="0" w:space="0" w:color="auto"/>
        <w:right w:val="none" w:sz="0" w:space="0" w:color="auto"/>
      </w:divBdr>
    </w:div>
    <w:div w:id="1433356736">
      <w:bodyDiv w:val="1"/>
      <w:marLeft w:val="0"/>
      <w:marRight w:val="0"/>
      <w:marTop w:val="0"/>
      <w:marBottom w:val="0"/>
      <w:divBdr>
        <w:top w:val="none" w:sz="0" w:space="0" w:color="auto"/>
        <w:left w:val="none" w:sz="0" w:space="0" w:color="auto"/>
        <w:bottom w:val="none" w:sz="0" w:space="0" w:color="auto"/>
        <w:right w:val="none" w:sz="0" w:space="0" w:color="auto"/>
      </w:divBdr>
    </w:div>
    <w:div w:id="14566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2" ma:contentTypeDescription="Create a new document." ma:contentTypeScope="" ma:versionID="71ec2c4ab317f95ce60361d0e81e8f9f">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b261d60fd61a62b75a1e502085eac7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932FDA2B-4F67-4092-996D-7A0498826F00}">
  <ds:schemaRefs>
    <ds:schemaRef ds:uri="http://schemas.openxmlformats.org/officeDocument/2006/bibliography"/>
  </ds:schemaRefs>
</ds:datastoreItem>
</file>

<file path=customXml/itemProps2.xml><?xml version="1.0" encoding="utf-8"?>
<ds:datastoreItem xmlns:ds="http://schemas.openxmlformats.org/officeDocument/2006/customXml" ds:itemID="{17DCB0AB-2225-4AA2-90E2-84B2C5839E40}"/>
</file>

<file path=customXml/itemProps3.xml><?xml version="1.0" encoding="utf-8"?>
<ds:datastoreItem xmlns:ds="http://schemas.openxmlformats.org/officeDocument/2006/customXml" ds:itemID="{4D9ED5B0-8BC9-45CB-917D-57B16864ADC3}"/>
</file>

<file path=customXml/itemProps4.xml><?xml version="1.0" encoding="utf-8"?>
<ds:datastoreItem xmlns:ds="http://schemas.openxmlformats.org/officeDocument/2006/customXml" ds:itemID="{E437E073-F542-4527-85CA-8D0732CEE606}"/>
</file>

<file path=docProps/app.xml><?xml version="1.0" encoding="utf-8"?>
<Properties xmlns="http://schemas.openxmlformats.org/officeDocument/2006/extended-properties" xmlns:vt="http://schemas.openxmlformats.org/officeDocument/2006/docPropsVTypes">
  <Template>Normal</Template>
  <TotalTime>1</TotalTime>
  <Pages>13</Pages>
  <Words>6048</Words>
  <Characters>34478</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Eddee Ng</dc:creator>
  <cp:keywords/>
  <dc:description/>
  <cp:lastModifiedBy>Heather Callow</cp:lastModifiedBy>
  <cp:revision>2</cp:revision>
  <dcterms:created xsi:type="dcterms:W3CDTF">2024-04-09T14:36:00Z</dcterms:created>
  <dcterms:modified xsi:type="dcterms:W3CDTF">2024-04-09T14:36:00Z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