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474" w:rsidRPr="00A357B2" w:rsidRDefault="00EA3474" w:rsidP="00F43261">
      <w:pPr>
        <w:spacing w:line="360" w:lineRule="auto"/>
        <w:jc w:val="both"/>
        <w:rPr>
          <w:rFonts w:ascii="Arial" w:hAnsi="Arial" w:cs="Arial"/>
          <w:b/>
          <w:bCs/>
          <w:color w:val="000000"/>
          <w:u w:val="single"/>
        </w:rPr>
      </w:pPr>
      <w:r w:rsidRPr="00A357B2">
        <w:rPr>
          <w:rFonts w:ascii="Arial" w:hAnsi="Arial" w:cs="Arial"/>
          <w:b/>
          <w:bCs/>
          <w:color w:val="000000"/>
          <w:u w:val="single"/>
        </w:rPr>
        <w:t>Short Paper – Thorben Langhinrich</w:t>
      </w:r>
      <w:r w:rsidR="000D5F60" w:rsidRPr="00A357B2">
        <w:rPr>
          <w:rFonts w:ascii="Arial" w:hAnsi="Arial" w:cs="Arial"/>
          <w:b/>
          <w:bCs/>
          <w:color w:val="000000"/>
          <w:u w:val="single"/>
        </w:rPr>
        <w:t>s</w:t>
      </w:r>
      <w:r w:rsidRPr="00A357B2">
        <w:rPr>
          <w:rFonts w:ascii="Arial" w:hAnsi="Arial" w:cs="Arial"/>
          <w:b/>
          <w:bCs/>
          <w:color w:val="000000"/>
          <w:u w:val="single"/>
        </w:rPr>
        <w:t xml:space="preserve"> – GIPC 2023/2024</w:t>
      </w:r>
    </w:p>
    <w:p w:rsidR="00EA3474" w:rsidRPr="00A357B2" w:rsidRDefault="00EA3474" w:rsidP="00F43261">
      <w:pPr>
        <w:spacing w:line="360" w:lineRule="auto"/>
        <w:jc w:val="both"/>
        <w:rPr>
          <w:rFonts w:ascii="Arial" w:hAnsi="Arial" w:cs="Arial"/>
          <w:b/>
          <w:bCs/>
          <w:color w:val="000000"/>
        </w:rPr>
      </w:pPr>
    </w:p>
    <w:p w:rsidR="00596DBE" w:rsidRPr="00A357B2" w:rsidRDefault="00596DBE" w:rsidP="00F43261">
      <w:pPr>
        <w:spacing w:line="360" w:lineRule="auto"/>
        <w:jc w:val="both"/>
        <w:rPr>
          <w:rFonts w:ascii="Arial" w:hAnsi="Arial" w:cs="Arial"/>
          <w:b/>
          <w:bCs/>
          <w:color w:val="000000"/>
          <w:lang w:val="en-GB" w:eastAsia="en-GB"/>
          <w14:ligatures w14:val="none"/>
        </w:rPr>
      </w:pPr>
      <w:r w:rsidRPr="00A357B2">
        <w:rPr>
          <w:rFonts w:ascii="Arial" w:hAnsi="Arial" w:cs="Arial"/>
          <w:b/>
          <w:bCs/>
          <w:color w:val="000000"/>
          <w:lang w:val="en-GB"/>
        </w:rPr>
        <w:t>Discuss the challenges for finding the COMI of business enterprise groups, assessing the</w:t>
      </w:r>
      <w:r w:rsidRPr="00A357B2">
        <w:rPr>
          <w:rFonts w:ascii="Arial" w:hAnsi="Arial" w:cs="Arial"/>
          <w:b/>
          <w:bCs/>
          <w:color w:val="000000"/>
          <w:lang w:val="en-GB" w:eastAsia="en-GB"/>
          <w14:ligatures w14:val="none"/>
        </w:rPr>
        <w:t xml:space="preserve"> </w:t>
      </w:r>
      <w:r w:rsidRPr="00A357B2">
        <w:rPr>
          <w:rFonts w:ascii="Arial" w:hAnsi="Arial" w:cs="Arial"/>
          <w:b/>
          <w:bCs/>
          <w:color w:val="000000"/>
          <w:lang w:val="en-GB"/>
        </w:rPr>
        <w:t>EU Insolvency Regulation and the work of UNCITRAL Working Group V on this issue, in</w:t>
      </w:r>
      <w:r w:rsidRPr="00A357B2">
        <w:rPr>
          <w:rFonts w:ascii="Arial" w:hAnsi="Arial" w:cs="Arial"/>
          <w:b/>
          <w:bCs/>
          <w:color w:val="000000"/>
          <w:lang w:val="en-GB" w:eastAsia="en-GB"/>
          <w14:ligatures w14:val="none"/>
        </w:rPr>
        <w:t xml:space="preserve"> </w:t>
      </w:r>
      <w:r w:rsidRPr="00A357B2">
        <w:rPr>
          <w:rFonts w:ascii="Arial" w:hAnsi="Arial" w:cs="Arial"/>
          <w:b/>
          <w:bCs/>
          <w:color w:val="000000"/>
          <w:lang w:val="en-GB"/>
        </w:rPr>
        <w:t>particular the Model Law on Enterprise Group Insolvency.</w:t>
      </w:r>
    </w:p>
    <w:p w:rsidR="003D3680" w:rsidRPr="00A357B2" w:rsidRDefault="003D3680" w:rsidP="00F43261">
      <w:pPr>
        <w:spacing w:line="360" w:lineRule="auto"/>
        <w:jc w:val="both"/>
        <w:rPr>
          <w:rFonts w:ascii="Arial" w:hAnsi="Arial" w:cs="Arial"/>
          <w:lang w:val="en-GB"/>
        </w:rPr>
      </w:pPr>
    </w:p>
    <w:p w:rsidR="00465EB9" w:rsidRPr="00A357B2" w:rsidRDefault="00EA3474" w:rsidP="00F43261">
      <w:pPr>
        <w:spacing w:line="360" w:lineRule="auto"/>
        <w:jc w:val="both"/>
        <w:rPr>
          <w:rFonts w:ascii="Arial" w:hAnsi="Arial" w:cs="Arial"/>
          <w:b/>
          <w:u w:val="single"/>
          <w:lang w:val="en-GB"/>
        </w:rPr>
      </w:pPr>
      <w:r w:rsidRPr="00A357B2">
        <w:rPr>
          <w:rFonts w:ascii="Arial" w:hAnsi="Arial" w:cs="Arial"/>
          <w:b/>
          <w:u w:val="single"/>
          <w:lang w:val="en-GB"/>
        </w:rPr>
        <w:t>Table of contents</w:t>
      </w:r>
    </w:p>
    <w:p w:rsidR="00EA3474" w:rsidRPr="00A357B2" w:rsidRDefault="00EA3474" w:rsidP="00F43261">
      <w:pPr>
        <w:spacing w:line="360" w:lineRule="auto"/>
        <w:jc w:val="both"/>
        <w:rPr>
          <w:rFonts w:ascii="Arial" w:hAnsi="Arial" w:cs="Arial"/>
          <w:lang w:val="en-GB"/>
        </w:rPr>
      </w:pPr>
    </w:p>
    <w:p w:rsidR="00EA3474" w:rsidRPr="00A357B2" w:rsidRDefault="00EA3474" w:rsidP="00F43261">
      <w:pPr>
        <w:pStyle w:val="Listenabsatz"/>
        <w:numPr>
          <w:ilvl w:val="0"/>
          <w:numId w:val="6"/>
        </w:numPr>
        <w:spacing w:line="360" w:lineRule="auto"/>
        <w:jc w:val="both"/>
        <w:rPr>
          <w:rFonts w:ascii="Arial" w:hAnsi="Arial" w:cs="Arial"/>
          <w:lang w:val="en-GB"/>
        </w:rPr>
      </w:pPr>
      <w:r w:rsidRPr="00A357B2">
        <w:rPr>
          <w:rFonts w:ascii="Arial" w:hAnsi="Arial" w:cs="Arial"/>
          <w:lang w:val="en-GB"/>
        </w:rPr>
        <w:t>Introduction</w:t>
      </w:r>
    </w:p>
    <w:p w:rsidR="00EA3474" w:rsidRPr="00A357B2" w:rsidRDefault="00EA3474" w:rsidP="00F43261">
      <w:pPr>
        <w:pStyle w:val="Listenabsatz"/>
        <w:numPr>
          <w:ilvl w:val="0"/>
          <w:numId w:val="6"/>
        </w:numPr>
        <w:spacing w:line="360" w:lineRule="auto"/>
        <w:jc w:val="both"/>
        <w:rPr>
          <w:rFonts w:ascii="Arial" w:hAnsi="Arial" w:cs="Arial"/>
          <w:lang w:val="en-GB"/>
        </w:rPr>
      </w:pPr>
      <w:r w:rsidRPr="00A357B2">
        <w:rPr>
          <w:rFonts w:ascii="Arial" w:hAnsi="Arial" w:cs="Arial"/>
          <w:lang w:val="en-GB"/>
        </w:rPr>
        <w:t>Challenges in determining the COMI</w:t>
      </w:r>
    </w:p>
    <w:p w:rsidR="00EA3474" w:rsidRPr="00A357B2" w:rsidRDefault="00EA3474" w:rsidP="00F43261">
      <w:pPr>
        <w:pStyle w:val="Listenabsatz"/>
        <w:numPr>
          <w:ilvl w:val="0"/>
          <w:numId w:val="6"/>
        </w:numPr>
        <w:spacing w:line="360" w:lineRule="auto"/>
        <w:jc w:val="both"/>
        <w:rPr>
          <w:rFonts w:ascii="Arial" w:hAnsi="Arial" w:cs="Arial"/>
          <w:lang w:val="en-GB"/>
        </w:rPr>
      </w:pPr>
      <w:r w:rsidRPr="00A357B2">
        <w:rPr>
          <w:rFonts w:ascii="Arial" w:hAnsi="Arial" w:cs="Arial"/>
          <w:lang w:val="en-GB"/>
        </w:rPr>
        <w:t>Assessments of the EU Insolvency Regulation with regard to business enterprise groups</w:t>
      </w:r>
    </w:p>
    <w:p w:rsidR="00EA3474" w:rsidRPr="00A357B2" w:rsidRDefault="00EA3474" w:rsidP="00F43261">
      <w:pPr>
        <w:pStyle w:val="Listenabsatz"/>
        <w:numPr>
          <w:ilvl w:val="0"/>
          <w:numId w:val="6"/>
        </w:numPr>
        <w:spacing w:line="360" w:lineRule="auto"/>
        <w:jc w:val="both"/>
        <w:rPr>
          <w:rFonts w:ascii="Arial" w:hAnsi="Arial" w:cs="Arial"/>
          <w:lang w:val="en-GB"/>
        </w:rPr>
      </w:pPr>
      <w:bookmarkStart w:id="0" w:name="_Hlk160914049"/>
      <w:r w:rsidRPr="00A357B2">
        <w:rPr>
          <w:rFonts w:ascii="Arial" w:hAnsi="Arial" w:cs="Arial"/>
          <w:lang w:val="en-GB"/>
        </w:rPr>
        <w:t>Work of UNCITRAL Working Group V, in particular the Model Law on the Insolvency of Groups of Companies</w:t>
      </w:r>
    </w:p>
    <w:bookmarkEnd w:id="0"/>
    <w:p w:rsidR="00EA3474" w:rsidRPr="00A357B2" w:rsidRDefault="00EA3474" w:rsidP="00F43261">
      <w:pPr>
        <w:pStyle w:val="Listenabsatz"/>
        <w:numPr>
          <w:ilvl w:val="0"/>
          <w:numId w:val="6"/>
        </w:numPr>
        <w:spacing w:line="360" w:lineRule="auto"/>
        <w:jc w:val="both"/>
        <w:rPr>
          <w:rFonts w:ascii="Arial" w:hAnsi="Arial" w:cs="Arial"/>
          <w:lang w:val="en-GB"/>
        </w:rPr>
      </w:pPr>
      <w:r w:rsidRPr="00A357B2">
        <w:rPr>
          <w:rFonts w:ascii="Arial" w:hAnsi="Arial" w:cs="Arial"/>
          <w:lang w:val="en-GB"/>
        </w:rPr>
        <w:t>Conclusion</w:t>
      </w:r>
    </w:p>
    <w:p w:rsidR="00EA3474" w:rsidRPr="00A357B2" w:rsidRDefault="00EA3474" w:rsidP="00F43261">
      <w:pPr>
        <w:pStyle w:val="Listenabsatz"/>
        <w:numPr>
          <w:ilvl w:val="0"/>
          <w:numId w:val="6"/>
        </w:numPr>
        <w:spacing w:line="360" w:lineRule="auto"/>
        <w:jc w:val="both"/>
        <w:rPr>
          <w:rFonts w:ascii="Arial" w:hAnsi="Arial" w:cs="Arial"/>
          <w:lang w:val="en-GB"/>
        </w:rPr>
      </w:pPr>
      <w:r w:rsidRPr="00A357B2">
        <w:rPr>
          <w:rFonts w:ascii="Arial" w:hAnsi="Arial" w:cs="Arial"/>
          <w:lang w:val="en-GB"/>
        </w:rPr>
        <w:t>Bibliography</w:t>
      </w:r>
    </w:p>
    <w:p w:rsidR="000D5F60" w:rsidRDefault="000D5F60" w:rsidP="00F43261">
      <w:pPr>
        <w:spacing w:line="360" w:lineRule="auto"/>
        <w:rPr>
          <w:lang w:val="en-GB"/>
        </w:rPr>
      </w:pPr>
    </w:p>
    <w:p w:rsidR="000D5F60" w:rsidRPr="00530883" w:rsidRDefault="00684645" w:rsidP="00684645">
      <w:pPr>
        <w:pStyle w:val="Listenabsatz"/>
        <w:numPr>
          <w:ilvl w:val="0"/>
          <w:numId w:val="10"/>
        </w:numPr>
        <w:spacing w:line="360" w:lineRule="auto"/>
        <w:ind w:left="142" w:firstLine="0"/>
        <w:rPr>
          <w:rFonts w:ascii="Arial" w:hAnsi="Arial" w:cs="Arial"/>
          <w:b/>
          <w:lang w:val="en-GB"/>
        </w:rPr>
      </w:pPr>
      <w:r>
        <w:rPr>
          <w:rFonts w:ascii="Arial" w:hAnsi="Arial" w:cs="Arial"/>
          <w:b/>
          <w:lang w:val="en-GB"/>
        </w:rPr>
        <w:t xml:space="preserve"> </w:t>
      </w:r>
      <w:r w:rsidR="000D5F60" w:rsidRPr="00530883">
        <w:rPr>
          <w:rFonts w:ascii="Arial" w:hAnsi="Arial" w:cs="Arial"/>
          <w:b/>
          <w:lang w:val="en-GB"/>
        </w:rPr>
        <w:t>Introduction</w:t>
      </w:r>
    </w:p>
    <w:p w:rsidR="000D5F60" w:rsidRPr="00A357B2" w:rsidRDefault="000D5F60" w:rsidP="00F43261">
      <w:pPr>
        <w:spacing w:line="360" w:lineRule="auto"/>
        <w:rPr>
          <w:rFonts w:ascii="Arial" w:hAnsi="Arial" w:cs="Arial"/>
          <w:lang w:val="en-GB"/>
        </w:rPr>
      </w:pPr>
    </w:p>
    <w:p w:rsidR="000D5F60" w:rsidRPr="0034044D" w:rsidRDefault="000D5F60" w:rsidP="00F43261">
      <w:pPr>
        <w:spacing w:line="360" w:lineRule="auto"/>
        <w:jc w:val="both"/>
        <w:rPr>
          <w:rFonts w:ascii="Arial" w:hAnsi="Arial" w:cs="Arial"/>
        </w:rPr>
      </w:pPr>
      <w:r w:rsidRPr="00A357B2">
        <w:rPr>
          <w:rFonts w:ascii="Arial" w:hAnsi="Arial" w:cs="Arial"/>
          <w:lang w:val="en-GB"/>
        </w:rPr>
        <w:t xml:space="preserve">The COMI ("centre of main interest") describes the centre of the debtor's main interests. The centre of the debtor's main interests is defined in the first sentence of the second subparagraph of Article 3(1) of the EU Insolvency Regulation as the place where the debtor habitually carries out the administration of its interests and which is ascertainable by third parties. In the case of companies or legal entities, however, it is presumed that the centre of their main interests is the place where they have their registered office, unless there is proof to the contrary. However, this only applies if the registered office has not been transferred to another Member State within a period of three months prior to the application for the opening of insolvency proceedings (Art. 3 para. </w:t>
      </w:r>
      <w:r w:rsidRPr="0034044D">
        <w:rPr>
          <w:rFonts w:ascii="Arial" w:hAnsi="Arial" w:cs="Arial"/>
        </w:rPr>
        <w:t xml:space="preserve">1 </w:t>
      </w:r>
      <w:proofErr w:type="spellStart"/>
      <w:r w:rsidRPr="0034044D">
        <w:rPr>
          <w:rFonts w:ascii="Arial" w:hAnsi="Arial" w:cs="Arial"/>
        </w:rPr>
        <w:t>subpara</w:t>
      </w:r>
      <w:proofErr w:type="spellEnd"/>
      <w:r w:rsidRPr="0034044D">
        <w:rPr>
          <w:rFonts w:ascii="Arial" w:hAnsi="Arial" w:cs="Arial"/>
        </w:rPr>
        <w:t xml:space="preserve">. 2 </w:t>
      </w:r>
      <w:proofErr w:type="spellStart"/>
      <w:r w:rsidRPr="0034044D">
        <w:rPr>
          <w:rFonts w:ascii="Arial" w:hAnsi="Arial" w:cs="Arial"/>
        </w:rPr>
        <w:t>sentence</w:t>
      </w:r>
      <w:proofErr w:type="spellEnd"/>
      <w:r w:rsidRPr="0034044D">
        <w:rPr>
          <w:rFonts w:ascii="Arial" w:hAnsi="Arial" w:cs="Arial"/>
        </w:rPr>
        <w:t xml:space="preserve"> 2 EU </w:t>
      </w:r>
      <w:proofErr w:type="spellStart"/>
      <w:r w:rsidRPr="0034044D">
        <w:rPr>
          <w:rFonts w:ascii="Arial" w:hAnsi="Arial" w:cs="Arial"/>
        </w:rPr>
        <w:t>Insolvency</w:t>
      </w:r>
      <w:proofErr w:type="spellEnd"/>
      <w:r w:rsidRPr="0034044D">
        <w:rPr>
          <w:rFonts w:ascii="Arial" w:hAnsi="Arial" w:cs="Arial"/>
        </w:rPr>
        <w:t xml:space="preserve"> Regulation).</w:t>
      </w:r>
      <w:r w:rsidR="0034044D">
        <w:rPr>
          <w:rStyle w:val="Funotenzeichen"/>
          <w:rFonts w:ascii="Arial" w:hAnsi="Arial" w:cs="Arial"/>
        </w:rPr>
        <w:footnoteReference w:id="1"/>
      </w:r>
    </w:p>
    <w:p w:rsidR="0034044D" w:rsidRDefault="0034044D" w:rsidP="00F43261">
      <w:pPr>
        <w:spacing w:line="360" w:lineRule="auto"/>
        <w:jc w:val="both"/>
        <w:rPr>
          <w:rFonts w:ascii="Arial" w:hAnsi="Arial" w:cs="Arial"/>
          <w:lang w:val="en-GB"/>
        </w:rPr>
      </w:pPr>
    </w:p>
    <w:p w:rsidR="000D5F60" w:rsidRPr="00A357B2" w:rsidRDefault="000D5F60" w:rsidP="00F43261">
      <w:pPr>
        <w:spacing w:line="360" w:lineRule="auto"/>
        <w:jc w:val="both"/>
        <w:rPr>
          <w:rFonts w:ascii="Arial" w:hAnsi="Arial" w:cs="Arial"/>
          <w:lang w:val="en-GB"/>
        </w:rPr>
      </w:pPr>
      <w:r w:rsidRPr="00A357B2">
        <w:rPr>
          <w:rFonts w:ascii="Arial" w:hAnsi="Arial" w:cs="Arial"/>
          <w:lang w:val="en-GB"/>
        </w:rPr>
        <w:t xml:space="preserve">Since the ECJ's </w:t>
      </w:r>
      <w:proofErr w:type="spellStart"/>
      <w:r w:rsidRPr="00A357B2">
        <w:rPr>
          <w:rFonts w:ascii="Arial" w:hAnsi="Arial" w:cs="Arial"/>
          <w:lang w:val="en-GB"/>
        </w:rPr>
        <w:t>Eurofood</w:t>
      </w:r>
      <w:proofErr w:type="spellEnd"/>
      <w:r w:rsidRPr="00A357B2">
        <w:rPr>
          <w:rFonts w:ascii="Arial" w:hAnsi="Arial" w:cs="Arial"/>
          <w:lang w:val="en-GB"/>
        </w:rPr>
        <w:t xml:space="preserve"> ruling on COMI (ECJ, </w:t>
      </w:r>
      <w:r w:rsidR="006E3DBF">
        <w:rPr>
          <w:rFonts w:ascii="Arial" w:hAnsi="Arial" w:cs="Arial"/>
          <w:lang w:val="en-GB"/>
        </w:rPr>
        <w:t>J</w:t>
      </w:r>
      <w:r w:rsidRPr="00A357B2">
        <w:rPr>
          <w:rFonts w:ascii="Arial" w:hAnsi="Arial" w:cs="Arial"/>
          <w:lang w:val="en-GB"/>
        </w:rPr>
        <w:t xml:space="preserve">udgement of 2 May 2006 - C-341/04), the presumption of a company having the centre of its main interests at its registered office has applied. In order to deviate from this, "objective and ascertainable elements for third parties" are required that prove a centre of main interests at a location other than the registered office. This is particularly conceivable in the case of a pure letterbox company that does not carry out </w:t>
      </w:r>
      <w:r w:rsidRPr="00A357B2">
        <w:rPr>
          <w:rFonts w:ascii="Arial" w:hAnsi="Arial" w:cs="Arial"/>
          <w:lang w:val="en-GB"/>
        </w:rPr>
        <w:lastRenderedPageBreak/>
        <w:t>any activities at its registered office. If, on the other hand, the company is also active at its registered office, the fact that the company's decisions are controlled or can be controlled at the parent company's different registered office is not sufficient to establish a different centre of main interests.</w:t>
      </w:r>
      <w:r w:rsidR="0034044D">
        <w:rPr>
          <w:rStyle w:val="Funotenzeichen"/>
          <w:rFonts w:ascii="Arial" w:hAnsi="Arial" w:cs="Arial"/>
          <w:lang w:val="en-GB"/>
        </w:rPr>
        <w:footnoteReference w:id="2"/>
      </w:r>
    </w:p>
    <w:p w:rsidR="00AB7B41" w:rsidRPr="0034044D" w:rsidRDefault="00AB7B41" w:rsidP="00F43261">
      <w:pPr>
        <w:spacing w:line="360" w:lineRule="auto"/>
        <w:jc w:val="both"/>
        <w:rPr>
          <w:rFonts w:ascii="Arial" w:hAnsi="Arial" w:cs="Arial"/>
          <w:lang w:val="en-GB"/>
        </w:rPr>
      </w:pPr>
    </w:p>
    <w:p w:rsidR="00AB7B41" w:rsidRDefault="000D5F60" w:rsidP="00684645">
      <w:pPr>
        <w:spacing w:line="360" w:lineRule="auto"/>
        <w:jc w:val="both"/>
        <w:rPr>
          <w:rFonts w:ascii="Arial" w:hAnsi="Arial" w:cs="Arial"/>
          <w:lang w:val="en-GB"/>
        </w:rPr>
      </w:pPr>
      <w:r w:rsidRPr="00A357B2">
        <w:rPr>
          <w:rFonts w:ascii="Arial" w:hAnsi="Arial" w:cs="Arial"/>
          <w:lang w:val="en-GB"/>
        </w:rPr>
        <w:t xml:space="preserve">In the subsequent </w:t>
      </w:r>
      <w:proofErr w:type="spellStart"/>
      <w:r w:rsidRPr="00A357B2">
        <w:rPr>
          <w:rFonts w:ascii="Arial" w:hAnsi="Arial" w:cs="Arial"/>
          <w:lang w:val="en-GB"/>
        </w:rPr>
        <w:t>Interedil</w:t>
      </w:r>
      <w:proofErr w:type="spellEnd"/>
      <w:r w:rsidRPr="00A357B2">
        <w:rPr>
          <w:rFonts w:ascii="Arial" w:hAnsi="Arial" w:cs="Arial"/>
          <w:lang w:val="en-GB"/>
        </w:rPr>
        <w:t xml:space="preserve"> decision (ECJ, </w:t>
      </w:r>
      <w:r w:rsidR="002D6A6D">
        <w:rPr>
          <w:rFonts w:ascii="Arial" w:hAnsi="Arial" w:cs="Arial"/>
          <w:lang w:val="en-GB"/>
        </w:rPr>
        <w:t>J</w:t>
      </w:r>
      <w:r w:rsidRPr="00A357B2">
        <w:rPr>
          <w:rFonts w:ascii="Arial" w:hAnsi="Arial" w:cs="Arial"/>
          <w:lang w:val="en-GB"/>
        </w:rPr>
        <w:t>udgement of 20 October 2011 - C-396/09), the ECJ expressly considered the place where the administrative decisions of the company that directly shape the externally recognisable operational business are taken to be relevant. If the administrative and controlling bodies of a company are located at its registered office and the administrative decisions are also taken there and this can be ascertained by third parties, the presumption that the centre of main interests is also located there cannot be rebutted. However, the presumption set out in Art. 3 para. 1 sentence 2 can be rebutted if, from the perspective of third parties, the location of a company's head office is not at the location of the registered office.</w:t>
      </w:r>
    </w:p>
    <w:p w:rsidR="002D6A6D" w:rsidRDefault="002D6A6D" w:rsidP="00684645">
      <w:pPr>
        <w:spacing w:line="360" w:lineRule="auto"/>
        <w:jc w:val="both"/>
        <w:rPr>
          <w:rFonts w:ascii="Arial" w:hAnsi="Arial" w:cs="Arial"/>
          <w:lang w:val="en-GB"/>
        </w:rPr>
      </w:pPr>
    </w:p>
    <w:p w:rsidR="002D6A6D" w:rsidRDefault="002D6A6D" w:rsidP="00684645">
      <w:pPr>
        <w:spacing w:line="360" w:lineRule="auto"/>
        <w:jc w:val="both"/>
        <w:rPr>
          <w:rFonts w:ascii="Arial" w:hAnsi="Arial" w:cs="Arial"/>
          <w:lang w:val="en-GB"/>
        </w:rPr>
      </w:pPr>
      <w:r w:rsidRPr="002D6A6D">
        <w:rPr>
          <w:rFonts w:ascii="Arial" w:hAnsi="Arial" w:cs="Arial"/>
          <w:lang w:val="en-GB"/>
        </w:rPr>
        <w:t xml:space="preserve">In this respect, the challenge arises as to how COMI is to be determined for internationally active </w:t>
      </w:r>
      <w:r>
        <w:rPr>
          <w:rFonts w:ascii="Arial" w:hAnsi="Arial" w:cs="Arial"/>
          <w:lang w:val="en-GB"/>
        </w:rPr>
        <w:t>Enterprise</w:t>
      </w:r>
      <w:r w:rsidRPr="002D6A6D">
        <w:rPr>
          <w:rFonts w:ascii="Arial" w:hAnsi="Arial" w:cs="Arial"/>
          <w:lang w:val="en-GB"/>
        </w:rPr>
        <w:t xml:space="preserve"> </w:t>
      </w:r>
      <w:r>
        <w:rPr>
          <w:rFonts w:ascii="Arial" w:hAnsi="Arial" w:cs="Arial"/>
          <w:lang w:val="en-GB"/>
        </w:rPr>
        <w:t>G</w:t>
      </w:r>
      <w:r w:rsidRPr="002D6A6D">
        <w:rPr>
          <w:rFonts w:ascii="Arial" w:hAnsi="Arial" w:cs="Arial"/>
          <w:lang w:val="en-GB"/>
        </w:rPr>
        <w:t>roups and, in this context, which insolvency law procedural regulations apply.</w:t>
      </w:r>
      <w:r w:rsidRPr="002D6A6D">
        <w:rPr>
          <w:lang w:val="en-GB"/>
        </w:rPr>
        <w:t xml:space="preserve"> </w:t>
      </w:r>
      <w:r w:rsidRPr="002D6A6D">
        <w:rPr>
          <w:rFonts w:ascii="Arial" w:hAnsi="Arial" w:cs="Arial"/>
          <w:lang w:val="en-GB"/>
        </w:rPr>
        <w:t>For example, the head office may be in New York, the registered office in Hong</w:t>
      </w:r>
      <w:r>
        <w:rPr>
          <w:rFonts w:ascii="Arial" w:hAnsi="Arial" w:cs="Arial"/>
          <w:lang w:val="en-GB"/>
        </w:rPr>
        <w:t>k</w:t>
      </w:r>
      <w:r w:rsidRPr="002D6A6D">
        <w:rPr>
          <w:rFonts w:ascii="Arial" w:hAnsi="Arial" w:cs="Arial"/>
          <w:lang w:val="en-GB"/>
        </w:rPr>
        <w:t>ong and operating units in Germany</w:t>
      </w:r>
      <w:r>
        <w:rPr>
          <w:rFonts w:ascii="Arial" w:hAnsi="Arial" w:cs="Arial"/>
          <w:lang w:val="en-GB"/>
        </w:rPr>
        <w:t xml:space="preserve"> and Spain.</w:t>
      </w:r>
    </w:p>
    <w:p w:rsidR="00684645" w:rsidRPr="00684645" w:rsidRDefault="00684645" w:rsidP="00684645">
      <w:pPr>
        <w:spacing w:line="360" w:lineRule="auto"/>
        <w:jc w:val="both"/>
        <w:rPr>
          <w:rFonts w:ascii="Arial" w:hAnsi="Arial" w:cs="Arial"/>
          <w:lang w:val="en-GB"/>
        </w:rPr>
      </w:pPr>
    </w:p>
    <w:p w:rsidR="000D5F60" w:rsidRPr="00A357B2" w:rsidRDefault="000D5F60" w:rsidP="00F43261">
      <w:pPr>
        <w:spacing w:line="360" w:lineRule="auto"/>
        <w:rPr>
          <w:rFonts w:ascii="Arial" w:hAnsi="Arial" w:cs="Arial"/>
          <w:b/>
          <w:lang w:val="en-GB"/>
        </w:rPr>
      </w:pPr>
      <w:r w:rsidRPr="00A357B2">
        <w:rPr>
          <w:rFonts w:ascii="Arial" w:hAnsi="Arial" w:cs="Arial"/>
          <w:b/>
          <w:lang w:val="en-GB"/>
        </w:rPr>
        <w:t>II. Challenges in determining the COMI</w:t>
      </w:r>
    </w:p>
    <w:p w:rsidR="000D5F60" w:rsidRPr="00A357B2" w:rsidRDefault="000D5F60" w:rsidP="00F43261">
      <w:pPr>
        <w:spacing w:line="360" w:lineRule="auto"/>
        <w:jc w:val="both"/>
        <w:rPr>
          <w:rFonts w:ascii="Arial" w:hAnsi="Arial" w:cs="Arial"/>
          <w:lang w:val="en-GB"/>
        </w:rPr>
      </w:pPr>
    </w:p>
    <w:p w:rsidR="000D5F60" w:rsidRDefault="000D5F60" w:rsidP="00F43261">
      <w:pPr>
        <w:spacing w:line="360" w:lineRule="auto"/>
        <w:jc w:val="both"/>
        <w:rPr>
          <w:rFonts w:ascii="Arial" w:hAnsi="Arial" w:cs="Arial"/>
          <w:lang w:val="en-GB"/>
        </w:rPr>
      </w:pPr>
      <w:r w:rsidRPr="00A357B2">
        <w:rPr>
          <w:rFonts w:ascii="Arial" w:hAnsi="Arial" w:cs="Arial"/>
          <w:lang w:val="en-GB"/>
        </w:rPr>
        <w:t>The head office (place where the management is located, from where it directs the company's fortunes and is recognisable to the outside world) must be determined</w:t>
      </w:r>
      <w:r w:rsidR="00A357B2">
        <w:rPr>
          <w:rFonts w:ascii="Arial" w:hAnsi="Arial" w:cs="Arial"/>
          <w:lang w:val="en-GB"/>
        </w:rPr>
        <w:t>:</w:t>
      </w:r>
    </w:p>
    <w:p w:rsidR="00A357B2" w:rsidRPr="00A357B2" w:rsidRDefault="00A357B2" w:rsidP="00F43261">
      <w:pPr>
        <w:spacing w:line="360" w:lineRule="auto"/>
        <w:jc w:val="both"/>
        <w:rPr>
          <w:rFonts w:ascii="Arial" w:hAnsi="Arial" w:cs="Arial"/>
          <w:lang w:val="en-GB"/>
        </w:rPr>
      </w:pPr>
    </w:p>
    <w:p w:rsidR="000D5F60" w:rsidRPr="00A357B2" w:rsidRDefault="000D5F60" w:rsidP="00684645">
      <w:pPr>
        <w:pStyle w:val="Listenabsatz"/>
        <w:numPr>
          <w:ilvl w:val="0"/>
          <w:numId w:val="8"/>
        </w:numPr>
        <w:spacing w:line="360" w:lineRule="auto"/>
        <w:ind w:left="709"/>
        <w:jc w:val="both"/>
        <w:rPr>
          <w:rFonts w:ascii="Arial" w:hAnsi="Arial" w:cs="Arial"/>
          <w:lang w:val="en-GB"/>
        </w:rPr>
      </w:pPr>
      <w:r w:rsidRPr="00A357B2">
        <w:rPr>
          <w:rFonts w:ascii="Arial" w:hAnsi="Arial" w:cs="Arial"/>
          <w:lang w:val="en-GB"/>
        </w:rPr>
        <w:t>Not the location of the debtor's assets</w:t>
      </w:r>
      <w:r w:rsidR="00684645">
        <w:rPr>
          <w:rFonts w:ascii="Arial" w:hAnsi="Arial" w:cs="Arial"/>
          <w:lang w:val="en-GB"/>
        </w:rPr>
        <w:t>;</w:t>
      </w:r>
    </w:p>
    <w:p w:rsidR="000D5F60" w:rsidRPr="00A357B2" w:rsidRDefault="000D5F60" w:rsidP="00684645">
      <w:pPr>
        <w:pStyle w:val="Listenabsatz"/>
        <w:numPr>
          <w:ilvl w:val="0"/>
          <w:numId w:val="8"/>
        </w:numPr>
        <w:spacing w:line="360" w:lineRule="auto"/>
        <w:ind w:left="709"/>
        <w:jc w:val="both"/>
        <w:rPr>
          <w:rFonts w:ascii="Arial" w:hAnsi="Arial" w:cs="Arial"/>
          <w:lang w:val="en-GB"/>
        </w:rPr>
      </w:pPr>
      <w:r w:rsidRPr="00A357B2">
        <w:rPr>
          <w:rFonts w:ascii="Arial" w:hAnsi="Arial" w:cs="Arial"/>
          <w:lang w:val="en-GB"/>
        </w:rPr>
        <w:t>Not the location(s) of strategic management</w:t>
      </w:r>
      <w:r w:rsidR="00684645">
        <w:rPr>
          <w:rFonts w:ascii="Arial" w:hAnsi="Arial" w:cs="Arial"/>
          <w:lang w:val="en-GB"/>
        </w:rPr>
        <w:t>;</w:t>
      </w:r>
    </w:p>
    <w:p w:rsidR="000D5F60" w:rsidRPr="00A357B2" w:rsidRDefault="000D5F60" w:rsidP="00684645">
      <w:pPr>
        <w:pStyle w:val="Listenabsatz"/>
        <w:numPr>
          <w:ilvl w:val="0"/>
          <w:numId w:val="8"/>
        </w:numPr>
        <w:spacing w:line="360" w:lineRule="auto"/>
        <w:ind w:left="709"/>
        <w:jc w:val="both"/>
        <w:rPr>
          <w:rFonts w:ascii="Arial" w:hAnsi="Arial" w:cs="Arial"/>
          <w:lang w:val="en-GB"/>
        </w:rPr>
      </w:pPr>
      <w:r w:rsidRPr="00A357B2">
        <w:rPr>
          <w:rFonts w:ascii="Arial" w:hAnsi="Arial" w:cs="Arial"/>
          <w:lang w:val="en-GB"/>
        </w:rPr>
        <w:t>Not business premises</w:t>
      </w:r>
      <w:r w:rsidR="00684645">
        <w:rPr>
          <w:rFonts w:ascii="Arial" w:hAnsi="Arial" w:cs="Arial"/>
          <w:lang w:val="en-GB"/>
        </w:rPr>
        <w:t>;</w:t>
      </w:r>
    </w:p>
    <w:p w:rsidR="000D5F60" w:rsidRPr="00A357B2" w:rsidRDefault="000D5F60" w:rsidP="00684645">
      <w:pPr>
        <w:pStyle w:val="Listenabsatz"/>
        <w:numPr>
          <w:ilvl w:val="0"/>
          <w:numId w:val="8"/>
        </w:numPr>
        <w:spacing w:line="360" w:lineRule="auto"/>
        <w:ind w:left="709"/>
        <w:jc w:val="both"/>
        <w:rPr>
          <w:rFonts w:ascii="Arial" w:hAnsi="Arial" w:cs="Arial"/>
          <w:lang w:val="en-GB"/>
        </w:rPr>
      </w:pPr>
      <w:r w:rsidRPr="00A357B2">
        <w:rPr>
          <w:rFonts w:ascii="Arial" w:hAnsi="Arial" w:cs="Arial"/>
          <w:lang w:val="en-GB"/>
        </w:rPr>
        <w:t>Decisive: location of the operational management of day-to-day business</w:t>
      </w:r>
      <w:r w:rsidR="00684645">
        <w:rPr>
          <w:rFonts w:ascii="Arial" w:hAnsi="Arial" w:cs="Arial"/>
          <w:lang w:val="en-GB"/>
        </w:rPr>
        <w:t>;</w:t>
      </w:r>
    </w:p>
    <w:p w:rsidR="00684645" w:rsidRDefault="000D5F60" w:rsidP="00684645">
      <w:pPr>
        <w:pStyle w:val="Listenabsatz"/>
        <w:numPr>
          <w:ilvl w:val="0"/>
          <w:numId w:val="8"/>
        </w:numPr>
        <w:spacing w:line="360" w:lineRule="auto"/>
        <w:ind w:left="709"/>
        <w:jc w:val="both"/>
        <w:rPr>
          <w:rFonts w:ascii="Arial" w:hAnsi="Arial" w:cs="Arial"/>
          <w:lang w:val="en-GB"/>
        </w:rPr>
      </w:pPr>
      <w:r w:rsidRPr="00A357B2">
        <w:rPr>
          <w:rFonts w:ascii="Arial" w:hAnsi="Arial" w:cs="Arial"/>
          <w:lang w:val="en-GB"/>
        </w:rPr>
        <w:t>Not the place of initiation, but the place of implementation of operational actions</w:t>
      </w:r>
      <w:r w:rsidR="00684645">
        <w:rPr>
          <w:rFonts w:ascii="Arial" w:hAnsi="Arial" w:cs="Arial"/>
          <w:lang w:val="en-GB"/>
        </w:rPr>
        <w:t>.</w:t>
      </w:r>
    </w:p>
    <w:p w:rsidR="00684645" w:rsidRDefault="00684645" w:rsidP="00684645">
      <w:pPr>
        <w:pStyle w:val="Listenabsatz"/>
        <w:spacing w:line="360" w:lineRule="auto"/>
        <w:ind w:left="360"/>
        <w:jc w:val="both"/>
        <w:rPr>
          <w:rFonts w:ascii="Arial" w:hAnsi="Arial" w:cs="Arial"/>
          <w:lang w:val="en-GB"/>
        </w:rPr>
      </w:pPr>
    </w:p>
    <w:p w:rsidR="000D5F60" w:rsidRPr="00684645" w:rsidRDefault="000D5F60" w:rsidP="00684645">
      <w:pPr>
        <w:pStyle w:val="Listenabsatz"/>
        <w:spacing w:line="360" w:lineRule="auto"/>
        <w:ind w:left="0"/>
        <w:jc w:val="both"/>
        <w:rPr>
          <w:rFonts w:ascii="Arial" w:hAnsi="Arial" w:cs="Arial"/>
          <w:lang w:val="en-GB"/>
        </w:rPr>
      </w:pPr>
      <w:r w:rsidRPr="00684645">
        <w:rPr>
          <w:rFonts w:ascii="Arial" w:hAnsi="Arial" w:cs="Arial"/>
          <w:lang w:val="en-GB"/>
        </w:rPr>
        <w:lastRenderedPageBreak/>
        <w:t>In this respect, the debtor's integration into a group of companies can also be of significance if this leads to the debtor's day-to-day business being conducted at the location of a group company.</w:t>
      </w:r>
      <w:r w:rsidR="0034044D">
        <w:rPr>
          <w:rStyle w:val="Funotenzeichen"/>
          <w:rFonts w:ascii="Arial" w:hAnsi="Arial" w:cs="Arial"/>
          <w:lang w:val="en-GB"/>
        </w:rPr>
        <w:footnoteReference w:id="3"/>
      </w:r>
    </w:p>
    <w:p w:rsidR="00465EB9" w:rsidRDefault="00465EB9" w:rsidP="00F43261">
      <w:pPr>
        <w:spacing w:line="360" w:lineRule="auto"/>
        <w:rPr>
          <w:rFonts w:ascii="AvenirNext-Regular" w:hAnsi="AvenirNext-Regular" w:cs="AvenirNext-Regular"/>
          <w:lang w:val="en-GB"/>
          <w14:ligatures w14:val="none"/>
        </w:rPr>
      </w:pPr>
    </w:p>
    <w:p w:rsidR="000D5F60" w:rsidRPr="00A357B2" w:rsidRDefault="000D5F60" w:rsidP="00F43261">
      <w:pPr>
        <w:spacing w:line="360" w:lineRule="auto"/>
        <w:jc w:val="both"/>
        <w:rPr>
          <w:rFonts w:ascii="Arial" w:hAnsi="Arial" w:cs="Arial"/>
          <w:lang w:val="en-GB"/>
        </w:rPr>
      </w:pPr>
      <w:r w:rsidRPr="00A357B2">
        <w:rPr>
          <w:rFonts w:ascii="Arial" w:hAnsi="Arial" w:cs="Arial"/>
          <w:lang w:val="en-GB"/>
        </w:rPr>
        <w:t>According to the ECJ, the presumption of domicile can be rebutted if objective circumstances recognisable to third parties prove that the centre of main interests is not actually located at the place of the registered office. This may be the case, for example, with mere letterbox companies that do not carry out any activities in the Member State in which they have their registered office, but merely feign this.</w:t>
      </w:r>
    </w:p>
    <w:p w:rsidR="00A357B2" w:rsidRPr="00A357B2" w:rsidRDefault="00A357B2" w:rsidP="00F43261">
      <w:pPr>
        <w:spacing w:line="360" w:lineRule="auto"/>
        <w:jc w:val="both"/>
        <w:rPr>
          <w:rFonts w:ascii="Arial" w:hAnsi="Arial" w:cs="Arial"/>
          <w:lang w:val="en-GB"/>
        </w:rPr>
      </w:pPr>
    </w:p>
    <w:p w:rsidR="000D5F60" w:rsidRPr="00A357B2" w:rsidRDefault="000D5F60" w:rsidP="00F43261">
      <w:pPr>
        <w:spacing w:line="360" w:lineRule="auto"/>
        <w:jc w:val="both"/>
        <w:rPr>
          <w:rFonts w:ascii="Arial" w:hAnsi="Arial" w:cs="Arial"/>
          <w:lang w:val="en-GB"/>
        </w:rPr>
      </w:pPr>
      <w:r w:rsidRPr="00A357B2">
        <w:rPr>
          <w:rFonts w:ascii="Arial" w:hAnsi="Arial" w:cs="Arial"/>
          <w:lang w:val="en-GB"/>
        </w:rPr>
        <w:t>According to Art. 2 No. 13 EU Insolvency Regulation, a group of companies is the totality of parent companies and all of their subsidiaries. The parent company (Art. 2 no. 14 sentence 1) is the company that either directly or indirectly controls one or more subsidiaries.</w:t>
      </w:r>
    </w:p>
    <w:p w:rsidR="00A357B2" w:rsidRDefault="00A357B2" w:rsidP="00F43261">
      <w:pPr>
        <w:spacing w:line="360" w:lineRule="auto"/>
        <w:jc w:val="both"/>
        <w:rPr>
          <w:rFonts w:ascii="Arial" w:hAnsi="Arial" w:cs="Arial"/>
          <w:lang w:val="en-GB"/>
        </w:rPr>
      </w:pPr>
    </w:p>
    <w:p w:rsidR="00C91EF9" w:rsidRPr="00A357B2" w:rsidRDefault="00C91EF9" w:rsidP="00C91EF9">
      <w:pPr>
        <w:spacing w:line="360" w:lineRule="auto"/>
        <w:jc w:val="both"/>
        <w:rPr>
          <w:rFonts w:ascii="Arial" w:hAnsi="Arial" w:cs="Arial"/>
          <w:lang w:val="en-GB"/>
        </w:rPr>
      </w:pPr>
      <w:r w:rsidRPr="00A357B2">
        <w:rPr>
          <w:rFonts w:ascii="Arial" w:hAnsi="Arial" w:cs="Arial"/>
          <w:lang w:val="en-GB"/>
        </w:rPr>
        <w:t xml:space="preserve">The determination of COMI can </w:t>
      </w:r>
      <w:r>
        <w:rPr>
          <w:rFonts w:ascii="Arial" w:hAnsi="Arial" w:cs="Arial"/>
          <w:lang w:val="en-GB"/>
        </w:rPr>
        <w:t xml:space="preserve">therefore </w:t>
      </w:r>
      <w:r w:rsidRPr="00A357B2">
        <w:rPr>
          <w:rFonts w:ascii="Arial" w:hAnsi="Arial" w:cs="Arial"/>
          <w:lang w:val="en-GB"/>
        </w:rPr>
        <w:t>present some challenges and controversies.</w:t>
      </w:r>
    </w:p>
    <w:p w:rsidR="00C91EF9" w:rsidRPr="00A357B2" w:rsidRDefault="00C91EF9" w:rsidP="00F43261">
      <w:pPr>
        <w:spacing w:line="360" w:lineRule="auto"/>
        <w:jc w:val="both"/>
        <w:rPr>
          <w:rFonts w:ascii="Arial" w:hAnsi="Arial" w:cs="Arial"/>
          <w:lang w:val="en-GB"/>
        </w:rPr>
      </w:pPr>
    </w:p>
    <w:p w:rsidR="000D5F60" w:rsidRPr="00A357B2" w:rsidRDefault="000D5F60" w:rsidP="00F43261">
      <w:pPr>
        <w:spacing w:line="360" w:lineRule="auto"/>
        <w:jc w:val="both"/>
        <w:rPr>
          <w:rFonts w:ascii="Arial" w:hAnsi="Arial" w:cs="Arial"/>
          <w:lang w:val="en-GB"/>
        </w:rPr>
      </w:pPr>
      <w:r w:rsidRPr="00A357B2">
        <w:rPr>
          <w:rFonts w:ascii="Arial" w:hAnsi="Arial" w:cs="Arial"/>
          <w:lang w:val="en-GB"/>
        </w:rPr>
        <w:t>Firstly, the interpretation of the COMI concept itself can pose a challenge. Although the definition appears clear at first glance, its application varies depending on the jurisdiction and the specific circumstances of the individual case. In some cases, there have been very different interpretations of the COMI concept by the courts of the member states in the past. Determining the true centre can be complex if a company is active in several jurisdictions or has recently relocated its headquarters.</w:t>
      </w:r>
    </w:p>
    <w:p w:rsidR="000D5F60" w:rsidRPr="00A357B2" w:rsidRDefault="000D5F60" w:rsidP="00F43261">
      <w:pPr>
        <w:spacing w:line="360" w:lineRule="auto"/>
        <w:jc w:val="both"/>
        <w:rPr>
          <w:rFonts w:ascii="Arial" w:hAnsi="Arial" w:cs="Arial"/>
          <w:lang w:val="en-GB"/>
        </w:rPr>
      </w:pPr>
    </w:p>
    <w:p w:rsidR="00465EB9" w:rsidRPr="00F43261" w:rsidRDefault="000D5F60" w:rsidP="00F43261">
      <w:pPr>
        <w:spacing w:line="360" w:lineRule="auto"/>
        <w:jc w:val="both"/>
        <w:rPr>
          <w:rFonts w:ascii="Arial" w:hAnsi="Arial" w:cs="Arial"/>
          <w:lang w:val="en-GB"/>
        </w:rPr>
      </w:pPr>
      <w:r w:rsidRPr="00A357B2">
        <w:rPr>
          <w:rFonts w:ascii="Arial" w:hAnsi="Arial" w:cs="Arial"/>
          <w:lang w:val="en-GB"/>
        </w:rPr>
        <w:t xml:space="preserve">The different interpretations sometimes lead to abusive influence on the jurisdiction of the court by the debtor. The aim of this so-called "forum shopping" is to find a jurisdiction with favourable insolvency laws and procedures in order to maximise the outcome for the debtor or other interested parties. The problem with this is that forum shopping runs counter to the creation of a functioning internal market and also results in a lack of recognisability of the applicable insolvency regime, making it more difficult to assess the insolvency risk of business partners </w:t>
      </w:r>
      <w:r w:rsidRPr="00F43261">
        <w:rPr>
          <w:rFonts w:ascii="Arial" w:hAnsi="Arial" w:cs="Arial"/>
          <w:lang w:val="en-GB"/>
        </w:rPr>
        <w:t>(in particular borrowers).</w:t>
      </w:r>
      <w:r w:rsidR="00062D96">
        <w:rPr>
          <w:rStyle w:val="Funotenzeichen"/>
          <w:rFonts w:ascii="Arial" w:hAnsi="Arial" w:cs="Arial"/>
          <w:lang w:val="en-GB"/>
        </w:rPr>
        <w:footnoteReference w:id="4"/>
      </w:r>
    </w:p>
    <w:p w:rsidR="00062D96" w:rsidRDefault="00062D96" w:rsidP="00F43261">
      <w:pPr>
        <w:spacing w:line="360" w:lineRule="auto"/>
        <w:jc w:val="both"/>
        <w:rPr>
          <w:rFonts w:ascii="Arial" w:hAnsi="Arial" w:cs="Arial"/>
          <w:lang w:val="en-GB"/>
        </w:rPr>
      </w:pPr>
    </w:p>
    <w:p w:rsidR="00C760D3" w:rsidRDefault="00C760D3" w:rsidP="00F43261">
      <w:pPr>
        <w:spacing w:line="360" w:lineRule="auto"/>
        <w:jc w:val="both"/>
        <w:rPr>
          <w:rFonts w:ascii="Arial" w:hAnsi="Arial" w:cs="Arial"/>
          <w:lang w:val="en-GB"/>
        </w:rPr>
      </w:pPr>
      <w:r w:rsidRPr="00F43261">
        <w:rPr>
          <w:rFonts w:ascii="Arial" w:hAnsi="Arial" w:cs="Arial"/>
          <w:lang w:val="en-GB"/>
        </w:rPr>
        <w:t xml:space="preserve">This regularly leads to disputes between different jurisdictions, as each can claim to be the debtor's COMI. For example, a company may establish a subsidiary in a country with more </w:t>
      </w:r>
      <w:r w:rsidRPr="00F43261">
        <w:rPr>
          <w:rFonts w:ascii="Arial" w:hAnsi="Arial" w:cs="Arial"/>
          <w:lang w:val="en-GB"/>
        </w:rPr>
        <w:lastRenderedPageBreak/>
        <w:t>lenient insolvency laws, which raises the question of the true COMI and the rationale behind the decision.</w:t>
      </w:r>
    </w:p>
    <w:p w:rsidR="00684645" w:rsidRPr="00F43261" w:rsidRDefault="00684645" w:rsidP="00F43261">
      <w:pPr>
        <w:spacing w:line="360" w:lineRule="auto"/>
        <w:jc w:val="both"/>
        <w:rPr>
          <w:rFonts w:ascii="Arial" w:hAnsi="Arial" w:cs="Arial"/>
          <w:lang w:val="en-GB"/>
        </w:rPr>
      </w:pPr>
    </w:p>
    <w:p w:rsidR="00C91EF9" w:rsidRDefault="00C760D3" w:rsidP="00F43261">
      <w:pPr>
        <w:spacing w:line="360" w:lineRule="auto"/>
        <w:jc w:val="both"/>
        <w:rPr>
          <w:rFonts w:ascii="Arial" w:hAnsi="Arial" w:cs="Arial"/>
          <w:lang w:val="en-GB"/>
        </w:rPr>
      </w:pPr>
      <w:r w:rsidRPr="00F43261">
        <w:rPr>
          <w:rFonts w:ascii="Arial" w:hAnsi="Arial" w:cs="Arial"/>
          <w:lang w:val="en-GB"/>
        </w:rPr>
        <w:t xml:space="preserve">In addition, another challenge arises when a company's COMI changes over time. A debtor may move its principal business activity or headquarters to another jurisdiction, potentially triggering a shift in COMI. In such cases, the determination of the COMI date is crucial as it impacts the jurisdiction's authority to open insolvency proceedings. </w:t>
      </w:r>
    </w:p>
    <w:p w:rsidR="00C91EF9" w:rsidRDefault="00C91EF9" w:rsidP="00F43261">
      <w:pPr>
        <w:spacing w:line="360" w:lineRule="auto"/>
        <w:jc w:val="both"/>
        <w:rPr>
          <w:rFonts w:ascii="Arial" w:hAnsi="Arial" w:cs="Arial"/>
          <w:lang w:val="en-GB"/>
        </w:rPr>
      </w:pPr>
    </w:p>
    <w:p w:rsidR="000D5F60" w:rsidRPr="00F43261" w:rsidRDefault="00C760D3" w:rsidP="00F43261">
      <w:pPr>
        <w:spacing w:line="360" w:lineRule="auto"/>
        <w:jc w:val="both"/>
        <w:rPr>
          <w:rFonts w:ascii="Arial" w:hAnsi="Arial" w:cs="Arial"/>
          <w:lang w:val="en-GB"/>
        </w:rPr>
      </w:pPr>
      <w:r w:rsidRPr="00F43261">
        <w:rPr>
          <w:rFonts w:ascii="Arial" w:hAnsi="Arial" w:cs="Arial"/>
          <w:lang w:val="en-GB"/>
        </w:rPr>
        <w:t>Courts must carefully analyse the timing and intentions behind the relocation to ensure fairness and prevent abuse of the system.</w:t>
      </w:r>
      <w:r w:rsidR="00062D96">
        <w:rPr>
          <w:rStyle w:val="Funotenzeichen"/>
          <w:rFonts w:ascii="Arial" w:hAnsi="Arial" w:cs="Arial"/>
          <w:lang w:val="en-GB"/>
        </w:rPr>
        <w:footnoteReference w:id="5"/>
      </w:r>
    </w:p>
    <w:p w:rsidR="00AB7B41" w:rsidRPr="00C91EF9" w:rsidRDefault="00AB7B41" w:rsidP="00F43261">
      <w:pPr>
        <w:spacing w:line="360" w:lineRule="auto"/>
        <w:jc w:val="both"/>
        <w:rPr>
          <w:rFonts w:ascii="Arial" w:hAnsi="Arial" w:cs="Arial"/>
          <w:lang w:val="en-GB"/>
        </w:rPr>
      </w:pPr>
    </w:p>
    <w:p w:rsidR="000D5F60" w:rsidRPr="00F43261" w:rsidRDefault="00C760D3" w:rsidP="00F43261">
      <w:pPr>
        <w:spacing w:line="360" w:lineRule="auto"/>
        <w:jc w:val="both"/>
        <w:rPr>
          <w:rFonts w:ascii="Arial" w:hAnsi="Arial" w:cs="Arial"/>
          <w:b/>
          <w:lang w:val="en-GB"/>
        </w:rPr>
      </w:pPr>
      <w:r w:rsidRPr="00F43261">
        <w:rPr>
          <w:rFonts w:ascii="Arial" w:hAnsi="Arial" w:cs="Arial"/>
          <w:b/>
          <w:lang w:val="en-GB"/>
        </w:rPr>
        <w:t xml:space="preserve">III. Assessments of the EU Insolvency Regulation with regard to </w:t>
      </w:r>
      <w:r w:rsidR="00C91EF9">
        <w:rPr>
          <w:rFonts w:ascii="Arial" w:hAnsi="Arial" w:cs="Arial"/>
          <w:b/>
          <w:lang w:val="en-GB"/>
        </w:rPr>
        <w:t>E</w:t>
      </w:r>
      <w:r w:rsidRPr="00F43261">
        <w:rPr>
          <w:rFonts w:ascii="Arial" w:hAnsi="Arial" w:cs="Arial"/>
          <w:b/>
          <w:lang w:val="en-GB"/>
        </w:rPr>
        <w:t xml:space="preserve">nterprise </w:t>
      </w:r>
      <w:r w:rsidR="00C91EF9">
        <w:rPr>
          <w:rFonts w:ascii="Arial" w:hAnsi="Arial" w:cs="Arial"/>
          <w:b/>
          <w:lang w:val="en-GB"/>
        </w:rPr>
        <w:t>G</w:t>
      </w:r>
      <w:r w:rsidRPr="00F43261">
        <w:rPr>
          <w:rFonts w:ascii="Arial" w:hAnsi="Arial" w:cs="Arial"/>
          <w:b/>
          <w:lang w:val="en-GB"/>
        </w:rPr>
        <w:t>roups</w:t>
      </w:r>
    </w:p>
    <w:p w:rsidR="000D5F60" w:rsidRPr="00F43261" w:rsidRDefault="000D5F60" w:rsidP="00F43261">
      <w:pPr>
        <w:spacing w:line="360" w:lineRule="auto"/>
        <w:jc w:val="both"/>
        <w:rPr>
          <w:rFonts w:ascii="Arial" w:hAnsi="Arial" w:cs="Arial"/>
          <w:lang w:val="en-GB"/>
        </w:rPr>
      </w:pPr>
    </w:p>
    <w:p w:rsidR="000D5F60" w:rsidRPr="00F43261" w:rsidRDefault="00C760D3" w:rsidP="00F43261">
      <w:pPr>
        <w:spacing w:line="360" w:lineRule="auto"/>
        <w:jc w:val="both"/>
        <w:rPr>
          <w:rFonts w:ascii="Arial" w:hAnsi="Arial" w:cs="Arial"/>
          <w:lang w:val="en-GB"/>
        </w:rPr>
      </w:pPr>
      <w:r w:rsidRPr="00F43261">
        <w:rPr>
          <w:rFonts w:ascii="Arial" w:hAnsi="Arial" w:cs="Arial"/>
          <w:lang w:val="en-GB"/>
        </w:rPr>
        <w:t xml:space="preserve">The European legislator addressed the issue of group insolvency for the first time in the 2017 EU Insolvency Regulation. These provisions are intended to make the handling of insolvency proceedings relating to the assets of companies belonging to a group of companies more efficient and to utilise synergies within a group of companies. The European group insolvency law also retains the principle of separation (= no procedural or substantive consolidation of the individual insolvency proceedings / only coordination and mutual information: between liquidators (Art. 56), between courts (Art. 57), between liquidators and courts (Art. 58)). In addition, the so-called coordination procedure (Art. 61) was introduced for the purpose of implementing group-wide reorganisation solutions. Contrary to the recommendations of UNCRITRAL, the European legislator has not standardised any cooperation obligations between creditors or the appointment of a single creditor body. Likewise, unlike German </w:t>
      </w:r>
      <w:r w:rsidR="00474C20">
        <w:rPr>
          <w:rFonts w:ascii="Arial" w:hAnsi="Arial" w:cs="Arial"/>
          <w:lang w:val="en-GB"/>
        </w:rPr>
        <w:t>G</w:t>
      </w:r>
      <w:r w:rsidRPr="00F43261">
        <w:rPr>
          <w:rFonts w:ascii="Arial" w:hAnsi="Arial" w:cs="Arial"/>
          <w:lang w:val="en-GB"/>
        </w:rPr>
        <w:t xml:space="preserve">roup </w:t>
      </w:r>
      <w:r w:rsidR="00474C20">
        <w:rPr>
          <w:rFonts w:ascii="Arial" w:hAnsi="Arial" w:cs="Arial"/>
          <w:lang w:val="en-GB"/>
        </w:rPr>
        <w:t>I</w:t>
      </w:r>
      <w:r w:rsidRPr="00F43261">
        <w:rPr>
          <w:rFonts w:ascii="Arial" w:hAnsi="Arial" w:cs="Arial"/>
          <w:lang w:val="en-GB"/>
        </w:rPr>
        <w:t xml:space="preserve">nsolvency </w:t>
      </w:r>
      <w:r w:rsidR="00474C20">
        <w:rPr>
          <w:rFonts w:ascii="Arial" w:hAnsi="Arial" w:cs="Arial"/>
          <w:lang w:val="en-GB"/>
        </w:rPr>
        <w:t>L</w:t>
      </w:r>
      <w:r w:rsidRPr="00F43261">
        <w:rPr>
          <w:rFonts w:ascii="Arial" w:hAnsi="Arial" w:cs="Arial"/>
          <w:lang w:val="en-GB"/>
        </w:rPr>
        <w:t xml:space="preserve">aw, the European Insolvency Regulation does not provide for a European </w:t>
      </w:r>
      <w:r w:rsidR="00474C20">
        <w:rPr>
          <w:rFonts w:ascii="Arial" w:hAnsi="Arial" w:cs="Arial"/>
          <w:lang w:val="en-GB"/>
        </w:rPr>
        <w:t>G</w:t>
      </w:r>
      <w:r w:rsidRPr="00F43261">
        <w:rPr>
          <w:rFonts w:ascii="Arial" w:hAnsi="Arial" w:cs="Arial"/>
          <w:lang w:val="en-GB"/>
        </w:rPr>
        <w:t xml:space="preserve">roup </w:t>
      </w:r>
      <w:r w:rsidR="00474C20">
        <w:rPr>
          <w:rFonts w:ascii="Arial" w:hAnsi="Arial" w:cs="Arial"/>
          <w:lang w:val="en-GB"/>
        </w:rPr>
        <w:t>C</w:t>
      </w:r>
      <w:r w:rsidRPr="00F43261">
        <w:rPr>
          <w:rFonts w:ascii="Arial" w:hAnsi="Arial" w:cs="Arial"/>
          <w:lang w:val="en-GB"/>
        </w:rPr>
        <w:t>ourt.</w:t>
      </w:r>
      <w:r w:rsidR="00062D96">
        <w:rPr>
          <w:rStyle w:val="Funotenzeichen"/>
          <w:rFonts w:ascii="Arial" w:hAnsi="Arial" w:cs="Arial"/>
          <w:lang w:val="en-GB"/>
        </w:rPr>
        <w:footnoteReference w:id="6"/>
      </w:r>
    </w:p>
    <w:p w:rsidR="00AB7B41" w:rsidRPr="00474C20" w:rsidRDefault="00AB7B41" w:rsidP="00F43261">
      <w:pPr>
        <w:spacing w:line="360" w:lineRule="auto"/>
        <w:jc w:val="both"/>
        <w:rPr>
          <w:rFonts w:ascii="Arial" w:hAnsi="Arial" w:cs="Arial"/>
          <w:b/>
          <w:lang w:val="en-GB"/>
        </w:rPr>
      </w:pPr>
    </w:p>
    <w:p w:rsidR="000D5F60" w:rsidRPr="001F5A51" w:rsidRDefault="00C760D3" w:rsidP="00F43261">
      <w:pPr>
        <w:spacing w:line="360" w:lineRule="auto"/>
        <w:jc w:val="both"/>
        <w:rPr>
          <w:rFonts w:ascii="Arial" w:hAnsi="Arial" w:cs="Arial"/>
          <w:b/>
          <w:lang w:val="en-GB"/>
        </w:rPr>
      </w:pPr>
      <w:r w:rsidRPr="00530883">
        <w:rPr>
          <w:rFonts w:ascii="Arial" w:hAnsi="Arial" w:cs="Arial"/>
          <w:b/>
          <w:lang w:val="en-GB"/>
        </w:rPr>
        <w:t xml:space="preserve">IV. Work of UNCITRAL Working Group V, in particular the Model Law on the Insolvency of </w:t>
      </w:r>
      <w:r w:rsidR="00474C20">
        <w:rPr>
          <w:rFonts w:ascii="Arial" w:hAnsi="Arial" w:cs="Arial"/>
          <w:b/>
          <w:lang w:val="en-GB"/>
        </w:rPr>
        <w:t xml:space="preserve">Enterprise </w:t>
      </w:r>
      <w:r w:rsidRPr="00530883">
        <w:rPr>
          <w:rFonts w:ascii="Arial" w:hAnsi="Arial" w:cs="Arial"/>
          <w:b/>
          <w:lang w:val="en-GB"/>
        </w:rPr>
        <w:t xml:space="preserve">Groups </w:t>
      </w:r>
    </w:p>
    <w:p w:rsidR="000D5F60" w:rsidRPr="00F43261" w:rsidRDefault="000D5F60" w:rsidP="00F43261">
      <w:pPr>
        <w:spacing w:line="360" w:lineRule="auto"/>
        <w:jc w:val="both"/>
        <w:rPr>
          <w:rFonts w:ascii="Arial" w:hAnsi="Arial" w:cs="Arial"/>
          <w:lang w:val="en-GB"/>
        </w:rPr>
      </w:pPr>
    </w:p>
    <w:p w:rsidR="00530883" w:rsidRDefault="00C760D3" w:rsidP="00F43261">
      <w:pPr>
        <w:spacing w:line="360" w:lineRule="auto"/>
        <w:jc w:val="both"/>
        <w:rPr>
          <w:rFonts w:ascii="Arial" w:hAnsi="Arial" w:cs="Arial"/>
          <w:lang w:val="en-GB"/>
        </w:rPr>
      </w:pPr>
      <w:r w:rsidRPr="00F43261">
        <w:rPr>
          <w:rFonts w:ascii="Arial" w:hAnsi="Arial" w:cs="Arial"/>
          <w:lang w:val="en-GB"/>
        </w:rPr>
        <w:t xml:space="preserve">As a sub-organisation of the UN, the UN Commission on Trade Law draws up recommendations for the drafting of laws and corresponding model laws in the field of trade and economic law. The aim of UNCITRAL is to harmonise national legislation, which in turn </w:t>
      </w:r>
      <w:r w:rsidRPr="00F43261">
        <w:rPr>
          <w:rFonts w:ascii="Arial" w:hAnsi="Arial" w:cs="Arial"/>
          <w:lang w:val="en-GB"/>
        </w:rPr>
        <w:lastRenderedPageBreak/>
        <w:t xml:space="preserve">should facilitate world trade and enable poorer countries to create modern and efficient laws. Within UNCITRAL, insolvency law is discussed by Working Group V. UNCITRAL's most important project in the field of insolvency law to date is the Model Law on Cross-Border Insolvency. </w:t>
      </w:r>
      <w:r w:rsidR="00530883" w:rsidRPr="00530883">
        <w:rPr>
          <w:rFonts w:ascii="Arial" w:hAnsi="Arial" w:cs="Arial"/>
          <w:lang w:val="en-GB"/>
        </w:rPr>
        <w:t>30 May 2022 marks the 25th anniversary of the adoption by the United Nations Commission on International Trade Law (UNCITRAL) of the Model Law on Cross-Border Insolvency (MLCBI).</w:t>
      </w:r>
    </w:p>
    <w:p w:rsidR="00530883" w:rsidRDefault="00530883" w:rsidP="00F43261">
      <w:pPr>
        <w:spacing w:line="360" w:lineRule="auto"/>
        <w:jc w:val="both"/>
        <w:rPr>
          <w:rFonts w:ascii="Arial" w:hAnsi="Arial" w:cs="Arial"/>
          <w:lang w:val="en-GB"/>
        </w:rPr>
      </w:pPr>
    </w:p>
    <w:p w:rsidR="00AB7B41" w:rsidRPr="00062D96" w:rsidRDefault="00C760D3" w:rsidP="00F43261">
      <w:pPr>
        <w:spacing w:line="360" w:lineRule="auto"/>
        <w:jc w:val="both"/>
        <w:rPr>
          <w:rFonts w:ascii="Arial" w:hAnsi="Arial" w:cs="Arial"/>
          <w:lang w:val="en-GB"/>
        </w:rPr>
      </w:pPr>
      <w:r w:rsidRPr="00F43261">
        <w:rPr>
          <w:rFonts w:ascii="Arial" w:hAnsi="Arial" w:cs="Arial"/>
          <w:lang w:val="en-GB"/>
        </w:rPr>
        <w:t>Since its adoption in 1997, a large number of countries have in</w:t>
      </w:r>
      <w:bookmarkStart w:id="1" w:name="_GoBack"/>
      <w:r w:rsidRPr="00F43261">
        <w:rPr>
          <w:rFonts w:ascii="Arial" w:hAnsi="Arial" w:cs="Arial"/>
          <w:lang w:val="en-GB"/>
        </w:rPr>
        <w:t>corporate</w:t>
      </w:r>
      <w:bookmarkEnd w:id="1"/>
      <w:r w:rsidRPr="00F43261">
        <w:rPr>
          <w:rFonts w:ascii="Arial" w:hAnsi="Arial" w:cs="Arial"/>
          <w:lang w:val="en-GB"/>
        </w:rPr>
        <w:t>d the Model Law into their own legislation.</w:t>
      </w:r>
      <w:r w:rsidR="00530883" w:rsidRPr="00530883">
        <w:rPr>
          <w:lang w:val="en-GB"/>
        </w:rPr>
        <w:t xml:space="preserve"> </w:t>
      </w:r>
      <w:r w:rsidR="00530883" w:rsidRPr="00530883">
        <w:rPr>
          <w:rFonts w:ascii="Arial" w:hAnsi="Arial" w:cs="Arial"/>
          <w:lang w:val="en-GB"/>
        </w:rPr>
        <w:t>In doing so, the MLCBI has played a direct role in increasing the likelihood of corporate and business rescue – by centralising the rescue process and avoiding the piecemeal breakup of debtors’ assets in numerous locations – and enhanced creditor returns. This has also had important ‘macro’ implications, supporting broader investment and financial stability and economic growth.</w:t>
      </w:r>
      <w:r w:rsidR="00062D96">
        <w:rPr>
          <w:rStyle w:val="Funotenzeichen"/>
          <w:rFonts w:ascii="Arial" w:hAnsi="Arial" w:cs="Arial"/>
          <w:lang w:val="en-GB"/>
        </w:rPr>
        <w:footnoteReference w:id="7"/>
      </w:r>
    </w:p>
    <w:p w:rsidR="00AB7B41" w:rsidRPr="00AB7B41" w:rsidRDefault="00AB7B41" w:rsidP="00F43261">
      <w:pPr>
        <w:spacing w:line="360" w:lineRule="auto"/>
        <w:jc w:val="both"/>
        <w:rPr>
          <w:rFonts w:ascii="Arial" w:hAnsi="Arial" w:cs="Arial"/>
        </w:rPr>
      </w:pPr>
    </w:p>
    <w:p w:rsidR="00C760D3" w:rsidRPr="00F43261" w:rsidRDefault="00C760D3" w:rsidP="00F43261">
      <w:pPr>
        <w:spacing w:line="360" w:lineRule="auto"/>
        <w:jc w:val="both"/>
        <w:rPr>
          <w:rFonts w:ascii="Arial" w:hAnsi="Arial" w:cs="Arial"/>
          <w:lang w:val="en-GB"/>
        </w:rPr>
      </w:pPr>
      <w:r w:rsidRPr="00F43261">
        <w:rPr>
          <w:rFonts w:ascii="Arial" w:hAnsi="Arial" w:cs="Arial"/>
          <w:lang w:val="en-GB"/>
        </w:rPr>
        <w:t>The Model Law has played a crucial role in facilitating international co-operation and providing a framework for dealing with cross-border insolvency cases. However, as the global business landscape continues to evolve, the Model Law must constantly adapt to meet emerging challenges and ensure its continued effectiveness.</w:t>
      </w:r>
    </w:p>
    <w:p w:rsidR="00474C20" w:rsidRDefault="00474C20" w:rsidP="00F43261">
      <w:pPr>
        <w:spacing w:line="360" w:lineRule="auto"/>
        <w:jc w:val="both"/>
        <w:rPr>
          <w:rFonts w:ascii="Arial" w:hAnsi="Arial" w:cs="Arial"/>
          <w:lang w:val="en-GB"/>
        </w:rPr>
      </w:pPr>
    </w:p>
    <w:p w:rsidR="00C760D3" w:rsidRPr="00F43261" w:rsidRDefault="00C760D3" w:rsidP="00F43261">
      <w:pPr>
        <w:spacing w:line="360" w:lineRule="auto"/>
        <w:jc w:val="both"/>
        <w:rPr>
          <w:rFonts w:ascii="Arial" w:hAnsi="Arial" w:cs="Arial"/>
          <w:lang w:val="en-GB"/>
        </w:rPr>
      </w:pPr>
      <w:r w:rsidRPr="00F43261">
        <w:rPr>
          <w:rFonts w:ascii="Arial" w:hAnsi="Arial" w:cs="Arial"/>
          <w:lang w:val="en-GB"/>
        </w:rPr>
        <w:t>The rise of multinational corporations and complex corporate structures has brought with it the need for a comprehensive framework for dealing with group insolvencies. While the Model Law recognises the concept of "foreign proceedings" and provides for the recognition of foreign insolvency proceedings, it does not explicitly address group insolvencies.</w:t>
      </w:r>
      <w:r w:rsidR="00062D96">
        <w:rPr>
          <w:rStyle w:val="Funotenzeichen"/>
          <w:rFonts w:ascii="Arial" w:hAnsi="Arial" w:cs="Arial"/>
          <w:lang w:val="en-GB"/>
        </w:rPr>
        <w:footnoteReference w:id="8"/>
      </w:r>
    </w:p>
    <w:p w:rsidR="00AB7B41" w:rsidRPr="00F43261" w:rsidRDefault="00AB7B41" w:rsidP="00F43261">
      <w:pPr>
        <w:spacing w:line="360" w:lineRule="auto"/>
        <w:jc w:val="both"/>
        <w:rPr>
          <w:rFonts w:ascii="Arial" w:hAnsi="Arial" w:cs="Arial"/>
          <w:lang w:val="en-GB"/>
        </w:rPr>
      </w:pPr>
    </w:p>
    <w:p w:rsidR="00474C20" w:rsidRDefault="00C760D3" w:rsidP="00530883">
      <w:pPr>
        <w:spacing w:line="360" w:lineRule="auto"/>
        <w:jc w:val="both"/>
        <w:rPr>
          <w:rFonts w:ascii="Arial" w:hAnsi="Arial" w:cs="Arial"/>
          <w:lang w:val="en-GB"/>
        </w:rPr>
      </w:pPr>
      <w:r w:rsidRPr="00F43261">
        <w:rPr>
          <w:rFonts w:ascii="Arial" w:hAnsi="Arial" w:cs="Arial"/>
          <w:lang w:val="en-GB"/>
        </w:rPr>
        <w:t xml:space="preserve">The purpose of the Model Law on Enterprise Group Insolvency is to develop effective </w:t>
      </w:r>
      <w:r w:rsidRPr="00530883">
        <w:rPr>
          <w:rFonts w:ascii="Arial" w:hAnsi="Arial" w:cs="Arial"/>
          <w:lang w:val="en-GB"/>
        </w:rPr>
        <w:t>mechanisms for the resolution of group insolvency proceedings, focussing in particular on the cooperation of courts and other public authorities as well as insolvency practitioners.</w:t>
      </w:r>
      <w:r w:rsidR="00474C20">
        <w:rPr>
          <w:rStyle w:val="Funotenzeichen"/>
          <w:rFonts w:ascii="Arial" w:hAnsi="Arial" w:cs="Arial"/>
          <w:lang w:val="en-GB"/>
        </w:rPr>
        <w:footnoteReference w:id="9"/>
      </w:r>
      <w:r w:rsidRPr="00530883">
        <w:rPr>
          <w:rFonts w:ascii="Arial" w:hAnsi="Arial" w:cs="Arial"/>
          <w:lang w:val="en-GB"/>
        </w:rPr>
        <w:t xml:space="preserve"> </w:t>
      </w:r>
    </w:p>
    <w:p w:rsidR="00474C20" w:rsidRDefault="00474C20" w:rsidP="00530883">
      <w:pPr>
        <w:spacing w:line="360" w:lineRule="auto"/>
        <w:jc w:val="both"/>
        <w:rPr>
          <w:rFonts w:ascii="Arial" w:hAnsi="Arial" w:cs="Arial"/>
          <w:lang w:val="en-GB"/>
        </w:rPr>
      </w:pPr>
    </w:p>
    <w:p w:rsidR="00C760D3" w:rsidRPr="00530883" w:rsidRDefault="00C760D3" w:rsidP="00530883">
      <w:pPr>
        <w:spacing w:line="360" w:lineRule="auto"/>
        <w:jc w:val="both"/>
        <w:rPr>
          <w:rFonts w:ascii="Arial" w:hAnsi="Arial" w:cs="Arial"/>
          <w:lang w:val="en-GB"/>
        </w:rPr>
      </w:pPr>
      <w:r w:rsidRPr="00530883">
        <w:rPr>
          <w:rFonts w:ascii="Arial" w:hAnsi="Arial" w:cs="Arial"/>
          <w:lang w:val="en-GB"/>
        </w:rPr>
        <w:t>The aim is to develop a solution for a part or the entire group of companies that is also recognised in a cross-border context. The group members should be administered in a fair and efficient manner, whereby the value of the entire group should be protected and, if possible, increased. Furthermore, the interests of creditors and investors should be protected.</w:t>
      </w:r>
      <w:r w:rsidR="00062D96">
        <w:rPr>
          <w:rStyle w:val="Funotenzeichen"/>
          <w:rFonts w:ascii="Arial" w:hAnsi="Arial" w:cs="Arial"/>
          <w:lang w:val="en-GB"/>
        </w:rPr>
        <w:footnoteReference w:id="10"/>
      </w:r>
    </w:p>
    <w:p w:rsidR="00AB7B41" w:rsidRPr="00AB7B41" w:rsidRDefault="00AB7B41" w:rsidP="00530883">
      <w:pPr>
        <w:spacing w:line="360" w:lineRule="auto"/>
        <w:jc w:val="both"/>
        <w:rPr>
          <w:rFonts w:ascii="Arial" w:hAnsi="Arial" w:cs="Arial"/>
        </w:rPr>
      </w:pPr>
    </w:p>
    <w:p w:rsidR="00530883" w:rsidRDefault="00530883" w:rsidP="00530883">
      <w:pPr>
        <w:spacing w:line="360" w:lineRule="auto"/>
        <w:jc w:val="both"/>
        <w:rPr>
          <w:rFonts w:ascii="Arial" w:hAnsi="Arial" w:cs="Arial"/>
          <w:lang w:val="en-GB"/>
        </w:rPr>
      </w:pPr>
      <w:r w:rsidRPr="00530883">
        <w:rPr>
          <w:rFonts w:ascii="Arial" w:hAnsi="Arial" w:cs="Arial"/>
          <w:lang w:val="en-GB"/>
        </w:rPr>
        <w:t>The particular focus ought to be on adoption and implementation of complementary cross-border protocols under the UNCITRAL Model Law on the Recognition and Enforcement of Insolvency-Related Judgments (MLIRJ) and the UNCITRAL Model Law on Enterprise Group Insolvency (MLEGI), as well as substantive court cooperation and communication protocols developed by the International Insolvency Institute (III), the American Law Institute (ALI), the European Union (EU) and the Judicial Insolvency Network (JIN). Clarifying the applicable law in an insolvency proceeding will also be an important priority focus area.</w:t>
      </w:r>
      <w:r w:rsidR="007A7D6A">
        <w:rPr>
          <w:rStyle w:val="Funotenzeichen"/>
          <w:rFonts w:ascii="Arial" w:hAnsi="Arial" w:cs="Arial"/>
          <w:lang w:val="en-GB"/>
        </w:rPr>
        <w:footnoteReference w:id="11"/>
      </w:r>
    </w:p>
    <w:p w:rsidR="007A7D6A" w:rsidRPr="00530883" w:rsidRDefault="007A7D6A" w:rsidP="00530883">
      <w:pPr>
        <w:spacing w:line="360" w:lineRule="auto"/>
        <w:jc w:val="both"/>
        <w:rPr>
          <w:rFonts w:ascii="Arial" w:hAnsi="Arial" w:cs="Arial"/>
          <w:lang w:val="en-GB"/>
        </w:rPr>
      </w:pPr>
    </w:p>
    <w:p w:rsidR="00530883" w:rsidRPr="00530883" w:rsidRDefault="00530883" w:rsidP="00530883">
      <w:pPr>
        <w:spacing w:line="360" w:lineRule="auto"/>
        <w:jc w:val="both"/>
        <w:rPr>
          <w:rFonts w:ascii="Arial" w:hAnsi="Arial" w:cs="Arial"/>
          <w:lang w:val="en-GB"/>
        </w:rPr>
      </w:pPr>
      <w:r w:rsidRPr="00530883">
        <w:rPr>
          <w:rFonts w:ascii="Arial" w:hAnsi="Arial" w:cs="Arial"/>
          <w:lang w:val="en-GB"/>
        </w:rPr>
        <w:t>These pursuits are all the more important now in a truly global economy shaped by digital transformation and the proliferation of complex corporate structures permeating multiple jurisdictions and facilitating the conduct of business not so much across borders, but more aptly without any borders at all. Indeed, the reality is that larger insolvencies will almost invariably now have at least some cross-border elements. A global cross-border restructuring and insolvency framework that continues to evolve and adapt to rapidly changing economic, financial and social circumstances is rightly regarded as a foundational and essential part of future economic growth and prosperity.</w:t>
      </w:r>
      <w:r w:rsidR="007A7D6A">
        <w:rPr>
          <w:rStyle w:val="Funotenzeichen"/>
          <w:rFonts w:ascii="Arial" w:hAnsi="Arial" w:cs="Arial"/>
          <w:lang w:val="en-GB"/>
        </w:rPr>
        <w:footnoteReference w:id="12"/>
      </w:r>
    </w:p>
    <w:p w:rsidR="00530883" w:rsidRPr="00530883" w:rsidRDefault="00530883" w:rsidP="00530883">
      <w:pPr>
        <w:rPr>
          <w:lang w:val="en-GB"/>
        </w:rPr>
      </w:pPr>
    </w:p>
    <w:p w:rsidR="00530883" w:rsidRPr="00530883" w:rsidRDefault="00530883" w:rsidP="00530883">
      <w:pPr>
        <w:spacing w:line="360" w:lineRule="auto"/>
        <w:jc w:val="both"/>
        <w:rPr>
          <w:rFonts w:ascii="Arial" w:hAnsi="Arial" w:cs="Arial"/>
          <w:lang w:val="en-GB"/>
        </w:rPr>
      </w:pPr>
      <w:r w:rsidRPr="00530883">
        <w:rPr>
          <w:rFonts w:ascii="Arial" w:hAnsi="Arial" w:cs="Arial"/>
          <w:lang w:val="en-GB"/>
        </w:rPr>
        <w:t>Cross-border insolvency proceedings involving one or more debtors with businesses and creditors in a number of different locations across the world has traditionally given rise to two competing policy approaches to how those proceedings should be managed by local courts.</w:t>
      </w:r>
      <w:r w:rsidR="007A7D6A">
        <w:rPr>
          <w:rStyle w:val="Funotenzeichen"/>
          <w:rFonts w:ascii="Arial" w:hAnsi="Arial" w:cs="Arial"/>
          <w:lang w:val="en-GB"/>
        </w:rPr>
        <w:footnoteReference w:id="13"/>
      </w:r>
    </w:p>
    <w:p w:rsidR="007A7D6A" w:rsidRDefault="007A7D6A" w:rsidP="00150CCA">
      <w:pPr>
        <w:spacing w:line="360" w:lineRule="auto"/>
        <w:jc w:val="both"/>
        <w:rPr>
          <w:rFonts w:ascii="Arial" w:hAnsi="Arial" w:cs="Arial"/>
          <w:lang w:val="en-GB"/>
        </w:rPr>
      </w:pPr>
    </w:p>
    <w:p w:rsidR="00530883" w:rsidRPr="00150CCA" w:rsidRDefault="00530883" w:rsidP="00150CCA">
      <w:pPr>
        <w:spacing w:line="360" w:lineRule="auto"/>
        <w:jc w:val="both"/>
        <w:rPr>
          <w:rFonts w:ascii="Arial" w:hAnsi="Arial" w:cs="Arial"/>
          <w:lang w:val="en-GB"/>
        </w:rPr>
      </w:pPr>
      <w:r w:rsidRPr="00530883">
        <w:rPr>
          <w:rFonts w:ascii="Arial" w:hAnsi="Arial" w:cs="Arial"/>
          <w:lang w:val="en-GB"/>
        </w:rPr>
        <w:t>On one side of the ledger is the universalist approach, which favours the operation of a single insolvency proceeding extending on a worldwide basis. This avoids the need to conduct multiple processes simultaneously, and therefore leads to greater efficiency and cost savings while minimising the risk of conflicting laws and legal approaches. As Lord Hoffman noted in </w:t>
      </w:r>
      <w:r w:rsidRPr="00530883">
        <w:rPr>
          <w:rFonts w:ascii="Arial" w:hAnsi="Arial" w:cs="Arial"/>
          <w:i/>
          <w:iCs/>
          <w:lang w:val="en-GB"/>
        </w:rPr>
        <w:t>Cambridge Gas Transport Corporation v Official Committee of Unsecured Creditors of Navigator Holdings plc</w:t>
      </w:r>
      <w:r w:rsidRPr="00530883">
        <w:rPr>
          <w:rFonts w:ascii="Arial" w:hAnsi="Arial" w:cs="Arial"/>
          <w:lang w:val="en-GB"/>
        </w:rPr>
        <w:t xml:space="preserve">, universalism allows ‘the foreign office holder or the creditors to avoid having to start parallel insolvency proceedings and to give them the remedies to which they </w:t>
      </w:r>
      <w:r w:rsidRPr="00150CCA">
        <w:rPr>
          <w:rFonts w:ascii="Arial" w:hAnsi="Arial" w:cs="Arial"/>
          <w:lang w:val="en-GB"/>
        </w:rPr>
        <w:t>would have been entitled if the equivalent proceedings had taken place in the domestic forum’.</w:t>
      </w:r>
      <w:r w:rsidR="007A7D6A">
        <w:rPr>
          <w:rStyle w:val="Funotenzeichen"/>
          <w:rFonts w:ascii="Arial" w:hAnsi="Arial" w:cs="Arial"/>
          <w:lang w:val="en-GB"/>
        </w:rPr>
        <w:footnoteReference w:id="14"/>
      </w:r>
      <w:r w:rsidR="007A7D6A" w:rsidRPr="00150CCA">
        <w:rPr>
          <w:rFonts w:ascii="Arial" w:hAnsi="Arial" w:cs="Arial"/>
          <w:lang w:val="en-GB"/>
        </w:rPr>
        <w:t xml:space="preserve"> </w:t>
      </w:r>
    </w:p>
    <w:p w:rsidR="00530883" w:rsidRPr="00150CCA" w:rsidRDefault="00530883" w:rsidP="00150CCA">
      <w:pPr>
        <w:spacing w:line="360" w:lineRule="auto"/>
        <w:jc w:val="both"/>
        <w:rPr>
          <w:rFonts w:ascii="Arial" w:hAnsi="Arial" w:cs="Arial"/>
          <w:lang w:val="en-GB"/>
        </w:rPr>
      </w:pPr>
    </w:p>
    <w:p w:rsidR="00530883" w:rsidRPr="00150CCA" w:rsidRDefault="00530883" w:rsidP="00150CCA">
      <w:pPr>
        <w:spacing w:line="360" w:lineRule="auto"/>
        <w:jc w:val="both"/>
        <w:rPr>
          <w:rFonts w:ascii="Arial" w:hAnsi="Arial" w:cs="Arial"/>
          <w:lang w:val="en-GB"/>
        </w:rPr>
      </w:pPr>
      <w:r w:rsidRPr="00150CCA">
        <w:rPr>
          <w:rFonts w:ascii="Arial" w:hAnsi="Arial" w:cs="Arial"/>
          <w:lang w:val="en-GB"/>
        </w:rPr>
        <w:t>On the other end of the spectrum is territorialism, an approach whereby local courts separately administer and distribute assets and determine creditors’ rights in every jurisdiction in which those assets and creditors are located according to the priorities provided for under local laws.</w:t>
      </w:r>
    </w:p>
    <w:p w:rsidR="00150CCA" w:rsidRPr="00150CCA" w:rsidRDefault="00530883" w:rsidP="00684645">
      <w:pPr>
        <w:spacing w:line="360" w:lineRule="auto"/>
        <w:jc w:val="both"/>
        <w:rPr>
          <w:rFonts w:ascii="Arial" w:hAnsi="Arial" w:cs="Arial"/>
          <w:lang w:val="en-GB"/>
        </w:rPr>
      </w:pPr>
      <w:r w:rsidRPr="00150CCA">
        <w:rPr>
          <w:rFonts w:ascii="Arial" w:hAnsi="Arial" w:cs="Arial"/>
          <w:lang w:val="en-GB"/>
        </w:rPr>
        <w:lastRenderedPageBreak/>
        <w:t>In the end, a best practice insolvency regime has typically favoured the principle of ‘modified universalism’, under which a main proceeding opened in the debtor’s home country is mutually recognised in other jurisdictions where the debtor has assets and creditors unless doing so would be manifestly contrary to the local laws and policies of those other jurisdictions. Modified universalism also recognises a role for ancillary proceedings to be opened in those other jurisdictions, but only to the extent they help to facilitate the administration of the main proceeding – for example, in enabling the recovery or realisation of assets to maximise value as part of coordinated overarching restructuring or insolvency process.</w:t>
      </w:r>
      <w:r w:rsidR="007A7D6A">
        <w:rPr>
          <w:rStyle w:val="Funotenzeichen"/>
          <w:rFonts w:ascii="Arial" w:hAnsi="Arial" w:cs="Arial"/>
          <w:lang w:val="en-GB"/>
        </w:rPr>
        <w:footnoteReference w:id="15"/>
      </w:r>
    </w:p>
    <w:p w:rsidR="00150CCA" w:rsidRDefault="00150CCA" w:rsidP="00150CCA">
      <w:pPr>
        <w:pStyle w:val="Listenabsatz"/>
        <w:rPr>
          <w:lang w:val="en-GB"/>
        </w:rPr>
      </w:pPr>
    </w:p>
    <w:p w:rsidR="00530883" w:rsidRPr="00150CCA" w:rsidRDefault="00150CCA" w:rsidP="00684645">
      <w:pPr>
        <w:pStyle w:val="Listenabsatz"/>
        <w:ind w:left="0"/>
        <w:rPr>
          <w:rFonts w:ascii="Arial" w:hAnsi="Arial" w:cs="Arial"/>
          <w:b/>
          <w:lang w:val="en-GB"/>
        </w:rPr>
      </w:pPr>
      <w:r w:rsidRPr="00150CCA">
        <w:rPr>
          <w:rFonts w:ascii="Arial" w:hAnsi="Arial" w:cs="Arial"/>
          <w:b/>
          <w:lang w:val="en-GB"/>
        </w:rPr>
        <w:t xml:space="preserve">V. Conclusion </w:t>
      </w:r>
    </w:p>
    <w:p w:rsidR="00530883" w:rsidRDefault="00530883">
      <w:pPr>
        <w:rPr>
          <w:lang w:val="en-GB"/>
        </w:rPr>
      </w:pPr>
    </w:p>
    <w:p w:rsidR="00E966B9" w:rsidRPr="00E966B9" w:rsidRDefault="00E966B9" w:rsidP="00E966B9">
      <w:pPr>
        <w:spacing w:line="360" w:lineRule="auto"/>
        <w:jc w:val="both"/>
        <w:rPr>
          <w:rFonts w:ascii="Arial" w:hAnsi="Arial" w:cs="Arial"/>
          <w:lang w:val="en-GB"/>
        </w:rPr>
      </w:pPr>
      <w:r w:rsidRPr="00E966B9">
        <w:rPr>
          <w:rFonts w:ascii="Arial" w:hAnsi="Arial" w:cs="Arial"/>
          <w:lang w:val="en-GB"/>
        </w:rPr>
        <w:t>The correct preparation and selection of the COMI therefore has a significant impact on the reorganisation process or the liquidation of individual company components.</w:t>
      </w:r>
    </w:p>
    <w:p w:rsidR="00E966B9" w:rsidRDefault="00E966B9" w:rsidP="00E966B9">
      <w:pPr>
        <w:spacing w:line="360" w:lineRule="auto"/>
        <w:jc w:val="both"/>
        <w:rPr>
          <w:rFonts w:ascii="Arial" w:hAnsi="Arial" w:cs="Arial"/>
          <w:lang w:val="en-GB"/>
        </w:rPr>
      </w:pPr>
    </w:p>
    <w:p w:rsidR="00150CCA" w:rsidRDefault="00150CCA" w:rsidP="00E966B9">
      <w:pPr>
        <w:spacing w:line="360" w:lineRule="auto"/>
        <w:jc w:val="both"/>
        <w:rPr>
          <w:rFonts w:ascii="Arial" w:hAnsi="Arial" w:cs="Arial"/>
          <w:lang w:val="en-GB"/>
        </w:rPr>
      </w:pPr>
      <w:r w:rsidRPr="00150CCA">
        <w:rPr>
          <w:rFonts w:ascii="Arial" w:hAnsi="Arial" w:cs="Arial"/>
          <w:lang w:val="en-GB"/>
        </w:rPr>
        <w:t>Prior to the enactment of the MLCBI, recognition and cooperation in cross-border insolvency matters was dealt with primarily under general law concepts developed by courts. In common law jurisdictions, resort could be had to the doctrine of comity, while in civil law jurisdictions, the exequatur procedure enabled the recognition and enforcement of orders between different jurisdictions.</w:t>
      </w:r>
      <w:r w:rsidR="00E966B9">
        <w:rPr>
          <w:rStyle w:val="Funotenzeichen"/>
          <w:rFonts w:ascii="Arial" w:hAnsi="Arial" w:cs="Arial"/>
          <w:lang w:val="en-GB"/>
        </w:rPr>
        <w:footnoteReference w:id="16"/>
      </w:r>
    </w:p>
    <w:p w:rsidR="00684645" w:rsidRPr="00150CCA" w:rsidRDefault="00684645" w:rsidP="00150CCA">
      <w:pPr>
        <w:spacing w:line="360" w:lineRule="auto"/>
        <w:jc w:val="both"/>
        <w:rPr>
          <w:rFonts w:ascii="Arial" w:hAnsi="Arial" w:cs="Arial"/>
          <w:lang w:val="en-GB"/>
        </w:rPr>
      </w:pPr>
    </w:p>
    <w:p w:rsidR="00150CCA" w:rsidRDefault="00150CCA" w:rsidP="00150CCA">
      <w:pPr>
        <w:spacing w:line="360" w:lineRule="auto"/>
        <w:jc w:val="both"/>
        <w:rPr>
          <w:rStyle w:val="Hyperlink"/>
          <w:rFonts w:ascii="Arial" w:hAnsi="Arial" w:cs="Arial"/>
          <w:vertAlign w:val="superscript"/>
          <w:lang w:val="en-GB"/>
        </w:rPr>
      </w:pPr>
      <w:r w:rsidRPr="00150CCA">
        <w:rPr>
          <w:rFonts w:ascii="Arial" w:hAnsi="Arial" w:cs="Arial"/>
          <w:lang w:val="en-GB"/>
        </w:rPr>
        <w:t>Some jurisdictions also had in place legislation (which continues to apply even in those jurisdictions where the MLCBI has been implemented, such as Australia) setting out what are known as ‘aid and auxiliary provisions’, under these provisions, upon receipt of a letter of request from a foreign court in a list of statutorily prescribed jurisdictions (the letter having been issued upon the application of a foreign insolvency practitioner), the local court is required to act in aid of and be auxiliary to the foreign court in all external administration matters.</w:t>
      </w:r>
      <w:r w:rsidR="00E966B9">
        <w:rPr>
          <w:rStyle w:val="Funotenzeichen"/>
          <w:rFonts w:ascii="Arial" w:hAnsi="Arial" w:cs="Arial"/>
          <w:lang w:val="en-GB"/>
        </w:rPr>
        <w:footnoteReference w:id="17"/>
      </w:r>
    </w:p>
    <w:p w:rsidR="00684645" w:rsidRPr="00150CCA" w:rsidRDefault="00684645" w:rsidP="00150CCA">
      <w:pPr>
        <w:spacing w:line="360" w:lineRule="auto"/>
        <w:jc w:val="both"/>
        <w:rPr>
          <w:rFonts w:ascii="Arial" w:hAnsi="Arial" w:cs="Arial"/>
          <w:lang w:val="en-GB"/>
        </w:rPr>
      </w:pPr>
    </w:p>
    <w:p w:rsidR="00150CCA" w:rsidRPr="00150CCA" w:rsidRDefault="00150CCA" w:rsidP="00150CCA">
      <w:pPr>
        <w:spacing w:line="360" w:lineRule="auto"/>
        <w:jc w:val="both"/>
        <w:rPr>
          <w:rFonts w:ascii="Arial" w:hAnsi="Arial" w:cs="Arial"/>
          <w:lang w:val="en-GB"/>
        </w:rPr>
      </w:pPr>
      <w:r w:rsidRPr="00150CCA">
        <w:rPr>
          <w:rFonts w:ascii="Arial" w:hAnsi="Arial" w:cs="Arial"/>
          <w:lang w:val="en-GB"/>
        </w:rPr>
        <w:t>The difficulty with provisions of this kind is that they leave a very broad discretion for courts to decide whether to so act, and they lack predictable outcomes and the use of common, well-understood concepts and elements required to establish a clear basis for recognition and the granting of ancillary relief to support insolvency practitioners involved in the administration of complex cross-border restructuring and insolvency proceedings. Even in cases where the legislation casts the provision of aid as a mandatory obligation, it does not prescribe the form of relief or the range of orders that may be made.</w:t>
      </w:r>
      <w:r w:rsidR="00684645">
        <w:rPr>
          <w:rStyle w:val="Funotenzeichen"/>
          <w:rFonts w:ascii="Arial" w:hAnsi="Arial" w:cs="Arial"/>
          <w:lang w:val="en-GB"/>
        </w:rPr>
        <w:footnoteReference w:id="18"/>
      </w:r>
    </w:p>
    <w:p w:rsidR="00530883" w:rsidRPr="00150CCA" w:rsidRDefault="00530883" w:rsidP="00150CCA">
      <w:pPr>
        <w:spacing w:line="360" w:lineRule="auto"/>
        <w:jc w:val="both"/>
        <w:rPr>
          <w:rFonts w:ascii="Arial" w:hAnsi="Arial" w:cs="Arial"/>
          <w:lang w:val="en-GB"/>
        </w:rPr>
      </w:pPr>
    </w:p>
    <w:p w:rsidR="00150CCA" w:rsidRDefault="00150CCA" w:rsidP="00150CCA">
      <w:pPr>
        <w:spacing w:line="360" w:lineRule="auto"/>
        <w:jc w:val="both"/>
        <w:rPr>
          <w:rFonts w:ascii="Arial" w:hAnsi="Arial" w:cs="Arial"/>
        </w:rPr>
      </w:pPr>
      <w:r w:rsidRPr="00150CCA">
        <w:rPr>
          <w:rFonts w:ascii="Arial" w:hAnsi="Arial" w:cs="Arial"/>
          <w:lang w:val="en-GB"/>
        </w:rPr>
        <w:t>MLCBI sets out an approach to recognition and cooperation based on clearly defined and familiar concepts. It adopts a modified universalist system, seeking to achieve the key elements of access, recognition, assistance (or relief) and cooperation.</w:t>
      </w:r>
      <w:r w:rsidR="00E966B9">
        <w:rPr>
          <w:rStyle w:val="Funotenzeichen"/>
          <w:rFonts w:ascii="Arial" w:hAnsi="Arial" w:cs="Arial"/>
          <w:lang w:val="en-GB"/>
        </w:rPr>
        <w:footnoteReference w:id="19"/>
      </w:r>
      <w:r w:rsidRPr="00150CCA">
        <w:rPr>
          <w:rFonts w:ascii="Arial" w:hAnsi="Arial" w:cs="Arial"/>
          <w:lang w:val="en-GB"/>
        </w:rPr>
        <w:t xml:space="preserve"> </w:t>
      </w:r>
      <w:r w:rsidRPr="00150CCA">
        <w:rPr>
          <w:rFonts w:ascii="Arial" w:hAnsi="Arial" w:cs="Arial"/>
        </w:rPr>
        <w:t xml:space="preserve">This </w:t>
      </w:r>
      <w:proofErr w:type="spellStart"/>
      <w:r w:rsidRPr="00150CCA">
        <w:rPr>
          <w:rFonts w:ascii="Arial" w:hAnsi="Arial" w:cs="Arial"/>
        </w:rPr>
        <w:t>essentially</w:t>
      </w:r>
      <w:proofErr w:type="spellEnd"/>
      <w:r w:rsidRPr="00150CCA">
        <w:rPr>
          <w:rFonts w:ascii="Arial" w:hAnsi="Arial" w:cs="Arial"/>
        </w:rPr>
        <w:t xml:space="preserve"> </w:t>
      </w:r>
      <w:proofErr w:type="spellStart"/>
      <w:r w:rsidRPr="00150CCA">
        <w:rPr>
          <w:rFonts w:ascii="Arial" w:hAnsi="Arial" w:cs="Arial"/>
        </w:rPr>
        <w:t>provides</w:t>
      </w:r>
      <w:proofErr w:type="spellEnd"/>
      <w:r w:rsidRPr="00150CCA">
        <w:rPr>
          <w:rFonts w:ascii="Arial" w:hAnsi="Arial" w:cs="Arial"/>
        </w:rPr>
        <w:t xml:space="preserve"> </w:t>
      </w:r>
      <w:proofErr w:type="spellStart"/>
      <w:r w:rsidRPr="00150CCA">
        <w:rPr>
          <w:rFonts w:ascii="Arial" w:hAnsi="Arial" w:cs="Arial"/>
        </w:rPr>
        <w:t>for</w:t>
      </w:r>
      <w:proofErr w:type="spellEnd"/>
      <w:r w:rsidRPr="00150CCA">
        <w:rPr>
          <w:rFonts w:ascii="Arial" w:hAnsi="Arial" w:cs="Arial"/>
        </w:rPr>
        <w:t>:</w:t>
      </w:r>
    </w:p>
    <w:p w:rsidR="008A1F12" w:rsidRPr="00150CCA" w:rsidRDefault="008A1F12" w:rsidP="00150CCA">
      <w:pPr>
        <w:spacing w:line="360" w:lineRule="auto"/>
        <w:jc w:val="both"/>
        <w:rPr>
          <w:rFonts w:ascii="Arial" w:hAnsi="Arial" w:cs="Arial"/>
        </w:rPr>
      </w:pPr>
    </w:p>
    <w:p w:rsidR="00150CCA" w:rsidRPr="00684645" w:rsidRDefault="00150CCA" w:rsidP="00684645">
      <w:pPr>
        <w:numPr>
          <w:ilvl w:val="0"/>
          <w:numId w:val="4"/>
        </w:numPr>
        <w:spacing w:line="360" w:lineRule="auto"/>
        <w:jc w:val="both"/>
        <w:rPr>
          <w:rFonts w:ascii="Arial" w:hAnsi="Arial" w:cs="Arial"/>
          <w:lang w:val="en-GB"/>
        </w:rPr>
      </w:pPr>
      <w:r w:rsidRPr="00150CCA">
        <w:rPr>
          <w:rFonts w:ascii="Arial" w:hAnsi="Arial" w:cs="Arial"/>
          <w:lang w:val="en-GB"/>
        </w:rPr>
        <w:t>the ability of a local insolvency practitioner to apply to courts of foreign jurisdictions to obtain recognition of an insolvency process being undertaken in the local jurisdiction;</w:t>
      </w:r>
      <w:r w:rsidR="00684645">
        <w:rPr>
          <w:rStyle w:val="Funotenzeichen"/>
          <w:rFonts w:ascii="Arial" w:hAnsi="Arial" w:cs="Arial"/>
          <w:lang w:val="en-GB"/>
        </w:rPr>
        <w:footnoteReference w:id="20"/>
      </w:r>
    </w:p>
    <w:p w:rsidR="00150CCA" w:rsidRPr="00684645" w:rsidRDefault="00150CCA" w:rsidP="00684645">
      <w:pPr>
        <w:numPr>
          <w:ilvl w:val="0"/>
          <w:numId w:val="4"/>
        </w:numPr>
        <w:spacing w:line="360" w:lineRule="auto"/>
        <w:jc w:val="both"/>
        <w:rPr>
          <w:rFonts w:ascii="Arial" w:hAnsi="Arial" w:cs="Arial"/>
          <w:lang w:val="en-GB"/>
        </w:rPr>
      </w:pPr>
      <w:r w:rsidRPr="00150CCA">
        <w:rPr>
          <w:rFonts w:ascii="Arial" w:hAnsi="Arial" w:cs="Arial"/>
          <w:lang w:val="en-GB"/>
        </w:rPr>
        <w:t>the grant of recognition if that insolvency process is either a ‘foreign main proceeding’ (in cases where an insolvency process is taking place in a State where the debtor has its ‘centre of main interests’) or a ‘foreign non-main proceeding’ (in cases where the insolvency process is taking place in a State where the debtor has an ‘establishment’);</w:t>
      </w:r>
      <w:r w:rsidR="00684645">
        <w:rPr>
          <w:rStyle w:val="Funotenzeichen"/>
          <w:rFonts w:ascii="Arial" w:hAnsi="Arial" w:cs="Arial"/>
          <w:lang w:val="en-GB"/>
        </w:rPr>
        <w:footnoteReference w:id="21"/>
      </w:r>
    </w:p>
    <w:p w:rsidR="00150CCA" w:rsidRPr="00684645" w:rsidRDefault="00150CCA" w:rsidP="00684645">
      <w:pPr>
        <w:numPr>
          <w:ilvl w:val="0"/>
          <w:numId w:val="4"/>
        </w:numPr>
        <w:spacing w:line="360" w:lineRule="auto"/>
        <w:jc w:val="both"/>
        <w:rPr>
          <w:rFonts w:ascii="Arial" w:hAnsi="Arial" w:cs="Arial"/>
          <w:lang w:val="en-GB"/>
        </w:rPr>
      </w:pPr>
      <w:r w:rsidRPr="00150CCA">
        <w:rPr>
          <w:rFonts w:ascii="Arial" w:hAnsi="Arial" w:cs="Arial"/>
          <w:lang w:val="en-GB"/>
        </w:rPr>
        <w:t>different consequences and entitlements to ancillary relief depending on the type of proceeding recognised (with a mandatory automatic stay on enforcement and execution and a suspension on the right to transfer, encumber or dispose of assets of the debtor only upon recognition as a foreign main proceeding);</w:t>
      </w:r>
      <w:r w:rsidR="00684645">
        <w:rPr>
          <w:rStyle w:val="Funotenzeichen"/>
          <w:rFonts w:ascii="Arial" w:hAnsi="Arial" w:cs="Arial"/>
          <w:lang w:val="en-GB"/>
        </w:rPr>
        <w:footnoteReference w:id="22"/>
      </w:r>
    </w:p>
    <w:p w:rsidR="00150CCA" w:rsidRPr="00684645" w:rsidRDefault="00150CCA" w:rsidP="00684645">
      <w:pPr>
        <w:numPr>
          <w:ilvl w:val="0"/>
          <w:numId w:val="4"/>
        </w:numPr>
        <w:spacing w:line="360" w:lineRule="auto"/>
        <w:jc w:val="both"/>
        <w:rPr>
          <w:rFonts w:ascii="Arial" w:hAnsi="Arial" w:cs="Arial"/>
          <w:lang w:val="en-GB"/>
        </w:rPr>
      </w:pPr>
      <w:r w:rsidRPr="00150CCA">
        <w:rPr>
          <w:rFonts w:ascii="Arial" w:hAnsi="Arial" w:cs="Arial"/>
          <w:lang w:val="en-GB"/>
        </w:rPr>
        <w:t>discretionary interim relief, including by way of an interim enforcement moratorium and a stay of execution orders pending the determination of an application for recognition;</w:t>
      </w:r>
      <w:r w:rsidR="00684645">
        <w:rPr>
          <w:rStyle w:val="Funotenzeichen"/>
          <w:rFonts w:ascii="Arial" w:hAnsi="Arial" w:cs="Arial"/>
          <w:lang w:val="en-GB"/>
        </w:rPr>
        <w:footnoteReference w:id="23"/>
      </w:r>
      <w:r w:rsidR="00684645">
        <w:rPr>
          <w:rFonts w:ascii="Arial" w:hAnsi="Arial" w:cs="Arial"/>
          <w:lang w:val="en-GB"/>
        </w:rPr>
        <w:t xml:space="preserve"> </w:t>
      </w:r>
      <w:r w:rsidRPr="00684645">
        <w:rPr>
          <w:rFonts w:ascii="Arial" w:hAnsi="Arial" w:cs="Arial"/>
          <w:lang w:val="en-GB"/>
        </w:rPr>
        <w:t>and</w:t>
      </w:r>
    </w:p>
    <w:p w:rsidR="00684645" w:rsidRPr="00684645" w:rsidRDefault="00150CCA" w:rsidP="00150CCA">
      <w:pPr>
        <w:numPr>
          <w:ilvl w:val="0"/>
          <w:numId w:val="4"/>
        </w:numPr>
        <w:spacing w:line="360" w:lineRule="auto"/>
        <w:jc w:val="both"/>
        <w:rPr>
          <w:rFonts w:ascii="Arial" w:hAnsi="Arial" w:cs="Arial"/>
        </w:rPr>
      </w:pPr>
      <w:r w:rsidRPr="00150CCA">
        <w:rPr>
          <w:rFonts w:ascii="Arial" w:hAnsi="Arial" w:cs="Arial"/>
          <w:lang w:val="en-GB"/>
        </w:rPr>
        <w:t>a framework for cooperation and communication between courts.</w:t>
      </w:r>
      <w:r w:rsidR="00684645">
        <w:rPr>
          <w:rStyle w:val="Funotenzeichen"/>
          <w:rFonts w:ascii="Arial" w:hAnsi="Arial" w:cs="Arial"/>
          <w:lang w:val="en-GB"/>
        </w:rPr>
        <w:footnoteReference w:id="24"/>
      </w:r>
    </w:p>
    <w:p w:rsidR="00150CCA" w:rsidRDefault="00150CCA" w:rsidP="00150CCA">
      <w:pPr>
        <w:spacing w:line="360" w:lineRule="auto"/>
        <w:jc w:val="both"/>
        <w:rPr>
          <w:rFonts w:ascii="Arial" w:hAnsi="Arial" w:cs="Arial"/>
          <w:lang w:val="en-GB"/>
        </w:rPr>
      </w:pPr>
    </w:p>
    <w:p w:rsidR="00150CCA" w:rsidRDefault="00150CCA" w:rsidP="00150CCA">
      <w:pPr>
        <w:spacing w:line="360" w:lineRule="auto"/>
        <w:jc w:val="both"/>
        <w:rPr>
          <w:rFonts w:ascii="Arial" w:hAnsi="Arial" w:cs="Arial"/>
          <w:lang w:val="en-GB"/>
        </w:rPr>
      </w:pPr>
      <w:r w:rsidRPr="00150CCA">
        <w:rPr>
          <w:rFonts w:ascii="Arial" w:hAnsi="Arial" w:cs="Arial"/>
          <w:lang w:val="en-GB"/>
        </w:rPr>
        <w:t>As noted, this framework leads to greater efficiency and cost-savings that can increase the return for creditors through greater coordination in the collection and distribution of assets, the concentration of proceedings and the avoidance of duplicate insolvency proceedings and multiple court applications, as well as potentially inconsistent court orders.</w:t>
      </w:r>
    </w:p>
    <w:p w:rsidR="00ED75ED" w:rsidRPr="00ED75ED" w:rsidRDefault="00ED75ED" w:rsidP="00150CCA">
      <w:pPr>
        <w:spacing w:line="360" w:lineRule="auto"/>
        <w:jc w:val="both"/>
        <w:rPr>
          <w:rFonts w:ascii="Arial" w:hAnsi="Arial" w:cs="Arial"/>
          <w:lang w:val="en-GB"/>
        </w:rPr>
      </w:pPr>
    </w:p>
    <w:p w:rsidR="00ED75ED" w:rsidRDefault="00ED75ED" w:rsidP="00150CCA">
      <w:pPr>
        <w:spacing w:line="360" w:lineRule="auto"/>
        <w:jc w:val="both"/>
        <w:rPr>
          <w:rFonts w:ascii="Arial" w:hAnsi="Arial" w:cs="Arial"/>
          <w:bCs/>
          <w:color w:val="000000"/>
          <w:lang w:val="en-GB"/>
        </w:rPr>
      </w:pPr>
      <w:r w:rsidRPr="00ED75ED">
        <w:rPr>
          <w:rFonts w:ascii="Arial" w:hAnsi="Arial" w:cs="Arial"/>
          <w:bCs/>
          <w:color w:val="000000"/>
          <w:lang w:val="en-GB"/>
        </w:rPr>
        <w:t>T</w:t>
      </w:r>
      <w:r w:rsidRPr="00ED75ED">
        <w:rPr>
          <w:rFonts w:ascii="Arial" w:hAnsi="Arial" w:cs="Arial"/>
          <w:bCs/>
          <w:color w:val="000000"/>
          <w:lang w:val="en-GB"/>
        </w:rPr>
        <w:t>he challenges for finding the COMI</w:t>
      </w:r>
      <w:r w:rsidRPr="00ED75ED">
        <w:rPr>
          <w:lang w:val="en-GB"/>
        </w:rPr>
        <w:t xml:space="preserve"> </w:t>
      </w:r>
      <w:r w:rsidRPr="00ED75ED">
        <w:rPr>
          <w:rFonts w:ascii="Arial" w:hAnsi="Arial" w:cs="Arial"/>
          <w:bCs/>
          <w:color w:val="000000"/>
          <w:lang w:val="en-GB"/>
        </w:rPr>
        <w:t>are diverse and complex. Nonetheless, the existing jurisdictions provide a resilient opportunity to reorganise enterprise groups in a sustainable and long-term financial and performance-related manner.</w:t>
      </w:r>
      <w:r>
        <w:rPr>
          <w:rFonts w:ascii="Arial" w:hAnsi="Arial" w:cs="Arial"/>
          <w:bCs/>
          <w:color w:val="000000"/>
          <w:lang w:val="en-GB"/>
        </w:rPr>
        <w:t xml:space="preserve"> </w:t>
      </w:r>
    </w:p>
    <w:p w:rsidR="00ED75ED" w:rsidRDefault="00ED75ED" w:rsidP="00150CCA">
      <w:pPr>
        <w:spacing w:line="360" w:lineRule="auto"/>
        <w:jc w:val="both"/>
        <w:rPr>
          <w:rFonts w:ascii="Arial" w:hAnsi="Arial" w:cs="Arial"/>
          <w:lang w:val="en-GB"/>
        </w:rPr>
      </w:pPr>
    </w:p>
    <w:p w:rsidR="00ED75ED" w:rsidRDefault="00ED75ED" w:rsidP="00150CCA">
      <w:pPr>
        <w:spacing w:line="360" w:lineRule="auto"/>
        <w:jc w:val="both"/>
        <w:rPr>
          <w:rFonts w:ascii="Arial" w:hAnsi="Arial" w:cs="Arial"/>
          <w:lang w:val="en-GB"/>
        </w:rPr>
      </w:pPr>
    </w:p>
    <w:p w:rsidR="00ED75ED" w:rsidRPr="00ED75ED" w:rsidRDefault="00ED75ED" w:rsidP="00150CCA">
      <w:pPr>
        <w:spacing w:line="360" w:lineRule="auto"/>
        <w:jc w:val="both"/>
        <w:rPr>
          <w:rFonts w:ascii="Arial" w:hAnsi="Arial" w:cs="Arial"/>
          <w:lang w:val="en-GB"/>
        </w:rPr>
      </w:pPr>
    </w:p>
    <w:p w:rsidR="001F77D3" w:rsidRDefault="001F77D3" w:rsidP="00150CCA">
      <w:pPr>
        <w:spacing w:line="360" w:lineRule="auto"/>
        <w:jc w:val="both"/>
        <w:rPr>
          <w:rFonts w:ascii="Arial" w:hAnsi="Arial" w:cs="Arial"/>
          <w:lang w:val="en-GB"/>
        </w:rPr>
      </w:pPr>
    </w:p>
    <w:p w:rsidR="006354FC" w:rsidRPr="008A1F12" w:rsidRDefault="006354FC" w:rsidP="008A1F12">
      <w:pPr>
        <w:rPr>
          <w:rFonts w:ascii="Arial" w:hAnsi="Arial" w:cs="Arial"/>
          <w:b/>
        </w:rPr>
      </w:pPr>
      <w:r w:rsidRPr="008A1F12">
        <w:rPr>
          <w:rFonts w:ascii="Arial" w:hAnsi="Arial" w:cs="Arial"/>
          <w:b/>
        </w:rPr>
        <w:t>V</w:t>
      </w:r>
      <w:r w:rsidR="008A1F12" w:rsidRPr="008A1F12">
        <w:rPr>
          <w:rFonts w:ascii="Arial" w:hAnsi="Arial" w:cs="Arial"/>
          <w:b/>
        </w:rPr>
        <w:t xml:space="preserve">I. </w:t>
      </w:r>
      <w:r w:rsidRPr="008A1F12">
        <w:rPr>
          <w:rFonts w:ascii="Arial" w:hAnsi="Arial" w:cs="Arial"/>
          <w:b/>
        </w:rPr>
        <w:t>Bibliograph</w:t>
      </w:r>
      <w:r w:rsidR="008A1F12" w:rsidRPr="008A1F12">
        <w:rPr>
          <w:rFonts w:ascii="Arial" w:hAnsi="Arial" w:cs="Arial"/>
          <w:b/>
        </w:rPr>
        <w:t>ie</w:t>
      </w:r>
    </w:p>
    <w:p w:rsidR="001F77D3" w:rsidRPr="008A1F12" w:rsidRDefault="001F77D3" w:rsidP="00150CCA">
      <w:pPr>
        <w:spacing w:line="360" w:lineRule="auto"/>
        <w:jc w:val="both"/>
        <w:rPr>
          <w:rFonts w:ascii="Arial" w:hAnsi="Arial" w:cs="Arial"/>
        </w:rPr>
      </w:pPr>
    </w:p>
    <w:p w:rsidR="008A1F12" w:rsidRPr="008A1F12" w:rsidRDefault="008A1F12" w:rsidP="008A1F12">
      <w:pPr>
        <w:pStyle w:val="Listenabsatz"/>
        <w:numPr>
          <w:ilvl w:val="1"/>
          <w:numId w:val="17"/>
        </w:numPr>
        <w:spacing w:line="360" w:lineRule="auto"/>
        <w:ind w:left="567" w:hanging="567"/>
        <w:jc w:val="both"/>
        <w:rPr>
          <w:rFonts w:ascii="Arial" w:hAnsi="Arial" w:cs="Arial"/>
          <w:color w:val="000000" w:themeColor="text1"/>
          <w:sz w:val="16"/>
          <w:szCs w:val="16"/>
        </w:rPr>
      </w:pPr>
      <w:proofErr w:type="spellStart"/>
      <w:r w:rsidRPr="008A1F12">
        <w:rPr>
          <w:rFonts w:ascii="Arial" w:hAnsi="Arial" w:cs="Arial"/>
          <w:i/>
          <w:color w:val="000000" w:themeColor="text1"/>
          <w:sz w:val="16"/>
          <w:szCs w:val="16"/>
        </w:rPr>
        <w:t>Denkhaus</w:t>
      </w:r>
      <w:proofErr w:type="spellEnd"/>
      <w:r w:rsidRPr="008A1F12">
        <w:rPr>
          <w:rFonts w:ascii="Arial" w:hAnsi="Arial" w:cs="Arial"/>
          <w:i/>
          <w:color w:val="000000" w:themeColor="text1"/>
          <w:sz w:val="16"/>
          <w:szCs w:val="16"/>
        </w:rPr>
        <w:t>/Ziegenhagen/</w:t>
      </w:r>
      <w:proofErr w:type="spellStart"/>
      <w:r w:rsidRPr="008A1F12">
        <w:rPr>
          <w:rFonts w:ascii="Arial" w:hAnsi="Arial" w:cs="Arial"/>
          <w:i/>
          <w:color w:val="000000" w:themeColor="text1"/>
          <w:sz w:val="16"/>
          <w:szCs w:val="16"/>
        </w:rPr>
        <w:t>Demisch</w:t>
      </w:r>
      <w:proofErr w:type="spellEnd"/>
      <w:r w:rsidRPr="008A1F12">
        <w:rPr>
          <w:rFonts w:ascii="Arial" w:hAnsi="Arial" w:cs="Arial"/>
          <w:color w:val="000000" w:themeColor="text1"/>
          <w:sz w:val="16"/>
          <w:szCs w:val="16"/>
        </w:rPr>
        <w:t xml:space="preserve">, Group </w:t>
      </w:r>
      <w:proofErr w:type="spellStart"/>
      <w:r w:rsidRPr="008A1F12">
        <w:rPr>
          <w:rFonts w:ascii="Arial" w:hAnsi="Arial" w:cs="Arial"/>
          <w:color w:val="000000" w:themeColor="text1"/>
          <w:sz w:val="16"/>
          <w:szCs w:val="16"/>
        </w:rPr>
        <w:t>Insolvency</w:t>
      </w:r>
      <w:proofErr w:type="spellEnd"/>
      <w:r w:rsidRPr="008A1F12">
        <w:rPr>
          <w:rFonts w:ascii="Arial" w:hAnsi="Arial" w:cs="Arial"/>
          <w:color w:val="000000" w:themeColor="text1"/>
          <w:sz w:val="16"/>
          <w:szCs w:val="16"/>
        </w:rPr>
        <w:t xml:space="preserve"> Law (Konzerninsolvenzrecht)</w:t>
      </w:r>
      <w:r w:rsidRPr="008A1F12">
        <w:rPr>
          <w:rFonts w:ascii="Arial" w:hAnsi="Arial" w:cs="Arial"/>
          <w:color w:val="000000" w:themeColor="text1"/>
          <w:sz w:val="16"/>
          <w:szCs w:val="16"/>
        </w:rPr>
        <w:t>, 2019</w:t>
      </w:r>
      <w:r w:rsidR="00ED75ED">
        <w:rPr>
          <w:rFonts w:ascii="Arial" w:hAnsi="Arial" w:cs="Arial"/>
          <w:color w:val="000000" w:themeColor="text1"/>
          <w:sz w:val="16"/>
          <w:szCs w:val="16"/>
        </w:rPr>
        <w:t>;</w:t>
      </w:r>
    </w:p>
    <w:p w:rsidR="001F77D3" w:rsidRPr="008A1F12" w:rsidRDefault="008A1F12" w:rsidP="008A1F12">
      <w:pPr>
        <w:pStyle w:val="Listenabsatz"/>
        <w:numPr>
          <w:ilvl w:val="1"/>
          <w:numId w:val="17"/>
        </w:numPr>
        <w:spacing w:line="360" w:lineRule="auto"/>
        <w:ind w:left="567" w:hanging="567"/>
        <w:jc w:val="both"/>
        <w:rPr>
          <w:rFonts w:ascii="Arial" w:eastAsia="Times New Roman" w:hAnsi="Arial" w:cs="Arial"/>
          <w:color w:val="000000" w:themeColor="text1"/>
          <w:sz w:val="16"/>
          <w:szCs w:val="16"/>
        </w:rPr>
      </w:pPr>
      <w:proofErr w:type="spellStart"/>
      <w:r w:rsidRPr="008A1F12">
        <w:rPr>
          <w:rFonts w:ascii="Arial" w:eastAsia="Times New Roman" w:hAnsi="Arial" w:cs="Arial"/>
          <w:i/>
          <w:color w:val="000000" w:themeColor="text1"/>
          <w:sz w:val="16"/>
          <w:szCs w:val="16"/>
        </w:rPr>
        <w:t>Denkhaus</w:t>
      </w:r>
      <w:proofErr w:type="spellEnd"/>
      <w:r w:rsidRPr="008A1F12">
        <w:rPr>
          <w:rFonts w:ascii="Arial" w:eastAsia="Times New Roman" w:hAnsi="Arial" w:cs="Arial"/>
          <w:i/>
          <w:color w:val="000000" w:themeColor="text1"/>
          <w:sz w:val="16"/>
          <w:szCs w:val="16"/>
        </w:rPr>
        <w:t>/Harbeck</w:t>
      </w:r>
      <w:r w:rsidRPr="008A1F12">
        <w:rPr>
          <w:rFonts w:ascii="Arial" w:eastAsia="Times New Roman" w:hAnsi="Arial" w:cs="Arial"/>
          <w:color w:val="000000" w:themeColor="text1"/>
          <w:sz w:val="16"/>
          <w:szCs w:val="16"/>
        </w:rPr>
        <w:t xml:space="preserve">, </w:t>
      </w:r>
      <w:proofErr w:type="spellStart"/>
      <w:r w:rsidRPr="008A1F12">
        <w:rPr>
          <w:rFonts w:ascii="Arial" w:eastAsia="Times New Roman" w:hAnsi="Arial" w:cs="Arial"/>
          <w:color w:val="000000" w:themeColor="text1"/>
          <w:sz w:val="16"/>
          <w:szCs w:val="16"/>
        </w:rPr>
        <w:t>Reformed</w:t>
      </w:r>
      <w:proofErr w:type="spellEnd"/>
      <w:r w:rsidRPr="008A1F12">
        <w:rPr>
          <w:rFonts w:ascii="Arial" w:eastAsia="Times New Roman" w:hAnsi="Arial" w:cs="Arial"/>
          <w:color w:val="000000" w:themeColor="text1"/>
          <w:sz w:val="16"/>
          <w:szCs w:val="16"/>
        </w:rPr>
        <w:t xml:space="preserve"> </w:t>
      </w:r>
      <w:proofErr w:type="spellStart"/>
      <w:r w:rsidRPr="008A1F12">
        <w:rPr>
          <w:rFonts w:ascii="Arial" w:eastAsia="Times New Roman" w:hAnsi="Arial" w:cs="Arial"/>
          <w:color w:val="000000" w:themeColor="text1"/>
          <w:sz w:val="16"/>
          <w:szCs w:val="16"/>
        </w:rPr>
        <w:t>EUInsVO</w:t>
      </w:r>
      <w:proofErr w:type="spellEnd"/>
      <w:r w:rsidRPr="008A1F12">
        <w:rPr>
          <w:rFonts w:ascii="Arial" w:eastAsia="Times New Roman" w:hAnsi="Arial" w:cs="Arial"/>
          <w:color w:val="000000" w:themeColor="text1"/>
          <w:sz w:val="16"/>
          <w:szCs w:val="16"/>
        </w:rPr>
        <w:t xml:space="preserve">, </w:t>
      </w:r>
      <w:proofErr w:type="spellStart"/>
      <w:r w:rsidRPr="008A1F12">
        <w:rPr>
          <w:rFonts w:ascii="Arial" w:eastAsia="Times New Roman" w:hAnsi="Arial" w:cs="Arial"/>
          <w:color w:val="000000" w:themeColor="text1"/>
          <w:sz w:val="16"/>
          <w:szCs w:val="16"/>
        </w:rPr>
        <w:t>ZInsO</w:t>
      </w:r>
      <w:proofErr w:type="spellEnd"/>
      <w:r w:rsidRPr="008A1F12">
        <w:rPr>
          <w:rFonts w:ascii="Arial" w:eastAsia="Times New Roman" w:hAnsi="Arial" w:cs="Arial"/>
          <w:color w:val="000000" w:themeColor="text1"/>
          <w:sz w:val="16"/>
          <w:szCs w:val="16"/>
        </w:rPr>
        <w:t xml:space="preserve"> 2018, </w:t>
      </w:r>
      <w:proofErr w:type="spellStart"/>
      <w:r w:rsidRPr="008A1F12">
        <w:rPr>
          <w:rFonts w:ascii="Arial" w:eastAsia="Times New Roman" w:hAnsi="Arial" w:cs="Arial"/>
          <w:color w:val="000000" w:themeColor="text1"/>
          <w:sz w:val="16"/>
          <w:szCs w:val="16"/>
        </w:rPr>
        <w:t>Pg</w:t>
      </w:r>
      <w:proofErr w:type="spellEnd"/>
      <w:r w:rsidRPr="008A1F12">
        <w:rPr>
          <w:rFonts w:ascii="Arial" w:eastAsia="Times New Roman" w:hAnsi="Arial" w:cs="Arial"/>
          <w:color w:val="000000" w:themeColor="text1"/>
          <w:sz w:val="16"/>
          <w:szCs w:val="16"/>
        </w:rPr>
        <w:t>. 949</w:t>
      </w:r>
      <w:r w:rsidRPr="008A1F12">
        <w:rPr>
          <w:rFonts w:ascii="Arial" w:eastAsia="Times New Roman" w:hAnsi="Arial" w:cs="Arial"/>
          <w:color w:val="000000" w:themeColor="text1"/>
          <w:sz w:val="16"/>
          <w:szCs w:val="16"/>
        </w:rPr>
        <w:t xml:space="preserve"> ff.</w:t>
      </w:r>
      <w:r w:rsidR="00ED75ED">
        <w:rPr>
          <w:rFonts w:ascii="Arial" w:eastAsia="Times New Roman" w:hAnsi="Arial" w:cs="Arial"/>
          <w:color w:val="000000" w:themeColor="text1"/>
          <w:sz w:val="16"/>
          <w:szCs w:val="16"/>
        </w:rPr>
        <w:t>;</w:t>
      </w:r>
    </w:p>
    <w:p w:rsidR="008A1F12" w:rsidRPr="008A1F12" w:rsidRDefault="008A1F12" w:rsidP="008A1F12">
      <w:pPr>
        <w:pStyle w:val="Listenabsatz"/>
        <w:numPr>
          <w:ilvl w:val="1"/>
          <w:numId w:val="17"/>
        </w:numPr>
        <w:spacing w:line="360" w:lineRule="auto"/>
        <w:ind w:left="567" w:hanging="567"/>
        <w:jc w:val="both"/>
        <w:rPr>
          <w:rFonts w:ascii="Arial" w:hAnsi="Arial" w:cs="Arial"/>
          <w:color w:val="000000" w:themeColor="text1"/>
          <w:sz w:val="16"/>
          <w:szCs w:val="16"/>
        </w:rPr>
      </w:pPr>
      <w:proofErr w:type="spellStart"/>
      <w:r w:rsidRPr="008A1F12">
        <w:rPr>
          <w:rFonts w:ascii="Arial" w:hAnsi="Arial" w:cs="Arial"/>
          <w:i/>
          <w:color w:val="000000" w:themeColor="text1"/>
          <w:sz w:val="16"/>
          <w:szCs w:val="16"/>
        </w:rPr>
        <w:t>Horstkotte</w:t>
      </w:r>
      <w:proofErr w:type="spellEnd"/>
      <w:r w:rsidRPr="008A1F12">
        <w:rPr>
          <w:rFonts w:ascii="Arial" w:hAnsi="Arial" w:cs="Arial"/>
          <w:i/>
          <w:color w:val="000000" w:themeColor="text1"/>
          <w:sz w:val="16"/>
          <w:szCs w:val="16"/>
        </w:rPr>
        <w:t>/Schade</w:t>
      </w:r>
      <w:r w:rsidRPr="008A1F12">
        <w:rPr>
          <w:rFonts w:ascii="Arial" w:hAnsi="Arial" w:cs="Arial"/>
          <w:color w:val="000000" w:themeColor="text1"/>
          <w:sz w:val="16"/>
          <w:szCs w:val="16"/>
        </w:rPr>
        <w:t xml:space="preserve">, The </w:t>
      </w:r>
      <w:proofErr w:type="spellStart"/>
      <w:r w:rsidRPr="008A1F12">
        <w:rPr>
          <w:rFonts w:ascii="Arial" w:hAnsi="Arial" w:cs="Arial"/>
          <w:color w:val="000000" w:themeColor="text1"/>
          <w:sz w:val="16"/>
          <w:szCs w:val="16"/>
        </w:rPr>
        <w:t>reformed</w:t>
      </w:r>
      <w:proofErr w:type="spellEnd"/>
      <w:r w:rsidRPr="008A1F12">
        <w:rPr>
          <w:rFonts w:ascii="Arial" w:hAnsi="Arial" w:cs="Arial"/>
          <w:color w:val="000000" w:themeColor="text1"/>
          <w:sz w:val="16"/>
          <w:szCs w:val="16"/>
        </w:rPr>
        <w:t xml:space="preserve"> </w:t>
      </w:r>
      <w:proofErr w:type="spellStart"/>
      <w:r w:rsidRPr="008A1F12">
        <w:rPr>
          <w:rFonts w:ascii="Arial" w:hAnsi="Arial" w:cs="Arial"/>
          <w:color w:val="000000" w:themeColor="text1"/>
          <w:sz w:val="16"/>
          <w:szCs w:val="16"/>
        </w:rPr>
        <w:t>EUInsVO</w:t>
      </w:r>
      <w:proofErr w:type="spellEnd"/>
      <w:r w:rsidRPr="008A1F12">
        <w:rPr>
          <w:rFonts w:ascii="Arial" w:hAnsi="Arial" w:cs="Arial"/>
          <w:color w:val="000000" w:themeColor="text1"/>
          <w:sz w:val="16"/>
          <w:szCs w:val="16"/>
        </w:rPr>
        <w:t xml:space="preserve"> and </w:t>
      </w:r>
      <w:proofErr w:type="spellStart"/>
      <w:r w:rsidRPr="008A1F12">
        <w:rPr>
          <w:rFonts w:ascii="Arial" w:hAnsi="Arial" w:cs="Arial"/>
          <w:color w:val="000000" w:themeColor="text1"/>
          <w:sz w:val="16"/>
          <w:szCs w:val="16"/>
        </w:rPr>
        <w:t>the</w:t>
      </w:r>
      <w:proofErr w:type="spellEnd"/>
      <w:r w:rsidRPr="008A1F12">
        <w:rPr>
          <w:rFonts w:ascii="Arial" w:hAnsi="Arial" w:cs="Arial"/>
          <w:color w:val="000000" w:themeColor="text1"/>
          <w:sz w:val="16"/>
          <w:szCs w:val="16"/>
        </w:rPr>
        <w:t xml:space="preserve"> </w:t>
      </w:r>
      <w:proofErr w:type="spellStart"/>
      <w:r w:rsidRPr="008A1F12">
        <w:rPr>
          <w:rFonts w:ascii="Arial" w:hAnsi="Arial" w:cs="Arial"/>
          <w:color w:val="000000" w:themeColor="text1"/>
          <w:sz w:val="16"/>
          <w:szCs w:val="16"/>
        </w:rPr>
        <w:t>scope</w:t>
      </w:r>
      <w:proofErr w:type="spellEnd"/>
      <w:r w:rsidRPr="008A1F12">
        <w:rPr>
          <w:rFonts w:ascii="Arial" w:hAnsi="Arial" w:cs="Arial"/>
          <w:color w:val="000000" w:themeColor="text1"/>
          <w:sz w:val="16"/>
          <w:szCs w:val="16"/>
        </w:rPr>
        <w:t xml:space="preserve"> </w:t>
      </w:r>
      <w:proofErr w:type="spellStart"/>
      <w:r w:rsidRPr="008A1F12">
        <w:rPr>
          <w:rFonts w:ascii="Arial" w:hAnsi="Arial" w:cs="Arial"/>
          <w:color w:val="000000" w:themeColor="text1"/>
          <w:sz w:val="16"/>
          <w:szCs w:val="16"/>
        </w:rPr>
        <w:t>of</w:t>
      </w:r>
      <w:proofErr w:type="spellEnd"/>
      <w:r w:rsidRPr="008A1F12">
        <w:rPr>
          <w:rFonts w:ascii="Arial" w:hAnsi="Arial" w:cs="Arial"/>
          <w:color w:val="000000" w:themeColor="text1"/>
          <w:sz w:val="16"/>
          <w:szCs w:val="16"/>
        </w:rPr>
        <w:t xml:space="preserve"> </w:t>
      </w:r>
      <w:proofErr w:type="spellStart"/>
      <w:r w:rsidRPr="008A1F12">
        <w:rPr>
          <w:rFonts w:ascii="Arial" w:hAnsi="Arial" w:cs="Arial"/>
          <w:color w:val="000000" w:themeColor="text1"/>
          <w:sz w:val="16"/>
          <w:szCs w:val="16"/>
        </w:rPr>
        <w:t>application</w:t>
      </w:r>
      <w:proofErr w:type="spellEnd"/>
      <w:r w:rsidRPr="008A1F12">
        <w:rPr>
          <w:rFonts w:ascii="Arial" w:hAnsi="Arial" w:cs="Arial"/>
          <w:color w:val="000000" w:themeColor="text1"/>
          <w:sz w:val="16"/>
          <w:szCs w:val="16"/>
        </w:rPr>
        <w:t xml:space="preserve"> </w:t>
      </w:r>
      <w:proofErr w:type="spellStart"/>
      <w:r w:rsidRPr="008A1F12">
        <w:rPr>
          <w:rFonts w:ascii="Arial" w:hAnsi="Arial" w:cs="Arial"/>
          <w:color w:val="000000" w:themeColor="text1"/>
          <w:sz w:val="16"/>
          <w:szCs w:val="16"/>
        </w:rPr>
        <w:t>of</w:t>
      </w:r>
      <w:proofErr w:type="spellEnd"/>
      <w:r w:rsidRPr="008A1F12">
        <w:rPr>
          <w:rFonts w:ascii="Arial" w:hAnsi="Arial" w:cs="Arial"/>
          <w:color w:val="000000" w:themeColor="text1"/>
          <w:sz w:val="16"/>
          <w:szCs w:val="16"/>
        </w:rPr>
        <w:t xml:space="preserve"> </w:t>
      </w:r>
      <w:proofErr w:type="spellStart"/>
      <w:r w:rsidRPr="008A1F12">
        <w:rPr>
          <w:rFonts w:ascii="Arial" w:hAnsi="Arial" w:cs="Arial"/>
          <w:color w:val="000000" w:themeColor="text1"/>
          <w:sz w:val="16"/>
          <w:szCs w:val="16"/>
        </w:rPr>
        <w:t>the</w:t>
      </w:r>
      <w:proofErr w:type="spellEnd"/>
      <w:r w:rsidRPr="008A1F12">
        <w:rPr>
          <w:rFonts w:ascii="Arial" w:hAnsi="Arial" w:cs="Arial"/>
          <w:color w:val="000000" w:themeColor="text1"/>
          <w:sz w:val="16"/>
          <w:szCs w:val="16"/>
        </w:rPr>
        <w:t xml:space="preserve"> COMI (zur reformierten </w:t>
      </w:r>
      <w:proofErr w:type="spellStart"/>
      <w:r w:rsidRPr="008A1F12">
        <w:rPr>
          <w:rFonts w:ascii="Arial" w:hAnsi="Arial" w:cs="Arial"/>
          <w:color w:val="000000" w:themeColor="text1"/>
          <w:sz w:val="16"/>
          <w:szCs w:val="16"/>
        </w:rPr>
        <w:t>EUInsVO</w:t>
      </w:r>
      <w:proofErr w:type="spellEnd"/>
      <w:r w:rsidRPr="008A1F12">
        <w:rPr>
          <w:rFonts w:ascii="Arial" w:hAnsi="Arial" w:cs="Arial"/>
          <w:color w:val="000000" w:themeColor="text1"/>
          <w:sz w:val="16"/>
          <w:szCs w:val="16"/>
        </w:rPr>
        <w:t xml:space="preserve"> und dem Anwendungsbereich des COMI) unter </w:t>
      </w:r>
      <w:hyperlink r:id="rId7" w:history="1">
        <w:r w:rsidRPr="008A1F12">
          <w:rPr>
            <w:rStyle w:val="Hyperlink"/>
            <w:rFonts w:ascii="Arial" w:hAnsi="Arial" w:cs="Arial"/>
            <w:color w:val="000000" w:themeColor="text1"/>
            <w:sz w:val="16"/>
            <w:szCs w:val="16"/>
          </w:rPr>
          <w:t>https://www.insolvenzverein.de/wp-content/uploads/2020/02/180704-SchadeHorstkotte.pdf</w:t>
        </w:r>
      </w:hyperlink>
      <w:r w:rsidR="00ED75ED">
        <w:rPr>
          <w:rFonts w:ascii="Arial" w:hAnsi="Arial" w:cs="Arial"/>
          <w:color w:val="000000" w:themeColor="text1"/>
          <w:sz w:val="16"/>
          <w:szCs w:val="16"/>
        </w:rPr>
        <w:t>;</w:t>
      </w:r>
    </w:p>
    <w:p w:rsidR="008A1F12" w:rsidRPr="008A1F12" w:rsidRDefault="008A1F12" w:rsidP="008A1F12">
      <w:pPr>
        <w:pStyle w:val="Listenabsatz"/>
        <w:numPr>
          <w:ilvl w:val="1"/>
          <w:numId w:val="17"/>
        </w:numPr>
        <w:spacing w:line="360" w:lineRule="auto"/>
        <w:ind w:left="567" w:hanging="567"/>
        <w:jc w:val="both"/>
        <w:rPr>
          <w:rStyle w:val="Hyperlink"/>
          <w:rFonts w:ascii="Arial" w:eastAsia="Times New Roman" w:hAnsi="Arial" w:cs="Arial"/>
          <w:color w:val="000000" w:themeColor="text1"/>
          <w:sz w:val="16"/>
          <w:szCs w:val="16"/>
        </w:rPr>
      </w:pPr>
      <w:hyperlink r:id="rId8" w:history="1">
        <w:r w:rsidRPr="008A1F12">
          <w:rPr>
            <w:rStyle w:val="Hyperlink"/>
            <w:rFonts w:ascii="Arial" w:eastAsia="Times New Roman" w:hAnsi="Arial" w:cs="Arial"/>
            <w:color w:val="000000" w:themeColor="text1"/>
            <w:sz w:val="16"/>
            <w:szCs w:val="16"/>
          </w:rPr>
          <w:t>https://fastercapital.com/de/inhalt/Die-Rolle-des-UNCITRAL-Modellgesetzes-in-Faellen-nach-Kapitel-15.html</w:t>
        </w:r>
      </w:hyperlink>
      <w:r w:rsidR="00ED75ED" w:rsidRPr="00ED75ED">
        <w:rPr>
          <w:rStyle w:val="Hyperlink"/>
          <w:rFonts w:ascii="Arial" w:eastAsia="Times New Roman" w:hAnsi="Arial" w:cs="Arial"/>
          <w:color w:val="000000" w:themeColor="text1"/>
          <w:sz w:val="16"/>
          <w:szCs w:val="16"/>
        </w:rPr>
        <w:t>;</w:t>
      </w:r>
    </w:p>
    <w:p w:rsidR="008A1F12" w:rsidRPr="007A7D6A" w:rsidRDefault="008A1F12" w:rsidP="008A1F12">
      <w:pPr>
        <w:pStyle w:val="Listenabsatz"/>
        <w:numPr>
          <w:ilvl w:val="1"/>
          <w:numId w:val="17"/>
        </w:numPr>
        <w:spacing w:line="360" w:lineRule="auto"/>
        <w:ind w:left="567" w:hanging="567"/>
        <w:jc w:val="both"/>
        <w:rPr>
          <w:rFonts w:ascii="Arial" w:eastAsia="Times New Roman" w:hAnsi="Arial" w:cs="Arial"/>
          <w:color w:val="000000" w:themeColor="text1"/>
          <w:sz w:val="16"/>
          <w:szCs w:val="16"/>
          <w:u w:val="single"/>
          <w:lang w:val="en-GB"/>
        </w:rPr>
      </w:pPr>
      <w:r w:rsidRPr="008A1F12">
        <w:rPr>
          <w:rFonts w:ascii="Arial" w:hAnsi="Arial" w:cs="Arial"/>
          <w:i/>
          <w:color w:val="000000" w:themeColor="text1"/>
          <w:sz w:val="16"/>
          <w:szCs w:val="16"/>
          <w:lang w:val="en-GB"/>
        </w:rPr>
        <w:t>Holzer</w:t>
      </w:r>
      <w:r w:rsidRPr="008A1F12">
        <w:rPr>
          <w:rFonts w:ascii="Arial" w:hAnsi="Arial" w:cs="Arial"/>
          <w:color w:val="000000" w:themeColor="text1"/>
          <w:sz w:val="16"/>
          <w:szCs w:val="16"/>
          <w:lang w:val="en-GB"/>
        </w:rPr>
        <w:t xml:space="preserve"> in </w:t>
      </w:r>
      <w:r w:rsidRPr="008A1F12">
        <w:rPr>
          <w:rFonts w:ascii="Arial" w:eastAsia="Times New Roman" w:hAnsi="Arial" w:cs="Arial"/>
          <w:color w:val="000000" w:themeColor="text1"/>
          <w:sz w:val="16"/>
          <w:szCs w:val="16"/>
          <w:lang w:val="en-GB"/>
        </w:rPr>
        <w:t>NZI 2019, Pg. 777 The UNCITRAL Model Law on Enterprise Group Insolvency</w:t>
      </w:r>
      <w:r w:rsidR="00ED75ED">
        <w:rPr>
          <w:rFonts w:ascii="Arial" w:eastAsia="Times New Roman" w:hAnsi="Arial" w:cs="Arial"/>
          <w:color w:val="000000" w:themeColor="text1"/>
          <w:sz w:val="16"/>
          <w:szCs w:val="16"/>
          <w:lang w:val="en-GB"/>
        </w:rPr>
        <w:t>;</w:t>
      </w:r>
    </w:p>
    <w:p w:rsidR="007A7D6A" w:rsidRPr="008A1F12" w:rsidRDefault="00E966B9" w:rsidP="00E966B9">
      <w:pPr>
        <w:pStyle w:val="Listenabsatz"/>
        <w:numPr>
          <w:ilvl w:val="1"/>
          <w:numId w:val="17"/>
        </w:numPr>
        <w:spacing w:line="360" w:lineRule="auto"/>
        <w:ind w:left="567" w:hanging="567"/>
        <w:rPr>
          <w:rStyle w:val="Hyperlink"/>
          <w:rFonts w:ascii="Arial" w:eastAsia="Times New Roman" w:hAnsi="Arial" w:cs="Arial"/>
          <w:color w:val="000000" w:themeColor="text1"/>
          <w:sz w:val="16"/>
          <w:szCs w:val="16"/>
          <w:lang w:val="en-GB"/>
        </w:rPr>
      </w:pPr>
      <w:r w:rsidRPr="00ED75ED">
        <w:rPr>
          <w:rStyle w:val="Hyperlink"/>
          <w:rFonts w:ascii="Arial" w:eastAsia="Times New Roman" w:hAnsi="Arial" w:cs="Arial"/>
          <w:i/>
          <w:color w:val="000000" w:themeColor="text1"/>
          <w:sz w:val="16"/>
          <w:szCs w:val="16"/>
          <w:u w:val="none"/>
          <w:lang w:val="en-GB"/>
        </w:rPr>
        <w:t>Scott Atkins</w:t>
      </w:r>
      <w:r w:rsidRPr="00E966B9">
        <w:rPr>
          <w:rStyle w:val="Hyperlink"/>
          <w:rFonts w:ascii="Arial" w:eastAsia="Times New Roman" w:hAnsi="Arial" w:cs="Arial"/>
          <w:color w:val="000000" w:themeColor="text1"/>
          <w:sz w:val="16"/>
          <w:szCs w:val="16"/>
          <w:u w:val="none"/>
          <w:lang w:val="en-GB"/>
        </w:rPr>
        <w:t>, The Model Law on Cross-Border Insolvency turns 25</w:t>
      </w:r>
      <w:r>
        <w:rPr>
          <w:rStyle w:val="Hyperlink"/>
          <w:rFonts w:ascii="Arial" w:eastAsia="Times New Roman" w:hAnsi="Arial" w:cs="Arial"/>
          <w:color w:val="000000" w:themeColor="text1"/>
          <w:sz w:val="16"/>
          <w:szCs w:val="16"/>
          <w:u w:val="none"/>
          <w:lang w:val="en-GB"/>
        </w:rPr>
        <w:t xml:space="preserve"> (May 2022)</w:t>
      </w:r>
      <w:r w:rsidRPr="00E966B9">
        <w:rPr>
          <w:rStyle w:val="Hyperlink"/>
          <w:rFonts w:ascii="Arial" w:eastAsia="Times New Roman" w:hAnsi="Arial" w:cs="Arial"/>
          <w:color w:val="000000" w:themeColor="text1"/>
          <w:sz w:val="16"/>
          <w:szCs w:val="16"/>
          <w:u w:val="none"/>
          <w:lang w:val="en-GB"/>
        </w:rPr>
        <w:t>;</w:t>
      </w:r>
      <w:r>
        <w:rPr>
          <w:rStyle w:val="Hyperlink"/>
          <w:rFonts w:ascii="Arial" w:eastAsia="Times New Roman" w:hAnsi="Arial" w:cs="Arial"/>
          <w:color w:val="000000" w:themeColor="text1"/>
          <w:sz w:val="16"/>
          <w:szCs w:val="16"/>
          <w:lang w:val="en-GB"/>
        </w:rPr>
        <w:t xml:space="preserve"> </w:t>
      </w:r>
      <w:r w:rsidR="007A7D6A" w:rsidRPr="007A7D6A">
        <w:rPr>
          <w:rStyle w:val="Hyperlink"/>
          <w:rFonts w:ascii="Arial" w:eastAsia="Times New Roman" w:hAnsi="Arial" w:cs="Arial"/>
          <w:color w:val="000000" w:themeColor="text1"/>
          <w:sz w:val="16"/>
          <w:szCs w:val="16"/>
          <w:lang w:val="en-GB"/>
        </w:rPr>
        <w:t>https://www.nortonrosefulbright.com/en/knowledge/publications/87d4ce21/the-model-law-on-cross-border-insolvency-turns-25</w:t>
      </w:r>
    </w:p>
    <w:p w:rsidR="008A1F12" w:rsidRPr="008A1F12" w:rsidRDefault="008A1F12" w:rsidP="00150CCA">
      <w:pPr>
        <w:spacing w:line="360" w:lineRule="auto"/>
        <w:jc w:val="both"/>
        <w:rPr>
          <w:rFonts w:ascii="Arial" w:hAnsi="Arial" w:cs="Arial"/>
          <w:lang w:val="en-GB"/>
        </w:rPr>
      </w:pPr>
    </w:p>
    <w:p w:rsidR="001F77D3" w:rsidRPr="008A1F12" w:rsidRDefault="00684645" w:rsidP="00684645">
      <w:pPr>
        <w:shd w:val="clear" w:color="auto" w:fill="FFFFFF"/>
        <w:rPr>
          <w:rFonts w:ascii="Arial" w:hAnsi="Arial" w:cs="Arial"/>
          <w:lang w:val="en-GB"/>
        </w:rPr>
      </w:pPr>
      <w:r w:rsidRPr="008A1F12">
        <w:rPr>
          <w:rFonts w:ascii="Arial" w:hAnsi="Arial" w:cs="Arial"/>
          <w:lang w:val="en-GB"/>
        </w:rPr>
        <w:t xml:space="preserve"> </w:t>
      </w:r>
    </w:p>
    <w:p w:rsidR="001F77D3" w:rsidRPr="008A1F12" w:rsidRDefault="001F77D3" w:rsidP="00150CCA">
      <w:pPr>
        <w:spacing w:line="360" w:lineRule="auto"/>
        <w:jc w:val="both"/>
        <w:rPr>
          <w:rFonts w:ascii="Arial" w:hAnsi="Arial" w:cs="Arial"/>
          <w:lang w:val="en-GB"/>
        </w:rPr>
      </w:pPr>
    </w:p>
    <w:p w:rsidR="001F77D3" w:rsidRPr="008A1F12" w:rsidRDefault="001F77D3" w:rsidP="00150CCA">
      <w:pPr>
        <w:spacing w:line="360" w:lineRule="auto"/>
        <w:jc w:val="both"/>
        <w:rPr>
          <w:rFonts w:ascii="Arial" w:hAnsi="Arial" w:cs="Arial"/>
          <w:lang w:val="en-GB"/>
        </w:rPr>
      </w:pPr>
    </w:p>
    <w:p w:rsidR="001F77D3" w:rsidRPr="008A1F12" w:rsidRDefault="001F77D3" w:rsidP="00150CCA">
      <w:pPr>
        <w:spacing w:line="360" w:lineRule="auto"/>
        <w:jc w:val="both"/>
        <w:rPr>
          <w:rFonts w:ascii="Arial" w:hAnsi="Arial" w:cs="Arial"/>
          <w:lang w:val="en-GB"/>
        </w:rPr>
      </w:pPr>
    </w:p>
    <w:p w:rsidR="001F77D3" w:rsidRPr="008A1F12" w:rsidRDefault="001F77D3" w:rsidP="00150CCA">
      <w:pPr>
        <w:spacing w:line="360" w:lineRule="auto"/>
        <w:jc w:val="both"/>
        <w:rPr>
          <w:rFonts w:ascii="Arial" w:hAnsi="Arial" w:cs="Arial"/>
          <w:lang w:val="en-GB"/>
        </w:rPr>
      </w:pPr>
    </w:p>
    <w:p w:rsidR="001F77D3" w:rsidRPr="008A1F12" w:rsidRDefault="001F77D3" w:rsidP="00150CCA">
      <w:pPr>
        <w:spacing w:line="360" w:lineRule="auto"/>
        <w:jc w:val="both"/>
        <w:rPr>
          <w:rFonts w:ascii="Arial" w:hAnsi="Arial" w:cs="Arial"/>
          <w:lang w:val="en-GB"/>
        </w:rPr>
      </w:pPr>
    </w:p>
    <w:p w:rsidR="001F77D3" w:rsidRPr="008A1F12" w:rsidRDefault="001F77D3" w:rsidP="00150CCA">
      <w:pPr>
        <w:spacing w:line="360" w:lineRule="auto"/>
        <w:jc w:val="both"/>
        <w:rPr>
          <w:rFonts w:ascii="Arial" w:hAnsi="Arial" w:cs="Arial"/>
          <w:lang w:val="en-GB"/>
        </w:rPr>
      </w:pPr>
    </w:p>
    <w:p w:rsidR="001F77D3" w:rsidRPr="008A1F12" w:rsidRDefault="001F77D3" w:rsidP="00150CCA">
      <w:pPr>
        <w:spacing w:line="360" w:lineRule="auto"/>
        <w:jc w:val="both"/>
        <w:rPr>
          <w:rFonts w:ascii="Arial" w:hAnsi="Arial" w:cs="Arial"/>
          <w:lang w:val="en-GB"/>
        </w:rPr>
      </w:pPr>
    </w:p>
    <w:p w:rsidR="001F77D3" w:rsidRPr="008A1F12" w:rsidRDefault="001F77D3" w:rsidP="00150CCA">
      <w:pPr>
        <w:spacing w:line="360" w:lineRule="auto"/>
        <w:jc w:val="both"/>
        <w:rPr>
          <w:rFonts w:ascii="Arial" w:hAnsi="Arial" w:cs="Arial"/>
          <w:lang w:val="en-GB"/>
        </w:rPr>
      </w:pPr>
    </w:p>
    <w:p w:rsidR="001F77D3" w:rsidRPr="008A1F12" w:rsidRDefault="001F77D3" w:rsidP="00150CCA">
      <w:pPr>
        <w:spacing w:line="360" w:lineRule="auto"/>
        <w:jc w:val="both"/>
        <w:rPr>
          <w:rFonts w:ascii="Arial" w:hAnsi="Arial" w:cs="Arial"/>
          <w:lang w:val="en-GB"/>
        </w:rPr>
      </w:pPr>
    </w:p>
    <w:p w:rsidR="001F77D3" w:rsidRPr="008A1F12" w:rsidRDefault="001F77D3" w:rsidP="00150CCA">
      <w:pPr>
        <w:spacing w:line="360" w:lineRule="auto"/>
        <w:jc w:val="both"/>
        <w:rPr>
          <w:rFonts w:ascii="Arial" w:hAnsi="Arial" w:cs="Arial"/>
          <w:lang w:val="en-GB"/>
        </w:rPr>
      </w:pPr>
    </w:p>
    <w:p w:rsidR="001F77D3" w:rsidRPr="008A1F12" w:rsidRDefault="001F77D3" w:rsidP="00150CCA">
      <w:pPr>
        <w:spacing w:line="360" w:lineRule="auto"/>
        <w:jc w:val="both"/>
        <w:rPr>
          <w:rFonts w:ascii="Arial" w:hAnsi="Arial" w:cs="Arial"/>
          <w:lang w:val="en-GB"/>
        </w:rPr>
      </w:pPr>
    </w:p>
    <w:p w:rsidR="001F77D3" w:rsidRPr="008A1F12" w:rsidRDefault="001F77D3" w:rsidP="00150CCA">
      <w:pPr>
        <w:spacing w:line="360" w:lineRule="auto"/>
        <w:jc w:val="both"/>
        <w:rPr>
          <w:rFonts w:ascii="Arial" w:hAnsi="Arial" w:cs="Arial"/>
          <w:lang w:val="en-GB"/>
        </w:rPr>
      </w:pPr>
    </w:p>
    <w:p w:rsidR="001F77D3" w:rsidRPr="008A1F12" w:rsidRDefault="001F77D3" w:rsidP="00150CCA">
      <w:pPr>
        <w:spacing w:line="360" w:lineRule="auto"/>
        <w:jc w:val="both"/>
        <w:rPr>
          <w:rFonts w:ascii="Arial" w:hAnsi="Arial" w:cs="Arial"/>
          <w:lang w:val="en-GB"/>
        </w:rPr>
      </w:pPr>
    </w:p>
    <w:p w:rsidR="001F77D3" w:rsidRPr="008A1F12" w:rsidRDefault="001F77D3" w:rsidP="00150CCA">
      <w:pPr>
        <w:spacing w:line="360" w:lineRule="auto"/>
        <w:jc w:val="both"/>
        <w:rPr>
          <w:rFonts w:ascii="Arial" w:hAnsi="Arial" w:cs="Arial"/>
          <w:lang w:val="en-GB"/>
        </w:rPr>
      </w:pPr>
    </w:p>
    <w:p w:rsidR="00192760" w:rsidRPr="008A1F12" w:rsidRDefault="00192760" w:rsidP="00512491">
      <w:pPr>
        <w:rPr>
          <w:lang w:val="en-GB"/>
        </w:rPr>
      </w:pPr>
    </w:p>
    <w:sectPr w:rsidR="00192760" w:rsidRPr="008A1F12">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ABA" w:rsidRDefault="00541ABA" w:rsidP="0034044D">
      <w:r>
        <w:separator/>
      </w:r>
    </w:p>
  </w:endnote>
  <w:endnote w:type="continuationSeparator" w:id="0">
    <w:p w:rsidR="00541ABA" w:rsidRDefault="00541ABA" w:rsidP="0034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Next-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430103"/>
      <w:docPartObj>
        <w:docPartGallery w:val="Page Numbers (Bottom of Page)"/>
        <w:docPartUnique/>
      </w:docPartObj>
    </w:sdtPr>
    <w:sdtContent>
      <w:p w:rsidR="008A1F12" w:rsidRDefault="008A1F12">
        <w:pPr>
          <w:pStyle w:val="Fuzeile"/>
          <w:jc w:val="right"/>
        </w:pPr>
        <w:r>
          <w:fldChar w:fldCharType="begin"/>
        </w:r>
        <w:r>
          <w:instrText>PAGE   \* MERGEFORMAT</w:instrText>
        </w:r>
        <w:r>
          <w:fldChar w:fldCharType="separate"/>
        </w:r>
        <w:r>
          <w:t>2</w:t>
        </w:r>
        <w:r>
          <w:fldChar w:fldCharType="end"/>
        </w:r>
      </w:p>
    </w:sdtContent>
  </w:sdt>
  <w:p w:rsidR="008A1F12" w:rsidRDefault="008A1F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ABA" w:rsidRDefault="00541ABA" w:rsidP="0034044D">
      <w:r>
        <w:separator/>
      </w:r>
    </w:p>
  </w:footnote>
  <w:footnote w:type="continuationSeparator" w:id="0">
    <w:p w:rsidR="00541ABA" w:rsidRDefault="00541ABA" w:rsidP="0034044D">
      <w:r>
        <w:continuationSeparator/>
      </w:r>
    </w:p>
  </w:footnote>
  <w:footnote w:id="1">
    <w:p w:rsidR="0034044D" w:rsidRPr="00062D96" w:rsidRDefault="0034044D" w:rsidP="0034044D">
      <w:pPr>
        <w:pStyle w:val="FormatvorlageBlock"/>
        <w:spacing w:line="360" w:lineRule="auto"/>
        <w:rPr>
          <w:rFonts w:cs="Arial"/>
          <w:color w:val="FF0000"/>
          <w:sz w:val="16"/>
          <w:szCs w:val="16"/>
        </w:rPr>
      </w:pPr>
      <w:r w:rsidRPr="00062D96">
        <w:rPr>
          <w:rStyle w:val="Funotenzeichen"/>
          <w:sz w:val="16"/>
          <w:szCs w:val="16"/>
        </w:rPr>
        <w:footnoteRef/>
      </w:r>
      <w:r w:rsidRPr="00062D96">
        <w:rPr>
          <w:sz w:val="16"/>
          <w:szCs w:val="16"/>
        </w:rPr>
        <w:t xml:space="preserve"> </w:t>
      </w:r>
      <w:proofErr w:type="spellStart"/>
      <w:r w:rsidRPr="00062D96">
        <w:rPr>
          <w:rFonts w:cs="Arial"/>
          <w:i/>
          <w:color w:val="000000"/>
          <w:sz w:val="16"/>
          <w:szCs w:val="16"/>
        </w:rPr>
        <w:t>Denkhaus</w:t>
      </w:r>
      <w:proofErr w:type="spellEnd"/>
      <w:r w:rsidRPr="00062D96">
        <w:rPr>
          <w:rFonts w:cs="Arial"/>
          <w:i/>
          <w:color w:val="000000"/>
          <w:sz w:val="16"/>
          <w:szCs w:val="16"/>
        </w:rPr>
        <w:t>/Ziegenhagen/</w:t>
      </w:r>
      <w:proofErr w:type="spellStart"/>
      <w:r w:rsidRPr="00062D96">
        <w:rPr>
          <w:rFonts w:cs="Arial"/>
          <w:i/>
          <w:color w:val="000000"/>
          <w:sz w:val="16"/>
          <w:szCs w:val="16"/>
        </w:rPr>
        <w:t>Demisch</w:t>
      </w:r>
      <w:proofErr w:type="spellEnd"/>
      <w:r w:rsidRPr="00062D96">
        <w:rPr>
          <w:rFonts w:cs="Arial"/>
          <w:color w:val="000000"/>
          <w:sz w:val="16"/>
          <w:szCs w:val="16"/>
        </w:rPr>
        <w:t xml:space="preserve">, Group </w:t>
      </w:r>
      <w:proofErr w:type="spellStart"/>
      <w:r w:rsidRPr="00062D96">
        <w:rPr>
          <w:rFonts w:cs="Arial"/>
          <w:color w:val="000000"/>
          <w:sz w:val="16"/>
          <w:szCs w:val="16"/>
        </w:rPr>
        <w:t>Insolvency</w:t>
      </w:r>
      <w:proofErr w:type="spellEnd"/>
      <w:r w:rsidRPr="00062D96">
        <w:rPr>
          <w:rFonts w:cs="Arial"/>
          <w:color w:val="000000"/>
          <w:sz w:val="16"/>
          <w:szCs w:val="16"/>
        </w:rPr>
        <w:t xml:space="preserve"> Law (Konzerninsolvenzrecht), </w:t>
      </w:r>
      <w:proofErr w:type="spellStart"/>
      <w:r w:rsidRPr="00062D96">
        <w:rPr>
          <w:rFonts w:cs="Arial"/>
          <w:color w:val="000000"/>
          <w:sz w:val="16"/>
          <w:szCs w:val="16"/>
        </w:rPr>
        <w:t>Pg</w:t>
      </w:r>
      <w:proofErr w:type="spellEnd"/>
      <w:r w:rsidRPr="00062D96">
        <w:rPr>
          <w:rFonts w:cs="Arial"/>
          <w:color w:val="000000"/>
          <w:sz w:val="16"/>
          <w:szCs w:val="16"/>
        </w:rPr>
        <w:t xml:space="preserve">. 21, Rd. 94; </w:t>
      </w:r>
      <w:proofErr w:type="spellStart"/>
      <w:r w:rsidRPr="00062D96">
        <w:rPr>
          <w:rFonts w:cs="Arial"/>
          <w:color w:val="000000"/>
          <w:sz w:val="16"/>
          <w:szCs w:val="16"/>
        </w:rPr>
        <w:t>Pg</w:t>
      </w:r>
      <w:proofErr w:type="spellEnd"/>
      <w:r w:rsidRPr="00062D96">
        <w:rPr>
          <w:rFonts w:cs="Arial"/>
          <w:color w:val="000000"/>
          <w:sz w:val="16"/>
          <w:szCs w:val="16"/>
        </w:rPr>
        <w:t xml:space="preserve">. 22. Rd. 98, </w:t>
      </w:r>
      <w:proofErr w:type="spellStart"/>
      <w:r w:rsidRPr="00062D96">
        <w:rPr>
          <w:rFonts w:cs="Arial"/>
          <w:color w:val="000000"/>
          <w:sz w:val="16"/>
          <w:szCs w:val="16"/>
        </w:rPr>
        <w:t>Pg</w:t>
      </w:r>
      <w:proofErr w:type="spellEnd"/>
      <w:r w:rsidRPr="00062D96">
        <w:rPr>
          <w:rFonts w:cs="Arial"/>
          <w:color w:val="000000"/>
          <w:sz w:val="16"/>
          <w:szCs w:val="16"/>
        </w:rPr>
        <w:t xml:space="preserve">. 27/28, Rd. 126 </w:t>
      </w:r>
      <w:r w:rsidR="00062D96">
        <w:rPr>
          <w:rFonts w:cs="Arial"/>
          <w:color w:val="000000"/>
          <w:sz w:val="16"/>
          <w:szCs w:val="16"/>
        </w:rPr>
        <w:t>ff</w:t>
      </w:r>
      <w:r w:rsidRPr="00062D96">
        <w:rPr>
          <w:rFonts w:cs="Arial"/>
          <w:color w:val="000000"/>
          <w:sz w:val="16"/>
          <w:szCs w:val="16"/>
        </w:rPr>
        <w:t>.</w:t>
      </w:r>
    </w:p>
    <w:p w:rsidR="0034044D" w:rsidRDefault="0034044D">
      <w:pPr>
        <w:pStyle w:val="Funotentext"/>
      </w:pPr>
    </w:p>
  </w:footnote>
  <w:footnote w:id="2">
    <w:p w:rsidR="0034044D" w:rsidRPr="00684645" w:rsidRDefault="0034044D" w:rsidP="00684645">
      <w:pPr>
        <w:spacing w:line="360" w:lineRule="auto"/>
        <w:jc w:val="both"/>
        <w:rPr>
          <w:rFonts w:ascii="Arial" w:hAnsi="Arial" w:cs="Arial"/>
          <w:sz w:val="16"/>
          <w:szCs w:val="16"/>
        </w:rPr>
      </w:pPr>
      <w:r w:rsidRPr="00062D96">
        <w:rPr>
          <w:rStyle w:val="Funotenzeichen"/>
          <w:rFonts w:ascii="Arial" w:hAnsi="Arial" w:cs="Arial"/>
          <w:sz w:val="16"/>
          <w:szCs w:val="16"/>
        </w:rPr>
        <w:footnoteRef/>
      </w:r>
      <w:r w:rsidRPr="00062D96">
        <w:rPr>
          <w:rFonts w:ascii="Arial" w:hAnsi="Arial" w:cs="Arial"/>
          <w:sz w:val="16"/>
          <w:szCs w:val="16"/>
        </w:rPr>
        <w:t xml:space="preserve"> </w:t>
      </w:r>
      <w:proofErr w:type="spellStart"/>
      <w:r w:rsidRPr="00062D96">
        <w:rPr>
          <w:rFonts w:ascii="Arial" w:hAnsi="Arial" w:cs="Arial"/>
          <w:i/>
          <w:color w:val="000000"/>
          <w:sz w:val="16"/>
          <w:szCs w:val="16"/>
        </w:rPr>
        <w:t>Denkhaus</w:t>
      </w:r>
      <w:proofErr w:type="spellEnd"/>
      <w:r w:rsidRPr="00062D96">
        <w:rPr>
          <w:rFonts w:ascii="Arial" w:hAnsi="Arial" w:cs="Arial"/>
          <w:i/>
          <w:color w:val="000000"/>
          <w:sz w:val="16"/>
          <w:szCs w:val="16"/>
        </w:rPr>
        <w:t>/Ziegenhagen/</w:t>
      </w:r>
      <w:proofErr w:type="spellStart"/>
      <w:r w:rsidRPr="00062D96">
        <w:rPr>
          <w:rFonts w:ascii="Arial" w:hAnsi="Arial" w:cs="Arial"/>
          <w:i/>
          <w:color w:val="000000"/>
          <w:sz w:val="16"/>
          <w:szCs w:val="16"/>
        </w:rPr>
        <w:t>Demisch</w:t>
      </w:r>
      <w:proofErr w:type="spellEnd"/>
      <w:r w:rsidRPr="00062D96">
        <w:rPr>
          <w:rFonts w:ascii="Arial" w:hAnsi="Arial" w:cs="Arial"/>
          <w:color w:val="000000"/>
          <w:sz w:val="16"/>
          <w:szCs w:val="16"/>
        </w:rPr>
        <w:t xml:space="preserve">, Group </w:t>
      </w:r>
      <w:proofErr w:type="spellStart"/>
      <w:r w:rsidRPr="00062D96">
        <w:rPr>
          <w:rFonts w:ascii="Arial" w:hAnsi="Arial" w:cs="Arial"/>
          <w:color w:val="000000"/>
          <w:sz w:val="16"/>
          <w:szCs w:val="16"/>
        </w:rPr>
        <w:t>Insolvenzy</w:t>
      </w:r>
      <w:proofErr w:type="spellEnd"/>
      <w:r w:rsidRPr="00062D96">
        <w:rPr>
          <w:rFonts w:ascii="Arial" w:hAnsi="Arial" w:cs="Arial"/>
          <w:color w:val="000000"/>
          <w:sz w:val="16"/>
          <w:szCs w:val="16"/>
        </w:rPr>
        <w:t xml:space="preserve"> Law (Konzerninsolvenzrecht), </w:t>
      </w:r>
      <w:proofErr w:type="spellStart"/>
      <w:r w:rsidRPr="00062D96">
        <w:rPr>
          <w:rFonts w:ascii="Arial" w:hAnsi="Arial" w:cs="Arial"/>
          <w:color w:val="000000"/>
          <w:sz w:val="16"/>
          <w:szCs w:val="16"/>
        </w:rPr>
        <w:t>Pg</w:t>
      </w:r>
      <w:proofErr w:type="spellEnd"/>
      <w:r w:rsidRPr="00062D96">
        <w:rPr>
          <w:rFonts w:ascii="Arial" w:hAnsi="Arial" w:cs="Arial"/>
          <w:color w:val="000000"/>
          <w:sz w:val="16"/>
          <w:szCs w:val="16"/>
        </w:rPr>
        <w:t xml:space="preserve">. 28, Rd. 128; </w:t>
      </w:r>
      <w:proofErr w:type="spellStart"/>
      <w:r w:rsidRPr="008A1F12">
        <w:rPr>
          <w:rFonts w:ascii="Arial" w:eastAsia="Times New Roman" w:hAnsi="Arial" w:cs="Arial"/>
          <w:i/>
          <w:color w:val="000000"/>
          <w:sz w:val="16"/>
          <w:szCs w:val="16"/>
        </w:rPr>
        <w:t>Denkhaus</w:t>
      </w:r>
      <w:proofErr w:type="spellEnd"/>
      <w:r w:rsidRPr="008A1F12">
        <w:rPr>
          <w:rFonts w:ascii="Arial" w:eastAsia="Times New Roman" w:hAnsi="Arial" w:cs="Arial"/>
          <w:i/>
          <w:color w:val="000000"/>
          <w:sz w:val="16"/>
          <w:szCs w:val="16"/>
        </w:rPr>
        <w:t>/Harbeck</w:t>
      </w:r>
      <w:r w:rsidRPr="00062D96">
        <w:rPr>
          <w:rFonts w:ascii="Arial" w:eastAsia="Times New Roman" w:hAnsi="Arial" w:cs="Arial"/>
          <w:color w:val="000000"/>
          <w:sz w:val="16"/>
          <w:szCs w:val="16"/>
        </w:rPr>
        <w:t xml:space="preserve">, </w:t>
      </w:r>
      <w:proofErr w:type="spellStart"/>
      <w:r w:rsidR="008A1F12">
        <w:rPr>
          <w:rFonts w:ascii="Arial" w:eastAsia="Times New Roman" w:hAnsi="Arial" w:cs="Arial"/>
          <w:color w:val="000000"/>
          <w:sz w:val="16"/>
          <w:szCs w:val="16"/>
        </w:rPr>
        <w:t>Reformed</w:t>
      </w:r>
      <w:proofErr w:type="spellEnd"/>
      <w:r w:rsidR="008A1F12">
        <w:rPr>
          <w:rFonts w:ascii="Arial" w:eastAsia="Times New Roman" w:hAnsi="Arial" w:cs="Arial"/>
          <w:color w:val="000000"/>
          <w:sz w:val="16"/>
          <w:szCs w:val="16"/>
        </w:rPr>
        <w:t xml:space="preserve"> </w:t>
      </w:r>
      <w:proofErr w:type="spellStart"/>
      <w:r w:rsidR="008A1F12">
        <w:rPr>
          <w:rFonts w:ascii="Arial" w:eastAsia="Times New Roman" w:hAnsi="Arial" w:cs="Arial"/>
          <w:color w:val="000000"/>
          <w:sz w:val="16"/>
          <w:szCs w:val="16"/>
        </w:rPr>
        <w:t>EUInsVO</w:t>
      </w:r>
      <w:proofErr w:type="spellEnd"/>
      <w:r w:rsidR="008A1F12">
        <w:rPr>
          <w:rFonts w:ascii="Arial" w:eastAsia="Times New Roman" w:hAnsi="Arial" w:cs="Arial"/>
          <w:color w:val="000000"/>
          <w:sz w:val="16"/>
          <w:szCs w:val="16"/>
        </w:rPr>
        <w:t xml:space="preserve">, </w:t>
      </w:r>
      <w:proofErr w:type="spellStart"/>
      <w:r w:rsidRPr="00062D96">
        <w:rPr>
          <w:rFonts w:ascii="Arial" w:eastAsia="Times New Roman" w:hAnsi="Arial" w:cs="Arial"/>
          <w:color w:val="000000"/>
          <w:sz w:val="16"/>
          <w:szCs w:val="16"/>
        </w:rPr>
        <w:t>ZInsO</w:t>
      </w:r>
      <w:proofErr w:type="spellEnd"/>
      <w:r w:rsidRPr="00062D96">
        <w:rPr>
          <w:rFonts w:ascii="Arial" w:eastAsia="Times New Roman" w:hAnsi="Arial" w:cs="Arial"/>
          <w:color w:val="000000"/>
          <w:sz w:val="16"/>
          <w:szCs w:val="16"/>
        </w:rPr>
        <w:t xml:space="preserve"> 2018, </w:t>
      </w:r>
      <w:proofErr w:type="spellStart"/>
      <w:r w:rsidRPr="00062D96">
        <w:rPr>
          <w:rFonts w:ascii="Arial" w:eastAsia="Times New Roman" w:hAnsi="Arial" w:cs="Arial"/>
          <w:color w:val="000000"/>
          <w:sz w:val="16"/>
          <w:szCs w:val="16"/>
        </w:rPr>
        <w:t>Pg</w:t>
      </w:r>
      <w:proofErr w:type="spellEnd"/>
      <w:r w:rsidRPr="00062D96">
        <w:rPr>
          <w:rFonts w:ascii="Arial" w:eastAsia="Times New Roman" w:hAnsi="Arial" w:cs="Arial"/>
          <w:color w:val="000000"/>
          <w:sz w:val="16"/>
          <w:szCs w:val="16"/>
        </w:rPr>
        <w:t xml:space="preserve">. 949, </w:t>
      </w:r>
      <w:proofErr w:type="spellStart"/>
      <w:r w:rsidRPr="00062D96">
        <w:rPr>
          <w:rFonts w:ascii="Arial" w:eastAsia="Times New Roman" w:hAnsi="Arial" w:cs="Arial"/>
          <w:color w:val="000000"/>
          <w:sz w:val="16"/>
          <w:szCs w:val="16"/>
        </w:rPr>
        <w:t>Pg</w:t>
      </w:r>
      <w:proofErr w:type="spellEnd"/>
      <w:r w:rsidRPr="00062D96">
        <w:rPr>
          <w:rFonts w:ascii="Arial" w:eastAsia="Times New Roman" w:hAnsi="Arial" w:cs="Arial"/>
          <w:color w:val="000000"/>
          <w:sz w:val="16"/>
          <w:szCs w:val="16"/>
        </w:rPr>
        <w:t>. 957</w:t>
      </w:r>
    </w:p>
  </w:footnote>
  <w:footnote w:id="3">
    <w:p w:rsidR="0034044D" w:rsidRPr="00062D96" w:rsidRDefault="0034044D">
      <w:pPr>
        <w:pStyle w:val="Funotentext"/>
        <w:rPr>
          <w:rFonts w:ascii="Arial" w:hAnsi="Arial" w:cs="Arial"/>
          <w:sz w:val="16"/>
          <w:szCs w:val="16"/>
        </w:rPr>
      </w:pPr>
      <w:r w:rsidRPr="00062D96">
        <w:rPr>
          <w:rStyle w:val="Funotenzeichen"/>
          <w:rFonts w:ascii="Arial" w:hAnsi="Arial" w:cs="Arial"/>
          <w:sz w:val="16"/>
          <w:szCs w:val="16"/>
        </w:rPr>
        <w:footnoteRef/>
      </w:r>
      <w:r w:rsidRPr="00062D96">
        <w:rPr>
          <w:rFonts w:ascii="Arial" w:hAnsi="Arial" w:cs="Arial"/>
          <w:sz w:val="16"/>
          <w:szCs w:val="16"/>
        </w:rPr>
        <w:t xml:space="preserve"> </w:t>
      </w:r>
      <w:proofErr w:type="spellStart"/>
      <w:r w:rsidRPr="00062D96">
        <w:rPr>
          <w:rFonts w:ascii="Arial" w:hAnsi="Arial" w:cs="Arial"/>
          <w:i/>
          <w:color w:val="000000"/>
          <w:sz w:val="16"/>
          <w:szCs w:val="16"/>
        </w:rPr>
        <w:t>Horstkotte</w:t>
      </w:r>
      <w:proofErr w:type="spellEnd"/>
      <w:r w:rsidRPr="00062D96">
        <w:rPr>
          <w:rFonts w:ascii="Arial" w:hAnsi="Arial" w:cs="Arial"/>
          <w:i/>
          <w:color w:val="000000"/>
          <w:sz w:val="16"/>
          <w:szCs w:val="16"/>
        </w:rPr>
        <w:t>/Schade</w:t>
      </w:r>
      <w:r w:rsidR="00062D96">
        <w:rPr>
          <w:rFonts w:ascii="Arial" w:hAnsi="Arial" w:cs="Arial"/>
          <w:color w:val="000000"/>
          <w:sz w:val="16"/>
          <w:szCs w:val="16"/>
        </w:rPr>
        <w:t>,</w:t>
      </w:r>
      <w:r w:rsidRPr="00062D96">
        <w:rPr>
          <w:rFonts w:ascii="Arial" w:hAnsi="Arial" w:cs="Arial"/>
          <w:color w:val="000000"/>
          <w:sz w:val="16"/>
          <w:szCs w:val="16"/>
        </w:rPr>
        <w:t xml:space="preserve"> </w:t>
      </w:r>
      <w:r w:rsidR="008A1F12">
        <w:rPr>
          <w:rFonts w:ascii="Arial" w:hAnsi="Arial" w:cs="Arial"/>
          <w:color w:val="000000"/>
          <w:sz w:val="16"/>
          <w:szCs w:val="16"/>
        </w:rPr>
        <w:t>T</w:t>
      </w:r>
      <w:r w:rsidRPr="00062D96">
        <w:rPr>
          <w:rFonts w:ascii="Arial" w:hAnsi="Arial" w:cs="Arial"/>
          <w:color w:val="000000"/>
          <w:sz w:val="16"/>
          <w:szCs w:val="16"/>
        </w:rPr>
        <w:t xml:space="preserve">he </w:t>
      </w:r>
      <w:proofErr w:type="spellStart"/>
      <w:r w:rsidRPr="00062D96">
        <w:rPr>
          <w:rFonts w:ascii="Arial" w:hAnsi="Arial" w:cs="Arial"/>
          <w:color w:val="000000"/>
          <w:sz w:val="16"/>
          <w:szCs w:val="16"/>
        </w:rPr>
        <w:t>reformed</w:t>
      </w:r>
      <w:proofErr w:type="spellEnd"/>
      <w:r w:rsidRPr="00062D96">
        <w:rPr>
          <w:rFonts w:ascii="Arial" w:hAnsi="Arial" w:cs="Arial"/>
          <w:color w:val="000000"/>
          <w:sz w:val="16"/>
          <w:szCs w:val="16"/>
        </w:rPr>
        <w:t xml:space="preserve"> </w:t>
      </w:r>
      <w:proofErr w:type="spellStart"/>
      <w:r w:rsidRPr="00062D96">
        <w:rPr>
          <w:rFonts w:ascii="Arial" w:hAnsi="Arial" w:cs="Arial"/>
          <w:color w:val="000000"/>
          <w:sz w:val="16"/>
          <w:szCs w:val="16"/>
        </w:rPr>
        <w:t>EUInsVO</w:t>
      </w:r>
      <w:proofErr w:type="spellEnd"/>
      <w:r w:rsidRPr="00062D96">
        <w:rPr>
          <w:rFonts w:ascii="Arial" w:hAnsi="Arial" w:cs="Arial"/>
          <w:color w:val="000000"/>
          <w:sz w:val="16"/>
          <w:szCs w:val="16"/>
        </w:rPr>
        <w:t xml:space="preserve"> and </w:t>
      </w:r>
      <w:proofErr w:type="spellStart"/>
      <w:r w:rsidRPr="00062D96">
        <w:rPr>
          <w:rFonts w:ascii="Arial" w:hAnsi="Arial" w:cs="Arial"/>
          <w:color w:val="000000"/>
          <w:sz w:val="16"/>
          <w:szCs w:val="16"/>
        </w:rPr>
        <w:t>the</w:t>
      </w:r>
      <w:proofErr w:type="spellEnd"/>
      <w:r w:rsidRPr="00062D96">
        <w:rPr>
          <w:rFonts w:ascii="Arial" w:hAnsi="Arial" w:cs="Arial"/>
          <w:color w:val="000000"/>
          <w:sz w:val="16"/>
          <w:szCs w:val="16"/>
        </w:rPr>
        <w:t xml:space="preserve"> </w:t>
      </w:r>
      <w:proofErr w:type="spellStart"/>
      <w:r w:rsidRPr="00062D96">
        <w:rPr>
          <w:rFonts w:ascii="Arial" w:hAnsi="Arial" w:cs="Arial"/>
          <w:color w:val="000000"/>
          <w:sz w:val="16"/>
          <w:szCs w:val="16"/>
        </w:rPr>
        <w:t>scope</w:t>
      </w:r>
      <w:proofErr w:type="spellEnd"/>
      <w:r w:rsidRPr="00062D96">
        <w:rPr>
          <w:rFonts w:ascii="Arial" w:hAnsi="Arial" w:cs="Arial"/>
          <w:color w:val="000000"/>
          <w:sz w:val="16"/>
          <w:szCs w:val="16"/>
        </w:rPr>
        <w:t xml:space="preserve"> </w:t>
      </w:r>
      <w:proofErr w:type="spellStart"/>
      <w:r w:rsidRPr="00062D96">
        <w:rPr>
          <w:rFonts w:ascii="Arial" w:hAnsi="Arial" w:cs="Arial"/>
          <w:color w:val="000000"/>
          <w:sz w:val="16"/>
          <w:szCs w:val="16"/>
        </w:rPr>
        <w:t>of</w:t>
      </w:r>
      <w:proofErr w:type="spellEnd"/>
      <w:r w:rsidRPr="00062D96">
        <w:rPr>
          <w:rFonts w:ascii="Arial" w:hAnsi="Arial" w:cs="Arial"/>
          <w:color w:val="000000"/>
          <w:sz w:val="16"/>
          <w:szCs w:val="16"/>
        </w:rPr>
        <w:t xml:space="preserve"> </w:t>
      </w:r>
      <w:proofErr w:type="spellStart"/>
      <w:r w:rsidRPr="00062D96">
        <w:rPr>
          <w:rFonts w:ascii="Arial" w:hAnsi="Arial" w:cs="Arial"/>
          <w:color w:val="000000"/>
          <w:sz w:val="16"/>
          <w:szCs w:val="16"/>
        </w:rPr>
        <w:t>application</w:t>
      </w:r>
      <w:proofErr w:type="spellEnd"/>
      <w:r w:rsidRPr="00062D96">
        <w:rPr>
          <w:rFonts w:ascii="Arial" w:hAnsi="Arial" w:cs="Arial"/>
          <w:color w:val="000000"/>
          <w:sz w:val="16"/>
          <w:szCs w:val="16"/>
        </w:rPr>
        <w:t xml:space="preserve"> </w:t>
      </w:r>
      <w:proofErr w:type="spellStart"/>
      <w:r w:rsidRPr="00062D96">
        <w:rPr>
          <w:rFonts w:ascii="Arial" w:hAnsi="Arial" w:cs="Arial"/>
          <w:color w:val="000000"/>
          <w:sz w:val="16"/>
          <w:szCs w:val="16"/>
        </w:rPr>
        <w:t>of</w:t>
      </w:r>
      <w:proofErr w:type="spellEnd"/>
      <w:r w:rsidRPr="00062D96">
        <w:rPr>
          <w:rFonts w:ascii="Arial" w:hAnsi="Arial" w:cs="Arial"/>
          <w:color w:val="000000"/>
          <w:sz w:val="16"/>
          <w:szCs w:val="16"/>
        </w:rPr>
        <w:t xml:space="preserve"> </w:t>
      </w:r>
      <w:proofErr w:type="spellStart"/>
      <w:r w:rsidRPr="00062D96">
        <w:rPr>
          <w:rFonts w:ascii="Arial" w:hAnsi="Arial" w:cs="Arial"/>
          <w:color w:val="000000"/>
          <w:sz w:val="16"/>
          <w:szCs w:val="16"/>
        </w:rPr>
        <w:t>the</w:t>
      </w:r>
      <w:proofErr w:type="spellEnd"/>
      <w:r w:rsidRPr="00062D96">
        <w:rPr>
          <w:rFonts w:ascii="Arial" w:hAnsi="Arial" w:cs="Arial"/>
          <w:color w:val="000000"/>
          <w:sz w:val="16"/>
          <w:szCs w:val="16"/>
        </w:rPr>
        <w:t xml:space="preserve"> C</w:t>
      </w:r>
      <w:r w:rsidR="00062D96" w:rsidRPr="00062D96">
        <w:rPr>
          <w:rFonts w:ascii="Arial" w:hAnsi="Arial" w:cs="Arial"/>
          <w:color w:val="000000"/>
          <w:sz w:val="16"/>
          <w:szCs w:val="16"/>
        </w:rPr>
        <w:t>OMI (</w:t>
      </w:r>
      <w:r w:rsidRPr="00062D96">
        <w:rPr>
          <w:rFonts w:ascii="Arial" w:hAnsi="Arial" w:cs="Arial"/>
          <w:color w:val="000000"/>
          <w:sz w:val="16"/>
          <w:szCs w:val="16"/>
        </w:rPr>
        <w:t xml:space="preserve">zur reformierten </w:t>
      </w:r>
      <w:proofErr w:type="spellStart"/>
      <w:r w:rsidRPr="00062D96">
        <w:rPr>
          <w:rFonts w:ascii="Arial" w:hAnsi="Arial" w:cs="Arial"/>
          <w:color w:val="000000"/>
          <w:sz w:val="16"/>
          <w:szCs w:val="16"/>
        </w:rPr>
        <w:t>EUInsVO</w:t>
      </w:r>
      <w:proofErr w:type="spellEnd"/>
      <w:r w:rsidRPr="00062D96">
        <w:rPr>
          <w:rFonts w:ascii="Arial" w:hAnsi="Arial" w:cs="Arial"/>
          <w:color w:val="000000"/>
          <w:sz w:val="16"/>
          <w:szCs w:val="16"/>
        </w:rPr>
        <w:t xml:space="preserve"> und dem Anwendungsbereich des COMI</w:t>
      </w:r>
      <w:r w:rsidR="00062D96" w:rsidRPr="00062D96">
        <w:rPr>
          <w:rFonts w:ascii="Arial" w:hAnsi="Arial" w:cs="Arial"/>
          <w:color w:val="000000"/>
          <w:sz w:val="16"/>
          <w:szCs w:val="16"/>
        </w:rPr>
        <w:t>)</w:t>
      </w:r>
      <w:r w:rsidRPr="00062D96">
        <w:rPr>
          <w:rFonts w:ascii="Arial" w:hAnsi="Arial" w:cs="Arial"/>
          <w:color w:val="000000"/>
          <w:sz w:val="16"/>
          <w:szCs w:val="16"/>
        </w:rPr>
        <w:t xml:space="preserve"> unter https://www.insolvenzverein.de/wp-content/uploads/2020/02/180704-SchadeHorstkotte.pdf</w:t>
      </w:r>
    </w:p>
  </w:footnote>
  <w:footnote w:id="4">
    <w:p w:rsidR="00062D96" w:rsidRPr="00684645" w:rsidRDefault="00062D96" w:rsidP="00684645">
      <w:pPr>
        <w:pStyle w:val="FormatvorlageBlock"/>
        <w:spacing w:line="360" w:lineRule="auto"/>
        <w:rPr>
          <w:rFonts w:cs="Arial"/>
          <w:color w:val="FF0000"/>
          <w:sz w:val="16"/>
          <w:szCs w:val="16"/>
          <w:lang w:val="en-GB"/>
        </w:rPr>
      </w:pPr>
      <w:r w:rsidRPr="00062D96">
        <w:rPr>
          <w:rStyle w:val="Funotenzeichen"/>
          <w:rFonts w:cs="Arial"/>
          <w:sz w:val="16"/>
          <w:szCs w:val="16"/>
        </w:rPr>
        <w:footnoteRef/>
      </w:r>
      <w:r w:rsidRPr="00062D96">
        <w:rPr>
          <w:rFonts w:cs="Arial"/>
          <w:sz w:val="16"/>
          <w:szCs w:val="16"/>
          <w:lang w:val="en-GB"/>
        </w:rPr>
        <w:t xml:space="preserve"> Topic 8; </w:t>
      </w:r>
      <w:hyperlink r:id="rId1" w:history="1">
        <w:r w:rsidRPr="00062D96">
          <w:rPr>
            <w:rStyle w:val="Hyperlink"/>
            <w:rFonts w:cs="Arial"/>
            <w:sz w:val="16"/>
            <w:szCs w:val="16"/>
            <w:lang w:val="en-GB"/>
          </w:rPr>
          <w:t>https://fastercapital.com/de/inhalt/Die-Bedeutung-von-COMI-in-den-Verfahren-nach-Kapitel-15.html</w:t>
        </w:r>
      </w:hyperlink>
    </w:p>
  </w:footnote>
  <w:footnote w:id="5">
    <w:p w:rsidR="00062D96" w:rsidRPr="00062D96" w:rsidRDefault="00062D96" w:rsidP="00062D96">
      <w:pPr>
        <w:pStyle w:val="FormatvorlageBlock"/>
        <w:spacing w:line="360" w:lineRule="auto"/>
        <w:rPr>
          <w:rFonts w:cs="Arial"/>
          <w:color w:val="FF0000"/>
          <w:sz w:val="16"/>
          <w:szCs w:val="16"/>
          <w:lang w:val="en-GB"/>
        </w:rPr>
      </w:pPr>
      <w:r w:rsidRPr="00062D96">
        <w:rPr>
          <w:rStyle w:val="Funotenzeichen"/>
          <w:sz w:val="16"/>
          <w:szCs w:val="16"/>
        </w:rPr>
        <w:footnoteRef/>
      </w:r>
      <w:r w:rsidRPr="00062D96">
        <w:rPr>
          <w:sz w:val="16"/>
          <w:szCs w:val="16"/>
          <w:lang w:val="en-GB"/>
        </w:rPr>
        <w:t xml:space="preserve"> </w:t>
      </w:r>
      <w:r w:rsidRPr="00062D96">
        <w:rPr>
          <w:rFonts w:cs="Arial"/>
          <w:sz w:val="16"/>
          <w:szCs w:val="16"/>
          <w:lang w:val="en-GB"/>
        </w:rPr>
        <w:t xml:space="preserve">Topic 8; </w:t>
      </w:r>
      <w:hyperlink r:id="rId2" w:history="1">
        <w:r w:rsidRPr="00062D96">
          <w:rPr>
            <w:rStyle w:val="Hyperlink"/>
            <w:rFonts w:cs="Arial"/>
            <w:sz w:val="16"/>
            <w:szCs w:val="16"/>
            <w:lang w:val="en-GB"/>
          </w:rPr>
          <w:t>https://fastercapital.com/de/inhalt/Die-Bedeutung-von-COMI-in-den-Verfahren-nach-Kapitel-15.html</w:t>
        </w:r>
      </w:hyperlink>
    </w:p>
  </w:footnote>
  <w:footnote w:id="6">
    <w:p w:rsidR="00062D96" w:rsidRPr="00062D96" w:rsidRDefault="00062D96" w:rsidP="00062D96">
      <w:pPr>
        <w:pStyle w:val="FormatvorlageBlock"/>
        <w:spacing w:line="360" w:lineRule="auto"/>
        <w:rPr>
          <w:rFonts w:cs="Arial"/>
          <w:color w:val="FF0000"/>
          <w:sz w:val="16"/>
          <w:szCs w:val="16"/>
        </w:rPr>
      </w:pPr>
      <w:r w:rsidRPr="00062D96">
        <w:rPr>
          <w:rStyle w:val="Funotenzeichen"/>
          <w:sz w:val="16"/>
          <w:szCs w:val="16"/>
        </w:rPr>
        <w:footnoteRef/>
      </w:r>
      <w:r w:rsidRPr="00062D96">
        <w:rPr>
          <w:sz w:val="16"/>
          <w:szCs w:val="16"/>
        </w:rPr>
        <w:t xml:space="preserve"> </w:t>
      </w:r>
      <w:proofErr w:type="spellStart"/>
      <w:r w:rsidRPr="00062D96">
        <w:rPr>
          <w:rFonts w:cs="Arial"/>
          <w:i/>
          <w:color w:val="000000"/>
          <w:sz w:val="16"/>
          <w:szCs w:val="16"/>
        </w:rPr>
        <w:t>Denkhaus</w:t>
      </w:r>
      <w:proofErr w:type="spellEnd"/>
      <w:r w:rsidRPr="00062D96">
        <w:rPr>
          <w:rFonts w:cs="Arial"/>
          <w:i/>
          <w:color w:val="000000"/>
          <w:sz w:val="16"/>
          <w:szCs w:val="16"/>
        </w:rPr>
        <w:t>/Ziegenhagen/</w:t>
      </w:r>
      <w:proofErr w:type="spellStart"/>
      <w:r w:rsidRPr="00062D96">
        <w:rPr>
          <w:rFonts w:cs="Arial"/>
          <w:i/>
          <w:color w:val="000000"/>
          <w:sz w:val="16"/>
          <w:szCs w:val="16"/>
        </w:rPr>
        <w:t>Demisch</w:t>
      </w:r>
      <w:proofErr w:type="spellEnd"/>
      <w:r w:rsidRPr="00062D96">
        <w:rPr>
          <w:rFonts w:cs="Arial"/>
          <w:color w:val="000000"/>
          <w:sz w:val="16"/>
          <w:szCs w:val="16"/>
        </w:rPr>
        <w:t xml:space="preserve">, Group </w:t>
      </w:r>
      <w:proofErr w:type="spellStart"/>
      <w:r w:rsidRPr="00062D96">
        <w:rPr>
          <w:rFonts w:cs="Arial"/>
          <w:color w:val="000000"/>
          <w:sz w:val="16"/>
          <w:szCs w:val="16"/>
        </w:rPr>
        <w:t>Insolvency</w:t>
      </w:r>
      <w:proofErr w:type="spellEnd"/>
      <w:r w:rsidRPr="00062D96">
        <w:rPr>
          <w:rFonts w:cs="Arial"/>
          <w:color w:val="000000"/>
          <w:sz w:val="16"/>
          <w:szCs w:val="16"/>
        </w:rPr>
        <w:t xml:space="preserve"> Law (Konzerninsolvenzrecht), </w:t>
      </w:r>
      <w:proofErr w:type="spellStart"/>
      <w:r w:rsidRPr="00062D96">
        <w:rPr>
          <w:rFonts w:cs="Arial"/>
          <w:color w:val="000000"/>
          <w:sz w:val="16"/>
          <w:szCs w:val="16"/>
        </w:rPr>
        <w:t>Pg</w:t>
      </w:r>
      <w:proofErr w:type="spellEnd"/>
      <w:r w:rsidRPr="00062D96">
        <w:rPr>
          <w:rFonts w:cs="Arial"/>
          <w:color w:val="000000"/>
          <w:sz w:val="16"/>
          <w:szCs w:val="16"/>
        </w:rPr>
        <w:t xml:space="preserve">. </w:t>
      </w:r>
      <w:r w:rsidRPr="00062D96">
        <w:rPr>
          <w:rFonts w:cs="Arial"/>
          <w:color w:val="000000"/>
          <w:sz w:val="16"/>
          <w:szCs w:val="16"/>
        </w:rPr>
        <w:t>77</w:t>
      </w:r>
      <w:r w:rsidRPr="00062D96">
        <w:rPr>
          <w:rFonts w:cs="Arial"/>
          <w:color w:val="000000"/>
          <w:sz w:val="16"/>
          <w:szCs w:val="16"/>
        </w:rPr>
        <w:t xml:space="preserve">, Rd. </w:t>
      </w:r>
      <w:r w:rsidRPr="00062D96">
        <w:rPr>
          <w:rFonts w:cs="Arial"/>
          <w:color w:val="000000"/>
          <w:sz w:val="16"/>
          <w:szCs w:val="16"/>
        </w:rPr>
        <w:t>384ff.</w:t>
      </w:r>
    </w:p>
    <w:p w:rsidR="00062D96" w:rsidRPr="00062D96" w:rsidRDefault="00062D96">
      <w:pPr>
        <w:pStyle w:val="Funotentext"/>
      </w:pPr>
    </w:p>
  </w:footnote>
  <w:footnote w:id="7">
    <w:p w:rsidR="00062D96" w:rsidRPr="00062D96" w:rsidRDefault="00062D96" w:rsidP="00062D96">
      <w:pPr>
        <w:pStyle w:val="FormatvorlageBlock"/>
        <w:spacing w:line="360" w:lineRule="auto"/>
        <w:rPr>
          <w:rFonts w:cs="Arial"/>
          <w:color w:val="FF0000"/>
          <w:sz w:val="16"/>
          <w:szCs w:val="16"/>
        </w:rPr>
      </w:pPr>
      <w:r w:rsidRPr="00062D96">
        <w:rPr>
          <w:rStyle w:val="Funotenzeichen"/>
          <w:rFonts w:cs="Arial"/>
          <w:sz w:val="16"/>
          <w:szCs w:val="16"/>
        </w:rPr>
        <w:footnoteRef/>
      </w:r>
      <w:r w:rsidRPr="00062D96">
        <w:rPr>
          <w:rFonts w:cs="Arial"/>
          <w:sz w:val="16"/>
          <w:szCs w:val="16"/>
        </w:rPr>
        <w:t xml:space="preserve"> </w:t>
      </w:r>
      <w:proofErr w:type="spellStart"/>
      <w:r w:rsidRPr="00062D96">
        <w:rPr>
          <w:rFonts w:cs="Arial"/>
          <w:i/>
          <w:color w:val="000000"/>
          <w:sz w:val="16"/>
          <w:szCs w:val="16"/>
        </w:rPr>
        <w:t>Denkhaus</w:t>
      </w:r>
      <w:proofErr w:type="spellEnd"/>
      <w:r w:rsidRPr="00062D96">
        <w:rPr>
          <w:rFonts w:cs="Arial"/>
          <w:i/>
          <w:color w:val="000000"/>
          <w:sz w:val="16"/>
          <w:szCs w:val="16"/>
        </w:rPr>
        <w:t>/Ziegenhagen/</w:t>
      </w:r>
      <w:proofErr w:type="spellStart"/>
      <w:r w:rsidRPr="00062D96">
        <w:rPr>
          <w:rFonts w:cs="Arial"/>
          <w:i/>
          <w:color w:val="000000"/>
          <w:sz w:val="16"/>
          <w:szCs w:val="16"/>
        </w:rPr>
        <w:t>Demisch</w:t>
      </w:r>
      <w:proofErr w:type="spellEnd"/>
      <w:r w:rsidRPr="00062D96">
        <w:rPr>
          <w:rFonts w:cs="Arial"/>
          <w:color w:val="000000"/>
          <w:sz w:val="16"/>
          <w:szCs w:val="16"/>
        </w:rPr>
        <w:t xml:space="preserve">, Group </w:t>
      </w:r>
      <w:proofErr w:type="spellStart"/>
      <w:r w:rsidRPr="00062D96">
        <w:rPr>
          <w:rFonts w:cs="Arial"/>
          <w:color w:val="000000"/>
          <w:sz w:val="16"/>
          <w:szCs w:val="16"/>
        </w:rPr>
        <w:t>Insolvency</w:t>
      </w:r>
      <w:proofErr w:type="spellEnd"/>
      <w:r w:rsidRPr="00062D96">
        <w:rPr>
          <w:rFonts w:cs="Arial"/>
          <w:color w:val="000000"/>
          <w:sz w:val="16"/>
          <w:szCs w:val="16"/>
        </w:rPr>
        <w:t xml:space="preserve"> Law (Konzerninsolvenzrecht), </w:t>
      </w:r>
      <w:proofErr w:type="spellStart"/>
      <w:r w:rsidRPr="00062D96">
        <w:rPr>
          <w:rFonts w:cs="Arial"/>
          <w:color w:val="000000"/>
          <w:sz w:val="16"/>
          <w:szCs w:val="16"/>
        </w:rPr>
        <w:t>Pg</w:t>
      </w:r>
      <w:proofErr w:type="spellEnd"/>
      <w:r w:rsidRPr="00062D96">
        <w:rPr>
          <w:rFonts w:cs="Arial"/>
          <w:color w:val="000000"/>
          <w:sz w:val="16"/>
          <w:szCs w:val="16"/>
        </w:rPr>
        <w:t xml:space="preserve">. </w:t>
      </w:r>
      <w:r w:rsidRPr="00062D96">
        <w:rPr>
          <w:rFonts w:cs="Arial"/>
          <w:color w:val="000000"/>
          <w:sz w:val="16"/>
          <w:szCs w:val="16"/>
        </w:rPr>
        <w:t>104</w:t>
      </w:r>
      <w:r w:rsidRPr="00062D96">
        <w:rPr>
          <w:rFonts w:cs="Arial"/>
          <w:color w:val="000000"/>
          <w:sz w:val="16"/>
          <w:szCs w:val="16"/>
        </w:rPr>
        <w:t xml:space="preserve">, Rd. </w:t>
      </w:r>
      <w:r w:rsidRPr="00062D96">
        <w:rPr>
          <w:rFonts w:cs="Arial"/>
          <w:color w:val="000000"/>
          <w:sz w:val="16"/>
          <w:szCs w:val="16"/>
        </w:rPr>
        <w:t>538 ff.</w:t>
      </w:r>
    </w:p>
  </w:footnote>
  <w:footnote w:id="8">
    <w:p w:rsidR="00062D96" w:rsidRPr="00474C20" w:rsidRDefault="00062D96" w:rsidP="00474C20">
      <w:pPr>
        <w:spacing w:line="360" w:lineRule="auto"/>
        <w:jc w:val="both"/>
        <w:rPr>
          <w:rFonts w:ascii="Arial" w:eastAsia="Times New Roman" w:hAnsi="Arial" w:cs="Arial"/>
          <w:color w:val="0563C1" w:themeColor="hyperlink"/>
          <w:sz w:val="16"/>
          <w:szCs w:val="16"/>
          <w:u w:val="single"/>
        </w:rPr>
      </w:pPr>
      <w:r w:rsidRPr="00062D96">
        <w:rPr>
          <w:rStyle w:val="Funotenzeichen"/>
          <w:rFonts w:ascii="Arial" w:hAnsi="Arial" w:cs="Arial"/>
          <w:sz w:val="16"/>
          <w:szCs w:val="16"/>
        </w:rPr>
        <w:footnoteRef/>
      </w:r>
      <w:r w:rsidRPr="00062D96">
        <w:rPr>
          <w:rFonts w:ascii="Arial" w:hAnsi="Arial" w:cs="Arial"/>
          <w:sz w:val="16"/>
          <w:szCs w:val="16"/>
        </w:rPr>
        <w:t xml:space="preserve"> </w:t>
      </w:r>
      <w:hyperlink r:id="rId3" w:history="1">
        <w:r w:rsidRPr="00062D96">
          <w:rPr>
            <w:rStyle w:val="Hyperlink"/>
            <w:rFonts w:ascii="Arial" w:eastAsia="Times New Roman" w:hAnsi="Arial" w:cs="Arial"/>
            <w:sz w:val="16"/>
            <w:szCs w:val="16"/>
          </w:rPr>
          <w:t>https://fastercapital.com/de/inhalt/Die-Rolle-des-UNCITRAL-Modellgesetzes-in-Faellen-nach-Kapitel-15.html</w:t>
        </w:r>
      </w:hyperlink>
    </w:p>
  </w:footnote>
  <w:footnote w:id="9">
    <w:p w:rsidR="00474C20" w:rsidRPr="00474C20" w:rsidRDefault="00474C20">
      <w:pPr>
        <w:pStyle w:val="Funotentext"/>
        <w:rPr>
          <w:lang w:val="en-GB"/>
        </w:rPr>
      </w:pPr>
      <w:r>
        <w:rPr>
          <w:rStyle w:val="Funotenzeichen"/>
        </w:rPr>
        <w:footnoteRef/>
      </w:r>
      <w:r w:rsidRPr="00474C20">
        <w:rPr>
          <w:lang w:val="en-GB"/>
        </w:rPr>
        <w:t xml:space="preserve"> </w:t>
      </w:r>
      <w:r w:rsidRPr="00062D96">
        <w:rPr>
          <w:rFonts w:ascii="Arial" w:hAnsi="Arial" w:cs="Arial"/>
          <w:i/>
          <w:sz w:val="16"/>
          <w:szCs w:val="16"/>
          <w:lang w:val="en-GB"/>
        </w:rPr>
        <w:t>Holzer</w:t>
      </w:r>
      <w:r w:rsidRPr="00062D96">
        <w:rPr>
          <w:rFonts w:ascii="Arial" w:hAnsi="Arial" w:cs="Arial"/>
          <w:sz w:val="16"/>
          <w:szCs w:val="16"/>
          <w:lang w:val="en-GB"/>
        </w:rPr>
        <w:t xml:space="preserve"> in </w:t>
      </w:r>
      <w:r w:rsidRPr="00062D96">
        <w:rPr>
          <w:rFonts w:ascii="Arial" w:eastAsia="Times New Roman" w:hAnsi="Arial" w:cs="Arial"/>
          <w:color w:val="000000"/>
          <w:sz w:val="16"/>
          <w:szCs w:val="16"/>
          <w:lang w:val="en-GB"/>
        </w:rPr>
        <w:t>NZI 2019, Pg. 777 The UNCITRAL Model Law on Enterprise Group Insolvency</w:t>
      </w:r>
    </w:p>
  </w:footnote>
  <w:footnote w:id="10">
    <w:p w:rsidR="00062D96" w:rsidRPr="00062D96" w:rsidRDefault="00062D96" w:rsidP="00062D96">
      <w:pPr>
        <w:spacing w:line="360" w:lineRule="auto"/>
        <w:jc w:val="both"/>
        <w:rPr>
          <w:rFonts w:ascii="Arial" w:eastAsia="Times New Roman" w:hAnsi="Arial" w:cs="Arial"/>
          <w:color w:val="000000"/>
          <w:sz w:val="16"/>
          <w:szCs w:val="16"/>
          <w:lang w:val="en-GB"/>
        </w:rPr>
      </w:pPr>
      <w:r w:rsidRPr="00062D96">
        <w:rPr>
          <w:rStyle w:val="Funotenzeichen"/>
          <w:rFonts w:ascii="Arial" w:hAnsi="Arial" w:cs="Arial"/>
          <w:sz w:val="16"/>
          <w:szCs w:val="16"/>
        </w:rPr>
        <w:footnoteRef/>
      </w:r>
      <w:r w:rsidRPr="00062D96">
        <w:rPr>
          <w:rFonts w:ascii="Arial" w:hAnsi="Arial" w:cs="Arial"/>
          <w:sz w:val="16"/>
          <w:szCs w:val="16"/>
          <w:lang w:val="en-GB"/>
        </w:rPr>
        <w:t xml:space="preserve"> </w:t>
      </w:r>
      <w:r w:rsidRPr="00062D96">
        <w:rPr>
          <w:rFonts w:ascii="Arial" w:hAnsi="Arial" w:cs="Arial"/>
          <w:i/>
          <w:sz w:val="16"/>
          <w:szCs w:val="16"/>
          <w:lang w:val="en-GB"/>
        </w:rPr>
        <w:t>Holzer</w:t>
      </w:r>
      <w:r w:rsidRPr="00062D96">
        <w:rPr>
          <w:rFonts w:ascii="Arial" w:hAnsi="Arial" w:cs="Arial"/>
          <w:sz w:val="16"/>
          <w:szCs w:val="16"/>
          <w:lang w:val="en-GB"/>
        </w:rPr>
        <w:t xml:space="preserve"> in </w:t>
      </w:r>
      <w:r w:rsidRPr="00062D96">
        <w:rPr>
          <w:rFonts w:ascii="Arial" w:eastAsia="Times New Roman" w:hAnsi="Arial" w:cs="Arial"/>
          <w:color w:val="000000"/>
          <w:sz w:val="16"/>
          <w:szCs w:val="16"/>
          <w:lang w:val="en-GB"/>
        </w:rPr>
        <w:t xml:space="preserve">NZI 2019, </w:t>
      </w:r>
      <w:r w:rsidRPr="00062D96">
        <w:rPr>
          <w:rFonts w:ascii="Arial" w:eastAsia="Times New Roman" w:hAnsi="Arial" w:cs="Arial"/>
          <w:color w:val="000000"/>
          <w:sz w:val="16"/>
          <w:szCs w:val="16"/>
          <w:lang w:val="en-GB"/>
        </w:rPr>
        <w:t xml:space="preserve">Pg. </w:t>
      </w:r>
      <w:r w:rsidRPr="00062D96">
        <w:rPr>
          <w:rFonts w:ascii="Arial" w:eastAsia="Times New Roman" w:hAnsi="Arial" w:cs="Arial"/>
          <w:color w:val="000000"/>
          <w:sz w:val="16"/>
          <w:szCs w:val="16"/>
          <w:lang w:val="en-GB"/>
        </w:rPr>
        <w:t xml:space="preserve">777 </w:t>
      </w:r>
      <w:r w:rsidRPr="00062D96">
        <w:rPr>
          <w:rFonts w:ascii="Arial" w:eastAsia="Times New Roman" w:hAnsi="Arial" w:cs="Arial"/>
          <w:color w:val="000000"/>
          <w:sz w:val="16"/>
          <w:szCs w:val="16"/>
          <w:lang w:val="en-GB"/>
        </w:rPr>
        <w:t>The UNCITRAL</w:t>
      </w:r>
      <w:r w:rsidRPr="00062D96">
        <w:rPr>
          <w:rFonts w:ascii="Arial" w:eastAsia="Times New Roman" w:hAnsi="Arial" w:cs="Arial"/>
          <w:color w:val="000000"/>
          <w:sz w:val="16"/>
          <w:szCs w:val="16"/>
          <w:lang w:val="en-GB"/>
        </w:rPr>
        <w:t xml:space="preserve"> Model Law on Enterprise Group Insolvency</w:t>
      </w:r>
    </w:p>
    <w:p w:rsidR="00062D96" w:rsidRPr="00062D96" w:rsidRDefault="00062D96">
      <w:pPr>
        <w:pStyle w:val="Funotentext"/>
        <w:rPr>
          <w:lang w:val="en-GB"/>
        </w:rPr>
      </w:pPr>
    </w:p>
  </w:footnote>
  <w:footnote w:id="11">
    <w:p w:rsidR="007A7D6A" w:rsidRPr="00E966B9" w:rsidRDefault="007A7D6A">
      <w:pPr>
        <w:pStyle w:val="Funotentext"/>
        <w:rPr>
          <w:rFonts w:ascii="Arial" w:hAnsi="Arial" w:cs="Arial"/>
          <w:sz w:val="16"/>
          <w:szCs w:val="16"/>
          <w:lang w:val="en-GB"/>
        </w:rPr>
      </w:pPr>
      <w:r w:rsidRPr="00E966B9">
        <w:rPr>
          <w:rStyle w:val="Funotenzeichen"/>
          <w:rFonts w:ascii="Arial" w:hAnsi="Arial" w:cs="Arial"/>
          <w:sz w:val="16"/>
          <w:szCs w:val="16"/>
        </w:rPr>
        <w:footnoteRef/>
      </w:r>
      <w:r w:rsidRPr="00E966B9">
        <w:rPr>
          <w:rFonts w:ascii="Arial" w:hAnsi="Arial" w:cs="Arial"/>
          <w:sz w:val="16"/>
          <w:szCs w:val="16"/>
          <w:lang w:val="en-GB"/>
        </w:rPr>
        <w:t xml:space="preserve"> https://www.nortonrosefulbright.com/en/knowledge/publications/87d4ce21/the-model-law-on-cross-border-insolvency-turns-25</w:t>
      </w:r>
    </w:p>
  </w:footnote>
  <w:footnote w:id="12">
    <w:p w:rsidR="007A7D6A" w:rsidRPr="00E966B9" w:rsidRDefault="007A7D6A">
      <w:pPr>
        <w:pStyle w:val="Funotentext"/>
        <w:rPr>
          <w:rFonts w:ascii="Arial" w:hAnsi="Arial" w:cs="Arial"/>
          <w:sz w:val="16"/>
          <w:szCs w:val="16"/>
          <w:lang w:val="en-GB"/>
        </w:rPr>
      </w:pPr>
      <w:r w:rsidRPr="00E966B9">
        <w:rPr>
          <w:rStyle w:val="Funotenzeichen"/>
          <w:rFonts w:ascii="Arial" w:hAnsi="Arial" w:cs="Arial"/>
          <w:sz w:val="16"/>
          <w:szCs w:val="16"/>
        </w:rPr>
        <w:footnoteRef/>
      </w:r>
      <w:r w:rsidRPr="00E966B9">
        <w:rPr>
          <w:rFonts w:ascii="Arial" w:hAnsi="Arial" w:cs="Arial"/>
          <w:sz w:val="16"/>
          <w:szCs w:val="16"/>
          <w:lang w:val="en-GB"/>
        </w:rPr>
        <w:t xml:space="preserve"> https://www.nortonrosefulbright.com/en/knowledge/publications/87d4ce21/the-model-law-on-cross-border-insolvency-turns-25</w:t>
      </w:r>
    </w:p>
  </w:footnote>
  <w:footnote w:id="13">
    <w:p w:rsidR="007A7D6A" w:rsidRPr="00E966B9" w:rsidRDefault="007A7D6A">
      <w:pPr>
        <w:pStyle w:val="Funotentext"/>
        <w:rPr>
          <w:rFonts w:ascii="Arial" w:hAnsi="Arial" w:cs="Arial"/>
          <w:sz w:val="16"/>
          <w:szCs w:val="16"/>
          <w:lang w:val="en-GB"/>
        </w:rPr>
      </w:pPr>
      <w:r w:rsidRPr="00E966B9">
        <w:rPr>
          <w:rStyle w:val="Funotenzeichen"/>
          <w:rFonts w:ascii="Arial" w:hAnsi="Arial" w:cs="Arial"/>
          <w:sz w:val="16"/>
          <w:szCs w:val="16"/>
        </w:rPr>
        <w:footnoteRef/>
      </w:r>
      <w:r w:rsidRPr="00E966B9">
        <w:rPr>
          <w:rFonts w:ascii="Arial" w:hAnsi="Arial" w:cs="Arial"/>
          <w:sz w:val="16"/>
          <w:szCs w:val="16"/>
          <w:lang w:val="en-GB"/>
        </w:rPr>
        <w:t xml:space="preserve"> https://www.nortonrosefulbright.com/en/knowledge/publications/87d4ce21/the-model-law-on-cross-border-insolvency-turns-25</w:t>
      </w:r>
    </w:p>
  </w:footnote>
  <w:footnote w:id="14">
    <w:p w:rsidR="007A7D6A" w:rsidRPr="007A7D6A" w:rsidRDefault="007A7D6A">
      <w:pPr>
        <w:pStyle w:val="Funotentext"/>
        <w:rPr>
          <w:lang w:val="en-GB"/>
        </w:rPr>
      </w:pPr>
      <w:r w:rsidRPr="00E966B9">
        <w:rPr>
          <w:rStyle w:val="Funotenzeichen"/>
          <w:rFonts w:ascii="Arial" w:hAnsi="Arial" w:cs="Arial"/>
          <w:sz w:val="16"/>
          <w:szCs w:val="16"/>
        </w:rPr>
        <w:footnoteRef/>
      </w:r>
      <w:r w:rsidRPr="00E966B9">
        <w:rPr>
          <w:rFonts w:ascii="Arial" w:hAnsi="Arial" w:cs="Arial"/>
          <w:sz w:val="16"/>
          <w:szCs w:val="16"/>
          <w:lang w:val="en-GB"/>
        </w:rPr>
        <w:t xml:space="preserve"> https://www.nortonrosefulbright.com/en/knowledge/publications/87d4ce21/the-model-law-on-cross-border-insolvency-turns-25</w:t>
      </w:r>
    </w:p>
  </w:footnote>
  <w:footnote w:id="15">
    <w:p w:rsidR="007A7D6A" w:rsidRPr="00E966B9" w:rsidRDefault="007A7D6A">
      <w:pPr>
        <w:pStyle w:val="Funotentext"/>
        <w:rPr>
          <w:rFonts w:ascii="Arial" w:hAnsi="Arial" w:cs="Arial"/>
          <w:sz w:val="16"/>
          <w:szCs w:val="16"/>
          <w:lang w:val="en-GB"/>
        </w:rPr>
      </w:pPr>
      <w:r w:rsidRPr="00E966B9">
        <w:rPr>
          <w:rStyle w:val="Funotenzeichen"/>
          <w:rFonts w:ascii="Arial" w:hAnsi="Arial" w:cs="Arial"/>
          <w:sz w:val="16"/>
          <w:szCs w:val="16"/>
        </w:rPr>
        <w:footnoteRef/>
      </w:r>
      <w:r w:rsidRPr="00E966B9">
        <w:rPr>
          <w:rFonts w:ascii="Arial" w:hAnsi="Arial" w:cs="Arial"/>
          <w:sz w:val="16"/>
          <w:szCs w:val="16"/>
          <w:lang w:val="en-GB"/>
        </w:rPr>
        <w:t xml:space="preserve"> https://www.nortonrosefulbright.com/en/knowledge/publications/87d4ce21/the-model-law-on-cross-border-insolvency-turns-25</w:t>
      </w:r>
    </w:p>
  </w:footnote>
  <w:footnote w:id="16">
    <w:p w:rsidR="00E966B9" w:rsidRPr="00E966B9" w:rsidRDefault="00E966B9">
      <w:pPr>
        <w:pStyle w:val="Funotentext"/>
        <w:rPr>
          <w:rFonts w:ascii="Arial" w:hAnsi="Arial" w:cs="Arial"/>
          <w:sz w:val="16"/>
          <w:szCs w:val="16"/>
          <w:lang w:val="en-GB"/>
        </w:rPr>
      </w:pPr>
      <w:r w:rsidRPr="00E966B9">
        <w:rPr>
          <w:rStyle w:val="Funotenzeichen"/>
          <w:rFonts w:ascii="Arial" w:hAnsi="Arial" w:cs="Arial"/>
          <w:sz w:val="16"/>
          <w:szCs w:val="16"/>
        </w:rPr>
        <w:footnoteRef/>
      </w:r>
      <w:r w:rsidRPr="00E966B9">
        <w:rPr>
          <w:rFonts w:ascii="Arial" w:hAnsi="Arial" w:cs="Arial"/>
          <w:sz w:val="16"/>
          <w:szCs w:val="16"/>
          <w:lang w:val="en-GB"/>
        </w:rPr>
        <w:t xml:space="preserve"> </w:t>
      </w:r>
      <w:r w:rsidRPr="00E966B9">
        <w:rPr>
          <w:rFonts w:ascii="Arial" w:hAnsi="Arial" w:cs="Arial"/>
          <w:sz w:val="16"/>
          <w:szCs w:val="16"/>
          <w:lang w:val="en-GB"/>
        </w:rPr>
        <w:t>https://www.nortonrosefulbright.com/en/knowledge/publications/87d4ce21/the-model-law-on-cross-border-insolvency-turns-25</w:t>
      </w:r>
    </w:p>
  </w:footnote>
  <w:footnote w:id="17">
    <w:p w:rsidR="00E966B9" w:rsidRPr="00E966B9" w:rsidRDefault="00E966B9">
      <w:pPr>
        <w:pStyle w:val="Funotentext"/>
        <w:rPr>
          <w:lang w:val="en-GB"/>
        </w:rPr>
      </w:pPr>
      <w:r w:rsidRPr="00E966B9">
        <w:rPr>
          <w:rStyle w:val="Funotenzeichen"/>
          <w:rFonts w:ascii="Arial" w:hAnsi="Arial" w:cs="Arial"/>
          <w:sz w:val="16"/>
          <w:szCs w:val="16"/>
        </w:rPr>
        <w:footnoteRef/>
      </w:r>
      <w:r w:rsidRPr="00E966B9">
        <w:rPr>
          <w:rFonts w:ascii="Arial" w:hAnsi="Arial" w:cs="Arial"/>
          <w:sz w:val="16"/>
          <w:szCs w:val="16"/>
          <w:lang w:val="en-GB"/>
        </w:rPr>
        <w:t xml:space="preserve"> https://www.nortonrosefulbright.com/en/knowledge/publications/87d4ce21/the-model-law-on-cross-border-insolvency-turns-25</w:t>
      </w:r>
    </w:p>
  </w:footnote>
  <w:footnote w:id="18">
    <w:p w:rsidR="00684645" w:rsidRPr="00E966B9" w:rsidRDefault="00684645">
      <w:pPr>
        <w:pStyle w:val="Funotentext"/>
        <w:rPr>
          <w:rFonts w:ascii="Arial" w:hAnsi="Arial" w:cs="Arial"/>
          <w:color w:val="000000" w:themeColor="text1"/>
          <w:sz w:val="16"/>
          <w:szCs w:val="16"/>
          <w:lang w:val="en-GB"/>
        </w:rPr>
      </w:pPr>
      <w:r w:rsidRPr="00E966B9">
        <w:rPr>
          <w:rStyle w:val="Funotenzeichen"/>
          <w:rFonts w:ascii="Arial" w:hAnsi="Arial" w:cs="Arial"/>
          <w:color w:val="000000" w:themeColor="text1"/>
          <w:sz w:val="16"/>
          <w:szCs w:val="16"/>
        </w:rPr>
        <w:footnoteRef/>
      </w:r>
      <w:r w:rsidRPr="00E966B9">
        <w:rPr>
          <w:rFonts w:ascii="Arial" w:hAnsi="Arial" w:cs="Arial"/>
          <w:color w:val="000000" w:themeColor="text1"/>
          <w:sz w:val="16"/>
          <w:szCs w:val="16"/>
          <w:lang w:val="en-GB"/>
        </w:rPr>
        <w:t xml:space="preserve"> </w:t>
      </w:r>
      <w:r w:rsidRPr="00E966B9">
        <w:rPr>
          <w:rFonts w:ascii="Arial" w:eastAsia="Times New Roman" w:hAnsi="Arial" w:cs="Arial"/>
          <w:color w:val="000000" w:themeColor="text1"/>
          <w:sz w:val="16"/>
          <w:szCs w:val="16"/>
          <w:lang w:val="en-GB" w:eastAsia="de-DE"/>
          <w14:ligatures w14:val="none"/>
        </w:rPr>
        <w:t>For example, under section 581(2)(a) of the Australian </w:t>
      </w:r>
      <w:r w:rsidRPr="00E966B9">
        <w:rPr>
          <w:rFonts w:ascii="Arial" w:eastAsia="Times New Roman" w:hAnsi="Arial" w:cs="Arial"/>
          <w:i/>
          <w:iCs/>
          <w:color w:val="000000" w:themeColor="text1"/>
          <w:sz w:val="16"/>
          <w:szCs w:val="16"/>
          <w:lang w:val="en-GB" w:eastAsia="de-DE"/>
          <w14:ligatures w14:val="none"/>
        </w:rPr>
        <w:t>Corporations Act 2001</w:t>
      </w:r>
      <w:r w:rsidRPr="00E966B9">
        <w:rPr>
          <w:rFonts w:ascii="Arial" w:eastAsia="Times New Roman" w:hAnsi="Arial" w:cs="Arial"/>
          <w:color w:val="000000" w:themeColor="text1"/>
          <w:sz w:val="16"/>
          <w:szCs w:val="16"/>
          <w:lang w:val="en-GB" w:eastAsia="de-DE"/>
          <w14:ligatures w14:val="none"/>
        </w:rPr>
        <w:t> (</w:t>
      </w:r>
      <w:proofErr w:type="spellStart"/>
      <w:r w:rsidRPr="00E966B9">
        <w:rPr>
          <w:rFonts w:ascii="Arial" w:eastAsia="Times New Roman" w:hAnsi="Arial" w:cs="Arial"/>
          <w:color w:val="000000" w:themeColor="text1"/>
          <w:sz w:val="16"/>
          <w:szCs w:val="16"/>
          <w:lang w:val="en-GB" w:eastAsia="de-DE"/>
          <w14:ligatures w14:val="none"/>
        </w:rPr>
        <w:t>Cth</w:t>
      </w:r>
      <w:proofErr w:type="spellEnd"/>
      <w:r w:rsidRPr="00E966B9">
        <w:rPr>
          <w:rFonts w:ascii="Arial" w:eastAsia="Times New Roman" w:hAnsi="Arial" w:cs="Arial"/>
          <w:color w:val="000000" w:themeColor="text1"/>
          <w:sz w:val="16"/>
          <w:szCs w:val="16"/>
          <w:lang w:val="en-GB" w:eastAsia="de-DE"/>
          <w14:ligatures w14:val="none"/>
        </w:rPr>
        <w:t>), in all external administration matters, the court must act in aid of, and be auxiliary to, the courts of prescribed countries that have jurisdiction in external administration matters.  Courts also have the discretion under section 581(2)(b) to act in aid of, and be auxiliary to, the courts of other countries that have jurisdiction in external administration matters (i.e. in countries that are not prescribed).</w:t>
      </w:r>
    </w:p>
  </w:footnote>
  <w:footnote w:id="19">
    <w:p w:rsidR="00E966B9" w:rsidRPr="00E966B9" w:rsidRDefault="00E966B9">
      <w:pPr>
        <w:pStyle w:val="Funotentext"/>
        <w:rPr>
          <w:rFonts w:ascii="Arial" w:hAnsi="Arial" w:cs="Arial"/>
          <w:sz w:val="16"/>
          <w:szCs w:val="16"/>
          <w:lang w:val="en-GB"/>
        </w:rPr>
      </w:pPr>
      <w:r w:rsidRPr="00E966B9">
        <w:rPr>
          <w:rStyle w:val="Funotenzeichen"/>
          <w:rFonts w:ascii="Arial" w:hAnsi="Arial" w:cs="Arial"/>
          <w:sz w:val="16"/>
          <w:szCs w:val="16"/>
        </w:rPr>
        <w:footnoteRef/>
      </w:r>
      <w:r w:rsidRPr="00E966B9">
        <w:rPr>
          <w:rFonts w:ascii="Arial" w:hAnsi="Arial" w:cs="Arial"/>
          <w:sz w:val="16"/>
          <w:szCs w:val="16"/>
          <w:lang w:val="en-GB"/>
        </w:rPr>
        <w:t xml:space="preserve"> </w:t>
      </w:r>
      <w:r w:rsidRPr="00E966B9">
        <w:rPr>
          <w:rFonts w:ascii="Arial" w:hAnsi="Arial" w:cs="Arial"/>
          <w:sz w:val="16"/>
          <w:szCs w:val="16"/>
          <w:lang w:val="en-GB"/>
        </w:rPr>
        <w:t>https://www.nortonrosefulbright.com/en/knowledge/publications/87d4ce21/the-model-law-on-cross-border-insolvency-turns-25</w:t>
      </w:r>
    </w:p>
  </w:footnote>
  <w:footnote w:id="20">
    <w:p w:rsidR="00684645" w:rsidRPr="00E966B9" w:rsidRDefault="00684645">
      <w:pPr>
        <w:pStyle w:val="Funotentext"/>
        <w:rPr>
          <w:rFonts w:ascii="Arial" w:hAnsi="Arial" w:cs="Arial"/>
          <w:color w:val="000000" w:themeColor="text1"/>
          <w:sz w:val="16"/>
          <w:szCs w:val="16"/>
          <w:lang w:val="en-GB"/>
        </w:rPr>
      </w:pPr>
      <w:r w:rsidRPr="00E966B9">
        <w:rPr>
          <w:rStyle w:val="Funotenzeichen"/>
          <w:rFonts w:ascii="Arial" w:hAnsi="Arial" w:cs="Arial"/>
          <w:color w:val="000000" w:themeColor="text1"/>
          <w:sz w:val="16"/>
          <w:szCs w:val="16"/>
        </w:rPr>
        <w:footnoteRef/>
      </w:r>
      <w:r w:rsidRPr="00E966B9">
        <w:rPr>
          <w:rFonts w:ascii="Arial" w:hAnsi="Arial" w:cs="Arial"/>
          <w:color w:val="000000" w:themeColor="text1"/>
          <w:sz w:val="16"/>
          <w:szCs w:val="16"/>
          <w:lang w:val="en-GB"/>
        </w:rPr>
        <w:t xml:space="preserve"> </w:t>
      </w:r>
      <w:r w:rsidRPr="00E966B9">
        <w:rPr>
          <w:rFonts w:ascii="Arial" w:eastAsia="Times New Roman" w:hAnsi="Arial" w:cs="Arial"/>
          <w:color w:val="000000" w:themeColor="text1"/>
          <w:sz w:val="16"/>
          <w:szCs w:val="16"/>
          <w:lang w:val="en-GB" w:eastAsia="de-DE"/>
          <w14:ligatures w14:val="none"/>
        </w:rPr>
        <w:t>MLCBI, article 15</w:t>
      </w:r>
    </w:p>
  </w:footnote>
  <w:footnote w:id="21">
    <w:p w:rsidR="00684645" w:rsidRPr="00E966B9" w:rsidRDefault="00684645">
      <w:pPr>
        <w:pStyle w:val="Funotentext"/>
        <w:rPr>
          <w:rFonts w:ascii="Arial" w:hAnsi="Arial" w:cs="Arial"/>
          <w:color w:val="000000" w:themeColor="text1"/>
          <w:sz w:val="16"/>
          <w:szCs w:val="16"/>
          <w:lang w:val="en-GB"/>
        </w:rPr>
      </w:pPr>
      <w:r w:rsidRPr="00E966B9">
        <w:rPr>
          <w:rStyle w:val="Funotenzeichen"/>
          <w:rFonts w:ascii="Arial" w:hAnsi="Arial" w:cs="Arial"/>
          <w:color w:val="000000" w:themeColor="text1"/>
          <w:sz w:val="16"/>
          <w:szCs w:val="16"/>
        </w:rPr>
        <w:footnoteRef/>
      </w:r>
      <w:r w:rsidRPr="00E966B9">
        <w:rPr>
          <w:rFonts w:ascii="Arial" w:hAnsi="Arial" w:cs="Arial"/>
          <w:color w:val="000000" w:themeColor="text1"/>
          <w:sz w:val="16"/>
          <w:szCs w:val="16"/>
          <w:lang w:val="en-GB"/>
        </w:rPr>
        <w:t xml:space="preserve"> MLCBI, articles 2 and 17</w:t>
      </w:r>
    </w:p>
  </w:footnote>
  <w:footnote w:id="22">
    <w:p w:rsidR="00684645" w:rsidRPr="00E966B9" w:rsidRDefault="00684645">
      <w:pPr>
        <w:pStyle w:val="Funotentext"/>
        <w:rPr>
          <w:rFonts w:ascii="Arial" w:hAnsi="Arial" w:cs="Arial"/>
          <w:sz w:val="16"/>
          <w:szCs w:val="16"/>
        </w:rPr>
      </w:pPr>
      <w:r w:rsidRPr="00E966B9">
        <w:rPr>
          <w:rStyle w:val="Funotenzeichen"/>
          <w:rFonts w:ascii="Arial" w:hAnsi="Arial" w:cs="Arial"/>
          <w:sz w:val="16"/>
          <w:szCs w:val="16"/>
        </w:rPr>
        <w:footnoteRef/>
      </w:r>
      <w:r w:rsidRPr="00E966B9">
        <w:rPr>
          <w:rFonts w:ascii="Arial" w:hAnsi="Arial" w:cs="Arial"/>
          <w:sz w:val="16"/>
          <w:szCs w:val="16"/>
        </w:rPr>
        <w:t xml:space="preserve"> </w:t>
      </w:r>
      <w:r w:rsidRPr="00E966B9">
        <w:rPr>
          <w:rFonts w:ascii="Arial" w:hAnsi="Arial" w:cs="Arial"/>
          <w:sz w:val="16"/>
          <w:szCs w:val="16"/>
          <w:lang w:val="en-GB"/>
        </w:rPr>
        <w:t>MLCBI, article 20</w:t>
      </w:r>
    </w:p>
  </w:footnote>
  <w:footnote w:id="23">
    <w:p w:rsidR="00684645" w:rsidRPr="00E966B9" w:rsidRDefault="00684645">
      <w:pPr>
        <w:pStyle w:val="Funotentext"/>
        <w:rPr>
          <w:rFonts w:ascii="Arial" w:hAnsi="Arial" w:cs="Arial"/>
          <w:sz w:val="16"/>
          <w:szCs w:val="16"/>
        </w:rPr>
      </w:pPr>
      <w:r w:rsidRPr="00E966B9">
        <w:rPr>
          <w:rStyle w:val="Funotenzeichen"/>
          <w:rFonts w:ascii="Arial" w:hAnsi="Arial" w:cs="Arial"/>
          <w:sz w:val="16"/>
          <w:szCs w:val="16"/>
        </w:rPr>
        <w:footnoteRef/>
      </w:r>
      <w:r w:rsidRPr="00E966B9">
        <w:rPr>
          <w:rFonts w:ascii="Arial" w:hAnsi="Arial" w:cs="Arial"/>
          <w:sz w:val="16"/>
          <w:szCs w:val="16"/>
        </w:rPr>
        <w:t xml:space="preserve"> </w:t>
      </w:r>
      <w:r w:rsidRPr="00E966B9">
        <w:rPr>
          <w:rFonts w:ascii="Arial" w:eastAsia="Times New Roman" w:hAnsi="Arial" w:cs="Arial"/>
          <w:color w:val="666666"/>
          <w:sz w:val="16"/>
          <w:szCs w:val="16"/>
          <w:lang w:val="en-GB" w:eastAsia="de-DE"/>
          <w14:ligatures w14:val="none"/>
        </w:rPr>
        <w:t>MLCBI, article 19</w:t>
      </w:r>
    </w:p>
  </w:footnote>
  <w:footnote w:id="24">
    <w:p w:rsidR="00684645" w:rsidRDefault="00684645">
      <w:pPr>
        <w:pStyle w:val="Funotentext"/>
      </w:pPr>
      <w:r w:rsidRPr="00E966B9">
        <w:rPr>
          <w:rStyle w:val="Funotenzeichen"/>
          <w:rFonts w:ascii="Arial" w:hAnsi="Arial" w:cs="Arial"/>
          <w:sz w:val="16"/>
          <w:szCs w:val="16"/>
        </w:rPr>
        <w:footnoteRef/>
      </w:r>
      <w:r w:rsidRPr="00E966B9">
        <w:rPr>
          <w:rFonts w:ascii="Arial" w:hAnsi="Arial" w:cs="Arial"/>
          <w:sz w:val="16"/>
          <w:szCs w:val="16"/>
        </w:rPr>
        <w:t xml:space="preserve"> </w:t>
      </w:r>
      <w:r w:rsidRPr="00E966B9">
        <w:rPr>
          <w:rFonts w:ascii="Arial" w:eastAsia="Times New Roman" w:hAnsi="Arial" w:cs="Arial"/>
          <w:color w:val="666666"/>
          <w:sz w:val="16"/>
          <w:szCs w:val="16"/>
          <w:lang w:val="en-GB" w:eastAsia="de-DE"/>
          <w14:ligatures w14:val="none"/>
        </w:rPr>
        <w:t>MLCBI, articles 25 to 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BD8"/>
    <w:multiLevelType w:val="hybridMultilevel"/>
    <w:tmpl w:val="900A57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4D1BDE"/>
    <w:multiLevelType w:val="hybridMultilevel"/>
    <w:tmpl w:val="1B3E7E9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330EA2"/>
    <w:multiLevelType w:val="hybridMultilevel"/>
    <w:tmpl w:val="3E4A069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795A4A"/>
    <w:multiLevelType w:val="multilevel"/>
    <w:tmpl w:val="1E9A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A7776"/>
    <w:multiLevelType w:val="multilevel"/>
    <w:tmpl w:val="8CC2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40CFF"/>
    <w:multiLevelType w:val="hybridMultilevel"/>
    <w:tmpl w:val="AC9EA7A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2D49EF"/>
    <w:multiLevelType w:val="hybridMultilevel"/>
    <w:tmpl w:val="A0E60C5C"/>
    <w:lvl w:ilvl="0" w:tplc="04070013">
      <w:start w:val="1"/>
      <w:numFmt w:val="upperRoman"/>
      <w:lvlText w:val="%1."/>
      <w:lvlJc w:val="right"/>
      <w:pPr>
        <w:ind w:left="720" w:hanging="360"/>
      </w:pPr>
    </w:lvl>
    <w:lvl w:ilvl="1" w:tplc="9F1EC502">
      <w:start w:val="1"/>
      <w:numFmt w:val="decimal"/>
      <w:lvlText w:val="%2."/>
      <w:lvlJc w:val="left"/>
      <w:pPr>
        <w:ind w:left="1440" w:hanging="360"/>
      </w:pPr>
      <w:rPr>
        <w:rFonts w:ascii="Arial" w:hAnsi="Arial" w:hint="default"/>
        <w:color w:val="auto"/>
        <w:sz w:val="22"/>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907C57"/>
    <w:multiLevelType w:val="hybridMultilevel"/>
    <w:tmpl w:val="D092188C"/>
    <w:lvl w:ilvl="0" w:tplc="1D84CCC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E1118F"/>
    <w:multiLevelType w:val="hybridMultilevel"/>
    <w:tmpl w:val="786408E4"/>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3E6CF6"/>
    <w:multiLevelType w:val="hybridMultilevel"/>
    <w:tmpl w:val="E62CD1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C70688"/>
    <w:multiLevelType w:val="hybridMultilevel"/>
    <w:tmpl w:val="1B3E7E9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8233C1A"/>
    <w:multiLevelType w:val="multilevel"/>
    <w:tmpl w:val="DB3C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416C2B"/>
    <w:multiLevelType w:val="hybridMultilevel"/>
    <w:tmpl w:val="648CE2E0"/>
    <w:lvl w:ilvl="0" w:tplc="6F1CF84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9F5684"/>
    <w:multiLevelType w:val="hybridMultilevel"/>
    <w:tmpl w:val="2D62889E"/>
    <w:lvl w:ilvl="0" w:tplc="E53E0488">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C11E02"/>
    <w:multiLevelType w:val="multilevel"/>
    <w:tmpl w:val="F162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372884"/>
    <w:multiLevelType w:val="hybridMultilevel"/>
    <w:tmpl w:val="5268E5DC"/>
    <w:lvl w:ilvl="0" w:tplc="E6EEE4D4">
      <w:numFmt w:val="bullet"/>
      <w:lvlText w:val="-"/>
      <w:lvlJc w:val="left"/>
      <w:pPr>
        <w:ind w:left="720" w:hanging="360"/>
      </w:pPr>
      <w:rPr>
        <w:rFonts w:ascii="Arial" w:eastAsia="Aptos"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79B7418E"/>
    <w:multiLevelType w:val="multilevel"/>
    <w:tmpl w:val="644A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3"/>
  </w:num>
  <w:num w:numId="4">
    <w:abstractNumId w:val="14"/>
  </w:num>
  <w:num w:numId="5">
    <w:abstractNumId w:val="16"/>
  </w:num>
  <w:num w:numId="6">
    <w:abstractNumId w:val="6"/>
  </w:num>
  <w:num w:numId="7">
    <w:abstractNumId w:val="12"/>
  </w:num>
  <w:num w:numId="8">
    <w:abstractNumId w:val="9"/>
  </w:num>
  <w:num w:numId="9">
    <w:abstractNumId w:val="13"/>
  </w:num>
  <w:num w:numId="10">
    <w:abstractNumId w:val="10"/>
  </w:num>
  <w:num w:numId="11">
    <w:abstractNumId w:val="7"/>
  </w:num>
  <w:num w:numId="12">
    <w:abstractNumId w:val="5"/>
  </w:num>
  <w:num w:numId="13">
    <w:abstractNumId w:val="15"/>
  </w:num>
  <w:num w:numId="14">
    <w:abstractNumId w:val="2"/>
  </w:num>
  <w:num w:numId="15">
    <w:abstractNumId w:val="1"/>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DBE"/>
    <w:rsid w:val="00062D96"/>
    <w:rsid w:val="000A1CCD"/>
    <w:rsid w:val="000D5F60"/>
    <w:rsid w:val="00150CCA"/>
    <w:rsid w:val="00181E9E"/>
    <w:rsid w:val="00192760"/>
    <w:rsid w:val="001A0BE8"/>
    <w:rsid w:val="001F5A51"/>
    <w:rsid w:val="001F77D3"/>
    <w:rsid w:val="00212A92"/>
    <w:rsid w:val="002D6A6D"/>
    <w:rsid w:val="00321EFB"/>
    <w:rsid w:val="0034044D"/>
    <w:rsid w:val="00344976"/>
    <w:rsid w:val="003D3680"/>
    <w:rsid w:val="00465EB9"/>
    <w:rsid w:val="00474C20"/>
    <w:rsid w:val="00512491"/>
    <w:rsid w:val="00525ACB"/>
    <w:rsid w:val="00530883"/>
    <w:rsid w:val="00541ABA"/>
    <w:rsid w:val="00564535"/>
    <w:rsid w:val="00596DBE"/>
    <w:rsid w:val="006354FC"/>
    <w:rsid w:val="00684645"/>
    <w:rsid w:val="006E3DBF"/>
    <w:rsid w:val="007A7D6A"/>
    <w:rsid w:val="008613CA"/>
    <w:rsid w:val="008A1F12"/>
    <w:rsid w:val="00A357B2"/>
    <w:rsid w:val="00AB7B41"/>
    <w:rsid w:val="00B3607D"/>
    <w:rsid w:val="00C760D3"/>
    <w:rsid w:val="00C91EF9"/>
    <w:rsid w:val="00E966B9"/>
    <w:rsid w:val="00EA3474"/>
    <w:rsid w:val="00ED75ED"/>
    <w:rsid w:val="00F03F2F"/>
    <w:rsid w:val="00F05925"/>
    <w:rsid w:val="00F432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2837"/>
  <w15:chartTrackingRefBased/>
  <w15:docId w15:val="{7879FD90-D3F7-4614-BFE3-57391034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84645"/>
    <w:pPr>
      <w:spacing w:after="0" w:line="240" w:lineRule="auto"/>
    </w:pPr>
    <w:rPr>
      <w:rFonts w:ascii="Calibri" w:hAnsi="Calibri" w:cs="Calibri"/>
      <w14:ligatures w14:val="standardContextua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F03F2F"/>
    <w:rPr>
      <w:b/>
      <w:bCs/>
    </w:rPr>
  </w:style>
  <w:style w:type="paragraph" w:styleId="StandardWeb">
    <w:name w:val="Normal (Web)"/>
    <w:basedOn w:val="Standard"/>
    <w:uiPriority w:val="99"/>
    <w:semiHidden/>
    <w:unhideWhenUsed/>
    <w:rsid w:val="00F03F2F"/>
    <w:pPr>
      <w:spacing w:before="100" w:beforeAutospacing="1" w:after="100" w:afterAutospacing="1"/>
    </w:pPr>
    <w:rPr>
      <w:rFonts w:ascii="Times New Roman" w:eastAsia="Times New Roman" w:hAnsi="Times New Roman" w:cs="Times New Roman"/>
      <w:sz w:val="24"/>
      <w:szCs w:val="24"/>
      <w:lang w:eastAsia="de-DE"/>
      <w14:ligatures w14:val="none"/>
    </w:rPr>
  </w:style>
  <w:style w:type="paragraph" w:customStyle="1" w:styleId="FormatvorlageBlock">
    <w:name w:val="Formatvorlage Block"/>
    <w:basedOn w:val="Standard"/>
    <w:rsid w:val="000D5F60"/>
    <w:pPr>
      <w:spacing w:after="120" w:line="320" w:lineRule="atLeast"/>
      <w:jc w:val="both"/>
    </w:pPr>
    <w:rPr>
      <w:rFonts w:ascii="Arial" w:eastAsia="Times New Roman" w:hAnsi="Arial" w:cs="Times New Roman"/>
      <w:szCs w:val="20"/>
      <w:lang w:eastAsia="de-DE"/>
      <w14:ligatures w14:val="none"/>
    </w:rPr>
  </w:style>
  <w:style w:type="paragraph" w:styleId="Listenabsatz">
    <w:name w:val="List Paragraph"/>
    <w:basedOn w:val="Standard"/>
    <w:uiPriority w:val="34"/>
    <w:qFormat/>
    <w:rsid w:val="00A357B2"/>
    <w:pPr>
      <w:ind w:left="720"/>
      <w:contextualSpacing/>
    </w:pPr>
  </w:style>
  <w:style w:type="character" w:styleId="Hyperlink">
    <w:name w:val="Hyperlink"/>
    <w:basedOn w:val="Absatz-Standardschriftart"/>
    <w:unhideWhenUsed/>
    <w:rsid w:val="00530883"/>
    <w:rPr>
      <w:color w:val="0563C1" w:themeColor="hyperlink"/>
      <w:u w:val="single"/>
    </w:rPr>
  </w:style>
  <w:style w:type="character" w:styleId="NichtaufgelsteErwhnung">
    <w:name w:val="Unresolved Mention"/>
    <w:basedOn w:val="Absatz-Standardschriftart"/>
    <w:uiPriority w:val="99"/>
    <w:semiHidden/>
    <w:unhideWhenUsed/>
    <w:rsid w:val="00530883"/>
    <w:rPr>
      <w:color w:val="605E5C"/>
      <w:shd w:val="clear" w:color="auto" w:fill="E1DFDD"/>
    </w:rPr>
  </w:style>
  <w:style w:type="paragraph" w:styleId="Funotentext">
    <w:name w:val="footnote text"/>
    <w:basedOn w:val="Standard"/>
    <w:link w:val="FunotentextZchn"/>
    <w:uiPriority w:val="99"/>
    <w:semiHidden/>
    <w:unhideWhenUsed/>
    <w:rsid w:val="0034044D"/>
    <w:rPr>
      <w:sz w:val="20"/>
      <w:szCs w:val="20"/>
    </w:rPr>
  </w:style>
  <w:style w:type="character" w:customStyle="1" w:styleId="FunotentextZchn">
    <w:name w:val="Fußnotentext Zchn"/>
    <w:basedOn w:val="Absatz-Standardschriftart"/>
    <w:link w:val="Funotentext"/>
    <w:uiPriority w:val="99"/>
    <w:semiHidden/>
    <w:rsid w:val="0034044D"/>
    <w:rPr>
      <w:rFonts w:ascii="Calibri" w:hAnsi="Calibri" w:cs="Calibri"/>
      <w:sz w:val="20"/>
      <w:szCs w:val="20"/>
      <w14:ligatures w14:val="standardContextual"/>
    </w:rPr>
  </w:style>
  <w:style w:type="character" w:styleId="Funotenzeichen">
    <w:name w:val="footnote reference"/>
    <w:basedOn w:val="Absatz-Standardschriftart"/>
    <w:uiPriority w:val="99"/>
    <w:semiHidden/>
    <w:unhideWhenUsed/>
    <w:rsid w:val="0034044D"/>
    <w:rPr>
      <w:vertAlign w:val="superscript"/>
    </w:rPr>
  </w:style>
  <w:style w:type="paragraph" w:styleId="Kopfzeile">
    <w:name w:val="header"/>
    <w:basedOn w:val="Standard"/>
    <w:link w:val="KopfzeileZchn"/>
    <w:uiPriority w:val="99"/>
    <w:unhideWhenUsed/>
    <w:rsid w:val="008A1F12"/>
    <w:pPr>
      <w:tabs>
        <w:tab w:val="center" w:pos="4536"/>
        <w:tab w:val="right" w:pos="9072"/>
      </w:tabs>
    </w:pPr>
  </w:style>
  <w:style w:type="character" w:customStyle="1" w:styleId="KopfzeileZchn">
    <w:name w:val="Kopfzeile Zchn"/>
    <w:basedOn w:val="Absatz-Standardschriftart"/>
    <w:link w:val="Kopfzeile"/>
    <w:uiPriority w:val="99"/>
    <w:rsid w:val="008A1F12"/>
    <w:rPr>
      <w:rFonts w:ascii="Calibri" w:hAnsi="Calibri" w:cs="Calibri"/>
      <w14:ligatures w14:val="standardContextual"/>
    </w:rPr>
  </w:style>
  <w:style w:type="paragraph" w:styleId="Fuzeile">
    <w:name w:val="footer"/>
    <w:basedOn w:val="Standard"/>
    <w:link w:val="FuzeileZchn"/>
    <w:uiPriority w:val="99"/>
    <w:unhideWhenUsed/>
    <w:rsid w:val="008A1F12"/>
    <w:pPr>
      <w:tabs>
        <w:tab w:val="center" w:pos="4536"/>
        <w:tab w:val="right" w:pos="9072"/>
      </w:tabs>
    </w:pPr>
  </w:style>
  <w:style w:type="character" w:customStyle="1" w:styleId="FuzeileZchn">
    <w:name w:val="Fußzeile Zchn"/>
    <w:basedOn w:val="Absatz-Standardschriftart"/>
    <w:link w:val="Fuzeile"/>
    <w:uiPriority w:val="99"/>
    <w:rsid w:val="008A1F12"/>
    <w:rPr>
      <w:rFonts w:ascii="Calibri" w:hAnsi="Calibri" w:cs="Calibri"/>
      <w14:ligatures w14:val="standardContextual"/>
    </w:rPr>
  </w:style>
  <w:style w:type="paragraph" w:styleId="Sprechblasentext">
    <w:name w:val="Balloon Text"/>
    <w:basedOn w:val="Standard"/>
    <w:link w:val="SprechblasentextZchn"/>
    <w:uiPriority w:val="99"/>
    <w:semiHidden/>
    <w:unhideWhenUsed/>
    <w:rsid w:val="001A0BE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0BE8"/>
    <w:rPr>
      <w:rFonts w:ascii="Segoe UI" w:hAnsi="Segoe UI" w:cs="Segoe UI"/>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5751">
      <w:bodyDiv w:val="1"/>
      <w:marLeft w:val="0"/>
      <w:marRight w:val="0"/>
      <w:marTop w:val="0"/>
      <w:marBottom w:val="0"/>
      <w:divBdr>
        <w:top w:val="none" w:sz="0" w:space="0" w:color="auto"/>
        <w:left w:val="none" w:sz="0" w:space="0" w:color="auto"/>
        <w:bottom w:val="none" w:sz="0" w:space="0" w:color="auto"/>
        <w:right w:val="none" w:sz="0" w:space="0" w:color="auto"/>
      </w:divBdr>
      <w:divsChild>
        <w:div w:id="1184980097">
          <w:marLeft w:val="0"/>
          <w:marRight w:val="0"/>
          <w:marTop w:val="0"/>
          <w:marBottom w:val="0"/>
          <w:divBdr>
            <w:top w:val="none" w:sz="0" w:space="0" w:color="auto"/>
            <w:left w:val="none" w:sz="0" w:space="0" w:color="auto"/>
            <w:bottom w:val="none" w:sz="0" w:space="0" w:color="auto"/>
            <w:right w:val="none" w:sz="0" w:space="0" w:color="auto"/>
          </w:divBdr>
        </w:div>
        <w:div w:id="1679885518">
          <w:marLeft w:val="0"/>
          <w:marRight w:val="0"/>
          <w:marTop w:val="0"/>
          <w:marBottom w:val="0"/>
          <w:divBdr>
            <w:top w:val="none" w:sz="0" w:space="0" w:color="auto"/>
            <w:left w:val="none" w:sz="0" w:space="0" w:color="auto"/>
            <w:bottom w:val="none" w:sz="0" w:space="0" w:color="auto"/>
            <w:right w:val="none" w:sz="0" w:space="0" w:color="auto"/>
          </w:divBdr>
        </w:div>
        <w:div w:id="1592934723">
          <w:marLeft w:val="0"/>
          <w:marRight w:val="0"/>
          <w:marTop w:val="0"/>
          <w:marBottom w:val="0"/>
          <w:divBdr>
            <w:top w:val="none" w:sz="0" w:space="0" w:color="auto"/>
            <w:left w:val="none" w:sz="0" w:space="0" w:color="auto"/>
            <w:bottom w:val="none" w:sz="0" w:space="0" w:color="auto"/>
            <w:right w:val="none" w:sz="0" w:space="0" w:color="auto"/>
          </w:divBdr>
        </w:div>
        <w:div w:id="1086196887">
          <w:marLeft w:val="0"/>
          <w:marRight w:val="0"/>
          <w:marTop w:val="0"/>
          <w:marBottom w:val="0"/>
          <w:divBdr>
            <w:top w:val="none" w:sz="0" w:space="0" w:color="auto"/>
            <w:left w:val="none" w:sz="0" w:space="0" w:color="auto"/>
            <w:bottom w:val="none" w:sz="0" w:space="0" w:color="auto"/>
            <w:right w:val="none" w:sz="0" w:space="0" w:color="auto"/>
          </w:divBdr>
        </w:div>
        <w:div w:id="2107841344">
          <w:marLeft w:val="0"/>
          <w:marRight w:val="0"/>
          <w:marTop w:val="0"/>
          <w:marBottom w:val="0"/>
          <w:divBdr>
            <w:top w:val="none" w:sz="0" w:space="0" w:color="auto"/>
            <w:left w:val="none" w:sz="0" w:space="0" w:color="auto"/>
            <w:bottom w:val="none" w:sz="0" w:space="0" w:color="auto"/>
            <w:right w:val="none" w:sz="0" w:space="0" w:color="auto"/>
          </w:divBdr>
        </w:div>
        <w:div w:id="1955280789">
          <w:marLeft w:val="0"/>
          <w:marRight w:val="0"/>
          <w:marTop w:val="0"/>
          <w:marBottom w:val="0"/>
          <w:divBdr>
            <w:top w:val="none" w:sz="0" w:space="0" w:color="auto"/>
            <w:left w:val="none" w:sz="0" w:space="0" w:color="auto"/>
            <w:bottom w:val="none" w:sz="0" w:space="0" w:color="auto"/>
            <w:right w:val="none" w:sz="0" w:space="0" w:color="auto"/>
          </w:divBdr>
        </w:div>
        <w:div w:id="2001617765">
          <w:marLeft w:val="0"/>
          <w:marRight w:val="0"/>
          <w:marTop w:val="0"/>
          <w:marBottom w:val="0"/>
          <w:divBdr>
            <w:top w:val="none" w:sz="0" w:space="0" w:color="auto"/>
            <w:left w:val="none" w:sz="0" w:space="0" w:color="auto"/>
            <w:bottom w:val="none" w:sz="0" w:space="0" w:color="auto"/>
            <w:right w:val="none" w:sz="0" w:space="0" w:color="auto"/>
          </w:divBdr>
        </w:div>
        <w:div w:id="685058766">
          <w:marLeft w:val="0"/>
          <w:marRight w:val="0"/>
          <w:marTop w:val="0"/>
          <w:marBottom w:val="0"/>
          <w:divBdr>
            <w:top w:val="none" w:sz="0" w:space="0" w:color="auto"/>
            <w:left w:val="none" w:sz="0" w:space="0" w:color="auto"/>
            <w:bottom w:val="none" w:sz="0" w:space="0" w:color="auto"/>
            <w:right w:val="none" w:sz="0" w:space="0" w:color="auto"/>
          </w:divBdr>
        </w:div>
        <w:div w:id="1031956217">
          <w:marLeft w:val="0"/>
          <w:marRight w:val="0"/>
          <w:marTop w:val="0"/>
          <w:marBottom w:val="0"/>
          <w:divBdr>
            <w:top w:val="none" w:sz="0" w:space="0" w:color="auto"/>
            <w:left w:val="none" w:sz="0" w:space="0" w:color="auto"/>
            <w:bottom w:val="none" w:sz="0" w:space="0" w:color="auto"/>
            <w:right w:val="none" w:sz="0" w:space="0" w:color="auto"/>
          </w:divBdr>
        </w:div>
        <w:div w:id="398748369">
          <w:marLeft w:val="0"/>
          <w:marRight w:val="0"/>
          <w:marTop w:val="0"/>
          <w:marBottom w:val="0"/>
          <w:divBdr>
            <w:top w:val="none" w:sz="0" w:space="0" w:color="auto"/>
            <w:left w:val="none" w:sz="0" w:space="0" w:color="auto"/>
            <w:bottom w:val="none" w:sz="0" w:space="0" w:color="auto"/>
            <w:right w:val="none" w:sz="0" w:space="0" w:color="auto"/>
          </w:divBdr>
        </w:div>
        <w:div w:id="1915240699">
          <w:marLeft w:val="0"/>
          <w:marRight w:val="0"/>
          <w:marTop w:val="0"/>
          <w:marBottom w:val="0"/>
          <w:divBdr>
            <w:top w:val="none" w:sz="0" w:space="0" w:color="auto"/>
            <w:left w:val="none" w:sz="0" w:space="0" w:color="auto"/>
            <w:bottom w:val="none" w:sz="0" w:space="0" w:color="auto"/>
            <w:right w:val="none" w:sz="0" w:space="0" w:color="auto"/>
          </w:divBdr>
        </w:div>
        <w:div w:id="1785881578">
          <w:marLeft w:val="0"/>
          <w:marRight w:val="0"/>
          <w:marTop w:val="0"/>
          <w:marBottom w:val="0"/>
          <w:divBdr>
            <w:top w:val="none" w:sz="0" w:space="0" w:color="auto"/>
            <w:left w:val="none" w:sz="0" w:space="0" w:color="auto"/>
            <w:bottom w:val="none" w:sz="0" w:space="0" w:color="auto"/>
            <w:right w:val="none" w:sz="0" w:space="0" w:color="auto"/>
          </w:divBdr>
        </w:div>
        <w:div w:id="524830271">
          <w:marLeft w:val="0"/>
          <w:marRight w:val="0"/>
          <w:marTop w:val="0"/>
          <w:marBottom w:val="0"/>
          <w:divBdr>
            <w:top w:val="none" w:sz="0" w:space="0" w:color="auto"/>
            <w:left w:val="none" w:sz="0" w:space="0" w:color="auto"/>
            <w:bottom w:val="none" w:sz="0" w:space="0" w:color="auto"/>
            <w:right w:val="none" w:sz="0" w:space="0" w:color="auto"/>
          </w:divBdr>
        </w:div>
        <w:div w:id="1916278452">
          <w:marLeft w:val="0"/>
          <w:marRight w:val="0"/>
          <w:marTop w:val="0"/>
          <w:marBottom w:val="0"/>
          <w:divBdr>
            <w:top w:val="none" w:sz="0" w:space="0" w:color="auto"/>
            <w:left w:val="none" w:sz="0" w:space="0" w:color="auto"/>
            <w:bottom w:val="none" w:sz="0" w:space="0" w:color="auto"/>
            <w:right w:val="none" w:sz="0" w:space="0" w:color="auto"/>
          </w:divBdr>
        </w:div>
        <w:div w:id="2064986527">
          <w:marLeft w:val="0"/>
          <w:marRight w:val="0"/>
          <w:marTop w:val="0"/>
          <w:marBottom w:val="0"/>
          <w:divBdr>
            <w:top w:val="none" w:sz="0" w:space="0" w:color="auto"/>
            <w:left w:val="none" w:sz="0" w:space="0" w:color="auto"/>
            <w:bottom w:val="none" w:sz="0" w:space="0" w:color="auto"/>
            <w:right w:val="none" w:sz="0" w:space="0" w:color="auto"/>
          </w:divBdr>
        </w:div>
        <w:div w:id="1066605121">
          <w:marLeft w:val="0"/>
          <w:marRight w:val="0"/>
          <w:marTop w:val="0"/>
          <w:marBottom w:val="0"/>
          <w:divBdr>
            <w:top w:val="none" w:sz="0" w:space="0" w:color="auto"/>
            <w:left w:val="none" w:sz="0" w:space="0" w:color="auto"/>
            <w:bottom w:val="none" w:sz="0" w:space="0" w:color="auto"/>
            <w:right w:val="none" w:sz="0" w:space="0" w:color="auto"/>
          </w:divBdr>
        </w:div>
        <w:div w:id="1280643131">
          <w:marLeft w:val="0"/>
          <w:marRight w:val="0"/>
          <w:marTop w:val="0"/>
          <w:marBottom w:val="0"/>
          <w:divBdr>
            <w:top w:val="none" w:sz="0" w:space="0" w:color="auto"/>
            <w:left w:val="none" w:sz="0" w:space="0" w:color="auto"/>
            <w:bottom w:val="none" w:sz="0" w:space="0" w:color="auto"/>
            <w:right w:val="none" w:sz="0" w:space="0" w:color="auto"/>
          </w:divBdr>
        </w:div>
        <w:div w:id="851266531">
          <w:marLeft w:val="0"/>
          <w:marRight w:val="0"/>
          <w:marTop w:val="0"/>
          <w:marBottom w:val="0"/>
          <w:divBdr>
            <w:top w:val="none" w:sz="0" w:space="0" w:color="auto"/>
            <w:left w:val="none" w:sz="0" w:space="0" w:color="auto"/>
            <w:bottom w:val="none" w:sz="0" w:space="0" w:color="auto"/>
            <w:right w:val="none" w:sz="0" w:space="0" w:color="auto"/>
          </w:divBdr>
        </w:div>
        <w:div w:id="1426421543">
          <w:marLeft w:val="0"/>
          <w:marRight w:val="0"/>
          <w:marTop w:val="0"/>
          <w:marBottom w:val="0"/>
          <w:divBdr>
            <w:top w:val="none" w:sz="0" w:space="0" w:color="auto"/>
            <w:left w:val="none" w:sz="0" w:space="0" w:color="auto"/>
            <w:bottom w:val="none" w:sz="0" w:space="0" w:color="auto"/>
            <w:right w:val="none" w:sz="0" w:space="0" w:color="auto"/>
          </w:divBdr>
        </w:div>
        <w:div w:id="1155216708">
          <w:marLeft w:val="0"/>
          <w:marRight w:val="0"/>
          <w:marTop w:val="0"/>
          <w:marBottom w:val="0"/>
          <w:divBdr>
            <w:top w:val="none" w:sz="0" w:space="0" w:color="auto"/>
            <w:left w:val="none" w:sz="0" w:space="0" w:color="auto"/>
            <w:bottom w:val="none" w:sz="0" w:space="0" w:color="auto"/>
            <w:right w:val="none" w:sz="0" w:space="0" w:color="auto"/>
          </w:divBdr>
        </w:div>
        <w:div w:id="240333716">
          <w:marLeft w:val="0"/>
          <w:marRight w:val="0"/>
          <w:marTop w:val="0"/>
          <w:marBottom w:val="0"/>
          <w:divBdr>
            <w:top w:val="none" w:sz="0" w:space="0" w:color="auto"/>
            <w:left w:val="none" w:sz="0" w:space="0" w:color="auto"/>
            <w:bottom w:val="none" w:sz="0" w:space="0" w:color="auto"/>
            <w:right w:val="none" w:sz="0" w:space="0" w:color="auto"/>
          </w:divBdr>
        </w:div>
        <w:div w:id="1056587701">
          <w:marLeft w:val="0"/>
          <w:marRight w:val="0"/>
          <w:marTop w:val="0"/>
          <w:marBottom w:val="0"/>
          <w:divBdr>
            <w:top w:val="none" w:sz="0" w:space="0" w:color="auto"/>
            <w:left w:val="none" w:sz="0" w:space="0" w:color="auto"/>
            <w:bottom w:val="none" w:sz="0" w:space="0" w:color="auto"/>
            <w:right w:val="none" w:sz="0" w:space="0" w:color="auto"/>
          </w:divBdr>
        </w:div>
        <w:div w:id="475220374">
          <w:marLeft w:val="0"/>
          <w:marRight w:val="0"/>
          <w:marTop w:val="0"/>
          <w:marBottom w:val="0"/>
          <w:divBdr>
            <w:top w:val="none" w:sz="0" w:space="0" w:color="auto"/>
            <w:left w:val="none" w:sz="0" w:space="0" w:color="auto"/>
            <w:bottom w:val="none" w:sz="0" w:space="0" w:color="auto"/>
            <w:right w:val="none" w:sz="0" w:space="0" w:color="auto"/>
          </w:divBdr>
        </w:div>
        <w:div w:id="485829853">
          <w:marLeft w:val="0"/>
          <w:marRight w:val="0"/>
          <w:marTop w:val="0"/>
          <w:marBottom w:val="0"/>
          <w:divBdr>
            <w:top w:val="none" w:sz="0" w:space="0" w:color="auto"/>
            <w:left w:val="none" w:sz="0" w:space="0" w:color="auto"/>
            <w:bottom w:val="none" w:sz="0" w:space="0" w:color="auto"/>
            <w:right w:val="none" w:sz="0" w:space="0" w:color="auto"/>
          </w:divBdr>
        </w:div>
        <w:div w:id="712577582">
          <w:marLeft w:val="0"/>
          <w:marRight w:val="0"/>
          <w:marTop w:val="0"/>
          <w:marBottom w:val="0"/>
          <w:divBdr>
            <w:top w:val="none" w:sz="0" w:space="0" w:color="auto"/>
            <w:left w:val="none" w:sz="0" w:space="0" w:color="auto"/>
            <w:bottom w:val="none" w:sz="0" w:space="0" w:color="auto"/>
            <w:right w:val="none" w:sz="0" w:space="0" w:color="auto"/>
          </w:divBdr>
        </w:div>
        <w:div w:id="1904677821">
          <w:marLeft w:val="0"/>
          <w:marRight w:val="0"/>
          <w:marTop w:val="0"/>
          <w:marBottom w:val="0"/>
          <w:divBdr>
            <w:top w:val="none" w:sz="0" w:space="0" w:color="auto"/>
            <w:left w:val="none" w:sz="0" w:space="0" w:color="auto"/>
            <w:bottom w:val="none" w:sz="0" w:space="0" w:color="auto"/>
            <w:right w:val="none" w:sz="0" w:space="0" w:color="auto"/>
          </w:divBdr>
        </w:div>
        <w:div w:id="1340237337">
          <w:marLeft w:val="0"/>
          <w:marRight w:val="0"/>
          <w:marTop w:val="0"/>
          <w:marBottom w:val="0"/>
          <w:divBdr>
            <w:top w:val="none" w:sz="0" w:space="0" w:color="auto"/>
            <w:left w:val="none" w:sz="0" w:space="0" w:color="auto"/>
            <w:bottom w:val="none" w:sz="0" w:space="0" w:color="auto"/>
            <w:right w:val="none" w:sz="0" w:space="0" w:color="auto"/>
          </w:divBdr>
        </w:div>
        <w:div w:id="1963264914">
          <w:marLeft w:val="0"/>
          <w:marRight w:val="0"/>
          <w:marTop w:val="0"/>
          <w:marBottom w:val="0"/>
          <w:divBdr>
            <w:top w:val="none" w:sz="0" w:space="0" w:color="auto"/>
            <w:left w:val="none" w:sz="0" w:space="0" w:color="auto"/>
            <w:bottom w:val="none" w:sz="0" w:space="0" w:color="auto"/>
            <w:right w:val="none" w:sz="0" w:space="0" w:color="auto"/>
          </w:divBdr>
        </w:div>
        <w:div w:id="1523283362">
          <w:marLeft w:val="0"/>
          <w:marRight w:val="0"/>
          <w:marTop w:val="0"/>
          <w:marBottom w:val="0"/>
          <w:divBdr>
            <w:top w:val="none" w:sz="0" w:space="0" w:color="auto"/>
            <w:left w:val="none" w:sz="0" w:space="0" w:color="auto"/>
            <w:bottom w:val="none" w:sz="0" w:space="0" w:color="auto"/>
            <w:right w:val="none" w:sz="0" w:space="0" w:color="auto"/>
          </w:divBdr>
        </w:div>
        <w:div w:id="94252438">
          <w:marLeft w:val="0"/>
          <w:marRight w:val="0"/>
          <w:marTop w:val="0"/>
          <w:marBottom w:val="0"/>
          <w:divBdr>
            <w:top w:val="none" w:sz="0" w:space="0" w:color="auto"/>
            <w:left w:val="none" w:sz="0" w:space="0" w:color="auto"/>
            <w:bottom w:val="none" w:sz="0" w:space="0" w:color="auto"/>
            <w:right w:val="none" w:sz="0" w:space="0" w:color="auto"/>
          </w:divBdr>
        </w:div>
        <w:div w:id="1878203682">
          <w:marLeft w:val="0"/>
          <w:marRight w:val="0"/>
          <w:marTop w:val="0"/>
          <w:marBottom w:val="0"/>
          <w:divBdr>
            <w:top w:val="none" w:sz="0" w:space="0" w:color="auto"/>
            <w:left w:val="none" w:sz="0" w:space="0" w:color="auto"/>
            <w:bottom w:val="none" w:sz="0" w:space="0" w:color="auto"/>
            <w:right w:val="none" w:sz="0" w:space="0" w:color="auto"/>
          </w:divBdr>
        </w:div>
        <w:div w:id="713433381">
          <w:marLeft w:val="0"/>
          <w:marRight w:val="0"/>
          <w:marTop w:val="0"/>
          <w:marBottom w:val="0"/>
          <w:divBdr>
            <w:top w:val="none" w:sz="0" w:space="0" w:color="auto"/>
            <w:left w:val="none" w:sz="0" w:space="0" w:color="auto"/>
            <w:bottom w:val="none" w:sz="0" w:space="0" w:color="auto"/>
            <w:right w:val="none" w:sz="0" w:space="0" w:color="auto"/>
          </w:divBdr>
        </w:div>
        <w:div w:id="183784903">
          <w:marLeft w:val="0"/>
          <w:marRight w:val="0"/>
          <w:marTop w:val="0"/>
          <w:marBottom w:val="0"/>
          <w:divBdr>
            <w:top w:val="none" w:sz="0" w:space="0" w:color="auto"/>
            <w:left w:val="none" w:sz="0" w:space="0" w:color="auto"/>
            <w:bottom w:val="none" w:sz="0" w:space="0" w:color="auto"/>
            <w:right w:val="none" w:sz="0" w:space="0" w:color="auto"/>
          </w:divBdr>
        </w:div>
        <w:div w:id="1122379563">
          <w:marLeft w:val="0"/>
          <w:marRight w:val="0"/>
          <w:marTop w:val="0"/>
          <w:marBottom w:val="0"/>
          <w:divBdr>
            <w:top w:val="none" w:sz="0" w:space="0" w:color="auto"/>
            <w:left w:val="none" w:sz="0" w:space="0" w:color="auto"/>
            <w:bottom w:val="none" w:sz="0" w:space="0" w:color="auto"/>
            <w:right w:val="none" w:sz="0" w:space="0" w:color="auto"/>
          </w:divBdr>
        </w:div>
        <w:div w:id="988093921">
          <w:marLeft w:val="0"/>
          <w:marRight w:val="0"/>
          <w:marTop w:val="0"/>
          <w:marBottom w:val="0"/>
          <w:divBdr>
            <w:top w:val="none" w:sz="0" w:space="0" w:color="auto"/>
            <w:left w:val="none" w:sz="0" w:space="0" w:color="auto"/>
            <w:bottom w:val="none" w:sz="0" w:space="0" w:color="auto"/>
            <w:right w:val="none" w:sz="0" w:space="0" w:color="auto"/>
          </w:divBdr>
        </w:div>
        <w:div w:id="1213889098">
          <w:marLeft w:val="0"/>
          <w:marRight w:val="0"/>
          <w:marTop w:val="0"/>
          <w:marBottom w:val="0"/>
          <w:divBdr>
            <w:top w:val="none" w:sz="0" w:space="0" w:color="auto"/>
            <w:left w:val="none" w:sz="0" w:space="0" w:color="auto"/>
            <w:bottom w:val="none" w:sz="0" w:space="0" w:color="auto"/>
            <w:right w:val="none" w:sz="0" w:space="0" w:color="auto"/>
          </w:divBdr>
        </w:div>
        <w:div w:id="408118013">
          <w:marLeft w:val="0"/>
          <w:marRight w:val="0"/>
          <w:marTop w:val="0"/>
          <w:marBottom w:val="0"/>
          <w:divBdr>
            <w:top w:val="none" w:sz="0" w:space="0" w:color="auto"/>
            <w:left w:val="none" w:sz="0" w:space="0" w:color="auto"/>
            <w:bottom w:val="none" w:sz="0" w:space="0" w:color="auto"/>
            <w:right w:val="none" w:sz="0" w:space="0" w:color="auto"/>
          </w:divBdr>
        </w:div>
        <w:div w:id="672300304">
          <w:marLeft w:val="0"/>
          <w:marRight w:val="0"/>
          <w:marTop w:val="0"/>
          <w:marBottom w:val="0"/>
          <w:divBdr>
            <w:top w:val="none" w:sz="0" w:space="0" w:color="auto"/>
            <w:left w:val="none" w:sz="0" w:space="0" w:color="auto"/>
            <w:bottom w:val="none" w:sz="0" w:space="0" w:color="auto"/>
            <w:right w:val="none" w:sz="0" w:space="0" w:color="auto"/>
          </w:divBdr>
        </w:div>
      </w:divsChild>
    </w:div>
    <w:div w:id="557011055">
      <w:bodyDiv w:val="1"/>
      <w:marLeft w:val="0"/>
      <w:marRight w:val="0"/>
      <w:marTop w:val="0"/>
      <w:marBottom w:val="0"/>
      <w:divBdr>
        <w:top w:val="none" w:sz="0" w:space="0" w:color="auto"/>
        <w:left w:val="none" w:sz="0" w:space="0" w:color="auto"/>
        <w:bottom w:val="none" w:sz="0" w:space="0" w:color="auto"/>
        <w:right w:val="none" w:sz="0" w:space="0" w:color="auto"/>
      </w:divBdr>
    </w:div>
    <w:div w:id="854732196">
      <w:bodyDiv w:val="1"/>
      <w:marLeft w:val="0"/>
      <w:marRight w:val="0"/>
      <w:marTop w:val="0"/>
      <w:marBottom w:val="0"/>
      <w:divBdr>
        <w:top w:val="none" w:sz="0" w:space="0" w:color="auto"/>
        <w:left w:val="none" w:sz="0" w:space="0" w:color="auto"/>
        <w:bottom w:val="none" w:sz="0" w:space="0" w:color="auto"/>
        <w:right w:val="none" w:sz="0" w:space="0" w:color="auto"/>
      </w:divBdr>
    </w:div>
    <w:div w:id="1058044768">
      <w:bodyDiv w:val="1"/>
      <w:marLeft w:val="0"/>
      <w:marRight w:val="0"/>
      <w:marTop w:val="0"/>
      <w:marBottom w:val="0"/>
      <w:divBdr>
        <w:top w:val="none" w:sz="0" w:space="0" w:color="auto"/>
        <w:left w:val="none" w:sz="0" w:space="0" w:color="auto"/>
        <w:bottom w:val="none" w:sz="0" w:space="0" w:color="auto"/>
        <w:right w:val="none" w:sz="0" w:space="0" w:color="auto"/>
      </w:divBdr>
    </w:div>
    <w:div w:id="1245068368">
      <w:bodyDiv w:val="1"/>
      <w:marLeft w:val="0"/>
      <w:marRight w:val="0"/>
      <w:marTop w:val="0"/>
      <w:marBottom w:val="0"/>
      <w:divBdr>
        <w:top w:val="none" w:sz="0" w:space="0" w:color="auto"/>
        <w:left w:val="none" w:sz="0" w:space="0" w:color="auto"/>
        <w:bottom w:val="none" w:sz="0" w:space="0" w:color="auto"/>
        <w:right w:val="none" w:sz="0" w:space="0" w:color="auto"/>
      </w:divBdr>
    </w:div>
    <w:div w:id="1356274747">
      <w:bodyDiv w:val="1"/>
      <w:marLeft w:val="0"/>
      <w:marRight w:val="0"/>
      <w:marTop w:val="0"/>
      <w:marBottom w:val="0"/>
      <w:divBdr>
        <w:top w:val="none" w:sz="0" w:space="0" w:color="auto"/>
        <w:left w:val="none" w:sz="0" w:space="0" w:color="auto"/>
        <w:bottom w:val="none" w:sz="0" w:space="0" w:color="auto"/>
        <w:right w:val="none" w:sz="0" w:space="0" w:color="auto"/>
      </w:divBdr>
    </w:div>
    <w:div w:id="1416589267">
      <w:bodyDiv w:val="1"/>
      <w:marLeft w:val="0"/>
      <w:marRight w:val="0"/>
      <w:marTop w:val="0"/>
      <w:marBottom w:val="0"/>
      <w:divBdr>
        <w:top w:val="none" w:sz="0" w:space="0" w:color="auto"/>
        <w:left w:val="none" w:sz="0" w:space="0" w:color="auto"/>
        <w:bottom w:val="none" w:sz="0" w:space="0" w:color="auto"/>
        <w:right w:val="none" w:sz="0" w:space="0" w:color="auto"/>
      </w:divBdr>
    </w:div>
    <w:div w:id="177185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stercapital.com/de/inhalt/Die-Rolle-des-UNCITRAL-Modellgesetzes-in-Faellen-nach-Kapitel-15.html" TargetMode="External"/><Relationship Id="rId3" Type="http://schemas.openxmlformats.org/officeDocument/2006/relationships/settings" Target="settings.xml"/><Relationship Id="rId7" Type="http://schemas.openxmlformats.org/officeDocument/2006/relationships/hyperlink" Target="https://www.insolvenzverein.de/wp-content/uploads/2020/02/180704-SchadeHorstkot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fastercapital.com/de/inhalt/Die-Rolle-des-UNCITRAL-Modellgesetzes-in-Faellen-nach-Kapitel-15.html" TargetMode="External"/><Relationship Id="rId2" Type="http://schemas.openxmlformats.org/officeDocument/2006/relationships/hyperlink" Target="https://fastercapital.com/de/inhalt/Die-Bedeutung-von-COMI-in-den-Verfahren-nach-Kapitel-15.html" TargetMode="External"/><Relationship Id="rId1" Type="http://schemas.openxmlformats.org/officeDocument/2006/relationships/hyperlink" Target="https://fastercapital.com/de/inhalt/Die-Bedeutung-von-COMI-in-den-Verfahren-nach-Kapitel-15.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2537</Words>
  <Characters>15990</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
    </vt:vector>
  </TitlesOfParts>
  <Company>BRL BOEGE ROHDE LUEBBEHUESEN</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Langhinrichs, Thorben</dc:creator>
  <cp:keywords/>
  <dc:description/>
  <cp:lastModifiedBy>Langhinrichs, Thorben</cp:lastModifiedBy>
  <cp:revision>2</cp:revision>
  <cp:lastPrinted>2024-03-11T09:49:00Z</cp:lastPrinted>
  <dcterms:created xsi:type="dcterms:W3CDTF">2024-03-11T15:10:00Z</dcterms:created>
  <dcterms:modified xsi:type="dcterms:W3CDTF">2024-03-11T15:10:00Z</dcterms:modified>
</cp:coreProperties>
</file>