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CB2B3B">
      <w:pPr>
        <w:pStyle w:val="PargrafodaLista"/>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PargrafodaLista"/>
        <w:ind w:left="426" w:hanging="426"/>
        <w:jc w:val="both"/>
        <w:rPr>
          <w:rFonts w:ascii="Avenir Next" w:hAnsi="Avenir Next" w:cs="Arial"/>
          <w:sz w:val="22"/>
          <w:szCs w:val="22"/>
          <w:lang w:val="en-GB"/>
        </w:rPr>
      </w:pPr>
    </w:p>
    <w:p w14:paraId="0D827F42" w14:textId="77777777" w:rsidR="00B263D0" w:rsidRPr="00B263D0" w:rsidRDefault="00B263D0" w:rsidP="00CB2B3B">
      <w:pPr>
        <w:pStyle w:val="PargrafodaLista"/>
        <w:numPr>
          <w:ilvl w:val="0"/>
          <w:numId w:val="1"/>
        </w:numPr>
        <w:ind w:left="426" w:hanging="426"/>
        <w:jc w:val="both"/>
        <w:rPr>
          <w:rFonts w:ascii="Avenir Next" w:hAnsi="Avenir Next" w:cs="Arial"/>
          <w:sz w:val="22"/>
          <w:szCs w:val="22"/>
          <w:lang w:val="en-GB"/>
        </w:rPr>
      </w:pPr>
      <w:r w:rsidRPr="00B91367">
        <w:rPr>
          <w:rFonts w:ascii="Avenir Next" w:hAnsi="Avenir Next" w:cs="Arial"/>
          <w:sz w:val="22"/>
          <w:szCs w:val="22"/>
          <w:highlight w:val="yellow"/>
          <w:lang w:val="en-GB"/>
        </w:rPr>
        <w:t>The United Nations Commission on International Trade Law</w:t>
      </w:r>
      <w:r w:rsidRPr="00B263D0">
        <w:rPr>
          <w:rFonts w:ascii="Avenir Next" w:hAnsi="Avenir Next" w:cs="Arial"/>
          <w:sz w:val="22"/>
          <w:szCs w:val="22"/>
          <w:lang w:val="en-GB"/>
        </w:rPr>
        <w:t>.</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CB2B3B">
      <w:pPr>
        <w:pStyle w:val="PargrafodaLista"/>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1B6F81" w:rsidRDefault="00AD0E59" w:rsidP="00CB2B3B">
      <w:pPr>
        <w:pStyle w:val="PargrafodaLista"/>
        <w:numPr>
          <w:ilvl w:val="0"/>
          <w:numId w:val="11"/>
        </w:numPr>
        <w:ind w:left="426" w:hanging="426"/>
        <w:rPr>
          <w:rFonts w:ascii="Avenir Next" w:hAnsi="Avenir Next"/>
          <w:sz w:val="22"/>
          <w:szCs w:val="28"/>
        </w:rPr>
      </w:pPr>
      <w:r w:rsidRPr="001B6F81">
        <w:rPr>
          <w:rFonts w:ascii="Avenir Next" w:hAnsi="Avenir Next"/>
          <w:sz w:val="22"/>
          <w:szCs w:val="28"/>
        </w:rPr>
        <w:t>Rise of corporations.</w:t>
      </w:r>
    </w:p>
    <w:p w14:paraId="3E790C4C" w14:textId="77777777" w:rsidR="00AD0E59" w:rsidRPr="001B6F81" w:rsidRDefault="00AD0E59" w:rsidP="00AD0E59">
      <w:pPr>
        <w:pStyle w:val="PargrafodaLista"/>
        <w:ind w:left="426" w:hanging="426"/>
        <w:rPr>
          <w:rFonts w:ascii="Avenir Next" w:hAnsi="Avenir Next"/>
          <w:sz w:val="22"/>
          <w:szCs w:val="28"/>
        </w:rPr>
      </w:pPr>
    </w:p>
    <w:p w14:paraId="44D98AEA" w14:textId="77777777" w:rsidR="00AD0E59" w:rsidRPr="001B6F81" w:rsidRDefault="00AD0E59" w:rsidP="00CB2B3B">
      <w:pPr>
        <w:pStyle w:val="PargrafodaLista"/>
        <w:numPr>
          <w:ilvl w:val="0"/>
          <w:numId w:val="11"/>
        </w:numPr>
        <w:ind w:left="426" w:hanging="426"/>
        <w:rPr>
          <w:rFonts w:ascii="Avenir Next" w:hAnsi="Avenir Next"/>
          <w:sz w:val="22"/>
          <w:szCs w:val="28"/>
        </w:rPr>
      </w:pPr>
      <w:proofErr w:type="spellStart"/>
      <w:r w:rsidRPr="001B6F81">
        <w:rPr>
          <w:rFonts w:ascii="Avenir Next" w:hAnsi="Avenir Next"/>
          <w:sz w:val="22"/>
          <w:szCs w:val="28"/>
        </w:rPr>
        <w:t>Internationalisation</w:t>
      </w:r>
      <w:proofErr w:type="spellEnd"/>
      <w:r w:rsidRPr="001B6F81">
        <w:rPr>
          <w:rFonts w:ascii="Avenir Next" w:hAnsi="Avenir Next"/>
          <w:sz w:val="22"/>
          <w:szCs w:val="28"/>
        </w:rPr>
        <w:t>.</w:t>
      </w:r>
    </w:p>
    <w:p w14:paraId="68B2FB89" w14:textId="77777777" w:rsidR="00AD0E59" w:rsidRPr="001B6F81" w:rsidRDefault="00AD0E59" w:rsidP="00AD0E59">
      <w:pPr>
        <w:ind w:left="426" w:hanging="426"/>
        <w:rPr>
          <w:rFonts w:ascii="Avenir Next" w:hAnsi="Avenir Next"/>
          <w:sz w:val="22"/>
          <w:szCs w:val="28"/>
        </w:rPr>
      </w:pPr>
    </w:p>
    <w:p w14:paraId="3568B061" w14:textId="0AA438B4" w:rsidR="00AD0E59" w:rsidRPr="001B6F81" w:rsidRDefault="00AD0E59" w:rsidP="00CB2B3B">
      <w:pPr>
        <w:pStyle w:val="PargrafodaLista"/>
        <w:numPr>
          <w:ilvl w:val="0"/>
          <w:numId w:val="11"/>
        </w:numPr>
        <w:ind w:left="426" w:hanging="426"/>
        <w:rPr>
          <w:rFonts w:ascii="Avenir Next" w:hAnsi="Avenir Next"/>
          <w:sz w:val="22"/>
          <w:szCs w:val="28"/>
        </w:rPr>
      </w:pPr>
      <w:r w:rsidRPr="001B6F81">
        <w:rPr>
          <w:rFonts w:ascii="Avenir Next" w:hAnsi="Avenir Next"/>
          <w:sz w:val="22"/>
          <w:szCs w:val="28"/>
        </w:rPr>
        <w:t>Globali</w:t>
      </w:r>
      <w:r w:rsidR="00B66441" w:rsidRPr="001B6F81">
        <w:rPr>
          <w:rFonts w:ascii="Avenir Next" w:hAnsi="Avenir Next"/>
          <w:sz w:val="22"/>
          <w:szCs w:val="28"/>
        </w:rPr>
        <w:t>z</w:t>
      </w:r>
      <w:r w:rsidRPr="001B6F81">
        <w:rPr>
          <w:rFonts w:ascii="Avenir Next" w:hAnsi="Avenir Next"/>
          <w:sz w:val="22"/>
          <w:szCs w:val="28"/>
        </w:rPr>
        <w:t>ation.</w:t>
      </w:r>
    </w:p>
    <w:p w14:paraId="0C434B83" w14:textId="77777777" w:rsidR="00AD0E59" w:rsidRPr="001B6F81" w:rsidRDefault="00AD0E59" w:rsidP="00AD0E59">
      <w:pPr>
        <w:ind w:left="426" w:hanging="426"/>
        <w:rPr>
          <w:rFonts w:ascii="Avenir Next" w:hAnsi="Avenir Next"/>
          <w:sz w:val="22"/>
          <w:szCs w:val="28"/>
        </w:rPr>
      </w:pPr>
    </w:p>
    <w:p w14:paraId="0CB4A501" w14:textId="77777777" w:rsidR="00AD0E59" w:rsidRPr="001B6F81" w:rsidRDefault="00AD0E59" w:rsidP="00CB2B3B">
      <w:pPr>
        <w:pStyle w:val="PargrafodaLista"/>
        <w:numPr>
          <w:ilvl w:val="0"/>
          <w:numId w:val="11"/>
        </w:numPr>
        <w:ind w:left="426" w:hanging="426"/>
        <w:rPr>
          <w:rFonts w:ascii="Avenir Next" w:hAnsi="Avenir Next"/>
          <w:sz w:val="22"/>
          <w:szCs w:val="28"/>
        </w:rPr>
      </w:pPr>
      <w:r w:rsidRPr="001B6F81">
        <w:rPr>
          <w:rFonts w:ascii="Avenir Next" w:hAnsi="Avenir Next"/>
          <w:sz w:val="22"/>
          <w:szCs w:val="28"/>
        </w:rPr>
        <w:t>Universalism.</w:t>
      </w:r>
    </w:p>
    <w:p w14:paraId="092AC4A0" w14:textId="77777777" w:rsidR="00AD0E59" w:rsidRPr="001B6F81" w:rsidRDefault="00AD0E59" w:rsidP="00AD0E59">
      <w:pPr>
        <w:ind w:left="426" w:hanging="426"/>
        <w:rPr>
          <w:rFonts w:ascii="Avenir Next" w:hAnsi="Avenir Next"/>
          <w:sz w:val="22"/>
          <w:szCs w:val="28"/>
        </w:rPr>
      </w:pPr>
    </w:p>
    <w:p w14:paraId="48C5D683" w14:textId="77777777" w:rsidR="00AD0E59" w:rsidRPr="001B6F81" w:rsidRDefault="00AD0E59" w:rsidP="00CB2B3B">
      <w:pPr>
        <w:pStyle w:val="PargrafodaLista"/>
        <w:numPr>
          <w:ilvl w:val="0"/>
          <w:numId w:val="11"/>
        </w:numPr>
        <w:ind w:left="426" w:hanging="426"/>
        <w:rPr>
          <w:rFonts w:ascii="Avenir Next" w:hAnsi="Avenir Next"/>
          <w:sz w:val="22"/>
          <w:szCs w:val="28"/>
        </w:rPr>
      </w:pPr>
      <w:r w:rsidRPr="001B6F81">
        <w:rPr>
          <w:rFonts w:ascii="Avenir Next" w:hAnsi="Avenir Next"/>
          <w:sz w:val="22"/>
          <w:szCs w:val="28"/>
        </w:rPr>
        <w:t>Territorialism.</w:t>
      </w:r>
    </w:p>
    <w:p w14:paraId="68C335C1" w14:textId="77777777" w:rsidR="00AD0E59" w:rsidRPr="001B6F81" w:rsidRDefault="00AD0E59" w:rsidP="00AD0E59">
      <w:pPr>
        <w:ind w:left="426" w:hanging="426"/>
        <w:rPr>
          <w:rFonts w:ascii="Avenir Next" w:hAnsi="Avenir Next"/>
          <w:sz w:val="22"/>
          <w:szCs w:val="28"/>
        </w:rPr>
      </w:pPr>
    </w:p>
    <w:p w14:paraId="23F228F9" w14:textId="77777777" w:rsidR="00AD0E59" w:rsidRPr="001B6F81" w:rsidRDefault="00AD0E59" w:rsidP="00CB2B3B">
      <w:pPr>
        <w:pStyle w:val="PargrafodaLista"/>
        <w:numPr>
          <w:ilvl w:val="0"/>
          <w:numId w:val="11"/>
        </w:numPr>
        <w:ind w:left="426" w:hanging="426"/>
        <w:rPr>
          <w:rFonts w:ascii="Avenir Next" w:hAnsi="Avenir Next"/>
          <w:sz w:val="22"/>
          <w:szCs w:val="28"/>
        </w:rPr>
      </w:pPr>
      <w:r w:rsidRPr="001B6F81">
        <w:rPr>
          <w:rFonts w:ascii="Avenir Next" w:hAnsi="Avenir Next"/>
          <w:sz w:val="22"/>
          <w:szCs w:val="28"/>
        </w:rPr>
        <w:t>Technological advances.</w:t>
      </w:r>
    </w:p>
    <w:p w14:paraId="1C1A959A" w14:textId="77777777" w:rsidR="00AD0E59" w:rsidRPr="00D75B4B" w:rsidRDefault="00AD0E59" w:rsidP="00AD0E59">
      <w:pPr>
        <w:pStyle w:val="PargrafodaLista"/>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CB2B3B">
      <w:pPr>
        <w:pStyle w:val="PargrafodaLista"/>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CB2B3B">
      <w:pPr>
        <w:pStyle w:val="PargrafodaLista"/>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CB2B3B">
      <w:pPr>
        <w:pStyle w:val="PargrafodaLista"/>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1B6F81" w:rsidRDefault="00AD0E59" w:rsidP="00CB2B3B">
      <w:pPr>
        <w:pStyle w:val="PargrafodaLista"/>
        <w:numPr>
          <w:ilvl w:val="0"/>
          <w:numId w:val="10"/>
        </w:numPr>
        <w:ind w:left="426" w:hanging="426"/>
        <w:jc w:val="both"/>
        <w:rPr>
          <w:rFonts w:ascii="Avenir Next" w:hAnsi="Avenir Next" w:cs="Arial"/>
          <w:sz w:val="22"/>
          <w:szCs w:val="22"/>
          <w:highlight w:val="yellow"/>
          <w:lang w:val="en-GB"/>
        </w:rPr>
      </w:pPr>
      <w:r w:rsidRPr="001B6F81">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CB2B3B">
      <w:pPr>
        <w:pStyle w:val="PargrafodaLista"/>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PargrafodaLista"/>
        <w:ind w:left="426" w:hanging="426"/>
        <w:jc w:val="both"/>
        <w:rPr>
          <w:rFonts w:ascii="Avenir Next" w:hAnsi="Avenir Next"/>
          <w:sz w:val="22"/>
          <w:szCs w:val="28"/>
        </w:rPr>
      </w:pPr>
    </w:p>
    <w:p w14:paraId="09A2897D" w14:textId="77777777" w:rsidR="00893A03" w:rsidRDefault="00893A03" w:rsidP="00CB2B3B">
      <w:pPr>
        <w:pStyle w:val="PargrafodaLista"/>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CB2B3B">
      <w:pPr>
        <w:pStyle w:val="PargrafodaLista"/>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CB2B3B">
      <w:pPr>
        <w:pStyle w:val="PargrafodaLista"/>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CB2B3B">
      <w:pPr>
        <w:pStyle w:val="PargrafodaLista"/>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CB2B3B">
      <w:pPr>
        <w:pStyle w:val="PargrafodaLista"/>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EC42FE" w:rsidRDefault="00893A03" w:rsidP="00CB2B3B">
      <w:pPr>
        <w:pStyle w:val="PargrafodaLista"/>
        <w:numPr>
          <w:ilvl w:val="0"/>
          <w:numId w:val="2"/>
        </w:numPr>
        <w:ind w:left="426" w:hanging="426"/>
        <w:jc w:val="both"/>
        <w:rPr>
          <w:rFonts w:ascii="Avenir Next" w:hAnsi="Avenir Next" w:cs="Arial"/>
          <w:sz w:val="22"/>
          <w:szCs w:val="22"/>
          <w:highlight w:val="yellow"/>
          <w:lang w:val="en-GB"/>
        </w:rPr>
      </w:pPr>
      <w:r w:rsidRPr="00EC42FE">
        <w:rPr>
          <w:rFonts w:ascii="Avenir Next" w:hAnsi="Avenir Next" w:cs="Arial"/>
          <w:sz w:val="22"/>
          <w:szCs w:val="22"/>
          <w:highlight w:val="yellow"/>
          <w:lang w:val="en-GB"/>
        </w:rPr>
        <w:t>Options (</w:t>
      </w:r>
      <w:proofErr w:type="spellStart"/>
      <w:r w:rsidRPr="00EC42FE">
        <w:rPr>
          <w:rFonts w:ascii="Avenir Next" w:hAnsi="Avenir Next" w:cs="Arial"/>
          <w:sz w:val="22"/>
          <w:szCs w:val="22"/>
          <w:highlight w:val="yellow"/>
          <w:lang w:val="en-GB"/>
        </w:rPr>
        <w:t>i</w:t>
      </w:r>
      <w:proofErr w:type="spellEnd"/>
      <w:r w:rsidRPr="00EC42FE">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CB2B3B">
      <w:pPr>
        <w:pStyle w:val="PargrafodaLista"/>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B2B3B">
      <w:pPr>
        <w:pStyle w:val="PargrafodaLista"/>
        <w:numPr>
          <w:ilvl w:val="0"/>
          <w:numId w:val="13"/>
        </w:numPr>
        <w:ind w:left="426" w:hanging="426"/>
        <w:jc w:val="both"/>
        <w:rPr>
          <w:rFonts w:ascii="Avenir Next" w:hAnsi="Avenir Next"/>
          <w:sz w:val="22"/>
          <w:szCs w:val="32"/>
        </w:rPr>
      </w:pPr>
      <w:r w:rsidRPr="00B91367">
        <w:rPr>
          <w:rFonts w:ascii="Avenir Next" w:hAnsi="Avenir Next"/>
          <w:sz w:val="22"/>
          <w:szCs w:val="32"/>
          <w:highlight w:val="yellow"/>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PargrafodaLista"/>
        <w:ind w:left="426" w:hanging="426"/>
        <w:jc w:val="both"/>
        <w:rPr>
          <w:rFonts w:ascii="Avenir Next" w:hAnsi="Avenir Next"/>
          <w:sz w:val="22"/>
          <w:szCs w:val="32"/>
        </w:rPr>
      </w:pPr>
    </w:p>
    <w:p w14:paraId="2AA2541C" w14:textId="3C7E8949" w:rsidR="00812AFE" w:rsidRDefault="00812AFE" w:rsidP="00CB2B3B">
      <w:pPr>
        <w:pStyle w:val="PargrafodaLista"/>
        <w:numPr>
          <w:ilvl w:val="0"/>
          <w:numId w:val="13"/>
        </w:numPr>
        <w:ind w:left="426" w:hanging="426"/>
        <w:jc w:val="both"/>
        <w:rPr>
          <w:rFonts w:ascii="Avenir Next" w:hAnsi="Avenir Next"/>
          <w:sz w:val="22"/>
          <w:szCs w:val="32"/>
        </w:rPr>
      </w:pPr>
      <w:r w:rsidRPr="00B91367">
        <w:rPr>
          <w:rFonts w:ascii="Avenir Next" w:hAnsi="Avenir Next"/>
          <w:sz w:val="22"/>
          <w:szCs w:val="32"/>
          <w:highlight w:val="yellow"/>
        </w:rPr>
        <w:t>To provide protection and maximi</w:t>
      </w:r>
      <w:r w:rsidR="00B66441" w:rsidRPr="00B91367">
        <w:rPr>
          <w:rFonts w:ascii="Avenir Next" w:hAnsi="Avenir Next"/>
          <w:sz w:val="22"/>
          <w:szCs w:val="32"/>
          <w:highlight w:val="yellow"/>
        </w:rPr>
        <w:t>z</w:t>
      </w:r>
      <w:r w:rsidRPr="00B91367">
        <w:rPr>
          <w:rFonts w:ascii="Avenir Next" w:hAnsi="Avenir Next"/>
          <w:sz w:val="22"/>
          <w:szCs w:val="32"/>
          <w:highlight w:val="yellow"/>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B2B3B">
      <w:pPr>
        <w:pStyle w:val="PargrafodaLista"/>
        <w:numPr>
          <w:ilvl w:val="0"/>
          <w:numId w:val="13"/>
        </w:numPr>
        <w:ind w:left="426" w:hanging="426"/>
        <w:jc w:val="both"/>
        <w:rPr>
          <w:rFonts w:ascii="Avenir Next" w:hAnsi="Avenir Next"/>
          <w:sz w:val="22"/>
          <w:szCs w:val="32"/>
        </w:rPr>
      </w:pPr>
      <w:r w:rsidRPr="00B91367">
        <w:rPr>
          <w:rFonts w:ascii="Avenir Next" w:hAnsi="Avenir Next"/>
          <w:sz w:val="22"/>
          <w:szCs w:val="32"/>
          <w:highlight w:val="yellow"/>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B2B3B">
      <w:pPr>
        <w:pStyle w:val="PargrafodaLista"/>
        <w:numPr>
          <w:ilvl w:val="0"/>
          <w:numId w:val="13"/>
        </w:numPr>
        <w:ind w:left="426" w:hanging="426"/>
        <w:jc w:val="both"/>
        <w:rPr>
          <w:rFonts w:ascii="Avenir Next" w:hAnsi="Avenir Next"/>
          <w:sz w:val="22"/>
          <w:szCs w:val="32"/>
        </w:rPr>
      </w:pPr>
      <w:r w:rsidRPr="00B91367">
        <w:rPr>
          <w:rFonts w:ascii="Avenir Next" w:hAnsi="Avenir Next"/>
          <w:sz w:val="22"/>
          <w:szCs w:val="32"/>
          <w:highlight w:val="yellow"/>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B2B3B">
      <w:pPr>
        <w:pStyle w:val="PargrafodaLista"/>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CB2B3B">
      <w:pPr>
        <w:pStyle w:val="PargrafodaLista"/>
        <w:numPr>
          <w:ilvl w:val="0"/>
          <w:numId w:val="3"/>
        </w:numPr>
        <w:ind w:left="426" w:hanging="426"/>
        <w:jc w:val="both"/>
        <w:rPr>
          <w:rFonts w:ascii="Avenir Next" w:hAnsi="Avenir Next" w:cs="Arial"/>
          <w:sz w:val="22"/>
          <w:szCs w:val="22"/>
          <w:lang w:val="en-GB"/>
        </w:rPr>
      </w:pPr>
      <w:r w:rsidRPr="00B91367">
        <w:rPr>
          <w:rFonts w:ascii="Avenir Next" w:hAnsi="Avenir Next" w:cs="Arial"/>
          <w:sz w:val="22"/>
          <w:szCs w:val="22"/>
          <w:highlight w:val="yellow"/>
          <w:lang w:val="en-GB"/>
        </w:rPr>
        <w:t>Options (</w:t>
      </w:r>
      <w:proofErr w:type="spellStart"/>
      <w:r w:rsidRPr="00B91367">
        <w:rPr>
          <w:rFonts w:ascii="Avenir Next" w:hAnsi="Avenir Next" w:cs="Arial"/>
          <w:sz w:val="22"/>
          <w:szCs w:val="22"/>
          <w:highlight w:val="yellow"/>
          <w:lang w:val="en-GB"/>
        </w:rPr>
        <w:t>i</w:t>
      </w:r>
      <w:proofErr w:type="spellEnd"/>
      <w:r w:rsidRPr="00B91367">
        <w:rPr>
          <w:rFonts w:ascii="Avenir Next" w:hAnsi="Avenir Next" w:cs="Arial"/>
          <w:sz w:val="22"/>
          <w:szCs w:val="22"/>
          <w:highlight w:val="yellow"/>
          <w:lang w:val="en-GB"/>
        </w:rPr>
        <w:t>), (ii), (iii) and (iv)</w:t>
      </w:r>
      <w:r w:rsidRPr="00812AFE">
        <w:rPr>
          <w:rFonts w:ascii="Avenir Next" w:hAnsi="Avenir Next" w:cs="Arial"/>
          <w:sz w:val="22"/>
          <w:szCs w:val="22"/>
          <w:lang w:val="en-GB"/>
        </w:rPr>
        <w:t>.</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B2B3B">
      <w:pPr>
        <w:pStyle w:val="Pargrafoda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B2B3B">
      <w:pPr>
        <w:pStyle w:val="Pargrafoda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B2B3B">
      <w:pPr>
        <w:pStyle w:val="Pargrafoda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B2B3B">
      <w:pPr>
        <w:pStyle w:val="Pargrafoda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PargrafodaLista"/>
        <w:ind w:left="426" w:hanging="426"/>
        <w:jc w:val="both"/>
        <w:rPr>
          <w:rFonts w:ascii="Avenir Next" w:hAnsi="Avenir Next"/>
          <w:sz w:val="22"/>
          <w:szCs w:val="28"/>
        </w:rPr>
      </w:pPr>
    </w:p>
    <w:p w14:paraId="4C73762D" w14:textId="77777777" w:rsidR="003220BA" w:rsidRDefault="003220BA" w:rsidP="00CB2B3B">
      <w:pPr>
        <w:pStyle w:val="Pargrafoda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B2B3B">
      <w:pPr>
        <w:pStyle w:val="Pargrafoda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B2B3B">
      <w:pPr>
        <w:pStyle w:val="Pargrafoda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B2B3B">
      <w:pPr>
        <w:pStyle w:val="Pargrafoda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B2B3B">
      <w:pPr>
        <w:pStyle w:val="PargrafodaLista"/>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B2B3B">
      <w:pPr>
        <w:pStyle w:val="PargrafodaLista"/>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B2B3B">
      <w:pPr>
        <w:pStyle w:val="PargrafodaLista"/>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852BD6" w:rsidRDefault="003220BA" w:rsidP="00CB2B3B">
      <w:pPr>
        <w:pStyle w:val="PargrafodaLista"/>
        <w:numPr>
          <w:ilvl w:val="0"/>
          <w:numId w:val="4"/>
        </w:numPr>
        <w:ind w:left="426" w:hanging="426"/>
        <w:jc w:val="both"/>
        <w:rPr>
          <w:rFonts w:ascii="Avenir Next" w:hAnsi="Avenir Next" w:cs="Arial"/>
          <w:sz w:val="22"/>
          <w:szCs w:val="22"/>
          <w:highlight w:val="yellow"/>
          <w:lang w:val="en-GB"/>
        </w:rPr>
      </w:pPr>
      <w:r w:rsidRPr="00852BD6">
        <w:rPr>
          <w:rFonts w:ascii="Avenir Next" w:hAnsi="Avenir Next" w:cs="Arial"/>
          <w:sz w:val="22"/>
          <w:szCs w:val="22"/>
          <w:highlight w:val="yellow"/>
          <w:lang w:val="en-GB"/>
        </w:rPr>
        <w:t>Options (</w:t>
      </w:r>
      <w:proofErr w:type="spellStart"/>
      <w:r w:rsidRPr="00852BD6">
        <w:rPr>
          <w:rFonts w:ascii="Avenir Next" w:hAnsi="Avenir Next" w:cs="Arial"/>
          <w:sz w:val="22"/>
          <w:szCs w:val="22"/>
          <w:highlight w:val="yellow"/>
          <w:lang w:val="en-GB"/>
        </w:rPr>
        <w:t>i</w:t>
      </w:r>
      <w:proofErr w:type="spellEnd"/>
      <w:r w:rsidRPr="00852BD6">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PargrafodaLista"/>
        <w:ind w:left="426"/>
        <w:jc w:val="both"/>
        <w:rPr>
          <w:rFonts w:ascii="Avenir Next" w:hAnsi="Avenir Next" w:cs="Arial"/>
          <w:sz w:val="22"/>
          <w:szCs w:val="22"/>
          <w:lang w:val="en-GB"/>
        </w:rPr>
      </w:pPr>
    </w:p>
    <w:p w14:paraId="2F00B741" w14:textId="77777777" w:rsidR="009344C1" w:rsidRDefault="009344C1" w:rsidP="00CB2B3B">
      <w:pPr>
        <w:pStyle w:val="Pargrafoda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PargrafodaLista"/>
        <w:ind w:left="426" w:hanging="426"/>
        <w:jc w:val="both"/>
        <w:rPr>
          <w:rFonts w:ascii="Avenir Next" w:hAnsi="Avenir Next" w:cs="Arial"/>
          <w:sz w:val="22"/>
          <w:szCs w:val="22"/>
          <w:lang w:val="en-GB"/>
        </w:rPr>
      </w:pPr>
    </w:p>
    <w:p w14:paraId="45257547" w14:textId="77777777" w:rsidR="009344C1" w:rsidRDefault="009344C1" w:rsidP="00CB2B3B">
      <w:pPr>
        <w:pStyle w:val="Pargrafoda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B2B3B">
      <w:pPr>
        <w:pStyle w:val="PargrafodaLista"/>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BE040A" w:rsidRDefault="009344C1" w:rsidP="00CB2B3B">
      <w:pPr>
        <w:pStyle w:val="PargrafodaLista"/>
        <w:numPr>
          <w:ilvl w:val="0"/>
          <w:numId w:val="5"/>
        </w:numPr>
        <w:ind w:left="426" w:hanging="426"/>
        <w:jc w:val="both"/>
        <w:rPr>
          <w:rFonts w:ascii="Avenir Next" w:hAnsi="Avenir Next" w:cs="Arial"/>
          <w:sz w:val="22"/>
          <w:szCs w:val="22"/>
          <w:highlight w:val="yellow"/>
          <w:lang w:val="en-GB"/>
        </w:rPr>
      </w:pPr>
      <w:r w:rsidRPr="00BE040A">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B2B3B">
      <w:pPr>
        <w:pStyle w:val="Pargrafoda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CB2B3B">
      <w:pPr>
        <w:pStyle w:val="Pargrafoda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PargrafodaLista"/>
        <w:ind w:left="426"/>
        <w:jc w:val="both"/>
        <w:rPr>
          <w:rFonts w:ascii="Avenir Next" w:hAnsi="Avenir Next"/>
          <w:sz w:val="22"/>
          <w:szCs w:val="28"/>
        </w:rPr>
      </w:pPr>
    </w:p>
    <w:p w14:paraId="044236C4" w14:textId="77777777" w:rsidR="00F51EE5" w:rsidRPr="002E1C4D" w:rsidRDefault="00F51EE5" w:rsidP="00CB2B3B">
      <w:pPr>
        <w:pStyle w:val="Pargrafoda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CB2B3B">
      <w:pPr>
        <w:pStyle w:val="Pargrafoda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CB2B3B">
      <w:pPr>
        <w:pStyle w:val="Pargrafoda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B2B3B">
      <w:pPr>
        <w:pStyle w:val="PargrafodaLista"/>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CE177F" w:rsidRDefault="00F51EE5" w:rsidP="00CB2B3B">
      <w:pPr>
        <w:pStyle w:val="PargrafodaLista"/>
        <w:numPr>
          <w:ilvl w:val="0"/>
          <w:numId w:val="6"/>
        </w:numPr>
        <w:ind w:left="426" w:hanging="426"/>
        <w:jc w:val="both"/>
        <w:rPr>
          <w:rFonts w:ascii="Avenir Next" w:hAnsi="Avenir Next" w:cs="Arial"/>
          <w:sz w:val="22"/>
          <w:szCs w:val="22"/>
          <w:highlight w:val="yellow"/>
          <w:lang w:val="en-GB"/>
        </w:rPr>
      </w:pPr>
      <w:r w:rsidRPr="00CE177F">
        <w:rPr>
          <w:rFonts w:ascii="Avenir Next" w:hAnsi="Avenir Next" w:cs="Arial"/>
          <w:sz w:val="22"/>
          <w:szCs w:val="22"/>
          <w:highlight w:val="yellow"/>
          <w:lang w:val="en-GB"/>
        </w:rPr>
        <w:t>Options (</w:t>
      </w:r>
      <w:proofErr w:type="spellStart"/>
      <w:r w:rsidRPr="00CE177F">
        <w:rPr>
          <w:rFonts w:ascii="Avenir Next" w:hAnsi="Avenir Next" w:cs="Arial"/>
          <w:sz w:val="22"/>
          <w:szCs w:val="22"/>
          <w:highlight w:val="yellow"/>
          <w:lang w:val="en-GB"/>
        </w:rPr>
        <w:t>i</w:t>
      </w:r>
      <w:proofErr w:type="spellEnd"/>
      <w:r w:rsidRPr="00CE177F">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B2B3B">
      <w:pPr>
        <w:pStyle w:val="PargrafodaLista"/>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PargrafodaLista"/>
        <w:ind w:hanging="426"/>
        <w:rPr>
          <w:rFonts w:ascii="Avenir Next" w:hAnsi="Avenir Next" w:cs="Arial"/>
          <w:sz w:val="22"/>
          <w:szCs w:val="22"/>
          <w:lang w:val="en-GB"/>
        </w:rPr>
      </w:pPr>
    </w:p>
    <w:p w14:paraId="4DC029C8" w14:textId="77777777" w:rsidR="00F51EE5" w:rsidRPr="00E2622D" w:rsidRDefault="00F51EE5" w:rsidP="00CB2B3B">
      <w:pPr>
        <w:pStyle w:val="PargrafodaLista"/>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Pargrafoda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CB2B3B">
      <w:pPr>
        <w:pStyle w:val="PargrafodaLista"/>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CB2B3B">
      <w:pPr>
        <w:pStyle w:val="PargrafodaLista"/>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CB2B3B">
      <w:pPr>
        <w:pStyle w:val="PargrafodaLista"/>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PargrafodaLista"/>
        <w:rPr>
          <w:rFonts w:ascii="Avenir Next" w:hAnsi="Avenir Next"/>
          <w:sz w:val="22"/>
          <w:szCs w:val="28"/>
        </w:rPr>
      </w:pPr>
    </w:p>
    <w:p w14:paraId="785ABFAE" w14:textId="77777777" w:rsidR="0097337E" w:rsidRPr="007742D6" w:rsidRDefault="0097337E" w:rsidP="00CB2B3B">
      <w:pPr>
        <w:pStyle w:val="PargrafodaLista"/>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CB2B3B">
      <w:pPr>
        <w:pStyle w:val="PargrafodaLista"/>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CE177F" w:rsidRDefault="0097337E" w:rsidP="00CB2B3B">
      <w:pPr>
        <w:pStyle w:val="PargrafodaLista"/>
        <w:numPr>
          <w:ilvl w:val="0"/>
          <w:numId w:val="7"/>
        </w:numPr>
        <w:ind w:left="426" w:hanging="426"/>
        <w:jc w:val="both"/>
        <w:rPr>
          <w:rFonts w:ascii="Avenir Next" w:hAnsi="Avenir Next" w:cs="Arial"/>
          <w:sz w:val="22"/>
          <w:szCs w:val="22"/>
          <w:highlight w:val="yellow"/>
          <w:lang w:val="en-GB"/>
        </w:rPr>
      </w:pPr>
      <w:r w:rsidRPr="00CE177F">
        <w:rPr>
          <w:rFonts w:ascii="Avenir Next" w:hAnsi="Avenir Next" w:cs="Arial"/>
          <w:sz w:val="22"/>
          <w:szCs w:val="22"/>
          <w:highlight w:val="yellow"/>
          <w:lang w:val="en-GB"/>
        </w:rPr>
        <w:t>Options (ii), (iii) and (iv).</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CB2B3B">
      <w:pPr>
        <w:pStyle w:val="PargrafodaLista"/>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CB2B3B">
      <w:pPr>
        <w:pStyle w:val="PargrafodaLista"/>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CB2B3B">
      <w:pPr>
        <w:pStyle w:val="PargrafodaLista"/>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PargrafodaLista"/>
        <w:ind w:left="426"/>
        <w:jc w:val="both"/>
        <w:rPr>
          <w:rFonts w:ascii="Avenir Next" w:hAnsi="Avenir Next"/>
          <w:sz w:val="22"/>
          <w:szCs w:val="28"/>
        </w:rPr>
      </w:pPr>
    </w:p>
    <w:p w14:paraId="39086E74" w14:textId="77777777" w:rsidR="009A58D1" w:rsidRDefault="009A58D1" w:rsidP="00CB2B3B">
      <w:pPr>
        <w:pStyle w:val="PargrafodaLista"/>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CB2B3B">
      <w:pPr>
        <w:pStyle w:val="PargrafodaLista"/>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CB2B3B">
      <w:pPr>
        <w:pStyle w:val="Pargrafoda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CB2B3B">
      <w:pPr>
        <w:pStyle w:val="Pargrafoda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CE177F" w:rsidRDefault="009A58D1" w:rsidP="00CB2B3B">
      <w:pPr>
        <w:pStyle w:val="PargrafodaLista"/>
        <w:numPr>
          <w:ilvl w:val="0"/>
          <w:numId w:val="8"/>
        </w:numPr>
        <w:ind w:left="426" w:hanging="426"/>
        <w:jc w:val="both"/>
        <w:rPr>
          <w:rFonts w:ascii="Avenir Next" w:hAnsi="Avenir Next" w:cs="Arial"/>
          <w:sz w:val="22"/>
          <w:szCs w:val="22"/>
          <w:highlight w:val="yellow"/>
          <w:lang w:val="en-GB"/>
        </w:rPr>
      </w:pPr>
      <w:r w:rsidRPr="00CE177F">
        <w:rPr>
          <w:rFonts w:ascii="Avenir Next" w:hAnsi="Avenir Next" w:cs="Arial"/>
          <w:sz w:val="22"/>
          <w:szCs w:val="22"/>
          <w:highlight w:val="yellow"/>
          <w:lang w:val="en-GB"/>
        </w:rPr>
        <w:t>Options (iii), (</w:t>
      </w:r>
      <w:proofErr w:type="spellStart"/>
      <w:r w:rsidRPr="00CE177F">
        <w:rPr>
          <w:rFonts w:ascii="Avenir Next" w:hAnsi="Avenir Next" w:cs="Arial"/>
          <w:sz w:val="22"/>
          <w:szCs w:val="22"/>
          <w:highlight w:val="yellow"/>
          <w:lang w:val="en-GB"/>
        </w:rPr>
        <w:t>i</w:t>
      </w:r>
      <w:proofErr w:type="spellEnd"/>
      <w:r w:rsidRPr="00CE177F">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CB2B3B">
      <w:pPr>
        <w:pStyle w:val="Pargrafoda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B2B3B">
      <w:pPr>
        <w:pStyle w:val="Pargrafoda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PargrafodaLista"/>
        <w:ind w:left="426" w:hanging="426"/>
        <w:jc w:val="both"/>
        <w:rPr>
          <w:rFonts w:ascii="Avenir Next" w:hAnsi="Avenir Next" w:cs="Arial"/>
          <w:sz w:val="22"/>
          <w:szCs w:val="22"/>
          <w:lang w:val="en-GB"/>
        </w:rPr>
      </w:pPr>
    </w:p>
    <w:p w14:paraId="3BCC256A" w14:textId="77777777" w:rsidR="00C4510C" w:rsidRDefault="00C4510C" w:rsidP="00CB2B3B">
      <w:pPr>
        <w:pStyle w:val="Pargrafoda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B2B3B">
      <w:pPr>
        <w:pStyle w:val="Pargrafoda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CB2B3B">
      <w:pPr>
        <w:pStyle w:val="PargrafodaLista"/>
        <w:numPr>
          <w:ilvl w:val="0"/>
          <w:numId w:val="9"/>
        </w:numPr>
        <w:ind w:left="426" w:hanging="426"/>
        <w:jc w:val="both"/>
        <w:rPr>
          <w:rFonts w:ascii="Avenir Next" w:hAnsi="Avenir Next" w:cs="Arial"/>
          <w:sz w:val="22"/>
          <w:szCs w:val="22"/>
          <w:lang w:val="en-GB"/>
        </w:rPr>
      </w:pPr>
      <w:r w:rsidRPr="00CE177F">
        <w:rPr>
          <w:rFonts w:ascii="Avenir Next" w:hAnsi="Avenir Next" w:cs="Arial"/>
          <w:sz w:val="22"/>
          <w:szCs w:val="22"/>
          <w:highlight w:val="yellow"/>
          <w:lang w:val="en-GB"/>
        </w:rPr>
        <w:t>None of the above are correct</w:t>
      </w:r>
      <w:r w:rsidRPr="002539D7">
        <w:rPr>
          <w:rFonts w:ascii="Avenir Next" w:hAnsi="Avenir Next" w:cs="Arial"/>
          <w:sz w:val="22"/>
          <w:szCs w:val="22"/>
          <w:lang w:val="en-GB"/>
        </w:rPr>
        <w: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D02DFFF" w14:textId="380D68B1" w:rsidR="008C17E3" w:rsidRDefault="001B3FA4" w:rsidP="001B3FA4">
      <w:pPr>
        <w:jc w:val="both"/>
        <w:rPr>
          <w:rFonts w:ascii="Avenir Next" w:hAnsi="Avenir Next" w:cs="Arial"/>
          <w:color w:val="808080" w:themeColor="background1" w:themeShade="80"/>
          <w:sz w:val="22"/>
          <w:szCs w:val="22"/>
        </w:rPr>
      </w:pPr>
      <w:r w:rsidRPr="001B3FA4">
        <w:rPr>
          <w:rFonts w:ascii="Avenir Next" w:hAnsi="Avenir Next" w:cs="Arial"/>
          <w:color w:val="808080" w:themeColor="background1" w:themeShade="80"/>
          <w:sz w:val="22"/>
          <w:szCs w:val="22"/>
        </w:rPr>
        <w:t>The M</w:t>
      </w:r>
      <w:r w:rsidR="00027336">
        <w:rPr>
          <w:rFonts w:ascii="Avenir Next" w:hAnsi="Avenir Next" w:cs="Arial"/>
          <w:color w:val="808080" w:themeColor="background1" w:themeShade="80"/>
          <w:sz w:val="22"/>
          <w:szCs w:val="22"/>
        </w:rPr>
        <w:t>LCBI</w:t>
      </w:r>
      <w:r w:rsidRPr="001B3FA4">
        <w:rPr>
          <w:rFonts w:ascii="Avenir Next" w:hAnsi="Avenir Next" w:cs="Arial"/>
          <w:color w:val="808080" w:themeColor="background1" w:themeShade="80"/>
          <w:sz w:val="22"/>
          <w:szCs w:val="22"/>
        </w:rPr>
        <w:t xml:space="preserve"> doesn't </w:t>
      </w:r>
      <w:r w:rsidR="00093790">
        <w:rPr>
          <w:rFonts w:ascii="Avenir Next" w:hAnsi="Avenir Next" w:cs="Arial"/>
          <w:color w:val="808080" w:themeColor="background1" w:themeShade="80"/>
          <w:sz w:val="22"/>
          <w:szCs w:val="22"/>
        </w:rPr>
        <w:t>aim</w:t>
      </w:r>
      <w:r w:rsidRPr="001B3FA4">
        <w:rPr>
          <w:rFonts w:ascii="Avenir Next" w:hAnsi="Avenir Next" w:cs="Arial"/>
          <w:color w:val="808080" w:themeColor="background1" w:themeShade="80"/>
          <w:sz w:val="22"/>
          <w:szCs w:val="22"/>
        </w:rPr>
        <w:t xml:space="preserve"> to </w:t>
      </w:r>
      <w:r w:rsidR="00093790">
        <w:rPr>
          <w:rFonts w:ascii="Avenir Next" w:hAnsi="Avenir Next" w:cs="Arial"/>
          <w:color w:val="808080" w:themeColor="background1" w:themeShade="80"/>
          <w:sz w:val="22"/>
          <w:szCs w:val="22"/>
        </w:rPr>
        <w:t xml:space="preserve">harmonize </w:t>
      </w:r>
      <w:r w:rsidRPr="001B3FA4">
        <w:rPr>
          <w:rFonts w:ascii="Avenir Next" w:hAnsi="Avenir Next" w:cs="Arial"/>
          <w:color w:val="808080" w:themeColor="background1" w:themeShade="80"/>
          <w:sz w:val="22"/>
          <w:szCs w:val="22"/>
        </w:rPr>
        <w:t>the substance of insolvency laws across States. It's not a treaty</w:t>
      </w:r>
      <w:r w:rsidR="009A59B0">
        <w:rPr>
          <w:rFonts w:ascii="Avenir Next" w:hAnsi="Avenir Next" w:cs="Arial"/>
          <w:color w:val="808080" w:themeColor="background1" w:themeShade="80"/>
          <w:sz w:val="22"/>
          <w:szCs w:val="22"/>
        </w:rPr>
        <w:t xml:space="preserve">, nor a convention, </w:t>
      </w:r>
      <w:r w:rsidRPr="001B3FA4">
        <w:rPr>
          <w:rFonts w:ascii="Avenir Next" w:hAnsi="Avenir Next" w:cs="Arial"/>
          <w:color w:val="808080" w:themeColor="background1" w:themeShade="80"/>
          <w:sz w:val="22"/>
          <w:szCs w:val="22"/>
        </w:rPr>
        <w:t>and doesn't enforce reciprocity. Instead, it's a recommendation</w:t>
      </w:r>
      <w:r w:rsidR="00977FBE">
        <w:rPr>
          <w:rFonts w:ascii="Avenir Next" w:hAnsi="Avenir Next" w:cs="Arial"/>
          <w:color w:val="808080" w:themeColor="background1" w:themeShade="80"/>
          <w:sz w:val="22"/>
          <w:szCs w:val="22"/>
        </w:rPr>
        <w:t xml:space="preserve"> that can be considered as </w:t>
      </w:r>
      <w:r w:rsidRPr="001B3FA4">
        <w:rPr>
          <w:rFonts w:ascii="Avenir Next" w:hAnsi="Avenir Next" w:cs="Arial"/>
          <w:color w:val="808080" w:themeColor="background1" w:themeShade="80"/>
          <w:sz w:val="22"/>
          <w:szCs w:val="22"/>
        </w:rPr>
        <w:t>"soft law"</w:t>
      </w:r>
      <w:r w:rsidR="00977FBE">
        <w:rPr>
          <w:rFonts w:ascii="Avenir Next" w:hAnsi="Avenir Next" w:cs="Arial"/>
          <w:color w:val="808080" w:themeColor="background1" w:themeShade="80"/>
          <w:sz w:val="22"/>
          <w:szCs w:val="22"/>
        </w:rPr>
        <w:t>.</w:t>
      </w:r>
      <w:r w:rsidRPr="001B3FA4">
        <w:rPr>
          <w:rFonts w:ascii="Avenir Next" w:hAnsi="Avenir Next" w:cs="Arial"/>
          <w:color w:val="808080" w:themeColor="background1" w:themeShade="80"/>
          <w:sz w:val="22"/>
          <w:szCs w:val="22"/>
        </w:rPr>
        <w:t xml:space="preserve"> </w:t>
      </w:r>
      <w:r w:rsidR="00977FBE">
        <w:rPr>
          <w:rFonts w:ascii="Avenir Next" w:hAnsi="Avenir Next" w:cs="Arial"/>
          <w:color w:val="808080" w:themeColor="background1" w:themeShade="80"/>
          <w:sz w:val="22"/>
          <w:szCs w:val="22"/>
        </w:rPr>
        <w:t>Therefore, i</w:t>
      </w:r>
      <w:r w:rsidRPr="001B3FA4">
        <w:rPr>
          <w:rFonts w:ascii="Avenir Next" w:hAnsi="Avenir Next" w:cs="Arial"/>
          <w:color w:val="808080" w:themeColor="background1" w:themeShade="80"/>
          <w:sz w:val="22"/>
          <w:szCs w:val="22"/>
        </w:rPr>
        <w:t xml:space="preserve">t can be fully or partially integrated into a State's domestic legislation, </w:t>
      </w:r>
      <w:r w:rsidR="00105DAA">
        <w:rPr>
          <w:rFonts w:ascii="Avenir Next" w:hAnsi="Avenir Next" w:cs="Arial"/>
          <w:color w:val="808080" w:themeColor="background1" w:themeShade="80"/>
          <w:sz w:val="22"/>
          <w:szCs w:val="22"/>
        </w:rPr>
        <w:t>based on the concepts of (</w:t>
      </w:r>
      <w:proofErr w:type="spellStart"/>
      <w:r w:rsidR="00105DAA">
        <w:rPr>
          <w:rFonts w:ascii="Avenir Next" w:hAnsi="Avenir Next" w:cs="Arial"/>
          <w:color w:val="808080" w:themeColor="background1" w:themeShade="80"/>
          <w:sz w:val="22"/>
          <w:szCs w:val="22"/>
        </w:rPr>
        <w:t>i</w:t>
      </w:r>
      <w:proofErr w:type="spellEnd"/>
      <w:r w:rsidR="00105DAA">
        <w:rPr>
          <w:rFonts w:ascii="Avenir Next" w:hAnsi="Avenir Next" w:cs="Arial"/>
          <w:color w:val="808080" w:themeColor="background1" w:themeShade="80"/>
          <w:sz w:val="22"/>
          <w:szCs w:val="22"/>
        </w:rPr>
        <w:t xml:space="preserve">) </w:t>
      </w:r>
      <w:r w:rsidR="00DC0FF8">
        <w:rPr>
          <w:rFonts w:ascii="Avenir Next" w:hAnsi="Avenir Next" w:cs="Arial"/>
          <w:color w:val="808080" w:themeColor="background1" w:themeShade="80"/>
          <w:sz w:val="22"/>
          <w:szCs w:val="22"/>
        </w:rPr>
        <w:t>provid</w:t>
      </w:r>
      <w:r w:rsidR="00105DAA">
        <w:rPr>
          <w:rFonts w:ascii="Avenir Next" w:hAnsi="Avenir Next" w:cs="Arial"/>
          <w:color w:val="808080" w:themeColor="background1" w:themeShade="80"/>
          <w:sz w:val="22"/>
          <w:szCs w:val="22"/>
        </w:rPr>
        <w:t>ing</w:t>
      </w:r>
      <w:r w:rsidR="00DC0FF8">
        <w:rPr>
          <w:rFonts w:ascii="Avenir Next" w:hAnsi="Avenir Next" w:cs="Arial"/>
          <w:color w:val="808080" w:themeColor="background1" w:themeShade="80"/>
          <w:sz w:val="22"/>
          <w:szCs w:val="22"/>
        </w:rPr>
        <w:t xml:space="preserve"> </w:t>
      </w:r>
      <w:r w:rsidRPr="001B3FA4">
        <w:rPr>
          <w:rFonts w:ascii="Avenir Next" w:hAnsi="Avenir Next" w:cs="Arial"/>
          <w:color w:val="808080" w:themeColor="background1" w:themeShade="80"/>
          <w:sz w:val="22"/>
          <w:szCs w:val="22"/>
        </w:rPr>
        <w:t xml:space="preserve">foreign representatives and creditors access to courts; </w:t>
      </w:r>
      <w:r w:rsidR="00EA4BA2">
        <w:rPr>
          <w:rFonts w:ascii="Avenir Next" w:hAnsi="Avenir Next" w:cs="Arial"/>
          <w:color w:val="808080" w:themeColor="background1" w:themeShade="80"/>
          <w:sz w:val="22"/>
          <w:szCs w:val="22"/>
        </w:rPr>
        <w:t xml:space="preserve">(ii) </w:t>
      </w:r>
      <w:r w:rsidR="00105DAA">
        <w:rPr>
          <w:rFonts w:ascii="Avenir Next" w:hAnsi="Avenir Next" w:cs="Arial"/>
          <w:color w:val="808080" w:themeColor="background1" w:themeShade="80"/>
          <w:sz w:val="22"/>
          <w:szCs w:val="22"/>
        </w:rPr>
        <w:t>r</w:t>
      </w:r>
      <w:r w:rsidRPr="001B3FA4">
        <w:rPr>
          <w:rFonts w:ascii="Avenir Next" w:hAnsi="Avenir Next" w:cs="Arial"/>
          <w:color w:val="808080" w:themeColor="background1" w:themeShade="80"/>
          <w:sz w:val="22"/>
          <w:szCs w:val="22"/>
        </w:rPr>
        <w:t>ecognition</w:t>
      </w:r>
      <w:r w:rsidR="00105DAA">
        <w:rPr>
          <w:rFonts w:ascii="Avenir Next" w:hAnsi="Avenir Next" w:cs="Arial"/>
          <w:color w:val="808080" w:themeColor="background1" w:themeShade="80"/>
          <w:sz w:val="22"/>
          <w:szCs w:val="22"/>
        </w:rPr>
        <w:t xml:space="preserve"> of</w:t>
      </w:r>
      <w:r w:rsidRPr="001B3FA4">
        <w:rPr>
          <w:rFonts w:ascii="Avenir Next" w:hAnsi="Avenir Next" w:cs="Arial"/>
          <w:color w:val="808080" w:themeColor="background1" w:themeShade="80"/>
          <w:sz w:val="22"/>
          <w:szCs w:val="22"/>
        </w:rPr>
        <w:t xml:space="preserve"> foreign proceedings; </w:t>
      </w:r>
      <w:r w:rsidR="00EA4BA2">
        <w:rPr>
          <w:rFonts w:ascii="Avenir Next" w:hAnsi="Avenir Next" w:cs="Arial"/>
          <w:color w:val="808080" w:themeColor="background1" w:themeShade="80"/>
          <w:sz w:val="22"/>
          <w:szCs w:val="22"/>
        </w:rPr>
        <w:t xml:space="preserve">(iii) </w:t>
      </w:r>
      <w:r w:rsidR="00105DAA">
        <w:rPr>
          <w:rFonts w:ascii="Avenir Next" w:hAnsi="Avenir Next" w:cs="Arial"/>
          <w:color w:val="808080" w:themeColor="background1" w:themeShade="80"/>
          <w:sz w:val="22"/>
          <w:szCs w:val="22"/>
        </w:rPr>
        <w:t xml:space="preserve">providing </w:t>
      </w:r>
      <w:r w:rsidR="005A4DD4">
        <w:rPr>
          <w:rFonts w:ascii="Avenir Next" w:hAnsi="Avenir Next" w:cs="Arial"/>
          <w:color w:val="808080" w:themeColor="background1" w:themeShade="80"/>
          <w:sz w:val="22"/>
          <w:szCs w:val="22"/>
        </w:rPr>
        <w:t>relief</w:t>
      </w:r>
      <w:r w:rsidRPr="001B3FA4">
        <w:rPr>
          <w:rFonts w:ascii="Avenir Next" w:hAnsi="Avenir Next" w:cs="Arial"/>
          <w:color w:val="808080" w:themeColor="background1" w:themeShade="80"/>
          <w:sz w:val="22"/>
          <w:szCs w:val="22"/>
        </w:rPr>
        <w:t xml:space="preserve">; and </w:t>
      </w:r>
      <w:r w:rsidR="005A4DD4">
        <w:rPr>
          <w:rFonts w:ascii="Avenir Next" w:hAnsi="Avenir Next" w:cs="Arial"/>
          <w:color w:val="808080" w:themeColor="background1" w:themeShade="80"/>
          <w:sz w:val="22"/>
          <w:szCs w:val="22"/>
        </w:rPr>
        <w:t>(iv) c</w:t>
      </w:r>
      <w:r w:rsidRPr="001B3FA4">
        <w:rPr>
          <w:rFonts w:ascii="Avenir Next" w:hAnsi="Avenir Next" w:cs="Arial"/>
          <w:color w:val="808080" w:themeColor="background1" w:themeShade="80"/>
          <w:sz w:val="22"/>
          <w:szCs w:val="22"/>
        </w:rPr>
        <w:t>ooperation with foreign courts and representatives.</w:t>
      </w:r>
      <w:r w:rsidR="00414D35">
        <w:rPr>
          <w:rFonts w:ascii="Avenir Next" w:hAnsi="Avenir Next" w:cs="Arial"/>
          <w:color w:val="808080" w:themeColor="background1" w:themeShade="80"/>
          <w:sz w:val="22"/>
          <w:szCs w:val="22"/>
        </w:rPr>
        <w:t xml:space="preserve"> On the other hand, the E</w:t>
      </w:r>
      <w:r w:rsidR="00C35CF7">
        <w:rPr>
          <w:rFonts w:ascii="Avenir Next" w:hAnsi="Avenir Next" w:cs="Arial"/>
          <w:color w:val="808080" w:themeColor="background1" w:themeShade="80"/>
          <w:sz w:val="22"/>
          <w:szCs w:val="22"/>
        </w:rPr>
        <w:t>IR</w:t>
      </w:r>
      <w:r w:rsidR="00777206">
        <w:rPr>
          <w:rFonts w:ascii="Avenir Next" w:hAnsi="Avenir Next" w:cs="Arial"/>
          <w:color w:val="808080" w:themeColor="background1" w:themeShade="80"/>
          <w:sz w:val="22"/>
          <w:szCs w:val="22"/>
        </w:rPr>
        <w:t xml:space="preserve"> (and its recast)</w:t>
      </w:r>
      <w:r w:rsidR="00BA1118">
        <w:rPr>
          <w:rFonts w:ascii="Avenir Next" w:hAnsi="Avenir Next" w:cs="Arial"/>
          <w:color w:val="808080" w:themeColor="background1" w:themeShade="80"/>
          <w:sz w:val="22"/>
          <w:szCs w:val="22"/>
        </w:rPr>
        <w:t xml:space="preserve"> is a regulation</w:t>
      </w:r>
      <w:r w:rsidR="00962CA1">
        <w:rPr>
          <w:rFonts w:ascii="Avenir Next" w:hAnsi="Avenir Next" w:cs="Arial"/>
          <w:color w:val="808080" w:themeColor="background1" w:themeShade="80"/>
          <w:sz w:val="22"/>
          <w:szCs w:val="22"/>
        </w:rPr>
        <w:t>/convention</w:t>
      </w:r>
      <w:r w:rsidR="00BA1118">
        <w:rPr>
          <w:rFonts w:ascii="Avenir Next" w:hAnsi="Avenir Next" w:cs="Arial"/>
          <w:color w:val="808080" w:themeColor="background1" w:themeShade="80"/>
          <w:sz w:val="22"/>
          <w:szCs w:val="22"/>
        </w:rPr>
        <w:t xml:space="preserve"> that </w:t>
      </w:r>
      <w:r w:rsidR="00D53181">
        <w:rPr>
          <w:rFonts w:ascii="Avenir Next" w:hAnsi="Avenir Next" w:cs="Arial"/>
          <w:color w:val="808080" w:themeColor="background1" w:themeShade="80"/>
          <w:sz w:val="22"/>
          <w:szCs w:val="22"/>
        </w:rPr>
        <w:t>(</w:t>
      </w:r>
      <w:r w:rsidR="00BA1118">
        <w:rPr>
          <w:rFonts w:ascii="Avenir Next" w:hAnsi="Avenir Next" w:cs="Arial"/>
          <w:color w:val="808080" w:themeColor="background1" w:themeShade="80"/>
          <w:sz w:val="22"/>
          <w:szCs w:val="22"/>
        </w:rPr>
        <w:t xml:space="preserve">was </w:t>
      </w:r>
      <w:r w:rsidR="004806D5">
        <w:rPr>
          <w:rFonts w:ascii="Avenir Next" w:hAnsi="Avenir Next" w:cs="Arial"/>
          <w:color w:val="808080" w:themeColor="background1" w:themeShade="80"/>
          <w:sz w:val="22"/>
          <w:szCs w:val="22"/>
        </w:rPr>
        <w:t>meant</w:t>
      </w:r>
      <w:r w:rsidR="00D53181">
        <w:rPr>
          <w:rFonts w:ascii="Avenir Next" w:hAnsi="Avenir Next" w:cs="Arial"/>
          <w:color w:val="808080" w:themeColor="background1" w:themeShade="80"/>
          <w:sz w:val="22"/>
          <w:szCs w:val="22"/>
        </w:rPr>
        <w:t xml:space="preserve"> to and)</w:t>
      </w:r>
      <w:r w:rsidR="004806D5">
        <w:rPr>
          <w:rFonts w:ascii="Avenir Next" w:hAnsi="Avenir Next" w:cs="Arial"/>
          <w:color w:val="808080" w:themeColor="background1" w:themeShade="80"/>
          <w:sz w:val="22"/>
          <w:szCs w:val="22"/>
        </w:rPr>
        <w:t xml:space="preserve"> was </w:t>
      </w:r>
      <w:r w:rsidR="00BA1118">
        <w:rPr>
          <w:rFonts w:ascii="Avenir Next" w:hAnsi="Avenir Next" w:cs="Arial"/>
          <w:color w:val="808080" w:themeColor="background1" w:themeShade="80"/>
          <w:sz w:val="22"/>
          <w:szCs w:val="22"/>
        </w:rPr>
        <w:t xml:space="preserve">incorporated to the domestic law of </w:t>
      </w:r>
      <w:r w:rsidR="00A96F1D">
        <w:rPr>
          <w:rFonts w:ascii="Avenir Next" w:hAnsi="Avenir Next" w:cs="Arial"/>
          <w:color w:val="808080" w:themeColor="background1" w:themeShade="80"/>
          <w:sz w:val="22"/>
          <w:szCs w:val="22"/>
        </w:rPr>
        <w:t xml:space="preserve">each of </w:t>
      </w:r>
      <w:r w:rsidR="00BA1118">
        <w:rPr>
          <w:rFonts w:ascii="Avenir Next" w:hAnsi="Avenir Next" w:cs="Arial"/>
          <w:color w:val="808080" w:themeColor="background1" w:themeShade="80"/>
          <w:sz w:val="22"/>
          <w:szCs w:val="22"/>
        </w:rPr>
        <w:t>the EU Member States</w:t>
      </w:r>
      <w:r w:rsidR="004806D5">
        <w:rPr>
          <w:rFonts w:ascii="Avenir Next" w:hAnsi="Avenir Next" w:cs="Arial"/>
          <w:color w:val="808080" w:themeColor="background1" w:themeShade="80"/>
          <w:sz w:val="22"/>
          <w:szCs w:val="22"/>
        </w:rPr>
        <w:t xml:space="preserve"> (“hard law”). </w:t>
      </w:r>
    </w:p>
    <w:p w14:paraId="2A03C912" w14:textId="77777777" w:rsidR="008C17E3" w:rsidRDefault="008C17E3" w:rsidP="001B3FA4">
      <w:pPr>
        <w:jc w:val="both"/>
        <w:rPr>
          <w:rFonts w:ascii="Avenir Next" w:hAnsi="Avenir Next" w:cs="Arial"/>
          <w:color w:val="808080" w:themeColor="background1" w:themeShade="80"/>
          <w:sz w:val="22"/>
          <w:szCs w:val="22"/>
        </w:rPr>
      </w:pPr>
    </w:p>
    <w:p w14:paraId="7716EC51" w14:textId="5FA87C35" w:rsidR="00B77352" w:rsidRDefault="005972D8" w:rsidP="005972D8">
      <w:pPr>
        <w:jc w:val="both"/>
        <w:rPr>
          <w:rFonts w:ascii="Avenir Next" w:hAnsi="Avenir Next" w:cs="Arial"/>
          <w:color w:val="808080" w:themeColor="background1" w:themeShade="80"/>
          <w:sz w:val="22"/>
          <w:szCs w:val="22"/>
        </w:rPr>
      </w:pPr>
      <w:r w:rsidRPr="005972D8">
        <w:rPr>
          <w:rFonts w:ascii="Avenir Next" w:hAnsi="Avenir Next" w:cs="Arial"/>
          <w:color w:val="808080" w:themeColor="background1" w:themeShade="80"/>
          <w:sz w:val="22"/>
          <w:szCs w:val="22"/>
        </w:rPr>
        <w:t xml:space="preserve">A significant advantage of the MLCBI is its ability to steer the development of domestic insolvency frameworks without </w:t>
      </w:r>
      <w:r w:rsidR="009C5F97">
        <w:rPr>
          <w:rFonts w:ascii="Avenir Next" w:hAnsi="Avenir Next" w:cs="Arial"/>
          <w:color w:val="808080" w:themeColor="background1" w:themeShade="80"/>
          <w:sz w:val="22"/>
          <w:szCs w:val="22"/>
        </w:rPr>
        <w:t xml:space="preserve">requiring adjustments for the distinct traits </w:t>
      </w:r>
      <w:r w:rsidR="001E706E">
        <w:rPr>
          <w:rFonts w:ascii="Avenir Next" w:hAnsi="Avenir Next" w:cs="Arial"/>
          <w:color w:val="808080" w:themeColor="background1" w:themeShade="80"/>
          <w:sz w:val="22"/>
          <w:szCs w:val="22"/>
        </w:rPr>
        <w:t xml:space="preserve">of </w:t>
      </w:r>
      <w:r w:rsidRPr="005972D8">
        <w:rPr>
          <w:rFonts w:ascii="Avenir Next" w:hAnsi="Avenir Next" w:cs="Arial"/>
          <w:color w:val="808080" w:themeColor="background1" w:themeShade="80"/>
          <w:sz w:val="22"/>
          <w:szCs w:val="22"/>
        </w:rPr>
        <w:t>e</w:t>
      </w:r>
      <w:r w:rsidR="00AE1D3B">
        <w:rPr>
          <w:rFonts w:ascii="Avenir Next" w:hAnsi="Avenir Next" w:cs="Arial"/>
          <w:color w:val="808080" w:themeColor="background1" w:themeShade="80"/>
          <w:sz w:val="22"/>
          <w:szCs w:val="22"/>
        </w:rPr>
        <w:t>ach</w:t>
      </w:r>
      <w:r w:rsidRPr="005972D8">
        <w:rPr>
          <w:rFonts w:ascii="Avenir Next" w:hAnsi="Avenir Next" w:cs="Arial"/>
          <w:color w:val="808080" w:themeColor="background1" w:themeShade="80"/>
          <w:sz w:val="22"/>
          <w:szCs w:val="22"/>
        </w:rPr>
        <w:t xml:space="preserve"> jurisdiction</w:t>
      </w:r>
      <w:r w:rsidR="0027197E">
        <w:rPr>
          <w:rFonts w:ascii="Avenir Next" w:hAnsi="Avenir Next" w:cs="Arial"/>
          <w:color w:val="808080" w:themeColor="background1" w:themeShade="80"/>
          <w:sz w:val="22"/>
          <w:szCs w:val="22"/>
        </w:rPr>
        <w:t xml:space="preserve"> (which can take time)</w:t>
      </w:r>
      <w:r w:rsidR="00FA6A32">
        <w:rPr>
          <w:rFonts w:ascii="Avenir Next" w:hAnsi="Avenir Next" w:cs="Arial"/>
          <w:color w:val="808080" w:themeColor="background1" w:themeShade="80"/>
          <w:sz w:val="22"/>
          <w:szCs w:val="22"/>
        </w:rPr>
        <w:t xml:space="preserve">. </w:t>
      </w:r>
      <w:r w:rsidR="001E706E" w:rsidRPr="001E706E">
        <w:rPr>
          <w:rFonts w:ascii="Avenir Next" w:hAnsi="Avenir Next" w:cs="Arial"/>
          <w:color w:val="808080" w:themeColor="background1" w:themeShade="80"/>
          <w:sz w:val="22"/>
          <w:szCs w:val="22"/>
        </w:rPr>
        <w:t xml:space="preserve">Each country will </w:t>
      </w:r>
      <w:r w:rsidR="0027197E">
        <w:rPr>
          <w:rFonts w:ascii="Avenir Next" w:hAnsi="Avenir Next" w:cs="Arial"/>
          <w:color w:val="808080" w:themeColor="background1" w:themeShade="80"/>
          <w:sz w:val="22"/>
          <w:szCs w:val="22"/>
        </w:rPr>
        <w:t>harmonize</w:t>
      </w:r>
      <w:r w:rsidR="001E706E" w:rsidRPr="001E706E">
        <w:rPr>
          <w:rFonts w:ascii="Avenir Next" w:hAnsi="Avenir Next" w:cs="Arial"/>
          <w:color w:val="808080" w:themeColor="background1" w:themeShade="80"/>
          <w:sz w:val="22"/>
          <w:szCs w:val="22"/>
        </w:rPr>
        <w:t xml:space="preserve"> the MLCBI with its domestic legal frameworks</w:t>
      </w:r>
      <w:r w:rsidR="0027197E">
        <w:rPr>
          <w:rFonts w:ascii="Avenir Next" w:hAnsi="Avenir Next" w:cs="Arial"/>
          <w:color w:val="808080" w:themeColor="background1" w:themeShade="80"/>
          <w:sz w:val="22"/>
          <w:szCs w:val="22"/>
        </w:rPr>
        <w:t xml:space="preserve"> individually. However, considering that it is not binding, </w:t>
      </w:r>
      <w:r w:rsidR="0048758C">
        <w:rPr>
          <w:rFonts w:ascii="Avenir Next" w:hAnsi="Avenir Next" w:cs="Arial"/>
          <w:color w:val="808080" w:themeColor="background1" w:themeShade="80"/>
          <w:sz w:val="22"/>
          <w:szCs w:val="22"/>
        </w:rPr>
        <w:t xml:space="preserve">its effectiveness will </w:t>
      </w:r>
      <w:r w:rsidR="007508DA">
        <w:rPr>
          <w:rFonts w:ascii="Avenir Next" w:hAnsi="Avenir Next" w:cs="Arial"/>
          <w:color w:val="808080" w:themeColor="background1" w:themeShade="80"/>
          <w:sz w:val="22"/>
          <w:szCs w:val="22"/>
        </w:rPr>
        <w:t xml:space="preserve">rely </w:t>
      </w:r>
      <w:r w:rsidR="0048758C">
        <w:rPr>
          <w:rFonts w:ascii="Avenir Next" w:hAnsi="Avenir Next" w:cs="Arial"/>
          <w:color w:val="808080" w:themeColor="background1" w:themeShade="80"/>
          <w:sz w:val="22"/>
          <w:szCs w:val="22"/>
        </w:rPr>
        <w:t xml:space="preserve">on the efficiency of </w:t>
      </w:r>
      <w:r w:rsidR="007508DA">
        <w:rPr>
          <w:rFonts w:ascii="Avenir Next" w:hAnsi="Avenir Next" w:cs="Arial"/>
          <w:color w:val="808080" w:themeColor="background1" w:themeShade="80"/>
          <w:sz w:val="22"/>
          <w:szCs w:val="22"/>
        </w:rPr>
        <w:t xml:space="preserve">each </w:t>
      </w:r>
      <w:r w:rsidR="006805D4">
        <w:rPr>
          <w:rFonts w:ascii="Avenir Next" w:hAnsi="Avenir Next" w:cs="Arial"/>
          <w:color w:val="808080" w:themeColor="background1" w:themeShade="80"/>
          <w:sz w:val="22"/>
          <w:szCs w:val="22"/>
        </w:rPr>
        <w:t xml:space="preserve">country in </w:t>
      </w:r>
      <w:r w:rsidR="00D80DD2">
        <w:rPr>
          <w:rFonts w:ascii="Avenir Next" w:hAnsi="Avenir Next" w:cs="Arial"/>
          <w:color w:val="808080" w:themeColor="background1" w:themeShade="80"/>
          <w:sz w:val="22"/>
          <w:szCs w:val="22"/>
        </w:rPr>
        <w:t xml:space="preserve">formally </w:t>
      </w:r>
      <w:r w:rsidR="007508DA">
        <w:rPr>
          <w:rFonts w:ascii="Avenir Next" w:hAnsi="Avenir Next" w:cs="Arial"/>
          <w:color w:val="808080" w:themeColor="background1" w:themeShade="80"/>
          <w:sz w:val="22"/>
          <w:szCs w:val="22"/>
        </w:rPr>
        <w:t xml:space="preserve">integrating </w:t>
      </w:r>
      <w:r w:rsidR="006805D4">
        <w:rPr>
          <w:rFonts w:ascii="Avenir Next" w:hAnsi="Avenir Next" w:cs="Arial"/>
          <w:color w:val="808080" w:themeColor="background1" w:themeShade="80"/>
          <w:sz w:val="22"/>
          <w:szCs w:val="22"/>
        </w:rPr>
        <w:t xml:space="preserve">the </w:t>
      </w:r>
      <w:r w:rsidR="00D80DD2">
        <w:rPr>
          <w:rFonts w:ascii="Avenir Next" w:hAnsi="Avenir Next" w:cs="Arial"/>
          <w:color w:val="808080" w:themeColor="background1" w:themeShade="80"/>
          <w:sz w:val="22"/>
          <w:szCs w:val="22"/>
        </w:rPr>
        <w:t>MLCBI recommendations</w:t>
      </w:r>
      <w:r w:rsidR="00275626">
        <w:rPr>
          <w:rFonts w:ascii="Avenir Next" w:hAnsi="Avenir Next" w:cs="Arial"/>
          <w:color w:val="808080" w:themeColor="background1" w:themeShade="80"/>
          <w:sz w:val="22"/>
          <w:szCs w:val="22"/>
        </w:rPr>
        <w:t xml:space="preserve"> into their insolvency framework</w:t>
      </w:r>
      <w:r w:rsidR="00D80DD2">
        <w:rPr>
          <w:rFonts w:ascii="Avenir Next" w:hAnsi="Avenir Next" w:cs="Arial"/>
          <w:color w:val="808080" w:themeColor="background1" w:themeShade="80"/>
          <w:sz w:val="22"/>
          <w:szCs w:val="22"/>
        </w:rPr>
        <w:t>.</w:t>
      </w:r>
    </w:p>
    <w:p w14:paraId="51A6B679" w14:textId="77777777" w:rsidR="00B72E27" w:rsidRDefault="00B72E27" w:rsidP="005972D8">
      <w:pPr>
        <w:jc w:val="both"/>
        <w:rPr>
          <w:rFonts w:ascii="Avenir Next" w:hAnsi="Avenir Next" w:cs="Arial"/>
          <w:color w:val="808080" w:themeColor="background1" w:themeShade="80"/>
          <w:sz w:val="22"/>
          <w:szCs w:val="22"/>
        </w:rPr>
      </w:pPr>
    </w:p>
    <w:p w14:paraId="79E7DA7B" w14:textId="7FDAF846" w:rsidR="005972D8" w:rsidRDefault="00532307" w:rsidP="00532307">
      <w:pPr>
        <w:jc w:val="both"/>
        <w:rPr>
          <w:rFonts w:ascii="Avenir Next" w:hAnsi="Avenir Next" w:cs="Arial"/>
          <w:color w:val="808080" w:themeColor="background1" w:themeShade="80"/>
          <w:sz w:val="22"/>
          <w:szCs w:val="22"/>
        </w:rPr>
      </w:pPr>
      <w:r w:rsidRPr="00532307">
        <w:rPr>
          <w:rFonts w:ascii="Avenir Next" w:hAnsi="Avenir Next" w:cs="Arial"/>
          <w:color w:val="808080" w:themeColor="background1" w:themeShade="80"/>
          <w:sz w:val="22"/>
          <w:szCs w:val="22"/>
        </w:rPr>
        <w:t xml:space="preserve">The European Insolvency Regulation (EIR) offers a positive by ensuring consistent rules for cross-border insolvency across EU member states, fostering legal certainty and efficiency. This standardization enhances predictability for stakeholders, facilitating the resolution of cases and safeguarding creditors' interests. However, the EIR's limited scope excludes non-EU countries, potentially causing jurisdictional conflicts and legal ambiguities for cases involving international </w:t>
      </w:r>
      <w:r w:rsidRPr="00532307">
        <w:rPr>
          <w:rFonts w:ascii="Avenir Next" w:hAnsi="Avenir Next" w:cs="Arial"/>
          <w:color w:val="808080" w:themeColor="background1" w:themeShade="80"/>
          <w:sz w:val="22"/>
          <w:szCs w:val="22"/>
        </w:rPr>
        <w:lastRenderedPageBreak/>
        <w:t>elements. Furthermore, variations in national insolvency laws among EU states may hinder seamless cooperation and harmonization under the EIR framework.</w:t>
      </w:r>
    </w:p>
    <w:p w14:paraId="2BDB281E" w14:textId="77777777" w:rsidR="00532307" w:rsidRPr="00E2622D" w:rsidRDefault="00532307"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03D7ED5B" w14:textId="419230E3" w:rsidR="00D854DD" w:rsidRDefault="00D854DD" w:rsidP="004E24C1">
      <w:pPr>
        <w:jc w:val="both"/>
        <w:rPr>
          <w:rFonts w:ascii="Avenir Next" w:hAnsi="Avenir Next" w:cs="Arial"/>
          <w:color w:val="808080" w:themeColor="background1" w:themeShade="80"/>
          <w:sz w:val="22"/>
          <w:szCs w:val="22"/>
        </w:rPr>
      </w:pPr>
      <w:r w:rsidRPr="00D854DD">
        <w:rPr>
          <w:rFonts w:ascii="Avenir Next" w:hAnsi="Avenir Next" w:cs="Arial"/>
          <w:color w:val="808080" w:themeColor="background1" w:themeShade="80"/>
          <w:sz w:val="22"/>
          <w:szCs w:val="22"/>
        </w:rPr>
        <w:t>Article 21(1) of the Model Law grants the court in the enacting State discretionary authority, upon recognition of a foreign proceeding, to provide relief to safeguard the debtor's assets or creditors' interests. This relief includes staying actions or proceedings, suspending asset transfers, facilitating evidence collection, entrusting asset administration to the foreign representative, extending interim relief, and granting additional relief available under domestic laws. Paragraph 2 allows the transfer of debtor's assets to the foreign representative if local creditors' interests are protected, while paragraph 4 ensures relief for a foreign non-main proceeding aligns with the enacting State's law and doesn't disrupt other insolvency proceedings.</w:t>
      </w:r>
    </w:p>
    <w:p w14:paraId="428DC0DA" w14:textId="7B68F04E" w:rsidR="00867A8F" w:rsidRPr="00B77352" w:rsidRDefault="004E24C1" w:rsidP="004E24C1">
      <w:pPr>
        <w:jc w:val="both"/>
        <w:rPr>
          <w:rFonts w:ascii="Avenir Next" w:hAnsi="Avenir Next" w:cs="Arial"/>
          <w:color w:val="808080" w:themeColor="background1" w:themeShade="80"/>
          <w:sz w:val="22"/>
          <w:szCs w:val="22"/>
          <w:lang w:val="en-GB"/>
        </w:rPr>
      </w:pPr>
      <w:r w:rsidRPr="004E24C1">
        <w:rPr>
          <w:rFonts w:ascii="Avenir Next" w:hAnsi="Avenir Next" w:cs="Arial"/>
          <w:color w:val="808080" w:themeColor="background1" w:themeShade="80"/>
          <w:sz w:val="22"/>
          <w:szCs w:val="22"/>
        </w:rPr>
        <w:t>When deciding whether to grant discretionary relief under Article 21, or when modifying or terminating any relief already granted, the court must ensure that the interests of creditors and other relevant parties, including the debtor, are sufficiently safeguarded. This requirement underscores why the court may opt to grant relief subject to conditions that it deems appropriate.</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547A15BC" w14:textId="612D3458" w:rsidR="000357A5" w:rsidRDefault="000357A5" w:rsidP="00CE2A4B">
      <w:pPr>
        <w:jc w:val="both"/>
        <w:rPr>
          <w:rFonts w:ascii="Avenir Next" w:hAnsi="Avenir Next" w:cs="Arial"/>
          <w:color w:val="808080" w:themeColor="background1" w:themeShade="80"/>
          <w:sz w:val="22"/>
          <w:szCs w:val="22"/>
        </w:rPr>
      </w:pPr>
      <w:r w:rsidRPr="000357A5">
        <w:rPr>
          <w:rFonts w:ascii="Avenir Next" w:hAnsi="Avenir Next" w:cs="Arial"/>
          <w:color w:val="808080" w:themeColor="background1" w:themeShade="80"/>
          <w:sz w:val="22"/>
          <w:szCs w:val="22"/>
        </w:rPr>
        <w:t>Article 13 of the Model Law grants foreign creditors equal rights as those domiciled in the enacting State, maintaining the hierarchy of claims within the enacting State. Nevertheless, a foreign creditor's claim cannot be relegated to a lower priority than general unsecured claims solely based on their foreign status</w:t>
      </w:r>
      <w:r w:rsidR="000A0674">
        <w:rPr>
          <w:rFonts w:ascii="Avenir Next" w:hAnsi="Avenir Next" w:cs="Arial"/>
          <w:color w:val="808080" w:themeColor="background1" w:themeShade="80"/>
          <w:sz w:val="22"/>
          <w:szCs w:val="22"/>
        </w:rPr>
        <w:t xml:space="preserve"> (anti-discrimination principle)</w:t>
      </w:r>
      <w:r w:rsidRPr="000357A5">
        <w:rPr>
          <w:rFonts w:ascii="Avenir Next" w:hAnsi="Avenir Next" w:cs="Arial"/>
          <w:color w:val="808080" w:themeColor="background1" w:themeShade="80"/>
          <w:sz w:val="22"/>
          <w:szCs w:val="22"/>
        </w:rPr>
        <w:t>.</w:t>
      </w:r>
    </w:p>
    <w:p w14:paraId="2FF0DE9F" w14:textId="77777777" w:rsidR="000357A5" w:rsidRDefault="000357A5" w:rsidP="00CE2A4B">
      <w:pPr>
        <w:jc w:val="both"/>
        <w:rPr>
          <w:rFonts w:ascii="Avenir Next" w:hAnsi="Avenir Next" w:cs="Arial"/>
          <w:color w:val="808080" w:themeColor="background1" w:themeShade="80"/>
          <w:sz w:val="22"/>
          <w:szCs w:val="22"/>
        </w:rPr>
      </w:pPr>
    </w:p>
    <w:p w14:paraId="11612ED7" w14:textId="4BABEADA" w:rsidR="00CE2A4B" w:rsidRDefault="000357A5" w:rsidP="00CE2A4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Also, </w:t>
      </w:r>
      <w:r w:rsidR="00A06F41" w:rsidRPr="00A06F41">
        <w:rPr>
          <w:rFonts w:ascii="Avenir Next" w:hAnsi="Avenir Next" w:cs="Arial"/>
          <w:color w:val="808080" w:themeColor="background1" w:themeShade="80"/>
          <w:sz w:val="22"/>
          <w:szCs w:val="22"/>
        </w:rPr>
        <w:t>Article 13 does not authorize the recognizing court to evaluate the merits of the foreign court's decision or issues related to the commencement of the insolvency proceeding. Its purpose is to establish clear and predictable criteria for the recognition and enforcement of insolvency-related judgments.</w:t>
      </w:r>
      <w:r w:rsidR="00CE2A4B">
        <w:rPr>
          <w:rFonts w:ascii="Avenir Next" w:hAnsi="Avenir Next" w:cs="Arial"/>
          <w:color w:val="808080" w:themeColor="background1" w:themeShade="80"/>
          <w:sz w:val="22"/>
          <w:szCs w:val="22"/>
        </w:rPr>
        <w:t xml:space="preserve"> </w:t>
      </w:r>
      <w:r w:rsidR="00CE2A4B" w:rsidRPr="00CE2A4B">
        <w:rPr>
          <w:rFonts w:ascii="Avenir Next" w:hAnsi="Avenir Next" w:cs="Arial"/>
          <w:color w:val="808080" w:themeColor="background1" w:themeShade="80"/>
          <w:sz w:val="22"/>
          <w:szCs w:val="22"/>
        </w:rPr>
        <w:t>The</w:t>
      </w:r>
      <w:r w:rsidR="00CE2A4B">
        <w:rPr>
          <w:rFonts w:ascii="Avenir Next" w:hAnsi="Avenir Next" w:cs="Arial"/>
          <w:color w:val="808080" w:themeColor="background1" w:themeShade="80"/>
          <w:sz w:val="22"/>
          <w:szCs w:val="22"/>
        </w:rPr>
        <w:t>refore, the</w:t>
      </w:r>
      <w:r w:rsidR="00CE2A4B" w:rsidRPr="00CE2A4B">
        <w:rPr>
          <w:rFonts w:ascii="Avenir Next" w:hAnsi="Avenir Next" w:cs="Arial"/>
          <w:color w:val="808080" w:themeColor="background1" w:themeShade="80"/>
          <w:sz w:val="22"/>
          <w:szCs w:val="22"/>
        </w:rPr>
        <w:t xml:space="preserve"> decision to recognize and enforce an insolvency-related judgment, as outlined in Article 13, follows specific criteria:</w:t>
      </w:r>
    </w:p>
    <w:p w14:paraId="3CC91128" w14:textId="77777777" w:rsidR="0069768D" w:rsidRPr="00CE2A4B" w:rsidRDefault="0069768D" w:rsidP="00CE2A4B">
      <w:pPr>
        <w:jc w:val="both"/>
        <w:rPr>
          <w:rFonts w:ascii="Avenir Next" w:hAnsi="Avenir Next" w:cs="Arial"/>
          <w:color w:val="808080" w:themeColor="background1" w:themeShade="80"/>
          <w:sz w:val="22"/>
          <w:szCs w:val="22"/>
        </w:rPr>
      </w:pPr>
    </w:p>
    <w:p w14:paraId="584EB549" w14:textId="6C306023" w:rsidR="00CE2A4B" w:rsidRPr="00CE2A4B" w:rsidRDefault="00CE2A4B" w:rsidP="007A6D92">
      <w:pPr>
        <w:numPr>
          <w:ilvl w:val="0"/>
          <w:numId w:val="19"/>
        </w:numPr>
        <w:jc w:val="both"/>
        <w:rPr>
          <w:rFonts w:ascii="Avenir Next" w:hAnsi="Avenir Next" w:cs="Arial"/>
          <w:color w:val="808080" w:themeColor="background1" w:themeShade="80"/>
          <w:sz w:val="22"/>
          <w:szCs w:val="22"/>
        </w:rPr>
      </w:pPr>
      <w:r w:rsidRPr="00CE2A4B">
        <w:rPr>
          <w:rFonts w:ascii="Avenir Next" w:hAnsi="Avenir Next" w:cs="Arial"/>
          <w:color w:val="808080" w:themeColor="background1" w:themeShade="80"/>
          <w:sz w:val="22"/>
          <w:szCs w:val="22"/>
        </w:rPr>
        <w:t xml:space="preserve">The judgment must qualify as an insolvency-related </w:t>
      </w:r>
      <w:r w:rsidR="0069768D" w:rsidRPr="00CE2A4B">
        <w:rPr>
          <w:rFonts w:ascii="Avenir Next" w:hAnsi="Avenir Next" w:cs="Arial"/>
          <w:color w:val="808080" w:themeColor="background1" w:themeShade="80"/>
          <w:sz w:val="22"/>
          <w:szCs w:val="22"/>
        </w:rPr>
        <w:t>judgment</w:t>
      </w:r>
      <w:r w:rsidR="0069768D">
        <w:rPr>
          <w:rFonts w:ascii="Avenir Next" w:hAnsi="Avenir Next" w:cs="Arial"/>
          <w:color w:val="808080" w:themeColor="background1" w:themeShade="80"/>
          <w:sz w:val="22"/>
          <w:szCs w:val="22"/>
        </w:rPr>
        <w:t>;</w:t>
      </w:r>
    </w:p>
    <w:p w14:paraId="5E8DA0C9" w14:textId="6B259A0D" w:rsidR="00CE2A4B" w:rsidRPr="00CE2A4B" w:rsidRDefault="00CE2A4B" w:rsidP="007A6D92">
      <w:pPr>
        <w:numPr>
          <w:ilvl w:val="0"/>
          <w:numId w:val="19"/>
        </w:numPr>
        <w:jc w:val="both"/>
        <w:rPr>
          <w:rFonts w:ascii="Avenir Next" w:hAnsi="Avenir Next" w:cs="Arial"/>
          <w:color w:val="808080" w:themeColor="background1" w:themeShade="80"/>
          <w:sz w:val="22"/>
          <w:szCs w:val="22"/>
        </w:rPr>
      </w:pPr>
      <w:r w:rsidRPr="00CE2A4B">
        <w:rPr>
          <w:rFonts w:ascii="Avenir Next" w:hAnsi="Avenir Next" w:cs="Arial"/>
          <w:color w:val="808080" w:themeColor="background1" w:themeShade="80"/>
          <w:sz w:val="22"/>
          <w:szCs w:val="22"/>
        </w:rPr>
        <w:t>The requirements for recognition and enforcement, including effectiveness and enforceability in the originating State, must be met</w:t>
      </w:r>
      <w:r w:rsidR="0069768D">
        <w:rPr>
          <w:rFonts w:ascii="Avenir Next" w:hAnsi="Avenir Next" w:cs="Arial"/>
          <w:color w:val="808080" w:themeColor="background1" w:themeShade="80"/>
          <w:sz w:val="22"/>
          <w:szCs w:val="22"/>
        </w:rPr>
        <w:t>;</w:t>
      </w:r>
    </w:p>
    <w:p w14:paraId="7A5E351A" w14:textId="6FCDD4E9" w:rsidR="00CE2A4B" w:rsidRPr="00CE2A4B" w:rsidRDefault="00CE2A4B" w:rsidP="007A6D92">
      <w:pPr>
        <w:numPr>
          <w:ilvl w:val="0"/>
          <w:numId w:val="19"/>
        </w:numPr>
        <w:jc w:val="both"/>
        <w:rPr>
          <w:rFonts w:ascii="Avenir Next" w:hAnsi="Avenir Next" w:cs="Arial"/>
          <w:color w:val="808080" w:themeColor="background1" w:themeShade="80"/>
          <w:sz w:val="22"/>
          <w:szCs w:val="22"/>
        </w:rPr>
      </w:pPr>
      <w:r w:rsidRPr="00CE2A4B">
        <w:rPr>
          <w:rFonts w:ascii="Avenir Next" w:hAnsi="Avenir Next" w:cs="Arial"/>
          <w:color w:val="808080" w:themeColor="background1" w:themeShade="80"/>
          <w:sz w:val="22"/>
          <w:szCs w:val="22"/>
        </w:rPr>
        <w:t>Recognition must be sought by an appropriate party from a recognized court or authority, or the issue must arise incidentally before such a body</w:t>
      </w:r>
      <w:r w:rsidR="0069768D">
        <w:rPr>
          <w:rFonts w:ascii="Avenir Next" w:hAnsi="Avenir Next" w:cs="Arial"/>
          <w:color w:val="808080" w:themeColor="background1" w:themeShade="80"/>
          <w:sz w:val="22"/>
          <w:szCs w:val="22"/>
        </w:rPr>
        <w:t>;</w:t>
      </w:r>
    </w:p>
    <w:p w14:paraId="0B2830D7" w14:textId="77777777" w:rsidR="00CE2A4B" w:rsidRPr="00CE2A4B" w:rsidRDefault="00CE2A4B" w:rsidP="007A6D92">
      <w:pPr>
        <w:numPr>
          <w:ilvl w:val="0"/>
          <w:numId w:val="19"/>
        </w:numPr>
        <w:jc w:val="both"/>
        <w:rPr>
          <w:rFonts w:ascii="Avenir Next" w:hAnsi="Avenir Next" w:cs="Arial"/>
          <w:color w:val="808080" w:themeColor="background1" w:themeShade="80"/>
          <w:sz w:val="22"/>
          <w:szCs w:val="22"/>
        </w:rPr>
      </w:pPr>
      <w:r w:rsidRPr="00CE2A4B">
        <w:rPr>
          <w:rFonts w:ascii="Avenir Next" w:hAnsi="Avenir Next" w:cs="Arial"/>
          <w:color w:val="808080" w:themeColor="background1" w:themeShade="80"/>
          <w:sz w:val="22"/>
          <w:szCs w:val="22"/>
        </w:rPr>
        <w:t>Necessary documents or evidence specified in Article 11(2) must be provided.</w:t>
      </w:r>
    </w:p>
    <w:p w14:paraId="50F18536" w14:textId="34FAB036" w:rsidR="0069768D" w:rsidRDefault="00CE2A4B" w:rsidP="007A6D92">
      <w:pPr>
        <w:numPr>
          <w:ilvl w:val="0"/>
          <w:numId w:val="19"/>
        </w:numPr>
        <w:jc w:val="both"/>
        <w:rPr>
          <w:rFonts w:ascii="Avenir Next" w:hAnsi="Avenir Next" w:cs="Arial"/>
          <w:color w:val="808080" w:themeColor="background1" w:themeShade="80"/>
          <w:sz w:val="22"/>
          <w:szCs w:val="22"/>
        </w:rPr>
      </w:pPr>
      <w:r w:rsidRPr="00CE2A4B">
        <w:rPr>
          <w:rFonts w:ascii="Avenir Next" w:hAnsi="Avenir Next" w:cs="Arial"/>
          <w:color w:val="808080" w:themeColor="background1" w:themeShade="80"/>
          <w:sz w:val="22"/>
          <w:szCs w:val="22"/>
        </w:rPr>
        <w:t>Recognition must not violate public policy</w:t>
      </w:r>
      <w:r w:rsidR="0069768D">
        <w:rPr>
          <w:rFonts w:ascii="Avenir Next" w:hAnsi="Avenir Next" w:cs="Arial"/>
          <w:color w:val="808080" w:themeColor="background1" w:themeShade="80"/>
          <w:sz w:val="22"/>
          <w:szCs w:val="22"/>
        </w:rPr>
        <w:t>; and</w:t>
      </w:r>
    </w:p>
    <w:p w14:paraId="1FE66E77" w14:textId="280CD4C0" w:rsidR="00CE2A4B" w:rsidRPr="00CE2A4B" w:rsidRDefault="0069768D" w:rsidP="007A6D92">
      <w:pPr>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CE2A4B" w:rsidRPr="00CE2A4B">
        <w:rPr>
          <w:rFonts w:ascii="Avenir Next" w:hAnsi="Avenir Next" w:cs="Arial"/>
          <w:color w:val="808080" w:themeColor="background1" w:themeShade="80"/>
          <w:sz w:val="22"/>
          <w:szCs w:val="22"/>
        </w:rPr>
        <w:t>here should be no grounds for refusal as per Article 14.</w:t>
      </w:r>
    </w:p>
    <w:p w14:paraId="72B7B674" w14:textId="77777777" w:rsidR="00943726" w:rsidRPr="00E2622D" w:rsidRDefault="00943726"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127391E" w14:textId="3F9124D7" w:rsidR="00100E8F" w:rsidRPr="00B77352" w:rsidRDefault="007A6170" w:rsidP="007A6170">
      <w:pPr>
        <w:jc w:val="both"/>
        <w:rPr>
          <w:rFonts w:ascii="Avenir Next" w:hAnsi="Avenir Next" w:cs="Arial"/>
          <w:color w:val="808080" w:themeColor="background1" w:themeShade="80"/>
          <w:sz w:val="22"/>
          <w:szCs w:val="22"/>
          <w:lang w:val="en-GB"/>
        </w:rPr>
      </w:pPr>
      <w:r w:rsidRPr="007A6170">
        <w:rPr>
          <w:rFonts w:ascii="Avenir Next" w:hAnsi="Avenir Next" w:cs="Arial"/>
          <w:color w:val="808080" w:themeColor="background1" w:themeShade="80"/>
          <w:sz w:val="22"/>
          <w:szCs w:val="22"/>
        </w:rPr>
        <w:lastRenderedPageBreak/>
        <w:t xml:space="preserve">If the COMI </w:t>
      </w:r>
      <w:r w:rsidR="00782D5E">
        <w:rPr>
          <w:rFonts w:ascii="Avenir Next" w:hAnsi="Avenir Next" w:cs="Arial"/>
          <w:color w:val="808080" w:themeColor="background1" w:themeShade="80"/>
          <w:sz w:val="22"/>
          <w:szCs w:val="22"/>
        </w:rPr>
        <w:t>(</w:t>
      </w:r>
      <w:r w:rsidR="00782D5E" w:rsidRPr="00782D5E">
        <w:rPr>
          <w:rFonts w:ascii="Avenir Next" w:hAnsi="Avenir Next" w:cs="Arial"/>
          <w:color w:val="808080" w:themeColor="background1" w:themeShade="80"/>
          <w:sz w:val="22"/>
          <w:szCs w:val="22"/>
        </w:rPr>
        <w:t>though not precisely defined</w:t>
      </w:r>
      <w:r w:rsidR="00782D5E">
        <w:rPr>
          <w:rFonts w:ascii="Avenir Next" w:hAnsi="Avenir Next" w:cs="Arial"/>
          <w:color w:val="808080" w:themeColor="background1" w:themeShade="80"/>
          <w:sz w:val="22"/>
          <w:szCs w:val="22"/>
        </w:rPr>
        <w:t xml:space="preserve">) is in </w:t>
      </w:r>
      <w:r w:rsidRPr="007A6170">
        <w:rPr>
          <w:rFonts w:ascii="Avenir Next" w:hAnsi="Avenir Next" w:cs="Arial"/>
          <w:color w:val="808080" w:themeColor="background1" w:themeShade="80"/>
          <w:sz w:val="22"/>
          <w:szCs w:val="22"/>
        </w:rPr>
        <w:t>the jurisdiction where foreign proceedings are initiated, those proceedings are considered main insolvency proceedings, entailing automatic mandatory relief. However, if the debtor merely maintains an establishment in the jurisdiction of the foreign proceedings, the proceedings are categorized as non-main</w:t>
      </w:r>
      <w:r w:rsidR="000C5E0E">
        <w:rPr>
          <w:rFonts w:ascii="Avenir Next" w:hAnsi="Avenir Next" w:cs="Arial"/>
          <w:color w:val="808080" w:themeColor="background1" w:themeShade="80"/>
          <w:sz w:val="22"/>
          <w:szCs w:val="22"/>
        </w:rPr>
        <w:t xml:space="preserve"> proceedings</w:t>
      </w:r>
      <w:r w:rsidRPr="007A6170">
        <w:rPr>
          <w:rFonts w:ascii="Avenir Next" w:hAnsi="Avenir Next" w:cs="Arial"/>
          <w:color w:val="808080" w:themeColor="background1" w:themeShade="80"/>
          <w:sz w:val="22"/>
          <w:szCs w:val="22"/>
        </w:rPr>
        <w:t>, lacking automatic relief but subject to discretionary post-recognition relief by the court. Reciprocity is not mandated, and there exists an ongoing obligation to update the court on developments. Urgent interim relief may be granted before the recognition decision following the submission of the recognition application, ensuring adequate protection of the interests of the debtor's creditors and other stakeholders.</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5C3FDFCD" w14:textId="77777777" w:rsidR="006F02D0" w:rsidRPr="006F02D0" w:rsidRDefault="006F02D0" w:rsidP="006F02D0">
      <w:pPr>
        <w:jc w:val="both"/>
        <w:rPr>
          <w:rFonts w:ascii="Avenir Next" w:hAnsi="Avenir Next" w:cs="Arial"/>
          <w:color w:val="808080" w:themeColor="background1" w:themeShade="80"/>
          <w:sz w:val="22"/>
          <w:szCs w:val="22"/>
        </w:rPr>
      </w:pPr>
      <w:r w:rsidRPr="006F02D0">
        <w:rPr>
          <w:rFonts w:ascii="Avenir Next" w:hAnsi="Avenir Next" w:cs="Arial"/>
          <w:color w:val="808080" w:themeColor="background1" w:themeShade="80"/>
          <w:sz w:val="22"/>
          <w:szCs w:val="22"/>
        </w:rPr>
        <w:br/>
        <w:t>In this scenario, since the debtor's center of main interests (COMI) is in Germany, the foreign main proceeding would have been filed in Germany. The foreign non-main proceeding, on the other hand, would have been filed in Bermuda, where the debtor has an establishment.</w:t>
      </w:r>
    </w:p>
    <w:p w14:paraId="19799E28" w14:textId="77777777" w:rsidR="006F02D0" w:rsidRPr="006F02D0" w:rsidRDefault="006F02D0" w:rsidP="006F02D0">
      <w:pPr>
        <w:jc w:val="both"/>
        <w:rPr>
          <w:rFonts w:ascii="Avenir Next" w:hAnsi="Avenir Next" w:cs="Arial"/>
          <w:color w:val="808080" w:themeColor="background1" w:themeShade="80"/>
          <w:sz w:val="22"/>
          <w:szCs w:val="22"/>
        </w:rPr>
      </w:pPr>
      <w:r w:rsidRPr="006F02D0">
        <w:rPr>
          <w:rFonts w:ascii="Avenir Next" w:hAnsi="Avenir Next" w:cs="Arial"/>
          <w:color w:val="808080" w:themeColor="background1" w:themeShade="80"/>
          <w:sz w:val="22"/>
          <w:szCs w:val="22"/>
        </w:rPr>
        <w:t>The likely result of this situation is that the German proceeding would be recognized as the foreign main proceeding, given that the debtor's COMI is located there. The Bermuda proceeding would be recognized as the foreign non-main proceeding.</w:t>
      </w:r>
    </w:p>
    <w:p w14:paraId="69B52079" w14:textId="77777777" w:rsidR="006F02D0" w:rsidRPr="006F02D0" w:rsidRDefault="006F02D0" w:rsidP="006F02D0">
      <w:pPr>
        <w:jc w:val="both"/>
        <w:rPr>
          <w:rFonts w:ascii="Avenir Next" w:hAnsi="Avenir Next" w:cs="Arial"/>
          <w:color w:val="808080" w:themeColor="background1" w:themeShade="80"/>
          <w:sz w:val="22"/>
          <w:szCs w:val="22"/>
        </w:rPr>
      </w:pPr>
      <w:r w:rsidRPr="006F02D0">
        <w:rPr>
          <w:rFonts w:ascii="Avenir Next" w:hAnsi="Avenir Next" w:cs="Arial"/>
          <w:color w:val="808080" w:themeColor="background1" w:themeShade="80"/>
          <w:sz w:val="22"/>
          <w:szCs w:val="22"/>
        </w:rPr>
        <w:t>In the United States, recognition proceedings would likely be initiated to recognize both the foreign main and non-main proceedings. The US court would respect the main proceeding's primacy and accord it greater deference, while also recognizing the non-main proceeding's existence and its relevance to the overall insolvency process.</w:t>
      </w:r>
    </w:p>
    <w:p w14:paraId="08475351" w14:textId="0D213A0E" w:rsidR="00867A8F" w:rsidRPr="00B77352" w:rsidRDefault="00867A8F" w:rsidP="00867A8F">
      <w:pPr>
        <w:ind w:left="720" w:hanging="720"/>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7FC920CD" w14:textId="77777777" w:rsidR="00780AD8" w:rsidRPr="00780AD8" w:rsidRDefault="00780AD8" w:rsidP="00780AD8">
      <w:pPr>
        <w:jc w:val="both"/>
        <w:rPr>
          <w:rFonts w:ascii="Avenir Next" w:hAnsi="Avenir Next" w:cs="Arial"/>
          <w:color w:val="808080" w:themeColor="background1" w:themeShade="80"/>
          <w:sz w:val="22"/>
          <w:szCs w:val="22"/>
        </w:rPr>
      </w:pPr>
      <w:r w:rsidRPr="00780AD8">
        <w:rPr>
          <w:rFonts w:ascii="Avenir Next" w:hAnsi="Avenir Next" w:cs="Arial"/>
          <w:color w:val="808080" w:themeColor="background1" w:themeShade="80"/>
          <w:sz w:val="22"/>
          <w:szCs w:val="22"/>
        </w:rPr>
        <w:br/>
        <w:t>In this scenario, the likely outcome would involve the US court addressing the lawsuit against the joint provisional liquidators and the related discovery requests.</w:t>
      </w:r>
    </w:p>
    <w:p w14:paraId="61FC4C03" w14:textId="77777777" w:rsidR="00780AD8" w:rsidRPr="00780AD8" w:rsidRDefault="00780AD8" w:rsidP="00780AD8">
      <w:pPr>
        <w:jc w:val="both"/>
        <w:rPr>
          <w:rFonts w:ascii="Avenir Next" w:hAnsi="Avenir Next" w:cs="Arial"/>
          <w:color w:val="808080" w:themeColor="background1" w:themeShade="80"/>
          <w:sz w:val="22"/>
          <w:szCs w:val="22"/>
        </w:rPr>
      </w:pPr>
      <w:r w:rsidRPr="00780AD8">
        <w:rPr>
          <w:rFonts w:ascii="Avenir Next" w:hAnsi="Avenir Next" w:cs="Arial"/>
          <w:color w:val="808080" w:themeColor="background1" w:themeShade="80"/>
          <w:sz w:val="22"/>
          <w:szCs w:val="22"/>
        </w:rPr>
        <w:t>Since the joint provisional liquidators have initiated a recognition proceeding in the US, the court would have to consider their status and the nature of the allegations against them. The court would likely evaluate whether the lawsuit and discovery requests interfere with the recognition proceeding or the provisional liquidators' duties.</w:t>
      </w:r>
    </w:p>
    <w:p w14:paraId="26FCEC87" w14:textId="77777777" w:rsidR="00780AD8" w:rsidRPr="00780AD8" w:rsidRDefault="00780AD8" w:rsidP="00780AD8">
      <w:pPr>
        <w:jc w:val="both"/>
        <w:rPr>
          <w:rFonts w:ascii="Avenir Next" w:hAnsi="Avenir Next" w:cs="Arial"/>
          <w:color w:val="808080" w:themeColor="background1" w:themeShade="80"/>
          <w:sz w:val="22"/>
          <w:szCs w:val="22"/>
        </w:rPr>
      </w:pPr>
      <w:r w:rsidRPr="00780AD8">
        <w:rPr>
          <w:rFonts w:ascii="Avenir Next" w:hAnsi="Avenir Next" w:cs="Arial"/>
          <w:color w:val="808080" w:themeColor="background1" w:themeShade="80"/>
          <w:sz w:val="22"/>
          <w:szCs w:val="22"/>
        </w:rPr>
        <w:t>If the court determines that the lawsuit and discovery requests significantly impede the recognition proceeding or the liquidators' ability to fulfill their duties, it may issue a stay or other protective orders to address the situation. This would allow the recognition proceeding to proceed without undue interference.</w:t>
      </w:r>
    </w:p>
    <w:p w14:paraId="500ABDED" w14:textId="77777777" w:rsidR="00780AD8" w:rsidRPr="00780AD8" w:rsidRDefault="00780AD8" w:rsidP="00780AD8">
      <w:pPr>
        <w:jc w:val="both"/>
        <w:rPr>
          <w:rFonts w:ascii="Avenir Next" w:hAnsi="Avenir Next" w:cs="Arial"/>
          <w:color w:val="808080" w:themeColor="background1" w:themeShade="80"/>
          <w:sz w:val="22"/>
          <w:szCs w:val="22"/>
        </w:rPr>
      </w:pPr>
      <w:r w:rsidRPr="00780AD8">
        <w:rPr>
          <w:rFonts w:ascii="Avenir Next" w:hAnsi="Avenir Next" w:cs="Arial"/>
          <w:color w:val="808080" w:themeColor="background1" w:themeShade="80"/>
          <w:sz w:val="22"/>
          <w:szCs w:val="22"/>
        </w:rPr>
        <w:t xml:space="preserve">However, if the court finds that the lawsuit and discovery requests are unrelated to the recognition proceeding or the liquidators' duties, it may allow them to proceed independently. In such a case, the </w:t>
      </w:r>
      <w:r w:rsidRPr="00780AD8">
        <w:rPr>
          <w:rFonts w:ascii="Avenir Next" w:hAnsi="Avenir Next" w:cs="Arial"/>
          <w:color w:val="808080" w:themeColor="background1" w:themeShade="80"/>
          <w:sz w:val="22"/>
          <w:szCs w:val="22"/>
        </w:rPr>
        <w:lastRenderedPageBreak/>
        <w:t>liquidators would need to defend themselves against the allegations of tortious interference with contract rights through the normal legal process.</w:t>
      </w:r>
    </w:p>
    <w:p w14:paraId="4725007E" w14:textId="77777777" w:rsidR="00780AD8" w:rsidRPr="00780AD8" w:rsidRDefault="00780AD8" w:rsidP="00780AD8">
      <w:pPr>
        <w:jc w:val="both"/>
        <w:rPr>
          <w:rFonts w:ascii="Avenir Next" w:hAnsi="Avenir Next" w:cs="Arial"/>
          <w:color w:val="808080" w:themeColor="background1" w:themeShade="80"/>
          <w:sz w:val="22"/>
          <w:szCs w:val="22"/>
        </w:rPr>
      </w:pPr>
      <w:r w:rsidRPr="00780AD8">
        <w:rPr>
          <w:rFonts w:ascii="Avenir Next" w:hAnsi="Avenir Next" w:cs="Arial"/>
          <w:color w:val="808080" w:themeColor="background1" w:themeShade="80"/>
          <w:sz w:val="22"/>
          <w:szCs w:val="22"/>
        </w:rPr>
        <w:t>Overall, the likely outcome would involve the US court balancing the need to protect the recognition proceeding and the joint provisional liquidators' duties with the requirements of due process and fairness in addressing the allegations against them.</w:t>
      </w:r>
    </w:p>
    <w:p w14:paraId="1F77AA0F" w14:textId="77777777" w:rsidR="00867A8F" w:rsidRDefault="00867A8F" w:rsidP="00707FC8">
      <w:pPr>
        <w:jc w:val="both"/>
        <w:rPr>
          <w:rFonts w:ascii="Avenir Next" w:hAnsi="Avenir Next" w:cs="Arial"/>
          <w:color w:val="808080" w:themeColor="background1" w:themeShade="80"/>
          <w:sz w:val="22"/>
          <w:szCs w:val="22"/>
          <w:lang w:val="en-GB"/>
        </w:rPr>
      </w:pPr>
    </w:p>
    <w:p w14:paraId="43FA53EA" w14:textId="77777777" w:rsidR="00780AD8" w:rsidRPr="00E2622D" w:rsidRDefault="00780AD8"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CB3EF97" w14:textId="77777777" w:rsidR="004C5627" w:rsidRDefault="004C5627" w:rsidP="004C5627">
      <w:pPr>
        <w:jc w:val="both"/>
        <w:rPr>
          <w:rFonts w:ascii="Avenir Next" w:hAnsi="Avenir Next" w:cs="Arial"/>
          <w:color w:val="808080" w:themeColor="background1" w:themeShade="80"/>
          <w:sz w:val="22"/>
          <w:szCs w:val="22"/>
        </w:rPr>
      </w:pPr>
      <w:r w:rsidRPr="004C5627">
        <w:rPr>
          <w:rFonts w:ascii="Avenir Next" w:hAnsi="Avenir Next" w:cs="Arial"/>
          <w:color w:val="808080" w:themeColor="background1" w:themeShade="80"/>
          <w:sz w:val="22"/>
          <w:szCs w:val="22"/>
        </w:rPr>
        <w:t xml:space="preserve">In this scenario, the foreign representative should take proactive steps to protect the assets involved in the restructuring proceeding, particularly in light of the ipso facto clauses present in US-governed leases and intellectual property licenses. Here are the steps they should consider: </w:t>
      </w:r>
    </w:p>
    <w:p w14:paraId="1ECEE118" w14:textId="77777777" w:rsidR="004C5627" w:rsidRDefault="004C5627" w:rsidP="004C5627">
      <w:pPr>
        <w:jc w:val="both"/>
        <w:rPr>
          <w:rFonts w:ascii="Avenir Next" w:hAnsi="Avenir Next" w:cs="Arial"/>
          <w:color w:val="808080" w:themeColor="background1" w:themeShade="80"/>
          <w:sz w:val="22"/>
          <w:szCs w:val="22"/>
        </w:rPr>
      </w:pPr>
    </w:p>
    <w:p w14:paraId="29C4B2F4" w14:textId="77777777" w:rsidR="004C5627" w:rsidRDefault="004C5627" w:rsidP="004C5627">
      <w:pPr>
        <w:jc w:val="both"/>
        <w:rPr>
          <w:rFonts w:ascii="Avenir Next" w:hAnsi="Avenir Next" w:cs="Arial"/>
          <w:color w:val="808080" w:themeColor="background1" w:themeShade="80"/>
          <w:sz w:val="22"/>
          <w:szCs w:val="22"/>
        </w:rPr>
      </w:pPr>
      <w:r w:rsidRPr="004C5627">
        <w:rPr>
          <w:rFonts w:ascii="Avenir Next" w:hAnsi="Avenir Next" w:cs="Arial"/>
          <w:color w:val="808080" w:themeColor="background1" w:themeShade="80"/>
          <w:sz w:val="22"/>
          <w:szCs w:val="22"/>
        </w:rPr>
        <w:t xml:space="preserve">Notification to Counterparties: The foreign representative should promptly notify the US counterparties to the leases and intellectual property licenses about the commencement of the recognition proceeding in the US. This notification should inform them that the ipso facto clauses triggering termination upon bankruptcy filing are unenforceable under the US Bankruptcy Code. </w:t>
      </w:r>
    </w:p>
    <w:p w14:paraId="21C29A35" w14:textId="77777777" w:rsidR="004C5627" w:rsidRDefault="004C5627" w:rsidP="004C5627">
      <w:pPr>
        <w:jc w:val="both"/>
        <w:rPr>
          <w:rFonts w:ascii="Avenir Next" w:hAnsi="Avenir Next" w:cs="Arial"/>
          <w:color w:val="808080" w:themeColor="background1" w:themeShade="80"/>
          <w:sz w:val="22"/>
          <w:szCs w:val="22"/>
        </w:rPr>
      </w:pPr>
    </w:p>
    <w:p w14:paraId="154997F0" w14:textId="77777777" w:rsidR="004C5627" w:rsidRDefault="004C5627" w:rsidP="004C5627">
      <w:pPr>
        <w:jc w:val="both"/>
        <w:rPr>
          <w:rFonts w:ascii="Avenir Next" w:hAnsi="Avenir Next" w:cs="Arial"/>
          <w:color w:val="808080" w:themeColor="background1" w:themeShade="80"/>
          <w:sz w:val="22"/>
          <w:szCs w:val="22"/>
        </w:rPr>
      </w:pPr>
      <w:r w:rsidRPr="004C5627">
        <w:rPr>
          <w:rFonts w:ascii="Avenir Next" w:hAnsi="Avenir Next" w:cs="Arial"/>
          <w:color w:val="808080" w:themeColor="background1" w:themeShade="80"/>
          <w:sz w:val="22"/>
          <w:szCs w:val="22"/>
        </w:rPr>
        <w:t xml:space="preserve">Engagement with Counterparties: The foreign representative should engage in discussions with the US counterparties to reassure them about the ongoing restructuring process in the UK and the implications for the leases and licenses. Providing information about the debtor's financial situation, the restructuring plan, and the protections available under UK law may help alleviate concerns and encourage cooperation. </w:t>
      </w:r>
    </w:p>
    <w:p w14:paraId="68DFA19A" w14:textId="77777777" w:rsidR="004C5627" w:rsidRDefault="004C5627" w:rsidP="004C5627">
      <w:pPr>
        <w:jc w:val="both"/>
        <w:rPr>
          <w:rFonts w:ascii="Avenir Next" w:hAnsi="Avenir Next" w:cs="Arial"/>
          <w:color w:val="808080" w:themeColor="background1" w:themeShade="80"/>
          <w:sz w:val="22"/>
          <w:szCs w:val="22"/>
        </w:rPr>
      </w:pPr>
    </w:p>
    <w:p w14:paraId="5E7C1FCF" w14:textId="77777777" w:rsidR="004C5627" w:rsidRDefault="004C5627" w:rsidP="004C5627">
      <w:pPr>
        <w:jc w:val="both"/>
        <w:rPr>
          <w:rFonts w:ascii="Avenir Next" w:hAnsi="Avenir Next" w:cs="Arial"/>
          <w:color w:val="808080" w:themeColor="background1" w:themeShade="80"/>
          <w:sz w:val="22"/>
          <w:szCs w:val="22"/>
        </w:rPr>
      </w:pPr>
      <w:r w:rsidRPr="004C5627">
        <w:rPr>
          <w:rFonts w:ascii="Avenir Next" w:hAnsi="Avenir Next" w:cs="Arial"/>
          <w:color w:val="808080" w:themeColor="background1" w:themeShade="80"/>
          <w:sz w:val="22"/>
          <w:szCs w:val="22"/>
        </w:rPr>
        <w:t xml:space="preserve">Seeking Protective Orders: If necessary, the foreign representative can petition the US bankruptcy court for protective orders to prevent the enforcement of the ipso facto clauses by the US counterparties. These orders can provide legal clarity and stability during the recognition process and ensure that the assets remain available for the restructuring proceedings in the UK. </w:t>
      </w:r>
    </w:p>
    <w:p w14:paraId="72301721" w14:textId="77777777" w:rsidR="004C5627" w:rsidRDefault="004C5627" w:rsidP="004C5627">
      <w:pPr>
        <w:jc w:val="both"/>
        <w:rPr>
          <w:rFonts w:ascii="Avenir Next" w:hAnsi="Avenir Next" w:cs="Arial"/>
          <w:color w:val="808080" w:themeColor="background1" w:themeShade="80"/>
          <w:sz w:val="22"/>
          <w:szCs w:val="22"/>
        </w:rPr>
      </w:pPr>
    </w:p>
    <w:p w14:paraId="67D59580" w14:textId="77777777" w:rsidR="004C5627" w:rsidRDefault="004C5627" w:rsidP="004C5627">
      <w:pPr>
        <w:jc w:val="both"/>
        <w:rPr>
          <w:rFonts w:ascii="Avenir Next" w:hAnsi="Avenir Next" w:cs="Arial"/>
          <w:color w:val="808080" w:themeColor="background1" w:themeShade="80"/>
          <w:sz w:val="22"/>
          <w:szCs w:val="22"/>
        </w:rPr>
      </w:pPr>
      <w:r w:rsidRPr="004C5627">
        <w:rPr>
          <w:rFonts w:ascii="Avenir Next" w:hAnsi="Avenir Next" w:cs="Arial"/>
          <w:color w:val="808080" w:themeColor="background1" w:themeShade="80"/>
          <w:sz w:val="22"/>
          <w:szCs w:val="22"/>
        </w:rPr>
        <w:t xml:space="preserve">Monitoring Legal Developments: The foreign representative should closely monitor any legal developments or challenges raised by the US counterparties regarding the ipso facto clauses. Being proactive in addressing any potential disputes or objections can help maintain momentum in the restructuring process and protect the assets from unwarranted actions by the counterparties. </w:t>
      </w:r>
    </w:p>
    <w:p w14:paraId="1A76FF8F" w14:textId="77777777" w:rsidR="004C5627" w:rsidRDefault="004C5627" w:rsidP="004C5627">
      <w:pPr>
        <w:jc w:val="both"/>
        <w:rPr>
          <w:rFonts w:ascii="Avenir Next" w:hAnsi="Avenir Next" w:cs="Arial"/>
          <w:color w:val="808080" w:themeColor="background1" w:themeShade="80"/>
          <w:sz w:val="22"/>
          <w:szCs w:val="22"/>
        </w:rPr>
      </w:pPr>
    </w:p>
    <w:p w14:paraId="5B7576BC" w14:textId="07D53C4D" w:rsidR="004C5627" w:rsidRPr="004C5627" w:rsidRDefault="004C5627" w:rsidP="004C5627">
      <w:pPr>
        <w:jc w:val="both"/>
        <w:rPr>
          <w:rFonts w:ascii="Avenir Next" w:hAnsi="Avenir Next" w:cs="Arial"/>
          <w:color w:val="808080" w:themeColor="background1" w:themeShade="80"/>
          <w:sz w:val="22"/>
          <w:szCs w:val="22"/>
        </w:rPr>
      </w:pPr>
      <w:r w:rsidRPr="004C5627">
        <w:rPr>
          <w:rFonts w:ascii="Avenir Next" w:hAnsi="Avenir Next" w:cs="Arial"/>
          <w:color w:val="808080" w:themeColor="background1" w:themeShade="80"/>
          <w:sz w:val="22"/>
          <w:szCs w:val="22"/>
        </w:rPr>
        <w:t>By taking these steps, the foreign representative can mitigate the risks associated with the ipso facto clauses and safeguard the assets involved in the restructuring proceeding, ultimately supporting the successful completion of the restructuring efforts in the UK.</w:t>
      </w:r>
    </w:p>
    <w:p w14:paraId="4A0E319B" w14:textId="4B5C9C2E" w:rsidR="00867A8F" w:rsidRPr="00F31EE9" w:rsidRDefault="00867A8F" w:rsidP="00F31EE9">
      <w:pPr>
        <w:ind w:left="720" w:hanging="720"/>
        <w:jc w:val="both"/>
        <w:rPr>
          <w:rFonts w:ascii="Avenir Next" w:hAnsi="Avenir Next" w:cs="Arial"/>
          <w:color w:val="808080" w:themeColor="background1" w:themeShade="80"/>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 xml:space="preserve">A foreign representative, who administers the assets of an insolvent debtor in an insolvency proceeding pending in Country A (where the foreign debtor has its registered office and not much </w:t>
      </w:r>
      <w:r w:rsidRPr="000A7632">
        <w:rPr>
          <w:rFonts w:ascii="Avenir Next" w:hAnsi="Avenir Next" w:cs="Arial"/>
          <w:sz w:val="22"/>
          <w:szCs w:val="22"/>
          <w:lang w:val="en-GB"/>
        </w:rPr>
        <w:lastRenderedPageBreak/>
        <w:t>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6BDC9CFE" w14:textId="1DF80931" w:rsidR="001E1D49" w:rsidRPr="001E1D49" w:rsidRDefault="00D305D0" w:rsidP="00D305D0">
      <w:pPr>
        <w:jc w:val="both"/>
        <w:rPr>
          <w:rFonts w:ascii="Avenir Next" w:hAnsi="Avenir Next" w:cs="Arial"/>
          <w:color w:val="808080" w:themeColor="background1" w:themeShade="80"/>
          <w:sz w:val="22"/>
          <w:szCs w:val="22"/>
        </w:rPr>
      </w:pPr>
      <w:r w:rsidRPr="00D305D0">
        <w:rPr>
          <w:rFonts w:ascii="Avenir Next" w:hAnsi="Avenir Next" w:cs="Arial"/>
          <w:color w:val="808080" w:themeColor="background1" w:themeShade="80"/>
          <w:sz w:val="22"/>
          <w:szCs w:val="22"/>
        </w:rPr>
        <w:br/>
        <w:t>If a foreign proceeding isn't recognized as a foreign main proceeding in Country B, the foreign representative could appeal the decision or file for recognition as a foreign non-main proceeding. Alternatively, they may explore alternative strategies for selling assets or seek legal advice. At the outset, they should have conducted a thorough analysis of insolvency laws in both countries, prepared necessary documentation, considered potential challenges, and engaged with experienced legal counsel.</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w:t>
      </w:r>
      <w:r w:rsidRPr="00720A9A">
        <w:rPr>
          <w:rFonts w:ascii="Avenir Next" w:hAnsi="Avenir Next"/>
          <w:b/>
          <w:bCs/>
          <w:sz w:val="22"/>
          <w:szCs w:val="28"/>
        </w:rPr>
        <w:t>Globe Holdings has a bank account (opened just a few days ago) in the Cayman Islands from which it pays certain of its operating expenses</w:t>
      </w:r>
      <w:r w:rsidRPr="00E61F6E">
        <w:rPr>
          <w:rFonts w:ascii="Avenir Next" w:hAnsi="Avenir Next"/>
          <w:sz w:val="22"/>
          <w:szCs w:val="28"/>
        </w:rPr>
        <w:t xml:space="preserve">.  Globe Holdings often holds its board meetings virtually, and </w:t>
      </w:r>
      <w:r w:rsidRPr="00720A9A">
        <w:rPr>
          <w:rFonts w:ascii="Avenir Next" w:hAnsi="Avenir Next"/>
          <w:b/>
          <w:bCs/>
          <w:sz w:val="22"/>
          <w:szCs w:val="28"/>
        </w:rPr>
        <w:t>not physically in the Cayman Islands</w:t>
      </w:r>
      <w:r w:rsidRPr="00E61F6E">
        <w:rPr>
          <w:rFonts w:ascii="Avenir Next" w:hAnsi="Avenir Next"/>
          <w:sz w:val="22"/>
          <w:szCs w:val="28"/>
        </w:rPr>
        <w:t>,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w:t>
      </w:r>
      <w:r w:rsidRPr="000B397F">
        <w:rPr>
          <w:rFonts w:ascii="Avenir Next" w:hAnsi="Avenir Next"/>
          <w:b/>
          <w:bCs/>
          <w:sz w:val="22"/>
          <w:szCs w:val="28"/>
        </w:rPr>
        <w:t>The business is carried out through its non-insurance company non-debtor subsidiaries that are all incorporated under the US laws and operating in the US. All employees are in the US. The headquarters are also in the US</w:t>
      </w:r>
      <w:r w:rsidRPr="00E61F6E">
        <w:rPr>
          <w:rFonts w:ascii="Avenir Next" w:hAnsi="Avenir Next"/>
          <w:sz w:val="22"/>
          <w:szCs w:val="28"/>
        </w:rPr>
        <w:t>.</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 xml:space="preserve">announced that it was </w:t>
      </w:r>
      <w:r w:rsidRPr="00E61F6E">
        <w:rPr>
          <w:rFonts w:ascii="Avenir Next" w:hAnsi="Avenir Next"/>
          <w:sz w:val="22"/>
          <w:szCs w:val="28"/>
        </w:rPr>
        <w:lastRenderedPageBreak/>
        <w:t>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6F8F5C22" w14:textId="5F271D8C" w:rsidR="00C83781" w:rsidRDefault="001D6EC1" w:rsidP="00C83781">
      <w:pPr>
        <w:jc w:val="both"/>
        <w:rPr>
          <w:rFonts w:ascii="Avenir Next" w:hAnsi="Avenir Next"/>
          <w:color w:val="808080" w:themeColor="background1" w:themeShade="80"/>
          <w:sz w:val="22"/>
          <w:szCs w:val="28"/>
        </w:rPr>
      </w:pPr>
      <w:r w:rsidRPr="001D6EC1">
        <w:rPr>
          <w:rFonts w:ascii="Avenir Next" w:hAnsi="Avenir Next"/>
          <w:color w:val="808080" w:themeColor="background1" w:themeShade="80"/>
          <w:sz w:val="22"/>
          <w:szCs w:val="28"/>
        </w:rPr>
        <w:t>Although Globe Holdings is registered in the Cayman Islands, its main business activities occur in the US, where all subsidiaries, employees, and headquarters are situated. Nevertheless, it retains substantial connections to the Cayman Islands, such as legal representation, a bank account, and virtual board meetings. Consequently, conducting a comprehensive analysis of its Centre of Main Interest (COMI) and establishment becomes imperative to ascertain whether to seek recognition of a main proceeding, a non-main proceeding, or both.</w:t>
      </w:r>
    </w:p>
    <w:p w14:paraId="2F6773E0" w14:textId="77777777" w:rsidR="00C83781" w:rsidRDefault="00C83781" w:rsidP="00C83781">
      <w:pPr>
        <w:jc w:val="both"/>
        <w:rPr>
          <w:rFonts w:ascii="Avenir Next" w:hAnsi="Avenir Next"/>
          <w:color w:val="808080" w:themeColor="background1" w:themeShade="80"/>
          <w:sz w:val="22"/>
          <w:szCs w:val="28"/>
        </w:rPr>
      </w:pPr>
    </w:p>
    <w:p w14:paraId="1A7B3ABD" w14:textId="52B515C9" w:rsidR="00564AE5" w:rsidRDefault="00564AE5" w:rsidP="00C83781">
      <w:pPr>
        <w:jc w:val="both"/>
        <w:rPr>
          <w:rFonts w:ascii="Avenir Next" w:hAnsi="Avenir Next"/>
          <w:color w:val="808080" w:themeColor="background1" w:themeShade="80"/>
          <w:sz w:val="22"/>
          <w:szCs w:val="28"/>
        </w:rPr>
      </w:pPr>
      <w:r w:rsidRPr="00564AE5">
        <w:rPr>
          <w:rFonts w:ascii="Avenir Next" w:hAnsi="Avenir Next"/>
          <w:color w:val="808080" w:themeColor="background1" w:themeShade="80"/>
          <w:sz w:val="22"/>
          <w:szCs w:val="28"/>
        </w:rPr>
        <w:lastRenderedPageBreak/>
        <w:t>The Model Law doesn't offer a direct definition of COMI, but the UNCITRAL Guide to Enactment provides guidance on it.</w:t>
      </w:r>
      <w:r w:rsidR="0068112E">
        <w:rPr>
          <w:rFonts w:ascii="Avenir Next" w:hAnsi="Avenir Next"/>
          <w:color w:val="808080" w:themeColor="background1" w:themeShade="80"/>
          <w:sz w:val="22"/>
          <w:szCs w:val="28"/>
        </w:rPr>
        <w:t xml:space="preserve"> </w:t>
      </w:r>
      <w:r w:rsidR="0068112E" w:rsidRPr="0068112E">
        <w:rPr>
          <w:rFonts w:ascii="Avenir Next" w:hAnsi="Avenir Next"/>
          <w:color w:val="808080" w:themeColor="background1" w:themeShade="80"/>
          <w:sz w:val="22"/>
          <w:szCs w:val="28"/>
        </w:rPr>
        <w:t>Similar to the COMI concept in the European Insolvency Regulation</w:t>
      </w:r>
      <w:r w:rsidR="0078403D">
        <w:rPr>
          <w:rFonts w:ascii="Avenir Next" w:hAnsi="Avenir Next"/>
          <w:color w:val="808080" w:themeColor="background1" w:themeShade="80"/>
          <w:sz w:val="22"/>
          <w:szCs w:val="28"/>
        </w:rPr>
        <w:t xml:space="preserve"> (EIR)</w:t>
      </w:r>
      <w:r w:rsidR="0068112E" w:rsidRPr="0068112E">
        <w:rPr>
          <w:rFonts w:ascii="Avenir Next" w:hAnsi="Avenir Next"/>
          <w:color w:val="808080" w:themeColor="background1" w:themeShade="80"/>
          <w:sz w:val="22"/>
          <w:szCs w:val="28"/>
        </w:rPr>
        <w:t>, determining COMI under the Model Law hinges on two primary factors: the location where the debtor's central administration occurs, and where this is easily identifiable by the debtor's creditors.</w:t>
      </w:r>
      <w:r w:rsidR="001B1436">
        <w:rPr>
          <w:rFonts w:ascii="Avenir Next" w:hAnsi="Avenir Next"/>
          <w:color w:val="808080" w:themeColor="background1" w:themeShade="80"/>
          <w:sz w:val="22"/>
          <w:szCs w:val="28"/>
        </w:rPr>
        <w:t xml:space="preserve"> </w:t>
      </w:r>
      <w:r w:rsidR="001B1436" w:rsidRPr="001B1436">
        <w:rPr>
          <w:rFonts w:ascii="Avenir Next" w:hAnsi="Avenir Next"/>
          <w:color w:val="808080" w:themeColor="background1" w:themeShade="80"/>
          <w:sz w:val="22"/>
          <w:szCs w:val="28"/>
        </w:rPr>
        <w:t>The court may weigh these factors differently based on circumstances,</w:t>
      </w:r>
      <w:r w:rsidR="00735033">
        <w:rPr>
          <w:rFonts w:ascii="Avenir Next" w:hAnsi="Avenir Next"/>
          <w:color w:val="808080" w:themeColor="background1" w:themeShade="80"/>
          <w:sz w:val="22"/>
          <w:szCs w:val="28"/>
        </w:rPr>
        <w:t xml:space="preserve"> </w:t>
      </w:r>
      <w:r w:rsidR="00735033" w:rsidRPr="00735033">
        <w:rPr>
          <w:rFonts w:ascii="Avenir Next" w:hAnsi="Avenir Next"/>
          <w:color w:val="808080" w:themeColor="background1" w:themeShade="80"/>
          <w:sz w:val="22"/>
          <w:szCs w:val="28"/>
        </w:rPr>
        <w:t>but the overarching goal remains a comprehensive assessment ensuring that the foreign proceeding's location accurately corresponds to the debtor's COMI, as perceivable by its creditors. Additional factors that could inform the determination of a debtor's COMI include the location of its books and records, financing organization, primary assets or operations, principal bank, employees, commercial policy decision-making, governing law of contracts, and more. The relevant date for determining COMI or the existence of an establishment is the commencement date of the foreign proceeding. However, if the COMI changes around the time of the proceeding's commencement, establishing evidence for this may be challenging, particularly in meeting the requirement that COMI must be easily discernible by third parties, such as creditors.</w:t>
      </w:r>
    </w:p>
    <w:p w14:paraId="2699781A" w14:textId="77777777" w:rsidR="005B0A50" w:rsidRDefault="005B0A50" w:rsidP="00C83781">
      <w:pPr>
        <w:jc w:val="both"/>
        <w:rPr>
          <w:rFonts w:ascii="Avenir Next" w:hAnsi="Avenir Next"/>
          <w:color w:val="808080" w:themeColor="background1" w:themeShade="80"/>
          <w:sz w:val="22"/>
          <w:szCs w:val="28"/>
        </w:rPr>
      </w:pPr>
    </w:p>
    <w:p w14:paraId="0D90805F" w14:textId="439C03AE" w:rsidR="005B0A50" w:rsidRDefault="005B0A50" w:rsidP="00C83781">
      <w:pPr>
        <w:jc w:val="both"/>
        <w:rPr>
          <w:rFonts w:ascii="Avenir Next" w:hAnsi="Avenir Next"/>
          <w:color w:val="808080" w:themeColor="background1" w:themeShade="80"/>
          <w:sz w:val="22"/>
          <w:szCs w:val="28"/>
        </w:rPr>
      </w:pPr>
      <w:r w:rsidRPr="005B0A50">
        <w:rPr>
          <w:rFonts w:ascii="Avenir Next" w:hAnsi="Avenir Next"/>
          <w:color w:val="808080" w:themeColor="background1" w:themeShade="80"/>
          <w:sz w:val="22"/>
          <w:szCs w:val="28"/>
        </w:rPr>
        <w:t>While the COMI concepts in the</w:t>
      </w:r>
      <w:r w:rsidR="0078403D">
        <w:rPr>
          <w:rFonts w:ascii="Avenir Next" w:hAnsi="Avenir Next"/>
          <w:color w:val="808080" w:themeColor="background1" w:themeShade="80"/>
          <w:sz w:val="22"/>
          <w:szCs w:val="28"/>
        </w:rPr>
        <w:t xml:space="preserve"> </w:t>
      </w:r>
      <w:r w:rsidRPr="005B0A50">
        <w:rPr>
          <w:rFonts w:ascii="Avenir Next" w:hAnsi="Avenir Next"/>
          <w:color w:val="808080" w:themeColor="background1" w:themeShade="80"/>
          <w:sz w:val="22"/>
          <w:szCs w:val="28"/>
        </w:rPr>
        <w:t xml:space="preserve">EIR and the Model Law share similarities, they serve distinct purposes. </w:t>
      </w:r>
      <w:r w:rsidR="00CF4108">
        <w:rPr>
          <w:rFonts w:ascii="Avenir Next" w:hAnsi="Avenir Next"/>
          <w:color w:val="808080" w:themeColor="background1" w:themeShade="80"/>
          <w:sz w:val="22"/>
          <w:szCs w:val="28"/>
        </w:rPr>
        <w:t>Under</w:t>
      </w:r>
      <w:r w:rsidRPr="005B0A50">
        <w:rPr>
          <w:rFonts w:ascii="Avenir Next" w:hAnsi="Avenir Next"/>
          <w:color w:val="808080" w:themeColor="background1" w:themeShade="80"/>
          <w:sz w:val="22"/>
          <w:szCs w:val="28"/>
        </w:rPr>
        <w:t xml:space="preserve"> the EIR, COMI determination </w:t>
      </w:r>
      <w:r w:rsidR="00CF4108">
        <w:rPr>
          <w:rFonts w:ascii="Avenir Next" w:hAnsi="Avenir Next"/>
          <w:color w:val="808080" w:themeColor="background1" w:themeShade="80"/>
          <w:sz w:val="22"/>
          <w:szCs w:val="28"/>
        </w:rPr>
        <w:t xml:space="preserve">aims </w:t>
      </w:r>
      <w:r w:rsidRPr="005B0A50">
        <w:rPr>
          <w:rFonts w:ascii="Avenir Next" w:hAnsi="Avenir Next"/>
          <w:color w:val="808080" w:themeColor="background1" w:themeShade="80"/>
          <w:sz w:val="22"/>
          <w:szCs w:val="28"/>
        </w:rPr>
        <w:t xml:space="preserve">to identify the jurisdiction where main insolvency proceedings should begin. </w:t>
      </w:r>
      <w:r w:rsidR="008E71ED">
        <w:rPr>
          <w:rFonts w:ascii="Avenir Next" w:hAnsi="Avenir Next"/>
          <w:color w:val="808080" w:themeColor="background1" w:themeShade="80"/>
          <w:sz w:val="22"/>
          <w:szCs w:val="28"/>
        </w:rPr>
        <w:t>On the other hand</w:t>
      </w:r>
      <w:r w:rsidRPr="005B0A50">
        <w:rPr>
          <w:rFonts w:ascii="Avenir Next" w:hAnsi="Avenir Next"/>
          <w:color w:val="808080" w:themeColor="background1" w:themeShade="80"/>
          <w:sz w:val="22"/>
          <w:szCs w:val="28"/>
        </w:rPr>
        <w:t>, in the Model Law, COMI determination influences the effects of recognition, particularly the relief accessible to support the foreign proceeding.</w:t>
      </w:r>
    </w:p>
    <w:p w14:paraId="6368C123" w14:textId="77777777" w:rsidR="00AD65B4" w:rsidRDefault="00AD65B4" w:rsidP="00C83781">
      <w:pPr>
        <w:jc w:val="both"/>
        <w:rPr>
          <w:rFonts w:ascii="Avenir Next" w:hAnsi="Avenir Next"/>
          <w:color w:val="808080" w:themeColor="background1" w:themeShade="80"/>
          <w:sz w:val="22"/>
          <w:szCs w:val="28"/>
        </w:rPr>
      </w:pPr>
    </w:p>
    <w:p w14:paraId="07E981BF" w14:textId="22D82C98" w:rsidR="00AD65B4" w:rsidRDefault="00AD65B4" w:rsidP="00C83781">
      <w:pPr>
        <w:jc w:val="both"/>
        <w:rPr>
          <w:rFonts w:ascii="Avenir Next" w:hAnsi="Avenir Next" w:cs="Arial"/>
          <w:color w:val="808080" w:themeColor="background1" w:themeShade="80"/>
          <w:sz w:val="22"/>
          <w:szCs w:val="22"/>
        </w:rPr>
      </w:pPr>
      <w:r w:rsidRPr="007A6170">
        <w:rPr>
          <w:rFonts w:ascii="Avenir Next" w:hAnsi="Avenir Next" w:cs="Arial"/>
          <w:color w:val="808080" w:themeColor="background1" w:themeShade="80"/>
          <w:sz w:val="22"/>
          <w:szCs w:val="22"/>
        </w:rPr>
        <w:t>If the COMI</w:t>
      </w:r>
      <w:r>
        <w:rPr>
          <w:rFonts w:ascii="Avenir Next" w:hAnsi="Avenir Next" w:cs="Arial"/>
          <w:color w:val="808080" w:themeColor="background1" w:themeShade="80"/>
          <w:sz w:val="22"/>
          <w:szCs w:val="22"/>
        </w:rPr>
        <w:t xml:space="preserve"> is in </w:t>
      </w:r>
      <w:r w:rsidRPr="007A6170">
        <w:rPr>
          <w:rFonts w:ascii="Avenir Next" w:hAnsi="Avenir Next" w:cs="Arial"/>
          <w:color w:val="808080" w:themeColor="background1" w:themeShade="80"/>
          <w:sz w:val="22"/>
          <w:szCs w:val="22"/>
        </w:rPr>
        <w:t>the jurisdiction where foreign proceedings are initiated, those proceedings are considered main insolvency proceedings, entailing automatic mandatory relief.</w:t>
      </w:r>
    </w:p>
    <w:p w14:paraId="75D57CBF" w14:textId="77777777" w:rsidR="0085752C" w:rsidRDefault="0085752C" w:rsidP="00C83781">
      <w:pPr>
        <w:jc w:val="both"/>
        <w:rPr>
          <w:rFonts w:ascii="Avenir Next" w:hAnsi="Avenir Next" w:cs="Arial"/>
          <w:color w:val="808080" w:themeColor="background1" w:themeShade="80"/>
          <w:sz w:val="22"/>
          <w:szCs w:val="22"/>
        </w:rPr>
      </w:pPr>
    </w:p>
    <w:p w14:paraId="19619656" w14:textId="77777777" w:rsidR="0085752C" w:rsidRPr="0085752C" w:rsidRDefault="0085752C" w:rsidP="0085752C">
      <w:pPr>
        <w:jc w:val="both"/>
        <w:rPr>
          <w:rFonts w:ascii="Avenir Next" w:hAnsi="Avenir Next"/>
          <w:color w:val="808080" w:themeColor="background1" w:themeShade="80"/>
          <w:sz w:val="22"/>
          <w:szCs w:val="28"/>
        </w:rPr>
      </w:pPr>
      <w:r w:rsidRPr="0085752C">
        <w:rPr>
          <w:rFonts w:ascii="Avenir Next" w:hAnsi="Avenir Next"/>
          <w:color w:val="808080" w:themeColor="background1" w:themeShade="80"/>
          <w:sz w:val="22"/>
          <w:szCs w:val="28"/>
        </w:rPr>
        <w:t>In Globe Holdings' case, a comprehensive analysis is necessary to determine whether to seek recognition of main proceedings in the Cayman Islands and non-main proceedings in the US. Key documents to be submitted include scheme documents, court orders, and evidence of connections to both jurisdictions. Relief requested on day one may include automatic stays of proceedings and approval of restructuring plans.</w:t>
      </w:r>
    </w:p>
    <w:p w14:paraId="4FD114B8" w14:textId="77777777" w:rsidR="0085752C" w:rsidRPr="0085752C" w:rsidRDefault="0085752C" w:rsidP="0085752C">
      <w:pPr>
        <w:jc w:val="both"/>
        <w:rPr>
          <w:rFonts w:ascii="Avenir Next" w:hAnsi="Avenir Next"/>
          <w:color w:val="808080" w:themeColor="background1" w:themeShade="80"/>
          <w:sz w:val="22"/>
          <w:szCs w:val="28"/>
        </w:rPr>
      </w:pPr>
      <w:r w:rsidRPr="0085752C">
        <w:rPr>
          <w:rFonts w:ascii="Avenir Next" w:hAnsi="Avenir Next"/>
          <w:color w:val="808080" w:themeColor="background1" w:themeShade="80"/>
          <w:sz w:val="22"/>
          <w:szCs w:val="28"/>
        </w:rPr>
        <w:t>Ultimately, Globe Holdings should strategically pursue recognition in both jurisdictions to ensure comprehensive protection and support for its restructuring efforts, leveraging its substantial connections to both the Cayman Islands and the US.</w:t>
      </w:r>
    </w:p>
    <w:p w14:paraId="49F5C053" w14:textId="77777777" w:rsidR="0085752C" w:rsidRDefault="0085752C" w:rsidP="00C83781">
      <w:pPr>
        <w:jc w:val="both"/>
        <w:rPr>
          <w:rFonts w:ascii="Avenir Next" w:hAnsi="Avenir Next"/>
          <w:color w:val="808080" w:themeColor="background1" w:themeShade="80"/>
          <w:sz w:val="22"/>
          <w:szCs w:val="28"/>
        </w:rPr>
      </w:pPr>
    </w:p>
    <w:p w14:paraId="1DA5E367" w14:textId="77777777" w:rsidR="00564AE5" w:rsidRDefault="00564AE5" w:rsidP="00C83781">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8880920"/>
      <w:docPartObj>
        <w:docPartGallery w:val="Page Numbers (Bottom of Page)"/>
        <w:docPartUnique/>
      </w:docPartObj>
    </w:sdtPr>
    <w:sdtEndPr>
      <w:rPr>
        <w:rStyle w:val="Nmerodepgina"/>
      </w:rPr>
    </w:sdtEndPr>
    <w:sdtContent>
      <w:p w14:paraId="75DFA1A2" w14:textId="6BA13D30" w:rsidR="00A70BBC" w:rsidRDefault="00A70BBC" w:rsidP="000300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4F9CA" w14:textId="77777777" w:rsidR="00A70BBC" w:rsidRDefault="00A70BBC" w:rsidP="00A70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Rodap"/>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6495926"/>
      <w:docPartObj>
        <w:docPartGallery w:val="Page Numbers (Bottom of Page)"/>
        <w:docPartUnique/>
      </w:docPartObj>
    </w:sdtPr>
    <w:sdtEndPr>
      <w:rPr>
        <w:rStyle w:val="Nmerodepgina"/>
      </w:rPr>
    </w:sdtEndPr>
    <w:sdtContent>
      <w:p w14:paraId="1F7F18A2" w14:textId="560E059B" w:rsidR="000300E0" w:rsidRDefault="000300E0" w:rsidP="00B22F9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Rodap"/>
      <w:ind w:right="360"/>
      <w:rPr>
        <w:rFonts w:ascii="Avenir Next" w:hAnsi="Avenir Next" w:cs="Arial"/>
        <w:sz w:val="22"/>
        <w:szCs w:val="22"/>
      </w:rPr>
    </w:pPr>
  </w:p>
  <w:p w14:paraId="01028C96" w14:textId="77777777" w:rsidR="000300E0" w:rsidRDefault="000300E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F73018B" w:rsidR="000300E0" w:rsidRPr="00B46CE2" w:rsidRDefault="005867CD" w:rsidP="000300E0">
    <w:pPr>
      <w:pStyle w:val="Rodap"/>
      <w:ind w:right="360"/>
      <w:rPr>
        <w:rFonts w:ascii="Avenir Next" w:hAnsi="Avenir Next"/>
        <w:sz w:val="22"/>
        <w:szCs w:val="22"/>
      </w:rPr>
    </w:pPr>
    <w:r w:rsidRPr="005867CD">
      <w:rPr>
        <w:rFonts w:ascii="Avenir Next" w:hAnsi="Avenir Next"/>
        <w:sz w:val="22"/>
        <w:szCs w:val="22"/>
      </w:rPr>
      <w:t>202223-875</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EndPr>
      <w:rPr>
        <w:rStyle w:val="Nmerodepgina"/>
      </w:rPr>
    </w:sdtEndPr>
    <w:sdtContent>
      <w:p w14:paraId="33CCA177" w14:textId="77777777" w:rsidR="00B46CE2" w:rsidRPr="000300E0" w:rsidRDefault="00B46CE2" w:rsidP="00B46CE2">
        <w:pPr>
          <w:pStyle w:val="Rodap"/>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Rodap"/>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D30C47"/>
    <w:multiLevelType w:val="multilevel"/>
    <w:tmpl w:val="15780C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160D67"/>
    <w:multiLevelType w:val="multilevel"/>
    <w:tmpl w:val="BE985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4"/>
  </w:num>
  <w:num w:numId="2" w16cid:durableId="1164055646">
    <w:abstractNumId w:val="7"/>
  </w:num>
  <w:num w:numId="3" w16cid:durableId="970591766">
    <w:abstractNumId w:val="2"/>
  </w:num>
  <w:num w:numId="4" w16cid:durableId="1327175081">
    <w:abstractNumId w:val="18"/>
  </w:num>
  <w:num w:numId="5" w16cid:durableId="998270126">
    <w:abstractNumId w:val="17"/>
  </w:num>
  <w:num w:numId="6" w16cid:durableId="657656171">
    <w:abstractNumId w:val="16"/>
  </w:num>
  <w:num w:numId="7" w16cid:durableId="1116829249">
    <w:abstractNumId w:val="4"/>
  </w:num>
  <w:num w:numId="8" w16cid:durableId="1055274873">
    <w:abstractNumId w:val="5"/>
  </w:num>
  <w:num w:numId="9" w16cid:durableId="790785319">
    <w:abstractNumId w:val="13"/>
  </w:num>
  <w:num w:numId="10" w16cid:durableId="59720369">
    <w:abstractNumId w:val="12"/>
  </w:num>
  <w:num w:numId="11" w16cid:durableId="1379276728">
    <w:abstractNumId w:val="3"/>
  </w:num>
  <w:num w:numId="12" w16cid:durableId="921179279">
    <w:abstractNumId w:val="10"/>
  </w:num>
  <w:num w:numId="13" w16cid:durableId="1060514793">
    <w:abstractNumId w:val="11"/>
  </w:num>
  <w:num w:numId="14" w16cid:durableId="64230155">
    <w:abstractNumId w:val="1"/>
  </w:num>
  <w:num w:numId="15" w16cid:durableId="1681084025">
    <w:abstractNumId w:val="0"/>
  </w:num>
  <w:num w:numId="16" w16cid:durableId="1275090443">
    <w:abstractNumId w:val="9"/>
  </w:num>
  <w:num w:numId="17" w16cid:durableId="269969236">
    <w:abstractNumId w:val="15"/>
  </w:num>
  <w:num w:numId="18" w16cid:durableId="901018826">
    <w:abstractNumId w:val="8"/>
  </w:num>
  <w:num w:numId="19" w16cid:durableId="63059973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13BC0"/>
    <w:rsid w:val="00020557"/>
    <w:rsid w:val="000232A1"/>
    <w:rsid w:val="000250C7"/>
    <w:rsid w:val="00025CCF"/>
    <w:rsid w:val="00027336"/>
    <w:rsid w:val="000300E0"/>
    <w:rsid w:val="0003114A"/>
    <w:rsid w:val="000352C1"/>
    <w:rsid w:val="000357A5"/>
    <w:rsid w:val="0003619C"/>
    <w:rsid w:val="0003743B"/>
    <w:rsid w:val="00037621"/>
    <w:rsid w:val="00044D46"/>
    <w:rsid w:val="00045088"/>
    <w:rsid w:val="00045904"/>
    <w:rsid w:val="000464F7"/>
    <w:rsid w:val="0005141D"/>
    <w:rsid w:val="00060E02"/>
    <w:rsid w:val="00065166"/>
    <w:rsid w:val="00067A88"/>
    <w:rsid w:val="00070B92"/>
    <w:rsid w:val="00073474"/>
    <w:rsid w:val="000759C8"/>
    <w:rsid w:val="00077D49"/>
    <w:rsid w:val="00082609"/>
    <w:rsid w:val="00083B38"/>
    <w:rsid w:val="000851CC"/>
    <w:rsid w:val="00093790"/>
    <w:rsid w:val="00093BE8"/>
    <w:rsid w:val="000A0674"/>
    <w:rsid w:val="000A68ED"/>
    <w:rsid w:val="000B397F"/>
    <w:rsid w:val="000B4FEB"/>
    <w:rsid w:val="000B5FF1"/>
    <w:rsid w:val="000B609F"/>
    <w:rsid w:val="000C147F"/>
    <w:rsid w:val="000C5E0E"/>
    <w:rsid w:val="000C6BB9"/>
    <w:rsid w:val="000D32A9"/>
    <w:rsid w:val="000D55A8"/>
    <w:rsid w:val="000E4841"/>
    <w:rsid w:val="000E6325"/>
    <w:rsid w:val="000F1677"/>
    <w:rsid w:val="000F3D6C"/>
    <w:rsid w:val="000F579C"/>
    <w:rsid w:val="000F62F0"/>
    <w:rsid w:val="00100E8F"/>
    <w:rsid w:val="00101707"/>
    <w:rsid w:val="00101A9E"/>
    <w:rsid w:val="00105DAA"/>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050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1436"/>
    <w:rsid w:val="001B3FA4"/>
    <w:rsid w:val="001B5016"/>
    <w:rsid w:val="001B6F81"/>
    <w:rsid w:val="001C0188"/>
    <w:rsid w:val="001C45FC"/>
    <w:rsid w:val="001D02C5"/>
    <w:rsid w:val="001D4862"/>
    <w:rsid w:val="001D6EC1"/>
    <w:rsid w:val="001E036A"/>
    <w:rsid w:val="001E1D49"/>
    <w:rsid w:val="001E25B9"/>
    <w:rsid w:val="001E49E0"/>
    <w:rsid w:val="001E60C3"/>
    <w:rsid w:val="001E706E"/>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197E"/>
    <w:rsid w:val="0027299F"/>
    <w:rsid w:val="00275626"/>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6438"/>
    <w:rsid w:val="002F71BE"/>
    <w:rsid w:val="002F75A3"/>
    <w:rsid w:val="002F78CA"/>
    <w:rsid w:val="00303C2F"/>
    <w:rsid w:val="0031140C"/>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4D35"/>
    <w:rsid w:val="00415F1F"/>
    <w:rsid w:val="00417B0F"/>
    <w:rsid w:val="0042108F"/>
    <w:rsid w:val="00422242"/>
    <w:rsid w:val="00424D07"/>
    <w:rsid w:val="00430FED"/>
    <w:rsid w:val="00432179"/>
    <w:rsid w:val="00434292"/>
    <w:rsid w:val="00434A8C"/>
    <w:rsid w:val="00435583"/>
    <w:rsid w:val="00436340"/>
    <w:rsid w:val="00436884"/>
    <w:rsid w:val="00437297"/>
    <w:rsid w:val="00443403"/>
    <w:rsid w:val="00444284"/>
    <w:rsid w:val="00445CE6"/>
    <w:rsid w:val="00447FE6"/>
    <w:rsid w:val="004534C2"/>
    <w:rsid w:val="0045446F"/>
    <w:rsid w:val="0045683E"/>
    <w:rsid w:val="00460A88"/>
    <w:rsid w:val="004647DE"/>
    <w:rsid w:val="0047025B"/>
    <w:rsid w:val="004806D5"/>
    <w:rsid w:val="0048758C"/>
    <w:rsid w:val="00491675"/>
    <w:rsid w:val="00493855"/>
    <w:rsid w:val="0049508F"/>
    <w:rsid w:val="004A171E"/>
    <w:rsid w:val="004A57DD"/>
    <w:rsid w:val="004A7B51"/>
    <w:rsid w:val="004A7D71"/>
    <w:rsid w:val="004A7EF3"/>
    <w:rsid w:val="004B11FD"/>
    <w:rsid w:val="004B23A2"/>
    <w:rsid w:val="004C4E97"/>
    <w:rsid w:val="004C5627"/>
    <w:rsid w:val="004D1A5A"/>
    <w:rsid w:val="004D2FFF"/>
    <w:rsid w:val="004D3721"/>
    <w:rsid w:val="004D64F9"/>
    <w:rsid w:val="004E0549"/>
    <w:rsid w:val="004E1674"/>
    <w:rsid w:val="004E24C1"/>
    <w:rsid w:val="004E2E92"/>
    <w:rsid w:val="004E30B0"/>
    <w:rsid w:val="004E622C"/>
    <w:rsid w:val="004F5FDF"/>
    <w:rsid w:val="0050157D"/>
    <w:rsid w:val="00506803"/>
    <w:rsid w:val="0050682B"/>
    <w:rsid w:val="00507AAC"/>
    <w:rsid w:val="005177FE"/>
    <w:rsid w:val="00517C51"/>
    <w:rsid w:val="0052263B"/>
    <w:rsid w:val="00524728"/>
    <w:rsid w:val="00530003"/>
    <w:rsid w:val="00530E88"/>
    <w:rsid w:val="00532307"/>
    <w:rsid w:val="005331CA"/>
    <w:rsid w:val="0053353F"/>
    <w:rsid w:val="00533739"/>
    <w:rsid w:val="00537970"/>
    <w:rsid w:val="00540B44"/>
    <w:rsid w:val="00540E3A"/>
    <w:rsid w:val="00544127"/>
    <w:rsid w:val="00544273"/>
    <w:rsid w:val="005463A9"/>
    <w:rsid w:val="00547993"/>
    <w:rsid w:val="00553EB2"/>
    <w:rsid w:val="00556777"/>
    <w:rsid w:val="0055688E"/>
    <w:rsid w:val="00557CDC"/>
    <w:rsid w:val="00560534"/>
    <w:rsid w:val="0056391B"/>
    <w:rsid w:val="00564AE5"/>
    <w:rsid w:val="005650E2"/>
    <w:rsid w:val="00565292"/>
    <w:rsid w:val="0056535A"/>
    <w:rsid w:val="00565DEE"/>
    <w:rsid w:val="00567AD7"/>
    <w:rsid w:val="00567F31"/>
    <w:rsid w:val="00573E73"/>
    <w:rsid w:val="00575B2D"/>
    <w:rsid w:val="005833D0"/>
    <w:rsid w:val="005846F3"/>
    <w:rsid w:val="0058622F"/>
    <w:rsid w:val="005867CD"/>
    <w:rsid w:val="00587461"/>
    <w:rsid w:val="00590023"/>
    <w:rsid w:val="00592F82"/>
    <w:rsid w:val="005972D8"/>
    <w:rsid w:val="005A0CCA"/>
    <w:rsid w:val="005A4DD4"/>
    <w:rsid w:val="005A726D"/>
    <w:rsid w:val="005B0A50"/>
    <w:rsid w:val="005B67AC"/>
    <w:rsid w:val="005B6D04"/>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5404"/>
    <w:rsid w:val="006661EF"/>
    <w:rsid w:val="0067294B"/>
    <w:rsid w:val="00677736"/>
    <w:rsid w:val="0067785F"/>
    <w:rsid w:val="00677AEB"/>
    <w:rsid w:val="006805D4"/>
    <w:rsid w:val="00680EF2"/>
    <w:rsid w:val="0068112E"/>
    <w:rsid w:val="006839C2"/>
    <w:rsid w:val="00687A1D"/>
    <w:rsid w:val="006920CC"/>
    <w:rsid w:val="00692AB2"/>
    <w:rsid w:val="0069647C"/>
    <w:rsid w:val="0069768D"/>
    <w:rsid w:val="00697EA1"/>
    <w:rsid w:val="006A1850"/>
    <w:rsid w:val="006A2646"/>
    <w:rsid w:val="006A3DF0"/>
    <w:rsid w:val="006A6530"/>
    <w:rsid w:val="006B435A"/>
    <w:rsid w:val="006B4C64"/>
    <w:rsid w:val="006B4FFC"/>
    <w:rsid w:val="006D0E6E"/>
    <w:rsid w:val="006D6BD5"/>
    <w:rsid w:val="006E481A"/>
    <w:rsid w:val="006E5298"/>
    <w:rsid w:val="006F02D0"/>
    <w:rsid w:val="006F2CE3"/>
    <w:rsid w:val="006F734A"/>
    <w:rsid w:val="00700D83"/>
    <w:rsid w:val="00703819"/>
    <w:rsid w:val="00704852"/>
    <w:rsid w:val="00706297"/>
    <w:rsid w:val="00706AD5"/>
    <w:rsid w:val="007074E9"/>
    <w:rsid w:val="00707FC8"/>
    <w:rsid w:val="00713DA4"/>
    <w:rsid w:val="00714BF1"/>
    <w:rsid w:val="00720A9A"/>
    <w:rsid w:val="00721383"/>
    <w:rsid w:val="0072554C"/>
    <w:rsid w:val="007257B5"/>
    <w:rsid w:val="00725911"/>
    <w:rsid w:val="00731DBD"/>
    <w:rsid w:val="00731E75"/>
    <w:rsid w:val="007333CC"/>
    <w:rsid w:val="0073399A"/>
    <w:rsid w:val="00735033"/>
    <w:rsid w:val="007508DA"/>
    <w:rsid w:val="00751F66"/>
    <w:rsid w:val="007603F5"/>
    <w:rsid w:val="00764DB0"/>
    <w:rsid w:val="00766F8A"/>
    <w:rsid w:val="0076764D"/>
    <w:rsid w:val="0077498C"/>
    <w:rsid w:val="0077546B"/>
    <w:rsid w:val="00777183"/>
    <w:rsid w:val="00777206"/>
    <w:rsid w:val="00780AD8"/>
    <w:rsid w:val="00782D5E"/>
    <w:rsid w:val="0078403D"/>
    <w:rsid w:val="00784128"/>
    <w:rsid w:val="00784B4B"/>
    <w:rsid w:val="007854ED"/>
    <w:rsid w:val="00793173"/>
    <w:rsid w:val="007A6170"/>
    <w:rsid w:val="007A6D92"/>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2BD6"/>
    <w:rsid w:val="00853A74"/>
    <w:rsid w:val="0085752C"/>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17E3"/>
    <w:rsid w:val="008C66E0"/>
    <w:rsid w:val="008E2DFA"/>
    <w:rsid w:val="008E3339"/>
    <w:rsid w:val="008E549B"/>
    <w:rsid w:val="008E67A7"/>
    <w:rsid w:val="008E71ED"/>
    <w:rsid w:val="008F18EF"/>
    <w:rsid w:val="008F20FC"/>
    <w:rsid w:val="008F2B24"/>
    <w:rsid w:val="008F5FFE"/>
    <w:rsid w:val="0090421A"/>
    <w:rsid w:val="00905A43"/>
    <w:rsid w:val="00907DC2"/>
    <w:rsid w:val="00912C79"/>
    <w:rsid w:val="009260A2"/>
    <w:rsid w:val="009344C1"/>
    <w:rsid w:val="00942123"/>
    <w:rsid w:val="00943726"/>
    <w:rsid w:val="00951031"/>
    <w:rsid w:val="0095207B"/>
    <w:rsid w:val="00954461"/>
    <w:rsid w:val="00956085"/>
    <w:rsid w:val="00957951"/>
    <w:rsid w:val="00962045"/>
    <w:rsid w:val="00962CA1"/>
    <w:rsid w:val="00967EDA"/>
    <w:rsid w:val="00970897"/>
    <w:rsid w:val="0097337E"/>
    <w:rsid w:val="00977FBE"/>
    <w:rsid w:val="00980314"/>
    <w:rsid w:val="009816D0"/>
    <w:rsid w:val="00991428"/>
    <w:rsid w:val="00992676"/>
    <w:rsid w:val="00996691"/>
    <w:rsid w:val="009A340D"/>
    <w:rsid w:val="009A4880"/>
    <w:rsid w:val="009A58D1"/>
    <w:rsid w:val="009A59B0"/>
    <w:rsid w:val="009A7865"/>
    <w:rsid w:val="009B0723"/>
    <w:rsid w:val="009B07AD"/>
    <w:rsid w:val="009B0883"/>
    <w:rsid w:val="009B15E2"/>
    <w:rsid w:val="009B5832"/>
    <w:rsid w:val="009B6312"/>
    <w:rsid w:val="009B640D"/>
    <w:rsid w:val="009C0850"/>
    <w:rsid w:val="009C0B8E"/>
    <w:rsid w:val="009C1BC8"/>
    <w:rsid w:val="009C2442"/>
    <w:rsid w:val="009C5F97"/>
    <w:rsid w:val="009D0811"/>
    <w:rsid w:val="009D0EE1"/>
    <w:rsid w:val="009D30BB"/>
    <w:rsid w:val="009E2AEB"/>
    <w:rsid w:val="009E2E27"/>
    <w:rsid w:val="009E3CA7"/>
    <w:rsid w:val="009E4DE3"/>
    <w:rsid w:val="00A047EE"/>
    <w:rsid w:val="00A06F41"/>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96F1D"/>
    <w:rsid w:val="00AA3A42"/>
    <w:rsid w:val="00AA5311"/>
    <w:rsid w:val="00AA7BAA"/>
    <w:rsid w:val="00AB685C"/>
    <w:rsid w:val="00AB6C2D"/>
    <w:rsid w:val="00AC08F7"/>
    <w:rsid w:val="00AC3839"/>
    <w:rsid w:val="00AC7082"/>
    <w:rsid w:val="00AD0E59"/>
    <w:rsid w:val="00AD3FEA"/>
    <w:rsid w:val="00AD65B4"/>
    <w:rsid w:val="00AD7BBD"/>
    <w:rsid w:val="00AE1D3B"/>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E27"/>
    <w:rsid w:val="00B72F5F"/>
    <w:rsid w:val="00B736DF"/>
    <w:rsid w:val="00B74FBD"/>
    <w:rsid w:val="00B77352"/>
    <w:rsid w:val="00B82586"/>
    <w:rsid w:val="00B829A3"/>
    <w:rsid w:val="00B86DB1"/>
    <w:rsid w:val="00B87869"/>
    <w:rsid w:val="00B91367"/>
    <w:rsid w:val="00B953BD"/>
    <w:rsid w:val="00BA0E44"/>
    <w:rsid w:val="00BA1118"/>
    <w:rsid w:val="00BA47C5"/>
    <w:rsid w:val="00BB0F2B"/>
    <w:rsid w:val="00BD0D57"/>
    <w:rsid w:val="00BE040A"/>
    <w:rsid w:val="00BE1A50"/>
    <w:rsid w:val="00BF50F7"/>
    <w:rsid w:val="00C00111"/>
    <w:rsid w:val="00C02F29"/>
    <w:rsid w:val="00C10C13"/>
    <w:rsid w:val="00C17111"/>
    <w:rsid w:val="00C20747"/>
    <w:rsid w:val="00C20AFE"/>
    <w:rsid w:val="00C22A25"/>
    <w:rsid w:val="00C23B79"/>
    <w:rsid w:val="00C33D50"/>
    <w:rsid w:val="00C35671"/>
    <w:rsid w:val="00C35B77"/>
    <w:rsid w:val="00C35CF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3781"/>
    <w:rsid w:val="00C841ED"/>
    <w:rsid w:val="00C85F17"/>
    <w:rsid w:val="00C8712A"/>
    <w:rsid w:val="00C91324"/>
    <w:rsid w:val="00C914F7"/>
    <w:rsid w:val="00C963D3"/>
    <w:rsid w:val="00CA6E0D"/>
    <w:rsid w:val="00CB2B3B"/>
    <w:rsid w:val="00CB2CBB"/>
    <w:rsid w:val="00CB56CE"/>
    <w:rsid w:val="00CB7CAC"/>
    <w:rsid w:val="00CC0EA0"/>
    <w:rsid w:val="00CC5335"/>
    <w:rsid w:val="00CC5BA4"/>
    <w:rsid w:val="00CC70BB"/>
    <w:rsid w:val="00CD3420"/>
    <w:rsid w:val="00CD4998"/>
    <w:rsid w:val="00CE1035"/>
    <w:rsid w:val="00CE177F"/>
    <w:rsid w:val="00CE2A4B"/>
    <w:rsid w:val="00CE2A6A"/>
    <w:rsid w:val="00CF2819"/>
    <w:rsid w:val="00CF4108"/>
    <w:rsid w:val="00CF4F9D"/>
    <w:rsid w:val="00CF70DC"/>
    <w:rsid w:val="00D148DC"/>
    <w:rsid w:val="00D17FDC"/>
    <w:rsid w:val="00D2132E"/>
    <w:rsid w:val="00D305D0"/>
    <w:rsid w:val="00D444C5"/>
    <w:rsid w:val="00D45AEA"/>
    <w:rsid w:val="00D5244F"/>
    <w:rsid w:val="00D52E4F"/>
    <w:rsid w:val="00D53181"/>
    <w:rsid w:val="00D56A37"/>
    <w:rsid w:val="00D57202"/>
    <w:rsid w:val="00D6386E"/>
    <w:rsid w:val="00D63EFD"/>
    <w:rsid w:val="00D64826"/>
    <w:rsid w:val="00D7080A"/>
    <w:rsid w:val="00D80DD2"/>
    <w:rsid w:val="00D80DF2"/>
    <w:rsid w:val="00D84150"/>
    <w:rsid w:val="00D84752"/>
    <w:rsid w:val="00D854DD"/>
    <w:rsid w:val="00D85AB0"/>
    <w:rsid w:val="00D86B3B"/>
    <w:rsid w:val="00D8748A"/>
    <w:rsid w:val="00D93196"/>
    <w:rsid w:val="00D94A4D"/>
    <w:rsid w:val="00D97A93"/>
    <w:rsid w:val="00DA1083"/>
    <w:rsid w:val="00DA26C8"/>
    <w:rsid w:val="00DB243C"/>
    <w:rsid w:val="00DB45DD"/>
    <w:rsid w:val="00DB482A"/>
    <w:rsid w:val="00DB56F2"/>
    <w:rsid w:val="00DB6EF5"/>
    <w:rsid w:val="00DC0FF8"/>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4A61"/>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4BA2"/>
    <w:rsid w:val="00EA6D31"/>
    <w:rsid w:val="00EB146B"/>
    <w:rsid w:val="00EB45AC"/>
    <w:rsid w:val="00EC2AEA"/>
    <w:rsid w:val="00EC42FE"/>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0550"/>
    <w:rsid w:val="00F83E76"/>
    <w:rsid w:val="00F87BEA"/>
    <w:rsid w:val="00F90A57"/>
    <w:rsid w:val="00F97C5B"/>
    <w:rsid w:val="00FA05D2"/>
    <w:rsid w:val="00FA359A"/>
    <w:rsid w:val="00FA3D50"/>
    <w:rsid w:val="00FA6A32"/>
    <w:rsid w:val="00FB009F"/>
    <w:rsid w:val="00FB0614"/>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454">
      <w:bodyDiv w:val="1"/>
      <w:marLeft w:val="0"/>
      <w:marRight w:val="0"/>
      <w:marTop w:val="0"/>
      <w:marBottom w:val="0"/>
      <w:divBdr>
        <w:top w:val="none" w:sz="0" w:space="0" w:color="auto"/>
        <w:left w:val="none" w:sz="0" w:space="0" w:color="auto"/>
        <w:bottom w:val="none" w:sz="0" w:space="0" w:color="auto"/>
        <w:right w:val="none" w:sz="0" w:space="0" w:color="auto"/>
      </w:divBdr>
    </w:div>
    <w:div w:id="54813895">
      <w:bodyDiv w:val="1"/>
      <w:marLeft w:val="0"/>
      <w:marRight w:val="0"/>
      <w:marTop w:val="0"/>
      <w:marBottom w:val="0"/>
      <w:divBdr>
        <w:top w:val="none" w:sz="0" w:space="0" w:color="auto"/>
        <w:left w:val="none" w:sz="0" w:space="0" w:color="auto"/>
        <w:bottom w:val="none" w:sz="0" w:space="0" w:color="auto"/>
        <w:right w:val="none" w:sz="0" w:space="0" w:color="auto"/>
      </w:divBdr>
      <w:divsChild>
        <w:div w:id="546575860">
          <w:marLeft w:val="0"/>
          <w:marRight w:val="0"/>
          <w:marTop w:val="0"/>
          <w:marBottom w:val="0"/>
          <w:divBdr>
            <w:top w:val="single" w:sz="2" w:space="0" w:color="E3E3E3"/>
            <w:left w:val="single" w:sz="2" w:space="0" w:color="E3E3E3"/>
            <w:bottom w:val="single" w:sz="2" w:space="0" w:color="E3E3E3"/>
            <w:right w:val="single" w:sz="2" w:space="0" w:color="E3E3E3"/>
          </w:divBdr>
          <w:divsChild>
            <w:div w:id="1142112525">
              <w:marLeft w:val="0"/>
              <w:marRight w:val="0"/>
              <w:marTop w:val="100"/>
              <w:marBottom w:val="100"/>
              <w:divBdr>
                <w:top w:val="single" w:sz="2" w:space="0" w:color="E3E3E3"/>
                <w:left w:val="single" w:sz="2" w:space="0" w:color="E3E3E3"/>
                <w:bottom w:val="single" w:sz="2" w:space="0" w:color="E3E3E3"/>
                <w:right w:val="single" w:sz="2" w:space="0" w:color="E3E3E3"/>
              </w:divBdr>
              <w:divsChild>
                <w:div w:id="624311459">
                  <w:marLeft w:val="0"/>
                  <w:marRight w:val="0"/>
                  <w:marTop w:val="0"/>
                  <w:marBottom w:val="0"/>
                  <w:divBdr>
                    <w:top w:val="single" w:sz="2" w:space="0" w:color="E3E3E3"/>
                    <w:left w:val="single" w:sz="2" w:space="0" w:color="E3E3E3"/>
                    <w:bottom w:val="single" w:sz="2" w:space="0" w:color="E3E3E3"/>
                    <w:right w:val="single" w:sz="2" w:space="0" w:color="E3E3E3"/>
                  </w:divBdr>
                  <w:divsChild>
                    <w:div w:id="1791632601">
                      <w:marLeft w:val="0"/>
                      <w:marRight w:val="0"/>
                      <w:marTop w:val="0"/>
                      <w:marBottom w:val="0"/>
                      <w:divBdr>
                        <w:top w:val="single" w:sz="2" w:space="0" w:color="E3E3E3"/>
                        <w:left w:val="single" w:sz="2" w:space="0" w:color="E3E3E3"/>
                        <w:bottom w:val="single" w:sz="2" w:space="0" w:color="E3E3E3"/>
                        <w:right w:val="single" w:sz="2" w:space="0" w:color="E3E3E3"/>
                      </w:divBdr>
                      <w:divsChild>
                        <w:div w:id="1100679625">
                          <w:marLeft w:val="0"/>
                          <w:marRight w:val="0"/>
                          <w:marTop w:val="0"/>
                          <w:marBottom w:val="0"/>
                          <w:divBdr>
                            <w:top w:val="single" w:sz="2" w:space="0" w:color="E3E3E3"/>
                            <w:left w:val="single" w:sz="2" w:space="0" w:color="E3E3E3"/>
                            <w:bottom w:val="single" w:sz="2" w:space="0" w:color="E3E3E3"/>
                            <w:right w:val="single" w:sz="2" w:space="0" w:color="E3E3E3"/>
                          </w:divBdr>
                          <w:divsChild>
                            <w:div w:id="1269855045">
                              <w:marLeft w:val="0"/>
                              <w:marRight w:val="0"/>
                              <w:marTop w:val="0"/>
                              <w:marBottom w:val="0"/>
                              <w:divBdr>
                                <w:top w:val="single" w:sz="2" w:space="0" w:color="E3E3E3"/>
                                <w:left w:val="single" w:sz="2" w:space="0" w:color="E3E3E3"/>
                                <w:bottom w:val="single" w:sz="2" w:space="0" w:color="E3E3E3"/>
                                <w:right w:val="single" w:sz="2" w:space="0" w:color="E3E3E3"/>
                              </w:divBdr>
                              <w:divsChild>
                                <w:div w:id="550966806">
                                  <w:marLeft w:val="0"/>
                                  <w:marRight w:val="0"/>
                                  <w:marTop w:val="0"/>
                                  <w:marBottom w:val="0"/>
                                  <w:divBdr>
                                    <w:top w:val="single" w:sz="2" w:space="0" w:color="E3E3E3"/>
                                    <w:left w:val="single" w:sz="2" w:space="0" w:color="E3E3E3"/>
                                    <w:bottom w:val="single" w:sz="2" w:space="0" w:color="E3E3E3"/>
                                    <w:right w:val="single" w:sz="2" w:space="0" w:color="E3E3E3"/>
                                  </w:divBdr>
                                  <w:divsChild>
                                    <w:div w:id="7947556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7017520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8081960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1459666">
      <w:bodyDiv w:val="1"/>
      <w:marLeft w:val="0"/>
      <w:marRight w:val="0"/>
      <w:marTop w:val="0"/>
      <w:marBottom w:val="0"/>
      <w:divBdr>
        <w:top w:val="none" w:sz="0" w:space="0" w:color="auto"/>
        <w:left w:val="none" w:sz="0" w:space="0" w:color="auto"/>
        <w:bottom w:val="none" w:sz="0" w:space="0" w:color="auto"/>
        <w:right w:val="none" w:sz="0" w:space="0" w:color="auto"/>
      </w:divBdr>
      <w:divsChild>
        <w:div w:id="870194214">
          <w:marLeft w:val="0"/>
          <w:marRight w:val="0"/>
          <w:marTop w:val="0"/>
          <w:marBottom w:val="0"/>
          <w:divBdr>
            <w:top w:val="single" w:sz="2" w:space="0" w:color="E3E3E3"/>
            <w:left w:val="single" w:sz="2" w:space="0" w:color="E3E3E3"/>
            <w:bottom w:val="single" w:sz="2" w:space="0" w:color="E3E3E3"/>
            <w:right w:val="single" w:sz="2" w:space="0" w:color="E3E3E3"/>
          </w:divBdr>
          <w:divsChild>
            <w:div w:id="1030181111">
              <w:marLeft w:val="0"/>
              <w:marRight w:val="0"/>
              <w:marTop w:val="100"/>
              <w:marBottom w:val="100"/>
              <w:divBdr>
                <w:top w:val="single" w:sz="2" w:space="0" w:color="E3E3E3"/>
                <w:left w:val="single" w:sz="2" w:space="0" w:color="E3E3E3"/>
                <w:bottom w:val="single" w:sz="2" w:space="0" w:color="E3E3E3"/>
                <w:right w:val="single" w:sz="2" w:space="0" w:color="E3E3E3"/>
              </w:divBdr>
              <w:divsChild>
                <w:div w:id="1709142809">
                  <w:marLeft w:val="0"/>
                  <w:marRight w:val="0"/>
                  <w:marTop w:val="0"/>
                  <w:marBottom w:val="0"/>
                  <w:divBdr>
                    <w:top w:val="single" w:sz="2" w:space="0" w:color="E3E3E3"/>
                    <w:left w:val="single" w:sz="2" w:space="0" w:color="E3E3E3"/>
                    <w:bottom w:val="single" w:sz="2" w:space="0" w:color="E3E3E3"/>
                    <w:right w:val="single" w:sz="2" w:space="0" w:color="E3E3E3"/>
                  </w:divBdr>
                  <w:divsChild>
                    <w:div w:id="2078505128">
                      <w:marLeft w:val="0"/>
                      <w:marRight w:val="0"/>
                      <w:marTop w:val="0"/>
                      <w:marBottom w:val="0"/>
                      <w:divBdr>
                        <w:top w:val="single" w:sz="2" w:space="0" w:color="E3E3E3"/>
                        <w:left w:val="single" w:sz="2" w:space="0" w:color="E3E3E3"/>
                        <w:bottom w:val="single" w:sz="2" w:space="0" w:color="E3E3E3"/>
                        <w:right w:val="single" w:sz="2" w:space="0" w:color="E3E3E3"/>
                      </w:divBdr>
                      <w:divsChild>
                        <w:div w:id="686950530">
                          <w:marLeft w:val="0"/>
                          <w:marRight w:val="0"/>
                          <w:marTop w:val="0"/>
                          <w:marBottom w:val="0"/>
                          <w:divBdr>
                            <w:top w:val="single" w:sz="2" w:space="0" w:color="E3E3E3"/>
                            <w:left w:val="single" w:sz="2" w:space="0" w:color="E3E3E3"/>
                            <w:bottom w:val="single" w:sz="2" w:space="0" w:color="E3E3E3"/>
                            <w:right w:val="single" w:sz="2" w:space="0" w:color="E3E3E3"/>
                          </w:divBdr>
                          <w:divsChild>
                            <w:div w:id="282659475">
                              <w:marLeft w:val="0"/>
                              <w:marRight w:val="0"/>
                              <w:marTop w:val="0"/>
                              <w:marBottom w:val="0"/>
                              <w:divBdr>
                                <w:top w:val="single" w:sz="2" w:space="0" w:color="E3E3E3"/>
                                <w:left w:val="single" w:sz="2" w:space="0" w:color="E3E3E3"/>
                                <w:bottom w:val="single" w:sz="2" w:space="0" w:color="E3E3E3"/>
                                <w:right w:val="single" w:sz="2" w:space="0" w:color="E3E3E3"/>
                              </w:divBdr>
                              <w:divsChild>
                                <w:div w:id="194391737">
                                  <w:marLeft w:val="0"/>
                                  <w:marRight w:val="0"/>
                                  <w:marTop w:val="0"/>
                                  <w:marBottom w:val="0"/>
                                  <w:divBdr>
                                    <w:top w:val="single" w:sz="2" w:space="0" w:color="E3E3E3"/>
                                    <w:left w:val="single" w:sz="2" w:space="0" w:color="E3E3E3"/>
                                    <w:bottom w:val="single" w:sz="2" w:space="0" w:color="E3E3E3"/>
                                    <w:right w:val="single" w:sz="2" w:space="0" w:color="E3E3E3"/>
                                  </w:divBdr>
                                  <w:divsChild>
                                    <w:div w:id="3386989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925910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4972</Words>
  <Characters>26851</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Letícia Willemann Campanelli</cp:lastModifiedBy>
  <cp:revision>92</cp:revision>
  <cp:lastPrinted>2019-08-27T05:42:00Z</cp:lastPrinted>
  <dcterms:created xsi:type="dcterms:W3CDTF">2024-02-29T00:01:00Z</dcterms:created>
  <dcterms:modified xsi:type="dcterms:W3CDTF">2024-03-01T23:05:00Z</dcterms:modified>
</cp:coreProperties>
</file>