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E70BCD">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3237F6">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FA4BF4" w:rsidRDefault="00B263D0" w:rsidP="003237F6">
      <w:pPr>
        <w:pStyle w:val="ListParagraph"/>
        <w:numPr>
          <w:ilvl w:val="0"/>
          <w:numId w:val="1"/>
        </w:numPr>
        <w:ind w:left="426" w:hanging="426"/>
        <w:jc w:val="both"/>
        <w:rPr>
          <w:rFonts w:ascii="Avenir Next" w:hAnsi="Avenir Next" w:cs="Arial"/>
          <w:sz w:val="22"/>
          <w:szCs w:val="22"/>
          <w:highlight w:val="yellow"/>
          <w:lang w:val="en-GB"/>
        </w:rPr>
      </w:pPr>
      <w:r w:rsidRPr="00FA4BF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3237F6">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3237F6">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3237F6">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3237F6">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3237F6">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3237F6">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3237F6">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3237F6">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3237F6">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3237F6">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3237F6" w:rsidRDefault="00AD0E59" w:rsidP="003237F6">
      <w:pPr>
        <w:pStyle w:val="ListParagraph"/>
        <w:numPr>
          <w:ilvl w:val="0"/>
          <w:numId w:val="10"/>
        </w:numPr>
        <w:ind w:left="426" w:hanging="426"/>
        <w:jc w:val="both"/>
        <w:rPr>
          <w:rFonts w:ascii="Avenir Next" w:hAnsi="Avenir Next" w:cs="Arial"/>
          <w:sz w:val="22"/>
          <w:szCs w:val="22"/>
          <w:highlight w:val="yellow"/>
          <w:lang w:val="en-GB"/>
        </w:rPr>
      </w:pPr>
      <w:r w:rsidRPr="003237F6">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3237F6">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3237F6">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3237F6">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3237F6">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3237F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3237F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57E6C" w:rsidRDefault="00893A03" w:rsidP="003237F6">
      <w:pPr>
        <w:pStyle w:val="ListParagraph"/>
        <w:numPr>
          <w:ilvl w:val="0"/>
          <w:numId w:val="2"/>
        </w:numPr>
        <w:ind w:left="426" w:hanging="426"/>
        <w:jc w:val="both"/>
        <w:rPr>
          <w:rFonts w:ascii="Avenir Next" w:hAnsi="Avenir Next" w:cs="Arial"/>
          <w:sz w:val="22"/>
          <w:szCs w:val="22"/>
          <w:highlight w:val="yellow"/>
          <w:lang w:val="en-GB"/>
        </w:rPr>
      </w:pPr>
      <w:r w:rsidRPr="00957E6C">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3237F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3237F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3237F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3237F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3237F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3237F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42071D" w:rsidRDefault="00812AFE" w:rsidP="003237F6">
      <w:pPr>
        <w:pStyle w:val="ListParagraph"/>
        <w:numPr>
          <w:ilvl w:val="0"/>
          <w:numId w:val="3"/>
        </w:numPr>
        <w:ind w:left="426" w:hanging="426"/>
        <w:jc w:val="both"/>
        <w:rPr>
          <w:rFonts w:ascii="Avenir Next" w:hAnsi="Avenir Next" w:cs="Arial"/>
          <w:sz w:val="22"/>
          <w:szCs w:val="22"/>
          <w:highlight w:val="yellow"/>
          <w:lang w:val="en-GB"/>
        </w:rPr>
      </w:pPr>
      <w:r w:rsidRPr="0042071D">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3237F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3237F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3237F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3237F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3237F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3237F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3237F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3237F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30E68" w:rsidRDefault="003220BA" w:rsidP="003237F6">
      <w:pPr>
        <w:pStyle w:val="ListParagraph"/>
        <w:numPr>
          <w:ilvl w:val="0"/>
          <w:numId w:val="4"/>
        </w:numPr>
        <w:ind w:left="426" w:hanging="426"/>
        <w:jc w:val="both"/>
        <w:rPr>
          <w:rFonts w:ascii="Avenir Next" w:hAnsi="Avenir Next" w:cs="Arial"/>
          <w:sz w:val="22"/>
          <w:szCs w:val="22"/>
          <w:highlight w:val="yellow"/>
          <w:lang w:val="en-GB"/>
        </w:rPr>
      </w:pPr>
      <w:r w:rsidRPr="00330E68">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3237F6">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3237F6">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30E68" w:rsidRDefault="003220BA" w:rsidP="003237F6">
      <w:pPr>
        <w:pStyle w:val="ListParagraph"/>
        <w:numPr>
          <w:ilvl w:val="0"/>
          <w:numId w:val="4"/>
        </w:numPr>
        <w:ind w:left="426" w:hanging="426"/>
        <w:jc w:val="both"/>
        <w:rPr>
          <w:rFonts w:ascii="Avenir Next" w:hAnsi="Avenir Next" w:cs="Arial"/>
          <w:sz w:val="22"/>
          <w:szCs w:val="22"/>
          <w:lang w:val="en-GB"/>
        </w:rPr>
      </w:pPr>
      <w:r w:rsidRPr="00330E68">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3237F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3237F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3237F6">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CC685F" w:rsidRDefault="009344C1" w:rsidP="003237F6">
      <w:pPr>
        <w:pStyle w:val="ListParagraph"/>
        <w:numPr>
          <w:ilvl w:val="0"/>
          <w:numId w:val="5"/>
        </w:numPr>
        <w:ind w:left="426" w:hanging="426"/>
        <w:jc w:val="both"/>
        <w:rPr>
          <w:rFonts w:ascii="Avenir Next" w:hAnsi="Avenir Next" w:cs="Arial"/>
          <w:sz w:val="22"/>
          <w:szCs w:val="22"/>
          <w:highlight w:val="yellow"/>
          <w:lang w:val="en-GB"/>
        </w:rPr>
      </w:pPr>
      <w:r w:rsidRPr="00CC685F">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3237F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3237F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3237F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3237F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3237F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3237F6">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CA53BB" w:rsidRDefault="00F51EE5" w:rsidP="003237F6">
      <w:pPr>
        <w:pStyle w:val="ListParagraph"/>
        <w:numPr>
          <w:ilvl w:val="0"/>
          <w:numId w:val="6"/>
        </w:numPr>
        <w:ind w:left="426" w:hanging="426"/>
        <w:jc w:val="both"/>
        <w:rPr>
          <w:rFonts w:ascii="Avenir Next" w:hAnsi="Avenir Next" w:cs="Arial"/>
          <w:sz w:val="22"/>
          <w:szCs w:val="22"/>
          <w:highlight w:val="yellow"/>
          <w:lang w:val="en-GB"/>
        </w:rPr>
      </w:pPr>
      <w:r w:rsidRPr="00CA53BB">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3237F6">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3237F6">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3237F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3237F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3237F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3237F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955CB" w:rsidRDefault="0097337E" w:rsidP="003237F6">
      <w:pPr>
        <w:pStyle w:val="ListParagraph"/>
        <w:numPr>
          <w:ilvl w:val="0"/>
          <w:numId w:val="7"/>
        </w:numPr>
        <w:ind w:left="426" w:hanging="426"/>
        <w:jc w:val="both"/>
        <w:rPr>
          <w:rFonts w:ascii="Avenir Next" w:hAnsi="Avenir Next" w:cs="Arial"/>
          <w:sz w:val="22"/>
          <w:szCs w:val="22"/>
          <w:highlight w:val="yellow"/>
          <w:lang w:val="en-GB"/>
        </w:rPr>
      </w:pPr>
      <w:r w:rsidRPr="009955CB">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3237F6">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9955CB" w:rsidRDefault="0097337E" w:rsidP="003237F6">
      <w:pPr>
        <w:pStyle w:val="ListParagraph"/>
        <w:numPr>
          <w:ilvl w:val="0"/>
          <w:numId w:val="7"/>
        </w:numPr>
        <w:ind w:left="426" w:hanging="426"/>
        <w:jc w:val="both"/>
        <w:rPr>
          <w:rFonts w:ascii="Avenir Next" w:hAnsi="Avenir Next" w:cs="Arial"/>
          <w:sz w:val="22"/>
          <w:szCs w:val="22"/>
          <w:lang w:val="en-GB"/>
        </w:rPr>
      </w:pPr>
      <w:r w:rsidRPr="009955CB">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3237F6">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3237F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3237F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3237F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3237F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3237F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07EB4" w:rsidRDefault="009A58D1" w:rsidP="003237F6">
      <w:pPr>
        <w:pStyle w:val="ListParagraph"/>
        <w:numPr>
          <w:ilvl w:val="0"/>
          <w:numId w:val="8"/>
        </w:numPr>
        <w:ind w:left="426" w:hanging="426"/>
        <w:jc w:val="both"/>
        <w:rPr>
          <w:rFonts w:ascii="Avenir Next" w:hAnsi="Avenir Next" w:cs="Arial"/>
          <w:sz w:val="22"/>
          <w:szCs w:val="22"/>
          <w:highlight w:val="yellow"/>
          <w:lang w:val="en-GB"/>
        </w:rPr>
      </w:pPr>
      <w:r w:rsidRPr="00207EB4">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3237F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3237F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3237F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3237F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C81E3B" w:rsidRDefault="00C4510C" w:rsidP="003237F6">
      <w:pPr>
        <w:pStyle w:val="ListParagraph"/>
        <w:numPr>
          <w:ilvl w:val="0"/>
          <w:numId w:val="9"/>
        </w:numPr>
        <w:ind w:left="426" w:hanging="426"/>
        <w:jc w:val="both"/>
        <w:rPr>
          <w:rFonts w:ascii="Avenir Next" w:hAnsi="Avenir Next" w:cs="Arial"/>
          <w:sz w:val="22"/>
          <w:szCs w:val="22"/>
          <w:highlight w:val="yellow"/>
          <w:lang w:val="en-GB"/>
        </w:rPr>
      </w:pPr>
      <w:r w:rsidRPr="00C81E3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0B4DD75D" w14:textId="6E9F167B" w:rsidR="009F336A" w:rsidRPr="00F36397" w:rsidRDefault="00124544" w:rsidP="004B4D90">
      <w:pPr>
        <w:jc w:val="both"/>
        <w:rPr>
          <w:rFonts w:ascii="Avenir Next" w:hAnsi="Avenir Next" w:cs="Arial"/>
          <w:sz w:val="22"/>
          <w:szCs w:val="22"/>
          <w:highlight w:val="yellow"/>
          <w:lang w:val="en-GB"/>
        </w:rPr>
      </w:pPr>
      <w:r w:rsidRPr="004B4D90">
        <w:rPr>
          <w:rFonts w:ascii="Avenir Next" w:hAnsi="Avenir Next" w:cs="Arial"/>
          <w:sz w:val="22"/>
          <w:szCs w:val="22"/>
          <w:highlight w:val="yellow"/>
          <w:lang w:val="en-GB"/>
        </w:rPr>
        <w:t xml:space="preserve">MLCBI and European Union (EU) Regulation on insolvency proceedings are both legal frameworks designed to address cross-border insolvency matters. The distinction between the two </w:t>
      </w:r>
      <w:r w:rsidR="00432E20" w:rsidRPr="004B4D90">
        <w:rPr>
          <w:rFonts w:ascii="Avenir Next" w:hAnsi="Avenir Next" w:cs="Arial"/>
          <w:sz w:val="22"/>
          <w:szCs w:val="22"/>
          <w:highlight w:val="yellow"/>
          <w:lang w:val="en-GB"/>
        </w:rPr>
        <w:t>is</w:t>
      </w:r>
      <w:r w:rsidR="00DA35CC" w:rsidRPr="004B4D90">
        <w:rPr>
          <w:rFonts w:ascii="Avenir Next" w:hAnsi="Avenir Next" w:cs="Arial"/>
          <w:sz w:val="22"/>
          <w:szCs w:val="22"/>
          <w:highlight w:val="yellow"/>
          <w:lang w:val="en-GB"/>
        </w:rPr>
        <w:t xml:space="preserve"> that </w:t>
      </w:r>
      <w:r w:rsidR="009F336A" w:rsidRPr="004B4D90">
        <w:rPr>
          <w:rFonts w:ascii="Avenir Next" w:hAnsi="Avenir Next" w:cs="Arial"/>
          <w:sz w:val="22"/>
          <w:szCs w:val="22"/>
          <w:highlight w:val="yellow"/>
          <w:lang w:val="en-GB"/>
        </w:rPr>
        <w:t xml:space="preserve">MLCBI </w:t>
      </w:r>
      <w:r w:rsidR="001D5D86" w:rsidRPr="00F36397">
        <w:rPr>
          <w:rFonts w:ascii="Avenir Next" w:hAnsi="Avenir Next" w:cs="Arial"/>
          <w:sz w:val="22"/>
          <w:szCs w:val="22"/>
          <w:highlight w:val="yellow"/>
          <w:lang w:val="en-GB"/>
        </w:rPr>
        <w:t xml:space="preserve">is a model law developed by the UNCITRAL </w:t>
      </w:r>
      <w:r w:rsidR="002F4AE9">
        <w:rPr>
          <w:rFonts w:ascii="Avenir Next" w:hAnsi="Avenir Next" w:cs="Arial"/>
          <w:sz w:val="22"/>
          <w:szCs w:val="22"/>
          <w:highlight w:val="yellow"/>
          <w:lang w:val="en-GB"/>
        </w:rPr>
        <w:t xml:space="preserve">as recommendation and </w:t>
      </w:r>
      <w:r w:rsidR="001D5D86" w:rsidRPr="00F36397">
        <w:rPr>
          <w:rFonts w:ascii="Avenir Next" w:hAnsi="Avenir Next" w:cs="Arial"/>
          <w:sz w:val="22"/>
          <w:szCs w:val="22"/>
          <w:highlight w:val="yellow"/>
          <w:lang w:val="en-GB"/>
        </w:rPr>
        <w:t>for adoption by individual countries</w:t>
      </w:r>
      <w:r w:rsidR="00FE6106" w:rsidRPr="00F36397">
        <w:rPr>
          <w:rFonts w:ascii="Avenir Next" w:hAnsi="Avenir Next" w:cs="Arial"/>
          <w:sz w:val="22"/>
          <w:szCs w:val="22"/>
          <w:highlight w:val="yellow"/>
          <w:lang w:val="en-GB"/>
        </w:rPr>
        <w:t xml:space="preserve"> globally</w:t>
      </w:r>
      <w:r w:rsidR="009A4789">
        <w:rPr>
          <w:rFonts w:ascii="Avenir Next" w:hAnsi="Avenir Next" w:cs="Arial"/>
          <w:sz w:val="22"/>
          <w:szCs w:val="22"/>
          <w:highlight w:val="yellow"/>
          <w:lang w:val="en-GB"/>
        </w:rPr>
        <w:t xml:space="preserve"> instead of </w:t>
      </w:r>
      <w:r w:rsidR="00A5274D">
        <w:rPr>
          <w:rFonts w:ascii="Avenir Next" w:hAnsi="Avenir Next" w:cs="Arial"/>
          <w:sz w:val="22"/>
          <w:szCs w:val="22"/>
          <w:highlight w:val="yellow"/>
          <w:lang w:val="en-GB"/>
        </w:rPr>
        <w:t>specific countries</w:t>
      </w:r>
      <w:r w:rsidR="008D3BD3">
        <w:rPr>
          <w:rFonts w:ascii="Avenir Next" w:hAnsi="Avenir Next" w:cs="Arial"/>
          <w:sz w:val="22"/>
          <w:szCs w:val="22"/>
          <w:highlight w:val="yellow"/>
          <w:lang w:val="en-GB"/>
        </w:rPr>
        <w:t xml:space="preserve"> (i.e. soft law)</w:t>
      </w:r>
      <w:r w:rsidR="00472751">
        <w:rPr>
          <w:rFonts w:ascii="Avenir Next" w:hAnsi="Avenir Next" w:cs="Arial"/>
          <w:sz w:val="22"/>
          <w:szCs w:val="22"/>
          <w:highlight w:val="yellow"/>
          <w:lang w:val="en-GB"/>
        </w:rPr>
        <w:t xml:space="preserve"> mainly to promot</w:t>
      </w:r>
      <w:r w:rsidR="00BF5396">
        <w:rPr>
          <w:rFonts w:ascii="Avenir Next" w:hAnsi="Avenir Next" w:cs="Arial"/>
          <w:sz w:val="22"/>
          <w:szCs w:val="22"/>
          <w:highlight w:val="yellow"/>
          <w:lang w:val="en-GB"/>
        </w:rPr>
        <w:t>e a uniform approach</w:t>
      </w:r>
      <w:r w:rsidR="00826029">
        <w:rPr>
          <w:rFonts w:ascii="Avenir Next" w:hAnsi="Avenir Next" w:cs="Arial"/>
          <w:sz w:val="22"/>
          <w:szCs w:val="22"/>
          <w:highlight w:val="yellow"/>
          <w:lang w:val="en-GB"/>
        </w:rPr>
        <w:t xml:space="preserve"> for co-operation between states</w:t>
      </w:r>
      <w:r w:rsidR="00B51643">
        <w:rPr>
          <w:rFonts w:ascii="Avenir Next" w:hAnsi="Avenir Next" w:cs="Arial"/>
          <w:sz w:val="22"/>
          <w:szCs w:val="22"/>
          <w:highlight w:val="yellow"/>
          <w:lang w:val="en-GB"/>
        </w:rPr>
        <w:t>, including expediting and simplifying the recognition process of foreign proceedings and a framework for recognition</w:t>
      </w:r>
      <w:r w:rsidR="000250ED">
        <w:rPr>
          <w:rFonts w:ascii="Avenir Next" w:hAnsi="Avenir Next" w:cs="Arial"/>
          <w:sz w:val="22"/>
          <w:szCs w:val="22"/>
          <w:highlight w:val="yellow"/>
          <w:lang w:val="en-GB"/>
        </w:rPr>
        <w:t xml:space="preserve"> in the enacting States</w:t>
      </w:r>
      <w:r w:rsidR="00FE6106" w:rsidRPr="00F36397">
        <w:rPr>
          <w:rFonts w:ascii="Avenir Next" w:hAnsi="Avenir Next" w:cs="Arial"/>
          <w:sz w:val="22"/>
          <w:szCs w:val="22"/>
          <w:highlight w:val="yellow"/>
          <w:lang w:val="en-GB"/>
        </w:rPr>
        <w:t xml:space="preserve">; whereas EU Regulation is </w:t>
      </w:r>
      <w:r w:rsidR="00A5274D">
        <w:rPr>
          <w:rFonts w:ascii="Avenir Next" w:hAnsi="Avenir Next" w:cs="Arial"/>
          <w:sz w:val="22"/>
          <w:szCs w:val="22"/>
          <w:highlight w:val="yellow"/>
          <w:lang w:val="en-GB"/>
        </w:rPr>
        <w:t xml:space="preserve">designed </w:t>
      </w:r>
      <w:r w:rsidR="00FE6106" w:rsidRPr="00F36397">
        <w:rPr>
          <w:rFonts w:ascii="Avenir Next" w:hAnsi="Avenir Next" w:cs="Arial"/>
          <w:sz w:val="22"/>
          <w:szCs w:val="22"/>
          <w:highlight w:val="yellow"/>
          <w:lang w:val="en-GB"/>
        </w:rPr>
        <w:t>specific</w:t>
      </w:r>
      <w:r w:rsidR="00A5274D">
        <w:rPr>
          <w:rFonts w:ascii="Avenir Next" w:hAnsi="Avenir Next" w:cs="Arial"/>
          <w:sz w:val="22"/>
          <w:szCs w:val="22"/>
          <w:highlight w:val="yellow"/>
          <w:lang w:val="en-GB"/>
        </w:rPr>
        <w:t>ally</w:t>
      </w:r>
      <w:r w:rsidR="00FE6106" w:rsidRPr="00F36397">
        <w:rPr>
          <w:rFonts w:ascii="Avenir Next" w:hAnsi="Avenir Next" w:cs="Arial"/>
          <w:sz w:val="22"/>
          <w:szCs w:val="22"/>
          <w:highlight w:val="yellow"/>
          <w:lang w:val="en-GB"/>
        </w:rPr>
        <w:t xml:space="preserve"> to the European Union member states</w:t>
      </w:r>
      <w:r w:rsidR="00FA537D" w:rsidRPr="00F36397">
        <w:rPr>
          <w:rFonts w:ascii="Avenir Next" w:hAnsi="Avenir Next" w:cs="Arial"/>
          <w:sz w:val="22"/>
          <w:szCs w:val="22"/>
          <w:highlight w:val="yellow"/>
          <w:lang w:val="en-GB"/>
        </w:rPr>
        <w:t xml:space="preserve"> </w:t>
      </w:r>
      <w:r w:rsidR="00ED3E0D">
        <w:rPr>
          <w:rFonts w:ascii="Avenir Next" w:hAnsi="Avenir Next" w:cs="Arial"/>
          <w:sz w:val="22"/>
          <w:szCs w:val="22"/>
          <w:highlight w:val="yellow"/>
          <w:lang w:val="en-GB"/>
        </w:rPr>
        <w:t>and</w:t>
      </w:r>
      <w:r w:rsidR="00D6270F">
        <w:rPr>
          <w:rFonts w:ascii="Avenir Next" w:hAnsi="Avenir Next" w:cs="Arial"/>
          <w:sz w:val="22"/>
          <w:szCs w:val="22"/>
          <w:highlight w:val="yellow"/>
          <w:lang w:val="en-GB"/>
        </w:rPr>
        <w:t xml:space="preserve"> even</w:t>
      </w:r>
      <w:r w:rsidR="00ED3E0D">
        <w:rPr>
          <w:rFonts w:ascii="Avenir Next" w:hAnsi="Avenir Next" w:cs="Arial"/>
          <w:sz w:val="22"/>
          <w:szCs w:val="22"/>
          <w:highlight w:val="yellow"/>
          <w:lang w:val="en-GB"/>
        </w:rPr>
        <w:t xml:space="preserve"> became directly part of the domestic law of the EU Member State</w:t>
      </w:r>
      <w:r w:rsidR="00243FF7">
        <w:rPr>
          <w:rFonts w:ascii="Avenir Next" w:hAnsi="Avenir Next" w:cs="Arial"/>
          <w:sz w:val="22"/>
          <w:szCs w:val="22"/>
          <w:highlight w:val="yellow"/>
          <w:lang w:val="en-GB"/>
        </w:rPr>
        <w:t>s</w:t>
      </w:r>
      <w:r w:rsidR="00FA537D" w:rsidRPr="00F36397">
        <w:rPr>
          <w:rFonts w:ascii="Avenir Next" w:hAnsi="Avenir Next" w:cs="Arial"/>
          <w:sz w:val="22"/>
          <w:szCs w:val="22"/>
          <w:highlight w:val="yellow"/>
          <w:lang w:val="en-GB"/>
        </w:rPr>
        <w:t>.</w:t>
      </w:r>
      <w:r w:rsidR="004809BC">
        <w:rPr>
          <w:rFonts w:ascii="Avenir Next" w:hAnsi="Avenir Next" w:cs="Arial"/>
          <w:sz w:val="22"/>
          <w:szCs w:val="22"/>
          <w:highlight w:val="yellow"/>
          <w:lang w:val="en-GB"/>
        </w:rPr>
        <w:t xml:space="preserve"> The effect of EU Regulation is not to harmonise the different insolvency regimes within the EU but provides rules for deciding which of the individual jurisditions’ insolvency regime applies in a particular case</w:t>
      </w:r>
      <w:r w:rsidR="009F2C4D">
        <w:rPr>
          <w:rFonts w:ascii="Avenir Next" w:hAnsi="Avenir Next" w:cs="Arial"/>
          <w:sz w:val="22"/>
          <w:szCs w:val="22"/>
          <w:highlight w:val="yellow"/>
          <w:lang w:val="en-GB"/>
        </w:rPr>
        <w:t xml:space="preserve"> hence allowing for a single concerted approach to insolvency</w:t>
      </w:r>
      <w:r w:rsidR="004809BC">
        <w:rPr>
          <w:rFonts w:ascii="Avenir Next" w:hAnsi="Avenir Next" w:cs="Arial"/>
          <w:sz w:val="22"/>
          <w:szCs w:val="22"/>
          <w:highlight w:val="yellow"/>
          <w:lang w:val="en-GB"/>
        </w:rPr>
        <w:t>.</w:t>
      </w:r>
    </w:p>
    <w:p w14:paraId="3AAC7AA1" w14:textId="77777777" w:rsidR="00DA35CC" w:rsidRPr="00F36397" w:rsidRDefault="00DA35CC" w:rsidP="00995162">
      <w:pPr>
        <w:jc w:val="both"/>
        <w:rPr>
          <w:rFonts w:ascii="Avenir Next" w:hAnsi="Avenir Next" w:cs="Arial"/>
          <w:color w:val="808080" w:themeColor="background1" w:themeShade="80"/>
          <w:sz w:val="22"/>
          <w:szCs w:val="22"/>
          <w:highlight w:val="yellow"/>
          <w:lang w:val="en-GB"/>
        </w:rPr>
      </w:pPr>
    </w:p>
    <w:tbl>
      <w:tblPr>
        <w:tblStyle w:val="TableGrid"/>
        <w:tblW w:w="0" w:type="auto"/>
        <w:tblLook w:val="04A0" w:firstRow="1" w:lastRow="0" w:firstColumn="1" w:lastColumn="0" w:noHBand="0" w:noVBand="1"/>
      </w:tblPr>
      <w:tblGrid>
        <w:gridCol w:w="1422"/>
        <w:gridCol w:w="3676"/>
        <w:gridCol w:w="3918"/>
      </w:tblGrid>
      <w:tr w:rsidR="00CE1039" w14:paraId="7AFBCF1C" w14:textId="77777777" w:rsidTr="008D4CCF">
        <w:tc>
          <w:tcPr>
            <w:tcW w:w="1422" w:type="dxa"/>
          </w:tcPr>
          <w:p w14:paraId="039FE5E1" w14:textId="77777777" w:rsidR="00CE1039" w:rsidRPr="00F36397" w:rsidRDefault="00CE1039" w:rsidP="00995162">
            <w:pPr>
              <w:jc w:val="both"/>
              <w:rPr>
                <w:rFonts w:ascii="Avenir Next" w:hAnsi="Avenir Next" w:cs="Arial"/>
                <w:sz w:val="22"/>
                <w:szCs w:val="22"/>
                <w:highlight w:val="yellow"/>
                <w:lang w:val="en-GB"/>
              </w:rPr>
            </w:pPr>
          </w:p>
        </w:tc>
        <w:tc>
          <w:tcPr>
            <w:tcW w:w="3676" w:type="dxa"/>
          </w:tcPr>
          <w:p w14:paraId="28428BBB" w14:textId="5A4BF122" w:rsidR="00CE1039" w:rsidRPr="00F36397" w:rsidRDefault="00CE1039" w:rsidP="00995162">
            <w:pPr>
              <w:jc w:val="both"/>
              <w:rPr>
                <w:rFonts w:ascii="Avenir Next" w:hAnsi="Avenir Next" w:cs="Arial"/>
                <w:sz w:val="22"/>
                <w:szCs w:val="22"/>
                <w:highlight w:val="yellow"/>
                <w:lang w:val="en-GB"/>
              </w:rPr>
            </w:pPr>
            <w:r w:rsidRPr="00F36397">
              <w:rPr>
                <w:rFonts w:ascii="Avenir Next" w:hAnsi="Avenir Next" w:cs="Arial"/>
                <w:sz w:val="22"/>
                <w:szCs w:val="22"/>
                <w:highlight w:val="yellow"/>
                <w:lang w:val="en-GB"/>
              </w:rPr>
              <w:t>MLCBI</w:t>
            </w:r>
          </w:p>
        </w:tc>
        <w:tc>
          <w:tcPr>
            <w:tcW w:w="3918" w:type="dxa"/>
          </w:tcPr>
          <w:p w14:paraId="1BF7581B" w14:textId="76830D94" w:rsidR="00CE1039" w:rsidRPr="00CE1039" w:rsidRDefault="00CE1039" w:rsidP="00995162">
            <w:pPr>
              <w:jc w:val="both"/>
              <w:rPr>
                <w:rFonts w:ascii="Avenir Next" w:hAnsi="Avenir Next" w:cs="Arial"/>
                <w:sz w:val="22"/>
                <w:szCs w:val="22"/>
                <w:lang w:val="en-GB"/>
              </w:rPr>
            </w:pPr>
            <w:r w:rsidRPr="00F36397">
              <w:rPr>
                <w:rFonts w:ascii="Avenir Next" w:hAnsi="Avenir Next" w:cs="Arial"/>
                <w:sz w:val="22"/>
                <w:szCs w:val="22"/>
                <w:highlight w:val="yellow"/>
                <w:lang w:val="en-GB"/>
              </w:rPr>
              <w:t>EU Regulation</w:t>
            </w:r>
          </w:p>
        </w:tc>
      </w:tr>
      <w:tr w:rsidR="00CE1039" w14:paraId="6FFED7A2" w14:textId="77777777" w:rsidTr="008D4CCF">
        <w:tc>
          <w:tcPr>
            <w:tcW w:w="1422" w:type="dxa"/>
          </w:tcPr>
          <w:p w14:paraId="29455411" w14:textId="2351F16B" w:rsidR="00CE1039" w:rsidRPr="00C27612" w:rsidRDefault="009061DA" w:rsidP="00995162">
            <w:pPr>
              <w:jc w:val="both"/>
              <w:rPr>
                <w:rFonts w:ascii="Avenir Next" w:hAnsi="Avenir Next" w:cs="Arial"/>
                <w:sz w:val="22"/>
                <w:szCs w:val="22"/>
                <w:highlight w:val="yellow"/>
                <w:lang w:val="en-GB"/>
              </w:rPr>
            </w:pPr>
            <w:r w:rsidRPr="00C27612">
              <w:rPr>
                <w:rFonts w:ascii="Avenir Next" w:hAnsi="Avenir Next" w:cs="Arial"/>
                <w:sz w:val="22"/>
                <w:szCs w:val="22"/>
                <w:highlight w:val="yellow"/>
                <w:lang w:val="en-GB"/>
              </w:rPr>
              <w:t>Advantage</w:t>
            </w:r>
          </w:p>
        </w:tc>
        <w:tc>
          <w:tcPr>
            <w:tcW w:w="3676" w:type="dxa"/>
          </w:tcPr>
          <w:p w14:paraId="63B6E36B" w14:textId="49E6D7AD" w:rsidR="00CE1039" w:rsidRPr="00C27612" w:rsidRDefault="00DC7BB8" w:rsidP="00995162">
            <w:pPr>
              <w:jc w:val="both"/>
              <w:rPr>
                <w:rFonts w:ascii="Avenir Next" w:hAnsi="Avenir Next" w:cs="Arial"/>
                <w:sz w:val="22"/>
                <w:szCs w:val="22"/>
                <w:highlight w:val="yellow"/>
                <w:lang w:val="en-GB"/>
              </w:rPr>
            </w:pPr>
            <w:r w:rsidRPr="00C27612">
              <w:rPr>
                <w:rFonts w:ascii="Avenir Next" w:hAnsi="Avenir Next" w:cs="Arial"/>
                <w:sz w:val="22"/>
                <w:szCs w:val="22"/>
                <w:highlight w:val="yellow"/>
                <w:lang w:val="en-GB"/>
              </w:rPr>
              <w:t xml:space="preserve">MLCBI offers </w:t>
            </w:r>
            <w:r w:rsidR="004F0C74" w:rsidRPr="00C27612">
              <w:rPr>
                <w:rFonts w:ascii="Avenir Next" w:hAnsi="Avenir Next" w:cs="Arial"/>
                <w:sz w:val="22"/>
                <w:szCs w:val="22"/>
                <w:highlight w:val="yellow"/>
                <w:lang w:val="en-GB"/>
              </w:rPr>
              <w:t xml:space="preserve">flexibility and global applicability </w:t>
            </w:r>
            <w:r w:rsidR="0094780D" w:rsidRPr="00C27612">
              <w:rPr>
                <w:rFonts w:ascii="Avenir Next" w:hAnsi="Avenir Next" w:cs="Arial"/>
                <w:sz w:val="22"/>
                <w:szCs w:val="22"/>
                <w:highlight w:val="yellow"/>
                <w:lang w:val="en-GB"/>
              </w:rPr>
              <w:t xml:space="preserve">for wide range of legal systems and facilitate cooperation in cross border insolvency on an international scale </w:t>
            </w:r>
            <w:r w:rsidR="004F0C74" w:rsidRPr="00C27612">
              <w:rPr>
                <w:rFonts w:ascii="Avenir Next" w:hAnsi="Avenir Next" w:cs="Arial"/>
                <w:sz w:val="22"/>
                <w:szCs w:val="22"/>
                <w:highlight w:val="yellow"/>
                <w:lang w:val="en-GB"/>
              </w:rPr>
              <w:t>allowing countries to adopt</w:t>
            </w:r>
            <w:r w:rsidR="0094780D" w:rsidRPr="00C27612">
              <w:rPr>
                <w:rFonts w:ascii="Avenir Next" w:hAnsi="Avenir Next" w:cs="Arial"/>
                <w:sz w:val="22"/>
                <w:szCs w:val="22"/>
                <w:highlight w:val="yellow"/>
                <w:lang w:val="en-GB"/>
              </w:rPr>
              <w:t>.</w:t>
            </w:r>
          </w:p>
        </w:tc>
        <w:tc>
          <w:tcPr>
            <w:tcW w:w="3918" w:type="dxa"/>
          </w:tcPr>
          <w:p w14:paraId="70A63620" w14:textId="77777777" w:rsidR="00782202" w:rsidRDefault="00E2302C" w:rsidP="00995162">
            <w:pPr>
              <w:jc w:val="both"/>
              <w:rPr>
                <w:rFonts w:ascii="Avenir Next" w:hAnsi="Avenir Next" w:cs="Arial"/>
                <w:sz w:val="22"/>
                <w:szCs w:val="22"/>
                <w:highlight w:val="yellow"/>
                <w:lang w:val="en-GB"/>
              </w:rPr>
            </w:pPr>
            <w:r w:rsidRPr="00C27612">
              <w:rPr>
                <w:rFonts w:ascii="Avenir Next" w:hAnsi="Avenir Next" w:cs="Arial"/>
                <w:sz w:val="22"/>
                <w:szCs w:val="22"/>
                <w:highlight w:val="yellow"/>
                <w:lang w:val="en-GB"/>
              </w:rPr>
              <w:t xml:space="preserve">In comparison, EU Regulation </w:t>
            </w:r>
            <w:r w:rsidR="002903F4" w:rsidRPr="00C27612">
              <w:rPr>
                <w:rFonts w:ascii="Avenir Next" w:hAnsi="Avenir Next" w:cs="Arial"/>
                <w:sz w:val="22"/>
                <w:szCs w:val="22"/>
                <w:highlight w:val="yellow"/>
                <w:lang w:val="en-GB"/>
              </w:rPr>
              <w:t>has</w:t>
            </w:r>
            <w:r w:rsidRPr="00C27612">
              <w:rPr>
                <w:rFonts w:ascii="Avenir Next" w:hAnsi="Avenir Next" w:cs="Arial"/>
                <w:sz w:val="22"/>
                <w:szCs w:val="22"/>
                <w:highlight w:val="yellow"/>
                <w:lang w:val="en-GB"/>
              </w:rPr>
              <w:t xml:space="preserve"> streamlined and harmonized </w:t>
            </w:r>
            <w:r w:rsidR="002903F4" w:rsidRPr="00C27612">
              <w:rPr>
                <w:rFonts w:ascii="Avenir Next" w:hAnsi="Avenir Next" w:cs="Arial"/>
                <w:sz w:val="22"/>
                <w:szCs w:val="22"/>
                <w:highlight w:val="yellow"/>
                <w:lang w:val="en-GB"/>
              </w:rPr>
              <w:t>procedures to provide for insolvency proceedings within the EU</w:t>
            </w:r>
            <w:r w:rsidR="00C54EDB">
              <w:rPr>
                <w:rFonts w:ascii="Avenir Next" w:hAnsi="Avenir Next" w:cs="Arial"/>
                <w:sz w:val="22"/>
                <w:szCs w:val="22"/>
                <w:highlight w:val="yellow"/>
                <w:lang w:val="en-GB"/>
              </w:rPr>
              <w:t xml:space="preserve">. </w:t>
            </w:r>
          </w:p>
          <w:p w14:paraId="06E19EAA" w14:textId="77777777" w:rsidR="00782202" w:rsidRDefault="00782202" w:rsidP="00995162">
            <w:pPr>
              <w:jc w:val="both"/>
              <w:rPr>
                <w:rFonts w:ascii="Avenir Next" w:hAnsi="Avenir Next" w:cs="Arial"/>
                <w:sz w:val="22"/>
                <w:szCs w:val="22"/>
                <w:highlight w:val="yellow"/>
                <w:lang w:val="en-GB"/>
              </w:rPr>
            </w:pPr>
          </w:p>
          <w:p w14:paraId="7A3F7881" w14:textId="3C55A071" w:rsidR="00CE1039" w:rsidRPr="00C27612" w:rsidRDefault="00782202" w:rsidP="00995162">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Due to the recognition of the insolvency proceedings in any EU Member State </w:t>
            </w:r>
            <w:r>
              <w:rPr>
                <w:rFonts w:ascii="Avenir Next" w:hAnsi="Avenir Next" w:cs="Arial"/>
                <w:sz w:val="22"/>
                <w:szCs w:val="22"/>
                <w:highlight w:val="yellow"/>
                <w:lang w:val="en-GB"/>
              </w:rPr>
              <w:lastRenderedPageBreak/>
              <w:t>within the EU, it</w:t>
            </w:r>
            <w:r w:rsidR="002903F4" w:rsidRPr="00C27612">
              <w:rPr>
                <w:rFonts w:ascii="Avenir Next" w:hAnsi="Avenir Next" w:cs="Arial"/>
                <w:sz w:val="22"/>
                <w:szCs w:val="22"/>
                <w:highlight w:val="yellow"/>
                <w:lang w:val="en-GB"/>
              </w:rPr>
              <w:t xml:space="preserve"> simplifies and expedite the process of dealing with cross-border insolvency matter</w:t>
            </w:r>
            <w:r w:rsidR="00F2587A">
              <w:rPr>
                <w:rFonts w:ascii="Avenir Next" w:hAnsi="Avenir Next" w:cs="Arial"/>
                <w:sz w:val="22"/>
                <w:szCs w:val="22"/>
                <w:highlight w:val="yellow"/>
                <w:lang w:val="en-GB"/>
              </w:rPr>
              <w:t>s.</w:t>
            </w:r>
          </w:p>
        </w:tc>
      </w:tr>
      <w:tr w:rsidR="00CE1039" w14:paraId="6D57CF23" w14:textId="77777777" w:rsidTr="008D4CCF">
        <w:tc>
          <w:tcPr>
            <w:tcW w:w="1422" w:type="dxa"/>
          </w:tcPr>
          <w:p w14:paraId="1EA35BEA" w14:textId="13D5FD34" w:rsidR="00CE1039" w:rsidRPr="00C27612" w:rsidRDefault="009061DA" w:rsidP="00995162">
            <w:pPr>
              <w:jc w:val="both"/>
              <w:rPr>
                <w:rFonts w:ascii="Avenir Next" w:hAnsi="Avenir Next" w:cs="Arial"/>
                <w:sz w:val="22"/>
                <w:szCs w:val="22"/>
                <w:highlight w:val="yellow"/>
                <w:lang w:val="en-GB"/>
              </w:rPr>
            </w:pPr>
            <w:r w:rsidRPr="00C27612">
              <w:rPr>
                <w:rFonts w:ascii="Avenir Next" w:hAnsi="Avenir Next" w:cs="Arial"/>
                <w:sz w:val="22"/>
                <w:szCs w:val="22"/>
                <w:highlight w:val="yellow"/>
                <w:lang w:val="en-GB"/>
              </w:rPr>
              <w:lastRenderedPageBreak/>
              <w:t>Disadvantage</w:t>
            </w:r>
          </w:p>
        </w:tc>
        <w:tc>
          <w:tcPr>
            <w:tcW w:w="3676" w:type="dxa"/>
          </w:tcPr>
          <w:p w14:paraId="7C09CF6F" w14:textId="49DE66F2" w:rsidR="00CE1039" w:rsidRPr="00C27612" w:rsidRDefault="00F975D7" w:rsidP="00995162">
            <w:pPr>
              <w:jc w:val="both"/>
              <w:rPr>
                <w:rFonts w:ascii="Avenir Next" w:hAnsi="Avenir Next" w:cs="Arial"/>
                <w:sz w:val="22"/>
                <w:szCs w:val="22"/>
                <w:highlight w:val="yellow"/>
                <w:lang w:val="en-GB"/>
              </w:rPr>
            </w:pPr>
            <w:r w:rsidRPr="00C27612">
              <w:rPr>
                <w:rFonts w:ascii="Avenir Next" w:hAnsi="Avenir Next" w:cs="Arial"/>
                <w:sz w:val="22"/>
                <w:szCs w:val="22"/>
                <w:highlight w:val="yellow"/>
                <w:lang w:val="en-GB"/>
              </w:rPr>
              <w:t xml:space="preserve">The </w:t>
            </w:r>
            <w:r w:rsidR="004B52A7" w:rsidRPr="00C27612">
              <w:rPr>
                <w:rFonts w:ascii="Avenir Next" w:hAnsi="Avenir Next" w:cs="Arial"/>
                <w:sz w:val="22"/>
                <w:szCs w:val="22"/>
                <w:highlight w:val="yellow"/>
                <w:lang w:val="en-GB"/>
              </w:rPr>
              <w:t>specifics</w:t>
            </w:r>
            <w:r w:rsidRPr="00C27612">
              <w:rPr>
                <w:rFonts w:ascii="Avenir Next" w:hAnsi="Avenir Next" w:cs="Arial"/>
                <w:sz w:val="22"/>
                <w:szCs w:val="22"/>
                <w:highlight w:val="yellow"/>
                <w:lang w:val="en-GB"/>
              </w:rPr>
              <w:t xml:space="preserve"> of how each jurisdiction adopts and applies the model </w:t>
            </w:r>
            <w:r w:rsidR="004B52A7" w:rsidRPr="00C27612">
              <w:rPr>
                <w:rFonts w:ascii="Avenir Next" w:hAnsi="Avenir Next" w:cs="Arial"/>
                <w:sz w:val="22"/>
                <w:szCs w:val="22"/>
                <w:highlight w:val="yellow"/>
                <w:lang w:val="en-GB"/>
              </w:rPr>
              <w:t xml:space="preserve">law </w:t>
            </w:r>
            <w:r w:rsidRPr="00C27612">
              <w:rPr>
                <w:rFonts w:ascii="Avenir Next" w:hAnsi="Avenir Next" w:cs="Arial"/>
                <w:sz w:val="22"/>
                <w:szCs w:val="22"/>
                <w:highlight w:val="yellow"/>
                <w:lang w:val="en-GB"/>
              </w:rPr>
              <w:t>may vary thus</w:t>
            </w:r>
            <w:r w:rsidR="00B7078B" w:rsidRPr="00C27612">
              <w:rPr>
                <w:rFonts w:ascii="Avenir Next" w:hAnsi="Avenir Next" w:cs="Arial"/>
                <w:sz w:val="22"/>
                <w:szCs w:val="22"/>
                <w:highlight w:val="yellow"/>
                <w:lang w:val="en-GB"/>
              </w:rPr>
              <w:t xml:space="preserve"> it lacks uniformity and may create challenges and </w:t>
            </w:r>
            <w:r w:rsidR="00BF4E3F" w:rsidRPr="00C27612">
              <w:rPr>
                <w:rFonts w:ascii="Avenir Next" w:hAnsi="Avenir Next" w:cs="Arial"/>
                <w:sz w:val="22"/>
                <w:szCs w:val="22"/>
                <w:highlight w:val="yellow"/>
                <w:lang w:val="en-GB"/>
              </w:rPr>
              <w:t xml:space="preserve">uncertainties in cross-border insolvency proceedings. </w:t>
            </w:r>
          </w:p>
        </w:tc>
        <w:tc>
          <w:tcPr>
            <w:tcW w:w="3918" w:type="dxa"/>
          </w:tcPr>
          <w:p w14:paraId="1F67D4B4" w14:textId="359F59CF" w:rsidR="00CE1039" w:rsidRPr="00C27612" w:rsidRDefault="00774D95" w:rsidP="00995162">
            <w:pPr>
              <w:jc w:val="both"/>
              <w:rPr>
                <w:rFonts w:ascii="Avenir Next" w:hAnsi="Avenir Next" w:cs="Arial"/>
                <w:sz w:val="22"/>
                <w:szCs w:val="22"/>
                <w:highlight w:val="yellow"/>
                <w:lang w:val="en-GB"/>
              </w:rPr>
            </w:pPr>
            <w:r w:rsidRPr="00C27612">
              <w:rPr>
                <w:rFonts w:ascii="Avenir Next" w:hAnsi="Avenir Next" w:cs="Arial"/>
                <w:sz w:val="22"/>
                <w:szCs w:val="22"/>
                <w:highlight w:val="yellow"/>
                <w:lang w:val="en-GB"/>
              </w:rPr>
              <w:t xml:space="preserve">Disadvantage being the scope is limited to EU members tates and </w:t>
            </w:r>
            <w:r w:rsidR="008A566B" w:rsidRPr="00C27612">
              <w:rPr>
                <w:rFonts w:ascii="Avenir Next" w:hAnsi="Avenir Next" w:cs="Arial"/>
                <w:sz w:val="22"/>
                <w:szCs w:val="22"/>
                <w:highlight w:val="yellow"/>
                <w:lang w:val="en-GB"/>
              </w:rPr>
              <w:t>does not have international applicability.</w:t>
            </w:r>
          </w:p>
        </w:tc>
      </w:tr>
    </w:tbl>
    <w:p w14:paraId="198E5D41" w14:textId="77777777" w:rsidR="0000517F" w:rsidRPr="00995162" w:rsidRDefault="0000517F" w:rsidP="00995162">
      <w:pPr>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3754A3">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5136740D" w14:textId="77777777" w:rsidR="00896DAD" w:rsidRDefault="00896DAD" w:rsidP="0063054B">
      <w:pPr>
        <w:jc w:val="both"/>
        <w:rPr>
          <w:rFonts w:ascii="Avenir Next" w:hAnsi="Avenir Next" w:cs="Arial"/>
          <w:sz w:val="22"/>
          <w:szCs w:val="22"/>
          <w:highlight w:val="yellow"/>
          <w:lang w:val="en-GB"/>
        </w:rPr>
      </w:pPr>
    </w:p>
    <w:p w14:paraId="337B601C" w14:textId="26386D01" w:rsidR="0063054B" w:rsidRDefault="0063054B" w:rsidP="0063054B">
      <w:pPr>
        <w:jc w:val="both"/>
        <w:rPr>
          <w:rFonts w:ascii="Avenir Next" w:hAnsi="Avenir Next" w:cs="Arial"/>
          <w:sz w:val="22"/>
          <w:szCs w:val="22"/>
          <w:highlight w:val="yellow"/>
          <w:lang w:val="en-GB"/>
        </w:rPr>
      </w:pPr>
      <w:r w:rsidRPr="0063054B">
        <w:rPr>
          <w:rFonts w:ascii="Avenir Next" w:hAnsi="Avenir Next" w:cs="Arial"/>
          <w:sz w:val="22"/>
          <w:szCs w:val="22"/>
          <w:highlight w:val="yellow"/>
          <w:lang w:val="en-GB"/>
        </w:rPr>
        <w:t xml:space="preserve">The court should </w:t>
      </w:r>
      <w:r w:rsidR="00804231">
        <w:rPr>
          <w:rFonts w:ascii="Avenir Next" w:hAnsi="Avenir Next" w:cs="Arial"/>
          <w:sz w:val="22"/>
          <w:szCs w:val="22"/>
          <w:highlight w:val="yellow"/>
          <w:lang w:val="en-GB"/>
        </w:rPr>
        <w:t xml:space="preserve">consider </w:t>
      </w:r>
      <w:r w:rsidR="0033313F">
        <w:rPr>
          <w:rFonts w:ascii="Avenir Next" w:hAnsi="Avenir Next" w:cs="Arial"/>
          <w:sz w:val="22"/>
          <w:szCs w:val="22"/>
          <w:highlight w:val="yellow"/>
          <w:lang w:val="en-GB"/>
        </w:rPr>
        <w:t xml:space="preserve">the impact of the </w:t>
      </w:r>
      <w:r w:rsidRPr="0063054B">
        <w:rPr>
          <w:rFonts w:ascii="Avenir Next" w:hAnsi="Avenir Next" w:cs="Arial"/>
          <w:sz w:val="22"/>
          <w:szCs w:val="22"/>
          <w:highlight w:val="yellow"/>
          <w:lang w:val="en-GB"/>
        </w:rPr>
        <w:t xml:space="preserve">relief granted </w:t>
      </w:r>
      <w:r w:rsidR="0033313F">
        <w:rPr>
          <w:rFonts w:ascii="Avenir Next" w:hAnsi="Avenir Next" w:cs="Arial"/>
          <w:sz w:val="22"/>
          <w:szCs w:val="22"/>
          <w:highlight w:val="yellow"/>
          <w:lang w:val="en-GB"/>
        </w:rPr>
        <w:t>to prevent</w:t>
      </w:r>
      <w:r w:rsidRPr="0063054B">
        <w:rPr>
          <w:rFonts w:ascii="Avenir Next" w:hAnsi="Avenir Next" w:cs="Arial"/>
          <w:sz w:val="22"/>
          <w:szCs w:val="22"/>
          <w:highlight w:val="yellow"/>
          <w:lang w:val="en-GB"/>
        </w:rPr>
        <w:t xml:space="preserve"> unfairly prejudice the rights and interests of creditors</w:t>
      </w:r>
      <w:r w:rsidR="00703430">
        <w:rPr>
          <w:rFonts w:ascii="Avenir Next" w:hAnsi="Avenir Next" w:cs="Arial"/>
          <w:sz w:val="22"/>
          <w:szCs w:val="22"/>
          <w:highlight w:val="yellow"/>
          <w:lang w:val="en-GB"/>
        </w:rPr>
        <w:t>, foreign representative</w:t>
      </w:r>
      <w:r w:rsidRPr="0063054B">
        <w:rPr>
          <w:rFonts w:ascii="Avenir Next" w:hAnsi="Avenir Next" w:cs="Arial"/>
          <w:sz w:val="22"/>
          <w:szCs w:val="22"/>
          <w:highlight w:val="yellow"/>
          <w:lang w:val="en-GB"/>
        </w:rPr>
        <w:t xml:space="preserve"> and other parties involved</w:t>
      </w:r>
      <w:r w:rsidR="00804231">
        <w:rPr>
          <w:rFonts w:ascii="Avenir Next" w:hAnsi="Avenir Next" w:cs="Arial"/>
          <w:sz w:val="22"/>
          <w:szCs w:val="22"/>
          <w:highlight w:val="yellow"/>
          <w:lang w:val="en-GB"/>
        </w:rPr>
        <w:t>, including the debtor</w:t>
      </w:r>
      <w:r w:rsidR="0033313F">
        <w:rPr>
          <w:rFonts w:ascii="Avenir Next" w:hAnsi="Avenir Next" w:cs="Arial"/>
          <w:sz w:val="22"/>
          <w:szCs w:val="22"/>
          <w:highlight w:val="yellow"/>
          <w:lang w:val="en-GB"/>
        </w:rPr>
        <w:t>.</w:t>
      </w:r>
      <w:r w:rsidR="00804231">
        <w:rPr>
          <w:rFonts w:ascii="Avenir Next" w:hAnsi="Avenir Next" w:cs="Arial"/>
          <w:sz w:val="22"/>
          <w:szCs w:val="22"/>
          <w:highlight w:val="yellow"/>
          <w:lang w:val="en-GB"/>
        </w:rPr>
        <w:t xml:space="preserve"> </w:t>
      </w:r>
      <w:r w:rsidR="00701F9A">
        <w:rPr>
          <w:rFonts w:ascii="Avenir Next" w:hAnsi="Avenir Next" w:cs="Arial"/>
          <w:sz w:val="22"/>
          <w:szCs w:val="22"/>
          <w:highlight w:val="yellow"/>
          <w:lang w:val="en-GB"/>
        </w:rPr>
        <w:t xml:space="preserve">In other words, the court in the enacting state must consider the balance between the relief to be granted to foreign representative and the interest of those affected by the relief according as stipulated in Article 22. </w:t>
      </w:r>
      <w:r w:rsidR="0033313F">
        <w:rPr>
          <w:rFonts w:ascii="Avenir Next" w:hAnsi="Avenir Next" w:cs="Arial"/>
          <w:sz w:val="22"/>
          <w:szCs w:val="22"/>
          <w:highlight w:val="yellow"/>
          <w:lang w:val="en-GB"/>
        </w:rPr>
        <w:t>This is to ensure</w:t>
      </w:r>
      <w:r w:rsidR="00804231">
        <w:rPr>
          <w:rFonts w:ascii="Avenir Next" w:hAnsi="Avenir Next" w:cs="Arial"/>
          <w:sz w:val="22"/>
          <w:szCs w:val="22"/>
          <w:highlight w:val="yellow"/>
          <w:lang w:val="en-GB"/>
        </w:rPr>
        <w:t xml:space="preserve"> </w:t>
      </w:r>
      <w:r w:rsidR="00804231" w:rsidRPr="0063054B">
        <w:rPr>
          <w:rFonts w:ascii="Avenir Next" w:hAnsi="Avenir Next" w:cs="Arial"/>
          <w:sz w:val="22"/>
          <w:szCs w:val="22"/>
          <w:highlight w:val="yellow"/>
          <w:lang w:val="en-GB"/>
        </w:rPr>
        <w:t>protection of the</w:t>
      </w:r>
      <w:r w:rsidR="0033313F">
        <w:rPr>
          <w:rFonts w:ascii="Avenir Next" w:hAnsi="Avenir Next" w:cs="Arial"/>
          <w:sz w:val="22"/>
          <w:szCs w:val="22"/>
          <w:highlight w:val="yellow"/>
          <w:lang w:val="en-GB"/>
        </w:rPr>
        <w:t xml:space="preserve"> stakeholders.</w:t>
      </w:r>
    </w:p>
    <w:p w14:paraId="4D217052" w14:textId="77777777" w:rsidR="0063054B" w:rsidRDefault="0063054B" w:rsidP="004C4556">
      <w:pPr>
        <w:jc w:val="both"/>
        <w:rPr>
          <w:rFonts w:ascii="Avenir Next" w:hAnsi="Avenir Next" w:cs="Arial"/>
          <w:sz w:val="22"/>
          <w:szCs w:val="22"/>
          <w:lang w:val="en-GB"/>
        </w:rPr>
      </w:pPr>
    </w:p>
    <w:p w14:paraId="3BBF8327" w14:textId="415F64F2" w:rsidR="00DB25B1" w:rsidRDefault="00ED01CA" w:rsidP="004C4556">
      <w:pPr>
        <w:jc w:val="both"/>
        <w:rPr>
          <w:rFonts w:ascii="Avenir Next" w:hAnsi="Avenir Next" w:cs="Arial"/>
          <w:sz w:val="22"/>
          <w:szCs w:val="22"/>
          <w:lang w:val="en-GB"/>
        </w:rPr>
      </w:pPr>
      <w:r w:rsidRPr="007940B0">
        <w:rPr>
          <w:rFonts w:ascii="Avenir Next" w:hAnsi="Avenir Next" w:cs="Arial"/>
          <w:sz w:val="22"/>
          <w:szCs w:val="22"/>
          <w:highlight w:val="yellow"/>
          <w:lang w:val="en-GB"/>
        </w:rPr>
        <w:t xml:space="preserve">To enable the above, the court may subject the relief to </w:t>
      </w:r>
      <w:r w:rsidR="0040234D" w:rsidRPr="007940B0">
        <w:rPr>
          <w:rFonts w:ascii="Avenir Next" w:hAnsi="Avenir Next" w:cs="Arial"/>
          <w:sz w:val="22"/>
          <w:szCs w:val="22"/>
          <w:highlight w:val="yellow"/>
          <w:lang w:val="en-GB"/>
        </w:rPr>
        <w:t>appropriate conditions. The court may also hear the request of the foreign representative or affected person and modify or terminate the relief.</w:t>
      </w:r>
      <w:r w:rsidR="0040234D">
        <w:rPr>
          <w:rFonts w:ascii="Avenir Next" w:hAnsi="Avenir Next" w:cs="Arial"/>
          <w:sz w:val="22"/>
          <w:szCs w:val="22"/>
          <w:lang w:val="en-GB"/>
        </w:rPr>
        <w:t xml:space="preserve"> </w:t>
      </w:r>
    </w:p>
    <w:p w14:paraId="005B51AC" w14:textId="77777777" w:rsidR="00ED01CA" w:rsidRPr="00E2622D" w:rsidRDefault="00ED01CA" w:rsidP="004C4556">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51DAD0" w14:textId="77777777" w:rsidR="007142D6" w:rsidRDefault="000A4A5A" w:rsidP="00707FC8">
      <w:pPr>
        <w:jc w:val="both"/>
        <w:rPr>
          <w:rFonts w:ascii="Avenir Next" w:hAnsi="Avenir Next" w:cs="Arial"/>
          <w:sz w:val="22"/>
          <w:szCs w:val="22"/>
          <w:highlight w:val="yellow"/>
          <w:lang w:val="en-GB"/>
        </w:rPr>
      </w:pPr>
      <w:r>
        <w:rPr>
          <w:rFonts w:ascii="Avenir Next" w:hAnsi="Avenir Next" w:cs="Arial"/>
          <w:sz w:val="22"/>
          <w:szCs w:val="22"/>
          <w:highlight w:val="yellow"/>
          <w:lang w:val="en-GB"/>
        </w:rPr>
        <w:t>Allows for f</w:t>
      </w:r>
      <w:r w:rsidR="00745441" w:rsidRPr="00745441">
        <w:rPr>
          <w:rFonts w:ascii="Avenir Next" w:hAnsi="Avenir Next" w:cs="Arial"/>
          <w:sz w:val="22"/>
          <w:szCs w:val="22"/>
          <w:highlight w:val="yellow"/>
          <w:lang w:val="en-GB"/>
        </w:rPr>
        <w:t xml:space="preserve">oreign creditors </w:t>
      </w:r>
      <w:r>
        <w:rPr>
          <w:rFonts w:ascii="Avenir Next" w:hAnsi="Avenir Next" w:cs="Arial"/>
          <w:sz w:val="22"/>
          <w:szCs w:val="22"/>
          <w:highlight w:val="yellow"/>
          <w:lang w:val="en-GB"/>
        </w:rPr>
        <w:t xml:space="preserve">to </w:t>
      </w:r>
      <w:r w:rsidR="00745441" w:rsidRPr="00745441">
        <w:rPr>
          <w:rFonts w:ascii="Avenir Next" w:hAnsi="Avenir Next" w:cs="Arial"/>
          <w:sz w:val="22"/>
          <w:szCs w:val="22"/>
          <w:highlight w:val="yellow"/>
          <w:lang w:val="en-GB"/>
        </w:rPr>
        <w:t>have the same rights</w:t>
      </w:r>
      <w:r w:rsidR="00B92484">
        <w:rPr>
          <w:rFonts w:ascii="Avenir Next" w:hAnsi="Avenir Next" w:cs="Arial"/>
          <w:sz w:val="22"/>
          <w:szCs w:val="22"/>
          <w:highlight w:val="yellow"/>
          <w:lang w:val="en-GB"/>
        </w:rPr>
        <w:t xml:space="preserve"> as the local creditors</w:t>
      </w:r>
      <w:r w:rsidR="00E219E1">
        <w:rPr>
          <w:rFonts w:ascii="Avenir Next" w:hAnsi="Avenir Next" w:cs="Arial"/>
          <w:sz w:val="22"/>
          <w:szCs w:val="22"/>
          <w:highlight w:val="yellow"/>
          <w:lang w:val="en-GB"/>
        </w:rPr>
        <w:t xml:space="preserve"> </w:t>
      </w:r>
      <w:r w:rsidR="00745441" w:rsidRPr="00745441">
        <w:rPr>
          <w:rFonts w:ascii="Avenir Next" w:hAnsi="Avenir Next" w:cs="Arial"/>
          <w:sz w:val="22"/>
          <w:szCs w:val="22"/>
          <w:highlight w:val="yellow"/>
          <w:lang w:val="en-GB"/>
        </w:rPr>
        <w:t xml:space="preserve">regarding the commencement of, and participation in, </w:t>
      </w:r>
      <w:r w:rsidR="00CC086B">
        <w:rPr>
          <w:rFonts w:ascii="Avenir Next" w:hAnsi="Avenir Next" w:cs="Arial"/>
          <w:sz w:val="22"/>
          <w:szCs w:val="22"/>
          <w:highlight w:val="yellow"/>
          <w:lang w:val="en-GB"/>
        </w:rPr>
        <w:t>local</w:t>
      </w:r>
      <w:r w:rsidR="00745441" w:rsidRPr="00745441">
        <w:rPr>
          <w:rFonts w:ascii="Avenir Next" w:hAnsi="Avenir Next" w:cs="Arial"/>
          <w:sz w:val="22"/>
          <w:szCs w:val="22"/>
          <w:highlight w:val="yellow"/>
          <w:lang w:val="en-GB"/>
        </w:rPr>
        <w:t xml:space="preserve"> proceeding under the insolvency laws of the enacting state. </w:t>
      </w:r>
    </w:p>
    <w:p w14:paraId="6F6F49BA" w14:textId="77777777" w:rsidR="007142D6" w:rsidRDefault="007142D6" w:rsidP="00707FC8">
      <w:pPr>
        <w:jc w:val="both"/>
        <w:rPr>
          <w:rFonts w:ascii="Avenir Next" w:hAnsi="Avenir Next" w:cs="Arial"/>
          <w:sz w:val="22"/>
          <w:szCs w:val="22"/>
          <w:highlight w:val="yellow"/>
          <w:lang w:val="en-GB"/>
        </w:rPr>
      </w:pPr>
    </w:p>
    <w:p w14:paraId="38F7BA6B" w14:textId="034454A1" w:rsidR="00071DD4" w:rsidRDefault="00E219E1" w:rsidP="00707FC8">
      <w:pPr>
        <w:jc w:val="both"/>
        <w:rPr>
          <w:rFonts w:ascii="Avenir Next" w:hAnsi="Avenir Next" w:cs="Arial"/>
          <w:sz w:val="22"/>
          <w:szCs w:val="22"/>
          <w:highlight w:val="yellow"/>
          <w:lang w:val="en-GB"/>
        </w:rPr>
      </w:pPr>
      <w:r>
        <w:rPr>
          <w:rFonts w:ascii="Avenir Next" w:hAnsi="Avenir Next" w:cs="Arial"/>
          <w:sz w:val="22"/>
          <w:szCs w:val="22"/>
          <w:highlight w:val="yellow"/>
          <w:lang w:val="en-GB"/>
        </w:rPr>
        <w:t>In other words,</w:t>
      </w:r>
      <w:r w:rsidR="00745441" w:rsidRPr="00745441">
        <w:rPr>
          <w:rFonts w:ascii="Avenir Next" w:hAnsi="Avenir Next" w:cs="Arial"/>
          <w:sz w:val="22"/>
          <w:szCs w:val="22"/>
          <w:highlight w:val="yellow"/>
          <w:lang w:val="en-GB"/>
        </w:rPr>
        <w:t xml:space="preserve"> foreign creditors </w:t>
      </w:r>
      <w:r>
        <w:rPr>
          <w:rFonts w:ascii="Avenir Next" w:hAnsi="Avenir Next" w:cs="Arial"/>
          <w:sz w:val="22"/>
          <w:szCs w:val="22"/>
          <w:highlight w:val="yellow"/>
          <w:lang w:val="en-GB"/>
        </w:rPr>
        <w:t>and</w:t>
      </w:r>
      <w:r w:rsidR="00745441" w:rsidRPr="00745441">
        <w:rPr>
          <w:rFonts w:ascii="Avenir Next" w:hAnsi="Avenir Next" w:cs="Arial"/>
          <w:sz w:val="22"/>
          <w:szCs w:val="22"/>
          <w:highlight w:val="yellow"/>
          <w:lang w:val="en-GB"/>
        </w:rPr>
        <w:t xml:space="preserve"> </w:t>
      </w:r>
      <w:r>
        <w:rPr>
          <w:rFonts w:ascii="Avenir Next" w:hAnsi="Avenir Next" w:cs="Arial"/>
          <w:sz w:val="22"/>
          <w:szCs w:val="22"/>
          <w:highlight w:val="yellow"/>
          <w:lang w:val="en-GB"/>
        </w:rPr>
        <w:t>the local</w:t>
      </w:r>
      <w:r w:rsidR="00745441" w:rsidRPr="00745441">
        <w:rPr>
          <w:rFonts w:ascii="Avenir Next" w:hAnsi="Avenir Next" w:cs="Arial"/>
          <w:sz w:val="22"/>
          <w:szCs w:val="22"/>
          <w:highlight w:val="yellow"/>
          <w:lang w:val="en-GB"/>
        </w:rPr>
        <w:t xml:space="preserve"> creditors</w:t>
      </w:r>
      <w:r>
        <w:rPr>
          <w:rFonts w:ascii="Avenir Next" w:hAnsi="Avenir Next" w:cs="Arial"/>
          <w:sz w:val="22"/>
          <w:szCs w:val="22"/>
          <w:highlight w:val="yellow"/>
          <w:lang w:val="en-GB"/>
        </w:rPr>
        <w:t xml:space="preserve"> have equal treatment</w:t>
      </w:r>
      <w:r w:rsidR="00745441" w:rsidRPr="00745441">
        <w:rPr>
          <w:rFonts w:ascii="Avenir Next" w:hAnsi="Avenir Next" w:cs="Arial"/>
          <w:sz w:val="22"/>
          <w:szCs w:val="22"/>
          <w:highlight w:val="yellow"/>
          <w:lang w:val="en-GB"/>
        </w:rPr>
        <w:t>.</w:t>
      </w:r>
      <w:r w:rsidR="008275D2">
        <w:rPr>
          <w:rFonts w:ascii="Avenir Next" w:hAnsi="Avenir Next" w:cs="Arial"/>
          <w:sz w:val="22"/>
          <w:szCs w:val="22"/>
          <w:highlight w:val="yellow"/>
          <w:lang w:val="en-GB"/>
        </w:rPr>
        <w:t xml:space="preserve"> The same is the ranking of claims in the enacting state apply to both foreign creditors and local creditors (i.e. no lower priority given to foreign creditors</w:t>
      </w:r>
      <w:r w:rsidR="00C4372B">
        <w:rPr>
          <w:rFonts w:ascii="Avenir Next" w:hAnsi="Avenir Next" w:cs="Arial"/>
          <w:sz w:val="22"/>
          <w:szCs w:val="22"/>
          <w:highlight w:val="yellow"/>
          <w:lang w:val="en-GB"/>
        </w:rPr>
        <w:t xml:space="preserve"> due to the foreign nature</w:t>
      </w:r>
      <w:r w:rsidR="008275D2">
        <w:rPr>
          <w:rFonts w:ascii="Avenir Next" w:hAnsi="Avenir Next" w:cs="Arial"/>
          <w:sz w:val="22"/>
          <w:szCs w:val="22"/>
          <w:highlight w:val="yellow"/>
          <w:lang w:val="en-GB"/>
        </w:rPr>
        <w:t>).</w:t>
      </w:r>
    </w:p>
    <w:p w14:paraId="53633F26" w14:textId="77777777" w:rsidR="007142D6" w:rsidRPr="002E76AF" w:rsidRDefault="007142D6" w:rsidP="00707FC8">
      <w:pPr>
        <w:jc w:val="both"/>
        <w:rPr>
          <w:rFonts w:ascii="Avenir Next" w:hAnsi="Avenir Next" w:cs="Arial"/>
          <w:sz w:val="22"/>
          <w:szCs w:val="22"/>
          <w:highlight w:val="yellow"/>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Default="00100E8F" w:rsidP="00100E8F">
      <w:pPr>
        <w:jc w:val="both"/>
        <w:rPr>
          <w:rFonts w:ascii="Avenir Next" w:hAnsi="Avenir Next" w:cs="Arial"/>
          <w:sz w:val="22"/>
          <w:szCs w:val="28"/>
        </w:rPr>
      </w:pPr>
    </w:p>
    <w:p w14:paraId="432632BF" w14:textId="23469517" w:rsidR="003B3632" w:rsidRDefault="00D978A4" w:rsidP="00D978A4">
      <w:pPr>
        <w:jc w:val="both"/>
        <w:rPr>
          <w:rFonts w:ascii="Avenir Next" w:hAnsi="Avenir Next" w:cs="Arial"/>
          <w:bCs/>
          <w:sz w:val="22"/>
          <w:szCs w:val="22"/>
          <w:highlight w:val="yellow"/>
          <w:lang w:val="en-GB"/>
        </w:rPr>
      </w:pPr>
      <w:r w:rsidRPr="00D978A4">
        <w:rPr>
          <w:rFonts w:ascii="Avenir Next" w:hAnsi="Avenir Next" w:cs="Arial"/>
          <w:bCs/>
          <w:sz w:val="22"/>
          <w:szCs w:val="22"/>
          <w:highlight w:val="yellow"/>
          <w:lang w:val="en-GB"/>
        </w:rPr>
        <w:t xml:space="preserve">A foreign main proceeding is a proceeding taking place in the state where the debtor has </w:t>
      </w:r>
      <w:r w:rsidR="00E80292">
        <w:rPr>
          <w:rFonts w:ascii="Avenir Next" w:hAnsi="Avenir Next" w:cs="Arial"/>
          <w:bCs/>
          <w:sz w:val="22"/>
          <w:szCs w:val="22"/>
          <w:highlight w:val="yellow"/>
          <w:lang w:val="en-GB"/>
        </w:rPr>
        <w:t>COMI</w:t>
      </w:r>
      <w:r w:rsidRPr="00D978A4">
        <w:rPr>
          <w:rFonts w:ascii="Avenir Next" w:hAnsi="Avenir Next" w:cs="Arial"/>
          <w:bCs/>
          <w:sz w:val="22"/>
          <w:szCs w:val="22"/>
          <w:highlight w:val="yellow"/>
          <w:lang w:val="en-GB"/>
        </w:rPr>
        <w:t>. Upon recognition of a foreign main proceeding, certain relief becomes automatic, such as a stay of execution against the debtor’s assets.</w:t>
      </w:r>
    </w:p>
    <w:p w14:paraId="2440AE9C" w14:textId="77777777" w:rsidR="00D978A4" w:rsidRPr="00D978A4" w:rsidRDefault="00D978A4" w:rsidP="00D978A4">
      <w:pPr>
        <w:jc w:val="both"/>
        <w:rPr>
          <w:rFonts w:ascii="Avenir Next" w:hAnsi="Avenir Next" w:cs="Arial"/>
          <w:bCs/>
          <w:sz w:val="22"/>
          <w:szCs w:val="22"/>
          <w:highlight w:val="yellow"/>
          <w:lang w:val="en-GB"/>
        </w:rPr>
      </w:pPr>
    </w:p>
    <w:p w14:paraId="403D9517" w14:textId="6BEAC704" w:rsidR="007D1641" w:rsidRDefault="00C84EFA" w:rsidP="00D978A4">
      <w:pPr>
        <w:jc w:val="both"/>
        <w:rPr>
          <w:rFonts w:ascii="Avenir Next" w:hAnsi="Avenir Next" w:cs="Arial"/>
          <w:bCs/>
          <w:sz w:val="22"/>
          <w:szCs w:val="22"/>
          <w:highlight w:val="yellow"/>
          <w:lang w:val="en-GB"/>
        </w:rPr>
      </w:pPr>
      <w:r>
        <w:rPr>
          <w:rFonts w:ascii="Avenir Next" w:hAnsi="Avenir Next" w:cs="Arial"/>
          <w:bCs/>
          <w:sz w:val="22"/>
          <w:szCs w:val="22"/>
          <w:highlight w:val="yellow"/>
          <w:lang w:val="en-GB"/>
        </w:rPr>
        <w:t xml:space="preserve">Whereas a </w:t>
      </w:r>
      <w:r w:rsidR="00D978A4" w:rsidRPr="00D978A4">
        <w:rPr>
          <w:rFonts w:ascii="Avenir Next" w:hAnsi="Avenir Next" w:cs="Arial"/>
          <w:bCs/>
          <w:sz w:val="22"/>
          <w:szCs w:val="22"/>
          <w:highlight w:val="yellow"/>
          <w:lang w:val="en-GB"/>
        </w:rPr>
        <w:t xml:space="preserve">foreign non-main proceeding is a proceeding that takes place in a state where the debtor </w:t>
      </w:r>
      <w:r w:rsidR="00A1561C">
        <w:rPr>
          <w:rFonts w:ascii="Avenir Next" w:hAnsi="Avenir Next" w:cs="Arial"/>
          <w:bCs/>
          <w:sz w:val="22"/>
          <w:szCs w:val="22"/>
          <w:highlight w:val="yellow"/>
          <w:lang w:val="en-GB"/>
        </w:rPr>
        <w:t xml:space="preserve">only </w:t>
      </w:r>
      <w:r w:rsidR="00D978A4" w:rsidRPr="00D978A4">
        <w:rPr>
          <w:rFonts w:ascii="Avenir Next" w:hAnsi="Avenir Next" w:cs="Arial"/>
          <w:bCs/>
          <w:sz w:val="22"/>
          <w:szCs w:val="22"/>
          <w:highlight w:val="yellow"/>
          <w:lang w:val="en-GB"/>
        </w:rPr>
        <w:t>has an establishment. The relief available in the case of a foreign non-main proceeding is not automatic but is at the discretion of the court.</w:t>
      </w:r>
    </w:p>
    <w:p w14:paraId="25B9D56F" w14:textId="77777777" w:rsidR="002F1077" w:rsidRDefault="002F1077" w:rsidP="00D978A4">
      <w:pPr>
        <w:jc w:val="both"/>
        <w:rPr>
          <w:rFonts w:ascii="Avenir Next" w:hAnsi="Avenir Next" w:cs="Arial"/>
          <w:bCs/>
          <w:sz w:val="22"/>
          <w:szCs w:val="22"/>
          <w:highlight w:val="yellow"/>
          <w:lang w:val="en-GB"/>
        </w:rPr>
      </w:pPr>
    </w:p>
    <w:p w14:paraId="39459EDA" w14:textId="3293E2E4" w:rsidR="002F1077" w:rsidRDefault="002F1077" w:rsidP="002F1077">
      <w:pPr>
        <w:jc w:val="both"/>
        <w:rPr>
          <w:rFonts w:ascii="Avenir Next" w:hAnsi="Avenir Next" w:cs="Arial"/>
          <w:bCs/>
          <w:sz w:val="22"/>
          <w:szCs w:val="22"/>
          <w:highlight w:val="yellow"/>
          <w:lang w:val="en-GB"/>
        </w:rPr>
      </w:pPr>
      <w:r>
        <w:rPr>
          <w:rFonts w:ascii="Avenir Next" w:hAnsi="Avenir Next" w:cs="Arial"/>
          <w:bCs/>
          <w:sz w:val="22"/>
          <w:szCs w:val="22"/>
          <w:highlight w:val="yellow"/>
          <w:lang w:val="en-GB"/>
        </w:rPr>
        <w:lastRenderedPageBreak/>
        <w:t>If the f</w:t>
      </w:r>
      <w:r>
        <w:rPr>
          <w:rFonts w:ascii="Avenir Next" w:hAnsi="Avenir Next" w:cs="Arial"/>
          <w:bCs/>
          <w:sz w:val="22"/>
          <w:szCs w:val="22"/>
          <w:highlight w:val="yellow"/>
          <w:lang w:val="en-GB"/>
        </w:rPr>
        <w:t>oreign main proceeding was recognised first in the enacting state, any relief granted</w:t>
      </w:r>
      <w:r w:rsidR="00E43051">
        <w:rPr>
          <w:rFonts w:ascii="Avenir Next" w:hAnsi="Avenir Next" w:cs="Arial"/>
          <w:bCs/>
          <w:sz w:val="22"/>
          <w:szCs w:val="22"/>
          <w:highlight w:val="yellow"/>
          <w:lang w:val="en-GB"/>
        </w:rPr>
        <w:t xml:space="preserve"> </w:t>
      </w:r>
      <w:r w:rsidR="0006191A">
        <w:rPr>
          <w:rFonts w:ascii="Avenir Next" w:hAnsi="Avenir Next" w:cs="Arial"/>
          <w:bCs/>
          <w:sz w:val="22"/>
          <w:szCs w:val="22"/>
          <w:highlight w:val="yellow"/>
          <w:lang w:val="en-GB"/>
        </w:rPr>
        <w:t xml:space="preserve">thereafter </w:t>
      </w:r>
      <w:r w:rsidR="00E43051">
        <w:rPr>
          <w:rFonts w:ascii="Avenir Next" w:hAnsi="Avenir Next" w:cs="Arial"/>
          <w:bCs/>
          <w:sz w:val="22"/>
          <w:szCs w:val="22"/>
          <w:highlight w:val="yellow"/>
          <w:lang w:val="en-GB"/>
        </w:rPr>
        <w:t xml:space="preserve">from Article 19 </w:t>
      </w:r>
      <w:r w:rsidR="00D54137">
        <w:rPr>
          <w:rFonts w:ascii="Avenir Next" w:hAnsi="Avenir Next" w:cs="Arial"/>
          <w:bCs/>
          <w:sz w:val="22"/>
          <w:szCs w:val="22"/>
          <w:highlight w:val="yellow"/>
          <w:lang w:val="en-GB"/>
        </w:rPr>
        <w:t>and Article 21</w:t>
      </w:r>
      <w:r>
        <w:rPr>
          <w:rFonts w:ascii="Avenir Next" w:hAnsi="Avenir Next" w:cs="Arial"/>
          <w:bCs/>
          <w:sz w:val="22"/>
          <w:szCs w:val="22"/>
          <w:highlight w:val="yellow"/>
          <w:lang w:val="en-GB"/>
        </w:rPr>
        <w:t xml:space="preserve"> </w:t>
      </w:r>
      <w:r w:rsidR="00E43051">
        <w:rPr>
          <w:rFonts w:ascii="Avenir Next" w:hAnsi="Avenir Next" w:cs="Arial"/>
          <w:bCs/>
          <w:sz w:val="22"/>
          <w:szCs w:val="22"/>
          <w:highlight w:val="yellow"/>
          <w:lang w:val="en-GB"/>
        </w:rPr>
        <w:t>to a representative of foreign non-main proceeding must be consistent with the foreign main proceeding.</w:t>
      </w:r>
    </w:p>
    <w:p w14:paraId="3EEBD468" w14:textId="77777777" w:rsidR="002F1077" w:rsidRDefault="002F1077" w:rsidP="002F1077">
      <w:pPr>
        <w:jc w:val="both"/>
        <w:rPr>
          <w:rFonts w:ascii="Avenir Next" w:hAnsi="Avenir Next" w:cs="Arial"/>
          <w:bCs/>
          <w:sz w:val="22"/>
          <w:szCs w:val="22"/>
          <w:highlight w:val="yellow"/>
          <w:lang w:val="en-GB"/>
        </w:rPr>
      </w:pPr>
    </w:p>
    <w:p w14:paraId="784070FF" w14:textId="77777777" w:rsidR="002F1077" w:rsidRPr="00D978A4" w:rsidRDefault="002F1077" w:rsidP="002F1077">
      <w:pPr>
        <w:jc w:val="both"/>
        <w:rPr>
          <w:rFonts w:ascii="Avenir Next" w:hAnsi="Avenir Next" w:cs="Arial"/>
          <w:bCs/>
          <w:sz w:val="22"/>
          <w:szCs w:val="22"/>
          <w:highlight w:val="yellow"/>
          <w:lang w:val="en-GB"/>
        </w:rPr>
      </w:pPr>
      <w:r>
        <w:rPr>
          <w:rFonts w:ascii="Avenir Next" w:hAnsi="Avenir Next" w:cs="Arial"/>
          <w:bCs/>
          <w:sz w:val="22"/>
          <w:szCs w:val="22"/>
          <w:highlight w:val="yellow"/>
          <w:lang w:val="en-GB"/>
        </w:rPr>
        <w:t>In terms of the hierarchy of proceedings, foreign main proceeding is given primacy as opposed to foreign non-main proceeding.</w:t>
      </w:r>
    </w:p>
    <w:p w14:paraId="0C6C7EB5" w14:textId="77777777" w:rsidR="002F1077" w:rsidRPr="00B85976" w:rsidRDefault="002F1077" w:rsidP="00D978A4">
      <w:pPr>
        <w:jc w:val="both"/>
        <w:rPr>
          <w:rFonts w:ascii="Avenir Next" w:hAnsi="Avenir Next" w:cs="Arial"/>
          <w:bCs/>
          <w:sz w:val="22"/>
          <w:szCs w:val="22"/>
          <w:highlight w:val="yellow"/>
          <w:lang w:val="en-GB"/>
        </w:rPr>
      </w:pPr>
    </w:p>
    <w:p w14:paraId="6D1A46B7" w14:textId="77777777" w:rsidR="00D978A4" w:rsidRPr="00E2622D" w:rsidRDefault="00D978A4" w:rsidP="00D978A4">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Pr="00826C90" w:rsidRDefault="00D84150" w:rsidP="00283070">
      <w:pPr>
        <w:jc w:val="both"/>
        <w:rPr>
          <w:rFonts w:ascii="Avenir Next" w:hAnsi="Avenir Next" w:cs="Arial"/>
          <w:sz w:val="22"/>
          <w:szCs w:val="28"/>
          <w:lang w:val="en-GB"/>
        </w:rPr>
      </w:pPr>
      <w:r w:rsidRPr="00826C90">
        <w:rPr>
          <w:rFonts w:ascii="Avenir Next" w:hAnsi="Avenir Next" w:cs="Arial"/>
          <w:sz w:val="22"/>
          <w:szCs w:val="28"/>
        </w:rPr>
        <w:t>A</w:t>
      </w:r>
      <w:r w:rsidRPr="00826C90">
        <w:rPr>
          <w:rFonts w:ascii="Avenir Next" w:hAnsi="Avenir Next" w:cs="Arial"/>
          <w:sz w:val="22"/>
          <w:szCs w:val="28"/>
          <w:lang w:val="en-GB"/>
        </w:rPr>
        <w:t xml:space="preserve">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826C90" w:rsidRDefault="00C550C8" w:rsidP="00283070">
      <w:pPr>
        <w:jc w:val="both"/>
        <w:rPr>
          <w:rFonts w:ascii="Avenir Next" w:hAnsi="Avenir Next" w:cs="Arial"/>
          <w:sz w:val="22"/>
          <w:szCs w:val="22"/>
          <w:lang w:val="en-GB"/>
        </w:rPr>
      </w:pPr>
    </w:p>
    <w:p w14:paraId="67CBAC25" w14:textId="1806892B" w:rsidR="00283070" w:rsidRPr="00283070" w:rsidRDefault="002A09F8" w:rsidP="00283070">
      <w:pPr>
        <w:jc w:val="both"/>
        <w:rPr>
          <w:rFonts w:ascii="Avenir Next" w:hAnsi="Avenir Next" w:cs="Arial"/>
          <w:sz w:val="22"/>
          <w:szCs w:val="22"/>
          <w:highlight w:val="yellow"/>
          <w:lang w:val="en-GB"/>
        </w:rPr>
      </w:pPr>
      <w:r>
        <w:rPr>
          <w:rFonts w:ascii="Avenir Next" w:hAnsi="Avenir Next" w:cs="Arial"/>
          <w:sz w:val="22"/>
          <w:szCs w:val="22"/>
          <w:highlight w:val="yellow"/>
          <w:lang w:val="en-GB"/>
        </w:rPr>
        <w:t>According to MLCBI, t</w:t>
      </w:r>
      <w:r w:rsidR="00283070" w:rsidRPr="00283070">
        <w:rPr>
          <w:rFonts w:ascii="Avenir Next" w:hAnsi="Avenir Next" w:cs="Arial"/>
          <w:sz w:val="22"/>
          <w:szCs w:val="22"/>
          <w:highlight w:val="yellow"/>
          <w:lang w:val="en-GB"/>
        </w:rPr>
        <w:t xml:space="preserve">he foreign proceedings </w:t>
      </w:r>
      <w:r>
        <w:rPr>
          <w:rFonts w:ascii="Avenir Next" w:hAnsi="Avenir Next" w:cs="Arial"/>
          <w:sz w:val="22"/>
          <w:szCs w:val="22"/>
          <w:highlight w:val="yellow"/>
          <w:lang w:val="en-GB"/>
        </w:rPr>
        <w:t>must have</w:t>
      </w:r>
      <w:r w:rsidR="00283070" w:rsidRPr="00283070">
        <w:rPr>
          <w:rFonts w:ascii="Avenir Next" w:hAnsi="Avenir Next" w:cs="Arial"/>
          <w:sz w:val="22"/>
          <w:szCs w:val="22"/>
          <w:highlight w:val="yellow"/>
          <w:lang w:val="en-GB"/>
        </w:rPr>
        <w:t xml:space="preserve"> been filed in the </w:t>
      </w:r>
      <w:r>
        <w:rPr>
          <w:rFonts w:ascii="Avenir Next" w:hAnsi="Avenir Next" w:cs="Arial"/>
          <w:sz w:val="22"/>
          <w:szCs w:val="22"/>
          <w:highlight w:val="yellow"/>
          <w:lang w:val="en-GB"/>
        </w:rPr>
        <w:t>states</w:t>
      </w:r>
      <w:r w:rsidR="00283070" w:rsidRPr="00283070">
        <w:rPr>
          <w:rFonts w:ascii="Avenir Next" w:hAnsi="Avenir Next" w:cs="Arial"/>
          <w:sz w:val="22"/>
          <w:szCs w:val="22"/>
          <w:highlight w:val="yellow"/>
          <w:lang w:val="en-GB"/>
        </w:rPr>
        <w:t xml:space="preserve"> where the debtor has COMI </w:t>
      </w:r>
      <w:r>
        <w:rPr>
          <w:rFonts w:ascii="Avenir Next" w:hAnsi="Avenir Next" w:cs="Arial"/>
          <w:sz w:val="22"/>
          <w:szCs w:val="22"/>
          <w:highlight w:val="yellow"/>
          <w:lang w:val="en-GB"/>
        </w:rPr>
        <w:t xml:space="preserve">and other states that debtor has </w:t>
      </w:r>
      <w:r w:rsidR="00283070" w:rsidRPr="00283070">
        <w:rPr>
          <w:rFonts w:ascii="Avenir Next" w:hAnsi="Avenir Next" w:cs="Arial"/>
          <w:sz w:val="22"/>
          <w:szCs w:val="22"/>
          <w:highlight w:val="yellow"/>
          <w:lang w:val="en-GB"/>
        </w:rPr>
        <w:t>an establishment.</w:t>
      </w:r>
    </w:p>
    <w:p w14:paraId="0B97FA03" w14:textId="77777777" w:rsidR="00283070" w:rsidRPr="00283070" w:rsidRDefault="00283070" w:rsidP="00283070">
      <w:pPr>
        <w:jc w:val="both"/>
        <w:rPr>
          <w:rFonts w:ascii="Avenir Next" w:hAnsi="Avenir Next" w:cs="Arial"/>
          <w:sz w:val="22"/>
          <w:szCs w:val="22"/>
          <w:highlight w:val="yellow"/>
          <w:lang w:val="en-GB"/>
        </w:rPr>
      </w:pPr>
    </w:p>
    <w:p w14:paraId="34E31653" w14:textId="3C856280" w:rsidR="00283070" w:rsidRPr="00283070" w:rsidRDefault="00283070" w:rsidP="00283070">
      <w:pPr>
        <w:jc w:val="both"/>
        <w:rPr>
          <w:rFonts w:ascii="Avenir Next" w:hAnsi="Avenir Next" w:cs="Arial"/>
          <w:sz w:val="22"/>
          <w:szCs w:val="22"/>
          <w:highlight w:val="yellow"/>
          <w:lang w:val="en-GB"/>
        </w:rPr>
      </w:pPr>
      <w:r w:rsidRPr="00283070">
        <w:rPr>
          <w:rFonts w:ascii="Avenir Next" w:hAnsi="Avenir Next" w:cs="Arial"/>
          <w:sz w:val="22"/>
          <w:szCs w:val="22"/>
          <w:highlight w:val="yellow"/>
          <w:lang w:val="en-GB"/>
        </w:rPr>
        <w:t xml:space="preserve">The foreign main proceeding </w:t>
      </w:r>
      <w:r w:rsidR="002A09F8">
        <w:rPr>
          <w:rFonts w:ascii="Avenir Next" w:hAnsi="Avenir Next" w:cs="Arial"/>
          <w:sz w:val="22"/>
          <w:szCs w:val="22"/>
          <w:highlight w:val="yellow"/>
          <w:lang w:val="en-GB"/>
        </w:rPr>
        <w:t>must</w:t>
      </w:r>
      <w:r w:rsidRPr="00283070">
        <w:rPr>
          <w:rFonts w:ascii="Avenir Next" w:hAnsi="Avenir Next" w:cs="Arial"/>
          <w:sz w:val="22"/>
          <w:szCs w:val="22"/>
          <w:highlight w:val="yellow"/>
          <w:lang w:val="en-GB"/>
        </w:rPr>
        <w:t xml:space="preserve"> have been filed in </w:t>
      </w:r>
      <w:r w:rsidR="002A09F8">
        <w:rPr>
          <w:rFonts w:ascii="Avenir Next" w:hAnsi="Avenir Next" w:cs="Arial"/>
          <w:sz w:val="22"/>
          <w:szCs w:val="22"/>
          <w:highlight w:val="yellow"/>
          <w:lang w:val="en-GB"/>
        </w:rPr>
        <w:t xml:space="preserve">the state where debtor has COMI, i.e. </w:t>
      </w:r>
      <w:r w:rsidRPr="00283070">
        <w:rPr>
          <w:rFonts w:ascii="Avenir Next" w:hAnsi="Avenir Next" w:cs="Arial"/>
          <w:sz w:val="22"/>
          <w:szCs w:val="22"/>
          <w:highlight w:val="yellow"/>
          <w:lang w:val="en-GB"/>
        </w:rPr>
        <w:t xml:space="preserve">Germany. </w:t>
      </w:r>
    </w:p>
    <w:p w14:paraId="06DC44EC" w14:textId="34C3C876" w:rsidR="00283070" w:rsidRPr="00283070" w:rsidRDefault="00283070" w:rsidP="00283070">
      <w:pPr>
        <w:jc w:val="both"/>
        <w:rPr>
          <w:rFonts w:ascii="Avenir Next" w:hAnsi="Avenir Next" w:cs="Arial"/>
          <w:sz w:val="22"/>
          <w:szCs w:val="22"/>
          <w:highlight w:val="yellow"/>
          <w:lang w:val="en-GB"/>
        </w:rPr>
      </w:pPr>
      <w:r w:rsidRPr="00283070">
        <w:rPr>
          <w:rFonts w:ascii="Avenir Next" w:hAnsi="Avenir Next" w:cs="Arial"/>
          <w:sz w:val="22"/>
          <w:szCs w:val="22"/>
          <w:highlight w:val="yellow"/>
          <w:lang w:val="en-GB"/>
        </w:rPr>
        <w:t xml:space="preserve">The foreign non-main proceeding </w:t>
      </w:r>
      <w:r w:rsidR="00733EDE">
        <w:rPr>
          <w:rFonts w:ascii="Avenir Next" w:hAnsi="Avenir Next" w:cs="Arial"/>
          <w:sz w:val="22"/>
          <w:szCs w:val="22"/>
          <w:highlight w:val="yellow"/>
          <w:lang w:val="en-GB"/>
        </w:rPr>
        <w:t>must</w:t>
      </w:r>
      <w:r w:rsidRPr="00283070">
        <w:rPr>
          <w:rFonts w:ascii="Avenir Next" w:hAnsi="Avenir Next" w:cs="Arial"/>
          <w:sz w:val="22"/>
          <w:szCs w:val="22"/>
          <w:highlight w:val="yellow"/>
          <w:lang w:val="en-GB"/>
        </w:rPr>
        <w:t xml:space="preserve"> have been filed in Bermuda</w:t>
      </w:r>
      <w:r w:rsidR="00733EDE">
        <w:rPr>
          <w:rFonts w:ascii="Avenir Next" w:hAnsi="Avenir Next" w:cs="Arial"/>
          <w:sz w:val="22"/>
          <w:szCs w:val="22"/>
          <w:highlight w:val="yellow"/>
          <w:lang w:val="en-GB"/>
        </w:rPr>
        <w:t xml:space="preserve"> </w:t>
      </w:r>
      <w:r w:rsidRPr="00283070">
        <w:rPr>
          <w:rFonts w:ascii="Avenir Next" w:hAnsi="Avenir Next" w:cs="Arial"/>
          <w:sz w:val="22"/>
          <w:szCs w:val="22"/>
          <w:highlight w:val="yellow"/>
          <w:lang w:val="en-GB"/>
        </w:rPr>
        <w:t>where debtor has an establishment</w:t>
      </w:r>
      <w:r w:rsidR="00F50FA1">
        <w:rPr>
          <w:rFonts w:ascii="Avenir Next" w:hAnsi="Avenir Next" w:cs="Arial"/>
          <w:sz w:val="22"/>
          <w:szCs w:val="22"/>
          <w:highlight w:val="yellow"/>
          <w:lang w:val="en-GB"/>
        </w:rPr>
        <w:t>,</w:t>
      </w:r>
      <w:r w:rsidR="003E2A79">
        <w:rPr>
          <w:rFonts w:ascii="Avenir Next" w:hAnsi="Avenir Next" w:cs="Arial"/>
          <w:sz w:val="22"/>
          <w:szCs w:val="22"/>
          <w:highlight w:val="yellow"/>
          <w:lang w:val="en-GB"/>
        </w:rPr>
        <w:t xml:space="preserve"> i.e. where</w:t>
      </w:r>
      <w:r w:rsidRPr="00283070">
        <w:rPr>
          <w:rFonts w:ascii="Avenir Next" w:hAnsi="Avenir Next" w:cs="Arial"/>
          <w:sz w:val="22"/>
          <w:szCs w:val="22"/>
          <w:highlight w:val="yellow"/>
          <w:lang w:val="en-GB"/>
        </w:rPr>
        <w:t xml:space="preserve"> debtor carries out a non-transitory economic activity.</w:t>
      </w:r>
    </w:p>
    <w:p w14:paraId="4B4CD23F" w14:textId="77777777" w:rsidR="00283070" w:rsidRPr="00283070" w:rsidRDefault="00283070" w:rsidP="00283070">
      <w:pPr>
        <w:jc w:val="both"/>
        <w:rPr>
          <w:rFonts w:ascii="Avenir Next" w:hAnsi="Avenir Next" w:cs="Arial"/>
          <w:sz w:val="22"/>
          <w:szCs w:val="22"/>
          <w:highlight w:val="yellow"/>
          <w:lang w:val="en-GB"/>
        </w:rPr>
      </w:pPr>
    </w:p>
    <w:p w14:paraId="15D1A2A3" w14:textId="77777777" w:rsidR="0078354E" w:rsidRDefault="00283070" w:rsidP="00283070">
      <w:pPr>
        <w:jc w:val="both"/>
        <w:rPr>
          <w:rFonts w:ascii="Avenir Next" w:hAnsi="Avenir Next" w:cs="Arial"/>
          <w:sz w:val="22"/>
          <w:szCs w:val="22"/>
          <w:highlight w:val="yellow"/>
          <w:lang w:val="en-GB"/>
        </w:rPr>
      </w:pPr>
      <w:r w:rsidRPr="00283070">
        <w:rPr>
          <w:rFonts w:ascii="Avenir Next" w:hAnsi="Avenir Next" w:cs="Arial"/>
          <w:sz w:val="22"/>
          <w:szCs w:val="22"/>
          <w:highlight w:val="yellow"/>
          <w:lang w:val="en-GB"/>
        </w:rPr>
        <w:t xml:space="preserve">The recognition proceedings </w:t>
      </w:r>
      <w:r w:rsidR="00C931A2">
        <w:rPr>
          <w:rFonts w:ascii="Avenir Next" w:hAnsi="Avenir Next" w:cs="Arial"/>
          <w:sz w:val="22"/>
          <w:szCs w:val="22"/>
          <w:highlight w:val="yellow"/>
          <w:lang w:val="en-GB"/>
        </w:rPr>
        <w:t>were</w:t>
      </w:r>
      <w:r w:rsidRPr="00283070">
        <w:rPr>
          <w:rFonts w:ascii="Avenir Next" w:hAnsi="Avenir Next" w:cs="Arial"/>
          <w:sz w:val="22"/>
          <w:szCs w:val="22"/>
          <w:highlight w:val="yellow"/>
          <w:lang w:val="en-GB"/>
        </w:rPr>
        <w:t xml:space="preserve"> opened in the United States</w:t>
      </w:r>
      <w:r w:rsidR="00C931A2">
        <w:rPr>
          <w:rFonts w:ascii="Avenir Next" w:hAnsi="Avenir Next" w:cs="Arial"/>
          <w:sz w:val="22"/>
          <w:szCs w:val="22"/>
          <w:highlight w:val="yellow"/>
          <w:lang w:val="en-GB"/>
        </w:rPr>
        <w:t xml:space="preserve"> and to </w:t>
      </w:r>
      <w:r w:rsidRPr="00283070">
        <w:rPr>
          <w:rFonts w:ascii="Avenir Next" w:hAnsi="Avenir Next" w:cs="Arial"/>
          <w:sz w:val="22"/>
          <w:szCs w:val="22"/>
          <w:highlight w:val="yellow"/>
          <w:lang w:val="en-GB"/>
        </w:rPr>
        <w:t>determine whether the foreign proceedings should be recognized and what type of relief, if any, should be granted.</w:t>
      </w:r>
      <w:r w:rsidR="002C06E6">
        <w:rPr>
          <w:rFonts w:ascii="Avenir Next" w:hAnsi="Avenir Next" w:cs="Arial"/>
          <w:sz w:val="22"/>
          <w:szCs w:val="22"/>
          <w:highlight w:val="yellow"/>
          <w:lang w:val="en-GB"/>
        </w:rPr>
        <w:t xml:space="preserve"> </w:t>
      </w:r>
      <w:r w:rsidRPr="00283070">
        <w:rPr>
          <w:rFonts w:ascii="Avenir Next" w:hAnsi="Avenir Next" w:cs="Arial"/>
          <w:sz w:val="22"/>
          <w:szCs w:val="22"/>
          <w:highlight w:val="yellow"/>
          <w:lang w:val="en-GB"/>
        </w:rPr>
        <w:t xml:space="preserve">The result would depend on the specific circumstances of the case, including the nature of the debtor’s assets, the claims of the creditors, and the laws of the involved jurisdictions. </w:t>
      </w:r>
    </w:p>
    <w:p w14:paraId="41BB05C3" w14:textId="77777777" w:rsidR="0078354E" w:rsidRDefault="0078354E" w:rsidP="00283070">
      <w:pPr>
        <w:jc w:val="both"/>
        <w:rPr>
          <w:rFonts w:ascii="Avenir Next" w:hAnsi="Avenir Next" w:cs="Arial"/>
          <w:sz w:val="22"/>
          <w:szCs w:val="22"/>
          <w:highlight w:val="yellow"/>
          <w:lang w:val="en-GB"/>
        </w:rPr>
      </w:pPr>
    </w:p>
    <w:p w14:paraId="7E1E4077" w14:textId="26590FAC" w:rsidR="00A446D0" w:rsidRPr="002C06E6" w:rsidRDefault="00AB0BBC" w:rsidP="00283070">
      <w:pPr>
        <w:jc w:val="both"/>
        <w:rPr>
          <w:rFonts w:ascii="Avenir Next" w:hAnsi="Avenir Next" w:cs="Arial"/>
          <w:sz w:val="22"/>
          <w:szCs w:val="22"/>
          <w:highlight w:val="yellow"/>
          <w:lang w:val="en-GB"/>
        </w:rPr>
      </w:pPr>
      <w:r>
        <w:rPr>
          <w:rFonts w:ascii="Avenir Next" w:hAnsi="Avenir Next" w:cs="Arial"/>
          <w:sz w:val="22"/>
          <w:szCs w:val="22"/>
          <w:highlight w:val="yellow"/>
          <w:lang w:val="en-GB"/>
        </w:rPr>
        <w:t>Generally</w:t>
      </w:r>
      <w:r w:rsidR="00283070" w:rsidRPr="00283070">
        <w:rPr>
          <w:rFonts w:ascii="Avenir Next" w:hAnsi="Avenir Next" w:cs="Arial"/>
          <w:sz w:val="22"/>
          <w:szCs w:val="22"/>
          <w:highlight w:val="yellow"/>
          <w:lang w:val="en-GB"/>
        </w:rPr>
        <w:t>, upon recognition of the foreign main and non-main proceedings, the US court may grant a variety of reliefs such as a stay of execution against the debtor’s assets, entrusting the administration or realization of the debtor’s assets located in the US to the foreign representative, or suspending the right to transfer or encumber the debtor’s assets. The exact reliefs would be at the discretion of the US court.</w:t>
      </w:r>
    </w:p>
    <w:p w14:paraId="4046D299" w14:textId="77777777" w:rsidR="00D978A4" w:rsidRPr="00E2622D" w:rsidRDefault="00D978A4" w:rsidP="00A446D0">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33DEFDC" w14:textId="79019F06" w:rsidR="00834BB7" w:rsidRPr="00834BB7" w:rsidRDefault="00FC1EDA" w:rsidP="00DF3B3C">
      <w:pPr>
        <w:jc w:val="both"/>
        <w:rPr>
          <w:rFonts w:ascii="Avenir Next" w:hAnsi="Avenir Next" w:cs="Arial"/>
          <w:sz w:val="22"/>
          <w:szCs w:val="22"/>
          <w:highlight w:val="yellow"/>
          <w:shd w:val="clear" w:color="auto" w:fill="FFFFFF"/>
          <w:lang w:val="en-GB"/>
        </w:rPr>
      </w:pPr>
      <w:r>
        <w:rPr>
          <w:rFonts w:ascii="Avenir Next" w:hAnsi="Avenir Next" w:cs="Arial"/>
          <w:sz w:val="22"/>
          <w:szCs w:val="22"/>
          <w:highlight w:val="yellow"/>
          <w:shd w:val="clear" w:color="auto" w:fill="FFFFFF"/>
          <w:lang w:val="en-GB"/>
        </w:rPr>
        <w:t>T</w:t>
      </w:r>
      <w:r w:rsidR="00834BB7" w:rsidRPr="00834BB7">
        <w:rPr>
          <w:rFonts w:ascii="Avenir Next" w:hAnsi="Avenir Next" w:cs="Arial"/>
          <w:sz w:val="22"/>
          <w:szCs w:val="22"/>
          <w:highlight w:val="yellow"/>
          <w:shd w:val="clear" w:color="auto" w:fill="FFFFFF"/>
          <w:lang w:val="en-GB"/>
        </w:rPr>
        <w:t xml:space="preserve">he joint provisional liquidators have commenced a recognition proceeding in the US </w:t>
      </w:r>
      <w:r w:rsidR="00AA3821">
        <w:rPr>
          <w:rFonts w:ascii="Avenir Next" w:hAnsi="Avenir Next" w:cs="Arial"/>
          <w:sz w:val="22"/>
          <w:szCs w:val="22"/>
          <w:highlight w:val="yellow"/>
          <w:shd w:val="clear" w:color="auto" w:fill="FFFFFF"/>
          <w:lang w:val="en-GB"/>
        </w:rPr>
        <w:t>(</w:t>
      </w:r>
      <w:r w:rsidR="00834BB7" w:rsidRPr="00834BB7">
        <w:rPr>
          <w:rFonts w:ascii="Avenir Next" w:hAnsi="Avenir Next" w:cs="Arial"/>
          <w:sz w:val="22"/>
          <w:szCs w:val="22"/>
          <w:highlight w:val="yellow"/>
          <w:shd w:val="clear" w:color="auto" w:fill="FFFFFF"/>
          <w:lang w:val="en-GB"/>
        </w:rPr>
        <w:t>Chapter 15 of the US Bankruptcy Code</w:t>
      </w:r>
      <w:r w:rsidR="00AA3821">
        <w:rPr>
          <w:rFonts w:ascii="Avenir Next" w:hAnsi="Avenir Next" w:cs="Arial"/>
          <w:sz w:val="22"/>
          <w:szCs w:val="22"/>
          <w:highlight w:val="yellow"/>
          <w:shd w:val="clear" w:color="auto" w:fill="FFFFFF"/>
          <w:lang w:val="en-GB"/>
        </w:rPr>
        <w:t>)</w:t>
      </w:r>
      <w:r w:rsidR="00834BB7" w:rsidRPr="00834BB7">
        <w:rPr>
          <w:rFonts w:ascii="Avenir Next" w:hAnsi="Avenir Next" w:cs="Arial"/>
          <w:sz w:val="22"/>
          <w:szCs w:val="22"/>
          <w:highlight w:val="yellow"/>
          <w:shd w:val="clear" w:color="auto" w:fill="FFFFFF"/>
          <w:lang w:val="en-GB"/>
        </w:rPr>
        <w:t>.</w:t>
      </w:r>
      <w:r w:rsidR="00EE6C40">
        <w:rPr>
          <w:rFonts w:ascii="Avenir Next" w:hAnsi="Avenir Next" w:cs="Arial"/>
          <w:sz w:val="22"/>
          <w:szCs w:val="22"/>
          <w:highlight w:val="yellow"/>
          <w:shd w:val="clear" w:color="auto" w:fill="FFFFFF"/>
          <w:lang w:val="en-GB"/>
        </w:rPr>
        <w:t xml:space="preserve"> They </w:t>
      </w:r>
      <w:r w:rsidR="00834BB7" w:rsidRPr="00834BB7">
        <w:rPr>
          <w:rFonts w:ascii="Avenir Next" w:hAnsi="Avenir Next" w:cs="Arial"/>
          <w:sz w:val="22"/>
          <w:szCs w:val="22"/>
          <w:highlight w:val="yellow"/>
          <w:shd w:val="clear" w:color="auto" w:fill="FFFFFF"/>
          <w:lang w:val="en-GB"/>
        </w:rPr>
        <w:t xml:space="preserve">were sued and served with discovery in </w:t>
      </w:r>
      <w:r w:rsidR="007E7927">
        <w:rPr>
          <w:rFonts w:ascii="Avenir Next" w:hAnsi="Avenir Next" w:cs="Arial"/>
          <w:sz w:val="22"/>
          <w:szCs w:val="22"/>
          <w:highlight w:val="yellow"/>
          <w:shd w:val="clear" w:color="auto" w:fill="FFFFFF"/>
          <w:lang w:val="en-GB"/>
        </w:rPr>
        <w:t xml:space="preserve">relation to </w:t>
      </w:r>
      <w:r w:rsidR="00834BB7" w:rsidRPr="00834BB7">
        <w:rPr>
          <w:rFonts w:ascii="Avenir Next" w:hAnsi="Avenir Next" w:cs="Arial"/>
          <w:sz w:val="22"/>
          <w:szCs w:val="22"/>
          <w:highlight w:val="yellow"/>
          <w:shd w:val="clear" w:color="auto" w:fill="FFFFFF"/>
          <w:lang w:val="en-GB"/>
        </w:rPr>
        <w:t xml:space="preserve">their alleged tortious interference with contract rights of the US-based vendors of the foreign debtor. </w:t>
      </w:r>
    </w:p>
    <w:p w14:paraId="6A279A58" w14:textId="77777777" w:rsidR="00834BB7" w:rsidRPr="00834BB7" w:rsidRDefault="00834BB7" w:rsidP="00834BB7">
      <w:pPr>
        <w:jc w:val="both"/>
        <w:rPr>
          <w:rFonts w:ascii="Avenir Next" w:hAnsi="Avenir Next" w:cs="Arial"/>
          <w:sz w:val="22"/>
          <w:szCs w:val="22"/>
          <w:highlight w:val="yellow"/>
          <w:shd w:val="clear" w:color="auto" w:fill="FFFFFF"/>
          <w:lang w:val="en-GB"/>
        </w:rPr>
      </w:pPr>
    </w:p>
    <w:p w14:paraId="0C59107E" w14:textId="4B2FA700" w:rsidR="00834BB7" w:rsidRDefault="00B00486" w:rsidP="00834BB7">
      <w:pPr>
        <w:jc w:val="both"/>
        <w:rPr>
          <w:rFonts w:ascii="Avenir Next" w:hAnsi="Avenir Next" w:cs="Arial"/>
          <w:sz w:val="22"/>
          <w:szCs w:val="22"/>
          <w:highlight w:val="yellow"/>
          <w:shd w:val="clear" w:color="auto" w:fill="FFFFFF"/>
          <w:lang w:val="en-GB"/>
        </w:rPr>
      </w:pPr>
      <w:r>
        <w:rPr>
          <w:rFonts w:ascii="Avenir Next" w:hAnsi="Avenir Next" w:cs="Arial"/>
          <w:sz w:val="22"/>
          <w:szCs w:val="22"/>
          <w:highlight w:val="yellow"/>
          <w:shd w:val="clear" w:color="auto" w:fill="FFFFFF"/>
          <w:lang w:val="en-GB"/>
        </w:rPr>
        <w:t>It’s likely that t</w:t>
      </w:r>
      <w:r w:rsidR="00834BB7" w:rsidRPr="00834BB7">
        <w:rPr>
          <w:rFonts w:ascii="Avenir Next" w:hAnsi="Avenir Next" w:cs="Arial"/>
          <w:sz w:val="22"/>
          <w:szCs w:val="22"/>
          <w:highlight w:val="yellow"/>
          <w:shd w:val="clear" w:color="auto" w:fill="FFFFFF"/>
          <w:lang w:val="en-GB"/>
        </w:rPr>
        <w:t>he US court will first</w:t>
      </w:r>
      <w:r>
        <w:rPr>
          <w:rFonts w:ascii="Avenir Next" w:hAnsi="Avenir Next" w:cs="Arial"/>
          <w:sz w:val="22"/>
          <w:szCs w:val="22"/>
          <w:highlight w:val="yellow"/>
          <w:shd w:val="clear" w:color="auto" w:fill="FFFFFF"/>
          <w:lang w:val="en-GB"/>
        </w:rPr>
        <w:t xml:space="preserve"> consider </w:t>
      </w:r>
      <w:r w:rsidR="00834BB7" w:rsidRPr="00834BB7">
        <w:rPr>
          <w:rFonts w:ascii="Avenir Next" w:hAnsi="Avenir Next" w:cs="Arial"/>
          <w:sz w:val="22"/>
          <w:szCs w:val="22"/>
          <w:highlight w:val="yellow"/>
          <w:shd w:val="clear" w:color="auto" w:fill="FFFFFF"/>
          <w:lang w:val="en-GB"/>
        </w:rPr>
        <w:t xml:space="preserve">whether the </w:t>
      </w:r>
      <w:r w:rsidR="00343AD5">
        <w:rPr>
          <w:rFonts w:ascii="Avenir Next" w:hAnsi="Avenir Next" w:cs="Arial"/>
          <w:sz w:val="22"/>
          <w:szCs w:val="22"/>
          <w:highlight w:val="yellow"/>
          <w:shd w:val="clear" w:color="auto" w:fill="FFFFFF"/>
          <w:lang w:val="en-GB"/>
        </w:rPr>
        <w:t>joint provisional liquidators satisfy the required characteristics of foreign representative under Article 17 of MLCBI and whether the insolvency</w:t>
      </w:r>
      <w:r w:rsidR="00834BB7" w:rsidRPr="00834BB7">
        <w:rPr>
          <w:rFonts w:ascii="Avenir Next" w:hAnsi="Avenir Next" w:cs="Arial"/>
          <w:sz w:val="22"/>
          <w:szCs w:val="22"/>
          <w:highlight w:val="yellow"/>
          <w:shd w:val="clear" w:color="auto" w:fill="FFFFFF"/>
          <w:lang w:val="en-GB"/>
        </w:rPr>
        <w:t xml:space="preserve"> proceeding</w:t>
      </w:r>
      <w:r w:rsidR="00343AD5">
        <w:rPr>
          <w:rFonts w:ascii="Avenir Next" w:hAnsi="Avenir Next" w:cs="Arial"/>
          <w:sz w:val="22"/>
          <w:szCs w:val="22"/>
          <w:highlight w:val="yellow"/>
          <w:shd w:val="clear" w:color="auto" w:fill="FFFFFF"/>
          <w:lang w:val="en-GB"/>
        </w:rPr>
        <w:t xml:space="preserve">s </w:t>
      </w:r>
      <w:r w:rsidR="00834BB7" w:rsidRPr="00834BB7">
        <w:rPr>
          <w:rFonts w:ascii="Avenir Next" w:hAnsi="Avenir Next" w:cs="Arial"/>
          <w:sz w:val="22"/>
          <w:szCs w:val="22"/>
          <w:highlight w:val="yellow"/>
          <w:shd w:val="clear" w:color="auto" w:fill="FFFFFF"/>
          <w:lang w:val="en-GB"/>
        </w:rPr>
        <w:t xml:space="preserve"> </w:t>
      </w:r>
      <w:r w:rsidR="00343AD5">
        <w:rPr>
          <w:rFonts w:ascii="Avenir Next" w:hAnsi="Avenir Next" w:cs="Arial"/>
          <w:sz w:val="22"/>
          <w:szCs w:val="22"/>
          <w:highlight w:val="yellow"/>
          <w:shd w:val="clear" w:color="auto" w:fill="FFFFFF"/>
          <w:lang w:val="en-GB"/>
        </w:rPr>
        <w:t>can be</w:t>
      </w:r>
      <w:r w:rsidR="00167A35">
        <w:rPr>
          <w:rFonts w:ascii="Avenir Next" w:hAnsi="Avenir Next" w:cs="Arial"/>
          <w:sz w:val="22"/>
          <w:szCs w:val="22"/>
          <w:highlight w:val="yellow"/>
          <w:shd w:val="clear" w:color="auto" w:fill="FFFFFF"/>
          <w:lang w:val="en-GB"/>
        </w:rPr>
        <w:t xml:space="preserve"> recognise</w:t>
      </w:r>
      <w:r w:rsidR="00343AD5">
        <w:rPr>
          <w:rFonts w:ascii="Avenir Next" w:hAnsi="Avenir Next" w:cs="Arial"/>
          <w:sz w:val="22"/>
          <w:szCs w:val="22"/>
          <w:highlight w:val="yellow"/>
          <w:shd w:val="clear" w:color="auto" w:fill="FFFFFF"/>
          <w:lang w:val="en-GB"/>
        </w:rPr>
        <w:t>d</w:t>
      </w:r>
      <w:r w:rsidR="00834BB7" w:rsidRPr="00834BB7">
        <w:rPr>
          <w:rFonts w:ascii="Avenir Next" w:hAnsi="Avenir Next" w:cs="Arial"/>
          <w:sz w:val="22"/>
          <w:szCs w:val="22"/>
          <w:highlight w:val="yellow"/>
          <w:shd w:val="clear" w:color="auto" w:fill="FFFFFF"/>
          <w:lang w:val="en-GB"/>
        </w:rPr>
        <w:t xml:space="preserve"> </w:t>
      </w:r>
      <w:r w:rsidR="00343AD5">
        <w:rPr>
          <w:rFonts w:ascii="Avenir Next" w:hAnsi="Avenir Next" w:cs="Arial"/>
          <w:sz w:val="22"/>
          <w:szCs w:val="22"/>
          <w:highlight w:val="yellow"/>
          <w:shd w:val="clear" w:color="auto" w:fill="FFFFFF"/>
          <w:lang w:val="en-GB"/>
        </w:rPr>
        <w:t>as foreign proceeding</w:t>
      </w:r>
      <w:r w:rsidR="00834BB7" w:rsidRPr="00834BB7">
        <w:rPr>
          <w:rFonts w:ascii="Avenir Next" w:hAnsi="Avenir Next" w:cs="Arial"/>
          <w:sz w:val="22"/>
          <w:szCs w:val="22"/>
          <w:highlight w:val="yellow"/>
          <w:shd w:val="clear" w:color="auto" w:fill="FFFFFF"/>
          <w:lang w:val="en-GB"/>
        </w:rPr>
        <w:t>. Th</w:t>
      </w:r>
      <w:r w:rsidR="00343AD5">
        <w:rPr>
          <w:rFonts w:ascii="Avenir Next" w:hAnsi="Avenir Next" w:cs="Arial"/>
          <w:sz w:val="22"/>
          <w:szCs w:val="22"/>
          <w:highlight w:val="yellow"/>
          <w:shd w:val="clear" w:color="auto" w:fill="FFFFFF"/>
          <w:lang w:val="en-GB"/>
        </w:rPr>
        <w:t>e next consideration then be</w:t>
      </w:r>
      <w:r w:rsidR="00834BB7" w:rsidRPr="00834BB7">
        <w:rPr>
          <w:rFonts w:ascii="Avenir Next" w:hAnsi="Avenir Next" w:cs="Arial"/>
          <w:sz w:val="22"/>
          <w:szCs w:val="22"/>
          <w:highlight w:val="yellow"/>
          <w:shd w:val="clear" w:color="auto" w:fill="FFFFFF"/>
          <w:lang w:val="en-GB"/>
        </w:rPr>
        <w:t xml:space="preserve"> whether the foreign proceeding is a “foreign main proceeding” or a “foreign non-main proceeding”.</w:t>
      </w:r>
    </w:p>
    <w:p w14:paraId="4EC51FEA" w14:textId="77777777" w:rsidR="00834BB7" w:rsidRPr="00834BB7" w:rsidRDefault="00834BB7" w:rsidP="00834BB7">
      <w:pPr>
        <w:jc w:val="both"/>
        <w:rPr>
          <w:rFonts w:ascii="Avenir Next" w:hAnsi="Avenir Next" w:cs="Arial"/>
          <w:sz w:val="22"/>
          <w:szCs w:val="22"/>
          <w:highlight w:val="yellow"/>
          <w:shd w:val="clear" w:color="auto" w:fill="FFFFFF"/>
          <w:lang w:val="en-GB"/>
        </w:rPr>
      </w:pPr>
    </w:p>
    <w:p w14:paraId="07F53F3A" w14:textId="06DF2A64" w:rsidR="00834BB7" w:rsidRDefault="00643FA8" w:rsidP="00834BB7">
      <w:pPr>
        <w:jc w:val="both"/>
        <w:rPr>
          <w:rFonts w:ascii="Avenir Next" w:hAnsi="Avenir Next" w:cs="Arial"/>
          <w:sz w:val="22"/>
          <w:szCs w:val="22"/>
          <w:highlight w:val="yellow"/>
          <w:shd w:val="clear" w:color="auto" w:fill="FFFFFF"/>
          <w:lang w:val="en-GB"/>
        </w:rPr>
      </w:pPr>
      <w:r>
        <w:rPr>
          <w:rFonts w:ascii="Avenir Next" w:hAnsi="Avenir Next" w:cs="Arial"/>
          <w:sz w:val="22"/>
          <w:szCs w:val="22"/>
          <w:highlight w:val="yellow"/>
          <w:shd w:val="clear" w:color="auto" w:fill="FFFFFF"/>
          <w:lang w:val="en-GB"/>
        </w:rPr>
        <w:t xml:space="preserve">In the event that the joint provisional liquidators </w:t>
      </w:r>
      <w:r w:rsidR="00834BB7" w:rsidRPr="00834BB7">
        <w:rPr>
          <w:rFonts w:ascii="Avenir Next" w:hAnsi="Avenir Next" w:cs="Arial"/>
          <w:sz w:val="22"/>
          <w:szCs w:val="22"/>
          <w:highlight w:val="yellow"/>
          <w:shd w:val="clear" w:color="auto" w:fill="FFFFFF"/>
          <w:lang w:val="en-GB"/>
        </w:rPr>
        <w:t xml:space="preserve">are recognized as foreign representatives, they may be </w:t>
      </w:r>
      <w:r w:rsidR="00F94263">
        <w:rPr>
          <w:rFonts w:ascii="Avenir Next" w:hAnsi="Avenir Next" w:cs="Arial"/>
          <w:sz w:val="22"/>
          <w:szCs w:val="22"/>
          <w:highlight w:val="yellow"/>
          <w:shd w:val="clear" w:color="auto" w:fill="FFFFFF"/>
          <w:lang w:val="en-GB"/>
        </w:rPr>
        <w:t xml:space="preserve">considered by the US court to </w:t>
      </w:r>
      <w:r w:rsidR="00834BB7" w:rsidRPr="00834BB7">
        <w:rPr>
          <w:rFonts w:ascii="Avenir Next" w:hAnsi="Avenir Next" w:cs="Arial"/>
          <w:sz w:val="22"/>
          <w:szCs w:val="22"/>
          <w:highlight w:val="yellow"/>
          <w:shd w:val="clear" w:color="auto" w:fill="FFFFFF"/>
          <w:lang w:val="en-GB"/>
        </w:rPr>
        <w:t xml:space="preserve">grant </w:t>
      </w:r>
      <w:r w:rsidR="00F94263">
        <w:rPr>
          <w:rFonts w:ascii="Avenir Next" w:hAnsi="Avenir Next" w:cs="Arial"/>
          <w:sz w:val="22"/>
          <w:szCs w:val="22"/>
          <w:highlight w:val="yellow"/>
          <w:shd w:val="clear" w:color="auto" w:fill="FFFFFF"/>
          <w:lang w:val="en-GB"/>
        </w:rPr>
        <w:t xml:space="preserve">reliefs the US court </w:t>
      </w:r>
      <w:r w:rsidR="00742768">
        <w:rPr>
          <w:rFonts w:ascii="Avenir Next" w:hAnsi="Avenir Next" w:cs="Arial"/>
          <w:sz w:val="22"/>
          <w:szCs w:val="22"/>
          <w:highlight w:val="yellow"/>
          <w:shd w:val="clear" w:color="auto" w:fill="FFFFFF"/>
          <w:lang w:val="en-GB"/>
        </w:rPr>
        <w:t xml:space="preserve">think appropriate. </w:t>
      </w:r>
      <w:r w:rsidR="00286EE4">
        <w:rPr>
          <w:rFonts w:ascii="Avenir Next" w:hAnsi="Avenir Next" w:cs="Arial"/>
          <w:sz w:val="22"/>
          <w:szCs w:val="22"/>
          <w:highlight w:val="yellow"/>
          <w:shd w:val="clear" w:color="auto" w:fill="FFFFFF"/>
          <w:lang w:val="en-GB"/>
        </w:rPr>
        <w:t xml:space="preserve">However in the event </w:t>
      </w:r>
      <w:r w:rsidR="00286EE4">
        <w:rPr>
          <w:rFonts w:ascii="Avenir Next" w:hAnsi="Avenir Next" w:cs="Arial"/>
          <w:sz w:val="22"/>
          <w:szCs w:val="22"/>
          <w:highlight w:val="yellow"/>
          <w:shd w:val="clear" w:color="auto" w:fill="FFFFFF"/>
          <w:lang w:val="en-GB"/>
        </w:rPr>
        <w:lastRenderedPageBreak/>
        <w:t xml:space="preserve">that the joint provisional liquidators </w:t>
      </w:r>
      <w:r w:rsidR="00834BB7" w:rsidRPr="00834BB7">
        <w:rPr>
          <w:rFonts w:ascii="Avenir Next" w:hAnsi="Avenir Next" w:cs="Arial"/>
          <w:sz w:val="22"/>
          <w:szCs w:val="22"/>
          <w:highlight w:val="yellow"/>
          <w:shd w:val="clear" w:color="auto" w:fill="FFFFFF"/>
          <w:lang w:val="en-GB"/>
        </w:rPr>
        <w:t xml:space="preserve">are found to have unlawfully interfered with the vendors’ contract rights, they </w:t>
      </w:r>
      <w:r w:rsidR="00574B43">
        <w:rPr>
          <w:rFonts w:ascii="Avenir Next" w:hAnsi="Avenir Next" w:cs="Arial"/>
          <w:sz w:val="22"/>
          <w:szCs w:val="22"/>
          <w:highlight w:val="yellow"/>
          <w:shd w:val="clear" w:color="auto" w:fill="FFFFFF"/>
          <w:lang w:val="en-GB"/>
        </w:rPr>
        <w:t>may be</w:t>
      </w:r>
      <w:r w:rsidR="00834BB7" w:rsidRPr="00834BB7">
        <w:rPr>
          <w:rFonts w:ascii="Avenir Next" w:hAnsi="Avenir Next" w:cs="Arial"/>
          <w:sz w:val="22"/>
          <w:szCs w:val="22"/>
          <w:highlight w:val="yellow"/>
          <w:shd w:val="clear" w:color="auto" w:fill="FFFFFF"/>
          <w:lang w:val="en-GB"/>
        </w:rPr>
        <w:t xml:space="preserve"> held liable for damages.</w:t>
      </w:r>
    </w:p>
    <w:p w14:paraId="4916DED8" w14:textId="77777777" w:rsidR="002A2D74" w:rsidRPr="00E2622D" w:rsidRDefault="002A2D74" w:rsidP="00FC1ED9">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534A0593" w14:textId="1718986A" w:rsidR="003E61A7" w:rsidRDefault="00F94D8D" w:rsidP="003E61A7">
      <w:pPr>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T</w:t>
      </w:r>
      <w:r w:rsidR="003E61A7" w:rsidRPr="003E61A7">
        <w:rPr>
          <w:rFonts w:ascii="Avenir Next" w:hAnsi="Avenir Next" w:cs="Arial"/>
          <w:color w:val="000000" w:themeColor="text1"/>
          <w:sz w:val="22"/>
          <w:szCs w:val="22"/>
          <w:highlight w:val="yellow"/>
          <w:lang w:val="en-GB"/>
        </w:rPr>
        <w:t xml:space="preserve">he foreign representative </w:t>
      </w:r>
      <w:r>
        <w:rPr>
          <w:rFonts w:ascii="Avenir Next" w:hAnsi="Avenir Next" w:cs="Arial"/>
          <w:color w:val="000000" w:themeColor="text1"/>
          <w:sz w:val="22"/>
          <w:szCs w:val="22"/>
          <w:highlight w:val="yellow"/>
          <w:lang w:val="en-GB"/>
        </w:rPr>
        <w:t>may</w:t>
      </w:r>
      <w:r w:rsidR="003E61A7" w:rsidRPr="003E61A7">
        <w:rPr>
          <w:rFonts w:ascii="Avenir Next" w:hAnsi="Avenir Next" w:cs="Arial"/>
          <w:color w:val="000000" w:themeColor="text1"/>
          <w:sz w:val="22"/>
          <w:szCs w:val="22"/>
          <w:highlight w:val="yellow"/>
          <w:lang w:val="en-GB"/>
        </w:rPr>
        <w:t xml:space="preserve"> seek interim relief between the commencement of the recognition proceeding and the recognition hearing</w:t>
      </w:r>
      <w:r w:rsidRPr="00F94D8D">
        <w:rPr>
          <w:rFonts w:ascii="Avenir Next" w:hAnsi="Avenir Next" w:cs="Arial"/>
          <w:color w:val="000000" w:themeColor="text1"/>
          <w:sz w:val="22"/>
          <w:szCs w:val="22"/>
          <w:highlight w:val="yellow"/>
          <w:lang w:val="en-GB"/>
        </w:rPr>
        <w:t xml:space="preserve"> </w:t>
      </w:r>
      <w:r w:rsidRPr="003E61A7">
        <w:rPr>
          <w:rFonts w:ascii="Avenir Next" w:hAnsi="Avenir Next" w:cs="Arial"/>
          <w:color w:val="000000" w:themeColor="text1"/>
          <w:sz w:val="22"/>
          <w:szCs w:val="22"/>
          <w:highlight w:val="yellow"/>
          <w:lang w:val="en-GB"/>
        </w:rPr>
        <w:t>from the court</w:t>
      </w:r>
      <w:r>
        <w:rPr>
          <w:rFonts w:ascii="Avenir Next" w:hAnsi="Avenir Next" w:cs="Arial"/>
          <w:color w:val="000000" w:themeColor="text1"/>
          <w:sz w:val="22"/>
          <w:szCs w:val="22"/>
          <w:highlight w:val="yellow"/>
          <w:lang w:val="en-GB"/>
        </w:rPr>
        <w:t xml:space="preserve"> (Article 19 MLCBI) such as</w:t>
      </w:r>
      <w:r w:rsidR="003E61A7" w:rsidRPr="003E61A7">
        <w:rPr>
          <w:rFonts w:ascii="Avenir Next" w:hAnsi="Avenir Next" w:cs="Arial"/>
          <w:color w:val="000000" w:themeColor="text1"/>
          <w:sz w:val="22"/>
          <w:szCs w:val="22"/>
          <w:highlight w:val="yellow"/>
          <w:lang w:val="en-GB"/>
        </w:rPr>
        <w:t xml:space="preserve"> staying execution against the debtor’s assets, suspending the right to transfer or encumber the debtor’s assets</w:t>
      </w:r>
      <w:r w:rsidR="00F74DFD">
        <w:rPr>
          <w:rFonts w:ascii="Avenir Next" w:hAnsi="Avenir Next" w:cs="Arial"/>
          <w:color w:val="000000" w:themeColor="text1"/>
          <w:sz w:val="22"/>
          <w:szCs w:val="22"/>
          <w:highlight w:val="yellow"/>
          <w:lang w:val="en-GB"/>
        </w:rPr>
        <w:t>.</w:t>
      </w:r>
    </w:p>
    <w:p w14:paraId="2EBFF700" w14:textId="77777777" w:rsidR="003E61A7" w:rsidRPr="003E61A7" w:rsidRDefault="003E61A7" w:rsidP="003E61A7">
      <w:pPr>
        <w:jc w:val="both"/>
        <w:rPr>
          <w:rFonts w:ascii="Avenir Next" w:hAnsi="Avenir Next" w:cs="Arial"/>
          <w:color w:val="000000" w:themeColor="text1"/>
          <w:sz w:val="22"/>
          <w:szCs w:val="22"/>
          <w:highlight w:val="yellow"/>
          <w:lang w:val="en-GB"/>
        </w:rPr>
      </w:pPr>
    </w:p>
    <w:p w14:paraId="59C4C62C" w14:textId="78645BBD" w:rsidR="003E61A7" w:rsidRDefault="003E61A7" w:rsidP="003E61A7">
      <w:pPr>
        <w:jc w:val="both"/>
        <w:rPr>
          <w:rFonts w:ascii="Avenir Next" w:hAnsi="Avenir Next" w:cs="Arial"/>
          <w:color w:val="000000" w:themeColor="text1"/>
          <w:sz w:val="22"/>
          <w:szCs w:val="22"/>
          <w:highlight w:val="yellow"/>
          <w:lang w:val="en-GB"/>
        </w:rPr>
      </w:pPr>
      <w:r w:rsidRPr="003E61A7">
        <w:rPr>
          <w:rFonts w:ascii="Avenir Next" w:hAnsi="Avenir Next" w:cs="Arial"/>
          <w:color w:val="000000" w:themeColor="text1"/>
          <w:sz w:val="22"/>
          <w:szCs w:val="22"/>
          <w:highlight w:val="yellow"/>
          <w:lang w:val="en-GB"/>
        </w:rPr>
        <w:t>Ipso facto clauses</w:t>
      </w:r>
      <w:r w:rsidR="004B5644">
        <w:rPr>
          <w:rFonts w:ascii="Avenir Next" w:hAnsi="Avenir Next" w:cs="Arial"/>
          <w:color w:val="000000" w:themeColor="text1"/>
          <w:sz w:val="22"/>
          <w:szCs w:val="22"/>
          <w:highlight w:val="yellow"/>
          <w:lang w:val="en-GB"/>
        </w:rPr>
        <w:t xml:space="preserve"> </w:t>
      </w:r>
      <w:r w:rsidRPr="003E61A7">
        <w:rPr>
          <w:rFonts w:ascii="Avenir Next" w:hAnsi="Avenir Next" w:cs="Arial"/>
          <w:color w:val="000000" w:themeColor="text1"/>
          <w:sz w:val="22"/>
          <w:szCs w:val="22"/>
          <w:highlight w:val="yellow"/>
          <w:lang w:val="en-GB"/>
        </w:rPr>
        <w:t xml:space="preserve">are not enforceable under the US Bankruptcy Code. The foreign representative </w:t>
      </w:r>
      <w:r w:rsidR="001A61E5">
        <w:rPr>
          <w:rFonts w:ascii="Avenir Next" w:hAnsi="Avenir Next" w:cs="Arial"/>
          <w:color w:val="000000" w:themeColor="text1"/>
          <w:sz w:val="22"/>
          <w:szCs w:val="22"/>
          <w:highlight w:val="yellow"/>
          <w:lang w:val="en-GB"/>
        </w:rPr>
        <w:t>may</w:t>
      </w:r>
      <w:r w:rsidRPr="003E61A7">
        <w:rPr>
          <w:rFonts w:ascii="Avenir Next" w:hAnsi="Avenir Next" w:cs="Arial"/>
          <w:color w:val="000000" w:themeColor="text1"/>
          <w:sz w:val="22"/>
          <w:szCs w:val="22"/>
          <w:highlight w:val="yellow"/>
          <w:lang w:val="en-GB"/>
        </w:rPr>
        <w:t xml:space="preserve"> </w:t>
      </w:r>
      <w:r w:rsidR="00E87686">
        <w:rPr>
          <w:rFonts w:ascii="Avenir Next" w:hAnsi="Avenir Next" w:cs="Arial"/>
          <w:color w:val="000000" w:themeColor="text1"/>
          <w:sz w:val="22"/>
          <w:szCs w:val="22"/>
          <w:highlight w:val="yellow"/>
          <w:lang w:val="en-GB"/>
        </w:rPr>
        <w:t>take steps to notify</w:t>
      </w:r>
      <w:r w:rsidRPr="003E61A7">
        <w:rPr>
          <w:rFonts w:ascii="Avenir Next" w:hAnsi="Avenir Next" w:cs="Arial"/>
          <w:color w:val="000000" w:themeColor="text1"/>
          <w:sz w:val="22"/>
          <w:szCs w:val="22"/>
          <w:highlight w:val="yellow"/>
          <w:lang w:val="en-GB"/>
        </w:rPr>
        <w:t xml:space="preserve"> the parties </w:t>
      </w:r>
      <w:r w:rsidR="00E87686">
        <w:rPr>
          <w:rFonts w:ascii="Avenir Next" w:hAnsi="Avenir Next" w:cs="Arial"/>
          <w:color w:val="000000" w:themeColor="text1"/>
          <w:sz w:val="22"/>
          <w:szCs w:val="22"/>
          <w:highlight w:val="yellow"/>
          <w:lang w:val="en-GB"/>
        </w:rPr>
        <w:t xml:space="preserve">affected by </w:t>
      </w:r>
      <w:r w:rsidRPr="003E61A7">
        <w:rPr>
          <w:rFonts w:ascii="Avenir Next" w:hAnsi="Avenir Next" w:cs="Arial"/>
          <w:color w:val="000000" w:themeColor="text1"/>
          <w:sz w:val="22"/>
          <w:szCs w:val="22"/>
          <w:highlight w:val="yellow"/>
          <w:lang w:val="en-GB"/>
        </w:rPr>
        <w:t>the US-governed leases and intellectual property licenses of this fact to prevent premature termination.</w:t>
      </w:r>
    </w:p>
    <w:p w14:paraId="298F0E6D" w14:textId="77777777" w:rsidR="003E61A7" w:rsidRPr="003E61A7" w:rsidRDefault="003E61A7" w:rsidP="003E61A7">
      <w:pPr>
        <w:jc w:val="both"/>
        <w:rPr>
          <w:rFonts w:ascii="Avenir Next" w:hAnsi="Avenir Next" w:cs="Arial"/>
          <w:color w:val="000000" w:themeColor="text1"/>
          <w:sz w:val="22"/>
          <w:szCs w:val="22"/>
          <w:highlight w:val="yellow"/>
          <w:lang w:val="en-GB"/>
        </w:rPr>
      </w:pPr>
    </w:p>
    <w:p w14:paraId="6CF363CB" w14:textId="7F9A95D7" w:rsidR="003E61A7" w:rsidRDefault="003E61A7" w:rsidP="003E61A7">
      <w:pPr>
        <w:jc w:val="both"/>
        <w:rPr>
          <w:rFonts w:ascii="Avenir Next" w:hAnsi="Avenir Next" w:cs="Arial"/>
          <w:color w:val="000000" w:themeColor="text1"/>
          <w:sz w:val="22"/>
          <w:szCs w:val="22"/>
          <w:highlight w:val="yellow"/>
          <w:lang w:val="en-GB"/>
        </w:rPr>
      </w:pPr>
      <w:r w:rsidRPr="003E61A7">
        <w:rPr>
          <w:rFonts w:ascii="Avenir Next" w:hAnsi="Avenir Next" w:cs="Arial"/>
          <w:color w:val="000000" w:themeColor="text1"/>
          <w:sz w:val="22"/>
          <w:szCs w:val="22"/>
          <w:highlight w:val="yellow"/>
          <w:lang w:val="en-GB"/>
        </w:rPr>
        <w:t xml:space="preserve">The foreign representative should </w:t>
      </w:r>
      <w:r w:rsidR="001F6BC8">
        <w:rPr>
          <w:rFonts w:ascii="Avenir Next" w:hAnsi="Avenir Next" w:cs="Arial"/>
          <w:color w:val="000000" w:themeColor="text1"/>
          <w:sz w:val="22"/>
          <w:szCs w:val="22"/>
          <w:highlight w:val="yellow"/>
          <w:lang w:val="en-GB"/>
        </w:rPr>
        <w:t xml:space="preserve">also consider </w:t>
      </w:r>
      <w:r w:rsidRPr="003E61A7">
        <w:rPr>
          <w:rFonts w:ascii="Avenir Next" w:hAnsi="Avenir Next" w:cs="Arial"/>
          <w:color w:val="000000" w:themeColor="text1"/>
          <w:sz w:val="22"/>
          <w:szCs w:val="22"/>
          <w:highlight w:val="yellow"/>
          <w:lang w:val="en-GB"/>
        </w:rPr>
        <w:t>maintain</w:t>
      </w:r>
      <w:r w:rsidR="001F6BC8">
        <w:rPr>
          <w:rFonts w:ascii="Avenir Next" w:hAnsi="Avenir Next" w:cs="Arial"/>
          <w:color w:val="000000" w:themeColor="text1"/>
          <w:sz w:val="22"/>
          <w:szCs w:val="22"/>
          <w:highlight w:val="yellow"/>
          <w:lang w:val="en-GB"/>
        </w:rPr>
        <w:t>ing</w:t>
      </w:r>
      <w:r w:rsidRPr="003E61A7">
        <w:rPr>
          <w:rFonts w:ascii="Avenir Next" w:hAnsi="Avenir Next" w:cs="Arial"/>
          <w:color w:val="000000" w:themeColor="text1"/>
          <w:sz w:val="22"/>
          <w:szCs w:val="22"/>
          <w:highlight w:val="yellow"/>
          <w:lang w:val="en-GB"/>
        </w:rPr>
        <w:t xml:space="preserve"> </w:t>
      </w:r>
      <w:r w:rsidR="001F6BC8">
        <w:rPr>
          <w:rFonts w:ascii="Avenir Next" w:hAnsi="Avenir Next" w:cs="Arial"/>
          <w:color w:val="000000" w:themeColor="text1"/>
          <w:sz w:val="22"/>
          <w:szCs w:val="22"/>
          <w:highlight w:val="yellow"/>
          <w:lang w:val="en-GB"/>
        </w:rPr>
        <w:t>c</w:t>
      </w:r>
      <w:r w:rsidRPr="003E61A7">
        <w:rPr>
          <w:rFonts w:ascii="Avenir Next" w:hAnsi="Avenir Next" w:cs="Arial"/>
          <w:color w:val="000000" w:themeColor="text1"/>
          <w:sz w:val="22"/>
          <w:szCs w:val="22"/>
          <w:highlight w:val="yellow"/>
          <w:lang w:val="en-GB"/>
        </w:rPr>
        <w:t>ommunication with creditors and contract parties to address any concerns and ensure cooperation.</w:t>
      </w:r>
    </w:p>
    <w:p w14:paraId="777F8C34" w14:textId="77777777" w:rsidR="003E61A7" w:rsidRPr="003E61A7" w:rsidRDefault="003E61A7" w:rsidP="003E61A7">
      <w:pPr>
        <w:jc w:val="both"/>
        <w:rPr>
          <w:rFonts w:ascii="Avenir Next" w:hAnsi="Avenir Next" w:cs="Arial"/>
          <w:color w:val="000000" w:themeColor="text1"/>
          <w:sz w:val="22"/>
          <w:szCs w:val="22"/>
          <w:highlight w:val="yellow"/>
          <w:lang w:val="en-GB"/>
        </w:rPr>
      </w:pPr>
    </w:p>
    <w:p w14:paraId="029C47C8" w14:textId="407A62D4" w:rsidR="00867A8F" w:rsidRDefault="00867A8F" w:rsidP="00FD6A93">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03F24338" w14:textId="34CF3DCF" w:rsidR="0093282F" w:rsidRDefault="004169A1" w:rsidP="00F572C4">
      <w:pPr>
        <w:jc w:val="both"/>
        <w:rPr>
          <w:rFonts w:ascii="Avenir Next" w:hAnsi="Avenir Next" w:cs="Arial"/>
          <w:bCs/>
          <w:sz w:val="22"/>
          <w:szCs w:val="22"/>
          <w:highlight w:val="yellow"/>
        </w:rPr>
      </w:pPr>
      <w:r>
        <w:rPr>
          <w:rFonts w:ascii="Avenir Next" w:hAnsi="Avenir Next" w:cs="Arial"/>
          <w:bCs/>
          <w:sz w:val="22"/>
          <w:szCs w:val="22"/>
          <w:highlight w:val="yellow"/>
        </w:rPr>
        <w:t>The foreign representative may consider to apply an a</w:t>
      </w:r>
      <w:r w:rsidRPr="00F572C4">
        <w:rPr>
          <w:rFonts w:ascii="Avenir Next" w:hAnsi="Avenir Next" w:cs="Arial"/>
          <w:bCs/>
          <w:sz w:val="22"/>
          <w:szCs w:val="22"/>
          <w:highlight w:val="yellow"/>
        </w:rPr>
        <w:t xml:space="preserve">ppeal </w:t>
      </w:r>
      <w:r>
        <w:rPr>
          <w:rFonts w:ascii="Avenir Next" w:hAnsi="Avenir Next" w:cs="Arial"/>
          <w:bCs/>
          <w:sz w:val="22"/>
          <w:szCs w:val="22"/>
          <w:highlight w:val="yellow"/>
        </w:rPr>
        <w:t xml:space="preserve">to </w:t>
      </w:r>
      <w:r w:rsidRPr="00F572C4">
        <w:rPr>
          <w:rFonts w:ascii="Avenir Next" w:hAnsi="Avenir Next" w:cs="Arial"/>
          <w:bCs/>
          <w:sz w:val="22"/>
          <w:szCs w:val="22"/>
          <w:highlight w:val="yellow"/>
        </w:rPr>
        <w:t xml:space="preserve">the </w:t>
      </w:r>
      <w:r>
        <w:rPr>
          <w:rFonts w:ascii="Avenir Next" w:hAnsi="Avenir Next" w:cs="Arial"/>
          <w:bCs/>
          <w:sz w:val="22"/>
          <w:szCs w:val="22"/>
          <w:highlight w:val="yellow"/>
        </w:rPr>
        <w:t>d</w:t>
      </w:r>
      <w:r w:rsidRPr="00F572C4">
        <w:rPr>
          <w:rFonts w:ascii="Avenir Next" w:hAnsi="Avenir Next" w:cs="Arial"/>
          <w:bCs/>
          <w:sz w:val="22"/>
          <w:szCs w:val="22"/>
          <w:highlight w:val="yellow"/>
        </w:rPr>
        <w:t>ecision</w:t>
      </w:r>
      <w:r>
        <w:rPr>
          <w:rFonts w:ascii="Avenir Next" w:hAnsi="Avenir Next" w:cs="Arial"/>
          <w:bCs/>
          <w:sz w:val="22"/>
          <w:szCs w:val="22"/>
          <w:highlight w:val="yellow"/>
        </w:rPr>
        <w:t>.</w:t>
      </w:r>
      <w:r>
        <w:rPr>
          <w:rFonts w:ascii="Avenir Next" w:hAnsi="Avenir Next" w:cs="Arial"/>
          <w:bCs/>
          <w:sz w:val="22"/>
          <w:szCs w:val="22"/>
          <w:highlight w:val="yellow"/>
        </w:rPr>
        <w:t xml:space="preserve"> However t</w:t>
      </w:r>
      <w:r w:rsidR="00250C0A" w:rsidRPr="00F572C4">
        <w:rPr>
          <w:rFonts w:ascii="Avenir Next" w:hAnsi="Avenir Next" w:cs="Arial"/>
          <w:bCs/>
          <w:sz w:val="22"/>
          <w:szCs w:val="22"/>
          <w:highlight w:val="yellow"/>
        </w:rPr>
        <w:t>he foreign representative should</w:t>
      </w:r>
      <w:r w:rsidR="00250C0A">
        <w:rPr>
          <w:rFonts w:ascii="Avenir Next" w:hAnsi="Avenir Next" w:cs="Arial"/>
          <w:bCs/>
          <w:sz w:val="22"/>
          <w:szCs w:val="22"/>
          <w:highlight w:val="yellow"/>
        </w:rPr>
        <w:t xml:space="preserve"> first assessed</w:t>
      </w:r>
      <w:r w:rsidR="00250C0A" w:rsidRPr="00F572C4">
        <w:rPr>
          <w:rFonts w:ascii="Avenir Next" w:hAnsi="Avenir Next" w:cs="Arial"/>
          <w:bCs/>
          <w:sz w:val="22"/>
          <w:szCs w:val="22"/>
          <w:highlight w:val="yellow"/>
        </w:rPr>
        <w:t xml:space="preserve"> wh</w:t>
      </w:r>
      <w:r w:rsidR="00250C0A">
        <w:rPr>
          <w:rFonts w:ascii="Avenir Next" w:hAnsi="Avenir Next" w:cs="Arial"/>
          <w:bCs/>
          <w:sz w:val="22"/>
          <w:szCs w:val="22"/>
          <w:highlight w:val="yellow"/>
        </w:rPr>
        <w:t>ich state is</w:t>
      </w:r>
      <w:r w:rsidR="00250C0A" w:rsidRPr="00F572C4">
        <w:rPr>
          <w:rFonts w:ascii="Avenir Next" w:hAnsi="Avenir Next" w:cs="Arial"/>
          <w:bCs/>
          <w:sz w:val="22"/>
          <w:szCs w:val="22"/>
          <w:highlight w:val="yellow"/>
        </w:rPr>
        <w:t xml:space="preserve"> the debtor’s COMI is </w:t>
      </w:r>
      <w:r w:rsidR="00250C0A">
        <w:rPr>
          <w:rFonts w:ascii="Avenir Next" w:hAnsi="Avenir Next" w:cs="Arial"/>
          <w:bCs/>
          <w:sz w:val="22"/>
          <w:szCs w:val="22"/>
          <w:highlight w:val="yellow"/>
        </w:rPr>
        <w:t>in</w:t>
      </w:r>
      <w:r w:rsidR="00B120A5">
        <w:rPr>
          <w:rFonts w:ascii="Avenir Next" w:hAnsi="Avenir Next" w:cs="Arial"/>
          <w:bCs/>
          <w:sz w:val="22"/>
          <w:szCs w:val="22"/>
          <w:highlight w:val="yellow"/>
        </w:rPr>
        <w:t>, i.e. where the debtor carries out transitory economic activity</w:t>
      </w:r>
      <w:r w:rsidR="00250C0A" w:rsidRPr="00F572C4">
        <w:rPr>
          <w:rFonts w:ascii="Avenir Next" w:hAnsi="Avenir Next" w:cs="Arial"/>
          <w:bCs/>
          <w:sz w:val="22"/>
          <w:szCs w:val="22"/>
          <w:highlight w:val="yellow"/>
        </w:rPr>
        <w:t>. If the debtor’s COMI is not in Country A</w:t>
      </w:r>
      <w:r w:rsidR="006E4A68">
        <w:rPr>
          <w:rFonts w:ascii="Avenir Next" w:hAnsi="Avenir Next" w:cs="Arial"/>
          <w:bCs/>
          <w:sz w:val="22"/>
          <w:szCs w:val="22"/>
          <w:highlight w:val="yellow"/>
        </w:rPr>
        <w:t>,</w:t>
      </w:r>
      <w:r w:rsidR="008D5C3D">
        <w:rPr>
          <w:rFonts w:ascii="Avenir Next" w:hAnsi="Avenir Next" w:cs="Arial"/>
          <w:bCs/>
          <w:sz w:val="22"/>
          <w:szCs w:val="22"/>
          <w:highlight w:val="yellow"/>
        </w:rPr>
        <w:t xml:space="preserve"> which is likely the case due to it </w:t>
      </w:r>
      <w:r w:rsidR="000E14A8">
        <w:rPr>
          <w:rFonts w:ascii="Avenir Next" w:hAnsi="Avenir Next" w:cs="Arial"/>
          <w:bCs/>
          <w:sz w:val="22"/>
          <w:szCs w:val="22"/>
          <w:highlight w:val="yellow"/>
        </w:rPr>
        <w:t>consist of establishment/registered office and not much more</w:t>
      </w:r>
      <w:r w:rsidR="00250C0A" w:rsidRPr="00F572C4">
        <w:rPr>
          <w:rFonts w:ascii="Avenir Next" w:hAnsi="Avenir Next" w:cs="Arial"/>
          <w:bCs/>
          <w:sz w:val="22"/>
          <w:szCs w:val="22"/>
          <w:highlight w:val="yellow"/>
        </w:rPr>
        <w:t xml:space="preserve">, it </w:t>
      </w:r>
      <w:r w:rsidR="00513CB8">
        <w:rPr>
          <w:rFonts w:ascii="Avenir Next" w:hAnsi="Avenir Next" w:cs="Arial"/>
          <w:bCs/>
          <w:sz w:val="22"/>
          <w:szCs w:val="22"/>
          <w:highlight w:val="yellow"/>
        </w:rPr>
        <w:t>would be</w:t>
      </w:r>
      <w:r w:rsidR="00250C0A" w:rsidRPr="00F572C4">
        <w:rPr>
          <w:rFonts w:ascii="Avenir Next" w:hAnsi="Avenir Next" w:cs="Arial"/>
          <w:bCs/>
          <w:sz w:val="22"/>
          <w:szCs w:val="22"/>
          <w:highlight w:val="yellow"/>
        </w:rPr>
        <w:t xml:space="preserve"> </w:t>
      </w:r>
      <w:r w:rsidR="00513CB8">
        <w:rPr>
          <w:rFonts w:ascii="Avenir Next" w:hAnsi="Avenir Next" w:cs="Arial"/>
          <w:bCs/>
          <w:sz w:val="22"/>
          <w:szCs w:val="22"/>
          <w:highlight w:val="yellow"/>
        </w:rPr>
        <w:t>challenging</w:t>
      </w:r>
      <w:r w:rsidR="00250C0A" w:rsidRPr="00F572C4">
        <w:rPr>
          <w:rFonts w:ascii="Avenir Next" w:hAnsi="Avenir Next" w:cs="Arial"/>
          <w:bCs/>
          <w:sz w:val="22"/>
          <w:szCs w:val="22"/>
          <w:highlight w:val="yellow"/>
        </w:rPr>
        <w:t xml:space="preserve"> to get the foreign proceeding recognized as a foreign main proceeding.</w:t>
      </w:r>
    </w:p>
    <w:p w14:paraId="03EA8B9B" w14:textId="77777777" w:rsidR="0093282F" w:rsidRDefault="0093282F" w:rsidP="00F572C4">
      <w:pPr>
        <w:jc w:val="both"/>
        <w:rPr>
          <w:rFonts w:ascii="Avenir Next" w:hAnsi="Avenir Next" w:cs="Arial"/>
          <w:bCs/>
          <w:sz w:val="22"/>
          <w:szCs w:val="22"/>
          <w:highlight w:val="yellow"/>
        </w:rPr>
      </w:pPr>
    </w:p>
    <w:p w14:paraId="6841A1DE" w14:textId="233E7C84" w:rsidR="00D5244F" w:rsidRPr="00F572C4" w:rsidRDefault="0093282F" w:rsidP="003221D6">
      <w:pPr>
        <w:jc w:val="both"/>
        <w:rPr>
          <w:rFonts w:ascii="Avenir Next" w:hAnsi="Avenir Next" w:cs="Arial"/>
          <w:bCs/>
          <w:sz w:val="22"/>
          <w:szCs w:val="22"/>
        </w:rPr>
      </w:pPr>
      <w:r>
        <w:rPr>
          <w:rFonts w:ascii="Avenir Next" w:hAnsi="Avenir Next" w:cs="Arial"/>
          <w:bCs/>
          <w:sz w:val="22"/>
          <w:szCs w:val="22"/>
          <w:highlight w:val="yellow"/>
        </w:rPr>
        <w:t xml:space="preserve">Alternatively, </w:t>
      </w:r>
      <w:r w:rsidR="00F572C4" w:rsidRPr="00F572C4">
        <w:rPr>
          <w:rFonts w:ascii="Avenir Next" w:hAnsi="Avenir Next" w:cs="Arial"/>
          <w:bCs/>
          <w:sz w:val="22"/>
          <w:szCs w:val="22"/>
          <w:highlight w:val="yellow"/>
        </w:rPr>
        <w:t xml:space="preserve">the foreign representative </w:t>
      </w:r>
      <w:r>
        <w:rPr>
          <w:rFonts w:ascii="Avenir Next" w:hAnsi="Avenir Next" w:cs="Arial"/>
          <w:bCs/>
          <w:sz w:val="22"/>
          <w:szCs w:val="22"/>
          <w:highlight w:val="yellow"/>
        </w:rPr>
        <w:t>may</w:t>
      </w:r>
      <w:r w:rsidR="00F572C4" w:rsidRPr="00F572C4">
        <w:rPr>
          <w:rFonts w:ascii="Avenir Next" w:hAnsi="Avenir Next" w:cs="Arial"/>
          <w:bCs/>
          <w:sz w:val="22"/>
          <w:szCs w:val="22"/>
          <w:highlight w:val="yellow"/>
        </w:rPr>
        <w:t xml:space="preserve"> apply for recognition as a foreign non-main proceeding. This would </w:t>
      </w:r>
      <w:r>
        <w:rPr>
          <w:rFonts w:ascii="Avenir Next" w:hAnsi="Avenir Next" w:cs="Arial"/>
          <w:bCs/>
          <w:sz w:val="22"/>
          <w:szCs w:val="22"/>
          <w:highlight w:val="yellow"/>
        </w:rPr>
        <w:t xml:space="preserve">at least </w:t>
      </w:r>
      <w:r w:rsidR="00F572C4" w:rsidRPr="00F572C4">
        <w:rPr>
          <w:rFonts w:ascii="Avenir Next" w:hAnsi="Avenir Next" w:cs="Arial"/>
          <w:bCs/>
          <w:sz w:val="22"/>
          <w:szCs w:val="22"/>
          <w:highlight w:val="yellow"/>
        </w:rPr>
        <w:t>provide some level of recognition and cooperation</w:t>
      </w:r>
      <w:r w:rsidR="00A26051">
        <w:rPr>
          <w:rFonts w:ascii="Avenir Next" w:hAnsi="Avenir Next" w:cs="Arial"/>
          <w:bCs/>
          <w:sz w:val="22"/>
          <w:szCs w:val="22"/>
          <w:highlight w:val="yellow"/>
        </w:rPr>
        <w:t>. However</w:t>
      </w:r>
      <w:r w:rsidR="00F572C4" w:rsidRPr="00F572C4">
        <w:rPr>
          <w:rFonts w:ascii="Avenir Next" w:hAnsi="Avenir Next" w:cs="Arial"/>
          <w:bCs/>
          <w:sz w:val="22"/>
          <w:szCs w:val="22"/>
          <w:highlight w:val="yellow"/>
        </w:rPr>
        <w:t xml:space="preserve"> the relief available</w:t>
      </w:r>
      <w:r w:rsidR="007F3412">
        <w:rPr>
          <w:rFonts w:ascii="Avenir Next" w:hAnsi="Avenir Next" w:cs="Arial"/>
          <w:bCs/>
          <w:sz w:val="22"/>
          <w:szCs w:val="22"/>
          <w:highlight w:val="yellow"/>
        </w:rPr>
        <w:t xml:space="preserve"> to be granted</w:t>
      </w:r>
      <w:r w:rsidR="00F572C4" w:rsidRPr="00F572C4">
        <w:rPr>
          <w:rFonts w:ascii="Avenir Next" w:hAnsi="Avenir Next" w:cs="Arial"/>
          <w:bCs/>
          <w:sz w:val="22"/>
          <w:szCs w:val="22"/>
          <w:highlight w:val="yellow"/>
        </w:rPr>
        <w:t xml:space="preserve"> would be more limited and discretionary.</w:t>
      </w:r>
      <w:r w:rsidR="00422D65">
        <w:rPr>
          <w:rFonts w:ascii="Avenir Next" w:hAnsi="Avenir Next" w:cs="Arial"/>
          <w:bCs/>
          <w:sz w:val="22"/>
          <w:szCs w:val="22"/>
          <w:highlight w:val="yellow"/>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w:t>
      </w:r>
      <w:r>
        <w:rPr>
          <w:rFonts w:ascii="Avenir Next Demi Bold" w:hAnsi="Avenir Next Demi Bold" w:cs="Arial"/>
          <w:b/>
          <w:bCs/>
          <w:color w:val="FF0000"/>
          <w:sz w:val="22"/>
          <w:szCs w:val="22"/>
          <w:lang w:val="en-GB"/>
        </w:rPr>
        <w:lastRenderedPageBreak/>
        <w:t>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bookmarkEnd w:id="1"/>
    <w:p w14:paraId="123AADF1" w14:textId="77777777" w:rsidR="00C402DF" w:rsidRPr="00C402DF" w:rsidRDefault="00C402DF" w:rsidP="00C402DF">
      <w:pPr>
        <w:jc w:val="both"/>
        <w:rPr>
          <w:rFonts w:ascii="Avenir Next" w:hAnsi="Avenir Next" w:cs="Arial"/>
          <w:color w:val="000000" w:themeColor="text1"/>
          <w:sz w:val="22"/>
          <w:szCs w:val="22"/>
          <w:highlight w:val="yellow"/>
          <w:lang w:val="en-GB"/>
        </w:rPr>
      </w:pPr>
    </w:p>
    <w:p w14:paraId="63EEE1B8" w14:textId="4B90C03D" w:rsidR="00F97E15" w:rsidRDefault="00F97E15" w:rsidP="00C402DF">
      <w:pPr>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 xml:space="preserve">Main factor to determine a foreign proceeding to be main or non-main proceeding is where the COMI of Globe Holdings is in. </w:t>
      </w:r>
      <w:r w:rsidR="00DC129E">
        <w:rPr>
          <w:rFonts w:ascii="Avenir Next" w:hAnsi="Avenir Next" w:cs="Arial"/>
          <w:color w:val="000000" w:themeColor="text1"/>
          <w:sz w:val="22"/>
          <w:szCs w:val="22"/>
          <w:highlight w:val="yellow"/>
          <w:lang w:val="en-GB"/>
        </w:rPr>
        <w:t xml:space="preserve">However </w:t>
      </w:r>
      <w:r>
        <w:rPr>
          <w:rFonts w:ascii="Avenir Next" w:hAnsi="Avenir Next" w:cs="Arial"/>
          <w:color w:val="000000" w:themeColor="text1"/>
          <w:sz w:val="22"/>
          <w:szCs w:val="22"/>
          <w:highlight w:val="yellow"/>
          <w:lang w:val="en-GB"/>
        </w:rPr>
        <w:t>MLCBI does not have a definition of COMI.</w:t>
      </w:r>
    </w:p>
    <w:p w14:paraId="2C8C7919" w14:textId="77777777" w:rsidR="00F97E15" w:rsidRDefault="00F97E15" w:rsidP="00C402DF">
      <w:pPr>
        <w:jc w:val="both"/>
        <w:rPr>
          <w:rFonts w:ascii="Avenir Next" w:hAnsi="Avenir Next" w:cs="Arial"/>
          <w:color w:val="000000" w:themeColor="text1"/>
          <w:sz w:val="22"/>
          <w:szCs w:val="22"/>
          <w:highlight w:val="yellow"/>
          <w:lang w:val="en-GB"/>
        </w:rPr>
      </w:pPr>
    </w:p>
    <w:p w14:paraId="702FAAA0" w14:textId="5E563718" w:rsidR="00C402DF" w:rsidRDefault="00F964EC" w:rsidP="00C402DF">
      <w:pPr>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Since</w:t>
      </w:r>
      <w:r w:rsidR="00C402DF" w:rsidRPr="00C402DF">
        <w:rPr>
          <w:rFonts w:ascii="Avenir Next" w:hAnsi="Avenir Next" w:cs="Arial"/>
          <w:color w:val="000000" w:themeColor="text1"/>
          <w:sz w:val="22"/>
          <w:szCs w:val="22"/>
          <w:highlight w:val="yellow"/>
          <w:lang w:val="en-GB"/>
        </w:rPr>
        <w:t xml:space="preserve"> Globe Holdings is incorporated and registered in the Cayman Islands</w:t>
      </w:r>
      <w:r>
        <w:rPr>
          <w:rFonts w:ascii="Avenir Next" w:hAnsi="Avenir Next" w:cs="Arial"/>
          <w:color w:val="000000" w:themeColor="text1"/>
          <w:sz w:val="22"/>
          <w:szCs w:val="22"/>
          <w:highlight w:val="yellow"/>
          <w:lang w:val="en-GB"/>
        </w:rPr>
        <w:t xml:space="preserve"> with</w:t>
      </w:r>
      <w:r w:rsidR="00C402DF" w:rsidRPr="00C402DF">
        <w:rPr>
          <w:rFonts w:ascii="Avenir Next" w:hAnsi="Avenir Next" w:cs="Arial"/>
          <w:color w:val="000000" w:themeColor="text1"/>
          <w:sz w:val="22"/>
          <w:szCs w:val="22"/>
          <w:highlight w:val="yellow"/>
          <w:lang w:val="en-GB"/>
        </w:rPr>
        <w:t xml:space="preserve"> books and records </w:t>
      </w:r>
      <w:r>
        <w:rPr>
          <w:rFonts w:ascii="Avenir Next" w:hAnsi="Avenir Next" w:cs="Arial"/>
          <w:color w:val="000000" w:themeColor="text1"/>
          <w:sz w:val="22"/>
          <w:szCs w:val="22"/>
          <w:highlight w:val="yellow"/>
          <w:lang w:val="en-GB"/>
        </w:rPr>
        <w:t xml:space="preserve">safekept </w:t>
      </w:r>
      <w:r w:rsidR="00C402DF" w:rsidRPr="00C402DF">
        <w:rPr>
          <w:rFonts w:ascii="Avenir Next" w:hAnsi="Avenir Next" w:cs="Arial"/>
          <w:color w:val="000000" w:themeColor="text1"/>
          <w:sz w:val="22"/>
          <w:szCs w:val="22"/>
          <w:highlight w:val="yellow"/>
          <w:lang w:val="en-GB"/>
        </w:rPr>
        <w:t xml:space="preserve">there, it could be argued that its COMI is in the Cayman Islands. This is supported by the fact that the company has a long-standing relationship with Cayman Islands counsel, holds its board meetings virtually </w:t>
      </w:r>
      <w:r w:rsidR="006664C0">
        <w:rPr>
          <w:rFonts w:ascii="Avenir Next" w:hAnsi="Avenir Next" w:cs="Arial"/>
          <w:color w:val="000000" w:themeColor="text1"/>
          <w:sz w:val="22"/>
          <w:szCs w:val="22"/>
          <w:highlight w:val="yellow"/>
          <w:lang w:val="en-GB"/>
        </w:rPr>
        <w:t xml:space="preserve">that were </w:t>
      </w:r>
      <w:r w:rsidR="00C402DF" w:rsidRPr="00C402DF">
        <w:rPr>
          <w:rFonts w:ascii="Avenir Next" w:hAnsi="Avenir Next" w:cs="Arial"/>
          <w:color w:val="000000" w:themeColor="text1"/>
          <w:sz w:val="22"/>
          <w:szCs w:val="22"/>
          <w:highlight w:val="yellow"/>
          <w:lang w:val="en-GB"/>
        </w:rPr>
        <w:t xml:space="preserve">organized by its local Cayman counsel, and has a bank account in the Cayman Islands. Therefore, </w:t>
      </w:r>
      <w:r w:rsidR="00931D8C">
        <w:rPr>
          <w:rFonts w:ascii="Avenir Next" w:hAnsi="Avenir Next" w:cs="Arial"/>
          <w:color w:val="000000" w:themeColor="text1"/>
          <w:sz w:val="22"/>
          <w:szCs w:val="22"/>
          <w:highlight w:val="yellow"/>
          <w:lang w:val="en-GB"/>
        </w:rPr>
        <w:t xml:space="preserve">Globe Holdings may </w:t>
      </w:r>
      <w:r w:rsidR="00C402DF" w:rsidRPr="00C402DF">
        <w:rPr>
          <w:rFonts w:ascii="Avenir Next" w:hAnsi="Avenir Next" w:cs="Arial"/>
          <w:color w:val="000000" w:themeColor="text1"/>
          <w:sz w:val="22"/>
          <w:szCs w:val="22"/>
          <w:highlight w:val="yellow"/>
          <w:lang w:val="en-GB"/>
        </w:rPr>
        <w:t>apply for recognition of a main proceeding.</w:t>
      </w:r>
    </w:p>
    <w:p w14:paraId="7AFF6A52" w14:textId="77777777" w:rsidR="000A2AAA" w:rsidRPr="00C402DF" w:rsidRDefault="000A2AAA" w:rsidP="00C402DF">
      <w:pPr>
        <w:jc w:val="both"/>
        <w:rPr>
          <w:rFonts w:ascii="Avenir Next" w:hAnsi="Avenir Next" w:cs="Arial"/>
          <w:color w:val="000000" w:themeColor="text1"/>
          <w:sz w:val="22"/>
          <w:szCs w:val="22"/>
          <w:highlight w:val="yellow"/>
          <w:lang w:val="en-GB"/>
        </w:rPr>
      </w:pPr>
    </w:p>
    <w:p w14:paraId="6FB19F2D" w14:textId="469FC6E7" w:rsidR="00C402DF" w:rsidRDefault="006756C7" w:rsidP="00C402DF">
      <w:pPr>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However, c</w:t>
      </w:r>
      <w:r w:rsidR="00C402DF" w:rsidRPr="00C402DF">
        <w:rPr>
          <w:rFonts w:ascii="Avenir Next" w:hAnsi="Avenir Next" w:cs="Arial"/>
          <w:color w:val="000000" w:themeColor="text1"/>
          <w:sz w:val="22"/>
          <w:szCs w:val="22"/>
          <w:highlight w:val="yellow"/>
          <w:lang w:val="en-GB"/>
        </w:rPr>
        <w:t xml:space="preserve">onsidering that Globe Holdings’ </w:t>
      </w:r>
      <w:r>
        <w:rPr>
          <w:rFonts w:ascii="Avenir Next" w:hAnsi="Avenir Next" w:cs="Arial"/>
          <w:color w:val="000000" w:themeColor="text1"/>
          <w:sz w:val="22"/>
          <w:szCs w:val="22"/>
          <w:highlight w:val="yellow"/>
          <w:lang w:val="en-GB"/>
        </w:rPr>
        <w:t xml:space="preserve">main </w:t>
      </w:r>
      <w:r w:rsidR="00C402DF" w:rsidRPr="00C402DF">
        <w:rPr>
          <w:rFonts w:ascii="Avenir Next" w:hAnsi="Avenir Next" w:cs="Arial"/>
          <w:color w:val="000000" w:themeColor="text1"/>
          <w:sz w:val="22"/>
          <w:szCs w:val="22"/>
          <w:highlight w:val="yellow"/>
          <w:lang w:val="en-GB"/>
        </w:rPr>
        <w:t>business operations are carried out through its US-incorporated subsidiaries</w:t>
      </w:r>
      <w:r w:rsidR="00B80597">
        <w:rPr>
          <w:rFonts w:ascii="Avenir Next" w:hAnsi="Avenir Next" w:cs="Arial"/>
          <w:color w:val="000000" w:themeColor="text1"/>
          <w:sz w:val="22"/>
          <w:szCs w:val="22"/>
          <w:highlight w:val="yellow"/>
          <w:lang w:val="en-GB"/>
        </w:rPr>
        <w:t xml:space="preserve"> with</w:t>
      </w:r>
      <w:r w:rsidR="00C402DF" w:rsidRPr="00C402DF">
        <w:rPr>
          <w:rFonts w:ascii="Avenir Next" w:hAnsi="Avenir Next" w:cs="Arial"/>
          <w:color w:val="000000" w:themeColor="text1"/>
          <w:sz w:val="22"/>
          <w:szCs w:val="22"/>
          <w:highlight w:val="yellow"/>
          <w:lang w:val="en-GB"/>
        </w:rPr>
        <w:t xml:space="preserve"> employees and the headquarters located in the US, it </w:t>
      </w:r>
      <w:r w:rsidR="00E26BE4">
        <w:rPr>
          <w:rFonts w:ascii="Avenir Next" w:hAnsi="Avenir Next" w:cs="Arial"/>
          <w:color w:val="000000" w:themeColor="text1"/>
          <w:sz w:val="22"/>
          <w:szCs w:val="22"/>
          <w:highlight w:val="yellow"/>
          <w:lang w:val="en-GB"/>
        </w:rPr>
        <w:t>is more convincing that the</w:t>
      </w:r>
      <w:r w:rsidR="00C402DF" w:rsidRPr="00C402DF">
        <w:rPr>
          <w:rFonts w:ascii="Avenir Next" w:hAnsi="Avenir Next" w:cs="Arial"/>
          <w:color w:val="000000" w:themeColor="text1"/>
          <w:sz w:val="22"/>
          <w:szCs w:val="22"/>
          <w:highlight w:val="yellow"/>
          <w:lang w:val="en-GB"/>
        </w:rPr>
        <w:t xml:space="preserve"> company </w:t>
      </w:r>
      <w:r w:rsidR="006860D2">
        <w:rPr>
          <w:rFonts w:ascii="Avenir Next" w:hAnsi="Avenir Next" w:cs="Arial"/>
          <w:color w:val="000000" w:themeColor="text1"/>
          <w:sz w:val="22"/>
          <w:szCs w:val="22"/>
          <w:highlight w:val="yellow"/>
          <w:lang w:val="en-GB"/>
        </w:rPr>
        <w:t xml:space="preserve">not only </w:t>
      </w:r>
      <w:r w:rsidR="00C402DF" w:rsidRPr="00C402DF">
        <w:rPr>
          <w:rFonts w:ascii="Avenir Next" w:hAnsi="Avenir Next" w:cs="Arial"/>
          <w:color w:val="000000" w:themeColor="text1"/>
          <w:sz w:val="22"/>
          <w:szCs w:val="22"/>
          <w:highlight w:val="yellow"/>
          <w:lang w:val="en-GB"/>
        </w:rPr>
        <w:t>has an establishment in the US</w:t>
      </w:r>
      <w:r w:rsidR="006860D2">
        <w:rPr>
          <w:rFonts w:ascii="Avenir Next" w:hAnsi="Avenir Next" w:cs="Arial"/>
          <w:color w:val="000000" w:themeColor="text1"/>
          <w:sz w:val="22"/>
          <w:szCs w:val="22"/>
          <w:highlight w:val="yellow"/>
          <w:lang w:val="en-GB"/>
        </w:rPr>
        <w:t xml:space="preserve"> but with its </w:t>
      </w:r>
      <w:r w:rsidR="006860D2">
        <w:rPr>
          <w:rFonts w:ascii="Avenir Next" w:hAnsi="Avenir Next" w:cs="Arial"/>
          <w:bCs/>
          <w:sz w:val="22"/>
          <w:szCs w:val="22"/>
          <w:highlight w:val="yellow"/>
        </w:rPr>
        <w:t>transitory economic activity</w:t>
      </w:r>
      <w:r w:rsidR="00C402DF" w:rsidRPr="00C402DF">
        <w:rPr>
          <w:rFonts w:ascii="Avenir Next" w:hAnsi="Avenir Next" w:cs="Arial"/>
          <w:color w:val="000000" w:themeColor="text1"/>
          <w:sz w:val="22"/>
          <w:szCs w:val="22"/>
          <w:highlight w:val="yellow"/>
          <w:lang w:val="en-GB"/>
        </w:rPr>
        <w:t>. Therefore, applying for recognition of a nonmain proceeding in the US would also be a viable strategy.</w:t>
      </w:r>
    </w:p>
    <w:p w14:paraId="4E32D69E" w14:textId="77777777" w:rsidR="000A2AAA" w:rsidRPr="00C402DF" w:rsidRDefault="000A2AAA" w:rsidP="00C402DF">
      <w:pPr>
        <w:jc w:val="both"/>
        <w:rPr>
          <w:rFonts w:ascii="Avenir Next" w:hAnsi="Avenir Next" w:cs="Arial"/>
          <w:color w:val="000000" w:themeColor="text1"/>
          <w:sz w:val="22"/>
          <w:szCs w:val="22"/>
          <w:highlight w:val="yellow"/>
          <w:lang w:val="en-GB"/>
        </w:rPr>
      </w:pPr>
    </w:p>
    <w:p w14:paraId="0C3486A6" w14:textId="7916AD8D" w:rsidR="00C402DF" w:rsidRDefault="00C402DF" w:rsidP="00C402DF">
      <w:pPr>
        <w:jc w:val="both"/>
        <w:rPr>
          <w:rFonts w:ascii="Avenir Next" w:hAnsi="Avenir Next" w:cs="Arial"/>
          <w:color w:val="000000" w:themeColor="text1"/>
          <w:sz w:val="22"/>
          <w:szCs w:val="22"/>
          <w:highlight w:val="yellow"/>
          <w:lang w:val="en-GB"/>
        </w:rPr>
      </w:pPr>
      <w:r w:rsidRPr="00C402DF">
        <w:rPr>
          <w:rFonts w:ascii="Avenir Next" w:hAnsi="Avenir Next" w:cs="Arial"/>
          <w:color w:val="000000" w:themeColor="text1"/>
          <w:sz w:val="22"/>
          <w:szCs w:val="22"/>
          <w:highlight w:val="yellow"/>
          <w:lang w:val="en-GB"/>
        </w:rPr>
        <w:t xml:space="preserve">The documents </w:t>
      </w:r>
      <w:r w:rsidR="009E0A76">
        <w:rPr>
          <w:rFonts w:ascii="Avenir Next" w:hAnsi="Avenir Next" w:cs="Arial"/>
          <w:color w:val="000000" w:themeColor="text1"/>
          <w:sz w:val="22"/>
          <w:szCs w:val="22"/>
          <w:highlight w:val="yellow"/>
          <w:lang w:val="en-GB"/>
        </w:rPr>
        <w:t>required</w:t>
      </w:r>
      <w:r w:rsidRPr="00C402DF">
        <w:rPr>
          <w:rFonts w:ascii="Avenir Next" w:hAnsi="Avenir Next" w:cs="Arial"/>
          <w:color w:val="000000" w:themeColor="text1"/>
          <w:sz w:val="22"/>
          <w:szCs w:val="22"/>
          <w:highlight w:val="yellow"/>
          <w:lang w:val="en-GB"/>
        </w:rPr>
        <w:t xml:space="preserve"> for the Chapter 15 recognition proceeding in the US would include the petition for recognition, </w:t>
      </w:r>
      <w:r w:rsidR="0063763B">
        <w:rPr>
          <w:rFonts w:ascii="Avenir Next" w:hAnsi="Avenir Next" w:cs="Arial"/>
          <w:color w:val="000000" w:themeColor="text1"/>
          <w:sz w:val="22"/>
          <w:szCs w:val="22"/>
          <w:highlight w:val="yellow"/>
          <w:lang w:val="en-GB"/>
        </w:rPr>
        <w:t xml:space="preserve">supporting document </w:t>
      </w:r>
      <w:r w:rsidRPr="00C402DF">
        <w:rPr>
          <w:rFonts w:ascii="Avenir Next" w:hAnsi="Avenir Next" w:cs="Arial"/>
          <w:color w:val="000000" w:themeColor="text1"/>
          <w:sz w:val="22"/>
          <w:szCs w:val="22"/>
          <w:highlight w:val="yellow"/>
          <w:lang w:val="en-GB"/>
        </w:rPr>
        <w:t xml:space="preserve"> of the foreign proceeding (</w:t>
      </w:r>
      <w:r w:rsidR="00A728D6">
        <w:rPr>
          <w:rFonts w:ascii="Avenir Next" w:hAnsi="Avenir Next" w:cs="Arial"/>
          <w:color w:val="000000" w:themeColor="text1"/>
          <w:sz w:val="22"/>
          <w:szCs w:val="22"/>
          <w:highlight w:val="yellow"/>
          <w:lang w:val="en-GB"/>
        </w:rPr>
        <w:t xml:space="preserve">e.g. </w:t>
      </w:r>
      <w:r w:rsidRPr="00C402DF">
        <w:rPr>
          <w:rFonts w:ascii="Avenir Next" w:hAnsi="Avenir Next" w:cs="Arial"/>
          <w:color w:val="000000" w:themeColor="text1"/>
          <w:sz w:val="22"/>
          <w:szCs w:val="22"/>
          <w:highlight w:val="yellow"/>
          <w:lang w:val="en-GB"/>
        </w:rPr>
        <w:t>Convening Order and Sanction Order)</w:t>
      </w:r>
      <w:r w:rsidR="009871F0">
        <w:rPr>
          <w:rFonts w:ascii="Avenir Next" w:hAnsi="Avenir Next" w:cs="Arial"/>
          <w:color w:val="000000" w:themeColor="text1"/>
          <w:sz w:val="22"/>
          <w:szCs w:val="22"/>
          <w:highlight w:val="yellow"/>
          <w:lang w:val="en-GB"/>
        </w:rPr>
        <w:t>.</w:t>
      </w:r>
    </w:p>
    <w:p w14:paraId="319EBDEC" w14:textId="77777777" w:rsidR="000A2AAA" w:rsidRPr="00C402DF" w:rsidRDefault="000A2AAA" w:rsidP="00C402DF">
      <w:pPr>
        <w:jc w:val="both"/>
        <w:rPr>
          <w:rFonts w:ascii="Avenir Next" w:hAnsi="Avenir Next" w:cs="Arial"/>
          <w:color w:val="000000" w:themeColor="text1"/>
          <w:sz w:val="22"/>
          <w:szCs w:val="22"/>
          <w:highlight w:val="yellow"/>
          <w:lang w:val="en-GB"/>
        </w:rPr>
      </w:pPr>
    </w:p>
    <w:p w14:paraId="6D8F5E51" w14:textId="3833C490" w:rsidR="0077498C" w:rsidRPr="00E2622D" w:rsidRDefault="00C402DF" w:rsidP="00C402DF">
      <w:pPr>
        <w:jc w:val="both"/>
        <w:rPr>
          <w:rFonts w:ascii="Avenir Next" w:hAnsi="Avenir Next" w:cs="Arial"/>
          <w:color w:val="000000" w:themeColor="text1"/>
          <w:sz w:val="22"/>
          <w:szCs w:val="22"/>
          <w:lang w:val="en-GB"/>
        </w:rPr>
      </w:pPr>
      <w:r w:rsidRPr="00C402DF">
        <w:rPr>
          <w:rFonts w:ascii="Avenir Next" w:hAnsi="Avenir Next" w:cs="Arial"/>
          <w:color w:val="000000" w:themeColor="text1"/>
          <w:sz w:val="22"/>
          <w:szCs w:val="22"/>
          <w:highlight w:val="yellow"/>
          <w:lang w:val="en-GB"/>
        </w:rPr>
        <w:t xml:space="preserve">Globe Holdings </w:t>
      </w:r>
      <w:r w:rsidR="007D0EB6">
        <w:rPr>
          <w:rFonts w:ascii="Avenir Next" w:hAnsi="Avenir Next" w:cs="Arial"/>
          <w:color w:val="000000" w:themeColor="text1"/>
          <w:sz w:val="22"/>
          <w:szCs w:val="22"/>
          <w:highlight w:val="yellow"/>
          <w:lang w:val="en-GB"/>
        </w:rPr>
        <w:t>may</w:t>
      </w:r>
      <w:r w:rsidRPr="00C402DF">
        <w:rPr>
          <w:rFonts w:ascii="Avenir Next" w:hAnsi="Avenir Next" w:cs="Arial"/>
          <w:color w:val="000000" w:themeColor="text1"/>
          <w:sz w:val="22"/>
          <w:szCs w:val="22"/>
          <w:highlight w:val="yellow"/>
          <w:lang w:val="en-GB"/>
        </w:rPr>
        <w:t xml:space="preserve"> request </w:t>
      </w:r>
      <w:r w:rsidR="005A429B">
        <w:rPr>
          <w:rFonts w:ascii="Avenir Next" w:hAnsi="Avenir Next" w:cs="Arial"/>
          <w:color w:val="000000" w:themeColor="text1"/>
          <w:sz w:val="22"/>
          <w:szCs w:val="22"/>
          <w:highlight w:val="yellow"/>
          <w:lang w:val="en-GB"/>
        </w:rPr>
        <w:t xml:space="preserve">for </w:t>
      </w:r>
      <w:r w:rsidRPr="00C402DF">
        <w:rPr>
          <w:rFonts w:ascii="Avenir Next" w:hAnsi="Avenir Next" w:cs="Arial"/>
          <w:color w:val="000000" w:themeColor="text1"/>
          <w:sz w:val="22"/>
          <w:szCs w:val="22"/>
          <w:highlight w:val="yellow"/>
          <w:lang w:val="en-GB"/>
        </w:rPr>
        <w:t>a stay of execution against the debtor’s assets</w:t>
      </w:r>
      <w:r w:rsidR="0042538A">
        <w:rPr>
          <w:rFonts w:ascii="Avenir Next" w:hAnsi="Avenir Next" w:cs="Arial"/>
          <w:color w:val="000000" w:themeColor="text1"/>
          <w:sz w:val="22"/>
          <w:szCs w:val="22"/>
          <w:highlight w:val="yellow"/>
          <w:lang w:val="en-GB"/>
        </w:rPr>
        <w:t xml:space="preserve">. This is to </w:t>
      </w:r>
      <w:r w:rsidRPr="00C402DF">
        <w:rPr>
          <w:rFonts w:ascii="Avenir Next" w:hAnsi="Avenir Next" w:cs="Arial"/>
          <w:color w:val="000000" w:themeColor="text1"/>
          <w:sz w:val="22"/>
          <w:szCs w:val="22"/>
          <w:highlight w:val="yellow"/>
          <w:lang w:val="en-GB"/>
        </w:rPr>
        <w:t xml:space="preserve">prevent </w:t>
      </w:r>
      <w:r w:rsidR="0042538A">
        <w:rPr>
          <w:rFonts w:ascii="Avenir Next" w:hAnsi="Avenir Next" w:cs="Arial"/>
          <w:color w:val="000000" w:themeColor="text1"/>
          <w:sz w:val="22"/>
          <w:szCs w:val="22"/>
          <w:highlight w:val="yellow"/>
          <w:lang w:val="en-GB"/>
        </w:rPr>
        <w:t xml:space="preserve">any </w:t>
      </w:r>
      <w:r w:rsidRPr="00C402DF">
        <w:rPr>
          <w:rFonts w:ascii="Avenir Next" w:hAnsi="Avenir Next" w:cs="Arial"/>
          <w:color w:val="000000" w:themeColor="text1"/>
          <w:sz w:val="22"/>
          <w:szCs w:val="22"/>
          <w:highlight w:val="yellow"/>
          <w:lang w:val="en-GB"/>
        </w:rPr>
        <w:t xml:space="preserve">creditors from taking actions to collect their debts. This </w:t>
      </w:r>
      <w:r w:rsidR="00497489">
        <w:rPr>
          <w:rFonts w:ascii="Avenir Next" w:hAnsi="Avenir Next" w:cs="Arial"/>
          <w:color w:val="000000" w:themeColor="text1"/>
          <w:sz w:val="22"/>
          <w:szCs w:val="22"/>
          <w:highlight w:val="yellow"/>
          <w:lang w:val="en-GB"/>
        </w:rPr>
        <w:t xml:space="preserve">also </w:t>
      </w:r>
      <w:r w:rsidRPr="00C402DF">
        <w:rPr>
          <w:rFonts w:ascii="Avenir Next" w:hAnsi="Avenir Next" w:cs="Arial"/>
          <w:color w:val="000000" w:themeColor="text1"/>
          <w:sz w:val="22"/>
          <w:szCs w:val="22"/>
          <w:highlight w:val="yellow"/>
          <w:lang w:val="en-GB"/>
        </w:rPr>
        <w:t xml:space="preserve">provide Globe Holdings </w:t>
      </w:r>
      <w:r w:rsidR="00AD6F7E">
        <w:rPr>
          <w:rFonts w:ascii="Avenir Next" w:hAnsi="Avenir Next" w:cs="Arial"/>
          <w:color w:val="000000" w:themeColor="text1"/>
          <w:sz w:val="22"/>
          <w:szCs w:val="22"/>
          <w:highlight w:val="yellow"/>
          <w:lang w:val="en-GB"/>
        </w:rPr>
        <w:t>a</w:t>
      </w:r>
      <w:r w:rsidRPr="00C402DF">
        <w:rPr>
          <w:rFonts w:ascii="Avenir Next" w:hAnsi="Avenir Next" w:cs="Arial"/>
          <w:color w:val="000000" w:themeColor="text1"/>
          <w:sz w:val="22"/>
          <w:szCs w:val="22"/>
          <w:highlight w:val="yellow"/>
          <w:lang w:val="en-GB"/>
        </w:rPr>
        <w:t xml:space="preserve"> breathing space to restructure its debts.</w:t>
      </w: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E70BCD">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3188" w14:textId="77777777" w:rsidR="00E70BCD" w:rsidRDefault="00E70BCD" w:rsidP="00241B44">
      <w:r>
        <w:separator/>
      </w:r>
    </w:p>
  </w:endnote>
  <w:endnote w:type="continuationSeparator" w:id="0">
    <w:p w14:paraId="25BD2140" w14:textId="77777777" w:rsidR="00E70BCD" w:rsidRDefault="00E70B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4556D86" w:rsidR="000300E0" w:rsidRPr="00B46CE2" w:rsidRDefault="00D66ABD" w:rsidP="000300E0">
    <w:pPr>
      <w:pStyle w:val="Footer"/>
      <w:ind w:right="360"/>
      <w:rPr>
        <w:rFonts w:ascii="Avenir Next" w:hAnsi="Avenir Next"/>
        <w:sz w:val="22"/>
        <w:szCs w:val="22"/>
      </w:rPr>
    </w:pPr>
    <w:r w:rsidRPr="00D66ABD">
      <w:rPr>
        <w:rFonts w:ascii="Avenir Next" w:hAnsi="Avenir Next"/>
        <w:sz w:val="22"/>
        <w:szCs w:val="22"/>
      </w:rPr>
      <w:t>FC202324-1266.assessment2A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FA05" w14:textId="77777777" w:rsidR="00E70BCD" w:rsidRDefault="00E70BCD" w:rsidP="00241B44">
      <w:r>
        <w:separator/>
      </w:r>
    </w:p>
  </w:footnote>
  <w:footnote w:type="continuationSeparator" w:id="0">
    <w:p w14:paraId="39722340" w14:textId="77777777" w:rsidR="00E70BCD" w:rsidRDefault="00E70B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A54012"/>
    <w:multiLevelType w:val="hybridMultilevel"/>
    <w:tmpl w:val="D7A209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7"/>
  </w:num>
  <w:num w:numId="5" w16cid:durableId="998270126">
    <w:abstractNumId w:val="16"/>
  </w:num>
  <w:num w:numId="6" w16cid:durableId="657656171">
    <w:abstractNumId w:val="15"/>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20023462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70"/>
    <w:rsid w:val="000012F6"/>
    <w:rsid w:val="00001E0C"/>
    <w:rsid w:val="0000517F"/>
    <w:rsid w:val="000077DD"/>
    <w:rsid w:val="00010BA0"/>
    <w:rsid w:val="00011778"/>
    <w:rsid w:val="0001365B"/>
    <w:rsid w:val="00020557"/>
    <w:rsid w:val="000232A1"/>
    <w:rsid w:val="00024EC1"/>
    <w:rsid w:val="000250C7"/>
    <w:rsid w:val="000250ED"/>
    <w:rsid w:val="00025CCF"/>
    <w:rsid w:val="000300E0"/>
    <w:rsid w:val="0003114A"/>
    <w:rsid w:val="000339EC"/>
    <w:rsid w:val="000352C1"/>
    <w:rsid w:val="0003619C"/>
    <w:rsid w:val="0003743B"/>
    <w:rsid w:val="00037621"/>
    <w:rsid w:val="0004209A"/>
    <w:rsid w:val="00044D46"/>
    <w:rsid w:val="00045088"/>
    <w:rsid w:val="00045904"/>
    <w:rsid w:val="000464F7"/>
    <w:rsid w:val="0005141D"/>
    <w:rsid w:val="00060E02"/>
    <w:rsid w:val="0006191A"/>
    <w:rsid w:val="00065166"/>
    <w:rsid w:val="00067A88"/>
    <w:rsid w:val="00070B92"/>
    <w:rsid w:val="00071DD4"/>
    <w:rsid w:val="00073474"/>
    <w:rsid w:val="00077D49"/>
    <w:rsid w:val="000815AF"/>
    <w:rsid w:val="00082609"/>
    <w:rsid w:val="00083B38"/>
    <w:rsid w:val="000851CC"/>
    <w:rsid w:val="00093BE8"/>
    <w:rsid w:val="000A2AAA"/>
    <w:rsid w:val="000A47C9"/>
    <w:rsid w:val="000A4A5A"/>
    <w:rsid w:val="000A68ED"/>
    <w:rsid w:val="000B4FEB"/>
    <w:rsid w:val="000B5FF1"/>
    <w:rsid w:val="000B609F"/>
    <w:rsid w:val="000B75C0"/>
    <w:rsid w:val="000C147F"/>
    <w:rsid w:val="000C6530"/>
    <w:rsid w:val="000C6BB9"/>
    <w:rsid w:val="000D32A9"/>
    <w:rsid w:val="000D55A8"/>
    <w:rsid w:val="000D6E35"/>
    <w:rsid w:val="000E14A8"/>
    <w:rsid w:val="000E4841"/>
    <w:rsid w:val="000E6325"/>
    <w:rsid w:val="000F1677"/>
    <w:rsid w:val="000F3D6C"/>
    <w:rsid w:val="000F579C"/>
    <w:rsid w:val="000F682A"/>
    <w:rsid w:val="00100E8F"/>
    <w:rsid w:val="00101707"/>
    <w:rsid w:val="00101A9E"/>
    <w:rsid w:val="0010480C"/>
    <w:rsid w:val="00114082"/>
    <w:rsid w:val="0011473D"/>
    <w:rsid w:val="00115C85"/>
    <w:rsid w:val="001228D4"/>
    <w:rsid w:val="00123855"/>
    <w:rsid w:val="00124544"/>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A35"/>
    <w:rsid w:val="00167C32"/>
    <w:rsid w:val="0017257C"/>
    <w:rsid w:val="00176079"/>
    <w:rsid w:val="0017652E"/>
    <w:rsid w:val="00180548"/>
    <w:rsid w:val="00180AC4"/>
    <w:rsid w:val="00180CCE"/>
    <w:rsid w:val="00181970"/>
    <w:rsid w:val="00182648"/>
    <w:rsid w:val="0018267A"/>
    <w:rsid w:val="00182779"/>
    <w:rsid w:val="001830DF"/>
    <w:rsid w:val="00190FD2"/>
    <w:rsid w:val="001966D9"/>
    <w:rsid w:val="001A24E7"/>
    <w:rsid w:val="001A2B78"/>
    <w:rsid w:val="001A61E5"/>
    <w:rsid w:val="001A6D06"/>
    <w:rsid w:val="001A7E9A"/>
    <w:rsid w:val="001B0F70"/>
    <w:rsid w:val="001B5016"/>
    <w:rsid w:val="001C0188"/>
    <w:rsid w:val="001C45FC"/>
    <w:rsid w:val="001D02C5"/>
    <w:rsid w:val="001D4862"/>
    <w:rsid w:val="001D5D86"/>
    <w:rsid w:val="001E25B9"/>
    <w:rsid w:val="001E49E0"/>
    <w:rsid w:val="001E60C3"/>
    <w:rsid w:val="001E7B5A"/>
    <w:rsid w:val="001F6BC8"/>
    <w:rsid w:val="001F7412"/>
    <w:rsid w:val="00200FDD"/>
    <w:rsid w:val="00201874"/>
    <w:rsid w:val="00202133"/>
    <w:rsid w:val="0020264E"/>
    <w:rsid w:val="00202BE3"/>
    <w:rsid w:val="0020725B"/>
    <w:rsid w:val="00207EB4"/>
    <w:rsid w:val="002175BA"/>
    <w:rsid w:val="0022599E"/>
    <w:rsid w:val="00227C5E"/>
    <w:rsid w:val="00227D17"/>
    <w:rsid w:val="0023029E"/>
    <w:rsid w:val="002305E8"/>
    <w:rsid w:val="0023198D"/>
    <w:rsid w:val="0023317E"/>
    <w:rsid w:val="00234F2C"/>
    <w:rsid w:val="00240B0E"/>
    <w:rsid w:val="0024116D"/>
    <w:rsid w:val="00241B44"/>
    <w:rsid w:val="00243FF7"/>
    <w:rsid w:val="00245EFB"/>
    <w:rsid w:val="00250C0A"/>
    <w:rsid w:val="00250E19"/>
    <w:rsid w:val="0025386E"/>
    <w:rsid w:val="002539D7"/>
    <w:rsid w:val="00257437"/>
    <w:rsid w:val="002629FC"/>
    <w:rsid w:val="002638B0"/>
    <w:rsid w:val="00264FFF"/>
    <w:rsid w:val="002650D7"/>
    <w:rsid w:val="002654E8"/>
    <w:rsid w:val="0026647A"/>
    <w:rsid w:val="002668D3"/>
    <w:rsid w:val="002675BE"/>
    <w:rsid w:val="00271CED"/>
    <w:rsid w:val="0027299F"/>
    <w:rsid w:val="00276913"/>
    <w:rsid w:val="00280856"/>
    <w:rsid w:val="0028135B"/>
    <w:rsid w:val="00282480"/>
    <w:rsid w:val="00283070"/>
    <w:rsid w:val="00284EBE"/>
    <w:rsid w:val="00286EE4"/>
    <w:rsid w:val="002903F4"/>
    <w:rsid w:val="0029433F"/>
    <w:rsid w:val="00294829"/>
    <w:rsid w:val="00294F3B"/>
    <w:rsid w:val="0029690F"/>
    <w:rsid w:val="002A09F8"/>
    <w:rsid w:val="002A1EEC"/>
    <w:rsid w:val="002A29FB"/>
    <w:rsid w:val="002A2A60"/>
    <w:rsid w:val="002A2D74"/>
    <w:rsid w:val="002B1C45"/>
    <w:rsid w:val="002C06E6"/>
    <w:rsid w:val="002C13C8"/>
    <w:rsid w:val="002C3547"/>
    <w:rsid w:val="002D0021"/>
    <w:rsid w:val="002D3473"/>
    <w:rsid w:val="002D4BA0"/>
    <w:rsid w:val="002D5C95"/>
    <w:rsid w:val="002E00F8"/>
    <w:rsid w:val="002E04CB"/>
    <w:rsid w:val="002E1BB5"/>
    <w:rsid w:val="002E2322"/>
    <w:rsid w:val="002E38E2"/>
    <w:rsid w:val="002E76AF"/>
    <w:rsid w:val="002F1077"/>
    <w:rsid w:val="002F1956"/>
    <w:rsid w:val="002F3440"/>
    <w:rsid w:val="002F4AE9"/>
    <w:rsid w:val="002F4EC0"/>
    <w:rsid w:val="002F5C6A"/>
    <w:rsid w:val="002F71BE"/>
    <w:rsid w:val="002F75A3"/>
    <w:rsid w:val="002F78CA"/>
    <w:rsid w:val="00303C2F"/>
    <w:rsid w:val="00310F38"/>
    <w:rsid w:val="00312911"/>
    <w:rsid w:val="003144EF"/>
    <w:rsid w:val="003148CA"/>
    <w:rsid w:val="00315506"/>
    <w:rsid w:val="003220BA"/>
    <w:rsid w:val="003221D6"/>
    <w:rsid w:val="00322F3B"/>
    <w:rsid w:val="003237F6"/>
    <w:rsid w:val="00323940"/>
    <w:rsid w:val="00324EAF"/>
    <w:rsid w:val="00326292"/>
    <w:rsid w:val="00326415"/>
    <w:rsid w:val="00330937"/>
    <w:rsid w:val="00330E68"/>
    <w:rsid w:val="00330F31"/>
    <w:rsid w:val="0033313F"/>
    <w:rsid w:val="0033442A"/>
    <w:rsid w:val="00334648"/>
    <w:rsid w:val="0033768C"/>
    <w:rsid w:val="00337938"/>
    <w:rsid w:val="00340769"/>
    <w:rsid w:val="00341AA6"/>
    <w:rsid w:val="00342459"/>
    <w:rsid w:val="003427B9"/>
    <w:rsid w:val="00343AD5"/>
    <w:rsid w:val="00346B16"/>
    <w:rsid w:val="00352420"/>
    <w:rsid w:val="00361A0A"/>
    <w:rsid w:val="0036565C"/>
    <w:rsid w:val="0036625E"/>
    <w:rsid w:val="0036760B"/>
    <w:rsid w:val="0037465A"/>
    <w:rsid w:val="003752BD"/>
    <w:rsid w:val="0037544E"/>
    <w:rsid w:val="003754A3"/>
    <w:rsid w:val="00380BAB"/>
    <w:rsid w:val="00382C98"/>
    <w:rsid w:val="0038533C"/>
    <w:rsid w:val="00386568"/>
    <w:rsid w:val="00387106"/>
    <w:rsid w:val="00391CB9"/>
    <w:rsid w:val="00391F3E"/>
    <w:rsid w:val="003948D5"/>
    <w:rsid w:val="003963D4"/>
    <w:rsid w:val="00396821"/>
    <w:rsid w:val="00397D3A"/>
    <w:rsid w:val="003A051E"/>
    <w:rsid w:val="003A2FEE"/>
    <w:rsid w:val="003B1310"/>
    <w:rsid w:val="003B170F"/>
    <w:rsid w:val="003B3632"/>
    <w:rsid w:val="003B3C5F"/>
    <w:rsid w:val="003C089D"/>
    <w:rsid w:val="003C4471"/>
    <w:rsid w:val="003C66B1"/>
    <w:rsid w:val="003D0A6D"/>
    <w:rsid w:val="003E0B16"/>
    <w:rsid w:val="003E2A79"/>
    <w:rsid w:val="003E61A7"/>
    <w:rsid w:val="003E67D1"/>
    <w:rsid w:val="003E7CBD"/>
    <w:rsid w:val="0040234D"/>
    <w:rsid w:val="00405DC1"/>
    <w:rsid w:val="0040710D"/>
    <w:rsid w:val="0041139B"/>
    <w:rsid w:val="00412D4B"/>
    <w:rsid w:val="004137C3"/>
    <w:rsid w:val="00413D3A"/>
    <w:rsid w:val="00415F1F"/>
    <w:rsid w:val="004169A1"/>
    <w:rsid w:val="00417B0F"/>
    <w:rsid w:val="0042071D"/>
    <w:rsid w:val="0042108F"/>
    <w:rsid w:val="00422242"/>
    <w:rsid w:val="00422D65"/>
    <w:rsid w:val="00424D07"/>
    <w:rsid w:val="0042538A"/>
    <w:rsid w:val="00430FED"/>
    <w:rsid w:val="00432179"/>
    <w:rsid w:val="00432E20"/>
    <w:rsid w:val="00434292"/>
    <w:rsid w:val="00434A8C"/>
    <w:rsid w:val="00435583"/>
    <w:rsid w:val="00436884"/>
    <w:rsid w:val="00437297"/>
    <w:rsid w:val="00443403"/>
    <w:rsid w:val="00444284"/>
    <w:rsid w:val="00445CE6"/>
    <w:rsid w:val="00447FE6"/>
    <w:rsid w:val="00450950"/>
    <w:rsid w:val="004534C2"/>
    <w:rsid w:val="0045446F"/>
    <w:rsid w:val="0045683E"/>
    <w:rsid w:val="0047025B"/>
    <w:rsid w:val="00472751"/>
    <w:rsid w:val="004809BC"/>
    <w:rsid w:val="0048158F"/>
    <w:rsid w:val="00491675"/>
    <w:rsid w:val="00493855"/>
    <w:rsid w:val="0049508F"/>
    <w:rsid w:val="00497489"/>
    <w:rsid w:val="004A171E"/>
    <w:rsid w:val="004A57DD"/>
    <w:rsid w:val="004A7B51"/>
    <w:rsid w:val="004A7D71"/>
    <w:rsid w:val="004A7EF3"/>
    <w:rsid w:val="004B11FD"/>
    <w:rsid w:val="004B23A2"/>
    <w:rsid w:val="004B4D90"/>
    <w:rsid w:val="004B52A7"/>
    <w:rsid w:val="004B5644"/>
    <w:rsid w:val="004C4556"/>
    <w:rsid w:val="004C4E97"/>
    <w:rsid w:val="004D1A5A"/>
    <w:rsid w:val="004D2FFF"/>
    <w:rsid w:val="004D3721"/>
    <w:rsid w:val="004D64F9"/>
    <w:rsid w:val="004E0549"/>
    <w:rsid w:val="004E1674"/>
    <w:rsid w:val="004E2E92"/>
    <w:rsid w:val="004E30B0"/>
    <w:rsid w:val="004E622C"/>
    <w:rsid w:val="004F0C74"/>
    <w:rsid w:val="004F58AD"/>
    <w:rsid w:val="004F5FDF"/>
    <w:rsid w:val="0050157D"/>
    <w:rsid w:val="00506803"/>
    <w:rsid w:val="0050682B"/>
    <w:rsid w:val="00507AAC"/>
    <w:rsid w:val="00513CB8"/>
    <w:rsid w:val="00514152"/>
    <w:rsid w:val="00515349"/>
    <w:rsid w:val="005177FE"/>
    <w:rsid w:val="00520330"/>
    <w:rsid w:val="0052263B"/>
    <w:rsid w:val="00524728"/>
    <w:rsid w:val="00530003"/>
    <w:rsid w:val="00530E88"/>
    <w:rsid w:val="00530F1E"/>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08D6"/>
    <w:rsid w:val="0056391B"/>
    <w:rsid w:val="005650E2"/>
    <w:rsid w:val="00565292"/>
    <w:rsid w:val="0056535A"/>
    <w:rsid w:val="00565DEE"/>
    <w:rsid w:val="00567AD7"/>
    <w:rsid w:val="00567F31"/>
    <w:rsid w:val="00573E73"/>
    <w:rsid w:val="00574B43"/>
    <w:rsid w:val="00575B2D"/>
    <w:rsid w:val="005833D0"/>
    <w:rsid w:val="005846F3"/>
    <w:rsid w:val="0058622F"/>
    <w:rsid w:val="00587461"/>
    <w:rsid w:val="00590023"/>
    <w:rsid w:val="005900F2"/>
    <w:rsid w:val="00592F82"/>
    <w:rsid w:val="00595536"/>
    <w:rsid w:val="005A0CCA"/>
    <w:rsid w:val="005A429B"/>
    <w:rsid w:val="005A726D"/>
    <w:rsid w:val="005B13D6"/>
    <w:rsid w:val="005B67AC"/>
    <w:rsid w:val="005C2C94"/>
    <w:rsid w:val="005C36BC"/>
    <w:rsid w:val="005C4865"/>
    <w:rsid w:val="005D10D8"/>
    <w:rsid w:val="005D43E0"/>
    <w:rsid w:val="005D58A3"/>
    <w:rsid w:val="005E1B79"/>
    <w:rsid w:val="005E5C28"/>
    <w:rsid w:val="005F026D"/>
    <w:rsid w:val="005F21F4"/>
    <w:rsid w:val="005F2D0B"/>
    <w:rsid w:val="005F4B31"/>
    <w:rsid w:val="006072CE"/>
    <w:rsid w:val="00610388"/>
    <w:rsid w:val="00612CA5"/>
    <w:rsid w:val="00614793"/>
    <w:rsid w:val="006153EC"/>
    <w:rsid w:val="00621A17"/>
    <w:rsid w:val="00621AF1"/>
    <w:rsid w:val="00622586"/>
    <w:rsid w:val="00622C2B"/>
    <w:rsid w:val="00622DCB"/>
    <w:rsid w:val="00627CC9"/>
    <w:rsid w:val="00627E7B"/>
    <w:rsid w:val="00630542"/>
    <w:rsid w:val="0063054B"/>
    <w:rsid w:val="00632E44"/>
    <w:rsid w:val="00634622"/>
    <w:rsid w:val="00636808"/>
    <w:rsid w:val="0063763B"/>
    <w:rsid w:val="00641002"/>
    <w:rsid w:val="00641515"/>
    <w:rsid w:val="00643FA8"/>
    <w:rsid w:val="00651AE3"/>
    <w:rsid w:val="00654C2F"/>
    <w:rsid w:val="00657087"/>
    <w:rsid w:val="0066252C"/>
    <w:rsid w:val="0066607C"/>
    <w:rsid w:val="006661EF"/>
    <w:rsid w:val="006664C0"/>
    <w:rsid w:val="0067294B"/>
    <w:rsid w:val="006756C7"/>
    <w:rsid w:val="00677736"/>
    <w:rsid w:val="0067785F"/>
    <w:rsid w:val="00677AEB"/>
    <w:rsid w:val="006806F4"/>
    <w:rsid w:val="00680EF2"/>
    <w:rsid w:val="006839C2"/>
    <w:rsid w:val="006860D2"/>
    <w:rsid w:val="00687A1D"/>
    <w:rsid w:val="006920CC"/>
    <w:rsid w:val="00692AB2"/>
    <w:rsid w:val="0069647C"/>
    <w:rsid w:val="006974D4"/>
    <w:rsid w:val="00697EA1"/>
    <w:rsid w:val="006A1850"/>
    <w:rsid w:val="006A2646"/>
    <w:rsid w:val="006A3DF0"/>
    <w:rsid w:val="006A6530"/>
    <w:rsid w:val="006B435A"/>
    <w:rsid w:val="006B4C64"/>
    <w:rsid w:val="006B4FFC"/>
    <w:rsid w:val="006D0E6E"/>
    <w:rsid w:val="006D6BD5"/>
    <w:rsid w:val="006E481A"/>
    <w:rsid w:val="006E4A68"/>
    <w:rsid w:val="006E5298"/>
    <w:rsid w:val="006E68CB"/>
    <w:rsid w:val="006E72EA"/>
    <w:rsid w:val="006E7BC9"/>
    <w:rsid w:val="006F2CE3"/>
    <w:rsid w:val="006F734A"/>
    <w:rsid w:val="00700D83"/>
    <w:rsid w:val="00701F9A"/>
    <w:rsid w:val="00703430"/>
    <w:rsid w:val="00703819"/>
    <w:rsid w:val="00704852"/>
    <w:rsid w:val="00706297"/>
    <w:rsid w:val="00706AD5"/>
    <w:rsid w:val="007074E9"/>
    <w:rsid w:val="00707FC8"/>
    <w:rsid w:val="00713DA4"/>
    <w:rsid w:val="007142D6"/>
    <w:rsid w:val="00714BF1"/>
    <w:rsid w:val="00715C6A"/>
    <w:rsid w:val="00721383"/>
    <w:rsid w:val="0072554C"/>
    <w:rsid w:val="00725911"/>
    <w:rsid w:val="0072756D"/>
    <w:rsid w:val="00731DBD"/>
    <w:rsid w:val="007333CC"/>
    <w:rsid w:val="0073399A"/>
    <w:rsid w:val="00733EDE"/>
    <w:rsid w:val="00734016"/>
    <w:rsid w:val="00737A1D"/>
    <w:rsid w:val="00742768"/>
    <w:rsid w:val="00745441"/>
    <w:rsid w:val="00751F66"/>
    <w:rsid w:val="007603F5"/>
    <w:rsid w:val="00764DB0"/>
    <w:rsid w:val="00766F8A"/>
    <w:rsid w:val="0076764D"/>
    <w:rsid w:val="00772788"/>
    <w:rsid w:val="0077498C"/>
    <w:rsid w:val="00774D95"/>
    <w:rsid w:val="00777183"/>
    <w:rsid w:val="00782202"/>
    <w:rsid w:val="0078354E"/>
    <w:rsid w:val="00784128"/>
    <w:rsid w:val="00784B4B"/>
    <w:rsid w:val="007854ED"/>
    <w:rsid w:val="00793173"/>
    <w:rsid w:val="007940B0"/>
    <w:rsid w:val="007A047A"/>
    <w:rsid w:val="007A5449"/>
    <w:rsid w:val="007B3AC7"/>
    <w:rsid w:val="007B497A"/>
    <w:rsid w:val="007C1FCC"/>
    <w:rsid w:val="007C32A8"/>
    <w:rsid w:val="007C3FE5"/>
    <w:rsid w:val="007C6201"/>
    <w:rsid w:val="007C6988"/>
    <w:rsid w:val="007D0EB6"/>
    <w:rsid w:val="007D1641"/>
    <w:rsid w:val="007D28A1"/>
    <w:rsid w:val="007D7C92"/>
    <w:rsid w:val="007E1154"/>
    <w:rsid w:val="007E2C2E"/>
    <w:rsid w:val="007E6BA4"/>
    <w:rsid w:val="007E7678"/>
    <w:rsid w:val="007E7927"/>
    <w:rsid w:val="007F3412"/>
    <w:rsid w:val="007F41F8"/>
    <w:rsid w:val="007F60D0"/>
    <w:rsid w:val="00800382"/>
    <w:rsid w:val="00804231"/>
    <w:rsid w:val="0080454E"/>
    <w:rsid w:val="00804C32"/>
    <w:rsid w:val="00806302"/>
    <w:rsid w:val="00807119"/>
    <w:rsid w:val="00812AFE"/>
    <w:rsid w:val="00817D57"/>
    <w:rsid w:val="00822764"/>
    <w:rsid w:val="008241C4"/>
    <w:rsid w:val="0082483F"/>
    <w:rsid w:val="00826029"/>
    <w:rsid w:val="008264CB"/>
    <w:rsid w:val="00826C90"/>
    <w:rsid w:val="008275D2"/>
    <w:rsid w:val="008279C0"/>
    <w:rsid w:val="00834BB7"/>
    <w:rsid w:val="00835FD1"/>
    <w:rsid w:val="00837344"/>
    <w:rsid w:val="0084508C"/>
    <w:rsid w:val="0084683C"/>
    <w:rsid w:val="008512FA"/>
    <w:rsid w:val="00853A74"/>
    <w:rsid w:val="00857763"/>
    <w:rsid w:val="00860E61"/>
    <w:rsid w:val="00867A8F"/>
    <w:rsid w:val="008723F3"/>
    <w:rsid w:val="00873D17"/>
    <w:rsid w:val="00881DE6"/>
    <w:rsid w:val="008837A6"/>
    <w:rsid w:val="0088409C"/>
    <w:rsid w:val="00885C06"/>
    <w:rsid w:val="0088637A"/>
    <w:rsid w:val="0089145D"/>
    <w:rsid w:val="00893A03"/>
    <w:rsid w:val="00896DAD"/>
    <w:rsid w:val="008A0C6E"/>
    <w:rsid w:val="008A46CF"/>
    <w:rsid w:val="008A4DF2"/>
    <w:rsid w:val="008A566B"/>
    <w:rsid w:val="008A6CFE"/>
    <w:rsid w:val="008A7470"/>
    <w:rsid w:val="008B1A08"/>
    <w:rsid w:val="008B2DE3"/>
    <w:rsid w:val="008B5333"/>
    <w:rsid w:val="008B6223"/>
    <w:rsid w:val="008C0A3B"/>
    <w:rsid w:val="008C66E0"/>
    <w:rsid w:val="008D3BD3"/>
    <w:rsid w:val="008D3F2D"/>
    <w:rsid w:val="008D4CCF"/>
    <w:rsid w:val="008D5C3D"/>
    <w:rsid w:val="008E09B5"/>
    <w:rsid w:val="008E2DFA"/>
    <w:rsid w:val="008E3339"/>
    <w:rsid w:val="008E549B"/>
    <w:rsid w:val="008F18EF"/>
    <w:rsid w:val="008F20FC"/>
    <w:rsid w:val="008F2B24"/>
    <w:rsid w:val="008F5FFE"/>
    <w:rsid w:val="0090421A"/>
    <w:rsid w:val="00905A43"/>
    <w:rsid w:val="00905CFB"/>
    <w:rsid w:val="009061DA"/>
    <w:rsid w:val="00907DC2"/>
    <w:rsid w:val="00910439"/>
    <w:rsid w:val="00912C79"/>
    <w:rsid w:val="009260A2"/>
    <w:rsid w:val="00931D8C"/>
    <w:rsid w:val="0093282F"/>
    <w:rsid w:val="009344C1"/>
    <w:rsid w:val="00942123"/>
    <w:rsid w:val="0094780D"/>
    <w:rsid w:val="00951031"/>
    <w:rsid w:val="0095207B"/>
    <w:rsid w:val="00954461"/>
    <w:rsid w:val="00955865"/>
    <w:rsid w:val="00956085"/>
    <w:rsid w:val="00957951"/>
    <w:rsid w:val="00957E6C"/>
    <w:rsid w:val="00960087"/>
    <w:rsid w:val="00962045"/>
    <w:rsid w:val="00967EDA"/>
    <w:rsid w:val="00970897"/>
    <w:rsid w:val="0097337E"/>
    <w:rsid w:val="00980314"/>
    <w:rsid w:val="009816D0"/>
    <w:rsid w:val="00985649"/>
    <w:rsid w:val="009871F0"/>
    <w:rsid w:val="00991428"/>
    <w:rsid w:val="00992676"/>
    <w:rsid w:val="00995162"/>
    <w:rsid w:val="009955CB"/>
    <w:rsid w:val="00996691"/>
    <w:rsid w:val="009A344A"/>
    <w:rsid w:val="009A4789"/>
    <w:rsid w:val="009A4880"/>
    <w:rsid w:val="009A58D1"/>
    <w:rsid w:val="009A7865"/>
    <w:rsid w:val="009B0723"/>
    <w:rsid w:val="009B07AD"/>
    <w:rsid w:val="009B0883"/>
    <w:rsid w:val="009B15E2"/>
    <w:rsid w:val="009B36CB"/>
    <w:rsid w:val="009B46E4"/>
    <w:rsid w:val="009B5832"/>
    <w:rsid w:val="009B6312"/>
    <w:rsid w:val="009B640D"/>
    <w:rsid w:val="009C0850"/>
    <w:rsid w:val="009C0B8E"/>
    <w:rsid w:val="009C1BC8"/>
    <w:rsid w:val="009C2442"/>
    <w:rsid w:val="009C6F41"/>
    <w:rsid w:val="009D0811"/>
    <w:rsid w:val="009D0EE1"/>
    <w:rsid w:val="009D30BB"/>
    <w:rsid w:val="009E0A76"/>
    <w:rsid w:val="009E2AEB"/>
    <w:rsid w:val="009E2E27"/>
    <w:rsid w:val="009E3CA7"/>
    <w:rsid w:val="009E4DE3"/>
    <w:rsid w:val="009F2C4D"/>
    <w:rsid w:val="009F336A"/>
    <w:rsid w:val="00A020FF"/>
    <w:rsid w:val="00A047EE"/>
    <w:rsid w:val="00A04F04"/>
    <w:rsid w:val="00A114EA"/>
    <w:rsid w:val="00A153F7"/>
    <w:rsid w:val="00A1561C"/>
    <w:rsid w:val="00A1564C"/>
    <w:rsid w:val="00A2274A"/>
    <w:rsid w:val="00A235B7"/>
    <w:rsid w:val="00A26051"/>
    <w:rsid w:val="00A27055"/>
    <w:rsid w:val="00A27A7A"/>
    <w:rsid w:val="00A36318"/>
    <w:rsid w:val="00A407EF"/>
    <w:rsid w:val="00A446D0"/>
    <w:rsid w:val="00A46B4C"/>
    <w:rsid w:val="00A5117B"/>
    <w:rsid w:val="00A5274D"/>
    <w:rsid w:val="00A54000"/>
    <w:rsid w:val="00A54689"/>
    <w:rsid w:val="00A60074"/>
    <w:rsid w:val="00A6627C"/>
    <w:rsid w:val="00A6649C"/>
    <w:rsid w:val="00A70BBC"/>
    <w:rsid w:val="00A70F94"/>
    <w:rsid w:val="00A71019"/>
    <w:rsid w:val="00A728D6"/>
    <w:rsid w:val="00A77D9F"/>
    <w:rsid w:val="00A81029"/>
    <w:rsid w:val="00A83CB5"/>
    <w:rsid w:val="00A865A7"/>
    <w:rsid w:val="00A96489"/>
    <w:rsid w:val="00AA2F3A"/>
    <w:rsid w:val="00AA3821"/>
    <w:rsid w:val="00AA3A42"/>
    <w:rsid w:val="00AA5311"/>
    <w:rsid w:val="00AA7BAA"/>
    <w:rsid w:val="00AB0BBC"/>
    <w:rsid w:val="00AB685C"/>
    <w:rsid w:val="00AB6C2D"/>
    <w:rsid w:val="00AC08F7"/>
    <w:rsid w:val="00AC3839"/>
    <w:rsid w:val="00AC7082"/>
    <w:rsid w:val="00AD0E59"/>
    <w:rsid w:val="00AD21AD"/>
    <w:rsid w:val="00AD3FEA"/>
    <w:rsid w:val="00AD6F7E"/>
    <w:rsid w:val="00AD7BBD"/>
    <w:rsid w:val="00AF228E"/>
    <w:rsid w:val="00AF302B"/>
    <w:rsid w:val="00B00486"/>
    <w:rsid w:val="00B04137"/>
    <w:rsid w:val="00B043CD"/>
    <w:rsid w:val="00B1112C"/>
    <w:rsid w:val="00B11D19"/>
    <w:rsid w:val="00B120A5"/>
    <w:rsid w:val="00B12936"/>
    <w:rsid w:val="00B12C2D"/>
    <w:rsid w:val="00B14819"/>
    <w:rsid w:val="00B15031"/>
    <w:rsid w:val="00B17AA9"/>
    <w:rsid w:val="00B263D0"/>
    <w:rsid w:val="00B32DE4"/>
    <w:rsid w:val="00B33578"/>
    <w:rsid w:val="00B368DD"/>
    <w:rsid w:val="00B370C3"/>
    <w:rsid w:val="00B411AE"/>
    <w:rsid w:val="00B413F5"/>
    <w:rsid w:val="00B457BF"/>
    <w:rsid w:val="00B46CE2"/>
    <w:rsid w:val="00B51643"/>
    <w:rsid w:val="00B56219"/>
    <w:rsid w:val="00B60190"/>
    <w:rsid w:val="00B61419"/>
    <w:rsid w:val="00B66441"/>
    <w:rsid w:val="00B7078B"/>
    <w:rsid w:val="00B7240D"/>
    <w:rsid w:val="00B72F5F"/>
    <w:rsid w:val="00B736DF"/>
    <w:rsid w:val="00B74FBD"/>
    <w:rsid w:val="00B77352"/>
    <w:rsid w:val="00B80597"/>
    <w:rsid w:val="00B82586"/>
    <w:rsid w:val="00B829A3"/>
    <w:rsid w:val="00B85976"/>
    <w:rsid w:val="00B86DB1"/>
    <w:rsid w:val="00B87869"/>
    <w:rsid w:val="00B92484"/>
    <w:rsid w:val="00B953BD"/>
    <w:rsid w:val="00BA0E44"/>
    <w:rsid w:val="00BA2677"/>
    <w:rsid w:val="00BA47C5"/>
    <w:rsid w:val="00BB0F2B"/>
    <w:rsid w:val="00BC3CD1"/>
    <w:rsid w:val="00BD0D57"/>
    <w:rsid w:val="00BD6939"/>
    <w:rsid w:val="00BD7C86"/>
    <w:rsid w:val="00BE1A50"/>
    <w:rsid w:val="00BF4E3F"/>
    <w:rsid w:val="00BF50F7"/>
    <w:rsid w:val="00BF5396"/>
    <w:rsid w:val="00C00111"/>
    <w:rsid w:val="00C02F29"/>
    <w:rsid w:val="00C10C13"/>
    <w:rsid w:val="00C17111"/>
    <w:rsid w:val="00C20747"/>
    <w:rsid w:val="00C20AFE"/>
    <w:rsid w:val="00C22A25"/>
    <w:rsid w:val="00C23B79"/>
    <w:rsid w:val="00C23CD2"/>
    <w:rsid w:val="00C27612"/>
    <w:rsid w:val="00C33D50"/>
    <w:rsid w:val="00C35671"/>
    <w:rsid w:val="00C35B77"/>
    <w:rsid w:val="00C370D3"/>
    <w:rsid w:val="00C376EB"/>
    <w:rsid w:val="00C4003A"/>
    <w:rsid w:val="00C402DF"/>
    <w:rsid w:val="00C4372B"/>
    <w:rsid w:val="00C4510C"/>
    <w:rsid w:val="00C46EC1"/>
    <w:rsid w:val="00C504E5"/>
    <w:rsid w:val="00C53E2C"/>
    <w:rsid w:val="00C54EDB"/>
    <w:rsid w:val="00C550C8"/>
    <w:rsid w:val="00C56B61"/>
    <w:rsid w:val="00C606C3"/>
    <w:rsid w:val="00C620F4"/>
    <w:rsid w:val="00C66240"/>
    <w:rsid w:val="00C668B6"/>
    <w:rsid w:val="00C67ECE"/>
    <w:rsid w:val="00C70307"/>
    <w:rsid w:val="00C7161B"/>
    <w:rsid w:val="00C72848"/>
    <w:rsid w:val="00C7736C"/>
    <w:rsid w:val="00C81E3B"/>
    <w:rsid w:val="00C82D87"/>
    <w:rsid w:val="00C841ED"/>
    <w:rsid w:val="00C84EFA"/>
    <w:rsid w:val="00C85BDC"/>
    <w:rsid w:val="00C85F17"/>
    <w:rsid w:val="00C8712A"/>
    <w:rsid w:val="00C91324"/>
    <w:rsid w:val="00C914F7"/>
    <w:rsid w:val="00C931A2"/>
    <w:rsid w:val="00C963D3"/>
    <w:rsid w:val="00CA53BB"/>
    <w:rsid w:val="00CA6E0D"/>
    <w:rsid w:val="00CB2CBB"/>
    <w:rsid w:val="00CB4084"/>
    <w:rsid w:val="00CB56CE"/>
    <w:rsid w:val="00CB7CAC"/>
    <w:rsid w:val="00CC086B"/>
    <w:rsid w:val="00CC0EA0"/>
    <w:rsid w:val="00CC330D"/>
    <w:rsid w:val="00CC5335"/>
    <w:rsid w:val="00CC5BA4"/>
    <w:rsid w:val="00CC685F"/>
    <w:rsid w:val="00CC70BB"/>
    <w:rsid w:val="00CD02BB"/>
    <w:rsid w:val="00CD3420"/>
    <w:rsid w:val="00CD4998"/>
    <w:rsid w:val="00CE1035"/>
    <w:rsid w:val="00CE1039"/>
    <w:rsid w:val="00CE2A6A"/>
    <w:rsid w:val="00CF0E31"/>
    <w:rsid w:val="00CF2819"/>
    <w:rsid w:val="00CF4F9D"/>
    <w:rsid w:val="00CF70DC"/>
    <w:rsid w:val="00D05776"/>
    <w:rsid w:val="00D148DC"/>
    <w:rsid w:val="00D17FDC"/>
    <w:rsid w:val="00D328F1"/>
    <w:rsid w:val="00D444C5"/>
    <w:rsid w:val="00D45AEA"/>
    <w:rsid w:val="00D5244F"/>
    <w:rsid w:val="00D52E4F"/>
    <w:rsid w:val="00D54137"/>
    <w:rsid w:val="00D56A37"/>
    <w:rsid w:val="00D57202"/>
    <w:rsid w:val="00D576FE"/>
    <w:rsid w:val="00D6270F"/>
    <w:rsid w:val="00D6386E"/>
    <w:rsid w:val="00D63EFD"/>
    <w:rsid w:val="00D64826"/>
    <w:rsid w:val="00D66ABD"/>
    <w:rsid w:val="00D7080A"/>
    <w:rsid w:val="00D80DF2"/>
    <w:rsid w:val="00D84150"/>
    <w:rsid w:val="00D84752"/>
    <w:rsid w:val="00D85AB0"/>
    <w:rsid w:val="00D86B3B"/>
    <w:rsid w:val="00D8748A"/>
    <w:rsid w:val="00D93196"/>
    <w:rsid w:val="00D94A4D"/>
    <w:rsid w:val="00D978A4"/>
    <w:rsid w:val="00D97A93"/>
    <w:rsid w:val="00DA1083"/>
    <w:rsid w:val="00DA26C8"/>
    <w:rsid w:val="00DA35CC"/>
    <w:rsid w:val="00DA3662"/>
    <w:rsid w:val="00DB243C"/>
    <w:rsid w:val="00DB25B1"/>
    <w:rsid w:val="00DB45DD"/>
    <w:rsid w:val="00DB482A"/>
    <w:rsid w:val="00DB56F2"/>
    <w:rsid w:val="00DB6EF5"/>
    <w:rsid w:val="00DC129E"/>
    <w:rsid w:val="00DC3089"/>
    <w:rsid w:val="00DC4420"/>
    <w:rsid w:val="00DC7BB8"/>
    <w:rsid w:val="00DD0802"/>
    <w:rsid w:val="00DD0A50"/>
    <w:rsid w:val="00DD18E9"/>
    <w:rsid w:val="00DD2E11"/>
    <w:rsid w:val="00DD59E2"/>
    <w:rsid w:val="00DE03AF"/>
    <w:rsid w:val="00DE121C"/>
    <w:rsid w:val="00DE2A27"/>
    <w:rsid w:val="00DE3705"/>
    <w:rsid w:val="00DE6633"/>
    <w:rsid w:val="00DF3B3C"/>
    <w:rsid w:val="00DF75F8"/>
    <w:rsid w:val="00DF7A3A"/>
    <w:rsid w:val="00E00C00"/>
    <w:rsid w:val="00E04A7C"/>
    <w:rsid w:val="00E059FB"/>
    <w:rsid w:val="00E064D8"/>
    <w:rsid w:val="00E069C4"/>
    <w:rsid w:val="00E07275"/>
    <w:rsid w:val="00E07866"/>
    <w:rsid w:val="00E07C5A"/>
    <w:rsid w:val="00E15BA9"/>
    <w:rsid w:val="00E219E1"/>
    <w:rsid w:val="00E2302C"/>
    <w:rsid w:val="00E25B22"/>
    <w:rsid w:val="00E2622D"/>
    <w:rsid w:val="00E26BE4"/>
    <w:rsid w:val="00E26E19"/>
    <w:rsid w:val="00E27E3C"/>
    <w:rsid w:val="00E31DF3"/>
    <w:rsid w:val="00E32814"/>
    <w:rsid w:val="00E33448"/>
    <w:rsid w:val="00E33486"/>
    <w:rsid w:val="00E34181"/>
    <w:rsid w:val="00E41854"/>
    <w:rsid w:val="00E43051"/>
    <w:rsid w:val="00E450A4"/>
    <w:rsid w:val="00E506BE"/>
    <w:rsid w:val="00E53F34"/>
    <w:rsid w:val="00E55547"/>
    <w:rsid w:val="00E56D74"/>
    <w:rsid w:val="00E57410"/>
    <w:rsid w:val="00E61C42"/>
    <w:rsid w:val="00E6302B"/>
    <w:rsid w:val="00E6452F"/>
    <w:rsid w:val="00E64619"/>
    <w:rsid w:val="00E64F45"/>
    <w:rsid w:val="00E6742D"/>
    <w:rsid w:val="00E70BCD"/>
    <w:rsid w:val="00E71CB0"/>
    <w:rsid w:val="00E73529"/>
    <w:rsid w:val="00E77C3D"/>
    <w:rsid w:val="00E80292"/>
    <w:rsid w:val="00E82E22"/>
    <w:rsid w:val="00E850FE"/>
    <w:rsid w:val="00E87686"/>
    <w:rsid w:val="00E909F0"/>
    <w:rsid w:val="00E90D47"/>
    <w:rsid w:val="00E93993"/>
    <w:rsid w:val="00E9597C"/>
    <w:rsid w:val="00EA0913"/>
    <w:rsid w:val="00EA0A2F"/>
    <w:rsid w:val="00EA6D31"/>
    <w:rsid w:val="00EB146B"/>
    <w:rsid w:val="00EB45AC"/>
    <w:rsid w:val="00EC2AEA"/>
    <w:rsid w:val="00EC7B11"/>
    <w:rsid w:val="00EC7F95"/>
    <w:rsid w:val="00ED01CA"/>
    <w:rsid w:val="00ED0BC4"/>
    <w:rsid w:val="00ED33F0"/>
    <w:rsid w:val="00ED3771"/>
    <w:rsid w:val="00ED3E0D"/>
    <w:rsid w:val="00ED4AB7"/>
    <w:rsid w:val="00ED5C7F"/>
    <w:rsid w:val="00ED6A32"/>
    <w:rsid w:val="00EE4971"/>
    <w:rsid w:val="00EE6C40"/>
    <w:rsid w:val="00EF090E"/>
    <w:rsid w:val="00F00AB2"/>
    <w:rsid w:val="00F033DA"/>
    <w:rsid w:val="00F11AAB"/>
    <w:rsid w:val="00F13FB1"/>
    <w:rsid w:val="00F17BC1"/>
    <w:rsid w:val="00F17C87"/>
    <w:rsid w:val="00F20272"/>
    <w:rsid w:val="00F223E7"/>
    <w:rsid w:val="00F2288D"/>
    <w:rsid w:val="00F25779"/>
    <w:rsid w:val="00F2587A"/>
    <w:rsid w:val="00F272BD"/>
    <w:rsid w:val="00F2750A"/>
    <w:rsid w:val="00F27CD8"/>
    <w:rsid w:val="00F30351"/>
    <w:rsid w:val="00F31EE9"/>
    <w:rsid w:val="00F3323E"/>
    <w:rsid w:val="00F341F4"/>
    <w:rsid w:val="00F34F9D"/>
    <w:rsid w:val="00F35CCE"/>
    <w:rsid w:val="00F36397"/>
    <w:rsid w:val="00F41171"/>
    <w:rsid w:val="00F50FA1"/>
    <w:rsid w:val="00F51EE5"/>
    <w:rsid w:val="00F55241"/>
    <w:rsid w:val="00F5524B"/>
    <w:rsid w:val="00F572C4"/>
    <w:rsid w:val="00F60538"/>
    <w:rsid w:val="00F61DD2"/>
    <w:rsid w:val="00F6523A"/>
    <w:rsid w:val="00F66AFF"/>
    <w:rsid w:val="00F70C2C"/>
    <w:rsid w:val="00F71433"/>
    <w:rsid w:val="00F7241A"/>
    <w:rsid w:val="00F74DFD"/>
    <w:rsid w:val="00F83E76"/>
    <w:rsid w:val="00F87BEA"/>
    <w:rsid w:val="00F90A57"/>
    <w:rsid w:val="00F94263"/>
    <w:rsid w:val="00F94D8D"/>
    <w:rsid w:val="00F9586C"/>
    <w:rsid w:val="00F964EC"/>
    <w:rsid w:val="00F975D7"/>
    <w:rsid w:val="00F97C5B"/>
    <w:rsid w:val="00F97E15"/>
    <w:rsid w:val="00FA05D2"/>
    <w:rsid w:val="00FA359A"/>
    <w:rsid w:val="00FA3D50"/>
    <w:rsid w:val="00FA4BF4"/>
    <w:rsid w:val="00FA537D"/>
    <w:rsid w:val="00FB009F"/>
    <w:rsid w:val="00FB25B0"/>
    <w:rsid w:val="00FB6136"/>
    <w:rsid w:val="00FC1ED9"/>
    <w:rsid w:val="00FC1EDA"/>
    <w:rsid w:val="00FC374A"/>
    <w:rsid w:val="00FC7B47"/>
    <w:rsid w:val="00FD035C"/>
    <w:rsid w:val="00FD1A35"/>
    <w:rsid w:val="00FD1FE6"/>
    <w:rsid w:val="00FD36C5"/>
    <w:rsid w:val="00FD428C"/>
    <w:rsid w:val="00FD6310"/>
    <w:rsid w:val="00FD6A93"/>
    <w:rsid w:val="00FD7C7B"/>
    <w:rsid w:val="00FD7FD0"/>
    <w:rsid w:val="00FE1D12"/>
    <w:rsid w:val="00FE2122"/>
    <w:rsid w:val="00FE2A86"/>
    <w:rsid w:val="00FE4CCE"/>
    <w:rsid w:val="00FE610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E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CE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190253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5992478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13</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Ler</cp:lastModifiedBy>
  <cp:revision>331</cp:revision>
  <cp:lastPrinted>2019-08-27T05:42:00Z</cp:lastPrinted>
  <dcterms:created xsi:type="dcterms:W3CDTF">2023-01-19T09:32:00Z</dcterms:created>
  <dcterms:modified xsi:type="dcterms:W3CDTF">2024-03-01T22:48:00Z</dcterms:modified>
</cp:coreProperties>
</file>