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A46D15">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B263D0">
      <w:pPr>
        <w:pStyle w:val="ListParagraph"/>
        <w:numPr>
          <w:ilvl w:val="0"/>
          <w:numId w:val="14"/>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547E78" w:rsidRDefault="00B263D0" w:rsidP="00B263D0">
      <w:pPr>
        <w:pStyle w:val="ListParagraph"/>
        <w:numPr>
          <w:ilvl w:val="0"/>
          <w:numId w:val="14"/>
        </w:numPr>
        <w:ind w:left="426" w:hanging="426"/>
        <w:jc w:val="both"/>
        <w:rPr>
          <w:rFonts w:ascii="Avenir Next" w:hAnsi="Avenir Next" w:cs="Arial"/>
          <w:sz w:val="22"/>
          <w:szCs w:val="22"/>
          <w:highlight w:val="yellow"/>
          <w:lang w:val="en-GB"/>
        </w:rPr>
      </w:pPr>
      <w:r w:rsidRPr="00547E78">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B263D0">
      <w:pPr>
        <w:pStyle w:val="ListParagraph"/>
        <w:numPr>
          <w:ilvl w:val="0"/>
          <w:numId w:val="14"/>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4E1674">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AD0E59">
      <w:pPr>
        <w:pStyle w:val="ListParagraph"/>
        <w:numPr>
          <w:ilvl w:val="0"/>
          <w:numId w:val="5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547E78" w:rsidRDefault="00AD0E59" w:rsidP="00AD0E59">
      <w:pPr>
        <w:pStyle w:val="ListParagraph"/>
        <w:numPr>
          <w:ilvl w:val="0"/>
          <w:numId w:val="50"/>
        </w:numPr>
        <w:ind w:left="426" w:hanging="426"/>
        <w:jc w:val="both"/>
        <w:rPr>
          <w:rFonts w:ascii="Avenir Next" w:hAnsi="Avenir Next" w:cs="Arial"/>
          <w:sz w:val="22"/>
          <w:szCs w:val="22"/>
          <w:lang w:val="en-GB"/>
        </w:rPr>
      </w:pPr>
      <w:r w:rsidRPr="00547E78">
        <w:rPr>
          <w:rFonts w:ascii="Avenir Next" w:hAnsi="Avenir Next" w:cs="Arial"/>
          <w:sz w:val="22"/>
          <w:szCs w:val="22"/>
          <w:lang w:val="en-GB"/>
        </w:rPr>
        <w:lastRenderedPageBreak/>
        <w:t>Options (</w:t>
      </w:r>
      <w:proofErr w:type="spellStart"/>
      <w:r w:rsidRPr="00547E78">
        <w:rPr>
          <w:rFonts w:ascii="Avenir Next" w:hAnsi="Avenir Next" w:cs="Arial"/>
          <w:sz w:val="22"/>
          <w:szCs w:val="22"/>
          <w:lang w:val="en-GB"/>
        </w:rPr>
        <w:t>i</w:t>
      </w:r>
      <w:proofErr w:type="spellEnd"/>
      <w:r w:rsidRPr="00547E78">
        <w:rPr>
          <w:rFonts w:ascii="Avenir Next" w:hAnsi="Avenir Next" w:cs="Arial"/>
          <w:sz w:val="22"/>
          <w:szCs w:val="22"/>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547E78" w:rsidRDefault="00AD0E59" w:rsidP="00AD0E59">
      <w:pPr>
        <w:pStyle w:val="ListParagraph"/>
        <w:numPr>
          <w:ilvl w:val="0"/>
          <w:numId w:val="50"/>
        </w:numPr>
        <w:ind w:left="426" w:hanging="426"/>
        <w:jc w:val="both"/>
        <w:rPr>
          <w:rFonts w:ascii="Avenir Next" w:hAnsi="Avenir Next" w:cs="Arial"/>
          <w:sz w:val="22"/>
          <w:szCs w:val="22"/>
          <w:lang w:val="en-GB"/>
        </w:rPr>
      </w:pPr>
      <w:r w:rsidRPr="00547E78">
        <w:rPr>
          <w:rFonts w:ascii="Avenir Next" w:hAnsi="Avenir Next" w:cs="Arial"/>
          <w:sz w:val="22"/>
          <w:szCs w:val="22"/>
          <w:lang w:val="en-GB"/>
        </w:rPr>
        <w:t>Options (</w:t>
      </w:r>
      <w:proofErr w:type="spellStart"/>
      <w:r w:rsidRPr="00547E78">
        <w:rPr>
          <w:rFonts w:ascii="Avenir Next" w:hAnsi="Avenir Next" w:cs="Arial"/>
          <w:sz w:val="22"/>
          <w:szCs w:val="22"/>
          <w:lang w:val="en-GB"/>
        </w:rPr>
        <w:t>i</w:t>
      </w:r>
      <w:proofErr w:type="spellEnd"/>
      <w:r w:rsidRPr="00547E78">
        <w:rPr>
          <w:rFonts w:ascii="Avenir Next" w:hAnsi="Avenir Next" w:cs="Arial"/>
          <w:sz w:val="22"/>
          <w:szCs w:val="22"/>
          <w:lang w:val="en-GB"/>
        </w:rPr>
        <w:t>), (ii), (iii) and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547E78" w:rsidRDefault="00AD0E59" w:rsidP="00AD0E59">
      <w:pPr>
        <w:pStyle w:val="ListParagraph"/>
        <w:numPr>
          <w:ilvl w:val="0"/>
          <w:numId w:val="50"/>
        </w:numPr>
        <w:ind w:left="426" w:hanging="426"/>
        <w:jc w:val="both"/>
        <w:rPr>
          <w:rFonts w:ascii="Avenir Next" w:hAnsi="Avenir Next" w:cs="Arial"/>
          <w:sz w:val="22"/>
          <w:szCs w:val="22"/>
          <w:highlight w:val="yellow"/>
          <w:lang w:val="en-GB"/>
        </w:rPr>
      </w:pPr>
      <w:r w:rsidRPr="00547E78">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547E78" w:rsidRDefault="00893A03" w:rsidP="00893A03">
      <w:pPr>
        <w:pStyle w:val="ListParagraph"/>
        <w:numPr>
          <w:ilvl w:val="0"/>
          <w:numId w:val="16"/>
        </w:numPr>
        <w:ind w:left="426" w:hanging="426"/>
        <w:jc w:val="both"/>
        <w:rPr>
          <w:rFonts w:ascii="Avenir Next" w:hAnsi="Avenir Next" w:cs="Arial"/>
          <w:sz w:val="22"/>
          <w:szCs w:val="22"/>
          <w:lang w:val="en-GB"/>
        </w:rPr>
      </w:pPr>
      <w:r w:rsidRPr="00547E78">
        <w:rPr>
          <w:rFonts w:ascii="Avenir Next" w:hAnsi="Avenir Next" w:cs="Arial"/>
          <w:sz w:val="22"/>
          <w:szCs w:val="22"/>
          <w:lang w:val="en-GB"/>
        </w:rPr>
        <w:t>Options (</w:t>
      </w:r>
      <w:proofErr w:type="spellStart"/>
      <w:r w:rsidRPr="00547E78">
        <w:rPr>
          <w:rFonts w:ascii="Avenir Next" w:hAnsi="Avenir Next" w:cs="Arial"/>
          <w:sz w:val="22"/>
          <w:szCs w:val="22"/>
          <w:lang w:val="en-GB"/>
        </w:rPr>
        <w:t>i</w:t>
      </w:r>
      <w:proofErr w:type="spellEnd"/>
      <w:r w:rsidRPr="00547E78">
        <w:rPr>
          <w:rFonts w:ascii="Avenir Next" w:hAnsi="Avenir Next" w:cs="Arial"/>
          <w:sz w:val="22"/>
          <w:szCs w:val="22"/>
          <w:lang w:val="en-GB"/>
        </w:rPr>
        <w:t>), (ii) and (iv).</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547E78" w:rsidRDefault="00893A03" w:rsidP="00893A03">
      <w:pPr>
        <w:pStyle w:val="ListParagraph"/>
        <w:numPr>
          <w:ilvl w:val="0"/>
          <w:numId w:val="16"/>
        </w:numPr>
        <w:ind w:left="426" w:hanging="426"/>
        <w:jc w:val="both"/>
        <w:rPr>
          <w:rFonts w:ascii="Avenir Next" w:hAnsi="Avenir Next" w:cs="Arial"/>
          <w:sz w:val="22"/>
          <w:szCs w:val="22"/>
          <w:highlight w:val="yellow"/>
          <w:lang w:val="en-GB"/>
        </w:rPr>
      </w:pPr>
      <w:r w:rsidRPr="00547E78">
        <w:rPr>
          <w:rFonts w:ascii="Avenir Next" w:hAnsi="Avenir Next" w:cs="Arial"/>
          <w:sz w:val="22"/>
          <w:szCs w:val="22"/>
          <w:highlight w:val="yellow"/>
          <w:lang w:val="en-GB"/>
        </w:rPr>
        <w:t>Options (</w:t>
      </w:r>
      <w:proofErr w:type="spellStart"/>
      <w:r w:rsidRPr="00547E78">
        <w:rPr>
          <w:rFonts w:ascii="Avenir Next" w:hAnsi="Avenir Next" w:cs="Arial"/>
          <w:sz w:val="22"/>
          <w:szCs w:val="22"/>
          <w:highlight w:val="yellow"/>
          <w:lang w:val="en-GB"/>
        </w:rPr>
        <w:t>i</w:t>
      </w:r>
      <w:proofErr w:type="spellEnd"/>
      <w:r w:rsidRPr="00547E78">
        <w:rPr>
          <w:rFonts w:ascii="Avenir Next" w:hAnsi="Avenir Next" w:cs="Arial"/>
          <w:sz w:val="22"/>
          <w:szCs w:val="22"/>
          <w:highlight w:val="yellow"/>
          <w:lang w:val="en-GB"/>
        </w:rPr>
        <w:t xml:space="preserve">),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55310D" w:rsidRDefault="00812AFE" w:rsidP="00C00111">
      <w:pPr>
        <w:pStyle w:val="ListParagraph"/>
        <w:numPr>
          <w:ilvl w:val="0"/>
          <w:numId w:val="18"/>
        </w:numPr>
        <w:ind w:left="426" w:hanging="426"/>
        <w:jc w:val="both"/>
        <w:rPr>
          <w:rFonts w:ascii="Avenir Next" w:hAnsi="Avenir Next" w:cs="Arial"/>
          <w:sz w:val="22"/>
          <w:szCs w:val="22"/>
          <w:highlight w:val="yellow"/>
          <w:lang w:val="en-GB"/>
        </w:rPr>
      </w:pPr>
      <w:r w:rsidRPr="0055310D">
        <w:rPr>
          <w:rFonts w:ascii="Avenir Next" w:hAnsi="Avenir Next" w:cs="Arial"/>
          <w:sz w:val="22"/>
          <w:szCs w:val="22"/>
          <w:highlight w:val="yellow"/>
          <w:lang w:val="en-GB"/>
        </w:rPr>
        <w:t>Options (</w:t>
      </w:r>
      <w:proofErr w:type="spellStart"/>
      <w:r w:rsidRPr="0055310D">
        <w:rPr>
          <w:rFonts w:ascii="Avenir Next" w:hAnsi="Avenir Next" w:cs="Arial"/>
          <w:sz w:val="22"/>
          <w:szCs w:val="22"/>
          <w:highlight w:val="yellow"/>
          <w:lang w:val="en-GB"/>
        </w:rPr>
        <w:t>i</w:t>
      </w:r>
      <w:proofErr w:type="spellEnd"/>
      <w:r w:rsidRPr="0055310D">
        <w:rPr>
          <w:rFonts w:ascii="Avenir Next" w:hAnsi="Avenir Next" w:cs="Arial"/>
          <w:sz w:val="22"/>
          <w:szCs w:val="22"/>
          <w:highlight w:val="yellow"/>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D52EAE" w:rsidRDefault="003220BA" w:rsidP="00C00111">
      <w:pPr>
        <w:pStyle w:val="ListParagraph"/>
        <w:numPr>
          <w:ilvl w:val="0"/>
          <w:numId w:val="20"/>
        </w:numPr>
        <w:ind w:left="426" w:hanging="426"/>
        <w:jc w:val="both"/>
        <w:rPr>
          <w:rFonts w:ascii="Avenir Next" w:hAnsi="Avenir Next" w:cs="Arial"/>
          <w:sz w:val="22"/>
          <w:szCs w:val="22"/>
          <w:highlight w:val="yellow"/>
          <w:lang w:val="en-GB"/>
        </w:rPr>
      </w:pPr>
      <w:r w:rsidRPr="00D52EAE">
        <w:rPr>
          <w:rFonts w:ascii="Avenir Next" w:hAnsi="Avenir Next" w:cs="Arial"/>
          <w:sz w:val="22"/>
          <w:szCs w:val="22"/>
          <w:highlight w:val="yellow"/>
          <w:lang w:val="en-GB"/>
        </w:rPr>
        <w:t>Options (</w:t>
      </w:r>
      <w:proofErr w:type="spellStart"/>
      <w:r w:rsidRPr="00D52EAE">
        <w:rPr>
          <w:rFonts w:ascii="Avenir Next" w:hAnsi="Avenir Next" w:cs="Arial"/>
          <w:sz w:val="22"/>
          <w:szCs w:val="22"/>
          <w:highlight w:val="yellow"/>
          <w:lang w:val="en-GB"/>
        </w:rPr>
        <w:t>i</w:t>
      </w:r>
      <w:proofErr w:type="spellEnd"/>
      <w:r w:rsidRPr="00D52EAE">
        <w:rPr>
          <w:rFonts w:ascii="Avenir Next" w:hAnsi="Avenir Next" w:cs="Arial"/>
          <w:sz w:val="22"/>
          <w:szCs w:val="22"/>
          <w:highlight w:val="yellow"/>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w:t>
      </w:r>
      <w:r w:rsidRPr="00935FB2">
        <w:rPr>
          <w:rFonts w:ascii="Avenir Next" w:hAnsi="Avenir Next"/>
          <w:sz w:val="22"/>
          <w:szCs w:val="28"/>
          <w:lang w:val="en-GB"/>
        </w:rPr>
        <w:lastRenderedPageBreak/>
        <w:t xml:space="preserve">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C00111">
      <w:pPr>
        <w:pStyle w:val="ListParagraph"/>
        <w:numPr>
          <w:ilvl w:val="0"/>
          <w:numId w:val="26"/>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D52EAE" w:rsidRDefault="009344C1" w:rsidP="00C00111">
      <w:pPr>
        <w:pStyle w:val="ListParagraph"/>
        <w:numPr>
          <w:ilvl w:val="0"/>
          <w:numId w:val="26"/>
        </w:numPr>
        <w:ind w:left="426" w:hanging="426"/>
        <w:jc w:val="both"/>
        <w:rPr>
          <w:rFonts w:ascii="Avenir Next" w:hAnsi="Avenir Next" w:cs="Arial"/>
          <w:sz w:val="22"/>
          <w:szCs w:val="22"/>
          <w:highlight w:val="yellow"/>
          <w:lang w:val="en-GB"/>
        </w:rPr>
      </w:pPr>
      <w:r w:rsidRPr="00D52EAE">
        <w:rPr>
          <w:rFonts w:ascii="Avenir Next" w:hAnsi="Avenir Next" w:cs="Arial"/>
          <w:sz w:val="22"/>
          <w:szCs w:val="22"/>
          <w:highlight w:val="yellow"/>
          <w:lang w:val="en-GB"/>
        </w:rPr>
        <w:t>Not enough facts provided to arrive at a conclusion.</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D52EAE" w:rsidRDefault="00F51EE5" w:rsidP="00C00111">
      <w:pPr>
        <w:pStyle w:val="ListParagraph"/>
        <w:numPr>
          <w:ilvl w:val="0"/>
          <w:numId w:val="27"/>
        </w:numPr>
        <w:ind w:left="426" w:hanging="426"/>
        <w:jc w:val="both"/>
        <w:rPr>
          <w:rFonts w:ascii="Avenir Next" w:hAnsi="Avenir Next" w:cs="Arial"/>
          <w:sz w:val="22"/>
          <w:szCs w:val="22"/>
          <w:highlight w:val="yellow"/>
          <w:lang w:val="en-GB"/>
        </w:rPr>
      </w:pPr>
      <w:r w:rsidRPr="00D52EAE">
        <w:rPr>
          <w:rFonts w:ascii="Avenir Next" w:hAnsi="Avenir Next" w:cs="Arial"/>
          <w:sz w:val="22"/>
          <w:szCs w:val="22"/>
          <w:highlight w:val="yellow"/>
          <w:lang w:val="en-GB"/>
        </w:rPr>
        <w:t>Options (</w:t>
      </w:r>
      <w:proofErr w:type="spellStart"/>
      <w:r w:rsidRPr="00D52EAE">
        <w:rPr>
          <w:rFonts w:ascii="Avenir Next" w:hAnsi="Avenir Next" w:cs="Arial"/>
          <w:sz w:val="22"/>
          <w:szCs w:val="22"/>
          <w:highlight w:val="yellow"/>
          <w:lang w:val="en-GB"/>
        </w:rPr>
        <w:t>i</w:t>
      </w:r>
      <w:proofErr w:type="spellEnd"/>
      <w:r w:rsidRPr="00D52EAE">
        <w:rPr>
          <w:rFonts w:ascii="Avenir Next" w:hAnsi="Avenir Next" w:cs="Arial"/>
          <w:sz w:val="22"/>
          <w:szCs w:val="22"/>
          <w:highlight w:val="yellow"/>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lastRenderedPageBreak/>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D52EAE" w:rsidRDefault="0097337E" w:rsidP="0097337E">
      <w:pPr>
        <w:pStyle w:val="ListParagraph"/>
        <w:numPr>
          <w:ilvl w:val="0"/>
          <w:numId w:val="28"/>
        </w:numPr>
        <w:ind w:left="426" w:hanging="426"/>
        <w:jc w:val="both"/>
        <w:rPr>
          <w:rFonts w:ascii="Avenir Next" w:hAnsi="Avenir Next" w:cs="Arial"/>
          <w:sz w:val="22"/>
          <w:szCs w:val="22"/>
          <w:highlight w:val="yellow"/>
          <w:lang w:val="en-GB"/>
        </w:rPr>
      </w:pPr>
      <w:r w:rsidRPr="00D52EAE">
        <w:rPr>
          <w:rFonts w:ascii="Avenir Next" w:hAnsi="Avenir Next" w:cs="Arial"/>
          <w:sz w:val="22"/>
          <w:szCs w:val="22"/>
          <w:highlight w:val="yellow"/>
          <w:lang w:val="en-GB"/>
        </w:rPr>
        <w:t>Options (</w:t>
      </w:r>
      <w:proofErr w:type="spellStart"/>
      <w:r w:rsidRPr="00D52EAE">
        <w:rPr>
          <w:rFonts w:ascii="Avenir Next" w:hAnsi="Avenir Next" w:cs="Arial"/>
          <w:sz w:val="22"/>
          <w:szCs w:val="22"/>
          <w:highlight w:val="yellow"/>
          <w:lang w:val="en-GB"/>
        </w:rPr>
        <w:t>i</w:t>
      </w:r>
      <w:proofErr w:type="spellEnd"/>
      <w:r w:rsidRPr="00D52EAE">
        <w:rPr>
          <w:rFonts w:ascii="Avenir Next" w:hAnsi="Avenir Next" w:cs="Arial"/>
          <w:sz w:val="22"/>
          <w:szCs w:val="22"/>
          <w:highlight w:val="yellow"/>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97337E">
      <w:pPr>
        <w:pStyle w:val="ListParagraph"/>
        <w:numPr>
          <w:ilvl w:val="0"/>
          <w:numId w:val="2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E2622D" w:rsidRDefault="0097337E" w:rsidP="0097337E">
      <w:pPr>
        <w:pStyle w:val="ListParagraph"/>
        <w:numPr>
          <w:ilvl w:val="0"/>
          <w:numId w:val="28"/>
        </w:numPr>
        <w:ind w:left="426" w:hanging="426"/>
        <w:jc w:val="both"/>
        <w:rPr>
          <w:rFonts w:ascii="Avenir Next" w:hAnsi="Avenir Next" w:cs="Arial"/>
          <w:sz w:val="22"/>
          <w:szCs w:val="22"/>
          <w:lang w:val="en-GB"/>
        </w:rPr>
      </w:pPr>
      <w:r>
        <w:rPr>
          <w:rFonts w:ascii="Avenir Next" w:hAnsi="Avenir Next" w:cs="Arial"/>
          <w:sz w:val="22"/>
          <w:szCs w:val="22"/>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97337E">
      <w:pPr>
        <w:pStyle w:val="ListParagraph"/>
        <w:numPr>
          <w:ilvl w:val="0"/>
          <w:numId w:val="28"/>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D52EAE" w:rsidRDefault="009A58D1" w:rsidP="009A58D1">
      <w:pPr>
        <w:pStyle w:val="ListParagraph"/>
        <w:numPr>
          <w:ilvl w:val="0"/>
          <w:numId w:val="29"/>
        </w:numPr>
        <w:ind w:left="426" w:hanging="426"/>
        <w:jc w:val="both"/>
        <w:rPr>
          <w:rFonts w:ascii="Avenir Next" w:hAnsi="Avenir Next" w:cs="Arial"/>
          <w:sz w:val="22"/>
          <w:szCs w:val="22"/>
          <w:highlight w:val="yellow"/>
          <w:lang w:val="en-GB"/>
        </w:rPr>
      </w:pPr>
      <w:r w:rsidRPr="00D52EAE">
        <w:rPr>
          <w:rFonts w:ascii="Avenir Next" w:hAnsi="Avenir Next" w:cs="Arial"/>
          <w:sz w:val="22"/>
          <w:szCs w:val="22"/>
          <w:highlight w:val="yellow"/>
          <w:lang w:val="en-GB"/>
        </w:rPr>
        <w:t>Options (iii), (</w:t>
      </w:r>
      <w:proofErr w:type="spellStart"/>
      <w:r w:rsidRPr="00D52EAE">
        <w:rPr>
          <w:rFonts w:ascii="Avenir Next" w:hAnsi="Avenir Next" w:cs="Arial"/>
          <w:sz w:val="22"/>
          <w:szCs w:val="22"/>
          <w:highlight w:val="yellow"/>
          <w:lang w:val="en-GB"/>
        </w:rPr>
        <w:t>i</w:t>
      </w:r>
      <w:proofErr w:type="spellEnd"/>
      <w:r w:rsidRPr="00D52EAE">
        <w:rPr>
          <w:rFonts w:ascii="Avenir Next" w:hAnsi="Avenir Next" w:cs="Arial"/>
          <w:sz w:val="22"/>
          <w:szCs w:val="22"/>
          <w:highlight w:val="yellow"/>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015555" w:rsidRDefault="00C4510C" w:rsidP="00C00111">
      <w:pPr>
        <w:pStyle w:val="ListParagraph"/>
        <w:numPr>
          <w:ilvl w:val="0"/>
          <w:numId w:val="30"/>
        </w:numPr>
        <w:ind w:left="426" w:hanging="426"/>
        <w:jc w:val="both"/>
        <w:rPr>
          <w:rFonts w:ascii="Avenir Next" w:hAnsi="Avenir Next" w:cs="Arial"/>
          <w:sz w:val="22"/>
          <w:szCs w:val="22"/>
          <w:highlight w:val="yellow"/>
          <w:lang w:val="en-GB"/>
        </w:rPr>
      </w:pPr>
      <w:r w:rsidRPr="00015555">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214E7488" w14:textId="3F0D6664" w:rsidR="00CA4B1C" w:rsidRDefault="00CA4B1C" w:rsidP="00CA4B1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European Insolvency Regulation (“EIR”) </w:t>
      </w:r>
      <w:r w:rsidR="00A12183">
        <w:rPr>
          <w:rFonts w:ascii="Avenir Next" w:hAnsi="Avenir Next" w:cs="Arial"/>
          <w:color w:val="808080" w:themeColor="background1" w:themeShade="80"/>
          <w:sz w:val="22"/>
          <w:szCs w:val="22"/>
          <w:lang w:val="en-GB"/>
        </w:rPr>
        <w:t xml:space="preserve">is a treaty and </w:t>
      </w:r>
      <w:r>
        <w:rPr>
          <w:rFonts w:ascii="Avenir Next" w:hAnsi="Avenir Next" w:cs="Arial"/>
          <w:color w:val="808080" w:themeColor="background1" w:themeShade="80"/>
          <w:sz w:val="22"/>
          <w:szCs w:val="22"/>
          <w:lang w:val="en-GB"/>
        </w:rPr>
        <w:t xml:space="preserve">directly becomes part of the domestic law of each member State of the European Union (“EU”) upon adoption and establishes a framework within which insolvency proceedings taking place in any EU member State can be recognised and enforced throughout the rest of the EU. </w:t>
      </w:r>
    </w:p>
    <w:p w14:paraId="002E07D6" w14:textId="77777777" w:rsidR="00CA4B1C" w:rsidRDefault="00CA4B1C" w:rsidP="00CA4B1C">
      <w:pPr>
        <w:jc w:val="both"/>
        <w:rPr>
          <w:rFonts w:ascii="Avenir Next" w:hAnsi="Avenir Next" w:cs="Arial"/>
          <w:color w:val="808080" w:themeColor="background1" w:themeShade="80"/>
          <w:sz w:val="22"/>
          <w:szCs w:val="22"/>
          <w:lang w:val="en-GB"/>
        </w:rPr>
      </w:pPr>
    </w:p>
    <w:p w14:paraId="7FC6E561" w14:textId="5C3BEAC3" w:rsidR="00CA4B1C" w:rsidRDefault="00CA4B1C" w:rsidP="00CA4B1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By comparison, the UNCITRAL Model Law on Cross-Border Insolvency (“Model Law”) is</w:t>
      </w:r>
      <w:r w:rsidR="00A12183">
        <w:rPr>
          <w:rFonts w:ascii="Avenir Next" w:hAnsi="Avenir Next" w:cs="Arial"/>
          <w:color w:val="808080" w:themeColor="background1" w:themeShade="80"/>
          <w:sz w:val="22"/>
          <w:szCs w:val="22"/>
          <w:lang w:val="en-GB"/>
        </w:rPr>
        <w:t xml:space="preserve"> not a treaty. It is</w:t>
      </w:r>
      <w:r>
        <w:rPr>
          <w:rFonts w:ascii="Avenir Next" w:hAnsi="Avenir Next" w:cs="Arial"/>
          <w:color w:val="808080" w:themeColor="background1" w:themeShade="80"/>
          <w:sz w:val="22"/>
          <w:szCs w:val="22"/>
          <w:lang w:val="en-GB"/>
        </w:rPr>
        <w:t xml:space="preserve"> only a recommendation</w:t>
      </w:r>
      <w:r w:rsidR="00A12183">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and </w:t>
      </w:r>
      <w:r w:rsidR="00A12183">
        <w:rPr>
          <w:rFonts w:ascii="Avenir Next" w:hAnsi="Avenir Next" w:cs="Arial"/>
          <w:color w:val="808080" w:themeColor="background1" w:themeShade="80"/>
          <w:sz w:val="22"/>
          <w:szCs w:val="22"/>
          <w:lang w:val="en-GB"/>
        </w:rPr>
        <w:t>can be</w:t>
      </w:r>
      <w:r>
        <w:rPr>
          <w:rFonts w:ascii="Avenir Next" w:hAnsi="Avenir Next" w:cs="Arial"/>
          <w:color w:val="808080" w:themeColor="background1" w:themeShade="80"/>
          <w:sz w:val="22"/>
          <w:szCs w:val="22"/>
          <w:lang w:val="en-GB"/>
        </w:rPr>
        <w:t xml:space="preserve"> adopt</w:t>
      </w:r>
      <w:r w:rsidR="00A12183">
        <w:rPr>
          <w:rFonts w:ascii="Avenir Next" w:hAnsi="Avenir Next" w:cs="Arial"/>
          <w:color w:val="808080" w:themeColor="background1" w:themeShade="80"/>
          <w:sz w:val="22"/>
          <w:szCs w:val="22"/>
          <w:lang w:val="en-GB"/>
        </w:rPr>
        <w:t>ed</w:t>
      </w:r>
      <w:r>
        <w:rPr>
          <w:rFonts w:ascii="Avenir Next" w:hAnsi="Avenir Next" w:cs="Arial"/>
          <w:color w:val="808080" w:themeColor="background1" w:themeShade="80"/>
          <w:sz w:val="22"/>
          <w:szCs w:val="22"/>
          <w:lang w:val="en-GB"/>
        </w:rPr>
        <w:t xml:space="preserve">, in whole or in part, into the domestic legislation of a State. The Model Law does not attempt to substantively unify the insolvency laws of States. </w:t>
      </w:r>
    </w:p>
    <w:p w14:paraId="534D3BBE" w14:textId="77777777" w:rsidR="00A12183" w:rsidRDefault="00A12183" w:rsidP="00CA4B1C">
      <w:pPr>
        <w:jc w:val="both"/>
        <w:rPr>
          <w:rFonts w:ascii="Avenir Next" w:hAnsi="Avenir Next" w:cs="Arial"/>
          <w:color w:val="808080" w:themeColor="background1" w:themeShade="80"/>
          <w:sz w:val="22"/>
          <w:szCs w:val="22"/>
          <w:lang w:val="en-GB"/>
        </w:rPr>
      </w:pPr>
    </w:p>
    <w:p w14:paraId="5A10C89A" w14:textId="060482B4" w:rsidR="00A12183" w:rsidRDefault="00A12183" w:rsidP="00CA4B1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advantage of the EIR is that there is consistency in how cross-border insolvency issues are dealt with in the EU. However, the disadvantage with such an approach is the time it takes to agree on the terms of the treaty. For example, the EIR was the result of almost forty years of efforts.</w:t>
      </w:r>
    </w:p>
    <w:p w14:paraId="20E75E6D" w14:textId="77777777" w:rsidR="00A12183" w:rsidRDefault="00A12183" w:rsidP="00CA4B1C">
      <w:pPr>
        <w:jc w:val="both"/>
        <w:rPr>
          <w:rFonts w:ascii="Avenir Next" w:hAnsi="Avenir Next" w:cs="Arial"/>
          <w:color w:val="808080" w:themeColor="background1" w:themeShade="80"/>
          <w:sz w:val="22"/>
          <w:szCs w:val="22"/>
          <w:lang w:val="en-GB"/>
        </w:rPr>
      </w:pPr>
    </w:p>
    <w:p w14:paraId="654B0E66" w14:textId="27621EC2" w:rsidR="00CB56CE" w:rsidRPr="00B77352" w:rsidRDefault="00A12183" w:rsidP="00CA4B1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advantage of the Model Law is that it takes less time to develop, as it does not require agreement between States as to its terms. However, the disadvantage is that it does not have to be adopted into the domestic legislation of States and, even it is adopted, it can be adopted in an ad hoc manner.  </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3C167851" w:rsidR="00867A8F" w:rsidRPr="00B77352" w:rsidRDefault="00323E57" w:rsidP="00323E5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in the enacting State must strike an appropriate balance between the relief that may be granted to the foreign representative and the interests of the persons that may be affected by the relief. Article 22 specifically mentions the interests of creditors, the debtor and other interested parties. These interests should guide the court in exercising its discretionary powers to grant post-recognition relief in Article 21. </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68CBB6FF" w14:textId="77777777" w:rsidR="00DE39E0" w:rsidRDefault="00DE39E0" w:rsidP="00707FC8">
      <w:pPr>
        <w:ind w:left="720" w:hanging="720"/>
        <w:jc w:val="both"/>
        <w:rPr>
          <w:rFonts w:ascii="Avenir Next Demi Bold" w:hAnsi="Avenir Next Demi Bold" w:cs="Arial"/>
          <w:b/>
          <w:bCs/>
          <w:sz w:val="22"/>
          <w:szCs w:val="22"/>
          <w:lang w:val="en-GB"/>
        </w:rPr>
      </w:pPr>
    </w:p>
    <w:p w14:paraId="0DAE52B2" w14:textId="77777777" w:rsidR="00DE39E0" w:rsidRDefault="00DE39E0" w:rsidP="00707FC8">
      <w:pPr>
        <w:ind w:left="720" w:hanging="720"/>
        <w:jc w:val="both"/>
        <w:rPr>
          <w:rFonts w:ascii="Avenir Next Demi Bold" w:hAnsi="Avenir Next Demi Bold" w:cs="Arial"/>
          <w:b/>
          <w:bCs/>
          <w:sz w:val="22"/>
          <w:szCs w:val="22"/>
          <w:lang w:val="en-GB"/>
        </w:rPr>
      </w:pPr>
    </w:p>
    <w:p w14:paraId="6F6FF417" w14:textId="77777777" w:rsidR="00DE39E0" w:rsidRDefault="00DE39E0" w:rsidP="00707FC8">
      <w:pPr>
        <w:ind w:left="720" w:hanging="720"/>
        <w:jc w:val="both"/>
        <w:rPr>
          <w:rFonts w:ascii="Avenir Next Demi Bold" w:hAnsi="Avenir Next Demi Bold" w:cs="Arial"/>
          <w:b/>
          <w:bCs/>
          <w:sz w:val="22"/>
          <w:szCs w:val="22"/>
          <w:lang w:val="en-GB"/>
        </w:rPr>
      </w:pPr>
    </w:p>
    <w:p w14:paraId="34516371" w14:textId="73A72CD6"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lastRenderedPageBreak/>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07E20C74" w:rsidR="00867A8F" w:rsidRPr="00B77352" w:rsidRDefault="00DE39E0" w:rsidP="00DE39E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13 of the Model Law gives foreign creditors the same rights as creditors domiciled in the enacting State regarding the commencement of, and participation in, local proceedings regarding the debtor under the insolvency law of the enacting State. This access right for foreign creditors does not affect the ranking of claims in the enacting State, except that the claim of a foreign creditor shall not be given a lower priority than that of general unsecured claims solely because the holder of such claim is a foreign creditor. The footnote to Article 13 does provide wording for States that refuse to recognise foreign tax and social security claims, allowing them to continue to discriminate against such claims.  </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18F91E21" w14:textId="68965318" w:rsidR="00867A8F" w:rsidRDefault="00DE39E0" w:rsidP="00FC70E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20 of the Model Law provides for automatic mandatory relief </w:t>
      </w:r>
      <w:r w:rsidR="009955BC">
        <w:rPr>
          <w:rFonts w:ascii="Avenir Next" w:hAnsi="Avenir Next" w:cs="Arial"/>
          <w:color w:val="808080" w:themeColor="background1" w:themeShade="80"/>
          <w:sz w:val="22"/>
          <w:szCs w:val="22"/>
          <w:lang w:val="en-GB"/>
        </w:rPr>
        <w:t>where the</w:t>
      </w:r>
      <w:r>
        <w:rPr>
          <w:rFonts w:ascii="Avenir Next" w:hAnsi="Avenir Next" w:cs="Arial"/>
          <w:color w:val="808080" w:themeColor="background1" w:themeShade="80"/>
          <w:sz w:val="22"/>
          <w:szCs w:val="22"/>
          <w:lang w:val="en-GB"/>
        </w:rPr>
        <w:t xml:space="preserve"> recognised </w:t>
      </w:r>
      <w:r w:rsidR="00FC70E1">
        <w:rPr>
          <w:rFonts w:ascii="Avenir Next" w:hAnsi="Avenir Next" w:cs="Arial"/>
          <w:color w:val="808080" w:themeColor="background1" w:themeShade="80"/>
          <w:sz w:val="22"/>
          <w:szCs w:val="22"/>
          <w:lang w:val="en-GB"/>
        </w:rPr>
        <w:t>foreign proceeding qualifies as a foreign main proceeding</w:t>
      </w:r>
      <w:r w:rsidR="009955BC">
        <w:rPr>
          <w:rFonts w:ascii="Avenir Next" w:hAnsi="Avenir Next" w:cs="Arial"/>
          <w:color w:val="808080" w:themeColor="background1" w:themeShade="80"/>
          <w:sz w:val="22"/>
          <w:szCs w:val="22"/>
          <w:lang w:val="en-GB"/>
        </w:rPr>
        <w:t xml:space="preserve"> (but not if it qualifies as a foreign non-main proceeding)</w:t>
      </w:r>
      <w:r w:rsidR="00FC70E1">
        <w:rPr>
          <w:rFonts w:ascii="Avenir Next" w:hAnsi="Avenir Next" w:cs="Arial"/>
          <w:color w:val="808080" w:themeColor="background1" w:themeShade="80"/>
          <w:sz w:val="22"/>
          <w:szCs w:val="22"/>
          <w:lang w:val="en-GB"/>
        </w:rPr>
        <w:t>. Specifically:</w:t>
      </w:r>
    </w:p>
    <w:p w14:paraId="067A7D99" w14:textId="77777777" w:rsidR="00FC70E1" w:rsidRDefault="00FC70E1" w:rsidP="00FC70E1">
      <w:pPr>
        <w:jc w:val="both"/>
        <w:rPr>
          <w:rFonts w:ascii="Avenir Next" w:hAnsi="Avenir Next" w:cs="Arial"/>
          <w:color w:val="808080" w:themeColor="background1" w:themeShade="80"/>
          <w:sz w:val="22"/>
          <w:szCs w:val="22"/>
          <w:lang w:val="en-GB"/>
        </w:rPr>
      </w:pPr>
    </w:p>
    <w:p w14:paraId="0758FEC4" w14:textId="68C8A667" w:rsidR="00FC70E1" w:rsidRDefault="00FC70E1" w:rsidP="00FC70E1">
      <w:pPr>
        <w:pStyle w:val="ListParagraph"/>
        <w:numPr>
          <w:ilvl w:val="0"/>
          <w:numId w:val="5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stay of the commencement or continuation of individual actions of individual proceedings concerning the debtor’s assets, rights, obligations or liabilities; </w:t>
      </w:r>
    </w:p>
    <w:p w14:paraId="6F504B54" w14:textId="2748293D" w:rsidR="00FC70E1" w:rsidRDefault="00FC70E1" w:rsidP="00FC70E1">
      <w:pPr>
        <w:pStyle w:val="ListParagraph"/>
        <w:numPr>
          <w:ilvl w:val="0"/>
          <w:numId w:val="5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stay of execution against the debtor’s assets; and</w:t>
      </w:r>
    </w:p>
    <w:p w14:paraId="4127391E" w14:textId="57A7ADAD" w:rsidR="00100E8F" w:rsidRPr="00904C35" w:rsidRDefault="00FC70E1" w:rsidP="00904C35">
      <w:pPr>
        <w:pStyle w:val="ListParagraph"/>
        <w:numPr>
          <w:ilvl w:val="0"/>
          <w:numId w:val="5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suspension of the right to transfer, encumber or otherwise dispose of any assets of the debtor. </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32D8BFB1" w:rsidR="00867A8F" w:rsidRDefault="00BA73F2" w:rsidP="00BA73F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Recognition proceedings are proceedings in which an application is made, pursuant to Article 15 of the Model Law, for recognition of the foreign proceeding to which the foreign representative has been appointed. If the recognition proceedings are in the US, then the foreign proceedings cannot have been filed in the US. </w:t>
      </w:r>
    </w:p>
    <w:p w14:paraId="417AFD24" w14:textId="77777777" w:rsidR="00BA73F2" w:rsidRDefault="00BA73F2" w:rsidP="00BA73F2">
      <w:pPr>
        <w:jc w:val="both"/>
        <w:rPr>
          <w:rFonts w:ascii="Avenir Next" w:hAnsi="Avenir Next" w:cs="Arial"/>
          <w:color w:val="808080" w:themeColor="background1" w:themeShade="80"/>
          <w:sz w:val="22"/>
          <w:szCs w:val="22"/>
          <w:lang w:val="en-GB"/>
        </w:rPr>
      </w:pPr>
    </w:p>
    <w:p w14:paraId="1E0DE32D" w14:textId="475F44A8" w:rsidR="00BA73F2" w:rsidRDefault="00BA73F2" w:rsidP="00BA73F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definition of “foreign main proceeding” in the Model Law uses the term “centre of main interest” (“COMI”) of the debtor, without defining what it means. The definition of “foreign non-main proceeding” </w:t>
      </w:r>
      <w:r w:rsidR="00904C35">
        <w:rPr>
          <w:rFonts w:ascii="Avenir Next" w:hAnsi="Avenir Next" w:cs="Arial"/>
          <w:color w:val="808080" w:themeColor="background1" w:themeShade="80"/>
          <w:sz w:val="22"/>
          <w:szCs w:val="22"/>
          <w:lang w:val="en-GB"/>
        </w:rPr>
        <w:t xml:space="preserve">in the Model Law </w:t>
      </w:r>
      <w:r>
        <w:rPr>
          <w:rFonts w:ascii="Avenir Next" w:hAnsi="Avenir Next" w:cs="Arial"/>
          <w:color w:val="808080" w:themeColor="background1" w:themeShade="80"/>
          <w:sz w:val="22"/>
          <w:szCs w:val="22"/>
          <w:lang w:val="en-GB"/>
        </w:rPr>
        <w:t xml:space="preserve">requires the debtor to have an “establishment”, </w:t>
      </w:r>
      <w:r>
        <w:rPr>
          <w:rFonts w:ascii="Avenir Next" w:hAnsi="Avenir Next" w:cs="Arial"/>
          <w:color w:val="808080" w:themeColor="background1" w:themeShade="80"/>
          <w:sz w:val="22"/>
          <w:szCs w:val="22"/>
          <w:lang w:val="en-GB"/>
        </w:rPr>
        <w:lastRenderedPageBreak/>
        <w:t xml:space="preserve">being “any place of operations where the debtor carries out a non-transitory economic activity with humans and goods or services”. </w:t>
      </w:r>
    </w:p>
    <w:p w14:paraId="51EB2EAD" w14:textId="77777777" w:rsidR="00BA73F2" w:rsidRDefault="00BA73F2" w:rsidP="00BA73F2">
      <w:pPr>
        <w:jc w:val="both"/>
        <w:rPr>
          <w:rFonts w:ascii="Avenir Next" w:hAnsi="Avenir Next" w:cs="Arial"/>
          <w:color w:val="808080" w:themeColor="background1" w:themeShade="80"/>
          <w:sz w:val="22"/>
          <w:szCs w:val="22"/>
          <w:lang w:val="en-GB"/>
        </w:rPr>
      </w:pPr>
    </w:p>
    <w:p w14:paraId="620CBDBD" w14:textId="0DD5C7AD" w:rsidR="00BA73F2" w:rsidRDefault="00BA73F2" w:rsidP="00BA73F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Accordingly, the foreign main proceedings must have been filed in Germany and the foreign non-main proceedings must have been filed in Bermuda. </w:t>
      </w:r>
    </w:p>
    <w:p w14:paraId="7D0F36B1" w14:textId="77777777" w:rsidR="00BA73F2" w:rsidRDefault="00BA73F2" w:rsidP="00BA73F2">
      <w:pPr>
        <w:jc w:val="both"/>
        <w:rPr>
          <w:rFonts w:ascii="Avenir Next" w:hAnsi="Avenir Next" w:cs="Arial"/>
          <w:color w:val="808080" w:themeColor="background1" w:themeShade="80"/>
          <w:sz w:val="22"/>
          <w:szCs w:val="22"/>
          <w:lang w:val="en-GB"/>
        </w:rPr>
      </w:pPr>
    </w:p>
    <w:p w14:paraId="7E1E9F07" w14:textId="264F3A73" w:rsidR="00BA73F2" w:rsidRPr="00B77352" w:rsidRDefault="00904C35" w:rsidP="00BA73F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the debtor has a COMI in Germany, the foreign proceedings in Germany will be recognised in the US as foreign main proceedings (paragraph 2(a) of the Model Law). </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3937CDFF" w14:textId="71B11460" w:rsidR="00867A8F" w:rsidRPr="00B77352" w:rsidRDefault="00CF12DA" w:rsidP="00CF1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foreign proceedings are recognised as foreign main proceedings then there will be an automatic stay of the proceedings commenced by the US-based vendors pursuant to Article 20 of the Model Law. If the foreign proceedings are recognised as foreign non-main proceedings then the joint provisional liquidators can apply for such a stay pursuant to Article 21 of the Model Law. However, in the interim,  t</w:t>
      </w:r>
      <w:r w:rsidR="002C267F">
        <w:rPr>
          <w:rFonts w:ascii="Avenir Next" w:hAnsi="Avenir Next" w:cs="Arial"/>
          <w:color w:val="808080" w:themeColor="background1" w:themeShade="80"/>
          <w:sz w:val="22"/>
          <w:szCs w:val="22"/>
          <w:lang w:val="en-GB"/>
        </w:rPr>
        <w:t xml:space="preserve">he joint provisional liquidators </w:t>
      </w:r>
      <w:r>
        <w:rPr>
          <w:rFonts w:ascii="Avenir Next" w:hAnsi="Avenir Next" w:cs="Arial"/>
          <w:color w:val="808080" w:themeColor="background1" w:themeShade="80"/>
          <w:sz w:val="22"/>
          <w:szCs w:val="22"/>
          <w:lang w:val="en-GB"/>
        </w:rPr>
        <w:t xml:space="preserve">can seek, as interim relief under Article 19 of the Model Law pending the hearing and determination of the recognition proceeding, a stay of the proceedings commenced by the US-based vendors. </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569A3A6C" w14:textId="77777777" w:rsidR="0064776F" w:rsidRDefault="0064776F" w:rsidP="0064776F">
      <w:pPr>
        <w:jc w:val="both"/>
        <w:rPr>
          <w:rFonts w:ascii="Avenir Next" w:hAnsi="Avenir Next" w:cs="Arial"/>
          <w:color w:val="808080" w:themeColor="background1" w:themeShade="80"/>
          <w:sz w:val="22"/>
          <w:szCs w:val="22"/>
          <w:lang w:val="en-GB"/>
        </w:rPr>
      </w:pPr>
    </w:p>
    <w:p w14:paraId="64471D44" w14:textId="6DF10753" w:rsidR="00FE3D04" w:rsidRDefault="00FE3D04" w:rsidP="006477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representative should take no steps in the recognition proceeding in the US</w:t>
      </w:r>
      <w:r w:rsidR="00AB38A7">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because the </w:t>
      </w:r>
      <w:r w:rsidRPr="00FE3D04">
        <w:rPr>
          <w:rFonts w:ascii="Avenir Next" w:hAnsi="Avenir Next" w:cs="Arial"/>
          <w:i/>
          <w:iCs/>
          <w:color w:val="808080" w:themeColor="background1" w:themeShade="80"/>
          <w:sz w:val="22"/>
          <w:szCs w:val="22"/>
          <w:lang w:val="en-GB"/>
        </w:rPr>
        <w:t>ipso facto</w:t>
      </w:r>
      <w:r>
        <w:rPr>
          <w:rFonts w:ascii="Avenir Next" w:hAnsi="Avenir Next" w:cs="Arial"/>
          <w:color w:val="808080" w:themeColor="background1" w:themeShade="80"/>
          <w:sz w:val="22"/>
          <w:szCs w:val="22"/>
          <w:lang w:val="en-GB"/>
        </w:rPr>
        <w:t xml:space="preserve"> clauses are not enforceable under the US Bankruptcy Code. </w:t>
      </w:r>
    </w:p>
    <w:p w14:paraId="3F8E1266" w14:textId="71ADA572" w:rsidR="00FE3D04" w:rsidRDefault="00FE3D04" w:rsidP="0064776F">
      <w:pPr>
        <w:jc w:val="both"/>
        <w:rPr>
          <w:rFonts w:ascii="Avenir Next" w:hAnsi="Avenir Next" w:cs="Arial"/>
          <w:color w:val="808080" w:themeColor="background1" w:themeShade="80"/>
          <w:sz w:val="22"/>
          <w:szCs w:val="22"/>
          <w:lang w:val="en-GB"/>
        </w:rPr>
      </w:pPr>
    </w:p>
    <w:p w14:paraId="1CFA3D67" w14:textId="4AF6F88E" w:rsidR="00FE3D04" w:rsidRDefault="00FE3D04" w:rsidP="006477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is not a situation, like</w:t>
      </w:r>
      <w:r w:rsidR="00AB38A7">
        <w:rPr>
          <w:rFonts w:ascii="Avenir Next" w:hAnsi="Avenir Next" w:cs="Arial"/>
          <w:color w:val="808080" w:themeColor="background1" w:themeShade="80"/>
          <w:sz w:val="22"/>
          <w:szCs w:val="22"/>
          <w:lang w:val="en-GB"/>
        </w:rPr>
        <w:t xml:space="preserve"> in</w:t>
      </w:r>
      <w:r>
        <w:rPr>
          <w:rFonts w:ascii="Avenir Next" w:hAnsi="Avenir Next" w:cs="Arial"/>
          <w:color w:val="808080" w:themeColor="background1" w:themeShade="80"/>
          <w:sz w:val="22"/>
          <w:szCs w:val="22"/>
          <w:lang w:val="en-GB"/>
        </w:rPr>
        <w:t xml:space="preserve"> </w:t>
      </w:r>
      <w:proofErr w:type="spellStart"/>
      <w:r>
        <w:rPr>
          <w:rFonts w:ascii="Avenir Next" w:hAnsi="Avenir Next" w:cs="Arial"/>
          <w:i/>
          <w:iCs/>
          <w:color w:val="808080" w:themeColor="background1" w:themeShade="80"/>
          <w:sz w:val="22"/>
          <w:szCs w:val="22"/>
          <w:lang w:val="en-GB"/>
        </w:rPr>
        <w:t>Fibria</w:t>
      </w:r>
      <w:proofErr w:type="spellEnd"/>
      <w:r>
        <w:rPr>
          <w:rFonts w:ascii="Avenir Next" w:hAnsi="Avenir Next" w:cs="Arial"/>
          <w:i/>
          <w:iCs/>
          <w:color w:val="808080" w:themeColor="background1" w:themeShade="80"/>
          <w:sz w:val="22"/>
          <w:szCs w:val="22"/>
          <w:lang w:val="en-GB"/>
        </w:rPr>
        <w:t xml:space="preserve"> </w:t>
      </w:r>
      <w:proofErr w:type="spellStart"/>
      <w:r>
        <w:rPr>
          <w:rFonts w:ascii="Avenir Next" w:hAnsi="Avenir Next" w:cs="Arial"/>
          <w:i/>
          <w:iCs/>
          <w:color w:val="808080" w:themeColor="background1" w:themeShade="80"/>
          <w:sz w:val="22"/>
          <w:szCs w:val="22"/>
          <w:lang w:val="en-GB"/>
        </w:rPr>
        <w:t>Celulose</w:t>
      </w:r>
      <w:proofErr w:type="spellEnd"/>
      <w:r>
        <w:rPr>
          <w:rFonts w:ascii="Avenir Next" w:hAnsi="Avenir Next" w:cs="Arial"/>
          <w:i/>
          <w:iCs/>
          <w:color w:val="808080" w:themeColor="background1" w:themeShade="80"/>
          <w:sz w:val="22"/>
          <w:szCs w:val="22"/>
          <w:lang w:val="en-GB"/>
        </w:rPr>
        <w:t xml:space="preserve"> S/A v Pan Ocean Co Ltd </w:t>
      </w:r>
      <w:r>
        <w:rPr>
          <w:rFonts w:ascii="Avenir Next" w:hAnsi="Avenir Next" w:cs="Arial"/>
          <w:color w:val="808080" w:themeColor="background1" w:themeShade="80"/>
          <w:sz w:val="22"/>
          <w:szCs w:val="22"/>
          <w:lang w:val="en-GB"/>
        </w:rPr>
        <w:t xml:space="preserve">[2014] EWHC 2124 (Ch), where </w:t>
      </w:r>
      <w:r w:rsidR="00AB38A7">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 xml:space="preserve">Korean liquidator, as foreign representative, </w:t>
      </w:r>
      <w:r w:rsidR="00AB38A7">
        <w:rPr>
          <w:rFonts w:ascii="Avenir Next" w:hAnsi="Avenir Next" w:cs="Arial"/>
          <w:color w:val="808080" w:themeColor="background1" w:themeShade="80"/>
          <w:sz w:val="22"/>
          <w:szCs w:val="22"/>
          <w:lang w:val="en-GB"/>
        </w:rPr>
        <w:t xml:space="preserve">sought </w:t>
      </w:r>
      <w:r>
        <w:rPr>
          <w:rFonts w:ascii="Avenir Next" w:hAnsi="Avenir Next" w:cs="Arial"/>
          <w:color w:val="808080" w:themeColor="background1" w:themeShade="80"/>
          <w:sz w:val="22"/>
          <w:szCs w:val="22"/>
          <w:lang w:val="en-GB"/>
        </w:rPr>
        <w:t xml:space="preserve">prevent the Brazilian party from exercising the </w:t>
      </w:r>
      <w:r>
        <w:rPr>
          <w:rFonts w:ascii="Avenir Next" w:hAnsi="Avenir Next" w:cs="Arial"/>
          <w:i/>
          <w:iCs/>
          <w:color w:val="808080" w:themeColor="background1" w:themeShade="80"/>
          <w:sz w:val="22"/>
          <w:szCs w:val="22"/>
          <w:lang w:val="en-GB"/>
        </w:rPr>
        <w:t xml:space="preserve">ipso facto </w:t>
      </w:r>
      <w:r>
        <w:rPr>
          <w:rFonts w:ascii="Avenir Next" w:hAnsi="Avenir Next" w:cs="Arial"/>
          <w:color w:val="808080" w:themeColor="background1" w:themeShade="80"/>
          <w:sz w:val="22"/>
          <w:szCs w:val="22"/>
          <w:lang w:val="en-GB"/>
        </w:rPr>
        <w:t>clause</w:t>
      </w:r>
      <w:r w:rsidR="00AB38A7">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which under Korean law was deemed to be null and void</w:t>
      </w:r>
      <w:r w:rsidR="00AB38A7">
        <w:rPr>
          <w:rFonts w:ascii="Avenir Next" w:hAnsi="Avenir Next" w:cs="Arial"/>
          <w:color w:val="808080" w:themeColor="background1" w:themeShade="80"/>
          <w:sz w:val="22"/>
          <w:szCs w:val="22"/>
          <w:lang w:val="en-GB"/>
        </w:rPr>
        <w:t xml:space="preserve"> but which, at the time, were valid and enforceable in a UK insolvency following the decision of the English Supreme Court in </w:t>
      </w:r>
      <w:r w:rsidR="0064776F">
        <w:rPr>
          <w:rFonts w:ascii="Avenir Next" w:hAnsi="Avenir Next" w:cs="Arial"/>
          <w:i/>
          <w:iCs/>
          <w:color w:val="808080" w:themeColor="background1" w:themeShade="80"/>
          <w:sz w:val="22"/>
          <w:szCs w:val="22"/>
          <w:lang w:val="en-GB"/>
        </w:rPr>
        <w:t xml:space="preserve">Belmond Park v BNY Corporate Trustee Services </w:t>
      </w:r>
      <w:r w:rsidR="0064776F">
        <w:rPr>
          <w:rFonts w:ascii="Avenir Next" w:hAnsi="Avenir Next" w:cs="Arial"/>
          <w:color w:val="808080" w:themeColor="background1" w:themeShade="80"/>
          <w:sz w:val="22"/>
          <w:szCs w:val="22"/>
          <w:lang w:val="en-GB"/>
        </w:rPr>
        <w:t>[2011] UKSC 38</w:t>
      </w:r>
      <w:r w:rsidR="00AB38A7">
        <w:rPr>
          <w:rFonts w:ascii="Avenir Next" w:hAnsi="Avenir Next" w:cs="Arial"/>
          <w:i/>
          <w:iCs/>
          <w:color w:val="808080" w:themeColor="background1" w:themeShade="80"/>
          <w:sz w:val="22"/>
          <w:szCs w:val="22"/>
          <w:lang w:val="en-GB"/>
        </w:rPr>
        <w:t>.</w:t>
      </w:r>
    </w:p>
    <w:p w14:paraId="233E6A24" w14:textId="77777777" w:rsidR="00FE3D04" w:rsidRDefault="00FE3D04" w:rsidP="0064776F">
      <w:pPr>
        <w:jc w:val="both"/>
        <w:rPr>
          <w:rFonts w:ascii="Avenir Next" w:hAnsi="Avenir Next" w:cs="Arial"/>
          <w:color w:val="808080" w:themeColor="background1" w:themeShade="80"/>
          <w:sz w:val="22"/>
          <w:szCs w:val="22"/>
          <w:lang w:val="en-GB"/>
        </w:rPr>
      </w:pPr>
    </w:p>
    <w:p w14:paraId="64C4A61E" w14:textId="5F60EA03" w:rsidR="0064776F" w:rsidRPr="00FE3D04" w:rsidRDefault="00AB38A7" w:rsidP="006477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Insofar as the proceeding in the UK is concerned, </w:t>
      </w:r>
      <w:r w:rsidR="00FE3D04">
        <w:rPr>
          <w:rFonts w:ascii="Avenir Next" w:hAnsi="Avenir Next" w:cs="Arial"/>
          <w:color w:val="808080" w:themeColor="background1" w:themeShade="80"/>
          <w:sz w:val="22"/>
          <w:szCs w:val="22"/>
          <w:lang w:val="en-GB"/>
        </w:rPr>
        <w:t xml:space="preserve">the Corporate Insolvency and Governance Act 2020 provides that certain </w:t>
      </w:r>
      <w:r w:rsidR="00FE3D04">
        <w:rPr>
          <w:rFonts w:ascii="Avenir Next" w:hAnsi="Avenir Next" w:cs="Arial"/>
          <w:i/>
          <w:iCs/>
          <w:color w:val="808080" w:themeColor="background1" w:themeShade="80"/>
          <w:sz w:val="22"/>
          <w:szCs w:val="22"/>
          <w:lang w:val="en-GB"/>
        </w:rPr>
        <w:t xml:space="preserve">ipso facto </w:t>
      </w:r>
      <w:r w:rsidR="00FE3D04">
        <w:rPr>
          <w:rFonts w:ascii="Avenir Next" w:hAnsi="Avenir Next" w:cs="Arial"/>
          <w:color w:val="808080" w:themeColor="background1" w:themeShade="80"/>
          <w:sz w:val="22"/>
          <w:szCs w:val="22"/>
          <w:lang w:val="en-GB"/>
        </w:rPr>
        <w:t xml:space="preserve">clauses in contracts for the supply of goods and services will cease to have effect once the debtor has become subject to certain UK insolvency proceedings. </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3852E7F1" w14:textId="0D540F95" w:rsidR="00930F0C" w:rsidRDefault="00930F0C" w:rsidP="00930F0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could seek the co-operation of the courts in Country B under Chapter IV of the Model Law, because co-operation is not dependent upon recognition. </w:t>
      </w:r>
    </w:p>
    <w:p w14:paraId="195FE875" w14:textId="77777777" w:rsidR="00930F0C" w:rsidRDefault="00930F0C" w:rsidP="00930F0C">
      <w:pPr>
        <w:jc w:val="both"/>
        <w:rPr>
          <w:rFonts w:ascii="Avenir Next" w:hAnsi="Avenir Next" w:cs="Arial"/>
          <w:color w:val="808080" w:themeColor="background1" w:themeShade="80"/>
          <w:sz w:val="22"/>
          <w:szCs w:val="22"/>
          <w:lang w:val="en-GB"/>
        </w:rPr>
      </w:pPr>
    </w:p>
    <w:p w14:paraId="6841A1DE" w14:textId="2DF398DD" w:rsidR="00D5244F" w:rsidRPr="00D52EAE" w:rsidRDefault="00930F0C"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At the outset, the foreign representative </w:t>
      </w:r>
      <w:r w:rsidR="00D52EAE">
        <w:rPr>
          <w:rFonts w:ascii="Avenir Next" w:hAnsi="Avenir Next" w:cs="Arial"/>
          <w:color w:val="808080" w:themeColor="background1" w:themeShade="80"/>
          <w:sz w:val="22"/>
          <w:szCs w:val="22"/>
          <w:lang w:val="en-GB"/>
        </w:rPr>
        <w:t xml:space="preserve">could have also sought to recognise the foreign proceedings as foreign non-main proceedings, but would need to be able to be able demonstrate that the debtor has an “establishment” in Country A, meaning “any place of operations where the debtor carries out a non-transitory economic activity with human means and goods and services”. </w:t>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w:t>
      </w:r>
      <w:r w:rsidRPr="00E61F6E">
        <w:rPr>
          <w:rFonts w:ascii="Avenir Next" w:hAnsi="Avenir Next"/>
          <w:sz w:val="22"/>
          <w:szCs w:val="28"/>
        </w:rPr>
        <w:lastRenderedPageBreak/>
        <w:t>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76339F93" w14:textId="11BBA154" w:rsidR="00F63708"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72DAAF2A" w14:textId="7EA56D9A" w:rsidR="00C433E6" w:rsidRDefault="00C433E6" w:rsidP="009955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key issue is whether the Scheme and the Sanction Order can</w:t>
      </w:r>
      <w:r w:rsidR="00A5433A">
        <w:rPr>
          <w:rFonts w:ascii="Avenir Next" w:hAnsi="Avenir Next" w:cs="Arial"/>
          <w:color w:val="808080" w:themeColor="background1" w:themeShade="80"/>
          <w:sz w:val="22"/>
          <w:szCs w:val="22"/>
          <w:lang w:val="en-GB"/>
        </w:rPr>
        <w:t xml:space="preserve"> be recognised and enforced in the US</w:t>
      </w:r>
      <w:r w:rsidR="006F26B5">
        <w:rPr>
          <w:rFonts w:ascii="Avenir Next" w:hAnsi="Avenir Next" w:cs="Arial"/>
          <w:color w:val="808080" w:themeColor="background1" w:themeShade="80"/>
          <w:sz w:val="22"/>
          <w:szCs w:val="22"/>
          <w:lang w:val="en-GB"/>
        </w:rPr>
        <w:t xml:space="preserve">, under Chapter 15 of the US Bankruptcy Code (being the US adoption of the UNCITRAL Model Law on Cross-Border Insolvency). If the Scheme and Sanction Order are recognised and enforced in the US </w:t>
      </w:r>
      <w:r w:rsidR="007C42E7">
        <w:rPr>
          <w:rFonts w:ascii="Avenir Next" w:hAnsi="Avenir Next" w:cs="Arial"/>
          <w:color w:val="808080" w:themeColor="background1" w:themeShade="80"/>
          <w:sz w:val="22"/>
          <w:szCs w:val="22"/>
          <w:lang w:val="en-GB"/>
        </w:rPr>
        <w:t>then</w:t>
      </w:r>
      <w:r w:rsidR="006F26B5">
        <w:rPr>
          <w:rFonts w:ascii="Avenir Next" w:hAnsi="Avenir Next" w:cs="Arial"/>
          <w:color w:val="808080" w:themeColor="background1" w:themeShade="80"/>
          <w:sz w:val="22"/>
          <w:szCs w:val="22"/>
          <w:lang w:val="en-GB"/>
        </w:rPr>
        <w:t xml:space="preserve"> </w:t>
      </w:r>
      <w:r w:rsidR="007C42E7">
        <w:rPr>
          <w:rFonts w:ascii="Avenir Next" w:hAnsi="Avenir Next" w:cs="Arial"/>
          <w:color w:val="808080" w:themeColor="background1" w:themeShade="80"/>
          <w:sz w:val="22"/>
          <w:szCs w:val="22"/>
          <w:lang w:val="en-GB"/>
        </w:rPr>
        <w:t xml:space="preserve">any debts </w:t>
      </w:r>
      <w:r>
        <w:rPr>
          <w:rFonts w:ascii="Avenir Next" w:hAnsi="Avenir Next" w:cs="Arial"/>
          <w:color w:val="808080" w:themeColor="background1" w:themeShade="80"/>
          <w:sz w:val="22"/>
          <w:szCs w:val="22"/>
          <w:lang w:val="en-GB"/>
        </w:rPr>
        <w:t>that will be potentially owed by Globe Holdings as a result of the class action litigation that is brewing in the US</w:t>
      </w:r>
      <w:r w:rsidR="007C42E7">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but has not yet been filed</w:t>
      </w:r>
      <w:r w:rsidR="007C42E7">
        <w:rPr>
          <w:rFonts w:ascii="Avenir Next" w:hAnsi="Avenir Next" w:cs="Arial"/>
          <w:color w:val="808080" w:themeColor="background1" w:themeShade="80"/>
          <w:sz w:val="22"/>
          <w:szCs w:val="22"/>
          <w:lang w:val="en-GB"/>
        </w:rPr>
        <w:t xml:space="preserve">, will be </w:t>
      </w:r>
      <w:proofErr w:type="spellStart"/>
      <w:r w:rsidR="007C42E7">
        <w:rPr>
          <w:rFonts w:ascii="Avenir Next" w:hAnsi="Avenir Next" w:cs="Arial"/>
          <w:color w:val="808080" w:themeColor="background1" w:themeShade="80"/>
          <w:sz w:val="22"/>
          <w:szCs w:val="22"/>
          <w:lang w:val="en-GB"/>
        </w:rPr>
        <w:t>disharged</w:t>
      </w:r>
      <w:proofErr w:type="spellEnd"/>
      <w:r w:rsidR="007C42E7">
        <w:rPr>
          <w:rFonts w:ascii="Avenir Next" w:hAnsi="Avenir Next" w:cs="Arial"/>
          <w:color w:val="808080" w:themeColor="background1" w:themeShade="80"/>
          <w:sz w:val="22"/>
          <w:szCs w:val="22"/>
          <w:lang w:val="en-GB"/>
        </w:rPr>
        <w:t xml:space="preserve">. </w:t>
      </w:r>
    </w:p>
    <w:p w14:paraId="66F1B29C" w14:textId="77777777" w:rsidR="007C42E7" w:rsidRDefault="007C42E7" w:rsidP="009955BC">
      <w:pPr>
        <w:jc w:val="both"/>
        <w:rPr>
          <w:rFonts w:ascii="Avenir Next" w:hAnsi="Avenir Next" w:cs="Arial"/>
          <w:color w:val="808080" w:themeColor="background1" w:themeShade="80"/>
          <w:sz w:val="22"/>
          <w:szCs w:val="22"/>
          <w:lang w:val="en-GB"/>
        </w:rPr>
      </w:pPr>
    </w:p>
    <w:p w14:paraId="6F9D6780" w14:textId="6350D2D1" w:rsidR="007C42E7" w:rsidRDefault="007C42E7" w:rsidP="009955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Judge Glenn said in </w:t>
      </w:r>
      <w:r>
        <w:rPr>
          <w:rFonts w:ascii="Avenir Next" w:hAnsi="Avenir Next" w:cs="Arial"/>
          <w:i/>
          <w:iCs/>
          <w:color w:val="808080" w:themeColor="background1" w:themeShade="80"/>
          <w:sz w:val="22"/>
          <w:szCs w:val="22"/>
          <w:lang w:val="en-GB"/>
        </w:rPr>
        <w:t>In re Modern Land (China) Co.</w:t>
      </w:r>
      <w:r>
        <w:rPr>
          <w:rFonts w:ascii="Avenir Next" w:hAnsi="Avenir Next" w:cs="Arial"/>
          <w:color w:val="808080" w:themeColor="background1" w:themeShade="80"/>
          <w:sz w:val="22"/>
          <w:szCs w:val="22"/>
          <w:lang w:val="en-GB"/>
        </w:rPr>
        <w:t>:</w:t>
      </w:r>
    </w:p>
    <w:p w14:paraId="5D0B06E1" w14:textId="77777777" w:rsidR="007C42E7" w:rsidRDefault="007C42E7" w:rsidP="009955BC">
      <w:pPr>
        <w:jc w:val="both"/>
        <w:rPr>
          <w:rFonts w:ascii="Avenir Next" w:hAnsi="Avenir Next" w:cs="Arial"/>
          <w:color w:val="808080" w:themeColor="background1" w:themeShade="80"/>
          <w:sz w:val="22"/>
          <w:szCs w:val="22"/>
          <w:lang w:val="en-GB"/>
        </w:rPr>
      </w:pPr>
    </w:p>
    <w:p w14:paraId="02B0F2F8" w14:textId="77843E5C" w:rsidR="007C42E7" w:rsidRPr="007C42E7" w:rsidRDefault="007C42E7" w:rsidP="007C42E7">
      <w:pPr>
        <w:ind w:left="720"/>
        <w:jc w:val="both"/>
        <w:rPr>
          <w:rFonts w:ascii="Avenir Next" w:hAnsi="Avenir Next" w:cs="Arial"/>
          <w:i/>
          <w:iCs/>
          <w:color w:val="808080" w:themeColor="background1" w:themeShade="80"/>
          <w:sz w:val="22"/>
          <w:szCs w:val="22"/>
          <w:lang w:val="en-GB"/>
        </w:rPr>
      </w:pPr>
      <w:r>
        <w:rPr>
          <w:rFonts w:ascii="Avenir Next" w:hAnsi="Avenir Next" w:cs="Arial"/>
          <w:i/>
          <w:iCs/>
          <w:color w:val="808080" w:themeColor="background1" w:themeShade="80"/>
          <w:sz w:val="22"/>
          <w:szCs w:val="22"/>
          <w:lang w:val="en-GB"/>
        </w:rPr>
        <w:t>“</w:t>
      </w:r>
      <w:r w:rsidRPr="007C42E7">
        <w:rPr>
          <w:rFonts w:ascii="Avenir Next" w:hAnsi="Avenir Next" w:cs="Arial"/>
          <w:i/>
          <w:iCs/>
          <w:color w:val="808080" w:themeColor="background1" w:themeShade="80"/>
          <w:sz w:val="22"/>
          <w:szCs w:val="22"/>
          <w:lang w:val="en-GB"/>
        </w:rPr>
        <w:t>This is a critically important issue. The Scheme in this case, and in many other scheme or restructuring plan cases, modifies or discharges existing debt and related guarantees governed by New York law, and provides for the issuance of new debt and guarantees governed by New York law. An indenture trustee will only take the actions authorized by the scheme or plan if enforceable orders have been entered by the foreign court and a Chapter 15 court.</w:t>
      </w:r>
    </w:p>
    <w:p w14:paraId="13BAAEC9" w14:textId="77777777" w:rsidR="007C42E7" w:rsidRPr="007C42E7" w:rsidRDefault="007C42E7" w:rsidP="007C42E7">
      <w:pPr>
        <w:ind w:left="720"/>
        <w:jc w:val="both"/>
        <w:rPr>
          <w:rFonts w:ascii="Avenir Next" w:hAnsi="Avenir Next" w:cs="Arial"/>
          <w:i/>
          <w:iCs/>
          <w:color w:val="808080" w:themeColor="background1" w:themeShade="80"/>
          <w:sz w:val="22"/>
          <w:szCs w:val="22"/>
          <w:lang w:val="en-GB"/>
        </w:rPr>
      </w:pPr>
    </w:p>
    <w:p w14:paraId="31388876" w14:textId="77777777" w:rsidR="007C42E7" w:rsidRPr="007C42E7" w:rsidRDefault="007C42E7" w:rsidP="007C42E7">
      <w:pPr>
        <w:ind w:left="720"/>
        <w:jc w:val="both"/>
        <w:rPr>
          <w:rFonts w:ascii="Avenir Next" w:hAnsi="Avenir Next" w:cs="Arial"/>
          <w:i/>
          <w:iCs/>
          <w:color w:val="808080" w:themeColor="background1" w:themeShade="80"/>
          <w:sz w:val="22"/>
          <w:szCs w:val="22"/>
          <w:lang w:val="en-GB"/>
        </w:rPr>
      </w:pPr>
      <w:r w:rsidRPr="007C42E7">
        <w:rPr>
          <w:rFonts w:ascii="Avenir Next" w:hAnsi="Avenir Next" w:cs="Arial"/>
          <w:i/>
          <w:iCs/>
          <w:color w:val="808080" w:themeColor="background1" w:themeShade="80"/>
          <w:sz w:val="22"/>
          <w:szCs w:val="22"/>
          <w:lang w:val="en-GB"/>
        </w:rPr>
        <w:t>With great respect for the Hong Kong court in Rare Earth, that court misinterprets this Court’s earlier decision in </w:t>
      </w:r>
      <w:proofErr w:type="spellStart"/>
      <w:r w:rsidRPr="007C42E7">
        <w:rPr>
          <w:rFonts w:ascii="Avenir Next" w:hAnsi="Avenir Next" w:cs="Arial"/>
          <w:i/>
          <w:iCs/>
          <w:color w:val="808080" w:themeColor="background1" w:themeShade="80"/>
          <w:sz w:val="22"/>
          <w:szCs w:val="22"/>
          <w:lang w:val="en-GB"/>
        </w:rPr>
        <w:t>Agrokor</w:t>
      </w:r>
      <w:proofErr w:type="spellEnd"/>
      <w:r w:rsidRPr="007C42E7">
        <w:rPr>
          <w:rFonts w:ascii="Avenir Next" w:hAnsi="Avenir Next" w:cs="Arial"/>
          <w:i/>
          <w:iCs/>
          <w:color w:val="808080" w:themeColor="background1" w:themeShade="80"/>
          <w:sz w:val="22"/>
          <w:szCs w:val="22"/>
          <w:lang w:val="en-GB"/>
        </w:rPr>
        <w:t xml:space="preserve">, as was as many other decisions in the United States which have recognized and enforced foreign court sanctioned schemes or restructuring plans that have modified or discharged New York law governed debt. Provided that the foreign court properly exercises jurisdiction over the foreign debtor in an insolvency proceeding, and the foreign court’s procedures comply with broadly accepted due process principles, a decision of the foreign court approving a scheme or plan that modifies or discharges New York law governed debt is enforceable. </w:t>
      </w:r>
      <w:r w:rsidRPr="007C42E7">
        <w:rPr>
          <w:rFonts w:ascii="Avenir Next" w:hAnsi="Avenir Next" w:cs="Arial"/>
          <w:i/>
          <w:iCs/>
          <w:color w:val="808080" w:themeColor="background1" w:themeShade="80"/>
          <w:sz w:val="22"/>
          <w:szCs w:val="22"/>
          <w:lang w:val="en-GB"/>
        </w:rPr>
        <w:lastRenderedPageBreak/>
        <w:t xml:space="preserve">Under U.S. law, that is an unremarkable proposition that has been firmly established in the U.S. at least since the Supreme Court decision in Canada Southern Ry. Co. v. </w:t>
      </w:r>
      <w:proofErr w:type="spellStart"/>
      <w:r w:rsidRPr="007C42E7">
        <w:rPr>
          <w:rFonts w:ascii="Avenir Next" w:hAnsi="Avenir Next" w:cs="Arial"/>
          <w:i/>
          <w:iCs/>
          <w:color w:val="808080" w:themeColor="background1" w:themeShade="80"/>
          <w:sz w:val="22"/>
          <w:szCs w:val="22"/>
          <w:lang w:val="en-GB"/>
        </w:rPr>
        <w:t>Gebhard</w:t>
      </w:r>
      <w:proofErr w:type="spellEnd"/>
      <w:r w:rsidRPr="007C42E7">
        <w:rPr>
          <w:rFonts w:ascii="Avenir Next" w:hAnsi="Avenir Next" w:cs="Arial"/>
          <w:i/>
          <w:iCs/>
          <w:color w:val="808080" w:themeColor="background1" w:themeShade="80"/>
          <w:sz w:val="22"/>
          <w:szCs w:val="22"/>
          <w:lang w:val="en-GB"/>
        </w:rPr>
        <w:t>, 109 U.S. 527 (1883), which granted international comity and enforced a Canadian scheme that discharged New York law governed debt and provided for the issuance of new debt governed by New York law. As Chief Justice Wait said in </w:t>
      </w:r>
      <w:proofErr w:type="spellStart"/>
      <w:r w:rsidRPr="007C42E7">
        <w:rPr>
          <w:rFonts w:ascii="Avenir Next" w:hAnsi="Avenir Next" w:cs="Arial"/>
          <w:i/>
          <w:iCs/>
          <w:color w:val="808080" w:themeColor="background1" w:themeShade="80"/>
          <w:sz w:val="22"/>
          <w:szCs w:val="22"/>
          <w:lang w:val="en-GB"/>
        </w:rPr>
        <w:t>Gebhard</w:t>
      </w:r>
      <w:proofErr w:type="spellEnd"/>
      <w:r w:rsidRPr="007C42E7">
        <w:rPr>
          <w:rFonts w:ascii="Avenir Next" w:hAnsi="Avenir Next" w:cs="Arial"/>
          <w:i/>
          <w:iCs/>
          <w:color w:val="808080" w:themeColor="background1" w:themeShade="80"/>
          <w:sz w:val="22"/>
          <w:szCs w:val="22"/>
          <w:lang w:val="en-GB"/>
        </w:rPr>
        <w:t>, “the true spirit of international comity requires that schemes of this character, legalized at home, should be recognized in other countries.” Id. at 548. Chapter 15 limits a U.S. bankruptcy court’s authority to enjoin conduct outside the territorial jurisdiction of the United States, but it does not make a discharge of New York law any less controlling.</w:t>
      </w:r>
    </w:p>
    <w:p w14:paraId="5728E233" w14:textId="77777777" w:rsidR="007C42E7" w:rsidRPr="007C42E7" w:rsidRDefault="007C42E7" w:rsidP="007C42E7">
      <w:pPr>
        <w:ind w:left="720"/>
        <w:jc w:val="both"/>
        <w:rPr>
          <w:rFonts w:ascii="Avenir Next" w:hAnsi="Avenir Next" w:cs="Arial"/>
          <w:i/>
          <w:iCs/>
          <w:color w:val="808080" w:themeColor="background1" w:themeShade="80"/>
          <w:sz w:val="22"/>
          <w:szCs w:val="22"/>
          <w:lang w:val="en-GB"/>
        </w:rPr>
      </w:pPr>
    </w:p>
    <w:p w14:paraId="149749AB" w14:textId="7C5ED28D" w:rsidR="007C42E7" w:rsidRPr="007C42E7" w:rsidRDefault="007C42E7" w:rsidP="007C42E7">
      <w:pPr>
        <w:ind w:left="720"/>
        <w:jc w:val="both"/>
        <w:rPr>
          <w:rFonts w:ascii="Avenir Next" w:hAnsi="Avenir Next" w:cs="Arial"/>
          <w:i/>
          <w:iCs/>
          <w:color w:val="808080" w:themeColor="background1" w:themeShade="80"/>
          <w:sz w:val="22"/>
          <w:szCs w:val="22"/>
          <w:lang w:val="en-GB"/>
        </w:rPr>
      </w:pPr>
      <w:r w:rsidRPr="007C42E7">
        <w:rPr>
          <w:rFonts w:ascii="Avenir Next" w:hAnsi="Avenir Next" w:cs="Arial"/>
          <w:i/>
          <w:iCs/>
          <w:color w:val="808080" w:themeColor="background1" w:themeShade="80"/>
          <w:sz w:val="22"/>
          <w:szCs w:val="22"/>
          <w:lang w:val="en-GB"/>
        </w:rPr>
        <w:t>To be clear, in recognizing and enforcing the Scheme in this case, the Court concludes that the discharge of the Existing Notes and issuance of the replacement notes is binding and effective.</w:t>
      </w:r>
      <w:r>
        <w:rPr>
          <w:rFonts w:ascii="Avenir Next" w:hAnsi="Avenir Next" w:cs="Arial"/>
          <w:i/>
          <w:iCs/>
          <w:color w:val="808080" w:themeColor="background1" w:themeShade="80"/>
          <w:sz w:val="22"/>
          <w:szCs w:val="22"/>
          <w:lang w:val="en-GB"/>
        </w:rPr>
        <w:t>”</w:t>
      </w:r>
    </w:p>
    <w:p w14:paraId="5BC0EFF6" w14:textId="77777777" w:rsidR="00C433E6" w:rsidRDefault="00C433E6" w:rsidP="009955BC">
      <w:pPr>
        <w:jc w:val="both"/>
        <w:rPr>
          <w:rFonts w:ascii="Avenir Next" w:hAnsi="Avenir Next" w:cs="Arial"/>
          <w:color w:val="808080" w:themeColor="background1" w:themeShade="80"/>
          <w:sz w:val="22"/>
          <w:szCs w:val="22"/>
          <w:lang w:val="en-GB"/>
        </w:rPr>
      </w:pPr>
    </w:p>
    <w:p w14:paraId="5D419565" w14:textId="37F9794E" w:rsidR="00A5433A" w:rsidRDefault="00C433E6" w:rsidP="009955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question is then whether Globe Holdings can have the Scheme and Sanction Order recognised and enforced in the US under</w:t>
      </w:r>
      <w:r w:rsidR="00A5433A">
        <w:rPr>
          <w:rFonts w:ascii="Avenir Next" w:hAnsi="Avenir Next" w:cs="Arial"/>
          <w:color w:val="808080" w:themeColor="background1" w:themeShade="80"/>
          <w:sz w:val="22"/>
          <w:szCs w:val="22"/>
          <w:lang w:val="en-GB"/>
        </w:rPr>
        <w:t xml:space="preserve"> Chapter 15 of the US Bankruptcy Code</w:t>
      </w:r>
      <w:r w:rsidR="007C42E7">
        <w:rPr>
          <w:rFonts w:ascii="Avenir Next" w:hAnsi="Avenir Next" w:cs="Arial"/>
          <w:color w:val="808080" w:themeColor="background1" w:themeShade="80"/>
          <w:sz w:val="22"/>
          <w:szCs w:val="22"/>
          <w:lang w:val="en-GB"/>
        </w:rPr>
        <w:t>.</w:t>
      </w:r>
      <w:r w:rsidR="006F26B5">
        <w:rPr>
          <w:rFonts w:ascii="Avenir Next" w:hAnsi="Avenir Next" w:cs="Arial"/>
          <w:color w:val="808080" w:themeColor="background1" w:themeShade="80"/>
          <w:sz w:val="22"/>
          <w:szCs w:val="22"/>
          <w:lang w:val="en-GB"/>
        </w:rPr>
        <w:t xml:space="preserve"> </w:t>
      </w:r>
    </w:p>
    <w:p w14:paraId="692243C0" w14:textId="77777777" w:rsidR="00A5433A" w:rsidRDefault="00A5433A" w:rsidP="009955BC">
      <w:pPr>
        <w:jc w:val="both"/>
        <w:rPr>
          <w:rFonts w:ascii="Avenir Next" w:hAnsi="Avenir Next" w:cs="Arial"/>
          <w:color w:val="808080" w:themeColor="background1" w:themeShade="80"/>
          <w:sz w:val="22"/>
          <w:szCs w:val="22"/>
          <w:lang w:val="en-GB"/>
        </w:rPr>
      </w:pPr>
    </w:p>
    <w:p w14:paraId="738FBD90" w14:textId="77777777" w:rsidR="006F26B5" w:rsidRDefault="00A5433A" w:rsidP="009955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obtain recognition of the Scheme and the Sanction Order in the US, the Cayman Court proceeding must be either a foreign main or foreign non-main proceeding</w:t>
      </w:r>
      <w:r w:rsidR="006F26B5">
        <w:rPr>
          <w:rFonts w:ascii="Avenir Next" w:hAnsi="Avenir Next" w:cs="Arial"/>
          <w:color w:val="808080" w:themeColor="background1" w:themeShade="80"/>
          <w:sz w:val="22"/>
          <w:szCs w:val="22"/>
          <w:lang w:val="en-GB"/>
        </w:rPr>
        <w:t xml:space="preserve">. </w:t>
      </w:r>
    </w:p>
    <w:p w14:paraId="7D2DAFDB" w14:textId="77777777" w:rsidR="007C42E7" w:rsidRDefault="007C42E7" w:rsidP="009955BC">
      <w:pPr>
        <w:jc w:val="both"/>
        <w:rPr>
          <w:rFonts w:ascii="Avenir Next" w:hAnsi="Avenir Next" w:cs="Arial"/>
          <w:color w:val="808080" w:themeColor="background1" w:themeShade="80"/>
          <w:sz w:val="22"/>
          <w:szCs w:val="22"/>
          <w:lang w:val="en-GB"/>
        </w:rPr>
      </w:pPr>
    </w:p>
    <w:p w14:paraId="7F85721A" w14:textId="77777777" w:rsidR="00D91A0F" w:rsidRDefault="007C42E7" w:rsidP="009955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section 1502(4) of the Bankruptcy Code, the term “foreign main proceeding” means “a foreign proceeding pending in the country where the debtor has the </w:t>
      </w:r>
      <w:proofErr w:type="spellStart"/>
      <w:r>
        <w:rPr>
          <w:rFonts w:ascii="Avenir Next" w:hAnsi="Avenir Next" w:cs="Arial"/>
          <w:color w:val="808080" w:themeColor="background1" w:themeShade="80"/>
          <w:sz w:val="22"/>
          <w:szCs w:val="22"/>
          <w:lang w:val="en-GB"/>
        </w:rPr>
        <w:t>center</w:t>
      </w:r>
      <w:proofErr w:type="spellEnd"/>
      <w:r>
        <w:rPr>
          <w:rFonts w:ascii="Avenir Next" w:hAnsi="Avenir Next" w:cs="Arial"/>
          <w:color w:val="808080" w:themeColor="background1" w:themeShade="80"/>
          <w:sz w:val="22"/>
          <w:szCs w:val="22"/>
          <w:lang w:val="en-GB"/>
        </w:rPr>
        <w:t xml:space="preserve"> of its main interests”. The </w:t>
      </w:r>
      <w:r w:rsidR="009955BC">
        <w:rPr>
          <w:rFonts w:ascii="Avenir Next" w:hAnsi="Avenir Next" w:cs="Arial"/>
          <w:color w:val="808080" w:themeColor="background1" w:themeShade="80"/>
          <w:sz w:val="22"/>
          <w:szCs w:val="22"/>
          <w:lang w:val="en-GB"/>
        </w:rPr>
        <w:t xml:space="preserve">term </w:t>
      </w:r>
      <w:r w:rsidR="006F26B5">
        <w:rPr>
          <w:rFonts w:ascii="Avenir Next" w:hAnsi="Avenir Next" w:cs="Arial"/>
          <w:color w:val="808080" w:themeColor="background1" w:themeShade="80"/>
          <w:sz w:val="22"/>
          <w:szCs w:val="22"/>
          <w:lang w:val="en-GB"/>
        </w:rPr>
        <w:t>“</w:t>
      </w:r>
      <w:proofErr w:type="spellStart"/>
      <w:r w:rsidR="006F26B5">
        <w:rPr>
          <w:rFonts w:ascii="Avenir Next" w:hAnsi="Avenir Next" w:cs="Arial"/>
          <w:color w:val="808080" w:themeColor="background1" w:themeShade="80"/>
          <w:sz w:val="22"/>
          <w:szCs w:val="22"/>
          <w:lang w:val="en-GB"/>
        </w:rPr>
        <w:t>cent</w:t>
      </w:r>
      <w:r>
        <w:rPr>
          <w:rFonts w:ascii="Avenir Next" w:hAnsi="Avenir Next" w:cs="Arial"/>
          <w:color w:val="808080" w:themeColor="background1" w:themeShade="80"/>
          <w:sz w:val="22"/>
          <w:szCs w:val="22"/>
          <w:lang w:val="en-GB"/>
        </w:rPr>
        <w:t>er</w:t>
      </w:r>
      <w:proofErr w:type="spellEnd"/>
      <w:r w:rsidR="006F26B5">
        <w:rPr>
          <w:rFonts w:ascii="Avenir Next" w:hAnsi="Avenir Next" w:cs="Arial"/>
          <w:color w:val="808080" w:themeColor="background1" w:themeShade="80"/>
          <w:sz w:val="22"/>
          <w:szCs w:val="22"/>
          <w:lang w:val="en-GB"/>
        </w:rPr>
        <w:t xml:space="preserve"> of </w:t>
      </w:r>
      <w:r>
        <w:rPr>
          <w:rFonts w:ascii="Avenir Next" w:hAnsi="Avenir Next" w:cs="Arial"/>
          <w:color w:val="808080" w:themeColor="background1" w:themeShade="80"/>
          <w:sz w:val="22"/>
          <w:szCs w:val="22"/>
          <w:lang w:val="en-GB"/>
        </w:rPr>
        <w:t xml:space="preserve">its </w:t>
      </w:r>
      <w:r w:rsidR="006F26B5">
        <w:rPr>
          <w:rFonts w:ascii="Avenir Next" w:hAnsi="Avenir Next" w:cs="Arial"/>
          <w:color w:val="808080" w:themeColor="background1" w:themeShade="80"/>
          <w:sz w:val="22"/>
          <w:szCs w:val="22"/>
          <w:lang w:val="en-GB"/>
        </w:rPr>
        <w:t>main interest</w:t>
      </w:r>
      <w:r>
        <w:rPr>
          <w:rFonts w:ascii="Avenir Next" w:hAnsi="Avenir Next" w:cs="Arial"/>
          <w:color w:val="808080" w:themeColor="background1" w:themeShade="80"/>
          <w:sz w:val="22"/>
          <w:szCs w:val="22"/>
          <w:lang w:val="en-GB"/>
        </w:rPr>
        <w:t>s</w:t>
      </w:r>
      <w:r w:rsidR="006F26B5">
        <w:rPr>
          <w:rFonts w:ascii="Avenir Next" w:hAnsi="Avenir Next" w:cs="Arial"/>
          <w:color w:val="808080" w:themeColor="background1" w:themeShade="80"/>
          <w:sz w:val="22"/>
          <w:szCs w:val="22"/>
          <w:lang w:val="en-GB"/>
        </w:rPr>
        <w:t>” (“</w:t>
      </w:r>
      <w:r w:rsidR="00F4122D">
        <w:rPr>
          <w:rFonts w:ascii="Avenir Next" w:hAnsi="Avenir Next" w:cs="Arial"/>
          <w:color w:val="808080" w:themeColor="background1" w:themeShade="80"/>
          <w:sz w:val="22"/>
          <w:szCs w:val="22"/>
          <w:lang w:val="en-GB"/>
        </w:rPr>
        <w:t>COMI</w:t>
      </w:r>
      <w:r w:rsidR="006F26B5">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is not defined</w:t>
      </w:r>
      <w:r w:rsidR="00D91A0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p>
    <w:p w14:paraId="2476CDA5" w14:textId="77777777" w:rsidR="00D91A0F" w:rsidRDefault="00D91A0F" w:rsidP="009955BC">
      <w:pPr>
        <w:jc w:val="both"/>
        <w:rPr>
          <w:rFonts w:ascii="Avenir Next" w:hAnsi="Avenir Next" w:cs="Arial"/>
          <w:color w:val="808080" w:themeColor="background1" w:themeShade="80"/>
          <w:sz w:val="22"/>
          <w:szCs w:val="22"/>
          <w:lang w:val="en-GB"/>
        </w:rPr>
      </w:pPr>
    </w:p>
    <w:p w14:paraId="3961F6D3" w14:textId="77777777" w:rsidR="00D91A0F" w:rsidRDefault="007C42E7" w:rsidP="009955BC">
      <w:pPr>
        <w:jc w:val="both"/>
        <w:rPr>
          <w:rFonts w:ascii="Avenir Next" w:hAnsi="Avenir Next" w:cs="Arial"/>
          <w:color w:val="808080" w:themeColor="background1" w:themeShade="80"/>
          <w:sz w:val="22"/>
          <w:szCs w:val="22"/>
          <w:lang w:val="en-GB"/>
        </w:rPr>
      </w:pPr>
      <w:r>
        <w:rPr>
          <w:rFonts w:ascii="Avenir Next" w:hAnsi="Avenir Next" w:cs="Arial"/>
          <w:i/>
          <w:iCs/>
          <w:color w:val="808080" w:themeColor="background1" w:themeShade="80"/>
          <w:sz w:val="22"/>
          <w:szCs w:val="22"/>
          <w:lang w:val="en-GB"/>
        </w:rPr>
        <w:t>In re Modern Land (China) Co.</w:t>
      </w:r>
      <w:r>
        <w:rPr>
          <w:rFonts w:ascii="Avenir Next" w:hAnsi="Avenir Next" w:cs="Arial"/>
          <w:color w:val="808080" w:themeColor="background1" w:themeShade="80"/>
          <w:sz w:val="22"/>
          <w:szCs w:val="22"/>
          <w:lang w:val="en-GB"/>
        </w:rPr>
        <w:t>, Judge Glenn said</w:t>
      </w:r>
      <w:r w:rsidR="00D91A0F">
        <w:rPr>
          <w:rFonts w:ascii="Avenir Next" w:hAnsi="Avenir Next" w:cs="Arial"/>
          <w:color w:val="808080" w:themeColor="background1" w:themeShade="80"/>
          <w:sz w:val="22"/>
          <w:szCs w:val="22"/>
          <w:lang w:val="en-GB"/>
        </w:rPr>
        <w:t>:</w:t>
      </w:r>
    </w:p>
    <w:p w14:paraId="7D7FFE60" w14:textId="77777777" w:rsidR="00D91A0F" w:rsidRDefault="00D91A0F" w:rsidP="009955BC">
      <w:pPr>
        <w:jc w:val="both"/>
        <w:rPr>
          <w:rFonts w:ascii="Avenir Next" w:hAnsi="Avenir Next" w:cs="Arial"/>
          <w:color w:val="808080" w:themeColor="background1" w:themeShade="80"/>
          <w:sz w:val="22"/>
          <w:szCs w:val="22"/>
          <w:lang w:val="en-GB"/>
        </w:rPr>
      </w:pPr>
    </w:p>
    <w:p w14:paraId="4BACD6CC" w14:textId="7FC2C150" w:rsidR="007C42E7" w:rsidRPr="00D91A0F" w:rsidRDefault="00D91A0F" w:rsidP="00D91A0F">
      <w:pPr>
        <w:ind w:left="720"/>
        <w:jc w:val="both"/>
        <w:rPr>
          <w:rFonts w:ascii="Avenir Next" w:hAnsi="Avenir Next" w:cs="Arial"/>
          <w:i/>
          <w:iCs/>
          <w:color w:val="808080" w:themeColor="background1" w:themeShade="80"/>
          <w:sz w:val="22"/>
          <w:szCs w:val="22"/>
          <w:lang w:val="en-GB"/>
        </w:rPr>
      </w:pPr>
      <w:r>
        <w:rPr>
          <w:rFonts w:ascii="Avenir Next" w:hAnsi="Avenir Next" w:cs="Arial"/>
          <w:i/>
          <w:iCs/>
          <w:color w:val="808080" w:themeColor="background1" w:themeShade="80"/>
          <w:sz w:val="22"/>
          <w:szCs w:val="22"/>
          <w:lang w:val="en-GB"/>
        </w:rPr>
        <w:t>“</w:t>
      </w:r>
      <w:r w:rsidRPr="00D91A0F">
        <w:rPr>
          <w:rFonts w:ascii="Avenir Next" w:hAnsi="Avenir Next" w:cs="Arial"/>
          <w:i/>
          <w:iCs/>
          <w:color w:val="808080" w:themeColor="background1" w:themeShade="80"/>
          <w:sz w:val="22"/>
          <w:szCs w:val="22"/>
          <w:lang w:val="en-GB"/>
        </w:rPr>
        <w:t>The Bankruptcy Code establishes that “[</w:t>
      </w:r>
      <w:proofErr w:type="spellStart"/>
      <w:r w:rsidRPr="00D91A0F">
        <w:rPr>
          <w:rFonts w:ascii="Avenir Next" w:hAnsi="Avenir Next" w:cs="Arial"/>
          <w:i/>
          <w:iCs/>
          <w:color w:val="808080" w:themeColor="background1" w:themeShade="80"/>
          <w:sz w:val="22"/>
          <w:szCs w:val="22"/>
          <w:lang w:val="en-GB"/>
        </w:rPr>
        <w:t>i</w:t>
      </w:r>
      <w:proofErr w:type="spellEnd"/>
      <w:r w:rsidRPr="00D91A0F">
        <w:rPr>
          <w:rFonts w:ascii="Avenir Next" w:hAnsi="Avenir Next" w:cs="Arial"/>
          <w:i/>
          <w:iCs/>
          <w:color w:val="808080" w:themeColor="background1" w:themeShade="80"/>
          <w:sz w:val="22"/>
          <w:szCs w:val="22"/>
          <w:lang w:val="en-GB"/>
        </w:rPr>
        <w:t xml:space="preserve">]n the absence of evidence to the contrary, the debtor’s registered office . . . is presumed to be the </w:t>
      </w:r>
      <w:proofErr w:type="spellStart"/>
      <w:r w:rsidRPr="00D91A0F">
        <w:rPr>
          <w:rFonts w:ascii="Avenir Next" w:hAnsi="Avenir Next" w:cs="Arial"/>
          <w:i/>
          <w:iCs/>
          <w:color w:val="808080" w:themeColor="background1" w:themeShade="80"/>
          <w:sz w:val="22"/>
          <w:szCs w:val="22"/>
          <w:lang w:val="en-GB"/>
        </w:rPr>
        <w:t>center</w:t>
      </w:r>
      <w:proofErr w:type="spellEnd"/>
      <w:r w:rsidRPr="00D91A0F">
        <w:rPr>
          <w:rFonts w:ascii="Avenir Next" w:hAnsi="Avenir Next" w:cs="Arial"/>
          <w:i/>
          <w:iCs/>
          <w:color w:val="808080" w:themeColor="background1" w:themeShade="80"/>
          <w:sz w:val="22"/>
          <w:szCs w:val="22"/>
          <w:lang w:val="en-GB"/>
        </w:rPr>
        <w:t xml:space="preserve"> of the debtor’s main interests.” 11 U.S.C. § 1516(c). However, this presumption can be overcome. See, e.g. ABC Learning, 445 B.R. 318, 328 (</w:t>
      </w:r>
      <w:proofErr w:type="spellStart"/>
      <w:r w:rsidRPr="00D91A0F">
        <w:rPr>
          <w:rFonts w:ascii="Avenir Next" w:hAnsi="Avenir Next" w:cs="Arial"/>
          <w:i/>
          <w:iCs/>
          <w:color w:val="808080" w:themeColor="background1" w:themeShade="80"/>
          <w:sz w:val="22"/>
          <w:szCs w:val="22"/>
          <w:lang w:val="en-GB"/>
        </w:rPr>
        <w:t>Bankr</w:t>
      </w:r>
      <w:proofErr w:type="spellEnd"/>
      <w:r w:rsidRPr="00D91A0F">
        <w:rPr>
          <w:rFonts w:ascii="Avenir Next" w:hAnsi="Avenir Next" w:cs="Arial"/>
          <w:i/>
          <w:iCs/>
          <w:color w:val="808080" w:themeColor="background1" w:themeShade="80"/>
          <w:sz w:val="22"/>
          <w:szCs w:val="22"/>
          <w:lang w:val="en-GB"/>
        </w:rPr>
        <w:t>. D. Del. 2010); aff’d, 728 F.3d 301 (3d Cir. 2013) (stating that “the COMI presumption may be overcome particularly in the case of a ‘letterbox’ company not carrying out any business” in the country where its registered office is located); In re Basis-Yield Alpha Fund (Master), 381 B.R. 37, 51–54 (</w:t>
      </w:r>
      <w:proofErr w:type="spellStart"/>
      <w:r w:rsidRPr="00D91A0F">
        <w:rPr>
          <w:rFonts w:ascii="Avenir Next" w:hAnsi="Avenir Next" w:cs="Arial"/>
          <w:i/>
          <w:iCs/>
          <w:color w:val="808080" w:themeColor="background1" w:themeShade="80"/>
          <w:sz w:val="22"/>
          <w:szCs w:val="22"/>
          <w:lang w:val="en-GB"/>
        </w:rPr>
        <w:t>Bankr</w:t>
      </w:r>
      <w:proofErr w:type="spellEnd"/>
      <w:r w:rsidRPr="00D91A0F">
        <w:rPr>
          <w:rFonts w:ascii="Avenir Next" w:hAnsi="Avenir Next" w:cs="Arial"/>
          <w:i/>
          <w:iCs/>
          <w:color w:val="808080" w:themeColor="background1" w:themeShade="80"/>
          <w:sz w:val="22"/>
          <w:szCs w:val="22"/>
          <w:lang w:val="en-GB"/>
        </w:rPr>
        <w:t>. S.D.N.Y. 2008) (concluding that the absence of objections to COMI were not binding; the court must make an independent determination of COMI).</w:t>
      </w:r>
      <w:r w:rsidR="007C42E7" w:rsidRPr="00D91A0F">
        <w:rPr>
          <w:rFonts w:ascii="Avenir Next" w:hAnsi="Avenir Next" w:cs="Arial"/>
          <w:i/>
          <w:iCs/>
          <w:color w:val="808080" w:themeColor="background1" w:themeShade="80"/>
          <w:sz w:val="22"/>
          <w:szCs w:val="22"/>
          <w:lang w:val="en-GB"/>
        </w:rPr>
        <w:t xml:space="preserve">  </w:t>
      </w:r>
    </w:p>
    <w:p w14:paraId="1AA21FEB" w14:textId="77777777" w:rsidR="007C42E7" w:rsidRDefault="007C42E7" w:rsidP="009955BC">
      <w:pPr>
        <w:jc w:val="both"/>
        <w:rPr>
          <w:rFonts w:ascii="Avenir Next" w:hAnsi="Avenir Next" w:cs="Arial"/>
          <w:color w:val="808080" w:themeColor="background1" w:themeShade="80"/>
          <w:sz w:val="22"/>
          <w:szCs w:val="22"/>
          <w:lang w:val="en-GB"/>
        </w:rPr>
      </w:pPr>
    </w:p>
    <w:p w14:paraId="19ED7BBE" w14:textId="13E303C8" w:rsidR="00D91A0F" w:rsidRPr="00D91A0F" w:rsidRDefault="00D91A0F" w:rsidP="00D91A0F">
      <w:pPr>
        <w:ind w:left="720"/>
        <w:jc w:val="both"/>
        <w:rPr>
          <w:rFonts w:ascii="Avenir Next" w:hAnsi="Avenir Next" w:cs="Arial"/>
          <w:i/>
          <w:iCs/>
          <w:color w:val="808080" w:themeColor="background1" w:themeShade="80"/>
          <w:sz w:val="22"/>
          <w:szCs w:val="22"/>
          <w:lang w:val="en-GB"/>
        </w:rPr>
      </w:pPr>
      <w:r w:rsidRPr="00D91A0F">
        <w:rPr>
          <w:rFonts w:ascii="Avenir Next" w:hAnsi="Avenir Next" w:cs="Arial"/>
          <w:i/>
          <w:iCs/>
          <w:color w:val="808080" w:themeColor="background1" w:themeShade="80"/>
          <w:sz w:val="22"/>
          <w:szCs w:val="22"/>
          <w:lang w:val="en-GB"/>
        </w:rPr>
        <w:t>Courts consider several additional factors to determine whether the COMI presumption</w:t>
      </w:r>
      <w:r>
        <w:rPr>
          <w:rFonts w:ascii="Avenir Next" w:hAnsi="Avenir Next" w:cs="Arial"/>
          <w:i/>
          <w:iCs/>
          <w:color w:val="808080" w:themeColor="background1" w:themeShade="80"/>
          <w:sz w:val="22"/>
          <w:szCs w:val="22"/>
          <w:lang w:val="en-GB"/>
        </w:rPr>
        <w:t xml:space="preserve"> </w:t>
      </w:r>
      <w:r w:rsidRPr="00D91A0F">
        <w:rPr>
          <w:rFonts w:ascii="Avenir Next" w:hAnsi="Avenir Next" w:cs="Arial"/>
          <w:i/>
          <w:iCs/>
          <w:color w:val="808080" w:themeColor="background1" w:themeShade="80"/>
          <w:sz w:val="22"/>
          <w:szCs w:val="22"/>
          <w:lang w:val="en-GB"/>
        </w:rPr>
        <w:t>has been overcome, including: “the location of the debtor’s headquarters; the location of those</w:t>
      </w:r>
      <w:r>
        <w:rPr>
          <w:rFonts w:ascii="Avenir Next" w:hAnsi="Avenir Next" w:cs="Arial"/>
          <w:i/>
          <w:iCs/>
          <w:color w:val="808080" w:themeColor="background1" w:themeShade="80"/>
          <w:sz w:val="22"/>
          <w:szCs w:val="22"/>
          <w:lang w:val="en-GB"/>
        </w:rPr>
        <w:t xml:space="preserve"> </w:t>
      </w:r>
      <w:r w:rsidRPr="00D91A0F">
        <w:rPr>
          <w:rFonts w:ascii="Avenir Next" w:hAnsi="Avenir Next" w:cs="Arial"/>
          <w:i/>
          <w:iCs/>
          <w:color w:val="808080" w:themeColor="background1" w:themeShade="80"/>
          <w:sz w:val="22"/>
          <w:szCs w:val="22"/>
          <w:lang w:val="en-GB"/>
        </w:rPr>
        <w:t>who actually manage the debtor . . . the location of the debtor’s primary assets; the location of</w:t>
      </w:r>
      <w:r>
        <w:rPr>
          <w:rFonts w:ascii="Avenir Next" w:hAnsi="Avenir Next" w:cs="Arial"/>
          <w:i/>
          <w:iCs/>
          <w:color w:val="808080" w:themeColor="background1" w:themeShade="80"/>
          <w:sz w:val="22"/>
          <w:szCs w:val="22"/>
          <w:lang w:val="en-GB"/>
        </w:rPr>
        <w:t xml:space="preserve"> </w:t>
      </w:r>
      <w:r w:rsidRPr="00D91A0F">
        <w:rPr>
          <w:rFonts w:ascii="Avenir Next" w:hAnsi="Avenir Next" w:cs="Arial"/>
          <w:i/>
          <w:iCs/>
          <w:color w:val="808080" w:themeColor="background1" w:themeShade="80"/>
          <w:sz w:val="22"/>
          <w:szCs w:val="22"/>
          <w:lang w:val="en-GB"/>
        </w:rPr>
        <w:t>the majority of the debtor’s creditors or of a majority of the creditors who would be affected by</w:t>
      </w:r>
      <w:r>
        <w:rPr>
          <w:rFonts w:ascii="Avenir Next" w:hAnsi="Avenir Next" w:cs="Arial"/>
          <w:i/>
          <w:iCs/>
          <w:color w:val="808080" w:themeColor="background1" w:themeShade="80"/>
          <w:sz w:val="22"/>
          <w:szCs w:val="22"/>
          <w:lang w:val="en-GB"/>
        </w:rPr>
        <w:t xml:space="preserve"> </w:t>
      </w:r>
      <w:r w:rsidRPr="00D91A0F">
        <w:rPr>
          <w:rFonts w:ascii="Avenir Next" w:hAnsi="Avenir Next" w:cs="Arial"/>
          <w:i/>
          <w:iCs/>
          <w:color w:val="808080" w:themeColor="background1" w:themeShade="80"/>
          <w:sz w:val="22"/>
          <w:szCs w:val="22"/>
          <w:lang w:val="en-GB"/>
        </w:rPr>
        <w:t xml:space="preserve">the case; and/or the jurisdiction whose law would apply to most disputes.” In re </w:t>
      </w:r>
      <w:proofErr w:type="spellStart"/>
      <w:r w:rsidRPr="00D91A0F">
        <w:rPr>
          <w:rFonts w:ascii="Avenir Next" w:hAnsi="Avenir Next" w:cs="Arial"/>
          <w:i/>
          <w:iCs/>
          <w:color w:val="808080" w:themeColor="background1" w:themeShade="80"/>
          <w:sz w:val="22"/>
          <w:szCs w:val="22"/>
          <w:lang w:val="en-GB"/>
        </w:rPr>
        <w:t>SphinX</w:t>
      </w:r>
      <w:proofErr w:type="spellEnd"/>
      <w:r w:rsidRPr="00D91A0F">
        <w:rPr>
          <w:rFonts w:ascii="Avenir Next" w:hAnsi="Avenir Next" w:cs="Arial"/>
          <w:i/>
          <w:iCs/>
          <w:color w:val="808080" w:themeColor="background1" w:themeShade="80"/>
          <w:sz w:val="22"/>
          <w:szCs w:val="22"/>
          <w:lang w:val="en-GB"/>
        </w:rPr>
        <w:t>, Ltd.,</w:t>
      </w:r>
      <w:r>
        <w:rPr>
          <w:rFonts w:ascii="Avenir Next" w:hAnsi="Avenir Next" w:cs="Arial"/>
          <w:i/>
          <w:iCs/>
          <w:color w:val="808080" w:themeColor="background1" w:themeShade="80"/>
          <w:sz w:val="22"/>
          <w:szCs w:val="22"/>
          <w:lang w:val="en-GB"/>
        </w:rPr>
        <w:t xml:space="preserve"> </w:t>
      </w:r>
      <w:r w:rsidRPr="00D91A0F">
        <w:rPr>
          <w:rFonts w:ascii="Avenir Next" w:hAnsi="Avenir Next" w:cs="Arial"/>
          <w:i/>
          <w:iCs/>
          <w:color w:val="808080" w:themeColor="background1" w:themeShade="80"/>
          <w:sz w:val="22"/>
          <w:szCs w:val="22"/>
          <w:lang w:val="en-GB"/>
        </w:rPr>
        <w:t>351 B.R. 103, 117 (</w:t>
      </w:r>
      <w:proofErr w:type="spellStart"/>
      <w:r w:rsidRPr="00D91A0F">
        <w:rPr>
          <w:rFonts w:ascii="Avenir Next" w:hAnsi="Avenir Next" w:cs="Arial"/>
          <w:i/>
          <w:iCs/>
          <w:color w:val="808080" w:themeColor="background1" w:themeShade="80"/>
          <w:sz w:val="22"/>
          <w:szCs w:val="22"/>
          <w:lang w:val="en-GB"/>
        </w:rPr>
        <w:t>Bankr</w:t>
      </w:r>
      <w:proofErr w:type="spellEnd"/>
      <w:r w:rsidRPr="00D91A0F">
        <w:rPr>
          <w:rFonts w:ascii="Avenir Next" w:hAnsi="Avenir Next" w:cs="Arial"/>
          <w:i/>
          <w:iCs/>
          <w:color w:val="808080" w:themeColor="background1" w:themeShade="80"/>
          <w:sz w:val="22"/>
          <w:szCs w:val="22"/>
          <w:lang w:val="en-GB"/>
        </w:rPr>
        <w:t xml:space="preserve">. S.D.N.Y. 2006). In </w:t>
      </w:r>
      <w:proofErr w:type="spellStart"/>
      <w:r w:rsidRPr="00D91A0F">
        <w:rPr>
          <w:rFonts w:ascii="Avenir Next" w:hAnsi="Avenir Next" w:cs="Arial"/>
          <w:i/>
          <w:iCs/>
          <w:color w:val="808080" w:themeColor="background1" w:themeShade="80"/>
          <w:sz w:val="22"/>
          <w:szCs w:val="22"/>
          <w:lang w:val="en-GB"/>
        </w:rPr>
        <w:t>SphinX</w:t>
      </w:r>
      <w:proofErr w:type="spellEnd"/>
      <w:r w:rsidRPr="00D91A0F">
        <w:rPr>
          <w:rFonts w:ascii="Avenir Next" w:hAnsi="Avenir Next" w:cs="Arial"/>
          <w:i/>
          <w:iCs/>
          <w:color w:val="808080" w:themeColor="background1" w:themeShade="80"/>
          <w:sz w:val="22"/>
          <w:szCs w:val="22"/>
          <w:lang w:val="en-GB"/>
        </w:rPr>
        <w:t>, this court explained that these factors</w:t>
      </w:r>
      <w:r>
        <w:rPr>
          <w:rFonts w:ascii="Avenir Next" w:hAnsi="Avenir Next" w:cs="Arial"/>
          <w:i/>
          <w:iCs/>
          <w:color w:val="808080" w:themeColor="background1" w:themeShade="80"/>
          <w:sz w:val="22"/>
          <w:szCs w:val="22"/>
          <w:lang w:val="en-GB"/>
        </w:rPr>
        <w:t xml:space="preserve"> </w:t>
      </w:r>
      <w:r w:rsidRPr="00D91A0F">
        <w:rPr>
          <w:rFonts w:ascii="Avenir Next" w:hAnsi="Avenir Next" w:cs="Arial"/>
          <w:i/>
          <w:iCs/>
          <w:color w:val="808080" w:themeColor="background1" w:themeShade="80"/>
          <w:sz w:val="22"/>
          <w:szCs w:val="22"/>
          <w:lang w:val="en-GB"/>
        </w:rPr>
        <w:t>should not be applied “mechanically”; rather, “they should be viewed in light of Chapter 15’s</w:t>
      </w:r>
    </w:p>
    <w:p w14:paraId="2831F880" w14:textId="4E042A36" w:rsidR="00D91A0F" w:rsidRDefault="00D91A0F" w:rsidP="00D91A0F">
      <w:pPr>
        <w:ind w:left="720"/>
        <w:jc w:val="both"/>
        <w:rPr>
          <w:rFonts w:ascii="Avenir Next" w:hAnsi="Avenir Next" w:cs="Arial"/>
          <w:i/>
          <w:iCs/>
          <w:color w:val="808080" w:themeColor="background1" w:themeShade="80"/>
          <w:sz w:val="22"/>
          <w:szCs w:val="22"/>
          <w:lang w:val="en-GB"/>
        </w:rPr>
      </w:pPr>
      <w:r w:rsidRPr="00D91A0F">
        <w:rPr>
          <w:rFonts w:ascii="Avenir Next" w:hAnsi="Avenir Next" w:cs="Arial"/>
          <w:i/>
          <w:iCs/>
          <w:color w:val="808080" w:themeColor="background1" w:themeShade="80"/>
          <w:sz w:val="22"/>
          <w:szCs w:val="22"/>
          <w:lang w:val="en-GB"/>
        </w:rPr>
        <w:lastRenderedPageBreak/>
        <w:t>emphasis on protecting the reasonable interests of parties in interest pursuant to fair procedures</w:t>
      </w:r>
      <w:r>
        <w:rPr>
          <w:rFonts w:ascii="Avenir Next" w:hAnsi="Avenir Next" w:cs="Arial"/>
          <w:i/>
          <w:iCs/>
          <w:color w:val="808080" w:themeColor="background1" w:themeShade="80"/>
          <w:sz w:val="22"/>
          <w:szCs w:val="22"/>
          <w:lang w:val="en-GB"/>
        </w:rPr>
        <w:t xml:space="preserve"> </w:t>
      </w:r>
      <w:r w:rsidRPr="00D91A0F">
        <w:rPr>
          <w:rFonts w:ascii="Avenir Next" w:hAnsi="Avenir Next" w:cs="Arial"/>
          <w:i/>
          <w:iCs/>
          <w:color w:val="808080" w:themeColor="background1" w:themeShade="80"/>
          <w:sz w:val="22"/>
          <w:szCs w:val="22"/>
          <w:lang w:val="en-GB"/>
        </w:rPr>
        <w:t>and the maximization of the debtor’s value.” Id.; see also Fairfield Sentry, 714 F.3d at 137</w:t>
      </w:r>
      <w:r>
        <w:rPr>
          <w:rFonts w:ascii="Avenir Next" w:hAnsi="Avenir Next" w:cs="Arial"/>
          <w:i/>
          <w:iCs/>
          <w:color w:val="808080" w:themeColor="background1" w:themeShade="80"/>
          <w:sz w:val="22"/>
          <w:szCs w:val="22"/>
          <w:lang w:val="en-GB"/>
        </w:rPr>
        <w:t xml:space="preserve"> </w:t>
      </w:r>
      <w:r w:rsidRPr="00D91A0F">
        <w:rPr>
          <w:rFonts w:ascii="Avenir Next" w:hAnsi="Avenir Next" w:cs="Arial"/>
          <w:i/>
          <w:iCs/>
          <w:color w:val="808080" w:themeColor="background1" w:themeShade="80"/>
          <w:sz w:val="22"/>
          <w:szCs w:val="22"/>
          <w:lang w:val="en-GB"/>
        </w:rPr>
        <w:t>(explaining that “consideration of these specific factors is neither required nor dispositive” and</w:t>
      </w:r>
      <w:r>
        <w:rPr>
          <w:rFonts w:ascii="Avenir Next" w:hAnsi="Avenir Next" w:cs="Arial"/>
          <w:i/>
          <w:iCs/>
          <w:color w:val="808080" w:themeColor="background1" w:themeShade="80"/>
          <w:sz w:val="22"/>
          <w:szCs w:val="22"/>
          <w:lang w:val="en-GB"/>
        </w:rPr>
        <w:t xml:space="preserve"> </w:t>
      </w:r>
      <w:r w:rsidRPr="00D91A0F">
        <w:rPr>
          <w:rFonts w:ascii="Avenir Next" w:hAnsi="Avenir Next" w:cs="Arial"/>
          <w:i/>
          <w:iCs/>
          <w:color w:val="808080" w:themeColor="background1" w:themeShade="80"/>
          <w:sz w:val="22"/>
          <w:szCs w:val="22"/>
          <w:lang w:val="en-GB"/>
        </w:rPr>
        <w:t xml:space="preserve">warning against mechanical application). The </w:t>
      </w:r>
      <w:proofErr w:type="spellStart"/>
      <w:r w:rsidRPr="00D91A0F">
        <w:rPr>
          <w:rFonts w:ascii="Avenir Next" w:hAnsi="Avenir Next" w:cs="Arial"/>
          <w:i/>
          <w:iCs/>
          <w:color w:val="808080" w:themeColor="background1" w:themeShade="80"/>
          <w:sz w:val="22"/>
          <w:szCs w:val="22"/>
          <w:lang w:val="en-GB"/>
        </w:rPr>
        <w:t>SphinX</w:t>
      </w:r>
      <w:proofErr w:type="spellEnd"/>
      <w:r w:rsidRPr="00D91A0F">
        <w:rPr>
          <w:rFonts w:ascii="Avenir Next" w:hAnsi="Avenir Next" w:cs="Arial"/>
          <w:i/>
          <w:iCs/>
          <w:color w:val="808080" w:themeColor="background1" w:themeShade="80"/>
          <w:sz w:val="22"/>
          <w:szCs w:val="22"/>
          <w:lang w:val="en-GB"/>
        </w:rPr>
        <w:t xml:space="preserve"> court also noted that “because their money</w:t>
      </w:r>
      <w:r>
        <w:rPr>
          <w:rFonts w:ascii="Avenir Next" w:hAnsi="Avenir Next" w:cs="Arial"/>
          <w:i/>
          <w:iCs/>
          <w:color w:val="808080" w:themeColor="background1" w:themeShade="80"/>
          <w:sz w:val="22"/>
          <w:szCs w:val="22"/>
          <w:lang w:val="en-GB"/>
        </w:rPr>
        <w:t xml:space="preserve"> </w:t>
      </w:r>
      <w:r w:rsidRPr="00D91A0F">
        <w:rPr>
          <w:rFonts w:ascii="Avenir Next" w:hAnsi="Avenir Next" w:cs="Arial"/>
          <w:i/>
          <w:iCs/>
          <w:color w:val="808080" w:themeColor="background1" w:themeShade="80"/>
          <w:sz w:val="22"/>
          <w:szCs w:val="22"/>
          <w:lang w:val="en-GB"/>
        </w:rPr>
        <w:t>is ultimately at stake, one generally should defer . . . to the creditors’ acquiescence in or support</w:t>
      </w:r>
      <w:r>
        <w:rPr>
          <w:rFonts w:ascii="Avenir Next" w:hAnsi="Avenir Next" w:cs="Arial"/>
          <w:i/>
          <w:iCs/>
          <w:color w:val="808080" w:themeColor="background1" w:themeShade="80"/>
          <w:sz w:val="22"/>
          <w:szCs w:val="22"/>
          <w:lang w:val="en-GB"/>
        </w:rPr>
        <w:t xml:space="preserve"> </w:t>
      </w:r>
      <w:r w:rsidRPr="00D91A0F">
        <w:rPr>
          <w:rFonts w:ascii="Avenir Next" w:hAnsi="Avenir Next" w:cs="Arial"/>
          <w:i/>
          <w:iCs/>
          <w:color w:val="808080" w:themeColor="background1" w:themeShade="80"/>
          <w:sz w:val="22"/>
          <w:szCs w:val="22"/>
          <w:lang w:val="en-GB"/>
        </w:rPr>
        <w:t>of a proposed COMI.” 351 B.R. at 117.</w:t>
      </w:r>
    </w:p>
    <w:p w14:paraId="18AAEFC2" w14:textId="77777777" w:rsidR="00D91A0F" w:rsidRDefault="00D91A0F" w:rsidP="00D91A0F">
      <w:pPr>
        <w:ind w:left="720"/>
        <w:jc w:val="both"/>
        <w:rPr>
          <w:rFonts w:ascii="Avenir Next" w:hAnsi="Avenir Next" w:cs="Arial"/>
          <w:i/>
          <w:iCs/>
          <w:color w:val="808080" w:themeColor="background1" w:themeShade="80"/>
          <w:sz w:val="22"/>
          <w:szCs w:val="22"/>
          <w:lang w:val="en-GB"/>
        </w:rPr>
      </w:pPr>
    </w:p>
    <w:p w14:paraId="0DE89E74" w14:textId="7420FD6B" w:rsidR="00D91A0F" w:rsidRPr="00D91A0F" w:rsidRDefault="00D91A0F" w:rsidP="00D91A0F">
      <w:pPr>
        <w:ind w:left="720"/>
        <w:jc w:val="both"/>
        <w:rPr>
          <w:rFonts w:ascii="Avenir Next" w:hAnsi="Avenir Next" w:cs="Arial"/>
          <w:i/>
          <w:iCs/>
          <w:color w:val="808080" w:themeColor="background1" w:themeShade="80"/>
          <w:sz w:val="22"/>
          <w:szCs w:val="22"/>
          <w:lang w:val="en-GB"/>
        </w:rPr>
      </w:pPr>
      <w:r w:rsidRPr="00D91A0F">
        <w:rPr>
          <w:rFonts w:ascii="Avenir Next" w:hAnsi="Avenir Next" w:cs="Arial"/>
          <w:i/>
          <w:iCs/>
          <w:color w:val="808080" w:themeColor="background1" w:themeShade="80"/>
          <w:sz w:val="22"/>
          <w:szCs w:val="22"/>
          <w:lang w:val="en-GB"/>
        </w:rPr>
        <w:t>The Second Circuit and other courts often examine whether a Chapter 15 debtor’s COMI</w:t>
      </w:r>
      <w:r>
        <w:rPr>
          <w:rFonts w:ascii="Avenir Next" w:hAnsi="Avenir Next" w:cs="Arial"/>
          <w:i/>
          <w:iCs/>
          <w:color w:val="808080" w:themeColor="background1" w:themeShade="80"/>
          <w:sz w:val="22"/>
          <w:szCs w:val="22"/>
          <w:lang w:val="en-GB"/>
        </w:rPr>
        <w:t xml:space="preserve"> </w:t>
      </w:r>
      <w:r w:rsidRPr="00D91A0F">
        <w:rPr>
          <w:rFonts w:ascii="Avenir Next" w:hAnsi="Avenir Next" w:cs="Arial"/>
          <w:i/>
          <w:iCs/>
          <w:color w:val="808080" w:themeColor="background1" w:themeShade="80"/>
          <w:sz w:val="22"/>
          <w:szCs w:val="22"/>
          <w:lang w:val="en-GB"/>
        </w:rPr>
        <w:t>would have been ascertainable to interested third parties, finding “the relevant principle is that</w:t>
      </w:r>
      <w:r>
        <w:rPr>
          <w:rFonts w:ascii="Avenir Next" w:hAnsi="Avenir Next" w:cs="Arial"/>
          <w:i/>
          <w:iCs/>
          <w:color w:val="808080" w:themeColor="background1" w:themeShade="80"/>
          <w:sz w:val="22"/>
          <w:szCs w:val="22"/>
          <w:lang w:val="en-GB"/>
        </w:rPr>
        <w:t xml:space="preserve"> </w:t>
      </w:r>
      <w:r w:rsidRPr="00D91A0F">
        <w:rPr>
          <w:rFonts w:ascii="Avenir Next" w:hAnsi="Avenir Next" w:cs="Arial"/>
          <w:i/>
          <w:iCs/>
          <w:color w:val="808080" w:themeColor="background1" w:themeShade="80"/>
          <w:sz w:val="22"/>
          <w:szCs w:val="22"/>
          <w:lang w:val="en-GB"/>
        </w:rPr>
        <w:t>the COMI lies where the debtor conducts its regular business, so that the place is ascertainable</w:t>
      </w:r>
      <w:r>
        <w:rPr>
          <w:rFonts w:ascii="Avenir Next" w:hAnsi="Avenir Next" w:cs="Arial"/>
          <w:i/>
          <w:iCs/>
          <w:color w:val="808080" w:themeColor="background1" w:themeShade="80"/>
          <w:sz w:val="22"/>
          <w:szCs w:val="22"/>
          <w:lang w:val="en-GB"/>
        </w:rPr>
        <w:t xml:space="preserve"> </w:t>
      </w:r>
      <w:r w:rsidRPr="00D91A0F">
        <w:rPr>
          <w:rFonts w:ascii="Avenir Next" w:hAnsi="Avenir Next" w:cs="Arial"/>
          <w:i/>
          <w:iCs/>
          <w:color w:val="808080" w:themeColor="background1" w:themeShade="80"/>
          <w:sz w:val="22"/>
          <w:szCs w:val="22"/>
          <w:lang w:val="en-GB"/>
        </w:rPr>
        <w:t>by third parties. Among other factors that may be considered are the location of headquarters,</w:t>
      </w:r>
      <w:r>
        <w:rPr>
          <w:rFonts w:ascii="Avenir Next" w:hAnsi="Avenir Next" w:cs="Arial"/>
          <w:i/>
          <w:iCs/>
          <w:color w:val="808080" w:themeColor="background1" w:themeShade="80"/>
          <w:sz w:val="22"/>
          <w:szCs w:val="22"/>
          <w:lang w:val="en-GB"/>
        </w:rPr>
        <w:t xml:space="preserve"> </w:t>
      </w:r>
      <w:r w:rsidRPr="00D91A0F">
        <w:rPr>
          <w:rFonts w:ascii="Avenir Next" w:hAnsi="Avenir Next" w:cs="Arial"/>
          <w:i/>
          <w:iCs/>
          <w:color w:val="808080" w:themeColor="background1" w:themeShade="80"/>
          <w:sz w:val="22"/>
          <w:szCs w:val="22"/>
          <w:lang w:val="en-GB"/>
        </w:rPr>
        <w:t>decision-makers, assets, creditors, and the law applicable to most disputes.” Fairfield Sentry,</w:t>
      </w:r>
      <w:r>
        <w:rPr>
          <w:rFonts w:ascii="Avenir Next" w:hAnsi="Avenir Next" w:cs="Arial"/>
          <w:i/>
          <w:iCs/>
          <w:color w:val="808080" w:themeColor="background1" w:themeShade="80"/>
          <w:sz w:val="22"/>
          <w:szCs w:val="22"/>
          <w:lang w:val="en-GB"/>
        </w:rPr>
        <w:t xml:space="preserve"> </w:t>
      </w:r>
      <w:r w:rsidRPr="00D91A0F">
        <w:rPr>
          <w:rFonts w:ascii="Avenir Next" w:hAnsi="Avenir Next" w:cs="Arial"/>
          <w:i/>
          <w:iCs/>
          <w:color w:val="808080" w:themeColor="background1" w:themeShade="80"/>
          <w:sz w:val="22"/>
          <w:szCs w:val="22"/>
          <w:lang w:val="en-GB"/>
        </w:rPr>
        <w:t>714 F.3d at 130. As the Second Circuit explained, by examining factors “in the public domain,”</w:t>
      </w:r>
      <w:r>
        <w:rPr>
          <w:rFonts w:ascii="Avenir Next" w:hAnsi="Avenir Next" w:cs="Arial"/>
          <w:i/>
          <w:iCs/>
          <w:color w:val="808080" w:themeColor="background1" w:themeShade="80"/>
          <w:sz w:val="22"/>
          <w:szCs w:val="22"/>
          <w:lang w:val="en-GB"/>
        </w:rPr>
        <w:t xml:space="preserve"> </w:t>
      </w:r>
      <w:r w:rsidRPr="00D91A0F">
        <w:rPr>
          <w:rFonts w:ascii="Avenir Next" w:hAnsi="Avenir Next" w:cs="Arial"/>
          <w:i/>
          <w:iCs/>
          <w:color w:val="808080" w:themeColor="background1" w:themeShade="80"/>
          <w:sz w:val="22"/>
          <w:szCs w:val="22"/>
          <w:lang w:val="en-GB"/>
        </w:rPr>
        <w:t>courts are readily able to determine whether a debtor’s COMI is in fact “regular and</w:t>
      </w:r>
      <w:r>
        <w:rPr>
          <w:rFonts w:ascii="Avenir Next" w:hAnsi="Avenir Next" w:cs="Arial"/>
          <w:i/>
          <w:iCs/>
          <w:color w:val="808080" w:themeColor="background1" w:themeShade="80"/>
          <w:sz w:val="22"/>
          <w:szCs w:val="22"/>
          <w:lang w:val="en-GB"/>
        </w:rPr>
        <w:t xml:space="preserve"> </w:t>
      </w:r>
      <w:r w:rsidRPr="00D91A0F">
        <w:rPr>
          <w:rFonts w:ascii="Avenir Next" w:hAnsi="Avenir Next" w:cs="Arial"/>
          <w:i/>
          <w:iCs/>
          <w:color w:val="808080" w:themeColor="background1" w:themeShade="80"/>
          <w:sz w:val="22"/>
          <w:szCs w:val="22"/>
          <w:lang w:val="en-GB"/>
        </w:rPr>
        <w:t>ascertainable [and] not easily subject to tactical removal.” Id. at 136–37; see also In re British</w:t>
      </w:r>
      <w:r>
        <w:rPr>
          <w:rFonts w:ascii="Avenir Next" w:hAnsi="Avenir Next" w:cs="Arial"/>
          <w:i/>
          <w:iCs/>
          <w:color w:val="808080" w:themeColor="background1" w:themeShade="80"/>
          <w:sz w:val="22"/>
          <w:szCs w:val="22"/>
          <w:lang w:val="en-GB"/>
        </w:rPr>
        <w:t xml:space="preserve"> </w:t>
      </w:r>
      <w:r w:rsidRPr="00D91A0F">
        <w:rPr>
          <w:rFonts w:ascii="Avenir Next" w:hAnsi="Avenir Next" w:cs="Arial"/>
          <w:i/>
          <w:iCs/>
          <w:color w:val="808080" w:themeColor="background1" w:themeShade="80"/>
          <w:sz w:val="22"/>
          <w:szCs w:val="22"/>
          <w:lang w:val="en-GB"/>
        </w:rPr>
        <w:t>Am. Ins. Co., 425 B.R. 884, 912 (</w:t>
      </w:r>
      <w:proofErr w:type="spellStart"/>
      <w:r w:rsidRPr="00D91A0F">
        <w:rPr>
          <w:rFonts w:ascii="Avenir Next" w:hAnsi="Avenir Next" w:cs="Arial"/>
          <w:i/>
          <w:iCs/>
          <w:color w:val="808080" w:themeColor="background1" w:themeShade="80"/>
          <w:sz w:val="22"/>
          <w:szCs w:val="22"/>
          <w:lang w:val="en-GB"/>
        </w:rPr>
        <w:t>Bankr</w:t>
      </w:r>
      <w:proofErr w:type="spellEnd"/>
      <w:r w:rsidRPr="00D91A0F">
        <w:rPr>
          <w:rFonts w:ascii="Avenir Next" w:hAnsi="Avenir Next" w:cs="Arial"/>
          <w:i/>
          <w:iCs/>
          <w:color w:val="808080" w:themeColor="background1" w:themeShade="80"/>
          <w:sz w:val="22"/>
          <w:szCs w:val="22"/>
          <w:lang w:val="en-GB"/>
        </w:rPr>
        <w:t>. S.D. Fla. 2010) (“The location of a debtor’s COMI</w:t>
      </w:r>
      <w:r>
        <w:rPr>
          <w:rFonts w:ascii="Avenir Next" w:hAnsi="Avenir Next" w:cs="Arial"/>
          <w:i/>
          <w:iCs/>
          <w:color w:val="808080" w:themeColor="background1" w:themeShade="80"/>
          <w:sz w:val="22"/>
          <w:szCs w:val="22"/>
          <w:lang w:val="en-GB"/>
        </w:rPr>
        <w:t xml:space="preserve"> </w:t>
      </w:r>
      <w:r w:rsidRPr="00D91A0F">
        <w:rPr>
          <w:rFonts w:ascii="Avenir Next" w:hAnsi="Avenir Next" w:cs="Arial"/>
          <w:i/>
          <w:iCs/>
          <w:color w:val="808080" w:themeColor="background1" w:themeShade="80"/>
          <w:sz w:val="22"/>
          <w:szCs w:val="22"/>
          <w:lang w:val="en-GB"/>
        </w:rPr>
        <w:t xml:space="preserve">should be readily ascertainable by third parties.”); In re </w:t>
      </w:r>
      <w:proofErr w:type="spellStart"/>
      <w:r w:rsidRPr="00D91A0F">
        <w:rPr>
          <w:rFonts w:ascii="Avenir Next" w:hAnsi="Avenir Next" w:cs="Arial"/>
          <w:i/>
          <w:iCs/>
          <w:color w:val="808080" w:themeColor="background1" w:themeShade="80"/>
          <w:sz w:val="22"/>
          <w:szCs w:val="22"/>
          <w:lang w:val="en-GB"/>
        </w:rPr>
        <w:t>Betcorp</w:t>
      </w:r>
      <w:proofErr w:type="spellEnd"/>
      <w:r w:rsidRPr="00D91A0F">
        <w:rPr>
          <w:rFonts w:ascii="Avenir Next" w:hAnsi="Avenir Next" w:cs="Arial"/>
          <w:i/>
          <w:iCs/>
          <w:color w:val="808080" w:themeColor="background1" w:themeShade="80"/>
          <w:sz w:val="22"/>
          <w:szCs w:val="22"/>
          <w:lang w:val="en-GB"/>
        </w:rPr>
        <w:t xml:space="preserve"> Ltd., 400 B.R. 266, 289 (</w:t>
      </w:r>
      <w:proofErr w:type="spellStart"/>
      <w:r w:rsidRPr="00D91A0F">
        <w:rPr>
          <w:rFonts w:ascii="Avenir Next" w:hAnsi="Avenir Next" w:cs="Arial"/>
          <w:i/>
          <w:iCs/>
          <w:color w:val="808080" w:themeColor="background1" w:themeShade="80"/>
          <w:sz w:val="22"/>
          <w:szCs w:val="22"/>
          <w:lang w:val="en-GB"/>
        </w:rPr>
        <w:t>Bankr.D</w:t>
      </w:r>
      <w:proofErr w:type="spellEnd"/>
      <w:r w:rsidRPr="00D91A0F">
        <w:rPr>
          <w:rFonts w:ascii="Avenir Next" w:hAnsi="Avenir Next" w:cs="Arial"/>
          <w:i/>
          <w:iCs/>
          <w:color w:val="808080" w:themeColor="background1" w:themeShade="80"/>
          <w:sz w:val="22"/>
          <w:szCs w:val="22"/>
          <w:lang w:val="en-GB"/>
        </w:rPr>
        <w:t xml:space="preserve">. Nev. 2009) (looking to </w:t>
      </w:r>
      <w:proofErr w:type="spellStart"/>
      <w:r w:rsidRPr="00D91A0F">
        <w:rPr>
          <w:rFonts w:ascii="Avenir Next" w:hAnsi="Avenir Next" w:cs="Arial"/>
          <w:i/>
          <w:iCs/>
          <w:color w:val="808080" w:themeColor="background1" w:themeShade="80"/>
          <w:sz w:val="22"/>
          <w:szCs w:val="22"/>
          <w:lang w:val="en-GB"/>
        </w:rPr>
        <w:t>ascertainability</w:t>
      </w:r>
      <w:proofErr w:type="spellEnd"/>
      <w:r w:rsidRPr="00D91A0F">
        <w:rPr>
          <w:rFonts w:ascii="Avenir Next" w:hAnsi="Avenir Next" w:cs="Arial"/>
          <w:i/>
          <w:iCs/>
          <w:color w:val="808080" w:themeColor="background1" w:themeShade="80"/>
          <w:sz w:val="22"/>
          <w:szCs w:val="22"/>
          <w:lang w:val="en-GB"/>
        </w:rPr>
        <w:t xml:space="preserve"> of COMI by creditors).</w:t>
      </w:r>
      <w:r>
        <w:rPr>
          <w:rFonts w:ascii="Avenir Next" w:hAnsi="Avenir Next" w:cs="Arial"/>
          <w:i/>
          <w:iCs/>
          <w:color w:val="808080" w:themeColor="background1" w:themeShade="80"/>
          <w:sz w:val="22"/>
          <w:szCs w:val="22"/>
          <w:lang w:val="en-GB"/>
        </w:rPr>
        <w:t>”</w:t>
      </w:r>
    </w:p>
    <w:p w14:paraId="262A92A5" w14:textId="77777777" w:rsidR="00D91A0F" w:rsidRDefault="00D91A0F" w:rsidP="009955BC">
      <w:pPr>
        <w:jc w:val="both"/>
        <w:rPr>
          <w:rFonts w:ascii="Avenir Next" w:hAnsi="Avenir Next" w:cs="Arial"/>
          <w:color w:val="808080" w:themeColor="background1" w:themeShade="80"/>
          <w:sz w:val="22"/>
          <w:szCs w:val="22"/>
          <w:lang w:val="en-GB"/>
        </w:rPr>
      </w:pPr>
    </w:p>
    <w:p w14:paraId="69B4C579" w14:textId="4DB4A4FE" w:rsidR="009955BC" w:rsidRDefault="006F26B5" w:rsidP="009955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9955BC">
        <w:rPr>
          <w:rFonts w:ascii="Avenir Next" w:hAnsi="Avenir Next" w:cs="Arial"/>
          <w:color w:val="808080" w:themeColor="background1" w:themeShade="80"/>
          <w:sz w:val="22"/>
          <w:szCs w:val="22"/>
          <w:lang w:val="en-GB"/>
        </w:rPr>
        <w:t xml:space="preserve"> UNCITRAL Guide to Enactment </w:t>
      </w:r>
      <w:r w:rsidR="007C42E7">
        <w:rPr>
          <w:rFonts w:ascii="Avenir Next" w:hAnsi="Avenir Next" w:cs="Arial"/>
          <w:color w:val="808080" w:themeColor="background1" w:themeShade="80"/>
          <w:sz w:val="22"/>
          <w:szCs w:val="22"/>
          <w:lang w:val="en-GB"/>
        </w:rPr>
        <w:t xml:space="preserve">also </w:t>
      </w:r>
      <w:r w:rsidR="009955BC">
        <w:rPr>
          <w:rFonts w:ascii="Avenir Next" w:hAnsi="Avenir Next" w:cs="Arial"/>
          <w:color w:val="808080" w:themeColor="background1" w:themeShade="80"/>
          <w:sz w:val="22"/>
          <w:szCs w:val="22"/>
          <w:lang w:val="en-GB"/>
        </w:rPr>
        <w:t>provides some guidance and, similar to the COMI concept under the European Insolvency Regulation, the two key factors for determining COMI under the Model Law are:</w:t>
      </w:r>
    </w:p>
    <w:p w14:paraId="7E813A9B" w14:textId="77777777" w:rsidR="009955BC" w:rsidRDefault="009955BC" w:rsidP="009955BC">
      <w:pPr>
        <w:jc w:val="both"/>
        <w:rPr>
          <w:rFonts w:ascii="Avenir Next" w:hAnsi="Avenir Next" w:cs="Arial"/>
          <w:color w:val="808080" w:themeColor="background1" w:themeShade="80"/>
          <w:sz w:val="22"/>
          <w:szCs w:val="22"/>
          <w:lang w:val="en-GB"/>
        </w:rPr>
      </w:pPr>
    </w:p>
    <w:p w14:paraId="498565D0" w14:textId="7ED0E83F" w:rsidR="009955BC" w:rsidRDefault="009955BC" w:rsidP="009955BC">
      <w:pPr>
        <w:pStyle w:val="ListParagraph"/>
        <w:numPr>
          <w:ilvl w:val="0"/>
          <w:numId w:val="61"/>
        </w:numPr>
        <w:jc w:val="both"/>
        <w:rPr>
          <w:rFonts w:ascii="Avenir Next" w:hAnsi="Avenir Next" w:cs="Arial"/>
          <w:color w:val="808080" w:themeColor="background1" w:themeShade="80"/>
          <w:sz w:val="22"/>
          <w:szCs w:val="22"/>
          <w:lang w:val="en-GB"/>
        </w:rPr>
      </w:pPr>
      <w:r w:rsidRPr="009955BC">
        <w:rPr>
          <w:rFonts w:ascii="Avenir Next" w:hAnsi="Avenir Next" w:cs="Arial"/>
          <w:color w:val="808080" w:themeColor="background1" w:themeShade="80"/>
          <w:sz w:val="22"/>
          <w:szCs w:val="22"/>
          <w:lang w:val="en-GB"/>
        </w:rPr>
        <w:t>the location</w:t>
      </w:r>
      <w:r>
        <w:rPr>
          <w:rFonts w:ascii="Avenir Next" w:hAnsi="Avenir Next" w:cs="Arial"/>
          <w:color w:val="808080" w:themeColor="background1" w:themeShade="80"/>
          <w:sz w:val="22"/>
          <w:szCs w:val="22"/>
          <w:lang w:val="en-GB"/>
        </w:rPr>
        <w:t xml:space="preserve"> where the central administration of the debtor takes place; and</w:t>
      </w:r>
    </w:p>
    <w:p w14:paraId="2B20868E" w14:textId="36FC8538" w:rsidR="009955BC" w:rsidRPr="009955BC" w:rsidRDefault="009955BC" w:rsidP="009955BC">
      <w:pPr>
        <w:pStyle w:val="ListParagraph"/>
        <w:numPr>
          <w:ilvl w:val="0"/>
          <w:numId w:val="6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which is readily ascertainable as such by creditors of the debtor. </w:t>
      </w:r>
    </w:p>
    <w:p w14:paraId="4949B486" w14:textId="6DF38107" w:rsidR="009955BC" w:rsidRDefault="009955BC" w:rsidP="009955BC">
      <w:pPr>
        <w:ind w:left="360"/>
        <w:jc w:val="both"/>
        <w:rPr>
          <w:rFonts w:ascii="Avenir Next" w:hAnsi="Avenir Next" w:cs="Arial"/>
          <w:color w:val="808080" w:themeColor="background1" w:themeShade="80"/>
          <w:sz w:val="22"/>
          <w:szCs w:val="22"/>
          <w:lang w:val="en-GB"/>
        </w:rPr>
      </w:pPr>
      <w:r w:rsidRPr="009955BC">
        <w:rPr>
          <w:rFonts w:ascii="Avenir Next" w:hAnsi="Avenir Next" w:cs="Arial"/>
          <w:color w:val="808080" w:themeColor="background1" w:themeShade="80"/>
          <w:sz w:val="22"/>
          <w:szCs w:val="22"/>
          <w:lang w:val="en-GB"/>
        </w:rPr>
        <w:t xml:space="preserve"> </w:t>
      </w:r>
    </w:p>
    <w:p w14:paraId="64A71A09" w14:textId="56E04CF4" w:rsidR="00D91A0F" w:rsidRDefault="00D91A0F" w:rsidP="00D91A0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respect to a </w:t>
      </w:r>
      <w:r w:rsidR="009955BC">
        <w:rPr>
          <w:rFonts w:ascii="Avenir Next" w:hAnsi="Avenir Next" w:cs="Arial"/>
          <w:color w:val="808080" w:themeColor="background1" w:themeShade="80"/>
          <w:sz w:val="22"/>
          <w:szCs w:val="22"/>
          <w:lang w:val="en-GB"/>
        </w:rPr>
        <w:t>“foreign non-main proceeding”</w:t>
      </w:r>
      <w:r>
        <w:rPr>
          <w:rFonts w:ascii="Avenir Next" w:hAnsi="Avenir Next" w:cs="Arial"/>
          <w:color w:val="808080" w:themeColor="background1" w:themeShade="80"/>
          <w:sz w:val="22"/>
          <w:szCs w:val="22"/>
          <w:lang w:val="en-GB"/>
        </w:rPr>
        <w:t xml:space="preserve">, </w:t>
      </w:r>
      <w:r>
        <w:rPr>
          <w:rFonts w:ascii="Avenir Next" w:hAnsi="Avenir Next" w:cs="Arial"/>
          <w:i/>
          <w:iCs/>
          <w:color w:val="808080" w:themeColor="background1" w:themeShade="80"/>
          <w:sz w:val="22"/>
          <w:szCs w:val="22"/>
          <w:lang w:val="en-GB"/>
        </w:rPr>
        <w:t>In re Modern Land (China) Co.</w:t>
      </w:r>
      <w:r>
        <w:rPr>
          <w:rFonts w:ascii="Avenir Next" w:hAnsi="Avenir Next" w:cs="Arial"/>
          <w:color w:val="808080" w:themeColor="background1" w:themeShade="80"/>
          <w:sz w:val="22"/>
          <w:szCs w:val="22"/>
          <w:lang w:val="en-GB"/>
        </w:rPr>
        <w:t xml:space="preserve"> Judge Glenn said:</w:t>
      </w:r>
    </w:p>
    <w:p w14:paraId="11F1899D" w14:textId="77777777" w:rsidR="00D91A0F" w:rsidRDefault="00D91A0F" w:rsidP="009955BC">
      <w:pPr>
        <w:jc w:val="both"/>
        <w:rPr>
          <w:rFonts w:ascii="Avenir Next" w:hAnsi="Avenir Next" w:cs="Arial"/>
          <w:color w:val="808080" w:themeColor="background1" w:themeShade="80"/>
          <w:sz w:val="22"/>
          <w:szCs w:val="22"/>
          <w:lang w:val="en-GB"/>
        </w:rPr>
      </w:pPr>
    </w:p>
    <w:p w14:paraId="0EC5F8FE" w14:textId="7F284454" w:rsidR="009955BC" w:rsidRDefault="00D91A0F" w:rsidP="00D91A0F">
      <w:pPr>
        <w:ind w:left="720"/>
        <w:jc w:val="both"/>
        <w:rPr>
          <w:rFonts w:ascii="Avenir Next" w:hAnsi="Avenir Next" w:cs="Arial"/>
          <w:i/>
          <w:iCs/>
          <w:color w:val="808080" w:themeColor="background1" w:themeShade="80"/>
          <w:sz w:val="22"/>
          <w:szCs w:val="22"/>
          <w:lang w:val="en-GB"/>
        </w:rPr>
      </w:pPr>
      <w:r w:rsidRPr="00D91A0F">
        <w:rPr>
          <w:rFonts w:ascii="Avenir Next" w:hAnsi="Avenir Next" w:cs="Arial"/>
          <w:i/>
          <w:iCs/>
          <w:color w:val="808080" w:themeColor="background1" w:themeShade="80"/>
          <w:sz w:val="22"/>
          <w:szCs w:val="22"/>
          <w:lang w:val="en-GB"/>
        </w:rPr>
        <w:t>Courts recognize a foreign proceeding as a “foreign nonmain proceeding” if “the debtor has an establishment within the meaning of section 1502 in the foreign country where the proceeding is pending.” 11 U.S.C. § 1517(b)(2). Section 1502(2) defines “[e]</w:t>
      </w:r>
      <w:proofErr w:type="spellStart"/>
      <w:r w:rsidRPr="00D91A0F">
        <w:rPr>
          <w:rFonts w:ascii="Avenir Next" w:hAnsi="Avenir Next" w:cs="Arial"/>
          <w:i/>
          <w:iCs/>
          <w:color w:val="808080" w:themeColor="background1" w:themeShade="80"/>
          <w:sz w:val="22"/>
          <w:szCs w:val="22"/>
          <w:lang w:val="en-GB"/>
        </w:rPr>
        <w:t>stablishment</w:t>
      </w:r>
      <w:proofErr w:type="spellEnd"/>
      <w:r w:rsidRPr="00D91A0F">
        <w:rPr>
          <w:rFonts w:ascii="Avenir Next" w:hAnsi="Avenir Next" w:cs="Arial"/>
          <w:i/>
          <w:iCs/>
          <w:color w:val="808080" w:themeColor="background1" w:themeShade="80"/>
          <w:sz w:val="22"/>
          <w:szCs w:val="22"/>
          <w:lang w:val="en-GB"/>
        </w:rPr>
        <w:t xml:space="preserve">” as “any place of operations where the debtor carries out a </w:t>
      </w:r>
      <w:proofErr w:type="spellStart"/>
      <w:r w:rsidRPr="00D91A0F">
        <w:rPr>
          <w:rFonts w:ascii="Avenir Next" w:hAnsi="Avenir Next" w:cs="Arial"/>
          <w:i/>
          <w:iCs/>
          <w:color w:val="808080" w:themeColor="background1" w:themeShade="80"/>
          <w:sz w:val="22"/>
          <w:szCs w:val="22"/>
          <w:lang w:val="en-GB"/>
        </w:rPr>
        <w:t>nontransitory</w:t>
      </w:r>
      <w:proofErr w:type="spellEnd"/>
      <w:r w:rsidRPr="00D91A0F">
        <w:rPr>
          <w:rFonts w:ascii="Avenir Next" w:hAnsi="Avenir Next" w:cs="Arial"/>
          <w:i/>
          <w:iCs/>
          <w:color w:val="808080" w:themeColor="background1" w:themeShade="80"/>
          <w:sz w:val="22"/>
          <w:szCs w:val="22"/>
          <w:lang w:val="en-GB"/>
        </w:rPr>
        <w:t xml:space="preserve"> economic activity.” 11 U.S.C. § 1502(2); see also In re Millennium Glob. Emerging Credit Master Fund Ltd., 458 B.R. 63, 70 (</w:t>
      </w:r>
      <w:proofErr w:type="spellStart"/>
      <w:r w:rsidRPr="00D91A0F">
        <w:rPr>
          <w:rFonts w:ascii="Avenir Next" w:hAnsi="Avenir Next" w:cs="Arial"/>
          <w:i/>
          <w:iCs/>
          <w:color w:val="808080" w:themeColor="background1" w:themeShade="80"/>
          <w:sz w:val="22"/>
          <w:szCs w:val="22"/>
          <w:lang w:val="en-GB"/>
        </w:rPr>
        <w:t>Bankr</w:t>
      </w:r>
      <w:proofErr w:type="spellEnd"/>
      <w:r w:rsidRPr="00D91A0F">
        <w:rPr>
          <w:rFonts w:ascii="Avenir Next" w:hAnsi="Avenir Next" w:cs="Arial"/>
          <w:i/>
          <w:iCs/>
          <w:color w:val="808080" w:themeColor="background1" w:themeShade="80"/>
          <w:sz w:val="22"/>
          <w:szCs w:val="22"/>
          <w:lang w:val="en-GB"/>
        </w:rPr>
        <w:t xml:space="preserve">. S.D.N.Y. 2011), aff’d 474 B.R. 88 (S.D.N.Y. 2012) (“Millennium Glob. I”). Additionally, courts have required proof of more than a “mail-drop presence” to satisfy the establishment requirement. In re </w:t>
      </w:r>
      <w:proofErr w:type="spellStart"/>
      <w:r w:rsidRPr="00D91A0F">
        <w:rPr>
          <w:rFonts w:ascii="Avenir Next" w:hAnsi="Avenir Next" w:cs="Arial"/>
          <w:i/>
          <w:iCs/>
          <w:color w:val="808080" w:themeColor="background1" w:themeShade="80"/>
          <w:sz w:val="22"/>
          <w:szCs w:val="22"/>
          <w:lang w:val="en-GB"/>
        </w:rPr>
        <w:t>Serviços</w:t>
      </w:r>
      <w:proofErr w:type="spellEnd"/>
      <w:r w:rsidRPr="00D91A0F">
        <w:rPr>
          <w:rFonts w:ascii="Avenir Next" w:hAnsi="Avenir Next" w:cs="Arial"/>
          <w:i/>
          <w:iCs/>
          <w:color w:val="808080" w:themeColor="background1" w:themeShade="80"/>
          <w:sz w:val="22"/>
          <w:szCs w:val="22"/>
          <w:lang w:val="en-GB"/>
        </w:rPr>
        <w:t xml:space="preserve"> de </w:t>
      </w:r>
      <w:proofErr w:type="spellStart"/>
      <w:r w:rsidRPr="00D91A0F">
        <w:rPr>
          <w:rFonts w:ascii="Avenir Next" w:hAnsi="Avenir Next" w:cs="Arial"/>
          <w:i/>
          <w:iCs/>
          <w:color w:val="808080" w:themeColor="background1" w:themeShade="80"/>
          <w:sz w:val="22"/>
          <w:szCs w:val="22"/>
          <w:lang w:val="en-GB"/>
        </w:rPr>
        <w:t>Petróleo</w:t>
      </w:r>
      <w:proofErr w:type="spellEnd"/>
      <w:r w:rsidRPr="00D91A0F">
        <w:rPr>
          <w:rFonts w:ascii="Avenir Next" w:hAnsi="Avenir Next" w:cs="Arial"/>
          <w:i/>
          <w:iCs/>
          <w:color w:val="808080" w:themeColor="background1" w:themeShade="80"/>
          <w:sz w:val="22"/>
          <w:szCs w:val="22"/>
          <w:lang w:val="en-GB"/>
        </w:rPr>
        <w:t xml:space="preserve"> Constellation S.A., 600 B.R. 237, 277 (</w:t>
      </w:r>
      <w:proofErr w:type="spellStart"/>
      <w:r w:rsidRPr="00D91A0F">
        <w:rPr>
          <w:rFonts w:ascii="Avenir Next" w:hAnsi="Avenir Next" w:cs="Arial"/>
          <w:i/>
          <w:iCs/>
          <w:color w:val="808080" w:themeColor="background1" w:themeShade="80"/>
          <w:sz w:val="22"/>
          <w:szCs w:val="22"/>
          <w:lang w:val="en-GB"/>
        </w:rPr>
        <w:t>Bankr</w:t>
      </w:r>
      <w:proofErr w:type="spellEnd"/>
      <w:r w:rsidRPr="00D91A0F">
        <w:rPr>
          <w:rFonts w:ascii="Avenir Next" w:hAnsi="Avenir Next" w:cs="Arial"/>
          <w:i/>
          <w:iCs/>
          <w:color w:val="808080" w:themeColor="background1" w:themeShade="80"/>
          <w:sz w:val="22"/>
          <w:szCs w:val="22"/>
          <w:lang w:val="en-GB"/>
        </w:rPr>
        <w:t xml:space="preserve">. S.D.N.Y. 2019) (“Constellation I”) (citation omitted). Due to the “paucity of U.S. authority” on this question, the court in Millennium Glob. I cited a “persuasive” English law holding that the presence of an asset and minimal management or organization can create a debtor establishment. 458 B.R. at 84–85 (citing </w:t>
      </w:r>
      <w:proofErr w:type="spellStart"/>
      <w:r w:rsidRPr="00D91A0F">
        <w:rPr>
          <w:rFonts w:ascii="Avenir Next" w:hAnsi="Avenir Next" w:cs="Arial"/>
          <w:i/>
          <w:iCs/>
          <w:color w:val="808080" w:themeColor="background1" w:themeShade="80"/>
          <w:sz w:val="22"/>
          <w:szCs w:val="22"/>
          <w:lang w:val="en-GB"/>
        </w:rPr>
        <w:t>Shierson</w:t>
      </w:r>
      <w:proofErr w:type="spellEnd"/>
      <w:r w:rsidRPr="00D91A0F">
        <w:rPr>
          <w:rFonts w:ascii="Avenir Next" w:hAnsi="Avenir Next" w:cs="Arial"/>
          <w:i/>
          <w:iCs/>
          <w:color w:val="808080" w:themeColor="background1" w:themeShade="80"/>
          <w:sz w:val="22"/>
          <w:szCs w:val="22"/>
          <w:lang w:val="en-GB"/>
        </w:rPr>
        <w:t xml:space="preserve"> v. </w:t>
      </w:r>
      <w:proofErr w:type="spellStart"/>
      <w:r w:rsidRPr="00D91A0F">
        <w:rPr>
          <w:rFonts w:ascii="Avenir Next" w:hAnsi="Avenir Next" w:cs="Arial"/>
          <w:i/>
          <w:iCs/>
          <w:color w:val="808080" w:themeColor="background1" w:themeShade="80"/>
          <w:sz w:val="22"/>
          <w:szCs w:val="22"/>
          <w:lang w:val="en-GB"/>
        </w:rPr>
        <w:t>Vlieland</w:t>
      </w:r>
      <w:proofErr w:type="spellEnd"/>
      <w:r w:rsidRPr="00D91A0F">
        <w:rPr>
          <w:rFonts w:ascii="Avenir Next" w:hAnsi="Avenir Next" w:cs="Arial"/>
          <w:i/>
          <w:iCs/>
          <w:color w:val="808080" w:themeColor="background1" w:themeShade="80"/>
          <w:sz w:val="22"/>
          <w:szCs w:val="22"/>
          <w:lang w:val="en-GB"/>
        </w:rPr>
        <w:t>-Boddy, [2005] EWCA Civ. 974, [2005] W.L.R. 3966 (2005)).</w:t>
      </w:r>
    </w:p>
    <w:p w14:paraId="7D422E54" w14:textId="77777777" w:rsidR="00D91A0F" w:rsidRDefault="00D91A0F" w:rsidP="00D91A0F">
      <w:pPr>
        <w:ind w:left="720"/>
        <w:jc w:val="both"/>
        <w:rPr>
          <w:rFonts w:ascii="Avenir Next" w:hAnsi="Avenir Next" w:cs="Arial"/>
          <w:i/>
          <w:iCs/>
          <w:color w:val="808080" w:themeColor="background1" w:themeShade="80"/>
          <w:sz w:val="22"/>
          <w:szCs w:val="22"/>
          <w:lang w:val="en-GB"/>
        </w:rPr>
      </w:pPr>
    </w:p>
    <w:p w14:paraId="0F0D3B6E" w14:textId="6486C323" w:rsidR="00D91A0F" w:rsidRPr="00A73AE9" w:rsidRDefault="00D91A0F" w:rsidP="00A73AE9">
      <w:pPr>
        <w:ind w:left="720"/>
        <w:jc w:val="both"/>
        <w:rPr>
          <w:rFonts w:ascii="Avenir Next" w:hAnsi="Avenir Next" w:cs="Arial"/>
          <w:i/>
          <w:iCs/>
          <w:color w:val="808080" w:themeColor="background1" w:themeShade="80"/>
          <w:sz w:val="22"/>
          <w:szCs w:val="22"/>
          <w:lang w:val="en-GB"/>
        </w:rPr>
      </w:pPr>
      <w:r>
        <w:rPr>
          <w:rFonts w:ascii="Avenir Next" w:hAnsi="Avenir Next" w:cs="Arial"/>
          <w:i/>
          <w:iCs/>
          <w:color w:val="808080" w:themeColor="background1" w:themeShade="80"/>
          <w:sz w:val="22"/>
          <w:szCs w:val="22"/>
          <w:lang w:val="en-GB"/>
        </w:rPr>
        <w:lastRenderedPageBreak/>
        <w:t>…</w:t>
      </w:r>
      <w:r w:rsidR="00A73AE9">
        <w:rPr>
          <w:rFonts w:ascii="Avenir Next" w:hAnsi="Avenir Next" w:cs="Arial"/>
          <w:i/>
          <w:iCs/>
          <w:color w:val="808080" w:themeColor="background1" w:themeShade="80"/>
          <w:sz w:val="22"/>
          <w:szCs w:val="22"/>
          <w:lang w:val="en-GB"/>
        </w:rPr>
        <w:t xml:space="preserve"> </w:t>
      </w:r>
      <w:r w:rsidRPr="00A73AE9">
        <w:rPr>
          <w:rFonts w:ascii="Avenir Next" w:hAnsi="Avenir Next" w:cs="Arial"/>
          <w:i/>
          <w:iCs/>
          <w:color w:val="808080" w:themeColor="background1" w:themeShade="80"/>
          <w:sz w:val="22"/>
          <w:szCs w:val="22"/>
          <w:lang w:val="en-GB"/>
        </w:rPr>
        <w:t>Several factors “contribute to identifying an establishment: the economic</w:t>
      </w:r>
    </w:p>
    <w:p w14:paraId="4D217192" w14:textId="7F7BED41" w:rsidR="00A73AE9" w:rsidRPr="00A73AE9" w:rsidRDefault="00D91A0F" w:rsidP="00A73AE9">
      <w:pPr>
        <w:ind w:left="720"/>
        <w:jc w:val="both"/>
        <w:rPr>
          <w:rFonts w:ascii="Avenir Next" w:hAnsi="Avenir Next" w:cs="Arial"/>
          <w:i/>
          <w:iCs/>
          <w:color w:val="808080" w:themeColor="background1" w:themeShade="80"/>
          <w:sz w:val="22"/>
          <w:szCs w:val="22"/>
          <w:lang w:val="en-GB"/>
        </w:rPr>
      </w:pPr>
      <w:r w:rsidRPr="00A73AE9">
        <w:rPr>
          <w:rFonts w:ascii="Avenir Next" w:hAnsi="Avenir Next" w:cs="Arial"/>
          <w:i/>
          <w:iCs/>
          <w:color w:val="808080" w:themeColor="background1" w:themeShade="80"/>
          <w:sz w:val="22"/>
          <w:szCs w:val="22"/>
          <w:lang w:val="en-GB"/>
        </w:rPr>
        <w:t>impact of the debtor’s operations on the market, the maintenance of a ‘minimum level of</w:t>
      </w:r>
      <w:r w:rsidR="00A73AE9">
        <w:rPr>
          <w:rFonts w:ascii="Avenir Next" w:hAnsi="Avenir Next" w:cs="Arial"/>
          <w:i/>
          <w:iCs/>
          <w:color w:val="808080" w:themeColor="background1" w:themeShade="80"/>
          <w:sz w:val="22"/>
          <w:szCs w:val="22"/>
          <w:lang w:val="en-GB"/>
        </w:rPr>
        <w:t xml:space="preserve"> </w:t>
      </w:r>
      <w:r w:rsidR="00A73AE9" w:rsidRPr="00A73AE9">
        <w:rPr>
          <w:rFonts w:ascii="Avenir Next" w:hAnsi="Avenir Next" w:cs="Arial"/>
          <w:i/>
          <w:iCs/>
          <w:color w:val="808080" w:themeColor="background1" w:themeShade="80"/>
          <w:sz w:val="22"/>
          <w:szCs w:val="22"/>
          <w:lang w:val="en-GB"/>
        </w:rPr>
        <w:t>organization’ for a period of time, and the objective appearance to creditors whether the debtor</w:t>
      </w:r>
      <w:r w:rsidR="00A73AE9">
        <w:rPr>
          <w:rFonts w:ascii="Avenir Next" w:hAnsi="Avenir Next" w:cs="Arial"/>
          <w:i/>
          <w:iCs/>
          <w:color w:val="808080" w:themeColor="background1" w:themeShade="80"/>
          <w:sz w:val="22"/>
          <w:szCs w:val="22"/>
          <w:lang w:val="en-GB"/>
        </w:rPr>
        <w:t xml:space="preserve"> </w:t>
      </w:r>
      <w:r w:rsidR="00A73AE9" w:rsidRPr="00A73AE9">
        <w:rPr>
          <w:rFonts w:ascii="Avenir Next" w:hAnsi="Avenir Next" w:cs="Arial"/>
          <w:i/>
          <w:iCs/>
          <w:color w:val="808080" w:themeColor="background1" w:themeShade="80"/>
          <w:sz w:val="22"/>
          <w:szCs w:val="22"/>
          <w:lang w:val="en-GB"/>
        </w:rPr>
        <w:t>has a local presence.” Millennium Glob. I, 458 B.R. at 32. See In re Creative Fin., Ltd., 543</w:t>
      </w:r>
      <w:r w:rsidR="00A73AE9">
        <w:rPr>
          <w:rFonts w:ascii="Avenir Next" w:hAnsi="Avenir Next" w:cs="Arial"/>
          <w:i/>
          <w:iCs/>
          <w:color w:val="808080" w:themeColor="background1" w:themeShade="80"/>
          <w:sz w:val="22"/>
          <w:szCs w:val="22"/>
          <w:lang w:val="en-GB"/>
        </w:rPr>
        <w:t xml:space="preserve"> </w:t>
      </w:r>
      <w:r w:rsidR="00A73AE9" w:rsidRPr="00A73AE9">
        <w:rPr>
          <w:rFonts w:ascii="Avenir Next" w:hAnsi="Avenir Next" w:cs="Arial"/>
          <w:i/>
          <w:iCs/>
          <w:color w:val="808080" w:themeColor="background1" w:themeShade="80"/>
          <w:sz w:val="22"/>
          <w:szCs w:val="22"/>
          <w:lang w:val="en-GB"/>
        </w:rPr>
        <w:t>B.R. 498, 520 (</w:t>
      </w:r>
      <w:proofErr w:type="spellStart"/>
      <w:r w:rsidR="00A73AE9" w:rsidRPr="00A73AE9">
        <w:rPr>
          <w:rFonts w:ascii="Avenir Next" w:hAnsi="Avenir Next" w:cs="Arial"/>
          <w:i/>
          <w:iCs/>
          <w:color w:val="808080" w:themeColor="background1" w:themeShade="80"/>
          <w:sz w:val="22"/>
          <w:szCs w:val="22"/>
          <w:lang w:val="en-GB"/>
        </w:rPr>
        <w:t>Bankr</w:t>
      </w:r>
      <w:proofErr w:type="spellEnd"/>
      <w:r w:rsidR="00A73AE9" w:rsidRPr="00A73AE9">
        <w:rPr>
          <w:rFonts w:ascii="Avenir Next" w:hAnsi="Avenir Next" w:cs="Arial"/>
          <w:i/>
          <w:iCs/>
          <w:color w:val="808080" w:themeColor="background1" w:themeShade="80"/>
          <w:sz w:val="22"/>
          <w:szCs w:val="22"/>
          <w:lang w:val="en-GB"/>
        </w:rPr>
        <w:t>. S.D.N.Y. 2016) (citing In re Bear Stearns High-Grade Structured Credit</w:t>
      </w:r>
      <w:r w:rsidR="00A73AE9">
        <w:rPr>
          <w:rFonts w:ascii="Avenir Next" w:hAnsi="Avenir Next" w:cs="Arial"/>
          <w:i/>
          <w:iCs/>
          <w:color w:val="808080" w:themeColor="background1" w:themeShade="80"/>
          <w:sz w:val="22"/>
          <w:szCs w:val="22"/>
          <w:lang w:val="en-GB"/>
        </w:rPr>
        <w:t xml:space="preserve"> </w:t>
      </w:r>
      <w:r w:rsidR="00A73AE9" w:rsidRPr="00A73AE9">
        <w:rPr>
          <w:rFonts w:ascii="Avenir Next" w:hAnsi="Avenir Next" w:cs="Arial"/>
          <w:i/>
          <w:iCs/>
          <w:color w:val="808080" w:themeColor="background1" w:themeShade="80"/>
          <w:sz w:val="22"/>
          <w:szCs w:val="22"/>
          <w:lang w:val="en-GB"/>
        </w:rPr>
        <w:t>Strategies Master Fund, Ltd., 374 B.R. 122, 131 (</w:t>
      </w:r>
      <w:proofErr w:type="spellStart"/>
      <w:r w:rsidR="00A73AE9" w:rsidRPr="00A73AE9">
        <w:rPr>
          <w:rFonts w:ascii="Avenir Next" w:hAnsi="Avenir Next" w:cs="Arial"/>
          <w:i/>
          <w:iCs/>
          <w:color w:val="808080" w:themeColor="background1" w:themeShade="80"/>
          <w:sz w:val="22"/>
          <w:szCs w:val="22"/>
          <w:lang w:val="en-GB"/>
        </w:rPr>
        <w:t>Bankr</w:t>
      </w:r>
      <w:proofErr w:type="spellEnd"/>
      <w:r w:rsidR="00A73AE9" w:rsidRPr="00A73AE9">
        <w:rPr>
          <w:rFonts w:ascii="Avenir Next" w:hAnsi="Avenir Next" w:cs="Arial"/>
          <w:i/>
          <w:iCs/>
          <w:color w:val="808080" w:themeColor="background1" w:themeShade="80"/>
          <w:sz w:val="22"/>
          <w:szCs w:val="22"/>
          <w:lang w:val="en-GB"/>
        </w:rPr>
        <w:t>. S.D.N.Y. 2007)) (finding that an</w:t>
      </w:r>
      <w:r w:rsidR="00A73AE9">
        <w:rPr>
          <w:rFonts w:ascii="Avenir Next" w:hAnsi="Avenir Next" w:cs="Arial"/>
          <w:i/>
          <w:iCs/>
          <w:color w:val="808080" w:themeColor="background1" w:themeShade="80"/>
          <w:sz w:val="22"/>
          <w:szCs w:val="22"/>
          <w:lang w:val="en-GB"/>
        </w:rPr>
        <w:t xml:space="preserve"> </w:t>
      </w:r>
      <w:r w:rsidR="00A73AE9" w:rsidRPr="00A73AE9">
        <w:rPr>
          <w:rFonts w:ascii="Avenir Next" w:hAnsi="Avenir Next" w:cs="Arial"/>
          <w:i/>
          <w:iCs/>
          <w:color w:val="808080" w:themeColor="background1" w:themeShade="80"/>
          <w:sz w:val="22"/>
          <w:szCs w:val="22"/>
          <w:lang w:val="en-GB"/>
        </w:rPr>
        <w:t>“establishment” requires a “showing of a local effect on the marketplace, more than mere</w:t>
      </w:r>
      <w:r w:rsidR="00A73AE9">
        <w:rPr>
          <w:rFonts w:ascii="Avenir Next" w:hAnsi="Avenir Next" w:cs="Arial"/>
          <w:i/>
          <w:iCs/>
          <w:color w:val="808080" w:themeColor="background1" w:themeShade="80"/>
          <w:sz w:val="22"/>
          <w:szCs w:val="22"/>
          <w:lang w:val="en-GB"/>
        </w:rPr>
        <w:t xml:space="preserve"> </w:t>
      </w:r>
      <w:r w:rsidR="00A73AE9" w:rsidRPr="00A73AE9">
        <w:rPr>
          <w:rFonts w:ascii="Avenir Next" w:hAnsi="Avenir Next" w:cs="Arial"/>
          <w:i/>
          <w:iCs/>
          <w:color w:val="808080" w:themeColor="background1" w:themeShade="80"/>
          <w:sz w:val="22"/>
          <w:szCs w:val="22"/>
          <w:lang w:val="en-GB"/>
        </w:rPr>
        <w:t>incorporation and record-keeping and more than just the maintenance of property.”) This is</w:t>
      </w:r>
      <w:r w:rsidR="00A73AE9">
        <w:rPr>
          <w:rFonts w:ascii="Avenir Next" w:hAnsi="Avenir Next" w:cs="Arial"/>
          <w:i/>
          <w:iCs/>
          <w:color w:val="808080" w:themeColor="background1" w:themeShade="80"/>
          <w:sz w:val="22"/>
          <w:szCs w:val="22"/>
          <w:lang w:val="en-GB"/>
        </w:rPr>
        <w:t xml:space="preserve"> </w:t>
      </w:r>
      <w:r w:rsidR="00A73AE9" w:rsidRPr="00A73AE9">
        <w:rPr>
          <w:rFonts w:ascii="Avenir Next" w:hAnsi="Avenir Next" w:cs="Arial"/>
          <w:i/>
          <w:iCs/>
          <w:color w:val="808080" w:themeColor="background1" w:themeShade="80"/>
          <w:sz w:val="22"/>
          <w:szCs w:val="22"/>
          <w:lang w:val="en-GB"/>
        </w:rPr>
        <w:t>evidenced by engagement of “local counsel and commitment of capital to local banks.”</w:t>
      </w:r>
      <w:r w:rsidR="00A73AE9">
        <w:rPr>
          <w:rFonts w:ascii="Avenir Next" w:hAnsi="Avenir Next" w:cs="Arial"/>
          <w:i/>
          <w:iCs/>
          <w:color w:val="808080" w:themeColor="background1" w:themeShade="80"/>
          <w:sz w:val="22"/>
          <w:szCs w:val="22"/>
          <w:lang w:val="en-GB"/>
        </w:rPr>
        <w:t xml:space="preserve"> </w:t>
      </w:r>
      <w:r w:rsidR="00A73AE9" w:rsidRPr="00A73AE9">
        <w:rPr>
          <w:rFonts w:ascii="Avenir Next" w:hAnsi="Avenir Next" w:cs="Arial"/>
          <w:i/>
          <w:iCs/>
          <w:color w:val="808080" w:themeColor="background1" w:themeShade="80"/>
          <w:sz w:val="22"/>
          <w:szCs w:val="22"/>
          <w:lang w:val="en-GB"/>
        </w:rPr>
        <w:t xml:space="preserve">Millennium Glob. I, 458 B.R. at 86–67. See also </w:t>
      </w:r>
      <w:proofErr w:type="spellStart"/>
      <w:r w:rsidR="00A73AE9" w:rsidRPr="00A73AE9">
        <w:rPr>
          <w:rFonts w:ascii="Avenir Next" w:hAnsi="Avenir Next" w:cs="Arial"/>
          <w:i/>
          <w:iCs/>
          <w:color w:val="808080" w:themeColor="background1" w:themeShade="80"/>
          <w:sz w:val="22"/>
          <w:szCs w:val="22"/>
          <w:lang w:val="en-GB"/>
        </w:rPr>
        <w:t>Lavie</w:t>
      </w:r>
      <w:proofErr w:type="spellEnd"/>
      <w:r w:rsidR="00A73AE9" w:rsidRPr="00A73AE9">
        <w:rPr>
          <w:rFonts w:ascii="Avenir Next" w:hAnsi="Avenir Next" w:cs="Arial"/>
          <w:i/>
          <w:iCs/>
          <w:color w:val="808080" w:themeColor="background1" w:themeShade="80"/>
          <w:sz w:val="22"/>
          <w:szCs w:val="22"/>
          <w:lang w:val="en-GB"/>
        </w:rPr>
        <w:t xml:space="preserve"> v. Ran (In re Ran), 607 F.3d 1017, 1028</w:t>
      </w:r>
      <w:r w:rsidR="00A73AE9">
        <w:rPr>
          <w:rFonts w:ascii="Avenir Next" w:hAnsi="Avenir Next" w:cs="Arial"/>
          <w:i/>
          <w:iCs/>
          <w:color w:val="808080" w:themeColor="background1" w:themeShade="80"/>
          <w:sz w:val="22"/>
          <w:szCs w:val="22"/>
          <w:lang w:val="en-GB"/>
        </w:rPr>
        <w:t xml:space="preserve"> </w:t>
      </w:r>
      <w:r w:rsidR="00A73AE9" w:rsidRPr="00A73AE9">
        <w:rPr>
          <w:rFonts w:ascii="Avenir Next" w:hAnsi="Avenir Next" w:cs="Arial"/>
          <w:i/>
          <w:iCs/>
          <w:color w:val="808080" w:themeColor="background1" w:themeShade="80"/>
          <w:sz w:val="22"/>
          <w:szCs w:val="22"/>
          <w:lang w:val="en-GB"/>
        </w:rPr>
        <w:t>(5th Cir. 2010) (If a foreign “bankruptcy proceeding and associated debts [themselves] . . .</w:t>
      </w:r>
      <w:r w:rsidR="00A73AE9">
        <w:rPr>
          <w:rFonts w:ascii="Avenir Next" w:hAnsi="Avenir Next" w:cs="Arial"/>
          <w:i/>
          <w:iCs/>
          <w:color w:val="808080" w:themeColor="background1" w:themeShade="80"/>
          <w:sz w:val="22"/>
          <w:szCs w:val="22"/>
          <w:lang w:val="en-GB"/>
        </w:rPr>
        <w:t xml:space="preserve"> </w:t>
      </w:r>
      <w:r w:rsidR="00A73AE9" w:rsidRPr="00A73AE9">
        <w:rPr>
          <w:rFonts w:ascii="Avenir Next" w:hAnsi="Avenir Next" w:cs="Arial"/>
          <w:i/>
          <w:iCs/>
          <w:color w:val="808080" w:themeColor="background1" w:themeShade="80"/>
          <w:sz w:val="22"/>
          <w:szCs w:val="22"/>
          <w:lang w:val="en-GB"/>
        </w:rPr>
        <w:t>demonstrate an establishment . . . [t]here would be no reason to define establishment as engaging</w:t>
      </w:r>
      <w:r w:rsidR="00A73AE9">
        <w:rPr>
          <w:rFonts w:ascii="Avenir Next" w:hAnsi="Avenir Next" w:cs="Arial"/>
          <w:i/>
          <w:iCs/>
          <w:color w:val="808080" w:themeColor="background1" w:themeShade="80"/>
          <w:sz w:val="22"/>
          <w:szCs w:val="22"/>
          <w:lang w:val="en-GB"/>
        </w:rPr>
        <w:t xml:space="preserve"> </w:t>
      </w:r>
      <w:r w:rsidR="00A73AE9" w:rsidRPr="00A73AE9">
        <w:rPr>
          <w:rFonts w:ascii="Avenir Next" w:hAnsi="Avenir Next" w:cs="Arial"/>
          <w:i/>
          <w:iCs/>
          <w:color w:val="808080" w:themeColor="background1" w:themeShade="80"/>
          <w:sz w:val="22"/>
          <w:szCs w:val="22"/>
          <w:lang w:val="en-GB"/>
        </w:rPr>
        <w:t xml:space="preserve">in a </w:t>
      </w:r>
      <w:proofErr w:type="spellStart"/>
      <w:r w:rsidR="00A73AE9" w:rsidRPr="00A73AE9">
        <w:rPr>
          <w:rFonts w:ascii="Avenir Next" w:hAnsi="Avenir Next" w:cs="Arial"/>
          <w:i/>
          <w:iCs/>
          <w:color w:val="808080" w:themeColor="background1" w:themeShade="80"/>
          <w:sz w:val="22"/>
          <w:szCs w:val="22"/>
          <w:lang w:val="en-GB"/>
        </w:rPr>
        <w:t>nontransitory</w:t>
      </w:r>
      <w:proofErr w:type="spellEnd"/>
      <w:r w:rsidR="00A73AE9" w:rsidRPr="00A73AE9">
        <w:rPr>
          <w:rFonts w:ascii="Avenir Next" w:hAnsi="Avenir Next" w:cs="Arial"/>
          <w:i/>
          <w:iCs/>
          <w:color w:val="808080" w:themeColor="background1" w:themeShade="80"/>
          <w:sz w:val="22"/>
          <w:szCs w:val="22"/>
          <w:lang w:val="en-GB"/>
        </w:rPr>
        <w:t xml:space="preserve"> economic activity. The petition for recognition would simply require evidence</w:t>
      </w:r>
      <w:r w:rsidR="00A73AE9">
        <w:rPr>
          <w:rFonts w:ascii="Avenir Next" w:hAnsi="Avenir Next" w:cs="Arial"/>
          <w:i/>
          <w:iCs/>
          <w:color w:val="808080" w:themeColor="background1" w:themeShade="80"/>
          <w:sz w:val="22"/>
          <w:szCs w:val="22"/>
          <w:lang w:val="en-GB"/>
        </w:rPr>
        <w:t xml:space="preserve"> </w:t>
      </w:r>
      <w:r w:rsidR="00A73AE9" w:rsidRPr="00A73AE9">
        <w:rPr>
          <w:rFonts w:ascii="Avenir Next" w:hAnsi="Avenir Next" w:cs="Arial"/>
          <w:i/>
          <w:iCs/>
          <w:color w:val="808080" w:themeColor="background1" w:themeShade="80"/>
          <w:sz w:val="22"/>
          <w:szCs w:val="22"/>
          <w:lang w:val="en-GB"/>
        </w:rPr>
        <w:t xml:space="preserve">of the existence of the foreign proceeding.”); </w:t>
      </w:r>
      <w:proofErr w:type="spellStart"/>
      <w:r w:rsidR="00A73AE9" w:rsidRPr="00A73AE9">
        <w:rPr>
          <w:rFonts w:ascii="Avenir Next" w:hAnsi="Avenir Next" w:cs="Arial"/>
          <w:i/>
          <w:iCs/>
          <w:color w:val="808080" w:themeColor="background1" w:themeShade="80"/>
          <w:sz w:val="22"/>
          <w:szCs w:val="22"/>
          <w:lang w:val="en-GB"/>
        </w:rPr>
        <w:t>Rozhkov</w:t>
      </w:r>
      <w:proofErr w:type="spellEnd"/>
      <w:r w:rsidR="00A73AE9" w:rsidRPr="00A73AE9">
        <w:rPr>
          <w:rFonts w:ascii="Avenir Next" w:hAnsi="Avenir Next" w:cs="Arial"/>
          <w:i/>
          <w:iCs/>
          <w:color w:val="808080" w:themeColor="background1" w:themeShade="80"/>
          <w:sz w:val="22"/>
          <w:szCs w:val="22"/>
          <w:lang w:val="en-GB"/>
        </w:rPr>
        <w:t xml:space="preserve"> v. </w:t>
      </w:r>
      <w:proofErr w:type="spellStart"/>
      <w:r w:rsidR="00A73AE9" w:rsidRPr="00A73AE9">
        <w:rPr>
          <w:rFonts w:ascii="Avenir Next" w:hAnsi="Avenir Next" w:cs="Arial"/>
          <w:i/>
          <w:iCs/>
          <w:color w:val="808080" w:themeColor="background1" w:themeShade="80"/>
          <w:sz w:val="22"/>
          <w:szCs w:val="22"/>
          <w:lang w:val="en-GB"/>
        </w:rPr>
        <w:t>Pirogova</w:t>
      </w:r>
      <w:proofErr w:type="spellEnd"/>
      <w:r w:rsidR="00A73AE9" w:rsidRPr="00A73AE9">
        <w:rPr>
          <w:rFonts w:ascii="Avenir Next" w:hAnsi="Avenir Next" w:cs="Arial"/>
          <w:i/>
          <w:iCs/>
          <w:color w:val="808080" w:themeColor="background1" w:themeShade="80"/>
          <w:sz w:val="22"/>
          <w:szCs w:val="22"/>
          <w:lang w:val="en-GB"/>
        </w:rPr>
        <w:t xml:space="preserve"> (In re </w:t>
      </w:r>
      <w:proofErr w:type="spellStart"/>
      <w:r w:rsidR="00A73AE9" w:rsidRPr="00A73AE9">
        <w:rPr>
          <w:rFonts w:ascii="Avenir Next" w:hAnsi="Avenir Next" w:cs="Arial"/>
          <w:i/>
          <w:iCs/>
          <w:color w:val="808080" w:themeColor="background1" w:themeShade="80"/>
          <w:sz w:val="22"/>
          <w:szCs w:val="22"/>
          <w:lang w:val="en-GB"/>
        </w:rPr>
        <w:t>Pirogova</w:t>
      </w:r>
      <w:proofErr w:type="spellEnd"/>
      <w:r w:rsidR="00A73AE9" w:rsidRPr="00A73AE9">
        <w:rPr>
          <w:rFonts w:ascii="Avenir Next" w:hAnsi="Avenir Next" w:cs="Arial"/>
          <w:i/>
          <w:iCs/>
          <w:color w:val="808080" w:themeColor="background1" w:themeShade="80"/>
          <w:sz w:val="22"/>
          <w:szCs w:val="22"/>
          <w:lang w:val="en-GB"/>
        </w:rPr>
        <w:t>), 612 B.R.</w:t>
      </w:r>
      <w:r w:rsidR="00A73AE9">
        <w:rPr>
          <w:rFonts w:ascii="Avenir Next" w:hAnsi="Avenir Next" w:cs="Arial"/>
          <w:i/>
          <w:iCs/>
          <w:color w:val="808080" w:themeColor="background1" w:themeShade="80"/>
          <w:sz w:val="22"/>
          <w:szCs w:val="22"/>
          <w:lang w:val="en-GB"/>
        </w:rPr>
        <w:t xml:space="preserve"> </w:t>
      </w:r>
      <w:r w:rsidR="00A73AE9" w:rsidRPr="00A73AE9">
        <w:rPr>
          <w:rFonts w:ascii="Avenir Next" w:hAnsi="Avenir Next" w:cs="Arial"/>
          <w:i/>
          <w:iCs/>
          <w:color w:val="808080" w:themeColor="background1" w:themeShade="80"/>
          <w:sz w:val="22"/>
          <w:szCs w:val="22"/>
          <w:lang w:val="en-GB"/>
        </w:rPr>
        <w:t>475, 484 (S.D.N.Y. 2020) (finding that a foreign insolvency proceeding on its own cannot</w:t>
      </w:r>
      <w:r w:rsidR="00A73AE9">
        <w:rPr>
          <w:rFonts w:ascii="Avenir Next" w:hAnsi="Avenir Next" w:cs="Arial"/>
          <w:i/>
          <w:iCs/>
          <w:color w:val="808080" w:themeColor="background1" w:themeShade="80"/>
          <w:sz w:val="22"/>
          <w:szCs w:val="22"/>
          <w:lang w:val="en-GB"/>
        </w:rPr>
        <w:t xml:space="preserve"> </w:t>
      </w:r>
      <w:r w:rsidR="00A73AE9" w:rsidRPr="00A73AE9">
        <w:rPr>
          <w:rFonts w:ascii="Avenir Next" w:hAnsi="Avenir Next" w:cs="Arial"/>
          <w:i/>
          <w:iCs/>
          <w:color w:val="808080" w:themeColor="background1" w:themeShade="80"/>
          <w:sz w:val="22"/>
          <w:szCs w:val="22"/>
          <w:lang w:val="en-GB"/>
        </w:rPr>
        <w:t xml:space="preserve">suffice to count as </w:t>
      </w:r>
      <w:proofErr w:type="spellStart"/>
      <w:r w:rsidR="00A73AE9" w:rsidRPr="00A73AE9">
        <w:rPr>
          <w:rFonts w:ascii="Avenir Next" w:hAnsi="Avenir Next" w:cs="Arial"/>
          <w:i/>
          <w:iCs/>
          <w:color w:val="808080" w:themeColor="background1" w:themeShade="80"/>
          <w:sz w:val="22"/>
          <w:szCs w:val="22"/>
          <w:lang w:val="en-GB"/>
        </w:rPr>
        <w:t>nontransitory</w:t>
      </w:r>
      <w:proofErr w:type="spellEnd"/>
      <w:r w:rsidR="00A73AE9" w:rsidRPr="00A73AE9">
        <w:rPr>
          <w:rFonts w:ascii="Avenir Next" w:hAnsi="Avenir Next" w:cs="Arial"/>
          <w:i/>
          <w:iCs/>
          <w:color w:val="808080" w:themeColor="background1" w:themeShade="80"/>
          <w:sz w:val="22"/>
          <w:szCs w:val="22"/>
          <w:lang w:val="en-GB"/>
        </w:rPr>
        <w:t xml:space="preserve"> economic activity in support of recognition as a foreign</w:t>
      </w:r>
      <w:r w:rsidR="00A73AE9">
        <w:rPr>
          <w:rFonts w:ascii="Avenir Next" w:hAnsi="Avenir Next" w:cs="Arial"/>
          <w:i/>
          <w:iCs/>
          <w:color w:val="808080" w:themeColor="background1" w:themeShade="80"/>
          <w:sz w:val="22"/>
          <w:szCs w:val="22"/>
          <w:lang w:val="en-GB"/>
        </w:rPr>
        <w:t xml:space="preserve"> </w:t>
      </w:r>
      <w:r w:rsidR="00A73AE9" w:rsidRPr="00A73AE9">
        <w:rPr>
          <w:rFonts w:ascii="Avenir Next" w:hAnsi="Avenir Next" w:cs="Arial"/>
          <w:i/>
          <w:iCs/>
          <w:color w:val="808080" w:themeColor="background1" w:themeShade="80"/>
          <w:sz w:val="22"/>
          <w:szCs w:val="22"/>
          <w:lang w:val="en-GB"/>
        </w:rPr>
        <w:t>nonmain proceeding.)</w:t>
      </w:r>
    </w:p>
    <w:p w14:paraId="29D2BB90" w14:textId="77777777" w:rsidR="00D91A0F" w:rsidRPr="00A73AE9" w:rsidRDefault="00D91A0F" w:rsidP="009955BC">
      <w:pPr>
        <w:jc w:val="both"/>
        <w:rPr>
          <w:rFonts w:ascii="Avenir Next" w:hAnsi="Avenir Next" w:cs="Arial"/>
          <w:i/>
          <w:iCs/>
          <w:color w:val="808080" w:themeColor="background1" w:themeShade="80"/>
          <w:sz w:val="22"/>
          <w:szCs w:val="22"/>
          <w:lang w:val="en-GB"/>
        </w:rPr>
      </w:pPr>
    </w:p>
    <w:p w14:paraId="68B31BC4" w14:textId="1F556364" w:rsidR="00F4122D" w:rsidRDefault="00F4122D" w:rsidP="009955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appropriate date for determining the COMI, or whether an establishment exists, is the date of commencement of the foreign proceeding. </w:t>
      </w:r>
    </w:p>
    <w:p w14:paraId="0BB661B6" w14:textId="77777777" w:rsidR="00D91A0F" w:rsidRDefault="00D91A0F" w:rsidP="009955BC">
      <w:pPr>
        <w:jc w:val="both"/>
        <w:rPr>
          <w:rFonts w:ascii="Avenir Next" w:hAnsi="Avenir Next" w:cs="Arial"/>
          <w:color w:val="808080" w:themeColor="background1" w:themeShade="80"/>
          <w:sz w:val="22"/>
          <w:szCs w:val="22"/>
          <w:lang w:val="en-GB"/>
        </w:rPr>
      </w:pPr>
    </w:p>
    <w:p w14:paraId="317CCA73" w14:textId="77777777" w:rsidR="00A73AE9" w:rsidRDefault="00D91A0F" w:rsidP="009955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w:t>
      </w:r>
      <w:r w:rsidR="00A73AE9">
        <w:rPr>
          <w:rFonts w:ascii="Avenir Next" w:hAnsi="Avenir Next" w:cs="Arial"/>
          <w:i/>
          <w:iCs/>
          <w:color w:val="808080" w:themeColor="background1" w:themeShade="80"/>
          <w:sz w:val="22"/>
          <w:szCs w:val="22"/>
          <w:lang w:val="en-GB"/>
        </w:rPr>
        <w:t>In re Modern Land (China) Co.</w:t>
      </w:r>
      <w:r w:rsidR="00A73AE9">
        <w:rPr>
          <w:rFonts w:ascii="Avenir Next" w:hAnsi="Avenir Next" w:cs="Arial"/>
          <w:color w:val="808080" w:themeColor="background1" w:themeShade="80"/>
          <w:sz w:val="22"/>
          <w:szCs w:val="22"/>
          <w:lang w:val="en-GB"/>
        </w:rPr>
        <w:t xml:space="preserve"> Judge Glenn referred to the US decisions in </w:t>
      </w:r>
      <w:r w:rsidR="00A73AE9">
        <w:rPr>
          <w:rFonts w:ascii="Avenir Next" w:hAnsi="Avenir Next" w:cs="Arial"/>
          <w:i/>
          <w:iCs/>
          <w:color w:val="808080" w:themeColor="background1" w:themeShade="80"/>
          <w:sz w:val="22"/>
          <w:szCs w:val="22"/>
          <w:lang w:val="en-GB"/>
        </w:rPr>
        <w:t xml:space="preserve">Fairfield Sentry </w:t>
      </w:r>
      <w:r w:rsidR="00A73AE9">
        <w:rPr>
          <w:rFonts w:ascii="Avenir Next" w:hAnsi="Avenir Next" w:cs="Arial"/>
          <w:color w:val="808080" w:themeColor="background1" w:themeShade="80"/>
          <w:sz w:val="22"/>
          <w:szCs w:val="22"/>
          <w:lang w:val="en-GB"/>
        </w:rPr>
        <w:t xml:space="preserve">and </w:t>
      </w:r>
      <w:proofErr w:type="spellStart"/>
      <w:r w:rsidR="00A73AE9">
        <w:rPr>
          <w:rFonts w:ascii="Avenir Next" w:hAnsi="Avenir Next" w:cs="Arial"/>
          <w:i/>
          <w:iCs/>
          <w:color w:val="808080" w:themeColor="background1" w:themeShade="80"/>
          <w:sz w:val="22"/>
          <w:szCs w:val="22"/>
          <w:lang w:val="en-GB"/>
        </w:rPr>
        <w:t>Suntech</w:t>
      </w:r>
      <w:proofErr w:type="spellEnd"/>
      <w:r w:rsidR="00A73AE9">
        <w:rPr>
          <w:rFonts w:ascii="Avenir Next" w:hAnsi="Avenir Next" w:cs="Arial"/>
          <w:i/>
          <w:iCs/>
          <w:color w:val="808080" w:themeColor="background1" w:themeShade="80"/>
          <w:sz w:val="22"/>
          <w:szCs w:val="22"/>
          <w:lang w:val="en-GB"/>
        </w:rPr>
        <w:t xml:space="preserve"> </w:t>
      </w:r>
      <w:r w:rsidR="00A73AE9">
        <w:rPr>
          <w:rFonts w:ascii="Avenir Next" w:hAnsi="Avenir Next" w:cs="Arial"/>
          <w:color w:val="808080" w:themeColor="background1" w:themeShade="80"/>
          <w:sz w:val="22"/>
          <w:szCs w:val="22"/>
          <w:lang w:val="en-GB"/>
        </w:rPr>
        <w:t>where court-appointed fiduciaries assumed substantial control over the debtor’s liquidation and considered whether the absence of court-supervised fiduciaries required a different result in finding COMI in the Cayman Islands. His Honour said:</w:t>
      </w:r>
    </w:p>
    <w:p w14:paraId="1DCE3FC3" w14:textId="77777777" w:rsidR="00A73AE9" w:rsidRDefault="00A73AE9" w:rsidP="009955BC">
      <w:pPr>
        <w:jc w:val="both"/>
        <w:rPr>
          <w:rFonts w:ascii="Avenir Next" w:hAnsi="Avenir Next" w:cs="Arial"/>
          <w:color w:val="808080" w:themeColor="background1" w:themeShade="80"/>
          <w:sz w:val="22"/>
          <w:szCs w:val="22"/>
          <w:lang w:val="en-GB"/>
        </w:rPr>
      </w:pPr>
    </w:p>
    <w:p w14:paraId="211467E9" w14:textId="4CDBFD0F" w:rsidR="00A73AE9" w:rsidRPr="00A73AE9" w:rsidRDefault="00A73AE9" w:rsidP="00A73AE9">
      <w:pPr>
        <w:autoSpaceDE w:val="0"/>
        <w:autoSpaceDN w:val="0"/>
        <w:adjustRightInd w:val="0"/>
        <w:ind w:left="720"/>
        <w:rPr>
          <w:rFonts w:ascii="Avenir Next" w:hAnsi="Avenir Next" w:cs="Arial"/>
          <w:i/>
          <w:iCs/>
          <w:color w:val="808080" w:themeColor="background1" w:themeShade="80"/>
          <w:sz w:val="22"/>
          <w:szCs w:val="22"/>
          <w:lang w:val="en-GB"/>
        </w:rPr>
      </w:pPr>
      <w:r>
        <w:rPr>
          <w:rFonts w:ascii="Avenir Next" w:hAnsi="Avenir Next" w:cs="Arial"/>
          <w:i/>
          <w:iCs/>
          <w:color w:val="808080" w:themeColor="background1" w:themeShade="80"/>
          <w:sz w:val="22"/>
          <w:szCs w:val="22"/>
          <w:lang w:val="en-GB"/>
        </w:rPr>
        <w:t>“</w:t>
      </w:r>
      <w:r w:rsidRPr="00A73AE9">
        <w:rPr>
          <w:rFonts w:ascii="Avenir Next" w:hAnsi="Avenir Next" w:cs="Arial"/>
          <w:i/>
          <w:iCs/>
          <w:color w:val="808080" w:themeColor="background1" w:themeShade="80"/>
          <w:sz w:val="22"/>
          <w:szCs w:val="22"/>
          <w:lang w:val="en-GB"/>
        </w:rPr>
        <w:t>While this would be an easier case if JPLs had been appointed, the Court concludes that the Cayman court’s supervision of the Debtor’s Scheme Proceeding, in light of the other factors present here, is enough for the Court to</w:t>
      </w:r>
    </w:p>
    <w:p w14:paraId="212E7735" w14:textId="40895944" w:rsidR="00D91A0F" w:rsidRPr="00A73AE9" w:rsidRDefault="00A73AE9" w:rsidP="00A73AE9">
      <w:pPr>
        <w:autoSpaceDE w:val="0"/>
        <w:autoSpaceDN w:val="0"/>
        <w:adjustRightInd w:val="0"/>
        <w:ind w:left="720"/>
        <w:rPr>
          <w:rFonts w:ascii="Avenir Next" w:hAnsi="Avenir Next" w:cs="Arial"/>
          <w:i/>
          <w:iCs/>
          <w:color w:val="808080" w:themeColor="background1" w:themeShade="80"/>
          <w:sz w:val="22"/>
          <w:szCs w:val="22"/>
          <w:lang w:val="en-GB"/>
        </w:rPr>
      </w:pPr>
      <w:r w:rsidRPr="00A73AE9">
        <w:rPr>
          <w:rFonts w:ascii="Avenir Next" w:hAnsi="Avenir Next" w:cs="Arial"/>
          <w:i/>
          <w:iCs/>
          <w:color w:val="808080" w:themeColor="background1" w:themeShade="80"/>
          <w:sz w:val="22"/>
          <w:szCs w:val="22"/>
          <w:lang w:val="en-GB"/>
        </w:rPr>
        <w:t>conclude that the Debtor’s COMI for the proceeding involving the single class of Existing Note holders was in the Cayman Islands.</w:t>
      </w:r>
      <w:r>
        <w:rPr>
          <w:rFonts w:ascii="Avenir Next" w:hAnsi="Avenir Next" w:cs="Arial"/>
          <w:i/>
          <w:iCs/>
          <w:color w:val="808080" w:themeColor="background1" w:themeShade="80"/>
          <w:sz w:val="22"/>
          <w:szCs w:val="22"/>
          <w:lang w:val="en-GB"/>
        </w:rPr>
        <w:t>”</w:t>
      </w:r>
      <w:r w:rsidRPr="00A73AE9">
        <w:rPr>
          <w:rFonts w:ascii="Avenir Next" w:hAnsi="Avenir Next" w:cs="Arial"/>
          <w:i/>
          <w:iCs/>
          <w:color w:val="808080" w:themeColor="background1" w:themeShade="80"/>
          <w:sz w:val="22"/>
          <w:szCs w:val="22"/>
          <w:lang w:val="en-GB"/>
        </w:rPr>
        <w:t xml:space="preserve"> </w:t>
      </w:r>
    </w:p>
    <w:p w14:paraId="165D2DA9" w14:textId="77777777" w:rsidR="006F26B5" w:rsidRDefault="006F26B5" w:rsidP="009955BC">
      <w:pPr>
        <w:jc w:val="both"/>
        <w:rPr>
          <w:rFonts w:ascii="Avenir Next" w:hAnsi="Avenir Next" w:cs="Arial"/>
          <w:color w:val="808080" w:themeColor="background1" w:themeShade="80"/>
          <w:sz w:val="22"/>
          <w:szCs w:val="22"/>
          <w:lang w:val="en-GB"/>
        </w:rPr>
      </w:pPr>
    </w:p>
    <w:p w14:paraId="58EC9921" w14:textId="0C5148F9" w:rsidR="00A73AE9" w:rsidRDefault="00A73AE9" w:rsidP="007C42E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Many of the “other factors” referred to by Judge Glenn </w:t>
      </w:r>
      <w:r>
        <w:rPr>
          <w:rFonts w:ascii="Avenir Next" w:hAnsi="Avenir Next" w:cs="Arial"/>
          <w:i/>
          <w:iCs/>
          <w:color w:val="808080" w:themeColor="background1" w:themeShade="80"/>
          <w:sz w:val="22"/>
          <w:szCs w:val="22"/>
          <w:lang w:val="en-GB"/>
        </w:rPr>
        <w:t xml:space="preserve">In re Modern Land (China) Co. </w:t>
      </w:r>
      <w:r>
        <w:rPr>
          <w:rFonts w:ascii="Avenir Next" w:hAnsi="Avenir Next" w:cs="Arial"/>
          <w:color w:val="808080" w:themeColor="background1" w:themeShade="80"/>
          <w:sz w:val="22"/>
          <w:szCs w:val="22"/>
          <w:lang w:val="en-GB"/>
        </w:rPr>
        <w:t>are present here. In particular:</w:t>
      </w:r>
    </w:p>
    <w:p w14:paraId="50A46C07" w14:textId="77777777" w:rsidR="00A73AE9" w:rsidRDefault="00A73AE9" w:rsidP="007C42E7">
      <w:pPr>
        <w:jc w:val="both"/>
        <w:rPr>
          <w:rFonts w:ascii="Avenir Next" w:hAnsi="Avenir Next" w:cs="Arial"/>
          <w:color w:val="808080" w:themeColor="background1" w:themeShade="80"/>
          <w:sz w:val="22"/>
          <w:szCs w:val="22"/>
          <w:lang w:val="en-GB"/>
        </w:rPr>
      </w:pPr>
    </w:p>
    <w:p w14:paraId="4906D0ED" w14:textId="79986995" w:rsidR="00A73AE9" w:rsidRDefault="00A73AE9" w:rsidP="00A73AE9">
      <w:pPr>
        <w:pStyle w:val="ListParagraph"/>
        <w:numPr>
          <w:ilvl w:val="0"/>
          <w:numId w:val="65"/>
        </w:numPr>
        <w:jc w:val="both"/>
        <w:rPr>
          <w:rFonts w:ascii="Avenir Next" w:hAnsi="Avenir Next" w:cs="Arial"/>
          <w:color w:val="808080" w:themeColor="background1" w:themeShade="80"/>
          <w:sz w:val="22"/>
          <w:szCs w:val="22"/>
          <w:lang w:val="en-GB"/>
        </w:rPr>
      </w:pPr>
      <w:r w:rsidRPr="00A73AE9">
        <w:rPr>
          <w:rFonts w:ascii="Avenir Next" w:hAnsi="Avenir Next" w:cs="Arial"/>
          <w:color w:val="808080" w:themeColor="background1" w:themeShade="80"/>
          <w:sz w:val="22"/>
          <w:szCs w:val="22"/>
          <w:lang w:val="en-GB"/>
        </w:rPr>
        <w:t>the RSA referred to any restructuring taking place in the Cayman Islands</w:t>
      </w:r>
      <w:r>
        <w:rPr>
          <w:rFonts w:ascii="Avenir Next" w:hAnsi="Avenir Next" w:cs="Arial"/>
          <w:color w:val="808080" w:themeColor="background1" w:themeShade="80"/>
          <w:sz w:val="22"/>
          <w:szCs w:val="22"/>
          <w:lang w:val="en-GB"/>
        </w:rPr>
        <w:t xml:space="preserve">; </w:t>
      </w:r>
    </w:p>
    <w:p w14:paraId="6091B4D0" w14:textId="1A422E8A" w:rsidR="00A73AE9" w:rsidRDefault="00A73AE9" w:rsidP="00A73AE9">
      <w:pPr>
        <w:pStyle w:val="ListParagraph"/>
        <w:numPr>
          <w:ilvl w:val="0"/>
          <w:numId w:val="6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Cayman Islands law requires that liquidation proceedings of companies incorporated in the Cayman Islands take place in the Cayman Islands under the supervision of a Cayman Islands appointed liquidator; </w:t>
      </w:r>
    </w:p>
    <w:p w14:paraId="389BF611" w14:textId="3630DA8C" w:rsidR="00A73AE9" w:rsidRDefault="00A73AE9" w:rsidP="00A73AE9">
      <w:pPr>
        <w:pStyle w:val="ListParagraph"/>
        <w:numPr>
          <w:ilvl w:val="0"/>
          <w:numId w:val="6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Globe Holdings maintains its registered office</w:t>
      </w:r>
      <w:r w:rsidR="00FA3624">
        <w:rPr>
          <w:rFonts w:ascii="Avenir Next" w:hAnsi="Avenir Next" w:cs="Arial"/>
          <w:color w:val="808080" w:themeColor="background1" w:themeShade="80"/>
          <w:sz w:val="22"/>
          <w:szCs w:val="22"/>
          <w:lang w:val="en-GB"/>
        </w:rPr>
        <w:t xml:space="preserve"> and books and records</w:t>
      </w:r>
      <w:r>
        <w:rPr>
          <w:rFonts w:ascii="Avenir Next" w:hAnsi="Avenir Next" w:cs="Arial"/>
          <w:color w:val="808080" w:themeColor="background1" w:themeShade="80"/>
          <w:sz w:val="22"/>
          <w:szCs w:val="22"/>
          <w:lang w:val="en-GB"/>
        </w:rPr>
        <w:t xml:space="preserve"> in the Cayman Islands</w:t>
      </w:r>
      <w:r w:rsidR="00FA3624">
        <w:rPr>
          <w:rFonts w:ascii="Avenir Next" w:hAnsi="Avenir Next" w:cs="Arial"/>
          <w:color w:val="808080" w:themeColor="background1" w:themeShade="80"/>
          <w:sz w:val="22"/>
          <w:szCs w:val="22"/>
          <w:lang w:val="en-GB"/>
        </w:rPr>
        <w:t>;</w:t>
      </w:r>
    </w:p>
    <w:p w14:paraId="5AB1D685" w14:textId="65709C53" w:rsidR="00FA3624" w:rsidRDefault="00FA3624" w:rsidP="00A73AE9">
      <w:pPr>
        <w:pStyle w:val="ListParagraph"/>
        <w:numPr>
          <w:ilvl w:val="0"/>
          <w:numId w:val="6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restructuring activities have been centralised in the Cayman Islands and undertaken by Cayman Islands actors; and</w:t>
      </w:r>
    </w:p>
    <w:p w14:paraId="66524372" w14:textId="7CF24F9E" w:rsidR="00FA3624" w:rsidRDefault="00FA3624" w:rsidP="00A73AE9">
      <w:pPr>
        <w:pStyle w:val="ListParagraph"/>
        <w:numPr>
          <w:ilvl w:val="0"/>
          <w:numId w:val="6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board  meetings were held virtually and not physically located in the Cayman Islands.  </w:t>
      </w:r>
    </w:p>
    <w:p w14:paraId="319AD74B" w14:textId="77777777" w:rsidR="00FA3624" w:rsidRDefault="00FA3624" w:rsidP="00FA3624">
      <w:pPr>
        <w:jc w:val="both"/>
        <w:rPr>
          <w:rFonts w:ascii="Avenir Next" w:hAnsi="Avenir Next" w:cs="Arial"/>
          <w:color w:val="808080" w:themeColor="background1" w:themeShade="80"/>
          <w:sz w:val="22"/>
          <w:szCs w:val="22"/>
          <w:lang w:val="en-GB"/>
        </w:rPr>
      </w:pPr>
    </w:p>
    <w:p w14:paraId="5F691596" w14:textId="77777777" w:rsidR="00FA3624" w:rsidRDefault="00FA3624" w:rsidP="00FA362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Other factors pointing to the COMU being in the Cayman Islands include that i</w:t>
      </w:r>
      <w:r w:rsidRPr="00FA3624">
        <w:rPr>
          <w:rFonts w:ascii="Avenir Next" w:hAnsi="Avenir Next" w:cs="Arial"/>
          <w:color w:val="808080" w:themeColor="background1" w:themeShade="80"/>
          <w:sz w:val="22"/>
          <w:szCs w:val="22"/>
          <w:lang w:val="en-GB"/>
        </w:rPr>
        <w:t>ts public filings with the SEC as</w:t>
      </w:r>
      <w:r>
        <w:rPr>
          <w:rFonts w:ascii="Avenir Next" w:hAnsi="Avenir Next" w:cs="Arial"/>
          <w:color w:val="808080" w:themeColor="background1" w:themeShade="80"/>
          <w:sz w:val="22"/>
          <w:szCs w:val="22"/>
          <w:lang w:val="en-GB"/>
        </w:rPr>
        <w:t xml:space="preserve"> well as</w:t>
      </w:r>
      <w:r w:rsidRPr="00FA3624">
        <w:rPr>
          <w:rFonts w:ascii="Avenir Next" w:hAnsi="Avenir Next" w:cs="Arial"/>
          <w:color w:val="808080" w:themeColor="background1" w:themeShade="80"/>
          <w:sz w:val="22"/>
          <w:szCs w:val="22"/>
          <w:lang w:val="en-GB"/>
        </w:rPr>
        <w:t xml:space="preserve"> the prospectus provided in connection with the issuance of the Notes disclosed that Globe Holdings is a Cayman Islands company</w:t>
      </w:r>
      <w:r>
        <w:rPr>
          <w:rFonts w:ascii="Avenir Next" w:hAnsi="Avenir Next" w:cs="Arial"/>
          <w:color w:val="808080" w:themeColor="background1" w:themeShade="80"/>
          <w:sz w:val="22"/>
          <w:szCs w:val="22"/>
          <w:lang w:val="en-GB"/>
        </w:rPr>
        <w:t xml:space="preserve"> and its long standing counsel are based in the Cayman Islands. </w:t>
      </w:r>
    </w:p>
    <w:p w14:paraId="218F8904" w14:textId="77777777" w:rsidR="00A80318" w:rsidRDefault="00A80318" w:rsidP="00FA3624">
      <w:pPr>
        <w:jc w:val="both"/>
        <w:rPr>
          <w:rFonts w:ascii="Avenir Next" w:hAnsi="Avenir Next" w:cs="Arial"/>
          <w:color w:val="808080" w:themeColor="background1" w:themeShade="80"/>
          <w:sz w:val="22"/>
          <w:szCs w:val="22"/>
          <w:lang w:val="en-GB"/>
        </w:rPr>
      </w:pPr>
    </w:p>
    <w:p w14:paraId="47C8C071" w14:textId="3340BF59" w:rsidR="00A80318" w:rsidRPr="00A80318" w:rsidRDefault="00A80318" w:rsidP="00A80318">
      <w:pPr>
        <w:jc w:val="both"/>
        <w:rPr>
          <w:rFonts w:ascii="Avenir Next" w:hAnsi="Avenir Next" w:cs="Arial"/>
          <w:color w:val="808080" w:themeColor="background1" w:themeShade="80"/>
          <w:sz w:val="22"/>
          <w:szCs w:val="22"/>
          <w:lang w:val="en-GB"/>
        </w:rPr>
      </w:pPr>
      <w:r>
        <w:rPr>
          <w:rFonts w:ascii="Avenir Next" w:hAnsi="Avenir Next" w:cs="Arial"/>
          <w:i/>
          <w:iCs/>
          <w:color w:val="808080" w:themeColor="background1" w:themeShade="80"/>
          <w:sz w:val="22"/>
          <w:szCs w:val="22"/>
          <w:lang w:val="en-GB"/>
        </w:rPr>
        <w:t xml:space="preserve">In re Modern Land (China) Co. </w:t>
      </w:r>
      <w:r>
        <w:rPr>
          <w:rFonts w:ascii="Avenir Next" w:hAnsi="Avenir Next" w:cs="Arial"/>
          <w:color w:val="808080" w:themeColor="background1" w:themeShade="80"/>
          <w:sz w:val="22"/>
          <w:szCs w:val="22"/>
          <w:lang w:val="en-GB"/>
        </w:rPr>
        <w:t xml:space="preserve">Judge Glenn found that recognition of the Cayman Islands proceedings as a foreign non-main proceedings was not warranted because, inter alia, there was insufficient evidence to support a finding of non-transitory economic activity in the Cayman Islands. For similar reasons, it is unlikely that a US court would find there was non-transitory economic activity by Globe Holdings in the Cayman Islands. </w:t>
      </w:r>
      <w:r w:rsidRPr="00A80318">
        <w:rPr>
          <w:rFonts w:ascii="Avenir Next" w:hAnsi="Avenir Next" w:cs="Arial"/>
          <w:color w:val="808080" w:themeColor="background1" w:themeShade="80"/>
          <w:sz w:val="22"/>
          <w:szCs w:val="22"/>
          <w:lang w:val="en-GB"/>
        </w:rPr>
        <w:t xml:space="preserve">As the question states, </w:t>
      </w:r>
      <w:r>
        <w:rPr>
          <w:rFonts w:ascii="Avenir Next" w:hAnsi="Avenir Next" w:cs="Arial"/>
          <w:color w:val="808080" w:themeColor="background1" w:themeShade="80"/>
          <w:sz w:val="22"/>
          <w:szCs w:val="22"/>
          <w:lang w:val="en-GB"/>
        </w:rPr>
        <w:t>“</w:t>
      </w:r>
      <w:r w:rsidRPr="00A80318">
        <w:rPr>
          <w:rFonts w:ascii="Avenir Next" w:hAnsi="Avenir Next" w:cs="Arial"/>
          <w:i/>
          <w:iCs/>
          <w:color w:val="808080" w:themeColor="background1" w:themeShade="80"/>
          <w:sz w:val="22"/>
          <w:szCs w:val="22"/>
          <w:lang w:val="en-GB"/>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r>
        <w:rPr>
          <w:rFonts w:ascii="Avenir Next" w:hAnsi="Avenir Next" w:cs="Arial"/>
          <w:color w:val="808080" w:themeColor="background1" w:themeShade="80"/>
          <w:sz w:val="22"/>
          <w:szCs w:val="22"/>
          <w:lang w:val="en-GB"/>
        </w:rPr>
        <w:t>”</w:t>
      </w:r>
    </w:p>
    <w:p w14:paraId="60AFC641" w14:textId="77777777" w:rsidR="00A80318" w:rsidRDefault="00A80318" w:rsidP="00A80318">
      <w:pPr>
        <w:jc w:val="both"/>
        <w:rPr>
          <w:rFonts w:ascii="Avenir Next" w:hAnsi="Avenir Next" w:cs="Arial"/>
          <w:color w:val="808080" w:themeColor="background1" w:themeShade="80"/>
          <w:sz w:val="22"/>
          <w:szCs w:val="22"/>
          <w:lang w:val="en-GB"/>
        </w:rPr>
      </w:pPr>
    </w:p>
    <w:p w14:paraId="29EECB6B" w14:textId="21197699" w:rsidR="0026469B" w:rsidRDefault="00A80318" w:rsidP="00FA362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Accordingly, Globe Holdings should seek recognition and enforcement in the US of the Scheme and the Sanction Order a foreign main proceeding. </w:t>
      </w:r>
    </w:p>
    <w:p w14:paraId="6F4FC1D4" w14:textId="77777777" w:rsidR="0026469B" w:rsidRDefault="0026469B" w:rsidP="00FA3624">
      <w:pPr>
        <w:jc w:val="both"/>
        <w:rPr>
          <w:rFonts w:ascii="Avenir Next" w:hAnsi="Avenir Next" w:cs="Arial"/>
          <w:color w:val="808080" w:themeColor="background1" w:themeShade="80"/>
          <w:sz w:val="22"/>
          <w:szCs w:val="22"/>
          <w:lang w:val="en-GB"/>
        </w:rPr>
      </w:pPr>
    </w:p>
    <w:p w14:paraId="64989CC3" w14:textId="77B4E3EB" w:rsidR="0026469B" w:rsidRDefault="0026469B" w:rsidP="00FA362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type of papers that need to be submitted with the application are summarised by Judge Glenn in </w:t>
      </w:r>
      <w:r>
        <w:rPr>
          <w:rFonts w:ascii="Avenir Next" w:hAnsi="Avenir Next" w:cs="Arial"/>
          <w:i/>
          <w:iCs/>
          <w:color w:val="808080" w:themeColor="background1" w:themeShade="80"/>
          <w:sz w:val="22"/>
          <w:szCs w:val="22"/>
          <w:lang w:val="en-GB"/>
        </w:rPr>
        <w:t xml:space="preserve">In re Modern Land (China) Co </w:t>
      </w:r>
      <w:r>
        <w:rPr>
          <w:rFonts w:ascii="Avenir Next" w:hAnsi="Avenir Next" w:cs="Arial"/>
          <w:color w:val="808080" w:themeColor="background1" w:themeShade="80"/>
          <w:sz w:val="22"/>
          <w:szCs w:val="22"/>
          <w:lang w:val="en-GB"/>
        </w:rPr>
        <w:t>(i.e. a motion attaching a proposed recognition order and supporting declarations and the foreign representative’s statements required by section 1515(c) of the Bankruptcy Code and Rule 1007(a)(4) of the Federal Rules of Bankruptcy Procedure</w:t>
      </w:r>
      <w:r w:rsidR="00D52EAE">
        <w:rPr>
          <w:rFonts w:ascii="Avenir Next" w:hAnsi="Avenir Next" w:cs="Arial"/>
          <w:color w:val="808080" w:themeColor="background1" w:themeShade="80"/>
          <w:sz w:val="22"/>
          <w:szCs w:val="22"/>
          <w:lang w:val="en-GB"/>
        </w:rPr>
        <w:t xml:space="preserve">). Presumably, this mirrors what is required under Article 15 of the Model Law on an application for recognition. </w:t>
      </w:r>
    </w:p>
    <w:p w14:paraId="149D6D24" w14:textId="77777777" w:rsidR="0026469B" w:rsidRDefault="0026469B" w:rsidP="00FA3624">
      <w:pPr>
        <w:jc w:val="both"/>
        <w:rPr>
          <w:rFonts w:ascii="Avenir Next" w:hAnsi="Avenir Next" w:cs="Arial"/>
          <w:color w:val="808080" w:themeColor="background1" w:themeShade="80"/>
          <w:sz w:val="22"/>
          <w:szCs w:val="22"/>
          <w:lang w:val="en-GB"/>
        </w:rPr>
      </w:pPr>
    </w:p>
    <w:p w14:paraId="10620F3C" w14:textId="028A7EEC" w:rsidR="0026469B" w:rsidRPr="0026469B" w:rsidRDefault="0026469B" w:rsidP="00FA362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day one of filing, Globe Holdings should seek, as interim relief under Article 19 of the Model Law, a stay of execution against the assets of Globe Holdings in the US.  </w:t>
      </w:r>
    </w:p>
    <w:p w14:paraId="3E558A75" w14:textId="77777777" w:rsidR="00A73AE9" w:rsidRDefault="00A73AE9" w:rsidP="007C42E7">
      <w:pPr>
        <w:jc w:val="both"/>
        <w:rPr>
          <w:rFonts w:ascii="Avenir Next" w:hAnsi="Avenir Next" w:cs="Arial"/>
          <w:color w:val="808080" w:themeColor="background1" w:themeShade="80"/>
          <w:sz w:val="22"/>
          <w:szCs w:val="22"/>
          <w:lang w:val="en-GB"/>
        </w:rPr>
      </w:pPr>
    </w:p>
    <w:p w14:paraId="2C0D125E" w14:textId="07BB7A75" w:rsidR="007C42E7" w:rsidRDefault="007C42E7" w:rsidP="007C42E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relevant to note that the UNCITRAL Model Law on Recognition and Enforcement of Insolvency-Related Judgments (“IRJ Model Law), which was adopted by UNCITRAL on 2 July 2018, has not yet been enacted by any States in their own national laws. This means that Globe Holdings cannot seek to have the Scheme and Sanction Order recognised and enforced in the United States under Article 11 of the IRJ Model Law, although whether the interests of all creditors were taken into account (as opposed to only the interests of the Noteholders) by the Scheme would be a ground for refusing to recognise the Scheme and the Sanction Order under Article 14(f) of the IRJ Model Law. </w:t>
      </w:r>
    </w:p>
    <w:p w14:paraId="5BEDD587" w14:textId="0C8675CC" w:rsidR="009955BC" w:rsidRDefault="009955BC" w:rsidP="009955BC">
      <w:pPr>
        <w:jc w:val="both"/>
        <w:rPr>
          <w:rFonts w:ascii="Avenir Next" w:hAnsi="Avenir Next" w:cs="Arial"/>
          <w:color w:val="808080" w:themeColor="background1" w:themeShade="80"/>
          <w:sz w:val="22"/>
          <w:szCs w:val="22"/>
          <w:lang w:val="en-GB"/>
        </w:rPr>
      </w:pPr>
    </w:p>
    <w:p w14:paraId="03028586" w14:textId="01E264E1" w:rsidR="009955BC" w:rsidRPr="00B77352" w:rsidRDefault="009955BC" w:rsidP="009955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43A441E9" w14:textId="77777777" w:rsidR="00126E19" w:rsidRPr="00E2622D" w:rsidRDefault="00126E19" w:rsidP="00707FC8">
      <w:pPr>
        <w:jc w:val="both"/>
        <w:rPr>
          <w:rFonts w:ascii="Avenir Next" w:hAnsi="Avenir Next" w:cs="Arial"/>
          <w:sz w:val="22"/>
          <w:szCs w:val="22"/>
          <w:lang w:val="en-GB"/>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A46D15">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66ADB" w14:textId="77777777" w:rsidR="00A46D15" w:rsidRDefault="00A46D15" w:rsidP="00241B44">
      <w:r>
        <w:separator/>
      </w:r>
    </w:p>
  </w:endnote>
  <w:endnote w:type="continuationSeparator" w:id="0">
    <w:p w14:paraId="56CA270D" w14:textId="77777777" w:rsidR="00A46D15" w:rsidRDefault="00A46D1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
    <w:panose1 w:val="020B0703020202020204"/>
    <w:charset w:val="00"/>
    <w:family w:val="swiss"/>
    <w:pitch w:val="variable"/>
    <w:sig w:usb0="800000AF" w:usb1="5000204A" w:usb2="00000000" w:usb3="00000000" w:csb0="0000009B" w:csb1="00000000"/>
  </w:font>
  <w:font w:name="Avenir Next">
    <w:altName w:val="﷽﷽﷽﷽﷽﷽﷽﷽呚䵕"/>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7F424E66" w:rsidR="000300E0" w:rsidRPr="00B46CE2" w:rsidRDefault="002E039E" w:rsidP="000300E0">
    <w:pPr>
      <w:pStyle w:val="Footer"/>
      <w:ind w:right="360"/>
      <w:rPr>
        <w:rFonts w:ascii="Avenir Next" w:hAnsi="Avenir Next"/>
        <w:sz w:val="22"/>
        <w:szCs w:val="22"/>
      </w:rPr>
    </w:pPr>
    <w:r>
      <w:rPr>
        <w:rFonts w:ascii="Avenir Next" w:hAnsi="Avenir Next"/>
        <w:sz w:val="22"/>
        <w:szCs w:val="22"/>
      </w:rPr>
      <w:t>FC202324-1302</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6109" w14:textId="77777777" w:rsidR="00A46D15" w:rsidRDefault="00A46D15" w:rsidP="00241B44">
      <w:r>
        <w:separator/>
      </w:r>
    </w:p>
  </w:footnote>
  <w:footnote w:type="continuationSeparator" w:id="0">
    <w:p w14:paraId="08661D7E" w14:textId="77777777" w:rsidR="00A46D15" w:rsidRDefault="00A46D1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EB32767"/>
    <w:multiLevelType w:val="hybridMultilevel"/>
    <w:tmpl w:val="2CEA51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1CD1144"/>
    <w:multiLevelType w:val="hybridMultilevel"/>
    <w:tmpl w:val="33F8FA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C23630"/>
    <w:multiLevelType w:val="multilevel"/>
    <w:tmpl w:val="C264F2C6"/>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8403C4"/>
    <w:multiLevelType w:val="hybridMultilevel"/>
    <w:tmpl w:val="16A4FBC8"/>
    <w:lvl w:ilvl="0" w:tplc="626896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F5C5581"/>
    <w:multiLevelType w:val="hybridMultilevel"/>
    <w:tmpl w:val="80049F12"/>
    <w:lvl w:ilvl="0" w:tplc="599AD1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A8E54DC"/>
    <w:multiLevelType w:val="hybridMultilevel"/>
    <w:tmpl w:val="0C3CD2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C7B3EF1"/>
    <w:multiLevelType w:val="hybridMultilevel"/>
    <w:tmpl w:val="E9B2F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72CA717C"/>
    <w:multiLevelType w:val="hybridMultilevel"/>
    <w:tmpl w:val="EFF63C46"/>
    <w:lvl w:ilvl="0" w:tplc="E0A6DD8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2254">
    <w:abstractNumId w:val="1"/>
  </w:num>
  <w:num w:numId="2" w16cid:durableId="1946495759">
    <w:abstractNumId w:val="64"/>
  </w:num>
  <w:num w:numId="3" w16cid:durableId="1837500537">
    <w:abstractNumId w:val="48"/>
  </w:num>
  <w:num w:numId="4" w16cid:durableId="577205504">
    <w:abstractNumId w:val="59"/>
  </w:num>
  <w:num w:numId="5" w16cid:durableId="587693970">
    <w:abstractNumId w:val="11"/>
  </w:num>
  <w:num w:numId="6" w16cid:durableId="937175523">
    <w:abstractNumId w:val="56"/>
  </w:num>
  <w:num w:numId="7" w16cid:durableId="1654067440">
    <w:abstractNumId w:val="29"/>
  </w:num>
  <w:num w:numId="8" w16cid:durableId="1105736194">
    <w:abstractNumId w:val="50"/>
  </w:num>
  <w:num w:numId="9" w16cid:durableId="337470287">
    <w:abstractNumId w:val="32"/>
  </w:num>
  <w:num w:numId="10" w16cid:durableId="409736686">
    <w:abstractNumId w:val="20"/>
  </w:num>
  <w:num w:numId="11" w16cid:durableId="2113239495">
    <w:abstractNumId w:val="36"/>
  </w:num>
  <w:num w:numId="12" w16cid:durableId="277688465">
    <w:abstractNumId w:val="54"/>
  </w:num>
  <w:num w:numId="13" w16cid:durableId="2058502388">
    <w:abstractNumId w:val="9"/>
  </w:num>
  <w:num w:numId="14" w16cid:durableId="1848598104">
    <w:abstractNumId w:val="44"/>
  </w:num>
  <w:num w:numId="15" w16cid:durableId="634214434">
    <w:abstractNumId w:val="21"/>
  </w:num>
  <w:num w:numId="16" w16cid:durableId="1164055646">
    <w:abstractNumId w:val="22"/>
  </w:num>
  <w:num w:numId="17" w16cid:durableId="4065661">
    <w:abstractNumId w:val="38"/>
  </w:num>
  <w:num w:numId="18" w16cid:durableId="970591766">
    <w:abstractNumId w:val="10"/>
  </w:num>
  <w:num w:numId="19" w16cid:durableId="1299339140">
    <w:abstractNumId w:val="37"/>
  </w:num>
  <w:num w:numId="20" w16cid:durableId="1327175081">
    <w:abstractNumId w:val="63"/>
  </w:num>
  <w:num w:numId="21" w16cid:durableId="2089498112">
    <w:abstractNumId w:val="27"/>
  </w:num>
  <w:num w:numId="22" w16cid:durableId="221064104">
    <w:abstractNumId w:val="53"/>
  </w:num>
  <w:num w:numId="23" w16cid:durableId="860243873">
    <w:abstractNumId w:val="61"/>
  </w:num>
  <w:num w:numId="24" w16cid:durableId="1555506834">
    <w:abstractNumId w:val="52"/>
  </w:num>
  <w:num w:numId="25" w16cid:durableId="1954677308">
    <w:abstractNumId w:val="43"/>
  </w:num>
  <w:num w:numId="26" w16cid:durableId="998270126">
    <w:abstractNumId w:val="62"/>
  </w:num>
  <w:num w:numId="27" w16cid:durableId="657656171">
    <w:abstractNumId w:val="57"/>
  </w:num>
  <w:num w:numId="28" w16cid:durableId="1116829249">
    <w:abstractNumId w:val="15"/>
  </w:num>
  <w:num w:numId="29" w16cid:durableId="1055274873">
    <w:abstractNumId w:val="16"/>
  </w:num>
  <w:num w:numId="30" w16cid:durableId="790785319">
    <w:abstractNumId w:val="39"/>
  </w:num>
  <w:num w:numId="31" w16cid:durableId="781922295">
    <w:abstractNumId w:val="6"/>
  </w:num>
  <w:num w:numId="32" w16cid:durableId="268047206">
    <w:abstractNumId w:val="41"/>
  </w:num>
  <w:num w:numId="33" w16cid:durableId="198930779">
    <w:abstractNumId w:val="0"/>
  </w:num>
  <w:num w:numId="34" w16cid:durableId="480577945">
    <w:abstractNumId w:val="49"/>
  </w:num>
  <w:num w:numId="35" w16cid:durableId="984242224">
    <w:abstractNumId w:val="31"/>
  </w:num>
  <w:num w:numId="36" w16cid:durableId="485898662">
    <w:abstractNumId w:val="51"/>
  </w:num>
  <w:num w:numId="37" w16cid:durableId="1147433143">
    <w:abstractNumId w:val="34"/>
  </w:num>
  <w:num w:numId="38" w16cid:durableId="827285019">
    <w:abstractNumId w:val="46"/>
  </w:num>
  <w:num w:numId="39" w16cid:durableId="128666775">
    <w:abstractNumId w:val="8"/>
  </w:num>
  <w:num w:numId="40" w16cid:durableId="1339426664">
    <w:abstractNumId w:val="30"/>
  </w:num>
  <w:num w:numId="41" w16cid:durableId="1969971734">
    <w:abstractNumId w:val="55"/>
  </w:num>
  <w:num w:numId="42" w16cid:durableId="368453801">
    <w:abstractNumId w:val="26"/>
  </w:num>
  <w:num w:numId="43" w16cid:durableId="51392340">
    <w:abstractNumId w:val="40"/>
  </w:num>
  <w:num w:numId="44" w16cid:durableId="1531332188">
    <w:abstractNumId w:val="19"/>
  </w:num>
  <w:num w:numId="45" w16cid:durableId="8337133">
    <w:abstractNumId w:val="18"/>
  </w:num>
  <w:num w:numId="46" w16cid:durableId="1612931796">
    <w:abstractNumId w:val="45"/>
  </w:num>
  <w:num w:numId="47" w16cid:durableId="89930162">
    <w:abstractNumId w:val="28"/>
  </w:num>
  <w:num w:numId="48" w16cid:durableId="1477838578">
    <w:abstractNumId w:val="13"/>
  </w:num>
  <w:num w:numId="49" w16cid:durableId="2073384460">
    <w:abstractNumId w:val="60"/>
  </w:num>
  <w:num w:numId="50" w16cid:durableId="59720369">
    <w:abstractNumId w:val="35"/>
  </w:num>
  <w:num w:numId="51" w16cid:durableId="1379276728">
    <w:abstractNumId w:val="14"/>
  </w:num>
  <w:num w:numId="52" w16cid:durableId="921179279">
    <w:abstractNumId w:val="24"/>
  </w:num>
  <w:num w:numId="53" w16cid:durableId="1060514793">
    <w:abstractNumId w:val="33"/>
  </w:num>
  <w:num w:numId="54" w16cid:durableId="64230155">
    <w:abstractNumId w:val="4"/>
  </w:num>
  <w:num w:numId="55" w16cid:durableId="1681084025">
    <w:abstractNumId w:val="2"/>
  </w:num>
  <w:num w:numId="56" w16cid:durableId="1275090443">
    <w:abstractNumId w:val="23"/>
  </w:num>
  <w:num w:numId="57" w16cid:durableId="269969236">
    <w:abstractNumId w:val="47"/>
  </w:num>
  <w:num w:numId="58" w16cid:durableId="1820150966">
    <w:abstractNumId w:val="3"/>
  </w:num>
  <w:num w:numId="59" w16cid:durableId="1769499093">
    <w:abstractNumId w:val="58"/>
  </w:num>
  <w:num w:numId="60" w16cid:durableId="1044479325">
    <w:abstractNumId w:val="12"/>
  </w:num>
  <w:num w:numId="61" w16cid:durableId="1539584447">
    <w:abstractNumId w:val="25"/>
  </w:num>
  <w:num w:numId="62" w16cid:durableId="2094009498">
    <w:abstractNumId w:val="7"/>
  </w:num>
  <w:num w:numId="63" w16cid:durableId="783967436">
    <w:abstractNumId w:val="17"/>
  </w:num>
  <w:num w:numId="64" w16cid:durableId="672418162">
    <w:abstractNumId w:val="42"/>
  </w:num>
  <w:num w:numId="65" w16cid:durableId="101846164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15555"/>
    <w:rsid w:val="00020557"/>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60E02"/>
    <w:rsid w:val="00065166"/>
    <w:rsid w:val="00067A88"/>
    <w:rsid w:val="00070B92"/>
    <w:rsid w:val="00073474"/>
    <w:rsid w:val="00077D49"/>
    <w:rsid w:val="00082609"/>
    <w:rsid w:val="00083B38"/>
    <w:rsid w:val="000851CC"/>
    <w:rsid w:val="00093BE8"/>
    <w:rsid w:val="000A68ED"/>
    <w:rsid w:val="000B4FEB"/>
    <w:rsid w:val="000B5FF1"/>
    <w:rsid w:val="000B609F"/>
    <w:rsid w:val="000C147F"/>
    <w:rsid w:val="000C6BB9"/>
    <w:rsid w:val="000D32A9"/>
    <w:rsid w:val="000D55A8"/>
    <w:rsid w:val="000E4841"/>
    <w:rsid w:val="000E6325"/>
    <w:rsid w:val="000F1677"/>
    <w:rsid w:val="000F3D6C"/>
    <w:rsid w:val="000F579C"/>
    <w:rsid w:val="00100E8F"/>
    <w:rsid w:val="00101707"/>
    <w:rsid w:val="00101A9E"/>
    <w:rsid w:val="00114082"/>
    <w:rsid w:val="0011473D"/>
    <w:rsid w:val="00115C85"/>
    <w:rsid w:val="00123855"/>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0188"/>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27C5E"/>
    <w:rsid w:val="002305E8"/>
    <w:rsid w:val="0023198D"/>
    <w:rsid w:val="0023317E"/>
    <w:rsid w:val="00234F2C"/>
    <w:rsid w:val="00240B0E"/>
    <w:rsid w:val="0024116D"/>
    <w:rsid w:val="00241B44"/>
    <w:rsid w:val="00245EFB"/>
    <w:rsid w:val="00250E19"/>
    <w:rsid w:val="0025386E"/>
    <w:rsid w:val="002539D7"/>
    <w:rsid w:val="00257437"/>
    <w:rsid w:val="002638B0"/>
    <w:rsid w:val="0026469B"/>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9FB"/>
    <w:rsid w:val="002A2A60"/>
    <w:rsid w:val="002B1C45"/>
    <w:rsid w:val="002C13C8"/>
    <w:rsid w:val="002C267F"/>
    <w:rsid w:val="002C3547"/>
    <w:rsid w:val="002D0021"/>
    <w:rsid w:val="002D3473"/>
    <w:rsid w:val="002D5C95"/>
    <w:rsid w:val="002E00F8"/>
    <w:rsid w:val="002E039E"/>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0BA"/>
    <w:rsid w:val="00322F3B"/>
    <w:rsid w:val="00323940"/>
    <w:rsid w:val="00323E57"/>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3D4"/>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1674"/>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47E78"/>
    <w:rsid w:val="0055310D"/>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4776F"/>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6BD5"/>
    <w:rsid w:val="006E481A"/>
    <w:rsid w:val="006E5298"/>
    <w:rsid w:val="006F26B5"/>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B3AC7"/>
    <w:rsid w:val="007B497A"/>
    <w:rsid w:val="007C1FCC"/>
    <w:rsid w:val="007C32A8"/>
    <w:rsid w:val="007C3FE5"/>
    <w:rsid w:val="007C42E7"/>
    <w:rsid w:val="007C6201"/>
    <w:rsid w:val="007C6988"/>
    <w:rsid w:val="007D28A1"/>
    <w:rsid w:val="007D7C92"/>
    <w:rsid w:val="007E1154"/>
    <w:rsid w:val="007E6BA4"/>
    <w:rsid w:val="007E7678"/>
    <w:rsid w:val="007F41F8"/>
    <w:rsid w:val="007F60D0"/>
    <w:rsid w:val="0080454E"/>
    <w:rsid w:val="00804C32"/>
    <w:rsid w:val="00806302"/>
    <w:rsid w:val="00807119"/>
    <w:rsid w:val="00812AFE"/>
    <w:rsid w:val="00817D57"/>
    <w:rsid w:val="008218FC"/>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93A03"/>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4C35"/>
    <w:rsid w:val="00905A43"/>
    <w:rsid w:val="00907DC2"/>
    <w:rsid w:val="00912C79"/>
    <w:rsid w:val="009260A2"/>
    <w:rsid w:val="00930F0C"/>
    <w:rsid w:val="009344C1"/>
    <w:rsid w:val="00942123"/>
    <w:rsid w:val="00951031"/>
    <w:rsid w:val="0095207B"/>
    <w:rsid w:val="00954461"/>
    <w:rsid w:val="00956085"/>
    <w:rsid w:val="00957951"/>
    <w:rsid w:val="00962045"/>
    <w:rsid w:val="00967EDA"/>
    <w:rsid w:val="00970897"/>
    <w:rsid w:val="0097337E"/>
    <w:rsid w:val="00980314"/>
    <w:rsid w:val="009816D0"/>
    <w:rsid w:val="00991428"/>
    <w:rsid w:val="00992676"/>
    <w:rsid w:val="009955BC"/>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3CA7"/>
    <w:rsid w:val="009E4DE3"/>
    <w:rsid w:val="00A047EE"/>
    <w:rsid w:val="00A114EA"/>
    <w:rsid w:val="00A12183"/>
    <w:rsid w:val="00A153F7"/>
    <w:rsid w:val="00A2274A"/>
    <w:rsid w:val="00A235B7"/>
    <w:rsid w:val="00A27A7A"/>
    <w:rsid w:val="00A407EF"/>
    <w:rsid w:val="00A46B4C"/>
    <w:rsid w:val="00A46D15"/>
    <w:rsid w:val="00A5117B"/>
    <w:rsid w:val="00A54000"/>
    <w:rsid w:val="00A5433A"/>
    <w:rsid w:val="00A54689"/>
    <w:rsid w:val="00A60074"/>
    <w:rsid w:val="00A6627C"/>
    <w:rsid w:val="00A6649C"/>
    <w:rsid w:val="00A70BBC"/>
    <w:rsid w:val="00A71019"/>
    <w:rsid w:val="00A73AE9"/>
    <w:rsid w:val="00A80318"/>
    <w:rsid w:val="00A81029"/>
    <w:rsid w:val="00A83CB5"/>
    <w:rsid w:val="00A865A7"/>
    <w:rsid w:val="00A96489"/>
    <w:rsid w:val="00AA3A42"/>
    <w:rsid w:val="00AA5311"/>
    <w:rsid w:val="00AA7BAA"/>
    <w:rsid w:val="00AB38A7"/>
    <w:rsid w:val="00AB685C"/>
    <w:rsid w:val="00AB6C2D"/>
    <w:rsid w:val="00AC08F7"/>
    <w:rsid w:val="00AC3839"/>
    <w:rsid w:val="00AC7082"/>
    <w:rsid w:val="00AD0E59"/>
    <w:rsid w:val="00AD3FEA"/>
    <w:rsid w:val="00AD7BBD"/>
    <w:rsid w:val="00AF228E"/>
    <w:rsid w:val="00AF302B"/>
    <w:rsid w:val="00B04137"/>
    <w:rsid w:val="00B1112C"/>
    <w:rsid w:val="00B11D19"/>
    <w:rsid w:val="00B12936"/>
    <w:rsid w:val="00B12C2D"/>
    <w:rsid w:val="00B14819"/>
    <w:rsid w:val="00B15031"/>
    <w:rsid w:val="00B17AA9"/>
    <w:rsid w:val="00B263D0"/>
    <w:rsid w:val="00B32DE4"/>
    <w:rsid w:val="00B33578"/>
    <w:rsid w:val="00B370C3"/>
    <w:rsid w:val="00B411AE"/>
    <w:rsid w:val="00B413F5"/>
    <w:rsid w:val="00B457BF"/>
    <w:rsid w:val="00B46CE2"/>
    <w:rsid w:val="00B60190"/>
    <w:rsid w:val="00B61419"/>
    <w:rsid w:val="00B66441"/>
    <w:rsid w:val="00B72F5F"/>
    <w:rsid w:val="00B736DF"/>
    <w:rsid w:val="00B74FBD"/>
    <w:rsid w:val="00B77352"/>
    <w:rsid w:val="00B82586"/>
    <w:rsid w:val="00B829A3"/>
    <w:rsid w:val="00B86DB1"/>
    <w:rsid w:val="00B87869"/>
    <w:rsid w:val="00B953BD"/>
    <w:rsid w:val="00BA0E44"/>
    <w:rsid w:val="00BA47C5"/>
    <w:rsid w:val="00BA73F2"/>
    <w:rsid w:val="00BB0F2B"/>
    <w:rsid w:val="00BD0D57"/>
    <w:rsid w:val="00BD39B5"/>
    <w:rsid w:val="00BD4EEA"/>
    <w:rsid w:val="00BE1A50"/>
    <w:rsid w:val="00BF50F7"/>
    <w:rsid w:val="00C00111"/>
    <w:rsid w:val="00C02F29"/>
    <w:rsid w:val="00C10C13"/>
    <w:rsid w:val="00C17111"/>
    <w:rsid w:val="00C20747"/>
    <w:rsid w:val="00C20AFE"/>
    <w:rsid w:val="00C22A25"/>
    <w:rsid w:val="00C23B79"/>
    <w:rsid w:val="00C33D50"/>
    <w:rsid w:val="00C35671"/>
    <w:rsid w:val="00C35B77"/>
    <w:rsid w:val="00C370D3"/>
    <w:rsid w:val="00C376EB"/>
    <w:rsid w:val="00C4003A"/>
    <w:rsid w:val="00C433E6"/>
    <w:rsid w:val="00C4510C"/>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4B1C"/>
    <w:rsid w:val="00CA6E0D"/>
    <w:rsid w:val="00CB2CBB"/>
    <w:rsid w:val="00CB56CE"/>
    <w:rsid w:val="00CB7CAC"/>
    <w:rsid w:val="00CC0EA0"/>
    <w:rsid w:val="00CC5335"/>
    <w:rsid w:val="00CC5BA4"/>
    <w:rsid w:val="00CC70BB"/>
    <w:rsid w:val="00CD3420"/>
    <w:rsid w:val="00CD4998"/>
    <w:rsid w:val="00CE1035"/>
    <w:rsid w:val="00CE2A6A"/>
    <w:rsid w:val="00CF12DA"/>
    <w:rsid w:val="00CF2819"/>
    <w:rsid w:val="00CF4F9D"/>
    <w:rsid w:val="00CF70DC"/>
    <w:rsid w:val="00D148DC"/>
    <w:rsid w:val="00D17FDC"/>
    <w:rsid w:val="00D444C5"/>
    <w:rsid w:val="00D45AEA"/>
    <w:rsid w:val="00D5244F"/>
    <w:rsid w:val="00D52E4F"/>
    <w:rsid w:val="00D52EAE"/>
    <w:rsid w:val="00D56A37"/>
    <w:rsid w:val="00D57202"/>
    <w:rsid w:val="00D6386E"/>
    <w:rsid w:val="00D63EFD"/>
    <w:rsid w:val="00D64826"/>
    <w:rsid w:val="00D7080A"/>
    <w:rsid w:val="00D80DF2"/>
    <w:rsid w:val="00D84150"/>
    <w:rsid w:val="00D84752"/>
    <w:rsid w:val="00D85AB0"/>
    <w:rsid w:val="00D86B3B"/>
    <w:rsid w:val="00D8748A"/>
    <w:rsid w:val="00D91A0F"/>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39E0"/>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1C42"/>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513"/>
    <w:rsid w:val="00ED3771"/>
    <w:rsid w:val="00ED4AB7"/>
    <w:rsid w:val="00ED6A32"/>
    <w:rsid w:val="00EE4971"/>
    <w:rsid w:val="00EF090E"/>
    <w:rsid w:val="00EF407A"/>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4122D"/>
    <w:rsid w:val="00F51EE5"/>
    <w:rsid w:val="00F55241"/>
    <w:rsid w:val="00F5524B"/>
    <w:rsid w:val="00F60538"/>
    <w:rsid w:val="00F61DD2"/>
    <w:rsid w:val="00F63708"/>
    <w:rsid w:val="00F6523A"/>
    <w:rsid w:val="00F66AFF"/>
    <w:rsid w:val="00F71433"/>
    <w:rsid w:val="00F7241A"/>
    <w:rsid w:val="00F83E76"/>
    <w:rsid w:val="00F87BEA"/>
    <w:rsid w:val="00F90A57"/>
    <w:rsid w:val="00F97C5B"/>
    <w:rsid w:val="00FA05D2"/>
    <w:rsid w:val="00FA359A"/>
    <w:rsid w:val="00FA3624"/>
    <w:rsid w:val="00FA3D50"/>
    <w:rsid w:val="00FB009F"/>
    <w:rsid w:val="00FB25B0"/>
    <w:rsid w:val="00FB6136"/>
    <w:rsid w:val="00FC374A"/>
    <w:rsid w:val="00FC70E1"/>
    <w:rsid w:val="00FC7B47"/>
    <w:rsid w:val="00FD035C"/>
    <w:rsid w:val="00FD1A35"/>
    <w:rsid w:val="00FD1FE6"/>
    <w:rsid w:val="00FD36C5"/>
    <w:rsid w:val="00FD428C"/>
    <w:rsid w:val="00FD6310"/>
    <w:rsid w:val="00FD7C7B"/>
    <w:rsid w:val="00FD7FD0"/>
    <w:rsid w:val="00FE1D12"/>
    <w:rsid w:val="00FE2122"/>
    <w:rsid w:val="00FE2A86"/>
    <w:rsid w:val="00FE3D04"/>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AE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numbering" w:customStyle="1" w:styleId="CurrentList1">
    <w:name w:val="Current List1"/>
    <w:uiPriority w:val="99"/>
    <w:rsid w:val="009955BC"/>
    <w:pPr>
      <w:numPr>
        <w:numId w:val="62"/>
      </w:numPr>
    </w:pPr>
  </w:style>
  <w:style w:type="character" w:styleId="Emphasis">
    <w:name w:val="Emphasis"/>
    <w:basedOn w:val="DefaultParagraphFont"/>
    <w:uiPriority w:val="20"/>
    <w:qFormat/>
    <w:rsid w:val="007C42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4240359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17</Pages>
  <Words>5695</Words>
  <Characters>32467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Ralphed Notley</cp:lastModifiedBy>
  <cp:revision>14</cp:revision>
  <cp:lastPrinted>2019-08-27T05:42:00Z</cp:lastPrinted>
  <dcterms:created xsi:type="dcterms:W3CDTF">2024-02-29T23:09:00Z</dcterms:created>
  <dcterms:modified xsi:type="dcterms:W3CDTF">2024-03-01T22:41:00Z</dcterms:modified>
</cp:coreProperties>
</file>