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E26087">
      <w:pP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2F1FD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397FBC">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DB6F74" w:rsidRDefault="00B263D0" w:rsidP="00397FBC">
      <w:pPr>
        <w:pStyle w:val="ListParagraph"/>
        <w:numPr>
          <w:ilvl w:val="0"/>
          <w:numId w:val="1"/>
        </w:numPr>
        <w:ind w:left="426" w:hanging="426"/>
        <w:jc w:val="both"/>
        <w:rPr>
          <w:rFonts w:ascii="Avenir Next" w:hAnsi="Avenir Next" w:cs="Arial"/>
          <w:sz w:val="22"/>
          <w:szCs w:val="22"/>
          <w:highlight w:val="yellow"/>
          <w:lang w:val="en-GB"/>
        </w:rPr>
      </w:pPr>
      <w:r w:rsidRPr="00DB6F7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397FBC">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397FBC">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9D4BC8" w:rsidRDefault="00AD0E59" w:rsidP="00397FBC">
      <w:pPr>
        <w:pStyle w:val="ListParagraph"/>
        <w:numPr>
          <w:ilvl w:val="0"/>
          <w:numId w:val="11"/>
        </w:numPr>
        <w:ind w:left="426" w:hanging="426"/>
        <w:rPr>
          <w:rFonts w:ascii="Avenir Next" w:hAnsi="Avenir Next"/>
          <w:sz w:val="22"/>
          <w:szCs w:val="28"/>
        </w:rPr>
      </w:pPr>
      <w:proofErr w:type="spellStart"/>
      <w:r w:rsidRPr="009D4BC8">
        <w:rPr>
          <w:rFonts w:ascii="Avenir Next" w:hAnsi="Avenir Next"/>
          <w:sz w:val="22"/>
          <w:szCs w:val="28"/>
        </w:rPr>
        <w:t>Internationalisation</w:t>
      </w:r>
      <w:proofErr w:type="spellEnd"/>
      <w:r w:rsidRPr="009D4BC8">
        <w:rPr>
          <w:rFonts w:ascii="Avenir Next" w:hAnsi="Avenir Next"/>
          <w:sz w:val="22"/>
          <w:szCs w:val="28"/>
        </w:rPr>
        <w:t>.</w:t>
      </w:r>
    </w:p>
    <w:p w14:paraId="68B2FB89" w14:textId="77777777" w:rsidR="00AD0E59" w:rsidRPr="009D4BC8" w:rsidRDefault="00AD0E59" w:rsidP="00AD0E59">
      <w:pPr>
        <w:ind w:left="426" w:hanging="426"/>
        <w:rPr>
          <w:rFonts w:ascii="Avenir Next" w:hAnsi="Avenir Next"/>
          <w:sz w:val="22"/>
          <w:szCs w:val="28"/>
        </w:rPr>
      </w:pPr>
    </w:p>
    <w:p w14:paraId="3568B061" w14:textId="0AA438B4" w:rsidR="00AD0E59" w:rsidRPr="009D4BC8" w:rsidRDefault="00AD0E59" w:rsidP="00397FBC">
      <w:pPr>
        <w:pStyle w:val="ListParagraph"/>
        <w:numPr>
          <w:ilvl w:val="0"/>
          <w:numId w:val="11"/>
        </w:numPr>
        <w:ind w:left="426" w:hanging="426"/>
        <w:rPr>
          <w:rFonts w:ascii="Avenir Next" w:hAnsi="Avenir Next"/>
          <w:sz w:val="22"/>
          <w:szCs w:val="28"/>
        </w:rPr>
      </w:pPr>
      <w:r w:rsidRPr="009D4BC8">
        <w:rPr>
          <w:rFonts w:ascii="Avenir Next" w:hAnsi="Avenir Next"/>
          <w:sz w:val="22"/>
          <w:szCs w:val="28"/>
        </w:rPr>
        <w:t>Globali</w:t>
      </w:r>
      <w:r w:rsidR="00B66441" w:rsidRPr="009D4BC8">
        <w:rPr>
          <w:rFonts w:ascii="Avenir Next" w:hAnsi="Avenir Next"/>
          <w:sz w:val="22"/>
          <w:szCs w:val="28"/>
        </w:rPr>
        <w:t>z</w:t>
      </w:r>
      <w:r w:rsidRPr="009D4BC8">
        <w:rPr>
          <w:rFonts w:ascii="Avenir Next" w:hAnsi="Avenir Next"/>
          <w:sz w:val="22"/>
          <w:szCs w:val="28"/>
        </w:rPr>
        <w:t>ation.</w:t>
      </w:r>
    </w:p>
    <w:p w14:paraId="0C434B83" w14:textId="77777777" w:rsidR="00AD0E59" w:rsidRPr="009D4BC8" w:rsidRDefault="00AD0E59" w:rsidP="00AD0E59">
      <w:pPr>
        <w:ind w:left="426" w:hanging="426"/>
        <w:rPr>
          <w:rFonts w:ascii="Avenir Next" w:hAnsi="Avenir Next"/>
          <w:sz w:val="22"/>
          <w:szCs w:val="28"/>
        </w:rPr>
      </w:pPr>
    </w:p>
    <w:p w14:paraId="0CB4A501" w14:textId="77777777" w:rsidR="00AD0E59" w:rsidRPr="009D4BC8" w:rsidRDefault="00AD0E59" w:rsidP="00397FBC">
      <w:pPr>
        <w:pStyle w:val="ListParagraph"/>
        <w:numPr>
          <w:ilvl w:val="0"/>
          <w:numId w:val="11"/>
        </w:numPr>
        <w:ind w:left="426" w:hanging="426"/>
        <w:rPr>
          <w:rFonts w:ascii="Avenir Next" w:hAnsi="Avenir Next"/>
          <w:sz w:val="22"/>
          <w:szCs w:val="28"/>
        </w:rPr>
      </w:pPr>
      <w:r w:rsidRPr="009D4BC8">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397FBC">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397FBC">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397FBC">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397FB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397FB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974895" w:rsidRDefault="00AD0E59" w:rsidP="00397FBC">
      <w:pPr>
        <w:pStyle w:val="ListParagraph"/>
        <w:numPr>
          <w:ilvl w:val="0"/>
          <w:numId w:val="10"/>
        </w:numPr>
        <w:ind w:left="426" w:hanging="426"/>
        <w:jc w:val="both"/>
        <w:rPr>
          <w:rFonts w:ascii="Avenir Next" w:hAnsi="Avenir Next" w:cs="Arial"/>
          <w:sz w:val="22"/>
          <w:szCs w:val="22"/>
          <w:highlight w:val="yellow"/>
          <w:lang w:val="en-GB"/>
        </w:rPr>
      </w:pPr>
      <w:proofErr w:type="gramStart"/>
      <w:r w:rsidRPr="00974895">
        <w:rPr>
          <w:rFonts w:ascii="Avenir Next" w:hAnsi="Avenir Next" w:cs="Arial"/>
          <w:sz w:val="22"/>
          <w:szCs w:val="22"/>
          <w:highlight w:val="yellow"/>
          <w:lang w:val="en-GB"/>
        </w:rPr>
        <w:lastRenderedPageBreak/>
        <w:t>All of</w:t>
      </w:r>
      <w:proofErr w:type="gramEnd"/>
      <w:r w:rsidRPr="00974895">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397FBC">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397FBC">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397FBC">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397FBC">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Pr="00742282" w:rsidRDefault="00893A03" w:rsidP="00397FBC">
      <w:pPr>
        <w:pStyle w:val="ListParagraph"/>
        <w:numPr>
          <w:ilvl w:val="0"/>
          <w:numId w:val="2"/>
        </w:numPr>
        <w:ind w:left="426" w:hanging="426"/>
        <w:jc w:val="both"/>
        <w:rPr>
          <w:rFonts w:ascii="Avenir Next" w:hAnsi="Avenir Next" w:cs="Arial"/>
          <w:sz w:val="22"/>
          <w:szCs w:val="22"/>
          <w:highlight w:val="yellow"/>
          <w:lang w:val="en-GB"/>
        </w:rPr>
      </w:pPr>
      <w:r w:rsidRPr="00742282">
        <w:rPr>
          <w:rFonts w:ascii="Avenir Next" w:hAnsi="Avenir Next" w:cs="Arial"/>
          <w:sz w:val="22"/>
          <w:szCs w:val="22"/>
          <w:highlight w:val="yellow"/>
          <w:lang w:val="en-GB"/>
        </w:rPr>
        <w:t>Options (ii), (iii) and (iv).</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397FB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397FBC">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397FBC">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9D4BC8" w:rsidRDefault="00812AFE" w:rsidP="00397FBC">
      <w:pPr>
        <w:pStyle w:val="ListParagraph"/>
        <w:numPr>
          <w:ilvl w:val="0"/>
          <w:numId w:val="13"/>
        </w:numPr>
        <w:ind w:left="426" w:hanging="426"/>
        <w:jc w:val="both"/>
        <w:rPr>
          <w:rFonts w:ascii="Avenir Next" w:hAnsi="Avenir Next"/>
          <w:sz w:val="22"/>
          <w:szCs w:val="32"/>
        </w:rPr>
      </w:pPr>
      <w:r w:rsidRPr="009D4BC8">
        <w:rPr>
          <w:rFonts w:ascii="Avenir Next" w:hAnsi="Avenir Next"/>
          <w:sz w:val="22"/>
          <w:szCs w:val="32"/>
        </w:rPr>
        <w:t>To provide greater legal certainty for trade and investment.</w:t>
      </w:r>
    </w:p>
    <w:p w14:paraId="6108D362" w14:textId="77777777" w:rsidR="00812AFE" w:rsidRPr="009D4BC8" w:rsidRDefault="00812AFE" w:rsidP="00C00111">
      <w:pPr>
        <w:pStyle w:val="ListParagraph"/>
        <w:ind w:left="426" w:hanging="426"/>
        <w:jc w:val="both"/>
        <w:rPr>
          <w:rFonts w:ascii="Avenir Next" w:hAnsi="Avenir Next"/>
          <w:sz w:val="22"/>
          <w:szCs w:val="32"/>
        </w:rPr>
      </w:pPr>
    </w:p>
    <w:p w14:paraId="2AA2541C" w14:textId="3C7E8949" w:rsidR="00812AFE" w:rsidRPr="009D4BC8" w:rsidRDefault="00812AFE" w:rsidP="00397FBC">
      <w:pPr>
        <w:pStyle w:val="ListParagraph"/>
        <w:numPr>
          <w:ilvl w:val="0"/>
          <w:numId w:val="13"/>
        </w:numPr>
        <w:ind w:left="426" w:hanging="426"/>
        <w:jc w:val="both"/>
        <w:rPr>
          <w:rFonts w:ascii="Avenir Next" w:hAnsi="Avenir Next"/>
          <w:sz w:val="22"/>
          <w:szCs w:val="32"/>
        </w:rPr>
      </w:pPr>
      <w:r w:rsidRPr="009D4BC8">
        <w:rPr>
          <w:rFonts w:ascii="Avenir Next" w:hAnsi="Avenir Next"/>
          <w:sz w:val="22"/>
          <w:szCs w:val="32"/>
        </w:rPr>
        <w:t>To provide protection and maximi</w:t>
      </w:r>
      <w:r w:rsidR="00B66441" w:rsidRPr="009D4BC8">
        <w:rPr>
          <w:rFonts w:ascii="Avenir Next" w:hAnsi="Avenir Next"/>
          <w:sz w:val="22"/>
          <w:szCs w:val="32"/>
        </w:rPr>
        <w:t>z</w:t>
      </w:r>
      <w:r w:rsidRPr="009D4BC8">
        <w:rPr>
          <w:rFonts w:ascii="Avenir Next" w:hAnsi="Avenir Next"/>
          <w:sz w:val="22"/>
          <w:szCs w:val="32"/>
        </w:rPr>
        <w:t>ation of value of the debtor’s assets.</w:t>
      </w:r>
    </w:p>
    <w:p w14:paraId="3081732A" w14:textId="77777777" w:rsidR="00812AFE" w:rsidRPr="009D4BC8" w:rsidRDefault="00812AFE" w:rsidP="00C00111">
      <w:pPr>
        <w:ind w:left="426" w:hanging="426"/>
        <w:jc w:val="both"/>
        <w:rPr>
          <w:rFonts w:ascii="Avenir Next" w:hAnsi="Avenir Next"/>
          <w:sz w:val="22"/>
          <w:szCs w:val="32"/>
        </w:rPr>
      </w:pPr>
    </w:p>
    <w:p w14:paraId="712BE68D" w14:textId="77777777" w:rsidR="00812AFE" w:rsidRPr="009D4BC8" w:rsidRDefault="00812AFE" w:rsidP="00397FBC">
      <w:pPr>
        <w:pStyle w:val="ListParagraph"/>
        <w:numPr>
          <w:ilvl w:val="0"/>
          <w:numId w:val="13"/>
        </w:numPr>
        <w:ind w:left="426" w:hanging="426"/>
        <w:jc w:val="both"/>
        <w:rPr>
          <w:rFonts w:ascii="Avenir Next" w:hAnsi="Avenir Next"/>
          <w:sz w:val="22"/>
          <w:szCs w:val="32"/>
        </w:rPr>
      </w:pPr>
      <w:r w:rsidRPr="009D4BC8">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9D4BC8" w:rsidRDefault="00812AFE" w:rsidP="00C00111">
      <w:pPr>
        <w:ind w:left="426" w:hanging="426"/>
        <w:jc w:val="both"/>
        <w:rPr>
          <w:rFonts w:ascii="Avenir Next" w:hAnsi="Avenir Next"/>
          <w:sz w:val="22"/>
          <w:szCs w:val="32"/>
        </w:rPr>
      </w:pPr>
    </w:p>
    <w:p w14:paraId="61EBC598" w14:textId="77777777" w:rsidR="00812AFE" w:rsidRPr="009D4BC8" w:rsidRDefault="00812AFE" w:rsidP="00397FBC">
      <w:pPr>
        <w:pStyle w:val="ListParagraph"/>
        <w:numPr>
          <w:ilvl w:val="0"/>
          <w:numId w:val="13"/>
        </w:numPr>
        <w:ind w:left="426" w:hanging="426"/>
        <w:jc w:val="both"/>
        <w:rPr>
          <w:rFonts w:ascii="Avenir Next" w:hAnsi="Avenir Next"/>
          <w:sz w:val="22"/>
          <w:szCs w:val="32"/>
        </w:rPr>
      </w:pPr>
      <w:r w:rsidRPr="009D4BC8">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397FBC">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5C5D81" w:rsidRDefault="00812AFE" w:rsidP="00397FBC">
      <w:pPr>
        <w:pStyle w:val="ListParagraph"/>
        <w:numPr>
          <w:ilvl w:val="0"/>
          <w:numId w:val="3"/>
        </w:numPr>
        <w:ind w:left="426" w:hanging="426"/>
        <w:jc w:val="both"/>
        <w:rPr>
          <w:rFonts w:ascii="Avenir Next" w:hAnsi="Avenir Next" w:cs="Arial"/>
          <w:sz w:val="22"/>
          <w:szCs w:val="22"/>
          <w:highlight w:val="yellow"/>
          <w:lang w:val="en-GB"/>
        </w:rPr>
      </w:pPr>
      <w:r w:rsidRPr="005C5D81">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397F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397F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397FB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397F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397F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397F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397F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397FB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B97050" w:rsidRDefault="003220BA" w:rsidP="00397FBC">
      <w:pPr>
        <w:pStyle w:val="ListParagraph"/>
        <w:numPr>
          <w:ilvl w:val="0"/>
          <w:numId w:val="4"/>
        </w:numPr>
        <w:ind w:left="426" w:hanging="426"/>
        <w:jc w:val="both"/>
        <w:rPr>
          <w:rFonts w:ascii="Avenir Next" w:hAnsi="Avenir Next" w:cs="Arial"/>
          <w:sz w:val="22"/>
          <w:szCs w:val="22"/>
          <w:highlight w:val="yellow"/>
          <w:lang w:val="en-GB"/>
        </w:rPr>
      </w:pPr>
      <w:r w:rsidRPr="00B97050">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397FB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397FB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397FBC">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397F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397F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F05387" w:rsidRDefault="009344C1" w:rsidP="00397FBC">
      <w:pPr>
        <w:pStyle w:val="ListParagraph"/>
        <w:numPr>
          <w:ilvl w:val="0"/>
          <w:numId w:val="5"/>
        </w:numPr>
        <w:ind w:left="426" w:hanging="426"/>
        <w:jc w:val="both"/>
        <w:rPr>
          <w:rFonts w:ascii="Avenir Next" w:hAnsi="Avenir Next" w:cs="Arial"/>
          <w:sz w:val="22"/>
          <w:szCs w:val="22"/>
          <w:highlight w:val="yellow"/>
          <w:lang w:val="en-GB"/>
        </w:rPr>
      </w:pPr>
      <w:r w:rsidRPr="00F05387">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397F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397FB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397FBC">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397FBC">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397FBC">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397FBC">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397FB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94616" w:rsidRDefault="00F51EE5" w:rsidP="00397FBC">
      <w:pPr>
        <w:pStyle w:val="ListParagraph"/>
        <w:numPr>
          <w:ilvl w:val="0"/>
          <w:numId w:val="6"/>
        </w:numPr>
        <w:ind w:left="426" w:hanging="426"/>
        <w:jc w:val="both"/>
        <w:rPr>
          <w:rFonts w:ascii="Avenir Next" w:hAnsi="Avenir Next" w:cs="Arial"/>
          <w:sz w:val="22"/>
          <w:szCs w:val="22"/>
          <w:highlight w:val="yellow"/>
          <w:lang w:val="en-GB"/>
        </w:rPr>
      </w:pPr>
      <w:r w:rsidRPr="00E94616">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397FB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397FBC">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397FB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397FB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397FB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397FBC">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397FBC">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7C6F87" w:rsidRDefault="0097337E" w:rsidP="00397FBC">
      <w:pPr>
        <w:pStyle w:val="ListParagraph"/>
        <w:numPr>
          <w:ilvl w:val="0"/>
          <w:numId w:val="7"/>
        </w:numPr>
        <w:ind w:left="426" w:hanging="426"/>
        <w:jc w:val="both"/>
        <w:rPr>
          <w:rFonts w:ascii="Avenir Next" w:hAnsi="Avenir Next" w:cs="Arial"/>
          <w:sz w:val="22"/>
          <w:szCs w:val="22"/>
          <w:highlight w:val="yellow"/>
          <w:lang w:val="en-GB"/>
        </w:rPr>
      </w:pPr>
      <w:r w:rsidRPr="007C6F87">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397FBC">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397FBC">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397F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397F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397FB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397F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397F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F963C1" w:rsidRDefault="009A58D1" w:rsidP="00397FBC">
      <w:pPr>
        <w:pStyle w:val="ListParagraph"/>
        <w:numPr>
          <w:ilvl w:val="0"/>
          <w:numId w:val="8"/>
        </w:numPr>
        <w:ind w:left="426" w:hanging="426"/>
        <w:jc w:val="both"/>
        <w:rPr>
          <w:rFonts w:ascii="Avenir Next" w:hAnsi="Avenir Next" w:cs="Arial"/>
          <w:sz w:val="22"/>
          <w:szCs w:val="22"/>
          <w:highlight w:val="yellow"/>
          <w:lang w:val="en-GB"/>
        </w:rPr>
      </w:pPr>
      <w:r w:rsidRPr="00F963C1">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397FB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397F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397F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397FBC">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B6D57" w:rsidRDefault="00C4510C" w:rsidP="00397FBC">
      <w:pPr>
        <w:pStyle w:val="ListParagraph"/>
        <w:numPr>
          <w:ilvl w:val="0"/>
          <w:numId w:val="9"/>
        </w:numPr>
        <w:ind w:left="426" w:hanging="426"/>
        <w:jc w:val="both"/>
        <w:rPr>
          <w:rFonts w:ascii="Avenir Next" w:hAnsi="Avenir Next" w:cs="Arial"/>
          <w:sz w:val="22"/>
          <w:szCs w:val="22"/>
          <w:highlight w:val="yellow"/>
          <w:lang w:val="en-GB"/>
        </w:rPr>
      </w:pPr>
      <w:r w:rsidRPr="002B6D57">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CC4413" w:rsidRDefault="009B07AD" w:rsidP="00707FC8">
      <w:pPr>
        <w:jc w:val="both"/>
        <w:rPr>
          <w:rFonts w:ascii="Arial" w:hAnsi="Arial" w:cs="Arial"/>
          <w:sz w:val="22"/>
          <w:szCs w:val="22"/>
          <w:lang w:val="en-GB"/>
        </w:rPr>
      </w:pPr>
    </w:p>
    <w:p w14:paraId="654B0E66" w14:textId="1F8422CE" w:rsidR="00CB56CE" w:rsidRDefault="001535B3" w:rsidP="007345A0">
      <w:pPr>
        <w:jc w:val="both"/>
        <w:rPr>
          <w:rFonts w:ascii="Arial" w:hAnsi="Arial" w:cs="Arial"/>
          <w:sz w:val="22"/>
          <w:szCs w:val="22"/>
          <w:lang w:val="en-GB"/>
        </w:rPr>
      </w:pPr>
      <w:r w:rsidRPr="00CC4413">
        <w:rPr>
          <w:rFonts w:ascii="Arial" w:hAnsi="Arial" w:cs="Arial"/>
          <w:sz w:val="22"/>
          <w:szCs w:val="22"/>
          <w:lang w:val="en-GB"/>
        </w:rPr>
        <w:t xml:space="preserve">MLCBI is </w:t>
      </w:r>
      <w:r w:rsidR="005E6B03" w:rsidRPr="00CC4413">
        <w:rPr>
          <w:rFonts w:ascii="Arial" w:hAnsi="Arial" w:cs="Arial"/>
          <w:sz w:val="22"/>
          <w:szCs w:val="22"/>
          <w:lang w:val="en-GB"/>
        </w:rPr>
        <w:t>recommendation</w:t>
      </w:r>
      <w:r w:rsidR="001034E9" w:rsidRPr="00CC4413">
        <w:rPr>
          <w:rFonts w:ascii="Arial" w:hAnsi="Arial" w:cs="Arial"/>
          <w:sz w:val="22"/>
          <w:szCs w:val="22"/>
          <w:lang w:val="en-GB"/>
        </w:rPr>
        <w:t xml:space="preserve"> and mechanism</w:t>
      </w:r>
      <w:r w:rsidR="00A803DD" w:rsidRPr="00CC4413">
        <w:rPr>
          <w:rFonts w:ascii="Arial" w:hAnsi="Arial" w:cs="Arial"/>
          <w:sz w:val="22"/>
          <w:szCs w:val="22"/>
          <w:lang w:val="en-GB"/>
        </w:rPr>
        <w:t xml:space="preserve"> for dealing with cross border </w:t>
      </w:r>
      <w:r w:rsidR="00B648BC" w:rsidRPr="00CC4413">
        <w:rPr>
          <w:rFonts w:ascii="Arial" w:hAnsi="Arial" w:cs="Arial"/>
          <w:sz w:val="22"/>
          <w:szCs w:val="22"/>
          <w:lang w:val="en-GB"/>
        </w:rPr>
        <w:t>insolvency cases</w:t>
      </w:r>
      <w:r w:rsidR="00DD3A33" w:rsidRPr="00CC4413">
        <w:rPr>
          <w:rFonts w:ascii="Arial" w:hAnsi="Arial" w:cs="Arial"/>
          <w:sz w:val="22"/>
          <w:szCs w:val="22"/>
          <w:lang w:val="en-GB"/>
        </w:rPr>
        <w:t>, whereas European Union Regulation</w:t>
      </w:r>
      <w:r w:rsidR="00520517" w:rsidRPr="00CC4413">
        <w:rPr>
          <w:rFonts w:ascii="Arial" w:hAnsi="Arial" w:cs="Arial"/>
          <w:sz w:val="22"/>
          <w:szCs w:val="22"/>
          <w:lang w:val="en-GB"/>
        </w:rPr>
        <w:t>s</w:t>
      </w:r>
      <w:r w:rsidR="00DD3A33" w:rsidRPr="00CC4413">
        <w:rPr>
          <w:rFonts w:ascii="Arial" w:hAnsi="Arial" w:cs="Arial"/>
          <w:sz w:val="22"/>
          <w:szCs w:val="22"/>
          <w:lang w:val="en-GB"/>
        </w:rPr>
        <w:t xml:space="preserve"> </w:t>
      </w:r>
      <w:r w:rsidR="00E2348D" w:rsidRPr="00CC4413">
        <w:rPr>
          <w:rFonts w:ascii="Arial" w:hAnsi="Arial" w:cs="Arial"/>
          <w:sz w:val="22"/>
          <w:szCs w:val="22"/>
          <w:lang w:val="en-GB"/>
        </w:rPr>
        <w:t xml:space="preserve">is a treaty which </w:t>
      </w:r>
      <w:r w:rsidR="00520517" w:rsidRPr="00CC4413">
        <w:rPr>
          <w:rFonts w:ascii="Arial" w:hAnsi="Arial" w:cs="Arial"/>
          <w:sz w:val="22"/>
          <w:szCs w:val="22"/>
          <w:lang w:val="en-GB"/>
        </w:rPr>
        <w:t>form</w:t>
      </w:r>
      <w:r w:rsidR="00E2348D" w:rsidRPr="00CC4413">
        <w:rPr>
          <w:rFonts w:ascii="Arial" w:hAnsi="Arial" w:cs="Arial"/>
          <w:sz w:val="22"/>
          <w:szCs w:val="22"/>
          <w:lang w:val="en-GB"/>
        </w:rPr>
        <w:t>s</w:t>
      </w:r>
      <w:r w:rsidR="00520517" w:rsidRPr="00CC4413">
        <w:rPr>
          <w:rFonts w:ascii="Arial" w:hAnsi="Arial" w:cs="Arial"/>
          <w:sz w:val="22"/>
          <w:szCs w:val="22"/>
          <w:lang w:val="en-GB"/>
        </w:rPr>
        <w:t xml:space="preserve"> part of </w:t>
      </w:r>
      <w:r w:rsidR="00402A11" w:rsidRPr="00CC4413">
        <w:rPr>
          <w:rFonts w:ascii="Arial" w:hAnsi="Arial" w:cs="Arial"/>
          <w:sz w:val="22"/>
          <w:szCs w:val="22"/>
          <w:lang w:val="en-GB"/>
        </w:rPr>
        <w:t>EU’s</w:t>
      </w:r>
      <w:r w:rsidR="00520517" w:rsidRPr="00CC4413">
        <w:rPr>
          <w:rFonts w:ascii="Arial" w:hAnsi="Arial" w:cs="Arial"/>
          <w:sz w:val="22"/>
          <w:szCs w:val="22"/>
          <w:lang w:val="en-GB"/>
        </w:rPr>
        <w:t xml:space="preserve"> secondary law </w:t>
      </w:r>
      <w:r w:rsidR="00545643" w:rsidRPr="00CC4413">
        <w:rPr>
          <w:rFonts w:ascii="Arial" w:hAnsi="Arial" w:cs="Arial"/>
          <w:sz w:val="22"/>
          <w:szCs w:val="22"/>
          <w:lang w:val="en-GB"/>
        </w:rPr>
        <w:t xml:space="preserve">i.e. it </w:t>
      </w:r>
      <w:r w:rsidR="007345A0" w:rsidRPr="00CC4413">
        <w:rPr>
          <w:rFonts w:ascii="Arial" w:hAnsi="Arial" w:cs="Arial"/>
          <w:sz w:val="22"/>
          <w:szCs w:val="22"/>
          <w:lang w:val="en-GB"/>
        </w:rPr>
        <w:t>become</w:t>
      </w:r>
      <w:r w:rsidR="0042622C" w:rsidRPr="00CC4413">
        <w:rPr>
          <w:rFonts w:ascii="Arial" w:hAnsi="Arial" w:cs="Arial"/>
          <w:sz w:val="22"/>
          <w:szCs w:val="22"/>
          <w:lang w:val="en-GB"/>
        </w:rPr>
        <w:t>s</w:t>
      </w:r>
      <w:r w:rsidR="007345A0" w:rsidRPr="00CC4413">
        <w:rPr>
          <w:rFonts w:ascii="Arial" w:hAnsi="Arial" w:cs="Arial"/>
          <w:sz w:val="22"/>
          <w:szCs w:val="22"/>
          <w:lang w:val="en-GB"/>
        </w:rPr>
        <w:t xml:space="preserve"> part of the </w:t>
      </w:r>
      <w:r w:rsidR="00157E02" w:rsidRPr="00CC4413">
        <w:rPr>
          <w:rFonts w:ascii="Arial" w:hAnsi="Arial" w:cs="Arial"/>
          <w:sz w:val="22"/>
          <w:szCs w:val="22"/>
          <w:lang w:val="en-GB"/>
        </w:rPr>
        <w:t>domestic law of the EU Member States</w:t>
      </w:r>
      <w:r w:rsidR="0042622C" w:rsidRPr="00CC4413">
        <w:rPr>
          <w:rFonts w:ascii="Arial" w:hAnsi="Arial" w:cs="Arial"/>
          <w:sz w:val="22"/>
          <w:szCs w:val="22"/>
          <w:lang w:val="en-GB"/>
        </w:rPr>
        <w:t xml:space="preserve"> once </w:t>
      </w:r>
      <w:r w:rsidR="00D256F6" w:rsidRPr="00CC4413">
        <w:rPr>
          <w:rFonts w:ascii="Arial" w:hAnsi="Arial" w:cs="Arial"/>
          <w:sz w:val="22"/>
          <w:szCs w:val="22"/>
          <w:lang w:val="en-GB"/>
        </w:rPr>
        <w:t>adopted</w:t>
      </w:r>
      <w:r w:rsidR="00157E02" w:rsidRPr="00CC4413">
        <w:rPr>
          <w:rFonts w:ascii="Arial" w:hAnsi="Arial" w:cs="Arial"/>
          <w:sz w:val="22"/>
          <w:szCs w:val="22"/>
          <w:lang w:val="en-GB"/>
        </w:rPr>
        <w:t>.</w:t>
      </w:r>
      <w:r w:rsidR="007D4B07" w:rsidRPr="00CC4413">
        <w:rPr>
          <w:rFonts w:ascii="Arial" w:hAnsi="Arial" w:cs="Arial"/>
          <w:sz w:val="22"/>
          <w:szCs w:val="22"/>
          <w:lang w:val="en-GB"/>
        </w:rPr>
        <w:t xml:space="preserve"> </w:t>
      </w:r>
    </w:p>
    <w:p w14:paraId="019A4D38" w14:textId="77777777" w:rsidR="002B6D57" w:rsidRDefault="002B6D57" w:rsidP="007345A0">
      <w:pPr>
        <w:jc w:val="both"/>
        <w:rPr>
          <w:rFonts w:ascii="Arial" w:hAnsi="Arial" w:cs="Arial"/>
          <w:sz w:val="22"/>
          <w:szCs w:val="22"/>
          <w:lang w:val="en-GB"/>
        </w:rPr>
      </w:pPr>
    </w:p>
    <w:p w14:paraId="54F93172" w14:textId="5BCB9557" w:rsidR="005911CC" w:rsidRPr="00CA154A" w:rsidRDefault="00CA154A" w:rsidP="007345A0">
      <w:pPr>
        <w:jc w:val="both"/>
        <w:rPr>
          <w:rFonts w:ascii="Arial" w:hAnsi="Arial" w:cs="Arial"/>
          <w:sz w:val="22"/>
          <w:szCs w:val="22"/>
          <w:lang w:val="en-GB"/>
        </w:rPr>
      </w:pPr>
      <w:r w:rsidRPr="00CA154A">
        <w:rPr>
          <w:rFonts w:ascii="Arial" w:hAnsi="Arial" w:cs="Arial"/>
          <w:sz w:val="22"/>
          <w:szCs w:val="22"/>
          <w:lang w:val="en-GB"/>
        </w:rPr>
        <w:t>MLCBI</w:t>
      </w:r>
      <w:r>
        <w:rPr>
          <w:rFonts w:ascii="Arial" w:hAnsi="Arial" w:cs="Arial"/>
          <w:sz w:val="22"/>
          <w:szCs w:val="22"/>
          <w:lang w:val="en-GB"/>
        </w:rPr>
        <w:t xml:space="preserve"> is a guidance </w:t>
      </w:r>
      <w:r w:rsidR="007F4596">
        <w:rPr>
          <w:rFonts w:ascii="Arial" w:hAnsi="Arial" w:cs="Arial"/>
          <w:sz w:val="22"/>
          <w:szCs w:val="22"/>
          <w:lang w:val="en-GB"/>
        </w:rPr>
        <w:t xml:space="preserve">and is a soft law, as such </w:t>
      </w:r>
      <w:r w:rsidR="005875B9">
        <w:rPr>
          <w:rFonts w:ascii="Arial" w:hAnsi="Arial" w:cs="Arial"/>
          <w:sz w:val="22"/>
          <w:szCs w:val="22"/>
          <w:lang w:val="en-GB"/>
        </w:rPr>
        <w:t>easier to adopt as compared to European Union Regulation which requires the adopting country to change it laws.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5E796A7" w:rsidR="00867A8F" w:rsidRPr="00CC4413" w:rsidRDefault="00AB104E" w:rsidP="008056F1">
      <w:pPr>
        <w:jc w:val="both"/>
        <w:rPr>
          <w:rFonts w:ascii="Arial" w:hAnsi="Arial" w:cs="Arial"/>
          <w:sz w:val="22"/>
          <w:szCs w:val="22"/>
          <w:lang w:val="en-GB"/>
        </w:rPr>
      </w:pPr>
      <w:r w:rsidRPr="00CC4413">
        <w:rPr>
          <w:rFonts w:ascii="Arial" w:hAnsi="Arial" w:cs="Arial"/>
          <w:sz w:val="22"/>
          <w:szCs w:val="22"/>
          <w:lang w:val="en-GB"/>
        </w:rPr>
        <w:t>To grant post-recognition relief under Article 21 of the ML</w:t>
      </w:r>
      <w:r w:rsidR="00066D60" w:rsidRPr="00CC4413">
        <w:rPr>
          <w:rFonts w:ascii="Arial" w:hAnsi="Arial" w:cs="Arial"/>
          <w:sz w:val="22"/>
          <w:szCs w:val="22"/>
          <w:lang w:val="en-GB"/>
        </w:rPr>
        <w:t>CBI</w:t>
      </w:r>
      <w:r w:rsidR="006F29A3" w:rsidRPr="00CC4413">
        <w:rPr>
          <w:rFonts w:ascii="Arial" w:hAnsi="Arial" w:cs="Arial"/>
          <w:sz w:val="22"/>
          <w:szCs w:val="22"/>
          <w:lang w:val="en-GB"/>
        </w:rPr>
        <w:t xml:space="preserve"> </w:t>
      </w:r>
      <w:r w:rsidR="002E1FBB" w:rsidRPr="00CC4413">
        <w:rPr>
          <w:rFonts w:ascii="Arial" w:hAnsi="Arial" w:cs="Arial"/>
          <w:sz w:val="22"/>
          <w:szCs w:val="22"/>
          <w:lang w:val="en-GB"/>
        </w:rPr>
        <w:t>in</w:t>
      </w:r>
      <w:r w:rsidR="006F29A3" w:rsidRPr="00CC4413">
        <w:rPr>
          <w:rFonts w:ascii="Arial" w:hAnsi="Arial" w:cs="Arial"/>
          <w:sz w:val="22"/>
          <w:szCs w:val="22"/>
          <w:lang w:val="en-GB"/>
        </w:rPr>
        <w:t xml:space="preserve"> a </w:t>
      </w:r>
      <w:r w:rsidR="00A601D0" w:rsidRPr="00CC4413">
        <w:rPr>
          <w:rFonts w:ascii="Arial" w:hAnsi="Arial" w:cs="Arial"/>
          <w:sz w:val="22"/>
          <w:szCs w:val="22"/>
          <w:lang w:val="en-GB"/>
        </w:rPr>
        <w:t>foreign main or non-main proceeding</w:t>
      </w:r>
      <w:r w:rsidR="00066D60" w:rsidRPr="00CC4413">
        <w:rPr>
          <w:rFonts w:ascii="Arial" w:hAnsi="Arial" w:cs="Arial"/>
          <w:sz w:val="22"/>
          <w:szCs w:val="22"/>
          <w:lang w:val="en-GB"/>
        </w:rPr>
        <w:t xml:space="preserve">, the courts should </w:t>
      </w:r>
      <w:r w:rsidR="008157E8" w:rsidRPr="00CC4413">
        <w:rPr>
          <w:rFonts w:ascii="Arial" w:hAnsi="Arial" w:cs="Arial"/>
          <w:sz w:val="22"/>
          <w:szCs w:val="22"/>
          <w:lang w:val="en-GB"/>
        </w:rPr>
        <w:t xml:space="preserve">satisfy </w:t>
      </w:r>
      <w:r w:rsidR="002E1FBB" w:rsidRPr="00CC4413">
        <w:rPr>
          <w:rFonts w:ascii="Arial" w:hAnsi="Arial" w:cs="Arial"/>
          <w:sz w:val="22"/>
          <w:szCs w:val="22"/>
          <w:lang w:val="en-GB"/>
        </w:rPr>
        <w:t>that the interests of creditors in th</w:t>
      </w:r>
      <w:r w:rsidR="003B7734" w:rsidRPr="00CC4413">
        <w:rPr>
          <w:rFonts w:ascii="Arial" w:hAnsi="Arial" w:cs="Arial"/>
          <w:sz w:val="22"/>
          <w:szCs w:val="22"/>
          <w:lang w:val="en-GB"/>
        </w:rPr>
        <w:t>e</w:t>
      </w:r>
      <w:r w:rsidR="002E1FBB" w:rsidRPr="00CC4413">
        <w:rPr>
          <w:rFonts w:ascii="Arial" w:hAnsi="Arial" w:cs="Arial"/>
          <w:sz w:val="22"/>
          <w:szCs w:val="22"/>
          <w:lang w:val="en-GB"/>
        </w:rPr>
        <w:t xml:space="preserve"> State are adequately protected</w:t>
      </w:r>
      <w:r w:rsidR="008056F1" w:rsidRPr="00CC4413">
        <w:rPr>
          <w:rFonts w:ascii="Arial" w:hAnsi="Arial" w:cs="Arial"/>
          <w:sz w:val="22"/>
          <w:szCs w:val="22"/>
          <w:lang w:val="en-GB"/>
        </w:rPr>
        <w:t xml:space="preserve">. Further, in granting relief </w:t>
      </w:r>
      <w:r w:rsidR="00DD3D7A" w:rsidRPr="00CC4413">
        <w:rPr>
          <w:rFonts w:ascii="Arial" w:hAnsi="Arial" w:cs="Arial"/>
          <w:sz w:val="22"/>
          <w:szCs w:val="22"/>
          <w:lang w:val="en-GB"/>
        </w:rPr>
        <w:t xml:space="preserve">in </w:t>
      </w:r>
      <w:r w:rsidR="008056F1" w:rsidRPr="00CC4413">
        <w:rPr>
          <w:rFonts w:ascii="Arial" w:hAnsi="Arial" w:cs="Arial"/>
          <w:sz w:val="22"/>
          <w:szCs w:val="22"/>
          <w:lang w:val="en-GB"/>
        </w:rPr>
        <w:t xml:space="preserve">a foreign non-main proceeding, the court </w:t>
      </w:r>
      <w:r w:rsidR="007C761B" w:rsidRPr="00CC4413">
        <w:rPr>
          <w:rFonts w:ascii="Arial" w:hAnsi="Arial" w:cs="Arial"/>
          <w:sz w:val="22"/>
          <w:szCs w:val="22"/>
          <w:lang w:val="en-GB"/>
        </w:rPr>
        <w:t xml:space="preserve">should </w:t>
      </w:r>
      <w:r w:rsidR="008056F1" w:rsidRPr="00CC4413">
        <w:rPr>
          <w:rFonts w:ascii="Arial" w:hAnsi="Arial" w:cs="Arial"/>
          <w:sz w:val="22"/>
          <w:szCs w:val="22"/>
          <w:lang w:val="en-GB"/>
        </w:rPr>
        <w:t>satisf</w:t>
      </w:r>
      <w:r w:rsidR="007C761B" w:rsidRPr="00CC4413">
        <w:rPr>
          <w:rFonts w:ascii="Arial" w:hAnsi="Arial" w:cs="Arial"/>
          <w:sz w:val="22"/>
          <w:szCs w:val="22"/>
          <w:lang w:val="en-GB"/>
        </w:rPr>
        <w:t>y</w:t>
      </w:r>
      <w:r w:rsidR="008056F1" w:rsidRPr="00CC4413">
        <w:rPr>
          <w:rFonts w:ascii="Arial" w:hAnsi="Arial" w:cs="Arial"/>
          <w:sz w:val="22"/>
          <w:szCs w:val="22"/>
          <w:lang w:val="en-GB"/>
        </w:rPr>
        <w:t xml:space="preserve"> that the relief relates to assets that, under the law of th</w:t>
      </w:r>
      <w:r w:rsidR="007C761B" w:rsidRPr="00CC4413">
        <w:rPr>
          <w:rFonts w:ascii="Arial" w:hAnsi="Arial" w:cs="Arial"/>
          <w:sz w:val="22"/>
          <w:szCs w:val="22"/>
          <w:lang w:val="en-GB"/>
        </w:rPr>
        <w:t>e</w:t>
      </w:r>
      <w:r w:rsidR="008056F1" w:rsidRPr="00CC4413">
        <w:rPr>
          <w:rFonts w:ascii="Arial" w:hAnsi="Arial" w:cs="Arial"/>
          <w:sz w:val="22"/>
          <w:szCs w:val="22"/>
          <w:lang w:val="en-GB"/>
        </w:rPr>
        <w:t xml:space="preserve"> State, should be administered in the</w:t>
      </w:r>
      <w:r w:rsidR="007C761B" w:rsidRPr="00CC4413">
        <w:rPr>
          <w:rFonts w:ascii="Arial" w:hAnsi="Arial" w:cs="Arial"/>
          <w:sz w:val="22"/>
          <w:szCs w:val="22"/>
          <w:lang w:val="en-GB"/>
        </w:rPr>
        <w:t xml:space="preserve"> </w:t>
      </w:r>
      <w:r w:rsidR="008056F1" w:rsidRPr="00CC4413">
        <w:rPr>
          <w:rFonts w:ascii="Arial" w:hAnsi="Arial" w:cs="Arial"/>
          <w:sz w:val="22"/>
          <w:szCs w:val="22"/>
          <w:lang w:val="en-GB"/>
        </w:rPr>
        <w:t>foreign non-main proceeding or concerns information required in that</w:t>
      </w:r>
      <w:r w:rsidR="007C761B" w:rsidRPr="00CC4413">
        <w:rPr>
          <w:rFonts w:ascii="Arial" w:hAnsi="Arial" w:cs="Arial"/>
          <w:sz w:val="22"/>
          <w:szCs w:val="22"/>
          <w:lang w:val="en-GB"/>
        </w:rPr>
        <w:t xml:space="preserve"> </w:t>
      </w:r>
      <w:r w:rsidR="008056F1" w:rsidRPr="00CC4413">
        <w:rPr>
          <w:rFonts w:ascii="Arial" w:hAnsi="Arial" w:cs="Arial"/>
          <w:sz w:val="22"/>
          <w:szCs w:val="22"/>
          <w:lang w:val="en-GB"/>
        </w:rPr>
        <w:t>proceeding</w:t>
      </w:r>
      <w:r w:rsidR="00C6411D" w:rsidRPr="00CC4413">
        <w:rPr>
          <w:rFonts w:ascii="Arial" w:hAnsi="Arial" w:cs="Arial"/>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2E736D" w:rsidRDefault="00100E8F" w:rsidP="00100E8F">
      <w:pPr>
        <w:jc w:val="both"/>
        <w:rPr>
          <w:rFonts w:ascii="Avenir Next" w:hAnsi="Avenir Next" w:cs="Arial"/>
          <w:sz w:val="22"/>
          <w:szCs w:val="28"/>
          <w:lang w:val="en-GB"/>
        </w:rPr>
      </w:pPr>
    </w:p>
    <w:p w14:paraId="741D1873" w14:textId="4D881337" w:rsidR="00867A8F" w:rsidRPr="00CC4413" w:rsidRDefault="007B768B" w:rsidP="002E736D">
      <w:pPr>
        <w:jc w:val="both"/>
        <w:rPr>
          <w:rFonts w:ascii="Arial" w:hAnsi="Arial" w:cs="Arial"/>
          <w:sz w:val="22"/>
          <w:szCs w:val="22"/>
          <w:lang w:val="en-GB"/>
        </w:rPr>
      </w:pPr>
      <w:r w:rsidRPr="00CC4413">
        <w:rPr>
          <w:rFonts w:ascii="Arial" w:hAnsi="Arial" w:cs="Arial"/>
          <w:sz w:val="22"/>
          <w:szCs w:val="22"/>
          <w:lang w:val="en-GB"/>
        </w:rPr>
        <w:t xml:space="preserve">Under Article 13 of the MLCBI, </w:t>
      </w:r>
      <w:r w:rsidR="004B0B9F" w:rsidRPr="00CC4413">
        <w:rPr>
          <w:rFonts w:ascii="Arial" w:hAnsi="Arial" w:cs="Arial"/>
          <w:sz w:val="22"/>
          <w:szCs w:val="22"/>
          <w:lang w:val="en-GB"/>
        </w:rPr>
        <w:t xml:space="preserve">foreign </w:t>
      </w:r>
      <w:r w:rsidRPr="00CC4413">
        <w:rPr>
          <w:rFonts w:ascii="Arial" w:hAnsi="Arial" w:cs="Arial"/>
          <w:sz w:val="22"/>
          <w:szCs w:val="22"/>
          <w:lang w:val="en-GB"/>
        </w:rPr>
        <w:t xml:space="preserve">creditors are granted the same </w:t>
      </w:r>
      <w:r w:rsidR="004B0B9F" w:rsidRPr="00CC4413">
        <w:rPr>
          <w:rFonts w:ascii="Arial" w:hAnsi="Arial" w:cs="Arial"/>
          <w:sz w:val="22"/>
          <w:szCs w:val="22"/>
          <w:lang w:val="en-GB"/>
        </w:rPr>
        <w:t>rights as the local creditors</w:t>
      </w:r>
      <w:r w:rsidR="002E736D" w:rsidRPr="00CC4413">
        <w:rPr>
          <w:rFonts w:ascii="Arial" w:hAnsi="Arial" w:cs="Arial"/>
          <w:sz w:val="22"/>
          <w:szCs w:val="22"/>
          <w:lang w:val="en-GB"/>
        </w:rPr>
        <w:t xml:space="preserve"> in relation to commencement and participating </w:t>
      </w:r>
      <w:r w:rsidR="00E00411" w:rsidRPr="00CC4413">
        <w:rPr>
          <w:rFonts w:ascii="Arial" w:hAnsi="Arial" w:cs="Arial"/>
          <w:sz w:val="22"/>
          <w:szCs w:val="22"/>
          <w:lang w:val="en-GB"/>
        </w:rPr>
        <w:t>in an insolvency proceeding.</w:t>
      </w:r>
      <w:r w:rsidR="00D03919" w:rsidRPr="00CC4413">
        <w:rPr>
          <w:rFonts w:ascii="Arial" w:hAnsi="Arial" w:cs="Arial"/>
          <w:sz w:val="22"/>
          <w:szCs w:val="22"/>
          <w:lang w:val="en-GB"/>
        </w:rPr>
        <w:t xml:space="preserve"> This </w:t>
      </w:r>
      <w:r w:rsidR="009C1DAC" w:rsidRPr="00CC4413">
        <w:rPr>
          <w:rFonts w:ascii="Arial" w:hAnsi="Arial" w:cs="Arial"/>
          <w:sz w:val="22"/>
          <w:szCs w:val="22"/>
          <w:lang w:val="en-GB"/>
        </w:rPr>
        <w:t xml:space="preserve">does not affect the </w:t>
      </w:r>
      <w:r w:rsidR="008026BF" w:rsidRPr="00CC4413">
        <w:rPr>
          <w:rFonts w:ascii="Arial" w:hAnsi="Arial" w:cs="Arial"/>
          <w:sz w:val="22"/>
          <w:szCs w:val="22"/>
          <w:lang w:val="en-GB"/>
        </w:rPr>
        <w:t xml:space="preserve"> </w:t>
      </w:r>
      <w:r w:rsidR="00817D1F" w:rsidRPr="00CC4413">
        <w:rPr>
          <w:rFonts w:ascii="Arial" w:hAnsi="Arial" w:cs="Arial"/>
          <w:sz w:val="22"/>
          <w:szCs w:val="22"/>
          <w:lang w:val="en-GB"/>
        </w:rPr>
        <w:t xml:space="preserve">ranking </w:t>
      </w:r>
      <w:r w:rsidR="00C442C3" w:rsidRPr="00CC4413">
        <w:rPr>
          <w:rFonts w:ascii="Arial" w:hAnsi="Arial" w:cs="Arial"/>
          <w:sz w:val="22"/>
          <w:szCs w:val="22"/>
          <w:lang w:val="en-GB"/>
        </w:rPr>
        <w:t xml:space="preserve">of the claims in the proceedings, </w:t>
      </w:r>
      <w:r w:rsidR="00B52EA2" w:rsidRPr="00CC4413">
        <w:rPr>
          <w:rFonts w:ascii="Arial" w:hAnsi="Arial" w:cs="Arial"/>
          <w:sz w:val="22"/>
          <w:szCs w:val="22"/>
          <w:lang w:val="en-GB"/>
        </w:rPr>
        <w:t>and t</w:t>
      </w:r>
      <w:r w:rsidR="008026BF" w:rsidRPr="00CC4413">
        <w:rPr>
          <w:rFonts w:ascii="Arial" w:hAnsi="Arial" w:cs="Arial"/>
          <w:sz w:val="22"/>
          <w:szCs w:val="22"/>
          <w:lang w:val="en-GB"/>
        </w:rPr>
        <w:t xml:space="preserve">he </w:t>
      </w:r>
      <w:r w:rsidR="00B52EA2" w:rsidRPr="00CC4413">
        <w:rPr>
          <w:rFonts w:ascii="Arial" w:hAnsi="Arial" w:cs="Arial"/>
          <w:sz w:val="22"/>
          <w:szCs w:val="22"/>
          <w:lang w:val="en-GB"/>
        </w:rPr>
        <w:t xml:space="preserve">claims of </w:t>
      </w:r>
      <w:r w:rsidR="008026BF" w:rsidRPr="00CC4413">
        <w:rPr>
          <w:rFonts w:ascii="Arial" w:hAnsi="Arial" w:cs="Arial"/>
          <w:sz w:val="22"/>
          <w:szCs w:val="22"/>
          <w:lang w:val="en-GB"/>
        </w:rPr>
        <w:t xml:space="preserve">foreign </w:t>
      </w:r>
      <w:r w:rsidR="00B52EA2" w:rsidRPr="00CC4413">
        <w:rPr>
          <w:rFonts w:ascii="Arial" w:hAnsi="Arial" w:cs="Arial"/>
          <w:sz w:val="22"/>
          <w:szCs w:val="22"/>
          <w:lang w:val="en-GB"/>
        </w:rPr>
        <w:t xml:space="preserve">creditors </w:t>
      </w:r>
      <w:r w:rsidR="009D53FE" w:rsidRPr="00CC4413">
        <w:rPr>
          <w:rFonts w:ascii="Arial" w:hAnsi="Arial" w:cs="Arial"/>
          <w:sz w:val="22"/>
          <w:szCs w:val="22"/>
          <w:lang w:val="en-GB"/>
        </w:rPr>
        <w:t>cannot be ranked lower than local cre</w:t>
      </w:r>
      <w:r w:rsidR="00D37F73" w:rsidRPr="00CC4413">
        <w:rPr>
          <w:rFonts w:ascii="Arial" w:hAnsi="Arial" w:cs="Arial"/>
          <w:sz w:val="22"/>
          <w:szCs w:val="22"/>
          <w:lang w:val="en-GB"/>
        </w:rPr>
        <w:t>ditors of the same class only because the claim is of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4950F93" w:rsidR="00867A8F" w:rsidRPr="00CC4413" w:rsidRDefault="00EE1B20" w:rsidP="009F1C3A">
      <w:pPr>
        <w:jc w:val="both"/>
        <w:rPr>
          <w:rFonts w:ascii="Arial" w:hAnsi="Arial" w:cs="Arial"/>
          <w:sz w:val="22"/>
          <w:szCs w:val="22"/>
          <w:lang w:val="en-GB"/>
        </w:rPr>
      </w:pPr>
      <w:r w:rsidRPr="00CC4413">
        <w:rPr>
          <w:rFonts w:ascii="Arial" w:hAnsi="Arial" w:cs="Arial"/>
          <w:sz w:val="22"/>
          <w:szCs w:val="22"/>
          <w:lang w:val="en-GB"/>
        </w:rPr>
        <w:t xml:space="preserve">Foreign main proceedings are proceedings carried out in a place where the </w:t>
      </w:r>
      <w:r w:rsidR="009F1C3A" w:rsidRPr="00CC4413">
        <w:rPr>
          <w:rFonts w:ascii="Arial" w:hAnsi="Arial" w:cs="Arial"/>
          <w:sz w:val="22"/>
          <w:szCs w:val="22"/>
          <w:lang w:val="en-GB"/>
        </w:rPr>
        <w:t xml:space="preserve">“centre of main interest” of a debtor is located, </w:t>
      </w:r>
      <w:proofErr w:type="gramStart"/>
      <w:r w:rsidR="009F1C3A" w:rsidRPr="00CC4413">
        <w:rPr>
          <w:rFonts w:ascii="Arial" w:hAnsi="Arial" w:cs="Arial"/>
          <w:sz w:val="22"/>
          <w:szCs w:val="22"/>
          <w:lang w:val="en-GB"/>
        </w:rPr>
        <w:t>whereas,</w:t>
      </w:r>
      <w:proofErr w:type="gramEnd"/>
      <w:r w:rsidR="009F1C3A" w:rsidRPr="00CC4413">
        <w:rPr>
          <w:rFonts w:ascii="Arial" w:hAnsi="Arial" w:cs="Arial"/>
          <w:sz w:val="22"/>
          <w:szCs w:val="22"/>
          <w:lang w:val="en-GB"/>
        </w:rPr>
        <w:t xml:space="preserve"> </w:t>
      </w:r>
      <w:r w:rsidR="00A93231" w:rsidRPr="00CC4413">
        <w:rPr>
          <w:rFonts w:ascii="Arial" w:hAnsi="Arial" w:cs="Arial"/>
          <w:sz w:val="22"/>
          <w:szCs w:val="22"/>
          <w:lang w:val="en-GB"/>
        </w:rPr>
        <w:t xml:space="preserve">foreign non-main proceedings </w:t>
      </w:r>
      <w:r w:rsidR="00865664" w:rsidRPr="00CC4413">
        <w:rPr>
          <w:rFonts w:ascii="Arial" w:hAnsi="Arial" w:cs="Arial"/>
          <w:sz w:val="22"/>
          <w:szCs w:val="22"/>
          <w:lang w:val="en-GB"/>
        </w:rPr>
        <w:t xml:space="preserve">are proceedings in a place where </w:t>
      </w:r>
      <w:r w:rsidR="00DF7E50" w:rsidRPr="00CC4413">
        <w:rPr>
          <w:rFonts w:ascii="Arial" w:hAnsi="Arial" w:cs="Arial"/>
          <w:sz w:val="22"/>
          <w:szCs w:val="22"/>
          <w:lang w:val="en-GB"/>
        </w:rPr>
        <w:t>a debtor carrie</w:t>
      </w:r>
      <w:r w:rsidR="00B112A2" w:rsidRPr="00CC4413">
        <w:rPr>
          <w:rFonts w:ascii="Arial" w:hAnsi="Arial" w:cs="Arial"/>
          <w:sz w:val="22"/>
          <w:szCs w:val="22"/>
          <w:lang w:val="en-GB"/>
        </w:rPr>
        <w:t>s</w:t>
      </w:r>
      <w:r w:rsidR="00DF7E50" w:rsidRPr="00CC4413">
        <w:rPr>
          <w:rFonts w:ascii="Arial" w:hAnsi="Arial" w:cs="Arial"/>
          <w:sz w:val="22"/>
          <w:szCs w:val="22"/>
          <w:lang w:val="en-GB"/>
        </w:rPr>
        <w:t xml:space="preserve"> our non</w:t>
      </w:r>
      <w:r w:rsidR="00B6210F" w:rsidRPr="00CC4413">
        <w:rPr>
          <w:rFonts w:ascii="Arial" w:hAnsi="Arial" w:cs="Arial"/>
          <w:sz w:val="22"/>
          <w:szCs w:val="22"/>
          <w:lang w:val="en-GB"/>
        </w:rPr>
        <w:t xml:space="preserve">-transitory </w:t>
      </w:r>
      <w:r w:rsidR="00B112A2" w:rsidRPr="00CC4413">
        <w:rPr>
          <w:rFonts w:ascii="Arial" w:hAnsi="Arial" w:cs="Arial"/>
          <w:sz w:val="22"/>
          <w:szCs w:val="22"/>
          <w:lang w:val="en-GB"/>
        </w:rPr>
        <w:t>economic activity</w:t>
      </w:r>
      <w:r w:rsidR="007D0C0B" w:rsidRPr="00CC4413">
        <w:rPr>
          <w:rFonts w:ascii="Arial" w:hAnsi="Arial" w:cs="Arial"/>
          <w:sz w:val="22"/>
          <w:szCs w:val="22"/>
          <w:lang w:val="en-GB"/>
        </w:rPr>
        <w:t xml:space="preserve"> with human means, and goods or services.</w:t>
      </w:r>
    </w:p>
    <w:p w14:paraId="4127391E" w14:textId="77777777" w:rsidR="00100E8F" w:rsidRPr="00CC4413" w:rsidRDefault="00100E8F" w:rsidP="00CC4413">
      <w:pPr>
        <w:jc w:val="both"/>
        <w:rPr>
          <w:rFonts w:ascii="Arial" w:hAnsi="Arial" w:cs="Arial"/>
          <w:sz w:val="22"/>
          <w:szCs w:val="22"/>
          <w:lang w:val="en-GB"/>
        </w:rPr>
      </w:pPr>
    </w:p>
    <w:p w14:paraId="72D3A3FD" w14:textId="0248846B" w:rsidR="005911CC" w:rsidRPr="000D5DB8" w:rsidRDefault="000D5DB8" w:rsidP="000D5DB8">
      <w:pPr>
        <w:jc w:val="both"/>
        <w:rPr>
          <w:rFonts w:ascii="Arial" w:hAnsi="Arial" w:cs="Arial"/>
          <w:sz w:val="22"/>
          <w:szCs w:val="22"/>
          <w:lang w:val="en-GB"/>
        </w:rPr>
      </w:pPr>
      <w:r w:rsidRPr="000D5DB8">
        <w:rPr>
          <w:rFonts w:ascii="Arial" w:hAnsi="Arial" w:cs="Arial"/>
          <w:sz w:val="22"/>
          <w:szCs w:val="22"/>
          <w:lang w:val="en-GB"/>
        </w:rPr>
        <w:t>On</w:t>
      </w:r>
      <w:r w:rsidR="00FE3100">
        <w:rPr>
          <w:rFonts w:ascii="Arial" w:hAnsi="Arial" w:cs="Arial"/>
          <w:sz w:val="22"/>
          <w:szCs w:val="22"/>
          <w:lang w:val="en-GB"/>
        </w:rPr>
        <w:t xml:space="preserve">e of the key </w:t>
      </w:r>
      <w:proofErr w:type="gramStart"/>
      <w:r w:rsidR="00FE3100">
        <w:rPr>
          <w:rFonts w:ascii="Arial" w:hAnsi="Arial" w:cs="Arial"/>
          <w:sz w:val="22"/>
          <w:szCs w:val="22"/>
          <w:lang w:val="en-GB"/>
        </w:rPr>
        <w:t>distinction</w:t>
      </w:r>
      <w:proofErr w:type="gramEnd"/>
      <w:r w:rsidR="00FE3100">
        <w:rPr>
          <w:rFonts w:ascii="Arial" w:hAnsi="Arial" w:cs="Arial"/>
          <w:sz w:val="22"/>
          <w:szCs w:val="22"/>
          <w:lang w:val="en-GB"/>
        </w:rPr>
        <w:t xml:space="preserve"> is that </w:t>
      </w:r>
      <w:r w:rsidR="00A40DDF">
        <w:rPr>
          <w:rFonts w:ascii="Arial" w:hAnsi="Arial" w:cs="Arial"/>
          <w:sz w:val="22"/>
          <w:szCs w:val="22"/>
          <w:lang w:val="en-GB"/>
        </w:rPr>
        <w:t>is that foreign main proceedings qualify for automatic reliefs</w:t>
      </w:r>
      <w:r w:rsidR="00B853AA">
        <w:rPr>
          <w:rFonts w:ascii="Arial" w:hAnsi="Arial" w:cs="Arial"/>
          <w:sz w:val="22"/>
          <w:szCs w:val="22"/>
          <w:lang w:val="en-GB"/>
        </w:rPr>
        <w:t xml:space="preserve">, whereas </w:t>
      </w:r>
      <w:r w:rsidR="00AE6FA5">
        <w:rPr>
          <w:rFonts w:ascii="Arial" w:hAnsi="Arial" w:cs="Arial"/>
          <w:sz w:val="22"/>
          <w:szCs w:val="22"/>
          <w:lang w:val="en-GB"/>
        </w:rPr>
        <w:t>the foreign non-main proceedings do not.</w:t>
      </w:r>
      <w:r w:rsidR="00F76499">
        <w:rPr>
          <w:rFonts w:ascii="Arial" w:hAnsi="Arial" w:cs="Arial"/>
          <w:sz w:val="22"/>
          <w:szCs w:val="22"/>
          <w:lang w:val="en-GB"/>
        </w:rPr>
        <w:t xml:space="preserve"> In Re: Zetta Jet Pte Ltd &amp; </w:t>
      </w:r>
      <w:proofErr w:type="spellStart"/>
      <w:r w:rsidR="00F76499">
        <w:rPr>
          <w:rFonts w:ascii="Arial" w:hAnsi="Arial" w:cs="Arial"/>
          <w:sz w:val="22"/>
          <w:szCs w:val="22"/>
          <w:lang w:val="en-GB"/>
        </w:rPr>
        <w:t>Ors</w:t>
      </w:r>
      <w:proofErr w:type="spellEnd"/>
      <w:r w:rsidR="00F76499">
        <w:rPr>
          <w:rFonts w:ascii="Arial" w:hAnsi="Arial" w:cs="Arial"/>
          <w:sz w:val="22"/>
          <w:szCs w:val="22"/>
          <w:lang w:val="en-GB"/>
        </w:rPr>
        <w:t xml:space="preserve"> </w:t>
      </w:r>
      <w:r w:rsidR="009F6C0A">
        <w:rPr>
          <w:rFonts w:ascii="Arial" w:hAnsi="Arial" w:cs="Arial"/>
          <w:sz w:val="22"/>
          <w:szCs w:val="22"/>
          <w:lang w:val="en-GB"/>
        </w:rPr>
        <w:t>(Asia Aviation Holdings Pte Ltd, intervener), the Singapore High Court had to determine the question of the COMI of Singapore-</w:t>
      </w:r>
      <w:r w:rsidR="00FF4F7F">
        <w:rPr>
          <w:rFonts w:ascii="Arial" w:hAnsi="Arial" w:cs="Arial"/>
          <w:sz w:val="22"/>
          <w:szCs w:val="22"/>
          <w:lang w:val="en-GB"/>
        </w:rPr>
        <w:t>incorporated Zetta Jet Pte Ltd.</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D83E20" w14:textId="76B18616" w:rsidR="00EA6D31" w:rsidRDefault="008C3DA8" w:rsidP="00B617AB">
      <w:pPr>
        <w:jc w:val="both"/>
        <w:rPr>
          <w:rFonts w:ascii="Arial" w:hAnsi="Arial" w:cs="Arial"/>
          <w:sz w:val="22"/>
          <w:szCs w:val="22"/>
          <w:lang w:val="en-GB"/>
        </w:rPr>
      </w:pPr>
      <w:r w:rsidRPr="00CC4413">
        <w:rPr>
          <w:rFonts w:ascii="Arial" w:hAnsi="Arial" w:cs="Arial"/>
          <w:sz w:val="22"/>
          <w:szCs w:val="22"/>
          <w:lang w:val="en-GB"/>
        </w:rPr>
        <w:t xml:space="preserve">The basis of commencing </w:t>
      </w:r>
      <w:r w:rsidR="00766248" w:rsidRPr="00CC4413">
        <w:rPr>
          <w:rFonts w:ascii="Arial" w:hAnsi="Arial" w:cs="Arial"/>
          <w:sz w:val="22"/>
          <w:szCs w:val="22"/>
          <w:lang w:val="en-GB"/>
        </w:rPr>
        <w:t xml:space="preserve">foreign proceedings is that the debtor must have </w:t>
      </w:r>
      <w:r w:rsidR="00B617AB" w:rsidRPr="00CC4413">
        <w:rPr>
          <w:rFonts w:ascii="Arial" w:hAnsi="Arial" w:cs="Arial"/>
          <w:sz w:val="22"/>
          <w:szCs w:val="22"/>
          <w:lang w:val="en-GB"/>
        </w:rPr>
        <w:t xml:space="preserve">either </w:t>
      </w:r>
      <w:r w:rsidR="007B07DD" w:rsidRPr="00CC4413">
        <w:rPr>
          <w:rFonts w:ascii="Arial" w:hAnsi="Arial" w:cs="Arial"/>
          <w:sz w:val="22"/>
          <w:szCs w:val="22"/>
          <w:lang w:val="en-GB"/>
        </w:rPr>
        <w:t xml:space="preserve">its </w:t>
      </w:r>
      <w:r w:rsidR="00B617AB" w:rsidRPr="00CC4413">
        <w:rPr>
          <w:rFonts w:ascii="Arial" w:hAnsi="Arial" w:cs="Arial"/>
          <w:sz w:val="22"/>
          <w:szCs w:val="22"/>
          <w:lang w:val="en-GB"/>
        </w:rPr>
        <w:t xml:space="preserve">COMI </w:t>
      </w:r>
      <w:r w:rsidR="007B07DD" w:rsidRPr="00CC4413">
        <w:rPr>
          <w:rFonts w:ascii="Arial" w:hAnsi="Arial" w:cs="Arial"/>
          <w:sz w:val="22"/>
          <w:szCs w:val="22"/>
          <w:lang w:val="en-GB"/>
        </w:rPr>
        <w:t xml:space="preserve">or at least </w:t>
      </w:r>
      <w:r w:rsidR="00B617AB" w:rsidRPr="00CC4413">
        <w:rPr>
          <w:rFonts w:ascii="Arial" w:hAnsi="Arial" w:cs="Arial"/>
          <w:sz w:val="22"/>
          <w:szCs w:val="22"/>
          <w:lang w:val="en-GB"/>
        </w:rPr>
        <w:t>an establishment in the State.</w:t>
      </w:r>
      <w:r w:rsidR="007E2F41" w:rsidRPr="00CC4413">
        <w:rPr>
          <w:rFonts w:ascii="Arial" w:hAnsi="Arial" w:cs="Arial"/>
          <w:sz w:val="22"/>
          <w:szCs w:val="22"/>
          <w:lang w:val="en-GB"/>
        </w:rPr>
        <w:t xml:space="preserve"> If the debtor has COMI in Germany and an establishment in Bermuda, the creditor can commence </w:t>
      </w:r>
      <w:r w:rsidR="002D3F17" w:rsidRPr="00CC4413">
        <w:rPr>
          <w:rFonts w:ascii="Arial" w:hAnsi="Arial" w:cs="Arial"/>
          <w:sz w:val="22"/>
          <w:szCs w:val="22"/>
          <w:lang w:val="en-GB"/>
        </w:rPr>
        <w:t xml:space="preserve">foreign proceedings in </w:t>
      </w:r>
      <w:r w:rsidR="00905C08" w:rsidRPr="00CC4413">
        <w:rPr>
          <w:rFonts w:ascii="Arial" w:hAnsi="Arial" w:cs="Arial"/>
          <w:sz w:val="22"/>
          <w:szCs w:val="22"/>
          <w:lang w:val="en-GB"/>
        </w:rPr>
        <w:t>either of these jurisdictions</w:t>
      </w:r>
      <w:r w:rsidR="00E2240D">
        <w:rPr>
          <w:rFonts w:ascii="Arial" w:hAnsi="Arial" w:cs="Arial"/>
          <w:sz w:val="22"/>
          <w:szCs w:val="22"/>
          <w:lang w:val="en-GB"/>
        </w:rPr>
        <w:t>.</w:t>
      </w:r>
    </w:p>
    <w:p w14:paraId="07BBD34D" w14:textId="77777777" w:rsidR="00681440" w:rsidRDefault="00681440" w:rsidP="00B617AB">
      <w:pPr>
        <w:jc w:val="both"/>
        <w:rPr>
          <w:rFonts w:ascii="Arial" w:hAnsi="Arial" w:cs="Arial"/>
          <w:sz w:val="22"/>
          <w:szCs w:val="22"/>
          <w:lang w:val="en-GB"/>
        </w:rPr>
      </w:pPr>
    </w:p>
    <w:p w14:paraId="3947BE46" w14:textId="77777777" w:rsidR="00681440" w:rsidRPr="00CC4413" w:rsidRDefault="00681440" w:rsidP="00B617AB">
      <w:pPr>
        <w:jc w:val="both"/>
        <w:rPr>
          <w:rFonts w:ascii="Arial" w:hAnsi="Arial" w:cs="Arial"/>
          <w:sz w:val="22"/>
          <w:szCs w:val="22"/>
          <w:lang w:val="en-GB"/>
        </w:rPr>
      </w:pPr>
    </w:p>
    <w:p w14:paraId="2EABEE18" w14:textId="77777777" w:rsidR="008D5FF1" w:rsidRPr="00E2622D" w:rsidRDefault="008D5FF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C51E435" w14:textId="54557C1A" w:rsidR="007F6755" w:rsidRPr="00CC4413" w:rsidRDefault="008E59AA" w:rsidP="003B3856">
      <w:pPr>
        <w:jc w:val="both"/>
        <w:rPr>
          <w:rFonts w:ascii="Arial" w:hAnsi="Arial" w:cs="Arial"/>
          <w:sz w:val="22"/>
          <w:szCs w:val="22"/>
          <w:lang w:val="en-GB"/>
        </w:rPr>
      </w:pPr>
      <w:r w:rsidRPr="00CC4413">
        <w:rPr>
          <w:rFonts w:ascii="Arial" w:hAnsi="Arial" w:cs="Arial"/>
          <w:sz w:val="22"/>
          <w:szCs w:val="22"/>
          <w:lang w:val="en-GB"/>
        </w:rPr>
        <w:t>To commence a recognition proceedings, t</w:t>
      </w:r>
      <w:r w:rsidR="00DC5F2C" w:rsidRPr="00CC4413">
        <w:rPr>
          <w:rFonts w:ascii="Arial" w:hAnsi="Arial" w:cs="Arial"/>
          <w:sz w:val="22"/>
          <w:szCs w:val="22"/>
          <w:lang w:val="en-GB"/>
        </w:rPr>
        <w:t>he joint provisional liquidators</w:t>
      </w:r>
      <w:r w:rsidR="00A56FCF" w:rsidRPr="00CC4413">
        <w:rPr>
          <w:rFonts w:ascii="Arial" w:hAnsi="Arial" w:cs="Arial"/>
          <w:sz w:val="22"/>
          <w:szCs w:val="22"/>
          <w:lang w:val="en-GB"/>
        </w:rPr>
        <w:t xml:space="preserve"> </w:t>
      </w:r>
      <w:r w:rsidR="00490C7A" w:rsidRPr="00CC4413">
        <w:rPr>
          <w:rFonts w:ascii="Arial" w:hAnsi="Arial" w:cs="Arial"/>
          <w:sz w:val="22"/>
          <w:szCs w:val="22"/>
          <w:lang w:val="en-GB"/>
        </w:rPr>
        <w:t xml:space="preserve">need to submit </w:t>
      </w:r>
      <w:r w:rsidR="003E6CB6" w:rsidRPr="00CC4413">
        <w:rPr>
          <w:rFonts w:ascii="Arial" w:hAnsi="Arial" w:cs="Arial"/>
          <w:sz w:val="22"/>
          <w:szCs w:val="22"/>
          <w:lang w:val="en-GB"/>
        </w:rPr>
        <w:t xml:space="preserve">at least </w:t>
      </w:r>
      <w:r w:rsidR="000B5DDB" w:rsidRPr="00CC4413">
        <w:rPr>
          <w:rFonts w:ascii="Arial" w:hAnsi="Arial" w:cs="Arial"/>
          <w:sz w:val="22"/>
          <w:szCs w:val="22"/>
          <w:lang w:val="en-GB"/>
        </w:rPr>
        <w:t xml:space="preserve">a) </w:t>
      </w:r>
      <w:r w:rsidR="003B3856" w:rsidRPr="00CC4413">
        <w:rPr>
          <w:rFonts w:ascii="Arial" w:hAnsi="Arial" w:cs="Arial"/>
          <w:sz w:val="22"/>
          <w:szCs w:val="22"/>
          <w:lang w:val="en-GB"/>
        </w:rPr>
        <w:t>certified copy of the decision commencing the foreign proceeding and appointing the foreign representative; or (b) A certificate from the foreign court affirming the existence of the foreign proceeding and of the appointment of the foreign representative; or (c) In the absence of evidence referred to in subparagraphs (a) and (b), any other evidence acceptable to the court of the existence of the foreign proceeding and of the appointment of the foreign representative</w:t>
      </w:r>
      <w:r w:rsidR="00A94CE5" w:rsidRPr="00CC4413">
        <w:rPr>
          <w:rFonts w:ascii="Arial" w:hAnsi="Arial" w:cs="Arial"/>
          <w:sz w:val="22"/>
          <w:szCs w:val="22"/>
          <w:lang w:val="en-GB"/>
        </w:rPr>
        <w:t xml:space="preserve">. </w:t>
      </w:r>
    </w:p>
    <w:p w14:paraId="7E74A6FC" w14:textId="77777777" w:rsidR="00FC33DB" w:rsidRPr="00CC4413" w:rsidRDefault="00FC33DB" w:rsidP="003B3856">
      <w:pPr>
        <w:jc w:val="both"/>
        <w:rPr>
          <w:rFonts w:ascii="Arial" w:hAnsi="Arial" w:cs="Arial"/>
          <w:sz w:val="22"/>
          <w:szCs w:val="22"/>
          <w:lang w:val="en-GB"/>
        </w:rPr>
      </w:pPr>
    </w:p>
    <w:p w14:paraId="44F923CB" w14:textId="5450A1AE" w:rsidR="00FC33DB" w:rsidRPr="00CC4413" w:rsidRDefault="00FC33DB" w:rsidP="003B3856">
      <w:pPr>
        <w:jc w:val="both"/>
        <w:rPr>
          <w:rFonts w:ascii="Arial" w:hAnsi="Arial" w:cs="Arial"/>
          <w:sz w:val="22"/>
          <w:szCs w:val="22"/>
          <w:lang w:val="en-GB"/>
        </w:rPr>
      </w:pPr>
      <w:r w:rsidRPr="00CC4413">
        <w:rPr>
          <w:rFonts w:ascii="Arial" w:hAnsi="Arial" w:cs="Arial"/>
          <w:sz w:val="22"/>
          <w:szCs w:val="22"/>
          <w:lang w:val="en-GB"/>
        </w:rPr>
        <w:t>On the assumption that the</w:t>
      </w:r>
      <w:r w:rsidR="005B437C" w:rsidRPr="00CC4413">
        <w:rPr>
          <w:rFonts w:ascii="Arial" w:hAnsi="Arial" w:cs="Arial"/>
          <w:sz w:val="22"/>
          <w:szCs w:val="22"/>
          <w:lang w:val="en-GB"/>
        </w:rPr>
        <w:t xml:space="preserve"> requirements for recognition of foreign proceedings are met, </w:t>
      </w:r>
      <w:r w:rsidR="00A11F2E" w:rsidRPr="00CC4413">
        <w:rPr>
          <w:rFonts w:ascii="Arial" w:hAnsi="Arial" w:cs="Arial"/>
          <w:sz w:val="22"/>
          <w:szCs w:val="22"/>
          <w:lang w:val="en-GB"/>
        </w:rPr>
        <w:t xml:space="preserve">the </w:t>
      </w:r>
      <w:r w:rsidR="009C176A" w:rsidRPr="00CC4413">
        <w:rPr>
          <w:rFonts w:ascii="Arial" w:hAnsi="Arial" w:cs="Arial"/>
          <w:sz w:val="22"/>
          <w:szCs w:val="22"/>
          <w:lang w:val="en-GB"/>
        </w:rPr>
        <w:t xml:space="preserve">application for recognition of foreign proceedings must be heard at the earlier. </w:t>
      </w:r>
    </w:p>
    <w:p w14:paraId="0B4445F3" w14:textId="77777777" w:rsidR="005D1B94" w:rsidRPr="00CC4413" w:rsidRDefault="005D1B94" w:rsidP="007600EE">
      <w:pPr>
        <w:jc w:val="both"/>
        <w:rPr>
          <w:rFonts w:ascii="Arial" w:hAnsi="Arial" w:cs="Arial"/>
          <w:sz w:val="22"/>
          <w:szCs w:val="22"/>
          <w:lang w:val="en-GB"/>
        </w:rPr>
      </w:pPr>
    </w:p>
    <w:p w14:paraId="3937CDFF" w14:textId="5993EC2A" w:rsidR="00867A8F" w:rsidRPr="00CC4413" w:rsidRDefault="008A3C0D" w:rsidP="007600EE">
      <w:pPr>
        <w:jc w:val="both"/>
        <w:rPr>
          <w:rFonts w:ascii="Arial" w:hAnsi="Arial" w:cs="Arial"/>
          <w:sz w:val="22"/>
          <w:szCs w:val="22"/>
          <w:lang w:val="en-GB"/>
        </w:rPr>
      </w:pPr>
      <w:r w:rsidRPr="00CC4413">
        <w:rPr>
          <w:rFonts w:ascii="Arial" w:hAnsi="Arial" w:cs="Arial"/>
          <w:sz w:val="22"/>
          <w:szCs w:val="22"/>
          <w:lang w:val="en-GB"/>
        </w:rPr>
        <w:t xml:space="preserve">The onus of </w:t>
      </w:r>
      <w:r w:rsidR="00945154" w:rsidRPr="00CC4413">
        <w:rPr>
          <w:rFonts w:ascii="Arial" w:hAnsi="Arial" w:cs="Arial"/>
          <w:sz w:val="22"/>
          <w:szCs w:val="22"/>
          <w:lang w:val="en-GB"/>
        </w:rPr>
        <w:t xml:space="preserve">establishing the grounds </w:t>
      </w:r>
      <w:r w:rsidR="002B6FCD" w:rsidRPr="00CC4413">
        <w:rPr>
          <w:rFonts w:ascii="Arial" w:hAnsi="Arial" w:cs="Arial"/>
          <w:sz w:val="22"/>
          <w:szCs w:val="22"/>
          <w:lang w:val="en-GB"/>
        </w:rPr>
        <w:t>for refusing recognition and enforcement of an insolvency-r</w:t>
      </w:r>
      <w:r w:rsidR="000A6868" w:rsidRPr="00CC4413">
        <w:rPr>
          <w:rFonts w:ascii="Arial" w:hAnsi="Arial" w:cs="Arial"/>
          <w:sz w:val="22"/>
          <w:szCs w:val="22"/>
          <w:lang w:val="en-GB"/>
        </w:rPr>
        <w:t>el</w:t>
      </w:r>
      <w:r w:rsidR="002B6FCD" w:rsidRPr="00CC4413">
        <w:rPr>
          <w:rFonts w:ascii="Arial" w:hAnsi="Arial" w:cs="Arial"/>
          <w:sz w:val="22"/>
          <w:szCs w:val="22"/>
          <w:lang w:val="en-GB"/>
        </w:rPr>
        <w:t>ated judgment lie on the parties opposing the judgement.</w:t>
      </w:r>
      <w:r w:rsidR="000A6868" w:rsidRPr="00CC4413">
        <w:rPr>
          <w:rFonts w:ascii="Arial" w:hAnsi="Arial" w:cs="Arial"/>
          <w:sz w:val="22"/>
          <w:szCs w:val="22"/>
          <w:lang w:val="en-GB"/>
        </w:rPr>
        <w:t xml:space="preserve"> </w:t>
      </w:r>
      <w:r w:rsidR="00A1483D" w:rsidRPr="00CC4413">
        <w:rPr>
          <w:rFonts w:ascii="Arial" w:hAnsi="Arial" w:cs="Arial"/>
          <w:sz w:val="22"/>
          <w:szCs w:val="22"/>
          <w:lang w:val="en-GB"/>
        </w:rPr>
        <w:t xml:space="preserve">Discovery may be </w:t>
      </w:r>
      <w:proofErr w:type="gramStart"/>
      <w:r w:rsidR="00A1483D" w:rsidRPr="00CC4413">
        <w:rPr>
          <w:rFonts w:ascii="Arial" w:hAnsi="Arial" w:cs="Arial"/>
          <w:sz w:val="22"/>
          <w:szCs w:val="22"/>
          <w:lang w:val="en-GB"/>
        </w:rPr>
        <w:t>allowed,</w:t>
      </w:r>
      <w:proofErr w:type="gramEnd"/>
      <w:r w:rsidR="00A1483D" w:rsidRPr="00CC4413">
        <w:rPr>
          <w:rFonts w:ascii="Arial" w:hAnsi="Arial" w:cs="Arial"/>
          <w:sz w:val="22"/>
          <w:szCs w:val="22"/>
          <w:lang w:val="en-GB"/>
        </w:rPr>
        <w:t xml:space="preserve"> however, </w:t>
      </w:r>
      <w:r w:rsidR="00840CC4" w:rsidRPr="00CC4413">
        <w:rPr>
          <w:rFonts w:ascii="Arial" w:hAnsi="Arial" w:cs="Arial"/>
          <w:sz w:val="22"/>
          <w:szCs w:val="22"/>
          <w:lang w:val="en-GB"/>
        </w:rPr>
        <w:t>the</w:t>
      </w:r>
      <w:r w:rsidR="007F7257" w:rsidRPr="00CC4413">
        <w:rPr>
          <w:rFonts w:ascii="Arial" w:hAnsi="Arial" w:cs="Arial"/>
          <w:sz w:val="22"/>
          <w:szCs w:val="22"/>
          <w:lang w:val="en-GB"/>
        </w:rPr>
        <w:t xml:space="preserve"> courts are discour</w:t>
      </w:r>
      <w:r w:rsidR="00314A22" w:rsidRPr="00CC4413">
        <w:rPr>
          <w:rFonts w:ascii="Arial" w:hAnsi="Arial" w:cs="Arial"/>
          <w:sz w:val="22"/>
          <w:szCs w:val="22"/>
          <w:lang w:val="en-GB"/>
        </w:rPr>
        <w:t>aged from refusing recognition</w:t>
      </w:r>
      <w:r w:rsidR="00840CC4" w:rsidRPr="00CC4413">
        <w:rPr>
          <w:rFonts w:ascii="Arial" w:hAnsi="Arial" w:cs="Arial"/>
          <w:sz w:val="22"/>
          <w:szCs w:val="22"/>
          <w:lang w:val="en-GB"/>
        </w:rPr>
        <w:t xml:space="preserve"> </w:t>
      </w:r>
      <w:r w:rsidR="008C7B84" w:rsidRPr="00CC4413">
        <w:rPr>
          <w:rFonts w:ascii="Arial" w:hAnsi="Arial" w:cs="Arial"/>
          <w:sz w:val="22"/>
          <w:szCs w:val="22"/>
          <w:lang w:val="en-GB"/>
        </w:rPr>
        <w:t xml:space="preserve">of </w:t>
      </w:r>
      <w:r w:rsidR="00840CC4" w:rsidRPr="00CC4413">
        <w:rPr>
          <w:rFonts w:ascii="Arial" w:hAnsi="Arial" w:cs="Arial"/>
          <w:sz w:val="22"/>
          <w:szCs w:val="22"/>
          <w:lang w:val="en-GB"/>
        </w:rPr>
        <w:t>judgement</w:t>
      </w:r>
      <w:r w:rsidR="008C7B84" w:rsidRPr="00CC4413">
        <w:rPr>
          <w:rFonts w:ascii="Arial" w:hAnsi="Arial" w:cs="Arial"/>
          <w:sz w:val="22"/>
          <w:szCs w:val="22"/>
          <w:lang w:val="en-GB"/>
        </w:rPr>
        <w:t>.</w:t>
      </w:r>
      <w:r w:rsidR="00840CC4" w:rsidRPr="00CC4413">
        <w:rPr>
          <w:rFonts w:ascii="Arial" w:hAnsi="Arial" w:cs="Arial"/>
          <w:sz w:val="22"/>
          <w:szCs w:val="22"/>
          <w:lang w:val="en-GB"/>
        </w:rPr>
        <w:t xml:space="preserve"> </w:t>
      </w:r>
      <w:r w:rsidR="00BC2F2C" w:rsidRPr="00CC4413">
        <w:rPr>
          <w:rFonts w:ascii="Arial" w:hAnsi="Arial" w:cs="Arial"/>
          <w:sz w:val="22"/>
          <w:szCs w:val="22"/>
          <w:lang w:val="en-GB"/>
        </w:rPr>
        <w:t>T</w:t>
      </w:r>
      <w:r w:rsidR="000A6868" w:rsidRPr="00CC4413">
        <w:rPr>
          <w:rFonts w:ascii="Arial" w:hAnsi="Arial" w:cs="Arial"/>
          <w:sz w:val="22"/>
          <w:szCs w:val="22"/>
          <w:lang w:val="en-GB"/>
        </w:rPr>
        <w:t xml:space="preserve">he </w:t>
      </w:r>
      <w:r w:rsidR="00BC2F2C" w:rsidRPr="00CC4413">
        <w:rPr>
          <w:rFonts w:ascii="Arial" w:hAnsi="Arial" w:cs="Arial"/>
          <w:sz w:val="22"/>
          <w:szCs w:val="22"/>
          <w:lang w:val="en-GB"/>
        </w:rPr>
        <w:t xml:space="preserve">grounds on which </w:t>
      </w:r>
      <w:r w:rsidR="00442E23" w:rsidRPr="00CC4413">
        <w:rPr>
          <w:rFonts w:ascii="Arial" w:hAnsi="Arial" w:cs="Arial"/>
          <w:sz w:val="22"/>
          <w:szCs w:val="22"/>
          <w:lang w:val="en-GB"/>
        </w:rPr>
        <w:t xml:space="preserve">proceedings can </w:t>
      </w:r>
      <w:r w:rsidR="001D7EE8" w:rsidRPr="00CC4413">
        <w:rPr>
          <w:rFonts w:ascii="Arial" w:hAnsi="Arial" w:cs="Arial"/>
          <w:sz w:val="22"/>
          <w:szCs w:val="22"/>
          <w:lang w:val="en-GB"/>
        </w:rPr>
        <w:t xml:space="preserve">be refused </w:t>
      </w:r>
      <w:r w:rsidR="00BC2F2C" w:rsidRPr="00CC4413">
        <w:rPr>
          <w:rFonts w:ascii="Arial" w:hAnsi="Arial" w:cs="Arial"/>
          <w:sz w:val="22"/>
          <w:szCs w:val="22"/>
          <w:lang w:val="en-GB"/>
        </w:rPr>
        <w:t xml:space="preserve">are </w:t>
      </w:r>
      <w:r w:rsidR="000B5ABD" w:rsidRPr="00CC4413">
        <w:rPr>
          <w:rFonts w:ascii="Arial" w:hAnsi="Arial" w:cs="Arial"/>
          <w:sz w:val="22"/>
          <w:szCs w:val="22"/>
          <w:lang w:val="en-GB"/>
        </w:rPr>
        <w:t xml:space="preserve">that the </w:t>
      </w:r>
      <w:r w:rsidR="003E3902" w:rsidRPr="00CC4413">
        <w:rPr>
          <w:rFonts w:ascii="Arial" w:hAnsi="Arial" w:cs="Arial"/>
          <w:sz w:val="22"/>
          <w:szCs w:val="22"/>
          <w:lang w:val="en-GB"/>
        </w:rPr>
        <w:t xml:space="preserve">interest </w:t>
      </w:r>
      <w:r w:rsidR="000B5ABD" w:rsidRPr="00CC4413">
        <w:rPr>
          <w:rFonts w:ascii="Arial" w:hAnsi="Arial" w:cs="Arial"/>
          <w:sz w:val="22"/>
          <w:szCs w:val="22"/>
          <w:lang w:val="en-GB"/>
        </w:rPr>
        <w:t>of the creditors and other stakeholders are materially affected due to these proceedings.</w:t>
      </w:r>
    </w:p>
    <w:p w14:paraId="4B186F5E" w14:textId="77777777" w:rsidR="007C7635" w:rsidRPr="00CC4413" w:rsidRDefault="007C7635" w:rsidP="007600EE">
      <w:pPr>
        <w:jc w:val="both"/>
        <w:rPr>
          <w:rFonts w:ascii="Arial" w:hAnsi="Arial" w:cs="Arial"/>
          <w:sz w:val="22"/>
          <w:szCs w:val="22"/>
          <w:lang w:val="en-GB"/>
        </w:rPr>
      </w:pPr>
    </w:p>
    <w:p w14:paraId="448C3619" w14:textId="57547A2C" w:rsidR="007C7635" w:rsidRPr="00CC4413" w:rsidRDefault="007C7635" w:rsidP="007600EE">
      <w:pPr>
        <w:jc w:val="both"/>
        <w:rPr>
          <w:rFonts w:ascii="Arial" w:hAnsi="Arial" w:cs="Arial"/>
          <w:sz w:val="22"/>
          <w:szCs w:val="22"/>
          <w:lang w:val="en-GB"/>
        </w:rPr>
      </w:pPr>
      <w:r w:rsidRPr="00CC4413">
        <w:rPr>
          <w:rFonts w:ascii="Arial" w:hAnsi="Arial" w:cs="Arial"/>
          <w:sz w:val="22"/>
          <w:szCs w:val="22"/>
          <w:lang w:val="en-GB"/>
        </w:rPr>
        <w:t xml:space="preserve">It is likely that the proceedings will </w:t>
      </w:r>
      <w:r w:rsidR="00661D92" w:rsidRPr="00CC4413">
        <w:rPr>
          <w:rFonts w:ascii="Arial" w:hAnsi="Arial" w:cs="Arial"/>
          <w:sz w:val="22"/>
          <w:szCs w:val="22"/>
          <w:lang w:val="en-GB"/>
        </w:rPr>
        <w:t>be recognised in the US.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0F6E2BD4" w:rsidR="00867A8F" w:rsidRPr="004936C5" w:rsidRDefault="004936C5" w:rsidP="00F31EE9">
      <w:pPr>
        <w:ind w:left="720" w:hanging="720"/>
        <w:jc w:val="both"/>
        <w:rPr>
          <w:rFonts w:ascii="Arial" w:hAnsi="Arial" w:cs="Arial"/>
          <w:sz w:val="22"/>
          <w:szCs w:val="22"/>
          <w:lang w:val="en-GB"/>
        </w:rPr>
      </w:pPr>
      <w:r w:rsidRPr="004936C5">
        <w:rPr>
          <w:rFonts w:ascii="Arial" w:hAnsi="Arial" w:cs="Arial"/>
          <w:sz w:val="22"/>
          <w:szCs w:val="22"/>
          <w:lang w:val="en-GB"/>
        </w:rPr>
        <w:t xml:space="preserve">The </w:t>
      </w:r>
      <w:r>
        <w:rPr>
          <w:rFonts w:ascii="Arial" w:hAnsi="Arial" w:cs="Arial"/>
          <w:sz w:val="22"/>
          <w:szCs w:val="22"/>
          <w:lang w:val="en-GB"/>
        </w:rPr>
        <w:t xml:space="preserve">foreign representative can </w:t>
      </w:r>
      <w:r w:rsidR="00B722D5">
        <w:rPr>
          <w:rFonts w:ascii="Arial" w:hAnsi="Arial" w:cs="Arial"/>
          <w:sz w:val="22"/>
          <w:szCs w:val="22"/>
          <w:lang w:val="en-GB"/>
        </w:rPr>
        <w:t xml:space="preserve">ask for </w:t>
      </w:r>
      <w:r w:rsidR="00F913BE">
        <w:rPr>
          <w:rFonts w:ascii="Arial" w:hAnsi="Arial" w:cs="Arial"/>
          <w:sz w:val="22"/>
          <w:szCs w:val="22"/>
          <w:lang w:val="en-GB"/>
        </w:rPr>
        <w:t xml:space="preserve">a freezing order.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6841A1DE" w14:textId="5C4340DF" w:rsidR="00D5244F" w:rsidRDefault="00D5244F" w:rsidP="00707FC8">
      <w:pPr>
        <w:jc w:val="both"/>
        <w:rPr>
          <w:rFonts w:ascii="Avenir Next" w:hAnsi="Avenir Next" w:cs="Arial"/>
          <w:sz w:val="22"/>
          <w:szCs w:val="22"/>
          <w:lang w:val="en-GB"/>
        </w:rPr>
      </w:pPr>
    </w:p>
    <w:p w14:paraId="2B1B38E9" w14:textId="21DDB950" w:rsidR="003E70A6" w:rsidRPr="003E70A6" w:rsidRDefault="003E70A6" w:rsidP="00707FC8">
      <w:pPr>
        <w:jc w:val="both"/>
        <w:rPr>
          <w:rFonts w:ascii="Arial" w:hAnsi="Arial" w:cs="Arial"/>
          <w:b/>
          <w:sz w:val="22"/>
          <w:szCs w:val="22"/>
          <w:lang w:val="en-GB"/>
        </w:rPr>
      </w:pPr>
      <w:r w:rsidRPr="003E70A6">
        <w:rPr>
          <w:rFonts w:ascii="Arial" w:hAnsi="Arial" w:cs="Arial"/>
          <w:sz w:val="22"/>
          <w:szCs w:val="22"/>
          <w:lang w:val="en-GB"/>
        </w:rPr>
        <w:t xml:space="preserve">The </w:t>
      </w:r>
      <w:r>
        <w:rPr>
          <w:rFonts w:ascii="Arial" w:hAnsi="Arial" w:cs="Arial"/>
          <w:sz w:val="22"/>
          <w:szCs w:val="22"/>
          <w:lang w:val="en-GB"/>
        </w:rPr>
        <w:t xml:space="preserve">foreign representative should have asked </w:t>
      </w:r>
      <w:r w:rsidR="005A31BA">
        <w:rPr>
          <w:rFonts w:ascii="Arial" w:hAnsi="Arial" w:cs="Arial"/>
          <w:sz w:val="22"/>
          <w:szCs w:val="22"/>
          <w:lang w:val="en-GB"/>
        </w:rPr>
        <w:t xml:space="preserve">to commence foreign non-main proceeding </w:t>
      </w:r>
      <w:r w:rsidR="00F26F7C">
        <w:rPr>
          <w:rFonts w:ascii="Arial" w:hAnsi="Arial" w:cs="Arial"/>
          <w:sz w:val="22"/>
          <w:szCs w:val="22"/>
          <w:lang w:val="en-GB"/>
        </w:rPr>
        <w:t xml:space="preserve">in </w:t>
      </w:r>
      <w:r w:rsidR="00903069">
        <w:rPr>
          <w:rFonts w:ascii="Arial" w:hAnsi="Arial" w:cs="Arial"/>
          <w:sz w:val="22"/>
          <w:szCs w:val="22"/>
          <w:lang w:val="en-GB"/>
        </w:rPr>
        <w:t>Country B.</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w:t>
      </w:r>
      <w:r w:rsidRPr="00E61F6E">
        <w:rPr>
          <w:rFonts w:ascii="Avenir Next" w:hAnsi="Avenir Next"/>
          <w:sz w:val="22"/>
          <w:szCs w:val="28"/>
        </w:rPr>
        <w:lastRenderedPageBreak/>
        <w:t xml:space="preserve">(opened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 xml:space="preserve">lient to convene a single Scheme Meeting for the purpose of </w:t>
      </w:r>
      <w:r w:rsidRPr="00E61F6E">
        <w:rPr>
          <w:rFonts w:ascii="Avenir Next" w:hAnsi="Avenir Next"/>
          <w:sz w:val="22"/>
          <w:szCs w:val="28"/>
        </w:rPr>
        <w:lastRenderedPageBreak/>
        <w:t>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43A441E9" w14:textId="22C98D65" w:rsidR="00126E19" w:rsidRDefault="006169EF" w:rsidP="00707FC8">
      <w:pPr>
        <w:jc w:val="both"/>
        <w:rPr>
          <w:rFonts w:ascii="Arial" w:hAnsi="Arial" w:cs="Arial"/>
          <w:sz w:val="22"/>
          <w:szCs w:val="28"/>
        </w:rPr>
      </w:pPr>
      <w:r>
        <w:rPr>
          <w:rFonts w:ascii="Arial" w:hAnsi="Arial" w:cs="Arial"/>
          <w:sz w:val="22"/>
          <w:szCs w:val="28"/>
        </w:rPr>
        <w:t xml:space="preserve">Foreign main proceedings can be commenced in the US as it can be established that </w:t>
      </w:r>
      <w:r w:rsidR="00DF7C52">
        <w:rPr>
          <w:rFonts w:ascii="Arial" w:hAnsi="Arial" w:cs="Arial"/>
          <w:sz w:val="22"/>
          <w:szCs w:val="28"/>
        </w:rPr>
        <w:t xml:space="preserve">Globe Holding’s </w:t>
      </w:r>
      <w:r w:rsidR="0049642F">
        <w:rPr>
          <w:rFonts w:ascii="Arial" w:hAnsi="Arial" w:cs="Arial"/>
          <w:sz w:val="22"/>
          <w:szCs w:val="28"/>
        </w:rPr>
        <w:t>(“</w:t>
      </w:r>
      <w:r w:rsidR="0049642F" w:rsidRPr="0049642F">
        <w:rPr>
          <w:rFonts w:ascii="Arial" w:hAnsi="Arial" w:cs="Arial"/>
          <w:b/>
          <w:bCs/>
          <w:sz w:val="22"/>
          <w:szCs w:val="28"/>
        </w:rPr>
        <w:t>Company</w:t>
      </w:r>
      <w:r w:rsidR="0049642F">
        <w:rPr>
          <w:rFonts w:ascii="Arial" w:hAnsi="Arial" w:cs="Arial"/>
          <w:sz w:val="22"/>
          <w:szCs w:val="28"/>
        </w:rPr>
        <w:t xml:space="preserve">”) </w:t>
      </w:r>
      <w:proofErr w:type="spellStart"/>
      <w:r>
        <w:rPr>
          <w:rFonts w:ascii="Arial" w:hAnsi="Arial" w:cs="Arial"/>
          <w:sz w:val="22"/>
          <w:szCs w:val="28"/>
        </w:rPr>
        <w:t>centre</w:t>
      </w:r>
      <w:proofErr w:type="spellEnd"/>
      <w:r>
        <w:rPr>
          <w:rFonts w:ascii="Arial" w:hAnsi="Arial" w:cs="Arial"/>
          <w:sz w:val="22"/>
          <w:szCs w:val="28"/>
        </w:rPr>
        <w:t xml:space="preserve"> of main interest </w:t>
      </w:r>
      <w:r w:rsidR="00DF7C52">
        <w:rPr>
          <w:rFonts w:ascii="Arial" w:hAnsi="Arial" w:cs="Arial"/>
          <w:sz w:val="22"/>
          <w:szCs w:val="28"/>
        </w:rPr>
        <w:t xml:space="preserve">is in </w:t>
      </w:r>
      <w:r w:rsidR="007824EC">
        <w:rPr>
          <w:rFonts w:ascii="Arial" w:hAnsi="Arial" w:cs="Arial"/>
          <w:sz w:val="22"/>
          <w:szCs w:val="28"/>
        </w:rPr>
        <w:t xml:space="preserve">the US. </w:t>
      </w:r>
      <w:r w:rsidR="008D72F1">
        <w:rPr>
          <w:rFonts w:ascii="Arial" w:hAnsi="Arial" w:cs="Arial"/>
          <w:sz w:val="22"/>
          <w:szCs w:val="28"/>
        </w:rPr>
        <w:t>Since t</w:t>
      </w:r>
      <w:r w:rsidR="007824EC">
        <w:rPr>
          <w:rFonts w:ascii="Arial" w:hAnsi="Arial" w:cs="Arial"/>
          <w:sz w:val="22"/>
          <w:szCs w:val="28"/>
        </w:rPr>
        <w:t xml:space="preserve">he subsidiaries </w:t>
      </w:r>
      <w:r w:rsidR="008D72F1">
        <w:rPr>
          <w:rFonts w:ascii="Arial" w:hAnsi="Arial" w:cs="Arial"/>
          <w:sz w:val="22"/>
          <w:szCs w:val="28"/>
        </w:rPr>
        <w:t xml:space="preserve">of Globe Holdings, </w:t>
      </w:r>
      <w:r w:rsidR="007824EC">
        <w:rPr>
          <w:rFonts w:ascii="Arial" w:hAnsi="Arial" w:cs="Arial"/>
          <w:sz w:val="22"/>
          <w:szCs w:val="28"/>
        </w:rPr>
        <w:t xml:space="preserve">as well as </w:t>
      </w:r>
      <w:r w:rsidR="0049642F">
        <w:rPr>
          <w:rFonts w:ascii="Arial" w:hAnsi="Arial" w:cs="Arial"/>
          <w:sz w:val="22"/>
          <w:szCs w:val="28"/>
        </w:rPr>
        <w:t xml:space="preserve">its </w:t>
      </w:r>
      <w:proofErr w:type="gramStart"/>
      <w:r w:rsidR="005C0F34">
        <w:rPr>
          <w:rFonts w:ascii="Arial" w:hAnsi="Arial" w:cs="Arial"/>
          <w:sz w:val="22"/>
          <w:szCs w:val="28"/>
        </w:rPr>
        <w:t>employees</w:t>
      </w:r>
      <w:proofErr w:type="gramEnd"/>
      <w:r w:rsidR="005C0F34">
        <w:rPr>
          <w:rFonts w:ascii="Arial" w:hAnsi="Arial" w:cs="Arial"/>
          <w:sz w:val="22"/>
          <w:szCs w:val="28"/>
        </w:rPr>
        <w:t xml:space="preserve"> are in </w:t>
      </w:r>
      <w:r w:rsidR="008D72F1">
        <w:rPr>
          <w:rFonts w:ascii="Arial" w:hAnsi="Arial" w:cs="Arial"/>
          <w:sz w:val="22"/>
          <w:szCs w:val="28"/>
        </w:rPr>
        <w:t xml:space="preserve">the </w:t>
      </w:r>
      <w:r w:rsidR="005C0F34">
        <w:rPr>
          <w:rFonts w:ascii="Arial" w:hAnsi="Arial" w:cs="Arial"/>
          <w:sz w:val="22"/>
          <w:szCs w:val="28"/>
        </w:rPr>
        <w:t xml:space="preserve">US and </w:t>
      </w:r>
      <w:r w:rsidR="008D72F1">
        <w:rPr>
          <w:rFonts w:ascii="Arial" w:hAnsi="Arial" w:cs="Arial"/>
          <w:sz w:val="22"/>
          <w:szCs w:val="28"/>
        </w:rPr>
        <w:t xml:space="preserve">are </w:t>
      </w:r>
      <w:r w:rsidR="005C0F34">
        <w:rPr>
          <w:rFonts w:ascii="Arial" w:hAnsi="Arial" w:cs="Arial"/>
          <w:sz w:val="22"/>
          <w:szCs w:val="28"/>
        </w:rPr>
        <w:t>governed by New York Law</w:t>
      </w:r>
      <w:r w:rsidR="0049642F">
        <w:rPr>
          <w:rFonts w:ascii="Arial" w:hAnsi="Arial" w:cs="Arial"/>
          <w:sz w:val="22"/>
          <w:szCs w:val="28"/>
        </w:rPr>
        <w:t>, it can be the basis that the main interest of the Company is in US.</w:t>
      </w:r>
    </w:p>
    <w:p w14:paraId="67D33CDC" w14:textId="77777777" w:rsidR="005C0F34" w:rsidRDefault="005C0F34" w:rsidP="00707FC8">
      <w:pPr>
        <w:jc w:val="both"/>
        <w:rPr>
          <w:rFonts w:ascii="Arial" w:hAnsi="Arial" w:cs="Arial"/>
          <w:sz w:val="22"/>
          <w:szCs w:val="28"/>
        </w:rPr>
      </w:pPr>
    </w:p>
    <w:p w14:paraId="0511E6F9" w14:textId="6500A02F" w:rsidR="005C0F34" w:rsidRPr="00F46B1A" w:rsidRDefault="00225D25" w:rsidP="00707FC8">
      <w:pPr>
        <w:jc w:val="both"/>
        <w:rPr>
          <w:rFonts w:ascii="Arial" w:hAnsi="Arial" w:cs="Arial"/>
          <w:sz w:val="22"/>
          <w:szCs w:val="28"/>
        </w:rPr>
      </w:pPr>
      <w:r>
        <w:rPr>
          <w:rFonts w:ascii="Arial" w:hAnsi="Arial" w:cs="Arial"/>
          <w:sz w:val="22"/>
          <w:szCs w:val="28"/>
        </w:rPr>
        <w:t>On day 1 of the filing</w:t>
      </w:r>
      <w:r w:rsidR="005F3DF8">
        <w:rPr>
          <w:rFonts w:ascii="Arial" w:hAnsi="Arial" w:cs="Arial"/>
          <w:sz w:val="22"/>
          <w:szCs w:val="28"/>
        </w:rPr>
        <w:t xml:space="preserve"> in </w:t>
      </w:r>
      <w:proofErr w:type="gramStart"/>
      <w:r w:rsidR="005F3DF8">
        <w:rPr>
          <w:rFonts w:ascii="Arial" w:hAnsi="Arial" w:cs="Arial"/>
          <w:sz w:val="22"/>
          <w:szCs w:val="28"/>
        </w:rPr>
        <w:t>US</w:t>
      </w:r>
      <w:proofErr w:type="gramEnd"/>
      <w:r>
        <w:rPr>
          <w:rFonts w:ascii="Arial" w:hAnsi="Arial" w:cs="Arial"/>
          <w:sz w:val="22"/>
          <w:szCs w:val="28"/>
        </w:rPr>
        <w:t xml:space="preserve">, </w:t>
      </w:r>
      <w:r w:rsidR="005F3DF8">
        <w:rPr>
          <w:rFonts w:ascii="Arial" w:hAnsi="Arial" w:cs="Arial"/>
          <w:sz w:val="22"/>
          <w:szCs w:val="28"/>
        </w:rPr>
        <w:t xml:space="preserve">our client </w:t>
      </w:r>
      <w:r>
        <w:rPr>
          <w:rFonts w:ascii="Arial" w:hAnsi="Arial" w:cs="Arial"/>
          <w:sz w:val="22"/>
          <w:szCs w:val="28"/>
        </w:rPr>
        <w:t xml:space="preserve">should ask </w:t>
      </w:r>
      <w:r w:rsidR="005F3DF8">
        <w:rPr>
          <w:rFonts w:ascii="Arial" w:hAnsi="Arial" w:cs="Arial"/>
          <w:sz w:val="22"/>
          <w:szCs w:val="28"/>
        </w:rPr>
        <w:t>recognition of the foreign proceedings in Cayman Island a</w:t>
      </w:r>
      <w:r w:rsidR="00CA62C2">
        <w:rPr>
          <w:rFonts w:ascii="Arial" w:hAnsi="Arial" w:cs="Arial"/>
          <w:sz w:val="22"/>
          <w:szCs w:val="28"/>
        </w:rPr>
        <w:t xml:space="preserve">s well as </w:t>
      </w:r>
      <w:r>
        <w:rPr>
          <w:rFonts w:ascii="Arial" w:hAnsi="Arial" w:cs="Arial"/>
          <w:sz w:val="22"/>
          <w:szCs w:val="28"/>
        </w:rPr>
        <w:t xml:space="preserve">for a stay of the restructuring </w:t>
      </w:r>
      <w:r w:rsidR="005F3DF8">
        <w:rPr>
          <w:rFonts w:ascii="Arial" w:hAnsi="Arial" w:cs="Arial"/>
          <w:sz w:val="22"/>
          <w:szCs w:val="28"/>
        </w:rPr>
        <w:t>proposal</w:t>
      </w:r>
      <w:r w:rsidR="00CA62C2">
        <w:rPr>
          <w:rFonts w:ascii="Arial" w:hAnsi="Arial" w:cs="Arial"/>
          <w:sz w:val="22"/>
          <w:szCs w:val="28"/>
        </w:rPr>
        <w:t>.</w:t>
      </w:r>
    </w:p>
    <w:p w14:paraId="3B713ECA" w14:textId="77777777" w:rsidR="00F46B1A" w:rsidRPr="00E2622D" w:rsidRDefault="00F46B1A"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2F1FDB">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6EA7" w14:textId="77777777" w:rsidR="002F1FDB" w:rsidRDefault="002F1FDB" w:rsidP="00241B44">
      <w:r>
        <w:separator/>
      </w:r>
    </w:p>
  </w:endnote>
  <w:endnote w:type="continuationSeparator" w:id="0">
    <w:p w14:paraId="5BE506D1" w14:textId="77777777" w:rsidR="002F1FDB" w:rsidRDefault="002F1F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A35A446" w:rsidR="000300E0" w:rsidRPr="00B46CE2" w:rsidRDefault="008F6178" w:rsidP="000300E0">
    <w:pPr>
      <w:pStyle w:val="Footer"/>
      <w:ind w:right="360"/>
      <w:rPr>
        <w:rFonts w:ascii="Avenir Next" w:hAnsi="Avenir Next"/>
        <w:sz w:val="22"/>
        <w:szCs w:val="22"/>
      </w:rPr>
    </w:pPr>
    <w:r w:rsidRPr="008F6178">
      <w:rPr>
        <w:rFonts w:ascii="Avenir Next" w:hAnsi="Avenir Next"/>
        <w:sz w:val="22"/>
        <w:szCs w:val="22"/>
      </w:rPr>
      <w:t>FC202324-1445.assessment2A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37659F4F"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5348" w14:textId="77777777" w:rsidR="002F1FDB" w:rsidRDefault="002F1FDB" w:rsidP="00241B44">
      <w:r>
        <w:separator/>
      </w:r>
    </w:p>
  </w:footnote>
  <w:footnote w:type="continuationSeparator" w:id="0">
    <w:p w14:paraId="30B0FD82" w14:textId="77777777" w:rsidR="002F1FDB" w:rsidRDefault="002F1F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B7D"/>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6D60"/>
    <w:rsid w:val="00067A88"/>
    <w:rsid w:val="00070B92"/>
    <w:rsid w:val="00073474"/>
    <w:rsid w:val="00077D49"/>
    <w:rsid w:val="00082609"/>
    <w:rsid w:val="00083B38"/>
    <w:rsid w:val="000851CC"/>
    <w:rsid w:val="00093BE8"/>
    <w:rsid w:val="000A6868"/>
    <w:rsid w:val="000A68ED"/>
    <w:rsid w:val="000B3C42"/>
    <w:rsid w:val="000B4FEB"/>
    <w:rsid w:val="000B5ABD"/>
    <w:rsid w:val="000B5DDB"/>
    <w:rsid w:val="000B5FF1"/>
    <w:rsid w:val="000B609F"/>
    <w:rsid w:val="000C147F"/>
    <w:rsid w:val="000C6BB9"/>
    <w:rsid w:val="000D32A9"/>
    <w:rsid w:val="000D55A8"/>
    <w:rsid w:val="000D5DB8"/>
    <w:rsid w:val="000E4841"/>
    <w:rsid w:val="000E6325"/>
    <w:rsid w:val="000F1677"/>
    <w:rsid w:val="000F3D6C"/>
    <w:rsid w:val="000F579C"/>
    <w:rsid w:val="00100E8F"/>
    <w:rsid w:val="00101707"/>
    <w:rsid w:val="00101A9E"/>
    <w:rsid w:val="001034E9"/>
    <w:rsid w:val="00103DDD"/>
    <w:rsid w:val="00114082"/>
    <w:rsid w:val="0011473D"/>
    <w:rsid w:val="00115C85"/>
    <w:rsid w:val="00123855"/>
    <w:rsid w:val="00126A4D"/>
    <w:rsid w:val="00126E19"/>
    <w:rsid w:val="001374D8"/>
    <w:rsid w:val="00140E0A"/>
    <w:rsid w:val="0014171F"/>
    <w:rsid w:val="0014622C"/>
    <w:rsid w:val="00151F58"/>
    <w:rsid w:val="00152348"/>
    <w:rsid w:val="00152845"/>
    <w:rsid w:val="001535B3"/>
    <w:rsid w:val="0015456D"/>
    <w:rsid w:val="0015549B"/>
    <w:rsid w:val="00155FA2"/>
    <w:rsid w:val="001578CB"/>
    <w:rsid w:val="00157E02"/>
    <w:rsid w:val="00161CF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9E2"/>
    <w:rsid w:val="001A24E7"/>
    <w:rsid w:val="001A2B78"/>
    <w:rsid w:val="001A7E9A"/>
    <w:rsid w:val="001B0F70"/>
    <w:rsid w:val="001B4D80"/>
    <w:rsid w:val="001B5016"/>
    <w:rsid w:val="001C0188"/>
    <w:rsid w:val="001C45FC"/>
    <w:rsid w:val="001D02C5"/>
    <w:rsid w:val="001D4862"/>
    <w:rsid w:val="001D7EE8"/>
    <w:rsid w:val="001E25B9"/>
    <w:rsid w:val="001E49E0"/>
    <w:rsid w:val="001E60C3"/>
    <w:rsid w:val="001E7B5A"/>
    <w:rsid w:val="001F7412"/>
    <w:rsid w:val="00200FDD"/>
    <w:rsid w:val="00201874"/>
    <w:rsid w:val="00202133"/>
    <w:rsid w:val="0020264E"/>
    <w:rsid w:val="0020725B"/>
    <w:rsid w:val="002175BA"/>
    <w:rsid w:val="0022599E"/>
    <w:rsid w:val="00225D25"/>
    <w:rsid w:val="00227C5E"/>
    <w:rsid w:val="002305E8"/>
    <w:rsid w:val="0023198D"/>
    <w:rsid w:val="0023317E"/>
    <w:rsid w:val="00234F2C"/>
    <w:rsid w:val="002409FA"/>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B6D57"/>
    <w:rsid w:val="002B6FCD"/>
    <w:rsid w:val="002C13C8"/>
    <w:rsid w:val="002C3547"/>
    <w:rsid w:val="002D0021"/>
    <w:rsid w:val="002D0BFA"/>
    <w:rsid w:val="002D3473"/>
    <w:rsid w:val="002D3F17"/>
    <w:rsid w:val="002D5C95"/>
    <w:rsid w:val="002E00F8"/>
    <w:rsid w:val="002E1BB5"/>
    <w:rsid w:val="002E1FBB"/>
    <w:rsid w:val="002E2322"/>
    <w:rsid w:val="002E38E2"/>
    <w:rsid w:val="002E736D"/>
    <w:rsid w:val="002F1956"/>
    <w:rsid w:val="002F1FDB"/>
    <w:rsid w:val="002F3440"/>
    <w:rsid w:val="002F4EC0"/>
    <w:rsid w:val="002F71BE"/>
    <w:rsid w:val="002F75A3"/>
    <w:rsid w:val="002F78CA"/>
    <w:rsid w:val="00303C2F"/>
    <w:rsid w:val="00312911"/>
    <w:rsid w:val="003144EF"/>
    <w:rsid w:val="003148CA"/>
    <w:rsid w:val="00314A22"/>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090"/>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97FBC"/>
    <w:rsid w:val="003A051E"/>
    <w:rsid w:val="003A2FEE"/>
    <w:rsid w:val="003B1310"/>
    <w:rsid w:val="003B170F"/>
    <w:rsid w:val="003B3856"/>
    <w:rsid w:val="003B3C5F"/>
    <w:rsid w:val="003B7734"/>
    <w:rsid w:val="003C089D"/>
    <w:rsid w:val="003C339D"/>
    <w:rsid w:val="003C4471"/>
    <w:rsid w:val="003C66B1"/>
    <w:rsid w:val="003D06B1"/>
    <w:rsid w:val="003D0A6D"/>
    <w:rsid w:val="003E0B16"/>
    <w:rsid w:val="003E3902"/>
    <w:rsid w:val="003E67D1"/>
    <w:rsid w:val="003E6CB6"/>
    <w:rsid w:val="003E70A6"/>
    <w:rsid w:val="003F4E72"/>
    <w:rsid w:val="00402A11"/>
    <w:rsid w:val="00405DC1"/>
    <w:rsid w:val="0040710D"/>
    <w:rsid w:val="0041139B"/>
    <w:rsid w:val="004137C3"/>
    <w:rsid w:val="00413D3A"/>
    <w:rsid w:val="00415F1F"/>
    <w:rsid w:val="00417B0F"/>
    <w:rsid w:val="0042108F"/>
    <w:rsid w:val="00422242"/>
    <w:rsid w:val="00424D07"/>
    <w:rsid w:val="0042622C"/>
    <w:rsid w:val="00430FED"/>
    <w:rsid w:val="00432179"/>
    <w:rsid w:val="00434292"/>
    <w:rsid w:val="00434A8C"/>
    <w:rsid w:val="00435583"/>
    <w:rsid w:val="00436884"/>
    <w:rsid w:val="00437297"/>
    <w:rsid w:val="00442E23"/>
    <w:rsid w:val="00443403"/>
    <w:rsid w:val="00444284"/>
    <w:rsid w:val="00445CE6"/>
    <w:rsid w:val="00447FE6"/>
    <w:rsid w:val="004534C2"/>
    <w:rsid w:val="0045446F"/>
    <w:rsid w:val="0045683E"/>
    <w:rsid w:val="0047025B"/>
    <w:rsid w:val="00490C7A"/>
    <w:rsid w:val="00491675"/>
    <w:rsid w:val="004936C5"/>
    <w:rsid w:val="00493855"/>
    <w:rsid w:val="0049508F"/>
    <w:rsid w:val="0049642F"/>
    <w:rsid w:val="004A171E"/>
    <w:rsid w:val="004A57DD"/>
    <w:rsid w:val="004A7B51"/>
    <w:rsid w:val="004A7D71"/>
    <w:rsid w:val="004A7EF3"/>
    <w:rsid w:val="004B0B9F"/>
    <w:rsid w:val="004B11FD"/>
    <w:rsid w:val="004B23A2"/>
    <w:rsid w:val="004B5A3F"/>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0517"/>
    <w:rsid w:val="0052263B"/>
    <w:rsid w:val="00524728"/>
    <w:rsid w:val="005267DE"/>
    <w:rsid w:val="00530003"/>
    <w:rsid w:val="00530E88"/>
    <w:rsid w:val="005331CA"/>
    <w:rsid w:val="0053353F"/>
    <w:rsid w:val="00533739"/>
    <w:rsid w:val="00537970"/>
    <w:rsid w:val="00540B44"/>
    <w:rsid w:val="00540E3A"/>
    <w:rsid w:val="00544127"/>
    <w:rsid w:val="00544273"/>
    <w:rsid w:val="0054564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875B9"/>
    <w:rsid w:val="00590023"/>
    <w:rsid w:val="005911CC"/>
    <w:rsid w:val="00592F82"/>
    <w:rsid w:val="005A0CCA"/>
    <w:rsid w:val="005A31BA"/>
    <w:rsid w:val="005A726D"/>
    <w:rsid w:val="005B437C"/>
    <w:rsid w:val="005B67AC"/>
    <w:rsid w:val="005C0F34"/>
    <w:rsid w:val="005C2C94"/>
    <w:rsid w:val="005C36BC"/>
    <w:rsid w:val="005C4865"/>
    <w:rsid w:val="005C5D81"/>
    <w:rsid w:val="005D1B94"/>
    <w:rsid w:val="005D43E0"/>
    <w:rsid w:val="005D58A3"/>
    <w:rsid w:val="005E13BB"/>
    <w:rsid w:val="005E1B79"/>
    <w:rsid w:val="005E5C28"/>
    <w:rsid w:val="005E6B03"/>
    <w:rsid w:val="005F026D"/>
    <w:rsid w:val="005F21F4"/>
    <w:rsid w:val="005F2D0B"/>
    <w:rsid w:val="005F3736"/>
    <w:rsid w:val="005F3DF8"/>
    <w:rsid w:val="005F4B31"/>
    <w:rsid w:val="00610388"/>
    <w:rsid w:val="00612CA5"/>
    <w:rsid w:val="006153EC"/>
    <w:rsid w:val="006169EF"/>
    <w:rsid w:val="00621A17"/>
    <w:rsid w:val="00622586"/>
    <w:rsid w:val="00622C2B"/>
    <w:rsid w:val="00622DCB"/>
    <w:rsid w:val="00627CC9"/>
    <w:rsid w:val="00627E7B"/>
    <w:rsid w:val="00630542"/>
    <w:rsid w:val="00632E44"/>
    <w:rsid w:val="00634622"/>
    <w:rsid w:val="00636808"/>
    <w:rsid w:val="00640563"/>
    <w:rsid w:val="00641002"/>
    <w:rsid w:val="00641515"/>
    <w:rsid w:val="00651AE3"/>
    <w:rsid w:val="00654C2F"/>
    <w:rsid w:val="00657087"/>
    <w:rsid w:val="00661D92"/>
    <w:rsid w:val="0066252C"/>
    <w:rsid w:val="0066534A"/>
    <w:rsid w:val="006661EF"/>
    <w:rsid w:val="0067294B"/>
    <w:rsid w:val="00677736"/>
    <w:rsid w:val="0067785F"/>
    <w:rsid w:val="00677AEB"/>
    <w:rsid w:val="00680EF2"/>
    <w:rsid w:val="00681440"/>
    <w:rsid w:val="006839C2"/>
    <w:rsid w:val="00687A1D"/>
    <w:rsid w:val="006920CC"/>
    <w:rsid w:val="00692AB2"/>
    <w:rsid w:val="0069647C"/>
    <w:rsid w:val="00697EA1"/>
    <w:rsid w:val="006A1850"/>
    <w:rsid w:val="006A2646"/>
    <w:rsid w:val="006A3DF0"/>
    <w:rsid w:val="006A5891"/>
    <w:rsid w:val="006A6530"/>
    <w:rsid w:val="006B435A"/>
    <w:rsid w:val="006B4C64"/>
    <w:rsid w:val="006B4FFC"/>
    <w:rsid w:val="006C35CA"/>
    <w:rsid w:val="006D012D"/>
    <w:rsid w:val="006D0E6E"/>
    <w:rsid w:val="006D6BD5"/>
    <w:rsid w:val="006E481A"/>
    <w:rsid w:val="006E5298"/>
    <w:rsid w:val="006F29A3"/>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45A0"/>
    <w:rsid w:val="00742282"/>
    <w:rsid w:val="00751F66"/>
    <w:rsid w:val="007600EE"/>
    <w:rsid w:val="007603F5"/>
    <w:rsid w:val="00764916"/>
    <w:rsid w:val="00764DB0"/>
    <w:rsid w:val="00766248"/>
    <w:rsid w:val="00766F8A"/>
    <w:rsid w:val="0076764D"/>
    <w:rsid w:val="007729A3"/>
    <w:rsid w:val="0077498C"/>
    <w:rsid w:val="00777183"/>
    <w:rsid w:val="007776E0"/>
    <w:rsid w:val="007824EC"/>
    <w:rsid w:val="00784128"/>
    <w:rsid w:val="00784B4B"/>
    <w:rsid w:val="007854ED"/>
    <w:rsid w:val="00793173"/>
    <w:rsid w:val="007B07DD"/>
    <w:rsid w:val="007B3AC7"/>
    <w:rsid w:val="007B497A"/>
    <w:rsid w:val="007B768B"/>
    <w:rsid w:val="007C1FCC"/>
    <w:rsid w:val="007C32A8"/>
    <w:rsid w:val="007C3FE5"/>
    <w:rsid w:val="007C6201"/>
    <w:rsid w:val="007C6988"/>
    <w:rsid w:val="007C6F87"/>
    <w:rsid w:val="007C761B"/>
    <w:rsid w:val="007C7635"/>
    <w:rsid w:val="007D0C0B"/>
    <w:rsid w:val="007D28A1"/>
    <w:rsid w:val="007D4B07"/>
    <w:rsid w:val="007D7C92"/>
    <w:rsid w:val="007E1154"/>
    <w:rsid w:val="007E2F41"/>
    <w:rsid w:val="007E6BA4"/>
    <w:rsid w:val="007E7678"/>
    <w:rsid w:val="007F1D4F"/>
    <w:rsid w:val="007F41F8"/>
    <w:rsid w:val="007F4596"/>
    <w:rsid w:val="007F60D0"/>
    <w:rsid w:val="007F6755"/>
    <w:rsid w:val="007F7257"/>
    <w:rsid w:val="008026BF"/>
    <w:rsid w:val="0080454E"/>
    <w:rsid w:val="00804C32"/>
    <w:rsid w:val="008056F1"/>
    <w:rsid w:val="00806302"/>
    <w:rsid w:val="00807119"/>
    <w:rsid w:val="00812AFE"/>
    <w:rsid w:val="008157E8"/>
    <w:rsid w:val="00817D1F"/>
    <w:rsid w:val="00817D57"/>
    <w:rsid w:val="00822764"/>
    <w:rsid w:val="008241C4"/>
    <w:rsid w:val="0082483F"/>
    <w:rsid w:val="008264CB"/>
    <w:rsid w:val="008279C0"/>
    <w:rsid w:val="00835FD1"/>
    <w:rsid w:val="00840CC4"/>
    <w:rsid w:val="008412E6"/>
    <w:rsid w:val="008432CB"/>
    <w:rsid w:val="0084683C"/>
    <w:rsid w:val="008512FA"/>
    <w:rsid w:val="00853A74"/>
    <w:rsid w:val="00857763"/>
    <w:rsid w:val="00860E61"/>
    <w:rsid w:val="00865664"/>
    <w:rsid w:val="00865C7E"/>
    <w:rsid w:val="00867A8F"/>
    <w:rsid w:val="008723F3"/>
    <w:rsid w:val="00875122"/>
    <w:rsid w:val="00881DE6"/>
    <w:rsid w:val="008837A6"/>
    <w:rsid w:val="0089145D"/>
    <w:rsid w:val="00893A03"/>
    <w:rsid w:val="008A0C6E"/>
    <w:rsid w:val="008A3C0D"/>
    <w:rsid w:val="008A46CF"/>
    <w:rsid w:val="008A4DF2"/>
    <w:rsid w:val="008A6CFE"/>
    <w:rsid w:val="008A7470"/>
    <w:rsid w:val="008B1A08"/>
    <w:rsid w:val="008B2DE3"/>
    <w:rsid w:val="008B5333"/>
    <w:rsid w:val="008B6223"/>
    <w:rsid w:val="008C3DA8"/>
    <w:rsid w:val="008C66E0"/>
    <w:rsid w:val="008C7B84"/>
    <w:rsid w:val="008D2D61"/>
    <w:rsid w:val="008D441A"/>
    <w:rsid w:val="008D5FF1"/>
    <w:rsid w:val="008D72F1"/>
    <w:rsid w:val="008E2DFA"/>
    <w:rsid w:val="008E3339"/>
    <w:rsid w:val="008E549B"/>
    <w:rsid w:val="008E59AA"/>
    <w:rsid w:val="008E7047"/>
    <w:rsid w:val="008E7B7C"/>
    <w:rsid w:val="008F18EF"/>
    <w:rsid w:val="008F20FC"/>
    <w:rsid w:val="008F2B24"/>
    <w:rsid w:val="008F5FFE"/>
    <w:rsid w:val="008F6178"/>
    <w:rsid w:val="00903069"/>
    <w:rsid w:val="0090421A"/>
    <w:rsid w:val="00905A43"/>
    <w:rsid w:val="00905C08"/>
    <w:rsid w:val="00907DC2"/>
    <w:rsid w:val="00912C79"/>
    <w:rsid w:val="009260A2"/>
    <w:rsid w:val="009344C1"/>
    <w:rsid w:val="00942123"/>
    <w:rsid w:val="00945154"/>
    <w:rsid w:val="00951031"/>
    <w:rsid w:val="0095207B"/>
    <w:rsid w:val="00954461"/>
    <w:rsid w:val="00956085"/>
    <w:rsid w:val="00957951"/>
    <w:rsid w:val="00962045"/>
    <w:rsid w:val="00967EDA"/>
    <w:rsid w:val="00970897"/>
    <w:rsid w:val="0097337E"/>
    <w:rsid w:val="00974895"/>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76A"/>
    <w:rsid w:val="009C1BC8"/>
    <w:rsid w:val="009C1DAC"/>
    <w:rsid w:val="009C2442"/>
    <w:rsid w:val="009D0811"/>
    <w:rsid w:val="009D0EE1"/>
    <w:rsid w:val="009D1D4A"/>
    <w:rsid w:val="009D30BB"/>
    <w:rsid w:val="009D4BC8"/>
    <w:rsid w:val="009D53FE"/>
    <w:rsid w:val="009E2AEB"/>
    <w:rsid w:val="009E2E27"/>
    <w:rsid w:val="009E3CA7"/>
    <w:rsid w:val="009E4DE3"/>
    <w:rsid w:val="009F1C3A"/>
    <w:rsid w:val="009F5110"/>
    <w:rsid w:val="009F6C0A"/>
    <w:rsid w:val="00A047EE"/>
    <w:rsid w:val="00A114EA"/>
    <w:rsid w:val="00A11F2E"/>
    <w:rsid w:val="00A1483D"/>
    <w:rsid w:val="00A153F7"/>
    <w:rsid w:val="00A2274A"/>
    <w:rsid w:val="00A235B7"/>
    <w:rsid w:val="00A27A7A"/>
    <w:rsid w:val="00A36B38"/>
    <w:rsid w:val="00A407EF"/>
    <w:rsid w:val="00A40DDF"/>
    <w:rsid w:val="00A46B4C"/>
    <w:rsid w:val="00A5117B"/>
    <w:rsid w:val="00A54000"/>
    <w:rsid w:val="00A54689"/>
    <w:rsid w:val="00A55FDD"/>
    <w:rsid w:val="00A56FCF"/>
    <w:rsid w:val="00A60074"/>
    <w:rsid w:val="00A601D0"/>
    <w:rsid w:val="00A65FAA"/>
    <w:rsid w:val="00A6627C"/>
    <w:rsid w:val="00A6649C"/>
    <w:rsid w:val="00A67E9A"/>
    <w:rsid w:val="00A70BBC"/>
    <w:rsid w:val="00A71019"/>
    <w:rsid w:val="00A803DD"/>
    <w:rsid w:val="00A81029"/>
    <w:rsid w:val="00A83CB5"/>
    <w:rsid w:val="00A865A7"/>
    <w:rsid w:val="00A93231"/>
    <w:rsid w:val="00A94CE5"/>
    <w:rsid w:val="00A96489"/>
    <w:rsid w:val="00AA3A42"/>
    <w:rsid w:val="00AA5311"/>
    <w:rsid w:val="00AA7BAA"/>
    <w:rsid w:val="00AB104E"/>
    <w:rsid w:val="00AB685C"/>
    <w:rsid w:val="00AB6C2D"/>
    <w:rsid w:val="00AC08F7"/>
    <w:rsid w:val="00AC3839"/>
    <w:rsid w:val="00AC7082"/>
    <w:rsid w:val="00AD0E59"/>
    <w:rsid w:val="00AD3FEA"/>
    <w:rsid w:val="00AD7BBD"/>
    <w:rsid w:val="00AE6FA5"/>
    <w:rsid w:val="00AF228E"/>
    <w:rsid w:val="00AF302B"/>
    <w:rsid w:val="00B04137"/>
    <w:rsid w:val="00B1112C"/>
    <w:rsid w:val="00B112A2"/>
    <w:rsid w:val="00B11D19"/>
    <w:rsid w:val="00B12936"/>
    <w:rsid w:val="00B12C2D"/>
    <w:rsid w:val="00B14819"/>
    <w:rsid w:val="00B15031"/>
    <w:rsid w:val="00B17AA9"/>
    <w:rsid w:val="00B263D0"/>
    <w:rsid w:val="00B32DE4"/>
    <w:rsid w:val="00B33578"/>
    <w:rsid w:val="00B370C3"/>
    <w:rsid w:val="00B411AE"/>
    <w:rsid w:val="00B413F5"/>
    <w:rsid w:val="00B422B9"/>
    <w:rsid w:val="00B457BF"/>
    <w:rsid w:val="00B46CE2"/>
    <w:rsid w:val="00B52EA2"/>
    <w:rsid w:val="00B60190"/>
    <w:rsid w:val="00B61419"/>
    <w:rsid w:val="00B617AB"/>
    <w:rsid w:val="00B6210F"/>
    <w:rsid w:val="00B648BC"/>
    <w:rsid w:val="00B66441"/>
    <w:rsid w:val="00B722D5"/>
    <w:rsid w:val="00B72F5F"/>
    <w:rsid w:val="00B736DF"/>
    <w:rsid w:val="00B74FBD"/>
    <w:rsid w:val="00B77352"/>
    <w:rsid w:val="00B82586"/>
    <w:rsid w:val="00B829A3"/>
    <w:rsid w:val="00B853AA"/>
    <w:rsid w:val="00B86DB1"/>
    <w:rsid w:val="00B87869"/>
    <w:rsid w:val="00B953BD"/>
    <w:rsid w:val="00B97050"/>
    <w:rsid w:val="00B97A80"/>
    <w:rsid w:val="00BA0E44"/>
    <w:rsid w:val="00BA47C5"/>
    <w:rsid w:val="00BB0F2B"/>
    <w:rsid w:val="00BC020B"/>
    <w:rsid w:val="00BC2F2C"/>
    <w:rsid w:val="00BD0D57"/>
    <w:rsid w:val="00BE1A50"/>
    <w:rsid w:val="00BF50F7"/>
    <w:rsid w:val="00C00111"/>
    <w:rsid w:val="00C02F29"/>
    <w:rsid w:val="00C10C13"/>
    <w:rsid w:val="00C12E63"/>
    <w:rsid w:val="00C17111"/>
    <w:rsid w:val="00C20747"/>
    <w:rsid w:val="00C20AFE"/>
    <w:rsid w:val="00C22A25"/>
    <w:rsid w:val="00C23B79"/>
    <w:rsid w:val="00C33D50"/>
    <w:rsid w:val="00C35671"/>
    <w:rsid w:val="00C35B77"/>
    <w:rsid w:val="00C370D3"/>
    <w:rsid w:val="00C376EB"/>
    <w:rsid w:val="00C4003A"/>
    <w:rsid w:val="00C442C3"/>
    <w:rsid w:val="00C4510C"/>
    <w:rsid w:val="00C46EC1"/>
    <w:rsid w:val="00C504E5"/>
    <w:rsid w:val="00C53E2C"/>
    <w:rsid w:val="00C550C8"/>
    <w:rsid w:val="00C56B61"/>
    <w:rsid w:val="00C606C3"/>
    <w:rsid w:val="00C620F4"/>
    <w:rsid w:val="00C6411D"/>
    <w:rsid w:val="00C668B6"/>
    <w:rsid w:val="00C67ECE"/>
    <w:rsid w:val="00C7161B"/>
    <w:rsid w:val="00C72848"/>
    <w:rsid w:val="00C7736C"/>
    <w:rsid w:val="00C82D87"/>
    <w:rsid w:val="00C841ED"/>
    <w:rsid w:val="00C85F17"/>
    <w:rsid w:val="00C8712A"/>
    <w:rsid w:val="00C91324"/>
    <w:rsid w:val="00C914F7"/>
    <w:rsid w:val="00C963D3"/>
    <w:rsid w:val="00CA154A"/>
    <w:rsid w:val="00CA62C2"/>
    <w:rsid w:val="00CA6E0D"/>
    <w:rsid w:val="00CB2CBB"/>
    <w:rsid w:val="00CB5289"/>
    <w:rsid w:val="00CB56CE"/>
    <w:rsid w:val="00CB7CAC"/>
    <w:rsid w:val="00CC0EA0"/>
    <w:rsid w:val="00CC4413"/>
    <w:rsid w:val="00CC5335"/>
    <w:rsid w:val="00CC5BA4"/>
    <w:rsid w:val="00CC70BB"/>
    <w:rsid w:val="00CD3420"/>
    <w:rsid w:val="00CD4998"/>
    <w:rsid w:val="00CD5FFE"/>
    <w:rsid w:val="00CE1035"/>
    <w:rsid w:val="00CE2A6A"/>
    <w:rsid w:val="00CF2819"/>
    <w:rsid w:val="00CF4F9D"/>
    <w:rsid w:val="00CF70DC"/>
    <w:rsid w:val="00D03919"/>
    <w:rsid w:val="00D148DC"/>
    <w:rsid w:val="00D17FDC"/>
    <w:rsid w:val="00D256F6"/>
    <w:rsid w:val="00D37F73"/>
    <w:rsid w:val="00D444C5"/>
    <w:rsid w:val="00D45AEA"/>
    <w:rsid w:val="00D5244F"/>
    <w:rsid w:val="00D52E4F"/>
    <w:rsid w:val="00D56A37"/>
    <w:rsid w:val="00D57202"/>
    <w:rsid w:val="00D6386E"/>
    <w:rsid w:val="00D63EFD"/>
    <w:rsid w:val="00D64826"/>
    <w:rsid w:val="00D7080A"/>
    <w:rsid w:val="00D75F22"/>
    <w:rsid w:val="00D80DF2"/>
    <w:rsid w:val="00D84150"/>
    <w:rsid w:val="00D84752"/>
    <w:rsid w:val="00D85AB0"/>
    <w:rsid w:val="00D86B3B"/>
    <w:rsid w:val="00D8748A"/>
    <w:rsid w:val="00D93196"/>
    <w:rsid w:val="00D94A4D"/>
    <w:rsid w:val="00D97A93"/>
    <w:rsid w:val="00DA1083"/>
    <w:rsid w:val="00DA26C8"/>
    <w:rsid w:val="00DA2E95"/>
    <w:rsid w:val="00DB243C"/>
    <w:rsid w:val="00DB45DD"/>
    <w:rsid w:val="00DB482A"/>
    <w:rsid w:val="00DB56F2"/>
    <w:rsid w:val="00DB6EF5"/>
    <w:rsid w:val="00DB6F74"/>
    <w:rsid w:val="00DC3089"/>
    <w:rsid w:val="00DC4420"/>
    <w:rsid w:val="00DC5F2C"/>
    <w:rsid w:val="00DD0802"/>
    <w:rsid w:val="00DD0A50"/>
    <w:rsid w:val="00DD2E11"/>
    <w:rsid w:val="00DD3A33"/>
    <w:rsid w:val="00DD3D7A"/>
    <w:rsid w:val="00DE03AF"/>
    <w:rsid w:val="00DE121C"/>
    <w:rsid w:val="00DE2A27"/>
    <w:rsid w:val="00DE3705"/>
    <w:rsid w:val="00DE6633"/>
    <w:rsid w:val="00DF75F8"/>
    <w:rsid w:val="00DF7A3A"/>
    <w:rsid w:val="00DF7C52"/>
    <w:rsid w:val="00DF7E50"/>
    <w:rsid w:val="00E00411"/>
    <w:rsid w:val="00E00C00"/>
    <w:rsid w:val="00E04A7C"/>
    <w:rsid w:val="00E059FB"/>
    <w:rsid w:val="00E069C4"/>
    <w:rsid w:val="00E07275"/>
    <w:rsid w:val="00E07866"/>
    <w:rsid w:val="00E07C5A"/>
    <w:rsid w:val="00E15BA9"/>
    <w:rsid w:val="00E2240D"/>
    <w:rsid w:val="00E2348D"/>
    <w:rsid w:val="00E25B22"/>
    <w:rsid w:val="00E26087"/>
    <w:rsid w:val="00E2622D"/>
    <w:rsid w:val="00E26E19"/>
    <w:rsid w:val="00E27E3C"/>
    <w:rsid w:val="00E31DF3"/>
    <w:rsid w:val="00E32814"/>
    <w:rsid w:val="00E33448"/>
    <w:rsid w:val="00E33486"/>
    <w:rsid w:val="00E34181"/>
    <w:rsid w:val="00E450A4"/>
    <w:rsid w:val="00E472D0"/>
    <w:rsid w:val="00E506BE"/>
    <w:rsid w:val="00E55547"/>
    <w:rsid w:val="00E57410"/>
    <w:rsid w:val="00E61C42"/>
    <w:rsid w:val="00E6302B"/>
    <w:rsid w:val="00E64060"/>
    <w:rsid w:val="00E6452F"/>
    <w:rsid w:val="00E64619"/>
    <w:rsid w:val="00E64F45"/>
    <w:rsid w:val="00E6742D"/>
    <w:rsid w:val="00E71CB0"/>
    <w:rsid w:val="00E73529"/>
    <w:rsid w:val="00E77C3D"/>
    <w:rsid w:val="00E82E22"/>
    <w:rsid w:val="00E850FE"/>
    <w:rsid w:val="00E909F0"/>
    <w:rsid w:val="00E90D47"/>
    <w:rsid w:val="00E934C0"/>
    <w:rsid w:val="00E93993"/>
    <w:rsid w:val="00E94616"/>
    <w:rsid w:val="00E9597C"/>
    <w:rsid w:val="00EA0913"/>
    <w:rsid w:val="00EA0A2F"/>
    <w:rsid w:val="00EA6D31"/>
    <w:rsid w:val="00EB146B"/>
    <w:rsid w:val="00EB45AC"/>
    <w:rsid w:val="00EC2AEA"/>
    <w:rsid w:val="00EC7B11"/>
    <w:rsid w:val="00EC7F95"/>
    <w:rsid w:val="00ED0BC4"/>
    <w:rsid w:val="00ED3771"/>
    <w:rsid w:val="00ED4AB7"/>
    <w:rsid w:val="00ED6A32"/>
    <w:rsid w:val="00EE1B20"/>
    <w:rsid w:val="00EE4971"/>
    <w:rsid w:val="00EF090E"/>
    <w:rsid w:val="00F033DA"/>
    <w:rsid w:val="00F05387"/>
    <w:rsid w:val="00F11AAB"/>
    <w:rsid w:val="00F13FB1"/>
    <w:rsid w:val="00F17BC1"/>
    <w:rsid w:val="00F17C87"/>
    <w:rsid w:val="00F20272"/>
    <w:rsid w:val="00F223E7"/>
    <w:rsid w:val="00F2288D"/>
    <w:rsid w:val="00F25779"/>
    <w:rsid w:val="00F26F7C"/>
    <w:rsid w:val="00F2750A"/>
    <w:rsid w:val="00F27CD8"/>
    <w:rsid w:val="00F30351"/>
    <w:rsid w:val="00F31EE9"/>
    <w:rsid w:val="00F3323E"/>
    <w:rsid w:val="00F341F4"/>
    <w:rsid w:val="00F34F9D"/>
    <w:rsid w:val="00F35CCE"/>
    <w:rsid w:val="00F46B1A"/>
    <w:rsid w:val="00F51EE5"/>
    <w:rsid w:val="00F55241"/>
    <w:rsid w:val="00F5524B"/>
    <w:rsid w:val="00F60538"/>
    <w:rsid w:val="00F61DD2"/>
    <w:rsid w:val="00F6405C"/>
    <w:rsid w:val="00F6523A"/>
    <w:rsid w:val="00F66AFF"/>
    <w:rsid w:val="00F71433"/>
    <w:rsid w:val="00F7241A"/>
    <w:rsid w:val="00F76499"/>
    <w:rsid w:val="00F83E76"/>
    <w:rsid w:val="00F87BEA"/>
    <w:rsid w:val="00F90A57"/>
    <w:rsid w:val="00F913BE"/>
    <w:rsid w:val="00F963C1"/>
    <w:rsid w:val="00F97C5B"/>
    <w:rsid w:val="00FA05D2"/>
    <w:rsid w:val="00FA359A"/>
    <w:rsid w:val="00FA3D50"/>
    <w:rsid w:val="00FB009F"/>
    <w:rsid w:val="00FB25B0"/>
    <w:rsid w:val="00FB6136"/>
    <w:rsid w:val="00FC33DB"/>
    <w:rsid w:val="00FC374A"/>
    <w:rsid w:val="00FC7B47"/>
    <w:rsid w:val="00FD035C"/>
    <w:rsid w:val="00FD1A35"/>
    <w:rsid w:val="00FD1FE6"/>
    <w:rsid w:val="00FD36C5"/>
    <w:rsid w:val="00FD428C"/>
    <w:rsid w:val="00FD6310"/>
    <w:rsid w:val="00FD7C7B"/>
    <w:rsid w:val="00FD7FD0"/>
    <w:rsid w:val="00FE1D12"/>
    <w:rsid w:val="00FE2122"/>
    <w:rsid w:val="00FE2A86"/>
    <w:rsid w:val="00FE3100"/>
    <w:rsid w:val="00FE66C4"/>
    <w:rsid w:val="00FF296F"/>
    <w:rsid w:val="00FF4F7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11</Pages>
  <Words>3683</Words>
  <Characters>19222</Characters>
  <Application>Microsoft Office Word</Application>
  <DocSecurity>0</DocSecurity>
  <Lines>510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Jasmeen</cp:lastModifiedBy>
  <cp:revision>180</cp:revision>
  <cp:lastPrinted>2019-08-27T05:42:00Z</cp:lastPrinted>
  <dcterms:created xsi:type="dcterms:W3CDTF">2023-10-16T13:41:00Z</dcterms:created>
  <dcterms:modified xsi:type="dcterms:W3CDTF">2024-03-01T22:35:00Z</dcterms:modified>
</cp:coreProperties>
</file>