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FFDA6F1"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48AD5D01">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lang w:val="en-GB"/>
        </w:rPr>
      </w:pPr>
    </w:p>
    <w:p w14:paraId="59317C17" w14:textId="2C593E23" w:rsidR="0011473D" w:rsidRPr="00E2622D" w:rsidRDefault="00C56B6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E2622D">
        <w:rPr>
          <w:rFonts w:ascii="Avenir Next Demi Bold" w:hAnsi="Avenir Next Demi Bold" w:cs="Arial"/>
          <w:b/>
          <w:bCs/>
          <w:color w:val="000000" w:themeColor="text1"/>
          <w:lang w:val="en-GB"/>
        </w:rPr>
        <w:t xml:space="preserve">SUMMATIVE (FORMAL) </w:t>
      </w:r>
      <w:r w:rsidR="009D0811" w:rsidRPr="00E2622D">
        <w:rPr>
          <w:rFonts w:ascii="Avenir Next Demi Bold" w:hAnsi="Avenir Next Demi Bold" w:cs="Arial"/>
          <w:b/>
          <w:bCs/>
          <w:color w:val="000000" w:themeColor="text1"/>
          <w:lang w:val="en-GB"/>
        </w:rPr>
        <w:t xml:space="preserve">ASSESSMENT: MODULE </w:t>
      </w:r>
      <w:r w:rsidR="00996691" w:rsidRPr="00E2622D">
        <w:rPr>
          <w:rFonts w:ascii="Avenir Next Demi Bold" w:hAnsi="Avenir Next Demi Bold" w:cs="Arial"/>
          <w:b/>
          <w:bCs/>
          <w:color w:val="000000" w:themeColor="text1"/>
          <w:lang w:val="en-GB"/>
        </w:rPr>
        <w:t>2A</w:t>
      </w:r>
    </w:p>
    <w:p w14:paraId="1DCE41A2" w14:textId="0CB8A9C3" w:rsidR="002638B0" w:rsidRPr="00E2622D" w:rsidRDefault="002638B0"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p>
    <w:p w14:paraId="3D66C209" w14:textId="603F74ED" w:rsidR="008241C4" w:rsidRPr="00E2622D" w:rsidRDefault="00996691"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lang w:val="en-GB"/>
        </w:rPr>
      </w:pPr>
      <w:r w:rsidRPr="00E2622D">
        <w:rPr>
          <w:rFonts w:ascii="Avenir Next Demi Bold" w:hAnsi="Avenir Next Demi Bold" w:cs="Arial"/>
          <w:b/>
          <w:bCs/>
          <w:color w:val="000000" w:themeColor="text1"/>
          <w:lang w:val="en-GB"/>
        </w:rPr>
        <w:t>THE UNCITRAL MODEL LAW</w:t>
      </w:r>
      <w:r w:rsidR="00EA0A2F" w:rsidRPr="00E2622D">
        <w:rPr>
          <w:rFonts w:ascii="Avenir Next Demi Bold" w:hAnsi="Avenir Next Demi Bold" w:cs="Arial"/>
          <w:b/>
          <w:bCs/>
          <w:color w:val="000000" w:themeColor="text1"/>
          <w:lang w:val="en-GB"/>
        </w:rPr>
        <w:t xml:space="preserve">S RELATING TO </w:t>
      </w:r>
      <w:r w:rsidRPr="00E2622D">
        <w:rPr>
          <w:rFonts w:ascii="Avenir Next Demi Bold" w:hAnsi="Avenir Next Demi Bold" w:cs="Arial"/>
          <w:b/>
          <w:bCs/>
          <w:color w:val="000000" w:themeColor="text1"/>
          <w:lang w:val="en-GB"/>
        </w:rPr>
        <w:t>INSOLVENCY</w:t>
      </w:r>
    </w:p>
    <w:p w14:paraId="5E119630" w14:textId="77777777" w:rsidR="00434A8C" w:rsidRPr="00E2622D" w:rsidRDefault="00434A8C" w:rsidP="00B413F5">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044D6FEB"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B413F5">
        <w:rPr>
          <w:rFonts w:ascii="Avenir Next" w:hAnsi="Avenir Next" w:cs="Arial"/>
          <w:bCs/>
          <w:sz w:val="22"/>
          <w:szCs w:val="22"/>
          <w:lang w:val="en-GB"/>
        </w:rPr>
        <w:t>4</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27407D58"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B413F5">
        <w:rPr>
          <w:rFonts w:ascii="Avenir Next Demi Bold" w:hAnsi="Avenir Next Demi Bold" w:cs="Arial"/>
          <w:b/>
          <w:bCs/>
          <w:sz w:val="22"/>
          <w:szCs w:val="22"/>
          <w:lang w:val="en-GB"/>
        </w:rPr>
        <w:t>4</w:t>
      </w:r>
      <w:r w:rsidRPr="00E2622D">
        <w:rPr>
          <w:rFonts w:ascii="Avenir Next" w:hAnsi="Avenir Next" w:cs="Arial"/>
          <w:sz w:val="22"/>
          <w:szCs w:val="22"/>
          <w:lang w:val="en-GB"/>
        </w:rPr>
        <w:t>. If you elect to submit by 1 March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B413F5">
        <w:rPr>
          <w:rFonts w:ascii="Avenir Next" w:hAnsi="Avenir Next" w:cs="Arial"/>
          <w:sz w:val="22"/>
          <w:szCs w:val="22"/>
          <w:lang w:val="en-GB"/>
        </w:rPr>
        <w:t>4</w:t>
      </w:r>
      <w:r w:rsidRPr="00E2622D">
        <w:rPr>
          <w:rFonts w:ascii="Avenir Next" w:hAnsi="Avenir Next" w:cs="Arial"/>
          <w:sz w:val="22"/>
          <w:szCs w:val="22"/>
          <w:lang w:val="en-GB"/>
        </w:rPr>
        <w:t xml:space="preserve"> (for example, in order to achieve a higher mark).</w:t>
      </w:r>
    </w:p>
    <w:p w14:paraId="40E8BCD6" w14:textId="77F1CC82" w:rsidR="0018267A" w:rsidRPr="00E2622D" w:rsidRDefault="0018267A" w:rsidP="00CE2A6A">
      <w:pPr>
        <w:jc w:val="both"/>
        <w:rPr>
          <w:rFonts w:ascii="Avenir Next" w:hAnsi="Avenir Next" w:cs="Arial"/>
          <w:sz w:val="22"/>
          <w:szCs w:val="22"/>
          <w:lang w:val="en-GB"/>
        </w:rPr>
      </w:pP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123F8B12"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6C338146" w14:textId="619DDCFC" w:rsidR="00B263D0" w:rsidRPr="00163913" w:rsidRDefault="00B263D0" w:rsidP="00B263D0">
      <w:pPr>
        <w:jc w:val="both"/>
        <w:rPr>
          <w:rFonts w:ascii="Avenir Next Demi Bold" w:hAnsi="Avenir Next Demi Bold" w:cs="Arial"/>
          <w:b/>
          <w:bCs/>
          <w:sz w:val="22"/>
          <w:szCs w:val="22"/>
          <w:lang w:val="en-GB"/>
        </w:rPr>
      </w:pPr>
      <w:r w:rsidRPr="00B311F9">
        <w:rPr>
          <w:rFonts w:ascii="Avenir Next" w:hAnsi="Avenir Next" w:cs="Arial"/>
          <w:sz w:val="22"/>
          <w:szCs w:val="22"/>
          <w:lang w:val="en-GB"/>
        </w:rPr>
        <w:t xml:space="preserve">Which </w:t>
      </w:r>
      <w:r>
        <w:rPr>
          <w:rFonts w:ascii="Avenir Next" w:hAnsi="Avenir Next" w:cs="Arial"/>
          <w:sz w:val="22"/>
          <w:szCs w:val="22"/>
          <w:lang w:val="en-GB"/>
        </w:rPr>
        <w:t xml:space="preserve">one of the following </w:t>
      </w:r>
      <w:r w:rsidRPr="00B311F9">
        <w:rPr>
          <w:rFonts w:ascii="Avenir Next" w:hAnsi="Avenir Next" w:cs="Arial"/>
          <w:sz w:val="22"/>
          <w:szCs w:val="22"/>
          <w:lang w:val="en-GB"/>
        </w:rPr>
        <w:t>international organi</w:t>
      </w:r>
      <w:r>
        <w:rPr>
          <w:rFonts w:ascii="Avenir Next" w:hAnsi="Avenir Next" w:cs="Arial"/>
          <w:sz w:val="22"/>
          <w:szCs w:val="22"/>
          <w:lang w:val="en-GB"/>
        </w:rPr>
        <w:t>s</w:t>
      </w:r>
      <w:r w:rsidRPr="00B311F9">
        <w:rPr>
          <w:rFonts w:ascii="Avenir Next" w:hAnsi="Avenir Next" w:cs="Arial"/>
          <w:sz w:val="22"/>
          <w:szCs w:val="22"/>
          <w:lang w:val="en-GB"/>
        </w:rPr>
        <w:t>ations</w:t>
      </w:r>
      <w:r>
        <w:rPr>
          <w:rFonts w:ascii="Avenir Next" w:hAnsi="Avenir Next" w:cs="Arial"/>
          <w:sz w:val="22"/>
          <w:szCs w:val="22"/>
          <w:lang w:val="en-GB"/>
        </w:rPr>
        <w:t>’</w:t>
      </w:r>
      <w:r w:rsidRPr="00B311F9">
        <w:rPr>
          <w:rFonts w:ascii="Avenir Next" w:hAnsi="Avenir Next" w:cs="Arial"/>
          <w:sz w:val="22"/>
          <w:szCs w:val="22"/>
          <w:lang w:val="en-GB"/>
        </w:rPr>
        <w:t xml:space="preserve"> mandate is to further the </w:t>
      </w:r>
      <w:r w:rsidRPr="00611A92">
        <w:rPr>
          <w:rFonts w:ascii="Avenir Next Demi Bold" w:hAnsi="Avenir Next Demi Bold" w:cs="Arial"/>
          <w:b/>
          <w:bCs/>
          <w:sz w:val="22"/>
          <w:szCs w:val="22"/>
          <w:u w:val="single"/>
          <w:lang w:val="en-GB"/>
        </w:rPr>
        <w:t>progressive harmoni</w:t>
      </w:r>
      <w:r w:rsidR="00B66441">
        <w:rPr>
          <w:rFonts w:ascii="Avenir Next Demi Bold" w:hAnsi="Avenir Next Demi Bold" w:cs="Arial"/>
          <w:b/>
          <w:bCs/>
          <w:sz w:val="22"/>
          <w:szCs w:val="22"/>
          <w:u w:val="single"/>
          <w:lang w:val="en-GB"/>
        </w:rPr>
        <w:t>z</w:t>
      </w:r>
      <w:r w:rsidRPr="00611A92">
        <w:rPr>
          <w:rFonts w:ascii="Avenir Next Demi Bold" w:hAnsi="Avenir Next Demi Bold" w:cs="Arial"/>
          <w:b/>
          <w:bCs/>
          <w:sz w:val="22"/>
          <w:szCs w:val="22"/>
          <w:u w:val="single"/>
          <w:lang w:val="en-GB"/>
        </w:rPr>
        <w:t>ation of the law of international trade</w:t>
      </w:r>
      <w:r w:rsidRPr="00611A92">
        <w:rPr>
          <w:rFonts w:ascii="Avenir Next" w:hAnsi="Avenir Next" w:cs="Arial"/>
          <w:sz w:val="22"/>
          <w:szCs w:val="22"/>
          <w:lang w:val="en-GB"/>
        </w:rPr>
        <w:t>?</w:t>
      </w:r>
    </w:p>
    <w:p w14:paraId="0EF352C5" w14:textId="77777777" w:rsidR="00B263D0" w:rsidRPr="00163913" w:rsidRDefault="00B263D0" w:rsidP="00B263D0">
      <w:pPr>
        <w:jc w:val="both"/>
        <w:rPr>
          <w:rFonts w:ascii="Avenir Next Demi Bold" w:hAnsi="Avenir Next Demi Bold" w:cs="Arial"/>
          <w:b/>
          <w:bCs/>
          <w:sz w:val="22"/>
          <w:szCs w:val="22"/>
          <w:lang w:val="en-GB"/>
        </w:rPr>
      </w:pPr>
    </w:p>
    <w:p w14:paraId="27BAF841" w14:textId="77777777" w:rsidR="00B263D0" w:rsidRDefault="00B263D0" w:rsidP="00040104">
      <w:pPr>
        <w:pStyle w:val="ListParagraph"/>
        <w:numPr>
          <w:ilvl w:val="0"/>
          <w:numId w:val="1"/>
        </w:numPr>
        <w:ind w:left="426" w:hanging="426"/>
        <w:jc w:val="both"/>
        <w:rPr>
          <w:rFonts w:ascii="Avenir Next" w:hAnsi="Avenir Next" w:cs="Arial"/>
          <w:sz w:val="22"/>
          <w:szCs w:val="22"/>
          <w:lang w:val="en-GB"/>
        </w:rPr>
      </w:pPr>
      <w:r w:rsidRPr="00163913">
        <w:rPr>
          <w:rFonts w:ascii="Avenir Next" w:hAnsi="Avenir Next" w:cs="Arial"/>
          <w:sz w:val="22"/>
          <w:szCs w:val="22"/>
          <w:lang w:val="en-GB"/>
        </w:rPr>
        <w:t>World Trade</w:t>
      </w:r>
      <w:r w:rsidRPr="0055130C">
        <w:rPr>
          <w:rFonts w:ascii="Avenir Next" w:hAnsi="Avenir Next" w:cs="Arial"/>
          <w:sz w:val="22"/>
          <w:szCs w:val="22"/>
          <w:lang w:val="en-GB"/>
        </w:rPr>
        <w:t xml:space="preserve"> Organization</w:t>
      </w:r>
      <w:r>
        <w:rPr>
          <w:rFonts w:ascii="Avenir Next" w:hAnsi="Avenir Next" w:cs="Arial"/>
          <w:sz w:val="22"/>
          <w:szCs w:val="22"/>
          <w:lang w:val="en-GB"/>
        </w:rPr>
        <w:t>.</w:t>
      </w:r>
    </w:p>
    <w:p w14:paraId="4AD2A14A" w14:textId="77777777" w:rsidR="00B263D0" w:rsidRPr="0055130C" w:rsidRDefault="00B263D0" w:rsidP="00B263D0">
      <w:pPr>
        <w:pStyle w:val="ListParagraph"/>
        <w:ind w:left="426" w:hanging="426"/>
        <w:jc w:val="both"/>
        <w:rPr>
          <w:rFonts w:ascii="Avenir Next" w:hAnsi="Avenir Next" w:cs="Arial"/>
          <w:sz w:val="22"/>
          <w:szCs w:val="22"/>
          <w:lang w:val="en-GB"/>
        </w:rPr>
      </w:pPr>
    </w:p>
    <w:p w14:paraId="0D827F42" w14:textId="77777777" w:rsidR="00B263D0" w:rsidRPr="00766285" w:rsidRDefault="00B263D0" w:rsidP="00040104">
      <w:pPr>
        <w:pStyle w:val="ListParagraph"/>
        <w:numPr>
          <w:ilvl w:val="0"/>
          <w:numId w:val="1"/>
        </w:numPr>
        <w:ind w:left="426" w:hanging="426"/>
        <w:jc w:val="both"/>
        <w:rPr>
          <w:rFonts w:ascii="Avenir Next" w:hAnsi="Avenir Next" w:cs="Arial"/>
          <w:sz w:val="22"/>
          <w:szCs w:val="22"/>
          <w:highlight w:val="yellow"/>
          <w:lang w:val="en-GB"/>
        </w:rPr>
      </w:pPr>
      <w:r w:rsidRPr="00766285">
        <w:rPr>
          <w:rFonts w:ascii="Avenir Next" w:hAnsi="Avenir Next" w:cs="Arial"/>
          <w:sz w:val="22"/>
          <w:szCs w:val="22"/>
          <w:highlight w:val="yellow"/>
          <w:lang w:val="en-GB"/>
        </w:rPr>
        <w:t>The United Nations Commission on International Trade Law.</w:t>
      </w:r>
    </w:p>
    <w:p w14:paraId="6258C59D" w14:textId="77777777" w:rsidR="00B263D0" w:rsidRPr="0055130C" w:rsidRDefault="00B263D0" w:rsidP="00B263D0">
      <w:pPr>
        <w:ind w:hanging="426"/>
        <w:jc w:val="both"/>
        <w:rPr>
          <w:rFonts w:ascii="Avenir Next" w:hAnsi="Avenir Next" w:cs="Arial"/>
          <w:sz w:val="22"/>
          <w:szCs w:val="22"/>
          <w:lang w:val="en-GB"/>
        </w:rPr>
      </w:pPr>
    </w:p>
    <w:p w14:paraId="02A2128C" w14:textId="77777777" w:rsidR="00B263D0" w:rsidRPr="0055130C" w:rsidRDefault="00B263D0" w:rsidP="00040104">
      <w:pPr>
        <w:pStyle w:val="ListParagraph"/>
        <w:numPr>
          <w:ilvl w:val="0"/>
          <w:numId w:val="1"/>
        </w:numPr>
        <w:ind w:left="426" w:hanging="426"/>
        <w:jc w:val="both"/>
        <w:rPr>
          <w:rFonts w:ascii="Avenir Next" w:hAnsi="Avenir Next" w:cs="Arial"/>
          <w:sz w:val="22"/>
          <w:szCs w:val="22"/>
          <w:lang w:val="en-GB"/>
        </w:rPr>
      </w:pPr>
      <w:r w:rsidRPr="0055130C">
        <w:rPr>
          <w:rFonts w:ascii="Avenir Next" w:hAnsi="Avenir Next" w:cs="Arial"/>
          <w:sz w:val="22"/>
          <w:szCs w:val="22"/>
          <w:lang w:val="en-GB"/>
        </w:rPr>
        <w:t>The United Nations Conference on Trade and Development</w:t>
      </w:r>
      <w:r>
        <w:rPr>
          <w:rFonts w:ascii="Avenir Next" w:hAnsi="Avenir Next" w:cs="Arial"/>
          <w:sz w:val="22"/>
          <w:szCs w:val="22"/>
          <w:lang w:val="en-GB"/>
        </w:rPr>
        <w:t>.</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49053D09" w14:textId="77777777" w:rsidR="00AD0E59" w:rsidRDefault="00AD0E59" w:rsidP="004E1674">
      <w:pPr>
        <w:jc w:val="both"/>
        <w:rPr>
          <w:rFonts w:ascii="Avenir Next" w:hAnsi="Avenir Next" w:cs="Arial"/>
          <w:sz w:val="22"/>
          <w:szCs w:val="22"/>
          <w:lang w:val="en-GB"/>
        </w:rPr>
      </w:pPr>
      <w:r w:rsidRPr="00811079">
        <w:rPr>
          <w:rFonts w:ascii="Avenir Next" w:hAnsi="Avenir Next" w:cs="Arial"/>
          <w:sz w:val="22"/>
          <w:szCs w:val="22"/>
          <w:lang w:val="en-GB"/>
        </w:rPr>
        <w:t xml:space="preserve">Which trend(s) and process(es) served as a </w:t>
      </w:r>
      <w:r w:rsidRPr="00611A92">
        <w:rPr>
          <w:rFonts w:ascii="Avenir Next Demi Bold" w:hAnsi="Avenir Next Demi Bold" w:cs="Arial"/>
          <w:b/>
          <w:bCs/>
          <w:sz w:val="22"/>
          <w:szCs w:val="22"/>
          <w:u w:val="single"/>
          <w:lang w:val="en-GB"/>
        </w:rPr>
        <w:t>proximate cause</w:t>
      </w:r>
      <w:r w:rsidRPr="00811079">
        <w:rPr>
          <w:rFonts w:ascii="Avenir Next" w:hAnsi="Avenir Next" w:cs="Arial"/>
          <w:sz w:val="22"/>
          <w:szCs w:val="22"/>
          <w:lang w:val="en-GB"/>
        </w:rPr>
        <w:t xml:space="preserve"> for the development MLCBI?</w:t>
      </w:r>
    </w:p>
    <w:p w14:paraId="2FE5077D" w14:textId="77777777" w:rsidR="004E1674" w:rsidRPr="00811079" w:rsidRDefault="004E1674" w:rsidP="004E1674">
      <w:pPr>
        <w:jc w:val="both"/>
        <w:rPr>
          <w:rFonts w:ascii="Avenir Next" w:hAnsi="Avenir Next" w:cs="Arial"/>
          <w:sz w:val="22"/>
          <w:szCs w:val="22"/>
          <w:lang w:val="en-GB"/>
        </w:rPr>
      </w:pPr>
    </w:p>
    <w:p w14:paraId="69034B9F" w14:textId="77777777" w:rsidR="00AD0E59" w:rsidRDefault="00AD0E59" w:rsidP="0004010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Rise of corporations.</w:t>
      </w:r>
    </w:p>
    <w:p w14:paraId="3E790C4C" w14:textId="77777777" w:rsidR="00AD0E59" w:rsidRPr="00D75B4B" w:rsidRDefault="00AD0E59" w:rsidP="00AD0E59">
      <w:pPr>
        <w:pStyle w:val="ListParagraph"/>
        <w:ind w:left="426" w:hanging="426"/>
        <w:rPr>
          <w:rFonts w:ascii="Avenir Next" w:hAnsi="Avenir Next"/>
          <w:sz w:val="22"/>
          <w:szCs w:val="28"/>
        </w:rPr>
      </w:pPr>
    </w:p>
    <w:p w14:paraId="44D98AEA" w14:textId="77777777" w:rsidR="00AD0E59" w:rsidRDefault="00AD0E59" w:rsidP="0004010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Internationalisation.</w:t>
      </w:r>
    </w:p>
    <w:p w14:paraId="68B2FB89" w14:textId="77777777" w:rsidR="00AD0E59" w:rsidRPr="00725665" w:rsidRDefault="00AD0E59" w:rsidP="00AD0E59">
      <w:pPr>
        <w:ind w:left="426" w:hanging="426"/>
        <w:rPr>
          <w:rFonts w:ascii="Avenir Next" w:hAnsi="Avenir Next"/>
          <w:sz w:val="22"/>
          <w:szCs w:val="28"/>
        </w:rPr>
      </w:pPr>
    </w:p>
    <w:p w14:paraId="3568B061" w14:textId="0AA438B4" w:rsidR="00AD0E59" w:rsidRDefault="00AD0E59" w:rsidP="0004010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Globali</w:t>
      </w:r>
      <w:r w:rsidR="00B66441">
        <w:rPr>
          <w:rFonts w:ascii="Avenir Next" w:hAnsi="Avenir Next"/>
          <w:sz w:val="22"/>
          <w:szCs w:val="28"/>
        </w:rPr>
        <w:t>z</w:t>
      </w:r>
      <w:r w:rsidRPr="00D75B4B">
        <w:rPr>
          <w:rFonts w:ascii="Avenir Next" w:hAnsi="Avenir Next"/>
          <w:sz w:val="22"/>
          <w:szCs w:val="28"/>
        </w:rPr>
        <w:t>ation.</w:t>
      </w:r>
    </w:p>
    <w:p w14:paraId="0C434B83" w14:textId="77777777" w:rsidR="00AD0E59" w:rsidRPr="00725665" w:rsidRDefault="00AD0E59" w:rsidP="00AD0E59">
      <w:pPr>
        <w:ind w:left="426" w:hanging="426"/>
        <w:rPr>
          <w:rFonts w:ascii="Avenir Next" w:hAnsi="Avenir Next"/>
          <w:sz w:val="22"/>
          <w:szCs w:val="28"/>
        </w:rPr>
      </w:pPr>
    </w:p>
    <w:p w14:paraId="0CB4A501" w14:textId="77777777" w:rsidR="00AD0E59" w:rsidRDefault="00AD0E59" w:rsidP="0004010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Universalism.</w:t>
      </w:r>
    </w:p>
    <w:p w14:paraId="092AC4A0" w14:textId="77777777" w:rsidR="00AD0E59" w:rsidRPr="00725665" w:rsidRDefault="00AD0E59" w:rsidP="00AD0E59">
      <w:pPr>
        <w:ind w:left="426" w:hanging="426"/>
        <w:rPr>
          <w:rFonts w:ascii="Avenir Next" w:hAnsi="Avenir Next"/>
          <w:sz w:val="22"/>
          <w:szCs w:val="28"/>
        </w:rPr>
      </w:pPr>
    </w:p>
    <w:p w14:paraId="48C5D683" w14:textId="77777777" w:rsidR="00AD0E59" w:rsidRDefault="00AD0E59" w:rsidP="0004010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Territorialism.</w:t>
      </w:r>
    </w:p>
    <w:p w14:paraId="68C335C1" w14:textId="77777777" w:rsidR="00AD0E59" w:rsidRPr="00725665" w:rsidRDefault="00AD0E59" w:rsidP="00AD0E59">
      <w:pPr>
        <w:ind w:left="426" w:hanging="426"/>
        <w:rPr>
          <w:rFonts w:ascii="Avenir Next" w:hAnsi="Avenir Next"/>
          <w:sz w:val="22"/>
          <w:szCs w:val="28"/>
        </w:rPr>
      </w:pPr>
    </w:p>
    <w:p w14:paraId="23F228F9" w14:textId="77777777" w:rsidR="00AD0E59" w:rsidRDefault="00AD0E59" w:rsidP="00040104">
      <w:pPr>
        <w:pStyle w:val="ListParagraph"/>
        <w:numPr>
          <w:ilvl w:val="0"/>
          <w:numId w:val="11"/>
        </w:numPr>
        <w:ind w:left="426" w:hanging="426"/>
        <w:rPr>
          <w:rFonts w:ascii="Avenir Next" w:hAnsi="Avenir Next"/>
          <w:sz w:val="22"/>
          <w:szCs w:val="28"/>
        </w:rPr>
      </w:pPr>
      <w:r w:rsidRPr="00D75B4B">
        <w:rPr>
          <w:rFonts w:ascii="Avenir Next" w:hAnsi="Avenir Next"/>
          <w:sz w:val="22"/>
          <w:szCs w:val="28"/>
        </w:rPr>
        <w:t>Technological advances.</w:t>
      </w:r>
    </w:p>
    <w:p w14:paraId="1C1A959A" w14:textId="77777777" w:rsidR="00AD0E59" w:rsidRPr="00D75B4B" w:rsidRDefault="00AD0E59" w:rsidP="00AD0E59">
      <w:pPr>
        <w:pStyle w:val="ListParagraph"/>
        <w:ind w:left="567"/>
        <w:rPr>
          <w:rFonts w:ascii="Avenir Next" w:hAnsi="Avenir Next"/>
          <w:sz w:val="22"/>
          <w:szCs w:val="28"/>
        </w:rPr>
      </w:pPr>
    </w:p>
    <w:p w14:paraId="42E9F0D0" w14:textId="77777777" w:rsidR="00AD0E59" w:rsidRPr="0081491D" w:rsidRDefault="00AD0E59" w:rsidP="00AD0E59">
      <w:pPr>
        <w:spacing w:after="240"/>
        <w:jc w:val="both"/>
        <w:rPr>
          <w:rFonts w:ascii="Avenir Next" w:hAnsi="Avenir Next" w:cs="Arial"/>
          <w:sz w:val="22"/>
          <w:szCs w:val="28"/>
        </w:rPr>
      </w:pPr>
      <w:r w:rsidRPr="0081491D">
        <w:rPr>
          <w:rFonts w:ascii="Avenir Next" w:hAnsi="Avenir Next" w:cs="Arial"/>
          <w:sz w:val="22"/>
          <w:szCs w:val="28"/>
        </w:rPr>
        <w:t>Choose the correct answer:</w:t>
      </w:r>
    </w:p>
    <w:p w14:paraId="23C83A6C" w14:textId="77777777" w:rsidR="00AD0E59" w:rsidRPr="004E1674" w:rsidRDefault="00AD0E59" w:rsidP="00040104">
      <w:pPr>
        <w:pStyle w:val="ListParagraph"/>
        <w:numPr>
          <w:ilvl w:val="0"/>
          <w:numId w:val="10"/>
        </w:numPr>
        <w:ind w:left="426" w:hanging="426"/>
        <w:jc w:val="both"/>
        <w:rPr>
          <w:rFonts w:ascii="Avenir Next" w:hAnsi="Avenir Next" w:cs="Arial"/>
          <w:sz w:val="22"/>
          <w:szCs w:val="22"/>
          <w:lang w:val="en-GB"/>
        </w:rPr>
      </w:pPr>
      <w:r w:rsidRPr="004E1674">
        <w:rPr>
          <w:rFonts w:ascii="Avenir Next" w:hAnsi="Avenir Next" w:cs="Arial"/>
          <w:sz w:val="22"/>
          <w:szCs w:val="22"/>
          <w:lang w:val="en-GB"/>
        </w:rPr>
        <w:t>Options (i), (ii), (iii), (iv) and (vi).</w:t>
      </w:r>
    </w:p>
    <w:p w14:paraId="5376196D" w14:textId="77777777" w:rsidR="00AD0E59" w:rsidRPr="00E2622D" w:rsidRDefault="00AD0E59" w:rsidP="00AD0E59">
      <w:pPr>
        <w:ind w:left="426" w:hanging="426"/>
        <w:jc w:val="both"/>
        <w:rPr>
          <w:rFonts w:ascii="Avenir Next" w:hAnsi="Avenir Next" w:cs="Arial"/>
          <w:sz w:val="22"/>
          <w:szCs w:val="22"/>
          <w:lang w:val="en-GB"/>
        </w:rPr>
      </w:pPr>
    </w:p>
    <w:p w14:paraId="74BA3C6B" w14:textId="77777777" w:rsidR="00AD0E59" w:rsidRPr="00F12F47" w:rsidRDefault="00AD0E59" w:rsidP="0004010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t>Options (i), (ii), (iii)</w:t>
      </w:r>
      <w:r>
        <w:rPr>
          <w:rFonts w:ascii="Avenir Next" w:hAnsi="Avenir Next" w:cs="Arial"/>
          <w:sz w:val="22"/>
          <w:szCs w:val="22"/>
          <w:lang w:val="en-GB"/>
        </w:rPr>
        <w:t xml:space="preserve"> and</w:t>
      </w:r>
      <w:r w:rsidRPr="00F12F47">
        <w:rPr>
          <w:rFonts w:ascii="Avenir Next" w:hAnsi="Avenir Next" w:cs="Arial"/>
          <w:sz w:val="22"/>
          <w:szCs w:val="22"/>
          <w:lang w:val="en-GB"/>
        </w:rPr>
        <w:t xml:space="preserve"> (iv).</w:t>
      </w:r>
    </w:p>
    <w:p w14:paraId="27ACBC33" w14:textId="77777777" w:rsidR="00AD0E59" w:rsidRPr="00F12F47" w:rsidRDefault="00AD0E59" w:rsidP="00AD0E59">
      <w:pPr>
        <w:ind w:left="426" w:hanging="426"/>
        <w:jc w:val="both"/>
        <w:rPr>
          <w:rFonts w:ascii="Avenir Next" w:hAnsi="Avenir Next" w:cs="Arial"/>
          <w:sz w:val="22"/>
          <w:szCs w:val="22"/>
          <w:lang w:val="en-GB"/>
        </w:rPr>
      </w:pPr>
    </w:p>
    <w:p w14:paraId="28BCB696" w14:textId="77777777" w:rsidR="00AD0E59" w:rsidRPr="008208F0" w:rsidRDefault="00AD0E59" w:rsidP="00040104">
      <w:pPr>
        <w:pStyle w:val="ListParagraph"/>
        <w:numPr>
          <w:ilvl w:val="0"/>
          <w:numId w:val="10"/>
        </w:numPr>
        <w:ind w:left="426" w:hanging="426"/>
        <w:jc w:val="both"/>
        <w:rPr>
          <w:rFonts w:ascii="Avenir Next" w:hAnsi="Avenir Next" w:cs="Arial"/>
          <w:sz w:val="22"/>
          <w:szCs w:val="22"/>
          <w:highlight w:val="yellow"/>
          <w:lang w:val="en-GB"/>
        </w:rPr>
      </w:pPr>
      <w:r w:rsidRPr="008208F0">
        <w:rPr>
          <w:rFonts w:ascii="Avenir Next" w:hAnsi="Avenir Next" w:cs="Arial"/>
          <w:sz w:val="22"/>
          <w:szCs w:val="22"/>
          <w:highlight w:val="yellow"/>
          <w:lang w:val="en-GB"/>
        </w:rPr>
        <w:t>Options (ii), (iii), (iv) and (vi).</w:t>
      </w:r>
    </w:p>
    <w:p w14:paraId="6AB56BF6" w14:textId="77777777" w:rsidR="00AD0E59" w:rsidRPr="00E2622D" w:rsidRDefault="00AD0E59" w:rsidP="00AD0E59">
      <w:pPr>
        <w:ind w:left="426" w:hanging="426"/>
        <w:jc w:val="both"/>
        <w:rPr>
          <w:rFonts w:ascii="Avenir Next" w:hAnsi="Avenir Next" w:cs="Arial"/>
          <w:sz w:val="22"/>
          <w:szCs w:val="22"/>
          <w:lang w:val="en-GB"/>
        </w:rPr>
      </w:pPr>
    </w:p>
    <w:p w14:paraId="4CFBA38B" w14:textId="77777777" w:rsidR="00AD0E59" w:rsidRPr="00F12F47" w:rsidRDefault="00AD0E59" w:rsidP="00040104">
      <w:pPr>
        <w:pStyle w:val="ListParagraph"/>
        <w:numPr>
          <w:ilvl w:val="0"/>
          <w:numId w:val="10"/>
        </w:numPr>
        <w:ind w:left="426" w:hanging="426"/>
        <w:jc w:val="both"/>
        <w:rPr>
          <w:rFonts w:ascii="Avenir Next" w:hAnsi="Avenir Next" w:cs="Arial"/>
          <w:sz w:val="22"/>
          <w:szCs w:val="22"/>
          <w:lang w:val="en-GB"/>
        </w:rPr>
      </w:pPr>
      <w:r w:rsidRPr="00F12F47">
        <w:rPr>
          <w:rFonts w:ascii="Avenir Next" w:hAnsi="Avenir Next" w:cs="Arial"/>
          <w:sz w:val="22"/>
          <w:szCs w:val="22"/>
          <w:lang w:val="en-GB"/>
        </w:rPr>
        <w:lastRenderedPageBreak/>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7F1070C" w14:textId="77777777" w:rsidR="00893A03"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w:t>
      </w:r>
      <w:r>
        <w:rPr>
          <w:rFonts w:ascii="Avenir Next" w:hAnsi="Avenir Next" w:cs="Arial"/>
          <w:sz w:val="22"/>
          <w:szCs w:val="22"/>
          <w:lang w:val="en-GB"/>
        </w:rPr>
        <w:t xml:space="preserve">statements </w:t>
      </w:r>
      <w:r w:rsidRPr="001670E4">
        <w:rPr>
          <w:rFonts w:ascii="Avenir Next Demi Bold" w:hAnsi="Avenir Next Demi Bold" w:cs="Arial"/>
          <w:b/>
          <w:bCs/>
          <w:sz w:val="22"/>
          <w:szCs w:val="22"/>
          <w:u w:val="single"/>
          <w:lang w:val="en-GB"/>
        </w:rPr>
        <w:t>incorrectly</w:t>
      </w:r>
      <w:r>
        <w:rPr>
          <w:rFonts w:ascii="Avenir Next" w:hAnsi="Avenir Next" w:cs="Arial"/>
          <w:sz w:val="22"/>
          <w:szCs w:val="22"/>
          <w:lang w:val="en-GB"/>
        </w:rPr>
        <w:t xml:space="preserve"> describe the MLCBI?</w:t>
      </w:r>
    </w:p>
    <w:p w14:paraId="64A80DAE" w14:textId="77777777" w:rsidR="00893A03" w:rsidRDefault="00893A03" w:rsidP="00893A03">
      <w:pPr>
        <w:jc w:val="both"/>
        <w:rPr>
          <w:rFonts w:ascii="Avenir Next" w:hAnsi="Avenir Next" w:cs="Arial"/>
          <w:sz w:val="22"/>
          <w:szCs w:val="22"/>
          <w:lang w:val="en-GB"/>
        </w:rPr>
      </w:pPr>
    </w:p>
    <w:p w14:paraId="1E21C081" w14:textId="77777777" w:rsidR="00893A03" w:rsidRDefault="00893A03" w:rsidP="0004010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legislation that imposes a mandatory reciprocity on the participating members</w:t>
      </w:r>
      <w:r>
        <w:rPr>
          <w:rFonts w:ascii="Avenir Next" w:hAnsi="Avenir Next"/>
          <w:sz w:val="22"/>
          <w:szCs w:val="28"/>
        </w:rPr>
        <w:t>.</w:t>
      </w:r>
    </w:p>
    <w:p w14:paraId="0FE2C4BF" w14:textId="77777777" w:rsidR="00893A03" w:rsidRPr="00894D34" w:rsidRDefault="00893A03" w:rsidP="00893A03">
      <w:pPr>
        <w:pStyle w:val="ListParagraph"/>
        <w:ind w:left="426" w:hanging="426"/>
        <w:jc w:val="both"/>
        <w:rPr>
          <w:rFonts w:ascii="Avenir Next" w:hAnsi="Avenir Next"/>
          <w:sz w:val="22"/>
          <w:szCs w:val="28"/>
        </w:rPr>
      </w:pPr>
    </w:p>
    <w:p w14:paraId="09A2897D" w14:textId="77777777" w:rsidR="00893A03" w:rsidRDefault="00893A03" w:rsidP="0004010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legislative text that serves as a recommendation for incorporation in national laws</w:t>
      </w:r>
      <w:r>
        <w:rPr>
          <w:rFonts w:ascii="Avenir Next" w:hAnsi="Avenir Next"/>
          <w:sz w:val="22"/>
          <w:szCs w:val="28"/>
        </w:rPr>
        <w:t>.</w:t>
      </w:r>
    </w:p>
    <w:p w14:paraId="3B81396E" w14:textId="77777777" w:rsidR="00893A03" w:rsidRPr="00BF31C4" w:rsidRDefault="00893A03" w:rsidP="00893A03">
      <w:pPr>
        <w:ind w:left="426" w:hanging="426"/>
        <w:jc w:val="both"/>
        <w:rPr>
          <w:rFonts w:ascii="Avenir Next" w:hAnsi="Avenir Next"/>
          <w:sz w:val="22"/>
          <w:szCs w:val="28"/>
        </w:rPr>
      </w:pPr>
    </w:p>
    <w:p w14:paraId="67851391" w14:textId="77777777" w:rsidR="00893A03" w:rsidRDefault="00893A03" w:rsidP="0004010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intended to substantively unify the insolvency laws of the foreign nations</w:t>
      </w:r>
      <w:r>
        <w:rPr>
          <w:rFonts w:ascii="Avenir Next" w:hAnsi="Avenir Next"/>
          <w:sz w:val="22"/>
          <w:szCs w:val="28"/>
        </w:rPr>
        <w:t>.</w:t>
      </w:r>
    </w:p>
    <w:p w14:paraId="774C7D03" w14:textId="77777777" w:rsidR="00893A03" w:rsidRPr="00BF31C4" w:rsidRDefault="00893A03" w:rsidP="00893A03">
      <w:pPr>
        <w:ind w:left="426" w:hanging="426"/>
        <w:jc w:val="both"/>
        <w:rPr>
          <w:rFonts w:ascii="Avenir Next" w:hAnsi="Avenir Next"/>
          <w:sz w:val="22"/>
          <w:szCs w:val="28"/>
        </w:rPr>
      </w:pPr>
    </w:p>
    <w:p w14:paraId="4C64C60A" w14:textId="77777777" w:rsidR="00893A03" w:rsidRPr="00894D34" w:rsidRDefault="00893A03" w:rsidP="00040104">
      <w:pPr>
        <w:pStyle w:val="ListParagraph"/>
        <w:numPr>
          <w:ilvl w:val="0"/>
          <w:numId w:val="12"/>
        </w:numPr>
        <w:ind w:left="426" w:hanging="426"/>
        <w:jc w:val="both"/>
        <w:rPr>
          <w:rFonts w:ascii="Avenir Next" w:hAnsi="Avenir Next"/>
          <w:sz w:val="22"/>
          <w:szCs w:val="28"/>
        </w:rPr>
      </w:pPr>
      <w:r w:rsidRPr="00894D34">
        <w:rPr>
          <w:rFonts w:ascii="Avenir Next" w:hAnsi="Avenir Next"/>
          <w:sz w:val="22"/>
          <w:szCs w:val="28"/>
        </w:rPr>
        <w:t>It is a treaty that is binding on the participating members</w:t>
      </w:r>
      <w:r>
        <w:rPr>
          <w:rFonts w:ascii="Avenir Next" w:hAnsi="Avenir Next"/>
          <w:sz w:val="22"/>
          <w:szCs w:val="28"/>
        </w:rPr>
        <w:t>.</w:t>
      </w:r>
    </w:p>
    <w:p w14:paraId="510E417A" w14:textId="77777777" w:rsidR="00893A03" w:rsidRPr="00E2622D" w:rsidRDefault="00893A03" w:rsidP="00893A03">
      <w:pPr>
        <w:jc w:val="both"/>
        <w:rPr>
          <w:rFonts w:ascii="Avenir Next" w:hAnsi="Avenir Next" w:cs="Arial"/>
          <w:sz w:val="22"/>
          <w:szCs w:val="22"/>
          <w:lang w:val="en-GB"/>
        </w:rPr>
      </w:pPr>
      <w:r w:rsidRPr="00E2622D">
        <w:rPr>
          <w:rFonts w:ascii="Avenir Next" w:hAnsi="Avenir Next" w:cs="Arial"/>
          <w:sz w:val="22"/>
          <w:szCs w:val="22"/>
          <w:lang w:val="en-GB"/>
        </w:rPr>
        <w:tab/>
      </w:r>
    </w:p>
    <w:p w14:paraId="2AF2C8FA" w14:textId="77777777" w:rsidR="00893A03" w:rsidRDefault="00893A03" w:rsidP="00893A03">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3F14E8A0" w14:textId="77777777" w:rsidR="00893A03" w:rsidRPr="00E2622D" w:rsidRDefault="00893A03" w:rsidP="00893A03">
      <w:pPr>
        <w:ind w:left="720" w:hanging="720"/>
        <w:jc w:val="both"/>
        <w:rPr>
          <w:rFonts w:ascii="Avenir Next" w:hAnsi="Avenir Next" w:cs="Arial"/>
          <w:sz w:val="22"/>
          <w:szCs w:val="22"/>
          <w:lang w:val="en-GB"/>
        </w:rPr>
      </w:pPr>
    </w:p>
    <w:p w14:paraId="202D18BF" w14:textId="77777777" w:rsidR="00893A03" w:rsidRDefault="00893A03" w:rsidP="0004010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7D1B09F6" w14:textId="77777777" w:rsidR="00893A03" w:rsidRPr="00060E02" w:rsidRDefault="00893A03" w:rsidP="00893A03">
      <w:pPr>
        <w:ind w:left="66" w:hanging="426"/>
        <w:jc w:val="both"/>
        <w:rPr>
          <w:rFonts w:ascii="Avenir Next" w:hAnsi="Avenir Next" w:cs="Arial"/>
          <w:sz w:val="22"/>
          <w:szCs w:val="22"/>
          <w:lang w:val="en-GB"/>
        </w:rPr>
      </w:pPr>
    </w:p>
    <w:p w14:paraId="115A1383" w14:textId="77777777" w:rsidR="00893A03" w:rsidRPr="00E2622D" w:rsidRDefault="00893A03" w:rsidP="0004010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Options (i), (ii) and (iv)</w:t>
      </w:r>
      <w:r w:rsidRPr="00E2622D">
        <w:rPr>
          <w:rFonts w:ascii="Avenir Next" w:hAnsi="Avenir Next" w:cs="Arial"/>
          <w:sz w:val="22"/>
          <w:szCs w:val="22"/>
          <w:lang w:val="en-GB"/>
        </w:rPr>
        <w:t>.</w:t>
      </w:r>
    </w:p>
    <w:p w14:paraId="47AB46DB" w14:textId="77777777" w:rsidR="00893A03" w:rsidRPr="00E2622D" w:rsidRDefault="00893A03" w:rsidP="00893A03">
      <w:pPr>
        <w:ind w:hanging="426"/>
        <w:jc w:val="both"/>
        <w:rPr>
          <w:rFonts w:ascii="Avenir Next" w:hAnsi="Avenir Next" w:cs="Arial"/>
          <w:sz w:val="22"/>
          <w:szCs w:val="22"/>
          <w:lang w:val="en-GB"/>
        </w:rPr>
      </w:pPr>
    </w:p>
    <w:p w14:paraId="10CA173A" w14:textId="77777777" w:rsidR="00893A03" w:rsidRPr="00893A03" w:rsidRDefault="00893A03" w:rsidP="00040104">
      <w:pPr>
        <w:pStyle w:val="ListParagraph"/>
        <w:numPr>
          <w:ilvl w:val="0"/>
          <w:numId w:val="2"/>
        </w:numPr>
        <w:ind w:left="426" w:hanging="426"/>
        <w:jc w:val="both"/>
        <w:rPr>
          <w:rFonts w:ascii="Avenir Next" w:hAnsi="Avenir Next" w:cs="Arial"/>
          <w:sz w:val="22"/>
          <w:szCs w:val="22"/>
          <w:lang w:val="en-GB"/>
        </w:rPr>
      </w:pPr>
      <w:r w:rsidRPr="008208F0">
        <w:rPr>
          <w:rFonts w:ascii="Avenir Next" w:hAnsi="Avenir Next" w:cs="Arial"/>
          <w:sz w:val="22"/>
          <w:szCs w:val="22"/>
          <w:highlight w:val="yellow"/>
          <w:lang w:val="en-GB"/>
        </w:rPr>
        <w:t>Options (i), (iii) and (iv).</w:t>
      </w:r>
      <w:r w:rsidRPr="00893A03">
        <w:rPr>
          <w:rFonts w:ascii="Avenir Next" w:hAnsi="Avenir Next" w:cs="Arial"/>
          <w:sz w:val="22"/>
          <w:szCs w:val="22"/>
          <w:lang w:val="en-GB"/>
        </w:rPr>
        <w:t xml:space="preserve"> </w:t>
      </w:r>
    </w:p>
    <w:p w14:paraId="33E9D37A" w14:textId="77777777" w:rsidR="00893A03" w:rsidRPr="00E2622D" w:rsidRDefault="00893A03" w:rsidP="00893A03">
      <w:pPr>
        <w:ind w:hanging="426"/>
        <w:jc w:val="both"/>
        <w:rPr>
          <w:rFonts w:ascii="Avenir Next" w:hAnsi="Avenir Next" w:cs="Arial"/>
          <w:sz w:val="22"/>
          <w:szCs w:val="22"/>
          <w:lang w:val="en-GB"/>
        </w:rPr>
      </w:pPr>
    </w:p>
    <w:p w14:paraId="2C62CD22" w14:textId="77777777" w:rsidR="00893A03" w:rsidRPr="00E2622D" w:rsidRDefault="00893A03" w:rsidP="00040104">
      <w:pPr>
        <w:pStyle w:val="ListParagraph"/>
        <w:numPr>
          <w:ilvl w:val="0"/>
          <w:numId w:val="2"/>
        </w:numPr>
        <w:ind w:left="426" w:hanging="426"/>
        <w:jc w:val="both"/>
        <w:rPr>
          <w:rFonts w:ascii="Avenir Next" w:hAnsi="Avenir Next" w:cs="Arial"/>
          <w:sz w:val="22"/>
          <w:szCs w:val="22"/>
          <w:lang w:val="en-GB"/>
        </w:rPr>
      </w:pPr>
      <w:r>
        <w:rPr>
          <w:rFonts w:ascii="Avenir Next" w:hAnsi="Avenir Next" w:cs="Arial"/>
          <w:sz w:val="22"/>
          <w:szCs w:val="22"/>
          <w:lang w:val="en-GB"/>
        </w:rPr>
        <w:t>All of the above are incorrect.</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619EB49C" w14:textId="77777777" w:rsidR="00812AFE" w:rsidRDefault="00812AFE" w:rsidP="00C00111">
      <w:pPr>
        <w:jc w:val="both"/>
        <w:rPr>
          <w:rFonts w:ascii="Avenir Next" w:hAnsi="Avenir Next"/>
          <w:sz w:val="22"/>
          <w:szCs w:val="28"/>
          <w:lang w:val="en-GB"/>
        </w:rPr>
      </w:pPr>
      <w:r w:rsidRPr="00851204">
        <w:rPr>
          <w:rFonts w:ascii="Avenir Next" w:hAnsi="Avenir Next"/>
          <w:sz w:val="22"/>
          <w:szCs w:val="28"/>
          <w:lang w:val="en-GB"/>
        </w:rPr>
        <w:t xml:space="preserve">Which of the below options reflect the </w:t>
      </w:r>
      <w:r w:rsidRPr="00851204">
        <w:rPr>
          <w:rFonts w:ascii="Avenir Next Demi Bold" w:hAnsi="Avenir Next Demi Bold"/>
          <w:b/>
          <w:bCs/>
          <w:sz w:val="22"/>
          <w:szCs w:val="28"/>
          <w:u w:val="single"/>
          <w:lang w:val="en-GB"/>
        </w:rPr>
        <w:t>objectives</w:t>
      </w:r>
      <w:r w:rsidRPr="00851204">
        <w:rPr>
          <w:rFonts w:ascii="Avenir Next" w:hAnsi="Avenir Next"/>
          <w:sz w:val="22"/>
          <w:szCs w:val="28"/>
          <w:lang w:val="en-GB"/>
        </w:rPr>
        <w:t xml:space="preserve"> of the MLCBI?</w:t>
      </w:r>
    </w:p>
    <w:p w14:paraId="2083BEF5" w14:textId="77777777" w:rsidR="00812AFE" w:rsidRPr="00851204" w:rsidRDefault="00812AFE" w:rsidP="00C00111">
      <w:pPr>
        <w:jc w:val="both"/>
        <w:rPr>
          <w:rFonts w:ascii="Avenir Next" w:hAnsi="Avenir Next"/>
          <w:sz w:val="22"/>
          <w:szCs w:val="28"/>
          <w:lang w:val="en-GB"/>
        </w:rPr>
      </w:pPr>
    </w:p>
    <w:p w14:paraId="79418143" w14:textId="77777777" w:rsidR="00812AFE" w:rsidRDefault="00812AFE" w:rsidP="0004010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greater legal certainty for trade and investment</w:t>
      </w:r>
      <w:r>
        <w:rPr>
          <w:rFonts w:ascii="Avenir Next" w:hAnsi="Avenir Next"/>
          <w:sz w:val="22"/>
          <w:szCs w:val="32"/>
        </w:rPr>
        <w:t>.</w:t>
      </w:r>
    </w:p>
    <w:p w14:paraId="6108D362" w14:textId="77777777" w:rsidR="00812AFE" w:rsidRPr="00851204" w:rsidRDefault="00812AFE" w:rsidP="00C00111">
      <w:pPr>
        <w:pStyle w:val="ListParagraph"/>
        <w:ind w:left="426" w:hanging="426"/>
        <w:jc w:val="both"/>
        <w:rPr>
          <w:rFonts w:ascii="Avenir Next" w:hAnsi="Avenir Next"/>
          <w:sz w:val="22"/>
          <w:szCs w:val="32"/>
        </w:rPr>
      </w:pPr>
    </w:p>
    <w:p w14:paraId="2AA2541C" w14:textId="3C7E8949" w:rsidR="00812AFE" w:rsidRDefault="00812AFE" w:rsidP="0004010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provide protection and maximi</w:t>
      </w:r>
      <w:r w:rsidR="00B66441">
        <w:rPr>
          <w:rFonts w:ascii="Avenir Next" w:hAnsi="Avenir Next"/>
          <w:sz w:val="22"/>
          <w:szCs w:val="32"/>
        </w:rPr>
        <w:t>z</w:t>
      </w:r>
      <w:r w:rsidRPr="00851204">
        <w:rPr>
          <w:rFonts w:ascii="Avenir Next" w:hAnsi="Avenir Next"/>
          <w:sz w:val="22"/>
          <w:szCs w:val="32"/>
        </w:rPr>
        <w:t>ation of value of the debtor’s assets</w:t>
      </w:r>
      <w:r>
        <w:rPr>
          <w:rFonts w:ascii="Avenir Next" w:hAnsi="Avenir Next"/>
          <w:sz w:val="22"/>
          <w:szCs w:val="32"/>
        </w:rPr>
        <w:t>.</w:t>
      </w:r>
    </w:p>
    <w:p w14:paraId="3081732A" w14:textId="77777777" w:rsidR="00812AFE" w:rsidRPr="00C1163D" w:rsidRDefault="00812AFE" w:rsidP="00C00111">
      <w:pPr>
        <w:ind w:left="426" w:hanging="426"/>
        <w:jc w:val="both"/>
        <w:rPr>
          <w:rFonts w:ascii="Avenir Next" w:hAnsi="Avenir Next"/>
          <w:sz w:val="22"/>
          <w:szCs w:val="32"/>
        </w:rPr>
      </w:pPr>
    </w:p>
    <w:p w14:paraId="712BE68D" w14:textId="77777777" w:rsidR="00812AFE" w:rsidRPr="00C1163D" w:rsidRDefault="00812AFE" w:rsidP="0004010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lang w:val="en-GB"/>
        </w:rPr>
        <w:t>To provide a fair and efficient administration of cross-border insolvencies that protects all creditors and the debtors</w:t>
      </w:r>
      <w:r>
        <w:rPr>
          <w:rFonts w:ascii="Avenir Next" w:hAnsi="Avenir Next"/>
          <w:sz w:val="22"/>
          <w:szCs w:val="32"/>
          <w:lang w:val="en-GB"/>
        </w:rPr>
        <w:t>.</w:t>
      </w:r>
    </w:p>
    <w:p w14:paraId="3C389653" w14:textId="77777777" w:rsidR="00812AFE" w:rsidRPr="00C1163D" w:rsidRDefault="00812AFE" w:rsidP="00C00111">
      <w:pPr>
        <w:ind w:left="426" w:hanging="426"/>
        <w:jc w:val="both"/>
        <w:rPr>
          <w:rFonts w:ascii="Avenir Next" w:hAnsi="Avenir Next"/>
          <w:sz w:val="22"/>
          <w:szCs w:val="32"/>
        </w:rPr>
      </w:pPr>
    </w:p>
    <w:p w14:paraId="61EBC598" w14:textId="77777777" w:rsidR="00812AFE" w:rsidRDefault="00812AFE" w:rsidP="0004010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facilitate the rescue of financial troubled businesses</w:t>
      </w:r>
      <w:r>
        <w:rPr>
          <w:rFonts w:ascii="Avenir Next" w:hAnsi="Avenir Next"/>
          <w:sz w:val="22"/>
          <w:szCs w:val="32"/>
        </w:rPr>
        <w:t>.</w:t>
      </w:r>
    </w:p>
    <w:p w14:paraId="2D083116" w14:textId="77777777" w:rsidR="00812AFE" w:rsidRPr="00C1163D" w:rsidRDefault="00812AFE" w:rsidP="00C00111">
      <w:pPr>
        <w:ind w:left="426" w:hanging="426"/>
        <w:jc w:val="both"/>
        <w:rPr>
          <w:rFonts w:ascii="Avenir Next" w:hAnsi="Avenir Next"/>
          <w:sz w:val="22"/>
          <w:szCs w:val="32"/>
        </w:rPr>
      </w:pPr>
    </w:p>
    <w:p w14:paraId="2E4FDCCE" w14:textId="77777777" w:rsidR="00812AFE" w:rsidRPr="00851204" w:rsidRDefault="00812AFE" w:rsidP="00040104">
      <w:pPr>
        <w:pStyle w:val="ListParagraph"/>
        <w:numPr>
          <w:ilvl w:val="0"/>
          <w:numId w:val="13"/>
        </w:numPr>
        <w:ind w:left="426" w:hanging="426"/>
        <w:jc w:val="both"/>
        <w:rPr>
          <w:rFonts w:ascii="Avenir Next" w:hAnsi="Avenir Next"/>
          <w:sz w:val="22"/>
          <w:szCs w:val="32"/>
        </w:rPr>
      </w:pPr>
      <w:r w:rsidRPr="00851204">
        <w:rPr>
          <w:rFonts w:ascii="Avenir Next" w:hAnsi="Avenir Next"/>
          <w:sz w:val="22"/>
          <w:szCs w:val="32"/>
        </w:rPr>
        <w:t>To ensure substantive unification of insolvency laws of member-states</w:t>
      </w:r>
      <w:r>
        <w:rPr>
          <w:rFonts w:ascii="Avenir Next" w:hAnsi="Avenir Next"/>
          <w:sz w:val="22"/>
          <w:szCs w:val="32"/>
        </w:rPr>
        <w:t>.</w:t>
      </w:r>
    </w:p>
    <w:p w14:paraId="48D68D13" w14:textId="77777777" w:rsidR="00812AFE" w:rsidRPr="00851204" w:rsidRDefault="00812AFE" w:rsidP="00812AFE">
      <w:pPr>
        <w:rPr>
          <w:rFonts w:ascii="Avenir Next" w:hAnsi="Avenir Next"/>
          <w:sz w:val="22"/>
          <w:szCs w:val="32"/>
        </w:rPr>
      </w:pPr>
    </w:p>
    <w:p w14:paraId="69EEDB41" w14:textId="77777777" w:rsidR="00812AFE" w:rsidRPr="00851204" w:rsidRDefault="00812AFE" w:rsidP="00812AFE">
      <w:pPr>
        <w:rPr>
          <w:rFonts w:ascii="Avenir Next" w:hAnsi="Avenir Next"/>
          <w:sz w:val="22"/>
          <w:szCs w:val="28"/>
          <w:lang w:val="en-GB"/>
        </w:rPr>
      </w:pPr>
      <w:r w:rsidRPr="00851204">
        <w:rPr>
          <w:rFonts w:ascii="Avenir Next" w:hAnsi="Avenir Next"/>
          <w:sz w:val="22"/>
          <w:szCs w:val="28"/>
          <w:lang w:val="en-GB"/>
        </w:rPr>
        <w:t>Choose the correct answer:</w:t>
      </w:r>
    </w:p>
    <w:p w14:paraId="0B5E4627" w14:textId="77777777" w:rsidR="00812AFE" w:rsidRPr="00E2622D" w:rsidRDefault="00812AFE" w:rsidP="00812AFE">
      <w:pPr>
        <w:ind w:left="720" w:hanging="720"/>
        <w:jc w:val="both"/>
        <w:rPr>
          <w:rFonts w:ascii="Avenir Next" w:hAnsi="Avenir Next" w:cs="Arial"/>
          <w:sz w:val="22"/>
          <w:szCs w:val="22"/>
          <w:lang w:val="en-GB"/>
        </w:rPr>
      </w:pPr>
    </w:p>
    <w:p w14:paraId="3AB5EB1C" w14:textId="77777777" w:rsidR="00812AFE" w:rsidRPr="00812AFE" w:rsidRDefault="00812AFE" w:rsidP="00040104">
      <w:pPr>
        <w:pStyle w:val="ListParagraph"/>
        <w:numPr>
          <w:ilvl w:val="0"/>
          <w:numId w:val="3"/>
        </w:numPr>
        <w:ind w:left="426" w:hanging="426"/>
        <w:jc w:val="both"/>
        <w:rPr>
          <w:rFonts w:ascii="Avenir Next" w:hAnsi="Avenir Next" w:cs="Arial"/>
          <w:sz w:val="22"/>
          <w:szCs w:val="22"/>
          <w:lang w:val="en-GB"/>
        </w:rPr>
      </w:pPr>
      <w:r w:rsidRPr="008208F0">
        <w:rPr>
          <w:rFonts w:ascii="Avenir Next" w:hAnsi="Avenir Next" w:cs="Arial"/>
          <w:sz w:val="22"/>
          <w:szCs w:val="22"/>
          <w:highlight w:val="yellow"/>
          <w:lang w:val="en-GB"/>
        </w:rPr>
        <w:t>Options (i), (ii), (iii) and (iv).</w:t>
      </w:r>
    </w:p>
    <w:p w14:paraId="700959B3" w14:textId="77777777" w:rsidR="00812AFE" w:rsidRPr="00E2622D" w:rsidRDefault="00812AFE" w:rsidP="00C00111">
      <w:pPr>
        <w:ind w:left="426" w:hanging="426"/>
        <w:jc w:val="both"/>
        <w:rPr>
          <w:rFonts w:ascii="Avenir Next" w:hAnsi="Avenir Next" w:cs="Arial"/>
          <w:sz w:val="22"/>
          <w:szCs w:val="22"/>
          <w:lang w:val="en-GB"/>
        </w:rPr>
      </w:pPr>
    </w:p>
    <w:p w14:paraId="31C321A3" w14:textId="77777777" w:rsidR="00812AFE" w:rsidRPr="007B4FBB" w:rsidRDefault="00812AFE" w:rsidP="00040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(v)</w:t>
      </w:r>
      <w:r w:rsidRPr="007B4FBB">
        <w:rPr>
          <w:rFonts w:ascii="Avenir Next" w:hAnsi="Avenir Next" w:cs="Arial"/>
          <w:sz w:val="22"/>
          <w:szCs w:val="22"/>
          <w:lang w:val="en-GB"/>
        </w:rPr>
        <w:t>.</w:t>
      </w:r>
    </w:p>
    <w:p w14:paraId="25EE3C90" w14:textId="77777777" w:rsidR="00812AFE" w:rsidRPr="00E2622D" w:rsidRDefault="00812AFE" w:rsidP="00C00111">
      <w:pPr>
        <w:ind w:left="426" w:hanging="426"/>
        <w:jc w:val="both"/>
        <w:rPr>
          <w:rFonts w:ascii="Avenir Next" w:hAnsi="Avenir Next" w:cs="Arial"/>
          <w:sz w:val="22"/>
          <w:szCs w:val="22"/>
          <w:lang w:val="en-GB"/>
        </w:rPr>
      </w:pPr>
    </w:p>
    <w:p w14:paraId="3F962BB1" w14:textId="77777777" w:rsidR="00812AFE" w:rsidRPr="00E2622D" w:rsidRDefault="00812AFE" w:rsidP="00040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Options (ii), (iv) and (v)</w:t>
      </w:r>
      <w:r w:rsidRPr="00E2622D">
        <w:rPr>
          <w:rFonts w:ascii="Avenir Next" w:hAnsi="Avenir Next" w:cs="Arial"/>
          <w:sz w:val="22"/>
          <w:szCs w:val="22"/>
          <w:lang w:val="en-GB"/>
        </w:rPr>
        <w:t>.</w:t>
      </w:r>
    </w:p>
    <w:p w14:paraId="7F16F4CC" w14:textId="77777777" w:rsidR="00812AFE" w:rsidRPr="00E2622D" w:rsidRDefault="00812AFE" w:rsidP="00C00111">
      <w:pPr>
        <w:ind w:left="426" w:hanging="426"/>
        <w:jc w:val="both"/>
        <w:rPr>
          <w:rFonts w:ascii="Avenir Next" w:hAnsi="Avenir Next" w:cs="Arial"/>
          <w:sz w:val="22"/>
          <w:szCs w:val="22"/>
          <w:lang w:val="en-GB"/>
        </w:rPr>
      </w:pPr>
    </w:p>
    <w:p w14:paraId="2EBA2B99" w14:textId="77777777" w:rsidR="00812AFE" w:rsidRPr="00E2622D" w:rsidRDefault="00812AFE" w:rsidP="00040104">
      <w:pPr>
        <w:pStyle w:val="ListParagraph"/>
        <w:numPr>
          <w:ilvl w:val="0"/>
          <w:numId w:val="3"/>
        </w:numPr>
        <w:ind w:left="426" w:hanging="426"/>
        <w:jc w:val="both"/>
        <w:rPr>
          <w:rFonts w:ascii="Avenir Next" w:hAnsi="Avenir Next" w:cs="Arial"/>
          <w:sz w:val="22"/>
          <w:szCs w:val="22"/>
          <w:lang w:val="en-GB"/>
        </w:rPr>
      </w:pPr>
      <w:r>
        <w:rPr>
          <w:rFonts w:ascii="Avenir Next" w:hAnsi="Avenir Next" w:cs="Arial"/>
          <w:sz w:val="22"/>
          <w:szCs w:val="22"/>
          <w:lang w:val="en-GB"/>
        </w:rPr>
        <w:t>None of the above</w:t>
      </w:r>
      <w:r w:rsidRPr="00E2622D">
        <w:rPr>
          <w:rFonts w:ascii="Avenir Next" w:hAnsi="Avenir Next" w:cs="Arial"/>
          <w:sz w:val="22"/>
          <w:szCs w:val="22"/>
          <w:lang w:val="en-GB"/>
        </w:rPr>
        <w:t>.</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4CEB52DE" w14:textId="77777777" w:rsidR="003220BA" w:rsidRDefault="003220BA" w:rsidP="00B12C2D">
      <w:pPr>
        <w:jc w:val="both"/>
        <w:rPr>
          <w:rFonts w:ascii="Avenir Next" w:hAnsi="Avenir Next" w:cs="Arial"/>
          <w:sz w:val="22"/>
          <w:szCs w:val="22"/>
          <w:lang w:val="en-GB"/>
        </w:rPr>
      </w:pPr>
      <w:r w:rsidRPr="00821660">
        <w:rPr>
          <w:rFonts w:ascii="Avenir Next" w:hAnsi="Avenir Next" w:cs="Arial"/>
          <w:sz w:val="22"/>
          <w:szCs w:val="22"/>
          <w:lang w:val="en-GB"/>
        </w:rPr>
        <w:lastRenderedPageBreak/>
        <w:t xml:space="preserve">Which </w:t>
      </w:r>
      <w:r w:rsidRPr="00821660">
        <w:rPr>
          <w:rFonts w:ascii="Avenir Next Demi Bold" w:hAnsi="Avenir Next Demi Bold" w:cs="Arial"/>
          <w:b/>
          <w:bCs/>
          <w:sz w:val="22"/>
          <w:szCs w:val="22"/>
          <w:u w:val="single"/>
          <w:lang w:val="en-GB"/>
        </w:rPr>
        <w:t>two</w:t>
      </w:r>
      <w:r w:rsidRPr="00821660">
        <w:rPr>
          <w:rFonts w:ascii="Avenir Next" w:hAnsi="Avenir Next" w:cs="Arial"/>
          <w:sz w:val="22"/>
          <w:szCs w:val="22"/>
          <w:lang w:val="en-GB"/>
        </w:rPr>
        <w:t xml:space="preserve"> of the below hypotheticals demonstrate a more likely </w:t>
      </w:r>
      <w:r w:rsidRPr="002140BD">
        <w:rPr>
          <w:rFonts w:ascii="Avenir Next Demi Bold" w:hAnsi="Avenir Next Demi Bold" w:cs="Arial"/>
          <w:b/>
          <w:bCs/>
          <w:sz w:val="22"/>
          <w:szCs w:val="22"/>
          <w:u w:val="single"/>
          <w:lang w:val="en-GB"/>
        </w:rPr>
        <w:t>precursor to a “cross-border insolvency”</w:t>
      </w:r>
      <w:r w:rsidRPr="00821660">
        <w:rPr>
          <w:rFonts w:ascii="Avenir Next" w:hAnsi="Avenir Next" w:cs="Arial"/>
          <w:sz w:val="22"/>
          <w:szCs w:val="22"/>
          <w:lang w:val="en-GB"/>
        </w:rPr>
        <w:t xml:space="preserve">? </w:t>
      </w:r>
    </w:p>
    <w:p w14:paraId="2C09EC04" w14:textId="77777777" w:rsidR="00B12C2D" w:rsidRPr="00821660" w:rsidRDefault="00B12C2D" w:rsidP="00B12C2D">
      <w:pPr>
        <w:jc w:val="both"/>
        <w:rPr>
          <w:rFonts w:ascii="Avenir Next" w:hAnsi="Avenir Next" w:cs="Arial"/>
          <w:sz w:val="22"/>
          <w:szCs w:val="22"/>
          <w:lang w:val="en-GB"/>
        </w:rPr>
      </w:pPr>
    </w:p>
    <w:p w14:paraId="7AD6F0A7" w14:textId="77777777" w:rsidR="003220BA" w:rsidRDefault="003220BA" w:rsidP="0004010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w:t>
      </w:r>
      <w:r>
        <w:rPr>
          <w:rFonts w:ascii="Avenir Next" w:hAnsi="Avenir Next"/>
          <w:sz w:val="22"/>
          <w:szCs w:val="28"/>
        </w:rPr>
        <w:t>i</w:t>
      </w:r>
      <w:r w:rsidRPr="00217019">
        <w:rPr>
          <w:rFonts w:ascii="Avenir Next" w:hAnsi="Avenir Next"/>
          <w:sz w:val="22"/>
          <w:szCs w:val="28"/>
        </w:rPr>
        <w:t xml:space="preserve">nsolvency proceeding is commenced in jurisdiction A, but a significant asset is located outside of jurisdiction A. </w:t>
      </w:r>
    </w:p>
    <w:p w14:paraId="22DB26FD" w14:textId="77777777" w:rsidR="003220BA" w:rsidRPr="00217019" w:rsidRDefault="003220BA" w:rsidP="00C00111">
      <w:pPr>
        <w:pStyle w:val="ListParagraph"/>
        <w:ind w:left="426" w:hanging="426"/>
        <w:jc w:val="both"/>
        <w:rPr>
          <w:rFonts w:ascii="Avenir Next" w:hAnsi="Avenir Next"/>
          <w:sz w:val="22"/>
          <w:szCs w:val="28"/>
        </w:rPr>
      </w:pPr>
    </w:p>
    <w:p w14:paraId="4C73762D" w14:textId="77777777" w:rsidR="003220BA" w:rsidRDefault="003220BA" w:rsidP="0004010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and immediately transferred to a foreign jurisdiction B. </w:t>
      </w:r>
    </w:p>
    <w:p w14:paraId="04897405" w14:textId="77777777" w:rsidR="003220BA" w:rsidRPr="006E0920" w:rsidRDefault="003220BA" w:rsidP="00C00111">
      <w:pPr>
        <w:ind w:hanging="426"/>
        <w:jc w:val="both"/>
        <w:rPr>
          <w:rFonts w:ascii="Avenir Next" w:hAnsi="Avenir Next"/>
          <w:sz w:val="22"/>
          <w:szCs w:val="28"/>
        </w:rPr>
      </w:pPr>
    </w:p>
    <w:p w14:paraId="283484DD" w14:textId="77777777" w:rsidR="003220BA" w:rsidRDefault="003220BA" w:rsidP="0004010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in which a group of affiliated debtors has its COMI as well as all assets and liabilities. </w:t>
      </w:r>
    </w:p>
    <w:p w14:paraId="01D9C9BC" w14:textId="77777777" w:rsidR="003220BA" w:rsidRPr="006E0920" w:rsidRDefault="003220BA" w:rsidP="00C00111">
      <w:pPr>
        <w:ind w:hanging="426"/>
        <w:jc w:val="both"/>
        <w:rPr>
          <w:rFonts w:ascii="Avenir Next" w:hAnsi="Avenir Next"/>
          <w:sz w:val="22"/>
          <w:szCs w:val="28"/>
        </w:rPr>
      </w:pPr>
    </w:p>
    <w:p w14:paraId="1B1CF4A9" w14:textId="77777777" w:rsidR="003220BA" w:rsidRDefault="003220BA" w:rsidP="0004010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certain liabilities are governed by laws of a foreign jurisdiction B. </w:t>
      </w:r>
    </w:p>
    <w:p w14:paraId="40E2B630" w14:textId="77777777" w:rsidR="003220BA" w:rsidRPr="006E0920" w:rsidRDefault="003220BA" w:rsidP="00C00111">
      <w:pPr>
        <w:ind w:hanging="426"/>
        <w:jc w:val="both"/>
        <w:rPr>
          <w:rFonts w:ascii="Avenir Next" w:hAnsi="Avenir Next"/>
          <w:sz w:val="22"/>
          <w:szCs w:val="28"/>
        </w:rPr>
      </w:pPr>
    </w:p>
    <w:p w14:paraId="54742228" w14:textId="77777777" w:rsidR="003220BA" w:rsidRPr="00217019" w:rsidRDefault="003220BA" w:rsidP="00040104">
      <w:pPr>
        <w:pStyle w:val="ListParagraph"/>
        <w:numPr>
          <w:ilvl w:val="0"/>
          <w:numId w:val="14"/>
        </w:numPr>
        <w:ind w:left="426" w:hanging="426"/>
        <w:jc w:val="both"/>
        <w:rPr>
          <w:rFonts w:ascii="Avenir Next" w:hAnsi="Avenir Next"/>
          <w:sz w:val="22"/>
          <w:szCs w:val="28"/>
        </w:rPr>
      </w:pPr>
      <w:r w:rsidRPr="00217019">
        <w:rPr>
          <w:rFonts w:ascii="Avenir Next" w:hAnsi="Avenir Next"/>
          <w:sz w:val="22"/>
          <w:szCs w:val="28"/>
        </w:rPr>
        <w:t xml:space="preserve">An insolvency proceeding is commenced in jurisdiction A, but all </w:t>
      </w:r>
      <w:r w:rsidRPr="006E0920">
        <w:rPr>
          <w:rFonts w:ascii="Avenir Next" w:hAnsi="Avenir Next"/>
          <w:i/>
          <w:iCs/>
          <w:sz w:val="22"/>
          <w:szCs w:val="28"/>
        </w:rPr>
        <w:t>de minimis</w:t>
      </w:r>
      <w:r w:rsidRPr="00217019">
        <w:rPr>
          <w:rFonts w:ascii="Avenir Next" w:hAnsi="Avenir Next"/>
          <w:sz w:val="22"/>
          <w:szCs w:val="28"/>
        </w:rPr>
        <w:t xml:space="preserve"> assets are located in foreign jurisdictions. </w:t>
      </w:r>
    </w:p>
    <w:p w14:paraId="064F46C1" w14:textId="77777777" w:rsidR="003220BA" w:rsidRPr="00576599" w:rsidRDefault="003220BA" w:rsidP="003220BA">
      <w:pPr>
        <w:ind w:left="720" w:hanging="720"/>
        <w:jc w:val="both"/>
        <w:rPr>
          <w:rFonts w:ascii="Avenir Next" w:hAnsi="Avenir Next" w:cs="Arial"/>
          <w:sz w:val="22"/>
          <w:szCs w:val="22"/>
        </w:rPr>
      </w:pPr>
    </w:p>
    <w:p w14:paraId="2A5A1502" w14:textId="77777777" w:rsidR="003220BA" w:rsidRDefault="003220BA" w:rsidP="003220BA">
      <w:pPr>
        <w:ind w:left="720" w:hanging="720"/>
        <w:jc w:val="both"/>
        <w:rPr>
          <w:rFonts w:ascii="Avenir Next" w:hAnsi="Avenir Next" w:cs="Arial"/>
          <w:sz w:val="22"/>
          <w:szCs w:val="22"/>
          <w:lang w:val="en-GB"/>
        </w:rPr>
      </w:pPr>
      <w:r>
        <w:rPr>
          <w:rFonts w:ascii="Avenir Next" w:hAnsi="Avenir Next" w:cs="Arial"/>
          <w:sz w:val="22"/>
          <w:szCs w:val="22"/>
          <w:lang w:val="en-GB"/>
        </w:rPr>
        <w:t>Choose the correct answer:</w:t>
      </w:r>
    </w:p>
    <w:p w14:paraId="5CE4BEB9" w14:textId="77777777" w:rsidR="003220BA" w:rsidRPr="00E2622D" w:rsidRDefault="003220BA" w:rsidP="003220BA">
      <w:pPr>
        <w:ind w:left="720" w:hanging="720"/>
        <w:jc w:val="both"/>
        <w:rPr>
          <w:rFonts w:ascii="Avenir Next" w:hAnsi="Avenir Next" w:cs="Arial"/>
          <w:sz w:val="22"/>
          <w:szCs w:val="22"/>
          <w:lang w:val="en-GB"/>
        </w:rPr>
      </w:pPr>
    </w:p>
    <w:p w14:paraId="4E75A69C" w14:textId="77777777" w:rsidR="003220BA" w:rsidRPr="001B57D9" w:rsidRDefault="003220BA" w:rsidP="00040104">
      <w:pPr>
        <w:pStyle w:val="ListParagraph"/>
        <w:numPr>
          <w:ilvl w:val="0"/>
          <w:numId w:val="4"/>
        </w:numPr>
        <w:ind w:left="426" w:hanging="426"/>
        <w:jc w:val="both"/>
        <w:rPr>
          <w:rFonts w:ascii="Avenir Next" w:hAnsi="Avenir Next" w:cs="Arial"/>
          <w:sz w:val="22"/>
          <w:szCs w:val="22"/>
          <w:highlight w:val="yellow"/>
          <w:lang w:val="en-GB"/>
        </w:rPr>
      </w:pPr>
      <w:r w:rsidRPr="001B57D9">
        <w:rPr>
          <w:rFonts w:ascii="Avenir Next" w:hAnsi="Avenir Next" w:cs="Arial"/>
          <w:sz w:val="22"/>
          <w:szCs w:val="22"/>
          <w:highlight w:val="yellow"/>
          <w:lang w:val="en-GB"/>
        </w:rPr>
        <w:t xml:space="preserve">Options (i) and (ii).  </w:t>
      </w:r>
    </w:p>
    <w:p w14:paraId="12857BA0" w14:textId="77777777" w:rsidR="003220BA" w:rsidRPr="00E2622D" w:rsidRDefault="003220BA" w:rsidP="00C00111">
      <w:pPr>
        <w:ind w:hanging="426"/>
        <w:jc w:val="both"/>
        <w:rPr>
          <w:rFonts w:ascii="Avenir Next" w:hAnsi="Avenir Next" w:cs="Arial"/>
          <w:sz w:val="22"/>
          <w:szCs w:val="22"/>
          <w:lang w:val="en-GB"/>
        </w:rPr>
      </w:pPr>
    </w:p>
    <w:p w14:paraId="25E47182" w14:textId="77777777" w:rsidR="003220BA" w:rsidRPr="00E2622D" w:rsidRDefault="003220BA" w:rsidP="0004010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 and (iii)</w:t>
      </w:r>
      <w:r w:rsidRPr="00E2622D">
        <w:rPr>
          <w:rFonts w:ascii="Avenir Next" w:hAnsi="Avenir Next" w:cs="Arial"/>
          <w:sz w:val="22"/>
          <w:szCs w:val="22"/>
          <w:lang w:val="en-GB"/>
        </w:rPr>
        <w:t xml:space="preserve">.  </w:t>
      </w:r>
    </w:p>
    <w:p w14:paraId="47E34D89" w14:textId="77777777" w:rsidR="003220BA" w:rsidRPr="00E2622D" w:rsidRDefault="003220BA" w:rsidP="00C00111">
      <w:pPr>
        <w:ind w:hanging="426"/>
        <w:jc w:val="both"/>
        <w:rPr>
          <w:rFonts w:ascii="Avenir Next" w:hAnsi="Avenir Next" w:cs="Arial"/>
          <w:sz w:val="22"/>
          <w:szCs w:val="22"/>
          <w:lang w:val="en-GB"/>
        </w:rPr>
      </w:pPr>
    </w:p>
    <w:p w14:paraId="76225B48" w14:textId="77777777" w:rsidR="003220BA" w:rsidRPr="00E2622D" w:rsidRDefault="003220BA" w:rsidP="00040104">
      <w:pPr>
        <w:pStyle w:val="ListParagraph"/>
        <w:numPr>
          <w:ilvl w:val="0"/>
          <w:numId w:val="4"/>
        </w:numPr>
        <w:ind w:left="426" w:hanging="426"/>
        <w:jc w:val="both"/>
        <w:rPr>
          <w:rFonts w:ascii="Avenir Next" w:hAnsi="Avenir Next" w:cs="Arial"/>
          <w:sz w:val="22"/>
          <w:szCs w:val="22"/>
          <w:lang w:val="en-GB"/>
        </w:rPr>
      </w:pPr>
      <w:r>
        <w:rPr>
          <w:rFonts w:ascii="Avenir Next" w:hAnsi="Avenir Next" w:cs="Arial"/>
          <w:sz w:val="22"/>
          <w:szCs w:val="22"/>
          <w:lang w:val="en-GB"/>
        </w:rPr>
        <w:t>Options (iii) and (v)</w:t>
      </w:r>
      <w:r w:rsidRPr="00E2622D">
        <w:rPr>
          <w:rFonts w:ascii="Avenir Next" w:hAnsi="Avenir Next" w:cs="Arial"/>
          <w:sz w:val="22"/>
          <w:szCs w:val="22"/>
          <w:lang w:val="en-GB"/>
        </w:rPr>
        <w:t xml:space="preserve">.  </w:t>
      </w:r>
    </w:p>
    <w:p w14:paraId="1F14C32F" w14:textId="77777777" w:rsidR="003220BA" w:rsidRPr="00E2622D" w:rsidRDefault="003220BA" w:rsidP="00C00111">
      <w:pPr>
        <w:ind w:hanging="426"/>
        <w:jc w:val="both"/>
        <w:rPr>
          <w:rFonts w:ascii="Avenir Next" w:hAnsi="Avenir Next" w:cs="Arial"/>
          <w:sz w:val="22"/>
          <w:szCs w:val="22"/>
          <w:lang w:val="en-GB"/>
        </w:rPr>
      </w:pPr>
    </w:p>
    <w:p w14:paraId="7A909672" w14:textId="77777777" w:rsidR="003220BA" w:rsidRPr="003220BA" w:rsidRDefault="003220BA" w:rsidP="00040104">
      <w:pPr>
        <w:pStyle w:val="ListParagraph"/>
        <w:numPr>
          <w:ilvl w:val="0"/>
          <w:numId w:val="4"/>
        </w:numPr>
        <w:ind w:left="426" w:hanging="426"/>
        <w:jc w:val="both"/>
        <w:rPr>
          <w:rFonts w:ascii="Avenir Next" w:hAnsi="Avenir Next" w:cs="Arial"/>
          <w:sz w:val="22"/>
          <w:szCs w:val="22"/>
          <w:lang w:val="en-GB"/>
        </w:rPr>
      </w:pPr>
      <w:r w:rsidRPr="003220BA">
        <w:rPr>
          <w:rFonts w:ascii="Avenir Next" w:hAnsi="Avenir Next" w:cs="Arial"/>
          <w:sz w:val="22"/>
          <w:szCs w:val="22"/>
          <w:lang w:val="en-GB"/>
        </w:rPr>
        <w:t xml:space="preserve">Options (i) and (v).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1FBC92EC" w14:textId="77777777" w:rsidR="009344C1" w:rsidRPr="00935FB2" w:rsidRDefault="009344C1" w:rsidP="009344C1">
      <w:pPr>
        <w:jc w:val="both"/>
        <w:rPr>
          <w:rFonts w:ascii="Avenir Next" w:hAnsi="Avenir Next"/>
          <w:sz w:val="22"/>
          <w:szCs w:val="28"/>
          <w:lang w:val="en-GB"/>
        </w:rPr>
      </w:pPr>
      <w:r w:rsidRPr="00935FB2">
        <w:rPr>
          <w:rFonts w:ascii="Avenir Next" w:hAnsi="Avenir Next"/>
          <w:sz w:val="22"/>
          <w:szCs w:val="28"/>
          <w:lang w:val="en-GB"/>
        </w:rPr>
        <w:t>A restructuring proceeding is commenced in jurisdiction A by a corporation with COMI in jurisdiction A and an overleveraged balance sheet. The court in jurisdiction A, overseeing the restructuring, entered a final and non</w:t>
      </w:r>
      <w:r>
        <w:rPr>
          <w:rFonts w:ascii="Avenir Next" w:hAnsi="Avenir Next"/>
          <w:sz w:val="22"/>
          <w:szCs w:val="28"/>
          <w:lang w:val="en-GB"/>
        </w:rPr>
        <w:t>-</w:t>
      </w:r>
      <w:r w:rsidRPr="00935FB2">
        <w:rPr>
          <w:rFonts w:ascii="Avenir Next" w:hAnsi="Avenir Next"/>
          <w:sz w:val="22"/>
          <w:szCs w:val="28"/>
          <w:lang w:val="en-GB"/>
        </w:rPr>
        <w:t xml:space="preserve">appealable order, approving the compromise and restructuring of the debt. The entered order, by its express terms, has a universal effect. Based on these facts alone, what is the </w:t>
      </w:r>
      <w:r w:rsidRPr="00A23EA9">
        <w:rPr>
          <w:rFonts w:ascii="Avenir Next Demi Bold" w:hAnsi="Avenir Next Demi Bold" w:cs="Arial"/>
          <w:b/>
          <w:bCs/>
          <w:sz w:val="22"/>
          <w:szCs w:val="22"/>
          <w:u w:val="single"/>
          <w:lang w:val="en-GB"/>
        </w:rPr>
        <w:t>effect</w:t>
      </w:r>
      <w:r w:rsidRPr="00935FB2">
        <w:rPr>
          <w:rFonts w:ascii="Avenir Next" w:hAnsi="Avenir Next"/>
          <w:sz w:val="22"/>
          <w:szCs w:val="28"/>
          <w:lang w:val="en-GB"/>
        </w:rPr>
        <w:t xml:space="preserve"> of such order’s terms in jurisdiction B if jurisdictions A and B do </w:t>
      </w:r>
      <w:r w:rsidRPr="00B2726B">
        <w:rPr>
          <w:rFonts w:ascii="Avenir Next Demi Bold" w:hAnsi="Avenir Next Demi Bold" w:cs="Arial"/>
          <w:b/>
          <w:bCs/>
          <w:sz w:val="22"/>
          <w:szCs w:val="22"/>
          <w:u w:val="single"/>
          <w:lang w:val="en-GB"/>
        </w:rPr>
        <w:t>not</w:t>
      </w:r>
      <w:r w:rsidRPr="00935FB2">
        <w:rPr>
          <w:rFonts w:ascii="Avenir Next" w:hAnsi="Avenir Next"/>
          <w:sz w:val="22"/>
          <w:szCs w:val="28"/>
          <w:lang w:val="en-GB"/>
        </w:rPr>
        <w:t xml:space="preserve"> have a bilateral agreement? </w:t>
      </w:r>
    </w:p>
    <w:p w14:paraId="205D1BD0" w14:textId="77777777" w:rsidR="009344C1" w:rsidRDefault="009344C1" w:rsidP="009344C1">
      <w:pPr>
        <w:pStyle w:val="ListParagraph"/>
        <w:ind w:left="426"/>
        <w:jc w:val="both"/>
        <w:rPr>
          <w:rFonts w:ascii="Avenir Next" w:hAnsi="Avenir Next" w:cs="Arial"/>
          <w:sz w:val="22"/>
          <w:szCs w:val="22"/>
          <w:lang w:val="en-GB"/>
        </w:rPr>
      </w:pPr>
    </w:p>
    <w:p w14:paraId="2F00B741" w14:textId="77777777" w:rsidR="009344C1" w:rsidRDefault="009344C1" w:rsidP="0004010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w:t>
      </w:r>
      <w:r>
        <w:rPr>
          <w:rFonts w:ascii="Avenir Next" w:hAnsi="Avenir Next" w:cs="Arial"/>
          <w:sz w:val="22"/>
          <w:szCs w:val="22"/>
          <w:lang w:val="en-GB"/>
        </w:rPr>
        <w:t>.</w:t>
      </w:r>
    </w:p>
    <w:p w14:paraId="49831766" w14:textId="77777777" w:rsidR="009344C1" w:rsidRPr="005C2EF1" w:rsidRDefault="009344C1" w:rsidP="00C00111">
      <w:pPr>
        <w:pStyle w:val="ListParagraph"/>
        <w:ind w:left="426" w:hanging="426"/>
        <w:jc w:val="both"/>
        <w:rPr>
          <w:rFonts w:ascii="Avenir Next" w:hAnsi="Avenir Next" w:cs="Arial"/>
          <w:sz w:val="22"/>
          <w:szCs w:val="22"/>
          <w:lang w:val="en-GB"/>
        </w:rPr>
      </w:pPr>
    </w:p>
    <w:p w14:paraId="45257547" w14:textId="77777777" w:rsidR="009344C1" w:rsidRDefault="009344C1" w:rsidP="00040104">
      <w:pPr>
        <w:pStyle w:val="ListParagraph"/>
        <w:numPr>
          <w:ilvl w:val="0"/>
          <w:numId w:val="5"/>
        </w:numPr>
        <w:ind w:left="426" w:hanging="426"/>
        <w:jc w:val="both"/>
        <w:rPr>
          <w:rFonts w:ascii="Avenir Next" w:hAnsi="Avenir Next" w:cs="Arial"/>
          <w:sz w:val="22"/>
          <w:szCs w:val="22"/>
          <w:lang w:val="en-GB"/>
        </w:rPr>
      </w:pPr>
      <w:r w:rsidRPr="005C2EF1">
        <w:rPr>
          <w:rFonts w:ascii="Avenir Next" w:hAnsi="Avenir Next" w:cs="Arial"/>
          <w:sz w:val="22"/>
          <w:szCs w:val="22"/>
          <w:lang w:val="en-GB"/>
        </w:rPr>
        <w:t>Binding within jurisdiction B, but certain actions need to be taken</w:t>
      </w:r>
      <w:r>
        <w:rPr>
          <w:rFonts w:ascii="Avenir Next" w:hAnsi="Avenir Next" w:cs="Arial"/>
          <w:sz w:val="22"/>
          <w:szCs w:val="22"/>
          <w:lang w:val="en-GB"/>
        </w:rPr>
        <w:t>.</w:t>
      </w:r>
    </w:p>
    <w:p w14:paraId="4910FABC" w14:textId="77777777" w:rsidR="009344C1" w:rsidRPr="003F5B75" w:rsidRDefault="009344C1" w:rsidP="00C00111">
      <w:pPr>
        <w:ind w:hanging="426"/>
        <w:jc w:val="both"/>
        <w:rPr>
          <w:rFonts w:ascii="Avenir Next" w:hAnsi="Avenir Next" w:cs="Arial"/>
          <w:sz w:val="22"/>
          <w:szCs w:val="22"/>
          <w:lang w:val="en-GB"/>
        </w:rPr>
      </w:pPr>
    </w:p>
    <w:p w14:paraId="2B6FE540" w14:textId="77777777" w:rsidR="009344C1" w:rsidRPr="00356658" w:rsidRDefault="009344C1" w:rsidP="00040104">
      <w:pPr>
        <w:pStyle w:val="ListParagraph"/>
        <w:numPr>
          <w:ilvl w:val="0"/>
          <w:numId w:val="5"/>
        </w:numPr>
        <w:ind w:left="426" w:hanging="426"/>
        <w:jc w:val="both"/>
        <w:rPr>
          <w:rFonts w:ascii="Avenir Next" w:hAnsi="Avenir Next" w:cs="Arial"/>
          <w:sz w:val="22"/>
          <w:szCs w:val="22"/>
          <w:lang w:val="en-GB"/>
        </w:rPr>
      </w:pPr>
      <w:r w:rsidRPr="00356658">
        <w:rPr>
          <w:rFonts w:ascii="Avenir Next" w:hAnsi="Avenir Next" w:cs="Arial"/>
          <w:sz w:val="22"/>
          <w:szCs w:val="22"/>
          <w:lang w:val="en-GB"/>
        </w:rPr>
        <w:t>No effect within jurisdiction B.</w:t>
      </w:r>
    </w:p>
    <w:p w14:paraId="7EBA91C0" w14:textId="77777777" w:rsidR="009344C1" w:rsidRPr="00356658" w:rsidRDefault="009344C1" w:rsidP="00C00111">
      <w:pPr>
        <w:ind w:hanging="426"/>
        <w:jc w:val="both"/>
        <w:rPr>
          <w:rFonts w:ascii="Avenir Next" w:hAnsi="Avenir Next" w:cs="Arial"/>
          <w:sz w:val="22"/>
          <w:szCs w:val="22"/>
          <w:lang w:val="en-GB"/>
        </w:rPr>
      </w:pPr>
    </w:p>
    <w:p w14:paraId="56767A38" w14:textId="77777777" w:rsidR="009344C1" w:rsidRPr="00356658" w:rsidRDefault="009344C1" w:rsidP="00040104">
      <w:pPr>
        <w:pStyle w:val="ListParagraph"/>
        <w:numPr>
          <w:ilvl w:val="0"/>
          <w:numId w:val="5"/>
        </w:numPr>
        <w:ind w:left="426" w:hanging="426"/>
        <w:jc w:val="both"/>
        <w:rPr>
          <w:rFonts w:ascii="Avenir Next" w:hAnsi="Avenir Next" w:cs="Arial"/>
          <w:sz w:val="22"/>
          <w:szCs w:val="22"/>
          <w:lang w:val="en-GB"/>
        </w:rPr>
      </w:pPr>
      <w:r w:rsidRPr="00356658">
        <w:rPr>
          <w:rFonts w:ascii="Avenir Next" w:hAnsi="Avenir Next" w:cs="Arial"/>
          <w:sz w:val="22"/>
          <w:szCs w:val="22"/>
          <w:lang w:val="en-GB"/>
        </w:rPr>
        <w:t>Likely no effect within jurisdiction B.</w:t>
      </w:r>
    </w:p>
    <w:p w14:paraId="1A3B9FC5" w14:textId="77777777" w:rsidR="009344C1" w:rsidRPr="00356658" w:rsidRDefault="009344C1" w:rsidP="00C00111">
      <w:pPr>
        <w:ind w:hanging="426"/>
        <w:jc w:val="both"/>
        <w:rPr>
          <w:rFonts w:ascii="Avenir Next" w:hAnsi="Avenir Next" w:cs="Arial"/>
          <w:sz w:val="22"/>
          <w:szCs w:val="22"/>
          <w:lang w:val="en-GB"/>
        </w:rPr>
      </w:pPr>
    </w:p>
    <w:p w14:paraId="3B4A25D4" w14:textId="5800E5B0" w:rsidR="00622586" w:rsidRPr="00356658" w:rsidRDefault="009344C1" w:rsidP="008D5C12">
      <w:pPr>
        <w:pStyle w:val="ListParagraph"/>
        <w:numPr>
          <w:ilvl w:val="0"/>
          <w:numId w:val="5"/>
        </w:numPr>
        <w:ind w:left="426" w:hanging="426"/>
        <w:jc w:val="both"/>
        <w:rPr>
          <w:rFonts w:ascii="Avenir Next" w:hAnsi="Avenir Next" w:cs="Arial"/>
          <w:sz w:val="22"/>
          <w:szCs w:val="22"/>
          <w:lang w:val="en-GB"/>
        </w:rPr>
      </w:pPr>
      <w:r w:rsidRPr="00356658">
        <w:rPr>
          <w:rFonts w:ascii="Avenir Next" w:hAnsi="Avenir Next" w:cs="Arial"/>
          <w:sz w:val="22"/>
          <w:szCs w:val="22"/>
          <w:highlight w:val="yellow"/>
          <w:lang w:val="en-GB"/>
        </w:rPr>
        <w:t>Not enough facts provided to arrive at a conclusion.</w:t>
      </w:r>
      <w:r w:rsidR="00CF78AC" w:rsidRPr="00356658">
        <w:rPr>
          <w:rFonts w:ascii="Avenir Next" w:hAnsi="Avenir Next" w:cs="Arial"/>
          <w:sz w:val="22"/>
          <w:szCs w:val="22"/>
          <w:lang w:val="en-GB"/>
        </w:rPr>
        <w:t xml:space="preserve"> </w:t>
      </w:r>
    </w:p>
    <w:p w14:paraId="10626EB0" w14:textId="77777777" w:rsidR="00356658" w:rsidRPr="00356658" w:rsidRDefault="00356658" w:rsidP="00356658">
      <w:pPr>
        <w:pStyle w:val="ListParagraph"/>
        <w:rPr>
          <w:rFonts w:ascii="Avenir Next" w:hAnsi="Avenir Next" w:cs="Arial"/>
          <w:sz w:val="22"/>
          <w:szCs w:val="22"/>
          <w:lang w:val="en-GB"/>
        </w:rPr>
      </w:pPr>
    </w:p>
    <w:p w14:paraId="68689D2B" w14:textId="77777777" w:rsidR="00356658" w:rsidRPr="00356658" w:rsidRDefault="00356658" w:rsidP="0035665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7A1A3474" w14:textId="77777777" w:rsidR="00F51EE5" w:rsidRDefault="00F51EE5" w:rsidP="00F51EE5">
      <w:pPr>
        <w:jc w:val="both"/>
        <w:rPr>
          <w:rFonts w:ascii="Avenir Next" w:hAnsi="Avenir Next"/>
          <w:sz w:val="22"/>
          <w:szCs w:val="28"/>
          <w:lang w:val="en-GB"/>
        </w:rPr>
      </w:pPr>
      <w:r w:rsidRPr="00AC038F">
        <w:rPr>
          <w:rFonts w:ascii="Avenir Next" w:hAnsi="Avenir Next"/>
          <w:sz w:val="22"/>
          <w:szCs w:val="28"/>
          <w:lang w:val="en-GB"/>
        </w:rPr>
        <w:t xml:space="preserve">Which of the following statements set out the </w:t>
      </w:r>
      <w:r w:rsidRPr="002E1C4D">
        <w:rPr>
          <w:rFonts w:ascii="Avenir Next Demi Bold" w:hAnsi="Avenir Next Demi Bold"/>
          <w:sz w:val="22"/>
          <w:szCs w:val="28"/>
          <w:u w:val="single"/>
          <w:lang w:val="en-GB"/>
        </w:rPr>
        <w:t>reasons for the development</w:t>
      </w:r>
      <w:r w:rsidRPr="00AC038F">
        <w:rPr>
          <w:rFonts w:ascii="Avenir Next" w:hAnsi="Avenir Next"/>
          <w:sz w:val="22"/>
          <w:szCs w:val="28"/>
          <w:lang w:val="en-GB"/>
        </w:rPr>
        <w:t xml:space="preserve"> of the Model Law?</w:t>
      </w:r>
      <w:r w:rsidRPr="00AC038F">
        <w:rPr>
          <w:rFonts w:ascii="Avenir Next" w:hAnsi="Avenir Next"/>
          <w:sz w:val="22"/>
          <w:szCs w:val="28"/>
          <w:lang w:val="en-GB"/>
        </w:rPr>
        <w:tab/>
      </w:r>
    </w:p>
    <w:p w14:paraId="5A5B40F2" w14:textId="77777777" w:rsidR="00F51EE5" w:rsidRPr="00AC038F" w:rsidRDefault="00F51EE5" w:rsidP="00F51EE5">
      <w:pPr>
        <w:jc w:val="both"/>
        <w:rPr>
          <w:rFonts w:ascii="Avenir Next" w:hAnsi="Avenir Next"/>
          <w:sz w:val="22"/>
          <w:szCs w:val="28"/>
          <w:lang w:val="en-GB"/>
        </w:rPr>
      </w:pPr>
    </w:p>
    <w:p w14:paraId="79D77906" w14:textId="77777777" w:rsidR="00F51EE5" w:rsidRPr="002E1C4D" w:rsidRDefault="00F51EE5" w:rsidP="0004010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lastRenderedPageBreak/>
        <w:t>The increased risk of fraud by concealing assets in foreign jurisdictions.</w:t>
      </w:r>
    </w:p>
    <w:p w14:paraId="5A4AD7B6" w14:textId="77777777" w:rsidR="00F51EE5" w:rsidRPr="002E1C4D" w:rsidRDefault="00F51EE5" w:rsidP="00F51EE5">
      <w:pPr>
        <w:pStyle w:val="ListParagraph"/>
        <w:ind w:left="426"/>
        <w:jc w:val="both"/>
        <w:rPr>
          <w:rFonts w:ascii="Avenir Next" w:hAnsi="Avenir Next"/>
          <w:sz w:val="22"/>
          <w:szCs w:val="28"/>
        </w:rPr>
      </w:pPr>
    </w:p>
    <w:p w14:paraId="044236C4" w14:textId="77777777" w:rsidR="00F51EE5" w:rsidRPr="002E1C4D" w:rsidRDefault="00F51EE5" w:rsidP="0004010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difficulty of agreeing multilateral treaties dealing with insolvency law.</w:t>
      </w:r>
    </w:p>
    <w:p w14:paraId="7B3BA1EA" w14:textId="77777777" w:rsidR="00F51EE5" w:rsidRPr="002E1C4D" w:rsidRDefault="00F51EE5" w:rsidP="00F51EE5">
      <w:pPr>
        <w:jc w:val="both"/>
        <w:rPr>
          <w:rFonts w:ascii="Avenir Next" w:hAnsi="Avenir Next"/>
          <w:sz w:val="22"/>
          <w:szCs w:val="28"/>
        </w:rPr>
      </w:pPr>
    </w:p>
    <w:p w14:paraId="39BF8E5C" w14:textId="77777777" w:rsidR="00F51EE5" w:rsidRPr="002E1C4D" w:rsidRDefault="00F51EE5" w:rsidP="0004010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To eradicate the use of comity.</w:t>
      </w:r>
    </w:p>
    <w:p w14:paraId="04C53F1C" w14:textId="77777777" w:rsidR="00F51EE5" w:rsidRPr="002E1C4D" w:rsidRDefault="00F51EE5" w:rsidP="00F51EE5">
      <w:pPr>
        <w:jc w:val="both"/>
        <w:rPr>
          <w:rFonts w:ascii="Avenir Next" w:hAnsi="Avenir Next"/>
          <w:sz w:val="22"/>
          <w:szCs w:val="28"/>
        </w:rPr>
      </w:pPr>
    </w:p>
    <w:p w14:paraId="1E12C6ED" w14:textId="77777777" w:rsidR="00F51EE5" w:rsidRPr="002E1C4D" w:rsidRDefault="00F51EE5" w:rsidP="00040104">
      <w:pPr>
        <w:pStyle w:val="ListParagraph"/>
        <w:numPr>
          <w:ilvl w:val="0"/>
          <w:numId w:val="15"/>
        </w:numPr>
        <w:ind w:left="426" w:hanging="426"/>
        <w:jc w:val="both"/>
        <w:rPr>
          <w:rFonts w:ascii="Avenir Next" w:hAnsi="Avenir Next"/>
          <w:sz w:val="22"/>
          <w:szCs w:val="28"/>
        </w:rPr>
      </w:pPr>
      <w:r w:rsidRPr="002E1C4D">
        <w:rPr>
          <w:rFonts w:ascii="Avenir Next" w:hAnsi="Avenir Next"/>
          <w:sz w:val="22"/>
          <w:szCs w:val="28"/>
          <w:lang w:val="en-GB"/>
        </w:rPr>
        <w:t>The practical problems caused by the disharmony among national laws governing cross-border insolvencies, despite the success of protocols in practice.</w:t>
      </w:r>
    </w:p>
    <w:p w14:paraId="51663CF3" w14:textId="77777777" w:rsidR="00F51EE5" w:rsidRPr="00643897" w:rsidRDefault="00F51EE5" w:rsidP="00F51EE5">
      <w:pPr>
        <w:spacing w:line="276" w:lineRule="auto"/>
        <w:jc w:val="both"/>
        <w:rPr>
          <w:rFonts w:ascii="Avenir Next" w:hAnsi="Avenir Next" w:cs="Arial"/>
          <w:sz w:val="22"/>
          <w:szCs w:val="22"/>
        </w:rPr>
      </w:pPr>
    </w:p>
    <w:p w14:paraId="5A3D21B9" w14:textId="77777777" w:rsidR="00F51EE5" w:rsidRPr="00E2622D" w:rsidRDefault="00F51EE5" w:rsidP="00F51EE5">
      <w:pPr>
        <w:jc w:val="both"/>
        <w:rPr>
          <w:rFonts w:ascii="Avenir Next" w:hAnsi="Avenir Next" w:cs="Arial"/>
          <w:sz w:val="22"/>
          <w:szCs w:val="22"/>
          <w:lang w:val="en-GB"/>
        </w:rPr>
      </w:pPr>
      <w:r>
        <w:rPr>
          <w:rFonts w:ascii="Avenir Next" w:hAnsi="Avenir Next" w:cs="Arial"/>
          <w:sz w:val="22"/>
          <w:szCs w:val="22"/>
          <w:lang w:val="en-GB"/>
        </w:rPr>
        <w:t>Choose the correct answer:</w:t>
      </w:r>
    </w:p>
    <w:p w14:paraId="7643A22D" w14:textId="77777777" w:rsidR="00F51EE5" w:rsidRPr="00E2622D" w:rsidRDefault="00F51EE5" w:rsidP="00F51EE5">
      <w:pPr>
        <w:ind w:left="720" w:hanging="720"/>
        <w:jc w:val="both"/>
        <w:rPr>
          <w:rFonts w:ascii="Avenir Next" w:hAnsi="Avenir Next" w:cs="Arial"/>
          <w:sz w:val="22"/>
          <w:szCs w:val="22"/>
          <w:lang w:val="en-GB"/>
        </w:rPr>
      </w:pPr>
    </w:p>
    <w:p w14:paraId="1BB18EBD" w14:textId="77777777" w:rsidR="00F51EE5" w:rsidRPr="00E2622D" w:rsidRDefault="00F51EE5" w:rsidP="0004010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 (ii) and (iii)</w:t>
      </w:r>
      <w:r w:rsidRPr="00E2622D">
        <w:rPr>
          <w:rFonts w:ascii="Avenir Next" w:hAnsi="Avenir Next" w:cs="Arial"/>
          <w:sz w:val="22"/>
          <w:szCs w:val="22"/>
          <w:lang w:val="en-GB"/>
        </w:rPr>
        <w:t>.</w:t>
      </w:r>
    </w:p>
    <w:p w14:paraId="05BD9BD7" w14:textId="77777777" w:rsidR="00F51EE5" w:rsidRPr="00E2622D" w:rsidRDefault="00F51EE5" w:rsidP="00C00111">
      <w:pPr>
        <w:ind w:hanging="426"/>
        <w:jc w:val="both"/>
        <w:rPr>
          <w:rFonts w:ascii="Avenir Next" w:hAnsi="Avenir Next" w:cs="Arial"/>
          <w:sz w:val="22"/>
          <w:szCs w:val="22"/>
          <w:lang w:val="en-GB"/>
        </w:rPr>
      </w:pPr>
    </w:p>
    <w:p w14:paraId="56103CE7" w14:textId="77777777" w:rsidR="00F51EE5" w:rsidRPr="00CF78AC" w:rsidRDefault="00F51EE5" w:rsidP="00040104">
      <w:pPr>
        <w:pStyle w:val="ListParagraph"/>
        <w:numPr>
          <w:ilvl w:val="0"/>
          <w:numId w:val="6"/>
        </w:numPr>
        <w:ind w:left="426" w:hanging="426"/>
        <w:jc w:val="both"/>
        <w:rPr>
          <w:rFonts w:ascii="Avenir Next" w:hAnsi="Avenir Next" w:cs="Arial"/>
          <w:sz w:val="22"/>
          <w:szCs w:val="22"/>
          <w:highlight w:val="yellow"/>
          <w:lang w:val="en-GB"/>
        </w:rPr>
      </w:pPr>
      <w:r w:rsidRPr="00CF78AC">
        <w:rPr>
          <w:rFonts w:ascii="Avenir Next" w:hAnsi="Avenir Next" w:cs="Arial"/>
          <w:sz w:val="22"/>
          <w:szCs w:val="22"/>
          <w:highlight w:val="yellow"/>
          <w:lang w:val="en-GB"/>
        </w:rPr>
        <w:t>Options (i), (ii) and (iv).</w:t>
      </w:r>
    </w:p>
    <w:p w14:paraId="47FD53CB" w14:textId="77777777" w:rsidR="00F51EE5" w:rsidRPr="00E2622D" w:rsidRDefault="00F51EE5" w:rsidP="00C00111">
      <w:pPr>
        <w:ind w:hanging="426"/>
        <w:jc w:val="both"/>
        <w:rPr>
          <w:rFonts w:ascii="Avenir Next" w:hAnsi="Avenir Next" w:cs="Arial"/>
          <w:sz w:val="22"/>
          <w:szCs w:val="22"/>
          <w:lang w:val="en-GB"/>
        </w:rPr>
      </w:pPr>
    </w:p>
    <w:p w14:paraId="5C845F79" w14:textId="77777777" w:rsidR="00F51EE5" w:rsidRPr="00E2622D" w:rsidRDefault="00F51EE5" w:rsidP="00040104">
      <w:pPr>
        <w:pStyle w:val="ListParagraph"/>
        <w:numPr>
          <w:ilvl w:val="0"/>
          <w:numId w:val="6"/>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p>
    <w:p w14:paraId="5D4F7ECB" w14:textId="77777777" w:rsidR="00F51EE5" w:rsidRPr="00E2622D" w:rsidRDefault="00F51EE5" w:rsidP="00C00111">
      <w:pPr>
        <w:pStyle w:val="ListParagraph"/>
        <w:ind w:hanging="426"/>
        <w:rPr>
          <w:rFonts w:ascii="Avenir Next" w:hAnsi="Avenir Next" w:cs="Arial"/>
          <w:sz w:val="22"/>
          <w:szCs w:val="22"/>
          <w:lang w:val="en-GB"/>
        </w:rPr>
      </w:pPr>
    </w:p>
    <w:p w14:paraId="4DC029C8" w14:textId="77777777" w:rsidR="00F51EE5" w:rsidRPr="00E2622D" w:rsidRDefault="00F51EE5" w:rsidP="00040104">
      <w:pPr>
        <w:pStyle w:val="ListParagraph"/>
        <w:numPr>
          <w:ilvl w:val="0"/>
          <w:numId w:val="6"/>
        </w:numPr>
        <w:ind w:left="426" w:hanging="426"/>
        <w:jc w:val="both"/>
        <w:rPr>
          <w:rFonts w:ascii="Avenir Next" w:hAnsi="Avenir Next" w:cs="Arial"/>
          <w:sz w:val="22"/>
          <w:szCs w:val="22"/>
          <w:lang w:val="en-GB"/>
        </w:rPr>
      </w:pPr>
      <w:r w:rsidRPr="00E2622D">
        <w:rPr>
          <w:rFonts w:ascii="Avenir Next" w:hAnsi="Avenir Next" w:cs="Arial"/>
          <w:sz w:val="22"/>
          <w:szCs w:val="22"/>
          <w:lang w:val="en-GB"/>
        </w:rPr>
        <w:t>All of the above</w:t>
      </w:r>
      <w:r>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2BE867E" w14:textId="77777777" w:rsidR="0097337E" w:rsidRPr="00832BB0" w:rsidRDefault="0097337E" w:rsidP="0097337E">
      <w:pPr>
        <w:jc w:val="both"/>
        <w:rPr>
          <w:rFonts w:ascii="Avenir Next" w:hAnsi="Avenir Next"/>
          <w:sz w:val="22"/>
          <w:szCs w:val="28"/>
        </w:rPr>
      </w:pPr>
      <w:r w:rsidRPr="00832BB0">
        <w:rPr>
          <w:rFonts w:ascii="Avenir Next" w:hAnsi="Avenir Next"/>
          <w:sz w:val="22"/>
          <w:szCs w:val="28"/>
        </w:rPr>
        <w:t xml:space="preserve">Which of the statements below are </w:t>
      </w:r>
      <w:r w:rsidRPr="00375270">
        <w:rPr>
          <w:rFonts w:ascii="Avenir Next Demi Bold" w:hAnsi="Avenir Next Demi Bold"/>
          <w:sz w:val="22"/>
          <w:szCs w:val="28"/>
          <w:u w:val="single"/>
        </w:rPr>
        <w:t>incorrect</w:t>
      </w:r>
      <w:r>
        <w:rPr>
          <w:rFonts w:ascii="Avenir Next" w:hAnsi="Avenir Next"/>
          <w:sz w:val="22"/>
          <w:szCs w:val="28"/>
        </w:rPr>
        <w:t xml:space="preserve"> regarding</w:t>
      </w:r>
      <w:r w:rsidRPr="00832BB0">
        <w:rPr>
          <w:rFonts w:ascii="Avenir Next" w:hAnsi="Avenir Next"/>
          <w:sz w:val="22"/>
          <w:szCs w:val="28"/>
        </w:rPr>
        <w:t xml:space="preserve"> COMI under the MLCBI?</w:t>
      </w:r>
    </w:p>
    <w:p w14:paraId="523A572E" w14:textId="77777777" w:rsidR="0097337E" w:rsidRPr="007742D6" w:rsidRDefault="0097337E" w:rsidP="0097337E">
      <w:pPr>
        <w:rPr>
          <w:rFonts w:ascii="Avenir Next" w:hAnsi="Avenir Next"/>
          <w:sz w:val="22"/>
          <w:szCs w:val="28"/>
        </w:rPr>
      </w:pPr>
    </w:p>
    <w:p w14:paraId="232F5D86" w14:textId="77777777" w:rsidR="0097337E" w:rsidRPr="007742D6" w:rsidRDefault="0097337E" w:rsidP="0004010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a well-defined term in the MLCBI.</w:t>
      </w:r>
    </w:p>
    <w:p w14:paraId="6B23A10A" w14:textId="77777777" w:rsidR="0097337E" w:rsidRPr="007742D6" w:rsidRDefault="0097337E" w:rsidP="0097337E">
      <w:pPr>
        <w:ind w:left="426" w:hanging="426"/>
        <w:rPr>
          <w:rFonts w:ascii="Avenir Next" w:hAnsi="Avenir Next"/>
          <w:sz w:val="22"/>
          <w:szCs w:val="28"/>
        </w:rPr>
      </w:pPr>
    </w:p>
    <w:p w14:paraId="50E5E1C9" w14:textId="77777777" w:rsidR="0097337E" w:rsidRPr="007742D6" w:rsidRDefault="0097337E" w:rsidP="0004010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stands for comity.</w:t>
      </w:r>
    </w:p>
    <w:p w14:paraId="1E13BE41" w14:textId="77777777" w:rsidR="0097337E" w:rsidRPr="007742D6" w:rsidRDefault="0097337E" w:rsidP="0097337E">
      <w:pPr>
        <w:ind w:left="426" w:hanging="426"/>
        <w:rPr>
          <w:rFonts w:ascii="Avenir Next" w:hAnsi="Avenir Next"/>
          <w:sz w:val="22"/>
          <w:szCs w:val="28"/>
        </w:rPr>
      </w:pPr>
    </w:p>
    <w:p w14:paraId="76767C1B" w14:textId="77777777" w:rsidR="0097337E" w:rsidRPr="007742D6" w:rsidRDefault="0097337E" w:rsidP="0004010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The debtor’s registered office is irrelevant for purposes of determining COMI.</w:t>
      </w:r>
    </w:p>
    <w:p w14:paraId="3A84165D" w14:textId="77777777" w:rsidR="0097337E" w:rsidRPr="007742D6" w:rsidRDefault="0097337E" w:rsidP="0097337E">
      <w:pPr>
        <w:pStyle w:val="ListParagraph"/>
        <w:rPr>
          <w:rFonts w:ascii="Avenir Next" w:hAnsi="Avenir Next"/>
          <w:sz w:val="22"/>
          <w:szCs w:val="28"/>
        </w:rPr>
      </w:pPr>
    </w:p>
    <w:p w14:paraId="785ABFAE" w14:textId="77777777" w:rsidR="0097337E" w:rsidRPr="007742D6" w:rsidRDefault="0097337E" w:rsidP="00040104">
      <w:pPr>
        <w:pStyle w:val="ListParagraph"/>
        <w:numPr>
          <w:ilvl w:val="0"/>
          <w:numId w:val="16"/>
        </w:numPr>
        <w:ind w:left="426" w:hanging="426"/>
        <w:rPr>
          <w:rFonts w:ascii="Avenir Next" w:hAnsi="Avenir Next"/>
          <w:sz w:val="22"/>
          <w:szCs w:val="28"/>
        </w:rPr>
      </w:pPr>
      <w:r w:rsidRPr="007742D6">
        <w:rPr>
          <w:rFonts w:ascii="Avenir Next" w:hAnsi="Avenir Next"/>
          <w:sz w:val="22"/>
          <w:szCs w:val="28"/>
        </w:rPr>
        <w:t>COMI is being tested as of the date of the petition for recognition.</w:t>
      </w:r>
    </w:p>
    <w:p w14:paraId="4C786481" w14:textId="77777777" w:rsidR="0097337E" w:rsidRPr="00D6277B" w:rsidRDefault="0097337E" w:rsidP="0097337E">
      <w:pPr>
        <w:spacing w:line="276" w:lineRule="auto"/>
        <w:jc w:val="both"/>
        <w:rPr>
          <w:rFonts w:ascii="Avenir Next" w:hAnsi="Avenir Next" w:cs="Arial"/>
          <w:sz w:val="22"/>
          <w:szCs w:val="22"/>
        </w:rPr>
      </w:pPr>
    </w:p>
    <w:p w14:paraId="41B49117" w14:textId="77777777" w:rsidR="0097337E" w:rsidRPr="00E2622D" w:rsidRDefault="0097337E" w:rsidP="0097337E">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72EEC3B" w14:textId="77777777" w:rsidR="0097337E" w:rsidRPr="00E2622D" w:rsidRDefault="0097337E" w:rsidP="0097337E">
      <w:pPr>
        <w:ind w:left="426" w:hanging="720"/>
        <w:jc w:val="both"/>
        <w:rPr>
          <w:rFonts w:ascii="Avenir Next" w:hAnsi="Avenir Next" w:cs="Arial"/>
          <w:sz w:val="22"/>
          <w:szCs w:val="22"/>
          <w:lang w:val="en-GB"/>
        </w:rPr>
      </w:pPr>
    </w:p>
    <w:p w14:paraId="6E297B35" w14:textId="77777777" w:rsidR="0097337E" w:rsidRPr="0097337E" w:rsidRDefault="0097337E" w:rsidP="00040104">
      <w:pPr>
        <w:pStyle w:val="ListParagraph"/>
        <w:numPr>
          <w:ilvl w:val="0"/>
          <w:numId w:val="7"/>
        </w:numPr>
        <w:ind w:left="426" w:hanging="426"/>
        <w:jc w:val="both"/>
        <w:rPr>
          <w:rFonts w:ascii="Avenir Next" w:hAnsi="Avenir Next" w:cs="Arial"/>
          <w:sz w:val="22"/>
          <w:szCs w:val="22"/>
          <w:lang w:val="en-GB"/>
        </w:rPr>
      </w:pPr>
      <w:r w:rsidRPr="0097337E">
        <w:rPr>
          <w:rFonts w:ascii="Avenir Next" w:hAnsi="Avenir Next" w:cs="Arial"/>
          <w:sz w:val="22"/>
          <w:szCs w:val="22"/>
          <w:lang w:val="en-GB"/>
        </w:rPr>
        <w:t>Options (i), (ii) and (iii).</w:t>
      </w:r>
    </w:p>
    <w:p w14:paraId="4868900C" w14:textId="77777777" w:rsidR="0097337E" w:rsidRPr="00E2622D" w:rsidRDefault="0097337E" w:rsidP="0097337E">
      <w:pPr>
        <w:ind w:left="426" w:hanging="426"/>
        <w:jc w:val="both"/>
        <w:rPr>
          <w:rFonts w:ascii="Avenir Next" w:hAnsi="Avenir Next" w:cs="Arial"/>
          <w:sz w:val="22"/>
          <w:szCs w:val="22"/>
          <w:lang w:val="en-GB"/>
        </w:rPr>
      </w:pPr>
    </w:p>
    <w:p w14:paraId="6E6AF67F" w14:textId="77777777" w:rsidR="0097337E" w:rsidRPr="00E2622D" w:rsidRDefault="0097337E" w:rsidP="00040104">
      <w:pPr>
        <w:pStyle w:val="ListParagraph"/>
        <w:numPr>
          <w:ilvl w:val="0"/>
          <w:numId w:val="7"/>
        </w:numPr>
        <w:ind w:left="426" w:hanging="426"/>
        <w:jc w:val="both"/>
        <w:rPr>
          <w:rFonts w:ascii="Avenir Next" w:hAnsi="Avenir Next" w:cs="Arial"/>
          <w:sz w:val="22"/>
          <w:szCs w:val="22"/>
          <w:lang w:val="en-GB"/>
        </w:rPr>
      </w:pPr>
      <w:r>
        <w:rPr>
          <w:rFonts w:ascii="Avenir Next" w:hAnsi="Avenir Next" w:cs="Arial"/>
          <w:sz w:val="22"/>
          <w:szCs w:val="22"/>
          <w:lang w:val="en-GB"/>
        </w:rPr>
        <w:t>Options (ii), (iii) and (iv)</w:t>
      </w:r>
      <w:r w:rsidRPr="00E2622D">
        <w:rPr>
          <w:rFonts w:ascii="Avenir Next" w:hAnsi="Avenir Next" w:cs="Arial"/>
          <w:sz w:val="22"/>
          <w:szCs w:val="22"/>
          <w:lang w:val="en-GB"/>
        </w:rPr>
        <w:t>.</w:t>
      </w:r>
    </w:p>
    <w:p w14:paraId="187F53AF" w14:textId="77777777" w:rsidR="0097337E" w:rsidRPr="00E2622D" w:rsidRDefault="0097337E" w:rsidP="0097337E">
      <w:pPr>
        <w:ind w:left="426" w:hanging="426"/>
        <w:jc w:val="both"/>
        <w:rPr>
          <w:rFonts w:ascii="Avenir Next" w:hAnsi="Avenir Next" w:cs="Arial"/>
          <w:sz w:val="22"/>
          <w:szCs w:val="22"/>
          <w:lang w:val="en-GB"/>
        </w:rPr>
      </w:pPr>
    </w:p>
    <w:p w14:paraId="67BA29A1" w14:textId="77777777" w:rsidR="0097337E" w:rsidRPr="00CF78AC" w:rsidRDefault="0097337E" w:rsidP="00040104">
      <w:pPr>
        <w:pStyle w:val="ListParagraph"/>
        <w:numPr>
          <w:ilvl w:val="0"/>
          <w:numId w:val="7"/>
        </w:numPr>
        <w:ind w:left="426" w:hanging="426"/>
        <w:jc w:val="both"/>
        <w:rPr>
          <w:rFonts w:ascii="Avenir Next" w:hAnsi="Avenir Next" w:cs="Arial"/>
          <w:sz w:val="22"/>
          <w:szCs w:val="22"/>
          <w:highlight w:val="yellow"/>
          <w:lang w:val="en-GB"/>
        </w:rPr>
      </w:pPr>
      <w:r w:rsidRPr="00CF78AC">
        <w:rPr>
          <w:rFonts w:ascii="Avenir Next" w:hAnsi="Avenir Next" w:cs="Arial"/>
          <w:sz w:val="22"/>
          <w:szCs w:val="22"/>
          <w:highlight w:val="yellow"/>
          <w:lang w:val="en-GB"/>
        </w:rPr>
        <w:t>All of the above.</w:t>
      </w:r>
    </w:p>
    <w:p w14:paraId="6BDBE325" w14:textId="77777777" w:rsidR="0097337E" w:rsidRPr="00E2622D" w:rsidRDefault="0097337E" w:rsidP="0097337E">
      <w:pPr>
        <w:ind w:left="426" w:hanging="426"/>
        <w:jc w:val="both"/>
        <w:rPr>
          <w:rFonts w:ascii="Avenir Next" w:hAnsi="Avenir Next" w:cs="Arial"/>
          <w:sz w:val="22"/>
          <w:szCs w:val="22"/>
          <w:lang w:val="en-GB"/>
        </w:rPr>
      </w:pPr>
    </w:p>
    <w:p w14:paraId="6DA60497" w14:textId="77777777" w:rsidR="0097337E" w:rsidRPr="002B7A69" w:rsidRDefault="0097337E" w:rsidP="00040104">
      <w:pPr>
        <w:pStyle w:val="ListParagraph"/>
        <w:numPr>
          <w:ilvl w:val="0"/>
          <w:numId w:val="7"/>
        </w:numPr>
        <w:ind w:left="426" w:hanging="426"/>
        <w:jc w:val="both"/>
        <w:rPr>
          <w:rFonts w:ascii="Avenir Next" w:hAnsi="Avenir Next" w:cs="Arial"/>
          <w:sz w:val="22"/>
          <w:szCs w:val="22"/>
          <w:lang w:val="en-GB"/>
        </w:rPr>
      </w:pPr>
      <w:r w:rsidRPr="002B7A69">
        <w:rPr>
          <w:rFonts w:ascii="Avenir Next" w:hAnsi="Avenir Next" w:cs="Arial"/>
          <w:sz w:val="22"/>
          <w:szCs w:val="22"/>
          <w:lang w:val="en-GB"/>
        </w:rPr>
        <w:t>None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596C3F7D" w14:textId="1017F594" w:rsidR="00E9597C" w:rsidRDefault="00E9597C" w:rsidP="00C00111">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41B5B7BF" w14:textId="77777777" w:rsidR="00C00111" w:rsidRPr="00C00111" w:rsidRDefault="00C00111" w:rsidP="00C00111">
      <w:pPr>
        <w:jc w:val="both"/>
        <w:rPr>
          <w:rFonts w:ascii="Avenir Next Demi Bold" w:hAnsi="Avenir Next Demi Bold" w:cs="Arial"/>
          <w:b/>
          <w:bCs/>
          <w:sz w:val="22"/>
          <w:szCs w:val="22"/>
          <w:lang w:val="en-GB"/>
        </w:rPr>
      </w:pPr>
    </w:p>
    <w:p w14:paraId="5A73F8F2" w14:textId="77777777" w:rsidR="009A58D1" w:rsidRDefault="009A58D1" w:rsidP="00C00111">
      <w:pPr>
        <w:jc w:val="both"/>
        <w:rPr>
          <w:rFonts w:ascii="Avenir Next" w:hAnsi="Avenir Next"/>
          <w:sz w:val="22"/>
          <w:szCs w:val="28"/>
        </w:rPr>
      </w:pPr>
      <w:r w:rsidRPr="00074E4B">
        <w:rPr>
          <w:rFonts w:ascii="Avenir Next" w:hAnsi="Avenir Next"/>
          <w:sz w:val="22"/>
          <w:szCs w:val="28"/>
        </w:rPr>
        <w:t xml:space="preserve">In </w:t>
      </w:r>
      <w:r>
        <w:rPr>
          <w:rFonts w:ascii="Avenir Next" w:hAnsi="Avenir Next"/>
          <w:sz w:val="22"/>
          <w:szCs w:val="28"/>
        </w:rPr>
        <w:t>the event</w:t>
      </w:r>
      <w:r w:rsidRPr="00074E4B">
        <w:rPr>
          <w:rFonts w:ascii="Avenir Next" w:hAnsi="Avenir Next"/>
          <w:sz w:val="22"/>
          <w:szCs w:val="28"/>
        </w:rPr>
        <w:t xml:space="preserve"> of the following concurrent proceeding</w:t>
      </w:r>
      <w:r>
        <w:rPr>
          <w:rFonts w:ascii="Avenir Next" w:hAnsi="Avenir Next"/>
          <w:sz w:val="22"/>
          <w:szCs w:val="28"/>
        </w:rPr>
        <w:t>s</w:t>
      </w:r>
      <w:r w:rsidRPr="00074E4B">
        <w:rPr>
          <w:rFonts w:ascii="Avenir Next" w:hAnsi="Avenir Next"/>
          <w:sz w:val="22"/>
          <w:szCs w:val="28"/>
        </w:rPr>
        <w:t xml:space="preserve">, </w:t>
      </w:r>
      <w:r>
        <w:rPr>
          <w:rFonts w:ascii="Avenir Next" w:hAnsi="Avenir Next"/>
          <w:sz w:val="22"/>
          <w:szCs w:val="28"/>
        </w:rPr>
        <w:t xml:space="preserve">indicate the </w:t>
      </w:r>
      <w:r w:rsidRPr="00477E4D">
        <w:rPr>
          <w:rFonts w:ascii="Avenir Next Demi Bold" w:hAnsi="Avenir Next Demi Bold"/>
          <w:sz w:val="22"/>
          <w:szCs w:val="28"/>
          <w:u w:val="single"/>
        </w:rPr>
        <w:t>order of the proceedings</w:t>
      </w:r>
      <w:r w:rsidRPr="00074E4B">
        <w:rPr>
          <w:rFonts w:ascii="Avenir Next" w:hAnsi="Avenir Next"/>
          <w:sz w:val="22"/>
          <w:szCs w:val="28"/>
        </w:rPr>
        <w:t xml:space="preserve"> in </w:t>
      </w:r>
      <w:r>
        <w:rPr>
          <w:rFonts w:ascii="Avenir Next" w:hAnsi="Avenir Next"/>
          <w:sz w:val="22"/>
          <w:szCs w:val="28"/>
        </w:rPr>
        <w:t>terms of</w:t>
      </w:r>
      <w:r w:rsidRPr="00074E4B">
        <w:rPr>
          <w:rFonts w:ascii="Avenir Next" w:hAnsi="Avenir Next"/>
          <w:sz w:val="22"/>
          <w:szCs w:val="28"/>
        </w:rPr>
        <w:t xml:space="preserve"> their hierarchy</w:t>
      </w:r>
      <w:r>
        <w:rPr>
          <w:rFonts w:ascii="Avenir Next" w:hAnsi="Avenir Next"/>
          <w:sz w:val="22"/>
          <w:szCs w:val="28"/>
        </w:rPr>
        <w:t xml:space="preserve"> </w:t>
      </w:r>
      <w:r w:rsidRPr="00074E4B">
        <w:rPr>
          <w:rFonts w:ascii="Avenir Next" w:hAnsi="Avenir Next"/>
          <w:sz w:val="22"/>
          <w:szCs w:val="28"/>
        </w:rPr>
        <w:t>/</w:t>
      </w:r>
      <w:r>
        <w:rPr>
          <w:rFonts w:ascii="Avenir Next" w:hAnsi="Avenir Next"/>
          <w:sz w:val="22"/>
          <w:szCs w:val="28"/>
        </w:rPr>
        <w:t xml:space="preserve"> </w:t>
      </w:r>
      <w:r w:rsidRPr="00074E4B">
        <w:rPr>
          <w:rFonts w:ascii="Avenir Next" w:hAnsi="Avenir Next"/>
          <w:sz w:val="22"/>
          <w:szCs w:val="28"/>
        </w:rPr>
        <w:t>primacy:</w:t>
      </w:r>
    </w:p>
    <w:p w14:paraId="2E2240D8" w14:textId="77777777" w:rsidR="009A58D1" w:rsidRPr="00074E4B" w:rsidRDefault="009A58D1" w:rsidP="009A58D1">
      <w:pPr>
        <w:jc w:val="both"/>
        <w:rPr>
          <w:rFonts w:ascii="Avenir Next" w:hAnsi="Avenir Next"/>
          <w:sz w:val="22"/>
          <w:szCs w:val="28"/>
        </w:rPr>
      </w:pPr>
    </w:p>
    <w:p w14:paraId="731E6BA4" w14:textId="77777777" w:rsidR="009A58D1" w:rsidRDefault="009A58D1" w:rsidP="0004010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main proceeding</w:t>
      </w:r>
      <w:r>
        <w:rPr>
          <w:rFonts w:ascii="Avenir Next" w:hAnsi="Avenir Next"/>
          <w:sz w:val="22"/>
          <w:szCs w:val="28"/>
        </w:rPr>
        <w:t>.</w:t>
      </w:r>
    </w:p>
    <w:p w14:paraId="71147639" w14:textId="77777777" w:rsidR="009A58D1" w:rsidRPr="004C03EB" w:rsidRDefault="009A58D1" w:rsidP="009A58D1">
      <w:pPr>
        <w:pStyle w:val="ListParagraph"/>
        <w:ind w:left="426"/>
        <w:jc w:val="both"/>
        <w:rPr>
          <w:rFonts w:ascii="Avenir Next" w:hAnsi="Avenir Next"/>
          <w:sz w:val="22"/>
          <w:szCs w:val="28"/>
        </w:rPr>
      </w:pPr>
    </w:p>
    <w:p w14:paraId="39086E74" w14:textId="77777777" w:rsidR="009A58D1" w:rsidRDefault="009A58D1" w:rsidP="0004010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Foreign non</w:t>
      </w:r>
      <w:r>
        <w:rPr>
          <w:rFonts w:ascii="Avenir Next" w:hAnsi="Avenir Next"/>
          <w:sz w:val="22"/>
          <w:szCs w:val="28"/>
        </w:rPr>
        <w:t>-</w:t>
      </w:r>
      <w:r w:rsidRPr="004C03EB">
        <w:rPr>
          <w:rFonts w:ascii="Avenir Next" w:hAnsi="Avenir Next"/>
          <w:sz w:val="22"/>
          <w:szCs w:val="28"/>
        </w:rPr>
        <w:t>main proceeding</w:t>
      </w:r>
      <w:r>
        <w:rPr>
          <w:rFonts w:ascii="Avenir Next" w:hAnsi="Avenir Next"/>
          <w:sz w:val="22"/>
          <w:szCs w:val="28"/>
        </w:rPr>
        <w:t>.</w:t>
      </w:r>
    </w:p>
    <w:p w14:paraId="13823AD3" w14:textId="77777777" w:rsidR="009A58D1" w:rsidRPr="00477E4D" w:rsidRDefault="009A58D1" w:rsidP="009A58D1">
      <w:pPr>
        <w:jc w:val="both"/>
        <w:rPr>
          <w:rFonts w:ascii="Avenir Next" w:hAnsi="Avenir Next"/>
          <w:sz w:val="22"/>
          <w:szCs w:val="28"/>
        </w:rPr>
      </w:pPr>
    </w:p>
    <w:p w14:paraId="06176C99" w14:textId="77777777" w:rsidR="009A58D1" w:rsidRPr="004C03EB" w:rsidRDefault="009A58D1" w:rsidP="00040104">
      <w:pPr>
        <w:pStyle w:val="ListParagraph"/>
        <w:numPr>
          <w:ilvl w:val="0"/>
          <w:numId w:val="17"/>
        </w:numPr>
        <w:ind w:left="426" w:hanging="426"/>
        <w:jc w:val="both"/>
        <w:rPr>
          <w:rFonts w:ascii="Avenir Next" w:hAnsi="Avenir Next"/>
          <w:sz w:val="22"/>
          <w:szCs w:val="28"/>
        </w:rPr>
      </w:pPr>
      <w:r w:rsidRPr="004C03EB">
        <w:rPr>
          <w:rFonts w:ascii="Avenir Next" w:hAnsi="Avenir Next"/>
          <w:sz w:val="22"/>
          <w:szCs w:val="28"/>
        </w:rPr>
        <w:t>Plenary domestic insolvency proceeding</w:t>
      </w:r>
      <w:r>
        <w:rPr>
          <w:rFonts w:ascii="Avenir Next" w:hAnsi="Avenir Next"/>
          <w:sz w:val="22"/>
          <w:szCs w:val="28"/>
        </w:rPr>
        <w:t>.</w:t>
      </w:r>
    </w:p>
    <w:p w14:paraId="4BADE90C" w14:textId="77777777" w:rsidR="009A58D1" w:rsidRPr="00074E4B" w:rsidRDefault="009A58D1" w:rsidP="009A58D1">
      <w:pPr>
        <w:spacing w:after="120"/>
        <w:rPr>
          <w:rFonts w:ascii="Arial" w:hAnsi="Arial" w:cs="Arial"/>
        </w:rPr>
      </w:pPr>
    </w:p>
    <w:p w14:paraId="69D2456D" w14:textId="77777777" w:rsidR="009A58D1" w:rsidRPr="00E2622D" w:rsidRDefault="009A58D1" w:rsidP="009A58D1">
      <w:pPr>
        <w:jc w:val="both"/>
        <w:rPr>
          <w:rFonts w:ascii="Avenir Next" w:hAnsi="Avenir Next" w:cs="Arial"/>
          <w:sz w:val="22"/>
          <w:szCs w:val="22"/>
          <w:lang w:val="en-GB"/>
        </w:rPr>
      </w:pPr>
      <w:r>
        <w:rPr>
          <w:rFonts w:ascii="Avenir Next" w:hAnsi="Avenir Next" w:cs="Arial"/>
          <w:sz w:val="22"/>
          <w:szCs w:val="22"/>
          <w:lang w:val="en-GB"/>
        </w:rPr>
        <w:t>Choose the correct answer:</w:t>
      </w:r>
    </w:p>
    <w:p w14:paraId="42BE5F28" w14:textId="77777777" w:rsidR="009A58D1" w:rsidRPr="00E2622D" w:rsidRDefault="009A58D1" w:rsidP="009A58D1">
      <w:pPr>
        <w:ind w:left="720" w:hanging="720"/>
        <w:jc w:val="both"/>
        <w:rPr>
          <w:rFonts w:ascii="Avenir Next" w:hAnsi="Avenir Next" w:cs="Arial"/>
          <w:sz w:val="22"/>
          <w:szCs w:val="22"/>
          <w:lang w:val="en-GB"/>
        </w:rPr>
      </w:pPr>
    </w:p>
    <w:p w14:paraId="1C556557" w14:textId="77777777" w:rsidR="009A58D1" w:rsidRPr="00E2622D" w:rsidRDefault="009A58D1" w:rsidP="0004010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 (i) and then (iii)</w:t>
      </w:r>
      <w:r w:rsidRPr="00E2622D">
        <w:rPr>
          <w:rFonts w:ascii="Avenir Next" w:hAnsi="Avenir Next" w:cs="Arial"/>
          <w:sz w:val="22"/>
          <w:szCs w:val="22"/>
          <w:lang w:val="en-GB"/>
        </w:rPr>
        <w:t>.</w:t>
      </w:r>
    </w:p>
    <w:p w14:paraId="131D6BFC" w14:textId="77777777" w:rsidR="009A58D1" w:rsidRPr="00E2622D" w:rsidRDefault="009A58D1" w:rsidP="009A58D1">
      <w:pPr>
        <w:ind w:left="426" w:hanging="426"/>
        <w:jc w:val="both"/>
        <w:rPr>
          <w:rFonts w:ascii="Avenir Next" w:hAnsi="Avenir Next" w:cs="Arial"/>
          <w:sz w:val="22"/>
          <w:szCs w:val="22"/>
          <w:lang w:val="en-GB"/>
        </w:rPr>
      </w:pPr>
    </w:p>
    <w:p w14:paraId="6AC470EB" w14:textId="77777777" w:rsidR="009A58D1" w:rsidRPr="00E2622D" w:rsidRDefault="009A58D1" w:rsidP="0004010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 (ii) and then (iii)</w:t>
      </w:r>
      <w:r w:rsidRPr="00E2622D">
        <w:rPr>
          <w:rFonts w:ascii="Avenir Next" w:hAnsi="Avenir Next" w:cs="Arial"/>
          <w:sz w:val="22"/>
          <w:szCs w:val="22"/>
          <w:lang w:val="en-GB"/>
        </w:rPr>
        <w:t xml:space="preserve">.  </w:t>
      </w:r>
    </w:p>
    <w:p w14:paraId="0D2CE76D" w14:textId="77777777" w:rsidR="009A58D1" w:rsidRPr="00E2622D" w:rsidRDefault="009A58D1" w:rsidP="009A58D1">
      <w:pPr>
        <w:ind w:left="426" w:hanging="426"/>
        <w:jc w:val="both"/>
        <w:rPr>
          <w:rFonts w:ascii="Avenir Next" w:hAnsi="Avenir Next" w:cs="Arial"/>
          <w:sz w:val="22"/>
          <w:szCs w:val="22"/>
          <w:lang w:val="en-GB"/>
        </w:rPr>
      </w:pPr>
    </w:p>
    <w:p w14:paraId="0EB70469" w14:textId="77777777" w:rsidR="009A58D1" w:rsidRPr="00CF78AC" w:rsidRDefault="009A58D1" w:rsidP="00040104">
      <w:pPr>
        <w:pStyle w:val="ListParagraph"/>
        <w:numPr>
          <w:ilvl w:val="0"/>
          <w:numId w:val="8"/>
        </w:numPr>
        <w:ind w:left="426" w:hanging="426"/>
        <w:jc w:val="both"/>
        <w:rPr>
          <w:rFonts w:ascii="Avenir Next" w:hAnsi="Avenir Next" w:cs="Arial"/>
          <w:sz w:val="22"/>
          <w:szCs w:val="22"/>
          <w:highlight w:val="yellow"/>
          <w:lang w:val="en-GB"/>
        </w:rPr>
      </w:pPr>
      <w:r w:rsidRPr="00CF78AC">
        <w:rPr>
          <w:rFonts w:ascii="Avenir Next" w:hAnsi="Avenir Next" w:cs="Arial"/>
          <w:sz w:val="22"/>
          <w:szCs w:val="22"/>
          <w:highlight w:val="yellow"/>
          <w:lang w:val="en-GB"/>
        </w:rPr>
        <w:t>Options (iii), (i) and then (ii).</w:t>
      </w:r>
    </w:p>
    <w:p w14:paraId="1E30F262" w14:textId="77777777" w:rsidR="009A58D1" w:rsidRPr="00E2622D" w:rsidRDefault="009A58D1" w:rsidP="009A58D1">
      <w:pPr>
        <w:ind w:left="426" w:hanging="426"/>
        <w:jc w:val="both"/>
        <w:rPr>
          <w:rFonts w:ascii="Avenir Next" w:hAnsi="Avenir Next" w:cs="Arial"/>
          <w:sz w:val="22"/>
          <w:szCs w:val="22"/>
          <w:lang w:val="en-GB"/>
        </w:rPr>
      </w:pPr>
    </w:p>
    <w:p w14:paraId="56CF62F5" w14:textId="77777777" w:rsidR="009A58D1" w:rsidRPr="00E2622D" w:rsidRDefault="009A58D1" w:rsidP="00040104">
      <w:pPr>
        <w:pStyle w:val="ListParagraph"/>
        <w:numPr>
          <w:ilvl w:val="0"/>
          <w:numId w:val="8"/>
        </w:numPr>
        <w:ind w:left="426" w:hanging="426"/>
        <w:jc w:val="both"/>
        <w:rPr>
          <w:rFonts w:ascii="Avenir Next" w:hAnsi="Avenir Next" w:cs="Arial"/>
          <w:sz w:val="22"/>
          <w:szCs w:val="22"/>
          <w:lang w:val="en-GB"/>
        </w:rPr>
      </w:pPr>
      <w:r>
        <w:rPr>
          <w:rFonts w:ascii="Avenir Next" w:hAnsi="Avenir Next" w:cs="Arial"/>
          <w:sz w:val="22"/>
          <w:szCs w:val="22"/>
          <w:lang w:val="en-GB"/>
        </w:rPr>
        <w:t>Options (iii), (ii) and then (i)</w:t>
      </w:r>
      <w:r w:rsidRPr="00E2622D">
        <w:rPr>
          <w:rFonts w:ascii="Avenir Next" w:hAnsi="Avenir Next" w:cs="Arial"/>
          <w:sz w:val="22"/>
          <w:szCs w:val="22"/>
          <w:lang w:val="en-GB"/>
        </w:rPr>
        <w:t>.</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2EF0E14E" w14:textId="77777777" w:rsidR="00C4510C" w:rsidRDefault="00C4510C" w:rsidP="00C4510C">
      <w:pPr>
        <w:rPr>
          <w:rFonts w:ascii="Avenir Next" w:hAnsi="Avenir Next"/>
          <w:sz w:val="22"/>
          <w:szCs w:val="28"/>
        </w:rPr>
      </w:pPr>
      <w:r w:rsidRPr="00574696">
        <w:rPr>
          <w:rFonts w:ascii="Avenir Next" w:hAnsi="Avenir Next"/>
          <w:sz w:val="22"/>
          <w:szCs w:val="28"/>
        </w:rPr>
        <w:t xml:space="preserve">Which of the statements below are </w:t>
      </w:r>
      <w:r w:rsidRPr="00574696">
        <w:rPr>
          <w:rFonts w:ascii="Avenir Next Demi Bold" w:hAnsi="Avenir Next Demi Bold"/>
          <w:sz w:val="22"/>
          <w:szCs w:val="28"/>
          <w:u w:val="single"/>
        </w:rPr>
        <w:t>correct</w:t>
      </w:r>
      <w:r w:rsidRPr="00574696">
        <w:rPr>
          <w:rFonts w:ascii="Avenir Next" w:hAnsi="Avenir Next"/>
          <w:sz w:val="22"/>
          <w:szCs w:val="28"/>
        </w:rPr>
        <w:t xml:space="preserve"> under the MLCBI?</w:t>
      </w:r>
    </w:p>
    <w:p w14:paraId="6A003A96" w14:textId="77777777" w:rsidR="00C4510C" w:rsidRDefault="00C4510C" w:rsidP="00C4510C">
      <w:pPr>
        <w:rPr>
          <w:rFonts w:ascii="Avenir Next" w:hAnsi="Avenir Next"/>
          <w:sz w:val="22"/>
          <w:szCs w:val="28"/>
        </w:rPr>
      </w:pPr>
    </w:p>
    <w:p w14:paraId="25D470C0" w14:textId="77777777" w:rsidR="00C4510C" w:rsidRDefault="00C4510C" w:rsidP="0004010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foreign representative always has the powers to bring avoidance actions.</w:t>
      </w:r>
    </w:p>
    <w:p w14:paraId="61F62A93" w14:textId="77777777" w:rsidR="00C4510C" w:rsidRPr="00387EA9" w:rsidRDefault="00C4510C" w:rsidP="00C00111">
      <w:pPr>
        <w:pStyle w:val="ListParagraph"/>
        <w:ind w:left="426" w:hanging="426"/>
        <w:jc w:val="both"/>
        <w:rPr>
          <w:rFonts w:ascii="Avenir Next" w:hAnsi="Avenir Next" w:cs="Arial"/>
          <w:sz w:val="22"/>
          <w:szCs w:val="22"/>
          <w:lang w:val="en-GB"/>
        </w:rPr>
      </w:pPr>
    </w:p>
    <w:p w14:paraId="3BCC256A" w14:textId="77777777" w:rsidR="00C4510C" w:rsidRDefault="00C4510C" w:rsidP="0004010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hotchpot rule prioriti</w:t>
      </w:r>
      <w:r>
        <w:rPr>
          <w:rFonts w:ascii="Avenir Next" w:hAnsi="Avenir Next" w:cs="Arial"/>
          <w:sz w:val="22"/>
          <w:szCs w:val="22"/>
          <w:lang w:val="en-GB"/>
        </w:rPr>
        <w:t>s</w:t>
      </w:r>
      <w:r w:rsidRPr="00387EA9">
        <w:rPr>
          <w:rFonts w:ascii="Avenir Next" w:hAnsi="Avenir Next" w:cs="Arial"/>
          <w:sz w:val="22"/>
          <w:szCs w:val="22"/>
          <w:lang w:val="en-GB"/>
        </w:rPr>
        <w:t>es local creditors.</w:t>
      </w:r>
    </w:p>
    <w:p w14:paraId="21C42F72" w14:textId="77777777" w:rsidR="00C4510C" w:rsidRPr="00387EA9" w:rsidRDefault="00C4510C" w:rsidP="00C00111">
      <w:pPr>
        <w:ind w:hanging="426"/>
        <w:jc w:val="both"/>
        <w:rPr>
          <w:rFonts w:ascii="Avenir Next" w:hAnsi="Avenir Next" w:cs="Arial"/>
          <w:sz w:val="22"/>
          <w:szCs w:val="22"/>
          <w:lang w:val="en-GB"/>
        </w:rPr>
      </w:pPr>
    </w:p>
    <w:p w14:paraId="7E5CFD61" w14:textId="77777777" w:rsidR="00C4510C" w:rsidRDefault="00C4510C" w:rsidP="00040104">
      <w:pPr>
        <w:pStyle w:val="ListParagraph"/>
        <w:numPr>
          <w:ilvl w:val="0"/>
          <w:numId w:val="9"/>
        </w:numPr>
        <w:ind w:left="426" w:hanging="426"/>
        <w:jc w:val="both"/>
        <w:rPr>
          <w:rFonts w:ascii="Avenir Next" w:hAnsi="Avenir Next" w:cs="Arial"/>
          <w:sz w:val="22"/>
          <w:szCs w:val="22"/>
          <w:lang w:val="en-GB"/>
        </w:rPr>
      </w:pPr>
      <w:r w:rsidRPr="00387EA9">
        <w:rPr>
          <w:rFonts w:ascii="Avenir Next" w:hAnsi="Avenir Next" w:cs="Arial"/>
          <w:sz w:val="22"/>
          <w:szCs w:val="22"/>
          <w:lang w:val="en-GB"/>
        </w:rPr>
        <w:t>The recognition of a foreign ma</w:t>
      </w:r>
      <w:r>
        <w:rPr>
          <w:rFonts w:ascii="Avenir Next" w:hAnsi="Avenir Next" w:cs="Arial"/>
          <w:sz w:val="22"/>
          <w:szCs w:val="22"/>
          <w:lang w:val="en-GB"/>
        </w:rPr>
        <w:t>i</w:t>
      </w:r>
      <w:r w:rsidRPr="00387EA9">
        <w:rPr>
          <w:rFonts w:ascii="Avenir Next" w:hAnsi="Avenir Next" w:cs="Arial"/>
          <w:sz w:val="22"/>
          <w:szCs w:val="22"/>
          <w:lang w:val="en-GB"/>
        </w:rPr>
        <w:t xml:space="preserve">n proceeding is an absolute proof that the debtor is insolvent. </w:t>
      </w:r>
    </w:p>
    <w:p w14:paraId="146DC64A" w14:textId="77777777" w:rsidR="002539D7" w:rsidRPr="002539D7" w:rsidRDefault="002539D7" w:rsidP="00C00111">
      <w:pPr>
        <w:ind w:hanging="426"/>
        <w:jc w:val="both"/>
        <w:rPr>
          <w:rFonts w:ascii="Avenir Next" w:hAnsi="Avenir Next" w:cs="Arial"/>
          <w:sz w:val="22"/>
          <w:szCs w:val="22"/>
          <w:lang w:val="en-GB"/>
        </w:rPr>
      </w:pPr>
    </w:p>
    <w:p w14:paraId="507171B1" w14:textId="77777777" w:rsidR="00C4510C" w:rsidRPr="00CF78AC" w:rsidRDefault="00C4510C" w:rsidP="00040104">
      <w:pPr>
        <w:pStyle w:val="ListParagraph"/>
        <w:numPr>
          <w:ilvl w:val="0"/>
          <w:numId w:val="9"/>
        </w:numPr>
        <w:ind w:left="426" w:hanging="426"/>
        <w:jc w:val="both"/>
        <w:rPr>
          <w:rFonts w:ascii="Avenir Next" w:hAnsi="Avenir Next" w:cs="Arial"/>
          <w:sz w:val="22"/>
          <w:szCs w:val="22"/>
          <w:highlight w:val="yellow"/>
          <w:lang w:val="en-GB"/>
        </w:rPr>
      </w:pPr>
      <w:r w:rsidRPr="00CF78AC">
        <w:rPr>
          <w:rFonts w:ascii="Avenir Next" w:hAnsi="Avenir Next" w:cs="Arial"/>
          <w:sz w:val="22"/>
          <w:szCs w:val="22"/>
          <w:highlight w:val="yellow"/>
          <w:lang w:val="en-GB"/>
        </w:rPr>
        <w:t>None of the above are correct.</w:t>
      </w:r>
    </w:p>
    <w:p w14:paraId="28E10CCC" w14:textId="77777777" w:rsidR="002539D7" w:rsidRPr="002539D7" w:rsidRDefault="002539D7" w:rsidP="002539D7">
      <w:pPr>
        <w:jc w:val="both"/>
        <w:rPr>
          <w:rFonts w:ascii="Avenir Next" w:hAnsi="Avenir Next" w:cs="Arial"/>
          <w:sz w:val="22"/>
          <w:szCs w:val="22"/>
          <w:highlight w:val="yellow"/>
          <w:lang w:val="en-GB"/>
        </w:rPr>
      </w:pPr>
    </w:p>
    <w:p w14:paraId="358FE774" w14:textId="77777777" w:rsidR="00C00111" w:rsidRDefault="00C00111" w:rsidP="00707FC8">
      <w:pPr>
        <w:jc w:val="both"/>
        <w:rPr>
          <w:rFonts w:ascii="Avenir Next Demi Bold" w:hAnsi="Avenir Next Demi Bold" w:cs="Arial"/>
          <w:b/>
          <w:bCs/>
          <w:sz w:val="22"/>
          <w:szCs w:val="22"/>
          <w:lang w:val="en-GB"/>
        </w:rPr>
      </w:pPr>
    </w:p>
    <w:p w14:paraId="4FC20A3B" w14:textId="1DFE0844"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2A142AAB" w14:textId="77777777" w:rsidR="00417B0F" w:rsidRPr="00E2622D" w:rsidRDefault="00417B0F" w:rsidP="00417B0F">
      <w:pPr>
        <w:jc w:val="both"/>
        <w:rPr>
          <w:rFonts w:ascii="Avenir Next" w:hAnsi="Avenir Next" w:cs="Arial"/>
          <w:sz w:val="22"/>
          <w:szCs w:val="22"/>
          <w:lang w:val="en-GB"/>
        </w:rPr>
      </w:pPr>
      <w:r w:rsidRPr="00B65B9F">
        <w:rPr>
          <w:rFonts w:ascii="Avenir Next" w:hAnsi="Avenir Next" w:cs="Arial"/>
          <w:sz w:val="22"/>
          <w:szCs w:val="22"/>
          <w:lang w:val="en-GB"/>
        </w:rPr>
        <w:t>What is the key distinction between the application of the MLCBI and the European Union (EU) Regulation</w:t>
      </w:r>
      <w:r>
        <w:rPr>
          <w:rFonts w:ascii="Avenir Next" w:hAnsi="Avenir Next" w:cs="Arial"/>
          <w:sz w:val="22"/>
          <w:szCs w:val="22"/>
          <w:lang w:val="en-GB"/>
        </w:rPr>
        <w:t xml:space="preserve"> on insolvency proceedings</w:t>
      </w:r>
      <w:r w:rsidRPr="00B65B9F">
        <w:rPr>
          <w:rFonts w:ascii="Avenir Next" w:hAnsi="Avenir Next" w:cs="Arial"/>
          <w:sz w:val="22"/>
          <w:szCs w:val="22"/>
          <w:lang w:val="en-GB"/>
        </w:rPr>
        <w:t xml:space="preserve">? Also describe </w:t>
      </w:r>
      <w:r>
        <w:rPr>
          <w:rFonts w:ascii="Avenir Next" w:hAnsi="Avenir Next" w:cs="Arial"/>
          <w:sz w:val="22"/>
          <w:szCs w:val="22"/>
          <w:lang w:val="en-GB"/>
        </w:rPr>
        <w:t xml:space="preserve">one key </w:t>
      </w:r>
      <w:r w:rsidRPr="00B65B9F">
        <w:rPr>
          <w:rFonts w:ascii="Avenir Next" w:hAnsi="Avenir Next" w:cs="Arial"/>
          <w:sz w:val="22"/>
          <w:szCs w:val="22"/>
          <w:lang w:val="en-GB"/>
        </w:rPr>
        <w:t>benefit and disadvantage of each</w:t>
      </w:r>
      <w:r>
        <w:rPr>
          <w:rFonts w:ascii="Avenir Next" w:hAnsi="Avenir Next" w:cs="Arial"/>
          <w:sz w:val="22"/>
          <w:szCs w:val="22"/>
          <w:lang w:val="en-GB"/>
        </w:rPr>
        <w:t xml:space="preserve"> approach</w:t>
      </w:r>
      <w:r w:rsidRPr="00B65B9F">
        <w:rPr>
          <w:rFonts w:ascii="Avenir Next" w:hAnsi="Avenir Next" w:cs="Arial"/>
          <w:sz w:val="22"/>
          <w:szCs w:val="22"/>
          <w:lang w:val="en-GB"/>
        </w:rPr>
        <w:t>.</w:t>
      </w:r>
      <w:r w:rsidRPr="00C91DD9">
        <w:rPr>
          <w:rFonts w:ascii="Arial" w:hAnsi="Arial" w:cs="Arial"/>
        </w:rPr>
        <w:t xml:space="preserve"> </w:t>
      </w:r>
    </w:p>
    <w:p w14:paraId="76C585E6" w14:textId="5C1C2CF0" w:rsidR="009B07AD" w:rsidRPr="00E2622D" w:rsidRDefault="009B07AD" w:rsidP="00707FC8">
      <w:pPr>
        <w:jc w:val="both"/>
        <w:rPr>
          <w:rFonts w:ascii="Avenir Next" w:hAnsi="Avenir Next" w:cs="Arial"/>
          <w:sz w:val="22"/>
          <w:szCs w:val="22"/>
          <w:lang w:val="en-GB"/>
        </w:rPr>
      </w:pPr>
    </w:p>
    <w:p w14:paraId="4C610B1A" w14:textId="77777777" w:rsidR="00633F44" w:rsidRDefault="006F0CAB" w:rsidP="006F0C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distinction between the application of the </w:t>
      </w:r>
      <w:r w:rsidRPr="006F0CAB">
        <w:rPr>
          <w:rFonts w:ascii="Avenir Next" w:hAnsi="Avenir Next" w:cs="Arial"/>
          <w:color w:val="808080" w:themeColor="background1" w:themeShade="80"/>
          <w:sz w:val="22"/>
          <w:szCs w:val="22"/>
          <w:lang w:val="en-GB"/>
        </w:rPr>
        <w:t>Model Law on Cross-Border Insolvency</w:t>
      </w:r>
      <w:r>
        <w:rPr>
          <w:rFonts w:ascii="Avenir Next" w:hAnsi="Avenir Next" w:cs="Arial"/>
          <w:color w:val="808080" w:themeColor="background1" w:themeShade="80"/>
          <w:sz w:val="22"/>
          <w:szCs w:val="22"/>
          <w:lang w:val="en-GB"/>
        </w:rPr>
        <w:t xml:space="preserve"> (the </w:t>
      </w:r>
      <w:r w:rsidRPr="006F0CAB">
        <w:rPr>
          <w:rFonts w:ascii="Avenir Next" w:hAnsi="Avenir Next" w:cs="Arial"/>
          <w:b/>
          <w:bCs/>
          <w:color w:val="808080" w:themeColor="background1" w:themeShade="80"/>
          <w:sz w:val="22"/>
          <w:szCs w:val="22"/>
          <w:lang w:val="en-GB"/>
        </w:rPr>
        <w:t>MLCBI</w:t>
      </w:r>
      <w:r>
        <w:rPr>
          <w:rFonts w:ascii="Avenir Next" w:hAnsi="Avenir Next" w:cs="Arial"/>
          <w:color w:val="808080" w:themeColor="background1" w:themeShade="80"/>
          <w:sz w:val="22"/>
          <w:szCs w:val="22"/>
          <w:lang w:val="en-GB"/>
        </w:rPr>
        <w:t>) and the European Union (</w:t>
      </w:r>
      <w:r w:rsidRPr="006F0CAB">
        <w:rPr>
          <w:rFonts w:ascii="Avenir Next" w:hAnsi="Avenir Next" w:cs="Arial"/>
          <w:b/>
          <w:bCs/>
          <w:color w:val="808080" w:themeColor="background1" w:themeShade="80"/>
          <w:sz w:val="22"/>
          <w:szCs w:val="22"/>
          <w:lang w:val="en-GB"/>
        </w:rPr>
        <w:t>EU</w:t>
      </w:r>
      <w:r>
        <w:rPr>
          <w:rFonts w:ascii="Avenir Next" w:hAnsi="Avenir Next" w:cs="Arial"/>
          <w:color w:val="808080" w:themeColor="background1" w:themeShade="80"/>
          <w:sz w:val="22"/>
          <w:szCs w:val="22"/>
          <w:lang w:val="en-GB"/>
        </w:rPr>
        <w:t>) Regulation</w:t>
      </w:r>
      <w:r w:rsidRPr="006F0CAB">
        <w:rPr>
          <w:rFonts w:ascii="Avenir Next" w:hAnsi="Avenir Next" w:cs="Arial"/>
          <w:color w:val="808080" w:themeColor="background1" w:themeShade="80"/>
          <w:sz w:val="22"/>
          <w:szCs w:val="22"/>
          <w:lang w:val="en-GB"/>
        </w:rPr>
        <w:t xml:space="preserve"> on </w:t>
      </w:r>
      <w:r>
        <w:rPr>
          <w:rFonts w:ascii="Avenir Next" w:hAnsi="Avenir Next" w:cs="Arial"/>
          <w:color w:val="808080" w:themeColor="background1" w:themeShade="80"/>
          <w:sz w:val="22"/>
          <w:szCs w:val="22"/>
          <w:lang w:val="en-GB"/>
        </w:rPr>
        <w:t>I</w:t>
      </w:r>
      <w:r w:rsidRPr="006F0CAB">
        <w:rPr>
          <w:rFonts w:ascii="Avenir Next" w:hAnsi="Avenir Next" w:cs="Arial"/>
          <w:color w:val="808080" w:themeColor="background1" w:themeShade="80"/>
          <w:sz w:val="22"/>
          <w:szCs w:val="22"/>
          <w:lang w:val="en-GB"/>
        </w:rPr>
        <w:t xml:space="preserve">nsolvency </w:t>
      </w:r>
      <w:r>
        <w:rPr>
          <w:rFonts w:ascii="Avenir Next" w:hAnsi="Avenir Next" w:cs="Arial"/>
          <w:color w:val="808080" w:themeColor="background1" w:themeShade="80"/>
          <w:sz w:val="22"/>
          <w:szCs w:val="22"/>
          <w:lang w:val="en-GB"/>
        </w:rPr>
        <w:t>P</w:t>
      </w:r>
      <w:r w:rsidRPr="006F0CAB">
        <w:rPr>
          <w:rFonts w:ascii="Avenir Next" w:hAnsi="Avenir Next" w:cs="Arial"/>
          <w:color w:val="808080" w:themeColor="background1" w:themeShade="80"/>
          <w:sz w:val="22"/>
          <w:szCs w:val="22"/>
          <w:lang w:val="en-GB"/>
        </w:rPr>
        <w:t>roceedings</w:t>
      </w:r>
      <w:r>
        <w:rPr>
          <w:rFonts w:ascii="Avenir Next" w:hAnsi="Avenir Next" w:cs="Arial"/>
          <w:color w:val="808080" w:themeColor="background1" w:themeShade="80"/>
          <w:sz w:val="22"/>
          <w:szCs w:val="22"/>
          <w:lang w:val="en-GB"/>
        </w:rPr>
        <w:t xml:space="preserve"> (the </w:t>
      </w:r>
      <w:r w:rsidRPr="006F0CAB">
        <w:rPr>
          <w:rFonts w:ascii="Avenir Next" w:hAnsi="Avenir Next" w:cs="Arial"/>
          <w:b/>
          <w:bCs/>
          <w:color w:val="808080" w:themeColor="background1" w:themeShade="80"/>
          <w:sz w:val="22"/>
          <w:szCs w:val="22"/>
          <w:lang w:val="en-GB"/>
        </w:rPr>
        <w:t>EIR</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
      </w:r>
      <w:r>
        <w:rPr>
          <w:rFonts w:ascii="Avenir Next" w:hAnsi="Avenir Next" w:cs="Arial"/>
          <w:color w:val="808080" w:themeColor="background1" w:themeShade="80"/>
          <w:sz w:val="22"/>
          <w:szCs w:val="22"/>
          <w:lang w:val="en-GB"/>
        </w:rPr>
        <w:t xml:space="preserve"> is that upon adoption the EIR directly becomes part of the domestic law of each EU Members State, whereas the MLCBI is only a recommendation and can be adopted and incorporated </w:t>
      </w:r>
      <w:r w:rsidR="00633F44">
        <w:rPr>
          <w:rFonts w:ascii="Avenir Next" w:hAnsi="Avenir Next" w:cs="Arial"/>
          <w:color w:val="808080" w:themeColor="background1" w:themeShade="80"/>
          <w:sz w:val="22"/>
          <w:szCs w:val="22"/>
          <w:lang w:val="en-GB"/>
        </w:rPr>
        <w:t xml:space="preserve">by States to the extent that they see fit. </w:t>
      </w:r>
    </w:p>
    <w:p w14:paraId="41308D2A" w14:textId="77777777" w:rsidR="00633F44" w:rsidRDefault="00633F44" w:rsidP="006F0CAB">
      <w:pPr>
        <w:jc w:val="both"/>
        <w:rPr>
          <w:rFonts w:ascii="Avenir Next" w:hAnsi="Avenir Next" w:cs="Arial"/>
          <w:color w:val="808080" w:themeColor="background1" w:themeShade="80"/>
          <w:sz w:val="22"/>
          <w:szCs w:val="22"/>
          <w:lang w:val="en-GB"/>
        </w:rPr>
      </w:pPr>
    </w:p>
    <w:p w14:paraId="654B0E66" w14:textId="04E8EEFB" w:rsidR="00CB56CE" w:rsidRDefault="00633F44" w:rsidP="006F0C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elaborate, unlike the EIR which unifies the insolvency law in EU Member States, the MLCBI does not and simply provides a suggested model and that can be adopted in an attempt to improve consistency in cross border insolvency laws.</w:t>
      </w:r>
      <w:r>
        <w:rPr>
          <w:rStyle w:val="FootnoteReference"/>
          <w:rFonts w:ascii="Avenir Next" w:hAnsi="Avenir Next" w:cs="Arial"/>
          <w:color w:val="808080" w:themeColor="background1" w:themeShade="80"/>
          <w:sz w:val="22"/>
          <w:szCs w:val="22"/>
          <w:lang w:val="en-GB"/>
        </w:rPr>
        <w:footnoteReference w:id="2"/>
      </w:r>
      <w:r>
        <w:rPr>
          <w:rFonts w:ascii="Avenir Next" w:hAnsi="Avenir Next" w:cs="Arial"/>
          <w:color w:val="808080" w:themeColor="background1" w:themeShade="80"/>
          <w:sz w:val="22"/>
          <w:szCs w:val="22"/>
          <w:lang w:val="en-GB"/>
        </w:rPr>
        <w:t xml:space="preserve"> The MLCBI is based on four key concepts including (i) access to foreign representatives and creditors to courts, (ii) recognition of foreign proceedings, (iii) providing appropriate relief, and (iv) facilitating co</w:t>
      </w:r>
      <w:r w:rsidR="00400A7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operation between foreign courts and representatives.</w:t>
      </w:r>
      <w:r>
        <w:rPr>
          <w:rStyle w:val="FootnoteReference"/>
          <w:rFonts w:ascii="Avenir Next" w:hAnsi="Avenir Next" w:cs="Arial"/>
          <w:color w:val="808080" w:themeColor="background1" w:themeShade="80"/>
          <w:sz w:val="22"/>
          <w:szCs w:val="22"/>
          <w:lang w:val="en-GB"/>
        </w:rPr>
        <w:footnoteReference w:id="3"/>
      </w:r>
      <w:r>
        <w:rPr>
          <w:rFonts w:ascii="Avenir Next" w:hAnsi="Avenir Next" w:cs="Arial"/>
          <w:color w:val="808080" w:themeColor="background1" w:themeShade="80"/>
          <w:sz w:val="22"/>
          <w:szCs w:val="22"/>
          <w:lang w:val="en-GB"/>
        </w:rPr>
        <w:t xml:space="preserve">  </w:t>
      </w:r>
    </w:p>
    <w:p w14:paraId="00117569" w14:textId="77777777" w:rsidR="00633F44" w:rsidRDefault="00633F44" w:rsidP="006F0CAB">
      <w:pPr>
        <w:jc w:val="both"/>
        <w:rPr>
          <w:rFonts w:ascii="Avenir Next" w:hAnsi="Avenir Next" w:cs="Arial"/>
          <w:color w:val="808080" w:themeColor="background1" w:themeShade="80"/>
          <w:sz w:val="22"/>
          <w:szCs w:val="22"/>
          <w:lang w:val="en-GB"/>
        </w:rPr>
      </w:pPr>
    </w:p>
    <w:p w14:paraId="65DE39E7" w14:textId="6002E529" w:rsidR="00633F44" w:rsidRDefault="00B32AF0" w:rsidP="006F0C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One key benefit of the EIR is that </w:t>
      </w:r>
      <w:r w:rsidR="00066177">
        <w:rPr>
          <w:rFonts w:ascii="Avenir Next" w:hAnsi="Avenir Next" w:cs="Arial"/>
          <w:color w:val="808080" w:themeColor="background1" w:themeShade="80"/>
          <w:sz w:val="22"/>
          <w:szCs w:val="22"/>
          <w:lang w:val="en-GB"/>
        </w:rPr>
        <w:t>it provides complete certainty and consistency in insolvency proceedings involving EU Member States due to the fact that it is the law of all Member States</w:t>
      </w:r>
      <w:r>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lastRenderedPageBreak/>
        <w:t xml:space="preserve">However, a disadvantage </w:t>
      </w:r>
      <w:r w:rsidR="00066177">
        <w:rPr>
          <w:rFonts w:ascii="Avenir Next" w:hAnsi="Avenir Next" w:cs="Arial"/>
          <w:color w:val="808080" w:themeColor="background1" w:themeShade="80"/>
          <w:sz w:val="22"/>
          <w:szCs w:val="22"/>
          <w:lang w:val="en-GB"/>
        </w:rPr>
        <w:t xml:space="preserve">is the length of time and difficulty involved in actually agreeing and implementing a cross border law like this and that was the case in respect of the EIR. </w:t>
      </w:r>
    </w:p>
    <w:p w14:paraId="253678A8" w14:textId="77777777" w:rsidR="00066177" w:rsidRDefault="00066177" w:rsidP="006F0CAB">
      <w:pPr>
        <w:jc w:val="both"/>
        <w:rPr>
          <w:rFonts w:ascii="Avenir Next" w:hAnsi="Avenir Next" w:cs="Arial"/>
          <w:color w:val="808080" w:themeColor="background1" w:themeShade="80"/>
          <w:sz w:val="22"/>
          <w:szCs w:val="22"/>
          <w:lang w:val="en-GB"/>
        </w:rPr>
      </w:pPr>
    </w:p>
    <w:p w14:paraId="120DF065" w14:textId="2A9839C7" w:rsidR="00066177" w:rsidRPr="00B77352" w:rsidRDefault="00066177" w:rsidP="006F0C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an advantage of the MLCBI is that it provides a more flexible system which </w:t>
      </w:r>
      <w:proofErr w:type="gramStart"/>
      <w:r>
        <w:rPr>
          <w:rFonts w:ascii="Avenir Next" w:hAnsi="Avenir Next" w:cs="Arial"/>
          <w:color w:val="808080" w:themeColor="background1" w:themeShade="80"/>
          <w:sz w:val="22"/>
          <w:szCs w:val="22"/>
          <w:lang w:val="en-GB"/>
        </w:rPr>
        <w:t>takes into account</w:t>
      </w:r>
      <w:proofErr w:type="gramEnd"/>
      <w:r>
        <w:rPr>
          <w:rFonts w:ascii="Avenir Next" w:hAnsi="Avenir Next" w:cs="Arial"/>
          <w:color w:val="808080" w:themeColor="background1" w:themeShade="80"/>
          <w:sz w:val="22"/>
          <w:szCs w:val="22"/>
          <w:lang w:val="en-GB"/>
        </w:rPr>
        <w:t xml:space="preserve"> and facilitates the continuation of</w:t>
      </w:r>
      <w:r w:rsidR="00660FB2">
        <w:rPr>
          <w:rFonts w:ascii="Avenir Next" w:hAnsi="Avenir Next" w:cs="Arial"/>
          <w:color w:val="808080" w:themeColor="background1" w:themeShade="80"/>
          <w:sz w:val="22"/>
          <w:szCs w:val="22"/>
          <w:lang w:val="en-GB"/>
        </w:rPr>
        <w:t xml:space="preserve"> differing approaches in national insolvency laws whilst still offering opportunities for co-operation and co</w:t>
      </w:r>
      <w:r w:rsidR="00400A7C">
        <w:rPr>
          <w:rFonts w:ascii="Avenir Next" w:hAnsi="Avenir Next" w:cs="Arial"/>
          <w:color w:val="808080" w:themeColor="background1" w:themeShade="80"/>
          <w:sz w:val="22"/>
          <w:szCs w:val="22"/>
          <w:lang w:val="en-GB"/>
        </w:rPr>
        <w:t>-</w:t>
      </w:r>
      <w:r w:rsidR="00660FB2">
        <w:rPr>
          <w:rFonts w:ascii="Avenir Next" w:hAnsi="Avenir Next" w:cs="Arial"/>
          <w:color w:val="808080" w:themeColor="background1" w:themeShade="80"/>
          <w:sz w:val="22"/>
          <w:szCs w:val="22"/>
          <w:lang w:val="en-GB"/>
        </w:rPr>
        <w:t xml:space="preserve">ordination where possible. It includes the characteristics of modern and efficient insolvency systems and offers useful solutions for dealing with complex cross border scenarios if states wish to utilise them. An obvious disadvantage is that there may still be gaps between the insolvency systems of states who have adopted the model law, so there is no guarantee that the key concepts such as access and recognition will be achieved, however, it is much more likely.  </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7EA17DA7"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61C42">
        <w:rPr>
          <w:rFonts w:ascii="Avenir Next Demi Bold" w:hAnsi="Avenir Next Demi Bold" w:cs="Arial"/>
          <w:b/>
          <w:bCs/>
          <w:sz w:val="22"/>
          <w:szCs w:val="22"/>
          <w:lang w:val="en-GB"/>
        </w:rPr>
        <w:t>2</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18729C42" w14:textId="77777777" w:rsidR="008E3B81" w:rsidRDefault="0001365B" w:rsidP="0001365B">
      <w:pPr>
        <w:jc w:val="both"/>
        <w:rPr>
          <w:rFonts w:ascii="Avenir Next" w:hAnsi="Avenir Next"/>
          <w:sz w:val="22"/>
          <w:szCs w:val="28"/>
          <w:lang w:val="en-GB"/>
        </w:rPr>
      </w:pPr>
      <w:r w:rsidRPr="006D179E">
        <w:rPr>
          <w:rFonts w:ascii="Avenir Next" w:hAnsi="Avenir Next"/>
          <w:sz w:val="22"/>
          <w:szCs w:val="28"/>
        </w:rPr>
        <w:t>Explain what the court should primarily consider</w:t>
      </w:r>
      <w:r w:rsidRPr="006D179E">
        <w:rPr>
          <w:rFonts w:ascii="Avenir Next" w:hAnsi="Avenir Next"/>
          <w:sz w:val="22"/>
          <w:szCs w:val="28"/>
          <w:lang w:val="en-GB"/>
        </w:rPr>
        <w:t xml:space="preserve"> using its discretionary power to grant post-recognition relief under Article 21 of the MLCBI</w:t>
      </w:r>
      <w:r>
        <w:rPr>
          <w:rFonts w:ascii="Avenir Next" w:hAnsi="Avenir Next"/>
          <w:sz w:val="22"/>
          <w:szCs w:val="28"/>
          <w:lang w:val="en-GB"/>
        </w:rPr>
        <w:t>.</w:t>
      </w:r>
      <w:r w:rsidR="00111319">
        <w:rPr>
          <w:rFonts w:ascii="Avenir Next" w:hAnsi="Avenir Next"/>
          <w:sz w:val="22"/>
          <w:szCs w:val="28"/>
          <w:lang w:val="en-GB"/>
        </w:rPr>
        <w:t xml:space="preserve"> </w:t>
      </w:r>
    </w:p>
    <w:p w14:paraId="16E34B45" w14:textId="1E53B602" w:rsidR="000E6325" w:rsidRPr="0001365B" w:rsidRDefault="000E6325" w:rsidP="00111319">
      <w:pPr>
        <w:jc w:val="both"/>
        <w:rPr>
          <w:rFonts w:ascii="Avenir Next" w:hAnsi="Avenir Next" w:cs="Arial"/>
          <w:iCs/>
          <w:sz w:val="22"/>
          <w:szCs w:val="22"/>
        </w:rPr>
      </w:pPr>
    </w:p>
    <w:p w14:paraId="1B3632D9" w14:textId="77777777" w:rsidR="00F958B0" w:rsidRDefault="002F59AE" w:rsidP="00F958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w:t>
      </w:r>
      <w:r w:rsidRPr="002F59AE">
        <w:rPr>
          <w:rFonts w:ascii="Avenir Next" w:hAnsi="Avenir Next" w:cs="Arial"/>
          <w:color w:val="808080" w:themeColor="background1" w:themeShade="80"/>
          <w:sz w:val="22"/>
          <w:szCs w:val="22"/>
          <w:lang w:val="en-GB"/>
        </w:rPr>
        <w:t>using its discretionary power to grant post-recognition relief under Article 21 of the MLCBI</w:t>
      </w:r>
      <w:r>
        <w:rPr>
          <w:rFonts w:ascii="Avenir Next" w:hAnsi="Avenir Next" w:cs="Arial"/>
          <w:color w:val="808080" w:themeColor="background1" w:themeShade="80"/>
          <w:sz w:val="22"/>
          <w:szCs w:val="22"/>
          <w:lang w:val="en-GB"/>
        </w:rPr>
        <w:t>, the Court</w:t>
      </w:r>
      <w:r w:rsidR="00E416C8">
        <w:rPr>
          <w:rFonts w:ascii="Avenir Next" w:hAnsi="Avenir Next" w:cs="Arial"/>
          <w:color w:val="808080" w:themeColor="background1" w:themeShade="80"/>
          <w:sz w:val="22"/>
          <w:szCs w:val="22"/>
          <w:lang w:val="en-GB"/>
        </w:rPr>
        <w:t xml:space="preserve">'s </w:t>
      </w:r>
      <w:r w:rsidR="00322CA1">
        <w:rPr>
          <w:rFonts w:ascii="Avenir Next" w:hAnsi="Avenir Next" w:cs="Arial"/>
          <w:color w:val="808080" w:themeColor="background1" w:themeShade="80"/>
          <w:sz w:val="22"/>
          <w:szCs w:val="22"/>
          <w:lang w:val="en-GB"/>
        </w:rPr>
        <w:t xml:space="preserve">in the enacting state's </w:t>
      </w:r>
      <w:r w:rsidR="00E416C8">
        <w:rPr>
          <w:rFonts w:ascii="Avenir Next" w:hAnsi="Avenir Next" w:cs="Arial"/>
          <w:color w:val="808080" w:themeColor="background1" w:themeShade="80"/>
          <w:sz w:val="22"/>
          <w:szCs w:val="22"/>
          <w:lang w:val="en-GB"/>
        </w:rPr>
        <w:t>primary consideration should be</w:t>
      </w:r>
      <w:r w:rsidR="00322CA1">
        <w:rPr>
          <w:rFonts w:ascii="Avenir Next" w:hAnsi="Avenir Next" w:cs="Arial"/>
          <w:color w:val="808080" w:themeColor="background1" w:themeShade="80"/>
          <w:sz w:val="22"/>
          <w:szCs w:val="22"/>
          <w:lang w:val="en-GB"/>
        </w:rPr>
        <w:t xml:space="preserve"> making sure that the </w:t>
      </w:r>
      <w:r w:rsidR="00322CA1" w:rsidRPr="008E3B81">
        <w:rPr>
          <w:rFonts w:ascii="Avenir Next" w:hAnsi="Avenir Next" w:cs="Arial"/>
          <w:color w:val="808080" w:themeColor="background1" w:themeShade="80"/>
          <w:sz w:val="22"/>
          <w:szCs w:val="22"/>
          <w:lang w:val="en-GB"/>
        </w:rPr>
        <w:t>interests of the debtor’s creditors</w:t>
      </w:r>
      <w:r w:rsidR="00322CA1">
        <w:rPr>
          <w:rFonts w:ascii="Avenir Next" w:hAnsi="Avenir Next" w:cs="Arial"/>
          <w:color w:val="808080" w:themeColor="background1" w:themeShade="80"/>
          <w:sz w:val="22"/>
          <w:szCs w:val="22"/>
          <w:lang w:val="en-GB"/>
        </w:rPr>
        <w:t xml:space="preserve">, the assets of the debtor and any </w:t>
      </w:r>
      <w:r w:rsidR="00322CA1" w:rsidRPr="008E3B81">
        <w:rPr>
          <w:rFonts w:ascii="Avenir Next" w:hAnsi="Avenir Next" w:cs="Arial"/>
          <w:color w:val="808080" w:themeColor="background1" w:themeShade="80"/>
          <w:sz w:val="22"/>
          <w:szCs w:val="22"/>
          <w:lang w:val="en-GB"/>
        </w:rPr>
        <w:t>other interested parties are adequately protected</w:t>
      </w:r>
      <w:r w:rsidR="00322CA1">
        <w:rPr>
          <w:rFonts w:ascii="Avenir Next" w:hAnsi="Avenir Next" w:cs="Arial"/>
          <w:color w:val="808080" w:themeColor="background1" w:themeShade="80"/>
          <w:sz w:val="22"/>
          <w:szCs w:val="22"/>
          <w:lang w:val="en-GB"/>
        </w:rPr>
        <w:t>.</w:t>
      </w:r>
      <w:r w:rsidR="00322CA1">
        <w:rPr>
          <w:rStyle w:val="FootnoteReference"/>
          <w:rFonts w:ascii="Avenir Next" w:hAnsi="Avenir Next" w:cs="Arial"/>
          <w:color w:val="808080" w:themeColor="background1" w:themeShade="80"/>
          <w:sz w:val="22"/>
          <w:szCs w:val="22"/>
          <w:lang w:val="en-GB"/>
        </w:rPr>
        <w:footnoteReference w:id="4"/>
      </w:r>
      <w:r w:rsidR="00322CA1">
        <w:rPr>
          <w:rFonts w:ascii="Avenir Next" w:hAnsi="Avenir Next" w:cs="Arial"/>
          <w:color w:val="808080" w:themeColor="background1" w:themeShade="80"/>
          <w:sz w:val="22"/>
          <w:szCs w:val="22"/>
          <w:lang w:val="en-GB"/>
        </w:rPr>
        <w:t xml:space="preserve"> </w:t>
      </w:r>
    </w:p>
    <w:p w14:paraId="5E6FEC54" w14:textId="77777777" w:rsidR="00F958B0" w:rsidRDefault="00F958B0" w:rsidP="00F958B0">
      <w:pPr>
        <w:jc w:val="both"/>
        <w:rPr>
          <w:rFonts w:ascii="Avenir Next" w:hAnsi="Avenir Next" w:cs="Arial"/>
          <w:color w:val="808080" w:themeColor="background1" w:themeShade="80"/>
          <w:sz w:val="22"/>
          <w:szCs w:val="22"/>
          <w:lang w:val="en-GB"/>
        </w:rPr>
      </w:pPr>
    </w:p>
    <w:p w14:paraId="73440CE2" w14:textId="0D49D3BA" w:rsidR="00322CA1" w:rsidRPr="003D7B65" w:rsidRDefault="00322CA1" w:rsidP="00F958B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addition, because the automatic relief on recognition of a foreign main proceeding pursuant to Article 20 of the </w:t>
      </w:r>
      <w:r w:rsidRPr="00322CA1">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do not apply to </w:t>
      </w:r>
      <w:r w:rsidRPr="00FF2DC0">
        <w:rPr>
          <w:rFonts w:ascii="Avenir Next" w:hAnsi="Avenir Next" w:cs="Arial"/>
          <w:color w:val="808080" w:themeColor="background1" w:themeShade="80"/>
          <w:sz w:val="22"/>
          <w:szCs w:val="22"/>
          <w:lang w:val="en-GB"/>
        </w:rPr>
        <w:t>foreign non-main proceeding</w:t>
      </w:r>
      <w:r>
        <w:rPr>
          <w:rFonts w:ascii="Avenir Next" w:hAnsi="Avenir Next" w:cs="Arial"/>
          <w:color w:val="808080" w:themeColor="background1" w:themeShade="80"/>
          <w:sz w:val="22"/>
          <w:szCs w:val="22"/>
          <w:lang w:val="en-GB"/>
        </w:rPr>
        <w:t>, the Court</w:t>
      </w:r>
      <w:r w:rsidR="00F958B0">
        <w:rPr>
          <w:rFonts w:ascii="Avenir Next" w:hAnsi="Avenir Next" w:cs="Arial"/>
          <w:color w:val="808080" w:themeColor="background1" w:themeShade="80"/>
          <w:sz w:val="22"/>
          <w:szCs w:val="22"/>
          <w:lang w:val="en-GB"/>
        </w:rPr>
        <w:t xml:space="preserve"> will need to have regard to</w:t>
      </w:r>
      <w:r>
        <w:rPr>
          <w:rFonts w:ascii="Avenir Next" w:hAnsi="Avenir Next" w:cs="Arial"/>
          <w:color w:val="808080" w:themeColor="background1" w:themeShade="80"/>
          <w:sz w:val="22"/>
          <w:szCs w:val="22"/>
          <w:lang w:val="en-GB"/>
        </w:rPr>
        <w:t xml:space="preserve"> whether the proceeding is the main or non-main proceeding</w:t>
      </w:r>
      <w:r w:rsidR="00F958B0">
        <w:rPr>
          <w:rFonts w:ascii="Avenir Next" w:hAnsi="Avenir Next" w:cs="Arial"/>
          <w:color w:val="808080" w:themeColor="background1" w:themeShade="80"/>
          <w:sz w:val="22"/>
          <w:szCs w:val="22"/>
          <w:lang w:val="en-GB"/>
        </w:rPr>
        <w:t xml:space="preserve"> and the Courts have emphasised this important distinction</w:t>
      </w:r>
      <w:r>
        <w:rPr>
          <w:rFonts w:ascii="Avenir Next" w:hAnsi="Avenir Next" w:cs="Arial"/>
          <w:color w:val="808080" w:themeColor="background1" w:themeShade="80"/>
          <w:sz w:val="22"/>
          <w:szCs w:val="22"/>
          <w:lang w:val="en-GB"/>
        </w:rPr>
        <w:t>.</w:t>
      </w:r>
      <w:r w:rsidR="00F958B0">
        <w:rPr>
          <w:rStyle w:val="FootnoteReference"/>
          <w:rFonts w:ascii="Avenir Next" w:hAnsi="Avenir Next" w:cs="Arial"/>
          <w:color w:val="808080" w:themeColor="background1" w:themeShade="80"/>
          <w:sz w:val="22"/>
          <w:szCs w:val="22"/>
          <w:lang w:val="en-GB"/>
        </w:rPr>
        <w:footnoteReference w:id="5"/>
      </w:r>
      <w:r>
        <w:rPr>
          <w:rFonts w:ascii="Avenir Next" w:hAnsi="Avenir Next" w:cs="Arial"/>
          <w:color w:val="808080" w:themeColor="background1" w:themeShade="80"/>
          <w:sz w:val="22"/>
          <w:szCs w:val="22"/>
          <w:lang w:val="en-GB"/>
        </w:rPr>
        <w:t xml:space="preserve"> </w:t>
      </w:r>
      <w:r w:rsidR="00F958B0">
        <w:rPr>
          <w:rFonts w:ascii="Avenir Next" w:hAnsi="Avenir Next" w:cs="Arial"/>
          <w:color w:val="808080" w:themeColor="background1" w:themeShade="80"/>
          <w:sz w:val="22"/>
          <w:szCs w:val="22"/>
          <w:lang w:val="en-GB"/>
        </w:rPr>
        <w:t>If the proceeding is the non-main proceeding</w:t>
      </w:r>
      <w:r w:rsidR="003D7B65">
        <w:rPr>
          <w:rFonts w:ascii="Avenir Next" w:hAnsi="Avenir Next" w:cs="Arial"/>
          <w:color w:val="808080" w:themeColor="background1" w:themeShade="80"/>
          <w:sz w:val="22"/>
          <w:szCs w:val="22"/>
          <w:lang w:val="en-GB"/>
        </w:rPr>
        <w:t xml:space="preserve"> </w:t>
      </w:r>
      <w:r w:rsidR="003D7B65" w:rsidRPr="003D7B65">
        <w:rPr>
          <w:rFonts w:ascii="Avenir Next" w:hAnsi="Avenir Next" w:cs="Arial"/>
          <w:color w:val="808080" w:themeColor="background1" w:themeShade="80"/>
          <w:sz w:val="22"/>
          <w:szCs w:val="22"/>
          <w:lang w:val="en-GB"/>
        </w:rPr>
        <w:t>MLCBI, Article 21(3)</w:t>
      </w:r>
      <w:r w:rsidR="003D7B65">
        <w:rPr>
          <w:rFonts w:ascii="Avenir Next" w:hAnsi="Avenir Next" w:cs="Arial"/>
          <w:color w:val="808080" w:themeColor="background1" w:themeShade="80"/>
          <w:sz w:val="22"/>
          <w:szCs w:val="22"/>
          <w:lang w:val="en-GB"/>
        </w:rPr>
        <w:t xml:space="preserve"> provides that,</w:t>
      </w:r>
      <w:r w:rsidR="00F958B0">
        <w:rPr>
          <w:rFonts w:ascii="Avenir Next" w:hAnsi="Avenir Next" w:cs="Arial"/>
          <w:color w:val="808080" w:themeColor="background1" w:themeShade="80"/>
          <w:sz w:val="22"/>
          <w:szCs w:val="22"/>
          <w:lang w:val="en-GB"/>
        </w:rPr>
        <w:t xml:space="preserve"> </w:t>
      </w:r>
      <w:r w:rsidR="00F958B0" w:rsidRPr="00F958B0">
        <w:rPr>
          <w:rFonts w:ascii="Avenir Next" w:hAnsi="Avenir Next" w:cs="Arial"/>
          <w:i/>
          <w:iCs/>
          <w:color w:val="808080" w:themeColor="background1" w:themeShade="80"/>
          <w:sz w:val="22"/>
          <w:szCs w:val="22"/>
          <w:lang w:val="en-GB"/>
        </w:rPr>
        <w:t>"the court must be satisfied that the relief relates to assets that, under the law of [that] State, should be administered in the foreign non-main proceeding or concerns information required in that proceeding"</w:t>
      </w:r>
      <w:r w:rsidR="00F958B0">
        <w:rPr>
          <w:rFonts w:ascii="Avenir Next" w:hAnsi="Avenir Next" w:cs="Arial"/>
          <w:color w:val="808080" w:themeColor="background1" w:themeShade="80"/>
          <w:sz w:val="22"/>
          <w:szCs w:val="22"/>
          <w:lang w:val="en-GB"/>
        </w:rPr>
        <w:t>.</w:t>
      </w:r>
      <w:r w:rsidR="00F958B0">
        <w:rPr>
          <w:rStyle w:val="FootnoteReference"/>
          <w:rFonts w:ascii="Avenir Next" w:hAnsi="Avenir Next" w:cs="Arial"/>
          <w:color w:val="808080" w:themeColor="background1" w:themeShade="80"/>
          <w:sz w:val="22"/>
          <w:szCs w:val="22"/>
          <w:lang w:val="en-GB"/>
        </w:rPr>
        <w:footnoteReference w:id="6"/>
      </w:r>
      <w:r w:rsidR="003D7B65">
        <w:rPr>
          <w:rFonts w:ascii="Avenir Next" w:hAnsi="Avenir Next" w:cs="Arial"/>
          <w:color w:val="808080" w:themeColor="background1" w:themeShade="80"/>
          <w:sz w:val="22"/>
          <w:szCs w:val="22"/>
          <w:lang w:val="en-GB"/>
        </w:rPr>
        <w:t xml:space="preserve"> This article acknowledges that the </w:t>
      </w:r>
      <w:r w:rsidR="003D7B65" w:rsidRPr="003D7B65">
        <w:rPr>
          <w:rFonts w:ascii="Avenir Next" w:hAnsi="Avenir Next" w:cs="Arial"/>
          <w:i/>
          <w:iCs/>
          <w:color w:val="808080" w:themeColor="background1" w:themeShade="80"/>
          <w:sz w:val="22"/>
          <w:szCs w:val="22"/>
          <w:lang w:val="en-GB"/>
        </w:rPr>
        <w:t>"interests and the authority of a representative of a foreign non-main proceeding are typically narrower than the interests and the authority of a representative of a foreign main proceeding"</w:t>
      </w:r>
      <w:r w:rsidR="003D7B65" w:rsidRPr="003D7B65">
        <w:rPr>
          <w:rStyle w:val="FootnoteReference"/>
          <w:rFonts w:ascii="Avenir Next" w:hAnsi="Avenir Next" w:cs="Arial"/>
          <w:color w:val="808080" w:themeColor="background1" w:themeShade="80"/>
          <w:sz w:val="22"/>
          <w:szCs w:val="22"/>
          <w:lang w:val="en-GB"/>
        </w:rPr>
        <w:footnoteReference w:id="7"/>
      </w:r>
      <w:r w:rsidR="003D7B65">
        <w:rPr>
          <w:rFonts w:ascii="Avenir Next" w:hAnsi="Avenir Next" w:cs="Arial"/>
          <w:i/>
          <w:iCs/>
          <w:color w:val="808080" w:themeColor="background1" w:themeShade="80"/>
          <w:sz w:val="22"/>
          <w:szCs w:val="22"/>
          <w:lang w:val="en-GB"/>
        </w:rPr>
        <w:t xml:space="preserve"> </w:t>
      </w:r>
      <w:r w:rsidR="003D7B65">
        <w:rPr>
          <w:rFonts w:ascii="Avenir Next" w:hAnsi="Avenir Next" w:cs="Arial"/>
          <w:color w:val="808080" w:themeColor="background1" w:themeShade="80"/>
          <w:sz w:val="22"/>
          <w:szCs w:val="22"/>
          <w:lang w:val="en-GB"/>
        </w:rPr>
        <w:t xml:space="preserve">and is all about ensuring that representatives of foreign non-pain proceedings are not given unnecessarily broad powers and that </w:t>
      </w:r>
      <w:r w:rsidR="003D7B65" w:rsidRPr="003D7B65">
        <w:rPr>
          <w:rFonts w:ascii="Avenir Next" w:hAnsi="Avenir Next" w:cs="Arial"/>
          <w:color w:val="808080" w:themeColor="background1" w:themeShade="80"/>
          <w:sz w:val="22"/>
          <w:szCs w:val="22"/>
          <w:lang w:val="en-GB"/>
        </w:rPr>
        <w:t xml:space="preserve">relief granted </w:t>
      </w:r>
      <w:r w:rsidR="003D7B65">
        <w:rPr>
          <w:rFonts w:ascii="Avenir Next" w:hAnsi="Avenir Next" w:cs="Arial"/>
          <w:color w:val="808080" w:themeColor="background1" w:themeShade="80"/>
          <w:sz w:val="22"/>
          <w:szCs w:val="22"/>
          <w:lang w:val="en-GB"/>
        </w:rPr>
        <w:t>in</w:t>
      </w:r>
      <w:r w:rsidR="003D7B65" w:rsidRPr="003D7B65">
        <w:rPr>
          <w:rFonts w:ascii="Avenir Next" w:hAnsi="Avenir Next" w:cs="Arial"/>
          <w:color w:val="808080" w:themeColor="background1" w:themeShade="80"/>
          <w:sz w:val="22"/>
          <w:szCs w:val="22"/>
          <w:lang w:val="en-GB"/>
        </w:rPr>
        <w:t xml:space="preserve"> foreign non-main proceeding</w:t>
      </w:r>
      <w:r w:rsidR="003D7B65">
        <w:rPr>
          <w:rFonts w:ascii="Avenir Next" w:hAnsi="Avenir Next" w:cs="Arial"/>
          <w:color w:val="808080" w:themeColor="background1" w:themeShade="80"/>
          <w:sz w:val="22"/>
          <w:szCs w:val="22"/>
          <w:lang w:val="en-GB"/>
        </w:rPr>
        <w:t>s</w:t>
      </w:r>
      <w:r w:rsidR="003D7B65" w:rsidRPr="003D7B65">
        <w:rPr>
          <w:rFonts w:ascii="Avenir Next" w:hAnsi="Avenir Next" w:cs="Arial"/>
          <w:color w:val="808080" w:themeColor="background1" w:themeShade="80"/>
          <w:sz w:val="22"/>
          <w:szCs w:val="22"/>
          <w:lang w:val="en-GB"/>
        </w:rPr>
        <w:t xml:space="preserve"> </w:t>
      </w:r>
      <w:r w:rsidR="003D7B65">
        <w:rPr>
          <w:rFonts w:ascii="Avenir Next" w:hAnsi="Avenir Next" w:cs="Arial"/>
          <w:color w:val="808080" w:themeColor="background1" w:themeShade="80"/>
          <w:sz w:val="22"/>
          <w:szCs w:val="22"/>
          <w:lang w:val="en-GB"/>
        </w:rPr>
        <w:t xml:space="preserve">is restricted to </w:t>
      </w:r>
      <w:r w:rsidR="003D7B65" w:rsidRPr="003D7B65">
        <w:rPr>
          <w:rFonts w:ascii="Avenir Next" w:hAnsi="Avenir Next" w:cs="Arial"/>
          <w:color w:val="808080" w:themeColor="background1" w:themeShade="80"/>
          <w:sz w:val="22"/>
          <w:szCs w:val="22"/>
          <w:lang w:val="en-GB"/>
        </w:rPr>
        <w:t xml:space="preserve">assets </w:t>
      </w:r>
      <w:r w:rsidR="003D7B65">
        <w:rPr>
          <w:rFonts w:ascii="Avenir Next" w:hAnsi="Avenir Next" w:cs="Arial"/>
          <w:color w:val="808080" w:themeColor="background1" w:themeShade="80"/>
          <w:sz w:val="22"/>
          <w:szCs w:val="22"/>
          <w:lang w:val="en-GB"/>
        </w:rPr>
        <w:t xml:space="preserve">which </w:t>
      </w:r>
      <w:r w:rsidR="003D7B65" w:rsidRPr="003D7B65">
        <w:rPr>
          <w:rFonts w:ascii="Avenir Next" w:hAnsi="Avenir Next" w:cs="Arial"/>
          <w:color w:val="808080" w:themeColor="background1" w:themeShade="80"/>
          <w:sz w:val="22"/>
          <w:szCs w:val="22"/>
          <w:lang w:val="en-GB"/>
        </w:rPr>
        <w:t>are to be administered in that non-main proceeding and that</w:t>
      </w:r>
      <w:r w:rsidR="003D7B65">
        <w:rPr>
          <w:rFonts w:ascii="Avenir Next" w:hAnsi="Avenir Next" w:cs="Arial"/>
          <w:color w:val="808080" w:themeColor="background1" w:themeShade="80"/>
          <w:sz w:val="22"/>
          <w:szCs w:val="22"/>
          <w:lang w:val="en-GB"/>
        </w:rPr>
        <w:t xml:space="preserve"> any information sought by a </w:t>
      </w:r>
      <w:r w:rsidR="003D7B65" w:rsidRPr="003D7B65">
        <w:rPr>
          <w:rFonts w:ascii="Avenir Next" w:hAnsi="Avenir Next" w:cs="Arial"/>
          <w:color w:val="808080" w:themeColor="background1" w:themeShade="80"/>
          <w:sz w:val="22"/>
          <w:szCs w:val="22"/>
          <w:lang w:val="en-GB"/>
        </w:rPr>
        <w:t xml:space="preserve">foreign representative </w:t>
      </w:r>
      <w:r w:rsidR="003D7B65">
        <w:rPr>
          <w:rFonts w:ascii="Avenir Next" w:hAnsi="Avenir Next" w:cs="Arial"/>
          <w:color w:val="808080" w:themeColor="background1" w:themeShade="80"/>
          <w:sz w:val="22"/>
          <w:szCs w:val="22"/>
          <w:lang w:val="en-GB"/>
        </w:rPr>
        <w:t xml:space="preserve">as to the </w:t>
      </w:r>
      <w:r w:rsidR="003D7B65" w:rsidRPr="003D7B65">
        <w:rPr>
          <w:rFonts w:ascii="Avenir Next" w:hAnsi="Avenir Next" w:cs="Arial"/>
          <w:color w:val="808080" w:themeColor="background1" w:themeShade="80"/>
          <w:sz w:val="22"/>
          <w:szCs w:val="22"/>
          <w:lang w:val="en-GB"/>
        </w:rPr>
        <w:t>debtor’s assets or affairs</w:t>
      </w:r>
      <w:r w:rsidR="003D7B65">
        <w:rPr>
          <w:rFonts w:ascii="Avenir Next" w:hAnsi="Avenir Next" w:cs="Arial"/>
          <w:color w:val="808080" w:themeColor="background1" w:themeShade="80"/>
          <w:sz w:val="22"/>
          <w:szCs w:val="22"/>
          <w:lang w:val="en-GB"/>
        </w:rPr>
        <w:t>, must limited to</w:t>
      </w:r>
      <w:r w:rsidR="003D7B65" w:rsidRPr="003D7B65">
        <w:rPr>
          <w:rFonts w:ascii="Avenir Next" w:hAnsi="Avenir Next" w:cs="Arial"/>
          <w:color w:val="808080" w:themeColor="background1" w:themeShade="80"/>
          <w:sz w:val="22"/>
          <w:szCs w:val="22"/>
          <w:lang w:val="en-GB"/>
        </w:rPr>
        <w:t xml:space="preserve"> information </w:t>
      </w:r>
      <w:r w:rsidR="003D7B65">
        <w:rPr>
          <w:rFonts w:ascii="Avenir Next" w:hAnsi="Avenir Next" w:cs="Arial"/>
          <w:color w:val="808080" w:themeColor="background1" w:themeShade="80"/>
          <w:sz w:val="22"/>
          <w:szCs w:val="22"/>
          <w:lang w:val="en-GB"/>
        </w:rPr>
        <w:t xml:space="preserve">that is </w:t>
      </w:r>
      <w:r w:rsidR="003D7B65" w:rsidRPr="003D7B65">
        <w:rPr>
          <w:rFonts w:ascii="Avenir Next" w:hAnsi="Avenir Next" w:cs="Arial"/>
          <w:color w:val="808080" w:themeColor="background1" w:themeShade="80"/>
          <w:sz w:val="22"/>
          <w:szCs w:val="22"/>
          <w:lang w:val="en-GB"/>
        </w:rPr>
        <w:t>required in th</w:t>
      </w:r>
      <w:r w:rsidR="003D7B65">
        <w:rPr>
          <w:rFonts w:ascii="Avenir Next" w:hAnsi="Avenir Next" w:cs="Arial"/>
          <w:color w:val="808080" w:themeColor="background1" w:themeShade="80"/>
          <w:sz w:val="22"/>
          <w:szCs w:val="22"/>
          <w:lang w:val="en-GB"/>
        </w:rPr>
        <w:t>e</w:t>
      </w:r>
      <w:r w:rsidR="003D7B65" w:rsidRPr="003D7B65">
        <w:rPr>
          <w:rFonts w:ascii="Avenir Next" w:hAnsi="Avenir Next" w:cs="Arial"/>
          <w:color w:val="808080" w:themeColor="background1" w:themeShade="80"/>
          <w:sz w:val="22"/>
          <w:szCs w:val="22"/>
          <w:lang w:val="en-GB"/>
        </w:rPr>
        <w:t xml:space="preserve"> non-main proceeding.</w:t>
      </w:r>
      <w:r w:rsidR="003D7B65">
        <w:rPr>
          <w:rStyle w:val="FootnoteReference"/>
          <w:rFonts w:ascii="Avenir Next" w:hAnsi="Avenir Next" w:cs="Arial"/>
          <w:color w:val="808080" w:themeColor="background1" w:themeShade="80"/>
          <w:sz w:val="22"/>
          <w:szCs w:val="22"/>
          <w:lang w:val="en-GB"/>
        </w:rPr>
        <w:footnoteReference w:id="8"/>
      </w:r>
    </w:p>
    <w:p w14:paraId="61701DD3" w14:textId="77777777" w:rsidR="00867A8F" w:rsidRPr="00E2622D" w:rsidRDefault="00867A8F" w:rsidP="003D7B65">
      <w:pPr>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168EBB52" w14:textId="7169C876" w:rsidR="00C82D87" w:rsidRDefault="00547993" w:rsidP="00100E8F">
      <w:pPr>
        <w:jc w:val="both"/>
        <w:rPr>
          <w:rFonts w:ascii="Avenir Next" w:hAnsi="Avenir Next" w:cs="Arial"/>
          <w:sz w:val="22"/>
          <w:szCs w:val="28"/>
          <w:lang w:val="en-GB"/>
        </w:rPr>
      </w:pPr>
      <w:r w:rsidRPr="009C6CE3">
        <w:rPr>
          <w:rFonts w:ascii="Avenir Next" w:hAnsi="Avenir Next" w:cs="Arial"/>
          <w:sz w:val="22"/>
          <w:szCs w:val="28"/>
        </w:rPr>
        <w:t xml:space="preserve">Explain the protections granted to creditors in a foreign proceeding under </w:t>
      </w:r>
      <w:r w:rsidRPr="009C6CE3">
        <w:rPr>
          <w:rFonts w:ascii="Avenir Next" w:hAnsi="Avenir Next" w:cs="Arial"/>
          <w:sz w:val="22"/>
          <w:szCs w:val="28"/>
          <w:lang w:val="en-GB"/>
        </w:rPr>
        <w:t>Article 13 of the MLCBI</w:t>
      </w:r>
      <w:r>
        <w:rPr>
          <w:rFonts w:ascii="Avenir Next" w:hAnsi="Avenir Next" w:cs="Arial"/>
          <w:sz w:val="22"/>
          <w:szCs w:val="28"/>
          <w:lang w:val="en-GB"/>
        </w:rPr>
        <w:t>.</w:t>
      </w:r>
    </w:p>
    <w:p w14:paraId="0EF9A9E7" w14:textId="77777777" w:rsidR="00B25CF5" w:rsidRDefault="00B25CF5" w:rsidP="00100E8F">
      <w:pPr>
        <w:jc w:val="both"/>
        <w:rPr>
          <w:rFonts w:ascii="Avenir Next" w:hAnsi="Avenir Next" w:cs="Arial"/>
          <w:sz w:val="22"/>
          <w:szCs w:val="28"/>
          <w:lang w:val="en-GB"/>
        </w:rPr>
      </w:pPr>
    </w:p>
    <w:p w14:paraId="54212730" w14:textId="77777777" w:rsidR="00B41BC0" w:rsidRDefault="00B25CF5" w:rsidP="00100E8F">
      <w:pPr>
        <w:jc w:val="both"/>
        <w:rPr>
          <w:rFonts w:ascii="Avenir Next" w:hAnsi="Avenir Next" w:cs="Arial"/>
          <w:color w:val="808080" w:themeColor="background1" w:themeShade="80"/>
          <w:sz w:val="22"/>
          <w:szCs w:val="22"/>
          <w:lang w:val="en-GB"/>
        </w:rPr>
      </w:pPr>
      <w:r w:rsidRPr="00B25CF5">
        <w:rPr>
          <w:rFonts w:ascii="Avenir Next" w:hAnsi="Avenir Next" w:cs="Arial"/>
          <w:color w:val="808080" w:themeColor="background1" w:themeShade="80"/>
          <w:sz w:val="22"/>
          <w:szCs w:val="22"/>
          <w:lang w:val="en-GB"/>
        </w:rPr>
        <w:t>Pursuant to</w:t>
      </w:r>
      <w:r>
        <w:rPr>
          <w:rFonts w:ascii="Avenir Next" w:hAnsi="Avenir Next" w:cs="Arial"/>
          <w:color w:val="808080" w:themeColor="background1" w:themeShade="80"/>
          <w:sz w:val="22"/>
          <w:szCs w:val="22"/>
          <w:lang w:val="en-GB"/>
        </w:rPr>
        <w:t xml:space="preserve"> Article 13 of the MLCBI, foreign creditors have the same rights as creditors domiciled in the enacting State when it comes to the commencement of and participating in proceedings concerning the debtor under the insolvency laws of that State. </w:t>
      </w:r>
    </w:p>
    <w:p w14:paraId="0C248FD9" w14:textId="77777777" w:rsidR="00B41BC0" w:rsidRDefault="00B41BC0" w:rsidP="00100E8F">
      <w:pPr>
        <w:jc w:val="both"/>
        <w:rPr>
          <w:rFonts w:ascii="Avenir Next" w:hAnsi="Avenir Next" w:cs="Arial"/>
          <w:color w:val="808080" w:themeColor="background1" w:themeShade="80"/>
          <w:sz w:val="22"/>
          <w:szCs w:val="22"/>
          <w:lang w:val="en-GB"/>
        </w:rPr>
      </w:pPr>
    </w:p>
    <w:p w14:paraId="203BF460" w14:textId="2227FB23" w:rsidR="00DC651F" w:rsidRDefault="00B25CF5"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Article 13(2) of the MLCBI goes on t</w:t>
      </w:r>
      <w:r w:rsidR="00DA6B0D">
        <w:rPr>
          <w:rFonts w:ascii="Avenir Next" w:hAnsi="Avenir Next" w:cs="Arial"/>
          <w:color w:val="808080" w:themeColor="background1" w:themeShade="80"/>
          <w:sz w:val="22"/>
          <w:szCs w:val="22"/>
          <w:lang w:val="en-GB"/>
        </w:rPr>
        <w:t>o</w:t>
      </w:r>
      <w:r>
        <w:rPr>
          <w:rFonts w:ascii="Avenir Next" w:hAnsi="Avenir Next" w:cs="Arial"/>
          <w:color w:val="808080" w:themeColor="background1" w:themeShade="80"/>
          <w:sz w:val="22"/>
          <w:szCs w:val="22"/>
          <w:lang w:val="en-GB"/>
        </w:rPr>
        <w:t xml:space="preserve"> clarify that this does not affect the ranking of creditor claims in the enacting state, except that the claim of a foreign creditor </w:t>
      </w:r>
      <w:r w:rsidRPr="00B25CF5">
        <w:rPr>
          <w:rFonts w:ascii="Avenir Next" w:hAnsi="Avenir Next" w:cs="Arial"/>
          <w:color w:val="808080" w:themeColor="background1" w:themeShade="80"/>
          <w:sz w:val="22"/>
          <w:szCs w:val="22"/>
          <w:lang w:val="en-GB"/>
        </w:rPr>
        <w:t>shall not be given lower priority than that of general unsecured claim</w:t>
      </w:r>
      <w:r>
        <w:rPr>
          <w:rFonts w:ascii="Avenir Next" w:hAnsi="Avenir Next" w:cs="Arial"/>
          <w:color w:val="808080" w:themeColor="background1" w:themeShade="80"/>
          <w:sz w:val="22"/>
          <w:szCs w:val="22"/>
          <w:lang w:val="en-GB"/>
        </w:rPr>
        <w:t xml:space="preserve"> just because they are a foreign creditor.</w:t>
      </w:r>
      <w:r>
        <w:rPr>
          <w:rStyle w:val="FootnoteReference"/>
          <w:rFonts w:ascii="Avenir Next" w:hAnsi="Avenir Next" w:cs="Arial"/>
          <w:color w:val="808080" w:themeColor="background1" w:themeShade="80"/>
          <w:sz w:val="22"/>
          <w:szCs w:val="22"/>
          <w:lang w:val="en-GB"/>
        </w:rPr>
        <w:footnoteReference w:id="9"/>
      </w:r>
    </w:p>
    <w:p w14:paraId="19828851" w14:textId="77777777" w:rsidR="00DC651F" w:rsidRPr="00E2622D" w:rsidRDefault="00DC651F" w:rsidP="00707FC8">
      <w:pPr>
        <w:jc w:val="both"/>
        <w:rPr>
          <w:rFonts w:ascii="Avenir Next" w:hAnsi="Avenir Next" w:cs="Arial"/>
          <w:b/>
          <w:sz w:val="22"/>
          <w:szCs w:val="22"/>
          <w:lang w:val="en-GB"/>
        </w:rPr>
      </w:pPr>
    </w:p>
    <w:p w14:paraId="41AAD286" w14:textId="312468A7"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2A29FB">
        <w:rPr>
          <w:rFonts w:ascii="Avenir Next Demi Bold" w:hAnsi="Avenir Next Demi Bold" w:cs="Arial"/>
          <w:b/>
          <w:bCs/>
          <w:sz w:val="22"/>
          <w:szCs w:val="22"/>
          <w:lang w:val="en-GB"/>
        </w:rPr>
        <w:t xml:space="preserve">maximum </w:t>
      </w:r>
      <w:r w:rsidR="00101A9E">
        <w:rPr>
          <w:rFonts w:ascii="Avenir Next Demi Bold" w:hAnsi="Avenir Next Demi Bold" w:cs="Arial"/>
          <w:b/>
          <w:bCs/>
          <w:sz w:val="22"/>
          <w:szCs w:val="22"/>
          <w:lang w:val="en-GB"/>
        </w:rPr>
        <w:t>3</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6E79A700" w14:textId="6FC7825F" w:rsidR="0041139B" w:rsidRDefault="00D7080A" w:rsidP="00100E8F">
      <w:pPr>
        <w:jc w:val="both"/>
        <w:rPr>
          <w:rFonts w:ascii="Avenir Next" w:hAnsi="Avenir Next" w:cs="Arial"/>
          <w:sz w:val="22"/>
          <w:szCs w:val="28"/>
        </w:rPr>
      </w:pPr>
      <w:r w:rsidRPr="00C902D2">
        <w:rPr>
          <w:rFonts w:ascii="Avenir Next" w:hAnsi="Avenir Next" w:cs="Arial"/>
          <w:sz w:val="22"/>
          <w:szCs w:val="28"/>
        </w:rPr>
        <w:t>What is a key distinction with respect to the relief available in foreign main versus foreign non</w:t>
      </w:r>
      <w:r>
        <w:rPr>
          <w:rFonts w:ascii="Avenir Next" w:hAnsi="Avenir Next" w:cs="Arial"/>
          <w:sz w:val="22"/>
          <w:szCs w:val="28"/>
        </w:rPr>
        <w:t>-</w:t>
      </w:r>
      <w:r w:rsidRPr="00C902D2">
        <w:rPr>
          <w:rFonts w:ascii="Avenir Next" w:hAnsi="Avenir Next" w:cs="Arial"/>
          <w:sz w:val="22"/>
          <w:szCs w:val="28"/>
        </w:rPr>
        <w:t>main proceedings?</w:t>
      </w:r>
    </w:p>
    <w:p w14:paraId="6C15790D" w14:textId="67CBBE72" w:rsidR="00CF433F" w:rsidRPr="00100E8F" w:rsidRDefault="00CF433F" w:rsidP="00100E8F">
      <w:pPr>
        <w:jc w:val="both"/>
        <w:rPr>
          <w:rFonts w:ascii="Avenir Next" w:hAnsi="Avenir Next" w:cs="Arial"/>
          <w:sz w:val="22"/>
          <w:szCs w:val="28"/>
        </w:rPr>
      </w:pPr>
    </w:p>
    <w:p w14:paraId="4ECC0928" w14:textId="2FC58C8A" w:rsidR="00FF1515" w:rsidRDefault="00CF433F" w:rsidP="00FF1515">
      <w:pPr>
        <w:jc w:val="both"/>
        <w:rPr>
          <w:rFonts w:ascii="Avenir Next" w:hAnsi="Avenir Next" w:cs="Arial"/>
          <w:color w:val="808080" w:themeColor="background1" w:themeShade="80"/>
          <w:sz w:val="22"/>
          <w:szCs w:val="22"/>
          <w:lang w:val="en-GB"/>
        </w:rPr>
      </w:pPr>
      <w:r w:rsidRPr="00CF433F">
        <w:rPr>
          <w:rFonts w:ascii="Avenir Next" w:hAnsi="Avenir Next" w:cs="Arial"/>
          <w:color w:val="808080" w:themeColor="background1" w:themeShade="80"/>
          <w:sz w:val="22"/>
          <w:szCs w:val="22"/>
          <w:lang w:val="en-GB"/>
        </w:rPr>
        <w:t>As touched on above in question 2.2</w:t>
      </w:r>
      <w:r w:rsidR="009B743C">
        <w:rPr>
          <w:rFonts w:ascii="Avenir Next" w:hAnsi="Avenir Next" w:cs="Arial"/>
          <w:color w:val="808080" w:themeColor="background1" w:themeShade="80"/>
          <w:sz w:val="22"/>
          <w:szCs w:val="22"/>
          <w:lang w:val="en-GB"/>
        </w:rPr>
        <w:t xml:space="preserve"> and I further refer to my answer there</w:t>
      </w:r>
      <w:r w:rsidRPr="00CF433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w:t>
      </w:r>
      <w:r w:rsidRPr="00CF433F">
        <w:rPr>
          <w:rFonts w:ascii="Avenir Next" w:hAnsi="Avenir Next" w:cs="Arial"/>
          <w:color w:val="808080" w:themeColor="background1" w:themeShade="80"/>
          <w:sz w:val="22"/>
          <w:szCs w:val="22"/>
          <w:lang w:val="en-GB"/>
        </w:rPr>
        <w:t xml:space="preserve"> key distinction the relief available in foreign main versus foreign non-main proceedings</w:t>
      </w:r>
      <w:r>
        <w:rPr>
          <w:rFonts w:ascii="Avenir Next" w:hAnsi="Avenir Next" w:cs="Arial"/>
          <w:color w:val="808080" w:themeColor="background1" w:themeShade="80"/>
          <w:sz w:val="22"/>
          <w:szCs w:val="22"/>
          <w:lang w:val="en-GB"/>
        </w:rPr>
        <w:t xml:space="preserve"> is that Article 20 of the </w:t>
      </w:r>
      <w:r w:rsidRPr="00CF433F">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provides automatic relief upon </w:t>
      </w:r>
      <w:r w:rsidRPr="00CF433F">
        <w:rPr>
          <w:rFonts w:ascii="Avenir Next" w:hAnsi="Avenir Next" w:cs="Arial"/>
          <w:color w:val="808080" w:themeColor="background1" w:themeShade="80"/>
          <w:sz w:val="22"/>
          <w:szCs w:val="22"/>
          <w:lang w:val="en-GB"/>
        </w:rPr>
        <w:t>recognition of foreign main proceeding</w:t>
      </w:r>
      <w:r>
        <w:rPr>
          <w:rFonts w:ascii="Avenir Next" w:hAnsi="Avenir Next" w:cs="Arial"/>
          <w:color w:val="808080" w:themeColor="background1" w:themeShade="80"/>
          <w:sz w:val="22"/>
          <w:szCs w:val="22"/>
          <w:lang w:val="en-GB"/>
        </w:rPr>
        <w:t xml:space="preserve"> (</w:t>
      </w:r>
      <w:r w:rsidR="00FF1515">
        <w:rPr>
          <w:rFonts w:ascii="Avenir Next" w:hAnsi="Avenir Next" w:cs="Arial"/>
          <w:color w:val="808080" w:themeColor="background1" w:themeShade="80"/>
          <w:sz w:val="22"/>
          <w:szCs w:val="22"/>
          <w:lang w:val="en-GB"/>
        </w:rPr>
        <w:t>i.e.</w:t>
      </w:r>
      <w:r>
        <w:rPr>
          <w:rFonts w:ascii="Avenir Next" w:hAnsi="Avenir Next" w:cs="Arial"/>
          <w:color w:val="808080" w:themeColor="background1" w:themeShade="80"/>
          <w:sz w:val="22"/>
          <w:szCs w:val="22"/>
          <w:lang w:val="en-GB"/>
        </w:rPr>
        <w:t xml:space="preserve">, </w:t>
      </w:r>
      <w:r w:rsidRPr="00CF433F">
        <w:rPr>
          <w:rFonts w:ascii="Avenir Next" w:hAnsi="Avenir Next" w:cs="Arial"/>
          <w:color w:val="808080" w:themeColor="background1" w:themeShade="80"/>
          <w:sz w:val="22"/>
          <w:szCs w:val="22"/>
          <w:lang w:val="en-GB"/>
        </w:rPr>
        <w:t>where the</w:t>
      </w:r>
      <w:r>
        <w:rPr>
          <w:rFonts w:ascii="Avenir Next" w:hAnsi="Avenir Next" w:cs="Arial"/>
          <w:color w:val="808080" w:themeColor="background1" w:themeShade="80"/>
          <w:sz w:val="22"/>
          <w:szCs w:val="22"/>
          <w:lang w:val="en-GB"/>
        </w:rPr>
        <w:t xml:space="preserve"> centre of main interest</w:t>
      </w:r>
      <w:r w:rsidRPr="00CF433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w:t>
      </w:r>
      <w:r w:rsidRPr="00CF433F">
        <w:rPr>
          <w:rFonts w:ascii="Avenir Next" w:hAnsi="Avenir Next" w:cs="Arial"/>
          <w:color w:val="808080" w:themeColor="background1" w:themeShade="80"/>
          <w:sz w:val="22"/>
          <w:szCs w:val="22"/>
          <w:lang w:val="en-GB"/>
        </w:rPr>
        <w:t>COMI</w:t>
      </w:r>
      <w:r>
        <w:rPr>
          <w:rFonts w:ascii="Avenir Next" w:hAnsi="Avenir Next" w:cs="Arial"/>
          <w:color w:val="808080" w:themeColor="background1" w:themeShade="80"/>
          <w:sz w:val="22"/>
          <w:szCs w:val="22"/>
          <w:lang w:val="en-GB"/>
        </w:rPr>
        <w:t>)</w:t>
      </w:r>
      <w:r w:rsidRPr="00CF433F">
        <w:rPr>
          <w:rFonts w:ascii="Avenir Next" w:hAnsi="Avenir Next" w:cs="Arial"/>
          <w:color w:val="808080" w:themeColor="background1" w:themeShade="80"/>
          <w:sz w:val="22"/>
          <w:szCs w:val="22"/>
          <w:lang w:val="en-GB"/>
        </w:rPr>
        <w:t xml:space="preserve"> of the debtor is </w:t>
      </w:r>
      <w:r>
        <w:rPr>
          <w:rFonts w:ascii="Avenir Next" w:hAnsi="Avenir Next" w:cs="Arial"/>
          <w:color w:val="808080" w:themeColor="background1" w:themeShade="80"/>
          <w:sz w:val="22"/>
          <w:szCs w:val="22"/>
          <w:lang w:val="en-GB"/>
        </w:rPr>
        <w:t>in the state</w:t>
      </w:r>
      <w:r w:rsidRPr="00CF433F">
        <w:rPr>
          <w:rFonts w:ascii="Avenir Next" w:hAnsi="Avenir Next" w:cs="Arial"/>
          <w:color w:val="808080" w:themeColor="background1" w:themeShade="80"/>
          <w:sz w:val="22"/>
          <w:szCs w:val="22"/>
          <w:lang w:val="en-GB"/>
        </w:rPr>
        <w:t xml:space="preserve"> where the foreign proceeding was</w:t>
      </w:r>
      <w:r>
        <w:rPr>
          <w:rFonts w:ascii="Avenir Next" w:hAnsi="Avenir Next" w:cs="Arial"/>
          <w:color w:val="808080" w:themeColor="background1" w:themeShade="80"/>
          <w:sz w:val="22"/>
          <w:szCs w:val="22"/>
          <w:lang w:val="en-GB"/>
        </w:rPr>
        <w:t xml:space="preserve"> initiated).</w:t>
      </w:r>
      <w:r>
        <w:rPr>
          <w:rStyle w:val="FootnoteReference"/>
          <w:rFonts w:ascii="Avenir Next" w:hAnsi="Avenir Next" w:cs="Arial"/>
          <w:color w:val="808080" w:themeColor="background1" w:themeShade="80"/>
          <w:sz w:val="22"/>
          <w:szCs w:val="22"/>
          <w:lang w:val="en-GB"/>
        </w:rPr>
        <w:footnoteReference w:id="10"/>
      </w:r>
      <w:r>
        <w:rPr>
          <w:rFonts w:ascii="Avenir Next" w:hAnsi="Avenir Next" w:cs="Arial"/>
          <w:color w:val="808080" w:themeColor="background1" w:themeShade="80"/>
          <w:sz w:val="22"/>
          <w:szCs w:val="22"/>
          <w:lang w:val="en-GB"/>
        </w:rPr>
        <w:t xml:space="preserve"> </w:t>
      </w:r>
    </w:p>
    <w:p w14:paraId="78902C81" w14:textId="77777777" w:rsidR="00FF1515" w:rsidRDefault="00FF1515" w:rsidP="00FF1515">
      <w:pPr>
        <w:jc w:val="both"/>
        <w:rPr>
          <w:rFonts w:ascii="Avenir Next" w:hAnsi="Avenir Next" w:cs="Arial"/>
          <w:color w:val="808080" w:themeColor="background1" w:themeShade="80"/>
          <w:sz w:val="22"/>
          <w:szCs w:val="22"/>
          <w:lang w:val="en-GB"/>
        </w:rPr>
      </w:pPr>
    </w:p>
    <w:p w14:paraId="3DCC8DA7" w14:textId="498ED48D" w:rsidR="00CF433F" w:rsidRDefault="00CF433F" w:rsidP="00FF15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automatic relief includes: </w:t>
      </w:r>
      <w:r w:rsidR="00FF1515">
        <w:rPr>
          <w:rFonts w:ascii="Avenir Next" w:hAnsi="Avenir Next" w:cs="Arial"/>
          <w:color w:val="808080" w:themeColor="background1" w:themeShade="80"/>
          <w:sz w:val="22"/>
          <w:szCs w:val="22"/>
          <w:lang w:val="en-GB"/>
        </w:rPr>
        <w:t>(a) a stay on c</w:t>
      </w:r>
      <w:r w:rsidR="00FF1515" w:rsidRPr="00FF1515">
        <w:rPr>
          <w:rFonts w:ascii="Avenir Next" w:hAnsi="Avenir Next" w:cs="Arial"/>
          <w:color w:val="808080" w:themeColor="background1" w:themeShade="80"/>
          <w:sz w:val="22"/>
          <w:szCs w:val="22"/>
          <w:lang w:val="en-GB"/>
        </w:rPr>
        <w:t>ommencement or continuation of individual actions or individual proceedings concerning the</w:t>
      </w:r>
      <w:r w:rsidR="00FF1515">
        <w:rPr>
          <w:rFonts w:ascii="Avenir Next" w:hAnsi="Avenir Next" w:cs="Arial"/>
          <w:color w:val="808080" w:themeColor="background1" w:themeShade="80"/>
          <w:sz w:val="22"/>
          <w:szCs w:val="22"/>
          <w:lang w:val="en-GB"/>
        </w:rPr>
        <w:t xml:space="preserve"> </w:t>
      </w:r>
      <w:r w:rsidR="00FF1515" w:rsidRPr="00FF1515">
        <w:rPr>
          <w:rFonts w:ascii="Avenir Next" w:hAnsi="Avenir Next" w:cs="Arial"/>
          <w:color w:val="808080" w:themeColor="background1" w:themeShade="80"/>
          <w:sz w:val="22"/>
          <w:szCs w:val="22"/>
          <w:lang w:val="en-GB"/>
        </w:rPr>
        <w:t>debtor’s assets, rights, obligations or liabilities</w:t>
      </w:r>
      <w:r w:rsidR="00FF1515">
        <w:rPr>
          <w:rFonts w:ascii="Avenir Next" w:hAnsi="Avenir Next" w:cs="Arial"/>
          <w:color w:val="808080" w:themeColor="background1" w:themeShade="80"/>
          <w:sz w:val="22"/>
          <w:szCs w:val="22"/>
          <w:lang w:val="en-GB"/>
        </w:rPr>
        <w:t xml:space="preserve">; (b) a stay </w:t>
      </w:r>
      <w:proofErr w:type="spellStart"/>
      <w:r w:rsidR="00FF1515">
        <w:rPr>
          <w:rFonts w:ascii="Avenir Next" w:hAnsi="Avenir Next" w:cs="Arial"/>
          <w:color w:val="808080" w:themeColor="background1" w:themeShade="80"/>
          <w:sz w:val="22"/>
          <w:szCs w:val="22"/>
          <w:lang w:val="en-GB"/>
        </w:rPr>
        <w:t>on</w:t>
      </w:r>
      <w:proofErr w:type="spellEnd"/>
      <w:r w:rsidR="00FF1515">
        <w:rPr>
          <w:rFonts w:ascii="Avenir Next" w:hAnsi="Avenir Next" w:cs="Arial"/>
          <w:color w:val="808080" w:themeColor="background1" w:themeShade="80"/>
          <w:sz w:val="22"/>
          <w:szCs w:val="22"/>
          <w:lang w:val="en-GB"/>
        </w:rPr>
        <w:t xml:space="preserve"> e</w:t>
      </w:r>
      <w:r w:rsidR="00FF1515" w:rsidRPr="00FF1515">
        <w:rPr>
          <w:rFonts w:ascii="Avenir Next" w:hAnsi="Avenir Next" w:cs="Arial"/>
          <w:color w:val="808080" w:themeColor="background1" w:themeShade="80"/>
          <w:sz w:val="22"/>
          <w:szCs w:val="22"/>
          <w:lang w:val="en-GB"/>
        </w:rPr>
        <w:t>xecution against the debtor’s; and</w:t>
      </w:r>
      <w:r w:rsidR="00FF1515">
        <w:rPr>
          <w:rFonts w:ascii="Avenir Next" w:hAnsi="Avenir Next" w:cs="Arial"/>
          <w:color w:val="808080" w:themeColor="background1" w:themeShade="80"/>
          <w:sz w:val="22"/>
          <w:szCs w:val="22"/>
          <w:lang w:val="en-GB"/>
        </w:rPr>
        <w:t xml:space="preserve"> </w:t>
      </w:r>
      <w:r w:rsidR="00FF1515" w:rsidRPr="00FF1515">
        <w:rPr>
          <w:rFonts w:ascii="Avenir Next" w:hAnsi="Avenir Next" w:cs="Arial"/>
          <w:color w:val="808080" w:themeColor="background1" w:themeShade="80"/>
          <w:sz w:val="22"/>
          <w:szCs w:val="22"/>
          <w:lang w:val="en-GB"/>
        </w:rPr>
        <w:t xml:space="preserve">(c) </w:t>
      </w:r>
      <w:r w:rsidR="00FF1515">
        <w:rPr>
          <w:rFonts w:ascii="Avenir Next" w:hAnsi="Avenir Next" w:cs="Arial"/>
          <w:color w:val="808080" w:themeColor="background1" w:themeShade="80"/>
          <w:sz w:val="22"/>
          <w:szCs w:val="22"/>
          <w:lang w:val="en-GB"/>
        </w:rPr>
        <w:t xml:space="preserve">suspension of the </w:t>
      </w:r>
      <w:r w:rsidR="00FF1515" w:rsidRPr="00FF1515">
        <w:rPr>
          <w:rFonts w:ascii="Avenir Next" w:hAnsi="Avenir Next" w:cs="Arial"/>
          <w:color w:val="808080" w:themeColor="background1" w:themeShade="80"/>
          <w:sz w:val="22"/>
          <w:szCs w:val="22"/>
          <w:lang w:val="en-GB"/>
        </w:rPr>
        <w:t>right to transfer, encumber or otherwise dispose of any assets of the debtor</w:t>
      </w:r>
      <w:r w:rsidR="00FF1515">
        <w:rPr>
          <w:rFonts w:ascii="Avenir Next" w:hAnsi="Avenir Next" w:cs="Arial"/>
          <w:color w:val="808080" w:themeColor="background1" w:themeShade="80"/>
          <w:sz w:val="22"/>
          <w:szCs w:val="22"/>
          <w:lang w:val="en-GB"/>
        </w:rPr>
        <w:t>.</w:t>
      </w:r>
      <w:r w:rsidR="00FF1515">
        <w:rPr>
          <w:rStyle w:val="FootnoteReference"/>
          <w:rFonts w:ascii="Avenir Next" w:hAnsi="Avenir Next" w:cs="Arial"/>
          <w:color w:val="808080" w:themeColor="background1" w:themeShade="80"/>
          <w:sz w:val="22"/>
          <w:szCs w:val="22"/>
          <w:lang w:val="en-GB"/>
        </w:rPr>
        <w:footnoteReference w:id="11"/>
      </w:r>
      <w:r w:rsidR="00F32094">
        <w:rPr>
          <w:rFonts w:ascii="Avenir Next" w:hAnsi="Avenir Next" w:cs="Arial"/>
          <w:color w:val="808080" w:themeColor="background1" w:themeShade="80"/>
          <w:sz w:val="22"/>
          <w:szCs w:val="22"/>
          <w:lang w:val="en-GB"/>
        </w:rPr>
        <w:t xml:space="preserve"> The intention of these automatic consequences it to allow for the organisation of a</w:t>
      </w:r>
      <w:r w:rsidR="00400A7C">
        <w:rPr>
          <w:rFonts w:ascii="Avenir Next" w:hAnsi="Avenir Next" w:cs="Arial"/>
          <w:color w:val="808080" w:themeColor="background1" w:themeShade="80"/>
          <w:sz w:val="22"/>
          <w:szCs w:val="22"/>
          <w:lang w:val="en-GB"/>
        </w:rPr>
        <w:t>n</w:t>
      </w:r>
      <w:r w:rsidR="00F32094">
        <w:rPr>
          <w:rFonts w:ascii="Avenir Next" w:hAnsi="Avenir Next" w:cs="Arial"/>
          <w:color w:val="808080" w:themeColor="background1" w:themeShade="80"/>
          <w:sz w:val="22"/>
          <w:szCs w:val="22"/>
          <w:lang w:val="en-GB"/>
        </w:rPr>
        <w:t xml:space="preserve"> efficient and fair cross-border insolvency proceeding. </w:t>
      </w:r>
    </w:p>
    <w:p w14:paraId="01F61A58" w14:textId="68055BF1" w:rsidR="00F32094" w:rsidRDefault="00F32094" w:rsidP="00FF1515">
      <w:pPr>
        <w:jc w:val="both"/>
        <w:rPr>
          <w:rFonts w:ascii="Avenir Next" w:hAnsi="Avenir Next" w:cs="Arial"/>
          <w:color w:val="808080" w:themeColor="background1" w:themeShade="80"/>
          <w:sz w:val="22"/>
          <w:szCs w:val="22"/>
          <w:lang w:val="en-GB"/>
        </w:rPr>
      </w:pPr>
    </w:p>
    <w:p w14:paraId="483D619E" w14:textId="1CFDA1B2" w:rsidR="00F32094" w:rsidRDefault="00F32094" w:rsidP="00FF15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When dealing with a foreign non-main proceeding (i.e., COMI of the debtor is not in the state of the proceeding) the automatic relief under Article 20 of the </w:t>
      </w:r>
      <w:r w:rsidRPr="00CF433F">
        <w:rPr>
          <w:rFonts w:ascii="Avenir Next" w:hAnsi="Avenir Next" w:cs="Arial"/>
          <w:color w:val="808080" w:themeColor="background1" w:themeShade="80"/>
          <w:sz w:val="22"/>
          <w:szCs w:val="22"/>
          <w:lang w:val="en-GB"/>
        </w:rPr>
        <w:t>MLCBI</w:t>
      </w:r>
      <w:r>
        <w:rPr>
          <w:rFonts w:ascii="Avenir Next" w:hAnsi="Avenir Next" w:cs="Arial"/>
          <w:color w:val="808080" w:themeColor="background1" w:themeShade="80"/>
          <w:sz w:val="22"/>
          <w:szCs w:val="22"/>
          <w:lang w:val="en-GB"/>
        </w:rPr>
        <w:t xml:space="preserve"> is not imposed. Instead, the Court will draw from </w:t>
      </w:r>
      <w:r w:rsidR="00B35CB8">
        <w:rPr>
          <w:rFonts w:ascii="Avenir Next" w:hAnsi="Avenir Next" w:cs="Arial"/>
          <w:color w:val="808080" w:themeColor="background1" w:themeShade="80"/>
          <w:sz w:val="22"/>
          <w:szCs w:val="22"/>
          <w:lang w:val="en-GB"/>
        </w:rPr>
        <w:t xml:space="preserve">Article 21 of the MLCBI and the range of discretionary relief that may be imposed under Article 21 (a) – (g) </w:t>
      </w:r>
      <w:proofErr w:type="gramStart"/>
      <w:r w:rsidR="00B35CB8">
        <w:rPr>
          <w:rFonts w:ascii="Avenir Next" w:hAnsi="Avenir Next" w:cs="Arial"/>
          <w:color w:val="808080" w:themeColor="background1" w:themeShade="80"/>
          <w:sz w:val="22"/>
          <w:szCs w:val="22"/>
          <w:lang w:val="en-GB"/>
        </w:rPr>
        <w:t>in order to</w:t>
      </w:r>
      <w:proofErr w:type="gramEnd"/>
      <w:r w:rsidR="00B35CB8">
        <w:rPr>
          <w:rFonts w:ascii="Avenir Next" w:hAnsi="Avenir Next" w:cs="Arial"/>
          <w:color w:val="808080" w:themeColor="background1" w:themeShade="80"/>
          <w:sz w:val="22"/>
          <w:szCs w:val="22"/>
          <w:lang w:val="en-GB"/>
        </w:rPr>
        <w:t xml:space="preserve"> protect creditors </w:t>
      </w:r>
      <w:r w:rsidR="00B35CB8" w:rsidRPr="00B35CB8">
        <w:rPr>
          <w:rFonts w:ascii="Avenir Next" w:hAnsi="Avenir Next" w:cs="Arial"/>
          <w:color w:val="808080" w:themeColor="background1" w:themeShade="80"/>
          <w:sz w:val="22"/>
          <w:szCs w:val="22"/>
          <w:lang w:val="en-GB"/>
        </w:rPr>
        <w:t>or, as an alternative, to protect the assets of the debtor</w:t>
      </w:r>
      <w:r w:rsidR="00B35CB8">
        <w:rPr>
          <w:rFonts w:ascii="Avenir Next" w:hAnsi="Avenir Next" w:cs="Arial"/>
          <w:color w:val="808080" w:themeColor="background1" w:themeShade="80"/>
          <w:sz w:val="22"/>
          <w:szCs w:val="22"/>
          <w:lang w:val="en-GB"/>
        </w:rPr>
        <w:t>.</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607D9392" w14:textId="77777777" w:rsidR="00C370D3" w:rsidRPr="00E2622D" w:rsidRDefault="00C370D3" w:rsidP="00C370D3">
      <w:pPr>
        <w:jc w:val="both"/>
        <w:rPr>
          <w:rFonts w:ascii="Avenir Next" w:hAnsi="Avenir Next" w:cs="Arial"/>
          <w:sz w:val="22"/>
          <w:szCs w:val="22"/>
          <w:lang w:val="en-GB"/>
        </w:rPr>
      </w:pPr>
      <w:bookmarkStart w:id="0" w:name="_Hlk47104011"/>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0"/>
    <w:p w14:paraId="16D1C808" w14:textId="77777777" w:rsidR="00D84150" w:rsidRDefault="00D84150" w:rsidP="00D84150">
      <w:pPr>
        <w:jc w:val="both"/>
        <w:rPr>
          <w:rFonts w:ascii="Avenir Next" w:hAnsi="Avenir Next" w:cs="Arial"/>
          <w:sz w:val="22"/>
          <w:szCs w:val="28"/>
          <w:lang w:val="en-GB"/>
        </w:rPr>
      </w:pPr>
      <w:r w:rsidRPr="001A40F2">
        <w:rPr>
          <w:rFonts w:ascii="Avenir Next" w:hAnsi="Avenir Next" w:cs="Arial"/>
          <w:sz w:val="22"/>
          <w:szCs w:val="28"/>
        </w:rPr>
        <w:t>A</w:t>
      </w:r>
      <w:r w:rsidRPr="001A40F2">
        <w:rPr>
          <w:rFonts w:ascii="Avenir Next" w:hAnsi="Avenir Next" w:cs="Arial"/>
          <w:sz w:val="22"/>
          <w:szCs w:val="28"/>
          <w:lang w:val="en-GB"/>
        </w:rPr>
        <w:t xml:space="preserve"> debtor has its COMI in Germany and an establishment in Bermuda, </w:t>
      </w:r>
      <w:r>
        <w:rPr>
          <w:rFonts w:ascii="Avenir Next" w:hAnsi="Avenir Next" w:cs="Arial"/>
          <w:sz w:val="22"/>
          <w:szCs w:val="28"/>
          <w:lang w:val="en-GB"/>
        </w:rPr>
        <w:t xml:space="preserve">and </w:t>
      </w:r>
      <w:r w:rsidRPr="001A40F2">
        <w:rPr>
          <w:rFonts w:ascii="Avenir Next" w:hAnsi="Avenir Next" w:cs="Arial"/>
          <w:sz w:val="22"/>
          <w:szCs w:val="28"/>
          <w:lang w:val="en-GB"/>
        </w:rPr>
        <w:t>both foreign main and foreign non</w:t>
      </w:r>
      <w:r>
        <w:rPr>
          <w:rFonts w:ascii="Avenir Next" w:hAnsi="Avenir Next" w:cs="Arial"/>
          <w:sz w:val="22"/>
          <w:szCs w:val="28"/>
          <w:lang w:val="en-GB"/>
        </w:rPr>
        <w:t>-</w:t>
      </w:r>
      <w:r w:rsidRPr="001A40F2">
        <w:rPr>
          <w:rFonts w:ascii="Avenir Next" w:hAnsi="Avenir Next" w:cs="Arial"/>
          <w:sz w:val="22"/>
          <w:szCs w:val="28"/>
          <w:lang w:val="en-GB"/>
        </w:rPr>
        <w:t>main proceedings as well as the recognition proceedings in the US have been opened. In this scenario, explain where the foreign proceedings must have been filed</w:t>
      </w:r>
      <w:r>
        <w:rPr>
          <w:rFonts w:ascii="Avenir Next" w:hAnsi="Avenir Next" w:cs="Arial"/>
          <w:sz w:val="22"/>
          <w:szCs w:val="28"/>
          <w:lang w:val="en-GB"/>
        </w:rPr>
        <w:t>,</w:t>
      </w:r>
      <w:r w:rsidRPr="001A40F2">
        <w:rPr>
          <w:rFonts w:ascii="Avenir Next" w:hAnsi="Avenir Next" w:cs="Arial"/>
          <w:sz w:val="22"/>
          <w:szCs w:val="28"/>
          <w:lang w:val="en-GB"/>
        </w:rPr>
        <w:t xml:space="preserve"> and the likely result.</w:t>
      </w:r>
    </w:p>
    <w:p w14:paraId="318A14AF" w14:textId="77777777" w:rsidR="00C550C8" w:rsidRPr="00E2622D" w:rsidRDefault="00C550C8" w:rsidP="00707FC8">
      <w:pPr>
        <w:jc w:val="both"/>
        <w:rPr>
          <w:rFonts w:ascii="Avenir Next" w:hAnsi="Avenir Next" w:cs="Arial"/>
          <w:sz w:val="22"/>
          <w:szCs w:val="22"/>
          <w:lang w:val="en-GB"/>
        </w:rPr>
      </w:pPr>
    </w:p>
    <w:p w14:paraId="5C37B695" w14:textId="77777777" w:rsidR="000E2C46" w:rsidRDefault="004D5CDD" w:rsidP="001E53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circumstances where a</w:t>
      </w:r>
      <w:r w:rsidRPr="004D5CDD">
        <w:rPr>
          <w:rFonts w:ascii="Avenir Next" w:hAnsi="Avenir Next" w:cs="Arial"/>
          <w:color w:val="808080" w:themeColor="background1" w:themeShade="80"/>
          <w:sz w:val="22"/>
          <w:szCs w:val="22"/>
          <w:lang w:val="en-GB"/>
        </w:rPr>
        <w:t xml:space="preserve"> debtor has its COMI in Germany and an establishment in Bermuda, and both foreign main and foreign non-main proceedings as well as the recognition proceedings in the US have been opened</w:t>
      </w:r>
      <w:r w:rsidR="00415655">
        <w:rPr>
          <w:rFonts w:ascii="Avenir Next" w:hAnsi="Avenir Next" w:cs="Arial"/>
          <w:color w:val="808080" w:themeColor="background1" w:themeShade="80"/>
          <w:sz w:val="22"/>
          <w:szCs w:val="22"/>
          <w:lang w:val="en-GB"/>
        </w:rPr>
        <w:t>, the foreign main proceedings would have been filed in Germany</w:t>
      </w:r>
      <w:r>
        <w:rPr>
          <w:rFonts w:ascii="Avenir Next" w:hAnsi="Avenir Next" w:cs="Arial"/>
          <w:color w:val="808080" w:themeColor="background1" w:themeShade="80"/>
          <w:sz w:val="22"/>
          <w:szCs w:val="22"/>
          <w:lang w:val="en-GB"/>
        </w:rPr>
        <w:t>. Guidance as to why this is the case can be drawn from the definitions of the MLCBI. In particular, u</w:t>
      </w:r>
      <w:r w:rsidR="00415655">
        <w:rPr>
          <w:rFonts w:ascii="Avenir Next" w:hAnsi="Avenir Next" w:cs="Arial"/>
          <w:color w:val="808080" w:themeColor="background1" w:themeShade="80"/>
          <w:sz w:val="22"/>
          <w:szCs w:val="22"/>
          <w:lang w:val="en-GB"/>
        </w:rPr>
        <w:t xml:space="preserve">nder Article 2 of the </w:t>
      </w:r>
      <w:r w:rsidR="00415655" w:rsidRPr="00CF433F">
        <w:rPr>
          <w:rFonts w:ascii="Avenir Next" w:hAnsi="Avenir Next" w:cs="Arial"/>
          <w:color w:val="808080" w:themeColor="background1" w:themeShade="80"/>
          <w:sz w:val="22"/>
          <w:szCs w:val="22"/>
          <w:lang w:val="en-GB"/>
        </w:rPr>
        <w:t>MLCBI</w:t>
      </w:r>
      <w:r w:rsidR="00415655">
        <w:rPr>
          <w:rFonts w:ascii="Avenir Next" w:hAnsi="Avenir Next" w:cs="Arial"/>
          <w:color w:val="808080" w:themeColor="background1" w:themeShade="80"/>
          <w:sz w:val="22"/>
          <w:szCs w:val="22"/>
          <w:lang w:val="en-GB"/>
        </w:rPr>
        <w:t xml:space="preserve">, "Foreign main proceeding" is defined as </w:t>
      </w:r>
      <w:r w:rsidR="00415655" w:rsidRPr="00415655">
        <w:rPr>
          <w:rFonts w:ascii="Avenir Next" w:hAnsi="Avenir Next" w:cs="Arial"/>
          <w:i/>
          <w:iCs/>
          <w:color w:val="808080" w:themeColor="background1" w:themeShade="80"/>
          <w:sz w:val="22"/>
          <w:szCs w:val="22"/>
          <w:lang w:val="en-GB"/>
        </w:rPr>
        <w:t>"a foreign proceeding taking place in the State where the debtor has the centre of its main interests"</w:t>
      </w:r>
      <w:r w:rsidR="00415655" w:rsidRPr="00415655">
        <w:rPr>
          <w:rStyle w:val="FootnoteReference"/>
          <w:rFonts w:ascii="Avenir Next" w:hAnsi="Avenir Next" w:cs="Arial"/>
          <w:color w:val="808080" w:themeColor="background1" w:themeShade="80"/>
          <w:sz w:val="22"/>
          <w:szCs w:val="22"/>
          <w:lang w:val="en-GB"/>
        </w:rPr>
        <w:footnoteReference w:id="12"/>
      </w:r>
      <w:r w:rsidR="00415655" w:rsidRPr="00415655">
        <w:rPr>
          <w:rFonts w:ascii="Avenir Next" w:hAnsi="Avenir Next" w:cs="Arial"/>
          <w:i/>
          <w:iCs/>
          <w:color w:val="808080" w:themeColor="background1" w:themeShade="80"/>
          <w:sz w:val="22"/>
          <w:szCs w:val="22"/>
          <w:lang w:val="en-GB"/>
        </w:rPr>
        <w:t xml:space="preserve"> and </w:t>
      </w:r>
      <w:r w:rsidR="00415655" w:rsidRPr="00415655">
        <w:rPr>
          <w:rFonts w:ascii="Avenir Next" w:hAnsi="Avenir Next" w:cs="Arial"/>
          <w:color w:val="808080" w:themeColor="background1" w:themeShade="80"/>
          <w:sz w:val="22"/>
          <w:szCs w:val="22"/>
          <w:lang w:val="en-GB"/>
        </w:rPr>
        <w:t xml:space="preserve">“Foreign non-main proceeding” </w:t>
      </w:r>
      <w:r w:rsidR="00415655">
        <w:rPr>
          <w:rFonts w:ascii="Avenir Next" w:hAnsi="Avenir Next" w:cs="Arial"/>
          <w:color w:val="808080" w:themeColor="background1" w:themeShade="80"/>
          <w:sz w:val="22"/>
          <w:szCs w:val="22"/>
          <w:lang w:val="en-GB"/>
        </w:rPr>
        <w:t>is defined as</w:t>
      </w:r>
      <w:r w:rsidR="00415655" w:rsidRPr="00415655">
        <w:rPr>
          <w:rFonts w:ascii="Avenir Next" w:hAnsi="Avenir Next" w:cs="Arial"/>
          <w:color w:val="808080" w:themeColor="background1" w:themeShade="80"/>
          <w:sz w:val="22"/>
          <w:szCs w:val="22"/>
          <w:lang w:val="en-GB"/>
        </w:rPr>
        <w:t xml:space="preserve"> </w:t>
      </w:r>
      <w:r w:rsidR="00415655">
        <w:rPr>
          <w:rFonts w:ascii="Avenir Next" w:hAnsi="Avenir Next" w:cs="Arial"/>
          <w:i/>
          <w:iCs/>
          <w:color w:val="808080" w:themeColor="background1" w:themeShade="80"/>
          <w:sz w:val="22"/>
          <w:szCs w:val="22"/>
          <w:lang w:val="en-GB"/>
        </w:rPr>
        <w:t>"</w:t>
      </w:r>
      <w:r w:rsidR="00415655" w:rsidRPr="00415655">
        <w:rPr>
          <w:rFonts w:ascii="Avenir Next" w:hAnsi="Avenir Next" w:cs="Arial"/>
          <w:i/>
          <w:iCs/>
          <w:color w:val="808080" w:themeColor="background1" w:themeShade="80"/>
          <w:sz w:val="22"/>
          <w:szCs w:val="22"/>
          <w:lang w:val="en-GB"/>
        </w:rPr>
        <w:t>a foreign proceeding, other than a foreign main proceeding, taking place in a State where the debtor has an establishment within the meaning of subparagraph (f) of this article</w:t>
      </w:r>
      <w:r w:rsidR="00415655">
        <w:rPr>
          <w:rFonts w:ascii="Avenir Next" w:hAnsi="Avenir Next" w:cs="Arial"/>
          <w:i/>
          <w:iCs/>
          <w:color w:val="808080" w:themeColor="background1" w:themeShade="80"/>
          <w:sz w:val="22"/>
          <w:szCs w:val="22"/>
          <w:lang w:val="en-GB"/>
        </w:rPr>
        <w:t>"</w:t>
      </w:r>
      <w:r w:rsidR="00415655">
        <w:rPr>
          <w:rFonts w:ascii="Avenir Next" w:hAnsi="Avenir Next" w:cs="Arial"/>
          <w:color w:val="808080" w:themeColor="background1" w:themeShade="80"/>
          <w:sz w:val="22"/>
          <w:szCs w:val="22"/>
          <w:lang w:val="en-GB"/>
        </w:rPr>
        <w:t>.</w:t>
      </w:r>
      <w:r w:rsidR="00415655">
        <w:rPr>
          <w:rStyle w:val="FootnoteReference"/>
          <w:rFonts w:ascii="Avenir Next" w:hAnsi="Avenir Next" w:cs="Arial"/>
          <w:color w:val="808080" w:themeColor="background1" w:themeShade="80"/>
          <w:sz w:val="22"/>
          <w:szCs w:val="22"/>
          <w:lang w:val="en-GB"/>
        </w:rPr>
        <w:footnoteReference w:id="13"/>
      </w:r>
      <w:r w:rsidR="00415655">
        <w:rPr>
          <w:rFonts w:ascii="Avenir Next" w:hAnsi="Avenir Next" w:cs="Arial"/>
          <w:color w:val="808080" w:themeColor="background1" w:themeShade="80"/>
          <w:sz w:val="22"/>
          <w:szCs w:val="22"/>
          <w:lang w:val="en-GB"/>
        </w:rPr>
        <w:t xml:space="preserve"> </w:t>
      </w:r>
    </w:p>
    <w:p w14:paraId="0327D63E" w14:textId="77777777" w:rsidR="000E2C46" w:rsidRDefault="000E2C46" w:rsidP="001E53F0">
      <w:pPr>
        <w:jc w:val="both"/>
        <w:rPr>
          <w:rFonts w:ascii="Avenir Next" w:hAnsi="Avenir Next" w:cs="Arial"/>
          <w:color w:val="808080" w:themeColor="background1" w:themeShade="80"/>
          <w:sz w:val="22"/>
          <w:szCs w:val="22"/>
          <w:lang w:val="en-GB"/>
        </w:rPr>
      </w:pPr>
    </w:p>
    <w:p w14:paraId="4E18F7F9" w14:textId="60644E97" w:rsidR="00415655" w:rsidRDefault="00415655" w:rsidP="001E53F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"Centre of main interest" is not defined in the MLCBI, however</w:t>
      </w:r>
      <w:r w:rsidR="001E53F0">
        <w:rPr>
          <w:rFonts w:ascii="Avenir Next" w:hAnsi="Avenir Next" w:cs="Arial"/>
          <w:color w:val="808080" w:themeColor="background1" w:themeShade="80"/>
          <w:sz w:val="22"/>
          <w:szCs w:val="22"/>
          <w:lang w:val="en-GB"/>
        </w:rPr>
        <w:t xml:space="preserve">, some guidance is provided in the Guide to Enactment which provides that </w:t>
      </w:r>
      <w:r w:rsidR="001E53F0" w:rsidRPr="001E53F0">
        <w:rPr>
          <w:rFonts w:ascii="Avenir Next" w:hAnsi="Avenir Next" w:cs="Arial"/>
          <w:color w:val="808080" w:themeColor="background1" w:themeShade="80"/>
          <w:sz w:val="22"/>
          <w:szCs w:val="22"/>
          <w:lang w:val="en-GB"/>
        </w:rPr>
        <w:t>the two key factors for determining COMI are</w:t>
      </w:r>
      <w:r w:rsidR="001E53F0">
        <w:rPr>
          <w:rFonts w:ascii="Avenir Next" w:hAnsi="Avenir Next" w:cs="Arial"/>
          <w:color w:val="808080" w:themeColor="background1" w:themeShade="80"/>
          <w:sz w:val="22"/>
          <w:szCs w:val="22"/>
          <w:lang w:val="en-GB"/>
        </w:rPr>
        <w:t xml:space="preserve"> (a) </w:t>
      </w:r>
      <w:r w:rsidR="001E53F0" w:rsidRPr="001E53F0">
        <w:rPr>
          <w:rFonts w:ascii="Avenir Next" w:hAnsi="Avenir Next" w:cs="Arial"/>
          <w:color w:val="808080" w:themeColor="background1" w:themeShade="80"/>
          <w:sz w:val="22"/>
          <w:szCs w:val="22"/>
          <w:lang w:val="en-GB"/>
        </w:rPr>
        <w:t>the location where the central administration of the debtor takes place; and</w:t>
      </w:r>
      <w:r w:rsidR="001E53F0">
        <w:rPr>
          <w:rFonts w:ascii="Avenir Next" w:hAnsi="Avenir Next" w:cs="Arial"/>
          <w:color w:val="808080" w:themeColor="background1" w:themeShade="80"/>
          <w:sz w:val="22"/>
          <w:szCs w:val="22"/>
          <w:lang w:val="en-GB"/>
        </w:rPr>
        <w:t xml:space="preserve"> (b) </w:t>
      </w:r>
      <w:r w:rsidR="001E53F0" w:rsidRPr="001E53F0">
        <w:rPr>
          <w:rFonts w:ascii="Avenir Next" w:hAnsi="Avenir Next" w:cs="Arial"/>
          <w:color w:val="808080" w:themeColor="background1" w:themeShade="80"/>
          <w:sz w:val="22"/>
          <w:szCs w:val="22"/>
          <w:lang w:val="en-GB"/>
        </w:rPr>
        <w:t>which is readily ascertainable as such by creditors of the debtor.</w:t>
      </w:r>
      <w:r w:rsidR="001E53F0">
        <w:rPr>
          <w:rStyle w:val="FootnoteReference"/>
          <w:rFonts w:ascii="Avenir Next" w:hAnsi="Avenir Next" w:cs="Arial"/>
          <w:color w:val="808080" w:themeColor="background1" w:themeShade="80"/>
          <w:sz w:val="22"/>
          <w:szCs w:val="22"/>
          <w:lang w:val="en-GB"/>
        </w:rPr>
        <w:footnoteReference w:id="14"/>
      </w:r>
      <w:r>
        <w:rPr>
          <w:rFonts w:ascii="Avenir Next" w:hAnsi="Avenir Next" w:cs="Arial"/>
          <w:color w:val="808080" w:themeColor="background1" w:themeShade="80"/>
          <w:sz w:val="22"/>
          <w:szCs w:val="22"/>
          <w:lang w:val="en-GB"/>
        </w:rPr>
        <w:t xml:space="preserve"> "Establishment" </w:t>
      </w:r>
      <w:r w:rsidRPr="00415655">
        <w:rPr>
          <w:rFonts w:ascii="Avenir Next" w:hAnsi="Avenir Next" w:cs="Arial"/>
          <w:color w:val="808080" w:themeColor="background1" w:themeShade="80"/>
          <w:sz w:val="22"/>
          <w:szCs w:val="22"/>
          <w:lang w:val="en-GB"/>
        </w:rPr>
        <w:t xml:space="preserve">means </w:t>
      </w:r>
      <w:r w:rsidRPr="00415655">
        <w:rPr>
          <w:rFonts w:ascii="Avenir Next" w:hAnsi="Avenir Next" w:cs="Arial"/>
          <w:i/>
          <w:iCs/>
          <w:color w:val="808080" w:themeColor="background1" w:themeShade="80"/>
          <w:sz w:val="22"/>
          <w:szCs w:val="22"/>
          <w:lang w:val="en-GB"/>
        </w:rPr>
        <w:t xml:space="preserve">"any place of operations where the debtor </w:t>
      </w:r>
      <w:r w:rsidRPr="00415655">
        <w:rPr>
          <w:rFonts w:ascii="Avenir Next" w:hAnsi="Avenir Next" w:cs="Arial"/>
          <w:i/>
          <w:iCs/>
          <w:color w:val="808080" w:themeColor="background1" w:themeShade="80"/>
          <w:sz w:val="22"/>
          <w:szCs w:val="22"/>
          <w:lang w:val="en-GB"/>
        </w:rPr>
        <w:lastRenderedPageBreak/>
        <w:t>carries out a non-transitory economic activity with human means and goods or services"</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5"/>
      </w:r>
      <w:r>
        <w:rPr>
          <w:rFonts w:ascii="Avenir Next" w:hAnsi="Avenir Next" w:cs="Arial"/>
          <w:color w:val="808080" w:themeColor="background1" w:themeShade="80"/>
          <w:sz w:val="22"/>
          <w:szCs w:val="22"/>
          <w:lang w:val="en-GB"/>
        </w:rPr>
        <w:t xml:space="preserve"> </w:t>
      </w:r>
      <w:r w:rsidR="00407A9B">
        <w:rPr>
          <w:rFonts w:ascii="Avenir Next" w:hAnsi="Avenir Next" w:cs="Arial"/>
          <w:color w:val="808080" w:themeColor="background1" w:themeShade="80"/>
          <w:sz w:val="22"/>
          <w:szCs w:val="22"/>
          <w:lang w:val="en-GB"/>
        </w:rPr>
        <w:t>A range of additional factors can also be weighed up by the Court, including the:</w:t>
      </w:r>
    </w:p>
    <w:p w14:paraId="5BAD5F2F"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of the debtor’s books and records;</w:t>
      </w:r>
    </w:p>
    <w:p w14:paraId="4B25F819"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where financing was organised or authorised;</w:t>
      </w:r>
    </w:p>
    <w:p w14:paraId="3BCAB33B"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from where the cash management system was run;</w:t>
      </w:r>
    </w:p>
    <w:p w14:paraId="30C53D20"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in which the debtor’s principal assets or operations are found;</w:t>
      </w:r>
    </w:p>
    <w:p w14:paraId="3E3E03C8"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of the debtor’s primary bank;</w:t>
      </w:r>
    </w:p>
    <w:p w14:paraId="603EB01B"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of employees</w:t>
      </w:r>
      <w:r>
        <w:rPr>
          <w:rFonts w:ascii="Avenir Next" w:hAnsi="Avenir Next" w:cs="Arial"/>
          <w:color w:val="808080" w:themeColor="background1" w:themeShade="80"/>
          <w:sz w:val="22"/>
          <w:szCs w:val="22"/>
          <w:lang w:val="en-GB"/>
        </w:rPr>
        <w:t>;</w:t>
      </w:r>
    </w:p>
    <w:p w14:paraId="06C9C6E1"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in which commercial policy was determined;</w:t>
      </w:r>
    </w:p>
    <w:p w14:paraId="35A58908"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site of the controlling law or the law governing the main contracts of the debtor;</w:t>
      </w:r>
    </w:p>
    <w:p w14:paraId="77012434"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from which purchasing and sales policy, staff, accounts payable and computer</w:t>
      </w:r>
      <w:r>
        <w:rPr>
          <w:rFonts w:ascii="Avenir Next" w:hAnsi="Avenir Next" w:cs="Arial"/>
          <w:color w:val="808080" w:themeColor="background1" w:themeShade="80"/>
          <w:sz w:val="22"/>
          <w:szCs w:val="22"/>
          <w:lang w:val="en-GB"/>
        </w:rPr>
        <w:t xml:space="preserve"> </w:t>
      </w:r>
      <w:r w:rsidRPr="00407A9B">
        <w:rPr>
          <w:rFonts w:ascii="Avenir Next" w:hAnsi="Avenir Next" w:cs="Arial"/>
          <w:color w:val="808080" w:themeColor="background1" w:themeShade="80"/>
          <w:sz w:val="22"/>
          <w:szCs w:val="22"/>
          <w:lang w:val="en-GB"/>
        </w:rPr>
        <w:t>systems are managed;</w:t>
      </w:r>
    </w:p>
    <w:p w14:paraId="6AA67C83"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from which contracts (for supply) were organised;</w:t>
      </w:r>
    </w:p>
    <w:p w14:paraId="3C161A60"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from which reorganisation of the debtor was being conducted;</w:t>
      </w:r>
    </w:p>
    <w:p w14:paraId="534CDD70"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jurisdiction whose law would apply to most disputes;</w:t>
      </w:r>
    </w:p>
    <w:p w14:paraId="0BD68943" w14:textId="77777777" w:rsid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in which the debtor was subject to supervision or regulation; and</w:t>
      </w:r>
    </w:p>
    <w:p w14:paraId="42AFE60A" w14:textId="220E4845" w:rsidR="00407A9B" w:rsidRPr="00407A9B" w:rsidRDefault="00407A9B" w:rsidP="00200DFB">
      <w:pPr>
        <w:pStyle w:val="ListParagraph"/>
        <w:numPr>
          <w:ilvl w:val="0"/>
          <w:numId w:val="19"/>
        </w:numPr>
        <w:jc w:val="both"/>
        <w:rPr>
          <w:rFonts w:ascii="Avenir Next" w:hAnsi="Avenir Next" w:cs="Arial"/>
          <w:color w:val="808080" w:themeColor="background1" w:themeShade="80"/>
          <w:sz w:val="22"/>
          <w:szCs w:val="22"/>
          <w:lang w:val="en-GB"/>
        </w:rPr>
      </w:pPr>
      <w:r w:rsidRPr="00407A9B">
        <w:rPr>
          <w:rFonts w:ascii="Avenir Next" w:hAnsi="Avenir Next" w:cs="Arial"/>
          <w:color w:val="808080" w:themeColor="background1" w:themeShade="80"/>
          <w:sz w:val="22"/>
          <w:szCs w:val="22"/>
          <w:lang w:val="en-GB"/>
        </w:rPr>
        <w:t>location whose law governed the preparation and audit of accounts and in which they</w:t>
      </w:r>
      <w:r>
        <w:rPr>
          <w:rFonts w:ascii="Avenir Next" w:hAnsi="Avenir Next" w:cs="Arial"/>
          <w:color w:val="808080" w:themeColor="background1" w:themeShade="80"/>
          <w:sz w:val="22"/>
          <w:szCs w:val="22"/>
          <w:lang w:val="en-GB"/>
        </w:rPr>
        <w:t xml:space="preserve"> </w:t>
      </w:r>
      <w:r w:rsidRPr="00407A9B">
        <w:rPr>
          <w:rFonts w:ascii="Avenir Next" w:hAnsi="Avenir Next" w:cs="Arial"/>
          <w:color w:val="808080" w:themeColor="background1" w:themeShade="80"/>
          <w:sz w:val="22"/>
          <w:szCs w:val="22"/>
          <w:lang w:val="en-GB"/>
        </w:rPr>
        <w:t>were prepared and audited</w:t>
      </w:r>
      <w:r>
        <w:rPr>
          <w:rFonts w:ascii="Avenir Next" w:hAnsi="Avenir Next" w:cs="Arial"/>
          <w:color w:val="808080" w:themeColor="background1" w:themeShade="80"/>
          <w:sz w:val="22"/>
          <w:szCs w:val="22"/>
          <w:lang w:val="en-GB"/>
        </w:rPr>
        <w:t>.</w:t>
      </w:r>
      <w:r>
        <w:rPr>
          <w:rStyle w:val="FootnoteReference"/>
          <w:rFonts w:ascii="Avenir Next" w:hAnsi="Avenir Next" w:cs="Arial"/>
          <w:color w:val="808080" w:themeColor="background1" w:themeShade="80"/>
          <w:sz w:val="22"/>
          <w:szCs w:val="22"/>
          <w:lang w:val="en-GB"/>
        </w:rPr>
        <w:footnoteReference w:id="16"/>
      </w:r>
    </w:p>
    <w:p w14:paraId="779E8637" w14:textId="52035E28" w:rsidR="00415655" w:rsidRDefault="00415655" w:rsidP="00415655">
      <w:pPr>
        <w:jc w:val="both"/>
        <w:rPr>
          <w:rFonts w:ascii="Avenir Next" w:hAnsi="Avenir Next" w:cs="Arial"/>
          <w:color w:val="808080" w:themeColor="background1" w:themeShade="80"/>
          <w:sz w:val="22"/>
          <w:szCs w:val="22"/>
          <w:lang w:val="en-GB"/>
        </w:rPr>
      </w:pPr>
    </w:p>
    <w:p w14:paraId="524CC867" w14:textId="47474DEA" w:rsidR="00415655" w:rsidRDefault="004D5CDD" w:rsidP="004D5C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essence, where a foreign proceeding</w:t>
      </w:r>
      <w:r w:rsidR="00200DFB">
        <w:rPr>
          <w:rFonts w:ascii="Avenir Next" w:hAnsi="Avenir Next" w:cs="Arial"/>
          <w:color w:val="808080" w:themeColor="background1" w:themeShade="80"/>
          <w:sz w:val="22"/>
          <w:szCs w:val="22"/>
          <w:lang w:val="en-GB"/>
        </w:rPr>
        <w:t xml:space="preserve"> is</w:t>
      </w:r>
      <w:r>
        <w:rPr>
          <w:rFonts w:ascii="Avenir Next" w:hAnsi="Avenir Next" w:cs="Arial"/>
          <w:color w:val="808080" w:themeColor="background1" w:themeShade="80"/>
          <w:sz w:val="22"/>
          <w:szCs w:val="22"/>
          <w:lang w:val="en-GB"/>
        </w:rPr>
        <w:t xml:space="preserve"> opened in the jurisdiction where the debtor has its COMI</w:t>
      </w:r>
      <w:r w:rsidR="00200DFB">
        <w:rPr>
          <w:rFonts w:ascii="Avenir Next" w:hAnsi="Avenir Next" w:cs="Arial"/>
          <w:color w:val="808080" w:themeColor="background1" w:themeShade="80"/>
          <w:sz w:val="22"/>
          <w:szCs w:val="22"/>
          <w:lang w:val="en-GB"/>
        </w:rPr>
        <w:t xml:space="preserve"> (in this case Germany)</w:t>
      </w:r>
      <w:r>
        <w:rPr>
          <w:rFonts w:ascii="Avenir Next" w:hAnsi="Avenir Next" w:cs="Arial"/>
          <w:color w:val="808080" w:themeColor="background1" w:themeShade="80"/>
          <w:sz w:val="22"/>
          <w:szCs w:val="22"/>
          <w:lang w:val="en-GB"/>
        </w:rPr>
        <w:t xml:space="preserve">, </w:t>
      </w:r>
      <w:r w:rsidRPr="003F4578">
        <w:rPr>
          <w:rFonts w:ascii="Avenir Next" w:hAnsi="Avenir Next" w:cs="Arial"/>
          <w:color w:val="808080" w:themeColor="background1" w:themeShade="80"/>
          <w:sz w:val="22"/>
          <w:szCs w:val="22"/>
          <w:lang w:val="en-GB"/>
        </w:rPr>
        <w:t xml:space="preserve">the proceedings are </w:t>
      </w:r>
      <w:r>
        <w:rPr>
          <w:rFonts w:ascii="Avenir Next" w:hAnsi="Avenir Next" w:cs="Arial"/>
          <w:color w:val="808080" w:themeColor="background1" w:themeShade="80"/>
          <w:sz w:val="22"/>
          <w:szCs w:val="22"/>
          <w:lang w:val="en-GB"/>
        </w:rPr>
        <w:t xml:space="preserve">the </w:t>
      </w:r>
      <w:r w:rsidRPr="003F4578">
        <w:rPr>
          <w:rFonts w:ascii="Avenir Next" w:hAnsi="Avenir Next" w:cs="Arial"/>
          <w:color w:val="808080" w:themeColor="background1" w:themeShade="80"/>
          <w:sz w:val="22"/>
          <w:szCs w:val="22"/>
          <w:lang w:val="en-GB"/>
        </w:rPr>
        <w:t>main insolvency proceedings</w:t>
      </w:r>
      <w:r>
        <w:rPr>
          <w:rFonts w:ascii="Avenir Next" w:hAnsi="Avenir Next" w:cs="Arial"/>
          <w:color w:val="808080" w:themeColor="background1" w:themeShade="80"/>
          <w:sz w:val="22"/>
          <w:szCs w:val="22"/>
          <w:lang w:val="en-GB"/>
        </w:rPr>
        <w:t xml:space="preserve"> for the purpose of the MLCBI and the</w:t>
      </w:r>
      <w:r w:rsidRPr="003F4578">
        <w:rPr>
          <w:rFonts w:ascii="Avenir Next" w:hAnsi="Avenir Next" w:cs="Arial"/>
          <w:color w:val="808080" w:themeColor="background1" w:themeShade="80"/>
          <w:sz w:val="22"/>
          <w:szCs w:val="22"/>
          <w:lang w:val="en-GB"/>
        </w:rPr>
        <w:t xml:space="preserve"> with automatic mandatory relief</w:t>
      </w:r>
      <w:r>
        <w:rPr>
          <w:rFonts w:ascii="Avenir Next" w:hAnsi="Avenir Next" w:cs="Arial"/>
          <w:color w:val="808080" w:themeColor="background1" w:themeShade="80"/>
          <w:sz w:val="22"/>
          <w:szCs w:val="22"/>
          <w:lang w:val="en-GB"/>
        </w:rPr>
        <w:t xml:space="preserve"> will apply. </w:t>
      </w:r>
    </w:p>
    <w:p w14:paraId="36EF0477" w14:textId="77777777" w:rsidR="00200DFB" w:rsidRDefault="00200DFB" w:rsidP="004D5CDD">
      <w:pPr>
        <w:jc w:val="both"/>
        <w:rPr>
          <w:rFonts w:ascii="Avenir Next" w:hAnsi="Avenir Next" w:cs="Arial"/>
          <w:color w:val="808080" w:themeColor="background1" w:themeShade="80"/>
          <w:sz w:val="22"/>
          <w:szCs w:val="22"/>
          <w:lang w:val="en-GB"/>
        </w:rPr>
      </w:pPr>
    </w:p>
    <w:p w14:paraId="0822C90A" w14:textId="13F87B00" w:rsidR="00200DFB" w:rsidRDefault="00200DFB" w:rsidP="004D5C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Two further reasons which demonstrate that the foreign </w:t>
      </w:r>
      <w:r w:rsidR="00793A11">
        <w:rPr>
          <w:rFonts w:ascii="Avenir Next" w:hAnsi="Avenir Next" w:cs="Arial"/>
          <w:color w:val="808080" w:themeColor="background1" w:themeShade="80"/>
          <w:sz w:val="22"/>
          <w:szCs w:val="22"/>
          <w:lang w:val="en-GB"/>
        </w:rPr>
        <w:t>main proceedings</w:t>
      </w:r>
      <w:r>
        <w:rPr>
          <w:rFonts w:ascii="Avenir Next" w:hAnsi="Avenir Next" w:cs="Arial"/>
          <w:color w:val="808080" w:themeColor="background1" w:themeShade="80"/>
          <w:sz w:val="22"/>
          <w:szCs w:val="22"/>
          <w:lang w:val="en-GB"/>
        </w:rPr>
        <w:t xml:space="preserve"> are in Germany based on the above scenario are</w:t>
      </w:r>
      <w:r w:rsidR="00793A11">
        <w:rPr>
          <w:rFonts w:ascii="Avenir Next" w:hAnsi="Avenir Next" w:cs="Arial"/>
          <w:color w:val="808080" w:themeColor="background1" w:themeShade="80"/>
          <w:sz w:val="22"/>
          <w:szCs w:val="22"/>
          <w:lang w:val="en-GB"/>
        </w:rPr>
        <w:t xml:space="preserve"> that:</w:t>
      </w:r>
    </w:p>
    <w:p w14:paraId="1424347A" w14:textId="77777777" w:rsidR="00200DFB" w:rsidRDefault="00200DFB" w:rsidP="004D5CDD">
      <w:pPr>
        <w:jc w:val="both"/>
        <w:rPr>
          <w:rFonts w:ascii="Avenir Next" w:hAnsi="Avenir Next" w:cs="Arial"/>
          <w:color w:val="808080" w:themeColor="background1" w:themeShade="80"/>
          <w:sz w:val="22"/>
          <w:szCs w:val="22"/>
          <w:lang w:val="en-GB"/>
        </w:rPr>
      </w:pPr>
    </w:p>
    <w:p w14:paraId="3A45277C" w14:textId="77777777" w:rsidR="00793A11" w:rsidRDefault="00793A11" w:rsidP="00200DFB">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US proceedings are recognition proceedings which will seek recognition of the foreign main proceedings; and</w:t>
      </w:r>
    </w:p>
    <w:p w14:paraId="26930897" w14:textId="23C4EE62" w:rsidR="00200DFB" w:rsidRPr="00200DFB" w:rsidRDefault="00793A11" w:rsidP="00200DFB">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Bermudan proceedings could not be the main proceedings because the debtor only has an establishment </w:t>
      </w:r>
      <w:r w:rsidR="00EA4367">
        <w:rPr>
          <w:rFonts w:ascii="Avenir Next" w:hAnsi="Avenir Next" w:cs="Arial"/>
          <w:color w:val="808080" w:themeColor="background1" w:themeShade="80"/>
          <w:sz w:val="22"/>
          <w:szCs w:val="22"/>
          <w:lang w:val="en-GB"/>
        </w:rPr>
        <w:t xml:space="preserve">there which is secondary to COMI. </w:t>
      </w:r>
    </w:p>
    <w:p w14:paraId="138E8097" w14:textId="77777777" w:rsidR="00200DFB" w:rsidRDefault="00200DFB" w:rsidP="004D5CDD">
      <w:pPr>
        <w:jc w:val="both"/>
        <w:rPr>
          <w:rFonts w:ascii="Avenir Next" w:hAnsi="Avenir Next" w:cs="Arial"/>
          <w:color w:val="808080" w:themeColor="background1" w:themeShade="80"/>
          <w:sz w:val="22"/>
          <w:szCs w:val="22"/>
          <w:lang w:val="en-GB"/>
        </w:rPr>
      </w:pPr>
    </w:p>
    <w:p w14:paraId="42565D48" w14:textId="06456E33" w:rsidR="00E94694" w:rsidRDefault="00EA4367" w:rsidP="004D5C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likely result of the above scenario where the debtor's COMI in in the jurisdiction where the proceedings were opened is that the German proceedings will proceed as the foreign main proceedings and the automatic relief under Article 20 of the MLCBI will apply. </w:t>
      </w:r>
      <w:r w:rsidR="00C43D5D">
        <w:rPr>
          <w:rFonts w:ascii="Avenir Next" w:hAnsi="Avenir Next" w:cs="Arial"/>
          <w:color w:val="808080" w:themeColor="background1" w:themeShade="80"/>
          <w:sz w:val="22"/>
          <w:szCs w:val="22"/>
          <w:lang w:val="en-GB"/>
        </w:rPr>
        <w:t xml:space="preserve">This includes </w:t>
      </w:r>
      <w:r>
        <w:rPr>
          <w:rFonts w:ascii="Avenir Next" w:hAnsi="Avenir Next" w:cs="Arial"/>
          <w:color w:val="808080" w:themeColor="background1" w:themeShade="80"/>
          <w:sz w:val="22"/>
          <w:szCs w:val="22"/>
          <w:lang w:val="en-GB"/>
        </w:rPr>
        <w:t>(a) a stay on c</w:t>
      </w:r>
      <w:r w:rsidRPr="00FF1515">
        <w:rPr>
          <w:rFonts w:ascii="Avenir Next" w:hAnsi="Avenir Next" w:cs="Arial"/>
          <w:color w:val="808080" w:themeColor="background1" w:themeShade="80"/>
          <w:sz w:val="22"/>
          <w:szCs w:val="22"/>
          <w:lang w:val="en-GB"/>
        </w:rPr>
        <w:t>ommencement or continuation of individual actions or individual proceedings concerning the</w:t>
      </w:r>
      <w:r>
        <w:rPr>
          <w:rFonts w:ascii="Avenir Next" w:hAnsi="Avenir Next" w:cs="Arial"/>
          <w:color w:val="808080" w:themeColor="background1" w:themeShade="80"/>
          <w:sz w:val="22"/>
          <w:szCs w:val="22"/>
          <w:lang w:val="en-GB"/>
        </w:rPr>
        <w:t xml:space="preserve"> </w:t>
      </w:r>
      <w:r w:rsidRPr="00FF1515">
        <w:rPr>
          <w:rFonts w:ascii="Avenir Next" w:hAnsi="Avenir Next" w:cs="Arial"/>
          <w:color w:val="808080" w:themeColor="background1" w:themeShade="80"/>
          <w:sz w:val="22"/>
          <w:szCs w:val="22"/>
          <w:lang w:val="en-GB"/>
        </w:rPr>
        <w:t xml:space="preserve">debtor’s assets, rights, </w:t>
      </w:r>
      <w:proofErr w:type="gramStart"/>
      <w:r w:rsidRPr="00FF1515">
        <w:rPr>
          <w:rFonts w:ascii="Avenir Next" w:hAnsi="Avenir Next" w:cs="Arial"/>
          <w:color w:val="808080" w:themeColor="background1" w:themeShade="80"/>
          <w:sz w:val="22"/>
          <w:szCs w:val="22"/>
          <w:lang w:val="en-GB"/>
        </w:rPr>
        <w:t>obligations</w:t>
      </w:r>
      <w:proofErr w:type="gramEnd"/>
      <w:r w:rsidRPr="00FF1515">
        <w:rPr>
          <w:rFonts w:ascii="Avenir Next" w:hAnsi="Avenir Next" w:cs="Arial"/>
          <w:color w:val="808080" w:themeColor="background1" w:themeShade="80"/>
          <w:sz w:val="22"/>
          <w:szCs w:val="22"/>
          <w:lang w:val="en-GB"/>
        </w:rPr>
        <w:t xml:space="preserve"> or liabilities</w:t>
      </w:r>
      <w:r>
        <w:rPr>
          <w:rFonts w:ascii="Avenir Next" w:hAnsi="Avenir Next" w:cs="Arial"/>
          <w:color w:val="808080" w:themeColor="background1" w:themeShade="80"/>
          <w:sz w:val="22"/>
          <w:szCs w:val="22"/>
          <w:lang w:val="en-GB"/>
        </w:rPr>
        <w:t xml:space="preserve">; (b) a stay </w:t>
      </w:r>
      <w:proofErr w:type="spellStart"/>
      <w:r>
        <w:rPr>
          <w:rFonts w:ascii="Avenir Next" w:hAnsi="Avenir Next" w:cs="Arial"/>
          <w:color w:val="808080" w:themeColor="background1" w:themeShade="80"/>
          <w:sz w:val="22"/>
          <w:szCs w:val="22"/>
          <w:lang w:val="en-GB"/>
        </w:rPr>
        <w:t>on</w:t>
      </w:r>
      <w:proofErr w:type="spellEnd"/>
      <w:r>
        <w:rPr>
          <w:rFonts w:ascii="Avenir Next" w:hAnsi="Avenir Next" w:cs="Arial"/>
          <w:color w:val="808080" w:themeColor="background1" w:themeShade="80"/>
          <w:sz w:val="22"/>
          <w:szCs w:val="22"/>
          <w:lang w:val="en-GB"/>
        </w:rPr>
        <w:t xml:space="preserve"> e</w:t>
      </w:r>
      <w:r w:rsidRPr="00FF1515">
        <w:rPr>
          <w:rFonts w:ascii="Avenir Next" w:hAnsi="Avenir Next" w:cs="Arial"/>
          <w:color w:val="808080" w:themeColor="background1" w:themeShade="80"/>
          <w:sz w:val="22"/>
          <w:szCs w:val="22"/>
          <w:lang w:val="en-GB"/>
        </w:rPr>
        <w:t>xecution against the debtor’s; and</w:t>
      </w:r>
      <w:r>
        <w:rPr>
          <w:rFonts w:ascii="Avenir Next" w:hAnsi="Avenir Next" w:cs="Arial"/>
          <w:color w:val="808080" w:themeColor="background1" w:themeShade="80"/>
          <w:sz w:val="22"/>
          <w:szCs w:val="22"/>
          <w:lang w:val="en-GB"/>
        </w:rPr>
        <w:t xml:space="preserve"> </w:t>
      </w:r>
      <w:r w:rsidRPr="00FF1515">
        <w:rPr>
          <w:rFonts w:ascii="Avenir Next" w:hAnsi="Avenir Next" w:cs="Arial"/>
          <w:color w:val="808080" w:themeColor="background1" w:themeShade="80"/>
          <w:sz w:val="22"/>
          <w:szCs w:val="22"/>
          <w:lang w:val="en-GB"/>
        </w:rPr>
        <w:t xml:space="preserve">(c) </w:t>
      </w:r>
      <w:r>
        <w:rPr>
          <w:rFonts w:ascii="Avenir Next" w:hAnsi="Avenir Next" w:cs="Arial"/>
          <w:color w:val="808080" w:themeColor="background1" w:themeShade="80"/>
          <w:sz w:val="22"/>
          <w:szCs w:val="22"/>
          <w:lang w:val="en-GB"/>
        </w:rPr>
        <w:t xml:space="preserve">suspension of the </w:t>
      </w:r>
      <w:r w:rsidRPr="00FF1515">
        <w:rPr>
          <w:rFonts w:ascii="Avenir Next" w:hAnsi="Avenir Next" w:cs="Arial"/>
          <w:color w:val="808080" w:themeColor="background1" w:themeShade="80"/>
          <w:sz w:val="22"/>
          <w:szCs w:val="22"/>
          <w:lang w:val="en-GB"/>
        </w:rPr>
        <w:t>right to transfer, encumber or otherwise dispose of any assets of the debtor</w:t>
      </w:r>
      <w:r w:rsidR="00C43D5D">
        <w:rPr>
          <w:rFonts w:ascii="Avenir Next" w:hAnsi="Avenir Next" w:cs="Arial"/>
          <w:color w:val="808080" w:themeColor="background1" w:themeShade="80"/>
          <w:sz w:val="22"/>
          <w:szCs w:val="22"/>
          <w:lang w:val="en-GB"/>
        </w:rPr>
        <w:t>.</w:t>
      </w:r>
      <w:r w:rsidR="00C43D5D">
        <w:rPr>
          <w:rStyle w:val="FootnoteReference"/>
          <w:rFonts w:ascii="Avenir Next" w:hAnsi="Avenir Next" w:cs="Arial"/>
          <w:color w:val="808080" w:themeColor="background1" w:themeShade="80"/>
          <w:sz w:val="22"/>
          <w:szCs w:val="22"/>
          <w:lang w:val="en-GB"/>
        </w:rPr>
        <w:footnoteReference w:id="17"/>
      </w:r>
    </w:p>
    <w:p w14:paraId="314B5920" w14:textId="77777777" w:rsidR="000C06F0" w:rsidRDefault="000C06F0" w:rsidP="004D5CDD">
      <w:pPr>
        <w:jc w:val="both"/>
        <w:rPr>
          <w:rFonts w:ascii="Avenir Next" w:hAnsi="Avenir Next" w:cs="Arial"/>
          <w:color w:val="808080" w:themeColor="background1" w:themeShade="80"/>
          <w:sz w:val="22"/>
          <w:szCs w:val="22"/>
          <w:lang w:val="en-GB"/>
        </w:rPr>
      </w:pPr>
    </w:p>
    <w:p w14:paraId="35770257" w14:textId="58B597CD" w:rsidR="00E94694" w:rsidRDefault="000C06F0" w:rsidP="004D5C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there are concurrent foreign non</w:t>
      </w:r>
      <w:r w:rsidR="00884E3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main proceedings ongoing in Bermuda</w:t>
      </w:r>
      <w:r w:rsidR="00E94694">
        <w:rPr>
          <w:rFonts w:ascii="Avenir Next" w:hAnsi="Avenir Next" w:cs="Arial"/>
          <w:color w:val="808080" w:themeColor="background1" w:themeShade="80"/>
          <w:sz w:val="22"/>
          <w:szCs w:val="22"/>
          <w:lang w:val="en-GB"/>
        </w:rPr>
        <w:t xml:space="preserve">, primacy will be given to the foreign main proceedings in German pursuant to </w:t>
      </w:r>
      <w:r w:rsidR="00BF08A7">
        <w:rPr>
          <w:rFonts w:ascii="Avenir Next" w:hAnsi="Avenir Next" w:cs="Arial"/>
          <w:color w:val="808080" w:themeColor="background1" w:themeShade="80"/>
          <w:sz w:val="22"/>
          <w:szCs w:val="22"/>
          <w:lang w:val="en-GB"/>
        </w:rPr>
        <w:t>A</w:t>
      </w:r>
      <w:r w:rsidR="00E94694">
        <w:rPr>
          <w:rFonts w:ascii="Avenir Next" w:hAnsi="Avenir Next" w:cs="Arial"/>
          <w:color w:val="808080" w:themeColor="background1" w:themeShade="80"/>
          <w:sz w:val="22"/>
          <w:szCs w:val="22"/>
          <w:lang w:val="en-GB"/>
        </w:rPr>
        <w:t xml:space="preserve">rticle </w:t>
      </w:r>
      <w:r w:rsidR="00BF08A7">
        <w:rPr>
          <w:rFonts w:ascii="Avenir Next" w:hAnsi="Avenir Next" w:cs="Arial"/>
          <w:color w:val="808080" w:themeColor="background1" w:themeShade="80"/>
          <w:sz w:val="22"/>
          <w:szCs w:val="22"/>
          <w:lang w:val="en-GB"/>
        </w:rPr>
        <w:t xml:space="preserve">30 of the MLCBI.  The German Court shall seek </w:t>
      </w:r>
      <w:r w:rsidR="00BF08A7" w:rsidRPr="00BF08A7">
        <w:rPr>
          <w:rFonts w:ascii="Avenir Next" w:hAnsi="Avenir Next" w:cs="Arial"/>
          <w:color w:val="808080" w:themeColor="background1" w:themeShade="80"/>
          <w:sz w:val="22"/>
          <w:szCs w:val="22"/>
          <w:lang w:val="en-GB"/>
        </w:rPr>
        <w:t>co</w:t>
      </w:r>
      <w:r w:rsidR="00884E32">
        <w:rPr>
          <w:rFonts w:ascii="Avenir Next" w:hAnsi="Avenir Next" w:cs="Arial"/>
          <w:color w:val="808080" w:themeColor="background1" w:themeShade="80"/>
          <w:sz w:val="22"/>
          <w:szCs w:val="22"/>
          <w:lang w:val="en-GB"/>
        </w:rPr>
        <w:t>-</w:t>
      </w:r>
      <w:r w:rsidR="00BF08A7" w:rsidRPr="00BF08A7">
        <w:rPr>
          <w:rFonts w:ascii="Avenir Next" w:hAnsi="Avenir Next" w:cs="Arial"/>
          <w:color w:val="808080" w:themeColor="background1" w:themeShade="80"/>
          <w:sz w:val="22"/>
          <w:szCs w:val="22"/>
          <w:lang w:val="en-GB"/>
        </w:rPr>
        <w:t>operation and</w:t>
      </w:r>
      <w:r w:rsidR="00BF08A7">
        <w:rPr>
          <w:rFonts w:ascii="Avenir Next" w:hAnsi="Avenir Next" w:cs="Arial"/>
          <w:color w:val="808080" w:themeColor="background1" w:themeShade="80"/>
          <w:sz w:val="22"/>
          <w:szCs w:val="22"/>
          <w:lang w:val="en-GB"/>
        </w:rPr>
        <w:t xml:space="preserve"> </w:t>
      </w:r>
      <w:r w:rsidR="00BF08A7" w:rsidRPr="00BF08A7">
        <w:rPr>
          <w:rFonts w:ascii="Avenir Next" w:hAnsi="Avenir Next" w:cs="Arial"/>
          <w:color w:val="808080" w:themeColor="background1" w:themeShade="80"/>
          <w:sz w:val="22"/>
          <w:szCs w:val="22"/>
          <w:lang w:val="en-GB"/>
        </w:rPr>
        <w:t>co</w:t>
      </w:r>
      <w:r w:rsidR="00884E32">
        <w:rPr>
          <w:rFonts w:ascii="Avenir Next" w:hAnsi="Avenir Next" w:cs="Arial"/>
          <w:color w:val="808080" w:themeColor="background1" w:themeShade="80"/>
          <w:sz w:val="22"/>
          <w:szCs w:val="22"/>
          <w:lang w:val="en-GB"/>
        </w:rPr>
        <w:t>-</w:t>
      </w:r>
      <w:r w:rsidR="00BF08A7" w:rsidRPr="00BF08A7">
        <w:rPr>
          <w:rFonts w:ascii="Avenir Next" w:hAnsi="Avenir Next" w:cs="Arial"/>
          <w:color w:val="808080" w:themeColor="background1" w:themeShade="80"/>
          <w:sz w:val="22"/>
          <w:szCs w:val="22"/>
          <w:lang w:val="en-GB"/>
        </w:rPr>
        <w:t>ordination under articles 25, 26 and 27</w:t>
      </w:r>
      <w:r w:rsidR="00BF08A7">
        <w:rPr>
          <w:rFonts w:ascii="Avenir Next" w:hAnsi="Avenir Next" w:cs="Arial"/>
          <w:color w:val="808080" w:themeColor="background1" w:themeShade="80"/>
          <w:sz w:val="22"/>
          <w:szCs w:val="22"/>
          <w:lang w:val="en-GB"/>
        </w:rPr>
        <w:t xml:space="preserve"> and </w:t>
      </w:r>
      <w:r w:rsidR="00BF08A7" w:rsidRPr="00BF08A7">
        <w:rPr>
          <w:rFonts w:ascii="Avenir Next" w:hAnsi="Avenir Next" w:cs="Arial"/>
          <w:color w:val="808080" w:themeColor="background1" w:themeShade="80"/>
          <w:sz w:val="22"/>
          <w:szCs w:val="22"/>
          <w:lang w:val="en-GB"/>
        </w:rPr>
        <w:t>any relief granted thereafter under either Article 19 or Article 21 to a representative of the</w:t>
      </w:r>
      <w:r w:rsidR="00BF08A7">
        <w:rPr>
          <w:rFonts w:ascii="Avenir Next" w:hAnsi="Avenir Next" w:cs="Arial"/>
          <w:color w:val="808080" w:themeColor="background1" w:themeShade="80"/>
          <w:sz w:val="22"/>
          <w:szCs w:val="22"/>
          <w:lang w:val="en-GB"/>
        </w:rPr>
        <w:t xml:space="preserve"> Bermudan </w:t>
      </w:r>
      <w:r w:rsidR="00BF08A7" w:rsidRPr="00BF08A7">
        <w:rPr>
          <w:rFonts w:ascii="Avenir Next" w:hAnsi="Avenir Next" w:cs="Arial"/>
          <w:color w:val="808080" w:themeColor="background1" w:themeShade="80"/>
          <w:sz w:val="22"/>
          <w:szCs w:val="22"/>
          <w:lang w:val="en-GB"/>
        </w:rPr>
        <w:t xml:space="preserve">foreign non-main proceeding must be consistent with the </w:t>
      </w:r>
      <w:r w:rsidR="00BF08A7">
        <w:rPr>
          <w:rFonts w:ascii="Avenir Next" w:hAnsi="Avenir Next" w:cs="Arial"/>
          <w:color w:val="808080" w:themeColor="background1" w:themeShade="80"/>
          <w:sz w:val="22"/>
          <w:szCs w:val="22"/>
          <w:lang w:val="en-GB"/>
        </w:rPr>
        <w:t xml:space="preserve">German </w:t>
      </w:r>
      <w:r w:rsidR="00BF08A7" w:rsidRPr="00BF08A7">
        <w:rPr>
          <w:rFonts w:ascii="Avenir Next" w:hAnsi="Avenir Next" w:cs="Arial"/>
          <w:color w:val="808080" w:themeColor="background1" w:themeShade="80"/>
          <w:sz w:val="22"/>
          <w:szCs w:val="22"/>
          <w:lang w:val="en-GB"/>
        </w:rPr>
        <w:t>foreign main proceeding</w:t>
      </w:r>
      <w:r w:rsidR="00BF08A7">
        <w:rPr>
          <w:rFonts w:ascii="Avenir Next" w:hAnsi="Avenir Next" w:cs="Arial"/>
          <w:color w:val="808080" w:themeColor="background1" w:themeShade="80"/>
          <w:sz w:val="22"/>
          <w:szCs w:val="22"/>
          <w:lang w:val="en-GB"/>
        </w:rPr>
        <w:t xml:space="preserve"> </w:t>
      </w:r>
      <w:r w:rsidR="00BF08A7" w:rsidRPr="00BF08A7">
        <w:rPr>
          <w:rFonts w:ascii="Avenir Next" w:hAnsi="Avenir Next" w:cs="Arial"/>
          <w:color w:val="808080" w:themeColor="background1" w:themeShade="80"/>
          <w:sz w:val="22"/>
          <w:szCs w:val="22"/>
          <w:lang w:val="en-GB"/>
        </w:rPr>
        <w:t>(Article 30(</w:t>
      </w:r>
      <w:r w:rsidR="00BF08A7">
        <w:rPr>
          <w:rFonts w:ascii="Avenir Next" w:hAnsi="Avenir Next" w:cs="Arial"/>
          <w:color w:val="808080" w:themeColor="background1" w:themeShade="80"/>
          <w:sz w:val="22"/>
          <w:szCs w:val="22"/>
          <w:lang w:val="en-GB"/>
        </w:rPr>
        <w:t xml:space="preserve">a). If necessary, the relief will </w:t>
      </w:r>
      <w:r w:rsidR="00BF08A7" w:rsidRPr="00BF08A7">
        <w:rPr>
          <w:rFonts w:ascii="Avenir Next" w:hAnsi="Avenir Next" w:cs="Arial"/>
          <w:color w:val="808080" w:themeColor="background1" w:themeShade="80"/>
          <w:sz w:val="22"/>
          <w:szCs w:val="22"/>
          <w:lang w:val="en-GB"/>
        </w:rPr>
        <w:t>be reviewed and modified or terminated if inconsistent with the foreign main proceeding (Article 30(b))</w:t>
      </w:r>
      <w:r w:rsidR="00BF08A7">
        <w:rPr>
          <w:rFonts w:ascii="Avenir Next" w:hAnsi="Avenir Next" w:cs="Arial"/>
          <w:color w:val="808080" w:themeColor="background1" w:themeShade="80"/>
          <w:sz w:val="22"/>
          <w:szCs w:val="22"/>
          <w:lang w:val="en-GB"/>
        </w:rPr>
        <w:t xml:space="preserve">. </w:t>
      </w:r>
    </w:p>
    <w:p w14:paraId="36F0DF9F" w14:textId="77777777" w:rsidR="00E94694" w:rsidRDefault="00E94694" w:rsidP="004D5CDD">
      <w:pPr>
        <w:jc w:val="both"/>
        <w:rPr>
          <w:rFonts w:ascii="Avenir Next" w:hAnsi="Avenir Next" w:cs="Arial"/>
          <w:color w:val="808080" w:themeColor="background1" w:themeShade="80"/>
          <w:sz w:val="22"/>
          <w:szCs w:val="22"/>
          <w:lang w:val="en-GB"/>
        </w:rPr>
      </w:pPr>
    </w:p>
    <w:p w14:paraId="5841ADB4" w14:textId="107C6418" w:rsidR="00BF08A7" w:rsidRDefault="00BF08A7" w:rsidP="004D5C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With respect to the recognition proceedings in the US, </w:t>
      </w:r>
      <w:r w:rsidR="001313AA">
        <w:rPr>
          <w:rFonts w:ascii="Avenir Next" w:hAnsi="Avenir Next" w:cs="Arial"/>
          <w:color w:val="808080" w:themeColor="background1" w:themeShade="80"/>
          <w:sz w:val="22"/>
          <w:szCs w:val="22"/>
          <w:lang w:val="en-GB"/>
        </w:rPr>
        <w:t xml:space="preserve">the success of the application would likely depend on the existence of any assets and or establishment of the Debtor in the in the US. In view of </w:t>
      </w:r>
      <w:r w:rsidR="001313AA">
        <w:rPr>
          <w:rFonts w:ascii="Avenir Next" w:hAnsi="Avenir Next" w:cs="Arial"/>
          <w:color w:val="808080" w:themeColor="background1" w:themeShade="80"/>
          <w:sz w:val="22"/>
          <w:szCs w:val="22"/>
          <w:lang w:val="en-GB"/>
        </w:rPr>
        <w:lastRenderedPageBreak/>
        <w:t>the automatic relief in the German proceedings, the US representatives wouldn’t be able to</w:t>
      </w:r>
      <w:r w:rsidR="001313AA" w:rsidRPr="001313AA">
        <w:rPr>
          <w:rFonts w:ascii="Avenir Next" w:hAnsi="Avenir Next" w:cs="Arial"/>
          <w:color w:val="808080" w:themeColor="background1" w:themeShade="80"/>
          <w:sz w:val="22"/>
          <w:szCs w:val="22"/>
          <w:lang w:val="en-GB"/>
        </w:rPr>
        <w:t xml:space="preserve"> transfer, encumber or otherwise dispose of any assets of the debtor</w:t>
      </w:r>
      <w:r w:rsidR="001313AA">
        <w:rPr>
          <w:rFonts w:ascii="Avenir Next" w:hAnsi="Avenir Next" w:cs="Arial"/>
          <w:color w:val="808080" w:themeColor="background1" w:themeShade="80"/>
          <w:sz w:val="22"/>
          <w:szCs w:val="22"/>
          <w:lang w:val="en-GB"/>
        </w:rPr>
        <w:t xml:space="preserve">. </w:t>
      </w:r>
    </w:p>
    <w:p w14:paraId="5CD83E20" w14:textId="7B0B0040" w:rsidR="00EA6D31" w:rsidRPr="001313AA" w:rsidRDefault="00EA6D31" w:rsidP="009E05E1">
      <w:pPr>
        <w:jc w:val="both"/>
        <w:rPr>
          <w:rFonts w:ascii="Avenir Next" w:hAnsi="Avenir Next" w:cs="Arial"/>
          <w:color w:val="808080" w:themeColor="background1" w:themeShade="80"/>
          <w:sz w:val="22"/>
          <w:szCs w:val="22"/>
          <w:lang w:val="en-GB"/>
        </w:rPr>
      </w:pPr>
    </w:p>
    <w:p w14:paraId="14594D73" w14:textId="6889A389" w:rsidR="0067785F" w:rsidRPr="008C349F" w:rsidRDefault="0067785F" w:rsidP="0067785F">
      <w:pPr>
        <w:ind w:left="720" w:hanging="720"/>
        <w:jc w:val="both"/>
        <w:rPr>
          <w:rFonts w:ascii="Avenir Next Demi Bold" w:hAnsi="Avenir Next Demi Bold" w:cs="Arial"/>
          <w:b/>
          <w:bCs/>
          <w:sz w:val="22"/>
          <w:szCs w:val="22"/>
          <w:lang w:val="en-GB"/>
        </w:rPr>
      </w:pPr>
      <w:r w:rsidRPr="008C349F">
        <w:rPr>
          <w:rFonts w:ascii="Avenir Next Demi Bold" w:hAnsi="Avenir Next Demi Bold" w:cs="Arial"/>
          <w:b/>
          <w:bCs/>
          <w:sz w:val="22"/>
          <w:szCs w:val="22"/>
          <w:lang w:val="en-GB"/>
        </w:rPr>
        <w:t xml:space="preserve">Question 3.2 [maximum </w:t>
      </w:r>
      <w:r w:rsidR="00323940" w:rsidRPr="008C349F">
        <w:rPr>
          <w:rFonts w:ascii="Avenir Next Demi Bold" w:hAnsi="Avenir Next Demi Bold" w:cs="Arial"/>
          <w:b/>
          <w:bCs/>
          <w:sz w:val="22"/>
          <w:szCs w:val="22"/>
          <w:lang w:val="en-GB"/>
        </w:rPr>
        <w:t>3</w:t>
      </w:r>
      <w:r w:rsidRPr="008C349F">
        <w:rPr>
          <w:rFonts w:ascii="Avenir Next Demi Bold" w:hAnsi="Avenir Next Demi Bold" w:cs="Arial"/>
          <w:b/>
          <w:bCs/>
          <w:sz w:val="22"/>
          <w:szCs w:val="22"/>
          <w:lang w:val="en-GB"/>
        </w:rPr>
        <w:t xml:space="preserve"> marks]</w:t>
      </w:r>
    </w:p>
    <w:p w14:paraId="40FCECF9" w14:textId="77777777" w:rsidR="0067785F" w:rsidRPr="008C349F" w:rsidRDefault="0067785F" w:rsidP="0067785F">
      <w:pPr>
        <w:ind w:left="720" w:hanging="720"/>
        <w:jc w:val="both"/>
        <w:rPr>
          <w:rFonts w:ascii="Avenir Next" w:hAnsi="Avenir Next" w:cs="Arial"/>
          <w:sz w:val="22"/>
          <w:szCs w:val="22"/>
          <w:lang w:val="en-GB"/>
        </w:rPr>
      </w:pPr>
    </w:p>
    <w:p w14:paraId="67F9AB08" w14:textId="77777777" w:rsidR="001C0188" w:rsidRDefault="001C0188" w:rsidP="001C0188">
      <w:pPr>
        <w:jc w:val="both"/>
        <w:rPr>
          <w:rFonts w:ascii="Avenir Next" w:hAnsi="Avenir Next" w:cs="Arial"/>
          <w:sz w:val="22"/>
          <w:szCs w:val="28"/>
        </w:rPr>
      </w:pPr>
      <w:r w:rsidRPr="008C349F">
        <w:rPr>
          <w:rFonts w:ascii="Avenir Next" w:hAnsi="Avenir Next" w:cs="Arial"/>
          <w:sz w:val="22"/>
          <w:szCs w:val="28"/>
        </w:rPr>
        <w:t xml:space="preserve">Joint provisional liquidators commenced a recognition proceeding in the US and immediately were sued and served with discovery in connection with their alleged tortious interference with contract rights of the US-based vendors of the foreign debtor. Explain the likely outcome.  </w:t>
      </w:r>
    </w:p>
    <w:p w14:paraId="7A2B7A35" w14:textId="77777777" w:rsidR="008C349F" w:rsidRDefault="008C349F" w:rsidP="001C0188">
      <w:pPr>
        <w:jc w:val="both"/>
        <w:rPr>
          <w:rFonts w:ascii="Avenir Next" w:hAnsi="Avenir Next" w:cs="Arial"/>
          <w:sz w:val="22"/>
          <w:szCs w:val="28"/>
        </w:rPr>
      </w:pPr>
    </w:p>
    <w:p w14:paraId="7FD445B0" w14:textId="77777777" w:rsidR="00893E38" w:rsidRPr="00893E38" w:rsidRDefault="008C349F" w:rsidP="001C0188">
      <w:pPr>
        <w:jc w:val="both"/>
        <w:rPr>
          <w:rFonts w:ascii="Avenir Next" w:hAnsi="Avenir Next" w:cs="Arial"/>
          <w:color w:val="808080" w:themeColor="background1" w:themeShade="80"/>
          <w:sz w:val="22"/>
          <w:szCs w:val="22"/>
          <w:lang w:val="en-GB"/>
        </w:rPr>
      </w:pPr>
      <w:r w:rsidRPr="00893E38">
        <w:rPr>
          <w:rFonts w:ascii="Avenir Next" w:hAnsi="Avenir Next" w:cs="Arial"/>
          <w:color w:val="808080" w:themeColor="background1" w:themeShade="80"/>
          <w:sz w:val="22"/>
          <w:szCs w:val="22"/>
          <w:lang w:val="en-GB"/>
        </w:rPr>
        <w:t xml:space="preserve">The likely outcome of the above scenario will depend on </w:t>
      </w:r>
      <w:proofErr w:type="gramStart"/>
      <w:r w:rsidRPr="00893E38">
        <w:rPr>
          <w:rFonts w:ascii="Avenir Next" w:hAnsi="Avenir Next" w:cs="Arial"/>
          <w:color w:val="808080" w:themeColor="background1" w:themeShade="80"/>
          <w:sz w:val="22"/>
          <w:szCs w:val="22"/>
          <w:lang w:val="en-GB"/>
        </w:rPr>
        <w:t>whether or not</w:t>
      </w:r>
      <w:proofErr w:type="gramEnd"/>
      <w:r w:rsidRPr="00893E38">
        <w:rPr>
          <w:rFonts w:ascii="Avenir Next" w:hAnsi="Avenir Next" w:cs="Arial"/>
          <w:color w:val="808080" w:themeColor="background1" w:themeShade="80"/>
          <w:sz w:val="22"/>
          <w:szCs w:val="22"/>
          <w:lang w:val="en-GB"/>
        </w:rPr>
        <w:t xml:space="preserve"> the foreign proceedings in which the joint provisional liquidators (</w:t>
      </w:r>
      <w:r w:rsidRPr="0075506A">
        <w:rPr>
          <w:rFonts w:ascii="Avenir Next" w:hAnsi="Avenir Next" w:cs="Arial"/>
          <w:b/>
          <w:bCs/>
          <w:color w:val="808080" w:themeColor="background1" w:themeShade="80"/>
          <w:sz w:val="22"/>
          <w:szCs w:val="22"/>
          <w:lang w:val="en-GB"/>
        </w:rPr>
        <w:t>JPLs</w:t>
      </w:r>
      <w:r w:rsidRPr="00893E38">
        <w:rPr>
          <w:rFonts w:ascii="Avenir Next" w:hAnsi="Avenir Next" w:cs="Arial"/>
          <w:color w:val="808080" w:themeColor="background1" w:themeShade="80"/>
          <w:sz w:val="22"/>
          <w:szCs w:val="22"/>
          <w:lang w:val="en-GB"/>
        </w:rPr>
        <w:t xml:space="preserve">) have been appointed are foreign main proceedings or foreign non-main proceedings for the purpose of the MLCBI. </w:t>
      </w:r>
    </w:p>
    <w:p w14:paraId="5E107CDC" w14:textId="77777777" w:rsidR="00893E38" w:rsidRPr="00893E38" w:rsidRDefault="00893E38" w:rsidP="001C0188">
      <w:pPr>
        <w:jc w:val="both"/>
        <w:rPr>
          <w:rFonts w:ascii="Avenir Next" w:hAnsi="Avenir Next" w:cs="Arial"/>
          <w:color w:val="808080" w:themeColor="background1" w:themeShade="80"/>
          <w:sz w:val="22"/>
          <w:szCs w:val="22"/>
          <w:lang w:val="en-GB"/>
        </w:rPr>
      </w:pPr>
    </w:p>
    <w:p w14:paraId="162DEE6D" w14:textId="5CA86AA6" w:rsidR="008C349F" w:rsidRDefault="008C349F" w:rsidP="001C0188">
      <w:pPr>
        <w:jc w:val="both"/>
        <w:rPr>
          <w:rFonts w:ascii="Avenir Next" w:hAnsi="Avenir Next" w:cs="Arial"/>
          <w:color w:val="808080" w:themeColor="background1" w:themeShade="80"/>
          <w:sz w:val="22"/>
          <w:szCs w:val="22"/>
          <w:lang w:val="en-GB"/>
        </w:rPr>
      </w:pPr>
      <w:r w:rsidRPr="00893E38">
        <w:rPr>
          <w:rFonts w:ascii="Avenir Next" w:hAnsi="Avenir Next" w:cs="Arial"/>
          <w:color w:val="808080" w:themeColor="background1" w:themeShade="80"/>
          <w:sz w:val="22"/>
          <w:szCs w:val="22"/>
          <w:lang w:val="en-GB"/>
        </w:rPr>
        <w:t xml:space="preserve">If the proceedings are </w:t>
      </w:r>
      <w:r w:rsidR="00893E38" w:rsidRPr="00893E38">
        <w:rPr>
          <w:rFonts w:ascii="Avenir Next" w:hAnsi="Avenir Next" w:cs="Arial"/>
          <w:color w:val="808080" w:themeColor="background1" w:themeShade="80"/>
          <w:sz w:val="22"/>
          <w:szCs w:val="22"/>
          <w:lang w:val="en-GB"/>
        </w:rPr>
        <w:t>foreign main proceedings on the basis that the foreign debtor has its COMI in the jurisdiction that those proceedings were commenced, and if those proceedings are recognised in the US, the automatic relief that is available under Article 20(1)(a) of the MLCBI will apply with the effect that the t</w:t>
      </w:r>
      <w:r w:rsidR="00893E38">
        <w:rPr>
          <w:rFonts w:ascii="Avenir Next" w:hAnsi="Avenir Next" w:cs="Arial"/>
          <w:color w:val="808080" w:themeColor="background1" w:themeShade="80"/>
          <w:sz w:val="22"/>
          <w:szCs w:val="22"/>
          <w:lang w:val="en-GB"/>
        </w:rPr>
        <w:t xml:space="preserve">ort proceedings alleging interference with contractual rights of US-based vendors will be stayed and prevented from continuing. </w:t>
      </w:r>
    </w:p>
    <w:p w14:paraId="4E239070" w14:textId="77777777" w:rsidR="00893E38" w:rsidRDefault="00893E38" w:rsidP="001C0188">
      <w:pPr>
        <w:jc w:val="both"/>
        <w:rPr>
          <w:rFonts w:ascii="Avenir Next" w:hAnsi="Avenir Next" w:cs="Arial"/>
          <w:color w:val="808080" w:themeColor="background1" w:themeShade="80"/>
          <w:sz w:val="22"/>
          <w:szCs w:val="22"/>
          <w:lang w:val="en-GB"/>
        </w:rPr>
      </w:pPr>
    </w:p>
    <w:p w14:paraId="64B467A8" w14:textId="1687B56C" w:rsidR="00893E38" w:rsidRPr="00893E38" w:rsidRDefault="0057604C" w:rsidP="001C018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However, if the foreign debtor only has an establishment in the jurisdiction of the foreign proceedings such that the</w:t>
      </w:r>
      <w:r w:rsidR="00C52021">
        <w:rPr>
          <w:rFonts w:ascii="Avenir Next" w:hAnsi="Avenir Next" w:cs="Arial"/>
          <w:color w:val="808080" w:themeColor="background1" w:themeShade="80"/>
          <w:sz w:val="22"/>
          <w:szCs w:val="22"/>
          <w:lang w:val="en-GB"/>
        </w:rPr>
        <w:t xml:space="preserve"> JPLs have applied for recognition of non-main foreign proceedings, then </w:t>
      </w:r>
      <w:r w:rsidR="00787FF5">
        <w:rPr>
          <w:rFonts w:ascii="Avenir Next" w:hAnsi="Avenir Next" w:cs="Arial"/>
          <w:color w:val="808080" w:themeColor="background1" w:themeShade="80"/>
          <w:sz w:val="22"/>
          <w:szCs w:val="22"/>
          <w:lang w:val="en-GB"/>
        </w:rPr>
        <w:t>in considering whether to grant a stay of the US tort proceedings pursuant to article 21(1)(a) of the MLCBI, the US court will</w:t>
      </w:r>
      <w:r w:rsidR="001666D8">
        <w:rPr>
          <w:rFonts w:ascii="Avenir Next" w:hAnsi="Avenir Next" w:cs="Arial"/>
          <w:color w:val="808080" w:themeColor="background1" w:themeShade="80"/>
          <w:sz w:val="22"/>
          <w:szCs w:val="22"/>
          <w:lang w:val="en-GB"/>
        </w:rPr>
        <w:t xml:space="preserve"> need to consider whether the</w:t>
      </w:r>
      <w:r w:rsidR="001666D8" w:rsidRPr="001666D8">
        <w:rPr>
          <w:rFonts w:ascii="Avenir Next" w:hAnsi="Avenir Next" w:cs="Arial"/>
          <w:color w:val="808080" w:themeColor="background1" w:themeShade="80"/>
          <w:sz w:val="22"/>
          <w:szCs w:val="22"/>
          <w:lang w:val="en-GB"/>
        </w:rPr>
        <w:t xml:space="preserve"> relief relates to</w:t>
      </w:r>
      <w:r w:rsidR="001666D8">
        <w:rPr>
          <w:rFonts w:ascii="Avenir Next" w:hAnsi="Avenir Next" w:cs="Arial"/>
          <w:color w:val="808080" w:themeColor="background1" w:themeShade="80"/>
          <w:sz w:val="22"/>
          <w:szCs w:val="22"/>
          <w:lang w:val="en-GB"/>
        </w:rPr>
        <w:t xml:space="preserve"> </w:t>
      </w:r>
      <w:r w:rsidR="001666D8" w:rsidRPr="001666D8">
        <w:rPr>
          <w:rFonts w:ascii="Avenir Next" w:hAnsi="Avenir Next" w:cs="Arial"/>
          <w:color w:val="808080" w:themeColor="background1" w:themeShade="80"/>
          <w:sz w:val="22"/>
          <w:szCs w:val="22"/>
          <w:lang w:val="en-GB"/>
        </w:rPr>
        <w:t>assets that, under the law of this State, should be administered in the</w:t>
      </w:r>
      <w:r w:rsidR="001666D8">
        <w:rPr>
          <w:rFonts w:ascii="Avenir Next" w:hAnsi="Avenir Next" w:cs="Arial"/>
          <w:color w:val="808080" w:themeColor="background1" w:themeShade="80"/>
          <w:sz w:val="22"/>
          <w:szCs w:val="22"/>
          <w:lang w:val="en-GB"/>
        </w:rPr>
        <w:t xml:space="preserve"> </w:t>
      </w:r>
      <w:r w:rsidR="001666D8" w:rsidRPr="001666D8">
        <w:rPr>
          <w:rFonts w:ascii="Avenir Next" w:hAnsi="Avenir Next" w:cs="Arial"/>
          <w:color w:val="808080" w:themeColor="background1" w:themeShade="80"/>
          <w:sz w:val="22"/>
          <w:szCs w:val="22"/>
          <w:lang w:val="en-GB"/>
        </w:rPr>
        <w:t>foreign non-main proceeding</w:t>
      </w:r>
      <w:r w:rsidR="001666D8">
        <w:rPr>
          <w:rFonts w:ascii="Avenir Next" w:hAnsi="Avenir Next" w:cs="Arial"/>
          <w:color w:val="808080" w:themeColor="background1" w:themeShade="80"/>
          <w:sz w:val="22"/>
          <w:szCs w:val="22"/>
          <w:lang w:val="en-GB"/>
        </w:rPr>
        <w:t>.</w:t>
      </w:r>
      <w:r w:rsidR="001666D8">
        <w:rPr>
          <w:rStyle w:val="FootnoteReference"/>
          <w:rFonts w:ascii="Avenir Next" w:hAnsi="Avenir Next" w:cs="Arial"/>
          <w:color w:val="808080" w:themeColor="background1" w:themeShade="80"/>
          <w:sz w:val="22"/>
          <w:szCs w:val="22"/>
          <w:lang w:val="en-GB"/>
        </w:rPr>
        <w:footnoteReference w:id="18"/>
      </w:r>
      <w:r w:rsidR="001666D8">
        <w:rPr>
          <w:rFonts w:ascii="Avenir Next" w:hAnsi="Avenir Next" w:cs="Arial"/>
          <w:color w:val="808080" w:themeColor="background1" w:themeShade="80"/>
          <w:sz w:val="22"/>
          <w:szCs w:val="22"/>
          <w:lang w:val="en-GB"/>
        </w:rPr>
        <w:t xml:space="preserve"> In this scenario and in view of the fact that some of the parties to the contracts in question are US based, the Court may not be convinced that these assets should be dealt with and administered in the foreign proceeding. However, the outcome will depend on the relevant law that governs the contracts among other things. </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466E7A43"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 xml:space="preserve">[maximum </w:t>
      </w:r>
      <w:r w:rsidR="00B953BD">
        <w:rPr>
          <w:rFonts w:ascii="Avenir Next Demi Bold" w:hAnsi="Avenir Next Demi Bold" w:cs="Arial"/>
          <w:b/>
          <w:bCs/>
          <w:sz w:val="22"/>
          <w:szCs w:val="22"/>
          <w:lang w:val="en-GB"/>
        </w:rPr>
        <w:t>4</w:t>
      </w:r>
      <w:r w:rsidRPr="00C668B6">
        <w:rPr>
          <w:rFonts w:ascii="Avenir Next Demi Bold" w:hAnsi="Avenir Next Demi Bold" w:cs="Arial"/>
          <w:b/>
          <w:bCs/>
          <w:sz w:val="22"/>
          <w:szCs w:val="22"/>
          <w:lang w:val="en-GB"/>
        </w:rPr>
        <w:t xml:space="preserve"> marks]</w:t>
      </w:r>
      <w:r w:rsidR="003B3E61">
        <w:rPr>
          <w:rFonts w:ascii="Avenir Next Demi Bold" w:hAnsi="Avenir Next Demi Bold" w:cs="Arial"/>
          <w:b/>
          <w:bCs/>
          <w:sz w:val="22"/>
          <w:szCs w:val="22"/>
          <w:lang w:val="en-GB"/>
        </w:rPr>
        <w:t xml:space="preserve"> </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35BA94BE" w14:textId="77777777" w:rsidR="00574A0A" w:rsidRDefault="00F31EE9" w:rsidP="00574A0A">
      <w:pPr>
        <w:jc w:val="both"/>
        <w:rPr>
          <w:rFonts w:ascii="Avenir Next" w:hAnsi="Avenir Next" w:cs="Arial"/>
          <w:sz w:val="22"/>
          <w:szCs w:val="22"/>
          <w:lang w:val="en-GB"/>
        </w:rPr>
      </w:pPr>
      <w:r w:rsidRPr="002E7702">
        <w:rPr>
          <w:rFonts w:ascii="Avenir Next" w:hAnsi="Avenir Next" w:cs="Arial"/>
          <w:sz w:val="22"/>
          <w:szCs w:val="22"/>
          <w:lang w:val="en-GB"/>
        </w:rPr>
        <w:t>A foreign representative who administers assets in a debtor-in-possession-like</w:t>
      </w:r>
      <w:r w:rsidR="00C35DD1">
        <w:rPr>
          <w:rFonts w:ascii="Avenir Next" w:hAnsi="Avenir Next" w:cs="Arial"/>
          <w:sz w:val="22"/>
          <w:szCs w:val="22"/>
          <w:lang w:val="en-GB"/>
        </w:rPr>
        <w:t xml:space="preserve"> </w:t>
      </w:r>
      <w:r w:rsidRPr="002E7702">
        <w:rPr>
          <w:rFonts w:ascii="Avenir Next" w:hAnsi="Avenir Next" w:cs="Arial"/>
          <w:sz w:val="22"/>
          <w:szCs w:val="22"/>
          <w:lang w:val="en-GB"/>
        </w:rPr>
        <w:t xml:space="preserve">restructuring proceeding in the UK commences a recognition proceeding in the US, setting the recognition hearing 35 days after the petition date due to the availability of the court. There is no litigation pending or threatened against the foreign debtor, but US-governed leases and intellectual property licenses have </w:t>
      </w:r>
      <w:r w:rsidRPr="005212E3">
        <w:rPr>
          <w:rFonts w:ascii="Avenir Next" w:hAnsi="Avenir Next" w:cs="Arial"/>
          <w:i/>
          <w:iCs/>
          <w:sz w:val="22"/>
          <w:szCs w:val="22"/>
          <w:lang w:val="en-GB"/>
        </w:rPr>
        <w:t>ipso facto</w:t>
      </w:r>
      <w:r w:rsidRPr="002E7702">
        <w:rPr>
          <w:rFonts w:ascii="Avenir Next" w:hAnsi="Avenir Next" w:cs="Arial"/>
          <w:sz w:val="22"/>
          <w:szCs w:val="22"/>
          <w:lang w:val="en-GB"/>
        </w:rPr>
        <w:t xml:space="preserve"> clauses (</w:t>
      </w:r>
      <w:r>
        <w:rPr>
          <w:rFonts w:ascii="Avenir Next" w:hAnsi="Avenir Next" w:cs="Arial"/>
          <w:sz w:val="22"/>
          <w:szCs w:val="22"/>
          <w:lang w:val="en-GB"/>
        </w:rPr>
        <w:t>that is</w:t>
      </w:r>
      <w:r w:rsidRPr="002E7702">
        <w:rPr>
          <w:rFonts w:ascii="Avenir Next" w:hAnsi="Avenir Next" w:cs="Arial"/>
          <w:sz w:val="22"/>
          <w:szCs w:val="22"/>
          <w:lang w:val="en-GB"/>
        </w:rPr>
        <w:t xml:space="preserve">, bankruptcy-triggered terminations) that are not enforceable under the US </w:t>
      </w:r>
      <w:r>
        <w:rPr>
          <w:rFonts w:ascii="Avenir Next" w:hAnsi="Avenir Next" w:cs="Arial"/>
          <w:sz w:val="22"/>
          <w:szCs w:val="22"/>
          <w:lang w:val="en-GB"/>
        </w:rPr>
        <w:t>Ba</w:t>
      </w:r>
      <w:r w:rsidRPr="002E7702">
        <w:rPr>
          <w:rFonts w:ascii="Avenir Next" w:hAnsi="Avenir Next" w:cs="Arial"/>
          <w:sz w:val="22"/>
          <w:szCs w:val="22"/>
          <w:lang w:val="en-GB"/>
        </w:rPr>
        <w:t xml:space="preserve">nkruptcy </w:t>
      </w:r>
      <w:r>
        <w:rPr>
          <w:rFonts w:ascii="Avenir Next" w:hAnsi="Avenir Next" w:cs="Arial"/>
          <w:sz w:val="22"/>
          <w:szCs w:val="22"/>
          <w:lang w:val="en-GB"/>
        </w:rPr>
        <w:t>C</w:t>
      </w:r>
      <w:r w:rsidRPr="002E7702">
        <w:rPr>
          <w:rFonts w:ascii="Avenir Next" w:hAnsi="Avenir Next" w:cs="Arial"/>
          <w:sz w:val="22"/>
          <w:szCs w:val="22"/>
          <w:lang w:val="en-GB"/>
        </w:rPr>
        <w:t>ode. Based on these facts, explain what steps, if any, should the foreign representative take to protect the assets and why?</w:t>
      </w:r>
    </w:p>
    <w:p w14:paraId="72F1728E" w14:textId="77777777" w:rsidR="00574A0A" w:rsidRDefault="00574A0A" w:rsidP="00574A0A">
      <w:pPr>
        <w:jc w:val="both"/>
        <w:rPr>
          <w:rFonts w:ascii="Avenir Next" w:hAnsi="Avenir Next" w:cs="Arial"/>
          <w:sz w:val="22"/>
          <w:szCs w:val="22"/>
          <w:lang w:val="en-GB"/>
        </w:rPr>
      </w:pPr>
    </w:p>
    <w:p w14:paraId="0D2C3354" w14:textId="2A4DC921" w:rsidR="00574A0A" w:rsidRDefault="00574A0A" w:rsidP="00574A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Firstly, the nature of the UK proceedings is a debtor-in-possession type restructuring meaning that the aim is for the debtor to continue operating whilst it implements its restructuring plan. In circumstances where the debtor has </w:t>
      </w:r>
      <w:r w:rsidRPr="00574A0A">
        <w:rPr>
          <w:rFonts w:ascii="Avenir Next" w:hAnsi="Avenir Next" w:cs="Arial"/>
          <w:color w:val="808080" w:themeColor="background1" w:themeShade="80"/>
          <w:sz w:val="22"/>
          <w:szCs w:val="22"/>
          <w:lang w:val="en-GB"/>
        </w:rPr>
        <w:t>US-governed leases and intellectual property licenses</w:t>
      </w:r>
      <w:r>
        <w:rPr>
          <w:rFonts w:ascii="Avenir Next" w:hAnsi="Avenir Next" w:cs="Arial"/>
          <w:color w:val="808080" w:themeColor="background1" w:themeShade="80"/>
          <w:sz w:val="22"/>
          <w:szCs w:val="22"/>
          <w:lang w:val="en-GB"/>
        </w:rPr>
        <w:t xml:space="preserve">, the representative has rightly applied for recognition in the US to allow the restructuring plan to continue. </w:t>
      </w:r>
    </w:p>
    <w:p w14:paraId="302347DA" w14:textId="77777777" w:rsidR="00574A0A" w:rsidRDefault="00574A0A" w:rsidP="00574A0A">
      <w:pPr>
        <w:jc w:val="both"/>
        <w:rPr>
          <w:rFonts w:ascii="Avenir Next" w:hAnsi="Avenir Next" w:cs="Arial"/>
          <w:color w:val="808080" w:themeColor="background1" w:themeShade="80"/>
          <w:sz w:val="22"/>
          <w:szCs w:val="22"/>
          <w:lang w:val="en-GB"/>
        </w:rPr>
      </w:pPr>
    </w:p>
    <w:p w14:paraId="0C311DEB" w14:textId="438E866C" w:rsidR="00574A0A" w:rsidRDefault="00574A0A" w:rsidP="00574A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those same </w:t>
      </w:r>
      <w:r w:rsidRPr="00574A0A">
        <w:rPr>
          <w:rFonts w:ascii="Avenir Next" w:hAnsi="Avenir Next" w:cs="Arial"/>
          <w:color w:val="808080" w:themeColor="background1" w:themeShade="80"/>
          <w:sz w:val="22"/>
          <w:szCs w:val="22"/>
          <w:lang w:val="en-GB"/>
        </w:rPr>
        <w:t>US-governed leases and intellectual property licenses have</w:t>
      </w:r>
      <w:r>
        <w:rPr>
          <w:rFonts w:ascii="Avenir Next" w:hAnsi="Avenir Next" w:cs="Arial"/>
          <w:color w:val="808080" w:themeColor="background1" w:themeShade="80"/>
          <w:sz w:val="22"/>
          <w:szCs w:val="22"/>
          <w:lang w:val="en-GB"/>
        </w:rPr>
        <w:t xml:space="preserve"> </w:t>
      </w:r>
      <w:r>
        <w:rPr>
          <w:rFonts w:ascii="Avenir Next" w:hAnsi="Avenir Next" w:cs="Arial"/>
          <w:i/>
          <w:iCs/>
          <w:color w:val="808080" w:themeColor="background1" w:themeShade="80"/>
          <w:sz w:val="22"/>
          <w:szCs w:val="22"/>
          <w:lang w:val="en-GB"/>
        </w:rPr>
        <w:t xml:space="preserve">ipso facto </w:t>
      </w:r>
      <w:r>
        <w:rPr>
          <w:rFonts w:ascii="Avenir Next" w:hAnsi="Avenir Next" w:cs="Arial"/>
          <w:color w:val="808080" w:themeColor="background1" w:themeShade="80"/>
          <w:sz w:val="22"/>
          <w:szCs w:val="22"/>
          <w:lang w:val="en-GB"/>
        </w:rPr>
        <w:t>clauses which allow for termination</w:t>
      </w:r>
      <w:r w:rsidRPr="00574A0A">
        <w:rPr>
          <w:rFonts w:ascii="Avenir Next" w:hAnsi="Avenir Next" w:cs="Arial"/>
          <w:color w:val="808080" w:themeColor="background1" w:themeShade="80"/>
          <w:sz w:val="22"/>
          <w:szCs w:val="22"/>
          <w:lang w:val="en-GB"/>
        </w:rPr>
        <w:t xml:space="preserve"> of </w:t>
      </w:r>
      <w:r>
        <w:rPr>
          <w:rFonts w:ascii="Avenir Next" w:hAnsi="Avenir Next" w:cs="Arial"/>
          <w:color w:val="808080" w:themeColor="background1" w:themeShade="80"/>
          <w:sz w:val="22"/>
          <w:szCs w:val="22"/>
          <w:lang w:val="en-GB"/>
        </w:rPr>
        <w:t>a</w:t>
      </w:r>
      <w:r w:rsidRPr="00574A0A">
        <w:rPr>
          <w:rFonts w:ascii="Avenir Next" w:hAnsi="Avenir Next" w:cs="Arial"/>
          <w:color w:val="808080" w:themeColor="background1" w:themeShade="80"/>
          <w:sz w:val="22"/>
          <w:szCs w:val="22"/>
          <w:lang w:val="en-GB"/>
        </w:rPr>
        <w:t xml:space="preserve"> contract upon one of the parties </w:t>
      </w:r>
      <w:proofErr w:type="gramStart"/>
      <w:r w:rsidRPr="00574A0A">
        <w:rPr>
          <w:rFonts w:ascii="Avenir Next" w:hAnsi="Avenir Next" w:cs="Arial"/>
          <w:color w:val="808080" w:themeColor="background1" w:themeShade="80"/>
          <w:sz w:val="22"/>
          <w:szCs w:val="22"/>
          <w:lang w:val="en-GB"/>
        </w:rPr>
        <w:t>entering into</w:t>
      </w:r>
      <w:proofErr w:type="gramEnd"/>
      <w:r w:rsidRPr="00574A0A">
        <w:rPr>
          <w:rFonts w:ascii="Avenir Next" w:hAnsi="Avenir Next" w:cs="Arial"/>
          <w:color w:val="808080" w:themeColor="background1" w:themeShade="80"/>
          <w:sz w:val="22"/>
          <w:szCs w:val="22"/>
          <w:lang w:val="en-GB"/>
        </w:rPr>
        <w:t xml:space="preserve"> insolvency proceedings</w:t>
      </w:r>
      <w:r>
        <w:rPr>
          <w:rFonts w:ascii="Avenir Next" w:hAnsi="Avenir Next" w:cs="Arial"/>
          <w:color w:val="808080" w:themeColor="background1" w:themeShade="80"/>
          <w:sz w:val="22"/>
          <w:szCs w:val="22"/>
          <w:lang w:val="en-GB"/>
        </w:rPr>
        <w:t xml:space="preserve">. In the circumstances, </w:t>
      </w:r>
      <w:r w:rsidR="003B3E61">
        <w:rPr>
          <w:rFonts w:ascii="Avenir Next" w:hAnsi="Avenir Next" w:cs="Arial"/>
          <w:color w:val="808080" w:themeColor="background1" w:themeShade="80"/>
          <w:sz w:val="22"/>
          <w:szCs w:val="22"/>
          <w:lang w:val="en-GB"/>
        </w:rPr>
        <w:t>a party to those</w:t>
      </w:r>
      <w:r>
        <w:rPr>
          <w:rFonts w:ascii="Avenir Next" w:hAnsi="Avenir Next" w:cs="Arial"/>
          <w:color w:val="808080" w:themeColor="background1" w:themeShade="80"/>
          <w:sz w:val="22"/>
          <w:szCs w:val="22"/>
          <w:lang w:val="en-GB"/>
        </w:rPr>
        <w:t xml:space="preserve"> contracts would be entitled to terminate those contracts in view of the UK insolvency proceedings.</w:t>
      </w:r>
      <w:r w:rsidR="003B3E61">
        <w:rPr>
          <w:rFonts w:ascii="Avenir Next" w:hAnsi="Avenir Next" w:cs="Arial"/>
          <w:color w:val="808080" w:themeColor="background1" w:themeShade="80"/>
          <w:sz w:val="22"/>
          <w:szCs w:val="22"/>
          <w:lang w:val="en-GB"/>
        </w:rPr>
        <w:t xml:space="preserve"> </w:t>
      </w:r>
    </w:p>
    <w:p w14:paraId="3905BD2B" w14:textId="77777777" w:rsidR="00574A0A" w:rsidRDefault="00574A0A" w:rsidP="00574A0A">
      <w:pPr>
        <w:jc w:val="both"/>
        <w:rPr>
          <w:rFonts w:ascii="Avenir Next" w:hAnsi="Avenir Next" w:cs="Arial"/>
          <w:color w:val="808080" w:themeColor="background1" w:themeShade="80"/>
          <w:sz w:val="22"/>
          <w:szCs w:val="22"/>
          <w:lang w:val="en-GB"/>
        </w:rPr>
      </w:pPr>
    </w:p>
    <w:p w14:paraId="546C979B" w14:textId="7A7B23EE" w:rsidR="00574A0A" w:rsidRDefault="00476979" w:rsidP="00574A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those circumstances the UK insolvency representative ought to take steps to ensure that the US leases and </w:t>
      </w:r>
      <w:r w:rsidRPr="00574A0A">
        <w:rPr>
          <w:rFonts w:ascii="Avenir Next" w:hAnsi="Avenir Next" w:cs="Arial"/>
          <w:color w:val="808080" w:themeColor="background1" w:themeShade="80"/>
          <w:sz w:val="22"/>
          <w:szCs w:val="22"/>
          <w:lang w:val="en-GB"/>
        </w:rPr>
        <w:t>intellectual property licenses</w:t>
      </w:r>
      <w:r>
        <w:rPr>
          <w:rFonts w:ascii="Avenir Next" w:hAnsi="Avenir Next" w:cs="Arial"/>
          <w:color w:val="808080" w:themeColor="background1" w:themeShade="80"/>
          <w:sz w:val="22"/>
          <w:szCs w:val="22"/>
          <w:lang w:val="en-GB"/>
        </w:rPr>
        <w:t xml:space="preserve"> are protected and can continue in the intervening period until </w:t>
      </w:r>
      <w:r>
        <w:rPr>
          <w:rFonts w:ascii="Avenir Next" w:hAnsi="Avenir Next" w:cs="Arial"/>
          <w:color w:val="808080" w:themeColor="background1" w:themeShade="80"/>
          <w:sz w:val="22"/>
          <w:szCs w:val="22"/>
          <w:lang w:val="en-GB"/>
        </w:rPr>
        <w:lastRenderedPageBreak/>
        <w:t>the hearing of recognition application that won't take place for 35 days due to limitations with the Court's availability.</w:t>
      </w:r>
      <w:r w:rsidR="00735296">
        <w:rPr>
          <w:rFonts w:ascii="Avenir Next" w:hAnsi="Avenir Next" w:cs="Arial"/>
          <w:color w:val="808080" w:themeColor="background1" w:themeShade="80"/>
          <w:sz w:val="22"/>
          <w:szCs w:val="22"/>
          <w:lang w:val="en-GB"/>
        </w:rPr>
        <w:t xml:space="preserve"> The </w:t>
      </w:r>
      <w:r w:rsidR="00735296" w:rsidRPr="00735296">
        <w:rPr>
          <w:rFonts w:ascii="Avenir Next" w:hAnsi="Avenir Next" w:cs="Arial"/>
          <w:i/>
          <w:iCs/>
          <w:color w:val="808080" w:themeColor="background1" w:themeShade="80"/>
          <w:sz w:val="22"/>
          <w:szCs w:val="22"/>
          <w:lang w:val="en-GB"/>
        </w:rPr>
        <w:t>ipso facto</w:t>
      </w:r>
      <w:r w:rsidR="00735296">
        <w:rPr>
          <w:rFonts w:ascii="Avenir Next" w:hAnsi="Avenir Next" w:cs="Arial"/>
          <w:color w:val="808080" w:themeColor="background1" w:themeShade="80"/>
          <w:sz w:val="22"/>
          <w:szCs w:val="22"/>
          <w:lang w:val="en-GB"/>
        </w:rPr>
        <w:t xml:space="preserve"> clauses are not enforceable under the US Bankruptcy code.</w:t>
      </w:r>
    </w:p>
    <w:p w14:paraId="2F4EF47E" w14:textId="77777777" w:rsidR="00476979" w:rsidRDefault="00476979" w:rsidP="00574A0A">
      <w:pPr>
        <w:jc w:val="both"/>
        <w:rPr>
          <w:rFonts w:ascii="Avenir Next" w:hAnsi="Avenir Next" w:cs="Arial"/>
          <w:color w:val="808080" w:themeColor="background1" w:themeShade="80"/>
          <w:sz w:val="22"/>
          <w:szCs w:val="22"/>
          <w:lang w:val="en-GB"/>
        </w:rPr>
      </w:pPr>
    </w:p>
    <w:p w14:paraId="2618DE8F" w14:textId="43FBD8FD" w:rsidR="00B81E4A" w:rsidRDefault="00476979" w:rsidP="00574A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circumstances, the best thing that the foreign representative can do is to apply for interim relief pursuant to Article 19 of the MLCBI which is available regardless </w:t>
      </w:r>
      <w:r w:rsidR="00B81E4A">
        <w:rPr>
          <w:rFonts w:ascii="Avenir Next" w:hAnsi="Avenir Next" w:cs="Arial"/>
          <w:color w:val="808080" w:themeColor="background1" w:themeShade="80"/>
          <w:sz w:val="22"/>
          <w:szCs w:val="22"/>
          <w:lang w:val="en-GB"/>
        </w:rPr>
        <w:t>of whether the UK proceedings are foreign main or foreign non</w:t>
      </w:r>
      <w:r w:rsidR="00884E32">
        <w:rPr>
          <w:rFonts w:ascii="Avenir Next" w:hAnsi="Avenir Next" w:cs="Arial"/>
          <w:color w:val="808080" w:themeColor="background1" w:themeShade="80"/>
          <w:sz w:val="22"/>
          <w:szCs w:val="22"/>
          <w:lang w:val="en-GB"/>
        </w:rPr>
        <w:t>-</w:t>
      </w:r>
      <w:r w:rsidR="00B81E4A">
        <w:rPr>
          <w:rFonts w:ascii="Avenir Next" w:hAnsi="Avenir Next" w:cs="Arial"/>
          <w:color w:val="808080" w:themeColor="background1" w:themeShade="80"/>
          <w:sz w:val="22"/>
          <w:szCs w:val="22"/>
          <w:lang w:val="en-GB"/>
        </w:rPr>
        <w:t>main proceedings.</w:t>
      </w:r>
    </w:p>
    <w:p w14:paraId="6FE0C63D" w14:textId="77777777" w:rsidR="00B81E4A" w:rsidRDefault="00B81E4A" w:rsidP="00574A0A">
      <w:pPr>
        <w:jc w:val="both"/>
        <w:rPr>
          <w:rFonts w:ascii="Avenir Next" w:hAnsi="Avenir Next" w:cs="Arial"/>
          <w:color w:val="808080" w:themeColor="background1" w:themeShade="80"/>
          <w:sz w:val="22"/>
          <w:szCs w:val="22"/>
          <w:lang w:val="en-GB"/>
        </w:rPr>
      </w:pPr>
    </w:p>
    <w:p w14:paraId="0AFCBDE8" w14:textId="74F60211" w:rsidR="00B81E4A" w:rsidRDefault="00B81E4A" w:rsidP="00574A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Article 19 provides for </w:t>
      </w:r>
      <w:proofErr w:type="gramStart"/>
      <w:r>
        <w:rPr>
          <w:rFonts w:ascii="Avenir Next" w:hAnsi="Avenir Next" w:cs="Arial"/>
          <w:color w:val="808080" w:themeColor="background1" w:themeShade="80"/>
          <w:sz w:val="22"/>
          <w:szCs w:val="22"/>
          <w:lang w:val="en-GB"/>
        </w:rPr>
        <w:t xml:space="preserve">a number </w:t>
      </w:r>
      <w:r w:rsidR="00884E32">
        <w:rPr>
          <w:rFonts w:ascii="Avenir Next" w:hAnsi="Avenir Next" w:cs="Arial"/>
          <w:color w:val="808080" w:themeColor="background1" w:themeShade="80"/>
          <w:sz w:val="22"/>
          <w:szCs w:val="22"/>
          <w:lang w:val="en-GB"/>
        </w:rPr>
        <w:t>of</w:t>
      </w:r>
      <w:proofErr w:type="gramEnd"/>
      <w:r w:rsidR="00884E32">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different kinds of interim relief and the UK representative may wish to consider all of them. But based on the facts it appears that the relief available under Article 19(1)</w:t>
      </w:r>
      <w:r w:rsidRPr="00B81E4A">
        <w:rPr>
          <w:rFonts w:ascii="Avenir Next" w:hAnsi="Avenir Next" w:cs="Arial"/>
          <w:color w:val="808080" w:themeColor="background1" w:themeShade="80"/>
          <w:sz w:val="22"/>
          <w:szCs w:val="22"/>
          <w:lang w:val="en-GB"/>
        </w:rPr>
        <w:t xml:space="preserve">(c) </w:t>
      </w:r>
      <w:r>
        <w:rPr>
          <w:rFonts w:ascii="Avenir Next" w:hAnsi="Avenir Next" w:cs="Arial"/>
          <w:color w:val="808080" w:themeColor="background1" w:themeShade="80"/>
          <w:sz w:val="22"/>
          <w:szCs w:val="22"/>
          <w:lang w:val="en-GB"/>
        </w:rPr>
        <w:t>which allows for a</w:t>
      </w:r>
      <w:r w:rsidRPr="00B81E4A">
        <w:rPr>
          <w:rFonts w:ascii="Avenir Next" w:hAnsi="Avenir Next" w:cs="Arial"/>
          <w:color w:val="808080" w:themeColor="background1" w:themeShade="80"/>
          <w:sz w:val="22"/>
          <w:szCs w:val="22"/>
          <w:lang w:val="en-GB"/>
        </w:rPr>
        <w:t xml:space="preserve">ny relief mentioned in paragraph 1 (c), (d) and (g) of </w:t>
      </w:r>
      <w:r>
        <w:rPr>
          <w:rFonts w:ascii="Avenir Next" w:hAnsi="Avenir Next" w:cs="Arial"/>
          <w:color w:val="808080" w:themeColor="background1" w:themeShade="80"/>
          <w:sz w:val="22"/>
          <w:szCs w:val="22"/>
          <w:lang w:val="en-GB"/>
        </w:rPr>
        <w:t>A</w:t>
      </w:r>
      <w:r w:rsidRPr="00B81E4A">
        <w:rPr>
          <w:rFonts w:ascii="Avenir Next" w:hAnsi="Avenir Next" w:cs="Arial"/>
          <w:color w:val="808080" w:themeColor="background1" w:themeShade="80"/>
          <w:sz w:val="22"/>
          <w:szCs w:val="22"/>
          <w:lang w:val="en-GB"/>
        </w:rPr>
        <w:t>rticle 21</w:t>
      </w:r>
      <w:r>
        <w:rPr>
          <w:rFonts w:ascii="Avenir Next" w:hAnsi="Avenir Next" w:cs="Arial"/>
          <w:color w:val="808080" w:themeColor="background1" w:themeShade="80"/>
          <w:sz w:val="22"/>
          <w:szCs w:val="22"/>
          <w:lang w:val="en-GB"/>
        </w:rPr>
        <w:t>, may be the most useful.</w:t>
      </w:r>
    </w:p>
    <w:p w14:paraId="0ACC3938" w14:textId="77777777" w:rsidR="00B81E4A" w:rsidRDefault="00B81E4A" w:rsidP="00574A0A">
      <w:pPr>
        <w:jc w:val="both"/>
        <w:rPr>
          <w:rFonts w:ascii="Avenir Next" w:hAnsi="Avenir Next" w:cs="Arial"/>
          <w:color w:val="808080" w:themeColor="background1" w:themeShade="80"/>
          <w:sz w:val="22"/>
          <w:szCs w:val="22"/>
          <w:lang w:val="en-GB"/>
        </w:rPr>
      </w:pPr>
    </w:p>
    <w:p w14:paraId="58B65C97" w14:textId="2DD0C75F" w:rsidR="00B81E4A" w:rsidRDefault="00B81E4A" w:rsidP="00574A0A">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In particular, Article</w:t>
      </w:r>
      <w:proofErr w:type="gramEnd"/>
      <w:r>
        <w:rPr>
          <w:rFonts w:ascii="Avenir Next" w:hAnsi="Avenir Next" w:cs="Arial"/>
          <w:color w:val="808080" w:themeColor="background1" w:themeShade="80"/>
          <w:sz w:val="22"/>
          <w:szCs w:val="22"/>
          <w:lang w:val="en-GB"/>
        </w:rPr>
        <w:t xml:space="preserve"> under 21(c) which suspends </w:t>
      </w:r>
      <w:r w:rsidRPr="00B81E4A">
        <w:rPr>
          <w:rFonts w:ascii="Avenir Next" w:hAnsi="Avenir Next" w:cs="Arial"/>
          <w:color w:val="808080" w:themeColor="background1" w:themeShade="80"/>
          <w:sz w:val="22"/>
          <w:szCs w:val="22"/>
          <w:lang w:val="en-GB"/>
        </w:rPr>
        <w:t>the right to transfer, encumber or otherwise dispose of any assets of the debtor</w:t>
      </w:r>
      <w:r>
        <w:rPr>
          <w:rFonts w:ascii="Avenir Next" w:hAnsi="Avenir Next" w:cs="Arial"/>
          <w:color w:val="808080" w:themeColor="background1" w:themeShade="80"/>
          <w:sz w:val="22"/>
          <w:szCs w:val="22"/>
          <w:lang w:val="en-GB"/>
        </w:rPr>
        <w:t xml:space="preserve"> could be useful to prevent </w:t>
      </w:r>
      <w:r w:rsidR="00735296">
        <w:rPr>
          <w:rFonts w:ascii="Avenir Next" w:hAnsi="Avenir Next" w:cs="Arial"/>
          <w:color w:val="808080" w:themeColor="background1" w:themeShade="80"/>
          <w:sz w:val="22"/>
          <w:szCs w:val="22"/>
          <w:lang w:val="en-GB"/>
        </w:rPr>
        <w:t>any party from</w:t>
      </w:r>
      <w:r>
        <w:rPr>
          <w:rFonts w:ascii="Avenir Next" w:hAnsi="Avenir Next" w:cs="Arial"/>
          <w:color w:val="808080" w:themeColor="background1" w:themeShade="80"/>
          <w:sz w:val="22"/>
          <w:szCs w:val="22"/>
          <w:lang w:val="en-GB"/>
        </w:rPr>
        <w:t xml:space="preserve"> disposing of assets by terminating the contracts and leases. In addition, Article 21(1)(g) would allow the Court to grant any additional rel</w:t>
      </w:r>
      <w:r w:rsidR="00060FE5">
        <w:rPr>
          <w:rFonts w:ascii="Avenir Next" w:hAnsi="Avenir Next" w:cs="Arial"/>
          <w:color w:val="808080" w:themeColor="background1" w:themeShade="80"/>
          <w:sz w:val="22"/>
          <w:szCs w:val="22"/>
          <w:lang w:val="en-GB"/>
        </w:rPr>
        <w:t>ief such as specifically preventing the termination of the contracts and leases whilst the recognition hearing is pending</w:t>
      </w:r>
      <w:r w:rsidR="00735296">
        <w:rPr>
          <w:rFonts w:ascii="Avenir Next" w:hAnsi="Avenir Next" w:cs="Arial"/>
          <w:color w:val="808080" w:themeColor="background1" w:themeShade="80"/>
          <w:sz w:val="22"/>
          <w:szCs w:val="22"/>
          <w:lang w:val="en-GB"/>
        </w:rPr>
        <w:t xml:space="preserve"> for example on the basis that the US Bankruptcy Code would specifically preclude these clauses from being enforced</w:t>
      </w:r>
      <w:r w:rsidR="00060FE5">
        <w:rPr>
          <w:rFonts w:ascii="Avenir Next" w:hAnsi="Avenir Next" w:cs="Arial"/>
          <w:color w:val="808080" w:themeColor="background1" w:themeShade="80"/>
          <w:sz w:val="22"/>
          <w:szCs w:val="22"/>
          <w:lang w:val="en-GB"/>
        </w:rPr>
        <w:t xml:space="preserve">. </w:t>
      </w:r>
    </w:p>
    <w:p w14:paraId="6F0CD250" w14:textId="77777777" w:rsidR="003B3E61" w:rsidRDefault="003B3E61" w:rsidP="00574A0A">
      <w:pPr>
        <w:jc w:val="both"/>
        <w:rPr>
          <w:rFonts w:ascii="Avenir Next" w:hAnsi="Avenir Next" w:cs="Arial"/>
          <w:color w:val="808080" w:themeColor="background1" w:themeShade="80"/>
          <w:sz w:val="22"/>
          <w:szCs w:val="22"/>
          <w:lang w:val="en-GB"/>
        </w:rPr>
      </w:pPr>
    </w:p>
    <w:p w14:paraId="7DD6D8D4" w14:textId="11F69B22" w:rsidR="003B3E61" w:rsidRDefault="003B3E61" w:rsidP="00574A0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applying for the interim relief, the UK representative should seek to demonstrate to the Court that maintaining the status quo will </w:t>
      </w:r>
      <w:r w:rsidRPr="003B3E61">
        <w:rPr>
          <w:rFonts w:ascii="Avenir Next" w:hAnsi="Avenir Next" w:cs="Arial"/>
          <w:color w:val="808080" w:themeColor="background1" w:themeShade="80"/>
          <w:sz w:val="22"/>
          <w:szCs w:val="22"/>
          <w:lang w:val="en-GB"/>
        </w:rPr>
        <w:t>protect the assets of the debtor</w:t>
      </w:r>
      <w:r>
        <w:rPr>
          <w:rFonts w:ascii="Avenir Next" w:hAnsi="Avenir Next" w:cs="Arial"/>
          <w:color w:val="808080" w:themeColor="background1" w:themeShade="80"/>
          <w:sz w:val="22"/>
          <w:szCs w:val="22"/>
          <w:lang w:val="en-GB"/>
        </w:rPr>
        <w:t xml:space="preserve"> and in turn </w:t>
      </w:r>
      <w:r w:rsidRPr="003B3E61">
        <w:rPr>
          <w:rFonts w:ascii="Avenir Next" w:hAnsi="Avenir Next" w:cs="Arial"/>
          <w:color w:val="808080" w:themeColor="background1" w:themeShade="80"/>
          <w:sz w:val="22"/>
          <w:szCs w:val="22"/>
          <w:lang w:val="en-GB"/>
        </w:rPr>
        <w:t xml:space="preserve">protect </w:t>
      </w:r>
      <w:r>
        <w:rPr>
          <w:rFonts w:ascii="Avenir Next" w:hAnsi="Avenir Next" w:cs="Arial"/>
          <w:color w:val="808080" w:themeColor="background1" w:themeShade="80"/>
          <w:sz w:val="22"/>
          <w:szCs w:val="22"/>
          <w:lang w:val="en-GB"/>
        </w:rPr>
        <w:t xml:space="preserve">the US </w:t>
      </w:r>
      <w:r w:rsidRPr="003B3E61">
        <w:rPr>
          <w:rFonts w:ascii="Avenir Next" w:hAnsi="Avenir Next" w:cs="Arial"/>
          <w:color w:val="808080" w:themeColor="background1" w:themeShade="80"/>
          <w:sz w:val="22"/>
          <w:szCs w:val="22"/>
          <w:lang w:val="en-GB"/>
        </w:rPr>
        <w:t>creditors</w:t>
      </w:r>
      <w:r>
        <w:rPr>
          <w:rFonts w:ascii="Avenir Next" w:hAnsi="Avenir Next" w:cs="Arial"/>
          <w:color w:val="808080" w:themeColor="background1" w:themeShade="80"/>
          <w:sz w:val="22"/>
          <w:szCs w:val="22"/>
          <w:lang w:val="en-GB"/>
        </w:rPr>
        <w:t xml:space="preserve"> who should benefit from the better outcome following the restructuring as opposed to a liquidation or termination of the contracts and leases. </w:t>
      </w:r>
    </w:p>
    <w:p w14:paraId="029C47C8" w14:textId="407A62D4" w:rsidR="00867A8F" w:rsidRPr="00574A0A" w:rsidRDefault="00867A8F" w:rsidP="003B3E61">
      <w:pPr>
        <w:jc w:val="both"/>
        <w:rPr>
          <w:rFonts w:ascii="Avenir Next" w:hAnsi="Avenir Next" w:cs="Arial"/>
          <w:color w:val="808080" w:themeColor="background1" w:themeShade="80"/>
          <w:sz w:val="22"/>
          <w:szCs w:val="22"/>
          <w:lang w:val="en-GB"/>
        </w:rPr>
      </w:pPr>
    </w:p>
    <w:p w14:paraId="552796D2" w14:textId="24272225"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 xml:space="preserve">Question 3.4 [maximum </w:t>
      </w:r>
      <w:r w:rsidR="00B457BF">
        <w:rPr>
          <w:rFonts w:ascii="Avenir Next Demi Bold" w:hAnsi="Avenir Next Demi Bold" w:cs="Arial"/>
          <w:b/>
          <w:bCs/>
          <w:sz w:val="22"/>
          <w:szCs w:val="22"/>
          <w:lang w:val="en-GB"/>
        </w:rPr>
        <w:t>4</w:t>
      </w:r>
      <w:r w:rsidRPr="00447FE6">
        <w:rPr>
          <w:rFonts w:ascii="Avenir Next Demi Bold" w:hAnsi="Avenir Next Demi Bold" w:cs="Arial"/>
          <w:b/>
          <w:bCs/>
          <w:sz w:val="22"/>
          <w:szCs w:val="22"/>
          <w:lang w:val="en-GB"/>
        </w:rPr>
        <w:t xml:space="preserve"> mark</w:t>
      </w:r>
      <w:r w:rsidR="00B457BF">
        <w:rPr>
          <w:rFonts w:ascii="Avenir Next Demi Bold" w:hAnsi="Avenir Next Demi Bold" w:cs="Arial"/>
          <w:b/>
          <w:bCs/>
          <w:sz w:val="22"/>
          <w:szCs w:val="22"/>
          <w:lang w:val="en-GB"/>
        </w:rPr>
        <w:t>s</w:t>
      </w:r>
      <w:r w:rsidRPr="00447FE6">
        <w:rPr>
          <w:rFonts w:ascii="Avenir Next Demi Bold" w:hAnsi="Avenir Next Demi Bold" w:cs="Arial"/>
          <w:b/>
          <w:bCs/>
          <w:sz w:val="22"/>
          <w:szCs w:val="22"/>
          <w:lang w:val="en-GB"/>
        </w:rPr>
        <w:t>]</w:t>
      </w:r>
      <w:r w:rsidR="00D97F86">
        <w:rPr>
          <w:rFonts w:ascii="Avenir Next Demi Bold" w:hAnsi="Avenir Next Demi Bold" w:cs="Arial"/>
          <w:b/>
          <w:bCs/>
          <w:sz w:val="22"/>
          <w:szCs w:val="22"/>
          <w:lang w:val="en-GB"/>
        </w:rPr>
        <w:t xml:space="preserve"> </w:t>
      </w:r>
    </w:p>
    <w:p w14:paraId="6AD1D79E" w14:textId="77777777" w:rsidR="000077DD" w:rsidRPr="00E2622D" w:rsidRDefault="000077DD" w:rsidP="000077DD">
      <w:pPr>
        <w:rPr>
          <w:rFonts w:ascii="Avenir Next" w:hAnsi="Avenir Next" w:cs="Arial"/>
          <w:b/>
          <w:bCs/>
          <w:sz w:val="22"/>
          <w:szCs w:val="22"/>
          <w:lang w:val="en-GB"/>
        </w:rPr>
      </w:pPr>
    </w:p>
    <w:p w14:paraId="4FE42C7D" w14:textId="77777777" w:rsidR="009D66F1" w:rsidRDefault="00AF302B" w:rsidP="009D66F1">
      <w:pPr>
        <w:jc w:val="both"/>
        <w:rPr>
          <w:rFonts w:ascii="Avenir Next" w:hAnsi="Avenir Next" w:cs="Arial"/>
          <w:sz w:val="22"/>
          <w:szCs w:val="22"/>
          <w:lang w:val="en-GB"/>
        </w:rPr>
      </w:pPr>
      <w:r w:rsidRPr="000A7632">
        <w:rPr>
          <w:rFonts w:ascii="Avenir Next" w:hAnsi="Avenir Next" w:cs="Arial"/>
          <w:sz w:val="22"/>
          <w:szCs w:val="22"/>
          <w:lang w:val="en-GB"/>
        </w:rPr>
        <w:t>A foreign representative, who administers the assets of an insolvent debtor in an insolvency proceeding pending in Country A (where the foreign debtor has its registered office and not much more), commenced a proceeding in Country B to recogni</w:t>
      </w:r>
      <w:r>
        <w:rPr>
          <w:rFonts w:ascii="Avenir Next" w:hAnsi="Avenir Next" w:cs="Arial"/>
          <w:sz w:val="22"/>
          <w:szCs w:val="22"/>
          <w:lang w:val="en-GB"/>
        </w:rPr>
        <w:t>s</w:t>
      </w:r>
      <w:r w:rsidRPr="000A7632">
        <w:rPr>
          <w:rFonts w:ascii="Avenir Next" w:hAnsi="Avenir Next" w:cs="Arial"/>
          <w:sz w:val="22"/>
          <w:szCs w:val="22"/>
          <w:lang w:val="en-GB"/>
        </w:rPr>
        <w:t>e the foreign proceeding as the foreign main proceeding in order to sell certain assets within the territorial jurisdiction of Country B, but unfortunately the insolvency court considering the petition for recognition denied the recognition of the foreign proceeding as a foreign main proceeding. Explain what may or should the foreign representative do next? What should the foreign representative have done at the outset?</w:t>
      </w:r>
    </w:p>
    <w:p w14:paraId="2BEDAC48" w14:textId="77777777" w:rsidR="009D66F1" w:rsidRDefault="009D66F1" w:rsidP="009D66F1">
      <w:pPr>
        <w:jc w:val="both"/>
        <w:rPr>
          <w:rFonts w:ascii="Avenir Next" w:hAnsi="Avenir Next" w:cs="Arial"/>
          <w:sz w:val="22"/>
          <w:szCs w:val="22"/>
          <w:lang w:val="en-GB"/>
        </w:rPr>
      </w:pPr>
    </w:p>
    <w:p w14:paraId="4BFA93FB" w14:textId="77777777" w:rsidR="0075506A" w:rsidRDefault="009D66F1" w:rsidP="009D66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At the outset, the </w:t>
      </w:r>
      <w:r w:rsidRPr="009D66F1">
        <w:rPr>
          <w:rFonts w:ascii="Avenir Next" w:hAnsi="Avenir Next" w:cs="Arial"/>
          <w:color w:val="808080" w:themeColor="background1" w:themeShade="80"/>
          <w:sz w:val="22"/>
          <w:szCs w:val="22"/>
          <w:lang w:val="en-GB"/>
        </w:rPr>
        <w:t>foreign representative</w:t>
      </w:r>
      <w:r>
        <w:rPr>
          <w:rFonts w:ascii="Avenir Next" w:hAnsi="Avenir Next" w:cs="Arial"/>
          <w:color w:val="808080" w:themeColor="background1" w:themeShade="80"/>
          <w:sz w:val="22"/>
          <w:szCs w:val="22"/>
          <w:lang w:val="en-GB"/>
        </w:rPr>
        <w:t xml:space="preserve"> should have properly assessed where the debtor's COMI is. Based on the facts, it appears that the foreign representative has determined that the debtor's COMI is in Country </w:t>
      </w:r>
      <w:proofErr w:type="gramStart"/>
      <w:r>
        <w:rPr>
          <w:rFonts w:ascii="Avenir Next" w:hAnsi="Avenir Next" w:cs="Arial"/>
          <w:color w:val="808080" w:themeColor="background1" w:themeShade="80"/>
          <w:sz w:val="22"/>
          <w:szCs w:val="22"/>
          <w:lang w:val="en-GB"/>
        </w:rPr>
        <w:t>A based on the fact that</w:t>
      </w:r>
      <w:proofErr w:type="gramEnd"/>
      <w:r>
        <w:rPr>
          <w:rFonts w:ascii="Avenir Next" w:hAnsi="Avenir Next" w:cs="Arial"/>
          <w:color w:val="808080" w:themeColor="background1" w:themeShade="80"/>
          <w:sz w:val="22"/>
          <w:szCs w:val="22"/>
          <w:lang w:val="en-GB"/>
        </w:rPr>
        <w:t xml:space="preserve"> that is where the debtor's registered office is, but has not taken into consideration the fact that aside from that the debtor doesn’t have any other connection to Country A</w:t>
      </w:r>
      <w:r w:rsidR="00245523">
        <w:rPr>
          <w:rFonts w:ascii="Avenir Next" w:hAnsi="Avenir Next" w:cs="Arial"/>
          <w:color w:val="808080" w:themeColor="background1" w:themeShade="80"/>
          <w:sz w:val="22"/>
          <w:szCs w:val="22"/>
          <w:lang w:val="en-GB"/>
        </w:rPr>
        <w:t xml:space="preserve"> and has its assets in Country B</w:t>
      </w:r>
      <w:r>
        <w:rPr>
          <w:rFonts w:ascii="Avenir Next" w:hAnsi="Avenir Next" w:cs="Arial"/>
          <w:color w:val="808080" w:themeColor="background1" w:themeShade="80"/>
          <w:sz w:val="22"/>
          <w:szCs w:val="22"/>
          <w:lang w:val="en-GB"/>
        </w:rPr>
        <w:t xml:space="preserve">. </w:t>
      </w:r>
    </w:p>
    <w:p w14:paraId="4E1D74AB" w14:textId="77777777" w:rsidR="0075506A" w:rsidRDefault="0075506A" w:rsidP="009D66F1">
      <w:pPr>
        <w:jc w:val="both"/>
        <w:rPr>
          <w:rFonts w:ascii="Avenir Next" w:hAnsi="Avenir Next" w:cs="Arial"/>
          <w:color w:val="808080" w:themeColor="background1" w:themeShade="80"/>
          <w:sz w:val="22"/>
          <w:szCs w:val="22"/>
          <w:lang w:val="en-GB"/>
        </w:rPr>
      </w:pPr>
    </w:p>
    <w:p w14:paraId="3F64A9BA" w14:textId="670BE357" w:rsidR="009D66F1" w:rsidRDefault="00245523" w:rsidP="009D66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representative should have embarked on a fulsome and proper assessment of the debtor's COMI and then commenced proceedings in the proper state which may be Country B. </w:t>
      </w:r>
    </w:p>
    <w:p w14:paraId="15C0C8EB" w14:textId="77777777" w:rsidR="00245523" w:rsidRDefault="00245523" w:rsidP="009D66F1">
      <w:pPr>
        <w:jc w:val="both"/>
        <w:rPr>
          <w:rFonts w:ascii="Avenir Next" w:hAnsi="Avenir Next" w:cs="Arial"/>
          <w:color w:val="808080" w:themeColor="background1" w:themeShade="80"/>
          <w:sz w:val="22"/>
          <w:szCs w:val="22"/>
          <w:lang w:val="en-GB"/>
        </w:rPr>
      </w:pPr>
    </w:p>
    <w:p w14:paraId="746F9536" w14:textId="0D38EE17" w:rsidR="00245523" w:rsidRDefault="00245523" w:rsidP="009D66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Alternatively, if the </w:t>
      </w:r>
      <w:r w:rsidRPr="00245523">
        <w:rPr>
          <w:rFonts w:ascii="Avenir Next" w:hAnsi="Avenir Next" w:cs="Arial"/>
          <w:color w:val="808080" w:themeColor="background1" w:themeShade="80"/>
          <w:sz w:val="22"/>
          <w:szCs w:val="22"/>
          <w:lang w:val="en-GB"/>
        </w:rPr>
        <w:t xml:space="preserve">foreign representative </w:t>
      </w:r>
      <w:r>
        <w:rPr>
          <w:rFonts w:ascii="Avenir Next" w:hAnsi="Avenir Next" w:cs="Arial"/>
          <w:color w:val="808080" w:themeColor="background1" w:themeShade="80"/>
          <w:sz w:val="22"/>
          <w:szCs w:val="22"/>
          <w:lang w:val="en-GB"/>
        </w:rPr>
        <w:t>had any doubt that the debtor's COMI was in Country A, they could have applied for recognition in Country B on the basis that the Country A proceedings were foreign non-main proceedings.</w:t>
      </w:r>
    </w:p>
    <w:p w14:paraId="51DCC172" w14:textId="77777777" w:rsidR="00245523" w:rsidRDefault="00245523" w:rsidP="009D66F1">
      <w:pPr>
        <w:jc w:val="both"/>
        <w:rPr>
          <w:rFonts w:ascii="Avenir Next" w:hAnsi="Avenir Next" w:cs="Arial"/>
          <w:color w:val="808080" w:themeColor="background1" w:themeShade="80"/>
          <w:sz w:val="22"/>
          <w:szCs w:val="22"/>
          <w:lang w:val="en-GB"/>
        </w:rPr>
      </w:pPr>
    </w:p>
    <w:p w14:paraId="27495F64" w14:textId="6E75DDA2" w:rsidR="00245523" w:rsidRDefault="00245523" w:rsidP="00776F0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Pr="00245523">
        <w:rPr>
          <w:rFonts w:ascii="Avenir Next" w:hAnsi="Avenir Next" w:cs="Arial"/>
          <w:color w:val="808080" w:themeColor="background1" w:themeShade="80"/>
          <w:sz w:val="22"/>
          <w:szCs w:val="22"/>
          <w:lang w:val="en-GB"/>
        </w:rPr>
        <w:t>foreign representative</w:t>
      </w:r>
      <w:r>
        <w:rPr>
          <w:rFonts w:ascii="Avenir Next" w:hAnsi="Avenir Next" w:cs="Arial"/>
          <w:color w:val="808080" w:themeColor="background1" w:themeShade="80"/>
          <w:sz w:val="22"/>
          <w:szCs w:val="22"/>
          <w:lang w:val="en-GB"/>
        </w:rPr>
        <w:t xml:space="preserve"> could seek to appeal; however, the prospects of success seem low given </w:t>
      </w:r>
      <w:r w:rsidR="00776F0D">
        <w:rPr>
          <w:rFonts w:ascii="Avenir Next" w:hAnsi="Avenir Next" w:cs="Arial"/>
          <w:color w:val="808080" w:themeColor="background1" w:themeShade="80"/>
          <w:sz w:val="22"/>
          <w:szCs w:val="22"/>
          <w:lang w:val="en-GB"/>
        </w:rPr>
        <w:t>the assets in Country B and the other facts.</w:t>
      </w:r>
      <w:r>
        <w:rPr>
          <w:rFonts w:ascii="Avenir Next" w:hAnsi="Avenir Next" w:cs="Arial"/>
          <w:color w:val="808080" w:themeColor="background1" w:themeShade="80"/>
          <w:sz w:val="22"/>
          <w:szCs w:val="22"/>
          <w:lang w:val="en-GB"/>
        </w:rPr>
        <w:t xml:space="preserve"> </w:t>
      </w:r>
      <w:r w:rsidR="00776F0D">
        <w:rPr>
          <w:rFonts w:ascii="Avenir Next" w:hAnsi="Avenir Next" w:cs="Arial"/>
          <w:color w:val="808080" w:themeColor="background1" w:themeShade="80"/>
          <w:sz w:val="22"/>
          <w:szCs w:val="22"/>
          <w:lang w:val="en-GB"/>
        </w:rPr>
        <w:t xml:space="preserve">However, in Article 16(3) of the MLCBI </w:t>
      </w:r>
      <w:r w:rsidR="00776F0D" w:rsidRPr="00776F0D">
        <w:rPr>
          <w:rFonts w:ascii="Avenir Next" w:hAnsi="Avenir Next" w:cs="Arial"/>
          <w:color w:val="808080" w:themeColor="background1" w:themeShade="80"/>
          <w:sz w:val="22"/>
          <w:szCs w:val="22"/>
          <w:lang w:val="en-GB"/>
        </w:rPr>
        <w:t xml:space="preserve">does presume, </w:t>
      </w:r>
      <w:r w:rsidR="00776F0D">
        <w:rPr>
          <w:rFonts w:ascii="Avenir Next" w:hAnsi="Avenir Next" w:cs="Arial"/>
          <w:color w:val="808080" w:themeColor="background1" w:themeShade="80"/>
          <w:sz w:val="22"/>
          <w:szCs w:val="22"/>
          <w:lang w:val="en-GB"/>
        </w:rPr>
        <w:t xml:space="preserve">that </w:t>
      </w:r>
      <w:r w:rsidR="00776F0D" w:rsidRPr="00776F0D">
        <w:rPr>
          <w:rFonts w:ascii="Avenir Next" w:hAnsi="Avenir Next" w:cs="Arial"/>
          <w:color w:val="808080" w:themeColor="background1" w:themeShade="80"/>
          <w:sz w:val="22"/>
          <w:szCs w:val="22"/>
          <w:lang w:val="en-GB"/>
        </w:rPr>
        <w:t>in the</w:t>
      </w:r>
      <w:r w:rsidR="00776F0D">
        <w:rPr>
          <w:rFonts w:ascii="Avenir Next" w:hAnsi="Avenir Next" w:cs="Arial"/>
          <w:color w:val="808080" w:themeColor="background1" w:themeShade="80"/>
          <w:sz w:val="22"/>
          <w:szCs w:val="22"/>
          <w:lang w:val="en-GB"/>
        </w:rPr>
        <w:t xml:space="preserve"> </w:t>
      </w:r>
      <w:r w:rsidR="00776F0D" w:rsidRPr="00776F0D">
        <w:rPr>
          <w:rFonts w:ascii="Avenir Next" w:hAnsi="Avenir Next" w:cs="Arial"/>
          <w:color w:val="808080" w:themeColor="background1" w:themeShade="80"/>
          <w:sz w:val="22"/>
          <w:szCs w:val="22"/>
          <w:lang w:val="en-GB"/>
        </w:rPr>
        <w:t>absence of proof to the contrary, that the debtor’s registered office, is the debtor’s COMI</w:t>
      </w:r>
      <w:r w:rsidR="00776F0D">
        <w:rPr>
          <w:rFonts w:ascii="Avenir Next" w:hAnsi="Avenir Next" w:cs="Arial"/>
          <w:color w:val="808080" w:themeColor="background1" w:themeShade="80"/>
          <w:sz w:val="22"/>
          <w:szCs w:val="22"/>
          <w:lang w:val="en-GB"/>
        </w:rPr>
        <w:t xml:space="preserve">. Therefore, an appeal does not seem totally hopeless. </w:t>
      </w:r>
    </w:p>
    <w:p w14:paraId="7F01D74F" w14:textId="77777777" w:rsidR="00245523" w:rsidRDefault="00245523" w:rsidP="009D66F1">
      <w:pPr>
        <w:jc w:val="both"/>
        <w:rPr>
          <w:rFonts w:ascii="Avenir Next" w:hAnsi="Avenir Next" w:cs="Arial"/>
          <w:color w:val="808080" w:themeColor="background1" w:themeShade="80"/>
          <w:sz w:val="22"/>
          <w:szCs w:val="22"/>
          <w:lang w:val="en-GB"/>
        </w:rPr>
      </w:pPr>
    </w:p>
    <w:p w14:paraId="55D111B1" w14:textId="1D2A834A" w:rsidR="00867A8F" w:rsidRDefault="00245523" w:rsidP="009D66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Another option could be to commence new proceedings in the State where COMI is, that may be Country </w:t>
      </w:r>
      <w:r w:rsidR="006C415E">
        <w:rPr>
          <w:rFonts w:ascii="Avenir Next" w:hAnsi="Avenir Next" w:cs="Arial"/>
          <w:color w:val="808080" w:themeColor="background1" w:themeShade="80"/>
          <w:sz w:val="22"/>
          <w:szCs w:val="22"/>
          <w:lang w:val="en-GB"/>
        </w:rPr>
        <w:t>B,</w:t>
      </w:r>
      <w:r>
        <w:rPr>
          <w:rFonts w:ascii="Avenir Next" w:hAnsi="Avenir Next" w:cs="Arial"/>
          <w:color w:val="808080" w:themeColor="background1" w:themeShade="80"/>
          <w:sz w:val="22"/>
          <w:szCs w:val="22"/>
          <w:lang w:val="en-GB"/>
        </w:rPr>
        <w:t xml:space="preserve"> but a proper assessment should be completed. </w:t>
      </w:r>
    </w:p>
    <w:p w14:paraId="7FDB6431" w14:textId="77777777" w:rsidR="00776F0D" w:rsidRDefault="00776F0D" w:rsidP="009D66F1">
      <w:pPr>
        <w:jc w:val="both"/>
        <w:rPr>
          <w:rFonts w:ascii="Avenir Next" w:hAnsi="Avenir Next" w:cs="Arial"/>
          <w:color w:val="808080" w:themeColor="background1" w:themeShade="80"/>
          <w:sz w:val="22"/>
          <w:szCs w:val="22"/>
          <w:lang w:val="en-GB"/>
        </w:rPr>
      </w:pPr>
    </w:p>
    <w:p w14:paraId="704880A7" w14:textId="75F69206" w:rsidR="00776F0D" w:rsidRPr="00EB7B9D" w:rsidRDefault="00776F0D" w:rsidP="009D66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final option would be to </w:t>
      </w:r>
      <w:r w:rsidR="00A72A91">
        <w:rPr>
          <w:rFonts w:ascii="Avenir Next" w:hAnsi="Avenir Next" w:cs="Arial"/>
          <w:color w:val="808080" w:themeColor="background1" w:themeShade="80"/>
          <w:sz w:val="22"/>
          <w:szCs w:val="22"/>
          <w:lang w:val="en-GB"/>
        </w:rPr>
        <w:t>assess</w:t>
      </w:r>
      <w:r>
        <w:rPr>
          <w:rFonts w:ascii="Avenir Next" w:hAnsi="Avenir Next" w:cs="Arial"/>
          <w:color w:val="808080" w:themeColor="background1" w:themeShade="80"/>
          <w:sz w:val="22"/>
          <w:szCs w:val="22"/>
          <w:lang w:val="en-GB"/>
        </w:rPr>
        <w:t xml:space="preserve"> whether the debtor has an establishment in Country </w:t>
      </w:r>
      <w:proofErr w:type="gramStart"/>
      <w:r>
        <w:rPr>
          <w:rFonts w:ascii="Avenir Next" w:hAnsi="Avenir Next" w:cs="Arial"/>
          <w:color w:val="808080" w:themeColor="background1" w:themeShade="80"/>
          <w:sz w:val="22"/>
          <w:szCs w:val="22"/>
          <w:lang w:val="en-GB"/>
        </w:rPr>
        <w:t>A, and</w:t>
      </w:r>
      <w:proofErr w:type="gramEnd"/>
      <w:r>
        <w:rPr>
          <w:rFonts w:ascii="Avenir Next" w:hAnsi="Avenir Next" w:cs="Arial"/>
          <w:color w:val="808080" w:themeColor="background1" w:themeShade="80"/>
          <w:sz w:val="22"/>
          <w:szCs w:val="22"/>
          <w:lang w:val="en-GB"/>
        </w:rPr>
        <w:t xml:space="preserve"> apply for recognition based on those proceedings being non-main proceedings, however, that also seems unlikely if all the debtor has in country A is a registered office. </w:t>
      </w:r>
    </w:p>
    <w:p w14:paraId="3D580F8D" w14:textId="5F614FF0" w:rsidR="00B70D6A" w:rsidRPr="00B70D6A" w:rsidRDefault="00B70D6A" w:rsidP="00707FC8">
      <w:pPr>
        <w:jc w:val="both"/>
        <w:rPr>
          <w:rFonts w:ascii="Avenir Next" w:hAnsi="Avenir Next" w:cs="Arial"/>
          <w:bCs/>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3A8EA3B9" w14:textId="6A6DF3B4" w:rsidR="00A153F7" w:rsidRDefault="00A153F7" w:rsidP="00707FC8">
      <w:pPr>
        <w:jc w:val="both"/>
        <w:rPr>
          <w:rFonts w:ascii="Avenir Next Demi Bold" w:hAnsi="Avenir Next Demi Bold" w:cs="Arial"/>
          <w:b/>
          <w:bCs/>
          <w:color w:val="FF0000"/>
          <w:sz w:val="22"/>
          <w:szCs w:val="22"/>
          <w:lang w:val="en-GB"/>
        </w:rPr>
      </w:pPr>
      <w:bookmarkStart w:id="1" w:name="_Hlk17745211"/>
    </w:p>
    <w:p w14:paraId="27C7EB6F" w14:textId="77777777" w:rsidR="009E3CA7" w:rsidRDefault="009E3CA7" w:rsidP="009E3CA7">
      <w:pPr>
        <w:jc w:val="both"/>
        <w:rPr>
          <w:rFonts w:ascii="Avenir Next Demi Bold" w:hAnsi="Avenir Next Demi Bold" w:cs="Arial"/>
          <w:b/>
          <w:bCs/>
          <w:color w:val="FF0000"/>
          <w:sz w:val="22"/>
          <w:szCs w:val="22"/>
          <w:lang w:val="en-GB"/>
        </w:rPr>
      </w:pPr>
      <w:r w:rsidRPr="0032367D">
        <w:rPr>
          <w:rFonts w:ascii="Avenir Next Demi Bold" w:hAnsi="Avenir Next Demi Bold" w:cs="Arial"/>
          <w:b/>
          <w:bCs/>
          <w:color w:val="FF0000"/>
          <w:sz w:val="22"/>
          <w:szCs w:val="22"/>
          <w:lang w:val="en-GB"/>
        </w:rPr>
        <w:t xml:space="preserve">Assume you received a file for a new client of the firm. The file contains the facts described below. Based on these facts, analyse </w:t>
      </w:r>
      <w:r>
        <w:rPr>
          <w:rFonts w:ascii="Avenir Next Demi Bold" w:hAnsi="Avenir Next Demi Bold" w:cs="Arial"/>
          <w:b/>
          <w:bCs/>
          <w:color w:val="FF0000"/>
          <w:sz w:val="22"/>
          <w:szCs w:val="22"/>
          <w:lang w:val="en-GB"/>
        </w:rPr>
        <w:t xml:space="preserve">key </w:t>
      </w:r>
      <w:r w:rsidRPr="0032367D">
        <w:rPr>
          <w:rFonts w:ascii="Avenir Next Demi Bold" w:hAnsi="Avenir Next Demi Bold" w:cs="Arial"/>
          <w:b/>
          <w:bCs/>
          <w:color w:val="FF0000"/>
          <w:sz w:val="22"/>
          <w:szCs w:val="22"/>
          <w:lang w:val="en-GB"/>
        </w:rPr>
        <w:t>filing strategy to ensure a successful restructuring</w:t>
      </w:r>
      <w:r>
        <w:rPr>
          <w:rFonts w:ascii="Avenir Next Demi Bold" w:hAnsi="Avenir Next Demi Bold" w:cs="Arial"/>
          <w:b/>
          <w:bCs/>
          <w:color w:val="FF0000"/>
          <w:sz w:val="22"/>
          <w:szCs w:val="22"/>
          <w:lang w:val="en-GB"/>
        </w:rPr>
        <w:t xml:space="preserve"> – specifically, whether to apply for recognition of main or nonmain proceeding or both (in light of COMI / establishment analysis), what papers need to be submitted, and what relief should be requested on day one of the filing</w:t>
      </w:r>
      <w:r w:rsidRPr="0032367D">
        <w:rPr>
          <w:rFonts w:ascii="Avenir Next Demi Bold" w:hAnsi="Avenir Next Demi Bold" w:cs="Arial"/>
          <w:b/>
          <w:bCs/>
          <w:color w:val="FF0000"/>
          <w:sz w:val="22"/>
          <w:szCs w:val="22"/>
          <w:lang w:val="en-GB"/>
        </w:rPr>
        <w:t>.</w:t>
      </w:r>
    </w:p>
    <w:p w14:paraId="3B9FC728" w14:textId="77777777" w:rsidR="009E3CA7" w:rsidRPr="00BB54E9" w:rsidRDefault="009E3CA7" w:rsidP="009E3CA7">
      <w:pPr>
        <w:jc w:val="both"/>
        <w:rPr>
          <w:rFonts w:ascii="Avenir Next Demi Bold" w:hAnsi="Avenir Next Demi Bold" w:cs="Arial"/>
          <w:b/>
          <w:bCs/>
          <w:color w:val="FF0000"/>
          <w:sz w:val="22"/>
          <w:szCs w:val="22"/>
          <w:lang w:val="en-GB"/>
        </w:rPr>
      </w:pPr>
    </w:p>
    <w:p w14:paraId="7BA82E75" w14:textId="1CF74590" w:rsidR="009E3CA7" w:rsidRPr="00D17993" w:rsidRDefault="009E3CA7" w:rsidP="009E3CA7">
      <w:pPr>
        <w:jc w:val="both"/>
        <w:rPr>
          <w:rFonts w:ascii="Avenir Next" w:hAnsi="Avenir Next"/>
          <w:sz w:val="22"/>
          <w:szCs w:val="28"/>
        </w:rPr>
      </w:pPr>
      <w:r w:rsidRPr="00D17993">
        <w:rPr>
          <w:rFonts w:ascii="Avenir Next" w:hAnsi="Avenir Next"/>
          <w:sz w:val="22"/>
          <w:szCs w:val="28"/>
        </w:rPr>
        <w:t xml:space="preserve">The client is a Cayman Islands incorporated and registered entity. It is a financial service holding company for a number of direct and indirect subsidiaries that operate in the commercial automobile insurance sector in the United States. Globe Holdings was initially formed as a Canadian company in 2009, under the laws of Ontario, Canada. A year later, following certain reverse merger transactions, it filed a Certificate of Registration by Way of Continuation in the Cayman Islands to re-domesticate as a Cayman Islands company and changed its name to Globe Financial Holdings Inc.  When it re-incorporated in the Cayman Islands in 2010 (from Canada), </w:t>
      </w:r>
      <w:bookmarkStart w:id="2" w:name="_Hlk97111003"/>
      <w:r w:rsidRPr="00D17993">
        <w:rPr>
          <w:rFonts w:ascii="Avenir Next" w:hAnsi="Avenir Next"/>
          <w:sz w:val="22"/>
          <w:szCs w:val="28"/>
        </w:rPr>
        <w:t>Globe Holdings</w:t>
      </w:r>
      <w:bookmarkEnd w:id="2"/>
      <w:r w:rsidRPr="00D17993">
        <w:rPr>
          <w:rFonts w:ascii="Avenir Next" w:hAnsi="Avenir Next"/>
          <w:sz w:val="22"/>
          <w:szCs w:val="28"/>
        </w:rPr>
        <w:t xml:space="preserve"> provided various notices of its re-incorporation, including in the public filings with the Securities and Exchange Commission (SEC). Around that time, Globe Holdings retained its Cayman Islands counsel Cedar and Woods, which has regularly represented Globe Holdings for over a decade.</w:t>
      </w:r>
      <w:bookmarkStart w:id="3" w:name="_Hlk97059506"/>
      <w:r w:rsidRPr="00D17993">
        <w:rPr>
          <w:rFonts w:ascii="Avenir Next" w:hAnsi="Avenir Next"/>
          <w:sz w:val="22"/>
          <w:szCs w:val="28"/>
        </w:rPr>
        <w:t xml:space="preserve"> Globe Holdings has a bank account (opened just a few days ago) in the Cayman Islands from which it pays certain of its operating expenses.  Globe Holdings often holds its board meetings virtually, and not physically in the Cayman Islands, and, having obtained support for a bond restructuring, all its regular and special board meetings have been organi</w:t>
      </w:r>
      <w:r w:rsidR="00B66441" w:rsidRPr="00D17993">
        <w:rPr>
          <w:rFonts w:ascii="Avenir Next" w:hAnsi="Avenir Next"/>
          <w:sz w:val="22"/>
          <w:szCs w:val="28"/>
        </w:rPr>
        <w:t>z</w:t>
      </w:r>
      <w:r w:rsidRPr="00D17993">
        <w:rPr>
          <w:rFonts w:ascii="Avenir Next" w:hAnsi="Avenir Next"/>
          <w:sz w:val="22"/>
          <w:szCs w:val="28"/>
        </w:rPr>
        <w:t>ed by its local Cayman counsel virtually.  The client also maintains its books and records in the Cayman Islands.  Its public filings with the SEC as well as the prospectus provided in connection with the issuance of the Notes disclosed that Globe Holdings is a Cayman Islands company and explained the related indemnification and tax consequences resulting from Globe Holdings’ place of reformation.</w:t>
      </w:r>
      <w:bookmarkEnd w:id="3"/>
    </w:p>
    <w:p w14:paraId="7E0B320A" w14:textId="77777777" w:rsidR="009E3CA7" w:rsidRPr="00D17993" w:rsidRDefault="009E3CA7" w:rsidP="009E3CA7">
      <w:pPr>
        <w:jc w:val="both"/>
        <w:rPr>
          <w:rFonts w:ascii="Avenir Next" w:hAnsi="Avenir Next"/>
          <w:sz w:val="22"/>
          <w:szCs w:val="28"/>
        </w:rPr>
      </w:pPr>
    </w:p>
    <w:p w14:paraId="0E8BAD6F" w14:textId="77777777" w:rsidR="009E3CA7" w:rsidRPr="00D17993" w:rsidRDefault="009E3CA7" w:rsidP="009E3CA7">
      <w:pPr>
        <w:jc w:val="both"/>
        <w:rPr>
          <w:rFonts w:ascii="Avenir Next" w:hAnsi="Avenir Next"/>
          <w:sz w:val="22"/>
          <w:szCs w:val="28"/>
        </w:rPr>
      </w:pPr>
      <w:bookmarkStart w:id="4" w:name="_Hlk158997880"/>
      <w:r w:rsidRPr="00D17993">
        <w:rPr>
          <w:rFonts w:ascii="Avenir Next" w:hAnsi="Avenir Next"/>
          <w:sz w:val="22"/>
          <w:szCs w:val="28"/>
        </w:rPr>
        <w:t>Globe Holdings has no business operations of its own. The business is carried out through its non-insurance company non-debtor subsidiaries that are all incorporated under the US laws and operating in the US. All employees are in the US. The headquarters are also in the US.</w:t>
      </w:r>
    </w:p>
    <w:p w14:paraId="1F894249" w14:textId="77777777" w:rsidR="009E3CA7" w:rsidRPr="00D17993" w:rsidRDefault="009E3CA7" w:rsidP="009E3CA7">
      <w:pPr>
        <w:jc w:val="both"/>
        <w:rPr>
          <w:rFonts w:ascii="Avenir Next" w:hAnsi="Avenir Next"/>
          <w:sz w:val="22"/>
          <w:szCs w:val="28"/>
        </w:rPr>
      </w:pPr>
    </w:p>
    <w:p w14:paraId="6FC09E84" w14:textId="77777777" w:rsidR="009E3CA7" w:rsidRPr="00D17993" w:rsidRDefault="009E3CA7" w:rsidP="009E3CA7">
      <w:pPr>
        <w:jc w:val="both"/>
        <w:rPr>
          <w:rFonts w:ascii="Avenir Next" w:hAnsi="Avenir Next"/>
          <w:sz w:val="22"/>
          <w:szCs w:val="28"/>
        </w:rPr>
      </w:pPr>
      <w:r w:rsidRPr="00D17993">
        <w:rPr>
          <w:rFonts w:ascii="Avenir Next" w:hAnsi="Avenir Next"/>
          <w:sz w:val="22"/>
          <w:szCs w:val="28"/>
        </w:rPr>
        <w:t xml:space="preserve">In April 2017, Globe Holdings offered and issued USD 25,000,000 in aggregate nominal principal amount of 6.625% senior unsecured notes due in 2023 (referenced above as the Notes) governed by New York law.  </w:t>
      </w:r>
    </w:p>
    <w:p w14:paraId="4B8E3067" w14:textId="77777777" w:rsidR="009E3CA7" w:rsidRPr="00D17993" w:rsidRDefault="009E3CA7" w:rsidP="009E3CA7">
      <w:pPr>
        <w:jc w:val="both"/>
        <w:rPr>
          <w:rFonts w:ascii="Avenir Next" w:hAnsi="Avenir Next"/>
          <w:sz w:val="22"/>
          <w:szCs w:val="28"/>
        </w:rPr>
      </w:pPr>
      <w:bookmarkStart w:id="5" w:name="_Hlk96030072"/>
    </w:p>
    <w:p w14:paraId="28E3C266" w14:textId="77777777" w:rsidR="009E3CA7" w:rsidRPr="00D17993" w:rsidRDefault="009E3CA7" w:rsidP="009E3CA7">
      <w:pPr>
        <w:jc w:val="both"/>
        <w:rPr>
          <w:rFonts w:ascii="Avenir Next" w:hAnsi="Avenir Next"/>
          <w:sz w:val="22"/>
          <w:szCs w:val="28"/>
        </w:rPr>
      </w:pPr>
      <w:r w:rsidRPr="00D17993">
        <w:rPr>
          <w:rFonts w:ascii="Avenir Next" w:hAnsi="Avenir Next"/>
          <w:sz w:val="22"/>
          <w:szCs w:val="28"/>
          <w:lang w:val="en-GB"/>
        </w:rPr>
        <w:t>In 2019, Globe Holdings recorded on its consolidated balance sheet a significant increase in liabilities.</w:t>
      </w:r>
      <w:r w:rsidRPr="00D17993">
        <w:rPr>
          <w:rFonts w:ascii="Avenir Next" w:hAnsi="Avenir Next"/>
          <w:sz w:val="22"/>
          <w:szCs w:val="28"/>
        </w:rPr>
        <w:t xml:space="preserve"> </w:t>
      </w:r>
      <w:r w:rsidRPr="00D17993">
        <w:rPr>
          <w:rFonts w:ascii="Avenir Next" w:hAnsi="Avenir Next"/>
          <w:sz w:val="22"/>
          <w:szCs w:val="28"/>
          <w:lang w:val="en-GB"/>
        </w:rPr>
        <w:t xml:space="preserve">As a result, Globe Holdings worked with external professional advisors to undertake a formal strategic evaluation of its subsidiaries’ businesses.  </w:t>
      </w:r>
      <w:r w:rsidRPr="00D17993">
        <w:rPr>
          <w:rFonts w:ascii="Avenir Next" w:hAnsi="Avenir Next"/>
          <w:sz w:val="22"/>
          <w:szCs w:val="28"/>
        </w:rPr>
        <w:t xml:space="preserve">In September 2020, </w:t>
      </w:r>
      <w:r w:rsidRPr="00D17993">
        <w:rPr>
          <w:rFonts w:ascii="Avenir Next" w:hAnsi="Avenir Next"/>
          <w:sz w:val="22"/>
          <w:szCs w:val="28"/>
          <w:lang w:val="en-GB"/>
        </w:rPr>
        <w:t xml:space="preserve">Globe Holdings </w:t>
      </w:r>
      <w:r w:rsidRPr="00D17993">
        <w:rPr>
          <w:rFonts w:ascii="Avenir Next" w:hAnsi="Avenir Next"/>
          <w:sz w:val="22"/>
          <w:szCs w:val="28"/>
        </w:rPr>
        <w:t>announced that it was informed its shares would be suspended from the NASDAQ Stock Market due to delinquencies in filing its 10-K. Thereafter, on November 6, 2020, its shares were delisted from the NASDAQ stock market.</w:t>
      </w:r>
    </w:p>
    <w:p w14:paraId="44A59ADF" w14:textId="77777777" w:rsidR="009E3CA7" w:rsidRPr="00D17993" w:rsidRDefault="009E3CA7" w:rsidP="009E3CA7">
      <w:pPr>
        <w:jc w:val="both"/>
        <w:rPr>
          <w:rFonts w:ascii="Avenir Next" w:hAnsi="Avenir Next"/>
          <w:sz w:val="22"/>
          <w:szCs w:val="28"/>
        </w:rPr>
      </w:pPr>
    </w:p>
    <w:p w14:paraId="2033325B" w14:textId="77777777" w:rsidR="009E3CA7" w:rsidRPr="00D17993" w:rsidRDefault="009E3CA7" w:rsidP="009E3CA7">
      <w:pPr>
        <w:jc w:val="both"/>
        <w:rPr>
          <w:rFonts w:ascii="Avenir Next" w:hAnsi="Avenir Next"/>
          <w:sz w:val="22"/>
          <w:szCs w:val="28"/>
        </w:rPr>
      </w:pPr>
      <w:r w:rsidRPr="00D17993">
        <w:rPr>
          <w:rFonts w:ascii="Avenir Next" w:hAnsi="Avenir Next"/>
          <w:sz w:val="22"/>
          <w:szCs w:val="28"/>
        </w:rPr>
        <w:lastRenderedPageBreak/>
        <w:t xml:space="preserve">An independent third party is actively marketing the sale of the corporate headquarters located in New York including the land, building, building improvements and contents including furniture and fixtures.  </w:t>
      </w:r>
    </w:p>
    <w:bookmarkEnd w:id="4"/>
    <w:p w14:paraId="671FA2A0" w14:textId="77777777" w:rsidR="009E3CA7" w:rsidRPr="00D17993" w:rsidRDefault="009E3CA7" w:rsidP="009E3CA7">
      <w:pPr>
        <w:jc w:val="both"/>
        <w:rPr>
          <w:rFonts w:ascii="Avenir Next" w:hAnsi="Avenir Next"/>
          <w:sz w:val="22"/>
          <w:szCs w:val="28"/>
        </w:rPr>
      </w:pPr>
    </w:p>
    <w:p w14:paraId="43AEBE99" w14:textId="77777777" w:rsidR="009E3CA7" w:rsidRPr="00D17993" w:rsidRDefault="009E3CA7" w:rsidP="009E3CA7">
      <w:pPr>
        <w:jc w:val="both"/>
        <w:rPr>
          <w:rFonts w:ascii="Avenir Next" w:hAnsi="Avenir Next"/>
          <w:sz w:val="22"/>
          <w:szCs w:val="28"/>
        </w:rPr>
      </w:pPr>
      <w:r w:rsidRPr="00D17993">
        <w:rPr>
          <w:rFonts w:ascii="Avenir Next" w:hAnsi="Avenir Next"/>
          <w:sz w:val="22"/>
          <w:szCs w:val="28"/>
        </w:rPr>
        <w:t xml:space="preserve">Despite these efforts to ease the financial stress, the culmination of incremental challenges consequently resulted in </w:t>
      </w:r>
      <w:r w:rsidRPr="00D17993">
        <w:rPr>
          <w:rFonts w:ascii="Avenir Next" w:hAnsi="Avenir Next"/>
          <w:sz w:val="22"/>
          <w:szCs w:val="28"/>
          <w:lang w:val="en-GB"/>
        </w:rPr>
        <w:t xml:space="preserve">Globe Holdings </w:t>
      </w:r>
      <w:r w:rsidRPr="00D17993">
        <w:rPr>
          <w:rFonts w:ascii="Avenir Next" w:hAnsi="Avenir Next"/>
          <w:sz w:val="22"/>
          <w:szCs w:val="28"/>
        </w:rPr>
        <w:t xml:space="preserve">being both cash flow and balance sheet insolvent.  </w:t>
      </w:r>
      <w:bookmarkEnd w:id="5"/>
    </w:p>
    <w:p w14:paraId="21D2D1B2" w14:textId="77777777" w:rsidR="009E3CA7" w:rsidRPr="00D17993" w:rsidRDefault="009E3CA7" w:rsidP="009E3CA7">
      <w:pPr>
        <w:jc w:val="both"/>
        <w:rPr>
          <w:rFonts w:ascii="Avenir Next" w:hAnsi="Avenir Next"/>
          <w:sz w:val="22"/>
          <w:szCs w:val="28"/>
        </w:rPr>
      </w:pPr>
    </w:p>
    <w:p w14:paraId="2FC35289" w14:textId="77777777" w:rsidR="009E3CA7" w:rsidRPr="00D17993" w:rsidRDefault="009E3CA7" w:rsidP="009E3CA7">
      <w:pPr>
        <w:jc w:val="both"/>
        <w:rPr>
          <w:rFonts w:ascii="Avenir Next" w:hAnsi="Avenir Next"/>
          <w:sz w:val="22"/>
          <w:szCs w:val="28"/>
        </w:rPr>
      </w:pPr>
      <w:r w:rsidRPr="00D17993">
        <w:rPr>
          <w:rFonts w:ascii="Avenir Next" w:hAnsi="Avenir Next"/>
          <w:sz w:val="22"/>
          <w:szCs w:val="28"/>
          <w:lang w:val="en-GB"/>
        </w:rPr>
        <w:t xml:space="preserve">Globe Holdings </w:t>
      </w:r>
      <w:r w:rsidRPr="00D17993">
        <w:rPr>
          <w:rFonts w:ascii="Avenir Next" w:hAnsi="Avenir Next"/>
          <w:sz w:val="22"/>
          <w:szCs w:val="28"/>
        </w:rPr>
        <w:t xml:space="preserve">retained Cedar and Woods, its long-standing Cayman Islands counsel, to advise on restructuring alternatives. Upon consultations with Cayman counsel and its other professionals, </w:t>
      </w:r>
      <w:r w:rsidRPr="00D17993">
        <w:rPr>
          <w:rFonts w:ascii="Avenir Next" w:hAnsi="Avenir Next"/>
          <w:sz w:val="22"/>
          <w:szCs w:val="28"/>
          <w:lang w:val="en-GB"/>
        </w:rPr>
        <w:t xml:space="preserve">Globe Holdings </w:t>
      </w:r>
      <w:r w:rsidRPr="00D17993">
        <w:rPr>
          <w:rFonts w:ascii="Avenir Next" w:hAnsi="Avenir Next"/>
          <w:sz w:val="22"/>
          <w:szCs w:val="28"/>
        </w:rPr>
        <w:t>ultimately determined that the most value accretive path for the Noteholders was to commence a scheme under Cayman Islands law, followed by a chapter 15 recognition proceeding in the United States, most notably to extend the maturity of the Notes and obtain the flexibility to pay the quarterly interest “in kind”.</w:t>
      </w:r>
    </w:p>
    <w:p w14:paraId="73422670" w14:textId="77777777" w:rsidR="009E3CA7" w:rsidRPr="00D17993" w:rsidRDefault="009E3CA7" w:rsidP="009E3CA7">
      <w:pPr>
        <w:jc w:val="both"/>
        <w:rPr>
          <w:rFonts w:ascii="Avenir Next" w:hAnsi="Avenir Next"/>
          <w:sz w:val="22"/>
          <w:szCs w:val="28"/>
        </w:rPr>
      </w:pPr>
    </w:p>
    <w:p w14:paraId="4BC97A44" w14:textId="53A995C7" w:rsidR="009E3CA7" w:rsidRPr="00D17993" w:rsidRDefault="009E3CA7" w:rsidP="009E3CA7">
      <w:pPr>
        <w:jc w:val="both"/>
        <w:rPr>
          <w:rFonts w:ascii="Avenir Next" w:hAnsi="Avenir Next"/>
          <w:sz w:val="22"/>
          <w:szCs w:val="28"/>
        </w:rPr>
      </w:pPr>
      <w:r w:rsidRPr="00D17993">
        <w:rPr>
          <w:rFonts w:ascii="Avenir Next" w:hAnsi="Avenir Next"/>
          <w:sz w:val="22"/>
          <w:szCs w:val="28"/>
          <w:lang w:val="en-GB"/>
        </w:rPr>
        <w:t>Globe Holdings</w:t>
      </w:r>
      <w:r w:rsidRPr="00D17993">
        <w:rPr>
          <w:rFonts w:ascii="Avenir Next" w:hAnsi="Avenir Next"/>
          <w:sz w:val="22"/>
          <w:szCs w:val="28"/>
        </w:rPr>
        <w:t xml:space="preserve"> expeditiously secured the support of the majority of the Noteholders of its decision to delay interest payments and restructure the Notes through a formal proceeding. Thereafter, on August 31, 2021, about 57% of the Noteholders acceded to the Restructuring Support Agreement (RSA) governed by the New York law.  The RSA memoriali</w:t>
      </w:r>
      <w:r w:rsidR="00B66441" w:rsidRPr="00D17993">
        <w:rPr>
          <w:rFonts w:ascii="Avenir Next" w:hAnsi="Avenir Next"/>
          <w:sz w:val="22"/>
          <w:szCs w:val="28"/>
        </w:rPr>
        <w:t>z</w:t>
      </w:r>
      <w:r w:rsidRPr="00D17993">
        <w:rPr>
          <w:rFonts w:ascii="Avenir Next" w:hAnsi="Avenir Next"/>
          <w:sz w:val="22"/>
          <w:szCs w:val="28"/>
        </w:rPr>
        <w:t xml:space="preserve">ed the agreed-upon terms of the Note Restructuring. When </w:t>
      </w:r>
      <w:r w:rsidRPr="00D17993">
        <w:rPr>
          <w:rFonts w:ascii="Avenir Next" w:hAnsi="Avenir Next"/>
          <w:sz w:val="22"/>
          <w:szCs w:val="28"/>
          <w:lang w:val="en-GB"/>
        </w:rPr>
        <w:t xml:space="preserve">Globe Holdings </w:t>
      </w:r>
      <w:r w:rsidRPr="00D17993">
        <w:rPr>
          <w:rFonts w:ascii="Avenir Next" w:hAnsi="Avenir Next"/>
          <w:sz w:val="22"/>
          <w:szCs w:val="28"/>
        </w:rPr>
        <w:t>approached its largest Noteholders regarding the contemplated restructuring, their expectations were that any such restructuring would take place in the Cayman Islands, which is reflected in the RSA.</w:t>
      </w:r>
    </w:p>
    <w:p w14:paraId="0B646BFB" w14:textId="77777777" w:rsidR="009E3CA7" w:rsidRPr="00D17993" w:rsidRDefault="009E3CA7" w:rsidP="009E3CA7">
      <w:pPr>
        <w:jc w:val="both"/>
        <w:rPr>
          <w:rFonts w:ascii="Avenir Next" w:hAnsi="Avenir Next"/>
          <w:sz w:val="22"/>
          <w:szCs w:val="28"/>
        </w:rPr>
      </w:pPr>
    </w:p>
    <w:p w14:paraId="268F3787" w14:textId="77777777" w:rsidR="009E3CA7" w:rsidRPr="00D17993" w:rsidRDefault="009E3CA7" w:rsidP="009E3CA7">
      <w:pPr>
        <w:jc w:val="both"/>
        <w:rPr>
          <w:rFonts w:ascii="Avenir Next" w:hAnsi="Avenir Next"/>
          <w:sz w:val="22"/>
          <w:szCs w:val="28"/>
        </w:rPr>
      </w:pPr>
      <w:r w:rsidRPr="00D17993">
        <w:rPr>
          <w:rFonts w:ascii="Avenir Next" w:hAnsi="Avenir Next"/>
          <w:sz w:val="22"/>
          <w:szCs w:val="28"/>
        </w:rPr>
        <w:t xml:space="preserve">On July 4, 2023, the client, in accordance with the terms of the RSA, applied to the Cayman Court for permission to convene a single scheme meeting on the basis that the Noteholders, as the only Scheme Creditors, should constitute a single class of creditors for the purpose of voting on the Scheme. </w:t>
      </w:r>
    </w:p>
    <w:p w14:paraId="5F520A7C" w14:textId="77777777" w:rsidR="009E3CA7" w:rsidRPr="00D17993" w:rsidRDefault="009E3CA7" w:rsidP="009E3CA7">
      <w:pPr>
        <w:jc w:val="both"/>
        <w:rPr>
          <w:rFonts w:ascii="Avenir Next" w:hAnsi="Avenir Next"/>
          <w:sz w:val="22"/>
          <w:szCs w:val="28"/>
        </w:rPr>
      </w:pPr>
    </w:p>
    <w:p w14:paraId="69692C15" w14:textId="608E7D00" w:rsidR="009E3CA7" w:rsidRDefault="009E3CA7" w:rsidP="009E3CA7">
      <w:pPr>
        <w:jc w:val="both"/>
        <w:rPr>
          <w:rFonts w:ascii="Avenir Next" w:hAnsi="Avenir Next"/>
          <w:sz w:val="22"/>
          <w:szCs w:val="28"/>
        </w:rPr>
      </w:pPr>
      <w:r w:rsidRPr="00D17993">
        <w:rPr>
          <w:rFonts w:ascii="Avenir Next" w:hAnsi="Avenir Next"/>
          <w:sz w:val="22"/>
          <w:szCs w:val="28"/>
        </w:rPr>
        <w:t>On July 26, 2023 the Cayman Court entered a convening order (the Convening Order) on the papers, among other things, authori</w:t>
      </w:r>
      <w:r w:rsidR="00B66441" w:rsidRPr="00D17993">
        <w:rPr>
          <w:rFonts w:ascii="Avenir Next" w:hAnsi="Avenir Next"/>
          <w:sz w:val="22"/>
          <w:szCs w:val="28"/>
        </w:rPr>
        <w:t>z</w:t>
      </w:r>
      <w:r w:rsidRPr="00D17993">
        <w:rPr>
          <w:rFonts w:ascii="Avenir Next" w:hAnsi="Avenir Next"/>
          <w:sz w:val="22"/>
          <w:szCs w:val="28"/>
        </w:rPr>
        <w:t>ing the client to convene a single Scheme Meeting for the purpose of considering and, through a majority vote, approving, with or without modification, the Scheme.  The Scheme Meeting was held in the Cayman Islands at the offices of Cedar and Woods.</w:t>
      </w:r>
      <w:r w:rsidRPr="00D17993">
        <w:rPr>
          <w:rFonts w:ascii="Avenir Next" w:hAnsi="Avenir Next"/>
          <w:sz w:val="22"/>
          <w:szCs w:val="28"/>
          <w:vertAlign w:val="superscript"/>
        </w:rPr>
        <w:t xml:space="preserve"> </w:t>
      </w:r>
      <w:r w:rsidRPr="00D17993">
        <w:rPr>
          <w:rFonts w:ascii="Avenir Next" w:hAnsi="Avenir Next"/>
          <w:sz w:val="22"/>
          <w:szCs w:val="28"/>
        </w:rPr>
        <w:t>Given the Covid-19 pandemic, Scheme Creditors were also afforded the convenience of observing the Scheme Meeting via Zoom and in person via a satellite location in New York. Following the Scheme Meeting, the chairman of the Scheme Meeting (presiding over the meeting in person) reported to the Cayman Court that the Scheme was overwhelmingly supported by the Noteholders, with 91.83% in number and 99.34% in value voting in favor of the Scheme. The Sanction Hearing was held, and an order sanctioning the Scheme (the Sanction Order), which was filed with the Cayman Islands Registrar of Companies the same day.</w:t>
      </w:r>
    </w:p>
    <w:p w14:paraId="02CD1732" w14:textId="77777777" w:rsidR="009E3CA7" w:rsidRDefault="009E3CA7" w:rsidP="009E3CA7">
      <w:pPr>
        <w:jc w:val="both"/>
        <w:rPr>
          <w:rFonts w:ascii="Avenir Next" w:hAnsi="Avenir Next"/>
          <w:sz w:val="22"/>
          <w:szCs w:val="28"/>
        </w:rPr>
      </w:pPr>
    </w:p>
    <w:p w14:paraId="10FF8C6B" w14:textId="77777777" w:rsidR="009E3CA7" w:rsidRDefault="009E3CA7" w:rsidP="009E3CA7">
      <w:pPr>
        <w:jc w:val="both"/>
        <w:rPr>
          <w:rFonts w:ascii="Avenir Next" w:hAnsi="Avenir Next"/>
          <w:sz w:val="22"/>
          <w:szCs w:val="28"/>
        </w:rPr>
      </w:pPr>
      <w:r>
        <w:rPr>
          <w:rFonts w:ascii="Avenir Next" w:hAnsi="Avenir Next"/>
          <w:sz w:val="22"/>
          <w:szCs w:val="28"/>
        </w:rPr>
        <w:t xml:space="preserve">During all of this time, a class action litigation was in the US was brewing but has been filed yet. </w:t>
      </w:r>
    </w:p>
    <w:p w14:paraId="36BAA1A4" w14:textId="77777777" w:rsidR="009E3CA7" w:rsidRDefault="009E3CA7" w:rsidP="009E3CA7">
      <w:pPr>
        <w:jc w:val="both"/>
        <w:rPr>
          <w:rFonts w:ascii="Avenir Next" w:hAnsi="Avenir Next"/>
          <w:sz w:val="22"/>
          <w:szCs w:val="28"/>
        </w:rPr>
      </w:pPr>
    </w:p>
    <w:p w14:paraId="24B7076A" w14:textId="308D1249" w:rsidR="00586A38" w:rsidRDefault="00586A38" w:rsidP="009E3CA7">
      <w:pPr>
        <w:jc w:val="both"/>
        <w:rPr>
          <w:rFonts w:ascii="Avenir Next" w:hAnsi="Avenir Next"/>
          <w:color w:val="808080" w:themeColor="background1" w:themeShade="80"/>
          <w:sz w:val="22"/>
          <w:szCs w:val="28"/>
        </w:rPr>
      </w:pPr>
      <w:r w:rsidRPr="0063130A">
        <w:rPr>
          <w:rFonts w:ascii="Avenir Next" w:hAnsi="Avenir Next"/>
          <w:color w:val="808080" w:themeColor="background1" w:themeShade="80"/>
          <w:sz w:val="22"/>
          <w:szCs w:val="28"/>
        </w:rPr>
        <w:t>From the outset, it is worth stating that the Cayman Islands (</w:t>
      </w:r>
      <w:r w:rsidRPr="0063130A">
        <w:rPr>
          <w:rFonts w:ascii="Avenir Next" w:hAnsi="Avenir Next"/>
          <w:b/>
          <w:bCs/>
          <w:color w:val="808080" w:themeColor="background1" w:themeShade="80"/>
          <w:sz w:val="22"/>
          <w:szCs w:val="28"/>
        </w:rPr>
        <w:t>Cayman</w:t>
      </w:r>
      <w:r w:rsidRPr="0063130A">
        <w:rPr>
          <w:rFonts w:ascii="Avenir Next" w:hAnsi="Avenir Next"/>
          <w:color w:val="808080" w:themeColor="background1" w:themeShade="80"/>
          <w:sz w:val="22"/>
          <w:szCs w:val="28"/>
        </w:rPr>
        <w:t>) hasn’t adopted the MLCBI.</w:t>
      </w:r>
      <w:r w:rsidR="00330EDC" w:rsidRPr="0063130A">
        <w:rPr>
          <w:rFonts w:ascii="Avenir Next" w:hAnsi="Avenir Next"/>
          <w:color w:val="808080" w:themeColor="background1" w:themeShade="80"/>
          <w:sz w:val="22"/>
          <w:szCs w:val="28"/>
        </w:rPr>
        <w:t xml:space="preserve"> </w:t>
      </w:r>
      <w:r w:rsidR="0063130A">
        <w:rPr>
          <w:rFonts w:ascii="Avenir Next" w:hAnsi="Avenir Next"/>
          <w:color w:val="808080" w:themeColor="background1" w:themeShade="80"/>
          <w:sz w:val="22"/>
          <w:szCs w:val="28"/>
        </w:rPr>
        <w:t xml:space="preserve"> This does not prevent the Cayman representatives from seeking recognition in the US, however, the relevance of the model laws will depend on the specific insolvency laws and regulations of the US and the extent to which it has adopted the model laws. The following response assumes they have been adopted in full.  </w:t>
      </w:r>
    </w:p>
    <w:p w14:paraId="639746EB" w14:textId="77777777" w:rsidR="00586A38" w:rsidRDefault="00586A38" w:rsidP="009E3CA7">
      <w:pPr>
        <w:jc w:val="both"/>
        <w:rPr>
          <w:rFonts w:ascii="Avenir Next" w:hAnsi="Avenir Next"/>
          <w:color w:val="808080" w:themeColor="background1" w:themeShade="80"/>
          <w:sz w:val="22"/>
          <w:szCs w:val="28"/>
        </w:rPr>
      </w:pPr>
    </w:p>
    <w:p w14:paraId="7419AF20" w14:textId="77777777" w:rsidR="00CD0B06" w:rsidRDefault="000431F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considering the key filing strategy to</w:t>
      </w:r>
      <w:r w:rsidRPr="000431F4">
        <w:rPr>
          <w:rFonts w:ascii="Avenir Next" w:hAnsi="Avenir Next"/>
          <w:color w:val="808080" w:themeColor="background1" w:themeShade="80"/>
          <w:sz w:val="22"/>
          <w:szCs w:val="28"/>
        </w:rPr>
        <w:t xml:space="preserve"> ensure a successful restructuring</w:t>
      </w:r>
      <w:r>
        <w:rPr>
          <w:rFonts w:ascii="Avenir Next" w:hAnsi="Avenir Next"/>
          <w:color w:val="808080" w:themeColor="background1" w:themeShade="80"/>
          <w:sz w:val="22"/>
          <w:szCs w:val="28"/>
        </w:rPr>
        <w:t xml:space="preserve"> of </w:t>
      </w:r>
      <w:r w:rsidRPr="000431F4">
        <w:rPr>
          <w:rFonts w:ascii="Avenir Next" w:hAnsi="Avenir Next"/>
          <w:color w:val="808080" w:themeColor="background1" w:themeShade="80"/>
          <w:sz w:val="22"/>
          <w:szCs w:val="28"/>
        </w:rPr>
        <w:t>Globe Holdings</w:t>
      </w:r>
      <w:r>
        <w:rPr>
          <w:rFonts w:ascii="Avenir Next" w:hAnsi="Avenir Next"/>
          <w:color w:val="808080" w:themeColor="background1" w:themeShade="80"/>
          <w:sz w:val="22"/>
          <w:szCs w:val="28"/>
        </w:rPr>
        <w:t xml:space="preserve"> following the Sanction Order in the Cayman, </w:t>
      </w:r>
      <w:r w:rsidR="000E2C46">
        <w:rPr>
          <w:rFonts w:ascii="Avenir Next" w:hAnsi="Avenir Next"/>
          <w:color w:val="808080" w:themeColor="background1" w:themeShade="80"/>
          <w:sz w:val="22"/>
          <w:szCs w:val="28"/>
        </w:rPr>
        <w:t>the first step is to assess whe</w:t>
      </w:r>
      <w:r w:rsidR="00586A38">
        <w:rPr>
          <w:rFonts w:ascii="Avenir Next" w:hAnsi="Avenir Next"/>
          <w:color w:val="808080" w:themeColor="background1" w:themeShade="80"/>
          <w:sz w:val="22"/>
          <w:szCs w:val="28"/>
        </w:rPr>
        <w:t xml:space="preserve">re </w:t>
      </w:r>
      <w:r w:rsidR="000E2C46" w:rsidRPr="000431F4">
        <w:rPr>
          <w:rFonts w:ascii="Avenir Next" w:hAnsi="Avenir Next"/>
          <w:color w:val="808080" w:themeColor="background1" w:themeShade="80"/>
          <w:sz w:val="22"/>
          <w:szCs w:val="28"/>
        </w:rPr>
        <w:t>Globe Holdings</w:t>
      </w:r>
      <w:r w:rsidR="000E2C46">
        <w:rPr>
          <w:rFonts w:ascii="Avenir Next" w:hAnsi="Avenir Next"/>
          <w:color w:val="808080" w:themeColor="background1" w:themeShade="80"/>
          <w:sz w:val="22"/>
          <w:szCs w:val="28"/>
        </w:rPr>
        <w:t xml:space="preserve"> has its COMI. </w:t>
      </w:r>
    </w:p>
    <w:p w14:paraId="4FF9801D" w14:textId="77777777" w:rsidR="0075506A" w:rsidRDefault="0075506A" w:rsidP="009E3CA7">
      <w:pPr>
        <w:jc w:val="both"/>
        <w:rPr>
          <w:rFonts w:ascii="Avenir Next" w:hAnsi="Avenir Next"/>
          <w:color w:val="808080" w:themeColor="background1" w:themeShade="80"/>
          <w:sz w:val="22"/>
          <w:szCs w:val="28"/>
        </w:rPr>
      </w:pPr>
    </w:p>
    <w:p w14:paraId="7CD576EA" w14:textId="77777777" w:rsidR="0075506A" w:rsidRDefault="0075506A" w:rsidP="009E3CA7">
      <w:pPr>
        <w:jc w:val="both"/>
        <w:rPr>
          <w:rFonts w:ascii="Avenir Next" w:hAnsi="Avenir Next"/>
          <w:color w:val="808080" w:themeColor="background1" w:themeShade="80"/>
          <w:sz w:val="22"/>
          <w:szCs w:val="28"/>
        </w:rPr>
      </w:pPr>
    </w:p>
    <w:p w14:paraId="41375E63" w14:textId="77777777" w:rsidR="00CD0B06" w:rsidRDefault="00CD0B06" w:rsidP="009E3CA7">
      <w:pPr>
        <w:jc w:val="both"/>
        <w:rPr>
          <w:rFonts w:ascii="Avenir Next" w:hAnsi="Avenir Next"/>
          <w:color w:val="808080" w:themeColor="background1" w:themeShade="80"/>
          <w:sz w:val="22"/>
          <w:szCs w:val="28"/>
        </w:rPr>
      </w:pPr>
    </w:p>
    <w:p w14:paraId="47A5AAE9" w14:textId="57CF82FE" w:rsidR="00CD0B06" w:rsidRPr="00CD0B06" w:rsidRDefault="00CD0B06" w:rsidP="009E3CA7">
      <w:pPr>
        <w:jc w:val="both"/>
        <w:rPr>
          <w:rFonts w:ascii="Avenir Next" w:hAnsi="Avenir Next"/>
          <w:color w:val="808080" w:themeColor="background1" w:themeShade="80"/>
          <w:sz w:val="22"/>
          <w:szCs w:val="28"/>
          <w:u w:val="single"/>
        </w:rPr>
      </w:pPr>
      <w:r w:rsidRPr="00CD0B06">
        <w:rPr>
          <w:rFonts w:ascii="Avenir Next" w:hAnsi="Avenir Next"/>
          <w:color w:val="808080" w:themeColor="background1" w:themeShade="80"/>
          <w:sz w:val="22"/>
          <w:szCs w:val="28"/>
          <w:u w:val="single"/>
        </w:rPr>
        <w:lastRenderedPageBreak/>
        <w:t xml:space="preserve">COMI analysis </w:t>
      </w:r>
    </w:p>
    <w:p w14:paraId="241B495C" w14:textId="77777777" w:rsidR="00CD0B06" w:rsidRDefault="00CD0B06" w:rsidP="009E3CA7">
      <w:pPr>
        <w:jc w:val="both"/>
        <w:rPr>
          <w:rFonts w:ascii="Avenir Next" w:hAnsi="Avenir Next"/>
          <w:color w:val="808080" w:themeColor="background1" w:themeShade="80"/>
          <w:sz w:val="22"/>
          <w:szCs w:val="28"/>
        </w:rPr>
      </w:pPr>
    </w:p>
    <w:p w14:paraId="7E5BB2A2" w14:textId="042CD9A1" w:rsidR="00B208C9" w:rsidRDefault="00DC50E4"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following factors support a conclusion that</w:t>
      </w:r>
      <w:r w:rsidR="00B208C9">
        <w:rPr>
          <w:rFonts w:ascii="Avenir Next" w:hAnsi="Avenir Next"/>
          <w:color w:val="808080" w:themeColor="background1" w:themeShade="80"/>
          <w:sz w:val="22"/>
          <w:szCs w:val="28"/>
        </w:rPr>
        <w:t xml:space="preserve"> Global Holdings ha</w:t>
      </w:r>
      <w:r>
        <w:rPr>
          <w:rFonts w:ascii="Avenir Next" w:hAnsi="Avenir Next"/>
          <w:color w:val="808080" w:themeColor="background1" w:themeShade="80"/>
          <w:sz w:val="22"/>
          <w:szCs w:val="28"/>
        </w:rPr>
        <w:t xml:space="preserve">s </w:t>
      </w:r>
      <w:r w:rsidR="00B208C9">
        <w:rPr>
          <w:rFonts w:ascii="Avenir Next" w:hAnsi="Avenir Next"/>
          <w:color w:val="808080" w:themeColor="background1" w:themeShade="80"/>
          <w:sz w:val="22"/>
          <w:szCs w:val="28"/>
        </w:rPr>
        <w:t>its COMI in Cayman</w:t>
      </w:r>
      <w:r w:rsidR="00586A38">
        <w:rPr>
          <w:rFonts w:ascii="Avenir Next" w:hAnsi="Avenir Next"/>
          <w:color w:val="808080" w:themeColor="background1" w:themeShade="80"/>
          <w:sz w:val="22"/>
          <w:szCs w:val="28"/>
        </w:rPr>
        <w:t>.</w:t>
      </w:r>
    </w:p>
    <w:p w14:paraId="42CE1205" w14:textId="77777777" w:rsidR="00B208C9" w:rsidRDefault="00B208C9" w:rsidP="009E3CA7">
      <w:pPr>
        <w:jc w:val="both"/>
        <w:rPr>
          <w:rFonts w:ascii="Avenir Next" w:hAnsi="Avenir Next"/>
          <w:color w:val="808080" w:themeColor="background1" w:themeShade="80"/>
          <w:sz w:val="22"/>
          <w:szCs w:val="28"/>
        </w:rPr>
      </w:pPr>
    </w:p>
    <w:p w14:paraId="76C36E25" w14:textId="74733D34" w:rsidR="00B208C9" w:rsidRDefault="00B208C9" w:rsidP="00B208C9">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has been registered in Cayman since </w:t>
      </w:r>
      <w:proofErr w:type="gramStart"/>
      <w:r>
        <w:rPr>
          <w:rFonts w:ascii="Avenir Next" w:hAnsi="Avenir Next"/>
          <w:color w:val="808080" w:themeColor="background1" w:themeShade="80"/>
          <w:sz w:val="22"/>
          <w:szCs w:val="28"/>
        </w:rPr>
        <w:t>2010;</w:t>
      </w:r>
      <w:proofErr w:type="gramEnd"/>
    </w:p>
    <w:p w14:paraId="09531BCA" w14:textId="750C19C2" w:rsidR="00B208C9" w:rsidRDefault="00B208C9" w:rsidP="00B208C9">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has a bank account from which it pays certain operating expenses (although this account has only been open for a few days prior to these instructions</w:t>
      </w:r>
      <w:proofErr w:type="gramStart"/>
      <w:r>
        <w:rPr>
          <w:rFonts w:ascii="Avenir Next" w:hAnsi="Avenir Next"/>
          <w:color w:val="808080" w:themeColor="background1" w:themeShade="80"/>
          <w:sz w:val="22"/>
          <w:szCs w:val="28"/>
        </w:rPr>
        <w:t>);</w:t>
      </w:r>
      <w:proofErr w:type="gramEnd"/>
    </w:p>
    <w:p w14:paraId="14EC022E" w14:textId="6DB18587" w:rsidR="00B208C9" w:rsidRDefault="00B208C9" w:rsidP="00B208C9">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has long standing Cayman counsel which organize its board meetings (although those meetings are held virtually as opposed to physically in Cayman</w:t>
      </w:r>
      <w:proofErr w:type="gramStart"/>
      <w:r>
        <w:rPr>
          <w:rFonts w:ascii="Avenir Next" w:hAnsi="Avenir Next"/>
          <w:color w:val="808080" w:themeColor="background1" w:themeShade="80"/>
          <w:sz w:val="22"/>
          <w:szCs w:val="28"/>
        </w:rPr>
        <w:t>);</w:t>
      </w:r>
      <w:proofErr w:type="gramEnd"/>
    </w:p>
    <w:p w14:paraId="4B838C6A" w14:textId="598C3B20" w:rsidR="00B208C9" w:rsidRDefault="00B64A14" w:rsidP="00B208C9">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maintains its books and records in </w:t>
      </w:r>
      <w:proofErr w:type="gramStart"/>
      <w:r>
        <w:rPr>
          <w:rFonts w:ascii="Avenir Next" w:hAnsi="Avenir Next"/>
          <w:color w:val="808080" w:themeColor="background1" w:themeShade="80"/>
          <w:sz w:val="22"/>
          <w:szCs w:val="28"/>
        </w:rPr>
        <w:t>Cayman;</w:t>
      </w:r>
      <w:proofErr w:type="gramEnd"/>
      <w:r>
        <w:rPr>
          <w:rFonts w:ascii="Avenir Next" w:hAnsi="Avenir Next"/>
          <w:color w:val="808080" w:themeColor="background1" w:themeShade="80"/>
          <w:sz w:val="22"/>
          <w:szCs w:val="28"/>
        </w:rPr>
        <w:t xml:space="preserve"> </w:t>
      </w:r>
    </w:p>
    <w:p w14:paraId="6C9D54A8" w14:textId="1BF92CEB" w:rsidR="00B64A14" w:rsidRDefault="007B13A7" w:rsidP="00B208C9">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has</w:t>
      </w:r>
      <w:r w:rsidR="00B64A14">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public</w:t>
      </w:r>
      <w:r w:rsidR="00B64A14">
        <w:rPr>
          <w:rFonts w:ascii="Avenir Next" w:hAnsi="Avenir Next"/>
          <w:color w:val="808080" w:themeColor="background1" w:themeShade="80"/>
          <w:sz w:val="22"/>
          <w:szCs w:val="28"/>
        </w:rPr>
        <w:t xml:space="preserve"> filings </w:t>
      </w:r>
      <w:r>
        <w:rPr>
          <w:rFonts w:ascii="Avenir Next" w:hAnsi="Avenir Next"/>
          <w:color w:val="808080" w:themeColor="background1" w:themeShade="80"/>
          <w:sz w:val="22"/>
          <w:szCs w:val="28"/>
        </w:rPr>
        <w:t xml:space="preserve">with the SEC and the prospectus relating to the issuance of new notes which record that it is a Cayman </w:t>
      </w:r>
      <w:proofErr w:type="gramStart"/>
      <w:r>
        <w:rPr>
          <w:rFonts w:ascii="Avenir Next" w:hAnsi="Avenir Next"/>
          <w:color w:val="808080" w:themeColor="background1" w:themeShade="80"/>
          <w:sz w:val="22"/>
          <w:szCs w:val="28"/>
        </w:rPr>
        <w:t>company</w:t>
      </w:r>
      <w:r w:rsidR="0057335F">
        <w:rPr>
          <w:rFonts w:ascii="Avenir Next" w:hAnsi="Avenir Next"/>
          <w:color w:val="808080" w:themeColor="background1" w:themeShade="80"/>
          <w:sz w:val="22"/>
          <w:szCs w:val="28"/>
        </w:rPr>
        <w:t>;</w:t>
      </w:r>
      <w:proofErr w:type="gramEnd"/>
      <w:r w:rsidR="0057335F">
        <w:rPr>
          <w:rFonts w:ascii="Avenir Next" w:hAnsi="Avenir Next"/>
          <w:color w:val="808080" w:themeColor="background1" w:themeShade="80"/>
          <w:sz w:val="22"/>
          <w:szCs w:val="28"/>
        </w:rPr>
        <w:t xml:space="preserve"> </w:t>
      </w:r>
    </w:p>
    <w:p w14:paraId="34E5C9D7" w14:textId="29E5191C" w:rsidR="00396DEA" w:rsidRDefault="0057335F" w:rsidP="0057335F">
      <w:pPr>
        <w:pStyle w:val="ListParagraph"/>
        <w:numPr>
          <w:ilvl w:val="0"/>
          <w:numId w:val="21"/>
        </w:num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has no business operations </w:t>
      </w:r>
      <w:r w:rsidRPr="0057335F">
        <w:rPr>
          <w:rFonts w:ascii="Avenir Next" w:hAnsi="Avenir Next"/>
          <w:color w:val="808080" w:themeColor="background1" w:themeShade="80"/>
          <w:sz w:val="22"/>
          <w:szCs w:val="28"/>
        </w:rPr>
        <w:t>of its ow</w:t>
      </w:r>
      <w:r>
        <w:rPr>
          <w:rFonts w:ascii="Avenir Next" w:hAnsi="Avenir Next"/>
          <w:color w:val="808080" w:themeColor="background1" w:themeShade="80"/>
          <w:sz w:val="22"/>
          <w:szCs w:val="28"/>
        </w:rPr>
        <w:t>n</w:t>
      </w:r>
      <w:r w:rsidR="00DC50E4">
        <w:rPr>
          <w:rFonts w:ascii="Avenir Next" w:hAnsi="Avenir Next"/>
          <w:color w:val="808080" w:themeColor="background1" w:themeShade="80"/>
          <w:sz w:val="22"/>
          <w:szCs w:val="28"/>
        </w:rPr>
        <w:t>.</w:t>
      </w:r>
    </w:p>
    <w:p w14:paraId="4C653BEF" w14:textId="7505BECD" w:rsidR="00396DEA" w:rsidRDefault="00396DEA" w:rsidP="00396DEA">
      <w:pPr>
        <w:pStyle w:val="ListParagraph"/>
        <w:ind w:left="360"/>
        <w:jc w:val="both"/>
        <w:rPr>
          <w:rFonts w:ascii="Avenir Next" w:hAnsi="Avenir Next"/>
          <w:color w:val="808080" w:themeColor="background1" w:themeShade="80"/>
          <w:sz w:val="22"/>
          <w:szCs w:val="28"/>
        </w:rPr>
      </w:pPr>
    </w:p>
    <w:p w14:paraId="38529AF5" w14:textId="5315B6A7" w:rsidR="0057335F" w:rsidRDefault="00396DEA" w:rsidP="0057335F">
      <w:pPr>
        <w:jc w:val="both"/>
        <w:rPr>
          <w:rFonts w:ascii="Avenir Next" w:hAnsi="Avenir Next"/>
          <w:color w:val="808080" w:themeColor="background1" w:themeShade="80"/>
          <w:sz w:val="22"/>
          <w:szCs w:val="28"/>
        </w:rPr>
      </w:pPr>
      <w:r w:rsidRPr="00396DEA">
        <w:rPr>
          <w:rFonts w:ascii="Avenir Next" w:hAnsi="Avenir Next"/>
          <w:color w:val="808080" w:themeColor="background1" w:themeShade="80"/>
          <w:sz w:val="22"/>
          <w:szCs w:val="28"/>
        </w:rPr>
        <w:t>Th</w:t>
      </w:r>
      <w:r>
        <w:rPr>
          <w:rFonts w:ascii="Avenir Next" w:hAnsi="Avenir Next"/>
          <w:color w:val="808080" w:themeColor="background1" w:themeShade="80"/>
          <w:sz w:val="22"/>
          <w:szCs w:val="28"/>
        </w:rPr>
        <w:t xml:space="preserve">e final point </w:t>
      </w:r>
      <w:r w:rsidRPr="00396DEA">
        <w:rPr>
          <w:rFonts w:ascii="Avenir Next" w:hAnsi="Avenir Next"/>
          <w:color w:val="808080" w:themeColor="background1" w:themeShade="80"/>
          <w:sz w:val="22"/>
          <w:szCs w:val="28"/>
        </w:rPr>
        <w:t>is important because although</w:t>
      </w:r>
      <w:r>
        <w:rPr>
          <w:rFonts w:ascii="Avenir Next" w:hAnsi="Avenir Next"/>
          <w:color w:val="808080" w:themeColor="background1" w:themeShade="80"/>
          <w:sz w:val="22"/>
          <w:szCs w:val="28"/>
        </w:rPr>
        <w:t xml:space="preserve"> Global Holdings has </w:t>
      </w:r>
      <w:r w:rsidR="00DC50E4">
        <w:rPr>
          <w:rFonts w:ascii="Avenir Next" w:hAnsi="Avenir Next"/>
          <w:color w:val="808080" w:themeColor="background1" w:themeShade="80"/>
          <w:sz w:val="22"/>
          <w:szCs w:val="28"/>
        </w:rPr>
        <w:t xml:space="preserve">non-debtor </w:t>
      </w:r>
      <w:r w:rsidRPr="007B13A7">
        <w:rPr>
          <w:rFonts w:ascii="Avenir Next" w:hAnsi="Avenir Next"/>
          <w:color w:val="808080" w:themeColor="background1" w:themeShade="80"/>
          <w:sz w:val="22"/>
          <w:szCs w:val="28"/>
        </w:rPr>
        <w:t>subsidiaries that are all incorporated under the US laws and operat</w:t>
      </w:r>
      <w:r>
        <w:rPr>
          <w:rFonts w:ascii="Avenir Next" w:hAnsi="Avenir Next"/>
          <w:color w:val="808080" w:themeColor="background1" w:themeShade="80"/>
          <w:sz w:val="22"/>
          <w:szCs w:val="28"/>
        </w:rPr>
        <w:t>e and carry out business</w:t>
      </w:r>
      <w:r w:rsidRPr="007B13A7">
        <w:rPr>
          <w:rFonts w:ascii="Avenir Next" w:hAnsi="Avenir Next"/>
          <w:color w:val="808080" w:themeColor="background1" w:themeShade="80"/>
          <w:sz w:val="22"/>
          <w:szCs w:val="28"/>
        </w:rPr>
        <w:t xml:space="preserve"> in the US</w:t>
      </w:r>
      <w:r>
        <w:rPr>
          <w:rFonts w:ascii="Avenir Next" w:hAnsi="Avenir Next"/>
          <w:color w:val="808080" w:themeColor="background1" w:themeShade="80"/>
          <w:sz w:val="22"/>
          <w:szCs w:val="28"/>
        </w:rPr>
        <w:t>, when</w:t>
      </w:r>
      <w:r w:rsidR="0057335F" w:rsidRPr="0057335F">
        <w:rPr>
          <w:rFonts w:ascii="Avenir Next" w:hAnsi="Avenir Next"/>
          <w:color w:val="808080" w:themeColor="background1" w:themeShade="80"/>
          <w:sz w:val="22"/>
          <w:szCs w:val="28"/>
        </w:rPr>
        <w:t xml:space="preserve"> dealing with enterprise groups </w:t>
      </w:r>
      <w:r>
        <w:rPr>
          <w:rFonts w:ascii="Avenir Next" w:hAnsi="Avenir Next"/>
          <w:color w:val="808080" w:themeColor="background1" w:themeShade="80"/>
          <w:sz w:val="22"/>
          <w:szCs w:val="28"/>
        </w:rPr>
        <w:t xml:space="preserve">such as this and considering </w:t>
      </w:r>
      <w:r w:rsidR="00DC50E4">
        <w:rPr>
          <w:rFonts w:ascii="Avenir Next" w:hAnsi="Avenir Next"/>
          <w:color w:val="808080" w:themeColor="background1" w:themeShade="80"/>
          <w:sz w:val="22"/>
          <w:szCs w:val="28"/>
        </w:rPr>
        <w:t xml:space="preserve">COMI for the purpose of determining whether a proceeding is main or non-main, </w:t>
      </w:r>
      <w:r w:rsidR="0057335F" w:rsidRPr="0057335F">
        <w:rPr>
          <w:rFonts w:ascii="Avenir Next" w:hAnsi="Avenir Next"/>
          <w:color w:val="808080" w:themeColor="background1" w:themeShade="80"/>
          <w:sz w:val="22"/>
          <w:szCs w:val="28"/>
        </w:rPr>
        <w:t>the</w:t>
      </w:r>
      <w:r>
        <w:rPr>
          <w:rFonts w:ascii="Avenir Next" w:hAnsi="Avenir Next"/>
          <w:color w:val="808080" w:themeColor="background1" w:themeShade="80"/>
          <w:sz w:val="22"/>
          <w:szCs w:val="28"/>
        </w:rPr>
        <w:t xml:space="preserve"> MLCBI </w:t>
      </w:r>
      <w:r w:rsidR="0057335F" w:rsidRPr="0057335F">
        <w:rPr>
          <w:rFonts w:ascii="Avenir Next" w:hAnsi="Avenir Next"/>
          <w:color w:val="808080" w:themeColor="background1" w:themeShade="80"/>
          <w:sz w:val="22"/>
          <w:szCs w:val="28"/>
        </w:rPr>
        <w:t>each and every member of an enterprise group as</w:t>
      </w:r>
      <w:r w:rsidR="00DC50E4">
        <w:rPr>
          <w:rFonts w:ascii="Avenir Next" w:hAnsi="Avenir Next"/>
          <w:color w:val="808080" w:themeColor="background1" w:themeShade="80"/>
          <w:sz w:val="22"/>
          <w:szCs w:val="28"/>
        </w:rPr>
        <w:t xml:space="preserve"> </w:t>
      </w:r>
      <w:r w:rsidR="0057335F" w:rsidRPr="0057335F">
        <w:rPr>
          <w:rFonts w:ascii="Avenir Next" w:hAnsi="Avenir Next"/>
          <w:color w:val="808080" w:themeColor="background1" w:themeShade="80"/>
          <w:sz w:val="22"/>
          <w:szCs w:val="28"/>
        </w:rPr>
        <w:t>a distinct legal entity.</w:t>
      </w:r>
      <w:r w:rsidR="00DC50E4">
        <w:rPr>
          <w:rStyle w:val="FootnoteReference"/>
          <w:rFonts w:ascii="Avenir Next" w:hAnsi="Avenir Next"/>
          <w:color w:val="808080" w:themeColor="background1" w:themeShade="80"/>
          <w:sz w:val="22"/>
          <w:szCs w:val="28"/>
        </w:rPr>
        <w:footnoteReference w:id="19"/>
      </w:r>
      <w:r w:rsidR="0057335F" w:rsidRPr="0057335F">
        <w:rPr>
          <w:rFonts w:ascii="Avenir Next" w:hAnsi="Avenir Next"/>
          <w:color w:val="808080" w:themeColor="background1" w:themeShade="80"/>
          <w:sz w:val="22"/>
          <w:szCs w:val="28"/>
        </w:rPr>
        <w:t xml:space="preserve"> </w:t>
      </w:r>
    </w:p>
    <w:p w14:paraId="5A399CAD" w14:textId="77777777" w:rsidR="00F07BCD" w:rsidRDefault="00F07BCD" w:rsidP="0057335F">
      <w:pPr>
        <w:jc w:val="both"/>
        <w:rPr>
          <w:rFonts w:ascii="Avenir Next" w:hAnsi="Avenir Next"/>
          <w:color w:val="808080" w:themeColor="background1" w:themeShade="80"/>
          <w:sz w:val="22"/>
          <w:szCs w:val="28"/>
        </w:rPr>
      </w:pPr>
    </w:p>
    <w:p w14:paraId="75F6D60B" w14:textId="197E52D1" w:rsidR="003F5461" w:rsidRDefault="00F07BCD" w:rsidP="0057335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To assess COMI, it is necessary to </w:t>
      </w:r>
      <w:proofErr w:type="gramStart"/>
      <w:r>
        <w:rPr>
          <w:rFonts w:ascii="Avenir Next" w:hAnsi="Avenir Next"/>
          <w:color w:val="808080" w:themeColor="background1" w:themeShade="80"/>
          <w:sz w:val="22"/>
          <w:szCs w:val="28"/>
        </w:rPr>
        <w:t>take into account</w:t>
      </w:r>
      <w:proofErr w:type="gramEnd"/>
      <w:r>
        <w:rPr>
          <w:rFonts w:ascii="Avenir Next" w:hAnsi="Avenir Next"/>
          <w:color w:val="808080" w:themeColor="background1" w:themeShade="80"/>
          <w:sz w:val="22"/>
          <w:szCs w:val="28"/>
        </w:rPr>
        <w:t xml:space="preserve"> </w:t>
      </w:r>
      <w:r>
        <w:rPr>
          <w:rFonts w:ascii="Avenir Next" w:hAnsi="Avenir Next" w:cs="Arial"/>
          <w:color w:val="808080" w:themeColor="background1" w:themeShade="80"/>
          <w:sz w:val="22"/>
          <w:szCs w:val="22"/>
          <w:lang w:val="en-GB"/>
        </w:rPr>
        <w:t xml:space="preserve">a) </w:t>
      </w:r>
      <w:r w:rsidRPr="001E53F0">
        <w:rPr>
          <w:rFonts w:ascii="Avenir Next" w:hAnsi="Avenir Next" w:cs="Arial"/>
          <w:color w:val="808080" w:themeColor="background1" w:themeShade="80"/>
          <w:sz w:val="22"/>
          <w:szCs w:val="22"/>
          <w:lang w:val="en-GB"/>
        </w:rPr>
        <w:t>the location where the central administration of the debtor takes place; and</w:t>
      </w:r>
      <w:r>
        <w:rPr>
          <w:rFonts w:ascii="Avenir Next" w:hAnsi="Avenir Next" w:cs="Arial"/>
          <w:color w:val="808080" w:themeColor="background1" w:themeShade="80"/>
          <w:sz w:val="22"/>
          <w:szCs w:val="22"/>
          <w:lang w:val="en-GB"/>
        </w:rPr>
        <w:t xml:space="preserve"> (b) determine whether that is </w:t>
      </w:r>
      <w:r w:rsidRPr="001E53F0">
        <w:rPr>
          <w:rFonts w:ascii="Avenir Next" w:hAnsi="Avenir Next" w:cs="Arial"/>
          <w:color w:val="808080" w:themeColor="background1" w:themeShade="80"/>
          <w:sz w:val="22"/>
          <w:szCs w:val="22"/>
          <w:lang w:val="en-GB"/>
        </w:rPr>
        <w:t>readily ascertainable by creditors of the debtor</w:t>
      </w:r>
      <w:r>
        <w:rPr>
          <w:rFonts w:ascii="Avenir Next" w:hAnsi="Avenir Next" w:cs="Arial"/>
          <w:color w:val="808080" w:themeColor="background1" w:themeShade="80"/>
          <w:sz w:val="22"/>
          <w:szCs w:val="22"/>
          <w:lang w:val="en-GB"/>
        </w:rPr>
        <w:t>. In this case, Global Holdings central administration is in Cayman by virtue of all the above factors</w:t>
      </w:r>
      <w:r w:rsidR="000C7D1E">
        <w:rPr>
          <w:rFonts w:ascii="Avenir Next" w:hAnsi="Avenir Next" w:cs="Arial"/>
          <w:color w:val="808080" w:themeColor="background1" w:themeShade="80"/>
          <w:sz w:val="22"/>
          <w:szCs w:val="22"/>
          <w:lang w:val="en-GB"/>
        </w:rPr>
        <w:t xml:space="preserve"> and that is readily ascertainable by the fact that a registered office search would show the same and it has made </w:t>
      </w:r>
      <w:r w:rsidR="000C7D1E">
        <w:rPr>
          <w:rFonts w:ascii="Avenir Next" w:hAnsi="Avenir Next"/>
          <w:color w:val="808080" w:themeColor="background1" w:themeShade="80"/>
          <w:sz w:val="22"/>
          <w:szCs w:val="28"/>
        </w:rPr>
        <w:t xml:space="preserve">public filings with the SEC and issued a prospectus to its debtor noteholders which record that it is a Cayman company. </w:t>
      </w:r>
    </w:p>
    <w:p w14:paraId="7B4AC926" w14:textId="77777777" w:rsidR="003F5461" w:rsidRDefault="003F5461" w:rsidP="0057335F">
      <w:pPr>
        <w:jc w:val="both"/>
        <w:rPr>
          <w:rFonts w:ascii="Avenir Next" w:hAnsi="Avenir Next"/>
          <w:color w:val="808080" w:themeColor="background1" w:themeShade="80"/>
          <w:sz w:val="22"/>
          <w:szCs w:val="28"/>
        </w:rPr>
      </w:pPr>
    </w:p>
    <w:p w14:paraId="26DA3271" w14:textId="7E3517FD" w:rsidR="009A7A0A" w:rsidRDefault="009A7A0A" w:rsidP="003D3C92">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It is worth noting that there are some factors which could point towards Global Holdings potentially having its COMI in the US</w:t>
      </w:r>
      <w:r w:rsidR="0025443F">
        <w:rPr>
          <w:rFonts w:ascii="Avenir Next" w:hAnsi="Avenir Next"/>
          <w:color w:val="808080" w:themeColor="background1" w:themeShade="80"/>
          <w:sz w:val="22"/>
          <w:szCs w:val="28"/>
        </w:rPr>
        <w:t xml:space="preserve"> and this is </w:t>
      </w:r>
      <w:proofErr w:type="gramStart"/>
      <w:r w:rsidR="0025443F">
        <w:rPr>
          <w:rFonts w:ascii="Avenir Next" w:hAnsi="Avenir Next"/>
          <w:color w:val="808080" w:themeColor="background1" w:themeShade="80"/>
          <w:sz w:val="22"/>
          <w:szCs w:val="28"/>
        </w:rPr>
        <w:t xml:space="preserve">based on </w:t>
      </w:r>
      <w:r w:rsidR="003D3C92">
        <w:rPr>
          <w:rFonts w:ascii="Avenir Next" w:hAnsi="Avenir Next"/>
          <w:color w:val="808080" w:themeColor="background1" w:themeShade="80"/>
          <w:sz w:val="22"/>
          <w:szCs w:val="28"/>
        </w:rPr>
        <w:t>the fact that</w:t>
      </w:r>
      <w:proofErr w:type="gramEnd"/>
      <w:r w:rsidR="003D3C92">
        <w:rPr>
          <w:rFonts w:ascii="Avenir Next" w:hAnsi="Avenir Next"/>
          <w:color w:val="808080" w:themeColor="background1" w:themeShade="80"/>
          <w:sz w:val="22"/>
          <w:szCs w:val="28"/>
        </w:rPr>
        <w:t xml:space="preserve"> </w:t>
      </w:r>
      <w:r w:rsidR="003D3C92" w:rsidRPr="009A7A0A">
        <w:rPr>
          <w:rFonts w:ascii="Avenir Next" w:hAnsi="Avenir Next"/>
          <w:color w:val="808080" w:themeColor="background1" w:themeShade="80"/>
          <w:sz w:val="22"/>
          <w:szCs w:val="28"/>
        </w:rPr>
        <w:t>five factors have been identified by courts</w:t>
      </w:r>
      <w:r w:rsidR="003D3C92">
        <w:rPr>
          <w:rFonts w:ascii="Avenir Next" w:hAnsi="Avenir Next"/>
          <w:color w:val="808080" w:themeColor="background1" w:themeShade="80"/>
          <w:sz w:val="22"/>
          <w:szCs w:val="28"/>
        </w:rPr>
        <w:t xml:space="preserve"> </w:t>
      </w:r>
      <w:r w:rsidR="003D3C92" w:rsidRPr="009A7A0A">
        <w:rPr>
          <w:rFonts w:ascii="Avenir Next" w:hAnsi="Avenir Next"/>
          <w:color w:val="808080" w:themeColor="background1" w:themeShade="80"/>
          <w:sz w:val="22"/>
          <w:szCs w:val="28"/>
        </w:rPr>
        <w:t>as being among the most important with respect to corporate</w:t>
      </w:r>
      <w:r w:rsidR="003D3C92">
        <w:rPr>
          <w:rFonts w:ascii="Avenir Next" w:hAnsi="Avenir Next"/>
          <w:color w:val="808080" w:themeColor="background1" w:themeShade="80"/>
          <w:sz w:val="22"/>
          <w:szCs w:val="28"/>
        </w:rPr>
        <w:t xml:space="preserve"> </w:t>
      </w:r>
      <w:r w:rsidR="003D3C92" w:rsidRPr="009A7A0A">
        <w:rPr>
          <w:rFonts w:ascii="Avenir Next" w:hAnsi="Avenir Next"/>
          <w:color w:val="808080" w:themeColor="background1" w:themeShade="80"/>
          <w:sz w:val="22"/>
          <w:szCs w:val="28"/>
        </w:rPr>
        <w:t>debtors</w:t>
      </w:r>
      <w:r w:rsidR="003D3C92">
        <w:rPr>
          <w:rFonts w:ascii="Avenir Next" w:hAnsi="Avenir Next"/>
          <w:color w:val="808080" w:themeColor="background1" w:themeShade="80"/>
          <w:sz w:val="22"/>
          <w:szCs w:val="28"/>
        </w:rPr>
        <w:t xml:space="preserve"> and those are:</w:t>
      </w:r>
    </w:p>
    <w:p w14:paraId="7E1E7978" w14:textId="77777777" w:rsidR="003D3C92" w:rsidRDefault="003D3C92" w:rsidP="003D3C92">
      <w:pPr>
        <w:jc w:val="both"/>
        <w:rPr>
          <w:rFonts w:ascii="Avenir Next" w:hAnsi="Avenir Next"/>
          <w:color w:val="808080" w:themeColor="background1" w:themeShade="80"/>
          <w:sz w:val="22"/>
          <w:szCs w:val="28"/>
        </w:rPr>
      </w:pPr>
    </w:p>
    <w:p w14:paraId="168ACB41" w14:textId="11CBC24E" w:rsidR="003D3C92" w:rsidRPr="003D3C92" w:rsidRDefault="003D3C92" w:rsidP="003D3C92">
      <w:pPr>
        <w:pStyle w:val="ListParagraph"/>
        <w:numPr>
          <w:ilvl w:val="0"/>
          <w:numId w:val="23"/>
        </w:numPr>
        <w:jc w:val="both"/>
        <w:rPr>
          <w:rFonts w:ascii="Avenir Next" w:hAnsi="Avenir Next"/>
          <w:i/>
          <w:iCs/>
          <w:color w:val="808080" w:themeColor="background1" w:themeShade="80"/>
          <w:sz w:val="22"/>
          <w:szCs w:val="28"/>
        </w:rPr>
      </w:pPr>
      <w:r>
        <w:rPr>
          <w:rFonts w:ascii="Avenir Next" w:hAnsi="Avenir Next"/>
          <w:i/>
          <w:iCs/>
          <w:color w:val="808080" w:themeColor="background1" w:themeShade="80"/>
          <w:sz w:val="22"/>
          <w:szCs w:val="28"/>
        </w:rPr>
        <w:t>"</w:t>
      </w:r>
      <w:r w:rsidRPr="003D3C92">
        <w:rPr>
          <w:rFonts w:ascii="Avenir Next" w:hAnsi="Avenir Next"/>
          <w:i/>
          <w:iCs/>
          <w:color w:val="808080" w:themeColor="background1" w:themeShade="80"/>
          <w:sz w:val="22"/>
          <w:szCs w:val="28"/>
        </w:rPr>
        <w:t xml:space="preserve">The location of the debtor’s </w:t>
      </w:r>
      <w:proofErr w:type="gramStart"/>
      <w:r w:rsidRPr="003D3C92">
        <w:rPr>
          <w:rFonts w:ascii="Avenir Next" w:hAnsi="Avenir Next"/>
          <w:i/>
          <w:iCs/>
          <w:color w:val="808080" w:themeColor="background1" w:themeShade="80"/>
          <w:sz w:val="22"/>
          <w:szCs w:val="28"/>
        </w:rPr>
        <w:t>headquarters;</w:t>
      </w:r>
      <w:proofErr w:type="gramEnd"/>
    </w:p>
    <w:p w14:paraId="1582CC82" w14:textId="77777777" w:rsidR="003D3C92" w:rsidRPr="003D3C92" w:rsidRDefault="003D3C92" w:rsidP="003D3C92">
      <w:pPr>
        <w:pStyle w:val="ListParagraph"/>
        <w:numPr>
          <w:ilvl w:val="0"/>
          <w:numId w:val="23"/>
        </w:numPr>
        <w:jc w:val="both"/>
        <w:rPr>
          <w:rFonts w:ascii="Avenir Next" w:hAnsi="Avenir Next"/>
          <w:i/>
          <w:iCs/>
          <w:color w:val="808080" w:themeColor="background1" w:themeShade="80"/>
          <w:sz w:val="22"/>
          <w:szCs w:val="28"/>
        </w:rPr>
      </w:pPr>
      <w:r w:rsidRPr="003D3C92">
        <w:rPr>
          <w:rFonts w:ascii="Avenir Next" w:hAnsi="Avenir Next"/>
          <w:i/>
          <w:iCs/>
          <w:color w:val="808080" w:themeColor="background1" w:themeShade="80"/>
          <w:sz w:val="22"/>
          <w:szCs w:val="28"/>
        </w:rPr>
        <w:t>The location of those who actually manage the debtor (which could conceivably be the headquarters of a holding company</w:t>
      </w:r>
      <w:proofErr w:type="gramStart"/>
      <w:r w:rsidRPr="003D3C92">
        <w:rPr>
          <w:rFonts w:ascii="Avenir Next" w:hAnsi="Avenir Next"/>
          <w:i/>
          <w:iCs/>
          <w:color w:val="808080" w:themeColor="background1" w:themeShade="80"/>
          <w:sz w:val="22"/>
          <w:szCs w:val="28"/>
        </w:rPr>
        <w:t>);</w:t>
      </w:r>
      <w:proofErr w:type="gramEnd"/>
    </w:p>
    <w:p w14:paraId="4F513C4A" w14:textId="77777777" w:rsidR="003D3C92" w:rsidRPr="003D3C92" w:rsidRDefault="003D3C92" w:rsidP="003D3C92">
      <w:pPr>
        <w:pStyle w:val="ListParagraph"/>
        <w:numPr>
          <w:ilvl w:val="0"/>
          <w:numId w:val="23"/>
        </w:numPr>
        <w:jc w:val="both"/>
        <w:rPr>
          <w:rFonts w:ascii="Avenir Next" w:hAnsi="Avenir Next"/>
          <w:i/>
          <w:iCs/>
          <w:color w:val="808080" w:themeColor="background1" w:themeShade="80"/>
          <w:sz w:val="22"/>
          <w:szCs w:val="28"/>
        </w:rPr>
      </w:pPr>
      <w:r w:rsidRPr="003D3C92">
        <w:rPr>
          <w:rFonts w:ascii="Avenir Next" w:hAnsi="Avenir Next"/>
          <w:i/>
          <w:iCs/>
          <w:color w:val="808080" w:themeColor="background1" w:themeShade="80"/>
          <w:sz w:val="22"/>
          <w:szCs w:val="28"/>
        </w:rPr>
        <w:t xml:space="preserve">The location of the debtor’s primary </w:t>
      </w:r>
      <w:proofErr w:type="gramStart"/>
      <w:r w:rsidRPr="003D3C92">
        <w:rPr>
          <w:rFonts w:ascii="Avenir Next" w:hAnsi="Avenir Next"/>
          <w:i/>
          <w:iCs/>
          <w:color w:val="808080" w:themeColor="background1" w:themeShade="80"/>
          <w:sz w:val="22"/>
          <w:szCs w:val="28"/>
        </w:rPr>
        <w:t>assets;</w:t>
      </w:r>
      <w:proofErr w:type="gramEnd"/>
    </w:p>
    <w:p w14:paraId="66652294" w14:textId="77777777" w:rsidR="003D3C92" w:rsidRPr="003D3C92" w:rsidRDefault="003D3C92" w:rsidP="003D3C92">
      <w:pPr>
        <w:pStyle w:val="ListParagraph"/>
        <w:numPr>
          <w:ilvl w:val="0"/>
          <w:numId w:val="23"/>
        </w:numPr>
        <w:jc w:val="both"/>
        <w:rPr>
          <w:rFonts w:ascii="Avenir Next" w:hAnsi="Avenir Next"/>
          <w:i/>
          <w:iCs/>
          <w:color w:val="808080" w:themeColor="background1" w:themeShade="80"/>
          <w:sz w:val="22"/>
          <w:szCs w:val="28"/>
        </w:rPr>
      </w:pPr>
      <w:r w:rsidRPr="003D3C92">
        <w:rPr>
          <w:rFonts w:ascii="Avenir Next" w:hAnsi="Avenir Next"/>
          <w:i/>
          <w:iCs/>
          <w:color w:val="808080" w:themeColor="background1" w:themeShade="80"/>
          <w:sz w:val="22"/>
          <w:szCs w:val="28"/>
        </w:rPr>
        <w:t xml:space="preserve">The location of the majority of the debtor’s creditors or of a majority of creditors who would be affected by the </w:t>
      </w:r>
      <w:proofErr w:type="gramStart"/>
      <w:r w:rsidRPr="003D3C92">
        <w:rPr>
          <w:rFonts w:ascii="Avenir Next" w:hAnsi="Avenir Next"/>
          <w:i/>
          <w:iCs/>
          <w:color w:val="808080" w:themeColor="background1" w:themeShade="80"/>
          <w:sz w:val="22"/>
          <w:szCs w:val="28"/>
        </w:rPr>
        <w:t>case;</w:t>
      </w:r>
      <w:proofErr w:type="gramEnd"/>
    </w:p>
    <w:p w14:paraId="0A6E1FEC" w14:textId="50E9E813" w:rsidR="003D3C92" w:rsidRPr="003D3C92" w:rsidRDefault="003D3C92" w:rsidP="003D3C92">
      <w:pPr>
        <w:pStyle w:val="ListParagraph"/>
        <w:numPr>
          <w:ilvl w:val="0"/>
          <w:numId w:val="23"/>
        </w:numPr>
        <w:jc w:val="both"/>
        <w:rPr>
          <w:rFonts w:ascii="Avenir Next" w:hAnsi="Avenir Next"/>
          <w:i/>
          <w:iCs/>
          <w:color w:val="808080" w:themeColor="background1" w:themeShade="80"/>
          <w:sz w:val="22"/>
          <w:szCs w:val="28"/>
        </w:rPr>
      </w:pPr>
      <w:r w:rsidRPr="003D3C92">
        <w:rPr>
          <w:rFonts w:ascii="Avenir Next" w:hAnsi="Avenir Next"/>
          <w:i/>
          <w:iCs/>
          <w:color w:val="808080" w:themeColor="background1" w:themeShade="80"/>
          <w:sz w:val="22"/>
          <w:szCs w:val="28"/>
        </w:rPr>
        <w:t>The jurisdiction whose law would apply to most disputes.</w:t>
      </w:r>
      <w:r>
        <w:rPr>
          <w:rFonts w:ascii="Avenir Next" w:hAnsi="Avenir Next"/>
          <w:i/>
          <w:iCs/>
          <w:color w:val="808080" w:themeColor="background1" w:themeShade="80"/>
          <w:sz w:val="22"/>
          <w:szCs w:val="28"/>
        </w:rPr>
        <w:t>"</w:t>
      </w:r>
      <w:r w:rsidRPr="003D3C92">
        <w:rPr>
          <w:rStyle w:val="FootnoteReference"/>
          <w:rFonts w:ascii="Avenir Next" w:hAnsi="Avenir Next"/>
          <w:color w:val="808080" w:themeColor="background1" w:themeShade="80"/>
          <w:sz w:val="22"/>
          <w:szCs w:val="28"/>
        </w:rPr>
        <w:footnoteReference w:id="20"/>
      </w:r>
    </w:p>
    <w:p w14:paraId="3F22DFBB" w14:textId="77777777" w:rsidR="003D3C92" w:rsidRDefault="003D3C92" w:rsidP="003D3C92">
      <w:pPr>
        <w:jc w:val="both"/>
        <w:rPr>
          <w:rFonts w:ascii="Avenir Next" w:hAnsi="Avenir Next"/>
          <w:color w:val="808080" w:themeColor="background1" w:themeShade="80"/>
          <w:sz w:val="22"/>
          <w:szCs w:val="28"/>
        </w:rPr>
      </w:pPr>
    </w:p>
    <w:p w14:paraId="379AD019" w14:textId="77777777" w:rsidR="006D4A5B" w:rsidRDefault="003D3C92" w:rsidP="0057335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Factors</w:t>
      </w:r>
      <w:r w:rsidR="00F32899">
        <w:rPr>
          <w:rFonts w:ascii="Avenir Next" w:hAnsi="Avenir Next"/>
          <w:color w:val="808080" w:themeColor="background1" w:themeShade="80"/>
          <w:sz w:val="22"/>
          <w:szCs w:val="28"/>
        </w:rPr>
        <w:t xml:space="preserve"> 1,</w:t>
      </w:r>
      <w:r>
        <w:rPr>
          <w:rFonts w:ascii="Avenir Next" w:hAnsi="Avenir Next"/>
          <w:color w:val="808080" w:themeColor="background1" w:themeShade="80"/>
          <w:sz w:val="22"/>
          <w:szCs w:val="28"/>
        </w:rPr>
        <w:t xml:space="preserve"> 3, 4 and 5 are the most relevant to the current scenario. </w:t>
      </w:r>
      <w:proofErr w:type="gramStart"/>
      <w:r>
        <w:rPr>
          <w:rFonts w:ascii="Avenir Next" w:hAnsi="Avenir Next"/>
          <w:color w:val="808080" w:themeColor="background1" w:themeShade="80"/>
          <w:sz w:val="22"/>
          <w:szCs w:val="28"/>
        </w:rPr>
        <w:t>In particular, as</w:t>
      </w:r>
      <w:proofErr w:type="gramEnd"/>
      <w:r>
        <w:rPr>
          <w:rFonts w:ascii="Avenir Next" w:hAnsi="Avenir Next"/>
          <w:color w:val="808080" w:themeColor="background1" w:themeShade="80"/>
          <w:sz w:val="22"/>
          <w:szCs w:val="28"/>
        </w:rPr>
        <w:t xml:space="preserve"> to Global Holdings </w:t>
      </w:r>
      <w:r w:rsidR="00F32899">
        <w:rPr>
          <w:rFonts w:ascii="Avenir Next" w:hAnsi="Avenir Next"/>
          <w:color w:val="808080" w:themeColor="background1" w:themeShade="80"/>
          <w:sz w:val="22"/>
          <w:szCs w:val="28"/>
        </w:rPr>
        <w:t>has its corporate headquarters</w:t>
      </w:r>
      <w:r w:rsidR="00A44B0B">
        <w:rPr>
          <w:rFonts w:ascii="Avenir Next" w:hAnsi="Avenir Next"/>
          <w:color w:val="808080" w:themeColor="background1" w:themeShade="80"/>
          <w:sz w:val="22"/>
          <w:szCs w:val="28"/>
        </w:rPr>
        <w:t xml:space="preserve"> in</w:t>
      </w:r>
      <w:r w:rsidR="00F32899">
        <w:rPr>
          <w:rFonts w:ascii="Avenir Next" w:hAnsi="Avenir Next"/>
          <w:color w:val="808080" w:themeColor="background1" w:themeShade="80"/>
          <w:sz w:val="22"/>
          <w:szCs w:val="28"/>
        </w:rPr>
        <w:t xml:space="preserve"> </w:t>
      </w:r>
      <w:r w:rsidR="00F32899" w:rsidRPr="00F32899">
        <w:rPr>
          <w:rFonts w:ascii="Avenir Next" w:hAnsi="Avenir Next"/>
          <w:color w:val="808080" w:themeColor="background1" w:themeShade="80"/>
          <w:sz w:val="22"/>
          <w:szCs w:val="28"/>
        </w:rPr>
        <w:t>New York</w:t>
      </w:r>
      <w:r w:rsidR="00A44B0B">
        <w:rPr>
          <w:rFonts w:ascii="Avenir Next" w:hAnsi="Avenir Next"/>
          <w:color w:val="808080" w:themeColor="background1" w:themeShade="80"/>
          <w:sz w:val="22"/>
          <w:szCs w:val="28"/>
        </w:rPr>
        <w:t xml:space="preserve">. As to assets, the </w:t>
      </w:r>
      <w:r w:rsidR="00A44B0B" w:rsidRPr="00A44B0B">
        <w:rPr>
          <w:rFonts w:ascii="Avenir Next" w:hAnsi="Avenir Next"/>
          <w:color w:val="808080" w:themeColor="background1" w:themeShade="80"/>
          <w:sz w:val="22"/>
          <w:szCs w:val="28"/>
        </w:rPr>
        <w:t xml:space="preserve">USD 25,000,000 in aggregate nominal principal amount of 6.625% senior unsecured notes due in 2023 </w:t>
      </w:r>
      <w:r w:rsidR="00A44B0B">
        <w:rPr>
          <w:rFonts w:ascii="Avenir Next" w:hAnsi="Avenir Next"/>
          <w:color w:val="808080" w:themeColor="background1" w:themeShade="80"/>
          <w:sz w:val="22"/>
          <w:szCs w:val="28"/>
        </w:rPr>
        <w:t xml:space="preserve">(the </w:t>
      </w:r>
      <w:r w:rsidR="00A44B0B" w:rsidRPr="00A44B0B">
        <w:rPr>
          <w:rFonts w:ascii="Avenir Next" w:hAnsi="Avenir Next"/>
          <w:b/>
          <w:bCs/>
          <w:color w:val="808080" w:themeColor="background1" w:themeShade="80"/>
          <w:sz w:val="22"/>
          <w:szCs w:val="28"/>
        </w:rPr>
        <w:t>Notes</w:t>
      </w:r>
      <w:r w:rsidR="00A44B0B">
        <w:rPr>
          <w:rFonts w:ascii="Avenir Next" w:hAnsi="Avenir Next"/>
          <w:color w:val="808080" w:themeColor="background1" w:themeShade="80"/>
          <w:sz w:val="22"/>
          <w:szCs w:val="28"/>
        </w:rPr>
        <w:t xml:space="preserve">) </w:t>
      </w:r>
      <w:r w:rsidR="004C73E1">
        <w:rPr>
          <w:rFonts w:ascii="Avenir Next" w:hAnsi="Avenir Next"/>
          <w:color w:val="808080" w:themeColor="background1" w:themeShade="80"/>
          <w:sz w:val="22"/>
          <w:szCs w:val="28"/>
        </w:rPr>
        <w:t xml:space="preserve">are governed by New York law and potentially held in the US on the basis that a </w:t>
      </w:r>
      <w:r w:rsidR="004C73E1" w:rsidRPr="004C73E1">
        <w:rPr>
          <w:rFonts w:ascii="Avenir Next" w:hAnsi="Avenir Next"/>
          <w:color w:val="808080" w:themeColor="background1" w:themeShade="80"/>
          <w:sz w:val="22"/>
          <w:szCs w:val="28"/>
        </w:rPr>
        <w:t>satellite location in New York</w:t>
      </w:r>
      <w:r w:rsidR="004C73E1">
        <w:rPr>
          <w:rFonts w:ascii="Avenir Next" w:hAnsi="Avenir Next"/>
          <w:color w:val="808080" w:themeColor="background1" w:themeShade="80"/>
          <w:sz w:val="22"/>
          <w:szCs w:val="28"/>
        </w:rPr>
        <w:t xml:space="preserve"> was offered to creditors who could not attend the scheme meeting in Cayman.</w:t>
      </w:r>
    </w:p>
    <w:p w14:paraId="0977A7D6" w14:textId="77777777" w:rsidR="006D4A5B" w:rsidRDefault="006D4A5B" w:rsidP="0057335F">
      <w:pPr>
        <w:jc w:val="both"/>
        <w:rPr>
          <w:rFonts w:ascii="Avenir Next" w:hAnsi="Avenir Next"/>
          <w:color w:val="808080" w:themeColor="background1" w:themeShade="80"/>
          <w:sz w:val="22"/>
          <w:szCs w:val="28"/>
        </w:rPr>
      </w:pPr>
    </w:p>
    <w:p w14:paraId="5B2FD382" w14:textId="5CC644FB" w:rsidR="006D4A5B" w:rsidRDefault="006D4A5B" w:rsidP="0057335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w:t>
      </w:r>
      <w:r w:rsidR="00AF3B0B">
        <w:rPr>
          <w:rFonts w:ascii="Avenir Next" w:hAnsi="Avenir Next"/>
          <w:color w:val="808080" w:themeColor="background1" w:themeShade="80"/>
          <w:sz w:val="22"/>
          <w:szCs w:val="28"/>
        </w:rPr>
        <w:t>addition,</w:t>
      </w:r>
      <w:r>
        <w:rPr>
          <w:rFonts w:ascii="Avenir Next" w:hAnsi="Avenir Next"/>
          <w:color w:val="808080" w:themeColor="background1" w:themeShade="80"/>
          <w:sz w:val="22"/>
          <w:szCs w:val="28"/>
        </w:rPr>
        <w:t xml:space="preserve"> Global Holdings has </w:t>
      </w:r>
      <w:proofErr w:type="gramStart"/>
      <w:r>
        <w:rPr>
          <w:rFonts w:ascii="Avenir Next" w:hAnsi="Avenir Next"/>
          <w:color w:val="808080" w:themeColor="background1" w:themeShade="80"/>
          <w:sz w:val="22"/>
          <w:szCs w:val="28"/>
        </w:rPr>
        <w:t>a number of</w:t>
      </w:r>
      <w:proofErr w:type="gramEnd"/>
      <w:r>
        <w:rPr>
          <w:rFonts w:ascii="Avenir Next" w:hAnsi="Avenir Next"/>
          <w:color w:val="808080" w:themeColor="background1" w:themeShade="80"/>
          <w:sz w:val="22"/>
          <w:szCs w:val="28"/>
        </w:rPr>
        <w:t xml:space="preserve"> subsidiaries in the US which </w:t>
      </w:r>
      <w:r w:rsidR="00AF3B0B">
        <w:rPr>
          <w:rFonts w:ascii="Avenir Next" w:hAnsi="Avenir Next"/>
          <w:color w:val="808080" w:themeColor="background1" w:themeShade="80"/>
          <w:sz w:val="22"/>
          <w:szCs w:val="28"/>
        </w:rPr>
        <w:t xml:space="preserve">are also its assets. </w:t>
      </w:r>
    </w:p>
    <w:p w14:paraId="15E573AE" w14:textId="77777777" w:rsidR="006D4A5B" w:rsidRDefault="006D4A5B" w:rsidP="0057335F">
      <w:pPr>
        <w:jc w:val="both"/>
        <w:rPr>
          <w:rFonts w:ascii="Avenir Next" w:hAnsi="Avenir Next"/>
          <w:color w:val="808080" w:themeColor="background1" w:themeShade="80"/>
          <w:sz w:val="22"/>
          <w:szCs w:val="28"/>
        </w:rPr>
      </w:pPr>
    </w:p>
    <w:p w14:paraId="7DF29D29" w14:textId="54D1F65F" w:rsidR="003D3C92" w:rsidRDefault="004C73E1" w:rsidP="0057335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lastRenderedPageBreak/>
        <w:t xml:space="preserve">It follows that </w:t>
      </w:r>
      <w:proofErr w:type="gramStart"/>
      <w:r>
        <w:rPr>
          <w:rFonts w:ascii="Avenir Next" w:hAnsi="Avenir Next"/>
          <w:color w:val="808080" w:themeColor="background1" w:themeShade="80"/>
          <w:sz w:val="22"/>
          <w:szCs w:val="28"/>
        </w:rPr>
        <w:t>the majority of</w:t>
      </w:r>
      <w:proofErr w:type="gramEnd"/>
      <w:r>
        <w:rPr>
          <w:rFonts w:ascii="Avenir Next" w:hAnsi="Avenir Next"/>
          <w:color w:val="808080" w:themeColor="background1" w:themeShade="80"/>
          <w:sz w:val="22"/>
          <w:szCs w:val="28"/>
        </w:rPr>
        <w:t xml:space="preserve"> Global Holdings' creditors are most likely not in Cayman and could well be in the US (we need more information to reach a final conclusion on this). Finally, and although we don’t have enough information to conclusively determine which law would apply to most disputes, we know that the Notes are governed by New York law, but we also know that Cayman law would apply by virtue of the Global Holdings registration.  </w:t>
      </w:r>
    </w:p>
    <w:p w14:paraId="6AA4A0F3" w14:textId="77777777" w:rsidR="003D3C92" w:rsidRDefault="003D3C92" w:rsidP="0057335F">
      <w:pPr>
        <w:jc w:val="both"/>
        <w:rPr>
          <w:rFonts w:ascii="Avenir Next" w:hAnsi="Avenir Next"/>
          <w:color w:val="808080" w:themeColor="background1" w:themeShade="80"/>
          <w:sz w:val="22"/>
          <w:szCs w:val="28"/>
        </w:rPr>
      </w:pPr>
    </w:p>
    <w:p w14:paraId="3214397D" w14:textId="5F841EF6" w:rsidR="000C7D1E" w:rsidRDefault="003D3C92" w:rsidP="0057335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However, given that the recognition application will be made to the US Court, it will </w:t>
      </w:r>
      <w:proofErr w:type="gramStart"/>
      <w:r>
        <w:rPr>
          <w:rFonts w:ascii="Avenir Next" w:hAnsi="Avenir Next"/>
          <w:color w:val="808080" w:themeColor="background1" w:themeShade="80"/>
          <w:sz w:val="22"/>
          <w:szCs w:val="28"/>
        </w:rPr>
        <w:t>take into account</w:t>
      </w:r>
      <w:proofErr w:type="gramEnd"/>
      <w:r>
        <w:rPr>
          <w:rFonts w:ascii="Avenir Next" w:hAnsi="Avenir Next"/>
          <w:color w:val="808080" w:themeColor="background1" w:themeShade="80"/>
          <w:sz w:val="22"/>
          <w:szCs w:val="28"/>
        </w:rPr>
        <w:t xml:space="preserve"> the cases of </w:t>
      </w:r>
      <w:r w:rsidRPr="003D3C92">
        <w:rPr>
          <w:rFonts w:ascii="Avenir Next" w:hAnsi="Avenir Next"/>
          <w:i/>
          <w:iCs/>
          <w:color w:val="808080" w:themeColor="background1" w:themeShade="80"/>
          <w:sz w:val="22"/>
          <w:szCs w:val="28"/>
        </w:rPr>
        <w:t>British-American Insurance Co., Ltd</w:t>
      </w:r>
      <w:r w:rsidRPr="003D3C92">
        <w:rPr>
          <w:rFonts w:ascii="Avenir Next" w:hAnsi="Avenir Next"/>
          <w:color w:val="808080" w:themeColor="background1" w:themeShade="80"/>
          <w:sz w:val="22"/>
          <w:szCs w:val="28"/>
        </w:rPr>
        <w:t>. 425 B.R. 884, 909 (</w:t>
      </w:r>
      <w:proofErr w:type="spellStart"/>
      <w:r w:rsidRPr="003D3C92">
        <w:rPr>
          <w:rFonts w:ascii="Avenir Next" w:hAnsi="Avenir Next"/>
          <w:color w:val="808080" w:themeColor="background1" w:themeShade="80"/>
          <w:sz w:val="22"/>
          <w:szCs w:val="28"/>
        </w:rPr>
        <w:t>Bankr</w:t>
      </w:r>
      <w:proofErr w:type="spellEnd"/>
      <w:r w:rsidRPr="003D3C92">
        <w:rPr>
          <w:rFonts w:ascii="Avenir Next" w:hAnsi="Avenir Next"/>
          <w:color w:val="808080" w:themeColor="background1" w:themeShade="80"/>
          <w:sz w:val="22"/>
          <w:szCs w:val="28"/>
        </w:rPr>
        <w:t xml:space="preserve">. </w:t>
      </w:r>
      <w:proofErr w:type="spellStart"/>
      <w:r w:rsidRPr="003D3C92">
        <w:rPr>
          <w:rFonts w:ascii="Avenir Next" w:hAnsi="Avenir Next"/>
          <w:color w:val="808080" w:themeColor="background1" w:themeShade="80"/>
          <w:sz w:val="22"/>
          <w:szCs w:val="28"/>
        </w:rPr>
        <w:t>S.D.Fla</w:t>
      </w:r>
      <w:proofErr w:type="spellEnd"/>
      <w:r w:rsidRPr="003D3C92">
        <w:rPr>
          <w:rFonts w:ascii="Avenir Next" w:hAnsi="Avenir Next"/>
          <w:color w:val="808080" w:themeColor="background1" w:themeShade="80"/>
          <w:sz w:val="22"/>
          <w:szCs w:val="28"/>
        </w:rPr>
        <w:t>. 2010), CLOUT 1005</w:t>
      </w:r>
      <w:r>
        <w:rPr>
          <w:rFonts w:ascii="Avenir Next" w:hAnsi="Avenir Next"/>
          <w:color w:val="808080" w:themeColor="background1" w:themeShade="80"/>
          <w:sz w:val="22"/>
          <w:szCs w:val="28"/>
        </w:rPr>
        <w:t xml:space="preserve"> and </w:t>
      </w:r>
      <w:r w:rsidRPr="003D3C92">
        <w:rPr>
          <w:rFonts w:ascii="Avenir Next" w:hAnsi="Avenir Next"/>
          <w:i/>
          <w:iCs/>
          <w:color w:val="808080" w:themeColor="background1" w:themeShade="80"/>
          <w:sz w:val="22"/>
          <w:szCs w:val="28"/>
        </w:rPr>
        <w:t xml:space="preserve">British American Isle of Venice, Ltd., </w:t>
      </w:r>
      <w:r w:rsidRPr="003D3C92">
        <w:rPr>
          <w:rFonts w:ascii="Avenir Next" w:hAnsi="Avenir Next"/>
          <w:color w:val="808080" w:themeColor="background1" w:themeShade="80"/>
          <w:sz w:val="22"/>
          <w:szCs w:val="28"/>
        </w:rPr>
        <w:t>441 B.R. 713, 720 (</w:t>
      </w:r>
      <w:proofErr w:type="spellStart"/>
      <w:r w:rsidRPr="003D3C92">
        <w:rPr>
          <w:rFonts w:ascii="Avenir Next" w:hAnsi="Avenir Next"/>
          <w:color w:val="808080" w:themeColor="background1" w:themeShade="80"/>
          <w:sz w:val="22"/>
          <w:szCs w:val="28"/>
        </w:rPr>
        <w:t>Bankr</w:t>
      </w:r>
      <w:proofErr w:type="spellEnd"/>
      <w:r w:rsidRPr="003D3C92">
        <w:rPr>
          <w:rFonts w:ascii="Avenir Next" w:hAnsi="Avenir Next"/>
          <w:color w:val="808080" w:themeColor="background1" w:themeShade="80"/>
          <w:sz w:val="22"/>
          <w:szCs w:val="28"/>
        </w:rPr>
        <w:t>. S.D. Fla. 2010)</w:t>
      </w:r>
      <w:r>
        <w:rPr>
          <w:rFonts w:ascii="Avenir Next" w:hAnsi="Avenir Next"/>
          <w:color w:val="808080" w:themeColor="background1" w:themeShade="80"/>
          <w:sz w:val="22"/>
          <w:szCs w:val="28"/>
        </w:rPr>
        <w:t xml:space="preserve"> where the Court found that several of these important factors were not actually that helpful in determining the debtor's COMI.</w:t>
      </w:r>
      <w:r>
        <w:rPr>
          <w:rStyle w:val="FootnoteReference"/>
          <w:rFonts w:ascii="Avenir Next" w:hAnsi="Avenir Next"/>
          <w:color w:val="808080" w:themeColor="background1" w:themeShade="80"/>
          <w:sz w:val="22"/>
          <w:szCs w:val="28"/>
        </w:rPr>
        <w:footnoteReference w:id="21"/>
      </w:r>
    </w:p>
    <w:p w14:paraId="4F0FE996" w14:textId="77777777" w:rsidR="000D2F1E" w:rsidRDefault="000D2F1E" w:rsidP="0057335F">
      <w:pPr>
        <w:jc w:val="both"/>
        <w:rPr>
          <w:rFonts w:ascii="Avenir Next" w:hAnsi="Avenir Next"/>
          <w:color w:val="808080" w:themeColor="background1" w:themeShade="80"/>
          <w:sz w:val="22"/>
          <w:szCs w:val="28"/>
        </w:rPr>
      </w:pPr>
    </w:p>
    <w:p w14:paraId="5EADA644" w14:textId="0DC3BA89" w:rsidR="000D2F1E" w:rsidRDefault="000D2F1E" w:rsidP="0057335F">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Based on the above assessment that COMI is in Cayman, an application for recognition of a foreign main proceeding should be made in the US for the purpose of </w:t>
      </w:r>
      <w:proofErr w:type="spellStart"/>
      <w:r>
        <w:rPr>
          <w:rFonts w:ascii="Avenir Next" w:hAnsi="Avenir Next"/>
          <w:color w:val="808080" w:themeColor="background1" w:themeShade="80"/>
          <w:sz w:val="22"/>
          <w:szCs w:val="28"/>
        </w:rPr>
        <w:t>recognising</w:t>
      </w:r>
      <w:proofErr w:type="spellEnd"/>
      <w:r>
        <w:rPr>
          <w:rFonts w:ascii="Avenir Next" w:hAnsi="Avenir Next"/>
          <w:color w:val="808080" w:themeColor="background1" w:themeShade="80"/>
          <w:sz w:val="22"/>
          <w:szCs w:val="28"/>
        </w:rPr>
        <w:t xml:space="preserve"> the Sanction Order </w:t>
      </w:r>
      <w:r w:rsidR="00586A38">
        <w:rPr>
          <w:rFonts w:ascii="Avenir Next" w:hAnsi="Avenir Next"/>
          <w:color w:val="808080" w:themeColor="background1" w:themeShade="80"/>
          <w:sz w:val="22"/>
          <w:szCs w:val="28"/>
        </w:rPr>
        <w:t>there</w:t>
      </w:r>
      <w:r>
        <w:rPr>
          <w:rFonts w:ascii="Avenir Next" w:hAnsi="Avenir Next"/>
          <w:color w:val="808080" w:themeColor="background1" w:themeShade="80"/>
          <w:sz w:val="22"/>
          <w:szCs w:val="28"/>
        </w:rPr>
        <w:t>.</w:t>
      </w:r>
    </w:p>
    <w:p w14:paraId="2FF0CA2A" w14:textId="77777777" w:rsidR="00CD0B06" w:rsidRDefault="00CD0B06" w:rsidP="0057335F">
      <w:pPr>
        <w:jc w:val="both"/>
        <w:rPr>
          <w:rFonts w:ascii="Avenir Next" w:hAnsi="Avenir Next"/>
          <w:color w:val="808080" w:themeColor="background1" w:themeShade="80"/>
          <w:sz w:val="22"/>
          <w:szCs w:val="28"/>
        </w:rPr>
      </w:pPr>
    </w:p>
    <w:p w14:paraId="63E52798" w14:textId="399EEAF7" w:rsidR="00CD0B06" w:rsidRPr="00CD0B06" w:rsidRDefault="00CD0B06" w:rsidP="0057335F">
      <w:pPr>
        <w:jc w:val="both"/>
        <w:rPr>
          <w:rFonts w:ascii="Avenir Next" w:hAnsi="Avenir Next"/>
          <w:color w:val="808080" w:themeColor="background1" w:themeShade="80"/>
          <w:sz w:val="22"/>
          <w:szCs w:val="28"/>
          <w:u w:val="single"/>
        </w:rPr>
      </w:pPr>
      <w:r w:rsidRPr="00CD0B06">
        <w:rPr>
          <w:rFonts w:ascii="Avenir Next" w:hAnsi="Avenir Next"/>
          <w:color w:val="808080" w:themeColor="background1" w:themeShade="80"/>
          <w:sz w:val="22"/>
          <w:szCs w:val="28"/>
          <w:u w:val="single"/>
        </w:rPr>
        <w:t xml:space="preserve">Establishment analysis </w:t>
      </w:r>
    </w:p>
    <w:p w14:paraId="04BDA194" w14:textId="77777777" w:rsidR="000D2F1E" w:rsidRDefault="000D2F1E" w:rsidP="0057335F">
      <w:pPr>
        <w:jc w:val="both"/>
        <w:rPr>
          <w:rFonts w:ascii="Avenir Next" w:hAnsi="Avenir Next"/>
          <w:color w:val="808080" w:themeColor="background1" w:themeShade="80"/>
          <w:sz w:val="22"/>
          <w:szCs w:val="28"/>
        </w:rPr>
      </w:pPr>
    </w:p>
    <w:p w14:paraId="1EBB8DFF" w14:textId="6BB031D7" w:rsidR="004933A0" w:rsidRDefault="004933A0" w:rsidP="004933A0">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In view of the definition of "establishment" in the MLCBI as </w:t>
      </w:r>
      <w:r w:rsidRPr="004933A0">
        <w:rPr>
          <w:rFonts w:ascii="Avenir Next" w:hAnsi="Avenir Next"/>
          <w:i/>
          <w:iCs/>
          <w:color w:val="808080" w:themeColor="background1" w:themeShade="80"/>
          <w:sz w:val="22"/>
          <w:szCs w:val="28"/>
        </w:rPr>
        <w:t>“any place of operations where the debtor carries out a non-transitory economic activity with human means and goods or services"</w:t>
      </w:r>
      <w:r>
        <w:rPr>
          <w:rFonts w:ascii="Avenir Next" w:hAnsi="Avenir Next"/>
          <w:color w:val="808080" w:themeColor="background1" w:themeShade="80"/>
          <w:sz w:val="22"/>
          <w:szCs w:val="28"/>
        </w:rPr>
        <w:t xml:space="preserve"> and based on the facts, it does not appear that Global Holdings has an establishment in Cayman. Global Holdings does have a Cayman bank </w:t>
      </w:r>
      <w:r w:rsidR="0075506A">
        <w:rPr>
          <w:rFonts w:ascii="Avenir Next" w:hAnsi="Avenir Next"/>
          <w:color w:val="808080" w:themeColor="background1" w:themeShade="80"/>
          <w:sz w:val="22"/>
          <w:szCs w:val="28"/>
        </w:rPr>
        <w:t>account;</w:t>
      </w:r>
      <w:r>
        <w:rPr>
          <w:rFonts w:ascii="Avenir Next" w:hAnsi="Avenir Next"/>
          <w:color w:val="808080" w:themeColor="background1" w:themeShade="80"/>
          <w:sz w:val="22"/>
          <w:szCs w:val="28"/>
        </w:rPr>
        <w:t xml:space="preserve"> however, </w:t>
      </w:r>
      <w:r w:rsidRPr="004933A0">
        <w:rPr>
          <w:rFonts w:ascii="Avenir Next" w:hAnsi="Avenir Next"/>
          <w:color w:val="808080" w:themeColor="background1" w:themeShade="80"/>
          <w:sz w:val="22"/>
          <w:szCs w:val="28"/>
        </w:rPr>
        <w:t>The Judicial Perspective</w:t>
      </w:r>
      <w:r>
        <w:rPr>
          <w:rFonts w:ascii="Avenir Next" w:hAnsi="Avenir Next"/>
          <w:color w:val="808080" w:themeColor="background1" w:themeShade="80"/>
          <w:sz w:val="22"/>
          <w:szCs w:val="28"/>
        </w:rPr>
        <w:t xml:space="preserve"> </w:t>
      </w:r>
      <w:r w:rsidRPr="004933A0">
        <w:rPr>
          <w:rFonts w:ascii="Avenir Next" w:hAnsi="Avenir Next"/>
          <w:color w:val="808080" w:themeColor="background1" w:themeShade="80"/>
          <w:sz w:val="22"/>
          <w:szCs w:val="28"/>
        </w:rPr>
        <w:t xml:space="preserve">clarifies that: </w:t>
      </w:r>
      <w:r>
        <w:rPr>
          <w:rFonts w:ascii="Avenir Next" w:hAnsi="Avenir Next"/>
          <w:i/>
          <w:iCs/>
          <w:color w:val="808080" w:themeColor="background1" w:themeShade="80"/>
          <w:sz w:val="22"/>
          <w:szCs w:val="28"/>
        </w:rPr>
        <w:t>"</w:t>
      </w:r>
      <w:r w:rsidRPr="004933A0">
        <w:rPr>
          <w:rFonts w:ascii="Avenir Next" w:hAnsi="Avenir Next"/>
          <w:i/>
          <w:iCs/>
          <w:color w:val="808080" w:themeColor="background1" w:themeShade="80"/>
          <w:sz w:val="22"/>
          <w:szCs w:val="28"/>
        </w:rPr>
        <w:t>the presence alone of goods in isolation or bank accounts does not, in principle satisfy the requirements for classification as an “establishment”".</w:t>
      </w:r>
      <w:r w:rsidRPr="004933A0">
        <w:rPr>
          <w:rStyle w:val="FootnoteReference"/>
          <w:rFonts w:ascii="Avenir Next" w:hAnsi="Avenir Next"/>
          <w:color w:val="808080" w:themeColor="background1" w:themeShade="80"/>
          <w:sz w:val="22"/>
          <w:szCs w:val="28"/>
        </w:rPr>
        <w:footnoteReference w:id="22"/>
      </w:r>
      <w:r>
        <w:rPr>
          <w:rFonts w:ascii="Avenir Next" w:hAnsi="Avenir Next"/>
          <w:i/>
          <w:iCs/>
          <w:color w:val="808080" w:themeColor="background1" w:themeShade="80"/>
          <w:sz w:val="22"/>
          <w:szCs w:val="28"/>
        </w:rPr>
        <w:t xml:space="preserve"> </w:t>
      </w:r>
    </w:p>
    <w:p w14:paraId="7076BA97" w14:textId="77777777" w:rsidR="004933A0" w:rsidRDefault="004933A0" w:rsidP="004933A0">
      <w:pPr>
        <w:jc w:val="both"/>
        <w:rPr>
          <w:rFonts w:ascii="Avenir Next" w:hAnsi="Avenir Next"/>
          <w:color w:val="808080" w:themeColor="background1" w:themeShade="80"/>
          <w:sz w:val="22"/>
          <w:szCs w:val="28"/>
        </w:rPr>
      </w:pPr>
    </w:p>
    <w:p w14:paraId="7A6B03E3" w14:textId="6745F4CF" w:rsidR="004933A0" w:rsidRDefault="00586A38" w:rsidP="004933A0">
      <w:p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In order for</w:t>
      </w:r>
      <w:proofErr w:type="gramEnd"/>
      <w:r>
        <w:rPr>
          <w:rFonts w:ascii="Avenir Next" w:hAnsi="Avenir Next"/>
          <w:color w:val="808080" w:themeColor="background1" w:themeShade="80"/>
          <w:sz w:val="22"/>
          <w:szCs w:val="28"/>
        </w:rPr>
        <w:t xml:space="preserve"> the Cayman proceedings to qualify as a</w:t>
      </w:r>
      <w:r w:rsidR="004933A0">
        <w:rPr>
          <w:rFonts w:ascii="Avenir Next" w:hAnsi="Avenir Next"/>
          <w:color w:val="808080" w:themeColor="background1" w:themeShade="80"/>
          <w:sz w:val="22"/>
          <w:szCs w:val="28"/>
        </w:rPr>
        <w:t xml:space="preserve"> foreign non-main proceeding</w:t>
      </w:r>
      <w:r>
        <w:rPr>
          <w:rFonts w:ascii="Avenir Next" w:hAnsi="Avenir Next"/>
          <w:color w:val="808080" w:themeColor="background1" w:themeShade="80"/>
          <w:sz w:val="22"/>
          <w:szCs w:val="28"/>
        </w:rPr>
        <w:t>, the MLCBI would</w:t>
      </w:r>
      <w:r w:rsidR="004933A0">
        <w:rPr>
          <w:rFonts w:ascii="Avenir Next" w:hAnsi="Avenir Next"/>
          <w:color w:val="808080" w:themeColor="background1" w:themeShade="80"/>
          <w:sz w:val="22"/>
          <w:szCs w:val="28"/>
        </w:rPr>
        <w:t xml:space="preserve"> require</w:t>
      </w:r>
      <w:r>
        <w:rPr>
          <w:rFonts w:ascii="Avenir Next" w:hAnsi="Avenir Next"/>
          <w:color w:val="808080" w:themeColor="background1" w:themeShade="80"/>
          <w:sz w:val="22"/>
          <w:szCs w:val="28"/>
        </w:rPr>
        <w:t xml:space="preserve"> </w:t>
      </w:r>
      <w:r w:rsidR="004933A0">
        <w:rPr>
          <w:rFonts w:ascii="Avenir Next" w:hAnsi="Avenir Next"/>
          <w:color w:val="808080" w:themeColor="background1" w:themeShade="80"/>
          <w:sz w:val="22"/>
          <w:szCs w:val="28"/>
        </w:rPr>
        <w:t xml:space="preserve">the debtor to have an establishment in </w:t>
      </w:r>
      <w:r>
        <w:rPr>
          <w:rFonts w:ascii="Avenir Next" w:hAnsi="Avenir Next"/>
          <w:color w:val="808080" w:themeColor="background1" w:themeShade="80"/>
          <w:sz w:val="22"/>
          <w:szCs w:val="28"/>
        </w:rPr>
        <w:t>Cayman</w:t>
      </w:r>
      <w:r w:rsidR="00302457">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in circumstances where there aren’t sufficient facts to establish that it does, it</w:t>
      </w:r>
      <w:r w:rsidR="00302457">
        <w:rPr>
          <w:rFonts w:ascii="Avenir Next" w:hAnsi="Avenir Next"/>
          <w:color w:val="808080" w:themeColor="background1" w:themeShade="80"/>
          <w:sz w:val="22"/>
          <w:szCs w:val="28"/>
        </w:rPr>
        <w:t xml:space="preserve"> </w:t>
      </w:r>
      <w:r>
        <w:rPr>
          <w:rFonts w:ascii="Avenir Next" w:hAnsi="Avenir Next"/>
          <w:color w:val="808080" w:themeColor="background1" w:themeShade="80"/>
          <w:sz w:val="22"/>
          <w:szCs w:val="28"/>
        </w:rPr>
        <w:t>doesn’t seem</w:t>
      </w:r>
      <w:r w:rsidR="00302457">
        <w:rPr>
          <w:rFonts w:ascii="Avenir Next" w:hAnsi="Avenir Next"/>
          <w:color w:val="808080" w:themeColor="background1" w:themeShade="80"/>
          <w:sz w:val="22"/>
          <w:szCs w:val="28"/>
        </w:rPr>
        <w:t xml:space="preserve"> that an application for recognition of the Cayman proceedings as foreign non-main proceedings would </w:t>
      </w:r>
      <w:r>
        <w:rPr>
          <w:rFonts w:ascii="Avenir Next" w:hAnsi="Avenir Next"/>
          <w:color w:val="808080" w:themeColor="background1" w:themeShade="80"/>
          <w:sz w:val="22"/>
          <w:szCs w:val="28"/>
        </w:rPr>
        <w:t>be worthwhile.</w:t>
      </w:r>
    </w:p>
    <w:p w14:paraId="07511B4D" w14:textId="77777777" w:rsidR="00CD0B06" w:rsidRDefault="00CD0B06" w:rsidP="00302457">
      <w:pPr>
        <w:jc w:val="both"/>
        <w:rPr>
          <w:rFonts w:ascii="Avenir Next" w:hAnsi="Avenir Next"/>
          <w:color w:val="808080" w:themeColor="background1" w:themeShade="80"/>
          <w:sz w:val="22"/>
          <w:szCs w:val="28"/>
        </w:rPr>
      </w:pPr>
    </w:p>
    <w:p w14:paraId="5357A9C3" w14:textId="2AA78D4B" w:rsidR="00CD0B06" w:rsidRPr="00CD0B06" w:rsidRDefault="00CD0B06" w:rsidP="00302457">
      <w:pPr>
        <w:jc w:val="both"/>
        <w:rPr>
          <w:rFonts w:ascii="Avenir Next" w:hAnsi="Avenir Next"/>
          <w:color w:val="808080" w:themeColor="background1" w:themeShade="80"/>
          <w:sz w:val="22"/>
          <w:szCs w:val="28"/>
          <w:u w:val="single"/>
        </w:rPr>
      </w:pPr>
      <w:r w:rsidRPr="00CD0B06">
        <w:rPr>
          <w:rFonts w:ascii="Avenir Next" w:hAnsi="Avenir Next"/>
          <w:color w:val="808080" w:themeColor="background1" w:themeShade="80"/>
          <w:sz w:val="22"/>
          <w:szCs w:val="28"/>
          <w:u w:val="single"/>
        </w:rPr>
        <w:t xml:space="preserve">Papers </w:t>
      </w:r>
    </w:p>
    <w:p w14:paraId="67A80745" w14:textId="77777777" w:rsidR="00CD0B06" w:rsidRDefault="00CD0B06" w:rsidP="00302457">
      <w:pPr>
        <w:jc w:val="both"/>
        <w:rPr>
          <w:rFonts w:ascii="Avenir Next" w:hAnsi="Avenir Next"/>
          <w:color w:val="808080" w:themeColor="background1" w:themeShade="80"/>
          <w:sz w:val="22"/>
          <w:szCs w:val="28"/>
        </w:rPr>
      </w:pPr>
    </w:p>
    <w:p w14:paraId="4A6F109D" w14:textId="10EF68E6" w:rsidR="00F33405" w:rsidRDefault="00586A38" w:rsidP="00F3340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to what papers need to be submitted</w:t>
      </w:r>
      <w:r w:rsidR="00330EDC">
        <w:rPr>
          <w:rFonts w:ascii="Avenir Next" w:hAnsi="Avenir Next"/>
          <w:color w:val="808080" w:themeColor="background1" w:themeShade="80"/>
          <w:sz w:val="22"/>
          <w:szCs w:val="28"/>
        </w:rPr>
        <w:t>,</w:t>
      </w:r>
      <w:r w:rsidR="00D95CF5">
        <w:rPr>
          <w:rFonts w:ascii="Avenir Next" w:hAnsi="Avenir Next"/>
          <w:color w:val="808080" w:themeColor="background1" w:themeShade="80"/>
          <w:sz w:val="22"/>
          <w:szCs w:val="28"/>
        </w:rPr>
        <w:t xml:space="preserve"> pursuant to Article 15 of MLCBI,</w:t>
      </w:r>
      <w:r w:rsidR="00330EDC">
        <w:rPr>
          <w:rFonts w:ascii="Avenir Next" w:hAnsi="Avenir Next"/>
          <w:color w:val="808080" w:themeColor="background1" w:themeShade="80"/>
          <w:sz w:val="22"/>
          <w:szCs w:val="28"/>
        </w:rPr>
        <w:t xml:space="preserve"> the application for </w:t>
      </w:r>
      <w:r w:rsidR="00B1612F">
        <w:rPr>
          <w:rFonts w:ascii="Avenir Next" w:hAnsi="Avenir Next"/>
          <w:color w:val="808080" w:themeColor="background1" w:themeShade="80"/>
          <w:sz w:val="22"/>
          <w:szCs w:val="28"/>
        </w:rPr>
        <w:t>recognition should be accompanied by</w:t>
      </w:r>
      <w:r w:rsidR="00F33405">
        <w:rPr>
          <w:rFonts w:ascii="Avenir Next" w:hAnsi="Avenir Next"/>
          <w:color w:val="808080" w:themeColor="background1" w:themeShade="80"/>
          <w:sz w:val="22"/>
          <w:szCs w:val="28"/>
        </w:rPr>
        <w:t xml:space="preserve"> </w:t>
      </w:r>
      <w:r w:rsidR="00B1612F" w:rsidRPr="00F33405">
        <w:rPr>
          <w:rFonts w:ascii="Avenir Next" w:hAnsi="Avenir Next"/>
          <w:color w:val="808080" w:themeColor="background1" w:themeShade="80"/>
          <w:sz w:val="22"/>
          <w:szCs w:val="28"/>
        </w:rPr>
        <w:t>a certified copy of the scheme application in Cayma</w:t>
      </w:r>
      <w:r w:rsidR="00F33405">
        <w:rPr>
          <w:rFonts w:ascii="Avenir Next" w:hAnsi="Avenir Next"/>
          <w:color w:val="808080" w:themeColor="background1" w:themeShade="80"/>
          <w:sz w:val="22"/>
          <w:szCs w:val="28"/>
        </w:rPr>
        <w:t xml:space="preserve">n and certified copies of the </w:t>
      </w:r>
      <w:r w:rsidR="00F33405" w:rsidRPr="00F33405">
        <w:rPr>
          <w:rFonts w:ascii="Avenir Next" w:hAnsi="Avenir Next"/>
          <w:color w:val="808080" w:themeColor="background1" w:themeShade="80"/>
          <w:sz w:val="22"/>
          <w:szCs w:val="28"/>
        </w:rPr>
        <w:t>Sanction Order</w:t>
      </w:r>
      <w:r w:rsidR="00F33405">
        <w:rPr>
          <w:rFonts w:ascii="Avenir Next" w:hAnsi="Avenir Next"/>
          <w:color w:val="808080" w:themeColor="background1" w:themeShade="80"/>
          <w:sz w:val="22"/>
          <w:szCs w:val="28"/>
        </w:rPr>
        <w:t xml:space="preserve"> and for completeness the Convening Order. </w:t>
      </w:r>
    </w:p>
    <w:p w14:paraId="3F9CFC8B" w14:textId="77777777" w:rsidR="00F33405" w:rsidRDefault="00F33405" w:rsidP="00F33405">
      <w:pPr>
        <w:jc w:val="both"/>
        <w:rPr>
          <w:rFonts w:ascii="Avenir Next" w:hAnsi="Avenir Next"/>
          <w:color w:val="808080" w:themeColor="background1" w:themeShade="80"/>
          <w:sz w:val="22"/>
          <w:szCs w:val="28"/>
        </w:rPr>
      </w:pPr>
    </w:p>
    <w:p w14:paraId="3FD15E65" w14:textId="77E4D009" w:rsidR="000431F4" w:rsidRDefault="00F33405" w:rsidP="00F3340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US Court may also be assisted by the earlier Cayman filings such as the application to </w:t>
      </w:r>
      <w:r w:rsidRPr="00F33405">
        <w:rPr>
          <w:rFonts w:ascii="Avenir Next" w:hAnsi="Avenir Next"/>
          <w:color w:val="808080" w:themeColor="background1" w:themeShade="80"/>
          <w:sz w:val="22"/>
          <w:szCs w:val="28"/>
        </w:rPr>
        <w:t xml:space="preserve">convene a single scheme meeting on the basis that the Noteholders, as the only Scheme Creditors </w:t>
      </w:r>
      <w:r>
        <w:rPr>
          <w:rFonts w:ascii="Avenir Next" w:hAnsi="Avenir Next"/>
          <w:color w:val="808080" w:themeColor="background1" w:themeShade="80"/>
          <w:sz w:val="22"/>
          <w:szCs w:val="28"/>
        </w:rPr>
        <w:t>(note that this is effectively an application for cross class cram down) and evidence in support which led to the Cayman Court making the Convening Order. There would be a range</w:t>
      </w:r>
      <w:r w:rsidRPr="00F33405">
        <w:rPr>
          <w:rFonts w:ascii="Avenir Next" w:hAnsi="Avenir Next"/>
          <w:color w:val="808080" w:themeColor="background1" w:themeShade="80"/>
          <w:sz w:val="22"/>
          <w:szCs w:val="28"/>
        </w:rPr>
        <w:t xml:space="preserve"> of </w:t>
      </w:r>
      <w:r>
        <w:rPr>
          <w:rFonts w:ascii="Avenir Next" w:hAnsi="Avenir Next"/>
          <w:color w:val="808080" w:themeColor="background1" w:themeShade="80"/>
          <w:sz w:val="22"/>
          <w:szCs w:val="28"/>
        </w:rPr>
        <w:t xml:space="preserve">other relevant </w:t>
      </w:r>
      <w:r w:rsidRPr="00F33405">
        <w:rPr>
          <w:rFonts w:ascii="Avenir Next" w:hAnsi="Avenir Next"/>
          <w:color w:val="808080" w:themeColor="background1" w:themeShade="80"/>
          <w:sz w:val="22"/>
          <w:szCs w:val="28"/>
        </w:rPr>
        <w:t xml:space="preserve">papers but based on the facts we assume that it would have included evidence of the Noteholders decision to delay interest payments and restructure the Notes and the Restructuring Support Agreement (RSA) governed by New York law, </w:t>
      </w:r>
      <w:r>
        <w:rPr>
          <w:rFonts w:ascii="Avenir Next" w:hAnsi="Avenir Next"/>
          <w:color w:val="808080" w:themeColor="background1" w:themeShade="80"/>
          <w:sz w:val="22"/>
          <w:szCs w:val="28"/>
        </w:rPr>
        <w:t xml:space="preserve">evidence of the outcome of the scheme meeting. </w:t>
      </w:r>
    </w:p>
    <w:p w14:paraId="1D4053DA" w14:textId="77777777" w:rsidR="00D95CF5" w:rsidRDefault="00D95CF5" w:rsidP="00F33405">
      <w:pPr>
        <w:jc w:val="both"/>
        <w:rPr>
          <w:rFonts w:ascii="Avenir Next" w:hAnsi="Avenir Next"/>
          <w:color w:val="808080" w:themeColor="background1" w:themeShade="80"/>
          <w:sz w:val="22"/>
          <w:szCs w:val="28"/>
        </w:rPr>
      </w:pPr>
    </w:p>
    <w:p w14:paraId="186F2862" w14:textId="194EB0A0" w:rsidR="00D95CF5" w:rsidRPr="00D95CF5" w:rsidRDefault="00D95CF5" w:rsidP="00D95CF5">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Article 15(3) of the MLCBI also requires the </w:t>
      </w:r>
      <w:r w:rsidRPr="00D95CF5">
        <w:rPr>
          <w:rFonts w:ascii="Avenir Next" w:hAnsi="Avenir Next"/>
          <w:color w:val="808080" w:themeColor="background1" w:themeShade="80"/>
          <w:sz w:val="22"/>
          <w:szCs w:val="28"/>
        </w:rPr>
        <w:t>application for recognition shall be accompanied by</w:t>
      </w:r>
      <w:r>
        <w:rPr>
          <w:rFonts w:ascii="Avenir Next" w:hAnsi="Avenir Next"/>
          <w:color w:val="808080" w:themeColor="background1" w:themeShade="80"/>
          <w:sz w:val="22"/>
          <w:szCs w:val="28"/>
        </w:rPr>
        <w:t xml:space="preserve"> </w:t>
      </w:r>
      <w:r w:rsidRPr="00D95CF5">
        <w:rPr>
          <w:rFonts w:ascii="Avenir Next" w:hAnsi="Avenir Next"/>
          <w:color w:val="808080" w:themeColor="background1" w:themeShade="80"/>
          <w:sz w:val="22"/>
          <w:szCs w:val="28"/>
        </w:rPr>
        <w:t xml:space="preserve">a </w:t>
      </w:r>
      <w:r w:rsidRPr="00D95CF5">
        <w:rPr>
          <w:rFonts w:ascii="Avenir Next" w:hAnsi="Avenir Next"/>
          <w:i/>
          <w:iCs/>
          <w:color w:val="808080" w:themeColor="background1" w:themeShade="80"/>
          <w:sz w:val="22"/>
          <w:szCs w:val="28"/>
        </w:rPr>
        <w:t>"statement identifying all foreign proceedings in respect of the debtor that are known to the foreign representative."</w:t>
      </w:r>
      <w:r>
        <w:rPr>
          <w:rStyle w:val="FootnoteReference"/>
          <w:rFonts w:ascii="Avenir Next" w:hAnsi="Avenir Next"/>
          <w:i/>
          <w:iCs/>
          <w:color w:val="808080" w:themeColor="background1" w:themeShade="80"/>
          <w:sz w:val="22"/>
          <w:szCs w:val="28"/>
        </w:rPr>
        <w:footnoteReference w:id="23"/>
      </w:r>
    </w:p>
    <w:p w14:paraId="426E84CE" w14:textId="77777777" w:rsidR="00330EDC" w:rsidRDefault="00330EDC" w:rsidP="009E3CA7">
      <w:pPr>
        <w:jc w:val="both"/>
        <w:rPr>
          <w:rFonts w:ascii="Avenir Next" w:hAnsi="Avenir Next"/>
          <w:color w:val="808080" w:themeColor="background1" w:themeShade="80"/>
          <w:sz w:val="22"/>
          <w:szCs w:val="28"/>
        </w:rPr>
      </w:pPr>
    </w:p>
    <w:p w14:paraId="4F0DAC5C" w14:textId="6222B6C3" w:rsidR="00F33405" w:rsidRDefault="00D4563A" w:rsidP="009E3CA7">
      <w:p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lastRenderedPageBreak/>
        <w:t>In view of the fact that</w:t>
      </w:r>
      <w:proofErr w:type="gramEnd"/>
      <w:r>
        <w:rPr>
          <w:rFonts w:ascii="Avenir Next" w:hAnsi="Avenir Next"/>
          <w:color w:val="808080" w:themeColor="background1" w:themeShade="80"/>
          <w:sz w:val="22"/>
          <w:szCs w:val="28"/>
        </w:rPr>
        <w:t xml:space="preserve"> there is a class action litigation brewing but not yet filed in the US, the </w:t>
      </w:r>
      <w:r w:rsidR="00F33405">
        <w:rPr>
          <w:rFonts w:ascii="Avenir Next" w:hAnsi="Avenir Next"/>
          <w:color w:val="808080" w:themeColor="background1" w:themeShade="80"/>
          <w:sz w:val="22"/>
          <w:szCs w:val="28"/>
        </w:rPr>
        <w:t xml:space="preserve">Cayman representatives should also give consideration to whether </w:t>
      </w:r>
      <w:r>
        <w:rPr>
          <w:rFonts w:ascii="Avenir Next" w:hAnsi="Avenir Next"/>
          <w:color w:val="808080" w:themeColor="background1" w:themeShade="80"/>
          <w:sz w:val="22"/>
          <w:szCs w:val="28"/>
        </w:rPr>
        <w:t xml:space="preserve">this proceeding should be mentioned in the statement identifying all foreign proceedings in respect of the debtor. On the one hand, this class action proceeding hasn’t been filed yet and we don’t know for sure that Global Holdings will be named, however, to avoid misleading the Court it may be prudent to mention the existence of this potential proceeding. </w:t>
      </w:r>
    </w:p>
    <w:p w14:paraId="018E44DF" w14:textId="77777777" w:rsidR="00F33405" w:rsidRDefault="00F33405" w:rsidP="009E3CA7">
      <w:pPr>
        <w:jc w:val="both"/>
        <w:rPr>
          <w:rFonts w:ascii="Avenir Next" w:hAnsi="Avenir Next"/>
          <w:color w:val="808080" w:themeColor="background1" w:themeShade="80"/>
          <w:sz w:val="22"/>
          <w:szCs w:val="28"/>
        </w:rPr>
      </w:pPr>
    </w:p>
    <w:p w14:paraId="4E90FA4A" w14:textId="1138E8BE" w:rsidR="00F33405" w:rsidRDefault="00CD0B06" w:rsidP="009E3CA7">
      <w:pPr>
        <w:jc w:val="both"/>
        <w:rPr>
          <w:rFonts w:ascii="Avenir Next" w:hAnsi="Avenir Next"/>
          <w:color w:val="808080" w:themeColor="background1" w:themeShade="80"/>
          <w:sz w:val="22"/>
          <w:szCs w:val="28"/>
          <w:u w:val="single"/>
        </w:rPr>
      </w:pPr>
      <w:r w:rsidRPr="00CD0B06">
        <w:rPr>
          <w:rFonts w:ascii="Avenir Next" w:hAnsi="Avenir Next"/>
          <w:color w:val="808080" w:themeColor="background1" w:themeShade="80"/>
          <w:sz w:val="22"/>
          <w:szCs w:val="28"/>
          <w:u w:val="single"/>
        </w:rPr>
        <w:t xml:space="preserve">Relief </w:t>
      </w:r>
    </w:p>
    <w:p w14:paraId="2EE29FCB" w14:textId="77777777" w:rsidR="00143BCA" w:rsidRDefault="00143BCA" w:rsidP="009E3CA7">
      <w:pPr>
        <w:jc w:val="both"/>
        <w:rPr>
          <w:rFonts w:ascii="Avenir Next" w:hAnsi="Avenir Next"/>
          <w:color w:val="808080" w:themeColor="background1" w:themeShade="80"/>
          <w:sz w:val="22"/>
          <w:szCs w:val="28"/>
          <w:u w:val="single"/>
        </w:rPr>
      </w:pPr>
    </w:p>
    <w:p w14:paraId="27748C90" w14:textId="77777777" w:rsidR="00143BCA" w:rsidRDefault="00143BCA"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As to the relief that the Cayman representatives should seek on day one of filing the recognition application.</w:t>
      </w:r>
    </w:p>
    <w:p w14:paraId="3372FD6B" w14:textId="77777777" w:rsidR="00AF3C94" w:rsidRDefault="00AF3C94" w:rsidP="009E3CA7">
      <w:pPr>
        <w:jc w:val="both"/>
        <w:rPr>
          <w:rFonts w:ascii="Avenir Next" w:hAnsi="Avenir Next"/>
          <w:color w:val="808080" w:themeColor="background1" w:themeShade="80"/>
          <w:sz w:val="22"/>
          <w:szCs w:val="28"/>
        </w:rPr>
      </w:pPr>
    </w:p>
    <w:p w14:paraId="4B71D4B8" w14:textId="7974A6E4" w:rsidR="00AF3C94" w:rsidRPr="00AF3C94" w:rsidRDefault="00AF3C94" w:rsidP="009E3CA7">
      <w:pPr>
        <w:jc w:val="both"/>
        <w:rPr>
          <w:rFonts w:ascii="Avenir Next" w:hAnsi="Avenir Next"/>
          <w:i/>
          <w:iCs/>
          <w:color w:val="808080" w:themeColor="background1" w:themeShade="80"/>
          <w:sz w:val="22"/>
          <w:szCs w:val="28"/>
        </w:rPr>
      </w:pPr>
      <w:r w:rsidRPr="00AF3C94">
        <w:rPr>
          <w:rFonts w:ascii="Avenir Next" w:hAnsi="Avenir Next"/>
          <w:i/>
          <w:iCs/>
          <w:color w:val="808080" w:themeColor="background1" w:themeShade="80"/>
          <w:sz w:val="22"/>
          <w:szCs w:val="28"/>
        </w:rPr>
        <w:t>Article 19</w:t>
      </w:r>
    </w:p>
    <w:p w14:paraId="4A62F8F8" w14:textId="77777777" w:rsidR="00143BCA" w:rsidRDefault="00143BCA" w:rsidP="009E3CA7">
      <w:pPr>
        <w:jc w:val="both"/>
        <w:rPr>
          <w:rFonts w:ascii="Avenir Next" w:hAnsi="Avenir Next"/>
          <w:color w:val="808080" w:themeColor="background1" w:themeShade="80"/>
          <w:sz w:val="22"/>
          <w:szCs w:val="28"/>
        </w:rPr>
      </w:pPr>
    </w:p>
    <w:p w14:paraId="7438BF64" w14:textId="1B25FE65" w:rsidR="00AF3C94" w:rsidRDefault="00143BCA" w:rsidP="009E3CA7">
      <w:pPr>
        <w:jc w:val="both"/>
        <w:rPr>
          <w:rFonts w:ascii="Avenir Next" w:hAnsi="Avenir Next"/>
          <w:color w:val="808080" w:themeColor="background1" w:themeShade="80"/>
          <w:sz w:val="22"/>
          <w:szCs w:val="28"/>
        </w:rPr>
      </w:pPr>
      <w:proofErr w:type="gramStart"/>
      <w:r>
        <w:rPr>
          <w:rFonts w:ascii="Avenir Next" w:hAnsi="Avenir Next"/>
          <w:color w:val="808080" w:themeColor="background1" w:themeShade="80"/>
          <w:sz w:val="22"/>
          <w:szCs w:val="28"/>
        </w:rPr>
        <w:t>In order to</w:t>
      </w:r>
      <w:proofErr w:type="gramEnd"/>
      <w:r>
        <w:rPr>
          <w:rFonts w:ascii="Avenir Next" w:hAnsi="Avenir Next"/>
          <w:color w:val="808080" w:themeColor="background1" w:themeShade="80"/>
          <w:sz w:val="22"/>
          <w:szCs w:val="28"/>
        </w:rPr>
        <w:t xml:space="preserve"> maintain the status quo and the effect of the Sanction Order, it would be prudent for the Cayman representatives to apply for urgent interim relief pursuant to Article 19 of the MLCBI, to </w:t>
      </w:r>
      <w:r w:rsidRPr="00143BCA">
        <w:rPr>
          <w:rFonts w:ascii="Avenir Next" w:hAnsi="Avenir Next"/>
          <w:color w:val="808080" w:themeColor="background1" w:themeShade="80"/>
          <w:sz w:val="22"/>
          <w:szCs w:val="28"/>
        </w:rPr>
        <w:t xml:space="preserve">protect the assets of </w:t>
      </w:r>
      <w:r>
        <w:rPr>
          <w:rFonts w:ascii="Avenir Next" w:hAnsi="Avenir Next"/>
          <w:color w:val="808080" w:themeColor="background1" w:themeShade="80"/>
          <w:sz w:val="22"/>
          <w:szCs w:val="28"/>
        </w:rPr>
        <w:t>Global Holdings and</w:t>
      </w:r>
      <w:r w:rsidRPr="00143BCA">
        <w:rPr>
          <w:rFonts w:ascii="Avenir Next" w:hAnsi="Avenir Next"/>
          <w:color w:val="808080" w:themeColor="background1" w:themeShade="80"/>
          <w:sz w:val="22"/>
          <w:szCs w:val="28"/>
        </w:rPr>
        <w:t xml:space="preserve"> the interests of the</w:t>
      </w:r>
      <w:r>
        <w:rPr>
          <w:rFonts w:ascii="Avenir Next" w:hAnsi="Avenir Next"/>
          <w:color w:val="808080" w:themeColor="background1" w:themeShade="80"/>
          <w:sz w:val="22"/>
          <w:szCs w:val="28"/>
        </w:rPr>
        <w:t xml:space="preserve"> </w:t>
      </w:r>
      <w:r w:rsidRPr="00143BCA">
        <w:rPr>
          <w:rFonts w:ascii="Avenir Next" w:hAnsi="Avenir Next"/>
          <w:color w:val="808080" w:themeColor="background1" w:themeShade="80"/>
          <w:sz w:val="22"/>
          <w:szCs w:val="28"/>
        </w:rPr>
        <w:t>creditors</w:t>
      </w:r>
      <w:r>
        <w:rPr>
          <w:rFonts w:ascii="Avenir Next" w:hAnsi="Avenir Next"/>
          <w:color w:val="808080" w:themeColor="background1" w:themeShade="80"/>
          <w:sz w:val="22"/>
          <w:szCs w:val="28"/>
        </w:rPr>
        <w:t xml:space="preserve"> until the US Court determines the application fo</w:t>
      </w:r>
      <w:r w:rsidR="0047360A">
        <w:rPr>
          <w:rFonts w:ascii="Avenir Next" w:hAnsi="Avenir Next"/>
          <w:color w:val="808080" w:themeColor="background1" w:themeShade="80"/>
          <w:sz w:val="22"/>
          <w:szCs w:val="28"/>
        </w:rPr>
        <w:t>r</w:t>
      </w:r>
      <w:r>
        <w:rPr>
          <w:rFonts w:ascii="Avenir Next" w:hAnsi="Avenir Next"/>
          <w:color w:val="808080" w:themeColor="background1" w:themeShade="80"/>
          <w:sz w:val="22"/>
          <w:szCs w:val="28"/>
        </w:rPr>
        <w:t xml:space="preserve"> recognition of the Sanction Order.</w:t>
      </w:r>
    </w:p>
    <w:p w14:paraId="4F1BEC12" w14:textId="77777777" w:rsidR="00AF3C94" w:rsidRDefault="00AF3C94" w:rsidP="009E3CA7">
      <w:pPr>
        <w:jc w:val="both"/>
        <w:rPr>
          <w:rFonts w:ascii="Avenir Next" w:hAnsi="Avenir Next"/>
          <w:color w:val="808080" w:themeColor="background1" w:themeShade="80"/>
          <w:sz w:val="22"/>
          <w:szCs w:val="28"/>
        </w:rPr>
      </w:pPr>
    </w:p>
    <w:p w14:paraId="0EB40BC4" w14:textId="575F4076" w:rsidR="00AF3C94" w:rsidRDefault="00AF3C94" w:rsidP="0047360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Pursuant to Articles 19(1)(a) and (b) of the MLCBI, the Cayman representatives should seek a stay </w:t>
      </w:r>
      <w:proofErr w:type="spellStart"/>
      <w:r>
        <w:rPr>
          <w:rFonts w:ascii="Avenir Next" w:hAnsi="Avenir Next"/>
          <w:color w:val="808080" w:themeColor="background1" w:themeShade="80"/>
          <w:sz w:val="22"/>
          <w:szCs w:val="28"/>
        </w:rPr>
        <w:t>on</w:t>
      </w:r>
      <w:proofErr w:type="spellEnd"/>
      <w:r>
        <w:rPr>
          <w:rFonts w:ascii="Avenir Next" w:hAnsi="Avenir Next"/>
          <w:color w:val="808080" w:themeColor="background1" w:themeShade="80"/>
          <w:sz w:val="22"/>
          <w:szCs w:val="28"/>
        </w:rPr>
        <w:t xml:space="preserve"> execution against Global Holdings assets and </w:t>
      </w:r>
      <w:r w:rsidR="00071EAB">
        <w:rPr>
          <w:rFonts w:ascii="Avenir Next" w:hAnsi="Avenir Next"/>
          <w:color w:val="808080" w:themeColor="background1" w:themeShade="80"/>
          <w:sz w:val="22"/>
          <w:szCs w:val="28"/>
        </w:rPr>
        <w:t xml:space="preserve">possibly </w:t>
      </w:r>
      <w:r>
        <w:rPr>
          <w:rFonts w:ascii="Avenir Next" w:hAnsi="Avenir Next"/>
          <w:color w:val="808080" w:themeColor="background1" w:themeShade="80"/>
          <w:sz w:val="22"/>
          <w:szCs w:val="28"/>
        </w:rPr>
        <w:t>an order e</w:t>
      </w:r>
      <w:r w:rsidRPr="00AF3C94">
        <w:rPr>
          <w:rFonts w:ascii="Avenir Next" w:hAnsi="Avenir Next"/>
          <w:color w:val="808080" w:themeColor="background1" w:themeShade="80"/>
          <w:sz w:val="22"/>
          <w:szCs w:val="28"/>
        </w:rPr>
        <w:t xml:space="preserve">ntrusting the administration or </w:t>
      </w:r>
      <w:proofErr w:type="spellStart"/>
      <w:r w:rsidRPr="00AF3C94">
        <w:rPr>
          <w:rFonts w:ascii="Avenir Next" w:hAnsi="Avenir Next"/>
          <w:color w:val="808080" w:themeColor="background1" w:themeShade="80"/>
          <w:sz w:val="22"/>
          <w:szCs w:val="28"/>
        </w:rPr>
        <w:t>reali</w:t>
      </w:r>
      <w:r>
        <w:rPr>
          <w:rFonts w:ascii="Avenir Next" w:hAnsi="Avenir Next"/>
          <w:color w:val="808080" w:themeColor="background1" w:themeShade="80"/>
          <w:sz w:val="22"/>
          <w:szCs w:val="28"/>
        </w:rPr>
        <w:t>s</w:t>
      </w:r>
      <w:r w:rsidRPr="00AF3C94">
        <w:rPr>
          <w:rFonts w:ascii="Avenir Next" w:hAnsi="Avenir Next"/>
          <w:color w:val="808080" w:themeColor="background1" w:themeShade="80"/>
          <w:sz w:val="22"/>
          <w:szCs w:val="28"/>
        </w:rPr>
        <w:t>ation</w:t>
      </w:r>
      <w:proofErr w:type="spellEnd"/>
      <w:r w:rsidRPr="00AF3C94">
        <w:rPr>
          <w:rFonts w:ascii="Avenir Next" w:hAnsi="Avenir Next"/>
          <w:color w:val="808080" w:themeColor="background1" w:themeShade="80"/>
          <w:sz w:val="22"/>
          <w:szCs w:val="28"/>
        </w:rPr>
        <w:t xml:space="preserve"> of </w:t>
      </w:r>
      <w:r>
        <w:rPr>
          <w:rFonts w:ascii="Avenir Next" w:hAnsi="Avenir Next"/>
          <w:color w:val="808080" w:themeColor="background1" w:themeShade="80"/>
          <w:sz w:val="22"/>
          <w:szCs w:val="28"/>
        </w:rPr>
        <w:t xml:space="preserve">the </w:t>
      </w:r>
      <w:r w:rsidRPr="00AF3C94">
        <w:rPr>
          <w:rFonts w:ascii="Avenir Next" w:hAnsi="Avenir Next"/>
          <w:color w:val="808080" w:themeColor="background1" w:themeShade="80"/>
          <w:sz w:val="22"/>
          <w:szCs w:val="28"/>
        </w:rPr>
        <w:t xml:space="preserve">debtor’s assets located in </w:t>
      </w:r>
      <w:r>
        <w:rPr>
          <w:rFonts w:ascii="Avenir Next" w:hAnsi="Avenir Next"/>
          <w:color w:val="808080" w:themeColor="background1" w:themeShade="80"/>
          <w:sz w:val="22"/>
          <w:szCs w:val="28"/>
        </w:rPr>
        <w:t>the US</w:t>
      </w:r>
      <w:r w:rsidRPr="00AF3C94">
        <w:rPr>
          <w:rFonts w:ascii="Avenir Next" w:hAnsi="Avenir Next"/>
          <w:color w:val="808080" w:themeColor="background1" w:themeShade="80"/>
          <w:sz w:val="22"/>
          <w:szCs w:val="28"/>
        </w:rPr>
        <w:t xml:space="preserve"> to the foreign representative or another</w:t>
      </w:r>
      <w:r>
        <w:rPr>
          <w:rFonts w:ascii="Avenir Next" w:hAnsi="Avenir Next"/>
          <w:color w:val="808080" w:themeColor="background1" w:themeShade="80"/>
          <w:sz w:val="22"/>
          <w:szCs w:val="28"/>
        </w:rPr>
        <w:t xml:space="preserve"> </w:t>
      </w:r>
      <w:r w:rsidRPr="00AF3C94">
        <w:rPr>
          <w:rFonts w:ascii="Avenir Next" w:hAnsi="Avenir Next"/>
          <w:color w:val="808080" w:themeColor="background1" w:themeShade="80"/>
          <w:sz w:val="22"/>
          <w:szCs w:val="28"/>
        </w:rPr>
        <w:t>person designated by the court, in order to protect and preserve the value</w:t>
      </w:r>
      <w:r>
        <w:rPr>
          <w:rFonts w:ascii="Avenir Next" w:hAnsi="Avenir Next"/>
          <w:color w:val="808080" w:themeColor="background1" w:themeShade="80"/>
          <w:sz w:val="22"/>
          <w:szCs w:val="28"/>
        </w:rPr>
        <w:t xml:space="preserve"> </w:t>
      </w:r>
      <w:r w:rsidRPr="00AF3C94">
        <w:rPr>
          <w:rFonts w:ascii="Avenir Next" w:hAnsi="Avenir Next"/>
          <w:color w:val="808080" w:themeColor="background1" w:themeShade="80"/>
          <w:sz w:val="22"/>
          <w:szCs w:val="28"/>
        </w:rPr>
        <w:t>of assets that, by their nature or because of other circumstances, are perishable, susceptible to devaluation or otherwise in jeopardy</w:t>
      </w:r>
      <w:r w:rsidR="00A67314">
        <w:rPr>
          <w:rFonts w:ascii="Avenir Next" w:hAnsi="Avenir Next"/>
          <w:color w:val="808080" w:themeColor="background1" w:themeShade="80"/>
          <w:sz w:val="22"/>
          <w:szCs w:val="28"/>
        </w:rPr>
        <w:t>.</w:t>
      </w:r>
    </w:p>
    <w:p w14:paraId="3856357B" w14:textId="77777777" w:rsidR="00071EAB" w:rsidRDefault="00A67314" w:rsidP="0047360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reasons that the Cayman representatives should apply for this relief are because a) Global Holdings is because it is </w:t>
      </w:r>
      <w:r w:rsidRPr="00A67314">
        <w:rPr>
          <w:rFonts w:ascii="Avenir Next" w:hAnsi="Avenir Next"/>
          <w:color w:val="808080" w:themeColor="background1" w:themeShade="80"/>
          <w:sz w:val="22"/>
          <w:szCs w:val="28"/>
        </w:rPr>
        <w:t>both cash flow and balance sheet insolvent</w:t>
      </w:r>
      <w:r>
        <w:rPr>
          <w:rFonts w:ascii="Avenir Next" w:hAnsi="Avenir Next"/>
          <w:color w:val="808080" w:themeColor="background1" w:themeShade="80"/>
          <w:sz w:val="22"/>
          <w:szCs w:val="28"/>
        </w:rPr>
        <w:t xml:space="preserve">, there is a class action in the US brewing and its likely that Global Holdings shareholders are considering action. We know that Global Holdings shares were suspended from the </w:t>
      </w:r>
      <w:r w:rsidRPr="00A67314">
        <w:rPr>
          <w:rFonts w:ascii="Avenir Next" w:hAnsi="Avenir Next"/>
          <w:color w:val="808080" w:themeColor="background1" w:themeShade="80"/>
          <w:sz w:val="22"/>
          <w:szCs w:val="28"/>
        </w:rPr>
        <w:t>NASDAQ Stock Market</w:t>
      </w:r>
      <w:r>
        <w:rPr>
          <w:rFonts w:ascii="Avenir Next" w:hAnsi="Avenir Next"/>
          <w:color w:val="808080" w:themeColor="background1" w:themeShade="80"/>
          <w:sz w:val="22"/>
          <w:szCs w:val="28"/>
        </w:rPr>
        <w:t xml:space="preserve"> </w:t>
      </w:r>
      <w:r w:rsidRPr="00A67314">
        <w:rPr>
          <w:rFonts w:ascii="Avenir Next" w:hAnsi="Avenir Next"/>
          <w:color w:val="808080" w:themeColor="background1" w:themeShade="80"/>
          <w:sz w:val="22"/>
          <w:szCs w:val="28"/>
        </w:rPr>
        <w:t>due to delinquencies in filing its 10-K</w:t>
      </w:r>
      <w:r>
        <w:rPr>
          <w:rFonts w:ascii="Avenir Next" w:hAnsi="Avenir Next"/>
          <w:color w:val="808080" w:themeColor="background1" w:themeShade="80"/>
          <w:sz w:val="22"/>
          <w:szCs w:val="28"/>
        </w:rPr>
        <w:t xml:space="preserve"> </w:t>
      </w:r>
      <w:r w:rsidRPr="00A67314">
        <w:rPr>
          <w:rFonts w:ascii="Avenir Next" w:hAnsi="Avenir Next"/>
          <w:color w:val="808080" w:themeColor="background1" w:themeShade="80"/>
          <w:sz w:val="22"/>
          <w:szCs w:val="28"/>
        </w:rPr>
        <w:t xml:space="preserve">annual report to security holders </w:t>
      </w:r>
      <w:r>
        <w:rPr>
          <w:rFonts w:ascii="Avenir Next" w:hAnsi="Avenir Next"/>
          <w:color w:val="808080" w:themeColor="background1" w:themeShade="80"/>
          <w:sz w:val="22"/>
          <w:szCs w:val="28"/>
        </w:rPr>
        <w:t xml:space="preserve">with the SEC and that one month later its shares were </w:t>
      </w:r>
      <w:r w:rsidRPr="00A67314">
        <w:rPr>
          <w:rFonts w:ascii="Avenir Next" w:hAnsi="Avenir Next"/>
          <w:color w:val="808080" w:themeColor="background1" w:themeShade="80"/>
          <w:sz w:val="22"/>
          <w:szCs w:val="28"/>
        </w:rPr>
        <w:t>delisted from the NASDAQ stock marke</w:t>
      </w:r>
      <w:r>
        <w:rPr>
          <w:rFonts w:ascii="Avenir Next" w:hAnsi="Avenir Next"/>
          <w:color w:val="808080" w:themeColor="background1" w:themeShade="80"/>
          <w:sz w:val="22"/>
          <w:szCs w:val="28"/>
        </w:rPr>
        <w:t xml:space="preserve">t. In addition, </w:t>
      </w:r>
      <w:r w:rsidR="00071EAB">
        <w:rPr>
          <w:rFonts w:ascii="Avenir Next" w:hAnsi="Avenir Next"/>
          <w:color w:val="808080" w:themeColor="background1" w:themeShade="80"/>
          <w:sz w:val="22"/>
          <w:szCs w:val="28"/>
        </w:rPr>
        <w:t xml:space="preserve">an </w:t>
      </w:r>
      <w:r w:rsidR="00071EAB" w:rsidRPr="00071EAB">
        <w:rPr>
          <w:rFonts w:ascii="Avenir Next" w:hAnsi="Avenir Next"/>
          <w:color w:val="808080" w:themeColor="background1" w:themeShade="80"/>
          <w:sz w:val="22"/>
          <w:szCs w:val="28"/>
        </w:rPr>
        <w:t>independent third party is actively marketing the</w:t>
      </w:r>
      <w:r w:rsidR="00071EAB">
        <w:rPr>
          <w:rFonts w:ascii="Avenir Next" w:hAnsi="Avenir Next"/>
          <w:color w:val="808080" w:themeColor="background1" w:themeShade="80"/>
          <w:sz w:val="22"/>
          <w:szCs w:val="28"/>
        </w:rPr>
        <w:t xml:space="preserve"> </w:t>
      </w:r>
      <w:r w:rsidR="00071EAB" w:rsidRPr="00071EAB">
        <w:rPr>
          <w:rFonts w:ascii="Avenir Next" w:hAnsi="Avenir Next"/>
          <w:color w:val="808080" w:themeColor="background1" w:themeShade="80"/>
          <w:sz w:val="22"/>
          <w:szCs w:val="28"/>
        </w:rPr>
        <w:t xml:space="preserve">sale of </w:t>
      </w:r>
      <w:r w:rsidR="00071EAB">
        <w:rPr>
          <w:rFonts w:ascii="Avenir Next" w:hAnsi="Avenir Next"/>
          <w:color w:val="808080" w:themeColor="background1" w:themeShade="80"/>
          <w:sz w:val="22"/>
          <w:szCs w:val="28"/>
        </w:rPr>
        <w:t>Global Holdings</w:t>
      </w:r>
      <w:r w:rsidR="00071EAB" w:rsidRPr="00071EAB">
        <w:rPr>
          <w:rFonts w:ascii="Avenir Next" w:hAnsi="Avenir Next"/>
          <w:color w:val="808080" w:themeColor="background1" w:themeShade="80"/>
          <w:sz w:val="22"/>
          <w:szCs w:val="28"/>
        </w:rPr>
        <w:t xml:space="preserve"> corporate headquarters in New York including the land, building, building</w:t>
      </w:r>
      <w:r w:rsidR="00071EAB">
        <w:rPr>
          <w:rFonts w:ascii="Avenir Next" w:hAnsi="Avenir Next"/>
          <w:color w:val="808080" w:themeColor="background1" w:themeShade="80"/>
          <w:sz w:val="22"/>
          <w:szCs w:val="28"/>
        </w:rPr>
        <w:t xml:space="preserve"> </w:t>
      </w:r>
      <w:r w:rsidR="00071EAB" w:rsidRPr="00071EAB">
        <w:rPr>
          <w:rFonts w:ascii="Avenir Next" w:hAnsi="Avenir Next"/>
          <w:color w:val="808080" w:themeColor="background1" w:themeShade="80"/>
          <w:sz w:val="22"/>
          <w:szCs w:val="28"/>
        </w:rPr>
        <w:t xml:space="preserve">improvements and contents including furniture and fixtures.  </w:t>
      </w:r>
      <w:r w:rsidR="00071EAB">
        <w:rPr>
          <w:rFonts w:ascii="Avenir Next" w:hAnsi="Avenir Next"/>
          <w:color w:val="808080" w:themeColor="background1" w:themeShade="80"/>
          <w:sz w:val="22"/>
          <w:szCs w:val="28"/>
        </w:rPr>
        <w:t xml:space="preserve">In view of these facts, there is a serious risk of legal action by </w:t>
      </w:r>
      <w:r w:rsidR="00071EAB" w:rsidRPr="00071EAB">
        <w:rPr>
          <w:rFonts w:ascii="Avenir Next" w:hAnsi="Avenir Next"/>
          <w:color w:val="808080" w:themeColor="background1" w:themeShade="80"/>
          <w:sz w:val="22"/>
          <w:szCs w:val="28"/>
        </w:rPr>
        <w:t>Globe Holdings</w:t>
      </w:r>
      <w:r w:rsidR="00071EAB">
        <w:rPr>
          <w:rFonts w:ascii="Avenir Next" w:hAnsi="Avenir Next"/>
          <w:color w:val="808080" w:themeColor="background1" w:themeShade="80"/>
          <w:sz w:val="22"/>
          <w:szCs w:val="28"/>
        </w:rPr>
        <w:t xml:space="preserve">' creditors and of the dissipation of its assets in the US.  </w:t>
      </w:r>
    </w:p>
    <w:p w14:paraId="02D9CF91" w14:textId="77777777" w:rsidR="00071EAB" w:rsidRDefault="00071EAB" w:rsidP="0047360A">
      <w:pPr>
        <w:jc w:val="both"/>
        <w:rPr>
          <w:rFonts w:ascii="Avenir Next" w:hAnsi="Avenir Next"/>
          <w:color w:val="808080" w:themeColor="background1" w:themeShade="80"/>
          <w:sz w:val="22"/>
          <w:szCs w:val="28"/>
        </w:rPr>
      </w:pPr>
    </w:p>
    <w:p w14:paraId="2E2C712A" w14:textId="2DAFE5D3" w:rsidR="00A67314" w:rsidRDefault="00071EAB" w:rsidP="0047360A">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Provisional relief pursuant to Article 19 would mean that no action could be taken in relation to Global Holdings assets until the</w:t>
      </w:r>
      <w:r w:rsidR="0069109C">
        <w:rPr>
          <w:rFonts w:ascii="Avenir Next" w:hAnsi="Avenir Next"/>
          <w:color w:val="808080" w:themeColor="background1" w:themeShade="80"/>
          <w:sz w:val="22"/>
          <w:szCs w:val="28"/>
        </w:rPr>
        <w:t xml:space="preserve"> recognition application is determined. Pursuant to Article 19(3), any interim relief will terminate upon determination. </w:t>
      </w:r>
    </w:p>
    <w:p w14:paraId="2A0C7AE7" w14:textId="77777777" w:rsidR="0069109C" w:rsidRDefault="0069109C" w:rsidP="0047360A">
      <w:pPr>
        <w:jc w:val="both"/>
        <w:rPr>
          <w:rFonts w:ascii="Avenir Next" w:hAnsi="Avenir Next"/>
          <w:color w:val="808080" w:themeColor="background1" w:themeShade="80"/>
          <w:sz w:val="22"/>
          <w:szCs w:val="28"/>
        </w:rPr>
      </w:pPr>
    </w:p>
    <w:p w14:paraId="35704684" w14:textId="54744E03" w:rsidR="007425B6" w:rsidRPr="00AF3C94" w:rsidRDefault="007425B6" w:rsidP="007425B6">
      <w:pPr>
        <w:jc w:val="both"/>
        <w:rPr>
          <w:rFonts w:ascii="Avenir Next" w:hAnsi="Avenir Next"/>
          <w:i/>
          <w:iCs/>
          <w:color w:val="808080" w:themeColor="background1" w:themeShade="80"/>
          <w:sz w:val="22"/>
          <w:szCs w:val="28"/>
        </w:rPr>
      </w:pPr>
      <w:r w:rsidRPr="00AF3C94">
        <w:rPr>
          <w:rFonts w:ascii="Avenir Next" w:hAnsi="Avenir Next"/>
          <w:i/>
          <w:iCs/>
          <w:color w:val="808080" w:themeColor="background1" w:themeShade="80"/>
          <w:sz w:val="22"/>
          <w:szCs w:val="28"/>
        </w:rPr>
        <w:t xml:space="preserve">Article </w:t>
      </w:r>
      <w:r>
        <w:rPr>
          <w:rFonts w:ascii="Avenir Next" w:hAnsi="Avenir Next"/>
          <w:i/>
          <w:iCs/>
          <w:color w:val="808080" w:themeColor="background1" w:themeShade="80"/>
          <w:sz w:val="22"/>
          <w:szCs w:val="28"/>
        </w:rPr>
        <w:t xml:space="preserve">20 </w:t>
      </w:r>
    </w:p>
    <w:p w14:paraId="2EF764C5" w14:textId="77777777" w:rsidR="00A67314" w:rsidRDefault="00A67314" w:rsidP="00A67314">
      <w:pPr>
        <w:rPr>
          <w:rFonts w:ascii="Avenir Next" w:hAnsi="Avenir Next"/>
          <w:color w:val="808080" w:themeColor="background1" w:themeShade="80"/>
          <w:sz w:val="22"/>
          <w:szCs w:val="28"/>
        </w:rPr>
      </w:pPr>
    </w:p>
    <w:p w14:paraId="1540D3AE" w14:textId="50AE2865" w:rsidR="00AF3C94" w:rsidRDefault="002B6018"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On the basis that the </w:t>
      </w:r>
      <w:r w:rsidR="0063130A">
        <w:rPr>
          <w:rFonts w:ascii="Avenir Next" w:hAnsi="Avenir Next"/>
          <w:color w:val="808080" w:themeColor="background1" w:themeShade="80"/>
          <w:sz w:val="22"/>
          <w:szCs w:val="28"/>
        </w:rPr>
        <w:t xml:space="preserve">Cayman proceedings are foreign main proceedings, the Cayman representatives should also apply for </w:t>
      </w:r>
      <w:r w:rsidR="00AF3B0B">
        <w:rPr>
          <w:rFonts w:ascii="Avenir Next" w:hAnsi="Avenir Next"/>
          <w:color w:val="808080" w:themeColor="background1" w:themeShade="80"/>
          <w:sz w:val="22"/>
          <w:szCs w:val="28"/>
        </w:rPr>
        <w:t xml:space="preserve">the automatic relief that is available under Article 20 of the MLCBI in circumstances where Global Holdings COMI is in Cayman and in the jurisdiction where the main foreign proceedings </w:t>
      </w:r>
      <w:proofErr w:type="gramStart"/>
      <w:r w:rsidR="00AF3B0B">
        <w:rPr>
          <w:rFonts w:ascii="Avenir Next" w:hAnsi="Avenir Next"/>
          <w:color w:val="808080" w:themeColor="background1" w:themeShade="80"/>
          <w:sz w:val="22"/>
          <w:szCs w:val="28"/>
        </w:rPr>
        <w:t>was</w:t>
      </w:r>
      <w:proofErr w:type="gramEnd"/>
      <w:r w:rsidR="00AF3B0B">
        <w:rPr>
          <w:rFonts w:ascii="Avenir Next" w:hAnsi="Avenir Next"/>
          <w:color w:val="808080" w:themeColor="background1" w:themeShade="80"/>
          <w:sz w:val="22"/>
          <w:szCs w:val="28"/>
        </w:rPr>
        <w:t xml:space="preserve"> opened. If the US accedes to this application and </w:t>
      </w:r>
      <w:proofErr w:type="spellStart"/>
      <w:r w:rsidR="00AF3B0B">
        <w:rPr>
          <w:rFonts w:ascii="Avenir Next" w:hAnsi="Avenir Next"/>
          <w:color w:val="808080" w:themeColor="background1" w:themeShade="80"/>
          <w:sz w:val="22"/>
          <w:szCs w:val="28"/>
        </w:rPr>
        <w:t>recognises</w:t>
      </w:r>
      <w:proofErr w:type="spellEnd"/>
      <w:r w:rsidR="00AF3B0B">
        <w:rPr>
          <w:rFonts w:ascii="Avenir Next" w:hAnsi="Avenir Next"/>
          <w:color w:val="808080" w:themeColor="background1" w:themeShade="80"/>
          <w:sz w:val="22"/>
          <w:szCs w:val="28"/>
        </w:rPr>
        <w:t xml:space="preserve"> the Cayman proceedings as foreign main </w:t>
      </w:r>
      <w:r w:rsidR="0047360A">
        <w:rPr>
          <w:rFonts w:ascii="Avenir Next" w:hAnsi="Avenir Next"/>
          <w:color w:val="808080" w:themeColor="background1" w:themeShade="80"/>
          <w:sz w:val="22"/>
          <w:szCs w:val="28"/>
        </w:rPr>
        <w:t>proceedings,</w:t>
      </w:r>
      <w:r w:rsidR="00AF3B0B">
        <w:rPr>
          <w:rFonts w:ascii="Avenir Next" w:hAnsi="Avenir Next"/>
          <w:color w:val="808080" w:themeColor="background1" w:themeShade="80"/>
          <w:sz w:val="22"/>
          <w:szCs w:val="28"/>
        </w:rPr>
        <w:t xml:space="preserve"> then the automatic relief will apply including:</w:t>
      </w:r>
    </w:p>
    <w:p w14:paraId="1FD8F455" w14:textId="77777777" w:rsidR="00AF3B0B" w:rsidRDefault="00AF3B0B" w:rsidP="009E3CA7">
      <w:pPr>
        <w:jc w:val="both"/>
        <w:rPr>
          <w:rFonts w:ascii="Avenir Next" w:hAnsi="Avenir Next"/>
          <w:color w:val="808080" w:themeColor="background1" w:themeShade="80"/>
          <w:sz w:val="22"/>
          <w:szCs w:val="28"/>
        </w:rPr>
      </w:pPr>
    </w:p>
    <w:p w14:paraId="42E6F3A6" w14:textId="5AE3B6A7" w:rsidR="00AF3B0B" w:rsidRDefault="00AF3B0B" w:rsidP="00AF3B0B">
      <w:pPr>
        <w:pStyle w:val="ListParagraph"/>
        <w:numPr>
          <w:ilvl w:val="0"/>
          <w:numId w:val="25"/>
        </w:numPr>
        <w:jc w:val="both"/>
        <w:rPr>
          <w:rFonts w:ascii="Avenir Next" w:hAnsi="Avenir Next"/>
          <w:color w:val="808080" w:themeColor="background1" w:themeShade="80"/>
          <w:sz w:val="22"/>
          <w:szCs w:val="28"/>
        </w:rPr>
      </w:pPr>
      <w:r w:rsidRPr="00AF3B0B">
        <w:rPr>
          <w:rFonts w:ascii="Avenir Next" w:hAnsi="Avenir Next"/>
          <w:color w:val="808080" w:themeColor="background1" w:themeShade="80"/>
          <w:sz w:val="22"/>
          <w:szCs w:val="28"/>
        </w:rPr>
        <w:t>a stay of the commencement or continuation of individual actions or individual proceedings</w:t>
      </w:r>
      <w:r>
        <w:rPr>
          <w:rFonts w:ascii="Avenir Next" w:hAnsi="Avenir Next"/>
          <w:color w:val="808080" w:themeColor="background1" w:themeShade="80"/>
          <w:sz w:val="22"/>
          <w:szCs w:val="28"/>
        </w:rPr>
        <w:t xml:space="preserve"> </w:t>
      </w:r>
      <w:r w:rsidRPr="00AF3B0B">
        <w:rPr>
          <w:rFonts w:ascii="Avenir Next" w:hAnsi="Avenir Next"/>
          <w:color w:val="808080" w:themeColor="background1" w:themeShade="80"/>
          <w:sz w:val="22"/>
          <w:szCs w:val="28"/>
        </w:rPr>
        <w:t xml:space="preserve">concerning </w:t>
      </w:r>
      <w:r>
        <w:rPr>
          <w:rFonts w:ascii="Avenir Next" w:hAnsi="Avenir Next"/>
          <w:color w:val="808080" w:themeColor="background1" w:themeShade="80"/>
          <w:sz w:val="22"/>
          <w:szCs w:val="28"/>
        </w:rPr>
        <w:t>Global Holdings'</w:t>
      </w:r>
      <w:r w:rsidRPr="00AF3B0B">
        <w:rPr>
          <w:rFonts w:ascii="Avenir Next" w:hAnsi="Avenir Next"/>
          <w:color w:val="808080" w:themeColor="background1" w:themeShade="80"/>
          <w:sz w:val="22"/>
          <w:szCs w:val="28"/>
        </w:rPr>
        <w:t xml:space="preserve"> assets, rights, obligations or </w:t>
      </w:r>
      <w:proofErr w:type="gramStart"/>
      <w:r w:rsidRPr="00AF3B0B">
        <w:rPr>
          <w:rFonts w:ascii="Avenir Next" w:hAnsi="Avenir Next"/>
          <w:color w:val="808080" w:themeColor="background1" w:themeShade="80"/>
          <w:sz w:val="22"/>
          <w:szCs w:val="28"/>
        </w:rPr>
        <w:t>liabilities;</w:t>
      </w:r>
      <w:proofErr w:type="gramEnd"/>
    </w:p>
    <w:p w14:paraId="72A377FB" w14:textId="5A861E79" w:rsidR="00AF3B0B" w:rsidRDefault="00AF3B0B" w:rsidP="00AF3B0B">
      <w:pPr>
        <w:pStyle w:val="ListParagraph"/>
        <w:numPr>
          <w:ilvl w:val="0"/>
          <w:numId w:val="25"/>
        </w:numPr>
        <w:jc w:val="both"/>
        <w:rPr>
          <w:rFonts w:ascii="Avenir Next" w:hAnsi="Avenir Next"/>
          <w:color w:val="808080" w:themeColor="background1" w:themeShade="80"/>
          <w:sz w:val="22"/>
          <w:szCs w:val="28"/>
        </w:rPr>
      </w:pPr>
      <w:r w:rsidRPr="00AF3B0B">
        <w:rPr>
          <w:rFonts w:ascii="Avenir Next" w:hAnsi="Avenir Next"/>
          <w:color w:val="808080" w:themeColor="background1" w:themeShade="80"/>
          <w:sz w:val="22"/>
          <w:szCs w:val="28"/>
        </w:rPr>
        <w:t xml:space="preserve">a stay of execution against </w:t>
      </w:r>
      <w:r>
        <w:rPr>
          <w:rFonts w:ascii="Avenir Next" w:hAnsi="Avenir Next"/>
          <w:color w:val="808080" w:themeColor="background1" w:themeShade="80"/>
          <w:sz w:val="22"/>
          <w:szCs w:val="28"/>
        </w:rPr>
        <w:t>Global Holdings</w:t>
      </w:r>
      <w:r w:rsidRPr="00AF3B0B">
        <w:rPr>
          <w:rFonts w:ascii="Avenir Next" w:hAnsi="Avenir Next"/>
          <w:color w:val="808080" w:themeColor="background1" w:themeShade="80"/>
          <w:sz w:val="22"/>
          <w:szCs w:val="28"/>
        </w:rPr>
        <w:t xml:space="preserve"> assets; and</w:t>
      </w:r>
    </w:p>
    <w:p w14:paraId="763C98A8" w14:textId="25035CB1" w:rsidR="00AF3B0B" w:rsidRDefault="00AF3B0B" w:rsidP="00AF3B0B">
      <w:pPr>
        <w:pStyle w:val="ListParagraph"/>
        <w:numPr>
          <w:ilvl w:val="0"/>
          <w:numId w:val="25"/>
        </w:numPr>
        <w:jc w:val="both"/>
        <w:rPr>
          <w:rFonts w:ascii="Avenir Next" w:hAnsi="Avenir Next"/>
          <w:color w:val="808080" w:themeColor="background1" w:themeShade="80"/>
          <w:sz w:val="22"/>
          <w:szCs w:val="28"/>
        </w:rPr>
      </w:pPr>
      <w:r w:rsidRPr="00AF3B0B">
        <w:rPr>
          <w:rFonts w:ascii="Avenir Next" w:hAnsi="Avenir Next"/>
          <w:color w:val="808080" w:themeColor="background1" w:themeShade="80"/>
          <w:sz w:val="22"/>
          <w:szCs w:val="28"/>
        </w:rPr>
        <w:t xml:space="preserve">a suspension of the right to transfer, encumber or otherwise dispose of any assets of </w:t>
      </w:r>
      <w:r>
        <w:rPr>
          <w:rFonts w:ascii="Avenir Next" w:hAnsi="Avenir Next"/>
          <w:color w:val="808080" w:themeColor="background1" w:themeShade="80"/>
          <w:sz w:val="22"/>
          <w:szCs w:val="28"/>
        </w:rPr>
        <w:t>Global Holdings.</w:t>
      </w:r>
    </w:p>
    <w:p w14:paraId="7CD3ADE8" w14:textId="77777777" w:rsidR="00AF3B0B" w:rsidRDefault="00AF3B0B" w:rsidP="00AF3B0B">
      <w:pPr>
        <w:jc w:val="both"/>
        <w:rPr>
          <w:rFonts w:ascii="Avenir Next" w:hAnsi="Avenir Next"/>
          <w:color w:val="808080" w:themeColor="background1" w:themeShade="80"/>
          <w:sz w:val="22"/>
          <w:szCs w:val="28"/>
        </w:rPr>
      </w:pPr>
    </w:p>
    <w:p w14:paraId="32036597" w14:textId="2ED75D5E" w:rsidR="00AF3B0B" w:rsidRDefault="00AF3B0B" w:rsidP="00AF3B0B">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above would be powerful on the basis that it would preclude the US class action proceedings, any other proceedings and prevent any action being taken in relation to Global Holdings assets which is currently threatened. </w:t>
      </w:r>
    </w:p>
    <w:p w14:paraId="3B1C048F" w14:textId="77777777" w:rsidR="00AF3B0B" w:rsidRDefault="00AF3B0B" w:rsidP="00AF3B0B">
      <w:pPr>
        <w:jc w:val="both"/>
        <w:rPr>
          <w:rFonts w:ascii="Avenir Next" w:hAnsi="Avenir Next"/>
          <w:color w:val="808080" w:themeColor="background1" w:themeShade="80"/>
          <w:sz w:val="22"/>
          <w:szCs w:val="28"/>
        </w:rPr>
      </w:pPr>
    </w:p>
    <w:p w14:paraId="108F094F" w14:textId="52E937A7" w:rsidR="00586A38" w:rsidRDefault="00AF3B0B"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making their application</w:t>
      </w:r>
      <w:r w:rsidR="00033497">
        <w:rPr>
          <w:rFonts w:ascii="Avenir Next" w:hAnsi="Avenir Next"/>
          <w:color w:val="808080" w:themeColor="background1" w:themeShade="80"/>
          <w:sz w:val="22"/>
          <w:szCs w:val="28"/>
        </w:rPr>
        <w:t xml:space="preserve"> for recognition and in light of fact that is for recognition of a scheme sanction, the Cayman Representatives should rely on and inform the US court of the US decision in </w:t>
      </w:r>
      <w:proofErr w:type="gramStart"/>
      <w:r w:rsidR="00033497" w:rsidRPr="00033497">
        <w:rPr>
          <w:rFonts w:ascii="Avenir Next" w:hAnsi="Avenir Next"/>
          <w:i/>
          <w:iCs/>
          <w:color w:val="808080" w:themeColor="background1" w:themeShade="80"/>
          <w:sz w:val="22"/>
          <w:szCs w:val="28"/>
        </w:rPr>
        <w:t>In</w:t>
      </w:r>
      <w:proofErr w:type="gramEnd"/>
      <w:r w:rsidR="00033497" w:rsidRPr="00033497">
        <w:rPr>
          <w:rFonts w:ascii="Avenir Next" w:hAnsi="Avenir Next"/>
          <w:i/>
          <w:iCs/>
          <w:color w:val="808080" w:themeColor="background1" w:themeShade="80"/>
          <w:sz w:val="22"/>
          <w:szCs w:val="28"/>
        </w:rPr>
        <w:t xml:space="preserve"> re Modern Land (China) Co., Ltd</w:t>
      </w:r>
      <w:r w:rsidR="00033497" w:rsidRPr="00033497">
        <w:rPr>
          <w:rFonts w:ascii="Avenir Next" w:hAnsi="Avenir Next"/>
          <w:color w:val="808080" w:themeColor="background1" w:themeShade="80"/>
          <w:sz w:val="22"/>
          <w:szCs w:val="28"/>
        </w:rPr>
        <w:t>, Case No 22-10707 (MG), 641 B.R 768 (</w:t>
      </w:r>
      <w:proofErr w:type="spellStart"/>
      <w:r w:rsidR="00033497" w:rsidRPr="00033497">
        <w:rPr>
          <w:rFonts w:ascii="Avenir Next" w:hAnsi="Avenir Next"/>
          <w:color w:val="808080" w:themeColor="background1" w:themeShade="80"/>
          <w:sz w:val="22"/>
          <w:szCs w:val="28"/>
        </w:rPr>
        <w:t>Bankr</w:t>
      </w:r>
      <w:proofErr w:type="spellEnd"/>
      <w:r w:rsidR="00033497" w:rsidRPr="00033497">
        <w:rPr>
          <w:rFonts w:ascii="Avenir Next" w:hAnsi="Avenir Next"/>
          <w:color w:val="808080" w:themeColor="background1" w:themeShade="80"/>
          <w:sz w:val="22"/>
          <w:szCs w:val="28"/>
        </w:rPr>
        <w:t xml:space="preserve">. S.D.N.Y. July 18, 2022), in which the US Bankruptcy Court held that a Cayman Islands scheme of arrangement </w:t>
      </w:r>
      <w:proofErr w:type="spellStart"/>
      <w:r w:rsidR="00033497" w:rsidRPr="00033497">
        <w:rPr>
          <w:rFonts w:ascii="Avenir Next" w:hAnsi="Avenir Next"/>
          <w:color w:val="808080" w:themeColor="background1" w:themeShade="80"/>
          <w:sz w:val="22"/>
          <w:szCs w:val="28"/>
        </w:rPr>
        <w:t>recognised</w:t>
      </w:r>
      <w:proofErr w:type="spellEnd"/>
      <w:r w:rsidR="00033497" w:rsidRPr="00033497">
        <w:rPr>
          <w:rFonts w:ascii="Avenir Next" w:hAnsi="Avenir Next"/>
          <w:color w:val="808080" w:themeColor="background1" w:themeShade="80"/>
          <w:sz w:val="22"/>
          <w:szCs w:val="28"/>
        </w:rPr>
        <w:t xml:space="preserve"> as a main proceeding under Chapter 15 of the US Bankruptcy Code would constitute a substantive discharge of New York law governed debt</w:t>
      </w:r>
      <w:r w:rsidR="00033497">
        <w:rPr>
          <w:rFonts w:ascii="Avenir Next" w:hAnsi="Avenir Next"/>
          <w:color w:val="808080" w:themeColor="background1" w:themeShade="80"/>
          <w:sz w:val="22"/>
          <w:szCs w:val="28"/>
        </w:rPr>
        <w:t>.</w:t>
      </w:r>
      <w:r w:rsidR="00AD38BE">
        <w:rPr>
          <w:rStyle w:val="FootnoteReference"/>
          <w:rFonts w:ascii="Avenir Next" w:hAnsi="Avenir Next"/>
          <w:color w:val="808080" w:themeColor="background1" w:themeShade="80"/>
          <w:sz w:val="22"/>
          <w:szCs w:val="28"/>
        </w:rPr>
        <w:footnoteReference w:id="24"/>
      </w:r>
      <w:r w:rsidR="00033497">
        <w:rPr>
          <w:rFonts w:ascii="Avenir Next" w:hAnsi="Avenir Next"/>
          <w:color w:val="808080" w:themeColor="background1" w:themeShade="80"/>
          <w:sz w:val="22"/>
          <w:szCs w:val="28"/>
        </w:rPr>
        <w:t xml:space="preserve"> The facts of this case are analogous to what the Cayman representatives are seeking to accomplish in the present circumstances. </w:t>
      </w:r>
    </w:p>
    <w:p w14:paraId="64A8DCFF" w14:textId="77777777" w:rsidR="00AD38BE" w:rsidRDefault="00AD38BE" w:rsidP="009E3CA7">
      <w:pPr>
        <w:jc w:val="both"/>
        <w:rPr>
          <w:rFonts w:ascii="Avenir Next" w:hAnsi="Avenir Next"/>
          <w:color w:val="808080" w:themeColor="background1" w:themeShade="80"/>
          <w:sz w:val="22"/>
          <w:szCs w:val="28"/>
        </w:rPr>
      </w:pPr>
    </w:p>
    <w:p w14:paraId="6B2BC20A" w14:textId="0F2F8FBE" w:rsidR="00AD38BE" w:rsidRDefault="00AD38BE" w:rsidP="009E3CA7">
      <w:pPr>
        <w:jc w:val="both"/>
        <w:rPr>
          <w:rFonts w:ascii="Avenir Next" w:hAnsi="Avenir Next"/>
          <w:i/>
          <w:iCs/>
          <w:color w:val="808080" w:themeColor="background1" w:themeShade="80"/>
          <w:sz w:val="22"/>
          <w:szCs w:val="28"/>
        </w:rPr>
      </w:pPr>
      <w:r w:rsidRPr="0064165C">
        <w:rPr>
          <w:rFonts w:ascii="Avenir Next" w:hAnsi="Avenir Next"/>
          <w:i/>
          <w:iCs/>
          <w:color w:val="808080" w:themeColor="background1" w:themeShade="80"/>
          <w:sz w:val="22"/>
          <w:szCs w:val="28"/>
        </w:rPr>
        <w:t xml:space="preserve">Article 21 </w:t>
      </w:r>
    </w:p>
    <w:p w14:paraId="558F43E2" w14:textId="77777777" w:rsidR="0064165C" w:rsidRDefault="0064165C" w:rsidP="009E3CA7">
      <w:pPr>
        <w:jc w:val="both"/>
        <w:rPr>
          <w:rFonts w:ascii="Avenir Next" w:hAnsi="Avenir Next"/>
          <w:i/>
          <w:iCs/>
          <w:color w:val="808080" w:themeColor="background1" w:themeShade="80"/>
          <w:sz w:val="22"/>
          <w:szCs w:val="28"/>
        </w:rPr>
      </w:pPr>
    </w:p>
    <w:p w14:paraId="5BF23D72" w14:textId="2FC6E3D5" w:rsidR="0064165C" w:rsidRDefault="0064165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In addition to the automatic relief that the Cayman Representatives can apply for under Article 20 in the context of seeking to recognize the</w:t>
      </w:r>
      <w:r w:rsidRPr="0064165C">
        <w:rPr>
          <w:rFonts w:ascii="Avenir Next" w:hAnsi="Avenir Next"/>
          <w:color w:val="808080" w:themeColor="background1" w:themeShade="80"/>
          <w:sz w:val="22"/>
          <w:szCs w:val="28"/>
        </w:rPr>
        <w:t xml:space="preserve"> Sanction Order</w:t>
      </w:r>
      <w:r>
        <w:rPr>
          <w:rFonts w:ascii="Avenir Next" w:hAnsi="Avenir Next"/>
          <w:color w:val="808080" w:themeColor="background1" w:themeShade="80"/>
          <w:sz w:val="22"/>
          <w:szCs w:val="28"/>
        </w:rPr>
        <w:t xml:space="preserve">, the Cayman Representatives should apply for additional relief pursuant to Article 21 of the MLCBI. </w:t>
      </w:r>
      <w:proofErr w:type="gramStart"/>
      <w:r>
        <w:rPr>
          <w:rFonts w:ascii="Avenir Next" w:hAnsi="Avenir Next"/>
          <w:color w:val="808080" w:themeColor="background1" w:themeShade="80"/>
          <w:sz w:val="22"/>
          <w:szCs w:val="28"/>
        </w:rPr>
        <w:t>In particular, they</w:t>
      </w:r>
      <w:proofErr w:type="gramEnd"/>
      <w:r>
        <w:rPr>
          <w:rFonts w:ascii="Avenir Next" w:hAnsi="Avenir Next"/>
          <w:color w:val="808080" w:themeColor="background1" w:themeShade="80"/>
          <w:sz w:val="22"/>
          <w:szCs w:val="28"/>
        </w:rPr>
        <w:t xml:space="preserve"> should apply under section 21(1)(e) to e</w:t>
      </w:r>
      <w:r w:rsidRPr="0064165C">
        <w:rPr>
          <w:rFonts w:ascii="Avenir Next" w:hAnsi="Avenir Next"/>
          <w:color w:val="808080" w:themeColor="background1" w:themeShade="80"/>
          <w:sz w:val="22"/>
          <w:szCs w:val="28"/>
        </w:rPr>
        <w:t xml:space="preserve">ntrust the administration </w:t>
      </w:r>
      <w:r>
        <w:rPr>
          <w:rFonts w:ascii="Avenir Next" w:hAnsi="Avenir Next"/>
          <w:color w:val="808080" w:themeColor="background1" w:themeShade="80"/>
          <w:sz w:val="22"/>
          <w:szCs w:val="28"/>
        </w:rPr>
        <w:t xml:space="preserve">and realization </w:t>
      </w:r>
      <w:r w:rsidRPr="0064165C">
        <w:rPr>
          <w:rFonts w:ascii="Avenir Next" w:hAnsi="Avenir Next"/>
          <w:color w:val="808080" w:themeColor="background1" w:themeShade="80"/>
          <w:sz w:val="22"/>
          <w:szCs w:val="28"/>
        </w:rPr>
        <w:t xml:space="preserve">of </w:t>
      </w:r>
      <w:r>
        <w:rPr>
          <w:rFonts w:ascii="Avenir Next" w:hAnsi="Avenir Next"/>
          <w:color w:val="808080" w:themeColor="background1" w:themeShade="80"/>
          <w:sz w:val="22"/>
          <w:szCs w:val="28"/>
        </w:rPr>
        <w:t>Global Holdings</w:t>
      </w:r>
      <w:r w:rsidRPr="0064165C">
        <w:rPr>
          <w:rFonts w:ascii="Avenir Next" w:hAnsi="Avenir Next"/>
          <w:color w:val="808080" w:themeColor="background1" w:themeShade="80"/>
          <w:sz w:val="22"/>
          <w:szCs w:val="28"/>
        </w:rPr>
        <w:t xml:space="preserve"> assets located in </w:t>
      </w:r>
      <w:r>
        <w:rPr>
          <w:rFonts w:ascii="Avenir Next" w:hAnsi="Avenir Next"/>
          <w:color w:val="808080" w:themeColor="background1" w:themeShade="80"/>
          <w:sz w:val="22"/>
          <w:szCs w:val="28"/>
        </w:rPr>
        <w:t>the US</w:t>
      </w:r>
      <w:r w:rsidRPr="0064165C">
        <w:rPr>
          <w:rFonts w:ascii="Avenir Next" w:hAnsi="Avenir Next"/>
          <w:color w:val="808080" w:themeColor="background1" w:themeShade="80"/>
          <w:sz w:val="22"/>
          <w:szCs w:val="28"/>
        </w:rPr>
        <w:t xml:space="preserve"> to the foreign representative</w:t>
      </w:r>
      <w:r>
        <w:rPr>
          <w:rFonts w:ascii="Avenir Next" w:hAnsi="Avenir Next"/>
          <w:color w:val="808080" w:themeColor="background1" w:themeShade="80"/>
          <w:sz w:val="22"/>
          <w:szCs w:val="28"/>
        </w:rPr>
        <w:t xml:space="preserve">s. </w:t>
      </w:r>
    </w:p>
    <w:p w14:paraId="63D03AD9" w14:textId="77777777" w:rsidR="0047360A" w:rsidRDefault="0047360A" w:rsidP="009E3CA7">
      <w:pPr>
        <w:jc w:val="both"/>
        <w:rPr>
          <w:rFonts w:ascii="Avenir Next" w:hAnsi="Avenir Next"/>
          <w:color w:val="808080" w:themeColor="background1" w:themeShade="80"/>
          <w:sz w:val="22"/>
          <w:szCs w:val="28"/>
        </w:rPr>
      </w:pPr>
    </w:p>
    <w:p w14:paraId="50BB770A" w14:textId="28C4532A" w:rsidR="0064165C" w:rsidRDefault="0064165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The Cayman Representatives may also benefit from an order for the </w:t>
      </w:r>
      <w:r w:rsidRPr="0064165C">
        <w:rPr>
          <w:rFonts w:ascii="Avenir Next" w:hAnsi="Avenir Next"/>
          <w:color w:val="808080" w:themeColor="background1" w:themeShade="80"/>
          <w:sz w:val="22"/>
          <w:szCs w:val="28"/>
        </w:rPr>
        <w:t xml:space="preserve">examination of witnesses, the taking of evidence or the delivery of information concerning the </w:t>
      </w:r>
      <w:r>
        <w:rPr>
          <w:rFonts w:ascii="Avenir Next" w:hAnsi="Avenir Next"/>
          <w:color w:val="808080" w:themeColor="background1" w:themeShade="80"/>
          <w:sz w:val="22"/>
          <w:szCs w:val="28"/>
        </w:rPr>
        <w:t>Global Holding'</w:t>
      </w:r>
      <w:r w:rsidRPr="0064165C">
        <w:rPr>
          <w:rFonts w:ascii="Avenir Next" w:hAnsi="Avenir Next"/>
          <w:color w:val="808080" w:themeColor="background1" w:themeShade="80"/>
          <w:sz w:val="22"/>
          <w:szCs w:val="28"/>
        </w:rPr>
        <w:t xml:space="preserve"> assets, affairs, rights, </w:t>
      </w:r>
      <w:proofErr w:type="gramStart"/>
      <w:r w:rsidRPr="0064165C">
        <w:rPr>
          <w:rFonts w:ascii="Avenir Next" w:hAnsi="Avenir Next"/>
          <w:color w:val="808080" w:themeColor="background1" w:themeShade="80"/>
          <w:sz w:val="22"/>
          <w:szCs w:val="28"/>
        </w:rPr>
        <w:t>obligations</w:t>
      </w:r>
      <w:proofErr w:type="gramEnd"/>
      <w:r w:rsidRPr="0064165C">
        <w:rPr>
          <w:rFonts w:ascii="Avenir Next" w:hAnsi="Avenir Next"/>
          <w:color w:val="808080" w:themeColor="background1" w:themeShade="80"/>
          <w:sz w:val="22"/>
          <w:szCs w:val="28"/>
        </w:rPr>
        <w:t xml:space="preserve"> or liabilities</w:t>
      </w:r>
      <w:r>
        <w:rPr>
          <w:rFonts w:ascii="Avenir Next" w:hAnsi="Avenir Next"/>
          <w:color w:val="808080" w:themeColor="background1" w:themeShade="80"/>
          <w:sz w:val="22"/>
          <w:szCs w:val="28"/>
        </w:rPr>
        <w:t xml:space="preserve"> in order to obtain any relevant information that they need to implement the restructuring under the Scheme.</w:t>
      </w:r>
    </w:p>
    <w:p w14:paraId="24FE3A26" w14:textId="77777777" w:rsidR="0064165C" w:rsidRDefault="0064165C" w:rsidP="009E3CA7">
      <w:pPr>
        <w:jc w:val="both"/>
        <w:rPr>
          <w:rFonts w:ascii="Avenir Next" w:hAnsi="Avenir Next"/>
          <w:color w:val="808080" w:themeColor="background1" w:themeShade="80"/>
          <w:sz w:val="22"/>
          <w:szCs w:val="28"/>
        </w:rPr>
      </w:pPr>
    </w:p>
    <w:p w14:paraId="322E48EB" w14:textId="6AA6B4E0" w:rsidR="0064165C" w:rsidRDefault="0064165C"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The Cayman Representatives should also apply under Article 21(f) to extend the relief granted under Article 19(1), if that interim relief to impose a stay on execution of assets is implemented, then it might be a quicker route to extend that relief than reapplying. However, if the US Court accepts the Cayman proceedings as foreign main, then that relief would be automatically applied anyway.</w:t>
      </w:r>
    </w:p>
    <w:p w14:paraId="4F474966" w14:textId="77777777" w:rsidR="00D17993" w:rsidRDefault="00D17993" w:rsidP="009E3CA7">
      <w:pPr>
        <w:jc w:val="both"/>
        <w:rPr>
          <w:rFonts w:ascii="Avenir Next" w:hAnsi="Avenir Next"/>
          <w:color w:val="808080" w:themeColor="background1" w:themeShade="80"/>
          <w:sz w:val="22"/>
          <w:szCs w:val="28"/>
        </w:rPr>
      </w:pPr>
    </w:p>
    <w:p w14:paraId="78E36744" w14:textId="07A7EE94" w:rsidR="00D17993" w:rsidRDefault="00D17993" w:rsidP="009E3CA7">
      <w:pPr>
        <w:jc w:val="both"/>
        <w:rPr>
          <w:rFonts w:ascii="Avenir Next" w:hAnsi="Avenir Next"/>
          <w:color w:val="808080" w:themeColor="background1" w:themeShade="80"/>
          <w:sz w:val="22"/>
          <w:szCs w:val="28"/>
        </w:rPr>
      </w:pPr>
      <w:r>
        <w:rPr>
          <w:rFonts w:ascii="Avenir Next" w:hAnsi="Avenir Next"/>
          <w:color w:val="808080" w:themeColor="background1" w:themeShade="80"/>
          <w:sz w:val="22"/>
          <w:szCs w:val="28"/>
        </w:rPr>
        <w:t xml:space="preserve">Finally, the Cayman Representatives should apply under Article 21(2) for the US Court to </w:t>
      </w:r>
      <w:r w:rsidRPr="00D17993">
        <w:rPr>
          <w:rFonts w:ascii="Avenir Next" w:hAnsi="Avenir Next"/>
          <w:color w:val="808080" w:themeColor="background1" w:themeShade="80"/>
          <w:sz w:val="22"/>
          <w:szCs w:val="28"/>
        </w:rPr>
        <w:t xml:space="preserve">entrust the distribution </w:t>
      </w:r>
      <w:r>
        <w:rPr>
          <w:rFonts w:ascii="Avenir Next" w:hAnsi="Avenir Next"/>
          <w:color w:val="808080" w:themeColor="background1" w:themeShade="80"/>
          <w:sz w:val="22"/>
          <w:szCs w:val="28"/>
        </w:rPr>
        <w:t>of Global Holdings</w:t>
      </w:r>
      <w:r w:rsidRPr="00D17993">
        <w:rPr>
          <w:rFonts w:ascii="Avenir Next" w:hAnsi="Avenir Next"/>
          <w:color w:val="808080" w:themeColor="background1" w:themeShade="80"/>
          <w:sz w:val="22"/>
          <w:szCs w:val="28"/>
        </w:rPr>
        <w:t xml:space="preserve"> assets located in </w:t>
      </w:r>
      <w:r>
        <w:rPr>
          <w:rFonts w:ascii="Avenir Next" w:hAnsi="Avenir Next"/>
          <w:color w:val="808080" w:themeColor="background1" w:themeShade="80"/>
          <w:sz w:val="22"/>
          <w:szCs w:val="28"/>
        </w:rPr>
        <w:t>the US</w:t>
      </w:r>
      <w:r w:rsidRPr="00D17993">
        <w:rPr>
          <w:rFonts w:ascii="Avenir Next" w:hAnsi="Avenir Next"/>
          <w:color w:val="808080" w:themeColor="background1" w:themeShade="80"/>
          <w:sz w:val="22"/>
          <w:szCs w:val="28"/>
        </w:rPr>
        <w:t xml:space="preserve"> to </w:t>
      </w:r>
      <w:r>
        <w:rPr>
          <w:rFonts w:ascii="Avenir Next" w:hAnsi="Avenir Next"/>
          <w:color w:val="808080" w:themeColor="background1" w:themeShade="80"/>
          <w:sz w:val="22"/>
          <w:szCs w:val="28"/>
        </w:rPr>
        <w:t xml:space="preserve">them. </w:t>
      </w:r>
      <w:proofErr w:type="gramStart"/>
      <w:r>
        <w:rPr>
          <w:rFonts w:ascii="Avenir Next" w:hAnsi="Avenir Next"/>
          <w:color w:val="808080" w:themeColor="background1" w:themeShade="80"/>
          <w:sz w:val="22"/>
          <w:szCs w:val="28"/>
        </w:rPr>
        <w:t>In order to</w:t>
      </w:r>
      <w:proofErr w:type="gramEnd"/>
      <w:r>
        <w:rPr>
          <w:rFonts w:ascii="Avenir Next" w:hAnsi="Avenir Next"/>
          <w:color w:val="808080" w:themeColor="background1" w:themeShade="80"/>
          <w:sz w:val="22"/>
          <w:szCs w:val="28"/>
        </w:rPr>
        <w:t xml:space="preserve"> obtain this order, they will need to </w:t>
      </w:r>
      <w:r w:rsidRPr="00D17993">
        <w:rPr>
          <w:rFonts w:ascii="Avenir Next" w:hAnsi="Avenir Next"/>
          <w:color w:val="808080" w:themeColor="background1" w:themeShade="80"/>
          <w:sz w:val="22"/>
          <w:szCs w:val="28"/>
        </w:rPr>
        <w:t>satisf</w:t>
      </w:r>
      <w:r>
        <w:rPr>
          <w:rFonts w:ascii="Avenir Next" w:hAnsi="Avenir Next"/>
          <w:color w:val="808080" w:themeColor="background1" w:themeShade="80"/>
          <w:sz w:val="22"/>
          <w:szCs w:val="28"/>
        </w:rPr>
        <w:t>y the Court that the</w:t>
      </w:r>
      <w:r w:rsidRPr="00D17993">
        <w:rPr>
          <w:rFonts w:ascii="Avenir Next" w:hAnsi="Avenir Next"/>
          <w:color w:val="808080" w:themeColor="background1" w:themeShade="80"/>
          <w:sz w:val="22"/>
          <w:szCs w:val="28"/>
        </w:rPr>
        <w:t xml:space="preserve"> interests of creditors in </w:t>
      </w:r>
      <w:r>
        <w:rPr>
          <w:rFonts w:ascii="Avenir Next" w:hAnsi="Avenir Next"/>
          <w:color w:val="808080" w:themeColor="background1" w:themeShade="80"/>
          <w:sz w:val="22"/>
          <w:szCs w:val="28"/>
        </w:rPr>
        <w:t>the US</w:t>
      </w:r>
      <w:r w:rsidRPr="00D17993">
        <w:rPr>
          <w:rFonts w:ascii="Avenir Next" w:hAnsi="Avenir Next"/>
          <w:color w:val="808080" w:themeColor="background1" w:themeShade="80"/>
          <w:sz w:val="22"/>
          <w:szCs w:val="28"/>
        </w:rPr>
        <w:t xml:space="preserve"> are adequately protected</w:t>
      </w:r>
      <w:r>
        <w:rPr>
          <w:rFonts w:ascii="Avenir Next" w:hAnsi="Avenir Next"/>
          <w:color w:val="808080" w:themeColor="background1" w:themeShade="80"/>
          <w:sz w:val="22"/>
          <w:szCs w:val="28"/>
        </w:rPr>
        <w:t xml:space="preserve"> and by virtue of the Scheme will be better off. Dealing with the position of the disgruntled shareholders may be the most challenging aspect to satisfy the Court, especially given the fact that the Noteholders have been </w:t>
      </w:r>
      <w:proofErr w:type="spellStart"/>
      <w:r>
        <w:rPr>
          <w:rFonts w:ascii="Avenir Next" w:hAnsi="Avenir Next"/>
          <w:color w:val="808080" w:themeColor="background1" w:themeShade="80"/>
          <w:sz w:val="22"/>
          <w:szCs w:val="28"/>
        </w:rPr>
        <w:t>prioritised</w:t>
      </w:r>
      <w:proofErr w:type="spellEnd"/>
      <w:r>
        <w:rPr>
          <w:rFonts w:ascii="Avenir Next" w:hAnsi="Avenir Next"/>
          <w:color w:val="808080" w:themeColor="background1" w:themeShade="80"/>
          <w:sz w:val="22"/>
          <w:szCs w:val="28"/>
        </w:rPr>
        <w:t xml:space="preserve"> and sanctioned the scheme without reference to those shareholders whose interests have not yet been heard or determined. </w:t>
      </w:r>
    </w:p>
    <w:p w14:paraId="4D9BC2CD" w14:textId="77777777" w:rsidR="00BA29B7" w:rsidRDefault="00BA29B7" w:rsidP="00707FC8">
      <w:pPr>
        <w:jc w:val="both"/>
        <w:rPr>
          <w:rFonts w:ascii="Avenir Next" w:hAnsi="Avenir Next"/>
          <w:color w:val="808080" w:themeColor="background1" w:themeShade="80"/>
          <w:sz w:val="22"/>
          <w:szCs w:val="28"/>
        </w:rPr>
      </w:pPr>
    </w:p>
    <w:bookmarkEnd w:id="1"/>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545741A8" w14:textId="77777777" w:rsidR="00BB14CB" w:rsidRDefault="00BB14CB">
      <w:pPr>
        <w:rPr>
          <w:rFonts w:ascii="Avenir Next Demi Bold" w:hAnsi="Avenir Next Demi Bold" w:cs="Arial"/>
          <w:b/>
          <w:bCs/>
          <w:color w:val="FF0000"/>
          <w:sz w:val="22"/>
          <w:szCs w:val="22"/>
          <w:lang w:val="en-GB"/>
        </w:rPr>
      </w:pPr>
    </w:p>
    <w:p w14:paraId="5ED6D8A2" w14:textId="50785033" w:rsidR="002C689F" w:rsidRPr="00E2622D" w:rsidRDefault="002C689F">
      <w:pPr>
        <w:rPr>
          <w:rFonts w:ascii="Avenir Next" w:hAnsi="Avenir Next" w:cs="Arial"/>
          <w:sz w:val="22"/>
          <w:szCs w:val="22"/>
          <w:lang w:val="en-GB"/>
        </w:rPr>
      </w:pPr>
      <w:r>
        <w:rPr>
          <w:rFonts w:ascii="Avenir Next Demi Bold" w:hAnsi="Avenir Next Demi Bold" w:cs="Arial"/>
          <w:b/>
          <w:bCs/>
          <w:color w:val="FF0000"/>
          <w:sz w:val="22"/>
          <w:szCs w:val="22"/>
          <w:lang w:val="en-GB"/>
        </w:rPr>
        <w:t xml:space="preserve"> </w:t>
      </w:r>
    </w:p>
    <w:sectPr w:rsidR="002C689F"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643" w14:textId="77777777" w:rsidR="00B15031" w:rsidRDefault="00B15031" w:rsidP="00241B44">
      <w:r>
        <w:separator/>
      </w:r>
    </w:p>
  </w:endnote>
  <w:endnote w:type="continuationSeparator" w:id="0">
    <w:p w14:paraId="0C2424AD" w14:textId="77777777" w:rsidR="00B15031" w:rsidRDefault="00B15031"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FEFC73E895C-Roman">
    <w:altName w:val="Cambria"/>
    <w:panose1 w:val="00000000000000000000"/>
    <w:charset w:val="00"/>
    <w:family w:val="roman"/>
    <w:notTrueType/>
    <w:pitch w:val="default"/>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6BA13D30"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C71791">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C71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66ACD598" w:rsidR="000300E0" w:rsidRPr="00B46CE2" w:rsidRDefault="00DD7F13" w:rsidP="000300E0">
    <w:pPr>
      <w:pStyle w:val="Footer"/>
      <w:ind w:right="360"/>
      <w:rPr>
        <w:rFonts w:ascii="Avenir Next" w:hAnsi="Avenir Next"/>
        <w:sz w:val="22"/>
        <w:szCs w:val="22"/>
      </w:rPr>
    </w:pPr>
    <w:r w:rsidRPr="00DD7F13">
      <w:rPr>
        <w:rFonts w:ascii="Avenir Next" w:hAnsi="Avenir Next"/>
        <w:sz w:val="22"/>
        <w:szCs w:val="22"/>
      </w:rPr>
      <w:t>FC202324-1328</w:t>
    </w:r>
    <w:r w:rsidR="00B46CE2" w:rsidRPr="00DD7F13">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154" w14:textId="77777777" w:rsidR="00B15031" w:rsidRDefault="00B15031" w:rsidP="00241B44">
      <w:r>
        <w:separator/>
      </w:r>
    </w:p>
  </w:footnote>
  <w:footnote w:type="continuationSeparator" w:id="0">
    <w:p w14:paraId="300F8B08" w14:textId="77777777" w:rsidR="00B15031" w:rsidRDefault="00B15031" w:rsidP="00241B44">
      <w:r>
        <w:continuationSeparator/>
      </w:r>
    </w:p>
  </w:footnote>
  <w:footnote w:id="1">
    <w:p w14:paraId="038CE829" w14:textId="0FA54B33" w:rsidR="006F0CAB" w:rsidRPr="009B743C" w:rsidRDefault="006F0CAB">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Council Regulation (EC) No 1346/2000 of 29 May 2000 on Insolvency Proceedings, as recast in Regulation (EU) 2015/848 of the European Parliament and the Council of 20 </w:t>
      </w:r>
      <w:proofErr w:type="gramStart"/>
      <w:r w:rsidRPr="009B743C">
        <w:rPr>
          <w:rFonts w:ascii="Avenir Next LT Pro" w:hAnsi="Avenir Next LT Pro"/>
          <w:sz w:val="16"/>
          <w:szCs w:val="12"/>
        </w:rPr>
        <w:t>May,</w:t>
      </w:r>
      <w:proofErr w:type="gramEnd"/>
      <w:r w:rsidRPr="009B743C">
        <w:rPr>
          <w:rFonts w:ascii="Avenir Next LT Pro" w:hAnsi="Avenir Next LT Pro"/>
          <w:sz w:val="16"/>
          <w:szCs w:val="12"/>
        </w:rPr>
        <w:t xml:space="preserve"> 2015.</w:t>
      </w:r>
    </w:p>
  </w:footnote>
  <w:footnote w:id="2">
    <w:p w14:paraId="3FDF00E9" w14:textId="610535B9" w:rsidR="00633F44" w:rsidRPr="009B743C" w:rsidRDefault="00633F44">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Foundation Certificate: Module 2A Guidance Text (</w:t>
      </w:r>
      <w:r w:rsidRPr="009B743C">
        <w:rPr>
          <w:rFonts w:ascii="Avenir Next LT Pro" w:hAnsi="Avenir Next LT Pro"/>
          <w:b/>
          <w:bCs/>
          <w:sz w:val="16"/>
          <w:szCs w:val="12"/>
        </w:rPr>
        <w:t>Guidance Text</w:t>
      </w:r>
      <w:r w:rsidRPr="009B743C">
        <w:rPr>
          <w:rFonts w:ascii="Avenir Next LT Pro" w:hAnsi="Avenir Next LT Pro"/>
          <w:sz w:val="16"/>
          <w:szCs w:val="12"/>
        </w:rPr>
        <w:t>) at Section 4.2, page 6.</w:t>
      </w:r>
    </w:p>
  </w:footnote>
  <w:footnote w:id="3">
    <w:p w14:paraId="21F99011" w14:textId="22364588" w:rsidR="00633F44" w:rsidRPr="009B743C" w:rsidRDefault="00633F44">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Guidance Text at Section 4.2, page 8.  </w:t>
      </w:r>
    </w:p>
  </w:footnote>
  <w:footnote w:id="4">
    <w:p w14:paraId="698B3A99" w14:textId="4B01B203" w:rsidR="00322CA1" w:rsidRPr="009B743C" w:rsidRDefault="00322CA1">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Guidance Text at Section 8.3.1, page 31.  </w:t>
      </w:r>
    </w:p>
  </w:footnote>
  <w:footnote w:id="5">
    <w:p w14:paraId="0F523F0F" w14:textId="2DB2AC77" w:rsidR="00F958B0" w:rsidRPr="009B743C" w:rsidRDefault="00F958B0">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Digest of Case Law on the UNCITRAL Model Law on Cross-Border Insolvency (Case Law), page 66 at 4. </w:t>
      </w:r>
    </w:p>
  </w:footnote>
  <w:footnote w:id="6">
    <w:p w14:paraId="6B49746F" w14:textId="61AD2C3E" w:rsidR="00F958B0" w:rsidRPr="009B743C" w:rsidRDefault="00F958B0">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w:t>
      </w:r>
      <w:r w:rsidRPr="009B743C">
        <w:rPr>
          <w:rFonts w:ascii="Avenir Next LT Pro" w:hAnsi="Avenir Next LT Pro"/>
          <w:sz w:val="14"/>
          <w:szCs w:val="18"/>
          <w:lang w:val="en-GB"/>
        </w:rPr>
        <w:t>MLCBI</w:t>
      </w:r>
      <w:r w:rsidRPr="009B743C">
        <w:rPr>
          <w:rFonts w:ascii="Avenir Next LT Pro" w:hAnsi="Avenir Next LT Pro"/>
          <w:sz w:val="16"/>
          <w:szCs w:val="12"/>
        </w:rPr>
        <w:t xml:space="preserve">, Article 21(3). </w:t>
      </w:r>
    </w:p>
  </w:footnote>
  <w:footnote w:id="7">
    <w:p w14:paraId="7E41E7EC" w14:textId="26FF2201" w:rsidR="003D7B65" w:rsidRPr="009B743C" w:rsidRDefault="003D7B65">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UNCITRAL Model Law on Cross-Border Insolvency with Guide to Enactment and Interpretation (Guide to Enactment), page 88, at 193. </w:t>
      </w:r>
    </w:p>
  </w:footnote>
  <w:footnote w:id="8">
    <w:p w14:paraId="644C3F70" w14:textId="2BCEDB33" w:rsidR="003D7B65" w:rsidRPr="009B743C" w:rsidRDefault="003D7B65">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Ibid. </w:t>
      </w:r>
    </w:p>
  </w:footnote>
  <w:footnote w:id="9">
    <w:p w14:paraId="43190B3B" w14:textId="08B0FA48" w:rsidR="00B25CF5" w:rsidRPr="009B743C" w:rsidRDefault="00B25CF5">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Guidance Text, Section 7.4, page 22. </w:t>
      </w:r>
    </w:p>
  </w:footnote>
  <w:footnote w:id="10">
    <w:p w14:paraId="4EB68D7F" w14:textId="1EA536F8" w:rsidR="00CF433F" w:rsidRPr="009B743C" w:rsidRDefault="00CF433F">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Guidance Test, page 32 at 8.3.2. </w:t>
      </w:r>
    </w:p>
  </w:footnote>
  <w:footnote w:id="11">
    <w:p w14:paraId="2A8B4024" w14:textId="1F771F09" w:rsidR="00FF1515" w:rsidRPr="009B743C" w:rsidRDefault="00FF1515">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w:t>
      </w:r>
      <w:r w:rsidRPr="009B743C">
        <w:rPr>
          <w:rFonts w:ascii="Avenir Next LT Pro" w:hAnsi="Avenir Next LT Pro" w:cs="Arial"/>
          <w:sz w:val="14"/>
          <w:szCs w:val="18"/>
          <w:lang w:val="en-GB"/>
        </w:rPr>
        <w:t xml:space="preserve">MLCBI, Article 20. </w:t>
      </w:r>
    </w:p>
  </w:footnote>
  <w:footnote w:id="12">
    <w:p w14:paraId="4A5B2286" w14:textId="3A81E88B" w:rsidR="00415655" w:rsidRPr="009B743C" w:rsidRDefault="00415655">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w:t>
      </w:r>
      <w:r w:rsidRPr="009B743C">
        <w:rPr>
          <w:rFonts w:ascii="Avenir Next LT Pro" w:hAnsi="Avenir Next LT Pro" w:cs="Arial"/>
          <w:sz w:val="14"/>
          <w:szCs w:val="18"/>
          <w:lang w:val="en-GB"/>
        </w:rPr>
        <w:t>MLCBI, Article 2(b).</w:t>
      </w:r>
    </w:p>
  </w:footnote>
  <w:footnote w:id="13">
    <w:p w14:paraId="5D50660B" w14:textId="7E7918F4" w:rsidR="00415655" w:rsidRPr="009B743C" w:rsidRDefault="00415655">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w:t>
      </w:r>
      <w:r w:rsidRPr="009B743C">
        <w:rPr>
          <w:rFonts w:ascii="Avenir Next LT Pro" w:hAnsi="Avenir Next LT Pro" w:cs="Arial"/>
          <w:sz w:val="14"/>
          <w:szCs w:val="18"/>
          <w:lang w:val="en-GB"/>
        </w:rPr>
        <w:t>MLCBI, Article 2(c).</w:t>
      </w:r>
    </w:p>
  </w:footnote>
  <w:footnote w:id="14">
    <w:p w14:paraId="55528A4B" w14:textId="7C128B27" w:rsidR="001E53F0" w:rsidRPr="009B743C" w:rsidRDefault="001E53F0">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Guide to Enactment, pages 70 – 75 </w:t>
      </w:r>
    </w:p>
  </w:footnote>
  <w:footnote w:id="15">
    <w:p w14:paraId="1E88AF4B" w14:textId="3B2806CB" w:rsidR="00415655" w:rsidRPr="009B743C" w:rsidRDefault="00415655">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w:t>
      </w:r>
      <w:r w:rsidRPr="009B743C">
        <w:rPr>
          <w:rFonts w:ascii="Avenir Next LT Pro" w:hAnsi="Avenir Next LT Pro" w:cs="Arial"/>
          <w:sz w:val="14"/>
          <w:szCs w:val="18"/>
          <w:lang w:val="en-GB"/>
        </w:rPr>
        <w:t>MLCBI, Article 2(f).</w:t>
      </w:r>
    </w:p>
  </w:footnote>
  <w:footnote w:id="16">
    <w:p w14:paraId="18F744AD" w14:textId="4CE8D3F4" w:rsidR="00407A9B" w:rsidRPr="009B743C" w:rsidRDefault="00407A9B">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Guidance Text, pages 28 – 28, at section 8.2.7.</w:t>
      </w:r>
    </w:p>
  </w:footnote>
  <w:footnote w:id="17">
    <w:p w14:paraId="7F0306C5" w14:textId="694F93B0" w:rsidR="00C43D5D" w:rsidRPr="009B743C" w:rsidRDefault="00C43D5D">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w:t>
      </w:r>
      <w:r w:rsidRPr="009B743C">
        <w:rPr>
          <w:rFonts w:ascii="Avenir Next LT Pro" w:hAnsi="Avenir Next LT Pro" w:cs="Arial"/>
          <w:sz w:val="14"/>
          <w:szCs w:val="18"/>
          <w:lang w:val="en-GB"/>
        </w:rPr>
        <w:t>MLCBI, Article 20.</w:t>
      </w:r>
    </w:p>
  </w:footnote>
  <w:footnote w:id="18">
    <w:p w14:paraId="232427AE" w14:textId="19CC258E" w:rsidR="001666D8" w:rsidRPr="009B743C" w:rsidRDefault="001666D8">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MLCBI, Art 21(3).</w:t>
      </w:r>
    </w:p>
  </w:footnote>
  <w:footnote w:id="19">
    <w:p w14:paraId="61DF49D5" w14:textId="388E844A" w:rsidR="00DC50E4" w:rsidRPr="009B743C" w:rsidRDefault="00DC50E4" w:rsidP="00DC50E4">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w:t>
      </w:r>
      <w:r w:rsidRPr="009B743C">
        <w:rPr>
          <w:rFonts w:ascii="Avenir Next LT Pro" w:hAnsi="Avenir Next LT Pro" w:cs="Arial"/>
          <w:sz w:val="14"/>
          <w:szCs w:val="18"/>
          <w:lang w:val="en-GB"/>
        </w:rPr>
        <w:t>The UNCITRAL Model Law on Cross-Border Insolvency: the judicial perspective (2011, updated 2013) (The Judicial Perspective) at page 24, paragraph 68.</w:t>
      </w:r>
    </w:p>
  </w:footnote>
  <w:footnote w:id="20">
    <w:p w14:paraId="38791484" w14:textId="04E7002A" w:rsidR="003D3C92" w:rsidRPr="009B743C" w:rsidRDefault="003D3C92">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Case Law, page 41 at paragraph 21. </w:t>
      </w:r>
    </w:p>
  </w:footnote>
  <w:footnote w:id="21">
    <w:p w14:paraId="327FFF81" w14:textId="6076F244" w:rsidR="003D3C92" w:rsidRPr="009B743C" w:rsidRDefault="003D3C92">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I</w:t>
      </w:r>
      <w:r w:rsidRPr="009B743C">
        <w:rPr>
          <w:rFonts w:ascii="Avenir Next LT Pro" w:hAnsi="Avenir Next LT Pro"/>
          <w:color w:val="808080" w:themeColor="background1" w:themeShade="80"/>
          <w:sz w:val="14"/>
          <w:szCs w:val="18"/>
        </w:rPr>
        <w:t>n that case it was ultimately found to be located at the foreign representative’s offices.</w:t>
      </w:r>
    </w:p>
  </w:footnote>
  <w:footnote w:id="22">
    <w:p w14:paraId="596FA9B3" w14:textId="6171ADD2" w:rsidR="004933A0" w:rsidRPr="009B743C" w:rsidRDefault="004933A0">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The Judicial Perspective, page 47 at paragraph 140. </w:t>
      </w:r>
    </w:p>
  </w:footnote>
  <w:footnote w:id="23">
    <w:p w14:paraId="7ADAA697" w14:textId="78A1AEAE" w:rsidR="00D95CF5" w:rsidRPr="009B743C" w:rsidRDefault="00D95CF5">
      <w:pPr>
        <w:pStyle w:val="FootnoteText"/>
        <w:rPr>
          <w:rFonts w:ascii="Avenir Next LT Pro" w:hAnsi="Avenir Next LT Pro"/>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MLCBI, Art 15(3). </w:t>
      </w:r>
    </w:p>
  </w:footnote>
  <w:footnote w:id="24">
    <w:p w14:paraId="513C2F83" w14:textId="48F501A8" w:rsidR="00AD38BE" w:rsidRPr="009B743C" w:rsidRDefault="00AD38BE">
      <w:pPr>
        <w:pStyle w:val="FootnoteText"/>
        <w:rPr>
          <w:sz w:val="16"/>
          <w:szCs w:val="12"/>
        </w:rPr>
      </w:pPr>
      <w:r w:rsidRPr="009B743C">
        <w:rPr>
          <w:rStyle w:val="FootnoteReference"/>
          <w:rFonts w:ascii="Avenir Next LT Pro" w:hAnsi="Avenir Next LT Pro"/>
          <w:sz w:val="16"/>
          <w:szCs w:val="12"/>
        </w:rPr>
        <w:footnoteRef/>
      </w:r>
      <w:r w:rsidRPr="009B743C">
        <w:rPr>
          <w:rFonts w:ascii="Avenir Next LT Pro" w:hAnsi="Avenir Next LT Pro"/>
          <w:sz w:val="16"/>
          <w:szCs w:val="12"/>
        </w:rPr>
        <w:t xml:space="preserve"> Guidance Text, pages 37 – 38, footnote 124.</w:t>
      </w:r>
      <w:r w:rsidRPr="009B743C">
        <w:rPr>
          <w:sz w:val="16"/>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E8CF" w14:textId="77777777" w:rsidR="00F32899" w:rsidRDefault="00F32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50A0" w14:textId="77777777" w:rsidR="00F32899" w:rsidRDefault="00F32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4A56" w14:textId="77777777" w:rsidR="00F32899" w:rsidRDefault="00F32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80"/>
    <w:multiLevelType w:val="hybridMultilevel"/>
    <w:tmpl w:val="CAC697B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193C13"/>
    <w:multiLevelType w:val="hybridMultilevel"/>
    <w:tmpl w:val="E524504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112C04C5"/>
    <w:multiLevelType w:val="hybridMultilevel"/>
    <w:tmpl w:val="67B4D99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096A21"/>
    <w:multiLevelType w:val="hybridMultilevel"/>
    <w:tmpl w:val="887A2FC0"/>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340E2B"/>
    <w:multiLevelType w:val="hybridMultilevel"/>
    <w:tmpl w:val="5A666528"/>
    <w:lvl w:ilvl="0" w:tplc="4BB23D72">
      <w:start w:val="1"/>
      <w:numFmt w:val="lowerRoman"/>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B674E2"/>
    <w:multiLevelType w:val="hybridMultilevel"/>
    <w:tmpl w:val="887A2FC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88668B"/>
    <w:multiLevelType w:val="hybridMultilevel"/>
    <w:tmpl w:val="32BCA754"/>
    <w:lvl w:ilvl="0" w:tplc="F0464E60">
      <w:start w:val="1"/>
      <w:numFmt w:val="decimal"/>
      <w:lvlText w:val="%1."/>
      <w:lvlJc w:val="left"/>
      <w:pPr>
        <w:ind w:left="360" w:hanging="360"/>
      </w:pPr>
      <w:rPr>
        <w:i w:val="0"/>
        <w:iCs w:val="0"/>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11" w15:restartNumberingAfterBreak="0">
    <w:nsid w:val="2AFE08D0"/>
    <w:multiLevelType w:val="hybridMultilevel"/>
    <w:tmpl w:val="02E6A5AA"/>
    <w:lvl w:ilvl="0" w:tplc="0409000F">
      <w:start w:val="1"/>
      <w:numFmt w:val="decimal"/>
      <w:lvlText w:val="%1."/>
      <w:lvlJc w:val="left"/>
      <w:pPr>
        <w:ind w:left="144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351E2B"/>
    <w:multiLevelType w:val="hybridMultilevel"/>
    <w:tmpl w:val="E5245040"/>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3" w15:restartNumberingAfterBreak="0">
    <w:nsid w:val="347C42A6"/>
    <w:multiLevelType w:val="hybridMultilevel"/>
    <w:tmpl w:val="21426982"/>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276FA2"/>
    <w:multiLevelType w:val="hybridMultilevel"/>
    <w:tmpl w:val="69AC805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9C0F0C"/>
    <w:multiLevelType w:val="hybridMultilevel"/>
    <w:tmpl w:val="F3FCCD38"/>
    <w:lvl w:ilvl="0" w:tplc="F0464E60">
      <w:start w:val="1"/>
      <w:numFmt w:val="decimal"/>
      <w:lvlText w:val="%1."/>
      <w:lvlJc w:val="left"/>
      <w:pPr>
        <w:ind w:left="407" w:hanging="360"/>
      </w:pPr>
      <w:rPr>
        <w:i w:val="0"/>
        <w:iCs w:val="0"/>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7" w15:restartNumberingAfterBreak="0">
    <w:nsid w:val="4EEE51EC"/>
    <w:multiLevelType w:val="hybridMultilevel"/>
    <w:tmpl w:val="0EE60D44"/>
    <w:lvl w:ilvl="0" w:tplc="FFFFFFFF">
      <w:start w:val="1"/>
      <w:numFmt w:val="decimal"/>
      <w:lvlText w:val="%1."/>
      <w:lvlJc w:val="left"/>
      <w:pPr>
        <w:ind w:left="360" w:hanging="360"/>
      </w:p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18" w15:restartNumberingAfterBreak="0">
    <w:nsid w:val="56722EB4"/>
    <w:multiLevelType w:val="hybridMultilevel"/>
    <w:tmpl w:val="D0B8C440"/>
    <w:lvl w:ilvl="0" w:tplc="FFFFFFFF">
      <w:start w:val="1"/>
      <w:numFmt w:val="decimal"/>
      <w:lvlText w:val="%1."/>
      <w:lvlJc w:val="left"/>
      <w:pPr>
        <w:ind w:left="360" w:hanging="360"/>
      </w:p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19"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3D0A89"/>
    <w:multiLevelType w:val="hybridMultilevel"/>
    <w:tmpl w:val="BDC27278"/>
    <w:lvl w:ilvl="0" w:tplc="4BB23D7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4A153E7"/>
    <w:multiLevelType w:val="hybridMultilevel"/>
    <w:tmpl w:val="F9EEDED0"/>
    <w:lvl w:ilvl="0" w:tplc="F0464E60">
      <w:start w:val="1"/>
      <w:numFmt w:val="decimal"/>
      <w:lvlText w:val="%1."/>
      <w:lvlJc w:val="left"/>
      <w:pPr>
        <w:ind w:left="36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8598104">
    <w:abstractNumId w:val="19"/>
  </w:num>
  <w:num w:numId="2" w16cid:durableId="1164055646">
    <w:abstractNumId w:val="7"/>
  </w:num>
  <w:num w:numId="3" w16cid:durableId="970591766">
    <w:abstractNumId w:val="3"/>
  </w:num>
  <w:num w:numId="4" w16cid:durableId="1327175081">
    <w:abstractNumId w:val="24"/>
  </w:num>
  <w:num w:numId="5" w16cid:durableId="998270126">
    <w:abstractNumId w:val="23"/>
  </w:num>
  <w:num w:numId="6" w16cid:durableId="657656171">
    <w:abstractNumId w:val="22"/>
  </w:num>
  <w:num w:numId="7" w16cid:durableId="1116829249">
    <w:abstractNumId w:val="5"/>
  </w:num>
  <w:num w:numId="8" w16cid:durableId="1055274873">
    <w:abstractNumId w:val="6"/>
  </w:num>
  <w:num w:numId="9" w16cid:durableId="790785319">
    <w:abstractNumId w:val="15"/>
  </w:num>
  <w:num w:numId="10" w16cid:durableId="59720369">
    <w:abstractNumId w:val="14"/>
  </w:num>
  <w:num w:numId="11" w16cid:durableId="1379276728">
    <w:abstractNumId w:val="4"/>
  </w:num>
  <w:num w:numId="12" w16cid:durableId="921179279">
    <w:abstractNumId w:val="9"/>
  </w:num>
  <w:num w:numId="13" w16cid:durableId="1060514793">
    <w:abstractNumId w:val="13"/>
  </w:num>
  <w:num w:numId="14" w16cid:durableId="64230155">
    <w:abstractNumId w:val="2"/>
  </w:num>
  <w:num w:numId="15" w16cid:durableId="1681084025">
    <w:abstractNumId w:val="0"/>
  </w:num>
  <w:num w:numId="16" w16cid:durableId="1275090443">
    <w:abstractNumId w:val="8"/>
  </w:num>
  <w:num w:numId="17" w16cid:durableId="269969236">
    <w:abstractNumId w:val="20"/>
  </w:num>
  <w:num w:numId="18" w16cid:durableId="1246037990">
    <w:abstractNumId w:val="11"/>
  </w:num>
  <w:num w:numId="19" w16cid:durableId="2015842075">
    <w:abstractNumId w:val="1"/>
  </w:num>
  <w:num w:numId="20" w16cid:durableId="36395601">
    <w:abstractNumId w:val="12"/>
  </w:num>
  <w:num w:numId="21" w16cid:durableId="1464225825">
    <w:abstractNumId w:val="17"/>
  </w:num>
  <w:num w:numId="22" w16cid:durableId="1893733929">
    <w:abstractNumId w:val="18"/>
  </w:num>
  <w:num w:numId="23" w16cid:durableId="1589464833">
    <w:abstractNumId w:val="10"/>
  </w:num>
  <w:num w:numId="24" w16cid:durableId="208732451">
    <w:abstractNumId w:val="16"/>
  </w:num>
  <w:num w:numId="25" w16cid:durableId="196130387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1E0C"/>
    <w:rsid w:val="000077DD"/>
    <w:rsid w:val="00010BA0"/>
    <w:rsid w:val="000114FF"/>
    <w:rsid w:val="00011778"/>
    <w:rsid w:val="0001365B"/>
    <w:rsid w:val="00020557"/>
    <w:rsid w:val="000232A1"/>
    <w:rsid w:val="000250C7"/>
    <w:rsid w:val="00025CCF"/>
    <w:rsid w:val="000300E0"/>
    <w:rsid w:val="0003114A"/>
    <w:rsid w:val="00033497"/>
    <w:rsid w:val="000352C1"/>
    <w:rsid w:val="0003619C"/>
    <w:rsid w:val="0003743B"/>
    <w:rsid w:val="00037621"/>
    <w:rsid w:val="00040104"/>
    <w:rsid w:val="000422A1"/>
    <w:rsid w:val="000431F4"/>
    <w:rsid w:val="00044D46"/>
    <w:rsid w:val="00045088"/>
    <w:rsid w:val="00045904"/>
    <w:rsid w:val="000464F7"/>
    <w:rsid w:val="0005141D"/>
    <w:rsid w:val="00060E02"/>
    <w:rsid w:val="00060FE5"/>
    <w:rsid w:val="00062ECF"/>
    <w:rsid w:val="00065166"/>
    <w:rsid w:val="00066177"/>
    <w:rsid w:val="00067A19"/>
    <w:rsid w:val="00067A88"/>
    <w:rsid w:val="00070B92"/>
    <w:rsid w:val="00071EAB"/>
    <w:rsid w:val="00073474"/>
    <w:rsid w:val="00077D49"/>
    <w:rsid w:val="00082609"/>
    <w:rsid w:val="00083B38"/>
    <w:rsid w:val="000851CC"/>
    <w:rsid w:val="00093BE8"/>
    <w:rsid w:val="000A68ED"/>
    <w:rsid w:val="000A7F39"/>
    <w:rsid w:val="000B4FEB"/>
    <w:rsid w:val="000B5FF1"/>
    <w:rsid w:val="000B609F"/>
    <w:rsid w:val="000C06F0"/>
    <w:rsid w:val="000C147F"/>
    <w:rsid w:val="000C6BB9"/>
    <w:rsid w:val="000C7D1E"/>
    <w:rsid w:val="000D2F1E"/>
    <w:rsid w:val="000D32A9"/>
    <w:rsid w:val="000D55A8"/>
    <w:rsid w:val="000E2C46"/>
    <w:rsid w:val="000E4841"/>
    <w:rsid w:val="000E6325"/>
    <w:rsid w:val="000F1677"/>
    <w:rsid w:val="000F3D6C"/>
    <w:rsid w:val="000F579C"/>
    <w:rsid w:val="00100E8F"/>
    <w:rsid w:val="00101707"/>
    <w:rsid w:val="00101A9E"/>
    <w:rsid w:val="00111319"/>
    <w:rsid w:val="00114082"/>
    <w:rsid w:val="0011473D"/>
    <w:rsid w:val="00115C85"/>
    <w:rsid w:val="00123855"/>
    <w:rsid w:val="00126A4D"/>
    <w:rsid w:val="00126E19"/>
    <w:rsid w:val="001313AA"/>
    <w:rsid w:val="001374D8"/>
    <w:rsid w:val="00140E0A"/>
    <w:rsid w:val="0014171F"/>
    <w:rsid w:val="00143BCA"/>
    <w:rsid w:val="0014622C"/>
    <w:rsid w:val="00151F58"/>
    <w:rsid w:val="00152348"/>
    <w:rsid w:val="00152845"/>
    <w:rsid w:val="0015456D"/>
    <w:rsid w:val="0015549B"/>
    <w:rsid w:val="00155FA2"/>
    <w:rsid w:val="001578CB"/>
    <w:rsid w:val="00161F1B"/>
    <w:rsid w:val="00162829"/>
    <w:rsid w:val="001666D8"/>
    <w:rsid w:val="001672E0"/>
    <w:rsid w:val="00167C32"/>
    <w:rsid w:val="0017058F"/>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34A2"/>
    <w:rsid w:val="001A72DC"/>
    <w:rsid w:val="001A7E9A"/>
    <w:rsid w:val="001B0F70"/>
    <w:rsid w:val="001B5016"/>
    <w:rsid w:val="001B57D9"/>
    <w:rsid w:val="001C0188"/>
    <w:rsid w:val="001C0413"/>
    <w:rsid w:val="001C45FC"/>
    <w:rsid w:val="001D02C5"/>
    <w:rsid w:val="001D4862"/>
    <w:rsid w:val="001E25B9"/>
    <w:rsid w:val="001E49E0"/>
    <w:rsid w:val="001E53F0"/>
    <w:rsid w:val="001E60C3"/>
    <w:rsid w:val="001E7B5A"/>
    <w:rsid w:val="001F7412"/>
    <w:rsid w:val="00200DFB"/>
    <w:rsid w:val="00200FDD"/>
    <w:rsid w:val="00201874"/>
    <w:rsid w:val="00202133"/>
    <w:rsid w:val="0020264E"/>
    <w:rsid w:val="0020725B"/>
    <w:rsid w:val="002175BA"/>
    <w:rsid w:val="0022599E"/>
    <w:rsid w:val="00227C5E"/>
    <w:rsid w:val="002305E8"/>
    <w:rsid w:val="0023198D"/>
    <w:rsid w:val="0023317E"/>
    <w:rsid w:val="00234F2C"/>
    <w:rsid w:val="00240B0E"/>
    <w:rsid w:val="0024116D"/>
    <w:rsid w:val="00241B44"/>
    <w:rsid w:val="00245523"/>
    <w:rsid w:val="00245EFB"/>
    <w:rsid w:val="00250E19"/>
    <w:rsid w:val="0025386E"/>
    <w:rsid w:val="002539D7"/>
    <w:rsid w:val="0025443F"/>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9FB"/>
    <w:rsid w:val="002A2A60"/>
    <w:rsid w:val="002B1C45"/>
    <w:rsid w:val="002B6018"/>
    <w:rsid w:val="002C13C8"/>
    <w:rsid w:val="002C3547"/>
    <w:rsid w:val="002C689F"/>
    <w:rsid w:val="002D0021"/>
    <w:rsid w:val="002D3473"/>
    <w:rsid w:val="002D5C95"/>
    <w:rsid w:val="002E00F8"/>
    <w:rsid w:val="002E1BB5"/>
    <w:rsid w:val="002E2322"/>
    <w:rsid w:val="002E38E2"/>
    <w:rsid w:val="002F01BD"/>
    <w:rsid w:val="002F1956"/>
    <w:rsid w:val="002F3440"/>
    <w:rsid w:val="002F4EC0"/>
    <w:rsid w:val="002F59AE"/>
    <w:rsid w:val="002F71BE"/>
    <w:rsid w:val="002F75A3"/>
    <w:rsid w:val="002F78CA"/>
    <w:rsid w:val="00302457"/>
    <w:rsid w:val="00303C2F"/>
    <w:rsid w:val="00312911"/>
    <w:rsid w:val="003144EF"/>
    <w:rsid w:val="003148CA"/>
    <w:rsid w:val="00315506"/>
    <w:rsid w:val="003220BA"/>
    <w:rsid w:val="00322CA1"/>
    <w:rsid w:val="00322F3B"/>
    <w:rsid w:val="00323940"/>
    <w:rsid w:val="00326292"/>
    <w:rsid w:val="00326415"/>
    <w:rsid w:val="00330937"/>
    <w:rsid w:val="00330EDC"/>
    <w:rsid w:val="00330F31"/>
    <w:rsid w:val="0033442A"/>
    <w:rsid w:val="00334648"/>
    <w:rsid w:val="0033768C"/>
    <w:rsid w:val="00337938"/>
    <w:rsid w:val="00340769"/>
    <w:rsid w:val="00341AA6"/>
    <w:rsid w:val="00342459"/>
    <w:rsid w:val="003427B9"/>
    <w:rsid w:val="00346B16"/>
    <w:rsid w:val="00356658"/>
    <w:rsid w:val="00361A0A"/>
    <w:rsid w:val="0036565C"/>
    <w:rsid w:val="0036625E"/>
    <w:rsid w:val="0036760B"/>
    <w:rsid w:val="0037465A"/>
    <w:rsid w:val="0037544E"/>
    <w:rsid w:val="00380BAB"/>
    <w:rsid w:val="00382B83"/>
    <w:rsid w:val="00382C98"/>
    <w:rsid w:val="00382D67"/>
    <w:rsid w:val="0038514B"/>
    <w:rsid w:val="0038533C"/>
    <w:rsid w:val="00386568"/>
    <w:rsid w:val="00387106"/>
    <w:rsid w:val="00391F3E"/>
    <w:rsid w:val="003948D5"/>
    <w:rsid w:val="003963D4"/>
    <w:rsid w:val="00396821"/>
    <w:rsid w:val="00396DEA"/>
    <w:rsid w:val="00397D3A"/>
    <w:rsid w:val="003A051E"/>
    <w:rsid w:val="003A2FEE"/>
    <w:rsid w:val="003B1310"/>
    <w:rsid w:val="003B170F"/>
    <w:rsid w:val="003B3C5F"/>
    <w:rsid w:val="003B3E61"/>
    <w:rsid w:val="003B48A3"/>
    <w:rsid w:val="003C089D"/>
    <w:rsid w:val="003C4471"/>
    <w:rsid w:val="003C66B1"/>
    <w:rsid w:val="003D0A6D"/>
    <w:rsid w:val="003D3C92"/>
    <w:rsid w:val="003D7B65"/>
    <w:rsid w:val="003E0B16"/>
    <w:rsid w:val="003E67D1"/>
    <w:rsid w:val="003F4578"/>
    <w:rsid w:val="003F5461"/>
    <w:rsid w:val="00400A7C"/>
    <w:rsid w:val="00405DC1"/>
    <w:rsid w:val="0040710D"/>
    <w:rsid w:val="00407A9B"/>
    <w:rsid w:val="0041139B"/>
    <w:rsid w:val="004137C3"/>
    <w:rsid w:val="00413D3A"/>
    <w:rsid w:val="00415655"/>
    <w:rsid w:val="00415F1F"/>
    <w:rsid w:val="00417B0F"/>
    <w:rsid w:val="0042108F"/>
    <w:rsid w:val="00422242"/>
    <w:rsid w:val="00424D07"/>
    <w:rsid w:val="00430FED"/>
    <w:rsid w:val="00432179"/>
    <w:rsid w:val="00434292"/>
    <w:rsid w:val="00434A8C"/>
    <w:rsid w:val="00435583"/>
    <w:rsid w:val="00436884"/>
    <w:rsid w:val="00437297"/>
    <w:rsid w:val="00437F15"/>
    <w:rsid w:val="00443403"/>
    <w:rsid w:val="00444284"/>
    <w:rsid w:val="00445CE6"/>
    <w:rsid w:val="00447FE6"/>
    <w:rsid w:val="004534C2"/>
    <w:rsid w:val="0045446F"/>
    <w:rsid w:val="0045683E"/>
    <w:rsid w:val="0047025B"/>
    <w:rsid w:val="0047360A"/>
    <w:rsid w:val="00476979"/>
    <w:rsid w:val="00491675"/>
    <w:rsid w:val="00492569"/>
    <w:rsid w:val="004933A0"/>
    <w:rsid w:val="00493855"/>
    <w:rsid w:val="0049508F"/>
    <w:rsid w:val="004A171E"/>
    <w:rsid w:val="004A57DD"/>
    <w:rsid w:val="004A7B51"/>
    <w:rsid w:val="004A7D71"/>
    <w:rsid w:val="004A7EF3"/>
    <w:rsid w:val="004B11FD"/>
    <w:rsid w:val="004B23A2"/>
    <w:rsid w:val="004C4E97"/>
    <w:rsid w:val="004C73E1"/>
    <w:rsid w:val="004C7FB7"/>
    <w:rsid w:val="004D1A5A"/>
    <w:rsid w:val="004D2FFF"/>
    <w:rsid w:val="004D3721"/>
    <w:rsid w:val="004D5CDD"/>
    <w:rsid w:val="004D64F9"/>
    <w:rsid w:val="004E0549"/>
    <w:rsid w:val="004E1674"/>
    <w:rsid w:val="004E2E92"/>
    <w:rsid w:val="004E30B0"/>
    <w:rsid w:val="004E6084"/>
    <w:rsid w:val="004E622C"/>
    <w:rsid w:val="004F5FDF"/>
    <w:rsid w:val="0050157D"/>
    <w:rsid w:val="00506803"/>
    <w:rsid w:val="0050682B"/>
    <w:rsid w:val="00507AAC"/>
    <w:rsid w:val="005177FE"/>
    <w:rsid w:val="0052263B"/>
    <w:rsid w:val="00524728"/>
    <w:rsid w:val="00527AB6"/>
    <w:rsid w:val="00530003"/>
    <w:rsid w:val="00530E88"/>
    <w:rsid w:val="005331CA"/>
    <w:rsid w:val="0053353F"/>
    <w:rsid w:val="00533739"/>
    <w:rsid w:val="00537970"/>
    <w:rsid w:val="00540B44"/>
    <w:rsid w:val="00540E3A"/>
    <w:rsid w:val="00544127"/>
    <w:rsid w:val="00544273"/>
    <w:rsid w:val="005463A9"/>
    <w:rsid w:val="00547993"/>
    <w:rsid w:val="00553EB2"/>
    <w:rsid w:val="00556777"/>
    <w:rsid w:val="0055688E"/>
    <w:rsid w:val="00560534"/>
    <w:rsid w:val="0056391B"/>
    <w:rsid w:val="005650E2"/>
    <w:rsid w:val="00565292"/>
    <w:rsid w:val="0056535A"/>
    <w:rsid w:val="00565DEE"/>
    <w:rsid w:val="00567AD7"/>
    <w:rsid w:val="00567F31"/>
    <w:rsid w:val="0057335F"/>
    <w:rsid w:val="00573E73"/>
    <w:rsid w:val="00574A0A"/>
    <w:rsid w:val="00575B2D"/>
    <w:rsid w:val="0057604C"/>
    <w:rsid w:val="005833D0"/>
    <w:rsid w:val="005846F3"/>
    <w:rsid w:val="0058622F"/>
    <w:rsid w:val="00586A38"/>
    <w:rsid w:val="00587461"/>
    <w:rsid w:val="00590023"/>
    <w:rsid w:val="00592F82"/>
    <w:rsid w:val="005A0CCA"/>
    <w:rsid w:val="005A4F24"/>
    <w:rsid w:val="005A726D"/>
    <w:rsid w:val="005B67AC"/>
    <w:rsid w:val="005C2C94"/>
    <w:rsid w:val="005C36BC"/>
    <w:rsid w:val="005C4865"/>
    <w:rsid w:val="005D43E0"/>
    <w:rsid w:val="005D58A3"/>
    <w:rsid w:val="005E1B79"/>
    <w:rsid w:val="005E5C28"/>
    <w:rsid w:val="005E7E73"/>
    <w:rsid w:val="005F026D"/>
    <w:rsid w:val="005F21F4"/>
    <w:rsid w:val="005F2D0B"/>
    <w:rsid w:val="005F4B31"/>
    <w:rsid w:val="006072CD"/>
    <w:rsid w:val="00610388"/>
    <w:rsid w:val="00612CA5"/>
    <w:rsid w:val="006153EC"/>
    <w:rsid w:val="00621A17"/>
    <w:rsid w:val="00622586"/>
    <w:rsid w:val="00622C2B"/>
    <w:rsid w:val="00622DCB"/>
    <w:rsid w:val="00627CC9"/>
    <w:rsid w:val="00627E7B"/>
    <w:rsid w:val="00630542"/>
    <w:rsid w:val="0063130A"/>
    <w:rsid w:val="00632E44"/>
    <w:rsid w:val="00633F44"/>
    <w:rsid w:val="00634622"/>
    <w:rsid w:val="00636808"/>
    <w:rsid w:val="00641002"/>
    <w:rsid w:val="00641515"/>
    <w:rsid w:val="0064165C"/>
    <w:rsid w:val="00651AE3"/>
    <w:rsid w:val="00654C2F"/>
    <w:rsid w:val="00657087"/>
    <w:rsid w:val="00660FB2"/>
    <w:rsid w:val="0066252C"/>
    <w:rsid w:val="006661EF"/>
    <w:rsid w:val="0067294B"/>
    <w:rsid w:val="00677736"/>
    <w:rsid w:val="0067785F"/>
    <w:rsid w:val="00677AEB"/>
    <w:rsid w:val="00680EF2"/>
    <w:rsid w:val="006839C2"/>
    <w:rsid w:val="00687A1D"/>
    <w:rsid w:val="0069109C"/>
    <w:rsid w:val="006920CC"/>
    <w:rsid w:val="00692AB2"/>
    <w:rsid w:val="00694A01"/>
    <w:rsid w:val="0069647C"/>
    <w:rsid w:val="00697EA1"/>
    <w:rsid w:val="006A1850"/>
    <w:rsid w:val="006A2646"/>
    <w:rsid w:val="006A3DF0"/>
    <w:rsid w:val="006A6530"/>
    <w:rsid w:val="006B435A"/>
    <w:rsid w:val="006B4C64"/>
    <w:rsid w:val="006B4FFC"/>
    <w:rsid w:val="006C2C89"/>
    <w:rsid w:val="006C415E"/>
    <w:rsid w:val="006D0E6E"/>
    <w:rsid w:val="006D4A5B"/>
    <w:rsid w:val="006D6BD5"/>
    <w:rsid w:val="006E481A"/>
    <w:rsid w:val="006E499D"/>
    <w:rsid w:val="006E5298"/>
    <w:rsid w:val="006F0CAB"/>
    <w:rsid w:val="006F2CE3"/>
    <w:rsid w:val="006F734A"/>
    <w:rsid w:val="00700D83"/>
    <w:rsid w:val="00703819"/>
    <w:rsid w:val="00704852"/>
    <w:rsid w:val="00706297"/>
    <w:rsid w:val="00706AD5"/>
    <w:rsid w:val="007074E9"/>
    <w:rsid w:val="00707FC8"/>
    <w:rsid w:val="00713DA4"/>
    <w:rsid w:val="00714B76"/>
    <w:rsid w:val="00714BF1"/>
    <w:rsid w:val="00721383"/>
    <w:rsid w:val="0072554C"/>
    <w:rsid w:val="00725911"/>
    <w:rsid w:val="0073094C"/>
    <w:rsid w:val="00731DBD"/>
    <w:rsid w:val="007333CC"/>
    <w:rsid w:val="0073399A"/>
    <w:rsid w:val="00735296"/>
    <w:rsid w:val="007425B6"/>
    <w:rsid w:val="00751F66"/>
    <w:rsid w:val="0075506A"/>
    <w:rsid w:val="007603F5"/>
    <w:rsid w:val="00763265"/>
    <w:rsid w:val="00764DB0"/>
    <w:rsid w:val="00766285"/>
    <w:rsid w:val="00766F8A"/>
    <w:rsid w:val="0076764D"/>
    <w:rsid w:val="0077498C"/>
    <w:rsid w:val="00776F0D"/>
    <w:rsid w:val="00777183"/>
    <w:rsid w:val="00784128"/>
    <w:rsid w:val="00784B4B"/>
    <w:rsid w:val="007854ED"/>
    <w:rsid w:val="00787FF5"/>
    <w:rsid w:val="00793173"/>
    <w:rsid w:val="00793A11"/>
    <w:rsid w:val="007A2122"/>
    <w:rsid w:val="007A62F4"/>
    <w:rsid w:val="007B13A7"/>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18CF"/>
    <w:rsid w:val="0080454E"/>
    <w:rsid w:val="00804C32"/>
    <w:rsid w:val="00806302"/>
    <w:rsid w:val="00807119"/>
    <w:rsid w:val="00812AFE"/>
    <w:rsid w:val="00817D57"/>
    <w:rsid w:val="008208F0"/>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2B83"/>
    <w:rsid w:val="008837A6"/>
    <w:rsid w:val="00884E32"/>
    <w:rsid w:val="0089145D"/>
    <w:rsid w:val="00893A03"/>
    <w:rsid w:val="00893E38"/>
    <w:rsid w:val="008A0C6E"/>
    <w:rsid w:val="008A46CF"/>
    <w:rsid w:val="008A4DF2"/>
    <w:rsid w:val="008A6CFE"/>
    <w:rsid w:val="008A7470"/>
    <w:rsid w:val="008B1A08"/>
    <w:rsid w:val="008B2DE3"/>
    <w:rsid w:val="008B5333"/>
    <w:rsid w:val="008B6223"/>
    <w:rsid w:val="008C349F"/>
    <w:rsid w:val="008C66E0"/>
    <w:rsid w:val="008E2DFA"/>
    <w:rsid w:val="008E3339"/>
    <w:rsid w:val="008E3B81"/>
    <w:rsid w:val="008E549B"/>
    <w:rsid w:val="008F18EF"/>
    <w:rsid w:val="008F20FC"/>
    <w:rsid w:val="008F2B24"/>
    <w:rsid w:val="008F5FFE"/>
    <w:rsid w:val="0090421A"/>
    <w:rsid w:val="00905A43"/>
    <w:rsid w:val="00907DC2"/>
    <w:rsid w:val="00912C79"/>
    <w:rsid w:val="009260A2"/>
    <w:rsid w:val="00932D39"/>
    <w:rsid w:val="009344C1"/>
    <w:rsid w:val="00942123"/>
    <w:rsid w:val="00951031"/>
    <w:rsid w:val="0095207B"/>
    <w:rsid w:val="00954461"/>
    <w:rsid w:val="00956085"/>
    <w:rsid w:val="00957951"/>
    <w:rsid w:val="00962045"/>
    <w:rsid w:val="00967EDA"/>
    <w:rsid w:val="00970897"/>
    <w:rsid w:val="0097337E"/>
    <w:rsid w:val="00980314"/>
    <w:rsid w:val="009816D0"/>
    <w:rsid w:val="00991428"/>
    <w:rsid w:val="00992676"/>
    <w:rsid w:val="00996691"/>
    <w:rsid w:val="009A4880"/>
    <w:rsid w:val="009A58D1"/>
    <w:rsid w:val="009A7865"/>
    <w:rsid w:val="009A7A0A"/>
    <w:rsid w:val="009B0723"/>
    <w:rsid w:val="009B07AD"/>
    <w:rsid w:val="009B0883"/>
    <w:rsid w:val="009B15E2"/>
    <w:rsid w:val="009B5832"/>
    <w:rsid w:val="009B6312"/>
    <w:rsid w:val="009B640D"/>
    <w:rsid w:val="009B743C"/>
    <w:rsid w:val="009C0850"/>
    <w:rsid w:val="009C0B8E"/>
    <w:rsid w:val="009C1BC8"/>
    <w:rsid w:val="009C2442"/>
    <w:rsid w:val="009D0811"/>
    <w:rsid w:val="009D0EE1"/>
    <w:rsid w:val="009D30BB"/>
    <w:rsid w:val="009D3159"/>
    <w:rsid w:val="009D66F1"/>
    <w:rsid w:val="009E05E1"/>
    <w:rsid w:val="009E2AEB"/>
    <w:rsid w:val="009E2E27"/>
    <w:rsid w:val="009E3CA7"/>
    <w:rsid w:val="009E4DE3"/>
    <w:rsid w:val="00A047EE"/>
    <w:rsid w:val="00A114EA"/>
    <w:rsid w:val="00A153F7"/>
    <w:rsid w:val="00A17592"/>
    <w:rsid w:val="00A2274A"/>
    <w:rsid w:val="00A235B7"/>
    <w:rsid w:val="00A27A7A"/>
    <w:rsid w:val="00A407EF"/>
    <w:rsid w:val="00A44B0B"/>
    <w:rsid w:val="00A46B4C"/>
    <w:rsid w:val="00A5117B"/>
    <w:rsid w:val="00A54000"/>
    <w:rsid w:val="00A54689"/>
    <w:rsid w:val="00A60074"/>
    <w:rsid w:val="00A6627C"/>
    <w:rsid w:val="00A6649C"/>
    <w:rsid w:val="00A67314"/>
    <w:rsid w:val="00A70BBC"/>
    <w:rsid w:val="00A71019"/>
    <w:rsid w:val="00A72A91"/>
    <w:rsid w:val="00A81029"/>
    <w:rsid w:val="00A83CB5"/>
    <w:rsid w:val="00A865A7"/>
    <w:rsid w:val="00A96489"/>
    <w:rsid w:val="00AA3A42"/>
    <w:rsid w:val="00AA5311"/>
    <w:rsid w:val="00AA7BAA"/>
    <w:rsid w:val="00AB685C"/>
    <w:rsid w:val="00AB6C2D"/>
    <w:rsid w:val="00AC08F7"/>
    <w:rsid w:val="00AC3839"/>
    <w:rsid w:val="00AC7082"/>
    <w:rsid w:val="00AD0E59"/>
    <w:rsid w:val="00AD38BE"/>
    <w:rsid w:val="00AD3FEA"/>
    <w:rsid w:val="00AD7BBD"/>
    <w:rsid w:val="00AF228E"/>
    <w:rsid w:val="00AF302B"/>
    <w:rsid w:val="00AF3B0B"/>
    <w:rsid w:val="00AF3C94"/>
    <w:rsid w:val="00B04137"/>
    <w:rsid w:val="00B1112C"/>
    <w:rsid w:val="00B11D19"/>
    <w:rsid w:val="00B12936"/>
    <w:rsid w:val="00B12C2D"/>
    <w:rsid w:val="00B14819"/>
    <w:rsid w:val="00B15031"/>
    <w:rsid w:val="00B1612F"/>
    <w:rsid w:val="00B17AA9"/>
    <w:rsid w:val="00B208C9"/>
    <w:rsid w:val="00B25CF5"/>
    <w:rsid w:val="00B263D0"/>
    <w:rsid w:val="00B32AF0"/>
    <w:rsid w:val="00B32DE4"/>
    <w:rsid w:val="00B33578"/>
    <w:rsid w:val="00B35CB8"/>
    <w:rsid w:val="00B370C3"/>
    <w:rsid w:val="00B411AE"/>
    <w:rsid w:val="00B413F5"/>
    <w:rsid w:val="00B41BC0"/>
    <w:rsid w:val="00B457BF"/>
    <w:rsid w:val="00B46CE2"/>
    <w:rsid w:val="00B60190"/>
    <w:rsid w:val="00B61419"/>
    <w:rsid w:val="00B64A14"/>
    <w:rsid w:val="00B66441"/>
    <w:rsid w:val="00B70D6A"/>
    <w:rsid w:val="00B72F5F"/>
    <w:rsid w:val="00B736DF"/>
    <w:rsid w:val="00B74FBD"/>
    <w:rsid w:val="00B77352"/>
    <w:rsid w:val="00B81E4A"/>
    <w:rsid w:val="00B82586"/>
    <w:rsid w:val="00B829A3"/>
    <w:rsid w:val="00B86DB1"/>
    <w:rsid w:val="00B87869"/>
    <w:rsid w:val="00B953BD"/>
    <w:rsid w:val="00BA0E44"/>
    <w:rsid w:val="00BA29B7"/>
    <w:rsid w:val="00BA47C5"/>
    <w:rsid w:val="00BB0F2B"/>
    <w:rsid w:val="00BB14CB"/>
    <w:rsid w:val="00BD0D57"/>
    <w:rsid w:val="00BE1A50"/>
    <w:rsid w:val="00BF08A7"/>
    <w:rsid w:val="00BF50F7"/>
    <w:rsid w:val="00C00111"/>
    <w:rsid w:val="00C02F29"/>
    <w:rsid w:val="00C10C13"/>
    <w:rsid w:val="00C17111"/>
    <w:rsid w:val="00C20747"/>
    <w:rsid w:val="00C20AFE"/>
    <w:rsid w:val="00C22A25"/>
    <w:rsid w:val="00C23B79"/>
    <w:rsid w:val="00C33D50"/>
    <w:rsid w:val="00C35671"/>
    <w:rsid w:val="00C35B77"/>
    <w:rsid w:val="00C35DD1"/>
    <w:rsid w:val="00C370D3"/>
    <w:rsid w:val="00C376EB"/>
    <w:rsid w:val="00C4003A"/>
    <w:rsid w:val="00C43D5D"/>
    <w:rsid w:val="00C4510C"/>
    <w:rsid w:val="00C46EC1"/>
    <w:rsid w:val="00C504E5"/>
    <w:rsid w:val="00C52021"/>
    <w:rsid w:val="00C53E2C"/>
    <w:rsid w:val="00C550C8"/>
    <w:rsid w:val="00C56B61"/>
    <w:rsid w:val="00C606C3"/>
    <w:rsid w:val="00C620F4"/>
    <w:rsid w:val="00C668B6"/>
    <w:rsid w:val="00C67ECE"/>
    <w:rsid w:val="00C7161B"/>
    <w:rsid w:val="00C71791"/>
    <w:rsid w:val="00C7219E"/>
    <w:rsid w:val="00C72848"/>
    <w:rsid w:val="00C7736C"/>
    <w:rsid w:val="00C82D87"/>
    <w:rsid w:val="00C841ED"/>
    <w:rsid w:val="00C85F17"/>
    <w:rsid w:val="00C8712A"/>
    <w:rsid w:val="00C91324"/>
    <w:rsid w:val="00C914F7"/>
    <w:rsid w:val="00C963D3"/>
    <w:rsid w:val="00CA6E0D"/>
    <w:rsid w:val="00CB2CBB"/>
    <w:rsid w:val="00CB56CE"/>
    <w:rsid w:val="00CB7CAC"/>
    <w:rsid w:val="00CC0EA0"/>
    <w:rsid w:val="00CC5335"/>
    <w:rsid w:val="00CC5BA4"/>
    <w:rsid w:val="00CC70BB"/>
    <w:rsid w:val="00CD0B06"/>
    <w:rsid w:val="00CD3420"/>
    <w:rsid w:val="00CD4998"/>
    <w:rsid w:val="00CE1035"/>
    <w:rsid w:val="00CE2A6A"/>
    <w:rsid w:val="00CF2819"/>
    <w:rsid w:val="00CF433F"/>
    <w:rsid w:val="00CF4F9D"/>
    <w:rsid w:val="00CF70DC"/>
    <w:rsid w:val="00CF78AC"/>
    <w:rsid w:val="00D148DC"/>
    <w:rsid w:val="00D17993"/>
    <w:rsid w:val="00D17FDC"/>
    <w:rsid w:val="00D444C5"/>
    <w:rsid w:val="00D4563A"/>
    <w:rsid w:val="00D45AEA"/>
    <w:rsid w:val="00D5244F"/>
    <w:rsid w:val="00D52E4F"/>
    <w:rsid w:val="00D56A37"/>
    <w:rsid w:val="00D57202"/>
    <w:rsid w:val="00D6386E"/>
    <w:rsid w:val="00D63EFD"/>
    <w:rsid w:val="00D64826"/>
    <w:rsid w:val="00D7080A"/>
    <w:rsid w:val="00D80DF2"/>
    <w:rsid w:val="00D84150"/>
    <w:rsid w:val="00D84752"/>
    <w:rsid w:val="00D85AB0"/>
    <w:rsid w:val="00D86B3B"/>
    <w:rsid w:val="00D8748A"/>
    <w:rsid w:val="00D93196"/>
    <w:rsid w:val="00D94A4D"/>
    <w:rsid w:val="00D95CF5"/>
    <w:rsid w:val="00D97A93"/>
    <w:rsid w:val="00D97F86"/>
    <w:rsid w:val="00DA1083"/>
    <w:rsid w:val="00DA26C8"/>
    <w:rsid w:val="00DA6B0D"/>
    <w:rsid w:val="00DB243C"/>
    <w:rsid w:val="00DB45DD"/>
    <w:rsid w:val="00DB482A"/>
    <w:rsid w:val="00DB56F2"/>
    <w:rsid w:val="00DB6EF5"/>
    <w:rsid w:val="00DC3089"/>
    <w:rsid w:val="00DC4420"/>
    <w:rsid w:val="00DC50E4"/>
    <w:rsid w:val="00DC651F"/>
    <w:rsid w:val="00DD0802"/>
    <w:rsid w:val="00DD0A50"/>
    <w:rsid w:val="00DD2E11"/>
    <w:rsid w:val="00DD7F13"/>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36D43"/>
    <w:rsid w:val="00E416C8"/>
    <w:rsid w:val="00E450A4"/>
    <w:rsid w:val="00E506BE"/>
    <w:rsid w:val="00E51172"/>
    <w:rsid w:val="00E55547"/>
    <w:rsid w:val="00E57410"/>
    <w:rsid w:val="00E61C42"/>
    <w:rsid w:val="00E6302B"/>
    <w:rsid w:val="00E6452F"/>
    <w:rsid w:val="00E64619"/>
    <w:rsid w:val="00E64F45"/>
    <w:rsid w:val="00E6742D"/>
    <w:rsid w:val="00E71CB0"/>
    <w:rsid w:val="00E73529"/>
    <w:rsid w:val="00E751A7"/>
    <w:rsid w:val="00E77C3D"/>
    <w:rsid w:val="00E82E22"/>
    <w:rsid w:val="00E850FE"/>
    <w:rsid w:val="00E909F0"/>
    <w:rsid w:val="00E90D47"/>
    <w:rsid w:val="00E93993"/>
    <w:rsid w:val="00E94694"/>
    <w:rsid w:val="00E9597C"/>
    <w:rsid w:val="00EA0913"/>
    <w:rsid w:val="00EA0A2F"/>
    <w:rsid w:val="00EA4367"/>
    <w:rsid w:val="00EA6D31"/>
    <w:rsid w:val="00EB146B"/>
    <w:rsid w:val="00EB45AC"/>
    <w:rsid w:val="00EB7B9D"/>
    <w:rsid w:val="00EC2AEA"/>
    <w:rsid w:val="00EC7B11"/>
    <w:rsid w:val="00EC7F95"/>
    <w:rsid w:val="00ED0BC4"/>
    <w:rsid w:val="00ED3771"/>
    <w:rsid w:val="00ED4AB7"/>
    <w:rsid w:val="00ED6A32"/>
    <w:rsid w:val="00EE4971"/>
    <w:rsid w:val="00EF090E"/>
    <w:rsid w:val="00F033DA"/>
    <w:rsid w:val="00F07BCD"/>
    <w:rsid w:val="00F11AAB"/>
    <w:rsid w:val="00F13FB1"/>
    <w:rsid w:val="00F17BC1"/>
    <w:rsid w:val="00F17C87"/>
    <w:rsid w:val="00F20272"/>
    <w:rsid w:val="00F223E7"/>
    <w:rsid w:val="00F2288D"/>
    <w:rsid w:val="00F25779"/>
    <w:rsid w:val="00F2750A"/>
    <w:rsid w:val="00F27CD8"/>
    <w:rsid w:val="00F30351"/>
    <w:rsid w:val="00F31EE9"/>
    <w:rsid w:val="00F32094"/>
    <w:rsid w:val="00F32899"/>
    <w:rsid w:val="00F3323E"/>
    <w:rsid w:val="00F33405"/>
    <w:rsid w:val="00F341F4"/>
    <w:rsid w:val="00F34F9D"/>
    <w:rsid w:val="00F35CCE"/>
    <w:rsid w:val="00F45C93"/>
    <w:rsid w:val="00F51176"/>
    <w:rsid w:val="00F51EE5"/>
    <w:rsid w:val="00F55241"/>
    <w:rsid w:val="00F5524B"/>
    <w:rsid w:val="00F60538"/>
    <w:rsid w:val="00F61DD2"/>
    <w:rsid w:val="00F6523A"/>
    <w:rsid w:val="00F66AFF"/>
    <w:rsid w:val="00F71433"/>
    <w:rsid w:val="00F7241A"/>
    <w:rsid w:val="00F83E76"/>
    <w:rsid w:val="00F87BEA"/>
    <w:rsid w:val="00F90A57"/>
    <w:rsid w:val="00F958B0"/>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1515"/>
    <w:rsid w:val="00FF296F"/>
    <w:rsid w:val="00FF2DC0"/>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D48499C6-07EB-4864-9AA7-9593F00B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 w:type="character" w:customStyle="1" w:styleId="fontstyle01">
    <w:name w:val="fontstyle01"/>
    <w:basedOn w:val="DefaultParagraphFont"/>
    <w:rsid w:val="00F958B0"/>
    <w:rPr>
      <w:rFonts w:ascii="TimesNewRomanPSMT" w:hAnsi="TimesNewRomanPSMT" w:hint="default"/>
      <w:b w:val="0"/>
      <w:bCs w:val="0"/>
      <w:i w:val="0"/>
      <w:iCs w:val="0"/>
      <w:color w:val="242021"/>
      <w:sz w:val="20"/>
      <w:szCs w:val="20"/>
    </w:rPr>
  </w:style>
  <w:style w:type="character" w:customStyle="1" w:styleId="fontstyle21">
    <w:name w:val="fontstyle21"/>
    <w:basedOn w:val="DefaultParagraphFont"/>
    <w:rsid w:val="004E6084"/>
    <w:rPr>
      <w:rFonts w:ascii="FEFC73E895C-Roman" w:hAnsi="FEFC73E895C-Roman" w:hint="default"/>
      <w:b w:val="0"/>
      <w:bCs w:val="0"/>
      <w:i w:val="0"/>
      <w:iCs w:val="0"/>
      <w:color w:val="000000"/>
      <w:sz w:val="18"/>
      <w:szCs w:val="18"/>
    </w:rPr>
  </w:style>
  <w:style w:type="character" w:customStyle="1" w:styleId="fontstyle11">
    <w:name w:val="fontstyle11"/>
    <w:basedOn w:val="DefaultParagraphFont"/>
    <w:rsid w:val="00AF3C94"/>
    <w:rPr>
      <w:rFonts w:ascii="TimesNewRomanPSMT" w:hAnsi="TimesNewRomanPSMT"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2443">
      <w:bodyDiv w:val="1"/>
      <w:marLeft w:val="0"/>
      <w:marRight w:val="0"/>
      <w:marTop w:val="0"/>
      <w:marBottom w:val="0"/>
      <w:divBdr>
        <w:top w:val="none" w:sz="0" w:space="0" w:color="auto"/>
        <w:left w:val="none" w:sz="0" w:space="0" w:color="auto"/>
        <w:bottom w:val="none" w:sz="0" w:space="0" w:color="auto"/>
        <w:right w:val="none" w:sz="0" w:space="0" w:color="auto"/>
      </w:divBdr>
    </w:div>
    <w:div w:id="268660882">
      <w:bodyDiv w:val="1"/>
      <w:marLeft w:val="0"/>
      <w:marRight w:val="0"/>
      <w:marTop w:val="0"/>
      <w:marBottom w:val="0"/>
      <w:divBdr>
        <w:top w:val="none" w:sz="0" w:space="0" w:color="auto"/>
        <w:left w:val="none" w:sz="0" w:space="0" w:color="auto"/>
        <w:bottom w:val="none" w:sz="0" w:space="0" w:color="auto"/>
        <w:right w:val="none" w:sz="0" w:space="0" w:color="auto"/>
      </w:divBdr>
    </w:div>
    <w:div w:id="449326713">
      <w:bodyDiv w:val="1"/>
      <w:marLeft w:val="0"/>
      <w:marRight w:val="0"/>
      <w:marTop w:val="0"/>
      <w:marBottom w:val="0"/>
      <w:divBdr>
        <w:top w:val="none" w:sz="0" w:space="0" w:color="auto"/>
        <w:left w:val="none" w:sz="0" w:space="0" w:color="auto"/>
        <w:bottom w:val="none" w:sz="0" w:space="0" w:color="auto"/>
        <w:right w:val="none" w:sz="0" w:space="0" w:color="auto"/>
      </w:divBdr>
    </w:div>
    <w:div w:id="504438428">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53008549">
      <w:bodyDiv w:val="1"/>
      <w:marLeft w:val="0"/>
      <w:marRight w:val="0"/>
      <w:marTop w:val="0"/>
      <w:marBottom w:val="0"/>
      <w:divBdr>
        <w:top w:val="none" w:sz="0" w:space="0" w:color="auto"/>
        <w:left w:val="none" w:sz="0" w:space="0" w:color="auto"/>
        <w:bottom w:val="none" w:sz="0" w:space="0" w:color="auto"/>
        <w:right w:val="none" w:sz="0" w:space="0" w:color="auto"/>
      </w:divBdr>
    </w:div>
    <w:div w:id="556168003">
      <w:bodyDiv w:val="1"/>
      <w:marLeft w:val="0"/>
      <w:marRight w:val="0"/>
      <w:marTop w:val="0"/>
      <w:marBottom w:val="0"/>
      <w:divBdr>
        <w:top w:val="none" w:sz="0" w:space="0" w:color="auto"/>
        <w:left w:val="none" w:sz="0" w:space="0" w:color="auto"/>
        <w:bottom w:val="none" w:sz="0" w:space="0" w:color="auto"/>
        <w:right w:val="none" w:sz="0" w:space="0" w:color="auto"/>
      </w:divBdr>
    </w:div>
    <w:div w:id="673798496">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922296714">
      <w:bodyDiv w:val="1"/>
      <w:marLeft w:val="0"/>
      <w:marRight w:val="0"/>
      <w:marTop w:val="0"/>
      <w:marBottom w:val="0"/>
      <w:divBdr>
        <w:top w:val="none" w:sz="0" w:space="0" w:color="auto"/>
        <w:left w:val="none" w:sz="0" w:space="0" w:color="auto"/>
        <w:bottom w:val="none" w:sz="0" w:space="0" w:color="auto"/>
        <w:right w:val="none" w:sz="0" w:space="0" w:color="auto"/>
      </w:divBdr>
    </w:div>
    <w:div w:id="1016616417">
      <w:bodyDiv w:val="1"/>
      <w:marLeft w:val="0"/>
      <w:marRight w:val="0"/>
      <w:marTop w:val="0"/>
      <w:marBottom w:val="0"/>
      <w:divBdr>
        <w:top w:val="none" w:sz="0" w:space="0" w:color="auto"/>
        <w:left w:val="none" w:sz="0" w:space="0" w:color="auto"/>
        <w:bottom w:val="none" w:sz="0" w:space="0" w:color="auto"/>
        <w:right w:val="none" w:sz="0" w:space="0" w:color="auto"/>
      </w:divBdr>
    </w:div>
    <w:div w:id="1050494651">
      <w:bodyDiv w:val="1"/>
      <w:marLeft w:val="0"/>
      <w:marRight w:val="0"/>
      <w:marTop w:val="0"/>
      <w:marBottom w:val="0"/>
      <w:divBdr>
        <w:top w:val="none" w:sz="0" w:space="0" w:color="auto"/>
        <w:left w:val="none" w:sz="0" w:space="0" w:color="auto"/>
        <w:bottom w:val="none" w:sz="0" w:space="0" w:color="auto"/>
        <w:right w:val="none" w:sz="0" w:space="0" w:color="auto"/>
      </w:divBdr>
    </w:div>
    <w:div w:id="1095519451">
      <w:bodyDiv w:val="1"/>
      <w:marLeft w:val="0"/>
      <w:marRight w:val="0"/>
      <w:marTop w:val="0"/>
      <w:marBottom w:val="0"/>
      <w:divBdr>
        <w:top w:val="none" w:sz="0" w:space="0" w:color="auto"/>
        <w:left w:val="none" w:sz="0" w:space="0" w:color="auto"/>
        <w:bottom w:val="none" w:sz="0" w:space="0" w:color="auto"/>
        <w:right w:val="none" w:sz="0" w:space="0" w:color="auto"/>
      </w:divBdr>
    </w:div>
    <w:div w:id="1168517344">
      <w:bodyDiv w:val="1"/>
      <w:marLeft w:val="0"/>
      <w:marRight w:val="0"/>
      <w:marTop w:val="0"/>
      <w:marBottom w:val="0"/>
      <w:divBdr>
        <w:top w:val="none" w:sz="0" w:space="0" w:color="auto"/>
        <w:left w:val="none" w:sz="0" w:space="0" w:color="auto"/>
        <w:bottom w:val="none" w:sz="0" w:space="0" w:color="auto"/>
        <w:right w:val="none" w:sz="0" w:space="0" w:color="auto"/>
      </w:divBdr>
    </w:div>
    <w:div w:id="1223100141">
      <w:bodyDiv w:val="1"/>
      <w:marLeft w:val="0"/>
      <w:marRight w:val="0"/>
      <w:marTop w:val="0"/>
      <w:marBottom w:val="0"/>
      <w:divBdr>
        <w:top w:val="none" w:sz="0" w:space="0" w:color="auto"/>
        <w:left w:val="none" w:sz="0" w:space="0" w:color="auto"/>
        <w:bottom w:val="none" w:sz="0" w:space="0" w:color="auto"/>
        <w:right w:val="none" w:sz="0" w:space="0" w:color="auto"/>
      </w:divBdr>
    </w:div>
    <w:div w:id="1528909478">
      <w:bodyDiv w:val="1"/>
      <w:marLeft w:val="0"/>
      <w:marRight w:val="0"/>
      <w:marTop w:val="0"/>
      <w:marBottom w:val="0"/>
      <w:divBdr>
        <w:top w:val="none" w:sz="0" w:space="0" w:color="auto"/>
        <w:left w:val="none" w:sz="0" w:space="0" w:color="auto"/>
        <w:bottom w:val="none" w:sz="0" w:space="0" w:color="auto"/>
        <w:right w:val="none" w:sz="0" w:space="0" w:color="auto"/>
      </w:divBdr>
    </w:div>
    <w:div w:id="1567951976">
      <w:bodyDiv w:val="1"/>
      <w:marLeft w:val="0"/>
      <w:marRight w:val="0"/>
      <w:marTop w:val="0"/>
      <w:marBottom w:val="0"/>
      <w:divBdr>
        <w:top w:val="none" w:sz="0" w:space="0" w:color="auto"/>
        <w:left w:val="none" w:sz="0" w:space="0" w:color="auto"/>
        <w:bottom w:val="none" w:sz="0" w:space="0" w:color="auto"/>
        <w:right w:val="none" w:sz="0" w:space="0" w:color="auto"/>
      </w:divBdr>
    </w:div>
    <w:div w:id="1605533624">
      <w:bodyDiv w:val="1"/>
      <w:marLeft w:val="0"/>
      <w:marRight w:val="0"/>
      <w:marTop w:val="0"/>
      <w:marBottom w:val="0"/>
      <w:divBdr>
        <w:top w:val="none" w:sz="0" w:space="0" w:color="auto"/>
        <w:left w:val="none" w:sz="0" w:space="0" w:color="auto"/>
        <w:bottom w:val="none" w:sz="0" w:space="0" w:color="auto"/>
        <w:right w:val="none" w:sz="0" w:space="0" w:color="auto"/>
      </w:divBdr>
    </w:div>
    <w:div w:id="1719209149">
      <w:bodyDiv w:val="1"/>
      <w:marLeft w:val="0"/>
      <w:marRight w:val="0"/>
      <w:marTop w:val="0"/>
      <w:marBottom w:val="0"/>
      <w:divBdr>
        <w:top w:val="none" w:sz="0" w:space="0" w:color="auto"/>
        <w:left w:val="none" w:sz="0" w:space="0" w:color="auto"/>
        <w:bottom w:val="none" w:sz="0" w:space="0" w:color="auto"/>
        <w:right w:val="none" w:sz="0" w:space="0" w:color="auto"/>
      </w:divBdr>
    </w:div>
    <w:div w:id="1747992426">
      <w:bodyDiv w:val="1"/>
      <w:marLeft w:val="0"/>
      <w:marRight w:val="0"/>
      <w:marTop w:val="0"/>
      <w:marBottom w:val="0"/>
      <w:divBdr>
        <w:top w:val="none" w:sz="0" w:space="0" w:color="auto"/>
        <w:left w:val="none" w:sz="0" w:space="0" w:color="auto"/>
        <w:bottom w:val="none" w:sz="0" w:space="0" w:color="auto"/>
        <w:right w:val="none" w:sz="0" w:space="0" w:color="auto"/>
      </w:divBdr>
    </w:div>
    <w:div w:id="1881747733">
      <w:bodyDiv w:val="1"/>
      <w:marLeft w:val="0"/>
      <w:marRight w:val="0"/>
      <w:marTop w:val="0"/>
      <w:marBottom w:val="0"/>
      <w:divBdr>
        <w:top w:val="none" w:sz="0" w:space="0" w:color="auto"/>
        <w:left w:val="none" w:sz="0" w:space="0" w:color="auto"/>
        <w:bottom w:val="none" w:sz="0" w:space="0" w:color="auto"/>
        <w:right w:val="none" w:sz="0" w:space="0" w:color="auto"/>
      </w:divBdr>
    </w:div>
    <w:div w:id="1919437201">
      <w:bodyDiv w:val="1"/>
      <w:marLeft w:val="0"/>
      <w:marRight w:val="0"/>
      <w:marTop w:val="0"/>
      <w:marBottom w:val="0"/>
      <w:divBdr>
        <w:top w:val="none" w:sz="0" w:space="0" w:color="auto"/>
        <w:left w:val="none" w:sz="0" w:space="0" w:color="auto"/>
        <w:bottom w:val="none" w:sz="0" w:space="0" w:color="auto"/>
        <w:right w:val="none" w:sz="0" w:space="0" w:color="auto"/>
      </w:divBdr>
    </w:div>
    <w:div w:id="1924873029">
      <w:bodyDiv w:val="1"/>
      <w:marLeft w:val="0"/>
      <w:marRight w:val="0"/>
      <w:marTop w:val="0"/>
      <w:marBottom w:val="0"/>
      <w:divBdr>
        <w:top w:val="none" w:sz="0" w:space="0" w:color="auto"/>
        <w:left w:val="none" w:sz="0" w:space="0" w:color="auto"/>
        <w:bottom w:val="none" w:sz="0" w:space="0" w:color="auto"/>
        <w:right w:val="none" w:sz="0" w:space="0" w:color="auto"/>
      </w:divBdr>
    </w:div>
    <w:div w:id="198812221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60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Ella van der Schans</cp:lastModifiedBy>
  <cp:revision>2</cp:revision>
  <cp:lastPrinted>2019-08-27T05:42:00Z</cp:lastPrinted>
  <dcterms:created xsi:type="dcterms:W3CDTF">2024-03-01T22:00:00Z</dcterms:created>
  <dcterms:modified xsi:type="dcterms:W3CDTF">2024-03-01T22:00:00Z</dcterms:modified>
</cp:coreProperties>
</file>