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THE </w:t>
      </w:r>
      <w:proofErr w:type="spellStart"/>
      <w:r w:rsidRPr="00E2622D">
        <w:rPr>
          <w:rFonts w:ascii="Avenir Next Demi Bold" w:hAnsi="Avenir Next Demi Bold" w:cs="Arial"/>
          <w:b/>
          <w:bCs/>
          <w:color w:val="000000" w:themeColor="text1"/>
          <w:sz w:val="24"/>
          <w:lang w:val="en-GB"/>
        </w:rPr>
        <w:t>UNCITRAL</w:t>
      </w:r>
      <w:proofErr w:type="spellEnd"/>
      <w:r w:rsidRPr="00E2622D">
        <w:rPr>
          <w:rFonts w:ascii="Avenir Next Demi Bold" w:hAnsi="Avenir Next Demi Bold" w:cs="Arial"/>
          <w:b/>
          <w:bCs/>
          <w:color w:val="000000" w:themeColor="text1"/>
          <w:sz w:val="24"/>
          <w:lang w:val="en-GB"/>
        </w:rPr>
        <w:t xml:space="preserve">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xml:space="preserve">. </w:t>
      </w:r>
      <w:proofErr w:type="gramStart"/>
      <w:r w:rsidRPr="00E2622D">
        <w:rPr>
          <w:rFonts w:ascii="Avenir Next" w:hAnsi="Avenir Next" w:cs="Arial"/>
          <w:bCs/>
          <w:color w:val="767171" w:themeColor="background2" w:themeShade="80"/>
          <w:sz w:val="22"/>
          <w:szCs w:val="22"/>
          <w:lang w:val="en-GB"/>
        </w:rPr>
        <w:t>In order to</w:t>
      </w:r>
      <w:proofErr w:type="gramEnd"/>
      <w:r w:rsidRPr="00E2622D">
        <w:rPr>
          <w:rFonts w:ascii="Avenir Next" w:hAnsi="Avenir Next" w:cs="Arial"/>
          <w:bCs/>
          <w:color w:val="767171" w:themeColor="background2" w:themeShade="80"/>
          <w:sz w:val="22"/>
          <w:szCs w:val="22"/>
          <w:lang w:val="en-GB"/>
        </w:rPr>
        <w:t xml:space="preserve">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proofErr w:type="spellStart"/>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proofErr w:type="spellEnd"/>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w:t>
      </w:r>
      <w:proofErr w:type="gramStart"/>
      <w:r w:rsidRPr="00E2622D">
        <w:rPr>
          <w:rFonts w:ascii="Avenir Next" w:hAnsi="Avenir Next" w:cs="Arial"/>
          <w:sz w:val="22"/>
          <w:szCs w:val="22"/>
          <w:lang w:val="en-GB"/>
        </w:rPr>
        <w:t>in order to</w:t>
      </w:r>
      <w:proofErr w:type="gramEnd"/>
      <w:r w:rsidRPr="00E2622D">
        <w:rPr>
          <w:rFonts w:ascii="Avenir Next" w:hAnsi="Avenir Next" w:cs="Arial"/>
          <w:sz w:val="22"/>
          <w:szCs w:val="22"/>
          <w:lang w:val="en-GB"/>
        </w:rPr>
        <w:t xml:space="preserve">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proofErr w:type="spellStart"/>
      <w:r w:rsidRPr="0015549B">
        <w:rPr>
          <w:rFonts w:ascii="Avenir Next Demi Bold" w:hAnsi="Avenir Next Demi Bold" w:cs="Arial"/>
          <w:b/>
          <w:bCs/>
          <w:color w:val="FF0000"/>
          <w:sz w:val="22"/>
          <w:szCs w:val="22"/>
          <w:lang w:val="en-GB"/>
        </w:rPr>
        <w:t>MLCBI</w:t>
      </w:r>
      <w:proofErr w:type="spellEnd"/>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E2622D">
        <w:rPr>
          <w:rFonts w:ascii="Avenir Next" w:hAnsi="Avenir Next" w:cs="Arial"/>
          <w:sz w:val="22"/>
          <w:szCs w:val="22"/>
          <w:lang w:val="en-GB"/>
        </w:rPr>
        <w:t>answer</w:t>
      </w:r>
      <w:proofErr w:type="gramEnd"/>
      <w:r w:rsidRPr="00E2622D">
        <w:rPr>
          <w:rFonts w:ascii="Avenir Next" w:hAnsi="Avenir Next" w:cs="Arial"/>
          <w:sz w:val="22"/>
          <w:szCs w:val="22"/>
          <w:lang w:val="en-GB"/>
        </w:rPr>
        <w:t xml:space="preserve">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73535D">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FF2800" w:rsidRDefault="00B263D0" w:rsidP="0073535D">
      <w:pPr>
        <w:pStyle w:val="ListParagraph"/>
        <w:numPr>
          <w:ilvl w:val="0"/>
          <w:numId w:val="1"/>
        </w:numPr>
        <w:ind w:left="426" w:hanging="426"/>
        <w:jc w:val="both"/>
        <w:rPr>
          <w:rFonts w:ascii="Avenir Next" w:hAnsi="Avenir Next" w:cs="Arial"/>
          <w:sz w:val="22"/>
          <w:szCs w:val="22"/>
          <w:highlight w:val="yellow"/>
          <w:lang w:val="en-GB"/>
        </w:rPr>
      </w:pPr>
      <w:r w:rsidRPr="00FF2800">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73535D">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w:t>
      </w:r>
      <w:proofErr w:type="spellStart"/>
      <w:r w:rsidRPr="00811079">
        <w:rPr>
          <w:rFonts w:ascii="Avenir Next" w:hAnsi="Avenir Next" w:cs="Arial"/>
          <w:sz w:val="22"/>
          <w:szCs w:val="22"/>
          <w:lang w:val="en-GB"/>
        </w:rPr>
        <w:t>MLCBI</w:t>
      </w:r>
      <w:proofErr w:type="spellEnd"/>
      <w:r w:rsidRPr="00811079">
        <w:rPr>
          <w:rFonts w:ascii="Avenir Next" w:hAnsi="Avenir Next" w:cs="Arial"/>
          <w:sz w:val="22"/>
          <w:szCs w:val="22"/>
          <w:lang w:val="en-GB"/>
        </w:rPr>
        <w:t>?</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73535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73535D">
      <w:pPr>
        <w:pStyle w:val="ListParagraph"/>
        <w:numPr>
          <w:ilvl w:val="0"/>
          <w:numId w:val="1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73535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73535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73535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73535D">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73535D">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73535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73535D">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7953DF" w:rsidRDefault="00AD0E59" w:rsidP="0073535D">
      <w:pPr>
        <w:pStyle w:val="ListParagraph"/>
        <w:numPr>
          <w:ilvl w:val="0"/>
          <w:numId w:val="10"/>
        </w:numPr>
        <w:ind w:left="426" w:hanging="426"/>
        <w:jc w:val="both"/>
        <w:rPr>
          <w:rFonts w:ascii="Avenir Next" w:hAnsi="Avenir Next" w:cs="Arial"/>
          <w:sz w:val="22"/>
          <w:szCs w:val="22"/>
          <w:highlight w:val="yellow"/>
          <w:lang w:val="en-GB"/>
        </w:rPr>
      </w:pPr>
      <w:proofErr w:type="gramStart"/>
      <w:r w:rsidRPr="007953DF">
        <w:rPr>
          <w:rFonts w:ascii="Avenir Next" w:hAnsi="Avenir Next" w:cs="Arial"/>
          <w:sz w:val="22"/>
          <w:szCs w:val="22"/>
          <w:highlight w:val="yellow"/>
          <w:lang w:val="en-GB"/>
        </w:rPr>
        <w:lastRenderedPageBreak/>
        <w:t>All of</w:t>
      </w:r>
      <w:proofErr w:type="gramEnd"/>
      <w:r w:rsidRPr="007953DF">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w:t>
      </w:r>
      <w:proofErr w:type="spellStart"/>
      <w:r>
        <w:rPr>
          <w:rFonts w:ascii="Avenir Next" w:hAnsi="Avenir Next" w:cs="Arial"/>
          <w:sz w:val="22"/>
          <w:szCs w:val="22"/>
          <w:lang w:val="en-GB"/>
        </w:rPr>
        <w:t>MLCBI</w:t>
      </w:r>
      <w:proofErr w:type="spellEnd"/>
      <w:r>
        <w:rPr>
          <w:rFonts w:ascii="Avenir Next" w:hAnsi="Avenir Next" w:cs="Arial"/>
          <w:sz w:val="22"/>
          <w:szCs w:val="22"/>
          <w:lang w:val="en-GB"/>
        </w:rPr>
        <w:t>?</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73535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 xml:space="preserve">It is legislation that imposes </w:t>
      </w:r>
      <w:proofErr w:type="gramStart"/>
      <w:r w:rsidRPr="00894D34">
        <w:rPr>
          <w:rFonts w:ascii="Avenir Next" w:hAnsi="Avenir Next"/>
          <w:sz w:val="22"/>
          <w:szCs w:val="28"/>
        </w:rPr>
        <w:t>a mandatory</w:t>
      </w:r>
      <w:proofErr w:type="gramEnd"/>
      <w:r w:rsidRPr="00894D34">
        <w:rPr>
          <w:rFonts w:ascii="Avenir Next" w:hAnsi="Avenir Next"/>
          <w:sz w:val="22"/>
          <w:szCs w:val="28"/>
        </w:rPr>
        <w:t xml:space="preserve">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Pr="007953DF" w:rsidRDefault="00893A03" w:rsidP="0073535D">
      <w:pPr>
        <w:pStyle w:val="ListParagraph"/>
        <w:numPr>
          <w:ilvl w:val="0"/>
          <w:numId w:val="12"/>
        </w:numPr>
        <w:ind w:left="426" w:hanging="426"/>
        <w:jc w:val="both"/>
        <w:rPr>
          <w:rFonts w:ascii="Avenir Next" w:hAnsi="Avenir Next"/>
          <w:sz w:val="22"/>
          <w:szCs w:val="28"/>
        </w:rPr>
      </w:pPr>
      <w:r w:rsidRPr="007953DF">
        <w:rPr>
          <w:rFonts w:ascii="Avenir Next" w:hAnsi="Avenir Next"/>
          <w:sz w:val="22"/>
          <w:szCs w:val="28"/>
        </w:rPr>
        <w:t>It is a legislative text that serves as a recommendation for incorporation in national laws.</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73535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73535D">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73535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73535D">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7953DF" w:rsidRDefault="00893A03" w:rsidP="0073535D">
      <w:pPr>
        <w:pStyle w:val="ListParagraph"/>
        <w:numPr>
          <w:ilvl w:val="0"/>
          <w:numId w:val="2"/>
        </w:numPr>
        <w:ind w:left="426" w:hanging="426"/>
        <w:jc w:val="both"/>
        <w:rPr>
          <w:rFonts w:ascii="Avenir Next" w:hAnsi="Avenir Next" w:cs="Arial"/>
          <w:sz w:val="22"/>
          <w:szCs w:val="22"/>
          <w:highlight w:val="yellow"/>
          <w:lang w:val="en-GB"/>
        </w:rPr>
      </w:pPr>
      <w:r w:rsidRPr="007953DF">
        <w:rPr>
          <w:rFonts w:ascii="Avenir Next" w:hAnsi="Avenir Next" w:cs="Arial"/>
          <w:sz w:val="22"/>
          <w:szCs w:val="22"/>
          <w:highlight w:val="yellow"/>
          <w:lang w:val="en-GB"/>
        </w:rPr>
        <w:t>Options (</w:t>
      </w:r>
      <w:proofErr w:type="spellStart"/>
      <w:r w:rsidRPr="007953DF">
        <w:rPr>
          <w:rFonts w:ascii="Avenir Next" w:hAnsi="Avenir Next" w:cs="Arial"/>
          <w:sz w:val="22"/>
          <w:szCs w:val="22"/>
          <w:highlight w:val="yellow"/>
          <w:lang w:val="en-GB"/>
        </w:rPr>
        <w:t>i</w:t>
      </w:r>
      <w:proofErr w:type="spellEnd"/>
      <w:r w:rsidRPr="007953DF">
        <w:rPr>
          <w:rFonts w:ascii="Avenir Next" w:hAnsi="Avenir Next" w:cs="Arial"/>
          <w:sz w:val="22"/>
          <w:szCs w:val="22"/>
          <w:highlight w:val="yellow"/>
          <w:lang w:val="en-GB"/>
        </w:rPr>
        <w:t xml:space="preserve">),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73535D">
      <w:pPr>
        <w:pStyle w:val="ListParagraph"/>
        <w:numPr>
          <w:ilvl w:val="0"/>
          <w:numId w:val="2"/>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w:t>
      </w:r>
      <w:proofErr w:type="spellStart"/>
      <w:r w:rsidRPr="00851204">
        <w:rPr>
          <w:rFonts w:ascii="Avenir Next" w:hAnsi="Avenir Next"/>
          <w:sz w:val="22"/>
          <w:szCs w:val="28"/>
          <w:lang w:val="en-GB"/>
        </w:rPr>
        <w:t>MLCBI</w:t>
      </w:r>
      <w:proofErr w:type="spellEnd"/>
      <w:r w:rsidRPr="00851204">
        <w:rPr>
          <w:rFonts w:ascii="Avenir Next" w:hAnsi="Avenir Next"/>
          <w:sz w:val="22"/>
          <w:szCs w:val="28"/>
          <w:lang w:val="en-GB"/>
        </w:rPr>
        <w:t>?</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73535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73535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73535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73535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73535D">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7953DF" w:rsidRDefault="00812AFE" w:rsidP="0073535D">
      <w:pPr>
        <w:pStyle w:val="ListParagraph"/>
        <w:numPr>
          <w:ilvl w:val="0"/>
          <w:numId w:val="3"/>
        </w:numPr>
        <w:ind w:left="426" w:hanging="426"/>
        <w:jc w:val="both"/>
        <w:rPr>
          <w:rFonts w:ascii="Avenir Next" w:hAnsi="Avenir Next" w:cs="Arial"/>
          <w:sz w:val="22"/>
          <w:szCs w:val="22"/>
          <w:highlight w:val="yellow"/>
          <w:lang w:val="en-GB"/>
        </w:rPr>
      </w:pPr>
      <w:r w:rsidRPr="007953DF">
        <w:rPr>
          <w:rFonts w:ascii="Avenir Next" w:hAnsi="Avenir Next" w:cs="Arial"/>
          <w:sz w:val="22"/>
          <w:szCs w:val="22"/>
          <w:highlight w:val="yellow"/>
          <w:lang w:val="en-GB"/>
        </w:rPr>
        <w:t>Options (</w:t>
      </w:r>
      <w:proofErr w:type="spellStart"/>
      <w:r w:rsidRPr="007953DF">
        <w:rPr>
          <w:rFonts w:ascii="Avenir Next" w:hAnsi="Avenir Next" w:cs="Arial"/>
          <w:sz w:val="22"/>
          <w:szCs w:val="22"/>
          <w:highlight w:val="yellow"/>
          <w:lang w:val="en-GB"/>
        </w:rPr>
        <w:t>i</w:t>
      </w:r>
      <w:proofErr w:type="spellEnd"/>
      <w:r w:rsidRPr="007953DF">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73535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73535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73535D">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73535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73535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73535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w:t>
      </w:r>
      <w:proofErr w:type="gramStart"/>
      <w:r w:rsidRPr="00217019">
        <w:rPr>
          <w:rFonts w:ascii="Avenir Next" w:hAnsi="Avenir Next"/>
          <w:sz w:val="22"/>
          <w:szCs w:val="28"/>
        </w:rPr>
        <w:t>is commenced</w:t>
      </w:r>
      <w:proofErr w:type="gramEnd"/>
      <w:r w:rsidRPr="00217019">
        <w:rPr>
          <w:rFonts w:ascii="Avenir Next" w:hAnsi="Avenir Next"/>
          <w:sz w:val="22"/>
          <w:szCs w:val="28"/>
        </w:rPr>
        <w:t xml:space="preserve">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73535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73535D">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E2622D" w:rsidRDefault="003220BA" w:rsidP="0073535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(ii)</w:t>
      </w:r>
      <w:r w:rsidRPr="00E2622D">
        <w:rPr>
          <w:rFonts w:ascii="Avenir Next" w:hAnsi="Avenir Next" w:cs="Arial"/>
          <w:sz w:val="22"/>
          <w:szCs w:val="22"/>
          <w:lang w:val="en-GB"/>
        </w:rPr>
        <w:t xml:space="preserve">.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73535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73535D">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EB67D1" w:rsidRDefault="003220BA" w:rsidP="0073535D">
      <w:pPr>
        <w:pStyle w:val="ListParagraph"/>
        <w:numPr>
          <w:ilvl w:val="0"/>
          <w:numId w:val="4"/>
        </w:numPr>
        <w:ind w:left="426" w:hanging="426"/>
        <w:jc w:val="both"/>
        <w:rPr>
          <w:rFonts w:ascii="Avenir Next" w:hAnsi="Avenir Next" w:cs="Arial"/>
          <w:sz w:val="22"/>
          <w:szCs w:val="22"/>
          <w:highlight w:val="yellow"/>
          <w:lang w:val="en-GB"/>
        </w:rPr>
      </w:pPr>
      <w:r w:rsidRPr="00EB67D1">
        <w:rPr>
          <w:rFonts w:ascii="Avenir Next" w:hAnsi="Avenir Next" w:cs="Arial"/>
          <w:sz w:val="22"/>
          <w:szCs w:val="22"/>
          <w:highlight w:val="yellow"/>
          <w:lang w:val="en-GB"/>
        </w:rPr>
        <w:t>Options (</w:t>
      </w:r>
      <w:proofErr w:type="spellStart"/>
      <w:r w:rsidRPr="00EB67D1">
        <w:rPr>
          <w:rFonts w:ascii="Avenir Next" w:hAnsi="Avenir Next" w:cs="Arial"/>
          <w:sz w:val="22"/>
          <w:szCs w:val="22"/>
          <w:highlight w:val="yellow"/>
          <w:lang w:val="en-GB"/>
        </w:rPr>
        <w:t>i</w:t>
      </w:r>
      <w:proofErr w:type="spellEnd"/>
      <w:r w:rsidRPr="00EB67D1">
        <w:rPr>
          <w:rFonts w:ascii="Avenir Next" w:hAnsi="Avenir Next" w:cs="Arial"/>
          <w:sz w:val="22"/>
          <w:szCs w:val="22"/>
          <w:highlight w:val="yellow"/>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73535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73535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73535D">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73535D">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73535D">
      <w:pPr>
        <w:pStyle w:val="ListParagraph"/>
        <w:numPr>
          <w:ilvl w:val="0"/>
          <w:numId w:val="5"/>
        </w:numPr>
        <w:ind w:left="426" w:hanging="426"/>
        <w:jc w:val="both"/>
        <w:rPr>
          <w:rFonts w:ascii="Avenir Next" w:hAnsi="Avenir Next" w:cs="Arial"/>
          <w:sz w:val="22"/>
          <w:szCs w:val="22"/>
          <w:lang w:val="en-GB"/>
        </w:rPr>
      </w:pPr>
      <w:r w:rsidRPr="00EB67D1">
        <w:rPr>
          <w:rFonts w:ascii="Avenir Next" w:hAnsi="Avenir Next" w:cs="Arial"/>
          <w:sz w:val="22"/>
          <w:szCs w:val="22"/>
          <w:highlight w:val="yellow"/>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73535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73535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73535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73535D">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73535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9156AE" w:rsidRDefault="00F51EE5" w:rsidP="0073535D">
      <w:pPr>
        <w:pStyle w:val="ListParagraph"/>
        <w:numPr>
          <w:ilvl w:val="0"/>
          <w:numId w:val="6"/>
        </w:numPr>
        <w:ind w:left="426" w:hanging="426"/>
        <w:jc w:val="both"/>
        <w:rPr>
          <w:rFonts w:ascii="Avenir Next" w:hAnsi="Avenir Next" w:cs="Arial"/>
          <w:sz w:val="22"/>
          <w:szCs w:val="22"/>
          <w:highlight w:val="yellow"/>
          <w:lang w:val="en-GB"/>
        </w:rPr>
      </w:pPr>
      <w:r w:rsidRPr="009156AE">
        <w:rPr>
          <w:rFonts w:ascii="Avenir Next" w:hAnsi="Avenir Next" w:cs="Arial"/>
          <w:sz w:val="22"/>
          <w:szCs w:val="22"/>
          <w:highlight w:val="yellow"/>
          <w:lang w:val="en-GB"/>
        </w:rPr>
        <w:t>Options (</w:t>
      </w:r>
      <w:proofErr w:type="spellStart"/>
      <w:r w:rsidRPr="009156AE">
        <w:rPr>
          <w:rFonts w:ascii="Avenir Next" w:hAnsi="Avenir Next" w:cs="Arial"/>
          <w:sz w:val="22"/>
          <w:szCs w:val="22"/>
          <w:highlight w:val="yellow"/>
          <w:lang w:val="en-GB"/>
        </w:rPr>
        <w:t>i</w:t>
      </w:r>
      <w:proofErr w:type="spellEnd"/>
      <w:r w:rsidRPr="009156AE">
        <w:rPr>
          <w:rFonts w:ascii="Avenir Next" w:hAnsi="Avenir Next" w:cs="Arial"/>
          <w:sz w:val="22"/>
          <w:szCs w:val="22"/>
          <w:highlight w:val="yellow"/>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73535D">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73535D">
      <w:pPr>
        <w:pStyle w:val="ListParagraph"/>
        <w:numPr>
          <w:ilvl w:val="0"/>
          <w:numId w:val="6"/>
        </w:numPr>
        <w:ind w:left="426" w:hanging="426"/>
        <w:jc w:val="both"/>
        <w:rPr>
          <w:rFonts w:ascii="Avenir Next" w:hAnsi="Avenir Next" w:cs="Arial"/>
          <w:sz w:val="22"/>
          <w:szCs w:val="22"/>
          <w:lang w:val="en-GB"/>
        </w:rPr>
      </w:pPr>
      <w:proofErr w:type="gramStart"/>
      <w:r w:rsidRPr="00E2622D">
        <w:rPr>
          <w:rFonts w:ascii="Avenir Next" w:hAnsi="Avenir Next" w:cs="Arial"/>
          <w:sz w:val="22"/>
          <w:szCs w:val="22"/>
          <w:lang w:val="en-GB"/>
        </w:rPr>
        <w:t>All of</w:t>
      </w:r>
      <w:proofErr w:type="gramEnd"/>
      <w:r w:rsidRPr="00E2622D">
        <w:rPr>
          <w:rFonts w:ascii="Avenir Next" w:hAnsi="Avenir Next" w:cs="Arial"/>
          <w:sz w:val="22"/>
          <w:szCs w:val="22"/>
          <w:lang w:val="en-GB"/>
        </w:rPr>
        <w:t xml:space="preserve">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w:t>
      </w:r>
      <w:proofErr w:type="spellStart"/>
      <w:r w:rsidRPr="00832BB0">
        <w:rPr>
          <w:rFonts w:ascii="Avenir Next" w:hAnsi="Avenir Next"/>
          <w:sz w:val="22"/>
          <w:szCs w:val="28"/>
        </w:rPr>
        <w:t>MLCBI</w:t>
      </w:r>
      <w:proofErr w:type="spellEnd"/>
      <w:r w:rsidRPr="00832BB0">
        <w:rPr>
          <w:rFonts w:ascii="Avenir Next" w:hAnsi="Avenir Next"/>
          <w:sz w:val="22"/>
          <w:szCs w:val="28"/>
        </w:rPr>
        <w:t>?</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73535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 xml:space="preserve">COMI is a well-defined term in the </w:t>
      </w:r>
      <w:proofErr w:type="spellStart"/>
      <w:r w:rsidRPr="007742D6">
        <w:rPr>
          <w:rFonts w:ascii="Avenir Next" w:hAnsi="Avenir Next"/>
          <w:sz w:val="22"/>
          <w:szCs w:val="28"/>
        </w:rPr>
        <w:t>MLCBI</w:t>
      </w:r>
      <w:proofErr w:type="spellEnd"/>
      <w:r w:rsidRPr="007742D6">
        <w:rPr>
          <w:rFonts w:ascii="Avenir Next" w:hAnsi="Avenir Next"/>
          <w:sz w:val="22"/>
          <w:szCs w:val="28"/>
        </w:rPr>
        <w:t>.</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73535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73535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73535D">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73535D">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73535D">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965FEA" w:rsidRDefault="0097337E" w:rsidP="0073535D">
      <w:pPr>
        <w:pStyle w:val="ListParagraph"/>
        <w:numPr>
          <w:ilvl w:val="0"/>
          <w:numId w:val="7"/>
        </w:numPr>
        <w:ind w:left="426" w:hanging="426"/>
        <w:jc w:val="both"/>
        <w:rPr>
          <w:rFonts w:ascii="Avenir Next" w:hAnsi="Avenir Next" w:cs="Arial"/>
          <w:sz w:val="22"/>
          <w:szCs w:val="22"/>
          <w:highlight w:val="yellow"/>
          <w:lang w:val="en-GB"/>
        </w:rPr>
      </w:pPr>
      <w:proofErr w:type="gramStart"/>
      <w:r w:rsidRPr="00965FEA">
        <w:rPr>
          <w:rFonts w:ascii="Avenir Next" w:hAnsi="Avenir Next" w:cs="Arial"/>
          <w:sz w:val="22"/>
          <w:szCs w:val="22"/>
          <w:highlight w:val="yellow"/>
          <w:lang w:val="en-GB"/>
        </w:rPr>
        <w:t>All of</w:t>
      </w:r>
      <w:proofErr w:type="gramEnd"/>
      <w:r w:rsidRPr="00965FEA">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73535D">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73535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73535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73535D">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73535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73535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965FEA" w:rsidRDefault="009A58D1" w:rsidP="0073535D">
      <w:pPr>
        <w:pStyle w:val="ListParagraph"/>
        <w:numPr>
          <w:ilvl w:val="0"/>
          <w:numId w:val="8"/>
        </w:numPr>
        <w:ind w:left="426" w:hanging="426"/>
        <w:jc w:val="both"/>
        <w:rPr>
          <w:rFonts w:ascii="Avenir Next" w:hAnsi="Avenir Next" w:cs="Arial"/>
          <w:sz w:val="22"/>
          <w:szCs w:val="22"/>
          <w:highlight w:val="yellow"/>
          <w:lang w:val="en-GB"/>
        </w:rPr>
      </w:pPr>
      <w:r w:rsidRPr="00965FEA">
        <w:rPr>
          <w:rFonts w:ascii="Avenir Next" w:hAnsi="Avenir Next" w:cs="Arial"/>
          <w:sz w:val="22"/>
          <w:szCs w:val="22"/>
          <w:highlight w:val="yellow"/>
          <w:lang w:val="en-GB"/>
        </w:rPr>
        <w:t>Options (iii), (</w:t>
      </w:r>
      <w:proofErr w:type="spellStart"/>
      <w:r w:rsidRPr="00965FEA">
        <w:rPr>
          <w:rFonts w:ascii="Avenir Next" w:hAnsi="Avenir Next" w:cs="Arial"/>
          <w:sz w:val="22"/>
          <w:szCs w:val="22"/>
          <w:highlight w:val="yellow"/>
          <w:lang w:val="en-GB"/>
        </w:rPr>
        <w:t>i</w:t>
      </w:r>
      <w:proofErr w:type="spellEnd"/>
      <w:r w:rsidRPr="00965FEA">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73535D">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w:t>
      </w:r>
      <w:proofErr w:type="spellStart"/>
      <w:r w:rsidRPr="00574696">
        <w:rPr>
          <w:rFonts w:ascii="Avenir Next" w:hAnsi="Avenir Next"/>
          <w:sz w:val="22"/>
          <w:szCs w:val="28"/>
        </w:rPr>
        <w:t>MLCBI</w:t>
      </w:r>
      <w:proofErr w:type="spellEnd"/>
      <w:r w:rsidRPr="00574696">
        <w:rPr>
          <w:rFonts w:ascii="Avenir Next" w:hAnsi="Avenir Next"/>
          <w:sz w:val="22"/>
          <w:szCs w:val="28"/>
        </w:rPr>
        <w:t>?</w:t>
      </w:r>
    </w:p>
    <w:p w14:paraId="6A003A96" w14:textId="77777777" w:rsidR="00C4510C" w:rsidRDefault="00C4510C" w:rsidP="00C4510C">
      <w:pPr>
        <w:rPr>
          <w:rFonts w:ascii="Avenir Next" w:hAnsi="Avenir Next"/>
          <w:sz w:val="22"/>
          <w:szCs w:val="28"/>
        </w:rPr>
      </w:pPr>
    </w:p>
    <w:p w14:paraId="25D470C0" w14:textId="77777777" w:rsidR="00C4510C" w:rsidRDefault="00C4510C" w:rsidP="0073535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73535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73535D">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D0E04" w:rsidRDefault="00C4510C" w:rsidP="0073535D">
      <w:pPr>
        <w:pStyle w:val="ListParagraph"/>
        <w:numPr>
          <w:ilvl w:val="0"/>
          <w:numId w:val="9"/>
        </w:numPr>
        <w:ind w:left="426" w:hanging="426"/>
        <w:jc w:val="both"/>
        <w:rPr>
          <w:rFonts w:ascii="Avenir Next" w:hAnsi="Avenir Next" w:cs="Arial"/>
          <w:sz w:val="22"/>
          <w:szCs w:val="22"/>
          <w:highlight w:val="yellow"/>
          <w:lang w:val="en-GB"/>
        </w:rPr>
      </w:pPr>
      <w:r w:rsidRPr="00AD0E04">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 xml:space="preserve">What is the key distinction between the application of the </w:t>
      </w:r>
      <w:proofErr w:type="spellStart"/>
      <w:r w:rsidRPr="00B65B9F">
        <w:rPr>
          <w:rFonts w:ascii="Avenir Next" w:hAnsi="Avenir Next" w:cs="Arial"/>
          <w:sz w:val="22"/>
          <w:szCs w:val="22"/>
          <w:lang w:val="en-GB"/>
        </w:rPr>
        <w:t>MLCBI</w:t>
      </w:r>
      <w:proofErr w:type="spellEnd"/>
      <w:r w:rsidRPr="00B65B9F">
        <w:rPr>
          <w:rFonts w:ascii="Avenir Next" w:hAnsi="Avenir Next" w:cs="Arial"/>
          <w:sz w:val="22"/>
          <w:szCs w:val="22"/>
          <w:lang w:val="en-GB"/>
        </w:rPr>
        <w:t xml:space="preserve">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75EDA6AF" w:rsidR="00CB56CE" w:rsidRPr="00B77352" w:rsidRDefault="006E394C" w:rsidP="006E394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and the European Union (EU) Regulation on insolvency proceedings is that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is a “soft law” that can be taken as a recommendation and adopted in whole or in part into the domestic legislation of a State.  In contrast, the European (EU) Regulation on insolvency proceedings, the European Insolvency Regulation, directly became part of the domestic law of each EU Member State upon adoption.  A key benefit of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“soft law” format is that it is much less intrusive than other formats and allows each State to determine which aspects to adopt.  A disadvantage of the </w:t>
      </w:r>
      <w:proofErr w:type="spellStart"/>
      <w:r>
        <w:rPr>
          <w:rFonts w:ascii="Avenir Next" w:hAnsi="Avenir Next" w:cs="Arial"/>
          <w:color w:val="808080" w:themeColor="background1" w:themeShade="80"/>
          <w:sz w:val="22"/>
          <w:szCs w:val="22"/>
          <w:lang w:val="en-GB"/>
        </w:rPr>
        <w:t>MCLBI</w:t>
      </w:r>
      <w:proofErr w:type="spellEnd"/>
      <w:r>
        <w:rPr>
          <w:rFonts w:ascii="Avenir Next" w:hAnsi="Avenir Next" w:cs="Arial"/>
          <w:color w:val="808080" w:themeColor="background1" w:themeShade="80"/>
          <w:sz w:val="22"/>
          <w:szCs w:val="22"/>
          <w:lang w:val="en-GB"/>
        </w:rPr>
        <w:t xml:space="preserve"> “soft law” format is that it does not contain a requirement of reciprocity.  A key benefit of the EIR approach is that it creates complete uniformity among its adopters.  A disadvantage to the EIR approach is that it is very difficult and time consuming to get different states to agree on such a complete insolvency framework.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w:t>
      </w:r>
      <w:proofErr w:type="spellStart"/>
      <w:r w:rsidRPr="006D179E">
        <w:rPr>
          <w:rFonts w:ascii="Avenir Next" w:hAnsi="Avenir Next"/>
          <w:sz w:val="22"/>
          <w:szCs w:val="28"/>
          <w:lang w:val="en-GB"/>
        </w:rPr>
        <w:t>MLCBI</w:t>
      </w:r>
      <w:proofErr w:type="spellEnd"/>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4D0C8703" w:rsidR="00867A8F" w:rsidRPr="00B77352" w:rsidRDefault="008C0026" w:rsidP="008C00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using its discretionary power to grant post-recognition relief under Article 21 of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the court should primarily consider the following: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whether the interests of the local creditors in the enacting state are adequately protected; (ii) whether the requested relief relates to assets that, under the law of the enacting state, should be administered in the foreign non-main proceeding; (iii) whether </w:t>
      </w:r>
      <w:r>
        <w:rPr>
          <w:rFonts w:ascii="Avenir Next" w:hAnsi="Avenir Next" w:cs="Arial"/>
          <w:color w:val="808080" w:themeColor="background1" w:themeShade="80"/>
          <w:sz w:val="22"/>
          <w:szCs w:val="22"/>
          <w:lang w:val="en-GB"/>
        </w:rPr>
        <w:lastRenderedPageBreak/>
        <w:t>the requested relief concerns information required in the foreign proceeding; and (iv) whether the relief will improperly interfere with the administration of another insolvency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 xml:space="preserve">Article 13 of the </w:t>
      </w:r>
      <w:proofErr w:type="spellStart"/>
      <w:r w:rsidRPr="009C6CE3">
        <w:rPr>
          <w:rFonts w:ascii="Avenir Next" w:hAnsi="Avenir Next" w:cs="Arial"/>
          <w:sz w:val="22"/>
          <w:szCs w:val="28"/>
          <w:lang w:val="en-GB"/>
        </w:rPr>
        <w:t>MLCBI</w:t>
      </w:r>
      <w:proofErr w:type="spellEnd"/>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53706A5A" w:rsidR="00867A8F" w:rsidRPr="008C0026" w:rsidRDefault="008C0026" w:rsidP="008C0026">
      <w:pPr>
        <w:jc w:val="both"/>
        <w:rPr>
          <w:rFonts w:ascii="Avenir Next" w:hAnsi="Avenir Next" w:cs="Arial"/>
          <w:i/>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 of the </w:t>
      </w:r>
      <w:proofErr w:type="spellStart"/>
      <w:r>
        <w:rPr>
          <w:rFonts w:ascii="Avenir Next" w:hAnsi="Avenir Next" w:cs="Arial"/>
          <w:color w:val="808080" w:themeColor="background1" w:themeShade="80"/>
          <w:sz w:val="22"/>
          <w:szCs w:val="22"/>
          <w:lang w:val="en-GB"/>
        </w:rPr>
        <w:t>MLCBI</w:t>
      </w:r>
      <w:proofErr w:type="spellEnd"/>
      <w:r>
        <w:rPr>
          <w:rFonts w:ascii="Avenir Next" w:hAnsi="Avenir Next" w:cs="Arial"/>
          <w:color w:val="808080" w:themeColor="background1" w:themeShade="80"/>
          <w:sz w:val="22"/>
          <w:szCs w:val="22"/>
          <w:lang w:val="en-GB"/>
        </w:rPr>
        <w:t xml:space="preserve"> provides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protections to creditors in foreign proceedings. </w:t>
      </w:r>
      <w:proofErr w:type="gramStart"/>
      <w:r>
        <w:rPr>
          <w:rFonts w:ascii="Avenir Next" w:hAnsi="Avenir Next" w:cs="Arial"/>
          <w:color w:val="808080" w:themeColor="background1" w:themeShade="80"/>
          <w:sz w:val="22"/>
          <w:szCs w:val="22"/>
          <w:lang w:val="en-GB"/>
        </w:rPr>
        <w:t xml:space="preserve">In particular, </w:t>
      </w:r>
      <w:r w:rsidR="00644730">
        <w:rPr>
          <w:rFonts w:ascii="Avenir Next" w:hAnsi="Avenir Next" w:cs="Arial"/>
          <w:color w:val="808080" w:themeColor="background1" w:themeShade="80"/>
          <w:sz w:val="22"/>
          <w:szCs w:val="22"/>
          <w:lang w:val="en-GB"/>
        </w:rPr>
        <w:t>Article</w:t>
      </w:r>
      <w:proofErr w:type="gramEnd"/>
      <w:r w:rsidR="00644730">
        <w:rPr>
          <w:rFonts w:ascii="Avenir Next" w:hAnsi="Avenir Next" w:cs="Arial"/>
          <w:color w:val="808080" w:themeColor="background1" w:themeShade="80"/>
          <w:sz w:val="22"/>
          <w:szCs w:val="22"/>
          <w:lang w:val="en-GB"/>
        </w:rPr>
        <w:t xml:space="preserve"> 13 of the </w:t>
      </w:r>
      <w:proofErr w:type="spellStart"/>
      <w:r w:rsidR="00644730">
        <w:rPr>
          <w:rFonts w:ascii="Avenir Next" w:hAnsi="Avenir Next" w:cs="Arial"/>
          <w:color w:val="808080" w:themeColor="background1" w:themeShade="80"/>
          <w:sz w:val="22"/>
          <w:szCs w:val="22"/>
          <w:lang w:val="en-GB"/>
        </w:rPr>
        <w:t>MLCBI</w:t>
      </w:r>
      <w:proofErr w:type="spellEnd"/>
      <w:r w:rsidR="00644730">
        <w:rPr>
          <w:rFonts w:ascii="Avenir Next" w:hAnsi="Avenir Next" w:cs="Arial"/>
          <w:color w:val="808080" w:themeColor="background1" w:themeShade="80"/>
          <w:sz w:val="22"/>
          <w:szCs w:val="22"/>
          <w:lang w:val="en-GB"/>
        </w:rPr>
        <w:t xml:space="preserve"> provides foreign creditors with the same rights as creditors from the enacting state regarding the commencement of and participation in the local insolvency proceedings regarding the debtor under the insolvency law of the enacting state.  In addition, Article 13 of the </w:t>
      </w:r>
      <w:proofErr w:type="spellStart"/>
      <w:r w:rsidR="00644730">
        <w:rPr>
          <w:rFonts w:ascii="Avenir Next" w:hAnsi="Avenir Next" w:cs="Arial"/>
          <w:color w:val="808080" w:themeColor="background1" w:themeShade="80"/>
          <w:sz w:val="22"/>
          <w:szCs w:val="22"/>
          <w:lang w:val="en-GB"/>
        </w:rPr>
        <w:t>MLCBI</w:t>
      </w:r>
      <w:proofErr w:type="spellEnd"/>
      <w:r w:rsidR="00644730">
        <w:rPr>
          <w:rFonts w:ascii="Avenir Next" w:hAnsi="Avenir Next" w:cs="Arial"/>
          <w:color w:val="808080" w:themeColor="background1" w:themeShade="80"/>
          <w:sz w:val="22"/>
          <w:szCs w:val="22"/>
          <w:lang w:val="en-GB"/>
        </w:rPr>
        <w:t xml:space="preserve"> provides that the claim of a foreign creditor shall not be given a lower priority than that of a general unsecured creditor solely </w:t>
      </w:r>
      <w:proofErr w:type="gramStart"/>
      <w:r w:rsidR="00644730">
        <w:rPr>
          <w:rFonts w:ascii="Avenir Next" w:hAnsi="Avenir Next" w:cs="Arial"/>
          <w:color w:val="808080" w:themeColor="background1" w:themeShade="80"/>
          <w:sz w:val="22"/>
          <w:szCs w:val="22"/>
          <w:lang w:val="en-GB"/>
        </w:rPr>
        <w:t xml:space="preserve">due to the </w:t>
      </w:r>
      <w:r w:rsidR="00606F05">
        <w:rPr>
          <w:rFonts w:ascii="Avenir Next" w:hAnsi="Avenir Next" w:cs="Arial"/>
          <w:color w:val="808080" w:themeColor="background1" w:themeShade="80"/>
          <w:sz w:val="22"/>
          <w:szCs w:val="22"/>
          <w:lang w:val="en-GB"/>
        </w:rPr>
        <w:t>fact that</w:t>
      </w:r>
      <w:proofErr w:type="gramEnd"/>
      <w:r w:rsidR="00606F05">
        <w:rPr>
          <w:rFonts w:ascii="Avenir Next" w:hAnsi="Avenir Next" w:cs="Arial"/>
          <w:color w:val="808080" w:themeColor="background1" w:themeShade="80"/>
          <w:sz w:val="22"/>
          <w:szCs w:val="22"/>
          <w:lang w:val="en-GB"/>
        </w:rPr>
        <w:t xml:space="preserve"> the claim holder is a foreign creditor.</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8F91E21" w14:textId="0C95A54B" w:rsidR="00867A8F" w:rsidRDefault="00B64ACB" w:rsidP="00B64AC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Pr="00B64ACB">
        <w:rPr>
          <w:rFonts w:ascii="Avenir Next" w:hAnsi="Avenir Next" w:cs="Arial"/>
          <w:color w:val="808080" w:themeColor="background1" w:themeShade="80"/>
          <w:sz w:val="22"/>
          <w:szCs w:val="22"/>
          <w:lang w:val="en-GB"/>
        </w:rPr>
        <w:t xml:space="preserve"> key distinction with respect to the relief available in foreign main versus foreign non-main proceedings</w:t>
      </w:r>
      <w:r w:rsidR="006E394C">
        <w:rPr>
          <w:rFonts w:ascii="Avenir Next" w:hAnsi="Avenir Next" w:cs="Arial"/>
          <w:color w:val="808080" w:themeColor="background1" w:themeShade="80"/>
          <w:sz w:val="22"/>
          <w:szCs w:val="22"/>
          <w:lang w:val="en-GB"/>
        </w:rPr>
        <w:t xml:space="preserve"> is that foreign main insolvency proceedings are entitled to the following automatic mandatory relief in the enacting state: a stay of commencement or continuation of actions or proceedings in the enacting state concerning the debtor’s assets, rights, obligations or liabilities; a stay of execution against the debtor’s assets; and a suspension of the right to transfer, encumber, or dispose of assets of the debtor.   In contrast, foreign non-main insolvency proceedings do not have automatic relief but only discretionary post-recognition relief in the enacting state.</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085894" w14:textId="3B00BA06" w:rsidR="00D43594" w:rsidRDefault="00606F05" w:rsidP="00606F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the debtor’s COMI </w:t>
      </w:r>
      <w:proofErr w:type="gramStart"/>
      <w:r>
        <w:rPr>
          <w:rFonts w:ascii="Avenir Next" w:hAnsi="Avenir Next" w:cs="Arial"/>
          <w:color w:val="808080" w:themeColor="background1" w:themeShade="80"/>
          <w:sz w:val="22"/>
          <w:szCs w:val="22"/>
          <w:lang w:val="en-GB"/>
        </w:rPr>
        <w:t>is located in</w:t>
      </w:r>
      <w:proofErr w:type="gramEnd"/>
      <w:r>
        <w:rPr>
          <w:rFonts w:ascii="Avenir Next" w:hAnsi="Avenir Next" w:cs="Arial"/>
          <w:color w:val="808080" w:themeColor="background1" w:themeShade="80"/>
          <w:sz w:val="22"/>
          <w:szCs w:val="22"/>
          <w:lang w:val="en-GB"/>
        </w:rPr>
        <w:t xml:space="preserve"> Germany, the appropriate jurisdiction for the foreign main proceeding is Germany under the Model Law.  Accordingly, the foreign main proceeding must have been opened in Germany.</w:t>
      </w:r>
      <w:r w:rsidR="00D43594">
        <w:rPr>
          <w:rFonts w:ascii="Avenir Next" w:hAnsi="Avenir Next" w:cs="Arial"/>
          <w:color w:val="808080" w:themeColor="background1" w:themeShade="80"/>
          <w:sz w:val="22"/>
          <w:szCs w:val="22"/>
          <w:lang w:val="en-GB"/>
        </w:rPr>
        <w:t xml:space="preserve">  </w:t>
      </w:r>
      <w:r w:rsidR="00D43594">
        <w:rPr>
          <w:rFonts w:ascii="Avenir Next" w:hAnsi="Avenir Next" w:cs="Arial"/>
          <w:color w:val="808080" w:themeColor="background1" w:themeShade="80"/>
          <w:sz w:val="22"/>
          <w:szCs w:val="22"/>
          <w:lang w:val="en-GB"/>
        </w:rPr>
        <w:t xml:space="preserve">If the foreign main proceeding was not opened in Germany, the location of the debtor’s COMI, then the foreign main proceeding cannot be recognized as </w:t>
      </w:r>
      <w:r w:rsidR="00D43594">
        <w:rPr>
          <w:rFonts w:ascii="Avenir Next" w:hAnsi="Avenir Next" w:cs="Arial"/>
          <w:color w:val="808080" w:themeColor="background1" w:themeShade="80"/>
          <w:sz w:val="22"/>
          <w:szCs w:val="22"/>
          <w:lang w:val="en-GB"/>
        </w:rPr>
        <w:t xml:space="preserve">a foreign proceeding for the purposes of the Model Code.  </w:t>
      </w:r>
      <w:r>
        <w:rPr>
          <w:rFonts w:ascii="Avenir Next" w:hAnsi="Avenir Next" w:cs="Arial"/>
          <w:color w:val="808080" w:themeColor="background1" w:themeShade="80"/>
          <w:sz w:val="22"/>
          <w:szCs w:val="22"/>
          <w:lang w:val="en-GB"/>
        </w:rPr>
        <w:t>Since the debtor has an establishment in Bermuda, Bermuda is an appropriate jurisdiction for the foreign non-main proceeding under the Model Law and was presumably opened in Bermuda.</w:t>
      </w:r>
    </w:p>
    <w:p w14:paraId="41692112" w14:textId="77777777" w:rsidR="00D43594" w:rsidRDefault="00D43594" w:rsidP="00606F05">
      <w:pPr>
        <w:jc w:val="both"/>
        <w:rPr>
          <w:rFonts w:ascii="Avenir Next" w:hAnsi="Avenir Next" w:cs="Arial"/>
          <w:color w:val="808080" w:themeColor="background1" w:themeShade="80"/>
          <w:sz w:val="22"/>
          <w:szCs w:val="22"/>
          <w:lang w:val="en-GB"/>
        </w:rPr>
      </w:pPr>
    </w:p>
    <w:p w14:paraId="08475351" w14:textId="5CF22D06" w:rsidR="00867A8F" w:rsidRPr="00B77352" w:rsidRDefault="00D43594" w:rsidP="00606F0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is not clear but, </w:t>
      </w:r>
      <w:proofErr w:type="gramStart"/>
      <w:r>
        <w:rPr>
          <w:rFonts w:ascii="Avenir Next" w:hAnsi="Avenir Next" w:cs="Arial"/>
          <w:color w:val="808080" w:themeColor="background1" w:themeShade="80"/>
          <w:sz w:val="22"/>
          <w:szCs w:val="22"/>
          <w:lang w:val="en-GB"/>
        </w:rPr>
        <w:t>assuming that</w:t>
      </w:r>
      <w:proofErr w:type="gramEnd"/>
      <w:r>
        <w:rPr>
          <w:rFonts w:ascii="Avenir Next" w:hAnsi="Avenir Next" w:cs="Arial"/>
          <w:color w:val="808080" w:themeColor="background1" w:themeShade="80"/>
          <w:sz w:val="22"/>
          <w:szCs w:val="22"/>
          <w:lang w:val="en-GB"/>
        </w:rPr>
        <w:t xml:space="preserve"> the debtor does not have at least an establishment in the United States, the foreign proceeding</w:t>
      </w:r>
      <w:r w:rsidR="00515D9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cannot be recognized as foreign proceeding</w:t>
      </w:r>
      <w:r w:rsidR="00515D9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under the Model Law</w:t>
      </w:r>
      <w:r w:rsidR="00EA6E6F">
        <w:rPr>
          <w:rFonts w:ascii="Avenir Next" w:hAnsi="Avenir Next" w:cs="Arial"/>
          <w:color w:val="808080" w:themeColor="background1" w:themeShade="80"/>
          <w:sz w:val="22"/>
          <w:szCs w:val="22"/>
          <w:lang w:val="en-GB"/>
        </w:rPr>
        <w:t xml:space="preserve"> </w:t>
      </w:r>
      <w:r w:rsidR="00515D98">
        <w:rPr>
          <w:rFonts w:ascii="Avenir Next" w:hAnsi="Avenir Next" w:cs="Arial"/>
          <w:color w:val="808080" w:themeColor="background1" w:themeShade="80"/>
          <w:sz w:val="22"/>
          <w:szCs w:val="22"/>
          <w:lang w:val="en-GB"/>
        </w:rPr>
        <w:t xml:space="preserve">in the United States </w:t>
      </w:r>
      <w:r w:rsidR="00EA6E6F">
        <w:rPr>
          <w:rFonts w:ascii="Avenir Next" w:hAnsi="Avenir Next" w:cs="Arial"/>
          <w:color w:val="808080" w:themeColor="background1" w:themeShade="80"/>
          <w:sz w:val="22"/>
          <w:szCs w:val="22"/>
          <w:lang w:val="en-GB"/>
        </w:rPr>
        <w:t xml:space="preserve">and the debtor would have to open a separate insolvency proceeding in the </w:t>
      </w:r>
      <w:proofErr w:type="spellStart"/>
      <w:r w:rsidR="00EA6E6F">
        <w:rPr>
          <w:rFonts w:ascii="Avenir Next" w:hAnsi="Avenir Next" w:cs="Arial"/>
          <w:color w:val="808080" w:themeColor="background1" w:themeShade="80"/>
          <w:sz w:val="22"/>
          <w:szCs w:val="22"/>
          <w:lang w:val="en-GB"/>
        </w:rPr>
        <w:t>Untied</w:t>
      </w:r>
      <w:proofErr w:type="spellEnd"/>
      <w:r w:rsidR="00EA6E6F">
        <w:rPr>
          <w:rFonts w:ascii="Avenir Next" w:hAnsi="Avenir Next" w:cs="Arial"/>
          <w:color w:val="808080" w:themeColor="background1" w:themeShade="80"/>
          <w:sz w:val="22"/>
          <w:szCs w:val="22"/>
          <w:lang w:val="en-GB"/>
        </w:rPr>
        <w:t xml:space="preserve"> States, if possible.</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lastRenderedPageBreak/>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37CDFF" w14:textId="036A149F" w:rsidR="00867A8F" w:rsidRPr="00B77352" w:rsidRDefault="00F02DA4" w:rsidP="00F02D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joint provisional liquidators will likely be recognized as a foreign representative for the purposes of the recognitions proceeding. </w:t>
      </w:r>
      <w:r w:rsidR="00515D98">
        <w:rPr>
          <w:rFonts w:ascii="Avenir Next" w:hAnsi="Avenir Next" w:cs="Arial"/>
          <w:color w:val="808080" w:themeColor="background1" w:themeShade="80"/>
          <w:sz w:val="22"/>
          <w:szCs w:val="22"/>
          <w:lang w:val="en-GB"/>
        </w:rPr>
        <w:t xml:space="preserve"> Therefore, the joint provisional liquidators can argue that the </w:t>
      </w:r>
      <w:r w:rsidR="00651E96">
        <w:rPr>
          <w:rFonts w:ascii="Avenir Next" w:hAnsi="Avenir Next" w:cs="Arial"/>
          <w:color w:val="808080" w:themeColor="background1" w:themeShade="80"/>
          <w:sz w:val="22"/>
          <w:szCs w:val="22"/>
          <w:lang w:val="en-GB"/>
        </w:rPr>
        <w:t xml:space="preserve">United States court does not have jurisdiction over them pursuant to Article 10 of the Model Law which provides that </w:t>
      </w:r>
      <w:proofErr w:type="gramStart"/>
      <w:r w:rsidR="00651E96">
        <w:rPr>
          <w:rFonts w:ascii="Avenir Next" w:hAnsi="Avenir Next" w:cs="Arial"/>
          <w:color w:val="808080" w:themeColor="background1" w:themeShade="80"/>
          <w:sz w:val="22"/>
          <w:szCs w:val="22"/>
          <w:lang w:val="en-GB"/>
        </w:rPr>
        <w:t>submitting an application</w:t>
      </w:r>
      <w:proofErr w:type="gramEnd"/>
      <w:r w:rsidR="00651E96">
        <w:rPr>
          <w:rFonts w:ascii="Avenir Next" w:hAnsi="Avenir Next" w:cs="Arial"/>
          <w:color w:val="808080" w:themeColor="background1" w:themeShade="80"/>
          <w:sz w:val="22"/>
          <w:szCs w:val="22"/>
          <w:lang w:val="en-GB"/>
        </w:rPr>
        <w:t xml:space="preserve"> for recognition alone is not sufficient to establish jurisdiction over the foreign representative with regard to matter unrelated to the insolvency.</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4A0E319B" w14:textId="672E91F1" w:rsidR="00867A8F" w:rsidRPr="00F31EE9" w:rsidRDefault="00CD42D9" w:rsidP="00CD42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can seek interim relief prior to the recognition decision by filing an application with the U.S. court </w:t>
      </w:r>
      <w:r w:rsidR="00794CDC">
        <w:rPr>
          <w:rFonts w:ascii="Avenir Next" w:hAnsi="Avenir Next" w:cs="Arial"/>
          <w:color w:val="808080" w:themeColor="background1" w:themeShade="80"/>
          <w:sz w:val="22"/>
          <w:szCs w:val="22"/>
          <w:lang w:val="en-GB"/>
        </w:rPr>
        <w:t xml:space="preserve">where the recognition hearing </w:t>
      </w:r>
      <w:r>
        <w:rPr>
          <w:rFonts w:ascii="Avenir Next" w:hAnsi="Avenir Next" w:cs="Arial"/>
          <w:color w:val="808080" w:themeColor="background1" w:themeShade="80"/>
          <w:sz w:val="22"/>
          <w:szCs w:val="22"/>
          <w:lang w:val="en-GB"/>
        </w:rPr>
        <w:t>is set to be held, as set forth in Article 19 of the Model Law.  The foreign representative will have to establish that the relief is necessary to protect the assets of the debtor and that the interests of the debtor’s creditors and other interested parties will be adequately protected.</w:t>
      </w:r>
      <w:r w:rsidR="004622CD">
        <w:rPr>
          <w:rFonts w:ascii="Avenir Next" w:hAnsi="Avenir Next" w:cs="Arial"/>
          <w:color w:val="808080" w:themeColor="background1" w:themeShade="80"/>
          <w:sz w:val="22"/>
          <w:szCs w:val="22"/>
          <w:lang w:val="en-GB"/>
        </w:rPr>
        <w:t xml:space="preserve">  Accordingly, the foreign representative should seek the imposition of an interim stay, pending the entry of the recognition decision, </w:t>
      </w:r>
      <w:proofErr w:type="gramStart"/>
      <w:r w:rsidR="004622CD">
        <w:rPr>
          <w:rFonts w:ascii="Avenir Next" w:hAnsi="Avenir Next" w:cs="Arial"/>
          <w:color w:val="808080" w:themeColor="background1" w:themeShade="80"/>
          <w:sz w:val="22"/>
          <w:szCs w:val="22"/>
          <w:lang w:val="en-GB"/>
        </w:rPr>
        <w:t>in order to</w:t>
      </w:r>
      <w:proofErr w:type="gramEnd"/>
      <w:r w:rsidR="004622CD">
        <w:rPr>
          <w:rFonts w:ascii="Avenir Next" w:hAnsi="Avenir Next" w:cs="Arial"/>
          <w:color w:val="808080" w:themeColor="background1" w:themeShade="80"/>
          <w:sz w:val="22"/>
          <w:szCs w:val="22"/>
          <w:lang w:val="en-GB"/>
        </w:rPr>
        <w:t xml:space="preserve"> stay any attempts by the non-debtor parties to the leases and the intellectual property licenses from declaring default on any of the leases and licenses and trying to thus terminate any of the leases or licenses. </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3AD8A62F" w14:textId="77777777" w:rsidR="00B85F7A" w:rsidRDefault="00AE2652" w:rsidP="00AE2652">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the event that</w:t>
      </w:r>
      <w:proofErr w:type="gramEnd"/>
      <w:r>
        <w:rPr>
          <w:rFonts w:ascii="Avenir Next" w:hAnsi="Avenir Next" w:cs="Arial"/>
          <w:color w:val="808080" w:themeColor="background1" w:themeShade="80"/>
          <w:sz w:val="22"/>
          <w:szCs w:val="22"/>
          <w:lang w:val="en-GB"/>
        </w:rPr>
        <w:t xml:space="preserve"> the foreign representative’s petition for recognition of a foreign proceeding as the foreign main proceeding is denied by the insolvency court considering the petition, the foreign representative could </w:t>
      </w:r>
      <w:r w:rsidR="00B85F7A">
        <w:rPr>
          <w:rFonts w:ascii="Avenir Next" w:hAnsi="Avenir Next" w:cs="Arial"/>
          <w:color w:val="808080" w:themeColor="background1" w:themeShade="80"/>
          <w:sz w:val="22"/>
          <w:szCs w:val="22"/>
          <w:lang w:val="en-GB"/>
        </w:rPr>
        <w:t>request that recognition decision be reviewed pursuant to Article 23 of the Model Law.  However, given the fact that the factors determining the debtor’s COMI would not seem to establish that the proceeding in Country A is the foreign main proceeding and that no facts have changed since the denial of the recognition petition, it is unlikely that a review would result in a different outcome.</w:t>
      </w:r>
    </w:p>
    <w:p w14:paraId="66238A17" w14:textId="77777777" w:rsidR="00B85F7A" w:rsidRDefault="00B85F7A" w:rsidP="00AE2652">
      <w:pPr>
        <w:jc w:val="both"/>
        <w:rPr>
          <w:rFonts w:ascii="Avenir Next" w:hAnsi="Avenir Next" w:cs="Arial"/>
          <w:color w:val="808080" w:themeColor="background1" w:themeShade="80"/>
          <w:sz w:val="22"/>
          <w:szCs w:val="22"/>
          <w:lang w:val="en-GB"/>
        </w:rPr>
      </w:pPr>
    </w:p>
    <w:p w14:paraId="4F72E515" w14:textId="77777777" w:rsidR="006C7335" w:rsidRDefault="00B85F7A" w:rsidP="00B85F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Accordingly, the foreign representative should determine where the debtor’s COMI is located by determining the location where the central administration of the debtor takes place which can be readily ascertainable as such by the debtor’s creditors.  In doing so, the foreign representative should consider the following factors: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location of the debtor’s books and records; (ii) the location where </w:t>
      </w:r>
      <w:r>
        <w:rPr>
          <w:rFonts w:ascii="Avenir Next" w:hAnsi="Avenir Next" w:cs="Arial"/>
          <w:color w:val="808080" w:themeColor="background1" w:themeShade="80"/>
          <w:sz w:val="22"/>
          <w:szCs w:val="22"/>
          <w:lang w:val="en-GB"/>
        </w:rPr>
        <w:lastRenderedPageBreak/>
        <w:t xml:space="preserve">the debtor’s financing was </w:t>
      </w:r>
      <w:r w:rsidR="006C7335">
        <w:rPr>
          <w:rFonts w:ascii="Avenir Next" w:hAnsi="Avenir Next" w:cs="Arial"/>
          <w:color w:val="808080" w:themeColor="background1" w:themeShade="80"/>
          <w:sz w:val="22"/>
          <w:szCs w:val="22"/>
          <w:lang w:val="en-GB"/>
        </w:rPr>
        <w:t>organized</w:t>
      </w:r>
      <w:r>
        <w:rPr>
          <w:rFonts w:ascii="Avenir Next" w:hAnsi="Avenir Next" w:cs="Arial"/>
          <w:color w:val="808080" w:themeColor="background1" w:themeShade="80"/>
          <w:sz w:val="22"/>
          <w:szCs w:val="22"/>
          <w:lang w:val="en-GB"/>
        </w:rPr>
        <w:t xml:space="preserve"> and authorized</w:t>
      </w:r>
      <w:r w:rsidR="006C7335">
        <w:rPr>
          <w:rFonts w:ascii="Avenir Next" w:hAnsi="Avenir Next" w:cs="Arial"/>
          <w:color w:val="808080" w:themeColor="background1" w:themeShade="80"/>
          <w:sz w:val="22"/>
          <w:szCs w:val="22"/>
          <w:lang w:val="en-GB"/>
        </w:rPr>
        <w:t>; (iii) the location where the debtor’s principal assets and operations are located; (iv) the location where the debtor’s primary bank is located; (v) the location where the debtor’s employees are located; (vi) the jurisdiction governing the debtor’s main contracts; (vii) the location from which the debtor’s policies and systems are managed; (viii) the location where the debtor’s supply contracts were organized; (ix) the jurisdiction whose laws would apply in most disputes; (x) the location where the debtor is subject to supervision or regulation; and (xi) the location whose law governs the preparation and audit of the debtor’s accounts.</w:t>
      </w:r>
    </w:p>
    <w:p w14:paraId="610EE63E" w14:textId="77777777" w:rsidR="006C7335" w:rsidRDefault="006C7335" w:rsidP="00B85F7A">
      <w:pPr>
        <w:jc w:val="both"/>
        <w:rPr>
          <w:rFonts w:ascii="Avenir Next" w:hAnsi="Avenir Next" w:cs="Arial"/>
          <w:color w:val="808080" w:themeColor="background1" w:themeShade="80"/>
          <w:sz w:val="22"/>
          <w:szCs w:val="22"/>
          <w:lang w:val="en-GB"/>
        </w:rPr>
      </w:pPr>
    </w:p>
    <w:p w14:paraId="2399A49E" w14:textId="44E62029" w:rsidR="006C7335" w:rsidRDefault="006C7335" w:rsidP="00B85F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COMI is determined, the foreign representative should arrange for an insolvency proceeding to be initiated in that jurisdiction.  Once initiated, the foreign representative should then submit another petition for recognition for the recognition of this foreign proceeding as th</w:t>
      </w:r>
      <w:r w:rsidR="001D2F15">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 xml:space="preserve"> foreign </w:t>
      </w:r>
      <w:r w:rsidR="001D2F15">
        <w:rPr>
          <w:rFonts w:ascii="Avenir Next" w:hAnsi="Avenir Next" w:cs="Arial"/>
          <w:color w:val="808080" w:themeColor="background1" w:themeShade="80"/>
          <w:sz w:val="22"/>
          <w:szCs w:val="22"/>
          <w:lang w:val="en-GB"/>
        </w:rPr>
        <w:t xml:space="preserve">main </w:t>
      </w:r>
      <w:r>
        <w:rPr>
          <w:rFonts w:ascii="Avenir Next" w:hAnsi="Avenir Next" w:cs="Arial"/>
          <w:color w:val="808080" w:themeColor="background1" w:themeShade="80"/>
          <w:sz w:val="22"/>
          <w:szCs w:val="22"/>
          <w:lang w:val="en-GB"/>
        </w:rPr>
        <w:t>proceeding.</w:t>
      </w:r>
    </w:p>
    <w:p w14:paraId="1CCAF67F" w14:textId="77777777" w:rsidR="006C7335" w:rsidRDefault="006C7335" w:rsidP="00B85F7A">
      <w:pPr>
        <w:jc w:val="both"/>
        <w:rPr>
          <w:rFonts w:ascii="Avenir Next" w:hAnsi="Avenir Next" w:cs="Arial"/>
          <w:color w:val="808080" w:themeColor="background1" w:themeShade="80"/>
          <w:sz w:val="22"/>
          <w:szCs w:val="22"/>
          <w:lang w:val="en-GB"/>
        </w:rPr>
      </w:pPr>
    </w:p>
    <w:p w14:paraId="7BD4C59B" w14:textId="7E9ED1D8" w:rsidR="00B85F7A" w:rsidRPr="00B77352" w:rsidRDefault="006C7335" w:rsidP="00B85F7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Likewise, the foreign representative should have taken the same steps at the outset</w:t>
      </w:r>
      <w:r w:rsidR="001D2F15">
        <w:rPr>
          <w:rFonts w:ascii="Avenir Next" w:hAnsi="Avenir Next" w:cs="Arial"/>
          <w:color w:val="808080" w:themeColor="background1" w:themeShade="80"/>
          <w:sz w:val="22"/>
          <w:szCs w:val="22"/>
          <w:lang w:val="en-GB"/>
        </w:rPr>
        <w:t>: determining where the debtor’s COMI is located, arranging for an insolvency proceeding to be initiated in that jurisdiction, and then submitting a petition in Country B for the recognition of this foreign proceeding as the foreign main proceeding.</w:t>
      </w:r>
    </w:p>
    <w:p w14:paraId="55D111B1" w14:textId="2CADC152" w:rsidR="00867A8F" w:rsidRPr="00B77352" w:rsidRDefault="00B85F7A" w:rsidP="00AE26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w:t>
      </w:r>
      <w:proofErr w:type="gramStart"/>
      <w:r w:rsidRPr="00E61F6E">
        <w:rPr>
          <w:rFonts w:ascii="Avenir Next" w:hAnsi="Avenir Next"/>
          <w:sz w:val="22"/>
          <w:szCs w:val="28"/>
        </w:rPr>
        <w:t>physically</w:t>
      </w:r>
      <w:proofErr w:type="gramEnd"/>
      <w:r w:rsidRPr="00E61F6E">
        <w:rPr>
          <w:rFonts w:ascii="Avenir Next" w:hAnsi="Avenir Next"/>
          <w:sz w:val="22"/>
          <w:szCs w:val="28"/>
        </w:rPr>
        <w:t xml:space="preserve">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Globe Holdings has no business operations of its own. The business is carried out through its non-insurance company non-debtor subsidiaries that are all incorporated under </w:t>
      </w:r>
      <w:proofErr w:type="gramStart"/>
      <w:r w:rsidRPr="00E61F6E">
        <w:rPr>
          <w:rFonts w:ascii="Avenir Next" w:hAnsi="Avenir Next"/>
          <w:sz w:val="22"/>
          <w:szCs w:val="28"/>
        </w:rPr>
        <w:t>the US</w:t>
      </w:r>
      <w:proofErr w:type="gramEnd"/>
      <w:r w:rsidRPr="00E61F6E">
        <w:rPr>
          <w:rFonts w:ascii="Avenir Next" w:hAnsi="Avenir Next"/>
          <w:sz w:val="22"/>
          <w:szCs w:val="28"/>
        </w:rPr>
        <w:t xml:space="preserve">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lastRenderedPageBreak/>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w:t>
      </w:r>
      <w:proofErr w:type="gramStart"/>
      <w:r>
        <w:rPr>
          <w:rFonts w:ascii="Avenir Next" w:hAnsi="Avenir Next"/>
          <w:sz w:val="22"/>
          <w:szCs w:val="28"/>
        </w:rPr>
        <w:t>litigation was</w:t>
      </w:r>
      <w:proofErr w:type="gramEnd"/>
      <w:r>
        <w:rPr>
          <w:rFonts w:ascii="Avenir Next" w:hAnsi="Avenir Next"/>
          <w:sz w:val="22"/>
          <w:szCs w:val="28"/>
        </w:rPr>
        <w:t xml:space="preserve">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1B56302D" w:rsidR="009E3CA7" w:rsidRDefault="0071141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Dear client,</w:t>
      </w:r>
    </w:p>
    <w:p w14:paraId="3D90FCA4" w14:textId="77777777" w:rsidR="00711414" w:rsidRDefault="00711414" w:rsidP="009E3CA7">
      <w:pPr>
        <w:jc w:val="both"/>
        <w:rPr>
          <w:rFonts w:ascii="Avenir Next" w:hAnsi="Avenir Next"/>
          <w:color w:val="808080" w:themeColor="background1" w:themeShade="80"/>
          <w:sz w:val="22"/>
          <w:szCs w:val="28"/>
        </w:rPr>
      </w:pPr>
    </w:p>
    <w:p w14:paraId="6F9D8CC9" w14:textId="77777777" w:rsidR="00711414" w:rsidRDefault="0071141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Please find below an analysis of </w:t>
      </w:r>
      <w:r w:rsidRPr="00711414">
        <w:rPr>
          <w:rFonts w:ascii="Avenir Next" w:hAnsi="Avenir Next"/>
          <w:color w:val="808080" w:themeColor="background1" w:themeShade="80"/>
          <w:sz w:val="22"/>
          <w:szCs w:val="28"/>
        </w:rPr>
        <w:t>key filing strateg</w:t>
      </w:r>
      <w:r>
        <w:rPr>
          <w:rFonts w:ascii="Avenir Next" w:hAnsi="Avenir Next"/>
          <w:color w:val="808080" w:themeColor="background1" w:themeShade="80"/>
          <w:sz w:val="22"/>
          <w:szCs w:val="28"/>
        </w:rPr>
        <w:t>ies</w:t>
      </w:r>
      <w:r w:rsidRPr="00711414">
        <w:rPr>
          <w:rFonts w:ascii="Avenir Next" w:hAnsi="Avenir Next"/>
          <w:color w:val="808080" w:themeColor="background1" w:themeShade="80"/>
          <w:sz w:val="22"/>
          <w:szCs w:val="28"/>
        </w:rPr>
        <w:t xml:space="preserve"> to ensure a successful restructuring</w:t>
      </w:r>
      <w:r>
        <w:rPr>
          <w:rFonts w:ascii="Avenir Next" w:hAnsi="Avenir Next"/>
          <w:color w:val="808080" w:themeColor="background1" w:themeShade="80"/>
          <w:sz w:val="22"/>
          <w:szCs w:val="28"/>
        </w:rPr>
        <w:t xml:space="preserve"> of Globe Financial Holdings Inc. (“Globe”), </w:t>
      </w:r>
      <w:proofErr w:type="gramStart"/>
      <w:r>
        <w:rPr>
          <w:rFonts w:ascii="Avenir Next" w:hAnsi="Avenir Next"/>
          <w:color w:val="808080" w:themeColor="background1" w:themeShade="80"/>
          <w:sz w:val="22"/>
          <w:szCs w:val="28"/>
        </w:rPr>
        <w:t>in light of</w:t>
      </w:r>
      <w:proofErr w:type="gramEnd"/>
      <w:r>
        <w:rPr>
          <w:rFonts w:ascii="Avenir Next" w:hAnsi="Avenir Next"/>
          <w:color w:val="808080" w:themeColor="background1" w:themeShade="80"/>
          <w:sz w:val="22"/>
          <w:szCs w:val="28"/>
        </w:rPr>
        <w:t xml:space="preserve"> the recent order from the Cayman court sanctioning Globe’s scheme of arrangement (the “Scheme”).  </w:t>
      </w:r>
    </w:p>
    <w:p w14:paraId="4C450DEC" w14:textId="77777777" w:rsidR="00651E96" w:rsidRDefault="00651E96" w:rsidP="009E3CA7">
      <w:pPr>
        <w:jc w:val="both"/>
        <w:rPr>
          <w:rFonts w:ascii="Avenir Next" w:hAnsi="Avenir Next"/>
          <w:color w:val="808080" w:themeColor="background1" w:themeShade="80"/>
          <w:sz w:val="22"/>
          <w:szCs w:val="28"/>
        </w:rPr>
      </w:pPr>
    </w:p>
    <w:p w14:paraId="37FF6F1B" w14:textId="77777777" w:rsidR="00711414" w:rsidRDefault="0071141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first step that should be taken is the initiation of a proceeding in the  United States under Chapter 15 of the United States Bankruptcy Code, </w:t>
      </w:r>
      <w:bookmarkStart w:id="5" w:name="_Hlk159949569"/>
      <w:r>
        <w:rPr>
          <w:rFonts w:ascii="Avenir Next" w:hAnsi="Avenir Next"/>
          <w:color w:val="808080" w:themeColor="background1" w:themeShade="80"/>
          <w:sz w:val="22"/>
          <w:szCs w:val="28"/>
        </w:rPr>
        <w:t>recognizing the Cayman Islands Scheme as the foreign main proceeding of Globe</w:t>
      </w:r>
      <w:bookmarkEnd w:id="5"/>
      <w:r>
        <w:rPr>
          <w:rFonts w:ascii="Avenir Next" w:hAnsi="Avenir Next"/>
          <w:color w:val="808080" w:themeColor="background1" w:themeShade="80"/>
          <w:sz w:val="22"/>
          <w:szCs w:val="28"/>
        </w:rPr>
        <w:t xml:space="preserve">.  Given the fact that Globe’s headquarters </w:t>
      </w:r>
      <w:proofErr w:type="gramStart"/>
      <w:r>
        <w:rPr>
          <w:rFonts w:ascii="Avenir Next" w:hAnsi="Avenir Next"/>
          <w:color w:val="808080" w:themeColor="background1" w:themeShade="80"/>
          <w:sz w:val="22"/>
          <w:szCs w:val="28"/>
        </w:rPr>
        <w:t>are located in</w:t>
      </w:r>
      <w:proofErr w:type="gramEnd"/>
      <w:r>
        <w:rPr>
          <w:rFonts w:ascii="Avenir Next" w:hAnsi="Avenir Next"/>
          <w:color w:val="808080" w:themeColor="background1" w:themeShade="80"/>
          <w:sz w:val="22"/>
          <w:szCs w:val="28"/>
        </w:rPr>
        <w:t xml:space="preserve"> New York, the United States Bankruptcy Court in New York would be the proper jurisdiction to file the Chapter 15 proceeding.</w:t>
      </w:r>
    </w:p>
    <w:p w14:paraId="4CF3AA91" w14:textId="77777777" w:rsidR="00711414" w:rsidRDefault="00711414" w:rsidP="009E3CA7">
      <w:pPr>
        <w:jc w:val="both"/>
        <w:rPr>
          <w:rFonts w:ascii="Avenir Next" w:hAnsi="Avenir Next"/>
          <w:color w:val="808080" w:themeColor="background1" w:themeShade="80"/>
          <w:sz w:val="22"/>
          <w:szCs w:val="28"/>
        </w:rPr>
      </w:pPr>
    </w:p>
    <w:p w14:paraId="5287495D" w14:textId="77777777" w:rsidR="00385BEF" w:rsidRDefault="0071141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Upon analysis, it appears likely that the United State Bankruptcy Court will recognize the Cayman Scheme as the </w:t>
      </w:r>
      <w:r>
        <w:rPr>
          <w:rFonts w:ascii="Avenir Next" w:hAnsi="Avenir Next"/>
          <w:color w:val="808080" w:themeColor="background1" w:themeShade="80"/>
          <w:sz w:val="22"/>
          <w:szCs w:val="28"/>
        </w:rPr>
        <w:t>foreign main proceeding of Globe</w:t>
      </w:r>
      <w:r w:rsidR="00AD1876">
        <w:rPr>
          <w:rFonts w:ascii="Avenir Next" w:hAnsi="Avenir Next"/>
          <w:color w:val="808080" w:themeColor="background1" w:themeShade="80"/>
          <w:sz w:val="22"/>
          <w:szCs w:val="28"/>
        </w:rPr>
        <w:t xml:space="preserve"> because a strong case can be made that Globe has the center of its main interests </w:t>
      </w:r>
      <w:r w:rsidR="00385BEF">
        <w:rPr>
          <w:rFonts w:ascii="Avenir Next" w:hAnsi="Avenir Next"/>
          <w:color w:val="808080" w:themeColor="background1" w:themeShade="80"/>
          <w:sz w:val="22"/>
          <w:szCs w:val="28"/>
        </w:rPr>
        <w:t xml:space="preserve">(“COMI”) </w:t>
      </w:r>
      <w:r w:rsidR="00AD1876">
        <w:rPr>
          <w:rFonts w:ascii="Avenir Next" w:hAnsi="Avenir Next"/>
          <w:color w:val="808080" w:themeColor="background1" w:themeShade="80"/>
          <w:sz w:val="22"/>
          <w:szCs w:val="28"/>
        </w:rPr>
        <w:t>in the Cayman Islands.</w:t>
      </w:r>
      <w:r>
        <w:rPr>
          <w:rFonts w:ascii="Avenir Next" w:hAnsi="Avenir Next"/>
          <w:color w:val="808080" w:themeColor="background1" w:themeShade="80"/>
          <w:sz w:val="22"/>
          <w:szCs w:val="28"/>
        </w:rPr>
        <w:t xml:space="preserve"> </w:t>
      </w:r>
      <w:r w:rsidR="00385BEF">
        <w:rPr>
          <w:rFonts w:ascii="Avenir Next" w:hAnsi="Avenir Next"/>
          <w:color w:val="808080" w:themeColor="background1" w:themeShade="80"/>
          <w:sz w:val="22"/>
          <w:szCs w:val="28"/>
        </w:rPr>
        <w:t xml:space="preserve"> The two main factors used to determine an entity’s COMI are: </w:t>
      </w:r>
      <w:bookmarkStart w:id="6" w:name="_Hlk159949093"/>
      <w:r w:rsidR="00385BEF">
        <w:rPr>
          <w:rFonts w:ascii="Avenir Next" w:hAnsi="Avenir Next"/>
          <w:color w:val="808080" w:themeColor="background1" w:themeShade="80"/>
          <w:sz w:val="22"/>
          <w:szCs w:val="28"/>
        </w:rPr>
        <w:t>(i) the location where the entity’s central administration takes place and (ii) whether such location is readily ascertainable as the entity’s COMI by the entity’s creditors</w:t>
      </w:r>
      <w:bookmarkEnd w:id="6"/>
      <w:r w:rsidR="00385BEF">
        <w:rPr>
          <w:rFonts w:ascii="Avenir Next" w:hAnsi="Avenir Next"/>
          <w:color w:val="808080" w:themeColor="background1" w:themeShade="80"/>
          <w:sz w:val="22"/>
          <w:szCs w:val="28"/>
        </w:rPr>
        <w:t xml:space="preserve">.  </w:t>
      </w:r>
    </w:p>
    <w:p w14:paraId="13403160" w14:textId="77777777" w:rsidR="00385BEF" w:rsidRDefault="00385BEF" w:rsidP="009E3CA7">
      <w:pPr>
        <w:jc w:val="both"/>
        <w:rPr>
          <w:rFonts w:ascii="Avenir Next" w:hAnsi="Avenir Next"/>
          <w:color w:val="808080" w:themeColor="background1" w:themeShade="80"/>
          <w:sz w:val="22"/>
          <w:szCs w:val="28"/>
        </w:rPr>
      </w:pPr>
    </w:p>
    <w:p w14:paraId="6B85E6E0" w14:textId="754253E3" w:rsidR="00711414" w:rsidRDefault="00385BEF"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order to determine whether the two above factors are met, courts </w:t>
      </w:r>
      <w:r w:rsidR="005F4E5F">
        <w:rPr>
          <w:rFonts w:ascii="Avenir Next" w:hAnsi="Avenir Next"/>
          <w:color w:val="808080" w:themeColor="background1" w:themeShade="80"/>
          <w:sz w:val="22"/>
          <w:szCs w:val="28"/>
        </w:rPr>
        <w:t xml:space="preserve">may </w:t>
      </w:r>
      <w:r>
        <w:rPr>
          <w:rFonts w:ascii="Avenir Next" w:hAnsi="Avenir Next"/>
          <w:color w:val="808080" w:themeColor="background1" w:themeShade="80"/>
          <w:sz w:val="22"/>
          <w:szCs w:val="28"/>
        </w:rPr>
        <w:t xml:space="preserve">look to sub-factors, including but not limited to the following: (i) the location of the entity’s books and records; (ii) the location where the </w:t>
      </w:r>
      <w:r>
        <w:rPr>
          <w:rFonts w:ascii="Avenir Next" w:hAnsi="Avenir Next"/>
          <w:color w:val="808080" w:themeColor="background1" w:themeShade="80"/>
          <w:sz w:val="22"/>
          <w:szCs w:val="28"/>
        </w:rPr>
        <w:t>entity’s</w:t>
      </w:r>
      <w:r>
        <w:rPr>
          <w:rFonts w:ascii="Avenir Next" w:hAnsi="Avenir Next"/>
          <w:color w:val="808080" w:themeColor="background1" w:themeShade="80"/>
          <w:sz w:val="22"/>
          <w:szCs w:val="28"/>
        </w:rPr>
        <w:t xml:space="preserve"> financing was organized or authorized; (iii) the location </w:t>
      </w:r>
      <w:r w:rsidR="00E40E69">
        <w:rPr>
          <w:rFonts w:ascii="Avenir Next" w:hAnsi="Avenir Next"/>
          <w:color w:val="808080" w:themeColor="background1" w:themeShade="80"/>
          <w:sz w:val="22"/>
          <w:szCs w:val="28"/>
        </w:rPr>
        <w:t xml:space="preserve">from where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cash management system was run; (iv) the location where the entity’s principal assets or operations are found; (v) the location of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primary bank; (vi) the location of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employees; (vii) the location in which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commercial policy was determined; (viii) the jurisdiction of the controlling law for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main contracts; (ix) the location from which the </w:t>
      </w:r>
      <w:r w:rsidR="00E40E69">
        <w:rPr>
          <w:rFonts w:ascii="Avenir Next" w:hAnsi="Avenir Next"/>
          <w:color w:val="808080" w:themeColor="background1" w:themeShade="80"/>
          <w:sz w:val="22"/>
          <w:szCs w:val="28"/>
        </w:rPr>
        <w:t>entity’s</w:t>
      </w:r>
      <w:r w:rsidR="00E40E69">
        <w:rPr>
          <w:rFonts w:ascii="Avenir Next" w:hAnsi="Avenir Next"/>
          <w:color w:val="808080" w:themeColor="background1" w:themeShade="80"/>
          <w:sz w:val="22"/>
          <w:szCs w:val="28"/>
        </w:rPr>
        <w:t xml:space="preserve"> business policies, staff, accounts payable, and computer systems are managed; (x) the location from which the entity’s supply contracts were organized; (xi) </w:t>
      </w:r>
      <w:r w:rsidR="005F4E5F">
        <w:rPr>
          <w:rFonts w:ascii="Avenir Next" w:hAnsi="Avenir Next"/>
          <w:color w:val="808080" w:themeColor="background1" w:themeShade="80"/>
          <w:sz w:val="22"/>
          <w:szCs w:val="28"/>
        </w:rPr>
        <w:t xml:space="preserve">the location form which the entity’s reorganization is being conducted; (xii) the jurisdiction whose laws would apply to most disputes; (xiii) the location in which the </w:t>
      </w:r>
      <w:r w:rsidR="005F4E5F">
        <w:rPr>
          <w:rFonts w:ascii="Avenir Next" w:hAnsi="Avenir Next"/>
          <w:color w:val="808080" w:themeColor="background1" w:themeShade="80"/>
          <w:sz w:val="22"/>
          <w:szCs w:val="28"/>
        </w:rPr>
        <w:t>entity</w:t>
      </w:r>
      <w:r w:rsidR="005F4E5F">
        <w:rPr>
          <w:rFonts w:ascii="Avenir Next" w:hAnsi="Avenir Next"/>
          <w:color w:val="808080" w:themeColor="background1" w:themeShade="80"/>
          <w:sz w:val="22"/>
          <w:szCs w:val="28"/>
        </w:rPr>
        <w:t xml:space="preserve"> was subject to supervision o regulation; and (xiv) the location whose law governs the preparation and audit of the </w:t>
      </w:r>
      <w:r w:rsidR="005F4E5F">
        <w:rPr>
          <w:rFonts w:ascii="Avenir Next" w:hAnsi="Avenir Next"/>
          <w:color w:val="808080" w:themeColor="background1" w:themeShade="80"/>
          <w:sz w:val="22"/>
          <w:szCs w:val="28"/>
        </w:rPr>
        <w:t>entity’s</w:t>
      </w:r>
      <w:r w:rsidR="005F4E5F">
        <w:rPr>
          <w:rFonts w:ascii="Avenir Next" w:hAnsi="Avenir Next"/>
          <w:color w:val="808080" w:themeColor="background1" w:themeShade="80"/>
          <w:sz w:val="22"/>
          <w:szCs w:val="28"/>
        </w:rPr>
        <w:t xml:space="preserve"> accounts and where they were prepared and audited. </w:t>
      </w:r>
    </w:p>
    <w:p w14:paraId="6C974092" w14:textId="77777777" w:rsidR="005F4E5F" w:rsidRDefault="005F4E5F" w:rsidP="009E3CA7">
      <w:pPr>
        <w:jc w:val="both"/>
        <w:rPr>
          <w:rFonts w:ascii="Avenir Next" w:hAnsi="Avenir Next"/>
          <w:color w:val="808080" w:themeColor="background1" w:themeShade="80"/>
          <w:sz w:val="22"/>
          <w:szCs w:val="28"/>
        </w:rPr>
      </w:pPr>
    </w:p>
    <w:p w14:paraId="43A441E9" w14:textId="15F7DA29" w:rsidR="00126E19" w:rsidRDefault="005F4E5F"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Based on the information that I have, </w:t>
      </w:r>
      <w:r>
        <w:rPr>
          <w:rFonts w:ascii="Avenir Next" w:hAnsi="Avenir Next"/>
          <w:color w:val="808080" w:themeColor="background1" w:themeShade="80"/>
          <w:sz w:val="22"/>
          <w:szCs w:val="28"/>
        </w:rPr>
        <w:t>it appears likely that the United State Bankruptcy Court will recognize the Cayman</w:t>
      </w:r>
      <w:r>
        <w:rPr>
          <w:rFonts w:ascii="Avenir Next" w:hAnsi="Avenir Next"/>
          <w:color w:val="808080" w:themeColor="background1" w:themeShade="80"/>
          <w:sz w:val="22"/>
          <w:szCs w:val="28"/>
        </w:rPr>
        <w:t xml:space="preserve"> Islands as Globe’s COMI and, therefore, the Cayman Islands</w:t>
      </w:r>
      <w:r>
        <w:rPr>
          <w:rFonts w:ascii="Avenir Next" w:hAnsi="Avenir Next"/>
          <w:color w:val="808080" w:themeColor="background1" w:themeShade="80"/>
          <w:sz w:val="22"/>
          <w:szCs w:val="28"/>
        </w:rPr>
        <w:t xml:space="preserve"> Scheme as the foreign main proceeding of Globe</w:t>
      </w:r>
      <w:r>
        <w:rPr>
          <w:rFonts w:ascii="Avenir Next" w:hAnsi="Avenir Next"/>
          <w:color w:val="808080" w:themeColor="background1" w:themeShade="80"/>
          <w:sz w:val="22"/>
          <w:szCs w:val="28"/>
        </w:rPr>
        <w:t>.  Factors supporting this view include:</w:t>
      </w:r>
    </w:p>
    <w:p w14:paraId="21E289E8" w14:textId="77777777" w:rsidR="005F4E5F" w:rsidRDefault="005F4E5F" w:rsidP="00707FC8">
      <w:pPr>
        <w:jc w:val="both"/>
        <w:rPr>
          <w:rFonts w:ascii="Avenir Next" w:hAnsi="Avenir Next"/>
          <w:color w:val="808080" w:themeColor="background1" w:themeShade="80"/>
          <w:sz w:val="22"/>
          <w:szCs w:val="28"/>
        </w:rPr>
      </w:pPr>
    </w:p>
    <w:p w14:paraId="576B693E" w14:textId="4C6A4DD8" w:rsidR="005F4E5F" w:rsidRPr="00C55737" w:rsidRDefault="005F4E5F"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Globe is incorporated and registered in the Cayman </w:t>
      </w:r>
      <w:proofErr w:type="gramStart"/>
      <w:r w:rsidRPr="00C55737">
        <w:rPr>
          <w:rFonts w:ascii="Avenir Next" w:hAnsi="Avenir Next"/>
          <w:color w:val="808080" w:themeColor="background1" w:themeShade="80"/>
          <w:sz w:val="22"/>
          <w:szCs w:val="28"/>
        </w:rPr>
        <w:t>Islands;</w:t>
      </w:r>
      <w:proofErr w:type="gramEnd"/>
    </w:p>
    <w:p w14:paraId="03F985D5" w14:textId="004BADAB" w:rsidR="005F4E5F" w:rsidRPr="00C55737" w:rsidRDefault="005F4E5F"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Globe filed </w:t>
      </w:r>
      <w:r w:rsidRPr="00C55737">
        <w:rPr>
          <w:rFonts w:ascii="Avenir Next" w:hAnsi="Avenir Next"/>
          <w:color w:val="808080" w:themeColor="background1" w:themeShade="80"/>
          <w:sz w:val="22"/>
          <w:szCs w:val="28"/>
        </w:rPr>
        <w:t>a certificate of registration by way of continuation in the Cayman Islands to re-domesticate there</w:t>
      </w:r>
      <w:r w:rsidRPr="00C55737">
        <w:rPr>
          <w:rFonts w:ascii="Avenir Next" w:hAnsi="Avenir Next"/>
          <w:color w:val="808080" w:themeColor="background1" w:themeShade="80"/>
          <w:sz w:val="22"/>
          <w:szCs w:val="28"/>
        </w:rPr>
        <w:t xml:space="preserve"> in </w:t>
      </w:r>
      <w:proofErr w:type="gramStart"/>
      <w:r w:rsidRPr="00C55737">
        <w:rPr>
          <w:rFonts w:ascii="Avenir Next" w:hAnsi="Avenir Next"/>
          <w:color w:val="808080" w:themeColor="background1" w:themeShade="80"/>
          <w:sz w:val="22"/>
          <w:szCs w:val="28"/>
        </w:rPr>
        <w:t>2010;</w:t>
      </w:r>
      <w:proofErr w:type="gramEnd"/>
    </w:p>
    <w:p w14:paraId="556EBC4A" w14:textId="132F966B" w:rsidR="005F4E5F" w:rsidRPr="00C55737" w:rsidRDefault="005F4E5F"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Globe provided various notices of its incorporation in the Cayman Islands, including public filings with the United States Securities and Exchange Commission</w:t>
      </w:r>
      <w:r w:rsidR="00041460" w:rsidRPr="00C55737">
        <w:rPr>
          <w:rFonts w:ascii="Avenir Next" w:hAnsi="Avenir Next"/>
          <w:color w:val="808080" w:themeColor="background1" w:themeShade="80"/>
          <w:sz w:val="22"/>
          <w:szCs w:val="28"/>
        </w:rPr>
        <w:t xml:space="preserve"> (the “SEC”</w:t>
      </w:r>
      <w:proofErr w:type="gramStart"/>
      <w:r w:rsidR="00041460" w:rsidRPr="00C55737">
        <w:rPr>
          <w:rFonts w:ascii="Avenir Next" w:hAnsi="Avenir Next"/>
          <w:color w:val="808080" w:themeColor="background1" w:themeShade="80"/>
          <w:sz w:val="22"/>
          <w:szCs w:val="28"/>
        </w:rPr>
        <w:t>)</w:t>
      </w:r>
      <w:r w:rsidRPr="00C55737">
        <w:rPr>
          <w:rFonts w:ascii="Avenir Next" w:hAnsi="Avenir Next"/>
          <w:color w:val="808080" w:themeColor="background1" w:themeShade="80"/>
          <w:sz w:val="22"/>
          <w:szCs w:val="28"/>
        </w:rPr>
        <w:t>;</w:t>
      </w:r>
      <w:proofErr w:type="gramEnd"/>
    </w:p>
    <w:p w14:paraId="73F9181B" w14:textId="32A41475" w:rsidR="005F4E5F" w:rsidRPr="00C55737" w:rsidRDefault="00055240"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Globe has retained Cayman </w:t>
      </w:r>
      <w:r w:rsidR="00651E96">
        <w:rPr>
          <w:rFonts w:ascii="Avenir Next" w:hAnsi="Avenir Next"/>
          <w:color w:val="808080" w:themeColor="background1" w:themeShade="80"/>
          <w:sz w:val="22"/>
          <w:szCs w:val="28"/>
        </w:rPr>
        <w:t>I</w:t>
      </w:r>
      <w:r w:rsidRPr="00C55737">
        <w:rPr>
          <w:rFonts w:ascii="Avenir Next" w:hAnsi="Avenir Next"/>
          <w:color w:val="808080" w:themeColor="background1" w:themeShade="80"/>
          <w:sz w:val="22"/>
          <w:szCs w:val="28"/>
        </w:rPr>
        <w:t xml:space="preserve">slands counsel and has used them for over 10 </w:t>
      </w:r>
      <w:proofErr w:type="gramStart"/>
      <w:r w:rsidRPr="00C55737">
        <w:rPr>
          <w:rFonts w:ascii="Avenir Next" w:hAnsi="Avenir Next"/>
          <w:color w:val="808080" w:themeColor="background1" w:themeShade="80"/>
          <w:sz w:val="22"/>
          <w:szCs w:val="28"/>
        </w:rPr>
        <w:t>years;</w:t>
      </w:r>
      <w:proofErr w:type="gramEnd"/>
    </w:p>
    <w:p w14:paraId="3694C321" w14:textId="77777777" w:rsidR="00041460" w:rsidRPr="00C55737" w:rsidRDefault="00055240"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Globe has a Cayman Island bank account</w:t>
      </w:r>
      <w:r w:rsidR="00041460" w:rsidRPr="00C55737">
        <w:rPr>
          <w:rFonts w:ascii="Avenir Next" w:hAnsi="Avenir Next"/>
          <w:color w:val="808080" w:themeColor="background1" w:themeShade="80"/>
          <w:sz w:val="22"/>
          <w:szCs w:val="28"/>
        </w:rPr>
        <w:t xml:space="preserve"> from which it pays certain operating </w:t>
      </w:r>
      <w:proofErr w:type="gramStart"/>
      <w:r w:rsidR="00041460" w:rsidRPr="00C55737">
        <w:rPr>
          <w:rFonts w:ascii="Avenir Next" w:hAnsi="Avenir Next"/>
          <w:color w:val="808080" w:themeColor="background1" w:themeShade="80"/>
          <w:sz w:val="22"/>
          <w:szCs w:val="28"/>
        </w:rPr>
        <w:t>expenses;</w:t>
      </w:r>
      <w:proofErr w:type="gramEnd"/>
    </w:p>
    <w:p w14:paraId="1456B1BD" w14:textId="292911F0" w:rsidR="00055240" w:rsidRPr="00C55737" w:rsidRDefault="00041460"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All Globe regular and special board meetings are held virtually in the Cayman Islands and are organized by Cayman </w:t>
      </w:r>
      <w:proofErr w:type="gramStart"/>
      <w:r w:rsidRPr="00C55737">
        <w:rPr>
          <w:rFonts w:ascii="Avenir Next" w:hAnsi="Avenir Next"/>
          <w:color w:val="808080" w:themeColor="background1" w:themeShade="80"/>
          <w:sz w:val="22"/>
          <w:szCs w:val="28"/>
        </w:rPr>
        <w:t>counsel</w:t>
      </w:r>
      <w:r w:rsidR="00055240" w:rsidRPr="00C55737">
        <w:rPr>
          <w:rFonts w:ascii="Avenir Next" w:hAnsi="Avenir Next"/>
          <w:color w:val="808080" w:themeColor="background1" w:themeShade="80"/>
          <w:sz w:val="22"/>
          <w:szCs w:val="28"/>
        </w:rPr>
        <w:t>;</w:t>
      </w:r>
      <w:proofErr w:type="gramEnd"/>
    </w:p>
    <w:p w14:paraId="07935E28" w14:textId="635991CE" w:rsidR="00041460" w:rsidRPr="00C55737" w:rsidRDefault="00041460"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Globe maintains its books and records in the Cayman </w:t>
      </w:r>
      <w:proofErr w:type="gramStart"/>
      <w:r w:rsidRPr="00C55737">
        <w:rPr>
          <w:rFonts w:ascii="Avenir Next" w:hAnsi="Avenir Next"/>
          <w:color w:val="808080" w:themeColor="background1" w:themeShade="80"/>
          <w:sz w:val="22"/>
          <w:szCs w:val="28"/>
        </w:rPr>
        <w:t>Islands;</w:t>
      </w:r>
      <w:proofErr w:type="gramEnd"/>
    </w:p>
    <w:p w14:paraId="4CDCF44A" w14:textId="69D62E15" w:rsidR="00041460" w:rsidRPr="00C55737" w:rsidRDefault="00041460"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Globe’s p</w:t>
      </w:r>
      <w:r w:rsidRPr="00C55737">
        <w:rPr>
          <w:rFonts w:ascii="Avenir Next" w:hAnsi="Avenir Next"/>
          <w:color w:val="808080" w:themeColor="background1" w:themeShade="80"/>
          <w:sz w:val="22"/>
          <w:szCs w:val="28"/>
        </w:rPr>
        <w:t xml:space="preserve">ublic filings with the SEC and prospectus provided in connection with </w:t>
      </w:r>
      <w:r w:rsidR="005E63C1" w:rsidRPr="00C55737">
        <w:rPr>
          <w:rFonts w:ascii="Avenir Next" w:hAnsi="Avenir Next"/>
          <w:color w:val="808080" w:themeColor="background1" w:themeShade="80"/>
          <w:sz w:val="22"/>
          <w:szCs w:val="28"/>
        </w:rPr>
        <w:t xml:space="preserve">its </w:t>
      </w:r>
      <w:r w:rsidRPr="00C55737">
        <w:rPr>
          <w:rFonts w:ascii="Avenir Next" w:hAnsi="Avenir Next"/>
          <w:color w:val="808080" w:themeColor="background1" w:themeShade="80"/>
          <w:sz w:val="22"/>
          <w:szCs w:val="28"/>
        </w:rPr>
        <w:t>issuance of notes provide</w:t>
      </w:r>
      <w:r w:rsidR="005E63C1" w:rsidRPr="00C55737">
        <w:rPr>
          <w:rFonts w:ascii="Avenir Next" w:hAnsi="Avenir Next"/>
          <w:color w:val="808080" w:themeColor="background1" w:themeShade="80"/>
          <w:sz w:val="22"/>
          <w:szCs w:val="28"/>
        </w:rPr>
        <w:t>d</w:t>
      </w:r>
      <w:r w:rsidRPr="00C55737">
        <w:rPr>
          <w:rFonts w:ascii="Avenir Next" w:hAnsi="Avenir Next"/>
          <w:color w:val="808080" w:themeColor="background1" w:themeShade="80"/>
          <w:sz w:val="22"/>
          <w:szCs w:val="28"/>
        </w:rPr>
        <w:t xml:space="preserve"> that it is a Cayman company and explained the related indemnification and tax </w:t>
      </w:r>
      <w:proofErr w:type="gramStart"/>
      <w:r w:rsidRPr="00C55737">
        <w:rPr>
          <w:rFonts w:ascii="Avenir Next" w:hAnsi="Avenir Next"/>
          <w:color w:val="808080" w:themeColor="background1" w:themeShade="80"/>
          <w:sz w:val="22"/>
          <w:szCs w:val="28"/>
        </w:rPr>
        <w:t>consequences</w:t>
      </w:r>
      <w:r w:rsidR="005E63C1" w:rsidRPr="00C55737">
        <w:rPr>
          <w:rFonts w:ascii="Avenir Next" w:hAnsi="Avenir Next"/>
          <w:color w:val="808080" w:themeColor="background1" w:themeShade="80"/>
          <w:sz w:val="22"/>
          <w:szCs w:val="28"/>
        </w:rPr>
        <w:t>;</w:t>
      </w:r>
      <w:proofErr w:type="gramEnd"/>
    </w:p>
    <w:p w14:paraId="72B34D39" w14:textId="77777777" w:rsidR="0075409B" w:rsidRPr="00C55737" w:rsidRDefault="0075409B"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Globe secured the support of a majority of its noteholders to restructure the notes through a Restructuring Support Agreement (“RSA”), which provides for a restructuring proceeding in the Cayman </w:t>
      </w:r>
      <w:proofErr w:type="gramStart"/>
      <w:r w:rsidRPr="00C55737">
        <w:rPr>
          <w:rFonts w:ascii="Avenir Next" w:hAnsi="Avenir Next"/>
          <w:color w:val="808080" w:themeColor="background1" w:themeShade="80"/>
          <w:sz w:val="22"/>
          <w:szCs w:val="28"/>
        </w:rPr>
        <w:t>Islands;</w:t>
      </w:r>
      <w:proofErr w:type="gramEnd"/>
    </w:p>
    <w:p w14:paraId="608E6D37" w14:textId="3CBADD24" w:rsidR="005E63C1" w:rsidRPr="00C55737" w:rsidRDefault="005E63C1"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lastRenderedPageBreak/>
        <w:t>Globe commenced the Scheme in the Cayman Islands</w:t>
      </w:r>
      <w:r w:rsidR="0075409B" w:rsidRPr="00C55737">
        <w:rPr>
          <w:rFonts w:ascii="Avenir Next" w:hAnsi="Avenir Next"/>
          <w:color w:val="808080" w:themeColor="background1" w:themeShade="80"/>
          <w:sz w:val="22"/>
          <w:szCs w:val="28"/>
        </w:rPr>
        <w:t xml:space="preserve"> in accordance with the terms of the </w:t>
      </w:r>
      <w:proofErr w:type="gramStart"/>
      <w:r w:rsidR="0075409B" w:rsidRPr="00C55737">
        <w:rPr>
          <w:rFonts w:ascii="Avenir Next" w:hAnsi="Avenir Next"/>
          <w:color w:val="808080" w:themeColor="background1" w:themeShade="80"/>
          <w:sz w:val="22"/>
          <w:szCs w:val="28"/>
        </w:rPr>
        <w:t>RSA</w:t>
      </w:r>
      <w:r w:rsidRPr="00C55737">
        <w:rPr>
          <w:rFonts w:ascii="Avenir Next" w:hAnsi="Avenir Next"/>
          <w:color w:val="808080" w:themeColor="background1" w:themeShade="80"/>
          <w:sz w:val="22"/>
          <w:szCs w:val="28"/>
        </w:rPr>
        <w:t>;</w:t>
      </w:r>
      <w:proofErr w:type="gramEnd"/>
    </w:p>
    <w:p w14:paraId="1EB938B1" w14:textId="7E90E759" w:rsidR="005E63C1" w:rsidRPr="00C55737" w:rsidRDefault="0075409B" w:rsidP="005F4E5F">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The Cayman Islands court entered a convening order authorizing Globe to convene a Scheme meeting to consider the Scheme, which was held in the Cayman Islands and at which, the Scheme was supported by </w:t>
      </w:r>
      <w:proofErr w:type="gramStart"/>
      <w:r w:rsidRPr="00C55737">
        <w:rPr>
          <w:rFonts w:ascii="Avenir Next" w:hAnsi="Avenir Next"/>
          <w:color w:val="808080" w:themeColor="background1" w:themeShade="80"/>
          <w:sz w:val="22"/>
          <w:szCs w:val="28"/>
        </w:rPr>
        <w:t>a majority of</w:t>
      </w:r>
      <w:proofErr w:type="gramEnd"/>
      <w:r w:rsidRPr="00C55737">
        <w:rPr>
          <w:rFonts w:ascii="Avenir Next" w:hAnsi="Avenir Next"/>
          <w:color w:val="808080" w:themeColor="background1" w:themeShade="80"/>
          <w:sz w:val="22"/>
          <w:szCs w:val="28"/>
        </w:rPr>
        <w:t xml:space="preserve"> Globe’s noteholders; and</w:t>
      </w:r>
    </w:p>
    <w:p w14:paraId="3E2CD798" w14:textId="20376191" w:rsidR="00055240" w:rsidRPr="00C55737" w:rsidRDefault="0075409B" w:rsidP="00055240">
      <w:pPr>
        <w:pStyle w:val="ListParagraph"/>
        <w:numPr>
          <w:ilvl w:val="0"/>
          <w:numId w:val="18"/>
        </w:num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The Sanction Hearing was held</w:t>
      </w:r>
      <w:r w:rsidRPr="00C55737">
        <w:rPr>
          <w:rFonts w:ascii="Avenir Next" w:hAnsi="Avenir Next"/>
          <w:color w:val="808080" w:themeColor="background1" w:themeShade="80"/>
          <w:sz w:val="22"/>
          <w:szCs w:val="28"/>
        </w:rPr>
        <w:t xml:space="preserve"> and</w:t>
      </w:r>
      <w:r w:rsidRPr="00C55737">
        <w:rPr>
          <w:rFonts w:ascii="Avenir Next" w:hAnsi="Avenir Next"/>
          <w:color w:val="808080" w:themeColor="background1" w:themeShade="80"/>
          <w:sz w:val="22"/>
          <w:szCs w:val="28"/>
        </w:rPr>
        <w:t xml:space="preserve"> an order sanctioning the Scheme </w:t>
      </w:r>
      <w:r w:rsidRPr="00C55737">
        <w:rPr>
          <w:rFonts w:ascii="Avenir Next" w:hAnsi="Avenir Next"/>
          <w:color w:val="808080" w:themeColor="background1" w:themeShade="80"/>
          <w:sz w:val="22"/>
          <w:szCs w:val="28"/>
        </w:rPr>
        <w:t>was entered and</w:t>
      </w:r>
      <w:r w:rsidRPr="00C55737">
        <w:rPr>
          <w:rFonts w:ascii="Avenir Next" w:hAnsi="Avenir Next"/>
          <w:color w:val="808080" w:themeColor="background1" w:themeShade="80"/>
          <w:sz w:val="22"/>
          <w:szCs w:val="28"/>
        </w:rPr>
        <w:t xml:space="preserve"> filed with the Cayman Islands Registrar of Companies</w:t>
      </w:r>
      <w:r w:rsidRPr="00C55737">
        <w:rPr>
          <w:rFonts w:ascii="Avenir Next" w:hAnsi="Avenir Next"/>
          <w:color w:val="808080" w:themeColor="background1" w:themeShade="80"/>
          <w:sz w:val="22"/>
          <w:szCs w:val="28"/>
        </w:rPr>
        <w:t>.</w:t>
      </w:r>
    </w:p>
    <w:p w14:paraId="20D3B644" w14:textId="77777777" w:rsidR="0075409B" w:rsidRPr="00C55737" w:rsidRDefault="0075409B" w:rsidP="0075409B">
      <w:pPr>
        <w:jc w:val="both"/>
        <w:rPr>
          <w:rFonts w:ascii="Avenir Next" w:hAnsi="Avenir Next"/>
          <w:color w:val="808080" w:themeColor="background1" w:themeShade="80"/>
          <w:sz w:val="22"/>
          <w:szCs w:val="28"/>
        </w:rPr>
      </w:pPr>
    </w:p>
    <w:p w14:paraId="22A381C5" w14:textId="2CA1745B" w:rsidR="0075409B" w:rsidRPr="00C55737" w:rsidRDefault="0075409B" w:rsidP="0075409B">
      <w:p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 xml:space="preserve">Further, Globe itself has no employees and no business of its own.  The only other possible location of Globe’s COMI, based on available information, would be the United States, since Globe’s headquarters are located </w:t>
      </w:r>
      <w:proofErr w:type="gramStart"/>
      <w:r w:rsidRPr="00C55737">
        <w:rPr>
          <w:rFonts w:ascii="Avenir Next" w:hAnsi="Avenir Next"/>
          <w:color w:val="808080" w:themeColor="background1" w:themeShade="80"/>
          <w:sz w:val="22"/>
          <w:szCs w:val="28"/>
        </w:rPr>
        <w:t>there</w:t>
      </w:r>
      <w:proofErr w:type="gramEnd"/>
      <w:r w:rsidRPr="00C55737">
        <w:rPr>
          <w:rFonts w:ascii="Avenir Next" w:hAnsi="Avenir Next"/>
          <w:color w:val="808080" w:themeColor="background1" w:themeShade="80"/>
          <w:sz w:val="22"/>
          <w:szCs w:val="28"/>
        </w:rPr>
        <w:t xml:space="preserve"> and its issued notes are governed by New York law.  Obviously, the factors indicating the Cayman Islands as the COMI greatly outweigh the factors indicating that the COMI is in the United States.</w:t>
      </w:r>
    </w:p>
    <w:p w14:paraId="02BDB3AD" w14:textId="77777777" w:rsidR="00055240" w:rsidRPr="00C55737" w:rsidRDefault="00055240" w:rsidP="00055240">
      <w:pPr>
        <w:jc w:val="both"/>
        <w:rPr>
          <w:rFonts w:ascii="Avenir Next" w:hAnsi="Avenir Next"/>
          <w:color w:val="808080" w:themeColor="background1" w:themeShade="80"/>
          <w:sz w:val="22"/>
          <w:szCs w:val="28"/>
        </w:rPr>
      </w:pPr>
    </w:p>
    <w:p w14:paraId="3C296F91" w14:textId="656AFDDA" w:rsidR="00055240" w:rsidRPr="00C55737" w:rsidRDefault="00055240" w:rsidP="00055240">
      <w:p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Additional information that would be helpful for a COMI argument is the location of Globe’s primary bank account</w:t>
      </w:r>
      <w:r w:rsidR="0075409B" w:rsidRPr="00C55737">
        <w:rPr>
          <w:rFonts w:ascii="Avenir Next" w:hAnsi="Avenir Next"/>
          <w:color w:val="808080" w:themeColor="background1" w:themeShade="80"/>
          <w:sz w:val="22"/>
          <w:szCs w:val="28"/>
        </w:rPr>
        <w:t xml:space="preserve">.  Still, from the above factors, it appears that both </w:t>
      </w:r>
      <w:r w:rsidR="0075409B" w:rsidRPr="00C55737">
        <w:rPr>
          <w:rFonts w:ascii="Avenir Next" w:hAnsi="Avenir Next"/>
          <w:color w:val="808080" w:themeColor="background1" w:themeShade="80"/>
          <w:sz w:val="22"/>
          <w:szCs w:val="28"/>
        </w:rPr>
        <w:t xml:space="preserve">(i) </w:t>
      </w:r>
      <w:r w:rsidR="0075409B" w:rsidRPr="00C55737">
        <w:rPr>
          <w:rFonts w:ascii="Avenir Next" w:hAnsi="Avenir Next"/>
          <w:color w:val="808080" w:themeColor="background1" w:themeShade="80"/>
          <w:sz w:val="22"/>
          <w:szCs w:val="28"/>
        </w:rPr>
        <w:t>that Globe’s</w:t>
      </w:r>
      <w:r w:rsidR="0075409B" w:rsidRPr="00C55737">
        <w:rPr>
          <w:rFonts w:ascii="Avenir Next" w:hAnsi="Avenir Next"/>
          <w:color w:val="808080" w:themeColor="background1" w:themeShade="80"/>
          <w:sz w:val="22"/>
          <w:szCs w:val="28"/>
        </w:rPr>
        <w:t xml:space="preserve"> central administration takes place </w:t>
      </w:r>
      <w:r w:rsidR="0075409B" w:rsidRPr="00C55737">
        <w:rPr>
          <w:rFonts w:ascii="Avenir Next" w:hAnsi="Avenir Next"/>
          <w:color w:val="808080" w:themeColor="background1" w:themeShade="80"/>
          <w:sz w:val="22"/>
          <w:szCs w:val="28"/>
        </w:rPr>
        <w:t xml:space="preserve">in the Cayman Islands </w:t>
      </w:r>
      <w:r w:rsidR="0075409B" w:rsidRPr="00C55737">
        <w:rPr>
          <w:rFonts w:ascii="Avenir Next" w:hAnsi="Avenir Next"/>
          <w:color w:val="808080" w:themeColor="background1" w:themeShade="80"/>
          <w:sz w:val="22"/>
          <w:szCs w:val="28"/>
        </w:rPr>
        <w:t xml:space="preserve">and (ii) </w:t>
      </w:r>
      <w:r w:rsidR="0075409B" w:rsidRPr="00C55737">
        <w:rPr>
          <w:rFonts w:ascii="Avenir Next" w:hAnsi="Avenir Next"/>
          <w:color w:val="808080" w:themeColor="background1" w:themeShade="80"/>
          <w:sz w:val="22"/>
          <w:szCs w:val="28"/>
        </w:rPr>
        <w:t>that Globe’s creditors</w:t>
      </w:r>
      <w:proofErr w:type="gramStart"/>
      <w:r w:rsidR="0075409B" w:rsidRPr="00C55737">
        <w:rPr>
          <w:rFonts w:ascii="Avenir Next" w:hAnsi="Avenir Next"/>
          <w:color w:val="808080" w:themeColor="background1" w:themeShade="80"/>
          <w:sz w:val="22"/>
          <w:szCs w:val="28"/>
        </w:rPr>
        <w:t>, and in particular</w:t>
      </w:r>
      <w:proofErr w:type="gramEnd"/>
      <w:r w:rsidR="0075409B" w:rsidRPr="00C55737">
        <w:rPr>
          <w:rFonts w:ascii="Avenir Next" w:hAnsi="Avenir Next"/>
          <w:color w:val="808080" w:themeColor="background1" w:themeShade="80"/>
          <w:sz w:val="22"/>
          <w:szCs w:val="28"/>
        </w:rPr>
        <w:t xml:space="preserve"> its noteholders, know or can readily ascertain from notices and SEC filings that the Cayman Islands</w:t>
      </w:r>
      <w:r w:rsidR="0075409B" w:rsidRPr="00C55737">
        <w:rPr>
          <w:rFonts w:ascii="Avenir Next" w:hAnsi="Avenir Next"/>
          <w:color w:val="808080" w:themeColor="background1" w:themeShade="80"/>
          <w:sz w:val="22"/>
          <w:szCs w:val="28"/>
        </w:rPr>
        <w:t xml:space="preserve"> </w:t>
      </w:r>
      <w:r w:rsidR="0075409B" w:rsidRPr="00C55737">
        <w:rPr>
          <w:rFonts w:ascii="Avenir Next" w:hAnsi="Avenir Next"/>
          <w:color w:val="808080" w:themeColor="background1" w:themeShade="80"/>
          <w:sz w:val="22"/>
          <w:szCs w:val="28"/>
        </w:rPr>
        <w:t>is Globe’s</w:t>
      </w:r>
      <w:r w:rsidR="0075409B" w:rsidRPr="00C55737">
        <w:rPr>
          <w:rFonts w:ascii="Avenir Next" w:hAnsi="Avenir Next"/>
          <w:color w:val="808080" w:themeColor="background1" w:themeShade="80"/>
          <w:sz w:val="22"/>
          <w:szCs w:val="28"/>
        </w:rPr>
        <w:t xml:space="preserve"> COMI</w:t>
      </w:r>
      <w:r w:rsidR="0075409B" w:rsidRPr="00C55737">
        <w:rPr>
          <w:rFonts w:ascii="Avenir Next" w:hAnsi="Avenir Next"/>
          <w:color w:val="808080" w:themeColor="background1" w:themeShade="80"/>
          <w:sz w:val="22"/>
          <w:szCs w:val="28"/>
        </w:rPr>
        <w:t>.</w:t>
      </w:r>
    </w:p>
    <w:p w14:paraId="28AD4B1D" w14:textId="77777777" w:rsidR="0075409B" w:rsidRPr="00C55737" w:rsidRDefault="0075409B" w:rsidP="00055240">
      <w:pPr>
        <w:jc w:val="both"/>
        <w:rPr>
          <w:rFonts w:ascii="Avenir Next" w:hAnsi="Avenir Next"/>
          <w:color w:val="808080" w:themeColor="background1" w:themeShade="80"/>
          <w:sz w:val="22"/>
          <w:szCs w:val="28"/>
        </w:rPr>
      </w:pPr>
    </w:p>
    <w:p w14:paraId="48AAE27A" w14:textId="01DFFA8A" w:rsidR="00C55737" w:rsidRDefault="0042227F" w:rsidP="00055240">
      <w:pPr>
        <w:jc w:val="both"/>
        <w:rPr>
          <w:rFonts w:ascii="Avenir Next" w:hAnsi="Avenir Next"/>
          <w:color w:val="808080" w:themeColor="background1" w:themeShade="80"/>
          <w:sz w:val="22"/>
          <w:szCs w:val="28"/>
        </w:rPr>
      </w:pPr>
      <w:r w:rsidRPr="00C55737">
        <w:rPr>
          <w:rFonts w:ascii="Avenir Next" w:hAnsi="Avenir Next"/>
          <w:color w:val="808080" w:themeColor="background1" w:themeShade="80"/>
          <w:sz w:val="22"/>
          <w:szCs w:val="28"/>
        </w:rPr>
        <w:t>However, given the fact that Globe is now insolvent and unable to pay its creditors and i</w:t>
      </w:r>
      <w:r w:rsidR="00651E96">
        <w:rPr>
          <w:rFonts w:ascii="Avenir Next" w:hAnsi="Avenir Next"/>
          <w:color w:val="808080" w:themeColor="background1" w:themeShade="80"/>
          <w:sz w:val="22"/>
          <w:szCs w:val="28"/>
        </w:rPr>
        <w:t>s</w:t>
      </w:r>
      <w:r w:rsidRPr="00C55737">
        <w:rPr>
          <w:rFonts w:ascii="Avenir Next" w:hAnsi="Avenir Next"/>
          <w:color w:val="808080" w:themeColor="background1" w:themeShade="80"/>
          <w:sz w:val="22"/>
          <w:szCs w:val="28"/>
        </w:rPr>
        <w:t xml:space="preserve"> looking at a potential class action suit being brought against it in the United States,</w:t>
      </w:r>
      <w:r w:rsidR="0075409B" w:rsidRPr="00C55737">
        <w:rPr>
          <w:rFonts w:ascii="Avenir Next" w:hAnsi="Avenir Next"/>
          <w:color w:val="808080" w:themeColor="background1" w:themeShade="80"/>
          <w:sz w:val="22"/>
          <w:szCs w:val="28"/>
        </w:rPr>
        <w:t xml:space="preserve"> Globe should </w:t>
      </w:r>
      <w:r w:rsidRPr="00C55737">
        <w:rPr>
          <w:rFonts w:ascii="Avenir Next" w:hAnsi="Avenir Next"/>
          <w:color w:val="808080" w:themeColor="background1" w:themeShade="80"/>
          <w:sz w:val="22"/>
          <w:szCs w:val="28"/>
        </w:rPr>
        <w:t>immediately take the following steps.  Globe should have the Cayman Islands court authorize someone to administer Globe’s reorganization and/or act a foreign representative of the Cayman Scheme.  Then, Globe should immediately initiate a Chapter 15 proceeding in the New York bankruptcy court, as set forth above.  Once initiated, Globe should immediately file an application to have the</w:t>
      </w:r>
      <w:r w:rsidRPr="00C55737">
        <w:rPr>
          <w:rFonts w:ascii="Avenir Next" w:hAnsi="Avenir Next"/>
          <w:color w:val="808080" w:themeColor="background1" w:themeShade="80"/>
          <w:sz w:val="22"/>
          <w:szCs w:val="28"/>
        </w:rPr>
        <w:t xml:space="preserve"> Cayman Islands Scheme as the foreign main proceeding of Globe</w:t>
      </w:r>
      <w:r w:rsidRPr="00C55737">
        <w:rPr>
          <w:rFonts w:ascii="Avenir Next" w:hAnsi="Avenir Next"/>
          <w:color w:val="808080" w:themeColor="background1" w:themeShade="80"/>
          <w:sz w:val="22"/>
          <w:szCs w:val="28"/>
        </w:rPr>
        <w:t xml:space="preserve">.  In addition, Globe should file an application for the United States bankruptcy court recognize the foreign representative as such.  Further, Globe should immediately certain interim relief, pending the </w:t>
      </w:r>
      <w:r w:rsidRPr="00C55737">
        <w:rPr>
          <w:rFonts w:ascii="Avenir Next" w:hAnsi="Avenir Next"/>
          <w:color w:val="808080" w:themeColor="background1" w:themeShade="80"/>
          <w:sz w:val="22"/>
          <w:szCs w:val="28"/>
        </w:rPr>
        <w:t>United States bankruptcy court</w:t>
      </w:r>
      <w:r w:rsidRPr="00C55737">
        <w:rPr>
          <w:rFonts w:ascii="Avenir Next" w:hAnsi="Avenir Next"/>
          <w:color w:val="808080" w:themeColor="background1" w:themeShade="80"/>
          <w:sz w:val="22"/>
          <w:szCs w:val="28"/>
        </w:rPr>
        <w:t>’s decision on recognition of the Cayman Scheme as Globe</w:t>
      </w:r>
      <w:r w:rsidR="00651E96">
        <w:rPr>
          <w:rFonts w:ascii="Avenir Next" w:hAnsi="Avenir Next"/>
          <w:color w:val="808080" w:themeColor="background1" w:themeShade="80"/>
          <w:sz w:val="22"/>
          <w:szCs w:val="28"/>
        </w:rPr>
        <w:t>’s</w:t>
      </w:r>
      <w:r w:rsidRPr="00C55737">
        <w:rPr>
          <w:rFonts w:ascii="Avenir Next" w:hAnsi="Avenir Next"/>
          <w:color w:val="808080" w:themeColor="background1" w:themeShade="80"/>
          <w:sz w:val="22"/>
          <w:szCs w:val="28"/>
        </w:rPr>
        <w:t xml:space="preserve"> foreign main proceeding, namely imposition of the automatic stay, so that </w:t>
      </w:r>
      <w:r w:rsidR="00C55737" w:rsidRPr="00C55737">
        <w:rPr>
          <w:rFonts w:ascii="Avenir Next" w:hAnsi="Avenir Next"/>
          <w:color w:val="808080" w:themeColor="background1" w:themeShade="80"/>
          <w:sz w:val="22"/>
          <w:szCs w:val="28"/>
        </w:rPr>
        <w:t>no lawsuits can be initiated against Globe, no creditors can take step to go after Globe’s assets and, to the extent Globe does not want to sell its headquarters, stop the third party from marketing the sale of the headquarters, pending the Chapter 15 proceeding</w:t>
      </w:r>
      <w:r w:rsidR="00C55737">
        <w:rPr>
          <w:rFonts w:ascii="Avenir Next" w:hAnsi="Avenir Next"/>
          <w:color w:val="808080" w:themeColor="background1" w:themeShade="80"/>
          <w:sz w:val="22"/>
          <w:szCs w:val="28"/>
        </w:rPr>
        <w:t>.</w:t>
      </w:r>
    </w:p>
    <w:p w14:paraId="6AB2D435" w14:textId="77777777" w:rsidR="00C55737" w:rsidRDefault="00C55737" w:rsidP="00055240">
      <w:pPr>
        <w:jc w:val="both"/>
        <w:rPr>
          <w:rFonts w:ascii="Avenir Next" w:hAnsi="Avenir Next"/>
          <w:color w:val="808080" w:themeColor="background1" w:themeShade="80"/>
          <w:sz w:val="22"/>
          <w:szCs w:val="28"/>
        </w:rPr>
      </w:pPr>
    </w:p>
    <w:p w14:paraId="072FF63E" w14:textId="0AA1E8D0" w:rsidR="0075409B" w:rsidRDefault="00C55737" w:rsidP="0005524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Finally, Globe should determine if there are any additional jurisdictions in which it has assets or interests where it should initiate insolvency proceedings and have the Cayman Scheme recognized as Globe’s foreign main proceeding and perhaps the Unites States Chapter 15 proceeding as foreign non-main proceeding, since Globe has carried out “non-transitory economic activity” there, namely trading its shares on the NASDAQ stock exchange and issuing notes.  Please let me know if you have any questions.</w:t>
      </w:r>
    </w:p>
    <w:p w14:paraId="76B619D8" w14:textId="77777777" w:rsidR="00C55737" w:rsidRDefault="00C55737" w:rsidP="00055240">
      <w:pPr>
        <w:jc w:val="both"/>
        <w:rPr>
          <w:rFonts w:ascii="Avenir Next" w:hAnsi="Avenir Next"/>
          <w:color w:val="808080" w:themeColor="background1" w:themeShade="80"/>
          <w:sz w:val="22"/>
          <w:szCs w:val="28"/>
        </w:rPr>
      </w:pPr>
    </w:p>
    <w:p w14:paraId="44D89163" w14:textId="6926FB5B" w:rsidR="00C55737" w:rsidRPr="00C55737" w:rsidRDefault="00C55737" w:rsidP="0005524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Regards,</w:t>
      </w:r>
    </w:p>
    <w:bookmarkEnd w:id="1"/>
    <w:p w14:paraId="6D8F5E51" w14:textId="77777777" w:rsidR="0077498C" w:rsidRPr="00C55737" w:rsidRDefault="0077498C" w:rsidP="00707FC8">
      <w:pPr>
        <w:jc w:val="both"/>
        <w:rPr>
          <w:rFonts w:ascii="Avenir Next" w:hAnsi="Avenir Next"/>
          <w:color w:val="808080" w:themeColor="background1" w:themeShade="80"/>
          <w:sz w:val="22"/>
          <w:szCs w:val="28"/>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CB7DF1E" w:rsidR="000300E0" w:rsidRPr="00B46CE2" w:rsidRDefault="00207A7D" w:rsidP="000300E0">
    <w:pPr>
      <w:pStyle w:val="Footer"/>
      <w:ind w:right="360"/>
      <w:rPr>
        <w:rFonts w:ascii="Avenir Next" w:hAnsi="Avenir Next"/>
        <w:sz w:val="22"/>
        <w:szCs w:val="22"/>
      </w:rPr>
    </w:pPr>
    <w:r>
      <w:rPr>
        <w:rFonts w:ascii="Avenir Next" w:hAnsi="Avenir Next" w:cs="Arial"/>
        <w:sz w:val="22"/>
        <w:szCs w:val="22"/>
      </w:rPr>
      <w:t>FC202324-1368</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FEF6813"/>
    <w:multiLevelType w:val="hybridMultilevel"/>
    <w:tmpl w:val="CB96EECA"/>
    <w:lvl w:ilvl="0" w:tplc="DDC6A72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C51627"/>
    <w:multiLevelType w:val="hybridMultilevel"/>
    <w:tmpl w:val="31D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598104">
    <w:abstractNumId w:val="12"/>
  </w:num>
  <w:num w:numId="2" w16cid:durableId="1164055646">
    <w:abstractNumId w:val="6"/>
  </w:num>
  <w:num w:numId="3" w16cid:durableId="970591766">
    <w:abstractNumId w:val="2"/>
  </w:num>
  <w:num w:numId="4" w16cid:durableId="1327175081">
    <w:abstractNumId w:val="16"/>
  </w:num>
  <w:num w:numId="5" w16cid:durableId="998270126">
    <w:abstractNumId w:val="15"/>
  </w:num>
  <w:num w:numId="6" w16cid:durableId="657656171">
    <w:abstractNumId w:val="14"/>
  </w:num>
  <w:num w:numId="7" w16cid:durableId="1116829249">
    <w:abstractNumId w:val="4"/>
  </w:num>
  <w:num w:numId="8" w16cid:durableId="1055274873">
    <w:abstractNumId w:val="5"/>
  </w:num>
  <w:num w:numId="9" w16cid:durableId="790785319">
    <w:abstractNumId w:val="11"/>
  </w:num>
  <w:num w:numId="10" w16cid:durableId="59720369">
    <w:abstractNumId w:val="10"/>
  </w:num>
  <w:num w:numId="11" w16cid:durableId="1379276728">
    <w:abstractNumId w:val="3"/>
  </w:num>
  <w:num w:numId="12" w16cid:durableId="921179279">
    <w:abstractNumId w:val="8"/>
  </w:num>
  <w:num w:numId="13" w16cid:durableId="1060514793">
    <w:abstractNumId w:val="9"/>
  </w:num>
  <w:num w:numId="14" w16cid:durableId="64230155">
    <w:abstractNumId w:val="1"/>
  </w:num>
  <w:num w:numId="15" w16cid:durableId="1681084025">
    <w:abstractNumId w:val="0"/>
  </w:num>
  <w:num w:numId="16" w16cid:durableId="1275090443">
    <w:abstractNumId w:val="7"/>
  </w:num>
  <w:num w:numId="17" w16cid:durableId="269969236">
    <w:abstractNumId w:val="13"/>
  </w:num>
  <w:num w:numId="18" w16cid:durableId="18387635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1460"/>
    <w:rsid w:val="00044D46"/>
    <w:rsid w:val="00045088"/>
    <w:rsid w:val="00045904"/>
    <w:rsid w:val="000464F7"/>
    <w:rsid w:val="0005141D"/>
    <w:rsid w:val="00055240"/>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0188"/>
    <w:rsid w:val="001C45FC"/>
    <w:rsid w:val="001D02C5"/>
    <w:rsid w:val="001D2F15"/>
    <w:rsid w:val="001D4862"/>
    <w:rsid w:val="001E25B9"/>
    <w:rsid w:val="001E49E0"/>
    <w:rsid w:val="001E60C3"/>
    <w:rsid w:val="001E7B5A"/>
    <w:rsid w:val="001F7412"/>
    <w:rsid w:val="00200FDD"/>
    <w:rsid w:val="00201874"/>
    <w:rsid w:val="00202133"/>
    <w:rsid w:val="0020264E"/>
    <w:rsid w:val="0020725B"/>
    <w:rsid w:val="00207A7D"/>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5BEF"/>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108F"/>
    <w:rsid w:val="00422242"/>
    <w:rsid w:val="0042227F"/>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622CD"/>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1674"/>
    <w:rsid w:val="004E2E92"/>
    <w:rsid w:val="004E30B0"/>
    <w:rsid w:val="004E622C"/>
    <w:rsid w:val="004F5FDF"/>
    <w:rsid w:val="0050157D"/>
    <w:rsid w:val="00506803"/>
    <w:rsid w:val="0050682B"/>
    <w:rsid w:val="00507AAC"/>
    <w:rsid w:val="00515D98"/>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E63C1"/>
    <w:rsid w:val="005F026D"/>
    <w:rsid w:val="005F21F4"/>
    <w:rsid w:val="005F2D0B"/>
    <w:rsid w:val="005F4B31"/>
    <w:rsid w:val="005F4E5F"/>
    <w:rsid w:val="00606F05"/>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4730"/>
    <w:rsid w:val="00651AE3"/>
    <w:rsid w:val="00651E96"/>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7335"/>
    <w:rsid w:val="006D0E6E"/>
    <w:rsid w:val="006D6BD5"/>
    <w:rsid w:val="006E394C"/>
    <w:rsid w:val="006E481A"/>
    <w:rsid w:val="006E5298"/>
    <w:rsid w:val="006F2CE3"/>
    <w:rsid w:val="006F734A"/>
    <w:rsid w:val="00700D83"/>
    <w:rsid w:val="00703819"/>
    <w:rsid w:val="00704852"/>
    <w:rsid w:val="00706297"/>
    <w:rsid w:val="00706AD5"/>
    <w:rsid w:val="007074E9"/>
    <w:rsid w:val="00707FC8"/>
    <w:rsid w:val="00711414"/>
    <w:rsid w:val="00713DA4"/>
    <w:rsid w:val="00714BF1"/>
    <w:rsid w:val="00721383"/>
    <w:rsid w:val="0072554C"/>
    <w:rsid w:val="00725911"/>
    <w:rsid w:val="00731DBD"/>
    <w:rsid w:val="007333CC"/>
    <w:rsid w:val="0073399A"/>
    <w:rsid w:val="0073535D"/>
    <w:rsid w:val="00751F66"/>
    <w:rsid w:val="0075409B"/>
    <w:rsid w:val="007603F5"/>
    <w:rsid w:val="00764DB0"/>
    <w:rsid w:val="00766F8A"/>
    <w:rsid w:val="0076764D"/>
    <w:rsid w:val="0077498C"/>
    <w:rsid w:val="00777183"/>
    <w:rsid w:val="00784128"/>
    <w:rsid w:val="00784B4B"/>
    <w:rsid w:val="007854ED"/>
    <w:rsid w:val="00793173"/>
    <w:rsid w:val="00794CDC"/>
    <w:rsid w:val="007953DF"/>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93A03"/>
    <w:rsid w:val="008A0C6E"/>
    <w:rsid w:val="008A46CF"/>
    <w:rsid w:val="008A4DF2"/>
    <w:rsid w:val="008A6CFE"/>
    <w:rsid w:val="008A7470"/>
    <w:rsid w:val="008B1A08"/>
    <w:rsid w:val="008B2DE3"/>
    <w:rsid w:val="008B5333"/>
    <w:rsid w:val="008B6223"/>
    <w:rsid w:val="008C0026"/>
    <w:rsid w:val="008C66E0"/>
    <w:rsid w:val="008E2DFA"/>
    <w:rsid w:val="008E3339"/>
    <w:rsid w:val="008E549B"/>
    <w:rsid w:val="008F18EF"/>
    <w:rsid w:val="008F20FC"/>
    <w:rsid w:val="008F2B24"/>
    <w:rsid w:val="008F5FFE"/>
    <w:rsid w:val="0090421A"/>
    <w:rsid w:val="00905A43"/>
    <w:rsid w:val="00907DC2"/>
    <w:rsid w:val="00912C79"/>
    <w:rsid w:val="009156AE"/>
    <w:rsid w:val="009260A2"/>
    <w:rsid w:val="009344C1"/>
    <w:rsid w:val="00942123"/>
    <w:rsid w:val="00951031"/>
    <w:rsid w:val="0095207B"/>
    <w:rsid w:val="00954461"/>
    <w:rsid w:val="00956085"/>
    <w:rsid w:val="00957951"/>
    <w:rsid w:val="00962045"/>
    <w:rsid w:val="00965FEA"/>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2274A"/>
    <w:rsid w:val="00A235B7"/>
    <w:rsid w:val="00A27A7A"/>
    <w:rsid w:val="00A407EF"/>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04"/>
    <w:rsid w:val="00AD0E59"/>
    <w:rsid w:val="00AD1876"/>
    <w:rsid w:val="00AD3FEA"/>
    <w:rsid w:val="00AD7BBD"/>
    <w:rsid w:val="00AE2652"/>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4ACB"/>
    <w:rsid w:val="00B66441"/>
    <w:rsid w:val="00B72F5F"/>
    <w:rsid w:val="00B736DF"/>
    <w:rsid w:val="00B74FBD"/>
    <w:rsid w:val="00B77352"/>
    <w:rsid w:val="00B82586"/>
    <w:rsid w:val="00B829A3"/>
    <w:rsid w:val="00B85F7A"/>
    <w:rsid w:val="00B86DB1"/>
    <w:rsid w:val="00B87869"/>
    <w:rsid w:val="00B953BD"/>
    <w:rsid w:val="00BA0E44"/>
    <w:rsid w:val="00BA47C5"/>
    <w:rsid w:val="00BB0F2B"/>
    <w:rsid w:val="00BD0D57"/>
    <w:rsid w:val="00BE1A50"/>
    <w:rsid w:val="00BF50F7"/>
    <w:rsid w:val="00C00111"/>
    <w:rsid w:val="00C02F29"/>
    <w:rsid w:val="00C10C1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5737"/>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2D9"/>
    <w:rsid w:val="00CD4998"/>
    <w:rsid w:val="00CE1035"/>
    <w:rsid w:val="00CE2A6A"/>
    <w:rsid w:val="00CF2819"/>
    <w:rsid w:val="00CF4F9D"/>
    <w:rsid w:val="00CF70DC"/>
    <w:rsid w:val="00D148DC"/>
    <w:rsid w:val="00D17FDC"/>
    <w:rsid w:val="00D21E51"/>
    <w:rsid w:val="00D43594"/>
    <w:rsid w:val="00D444C5"/>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0E69"/>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A6E6F"/>
    <w:rsid w:val="00EB146B"/>
    <w:rsid w:val="00EB45AC"/>
    <w:rsid w:val="00EB67D1"/>
    <w:rsid w:val="00EC2AEA"/>
    <w:rsid w:val="00EC7B11"/>
    <w:rsid w:val="00EC7F95"/>
    <w:rsid w:val="00ED0BC4"/>
    <w:rsid w:val="00ED3771"/>
    <w:rsid w:val="00ED4AB7"/>
    <w:rsid w:val="00ED6A32"/>
    <w:rsid w:val="00EE4971"/>
    <w:rsid w:val="00EF090E"/>
    <w:rsid w:val="00F02DA4"/>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800"/>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5219</Words>
  <Characters>27873</Characters>
  <Application>Microsoft Office Word</Application>
  <DocSecurity>0</DocSecurity>
  <Lines>633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Levin</cp:lastModifiedBy>
  <cp:revision>2</cp:revision>
  <cp:lastPrinted>2019-08-27T05:42:00Z</cp:lastPrinted>
  <dcterms:created xsi:type="dcterms:W3CDTF">2024-03-01T21:27:00Z</dcterms:created>
  <dcterms:modified xsi:type="dcterms:W3CDTF">2024-03-01T21:27:00Z</dcterms:modified>
</cp:coreProperties>
</file>