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3A5DF3">
        <w:rPr>
          <w:rFonts w:ascii="Avenir Next Demi Bold" w:hAnsi="Avenir Next Demi Bold" w:cs="Arial"/>
          <w:b/>
          <w:bCs/>
          <w:color w:val="000000" w:themeColor="text1"/>
          <w:lang w:val="en-GB"/>
        </w:rPr>
        <w:t xml:space="preserve">SUMMATIVE (FORMAL) </w:t>
      </w:r>
      <w:r w:rsidR="009D0811" w:rsidRPr="003A5DF3">
        <w:rPr>
          <w:rFonts w:ascii="Avenir Next Demi Bold" w:hAnsi="Avenir Next Demi Bold" w:cs="Arial"/>
          <w:b/>
          <w:bCs/>
          <w:color w:val="000000" w:themeColor="text1"/>
          <w:lang w:val="en-GB"/>
        </w:rPr>
        <w:t xml:space="preserve">ASSESSMENT: MODULE </w:t>
      </w:r>
      <w:r w:rsidR="00996691" w:rsidRPr="003A5DF3">
        <w:rPr>
          <w:rFonts w:ascii="Avenir Next Demi Bold" w:hAnsi="Avenir Next Demi Bold" w:cs="Arial"/>
          <w:b/>
          <w:bCs/>
          <w:color w:val="000000" w:themeColor="text1"/>
          <w:lang w:val="en-GB"/>
        </w:rPr>
        <w:t>2</w:t>
      </w:r>
      <w:r w:rsidR="00C52796" w:rsidRPr="003A5DF3">
        <w:rPr>
          <w:rFonts w:ascii="Avenir Next Demi Bold" w:hAnsi="Avenir Next Demi Bold" w:cs="Arial"/>
          <w:b/>
          <w:bCs/>
          <w:color w:val="000000" w:themeColor="text1"/>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3A5DF3">
        <w:rPr>
          <w:rFonts w:ascii="Avenir Next Demi Bold" w:hAnsi="Avenir Next Demi Bold" w:cs="Arial"/>
          <w:b/>
          <w:bCs/>
          <w:color w:val="000000" w:themeColor="text1"/>
          <w:lang w:val="en-GB"/>
        </w:rPr>
        <w:t xml:space="preserve">THE </w:t>
      </w:r>
      <w:r w:rsidR="00C52796" w:rsidRPr="003A5DF3">
        <w:rPr>
          <w:rFonts w:ascii="Avenir Next Demi Bold" w:hAnsi="Avenir Next Demi Bold" w:cs="Arial"/>
          <w:b/>
          <w:bCs/>
          <w:color w:val="000000" w:themeColor="text1"/>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Akapitzlist"/>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Akapitzlist"/>
        <w:ind w:left="426"/>
        <w:jc w:val="both"/>
        <w:rPr>
          <w:rFonts w:ascii="Avenir Next" w:hAnsi="Avenir Next" w:cs="Arial"/>
          <w:sz w:val="22"/>
          <w:szCs w:val="22"/>
          <w:lang w:val="en-GB"/>
        </w:rPr>
      </w:pPr>
    </w:p>
    <w:p w14:paraId="05419608" w14:textId="77777777" w:rsidR="00F746D8" w:rsidRPr="008E3C96" w:rsidRDefault="00F746D8" w:rsidP="00F746D8">
      <w:pPr>
        <w:pStyle w:val="Akapitzlist"/>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Akapitzlist"/>
        <w:ind w:left="426"/>
        <w:jc w:val="both"/>
        <w:rPr>
          <w:rFonts w:ascii="Avenir Next" w:hAnsi="Avenir Next" w:cs="Arial"/>
          <w:sz w:val="22"/>
          <w:szCs w:val="22"/>
          <w:lang w:val="en-GB"/>
        </w:rPr>
      </w:pPr>
    </w:p>
    <w:p w14:paraId="780CB84D" w14:textId="77777777" w:rsidR="00F746D8" w:rsidRPr="008E3C96" w:rsidRDefault="00F746D8" w:rsidP="00F746D8">
      <w:pPr>
        <w:pStyle w:val="Akapitzlist"/>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Akapitzlist"/>
        <w:ind w:left="426"/>
        <w:jc w:val="both"/>
        <w:rPr>
          <w:rFonts w:ascii="Avenir Next" w:hAnsi="Avenir Next" w:cs="Arial"/>
          <w:sz w:val="22"/>
          <w:szCs w:val="22"/>
          <w:lang w:val="en-GB"/>
        </w:rPr>
      </w:pPr>
    </w:p>
    <w:p w14:paraId="04E0EF03" w14:textId="77777777" w:rsidR="00F746D8" w:rsidRPr="00D36E72" w:rsidRDefault="00F746D8" w:rsidP="00F746D8">
      <w:pPr>
        <w:pStyle w:val="Akapitzlist"/>
        <w:numPr>
          <w:ilvl w:val="0"/>
          <w:numId w:val="26"/>
        </w:numPr>
        <w:ind w:left="426"/>
        <w:jc w:val="both"/>
        <w:rPr>
          <w:rFonts w:ascii="Avenir Next" w:hAnsi="Avenir Next" w:cs="Arial"/>
          <w:sz w:val="22"/>
          <w:szCs w:val="22"/>
          <w:highlight w:val="yellow"/>
          <w:lang w:val="en-GB"/>
        </w:rPr>
      </w:pPr>
      <w:r w:rsidRPr="00D36E72">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D36E72" w:rsidRDefault="00F746D8" w:rsidP="00F746D8">
      <w:pPr>
        <w:pStyle w:val="Akapitzlist"/>
        <w:numPr>
          <w:ilvl w:val="0"/>
          <w:numId w:val="3"/>
        </w:numPr>
        <w:ind w:left="426"/>
        <w:jc w:val="both"/>
        <w:rPr>
          <w:rFonts w:ascii="Avenir Next" w:hAnsi="Avenir Next" w:cs="Arial"/>
          <w:iCs/>
          <w:sz w:val="22"/>
          <w:szCs w:val="22"/>
          <w:highlight w:val="yellow"/>
          <w:lang w:val="en-GB"/>
        </w:rPr>
      </w:pPr>
      <w:r w:rsidRPr="00D36E72">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Akapitzlist"/>
        <w:ind w:left="426"/>
        <w:jc w:val="both"/>
        <w:rPr>
          <w:rFonts w:ascii="Avenir Next" w:hAnsi="Avenir Next" w:cs="Arial"/>
          <w:iCs/>
          <w:sz w:val="22"/>
          <w:szCs w:val="22"/>
          <w:lang w:val="en-GB"/>
        </w:rPr>
      </w:pPr>
    </w:p>
    <w:p w14:paraId="676F8887" w14:textId="77777777" w:rsidR="00F746D8" w:rsidRPr="00D36E72" w:rsidRDefault="00F746D8" w:rsidP="00F746D8">
      <w:pPr>
        <w:pStyle w:val="Akapitzlist"/>
        <w:numPr>
          <w:ilvl w:val="0"/>
          <w:numId w:val="3"/>
        </w:numPr>
        <w:ind w:left="426"/>
        <w:jc w:val="both"/>
        <w:rPr>
          <w:rFonts w:ascii="Avenir Next" w:hAnsi="Avenir Next" w:cs="Arial"/>
          <w:iCs/>
          <w:sz w:val="22"/>
          <w:szCs w:val="22"/>
          <w:highlight w:val="yellow"/>
          <w:lang w:val="en-GB"/>
        </w:rPr>
      </w:pPr>
      <w:r w:rsidRPr="00D36E72">
        <w:rPr>
          <w:rFonts w:ascii="Avenir Next" w:hAnsi="Avenir Next" w:cs="Arial"/>
          <w:iCs/>
          <w:sz w:val="22"/>
          <w:szCs w:val="22"/>
          <w:highlight w:val="yellow"/>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Akapitzlist"/>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Akapitzlist"/>
        <w:ind w:left="426"/>
        <w:jc w:val="both"/>
        <w:rPr>
          <w:rFonts w:ascii="Avenir Next" w:hAnsi="Avenir Next" w:cs="Arial"/>
          <w:iCs/>
          <w:sz w:val="22"/>
          <w:szCs w:val="22"/>
          <w:lang w:val="en-GB"/>
        </w:rPr>
      </w:pPr>
    </w:p>
    <w:p w14:paraId="3C1680F9" w14:textId="77777777" w:rsidR="00F746D8" w:rsidRDefault="00F746D8" w:rsidP="00F746D8">
      <w:pPr>
        <w:pStyle w:val="Akapitzlist"/>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lastRenderedPageBreak/>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3EFEDC0A" w14:textId="77777777" w:rsidR="007E3507" w:rsidRPr="007E3507" w:rsidRDefault="007E3507" w:rsidP="007E3507">
      <w:pPr>
        <w:pStyle w:val="Akapitzlist"/>
        <w:rPr>
          <w:rFonts w:ascii="Avenir Next" w:hAnsi="Avenir Next" w:cs="Arial"/>
          <w:iCs/>
          <w:sz w:val="22"/>
          <w:szCs w:val="22"/>
          <w:lang w:val="en-GB"/>
        </w:rPr>
      </w:pPr>
    </w:p>
    <w:p w14:paraId="4B98C65E" w14:textId="56A462E0" w:rsidR="007E3507" w:rsidRPr="007E3507" w:rsidRDefault="007E3507" w:rsidP="007E3507">
      <w:pPr>
        <w:jc w:val="both"/>
        <w:rPr>
          <w:rFonts w:ascii="Avenir Next" w:hAnsi="Avenir Next" w:cs="Arial"/>
          <w:iCs/>
          <w:sz w:val="22"/>
          <w:szCs w:val="22"/>
          <w:lang w:val="en-GB"/>
        </w:rPr>
      </w:pPr>
      <w:r w:rsidRPr="007E3507">
        <w:rPr>
          <w:rFonts w:ascii="Avenir Next" w:hAnsi="Avenir Next" w:cs="Arial"/>
          <w:iCs/>
          <w:sz w:val="22"/>
          <w:szCs w:val="22"/>
          <w:highlight w:val="yellow"/>
          <w:lang w:val="en-GB"/>
        </w:rPr>
        <w:t>NOTE: Points (a) and (b) are identical so I have marked them both as correct.</w:t>
      </w:r>
    </w:p>
    <w:p w14:paraId="465EB0D1" w14:textId="77777777" w:rsidR="00F746D8" w:rsidRDefault="00F746D8" w:rsidP="00F746D8">
      <w:pPr>
        <w:pStyle w:val="Akapitzlist"/>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Akapitzlist"/>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Akapitzlist"/>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Akapitzlist"/>
        <w:ind w:left="426"/>
        <w:jc w:val="both"/>
        <w:rPr>
          <w:rFonts w:ascii="Avenir Next" w:hAnsi="Avenir Next" w:cs="Arial"/>
          <w:iCs/>
          <w:sz w:val="22"/>
          <w:szCs w:val="22"/>
          <w:lang w:val="en-GB"/>
        </w:rPr>
      </w:pPr>
    </w:p>
    <w:p w14:paraId="3469FC75" w14:textId="77777777" w:rsidR="00F746D8" w:rsidRPr="00AF277F" w:rsidRDefault="00F746D8" w:rsidP="00F746D8">
      <w:pPr>
        <w:pStyle w:val="Akapitzlist"/>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Akapitzlist"/>
        <w:ind w:left="426"/>
        <w:jc w:val="both"/>
        <w:rPr>
          <w:rFonts w:ascii="Avenir Next" w:hAnsi="Avenir Next" w:cs="Arial"/>
          <w:iCs/>
          <w:sz w:val="22"/>
          <w:szCs w:val="22"/>
          <w:lang w:val="en-GB"/>
        </w:rPr>
      </w:pPr>
    </w:p>
    <w:p w14:paraId="6328E9AC" w14:textId="77777777" w:rsidR="00F746D8" w:rsidRPr="00D36E72" w:rsidRDefault="00F746D8" w:rsidP="00F746D8">
      <w:pPr>
        <w:pStyle w:val="Akapitzlist"/>
        <w:numPr>
          <w:ilvl w:val="0"/>
          <w:numId w:val="27"/>
        </w:numPr>
        <w:ind w:left="426"/>
        <w:jc w:val="both"/>
        <w:rPr>
          <w:rFonts w:ascii="Avenir Next" w:hAnsi="Avenir Next"/>
          <w:sz w:val="22"/>
          <w:highlight w:val="yellow"/>
          <w:lang w:val="en-GB"/>
        </w:rPr>
      </w:pPr>
      <w:r w:rsidRPr="00D36E72">
        <w:rPr>
          <w:rFonts w:ascii="Avenir Next" w:hAnsi="Avenir Next"/>
          <w:sz w:val="22"/>
          <w:highlight w:val="yellow"/>
          <w:lang w:val="en-GB"/>
        </w:rPr>
        <w:t xml:space="preserve">The EIR 2000 </w:t>
      </w:r>
      <w:r w:rsidRPr="00D36E72">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D36E72">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Akapitzlist"/>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D36E72" w:rsidRDefault="00F746D8" w:rsidP="00F746D8">
      <w:pPr>
        <w:pStyle w:val="Akapitzlist"/>
        <w:numPr>
          <w:ilvl w:val="0"/>
          <w:numId w:val="5"/>
        </w:numPr>
        <w:ind w:left="426"/>
        <w:jc w:val="both"/>
        <w:rPr>
          <w:rFonts w:ascii="Avenir Next" w:hAnsi="Avenir Next" w:cs="Arial"/>
          <w:sz w:val="22"/>
          <w:szCs w:val="22"/>
          <w:highlight w:val="yellow"/>
          <w:lang w:val="en-GB"/>
        </w:rPr>
      </w:pPr>
      <w:r w:rsidRPr="00D36E72">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Akapitzlist"/>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Akapitzlist"/>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Akapitzlist"/>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lastRenderedPageBreak/>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Akapitzlist"/>
        <w:ind w:left="426"/>
        <w:jc w:val="both"/>
        <w:rPr>
          <w:rFonts w:ascii="Avenir Next" w:hAnsi="Avenir Next" w:cs="Arial"/>
          <w:sz w:val="22"/>
          <w:szCs w:val="22"/>
          <w:lang w:val="en-GB"/>
        </w:rPr>
      </w:pPr>
    </w:p>
    <w:p w14:paraId="54DF3437" w14:textId="20CAC8AA" w:rsidR="00F746D8" w:rsidRPr="00D36E72" w:rsidRDefault="00F746D8" w:rsidP="00F746D8">
      <w:pPr>
        <w:pStyle w:val="Akapitzlist"/>
        <w:numPr>
          <w:ilvl w:val="0"/>
          <w:numId w:val="28"/>
        </w:numPr>
        <w:ind w:left="426"/>
        <w:jc w:val="both"/>
        <w:rPr>
          <w:rFonts w:ascii="Avenir Next" w:hAnsi="Avenir Next" w:cs="Arial"/>
          <w:sz w:val="22"/>
          <w:szCs w:val="22"/>
          <w:highlight w:val="yellow"/>
          <w:lang w:val="en-GB"/>
        </w:rPr>
      </w:pPr>
      <w:r w:rsidRPr="00D36E72">
        <w:rPr>
          <w:rFonts w:ascii="Avenir Next" w:hAnsi="Avenir Next" w:cs="Arial"/>
          <w:sz w:val="22"/>
          <w:szCs w:val="22"/>
          <w:highlight w:val="yellow"/>
          <w:lang w:val="en-GB"/>
        </w:rPr>
        <w:t>Article 3 states that the courts of the Member State within the territory of which the debtor has its centre of main</w:t>
      </w:r>
      <w:r w:rsidR="003E1D56" w:rsidRPr="00D36E72">
        <w:rPr>
          <w:rFonts w:ascii="Avenir Next" w:hAnsi="Avenir Next" w:cs="Arial"/>
          <w:sz w:val="22"/>
          <w:szCs w:val="22"/>
          <w:highlight w:val="yellow"/>
          <w:lang w:val="en-GB"/>
        </w:rPr>
        <w:t xml:space="preserve"> interest</w:t>
      </w:r>
      <w:r w:rsidRPr="00D36E72">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Akapitzlist"/>
        <w:ind w:left="426"/>
        <w:jc w:val="both"/>
        <w:rPr>
          <w:rFonts w:ascii="Avenir Next" w:hAnsi="Avenir Next" w:cs="Arial"/>
          <w:sz w:val="22"/>
          <w:szCs w:val="22"/>
          <w:lang w:val="en-GB"/>
        </w:rPr>
      </w:pPr>
    </w:p>
    <w:p w14:paraId="4E7B7B16" w14:textId="77777777" w:rsidR="00F746D8" w:rsidRPr="008E3C96" w:rsidRDefault="00F746D8" w:rsidP="00F746D8">
      <w:pPr>
        <w:pStyle w:val="Akapitzlist"/>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Akapitzlist"/>
        <w:ind w:left="426"/>
        <w:jc w:val="both"/>
        <w:rPr>
          <w:rFonts w:ascii="Avenir Next" w:hAnsi="Avenir Next" w:cs="Arial"/>
          <w:sz w:val="22"/>
          <w:szCs w:val="22"/>
          <w:lang w:val="en-GB"/>
        </w:rPr>
      </w:pPr>
    </w:p>
    <w:p w14:paraId="644A958A" w14:textId="77777777" w:rsidR="00F746D8" w:rsidRPr="008E3C96" w:rsidRDefault="00F746D8" w:rsidP="00F746D8">
      <w:pPr>
        <w:pStyle w:val="Akapitzlist"/>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Akapitzlist"/>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Akapitzlist"/>
        <w:ind w:left="426"/>
        <w:jc w:val="both"/>
        <w:rPr>
          <w:rFonts w:ascii="Avenir Next" w:hAnsi="Avenir Next" w:cs="Arial"/>
          <w:sz w:val="22"/>
          <w:szCs w:val="22"/>
          <w:lang w:val="en-GB"/>
        </w:rPr>
      </w:pPr>
    </w:p>
    <w:p w14:paraId="5E504FB7" w14:textId="77777777" w:rsidR="00F746D8" w:rsidRPr="008E3C96" w:rsidRDefault="00F746D8" w:rsidP="00F746D8">
      <w:pPr>
        <w:pStyle w:val="Akapitzlist"/>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Akapitzlist"/>
        <w:numPr>
          <w:ilvl w:val="0"/>
          <w:numId w:val="7"/>
        </w:numPr>
        <w:ind w:left="426"/>
        <w:jc w:val="both"/>
        <w:rPr>
          <w:rFonts w:ascii="Avenir Next" w:hAnsi="Avenir Next" w:cs="Arial"/>
          <w:sz w:val="22"/>
          <w:szCs w:val="22"/>
          <w:lang w:val="en-GB"/>
        </w:rPr>
      </w:pPr>
      <w:r w:rsidRPr="00D36E72">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Akapitzlist"/>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Akapitzlist"/>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Akapitzlist"/>
        <w:ind w:left="426"/>
        <w:jc w:val="both"/>
        <w:rPr>
          <w:rFonts w:ascii="Avenir Next" w:hAnsi="Avenir Next" w:cs="Arial"/>
          <w:sz w:val="22"/>
          <w:szCs w:val="22"/>
          <w:lang w:val="en-GB"/>
        </w:rPr>
      </w:pPr>
    </w:p>
    <w:p w14:paraId="12FF3881" w14:textId="77777777" w:rsidR="00F746D8" w:rsidRPr="008E3C96" w:rsidRDefault="00F746D8" w:rsidP="00F746D8">
      <w:pPr>
        <w:pStyle w:val="Akapitzlist"/>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Akapitzlist"/>
        <w:ind w:left="426"/>
        <w:jc w:val="both"/>
        <w:rPr>
          <w:rFonts w:ascii="Avenir Next" w:hAnsi="Avenir Next" w:cs="Arial"/>
          <w:sz w:val="22"/>
          <w:szCs w:val="22"/>
          <w:lang w:val="en-GB"/>
        </w:rPr>
      </w:pPr>
    </w:p>
    <w:p w14:paraId="54884835" w14:textId="77777777" w:rsidR="00F746D8" w:rsidRPr="008B2EF2" w:rsidRDefault="00F746D8" w:rsidP="00F746D8">
      <w:pPr>
        <w:pStyle w:val="Akapitzlist"/>
        <w:numPr>
          <w:ilvl w:val="0"/>
          <w:numId w:val="31"/>
        </w:numPr>
        <w:ind w:left="426"/>
        <w:jc w:val="both"/>
        <w:rPr>
          <w:rFonts w:ascii="Avenir Next" w:hAnsi="Avenir Next" w:cs="Arial"/>
          <w:sz w:val="22"/>
          <w:szCs w:val="22"/>
          <w:highlight w:val="yellow"/>
          <w:lang w:val="en-GB"/>
        </w:rPr>
      </w:pPr>
      <w:r w:rsidRPr="008B2EF2">
        <w:rPr>
          <w:rFonts w:ascii="Avenir Next" w:hAnsi="Avenir Next" w:cs="Arial"/>
          <w:sz w:val="22"/>
          <w:szCs w:val="22"/>
          <w:highlight w:val="yellow"/>
          <w:lang w:val="en-GB"/>
        </w:rPr>
        <w:t>Article 7 EIR Recast (entitled “Applicable law”).</w:t>
      </w:r>
    </w:p>
    <w:p w14:paraId="0B470F1F" w14:textId="77777777" w:rsidR="00F746D8" w:rsidRPr="008E3C96" w:rsidRDefault="00F746D8" w:rsidP="00F746D8">
      <w:pPr>
        <w:pStyle w:val="Akapitzlist"/>
        <w:ind w:left="426"/>
        <w:jc w:val="both"/>
        <w:rPr>
          <w:rFonts w:ascii="Avenir Next" w:hAnsi="Avenir Next" w:cs="Arial"/>
          <w:sz w:val="22"/>
          <w:szCs w:val="22"/>
          <w:lang w:val="en-GB"/>
        </w:rPr>
      </w:pPr>
    </w:p>
    <w:p w14:paraId="401BC106" w14:textId="77777777" w:rsidR="00F746D8" w:rsidRPr="00AD35E0" w:rsidRDefault="00F746D8" w:rsidP="00F746D8">
      <w:pPr>
        <w:pStyle w:val="Akapitzlist"/>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Akapitzlist"/>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Akapitzlist"/>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Akapitzlist"/>
        <w:ind w:left="426"/>
        <w:jc w:val="both"/>
        <w:rPr>
          <w:rFonts w:ascii="Avenir Next" w:hAnsi="Avenir Next" w:cs="Arial"/>
          <w:sz w:val="22"/>
          <w:szCs w:val="22"/>
          <w:lang w:val="en-GB"/>
        </w:rPr>
      </w:pPr>
    </w:p>
    <w:p w14:paraId="5165E85E" w14:textId="77777777" w:rsidR="00F746D8" w:rsidRPr="008E3C96" w:rsidRDefault="00F746D8" w:rsidP="00F746D8">
      <w:pPr>
        <w:pStyle w:val="Akapitzlist"/>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Akapitzlist"/>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8B2EF2" w:rsidRDefault="00F746D8" w:rsidP="00F746D8">
      <w:pPr>
        <w:pStyle w:val="Akapitzlist"/>
        <w:numPr>
          <w:ilvl w:val="0"/>
          <w:numId w:val="8"/>
        </w:numPr>
        <w:ind w:left="426"/>
        <w:jc w:val="both"/>
        <w:rPr>
          <w:rFonts w:ascii="Avenir Next" w:hAnsi="Avenir Next" w:cs="Arial"/>
          <w:sz w:val="22"/>
          <w:szCs w:val="22"/>
          <w:highlight w:val="yellow"/>
          <w:lang w:val="en-GB"/>
        </w:rPr>
      </w:pPr>
      <w:r w:rsidRPr="008B2EF2">
        <w:rPr>
          <w:rFonts w:ascii="Avenir Next" w:hAnsi="Avenir Next"/>
          <w:sz w:val="22"/>
          <w:highlight w:val="yellow"/>
          <w:lang w:val="en-GB"/>
        </w:rPr>
        <w:t xml:space="preserve">The </w:t>
      </w:r>
      <w:r w:rsidRPr="008B2EF2">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222C69" w:rsidRDefault="00F746D8" w:rsidP="00F746D8">
      <w:pPr>
        <w:pStyle w:val="Akapitzlist"/>
        <w:numPr>
          <w:ilvl w:val="0"/>
          <w:numId w:val="32"/>
        </w:numPr>
        <w:ind w:left="426"/>
        <w:jc w:val="both"/>
        <w:rPr>
          <w:rFonts w:ascii="Avenir Next" w:hAnsi="Avenir Next" w:cs="Arial"/>
          <w:sz w:val="22"/>
          <w:szCs w:val="22"/>
          <w:highlight w:val="yellow"/>
          <w:lang w:val="en-GB"/>
        </w:rPr>
      </w:pPr>
      <w:r w:rsidRPr="00222C69">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Akapitzlist"/>
        <w:ind w:left="426"/>
        <w:jc w:val="both"/>
        <w:rPr>
          <w:rFonts w:ascii="Avenir Next" w:hAnsi="Avenir Next" w:cs="Arial"/>
          <w:sz w:val="22"/>
          <w:szCs w:val="22"/>
          <w:lang w:val="en-GB"/>
        </w:rPr>
      </w:pPr>
    </w:p>
    <w:p w14:paraId="12CA0080" w14:textId="77777777" w:rsidR="00F746D8" w:rsidRPr="008E3C96" w:rsidRDefault="00F746D8" w:rsidP="00F746D8">
      <w:pPr>
        <w:pStyle w:val="Akapitzlist"/>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Akapitzlist"/>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Akapitzlist"/>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lastRenderedPageBreak/>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Akapitzlist"/>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Akapitzlist"/>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Akapitzlist"/>
        <w:ind w:left="426"/>
        <w:jc w:val="both"/>
        <w:rPr>
          <w:rFonts w:ascii="Avenir Next" w:hAnsi="Avenir Next" w:cs="Arial"/>
          <w:sz w:val="22"/>
          <w:szCs w:val="22"/>
          <w:lang w:val="en-GB"/>
        </w:rPr>
      </w:pPr>
    </w:p>
    <w:p w14:paraId="39B9C266" w14:textId="77777777" w:rsidR="00F746D8" w:rsidRPr="00222C69" w:rsidRDefault="00F746D8" w:rsidP="00F746D8">
      <w:pPr>
        <w:pStyle w:val="Akapitzlist"/>
        <w:numPr>
          <w:ilvl w:val="0"/>
          <w:numId w:val="9"/>
        </w:numPr>
        <w:ind w:left="426"/>
        <w:jc w:val="both"/>
        <w:rPr>
          <w:rFonts w:ascii="Avenir Next" w:hAnsi="Avenir Next" w:cs="Arial"/>
          <w:sz w:val="22"/>
          <w:szCs w:val="22"/>
          <w:highlight w:val="yellow"/>
          <w:lang w:val="en-GB"/>
        </w:rPr>
      </w:pPr>
      <w:r w:rsidRPr="00222C69">
        <w:rPr>
          <w:rFonts w:ascii="Avenir Next" w:hAnsi="Avenir Next" w:cs="Arial"/>
          <w:sz w:val="22"/>
          <w:szCs w:val="22"/>
          <w:highlight w:val="yellow"/>
          <w:lang w:val="en-GB"/>
        </w:rPr>
        <w:t xml:space="preserve">Its centre of main interest </w:t>
      </w:r>
      <w:proofErr w:type="gramStart"/>
      <w:r w:rsidRPr="00222C69">
        <w:rPr>
          <w:rFonts w:ascii="Avenir Next" w:hAnsi="Avenir Next" w:cs="Arial"/>
          <w:sz w:val="22"/>
          <w:szCs w:val="22"/>
          <w:highlight w:val="yellow"/>
          <w:lang w:val="en-GB"/>
        </w:rPr>
        <w:t>is located in</w:t>
      </w:r>
      <w:proofErr w:type="gramEnd"/>
      <w:r w:rsidRPr="00222C69">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Akapitzlist"/>
        <w:ind w:left="426"/>
        <w:jc w:val="both"/>
        <w:rPr>
          <w:rFonts w:ascii="Avenir Next" w:hAnsi="Avenir Next" w:cs="Arial"/>
          <w:sz w:val="22"/>
          <w:szCs w:val="22"/>
          <w:lang w:val="en-GB"/>
        </w:rPr>
      </w:pPr>
    </w:p>
    <w:p w14:paraId="5769E4A5" w14:textId="77777777" w:rsidR="00F746D8" w:rsidRPr="008E3C96" w:rsidRDefault="00F746D8" w:rsidP="00F746D8">
      <w:pPr>
        <w:pStyle w:val="Akapitzlist"/>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Akapitzlist"/>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4F6919EB" w14:textId="77777777" w:rsidR="00222C69" w:rsidRDefault="00222C69" w:rsidP="000A3278">
      <w:pPr>
        <w:jc w:val="both"/>
        <w:rPr>
          <w:rFonts w:ascii="Avenir Next" w:hAnsi="Avenir Next" w:cs="Arial"/>
          <w:color w:val="7B7B7B" w:themeColor="accent3" w:themeShade="BF"/>
          <w:sz w:val="22"/>
          <w:szCs w:val="22"/>
        </w:rPr>
      </w:pPr>
    </w:p>
    <w:p w14:paraId="07E68C99" w14:textId="0398F622" w:rsidR="00222C69" w:rsidRPr="00222C69" w:rsidRDefault="00222C69" w:rsidP="00222C69">
      <w:pPr>
        <w:jc w:val="both"/>
        <w:rPr>
          <w:rFonts w:ascii="Avenir Next" w:hAnsi="Avenir Next" w:cs="Arial"/>
          <w:color w:val="7B7B7B" w:themeColor="accent3" w:themeShade="BF"/>
          <w:sz w:val="22"/>
          <w:szCs w:val="22"/>
        </w:rPr>
      </w:pPr>
      <w:r w:rsidRPr="00222C69">
        <w:rPr>
          <w:rFonts w:ascii="Avenir Next" w:hAnsi="Avenir Next" w:cs="Arial"/>
          <w:color w:val="7B7B7B" w:themeColor="accent3" w:themeShade="BF"/>
          <w:sz w:val="22"/>
          <w:szCs w:val="22"/>
        </w:rPr>
        <w:t>Statement 1 relates to proceedings promoting the rescue of economically viable debtors, especially at a stage where there is a mere likelihood of insolvency. The correct provision/concept is "Rescue proceedings at the stage of likelihood of insolvency", as outlined in Article 1(2) of the EIR Recast. This is supported by the document's emphasis on the EIR Recast which extends not only to traditional liquidation-oriented procedures but also to proceedings aiming at rescuing economically viable but financially distressed businesses, including those providing for a stay of individual creditors' actions to protect the general body of creditors​.</w:t>
      </w:r>
    </w:p>
    <w:p w14:paraId="1FF89219" w14:textId="6FD759F1" w:rsidR="00222C69" w:rsidRPr="00222C69" w:rsidRDefault="00222C69" w:rsidP="00222C69">
      <w:pPr>
        <w:jc w:val="both"/>
        <w:rPr>
          <w:rFonts w:ascii="Avenir Next" w:hAnsi="Avenir Next" w:cs="Arial"/>
          <w:color w:val="7B7B7B" w:themeColor="accent3" w:themeShade="BF"/>
          <w:sz w:val="22"/>
          <w:szCs w:val="22"/>
        </w:rPr>
      </w:pPr>
    </w:p>
    <w:p w14:paraId="1E09824B" w14:textId="77777777" w:rsidR="00222C69" w:rsidRPr="00222C69" w:rsidRDefault="00222C69" w:rsidP="00222C69">
      <w:pPr>
        <w:jc w:val="both"/>
        <w:rPr>
          <w:rFonts w:ascii="Avenir Next" w:hAnsi="Avenir Next" w:cs="Arial"/>
          <w:color w:val="7B7B7B" w:themeColor="accent3" w:themeShade="BF"/>
          <w:sz w:val="22"/>
          <w:szCs w:val="22"/>
        </w:rPr>
      </w:pPr>
    </w:p>
    <w:p w14:paraId="3701EC2B" w14:textId="6DD831BA" w:rsidR="00222C69" w:rsidRDefault="00222C69" w:rsidP="00222C69">
      <w:pPr>
        <w:jc w:val="both"/>
        <w:rPr>
          <w:rFonts w:ascii="Avenir Next" w:hAnsi="Avenir Next" w:cs="Arial"/>
          <w:color w:val="7B7B7B" w:themeColor="accent3" w:themeShade="BF"/>
          <w:sz w:val="22"/>
          <w:szCs w:val="22"/>
        </w:rPr>
      </w:pPr>
      <w:r w:rsidRPr="00222C69">
        <w:rPr>
          <w:rFonts w:ascii="Avenir Next" w:hAnsi="Avenir Next" w:cs="Arial"/>
          <w:color w:val="7B7B7B" w:themeColor="accent3" w:themeShade="BF"/>
          <w:sz w:val="22"/>
          <w:szCs w:val="22"/>
        </w:rPr>
        <w:t>Statement 2 discusses the handling of pending lawsuits in the context of insolvency proceedings, which is not affected by the lex concursus. The relevant provision/concept is the "Effects of insolvency on pending lawsuits" covered by Article 32 of the EIR Recast. This article covers the recognition of insolvency-related judgments concerning the course and closure of insolvency proceedings and compositions approved by the court. These judgments are recognized automatically once they become effective in the original venue.</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6948B395" w14:textId="697C2667" w:rsidR="00E90991" w:rsidRDefault="007E3AA9" w:rsidP="000A3278">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06AAECEA" w14:textId="77777777" w:rsidR="007E3507" w:rsidRPr="007E3507" w:rsidRDefault="007E3507" w:rsidP="000A3278">
      <w:pPr>
        <w:jc w:val="both"/>
        <w:rPr>
          <w:rFonts w:ascii="Avenir Next" w:hAnsi="Avenir Next" w:cs="Arial"/>
          <w:color w:val="7B7B7B" w:themeColor="accent3" w:themeShade="BF"/>
          <w:sz w:val="22"/>
          <w:szCs w:val="22"/>
        </w:rPr>
      </w:pPr>
    </w:p>
    <w:p w14:paraId="5470CFD1" w14:textId="489B4EA2" w:rsidR="007E3507" w:rsidRPr="007E3507" w:rsidRDefault="007E3507" w:rsidP="007E3507">
      <w:pPr>
        <w:pStyle w:val="Akapitzlist"/>
        <w:numPr>
          <w:ilvl w:val="0"/>
          <w:numId w:val="51"/>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Territorial </w:t>
      </w:r>
      <w:r w:rsidR="00195028">
        <w:rPr>
          <w:rFonts w:ascii="Avenir Next" w:hAnsi="Avenir Next" w:cs="Arial"/>
          <w:color w:val="7B7B7B" w:themeColor="accent3" w:themeShade="BF"/>
          <w:sz w:val="22"/>
          <w:szCs w:val="22"/>
          <w:lang w:val="en-US"/>
        </w:rPr>
        <w:t>s</w:t>
      </w:r>
      <w:r>
        <w:rPr>
          <w:rFonts w:ascii="Avenir Next" w:hAnsi="Avenir Next" w:cs="Arial"/>
          <w:color w:val="7B7B7B" w:themeColor="accent3" w:themeShade="BF"/>
          <w:sz w:val="22"/>
          <w:szCs w:val="22"/>
          <w:lang w:val="en-US"/>
        </w:rPr>
        <w:t xml:space="preserve">cope of </w:t>
      </w:r>
      <w:r w:rsidR="00195028">
        <w:rPr>
          <w:rFonts w:ascii="Avenir Next" w:hAnsi="Avenir Next" w:cs="Arial"/>
          <w:color w:val="7B7B7B" w:themeColor="accent3" w:themeShade="BF"/>
          <w:sz w:val="22"/>
          <w:szCs w:val="22"/>
          <w:lang w:val="en-US"/>
        </w:rPr>
        <w:t>s</w:t>
      </w:r>
      <w:r>
        <w:rPr>
          <w:rFonts w:ascii="Avenir Next" w:hAnsi="Avenir Next" w:cs="Arial"/>
          <w:color w:val="7B7B7B" w:themeColor="accent3" w:themeShade="BF"/>
          <w:sz w:val="22"/>
          <w:szCs w:val="22"/>
          <w:lang w:val="en-US"/>
        </w:rPr>
        <w:t xml:space="preserve">econdary </w:t>
      </w:r>
      <w:r w:rsidR="00195028">
        <w:rPr>
          <w:rFonts w:ascii="Avenir Next" w:hAnsi="Avenir Next" w:cs="Arial"/>
          <w:color w:val="7B7B7B" w:themeColor="accent3" w:themeShade="BF"/>
          <w:sz w:val="22"/>
          <w:szCs w:val="22"/>
          <w:lang w:val="en-US"/>
        </w:rPr>
        <w:t>p</w:t>
      </w:r>
      <w:r>
        <w:rPr>
          <w:rFonts w:ascii="Avenir Next" w:hAnsi="Avenir Next" w:cs="Arial"/>
          <w:color w:val="7B7B7B" w:themeColor="accent3" w:themeShade="BF"/>
          <w:sz w:val="22"/>
          <w:szCs w:val="22"/>
          <w:lang w:val="en-US"/>
        </w:rPr>
        <w:t xml:space="preserve">roceedings: </w:t>
      </w:r>
      <w:r w:rsidR="00195028">
        <w:rPr>
          <w:rFonts w:ascii="Avenir Next" w:hAnsi="Avenir Next" w:cs="Arial"/>
          <w:color w:val="7B7B7B" w:themeColor="accent3" w:themeShade="BF"/>
          <w:sz w:val="22"/>
          <w:szCs w:val="22"/>
          <w:lang w:val="en-US"/>
        </w:rPr>
        <w:t>t</w:t>
      </w:r>
      <w:r>
        <w:rPr>
          <w:rFonts w:ascii="Avenir Next" w:hAnsi="Avenir Next" w:cs="Arial"/>
          <w:color w:val="7B7B7B" w:themeColor="accent3" w:themeShade="BF"/>
          <w:sz w:val="22"/>
          <w:szCs w:val="22"/>
          <w:lang w:val="en-US"/>
        </w:rPr>
        <w:t xml:space="preserve">he assets situated in the Member State in which they are initiated are the exclusive territory of secondary insolvency proceedings. </w:t>
      </w:r>
      <w:r w:rsidRPr="007E3507">
        <w:rPr>
          <w:rFonts w:ascii="Avenir Next" w:hAnsi="Avenir Next" w:cs="Arial"/>
          <w:color w:val="7B7B7B" w:themeColor="accent3" w:themeShade="BF"/>
          <w:sz w:val="22"/>
          <w:szCs w:val="22"/>
          <w:lang w:val="en-US"/>
        </w:rPr>
        <w:t xml:space="preserve">This limitation departs from the common practice of having a single insolvency estate by establishing a distinct insolvency estate that is cut off from the main insolvency proceeding. </w:t>
      </w:r>
    </w:p>
    <w:p w14:paraId="49FF2003" w14:textId="57A22DB2" w:rsidR="007E3507" w:rsidRPr="007E3507" w:rsidRDefault="007E3507" w:rsidP="007E3507">
      <w:pPr>
        <w:pStyle w:val="Akapitzlist"/>
        <w:numPr>
          <w:ilvl w:val="0"/>
          <w:numId w:val="51"/>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Establishment </w:t>
      </w:r>
      <w:r w:rsidR="00195028">
        <w:rPr>
          <w:rFonts w:ascii="Avenir Next" w:hAnsi="Avenir Next" w:cs="Arial"/>
          <w:color w:val="7B7B7B" w:themeColor="accent3" w:themeShade="BF"/>
          <w:sz w:val="22"/>
          <w:szCs w:val="22"/>
          <w:lang w:val="en-US"/>
        </w:rPr>
        <w:t>r</w:t>
      </w:r>
      <w:r>
        <w:rPr>
          <w:rFonts w:ascii="Avenir Next" w:hAnsi="Avenir Next" w:cs="Arial"/>
          <w:color w:val="7B7B7B" w:themeColor="accent3" w:themeShade="BF"/>
          <w:sz w:val="22"/>
          <w:szCs w:val="22"/>
          <w:lang w:val="en-US"/>
        </w:rPr>
        <w:t xml:space="preserve">equirement: </w:t>
      </w:r>
      <w:r w:rsidR="00195028">
        <w:rPr>
          <w:rFonts w:ascii="Avenir Next" w:hAnsi="Avenir Next" w:cs="Arial"/>
          <w:color w:val="7B7B7B" w:themeColor="accent3" w:themeShade="BF"/>
          <w:sz w:val="22"/>
          <w:szCs w:val="22"/>
          <w:lang w:val="en-US"/>
        </w:rPr>
        <w:t>o</w:t>
      </w:r>
      <w:r>
        <w:rPr>
          <w:rFonts w:ascii="Avenir Next" w:hAnsi="Avenir Next" w:cs="Arial"/>
          <w:color w:val="7B7B7B" w:themeColor="accent3" w:themeShade="BF"/>
          <w:sz w:val="22"/>
          <w:szCs w:val="22"/>
          <w:lang w:val="en-US"/>
        </w:rPr>
        <w:t xml:space="preserve">nly in Member States where the debtor maintains an establishment may secondary proceedings be initiated. </w:t>
      </w:r>
      <w:r w:rsidRPr="007E3507">
        <w:rPr>
          <w:rFonts w:ascii="Avenir Next" w:hAnsi="Avenir Next" w:cs="Arial"/>
          <w:color w:val="7B7B7B" w:themeColor="accent3" w:themeShade="BF"/>
          <w:sz w:val="22"/>
          <w:szCs w:val="22"/>
          <w:lang w:val="en-US"/>
        </w:rPr>
        <w:t xml:space="preserve">Instead of using a purely universal strategy based on the debtor's COMI, this requirement links the initiation of secondary proceedings to the existence of an establishment in a particular Member State. </w:t>
      </w:r>
    </w:p>
    <w:p w14:paraId="12B06A58" w14:textId="7EAF2264" w:rsidR="007E3507" w:rsidRPr="007E3507" w:rsidRDefault="007E3507" w:rsidP="007E3507">
      <w:pPr>
        <w:pStyle w:val="Akapitzlist"/>
        <w:numPr>
          <w:ilvl w:val="0"/>
          <w:numId w:val="51"/>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Distinct </w:t>
      </w:r>
      <w:r w:rsidR="00195028">
        <w:rPr>
          <w:rFonts w:ascii="Avenir Next" w:hAnsi="Avenir Next" w:cs="Arial"/>
          <w:color w:val="7B7B7B" w:themeColor="accent3" w:themeShade="BF"/>
          <w:sz w:val="22"/>
          <w:szCs w:val="22"/>
          <w:lang w:val="en-US"/>
        </w:rPr>
        <w:t>g</w:t>
      </w:r>
      <w:r>
        <w:rPr>
          <w:rFonts w:ascii="Avenir Next" w:hAnsi="Avenir Next" w:cs="Arial"/>
          <w:color w:val="7B7B7B" w:themeColor="accent3" w:themeShade="BF"/>
          <w:sz w:val="22"/>
          <w:szCs w:val="22"/>
          <w:lang w:val="en-US"/>
        </w:rPr>
        <w:t xml:space="preserve">oals of </w:t>
      </w:r>
      <w:r w:rsidR="00195028">
        <w:rPr>
          <w:rFonts w:ascii="Avenir Next" w:hAnsi="Avenir Next" w:cs="Arial"/>
          <w:color w:val="7B7B7B" w:themeColor="accent3" w:themeShade="BF"/>
          <w:sz w:val="22"/>
          <w:szCs w:val="22"/>
          <w:lang w:val="en-US"/>
        </w:rPr>
        <w:t>m</w:t>
      </w:r>
      <w:r>
        <w:rPr>
          <w:rFonts w:ascii="Avenir Next" w:hAnsi="Avenir Next" w:cs="Arial"/>
          <w:color w:val="7B7B7B" w:themeColor="accent3" w:themeShade="BF"/>
          <w:sz w:val="22"/>
          <w:szCs w:val="22"/>
          <w:lang w:val="en-US"/>
        </w:rPr>
        <w:t xml:space="preserve">ain and </w:t>
      </w:r>
      <w:r w:rsidR="00195028">
        <w:rPr>
          <w:rFonts w:ascii="Avenir Next" w:hAnsi="Avenir Next" w:cs="Arial"/>
          <w:color w:val="7B7B7B" w:themeColor="accent3" w:themeShade="BF"/>
          <w:sz w:val="22"/>
          <w:szCs w:val="22"/>
          <w:lang w:val="en-US"/>
        </w:rPr>
        <w:t>s</w:t>
      </w:r>
      <w:r>
        <w:rPr>
          <w:rFonts w:ascii="Avenir Next" w:hAnsi="Avenir Next" w:cs="Arial"/>
          <w:color w:val="7B7B7B" w:themeColor="accent3" w:themeShade="BF"/>
          <w:sz w:val="22"/>
          <w:szCs w:val="22"/>
          <w:lang w:val="en-US"/>
        </w:rPr>
        <w:t xml:space="preserve">econdary </w:t>
      </w:r>
      <w:r w:rsidR="00195028">
        <w:rPr>
          <w:rFonts w:ascii="Avenir Next" w:hAnsi="Avenir Next" w:cs="Arial"/>
          <w:color w:val="7B7B7B" w:themeColor="accent3" w:themeShade="BF"/>
          <w:sz w:val="22"/>
          <w:szCs w:val="22"/>
          <w:lang w:val="en-US"/>
        </w:rPr>
        <w:t>p</w:t>
      </w:r>
      <w:r>
        <w:rPr>
          <w:rFonts w:ascii="Avenir Next" w:hAnsi="Avenir Next" w:cs="Arial"/>
          <w:color w:val="7B7B7B" w:themeColor="accent3" w:themeShade="BF"/>
          <w:sz w:val="22"/>
          <w:szCs w:val="22"/>
          <w:lang w:val="en-US"/>
        </w:rPr>
        <w:t xml:space="preserve">rocedures: </w:t>
      </w:r>
      <w:r w:rsidR="00195028">
        <w:rPr>
          <w:rFonts w:ascii="Avenir Next" w:hAnsi="Avenir Next" w:cs="Arial"/>
          <w:color w:val="7B7B7B" w:themeColor="accent3" w:themeShade="BF"/>
          <w:sz w:val="22"/>
          <w:szCs w:val="22"/>
          <w:lang w:val="en-US"/>
        </w:rPr>
        <w:t>m</w:t>
      </w:r>
      <w:r>
        <w:rPr>
          <w:rFonts w:ascii="Avenir Next" w:hAnsi="Avenir Next" w:cs="Arial"/>
          <w:color w:val="7B7B7B" w:themeColor="accent3" w:themeShade="BF"/>
          <w:sz w:val="22"/>
          <w:szCs w:val="22"/>
          <w:lang w:val="en-US"/>
        </w:rPr>
        <w:t xml:space="preserve">ain insolvency procedures have a rehabilitation goal, whereas secondary procedures might have a liquidation goal. </w:t>
      </w:r>
      <w:r w:rsidRPr="007E3507">
        <w:rPr>
          <w:rFonts w:ascii="Avenir Next" w:hAnsi="Avenir Next" w:cs="Arial"/>
          <w:color w:val="7B7B7B" w:themeColor="accent3" w:themeShade="BF"/>
          <w:sz w:val="22"/>
          <w:szCs w:val="22"/>
          <w:lang w:val="en-US"/>
        </w:rPr>
        <w:t>The divergent goals of primary and secondary proceedings may cause inconsistencies and conflicts in the management and results of the insolvency process, thereby departing from a standard procedure for all proceedings.</w:t>
      </w:r>
    </w:p>
    <w:p w14:paraId="4BF6D858" w14:textId="77777777" w:rsidR="007E3507" w:rsidRDefault="007E3507" w:rsidP="000A3278">
      <w:pPr>
        <w:jc w:val="both"/>
        <w:rPr>
          <w:rFonts w:ascii="Avenir Next" w:hAnsi="Avenir Next" w:cs="Arial"/>
          <w:sz w:val="22"/>
          <w:szCs w:val="22"/>
          <w:lang w:val="en-GB"/>
        </w:rPr>
      </w:pPr>
    </w:p>
    <w:p w14:paraId="2B6511BB" w14:textId="77777777" w:rsidR="007E3507" w:rsidRPr="005E42DB" w:rsidRDefault="007E3507"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4BF42883" w14:textId="77777777" w:rsidR="00F11BD6" w:rsidRDefault="00F11BD6" w:rsidP="000A3278">
      <w:pPr>
        <w:jc w:val="both"/>
        <w:rPr>
          <w:rFonts w:ascii="Avenir Next" w:hAnsi="Avenir Next" w:cs="Arial"/>
          <w:color w:val="7B7B7B" w:themeColor="accent3" w:themeShade="BF"/>
          <w:sz w:val="22"/>
          <w:szCs w:val="22"/>
        </w:rPr>
      </w:pPr>
    </w:p>
    <w:p w14:paraId="34FA7627" w14:textId="5E6B61A1" w:rsidR="00F11BD6" w:rsidRPr="007E3507" w:rsidRDefault="00F11BD6" w:rsidP="00F11BD6">
      <w:pPr>
        <w:jc w:val="both"/>
        <w:rPr>
          <w:rFonts w:ascii="Avenir Next" w:hAnsi="Avenir Next" w:cs="Arial"/>
          <w:color w:val="7B7B7B" w:themeColor="accent3" w:themeShade="BF"/>
          <w:sz w:val="22"/>
          <w:szCs w:val="22"/>
          <w:lang w:val="en-US"/>
        </w:rPr>
      </w:pPr>
      <w:r w:rsidRPr="007E3507">
        <w:rPr>
          <w:rFonts w:ascii="Avenir Next" w:hAnsi="Avenir Next" w:cs="Arial"/>
          <w:color w:val="7B7B7B" w:themeColor="accent3" w:themeShade="BF"/>
          <w:sz w:val="22"/>
          <w:szCs w:val="22"/>
          <w:lang w:val="en-US"/>
        </w:rPr>
        <w:t xml:space="preserve">1. Secondary or </w:t>
      </w:r>
      <w:r w:rsidR="00195028">
        <w:rPr>
          <w:rFonts w:ascii="Avenir Next" w:hAnsi="Avenir Next" w:cs="Arial"/>
          <w:color w:val="7B7B7B" w:themeColor="accent3" w:themeShade="BF"/>
          <w:sz w:val="22"/>
          <w:szCs w:val="22"/>
          <w:lang w:val="en-US"/>
        </w:rPr>
        <w:t>t</w:t>
      </w:r>
      <w:r w:rsidRPr="007E3507">
        <w:rPr>
          <w:rFonts w:ascii="Avenir Next" w:hAnsi="Avenir Next" w:cs="Arial"/>
          <w:color w:val="7B7B7B" w:themeColor="accent3" w:themeShade="BF"/>
          <w:sz w:val="22"/>
          <w:szCs w:val="22"/>
          <w:lang w:val="en-US"/>
        </w:rPr>
        <w:t xml:space="preserve">erritorial </w:t>
      </w:r>
      <w:r w:rsidR="00195028">
        <w:rPr>
          <w:rFonts w:ascii="Avenir Next" w:hAnsi="Avenir Next" w:cs="Arial"/>
          <w:color w:val="7B7B7B" w:themeColor="accent3" w:themeShade="BF"/>
          <w:sz w:val="22"/>
          <w:szCs w:val="22"/>
          <w:lang w:val="en-US"/>
        </w:rPr>
        <w:t>i</w:t>
      </w:r>
      <w:r w:rsidRPr="007E3507">
        <w:rPr>
          <w:rFonts w:ascii="Avenir Next" w:hAnsi="Avenir Next" w:cs="Arial"/>
          <w:color w:val="7B7B7B" w:themeColor="accent3" w:themeShade="BF"/>
          <w:sz w:val="22"/>
          <w:szCs w:val="22"/>
          <w:lang w:val="en-US"/>
        </w:rPr>
        <w:t xml:space="preserve">nsolvency </w:t>
      </w:r>
      <w:r w:rsidR="00195028">
        <w:rPr>
          <w:rFonts w:ascii="Avenir Next" w:hAnsi="Avenir Next" w:cs="Arial"/>
          <w:color w:val="7B7B7B" w:themeColor="accent3" w:themeShade="BF"/>
          <w:sz w:val="22"/>
          <w:szCs w:val="22"/>
          <w:lang w:val="en-US"/>
        </w:rPr>
        <w:t>p</w:t>
      </w:r>
      <w:r w:rsidRPr="007E3507">
        <w:rPr>
          <w:rFonts w:ascii="Avenir Next" w:hAnsi="Avenir Next" w:cs="Arial"/>
          <w:color w:val="7B7B7B" w:themeColor="accent3" w:themeShade="BF"/>
          <w:sz w:val="22"/>
          <w:szCs w:val="22"/>
          <w:lang w:val="en-US"/>
        </w:rPr>
        <w:t>roceedings (Article 3.2):</w:t>
      </w:r>
    </w:p>
    <w:p w14:paraId="07937D94" w14:textId="77777777" w:rsidR="00F11BD6" w:rsidRPr="007E3507" w:rsidRDefault="00F11BD6" w:rsidP="00F11BD6">
      <w:pPr>
        <w:jc w:val="both"/>
        <w:rPr>
          <w:rFonts w:ascii="Avenir Next" w:hAnsi="Avenir Next" w:cs="Arial"/>
          <w:color w:val="7B7B7B" w:themeColor="accent3" w:themeShade="BF"/>
          <w:sz w:val="22"/>
          <w:szCs w:val="22"/>
          <w:lang w:val="en-US"/>
        </w:rPr>
      </w:pPr>
    </w:p>
    <w:p w14:paraId="40454E36" w14:textId="069640FE" w:rsidR="00F11BD6" w:rsidRPr="007E3507" w:rsidRDefault="00F11BD6" w:rsidP="007E3507">
      <w:pPr>
        <w:pStyle w:val="Akapitzlist"/>
        <w:numPr>
          <w:ilvl w:val="0"/>
          <w:numId w:val="52"/>
        </w:numPr>
        <w:jc w:val="both"/>
        <w:rPr>
          <w:rFonts w:ascii="Avenir Next" w:hAnsi="Avenir Next" w:cs="Arial"/>
          <w:color w:val="7B7B7B" w:themeColor="accent3" w:themeShade="BF"/>
          <w:sz w:val="22"/>
          <w:szCs w:val="22"/>
          <w:lang w:val="en-US"/>
        </w:rPr>
      </w:pPr>
      <w:r w:rsidRPr="007E3507">
        <w:rPr>
          <w:rFonts w:ascii="Avenir Next" w:hAnsi="Avenir Next" w:cs="Arial"/>
          <w:color w:val="7B7B7B" w:themeColor="accent3" w:themeShade="BF"/>
          <w:sz w:val="22"/>
          <w:szCs w:val="22"/>
          <w:lang w:val="en-US"/>
        </w:rPr>
        <w:t xml:space="preserve">While emphasizing the concept of main proceedings with global consequences, the EIR Recast permits secondary or territorial procedures in a Member State where the debtor has </w:t>
      </w:r>
      <w:r w:rsidR="007E3507" w:rsidRPr="007E3507">
        <w:rPr>
          <w:rFonts w:ascii="Avenir Next" w:hAnsi="Avenir Next" w:cs="Arial"/>
          <w:color w:val="7B7B7B" w:themeColor="accent3" w:themeShade="BF"/>
          <w:sz w:val="22"/>
          <w:szCs w:val="22"/>
          <w:lang w:val="en-US"/>
        </w:rPr>
        <w:t>an</w:t>
      </w:r>
      <w:r w:rsidRPr="007E3507">
        <w:rPr>
          <w:rFonts w:ascii="Avenir Next" w:hAnsi="Avenir Next" w:cs="Arial"/>
          <w:color w:val="7B7B7B" w:themeColor="accent3" w:themeShade="BF"/>
          <w:sz w:val="22"/>
          <w:szCs w:val="22"/>
          <w:lang w:val="en-US"/>
        </w:rPr>
        <w:t xml:space="preserve"> "establishment" (not necessarily its COMI).</w:t>
      </w:r>
    </w:p>
    <w:p w14:paraId="3DD65757" w14:textId="13DADA79" w:rsidR="00F11BD6" w:rsidRPr="007E3507" w:rsidRDefault="00F11BD6" w:rsidP="007E3507">
      <w:pPr>
        <w:pStyle w:val="Akapitzlist"/>
        <w:numPr>
          <w:ilvl w:val="0"/>
          <w:numId w:val="52"/>
        </w:numPr>
        <w:jc w:val="both"/>
        <w:rPr>
          <w:rFonts w:ascii="Avenir Next" w:hAnsi="Avenir Next" w:cs="Arial"/>
          <w:color w:val="7B7B7B" w:themeColor="accent3" w:themeShade="BF"/>
          <w:sz w:val="22"/>
          <w:szCs w:val="22"/>
        </w:rPr>
      </w:pPr>
      <w:proofErr w:type="spellStart"/>
      <w:r w:rsidRPr="007E3507">
        <w:rPr>
          <w:rFonts w:ascii="Avenir Next" w:hAnsi="Avenir Next" w:cs="Arial"/>
          <w:color w:val="7B7B7B" w:themeColor="accent3" w:themeShade="BF"/>
          <w:sz w:val="22"/>
          <w:szCs w:val="22"/>
        </w:rPr>
        <w:lastRenderedPageBreak/>
        <w:t>This</w:t>
      </w:r>
      <w:proofErr w:type="spellEnd"/>
      <w:r w:rsidRPr="007E3507">
        <w:rPr>
          <w:rFonts w:ascii="Avenir Next" w:hAnsi="Avenir Next" w:cs="Arial"/>
          <w:color w:val="7B7B7B" w:themeColor="accent3" w:themeShade="BF"/>
          <w:sz w:val="22"/>
          <w:szCs w:val="22"/>
        </w:rPr>
        <w:t xml:space="preserve"> </w:t>
      </w:r>
      <w:proofErr w:type="spellStart"/>
      <w:r w:rsidRPr="007E3507">
        <w:rPr>
          <w:rFonts w:ascii="Avenir Next" w:hAnsi="Avenir Next" w:cs="Arial"/>
          <w:color w:val="7B7B7B" w:themeColor="accent3" w:themeShade="BF"/>
          <w:sz w:val="22"/>
          <w:szCs w:val="22"/>
        </w:rPr>
        <w:t>establishes</w:t>
      </w:r>
      <w:proofErr w:type="spellEnd"/>
      <w:r w:rsidRPr="007E3507">
        <w:rPr>
          <w:rFonts w:ascii="Avenir Next" w:hAnsi="Avenir Next" w:cs="Arial"/>
          <w:color w:val="7B7B7B" w:themeColor="accent3" w:themeShade="BF"/>
          <w:sz w:val="22"/>
          <w:szCs w:val="22"/>
        </w:rPr>
        <w:t xml:space="preserve"> </w:t>
      </w:r>
      <w:proofErr w:type="spellStart"/>
      <w:r w:rsidRPr="007E3507">
        <w:rPr>
          <w:rFonts w:ascii="Avenir Next" w:hAnsi="Avenir Next" w:cs="Arial"/>
          <w:color w:val="7B7B7B" w:themeColor="accent3" w:themeShade="BF"/>
          <w:sz w:val="22"/>
          <w:szCs w:val="22"/>
        </w:rPr>
        <w:t>an</w:t>
      </w:r>
      <w:proofErr w:type="spellEnd"/>
      <w:r w:rsidRPr="007E3507">
        <w:rPr>
          <w:rFonts w:ascii="Avenir Next" w:hAnsi="Avenir Next" w:cs="Arial"/>
          <w:color w:val="7B7B7B" w:themeColor="accent3" w:themeShade="BF"/>
          <w:sz w:val="22"/>
          <w:szCs w:val="22"/>
        </w:rPr>
        <w:t xml:space="preserve"> </w:t>
      </w:r>
      <w:proofErr w:type="spellStart"/>
      <w:r w:rsidRPr="007E3507">
        <w:rPr>
          <w:rFonts w:ascii="Avenir Next" w:hAnsi="Avenir Next" w:cs="Arial"/>
          <w:color w:val="7B7B7B" w:themeColor="accent3" w:themeShade="BF"/>
          <w:sz w:val="22"/>
          <w:szCs w:val="22"/>
        </w:rPr>
        <w:t>exception</w:t>
      </w:r>
      <w:proofErr w:type="spellEnd"/>
      <w:r w:rsidRPr="007E3507">
        <w:rPr>
          <w:rFonts w:ascii="Avenir Next" w:hAnsi="Avenir Next" w:cs="Arial"/>
          <w:color w:val="7B7B7B" w:themeColor="accent3" w:themeShade="BF"/>
          <w:sz w:val="22"/>
          <w:szCs w:val="22"/>
        </w:rPr>
        <w:t xml:space="preserve"> to universality because these secondary procedures focus on local interests and assets, applying the lex </w:t>
      </w:r>
      <w:proofErr w:type="spellStart"/>
      <w:r w:rsidRPr="007E3507">
        <w:rPr>
          <w:rFonts w:ascii="Avenir Next" w:hAnsi="Avenir Next" w:cs="Arial"/>
          <w:color w:val="7B7B7B" w:themeColor="accent3" w:themeShade="BF"/>
          <w:sz w:val="22"/>
          <w:szCs w:val="22"/>
        </w:rPr>
        <w:t>fori</w:t>
      </w:r>
      <w:proofErr w:type="spellEnd"/>
      <w:r w:rsidRPr="007E3507">
        <w:rPr>
          <w:rFonts w:ascii="Avenir Next" w:hAnsi="Avenir Next" w:cs="Arial"/>
          <w:color w:val="7B7B7B" w:themeColor="accent3" w:themeShade="BF"/>
          <w:sz w:val="22"/>
          <w:szCs w:val="22"/>
        </w:rPr>
        <w:t xml:space="preserve"> concursus (law of the forum court) rather than globally following the primary proceedings.</w:t>
      </w:r>
    </w:p>
    <w:p w14:paraId="62E189C2" w14:textId="77777777" w:rsidR="00F11BD6" w:rsidRPr="00F11BD6" w:rsidRDefault="00F11BD6" w:rsidP="00F11BD6">
      <w:pPr>
        <w:jc w:val="both"/>
        <w:rPr>
          <w:rFonts w:ascii="Avenir Next" w:hAnsi="Avenir Next" w:cs="Arial"/>
          <w:color w:val="7B7B7B" w:themeColor="accent3" w:themeShade="BF"/>
          <w:sz w:val="22"/>
          <w:szCs w:val="22"/>
        </w:rPr>
      </w:pPr>
    </w:p>
    <w:p w14:paraId="016EB990" w14:textId="404218A4" w:rsidR="00F11BD6" w:rsidRPr="00195028" w:rsidRDefault="00F11BD6" w:rsidP="00F11BD6">
      <w:pPr>
        <w:jc w:val="both"/>
        <w:rPr>
          <w:rFonts w:ascii="Avenir Next" w:hAnsi="Avenir Next" w:cs="Arial"/>
          <w:color w:val="7B7B7B" w:themeColor="accent3" w:themeShade="BF"/>
          <w:sz w:val="22"/>
          <w:szCs w:val="22"/>
          <w:lang w:val="en-US"/>
        </w:rPr>
      </w:pPr>
      <w:r w:rsidRPr="00195028">
        <w:rPr>
          <w:rFonts w:ascii="Avenir Next" w:hAnsi="Avenir Next" w:cs="Arial"/>
          <w:color w:val="7B7B7B" w:themeColor="accent3" w:themeShade="BF"/>
          <w:sz w:val="22"/>
          <w:szCs w:val="22"/>
          <w:lang w:val="en-US"/>
        </w:rPr>
        <w:t xml:space="preserve">2. Third-Party </w:t>
      </w:r>
      <w:r w:rsidR="00195028" w:rsidRPr="00195028">
        <w:rPr>
          <w:rFonts w:ascii="Avenir Next" w:hAnsi="Avenir Next" w:cs="Arial"/>
          <w:color w:val="7B7B7B" w:themeColor="accent3" w:themeShade="BF"/>
          <w:sz w:val="22"/>
          <w:szCs w:val="22"/>
          <w:lang w:val="en-US"/>
        </w:rPr>
        <w:t>r</w:t>
      </w:r>
      <w:r w:rsidRPr="00195028">
        <w:rPr>
          <w:rFonts w:ascii="Avenir Next" w:hAnsi="Avenir Next" w:cs="Arial"/>
          <w:color w:val="7B7B7B" w:themeColor="accent3" w:themeShade="BF"/>
          <w:sz w:val="22"/>
          <w:szCs w:val="22"/>
          <w:lang w:val="en-US"/>
        </w:rPr>
        <w:t>ights in Rem (Article 8)</w:t>
      </w:r>
    </w:p>
    <w:p w14:paraId="0FD173E0" w14:textId="77777777" w:rsidR="00F11BD6" w:rsidRPr="00195028" w:rsidRDefault="00F11BD6" w:rsidP="00F11BD6">
      <w:pPr>
        <w:jc w:val="both"/>
        <w:rPr>
          <w:rFonts w:ascii="Avenir Next" w:hAnsi="Avenir Next" w:cs="Arial"/>
          <w:color w:val="7B7B7B" w:themeColor="accent3" w:themeShade="BF"/>
          <w:sz w:val="22"/>
          <w:szCs w:val="22"/>
          <w:lang w:val="en-US"/>
        </w:rPr>
      </w:pPr>
    </w:p>
    <w:p w14:paraId="71571271" w14:textId="56425D08" w:rsidR="00F11BD6" w:rsidRPr="007E3507" w:rsidRDefault="00F11BD6" w:rsidP="007E3507">
      <w:pPr>
        <w:pStyle w:val="Akapitzlist"/>
        <w:numPr>
          <w:ilvl w:val="0"/>
          <w:numId w:val="53"/>
        </w:numPr>
        <w:jc w:val="both"/>
        <w:rPr>
          <w:rFonts w:ascii="Avenir Next" w:hAnsi="Avenir Next" w:cs="Arial"/>
          <w:color w:val="7B7B7B" w:themeColor="accent3" w:themeShade="BF"/>
          <w:sz w:val="22"/>
          <w:szCs w:val="22"/>
          <w:lang w:val="en-US"/>
        </w:rPr>
      </w:pPr>
      <w:r w:rsidRPr="007E3507">
        <w:rPr>
          <w:rFonts w:ascii="Avenir Next" w:hAnsi="Avenir Next" w:cs="Arial"/>
          <w:color w:val="7B7B7B" w:themeColor="accent3" w:themeShade="BF"/>
          <w:sz w:val="22"/>
          <w:szCs w:val="22"/>
          <w:lang w:val="en-US"/>
        </w:rPr>
        <w:t>The EIR Recast protects creditors' and third parties' rights in rem (real rights) in assets located outside of the main proceedings' jurisdiction.</w:t>
      </w:r>
    </w:p>
    <w:p w14:paraId="346B7BFD" w14:textId="70F2097A" w:rsidR="00F11BD6" w:rsidRPr="007E3507" w:rsidRDefault="00F11BD6" w:rsidP="007E3507">
      <w:pPr>
        <w:pStyle w:val="Akapitzlist"/>
        <w:numPr>
          <w:ilvl w:val="0"/>
          <w:numId w:val="53"/>
        </w:numPr>
        <w:jc w:val="both"/>
        <w:rPr>
          <w:rFonts w:ascii="Avenir Next" w:hAnsi="Avenir Next" w:cs="Arial"/>
          <w:color w:val="7B7B7B" w:themeColor="accent3" w:themeShade="BF"/>
          <w:sz w:val="22"/>
          <w:szCs w:val="22"/>
          <w:lang w:val="en-US"/>
        </w:rPr>
      </w:pPr>
      <w:r w:rsidRPr="007E3507">
        <w:rPr>
          <w:rFonts w:ascii="Avenir Next" w:hAnsi="Avenir Next" w:cs="Arial"/>
          <w:color w:val="7B7B7B" w:themeColor="accent3" w:themeShade="BF"/>
          <w:sz w:val="22"/>
          <w:szCs w:val="22"/>
          <w:lang w:val="en-US"/>
        </w:rPr>
        <w:t>This provision departs from universality by ensuring that these rights are subject to the law of the asset's location (lex situs) and are unaffected by the commencement of insolvency proceedings in another jurisdiction.</w:t>
      </w:r>
    </w:p>
    <w:p w14:paraId="1A806F9B" w14:textId="77777777" w:rsidR="00F11BD6" w:rsidRPr="007E3507" w:rsidRDefault="00F11BD6" w:rsidP="00F11BD6">
      <w:pPr>
        <w:jc w:val="both"/>
        <w:rPr>
          <w:rFonts w:ascii="Avenir Next" w:hAnsi="Avenir Next" w:cs="Arial"/>
          <w:color w:val="7B7B7B" w:themeColor="accent3" w:themeShade="BF"/>
          <w:sz w:val="22"/>
          <w:szCs w:val="22"/>
          <w:lang w:val="en-US"/>
        </w:rPr>
      </w:pPr>
    </w:p>
    <w:p w14:paraId="4C4646DA" w14:textId="46BDDEFF" w:rsidR="00F11BD6" w:rsidRPr="00195028" w:rsidRDefault="00F11BD6" w:rsidP="00F11BD6">
      <w:pPr>
        <w:jc w:val="both"/>
        <w:rPr>
          <w:rFonts w:ascii="Avenir Next" w:hAnsi="Avenir Next" w:cs="Arial"/>
          <w:color w:val="7B7B7B" w:themeColor="accent3" w:themeShade="BF"/>
          <w:sz w:val="22"/>
          <w:szCs w:val="22"/>
          <w:lang w:val="en-US"/>
        </w:rPr>
      </w:pPr>
      <w:r w:rsidRPr="00195028">
        <w:rPr>
          <w:rFonts w:ascii="Avenir Next" w:hAnsi="Avenir Next" w:cs="Arial"/>
          <w:color w:val="7B7B7B" w:themeColor="accent3" w:themeShade="BF"/>
          <w:sz w:val="22"/>
          <w:szCs w:val="22"/>
          <w:lang w:val="en-US"/>
        </w:rPr>
        <w:t xml:space="preserve">3. Exceptions to the </w:t>
      </w:r>
      <w:r w:rsidR="00195028" w:rsidRPr="00195028">
        <w:rPr>
          <w:rFonts w:ascii="Avenir Next" w:hAnsi="Avenir Next" w:cs="Arial"/>
          <w:color w:val="7B7B7B" w:themeColor="accent3" w:themeShade="BF"/>
          <w:sz w:val="22"/>
          <w:szCs w:val="22"/>
          <w:lang w:val="en-US"/>
        </w:rPr>
        <w:t>r</w:t>
      </w:r>
      <w:r w:rsidRPr="00195028">
        <w:rPr>
          <w:rFonts w:ascii="Avenir Next" w:hAnsi="Avenir Next" w:cs="Arial"/>
          <w:color w:val="7B7B7B" w:themeColor="accent3" w:themeShade="BF"/>
          <w:sz w:val="22"/>
          <w:szCs w:val="22"/>
          <w:lang w:val="en-US"/>
        </w:rPr>
        <w:t xml:space="preserve">ecognition of </w:t>
      </w:r>
      <w:r w:rsidR="00195028" w:rsidRPr="00195028">
        <w:rPr>
          <w:rFonts w:ascii="Avenir Next" w:hAnsi="Avenir Next" w:cs="Arial"/>
          <w:color w:val="7B7B7B" w:themeColor="accent3" w:themeShade="BF"/>
          <w:sz w:val="22"/>
          <w:szCs w:val="22"/>
          <w:lang w:val="en-US"/>
        </w:rPr>
        <w:t>f</w:t>
      </w:r>
      <w:r w:rsidRPr="00195028">
        <w:rPr>
          <w:rFonts w:ascii="Avenir Next" w:hAnsi="Avenir Next" w:cs="Arial"/>
          <w:color w:val="7B7B7B" w:themeColor="accent3" w:themeShade="BF"/>
          <w:sz w:val="22"/>
          <w:szCs w:val="22"/>
          <w:lang w:val="en-US"/>
        </w:rPr>
        <w:t xml:space="preserve">oreign </w:t>
      </w:r>
      <w:r w:rsidR="00195028" w:rsidRPr="00195028">
        <w:rPr>
          <w:rFonts w:ascii="Avenir Next" w:hAnsi="Avenir Next" w:cs="Arial"/>
          <w:color w:val="7B7B7B" w:themeColor="accent3" w:themeShade="BF"/>
          <w:sz w:val="22"/>
          <w:szCs w:val="22"/>
          <w:lang w:val="en-US"/>
        </w:rPr>
        <w:t>j</w:t>
      </w:r>
      <w:r w:rsidRPr="00195028">
        <w:rPr>
          <w:rFonts w:ascii="Avenir Next" w:hAnsi="Avenir Next" w:cs="Arial"/>
          <w:color w:val="7B7B7B" w:themeColor="accent3" w:themeShade="BF"/>
          <w:sz w:val="22"/>
          <w:szCs w:val="22"/>
          <w:lang w:val="en-US"/>
        </w:rPr>
        <w:t>udgments (Article 19):</w:t>
      </w:r>
    </w:p>
    <w:p w14:paraId="3F190637" w14:textId="77777777" w:rsidR="00F11BD6" w:rsidRPr="00195028" w:rsidRDefault="00F11BD6" w:rsidP="00F11BD6">
      <w:pPr>
        <w:jc w:val="both"/>
        <w:rPr>
          <w:rFonts w:ascii="Avenir Next" w:hAnsi="Avenir Next" w:cs="Arial"/>
          <w:color w:val="7B7B7B" w:themeColor="accent3" w:themeShade="BF"/>
          <w:sz w:val="22"/>
          <w:szCs w:val="22"/>
          <w:lang w:val="en-US"/>
        </w:rPr>
      </w:pPr>
    </w:p>
    <w:p w14:paraId="3E1050D6" w14:textId="00CA3CA4" w:rsidR="00F11BD6" w:rsidRPr="007E3507" w:rsidRDefault="00F11BD6" w:rsidP="007E3507">
      <w:pPr>
        <w:pStyle w:val="Akapitzlist"/>
        <w:numPr>
          <w:ilvl w:val="0"/>
          <w:numId w:val="54"/>
        </w:numPr>
        <w:jc w:val="both"/>
        <w:rPr>
          <w:rFonts w:ascii="Avenir Next" w:hAnsi="Avenir Next" w:cs="Arial"/>
          <w:color w:val="7B7B7B" w:themeColor="accent3" w:themeShade="BF"/>
          <w:sz w:val="22"/>
          <w:szCs w:val="22"/>
          <w:lang w:val="en-US"/>
        </w:rPr>
      </w:pPr>
      <w:r w:rsidRPr="007E3507">
        <w:rPr>
          <w:rFonts w:ascii="Avenir Next" w:hAnsi="Avenir Next" w:cs="Arial"/>
          <w:color w:val="7B7B7B" w:themeColor="accent3" w:themeShade="BF"/>
          <w:sz w:val="22"/>
          <w:szCs w:val="22"/>
          <w:lang w:val="en-US"/>
        </w:rPr>
        <w:t>Although the EIR Recast promotes the recognition and enforcement of foreign insolvency judgments, it also allows for exceptions based on public policy or irregularities in the foreign proceedings.</w:t>
      </w:r>
    </w:p>
    <w:p w14:paraId="12F9E7F4" w14:textId="33DDF8CE" w:rsidR="00F11BD6" w:rsidRPr="007E3507" w:rsidRDefault="00F11BD6" w:rsidP="007E3507">
      <w:pPr>
        <w:pStyle w:val="Akapitzlist"/>
        <w:numPr>
          <w:ilvl w:val="0"/>
          <w:numId w:val="54"/>
        </w:numPr>
        <w:jc w:val="both"/>
        <w:rPr>
          <w:rFonts w:ascii="Avenir Next" w:hAnsi="Avenir Next" w:cs="Arial"/>
          <w:color w:val="7B7B7B" w:themeColor="accent3" w:themeShade="BF"/>
          <w:sz w:val="22"/>
          <w:szCs w:val="22"/>
          <w:lang w:val="en-US"/>
        </w:rPr>
      </w:pPr>
      <w:r w:rsidRPr="007E3507">
        <w:rPr>
          <w:rFonts w:ascii="Avenir Next" w:hAnsi="Avenir Next" w:cs="Arial"/>
          <w:color w:val="7B7B7B" w:themeColor="accent3" w:themeShade="BF"/>
          <w:sz w:val="22"/>
          <w:szCs w:val="22"/>
          <w:lang w:val="en-US"/>
        </w:rPr>
        <w:t>This recognizes the limitations of universality and emphasizes the ability for local legal systems to prioritize their own public agendas and procedural safeguards in specific circumstances.</w:t>
      </w:r>
    </w:p>
    <w:p w14:paraId="046764A3" w14:textId="77777777" w:rsidR="00F11BD6" w:rsidRPr="007E3507" w:rsidRDefault="00F11BD6" w:rsidP="000A3278">
      <w:pPr>
        <w:jc w:val="both"/>
        <w:rPr>
          <w:rFonts w:ascii="Avenir Next" w:hAnsi="Avenir Next" w:cs="Arial"/>
          <w:color w:val="7B7B7B" w:themeColor="accent3" w:themeShade="BF"/>
          <w:sz w:val="22"/>
          <w:szCs w:val="22"/>
          <w:lang w:val="en-US"/>
        </w:rPr>
      </w:pP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97E8938" w14:textId="77777777" w:rsidR="00F11BD6" w:rsidRDefault="00F11BD6" w:rsidP="000A3278">
      <w:pPr>
        <w:jc w:val="both"/>
        <w:rPr>
          <w:rFonts w:ascii="Avenir Next" w:hAnsi="Avenir Next" w:cs="Arial"/>
          <w:color w:val="7B7B7B" w:themeColor="accent3" w:themeShade="BF"/>
          <w:sz w:val="22"/>
          <w:szCs w:val="22"/>
        </w:rPr>
      </w:pPr>
    </w:p>
    <w:p w14:paraId="7E97039E" w14:textId="77777777" w:rsidR="00F11BD6" w:rsidRPr="00F11BD6" w:rsidRDefault="00F11BD6" w:rsidP="00F11BD6">
      <w:pPr>
        <w:jc w:val="both"/>
        <w:rPr>
          <w:rFonts w:ascii="Avenir Next" w:hAnsi="Avenir Next" w:cs="Arial"/>
          <w:color w:val="7B7B7B" w:themeColor="accent3" w:themeShade="BF"/>
          <w:sz w:val="22"/>
          <w:szCs w:val="22"/>
        </w:rPr>
      </w:pPr>
      <w:r w:rsidRPr="00F11BD6">
        <w:rPr>
          <w:rFonts w:ascii="Avenir Next" w:hAnsi="Avenir Next" w:cs="Arial"/>
          <w:color w:val="7B7B7B" w:themeColor="accent3" w:themeShade="BF"/>
          <w:sz w:val="22"/>
          <w:szCs w:val="22"/>
        </w:rPr>
        <w:t>1. Undertakings (Article 36)</w:t>
      </w:r>
    </w:p>
    <w:p w14:paraId="0272B8FE" w14:textId="77777777" w:rsidR="00F11BD6" w:rsidRPr="00F11BD6" w:rsidRDefault="00F11BD6" w:rsidP="00F11BD6">
      <w:pPr>
        <w:jc w:val="both"/>
        <w:rPr>
          <w:rFonts w:ascii="Avenir Next" w:hAnsi="Avenir Next" w:cs="Arial"/>
          <w:color w:val="7B7B7B" w:themeColor="accent3" w:themeShade="BF"/>
          <w:sz w:val="22"/>
          <w:szCs w:val="22"/>
        </w:rPr>
      </w:pPr>
    </w:p>
    <w:p w14:paraId="062F8DAB" w14:textId="77777777" w:rsidR="00F11BD6" w:rsidRPr="00F11BD6" w:rsidRDefault="00F11BD6" w:rsidP="00F11BD6">
      <w:pPr>
        <w:jc w:val="both"/>
        <w:rPr>
          <w:rFonts w:ascii="Avenir Next" w:hAnsi="Avenir Next" w:cs="Arial"/>
          <w:color w:val="7B7B7B" w:themeColor="accent3" w:themeShade="BF"/>
          <w:sz w:val="22"/>
          <w:szCs w:val="22"/>
        </w:rPr>
      </w:pPr>
      <w:r w:rsidRPr="00F11BD6">
        <w:rPr>
          <w:rFonts w:ascii="Avenir Next" w:hAnsi="Avenir Next" w:cs="Arial"/>
          <w:color w:val="7B7B7B" w:themeColor="accent3" w:themeShade="BF"/>
          <w:sz w:val="22"/>
          <w:szCs w:val="22"/>
        </w:rPr>
        <w:t>Insolvency practitioners in the main proceedings may provide an undertaking to the court in a prospective secondary jurisdiction. This pledge ensures that local creditors receive fair treatment, addressing their concerns within the main procedures and potentially avoiding the need for a separate secondary process.</w:t>
      </w:r>
    </w:p>
    <w:p w14:paraId="695A7EBC" w14:textId="77777777" w:rsidR="00F11BD6" w:rsidRPr="00F11BD6" w:rsidRDefault="00F11BD6" w:rsidP="00F11BD6">
      <w:pPr>
        <w:jc w:val="both"/>
        <w:rPr>
          <w:rFonts w:ascii="Avenir Next" w:hAnsi="Avenir Next" w:cs="Arial"/>
          <w:color w:val="7B7B7B" w:themeColor="accent3" w:themeShade="BF"/>
          <w:sz w:val="22"/>
          <w:szCs w:val="22"/>
        </w:rPr>
      </w:pPr>
      <w:r w:rsidRPr="00F11BD6">
        <w:rPr>
          <w:rFonts w:ascii="Avenir Next" w:hAnsi="Avenir Next" w:cs="Arial"/>
          <w:color w:val="7B7B7B" w:themeColor="accent3" w:themeShade="BF"/>
          <w:sz w:val="22"/>
          <w:szCs w:val="22"/>
        </w:rPr>
        <w:t>If the court determines that the undertaking effectively protects local creditors' interests, it may waive secondary actions, simplifying the whole process.</w:t>
      </w:r>
    </w:p>
    <w:p w14:paraId="4FBCEA2D" w14:textId="77777777" w:rsidR="00F11BD6" w:rsidRPr="00F11BD6" w:rsidRDefault="00F11BD6" w:rsidP="00F11BD6">
      <w:pPr>
        <w:jc w:val="both"/>
        <w:rPr>
          <w:rFonts w:ascii="Avenir Next" w:hAnsi="Avenir Next" w:cs="Arial"/>
          <w:color w:val="7B7B7B" w:themeColor="accent3" w:themeShade="BF"/>
          <w:sz w:val="22"/>
          <w:szCs w:val="22"/>
        </w:rPr>
      </w:pPr>
    </w:p>
    <w:p w14:paraId="1D70AA86" w14:textId="77777777" w:rsidR="00F11BD6" w:rsidRPr="00F11BD6" w:rsidRDefault="00F11BD6" w:rsidP="00F11BD6">
      <w:pPr>
        <w:jc w:val="both"/>
        <w:rPr>
          <w:rFonts w:ascii="Avenir Next" w:hAnsi="Avenir Next" w:cs="Arial"/>
          <w:color w:val="7B7B7B" w:themeColor="accent3" w:themeShade="BF"/>
          <w:sz w:val="22"/>
          <w:szCs w:val="22"/>
        </w:rPr>
      </w:pPr>
      <w:r w:rsidRPr="00F11BD6">
        <w:rPr>
          <w:rFonts w:ascii="Avenir Next" w:hAnsi="Avenir Next" w:cs="Arial"/>
          <w:color w:val="7B7B7B" w:themeColor="accent3" w:themeShade="BF"/>
          <w:sz w:val="22"/>
          <w:szCs w:val="22"/>
        </w:rPr>
        <w:t>2. Coordination of secondary proceedings (Article 29):</w:t>
      </w:r>
    </w:p>
    <w:p w14:paraId="064A98EC" w14:textId="77777777" w:rsidR="00F11BD6" w:rsidRPr="00F11BD6" w:rsidRDefault="00F11BD6" w:rsidP="00F11BD6">
      <w:pPr>
        <w:jc w:val="both"/>
        <w:rPr>
          <w:rFonts w:ascii="Avenir Next" w:hAnsi="Avenir Next" w:cs="Arial"/>
          <w:color w:val="7B7B7B" w:themeColor="accent3" w:themeShade="BF"/>
          <w:sz w:val="22"/>
          <w:szCs w:val="22"/>
        </w:rPr>
      </w:pPr>
    </w:p>
    <w:p w14:paraId="76D938B9" w14:textId="77777777" w:rsidR="00F11BD6" w:rsidRPr="00F11BD6" w:rsidRDefault="00F11BD6" w:rsidP="00F11BD6">
      <w:pPr>
        <w:jc w:val="both"/>
        <w:rPr>
          <w:rFonts w:ascii="Avenir Next" w:hAnsi="Avenir Next" w:cs="Arial"/>
          <w:color w:val="7B7B7B" w:themeColor="accent3" w:themeShade="BF"/>
          <w:sz w:val="22"/>
          <w:szCs w:val="22"/>
        </w:rPr>
      </w:pPr>
      <w:r w:rsidRPr="00F11BD6">
        <w:rPr>
          <w:rFonts w:ascii="Avenir Next" w:hAnsi="Avenir Next" w:cs="Arial"/>
          <w:color w:val="7B7B7B" w:themeColor="accent3" w:themeShade="BF"/>
          <w:sz w:val="22"/>
          <w:szCs w:val="22"/>
        </w:rPr>
        <w:t>This clause enables courts to coordinate secondary proceedings with primary proceedings in another member state. This coordination can include activities such as sharing information, holding joint meetings, and even harmonizing specific components of the procedures.</w:t>
      </w:r>
    </w:p>
    <w:p w14:paraId="2B36C505" w14:textId="3E88E6AF" w:rsidR="00F11BD6" w:rsidRPr="007E3507" w:rsidRDefault="007E3507" w:rsidP="00F11BD6">
      <w:pPr>
        <w:jc w:val="both"/>
        <w:rPr>
          <w:rFonts w:ascii="Avenir Next" w:hAnsi="Avenir Next" w:cs="Arial"/>
          <w:color w:val="7B7B7B" w:themeColor="accent3" w:themeShade="BF"/>
          <w:sz w:val="22"/>
          <w:szCs w:val="22"/>
          <w:lang w:val="en-US"/>
        </w:rPr>
      </w:pPr>
      <w:r w:rsidRPr="007E3507">
        <w:rPr>
          <w:rFonts w:ascii="Avenir Next" w:hAnsi="Avenir Next" w:cs="Arial"/>
          <w:color w:val="7B7B7B" w:themeColor="accent3" w:themeShade="BF"/>
          <w:sz w:val="22"/>
          <w:szCs w:val="22"/>
          <w:lang w:val="en-US"/>
        </w:rPr>
        <w:lastRenderedPageBreak/>
        <w:t>The</w:t>
      </w:r>
      <w:r w:rsidR="00F11BD6" w:rsidRPr="007E3507">
        <w:rPr>
          <w:rFonts w:ascii="Avenir Next" w:hAnsi="Avenir Next" w:cs="Arial"/>
          <w:color w:val="7B7B7B" w:themeColor="accent3" w:themeShade="BF"/>
          <w:sz w:val="22"/>
          <w:szCs w:val="22"/>
          <w:lang w:val="en-US"/>
        </w:rPr>
        <w:t xml:space="preserve"> instrument intends to promote effective administration of the debtor's estate by encouraging communication and collaboration across courts, while eliminating potential conflicts or inconsistencies that may arise from separate proceedings in different jurisdictions.</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5EB0975A" w14:textId="77777777" w:rsidR="000C47F0" w:rsidRDefault="000C47F0" w:rsidP="000A3278">
      <w:pPr>
        <w:jc w:val="both"/>
        <w:rPr>
          <w:rFonts w:ascii="Avenir Next" w:hAnsi="Avenir Next" w:cs="Arial"/>
          <w:color w:val="7B7B7B" w:themeColor="accent3" w:themeShade="BF"/>
          <w:sz w:val="22"/>
          <w:szCs w:val="22"/>
        </w:rPr>
      </w:pPr>
    </w:p>
    <w:p w14:paraId="3BD87DF6" w14:textId="3B65C8AA" w:rsidR="000C47F0" w:rsidRPr="00D455D0" w:rsidRDefault="000C47F0" w:rsidP="00D455D0">
      <w:pPr>
        <w:pStyle w:val="Akapitzlist"/>
        <w:numPr>
          <w:ilvl w:val="0"/>
          <w:numId w:val="55"/>
        </w:numPr>
        <w:jc w:val="both"/>
        <w:rPr>
          <w:rFonts w:ascii="Avenir Next" w:hAnsi="Avenir Next" w:cs="Arial"/>
          <w:color w:val="7B7B7B" w:themeColor="accent3" w:themeShade="BF"/>
          <w:sz w:val="22"/>
          <w:szCs w:val="22"/>
          <w:lang w:val="en-US"/>
        </w:rPr>
      </w:pPr>
      <w:r w:rsidRPr="00D455D0">
        <w:rPr>
          <w:rFonts w:ascii="Avenir Next" w:hAnsi="Avenir Next" w:cs="Arial"/>
          <w:color w:val="7B7B7B" w:themeColor="accent3" w:themeShade="BF"/>
          <w:sz w:val="22"/>
          <w:szCs w:val="22"/>
          <w:lang w:val="en-US"/>
        </w:rPr>
        <w:t xml:space="preserve">Clarification and </w:t>
      </w:r>
      <w:r w:rsidR="00D455D0">
        <w:rPr>
          <w:rFonts w:ascii="Avenir Next" w:hAnsi="Avenir Next" w:cs="Arial"/>
          <w:color w:val="7B7B7B" w:themeColor="accent3" w:themeShade="BF"/>
          <w:sz w:val="22"/>
          <w:szCs w:val="22"/>
          <w:lang w:val="en-US"/>
        </w:rPr>
        <w:t>i</w:t>
      </w:r>
      <w:r w:rsidRPr="00D455D0">
        <w:rPr>
          <w:rFonts w:ascii="Avenir Next" w:hAnsi="Avenir Next" w:cs="Arial"/>
          <w:color w:val="7B7B7B" w:themeColor="accent3" w:themeShade="BF"/>
          <w:sz w:val="22"/>
          <w:szCs w:val="22"/>
          <w:lang w:val="en-US"/>
        </w:rPr>
        <w:t xml:space="preserve">mprovement of </w:t>
      </w:r>
      <w:r w:rsidR="00D455D0">
        <w:rPr>
          <w:rFonts w:ascii="Avenir Next" w:hAnsi="Avenir Next" w:cs="Arial"/>
          <w:color w:val="7B7B7B" w:themeColor="accent3" w:themeShade="BF"/>
          <w:sz w:val="22"/>
          <w:szCs w:val="22"/>
          <w:lang w:val="en-US"/>
        </w:rPr>
        <w:t>d</w:t>
      </w:r>
      <w:r w:rsidRPr="00D455D0">
        <w:rPr>
          <w:rFonts w:ascii="Avenir Next" w:hAnsi="Avenir Next" w:cs="Arial"/>
          <w:color w:val="7B7B7B" w:themeColor="accent3" w:themeShade="BF"/>
          <w:sz w:val="22"/>
          <w:szCs w:val="22"/>
          <w:lang w:val="en-US"/>
        </w:rPr>
        <w:t>efinitions</w:t>
      </w:r>
      <w:r w:rsidR="00D455D0">
        <w:rPr>
          <w:rFonts w:ascii="Avenir Next" w:hAnsi="Avenir Next" w:cs="Arial"/>
          <w:color w:val="7B7B7B" w:themeColor="accent3" w:themeShade="BF"/>
          <w:sz w:val="22"/>
          <w:szCs w:val="22"/>
          <w:lang w:val="en-US"/>
        </w:rPr>
        <w:t xml:space="preserve"> - t</w:t>
      </w:r>
      <w:r w:rsidRPr="00D455D0">
        <w:rPr>
          <w:rFonts w:ascii="Avenir Next" w:hAnsi="Avenir Next" w:cs="Arial"/>
          <w:color w:val="7B7B7B" w:themeColor="accent3" w:themeShade="BF"/>
          <w:sz w:val="22"/>
          <w:szCs w:val="22"/>
          <w:lang w:val="en-US"/>
        </w:rPr>
        <w:t>o maintain uniformity and predictability across jurisdictions, key phrases such as "</w:t>
      </w:r>
      <w:proofErr w:type="spellStart"/>
      <w:r w:rsidRPr="00D455D0">
        <w:rPr>
          <w:rFonts w:ascii="Avenir Next" w:hAnsi="Avenir Next" w:cs="Arial"/>
          <w:color w:val="7B7B7B" w:themeColor="accent3" w:themeShade="BF"/>
          <w:sz w:val="22"/>
          <w:szCs w:val="22"/>
          <w:lang w:val="en-US"/>
        </w:rPr>
        <w:t>centre</w:t>
      </w:r>
      <w:proofErr w:type="spellEnd"/>
      <w:r w:rsidRPr="00D455D0">
        <w:rPr>
          <w:rFonts w:ascii="Avenir Next" w:hAnsi="Avenir Next" w:cs="Arial"/>
          <w:color w:val="7B7B7B" w:themeColor="accent3" w:themeShade="BF"/>
          <w:sz w:val="22"/>
          <w:szCs w:val="22"/>
          <w:lang w:val="en-US"/>
        </w:rPr>
        <w:t xml:space="preserve"> of main interests (COMI)" and "insolvency" must be defined more clearly.</w:t>
      </w:r>
    </w:p>
    <w:p w14:paraId="7B652992" w14:textId="010E628B" w:rsidR="000C47F0" w:rsidRPr="00D455D0" w:rsidRDefault="000C47F0" w:rsidP="00D455D0">
      <w:pPr>
        <w:pStyle w:val="Akapitzlist"/>
        <w:numPr>
          <w:ilvl w:val="0"/>
          <w:numId w:val="55"/>
        </w:numPr>
        <w:jc w:val="both"/>
        <w:rPr>
          <w:rFonts w:ascii="Avenir Next" w:hAnsi="Avenir Next" w:cs="Arial"/>
          <w:color w:val="7B7B7B" w:themeColor="accent3" w:themeShade="BF"/>
          <w:sz w:val="22"/>
          <w:szCs w:val="22"/>
          <w:lang w:val="en-US"/>
        </w:rPr>
      </w:pPr>
      <w:r w:rsidRPr="00D455D0">
        <w:rPr>
          <w:rFonts w:ascii="Avenir Next" w:hAnsi="Avenir Next" w:cs="Arial"/>
          <w:color w:val="7B7B7B" w:themeColor="accent3" w:themeShade="BF"/>
          <w:sz w:val="22"/>
          <w:szCs w:val="22"/>
          <w:lang w:val="en-US"/>
        </w:rPr>
        <w:t xml:space="preserve">Improvements to </w:t>
      </w:r>
      <w:r w:rsidR="00D455D0">
        <w:rPr>
          <w:rFonts w:ascii="Avenir Next" w:hAnsi="Avenir Next" w:cs="Arial"/>
          <w:color w:val="7B7B7B" w:themeColor="accent3" w:themeShade="BF"/>
          <w:sz w:val="22"/>
          <w:szCs w:val="22"/>
          <w:lang w:val="en-US"/>
        </w:rPr>
        <w:t>c</w:t>
      </w:r>
      <w:r w:rsidR="00D455D0" w:rsidRPr="00D455D0">
        <w:rPr>
          <w:rFonts w:ascii="Avenir Next" w:hAnsi="Avenir Next" w:cs="Arial"/>
          <w:color w:val="7B7B7B" w:themeColor="accent3" w:themeShade="BF"/>
          <w:sz w:val="22"/>
          <w:szCs w:val="22"/>
          <w:lang w:val="en-US"/>
        </w:rPr>
        <w:t>ooperation</w:t>
      </w:r>
      <w:r w:rsidRPr="00D455D0">
        <w:rPr>
          <w:rFonts w:ascii="Avenir Next" w:hAnsi="Avenir Next" w:cs="Arial"/>
          <w:color w:val="7B7B7B" w:themeColor="accent3" w:themeShade="BF"/>
          <w:sz w:val="22"/>
          <w:szCs w:val="22"/>
          <w:lang w:val="en-US"/>
        </w:rPr>
        <w:t xml:space="preserve"> and </w:t>
      </w:r>
      <w:r w:rsidR="00D455D0">
        <w:rPr>
          <w:rFonts w:ascii="Avenir Next" w:hAnsi="Avenir Next" w:cs="Arial"/>
          <w:color w:val="7B7B7B" w:themeColor="accent3" w:themeShade="BF"/>
          <w:sz w:val="22"/>
          <w:szCs w:val="22"/>
          <w:lang w:val="en-US"/>
        </w:rPr>
        <w:t>c</w:t>
      </w:r>
      <w:r w:rsidRPr="00D455D0">
        <w:rPr>
          <w:rFonts w:ascii="Avenir Next" w:hAnsi="Avenir Next" w:cs="Arial"/>
          <w:color w:val="7B7B7B" w:themeColor="accent3" w:themeShade="BF"/>
          <w:sz w:val="22"/>
          <w:szCs w:val="22"/>
          <w:lang w:val="en-US"/>
        </w:rPr>
        <w:t>ommunication</w:t>
      </w:r>
      <w:r w:rsidR="00D455D0">
        <w:rPr>
          <w:rFonts w:ascii="Avenir Next" w:hAnsi="Avenir Next" w:cs="Arial"/>
          <w:color w:val="7B7B7B" w:themeColor="accent3" w:themeShade="BF"/>
          <w:sz w:val="22"/>
          <w:szCs w:val="22"/>
          <w:lang w:val="en-US"/>
        </w:rPr>
        <w:t xml:space="preserve"> - t</w:t>
      </w:r>
      <w:r w:rsidRPr="00D455D0">
        <w:rPr>
          <w:rFonts w:ascii="Avenir Next" w:hAnsi="Avenir Next" w:cs="Arial"/>
          <w:color w:val="7B7B7B" w:themeColor="accent3" w:themeShade="BF"/>
          <w:sz w:val="22"/>
          <w:szCs w:val="22"/>
          <w:lang w:val="en-US"/>
        </w:rPr>
        <w:t>he old system lacked channels for effective communication and collaboration between courts and bankruptcy practitioners, resulting in inefficiencies and potential conflicts.</w:t>
      </w:r>
    </w:p>
    <w:p w14:paraId="72F8B2C2" w14:textId="78F5690C" w:rsidR="000C47F0" w:rsidRPr="00D455D0" w:rsidRDefault="00D455D0" w:rsidP="00D455D0">
      <w:pPr>
        <w:pStyle w:val="Akapitzlist"/>
        <w:numPr>
          <w:ilvl w:val="0"/>
          <w:numId w:val="55"/>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A</w:t>
      </w:r>
      <w:r w:rsidR="000C47F0" w:rsidRPr="00D455D0">
        <w:rPr>
          <w:rFonts w:ascii="Avenir Next" w:hAnsi="Avenir Next" w:cs="Arial"/>
          <w:color w:val="7B7B7B" w:themeColor="accent3" w:themeShade="BF"/>
          <w:sz w:val="22"/>
          <w:szCs w:val="22"/>
          <w:lang w:val="en-US"/>
        </w:rPr>
        <w:t>ddressing issues related to group insolvency</w:t>
      </w:r>
      <w:r>
        <w:rPr>
          <w:rFonts w:ascii="Avenir Next" w:hAnsi="Avenir Next" w:cs="Arial"/>
          <w:color w:val="7B7B7B" w:themeColor="accent3" w:themeShade="BF"/>
          <w:sz w:val="22"/>
          <w:szCs w:val="22"/>
          <w:lang w:val="en-US"/>
        </w:rPr>
        <w:t xml:space="preserve"> - </w:t>
      </w:r>
      <w:r w:rsidRPr="00D455D0">
        <w:rPr>
          <w:rFonts w:ascii="Avenir Next" w:hAnsi="Avenir Next" w:cs="Arial"/>
          <w:color w:val="7B7B7B" w:themeColor="accent3" w:themeShade="BF"/>
          <w:sz w:val="22"/>
          <w:szCs w:val="22"/>
          <w:lang w:val="en-US"/>
        </w:rPr>
        <w:t>t</w:t>
      </w:r>
      <w:r w:rsidR="000C47F0" w:rsidRPr="00D455D0">
        <w:rPr>
          <w:rFonts w:ascii="Avenir Next" w:hAnsi="Avenir Next" w:cs="Arial"/>
          <w:color w:val="7B7B7B" w:themeColor="accent3" w:themeShade="BF"/>
          <w:sz w:val="22"/>
          <w:szCs w:val="22"/>
          <w:lang w:val="en-US"/>
        </w:rPr>
        <w:t>he difficulties of insolvency processes involving corporate groupings with entities in different jurisdictions necessitated specific provisions for effective coordination and equitable treatment of creditors.</w:t>
      </w:r>
    </w:p>
    <w:p w14:paraId="49EEABE5" w14:textId="0A9F5A9E" w:rsidR="000C47F0" w:rsidRPr="00D455D0" w:rsidRDefault="000C47F0" w:rsidP="00D455D0">
      <w:pPr>
        <w:pStyle w:val="Akapitzlist"/>
        <w:numPr>
          <w:ilvl w:val="0"/>
          <w:numId w:val="55"/>
        </w:numPr>
        <w:jc w:val="both"/>
        <w:rPr>
          <w:rFonts w:ascii="Avenir Next" w:hAnsi="Avenir Next" w:cs="Arial"/>
          <w:color w:val="7B7B7B" w:themeColor="accent3" w:themeShade="BF"/>
          <w:sz w:val="22"/>
          <w:szCs w:val="22"/>
          <w:lang w:val="en-US"/>
        </w:rPr>
      </w:pPr>
      <w:r w:rsidRPr="00D455D0">
        <w:rPr>
          <w:rFonts w:ascii="Avenir Next" w:hAnsi="Avenir Next" w:cs="Arial"/>
          <w:color w:val="7B7B7B" w:themeColor="accent3" w:themeShade="BF"/>
          <w:sz w:val="22"/>
          <w:szCs w:val="22"/>
          <w:lang w:val="en-US"/>
        </w:rPr>
        <w:t xml:space="preserve">Streamlining </w:t>
      </w:r>
      <w:r w:rsidR="00D455D0">
        <w:rPr>
          <w:rFonts w:ascii="Avenir Next" w:hAnsi="Avenir Next" w:cs="Arial"/>
          <w:color w:val="7B7B7B" w:themeColor="accent3" w:themeShade="BF"/>
          <w:sz w:val="22"/>
          <w:szCs w:val="22"/>
          <w:lang w:val="en-US"/>
        </w:rPr>
        <w:t>p</w:t>
      </w:r>
      <w:r w:rsidRPr="00D455D0">
        <w:rPr>
          <w:rFonts w:ascii="Avenir Next" w:hAnsi="Avenir Next" w:cs="Arial"/>
          <w:color w:val="7B7B7B" w:themeColor="accent3" w:themeShade="BF"/>
          <w:sz w:val="22"/>
          <w:szCs w:val="22"/>
          <w:lang w:val="en-US"/>
        </w:rPr>
        <w:t>rocedures</w:t>
      </w:r>
      <w:r w:rsidR="00D455D0">
        <w:rPr>
          <w:rFonts w:ascii="Avenir Next" w:hAnsi="Avenir Next" w:cs="Arial"/>
          <w:color w:val="7B7B7B" w:themeColor="accent3" w:themeShade="BF"/>
          <w:sz w:val="22"/>
          <w:szCs w:val="22"/>
          <w:lang w:val="en-US"/>
        </w:rPr>
        <w:t xml:space="preserve"> - c</w:t>
      </w:r>
      <w:r w:rsidRPr="00D455D0">
        <w:rPr>
          <w:rFonts w:ascii="Avenir Next" w:hAnsi="Avenir Next" w:cs="Arial"/>
          <w:color w:val="7B7B7B" w:themeColor="accent3" w:themeShade="BF"/>
          <w:sz w:val="22"/>
          <w:szCs w:val="22"/>
          <w:lang w:val="en-US"/>
        </w:rPr>
        <w:t>oncerns about lengthy procedures in cross-border cases motivated initiatives to streamline processes, remove formalities, and encourage efficient administration while preserving safeguards and creditors' rights.</w:t>
      </w:r>
    </w:p>
    <w:p w14:paraId="3F21F4B9" w14:textId="3070E5A3" w:rsidR="000C47F0" w:rsidRPr="00D455D0" w:rsidRDefault="000C47F0" w:rsidP="00D455D0">
      <w:pPr>
        <w:pStyle w:val="Akapitzlist"/>
        <w:numPr>
          <w:ilvl w:val="0"/>
          <w:numId w:val="55"/>
        </w:numPr>
        <w:jc w:val="both"/>
        <w:rPr>
          <w:rFonts w:ascii="Avenir Next" w:hAnsi="Avenir Next" w:cs="Arial"/>
          <w:color w:val="7B7B7B" w:themeColor="accent3" w:themeShade="BF"/>
          <w:sz w:val="22"/>
          <w:szCs w:val="22"/>
          <w:lang w:val="en-US"/>
        </w:rPr>
      </w:pPr>
      <w:r w:rsidRPr="00D455D0">
        <w:rPr>
          <w:rFonts w:ascii="Avenir Next" w:hAnsi="Avenir Next" w:cs="Arial"/>
          <w:color w:val="7B7B7B" w:themeColor="accent3" w:themeShade="BF"/>
          <w:sz w:val="22"/>
          <w:szCs w:val="22"/>
          <w:lang w:val="en-US"/>
        </w:rPr>
        <w:t xml:space="preserve">Incorporating CJEU </w:t>
      </w:r>
      <w:r w:rsidR="00D455D0">
        <w:rPr>
          <w:rFonts w:ascii="Avenir Next" w:hAnsi="Avenir Next" w:cs="Arial"/>
          <w:color w:val="7B7B7B" w:themeColor="accent3" w:themeShade="BF"/>
          <w:sz w:val="22"/>
          <w:szCs w:val="22"/>
          <w:lang w:val="en-US"/>
        </w:rPr>
        <w:t>c</w:t>
      </w:r>
      <w:r w:rsidRPr="00D455D0">
        <w:rPr>
          <w:rFonts w:ascii="Avenir Next" w:hAnsi="Avenir Next" w:cs="Arial"/>
          <w:color w:val="7B7B7B" w:themeColor="accent3" w:themeShade="BF"/>
          <w:sz w:val="22"/>
          <w:szCs w:val="22"/>
          <w:lang w:val="en-US"/>
        </w:rPr>
        <w:t xml:space="preserve">ase </w:t>
      </w:r>
      <w:r w:rsidR="00D455D0">
        <w:rPr>
          <w:rFonts w:ascii="Avenir Next" w:hAnsi="Avenir Next" w:cs="Arial"/>
          <w:color w:val="7B7B7B" w:themeColor="accent3" w:themeShade="BF"/>
          <w:sz w:val="22"/>
          <w:szCs w:val="22"/>
          <w:lang w:val="en-US"/>
        </w:rPr>
        <w:t>l</w:t>
      </w:r>
      <w:r w:rsidRPr="00D455D0">
        <w:rPr>
          <w:rFonts w:ascii="Avenir Next" w:hAnsi="Avenir Next" w:cs="Arial"/>
          <w:color w:val="7B7B7B" w:themeColor="accent3" w:themeShade="BF"/>
          <w:sz w:val="22"/>
          <w:szCs w:val="22"/>
          <w:lang w:val="en-US"/>
        </w:rPr>
        <w:t>aw</w:t>
      </w:r>
      <w:r w:rsidR="00D455D0">
        <w:rPr>
          <w:rFonts w:ascii="Avenir Next" w:hAnsi="Avenir Next" w:cs="Arial"/>
          <w:color w:val="7B7B7B" w:themeColor="accent3" w:themeShade="BF"/>
          <w:sz w:val="22"/>
          <w:szCs w:val="22"/>
          <w:lang w:val="en-US"/>
        </w:rPr>
        <w:t xml:space="preserve"> - t</w:t>
      </w:r>
      <w:r w:rsidRPr="00D455D0">
        <w:rPr>
          <w:rFonts w:ascii="Avenir Next" w:hAnsi="Avenir Next" w:cs="Arial"/>
          <w:color w:val="7B7B7B" w:themeColor="accent3" w:themeShade="BF"/>
          <w:sz w:val="22"/>
          <w:szCs w:val="22"/>
          <w:lang w:val="en-US"/>
        </w:rPr>
        <w:t xml:space="preserve">he new </w:t>
      </w:r>
      <w:r w:rsidR="00D455D0">
        <w:rPr>
          <w:rFonts w:ascii="Avenir Next" w:hAnsi="Avenir Next" w:cs="Arial"/>
          <w:color w:val="7B7B7B" w:themeColor="accent3" w:themeShade="BF"/>
          <w:sz w:val="22"/>
          <w:szCs w:val="22"/>
          <w:lang w:val="en-US"/>
        </w:rPr>
        <w:t>r</w:t>
      </w:r>
      <w:r w:rsidRPr="00D455D0">
        <w:rPr>
          <w:rFonts w:ascii="Avenir Next" w:hAnsi="Avenir Next" w:cs="Arial"/>
          <w:color w:val="7B7B7B" w:themeColor="accent3" w:themeShade="BF"/>
          <w:sz w:val="22"/>
          <w:szCs w:val="22"/>
          <w:lang w:val="en-US"/>
        </w:rPr>
        <w:t>egulation sought to conform with CJEU judgments, resolving gaps or ambiguities and ensuring consistency with the Court's interpretations.</w:t>
      </w:r>
    </w:p>
    <w:p w14:paraId="02291779" w14:textId="77777777" w:rsidR="000C47F0" w:rsidRPr="00D455D0" w:rsidRDefault="000C47F0" w:rsidP="000C47F0">
      <w:pPr>
        <w:jc w:val="both"/>
        <w:rPr>
          <w:rFonts w:ascii="Avenir Next" w:hAnsi="Avenir Next" w:cs="Arial"/>
          <w:color w:val="7B7B7B" w:themeColor="accent3" w:themeShade="BF"/>
          <w:sz w:val="22"/>
          <w:szCs w:val="22"/>
          <w:lang w:val="en-US"/>
        </w:rPr>
      </w:pPr>
    </w:p>
    <w:p w14:paraId="755D6AFF" w14:textId="0FC51646" w:rsidR="00C550C8" w:rsidRPr="006723E9" w:rsidRDefault="00C550C8" w:rsidP="000A3278">
      <w:pPr>
        <w:jc w:val="both"/>
        <w:rPr>
          <w:rFonts w:ascii="Avenir Next Demi Bold" w:hAnsi="Avenir Next Demi Bold" w:cs="Arial"/>
          <w:b/>
          <w:bCs/>
          <w:sz w:val="22"/>
          <w:szCs w:val="22"/>
        </w:rPr>
      </w:pPr>
      <w:proofErr w:type="spellStart"/>
      <w:r w:rsidRPr="006723E9">
        <w:rPr>
          <w:rFonts w:ascii="Avenir Next Demi Bold" w:hAnsi="Avenir Next Demi Bold" w:cs="Arial"/>
          <w:b/>
          <w:bCs/>
          <w:sz w:val="22"/>
          <w:szCs w:val="22"/>
        </w:rPr>
        <w:t>Question</w:t>
      </w:r>
      <w:proofErr w:type="spellEnd"/>
      <w:r w:rsidRPr="006723E9">
        <w:rPr>
          <w:rFonts w:ascii="Avenir Next Demi Bold" w:hAnsi="Avenir Next Demi Bold" w:cs="Arial"/>
          <w:b/>
          <w:bCs/>
          <w:sz w:val="22"/>
          <w:szCs w:val="22"/>
        </w:rPr>
        <w:t xml:space="preserve">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02E0CA2F" w:rsidR="000A3278" w:rsidRDefault="000A3278" w:rsidP="000A3278">
      <w:pPr>
        <w:jc w:val="both"/>
        <w:rPr>
          <w:rFonts w:ascii="Avenir Next" w:hAnsi="Avenir Next" w:cs="Arial"/>
          <w:color w:val="7B7B7B" w:themeColor="accent3" w:themeShade="BF"/>
          <w:sz w:val="22"/>
          <w:szCs w:val="22"/>
        </w:rPr>
      </w:pPr>
    </w:p>
    <w:p w14:paraId="43D9D5F0" w14:textId="77777777" w:rsidR="000C47F0" w:rsidRPr="00D455D0" w:rsidRDefault="000C47F0" w:rsidP="00D455D0">
      <w:pPr>
        <w:pStyle w:val="Akapitzlist"/>
        <w:numPr>
          <w:ilvl w:val="0"/>
          <w:numId w:val="56"/>
        </w:numPr>
        <w:jc w:val="both"/>
        <w:rPr>
          <w:rFonts w:ascii="Avenir Next" w:hAnsi="Avenir Next" w:cs="Arial"/>
          <w:color w:val="7B7B7B" w:themeColor="accent3" w:themeShade="BF"/>
          <w:sz w:val="22"/>
          <w:szCs w:val="22"/>
          <w:lang w:val="en-US"/>
        </w:rPr>
      </w:pPr>
      <w:r w:rsidRPr="00D455D0">
        <w:rPr>
          <w:rFonts w:ascii="Avenir Next" w:hAnsi="Avenir Next" w:cs="Arial"/>
          <w:color w:val="7B7B7B" w:themeColor="accent3" w:themeShade="BF"/>
          <w:sz w:val="22"/>
          <w:szCs w:val="22"/>
          <w:lang w:val="en-US"/>
        </w:rPr>
        <w:t>Praises:</w:t>
      </w:r>
    </w:p>
    <w:p w14:paraId="16F12A16" w14:textId="565156C7" w:rsidR="000C47F0" w:rsidRPr="00D455D0" w:rsidRDefault="00D455D0" w:rsidP="00D455D0">
      <w:pPr>
        <w:pStyle w:val="Akapitzlist"/>
        <w:numPr>
          <w:ilvl w:val="1"/>
          <w:numId w:val="56"/>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The COMI establishes a standardized approach to determining the competent court, discouraging strategic jurisdictional manipulation (forum </w:t>
      </w:r>
      <w:r>
        <w:rPr>
          <w:rFonts w:ascii="Avenir Next" w:hAnsi="Avenir Next" w:cs="Arial"/>
          <w:color w:val="7B7B7B" w:themeColor="accent3" w:themeShade="BF"/>
          <w:sz w:val="22"/>
          <w:szCs w:val="22"/>
          <w:lang w:val="en-US"/>
        </w:rPr>
        <w:lastRenderedPageBreak/>
        <w:t>shopping</w:t>
      </w:r>
      <w:proofErr w:type="gramStart"/>
      <w:r>
        <w:rPr>
          <w:rFonts w:ascii="Avenir Next" w:hAnsi="Avenir Next" w:cs="Arial"/>
          <w:color w:val="7B7B7B" w:themeColor="accent3" w:themeShade="BF"/>
          <w:sz w:val="22"/>
          <w:szCs w:val="22"/>
          <w:lang w:val="en-US"/>
        </w:rPr>
        <w:t>)</w:t>
      </w:r>
      <w:proofErr w:type="gramEnd"/>
      <w:r>
        <w:rPr>
          <w:rFonts w:ascii="Avenir Next" w:hAnsi="Avenir Next" w:cs="Arial"/>
          <w:color w:val="7B7B7B" w:themeColor="accent3" w:themeShade="BF"/>
          <w:sz w:val="22"/>
          <w:szCs w:val="22"/>
          <w:lang w:val="en-US"/>
        </w:rPr>
        <w:t xml:space="preserve"> and fostering predictability for transnational businesses. This clarity is critical for stakeholders, allowing them to anticipate the relevant legal framework and forum for insolvency proceedings.</w:t>
      </w:r>
    </w:p>
    <w:p w14:paraId="3CE855ED" w14:textId="6A46C32A" w:rsidR="000C47F0" w:rsidRDefault="00D455D0" w:rsidP="00D455D0">
      <w:pPr>
        <w:pStyle w:val="Akapitzlist"/>
        <w:numPr>
          <w:ilvl w:val="1"/>
          <w:numId w:val="56"/>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By identifying the primary jurisdiction based on COMI, the concept allows for a universal approach to insolvency, ensuring comprehensive administration of the debtor's assets and liabilities across the EU. This promotes the principle of equitable treatment of creditors and improves the efficiency of cross-border proceedings.</w:t>
      </w:r>
    </w:p>
    <w:p w14:paraId="7AFD931F" w14:textId="77777777" w:rsidR="00D455D0" w:rsidRPr="00D455D0" w:rsidRDefault="00D455D0" w:rsidP="00D455D0">
      <w:pPr>
        <w:pStyle w:val="Akapitzlist"/>
        <w:ind w:left="1440"/>
        <w:jc w:val="both"/>
        <w:rPr>
          <w:rFonts w:ascii="Avenir Next" w:hAnsi="Avenir Next" w:cs="Arial"/>
          <w:color w:val="7B7B7B" w:themeColor="accent3" w:themeShade="BF"/>
          <w:sz w:val="22"/>
          <w:szCs w:val="22"/>
          <w:lang w:val="en-US"/>
        </w:rPr>
      </w:pPr>
    </w:p>
    <w:p w14:paraId="383526F6" w14:textId="77777777" w:rsidR="000C47F0" w:rsidRPr="00D455D0" w:rsidRDefault="000C47F0" w:rsidP="00D455D0">
      <w:pPr>
        <w:pStyle w:val="Akapitzlist"/>
        <w:numPr>
          <w:ilvl w:val="0"/>
          <w:numId w:val="56"/>
        </w:numPr>
        <w:jc w:val="both"/>
        <w:rPr>
          <w:rFonts w:ascii="Avenir Next" w:hAnsi="Avenir Next" w:cs="Arial"/>
          <w:color w:val="7B7B7B" w:themeColor="accent3" w:themeShade="BF"/>
          <w:sz w:val="22"/>
          <w:szCs w:val="22"/>
          <w:lang w:val="en-US"/>
        </w:rPr>
      </w:pPr>
      <w:r w:rsidRPr="00D455D0">
        <w:rPr>
          <w:rFonts w:ascii="Avenir Next" w:hAnsi="Avenir Next" w:cs="Arial"/>
          <w:color w:val="7B7B7B" w:themeColor="accent3" w:themeShade="BF"/>
          <w:sz w:val="22"/>
          <w:szCs w:val="22"/>
          <w:lang w:val="en-US"/>
        </w:rPr>
        <w:t>Shortcomings:</w:t>
      </w:r>
    </w:p>
    <w:p w14:paraId="6A24783E" w14:textId="4F916D3F" w:rsidR="000C47F0" w:rsidRPr="00D455D0" w:rsidRDefault="00D455D0" w:rsidP="00D455D0">
      <w:pPr>
        <w:pStyle w:val="Akapitzlist"/>
        <w:numPr>
          <w:ilvl w:val="1"/>
          <w:numId w:val="56"/>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Determining COMI can be difficult in situations with dispersed activities across multiple countries. Employee, customer, and creditor locations may not be concentrated in a single member state, resulting in complexities and potential disputes over the appropriate forum.</w:t>
      </w:r>
    </w:p>
    <w:p w14:paraId="1425CA4D" w14:textId="276D8225" w:rsidR="000C47F0" w:rsidRPr="00D455D0" w:rsidRDefault="00D455D0" w:rsidP="00D455D0">
      <w:pPr>
        <w:pStyle w:val="Akapitzlist"/>
        <w:numPr>
          <w:ilvl w:val="1"/>
          <w:numId w:val="56"/>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In certain situations, the COMI may not precisely represent the actual economic center or the place where </w:t>
      </w:r>
      <w:proofErr w:type="gramStart"/>
      <w:r>
        <w:rPr>
          <w:rFonts w:ascii="Avenir Next" w:hAnsi="Avenir Next" w:cs="Arial"/>
          <w:color w:val="7B7B7B" w:themeColor="accent3" w:themeShade="BF"/>
          <w:sz w:val="22"/>
          <w:szCs w:val="22"/>
          <w:lang w:val="en-US"/>
        </w:rPr>
        <w:t>the majority of</w:t>
      </w:r>
      <w:proofErr w:type="gramEnd"/>
      <w:r>
        <w:rPr>
          <w:rFonts w:ascii="Avenir Next" w:hAnsi="Avenir Next" w:cs="Arial"/>
          <w:color w:val="7B7B7B" w:themeColor="accent3" w:themeShade="BF"/>
          <w:sz w:val="22"/>
          <w:szCs w:val="22"/>
          <w:lang w:val="en-US"/>
        </w:rPr>
        <w:t xml:space="preserve"> value is created, which could lead to inefficiencies and inconvenience. The conduct of proceedings in a location that may not be convenient for certain stakeholders may result in inefficiencies and increased costs.</w:t>
      </w:r>
    </w:p>
    <w:p w14:paraId="64A1F1F3" w14:textId="77777777" w:rsidR="000C47F0" w:rsidRPr="00D455D0" w:rsidRDefault="000C47F0" w:rsidP="000A3278">
      <w:pPr>
        <w:jc w:val="both"/>
        <w:rPr>
          <w:rFonts w:ascii="Avenir Next" w:hAnsi="Avenir Next" w:cs="Arial"/>
          <w:color w:val="7B7B7B" w:themeColor="accent3" w:themeShade="BF"/>
          <w:sz w:val="22"/>
          <w:szCs w:val="22"/>
          <w:lang w:val="en-US"/>
        </w:rPr>
      </w:pPr>
    </w:p>
    <w:p w14:paraId="27C1045F" w14:textId="32D1694F" w:rsidR="008D6048" w:rsidRPr="00D455D0" w:rsidRDefault="008D6048" w:rsidP="002A37BB">
      <w:pPr>
        <w:jc w:val="both"/>
        <w:rPr>
          <w:rFonts w:ascii="Avenir Next" w:hAnsi="Avenir Next" w:cs="Arial"/>
          <w:color w:val="808080" w:themeColor="background1" w:themeShade="80"/>
          <w:sz w:val="22"/>
          <w:szCs w:val="22"/>
          <w:shd w:val="clear" w:color="auto" w:fill="FFFFFF"/>
          <w:lang w:val="en-US"/>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proofErr w:type="spellStart"/>
      <w:r w:rsidRPr="006723E9">
        <w:rPr>
          <w:rFonts w:ascii="Avenir Next Demi Bold" w:hAnsi="Avenir Next Demi Bold" w:cs="Arial"/>
          <w:b/>
          <w:bCs/>
          <w:sz w:val="22"/>
          <w:szCs w:val="22"/>
          <w:shd w:val="clear" w:color="auto" w:fill="FFFFFF"/>
        </w:rPr>
        <w:t>Question</w:t>
      </w:r>
      <w:proofErr w:type="spellEnd"/>
      <w:r w:rsidRPr="006723E9">
        <w:rPr>
          <w:rFonts w:ascii="Avenir Next Demi Bold" w:hAnsi="Avenir Next Demi Bold" w:cs="Arial"/>
          <w:b/>
          <w:bCs/>
          <w:sz w:val="22"/>
          <w:szCs w:val="22"/>
          <w:shd w:val="clear" w:color="auto" w:fill="FFFFFF"/>
        </w:rPr>
        <w:t xml:space="preserve">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5D4DB185" w14:textId="77777777" w:rsidR="00D515AE" w:rsidRDefault="00D515AE" w:rsidP="002A37BB">
      <w:pPr>
        <w:jc w:val="both"/>
        <w:rPr>
          <w:rFonts w:ascii="Avenir Next" w:hAnsi="Avenir Next" w:cs="Arial"/>
          <w:color w:val="7B7B7B" w:themeColor="accent3" w:themeShade="BF"/>
          <w:sz w:val="22"/>
          <w:szCs w:val="22"/>
          <w:lang w:val="en-GB"/>
        </w:rPr>
      </w:pPr>
    </w:p>
    <w:p w14:paraId="23E9738B" w14:textId="77777777" w:rsidR="00D515AE" w:rsidRDefault="00D515AE" w:rsidP="002A37BB">
      <w:pPr>
        <w:jc w:val="both"/>
        <w:rPr>
          <w:rFonts w:ascii="Avenir Next" w:hAnsi="Avenir Next" w:cs="Arial"/>
          <w:color w:val="7B7B7B" w:themeColor="accent3" w:themeShade="BF"/>
          <w:sz w:val="22"/>
          <w:szCs w:val="22"/>
          <w:lang w:val="en-GB"/>
        </w:rPr>
      </w:pPr>
    </w:p>
    <w:p w14:paraId="54E15C21" w14:textId="6D04E0F8" w:rsidR="00D515AE" w:rsidRPr="00D515AE" w:rsidRDefault="00D515AE" w:rsidP="00D515AE">
      <w:p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The EIR discusses the mechanics of cross-border insolvency proceedings, whereas the Directive focuses on facilitating and standardizing preventive restructuring measures within individual member states.  Both seek to improve cross-border insolvency and restructuring within the EU; however, they differ in two </w:t>
      </w:r>
      <w:r w:rsidR="00195028">
        <w:rPr>
          <w:rFonts w:ascii="Avenir Next" w:hAnsi="Avenir Next" w:cs="Arial"/>
          <w:color w:val="7B7B7B" w:themeColor="accent3" w:themeShade="BF"/>
          <w:sz w:val="22"/>
          <w:szCs w:val="22"/>
          <w:lang w:val="en-US"/>
        </w:rPr>
        <w:t>keyways</w:t>
      </w:r>
      <w:r>
        <w:rPr>
          <w:rFonts w:ascii="Avenir Next" w:hAnsi="Avenir Next" w:cs="Arial"/>
          <w:color w:val="7B7B7B" w:themeColor="accent3" w:themeShade="BF"/>
          <w:sz w:val="22"/>
          <w:szCs w:val="22"/>
          <w:lang w:val="en-US"/>
        </w:rPr>
        <w:t>:</w:t>
      </w:r>
    </w:p>
    <w:p w14:paraId="04164BD8" w14:textId="77777777" w:rsidR="00AC7C8A" w:rsidRPr="00D515AE" w:rsidRDefault="00AC7C8A" w:rsidP="00D515AE">
      <w:pPr>
        <w:jc w:val="both"/>
        <w:rPr>
          <w:rFonts w:ascii="Avenir Next" w:hAnsi="Avenir Next" w:cs="Arial"/>
          <w:color w:val="7B7B7B" w:themeColor="accent3" w:themeShade="BF"/>
          <w:sz w:val="22"/>
          <w:szCs w:val="22"/>
          <w:lang w:val="en-US"/>
        </w:rPr>
      </w:pPr>
    </w:p>
    <w:p w14:paraId="601643E2" w14:textId="77777777" w:rsidR="00D515AE" w:rsidRPr="00D515AE" w:rsidRDefault="00D515AE" w:rsidP="00D515AE">
      <w:p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 xml:space="preserve">1. Focus: </w:t>
      </w:r>
    </w:p>
    <w:p w14:paraId="47F488D8" w14:textId="77777777" w:rsidR="00D515AE" w:rsidRDefault="00D515AE" w:rsidP="00D515AE">
      <w:pPr>
        <w:pStyle w:val="Akapitzlist"/>
        <w:numPr>
          <w:ilvl w:val="0"/>
          <w:numId w:val="60"/>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EIR focuses on cross-border insolvency procedures and procedural harmonization. It seeks to establish efficient administration and collaboration in cases involving debtors, assets, or creditors from multiple EU countries. </w:t>
      </w:r>
    </w:p>
    <w:p w14:paraId="4B852225" w14:textId="77777777" w:rsidR="00D515AE" w:rsidRDefault="00D515AE" w:rsidP="00D515AE">
      <w:pPr>
        <w:pStyle w:val="Akapitzlist"/>
        <w:ind w:left="1440"/>
        <w:jc w:val="both"/>
        <w:rPr>
          <w:rFonts w:ascii="Avenir Next" w:hAnsi="Avenir Next" w:cs="Arial"/>
          <w:color w:val="7B7B7B" w:themeColor="accent3" w:themeShade="BF"/>
          <w:sz w:val="22"/>
          <w:szCs w:val="22"/>
          <w:lang w:val="en-US"/>
        </w:rPr>
      </w:pPr>
    </w:p>
    <w:p w14:paraId="2445D7D1" w14:textId="303708A2" w:rsidR="00D515AE" w:rsidRDefault="00D515AE" w:rsidP="00D515AE">
      <w:pPr>
        <w:pStyle w:val="Akapitzlist"/>
        <w:numPr>
          <w:ilvl w:val="0"/>
          <w:numId w:val="60"/>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Directive: Identifies preventive restructuring frameworks within individual member states and seeks to standardize substantive aspects of these measures. It encourages early intervention and restructuring to help financially distressed companies avoid bankruptcy.</w:t>
      </w:r>
    </w:p>
    <w:p w14:paraId="586BFBB6" w14:textId="77777777" w:rsidR="00D515AE" w:rsidRPr="00D515AE" w:rsidRDefault="00D515AE" w:rsidP="00D515AE">
      <w:pPr>
        <w:pStyle w:val="Akapitzlist"/>
        <w:rPr>
          <w:rFonts w:ascii="Avenir Next" w:hAnsi="Avenir Next" w:cs="Arial"/>
          <w:color w:val="7B7B7B" w:themeColor="accent3" w:themeShade="BF"/>
          <w:sz w:val="22"/>
          <w:szCs w:val="22"/>
          <w:lang w:val="en-US"/>
        </w:rPr>
      </w:pPr>
    </w:p>
    <w:p w14:paraId="1DD390F0" w14:textId="77777777" w:rsidR="00D515AE" w:rsidRPr="00D515AE" w:rsidRDefault="00D515AE" w:rsidP="00D515AE">
      <w:pPr>
        <w:pStyle w:val="Akapitzlist"/>
        <w:ind w:left="1440"/>
        <w:jc w:val="both"/>
        <w:rPr>
          <w:rFonts w:ascii="Avenir Next" w:hAnsi="Avenir Next" w:cs="Arial"/>
          <w:color w:val="7B7B7B" w:themeColor="accent3" w:themeShade="BF"/>
          <w:sz w:val="22"/>
          <w:szCs w:val="22"/>
          <w:lang w:val="en-US"/>
        </w:rPr>
      </w:pPr>
    </w:p>
    <w:p w14:paraId="26754412" w14:textId="77777777" w:rsidR="00D515AE" w:rsidRDefault="00D515AE" w:rsidP="00D515AE">
      <w:p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2. Objectives:</w:t>
      </w:r>
    </w:p>
    <w:p w14:paraId="423E7A8A" w14:textId="77777777" w:rsidR="00D515AE" w:rsidRPr="00D515AE" w:rsidRDefault="00D515AE" w:rsidP="00D515AE">
      <w:pPr>
        <w:jc w:val="both"/>
        <w:rPr>
          <w:rFonts w:ascii="Avenir Next" w:hAnsi="Avenir Next" w:cs="Arial"/>
          <w:color w:val="7B7B7B" w:themeColor="accent3" w:themeShade="BF"/>
          <w:sz w:val="22"/>
          <w:szCs w:val="22"/>
          <w:lang w:val="en-US"/>
        </w:rPr>
      </w:pPr>
    </w:p>
    <w:p w14:paraId="5C13563A" w14:textId="77777777" w:rsidR="00D515AE" w:rsidRPr="00D515AE" w:rsidRDefault="00D515AE" w:rsidP="00D515AE">
      <w:pPr>
        <w:pStyle w:val="Akapitzlist"/>
        <w:numPr>
          <w:ilvl w:val="0"/>
          <w:numId w:val="63"/>
        </w:num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 xml:space="preserve">EIR seeks to establish a standardized framework for the jurisdictional and procedural aspects of cross-border insolvency proceedings. Its goals include: </w:t>
      </w:r>
    </w:p>
    <w:p w14:paraId="603403ED" w14:textId="77777777" w:rsidR="00D515AE" w:rsidRPr="00D515AE" w:rsidRDefault="00D515AE" w:rsidP="00D515AE">
      <w:pPr>
        <w:pStyle w:val="Akapitzlist"/>
        <w:numPr>
          <w:ilvl w:val="1"/>
          <w:numId w:val="63"/>
        </w:num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 xml:space="preserve">Identifying the relevant court's jurisdiction </w:t>
      </w:r>
    </w:p>
    <w:p w14:paraId="78A603EA" w14:textId="77777777" w:rsidR="00D515AE" w:rsidRPr="00D515AE" w:rsidRDefault="00D515AE" w:rsidP="00D515AE">
      <w:pPr>
        <w:pStyle w:val="Akapitzlist"/>
        <w:numPr>
          <w:ilvl w:val="1"/>
          <w:numId w:val="63"/>
        </w:num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 xml:space="preserve">Recognize and enforce insolvency decisions among member states. </w:t>
      </w:r>
    </w:p>
    <w:p w14:paraId="6170874C" w14:textId="13F129A3" w:rsidR="00D515AE" w:rsidRDefault="00D515AE" w:rsidP="00D515AE">
      <w:pPr>
        <w:pStyle w:val="Akapitzlist"/>
        <w:numPr>
          <w:ilvl w:val="1"/>
          <w:numId w:val="63"/>
        </w:num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Facilitating collaboration and cooperation between courts and insolvency professionals in cross-border cases.</w:t>
      </w:r>
    </w:p>
    <w:p w14:paraId="26C1D91E" w14:textId="77777777" w:rsidR="00D515AE" w:rsidRPr="00D515AE" w:rsidRDefault="00D515AE" w:rsidP="00D515AE">
      <w:pPr>
        <w:pStyle w:val="Akapitzlist"/>
        <w:ind w:left="2160"/>
        <w:jc w:val="both"/>
        <w:rPr>
          <w:rFonts w:ascii="Avenir Next" w:hAnsi="Avenir Next" w:cs="Arial"/>
          <w:color w:val="7B7B7B" w:themeColor="accent3" w:themeShade="BF"/>
          <w:sz w:val="22"/>
          <w:szCs w:val="22"/>
          <w:lang w:val="en-US"/>
        </w:rPr>
      </w:pPr>
    </w:p>
    <w:p w14:paraId="726AD48D" w14:textId="77777777" w:rsidR="00D515AE" w:rsidRPr="00D515AE" w:rsidRDefault="00D515AE" w:rsidP="00D515AE">
      <w:pPr>
        <w:pStyle w:val="Akapitzlist"/>
        <w:numPr>
          <w:ilvl w:val="0"/>
          <w:numId w:val="63"/>
        </w:num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 xml:space="preserve">The directive aims to standardize national insolvency laws in terms of preventive restructuring instruments and frameworks. Its primary objectives include: </w:t>
      </w:r>
    </w:p>
    <w:p w14:paraId="3C243F12" w14:textId="77777777" w:rsidR="00D515AE" w:rsidRDefault="00D515AE" w:rsidP="00D515AE">
      <w:pPr>
        <w:pStyle w:val="Akapitzlist"/>
        <w:numPr>
          <w:ilvl w:val="1"/>
          <w:numId w:val="64"/>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Encourage member states to establish procedures for the early restructuring of financially challenged businesses. </w:t>
      </w:r>
    </w:p>
    <w:p w14:paraId="37F80B23" w14:textId="77777777" w:rsidR="00D515AE" w:rsidRDefault="00D515AE" w:rsidP="00D515AE">
      <w:pPr>
        <w:pStyle w:val="Akapitzlist"/>
        <w:numPr>
          <w:ilvl w:val="1"/>
          <w:numId w:val="64"/>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 xml:space="preserve">Establishing consistent debt discharge procedures for honest entrepreneurs. </w:t>
      </w:r>
    </w:p>
    <w:p w14:paraId="42FB97E0" w14:textId="68AB62AB" w:rsidR="00D515AE" w:rsidRPr="00D515AE" w:rsidRDefault="00D515AE" w:rsidP="00D515AE">
      <w:pPr>
        <w:pStyle w:val="Akapitzlist"/>
        <w:numPr>
          <w:ilvl w:val="1"/>
          <w:numId w:val="64"/>
        </w:numPr>
        <w:jc w:val="both"/>
        <w:rPr>
          <w:rFonts w:ascii="Avenir Next" w:hAnsi="Avenir Next" w:cs="Arial"/>
          <w:color w:val="7B7B7B" w:themeColor="accent3" w:themeShade="BF"/>
          <w:sz w:val="22"/>
          <w:szCs w:val="22"/>
          <w:lang w:val="en-US"/>
        </w:rPr>
      </w:pPr>
      <w:r>
        <w:rPr>
          <w:rFonts w:ascii="Avenir Next" w:hAnsi="Avenir Next" w:cs="Arial"/>
          <w:color w:val="7B7B7B" w:themeColor="accent3" w:themeShade="BF"/>
          <w:sz w:val="22"/>
          <w:szCs w:val="22"/>
          <w:lang w:val="en-US"/>
        </w:rPr>
        <w:t>Introducing procedures that may prevent directors from being disqualified in specific cases, allowing them to continue working and potentially contribute to the business's turnaround.</w:t>
      </w:r>
    </w:p>
    <w:p w14:paraId="4A5DCC71" w14:textId="77777777" w:rsidR="00AC7C8A" w:rsidRPr="00D515AE" w:rsidRDefault="00AC7C8A" w:rsidP="000A3278">
      <w:pPr>
        <w:jc w:val="both"/>
        <w:rPr>
          <w:rFonts w:ascii="Avenir Next" w:hAnsi="Avenir Next" w:cs="Arial"/>
          <w:color w:val="7B7B7B" w:themeColor="accent3" w:themeShade="BF"/>
          <w:sz w:val="22"/>
          <w:szCs w:val="22"/>
          <w:lang w:val="en-US"/>
        </w:rPr>
      </w:pP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69673422" w14:textId="77777777" w:rsidR="00EA64FA" w:rsidRDefault="00EA64FA" w:rsidP="000A3278">
      <w:pPr>
        <w:jc w:val="both"/>
        <w:rPr>
          <w:rFonts w:ascii="Avenir Next" w:hAnsi="Avenir Next" w:cs="Arial"/>
          <w:color w:val="7B7B7B" w:themeColor="accent3" w:themeShade="BF"/>
          <w:sz w:val="22"/>
          <w:szCs w:val="22"/>
        </w:rPr>
      </w:pPr>
    </w:p>
    <w:p w14:paraId="2067476F" w14:textId="77777777" w:rsidR="00EA64FA" w:rsidRPr="00D515AE" w:rsidRDefault="00EA64FA" w:rsidP="00EA64FA">
      <w:p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 xml:space="preserve">The EIR 2000 does not apply to </w:t>
      </w:r>
      <w:proofErr w:type="spellStart"/>
      <w:r w:rsidRPr="00D515AE">
        <w:rPr>
          <w:rFonts w:ascii="Avenir Next" w:hAnsi="Avenir Next" w:cs="Arial"/>
          <w:color w:val="7B7B7B" w:themeColor="accent3" w:themeShade="BF"/>
          <w:sz w:val="22"/>
          <w:szCs w:val="22"/>
          <w:lang w:val="en-US"/>
        </w:rPr>
        <w:t>Dinosaurus</w:t>
      </w:r>
      <w:proofErr w:type="spellEnd"/>
      <w:r w:rsidRPr="00D515AE">
        <w:rPr>
          <w:rFonts w:ascii="Avenir Next" w:hAnsi="Avenir Next" w:cs="Arial"/>
          <w:color w:val="7B7B7B" w:themeColor="accent3" w:themeShade="BF"/>
          <w:sz w:val="22"/>
          <w:szCs w:val="22"/>
          <w:lang w:val="en-US"/>
        </w:rPr>
        <w:t xml:space="preserve"> SARL's safeguard proceedings because they are restructuring efforts that do not include the collective divestment of the debtor's assets or the appointment of a liquidator, as required by the regulation and supported by CJEU case law. </w:t>
      </w:r>
    </w:p>
    <w:p w14:paraId="352C3D93" w14:textId="77777777" w:rsidR="00EA64FA" w:rsidRPr="00D515AE" w:rsidRDefault="00EA64FA" w:rsidP="00EA64FA">
      <w:pPr>
        <w:jc w:val="both"/>
        <w:rPr>
          <w:rFonts w:ascii="Avenir Next" w:hAnsi="Avenir Next" w:cs="Arial"/>
          <w:color w:val="7B7B7B" w:themeColor="accent3" w:themeShade="BF"/>
          <w:sz w:val="22"/>
          <w:szCs w:val="22"/>
          <w:lang w:val="en-US"/>
        </w:rPr>
      </w:pPr>
    </w:p>
    <w:p w14:paraId="7D42F87B" w14:textId="77777777" w:rsidR="00EA64FA" w:rsidRPr="00D515AE" w:rsidRDefault="00EA64FA" w:rsidP="00EA64FA">
      <w:pPr>
        <w:jc w:val="both"/>
        <w:rPr>
          <w:rFonts w:ascii="Avenir Next" w:hAnsi="Avenir Next" w:cs="Arial"/>
          <w:color w:val="7B7B7B" w:themeColor="accent3" w:themeShade="BF"/>
          <w:sz w:val="22"/>
          <w:szCs w:val="22"/>
          <w:lang w:val="en-US"/>
        </w:rPr>
      </w:pPr>
    </w:p>
    <w:p w14:paraId="078AAE31" w14:textId="77777777" w:rsidR="00D515AE" w:rsidRDefault="00EA64FA" w:rsidP="00EA64FA">
      <w:pPr>
        <w:pStyle w:val="Akapitzlist"/>
        <w:numPr>
          <w:ilvl w:val="0"/>
          <w:numId w:val="66"/>
        </w:numPr>
        <w:jc w:val="both"/>
        <w:rPr>
          <w:rFonts w:ascii="Avenir Next" w:hAnsi="Avenir Next" w:cs="Arial"/>
          <w:color w:val="7B7B7B" w:themeColor="accent3" w:themeShade="BF"/>
          <w:sz w:val="22"/>
          <w:szCs w:val="22"/>
          <w:lang w:val="en-US"/>
        </w:rPr>
      </w:pPr>
      <w:r w:rsidRPr="00D515AE">
        <w:rPr>
          <w:rFonts w:ascii="Avenir Next" w:hAnsi="Avenir Next" w:cs="Arial"/>
          <w:color w:val="7B7B7B" w:themeColor="accent3" w:themeShade="BF"/>
          <w:sz w:val="22"/>
          <w:szCs w:val="22"/>
          <w:lang w:val="en-US"/>
        </w:rPr>
        <w:t xml:space="preserve">Scope of EIR 2000: The EIR 2000, technically known as Council Regulation (EC) No. 1346/2000, governs cross-border insolvency procedures in the European Union. </w:t>
      </w:r>
      <w:r w:rsidRPr="00D515AE">
        <w:rPr>
          <w:rFonts w:ascii="Avenir Next" w:hAnsi="Avenir Next" w:cs="Arial"/>
          <w:color w:val="7B7B7B" w:themeColor="accent3" w:themeShade="BF"/>
          <w:sz w:val="22"/>
          <w:szCs w:val="22"/>
        </w:rPr>
        <w:t xml:space="preserve">It </w:t>
      </w:r>
      <w:proofErr w:type="spellStart"/>
      <w:r w:rsidRPr="00D515AE">
        <w:rPr>
          <w:rFonts w:ascii="Avenir Next" w:hAnsi="Avenir Next" w:cs="Arial"/>
          <w:color w:val="7B7B7B" w:themeColor="accent3" w:themeShade="BF"/>
          <w:sz w:val="22"/>
          <w:szCs w:val="22"/>
        </w:rPr>
        <w:t>is</w:t>
      </w:r>
      <w:proofErr w:type="spellEnd"/>
      <w:r w:rsidRPr="00D515AE">
        <w:rPr>
          <w:rFonts w:ascii="Avenir Next" w:hAnsi="Avenir Next" w:cs="Arial"/>
          <w:color w:val="7B7B7B" w:themeColor="accent3" w:themeShade="BF"/>
          <w:sz w:val="22"/>
          <w:szCs w:val="22"/>
        </w:rPr>
        <w:t xml:space="preserve"> </w:t>
      </w:r>
      <w:proofErr w:type="spellStart"/>
      <w:r w:rsidRPr="00D515AE">
        <w:rPr>
          <w:rFonts w:ascii="Avenir Next" w:hAnsi="Avenir Next" w:cs="Arial"/>
          <w:color w:val="7B7B7B" w:themeColor="accent3" w:themeShade="BF"/>
          <w:sz w:val="22"/>
          <w:szCs w:val="22"/>
        </w:rPr>
        <w:t>intended</w:t>
      </w:r>
      <w:proofErr w:type="spellEnd"/>
      <w:r w:rsidRPr="00D515AE">
        <w:rPr>
          <w:rFonts w:ascii="Avenir Next" w:hAnsi="Avenir Next" w:cs="Arial"/>
          <w:color w:val="7B7B7B" w:themeColor="accent3" w:themeShade="BF"/>
          <w:sz w:val="22"/>
          <w:szCs w:val="22"/>
        </w:rPr>
        <w:t xml:space="preserve"> to apply to insolvency proceedings including the partial or complete divestiture of a debtor and the appointment of a liquidator. However, safeguard procedures, such as those sought by </w:t>
      </w:r>
      <w:proofErr w:type="spellStart"/>
      <w:r w:rsidRPr="00D515AE">
        <w:rPr>
          <w:rFonts w:ascii="Avenir Next" w:hAnsi="Avenir Next" w:cs="Arial"/>
          <w:color w:val="7B7B7B" w:themeColor="accent3" w:themeShade="BF"/>
          <w:sz w:val="22"/>
          <w:szCs w:val="22"/>
        </w:rPr>
        <w:t>Dinosaurus</w:t>
      </w:r>
      <w:proofErr w:type="spellEnd"/>
      <w:r w:rsidRPr="00D515AE">
        <w:rPr>
          <w:rFonts w:ascii="Avenir Next" w:hAnsi="Avenir Next" w:cs="Arial"/>
          <w:color w:val="7B7B7B" w:themeColor="accent3" w:themeShade="BF"/>
          <w:sz w:val="22"/>
          <w:szCs w:val="22"/>
        </w:rPr>
        <w:t xml:space="preserve"> SARL, aim to restructure the debtor in order to avoid insolvency and do not always require the debtor's divestiture or the appointment of a liquidator. </w:t>
      </w:r>
      <w:r w:rsidRPr="00D515AE">
        <w:rPr>
          <w:rFonts w:ascii="Avenir Next" w:hAnsi="Avenir Next" w:cs="Arial"/>
          <w:color w:val="7B7B7B" w:themeColor="accent3" w:themeShade="BF"/>
          <w:sz w:val="22"/>
          <w:szCs w:val="22"/>
          <w:lang w:val="en-US"/>
        </w:rPr>
        <w:t>Such proceedings are expressly excluded from the scope of the EIR 2000, as stated in Recital (7) of the Regulation, which clarifies that the regulation is intended to cover proceedings with a collective impact on creditors, excluding those aimed solely at the debtor's restructuring without affecting creditors in the same way as liquidation proceedings.</w:t>
      </w:r>
    </w:p>
    <w:p w14:paraId="73B05B06" w14:textId="77777777" w:rsidR="00D515AE" w:rsidRPr="00D515AE" w:rsidRDefault="00D515AE" w:rsidP="00D515AE">
      <w:pPr>
        <w:pStyle w:val="Akapitzlist"/>
        <w:jc w:val="both"/>
        <w:rPr>
          <w:rFonts w:ascii="Avenir Next" w:hAnsi="Avenir Next" w:cs="Arial"/>
          <w:color w:val="7B7B7B" w:themeColor="accent3" w:themeShade="BF"/>
          <w:sz w:val="22"/>
          <w:szCs w:val="22"/>
          <w:lang w:val="en-US"/>
        </w:rPr>
      </w:pPr>
    </w:p>
    <w:p w14:paraId="7119558A" w14:textId="297507C6" w:rsidR="00EA64FA" w:rsidRPr="00D515AE" w:rsidRDefault="00EA64FA" w:rsidP="00EA64FA">
      <w:pPr>
        <w:pStyle w:val="Akapitzlist"/>
        <w:numPr>
          <w:ilvl w:val="0"/>
          <w:numId w:val="66"/>
        </w:numPr>
        <w:jc w:val="both"/>
        <w:rPr>
          <w:rFonts w:ascii="Avenir Next" w:hAnsi="Avenir Next" w:cs="Arial"/>
          <w:color w:val="7B7B7B" w:themeColor="accent3" w:themeShade="BF"/>
          <w:sz w:val="22"/>
          <w:szCs w:val="22"/>
        </w:rPr>
      </w:pPr>
      <w:r w:rsidRPr="00D515AE">
        <w:rPr>
          <w:rFonts w:ascii="Avenir Next" w:hAnsi="Avenir Next" w:cs="Arial"/>
          <w:color w:val="7B7B7B" w:themeColor="accent3" w:themeShade="BF"/>
          <w:sz w:val="22"/>
          <w:szCs w:val="22"/>
          <w:lang w:val="en-US"/>
        </w:rPr>
        <w:t xml:space="preserve">CJEU Jurisprudence: In Case C-304/13, the CJEU reaffirmed that restructuring actions that do not result in total debtor divestiture do not fall under the EIR 2000. </w:t>
      </w:r>
      <w:proofErr w:type="spellStart"/>
      <w:r w:rsidRPr="00D515AE">
        <w:rPr>
          <w:rFonts w:ascii="Avenir Next" w:hAnsi="Avenir Next" w:cs="Arial"/>
          <w:color w:val="7B7B7B" w:themeColor="accent3" w:themeShade="BF"/>
          <w:sz w:val="22"/>
          <w:szCs w:val="22"/>
        </w:rPr>
        <w:t>This</w:t>
      </w:r>
      <w:proofErr w:type="spellEnd"/>
      <w:r w:rsidRPr="00D515AE">
        <w:rPr>
          <w:rFonts w:ascii="Avenir Next" w:hAnsi="Avenir Next" w:cs="Arial"/>
          <w:color w:val="7B7B7B" w:themeColor="accent3" w:themeShade="BF"/>
          <w:sz w:val="22"/>
          <w:szCs w:val="22"/>
        </w:rPr>
        <w:t xml:space="preserve"> </w:t>
      </w:r>
      <w:proofErr w:type="spellStart"/>
      <w:r w:rsidRPr="00D515AE">
        <w:rPr>
          <w:rFonts w:ascii="Avenir Next" w:hAnsi="Avenir Next" w:cs="Arial"/>
          <w:color w:val="7B7B7B" w:themeColor="accent3" w:themeShade="BF"/>
          <w:sz w:val="22"/>
          <w:szCs w:val="22"/>
        </w:rPr>
        <w:t>jurisprudence</w:t>
      </w:r>
      <w:proofErr w:type="spellEnd"/>
      <w:r w:rsidRPr="00D515AE">
        <w:rPr>
          <w:rFonts w:ascii="Avenir Next" w:hAnsi="Avenir Next" w:cs="Arial"/>
          <w:color w:val="7B7B7B" w:themeColor="accent3" w:themeShade="BF"/>
          <w:sz w:val="22"/>
          <w:szCs w:val="22"/>
        </w:rPr>
        <w:t xml:space="preserve"> </w:t>
      </w:r>
      <w:proofErr w:type="spellStart"/>
      <w:r w:rsidRPr="00D515AE">
        <w:rPr>
          <w:rFonts w:ascii="Avenir Next" w:hAnsi="Avenir Next" w:cs="Arial"/>
          <w:color w:val="7B7B7B" w:themeColor="accent3" w:themeShade="BF"/>
          <w:sz w:val="22"/>
          <w:szCs w:val="22"/>
        </w:rPr>
        <w:t>strengthens</w:t>
      </w:r>
      <w:proofErr w:type="spellEnd"/>
      <w:r w:rsidRPr="00D515AE">
        <w:rPr>
          <w:rFonts w:ascii="Avenir Next" w:hAnsi="Avenir Next" w:cs="Arial"/>
          <w:color w:val="7B7B7B" w:themeColor="accent3" w:themeShade="BF"/>
          <w:sz w:val="22"/>
          <w:szCs w:val="22"/>
        </w:rPr>
        <w:t xml:space="preserve"> the idea that the EIR 2000 is intended for actions that have a collective impact on the debtor's creditors, as opposed to restructuring or safeguard processes that are concerned with the debtor's existence and continuity.</w:t>
      </w:r>
    </w:p>
    <w:p w14:paraId="73F37EA0" w14:textId="77777777" w:rsidR="00EA64FA" w:rsidRPr="00EA64FA" w:rsidRDefault="00EA64FA" w:rsidP="00EA64FA">
      <w:pPr>
        <w:jc w:val="both"/>
        <w:rPr>
          <w:rFonts w:ascii="Avenir Next" w:hAnsi="Avenir Next" w:cs="Arial"/>
          <w:color w:val="7B7B7B" w:themeColor="accent3" w:themeShade="BF"/>
          <w:sz w:val="22"/>
          <w:szCs w:val="22"/>
        </w:rPr>
      </w:pPr>
    </w:p>
    <w:p w14:paraId="5B275981" w14:textId="77777777" w:rsidR="00EA64FA" w:rsidRDefault="00EA64FA" w:rsidP="000A3278">
      <w:pPr>
        <w:jc w:val="both"/>
        <w:rPr>
          <w:rFonts w:ascii="Avenir Next" w:hAnsi="Avenir Next" w:cs="Arial"/>
          <w:color w:val="7B7B7B" w:themeColor="accent3" w:themeShade="BF"/>
          <w:sz w:val="22"/>
          <w:szCs w:val="22"/>
        </w:rPr>
      </w:pP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6E734D81" w14:textId="77777777" w:rsidR="00695DF4" w:rsidRDefault="00695DF4" w:rsidP="000A3278">
      <w:pPr>
        <w:jc w:val="both"/>
        <w:rPr>
          <w:rFonts w:ascii="Avenir Next" w:hAnsi="Avenir Next" w:cs="Arial"/>
          <w:color w:val="7B7B7B" w:themeColor="accent3" w:themeShade="BF"/>
          <w:sz w:val="22"/>
          <w:szCs w:val="22"/>
        </w:rPr>
      </w:pPr>
    </w:p>
    <w:p w14:paraId="0DFD91A7" w14:textId="38493DFF" w:rsidR="00695DF4" w:rsidRDefault="006557E9" w:rsidP="000A3278">
      <w:pPr>
        <w:jc w:val="both"/>
        <w:rPr>
          <w:rFonts w:ascii="Avenir Next" w:hAnsi="Avenir Next" w:cs="Arial"/>
          <w:color w:val="7B7B7B" w:themeColor="accent3" w:themeShade="BF"/>
          <w:sz w:val="22"/>
          <w:szCs w:val="22"/>
        </w:rPr>
      </w:pPr>
      <w:r w:rsidRPr="00D515AE">
        <w:rPr>
          <w:rFonts w:ascii="Avenir Next" w:hAnsi="Avenir Next" w:cs="Arial"/>
          <w:color w:val="7B7B7B" w:themeColor="accent3" w:themeShade="BF"/>
          <w:sz w:val="22"/>
          <w:szCs w:val="22"/>
          <w:lang w:val="en-US"/>
        </w:rPr>
        <w:t xml:space="preserve">Given the broader scope of the EIR Recast compared to the EIR 2000, the nature of </w:t>
      </w:r>
      <w:proofErr w:type="spellStart"/>
      <w:r w:rsidRPr="00D515AE">
        <w:rPr>
          <w:rFonts w:ascii="Avenir Next" w:hAnsi="Avenir Next" w:cs="Arial"/>
          <w:color w:val="7B7B7B" w:themeColor="accent3" w:themeShade="BF"/>
          <w:sz w:val="22"/>
          <w:szCs w:val="22"/>
          <w:lang w:val="en-US"/>
        </w:rPr>
        <w:t>Dinosaurus</w:t>
      </w:r>
      <w:proofErr w:type="spellEnd"/>
      <w:r w:rsidRPr="00D515AE">
        <w:rPr>
          <w:rFonts w:ascii="Avenir Next" w:hAnsi="Avenir Next" w:cs="Arial"/>
          <w:color w:val="7B7B7B" w:themeColor="accent3" w:themeShade="BF"/>
          <w:sz w:val="22"/>
          <w:szCs w:val="22"/>
          <w:lang w:val="en-US"/>
        </w:rPr>
        <w:t xml:space="preserve"> SARL's safeguard proceedings, the company's COMI in France, and the timing of the proceedings, the EIR Recast governs the safeguard proceedings opened by the French High Court for </w:t>
      </w:r>
      <w:proofErr w:type="spellStart"/>
      <w:r w:rsidRPr="00D515AE">
        <w:rPr>
          <w:rFonts w:ascii="Avenir Next" w:hAnsi="Avenir Next" w:cs="Arial"/>
          <w:color w:val="7B7B7B" w:themeColor="accent3" w:themeShade="BF"/>
          <w:sz w:val="22"/>
          <w:szCs w:val="22"/>
          <w:lang w:val="en-US"/>
        </w:rPr>
        <w:t>Dinosaurus</w:t>
      </w:r>
      <w:proofErr w:type="spellEnd"/>
      <w:r w:rsidRPr="00D515AE">
        <w:rPr>
          <w:rFonts w:ascii="Avenir Next" w:hAnsi="Avenir Next" w:cs="Arial"/>
          <w:color w:val="7B7B7B" w:themeColor="accent3" w:themeShade="BF"/>
          <w:sz w:val="22"/>
          <w:szCs w:val="22"/>
          <w:lang w:val="en-US"/>
        </w:rPr>
        <w:t xml:space="preserve"> SARL. </w:t>
      </w:r>
      <w:r w:rsidRPr="006557E9">
        <w:rPr>
          <w:rFonts w:ascii="Avenir Next" w:hAnsi="Avenir Next" w:cs="Arial"/>
          <w:color w:val="7B7B7B" w:themeColor="accent3" w:themeShade="BF"/>
          <w:sz w:val="22"/>
          <w:szCs w:val="22"/>
        </w:rPr>
        <w:t xml:space="preserve">The </w:t>
      </w:r>
      <w:proofErr w:type="spellStart"/>
      <w:r w:rsidRPr="006557E9">
        <w:rPr>
          <w:rFonts w:ascii="Avenir Next" w:hAnsi="Avenir Next" w:cs="Arial"/>
          <w:color w:val="7B7B7B" w:themeColor="accent3" w:themeShade="BF"/>
          <w:sz w:val="22"/>
          <w:szCs w:val="22"/>
        </w:rPr>
        <w:t>analysis</w:t>
      </w:r>
      <w:proofErr w:type="spellEnd"/>
      <w:r w:rsidRPr="006557E9">
        <w:rPr>
          <w:rFonts w:ascii="Avenir Next" w:hAnsi="Avenir Next" w:cs="Arial"/>
          <w:color w:val="7B7B7B" w:themeColor="accent3" w:themeShade="BF"/>
          <w:sz w:val="22"/>
          <w:szCs w:val="22"/>
        </w:rPr>
        <w:t xml:space="preserve"> of the EIR Recast’s scope, Annex A for specific inclusion, and the procedural steps outlined, all point towards the applicability of the EIR Recast to the safeguard proceedings initiated by </w:t>
      </w:r>
      <w:proofErr w:type="spellStart"/>
      <w:r w:rsidRPr="006557E9">
        <w:rPr>
          <w:rFonts w:ascii="Avenir Next" w:hAnsi="Avenir Next" w:cs="Arial"/>
          <w:color w:val="7B7B7B" w:themeColor="accent3" w:themeShade="BF"/>
          <w:sz w:val="22"/>
          <w:szCs w:val="22"/>
        </w:rPr>
        <w:t>Dinosaurus</w:t>
      </w:r>
      <w:proofErr w:type="spellEnd"/>
      <w:r w:rsidRPr="006557E9">
        <w:rPr>
          <w:rFonts w:ascii="Avenir Next" w:hAnsi="Avenir Next" w:cs="Arial"/>
          <w:color w:val="7B7B7B" w:themeColor="accent3" w:themeShade="BF"/>
          <w:sz w:val="22"/>
          <w:szCs w:val="22"/>
        </w:rPr>
        <w:t xml:space="preserve"> SARL on 23 </w:t>
      </w:r>
      <w:proofErr w:type="spellStart"/>
      <w:r w:rsidRPr="006557E9">
        <w:rPr>
          <w:rFonts w:ascii="Avenir Next" w:hAnsi="Avenir Next" w:cs="Arial"/>
          <w:color w:val="7B7B7B" w:themeColor="accent3" w:themeShade="BF"/>
          <w:sz w:val="22"/>
          <w:szCs w:val="22"/>
        </w:rPr>
        <w:t>June</w:t>
      </w:r>
      <w:proofErr w:type="spellEnd"/>
      <w:r w:rsidRPr="006557E9">
        <w:rPr>
          <w:rFonts w:ascii="Avenir Next" w:hAnsi="Avenir Next" w:cs="Arial"/>
          <w:color w:val="7B7B7B" w:themeColor="accent3" w:themeShade="BF"/>
          <w:sz w:val="22"/>
          <w:szCs w:val="22"/>
        </w:rPr>
        <w:t xml:space="preserve"> 2023</w:t>
      </w:r>
    </w:p>
    <w:p w14:paraId="55C7C849" w14:textId="77777777" w:rsidR="006557E9" w:rsidRDefault="006557E9" w:rsidP="000A3278">
      <w:pPr>
        <w:jc w:val="both"/>
        <w:rPr>
          <w:rFonts w:ascii="Avenir Next" w:hAnsi="Avenir Next" w:cs="Arial"/>
          <w:color w:val="7B7B7B" w:themeColor="accent3" w:themeShade="BF"/>
          <w:sz w:val="22"/>
          <w:szCs w:val="22"/>
        </w:rPr>
      </w:pPr>
    </w:p>
    <w:p w14:paraId="0B7E4241" w14:textId="249FCB22" w:rsidR="006557E9" w:rsidRDefault="006557E9" w:rsidP="000A3278">
      <w:pPr>
        <w:jc w:val="both"/>
        <w:rPr>
          <w:rFonts w:ascii="Avenir Next" w:hAnsi="Avenir Next" w:cs="Arial"/>
          <w:color w:val="7B7B7B" w:themeColor="accent3" w:themeShade="BF"/>
          <w:sz w:val="22"/>
          <w:szCs w:val="22"/>
        </w:rPr>
      </w:pPr>
      <w:proofErr w:type="spellStart"/>
      <w:r>
        <w:rPr>
          <w:rFonts w:ascii="Avenir Next" w:hAnsi="Avenir Next" w:cs="Arial"/>
          <w:color w:val="7B7B7B" w:themeColor="accent3" w:themeShade="BF"/>
          <w:sz w:val="22"/>
          <w:szCs w:val="22"/>
        </w:rPr>
        <w:t>Steps</w:t>
      </w:r>
      <w:proofErr w:type="spellEnd"/>
      <w:r>
        <w:rPr>
          <w:rFonts w:ascii="Avenir Next" w:hAnsi="Avenir Next" w:cs="Arial"/>
          <w:color w:val="7B7B7B" w:themeColor="accent3" w:themeShade="BF"/>
          <w:sz w:val="22"/>
          <w:szCs w:val="22"/>
        </w:rPr>
        <w:t xml:space="preserve"> to be </w:t>
      </w:r>
      <w:proofErr w:type="spellStart"/>
      <w:r>
        <w:rPr>
          <w:rFonts w:ascii="Avenir Next" w:hAnsi="Avenir Next" w:cs="Arial"/>
          <w:color w:val="7B7B7B" w:themeColor="accent3" w:themeShade="BF"/>
          <w:sz w:val="22"/>
          <w:szCs w:val="22"/>
        </w:rPr>
        <w:t>taken</w:t>
      </w:r>
      <w:proofErr w:type="spellEnd"/>
      <w:r>
        <w:rPr>
          <w:rFonts w:ascii="Avenir Next" w:hAnsi="Avenir Next" w:cs="Arial"/>
          <w:color w:val="7B7B7B" w:themeColor="accent3" w:themeShade="BF"/>
          <w:sz w:val="22"/>
          <w:szCs w:val="22"/>
        </w:rPr>
        <w:t>:</w:t>
      </w:r>
    </w:p>
    <w:p w14:paraId="42535DA2" w14:textId="77777777" w:rsidR="00C0182A" w:rsidRDefault="00C0182A" w:rsidP="000A3278">
      <w:pPr>
        <w:jc w:val="both"/>
        <w:rPr>
          <w:rFonts w:ascii="Avenir Next" w:hAnsi="Avenir Next" w:cs="Arial"/>
          <w:color w:val="7B7B7B" w:themeColor="accent3" w:themeShade="BF"/>
          <w:sz w:val="22"/>
          <w:szCs w:val="22"/>
        </w:rPr>
      </w:pPr>
    </w:p>
    <w:p w14:paraId="432DCD93" w14:textId="77777777" w:rsidR="006557E9" w:rsidRPr="00C0182A" w:rsidRDefault="006557E9" w:rsidP="00C0182A">
      <w:pPr>
        <w:pStyle w:val="Akapitzlist"/>
        <w:numPr>
          <w:ilvl w:val="0"/>
          <w:numId w:val="67"/>
        </w:numPr>
        <w:jc w:val="both"/>
        <w:rPr>
          <w:rFonts w:ascii="Avenir Next" w:hAnsi="Avenir Next" w:cs="Arial"/>
          <w:color w:val="7B7B7B" w:themeColor="accent3" w:themeShade="BF"/>
          <w:sz w:val="22"/>
          <w:szCs w:val="22"/>
        </w:rPr>
      </w:pPr>
      <w:r w:rsidRPr="00C0182A">
        <w:rPr>
          <w:rFonts w:ascii="Avenir Next" w:hAnsi="Avenir Next" w:cs="Arial"/>
          <w:color w:val="7B7B7B" w:themeColor="accent3" w:themeShade="BF"/>
          <w:sz w:val="22"/>
          <w:szCs w:val="22"/>
        </w:rPr>
        <w:t>Type of Proceedings: The EIR Recast applies to collective proceedings based on insolvency laws that include goals such as rescue, adjustment of debt, reorganization, or liquidation. French safeguard proceedings, aimed at restructuring to prevent insolvency, align with these goals, suggesting their inclusion under the EIR Recast's scope.</w:t>
      </w:r>
    </w:p>
    <w:p w14:paraId="4F345226" w14:textId="77777777" w:rsidR="006557E9" w:rsidRPr="00C0182A" w:rsidRDefault="006557E9" w:rsidP="00C0182A">
      <w:pPr>
        <w:pStyle w:val="Akapitzlist"/>
        <w:numPr>
          <w:ilvl w:val="0"/>
          <w:numId w:val="67"/>
        </w:numPr>
        <w:jc w:val="both"/>
        <w:rPr>
          <w:rFonts w:ascii="Avenir Next" w:hAnsi="Avenir Next" w:cs="Arial"/>
          <w:color w:val="7B7B7B" w:themeColor="accent3" w:themeShade="BF"/>
          <w:sz w:val="22"/>
          <w:szCs w:val="22"/>
        </w:rPr>
      </w:pPr>
      <w:r w:rsidRPr="00C0182A">
        <w:rPr>
          <w:rFonts w:ascii="Avenir Next" w:hAnsi="Avenir Next" w:cs="Arial"/>
          <w:color w:val="7B7B7B" w:themeColor="accent3" w:themeShade="BF"/>
          <w:sz w:val="22"/>
          <w:szCs w:val="22"/>
        </w:rPr>
        <w:t>Annex A Inclusion: A definitive determination of the EIR Recast's applicability requires checking if French safeguard proceedings are specifically listed in Annex A of the EIR Recast. This annex enumerates the proceedings covered by the regulation across member states.</w:t>
      </w:r>
    </w:p>
    <w:p w14:paraId="25405C2A" w14:textId="77777777" w:rsidR="006557E9" w:rsidRPr="00C0182A" w:rsidRDefault="006557E9" w:rsidP="00C0182A">
      <w:pPr>
        <w:pStyle w:val="Akapitzlist"/>
        <w:numPr>
          <w:ilvl w:val="0"/>
          <w:numId w:val="67"/>
        </w:numPr>
        <w:jc w:val="both"/>
        <w:rPr>
          <w:rFonts w:ascii="Avenir Next" w:hAnsi="Avenir Next" w:cs="Arial"/>
          <w:color w:val="7B7B7B" w:themeColor="accent3" w:themeShade="BF"/>
          <w:sz w:val="22"/>
          <w:szCs w:val="22"/>
        </w:rPr>
      </w:pPr>
      <w:r w:rsidRPr="00C0182A">
        <w:rPr>
          <w:rFonts w:ascii="Avenir Next" w:hAnsi="Avenir Next" w:cs="Arial"/>
          <w:color w:val="7B7B7B" w:themeColor="accent3" w:themeShade="BF"/>
          <w:sz w:val="22"/>
          <w:szCs w:val="22"/>
        </w:rPr>
        <w:t xml:space="preserve">Centre of Main Interests (COMI): The EIR Recast applies when the debtor's COMI is within the EU. Given </w:t>
      </w:r>
      <w:proofErr w:type="spellStart"/>
      <w:r w:rsidRPr="00C0182A">
        <w:rPr>
          <w:rFonts w:ascii="Avenir Next" w:hAnsi="Avenir Next" w:cs="Arial"/>
          <w:color w:val="7B7B7B" w:themeColor="accent3" w:themeShade="BF"/>
          <w:sz w:val="22"/>
          <w:szCs w:val="22"/>
        </w:rPr>
        <w:t>Dinosaurus</w:t>
      </w:r>
      <w:proofErr w:type="spellEnd"/>
      <w:r w:rsidRPr="00C0182A">
        <w:rPr>
          <w:rFonts w:ascii="Avenir Next" w:hAnsi="Avenir Next" w:cs="Arial"/>
          <w:color w:val="7B7B7B" w:themeColor="accent3" w:themeShade="BF"/>
          <w:sz w:val="22"/>
          <w:szCs w:val="22"/>
        </w:rPr>
        <w:t xml:space="preserve"> SARL's substantial operations and employee base in France, France likely represents the company's COMI, making the proceedings fall within the EIR Recast's jurisdiction.</w:t>
      </w:r>
    </w:p>
    <w:p w14:paraId="141A507F" w14:textId="2E4E8463" w:rsidR="006557E9" w:rsidRPr="00C0182A" w:rsidRDefault="006557E9" w:rsidP="00C0182A">
      <w:pPr>
        <w:pStyle w:val="Akapitzlist"/>
        <w:numPr>
          <w:ilvl w:val="0"/>
          <w:numId w:val="67"/>
        </w:numPr>
        <w:jc w:val="both"/>
        <w:rPr>
          <w:rFonts w:ascii="Avenir Next" w:hAnsi="Avenir Next" w:cs="Arial"/>
          <w:color w:val="7B7B7B" w:themeColor="accent3" w:themeShade="BF"/>
          <w:sz w:val="22"/>
          <w:szCs w:val="22"/>
        </w:rPr>
      </w:pPr>
      <w:r w:rsidRPr="00C0182A">
        <w:rPr>
          <w:rFonts w:ascii="Avenir Next" w:hAnsi="Avenir Next" w:cs="Arial"/>
          <w:color w:val="7B7B7B" w:themeColor="accent3" w:themeShade="BF"/>
          <w:sz w:val="22"/>
          <w:szCs w:val="22"/>
        </w:rPr>
        <w:t xml:space="preserve">Personal Scope: The EIR Recast applies to debtors that are not excluded entities like banks. </w:t>
      </w:r>
      <w:proofErr w:type="spellStart"/>
      <w:r w:rsidRPr="00C0182A">
        <w:rPr>
          <w:rFonts w:ascii="Avenir Next" w:hAnsi="Avenir Next" w:cs="Arial"/>
          <w:color w:val="7B7B7B" w:themeColor="accent3" w:themeShade="BF"/>
          <w:sz w:val="22"/>
          <w:szCs w:val="22"/>
        </w:rPr>
        <w:t>Dinosaurus</w:t>
      </w:r>
      <w:proofErr w:type="spellEnd"/>
      <w:r w:rsidRPr="00C0182A">
        <w:rPr>
          <w:rFonts w:ascii="Avenir Next" w:hAnsi="Avenir Next" w:cs="Arial"/>
          <w:color w:val="7B7B7B" w:themeColor="accent3" w:themeShade="BF"/>
          <w:sz w:val="22"/>
          <w:szCs w:val="22"/>
        </w:rPr>
        <w:t xml:space="preserve"> SARL, a company selling children's stuffed animals, falls within the personal scope of the EIR Recast.</w:t>
      </w:r>
    </w:p>
    <w:p w14:paraId="311C815D" w14:textId="77777777" w:rsidR="006557E9" w:rsidRPr="00C0182A" w:rsidRDefault="006557E9" w:rsidP="00C0182A">
      <w:pPr>
        <w:pStyle w:val="Akapitzlist"/>
        <w:numPr>
          <w:ilvl w:val="0"/>
          <w:numId w:val="67"/>
        </w:numPr>
        <w:jc w:val="both"/>
        <w:rPr>
          <w:rFonts w:ascii="Avenir Next" w:hAnsi="Avenir Next" w:cs="Arial"/>
          <w:color w:val="7B7B7B" w:themeColor="accent3" w:themeShade="BF"/>
          <w:sz w:val="22"/>
          <w:szCs w:val="22"/>
        </w:rPr>
      </w:pPr>
      <w:r w:rsidRPr="00C0182A">
        <w:rPr>
          <w:rFonts w:ascii="Avenir Next" w:hAnsi="Avenir Next" w:cs="Arial"/>
          <w:color w:val="7B7B7B" w:themeColor="accent3" w:themeShade="BF"/>
          <w:sz w:val="22"/>
          <w:szCs w:val="22"/>
        </w:rPr>
        <w:t>Material Scope: The inclusion of safeguard proceedings within the material scope of the EIR Recast, especially considering the regulation's extension to pre-insolvency restructuring efforts, further supports its applicability.</w:t>
      </w:r>
    </w:p>
    <w:p w14:paraId="531815DC" w14:textId="77777777" w:rsidR="006557E9" w:rsidRPr="00C0182A" w:rsidRDefault="006557E9" w:rsidP="00C0182A">
      <w:pPr>
        <w:pStyle w:val="Akapitzlist"/>
        <w:numPr>
          <w:ilvl w:val="0"/>
          <w:numId w:val="67"/>
        </w:numPr>
        <w:jc w:val="both"/>
        <w:rPr>
          <w:rFonts w:ascii="Avenir Next" w:hAnsi="Avenir Next" w:cs="Arial"/>
          <w:color w:val="7B7B7B" w:themeColor="accent3" w:themeShade="BF"/>
          <w:sz w:val="22"/>
          <w:szCs w:val="22"/>
        </w:rPr>
      </w:pPr>
      <w:r w:rsidRPr="00C0182A">
        <w:rPr>
          <w:rFonts w:ascii="Avenir Next" w:hAnsi="Avenir Next" w:cs="Arial"/>
          <w:color w:val="7B7B7B" w:themeColor="accent3" w:themeShade="BF"/>
          <w:sz w:val="22"/>
          <w:szCs w:val="22"/>
        </w:rPr>
        <w:t xml:space="preserve">Temporal Scope: The safeguard proceedings for </w:t>
      </w:r>
      <w:proofErr w:type="spellStart"/>
      <w:r w:rsidRPr="00C0182A">
        <w:rPr>
          <w:rFonts w:ascii="Avenir Next" w:hAnsi="Avenir Next" w:cs="Arial"/>
          <w:color w:val="7B7B7B" w:themeColor="accent3" w:themeShade="BF"/>
          <w:sz w:val="22"/>
          <w:szCs w:val="22"/>
        </w:rPr>
        <w:t>Dinosaurus</w:t>
      </w:r>
      <w:proofErr w:type="spellEnd"/>
      <w:r w:rsidRPr="00C0182A">
        <w:rPr>
          <w:rFonts w:ascii="Avenir Next" w:hAnsi="Avenir Next" w:cs="Arial"/>
          <w:color w:val="7B7B7B" w:themeColor="accent3" w:themeShade="BF"/>
          <w:sz w:val="22"/>
          <w:szCs w:val="22"/>
        </w:rPr>
        <w:t xml:space="preserve"> SARL, initiated on 23 June 2023, fall within the temporal scope of the EIR Recast, which applies to proceedings opened after 26 June 2017.</w:t>
      </w:r>
    </w:p>
    <w:p w14:paraId="1382BA48" w14:textId="77777777" w:rsidR="006557E9" w:rsidRDefault="006557E9" w:rsidP="000A3278">
      <w:pPr>
        <w:jc w:val="both"/>
        <w:rPr>
          <w:rFonts w:ascii="Avenir Next" w:hAnsi="Avenir Next" w:cs="Arial"/>
          <w:color w:val="7B7B7B" w:themeColor="accent3" w:themeShade="BF"/>
          <w:sz w:val="22"/>
          <w:szCs w:val="22"/>
        </w:rPr>
      </w:pPr>
    </w:p>
    <w:p w14:paraId="18CEF07F" w14:textId="77777777" w:rsidR="006557E9" w:rsidRDefault="006557E9" w:rsidP="000A3278">
      <w:pPr>
        <w:jc w:val="both"/>
        <w:rPr>
          <w:rFonts w:ascii="Avenir Next" w:hAnsi="Avenir Next" w:cs="Arial"/>
          <w:color w:val="7B7B7B" w:themeColor="accent3" w:themeShade="BF"/>
          <w:sz w:val="22"/>
          <w:szCs w:val="22"/>
        </w:rPr>
      </w:pP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2943D6F8" w14:textId="77777777" w:rsidR="00EA14EE" w:rsidRDefault="00EA14EE" w:rsidP="00EA14EE">
      <w:pPr>
        <w:pStyle w:val="Akapitzlist"/>
        <w:rPr>
          <w:rFonts w:ascii="Avenir Next" w:hAnsi="Avenir Next" w:cs="Arial"/>
          <w:color w:val="808080" w:themeColor="background1" w:themeShade="80"/>
          <w:sz w:val="22"/>
          <w:szCs w:val="22"/>
          <w:lang w:val="en-GB"/>
        </w:rPr>
      </w:pPr>
    </w:p>
    <w:p w14:paraId="12D7B988" w14:textId="77777777" w:rsidR="006557E9" w:rsidRDefault="006557E9" w:rsidP="00EA14EE">
      <w:pPr>
        <w:pStyle w:val="Akapitzlist"/>
        <w:rPr>
          <w:rFonts w:ascii="Avenir Next" w:hAnsi="Avenir Next" w:cs="Arial"/>
          <w:color w:val="808080" w:themeColor="background1" w:themeShade="80"/>
          <w:sz w:val="22"/>
          <w:szCs w:val="22"/>
          <w:lang w:val="en-GB"/>
        </w:rPr>
      </w:pPr>
    </w:p>
    <w:p w14:paraId="3784351E" w14:textId="641AAA23" w:rsidR="006557E9" w:rsidRDefault="00C0182A" w:rsidP="00C0182A">
      <w:p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 xml:space="preserve">Secondary insolvency proceedings can be initiated in Spain under the European Insolvency Regulation (EIR) Recast, based on an analysis of the EIR Recast and taking </w:t>
      </w:r>
      <w:proofErr w:type="spellStart"/>
      <w:r w:rsidRPr="00C0182A">
        <w:rPr>
          <w:rFonts w:ascii="Avenir Next" w:hAnsi="Avenir Next" w:cs="Arial"/>
          <w:color w:val="7B7B7B" w:themeColor="accent3" w:themeShade="BF"/>
          <w:sz w:val="22"/>
          <w:szCs w:val="22"/>
          <w:lang w:val="en-US"/>
        </w:rPr>
        <w:t>Dinosaurus</w:t>
      </w:r>
      <w:proofErr w:type="spellEnd"/>
      <w:r w:rsidRPr="00C0182A">
        <w:rPr>
          <w:rFonts w:ascii="Avenir Next" w:hAnsi="Avenir Next" w:cs="Arial"/>
          <w:color w:val="7B7B7B" w:themeColor="accent3" w:themeShade="BF"/>
          <w:sz w:val="22"/>
          <w:szCs w:val="22"/>
          <w:lang w:val="en-US"/>
        </w:rPr>
        <w:t xml:space="preserve"> SARL's specific scenario into account. The EIR Recast, also known as Regulation (EU) 2015/848, applies to insolvency proceedings with cross-border implications within the EU. It seeks to improve the efficiency and effectiveness of insolvency proceedings involving companies with assets or operations in more than one EU Member State, allowing creditors and courts to better coordinate.</w:t>
      </w:r>
    </w:p>
    <w:p w14:paraId="3A3E605D" w14:textId="77777777" w:rsidR="00C0182A" w:rsidRPr="00C0182A" w:rsidRDefault="00C0182A" w:rsidP="00C0182A">
      <w:pPr>
        <w:jc w:val="both"/>
        <w:rPr>
          <w:rFonts w:ascii="Avenir Next" w:hAnsi="Avenir Next" w:cs="Arial"/>
          <w:color w:val="7B7B7B" w:themeColor="accent3" w:themeShade="BF"/>
          <w:sz w:val="22"/>
          <w:szCs w:val="22"/>
          <w:lang w:val="en-US"/>
        </w:rPr>
      </w:pPr>
    </w:p>
    <w:p w14:paraId="4392FEB9" w14:textId="2DC4D53E" w:rsidR="00C0182A" w:rsidRPr="00C0182A" w:rsidRDefault="00C0182A" w:rsidP="00C0182A">
      <w:pPr>
        <w:pStyle w:val="Akapitzlist"/>
        <w:numPr>
          <w:ilvl w:val="0"/>
          <w:numId w:val="68"/>
        </w:num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 xml:space="preserve">The </w:t>
      </w:r>
      <w:r>
        <w:rPr>
          <w:rFonts w:ascii="Avenir Next" w:hAnsi="Avenir Next" w:cs="Arial"/>
          <w:color w:val="7B7B7B" w:themeColor="accent3" w:themeShade="BF"/>
          <w:sz w:val="22"/>
          <w:szCs w:val="22"/>
          <w:lang w:val="en-US"/>
        </w:rPr>
        <w:t>a</w:t>
      </w:r>
      <w:r w:rsidRPr="00C0182A">
        <w:rPr>
          <w:rFonts w:ascii="Avenir Next" w:hAnsi="Avenir Next" w:cs="Arial"/>
          <w:color w:val="7B7B7B" w:themeColor="accent3" w:themeShade="BF"/>
          <w:sz w:val="22"/>
          <w:szCs w:val="22"/>
          <w:lang w:val="en-US"/>
        </w:rPr>
        <w:t xml:space="preserve">pplicability of EIR Recast to </w:t>
      </w:r>
      <w:r>
        <w:rPr>
          <w:rFonts w:ascii="Avenir Next" w:hAnsi="Avenir Next" w:cs="Arial"/>
          <w:color w:val="7B7B7B" w:themeColor="accent3" w:themeShade="BF"/>
          <w:sz w:val="22"/>
          <w:szCs w:val="22"/>
          <w:lang w:val="en-US"/>
        </w:rPr>
        <w:t>s</w:t>
      </w:r>
      <w:r w:rsidRPr="00C0182A">
        <w:rPr>
          <w:rFonts w:ascii="Avenir Next" w:hAnsi="Avenir Next" w:cs="Arial"/>
          <w:color w:val="7B7B7B" w:themeColor="accent3" w:themeShade="BF"/>
          <w:sz w:val="22"/>
          <w:szCs w:val="22"/>
          <w:lang w:val="en-US"/>
        </w:rPr>
        <w:t xml:space="preserve">econdary </w:t>
      </w:r>
      <w:r>
        <w:rPr>
          <w:rFonts w:ascii="Avenir Next" w:hAnsi="Avenir Next" w:cs="Arial"/>
          <w:color w:val="7B7B7B" w:themeColor="accent3" w:themeShade="BF"/>
          <w:sz w:val="22"/>
          <w:szCs w:val="22"/>
          <w:lang w:val="en-US"/>
        </w:rPr>
        <w:t>p</w:t>
      </w:r>
      <w:r w:rsidRPr="00C0182A">
        <w:rPr>
          <w:rFonts w:ascii="Avenir Next" w:hAnsi="Avenir Next" w:cs="Arial"/>
          <w:color w:val="7B7B7B" w:themeColor="accent3" w:themeShade="BF"/>
          <w:sz w:val="22"/>
          <w:szCs w:val="22"/>
          <w:lang w:val="en-US"/>
        </w:rPr>
        <w:t>roceedings:</w:t>
      </w:r>
    </w:p>
    <w:p w14:paraId="3D2A7F3A" w14:textId="4D09A2A0" w:rsidR="006557E9" w:rsidRPr="00C0182A" w:rsidRDefault="00C0182A" w:rsidP="00C0182A">
      <w:pPr>
        <w:pStyle w:val="Akapitzlist"/>
        <w:numPr>
          <w:ilvl w:val="0"/>
          <w:numId w:val="70"/>
        </w:num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 xml:space="preserve">Under the EIR Recast, secondary insolvency proceedings can be initiated in any EU Member State where the debtor has a presence. The term "establishment" refers to the presence of a location where the debtor engages in non-transitory economic activity using human resources and goods (Article 2(10) of the EIR Recast). </w:t>
      </w:r>
      <w:proofErr w:type="spellStart"/>
      <w:r w:rsidRPr="00C0182A">
        <w:rPr>
          <w:rFonts w:ascii="Avenir Next" w:hAnsi="Avenir Next" w:cs="Arial"/>
          <w:color w:val="7B7B7B" w:themeColor="accent3" w:themeShade="BF"/>
          <w:sz w:val="22"/>
          <w:szCs w:val="22"/>
          <w:lang w:val="en-US"/>
        </w:rPr>
        <w:t>Dinosaurus</w:t>
      </w:r>
      <w:proofErr w:type="spellEnd"/>
      <w:r w:rsidRPr="00C0182A">
        <w:rPr>
          <w:rFonts w:ascii="Avenir Next" w:hAnsi="Avenir Next" w:cs="Arial"/>
          <w:color w:val="7B7B7B" w:themeColor="accent3" w:themeShade="BF"/>
          <w:sz w:val="22"/>
          <w:szCs w:val="22"/>
          <w:lang w:val="en-US"/>
        </w:rPr>
        <w:t xml:space="preserve"> SARL's main warehouse is in Spain, so it qualifies as an establishment, allowing secondary insolvency proceedings to be initiated in Spain.</w:t>
      </w:r>
    </w:p>
    <w:p w14:paraId="225F994E" w14:textId="665B0632" w:rsidR="006557E9" w:rsidRPr="00C0182A" w:rsidRDefault="00C0182A" w:rsidP="00C0182A">
      <w:pPr>
        <w:pStyle w:val="Akapitzlist"/>
        <w:numPr>
          <w:ilvl w:val="0"/>
          <w:numId w:val="70"/>
        </w:num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 xml:space="preserve">Secondary proceedings can be opened to protect creditors' local interests or to realize assets in that Member State. Given </w:t>
      </w:r>
      <w:proofErr w:type="spellStart"/>
      <w:r w:rsidRPr="00C0182A">
        <w:rPr>
          <w:rFonts w:ascii="Avenir Next" w:hAnsi="Avenir Next" w:cs="Arial"/>
          <w:color w:val="7B7B7B" w:themeColor="accent3" w:themeShade="BF"/>
          <w:sz w:val="22"/>
          <w:szCs w:val="22"/>
          <w:lang w:val="en-US"/>
        </w:rPr>
        <w:t>Dinosaurus</w:t>
      </w:r>
      <w:proofErr w:type="spellEnd"/>
      <w:r w:rsidRPr="00C0182A">
        <w:rPr>
          <w:rFonts w:ascii="Avenir Next" w:hAnsi="Avenir Next" w:cs="Arial"/>
          <w:color w:val="7B7B7B" w:themeColor="accent3" w:themeShade="BF"/>
          <w:sz w:val="22"/>
          <w:szCs w:val="22"/>
          <w:lang w:val="en-US"/>
        </w:rPr>
        <w:t xml:space="preserve"> SARL's significant operations and assets in Spain, a Spanish bank's petition to open secondary proceedings there, with the goal of obtaining a Spanish insolvency distribution ranking for its claims, is consistent with the EIR Recast.</w:t>
      </w:r>
    </w:p>
    <w:p w14:paraId="488918E1" w14:textId="05B0B4A3" w:rsidR="006557E9" w:rsidRDefault="006557E9" w:rsidP="00C0182A">
      <w:pPr>
        <w:pStyle w:val="Akapitzlist"/>
        <w:numPr>
          <w:ilvl w:val="0"/>
          <w:numId w:val="70"/>
        </w:num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The EIR Recast ensures that insolvency proceedings opened in one Member State are recognized in all other Member States (except Denmark), facilitating the efficient administration of assets and liabilities across borders. This means that secondary proceedings in Spain would be recognized and could run parallel to the main proceedings in France, with coordination between the proceedings as necessary.</w:t>
      </w:r>
    </w:p>
    <w:p w14:paraId="28521491" w14:textId="77777777" w:rsidR="00C0182A" w:rsidRPr="00C0182A" w:rsidRDefault="00C0182A" w:rsidP="00C0182A">
      <w:pPr>
        <w:pStyle w:val="Akapitzlist"/>
        <w:jc w:val="both"/>
        <w:rPr>
          <w:rFonts w:ascii="Avenir Next" w:hAnsi="Avenir Next" w:cs="Arial"/>
          <w:color w:val="7B7B7B" w:themeColor="accent3" w:themeShade="BF"/>
          <w:sz w:val="22"/>
          <w:szCs w:val="22"/>
          <w:lang w:val="en-US"/>
        </w:rPr>
      </w:pPr>
    </w:p>
    <w:p w14:paraId="4E8C5DE2" w14:textId="7E4A5CC0" w:rsidR="006557E9" w:rsidRPr="00C0182A" w:rsidRDefault="00C0182A" w:rsidP="00C0182A">
      <w:pPr>
        <w:pStyle w:val="Akapitzlist"/>
        <w:numPr>
          <w:ilvl w:val="0"/>
          <w:numId w:val="68"/>
        </w:num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References to the applicable law and CJEU jurisprudence:</w:t>
      </w:r>
    </w:p>
    <w:p w14:paraId="79FA8163" w14:textId="13BC0EA5" w:rsidR="006557E9" w:rsidRPr="00C0182A" w:rsidRDefault="00C0182A" w:rsidP="00C0182A">
      <w:pPr>
        <w:pStyle w:val="Akapitzlist"/>
        <w:numPr>
          <w:ilvl w:val="0"/>
          <w:numId w:val="70"/>
        </w:num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Specifying when and how secondary proceedings may be initiated, the regulation establishes the legal framework for cross-border insolvency proceedings within the European Union.  [(EU) Regulation 2015/848 (EIR Recast)].</w:t>
      </w:r>
    </w:p>
    <w:p w14:paraId="1A42AE73" w14:textId="0B55C0B2" w:rsidR="006557E9" w:rsidRDefault="006557E9" w:rsidP="00C0182A">
      <w:pPr>
        <w:pStyle w:val="Akapitzlist"/>
        <w:numPr>
          <w:ilvl w:val="0"/>
          <w:numId w:val="70"/>
        </w:numPr>
        <w:jc w:val="both"/>
        <w:rPr>
          <w:rFonts w:ascii="Avenir Next" w:hAnsi="Avenir Next" w:cs="Arial"/>
          <w:color w:val="7B7B7B" w:themeColor="accent3" w:themeShade="BF"/>
          <w:sz w:val="22"/>
          <w:szCs w:val="22"/>
          <w:lang w:val="en-US"/>
        </w:rPr>
      </w:pPr>
      <w:r w:rsidRPr="00C0182A">
        <w:rPr>
          <w:rFonts w:ascii="Avenir Next" w:hAnsi="Avenir Next" w:cs="Arial"/>
          <w:color w:val="7B7B7B" w:themeColor="accent3" w:themeShade="BF"/>
          <w:sz w:val="22"/>
          <w:szCs w:val="22"/>
          <w:lang w:val="en-US"/>
        </w:rPr>
        <w:t>The Court of Justice of the European Union (CJEU) has consistently interpreted the provisions of the EIR to facilitate the smooth functioning of cross-border insolvency proceedings, emphasizing the importance of protecting local creditors and realizing assets in a manner that respects the diverse legal environments of the Member States</w:t>
      </w:r>
      <w:r w:rsidR="00C0182A" w:rsidRPr="00C0182A">
        <w:rPr>
          <w:rFonts w:ascii="Avenir Next" w:hAnsi="Avenir Next" w:cs="Arial"/>
          <w:color w:val="7B7B7B" w:themeColor="accent3" w:themeShade="BF"/>
          <w:sz w:val="22"/>
          <w:szCs w:val="22"/>
          <w:lang w:val="en-US"/>
        </w:rPr>
        <w:t>.</w:t>
      </w:r>
    </w:p>
    <w:p w14:paraId="4F4A75BD" w14:textId="77777777" w:rsidR="00C0182A" w:rsidRPr="00C0182A" w:rsidRDefault="00C0182A" w:rsidP="00C0182A">
      <w:pPr>
        <w:pStyle w:val="Akapitzlist"/>
        <w:jc w:val="both"/>
        <w:rPr>
          <w:rFonts w:ascii="Avenir Next" w:hAnsi="Avenir Next" w:cs="Arial"/>
          <w:color w:val="7B7B7B" w:themeColor="accent3" w:themeShade="BF"/>
          <w:sz w:val="22"/>
          <w:szCs w:val="22"/>
          <w:lang w:val="en-US"/>
        </w:rPr>
      </w:pPr>
    </w:p>
    <w:p w14:paraId="70371BE2" w14:textId="51B943D1" w:rsidR="000B2555" w:rsidRPr="004A19F4" w:rsidRDefault="00C0182A" w:rsidP="004A19F4">
      <w:pPr>
        <w:jc w:val="both"/>
        <w:rPr>
          <w:rFonts w:ascii="Avenir Next" w:hAnsi="Avenir Next" w:cs="Arial"/>
          <w:color w:val="7B7B7B" w:themeColor="accent3" w:themeShade="BF"/>
          <w:sz w:val="22"/>
          <w:szCs w:val="22"/>
          <w:lang w:val="en-US"/>
        </w:rPr>
      </w:pPr>
      <w:r w:rsidRPr="004A19F4">
        <w:rPr>
          <w:rFonts w:ascii="Avenir Next" w:hAnsi="Avenir Next" w:cs="Arial"/>
          <w:color w:val="7B7B7B" w:themeColor="accent3" w:themeShade="BF"/>
          <w:sz w:val="22"/>
          <w:szCs w:val="22"/>
          <w:lang w:val="en-US"/>
        </w:rPr>
        <w:t xml:space="preserve">Ultimately, under the EIR Recast, the Spanish bank may open secondary insolvency proceedings in Spain against </w:t>
      </w:r>
      <w:proofErr w:type="spellStart"/>
      <w:r w:rsidRPr="004A19F4">
        <w:rPr>
          <w:rFonts w:ascii="Avenir Next" w:hAnsi="Avenir Next" w:cs="Arial"/>
          <w:color w:val="7B7B7B" w:themeColor="accent3" w:themeShade="BF"/>
          <w:sz w:val="22"/>
          <w:szCs w:val="22"/>
          <w:lang w:val="en-US"/>
        </w:rPr>
        <w:t>Dinosaurus</w:t>
      </w:r>
      <w:proofErr w:type="spellEnd"/>
      <w:r w:rsidRPr="004A19F4">
        <w:rPr>
          <w:rFonts w:ascii="Avenir Next" w:hAnsi="Avenir Next" w:cs="Arial"/>
          <w:color w:val="7B7B7B" w:themeColor="accent3" w:themeShade="BF"/>
          <w:sz w:val="22"/>
          <w:szCs w:val="22"/>
          <w:lang w:val="en-US"/>
        </w:rPr>
        <w:t xml:space="preserve"> SARL. These proceedings seek to protect the rights of local creditors and ensure the orderly realization of the debtor's assets in Spain, in accordance with the EIR Recast's overarching goals of harmonizing cross-border insolvency proceedings across the EU.</w:t>
      </w:r>
    </w:p>
    <w:p w14:paraId="5FB3962B" w14:textId="08DF0011" w:rsidR="000B2555" w:rsidRPr="004A19F4" w:rsidRDefault="004A19F4" w:rsidP="004A19F4">
      <w:pPr>
        <w:jc w:val="both"/>
        <w:rPr>
          <w:rFonts w:ascii="Avenir Next" w:hAnsi="Avenir Next" w:cs="Arial"/>
          <w:color w:val="7B7B7B" w:themeColor="accent3" w:themeShade="BF"/>
          <w:sz w:val="22"/>
          <w:szCs w:val="22"/>
          <w:lang w:val="en-US"/>
        </w:rPr>
      </w:pPr>
      <w:r w:rsidRPr="004A19F4">
        <w:rPr>
          <w:rFonts w:ascii="Avenir Next" w:hAnsi="Avenir Next" w:cs="Arial"/>
          <w:color w:val="7B7B7B" w:themeColor="accent3" w:themeShade="BF"/>
          <w:sz w:val="22"/>
          <w:szCs w:val="22"/>
          <w:lang w:val="en-US"/>
        </w:rPr>
        <w:t xml:space="preserve">Given that </w:t>
      </w:r>
      <w:proofErr w:type="spellStart"/>
      <w:r w:rsidRPr="004A19F4">
        <w:rPr>
          <w:rFonts w:ascii="Avenir Next" w:hAnsi="Avenir Next" w:cs="Arial"/>
          <w:color w:val="7B7B7B" w:themeColor="accent3" w:themeShade="BF"/>
          <w:sz w:val="22"/>
          <w:szCs w:val="22"/>
          <w:lang w:val="en-US"/>
        </w:rPr>
        <w:t>Dinosaurus</w:t>
      </w:r>
      <w:proofErr w:type="spellEnd"/>
      <w:r w:rsidRPr="004A19F4">
        <w:rPr>
          <w:rFonts w:ascii="Avenir Next" w:hAnsi="Avenir Next" w:cs="Arial"/>
          <w:color w:val="7B7B7B" w:themeColor="accent3" w:themeShade="BF"/>
          <w:sz w:val="22"/>
          <w:szCs w:val="22"/>
          <w:lang w:val="en-US"/>
        </w:rPr>
        <w:t xml:space="preserve"> SARL's operational activities and establishments </w:t>
      </w:r>
      <w:proofErr w:type="gramStart"/>
      <w:r w:rsidRPr="004A19F4">
        <w:rPr>
          <w:rFonts w:ascii="Avenir Next" w:hAnsi="Avenir Next" w:cs="Arial"/>
          <w:color w:val="7B7B7B" w:themeColor="accent3" w:themeShade="BF"/>
          <w:sz w:val="22"/>
          <w:szCs w:val="22"/>
          <w:lang w:val="en-US"/>
        </w:rPr>
        <w:t>are located in</w:t>
      </w:r>
      <w:proofErr w:type="gramEnd"/>
      <w:r w:rsidRPr="004A19F4">
        <w:rPr>
          <w:rFonts w:ascii="Avenir Next" w:hAnsi="Avenir Next" w:cs="Arial"/>
          <w:color w:val="7B7B7B" w:themeColor="accent3" w:themeShade="BF"/>
          <w:sz w:val="22"/>
          <w:szCs w:val="22"/>
          <w:lang w:val="en-US"/>
        </w:rPr>
        <w:t xml:space="preserve"> France, Ireland, and Spain, with no mention of any operations or assets in Italy, secondary insolvency proceedings under the EIR Recast could not be justified in Italy based on the </w:t>
      </w:r>
      <w:r w:rsidRPr="004A19F4">
        <w:rPr>
          <w:rFonts w:ascii="Avenir Next" w:hAnsi="Avenir Next" w:cs="Arial"/>
          <w:color w:val="7B7B7B" w:themeColor="accent3" w:themeShade="BF"/>
          <w:sz w:val="22"/>
          <w:szCs w:val="22"/>
          <w:lang w:val="en-US"/>
        </w:rPr>
        <w:lastRenderedPageBreak/>
        <w:t>scenario presented. The Spanish bank's petition would be relevant to Spain, given the company's main warehouse and financial dealings with Spanish entities, not Italy.</w:t>
      </w:r>
    </w:p>
    <w:p w14:paraId="74F236D7" w14:textId="77777777" w:rsidR="006557E9" w:rsidRPr="004A19F4" w:rsidRDefault="006557E9" w:rsidP="00EA14EE">
      <w:pPr>
        <w:pStyle w:val="Akapitzlist"/>
        <w:rPr>
          <w:rFonts w:ascii="Avenir Next" w:hAnsi="Avenir Next" w:cs="Arial"/>
          <w:color w:val="808080" w:themeColor="background1" w:themeShade="80"/>
          <w:sz w:val="22"/>
          <w:szCs w:val="22"/>
          <w:lang w:val="en-US"/>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9A03C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A73E" w14:textId="77777777" w:rsidR="009A03C1" w:rsidRDefault="009A03C1" w:rsidP="00241B44">
      <w:r>
        <w:separator/>
      </w:r>
    </w:p>
  </w:endnote>
  <w:endnote w:type="continuationSeparator" w:id="0">
    <w:p w14:paraId="7CF91093" w14:textId="77777777" w:rsidR="009A03C1" w:rsidRDefault="009A03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w:hAnsi="Arial" w:cs="Arial"/>
        <w:b/>
      </w:rPr>
      <w:id w:val="-758512077"/>
      <w:docPartObj>
        <w:docPartGallery w:val="Page Numbers (Bottom of Page)"/>
        <w:docPartUnique/>
      </w:docPartObj>
    </w:sdtPr>
    <w:sdtEndPr>
      <w:rPr>
        <w:rStyle w:val="Numerstrony"/>
        <w:b w:val="0"/>
        <w:sz w:val="22"/>
        <w:szCs w:val="22"/>
      </w:rPr>
    </w:sdtEndPr>
    <w:sdtContent>
      <w:p w14:paraId="0AAD6B61" w14:textId="77777777" w:rsidR="00D509A5" w:rsidRPr="00FC7B47" w:rsidRDefault="00D509A5" w:rsidP="009B4976">
        <w:pPr>
          <w:pStyle w:val="Stopka"/>
          <w:framePr w:wrap="none" w:vAnchor="text" w:hAnchor="margin" w:xAlign="right" w:y="1"/>
          <w:rPr>
            <w:rStyle w:val="Numerstrony"/>
            <w:rFonts w:ascii="Arial" w:hAnsi="Arial" w:cs="Arial"/>
            <w:sz w:val="22"/>
            <w:szCs w:val="22"/>
          </w:rPr>
        </w:pPr>
        <w:r w:rsidRPr="00697EA1">
          <w:rPr>
            <w:rStyle w:val="Numerstrony"/>
            <w:rFonts w:ascii="Arial" w:hAnsi="Arial" w:cs="Arial"/>
            <w:b/>
          </w:rPr>
          <w:t xml:space="preserve">Page </w:t>
        </w:r>
        <w:r w:rsidRPr="00697EA1">
          <w:rPr>
            <w:rStyle w:val="Numerstrony"/>
            <w:rFonts w:ascii="Arial" w:hAnsi="Arial" w:cs="Arial"/>
            <w:b/>
            <w:sz w:val="22"/>
            <w:szCs w:val="22"/>
          </w:rPr>
          <w:fldChar w:fldCharType="begin"/>
        </w:r>
        <w:r w:rsidRPr="00697EA1">
          <w:rPr>
            <w:rStyle w:val="Numerstrony"/>
            <w:rFonts w:ascii="Arial" w:hAnsi="Arial" w:cs="Arial"/>
            <w:b/>
            <w:sz w:val="22"/>
            <w:szCs w:val="22"/>
          </w:rPr>
          <w:instrText xml:space="preserve"> PAGE </w:instrText>
        </w:r>
        <w:r w:rsidRPr="00697EA1">
          <w:rPr>
            <w:rStyle w:val="Numerstrony"/>
            <w:rFonts w:ascii="Arial" w:hAnsi="Arial" w:cs="Arial"/>
            <w:b/>
            <w:sz w:val="22"/>
            <w:szCs w:val="22"/>
          </w:rPr>
          <w:fldChar w:fldCharType="separate"/>
        </w:r>
        <w:r>
          <w:rPr>
            <w:rStyle w:val="Numerstrony"/>
            <w:rFonts w:ascii="Arial" w:hAnsi="Arial" w:cs="Arial"/>
            <w:b/>
            <w:noProof/>
            <w:sz w:val="22"/>
            <w:szCs w:val="22"/>
          </w:rPr>
          <w:t>10</w:t>
        </w:r>
        <w:r w:rsidRPr="00697EA1">
          <w:rPr>
            <w:rStyle w:val="Numerstrony"/>
            <w:rFonts w:ascii="Arial" w:hAnsi="Arial" w:cs="Arial"/>
            <w:b/>
            <w:sz w:val="22"/>
            <w:szCs w:val="22"/>
          </w:rPr>
          <w:fldChar w:fldCharType="end"/>
        </w:r>
      </w:p>
    </w:sdtContent>
  </w:sdt>
  <w:p w14:paraId="39FD1B0B" w14:textId="3A981440" w:rsidR="00D509A5" w:rsidRPr="00FC7B47" w:rsidRDefault="00D509A5" w:rsidP="00FC7B47">
    <w:pPr>
      <w:pStyle w:val="Stopk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venir Next" w:hAnsi="Avenir Next" w:cs="Arial"/>
        <w:sz w:val="22"/>
        <w:szCs w:val="22"/>
      </w:rPr>
      <w:id w:val="-1409602822"/>
      <w:docPartObj>
        <w:docPartGallery w:val="Page Numbers (Bottom of Page)"/>
        <w:docPartUnique/>
      </w:docPartObj>
    </w:sdtPr>
    <w:sdtEndPr>
      <w:rPr>
        <w:rStyle w:val="Numerstrony"/>
        <w:rFonts w:ascii="Arial" w:hAnsi="Arial"/>
        <w:sz w:val="18"/>
        <w:szCs w:val="18"/>
      </w:rPr>
    </w:sdtEndPr>
    <w:sdtContent>
      <w:p w14:paraId="0A05F8FD" w14:textId="25250B7C" w:rsidR="00D509A5" w:rsidRPr="009B4976" w:rsidRDefault="00D509A5" w:rsidP="00D509A5">
        <w:pPr>
          <w:pStyle w:val="Stopka"/>
          <w:framePr w:wrap="none" w:vAnchor="text" w:hAnchor="margin" w:xAlign="right" w:y="1"/>
          <w:rPr>
            <w:rStyle w:val="Numerstrony"/>
            <w:rFonts w:ascii="Arial" w:hAnsi="Arial" w:cs="Arial"/>
            <w:sz w:val="18"/>
            <w:szCs w:val="18"/>
          </w:rPr>
        </w:pPr>
        <w:r w:rsidRPr="001B6DDC">
          <w:rPr>
            <w:rStyle w:val="Numerstrony"/>
            <w:rFonts w:ascii="Avenir Next" w:hAnsi="Avenir Next" w:cs="Arial"/>
            <w:sz w:val="22"/>
            <w:szCs w:val="22"/>
          </w:rPr>
          <w:t xml:space="preserve">Page </w:t>
        </w:r>
        <w:r w:rsidRPr="001B6DDC">
          <w:rPr>
            <w:rStyle w:val="Numerstrony"/>
            <w:rFonts w:ascii="Avenir Next" w:hAnsi="Avenir Next" w:cs="Arial"/>
            <w:sz w:val="22"/>
            <w:szCs w:val="22"/>
          </w:rPr>
          <w:fldChar w:fldCharType="begin"/>
        </w:r>
        <w:r w:rsidRPr="001B6DDC">
          <w:rPr>
            <w:rStyle w:val="Numerstrony"/>
            <w:rFonts w:ascii="Avenir Next" w:hAnsi="Avenir Next" w:cs="Arial"/>
            <w:sz w:val="22"/>
            <w:szCs w:val="22"/>
          </w:rPr>
          <w:instrText xml:space="preserve"> PAGE </w:instrText>
        </w:r>
        <w:r w:rsidRPr="001B6DDC">
          <w:rPr>
            <w:rStyle w:val="Numerstrony"/>
            <w:rFonts w:ascii="Avenir Next" w:hAnsi="Avenir Next" w:cs="Arial"/>
            <w:sz w:val="22"/>
            <w:szCs w:val="22"/>
          </w:rPr>
          <w:fldChar w:fldCharType="separate"/>
        </w:r>
        <w:r w:rsidR="00BA543A" w:rsidRPr="001B6DDC">
          <w:rPr>
            <w:rStyle w:val="Numerstrony"/>
            <w:rFonts w:ascii="Avenir Next" w:hAnsi="Avenir Next" w:cs="Arial"/>
            <w:noProof/>
            <w:sz w:val="22"/>
            <w:szCs w:val="22"/>
          </w:rPr>
          <w:t>9</w:t>
        </w:r>
        <w:r w:rsidRPr="001B6DDC">
          <w:rPr>
            <w:rStyle w:val="Numerstrony"/>
            <w:rFonts w:ascii="Avenir Next" w:hAnsi="Avenir Next" w:cs="Arial"/>
            <w:sz w:val="22"/>
            <w:szCs w:val="22"/>
          </w:rPr>
          <w:fldChar w:fldCharType="end"/>
        </w:r>
      </w:p>
    </w:sdtContent>
  </w:sdt>
  <w:p w14:paraId="30F05E79" w14:textId="61BCE22B" w:rsidR="00D509A5" w:rsidRPr="005418A0" w:rsidRDefault="0028285A" w:rsidP="009B4976">
    <w:pPr>
      <w:pStyle w:val="Stopka"/>
      <w:ind w:right="360"/>
      <w:rPr>
        <w:rFonts w:ascii="Avenir Next" w:hAnsi="Avenir Next" w:cs="Arial"/>
        <w:sz w:val="22"/>
        <w:szCs w:val="22"/>
        <w:lang w:val="en-GB"/>
      </w:rPr>
    </w:pPr>
    <w:r w:rsidRPr="0028285A">
      <w:t>FC202324-1356</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446F" w14:textId="77777777" w:rsidR="009A03C1" w:rsidRDefault="009A03C1" w:rsidP="00241B44">
      <w:r>
        <w:separator/>
      </w:r>
    </w:p>
  </w:footnote>
  <w:footnote w:type="continuationSeparator" w:id="0">
    <w:p w14:paraId="34642D77" w14:textId="77777777" w:rsidR="009A03C1" w:rsidRDefault="009A03C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341058C"/>
    <w:multiLevelType w:val="hybridMultilevel"/>
    <w:tmpl w:val="D256C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47C30"/>
    <w:multiLevelType w:val="multilevel"/>
    <w:tmpl w:val="2872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902C2"/>
    <w:multiLevelType w:val="hybridMultilevel"/>
    <w:tmpl w:val="0B7E5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522551"/>
    <w:multiLevelType w:val="multilevel"/>
    <w:tmpl w:val="B67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F502689"/>
    <w:multiLevelType w:val="hybridMultilevel"/>
    <w:tmpl w:val="3602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6A1073"/>
    <w:multiLevelType w:val="multilevel"/>
    <w:tmpl w:val="97E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10CC8"/>
    <w:multiLevelType w:val="hybridMultilevel"/>
    <w:tmpl w:val="1FCE8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1C645923"/>
    <w:multiLevelType w:val="multilevel"/>
    <w:tmpl w:val="B15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E5910"/>
    <w:multiLevelType w:val="hybridMultilevel"/>
    <w:tmpl w:val="142E6CAE"/>
    <w:lvl w:ilvl="0" w:tplc="FFFFFFFF">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EC59BD"/>
    <w:multiLevelType w:val="multilevel"/>
    <w:tmpl w:val="E264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CD3B50"/>
    <w:multiLevelType w:val="multilevel"/>
    <w:tmpl w:val="7002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D0E3926"/>
    <w:multiLevelType w:val="multilevel"/>
    <w:tmpl w:val="65A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0412F6"/>
    <w:multiLevelType w:val="hybridMultilevel"/>
    <w:tmpl w:val="3544E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482E59"/>
    <w:multiLevelType w:val="hybridMultilevel"/>
    <w:tmpl w:val="9D044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10135B"/>
    <w:multiLevelType w:val="multilevel"/>
    <w:tmpl w:val="908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19C4835"/>
    <w:multiLevelType w:val="hybridMultilevel"/>
    <w:tmpl w:val="DD7C5B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2A74EC1"/>
    <w:multiLevelType w:val="hybridMultilevel"/>
    <w:tmpl w:val="335E1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4D034003"/>
    <w:multiLevelType w:val="hybridMultilevel"/>
    <w:tmpl w:val="E4A2B1B8"/>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52B77955"/>
    <w:multiLevelType w:val="hybridMultilevel"/>
    <w:tmpl w:val="EAB49C50"/>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52F01925"/>
    <w:multiLevelType w:val="hybridMultilevel"/>
    <w:tmpl w:val="630646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24410"/>
    <w:multiLevelType w:val="multilevel"/>
    <w:tmpl w:val="A6C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E53EE0"/>
    <w:multiLevelType w:val="multilevel"/>
    <w:tmpl w:val="A91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5CD0668D"/>
    <w:multiLevelType w:val="hybridMultilevel"/>
    <w:tmpl w:val="EFDC4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2B4EF8"/>
    <w:multiLevelType w:val="hybridMultilevel"/>
    <w:tmpl w:val="77DEF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442311"/>
    <w:multiLevelType w:val="multilevel"/>
    <w:tmpl w:val="DBE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306E0F"/>
    <w:multiLevelType w:val="hybridMultilevel"/>
    <w:tmpl w:val="C32AA69E"/>
    <w:lvl w:ilvl="0" w:tplc="04150001">
      <w:start w:val="1"/>
      <w:numFmt w:val="bullet"/>
      <w:lvlText w:val=""/>
      <w:lvlJc w:val="left"/>
      <w:pPr>
        <w:ind w:left="1080" w:hanging="360"/>
      </w:pPr>
      <w:rPr>
        <w:rFonts w:ascii="Symbol" w:hAnsi="Symbol" w:hint="default"/>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40D0A55"/>
    <w:multiLevelType w:val="hybridMultilevel"/>
    <w:tmpl w:val="611CD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4C93D48"/>
    <w:multiLevelType w:val="hybridMultilevel"/>
    <w:tmpl w:val="5ED489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A7E352E"/>
    <w:multiLevelType w:val="hybridMultilevel"/>
    <w:tmpl w:val="C9AC6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A15D9A"/>
    <w:multiLevelType w:val="multilevel"/>
    <w:tmpl w:val="6028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1C7157"/>
    <w:multiLevelType w:val="hybridMultilevel"/>
    <w:tmpl w:val="E4D089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364D75"/>
    <w:multiLevelType w:val="multilevel"/>
    <w:tmpl w:val="825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041CD8"/>
    <w:multiLevelType w:val="hybridMultilevel"/>
    <w:tmpl w:val="B87A95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15:restartNumberingAfterBreak="0">
    <w:nsid w:val="721D1BC7"/>
    <w:multiLevelType w:val="hybridMultilevel"/>
    <w:tmpl w:val="A7001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924328E"/>
    <w:multiLevelType w:val="hybridMultilevel"/>
    <w:tmpl w:val="0310DDB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5"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6" w15:restartNumberingAfterBreak="0">
    <w:nsid w:val="7DEB7DE7"/>
    <w:multiLevelType w:val="multilevel"/>
    <w:tmpl w:val="9EE4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24"/>
  </w:num>
  <w:num w:numId="2" w16cid:durableId="2002611782">
    <w:abstractNumId w:val="44"/>
  </w:num>
  <w:num w:numId="3" w16cid:durableId="1046681177">
    <w:abstractNumId w:val="31"/>
  </w:num>
  <w:num w:numId="4" w16cid:durableId="1250502507">
    <w:abstractNumId w:val="61"/>
  </w:num>
  <w:num w:numId="5" w16cid:durableId="262424646">
    <w:abstractNumId w:val="43"/>
  </w:num>
  <w:num w:numId="6" w16cid:durableId="2052070068">
    <w:abstractNumId w:val="46"/>
  </w:num>
  <w:num w:numId="7" w16cid:durableId="1461680123">
    <w:abstractNumId w:val="13"/>
  </w:num>
  <w:num w:numId="8" w16cid:durableId="892274553">
    <w:abstractNumId w:val="37"/>
  </w:num>
  <w:num w:numId="9" w16cid:durableId="626088575">
    <w:abstractNumId w:val="35"/>
  </w:num>
  <w:num w:numId="10" w16cid:durableId="1127773174">
    <w:abstractNumId w:val="29"/>
  </w:num>
  <w:num w:numId="11" w16cid:durableId="1017780422">
    <w:abstractNumId w:val="42"/>
  </w:num>
  <w:num w:numId="12" w16cid:durableId="1731923168">
    <w:abstractNumId w:val="6"/>
  </w:num>
  <w:num w:numId="13" w16cid:durableId="325937709">
    <w:abstractNumId w:val="22"/>
  </w:num>
  <w:num w:numId="14" w16cid:durableId="87119507">
    <w:abstractNumId w:val="32"/>
  </w:num>
  <w:num w:numId="15" w16cid:durableId="537401627">
    <w:abstractNumId w:val="30"/>
  </w:num>
  <w:num w:numId="16" w16cid:durableId="225994540">
    <w:abstractNumId w:val="21"/>
  </w:num>
  <w:num w:numId="17" w16cid:durableId="1550260514">
    <w:abstractNumId w:val="24"/>
  </w:num>
  <w:num w:numId="18" w16cid:durableId="641735283">
    <w:abstractNumId w:val="7"/>
  </w:num>
  <w:num w:numId="19" w16cid:durableId="792407038">
    <w:abstractNumId w:val="0"/>
  </w:num>
  <w:num w:numId="20" w16cid:durableId="1217475378">
    <w:abstractNumId w:val="12"/>
  </w:num>
  <w:num w:numId="21" w16cid:durableId="1798719523">
    <w:abstractNumId w:val="0"/>
  </w:num>
  <w:num w:numId="22" w16cid:durableId="120156217">
    <w:abstractNumId w:val="17"/>
  </w:num>
  <w:num w:numId="23" w16cid:durableId="1566800475">
    <w:abstractNumId w:val="45"/>
  </w:num>
  <w:num w:numId="24" w16cid:durableId="1845364164">
    <w:abstractNumId w:val="47"/>
  </w:num>
  <w:num w:numId="25" w16cid:durableId="1565870678">
    <w:abstractNumId w:val="11"/>
  </w:num>
  <w:num w:numId="26" w16cid:durableId="974988881">
    <w:abstractNumId w:val="63"/>
  </w:num>
  <w:num w:numId="27" w16cid:durableId="1096101251">
    <w:abstractNumId w:val="20"/>
  </w:num>
  <w:num w:numId="28" w16cid:durableId="1807311193">
    <w:abstractNumId w:val="4"/>
  </w:num>
  <w:num w:numId="29" w16cid:durableId="614291072">
    <w:abstractNumId w:val="23"/>
  </w:num>
  <w:num w:numId="30" w16cid:durableId="1134907189">
    <w:abstractNumId w:val="55"/>
  </w:num>
  <w:num w:numId="31" w16cid:durableId="92938254">
    <w:abstractNumId w:val="54"/>
  </w:num>
  <w:num w:numId="32" w16cid:durableId="1838615408">
    <w:abstractNumId w:val="16"/>
  </w:num>
  <w:num w:numId="33" w16cid:durableId="2087847088">
    <w:abstractNumId w:val="67"/>
  </w:num>
  <w:num w:numId="34" w16cid:durableId="1031685811">
    <w:abstractNumId w:val="65"/>
  </w:num>
  <w:num w:numId="35" w16cid:durableId="1390689213">
    <w:abstractNumId w:val="25"/>
  </w:num>
  <w:num w:numId="36" w16cid:durableId="114764141">
    <w:abstractNumId w:val="66"/>
  </w:num>
  <w:num w:numId="37" w16cid:durableId="2083141107">
    <w:abstractNumId w:val="57"/>
  </w:num>
  <w:num w:numId="38" w16cid:durableId="973218435">
    <w:abstractNumId w:val="5"/>
  </w:num>
  <w:num w:numId="39" w16cid:durableId="2096629633">
    <w:abstractNumId w:val="50"/>
  </w:num>
  <w:num w:numId="40" w16cid:durableId="1187907407">
    <w:abstractNumId w:val="2"/>
  </w:num>
  <w:num w:numId="41" w16cid:durableId="2020035045">
    <w:abstractNumId w:val="9"/>
  </w:num>
  <w:num w:numId="42" w16cid:durableId="2040081137">
    <w:abstractNumId w:val="59"/>
  </w:num>
  <w:num w:numId="43" w16cid:durableId="758141534">
    <w:abstractNumId w:val="19"/>
  </w:num>
  <w:num w:numId="44" w16cid:durableId="1789547736">
    <w:abstractNumId w:val="28"/>
  </w:num>
  <w:num w:numId="45" w16cid:durableId="1505240955">
    <w:abstractNumId w:val="14"/>
  </w:num>
  <w:num w:numId="46" w16cid:durableId="1433165275">
    <w:abstractNumId w:val="40"/>
  </w:num>
  <w:num w:numId="47" w16cid:durableId="964893052">
    <w:abstractNumId w:val="39"/>
  </w:num>
  <w:num w:numId="48" w16cid:durableId="278726755">
    <w:abstractNumId w:val="51"/>
  </w:num>
  <w:num w:numId="49" w16cid:durableId="830415211">
    <w:abstractNumId w:val="26"/>
  </w:num>
  <w:num w:numId="50" w16cid:durableId="1925869261">
    <w:abstractNumId w:val="36"/>
  </w:num>
  <w:num w:numId="51" w16cid:durableId="41945383">
    <w:abstractNumId w:val="33"/>
  </w:num>
  <w:num w:numId="52" w16cid:durableId="1527526767">
    <w:abstractNumId w:val="27"/>
  </w:num>
  <w:num w:numId="53" w16cid:durableId="1516574800">
    <w:abstractNumId w:val="48"/>
  </w:num>
  <w:num w:numId="54" w16cid:durableId="1267695280">
    <w:abstractNumId w:val="3"/>
  </w:num>
  <w:num w:numId="55" w16cid:durableId="1325359681">
    <w:abstractNumId w:val="10"/>
  </w:num>
  <w:num w:numId="56" w16cid:durableId="850873875">
    <w:abstractNumId w:val="49"/>
  </w:num>
  <w:num w:numId="57" w16cid:durableId="584650963">
    <w:abstractNumId w:val="8"/>
  </w:num>
  <w:num w:numId="58" w16cid:durableId="1595673397">
    <w:abstractNumId w:val="41"/>
  </w:num>
  <w:num w:numId="59" w16cid:durableId="1330449676">
    <w:abstractNumId w:val="18"/>
  </w:num>
  <w:num w:numId="60" w16cid:durableId="676542352">
    <w:abstractNumId w:val="34"/>
  </w:num>
  <w:num w:numId="61" w16cid:durableId="2074964995">
    <w:abstractNumId w:val="38"/>
  </w:num>
  <w:num w:numId="62" w16cid:durableId="171605510">
    <w:abstractNumId w:val="62"/>
  </w:num>
  <w:num w:numId="63" w16cid:durableId="1044335243">
    <w:abstractNumId w:val="60"/>
  </w:num>
  <w:num w:numId="64" w16cid:durableId="2054695671">
    <w:abstractNumId w:val="15"/>
  </w:num>
  <w:num w:numId="65" w16cid:durableId="603224492">
    <w:abstractNumId w:val="1"/>
  </w:num>
  <w:num w:numId="66" w16cid:durableId="1847398539">
    <w:abstractNumId w:val="56"/>
  </w:num>
  <w:num w:numId="67" w16cid:durableId="221408048">
    <w:abstractNumId w:val="58"/>
  </w:num>
  <w:num w:numId="68" w16cid:durableId="1616986974">
    <w:abstractNumId w:val="52"/>
  </w:num>
  <w:num w:numId="69" w16cid:durableId="263001561">
    <w:abstractNumId w:val="53"/>
  </w:num>
  <w:num w:numId="70" w16cid:durableId="1035041399">
    <w:abstractNumId w:val="6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5786"/>
    <w:rsid w:val="000A68ED"/>
    <w:rsid w:val="000A7BF9"/>
    <w:rsid w:val="000B2555"/>
    <w:rsid w:val="000B5FF1"/>
    <w:rsid w:val="000B609F"/>
    <w:rsid w:val="000C47F0"/>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5028"/>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C69"/>
    <w:rsid w:val="00222FB5"/>
    <w:rsid w:val="0024116D"/>
    <w:rsid w:val="00241B44"/>
    <w:rsid w:val="00241FA3"/>
    <w:rsid w:val="00244C44"/>
    <w:rsid w:val="00245EFB"/>
    <w:rsid w:val="0025386E"/>
    <w:rsid w:val="002638B0"/>
    <w:rsid w:val="0026647A"/>
    <w:rsid w:val="002668D3"/>
    <w:rsid w:val="0027299F"/>
    <w:rsid w:val="002729AB"/>
    <w:rsid w:val="0028285A"/>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19F4"/>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57E9"/>
    <w:rsid w:val="00656DA7"/>
    <w:rsid w:val="00657087"/>
    <w:rsid w:val="006603F1"/>
    <w:rsid w:val="006639DB"/>
    <w:rsid w:val="00664A67"/>
    <w:rsid w:val="006661EF"/>
    <w:rsid w:val="006723E9"/>
    <w:rsid w:val="00677AEB"/>
    <w:rsid w:val="00680EF2"/>
    <w:rsid w:val="00687A1D"/>
    <w:rsid w:val="00695DF4"/>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79C1"/>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507"/>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2EF2"/>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A03C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C7C8A"/>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182A"/>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48DC"/>
    <w:rsid w:val="00D17FDC"/>
    <w:rsid w:val="00D21F62"/>
    <w:rsid w:val="00D24871"/>
    <w:rsid w:val="00D26E26"/>
    <w:rsid w:val="00D36E72"/>
    <w:rsid w:val="00D455D0"/>
    <w:rsid w:val="00D509A5"/>
    <w:rsid w:val="00D515AE"/>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96B79"/>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A64FA"/>
    <w:rsid w:val="00EB146B"/>
    <w:rsid w:val="00EB45AC"/>
    <w:rsid w:val="00EB5583"/>
    <w:rsid w:val="00EB5CA4"/>
    <w:rsid w:val="00EC00F9"/>
    <w:rsid w:val="00EC0181"/>
    <w:rsid w:val="00EC242E"/>
    <w:rsid w:val="00ED0BC4"/>
    <w:rsid w:val="00ED20E8"/>
    <w:rsid w:val="00ED472A"/>
    <w:rsid w:val="00ED54B6"/>
    <w:rsid w:val="00ED5F37"/>
    <w:rsid w:val="00EE4971"/>
    <w:rsid w:val="00EF090E"/>
    <w:rsid w:val="00F033DA"/>
    <w:rsid w:val="00F11BD6"/>
    <w:rsid w:val="00F13FB1"/>
    <w:rsid w:val="00F21D59"/>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507"/>
    <w:rPr>
      <w:rFonts w:ascii="Times New Roman" w:eastAsia="Times New Roman" w:hAnsi="Times New Roman" w:cs="Times New Roman"/>
      <w:lang w:val="pl-PL" w:eastAsia="pl-PL"/>
    </w:rPr>
  </w:style>
  <w:style w:type="paragraph" w:styleId="Nagwek3">
    <w:name w:val="heading 3"/>
    <w:basedOn w:val="Normalny"/>
    <w:link w:val="Nagwek3Znak"/>
    <w:uiPriority w:val="9"/>
    <w:qFormat/>
    <w:rsid w:val="006557E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30542"/>
  </w:style>
  <w:style w:type="paragraph" w:styleId="Akapitzlist">
    <w:name w:val="List Paragraph"/>
    <w:basedOn w:val="Normalny"/>
    <w:uiPriority w:val="34"/>
    <w:qFormat/>
    <w:rsid w:val="00430FED"/>
    <w:pPr>
      <w:ind w:left="720"/>
      <w:contextualSpacing/>
    </w:pPr>
  </w:style>
  <w:style w:type="paragraph" w:styleId="Tekstprzypisudolnego">
    <w:name w:val="footnote text"/>
    <w:aliases w:val="fn,Fußnotentext Char Char Char Char,Fußnotentext Char Char Char Char Char Char,Fußnotentext Char Char Char Char Char Char Char Char,Fußnotentextf,footnotes,Footnote Text Char2 Char,Footnote Text Char Char1 Char,Footnote,ft"/>
    <w:basedOn w:val="Normalny"/>
    <w:link w:val="TekstprzypisudolnegoZnak"/>
    <w:uiPriority w:val="99"/>
    <w:unhideWhenUsed/>
    <w:rsid w:val="00241B44"/>
    <w:rPr>
      <w:szCs w:val="20"/>
    </w:rPr>
  </w:style>
  <w:style w:type="character" w:customStyle="1" w:styleId="TekstprzypisudolnegoZnak">
    <w:name w:val="Tekst przypisu dolnego Znak"/>
    <w:aliases w:val="fn Znak,Fußnotentext Char Char Char Char Znak,Fußnotentext Char Char Char Char Char Char Znak,Fußnotentext Char Char Char Char Char Char Char Char Znak,Fußnotentextf Znak,footnotes Znak,Footnote Text Char2 Char Znak,ft Znak"/>
    <w:basedOn w:val="Domylnaczcionkaakapitu"/>
    <w:link w:val="Tekstprzypisudolnego"/>
    <w:uiPriority w:val="99"/>
    <w:rsid w:val="00241B44"/>
    <w:rPr>
      <w:sz w:val="20"/>
      <w:szCs w:val="20"/>
    </w:rPr>
  </w:style>
  <w:style w:type="character" w:styleId="Odwoanieprzypisudolnego">
    <w:name w:val="footnote reference"/>
    <w:aliases w:val="fr,Footnote Refernece,BVI fnr,callout,16 Point,Superscript 6 Point,Footnote Reference Superscript,Ref,de nota al pie,-E Fußnotenzeichen,number,SUPERS,EN Footnote Reference,-E Fuﬂnotenzeichen,-E Fuûnotenzeichen,Footnote numbe"/>
    <w:basedOn w:val="Domylnaczcionkaakapitu"/>
    <w:uiPriority w:val="99"/>
    <w:unhideWhenUsed/>
    <w:qFormat/>
    <w:rsid w:val="00241B44"/>
    <w:rPr>
      <w:vertAlign w:val="superscript"/>
    </w:rPr>
  </w:style>
  <w:style w:type="character" w:styleId="Hipercze">
    <w:name w:val="Hyperlink"/>
    <w:basedOn w:val="Domylnaczcionkaakapitu"/>
    <w:uiPriority w:val="99"/>
    <w:unhideWhenUsed/>
    <w:rsid w:val="00A047EE"/>
    <w:rPr>
      <w:color w:val="0563C1" w:themeColor="hyperlink"/>
      <w:u w:val="single"/>
    </w:rPr>
  </w:style>
  <w:style w:type="character" w:customStyle="1" w:styleId="UnresolvedMention1">
    <w:name w:val="Unresolved Mention1"/>
    <w:basedOn w:val="Domylnaczcionkaakapitu"/>
    <w:uiPriority w:val="99"/>
    <w:rsid w:val="00A047EE"/>
    <w:rPr>
      <w:color w:val="605E5C"/>
      <w:shd w:val="clear" w:color="auto" w:fill="E1DFDD"/>
    </w:rPr>
  </w:style>
  <w:style w:type="character" w:styleId="Odwoaniedokomentarza">
    <w:name w:val="annotation reference"/>
    <w:basedOn w:val="Domylnaczcionkaakapitu"/>
    <w:uiPriority w:val="99"/>
    <w:semiHidden/>
    <w:unhideWhenUsed/>
    <w:rsid w:val="008B5333"/>
    <w:rPr>
      <w:sz w:val="16"/>
      <w:szCs w:val="16"/>
    </w:rPr>
  </w:style>
  <w:style w:type="paragraph" w:styleId="Tekstkomentarza">
    <w:name w:val="annotation text"/>
    <w:basedOn w:val="Normalny"/>
    <w:link w:val="TekstkomentarzaZnak"/>
    <w:uiPriority w:val="99"/>
    <w:semiHidden/>
    <w:unhideWhenUsed/>
    <w:rsid w:val="008B5333"/>
    <w:rPr>
      <w:szCs w:val="20"/>
    </w:rPr>
  </w:style>
  <w:style w:type="character" w:customStyle="1" w:styleId="TekstkomentarzaZnak">
    <w:name w:val="Tekst komentarza Znak"/>
    <w:basedOn w:val="Domylnaczcionkaakapitu"/>
    <w:link w:val="Tekstkomentarza"/>
    <w:uiPriority w:val="99"/>
    <w:semiHidden/>
    <w:rsid w:val="008B5333"/>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rsid w:val="008B5333"/>
    <w:rPr>
      <w:b/>
      <w:bCs/>
    </w:rPr>
  </w:style>
  <w:style w:type="character" w:customStyle="1" w:styleId="TematkomentarzaZnak">
    <w:name w:val="Temat komentarza Znak"/>
    <w:basedOn w:val="TekstkomentarzaZnak"/>
    <w:link w:val="Tematkomentarza"/>
    <w:uiPriority w:val="99"/>
    <w:semiHidden/>
    <w:rsid w:val="008B5333"/>
    <w:rPr>
      <w:rFonts w:eastAsia="Times New Roman"/>
      <w:b/>
      <w:bCs/>
      <w:sz w:val="20"/>
      <w:szCs w:val="20"/>
    </w:rPr>
  </w:style>
  <w:style w:type="paragraph" w:styleId="Tekstdymka">
    <w:name w:val="Balloon Text"/>
    <w:basedOn w:val="Normalny"/>
    <w:link w:val="TekstdymkaZnak"/>
    <w:uiPriority w:val="99"/>
    <w:semiHidden/>
    <w:unhideWhenUsed/>
    <w:rsid w:val="008B5333"/>
    <w:rPr>
      <w:rFonts w:ascii="Tahoma" w:hAnsi="Tahoma" w:cs="Tahoma"/>
      <w:sz w:val="16"/>
      <w:szCs w:val="16"/>
    </w:rPr>
  </w:style>
  <w:style w:type="character" w:customStyle="1" w:styleId="TekstdymkaZnak">
    <w:name w:val="Tekst dymka Znak"/>
    <w:basedOn w:val="Domylnaczcionkaakapitu"/>
    <w:link w:val="Tekstdymka"/>
    <w:uiPriority w:val="99"/>
    <w:semiHidden/>
    <w:rsid w:val="008B5333"/>
    <w:rPr>
      <w:rFonts w:ascii="Tahoma" w:eastAsia="Times New Roman" w:hAnsi="Tahoma" w:cs="Tahoma"/>
      <w:sz w:val="16"/>
      <w:szCs w:val="16"/>
    </w:rPr>
  </w:style>
  <w:style w:type="paragraph" w:styleId="Stopka">
    <w:name w:val="footer"/>
    <w:basedOn w:val="Normalny"/>
    <w:link w:val="StopkaZnak"/>
    <w:uiPriority w:val="99"/>
    <w:unhideWhenUsed/>
    <w:rsid w:val="00FC7B47"/>
    <w:pPr>
      <w:tabs>
        <w:tab w:val="center" w:pos="4513"/>
        <w:tab w:val="right" w:pos="9026"/>
      </w:tabs>
    </w:pPr>
  </w:style>
  <w:style w:type="character" w:customStyle="1" w:styleId="StopkaZnak">
    <w:name w:val="Stopka Znak"/>
    <w:basedOn w:val="Domylnaczcionkaakapitu"/>
    <w:link w:val="Stopka"/>
    <w:uiPriority w:val="99"/>
    <w:rsid w:val="00FC7B47"/>
    <w:rPr>
      <w:rFonts w:eastAsia="Times New Roman"/>
      <w:sz w:val="20"/>
    </w:rPr>
  </w:style>
  <w:style w:type="character" w:styleId="Numerstrony">
    <w:name w:val="page number"/>
    <w:basedOn w:val="Domylnaczcionkaakapitu"/>
    <w:uiPriority w:val="99"/>
    <w:semiHidden/>
    <w:unhideWhenUsed/>
    <w:rsid w:val="00FC7B47"/>
  </w:style>
  <w:style w:type="paragraph" w:styleId="Nagwek">
    <w:name w:val="header"/>
    <w:basedOn w:val="Normalny"/>
    <w:link w:val="NagwekZnak"/>
    <w:uiPriority w:val="99"/>
    <w:unhideWhenUsed/>
    <w:rsid w:val="00FC7B47"/>
    <w:pPr>
      <w:tabs>
        <w:tab w:val="center" w:pos="4513"/>
        <w:tab w:val="right" w:pos="9026"/>
      </w:tabs>
    </w:pPr>
  </w:style>
  <w:style w:type="character" w:customStyle="1" w:styleId="NagwekZnak">
    <w:name w:val="Nagłówek Znak"/>
    <w:basedOn w:val="Domylnaczcionkaakapitu"/>
    <w:link w:val="Nagwek"/>
    <w:uiPriority w:val="99"/>
    <w:rsid w:val="00FC7B47"/>
    <w:rPr>
      <w:rFonts w:eastAsia="Times New Roman"/>
      <w:sz w:val="20"/>
    </w:rPr>
  </w:style>
  <w:style w:type="character" w:customStyle="1" w:styleId="UnresolvedMention2">
    <w:name w:val="Unresolved Mention2"/>
    <w:basedOn w:val="Domylnaczcionkaakapitu"/>
    <w:uiPriority w:val="99"/>
    <w:semiHidden/>
    <w:unhideWhenUsed/>
    <w:rsid w:val="007333CC"/>
    <w:rPr>
      <w:color w:val="605E5C"/>
      <w:shd w:val="clear" w:color="auto" w:fill="E1DFDD"/>
    </w:rPr>
  </w:style>
  <w:style w:type="character" w:styleId="UyteHipercze">
    <w:name w:val="FollowedHyperlink"/>
    <w:basedOn w:val="Domylnaczcionkaakapitu"/>
    <w:uiPriority w:val="99"/>
    <w:semiHidden/>
    <w:unhideWhenUsed/>
    <w:rsid w:val="00E6452F"/>
    <w:rPr>
      <w:color w:val="954F72" w:themeColor="followedHyperlink"/>
      <w:u w:val="single"/>
    </w:rPr>
  </w:style>
  <w:style w:type="character" w:styleId="Pogrubienie">
    <w:name w:val="Strong"/>
    <w:basedOn w:val="Domylnaczcionkaakapitu"/>
    <w:uiPriority w:val="22"/>
    <w:qFormat/>
    <w:rsid w:val="00E6452F"/>
    <w:rPr>
      <w:b/>
      <w:bCs/>
    </w:rPr>
  </w:style>
  <w:style w:type="paragraph" w:styleId="NormalnyWeb">
    <w:name w:val="Normal (Web)"/>
    <w:basedOn w:val="Normalny"/>
    <w:uiPriority w:val="99"/>
    <w:unhideWhenUsed/>
    <w:rsid w:val="00EB45AC"/>
    <w:pPr>
      <w:spacing w:before="100" w:beforeAutospacing="1" w:after="100" w:afterAutospacing="1"/>
    </w:pPr>
  </w:style>
  <w:style w:type="paragraph" w:customStyle="1" w:styleId="INSOLstyleheading4">
    <w:name w:val="INSOL style heading 4"/>
    <w:next w:val="Normalny"/>
    <w:autoRedefine/>
    <w:qFormat/>
    <w:rsid w:val="00B17AA9"/>
    <w:pPr>
      <w:ind w:left="720" w:right="851" w:hanging="720"/>
    </w:pPr>
    <w:rPr>
      <w:rFonts w:ascii="Arial" w:eastAsiaTheme="minorEastAsia" w:hAnsi="Arial" w:cs="Arial"/>
      <w:i/>
      <w:sz w:val="22"/>
      <w:szCs w:val="22"/>
      <w:lang w:val="en-GB"/>
    </w:rPr>
  </w:style>
  <w:style w:type="character" w:customStyle="1" w:styleId="Nagwek3Znak">
    <w:name w:val="Nagłówek 3 Znak"/>
    <w:basedOn w:val="Domylnaczcionkaakapitu"/>
    <w:link w:val="Nagwek3"/>
    <w:uiPriority w:val="9"/>
    <w:rsid w:val="006557E9"/>
    <w:rPr>
      <w:rFonts w:ascii="Times New Roman" w:eastAsia="Times New Roman" w:hAnsi="Times New Roman" w:cs="Times New Roman"/>
      <w:b/>
      <w:bCs/>
      <w:sz w:val="27"/>
      <w:szCs w:val="27"/>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97">
      <w:bodyDiv w:val="1"/>
      <w:marLeft w:val="0"/>
      <w:marRight w:val="0"/>
      <w:marTop w:val="0"/>
      <w:marBottom w:val="0"/>
      <w:divBdr>
        <w:top w:val="none" w:sz="0" w:space="0" w:color="auto"/>
        <w:left w:val="none" w:sz="0" w:space="0" w:color="auto"/>
        <w:bottom w:val="none" w:sz="0" w:space="0" w:color="auto"/>
        <w:right w:val="none" w:sz="0" w:space="0" w:color="auto"/>
      </w:divBdr>
    </w:div>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49475797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6260108">
      <w:bodyDiv w:val="1"/>
      <w:marLeft w:val="0"/>
      <w:marRight w:val="0"/>
      <w:marTop w:val="0"/>
      <w:marBottom w:val="0"/>
      <w:divBdr>
        <w:top w:val="none" w:sz="0" w:space="0" w:color="auto"/>
        <w:left w:val="none" w:sz="0" w:space="0" w:color="auto"/>
        <w:bottom w:val="none" w:sz="0" w:space="0" w:color="auto"/>
        <w:right w:val="none" w:sz="0" w:space="0" w:color="auto"/>
      </w:divBdr>
    </w:div>
    <w:div w:id="834805291">
      <w:bodyDiv w:val="1"/>
      <w:marLeft w:val="0"/>
      <w:marRight w:val="0"/>
      <w:marTop w:val="0"/>
      <w:marBottom w:val="0"/>
      <w:divBdr>
        <w:top w:val="none" w:sz="0" w:space="0" w:color="auto"/>
        <w:left w:val="none" w:sz="0" w:space="0" w:color="auto"/>
        <w:bottom w:val="none" w:sz="0" w:space="0" w:color="auto"/>
        <w:right w:val="none" w:sz="0" w:space="0" w:color="auto"/>
      </w:divBdr>
      <w:divsChild>
        <w:div w:id="2020809154">
          <w:marLeft w:val="0"/>
          <w:marRight w:val="0"/>
          <w:marTop w:val="0"/>
          <w:marBottom w:val="0"/>
          <w:divBdr>
            <w:top w:val="none" w:sz="0" w:space="0" w:color="auto"/>
            <w:left w:val="none" w:sz="0" w:space="0" w:color="auto"/>
            <w:bottom w:val="none" w:sz="0" w:space="0" w:color="auto"/>
            <w:right w:val="none" w:sz="0" w:space="0" w:color="auto"/>
          </w:divBdr>
          <w:divsChild>
            <w:div w:id="70352788">
              <w:marLeft w:val="0"/>
              <w:marRight w:val="0"/>
              <w:marTop w:val="0"/>
              <w:marBottom w:val="0"/>
              <w:divBdr>
                <w:top w:val="none" w:sz="0" w:space="0" w:color="auto"/>
                <w:left w:val="none" w:sz="0" w:space="0" w:color="auto"/>
                <w:bottom w:val="none" w:sz="0" w:space="0" w:color="auto"/>
                <w:right w:val="none" w:sz="0" w:space="0" w:color="auto"/>
              </w:divBdr>
              <w:divsChild>
                <w:div w:id="6267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48266827">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325625829">
      <w:bodyDiv w:val="1"/>
      <w:marLeft w:val="0"/>
      <w:marRight w:val="0"/>
      <w:marTop w:val="0"/>
      <w:marBottom w:val="0"/>
      <w:divBdr>
        <w:top w:val="none" w:sz="0" w:space="0" w:color="auto"/>
        <w:left w:val="none" w:sz="0" w:space="0" w:color="auto"/>
        <w:bottom w:val="none" w:sz="0" w:space="0" w:color="auto"/>
        <w:right w:val="none" w:sz="0" w:space="0" w:color="auto"/>
      </w:divBdr>
      <w:divsChild>
        <w:div w:id="131754293">
          <w:marLeft w:val="0"/>
          <w:marRight w:val="0"/>
          <w:marTop w:val="0"/>
          <w:marBottom w:val="0"/>
          <w:divBdr>
            <w:top w:val="none" w:sz="0" w:space="0" w:color="auto"/>
            <w:left w:val="none" w:sz="0" w:space="0" w:color="auto"/>
            <w:bottom w:val="none" w:sz="0" w:space="0" w:color="auto"/>
            <w:right w:val="none" w:sz="0" w:space="0" w:color="auto"/>
          </w:divBdr>
          <w:divsChild>
            <w:div w:id="1182549220">
              <w:marLeft w:val="0"/>
              <w:marRight w:val="0"/>
              <w:marTop w:val="0"/>
              <w:marBottom w:val="0"/>
              <w:divBdr>
                <w:top w:val="none" w:sz="0" w:space="0" w:color="auto"/>
                <w:left w:val="none" w:sz="0" w:space="0" w:color="auto"/>
                <w:bottom w:val="none" w:sz="0" w:space="0" w:color="auto"/>
                <w:right w:val="none" w:sz="0" w:space="0" w:color="auto"/>
              </w:divBdr>
              <w:divsChild>
                <w:div w:id="19993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69576442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560021-C77B-C44E-998D-9AAFDF4D9E8E}">
  <we:reference id="c48fb390-44b5-4201-a3e4-26377914a574" version="1.0.0.0" store="EXCatalog" storeType="EXCatalog"/>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4913</Words>
  <Characters>29479</Characters>
  <Application>Microsoft Office Word</Application>
  <DocSecurity>0</DocSecurity>
  <Lines>245</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Sarecki</cp:lastModifiedBy>
  <cp:revision>4</cp:revision>
  <cp:lastPrinted>2019-08-27T05:42:00Z</cp:lastPrinted>
  <dcterms:created xsi:type="dcterms:W3CDTF">2024-03-01T21:03:00Z</dcterms:created>
  <dcterms:modified xsi:type="dcterms:W3CDTF">2024-03-01T21:50:00Z</dcterms:modified>
</cp:coreProperties>
</file>