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lastRenderedPageBreak/>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665FB9">
        <w:rPr>
          <w:rFonts w:ascii="Avenir Next" w:hAnsi="Avenir Next"/>
          <w:highlight w:val="yellow"/>
        </w:rPr>
        <w:t>(a)</w:t>
      </w:r>
      <w:r w:rsidRPr="00665FB9">
        <w:rPr>
          <w:rFonts w:ascii="Avenir Next" w:hAnsi="Avenir Next"/>
          <w:highlight w:val="yellow"/>
        </w:rPr>
        <w:tab/>
        <w:t>Yes</w:t>
      </w:r>
      <w:r w:rsidR="004D36D5" w:rsidRPr="00665FB9">
        <w:rPr>
          <w:rFonts w:ascii="Avenir Next" w:hAnsi="Avenir Next"/>
          <w:highlight w:val="yellow"/>
        </w:rPr>
        <w:t>,</w:t>
      </w:r>
      <w:r w:rsidR="002A16B3" w:rsidRPr="00665FB9">
        <w:rPr>
          <w:rFonts w:ascii="Avenir Next" w:hAnsi="Avenir Next"/>
          <w:highlight w:val="yellow"/>
        </w:rPr>
        <w:t xml:space="preserve"> </w:t>
      </w:r>
      <w:r w:rsidR="000968D6" w:rsidRPr="00665FB9">
        <w:rPr>
          <w:rFonts w:ascii="Avenir Next" w:hAnsi="Avenir Next"/>
          <w:highlight w:val="yellow"/>
        </w:rPr>
        <w:t>regardless</w:t>
      </w:r>
      <w:r w:rsidR="0083721E" w:rsidRPr="00665FB9">
        <w:rPr>
          <w:rFonts w:ascii="Avenir Next" w:hAnsi="Avenir Next"/>
          <w:highlight w:val="yellow"/>
        </w:rPr>
        <w:t xml:space="preserve"> of</w:t>
      </w:r>
      <w:r w:rsidR="000968D6" w:rsidRPr="00665FB9">
        <w:rPr>
          <w:rFonts w:ascii="Avenir Next" w:hAnsi="Avenir Next"/>
          <w:highlight w:val="yellow"/>
        </w:rPr>
        <w:t xml:space="preserve"> </w:t>
      </w:r>
      <w:r w:rsidR="0083721E" w:rsidRPr="00665FB9">
        <w:rPr>
          <w:rFonts w:ascii="Avenir Next" w:hAnsi="Avenir Next"/>
          <w:highlight w:val="yellow"/>
        </w:rPr>
        <w:t xml:space="preserve">the </w:t>
      </w:r>
      <w:r w:rsidR="004D36D5" w:rsidRPr="00665FB9">
        <w:rPr>
          <w:rFonts w:ascii="Avenir Next" w:hAnsi="Avenir Next"/>
          <w:highlight w:val="yellow"/>
        </w:rPr>
        <w:t>circumstances</w:t>
      </w:r>
      <w:r w:rsidRPr="00665FB9">
        <w:rPr>
          <w:rFonts w:ascii="Avenir Next" w:hAnsi="Avenir Next"/>
          <w:highlight w:val="yellow"/>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665FB9">
        <w:rPr>
          <w:rFonts w:ascii="Avenir Next" w:hAnsi="Avenir Next"/>
          <w:highlight w:val="yellow"/>
        </w:rPr>
        <w:t>(a)</w:t>
      </w:r>
      <w:r w:rsidRPr="00665FB9">
        <w:rPr>
          <w:rFonts w:ascii="Avenir Next" w:hAnsi="Avenir Next"/>
          <w:highlight w:val="yellow"/>
        </w:rPr>
        <w:tab/>
        <w:t>A shareholder in Parts Inc, to which Car Corp is indebted</w:t>
      </w:r>
      <w:r w:rsidR="00631394" w:rsidRPr="00665FB9">
        <w:rPr>
          <w:rFonts w:ascii="Avenir Next" w:hAnsi="Avenir Next"/>
          <w:highlight w:val="yellow"/>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3C0F8C">
        <w:rPr>
          <w:rFonts w:ascii="Avenir Next" w:hAnsi="Avenir Next"/>
        </w:rPr>
        <w:t>(d)</w:t>
      </w:r>
      <w:r w:rsidRPr="003C0F8C">
        <w:rPr>
          <w:rFonts w:ascii="Avenir Next" w:hAnsi="Avenir Next"/>
        </w:rPr>
        <w:tab/>
        <w:t>A retired employee of Car Corp who receives payments from the company’s pension plan</w:t>
      </w:r>
      <w:r w:rsidR="00631394" w:rsidRPr="003C0F8C">
        <w:rPr>
          <w:rFonts w:ascii="Avenir Next" w:hAnsi="Avenir Next"/>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lastRenderedPageBreak/>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665FB9">
        <w:rPr>
          <w:rFonts w:ascii="Avenir Next" w:hAnsi="Avenir Next"/>
          <w:highlight w:val="yellow"/>
        </w:rPr>
        <w:t>(d)</w:t>
      </w:r>
      <w:r w:rsidRPr="00665FB9">
        <w:rPr>
          <w:rFonts w:ascii="Avenir Next" w:hAnsi="Avenir Next"/>
          <w:highlight w:val="yellow"/>
        </w:rPr>
        <w:tab/>
      </w:r>
      <w:r w:rsidR="00B849C5" w:rsidRPr="00665FB9">
        <w:rPr>
          <w:rFonts w:ascii="Avenir Next" w:hAnsi="Avenir Next"/>
          <w:highlight w:val="yellow"/>
        </w:rPr>
        <w:t xml:space="preserve">Options (a) to (c) </w:t>
      </w:r>
      <w:r w:rsidRPr="00665FB9">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FC1665">
        <w:rPr>
          <w:rFonts w:ascii="Avenir Next" w:hAnsi="Avenir Next"/>
          <w:highlight w:val="yellow"/>
        </w:rPr>
        <w:t>(e)</w:t>
      </w:r>
      <w:r w:rsidRPr="00FC1665">
        <w:rPr>
          <w:rFonts w:ascii="Avenir Next" w:hAnsi="Avenir Next"/>
          <w:highlight w:val="yellow"/>
        </w:rPr>
        <w:tab/>
        <w:t>All of the above</w:t>
      </w:r>
      <w:r w:rsidR="006A42F8" w:rsidRPr="00FC1665">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FC1665">
        <w:rPr>
          <w:rFonts w:ascii="Avenir Next" w:hAnsi="Avenir Next"/>
          <w:highlight w:val="yellow"/>
        </w:rPr>
        <w:t>(b)</w:t>
      </w:r>
      <w:r w:rsidRPr="00FC1665">
        <w:rPr>
          <w:rFonts w:ascii="Avenir Next" w:hAnsi="Avenir Next"/>
          <w:highlight w:val="yellow"/>
        </w:rPr>
        <w:tab/>
        <w:t xml:space="preserve">Executory contracts are clearly defined by the </w:t>
      </w:r>
      <w:r w:rsidR="00ED7BF3" w:rsidRPr="00FC1665">
        <w:rPr>
          <w:rFonts w:ascii="Avenir Next" w:hAnsi="Avenir Next"/>
          <w:highlight w:val="yellow"/>
        </w:rPr>
        <w:t>B</w:t>
      </w:r>
      <w:r w:rsidRPr="00FC1665">
        <w:rPr>
          <w:rFonts w:ascii="Avenir Next" w:hAnsi="Avenir Next"/>
          <w:highlight w:val="yellow"/>
        </w:rPr>
        <w:t xml:space="preserve">ankruptcy </w:t>
      </w:r>
      <w:r w:rsidR="00ED7BF3" w:rsidRPr="00FC1665">
        <w:rPr>
          <w:rFonts w:ascii="Avenir Next" w:hAnsi="Avenir Next"/>
          <w:highlight w:val="yellow"/>
        </w:rPr>
        <w:t>C</w:t>
      </w:r>
      <w:r w:rsidRPr="00FC1665">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all classes of secured creditors</w:t>
      </w:r>
      <w:r w:rsidR="006844A8" w:rsidRPr="00352E16">
        <w:rPr>
          <w:rFonts w:ascii="Avenir Next" w:hAnsi="Avenir Next"/>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FC1665" w:rsidRDefault="000643AB" w:rsidP="00875912">
      <w:pPr>
        <w:pStyle w:val="AODocTxt"/>
        <w:numPr>
          <w:ilvl w:val="0"/>
          <w:numId w:val="24"/>
        </w:numPr>
        <w:spacing w:before="0" w:line="240" w:lineRule="auto"/>
        <w:ind w:left="426" w:hanging="426"/>
        <w:rPr>
          <w:rFonts w:ascii="Avenir Next" w:hAnsi="Avenir Next"/>
          <w:highlight w:val="yellow"/>
        </w:rPr>
      </w:pPr>
      <w:r w:rsidRPr="00FC1665">
        <w:rPr>
          <w:rFonts w:ascii="Avenir Next" w:hAnsi="Avenir Next"/>
          <w:highlight w:val="yellow"/>
        </w:rPr>
        <w:t>T</w:t>
      </w:r>
      <w:r w:rsidR="006844A8" w:rsidRPr="00FC1665">
        <w:rPr>
          <w:rFonts w:ascii="Avenir Next" w:hAnsi="Avenir Next"/>
          <w:highlight w:val="yellow"/>
        </w:rPr>
        <w:t>hat t</w:t>
      </w:r>
      <w:r w:rsidRPr="00FC1665">
        <w:rPr>
          <w:rFonts w:ascii="Avenir Next" w:hAnsi="Avenir Next"/>
          <w:highlight w:val="yellow"/>
        </w:rPr>
        <w:t>he dissenting creditors receive no less than they would under a liquidation scenario</w:t>
      </w:r>
      <w:r w:rsidR="006844A8" w:rsidRPr="00FC1665">
        <w:rPr>
          <w:rFonts w:ascii="Avenir Next" w:hAnsi="Avenir Next"/>
          <w:highlight w:val="yellow"/>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FC1665" w:rsidRDefault="00C24FAB" w:rsidP="009017A1">
      <w:pPr>
        <w:pStyle w:val="AODocTxt"/>
        <w:numPr>
          <w:ilvl w:val="0"/>
          <w:numId w:val="33"/>
        </w:numPr>
        <w:spacing w:before="0" w:line="240" w:lineRule="auto"/>
        <w:ind w:left="426" w:hanging="426"/>
        <w:rPr>
          <w:rFonts w:ascii="Avenir Next" w:hAnsi="Avenir Next"/>
          <w:highlight w:val="yellow"/>
        </w:rPr>
      </w:pPr>
      <w:r w:rsidRPr="00FC1665">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Pr="00FC1665" w:rsidRDefault="00C24FAB" w:rsidP="009017A1">
      <w:pPr>
        <w:pStyle w:val="AODocTxt"/>
        <w:numPr>
          <w:ilvl w:val="0"/>
          <w:numId w:val="33"/>
        </w:numPr>
        <w:spacing w:before="0" w:line="240" w:lineRule="auto"/>
        <w:ind w:left="426" w:hanging="426"/>
        <w:rPr>
          <w:rFonts w:ascii="Avenir Next" w:hAnsi="Avenir Next"/>
        </w:rPr>
      </w:pPr>
      <w:r w:rsidRPr="00FC1665">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FC1665" w:rsidRDefault="00853272" w:rsidP="00BA74EF">
      <w:pPr>
        <w:pStyle w:val="AODocTxt"/>
        <w:numPr>
          <w:ilvl w:val="0"/>
          <w:numId w:val="28"/>
        </w:numPr>
        <w:spacing w:before="0" w:line="240" w:lineRule="auto"/>
        <w:ind w:left="426" w:hanging="426"/>
        <w:rPr>
          <w:rFonts w:ascii="Avenir Next" w:hAnsi="Avenir Next"/>
          <w:highlight w:val="yellow"/>
        </w:rPr>
      </w:pPr>
      <w:r w:rsidRPr="00FC1665">
        <w:rPr>
          <w:rFonts w:ascii="Avenir Next" w:hAnsi="Avenir Next"/>
          <w:highlight w:val="yellow"/>
        </w:rPr>
        <w:t xml:space="preserve">Both </w:t>
      </w:r>
      <w:r w:rsidR="0072569E" w:rsidRPr="00FC1665">
        <w:rPr>
          <w:rFonts w:ascii="Avenir Next" w:hAnsi="Avenir Next"/>
          <w:highlight w:val="yellow"/>
        </w:rPr>
        <w:t xml:space="preserve">options </w:t>
      </w:r>
      <w:r w:rsidRPr="00FC1665">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FC1665" w:rsidRDefault="00334B98" w:rsidP="00676F12">
      <w:pPr>
        <w:pStyle w:val="AODocTxt"/>
        <w:keepNext/>
        <w:numPr>
          <w:ilvl w:val="0"/>
          <w:numId w:val="30"/>
        </w:numPr>
        <w:spacing w:before="0" w:line="240" w:lineRule="auto"/>
        <w:ind w:left="426" w:hanging="426"/>
        <w:rPr>
          <w:rFonts w:ascii="Avenir Next" w:hAnsi="Avenir Next"/>
          <w:highlight w:val="yellow"/>
        </w:rPr>
      </w:pPr>
      <w:r w:rsidRPr="00FC1665">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FC1665" w:rsidRDefault="00740655" w:rsidP="00DF5F7C">
      <w:pPr>
        <w:pStyle w:val="AODocTxt"/>
        <w:keepNext/>
        <w:numPr>
          <w:ilvl w:val="0"/>
          <w:numId w:val="35"/>
        </w:numPr>
        <w:spacing w:before="0" w:line="240" w:lineRule="auto"/>
        <w:ind w:left="426" w:hanging="426"/>
        <w:rPr>
          <w:rFonts w:ascii="Avenir Next" w:hAnsi="Avenir Next"/>
          <w:highlight w:val="yellow"/>
        </w:rPr>
      </w:pPr>
      <w:r w:rsidRPr="00FC1665">
        <w:rPr>
          <w:rFonts w:ascii="Avenir Next" w:hAnsi="Avenir Next"/>
          <w:highlight w:val="yellow"/>
        </w:rPr>
        <w:t xml:space="preserve">If a creditor can show it extended credit </w:t>
      </w:r>
      <w:proofErr w:type="gramStart"/>
      <w:r w:rsidRPr="00FC1665">
        <w:rPr>
          <w:rFonts w:ascii="Avenir Next" w:hAnsi="Avenir Next"/>
          <w:highlight w:val="yellow"/>
        </w:rPr>
        <w:t>on the basis of</w:t>
      </w:r>
      <w:proofErr w:type="gramEnd"/>
      <w:r w:rsidRPr="00FC1665">
        <w:rPr>
          <w:rFonts w:ascii="Avenir Next" w:hAnsi="Avenir Next"/>
          <w:highlight w:val="yellow"/>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7324076A" w14:textId="4A02601E" w:rsidR="002B5D64" w:rsidRDefault="00C26505" w:rsidP="00323167">
      <w:pPr>
        <w:pStyle w:val="AODocTxt"/>
        <w:spacing w:before="0" w:line="240" w:lineRule="auto"/>
        <w:rPr>
          <w:rFonts w:ascii="Avenir Next" w:hAnsi="Avenir Next"/>
          <w:color w:val="808080" w:themeColor="background1" w:themeShade="80"/>
        </w:rPr>
      </w:pPr>
      <w:r w:rsidRPr="00C26505">
        <w:rPr>
          <w:rFonts w:ascii="Avenir Next" w:hAnsi="Avenir Next"/>
          <w:color w:val="808080" w:themeColor="background1" w:themeShade="80"/>
        </w:rPr>
        <w:t>Setoff in the context of bankruptcy allows a creditor who also owes money to the debtor to offset its obligations with the claim it holds against the debtor, effectively netting out the two or more obligations. However, setoff is not permitted in many circumstances because it can unfairly advantage one creditor over others.</w:t>
      </w:r>
    </w:p>
    <w:p w14:paraId="1C565876" w14:textId="77777777" w:rsidR="00C26505" w:rsidRPr="00323167" w:rsidRDefault="00C26505"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2ABDDF86" w14:textId="77777777" w:rsidR="00C26505" w:rsidRDefault="00C26505" w:rsidP="00C26505">
      <w:pPr>
        <w:pStyle w:val="AODocTxt"/>
        <w:rPr>
          <w:rFonts w:ascii="Avenir Next" w:hAnsi="Avenir Next"/>
          <w:color w:val="808080" w:themeColor="background1" w:themeShade="80"/>
          <w:lang w:val="en-GB"/>
        </w:rPr>
      </w:pPr>
      <w:r w:rsidRPr="00C26505">
        <w:rPr>
          <w:rFonts w:ascii="Avenir Next" w:hAnsi="Avenir Next"/>
          <w:color w:val="808080" w:themeColor="background1" w:themeShade="80"/>
          <w:lang w:val="en-GB"/>
        </w:rPr>
        <w:t>A "priming lien" is a type of lien granted during a Chapter 11 bankruptcy proceeding, allowing a debtor in possession (DIP) to obtain new financing by offering lenders a security interest that is senior or equal to existing pre-petition liens on the debtor's assets. This lien "primes" existing liens, meaning it takes precedence over them, ensuring the new lender's claims are paid out before those of earlier creditors.</w:t>
      </w:r>
    </w:p>
    <w:p w14:paraId="71C8072C" w14:textId="77777777" w:rsidR="00CA3857" w:rsidRDefault="00CA3857" w:rsidP="00C26505">
      <w:pPr>
        <w:pStyle w:val="AODocTxt"/>
        <w:spacing w:before="0"/>
        <w:rPr>
          <w:rFonts w:ascii="Avenir Next" w:hAnsi="Avenir Next"/>
          <w:color w:val="808080" w:themeColor="background1" w:themeShade="80"/>
          <w:lang w:val="en-GB"/>
        </w:rPr>
      </w:pPr>
    </w:p>
    <w:p w14:paraId="5134EA8D" w14:textId="5E9AC016" w:rsidR="00C26505" w:rsidRPr="00C26505" w:rsidRDefault="00C26505" w:rsidP="00C26505">
      <w:pPr>
        <w:pStyle w:val="AODocTxt"/>
        <w:spacing w:before="0"/>
        <w:rPr>
          <w:rFonts w:ascii="Avenir Next" w:hAnsi="Avenir Next"/>
          <w:color w:val="808080" w:themeColor="background1" w:themeShade="80"/>
          <w:lang w:val="en-GB"/>
        </w:rPr>
      </w:pPr>
      <w:r w:rsidRPr="00C26505">
        <w:rPr>
          <w:rFonts w:ascii="Avenir Next" w:hAnsi="Avenir Next"/>
          <w:color w:val="808080" w:themeColor="background1" w:themeShade="80"/>
          <w:lang w:val="en-GB"/>
        </w:rPr>
        <w:t>For a court to grant a priming lien for DIP financing, specific requirements must be satisfied. Firstly, the debtor must demonstrate that it is unable to secure adequate financing on any other terms. This implies that without such financing, the debtor's chances of a successful reorganization are significantly diminished. Secondly, the debtor must show that the secured creditor, whose interest is being primed, is adequately protected. This can involve providing the existing creditor with additional collateral, offering a new lien of equal value on unencumbered assets, or demonstrating that the creditor will not be materially prejudiced by the priming lien. The intent behind these requirements is to balance the debtor's urgent need for liquidity to continue its operations and attempt a successful reorganization with the rights and interests of pre-existing creditors.</w:t>
      </w:r>
    </w:p>
    <w:p w14:paraId="473861FC" w14:textId="77777777" w:rsidR="00435733" w:rsidRPr="00C26505" w:rsidRDefault="00435733" w:rsidP="00622C36">
      <w:pPr>
        <w:pStyle w:val="AODocTxt"/>
        <w:spacing w:before="0" w:line="240" w:lineRule="auto"/>
        <w:rPr>
          <w:rFonts w:ascii="Avenir Next" w:hAnsi="Avenir Next"/>
          <w:lang w:val="en-GB"/>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7CE26F5" w14:textId="04EF9393" w:rsidR="00CA3857" w:rsidRDefault="00CA3857" w:rsidP="00855BA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Two potential consequences of a violation of the automatic stay are: </w:t>
      </w:r>
    </w:p>
    <w:p w14:paraId="10B36407" w14:textId="437E9E13" w:rsidR="00CA3857" w:rsidRPr="00CA3857" w:rsidRDefault="00CA3857" w:rsidP="00CA3857">
      <w:pPr>
        <w:pStyle w:val="AODocTxt"/>
        <w:numPr>
          <w:ilvl w:val="0"/>
          <w:numId w:val="38"/>
        </w:numPr>
        <w:rPr>
          <w:rFonts w:ascii="Avenir Next" w:hAnsi="Avenir Next"/>
          <w:color w:val="808080" w:themeColor="background1" w:themeShade="80"/>
          <w:lang w:val="en-GB"/>
        </w:rPr>
      </w:pPr>
      <w:r w:rsidRPr="00CA3857">
        <w:rPr>
          <w:rFonts w:ascii="Avenir Next" w:hAnsi="Avenir Next"/>
          <w:color w:val="808080" w:themeColor="background1" w:themeShade="80"/>
          <w:lang w:val="en-GB"/>
        </w:rPr>
        <w:t xml:space="preserve">Contempt of </w:t>
      </w:r>
      <w:r w:rsidR="007D3699">
        <w:rPr>
          <w:rFonts w:ascii="Avenir Next" w:hAnsi="Avenir Next"/>
          <w:color w:val="808080" w:themeColor="background1" w:themeShade="80"/>
          <w:lang w:val="en-GB"/>
        </w:rPr>
        <w:t>c</w:t>
      </w:r>
      <w:r w:rsidRPr="00CA3857">
        <w:rPr>
          <w:rFonts w:ascii="Avenir Next" w:hAnsi="Avenir Next"/>
          <w:color w:val="808080" w:themeColor="background1" w:themeShade="80"/>
          <w:lang w:val="en-GB"/>
        </w:rPr>
        <w:t>ourt: An act taken in violation of the automatic stay, even if done without knowledge of the bankruptcy filing, constitutes contempt of court. This is because the automatic stay is a court order, and violating it is treated as a violation of the court's authority. Contempt sanctions can be significant, reflecting the seriousness with which the courts treat the protection afforded by the automatic stay.</w:t>
      </w:r>
    </w:p>
    <w:p w14:paraId="4D110BDA" w14:textId="3EC4389A" w:rsidR="00CA3857" w:rsidRPr="00CA3857" w:rsidRDefault="00CA3857" w:rsidP="00CA3857">
      <w:pPr>
        <w:pStyle w:val="AODocTxt"/>
        <w:numPr>
          <w:ilvl w:val="0"/>
          <w:numId w:val="38"/>
        </w:numPr>
        <w:rPr>
          <w:rFonts w:ascii="Avenir Next" w:hAnsi="Avenir Next"/>
          <w:color w:val="808080" w:themeColor="background1" w:themeShade="80"/>
          <w:lang w:val="en-GB"/>
        </w:rPr>
      </w:pPr>
      <w:r w:rsidRPr="00CA3857">
        <w:rPr>
          <w:rFonts w:ascii="Avenir Next" w:hAnsi="Avenir Next"/>
          <w:color w:val="808080" w:themeColor="background1" w:themeShade="80"/>
          <w:lang w:val="en-GB"/>
        </w:rPr>
        <w:t xml:space="preserve">Void or </w:t>
      </w:r>
      <w:r w:rsidR="007D3699">
        <w:rPr>
          <w:rFonts w:ascii="Avenir Next" w:hAnsi="Avenir Next"/>
          <w:color w:val="808080" w:themeColor="background1" w:themeShade="80"/>
          <w:lang w:val="en-GB"/>
        </w:rPr>
        <w:t>v</w:t>
      </w:r>
      <w:r w:rsidRPr="00CA3857">
        <w:rPr>
          <w:rFonts w:ascii="Avenir Next" w:hAnsi="Avenir Next"/>
          <w:color w:val="808080" w:themeColor="background1" w:themeShade="80"/>
          <w:lang w:val="en-GB"/>
        </w:rPr>
        <w:t xml:space="preserve">oidable </w:t>
      </w:r>
      <w:r w:rsidR="007D3699">
        <w:rPr>
          <w:rFonts w:ascii="Avenir Next" w:hAnsi="Avenir Next"/>
          <w:color w:val="808080" w:themeColor="background1" w:themeShade="80"/>
          <w:lang w:val="en-GB"/>
        </w:rPr>
        <w:t>a</w:t>
      </w:r>
      <w:r w:rsidRPr="00CA3857">
        <w:rPr>
          <w:rFonts w:ascii="Avenir Next" w:hAnsi="Avenir Next"/>
          <w:color w:val="808080" w:themeColor="background1" w:themeShade="80"/>
          <w:lang w:val="en-GB"/>
        </w:rPr>
        <w:t xml:space="preserve">ctions: Actions taken in violation of the automatic stay are either void or voidable, depending on the jurisdiction. This means any attempt to collect debts, enforce liens, or otherwise act against the debtor or the debtor's property without court permission can be undone, leaving the violator without recourse for the actions taken. Additionally, the violator may be required to compensate the </w:t>
      </w:r>
      <w:r w:rsidRPr="00CA3857">
        <w:rPr>
          <w:rFonts w:ascii="Avenir Next" w:hAnsi="Avenir Next"/>
          <w:color w:val="808080" w:themeColor="background1" w:themeShade="80"/>
          <w:lang w:val="en-GB"/>
        </w:rPr>
        <w:lastRenderedPageBreak/>
        <w:t>debtor for any costs or damages incurred due to the violation, including attorney's fees, and may be subjected to punitive damages to deter future violations.</w:t>
      </w:r>
    </w:p>
    <w:p w14:paraId="53E1720C" w14:textId="77777777" w:rsidR="003A5537" w:rsidRPr="00CA3857" w:rsidRDefault="003A5537" w:rsidP="00622C36">
      <w:pPr>
        <w:pStyle w:val="AODocTxt"/>
        <w:spacing w:before="0" w:line="240" w:lineRule="auto"/>
        <w:rPr>
          <w:rFonts w:ascii="Avenir Next" w:hAnsi="Avenir Next"/>
          <w:lang w:val="en-GB"/>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48209237" w14:textId="1626A726" w:rsidR="00CA3857" w:rsidRDefault="00CA3857" w:rsidP="00CA3857">
      <w:pPr>
        <w:pStyle w:val="AODocTxt"/>
        <w:rPr>
          <w:rFonts w:ascii="Avenir Next" w:hAnsi="Avenir Next"/>
          <w:color w:val="808080" w:themeColor="background1" w:themeShade="80"/>
          <w:lang w:val="en-GB"/>
        </w:rPr>
      </w:pPr>
      <w:r w:rsidRPr="00CA3857">
        <w:rPr>
          <w:rFonts w:ascii="Avenir Next" w:hAnsi="Avenir Next"/>
          <w:color w:val="808080" w:themeColor="background1" w:themeShade="80"/>
          <w:lang w:val="en-GB"/>
        </w:rPr>
        <w:t>In voting on a plan of reorganization:</w:t>
      </w:r>
    </w:p>
    <w:p w14:paraId="1AA55AB1" w14:textId="77777777" w:rsidR="00CA3857" w:rsidRDefault="00CA3857" w:rsidP="00CA3857">
      <w:pPr>
        <w:pStyle w:val="AODocTxt"/>
        <w:spacing w:before="0"/>
        <w:rPr>
          <w:rFonts w:ascii="Avenir Next" w:hAnsi="Avenir Next"/>
          <w:color w:val="808080" w:themeColor="background1" w:themeShade="80"/>
          <w:lang w:val="en-GB"/>
        </w:rPr>
      </w:pPr>
    </w:p>
    <w:p w14:paraId="316CD916" w14:textId="485B5048" w:rsidR="00CA3857" w:rsidRDefault="00CA3857" w:rsidP="00CA3857">
      <w:pPr>
        <w:pStyle w:val="AODocTxt"/>
        <w:spacing w:before="0"/>
        <w:rPr>
          <w:rFonts w:ascii="Avenir Next" w:hAnsi="Avenir Next"/>
          <w:color w:val="808080" w:themeColor="background1" w:themeShade="80"/>
          <w:lang w:val="en-GB"/>
        </w:rPr>
      </w:pPr>
      <w:r w:rsidRPr="00CA3857">
        <w:rPr>
          <w:rFonts w:ascii="Avenir Next" w:hAnsi="Avenir Next"/>
          <w:color w:val="808080" w:themeColor="background1" w:themeShade="80"/>
          <w:lang w:val="en-GB"/>
        </w:rPr>
        <w:t>(</w:t>
      </w:r>
      <w:proofErr w:type="spellStart"/>
      <w:r w:rsidRPr="00CA3857">
        <w:rPr>
          <w:rFonts w:ascii="Avenir Next" w:hAnsi="Avenir Next"/>
          <w:color w:val="808080" w:themeColor="background1" w:themeShade="80"/>
          <w:lang w:val="en-GB"/>
        </w:rPr>
        <w:t>i</w:t>
      </w:r>
      <w:proofErr w:type="spellEnd"/>
      <w:r w:rsidRPr="00CA3857">
        <w:rPr>
          <w:rFonts w:ascii="Avenir Next" w:hAnsi="Avenir Next"/>
          <w:color w:val="808080" w:themeColor="background1" w:themeShade="80"/>
          <w:lang w:val="en-GB"/>
        </w:rPr>
        <w:t xml:space="preserve">) Classes </w:t>
      </w:r>
      <w:r w:rsidR="007D3699" w:rsidRPr="00CA3857">
        <w:rPr>
          <w:rFonts w:ascii="Avenir Next" w:hAnsi="Avenir Next"/>
          <w:color w:val="808080" w:themeColor="background1" w:themeShade="80"/>
          <w:lang w:val="en-GB"/>
        </w:rPr>
        <w:t>deemed to accept the plan</w:t>
      </w:r>
      <w:r w:rsidRPr="00CA3857">
        <w:rPr>
          <w:rFonts w:ascii="Avenir Next" w:hAnsi="Avenir Next"/>
          <w:color w:val="808080" w:themeColor="background1" w:themeShade="80"/>
          <w:lang w:val="en-GB"/>
        </w:rPr>
        <w:t>: An unimpaired class is deemed to accept the plan. This includes classes whose legal, equitable, and contractual rights are not altered by the plan, or where the plan reverses contractual acceleration by curing any monetary default and compensating the holder for damages. Essentially, if the plan does not impair a class by changing their rights or reducing the claim amounts, this class is considered to have automatically accepted the plan</w:t>
      </w:r>
      <w:r>
        <w:rPr>
          <w:rFonts w:ascii="Avenir Next" w:hAnsi="Avenir Next"/>
          <w:color w:val="808080" w:themeColor="background1" w:themeShade="80"/>
          <w:lang w:val="en-GB"/>
        </w:rPr>
        <w:t>.</w:t>
      </w:r>
    </w:p>
    <w:p w14:paraId="068474AB" w14:textId="77777777" w:rsidR="00CA3857" w:rsidRPr="00CA3857" w:rsidRDefault="00CA3857" w:rsidP="00CA3857">
      <w:pPr>
        <w:pStyle w:val="AODocTxt"/>
        <w:spacing w:before="0"/>
        <w:rPr>
          <w:rFonts w:ascii="Avenir Next" w:hAnsi="Avenir Next"/>
          <w:color w:val="808080" w:themeColor="background1" w:themeShade="80"/>
          <w:lang w:val="en-GB"/>
        </w:rPr>
      </w:pPr>
    </w:p>
    <w:p w14:paraId="37D0ED32" w14:textId="5C924844" w:rsidR="00CA3857" w:rsidRDefault="00CA3857" w:rsidP="00CA3857">
      <w:pPr>
        <w:pStyle w:val="AODocTxt"/>
        <w:spacing w:before="0"/>
        <w:rPr>
          <w:rFonts w:ascii="Avenir Next" w:hAnsi="Avenir Next"/>
          <w:color w:val="808080" w:themeColor="background1" w:themeShade="80"/>
          <w:lang w:val="en-GB"/>
        </w:rPr>
      </w:pPr>
      <w:r w:rsidRPr="00CA3857">
        <w:rPr>
          <w:rFonts w:ascii="Avenir Next" w:hAnsi="Avenir Next"/>
          <w:color w:val="808080" w:themeColor="background1" w:themeShade="80"/>
          <w:lang w:val="en-GB"/>
        </w:rPr>
        <w:t xml:space="preserve">(ii) Classes </w:t>
      </w:r>
      <w:r w:rsidR="007D3699" w:rsidRPr="00CA3857">
        <w:rPr>
          <w:rFonts w:ascii="Avenir Next" w:hAnsi="Avenir Next"/>
          <w:color w:val="808080" w:themeColor="background1" w:themeShade="80"/>
          <w:lang w:val="en-GB"/>
        </w:rPr>
        <w:t>deemed to reject the plan</w:t>
      </w:r>
      <w:r w:rsidRPr="00CA3857">
        <w:rPr>
          <w:rFonts w:ascii="Avenir Next" w:hAnsi="Avenir Next"/>
          <w:color w:val="808080" w:themeColor="background1" w:themeShade="80"/>
          <w:lang w:val="en-GB"/>
        </w:rPr>
        <w:t>: A class that is not receiving any distribution under the plan (i.e., they are getting nothing) is deemed to reject the plan. This typically applies to classes that are so far down the priority ladder that there are no assets left to distribute to them once higher priority claims have been satisfied.</w:t>
      </w:r>
    </w:p>
    <w:p w14:paraId="552C77AB" w14:textId="77777777" w:rsidR="00CA3857" w:rsidRPr="00CA3857" w:rsidRDefault="00CA3857" w:rsidP="00CA3857">
      <w:pPr>
        <w:pStyle w:val="AODocTxt"/>
        <w:spacing w:before="0"/>
        <w:rPr>
          <w:rFonts w:ascii="Avenir Next" w:hAnsi="Avenir Next"/>
          <w:color w:val="808080" w:themeColor="background1" w:themeShade="80"/>
          <w:lang w:val="en-GB"/>
        </w:rPr>
      </w:pPr>
    </w:p>
    <w:p w14:paraId="65286696" w14:textId="48266051" w:rsidR="00CA3857" w:rsidRDefault="00CA3857" w:rsidP="00CA3857">
      <w:pPr>
        <w:pStyle w:val="AODocTxt"/>
        <w:spacing w:before="0"/>
        <w:rPr>
          <w:rFonts w:ascii="Avenir Next" w:hAnsi="Avenir Next"/>
          <w:color w:val="808080" w:themeColor="background1" w:themeShade="80"/>
          <w:lang w:val="en-GB"/>
        </w:rPr>
      </w:pPr>
      <w:r w:rsidRPr="00CA3857">
        <w:rPr>
          <w:rFonts w:ascii="Avenir Next" w:hAnsi="Avenir Next"/>
          <w:color w:val="808080" w:themeColor="background1" w:themeShade="80"/>
          <w:lang w:val="en-GB"/>
        </w:rPr>
        <w:t xml:space="preserve">(iii) Classes </w:t>
      </w:r>
      <w:r w:rsidR="007D3699" w:rsidRPr="00CA3857">
        <w:rPr>
          <w:rFonts w:ascii="Avenir Next" w:hAnsi="Avenir Next"/>
          <w:color w:val="808080" w:themeColor="background1" w:themeShade="80"/>
          <w:lang w:val="en-GB"/>
        </w:rPr>
        <w:t>permitted to vote on the plan</w:t>
      </w:r>
      <w:r w:rsidRPr="00CA3857">
        <w:rPr>
          <w:rFonts w:ascii="Avenir Next" w:hAnsi="Avenir Next"/>
          <w:color w:val="808080" w:themeColor="background1" w:themeShade="80"/>
          <w:lang w:val="en-GB"/>
        </w:rPr>
        <w:t>: Only impaired classes are permitted to vote on the plan. An impaired class is one for which the plan alters the pre-existing rights of the claimants. This means that for a creditor or equity holder to have a say in the approval of the plan, their class must be affected in some manner by the terms of the reorganization, such as receiving less than the full value of their claims or having the terms under which their claims are satisfied modified.</w:t>
      </w:r>
    </w:p>
    <w:p w14:paraId="2DC03231" w14:textId="77777777" w:rsidR="00CA3857" w:rsidRPr="00CA3857" w:rsidRDefault="00CA3857" w:rsidP="00CA3857">
      <w:pPr>
        <w:pStyle w:val="AODocTxt"/>
        <w:spacing w:before="0"/>
        <w:rPr>
          <w:rFonts w:ascii="Avenir Next" w:hAnsi="Avenir Next"/>
          <w:color w:val="808080" w:themeColor="background1" w:themeShade="80"/>
          <w:lang w:val="en-GB"/>
        </w:rPr>
      </w:pPr>
    </w:p>
    <w:p w14:paraId="59F47703" w14:textId="42B7B799" w:rsidR="00CA3857" w:rsidRPr="00CA3857" w:rsidRDefault="00CA3857" w:rsidP="00CA3857">
      <w:pPr>
        <w:pStyle w:val="AODocTxt"/>
        <w:spacing w:before="0"/>
        <w:rPr>
          <w:rFonts w:ascii="Avenir Next" w:hAnsi="Avenir Next"/>
          <w:color w:val="808080" w:themeColor="background1" w:themeShade="80"/>
          <w:lang w:val="en-GB"/>
        </w:rPr>
      </w:pPr>
      <w:r w:rsidRPr="00CA3857">
        <w:rPr>
          <w:rFonts w:ascii="Avenir Next" w:hAnsi="Avenir Next"/>
          <w:color w:val="808080" w:themeColor="background1" w:themeShade="80"/>
          <w:lang w:val="en-GB"/>
        </w:rPr>
        <w:t xml:space="preserve">Vote </w:t>
      </w:r>
      <w:r w:rsidR="007D3699" w:rsidRPr="00CA3857">
        <w:rPr>
          <w:rFonts w:ascii="Avenir Next" w:hAnsi="Avenir Next"/>
          <w:color w:val="808080" w:themeColor="background1" w:themeShade="80"/>
          <w:lang w:val="en-GB"/>
        </w:rPr>
        <w:t>necessary for acceptance by a class</w:t>
      </w:r>
      <w:r w:rsidRPr="00CA3857">
        <w:rPr>
          <w:rFonts w:ascii="Avenir Next" w:hAnsi="Avenir Next"/>
          <w:color w:val="808080" w:themeColor="background1" w:themeShade="80"/>
          <w:lang w:val="en-GB"/>
        </w:rPr>
        <w:t>: For a class of creditors to accept the plan, a majority in number and at least two-thirds in the dollar amount of the claims within that class, who actually vote, must vote in favo</w:t>
      </w:r>
      <w:r w:rsidR="00025843">
        <w:rPr>
          <w:rFonts w:ascii="Avenir Next" w:hAnsi="Avenir Next"/>
          <w:color w:val="808080" w:themeColor="background1" w:themeShade="80"/>
          <w:lang w:val="en-GB"/>
        </w:rPr>
        <w:t>u</w:t>
      </w:r>
      <w:r w:rsidRPr="00CA3857">
        <w:rPr>
          <w:rFonts w:ascii="Avenir Next" w:hAnsi="Avenir Next"/>
          <w:color w:val="808080" w:themeColor="background1" w:themeShade="80"/>
          <w:lang w:val="en-GB"/>
        </w:rPr>
        <w:t>r of the plan. For equity holders, a two-thirds amount in interest of those voting is required. This ensures that the plan has substantial support within each class of creditors or shareholders that are allowed to vote, reflecting a collective consensus rather than the will of a few.</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lastRenderedPageBreak/>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2F45A04C" w14:textId="77777777" w:rsidR="00CA3857" w:rsidRDefault="00CA3857" w:rsidP="00CA3857">
      <w:pPr>
        <w:pStyle w:val="AODocTxt"/>
        <w:spacing w:before="0"/>
        <w:rPr>
          <w:rFonts w:ascii="Avenir Next" w:hAnsi="Avenir Next"/>
          <w:color w:val="808080" w:themeColor="background1" w:themeShade="80"/>
          <w:lang w:val="en-GB"/>
        </w:rPr>
      </w:pPr>
      <w:r w:rsidRPr="00CA3857">
        <w:rPr>
          <w:rFonts w:ascii="Avenir Next" w:hAnsi="Avenir Next"/>
          <w:color w:val="808080" w:themeColor="background1" w:themeShade="80"/>
          <w:lang w:val="en-GB"/>
        </w:rPr>
        <w:t>(a) Preferences apply specifically to transfers made on account of an antecedent debt. This legal mechanism addresses the scenario where a debtor, before filing for bankruptcy, pays off some debts to the detriment of other creditors. The Bankruptcy Code seeks to avoid these preferential transfers to ensure equitable treatment among all unsecured creditors by potentially clawing back payments made within 90 days prior to the bankruptcy filing (or one year if the transferee is considered an insider).</w:t>
      </w:r>
    </w:p>
    <w:p w14:paraId="459E0C49" w14:textId="77777777" w:rsidR="00CA3857" w:rsidRPr="00CA3857" w:rsidRDefault="00CA3857" w:rsidP="00CA3857">
      <w:pPr>
        <w:pStyle w:val="AODocTxt"/>
        <w:spacing w:before="0"/>
        <w:rPr>
          <w:rFonts w:ascii="Avenir Next" w:hAnsi="Avenir Next"/>
          <w:color w:val="808080" w:themeColor="background1" w:themeShade="80"/>
          <w:lang w:val="en-GB"/>
        </w:rPr>
      </w:pPr>
    </w:p>
    <w:p w14:paraId="1D2357E8" w14:textId="77777777" w:rsidR="00CA3857" w:rsidRDefault="00CA3857" w:rsidP="00CA3857">
      <w:pPr>
        <w:pStyle w:val="AODocTxt"/>
        <w:spacing w:before="0"/>
        <w:rPr>
          <w:rFonts w:ascii="Avenir Next" w:hAnsi="Avenir Next"/>
          <w:color w:val="808080" w:themeColor="background1" w:themeShade="80"/>
          <w:lang w:val="en-GB"/>
        </w:rPr>
      </w:pPr>
      <w:r w:rsidRPr="00CA3857">
        <w:rPr>
          <w:rFonts w:ascii="Avenir Next" w:hAnsi="Avenir Next"/>
          <w:color w:val="808080" w:themeColor="background1" w:themeShade="80"/>
          <w:lang w:val="en-GB"/>
        </w:rPr>
        <w:t>(b) Constructive fraudulent conveyances require that the debtor be presumed or proven to have been insolvent at the time of the transfer. This cause of action does not necessitate proving fraudulent intent on the part of the debtor; rather, it focuses on the effect of the transfer in diminishing the debtor's estate to the detriment of creditors. A constructive fraudulent conveyance is established if the debtor received less than a reasonably equivalent value in exchange for the transfer or incurrence of an obligation and was insolvent at the time or became insolvent as a result of the transaction.</w:t>
      </w:r>
    </w:p>
    <w:p w14:paraId="360451E6" w14:textId="77777777" w:rsidR="00CA3857" w:rsidRPr="00CA3857" w:rsidRDefault="00CA3857" w:rsidP="00CA3857">
      <w:pPr>
        <w:pStyle w:val="AODocTxt"/>
        <w:spacing w:before="0"/>
        <w:rPr>
          <w:rFonts w:ascii="Avenir Next" w:hAnsi="Avenir Next"/>
          <w:color w:val="808080" w:themeColor="background1" w:themeShade="80"/>
          <w:lang w:val="en-GB"/>
        </w:rPr>
      </w:pPr>
    </w:p>
    <w:p w14:paraId="6FF02004" w14:textId="77777777" w:rsidR="00CA3857" w:rsidRPr="00CA3857" w:rsidRDefault="00CA3857" w:rsidP="00CA3857">
      <w:pPr>
        <w:pStyle w:val="AODocTxt"/>
        <w:spacing w:before="0"/>
        <w:rPr>
          <w:rFonts w:ascii="Avenir Next" w:hAnsi="Avenir Next"/>
          <w:color w:val="808080" w:themeColor="background1" w:themeShade="80"/>
          <w:lang w:val="en-GB"/>
        </w:rPr>
      </w:pPr>
      <w:r w:rsidRPr="00CA3857">
        <w:rPr>
          <w:rFonts w:ascii="Avenir Next" w:hAnsi="Avenir Next"/>
          <w:color w:val="808080" w:themeColor="background1" w:themeShade="80"/>
          <w:lang w:val="en-GB"/>
        </w:rPr>
        <w:t>(c) Actual fraudulent conveyances require proof that the debtor intended to frustrate creditors’ recoveries. This involves showing that the debtor made a transfer or incurred an obligation with the actual intent to hinder, delay, or defraud any entity to which the debtor was or became indebted. The intent to defraud can be inferred from various factors, such as the transfer being to an insider, the secrecy or haste of the transaction, or the retention of control over the property by the debtor after the transfer.</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28897D81" w14:textId="77777777" w:rsidR="00CA3857" w:rsidRDefault="00CA3857" w:rsidP="00CA3857">
      <w:pPr>
        <w:pStyle w:val="AODocTxt"/>
        <w:rPr>
          <w:rFonts w:ascii="Avenir Next" w:hAnsi="Avenir Next"/>
          <w:color w:val="808080" w:themeColor="background1" w:themeShade="80"/>
          <w:lang w:val="en-GB"/>
        </w:rPr>
      </w:pPr>
      <w:r w:rsidRPr="00CA3857">
        <w:rPr>
          <w:rFonts w:ascii="Avenir Next" w:hAnsi="Avenir Next"/>
          <w:color w:val="808080" w:themeColor="background1" w:themeShade="80"/>
          <w:lang w:val="en-GB"/>
        </w:rPr>
        <w:t>In circumstances where a bankruptcy court can enter a final order consistent with the US Constitution, the order must address matters that are core to the bankruptcy process, which the court has the constitutional authority to decide upon finally. These include issues that directly affect the bankruptcy estate, such as claims resolution, estate administration, debtor discharge injunctions, and plan confirmation. However, for matters that are non-core or related to the bankruptcy case but not directly impacting the administration of the bankruptcy estate, the bankruptcy court can issue proposed findings of fact and conclusions of law, which are then subject to de novo review by the district court.</w:t>
      </w:r>
    </w:p>
    <w:p w14:paraId="6F9F3C9A" w14:textId="77777777" w:rsidR="007D3699" w:rsidRDefault="007D3699" w:rsidP="00CA3857">
      <w:pPr>
        <w:pStyle w:val="AODocTxt"/>
        <w:spacing w:before="0"/>
        <w:rPr>
          <w:rFonts w:ascii="Avenir Next" w:hAnsi="Avenir Next"/>
          <w:color w:val="808080" w:themeColor="background1" w:themeShade="80"/>
          <w:lang w:val="en-GB"/>
        </w:rPr>
      </w:pPr>
    </w:p>
    <w:p w14:paraId="3DA08F76" w14:textId="094322EB" w:rsidR="00CA3857" w:rsidRDefault="00CA3857" w:rsidP="00CA3857">
      <w:pPr>
        <w:pStyle w:val="AODocTxt"/>
        <w:spacing w:before="0"/>
        <w:rPr>
          <w:rFonts w:ascii="Avenir Next" w:hAnsi="Avenir Next"/>
          <w:color w:val="808080" w:themeColor="background1" w:themeShade="80"/>
          <w:lang w:val="en-GB"/>
        </w:rPr>
      </w:pPr>
      <w:r w:rsidRPr="00CA3857">
        <w:rPr>
          <w:rFonts w:ascii="Avenir Next" w:hAnsi="Avenir Next"/>
          <w:color w:val="808080" w:themeColor="background1" w:themeShade="80"/>
          <w:lang w:val="en-GB"/>
        </w:rPr>
        <w:t xml:space="preserve">Appeals from bankruptcy court orders are initially reviewed by the district court or, in some circuits, a bankruptcy appellate panel. The circuit courts of appeals serve as the second </w:t>
      </w:r>
      <w:r w:rsidRPr="00CA3857">
        <w:rPr>
          <w:rFonts w:ascii="Avenir Next" w:hAnsi="Avenir Next"/>
          <w:color w:val="808080" w:themeColor="background1" w:themeShade="80"/>
          <w:lang w:val="en-GB"/>
        </w:rPr>
        <w:lastRenderedPageBreak/>
        <w:t>level of appeal for decisions emanating from the district courts or bankruptcy appellate panels.</w:t>
      </w:r>
    </w:p>
    <w:p w14:paraId="56F5C815" w14:textId="77777777" w:rsidR="00CA7E0E" w:rsidRPr="00CA3857" w:rsidRDefault="00CA7E0E" w:rsidP="00CA3857">
      <w:pPr>
        <w:pStyle w:val="AODocTxt"/>
        <w:spacing w:before="0"/>
        <w:rPr>
          <w:rFonts w:ascii="Avenir Next" w:hAnsi="Avenir Next"/>
          <w:color w:val="808080" w:themeColor="background1" w:themeShade="80"/>
          <w:lang w:val="en-GB"/>
        </w:rPr>
      </w:pPr>
    </w:p>
    <w:p w14:paraId="53AC744A" w14:textId="77777777" w:rsidR="00CA3857" w:rsidRPr="00CA3857" w:rsidRDefault="00CA3857" w:rsidP="00CA3857">
      <w:pPr>
        <w:pStyle w:val="AODocTxt"/>
        <w:spacing w:before="0"/>
        <w:rPr>
          <w:rFonts w:ascii="Avenir Next" w:hAnsi="Avenir Next"/>
          <w:color w:val="808080" w:themeColor="background1" w:themeShade="80"/>
          <w:lang w:val="en-GB"/>
        </w:rPr>
      </w:pPr>
      <w:r w:rsidRPr="00CA3857">
        <w:rPr>
          <w:rFonts w:ascii="Avenir Next" w:hAnsi="Avenir Next"/>
          <w:color w:val="808080" w:themeColor="background1" w:themeShade="80"/>
          <w:lang w:val="en-GB"/>
        </w:rPr>
        <w:t>For orders that are not constitutionally final, such as those in non-core proceedings where the bankruptcy court lacks the authority to enter a final judgment without the parties' consent, the bankruptcy court issues proposed findings and conclusions for the district court's review. The district court then conducts a de novo review of those matters to which any party has objected or, in some instances, may review the entire matter anew, regardless of any specific objections, before entering a final order.</w:t>
      </w:r>
    </w:p>
    <w:p w14:paraId="6002A13A" w14:textId="77777777" w:rsidR="00580B65" w:rsidRPr="00CA3857" w:rsidRDefault="00580B65" w:rsidP="001437A8">
      <w:pPr>
        <w:pStyle w:val="AODocTxt"/>
        <w:spacing w:before="0" w:line="240" w:lineRule="auto"/>
        <w:rPr>
          <w:rFonts w:ascii="Avenir Next" w:hAnsi="Avenir Next"/>
          <w:lang w:val="en-GB"/>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35DD1EC6" w14:textId="7EF26313" w:rsidR="00CA7E0E" w:rsidRPr="00CA7E0E" w:rsidRDefault="00CA7E0E" w:rsidP="00CA7E0E">
      <w:pPr>
        <w:pStyle w:val="AODocTxt"/>
        <w:rPr>
          <w:rFonts w:ascii="Avenir Next" w:hAnsi="Avenir Next"/>
          <w:color w:val="808080" w:themeColor="background1" w:themeShade="80"/>
          <w:lang w:val="en-GB"/>
        </w:rPr>
      </w:pPr>
      <w:r w:rsidRPr="00CA7E0E">
        <w:rPr>
          <w:rFonts w:ascii="Avenir Next" w:hAnsi="Avenir Next"/>
          <w:color w:val="808080" w:themeColor="background1" w:themeShade="80"/>
          <w:lang w:val="en-GB"/>
        </w:rPr>
        <w:t>In a Chapter 15 proceeding, a foreign representative cannot invoke certain provisions of the Bankruptcy Code directly related to avoidance powers, specifically those concerning the avoidance of preferences and fraudulent conveyances as provided by the Bankruptcy Code. This limitation is based on the interpretation of Article 23 of the Model Law and the specific exclusions under Chapter 15, which, despite closely following the Model Law in many respects, restricts the use of avoidance powers that are otherwise available to domestic debtors or trustees within the U.S. bankruptcy framework.</w:t>
      </w:r>
    </w:p>
    <w:p w14:paraId="44CEA03C" w14:textId="77777777" w:rsidR="00CA7E0E" w:rsidRDefault="00CA7E0E" w:rsidP="00CA7E0E">
      <w:pPr>
        <w:pStyle w:val="AODocTxt"/>
        <w:spacing w:before="0"/>
        <w:rPr>
          <w:rFonts w:ascii="Avenir Next" w:hAnsi="Avenir Next"/>
          <w:color w:val="808080" w:themeColor="background1" w:themeShade="80"/>
          <w:lang w:val="en-GB"/>
        </w:rPr>
      </w:pPr>
    </w:p>
    <w:p w14:paraId="14E81D34" w14:textId="33CFC53E" w:rsidR="00CA7E0E" w:rsidRPr="00CA7E0E" w:rsidRDefault="00CA7E0E" w:rsidP="00CA7E0E">
      <w:pPr>
        <w:pStyle w:val="AODocTxt"/>
        <w:spacing w:before="0"/>
        <w:rPr>
          <w:rFonts w:ascii="Avenir Next" w:hAnsi="Avenir Next"/>
          <w:color w:val="808080" w:themeColor="background1" w:themeShade="80"/>
          <w:lang w:val="en-GB"/>
        </w:rPr>
      </w:pPr>
      <w:r w:rsidRPr="00CA7E0E">
        <w:rPr>
          <w:rFonts w:ascii="Avenir Next" w:hAnsi="Avenir Next"/>
          <w:color w:val="808080" w:themeColor="background1" w:themeShade="80"/>
          <w:lang w:val="en-GB"/>
        </w:rPr>
        <w:t>However, two ways that a foreign representative can obtain equivalent relief include:</w:t>
      </w:r>
    </w:p>
    <w:p w14:paraId="27B50798" w14:textId="77777777" w:rsidR="00CA7E0E" w:rsidRPr="00CA7E0E" w:rsidRDefault="00CA7E0E" w:rsidP="00CA7E0E">
      <w:pPr>
        <w:pStyle w:val="AODocTxt"/>
        <w:numPr>
          <w:ilvl w:val="0"/>
          <w:numId w:val="39"/>
        </w:numPr>
        <w:rPr>
          <w:rFonts w:ascii="Avenir Next" w:hAnsi="Avenir Next"/>
          <w:color w:val="808080" w:themeColor="background1" w:themeShade="80"/>
          <w:lang w:val="en-GB"/>
        </w:rPr>
      </w:pPr>
      <w:r w:rsidRPr="00CA7E0E">
        <w:rPr>
          <w:rFonts w:ascii="Avenir Next" w:hAnsi="Avenir Next"/>
          <w:color w:val="808080" w:themeColor="background1" w:themeShade="80"/>
          <w:lang w:val="en-GB"/>
        </w:rPr>
        <w:t>Seeking to avoid pre-petition transactions under other applicable U.S. or foreign law: Despite the restrictions under Chapter 15, foreign representatives are not barred from attempting to avoid pre-petition transactions that may be detrimental to creditors under laws other than the Bankruptcy Code. This approach allows for the utilization of avoidance actions that might be available through different legal avenues, not directly restricted by the provisions of Chapter 15.</w:t>
      </w:r>
    </w:p>
    <w:p w14:paraId="66F1126E" w14:textId="77777777" w:rsidR="00CA7E0E" w:rsidRPr="00CA7E0E" w:rsidRDefault="00CA7E0E" w:rsidP="00CA7E0E">
      <w:pPr>
        <w:pStyle w:val="AODocTxt"/>
        <w:numPr>
          <w:ilvl w:val="0"/>
          <w:numId w:val="39"/>
        </w:numPr>
        <w:rPr>
          <w:rFonts w:ascii="Avenir Next" w:hAnsi="Avenir Next"/>
          <w:color w:val="808080" w:themeColor="background1" w:themeShade="80"/>
          <w:lang w:val="en-GB"/>
        </w:rPr>
      </w:pPr>
      <w:r w:rsidRPr="00CA7E0E">
        <w:rPr>
          <w:rFonts w:ascii="Avenir Next" w:hAnsi="Avenir Next"/>
          <w:color w:val="808080" w:themeColor="background1" w:themeShade="80"/>
          <w:lang w:val="en-GB"/>
        </w:rPr>
        <w:t>Commencing a plenary proceeding under the Bankruptcy Code: A foreign representative has the option to initiate a plenary proceeding, such as under Chapter 7 or 11, after the recognition of the foreign proceeding under Chapter 15. This strategy is particularly useful in scenarios where the relief available under other laws is unsatisfactory, such as when statutes of limitations have expired or when the applicable law does not permit claims for constructive fraudulent conveyance. In these circumstances, the scope of the plenary proceeding is confined to the debtor’s U.S. assets and is intended to be coordinated with the foreign proceeding</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302C680D" w:rsidR="001D3BAA" w:rsidRDefault="00F2223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Four rules that one should review when preparing a filing include: </w:t>
      </w:r>
    </w:p>
    <w:p w14:paraId="52C6E8A2" w14:textId="77777777" w:rsidR="00F2223B" w:rsidRDefault="00F2223B" w:rsidP="001D3BAA">
      <w:pPr>
        <w:pStyle w:val="AODocTxt"/>
        <w:spacing w:before="0" w:line="240" w:lineRule="auto"/>
        <w:rPr>
          <w:rFonts w:ascii="Avenir Next" w:hAnsi="Avenir Next"/>
          <w:color w:val="808080" w:themeColor="background1" w:themeShade="80"/>
        </w:rPr>
      </w:pPr>
    </w:p>
    <w:p w14:paraId="52161678" w14:textId="77777777" w:rsidR="00F2223B" w:rsidRPr="00F2223B" w:rsidRDefault="00F2223B" w:rsidP="00F2223B">
      <w:pPr>
        <w:pStyle w:val="AODocTxt"/>
        <w:numPr>
          <w:ilvl w:val="0"/>
          <w:numId w:val="40"/>
        </w:numPr>
        <w:rPr>
          <w:rFonts w:ascii="Avenir Next" w:hAnsi="Avenir Next"/>
          <w:color w:val="808080" w:themeColor="background1" w:themeShade="80"/>
          <w:lang w:val="en-GB"/>
        </w:rPr>
      </w:pPr>
      <w:r w:rsidRPr="00F2223B">
        <w:rPr>
          <w:rFonts w:ascii="Avenir Next" w:hAnsi="Avenir Next"/>
          <w:b/>
          <w:bCs/>
          <w:color w:val="808080" w:themeColor="background1" w:themeShade="80"/>
          <w:lang w:val="en-GB"/>
        </w:rPr>
        <w:t>The United States Bankruptcy Code (Title 11 of the United States Code)</w:t>
      </w:r>
      <w:r w:rsidRPr="00F2223B">
        <w:rPr>
          <w:rFonts w:ascii="Avenir Next" w:hAnsi="Avenir Next"/>
          <w:color w:val="808080" w:themeColor="background1" w:themeShade="80"/>
          <w:lang w:val="en-GB"/>
        </w:rPr>
        <w:t>: This foundational legal framework provides the statutory basis for all bankruptcy proceedings. It outlines eligibility requirements for debtors, types of bankruptcy filings (e.g., Chapters 7, 11, 13, and 15), the automatic stay provisions, the treatment of claims and interests, the debtor's duties, and the powers of the bankruptcy trustee, among other critical elements.</w:t>
      </w:r>
    </w:p>
    <w:p w14:paraId="3468E33E" w14:textId="77777777" w:rsidR="00F2223B" w:rsidRPr="00F2223B" w:rsidRDefault="00F2223B" w:rsidP="00F2223B">
      <w:pPr>
        <w:pStyle w:val="AODocTxt"/>
        <w:numPr>
          <w:ilvl w:val="0"/>
          <w:numId w:val="40"/>
        </w:numPr>
        <w:rPr>
          <w:rFonts w:ascii="Avenir Next" w:hAnsi="Avenir Next"/>
          <w:color w:val="808080" w:themeColor="background1" w:themeShade="80"/>
          <w:lang w:val="en-GB"/>
        </w:rPr>
      </w:pPr>
      <w:r w:rsidRPr="00F2223B">
        <w:rPr>
          <w:rFonts w:ascii="Avenir Next" w:hAnsi="Avenir Next"/>
          <w:b/>
          <w:bCs/>
          <w:color w:val="808080" w:themeColor="background1" w:themeShade="80"/>
          <w:lang w:val="en-GB"/>
        </w:rPr>
        <w:t>The Federal Rules of Bankruptcy Procedure</w:t>
      </w:r>
      <w:r w:rsidRPr="00F2223B">
        <w:rPr>
          <w:rFonts w:ascii="Avenir Next" w:hAnsi="Avenir Next"/>
          <w:color w:val="808080" w:themeColor="background1" w:themeShade="80"/>
          <w:lang w:val="en-GB"/>
        </w:rPr>
        <w:t>: These rules govern the procedural aspects of bankruptcy proceedings and frequently incorporate by reference the Federal Rules of Civil Procedure, especially regarding litigation of disputed issues in contested matters or adversary proceedings. They cover everything from the filing of petitions to the conduct of meetings of creditors and the confirmation of reorganization plans.</w:t>
      </w:r>
    </w:p>
    <w:p w14:paraId="36E29FB6" w14:textId="77777777" w:rsidR="00F2223B" w:rsidRPr="00F2223B" w:rsidRDefault="00F2223B" w:rsidP="00F2223B">
      <w:pPr>
        <w:pStyle w:val="AODocTxt"/>
        <w:numPr>
          <w:ilvl w:val="0"/>
          <w:numId w:val="40"/>
        </w:numPr>
        <w:rPr>
          <w:rFonts w:ascii="Avenir Next" w:hAnsi="Avenir Next"/>
          <w:color w:val="808080" w:themeColor="background1" w:themeShade="80"/>
          <w:lang w:val="en-GB"/>
        </w:rPr>
      </w:pPr>
      <w:r w:rsidRPr="00F2223B">
        <w:rPr>
          <w:rFonts w:ascii="Avenir Next" w:hAnsi="Avenir Next"/>
          <w:b/>
          <w:bCs/>
          <w:color w:val="808080" w:themeColor="background1" w:themeShade="80"/>
          <w:lang w:val="en-GB"/>
        </w:rPr>
        <w:t>Local Rules of the Bankruptcy Court</w:t>
      </w:r>
      <w:r w:rsidRPr="00F2223B">
        <w:rPr>
          <w:rFonts w:ascii="Avenir Next" w:hAnsi="Avenir Next"/>
          <w:color w:val="808080" w:themeColor="background1" w:themeShade="80"/>
          <w:lang w:val="en-GB"/>
        </w:rPr>
        <w:t>: Each bankruptcy court may have its own set of local rules that specify additional procedural requirements, filing protocols, and judge-specific preferences or practices. These local rules are designed to address procedural aspects not covered by the Federal Rules of Bankruptcy Procedure and can vary significantly from one jurisdiction to another.</w:t>
      </w:r>
    </w:p>
    <w:p w14:paraId="2F15C8F5" w14:textId="77777777" w:rsidR="00F2223B" w:rsidRPr="00F2223B" w:rsidRDefault="00F2223B" w:rsidP="00F2223B">
      <w:pPr>
        <w:pStyle w:val="AODocTxt"/>
        <w:numPr>
          <w:ilvl w:val="0"/>
          <w:numId w:val="40"/>
        </w:numPr>
        <w:rPr>
          <w:rFonts w:ascii="Avenir Next" w:hAnsi="Avenir Next"/>
          <w:color w:val="808080" w:themeColor="background1" w:themeShade="80"/>
          <w:lang w:val="en-GB"/>
        </w:rPr>
      </w:pPr>
      <w:r w:rsidRPr="00F2223B">
        <w:rPr>
          <w:rFonts w:ascii="Avenir Next" w:hAnsi="Avenir Next"/>
          <w:b/>
          <w:bCs/>
          <w:color w:val="808080" w:themeColor="background1" w:themeShade="80"/>
          <w:lang w:val="en-GB"/>
        </w:rPr>
        <w:t>Judicial Guidelines or Standing Orders</w:t>
      </w:r>
      <w:r w:rsidRPr="00F2223B">
        <w:rPr>
          <w:rFonts w:ascii="Avenir Next" w:hAnsi="Avenir Next"/>
          <w:color w:val="808080" w:themeColor="background1" w:themeShade="80"/>
          <w:lang w:val="en-GB"/>
        </w:rPr>
        <w:t>: Individual bankruptcy judges may issue their own guidelines or standing orders that apply to cases before them. These can include detailed instructions on case management procedures, submission of evidence, scheduling of hearings, and other aspects of the bankruptcy process specific to their courtroom.</w:t>
      </w:r>
    </w:p>
    <w:p w14:paraId="6C6A625B" w14:textId="77777777" w:rsidR="00F2223B" w:rsidRPr="00F2223B" w:rsidRDefault="00F2223B" w:rsidP="001D3BAA">
      <w:pPr>
        <w:pStyle w:val="AODocTxt"/>
        <w:spacing w:before="0" w:line="240" w:lineRule="auto"/>
        <w:rPr>
          <w:rFonts w:ascii="Avenir Next" w:hAnsi="Avenir Next"/>
          <w:color w:val="808080" w:themeColor="background1" w:themeShade="80"/>
          <w:lang w:val="en-GB"/>
        </w:rPr>
      </w:pP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4DEF455C" w14:textId="77777777" w:rsidR="007D3699" w:rsidRDefault="007D3699" w:rsidP="007D3699">
      <w:pPr>
        <w:pStyle w:val="AODocTxt"/>
        <w:rPr>
          <w:rFonts w:ascii="Avenir Next" w:hAnsi="Avenir Next"/>
          <w:color w:val="808080" w:themeColor="background1" w:themeShade="80"/>
          <w:lang w:val="en-GB"/>
        </w:rPr>
      </w:pPr>
      <w:r w:rsidRPr="007D3699">
        <w:rPr>
          <w:rFonts w:ascii="Avenir Next" w:hAnsi="Avenir Next"/>
          <w:color w:val="808080" w:themeColor="background1" w:themeShade="80"/>
          <w:lang w:val="en-GB"/>
        </w:rPr>
        <w:t>In the ordinary course of business, directors of Delaware corporations owe two primary fiduciary duties: the duty of loyalty and the duty of care. The duty of loyalty mandates that directors act in the best interests of the corporation and its shareholders, avoiding conflicts of interest and self-dealing. The duty of care requires directors to make decisions with a reasonable level of diligence and prudence, as would be expected from a similarly situated person under comparable circumstances. Directors are protected under the business judgment rule, which presumes decisions made in good faith, on an informed basis, and with the belief that the actions taken were in the corporation's best interest, are not subject to judicial second-guessing unless there is evidence of gross negligence or lack of good faith.</w:t>
      </w:r>
    </w:p>
    <w:p w14:paraId="75B6730B" w14:textId="77777777" w:rsidR="007D3699" w:rsidRPr="007D3699" w:rsidRDefault="007D3699" w:rsidP="007D3699">
      <w:pPr>
        <w:pStyle w:val="AODocTxt"/>
        <w:rPr>
          <w:rFonts w:ascii="Avenir Next" w:hAnsi="Avenir Next"/>
          <w:color w:val="808080" w:themeColor="background1" w:themeShade="80"/>
          <w:lang w:val="en-GB"/>
        </w:rPr>
      </w:pPr>
    </w:p>
    <w:p w14:paraId="6F44C006" w14:textId="77777777" w:rsidR="007D3699" w:rsidRPr="007D3699" w:rsidRDefault="007D3699" w:rsidP="007D3699">
      <w:pPr>
        <w:pStyle w:val="AODocTxt"/>
        <w:spacing w:before="0"/>
        <w:rPr>
          <w:rFonts w:ascii="Avenir Next" w:hAnsi="Avenir Next"/>
          <w:color w:val="808080" w:themeColor="background1" w:themeShade="80"/>
          <w:lang w:val="en-GB"/>
        </w:rPr>
      </w:pPr>
      <w:r w:rsidRPr="007D3699">
        <w:rPr>
          <w:rFonts w:ascii="Avenir Next" w:hAnsi="Avenir Next"/>
          <w:color w:val="808080" w:themeColor="background1" w:themeShade="80"/>
          <w:lang w:val="en-GB"/>
        </w:rPr>
        <w:lastRenderedPageBreak/>
        <w:t>When the corporation is potentially or actually insolvent, the directors' duties expand to consider the interests of the corporation's creditors, reflecting a shift in fiduciary focus due to the changed financial circumstances. Despite this shift, the Delaware Supreme Court has clarified that directors do not owe direct fiduciary duties to creditors, even in insolvency. However, the actions of directors in the vicinity of insolvency are closely scrutinized to ensure they do not preferentially transfer value away from the corporation, thereby harming creditors' prospects of recovery. Directors must navigate these duties carefully, as their decisions can impact the corporation's ability to reorganize or liquidate in a manner that maximizes value for all stakeholders​</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4CF6ABC6" w14:textId="77777777" w:rsidR="00F379F0" w:rsidRPr="00F379F0" w:rsidRDefault="00F379F0" w:rsidP="00F379F0">
      <w:pPr>
        <w:pStyle w:val="AODocTxt"/>
        <w:rPr>
          <w:rFonts w:ascii="Avenir Next" w:hAnsi="Avenir Next"/>
          <w:color w:val="808080" w:themeColor="background1" w:themeShade="80"/>
          <w:lang w:val="en-GB"/>
        </w:rPr>
      </w:pPr>
      <w:r w:rsidRPr="00F379F0">
        <w:rPr>
          <w:rFonts w:ascii="Avenir Next" w:hAnsi="Avenir Next"/>
          <w:color w:val="808080" w:themeColor="background1" w:themeShade="80"/>
          <w:lang w:val="en-GB"/>
        </w:rPr>
        <w:t>The protections provided by the Bankruptcy Code to lessors of office space in situations where a tenant like iWork Ltd fails to pay rent are primarily governed by sections related to the treatment of executory contracts and unexpired leases. While the specific sections detailing these protections were not directly located in the provided document, generally, the Bankruptcy Code offers several key protections to lessors, which can be inferred based on common practices within the US bankruptcy framework:</w:t>
      </w:r>
    </w:p>
    <w:p w14:paraId="2E28A046" w14:textId="1CDE0564" w:rsidR="00F379F0" w:rsidRPr="00F379F0" w:rsidRDefault="00F379F0" w:rsidP="00F379F0">
      <w:pPr>
        <w:pStyle w:val="AODocTxt"/>
        <w:numPr>
          <w:ilvl w:val="0"/>
          <w:numId w:val="41"/>
        </w:numPr>
        <w:rPr>
          <w:rFonts w:ascii="Avenir Next" w:hAnsi="Avenir Next"/>
          <w:color w:val="808080" w:themeColor="background1" w:themeShade="80"/>
          <w:lang w:val="en-GB"/>
        </w:rPr>
      </w:pPr>
      <w:r w:rsidRPr="00F379F0">
        <w:rPr>
          <w:rFonts w:ascii="Avenir Next" w:hAnsi="Avenir Next"/>
          <w:b/>
          <w:bCs/>
          <w:color w:val="808080" w:themeColor="background1" w:themeShade="80"/>
          <w:lang w:val="en-GB"/>
        </w:rPr>
        <w:t>Assumption or Rejection of Unexpired Leases</w:t>
      </w:r>
      <w:r w:rsidRPr="00F379F0">
        <w:rPr>
          <w:rFonts w:ascii="Avenir Next" w:hAnsi="Avenir Next"/>
          <w:color w:val="808080" w:themeColor="background1" w:themeShade="80"/>
          <w:lang w:val="en-GB"/>
        </w:rPr>
        <w:t>: Under the Bankruptcy Code, a debtor in a Chapter 11 reorganization has the option to assume or reject unexpired leases of non</w:t>
      </w:r>
      <w:r>
        <w:rPr>
          <w:rFonts w:ascii="Avenir Next" w:hAnsi="Avenir Next"/>
          <w:color w:val="808080" w:themeColor="background1" w:themeShade="80"/>
          <w:lang w:val="en-GB"/>
        </w:rPr>
        <w:t>-</w:t>
      </w:r>
      <w:r w:rsidRPr="00F379F0">
        <w:rPr>
          <w:rFonts w:ascii="Avenir Next" w:hAnsi="Avenir Next"/>
          <w:color w:val="808080" w:themeColor="background1" w:themeShade="80"/>
          <w:lang w:val="en-GB"/>
        </w:rPr>
        <w:t>residential real property. If the lease is assumed, the debtor must cure any outstanding defaults and provide adequate assurance of future performance under the lease. If the lease is rejected, it is treated as a breach of contract, and the lessor can file a claim for damages, although this claim may be subject to certain caps.</w:t>
      </w:r>
    </w:p>
    <w:p w14:paraId="679972FF" w14:textId="77777777" w:rsidR="00F379F0" w:rsidRPr="00F379F0" w:rsidRDefault="00F379F0" w:rsidP="00F379F0">
      <w:pPr>
        <w:pStyle w:val="AODocTxt"/>
        <w:numPr>
          <w:ilvl w:val="0"/>
          <w:numId w:val="41"/>
        </w:numPr>
        <w:rPr>
          <w:rFonts w:ascii="Avenir Next" w:hAnsi="Avenir Next"/>
          <w:color w:val="808080" w:themeColor="background1" w:themeShade="80"/>
          <w:lang w:val="en-GB"/>
        </w:rPr>
      </w:pPr>
      <w:r w:rsidRPr="00F379F0">
        <w:rPr>
          <w:rFonts w:ascii="Avenir Next" w:hAnsi="Avenir Next"/>
          <w:b/>
          <w:bCs/>
          <w:color w:val="808080" w:themeColor="background1" w:themeShade="80"/>
          <w:lang w:val="en-GB"/>
        </w:rPr>
        <w:t>Adequate Protection Payments</w:t>
      </w:r>
      <w:r w:rsidRPr="00F379F0">
        <w:rPr>
          <w:rFonts w:ascii="Avenir Next" w:hAnsi="Avenir Next"/>
          <w:color w:val="808080" w:themeColor="background1" w:themeShade="80"/>
          <w:lang w:val="en-GB"/>
        </w:rPr>
        <w:t>: During the bankruptcy proceedings, the debtor is typically required to continue making rent payments to the lessor for the use of the property to ensure that the lessor receives adequate protection for their interest. This is to prevent the lessor from suffering a loss while the lease is being assumed or rejected.</w:t>
      </w:r>
    </w:p>
    <w:p w14:paraId="04DD8B1D" w14:textId="77777777" w:rsidR="00F379F0" w:rsidRPr="00F379F0" w:rsidRDefault="00F379F0" w:rsidP="00F379F0">
      <w:pPr>
        <w:pStyle w:val="AODocTxt"/>
        <w:numPr>
          <w:ilvl w:val="0"/>
          <w:numId w:val="41"/>
        </w:numPr>
        <w:rPr>
          <w:rFonts w:ascii="Avenir Next" w:hAnsi="Avenir Next"/>
          <w:color w:val="808080" w:themeColor="background1" w:themeShade="80"/>
          <w:lang w:val="en-GB"/>
        </w:rPr>
      </w:pPr>
      <w:r w:rsidRPr="00F379F0">
        <w:rPr>
          <w:rFonts w:ascii="Avenir Next" w:hAnsi="Avenir Next"/>
          <w:b/>
          <w:bCs/>
          <w:color w:val="808080" w:themeColor="background1" w:themeShade="80"/>
          <w:lang w:val="en-GB"/>
        </w:rPr>
        <w:t>Timelines for Decision</w:t>
      </w:r>
      <w:r w:rsidRPr="00F379F0">
        <w:rPr>
          <w:rFonts w:ascii="Avenir Next" w:hAnsi="Avenir Next"/>
          <w:color w:val="808080" w:themeColor="background1" w:themeShade="80"/>
          <w:lang w:val="en-GB"/>
        </w:rPr>
        <w:t>: The Bankruptcy Code imposes specific deadlines by which the debtor must decide whether to assume or reject unexpired leases. This timeline helps protect lessors from prolonged periods of uncertainty regarding the status of the lease and the property.</w:t>
      </w:r>
    </w:p>
    <w:p w14:paraId="422E8F48" w14:textId="77777777" w:rsidR="00F379F0" w:rsidRPr="00F379F0" w:rsidRDefault="00F379F0" w:rsidP="00F379F0">
      <w:pPr>
        <w:pStyle w:val="AODocTxt"/>
        <w:numPr>
          <w:ilvl w:val="0"/>
          <w:numId w:val="41"/>
        </w:numPr>
        <w:rPr>
          <w:rFonts w:ascii="Avenir Next" w:hAnsi="Avenir Next"/>
          <w:color w:val="808080" w:themeColor="background1" w:themeShade="80"/>
          <w:lang w:val="en-GB"/>
        </w:rPr>
      </w:pPr>
      <w:r w:rsidRPr="00F379F0">
        <w:rPr>
          <w:rFonts w:ascii="Avenir Next" w:hAnsi="Avenir Next"/>
          <w:b/>
          <w:bCs/>
          <w:color w:val="808080" w:themeColor="background1" w:themeShade="80"/>
          <w:lang w:val="en-GB"/>
        </w:rPr>
        <w:lastRenderedPageBreak/>
        <w:t>Cap on Damages</w:t>
      </w:r>
      <w:r w:rsidRPr="00F379F0">
        <w:rPr>
          <w:rFonts w:ascii="Avenir Next" w:hAnsi="Avenir Next"/>
          <w:color w:val="808080" w:themeColor="background1" w:themeShade="80"/>
          <w:lang w:val="en-GB"/>
        </w:rPr>
        <w:t>: If a lease is rejected, the lessor's claim for future rent is capped. The cap is designed to balance the interests of the lessor with those of other creditors by limiting the amount that can be claimed for rent due after the rejection of the lease.</w:t>
      </w:r>
    </w:p>
    <w:p w14:paraId="6D709882" w14:textId="58159E20" w:rsidR="00F379F0" w:rsidRPr="00F379F0" w:rsidRDefault="00F379F0" w:rsidP="00F379F0">
      <w:pPr>
        <w:pStyle w:val="AODocTxt"/>
        <w:numPr>
          <w:ilvl w:val="0"/>
          <w:numId w:val="41"/>
        </w:numPr>
        <w:rPr>
          <w:rFonts w:ascii="Avenir Next" w:hAnsi="Avenir Next"/>
          <w:color w:val="808080" w:themeColor="background1" w:themeShade="80"/>
          <w:lang w:val="en-GB"/>
        </w:rPr>
      </w:pPr>
      <w:r w:rsidRPr="00F379F0">
        <w:rPr>
          <w:rFonts w:ascii="Avenir Next" w:hAnsi="Avenir Next"/>
          <w:b/>
          <w:bCs/>
          <w:color w:val="808080" w:themeColor="background1" w:themeShade="80"/>
          <w:lang w:val="en-GB"/>
        </w:rPr>
        <w:t>Priority Claim for Recent Rent Arrears</w:t>
      </w:r>
      <w:r w:rsidRPr="00F379F0">
        <w:rPr>
          <w:rFonts w:ascii="Avenir Next" w:hAnsi="Avenir Next"/>
          <w:color w:val="808080" w:themeColor="background1" w:themeShade="80"/>
          <w:lang w:val="en-GB"/>
        </w:rPr>
        <w:t>: Rent arrears that have accrued shortly before the bankruptcy filing may be treated as an administrative expense, which gives them a higher priority in payment from the bankruptcy estate.</w:t>
      </w:r>
    </w:p>
    <w:p w14:paraId="10260016" w14:textId="77777777" w:rsidR="00F379F0" w:rsidRDefault="00F379F0" w:rsidP="00F379F0">
      <w:pPr>
        <w:pStyle w:val="AODocTxt"/>
        <w:spacing w:before="0"/>
        <w:rPr>
          <w:rFonts w:ascii="Avenir Next" w:hAnsi="Avenir Next"/>
          <w:color w:val="808080" w:themeColor="background1" w:themeShade="80"/>
          <w:lang w:val="en-GB"/>
        </w:rPr>
      </w:pPr>
    </w:p>
    <w:p w14:paraId="7CEB7CFE" w14:textId="50600ED6" w:rsidR="00F379F0" w:rsidRPr="00F379F0" w:rsidRDefault="00F379F0" w:rsidP="00F379F0">
      <w:pPr>
        <w:pStyle w:val="AODocTxt"/>
        <w:spacing w:before="0"/>
        <w:rPr>
          <w:rFonts w:ascii="Avenir Next" w:hAnsi="Avenir Next"/>
          <w:color w:val="808080" w:themeColor="background1" w:themeShade="80"/>
          <w:lang w:val="en-GB"/>
        </w:rPr>
      </w:pPr>
      <w:r w:rsidRPr="00F379F0">
        <w:rPr>
          <w:rFonts w:ascii="Avenir Next" w:hAnsi="Avenir Next"/>
          <w:color w:val="808080" w:themeColor="background1" w:themeShade="80"/>
          <w:lang w:val="en-GB"/>
        </w:rPr>
        <w:t>These protections are designed to balance the rights and interests of the lessors with the needs of the debtor to reorganize and potentially continue business operations. They ensure that lessors receive some level of compensation and protection for their property rights while also providing a mechanism for debtors to restructure their lease obligations in a way that supports their overall reorganization efforts.</w:t>
      </w:r>
    </w:p>
    <w:p w14:paraId="7D0BD596" w14:textId="77777777" w:rsidR="00884643" w:rsidRPr="00F379F0" w:rsidRDefault="00884643" w:rsidP="000778B1">
      <w:pPr>
        <w:pStyle w:val="AODocTxt"/>
        <w:spacing w:before="0" w:line="240" w:lineRule="auto"/>
        <w:rPr>
          <w:rFonts w:ascii="Avenir Next Demi Bold" w:hAnsi="Avenir Next Demi Bold"/>
          <w:b/>
          <w:bCs/>
          <w:lang w:val="en-GB"/>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DC779C6" w14:textId="78978721" w:rsidR="001E6E59" w:rsidRPr="001E6E59" w:rsidRDefault="001E6E59" w:rsidP="001E6E59">
      <w:pPr>
        <w:pStyle w:val="AODocTxt"/>
        <w:rPr>
          <w:rFonts w:ascii="Avenir Next" w:hAnsi="Avenir Next"/>
          <w:color w:val="808080" w:themeColor="background1" w:themeShade="80"/>
          <w:lang w:val="en-GB"/>
        </w:rPr>
      </w:pPr>
      <w:r w:rsidRPr="001E6E59">
        <w:rPr>
          <w:rFonts w:ascii="Avenir Next" w:hAnsi="Avenir Next"/>
          <w:color w:val="808080" w:themeColor="background1" w:themeShade="80"/>
          <w:lang w:val="en-GB"/>
        </w:rPr>
        <w:t>An English scheme of arrangement can indeed be granted recognition under US Chapter 15 as either a foreign main or foreign non-main proceeding. Chapter 15 of the US Bankruptcy Code adopts the UNCITRAL Model Law on Cross-Border Insolvency, which allows for the recognition of foreign insolvency proceedings. The requirements for such recognition are minimal, focusing primarily on the existence of a collective judicial or administrative proceeding in a foreign country related to insolvency or adjustment of debt, where the debtor's assets and affairs are under the control or supervision of a foreign court for reorganization or liquidation purposes.</w:t>
      </w:r>
    </w:p>
    <w:p w14:paraId="1008E9E8" w14:textId="77777777" w:rsidR="001E6E59" w:rsidRDefault="001E6E59" w:rsidP="001E6E59">
      <w:pPr>
        <w:pStyle w:val="AODocTxt"/>
        <w:spacing w:before="0"/>
        <w:rPr>
          <w:rFonts w:ascii="Avenir Next" w:hAnsi="Avenir Next"/>
          <w:color w:val="808080" w:themeColor="background1" w:themeShade="80"/>
          <w:lang w:val="en-GB"/>
        </w:rPr>
      </w:pPr>
    </w:p>
    <w:p w14:paraId="6701FCCE" w14:textId="6E10A7F9" w:rsidR="001E6E59" w:rsidRPr="001E6E59" w:rsidRDefault="001E6E59" w:rsidP="001E6E59">
      <w:pPr>
        <w:pStyle w:val="AODocTxt"/>
        <w:spacing w:before="0"/>
        <w:rPr>
          <w:rFonts w:ascii="Avenir Next" w:hAnsi="Avenir Next"/>
          <w:color w:val="808080" w:themeColor="background1" w:themeShade="80"/>
          <w:lang w:val="en-GB"/>
        </w:rPr>
      </w:pPr>
      <w:r w:rsidRPr="001E6E59">
        <w:rPr>
          <w:rFonts w:ascii="Avenir Next" w:hAnsi="Avenir Next"/>
          <w:color w:val="808080" w:themeColor="background1" w:themeShade="80"/>
          <w:lang w:val="en-GB"/>
        </w:rPr>
        <w:t>An English scheme of arrangement fits within the broad definition of a "foreign proceeding" under the Bankruptcy Code, as it is a court-supervised process under English law that allows a company to restructure its debt or obligations. For Skin Luxe, which is incorporated and has a principal place of business in France but is looking to restructure bonds governed by English law, the key to recognition in the US would hinge on establishing the scheme as either a main or non-main proceeding.</w:t>
      </w:r>
    </w:p>
    <w:p w14:paraId="524C59F4" w14:textId="77777777" w:rsidR="001E6E59" w:rsidRPr="001E6E59" w:rsidRDefault="001E6E59" w:rsidP="001E6E59">
      <w:pPr>
        <w:pStyle w:val="AODocTxt"/>
        <w:numPr>
          <w:ilvl w:val="0"/>
          <w:numId w:val="42"/>
        </w:numPr>
        <w:rPr>
          <w:rFonts w:ascii="Avenir Next" w:hAnsi="Avenir Next"/>
          <w:color w:val="808080" w:themeColor="background1" w:themeShade="80"/>
          <w:lang w:val="en-GB"/>
        </w:rPr>
      </w:pPr>
      <w:r w:rsidRPr="001E6E59">
        <w:rPr>
          <w:rFonts w:ascii="Avenir Next" w:hAnsi="Avenir Next"/>
          <w:b/>
          <w:bCs/>
          <w:color w:val="808080" w:themeColor="background1" w:themeShade="80"/>
          <w:lang w:val="en-GB"/>
        </w:rPr>
        <w:t>Foreign Main Proceeding</w:t>
      </w:r>
      <w:r w:rsidRPr="001E6E59">
        <w:rPr>
          <w:rFonts w:ascii="Avenir Next" w:hAnsi="Avenir Next"/>
          <w:color w:val="808080" w:themeColor="background1" w:themeShade="80"/>
          <w:lang w:val="en-GB"/>
        </w:rPr>
        <w:t xml:space="preserve">: To qualify as a foreign main proceeding, the scheme would need to be commenced in the country where the debtor has its </w:t>
      </w:r>
      <w:proofErr w:type="spellStart"/>
      <w:r w:rsidRPr="001E6E59">
        <w:rPr>
          <w:rFonts w:ascii="Avenir Next" w:hAnsi="Avenir Next"/>
          <w:color w:val="808080" w:themeColor="background1" w:themeShade="80"/>
          <w:lang w:val="en-GB"/>
        </w:rPr>
        <w:t>center</w:t>
      </w:r>
      <w:proofErr w:type="spellEnd"/>
      <w:r w:rsidRPr="001E6E59">
        <w:rPr>
          <w:rFonts w:ascii="Avenir Next" w:hAnsi="Avenir Next"/>
          <w:color w:val="808080" w:themeColor="background1" w:themeShade="80"/>
          <w:lang w:val="en-GB"/>
        </w:rPr>
        <w:t xml:space="preserve"> of main interests (COMI). Given Skin </w:t>
      </w:r>
      <w:proofErr w:type="spellStart"/>
      <w:r w:rsidRPr="001E6E59">
        <w:rPr>
          <w:rFonts w:ascii="Avenir Next" w:hAnsi="Avenir Next"/>
          <w:color w:val="808080" w:themeColor="background1" w:themeShade="80"/>
          <w:lang w:val="en-GB"/>
        </w:rPr>
        <w:t>Luxe's</w:t>
      </w:r>
      <w:proofErr w:type="spellEnd"/>
      <w:r w:rsidRPr="001E6E59">
        <w:rPr>
          <w:rFonts w:ascii="Avenir Next" w:hAnsi="Avenir Next"/>
          <w:color w:val="808080" w:themeColor="background1" w:themeShade="80"/>
          <w:lang w:val="en-GB"/>
        </w:rPr>
        <w:t xml:space="preserve"> principal place of business is in France, this could </w:t>
      </w:r>
      <w:r w:rsidRPr="001E6E59">
        <w:rPr>
          <w:rFonts w:ascii="Avenir Next" w:hAnsi="Avenir Next"/>
          <w:color w:val="808080" w:themeColor="background1" w:themeShade="80"/>
          <w:lang w:val="en-GB"/>
        </w:rPr>
        <w:lastRenderedPageBreak/>
        <w:t>potentially be challenging unless the COMI can be argued to be closely tied to the English jurisdiction due to the governance of the bonds or other factors.</w:t>
      </w:r>
    </w:p>
    <w:p w14:paraId="5623CDCA" w14:textId="77777777" w:rsidR="001E6E59" w:rsidRPr="001E6E59" w:rsidRDefault="001E6E59" w:rsidP="001E6E59">
      <w:pPr>
        <w:pStyle w:val="AODocTxt"/>
        <w:numPr>
          <w:ilvl w:val="0"/>
          <w:numId w:val="42"/>
        </w:numPr>
        <w:rPr>
          <w:rFonts w:ascii="Avenir Next" w:hAnsi="Avenir Next"/>
          <w:color w:val="808080" w:themeColor="background1" w:themeShade="80"/>
          <w:lang w:val="en-GB"/>
        </w:rPr>
      </w:pPr>
      <w:r w:rsidRPr="001E6E59">
        <w:rPr>
          <w:rFonts w:ascii="Avenir Next" w:hAnsi="Avenir Next"/>
          <w:b/>
          <w:bCs/>
          <w:color w:val="808080" w:themeColor="background1" w:themeShade="80"/>
          <w:lang w:val="en-GB"/>
        </w:rPr>
        <w:t>Foreign Non-Main Proceeding</w:t>
      </w:r>
      <w:r w:rsidRPr="001E6E59">
        <w:rPr>
          <w:rFonts w:ascii="Avenir Next" w:hAnsi="Avenir Next"/>
          <w:color w:val="808080" w:themeColor="background1" w:themeShade="80"/>
          <w:lang w:val="en-GB"/>
        </w:rPr>
        <w:t>: If the scheme does not meet the criteria for a foreign main proceeding, it could still be recognized as a foreign non-main proceeding if Skin Luxe has an "establishment" in England, such as a place of operations where it carries out non-transitory economic activity.</w:t>
      </w:r>
    </w:p>
    <w:p w14:paraId="0794E17B" w14:textId="77777777" w:rsidR="001E6E59" w:rsidRDefault="001E6E59" w:rsidP="001E6E59">
      <w:pPr>
        <w:pStyle w:val="AODocTxt"/>
        <w:spacing w:before="0"/>
        <w:rPr>
          <w:rFonts w:ascii="Avenir Next" w:hAnsi="Avenir Next"/>
          <w:color w:val="808080" w:themeColor="background1" w:themeShade="80"/>
          <w:lang w:val="en-GB"/>
        </w:rPr>
      </w:pPr>
    </w:p>
    <w:p w14:paraId="369AAAA8" w14:textId="410212B8" w:rsidR="001E6E59" w:rsidRPr="001E6E59" w:rsidRDefault="001E6E59" w:rsidP="001E6E59">
      <w:pPr>
        <w:pStyle w:val="AODocTxt"/>
        <w:spacing w:before="0"/>
        <w:rPr>
          <w:rFonts w:ascii="Avenir Next" w:hAnsi="Avenir Next"/>
          <w:color w:val="808080" w:themeColor="background1" w:themeShade="80"/>
          <w:lang w:val="en-GB"/>
        </w:rPr>
      </w:pPr>
      <w:r w:rsidRPr="001E6E59">
        <w:rPr>
          <w:rFonts w:ascii="Avenir Next" w:hAnsi="Avenir Next"/>
          <w:color w:val="808080" w:themeColor="background1" w:themeShade="80"/>
          <w:lang w:val="en-GB"/>
        </w:rPr>
        <w:t>Once recognized, Chapter 15 provides various forms of relief to assist the foreign proceeding, facilitating the reorganization or liquidation process and protecting the debtor’s assets within the United States​</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3634DAB0" w14:textId="77777777" w:rsidR="001E6E59" w:rsidRDefault="001E6E59" w:rsidP="001E6E59">
      <w:pPr>
        <w:autoSpaceDE w:val="0"/>
        <w:autoSpaceDN w:val="0"/>
        <w:adjustRightInd w:val="0"/>
        <w:jc w:val="both"/>
        <w:rPr>
          <w:rFonts w:ascii="Avenir Next" w:eastAsiaTheme="minorHAnsi" w:hAnsi="Avenir Next" w:cs="Times New Roman"/>
          <w:color w:val="808080" w:themeColor="background1" w:themeShade="80"/>
          <w:sz w:val="22"/>
          <w:szCs w:val="22"/>
          <w:lang w:val="en-GB"/>
        </w:rPr>
      </w:pPr>
      <w:r w:rsidRPr="001E6E59">
        <w:rPr>
          <w:rFonts w:ascii="Avenir Next" w:eastAsiaTheme="minorHAnsi" w:hAnsi="Avenir Next" w:cs="Times New Roman"/>
          <w:color w:val="808080" w:themeColor="background1" w:themeShade="80"/>
          <w:sz w:val="22"/>
          <w:szCs w:val="22"/>
          <w:lang w:val="en-GB"/>
        </w:rPr>
        <w:t>The filing of a Chapter 11 petition by Speculation Inc would have varying effects on the different legal challenges it faces:</w:t>
      </w:r>
    </w:p>
    <w:p w14:paraId="3C1F51D2" w14:textId="77777777" w:rsidR="001E6E59" w:rsidRPr="001E6E59" w:rsidRDefault="001E6E59" w:rsidP="001E6E59">
      <w:pPr>
        <w:autoSpaceDE w:val="0"/>
        <w:autoSpaceDN w:val="0"/>
        <w:adjustRightInd w:val="0"/>
        <w:jc w:val="both"/>
        <w:rPr>
          <w:rFonts w:ascii="Avenir Next" w:eastAsiaTheme="minorHAnsi" w:hAnsi="Avenir Next" w:cs="Times New Roman"/>
          <w:color w:val="808080" w:themeColor="background1" w:themeShade="80"/>
          <w:sz w:val="22"/>
          <w:szCs w:val="22"/>
          <w:lang w:val="en-GB"/>
        </w:rPr>
      </w:pPr>
    </w:p>
    <w:p w14:paraId="24B654DA" w14:textId="766FFE76" w:rsidR="001E6E59" w:rsidRPr="00665FB9" w:rsidRDefault="001E6E59" w:rsidP="00665FB9">
      <w:pPr>
        <w:pStyle w:val="ListParagraph"/>
        <w:numPr>
          <w:ilvl w:val="0"/>
          <w:numId w:val="43"/>
        </w:numPr>
        <w:autoSpaceDE w:val="0"/>
        <w:autoSpaceDN w:val="0"/>
        <w:adjustRightInd w:val="0"/>
        <w:jc w:val="both"/>
        <w:rPr>
          <w:rFonts w:ascii="Avenir Next" w:eastAsiaTheme="minorHAnsi" w:hAnsi="Avenir Next" w:cs="Times New Roman"/>
          <w:color w:val="808080" w:themeColor="background1" w:themeShade="80"/>
          <w:sz w:val="22"/>
          <w:szCs w:val="22"/>
          <w:lang w:val="en-GB"/>
        </w:rPr>
      </w:pPr>
      <w:r w:rsidRPr="00665FB9">
        <w:rPr>
          <w:rFonts w:ascii="Avenir Next" w:eastAsiaTheme="minorHAnsi" w:hAnsi="Avenir Next" w:cs="Times New Roman"/>
          <w:b/>
          <w:bCs/>
          <w:color w:val="808080" w:themeColor="background1" w:themeShade="80"/>
          <w:sz w:val="22"/>
          <w:szCs w:val="22"/>
          <w:lang w:val="en-GB"/>
        </w:rPr>
        <w:t>DOJ Investigation</w:t>
      </w:r>
      <w:r w:rsidRPr="00665FB9">
        <w:rPr>
          <w:rFonts w:ascii="Avenir Next" w:eastAsiaTheme="minorHAnsi" w:hAnsi="Avenir Next" w:cs="Times New Roman"/>
          <w:color w:val="808080" w:themeColor="background1" w:themeShade="80"/>
          <w:sz w:val="22"/>
          <w:szCs w:val="22"/>
          <w:lang w:val="en-GB"/>
        </w:rPr>
        <w:t>: The automatic stay provision in Chapter 11 does not halt criminal investigations or proceedings, including those conducted by the DOJ. Therefore, the investigation into Speculation Inc for potentially trading on insider information would continue unaffected by the Chapter 11 filing.</w:t>
      </w:r>
    </w:p>
    <w:p w14:paraId="01E1EA8B" w14:textId="77777777" w:rsidR="001E6E59" w:rsidRPr="001E6E59" w:rsidRDefault="001E6E59" w:rsidP="001E6E59">
      <w:pPr>
        <w:numPr>
          <w:ilvl w:val="0"/>
          <w:numId w:val="43"/>
        </w:numPr>
        <w:autoSpaceDE w:val="0"/>
        <w:autoSpaceDN w:val="0"/>
        <w:adjustRightInd w:val="0"/>
        <w:jc w:val="both"/>
        <w:rPr>
          <w:rFonts w:ascii="Avenir Next" w:eastAsiaTheme="minorHAnsi" w:hAnsi="Avenir Next" w:cs="Times New Roman"/>
          <w:color w:val="808080" w:themeColor="background1" w:themeShade="80"/>
          <w:sz w:val="22"/>
          <w:szCs w:val="22"/>
          <w:lang w:val="en-GB"/>
        </w:rPr>
      </w:pPr>
      <w:r w:rsidRPr="001E6E59">
        <w:rPr>
          <w:rFonts w:ascii="Avenir Next" w:eastAsiaTheme="minorHAnsi" w:hAnsi="Avenir Next" w:cs="Times New Roman"/>
          <w:b/>
          <w:bCs/>
          <w:color w:val="808080" w:themeColor="background1" w:themeShade="80"/>
          <w:sz w:val="22"/>
          <w:szCs w:val="22"/>
          <w:lang w:val="en-GB"/>
        </w:rPr>
        <w:t>Margin Loan Default</w:t>
      </w:r>
      <w:r w:rsidRPr="001E6E59">
        <w:rPr>
          <w:rFonts w:ascii="Avenir Next" w:eastAsiaTheme="minorHAnsi" w:hAnsi="Avenir Next" w:cs="Times New Roman"/>
          <w:color w:val="808080" w:themeColor="background1" w:themeShade="80"/>
          <w:sz w:val="22"/>
          <w:szCs w:val="22"/>
          <w:lang w:val="en-GB"/>
        </w:rPr>
        <w:t>: The automatic stay provision would immediately halt all collection efforts by the broker regarding the margin loan default. This means any action to seize the collateral (the shares held) or any other collection activity would be paused, providing Speculation Inc with a breathing space to negotiate a repayment plan or restructuring of the debt as part of its reorganization plan.</w:t>
      </w:r>
    </w:p>
    <w:p w14:paraId="52EF8493" w14:textId="77777777" w:rsidR="001E6E59" w:rsidRPr="001E6E59" w:rsidRDefault="001E6E59" w:rsidP="001E6E59">
      <w:pPr>
        <w:numPr>
          <w:ilvl w:val="0"/>
          <w:numId w:val="43"/>
        </w:numPr>
        <w:autoSpaceDE w:val="0"/>
        <w:autoSpaceDN w:val="0"/>
        <w:adjustRightInd w:val="0"/>
        <w:jc w:val="both"/>
        <w:rPr>
          <w:rFonts w:ascii="Avenir Next" w:eastAsiaTheme="minorHAnsi" w:hAnsi="Avenir Next" w:cs="Times New Roman"/>
          <w:color w:val="808080" w:themeColor="background1" w:themeShade="80"/>
          <w:sz w:val="22"/>
          <w:szCs w:val="22"/>
          <w:lang w:val="en-GB"/>
        </w:rPr>
      </w:pPr>
      <w:r w:rsidRPr="001E6E59">
        <w:rPr>
          <w:rFonts w:ascii="Avenir Next" w:eastAsiaTheme="minorHAnsi" w:hAnsi="Avenir Next" w:cs="Times New Roman"/>
          <w:b/>
          <w:bCs/>
          <w:color w:val="808080" w:themeColor="background1" w:themeShade="80"/>
          <w:sz w:val="22"/>
          <w:szCs w:val="22"/>
          <w:lang w:val="en-GB"/>
        </w:rPr>
        <w:t>Delinquent Lease</w:t>
      </w:r>
      <w:r w:rsidRPr="001E6E59">
        <w:rPr>
          <w:rFonts w:ascii="Avenir Next" w:eastAsiaTheme="minorHAnsi" w:hAnsi="Avenir Next" w:cs="Times New Roman"/>
          <w:color w:val="808080" w:themeColor="background1" w:themeShade="80"/>
          <w:sz w:val="22"/>
          <w:szCs w:val="22"/>
          <w:lang w:val="en-GB"/>
        </w:rPr>
        <w:t>: The filing would also put a temporary stop to any eviction proceedings due to unpaid rent for the leased office space. Under Chapter 11, Speculation Inc might seek to renegotiate the lease terms or potentially reject the unexpired lease subject to court approval, offering a chance to adjust its financial obligations.</w:t>
      </w:r>
    </w:p>
    <w:p w14:paraId="49BDF071" w14:textId="77777777" w:rsidR="001E6E59" w:rsidRPr="001E6E59" w:rsidRDefault="001E6E59" w:rsidP="001E6E59">
      <w:pPr>
        <w:numPr>
          <w:ilvl w:val="0"/>
          <w:numId w:val="43"/>
        </w:numPr>
        <w:autoSpaceDE w:val="0"/>
        <w:autoSpaceDN w:val="0"/>
        <w:adjustRightInd w:val="0"/>
        <w:jc w:val="both"/>
        <w:rPr>
          <w:rFonts w:ascii="Avenir Next" w:eastAsiaTheme="minorHAnsi" w:hAnsi="Avenir Next" w:cs="Times New Roman"/>
          <w:color w:val="808080" w:themeColor="background1" w:themeShade="80"/>
          <w:sz w:val="22"/>
          <w:szCs w:val="22"/>
          <w:lang w:val="en-GB"/>
        </w:rPr>
      </w:pPr>
      <w:r w:rsidRPr="001E6E59">
        <w:rPr>
          <w:rFonts w:ascii="Avenir Next" w:eastAsiaTheme="minorHAnsi" w:hAnsi="Avenir Next" w:cs="Times New Roman"/>
          <w:b/>
          <w:bCs/>
          <w:color w:val="808080" w:themeColor="background1" w:themeShade="80"/>
          <w:sz w:val="22"/>
          <w:szCs w:val="22"/>
          <w:lang w:val="en-GB"/>
        </w:rPr>
        <w:t>Employment Discrimination Lawsuit</w:t>
      </w:r>
      <w:r w:rsidRPr="001E6E59">
        <w:rPr>
          <w:rFonts w:ascii="Avenir Next" w:eastAsiaTheme="minorHAnsi" w:hAnsi="Avenir Next" w:cs="Times New Roman"/>
          <w:color w:val="808080" w:themeColor="background1" w:themeShade="80"/>
          <w:sz w:val="22"/>
          <w:szCs w:val="22"/>
          <w:lang w:val="en-GB"/>
        </w:rPr>
        <w:t xml:space="preserve">: The automatic stay applies to most civil litigation proceedings, including the employment discrimination lawsuit. This </w:t>
      </w:r>
      <w:r w:rsidRPr="001E6E59">
        <w:rPr>
          <w:rFonts w:ascii="Avenir Next" w:eastAsiaTheme="minorHAnsi" w:hAnsi="Avenir Next" w:cs="Times New Roman"/>
          <w:color w:val="808080" w:themeColor="background1" w:themeShade="80"/>
          <w:sz w:val="22"/>
          <w:szCs w:val="22"/>
          <w:lang w:val="en-GB"/>
        </w:rPr>
        <w:lastRenderedPageBreak/>
        <w:t>lawsuit would be halted, and its resolution would likely be incorporated into the Chapter 11 reorganization plan. The claimant might have to file a claim with the bankruptcy court to seek any monetary relief, which could be subject to the same restructuring as other unsecured claims.</w:t>
      </w:r>
    </w:p>
    <w:p w14:paraId="54D76147" w14:textId="77777777" w:rsidR="001E6E59" w:rsidRDefault="001E6E59" w:rsidP="001E6E59">
      <w:pPr>
        <w:autoSpaceDE w:val="0"/>
        <w:autoSpaceDN w:val="0"/>
        <w:adjustRightInd w:val="0"/>
        <w:jc w:val="both"/>
        <w:rPr>
          <w:rFonts w:ascii="Avenir Next" w:eastAsiaTheme="minorHAnsi" w:hAnsi="Avenir Next" w:cs="Times New Roman"/>
          <w:color w:val="808080" w:themeColor="background1" w:themeShade="80"/>
          <w:sz w:val="22"/>
          <w:szCs w:val="22"/>
          <w:lang w:val="en-GB"/>
        </w:rPr>
      </w:pPr>
    </w:p>
    <w:p w14:paraId="16BE0541" w14:textId="02FA3BDE" w:rsidR="001E6E59" w:rsidRPr="001E6E59" w:rsidRDefault="001E6E59" w:rsidP="001E6E59">
      <w:pPr>
        <w:autoSpaceDE w:val="0"/>
        <w:autoSpaceDN w:val="0"/>
        <w:adjustRightInd w:val="0"/>
        <w:jc w:val="both"/>
        <w:rPr>
          <w:rFonts w:ascii="Avenir Next" w:eastAsiaTheme="minorHAnsi" w:hAnsi="Avenir Next" w:cs="Times New Roman"/>
          <w:color w:val="808080" w:themeColor="background1" w:themeShade="80"/>
          <w:sz w:val="22"/>
          <w:szCs w:val="22"/>
          <w:lang w:val="en-GB"/>
        </w:rPr>
      </w:pPr>
      <w:r w:rsidRPr="001E6E59">
        <w:rPr>
          <w:rFonts w:ascii="Avenir Next" w:eastAsiaTheme="minorHAnsi" w:hAnsi="Avenir Next" w:cs="Times New Roman"/>
          <w:color w:val="808080" w:themeColor="background1" w:themeShade="80"/>
          <w:sz w:val="22"/>
          <w:szCs w:val="22"/>
          <w:lang w:val="en-GB"/>
        </w:rPr>
        <w:t>Overall, the Chapter 11 filing provides a comprehensive shield against immediate adverse actions by creditors and litigants, allowing Speculation Inc to focus on restructuring its debts and obligations. However, it does not protect against ongoing criminal investigations, ensuring that legal scrutiny on potentially illegal activities continues unabated.</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C431ED">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1CD4" w14:textId="77777777" w:rsidR="00C431ED" w:rsidRDefault="00C431ED" w:rsidP="00241B44">
      <w:r>
        <w:separator/>
      </w:r>
    </w:p>
  </w:endnote>
  <w:endnote w:type="continuationSeparator" w:id="0">
    <w:p w14:paraId="30699B81" w14:textId="77777777" w:rsidR="00C431ED" w:rsidRDefault="00C431E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5333C203" w:rsidR="00241FA3" w:rsidRPr="00494B81" w:rsidRDefault="00025843" w:rsidP="009B4976">
    <w:pPr>
      <w:pStyle w:val="Footer"/>
      <w:ind w:right="360"/>
      <w:rPr>
        <w:rFonts w:ascii="Avenir Next" w:hAnsi="Avenir Next" w:cs="Arial"/>
        <w:sz w:val="22"/>
        <w:szCs w:val="22"/>
        <w:lang w:val="en-GB"/>
      </w:rPr>
    </w:pPr>
    <w:r>
      <w:rPr>
        <w:rFonts w:ascii="Avenir Next" w:hAnsi="Avenir Next" w:cs="Arial"/>
        <w:sz w:val="22"/>
        <w:szCs w:val="22"/>
        <w:lang w:val="en-GB"/>
      </w:rPr>
      <w:t>202324-1280</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BF32B" w14:textId="77777777" w:rsidR="00C431ED" w:rsidRDefault="00C431ED" w:rsidP="00241B44">
      <w:r>
        <w:separator/>
      </w:r>
    </w:p>
  </w:footnote>
  <w:footnote w:type="continuationSeparator" w:id="0">
    <w:p w14:paraId="10AAB90B" w14:textId="77777777" w:rsidR="00C431ED" w:rsidRDefault="00C431E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B4CF1"/>
    <w:multiLevelType w:val="multilevel"/>
    <w:tmpl w:val="0188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843D0A"/>
    <w:multiLevelType w:val="multilevel"/>
    <w:tmpl w:val="D63E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9006EC"/>
    <w:multiLevelType w:val="multilevel"/>
    <w:tmpl w:val="745EA4AE"/>
    <w:lvl w:ilvl="0">
      <w:start w:val="1"/>
      <w:numFmt w:val="lowerRoman"/>
      <w:lvlText w:val="(%1)"/>
      <w:lvlJc w:val="left"/>
      <w:pPr>
        <w:tabs>
          <w:tab w:val="num" w:pos="720"/>
        </w:tabs>
        <w:ind w:left="720" w:hanging="360"/>
      </w:pPr>
      <w:rPr>
        <w:rFonts w:ascii="Avenir Next" w:eastAsiaTheme="minorHAnsi" w:hAnsi="Avenir Nex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E53FAD"/>
    <w:multiLevelType w:val="multilevel"/>
    <w:tmpl w:val="00A0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947B9B"/>
    <w:multiLevelType w:val="multilevel"/>
    <w:tmpl w:val="79FE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723579A"/>
    <w:multiLevelType w:val="multilevel"/>
    <w:tmpl w:val="EF88D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6"/>
  </w:num>
  <w:num w:numId="2" w16cid:durableId="1783306908">
    <w:abstractNumId w:val="31"/>
  </w:num>
  <w:num w:numId="3" w16cid:durableId="1942764495">
    <w:abstractNumId w:val="6"/>
  </w:num>
  <w:num w:numId="4" w16cid:durableId="298269076">
    <w:abstractNumId w:val="10"/>
  </w:num>
  <w:num w:numId="5" w16cid:durableId="730929724">
    <w:abstractNumId w:val="14"/>
  </w:num>
  <w:num w:numId="6" w16cid:durableId="1594360553">
    <w:abstractNumId w:val="34"/>
  </w:num>
  <w:num w:numId="7" w16cid:durableId="1661152946">
    <w:abstractNumId w:val="7"/>
  </w:num>
  <w:num w:numId="8" w16cid:durableId="45877589">
    <w:abstractNumId w:val="38"/>
  </w:num>
  <w:num w:numId="9" w16cid:durableId="876742117">
    <w:abstractNumId w:val="15"/>
  </w:num>
  <w:num w:numId="10" w16cid:durableId="1035689165">
    <w:abstractNumId w:val="28"/>
  </w:num>
  <w:num w:numId="11" w16cid:durableId="926307185">
    <w:abstractNumId w:val="17"/>
  </w:num>
  <w:num w:numId="12" w16cid:durableId="621232781">
    <w:abstractNumId w:val="25"/>
  </w:num>
  <w:num w:numId="13" w16cid:durableId="1204442417">
    <w:abstractNumId w:val="0"/>
  </w:num>
  <w:num w:numId="14" w16cid:durableId="1001467812">
    <w:abstractNumId w:val="13"/>
  </w:num>
  <w:num w:numId="15" w16cid:durableId="189758179">
    <w:abstractNumId w:val="21"/>
  </w:num>
  <w:num w:numId="16" w16cid:durableId="1491479825">
    <w:abstractNumId w:val="9"/>
  </w:num>
  <w:num w:numId="17" w16cid:durableId="882793158">
    <w:abstractNumId w:val="4"/>
  </w:num>
  <w:num w:numId="18" w16cid:durableId="777675833">
    <w:abstractNumId w:val="3"/>
  </w:num>
  <w:num w:numId="19" w16cid:durableId="1129937292">
    <w:abstractNumId w:val="32"/>
  </w:num>
  <w:num w:numId="20" w16cid:durableId="1471096614">
    <w:abstractNumId w:val="8"/>
  </w:num>
  <w:num w:numId="21" w16cid:durableId="398864111">
    <w:abstractNumId w:val="27"/>
  </w:num>
  <w:num w:numId="22" w16cid:durableId="2133940203">
    <w:abstractNumId w:val="41"/>
  </w:num>
  <w:num w:numId="23" w16cid:durableId="950893894">
    <w:abstractNumId w:val="16"/>
  </w:num>
  <w:num w:numId="24" w16cid:durableId="1962497721">
    <w:abstractNumId w:val="33"/>
  </w:num>
  <w:num w:numId="25" w16cid:durableId="869756453">
    <w:abstractNumId w:val="22"/>
  </w:num>
  <w:num w:numId="26" w16cid:durableId="1092049203">
    <w:abstractNumId w:val="23"/>
  </w:num>
  <w:num w:numId="27" w16cid:durableId="1146704350">
    <w:abstractNumId w:val="19"/>
  </w:num>
  <w:num w:numId="28" w16cid:durableId="937979478">
    <w:abstractNumId w:val="36"/>
  </w:num>
  <w:num w:numId="29" w16cid:durableId="1970553734">
    <w:abstractNumId w:val="1"/>
  </w:num>
  <w:num w:numId="30" w16cid:durableId="293563849">
    <w:abstractNumId w:val="20"/>
  </w:num>
  <w:num w:numId="31" w16cid:durableId="2126381093">
    <w:abstractNumId w:val="24"/>
  </w:num>
  <w:num w:numId="32" w16cid:durableId="1605572703">
    <w:abstractNumId w:val="42"/>
  </w:num>
  <w:num w:numId="33" w16cid:durableId="1203253494">
    <w:abstractNumId w:val="18"/>
  </w:num>
  <w:num w:numId="34" w16cid:durableId="1104031608">
    <w:abstractNumId w:val="2"/>
  </w:num>
  <w:num w:numId="35" w16cid:durableId="2144806674">
    <w:abstractNumId w:val="37"/>
  </w:num>
  <w:num w:numId="36" w16cid:durableId="1673992024">
    <w:abstractNumId w:val="39"/>
  </w:num>
  <w:num w:numId="37" w16cid:durableId="2022775299">
    <w:abstractNumId w:val="11"/>
  </w:num>
  <w:num w:numId="38" w16cid:durableId="1355107006">
    <w:abstractNumId w:val="40"/>
  </w:num>
  <w:num w:numId="39" w16cid:durableId="908076482">
    <w:abstractNumId w:val="12"/>
  </w:num>
  <w:num w:numId="40" w16cid:durableId="1746799641">
    <w:abstractNumId w:val="30"/>
  </w:num>
  <w:num w:numId="41" w16cid:durableId="1353725877">
    <w:abstractNumId w:val="5"/>
  </w:num>
  <w:num w:numId="42" w16cid:durableId="956527800">
    <w:abstractNumId w:val="35"/>
  </w:num>
  <w:num w:numId="43" w16cid:durableId="1261648078">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5843"/>
    <w:rsid w:val="00026F16"/>
    <w:rsid w:val="000346E7"/>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5FF1"/>
    <w:rsid w:val="000B609F"/>
    <w:rsid w:val="000C4C5B"/>
    <w:rsid w:val="000D55A8"/>
    <w:rsid w:val="000D569D"/>
    <w:rsid w:val="000E4841"/>
    <w:rsid w:val="000F1677"/>
    <w:rsid w:val="000F3D6C"/>
    <w:rsid w:val="000F7FC2"/>
    <w:rsid w:val="00101707"/>
    <w:rsid w:val="00102CC9"/>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7E9A"/>
    <w:rsid w:val="001B0F70"/>
    <w:rsid w:val="001B1763"/>
    <w:rsid w:val="001B33F5"/>
    <w:rsid w:val="001B5016"/>
    <w:rsid w:val="001C45FC"/>
    <w:rsid w:val="001D0469"/>
    <w:rsid w:val="001D3BAA"/>
    <w:rsid w:val="001D4862"/>
    <w:rsid w:val="001E25B9"/>
    <w:rsid w:val="001E49E0"/>
    <w:rsid w:val="001E6E59"/>
    <w:rsid w:val="001E7B5A"/>
    <w:rsid w:val="001F7412"/>
    <w:rsid w:val="00202DFE"/>
    <w:rsid w:val="0020725B"/>
    <w:rsid w:val="002110F1"/>
    <w:rsid w:val="002204B8"/>
    <w:rsid w:val="00223917"/>
    <w:rsid w:val="00224888"/>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1956"/>
    <w:rsid w:val="002F3440"/>
    <w:rsid w:val="002F75A3"/>
    <w:rsid w:val="00301D2B"/>
    <w:rsid w:val="00303C2F"/>
    <w:rsid w:val="00306500"/>
    <w:rsid w:val="003144EF"/>
    <w:rsid w:val="00323167"/>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67D1"/>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F49B5"/>
    <w:rsid w:val="004F5FDF"/>
    <w:rsid w:val="004F7B99"/>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5FB9"/>
    <w:rsid w:val="006661EF"/>
    <w:rsid w:val="00676F12"/>
    <w:rsid w:val="00677AEB"/>
    <w:rsid w:val="00680EF2"/>
    <w:rsid w:val="006844A8"/>
    <w:rsid w:val="00687A1D"/>
    <w:rsid w:val="0069730B"/>
    <w:rsid w:val="006978AB"/>
    <w:rsid w:val="00697EA1"/>
    <w:rsid w:val="006A2646"/>
    <w:rsid w:val="006A42F8"/>
    <w:rsid w:val="006A6530"/>
    <w:rsid w:val="006B3571"/>
    <w:rsid w:val="006B435A"/>
    <w:rsid w:val="006B4C64"/>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23F3"/>
    <w:rsid w:val="007D3699"/>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21B8C"/>
    <w:rsid w:val="0092565E"/>
    <w:rsid w:val="0093467C"/>
    <w:rsid w:val="00935386"/>
    <w:rsid w:val="00942123"/>
    <w:rsid w:val="009427E0"/>
    <w:rsid w:val="0095207B"/>
    <w:rsid w:val="00962045"/>
    <w:rsid w:val="00963D77"/>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313C"/>
    <w:rsid w:val="00A6627C"/>
    <w:rsid w:val="00A67795"/>
    <w:rsid w:val="00A71019"/>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F228E"/>
    <w:rsid w:val="00B016A8"/>
    <w:rsid w:val="00B01E81"/>
    <w:rsid w:val="00B10961"/>
    <w:rsid w:val="00B14819"/>
    <w:rsid w:val="00B15E2F"/>
    <w:rsid w:val="00B17AA9"/>
    <w:rsid w:val="00B27E6E"/>
    <w:rsid w:val="00B44713"/>
    <w:rsid w:val="00B56103"/>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D4A58"/>
    <w:rsid w:val="00BD7337"/>
    <w:rsid w:val="00BE4FF3"/>
    <w:rsid w:val="00BF0003"/>
    <w:rsid w:val="00BF1B3E"/>
    <w:rsid w:val="00BF50F7"/>
    <w:rsid w:val="00BF6B84"/>
    <w:rsid w:val="00C02F29"/>
    <w:rsid w:val="00C05A9F"/>
    <w:rsid w:val="00C20AFE"/>
    <w:rsid w:val="00C22A25"/>
    <w:rsid w:val="00C24FAB"/>
    <w:rsid w:val="00C26505"/>
    <w:rsid w:val="00C32CF3"/>
    <w:rsid w:val="00C35671"/>
    <w:rsid w:val="00C35B77"/>
    <w:rsid w:val="00C362AA"/>
    <w:rsid w:val="00C376EB"/>
    <w:rsid w:val="00C431ED"/>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A3857"/>
    <w:rsid w:val="00CA7E0E"/>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13691"/>
    <w:rsid w:val="00F13FB1"/>
    <w:rsid w:val="00F2223B"/>
    <w:rsid w:val="00F27CD8"/>
    <w:rsid w:val="00F30351"/>
    <w:rsid w:val="00F3323E"/>
    <w:rsid w:val="00F341F4"/>
    <w:rsid w:val="00F34F9D"/>
    <w:rsid w:val="00F35CCE"/>
    <w:rsid w:val="00F379F0"/>
    <w:rsid w:val="00F418CA"/>
    <w:rsid w:val="00F5524B"/>
    <w:rsid w:val="00F60538"/>
    <w:rsid w:val="00F61DD2"/>
    <w:rsid w:val="00F63187"/>
    <w:rsid w:val="00F66AFF"/>
    <w:rsid w:val="00F71246"/>
    <w:rsid w:val="00F71433"/>
    <w:rsid w:val="00F92140"/>
    <w:rsid w:val="00F97C5B"/>
    <w:rsid w:val="00FA3D50"/>
    <w:rsid w:val="00FB2838"/>
    <w:rsid w:val="00FB7FBD"/>
    <w:rsid w:val="00FC1665"/>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699"/>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241">
      <w:bodyDiv w:val="1"/>
      <w:marLeft w:val="0"/>
      <w:marRight w:val="0"/>
      <w:marTop w:val="0"/>
      <w:marBottom w:val="0"/>
      <w:divBdr>
        <w:top w:val="none" w:sz="0" w:space="0" w:color="auto"/>
        <w:left w:val="none" w:sz="0" w:space="0" w:color="auto"/>
        <w:bottom w:val="none" w:sz="0" w:space="0" w:color="auto"/>
        <w:right w:val="none" w:sz="0" w:space="0" w:color="auto"/>
      </w:divBdr>
    </w:div>
    <w:div w:id="69274126">
      <w:bodyDiv w:val="1"/>
      <w:marLeft w:val="0"/>
      <w:marRight w:val="0"/>
      <w:marTop w:val="0"/>
      <w:marBottom w:val="0"/>
      <w:divBdr>
        <w:top w:val="none" w:sz="0" w:space="0" w:color="auto"/>
        <w:left w:val="none" w:sz="0" w:space="0" w:color="auto"/>
        <w:bottom w:val="none" w:sz="0" w:space="0" w:color="auto"/>
        <w:right w:val="none" w:sz="0" w:space="0" w:color="auto"/>
      </w:divBdr>
    </w:div>
    <w:div w:id="283967575">
      <w:bodyDiv w:val="1"/>
      <w:marLeft w:val="0"/>
      <w:marRight w:val="0"/>
      <w:marTop w:val="0"/>
      <w:marBottom w:val="0"/>
      <w:divBdr>
        <w:top w:val="none" w:sz="0" w:space="0" w:color="auto"/>
        <w:left w:val="none" w:sz="0" w:space="0" w:color="auto"/>
        <w:bottom w:val="none" w:sz="0" w:space="0" w:color="auto"/>
        <w:right w:val="none" w:sz="0" w:space="0" w:color="auto"/>
      </w:divBdr>
    </w:div>
    <w:div w:id="310793438">
      <w:bodyDiv w:val="1"/>
      <w:marLeft w:val="0"/>
      <w:marRight w:val="0"/>
      <w:marTop w:val="0"/>
      <w:marBottom w:val="0"/>
      <w:divBdr>
        <w:top w:val="none" w:sz="0" w:space="0" w:color="auto"/>
        <w:left w:val="none" w:sz="0" w:space="0" w:color="auto"/>
        <w:bottom w:val="none" w:sz="0" w:space="0" w:color="auto"/>
        <w:right w:val="none" w:sz="0" w:space="0" w:color="auto"/>
      </w:divBdr>
    </w:div>
    <w:div w:id="349307437">
      <w:bodyDiv w:val="1"/>
      <w:marLeft w:val="0"/>
      <w:marRight w:val="0"/>
      <w:marTop w:val="0"/>
      <w:marBottom w:val="0"/>
      <w:divBdr>
        <w:top w:val="none" w:sz="0" w:space="0" w:color="auto"/>
        <w:left w:val="none" w:sz="0" w:space="0" w:color="auto"/>
        <w:bottom w:val="none" w:sz="0" w:space="0" w:color="auto"/>
        <w:right w:val="none" w:sz="0" w:space="0" w:color="auto"/>
      </w:divBdr>
    </w:div>
    <w:div w:id="47449319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28976562">
      <w:bodyDiv w:val="1"/>
      <w:marLeft w:val="0"/>
      <w:marRight w:val="0"/>
      <w:marTop w:val="0"/>
      <w:marBottom w:val="0"/>
      <w:divBdr>
        <w:top w:val="none" w:sz="0" w:space="0" w:color="auto"/>
        <w:left w:val="none" w:sz="0" w:space="0" w:color="auto"/>
        <w:bottom w:val="none" w:sz="0" w:space="0" w:color="auto"/>
        <w:right w:val="none" w:sz="0" w:space="0" w:color="auto"/>
      </w:divBdr>
      <w:divsChild>
        <w:div w:id="599263022">
          <w:marLeft w:val="0"/>
          <w:marRight w:val="0"/>
          <w:marTop w:val="0"/>
          <w:marBottom w:val="0"/>
          <w:divBdr>
            <w:top w:val="single" w:sz="2" w:space="0" w:color="E3E3E3"/>
            <w:left w:val="single" w:sz="2" w:space="0" w:color="E3E3E3"/>
            <w:bottom w:val="single" w:sz="2" w:space="0" w:color="E3E3E3"/>
            <w:right w:val="single" w:sz="2" w:space="0" w:color="E3E3E3"/>
          </w:divBdr>
          <w:divsChild>
            <w:div w:id="2002464078">
              <w:marLeft w:val="0"/>
              <w:marRight w:val="0"/>
              <w:marTop w:val="0"/>
              <w:marBottom w:val="0"/>
              <w:divBdr>
                <w:top w:val="single" w:sz="2" w:space="0" w:color="E3E3E3"/>
                <w:left w:val="single" w:sz="2" w:space="0" w:color="E3E3E3"/>
                <w:bottom w:val="single" w:sz="2" w:space="0" w:color="E3E3E3"/>
                <w:right w:val="single" w:sz="2" w:space="0" w:color="E3E3E3"/>
              </w:divBdr>
              <w:divsChild>
                <w:div w:id="1071388663">
                  <w:marLeft w:val="0"/>
                  <w:marRight w:val="0"/>
                  <w:marTop w:val="0"/>
                  <w:marBottom w:val="0"/>
                  <w:divBdr>
                    <w:top w:val="single" w:sz="2" w:space="0" w:color="E3E3E3"/>
                    <w:left w:val="single" w:sz="2" w:space="0" w:color="E3E3E3"/>
                    <w:bottom w:val="single" w:sz="2" w:space="0" w:color="E3E3E3"/>
                    <w:right w:val="single" w:sz="2" w:space="0" w:color="E3E3E3"/>
                  </w:divBdr>
                  <w:divsChild>
                    <w:div w:id="1705708373">
                      <w:marLeft w:val="0"/>
                      <w:marRight w:val="0"/>
                      <w:marTop w:val="0"/>
                      <w:marBottom w:val="0"/>
                      <w:divBdr>
                        <w:top w:val="single" w:sz="2" w:space="0" w:color="E3E3E3"/>
                        <w:left w:val="single" w:sz="2" w:space="0" w:color="E3E3E3"/>
                        <w:bottom w:val="single" w:sz="2" w:space="0" w:color="E3E3E3"/>
                        <w:right w:val="single" w:sz="2" w:space="0" w:color="E3E3E3"/>
                      </w:divBdr>
                      <w:divsChild>
                        <w:div w:id="5153400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52816965">
          <w:marLeft w:val="0"/>
          <w:marRight w:val="0"/>
          <w:marTop w:val="0"/>
          <w:marBottom w:val="0"/>
          <w:divBdr>
            <w:top w:val="single" w:sz="2" w:space="0" w:color="E3E3E3"/>
            <w:left w:val="single" w:sz="2" w:space="0" w:color="E3E3E3"/>
            <w:bottom w:val="single" w:sz="2" w:space="0" w:color="E3E3E3"/>
            <w:right w:val="single" w:sz="2" w:space="0" w:color="E3E3E3"/>
          </w:divBdr>
          <w:divsChild>
            <w:div w:id="810558508">
              <w:marLeft w:val="0"/>
              <w:marRight w:val="0"/>
              <w:marTop w:val="0"/>
              <w:marBottom w:val="0"/>
              <w:divBdr>
                <w:top w:val="single" w:sz="2" w:space="0" w:color="E3E3E3"/>
                <w:left w:val="single" w:sz="2" w:space="0" w:color="E3E3E3"/>
                <w:bottom w:val="single" w:sz="2" w:space="0" w:color="E3E3E3"/>
                <w:right w:val="single" w:sz="2" w:space="0" w:color="E3E3E3"/>
              </w:divBdr>
              <w:divsChild>
                <w:div w:id="351108543">
                  <w:marLeft w:val="0"/>
                  <w:marRight w:val="0"/>
                  <w:marTop w:val="0"/>
                  <w:marBottom w:val="0"/>
                  <w:divBdr>
                    <w:top w:val="single" w:sz="2" w:space="0" w:color="E3E3E3"/>
                    <w:left w:val="single" w:sz="2" w:space="0" w:color="E3E3E3"/>
                    <w:bottom w:val="single" w:sz="2" w:space="0" w:color="E3E3E3"/>
                    <w:right w:val="single" w:sz="2" w:space="0" w:color="E3E3E3"/>
                  </w:divBdr>
                  <w:divsChild>
                    <w:div w:id="541599504">
                      <w:marLeft w:val="0"/>
                      <w:marRight w:val="0"/>
                      <w:marTop w:val="0"/>
                      <w:marBottom w:val="0"/>
                      <w:divBdr>
                        <w:top w:val="single" w:sz="2" w:space="0" w:color="E3E3E3"/>
                        <w:left w:val="single" w:sz="2" w:space="0" w:color="E3E3E3"/>
                        <w:bottom w:val="single" w:sz="2" w:space="0" w:color="E3E3E3"/>
                        <w:right w:val="single" w:sz="2" w:space="0" w:color="E3E3E3"/>
                      </w:divBdr>
                      <w:divsChild>
                        <w:div w:id="589478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85218660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4468556">
      <w:bodyDiv w:val="1"/>
      <w:marLeft w:val="0"/>
      <w:marRight w:val="0"/>
      <w:marTop w:val="0"/>
      <w:marBottom w:val="0"/>
      <w:divBdr>
        <w:top w:val="none" w:sz="0" w:space="0" w:color="auto"/>
        <w:left w:val="none" w:sz="0" w:space="0" w:color="auto"/>
        <w:bottom w:val="none" w:sz="0" w:space="0" w:color="auto"/>
        <w:right w:val="none" w:sz="0" w:space="0" w:color="auto"/>
      </w:divBdr>
    </w:div>
    <w:div w:id="949243306">
      <w:bodyDiv w:val="1"/>
      <w:marLeft w:val="0"/>
      <w:marRight w:val="0"/>
      <w:marTop w:val="0"/>
      <w:marBottom w:val="0"/>
      <w:divBdr>
        <w:top w:val="none" w:sz="0" w:space="0" w:color="auto"/>
        <w:left w:val="none" w:sz="0" w:space="0" w:color="auto"/>
        <w:bottom w:val="none" w:sz="0" w:space="0" w:color="auto"/>
        <w:right w:val="none" w:sz="0" w:space="0" w:color="auto"/>
      </w:divBdr>
    </w:div>
    <w:div w:id="968977048">
      <w:bodyDiv w:val="1"/>
      <w:marLeft w:val="0"/>
      <w:marRight w:val="0"/>
      <w:marTop w:val="0"/>
      <w:marBottom w:val="0"/>
      <w:divBdr>
        <w:top w:val="none" w:sz="0" w:space="0" w:color="auto"/>
        <w:left w:val="none" w:sz="0" w:space="0" w:color="auto"/>
        <w:bottom w:val="none" w:sz="0" w:space="0" w:color="auto"/>
        <w:right w:val="none" w:sz="0" w:space="0" w:color="auto"/>
      </w:divBdr>
    </w:div>
    <w:div w:id="1010913416">
      <w:bodyDiv w:val="1"/>
      <w:marLeft w:val="0"/>
      <w:marRight w:val="0"/>
      <w:marTop w:val="0"/>
      <w:marBottom w:val="0"/>
      <w:divBdr>
        <w:top w:val="none" w:sz="0" w:space="0" w:color="auto"/>
        <w:left w:val="none" w:sz="0" w:space="0" w:color="auto"/>
        <w:bottom w:val="none" w:sz="0" w:space="0" w:color="auto"/>
        <w:right w:val="none" w:sz="0" w:space="0" w:color="auto"/>
      </w:divBdr>
    </w:div>
    <w:div w:id="1060205842">
      <w:bodyDiv w:val="1"/>
      <w:marLeft w:val="0"/>
      <w:marRight w:val="0"/>
      <w:marTop w:val="0"/>
      <w:marBottom w:val="0"/>
      <w:divBdr>
        <w:top w:val="none" w:sz="0" w:space="0" w:color="auto"/>
        <w:left w:val="none" w:sz="0" w:space="0" w:color="auto"/>
        <w:bottom w:val="none" w:sz="0" w:space="0" w:color="auto"/>
        <w:right w:val="none" w:sz="0" w:space="0" w:color="auto"/>
      </w:divBdr>
    </w:div>
    <w:div w:id="1117604063">
      <w:bodyDiv w:val="1"/>
      <w:marLeft w:val="0"/>
      <w:marRight w:val="0"/>
      <w:marTop w:val="0"/>
      <w:marBottom w:val="0"/>
      <w:divBdr>
        <w:top w:val="none" w:sz="0" w:space="0" w:color="auto"/>
        <w:left w:val="none" w:sz="0" w:space="0" w:color="auto"/>
        <w:bottom w:val="none" w:sz="0" w:space="0" w:color="auto"/>
        <w:right w:val="none" w:sz="0" w:space="0" w:color="auto"/>
      </w:divBdr>
    </w:div>
    <w:div w:id="1130126854">
      <w:bodyDiv w:val="1"/>
      <w:marLeft w:val="0"/>
      <w:marRight w:val="0"/>
      <w:marTop w:val="0"/>
      <w:marBottom w:val="0"/>
      <w:divBdr>
        <w:top w:val="none" w:sz="0" w:space="0" w:color="auto"/>
        <w:left w:val="none" w:sz="0" w:space="0" w:color="auto"/>
        <w:bottom w:val="none" w:sz="0" w:space="0" w:color="auto"/>
        <w:right w:val="none" w:sz="0" w:space="0" w:color="auto"/>
      </w:divBdr>
    </w:div>
    <w:div w:id="1432625419">
      <w:bodyDiv w:val="1"/>
      <w:marLeft w:val="0"/>
      <w:marRight w:val="0"/>
      <w:marTop w:val="0"/>
      <w:marBottom w:val="0"/>
      <w:divBdr>
        <w:top w:val="none" w:sz="0" w:space="0" w:color="auto"/>
        <w:left w:val="none" w:sz="0" w:space="0" w:color="auto"/>
        <w:bottom w:val="none" w:sz="0" w:space="0" w:color="auto"/>
        <w:right w:val="none" w:sz="0" w:space="0" w:color="auto"/>
      </w:divBdr>
    </w:div>
    <w:div w:id="1499686684">
      <w:bodyDiv w:val="1"/>
      <w:marLeft w:val="0"/>
      <w:marRight w:val="0"/>
      <w:marTop w:val="0"/>
      <w:marBottom w:val="0"/>
      <w:divBdr>
        <w:top w:val="none" w:sz="0" w:space="0" w:color="auto"/>
        <w:left w:val="none" w:sz="0" w:space="0" w:color="auto"/>
        <w:bottom w:val="none" w:sz="0" w:space="0" w:color="auto"/>
        <w:right w:val="none" w:sz="0" w:space="0" w:color="auto"/>
      </w:divBdr>
    </w:div>
    <w:div w:id="1624965885">
      <w:bodyDiv w:val="1"/>
      <w:marLeft w:val="0"/>
      <w:marRight w:val="0"/>
      <w:marTop w:val="0"/>
      <w:marBottom w:val="0"/>
      <w:divBdr>
        <w:top w:val="none" w:sz="0" w:space="0" w:color="auto"/>
        <w:left w:val="none" w:sz="0" w:space="0" w:color="auto"/>
        <w:bottom w:val="none" w:sz="0" w:space="0" w:color="auto"/>
        <w:right w:val="none" w:sz="0" w:space="0" w:color="auto"/>
      </w:divBdr>
    </w:div>
    <w:div w:id="1682858362">
      <w:bodyDiv w:val="1"/>
      <w:marLeft w:val="0"/>
      <w:marRight w:val="0"/>
      <w:marTop w:val="0"/>
      <w:marBottom w:val="0"/>
      <w:divBdr>
        <w:top w:val="none" w:sz="0" w:space="0" w:color="auto"/>
        <w:left w:val="none" w:sz="0" w:space="0" w:color="auto"/>
        <w:bottom w:val="none" w:sz="0" w:space="0" w:color="auto"/>
        <w:right w:val="none" w:sz="0" w:space="0" w:color="auto"/>
      </w:divBdr>
    </w:div>
    <w:div w:id="1724596042">
      <w:bodyDiv w:val="1"/>
      <w:marLeft w:val="0"/>
      <w:marRight w:val="0"/>
      <w:marTop w:val="0"/>
      <w:marBottom w:val="0"/>
      <w:divBdr>
        <w:top w:val="none" w:sz="0" w:space="0" w:color="auto"/>
        <w:left w:val="none" w:sz="0" w:space="0" w:color="auto"/>
        <w:bottom w:val="none" w:sz="0" w:space="0" w:color="auto"/>
        <w:right w:val="none" w:sz="0" w:space="0" w:color="auto"/>
      </w:divBdr>
      <w:divsChild>
        <w:div w:id="1759520631">
          <w:marLeft w:val="0"/>
          <w:marRight w:val="0"/>
          <w:marTop w:val="0"/>
          <w:marBottom w:val="0"/>
          <w:divBdr>
            <w:top w:val="single" w:sz="2" w:space="0" w:color="E3E3E3"/>
            <w:left w:val="single" w:sz="2" w:space="0" w:color="E3E3E3"/>
            <w:bottom w:val="single" w:sz="2" w:space="0" w:color="E3E3E3"/>
            <w:right w:val="single" w:sz="2" w:space="0" w:color="E3E3E3"/>
          </w:divBdr>
          <w:divsChild>
            <w:div w:id="1619145804">
              <w:marLeft w:val="0"/>
              <w:marRight w:val="0"/>
              <w:marTop w:val="0"/>
              <w:marBottom w:val="0"/>
              <w:divBdr>
                <w:top w:val="single" w:sz="2" w:space="0" w:color="E3E3E3"/>
                <w:left w:val="single" w:sz="2" w:space="0" w:color="E3E3E3"/>
                <w:bottom w:val="single" w:sz="2" w:space="0" w:color="E3E3E3"/>
                <w:right w:val="single" w:sz="2" w:space="0" w:color="E3E3E3"/>
              </w:divBdr>
              <w:divsChild>
                <w:div w:id="1929002835">
                  <w:marLeft w:val="0"/>
                  <w:marRight w:val="0"/>
                  <w:marTop w:val="0"/>
                  <w:marBottom w:val="0"/>
                  <w:divBdr>
                    <w:top w:val="single" w:sz="2" w:space="0" w:color="E3E3E3"/>
                    <w:left w:val="single" w:sz="2" w:space="0" w:color="E3E3E3"/>
                    <w:bottom w:val="single" w:sz="2" w:space="0" w:color="E3E3E3"/>
                    <w:right w:val="single" w:sz="2" w:space="0" w:color="E3E3E3"/>
                  </w:divBdr>
                  <w:divsChild>
                    <w:div w:id="872812715">
                      <w:marLeft w:val="0"/>
                      <w:marRight w:val="0"/>
                      <w:marTop w:val="0"/>
                      <w:marBottom w:val="0"/>
                      <w:divBdr>
                        <w:top w:val="single" w:sz="2" w:space="0" w:color="E3E3E3"/>
                        <w:left w:val="single" w:sz="2" w:space="0" w:color="E3E3E3"/>
                        <w:bottom w:val="single" w:sz="2" w:space="0" w:color="E3E3E3"/>
                        <w:right w:val="single" w:sz="2" w:space="0" w:color="E3E3E3"/>
                      </w:divBdr>
                      <w:divsChild>
                        <w:div w:id="13919999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06520082">
          <w:marLeft w:val="0"/>
          <w:marRight w:val="0"/>
          <w:marTop w:val="0"/>
          <w:marBottom w:val="0"/>
          <w:divBdr>
            <w:top w:val="single" w:sz="2" w:space="0" w:color="E3E3E3"/>
            <w:left w:val="single" w:sz="2" w:space="0" w:color="E3E3E3"/>
            <w:bottom w:val="single" w:sz="2" w:space="0" w:color="E3E3E3"/>
            <w:right w:val="single" w:sz="2" w:space="0" w:color="E3E3E3"/>
          </w:divBdr>
          <w:divsChild>
            <w:div w:id="367490720">
              <w:marLeft w:val="0"/>
              <w:marRight w:val="0"/>
              <w:marTop w:val="0"/>
              <w:marBottom w:val="0"/>
              <w:divBdr>
                <w:top w:val="single" w:sz="2" w:space="0" w:color="E3E3E3"/>
                <w:left w:val="single" w:sz="2" w:space="0" w:color="E3E3E3"/>
                <w:bottom w:val="single" w:sz="2" w:space="0" w:color="E3E3E3"/>
                <w:right w:val="single" w:sz="2" w:space="0" w:color="E3E3E3"/>
              </w:divBdr>
              <w:divsChild>
                <w:div w:id="768626607">
                  <w:marLeft w:val="0"/>
                  <w:marRight w:val="0"/>
                  <w:marTop w:val="0"/>
                  <w:marBottom w:val="0"/>
                  <w:divBdr>
                    <w:top w:val="single" w:sz="2" w:space="0" w:color="E3E3E3"/>
                    <w:left w:val="single" w:sz="2" w:space="0" w:color="E3E3E3"/>
                    <w:bottom w:val="single" w:sz="2" w:space="0" w:color="E3E3E3"/>
                    <w:right w:val="single" w:sz="2" w:space="0" w:color="E3E3E3"/>
                  </w:divBdr>
                  <w:divsChild>
                    <w:div w:id="20668254">
                      <w:marLeft w:val="0"/>
                      <w:marRight w:val="0"/>
                      <w:marTop w:val="0"/>
                      <w:marBottom w:val="0"/>
                      <w:divBdr>
                        <w:top w:val="single" w:sz="2" w:space="0" w:color="E3E3E3"/>
                        <w:left w:val="single" w:sz="2" w:space="0" w:color="E3E3E3"/>
                        <w:bottom w:val="single" w:sz="2" w:space="0" w:color="E3E3E3"/>
                        <w:right w:val="single" w:sz="2" w:space="0" w:color="E3E3E3"/>
                      </w:divBdr>
                      <w:divsChild>
                        <w:div w:id="15442926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756241822">
      <w:bodyDiv w:val="1"/>
      <w:marLeft w:val="0"/>
      <w:marRight w:val="0"/>
      <w:marTop w:val="0"/>
      <w:marBottom w:val="0"/>
      <w:divBdr>
        <w:top w:val="none" w:sz="0" w:space="0" w:color="auto"/>
        <w:left w:val="none" w:sz="0" w:space="0" w:color="auto"/>
        <w:bottom w:val="none" w:sz="0" w:space="0" w:color="auto"/>
        <w:right w:val="none" w:sz="0" w:space="0" w:color="auto"/>
      </w:divBdr>
    </w:div>
    <w:div w:id="1756828553">
      <w:bodyDiv w:val="1"/>
      <w:marLeft w:val="0"/>
      <w:marRight w:val="0"/>
      <w:marTop w:val="0"/>
      <w:marBottom w:val="0"/>
      <w:divBdr>
        <w:top w:val="none" w:sz="0" w:space="0" w:color="auto"/>
        <w:left w:val="none" w:sz="0" w:space="0" w:color="auto"/>
        <w:bottom w:val="none" w:sz="0" w:space="0" w:color="auto"/>
        <w:right w:val="none" w:sz="0" w:space="0" w:color="auto"/>
      </w:divBdr>
    </w:div>
    <w:div w:id="1766996002">
      <w:bodyDiv w:val="1"/>
      <w:marLeft w:val="0"/>
      <w:marRight w:val="0"/>
      <w:marTop w:val="0"/>
      <w:marBottom w:val="0"/>
      <w:divBdr>
        <w:top w:val="none" w:sz="0" w:space="0" w:color="auto"/>
        <w:left w:val="none" w:sz="0" w:space="0" w:color="auto"/>
        <w:bottom w:val="none" w:sz="0" w:space="0" w:color="auto"/>
        <w:right w:val="none" w:sz="0" w:space="0" w:color="auto"/>
      </w:divBdr>
    </w:div>
    <w:div w:id="181784386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5002</Words>
  <Characters>28517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Zhi Kai Yeo</cp:lastModifiedBy>
  <cp:revision>3</cp:revision>
  <cp:lastPrinted>2019-08-27T05:42:00Z</cp:lastPrinted>
  <dcterms:created xsi:type="dcterms:W3CDTF">2024-03-01T21:28:00Z</dcterms:created>
  <dcterms:modified xsi:type="dcterms:W3CDTF">2024-03-01T21:29:00Z</dcterms:modified>
</cp:coreProperties>
</file>