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86661C">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7D32D0"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7D32D0">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D0E59">
      <w:pPr>
        <w:pStyle w:val="ListParagraph"/>
        <w:numPr>
          <w:ilvl w:val="0"/>
          <w:numId w:val="50"/>
        </w:numPr>
        <w:ind w:left="426" w:hanging="426"/>
        <w:jc w:val="both"/>
        <w:rPr>
          <w:rFonts w:ascii="Avenir Next" w:hAnsi="Avenir Next" w:cs="Arial"/>
          <w:sz w:val="22"/>
          <w:szCs w:val="22"/>
          <w:lang w:val="en-GB"/>
        </w:rPr>
      </w:pPr>
      <w:r w:rsidRPr="004E1674">
        <w:rPr>
          <w:rFonts w:ascii="Avenir Next" w:hAnsi="Avenir Next" w:cs="Arial"/>
          <w:sz w:val="22"/>
          <w:szCs w:val="22"/>
          <w:lang w:val="en-GB"/>
        </w:rPr>
        <w:lastRenderedPageBreak/>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822556"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822556">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822556"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822556">
        <w:rPr>
          <w:rFonts w:ascii="Avenir Next" w:hAnsi="Avenir Next" w:cs="Arial"/>
          <w:sz w:val="22"/>
          <w:szCs w:val="22"/>
          <w:highlight w:val="yellow"/>
          <w:lang w:val="en-GB"/>
        </w:rPr>
        <w:t>Options (</w:t>
      </w:r>
      <w:proofErr w:type="spellStart"/>
      <w:r w:rsidRPr="00822556">
        <w:rPr>
          <w:rFonts w:ascii="Avenir Next" w:hAnsi="Avenir Next" w:cs="Arial"/>
          <w:sz w:val="22"/>
          <w:szCs w:val="22"/>
          <w:highlight w:val="yellow"/>
          <w:lang w:val="en-GB"/>
        </w:rPr>
        <w:t>i</w:t>
      </w:r>
      <w:proofErr w:type="spellEnd"/>
      <w:r w:rsidRPr="00822556">
        <w:rPr>
          <w:rFonts w:ascii="Avenir Next" w:hAnsi="Avenir Next" w:cs="Arial"/>
          <w:sz w:val="22"/>
          <w:szCs w:val="22"/>
          <w:highlight w:val="yellow"/>
          <w:lang w:val="en-GB"/>
        </w:rPr>
        <w:t>), (ii) and (iv).</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893A03">
      <w:pPr>
        <w:pStyle w:val="ListParagraph"/>
        <w:numPr>
          <w:ilvl w:val="0"/>
          <w:numId w:val="16"/>
        </w:numPr>
        <w:ind w:left="426" w:hanging="426"/>
        <w:jc w:val="both"/>
        <w:rPr>
          <w:rFonts w:ascii="Avenir Next" w:hAnsi="Avenir Next" w:cs="Arial"/>
          <w:sz w:val="22"/>
          <w:szCs w:val="22"/>
          <w:lang w:val="en-GB"/>
        </w:rPr>
      </w:pPr>
      <w:r w:rsidRPr="00893A03">
        <w:rPr>
          <w:rFonts w:ascii="Avenir Next" w:hAnsi="Avenir Next" w:cs="Arial"/>
          <w:sz w:val="22"/>
          <w:szCs w:val="22"/>
          <w:lang w:val="en-GB"/>
        </w:rPr>
        <w:t>Options (</w:t>
      </w:r>
      <w:proofErr w:type="spellStart"/>
      <w:r w:rsidRPr="00893A03">
        <w:rPr>
          <w:rFonts w:ascii="Avenir Next" w:hAnsi="Avenir Next" w:cs="Arial"/>
          <w:sz w:val="22"/>
          <w:szCs w:val="22"/>
          <w:lang w:val="en-GB"/>
        </w:rPr>
        <w:t>i</w:t>
      </w:r>
      <w:proofErr w:type="spellEnd"/>
      <w:r w:rsidRPr="00893A03">
        <w:rPr>
          <w:rFonts w:ascii="Avenir Next" w:hAnsi="Avenir Next" w:cs="Arial"/>
          <w:sz w:val="22"/>
          <w:szCs w:val="22"/>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812AFE" w:rsidRDefault="00812AFE" w:rsidP="00C00111">
      <w:pPr>
        <w:pStyle w:val="ListParagraph"/>
        <w:numPr>
          <w:ilvl w:val="0"/>
          <w:numId w:val="18"/>
        </w:numPr>
        <w:ind w:left="426" w:hanging="426"/>
        <w:jc w:val="both"/>
        <w:rPr>
          <w:rFonts w:ascii="Avenir Next" w:hAnsi="Avenir Next" w:cs="Arial"/>
          <w:sz w:val="22"/>
          <w:szCs w:val="22"/>
          <w:lang w:val="en-GB"/>
        </w:rPr>
      </w:pPr>
      <w:r w:rsidRPr="00812AFE">
        <w:rPr>
          <w:rFonts w:ascii="Avenir Next" w:hAnsi="Avenir Next" w:cs="Arial"/>
          <w:sz w:val="22"/>
          <w:szCs w:val="22"/>
          <w:lang w:val="en-GB"/>
        </w:rPr>
        <w:t>Options (</w:t>
      </w:r>
      <w:proofErr w:type="spellStart"/>
      <w:r w:rsidRPr="00812AFE">
        <w:rPr>
          <w:rFonts w:ascii="Avenir Next" w:hAnsi="Avenir Next" w:cs="Arial"/>
          <w:sz w:val="22"/>
          <w:szCs w:val="22"/>
          <w:lang w:val="en-GB"/>
        </w:rPr>
        <w:t>i</w:t>
      </w:r>
      <w:proofErr w:type="spellEnd"/>
      <w:r w:rsidRPr="00812AFE">
        <w:rPr>
          <w:rFonts w:ascii="Avenir Next" w:hAnsi="Avenir Next" w:cs="Arial"/>
          <w:sz w:val="22"/>
          <w:szCs w:val="22"/>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822556"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822556">
        <w:rPr>
          <w:rFonts w:ascii="Avenir Next" w:hAnsi="Avenir Next" w:cs="Arial"/>
          <w:sz w:val="22"/>
          <w:szCs w:val="22"/>
          <w:highlight w:val="yellow"/>
          <w:lang w:val="en-GB"/>
        </w:rPr>
        <w:t>Options (ii), (iii) and (v).</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822556"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822556">
        <w:rPr>
          <w:rFonts w:ascii="Avenir Next" w:hAnsi="Avenir Next" w:cs="Arial"/>
          <w:sz w:val="22"/>
          <w:szCs w:val="22"/>
          <w:highlight w:val="yellow"/>
          <w:lang w:val="en-GB"/>
        </w:rPr>
        <w:t>Options (</w:t>
      </w:r>
      <w:proofErr w:type="spellStart"/>
      <w:r w:rsidRPr="00822556">
        <w:rPr>
          <w:rFonts w:ascii="Avenir Next" w:hAnsi="Avenir Next" w:cs="Arial"/>
          <w:sz w:val="22"/>
          <w:szCs w:val="22"/>
          <w:highlight w:val="yellow"/>
          <w:lang w:val="en-GB"/>
        </w:rPr>
        <w:t>i</w:t>
      </w:r>
      <w:proofErr w:type="spellEnd"/>
      <w:r w:rsidRPr="00822556">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w:t>
      </w:r>
      <w:r w:rsidRPr="00935FB2">
        <w:rPr>
          <w:rFonts w:ascii="Avenir Next" w:hAnsi="Avenir Next"/>
          <w:sz w:val="22"/>
          <w:szCs w:val="28"/>
          <w:lang w:val="en-GB"/>
        </w:rPr>
        <w:lastRenderedPageBreak/>
        <w:t xml:space="preserve">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ListParagraph"/>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822556"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822556">
        <w:rPr>
          <w:rFonts w:ascii="Avenir Next" w:hAnsi="Avenir Next" w:cs="Arial"/>
          <w:sz w:val="22"/>
          <w:szCs w:val="22"/>
          <w:highlight w:val="yellow"/>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822556"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822556">
        <w:rPr>
          <w:rFonts w:ascii="Avenir Next" w:hAnsi="Avenir Next" w:cs="Arial"/>
          <w:sz w:val="22"/>
          <w:szCs w:val="22"/>
          <w:highlight w:val="yellow"/>
          <w:lang w:val="en-GB"/>
        </w:rPr>
        <w:t>Options (</w:t>
      </w:r>
      <w:proofErr w:type="spellStart"/>
      <w:r w:rsidRPr="00822556">
        <w:rPr>
          <w:rFonts w:ascii="Avenir Next" w:hAnsi="Avenir Next" w:cs="Arial"/>
          <w:sz w:val="22"/>
          <w:szCs w:val="22"/>
          <w:highlight w:val="yellow"/>
          <w:lang w:val="en-GB"/>
        </w:rPr>
        <w:t>i</w:t>
      </w:r>
      <w:proofErr w:type="spellEnd"/>
      <w:r w:rsidRPr="00822556">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lastRenderedPageBreak/>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7337E">
      <w:pPr>
        <w:pStyle w:val="ListParagraph"/>
        <w:numPr>
          <w:ilvl w:val="0"/>
          <w:numId w:val="28"/>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822556" w:rsidRDefault="0097337E" w:rsidP="0097337E">
      <w:pPr>
        <w:pStyle w:val="ListParagraph"/>
        <w:numPr>
          <w:ilvl w:val="0"/>
          <w:numId w:val="28"/>
        </w:numPr>
        <w:ind w:left="426" w:hanging="426"/>
        <w:jc w:val="both"/>
        <w:rPr>
          <w:rFonts w:ascii="Avenir Next" w:hAnsi="Avenir Next" w:cs="Arial"/>
          <w:sz w:val="22"/>
          <w:szCs w:val="22"/>
          <w:highlight w:val="yellow"/>
          <w:lang w:val="en-GB"/>
        </w:rPr>
      </w:pPr>
      <w:r w:rsidRPr="00822556">
        <w:rPr>
          <w:rFonts w:ascii="Avenir Next" w:hAnsi="Avenir Next" w:cs="Arial"/>
          <w:sz w:val="22"/>
          <w:szCs w:val="22"/>
          <w:highlight w:val="yellow"/>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822556"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822556">
        <w:rPr>
          <w:rFonts w:ascii="Avenir Next" w:hAnsi="Avenir Next" w:cs="Arial"/>
          <w:sz w:val="22"/>
          <w:szCs w:val="22"/>
          <w:highlight w:val="yellow"/>
          <w:lang w:val="en-GB"/>
        </w:rPr>
        <w:t>Options (iii), (</w:t>
      </w:r>
      <w:proofErr w:type="spellStart"/>
      <w:r w:rsidRPr="00822556">
        <w:rPr>
          <w:rFonts w:ascii="Avenir Next" w:hAnsi="Avenir Next" w:cs="Arial"/>
          <w:sz w:val="22"/>
          <w:szCs w:val="22"/>
          <w:highlight w:val="yellow"/>
          <w:lang w:val="en-GB"/>
        </w:rPr>
        <w:t>i</w:t>
      </w:r>
      <w:proofErr w:type="spellEnd"/>
      <w:r w:rsidRPr="00822556">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7C213D"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7C213D">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5628F367" w14:textId="77777777" w:rsidR="00EE664D" w:rsidRDefault="00EE664D" w:rsidP="00EE664D">
      <w:pPr>
        <w:jc w:val="both"/>
        <w:rPr>
          <w:rFonts w:ascii="Avenir Next" w:hAnsi="Avenir Next" w:cs="Arial"/>
          <w:color w:val="808080" w:themeColor="background1" w:themeShade="80"/>
          <w:sz w:val="22"/>
          <w:szCs w:val="22"/>
          <w:lang w:val="en-GB"/>
        </w:rPr>
      </w:pPr>
      <w:r w:rsidRPr="00EE664D">
        <w:rPr>
          <w:rFonts w:ascii="Avenir Next" w:hAnsi="Avenir Next" w:cs="Arial"/>
          <w:color w:val="808080" w:themeColor="background1" w:themeShade="80"/>
          <w:sz w:val="22"/>
          <w:szCs w:val="22"/>
          <w:lang w:val="en-GB"/>
        </w:rPr>
        <w:t>The key distinction between the application of the UNCITRAL Model Law on Cross-Border Insolvency (MLCBI) and the European Union (EU) Regulation on insolvency proceedings lies in their scope and approach to cross-border insolvency cases. The MLCBI provides a framework for the recognition of foreign insolvency proceedings and cooperation between jurisdictions without being limited to any specific region. It is designed to facilitate coordination and offer relief in cross-border insolvency cases on a global scale, allowing a wide range of countries to adopt and tailor the Model Law to their domestic legal systems.</w:t>
      </w:r>
    </w:p>
    <w:p w14:paraId="37C56E48" w14:textId="77777777" w:rsidR="00EE664D" w:rsidRPr="00EE664D" w:rsidRDefault="00EE664D" w:rsidP="00EE664D">
      <w:pPr>
        <w:ind w:left="720" w:hanging="720"/>
        <w:jc w:val="both"/>
        <w:rPr>
          <w:rFonts w:ascii="Avenir Next" w:hAnsi="Avenir Next" w:cs="Arial"/>
          <w:color w:val="808080" w:themeColor="background1" w:themeShade="80"/>
          <w:sz w:val="22"/>
          <w:szCs w:val="22"/>
          <w:lang w:val="en-GB"/>
        </w:rPr>
      </w:pPr>
    </w:p>
    <w:p w14:paraId="7C0E9F9D" w14:textId="77777777" w:rsidR="00EE664D" w:rsidRDefault="00EE664D" w:rsidP="00EE664D">
      <w:pPr>
        <w:jc w:val="both"/>
        <w:rPr>
          <w:rFonts w:ascii="Avenir Next" w:hAnsi="Avenir Next" w:cs="Arial"/>
          <w:color w:val="808080" w:themeColor="background1" w:themeShade="80"/>
          <w:sz w:val="22"/>
          <w:szCs w:val="22"/>
          <w:lang w:val="en-GB"/>
        </w:rPr>
      </w:pPr>
      <w:r w:rsidRPr="00EE664D">
        <w:rPr>
          <w:rFonts w:ascii="Avenir Next" w:hAnsi="Avenir Next" w:cs="Arial"/>
          <w:color w:val="808080" w:themeColor="background1" w:themeShade="80"/>
          <w:sz w:val="22"/>
          <w:szCs w:val="22"/>
          <w:lang w:val="en-GB"/>
        </w:rPr>
        <w:t>In contrast, the EU Regulation on insolvency proceedings is region-specific, applying only to EU Member States (excluding Denmark). It establishes a set of rules to determine jurisdiction for opening insolvency proceedings and recognizes the principle of mutual recognition of insolvency proceedings across the EU. This regulation is designed to ensure that insolvency proceedings that are opened in one EU Member State are recognized across all other Member States, thereby facilitating the smooth administration of cross-border insolvencies within the EU.</w:t>
      </w:r>
    </w:p>
    <w:p w14:paraId="0FD9B150" w14:textId="77777777" w:rsidR="00EE664D" w:rsidRPr="00EE664D" w:rsidRDefault="00EE664D" w:rsidP="00EE664D">
      <w:pPr>
        <w:ind w:left="720" w:hanging="720"/>
        <w:jc w:val="both"/>
        <w:rPr>
          <w:rFonts w:ascii="Avenir Next" w:hAnsi="Avenir Next" w:cs="Arial"/>
          <w:color w:val="808080" w:themeColor="background1" w:themeShade="80"/>
          <w:sz w:val="22"/>
          <w:szCs w:val="22"/>
          <w:lang w:val="en-GB"/>
        </w:rPr>
      </w:pPr>
    </w:p>
    <w:p w14:paraId="580E4B23" w14:textId="77777777" w:rsidR="00EE664D" w:rsidRDefault="00EE664D" w:rsidP="00EE664D">
      <w:pPr>
        <w:jc w:val="both"/>
        <w:rPr>
          <w:rFonts w:ascii="Avenir Next" w:hAnsi="Avenir Next" w:cs="Arial"/>
          <w:color w:val="808080" w:themeColor="background1" w:themeShade="80"/>
          <w:sz w:val="22"/>
          <w:szCs w:val="22"/>
          <w:lang w:val="en-GB"/>
        </w:rPr>
      </w:pPr>
      <w:r w:rsidRPr="00EE664D">
        <w:rPr>
          <w:rFonts w:ascii="Avenir Next" w:hAnsi="Avenir Next" w:cs="Arial"/>
          <w:b/>
          <w:bCs/>
          <w:color w:val="808080" w:themeColor="background1" w:themeShade="80"/>
          <w:sz w:val="22"/>
          <w:szCs w:val="22"/>
          <w:lang w:val="en-GB"/>
        </w:rPr>
        <w:t>Key Benefit of MLCBI</w:t>
      </w:r>
      <w:r w:rsidRPr="00EE664D">
        <w:rPr>
          <w:rFonts w:ascii="Avenir Next" w:hAnsi="Avenir Next" w:cs="Arial"/>
          <w:color w:val="808080" w:themeColor="background1" w:themeShade="80"/>
          <w:sz w:val="22"/>
          <w:szCs w:val="22"/>
          <w:lang w:val="en-GB"/>
        </w:rPr>
        <w:t>: Its global applicability provides a flexible framework that non-EU countries can adopt, facilitating international cooperation in cross-border insolvency cases. This universality helps promote legal certainty and efficiency in the resolution of cross-border insolvencies on a worldwide basis.</w:t>
      </w:r>
    </w:p>
    <w:p w14:paraId="720A4893" w14:textId="77777777" w:rsidR="00EE664D" w:rsidRPr="00EE664D" w:rsidRDefault="00EE664D" w:rsidP="00EE664D">
      <w:pPr>
        <w:ind w:left="720" w:hanging="720"/>
        <w:jc w:val="both"/>
        <w:rPr>
          <w:rFonts w:ascii="Avenir Next" w:hAnsi="Avenir Next" w:cs="Arial"/>
          <w:color w:val="808080" w:themeColor="background1" w:themeShade="80"/>
          <w:sz w:val="22"/>
          <w:szCs w:val="22"/>
          <w:lang w:val="en-GB"/>
        </w:rPr>
      </w:pPr>
    </w:p>
    <w:p w14:paraId="3765565B" w14:textId="77777777" w:rsidR="00EE664D" w:rsidRDefault="00EE664D" w:rsidP="00EE664D">
      <w:pPr>
        <w:jc w:val="both"/>
        <w:rPr>
          <w:rFonts w:ascii="Avenir Next" w:hAnsi="Avenir Next" w:cs="Arial"/>
          <w:color w:val="808080" w:themeColor="background1" w:themeShade="80"/>
          <w:sz w:val="22"/>
          <w:szCs w:val="22"/>
          <w:lang w:val="en-GB"/>
        </w:rPr>
      </w:pPr>
      <w:r w:rsidRPr="00EE664D">
        <w:rPr>
          <w:rFonts w:ascii="Avenir Next" w:hAnsi="Avenir Next" w:cs="Arial"/>
          <w:b/>
          <w:bCs/>
          <w:color w:val="808080" w:themeColor="background1" w:themeShade="80"/>
          <w:sz w:val="22"/>
          <w:szCs w:val="22"/>
          <w:lang w:val="en-GB"/>
        </w:rPr>
        <w:t>Disadvantage of MLCBI</w:t>
      </w:r>
      <w:r w:rsidRPr="00EE664D">
        <w:rPr>
          <w:rFonts w:ascii="Avenir Next" w:hAnsi="Avenir Next" w:cs="Arial"/>
          <w:color w:val="808080" w:themeColor="background1" w:themeShade="80"/>
          <w:sz w:val="22"/>
          <w:szCs w:val="22"/>
          <w:lang w:val="en-GB"/>
        </w:rPr>
        <w:t>: The Model Law relies on the adoption and implementation by individual countries, leading to variations in application and potentially inconsistent recognition and enforcement of foreign insolvency proceedings across different jurisdictions.</w:t>
      </w:r>
    </w:p>
    <w:p w14:paraId="55C40973" w14:textId="77777777" w:rsidR="00EE664D" w:rsidRPr="00EE664D" w:rsidRDefault="00EE664D" w:rsidP="00EE664D">
      <w:pPr>
        <w:ind w:left="720" w:hanging="720"/>
        <w:jc w:val="both"/>
        <w:rPr>
          <w:rFonts w:ascii="Avenir Next" w:hAnsi="Avenir Next" w:cs="Arial"/>
          <w:color w:val="808080" w:themeColor="background1" w:themeShade="80"/>
          <w:sz w:val="22"/>
          <w:szCs w:val="22"/>
          <w:lang w:val="en-GB"/>
        </w:rPr>
      </w:pPr>
    </w:p>
    <w:p w14:paraId="45AEB654" w14:textId="77777777" w:rsidR="00EE664D" w:rsidRDefault="00EE664D" w:rsidP="00EE664D">
      <w:pPr>
        <w:jc w:val="both"/>
        <w:rPr>
          <w:rFonts w:ascii="Avenir Next" w:hAnsi="Avenir Next" w:cs="Arial"/>
          <w:color w:val="808080" w:themeColor="background1" w:themeShade="80"/>
          <w:sz w:val="22"/>
          <w:szCs w:val="22"/>
          <w:lang w:val="en-GB"/>
        </w:rPr>
      </w:pPr>
      <w:r w:rsidRPr="00EE664D">
        <w:rPr>
          <w:rFonts w:ascii="Avenir Next" w:hAnsi="Avenir Next" w:cs="Arial"/>
          <w:b/>
          <w:bCs/>
          <w:color w:val="808080" w:themeColor="background1" w:themeShade="80"/>
          <w:sz w:val="22"/>
          <w:szCs w:val="22"/>
          <w:lang w:val="en-GB"/>
        </w:rPr>
        <w:t>Key Benefit of EU Regulation</w:t>
      </w:r>
      <w:r w:rsidRPr="00EE664D">
        <w:rPr>
          <w:rFonts w:ascii="Avenir Next" w:hAnsi="Avenir Next" w:cs="Arial"/>
          <w:color w:val="808080" w:themeColor="background1" w:themeShade="80"/>
          <w:sz w:val="22"/>
          <w:szCs w:val="22"/>
          <w:lang w:val="en-GB"/>
        </w:rPr>
        <w:t>: It provides a clear and direct mechanism for the recognition and enforcement of insolvency proceedings across EU Member States, enhancing legal certainty and predictability within the EU. The regulation also establishes jurisdictional rules and the main proceedings concept, streamlining cross-border insolvency processes within the Union.</w:t>
      </w:r>
    </w:p>
    <w:p w14:paraId="6694D991" w14:textId="77777777" w:rsidR="00EE664D" w:rsidRPr="00EE664D" w:rsidRDefault="00EE664D" w:rsidP="00EE664D">
      <w:pPr>
        <w:ind w:left="720" w:hanging="720"/>
        <w:jc w:val="both"/>
        <w:rPr>
          <w:rFonts w:ascii="Avenir Next" w:hAnsi="Avenir Next" w:cs="Arial"/>
          <w:color w:val="808080" w:themeColor="background1" w:themeShade="80"/>
          <w:sz w:val="22"/>
          <w:szCs w:val="22"/>
          <w:lang w:val="en-GB"/>
        </w:rPr>
      </w:pPr>
    </w:p>
    <w:p w14:paraId="5A95831D" w14:textId="77777777" w:rsidR="00EE664D" w:rsidRPr="00EE664D" w:rsidRDefault="00EE664D" w:rsidP="00EE664D">
      <w:pPr>
        <w:jc w:val="both"/>
        <w:rPr>
          <w:rFonts w:ascii="Avenir Next" w:hAnsi="Avenir Next" w:cs="Arial"/>
          <w:color w:val="808080" w:themeColor="background1" w:themeShade="80"/>
          <w:sz w:val="22"/>
          <w:szCs w:val="22"/>
          <w:lang w:val="en-GB"/>
        </w:rPr>
      </w:pPr>
      <w:r w:rsidRPr="00EE664D">
        <w:rPr>
          <w:rFonts w:ascii="Avenir Next" w:hAnsi="Avenir Next" w:cs="Arial"/>
          <w:b/>
          <w:bCs/>
          <w:color w:val="808080" w:themeColor="background1" w:themeShade="80"/>
          <w:sz w:val="22"/>
          <w:szCs w:val="22"/>
          <w:lang w:val="en-GB"/>
        </w:rPr>
        <w:t>Disadvantage of EU Regulation</w:t>
      </w:r>
      <w:r w:rsidRPr="00EE664D">
        <w:rPr>
          <w:rFonts w:ascii="Avenir Next" w:hAnsi="Avenir Next" w:cs="Arial"/>
          <w:color w:val="808080" w:themeColor="background1" w:themeShade="80"/>
          <w:sz w:val="22"/>
          <w:szCs w:val="22"/>
          <w:lang w:val="en-GB"/>
        </w:rPr>
        <w:t xml:space="preserve">: Its application is limited to EU Member States, excluding Denmark and potentially not fully harmonized with non-EU countries' insolvency laws. This </w:t>
      </w:r>
      <w:r w:rsidRPr="00EE664D">
        <w:rPr>
          <w:rFonts w:ascii="Avenir Next" w:hAnsi="Avenir Next" w:cs="Arial"/>
          <w:color w:val="808080" w:themeColor="background1" w:themeShade="80"/>
          <w:sz w:val="22"/>
          <w:szCs w:val="22"/>
          <w:lang w:val="en-GB"/>
        </w:rPr>
        <w:lastRenderedPageBreak/>
        <w:t>limitation can lead to complexities and legal challenges when dealing with insolvencies that extend beyond the EU, requiring coordination with systems outside the regulation's scope.</w:t>
      </w:r>
    </w:p>
    <w:p w14:paraId="7716EC51" w14:textId="77777777" w:rsidR="00B77352" w:rsidRPr="00EE664D" w:rsidRDefault="00B77352" w:rsidP="00707FC8">
      <w:pPr>
        <w:ind w:left="720" w:hanging="720"/>
        <w:jc w:val="both"/>
        <w:rPr>
          <w:rFonts w:ascii="Avenir Next" w:hAnsi="Avenir Next" w:cs="Arial"/>
          <w:sz w:val="22"/>
          <w:szCs w:val="22"/>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56A6769F" w:rsidR="00867A8F" w:rsidRPr="00B77352" w:rsidRDefault="00B74F10" w:rsidP="00EE66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21 MLCBI, the court should primarily consider that the relief does not interfere with the administration of another insolvency proceeding, particularly, the main proceeding. This means that the court must be satisfied that relief </w:t>
      </w:r>
      <w:r w:rsidR="00F24488">
        <w:rPr>
          <w:rFonts w:ascii="Avenir Next" w:hAnsi="Avenir Next" w:cs="Arial"/>
          <w:color w:val="808080" w:themeColor="background1" w:themeShade="80"/>
          <w:sz w:val="22"/>
          <w:szCs w:val="22"/>
          <w:lang w:val="en-GB"/>
        </w:rPr>
        <w:t xml:space="preserve">the interests of local creditors in the enacting state are adequately protected. </w:t>
      </w:r>
      <w:r>
        <w:rPr>
          <w:rFonts w:ascii="Avenir Next" w:hAnsi="Avenir Next" w:cs="Arial"/>
          <w:color w:val="808080" w:themeColor="background1" w:themeShade="80"/>
          <w:sz w:val="22"/>
          <w:szCs w:val="22"/>
          <w:lang w:val="en-GB"/>
        </w:rPr>
        <w:t xml:space="preserve">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26D1FF66" w:rsidR="00867A8F" w:rsidRPr="00B77352" w:rsidRDefault="00F24488" w:rsidP="00EE66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13 gives foreign creditors the same rights as creditors domiciled in the enacting state without affecting the ranking of claims in the enacting state. It prevents discrimination to a creditor solely on the basis that they are domiciled overseas. This removes the need for separate proceedings to obtain standing. Rather, standing is automatically provided to enable foreign creditors to make claims for such breaches should they arise.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432EAAED" w14:textId="487673CA" w:rsidR="00C13619" w:rsidRDefault="00C13619" w:rsidP="00EE66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of where there are foreign main and non-main proceedings, primacy is given to the foreign main proceeding. Any relief granted to a foreign non-main proceeding must be consistent with the foreign main proceeding. If recognition to the foreign non-main proceeding comes first, the court will review any relief in effect and be modified or terminated if inconsistent with the foreign main proceeding. </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15C7CF92" w14:textId="77777777" w:rsidR="00822556" w:rsidRDefault="00822556" w:rsidP="00EE664D">
      <w:pPr>
        <w:jc w:val="both"/>
        <w:rPr>
          <w:rFonts w:ascii="Avenir Next" w:hAnsi="Avenir Next" w:cs="Arial"/>
          <w:color w:val="808080" w:themeColor="background1" w:themeShade="80"/>
          <w:sz w:val="22"/>
          <w:szCs w:val="22"/>
        </w:rPr>
      </w:pPr>
    </w:p>
    <w:p w14:paraId="6DC8F6B5" w14:textId="77777777" w:rsidR="00822556" w:rsidRDefault="00EE664D" w:rsidP="00EE664D">
      <w:pPr>
        <w:jc w:val="both"/>
        <w:rPr>
          <w:rFonts w:ascii="Avenir Next" w:hAnsi="Avenir Next" w:cs="Arial"/>
          <w:color w:val="808080" w:themeColor="background1" w:themeShade="80"/>
          <w:sz w:val="22"/>
          <w:szCs w:val="22"/>
        </w:rPr>
      </w:pPr>
      <w:r w:rsidRPr="00EE664D">
        <w:rPr>
          <w:rFonts w:ascii="Avenir Next" w:hAnsi="Avenir Next" w:cs="Arial"/>
          <w:color w:val="808080" w:themeColor="background1" w:themeShade="80"/>
          <w:sz w:val="22"/>
          <w:szCs w:val="22"/>
        </w:rPr>
        <w:lastRenderedPageBreak/>
        <w:t>In this scenario, the foreign main proceedings must have been filed in Germany since the</w:t>
      </w:r>
      <w:r>
        <w:rPr>
          <w:rFonts w:ascii="Avenir Next" w:hAnsi="Avenir Next" w:cs="Arial"/>
          <w:color w:val="808080" w:themeColor="background1" w:themeShade="80"/>
          <w:sz w:val="22"/>
          <w:szCs w:val="22"/>
        </w:rPr>
        <w:t xml:space="preserve"> </w:t>
      </w:r>
      <w:r w:rsidRPr="00EE664D">
        <w:rPr>
          <w:rFonts w:ascii="Avenir Next" w:hAnsi="Avenir Next" w:cs="Arial"/>
          <w:color w:val="808080" w:themeColor="background1" w:themeShade="80"/>
          <w:sz w:val="22"/>
          <w:szCs w:val="22"/>
        </w:rPr>
        <w:t xml:space="preserve">debtor has its Centre of Main Interests (COMI) there, according to the UNCITRAL Model Law on Cross-Border Insolvency. This is because the COMI is typically where the debtor conducts the administration of its interests on a regular basis and is thus recognizable by third parties. The foreign non-main proceedings would have been filed in Bermuda, given the debtor has an establishment there, implying a place of operations where the debtor carries out a non-transitory economic activity with human means and goods or services. </w:t>
      </w:r>
    </w:p>
    <w:p w14:paraId="04509996" w14:textId="77777777" w:rsidR="00822556" w:rsidRDefault="00822556" w:rsidP="00EE664D">
      <w:pPr>
        <w:jc w:val="both"/>
        <w:rPr>
          <w:rFonts w:ascii="Avenir Next" w:hAnsi="Avenir Next" w:cs="Arial"/>
          <w:color w:val="808080" w:themeColor="background1" w:themeShade="80"/>
          <w:sz w:val="22"/>
          <w:szCs w:val="22"/>
        </w:rPr>
      </w:pPr>
    </w:p>
    <w:p w14:paraId="5CD83E20" w14:textId="3C5D04D3" w:rsidR="00EA6D31" w:rsidRDefault="00EE664D" w:rsidP="00EE664D">
      <w:pPr>
        <w:jc w:val="both"/>
        <w:rPr>
          <w:rFonts w:ascii="Avenir Next" w:hAnsi="Avenir Next" w:cs="Arial"/>
          <w:color w:val="808080" w:themeColor="background1" w:themeShade="80"/>
          <w:sz w:val="22"/>
          <w:szCs w:val="22"/>
        </w:rPr>
      </w:pPr>
      <w:r w:rsidRPr="00EE664D">
        <w:rPr>
          <w:rFonts w:ascii="Avenir Next" w:hAnsi="Avenir Next" w:cs="Arial"/>
          <w:color w:val="808080" w:themeColor="background1" w:themeShade="80"/>
          <w:sz w:val="22"/>
          <w:szCs w:val="22"/>
        </w:rPr>
        <w:t>The likely result in the US, where recognition proceedings have been opened, is that the US courts would recognize the German proceedings as foreign main proceedings and the Bermudan proceedings as foreign non-main proceedings. This recognition allows for coordinated relief and assistance between the US and the jurisdictions of the main and non-main proceedings, facilitating a more efficient administration of the debtor's insolvency across borders.</w:t>
      </w:r>
    </w:p>
    <w:p w14:paraId="3250C43C" w14:textId="77777777" w:rsidR="00EE664D" w:rsidRDefault="00EE664D" w:rsidP="00707FC8">
      <w:pPr>
        <w:ind w:left="720" w:hanging="720"/>
        <w:jc w:val="both"/>
        <w:rPr>
          <w:rFonts w:ascii="Avenir Next" w:hAnsi="Avenir Next" w:cs="Arial"/>
          <w:color w:val="808080" w:themeColor="background1" w:themeShade="80"/>
          <w:sz w:val="22"/>
          <w:szCs w:val="22"/>
        </w:rPr>
      </w:pPr>
    </w:p>
    <w:p w14:paraId="0B1420CF" w14:textId="77777777" w:rsidR="00EE664D" w:rsidRPr="00E2622D" w:rsidRDefault="00EE664D"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2A53C27C" w14:textId="77777777" w:rsidR="00822556" w:rsidRDefault="00822556" w:rsidP="00707FC8">
      <w:pPr>
        <w:jc w:val="both"/>
        <w:rPr>
          <w:rFonts w:ascii="Avenir Next" w:hAnsi="Avenir Next" w:cs="Arial"/>
          <w:sz w:val="22"/>
          <w:szCs w:val="22"/>
          <w:lang w:val="en-GB"/>
        </w:rPr>
      </w:pPr>
    </w:p>
    <w:p w14:paraId="34DF5132" w14:textId="2D72DB4C" w:rsidR="00822556" w:rsidRDefault="00EE664D" w:rsidP="00707FC8">
      <w:pPr>
        <w:jc w:val="both"/>
        <w:rPr>
          <w:rFonts w:ascii="Avenir Next" w:hAnsi="Avenir Next" w:cs="Arial"/>
          <w:color w:val="808080" w:themeColor="background1" w:themeShade="80"/>
          <w:sz w:val="22"/>
          <w:szCs w:val="22"/>
        </w:rPr>
      </w:pPr>
      <w:r w:rsidRPr="00EE664D">
        <w:rPr>
          <w:rFonts w:ascii="Avenir Next" w:hAnsi="Avenir Next" w:cs="Arial"/>
          <w:color w:val="808080" w:themeColor="background1" w:themeShade="80"/>
          <w:sz w:val="22"/>
          <w:szCs w:val="22"/>
        </w:rPr>
        <w:t xml:space="preserve">In the given scenario, the likely outcome is that the joint provisional liquidators, having initiated recognition proceedings in the US under Chapter 15 of the United States Bankruptcy Code (which incorporates the UNCITRAL Model Law on Cross-Border Insolvency), would be protected from the lawsuit and discovery efforts regarding alleged tortious interference. This protection stems from the automatic stay provisions activated upon the recognition of foreign proceedings, which aim to halt actions against the debtor's assets or the foreign representatives in the US. </w:t>
      </w:r>
    </w:p>
    <w:p w14:paraId="43603A2E" w14:textId="77777777" w:rsidR="00822556" w:rsidRDefault="00822556" w:rsidP="00707FC8">
      <w:pPr>
        <w:jc w:val="both"/>
        <w:rPr>
          <w:rFonts w:ascii="Avenir Next" w:hAnsi="Avenir Next" w:cs="Arial"/>
          <w:color w:val="808080" w:themeColor="background1" w:themeShade="80"/>
          <w:sz w:val="22"/>
          <w:szCs w:val="22"/>
        </w:rPr>
      </w:pPr>
    </w:p>
    <w:p w14:paraId="1F77AA0F" w14:textId="763AA887" w:rsidR="00867A8F" w:rsidRDefault="00EE664D" w:rsidP="00707FC8">
      <w:pPr>
        <w:jc w:val="both"/>
        <w:rPr>
          <w:rFonts w:ascii="Avenir Next" w:hAnsi="Avenir Next" w:cs="Arial"/>
          <w:color w:val="808080" w:themeColor="background1" w:themeShade="80"/>
          <w:sz w:val="22"/>
          <w:szCs w:val="22"/>
        </w:rPr>
      </w:pPr>
      <w:r w:rsidRPr="00EE664D">
        <w:rPr>
          <w:rFonts w:ascii="Avenir Next" w:hAnsi="Avenir Next" w:cs="Arial"/>
          <w:color w:val="808080" w:themeColor="background1" w:themeShade="80"/>
          <w:sz w:val="22"/>
          <w:szCs w:val="22"/>
        </w:rPr>
        <w:t>These provisions ensure that the foreign representatives can perform their duties without facing litigation or enforcement actions that could undermine the administration of the foreign insolvency proceedings. Therefore, the court is expected to stay the lawsuit and discovery against the liquidators, allowing them to focus on the debtor's asset management and protection in alignment with the principles of cross-border insolvency cooperation and coordination.</w:t>
      </w:r>
    </w:p>
    <w:p w14:paraId="2F63DD9B" w14:textId="77777777" w:rsidR="00EE664D" w:rsidRPr="00E2622D" w:rsidRDefault="00EE664D"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 xml:space="preserve">ode. Based on these facts, </w:t>
      </w:r>
      <w:r w:rsidRPr="002E7702">
        <w:rPr>
          <w:rFonts w:ascii="Avenir Next" w:hAnsi="Avenir Next" w:cs="Arial"/>
          <w:sz w:val="22"/>
          <w:szCs w:val="22"/>
          <w:lang w:val="en-GB"/>
        </w:rPr>
        <w:lastRenderedPageBreak/>
        <w:t>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2EFE36ED" w14:textId="77777777" w:rsidR="00EE664D" w:rsidRDefault="00EE664D" w:rsidP="00DF34FC">
      <w:pPr>
        <w:jc w:val="both"/>
        <w:rPr>
          <w:rFonts w:ascii="Avenir Next" w:hAnsi="Avenir Next" w:cs="Arial"/>
          <w:color w:val="808080" w:themeColor="background1" w:themeShade="80"/>
          <w:sz w:val="22"/>
          <w:szCs w:val="22"/>
          <w:lang w:val="en-GB"/>
        </w:rPr>
      </w:pPr>
      <w:r w:rsidRPr="00EE664D">
        <w:rPr>
          <w:rFonts w:ascii="Avenir Next" w:hAnsi="Avenir Next" w:cs="Arial"/>
          <w:color w:val="808080" w:themeColor="background1" w:themeShade="80"/>
          <w:sz w:val="22"/>
          <w:szCs w:val="22"/>
          <w:lang w:val="en-GB"/>
        </w:rPr>
        <w:t>In the scenario where a foreign representative administers assets in a debtor-in-possession-like restructuring proceeding in the UK and commences a recognition proceeding in the US with the recognition hearing set 35 days after the petition date, the foreign representative should proactively seek interim relief under Article 19 of the UNCITRAL Model Law on Cross-Border Insolvency as enacted in the US through Chapter 15 of the United States Bankruptcy Code. This step is essential to protect the debtor's US-governed leases and intellectual property licenses from ipso facto clauses, which could otherwise allow parties to terminate agreements due to the insolvency proceeding, but are unenforceable under US bankruptcy law.</w:t>
      </w:r>
    </w:p>
    <w:p w14:paraId="18C7FC4E" w14:textId="77777777" w:rsidR="00EE664D" w:rsidRPr="00EE664D" w:rsidRDefault="00EE664D" w:rsidP="00EE664D">
      <w:pPr>
        <w:ind w:left="720" w:hanging="720"/>
        <w:jc w:val="both"/>
        <w:rPr>
          <w:rFonts w:ascii="Avenir Next" w:hAnsi="Avenir Next" w:cs="Arial"/>
          <w:color w:val="808080" w:themeColor="background1" w:themeShade="80"/>
          <w:sz w:val="22"/>
          <w:szCs w:val="22"/>
          <w:lang w:val="en-GB"/>
        </w:rPr>
      </w:pPr>
    </w:p>
    <w:p w14:paraId="698DE981" w14:textId="77777777" w:rsidR="00EE664D" w:rsidRDefault="00EE664D" w:rsidP="00DF34FC">
      <w:pPr>
        <w:jc w:val="both"/>
        <w:rPr>
          <w:rFonts w:ascii="Avenir Next" w:hAnsi="Avenir Next" w:cs="Arial"/>
          <w:color w:val="808080" w:themeColor="background1" w:themeShade="80"/>
          <w:sz w:val="22"/>
          <w:szCs w:val="22"/>
          <w:lang w:val="en-GB"/>
        </w:rPr>
      </w:pPr>
      <w:r w:rsidRPr="00EE664D">
        <w:rPr>
          <w:rFonts w:ascii="Avenir Next" w:hAnsi="Avenir Next" w:cs="Arial"/>
          <w:color w:val="808080" w:themeColor="background1" w:themeShade="80"/>
          <w:sz w:val="22"/>
          <w:szCs w:val="22"/>
          <w:lang w:val="en-GB"/>
        </w:rPr>
        <w:t>To safeguard these assets effectively, the foreign representative should file for such interim relief immediately upon commencing the recognition proceeding. This would ensure that the debtor’s assets in the US, particularly those subject to leases and licenses with bankruptcy-triggered termination clauses, are preserved and protected until the recognition hearing. This interim relief could include a stay on the termination of contracts and leases based on ipso facto clauses, thereby maintaining the status quo of the debtor’s operations in the US.</w:t>
      </w:r>
    </w:p>
    <w:p w14:paraId="3126A096" w14:textId="77777777" w:rsidR="00EE664D" w:rsidRPr="00EE664D" w:rsidRDefault="00EE664D" w:rsidP="00EE664D">
      <w:pPr>
        <w:ind w:left="720" w:hanging="720"/>
        <w:jc w:val="both"/>
        <w:rPr>
          <w:rFonts w:ascii="Avenir Next" w:hAnsi="Avenir Next" w:cs="Arial"/>
          <w:color w:val="808080" w:themeColor="background1" w:themeShade="80"/>
          <w:sz w:val="22"/>
          <w:szCs w:val="22"/>
          <w:lang w:val="en-GB"/>
        </w:rPr>
      </w:pPr>
    </w:p>
    <w:p w14:paraId="0443D7AD" w14:textId="77777777" w:rsidR="00EE664D" w:rsidRPr="00EE664D" w:rsidRDefault="00EE664D" w:rsidP="00DF34FC">
      <w:pPr>
        <w:jc w:val="both"/>
        <w:rPr>
          <w:rFonts w:ascii="Avenir Next" w:hAnsi="Avenir Next" w:cs="Arial"/>
          <w:color w:val="808080" w:themeColor="background1" w:themeShade="80"/>
          <w:sz w:val="22"/>
          <w:szCs w:val="22"/>
          <w:lang w:val="en-GB"/>
        </w:rPr>
      </w:pPr>
      <w:r w:rsidRPr="00EE664D">
        <w:rPr>
          <w:rFonts w:ascii="Avenir Next" w:hAnsi="Avenir Next" w:cs="Arial"/>
          <w:color w:val="808080" w:themeColor="background1" w:themeShade="80"/>
          <w:sz w:val="22"/>
          <w:szCs w:val="22"/>
          <w:lang w:val="en-GB"/>
        </w:rPr>
        <w:t>The necessity for such a step arises from the gap between the filing date and the hearing date, during which period the assets and contractual rights of the debtor could be at risk due to the ipso facto clauses. By securing interim relief, the foreign representative ensures that these assets remain part of the debtor's estate available for restructuring in the UK proceeding, thus serving the interests of all creditors and supporting the restructuring effort.</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bookmarkStart w:id="1" w:name="OLE_LINK1"/>
      <w:bookmarkStart w:id="2" w:name="OLE_LINK2"/>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bookmarkEnd w:id="1"/>
    <w:bookmarkEnd w:id="2"/>
    <w:p w14:paraId="0BBA86B8" w14:textId="4204DA62" w:rsidR="00980314" w:rsidRPr="00E2622D" w:rsidRDefault="00980314" w:rsidP="000077DD">
      <w:pPr>
        <w:jc w:val="both"/>
        <w:rPr>
          <w:rFonts w:ascii="Avenir Next" w:hAnsi="Avenir Next" w:cs="Arial"/>
          <w:sz w:val="22"/>
          <w:szCs w:val="22"/>
          <w:lang w:val="en-GB"/>
        </w:rPr>
      </w:pPr>
    </w:p>
    <w:p w14:paraId="595DE4E6" w14:textId="77777777" w:rsidR="00EE664D" w:rsidRDefault="00EE664D" w:rsidP="00EE664D">
      <w:pPr>
        <w:jc w:val="both"/>
        <w:rPr>
          <w:rFonts w:ascii="Avenir Next" w:hAnsi="Avenir Next" w:cs="Arial"/>
          <w:color w:val="808080" w:themeColor="background1" w:themeShade="80"/>
          <w:sz w:val="22"/>
          <w:szCs w:val="22"/>
          <w:lang w:val="en-GB"/>
        </w:rPr>
      </w:pPr>
      <w:r w:rsidRPr="00EE664D">
        <w:rPr>
          <w:rFonts w:ascii="Avenir Next" w:hAnsi="Avenir Next" w:cs="Arial"/>
          <w:color w:val="808080" w:themeColor="background1" w:themeShade="80"/>
          <w:sz w:val="22"/>
          <w:szCs w:val="22"/>
          <w:lang w:val="en-GB"/>
        </w:rPr>
        <w:t>Upon the denial of recognition of the foreign proceeding as a foreign main proceeding, the foreign representative, who administers the assets of an insolvent debtor in Country A and sought recognition in Country B, faces several avenues for action. Initially, the representative should consider appealing the decision if the legal framework in Country B allows for it and if there are grounds to believe that a reassessment could yield a different outcome, especially if the denial was based on interpretable criteria such as the debtor’s COMI or the nature of the proceedings in Country A.</w:t>
      </w:r>
    </w:p>
    <w:p w14:paraId="7ACA6272" w14:textId="77777777" w:rsidR="00EE664D" w:rsidRPr="00EE664D" w:rsidRDefault="00EE664D" w:rsidP="00EE664D">
      <w:pPr>
        <w:jc w:val="both"/>
        <w:rPr>
          <w:rFonts w:ascii="Avenir Next" w:hAnsi="Avenir Next" w:cs="Arial"/>
          <w:color w:val="808080" w:themeColor="background1" w:themeShade="80"/>
          <w:sz w:val="22"/>
          <w:szCs w:val="22"/>
          <w:lang w:val="en-GB"/>
        </w:rPr>
      </w:pPr>
    </w:p>
    <w:p w14:paraId="02231E21" w14:textId="77777777" w:rsidR="00EE664D" w:rsidRDefault="00EE664D" w:rsidP="00EE664D">
      <w:pPr>
        <w:jc w:val="both"/>
        <w:rPr>
          <w:rFonts w:ascii="Avenir Next" w:hAnsi="Avenir Next" w:cs="Arial"/>
          <w:color w:val="808080" w:themeColor="background1" w:themeShade="80"/>
          <w:sz w:val="22"/>
          <w:szCs w:val="22"/>
          <w:lang w:val="en-GB"/>
        </w:rPr>
      </w:pPr>
      <w:r w:rsidRPr="00EE664D">
        <w:rPr>
          <w:rFonts w:ascii="Avenir Next" w:hAnsi="Avenir Next" w:cs="Arial"/>
          <w:color w:val="808080" w:themeColor="background1" w:themeShade="80"/>
          <w:sz w:val="22"/>
          <w:szCs w:val="22"/>
          <w:lang w:val="en-GB"/>
        </w:rPr>
        <w:t>If an appeal is not viable or unsuccessful, the foreign representative may explore the possibility of filing for recognition of the proceeding as a foreign non-main proceeding if the debtor has an establishment in Country B, thereby still enabling some level of legal recognition and cooperation, albeit with potentially limited scope compared to main proceedings recognition.</w:t>
      </w:r>
    </w:p>
    <w:p w14:paraId="59C7FC4E" w14:textId="77777777" w:rsidR="00EE664D" w:rsidRPr="00EE664D" w:rsidRDefault="00EE664D" w:rsidP="00EE664D">
      <w:pPr>
        <w:jc w:val="both"/>
        <w:rPr>
          <w:rFonts w:ascii="Avenir Next" w:hAnsi="Avenir Next" w:cs="Arial"/>
          <w:color w:val="808080" w:themeColor="background1" w:themeShade="80"/>
          <w:sz w:val="22"/>
          <w:szCs w:val="22"/>
          <w:lang w:val="en-GB"/>
        </w:rPr>
      </w:pPr>
    </w:p>
    <w:p w14:paraId="184791E9" w14:textId="77777777" w:rsidR="00EE664D" w:rsidRDefault="00EE664D" w:rsidP="00EE664D">
      <w:pPr>
        <w:jc w:val="both"/>
        <w:rPr>
          <w:rFonts w:ascii="Avenir Next" w:hAnsi="Avenir Next" w:cs="Arial"/>
          <w:color w:val="808080" w:themeColor="background1" w:themeShade="80"/>
          <w:sz w:val="22"/>
          <w:szCs w:val="22"/>
          <w:lang w:val="en-GB"/>
        </w:rPr>
      </w:pPr>
      <w:r w:rsidRPr="00EE664D">
        <w:rPr>
          <w:rFonts w:ascii="Avenir Next" w:hAnsi="Avenir Next" w:cs="Arial"/>
          <w:color w:val="808080" w:themeColor="background1" w:themeShade="80"/>
          <w:sz w:val="22"/>
          <w:szCs w:val="22"/>
          <w:lang w:val="en-GB"/>
        </w:rPr>
        <w:t xml:space="preserve">At the outset, to enhance the likelihood of recognition, the foreign representative should have thoroughly </w:t>
      </w:r>
      <w:proofErr w:type="spellStart"/>
      <w:r w:rsidRPr="00EE664D">
        <w:rPr>
          <w:rFonts w:ascii="Avenir Next" w:hAnsi="Avenir Next" w:cs="Arial"/>
          <w:color w:val="808080" w:themeColor="background1" w:themeShade="80"/>
          <w:sz w:val="22"/>
          <w:szCs w:val="22"/>
          <w:lang w:val="en-GB"/>
        </w:rPr>
        <w:t>analyzed</w:t>
      </w:r>
      <w:proofErr w:type="spellEnd"/>
      <w:r w:rsidRPr="00EE664D">
        <w:rPr>
          <w:rFonts w:ascii="Avenir Next" w:hAnsi="Avenir Next" w:cs="Arial"/>
          <w:color w:val="808080" w:themeColor="background1" w:themeShade="80"/>
          <w:sz w:val="22"/>
          <w:szCs w:val="22"/>
          <w:lang w:val="en-GB"/>
        </w:rPr>
        <w:t xml:space="preserve"> the legal criteria for main and non-main proceedings recognition in Country B, ensuring that the application clearly demonstrates how the proceeding in Country A meets these criteria. This includes providing comprehensive evidence of the debtor’s COMI or the presence of an establishment in Country B, alongside detailed information about the foreign proceeding to assert its compatibility with Country B’s legal standards for recognition.</w:t>
      </w:r>
    </w:p>
    <w:p w14:paraId="3FA1617A" w14:textId="77777777" w:rsidR="00EE664D" w:rsidRPr="00EE664D" w:rsidRDefault="00EE664D" w:rsidP="00EE664D">
      <w:pPr>
        <w:jc w:val="both"/>
        <w:rPr>
          <w:rFonts w:ascii="Avenir Next" w:hAnsi="Avenir Next" w:cs="Arial"/>
          <w:color w:val="808080" w:themeColor="background1" w:themeShade="80"/>
          <w:sz w:val="22"/>
          <w:szCs w:val="22"/>
          <w:lang w:val="en-GB"/>
        </w:rPr>
      </w:pPr>
    </w:p>
    <w:p w14:paraId="0CB55AC9" w14:textId="77777777" w:rsidR="00EE664D" w:rsidRPr="00EE664D" w:rsidRDefault="00EE664D" w:rsidP="00EE664D">
      <w:pPr>
        <w:jc w:val="both"/>
        <w:rPr>
          <w:rFonts w:ascii="Avenir Next" w:hAnsi="Avenir Next" w:cs="Arial"/>
          <w:color w:val="808080" w:themeColor="background1" w:themeShade="80"/>
          <w:sz w:val="22"/>
          <w:szCs w:val="22"/>
          <w:lang w:val="en-GB"/>
        </w:rPr>
      </w:pPr>
      <w:r w:rsidRPr="00EE664D">
        <w:rPr>
          <w:rFonts w:ascii="Avenir Next" w:hAnsi="Avenir Next" w:cs="Arial"/>
          <w:color w:val="808080" w:themeColor="background1" w:themeShade="80"/>
          <w:sz w:val="22"/>
          <w:szCs w:val="22"/>
          <w:lang w:val="en-GB"/>
        </w:rPr>
        <w:t xml:space="preserve">Furthermore, engaging in </w:t>
      </w:r>
      <w:proofErr w:type="spellStart"/>
      <w:r w:rsidRPr="00EE664D">
        <w:rPr>
          <w:rFonts w:ascii="Avenir Next" w:hAnsi="Avenir Next" w:cs="Arial"/>
          <w:color w:val="808080" w:themeColor="background1" w:themeShade="80"/>
          <w:sz w:val="22"/>
          <w:szCs w:val="22"/>
          <w:lang w:val="en-GB"/>
        </w:rPr>
        <w:t>preemptive</w:t>
      </w:r>
      <w:proofErr w:type="spellEnd"/>
      <w:r w:rsidRPr="00EE664D">
        <w:rPr>
          <w:rFonts w:ascii="Avenir Next" w:hAnsi="Avenir Next" w:cs="Arial"/>
          <w:color w:val="808080" w:themeColor="background1" w:themeShade="80"/>
          <w:sz w:val="22"/>
          <w:szCs w:val="22"/>
          <w:lang w:val="en-GB"/>
        </w:rPr>
        <w:t xml:space="preserve"> discussions with key stakeholders in Country B, including potential creditors, to gauge and possibly mitigate resistance to recognition could also be beneficial. Additionally, considering the strategic timing of the application to coincide with </w:t>
      </w:r>
      <w:proofErr w:type="spellStart"/>
      <w:r w:rsidRPr="00EE664D">
        <w:rPr>
          <w:rFonts w:ascii="Avenir Next" w:hAnsi="Avenir Next" w:cs="Arial"/>
          <w:color w:val="808080" w:themeColor="background1" w:themeShade="80"/>
          <w:sz w:val="22"/>
          <w:szCs w:val="22"/>
          <w:lang w:val="en-GB"/>
        </w:rPr>
        <w:t>favorable</w:t>
      </w:r>
      <w:proofErr w:type="spellEnd"/>
      <w:r w:rsidRPr="00EE664D">
        <w:rPr>
          <w:rFonts w:ascii="Avenir Next" w:hAnsi="Avenir Next" w:cs="Arial"/>
          <w:color w:val="808080" w:themeColor="background1" w:themeShade="80"/>
          <w:sz w:val="22"/>
          <w:szCs w:val="22"/>
          <w:lang w:val="en-GB"/>
        </w:rPr>
        <w:t xml:space="preserve"> legal or economic conditions in Country B could enhance the chances of a successful recognition.</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3"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4" w:name="_Hlk97111003"/>
      <w:r w:rsidRPr="00E61F6E">
        <w:rPr>
          <w:rFonts w:ascii="Avenir Next" w:hAnsi="Avenir Next"/>
          <w:sz w:val="22"/>
          <w:szCs w:val="28"/>
        </w:rPr>
        <w:t>Globe Holdings</w:t>
      </w:r>
      <w:bookmarkEnd w:id="4"/>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5"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 xml:space="preserve">lient also maintains its books and records in the Cayman </w:t>
      </w:r>
      <w:r w:rsidRPr="00E61F6E">
        <w:rPr>
          <w:rFonts w:ascii="Avenir Next" w:hAnsi="Avenir Next"/>
          <w:sz w:val="22"/>
          <w:szCs w:val="28"/>
        </w:rPr>
        <w:lastRenderedPageBreak/>
        <w:t>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5"/>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6"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6"/>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w:t>
      </w:r>
      <w:r w:rsidRPr="00E61F6E">
        <w:rPr>
          <w:rFonts w:ascii="Avenir Next" w:hAnsi="Avenir Next"/>
          <w:sz w:val="22"/>
          <w:szCs w:val="28"/>
        </w:rPr>
        <w:lastRenderedPageBreak/>
        <w:t xml:space="preserve">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64153E66" w14:textId="77777777" w:rsidR="00AD2837" w:rsidRDefault="00AD2837" w:rsidP="00AD2837">
      <w:pPr>
        <w:jc w:val="both"/>
        <w:rPr>
          <w:rFonts w:ascii="Avenir Next" w:hAnsi="Avenir Next"/>
          <w:color w:val="808080" w:themeColor="background1" w:themeShade="80"/>
          <w:sz w:val="22"/>
          <w:szCs w:val="28"/>
          <w:lang w:val="en-GB"/>
        </w:rPr>
      </w:pPr>
      <w:r w:rsidRPr="00AD2837">
        <w:rPr>
          <w:rFonts w:ascii="Avenir Next" w:hAnsi="Avenir Next"/>
          <w:color w:val="808080" w:themeColor="background1" w:themeShade="80"/>
          <w:sz w:val="22"/>
          <w:szCs w:val="28"/>
          <w:lang w:val="en-GB"/>
        </w:rPr>
        <w:t>Given the complex international structure of Globe Holdings, with its COMI seemingly in the Cayman Islands due to its incorporation, management, and significant operational decisions being made there, but with all operational activities and subsidiaries based in the US, the strategy for filing and recognition in the US courts under Chapter 15 requires careful planning and execution to maximize protection and restructuring benefits.</w:t>
      </w:r>
    </w:p>
    <w:p w14:paraId="666FB195" w14:textId="77777777" w:rsidR="00AD2837" w:rsidRPr="00AD2837" w:rsidRDefault="00AD2837" w:rsidP="00AD2837">
      <w:pPr>
        <w:jc w:val="both"/>
        <w:rPr>
          <w:rFonts w:ascii="Avenir Next" w:hAnsi="Avenir Next"/>
          <w:color w:val="808080" w:themeColor="background1" w:themeShade="80"/>
          <w:sz w:val="22"/>
          <w:szCs w:val="28"/>
          <w:lang w:val="en-GB"/>
        </w:rPr>
      </w:pPr>
    </w:p>
    <w:p w14:paraId="2B39D913" w14:textId="77777777" w:rsidR="00AD2837" w:rsidRPr="00AD2837" w:rsidRDefault="00AD2837" w:rsidP="00AD2837">
      <w:pPr>
        <w:numPr>
          <w:ilvl w:val="0"/>
          <w:numId w:val="59"/>
        </w:numPr>
        <w:jc w:val="both"/>
        <w:rPr>
          <w:rFonts w:ascii="Avenir Next" w:hAnsi="Avenir Next"/>
          <w:color w:val="808080" w:themeColor="background1" w:themeShade="80"/>
          <w:sz w:val="22"/>
          <w:szCs w:val="28"/>
          <w:lang w:val="en-GB"/>
        </w:rPr>
      </w:pPr>
      <w:r w:rsidRPr="00AD2837">
        <w:rPr>
          <w:rFonts w:ascii="Avenir Next" w:hAnsi="Avenir Next"/>
          <w:b/>
          <w:bCs/>
          <w:color w:val="808080" w:themeColor="background1" w:themeShade="80"/>
          <w:sz w:val="22"/>
          <w:szCs w:val="28"/>
          <w:lang w:val="en-GB"/>
        </w:rPr>
        <w:t>Determination of COMI vs. Establishment</w:t>
      </w:r>
      <w:r w:rsidRPr="00AD2837">
        <w:rPr>
          <w:rFonts w:ascii="Avenir Next" w:hAnsi="Avenir Next"/>
          <w:color w:val="808080" w:themeColor="background1" w:themeShade="80"/>
          <w:sz w:val="22"/>
          <w:szCs w:val="28"/>
          <w:lang w:val="en-GB"/>
        </w:rPr>
        <w:t>: Initially, Globe Holdings should evaluate whether to apply for recognition of the Cayman Islands proceeding as a foreign main or non-main proceeding. Given that its COMI is likely considered to be in the Cayman Islands due to its incorporation, central administration, and the location where significant decisions are made, an application for recognition as a foreign main proceeding would be appropriate. The absence of operational activities in the Cayman Islands might complicate this determination, necessitating a detailed presentation to the US court to establish the Cayman Islands as the COMI.</w:t>
      </w:r>
    </w:p>
    <w:p w14:paraId="65497994" w14:textId="77777777" w:rsidR="00AD2837" w:rsidRPr="00AD2837" w:rsidRDefault="00AD2837" w:rsidP="00AD2837">
      <w:pPr>
        <w:numPr>
          <w:ilvl w:val="0"/>
          <w:numId w:val="59"/>
        </w:numPr>
        <w:jc w:val="both"/>
        <w:rPr>
          <w:rFonts w:ascii="Avenir Next" w:hAnsi="Avenir Next"/>
          <w:color w:val="808080" w:themeColor="background1" w:themeShade="80"/>
          <w:sz w:val="22"/>
          <w:szCs w:val="28"/>
          <w:lang w:val="en-GB"/>
        </w:rPr>
      </w:pPr>
      <w:r w:rsidRPr="00AD2837">
        <w:rPr>
          <w:rFonts w:ascii="Avenir Next" w:hAnsi="Avenir Next"/>
          <w:b/>
          <w:bCs/>
          <w:color w:val="808080" w:themeColor="background1" w:themeShade="80"/>
          <w:sz w:val="22"/>
          <w:szCs w:val="28"/>
          <w:lang w:val="en-GB"/>
        </w:rPr>
        <w:t>Documentation and Submissions</w:t>
      </w:r>
      <w:r w:rsidRPr="00AD2837">
        <w:rPr>
          <w:rFonts w:ascii="Avenir Next" w:hAnsi="Avenir Next"/>
          <w:color w:val="808080" w:themeColor="background1" w:themeShade="80"/>
          <w:sz w:val="22"/>
          <w:szCs w:val="28"/>
          <w:lang w:val="en-GB"/>
        </w:rPr>
        <w:t>: For the recognition application, Globe Holdings should prepare comprehensive documentation, including:</w:t>
      </w:r>
    </w:p>
    <w:p w14:paraId="4ECA0E23" w14:textId="77777777" w:rsidR="00AD2837" w:rsidRPr="00AD2837" w:rsidRDefault="00AD2837" w:rsidP="00AD2837">
      <w:pPr>
        <w:numPr>
          <w:ilvl w:val="1"/>
          <w:numId w:val="59"/>
        </w:numPr>
        <w:jc w:val="both"/>
        <w:rPr>
          <w:rFonts w:ascii="Avenir Next" w:hAnsi="Avenir Next"/>
          <w:color w:val="808080" w:themeColor="background1" w:themeShade="80"/>
          <w:sz w:val="22"/>
          <w:szCs w:val="28"/>
          <w:lang w:val="en-GB"/>
        </w:rPr>
      </w:pPr>
      <w:r w:rsidRPr="00AD2837">
        <w:rPr>
          <w:rFonts w:ascii="Avenir Next" w:hAnsi="Avenir Next"/>
          <w:color w:val="808080" w:themeColor="background1" w:themeShade="80"/>
          <w:sz w:val="22"/>
          <w:szCs w:val="28"/>
          <w:lang w:val="en-GB"/>
        </w:rPr>
        <w:t>A petition for recognition, including evidence of the Cayman Islands proceeding's existence and Globe Holdings' COMI or establishment.</w:t>
      </w:r>
    </w:p>
    <w:p w14:paraId="388D39B8" w14:textId="77777777" w:rsidR="00AD2837" w:rsidRPr="00AD2837" w:rsidRDefault="00AD2837" w:rsidP="00AD2837">
      <w:pPr>
        <w:numPr>
          <w:ilvl w:val="1"/>
          <w:numId w:val="59"/>
        </w:numPr>
        <w:jc w:val="both"/>
        <w:rPr>
          <w:rFonts w:ascii="Avenir Next" w:hAnsi="Avenir Next"/>
          <w:color w:val="808080" w:themeColor="background1" w:themeShade="80"/>
          <w:sz w:val="22"/>
          <w:szCs w:val="28"/>
          <w:lang w:val="en-GB"/>
        </w:rPr>
      </w:pPr>
      <w:r w:rsidRPr="00AD2837">
        <w:rPr>
          <w:rFonts w:ascii="Avenir Next" w:hAnsi="Avenir Next"/>
          <w:color w:val="808080" w:themeColor="background1" w:themeShade="80"/>
          <w:sz w:val="22"/>
          <w:szCs w:val="28"/>
          <w:lang w:val="en-GB"/>
        </w:rPr>
        <w:t>Declarations or affidavits detailing Globe Holdings' operational structure, COMI justification, the purpose of the Cayman Islands proceeding, and the necessity for US recognition.</w:t>
      </w:r>
    </w:p>
    <w:p w14:paraId="1CEC1BFE" w14:textId="77777777" w:rsidR="00AD2837" w:rsidRPr="00AD2837" w:rsidRDefault="00AD2837" w:rsidP="00AD2837">
      <w:pPr>
        <w:numPr>
          <w:ilvl w:val="1"/>
          <w:numId w:val="59"/>
        </w:numPr>
        <w:jc w:val="both"/>
        <w:rPr>
          <w:rFonts w:ascii="Avenir Next" w:hAnsi="Avenir Next"/>
          <w:color w:val="808080" w:themeColor="background1" w:themeShade="80"/>
          <w:sz w:val="22"/>
          <w:szCs w:val="28"/>
          <w:lang w:val="en-GB"/>
        </w:rPr>
      </w:pPr>
      <w:r w:rsidRPr="00AD2837">
        <w:rPr>
          <w:rFonts w:ascii="Avenir Next" w:hAnsi="Avenir Next"/>
          <w:color w:val="808080" w:themeColor="background1" w:themeShade="80"/>
          <w:sz w:val="22"/>
          <w:szCs w:val="28"/>
          <w:lang w:val="en-GB"/>
        </w:rPr>
        <w:t>Copies of the Scheme Meeting approval, the RSA, and the Sanction Order from the Cayman Islands court to demonstrate creditor support and legal authority.</w:t>
      </w:r>
    </w:p>
    <w:p w14:paraId="28FA9214" w14:textId="77777777" w:rsidR="00AD2837" w:rsidRPr="00AD2837" w:rsidRDefault="00AD2837" w:rsidP="00AD2837">
      <w:pPr>
        <w:numPr>
          <w:ilvl w:val="0"/>
          <w:numId w:val="59"/>
        </w:numPr>
        <w:jc w:val="both"/>
        <w:rPr>
          <w:rFonts w:ascii="Avenir Next" w:hAnsi="Avenir Next"/>
          <w:color w:val="808080" w:themeColor="background1" w:themeShade="80"/>
          <w:sz w:val="22"/>
          <w:szCs w:val="28"/>
          <w:lang w:val="en-GB"/>
        </w:rPr>
      </w:pPr>
      <w:r w:rsidRPr="00AD2837">
        <w:rPr>
          <w:rFonts w:ascii="Avenir Next" w:hAnsi="Avenir Next"/>
          <w:b/>
          <w:bCs/>
          <w:color w:val="808080" w:themeColor="background1" w:themeShade="80"/>
          <w:sz w:val="22"/>
          <w:szCs w:val="28"/>
          <w:lang w:val="en-GB"/>
        </w:rPr>
        <w:t>Relief Requests on Day One</w:t>
      </w:r>
      <w:r w:rsidRPr="00AD2837">
        <w:rPr>
          <w:rFonts w:ascii="Avenir Next" w:hAnsi="Avenir Next"/>
          <w:color w:val="808080" w:themeColor="background1" w:themeShade="80"/>
          <w:sz w:val="22"/>
          <w:szCs w:val="28"/>
          <w:lang w:val="en-GB"/>
        </w:rPr>
        <w:t xml:space="preserve">: On the first day of filing, Globe Holdings should request several forms of interim relief under §1519 of the US Bankruptcy Code to </w:t>
      </w:r>
      <w:r w:rsidRPr="00AD2837">
        <w:rPr>
          <w:rFonts w:ascii="Avenir Next" w:hAnsi="Avenir Next"/>
          <w:color w:val="808080" w:themeColor="background1" w:themeShade="80"/>
          <w:sz w:val="22"/>
          <w:szCs w:val="28"/>
          <w:lang w:val="en-GB"/>
        </w:rPr>
        <w:lastRenderedPageBreak/>
        <w:t>protect its assets and operational integrity during the recognition process. These may include:</w:t>
      </w:r>
    </w:p>
    <w:p w14:paraId="2FC2C296" w14:textId="77777777" w:rsidR="00AD2837" w:rsidRPr="00AD2837" w:rsidRDefault="00AD2837" w:rsidP="00AD2837">
      <w:pPr>
        <w:numPr>
          <w:ilvl w:val="1"/>
          <w:numId w:val="59"/>
        </w:numPr>
        <w:jc w:val="both"/>
        <w:rPr>
          <w:rFonts w:ascii="Avenir Next" w:hAnsi="Avenir Next"/>
          <w:color w:val="808080" w:themeColor="background1" w:themeShade="80"/>
          <w:sz w:val="22"/>
          <w:szCs w:val="28"/>
          <w:lang w:val="en-GB"/>
        </w:rPr>
      </w:pPr>
      <w:r w:rsidRPr="00AD2837">
        <w:rPr>
          <w:rFonts w:ascii="Avenir Next" w:hAnsi="Avenir Next"/>
          <w:color w:val="808080" w:themeColor="background1" w:themeShade="80"/>
          <w:sz w:val="22"/>
          <w:szCs w:val="28"/>
          <w:lang w:val="en-GB"/>
        </w:rPr>
        <w:t>A stay of actions against Globe Holdings' assets in the US.</w:t>
      </w:r>
    </w:p>
    <w:p w14:paraId="5DAFCC9B" w14:textId="77777777" w:rsidR="00AD2837" w:rsidRPr="00AD2837" w:rsidRDefault="00AD2837" w:rsidP="00AD2837">
      <w:pPr>
        <w:numPr>
          <w:ilvl w:val="1"/>
          <w:numId w:val="59"/>
        </w:numPr>
        <w:jc w:val="both"/>
        <w:rPr>
          <w:rFonts w:ascii="Avenir Next" w:hAnsi="Avenir Next"/>
          <w:color w:val="808080" w:themeColor="background1" w:themeShade="80"/>
          <w:sz w:val="22"/>
          <w:szCs w:val="28"/>
          <w:lang w:val="en-GB"/>
        </w:rPr>
      </w:pPr>
      <w:r w:rsidRPr="00AD2837">
        <w:rPr>
          <w:rFonts w:ascii="Avenir Next" w:hAnsi="Avenir Next"/>
          <w:color w:val="808080" w:themeColor="background1" w:themeShade="80"/>
          <w:sz w:val="22"/>
          <w:szCs w:val="28"/>
          <w:lang w:val="en-GB"/>
        </w:rPr>
        <w:t>Prohibition of contract terminations based on insolvency filing.</w:t>
      </w:r>
    </w:p>
    <w:p w14:paraId="3C494787" w14:textId="77777777" w:rsidR="00AD2837" w:rsidRPr="00AD2837" w:rsidRDefault="00AD2837" w:rsidP="00AD2837">
      <w:pPr>
        <w:numPr>
          <w:ilvl w:val="1"/>
          <w:numId w:val="59"/>
        </w:numPr>
        <w:jc w:val="both"/>
        <w:rPr>
          <w:rFonts w:ascii="Avenir Next" w:hAnsi="Avenir Next"/>
          <w:color w:val="808080" w:themeColor="background1" w:themeShade="80"/>
          <w:sz w:val="22"/>
          <w:szCs w:val="28"/>
          <w:lang w:val="en-GB"/>
        </w:rPr>
      </w:pPr>
      <w:r w:rsidRPr="00AD2837">
        <w:rPr>
          <w:rFonts w:ascii="Avenir Next" w:hAnsi="Avenir Next"/>
          <w:color w:val="808080" w:themeColor="background1" w:themeShade="80"/>
          <w:sz w:val="22"/>
          <w:szCs w:val="28"/>
          <w:lang w:val="en-GB"/>
        </w:rPr>
        <w:t>Authority to continue financial transactions and operations as necessary.</w:t>
      </w:r>
    </w:p>
    <w:p w14:paraId="6249CB20" w14:textId="77777777" w:rsidR="00AD2837" w:rsidRPr="00AD2837" w:rsidRDefault="00AD2837" w:rsidP="00AD2837">
      <w:pPr>
        <w:numPr>
          <w:ilvl w:val="0"/>
          <w:numId w:val="59"/>
        </w:numPr>
        <w:jc w:val="both"/>
        <w:rPr>
          <w:rFonts w:ascii="Avenir Next" w:hAnsi="Avenir Next"/>
          <w:color w:val="808080" w:themeColor="background1" w:themeShade="80"/>
          <w:sz w:val="22"/>
          <w:szCs w:val="28"/>
          <w:lang w:val="en-GB"/>
        </w:rPr>
      </w:pPr>
      <w:r w:rsidRPr="00AD2837">
        <w:rPr>
          <w:rFonts w:ascii="Avenir Next" w:hAnsi="Avenir Next"/>
          <w:b/>
          <w:bCs/>
          <w:color w:val="808080" w:themeColor="background1" w:themeShade="80"/>
          <w:sz w:val="22"/>
          <w:szCs w:val="28"/>
          <w:lang w:val="en-GB"/>
        </w:rPr>
        <w:t>Strategic Considerations for COMI and Non-Main Proceedings</w:t>
      </w:r>
      <w:r w:rsidRPr="00AD2837">
        <w:rPr>
          <w:rFonts w:ascii="Avenir Next" w:hAnsi="Avenir Next"/>
          <w:color w:val="808080" w:themeColor="background1" w:themeShade="80"/>
          <w:sz w:val="22"/>
          <w:szCs w:val="28"/>
          <w:lang w:val="en-GB"/>
        </w:rPr>
        <w:t>: If the US court challenges the COMI determination, Globe Holdings could alternatively seek recognition of the Cayman Islands proceeding as a foreign non-main proceeding due to the existence of an establishment in the Cayman Islands, leveraging its recent banking activities and legal representation there. This approach would still afford certain protections and facilitate the restructuring process, albeit with potentially less automatic stay protection compared to a foreign main proceeding.</w:t>
      </w:r>
    </w:p>
    <w:p w14:paraId="44027699" w14:textId="77777777" w:rsidR="00AD2837" w:rsidRDefault="00AD2837" w:rsidP="00AD2837">
      <w:pPr>
        <w:numPr>
          <w:ilvl w:val="0"/>
          <w:numId w:val="59"/>
        </w:numPr>
        <w:jc w:val="both"/>
        <w:rPr>
          <w:rFonts w:ascii="Avenir Next" w:hAnsi="Avenir Next"/>
          <w:color w:val="808080" w:themeColor="background1" w:themeShade="80"/>
          <w:sz w:val="22"/>
          <w:szCs w:val="28"/>
          <w:lang w:val="en-GB"/>
        </w:rPr>
      </w:pPr>
      <w:r w:rsidRPr="00AD2837">
        <w:rPr>
          <w:rFonts w:ascii="Avenir Next" w:hAnsi="Avenir Next"/>
          <w:b/>
          <w:bCs/>
          <w:color w:val="808080" w:themeColor="background1" w:themeShade="80"/>
          <w:sz w:val="22"/>
          <w:szCs w:val="28"/>
          <w:lang w:val="en-GB"/>
        </w:rPr>
        <w:t>Preparation for Potential Litigation</w:t>
      </w:r>
      <w:r w:rsidRPr="00AD2837">
        <w:rPr>
          <w:rFonts w:ascii="Avenir Next" w:hAnsi="Avenir Next"/>
          <w:color w:val="808080" w:themeColor="background1" w:themeShade="80"/>
          <w:sz w:val="22"/>
          <w:szCs w:val="28"/>
          <w:lang w:val="en-GB"/>
        </w:rPr>
        <w:t>: Given the possibility of litigation, especially related to the anticipated class action in the US, Globe Holdings should prepare legal arguments and evidence to support the recognition of the Cayman Islands proceeding and to counter any objections by US creditors or other parties.</w:t>
      </w:r>
    </w:p>
    <w:p w14:paraId="208B2DEA" w14:textId="77777777" w:rsidR="00AD2837" w:rsidRPr="00AD2837" w:rsidRDefault="00AD2837" w:rsidP="00AD2837">
      <w:pPr>
        <w:jc w:val="both"/>
        <w:rPr>
          <w:rFonts w:ascii="Avenir Next" w:hAnsi="Avenir Next"/>
          <w:color w:val="808080" w:themeColor="background1" w:themeShade="80"/>
          <w:sz w:val="22"/>
          <w:szCs w:val="28"/>
          <w:lang w:val="en-GB"/>
        </w:rPr>
      </w:pPr>
    </w:p>
    <w:p w14:paraId="063A62DA" w14:textId="77777777" w:rsidR="00AD2837" w:rsidRPr="00AD2837" w:rsidRDefault="00AD2837" w:rsidP="00AD2837">
      <w:pPr>
        <w:jc w:val="both"/>
        <w:rPr>
          <w:rFonts w:ascii="Avenir Next" w:hAnsi="Avenir Next"/>
          <w:color w:val="808080" w:themeColor="background1" w:themeShade="80"/>
          <w:sz w:val="22"/>
          <w:szCs w:val="28"/>
          <w:lang w:val="en-GB"/>
        </w:rPr>
      </w:pPr>
      <w:r w:rsidRPr="00AD2837">
        <w:rPr>
          <w:rFonts w:ascii="Avenir Next" w:hAnsi="Avenir Next"/>
          <w:color w:val="808080" w:themeColor="background1" w:themeShade="80"/>
          <w:sz w:val="22"/>
          <w:szCs w:val="28"/>
          <w:lang w:val="en-GB"/>
        </w:rPr>
        <w:t>The strategy revolves around a careful and well-documented application process, anticipating potential challenges and objections, especially regarding the COMI determination. Globe Holdings must argue persuasively for the benefits of recognizing the Cayman Islands proceeding to ensure a coordinated and efficient restructuring process that maximizes value for all stakeholders, aligning with the principles of the UNCITRAL Model Law on Cross-Border Insolvency and Chapter 15 of the US Bankruptcy Code.</w:t>
      </w:r>
    </w:p>
    <w:p w14:paraId="43A441E9" w14:textId="77777777" w:rsidR="00126E19" w:rsidRPr="00E2622D" w:rsidRDefault="00126E19"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86661C">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69AB8" w14:textId="77777777" w:rsidR="0086661C" w:rsidRDefault="0086661C" w:rsidP="00241B44">
      <w:r>
        <w:separator/>
      </w:r>
    </w:p>
  </w:endnote>
  <w:endnote w:type="continuationSeparator" w:id="0">
    <w:p w14:paraId="2ACAD1D6" w14:textId="77777777" w:rsidR="0086661C" w:rsidRDefault="0086661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2C47175" w:rsidR="000300E0" w:rsidRPr="00B46CE2" w:rsidRDefault="00822556" w:rsidP="000300E0">
    <w:pPr>
      <w:pStyle w:val="Footer"/>
      <w:ind w:right="360"/>
      <w:rPr>
        <w:rFonts w:ascii="Avenir Next" w:hAnsi="Avenir Next"/>
        <w:sz w:val="22"/>
        <w:szCs w:val="22"/>
      </w:rPr>
    </w:pPr>
    <w:r>
      <w:rPr>
        <w:rFonts w:ascii="Avenir Next" w:hAnsi="Avenir Next"/>
        <w:sz w:val="22"/>
        <w:szCs w:val="22"/>
      </w:rPr>
      <w:t>202324-1280</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A55F" w14:textId="77777777" w:rsidR="0086661C" w:rsidRDefault="0086661C" w:rsidP="00241B44">
      <w:r>
        <w:separator/>
      </w:r>
    </w:p>
  </w:footnote>
  <w:footnote w:type="continuationSeparator" w:id="0">
    <w:p w14:paraId="4C83114B" w14:textId="77777777" w:rsidR="0086661C" w:rsidRDefault="0086661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58D1CF4"/>
    <w:multiLevelType w:val="multilevel"/>
    <w:tmpl w:val="E70A09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B5C459F"/>
    <w:multiLevelType w:val="hybridMultilevel"/>
    <w:tmpl w:val="0A78DA82"/>
    <w:lvl w:ilvl="0" w:tplc="B34265E2">
      <w:start w:val="13"/>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58"/>
  </w:num>
  <w:num w:numId="3" w16cid:durableId="1837500537">
    <w:abstractNumId w:val="41"/>
  </w:num>
  <w:num w:numId="4" w16cid:durableId="577205504">
    <w:abstractNumId w:val="52"/>
  </w:num>
  <w:num w:numId="5" w16cid:durableId="587693970">
    <w:abstractNumId w:val="8"/>
  </w:num>
  <w:num w:numId="6" w16cid:durableId="937175523">
    <w:abstractNumId w:val="50"/>
  </w:num>
  <w:num w:numId="7" w16cid:durableId="1654067440">
    <w:abstractNumId w:val="23"/>
  </w:num>
  <w:num w:numId="8" w16cid:durableId="1105736194">
    <w:abstractNumId w:val="44"/>
  </w:num>
  <w:num w:numId="9" w16cid:durableId="337470287">
    <w:abstractNumId w:val="26"/>
  </w:num>
  <w:num w:numId="10" w16cid:durableId="409736686">
    <w:abstractNumId w:val="15"/>
  </w:num>
  <w:num w:numId="11" w16cid:durableId="2113239495">
    <w:abstractNumId w:val="30"/>
  </w:num>
  <w:num w:numId="12" w16cid:durableId="277688465">
    <w:abstractNumId w:val="48"/>
  </w:num>
  <w:num w:numId="13" w16cid:durableId="2058502388">
    <w:abstractNumId w:val="6"/>
  </w:num>
  <w:num w:numId="14" w16cid:durableId="1848598104">
    <w:abstractNumId w:val="37"/>
  </w:num>
  <w:num w:numId="15" w16cid:durableId="634214434">
    <w:abstractNumId w:val="16"/>
  </w:num>
  <w:num w:numId="16" w16cid:durableId="1164055646">
    <w:abstractNumId w:val="17"/>
  </w:num>
  <w:num w:numId="17" w16cid:durableId="4065661">
    <w:abstractNumId w:val="32"/>
  </w:num>
  <w:num w:numId="18" w16cid:durableId="970591766">
    <w:abstractNumId w:val="7"/>
  </w:num>
  <w:num w:numId="19" w16cid:durableId="1299339140">
    <w:abstractNumId w:val="31"/>
  </w:num>
  <w:num w:numId="20" w16cid:durableId="1327175081">
    <w:abstractNumId w:val="57"/>
  </w:num>
  <w:num w:numId="21" w16cid:durableId="2089498112">
    <w:abstractNumId w:val="21"/>
  </w:num>
  <w:num w:numId="22" w16cid:durableId="221064104">
    <w:abstractNumId w:val="47"/>
  </w:num>
  <w:num w:numId="23" w16cid:durableId="860243873">
    <w:abstractNumId w:val="54"/>
  </w:num>
  <w:num w:numId="24" w16cid:durableId="1555506834">
    <w:abstractNumId w:val="46"/>
  </w:num>
  <w:num w:numId="25" w16cid:durableId="1954677308">
    <w:abstractNumId w:val="36"/>
  </w:num>
  <w:num w:numId="26" w16cid:durableId="998270126">
    <w:abstractNumId w:val="55"/>
  </w:num>
  <w:num w:numId="27" w16cid:durableId="657656171">
    <w:abstractNumId w:val="51"/>
  </w:num>
  <w:num w:numId="28" w16cid:durableId="1116829249">
    <w:abstractNumId w:val="11"/>
  </w:num>
  <w:num w:numId="29" w16cid:durableId="1055274873">
    <w:abstractNumId w:val="12"/>
  </w:num>
  <w:num w:numId="30" w16cid:durableId="790785319">
    <w:abstractNumId w:val="33"/>
  </w:num>
  <w:num w:numId="31" w16cid:durableId="781922295">
    <w:abstractNumId w:val="4"/>
  </w:num>
  <w:num w:numId="32" w16cid:durableId="268047206">
    <w:abstractNumId w:val="35"/>
  </w:num>
  <w:num w:numId="33" w16cid:durableId="198930779">
    <w:abstractNumId w:val="0"/>
  </w:num>
  <w:num w:numId="34" w16cid:durableId="480577945">
    <w:abstractNumId w:val="42"/>
  </w:num>
  <w:num w:numId="35" w16cid:durableId="984242224">
    <w:abstractNumId w:val="25"/>
  </w:num>
  <w:num w:numId="36" w16cid:durableId="485898662">
    <w:abstractNumId w:val="45"/>
  </w:num>
  <w:num w:numId="37" w16cid:durableId="1147433143">
    <w:abstractNumId w:val="28"/>
  </w:num>
  <w:num w:numId="38" w16cid:durableId="827285019">
    <w:abstractNumId w:val="39"/>
  </w:num>
  <w:num w:numId="39" w16cid:durableId="128666775">
    <w:abstractNumId w:val="5"/>
  </w:num>
  <w:num w:numId="40" w16cid:durableId="1339426664">
    <w:abstractNumId w:val="24"/>
  </w:num>
  <w:num w:numId="41" w16cid:durableId="1969971734">
    <w:abstractNumId w:val="49"/>
  </w:num>
  <w:num w:numId="42" w16cid:durableId="368453801">
    <w:abstractNumId w:val="20"/>
  </w:num>
  <w:num w:numId="43" w16cid:durableId="51392340">
    <w:abstractNumId w:val="34"/>
  </w:num>
  <w:num w:numId="44" w16cid:durableId="1531332188">
    <w:abstractNumId w:val="14"/>
  </w:num>
  <w:num w:numId="45" w16cid:durableId="8337133">
    <w:abstractNumId w:val="13"/>
  </w:num>
  <w:num w:numId="46" w16cid:durableId="1612931796">
    <w:abstractNumId w:val="38"/>
  </w:num>
  <w:num w:numId="47" w16cid:durableId="89930162">
    <w:abstractNumId w:val="22"/>
  </w:num>
  <w:num w:numId="48" w16cid:durableId="1477838578">
    <w:abstractNumId w:val="9"/>
  </w:num>
  <w:num w:numId="49" w16cid:durableId="2073384460">
    <w:abstractNumId w:val="53"/>
  </w:num>
  <w:num w:numId="50" w16cid:durableId="59720369">
    <w:abstractNumId w:val="29"/>
  </w:num>
  <w:num w:numId="51" w16cid:durableId="1379276728">
    <w:abstractNumId w:val="10"/>
  </w:num>
  <w:num w:numId="52" w16cid:durableId="921179279">
    <w:abstractNumId w:val="19"/>
  </w:num>
  <w:num w:numId="53" w16cid:durableId="1060514793">
    <w:abstractNumId w:val="27"/>
  </w:num>
  <w:num w:numId="54" w16cid:durableId="64230155">
    <w:abstractNumId w:val="3"/>
  </w:num>
  <w:num w:numId="55" w16cid:durableId="1681084025">
    <w:abstractNumId w:val="2"/>
  </w:num>
  <w:num w:numId="56" w16cid:durableId="1275090443">
    <w:abstractNumId w:val="18"/>
  </w:num>
  <w:num w:numId="57" w16cid:durableId="269969236">
    <w:abstractNumId w:val="40"/>
  </w:num>
  <w:num w:numId="58" w16cid:durableId="773130575">
    <w:abstractNumId w:val="56"/>
  </w:num>
  <w:num w:numId="59" w16cid:durableId="2129664539">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858D6"/>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213D"/>
    <w:rsid w:val="007C32A8"/>
    <w:rsid w:val="007C3FE5"/>
    <w:rsid w:val="007C6201"/>
    <w:rsid w:val="007C6988"/>
    <w:rsid w:val="007D28A1"/>
    <w:rsid w:val="007D32D0"/>
    <w:rsid w:val="007D7C92"/>
    <w:rsid w:val="007E1154"/>
    <w:rsid w:val="007E6BA4"/>
    <w:rsid w:val="007E7678"/>
    <w:rsid w:val="007F41F8"/>
    <w:rsid w:val="007F60D0"/>
    <w:rsid w:val="0080454E"/>
    <w:rsid w:val="00804C32"/>
    <w:rsid w:val="00806302"/>
    <w:rsid w:val="00807119"/>
    <w:rsid w:val="00812AFE"/>
    <w:rsid w:val="00817D57"/>
    <w:rsid w:val="00822556"/>
    <w:rsid w:val="00822764"/>
    <w:rsid w:val="008241C4"/>
    <w:rsid w:val="0082483F"/>
    <w:rsid w:val="008264CB"/>
    <w:rsid w:val="008279C0"/>
    <w:rsid w:val="00835FD1"/>
    <w:rsid w:val="0084683C"/>
    <w:rsid w:val="008512FA"/>
    <w:rsid w:val="00853A74"/>
    <w:rsid w:val="00857763"/>
    <w:rsid w:val="00860E61"/>
    <w:rsid w:val="0086661C"/>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2837"/>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675E7"/>
    <w:rsid w:val="00B72F5F"/>
    <w:rsid w:val="00B736DF"/>
    <w:rsid w:val="00B74F10"/>
    <w:rsid w:val="00B74FBD"/>
    <w:rsid w:val="00B77352"/>
    <w:rsid w:val="00B82586"/>
    <w:rsid w:val="00B829A3"/>
    <w:rsid w:val="00B86DB1"/>
    <w:rsid w:val="00B87869"/>
    <w:rsid w:val="00B953BD"/>
    <w:rsid w:val="00BA0E44"/>
    <w:rsid w:val="00BA47C5"/>
    <w:rsid w:val="00BB0F2B"/>
    <w:rsid w:val="00BD0D57"/>
    <w:rsid w:val="00BE1A50"/>
    <w:rsid w:val="00BF50F7"/>
    <w:rsid w:val="00C00111"/>
    <w:rsid w:val="00C02F29"/>
    <w:rsid w:val="00C10C13"/>
    <w:rsid w:val="00C13619"/>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34FC"/>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E664D"/>
    <w:rsid w:val="00EF090E"/>
    <w:rsid w:val="00F033DA"/>
    <w:rsid w:val="00F11AAB"/>
    <w:rsid w:val="00F13FB1"/>
    <w:rsid w:val="00F17BC1"/>
    <w:rsid w:val="00F17C87"/>
    <w:rsid w:val="00F20272"/>
    <w:rsid w:val="00F223E7"/>
    <w:rsid w:val="00F2288D"/>
    <w:rsid w:val="00F24488"/>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64D"/>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7917">
      <w:bodyDiv w:val="1"/>
      <w:marLeft w:val="0"/>
      <w:marRight w:val="0"/>
      <w:marTop w:val="0"/>
      <w:marBottom w:val="0"/>
      <w:divBdr>
        <w:top w:val="none" w:sz="0" w:space="0" w:color="auto"/>
        <w:left w:val="none" w:sz="0" w:space="0" w:color="auto"/>
        <w:bottom w:val="none" w:sz="0" w:space="0" w:color="auto"/>
        <w:right w:val="none" w:sz="0" w:space="0" w:color="auto"/>
      </w:divBdr>
    </w:div>
    <w:div w:id="33214711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95614606">
      <w:bodyDiv w:val="1"/>
      <w:marLeft w:val="0"/>
      <w:marRight w:val="0"/>
      <w:marTop w:val="0"/>
      <w:marBottom w:val="0"/>
      <w:divBdr>
        <w:top w:val="none" w:sz="0" w:space="0" w:color="auto"/>
        <w:left w:val="none" w:sz="0" w:space="0" w:color="auto"/>
        <w:bottom w:val="none" w:sz="0" w:space="0" w:color="auto"/>
        <w:right w:val="none" w:sz="0" w:space="0" w:color="auto"/>
      </w:divBdr>
    </w:div>
    <w:div w:id="83384081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45504009">
      <w:bodyDiv w:val="1"/>
      <w:marLeft w:val="0"/>
      <w:marRight w:val="0"/>
      <w:marTop w:val="0"/>
      <w:marBottom w:val="0"/>
      <w:divBdr>
        <w:top w:val="none" w:sz="0" w:space="0" w:color="auto"/>
        <w:left w:val="none" w:sz="0" w:space="0" w:color="auto"/>
        <w:bottom w:val="none" w:sz="0" w:space="0" w:color="auto"/>
        <w:right w:val="none" w:sz="0" w:space="0" w:color="auto"/>
      </w:divBdr>
    </w:div>
    <w:div w:id="1133668948">
      <w:bodyDiv w:val="1"/>
      <w:marLeft w:val="0"/>
      <w:marRight w:val="0"/>
      <w:marTop w:val="0"/>
      <w:marBottom w:val="0"/>
      <w:divBdr>
        <w:top w:val="none" w:sz="0" w:space="0" w:color="auto"/>
        <w:left w:val="none" w:sz="0" w:space="0" w:color="auto"/>
        <w:bottom w:val="none" w:sz="0" w:space="0" w:color="auto"/>
        <w:right w:val="none" w:sz="0" w:space="0" w:color="auto"/>
      </w:divBdr>
    </w:div>
    <w:div w:id="1814633959">
      <w:bodyDiv w:val="1"/>
      <w:marLeft w:val="0"/>
      <w:marRight w:val="0"/>
      <w:marTop w:val="0"/>
      <w:marBottom w:val="0"/>
      <w:divBdr>
        <w:top w:val="none" w:sz="0" w:space="0" w:color="auto"/>
        <w:left w:val="none" w:sz="0" w:space="0" w:color="auto"/>
        <w:bottom w:val="none" w:sz="0" w:space="0" w:color="auto"/>
        <w:right w:val="none" w:sz="0" w:space="0" w:color="auto"/>
      </w:divBdr>
    </w:div>
    <w:div w:id="182388576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15</Pages>
  <Words>4737</Words>
  <Characters>27007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Zhi Kai Yeo</cp:lastModifiedBy>
  <cp:revision>49</cp:revision>
  <cp:lastPrinted>2019-08-27T05:42:00Z</cp:lastPrinted>
  <dcterms:created xsi:type="dcterms:W3CDTF">2023-01-19T09:32:00Z</dcterms:created>
  <dcterms:modified xsi:type="dcterms:W3CDTF">2024-03-01T21:36:00Z</dcterms:modified>
</cp:coreProperties>
</file>