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945C7A" w:rsidRDefault="00AE5B6F" w:rsidP="00B04033">
      <w:pPr>
        <w:pStyle w:val="ListParagraph"/>
        <w:numPr>
          <w:ilvl w:val="0"/>
          <w:numId w:val="1"/>
        </w:numPr>
        <w:ind w:left="426"/>
        <w:jc w:val="both"/>
        <w:rPr>
          <w:rFonts w:ascii="Avenir Next" w:hAnsi="Avenir Next" w:cs="Arial"/>
          <w:sz w:val="22"/>
          <w:szCs w:val="22"/>
          <w:highlight w:val="yellow"/>
          <w:lang w:val="en-GB"/>
        </w:rPr>
      </w:pPr>
      <w:proofErr w:type="gramStart"/>
      <w:r w:rsidRPr="00945C7A">
        <w:rPr>
          <w:rFonts w:ascii="Avenir Next" w:hAnsi="Avenir Next" w:cs="Arial"/>
          <w:sz w:val="22"/>
          <w:szCs w:val="22"/>
          <w:highlight w:val="yellow"/>
          <w:lang w:val="en-GB"/>
        </w:rPr>
        <w:t>w</w:t>
      </w:r>
      <w:r w:rsidR="00C91062" w:rsidRPr="00945C7A">
        <w:rPr>
          <w:rFonts w:ascii="Avenir Next" w:hAnsi="Avenir Next" w:cs="Arial"/>
          <w:sz w:val="22"/>
          <w:szCs w:val="22"/>
          <w:highlight w:val="yellow"/>
          <w:lang w:val="en-GB"/>
        </w:rPr>
        <w:t>ithin</w:t>
      </w:r>
      <w:proofErr w:type="gramEnd"/>
      <w:r w:rsidR="00C91062" w:rsidRPr="00945C7A">
        <w:rPr>
          <w:rFonts w:ascii="Avenir Next" w:hAnsi="Avenir Next" w:cs="Arial"/>
          <w:sz w:val="22"/>
          <w:szCs w:val="22"/>
          <w:highlight w:val="yellow"/>
          <w:lang w:val="en-GB"/>
        </w:rPr>
        <w:t xml:space="preserve"> </w:t>
      </w:r>
      <w:r w:rsidR="00733A34" w:rsidRPr="00945C7A">
        <w:rPr>
          <w:rFonts w:ascii="Avenir Next" w:hAnsi="Avenir Next" w:cs="Arial"/>
          <w:sz w:val="22"/>
          <w:szCs w:val="22"/>
          <w:highlight w:val="yellow"/>
          <w:lang w:val="en-GB"/>
        </w:rPr>
        <w:t>eight</w:t>
      </w:r>
      <w:r w:rsidR="00C91062" w:rsidRPr="00945C7A">
        <w:rPr>
          <w:rFonts w:ascii="Avenir Next" w:hAnsi="Avenir Next" w:cs="Arial"/>
          <w:sz w:val="22"/>
          <w:szCs w:val="22"/>
          <w:highlight w:val="yellow"/>
          <w:lang w:val="en-GB"/>
        </w:rPr>
        <w:t xml:space="preserve"> weeks of the commencement of the administration</w:t>
      </w:r>
      <w:r w:rsidR="00763348" w:rsidRPr="00945C7A">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w</w:t>
      </w:r>
      <w:r w:rsidR="00C91062" w:rsidRPr="00197F24">
        <w:rPr>
          <w:rFonts w:ascii="Avenir Next" w:hAnsi="Avenir Next" w:cs="Arial"/>
          <w:sz w:val="22"/>
          <w:szCs w:val="22"/>
          <w:lang w:val="en-GB"/>
        </w:rPr>
        <w:t>ithin</w:t>
      </w:r>
      <w:proofErr w:type="gramEnd"/>
      <w:r w:rsidR="00C91062" w:rsidRPr="00197F24">
        <w:rPr>
          <w:rFonts w:ascii="Avenir Next" w:hAnsi="Avenir Next" w:cs="Arial"/>
          <w:sz w:val="22"/>
          <w:szCs w:val="22"/>
          <w:lang w:val="en-GB"/>
        </w:rPr>
        <w:t xml:space="preserve">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o</w:t>
      </w:r>
      <w:r w:rsidR="00C91062" w:rsidRPr="00197F24">
        <w:rPr>
          <w:rFonts w:ascii="Avenir Next" w:hAnsi="Avenir Next" w:cs="Arial"/>
          <w:sz w:val="22"/>
          <w:szCs w:val="22"/>
          <w:lang w:val="en-GB"/>
        </w:rPr>
        <w:t>n</w:t>
      </w:r>
      <w:proofErr w:type="gramEnd"/>
      <w:r w:rsidR="00C91062" w:rsidRPr="00197F24">
        <w:rPr>
          <w:rFonts w:ascii="Avenir Next" w:hAnsi="Avenir Next" w:cs="Arial"/>
          <w:sz w:val="22"/>
          <w:szCs w:val="22"/>
          <w:lang w:val="en-GB"/>
        </w:rPr>
        <w:t xml:space="preserve">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945C7A" w:rsidRDefault="00E443D7" w:rsidP="00C55824">
      <w:pPr>
        <w:pStyle w:val="ListParagraph"/>
        <w:numPr>
          <w:ilvl w:val="0"/>
          <w:numId w:val="2"/>
        </w:numPr>
        <w:ind w:left="426"/>
        <w:jc w:val="both"/>
        <w:rPr>
          <w:rFonts w:ascii="Avenir Next" w:hAnsi="Avenir Next" w:cs="Arial"/>
          <w:sz w:val="22"/>
          <w:szCs w:val="22"/>
          <w:highlight w:val="yellow"/>
          <w:lang w:val="en-GB"/>
        </w:rPr>
      </w:pPr>
      <w:r w:rsidRPr="00945C7A">
        <w:rPr>
          <w:rFonts w:ascii="Avenir Next" w:hAnsi="Avenir Next" w:cs="Arial"/>
          <w:sz w:val="22"/>
          <w:szCs w:val="22"/>
          <w:highlight w:val="yellow"/>
          <w:lang w:val="en-GB"/>
        </w:rPr>
        <w:t>One year</w:t>
      </w:r>
      <w:r w:rsidR="00763348" w:rsidRPr="00945C7A">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945C7A" w:rsidRDefault="00AE5B6F" w:rsidP="00B04033">
      <w:pPr>
        <w:pStyle w:val="ListParagraph"/>
        <w:numPr>
          <w:ilvl w:val="0"/>
          <w:numId w:val="3"/>
        </w:numPr>
        <w:ind w:left="426"/>
        <w:jc w:val="both"/>
        <w:rPr>
          <w:rFonts w:ascii="Avenir Next" w:hAnsi="Avenir Next" w:cs="Arial"/>
          <w:sz w:val="22"/>
          <w:szCs w:val="22"/>
          <w:highlight w:val="yellow"/>
          <w:lang w:val="en-GB"/>
        </w:rPr>
      </w:pPr>
      <w:r w:rsidRPr="00945C7A">
        <w:rPr>
          <w:rFonts w:ascii="Avenir Next" w:hAnsi="Avenir Next" w:cs="Arial"/>
          <w:sz w:val="22"/>
          <w:szCs w:val="22"/>
          <w:highlight w:val="yellow"/>
          <w:lang w:val="en-GB"/>
        </w:rPr>
        <w:t>T</w:t>
      </w:r>
      <w:r w:rsidR="008D1616" w:rsidRPr="00945C7A">
        <w:rPr>
          <w:rFonts w:ascii="Avenir Next" w:hAnsi="Avenir Next" w:cs="Arial"/>
          <w:sz w:val="22"/>
          <w:szCs w:val="22"/>
          <w:highlight w:val="yellow"/>
          <w:lang w:val="en-GB"/>
        </w:rPr>
        <w:t>he company is, or is likely to become, unable to pay their debts, as defined under s</w:t>
      </w:r>
      <w:r w:rsidR="00E833F4" w:rsidRPr="00945C7A">
        <w:rPr>
          <w:rFonts w:ascii="Avenir Next" w:hAnsi="Avenir Next" w:cs="Arial"/>
          <w:sz w:val="22"/>
          <w:szCs w:val="22"/>
          <w:highlight w:val="yellow"/>
          <w:lang w:val="en-GB"/>
        </w:rPr>
        <w:t>ection</w:t>
      </w:r>
      <w:r w:rsidR="008D1616" w:rsidRPr="00945C7A">
        <w:rPr>
          <w:rFonts w:ascii="Avenir Next" w:hAnsi="Avenir Next" w:cs="Arial"/>
          <w:sz w:val="22"/>
          <w:szCs w:val="22"/>
          <w:highlight w:val="yellow"/>
          <w:lang w:val="en-GB"/>
        </w:rPr>
        <w:t xml:space="preserve"> 123 of the Insolvency Act 1986</w:t>
      </w:r>
      <w:r w:rsidR="00763348" w:rsidRPr="00945C7A">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945C7A" w:rsidRDefault="00C91062" w:rsidP="00B04033">
      <w:pPr>
        <w:pStyle w:val="ListParagraph"/>
        <w:numPr>
          <w:ilvl w:val="0"/>
          <w:numId w:val="4"/>
        </w:numPr>
        <w:ind w:left="426"/>
        <w:jc w:val="both"/>
        <w:rPr>
          <w:rFonts w:ascii="Avenir Next" w:hAnsi="Avenir Next" w:cs="Arial"/>
          <w:sz w:val="22"/>
          <w:szCs w:val="22"/>
          <w:highlight w:val="yellow"/>
          <w:lang w:val="en-GB"/>
        </w:rPr>
      </w:pPr>
      <w:r w:rsidRPr="00945C7A">
        <w:rPr>
          <w:rFonts w:ascii="Avenir Next" w:hAnsi="Avenir Next" w:cs="Arial"/>
          <w:sz w:val="22"/>
          <w:szCs w:val="22"/>
          <w:highlight w:val="yellow"/>
          <w:lang w:val="en-GB"/>
        </w:rPr>
        <w:t>The administrator</w:t>
      </w:r>
      <w:r w:rsidR="00763348" w:rsidRPr="00945C7A">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945C7A" w:rsidRDefault="00BA1CFD" w:rsidP="00B04033">
      <w:pPr>
        <w:pStyle w:val="ListParagraph"/>
        <w:numPr>
          <w:ilvl w:val="0"/>
          <w:numId w:val="5"/>
        </w:numPr>
        <w:ind w:left="426"/>
        <w:jc w:val="both"/>
        <w:rPr>
          <w:rFonts w:ascii="Avenir Next" w:hAnsi="Avenir Next" w:cs="Arial"/>
          <w:sz w:val="22"/>
          <w:szCs w:val="22"/>
          <w:highlight w:val="yellow"/>
          <w:lang w:val="en-GB"/>
        </w:rPr>
      </w:pPr>
      <w:r w:rsidRPr="00945C7A">
        <w:rPr>
          <w:rFonts w:ascii="Avenir Next" w:hAnsi="Avenir Next" w:cs="Arial"/>
          <w:sz w:val="22"/>
          <w:szCs w:val="22"/>
          <w:highlight w:val="yellow"/>
          <w:lang w:val="en-GB"/>
        </w:rPr>
        <w:t>Administration</w:t>
      </w:r>
      <w:r w:rsidR="00763348" w:rsidRPr="00945C7A">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945C7A" w:rsidRDefault="00BA1CFD" w:rsidP="00B04033">
      <w:pPr>
        <w:pStyle w:val="ListParagraph"/>
        <w:numPr>
          <w:ilvl w:val="0"/>
          <w:numId w:val="5"/>
        </w:numPr>
        <w:ind w:left="426"/>
        <w:jc w:val="both"/>
        <w:rPr>
          <w:rFonts w:ascii="Avenir Next" w:hAnsi="Avenir Next" w:cs="Arial"/>
          <w:sz w:val="22"/>
          <w:szCs w:val="22"/>
          <w:lang w:val="en-GB"/>
        </w:rPr>
      </w:pPr>
      <w:r w:rsidRPr="00945C7A">
        <w:rPr>
          <w:rFonts w:ascii="Avenir Next" w:hAnsi="Avenir Next" w:cs="Arial"/>
          <w:sz w:val="22"/>
          <w:szCs w:val="22"/>
          <w:lang w:val="en-GB"/>
        </w:rPr>
        <w:t>Restructuring Plan</w:t>
      </w:r>
      <w:r w:rsidR="00763348" w:rsidRPr="00945C7A">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9260B5" w:rsidRDefault="00221444" w:rsidP="00221444">
      <w:pPr>
        <w:pStyle w:val="ListParagraph"/>
        <w:numPr>
          <w:ilvl w:val="0"/>
          <w:numId w:val="6"/>
        </w:numPr>
        <w:ind w:left="426"/>
        <w:jc w:val="both"/>
        <w:rPr>
          <w:rFonts w:ascii="Avenir Next" w:hAnsi="Avenir Next" w:cs="Arial"/>
          <w:sz w:val="22"/>
          <w:szCs w:val="22"/>
          <w:highlight w:val="yellow"/>
          <w:lang w:val="en-GB"/>
        </w:rPr>
      </w:pPr>
      <w:r w:rsidRPr="009260B5">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9260B5" w:rsidRDefault="00BA1CFD" w:rsidP="00B04033">
      <w:pPr>
        <w:pStyle w:val="ListParagraph"/>
        <w:numPr>
          <w:ilvl w:val="0"/>
          <w:numId w:val="7"/>
        </w:numPr>
        <w:ind w:left="426"/>
        <w:jc w:val="both"/>
        <w:rPr>
          <w:rFonts w:ascii="Avenir Next" w:hAnsi="Avenir Next" w:cs="Arial"/>
          <w:sz w:val="22"/>
          <w:szCs w:val="22"/>
          <w:highlight w:val="yellow"/>
          <w:lang w:val="en-GB"/>
        </w:rPr>
      </w:pPr>
      <w:r w:rsidRPr="009260B5">
        <w:rPr>
          <w:rFonts w:ascii="Avenir Next" w:hAnsi="Avenir Next" w:cs="Arial"/>
          <w:sz w:val="22"/>
          <w:szCs w:val="22"/>
          <w:highlight w:val="yellow"/>
          <w:lang w:val="en-GB"/>
        </w:rPr>
        <w:t>Wrongful trading</w:t>
      </w:r>
      <w:r w:rsidR="00763348" w:rsidRPr="009260B5">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w:t>
      </w:r>
      <w:proofErr w:type="gramStart"/>
      <w:r w:rsidRPr="00197F24">
        <w:rPr>
          <w:rFonts w:ascii="Avenir Next" w:hAnsi="Avenir Next" w:cs="Arial"/>
          <w:sz w:val="22"/>
          <w:szCs w:val="22"/>
          <w:lang w:val="en-GB"/>
        </w:rPr>
        <w:t>Appoint</w:t>
      </w:r>
      <w:proofErr w:type="gramEnd"/>
      <w:r w:rsidRPr="00197F24">
        <w:rPr>
          <w:rFonts w:ascii="Avenir Next" w:hAnsi="Avenir Next" w:cs="Arial"/>
          <w:sz w:val="22"/>
          <w:szCs w:val="22"/>
          <w:lang w:val="en-GB"/>
        </w:rPr>
        <w:t xml:space="preserve">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9260B5" w:rsidRDefault="00450393" w:rsidP="00450393">
      <w:pPr>
        <w:pStyle w:val="ListParagraph"/>
        <w:numPr>
          <w:ilvl w:val="0"/>
          <w:numId w:val="8"/>
        </w:numPr>
        <w:ind w:left="426"/>
        <w:jc w:val="both"/>
        <w:rPr>
          <w:rFonts w:ascii="Avenir Next" w:hAnsi="Avenir Next" w:cs="Arial"/>
          <w:sz w:val="22"/>
          <w:szCs w:val="22"/>
          <w:highlight w:val="yellow"/>
          <w:lang w:val="en-GB"/>
        </w:rPr>
      </w:pPr>
      <w:r w:rsidRPr="009260B5">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D4347D" w:rsidRDefault="00E833F4" w:rsidP="00B04033">
      <w:pPr>
        <w:pStyle w:val="ListParagraph"/>
        <w:numPr>
          <w:ilvl w:val="0"/>
          <w:numId w:val="9"/>
        </w:numPr>
        <w:ind w:left="426"/>
        <w:jc w:val="both"/>
        <w:rPr>
          <w:rFonts w:ascii="Avenir Next" w:hAnsi="Avenir Next" w:cs="Arial"/>
          <w:sz w:val="22"/>
          <w:szCs w:val="22"/>
          <w:highlight w:val="yellow"/>
          <w:lang w:val="en-GB"/>
        </w:rPr>
      </w:pPr>
      <w:r w:rsidRPr="00D4347D">
        <w:rPr>
          <w:rFonts w:ascii="Avenir Next" w:hAnsi="Avenir Next" w:cs="Arial"/>
          <w:sz w:val="22"/>
          <w:szCs w:val="22"/>
          <w:highlight w:val="yellow"/>
          <w:lang w:val="en-GB"/>
        </w:rPr>
        <w:t>A</w:t>
      </w:r>
      <w:r w:rsidR="000D10C6" w:rsidRPr="00D4347D">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D4347D" w:rsidRDefault="000D4CFA" w:rsidP="004C7A8F">
      <w:pPr>
        <w:pStyle w:val="ListParagraph"/>
        <w:numPr>
          <w:ilvl w:val="0"/>
          <w:numId w:val="10"/>
        </w:numPr>
        <w:ind w:left="426"/>
        <w:jc w:val="both"/>
        <w:rPr>
          <w:rFonts w:ascii="Avenir Next" w:hAnsi="Avenir Next" w:cs="Arial"/>
          <w:sz w:val="22"/>
          <w:szCs w:val="22"/>
          <w:highlight w:val="yellow"/>
          <w:lang w:val="en-GB"/>
        </w:rPr>
      </w:pPr>
      <w:r w:rsidRPr="00D4347D">
        <w:rPr>
          <w:rFonts w:ascii="Avenir Next" w:hAnsi="Avenir Next" w:cs="Arial"/>
          <w:sz w:val="22"/>
          <w:szCs w:val="22"/>
          <w:highlight w:val="yellow"/>
          <w:lang w:val="en-GB"/>
        </w:rPr>
        <w:t>Five</w:t>
      </w:r>
      <w:r w:rsidR="004C7A8F" w:rsidRPr="00D4347D">
        <w:rPr>
          <w:rFonts w:ascii="Avenir Next" w:hAnsi="Avenir Next" w:cs="Arial"/>
          <w:sz w:val="22"/>
          <w:szCs w:val="22"/>
          <w:highlight w:val="yellow"/>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Twelve</w:t>
      </w:r>
      <w:r w:rsidR="004C7A8F" w:rsidRPr="00197F24">
        <w:rPr>
          <w:rFonts w:ascii="Avenir Next" w:hAnsi="Avenir Next" w:cs="Arial"/>
          <w:sz w:val="22"/>
          <w:szCs w:val="22"/>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lastRenderedPageBreak/>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w:t>
      </w:r>
      <w:proofErr w:type="gramStart"/>
      <w:r>
        <w:rPr>
          <w:rFonts w:ascii="Avenir Next" w:hAnsi="Avenir Next" w:cs="Arial"/>
          <w:sz w:val="22"/>
          <w:szCs w:val="22"/>
          <w:lang w:val="en-GB"/>
        </w:rPr>
        <w:t>(iv) section</w:t>
      </w:r>
      <w:proofErr w:type="gramEnd"/>
      <w:r>
        <w:rPr>
          <w:rFonts w:ascii="Avenir Next" w:hAnsi="Avenir Next" w:cs="Arial"/>
          <w:sz w:val="22"/>
          <w:szCs w:val="22"/>
          <w:lang w:val="en-GB"/>
        </w:rPr>
        <w:t xml:space="preserve">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09FD60B1" w:rsidR="00DE03AF" w:rsidRDefault="00D4347D" w:rsidP="002A37BB">
      <w:pPr>
        <w:jc w:val="both"/>
        <w:rPr>
          <w:rFonts w:ascii="Avenir Next" w:hAnsi="Avenir Next" w:cs="Arial"/>
          <w:b/>
          <w:color w:val="7B7B7B" w:themeColor="accent3" w:themeShade="BF"/>
          <w:sz w:val="22"/>
          <w:szCs w:val="22"/>
          <w:u w:val="single"/>
          <w:lang w:val="en-GB"/>
        </w:rPr>
      </w:pPr>
      <w:r>
        <w:rPr>
          <w:rFonts w:ascii="Avenir Next" w:hAnsi="Avenir Next" w:cs="Arial"/>
          <w:b/>
          <w:color w:val="7B7B7B" w:themeColor="accent3" w:themeShade="BF"/>
          <w:sz w:val="22"/>
          <w:szCs w:val="22"/>
          <w:u w:val="single"/>
          <w:lang w:val="en-GB"/>
        </w:rPr>
        <w:t>Section 245 of the Insolvency Act 1986</w:t>
      </w:r>
    </w:p>
    <w:p w14:paraId="125FD842" w14:textId="77777777" w:rsidR="00007E27" w:rsidRDefault="00007E27" w:rsidP="002A37BB">
      <w:pPr>
        <w:jc w:val="both"/>
        <w:rPr>
          <w:rFonts w:ascii="Avenir Next" w:hAnsi="Avenir Next" w:cs="Arial"/>
          <w:color w:val="7B7B7B" w:themeColor="accent3" w:themeShade="BF"/>
          <w:sz w:val="22"/>
          <w:szCs w:val="22"/>
          <w:lang w:val="en-GB"/>
        </w:rPr>
      </w:pPr>
    </w:p>
    <w:p w14:paraId="58731DAC" w14:textId="7F811779" w:rsidR="00D4347D" w:rsidRDefault="00007E2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Floating charges caught by section 245 of the Insolvency Act 1986 (the "</w:t>
      </w:r>
      <w:r>
        <w:rPr>
          <w:rFonts w:ascii="Avenir Next" w:hAnsi="Avenir Next" w:cs="Arial"/>
          <w:b/>
          <w:color w:val="7B7B7B" w:themeColor="accent3" w:themeShade="BF"/>
          <w:sz w:val="22"/>
          <w:szCs w:val="22"/>
          <w:lang w:val="en-GB"/>
        </w:rPr>
        <w:t>Insolvency Act</w:t>
      </w:r>
      <w:r>
        <w:rPr>
          <w:rFonts w:ascii="Avenir Next" w:hAnsi="Avenir Next" w:cs="Arial"/>
          <w:color w:val="7B7B7B" w:themeColor="accent3" w:themeShade="BF"/>
          <w:sz w:val="22"/>
          <w:szCs w:val="22"/>
          <w:lang w:val="en-GB"/>
        </w:rPr>
        <w:t xml:space="preserve">") are automatically rendered invalid in the event that a company goes into liquidation or administration. As such, an "action" under s.245 of the Insolvency Act does not depend on an application of a liquidator or administrator – s.245 is </w:t>
      </w:r>
      <w:r>
        <w:rPr>
          <w:rFonts w:ascii="Avenir Next" w:hAnsi="Avenir Next" w:cs="Arial"/>
          <w:i/>
          <w:color w:val="7B7B7B" w:themeColor="accent3" w:themeShade="BF"/>
          <w:sz w:val="22"/>
          <w:szCs w:val="22"/>
          <w:lang w:val="en-GB"/>
        </w:rPr>
        <w:t>ipso facto</w:t>
      </w:r>
      <w:r>
        <w:rPr>
          <w:rFonts w:ascii="Avenir Next" w:hAnsi="Avenir Next" w:cs="Arial"/>
          <w:color w:val="7B7B7B" w:themeColor="accent3" w:themeShade="BF"/>
          <w:sz w:val="22"/>
          <w:szCs w:val="22"/>
          <w:lang w:val="en-GB"/>
        </w:rPr>
        <w:t xml:space="preserve"> </w:t>
      </w:r>
      <w:r w:rsidR="003530E1">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determination of </w:t>
      </w:r>
      <w:r w:rsidR="003530E1">
        <w:rPr>
          <w:rFonts w:ascii="Avenir Next" w:hAnsi="Avenir Next" w:cs="Arial"/>
          <w:color w:val="7B7B7B" w:themeColor="accent3" w:themeShade="BF"/>
          <w:sz w:val="22"/>
          <w:szCs w:val="22"/>
          <w:lang w:val="en-GB"/>
        </w:rPr>
        <w:t xml:space="preserve">a floating charge's </w:t>
      </w:r>
      <w:r>
        <w:rPr>
          <w:rFonts w:ascii="Avenir Next" w:hAnsi="Avenir Next" w:cs="Arial"/>
          <w:color w:val="7B7B7B" w:themeColor="accent3" w:themeShade="BF"/>
          <w:sz w:val="22"/>
          <w:szCs w:val="22"/>
          <w:lang w:val="en-GB"/>
        </w:rPr>
        <w:t>invalidity. The only exception</w:t>
      </w:r>
      <w:r w:rsidR="001C75E0">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to an automatic rendering of </w:t>
      </w:r>
      <w:r w:rsidR="003530E1">
        <w:rPr>
          <w:rFonts w:ascii="Avenir Next" w:hAnsi="Avenir Next" w:cs="Arial"/>
          <w:color w:val="7B7B7B" w:themeColor="accent3" w:themeShade="BF"/>
          <w:sz w:val="22"/>
          <w:szCs w:val="22"/>
          <w:lang w:val="en-GB"/>
        </w:rPr>
        <w:t>a floating charge</w:t>
      </w:r>
      <w:r>
        <w:rPr>
          <w:rFonts w:ascii="Avenir Next" w:hAnsi="Avenir Next" w:cs="Arial"/>
          <w:color w:val="7B7B7B" w:themeColor="accent3" w:themeShade="BF"/>
          <w:sz w:val="22"/>
          <w:szCs w:val="22"/>
          <w:lang w:val="en-GB"/>
        </w:rPr>
        <w:t xml:space="preserve"> as invalid under s.245 of the Insolvency Act </w:t>
      </w:r>
      <w:r w:rsidR="001C75E0">
        <w:rPr>
          <w:rFonts w:ascii="Avenir Next" w:hAnsi="Avenir Next" w:cs="Arial"/>
          <w:color w:val="7B7B7B" w:themeColor="accent3" w:themeShade="BF"/>
          <w:sz w:val="22"/>
          <w:szCs w:val="22"/>
          <w:lang w:val="en-GB"/>
        </w:rPr>
        <w:t>are</w:t>
      </w:r>
      <w:r w:rsidR="003530E1">
        <w:rPr>
          <w:rFonts w:ascii="Avenir Next" w:hAnsi="Avenir Next" w:cs="Arial"/>
          <w:color w:val="7B7B7B" w:themeColor="accent3" w:themeShade="BF"/>
          <w:sz w:val="22"/>
          <w:szCs w:val="22"/>
          <w:lang w:val="en-GB"/>
        </w:rPr>
        <w:t xml:space="preserve"> the "new" consideration factors</w:t>
      </w:r>
      <w:r w:rsidR="001C75E0">
        <w:rPr>
          <w:rFonts w:ascii="Avenir Next" w:hAnsi="Avenir Next" w:cs="Arial"/>
          <w:color w:val="7B7B7B" w:themeColor="accent3" w:themeShade="BF"/>
          <w:sz w:val="22"/>
          <w:szCs w:val="22"/>
          <w:lang w:val="en-GB"/>
        </w:rPr>
        <w:t xml:space="preserve"> found in</w:t>
      </w:r>
      <w:r w:rsidR="00CE4914">
        <w:rPr>
          <w:rFonts w:ascii="Avenir Next" w:hAnsi="Avenir Next" w:cs="Arial"/>
          <w:color w:val="7B7B7B" w:themeColor="accent3" w:themeShade="BF"/>
          <w:sz w:val="22"/>
          <w:szCs w:val="22"/>
          <w:lang w:val="en-GB"/>
        </w:rPr>
        <w:t xml:space="preserve"> s</w:t>
      </w:r>
      <w:r w:rsidR="001C75E0">
        <w:rPr>
          <w:rFonts w:ascii="Avenir Next" w:hAnsi="Avenir Next" w:cs="Arial"/>
          <w:color w:val="7B7B7B" w:themeColor="accent3" w:themeShade="BF"/>
          <w:sz w:val="22"/>
          <w:szCs w:val="22"/>
          <w:lang w:val="en-GB"/>
        </w:rPr>
        <w:t>.245(</w:t>
      </w:r>
      <w:r w:rsidR="003530E1">
        <w:rPr>
          <w:rFonts w:ascii="Avenir Next" w:hAnsi="Avenir Next" w:cs="Arial"/>
          <w:color w:val="7B7B7B" w:themeColor="accent3" w:themeShade="BF"/>
          <w:sz w:val="22"/>
          <w:szCs w:val="22"/>
          <w:lang w:val="en-GB"/>
        </w:rPr>
        <w:t>2)(a)-(c) of the Insolvency Act</w:t>
      </w:r>
      <w:r w:rsidR="001C75E0">
        <w:rPr>
          <w:rFonts w:ascii="Avenir Next" w:hAnsi="Avenir Next" w:cs="Arial"/>
          <w:color w:val="7B7B7B" w:themeColor="accent3" w:themeShade="BF"/>
          <w:sz w:val="22"/>
          <w:szCs w:val="22"/>
          <w:lang w:val="en-GB"/>
        </w:rPr>
        <w:t>:</w:t>
      </w:r>
    </w:p>
    <w:p w14:paraId="4BBC403F" w14:textId="601CFA66" w:rsidR="001C75E0" w:rsidRDefault="001C75E0" w:rsidP="002A37BB">
      <w:pPr>
        <w:jc w:val="both"/>
        <w:rPr>
          <w:rFonts w:ascii="Avenir Next" w:hAnsi="Avenir Next" w:cs="Arial"/>
          <w:color w:val="7B7B7B" w:themeColor="accent3" w:themeShade="BF"/>
          <w:sz w:val="22"/>
          <w:szCs w:val="22"/>
          <w:lang w:val="en-GB"/>
        </w:rPr>
      </w:pPr>
    </w:p>
    <w:p w14:paraId="52BEFDA9" w14:textId="55580AF9" w:rsidR="001C75E0" w:rsidRDefault="001C75E0" w:rsidP="001C75E0">
      <w:pPr>
        <w:ind w:left="720"/>
        <w:jc w:val="both"/>
        <w:rPr>
          <w:rFonts w:ascii="Avenir Next" w:hAnsi="Avenir Next" w:cs="Arial"/>
          <w:i/>
          <w:color w:val="7B7B7B" w:themeColor="accent3" w:themeShade="BF"/>
          <w:sz w:val="22"/>
          <w:szCs w:val="22"/>
          <w:lang w:val="en-GB"/>
        </w:rPr>
      </w:pPr>
      <w:r>
        <w:rPr>
          <w:rFonts w:ascii="Avenir Next" w:hAnsi="Avenir Next" w:cs="Arial"/>
          <w:color w:val="7B7B7B" w:themeColor="accent3" w:themeShade="BF"/>
          <w:sz w:val="22"/>
          <w:szCs w:val="22"/>
          <w:lang w:val="en-GB"/>
        </w:rPr>
        <w:t>"</w:t>
      </w:r>
      <w:r>
        <w:rPr>
          <w:rFonts w:ascii="Avenir Next" w:hAnsi="Avenir Next" w:cs="Arial"/>
          <w:i/>
          <w:color w:val="7B7B7B" w:themeColor="accent3" w:themeShade="BF"/>
          <w:sz w:val="22"/>
          <w:szCs w:val="22"/>
          <w:lang w:val="en-GB"/>
        </w:rPr>
        <w:t>(a) the value of so much of the consideration for the creation of the charge as consists of money paid, or goods or services supplied, to the company at the same time as, or after, the creation of the charge,</w:t>
      </w:r>
    </w:p>
    <w:p w14:paraId="2DA9E39A" w14:textId="21BCE328" w:rsidR="001C75E0" w:rsidRDefault="001C75E0" w:rsidP="001C75E0">
      <w:pPr>
        <w:ind w:left="720"/>
        <w:jc w:val="both"/>
        <w:rPr>
          <w:rFonts w:ascii="Avenir Next" w:hAnsi="Avenir Next" w:cs="Arial"/>
          <w:i/>
          <w:color w:val="7B7B7B" w:themeColor="accent3" w:themeShade="BF"/>
          <w:sz w:val="22"/>
          <w:szCs w:val="22"/>
          <w:lang w:val="en-GB"/>
        </w:rPr>
      </w:pPr>
    </w:p>
    <w:p w14:paraId="66633A50" w14:textId="0FAD5C8E" w:rsidR="001C75E0" w:rsidRDefault="001C75E0" w:rsidP="001C75E0">
      <w:pPr>
        <w:ind w:left="720"/>
        <w:jc w:val="both"/>
        <w:rPr>
          <w:rFonts w:ascii="Avenir Next" w:hAnsi="Avenir Next" w:cs="Arial"/>
          <w:i/>
          <w:color w:val="7B7B7B" w:themeColor="accent3" w:themeShade="BF"/>
          <w:sz w:val="22"/>
          <w:szCs w:val="22"/>
          <w:lang w:val="en-GB"/>
        </w:rPr>
      </w:pPr>
      <w:r>
        <w:rPr>
          <w:rFonts w:ascii="Avenir Next" w:hAnsi="Avenir Next" w:cs="Arial"/>
          <w:i/>
          <w:color w:val="7B7B7B" w:themeColor="accent3" w:themeShade="BF"/>
          <w:sz w:val="22"/>
          <w:szCs w:val="22"/>
          <w:lang w:val="en-GB"/>
        </w:rPr>
        <w:t>(b) the value of so much of that consideration as consists of the discharge or reduction, at the same time as, or after, the creation of the charge of any debt of the company, and</w:t>
      </w:r>
    </w:p>
    <w:p w14:paraId="08C46544" w14:textId="535851F6" w:rsidR="001C75E0" w:rsidRDefault="001C75E0" w:rsidP="001C75E0">
      <w:pPr>
        <w:ind w:left="720"/>
        <w:jc w:val="both"/>
        <w:rPr>
          <w:rFonts w:ascii="Avenir Next" w:hAnsi="Avenir Next" w:cs="Arial"/>
          <w:i/>
          <w:color w:val="7B7B7B" w:themeColor="accent3" w:themeShade="BF"/>
          <w:sz w:val="22"/>
          <w:szCs w:val="22"/>
          <w:lang w:val="en-GB"/>
        </w:rPr>
      </w:pPr>
    </w:p>
    <w:p w14:paraId="7E4D2B9F" w14:textId="5DC10647" w:rsidR="001C75E0" w:rsidRDefault="001C75E0" w:rsidP="001C75E0">
      <w:pPr>
        <w:ind w:left="720"/>
        <w:jc w:val="both"/>
        <w:rPr>
          <w:rFonts w:ascii="Avenir Next" w:hAnsi="Avenir Next" w:cs="Arial"/>
          <w:color w:val="7B7B7B" w:themeColor="accent3" w:themeShade="BF"/>
          <w:sz w:val="22"/>
          <w:szCs w:val="22"/>
          <w:lang w:val="en-GB"/>
        </w:rPr>
      </w:pPr>
      <w:r>
        <w:rPr>
          <w:rFonts w:ascii="Avenir Next" w:hAnsi="Avenir Next" w:cs="Arial"/>
          <w:i/>
          <w:color w:val="7B7B7B" w:themeColor="accent3" w:themeShade="BF"/>
          <w:sz w:val="22"/>
          <w:szCs w:val="22"/>
          <w:lang w:val="en-GB"/>
        </w:rPr>
        <w:t>(c) the amount of such interest (if any) as is payable on the amount falling within paragraph (a) or (b) in pursuance of any agreement under which the money was so paid, the goods or services were so supplied or the debt was so discharged or reduced.</w:t>
      </w:r>
      <w:r>
        <w:rPr>
          <w:rFonts w:ascii="Avenir Next" w:hAnsi="Avenir Next" w:cs="Arial"/>
          <w:color w:val="7B7B7B" w:themeColor="accent3" w:themeShade="BF"/>
          <w:sz w:val="22"/>
          <w:szCs w:val="22"/>
          <w:lang w:val="en-GB"/>
        </w:rPr>
        <w:t xml:space="preserve">" </w:t>
      </w:r>
    </w:p>
    <w:p w14:paraId="282755E9" w14:textId="21ADA759" w:rsidR="001C75E0" w:rsidRDefault="001C75E0" w:rsidP="001C75E0">
      <w:pPr>
        <w:jc w:val="both"/>
        <w:rPr>
          <w:rFonts w:ascii="Avenir Next" w:hAnsi="Avenir Next" w:cs="Arial"/>
          <w:color w:val="7B7B7B" w:themeColor="accent3" w:themeShade="BF"/>
          <w:sz w:val="22"/>
          <w:szCs w:val="22"/>
          <w:lang w:val="en-GB"/>
        </w:rPr>
      </w:pPr>
    </w:p>
    <w:p w14:paraId="1DF9CDE9" w14:textId="6B32AD64" w:rsidR="001C75E0" w:rsidRDefault="001C75E0" w:rsidP="001C75E0">
      <w:pPr>
        <w:jc w:val="both"/>
        <w:rPr>
          <w:rFonts w:ascii="Avenir Next" w:hAnsi="Avenir Next" w:cs="Arial"/>
          <w:color w:val="7B7B7B" w:themeColor="accent3" w:themeShade="BF"/>
          <w:sz w:val="22"/>
          <w:szCs w:val="22"/>
          <w:lang w:val="en-GB"/>
        </w:rPr>
      </w:pPr>
      <w:r>
        <w:rPr>
          <w:rFonts w:ascii="Avenir Next" w:hAnsi="Avenir Next" w:cs="Arial"/>
          <w:b/>
          <w:color w:val="7B7B7B" w:themeColor="accent3" w:themeShade="BF"/>
          <w:sz w:val="22"/>
          <w:szCs w:val="22"/>
          <w:u w:val="single"/>
          <w:lang w:val="en-GB"/>
        </w:rPr>
        <w:t>Section 6 of the Company Directors Disqualification Act 1986</w:t>
      </w:r>
    </w:p>
    <w:p w14:paraId="000EC0EA" w14:textId="77FC619F" w:rsidR="001C75E0" w:rsidRDefault="001C75E0" w:rsidP="001C75E0">
      <w:pPr>
        <w:jc w:val="both"/>
        <w:rPr>
          <w:rFonts w:ascii="Avenir Next" w:hAnsi="Avenir Next" w:cs="Arial"/>
          <w:color w:val="7B7B7B" w:themeColor="accent3" w:themeShade="BF"/>
          <w:sz w:val="22"/>
          <w:szCs w:val="22"/>
          <w:lang w:val="en-GB"/>
        </w:rPr>
      </w:pPr>
    </w:p>
    <w:p w14:paraId="2839FFBB" w14:textId="15876A14" w:rsidR="001C75E0" w:rsidRDefault="001C75E0" w:rsidP="001C75E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6 of the Company Directors Disqualification Act 1986 (the "</w:t>
      </w:r>
      <w:proofErr w:type="spellStart"/>
      <w:r>
        <w:rPr>
          <w:rFonts w:ascii="Avenir Next" w:hAnsi="Avenir Next" w:cs="Arial"/>
          <w:b/>
          <w:color w:val="7B7B7B" w:themeColor="accent3" w:themeShade="BF"/>
          <w:sz w:val="22"/>
          <w:szCs w:val="22"/>
          <w:lang w:val="en-GB"/>
        </w:rPr>
        <w:t>CDDA</w:t>
      </w:r>
      <w:proofErr w:type="spellEnd"/>
      <w:r>
        <w:rPr>
          <w:rFonts w:ascii="Avenir Next" w:hAnsi="Avenir Next" w:cs="Arial"/>
          <w:color w:val="7B7B7B" w:themeColor="accent3" w:themeShade="BF"/>
          <w:sz w:val="22"/>
          <w:szCs w:val="22"/>
          <w:lang w:val="en-GB"/>
        </w:rPr>
        <w:t xml:space="preserve">") allows the Secretary of State to bring legal action against a director of a company, in circumstances where the Secretary considers that the court will be </w:t>
      </w:r>
      <w:r w:rsidR="00CE4914">
        <w:rPr>
          <w:rFonts w:ascii="Avenir Next" w:hAnsi="Avenir Next" w:cs="Arial"/>
          <w:color w:val="7B7B7B" w:themeColor="accent3" w:themeShade="BF"/>
          <w:sz w:val="22"/>
          <w:szCs w:val="22"/>
          <w:lang w:val="en-GB"/>
        </w:rPr>
        <w:t xml:space="preserve">satisfied as to s.6(1)(a)-(b) of the </w:t>
      </w:r>
      <w:proofErr w:type="spellStart"/>
      <w:r w:rsidR="00CE4914">
        <w:rPr>
          <w:rFonts w:ascii="Avenir Next" w:hAnsi="Avenir Next" w:cs="Arial"/>
          <w:color w:val="7B7B7B" w:themeColor="accent3" w:themeShade="BF"/>
          <w:sz w:val="22"/>
          <w:szCs w:val="22"/>
          <w:lang w:val="en-GB"/>
        </w:rPr>
        <w:t>CDDA</w:t>
      </w:r>
      <w:proofErr w:type="spellEnd"/>
      <w:r w:rsidR="00CE4914">
        <w:rPr>
          <w:rFonts w:ascii="Avenir Next" w:hAnsi="Avenir Next" w:cs="Arial"/>
          <w:color w:val="7B7B7B" w:themeColor="accent3" w:themeShade="BF"/>
          <w:sz w:val="22"/>
          <w:szCs w:val="22"/>
          <w:lang w:val="en-GB"/>
        </w:rPr>
        <w:t>.</w:t>
      </w:r>
    </w:p>
    <w:p w14:paraId="6968FAA2" w14:textId="51F769C2" w:rsidR="00CE4914" w:rsidRDefault="00CE4914" w:rsidP="001C75E0">
      <w:pPr>
        <w:jc w:val="both"/>
        <w:rPr>
          <w:rFonts w:ascii="Avenir Next" w:hAnsi="Avenir Next" w:cs="Arial"/>
          <w:color w:val="7B7B7B" w:themeColor="accent3" w:themeShade="BF"/>
          <w:sz w:val="22"/>
          <w:szCs w:val="22"/>
          <w:lang w:val="en-GB"/>
        </w:rPr>
      </w:pPr>
    </w:p>
    <w:p w14:paraId="1BA11E6E" w14:textId="61837947" w:rsidR="00CE4914" w:rsidRDefault="00CE4914" w:rsidP="001C75E0">
      <w:pPr>
        <w:jc w:val="both"/>
        <w:rPr>
          <w:rFonts w:ascii="Avenir Next" w:hAnsi="Avenir Next" w:cs="Arial"/>
          <w:b/>
          <w:color w:val="7B7B7B" w:themeColor="accent3" w:themeShade="BF"/>
          <w:sz w:val="22"/>
          <w:szCs w:val="22"/>
          <w:u w:val="single"/>
          <w:lang w:val="en-GB"/>
        </w:rPr>
      </w:pPr>
      <w:r>
        <w:rPr>
          <w:rFonts w:ascii="Avenir Next" w:hAnsi="Avenir Next" w:cs="Arial"/>
          <w:b/>
          <w:color w:val="7B7B7B" w:themeColor="accent3" w:themeShade="BF"/>
          <w:sz w:val="22"/>
          <w:szCs w:val="22"/>
          <w:u w:val="single"/>
          <w:lang w:val="en-GB"/>
        </w:rPr>
        <w:t>Section 246ZB of the Insolvency Act</w:t>
      </w:r>
    </w:p>
    <w:p w14:paraId="0BD0812C" w14:textId="2304E750" w:rsidR="00CE4914" w:rsidRDefault="00CE4914" w:rsidP="001C75E0">
      <w:pPr>
        <w:jc w:val="both"/>
        <w:rPr>
          <w:rFonts w:ascii="Avenir Next" w:hAnsi="Avenir Next" w:cs="Arial"/>
          <w:b/>
          <w:color w:val="7B7B7B" w:themeColor="accent3" w:themeShade="BF"/>
          <w:sz w:val="22"/>
          <w:szCs w:val="22"/>
          <w:u w:val="single"/>
          <w:lang w:val="en-GB"/>
        </w:rPr>
      </w:pPr>
    </w:p>
    <w:p w14:paraId="0E2AB671" w14:textId="018578EC" w:rsidR="00CE4914" w:rsidRDefault="00CE4914" w:rsidP="001C75E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Traditionally, claims against directors for wrongful trading were only brought by liquidators. However, due to s.246ZB</w:t>
      </w:r>
      <w:r w:rsidR="003530E1" w:rsidRPr="003530E1">
        <w:rPr>
          <w:rFonts w:ascii="Avenir Next" w:hAnsi="Avenir Next" w:cs="Arial"/>
          <w:color w:val="7B7B7B" w:themeColor="accent3" w:themeShade="BF"/>
          <w:sz w:val="22"/>
          <w:szCs w:val="22"/>
          <w:lang w:val="en-GB"/>
        </w:rPr>
        <w:t xml:space="preserve"> </w:t>
      </w:r>
      <w:r w:rsidR="003530E1">
        <w:rPr>
          <w:rFonts w:ascii="Avenir Next" w:hAnsi="Avenir Next" w:cs="Arial"/>
          <w:color w:val="7B7B7B" w:themeColor="accent3" w:themeShade="BF"/>
          <w:sz w:val="22"/>
          <w:szCs w:val="22"/>
          <w:lang w:val="en-GB"/>
        </w:rPr>
        <w:t>of the Insolvency Act (as introduced by the Small Business, Enterprise and Employment Act 2015)</w:t>
      </w:r>
      <w:r>
        <w:rPr>
          <w:rFonts w:ascii="Avenir Next" w:hAnsi="Avenir Next" w:cs="Arial"/>
          <w:color w:val="7B7B7B" w:themeColor="accent3" w:themeShade="BF"/>
          <w:sz w:val="22"/>
          <w:szCs w:val="22"/>
          <w:lang w:val="en-GB"/>
        </w:rPr>
        <w:t xml:space="preserve">, claims against directors for </w:t>
      </w:r>
      <w:r w:rsidR="003530E1">
        <w:rPr>
          <w:rFonts w:ascii="Avenir Next" w:hAnsi="Avenir Next" w:cs="Arial"/>
          <w:color w:val="7B7B7B" w:themeColor="accent3" w:themeShade="BF"/>
          <w:sz w:val="22"/>
          <w:szCs w:val="22"/>
          <w:lang w:val="en-GB"/>
        </w:rPr>
        <w:t xml:space="preserve">wrongful trading may now be commenced by administrators. </w:t>
      </w:r>
    </w:p>
    <w:p w14:paraId="654BDD17" w14:textId="1B3B450B" w:rsidR="003530E1" w:rsidRDefault="003530E1" w:rsidP="001C75E0">
      <w:pPr>
        <w:jc w:val="both"/>
        <w:rPr>
          <w:rFonts w:ascii="Avenir Next" w:hAnsi="Avenir Next" w:cs="Arial"/>
          <w:color w:val="7B7B7B" w:themeColor="accent3" w:themeShade="BF"/>
          <w:sz w:val="22"/>
          <w:szCs w:val="22"/>
          <w:lang w:val="en-GB"/>
        </w:rPr>
      </w:pPr>
    </w:p>
    <w:p w14:paraId="4BD4776F" w14:textId="68351599" w:rsidR="003530E1" w:rsidRDefault="003530E1" w:rsidP="001C75E0">
      <w:pPr>
        <w:jc w:val="both"/>
        <w:rPr>
          <w:rFonts w:ascii="Avenir Next" w:hAnsi="Avenir Next" w:cs="Arial"/>
          <w:b/>
          <w:color w:val="7B7B7B" w:themeColor="accent3" w:themeShade="BF"/>
          <w:sz w:val="22"/>
          <w:szCs w:val="22"/>
          <w:u w:val="single"/>
          <w:lang w:val="en-GB"/>
        </w:rPr>
      </w:pPr>
      <w:r>
        <w:rPr>
          <w:rFonts w:ascii="Avenir Next" w:hAnsi="Avenir Next" w:cs="Arial"/>
          <w:b/>
          <w:color w:val="7B7B7B" w:themeColor="accent3" w:themeShade="BF"/>
          <w:sz w:val="22"/>
          <w:szCs w:val="22"/>
          <w:u w:val="single"/>
          <w:lang w:val="en-GB"/>
        </w:rPr>
        <w:t>Section 127 of the Insolvency Act</w:t>
      </w:r>
    </w:p>
    <w:p w14:paraId="578A8EEF" w14:textId="029C567E" w:rsidR="003530E1" w:rsidRDefault="003530E1" w:rsidP="001C75E0">
      <w:pPr>
        <w:jc w:val="both"/>
        <w:rPr>
          <w:rFonts w:ascii="Avenir Next" w:hAnsi="Avenir Next" w:cs="Arial"/>
          <w:b/>
          <w:color w:val="7B7B7B" w:themeColor="accent3" w:themeShade="BF"/>
          <w:sz w:val="22"/>
          <w:szCs w:val="22"/>
          <w:u w:val="single"/>
          <w:lang w:val="en-GB"/>
        </w:rPr>
      </w:pPr>
    </w:p>
    <w:p w14:paraId="42AED19A" w14:textId="050BB8A2" w:rsidR="003530E1" w:rsidRPr="003530E1" w:rsidRDefault="003530E1" w:rsidP="001C75E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Claims under s.127 of the Insolvency Act are ordinarily brought by a liquidator.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737939A7" w:rsidR="00197F24" w:rsidRDefault="00AD332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following pre-moratorium debts must continue to be met by the company and do not benefit from the payment holiday under Part A1 of the Insolvency Act: </w:t>
      </w:r>
    </w:p>
    <w:p w14:paraId="0CA5AE3D" w14:textId="5A51E19B" w:rsidR="00AD3327" w:rsidRDefault="00AD3327" w:rsidP="00197F24">
      <w:pPr>
        <w:jc w:val="both"/>
        <w:rPr>
          <w:rFonts w:ascii="Avenir Next" w:hAnsi="Avenir Next" w:cs="Arial"/>
          <w:color w:val="7B7B7B" w:themeColor="accent3" w:themeShade="BF"/>
          <w:sz w:val="22"/>
          <w:szCs w:val="22"/>
          <w:lang w:val="en-GB"/>
        </w:rPr>
      </w:pPr>
    </w:p>
    <w:p w14:paraId="246617DD" w14:textId="36FCA34D" w:rsidR="00AD3327" w:rsidRDefault="00AD3327" w:rsidP="00AD3327">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monitor's remuneration or expenses;</w:t>
      </w:r>
    </w:p>
    <w:p w14:paraId="6C581901" w14:textId="77777777" w:rsidR="00AD3327" w:rsidRDefault="00AD3327" w:rsidP="00AD3327">
      <w:pPr>
        <w:pStyle w:val="ListParagraph"/>
        <w:jc w:val="both"/>
        <w:rPr>
          <w:rFonts w:ascii="Avenir Next" w:hAnsi="Avenir Next" w:cs="Arial"/>
          <w:color w:val="7B7B7B" w:themeColor="accent3" w:themeShade="BF"/>
          <w:sz w:val="22"/>
          <w:szCs w:val="22"/>
          <w:lang w:val="en-GB"/>
        </w:rPr>
      </w:pPr>
    </w:p>
    <w:p w14:paraId="1248E169" w14:textId="12A5591B" w:rsidR="00AD3327" w:rsidRDefault="00AD3327" w:rsidP="00AD3327">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goods and/or services supplied during the moratorium; </w:t>
      </w:r>
    </w:p>
    <w:p w14:paraId="5F791E9C" w14:textId="77777777" w:rsidR="00AD3327" w:rsidRDefault="00AD3327" w:rsidP="00AD3327">
      <w:pPr>
        <w:pStyle w:val="ListParagraph"/>
        <w:jc w:val="both"/>
        <w:rPr>
          <w:rFonts w:ascii="Avenir Next" w:hAnsi="Avenir Next" w:cs="Arial"/>
          <w:color w:val="7B7B7B" w:themeColor="accent3" w:themeShade="BF"/>
          <w:sz w:val="22"/>
          <w:szCs w:val="22"/>
          <w:lang w:val="en-GB"/>
        </w:rPr>
      </w:pPr>
    </w:p>
    <w:p w14:paraId="7DF67B44" w14:textId="0DADEE8D" w:rsidR="00AD3327" w:rsidRDefault="00AD3327" w:rsidP="00AD3327">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in respect of a period during the moratorium;</w:t>
      </w:r>
    </w:p>
    <w:p w14:paraId="64A55197" w14:textId="77777777" w:rsidR="00AD3327" w:rsidRDefault="00AD3327" w:rsidP="00AD3327">
      <w:pPr>
        <w:pStyle w:val="ListParagraph"/>
        <w:jc w:val="both"/>
        <w:rPr>
          <w:rFonts w:ascii="Avenir Next" w:hAnsi="Avenir Next" w:cs="Arial"/>
          <w:color w:val="7B7B7B" w:themeColor="accent3" w:themeShade="BF"/>
          <w:sz w:val="22"/>
          <w:szCs w:val="22"/>
          <w:lang w:val="en-GB"/>
        </w:rPr>
      </w:pPr>
    </w:p>
    <w:p w14:paraId="4083C307" w14:textId="76A1F2FE" w:rsidR="00AD3327" w:rsidRDefault="00AD3327" w:rsidP="00AD3327">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salaries arising under a contract of employment; and</w:t>
      </w:r>
    </w:p>
    <w:p w14:paraId="09DCB585" w14:textId="77777777" w:rsidR="00AD3327" w:rsidRDefault="00AD3327" w:rsidP="00AD3327">
      <w:pPr>
        <w:pStyle w:val="ListParagraph"/>
        <w:jc w:val="both"/>
        <w:rPr>
          <w:rFonts w:ascii="Avenir Next" w:hAnsi="Avenir Next" w:cs="Arial"/>
          <w:color w:val="7B7B7B" w:themeColor="accent3" w:themeShade="BF"/>
          <w:sz w:val="22"/>
          <w:szCs w:val="22"/>
          <w:lang w:val="en-GB"/>
        </w:rPr>
      </w:pPr>
    </w:p>
    <w:p w14:paraId="10444678" w14:textId="662A974A" w:rsidR="00AD3327" w:rsidRPr="00AD3327" w:rsidRDefault="00AD3327" w:rsidP="00AD3327">
      <w:pPr>
        <w:pStyle w:val="ListParagraph"/>
        <w:numPr>
          <w:ilvl w:val="0"/>
          <w:numId w:val="19"/>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redundancy</w:t>
      </w:r>
      <w:proofErr w:type="gramEnd"/>
      <w:r>
        <w:rPr>
          <w:rFonts w:ascii="Avenir Next" w:hAnsi="Avenir Next" w:cs="Arial"/>
          <w:color w:val="7B7B7B" w:themeColor="accent3" w:themeShade="BF"/>
          <w:sz w:val="22"/>
          <w:szCs w:val="22"/>
          <w:lang w:val="en-GB"/>
        </w:rPr>
        <w:t xml:space="preserve">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7FC789CD" w:rsidR="00197F24" w:rsidRDefault="00197F24" w:rsidP="00197F24">
      <w:pPr>
        <w:jc w:val="both"/>
        <w:rPr>
          <w:rFonts w:ascii="Avenir Next" w:hAnsi="Avenir Next" w:cs="Arial"/>
          <w:color w:val="7B7B7B" w:themeColor="accent3" w:themeShade="BF"/>
          <w:sz w:val="22"/>
          <w:szCs w:val="22"/>
          <w:lang w:val="en-GB"/>
        </w:rPr>
      </w:pPr>
    </w:p>
    <w:p w14:paraId="24FE8ADD" w14:textId="703AE255" w:rsidR="00AD3327" w:rsidRDefault="00F5630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short, yes – an administrator of a company may require supplies of goods and services to continue during an administration. </w:t>
      </w:r>
      <w:r w:rsidR="00AD3327">
        <w:rPr>
          <w:rFonts w:ascii="Avenir Next" w:hAnsi="Avenir Next" w:cs="Arial"/>
          <w:color w:val="7B7B7B" w:themeColor="accent3" w:themeShade="BF"/>
          <w:sz w:val="22"/>
          <w:szCs w:val="22"/>
          <w:lang w:val="en-GB"/>
        </w:rPr>
        <w:t>The appointment of an administrator to a company doe</w:t>
      </w:r>
      <w:r w:rsidR="00146003">
        <w:rPr>
          <w:rFonts w:ascii="Avenir Next" w:hAnsi="Avenir Next" w:cs="Arial"/>
          <w:color w:val="7B7B7B" w:themeColor="accent3" w:themeShade="BF"/>
          <w:sz w:val="22"/>
          <w:szCs w:val="22"/>
          <w:lang w:val="en-GB"/>
        </w:rPr>
        <w:t>s not, in and of itself, terminate contracts of continuing obligations (i.e. executory contracts). In fact, executory contracts containing terms that seek to automatically terminate are regularly deemed void</w:t>
      </w:r>
      <w:r w:rsidR="00D80422">
        <w:rPr>
          <w:rFonts w:ascii="Avenir Next" w:hAnsi="Avenir Next" w:cs="Arial"/>
          <w:color w:val="7B7B7B" w:themeColor="accent3" w:themeShade="BF"/>
          <w:sz w:val="22"/>
          <w:szCs w:val="22"/>
          <w:lang w:val="en-GB"/>
        </w:rPr>
        <w:t xml:space="preserve"> due</w:t>
      </w:r>
      <w:r w:rsidR="00146003">
        <w:rPr>
          <w:rFonts w:ascii="Avenir Next" w:hAnsi="Avenir Next" w:cs="Arial"/>
          <w:color w:val="7B7B7B" w:themeColor="accent3" w:themeShade="BF"/>
          <w:sz w:val="22"/>
          <w:szCs w:val="22"/>
          <w:lang w:val="en-GB"/>
        </w:rPr>
        <w:t xml:space="preserve"> to increasing statutory exceptions in modern</w:t>
      </w:r>
      <w:r>
        <w:rPr>
          <w:rFonts w:ascii="Avenir Next" w:hAnsi="Avenir Next" w:cs="Arial"/>
          <w:color w:val="7B7B7B" w:themeColor="accent3" w:themeShade="BF"/>
          <w:sz w:val="22"/>
          <w:szCs w:val="22"/>
          <w:lang w:val="en-GB"/>
        </w:rPr>
        <w:t>-day</w:t>
      </w:r>
      <w:r w:rsidR="00146003">
        <w:rPr>
          <w:rFonts w:ascii="Avenir Next" w:hAnsi="Avenir Next" w:cs="Arial"/>
          <w:color w:val="7B7B7B" w:themeColor="accent3" w:themeShade="BF"/>
          <w:sz w:val="22"/>
          <w:szCs w:val="22"/>
          <w:lang w:val="en-GB"/>
        </w:rPr>
        <w:t xml:space="preserve"> times. </w:t>
      </w:r>
    </w:p>
    <w:p w14:paraId="725AC8A0" w14:textId="03635D3C" w:rsidR="00146003" w:rsidRDefault="00146003" w:rsidP="00197F24">
      <w:pPr>
        <w:jc w:val="both"/>
        <w:rPr>
          <w:rFonts w:ascii="Avenir Next" w:hAnsi="Avenir Next" w:cs="Arial"/>
          <w:color w:val="7B7B7B" w:themeColor="accent3" w:themeShade="BF"/>
          <w:sz w:val="22"/>
          <w:szCs w:val="22"/>
          <w:lang w:val="en-GB"/>
        </w:rPr>
      </w:pPr>
    </w:p>
    <w:p w14:paraId="15FC7960" w14:textId="55378D81" w:rsidR="00146003" w:rsidRDefault="0014600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Despite the appointment of an administrator to a company, the need to obtain or retain particular supplies for the company's ongoing operation will persist. Section 233</w:t>
      </w:r>
      <w:r w:rsidR="001D0726">
        <w:rPr>
          <w:rFonts w:ascii="Avenir Next" w:hAnsi="Avenir Next" w:cs="Arial"/>
          <w:color w:val="7B7B7B" w:themeColor="accent3" w:themeShade="BF"/>
          <w:sz w:val="22"/>
          <w:szCs w:val="22"/>
          <w:lang w:val="en-GB"/>
        </w:rPr>
        <w:t>(3)</w:t>
      </w:r>
      <w:r>
        <w:rPr>
          <w:rFonts w:ascii="Avenir Next" w:hAnsi="Avenir Next" w:cs="Arial"/>
          <w:color w:val="7B7B7B" w:themeColor="accent3" w:themeShade="BF"/>
          <w:sz w:val="22"/>
          <w:szCs w:val="22"/>
          <w:lang w:val="en-GB"/>
        </w:rPr>
        <w:t xml:space="preserve"> of the Insolvency Act lists the following </w:t>
      </w:r>
      <w:r w:rsidR="00C815FF">
        <w:rPr>
          <w:rFonts w:ascii="Avenir Next" w:hAnsi="Avenir Next" w:cs="Arial"/>
          <w:color w:val="7B7B7B" w:themeColor="accent3" w:themeShade="BF"/>
          <w:sz w:val="22"/>
          <w:szCs w:val="22"/>
          <w:lang w:val="en-GB"/>
        </w:rPr>
        <w:t xml:space="preserve">services </w:t>
      </w:r>
      <w:r w:rsidR="001D0726">
        <w:rPr>
          <w:rFonts w:ascii="Avenir Next" w:hAnsi="Avenir Next" w:cs="Arial"/>
          <w:color w:val="7B7B7B" w:themeColor="accent3" w:themeShade="BF"/>
          <w:sz w:val="22"/>
          <w:szCs w:val="22"/>
          <w:lang w:val="en-GB"/>
        </w:rPr>
        <w:t>as relevant supplies:</w:t>
      </w:r>
    </w:p>
    <w:p w14:paraId="7DDA8330" w14:textId="0C3D1F07" w:rsidR="001D0726" w:rsidRDefault="001D0726" w:rsidP="00197F24">
      <w:pPr>
        <w:jc w:val="both"/>
        <w:rPr>
          <w:rFonts w:ascii="Avenir Next" w:hAnsi="Avenir Next" w:cs="Arial"/>
          <w:color w:val="7B7B7B" w:themeColor="accent3" w:themeShade="BF"/>
          <w:sz w:val="22"/>
          <w:szCs w:val="22"/>
          <w:lang w:val="en-GB"/>
        </w:rPr>
      </w:pPr>
    </w:p>
    <w:p w14:paraId="1FDC0A97" w14:textId="75296143" w:rsidR="001D0726" w:rsidRDefault="001D072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proofErr w:type="gramStart"/>
      <w:r>
        <w:rPr>
          <w:rFonts w:ascii="Avenir Next" w:hAnsi="Avenir Next" w:cs="Arial"/>
          <w:color w:val="7B7B7B" w:themeColor="accent3" w:themeShade="BF"/>
          <w:sz w:val="22"/>
          <w:szCs w:val="22"/>
          <w:lang w:val="en-GB"/>
        </w:rPr>
        <w:t>gas</w:t>
      </w:r>
      <w:proofErr w:type="gramEnd"/>
      <w:r>
        <w:rPr>
          <w:rFonts w:ascii="Avenir Next" w:hAnsi="Avenir Next" w:cs="Arial"/>
          <w:color w:val="7B7B7B" w:themeColor="accent3" w:themeShade="BF"/>
          <w:sz w:val="22"/>
          <w:szCs w:val="22"/>
          <w:lang w:val="en-GB"/>
        </w:rPr>
        <w:t xml:space="preserve">; </w:t>
      </w:r>
    </w:p>
    <w:p w14:paraId="4F853170" w14:textId="0A62AC7F" w:rsidR="001D0726" w:rsidRDefault="001D0726" w:rsidP="00197F24">
      <w:pPr>
        <w:jc w:val="both"/>
        <w:rPr>
          <w:rFonts w:ascii="Avenir Next" w:hAnsi="Avenir Next" w:cs="Arial"/>
          <w:color w:val="7B7B7B" w:themeColor="accent3" w:themeShade="BF"/>
          <w:sz w:val="22"/>
          <w:szCs w:val="22"/>
          <w:lang w:val="en-GB"/>
        </w:rPr>
      </w:pPr>
    </w:p>
    <w:p w14:paraId="06803C7D" w14:textId="44ADC618" w:rsidR="001D0726" w:rsidRDefault="001D072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 </w:t>
      </w:r>
      <w:proofErr w:type="gramStart"/>
      <w:r>
        <w:rPr>
          <w:rFonts w:ascii="Avenir Next" w:hAnsi="Avenir Next" w:cs="Arial"/>
          <w:color w:val="7B7B7B" w:themeColor="accent3" w:themeShade="BF"/>
          <w:sz w:val="22"/>
          <w:szCs w:val="22"/>
          <w:lang w:val="en-GB"/>
        </w:rPr>
        <w:t>electricity</w:t>
      </w:r>
      <w:proofErr w:type="gramEnd"/>
      <w:r>
        <w:rPr>
          <w:rFonts w:ascii="Avenir Next" w:hAnsi="Avenir Next" w:cs="Arial"/>
          <w:color w:val="7B7B7B" w:themeColor="accent3" w:themeShade="BF"/>
          <w:sz w:val="22"/>
          <w:szCs w:val="22"/>
          <w:lang w:val="en-GB"/>
        </w:rPr>
        <w:t xml:space="preserve">; </w:t>
      </w:r>
    </w:p>
    <w:p w14:paraId="5995552B" w14:textId="692E8DE6" w:rsidR="001D0726" w:rsidRDefault="001D0726" w:rsidP="00197F24">
      <w:pPr>
        <w:jc w:val="both"/>
        <w:rPr>
          <w:rFonts w:ascii="Avenir Next" w:hAnsi="Avenir Next" w:cs="Arial"/>
          <w:color w:val="7B7B7B" w:themeColor="accent3" w:themeShade="BF"/>
          <w:sz w:val="22"/>
          <w:szCs w:val="22"/>
          <w:lang w:val="en-GB"/>
        </w:rPr>
      </w:pPr>
    </w:p>
    <w:p w14:paraId="3A0694F6" w14:textId="44AEF0DB" w:rsidR="001D0726" w:rsidRDefault="001D072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 </w:t>
      </w:r>
      <w:proofErr w:type="gramStart"/>
      <w:r>
        <w:rPr>
          <w:rFonts w:ascii="Avenir Next" w:hAnsi="Avenir Next" w:cs="Arial"/>
          <w:color w:val="7B7B7B" w:themeColor="accent3" w:themeShade="BF"/>
          <w:sz w:val="22"/>
          <w:szCs w:val="22"/>
          <w:lang w:val="en-GB"/>
        </w:rPr>
        <w:t>water</w:t>
      </w:r>
      <w:proofErr w:type="gramEnd"/>
      <w:r>
        <w:rPr>
          <w:rFonts w:ascii="Avenir Next" w:hAnsi="Avenir Next" w:cs="Arial"/>
          <w:color w:val="7B7B7B" w:themeColor="accent3" w:themeShade="BF"/>
          <w:sz w:val="22"/>
          <w:szCs w:val="22"/>
          <w:lang w:val="en-GB"/>
        </w:rPr>
        <w:t>; and</w:t>
      </w:r>
    </w:p>
    <w:p w14:paraId="065AE032" w14:textId="00DE017A" w:rsidR="001D0726" w:rsidRDefault="001D0726" w:rsidP="00197F24">
      <w:pPr>
        <w:jc w:val="both"/>
        <w:rPr>
          <w:rFonts w:ascii="Avenir Next" w:hAnsi="Avenir Next" w:cs="Arial"/>
          <w:color w:val="7B7B7B" w:themeColor="accent3" w:themeShade="BF"/>
          <w:sz w:val="22"/>
          <w:szCs w:val="22"/>
          <w:lang w:val="en-GB"/>
        </w:rPr>
      </w:pPr>
    </w:p>
    <w:p w14:paraId="5FEB447D" w14:textId="48B96334" w:rsidR="001D0726" w:rsidRDefault="001D072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 </w:t>
      </w:r>
      <w:proofErr w:type="gramStart"/>
      <w:r>
        <w:rPr>
          <w:rFonts w:ascii="Avenir Next" w:hAnsi="Avenir Next" w:cs="Arial"/>
          <w:color w:val="7B7B7B" w:themeColor="accent3" w:themeShade="BF"/>
          <w:sz w:val="22"/>
          <w:szCs w:val="22"/>
          <w:lang w:val="en-GB"/>
        </w:rPr>
        <w:t>communication</w:t>
      </w:r>
      <w:proofErr w:type="gramEnd"/>
      <w:r>
        <w:rPr>
          <w:rFonts w:ascii="Avenir Next" w:hAnsi="Avenir Next" w:cs="Arial"/>
          <w:color w:val="7B7B7B" w:themeColor="accent3" w:themeShade="BF"/>
          <w:sz w:val="22"/>
          <w:szCs w:val="22"/>
          <w:lang w:val="en-GB"/>
        </w:rPr>
        <w:t xml:space="preserve"> services (which, includes point of sale terminals, computer hardware and software, information, advice, technical assistance, data storage, processing and website hosting. </w:t>
      </w:r>
    </w:p>
    <w:p w14:paraId="0B1F95F7" w14:textId="2BCB5A96" w:rsidR="001D0726" w:rsidRDefault="001D0726" w:rsidP="00197F24">
      <w:pPr>
        <w:jc w:val="both"/>
        <w:rPr>
          <w:rFonts w:ascii="Avenir Next" w:hAnsi="Avenir Next" w:cs="Arial"/>
          <w:color w:val="7B7B7B" w:themeColor="accent3" w:themeShade="BF"/>
          <w:sz w:val="22"/>
          <w:szCs w:val="22"/>
          <w:lang w:val="en-GB"/>
        </w:rPr>
      </w:pPr>
    </w:p>
    <w:p w14:paraId="335EE584" w14:textId="3EFCDF82" w:rsidR="001D0726" w:rsidRDefault="00F5630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w:t>
      </w:r>
      <w:r w:rsidR="001D0726">
        <w:rPr>
          <w:rFonts w:ascii="Avenir Next" w:hAnsi="Avenir Next" w:cs="Arial"/>
          <w:color w:val="7B7B7B" w:themeColor="accent3" w:themeShade="BF"/>
          <w:sz w:val="22"/>
          <w:szCs w:val="22"/>
          <w:lang w:val="en-GB"/>
        </w:rPr>
        <w:t xml:space="preserve">, </w:t>
      </w:r>
      <w:r w:rsidR="00C815FF">
        <w:rPr>
          <w:rFonts w:ascii="Avenir Next" w:hAnsi="Avenir Next" w:cs="Arial"/>
          <w:color w:val="7B7B7B" w:themeColor="accent3" w:themeShade="BF"/>
          <w:sz w:val="22"/>
          <w:szCs w:val="22"/>
          <w:lang w:val="en-GB"/>
        </w:rPr>
        <w:t xml:space="preserve">it should be noted that </w:t>
      </w:r>
      <w:r>
        <w:rPr>
          <w:rFonts w:ascii="Avenir Next" w:hAnsi="Avenir Next" w:cs="Arial"/>
          <w:color w:val="7B7B7B" w:themeColor="accent3" w:themeShade="BF"/>
          <w:sz w:val="22"/>
          <w:szCs w:val="22"/>
          <w:lang w:val="en-GB"/>
        </w:rPr>
        <w:t>a</w:t>
      </w:r>
      <w:r w:rsidR="001D0726">
        <w:rPr>
          <w:rFonts w:ascii="Avenir Next" w:hAnsi="Avenir Next" w:cs="Arial"/>
          <w:color w:val="7B7B7B" w:themeColor="accent3" w:themeShade="BF"/>
          <w:sz w:val="22"/>
          <w:szCs w:val="22"/>
          <w:lang w:val="en-GB"/>
        </w:rPr>
        <w:t xml:space="preserve"> supplier of the above services may require the administrator </w:t>
      </w:r>
      <w:r>
        <w:rPr>
          <w:rFonts w:ascii="Avenir Next" w:hAnsi="Avenir Next" w:cs="Arial"/>
          <w:color w:val="7B7B7B" w:themeColor="accent3" w:themeShade="BF"/>
          <w:sz w:val="22"/>
          <w:szCs w:val="22"/>
          <w:lang w:val="en-GB"/>
        </w:rPr>
        <w:t xml:space="preserve">to </w:t>
      </w:r>
      <w:r w:rsidR="001D0726">
        <w:rPr>
          <w:rFonts w:ascii="Avenir Next" w:hAnsi="Avenir Next" w:cs="Arial"/>
          <w:color w:val="7B7B7B" w:themeColor="accent3" w:themeShade="BF"/>
          <w:sz w:val="22"/>
          <w:szCs w:val="22"/>
          <w:lang w:val="en-GB"/>
        </w:rPr>
        <w:t xml:space="preserve">personally guarantee </w:t>
      </w:r>
      <w:r>
        <w:rPr>
          <w:rFonts w:ascii="Avenir Next" w:hAnsi="Avenir Next" w:cs="Arial"/>
          <w:color w:val="7B7B7B" w:themeColor="accent3" w:themeShade="BF"/>
          <w:sz w:val="22"/>
          <w:szCs w:val="22"/>
          <w:lang w:val="en-GB"/>
        </w:rPr>
        <w:t xml:space="preserve">payment of charges in regards to any new supplies (s.233(2)(a) of the Insolvency Act). </w:t>
      </w:r>
    </w:p>
    <w:p w14:paraId="040734EF" w14:textId="11832B42" w:rsidR="00F5630E" w:rsidRDefault="00F5630E" w:rsidP="00197F24">
      <w:pPr>
        <w:jc w:val="both"/>
        <w:rPr>
          <w:rFonts w:ascii="Avenir Next" w:hAnsi="Avenir Next" w:cs="Arial"/>
          <w:color w:val="7B7B7B" w:themeColor="accent3" w:themeShade="BF"/>
          <w:sz w:val="22"/>
          <w:szCs w:val="22"/>
          <w:lang w:val="en-GB"/>
        </w:rPr>
      </w:pPr>
    </w:p>
    <w:p w14:paraId="701F44D6" w14:textId="1C7DAFD1" w:rsidR="00F5630E" w:rsidRDefault="00F5630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s.233A of the Insolvency Act, a supplier is ordinarily unable to rely on an "insolvency-related term" of a contract concerning termination of said contract where a company merely enters administration. Further, the supplier will also be barred from altering any terms of the supply itself or insisting on more expensive payments for a continuation of supply.  </w:t>
      </w:r>
    </w:p>
    <w:p w14:paraId="1CCE9542" w14:textId="60A87320" w:rsidR="00C815FF" w:rsidRDefault="00C815FF" w:rsidP="00197F24">
      <w:pPr>
        <w:jc w:val="both"/>
        <w:rPr>
          <w:rFonts w:ascii="Avenir Next" w:hAnsi="Avenir Next" w:cs="Arial"/>
          <w:color w:val="7B7B7B" w:themeColor="accent3" w:themeShade="BF"/>
          <w:sz w:val="22"/>
          <w:szCs w:val="22"/>
          <w:lang w:val="en-GB"/>
        </w:rPr>
      </w:pPr>
    </w:p>
    <w:p w14:paraId="21E58EB4" w14:textId="551A3784" w:rsidR="00C815FF" w:rsidRPr="00C815FF" w:rsidRDefault="00C815F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2020, a new s.233B of the Insolvency Act was introduced. Section 233B expands on the above suppliers to include nearly all goods and services with very few exceptions. Further, s.233B does not allow for suppliers to require a personal guarantee from an administrator </w:t>
      </w:r>
      <w:r w:rsidR="00D8042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unlike s.233</w:t>
      </w:r>
      <w:r w:rsidR="00D8042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Be that as it may, s.233B does allow for an executory contract to be terminated with court permission in circumstances where the court is satisfied that the continuation of the contract would cause undue hardship to the supplier.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lastRenderedPageBreak/>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1D58A3A0" w:rsidR="00197F24" w:rsidRDefault="00C815FF" w:rsidP="00197F24">
      <w:pPr>
        <w:jc w:val="both"/>
        <w:rPr>
          <w:rFonts w:ascii="Avenir Next" w:hAnsi="Avenir Next" w:cs="Arial"/>
          <w:b/>
          <w:color w:val="7B7B7B" w:themeColor="accent3" w:themeShade="BF"/>
          <w:sz w:val="22"/>
          <w:szCs w:val="22"/>
          <w:u w:val="single"/>
          <w:lang w:val="en-GB"/>
        </w:rPr>
      </w:pPr>
      <w:r>
        <w:rPr>
          <w:rFonts w:ascii="Avenir Next" w:hAnsi="Avenir Next" w:cs="Arial"/>
          <w:b/>
          <w:color w:val="7B7B7B" w:themeColor="accent3" w:themeShade="BF"/>
          <w:sz w:val="22"/>
          <w:szCs w:val="22"/>
          <w:u w:val="single"/>
          <w:lang w:val="en-GB"/>
        </w:rPr>
        <w:t xml:space="preserve">Priority of Payments </w:t>
      </w:r>
    </w:p>
    <w:p w14:paraId="6C8A02A5" w14:textId="6F104C51" w:rsidR="00C815FF" w:rsidRDefault="00C815FF" w:rsidP="00197F24">
      <w:pPr>
        <w:jc w:val="both"/>
        <w:rPr>
          <w:rFonts w:ascii="Avenir Next" w:hAnsi="Avenir Next" w:cs="Arial"/>
          <w:b/>
          <w:color w:val="7B7B7B" w:themeColor="accent3" w:themeShade="BF"/>
          <w:sz w:val="22"/>
          <w:szCs w:val="22"/>
          <w:u w:val="single"/>
          <w:lang w:val="en-GB"/>
        </w:rPr>
      </w:pPr>
    </w:p>
    <w:p w14:paraId="5F4CA45A" w14:textId="105ABBF7" w:rsidR="00C815FF" w:rsidRDefault="0065437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During the course of a liquidation, a priority of payments (and their relevant rights) </w:t>
      </w:r>
      <w:r w:rsidR="00D1089E">
        <w:rPr>
          <w:rFonts w:ascii="Avenir Next" w:hAnsi="Avenir Next" w:cs="Arial"/>
          <w:color w:val="7B7B7B" w:themeColor="accent3" w:themeShade="BF"/>
          <w:sz w:val="22"/>
          <w:szCs w:val="22"/>
          <w:lang w:val="en-GB"/>
        </w:rPr>
        <w:t xml:space="preserve">ordinarily </w:t>
      </w:r>
      <w:r>
        <w:rPr>
          <w:rFonts w:ascii="Avenir Next" w:hAnsi="Avenir Next" w:cs="Arial"/>
          <w:color w:val="7B7B7B" w:themeColor="accent3" w:themeShade="BF"/>
          <w:sz w:val="22"/>
          <w:szCs w:val="22"/>
          <w:lang w:val="en-GB"/>
        </w:rPr>
        <w:t xml:space="preserve">occurs in the following manner: </w:t>
      </w:r>
    </w:p>
    <w:p w14:paraId="7607547E" w14:textId="77777777" w:rsidR="00654376" w:rsidRDefault="00654376" w:rsidP="00197F24">
      <w:pPr>
        <w:jc w:val="both"/>
        <w:rPr>
          <w:rFonts w:ascii="Avenir Next" w:hAnsi="Avenir Next" w:cs="Arial"/>
          <w:color w:val="7B7B7B" w:themeColor="accent3" w:themeShade="BF"/>
          <w:sz w:val="22"/>
          <w:szCs w:val="22"/>
          <w:lang w:val="en-GB"/>
        </w:rPr>
      </w:pPr>
    </w:p>
    <w:p w14:paraId="517B6C37" w14:textId="09FFD819" w:rsidR="00654376" w:rsidRDefault="00654376" w:rsidP="00654376">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and foremost, the expenses incurred to wind up </w:t>
      </w:r>
      <w:r w:rsidR="00AA5739">
        <w:rPr>
          <w:rFonts w:ascii="Avenir Next" w:hAnsi="Avenir Next" w:cs="Arial"/>
          <w:color w:val="7B7B7B" w:themeColor="accent3" w:themeShade="BF"/>
          <w:sz w:val="22"/>
          <w:szCs w:val="22"/>
          <w:lang w:val="en-GB"/>
        </w:rPr>
        <w:t>the company, along with</w:t>
      </w:r>
      <w:r>
        <w:rPr>
          <w:rFonts w:ascii="Avenir Next" w:hAnsi="Avenir Next" w:cs="Arial"/>
          <w:color w:val="7B7B7B" w:themeColor="accent3" w:themeShade="BF"/>
          <w:sz w:val="22"/>
          <w:szCs w:val="22"/>
          <w:lang w:val="en-GB"/>
        </w:rPr>
        <w:t xml:space="preserve"> the liquidator's remuneration are paid in priority to all other payments. </w:t>
      </w:r>
    </w:p>
    <w:p w14:paraId="7D60F6CC" w14:textId="77777777" w:rsidR="00654376" w:rsidRDefault="00654376" w:rsidP="00654376">
      <w:pPr>
        <w:pStyle w:val="ListParagraph"/>
        <w:jc w:val="both"/>
        <w:rPr>
          <w:rFonts w:ascii="Avenir Next" w:hAnsi="Avenir Next" w:cs="Arial"/>
          <w:color w:val="7B7B7B" w:themeColor="accent3" w:themeShade="BF"/>
          <w:sz w:val="22"/>
          <w:szCs w:val="22"/>
          <w:lang w:val="en-GB"/>
        </w:rPr>
      </w:pPr>
    </w:p>
    <w:p w14:paraId="34271E9D" w14:textId="1E733D88" w:rsidR="00654376" w:rsidRDefault="00654376" w:rsidP="00654376">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payment of the above expenses and remuneration in full, preferential creditors (as defined in ss.386, 387 and Schedule 6: s.175) are paid. Such preferential creditors may be further broken down into the following subcategories of prioritisation: </w:t>
      </w:r>
    </w:p>
    <w:p w14:paraId="460C50D7" w14:textId="77777777" w:rsidR="00654376" w:rsidRDefault="00654376" w:rsidP="00654376">
      <w:pPr>
        <w:pStyle w:val="ListParagraph"/>
        <w:ind w:left="1440"/>
        <w:jc w:val="both"/>
        <w:rPr>
          <w:rFonts w:ascii="Avenir Next" w:hAnsi="Avenir Next" w:cs="Arial"/>
          <w:color w:val="7B7B7B" w:themeColor="accent3" w:themeShade="BF"/>
          <w:sz w:val="22"/>
          <w:szCs w:val="22"/>
          <w:lang w:val="en-GB"/>
        </w:rPr>
      </w:pPr>
    </w:p>
    <w:p w14:paraId="46E5E636" w14:textId="1F7CD916" w:rsidR="00AA5739" w:rsidRDefault="00AA5739" w:rsidP="00654376">
      <w:pPr>
        <w:pStyle w:val="ListParagraph"/>
        <w:numPr>
          <w:ilvl w:val="1"/>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Ordinary - ordinary preferential debts rank in priority to secondary preferential debts. However, in circumstances where the company's assets are insufficient to pay all preferential debts, the respective classes of preferential debts will rank equally. Ordinary preferential debts can include: certain pension payments owing to the company's employees, remuneration owed to the company's employees, holiday remuneration owed to the company's employees, levies concerning production of coal and steel, amounts ordered to be paid under the Reserve Forces (Safeguard of Employment) Act 1985, and certain deposits under the Financial Services Compensation Scheme to relevant persons.</w:t>
      </w:r>
    </w:p>
    <w:p w14:paraId="3251B514" w14:textId="77777777" w:rsidR="00AA5739" w:rsidRDefault="00AA5739" w:rsidP="00AA5739">
      <w:pPr>
        <w:pStyle w:val="ListParagraph"/>
        <w:ind w:left="1440"/>
        <w:jc w:val="both"/>
        <w:rPr>
          <w:rFonts w:ascii="Avenir Next" w:hAnsi="Avenir Next" w:cs="Arial"/>
          <w:color w:val="7B7B7B" w:themeColor="accent3" w:themeShade="BF"/>
          <w:sz w:val="22"/>
          <w:szCs w:val="22"/>
          <w:lang w:val="en-GB"/>
        </w:rPr>
      </w:pPr>
    </w:p>
    <w:p w14:paraId="025D267E" w14:textId="7ED0CF66" w:rsidR="00654376" w:rsidRDefault="00AA5739" w:rsidP="00654376">
      <w:pPr>
        <w:pStyle w:val="ListParagraph"/>
        <w:numPr>
          <w:ilvl w:val="1"/>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Secondary – secondary preferential debts are defined under s.238 of the Insolvency Act and</w:t>
      </w:r>
      <w:r w:rsidR="00623494">
        <w:rPr>
          <w:rFonts w:ascii="Avenir Next" w:hAnsi="Avenir Next" w:cs="Arial"/>
          <w:color w:val="7B7B7B" w:themeColor="accent3" w:themeShade="BF"/>
          <w:sz w:val="22"/>
          <w:szCs w:val="22"/>
          <w:lang w:val="en-GB"/>
        </w:rPr>
        <w:t xml:space="preserve"> can include: amounts owed to relevant persons in respect of certain deposits under the Financial Services Compensation Scheme, amounts owed to relevant persons in respect of deposits through UK and non-UK credit institutions (subject to Crown preferences in respect to His Majesty's Revenue and Customs), certain tax/insurance/Construction Industry Scheme deductions, VAT payments, and student loan repayments. </w:t>
      </w:r>
    </w:p>
    <w:p w14:paraId="2BB17896" w14:textId="77777777" w:rsidR="00623494" w:rsidRDefault="00623494" w:rsidP="00623494">
      <w:pPr>
        <w:pStyle w:val="ListParagraph"/>
        <w:ind w:left="1440"/>
        <w:jc w:val="both"/>
        <w:rPr>
          <w:rFonts w:ascii="Avenir Next" w:hAnsi="Avenir Next" w:cs="Arial"/>
          <w:color w:val="7B7B7B" w:themeColor="accent3" w:themeShade="BF"/>
          <w:sz w:val="22"/>
          <w:szCs w:val="22"/>
          <w:lang w:val="en-GB"/>
        </w:rPr>
      </w:pPr>
    </w:p>
    <w:p w14:paraId="24669B42" w14:textId="727CBD1A" w:rsidR="00623494" w:rsidRDefault="00623494" w:rsidP="00623494">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all preferential debts have been paid, any holders of valid floating charges will be paid. In circumstances where more than one floating charge exists, priority will usually be given to whichever floating charge was created first. Despite the foregoing, </w:t>
      </w:r>
      <w:r w:rsidR="00C1194F">
        <w:rPr>
          <w:rFonts w:ascii="Avenir Next" w:hAnsi="Avenir Next" w:cs="Arial"/>
          <w:color w:val="7B7B7B" w:themeColor="accent3" w:themeShade="BF"/>
          <w:sz w:val="22"/>
          <w:szCs w:val="22"/>
          <w:lang w:val="en-GB"/>
        </w:rPr>
        <w:t xml:space="preserve">and in circumstances where a floating charge was created on or after 15 September 2003, it should be noted that </w:t>
      </w:r>
      <w:r>
        <w:rPr>
          <w:rFonts w:ascii="Avenir Next" w:hAnsi="Avenir Next" w:cs="Arial"/>
          <w:color w:val="7B7B7B" w:themeColor="accent3" w:themeShade="BF"/>
          <w:sz w:val="22"/>
          <w:szCs w:val="22"/>
          <w:lang w:val="en-GB"/>
        </w:rPr>
        <w:t xml:space="preserve">a liquidator </w:t>
      </w:r>
      <w:r w:rsidR="00C1194F">
        <w:rPr>
          <w:rFonts w:ascii="Avenir Next" w:hAnsi="Avenir Next" w:cs="Arial"/>
          <w:color w:val="7B7B7B" w:themeColor="accent3" w:themeShade="BF"/>
          <w:sz w:val="22"/>
          <w:szCs w:val="22"/>
          <w:lang w:val="en-GB"/>
        </w:rPr>
        <w:t xml:space="preserve">is under a duty create a "prescribed part" of the company's property, which will be available for the payment of unsecured debts (s.176A). Such "prescribed part" may not be distributed to holders of a floating charge unless specific requirements are met or, </w:t>
      </w:r>
      <w:r w:rsidR="00D1089E">
        <w:rPr>
          <w:rFonts w:ascii="Avenir Next" w:hAnsi="Avenir Next" w:cs="Arial"/>
          <w:color w:val="7B7B7B" w:themeColor="accent3" w:themeShade="BF"/>
          <w:sz w:val="22"/>
          <w:szCs w:val="22"/>
          <w:lang w:val="en-GB"/>
        </w:rPr>
        <w:t xml:space="preserve">certain </w:t>
      </w:r>
      <w:r w:rsidR="00C1194F">
        <w:rPr>
          <w:rFonts w:ascii="Avenir Next" w:hAnsi="Avenir Next" w:cs="Arial"/>
          <w:color w:val="7B7B7B" w:themeColor="accent3" w:themeShade="BF"/>
          <w:sz w:val="22"/>
          <w:szCs w:val="22"/>
          <w:lang w:val="en-GB"/>
        </w:rPr>
        <w:t xml:space="preserve">conditions give rise to the extinguishment of the "prescribed part". </w:t>
      </w:r>
    </w:p>
    <w:p w14:paraId="157398AF" w14:textId="77777777" w:rsidR="00C1194F" w:rsidRDefault="00C1194F" w:rsidP="00C1194F">
      <w:pPr>
        <w:pStyle w:val="ListParagraph"/>
        <w:jc w:val="both"/>
        <w:rPr>
          <w:rFonts w:ascii="Avenir Next" w:hAnsi="Avenir Next" w:cs="Arial"/>
          <w:color w:val="7B7B7B" w:themeColor="accent3" w:themeShade="BF"/>
          <w:sz w:val="22"/>
          <w:szCs w:val="22"/>
          <w:lang w:val="en-GB"/>
        </w:rPr>
      </w:pPr>
    </w:p>
    <w:p w14:paraId="118BFBAD" w14:textId="5C70F6A5" w:rsidR="00C1194F" w:rsidRDefault="00C1194F" w:rsidP="00623494">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Subsequently, unsecured creditors are then paid. Often times, the expenses of the liquidation and </w:t>
      </w:r>
      <w:r w:rsidR="00D1089E">
        <w:rPr>
          <w:rFonts w:ascii="Avenir Next" w:hAnsi="Avenir Next" w:cs="Arial"/>
          <w:color w:val="7B7B7B" w:themeColor="accent3" w:themeShade="BF"/>
          <w:sz w:val="22"/>
          <w:szCs w:val="22"/>
          <w:lang w:val="en-GB"/>
        </w:rPr>
        <w:t xml:space="preserve">further </w:t>
      </w:r>
      <w:r>
        <w:rPr>
          <w:rFonts w:ascii="Avenir Next" w:hAnsi="Avenir Next" w:cs="Arial"/>
          <w:color w:val="7B7B7B" w:themeColor="accent3" w:themeShade="BF"/>
          <w:sz w:val="22"/>
          <w:szCs w:val="22"/>
          <w:lang w:val="en-GB"/>
        </w:rPr>
        <w:t xml:space="preserve">waterfall payments to preferential creditors renders </w:t>
      </w:r>
      <w:r w:rsidR="00D1089E">
        <w:rPr>
          <w:rFonts w:ascii="Avenir Next" w:hAnsi="Avenir Next" w:cs="Arial"/>
          <w:color w:val="7B7B7B" w:themeColor="accent3" w:themeShade="BF"/>
          <w:sz w:val="22"/>
          <w:szCs w:val="22"/>
          <w:lang w:val="en-GB"/>
        </w:rPr>
        <w:t xml:space="preserve">any amount available to unsecured creditors insufficient or non-existent. </w:t>
      </w:r>
    </w:p>
    <w:p w14:paraId="166B1C79" w14:textId="77777777" w:rsidR="00D1089E" w:rsidRDefault="00D1089E" w:rsidP="00D1089E">
      <w:pPr>
        <w:pStyle w:val="ListParagraph"/>
        <w:jc w:val="both"/>
        <w:rPr>
          <w:rFonts w:ascii="Avenir Next" w:hAnsi="Avenir Next" w:cs="Arial"/>
          <w:color w:val="7B7B7B" w:themeColor="accent3" w:themeShade="BF"/>
          <w:sz w:val="22"/>
          <w:szCs w:val="22"/>
          <w:lang w:val="en-GB"/>
        </w:rPr>
      </w:pPr>
    </w:p>
    <w:p w14:paraId="30CED4ED" w14:textId="05FA1C0E" w:rsidR="00D1089E" w:rsidRDefault="00D1089E" w:rsidP="00623494">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Lastly, and only in circumstances where sufficient funds (plus any interest) has been paid to all creditors of the company (whether secured or unsecured), any surplus </w:t>
      </w:r>
      <w:r>
        <w:rPr>
          <w:rFonts w:ascii="Avenir Next" w:hAnsi="Avenir Next" w:cs="Arial"/>
          <w:color w:val="7B7B7B" w:themeColor="accent3" w:themeShade="BF"/>
          <w:sz w:val="22"/>
          <w:szCs w:val="22"/>
          <w:lang w:val="en-GB"/>
        </w:rPr>
        <w:lastRenderedPageBreak/>
        <w:t xml:space="preserve">may be paid to the company's shareholders. Such payment is ordinarily distributed </w:t>
      </w:r>
      <w:r>
        <w:rPr>
          <w:rFonts w:ascii="Avenir Next" w:hAnsi="Avenir Next" w:cs="Arial"/>
          <w:i/>
          <w:color w:val="7B7B7B" w:themeColor="accent3" w:themeShade="BF"/>
          <w:sz w:val="22"/>
          <w:szCs w:val="22"/>
          <w:lang w:val="en-GB"/>
        </w:rPr>
        <w:t>pro rata</w:t>
      </w:r>
      <w:r>
        <w:rPr>
          <w:rFonts w:ascii="Avenir Next" w:hAnsi="Avenir Next" w:cs="Arial"/>
          <w:color w:val="7B7B7B" w:themeColor="accent3" w:themeShade="BF"/>
          <w:sz w:val="22"/>
          <w:szCs w:val="22"/>
          <w:lang w:val="en-GB"/>
        </w:rPr>
        <w:t xml:space="preserve"> to the relevant shareholders' shareholding.</w:t>
      </w:r>
    </w:p>
    <w:p w14:paraId="6F33257B" w14:textId="77777777" w:rsidR="00D1089E" w:rsidRDefault="00D1089E" w:rsidP="00D1089E">
      <w:pPr>
        <w:jc w:val="both"/>
        <w:rPr>
          <w:rFonts w:ascii="Avenir Next" w:hAnsi="Avenir Next" w:cs="Arial"/>
          <w:color w:val="7B7B7B" w:themeColor="accent3" w:themeShade="BF"/>
          <w:sz w:val="22"/>
          <w:szCs w:val="22"/>
          <w:lang w:val="en-GB"/>
        </w:rPr>
      </w:pPr>
    </w:p>
    <w:p w14:paraId="3D7BAF1C" w14:textId="249250AD" w:rsidR="00D1089E" w:rsidRDefault="00D1089E" w:rsidP="00D1089E">
      <w:pPr>
        <w:jc w:val="both"/>
        <w:rPr>
          <w:rFonts w:ascii="Avenir Next" w:hAnsi="Avenir Next" w:cs="Arial"/>
          <w:color w:val="7B7B7B" w:themeColor="accent3" w:themeShade="BF"/>
          <w:sz w:val="22"/>
          <w:szCs w:val="22"/>
          <w:lang w:val="en-GB"/>
        </w:rPr>
      </w:pPr>
      <w:r>
        <w:rPr>
          <w:rFonts w:ascii="Avenir Next" w:hAnsi="Avenir Next" w:cs="Arial"/>
          <w:b/>
          <w:color w:val="7B7B7B" w:themeColor="accent3" w:themeShade="BF"/>
          <w:sz w:val="22"/>
          <w:szCs w:val="22"/>
          <w:u w:val="single"/>
          <w:lang w:val="en-GB"/>
        </w:rPr>
        <w:t>Changes in Priority of Payment where a Moratorium under Part A1 O</w:t>
      </w:r>
      <w:r w:rsidR="00581004">
        <w:rPr>
          <w:rFonts w:ascii="Avenir Next" w:hAnsi="Avenir Next" w:cs="Arial"/>
          <w:b/>
          <w:color w:val="7B7B7B" w:themeColor="accent3" w:themeShade="BF"/>
          <w:sz w:val="22"/>
          <w:szCs w:val="22"/>
          <w:u w:val="single"/>
          <w:lang w:val="en-GB"/>
        </w:rPr>
        <w:t>ccurred</w:t>
      </w:r>
      <w:r w:rsidRPr="00D1089E">
        <w:rPr>
          <w:rFonts w:ascii="Avenir Next" w:hAnsi="Avenir Next" w:cs="Arial"/>
          <w:color w:val="7B7B7B" w:themeColor="accent3" w:themeShade="BF"/>
          <w:sz w:val="22"/>
          <w:szCs w:val="22"/>
          <w:lang w:val="en-GB"/>
        </w:rPr>
        <w:t xml:space="preserve"> </w:t>
      </w:r>
    </w:p>
    <w:p w14:paraId="7277975B" w14:textId="4E21C1DA" w:rsidR="00581004" w:rsidRDefault="00581004" w:rsidP="00D1089E">
      <w:pPr>
        <w:jc w:val="both"/>
        <w:rPr>
          <w:rFonts w:ascii="Avenir Next" w:hAnsi="Avenir Next" w:cs="Arial"/>
          <w:color w:val="7B7B7B" w:themeColor="accent3" w:themeShade="BF"/>
          <w:sz w:val="22"/>
          <w:szCs w:val="22"/>
          <w:lang w:val="en-GB"/>
        </w:rPr>
      </w:pPr>
    </w:p>
    <w:p w14:paraId="005247B7" w14:textId="77777777" w:rsidR="00644679" w:rsidRDefault="00581004" w:rsidP="00D1089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circumstances where a company enters into liquidation within 12 weeks from the end of a moratorium under Part A1 of </w:t>
      </w:r>
      <w:r w:rsidR="00644679">
        <w:rPr>
          <w:rFonts w:ascii="Avenir Next" w:hAnsi="Avenir Next" w:cs="Arial"/>
          <w:color w:val="7B7B7B" w:themeColor="accent3" w:themeShade="BF"/>
          <w:sz w:val="22"/>
          <w:szCs w:val="22"/>
          <w:lang w:val="en-GB"/>
        </w:rPr>
        <w:t>the Insolvency Act, the usual</w:t>
      </w:r>
      <w:r>
        <w:rPr>
          <w:rFonts w:ascii="Avenir Next" w:hAnsi="Avenir Next" w:cs="Arial"/>
          <w:color w:val="7B7B7B" w:themeColor="accent3" w:themeShade="BF"/>
          <w:sz w:val="22"/>
          <w:szCs w:val="22"/>
          <w:lang w:val="en-GB"/>
        </w:rPr>
        <w:t xml:space="preserve"> priority of payments in the </w:t>
      </w:r>
      <w:r w:rsidR="001D7463">
        <w:rPr>
          <w:rFonts w:ascii="Avenir Next" w:hAnsi="Avenir Next" w:cs="Arial"/>
          <w:color w:val="7B7B7B" w:themeColor="accent3" w:themeShade="BF"/>
          <w:sz w:val="22"/>
          <w:szCs w:val="22"/>
          <w:lang w:val="en-GB"/>
        </w:rPr>
        <w:t>subsequent</w:t>
      </w:r>
      <w:r>
        <w:rPr>
          <w:rFonts w:ascii="Avenir Next" w:hAnsi="Avenir Next" w:cs="Arial"/>
          <w:color w:val="7B7B7B" w:themeColor="accent3" w:themeShade="BF"/>
          <w:sz w:val="22"/>
          <w:szCs w:val="22"/>
          <w:lang w:val="en-GB"/>
        </w:rPr>
        <w:t xml:space="preserve"> liquidation may be different had a moratorium not occurred. </w:t>
      </w:r>
    </w:p>
    <w:p w14:paraId="621C261A" w14:textId="77777777" w:rsidR="00644679" w:rsidRDefault="00644679" w:rsidP="00D1089E">
      <w:pPr>
        <w:jc w:val="both"/>
        <w:rPr>
          <w:rFonts w:ascii="Avenir Next" w:hAnsi="Avenir Next" w:cs="Arial"/>
          <w:color w:val="7B7B7B" w:themeColor="accent3" w:themeShade="BF"/>
          <w:sz w:val="22"/>
          <w:szCs w:val="22"/>
          <w:lang w:val="en-GB"/>
        </w:rPr>
      </w:pPr>
    </w:p>
    <w:p w14:paraId="00169CF2" w14:textId="5D318643" w:rsidR="00581004" w:rsidRPr="00581004" w:rsidRDefault="00581004" w:rsidP="00D1089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s.174A of the Insolvency Act, debts that were not subject to the moratorium "payment holiday" are paid first in priority in a liquidation</w:t>
      </w:r>
      <w:r w:rsidR="001D7463">
        <w:rPr>
          <w:rFonts w:ascii="Avenir Next" w:hAnsi="Avenir Next" w:cs="Arial"/>
          <w:color w:val="7B7B7B" w:themeColor="accent3" w:themeShade="BF"/>
          <w:sz w:val="22"/>
          <w:szCs w:val="22"/>
          <w:lang w:val="en-GB"/>
        </w:rPr>
        <w:t xml:space="preserve">, even as to the expenses and fees of the liquidator. These pre-moratorium and moratorium debts falling outside of the "payment holiday" are capable of being reclassified as a super-priority payment in the liquidation. Further, both unsecured and secured pre-moratorium bank-debts are also capable of acquiring super-priority </w:t>
      </w:r>
      <w:r w:rsidR="00644679">
        <w:rPr>
          <w:rFonts w:ascii="Avenir Next" w:hAnsi="Avenir Next" w:cs="Arial"/>
          <w:color w:val="7B7B7B" w:themeColor="accent3" w:themeShade="BF"/>
          <w:sz w:val="22"/>
          <w:szCs w:val="22"/>
          <w:lang w:val="en-GB"/>
        </w:rPr>
        <w:t xml:space="preserve">status in a subsequent liquidation under these circumstances. However, such bank-debts will not achieve a super-priority status in where such payment was brought about due to an acceleration event.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37B8A3F6" w:rsidR="00197F24" w:rsidRDefault="000439B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Section 245 of the Insolvency Act will likely render the floating charge granted to Ambitus Bank plc (the "</w:t>
      </w:r>
      <w:r>
        <w:rPr>
          <w:rFonts w:ascii="Avenir Next" w:hAnsi="Avenir Next" w:cs="Arial"/>
          <w:b/>
          <w:color w:val="7B7B7B" w:themeColor="accent3" w:themeShade="BF"/>
          <w:sz w:val="22"/>
          <w:szCs w:val="22"/>
          <w:lang w:val="en-GB"/>
        </w:rPr>
        <w:t>Bank</w:t>
      </w:r>
      <w:r>
        <w:rPr>
          <w:rFonts w:ascii="Avenir Next" w:hAnsi="Avenir Next" w:cs="Arial"/>
          <w:color w:val="7B7B7B" w:themeColor="accent3" w:themeShade="BF"/>
          <w:sz w:val="22"/>
          <w:szCs w:val="22"/>
          <w:lang w:val="en-GB"/>
        </w:rPr>
        <w:t xml:space="preserve">") as invalid, such that no formal court action </w:t>
      </w:r>
      <w:r w:rsidR="0084576F">
        <w:rPr>
          <w:rFonts w:ascii="Avenir Next" w:hAnsi="Avenir Next" w:cs="Arial"/>
          <w:color w:val="7B7B7B" w:themeColor="accent3" w:themeShade="BF"/>
          <w:sz w:val="22"/>
          <w:szCs w:val="22"/>
          <w:lang w:val="en-GB"/>
        </w:rPr>
        <w:t xml:space="preserve">against the Bank </w:t>
      </w:r>
      <w:r>
        <w:rPr>
          <w:rFonts w:ascii="Avenir Next" w:hAnsi="Avenir Next" w:cs="Arial"/>
          <w:color w:val="7B7B7B" w:themeColor="accent3" w:themeShade="BF"/>
          <w:sz w:val="22"/>
          <w:szCs w:val="22"/>
          <w:lang w:val="en-GB"/>
        </w:rPr>
        <w:t>by the liquidator is required.</w:t>
      </w:r>
    </w:p>
    <w:p w14:paraId="284E38D2" w14:textId="42554115" w:rsidR="000439BB" w:rsidRDefault="000439BB" w:rsidP="00197F24">
      <w:pPr>
        <w:jc w:val="both"/>
        <w:rPr>
          <w:rFonts w:ascii="Avenir Next" w:hAnsi="Avenir Next" w:cs="Arial"/>
          <w:color w:val="7B7B7B" w:themeColor="accent3" w:themeShade="BF"/>
          <w:sz w:val="22"/>
          <w:szCs w:val="22"/>
          <w:lang w:val="en-GB"/>
        </w:rPr>
      </w:pPr>
    </w:p>
    <w:p w14:paraId="5BAE9C64" w14:textId="3D846AF1" w:rsidR="000439BB" w:rsidRDefault="000439B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245 of the Insolvency Act only applies to floating charges. In circumstances where a company enters into liquidation (as is the case for Blazer Laser Limited (the "</w:t>
      </w:r>
      <w:r>
        <w:rPr>
          <w:rFonts w:ascii="Avenir Next" w:hAnsi="Avenir Next" w:cs="Arial"/>
          <w:b/>
          <w:color w:val="7B7B7B" w:themeColor="accent3" w:themeShade="BF"/>
          <w:sz w:val="22"/>
          <w:szCs w:val="22"/>
          <w:lang w:val="en-GB"/>
        </w:rPr>
        <w:t>Company</w:t>
      </w:r>
      <w:r>
        <w:rPr>
          <w:rFonts w:ascii="Avenir Next" w:hAnsi="Avenir Next" w:cs="Arial"/>
          <w:color w:val="7B7B7B" w:themeColor="accent3" w:themeShade="BF"/>
          <w:sz w:val="22"/>
          <w:szCs w:val="22"/>
          <w:lang w:val="en-GB"/>
        </w:rPr>
        <w:t xml:space="preserve">")), section 245 is meant to prevent unsecured creditors </w:t>
      </w:r>
      <w:r w:rsidR="0084576F">
        <w:rPr>
          <w:rFonts w:ascii="Avenir Next" w:hAnsi="Avenir Next" w:cs="Arial"/>
          <w:color w:val="7B7B7B" w:themeColor="accent3" w:themeShade="BF"/>
          <w:sz w:val="22"/>
          <w:szCs w:val="22"/>
          <w:lang w:val="en-GB"/>
        </w:rPr>
        <w:t xml:space="preserve">from obtaining a more ambitious form of security (i.e. the floating charge) shortly before a company enters into liquidation. While section 245 does not apply to the grant of a floating charge over new funding, this exception is not relevant in circumstances where the Bank did not grant the Company fresh funding for the floating charge. </w:t>
      </w:r>
    </w:p>
    <w:p w14:paraId="1C0769CF" w14:textId="6C2FD2F5" w:rsidR="0084576F" w:rsidRDefault="0084576F" w:rsidP="00197F24">
      <w:pPr>
        <w:jc w:val="both"/>
        <w:rPr>
          <w:rFonts w:ascii="Avenir Next" w:hAnsi="Avenir Next" w:cs="Arial"/>
          <w:color w:val="7B7B7B" w:themeColor="accent3" w:themeShade="BF"/>
          <w:sz w:val="22"/>
          <w:szCs w:val="22"/>
          <w:lang w:val="en-GB"/>
        </w:rPr>
      </w:pPr>
    </w:p>
    <w:p w14:paraId="01BCED0E" w14:textId="702F1B23" w:rsidR="0084576F" w:rsidRDefault="0084576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245, the relevant floating charge must be created within a period of two years of a company commencing its liquidation. Applying the foregoing to the Company, the floating charge was granted to the Bank in or around June 2023. Given that the Company commenced its liquidation in early 2024, the floating charge falls within the relevant period for the purposes of section 245. </w:t>
      </w:r>
    </w:p>
    <w:p w14:paraId="5A31023A" w14:textId="394936FC" w:rsidR="0084576F" w:rsidRDefault="0084576F" w:rsidP="00197F24">
      <w:pPr>
        <w:jc w:val="both"/>
        <w:rPr>
          <w:rFonts w:ascii="Avenir Next" w:hAnsi="Avenir Next" w:cs="Arial"/>
          <w:color w:val="7B7B7B" w:themeColor="accent3" w:themeShade="BF"/>
          <w:sz w:val="22"/>
          <w:szCs w:val="22"/>
          <w:lang w:val="en-GB"/>
        </w:rPr>
      </w:pPr>
    </w:p>
    <w:p w14:paraId="052EB9EA" w14:textId="33934DD1" w:rsidR="000439BB" w:rsidRPr="000439BB" w:rsidRDefault="0084576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no 'new' consideration factors within section 245 apply to the facts of the floating charge granted to the Bank. As such, the floating charge to the Bank is likely to be rendered as invalid as the Company has entered into liquidation. Be that as it may, section 245 will not invalidate anything done pursuant to the Bank's floating charge prior to the Company's commenting of its liquidation. Although the Bank's floating charge will be invalidated, the Bank's underlying debt remains valid.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5FDE3839" w:rsidR="00197F24" w:rsidRDefault="00BF0F7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likely that the liquidator will be able to attack the sale of the laser cutting machines under s.238 of the Insolvency Act (i.e. a transaction </w:t>
      </w:r>
      <w:r w:rsidR="00476728">
        <w:rPr>
          <w:rFonts w:ascii="Avenir Next" w:hAnsi="Avenir Next" w:cs="Arial"/>
          <w:color w:val="7B7B7B" w:themeColor="accent3" w:themeShade="BF"/>
          <w:sz w:val="22"/>
          <w:szCs w:val="22"/>
          <w:lang w:val="en-GB"/>
        </w:rPr>
        <w:t>occurring</w:t>
      </w:r>
      <w:r>
        <w:rPr>
          <w:rFonts w:ascii="Avenir Next" w:hAnsi="Avenir Next" w:cs="Arial"/>
          <w:color w:val="7B7B7B" w:themeColor="accent3" w:themeShade="BF"/>
          <w:sz w:val="22"/>
          <w:szCs w:val="22"/>
          <w:lang w:val="en-GB"/>
        </w:rPr>
        <w:t xml:space="preserve"> at </w:t>
      </w:r>
      <w:proofErr w:type="gramStart"/>
      <w:r>
        <w:rPr>
          <w:rFonts w:ascii="Avenir Next" w:hAnsi="Avenir Next" w:cs="Arial"/>
          <w:color w:val="7B7B7B" w:themeColor="accent3" w:themeShade="BF"/>
          <w:sz w:val="22"/>
          <w:szCs w:val="22"/>
          <w:lang w:val="en-GB"/>
        </w:rPr>
        <w:t>an undervalue</w:t>
      </w:r>
      <w:proofErr w:type="gramEnd"/>
      <w:r>
        <w:rPr>
          <w:rFonts w:ascii="Avenir Next" w:hAnsi="Avenir Next" w:cs="Arial"/>
          <w:color w:val="7B7B7B" w:themeColor="accent3" w:themeShade="BF"/>
          <w:sz w:val="22"/>
          <w:szCs w:val="22"/>
          <w:lang w:val="en-GB"/>
        </w:rPr>
        <w:t xml:space="preserve">). </w:t>
      </w:r>
    </w:p>
    <w:p w14:paraId="033F76F3" w14:textId="1ED44617" w:rsidR="00BF0F72" w:rsidRDefault="00BF0F72" w:rsidP="00197F24">
      <w:pPr>
        <w:jc w:val="both"/>
        <w:rPr>
          <w:rFonts w:ascii="Avenir Next" w:hAnsi="Avenir Next" w:cs="Arial"/>
          <w:color w:val="7B7B7B" w:themeColor="accent3" w:themeShade="BF"/>
          <w:sz w:val="22"/>
          <w:szCs w:val="22"/>
          <w:lang w:val="en-GB"/>
        </w:rPr>
      </w:pPr>
    </w:p>
    <w:p w14:paraId="5091A7E9" w14:textId="713ED0E8" w:rsidR="00BF0F72" w:rsidRDefault="00BF0F7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s.238 of the Insolvency Act, </w:t>
      </w:r>
      <w:r w:rsidR="00476728">
        <w:rPr>
          <w:rFonts w:ascii="Avenir Next" w:hAnsi="Avenir Next" w:cs="Arial"/>
          <w:color w:val="7B7B7B" w:themeColor="accent3" w:themeShade="BF"/>
          <w:sz w:val="22"/>
          <w:szCs w:val="22"/>
          <w:lang w:val="en-GB"/>
        </w:rPr>
        <w:t xml:space="preserve">and in order to attack transactions </w:t>
      </w:r>
      <w:r w:rsidR="006806C4">
        <w:rPr>
          <w:rFonts w:ascii="Avenir Next" w:hAnsi="Avenir Next" w:cs="Arial"/>
          <w:color w:val="7B7B7B" w:themeColor="accent3" w:themeShade="BF"/>
          <w:sz w:val="22"/>
          <w:szCs w:val="22"/>
          <w:lang w:val="en-GB"/>
        </w:rPr>
        <w:t>suspected</w:t>
      </w:r>
      <w:r w:rsidR="00476728">
        <w:rPr>
          <w:rFonts w:ascii="Avenir Next" w:hAnsi="Avenir Next" w:cs="Arial"/>
          <w:color w:val="7B7B7B" w:themeColor="accent3" w:themeShade="BF"/>
          <w:sz w:val="22"/>
          <w:szCs w:val="22"/>
          <w:lang w:val="en-GB"/>
        </w:rPr>
        <w:t xml:space="preserve"> to be at </w:t>
      </w:r>
      <w:proofErr w:type="gramStart"/>
      <w:r w:rsidR="00476728">
        <w:rPr>
          <w:rFonts w:ascii="Avenir Next" w:hAnsi="Avenir Next" w:cs="Arial"/>
          <w:color w:val="7B7B7B" w:themeColor="accent3" w:themeShade="BF"/>
          <w:sz w:val="22"/>
          <w:szCs w:val="22"/>
          <w:lang w:val="en-GB"/>
        </w:rPr>
        <w:t>an undervalue</w:t>
      </w:r>
      <w:proofErr w:type="gramEnd"/>
      <w:r w:rsidR="0047672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 liquidator must be able to evidence that the company: </w:t>
      </w:r>
    </w:p>
    <w:p w14:paraId="2708A629" w14:textId="289F59B2" w:rsidR="00BF0F72" w:rsidRDefault="00BF0F72" w:rsidP="00197F24">
      <w:pPr>
        <w:jc w:val="both"/>
        <w:rPr>
          <w:rFonts w:ascii="Avenir Next" w:hAnsi="Avenir Next" w:cs="Arial"/>
          <w:color w:val="7B7B7B" w:themeColor="accent3" w:themeShade="BF"/>
          <w:sz w:val="22"/>
          <w:szCs w:val="22"/>
          <w:lang w:val="en-GB"/>
        </w:rPr>
      </w:pPr>
    </w:p>
    <w:p w14:paraId="0440C374" w14:textId="20DD3AAC" w:rsidR="00BF0F72" w:rsidRDefault="00BF0F72" w:rsidP="00BF0F72">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a gift to another person; or</w:t>
      </w:r>
    </w:p>
    <w:p w14:paraId="6220971F" w14:textId="77777777" w:rsidR="00BF0F72" w:rsidRDefault="00BF0F72" w:rsidP="00BF0F72">
      <w:pPr>
        <w:pStyle w:val="ListParagraph"/>
        <w:jc w:val="both"/>
        <w:rPr>
          <w:rFonts w:ascii="Avenir Next" w:hAnsi="Avenir Next" w:cs="Arial"/>
          <w:color w:val="7B7B7B" w:themeColor="accent3" w:themeShade="BF"/>
          <w:sz w:val="22"/>
          <w:szCs w:val="22"/>
          <w:lang w:val="en-GB"/>
        </w:rPr>
      </w:pPr>
    </w:p>
    <w:p w14:paraId="4A74A7E8" w14:textId="6C23033D" w:rsidR="00BF0F72" w:rsidRDefault="00BF0F72" w:rsidP="00BF0F72">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entered into a transaction with another person on terms that provid</w:t>
      </w:r>
      <w:r w:rsidR="006806C4">
        <w:rPr>
          <w:rFonts w:ascii="Avenir Next" w:hAnsi="Avenir Next" w:cs="Arial"/>
          <w:color w:val="7B7B7B" w:themeColor="accent3" w:themeShade="BF"/>
          <w:sz w:val="22"/>
          <w:szCs w:val="22"/>
          <w:lang w:val="en-GB"/>
        </w:rPr>
        <w:t>ed for the company to receive zero</w:t>
      </w:r>
      <w:r>
        <w:rPr>
          <w:rFonts w:ascii="Avenir Next" w:hAnsi="Avenir Next" w:cs="Arial"/>
          <w:color w:val="7B7B7B" w:themeColor="accent3" w:themeShade="BF"/>
          <w:sz w:val="22"/>
          <w:szCs w:val="22"/>
          <w:lang w:val="en-GB"/>
        </w:rPr>
        <w:t xml:space="preserve"> consideration; or </w:t>
      </w:r>
    </w:p>
    <w:p w14:paraId="742C8AF2" w14:textId="77777777" w:rsidR="00BF0F72" w:rsidRDefault="00BF0F72" w:rsidP="00BF0F72">
      <w:pPr>
        <w:pStyle w:val="ListParagraph"/>
        <w:jc w:val="both"/>
        <w:rPr>
          <w:rFonts w:ascii="Avenir Next" w:hAnsi="Avenir Next" w:cs="Arial"/>
          <w:color w:val="7B7B7B" w:themeColor="accent3" w:themeShade="BF"/>
          <w:sz w:val="22"/>
          <w:szCs w:val="22"/>
          <w:lang w:val="en-GB"/>
        </w:rPr>
      </w:pPr>
    </w:p>
    <w:p w14:paraId="08D631F5" w14:textId="441AAE9F" w:rsidR="00BF0F72" w:rsidRDefault="00BF0F72" w:rsidP="00BF0F72">
      <w:pPr>
        <w:pStyle w:val="ListParagraph"/>
        <w:numPr>
          <w:ilvl w:val="0"/>
          <w:numId w:val="21"/>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entered</w:t>
      </w:r>
      <w:proofErr w:type="gramEnd"/>
      <w:r>
        <w:rPr>
          <w:rFonts w:ascii="Avenir Next" w:hAnsi="Avenir Next" w:cs="Arial"/>
          <w:color w:val="7B7B7B" w:themeColor="accent3" w:themeShade="BF"/>
          <w:sz w:val="22"/>
          <w:szCs w:val="22"/>
          <w:lang w:val="en-GB"/>
        </w:rPr>
        <w:t xml:space="preserve"> into a transaction with another person for a consideration that, in monetary terms, was (on the day of the transaction), significantly lower than the value of the consideration </w:t>
      </w:r>
      <w:r w:rsidR="00476728">
        <w:rPr>
          <w:rFonts w:ascii="Avenir Next" w:hAnsi="Avenir Next" w:cs="Arial"/>
          <w:color w:val="7B7B7B" w:themeColor="accent3" w:themeShade="BF"/>
          <w:sz w:val="22"/>
          <w:szCs w:val="22"/>
          <w:lang w:val="en-GB"/>
        </w:rPr>
        <w:t>given</w:t>
      </w:r>
      <w:r>
        <w:rPr>
          <w:rFonts w:ascii="Avenir Next" w:hAnsi="Avenir Next" w:cs="Arial"/>
          <w:color w:val="7B7B7B" w:themeColor="accent3" w:themeShade="BF"/>
          <w:sz w:val="22"/>
          <w:szCs w:val="22"/>
          <w:lang w:val="en-GB"/>
        </w:rPr>
        <w:t xml:space="preserve"> by the company. </w:t>
      </w:r>
    </w:p>
    <w:p w14:paraId="0F360182" w14:textId="52FCD268" w:rsidR="00BF0F72" w:rsidRDefault="00BF0F72" w:rsidP="00BF0F72">
      <w:pPr>
        <w:jc w:val="both"/>
        <w:rPr>
          <w:rFonts w:ascii="Avenir Next" w:hAnsi="Avenir Next" w:cs="Arial"/>
          <w:color w:val="7B7B7B" w:themeColor="accent3" w:themeShade="BF"/>
          <w:sz w:val="22"/>
          <w:szCs w:val="22"/>
          <w:lang w:val="en-GB"/>
        </w:rPr>
      </w:pPr>
    </w:p>
    <w:p w14:paraId="4820BB0B" w14:textId="5362F817" w:rsidR="00BF0F72" w:rsidRDefault="00BF0F72" w:rsidP="00BF0F7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addition to the above, the transaction subject to attack must have occurred within the two-year period prior to the commencement of the liquidation of the company</w:t>
      </w:r>
      <w:r w:rsidR="00476728">
        <w:rPr>
          <w:rFonts w:ascii="Avenir Next" w:hAnsi="Avenir Next" w:cs="Arial"/>
          <w:color w:val="7B7B7B" w:themeColor="accent3" w:themeShade="BF"/>
          <w:sz w:val="22"/>
          <w:szCs w:val="22"/>
          <w:lang w:val="en-GB"/>
        </w:rPr>
        <w:t xml:space="preserve"> (the "</w:t>
      </w:r>
      <w:r w:rsidR="00476728">
        <w:rPr>
          <w:rFonts w:ascii="Avenir Next" w:hAnsi="Avenir Next" w:cs="Arial"/>
          <w:b/>
          <w:color w:val="7B7B7B" w:themeColor="accent3" w:themeShade="BF"/>
          <w:sz w:val="22"/>
          <w:szCs w:val="22"/>
          <w:lang w:val="en-GB"/>
        </w:rPr>
        <w:t>Relevant Period</w:t>
      </w:r>
      <w:r w:rsidR="0047672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5B9D8DE6" w14:textId="1DE2D3D7" w:rsidR="00BF0F72" w:rsidRDefault="00BF0F72" w:rsidP="00BF0F72">
      <w:pPr>
        <w:jc w:val="both"/>
        <w:rPr>
          <w:rFonts w:ascii="Avenir Next" w:hAnsi="Avenir Next" w:cs="Arial"/>
          <w:color w:val="7B7B7B" w:themeColor="accent3" w:themeShade="BF"/>
          <w:sz w:val="22"/>
          <w:szCs w:val="22"/>
          <w:lang w:val="en-GB"/>
        </w:rPr>
      </w:pPr>
    </w:p>
    <w:p w14:paraId="21E5AE9B" w14:textId="495049D6" w:rsidR="00BF0F72" w:rsidRDefault="00BF0F72" w:rsidP="00BF0F7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While it is usually obvious where a gift or </w:t>
      </w:r>
      <w:r w:rsidR="00476728">
        <w:rPr>
          <w:rFonts w:ascii="Avenir Next" w:hAnsi="Avenir Next" w:cs="Arial"/>
          <w:color w:val="7B7B7B" w:themeColor="accent3" w:themeShade="BF"/>
          <w:sz w:val="22"/>
          <w:szCs w:val="22"/>
          <w:lang w:val="en-GB"/>
        </w:rPr>
        <w:t xml:space="preserve">transaction with </w:t>
      </w:r>
      <w:r>
        <w:rPr>
          <w:rFonts w:ascii="Avenir Next" w:hAnsi="Avenir Next" w:cs="Arial"/>
          <w:color w:val="7B7B7B" w:themeColor="accent3" w:themeShade="BF"/>
          <w:sz w:val="22"/>
          <w:szCs w:val="22"/>
          <w:lang w:val="en-GB"/>
        </w:rPr>
        <w:t>zero consideration has occurred, comparisons of consideration received versus consideration given by the compan</w:t>
      </w:r>
      <w:r w:rsidR="006806C4">
        <w:rPr>
          <w:rFonts w:ascii="Avenir Next" w:hAnsi="Avenir Next" w:cs="Arial"/>
          <w:color w:val="7B7B7B" w:themeColor="accent3" w:themeShade="BF"/>
          <w:sz w:val="22"/>
          <w:szCs w:val="22"/>
          <w:lang w:val="en-GB"/>
        </w:rPr>
        <w:t xml:space="preserve">y, in monetary terms, </w:t>
      </w:r>
      <w:r>
        <w:rPr>
          <w:rFonts w:ascii="Avenir Next" w:hAnsi="Avenir Next" w:cs="Arial"/>
          <w:color w:val="7B7B7B" w:themeColor="accent3" w:themeShade="BF"/>
          <w:sz w:val="22"/>
          <w:szCs w:val="22"/>
          <w:lang w:val="en-GB"/>
        </w:rPr>
        <w:t xml:space="preserve">is likely to require valuation experts and evidence. </w:t>
      </w:r>
    </w:p>
    <w:p w14:paraId="0EC5FC29" w14:textId="11927A0A" w:rsidR="00BF0F72" w:rsidRDefault="00BF0F72" w:rsidP="00BF0F72">
      <w:pPr>
        <w:jc w:val="both"/>
        <w:rPr>
          <w:rFonts w:ascii="Avenir Next" w:hAnsi="Avenir Next" w:cs="Arial"/>
          <w:color w:val="7B7B7B" w:themeColor="accent3" w:themeShade="BF"/>
          <w:sz w:val="22"/>
          <w:szCs w:val="22"/>
          <w:lang w:val="en-GB"/>
        </w:rPr>
      </w:pPr>
    </w:p>
    <w:p w14:paraId="3B609691" w14:textId="3AA72B25" w:rsidR="00BF0F72" w:rsidRDefault="00BF0F72" w:rsidP="00BF0F7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a liability requirement </w:t>
      </w:r>
      <w:r w:rsidR="00476728">
        <w:rPr>
          <w:rFonts w:ascii="Avenir Next" w:hAnsi="Avenir Next" w:cs="Arial"/>
          <w:color w:val="7B7B7B" w:themeColor="accent3" w:themeShade="BF"/>
          <w:sz w:val="22"/>
          <w:szCs w:val="22"/>
          <w:lang w:val="en-GB"/>
        </w:rPr>
        <w:t xml:space="preserve">under s.238 provides that the undervalued transaction must occur when the company was unable to pay its debts within the meaning of s.123 or </w:t>
      </w:r>
      <w:r w:rsidR="00476728">
        <w:rPr>
          <w:rFonts w:ascii="Avenir Next" w:hAnsi="Avenir Next" w:cs="Arial"/>
          <w:color w:val="7B7B7B" w:themeColor="accent3" w:themeShade="BF"/>
          <w:sz w:val="22"/>
          <w:szCs w:val="22"/>
          <w:lang w:val="en-GB"/>
        </w:rPr>
        <w:lastRenderedPageBreak/>
        <w:t>alternatively, where the company became unable to pay its debts as a result of the transaction. In circumstances where the transaction was with a "connected person" (i.e. someone connected to the company), it is presumed that the company was insolvent or became i</w:t>
      </w:r>
      <w:r w:rsidR="006806C4">
        <w:rPr>
          <w:rFonts w:ascii="Avenir Next" w:hAnsi="Avenir Next" w:cs="Arial"/>
          <w:color w:val="7B7B7B" w:themeColor="accent3" w:themeShade="BF"/>
          <w:sz w:val="22"/>
          <w:szCs w:val="22"/>
          <w:lang w:val="en-GB"/>
        </w:rPr>
        <w:t xml:space="preserve">nsolvent due to the transaction, </w:t>
      </w:r>
      <w:r w:rsidR="00476728">
        <w:rPr>
          <w:rFonts w:ascii="Avenir Next" w:hAnsi="Avenir Next" w:cs="Arial"/>
          <w:color w:val="7B7B7B" w:themeColor="accent3" w:themeShade="BF"/>
          <w:sz w:val="22"/>
          <w:szCs w:val="22"/>
          <w:lang w:val="en-GB"/>
        </w:rPr>
        <w:t xml:space="preserve">unless otherwise proven. </w:t>
      </w:r>
    </w:p>
    <w:p w14:paraId="2C51B1C3" w14:textId="374E4B55" w:rsidR="00476728" w:rsidRDefault="00476728" w:rsidP="00BF0F72">
      <w:pPr>
        <w:jc w:val="both"/>
        <w:rPr>
          <w:rFonts w:ascii="Avenir Next" w:hAnsi="Avenir Next" w:cs="Arial"/>
          <w:color w:val="7B7B7B" w:themeColor="accent3" w:themeShade="BF"/>
          <w:sz w:val="22"/>
          <w:szCs w:val="22"/>
          <w:lang w:val="en-GB"/>
        </w:rPr>
      </w:pPr>
    </w:p>
    <w:p w14:paraId="51ACCDC6" w14:textId="72A86A1E" w:rsidR="00476728" w:rsidRDefault="00476728" w:rsidP="00BF0F7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Applying the above to </w:t>
      </w:r>
      <w:r w:rsidR="00E84F1D">
        <w:rPr>
          <w:rFonts w:ascii="Avenir Next" w:hAnsi="Avenir Next" w:cs="Arial"/>
          <w:color w:val="7B7B7B" w:themeColor="accent3" w:themeShade="BF"/>
          <w:sz w:val="22"/>
          <w:szCs w:val="22"/>
          <w:lang w:val="en-GB"/>
        </w:rPr>
        <w:t>the Company's liquidator will more than likely succeed in proving that the sale of the laser cutting machines (the "</w:t>
      </w:r>
      <w:r w:rsidR="00E84F1D">
        <w:rPr>
          <w:rFonts w:ascii="Avenir Next" w:hAnsi="Avenir Next" w:cs="Arial"/>
          <w:b/>
          <w:color w:val="7B7B7B" w:themeColor="accent3" w:themeShade="BF"/>
          <w:sz w:val="22"/>
          <w:szCs w:val="22"/>
          <w:lang w:val="en-GB"/>
        </w:rPr>
        <w:t>Transaction</w:t>
      </w:r>
      <w:r w:rsidR="00E84F1D">
        <w:rPr>
          <w:rFonts w:ascii="Avenir Next" w:hAnsi="Avenir Next" w:cs="Arial"/>
          <w:color w:val="7B7B7B" w:themeColor="accent3" w:themeShade="BF"/>
          <w:sz w:val="22"/>
          <w:szCs w:val="22"/>
          <w:lang w:val="en-GB"/>
        </w:rPr>
        <w:t xml:space="preserve">") occurred at </w:t>
      </w:r>
      <w:proofErr w:type="gramStart"/>
      <w:r w:rsidR="00E84F1D">
        <w:rPr>
          <w:rFonts w:ascii="Avenir Next" w:hAnsi="Avenir Next" w:cs="Arial"/>
          <w:color w:val="7B7B7B" w:themeColor="accent3" w:themeShade="BF"/>
          <w:sz w:val="22"/>
          <w:szCs w:val="22"/>
          <w:lang w:val="en-GB"/>
        </w:rPr>
        <w:t>an undervalue</w:t>
      </w:r>
      <w:proofErr w:type="gramEnd"/>
      <w:r w:rsidR="00E84F1D">
        <w:rPr>
          <w:rFonts w:ascii="Avenir Next" w:hAnsi="Avenir Next" w:cs="Arial"/>
          <w:color w:val="7B7B7B" w:themeColor="accent3" w:themeShade="BF"/>
          <w:sz w:val="22"/>
          <w:szCs w:val="22"/>
          <w:lang w:val="en-GB"/>
        </w:rPr>
        <w:t xml:space="preserve"> within s.238, due to the following: </w:t>
      </w:r>
    </w:p>
    <w:p w14:paraId="3C741165" w14:textId="1DA4AA57" w:rsidR="00E84F1D" w:rsidRDefault="00E84F1D" w:rsidP="00BF0F72">
      <w:pPr>
        <w:jc w:val="both"/>
        <w:rPr>
          <w:rFonts w:ascii="Avenir Next" w:hAnsi="Avenir Next" w:cs="Arial"/>
          <w:color w:val="7B7B7B" w:themeColor="accent3" w:themeShade="BF"/>
          <w:sz w:val="22"/>
          <w:szCs w:val="22"/>
          <w:lang w:val="en-GB"/>
        </w:rPr>
      </w:pPr>
    </w:p>
    <w:p w14:paraId="512791E3" w14:textId="29AF1DFE" w:rsidR="00E84F1D" w:rsidRDefault="00E84F1D" w:rsidP="00E84F1D">
      <w:pPr>
        <w:pStyle w:val="ListParagraph"/>
        <w:numPr>
          <w:ilvl w:val="0"/>
          <w:numId w:val="22"/>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the</w:t>
      </w:r>
      <w:proofErr w:type="gramEnd"/>
      <w:r>
        <w:rPr>
          <w:rFonts w:ascii="Avenir Next" w:hAnsi="Avenir Next" w:cs="Arial"/>
          <w:color w:val="7B7B7B" w:themeColor="accent3" w:themeShade="BF"/>
          <w:sz w:val="22"/>
          <w:szCs w:val="22"/>
          <w:lang w:val="en-GB"/>
        </w:rPr>
        <w:t xml:space="preserve"> Transaction occurred in or around January 2023 and the Company </w:t>
      </w:r>
      <w:r w:rsidR="009C3CED">
        <w:rPr>
          <w:rFonts w:ascii="Avenir Next" w:hAnsi="Avenir Next" w:cs="Arial"/>
          <w:color w:val="7B7B7B" w:themeColor="accent3" w:themeShade="BF"/>
          <w:sz w:val="22"/>
          <w:szCs w:val="22"/>
          <w:lang w:val="en-GB"/>
        </w:rPr>
        <w:t xml:space="preserve">commenced its liquidation </w:t>
      </w:r>
      <w:r>
        <w:rPr>
          <w:rFonts w:ascii="Avenir Next" w:hAnsi="Avenir Next" w:cs="Arial"/>
          <w:color w:val="7B7B7B" w:themeColor="accent3" w:themeShade="BF"/>
          <w:sz w:val="22"/>
          <w:szCs w:val="22"/>
          <w:lang w:val="en-GB"/>
        </w:rPr>
        <w:t xml:space="preserve">on </w:t>
      </w:r>
      <w:r w:rsidR="009C3CED">
        <w:rPr>
          <w:rFonts w:ascii="Avenir Next" w:hAnsi="Avenir Next" w:cs="Arial"/>
          <w:color w:val="7B7B7B" w:themeColor="accent3" w:themeShade="BF"/>
          <w:sz w:val="22"/>
          <w:szCs w:val="22"/>
          <w:lang w:val="en-GB"/>
        </w:rPr>
        <w:t>13</w:t>
      </w:r>
      <w:r>
        <w:rPr>
          <w:rFonts w:ascii="Avenir Next" w:hAnsi="Avenir Next" w:cs="Arial"/>
          <w:color w:val="7B7B7B" w:themeColor="accent3" w:themeShade="BF"/>
          <w:sz w:val="22"/>
          <w:szCs w:val="22"/>
          <w:lang w:val="en-GB"/>
        </w:rPr>
        <w:t xml:space="preserve"> January 2024. As such, the Transaction occurred within the Relevant Period; </w:t>
      </w:r>
    </w:p>
    <w:p w14:paraId="53157057" w14:textId="77777777" w:rsidR="00E84F1D" w:rsidRDefault="00E84F1D" w:rsidP="00E84F1D">
      <w:pPr>
        <w:pStyle w:val="ListParagraph"/>
        <w:jc w:val="both"/>
        <w:rPr>
          <w:rFonts w:ascii="Avenir Next" w:hAnsi="Avenir Next" w:cs="Arial"/>
          <w:color w:val="7B7B7B" w:themeColor="accent3" w:themeShade="BF"/>
          <w:sz w:val="22"/>
          <w:szCs w:val="22"/>
          <w:lang w:val="en-GB"/>
        </w:rPr>
      </w:pPr>
    </w:p>
    <w:p w14:paraId="59FE47D6" w14:textId="6B6DCCBA" w:rsidR="00E84F1D" w:rsidRDefault="00E84F1D" w:rsidP="00E84F1D">
      <w:pPr>
        <w:pStyle w:val="ListParagraph"/>
        <w:numPr>
          <w:ilvl w:val="0"/>
          <w:numId w:val="22"/>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the</w:t>
      </w:r>
      <w:proofErr w:type="gramEnd"/>
      <w:r>
        <w:rPr>
          <w:rFonts w:ascii="Avenir Next" w:hAnsi="Avenir Next" w:cs="Arial"/>
          <w:color w:val="7B7B7B" w:themeColor="accent3" w:themeShade="BF"/>
          <w:sz w:val="22"/>
          <w:szCs w:val="22"/>
          <w:lang w:val="en-GB"/>
        </w:rPr>
        <w:t xml:space="preserve"> laser cutting machines were bought for GBP 100,000 in or around 2022. Although a valuation for the laser cutting machines in January 2023 will need to be obtained, it is extremely unlikely that such machines devalued by GBP 60,000 in the period of </w:t>
      </w:r>
      <w:r w:rsidR="006806C4">
        <w:rPr>
          <w:rFonts w:ascii="Avenir Next" w:hAnsi="Avenir Next" w:cs="Arial"/>
          <w:color w:val="7B7B7B" w:themeColor="accent3" w:themeShade="BF"/>
          <w:sz w:val="22"/>
          <w:szCs w:val="22"/>
          <w:lang w:val="en-GB"/>
        </w:rPr>
        <w:t xml:space="preserve">merely </w:t>
      </w:r>
      <w:r>
        <w:rPr>
          <w:rFonts w:ascii="Avenir Next" w:hAnsi="Avenir Next" w:cs="Arial"/>
          <w:color w:val="7B7B7B" w:themeColor="accent3" w:themeShade="BF"/>
          <w:sz w:val="22"/>
          <w:szCs w:val="22"/>
          <w:lang w:val="en-GB"/>
        </w:rPr>
        <w:t>one year. In the circumstances, the consideration received by the Company in the Transaction is likely to be viewed as significantly lower than the consideration given by the Company; and</w:t>
      </w:r>
    </w:p>
    <w:p w14:paraId="75F01EFB" w14:textId="77777777" w:rsidR="00E84F1D" w:rsidRDefault="00E84F1D" w:rsidP="00E84F1D">
      <w:pPr>
        <w:pStyle w:val="ListParagraph"/>
        <w:jc w:val="both"/>
        <w:rPr>
          <w:rFonts w:ascii="Avenir Next" w:hAnsi="Avenir Next" w:cs="Arial"/>
          <w:color w:val="7B7B7B" w:themeColor="accent3" w:themeShade="BF"/>
          <w:sz w:val="22"/>
          <w:szCs w:val="22"/>
          <w:lang w:val="en-GB"/>
        </w:rPr>
      </w:pPr>
    </w:p>
    <w:p w14:paraId="3D3FDC1C" w14:textId="1947CA95" w:rsidR="00E84F1D" w:rsidRPr="00E84F1D" w:rsidRDefault="006806C4" w:rsidP="00E84F1D">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Ms Angela Bannister was a director of the Company and therefore qualifies as a "connected person". As a result, a court will presume that the Transaction occurred when the Company was unable to pay its debts as they fell due or became unable to pay its debts due to the Transaction. This presumption will prevail unless rebutted.</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2DDDDB1D" w:rsidR="00CF3708" w:rsidRDefault="003D39DF"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payments made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w:t>
      </w:r>
      <w:proofErr w:type="spellStart"/>
      <w:r>
        <w:rPr>
          <w:rFonts w:ascii="Avenir Next" w:hAnsi="Avenir Next" w:cs="Arial"/>
          <w:b/>
          <w:color w:val="7B7B7B" w:themeColor="accent3" w:themeShade="BF"/>
          <w:sz w:val="22"/>
          <w:szCs w:val="22"/>
          <w:lang w:val="en-GB"/>
        </w:rPr>
        <w:t>AAL</w:t>
      </w:r>
      <w:proofErr w:type="spellEnd"/>
      <w:r>
        <w:rPr>
          <w:rFonts w:ascii="Avenir Next" w:hAnsi="Avenir Next" w:cs="Arial"/>
          <w:color w:val="7B7B7B" w:themeColor="accent3" w:themeShade="BF"/>
          <w:sz w:val="22"/>
          <w:szCs w:val="22"/>
          <w:lang w:val="en-GB"/>
        </w:rPr>
        <w:t xml:space="preserve">") </w:t>
      </w:r>
      <w:r w:rsidR="00F9639F">
        <w:rPr>
          <w:rFonts w:ascii="Avenir Next" w:hAnsi="Avenir Next" w:cs="Arial"/>
          <w:color w:val="7B7B7B" w:themeColor="accent3" w:themeShade="BF"/>
          <w:sz w:val="22"/>
          <w:szCs w:val="22"/>
          <w:lang w:val="en-GB"/>
        </w:rPr>
        <w:t xml:space="preserve">appear as though they are capable of being </w:t>
      </w:r>
      <w:r w:rsidR="00D80422">
        <w:rPr>
          <w:rFonts w:ascii="Avenir Next" w:hAnsi="Avenir Next" w:cs="Arial"/>
          <w:color w:val="7B7B7B" w:themeColor="accent3" w:themeShade="BF"/>
          <w:sz w:val="22"/>
          <w:szCs w:val="22"/>
          <w:lang w:val="en-GB"/>
        </w:rPr>
        <w:t xml:space="preserve">avoided by the court on the application of the Company's liquidator under section 239 of the Insolvency Act. </w:t>
      </w:r>
    </w:p>
    <w:p w14:paraId="499C062A" w14:textId="38B1A2BC" w:rsidR="00D80422" w:rsidRDefault="00D80422" w:rsidP="00CF3708">
      <w:pPr>
        <w:jc w:val="both"/>
        <w:rPr>
          <w:rFonts w:ascii="Avenir Next" w:hAnsi="Avenir Next" w:cs="Arial"/>
          <w:color w:val="7B7B7B" w:themeColor="accent3" w:themeShade="BF"/>
          <w:sz w:val="22"/>
          <w:szCs w:val="22"/>
          <w:lang w:val="en-GB"/>
        </w:rPr>
      </w:pPr>
    </w:p>
    <w:p w14:paraId="11BCD93F" w14:textId="364FE6F5" w:rsidR="00D80422" w:rsidRDefault="00D80422"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239 of the Insolvency Act is aimed at preventing a company from placing one creditor in a superior position to other creditors shortly before the commencement of insolvency proceedings. Such "preferences" to certain creditors in the form of full payment is prohibited whe</w:t>
      </w:r>
      <w:r w:rsidR="00F9639F">
        <w:rPr>
          <w:rFonts w:ascii="Avenir Next" w:hAnsi="Avenir Next" w:cs="Arial"/>
          <w:color w:val="7B7B7B" w:themeColor="accent3" w:themeShade="BF"/>
          <w:sz w:val="22"/>
          <w:szCs w:val="22"/>
          <w:lang w:val="en-GB"/>
        </w:rPr>
        <w:t xml:space="preserve">re a </w:t>
      </w:r>
      <w:r>
        <w:rPr>
          <w:rFonts w:ascii="Avenir Next" w:hAnsi="Avenir Next" w:cs="Arial"/>
          <w:color w:val="7B7B7B" w:themeColor="accent3" w:themeShade="BF"/>
          <w:sz w:val="22"/>
          <w:szCs w:val="22"/>
          <w:lang w:val="en-GB"/>
        </w:rPr>
        <w:t xml:space="preserve">creditor would likely have </w:t>
      </w:r>
      <w:r w:rsidR="00F9639F">
        <w:rPr>
          <w:rFonts w:ascii="Avenir Next" w:hAnsi="Avenir Next" w:cs="Arial"/>
          <w:color w:val="7B7B7B" w:themeColor="accent3" w:themeShade="BF"/>
          <w:sz w:val="22"/>
          <w:szCs w:val="22"/>
          <w:lang w:val="en-GB"/>
        </w:rPr>
        <w:t xml:space="preserve">been unsecured (but for the preference) and </w:t>
      </w:r>
      <w:r>
        <w:rPr>
          <w:rFonts w:ascii="Avenir Next" w:hAnsi="Avenir Next" w:cs="Arial"/>
          <w:color w:val="7B7B7B" w:themeColor="accent3" w:themeShade="BF"/>
          <w:sz w:val="22"/>
          <w:szCs w:val="22"/>
          <w:lang w:val="en-GB"/>
        </w:rPr>
        <w:t xml:space="preserve">only received cents on the dollar. </w:t>
      </w:r>
      <w:r w:rsidR="0085342C">
        <w:rPr>
          <w:rFonts w:ascii="Avenir Next" w:hAnsi="Avenir Next" w:cs="Arial"/>
          <w:color w:val="7B7B7B" w:themeColor="accent3" w:themeShade="BF"/>
          <w:sz w:val="22"/>
          <w:szCs w:val="22"/>
          <w:lang w:val="en-GB"/>
        </w:rPr>
        <w:t xml:space="preserve">Section 239 also allows for any security given to a creditor at a preference (or any other form of payment) to be attacked. </w:t>
      </w:r>
    </w:p>
    <w:p w14:paraId="1889BF7D" w14:textId="6DE24B8D" w:rsidR="0085342C" w:rsidRDefault="0085342C" w:rsidP="00CF3708">
      <w:pPr>
        <w:jc w:val="both"/>
        <w:rPr>
          <w:rFonts w:ascii="Avenir Next" w:hAnsi="Avenir Next" w:cs="Arial"/>
          <w:color w:val="7B7B7B" w:themeColor="accent3" w:themeShade="BF"/>
          <w:sz w:val="22"/>
          <w:szCs w:val="22"/>
          <w:lang w:val="en-GB"/>
        </w:rPr>
      </w:pPr>
    </w:p>
    <w:p w14:paraId="1D795351" w14:textId="3FC4359B" w:rsidR="0085342C" w:rsidRDefault="0085342C"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application under section 239 may only be commenced upon a company being wound up. In order to be successful under s.239, a liquidator will have to prove that: </w:t>
      </w:r>
    </w:p>
    <w:p w14:paraId="65494603" w14:textId="773C4C61" w:rsidR="0085342C" w:rsidRDefault="0085342C" w:rsidP="00CF3708">
      <w:pPr>
        <w:jc w:val="both"/>
        <w:rPr>
          <w:rFonts w:ascii="Avenir Next" w:hAnsi="Avenir Next" w:cs="Arial"/>
          <w:color w:val="7B7B7B" w:themeColor="accent3" w:themeShade="BF"/>
          <w:sz w:val="22"/>
          <w:szCs w:val="22"/>
          <w:lang w:val="en-GB"/>
        </w:rPr>
      </w:pPr>
    </w:p>
    <w:p w14:paraId="5F4B2C2F" w14:textId="364FD299" w:rsidR="0085342C" w:rsidRDefault="0085342C" w:rsidP="0085342C">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 who received the alleged 'preference' was merely an unsecured creditor at the time of the transaction; </w:t>
      </w:r>
    </w:p>
    <w:p w14:paraId="2F4F013D" w14:textId="77777777" w:rsidR="0085342C" w:rsidRDefault="0085342C" w:rsidP="0085342C">
      <w:pPr>
        <w:pStyle w:val="ListParagraph"/>
        <w:jc w:val="both"/>
        <w:rPr>
          <w:rFonts w:ascii="Avenir Next" w:hAnsi="Avenir Next" w:cs="Arial"/>
          <w:color w:val="7B7B7B" w:themeColor="accent3" w:themeShade="BF"/>
          <w:sz w:val="22"/>
          <w:szCs w:val="22"/>
          <w:lang w:val="en-GB"/>
        </w:rPr>
      </w:pPr>
    </w:p>
    <w:p w14:paraId="2118A964" w14:textId="69ACA08C" w:rsidR="0085342C" w:rsidRDefault="0085342C" w:rsidP="0085342C">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something was done by the company, which resulted in a creditor obtaining an unfair advantage to other creditors in the event of a company's insolvency;</w:t>
      </w:r>
    </w:p>
    <w:p w14:paraId="1E98057C" w14:textId="77777777" w:rsidR="0085342C" w:rsidRDefault="0085342C" w:rsidP="0085342C">
      <w:pPr>
        <w:pStyle w:val="ListParagraph"/>
        <w:jc w:val="both"/>
        <w:rPr>
          <w:rFonts w:ascii="Avenir Next" w:hAnsi="Avenir Next" w:cs="Arial"/>
          <w:color w:val="7B7B7B" w:themeColor="accent3" w:themeShade="BF"/>
          <w:sz w:val="22"/>
          <w:szCs w:val="22"/>
          <w:lang w:val="en-GB"/>
        </w:rPr>
      </w:pPr>
    </w:p>
    <w:p w14:paraId="30912998" w14:textId="100EFA44" w:rsidR="0085342C" w:rsidRDefault="0085342C" w:rsidP="0085342C">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was, in giving the alleged preference, influenced by a need to produce the situation in (2.) above in relation to the person preferred; and </w:t>
      </w:r>
    </w:p>
    <w:p w14:paraId="29A3B595" w14:textId="77777777" w:rsidR="0085342C" w:rsidRDefault="0085342C" w:rsidP="0085342C">
      <w:pPr>
        <w:pStyle w:val="ListParagraph"/>
        <w:jc w:val="both"/>
        <w:rPr>
          <w:rFonts w:ascii="Avenir Next" w:hAnsi="Avenir Next" w:cs="Arial"/>
          <w:color w:val="7B7B7B" w:themeColor="accent3" w:themeShade="BF"/>
          <w:sz w:val="22"/>
          <w:szCs w:val="22"/>
          <w:lang w:val="en-GB"/>
        </w:rPr>
      </w:pPr>
    </w:p>
    <w:p w14:paraId="2D0FBAC1" w14:textId="10388578" w:rsidR="00F9639F" w:rsidRDefault="0085342C" w:rsidP="00F9639F">
      <w:pPr>
        <w:pStyle w:val="ListParagraph"/>
        <w:numPr>
          <w:ilvl w:val="0"/>
          <w:numId w:val="23"/>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lastRenderedPageBreak/>
        <w:t>the</w:t>
      </w:r>
      <w:proofErr w:type="gramEnd"/>
      <w:r>
        <w:rPr>
          <w:rFonts w:ascii="Avenir Next" w:hAnsi="Avenir Next" w:cs="Arial"/>
          <w:color w:val="7B7B7B" w:themeColor="accent3" w:themeShade="BF"/>
          <w:sz w:val="22"/>
          <w:szCs w:val="22"/>
          <w:lang w:val="en-GB"/>
        </w:rPr>
        <w:t xml:space="preserve"> preference must be given within two years of insolvency proceedings (with respect to preferences given to connected persons) and six months of insolvency proce</w:t>
      </w:r>
      <w:r w:rsidR="00F9639F">
        <w:rPr>
          <w:rFonts w:ascii="Avenir Next" w:hAnsi="Avenir Next" w:cs="Arial"/>
          <w:color w:val="7B7B7B" w:themeColor="accent3" w:themeShade="BF"/>
          <w:sz w:val="22"/>
          <w:szCs w:val="22"/>
          <w:lang w:val="en-GB"/>
        </w:rPr>
        <w:t>edings for unconnected persons.</w:t>
      </w:r>
    </w:p>
    <w:p w14:paraId="63651679" w14:textId="627D61AC" w:rsidR="00F9639F" w:rsidRDefault="00F9639F" w:rsidP="00F9639F">
      <w:pPr>
        <w:pStyle w:val="ListParagraph"/>
        <w:jc w:val="both"/>
        <w:rPr>
          <w:rFonts w:ascii="Avenir Next" w:hAnsi="Avenir Next" w:cs="Arial"/>
          <w:color w:val="7B7B7B" w:themeColor="accent3" w:themeShade="BF"/>
          <w:sz w:val="22"/>
          <w:szCs w:val="22"/>
          <w:lang w:val="en-GB"/>
        </w:rPr>
      </w:pPr>
    </w:p>
    <w:p w14:paraId="7F1900C3" w14:textId="5CA6D2F5" w:rsidR="00F9639F" w:rsidRDefault="00F9639F" w:rsidP="00F9639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Applying the above to the Company, almost all essential ingredients to a claim under s.239 are present: </w:t>
      </w:r>
    </w:p>
    <w:p w14:paraId="06F7E077" w14:textId="1066D107" w:rsidR="00F9639F" w:rsidRDefault="00F9639F" w:rsidP="00F9639F">
      <w:pPr>
        <w:jc w:val="both"/>
        <w:rPr>
          <w:rFonts w:ascii="Avenir Next" w:hAnsi="Avenir Next" w:cs="Arial"/>
          <w:color w:val="7B7B7B" w:themeColor="accent3" w:themeShade="BF"/>
          <w:sz w:val="22"/>
          <w:szCs w:val="22"/>
          <w:lang w:val="en-GB"/>
        </w:rPr>
      </w:pPr>
    </w:p>
    <w:p w14:paraId="536DBBDB" w14:textId="22DB35AE" w:rsidR="00F9639F" w:rsidRDefault="00F9639F" w:rsidP="00F9639F">
      <w:pPr>
        <w:pStyle w:val="ListParagraph"/>
        <w:numPr>
          <w:ilvl w:val="0"/>
          <w:numId w:val="24"/>
        </w:num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AAL</w:t>
      </w:r>
      <w:proofErr w:type="spellEnd"/>
      <w:r>
        <w:rPr>
          <w:rFonts w:ascii="Avenir Next" w:hAnsi="Avenir Next" w:cs="Arial"/>
          <w:color w:val="7B7B7B" w:themeColor="accent3" w:themeShade="BF"/>
          <w:sz w:val="22"/>
          <w:szCs w:val="22"/>
          <w:lang w:val="en-GB"/>
        </w:rPr>
        <w:t xml:space="preserve">, at the time of demanding outstanding payment owing to it in the amount of </w:t>
      </w:r>
      <w:proofErr w:type="spellStart"/>
      <w:r>
        <w:rPr>
          <w:rFonts w:ascii="Avenir Next" w:hAnsi="Avenir Next" w:cs="Arial"/>
          <w:color w:val="7B7B7B" w:themeColor="accent3" w:themeShade="BF"/>
          <w:sz w:val="22"/>
          <w:szCs w:val="22"/>
          <w:lang w:val="en-GB"/>
        </w:rPr>
        <w:t>GPB</w:t>
      </w:r>
      <w:proofErr w:type="spellEnd"/>
      <w:r>
        <w:rPr>
          <w:rFonts w:ascii="Avenir Next" w:hAnsi="Avenir Next" w:cs="Arial"/>
          <w:color w:val="7B7B7B" w:themeColor="accent3" w:themeShade="BF"/>
          <w:sz w:val="22"/>
          <w:szCs w:val="22"/>
          <w:lang w:val="en-GB"/>
        </w:rPr>
        <w:t xml:space="preserve"> 20,000, was an unsecured creditor of the Company; </w:t>
      </w:r>
    </w:p>
    <w:p w14:paraId="4EA71ADE" w14:textId="77777777" w:rsidR="00F9639F" w:rsidRDefault="00F9639F" w:rsidP="00F9639F">
      <w:pPr>
        <w:pStyle w:val="ListParagraph"/>
        <w:jc w:val="both"/>
        <w:rPr>
          <w:rFonts w:ascii="Avenir Next" w:hAnsi="Avenir Next" w:cs="Arial"/>
          <w:color w:val="7B7B7B" w:themeColor="accent3" w:themeShade="BF"/>
          <w:sz w:val="22"/>
          <w:szCs w:val="22"/>
          <w:lang w:val="en-GB"/>
        </w:rPr>
      </w:pPr>
    </w:p>
    <w:p w14:paraId="5464BE6E" w14:textId="4A4EC60E" w:rsidR="00F9639F" w:rsidRDefault="00F9639F" w:rsidP="00F9639F">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payment of GBP 20,000 (plus advance payment of GBP 8,000 for future supplies) by the Company to </w:t>
      </w:r>
      <w:proofErr w:type="spellStart"/>
      <w:r>
        <w:rPr>
          <w:rFonts w:ascii="Avenir Next" w:hAnsi="Avenir Next" w:cs="Arial"/>
          <w:color w:val="7B7B7B" w:themeColor="accent3" w:themeShade="BF"/>
          <w:sz w:val="22"/>
          <w:szCs w:val="22"/>
          <w:lang w:val="en-GB"/>
        </w:rPr>
        <w:t>AAL</w:t>
      </w:r>
      <w:proofErr w:type="spellEnd"/>
      <w:r>
        <w:rPr>
          <w:rFonts w:ascii="Avenir Next" w:hAnsi="Avenir Next" w:cs="Arial"/>
          <w:color w:val="7B7B7B" w:themeColor="accent3" w:themeShade="BF"/>
          <w:sz w:val="22"/>
          <w:szCs w:val="22"/>
          <w:lang w:val="en-GB"/>
        </w:rPr>
        <w:t xml:space="preserve"> resulted in </w:t>
      </w:r>
      <w:proofErr w:type="spellStart"/>
      <w:r>
        <w:rPr>
          <w:rFonts w:ascii="Avenir Next" w:hAnsi="Avenir Next" w:cs="Arial"/>
          <w:color w:val="7B7B7B" w:themeColor="accent3" w:themeShade="BF"/>
          <w:sz w:val="22"/>
          <w:szCs w:val="22"/>
          <w:lang w:val="en-GB"/>
        </w:rPr>
        <w:t>AAL</w:t>
      </w:r>
      <w:proofErr w:type="spellEnd"/>
      <w:r>
        <w:rPr>
          <w:rFonts w:ascii="Avenir Next" w:hAnsi="Avenir Next" w:cs="Arial"/>
          <w:color w:val="7B7B7B" w:themeColor="accent3" w:themeShade="BF"/>
          <w:sz w:val="22"/>
          <w:szCs w:val="22"/>
          <w:lang w:val="en-GB"/>
        </w:rPr>
        <w:t xml:space="preserve"> obtaining a better position than the Company's other creditors upon the Company entering into liquidation; and</w:t>
      </w:r>
    </w:p>
    <w:p w14:paraId="174F438C" w14:textId="77777777" w:rsidR="00F9639F" w:rsidRDefault="00F9639F" w:rsidP="00F9639F">
      <w:pPr>
        <w:pStyle w:val="ListParagraph"/>
        <w:jc w:val="both"/>
        <w:rPr>
          <w:rFonts w:ascii="Avenir Next" w:hAnsi="Avenir Next" w:cs="Arial"/>
          <w:color w:val="7B7B7B" w:themeColor="accent3" w:themeShade="BF"/>
          <w:sz w:val="22"/>
          <w:szCs w:val="22"/>
          <w:lang w:val="en-GB"/>
        </w:rPr>
      </w:pPr>
    </w:p>
    <w:p w14:paraId="7F2F9C27" w14:textId="2027C477" w:rsidR="00F9639F" w:rsidRDefault="00F9639F" w:rsidP="00F9639F">
      <w:pPr>
        <w:pStyle w:val="ListParagraph"/>
        <w:numPr>
          <w:ilvl w:val="0"/>
          <w:numId w:val="24"/>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the</w:t>
      </w:r>
      <w:proofErr w:type="gramEnd"/>
      <w:r>
        <w:rPr>
          <w:rFonts w:ascii="Avenir Next" w:hAnsi="Avenir Next" w:cs="Arial"/>
          <w:color w:val="7B7B7B" w:themeColor="accent3" w:themeShade="BF"/>
          <w:sz w:val="22"/>
          <w:szCs w:val="22"/>
          <w:lang w:val="en-GB"/>
        </w:rPr>
        <w:t xml:space="preserve"> payment to </w:t>
      </w:r>
      <w:proofErr w:type="spellStart"/>
      <w:r>
        <w:rPr>
          <w:rFonts w:ascii="Avenir Next" w:hAnsi="Avenir Next" w:cs="Arial"/>
          <w:color w:val="7B7B7B" w:themeColor="accent3" w:themeShade="BF"/>
          <w:sz w:val="22"/>
          <w:szCs w:val="22"/>
          <w:lang w:val="en-GB"/>
        </w:rPr>
        <w:t>AAL</w:t>
      </w:r>
      <w:proofErr w:type="spellEnd"/>
      <w:r>
        <w:rPr>
          <w:rFonts w:ascii="Avenir Next" w:hAnsi="Avenir Next" w:cs="Arial"/>
          <w:color w:val="7B7B7B" w:themeColor="accent3" w:themeShade="BF"/>
          <w:sz w:val="22"/>
          <w:szCs w:val="22"/>
          <w:lang w:val="en-GB"/>
        </w:rPr>
        <w:t xml:space="preserve"> occurred within 6 months of the Company's liquidation. </w:t>
      </w:r>
    </w:p>
    <w:p w14:paraId="30A8C733" w14:textId="28364EBE" w:rsidR="00F9639F" w:rsidRDefault="00F9639F" w:rsidP="00F9639F">
      <w:pPr>
        <w:jc w:val="both"/>
        <w:rPr>
          <w:rFonts w:ascii="Avenir Next" w:hAnsi="Avenir Next" w:cs="Arial"/>
          <w:color w:val="7B7B7B" w:themeColor="accent3" w:themeShade="BF"/>
          <w:sz w:val="22"/>
          <w:szCs w:val="22"/>
          <w:lang w:val="en-GB"/>
        </w:rPr>
      </w:pPr>
    </w:p>
    <w:p w14:paraId="467792AF" w14:textId="2439AD1E" w:rsidR="00F9639F" w:rsidRDefault="00F9639F" w:rsidP="00F9639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Despite the above, the Company's liquidator will experience difficulties in establishing </w:t>
      </w:r>
      <w:r w:rsidR="002B281E">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desire to specifically pr</w:t>
      </w:r>
      <w:r w:rsidR="002B281E">
        <w:rPr>
          <w:rFonts w:ascii="Avenir Next" w:hAnsi="Avenir Next" w:cs="Arial"/>
          <w:color w:val="7B7B7B" w:themeColor="accent3" w:themeShade="BF"/>
          <w:sz w:val="22"/>
          <w:szCs w:val="22"/>
          <w:lang w:val="en-GB"/>
        </w:rPr>
        <w:t xml:space="preserve">eference </w:t>
      </w:r>
      <w:proofErr w:type="spellStart"/>
      <w:r w:rsidR="002B281E">
        <w:rPr>
          <w:rFonts w:ascii="Avenir Next" w:hAnsi="Avenir Next" w:cs="Arial"/>
          <w:color w:val="7B7B7B" w:themeColor="accent3" w:themeShade="BF"/>
          <w:sz w:val="22"/>
          <w:szCs w:val="22"/>
          <w:lang w:val="en-GB"/>
        </w:rPr>
        <w:t>AAL</w:t>
      </w:r>
      <w:proofErr w:type="spellEnd"/>
      <w:r w:rsidR="002B281E">
        <w:rPr>
          <w:rFonts w:ascii="Avenir Next" w:hAnsi="Avenir Next" w:cs="Arial"/>
          <w:color w:val="7B7B7B" w:themeColor="accent3" w:themeShade="BF"/>
          <w:sz w:val="22"/>
          <w:szCs w:val="22"/>
          <w:lang w:val="en-GB"/>
        </w:rPr>
        <w:t xml:space="preserve">. The </w:t>
      </w:r>
      <w:r>
        <w:rPr>
          <w:rFonts w:ascii="Avenir Next" w:hAnsi="Avenir Next" w:cs="Arial"/>
          <w:color w:val="7B7B7B" w:themeColor="accent3" w:themeShade="BF"/>
          <w:sz w:val="22"/>
          <w:szCs w:val="22"/>
          <w:lang w:val="en-GB"/>
        </w:rPr>
        <w:t xml:space="preserve">burden of proving such desire will remain on the Company's liquidator (given that </w:t>
      </w:r>
      <w:proofErr w:type="spellStart"/>
      <w:r>
        <w:rPr>
          <w:rFonts w:ascii="Avenir Next" w:hAnsi="Avenir Next" w:cs="Arial"/>
          <w:color w:val="7B7B7B" w:themeColor="accent3" w:themeShade="BF"/>
          <w:sz w:val="22"/>
          <w:szCs w:val="22"/>
          <w:lang w:val="en-GB"/>
        </w:rPr>
        <w:t>AAL</w:t>
      </w:r>
      <w:proofErr w:type="spellEnd"/>
      <w:r>
        <w:rPr>
          <w:rFonts w:ascii="Avenir Next" w:hAnsi="Avenir Next" w:cs="Arial"/>
          <w:color w:val="7B7B7B" w:themeColor="accent3" w:themeShade="BF"/>
          <w:sz w:val="22"/>
          <w:szCs w:val="22"/>
          <w:lang w:val="en-GB"/>
        </w:rPr>
        <w:t xml:space="preserve"> is unconnected to the Company). </w:t>
      </w:r>
      <w:r w:rsidR="007A4CE4">
        <w:rPr>
          <w:rFonts w:ascii="Avenir Next" w:hAnsi="Avenir Next" w:cs="Arial"/>
          <w:color w:val="7B7B7B" w:themeColor="accent3" w:themeShade="BF"/>
          <w:sz w:val="22"/>
          <w:szCs w:val="22"/>
          <w:lang w:val="en-GB"/>
        </w:rPr>
        <w:t xml:space="preserve">Recent case law as determined that a company influenced by commercial considerations, with the goal of keeping the company as a going concern, will not amount to a desire to preference. We have been told that the Company viewed the metal supplies from </w:t>
      </w:r>
      <w:proofErr w:type="spellStart"/>
      <w:r w:rsidR="007A4CE4">
        <w:rPr>
          <w:rFonts w:ascii="Avenir Next" w:hAnsi="Avenir Next" w:cs="Arial"/>
          <w:color w:val="7B7B7B" w:themeColor="accent3" w:themeShade="BF"/>
          <w:sz w:val="22"/>
          <w:szCs w:val="22"/>
          <w:lang w:val="en-GB"/>
        </w:rPr>
        <w:t>AAL</w:t>
      </w:r>
      <w:proofErr w:type="spellEnd"/>
      <w:r w:rsidR="007A4CE4">
        <w:rPr>
          <w:rFonts w:ascii="Avenir Next" w:hAnsi="Avenir Next" w:cs="Arial"/>
          <w:color w:val="7B7B7B" w:themeColor="accent3" w:themeShade="BF"/>
          <w:sz w:val="22"/>
          <w:szCs w:val="22"/>
          <w:lang w:val="en-GB"/>
        </w:rPr>
        <w:t xml:space="preserve"> as "</w:t>
      </w:r>
      <w:r w:rsidR="007A4CE4">
        <w:rPr>
          <w:rFonts w:ascii="Avenir Next" w:hAnsi="Avenir Next" w:cs="Arial"/>
          <w:i/>
          <w:color w:val="7B7B7B" w:themeColor="accent3" w:themeShade="BF"/>
          <w:sz w:val="22"/>
          <w:szCs w:val="22"/>
          <w:lang w:val="en-GB"/>
        </w:rPr>
        <w:t>essential by the [C]</w:t>
      </w:r>
      <w:proofErr w:type="spellStart"/>
      <w:r w:rsidR="007A4CE4">
        <w:rPr>
          <w:rFonts w:ascii="Avenir Next" w:hAnsi="Avenir Next" w:cs="Arial"/>
          <w:i/>
          <w:color w:val="7B7B7B" w:themeColor="accent3" w:themeShade="BF"/>
          <w:sz w:val="22"/>
          <w:szCs w:val="22"/>
          <w:lang w:val="en-GB"/>
        </w:rPr>
        <w:t>omapny</w:t>
      </w:r>
      <w:proofErr w:type="spellEnd"/>
      <w:r w:rsidR="007A4CE4">
        <w:rPr>
          <w:rFonts w:ascii="Avenir Next" w:hAnsi="Avenir Next" w:cs="Arial"/>
          <w:i/>
          <w:color w:val="7B7B7B" w:themeColor="accent3" w:themeShade="BF"/>
          <w:sz w:val="22"/>
          <w:szCs w:val="22"/>
          <w:lang w:val="en-GB"/>
        </w:rPr>
        <w:t>.</w:t>
      </w:r>
      <w:r w:rsidR="007A4CE4">
        <w:rPr>
          <w:rFonts w:ascii="Avenir Next" w:hAnsi="Avenir Next" w:cs="Arial"/>
          <w:color w:val="7B7B7B" w:themeColor="accent3" w:themeShade="BF"/>
          <w:sz w:val="22"/>
          <w:szCs w:val="22"/>
          <w:lang w:val="en-GB"/>
        </w:rPr>
        <w:t xml:space="preserve">" As a result, it is unlikely that the Company's payment to </w:t>
      </w:r>
      <w:proofErr w:type="spellStart"/>
      <w:r w:rsidR="007A4CE4">
        <w:rPr>
          <w:rFonts w:ascii="Avenir Next" w:hAnsi="Avenir Next" w:cs="Arial"/>
          <w:color w:val="7B7B7B" w:themeColor="accent3" w:themeShade="BF"/>
          <w:sz w:val="22"/>
          <w:szCs w:val="22"/>
          <w:lang w:val="en-GB"/>
        </w:rPr>
        <w:t>AAL</w:t>
      </w:r>
      <w:proofErr w:type="spellEnd"/>
      <w:r w:rsidR="007A4CE4">
        <w:rPr>
          <w:rFonts w:ascii="Avenir Next" w:hAnsi="Avenir Next" w:cs="Arial"/>
          <w:color w:val="7B7B7B" w:themeColor="accent3" w:themeShade="BF"/>
          <w:sz w:val="22"/>
          <w:szCs w:val="22"/>
          <w:lang w:val="en-GB"/>
        </w:rPr>
        <w:t xml:space="preserve"> would amount to a desire to preference </w:t>
      </w:r>
      <w:proofErr w:type="spellStart"/>
      <w:r w:rsidR="007A4CE4">
        <w:rPr>
          <w:rFonts w:ascii="Avenir Next" w:hAnsi="Avenir Next" w:cs="Arial"/>
          <w:color w:val="7B7B7B" w:themeColor="accent3" w:themeShade="BF"/>
          <w:sz w:val="22"/>
          <w:szCs w:val="22"/>
          <w:lang w:val="en-GB"/>
        </w:rPr>
        <w:t>AAL</w:t>
      </w:r>
      <w:proofErr w:type="spellEnd"/>
      <w:r w:rsidR="007A4CE4">
        <w:rPr>
          <w:rFonts w:ascii="Avenir Next" w:hAnsi="Avenir Next" w:cs="Arial"/>
          <w:color w:val="7B7B7B" w:themeColor="accent3" w:themeShade="BF"/>
          <w:sz w:val="22"/>
          <w:szCs w:val="22"/>
          <w:lang w:val="en-GB"/>
        </w:rPr>
        <w:t xml:space="preserve">. </w:t>
      </w:r>
    </w:p>
    <w:p w14:paraId="42AFEC0A" w14:textId="5370CC6C" w:rsidR="007A4CE4" w:rsidRDefault="007A4CE4" w:rsidP="00F9639F">
      <w:pPr>
        <w:jc w:val="both"/>
        <w:rPr>
          <w:rFonts w:ascii="Avenir Next" w:hAnsi="Avenir Next" w:cs="Arial"/>
          <w:color w:val="7B7B7B" w:themeColor="accent3" w:themeShade="BF"/>
          <w:sz w:val="22"/>
          <w:szCs w:val="22"/>
          <w:lang w:val="en-GB"/>
        </w:rPr>
      </w:pPr>
    </w:p>
    <w:p w14:paraId="70C6A8B6" w14:textId="4C409283" w:rsidR="00126A4D" w:rsidRPr="007A4CE4" w:rsidRDefault="007A4CE4" w:rsidP="007A4CE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circumstances where desire had been established, the liability requirement under s.239 would likely succeed as the Company would have been unlikely to be able to pay its debts one month before insolvency proceedings. </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85342C" w:rsidRDefault="0085342C" w:rsidP="00241B44">
      <w:r>
        <w:separator/>
      </w:r>
    </w:p>
  </w:endnote>
  <w:endnote w:type="continuationSeparator" w:id="0">
    <w:p w14:paraId="58D3AFD8" w14:textId="77777777" w:rsidR="0085342C" w:rsidRDefault="0085342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2F" w:usb1="5000204A" w:usb2="00000000" w:usb3="00000000" w:csb0="0000009B" w:csb1="00000000"/>
  </w:font>
  <w:font w:name="Avenir Next">
    <w:altName w:val="Trebuchet MS"/>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5342C" w:rsidRPr="00FC7B47" w:rsidRDefault="0085342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5342C" w:rsidRPr="00FC7B47" w:rsidRDefault="0085342C"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EF8DB60" w:rsidR="0085342C" w:rsidRPr="009B4976" w:rsidRDefault="0085342C" w:rsidP="0085342C">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813DF">
          <w:rPr>
            <w:rStyle w:val="PageNumber"/>
            <w:rFonts w:ascii="Avenir Next" w:hAnsi="Avenir Next" w:cs="Arial"/>
            <w:noProof/>
            <w:sz w:val="22"/>
            <w:szCs w:val="22"/>
          </w:rPr>
          <w:t>11</w:t>
        </w:r>
        <w:r w:rsidRPr="00A84235">
          <w:rPr>
            <w:rStyle w:val="PageNumber"/>
            <w:rFonts w:ascii="Avenir Next" w:hAnsi="Avenir Next" w:cs="Arial"/>
            <w:sz w:val="22"/>
            <w:szCs w:val="22"/>
          </w:rPr>
          <w:fldChar w:fldCharType="end"/>
        </w:r>
      </w:p>
    </w:sdtContent>
  </w:sdt>
  <w:p w14:paraId="30F05E79" w14:textId="754A4AFB" w:rsidR="0085342C" w:rsidRPr="00A84235" w:rsidRDefault="009813DF" w:rsidP="009B4976">
    <w:pPr>
      <w:pStyle w:val="Footer"/>
      <w:ind w:right="360"/>
      <w:rPr>
        <w:rFonts w:ascii="Avenir Next" w:hAnsi="Avenir Next" w:cs="Arial"/>
        <w:sz w:val="22"/>
        <w:szCs w:val="22"/>
        <w:lang w:val="en-GB"/>
      </w:rPr>
    </w:pPr>
    <w:r>
      <w:rPr>
        <w:rFonts w:ascii="Avenir Next" w:hAnsi="Avenir Next" w:cs="Arial"/>
        <w:sz w:val="22"/>
        <w:szCs w:val="22"/>
      </w:rPr>
      <w:t>FC202324-1409</w:t>
    </w:r>
    <w:bookmarkStart w:id="1" w:name="_GoBack"/>
    <w:bookmarkEnd w:id="1"/>
    <w:r w:rsidR="0085342C" w:rsidRPr="00A84235">
      <w:rPr>
        <w:rFonts w:ascii="Avenir Next" w:hAnsi="Avenir Next" w:cs="Arial"/>
        <w:sz w:val="22"/>
        <w:szCs w:val="22"/>
        <w:lang w:val="en-GB"/>
      </w:rPr>
      <w:t>.assessment3B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DB81C" w14:textId="77777777" w:rsidR="009813DF" w:rsidRDefault="0098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85342C" w:rsidRDefault="0085342C" w:rsidP="00241B44">
      <w:r>
        <w:separator/>
      </w:r>
    </w:p>
  </w:footnote>
  <w:footnote w:type="continuationSeparator" w:id="0">
    <w:p w14:paraId="4A2A4F3D" w14:textId="77777777" w:rsidR="0085342C" w:rsidRDefault="0085342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DBBC" w14:textId="77777777" w:rsidR="009813DF" w:rsidRDefault="00981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5E03" w14:textId="77777777" w:rsidR="009813DF" w:rsidRDefault="00981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7B479" w14:textId="77777777" w:rsidR="009813DF" w:rsidRDefault="00981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1622A"/>
    <w:multiLevelType w:val="hybridMultilevel"/>
    <w:tmpl w:val="86A27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774A2"/>
    <w:multiLevelType w:val="hybridMultilevel"/>
    <w:tmpl w:val="8E1AE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F3A84"/>
    <w:multiLevelType w:val="hybridMultilevel"/>
    <w:tmpl w:val="0E94A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3747B"/>
    <w:multiLevelType w:val="hybridMultilevel"/>
    <w:tmpl w:val="C81EA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86870"/>
    <w:multiLevelType w:val="hybridMultilevel"/>
    <w:tmpl w:val="DCDEB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512974"/>
    <w:multiLevelType w:val="hybridMultilevel"/>
    <w:tmpl w:val="1C9AB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7881298"/>
    <w:multiLevelType w:val="hybridMultilevel"/>
    <w:tmpl w:val="E5DE2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3"/>
  </w:num>
  <w:num w:numId="5">
    <w:abstractNumId w:val="16"/>
  </w:num>
  <w:num w:numId="6">
    <w:abstractNumId w:val="3"/>
  </w:num>
  <w:num w:numId="7">
    <w:abstractNumId w:val="17"/>
  </w:num>
  <w:num w:numId="8">
    <w:abstractNumId w:val="22"/>
  </w:num>
  <w:num w:numId="9">
    <w:abstractNumId w:val="14"/>
  </w:num>
  <w:num w:numId="10">
    <w:abstractNumId w:val="23"/>
  </w:num>
  <w:num w:numId="11">
    <w:abstractNumId w:val="10"/>
  </w:num>
  <w:num w:numId="12">
    <w:abstractNumId w:val="20"/>
  </w:num>
  <w:num w:numId="13">
    <w:abstractNumId w:val="15"/>
  </w:num>
  <w:num w:numId="14">
    <w:abstractNumId w:val="9"/>
  </w:num>
  <w:num w:numId="15">
    <w:abstractNumId w:val="18"/>
  </w:num>
  <w:num w:numId="16">
    <w:abstractNumId w:val="21"/>
  </w:num>
  <w:num w:numId="17">
    <w:abstractNumId w:val="12"/>
  </w:num>
  <w:num w:numId="18">
    <w:abstractNumId w:val="11"/>
  </w:num>
  <w:num w:numId="19">
    <w:abstractNumId w:val="6"/>
  </w:num>
  <w:num w:numId="20">
    <w:abstractNumId w:val="7"/>
  </w:num>
  <w:num w:numId="21">
    <w:abstractNumId w:val="4"/>
  </w:num>
  <w:num w:numId="22">
    <w:abstractNumId w:val="5"/>
  </w:num>
  <w:num w:numId="23">
    <w:abstractNumId w:val="2"/>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E27"/>
    <w:rsid w:val="00010BA0"/>
    <w:rsid w:val="00020557"/>
    <w:rsid w:val="00021FC2"/>
    <w:rsid w:val="0002443E"/>
    <w:rsid w:val="000250C7"/>
    <w:rsid w:val="00026F16"/>
    <w:rsid w:val="00037621"/>
    <w:rsid w:val="000439BB"/>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003"/>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C75E0"/>
    <w:rsid w:val="001D0469"/>
    <w:rsid w:val="001D0726"/>
    <w:rsid w:val="001D29C0"/>
    <w:rsid w:val="001D4862"/>
    <w:rsid w:val="001D7463"/>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281E"/>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179DD"/>
    <w:rsid w:val="00326292"/>
    <w:rsid w:val="00326415"/>
    <w:rsid w:val="00330937"/>
    <w:rsid w:val="00330F31"/>
    <w:rsid w:val="00334648"/>
    <w:rsid w:val="0033768C"/>
    <w:rsid w:val="00337938"/>
    <w:rsid w:val="00340769"/>
    <w:rsid w:val="00341AA6"/>
    <w:rsid w:val="003530E1"/>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D39DF"/>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6728"/>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1004"/>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3494"/>
    <w:rsid w:val="00627CC9"/>
    <w:rsid w:val="00627E7B"/>
    <w:rsid w:val="00630542"/>
    <w:rsid w:val="00632E44"/>
    <w:rsid w:val="0063381C"/>
    <w:rsid w:val="00634622"/>
    <w:rsid w:val="00636808"/>
    <w:rsid w:val="00641515"/>
    <w:rsid w:val="00644679"/>
    <w:rsid w:val="00654376"/>
    <w:rsid w:val="00654C2F"/>
    <w:rsid w:val="00657087"/>
    <w:rsid w:val="00657F61"/>
    <w:rsid w:val="006624AB"/>
    <w:rsid w:val="006639DB"/>
    <w:rsid w:val="006661EF"/>
    <w:rsid w:val="00677AEB"/>
    <w:rsid w:val="006806C4"/>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4CE4"/>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4576F"/>
    <w:rsid w:val="0085342C"/>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260B5"/>
    <w:rsid w:val="00931D14"/>
    <w:rsid w:val="00942123"/>
    <w:rsid w:val="00945C7A"/>
    <w:rsid w:val="00951AA8"/>
    <w:rsid w:val="0095207B"/>
    <w:rsid w:val="00962045"/>
    <w:rsid w:val="00980E61"/>
    <w:rsid w:val="009813DF"/>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C3CED"/>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A5739"/>
    <w:rsid w:val="00AB2425"/>
    <w:rsid w:val="00AB685C"/>
    <w:rsid w:val="00AB6C2D"/>
    <w:rsid w:val="00AC08F7"/>
    <w:rsid w:val="00AC317D"/>
    <w:rsid w:val="00AC3839"/>
    <w:rsid w:val="00AC7082"/>
    <w:rsid w:val="00AD3327"/>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0F72"/>
    <w:rsid w:val="00BF2C93"/>
    <w:rsid w:val="00BF3C3A"/>
    <w:rsid w:val="00BF50F7"/>
    <w:rsid w:val="00BF6641"/>
    <w:rsid w:val="00C02F29"/>
    <w:rsid w:val="00C1194F"/>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15FF"/>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4914"/>
    <w:rsid w:val="00CE6E50"/>
    <w:rsid w:val="00CF2819"/>
    <w:rsid w:val="00CF3708"/>
    <w:rsid w:val="00CF4F9D"/>
    <w:rsid w:val="00CF70DC"/>
    <w:rsid w:val="00D01697"/>
    <w:rsid w:val="00D1089E"/>
    <w:rsid w:val="00D148DC"/>
    <w:rsid w:val="00D17FDC"/>
    <w:rsid w:val="00D21D8C"/>
    <w:rsid w:val="00D4347D"/>
    <w:rsid w:val="00D53719"/>
    <w:rsid w:val="00D63EFD"/>
    <w:rsid w:val="00D80422"/>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84F1D"/>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5630E"/>
    <w:rsid w:val="00F60538"/>
    <w:rsid w:val="00F61DD2"/>
    <w:rsid w:val="00F62E7A"/>
    <w:rsid w:val="00F66AFF"/>
    <w:rsid w:val="00F70126"/>
    <w:rsid w:val="00F71433"/>
    <w:rsid w:val="00F87B04"/>
    <w:rsid w:val="00F9639F"/>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ee216d15-0d94-4154-823d-f705f9e225b9"/>
    <ds:schemaRef ds:uri="http://schemas.microsoft.com/office/2006/metadata/properties"/>
    <ds:schemaRef ds:uri="http://purl.org/dc/terms/"/>
    <ds:schemaRef ds:uri="http://schemas.microsoft.com/office/2006/documentManagement/types"/>
    <ds:schemaRef ds:uri="aa83e3e4-888c-4ce0-bc3e-c79df2587106"/>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F4C85C2-FFDC-4A04-A851-FFD44D7E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4133</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Walkers</cp:lastModifiedBy>
  <cp:revision>6</cp:revision>
  <cp:lastPrinted>2019-08-27T05:42:00Z</cp:lastPrinted>
  <dcterms:created xsi:type="dcterms:W3CDTF">2024-03-01T10:16:00Z</dcterms:created>
  <dcterms:modified xsi:type="dcterms:W3CDTF">2024-03-01T21:21:00Z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