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THE </w:t>
      </w:r>
      <w:proofErr w:type="spellStart"/>
      <w:r w:rsidRPr="00E2622D">
        <w:rPr>
          <w:rFonts w:ascii="Avenir Next Demi Bold" w:hAnsi="Avenir Next Demi Bold" w:cs="Arial"/>
          <w:b/>
          <w:bCs/>
          <w:color w:val="000000" w:themeColor="text1"/>
          <w:sz w:val="24"/>
          <w:lang w:val="en-GB"/>
        </w:rPr>
        <w:t>UNCITRAL</w:t>
      </w:r>
      <w:proofErr w:type="spellEnd"/>
      <w:r w:rsidRPr="00E2622D">
        <w:rPr>
          <w:rFonts w:ascii="Avenir Next Demi Bold" w:hAnsi="Avenir Next Demi Bold" w:cs="Arial"/>
          <w:b/>
          <w:bCs/>
          <w:color w:val="000000" w:themeColor="text1"/>
          <w:sz w:val="24"/>
          <w:lang w:val="en-GB"/>
        </w:rPr>
        <w:t xml:space="preserve">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w:t>
      </w:r>
      <w:proofErr w:type="gramStart"/>
      <w:r w:rsidRPr="00E2622D">
        <w:rPr>
          <w:rFonts w:ascii="Avenir Next" w:hAnsi="Avenir Next" w:cs="Arial"/>
          <w:sz w:val="22"/>
          <w:szCs w:val="22"/>
          <w:lang w:val="en-GB"/>
        </w:rPr>
        <w:t>a</w:t>
      </w:r>
      <w:proofErr w:type="gramEnd"/>
      <w:r w:rsidRPr="00E2622D">
        <w:rPr>
          <w:rFonts w:ascii="Avenir Next" w:hAnsi="Avenir Next" w:cs="Arial"/>
          <w:sz w:val="22"/>
          <w:szCs w:val="22"/>
          <w:lang w:val="en-GB"/>
        </w:rPr>
        <w:t xml:space="preserve">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bookmarkStart w:id="0" w:name="_GoBack"/>
      <w:bookmarkEnd w:id="0"/>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spellStart"/>
      <w:r w:rsidRPr="0015549B">
        <w:rPr>
          <w:rFonts w:ascii="Avenir Next Demi Bold" w:hAnsi="Avenir Next Demi Bold" w:cs="Arial"/>
          <w:b/>
          <w:bCs/>
          <w:color w:val="FF0000"/>
          <w:sz w:val="22"/>
          <w:szCs w:val="22"/>
          <w:lang w:val="en-GB"/>
        </w:rPr>
        <w:t>MLCBI</w:t>
      </w:r>
      <w:proofErr w:type="spellEnd"/>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w:t>
      </w:r>
      <w:proofErr w:type="gramStart"/>
      <w:r w:rsidRPr="00E2622D">
        <w:rPr>
          <w:rFonts w:ascii="Avenir Next" w:hAnsi="Avenir Next" w:cs="Arial"/>
          <w:sz w:val="22"/>
          <w:szCs w:val="22"/>
          <w:lang w:val="en-GB"/>
        </w:rPr>
        <w:t>are</w:t>
      </w:r>
      <w:proofErr w:type="gramEnd"/>
      <w:r w:rsidRPr="00E2622D">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F26046">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6E6F55" w:rsidRDefault="00B263D0" w:rsidP="00F26046">
      <w:pPr>
        <w:pStyle w:val="ListParagraph"/>
        <w:numPr>
          <w:ilvl w:val="0"/>
          <w:numId w:val="1"/>
        </w:numPr>
        <w:ind w:left="426" w:hanging="426"/>
        <w:jc w:val="both"/>
        <w:rPr>
          <w:rFonts w:ascii="Avenir Next" w:hAnsi="Avenir Next" w:cs="Arial"/>
          <w:sz w:val="22"/>
          <w:szCs w:val="22"/>
          <w:highlight w:val="yellow"/>
          <w:lang w:val="en-GB"/>
        </w:rPr>
      </w:pPr>
      <w:r w:rsidRPr="006E6F55">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F26046">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w:t>
      </w:r>
      <w:proofErr w:type="gramStart"/>
      <w:r w:rsidRPr="00811079">
        <w:rPr>
          <w:rFonts w:ascii="Avenir Next" w:hAnsi="Avenir Next" w:cs="Arial"/>
          <w:sz w:val="22"/>
          <w:szCs w:val="22"/>
          <w:lang w:val="en-GB"/>
        </w:rPr>
        <w:t>process(</w:t>
      </w:r>
      <w:proofErr w:type="spellStart"/>
      <w:proofErr w:type="gramEnd"/>
      <w:r w:rsidRPr="00811079">
        <w:rPr>
          <w:rFonts w:ascii="Avenir Next" w:hAnsi="Avenir Next" w:cs="Arial"/>
          <w:sz w:val="22"/>
          <w:szCs w:val="22"/>
          <w:lang w:val="en-GB"/>
        </w:rPr>
        <w:t>es</w:t>
      </w:r>
      <w:proofErr w:type="spellEnd"/>
      <w:r w:rsidRPr="00811079">
        <w:rPr>
          <w:rFonts w:ascii="Avenir Next" w:hAnsi="Avenir Next" w:cs="Arial"/>
          <w:sz w:val="22"/>
          <w:szCs w:val="22"/>
          <w:lang w:val="en-GB"/>
        </w:rPr>
        <w:t xml:space="preserve">)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w:t>
      </w:r>
      <w:proofErr w:type="spellStart"/>
      <w:r w:rsidRPr="00811079">
        <w:rPr>
          <w:rFonts w:ascii="Avenir Next" w:hAnsi="Avenir Next" w:cs="Arial"/>
          <w:sz w:val="22"/>
          <w:szCs w:val="22"/>
          <w:lang w:val="en-GB"/>
        </w:rPr>
        <w:t>MLCBI</w:t>
      </w:r>
      <w:proofErr w:type="spellEnd"/>
      <w:r w:rsidRPr="00811079">
        <w:rPr>
          <w:rFonts w:ascii="Avenir Next" w:hAnsi="Avenir Next" w:cs="Arial"/>
          <w:sz w:val="22"/>
          <w:szCs w:val="22"/>
          <w:lang w:val="en-GB"/>
        </w:rPr>
        <w:t>?</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Pr="006E6F55" w:rsidRDefault="00AD0E59" w:rsidP="00F26046">
      <w:pPr>
        <w:pStyle w:val="ListParagraph"/>
        <w:numPr>
          <w:ilvl w:val="0"/>
          <w:numId w:val="11"/>
        </w:numPr>
        <w:ind w:left="426" w:hanging="426"/>
        <w:rPr>
          <w:rFonts w:ascii="Avenir Next" w:hAnsi="Avenir Next"/>
          <w:sz w:val="22"/>
          <w:szCs w:val="28"/>
        </w:rPr>
      </w:pPr>
      <w:r w:rsidRPr="006E6F55">
        <w:rPr>
          <w:rFonts w:ascii="Avenir Next" w:hAnsi="Avenir Next"/>
          <w:sz w:val="22"/>
          <w:szCs w:val="28"/>
        </w:rPr>
        <w:t>Rise of corporations.</w:t>
      </w:r>
    </w:p>
    <w:p w14:paraId="3E790C4C" w14:textId="77777777" w:rsidR="00AD0E59" w:rsidRPr="006E6F55" w:rsidRDefault="00AD0E59" w:rsidP="00AD0E59">
      <w:pPr>
        <w:pStyle w:val="ListParagraph"/>
        <w:ind w:left="426" w:hanging="426"/>
        <w:rPr>
          <w:rFonts w:ascii="Avenir Next" w:hAnsi="Avenir Next"/>
          <w:sz w:val="22"/>
          <w:szCs w:val="28"/>
        </w:rPr>
      </w:pPr>
    </w:p>
    <w:p w14:paraId="44D98AEA" w14:textId="77777777" w:rsidR="00AD0E59" w:rsidRPr="006E6F55" w:rsidRDefault="00AD0E59" w:rsidP="00F26046">
      <w:pPr>
        <w:pStyle w:val="ListParagraph"/>
        <w:numPr>
          <w:ilvl w:val="0"/>
          <w:numId w:val="11"/>
        </w:numPr>
        <w:ind w:left="426" w:hanging="426"/>
        <w:rPr>
          <w:rFonts w:ascii="Avenir Next" w:hAnsi="Avenir Next"/>
          <w:sz w:val="22"/>
          <w:szCs w:val="28"/>
        </w:rPr>
      </w:pPr>
      <w:proofErr w:type="spellStart"/>
      <w:r w:rsidRPr="006E6F55">
        <w:rPr>
          <w:rFonts w:ascii="Avenir Next" w:hAnsi="Avenir Next"/>
          <w:sz w:val="22"/>
          <w:szCs w:val="28"/>
        </w:rPr>
        <w:t>Internationalisation</w:t>
      </w:r>
      <w:proofErr w:type="spellEnd"/>
      <w:r w:rsidRPr="006E6F55">
        <w:rPr>
          <w:rFonts w:ascii="Avenir Next" w:hAnsi="Avenir Next"/>
          <w:sz w:val="22"/>
          <w:szCs w:val="28"/>
        </w:rPr>
        <w:t>.</w:t>
      </w:r>
    </w:p>
    <w:p w14:paraId="68B2FB89" w14:textId="77777777" w:rsidR="00AD0E59" w:rsidRPr="006E6F55" w:rsidRDefault="00AD0E59" w:rsidP="00AD0E59">
      <w:pPr>
        <w:ind w:left="426" w:hanging="426"/>
        <w:rPr>
          <w:rFonts w:ascii="Avenir Next" w:hAnsi="Avenir Next"/>
          <w:sz w:val="22"/>
          <w:szCs w:val="28"/>
        </w:rPr>
      </w:pPr>
    </w:p>
    <w:p w14:paraId="3568B061" w14:textId="0AA438B4" w:rsidR="00AD0E59" w:rsidRPr="006E6F55" w:rsidRDefault="00AD0E59" w:rsidP="00F26046">
      <w:pPr>
        <w:pStyle w:val="ListParagraph"/>
        <w:numPr>
          <w:ilvl w:val="0"/>
          <w:numId w:val="11"/>
        </w:numPr>
        <w:ind w:left="426" w:hanging="426"/>
        <w:rPr>
          <w:rFonts w:ascii="Avenir Next" w:hAnsi="Avenir Next"/>
          <w:sz w:val="22"/>
          <w:szCs w:val="28"/>
        </w:rPr>
      </w:pPr>
      <w:r w:rsidRPr="006E6F55">
        <w:rPr>
          <w:rFonts w:ascii="Avenir Next" w:hAnsi="Avenir Next"/>
          <w:sz w:val="22"/>
          <w:szCs w:val="28"/>
        </w:rPr>
        <w:t>Globali</w:t>
      </w:r>
      <w:r w:rsidR="00B66441" w:rsidRPr="006E6F55">
        <w:rPr>
          <w:rFonts w:ascii="Avenir Next" w:hAnsi="Avenir Next"/>
          <w:sz w:val="22"/>
          <w:szCs w:val="28"/>
        </w:rPr>
        <w:t>z</w:t>
      </w:r>
      <w:r w:rsidRPr="006E6F55">
        <w:rPr>
          <w:rFonts w:ascii="Avenir Next" w:hAnsi="Avenir Next"/>
          <w:sz w:val="22"/>
          <w:szCs w:val="28"/>
        </w:rPr>
        <w:t>ation.</w:t>
      </w:r>
    </w:p>
    <w:p w14:paraId="0C434B83" w14:textId="77777777" w:rsidR="00AD0E59" w:rsidRPr="006E6F55" w:rsidRDefault="00AD0E59" w:rsidP="00AD0E59">
      <w:pPr>
        <w:ind w:left="426" w:hanging="426"/>
        <w:rPr>
          <w:rFonts w:ascii="Avenir Next" w:hAnsi="Avenir Next"/>
          <w:sz w:val="22"/>
          <w:szCs w:val="28"/>
        </w:rPr>
      </w:pPr>
    </w:p>
    <w:p w14:paraId="0CB4A501" w14:textId="77777777" w:rsidR="00AD0E59" w:rsidRPr="006E6F55" w:rsidRDefault="00AD0E59" w:rsidP="00F26046">
      <w:pPr>
        <w:pStyle w:val="ListParagraph"/>
        <w:numPr>
          <w:ilvl w:val="0"/>
          <w:numId w:val="11"/>
        </w:numPr>
        <w:ind w:left="426" w:hanging="426"/>
        <w:rPr>
          <w:rFonts w:ascii="Avenir Next" w:hAnsi="Avenir Next"/>
          <w:sz w:val="22"/>
          <w:szCs w:val="28"/>
        </w:rPr>
      </w:pPr>
      <w:r w:rsidRPr="006E6F55">
        <w:rPr>
          <w:rFonts w:ascii="Avenir Next" w:hAnsi="Avenir Next"/>
          <w:sz w:val="22"/>
          <w:szCs w:val="28"/>
        </w:rPr>
        <w:t>Universalism.</w:t>
      </w:r>
    </w:p>
    <w:p w14:paraId="092AC4A0" w14:textId="77777777" w:rsidR="00AD0E59" w:rsidRPr="006E6F55" w:rsidRDefault="00AD0E59" w:rsidP="00AD0E59">
      <w:pPr>
        <w:ind w:left="426" w:hanging="426"/>
        <w:rPr>
          <w:rFonts w:ascii="Avenir Next" w:hAnsi="Avenir Next"/>
          <w:sz w:val="22"/>
          <w:szCs w:val="28"/>
        </w:rPr>
      </w:pPr>
    </w:p>
    <w:p w14:paraId="48C5D683" w14:textId="77777777" w:rsidR="00AD0E59" w:rsidRPr="006E6F55" w:rsidRDefault="00AD0E59" w:rsidP="00F26046">
      <w:pPr>
        <w:pStyle w:val="ListParagraph"/>
        <w:numPr>
          <w:ilvl w:val="0"/>
          <w:numId w:val="11"/>
        </w:numPr>
        <w:ind w:left="426" w:hanging="426"/>
        <w:rPr>
          <w:rFonts w:ascii="Avenir Next" w:hAnsi="Avenir Next"/>
          <w:sz w:val="22"/>
          <w:szCs w:val="28"/>
        </w:rPr>
      </w:pPr>
      <w:r w:rsidRPr="006E6F55">
        <w:rPr>
          <w:rFonts w:ascii="Avenir Next" w:hAnsi="Avenir Next"/>
          <w:sz w:val="22"/>
          <w:szCs w:val="28"/>
        </w:rPr>
        <w:t>Territorialism.</w:t>
      </w:r>
    </w:p>
    <w:p w14:paraId="68C335C1" w14:textId="77777777" w:rsidR="00AD0E59" w:rsidRPr="006E6F55" w:rsidRDefault="00AD0E59" w:rsidP="00AD0E59">
      <w:pPr>
        <w:ind w:left="426" w:hanging="426"/>
        <w:rPr>
          <w:rFonts w:ascii="Avenir Next" w:hAnsi="Avenir Next"/>
          <w:sz w:val="22"/>
          <w:szCs w:val="28"/>
        </w:rPr>
      </w:pPr>
    </w:p>
    <w:p w14:paraId="23F228F9" w14:textId="77777777" w:rsidR="00AD0E59" w:rsidRPr="006E6F55" w:rsidRDefault="00AD0E59" w:rsidP="00F26046">
      <w:pPr>
        <w:pStyle w:val="ListParagraph"/>
        <w:numPr>
          <w:ilvl w:val="0"/>
          <w:numId w:val="11"/>
        </w:numPr>
        <w:ind w:left="426" w:hanging="426"/>
        <w:rPr>
          <w:rFonts w:ascii="Avenir Next" w:hAnsi="Avenir Next"/>
          <w:sz w:val="22"/>
          <w:szCs w:val="28"/>
        </w:rPr>
      </w:pPr>
      <w:r w:rsidRPr="006E6F55">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F26046">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w:t>
      </w:r>
      <w:proofErr w:type="gramStart"/>
      <w:r w:rsidRPr="004E1674">
        <w:rPr>
          <w:rFonts w:ascii="Avenir Next" w:hAnsi="Avenir Next" w:cs="Arial"/>
          <w:sz w:val="22"/>
          <w:szCs w:val="22"/>
          <w:lang w:val="en-GB"/>
        </w:rPr>
        <w:t>vi</w:t>
      </w:r>
      <w:proofErr w:type="gramEnd"/>
      <w:r w:rsidRPr="004E1674">
        <w:rPr>
          <w:rFonts w:ascii="Avenir Next" w:hAnsi="Avenir Next" w:cs="Arial"/>
          <w:sz w:val="22"/>
          <w:szCs w:val="22"/>
          <w:lang w:val="en-GB"/>
        </w:rPr>
        <w:t>).</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6E6F55" w:rsidRDefault="00AD0E59" w:rsidP="00F26046">
      <w:pPr>
        <w:pStyle w:val="ListParagraph"/>
        <w:numPr>
          <w:ilvl w:val="0"/>
          <w:numId w:val="10"/>
        </w:numPr>
        <w:ind w:left="426" w:hanging="426"/>
        <w:jc w:val="both"/>
        <w:rPr>
          <w:rFonts w:ascii="Avenir Next" w:hAnsi="Avenir Next" w:cs="Arial"/>
          <w:sz w:val="22"/>
          <w:szCs w:val="22"/>
          <w:highlight w:val="yellow"/>
          <w:lang w:val="en-GB"/>
        </w:rPr>
      </w:pPr>
      <w:r w:rsidRPr="006E6F55">
        <w:rPr>
          <w:rFonts w:ascii="Avenir Next" w:hAnsi="Avenir Next" w:cs="Arial"/>
          <w:sz w:val="22"/>
          <w:szCs w:val="22"/>
          <w:highlight w:val="yellow"/>
          <w:lang w:val="en-GB"/>
        </w:rPr>
        <w:t xml:space="preserve">Options (i), (ii), (iii) and </w:t>
      </w:r>
      <w:proofErr w:type="gramStart"/>
      <w:r w:rsidRPr="006E6F55">
        <w:rPr>
          <w:rFonts w:ascii="Avenir Next" w:hAnsi="Avenir Next" w:cs="Arial"/>
          <w:sz w:val="22"/>
          <w:szCs w:val="22"/>
          <w:highlight w:val="yellow"/>
          <w:lang w:val="en-GB"/>
        </w:rPr>
        <w:t>(iv)</w:t>
      </w:r>
      <w:proofErr w:type="gramEnd"/>
      <w:r w:rsidRPr="006E6F55">
        <w:rPr>
          <w:rFonts w:ascii="Avenir Next" w:hAnsi="Avenir Next" w:cs="Arial"/>
          <w:sz w:val="22"/>
          <w:szCs w:val="22"/>
          <w:highlight w:val="yellow"/>
          <w:lang w:val="en-GB"/>
        </w:rPr>
        <w:t>.</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F26046">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w:t>
      </w:r>
      <w:proofErr w:type="gramStart"/>
      <w:r w:rsidRPr="00F12F47">
        <w:rPr>
          <w:rFonts w:ascii="Avenir Next" w:hAnsi="Avenir Next" w:cs="Arial"/>
          <w:sz w:val="22"/>
          <w:szCs w:val="22"/>
          <w:lang w:val="en-GB"/>
        </w:rPr>
        <w:t>iv</w:t>
      </w:r>
      <w:proofErr w:type="gramEnd"/>
      <w:r w:rsidRPr="00F12F47">
        <w:rPr>
          <w:rFonts w:ascii="Avenir Next" w:hAnsi="Avenir Next" w:cs="Arial"/>
          <w:sz w:val="22"/>
          <w:szCs w:val="22"/>
          <w:lang w:val="en-GB"/>
        </w:rPr>
        <w:t>)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F26046">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w:t>
      </w:r>
      <w:proofErr w:type="spellStart"/>
      <w:r>
        <w:rPr>
          <w:rFonts w:ascii="Avenir Next" w:hAnsi="Avenir Next" w:cs="Arial"/>
          <w:sz w:val="22"/>
          <w:szCs w:val="22"/>
          <w:lang w:val="en-GB"/>
        </w:rPr>
        <w:t>MLCBI</w:t>
      </w:r>
      <w:proofErr w:type="spellEnd"/>
      <w:r>
        <w:rPr>
          <w:rFonts w:ascii="Avenir Next" w:hAnsi="Avenir Next" w:cs="Arial"/>
          <w:sz w:val="22"/>
          <w:szCs w:val="22"/>
          <w:lang w:val="en-GB"/>
        </w:rPr>
        <w:t>?</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Pr="006E6F55" w:rsidRDefault="00893A03" w:rsidP="00F26046">
      <w:pPr>
        <w:pStyle w:val="ListParagraph"/>
        <w:numPr>
          <w:ilvl w:val="0"/>
          <w:numId w:val="12"/>
        </w:numPr>
        <w:ind w:left="426" w:hanging="426"/>
        <w:jc w:val="both"/>
        <w:rPr>
          <w:rFonts w:ascii="Avenir Next" w:hAnsi="Avenir Next"/>
          <w:sz w:val="22"/>
          <w:szCs w:val="28"/>
        </w:rPr>
      </w:pPr>
      <w:r w:rsidRPr="006E6F55">
        <w:rPr>
          <w:rFonts w:ascii="Avenir Next" w:hAnsi="Avenir Next"/>
          <w:sz w:val="22"/>
          <w:szCs w:val="28"/>
        </w:rPr>
        <w:t>It is legislation that imposes a mandatory reciprocity on the participating members.</w:t>
      </w:r>
    </w:p>
    <w:p w14:paraId="0FE2C4BF" w14:textId="77777777" w:rsidR="00893A03" w:rsidRPr="006E6F55" w:rsidRDefault="00893A03" w:rsidP="00893A03">
      <w:pPr>
        <w:pStyle w:val="ListParagraph"/>
        <w:ind w:left="426" w:hanging="426"/>
        <w:jc w:val="both"/>
        <w:rPr>
          <w:rFonts w:ascii="Avenir Next" w:hAnsi="Avenir Next"/>
          <w:sz w:val="22"/>
          <w:szCs w:val="28"/>
        </w:rPr>
      </w:pPr>
    </w:p>
    <w:p w14:paraId="09A2897D" w14:textId="77777777" w:rsidR="00893A03" w:rsidRPr="006E6F55" w:rsidRDefault="00893A03" w:rsidP="00F26046">
      <w:pPr>
        <w:pStyle w:val="ListParagraph"/>
        <w:numPr>
          <w:ilvl w:val="0"/>
          <w:numId w:val="12"/>
        </w:numPr>
        <w:ind w:left="426" w:hanging="426"/>
        <w:jc w:val="both"/>
        <w:rPr>
          <w:rFonts w:ascii="Avenir Next" w:hAnsi="Avenir Next"/>
          <w:sz w:val="22"/>
          <w:szCs w:val="28"/>
        </w:rPr>
      </w:pPr>
      <w:r w:rsidRPr="006E6F55">
        <w:rPr>
          <w:rFonts w:ascii="Avenir Next" w:hAnsi="Avenir Next"/>
          <w:sz w:val="22"/>
          <w:szCs w:val="28"/>
        </w:rPr>
        <w:t>It is a legislative text that serves as a recommendation for incorporation in national laws.</w:t>
      </w:r>
    </w:p>
    <w:p w14:paraId="3B81396E" w14:textId="77777777" w:rsidR="00893A03" w:rsidRPr="006E6F55" w:rsidRDefault="00893A03" w:rsidP="00893A03">
      <w:pPr>
        <w:ind w:left="426" w:hanging="426"/>
        <w:jc w:val="both"/>
        <w:rPr>
          <w:rFonts w:ascii="Avenir Next" w:hAnsi="Avenir Next"/>
          <w:sz w:val="22"/>
          <w:szCs w:val="28"/>
        </w:rPr>
      </w:pPr>
    </w:p>
    <w:p w14:paraId="67851391" w14:textId="77777777" w:rsidR="00893A03" w:rsidRPr="006E6F55" w:rsidRDefault="00893A03" w:rsidP="00F26046">
      <w:pPr>
        <w:pStyle w:val="ListParagraph"/>
        <w:numPr>
          <w:ilvl w:val="0"/>
          <w:numId w:val="12"/>
        </w:numPr>
        <w:ind w:left="426" w:hanging="426"/>
        <w:jc w:val="both"/>
        <w:rPr>
          <w:rFonts w:ascii="Avenir Next" w:hAnsi="Avenir Next"/>
          <w:sz w:val="22"/>
          <w:szCs w:val="28"/>
        </w:rPr>
      </w:pPr>
      <w:r w:rsidRPr="006E6F55">
        <w:rPr>
          <w:rFonts w:ascii="Avenir Next" w:hAnsi="Avenir Next"/>
          <w:sz w:val="22"/>
          <w:szCs w:val="28"/>
        </w:rPr>
        <w:t>It is intended to substantively unify the insolvency laws of the foreign nations.</w:t>
      </w:r>
    </w:p>
    <w:p w14:paraId="774C7D03" w14:textId="77777777" w:rsidR="00893A03" w:rsidRPr="006E6F55" w:rsidRDefault="00893A03" w:rsidP="00893A03">
      <w:pPr>
        <w:ind w:left="426" w:hanging="426"/>
        <w:jc w:val="both"/>
        <w:rPr>
          <w:rFonts w:ascii="Avenir Next" w:hAnsi="Avenir Next"/>
          <w:sz w:val="22"/>
          <w:szCs w:val="28"/>
        </w:rPr>
      </w:pPr>
    </w:p>
    <w:p w14:paraId="4C64C60A" w14:textId="77777777" w:rsidR="00893A03" w:rsidRPr="006E6F55" w:rsidRDefault="00893A03" w:rsidP="00F26046">
      <w:pPr>
        <w:pStyle w:val="ListParagraph"/>
        <w:numPr>
          <w:ilvl w:val="0"/>
          <w:numId w:val="12"/>
        </w:numPr>
        <w:ind w:left="426" w:hanging="426"/>
        <w:jc w:val="both"/>
        <w:rPr>
          <w:rFonts w:ascii="Avenir Next" w:hAnsi="Avenir Next"/>
          <w:sz w:val="22"/>
          <w:szCs w:val="28"/>
        </w:rPr>
      </w:pPr>
      <w:r w:rsidRPr="006E6F55">
        <w:rPr>
          <w:rFonts w:ascii="Avenir Next" w:hAnsi="Avenir Next"/>
          <w:sz w:val="22"/>
          <w:szCs w:val="28"/>
        </w:rPr>
        <w:t>It is a treaty that is binding on the participating members.</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F26046">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w:t>
      </w:r>
      <w:proofErr w:type="gramStart"/>
      <w:r>
        <w:rPr>
          <w:rFonts w:ascii="Avenir Next" w:hAnsi="Avenir Next" w:cs="Arial"/>
          <w:sz w:val="22"/>
          <w:szCs w:val="22"/>
          <w:lang w:val="en-GB"/>
        </w:rPr>
        <w:t>iv</w:t>
      </w:r>
      <w:proofErr w:type="gramEnd"/>
      <w:r>
        <w:rPr>
          <w:rFonts w:ascii="Avenir Next" w:hAnsi="Avenir Next" w:cs="Arial"/>
          <w:sz w:val="22"/>
          <w:szCs w:val="22"/>
          <w:lang w:val="en-GB"/>
        </w:rPr>
        <w:t>)</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F26046">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w:t>
      </w:r>
      <w:proofErr w:type="gramStart"/>
      <w:r>
        <w:rPr>
          <w:rFonts w:ascii="Avenir Next" w:hAnsi="Avenir Next" w:cs="Arial"/>
          <w:sz w:val="22"/>
          <w:szCs w:val="22"/>
          <w:lang w:val="en-GB"/>
        </w:rPr>
        <w:t>iv</w:t>
      </w:r>
      <w:proofErr w:type="gramEnd"/>
      <w:r>
        <w:rPr>
          <w:rFonts w:ascii="Avenir Next" w:hAnsi="Avenir Next" w:cs="Arial"/>
          <w:sz w:val="22"/>
          <w:szCs w:val="22"/>
          <w:lang w:val="en-GB"/>
        </w:rPr>
        <w:t>)</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6E6F55" w:rsidRDefault="00893A03" w:rsidP="00F26046">
      <w:pPr>
        <w:pStyle w:val="ListParagraph"/>
        <w:numPr>
          <w:ilvl w:val="0"/>
          <w:numId w:val="2"/>
        </w:numPr>
        <w:ind w:left="426" w:hanging="426"/>
        <w:jc w:val="both"/>
        <w:rPr>
          <w:rFonts w:ascii="Avenir Next" w:hAnsi="Avenir Next" w:cs="Arial"/>
          <w:sz w:val="22"/>
          <w:szCs w:val="22"/>
          <w:highlight w:val="yellow"/>
          <w:lang w:val="en-GB"/>
        </w:rPr>
      </w:pPr>
      <w:r w:rsidRPr="006E6F55">
        <w:rPr>
          <w:rFonts w:ascii="Avenir Next" w:hAnsi="Avenir Next" w:cs="Arial"/>
          <w:sz w:val="22"/>
          <w:szCs w:val="22"/>
          <w:highlight w:val="yellow"/>
          <w:lang w:val="en-GB"/>
        </w:rPr>
        <w:t>Options (i), (iii) and (</w:t>
      </w:r>
      <w:proofErr w:type="gramStart"/>
      <w:r w:rsidRPr="006E6F55">
        <w:rPr>
          <w:rFonts w:ascii="Avenir Next" w:hAnsi="Avenir Next" w:cs="Arial"/>
          <w:sz w:val="22"/>
          <w:szCs w:val="22"/>
          <w:highlight w:val="yellow"/>
          <w:lang w:val="en-GB"/>
        </w:rPr>
        <w:t>iv</w:t>
      </w:r>
      <w:proofErr w:type="gramEnd"/>
      <w:r w:rsidRPr="006E6F55">
        <w:rPr>
          <w:rFonts w:ascii="Avenir Next" w:hAnsi="Avenir Next" w:cs="Arial"/>
          <w:sz w:val="22"/>
          <w:szCs w:val="22"/>
          <w:highlight w:val="yellow"/>
          <w:lang w:val="en-GB"/>
        </w:rPr>
        <w:t xml:space="preserve">).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F26046">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w:t>
      </w:r>
      <w:proofErr w:type="spellStart"/>
      <w:r w:rsidRPr="00851204">
        <w:rPr>
          <w:rFonts w:ascii="Avenir Next" w:hAnsi="Avenir Next"/>
          <w:sz w:val="22"/>
          <w:szCs w:val="28"/>
          <w:lang w:val="en-GB"/>
        </w:rPr>
        <w:t>MLCBI</w:t>
      </w:r>
      <w:proofErr w:type="spellEnd"/>
      <w:r w:rsidRPr="00851204">
        <w:rPr>
          <w:rFonts w:ascii="Avenir Next" w:hAnsi="Avenir Next"/>
          <w:sz w:val="22"/>
          <w:szCs w:val="28"/>
          <w:lang w:val="en-GB"/>
        </w:rPr>
        <w:t>?</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Pr="006E6F55" w:rsidRDefault="00812AFE" w:rsidP="00F26046">
      <w:pPr>
        <w:pStyle w:val="ListParagraph"/>
        <w:numPr>
          <w:ilvl w:val="0"/>
          <w:numId w:val="13"/>
        </w:numPr>
        <w:ind w:left="426" w:hanging="426"/>
        <w:jc w:val="both"/>
        <w:rPr>
          <w:rFonts w:ascii="Avenir Next" w:hAnsi="Avenir Next"/>
          <w:sz w:val="22"/>
          <w:szCs w:val="32"/>
        </w:rPr>
      </w:pPr>
      <w:r w:rsidRPr="006E6F55">
        <w:rPr>
          <w:rFonts w:ascii="Avenir Next" w:hAnsi="Avenir Next"/>
          <w:sz w:val="22"/>
          <w:szCs w:val="32"/>
        </w:rPr>
        <w:t>To provide greater legal certainty for trade and investment.</w:t>
      </w:r>
    </w:p>
    <w:p w14:paraId="6108D362" w14:textId="77777777" w:rsidR="00812AFE" w:rsidRPr="006E6F55" w:rsidRDefault="00812AFE" w:rsidP="00C00111">
      <w:pPr>
        <w:pStyle w:val="ListParagraph"/>
        <w:ind w:left="426" w:hanging="426"/>
        <w:jc w:val="both"/>
        <w:rPr>
          <w:rFonts w:ascii="Avenir Next" w:hAnsi="Avenir Next"/>
          <w:sz w:val="22"/>
          <w:szCs w:val="32"/>
        </w:rPr>
      </w:pPr>
    </w:p>
    <w:p w14:paraId="2AA2541C" w14:textId="3C7E8949" w:rsidR="00812AFE" w:rsidRPr="006E6F55" w:rsidRDefault="00812AFE" w:rsidP="00F26046">
      <w:pPr>
        <w:pStyle w:val="ListParagraph"/>
        <w:numPr>
          <w:ilvl w:val="0"/>
          <w:numId w:val="13"/>
        </w:numPr>
        <w:ind w:left="426" w:hanging="426"/>
        <w:jc w:val="both"/>
        <w:rPr>
          <w:rFonts w:ascii="Avenir Next" w:hAnsi="Avenir Next"/>
          <w:sz w:val="22"/>
          <w:szCs w:val="32"/>
        </w:rPr>
      </w:pPr>
      <w:r w:rsidRPr="006E6F55">
        <w:rPr>
          <w:rFonts w:ascii="Avenir Next" w:hAnsi="Avenir Next"/>
          <w:sz w:val="22"/>
          <w:szCs w:val="32"/>
        </w:rPr>
        <w:t>To provide protection and maximi</w:t>
      </w:r>
      <w:r w:rsidR="00B66441" w:rsidRPr="006E6F55">
        <w:rPr>
          <w:rFonts w:ascii="Avenir Next" w:hAnsi="Avenir Next"/>
          <w:sz w:val="22"/>
          <w:szCs w:val="32"/>
        </w:rPr>
        <w:t>z</w:t>
      </w:r>
      <w:r w:rsidRPr="006E6F55">
        <w:rPr>
          <w:rFonts w:ascii="Avenir Next" w:hAnsi="Avenir Next"/>
          <w:sz w:val="22"/>
          <w:szCs w:val="32"/>
        </w:rPr>
        <w:t>ation of value of the debtor’s assets.</w:t>
      </w:r>
    </w:p>
    <w:p w14:paraId="3081732A" w14:textId="77777777" w:rsidR="00812AFE" w:rsidRPr="006E6F55" w:rsidRDefault="00812AFE" w:rsidP="00C00111">
      <w:pPr>
        <w:ind w:left="426" w:hanging="426"/>
        <w:jc w:val="both"/>
        <w:rPr>
          <w:rFonts w:ascii="Avenir Next" w:hAnsi="Avenir Next"/>
          <w:sz w:val="22"/>
          <w:szCs w:val="32"/>
        </w:rPr>
      </w:pPr>
    </w:p>
    <w:p w14:paraId="712BE68D" w14:textId="77777777" w:rsidR="00812AFE" w:rsidRPr="006E6F55" w:rsidRDefault="00812AFE" w:rsidP="00F26046">
      <w:pPr>
        <w:pStyle w:val="ListParagraph"/>
        <w:numPr>
          <w:ilvl w:val="0"/>
          <w:numId w:val="13"/>
        </w:numPr>
        <w:ind w:left="426" w:hanging="426"/>
        <w:jc w:val="both"/>
        <w:rPr>
          <w:rFonts w:ascii="Avenir Next" w:hAnsi="Avenir Next"/>
          <w:sz w:val="22"/>
          <w:szCs w:val="32"/>
        </w:rPr>
      </w:pPr>
      <w:r w:rsidRPr="006E6F55">
        <w:rPr>
          <w:rFonts w:ascii="Avenir Next" w:hAnsi="Avenir Next"/>
          <w:sz w:val="22"/>
          <w:szCs w:val="32"/>
          <w:lang w:val="en-GB"/>
        </w:rPr>
        <w:t>To provide a fair and efficient administration of cross-border insolvencies that protects all creditors and the debtors.</w:t>
      </w:r>
    </w:p>
    <w:p w14:paraId="3C389653" w14:textId="77777777" w:rsidR="00812AFE" w:rsidRPr="006E6F55" w:rsidRDefault="00812AFE" w:rsidP="00C00111">
      <w:pPr>
        <w:ind w:left="426" w:hanging="426"/>
        <w:jc w:val="both"/>
        <w:rPr>
          <w:rFonts w:ascii="Avenir Next" w:hAnsi="Avenir Next"/>
          <w:sz w:val="22"/>
          <w:szCs w:val="32"/>
        </w:rPr>
      </w:pPr>
    </w:p>
    <w:p w14:paraId="61EBC598" w14:textId="77777777" w:rsidR="00812AFE" w:rsidRPr="006E6F55" w:rsidRDefault="00812AFE" w:rsidP="00F26046">
      <w:pPr>
        <w:pStyle w:val="ListParagraph"/>
        <w:numPr>
          <w:ilvl w:val="0"/>
          <w:numId w:val="13"/>
        </w:numPr>
        <w:ind w:left="426" w:hanging="426"/>
        <w:jc w:val="both"/>
        <w:rPr>
          <w:rFonts w:ascii="Avenir Next" w:hAnsi="Avenir Next"/>
          <w:sz w:val="22"/>
          <w:szCs w:val="32"/>
        </w:rPr>
      </w:pPr>
      <w:r w:rsidRPr="006E6F55">
        <w:rPr>
          <w:rFonts w:ascii="Avenir Next" w:hAnsi="Avenir Next"/>
          <w:sz w:val="22"/>
          <w:szCs w:val="32"/>
        </w:rPr>
        <w:t>To facilitate the rescue of financial troubled businesses.</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F26046">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6E6F55" w:rsidRDefault="00812AFE" w:rsidP="00F26046">
      <w:pPr>
        <w:pStyle w:val="ListParagraph"/>
        <w:numPr>
          <w:ilvl w:val="0"/>
          <w:numId w:val="3"/>
        </w:numPr>
        <w:ind w:left="426" w:hanging="426"/>
        <w:jc w:val="both"/>
        <w:rPr>
          <w:rFonts w:ascii="Avenir Next" w:hAnsi="Avenir Next" w:cs="Arial"/>
          <w:sz w:val="22"/>
          <w:szCs w:val="22"/>
          <w:highlight w:val="yellow"/>
          <w:lang w:val="en-GB"/>
        </w:rPr>
      </w:pPr>
      <w:r w:rsidRPr="006E6F55">
        <w:rPr>
          <w:rFonts w:ascii="Avenir Next" w:hAnsi="Avenir Next" w:cs="Arial"/>
          <w:sz w:val="22"/>
          <w:szCs w:val="22"/>
          <w:highlight w:val="yellow"/>
          <w:lang w:val="en-GB"/>
        </w:rPr>
        <w:t xml:space="preserve">Options (i), (ii), (iii) and </w:t>
      </w:r>
      <w:proofErr w:type="gramStart"/>
      <w:r w:rsidRPr="006E6F55">
        <w:rPr>
          <w:rFonts w:ascii="Avenir Next" w:hAnsi="Avenir Next" w:cs="Arial"/>
          <w:sz w:val="22"/>
          <w:szCs w:val="22"/>
          <w:highlight w:val="yellow"/>
          <w:lang w:val="en-GB"/>
        </w:rPr>
        <w:t>(iv)</w:t>
      </w:r>
      <w:proofErr w:type="gramEnd"/>
      <w:r w:rsidRPr="006E6F55">
        <w:rPr>
          <w:rFonts w:ascii="Avenir Next" w:hAnsi="Avenir Next" w:cs="Arial"/>
          <w:sz w:val="22"/>
          <w:szCs w:val="22"/>
          <w:highlight w:val="yellow"/>
          <w:lang w:val="en-GB"/>
        </w:rPr>
        <w:t>.</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F26046">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F26046">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gramStart"/>
      <w:r>
        <w:rPr>
          <w:rFonts w:ascii="Avenir Next" w:hAnsi="Avenir Next" w:cs="Arial"/>
          <w:sz w:val="22"/>
          <w:szCs w:val="22"/>
          <w:lang w:val="en-GB"/>
        </w:rPr>
        <w:t>iv</w:t>
      </w:r>
      <w:proofErr w:type="gramEnd"/>
      <w:r>
        <w:rPr>
          <w:rFonts w:ascii="Avenir Next" w:hAnsi="Avenir Next" w:cs="Arial"/>
          <w:sz w:val="22"/>
          <w:szCs w:val="22"/>
          <w:lang w:val="en-GB"/>
        </w:rPr>
        <w:t>)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F26046">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F26046">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lastRenderedPageBreak/>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F26046">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F26046">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w:t>
      </w:r>
      <w:proofErr w:type="spellStart"/>
      <w:r w:rsidRPr="00217019">
        <w:rPr>
          <w:rFonts w:ascii="Avenir Next" w:hAnsi="Avenir Next"/>
          <w:sz w:val="22"/>
          <w:szCs w:val="28"/>
        </w:rPr>
        <w:t>COMI</w:t>
      </w:r>
      <w:proofErr w:type="spellEnd"/>
      <w:r w:rsidRPr="00217019">
        <w:rPr>
          <w:rFonts w:ascii="Avenir Next" w:hAnsi="Avenir Next"/>
          <w:sz w:val="22"/>
          <w:szCs w:val="28"/>
        </w:rPr>
        <w:t xml:space="preserve">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F26046">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F26046">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 xml:space="preserve">de </w:t>
      </w:r>
      <w:proofErr w:type="spellStart"/>
      <w:r w:rsidRPr="006E0920">
        <w:rPr>
          <w:rFonts w:ascii="Avenir Next" w:hAnsi="Avenir Next"/>
          <w:i/>
          <w:iCs/>
          <w:sz w:val="22"/>
          <w:szCs w:val="28"/>
        </w:rPr>
        <w:t>minimis</w:t>
      </w:r>
      <w:proofErr w:type="spellEnd"/>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AA0972" w:rsidRDefault="003220BA" w:rsidP="00F26046">
      <w:pPr>
        <w:pStyle w:val="ListParagraph"/>
        <w:numPr>
          <w:ilvl w:val="0"/>
          <w:numId w:val="4"/>
        </w:numPr>
        <w:ind w:left="426" w:hanging="426"/>
        <w:jc w:val="both"/>
        <w:rPr>
          <w:rFonts w:ascii="Avenir Next" w:hAnsi="Avenir Next" w:cs="Arial"/>
          <w:sz w:val="22"/>
          <w:szCs w:val="22"/>
          <w:highlight w:val="yellow"/>
          <w:lang w:val="en-GB"/>
        </w:rPr>
      </w:pPr>
      <w:r w:rsidRPr="00AA0972">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F26046">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F26046">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AA0972" w:rsidRDefault="003220BA" w:rsidP="00F26046">
      <w:pPr>
        <w:pStyle w:val="ListParagraph"/>
        <w:numPr>
          <w:ilvl w:val="0"/>
          <w:numId w:val="4"/>
        </w:numPr>
        <w:ind w:left="426" w:hanging="426"/>
        <w:jc w:val="both"/>
        <w:rPr>
          <w:rFonts w:ascii="Avenir Next" w:hAnsi="Avenir Next" w:cs="Arial"/>
          <w:sz w:val="22"/>
          <w:szCs w:val="22"/>
          <w:lang w:val="en-GB"/>
        </w:rPr>
      </w:pPr>
      <w:r w:rsidRPr="00AA0972">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107BD0">
        <w:rPr>
          <w:rFonts w:ascii="Avenir Next Demi Bold" w:hAnsi="Avenir Next Demi Bold" w:cs="Arial"/>
          <w:b/>
          <w:bCs/>
          <w:sz w:val="22"/>
          <w:szCs w:val="22"/>
          <w:lang w:val="en-GB"/>
        </w:rPr>
        <w:t>Question 1.6</w:t>
      </w:r>
      <w:r w:rsidRPr="000D32A9">
        <w:rPr>
          <w:rFonts w:ascii="Avenir Next Demi Bold" w:hAnsi="Avenir Next Demi Bold" w:cs="Arial"/>
          <w:b/>
          <w:bCs/>
          <w:sz w:val="22"/>
          <w:szCs w:val="22"/>
          <w:lang w:val="en-GB"/>
        </w:rPr>
        <w:t xml:space="preserve">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 xml:space="preserve">A restructuring proceeding is commenced in jurisdiction A by a corporation with </w:t>
      </w:r>
      <w:proofErr w:type="spellStart"/>
      <w:r w:rsidRPr="00935FB2">
        <w:rPr>
          <w:rFonts w:ascii="Avenir Next" w:hAnsi="Avenir Next"/>
          <w:sz w:val="22"/>
          <w:szCs w:val="28"/>
          <w:lang w:val="en-GB"/>
        </w:rPr>
        <w:t>COMI</w:t>
      </w:r>
      <w:proofErr w:type="spellEnd"/>
      <w:r w:rsidRPr="00935FB2">
        <w:rPr>
          <w:rFonts w:ascii="Avenir Next" w:hAnsi="Avenir Next"/>
          <w:sz w:val="22"/>
          <w:szCs w:val="28"/>
          <w:lang w:val="en-GB"/>
        </w:rPr>
        <w:t xml:space="preserve">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F26046">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F26046">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F26046" w:rsidRDefault="009344C1" w:rsidP="00F26046">
      <w:pPr>
        <w:pStyle w:val="ListParagraph"/>
        <w:numPr>
          <w:ilvl w:val="0"/>
          <w:numId w:val="5"/>
        </w:numPr>
        <w:ind w:left="426" w:hanging="426"/>
        <w:jc w:val="both"/>
        <w:rPr>
          <w:rFonts w:ascii="Avenir Next" w:hAnsi="Avenir Next" w:cs="Arial"/>
          <w:sz w:val="22"/>
          <w:szCs w:val="22"/>
          <w:highlight w:val="yellow"/>
          <w:lang w:val="en-GB"/>
        </w:rPr>
      </w:pPr>
      <w:r w:rsidRPr="00F26046">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F26046" w:rsidRDefault="009344C1" w:rsidP="00F26046">
      <w:pPr>
        <w:pStyle w:val="ListParagraph"/>
        <w:numPr>
          <w:ilvl w:val="0"/>
          <w:numId w:val="5"/>
        </w:numPr>
        <w:ind w:left="426" w:hanging="426"/>
        <w:jc w:val="both"/>
        <w:rPr>
          <w:rFonts w:ascii="Avenir Next" w:hAnsi="Avenir Next" w:cs="Arial"/>
          <w:sz w:val="22"/>
          <w:szCs w:val="22"/>
          <w:lang w:val="en-GB"/>
        </w:rPr>
      </w:pPr>
      <w:r w:rsidRPr="00F26046">
        <w:rPr>
          <w:rFonts w:ascii="Avenir Next" w:hAnsi="Avenir Next" w:cs="Arial"/>
          <w:sz w:val="22"/>
          <w:szCs w:val="22"/>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F26046">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26046">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26046">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26046">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lastRenderedPageBreak/>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26046">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F26046">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652FEB" w:rsidRDefault="00F51EE5" w:rsidP="00F26046">
      <w:pPr>
        <w:pStyle w:val="ListParagraph"/>
        <w:numPr>
          <w:ilvl w:val="0"/>
          <w:numId w:val="6"/>
        </w:numPr>
        <w:ind w:left="426" w:hanging="426"/>
        <w:jc w:val="both"/>
        <w:rPr>
          <w:rFonts w:ascii="Avenir Next" w:hAnsi="Avenir Next" w:cs="Arial"/>
          <w:sz w:val="22"/>
          <w:szCs w:val="22"/>
          <w:highlight w:val="yellow"/>
          <w:lang w:val="en-GB"/>
        </w:rPr>
      </w:pPr>
      <w:r w:rsidRPr="00652FEB">
        <w:rPr>
          <w:rFonts w:ascii="Avenir Next" w:hAnsi="Avenir Next" w:cs="Arial"/>
          <w:sz w:val="22"/>
          <w:szCs w:val="22"/>
          <w:highlight w:val="yellow"/>
          <w:lang w:val="en-GB"/>
        </w:rPr>
        <w:t>Options (i), (ii) and (</w:t>
      </w:r>
      <w:proofErr w:type="gramStart"/>
      <w:r w:rsidRPr="00652FEB">
        <w:rPr>
          <w:rFonts w:ascii="Avenir Next" w:hAnsi="Avenir Next" w:cs="Arial"/>
          <w:sz w:val="22"/>
          <w:szCs w:val="22"/>
          <w:highlight w:val="yellow"/>
          <w:lang w:val="en-GB"/>
        </w:rPr>
        <w:t>iv</w:t>
      </w:r>
      <w:proofErr w:type="gramEnd"/>
      <w:r w:rsidRPr="00652FEB">
        <w:rPr>
          <w:rFonts w:ascii="Avenir Next" w:hAnsi="Avenir Next" w:cs="Arial"/>
          <w:sz w:val="22"/>
          <w:szCs w:val="22"/>
          <w:highlight w:val="yellow"/>
          <w:lang w:val="en-GB"/>
        </w:rPr>
        <w:t>).</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F26046">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w:t>
      </w:r>
      <w:proofErr w:type="gramStart"/>
      <w:r>
        <w:rPr>
          <w:rFonts w:ascii="Avenir Next" w:hAnsi="Avenir Next" w:cs="Arial"/>
          <w:sz w:val="22"/>
          <w:szCs w:val="22"/>
          <w:lang w:val="en-GB"/>
        </w:rPr>
        <w:t>iv</w:t>
      </w:r>
      <w:proofErr w:type="gramEnd"/>
      <w:r>
        <w:rPr>
          <w:rFonts w:ascii="Avenir Next" w:hAnsi="Avenir Next" w:cs="Arial"/>
          <w:sz w:val="22"/>
          <w:szCs w:val="22"/>
          <w:lang w:val="en-GB"/>
        </w:rPr>
        <w:t>).</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F26046">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w:t>
      </w:r>
      <w:proofErr w:type="spellStart"/>
      <w:r w:rsidRPr="00832BB0">
        <w:rPr>
          <w:rFonts w:ascii="Avenir Next" w:hAnsi="Avenir Next"/>
          <w:sz w:val="22"/>
          <w:szCs w:val="28"/>
        </w:rPr>
        <w:t>COMI</w:t>
      </w:r>
      <w:proofErr w:type="spellEnd"/>
      <w:r w:rsidRPr="00832BB0">
        <w:rPr>
          <w:rFonts w:ascii="Avenir Next" w:hAnsi="Avenir Next"/>
          <w:sz w:val="22"/>
          <w:szCs w:val="28"/>
        </w:rPr>
        <w:t xml:space="preserve"> under the </w:t>
      </w:r>
      <w:proofErr w:type="spellStart"/>
      <w:r w:rsidRPr="00832BB0">
        <w:rPr>
          <w:rFonts w:ascii="Avenir Next" w:hAnsi="Avenir Next"/>
          <w:sz w:val="22"/>
          <w:szCs w:val="28"/>
        </w:rPr>
        <w:t>MLCBI</w:t>
      </w:r>
      <w:proofErr w:type="spellEnd"/>
      <w:r w:rsidRPr="00832BB0">
        <w:rPr>
          <w:rFonts w:ascii="Avenir Next" w:hAnsi="Avenir Next"/>
          <w:sz w:val="22"/>
          <w:szCs w:val="28"/>
        </w:rPr>
        <w:t>?</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F26046">
      <w:pPr>
        <w:pStyle w:val="ListParagraph"/>
        <w:numPr>
          <w:ilvl w:val="0"/>
          <w:numId w:val="16"/>
        </w:numPr>
        <w:ind w:left="426" w:hanging="426"/>
        <w:rPr>
          <w:rFonts w:ascii="Avenir Next" w:hAnsi="Avenir Next"/>
          <w:sz w:val="22"/>
          <w:szCs w:val="28"/>
        </w:rPr>
      </w:pPr>
      <w:proofErr w:type="spellStart"/>
      <w:r w:rsidRPr="007742D6">
        <w:rPr>
          <w:rFonts w:ascii="Avenir Next" w:hAnsi="Avenir Next"/>
          <w:sz w:val="22"/>
          <w:szCs w:val="28"/>
        </w:rPr>
        <w:t>COMI</w:t>
      </w:r>
      <w:proofErr w:type="spellEnd"/>
      <w:r w:rsidRPr="007742D6">
        <w:rPr>
          <w:rFonts w:ascii="Avenir Next" w:hAnsi="Avenir Next"/>
          <w:sz w:val="22"/>
          <w:szCs w:val="28"/>
        </w:rPr>
        <w:t xml:space="preserve"> is a well-defined term in the </w:t>
      </w:r>
      <w:proofErr w:type="spellStart"/>
      <w:r w:rsidRPr="007742D6">
        <w:rPr>
          <w:rFonts w:ascii="Avenir Next" w:hAnsi="Avenir Next"/>
          <w:sz w:val="22"/>
          <w:szCs w:val="28"/>
        </w:rPr>
        <w:t>MLCBI</w:t>
      </w:r>
      <w:proofErr w:type="spellEnd"/>
      <w:r w:rsidRPr="007742D6">
        <w:rPr>
          <w:rFonts w:ascii="Avenir Next" w:hAnsi="Avenir Next"/>
          <w:sz w:val="22"/>
          <w:szCs w:val="28"/>
        </w:rPr>
        <w:t>.</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F26046">
      <w:pPr>
        <w:pStyle w:val="ListParagraph"/>
        <w:numPr>
          <w:ilvl w:val="0"/>
          <w:numId w:val="16"/>
        </w:numPr>
        <w:ind w:left="426" w:hanging="426"/>
        <w:rPr>
          <w:rFonts w:ascii="Avenir Next" w:hAnsi="Avenir Next"/>
          <w:sz w:val="22"/>
          <w:szCs w:val="28"/>
        </w:rPr>
      </w:pPr>
      <w:proofErr w:type="spellStart"/>
      <w:r w:rsidRPr="007742D6">
        <w:rPr>
          <w:rFonts w:ascii="Avenir Next" w:hAnsi="Avenir Next"/>
          <w:sz w:val="22"/>
          <w:szCs w:val="28"/>
        </w:rPr>
        <w:t>COMI</w:t>
      </w:r>
      <w:proofErr w:type="spellEnd"/>
      <w:r w:rsidRPr="007742D6">
        <w:rPr>
          <w:rFonts w:ascii="Avenir Next" w:hAnsi="Avenir Next"/>
          <w:sz w:val="22"/>
          <w:szCs w:val="28"/>
        </w:rPr>
        <w:t xml:space="preserve">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F26046">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 xml:space="preserve">The debtor’s registered office is irrelevant for purposes of determining </w:t>
      </w:r>
      <w:proofErr w:type="spellStart"/>
      <w:r w:rsidRPr="007742D6">
        <w:rPr>
          <w:rFonts w:ascii="Avenir Next" w:hAnsi="Avenir Next"/>
          <w:sz w:val="22"/>
          <w:szCs w:val="28"/>
        </w:rPr>
        <w:t>COMI</w:t>
      </w:r>
      <w:proofErr w:type="spellEnd"/>
      <w:r w:rsidRPr="007742D6">
        <w:rPr>
          <w:rFonts w:ascii="Avenir Next" w:hAnsi="Avenir Next"/>
          <w:sz w:val="22"/>
          <w:szCs w:val="28"/>
        </w:rPr>
        <w:t>.</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F26046">
      <w:pPr>
        <w:pStyle w:val="ListParagraph"/>
        <w:numPr>
          <w:ilvl w:val="0"/>
          <w:numId w:val="16"/>
        </w:numPr>
        <w:ind w:left="426" w:hanging="426"/>
        <w:rPr>
          <w:rFonts w:ascii="Avenir Next" w:hAnsi="Avenir Next"/>
          <w:sz w:val="22"/>
          <w:szCs w:val="28"/>
        </w:rPr>
      </w:pPr>
      <w:proofErr w:type="spellStart"/>
      <w:r w:rsidRPr="007742D6">
        <w:rPr>
          <w:rFonts w:ascii="Avenir Next" w:hAnsi="Avenir Next"/>
          <w:sz w:val="22"/>
          <w:szCs w:val="28"/>
        </w:rPr>
        <w:t>COMI</w:t>
      </w:r>
      <w:proofErr w:type="spellEnd"/>
      <w:r w:rsidRPr="007742D6">
        <w:rPr>
          <w:rFonts w:ascii="Avenir Next" w:hAnsi="Avenir Next"/>
          <w:sz w:val="22"/>
          <w:szCs w:val="28"/>
        </w:rPr>
        <w:t xml:space="preserve">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F26046">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F26046">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w:t>
      </w:r>
      <w:proofErr w:type="gramStart"/>
      <w:r>
        <w:rPr>
          <w:rFonts w:ascii="Avenir Next" w:hAnsi="Avenir Next" w:cs="Arial"/>
          <w:sz w:val="22"/>
          <w:szCs w:val="22"/>
          <w:lang w:val="en-GB"/>
        </w:rPr>
        <w:t>iv</w:t>
      </w:r>
      <w:proofErr w:type="gramEnd"/>
      <w:r>
        <w:rPr>
          <w:rFonts w:ascii="Avenir Next" w:hAnsi="Avenir Next" w:cs="Arial"/>
          <w:sz w:val="22"/>
          <w:szCs w:val="22"/>
          <w:lang w:val="en-GB"/>
        </w:rPr>
        <w:t>)</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652FEB" w:rsidRDefault="0097337E" w:rsidP="00F26046">
      <w:pPr>
        <w:pStyle w:val="ListParagraph"/>
        <w:numPr>
          <w:ilvl w:val="0"/>
          <w:numId w:val="7"/>
        </w:numPr>
        <w:ind w:left="426" w:hanging="426"/>
        <w:jc w:val="both"/>
        <w:rPr>
          <w:rFonts w:ascii="Avenir Next" w:hAnsi="Avenir Next" w:cs="Arial"/>
          <w:sz w:val="22"/>
          <w:szCs w:val="22"/>
          <w:highlight w:val="yellow"/>
          <w:lang w:val="en-GB"/>
        </w:rPr>
      </w:pPr>
      <w:r w:rsidRPr="00652FEB">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F26046">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F26046">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F26046">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F26046">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F26046">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F26046">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652FEB" w:rsidRDefault="009A58D1" w:rsidP="00F26046">
      <w:pPr>
        <w:pStyle w:val="ListParagraph"/>
        <w:numPr>
          <w:ilvl w:val="0"/>
          <w:numId w:val="8"/>
        </w:numPr>
        <w:ind w:left="426" w:hanging="426"/>
        <w:jc w:val="both"/>
        <w:rPr>
          <w:rFonts w:ascii="Avenir Next" w:hAnsi="Avenir Next" w:cs="Arial"/>
          <w:sz w:val="22"/>
          <w:szCs w:val="22"/>
          <w:highlight w:val="yellow"/>
          <w:lang w:val="en-GB"/>
        </w:rPr>
      </w:pPr>
      <w:r w:rsidRPr="00652FEB">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F26046">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w:t>
      </w:r>
      <w:proofErr w:type="spellStart"/>
      <w:r w:rsidRPr="00574696">
        <w:rPr>
          <w:rFonts w:ascii="Avenir Next" w:hAnsi="Avenir Next"/>
          <w:sz w:val="22"/>
          <w:szCs w:val="28"/>
        </w:rPr>
        <w:t>MLCBI</w:t>
      </w:r>
      <w:proofErr w:type="spellEnd"/>
      <w:r w:rsidRPr="00574696">
        <w:rPr>
          <w:rFonts w:ascii="Avenir Next" w:hAnsi="Avenir Next"/>
          <w:sz w:val="22"/>
          <w:szCs w:val="28"/>
        </w:rPr>
        <w:t>?</w:t>
      </w:r>
    </w:p>
    <w:p w14:paraId="6A003A96" w14:textId="77777777" w:rsidR="00C4510C" w:rsidRDefault="00C4510C" w:rsidP="00C4510C">
      <w:pPr>
        <w:rPr>
          <w:rFonts w:ascii="Avenir Next" w:hAnsi="Avenir Next"/>
          <w:sz w:val="22"/>
          <w:szCs w:val="28"/>
        </w:rPr>
      </w:pPr>
    </w:p>
    <w:p w14:paraId="25D470C0" w14:textId="77777777" w:rsidR="00C4510C" w:rsidRDefault="00C4510C" w:rsidP="00F26046">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F26046">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F26046">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652FEB" w:rsidRDefault="00C4510C" w:rsidP="00F26046">
      <w:pPr>
        <w:pStyle w:val="ListParagraph"/>
        <w:numPr>
          <w:ilvl w:val="0"/>
          <w:numId w:val="9"/>
        </w:numPr>
        <w:ind w:left="426" w:hanging="426"/>
        <w:jc w:val="both"/>
        <w:rPr>
          <w:rFonts w:ascii="Avenir Next" w:hAnsi="Avenir Next" w:cs="Arial"/>
          <w:sz w:val="22"/>
          <w:szCs w:val="22"/>
          <w:highlight w:val="yellow"/>
          <w:lang w:val="en-GB"/>
        </w:rPr>
      </w:pPr>
      <w:r w:rsidRPr="00652FEB">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797AFC">
        <w:rPr>
          <w:rFonts w:ascii="Avenir Next" w:hAnsi="Avenir Next" w:cs="Arial"/>
          <w:sz w:val="22"/>
          <w:szCs w:val="22"/>
          <w:lang w:val="en-GB"/>
        </w:rPr>
        <w:t xml:space="preserve">What is the key distinction between the application of the </w:t>
      </w:r>
      <w:proofErr w:type="spellStart"/>
      <w:r w:rsidRPr="00797AFC">
        <w:rPr>
          <w:rFonts w:ascii="Avenir Next" w:hAnsi="Avenir Next" w:cs="Arial"/>
          <w:sz w:val="22"/>
          <w:szCs w:val="22"/>
          <w:lang w:val="en-GB"/>
        </w:rPr>
        <w:t>MLCBI</w:t>
      </w:r>
      <w:proofErr w:type="spellEnd"/>
      <w:r w:rsidRPr="00797AFC">
        <w:rPr>
          <w:rFonts w:ascii="Avenir Next" w:hAnsi="Avenir Next" w:cs="Arial"/>
          <w:sz w:val="22"/>
          <w:szCs w:val="22"/>
          <w:lang w:val="en-GB"/>
        </w:rPr>
        <w:t xml:space="preserve"> and the European Union (EU) Regulation on insolvency proceedings? Also describe one key benefit and disadvantage of each approach.</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366807B9" w14:textId="0F71356A" w:rsidR="00872275" w:rsidRDefault="0034608D" w:rsidP="00EB0B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key distinction between the application of the Model Law on Cross-Border Insolvency (the "</w:t>
      </w:r>
      <w:r>
        <w:rPr>
          <w:rFonts w:ascii="Avenir Next" w:hAnsi="Avenir Next" w:cs="Arial"/>
          <w:b/>
          <w:color w:val="808080" w:themeColor="background1" w:themeShade="80"/>
          <w:sz w:val="22"/>
          <w:szCs w:val="22"/>
          <w:lang w:val="en-GB"/>
        </w:rPr>
        <w:t>Model Law</w:t>
      </w:r>
      <w:r>
        <w:rPr>
          <w:rFonts w:ascii="Avenir Next" w:hAnsi="Avenir Next" w:cs="Arial"/>
          <w:color w:val="808080" w:themeColor="background1" w:themeShade="80"/>
          <w:sz w:val="22"/>
          <w:szCs w:val="22"/>
          <w:lang w:val="en-GB"/>
        </w:rPr>
        <w:t>" or "</w:t>
      </w:r>
      <w:proofErr w:type="spellStart"/>
      <w:r>
        <w:rPr>
          <w:rFonts w:ascii="Avenir Next" w:hAnsi="Avenir Next" w:cs="Arial"/>
          <w:b/>
          <w:color w:val="808080" w:themeColor="background1" w:themeShade="80"/>
          <w:sz w:val="22"/>
          <w:szCs w:val="22"/>
          <w:lang w:val="en-GB"/>
        </w:rPr>
        <w:t>MLCBI</w:t>
      </w:r>
      <w:proofErr w:type="spellEnd"/>
      <w:r>
        <w:rPr>
          <w:rFonts w:ascii="Avenir Next" w:hAnsi="Avenir Next" w:cs="Arial"/>
          <w:color w:val="808080" w:themeColor="background1" w:themeShade="80"/>
          <w:sz w:val="22"/>
          <w:szCs w:val="22"/>
          <w:lang w:val="en-GB"/>
        </w:rPr>
        <w:t>") and the European Union (EU) Regulation on insolvency proceedings ("</w:t>
      </w:r>
      <w:proofErr w:type="spellStart"/>
      <w:r>
        <w:rPr>
          <w:rFonts w:ascii="Avenir Next" w:hAnsi="Avenir Next" w:cs="Arial"/>
          <w:b/>
          <w:color w:val="808080" w:themeColor="background1" w:themeShade="80"/>
          <w:sz w:val="22"/>
          <w:szCs w:val="22"/>
          <w:lang w:val="en-GB"/>
        </w:rPr>
        <w:t>EIR</w:t>
      </w:r>
      <w:proofErr w:type="spellEnd"/>
      <w:r>
        <w:rPr>
          <w:rFonts w:ascii="Avenir Next" w:hAnsi="Avenir Next" w:cs="Arial"/>
          <w:color w:val="808080" w:themeColor="background1" w:themeShade="80"/>
          <w:sz w:val="22"/>
          <w:szCs w:val="22"/>
          <w:lang w:val="en-GB"/>
        </w:rPr>
        <w:t xml:space="preserve">") </w:t>
      </w:r>
      <w:r w:rsidR="0086079B">
        <w:rPr>
          <w:rFonts w:ascii="Avenir Next" w:hAnsi="Avenir Next" w:cs="Arial"/>
          <w:color w:val="808080" w:themeColor="background1" w:themeShade="80"/>
          <w:sz w:val="22"/>
          <w:szCs w:val="22"/>
          <w:lang w:val="en-GB"/>
        </w:rPr>
        <w:t xml:space="preserve">is the </w:t>
      </w:r>
      <w:r w:rsidR="00797AFC">
        <w:rPr>
          <w:rFonts w:ascii="Avenir Next" w:hAnsi="Avenir Next" w:cs="Arial"/>
          <w:color w:val="808080" w:themeColor="background1" w:themeShade="80"/>
          <w:sz w:val="22"/>
          <w:szCs w:val="22"/>
          <w:lang w:val="en-GB"/>
        </w:rPr>
        <w:t xml:space="preserve">approach (i.e. hard vs soft law) </w:t>
      </w:r>
      <w:r w:rsidR="00814E5E">
        <w:rPr>
          <w:rFonts w:ascii="Avenir Next" w:hAnsi="Avenir Next" w:cs="Arial"/>
          <w:color w:val="808080" w:themeColor="background1" w:themeShade="80"/>
          <w:sz w:val="22"/>
          <w:szCs w:val="22"/>
          <w:lang w:val="en-GB"/>
        </w:rPr>
        <w:t xml:space="preserve">and subsequent recognition </w:t>
      </w:r>
      <w:r w:rsidR="00715AE5">
        <w:rPr>
          <w:rFonts w:ascii="Avenir Next" w:hAnsi="Avenir Next" w:cs="Arial"/>
          <w:color w:val="808080" w:themeColor="background1" w:themeShade="80"/>
          <w:sz w:val="22"/>
          <w:szCs w:val="22"/>
          <w:lang w:val="en-GB"/>
        </w:rPr>
        <w:t xml:space="preserve">of </w:t>
      </w:r>
      <w:r w:rsidR="0086079B">
        <w:rPr>
          <w:rFonts w:ascii="Avenir Next" w:hAnsi="Avenir Next" w:cs="Arial"/>
          <w:color w:val="808080" w:themeColor="background1" w:themeShade="80"/>
          <w:sz w:val="22"/>
          <w:szCs w:val="22"/>
          <w:lang w:val="en-GB"/>
        </w:rPr>
        <w:t xml:space="preserve">each system. </w:t>
      </w:r>
    </w:p>
    <w:p w14:paraId="64C5F609" w14:textId="6B0F7753" w:rsidR="00797AFC" w:rsidRDefault="00797AFC" w:rsidP="00EB0B6D">
      <w:pPr>
        <w:jc w:val="both"/>
        <w:rPr>
          <w:rFonts w:ascii="Avenir Next" w:hAnsi="Avenir Next" w:cs="Arial"/>
          <w:color w:val="808080" w:themeColor="background1" w:themeShade="80"/>
          <w:sz w:val="22"/>
          <w:szCs w:val="22"/>
          <w:lang w:val="en-GB"/>
        </w:rPr>
      </w:pPr>
    </w:p>
    <w:p w14:paraId="37136D77" w14:textId="4CF75A72" w:rsidR="0086079B" w:rsidRDefault="00797AFC" w:rsidP="00EB0B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Traditional examples of hard law are international instruments such as treaties and conventions. When States become a signatory to a treaty or convention, they are entering into a binding agreement in which the terms of the treaty or convention will be domestically incorporated into the State's legal system. This, in turn, may result in the State's hard laws on insolvency. While not a convention, the </w:t>
      </w:r>
      <w:proofErr w:type="spellStart"/>
      <w:r>
        <w:rPr>
          <w:rFonts w:ascii="Avenir Next" w:hAnsi="Avenir Next" w:cs="Arial"/>
          <w:color w:val="808080" w:themeColor="background1" w:themeShade="80"/>
          <w:sz w:val="22"/>
          <w:szCs w:val="22"/>
          <w:lang w:val="en-GB"/>
        </w:rPr>
        <w:t>EIR</w:t>
      </w:r>
      <w:proofErr w:type="spellEnd"/>
      <w:r>
        <w:rPr>
          <w:rFonts w:ascii="Avenir Next" w:hAnsi="Avenir Next" w:cs="Arial"/>
          <w:color w:val="808080" w:themeColor="background1" w:themeShade="80"/>
          <w:sz w:val="22"/>
          <w:szCs w:val="22"/>
          <w:lang w:val="en-GB"/>
        </w:rPr>
        <w:t>, which acted as the European Union's response to international insolvency, has seen significant success</w:t>
      </w:r>
      <w:r w:rsidR="00965491">
        <w:rPr>
          <w:rFonts w:ascii="Avenir Next" w:hAnsi="Avenir Next" w:cs="Arial"/>
          <w:color w:val="808080" w:themeColor="background1" w:themeShade="80"/>
          <w:sz w:val="22"/>
          <w:szCs w:val="22"/>
          <w:lang w:val="en-GB"/>
        </w:rPr>
        <w:t xml:space="preserve"> as hard law response to international insolvency. Once adopted via EU Regulation, the </w:t>
      </w:r>
      <w:proofErr w:type="spellStart"/>
      <w:r w:rsidR="00965491">
        <w:rPr>
          <w:rFonts w:ascii="Avenir Next" w:hAnsi="Avenir Next" w:cs="Arial"/>
          <w:color w:val="808080" w:themeColor="background1" w:themeShade="80"/>
          <w:sz w:val="22"/>
          <w:szCs w:val="22"/>
          <w:lang w:val="en-GB"/>
        </w:rPr>
        <w:t>EIR</w:t>
      </w:r>
      <w:proofErr w:type="spellEnd"/>
      <w:r w:rsidR="00965491">
        <w:rPr>
          <w:rFonts w:ascii="Avenir Next" w:hAnsi="Avenir Next" w:cs="Arial"/>
          <w:color w:val="808080" w:themeColor="background1" w:themeShade="80"/>
          <w:sz w:val="22"/>
          <w:szCs w:val="22"/>
          <w:lang w:val="en-GB"/>
        </w:rPr>
        <w:t xml:space="preserve"> becomes part of the domestic legislation of each EU member State.</w:t>
      </w:r>
    </w:p>
    <w:p w14:paraId="1369EC36" w14:textId="300789C8" w:rsidR="00797AFC" w:rsidRDefault="00797AFC" w:rsidP="00EB0B6D">
      <w:pPr>
        <w:jc w:val="both"/>
        <w:rPr>
          <w:rFonts w:ascii="Avenir Next" w:hAnsi="Avenir Next" w:cs="Arial"/>
          <w:color w:val="808080" w:themeColor="background1" w:themeShade="80"/>
          <w:sz w:val="22"/>
          <w:szCs w:val="22"/>
          <w:lang w:val="en-GB"/>
        </w:rPr>
      </w:pPr>
    </w:p>
    <w:p w14:paraId="2C3D8417" w14:textId="13A00A0D" w:rsidR="00797AFC" w:rsidRDefault="00797AFC" w:rsidP="00EB0B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contrast, the Model Law </w:t>
      </w:r>
      <w:r w:rsidR="00965491">
        <w:rPr>
          <w:rFonts w:ascii="Avenir Next" w:hAnsi="Avenir Next" w:cs="Arial"/>
          <w:color w:val="808080" w:themeColor="background1" w:themeShade="80"/>
          <w:sz w:val="22"/>
          <w:szCs w:val="22"/>
          <w:lang w:val="en-GB"/>
        </w:rPr>
        <w:t>can be considered as an example of "soft law" due to the fact that it operates as a recommendation for adoption by States, rather than a convention.</w:t>
      </w:r>
      <w:r w:rsidR="00965491">
        <w:rPr>
          <w:rStyle w:val="FootnoteReference"/>
          <w:rFonts w:ascii="Avenir Next" w:hAnsi="Avenir Next" w:cs="Arial"/>
          <w:color w:val="808080" w:themeColor="background1" w:themeShade="80"/>
          <w:sz w:val="22"/>
          <w:szCs w:val="22"/>
          <w:lang w:val="en-GB"/>
        </w:rPr>
        <w:footnoteReference w:id="1"/>
      </w:r>
      <w:r w:rsidR="00965491">
        <w:rPr>
          <w:rFonts w:ascii="Avenir Next" w:hAnsi="Avenir Next" w:cs="Arial"/>
          <w:color w:val="808080" w:themeColor="background1" w:themeShade="80"/>
          <w:sz w:val="22"/>
          <w:szCs w:val="22"/>
          <w:lang w:val="en-GB"/>
        </w:rPr>
        <w:t xml:space="preserve"> The Model Law is not attempting to substantially homogenise the insolvency legislation of various States</w:t>
      </w:r>
      <w:r w:rsidR="00715AE5">
        <w:rPr>
          <w:rFonts w:ascii="Avenir Next" w:hAnsi="Avenir Next" w:cs="Arial"/>
          <w:color w:val="808080" w:themeColor="background1" w:themeShade="80"/>
          <w:sz w:val="22"/>
          <w:szCs w:val="22"/>
          <w:lang w:val="en-GB"/>
        </w:rPr>
        <w:t xml:space="preserve"> and</w:t>
      </w:r>
      <w:r w:rsidR="00965491">
        <w:rPr>
          <w:rFonts w:ascii="Avenir Next" w:hAnsi="Avenir Next" w:cs="Arial"/>
          <w:color w:val="808080" w:themeColor="background1" w:themeShade="80"/>
          <w:sz w:val="22"/>
          <w:szCs w:val="22"/>
          <w:lang w:val="en-GB"/>
        </w:rPr>
        <w:t xml:space="preserve"> does not require reciprocity for its enactment. </w:t>
      </w:r>
    </w:p>
    <w:p w14:paraId="7DAE5CBA" w14:textId="33CEB05B" w:rsidR="00715AE5" w:rsidRDefault="00715AE5" w:rsidP="00EB0B6D">
      <w:pPr>
        <w:jc w:val="both"/>
        <w:rPr>
          <w:rFonts w:ascii="Avenir Next" w:hAnsi="Avenir Next" w:cs="Arial"/>
          <w:color w:val="808080" w:themeColor="background1" w:themeShade="80"/>
          <w:sz w:val="22"/>
          <w:szCs w:val="22"/>
          <w:lang w:val="en-GB"/>
        </w:rPr>
      </w:pPr>
    </w:p>
    <w:p w14:paraId="1B506B07" w14:textId="1CB8CABF" w:rsidR="00715AE5" w:rsidRPr="009B63D9" w:rsidRDefault="00715AE5" w:rsidP="00EB0B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comparing the above approaches, there are many advantages and disadvantages to each system. The Model Law has the advantage of being flexible and capable of worldwide</w:t>
      </w:r>
      <w:r w:rsidR="00416BC8">
        <w:rPr>
          <w:rFonts w:ascii="Avenir Next" w:hAnsi="Avenir Next" w:cs="Arial"/>
          <w:color w:val="808080" w:themeColor="background1" w:themeShade="80"/>
          <w:sz w:val="22"/>
          <w:szCs w:val="22"/>
          <w:lang w:val="en-GB"/>
        </w:rPr>
        <w:t xml:space="preserve"> application</w:t>
      </w:r>
      <w:r>
        <w:rPr>
          <w:rFonts w:ascii="Avenir Next" w:hAnsi="Avenir Next" w:cs="Arial"/>
          <w:color w:val="808080" w:themeColor="background1" w:themeShade="80"/>
          <w:sz w:val="22"/>
          <w:szCs w:val="22"/>
          <w:lang w:val="en-GB"/>
        </w:rPr>
        <w:t xml:space="preserve">. In contrast, the </w:t>
      </w:r>
      <w:proofErr w:type="spellStart"/>
      <w:r>
        <w:rPr>
          <w:rFonts w:ascii="Avenir Next" w:hAnsi="Avenir Next" w:cs="Arial"/>
          <w:color w:val="808080" w:themeColor="background1" w:themeShade="80"/>
          <w:sz w:val="22"/>
          <w:szCs w:val="22"/>
          <w:lang w:val="en-GB"/>
        </w:rPr>
        <w:t>EIR</w:t>
      </w:r>
      <w:proofErr w:type="spellEnd"/>
      <w:r>
        <w:rPr>
          <w:rFonts w:ascii="Avenir Next" w:hAnsi="Avenir Next" w:cs="Arial"/>
          <w:color w:val="808080" w:themeColor="background1" w:themeShade="80"/>
          <w:sz w:val="22"/>
          <w:szCs w:val="22"/>
          <w:lang w:val="en-GB"/>
        </w:rPr>
        <w:t xml:space="preserve"> is disadvantaged by its isolated application to EU member States and rigidity. On the other hand, the </w:t>
      </w:r>
      <w:proofErr w:type="spellStart"/>
      <w:r>
        <w:rPr>
          <w:rFonts w:ascii="Avenir Next" w:hAnsi="Avenir Next" w:cs="Arial"/>
          <w:color w:val="808080" w:themeColor="background1" w:themeShade="80"/>
          <w:sz w:val="22"/>
          <w:szCs w:val="22"/>
          <w:lang w:val="en-GB"/>
        </w:rPr>
        <w:t>EIR</w:t>
      </w:r>
      <w:proofErr w:type="spellEnd"/>
      <w:r>
        <w:rPr>
          <w:rFonts w:ascii="Avenir Next" w:hAnsi="Avenir Next" w:cs="Arial"/>
          <w:color w:val="808080" w:themeColor="background1" w:themeShade="80"/>
          <w:sz w:val="22"/>
          <w:szCs w:val="22"/>
          <w:lang w:val="en-GB"/>
        </w:rPr>
        <w:t xml:space="preserve"> </w:t>
      </w:r>
      <w:r w:rsidR="00416BC8">
        <w:rPr>
          <w:rFonts w:ascii="Avenir Next" w:hAnsi="Avenir Next" w:cs="Arial"/>
          <w:color w:val="808080" w:themeColor="background1" w:themeShade="80"/>
          <w:sz w:val="22"/>
          <w:szCs w:val="22"/>
          <w:lang w:val="en-GB"/>
        </w:rPr>
        <w:t xml:space="preserve">is </w:t>
      </w:r>
      <w:r w:rsidR="00814E5E">
        <w:rPr>
          <w:rFonts w:ascii="Avenir Next" w:hAnsi="Avenir Next" w:cs="Arial"/>
          <w:color w:val="808080" w:themeColor="background1" w:themeShade="80"/>
          <w:sz w:val="22"/>
          <w:szCs w:val="22"/>
          <w:lang w:val="en-GB"/>
        </w:rPr>
        <w:t xml:space="preserve">advantaged by its </w:t>
      </w:r>
      <w:r w:rsidR="00416BC8">
        <w:rPr>
          <w:rFonts w:ascii="Avenir Next" w:hAnsi="Avenir Next" w:cs="Arial"/>
          <w:color w:val="808080" w:themeColor="background1" w:themeShade="80"/>
          <w:sz w:val="22"/>
          <w:szCs w:val="22"/>
          <w:lang w:val="en-GB"/>
        </w:rPr>
        <w:t>capability</w:t>
      </w:r>
      <w:r>
        <w:rPr>
          <w:rFonts w:ascii="Avenir Next" w:hAnsi="Avenir Next" w:cs="Arial"/>
          <w:color w:val="808080" w:themeColor="background1" w:themeShade="80"/>
          <w:sz w:val="22"/>
          <w:szCs w:val="22"/>
          <w:lang w:val="en-GB"/>
        </w:rPr>
        <w:t xml:space="preserve"> of providing certainty in its application whereas the Model Law </w:t>
      </w:r>
      <w:r w:rsidR="00416BC8">
        <w:rPr>
          <w:rFonts w:ascii="Avenir Next" w:hAnsi="Avenir Next" w:cs="Arial"/>
          <w:color w:val="808080" w:themeColor="background1" w:themeShade="80"/>
          <w:sz w:val="22"/>
          <w:szCs w:val="22"/>
          <w:lang w:val="en-GB"/>
        </w:rPr>
        <w:t xml:space="preserve">is </w:t>
      </w:r>
      <w:r w:rsidR="00814E5E">
        <w:rPr>
          <w:rFonts w:ascii="Avenir Next" w:hAnsi="Avenir Next" w:cs="Arial"/>
          <w:color w:val="808080" w:themeColor="background1" w:themeShade="80"/>
          <w:sz w:val="22"/>
          <w:szCs w:val="22"/>
          <w:lang w:val="en-GB"/>
        </w:rPr>
        <w:t>disadvantaged by</w:t>
      </w:r>
      <w:r w:rsidR="00416BC8">
        <w:rPr>
          <w:rFonts w:ascii="Avenir Next" w:hAnsi="Avenir Next" w:cs="Arial"/>
          <w:color w:val="808080" w:themeColor="background1" w:themeShade="80"/>
          <w:sz w:val="22"/>
          <w:szCs w:val="22"/>
          <w:lang w:val="en-GB"/>
        </w:rPr>
        <w:t xml:space="preserve"> levels of uncertainty due to its </w:t>
      </w:r>
      <w:r>
        <w:rPr>
          <w:rFonts w:ascii="Avenir Next" w:hAnsi="Avenir Next" w:cs="Arial"/>
          <w:color w:val="808080" w:themeColor="background1" w:themeShade="80"/>
          <w:sz w:val="22"/>
          <w:szCs w:val="22"/>
          <w:lang w:val="en-GB"/>
        </w:rPr>
        <w:t xml:space="preserve">non-binding </w:t>
      </w:r>
      <w:r w:rsidR="00416BC8">
        <w:rPr>
          <w:rFonts w:ascii="Avenir Next" w:hAnsi="Avenir Next" w:cs="Arial"/>
          <w:color w:val="808080" w:themeColor="background1" w:themeShade="80"/>
          <w:sz w:val="22"/>
          <w:szCs w:val="22"/>
          <w:lang w:val="en-GB"/>
        </w:rPr>
        <w:t xml:space="preserve">nature </w:t>
      </w:r>
      <w:r>
        <w:rPr>
          <w:rFonts w:ascii="Avenir Next" w:hAnsi="Avenir Next" w:cs="Arial"/>
          <w:color w:val="808080" w:themeColor="background1" w:themeShade="80"/>
          <w:sz w:val="22"/>
          <w:szCs w:val="22"/>
          <w:lang w:val="en-GB"/>
        </w:rPr>
        <w:t xml:space="preserve">and </w:t>
      </w:r>
      <w:r w:rsidR="00416BC8">
        <w:rPr>
          <w:rFonts w:ascii="Avenir Next" w:hAnsi="Avenir Next" w:cs="Arial"/>
          <w:color w:val="808080" w:themeColor="background1" w:themeShade="80"/>
          <w:sz w:val="22"/>
          <w:szCs w:val="22"/>
          <w:lang w:val="en-GB"/>
        </w:rPr>
        <w:t xml:space="preserve">the fact that it is </w:t>
      </w:r>
      <w:r>
        <w:rPr>
          <w:rFonts w:ascii="Avenir Next" w:hAnsi="Avenir Next" w:cs="Arial"/>
          <w:color w:val="808080" w:themeColor="background1" w:themeShade="80"/>
          <w:sz w:val="22"/>
          <w:szCs w:val="22"/>
          <w:lang w:val="en-GB"/>
        </w:rPr>
        <w:t xml:space="preserve">subject to amendments and changes by the States that choose to adopt it. </w:t>
      </w:r>
    </w:p>
    <w:p w14:paraId="7716EC51" w14:textId="184A9BA8"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w:t>
      </w:r>
      <w:proofErr w:type="spellStart"/>
      <w:r w:rsidRPr="006D179E">
        <w:rPr>
          <w:rFonts w:ascii="Avenir Next" w:hAnsi="Avenir Next"/>
          <w:sz w:val="22"/>
          <w:szCs w:val="28"/>
          <w:lang w:val="en-GB"/>
        </w:rPr>
        <w:t>MLCBI</w:t>
      </w:r>
      <w:proofErr w:type="spellEnd"/>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66ECAD2D" w:rsidR="00867A8F" w:rsidRDefault="00932087" w:rsidP="006027A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Article 21</w:t>
      </w:r>
      <w:r w:rsidR="00D7515C">
        <w:rPr>
          <w:rFonts w:ascii="Avenir Next" w:hAnsi="Avenir Next" w:cs="Arial"/>
          <w:color w:val="808080" w:themeColor="background1" w:themeShade="80"/>
          <w:sz w:val="22"/>
          <w:szCs w:val="22"/>
          <w:lang w:val="en-GB"/>
        </w:rPr>
        <w:t>(1)</w:t>
      </w:r>
      <w:r>
        <w:rPr>
          <w:rFonts w:ascii="Avenir Next" w:hAnsi="Avenir Next" w:cs="Arial"/>
          <w:color w:val="808080" w:themeColor="background1" w:themeShade="80"/>
          <w:sz w:val="22"/>
          <w:szCs w:val="22"/>
          <w:lang w:val="en-GB"/>
        </w:rPr>
        <w:t xml:space="preserve"> of the Model Law, f</w:t>
      </w:r>
      <w:r w:rsidR="006027A1">
        <w:rPr>
          <w:rFonts w:ascii="Avenir Next" w:hAnsi="Avenir Next" w:cs="Arial"/>
          <w:color w:val="808080" w:themeColor="background1" w:themeShade="80"/>
          <w:sz w:val="22"/>
          <w:szCs w:val="22"/>
          <w:lang w:val="en-GB"/>
        </w:rPr>
        <w:t xml:space="preserve">ollowing the recognition of foreign proceedings (either main or non-main) and where necessary to protect the assets of the debtor or the interests of the creditors, the court may, at the request of a foreign representative, grant any appropriate relief, such as: </w:t>
      </w:r>
    </w:p>
    <w:p w14:paraId="0CA3CB77" w14:textId="460A0E59" w:rsidR="006027A1" w:rsidRDefault="006027A1" w:rsidP="006027A1">
      <w:pPr>
        <w:jc w:val="both"/>
        <w:rPr>
          <w:rFonts w:ascii="Avenir Next" w:hAnsi="Avenir Next" w:cs="Arial"/>
          <w:color w:val="808080" w:themeColor="background1" w:themeShade="80"/>
          <w:sz w:val="22"/>
          <w:szCs w:val="22"/>
          <w:lang w:val="en-GB"/>
        </w:rPr>
      </w:pPr>
    </w:p>
    <w:p w14:paraId="0AD54B1F" w14:textId="79A2CE81" w:rsidR="006027A1" w:rsidRPr="00932087" w:rsidRDefault="00932087" w:rsidP="00932087">
      <w:pPr>
        <w:ind w:left="360"/>
        <w:jc w:val="both"/>
        <w:rPr>
          <w:rFonts w:ascii="Avenir Next" w:hAnsi="Avenir Next" w:cs="Arial"/>
          <w:i/>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932087">
        <w:rPr>
          <w:rFonts w:ascii="Avenir Next" w:hAnsi="Avenir Next" w:cs="Arial"/>
          <w:i/>
          <w:color w:val="808080" w:themeColor="background1" w:themeShade="80"/>
          <w:sz w:val="22"/>
          <w:szCs w:val="22"/>
          <w:lang w:val="en-GB"/>
        </w:rPr>
        <w:t xml:space="preserve">(a) </w:t>
      </w:r>
      <w:r w:rsidR="006027A1" w:rsidRPr="00932087">
        <w:rPr>
          <w:rFonts w:ascii="Avenir Next" w:hAnsi="Avenir Next" w:cs="Arial"/>
          <w:i/>
          <w:color w:val="808080" w:themeColor="background1" w:themeShade="80"/>
          <w:sz w:val="22"/>
          <w:szCs w:val="22"/>
          <w:lang w:val="en-GB"/>
        </w:rPr>
        <w:t xml:space="preserve">staying the commencement or continuation of individual actions or individual proceedings concerning the debtor's assets, rights, obligations or </w:t>
      </w:r>
      <w:r w:rsidRPr="00932087">
        <w:rPr>
          <w:rFonts w:ascii="Avenir Next" w:hAnsi="Avenir Next" w:cs="Arial"/>
          <w:i/>
          <w:color w:val="808080" w:themeColor="background1" w:themeShade="80"/>
          <w:sz w:val="22"/>
          <w:szCs w:val="22"/>
          <w:lang w:val="en-GB"/>
        </w:rPr>
        <w:t>liabilities, to the extent they have not been stayed under paragraph 1(a) of Article 20;</w:t>
      </w:r>
    </w:p>
    <w:p w14:paraId="6E3E55B8" w14:textId="77777777" w:rsidR="00932087" w:rsidRPr="00932087" w:rsidRDefault="00932087" w:rsidP="00932087">
      <w:pPr>
        <w:pStyle w:val="ListParagraph"/>
        <w:jc w:val="both"/>
        <w:rPr>
          <w:rFonts w:ascii="Avenir Next" w:hAnsi="Avenir Next" w:cs="Arial"/>
          <w:i/>
          <w:color w:val="808080" w:themeColor="background1" w:themeShade="80"/>
          <w:sz w:val="22"/>
          <w:szCs w:val="22"/>
          <w:lang w:val="en-GB"/>
        </w:rPr>
      </w:pPr>
    </w:p>
    <w:p w14:paraId="5E6F4581" w14:textId="0367C6C6" w:rsidR="00932087" w:rsidRDefault="00932087" w:rsidP="00932087">
      <w:pPr>
        <w:ind w:left="360"/>
        <w:jc w:val="both"/>
        <w:rPr>
          <w:rFonts w:ascii="Avenir Next" w:hAnsi="Avenir Next" w:cs="Arial"/>
          <w:i/>
          <w:color w:val="808080" w:themeColor="background1" w:themeShade="80"/>
          <w:sz w:val="22"/>
          <w:szCs w:val="22"/>
          <w:lang w:val="en-GB"/>
        </w:rPr>
      </w:pPr>
      <w:r w:rsidRPr="00932087">
        <w:rPr>
          <w:rFonts w:ascii="Avenir Next" w:hAnsi="Avenir Next" w:cs="Arial"/>
          <w:i/>
          <w:color w:val="808080" w:themeColor="background1" w:themeShade="80"/>
          <w:sz w:val="22"/>
          <w:szCs w:val="22"/>
          <w:lang w:val="en-GB"/>
        </w:rPr>
        <w:t xml:space="preserve">(b) </w:t>
      </w:r>
      <w:proofErr w:type="gramStart"/>
      <w:r>
        <w:rPr>
          <w:rFonts w:ascii="Avenir Next" w:hAnsi="Avenir Next" w:cs="Arial"/>
          <w:i/>
          <w:color w:val="808080" w:themeColor="background1" w:themeShade="80"/>
          <w:sz w:val="22"/>
          <w:szCs w:val="22"/>
          <w:lang w:val="en-GB"/>
        </w:rPr>
        <w:t>staying</w:t>
      </w:r>
      <w:proofErr w:type="gramEnd"/>
      <w:r>
        <w:rPr>
          <w:rFonts w:ascii="Avenir Next" w:hAnsi="Avenir Next" w:cs="Arial"/>
          <w:i/>
          <w:color w:val="808080" w:themeColor="background1" w:themeShade="80"/>
          <w:sz w:val="22"/>
          <w:szCs w:val="22"/>
          <w:lang w:val="en-GB"/>
        </w:rPr>
        <w:t xml:space="preserve"> execution against the debtor's assets to the extent it has not been stayed under paragraph 1(b) of Article 20;</w:t>
      </w:r>
    </w:p>
    <w:p w14:paraId="3F415A85" w14:textId="18E16F43" w:rsidR="00932087" w:rsidRDefault="00932087" w:rsidP="00932087">
      <w:pPr>
        <w:ind w:left="360"/>
        <w:jc w:val="both"/>
        <w:rPr>
          <w:rFonts w:ascii="Avenir Next" w:hAnsi="Avenir Next" w:cs="Arial"/>
          <w:i/>
          <w:color w:val="808080" w:themeColor="background1" w:themeShade="80"/>
          <w:sz w:val="22"/>
          <w:szCs w:val="22"/>
          <w:lang w:val="en-GB"/>
        </w:rPr>
      </w:pPr>
    </w:p>
    <w:p w14:paraId="1B7624E6" w14:textId="704F7CAC" w:rsidR="00932087" w:rsidRDefault="00932087" w:rsidP="00932087">
      <w:pPr>
        <w:ind w:left="360"/>
        <w:jc w:val="both"/>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t>(c) suspending the right to transfer, encumber or otherwise dispose of any assets of the debtor to the extent this right has not been suspended under paragraph 1(c) of Article 20;</w:t>
      </w:r>
    </w:p>
    <w:p w14:paraId="346ED5AF" w14:textId="4792F7DB" w:rsidR="00932087" w:rsidRDefault="00932087" w:rsidP="00932087">
      <w:pPr>
        <w:ind w:left="360"/>
        <w:jc w:val="both"/>
        <w:rPr>
          <w:rFonts w:ascii="Avenir Next" w:hAnsi="Avenir Next" w:cs="Arial"/>
          <w:i/>
          <w:color w:val="808080" w:themeColor="background1" w:themeShade="80"/>
          <w:sz w:val="22"/>
          <w:szCs w:val="22"/>
          <w:lang w:val="en-GB"/>
        </w:rPr>
      </w:pPr>
    </w:p>
    <w:p w14:paraId="6C3B6618" w14:textId="551405F5" w:rsidR="00932087" w:rsidRDefault="00932087" w:rsidP="00932087">
      <w:pPr>
        <w:ind w:left="360"/>
        <w:jc w:val="both"/>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t xml:space="preserve">(d) providing for the examination of witnesses, the taking of evidence or the delivery of information concerning the debtor's assets, affairs, rights, obligations or liabilities; </w:t>
      </w:r>
    </w:p>
    <w:p w14:paraId="7C3563CA" w14:textId="5395B8AA" w:rsidR="00932087" w:rsidRDefault="00932087" w:rsidP="00932087">
      <w:pPr>
        <w:ind w:left="360"/>
        <w:jc w:val="both"/>
        <w:rPr>
          <w:rFonts w:ascii="Avenir Next" w:hAnsi="Avenir Next" w:cs="Arial"/>
          <w:i/>
          <w:color w:val="808080" w:themeColor="background1" w:themeShade="80"/>
          <w:sz w:val="22"/>
          <w:szCs w:val="22"/>
          <w:lang w:val="en-GB"/>
        </w:rPr>
      </w:pPr>
    </w:p>
    <w:p w14:paraId="31DA4470" w14:textId="3A57384D" w:rsidR="00932087" w:rsidRDefault="00932087" w:rsidP="00932087">
      <w:pPr>
        <w:ind w:left="360"/>
        <w:jc w:val="both"/>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t xml:space="preserve">(e) </w:t>
      </w:r>
      <w:proofErr w:type="gramStart"/>
      <w:r>
        <w:rPr>
          <w:rFonts w:ascii="Avenir Next" w:hAnsi="Avenir Next" w:cs="Arial"/>
          <w:i/>
          <w:color w:val="808080" w:themeColor="background1" w:themeShade="80"/>
          <w:sz w:val="22"/>
          <w:szCs w:val="22"/>
          <w:lang w:val="en-GB"/>
        </w:rPr>
        <w:t>entrusting</w:t>
      </w:r>
      <w:proofErr w:type="gramEnd"/>
      <w:r>
        <w:rPr>
          <w:rFonts w:ascii="Avenir Next" w:hAnsi="Avenir Next" w:cs="Arial"/>
          <w:i/>
          <w:color w:val="808080" w:themeColor="background1" w:themeShade="80"/>
          <w:sz w:val="22"/>
          <w:szCs w:val="22"/>
          <w:lang w:val="en-GB"/>
        </w:rPr>
        <w:t xml:space="preserve"> the administration or realisation of all or part of the</w:t>
      </w:r>
      <w:r w:rsidR="002E1DD0">
        <w:rPr>
          <w:rFonts w:ascii="Avenir Next" w:hAnsi="Avenir Next" w:cs="Arial"/>
          <w:i/>
          <w:color w:val="808080" w:themeColor="background1" w:themeShade="80"/>
          <w:sz w:val="22"/>
          <w:szCs w:val="22"/>
          <w:lang w:val="en-GB"/>
        </w:rPr>
        <w:t xml:space="preserve"> debtor's assets located in </w:t>
      </w:r>
      <w:r w:rsidR="002E1DD0">
        <w:rPr>
          <w:rFonts w:ascii="Avenir Next" w:hAnsi="Avenir Next" w:cs="Arial"/>
          <w:color w:val="808080" w:themeColor="background1" w:themeShade="80"/>
          <w:sz w:val="22"/>
          <w:szCs w:val="22"/>
          <w:lang w:val="en-GB"/>
        </w:rPr>
        <w:t>[the enacting]</w:t>
      </w:r>
      <w:r>
        <w:rPr>
          <w:rFonts w:ascii="Avenir Next" w:hAnsi="Avenir Next" w:cs="Arial"/>
          <w:i/>
          <w:color w:val="808080" w:themeColor="background1" w:themeShade="80"/>
          <w:sz w:val="22"/>
          <w:szCs w:val="22"/>
          <w:lang w:val="en-GB"/>
        </w:rPr>
        <w:t xml:space="preserve"> State to the foreign representative or another person designed </w:t>
      </w:r>
      <w:r w:rsidR="00D7515C">
        <w:rPr>
          <w:rFonts w:ascii="Avenir Next" w:hAnsi="Avenir Next" w:cs="Arial"/>
          <w:i/>
          <w:color w:val="808080" w:themeColor="background1" w:themeShade="80"/>
          <w:sz w:val="22"/>
          <w:szCs w:val="22"/>
          <w:lang w:val="en-GB"/>
        </w:rPr>
        <w:t>by the court;</w:t>
      </w:r>
    </w:p>
    <w:p w14:paraId="06F93F7E" w14:textId="498564BC" w:rsidR="00D7515C" w:rsidRDefault="00D7515C" w:rsidP="00932087">
      <w:pPr>
        <w:ind w:left="360"/>
        <w:jc w:val="both"/>
        <w:rPr>
          <w:rFonts w:ascii="Avenir Next" w:hAnsi="Avenir Next" w:cs="Arial"/>
          <w:i/>
          <w:color w:val="808080" w:themeColor="background1" w:themeShade="80"/>
          <w:sz w:val="22"/>
          <w:szCs w:val="22"/>
          <w:lang w:val="en-GB"/>
        </w:rPr>
      </w:pPr>
    </w:p>
    <w:p w14:paraId="1D76654D" w14:textId="70E0FF1E" w:rsidR="00D7515C" w:rsidRDefault="00D7515C" w:rsidP="00932087">
      <w:pPr>
        <w:ind w:left="360"/>
        <w:jc w:val="both"/>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t xml:space="preserve">(f) </w:t>
      </w:r>
      <w:proofErr w:type="gramStart"/>
      <w:r>
        <w:rPr>
          <w:rFonts w:ascii="Avenir Next" w:hAnsi="Avenir Next" w:cs="Arial"/>
          <w:i/>
          <w:color w:val="808080" w:themeColor="background1" w:themeShade="80"/>
          <w:sz w:val="22"/>
          <w:szCs w:val="22"/>
          <w:lang w:val="en-GB"/>
        </w:rPr>
        <w:t>extending</w:t>
      </w:r>
      <w:proofErr w:type="gramEnd"/>
      <w:r>
        <w:rPr>
          <w:rFonts w:ascii="Avenir Next" w:hAnsi="Avenir Next" w:cs="Arial"/>
          <w:i/>
          <w:color w:val="808080" w:themeColor="background1" w:themeShade="80"/>
          <w:sz w:val="22"/>
          <w:szCs w:val="22"/>
          <w:lang w:val="en-GB"/>
        </w:rPr>
        <w:t xml:space="preserve"> relief granted under paragraph 1 of Article 19; </w:t>
      </w:r>
    </w:p>
    <w:p w14:paraId="02A81272" w14:textId="36E8FDDD" w:rsidR="00D7515C" w:rsidRDefault="00D7515C" w:rsidP="00932087">
      <w:pPr>
        <w:ind w:left="360"/>
        <w:jc w:val="both"/>
        <w:rPr>
          <w:rFonts w:ascii="Avenir Next" w:hAnsi="Avenir Next" w:cs="Arial"/>
          <w:i/>
          <w:color w:val="808080" w:themeColor="background1" w:themeShade="80"/>
          <w:sz w:val="22"/>
          <w:szCs w:val="22"/>
          <w:lang w:val="en-GB"/>
        </w:rPr>
      </w:pPr>
    </w:p>
    <w:p w14:paraId="235FDAE8" w14:textId="1A1231A7" w:rsidR="00D7515C" w:rsidRDefault="00D7515C" w:rsidP="00932087">
      <w:pPr>
        <w:ind w:left="360"/>
        <w:jc w:val="both"/>
        <w:rPr>
          <w:rFonts w:ascii="Avenir Next" w:hAnsi="Avenir Next" w:cs="Arial"/>
          <w:color w:val="808080" w:themeColor="background1" w:themeShade="80"/>
          <w:sz w:val="22"/>
          <w:szCs w:val="22"/>
          <w:lang w:val="en-GB"/>
        </w:rPr>
      </w:pPr>
      <w:r>
        <w:rPr>
          <w:rFonts w:ascii="Avenir Next" w:hAnsi="Avenir Next" w:cs="Arial"/>
          <w:i/>
          <w:color w:val="808080" w:themeColor="background1" w:themeShade="80"/>
          <w:sz w:val="22"/>
          <w:szCs w:val="22"/>
          <w:lang w:val="en-GB"/>
        </w:rPr>
        <w:t xml:space="preserve">(g) </w:t>
      </w:r>
      <w:proofErr w:type="gramStart"/>
      <w:r>
        <w:rPr>
          <w:rFonts w:ascii="Avenir Next" w:hAnsi="Avenir Next" w:cs="Arial"/>
          <w:i/>
          <w:color w:val="808080" w:themeColor="background1" w:themeShade="80"/>
          <w:sz w:val="22"/>
          <w:szCs w:val="22"/>
          <w:lang w:val="en-GB"/>
        </w:rPr>
        <w:t>granting</w:t>
      </w:r>
      <w:proofErr w:type="gramEnd"/>
      <w:r>
        <w:rPr>
          <w:rFonts w:ascii="Avenir Next" w:hAnsi="Avenir Next" w:cs="Arial"/>
          <w:i/>
          <w:color w:val="808080" w:themeColor="background1" w:themeShade="80"/>
          <w:sz w:val="22"/>
          <w:szCs w:val="22"/>
          <w:lang w:val="en-GB"/>
        </w:rPr>
        <w:t xml:space="preserve"> any additional relief that may be available</w:t>
      </w:r>
      <w:r>
        <w:rPr>
          <w:rFonts w:ascii="Avenir Next" w:hAnsi="Avenir Next" w:cs="Arial"/>
          <w:color w:val="808080" w:themeColor="background1" w:themeShade="80"/>
          <w:sz w:val="22"/>
          <w:szCs w:val="22"/>
          <w:lang w:val="en-GB"/>
        </w:rPr>
        <w:t xml:space="preserve"> </w:t>
      </w:r>
      <w:r>
        <w:rPr>
          <w:rFonts w:ascii="Avenir Next" w:hAnsi="Avenir Next" w:cs="Arial"/>
          <w:i/>
          <w:color w:val="808080" w:themeColor="background1" w:themeShade="80"/>
          <w:sz w:val="22"/>
          <w:szCs w:val="22"/>
          <w:lang w:val="en-GB"/>
        </w:rPr>
        <w:t>to…a person or body administering a reorganisation or liquidation under the law of the enacting State.</w:t>
      </w:r>
      <w:r>
        <w:rPr>
          <w:rFonts w:ascii="Avenir Next" w:hAnsi="Avenir Next" w:cs="Arial"/>
          <w:color w:val="808080" w:themeColor="background1" w:themeShade="80"/>
          <w:sz w:val="22"/>
          <w:szCs w:val="22"/>
          <w:lang w:val="en-GB"/>
        </w:rPr>
        <w:t xml:space="preserve">" </w:t>
      </w:r>
    </w:p>
    <w:p w14:paraId="693DC8A9" w14:textId="04CA2A50" w:rsidR="00D7515C" w:rsidRDefault="00D7515C" w:rsidP="00D7515C">
      <w:pPr>
        <w:jc w:val="both"/>
        <w:rPr>
          <w:rFonts w:ascii="Avenir Next" w:hAnsi="Avenir Next" w:cs="Arial"/>
          <w:color w:val="808080" w:themeColor="background1" w:themeShade="80"/>
          <w:sz w:val="22"/>
          <w:szCs w:val="22"/>
          <w:lang w:val="en-GB"/>
        </w:rPr>
      </w:pPr>
    </w:p>
    <w:p w14:paraId="5AC5FBD4" w14:textId="6096611A" w:rsidR="00D7515C" w:rsidRPr="00D7515C" w:rsidRDefault="00D7515C" w:rsidP="00D7515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 21(2) of the Model Law, following the recognition of foreign proceedings (either main or non-main) a court may (at the request of a foreign representative) entrust the distribution of all or part of the assets of the debtor located in the enacting State to the foreign representative (or </w:t>
      </w:r>
      <w:r w:rsidR="00416BC8">
        <w:rPr>
          <w:rFonts w:ascii="Avenir Next" w:hAnsi="Avenir Next" w:cs="Arial"/>
          <w:color w:val="808080" w:themeColor="background1" w:themeShade="80"/>
          <w:sz w:val="22"/>
          <w:szCs w:val="22"/>
          <w:lang w:val="en-GB"/>
        </w:rPr>
        <w:t xml:space="preserve">any </w:t>
      </w:r>
      <w:r>
        <w:rPr>
          <w:rFonts w:ascii="Avenir Next" w:hAnsi="Avenir Next" w:cs="Arial"/>
          <w:color w:val="808080" w:themeColor="background1" w:themeShade="80"/>
          <w:sz w:val="22"/>
          <w:szCs w:val="22"/>
          <w:lang w:val="en-GB"/>
        </w:rPr>
        <w:t xml:space="preserve">other person) identified by the court. </w:t>
      </w:r>
      <w:r w:rsidRPr="00D7515C">
        <w:rPr>
          <w:rFonts w:ascii="Avenir Next" w:hAnsi="Avenir Next" w:cs="Arial"/>
          <w:color w:val="808080" w:themeColor="background1" w:themeShade="80"/>
          <w:sz w:val="22"/>
          <w:szCs w:val="22"/>
          <w:u w:val="single"/>
          <w:lang w:val="en-GB"/>
        </w:rPr>
        <w:t xml:space="preserve">When considering the use of this discretionary power, the court must be satisfied that the interests of the creditors of the enacting State are </w:t>
      </w:r>
      <w:r>
        <w:rPr>
          <w:rFonts w:ascii="Avenir Next" w:hAnsi="Avenir Next" w:cs="Arial"/>
          <w:color w:val="808080" w:themeColor="background1" w:themeShade="80"/>
          <w:sz w:val="22"/>
          <w:szCs w:val="22"/>
          <w:u w:val="single"/>
          <w:lang w:val="en-GB"/>
        </w:rPr>
        <w:t>sufficiently protected.</w:t>
      </w: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emphasis</w:t>
      </w:r>
      <w:proofErr w:type="gramEnd"/>
      <w:r>
        <w:rPr>
          <w:rFonts w:ascii="Avenir Next" w:hAnsi="Avenir Next" w:cs="Arial"/>
          <w:color w:val="808080" w:themeColor="background1" w:themeShade="80"/>
          <w:sz w:val="22"/>
          <w:szCs w:val="22"/>
          <w:lang w:val="en-GB"/>
        </w:rPr>
        <w:t xml:space="preserve"> added)</w:t>
      </w:r>
    </w:p>
    <w:p w14:paraId="377589C5" w14:textId="50DAC39C" w:rsidR="00D7515C" w:rsidRDefault="00D7515C" w:rsidP="00D7515C">
      <w:pPr>
        <w:jc w:val="both"/>
        <w:rPr>
          <w:rFonts w:ascii="Avenir Next" w:hAnsi="Avenir Next" w:cs="Arial"/>
          <w:color w:val="808080" w:themeColor="background1" w:themeShade="80"/>
          <w:sz w:val="22"/>
          <w:szCs w:val="22"/>
          <w:lang w:val="en-GB"/>
        </w:rPr>
      </w:pPr>
    </w:p>
    <w:p w14:paraId="738F1D0C" w14:textId="2E570FB0" w:rsidR="00D7515C" w:rsidRPr="002E1DD0" w:rsidRDefault="00D7515C" w:rsidP="00D7515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Article 21(3) of the Model Law, and when granting relief to a representative of a foreign non-main proceeding</w:t>
      </w:r>
      <w:r w:rsidR="002E1DD0">
        <w:rPr>
          <w:rFonts w:ascii="Avenir Next" w:hAnsi="Avenir Next" w:cs="Arial"/>
          <w:color w:val="808080" w:themeColor="background1" w:themeShade="80"/>
          <w:sz w:val="22"/>
          <w:szCs w:val="22"/>
          <w:lang w:val="en-GB"/>
        </w:rPr>
        <w:t xml:space="preserve">, </w:t>
      </w:r>
      <w:r w:rsidR="002E1DD0" w:rsidRPr="002E1DD0">
        <w:rPr>
          <w:rFonts w:ascii="Avenir Next" w:hAnsi="Avenir Next" w:cs="Arial"/>
          <w:color w:val="808080" w:themeColor="background1" w:themeShade="80"/>
          <w:sz w:val="22"/>
          <w:szCs w:val="22"/>
          <w:u w:val="single"/>
          <w:lang w:val="en-GB"/>
        </w:rPr>
        <w:t xml:space="preserve">the court must </w:t>
      </w:r>
      <w:r w:rsidR="00416BC8">
        <w:rPr>
          <w:rFonts w:ascii="Avenir Next" w:hAnsi="Avenir Next" w:cs="Arial"/>
          <w:color w:val="808080" w:themeColor="background1" w:themeShade="80"/>
          <w:sz w:val="22"/>
          <w:szCs w:val="22"/>
          <w:u w:val="single"/>
          <w:lang w:val="en-GB"/>
        </w:rPr>
        <w:t xml:space="preserve">be </w:t>
      </w:r>
      <w:r w:rsidR="002E1DD0" w:rsidRPr="002E1DD0">
        <w:rPr>
          <w:rFonts w:ascii="Avenir Next" w:hAnsi="Avenir Next" w:cs="Arial"/>
          <w:color w:val="808080" w:themeColor="background1" w:themeShade="80"/>
          <w:sz w:val="22"/>
          <w:szCs w:val="22"/>
          <w:u w:val="single"/>
          <w:lang w:val="en-GB"/>
        </w:rPr>
        <w:t>satisfied that the relief is in relation to assets that, under the law of the enacting State, should be managed in the foreign non-main proceeding. Alternatively, the relief should concern information required in the foreign non-main proceeding.</w:t>
      </w:r>
      <w:r w:rsidR="002E1DD0">
        <w:rPr>
          <w:rFonts w:ascii="Avenir Next" w:hAnsi="Avenir Next" w:cs="Arial"/>
          <w:color w:val="808080" w:themeColor="background1" w:themeShade="80"/>
          <w:sz w:val="22"/>
          <w:szCs w:val="22"/>
          <w:lang w:val="en-GB"/>
        </w:rPr>
        <w:t xml:space="preserve"> (</w:t>
      </w:r>
      <w:proofErr w:type="gramStart"/>
      <w:r w:rsidR="002E1DD0">
        <w:rPr>
          <w:rFonts w:ascii="Avenir Next" w:hAnsi="Avenir Next" w:cs="Arial"/>
          <w:color w:val="808080" w:themeColor="background1" w:themeShade="80"/>
          <w:sz w:val="22"/>
          <w:szCs w:val="22"/>
          <w:lang w:val="en-GB"/>
        </w:rPr>
        <w:t>emphasis</w:t>
      </w:r>
      <w:proofErr w:type="gramEnd"/>
      <w:r w:rsidR="002E1DD0">
        <w:rPr>
          <w:rFonts w:ascii="Avenir Next" w:hAnsi="Avenir Next" w:cs="Arial"/>
          <w:color w:val="808080" w:themeColor="background1" w:themeShade="80"/>
          <w:sz w:val="22"/>
          <w:szCs w:val="22"/>
          <w:lang w:val="en-GB"/>
        </w:rPr>
        <w:t xml:space="preserve"> added)</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 xml:space="preserve">Article 13 of the </w:t>
      </w:r>
      <w:proofErr w:type="spellStart"/>
      <w:r w:rsidRPr="009C6CE3">
        <w:rPr>
          <w:rFonts w:ascii="Avenir Next" w:hAnsi="Avenir Next" w:cs="Arial"/>
          <w:sz w:val="22"/>
          <w:szCs w:val="28"/>
          <w:lang w:val="en-GB"/>
        </w:rPr>
        <w:t>MLCBI</w:t>
      </w:r>
      <w:proofErr w:type="spellEnd"/>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0F6A6ACB" w:rsidR="00867A8F" w:rsidRDefault="002E1DD0" w:rsidP="0001374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13</w:t>
      </w:r>
      <w:r w:rsidR="00405C99">
        <w:rPr>
          <w:rFonts w:ascii="Avenir Next" w:hAnsi="Avenir Next" w:cs="Arial"/>
          <w:color w:val="808080" w:themeColor="background1" w:themeShade="80"/>
          <w:sz w:val="22"/>
          <w:szCs w:val="22"/>
          <w:lang w:val="en-GB"/>
        </w:rPr>
        <w:t>(1)</w:t>
      </w:r>
      <w:r>
        <w:rPr>
          <w:rFonts w:ascii="Avenir Next" w:hAnsi="Avenir Next" w:cs="Arial"/>
          <w:color w:val="808080" w:themeColor="background1" w:themeShade="80"/>
          <w:sz w:val="22"/>
          <w:szCs w:val="22"/>
          <w:lang w:val="en-GB"/>
        </w:rPr>
        <w:t xml:space="preserve"> of the Model Law, foreign creditors are giv</w:t>
      </w:r>
      <w:r w:rsidR="00013745">
        <w:rPr>
          <w:rFonts w:ascii="Avenir Next" w:hAnsi="Avenir Next" w:cs="Arial"/>
          <w:color w:val="808080" w:themeColor="background1" w:themeShade="80"/>
          <w:sz w:val="22"/>
          <w:szCs w:val="22"/>
          <w:lang w:val="en-GB"/>
        </w:rPr>
        <w:t xml:space="preserve">en the same rights as creditors within the enacting State in regards to the commencement of, and the participation in, a </w:t>
      </w:r>
      <w:r w:rsidR="00013745">
        <w:rPr>
          <w:rFonts w:ascii="Avenir Next" w:hAnsi="Avenir Next" w:cs="Arial"/>
          <w:color w:val="808080" w:themeColor="background1" w:themeShade="80"/>
          <w:sz w:val="22"/>
          <w:szCs w:val="22"/>
          <w:lang w:val="en-GB"/>
        </w:rPr>
        <w:lastRenderedPageBreak/>
        <w:t xml:space="preserve">proceeding under the enacting State. While the foregoing does not </w:t>
      </w:r>
      <w:r w:rsidR="00013745">
        <w:rPr>
          <w:rFonts w:ascii="Avenir Next" w:hAnsi="Avenir Next" w:cs="Arial"/>
          <w:i/>
          <w:color w:val="808080" w:themeColor="background1" w:themeShade="80"/>
          <w:sz w:val="22"/>
          <w:szCs w:val="22"/>
          <w:lang w:val="en-GB"/>
        </w:rPr>
        <w:t>prima facie</w:t>
      </w:r>
      <w:r w:rsidR="00013745">
        <w:rPr>
          <w:rFonts w:ascii="Avenir Next" w:hAnsi="Avenir Next" w:cs="Arial"/>
          <w:color w:val="808080" w:themeColor="background1" w:themeShade="80"/>
          <w:sz w:val="22"/>
          <w:szCs w:val="22"/>
          <w:lang w:val="en-GB"/>
        </w:rPr>
        <w:t xml:space="preserve"> affect the ranking of </w:t>
      </w:r>
      <w:r w:rsidR="00405C99">
        <w:rPr>
          <w:rFonts w:ascii="Avenir Next" w:hAnsi="Avenir Next" w:cs="Arial"/>
          <w:color w:val="808080" w:themeColor="background1" w:themeShade="80"/>
          <w:sz w:val="22"/>
          <w:szCs w:val="22"/>
          <w:lang w:val="en-GB"/>
        </w:rPr>
        <w:t xml:space="preserve">creditor </w:t>
      </w:r>
      <w:r w:rsidR="00013745">
        <w:rPr>
          <w:rFonts w:ascii="Avenir Next" w:hAnsi="Avenir Next" w:cs="Arial"/>
          <w:color w:val="808080" w:themeColor="background1" w:themeShade="80"/>
          <w:sz w:val="22"/>
          <w:szCs w:val="22"/>
          <w:lang w:val="en-GB"/>
        </w:rPr>
        <w:t>claims in an enacting State, Article 13(2) of the Model Law c</w:t>
      </w:r>
      <w:r w:rsidR="00405C99">
        <w:rPr>
          <w:rFonts w:ascii="Avenir Next" w:hAnsi="Avenir Next" w:cs="Arial"/>
          <w:color w:val="808080" w:themeColor="background1" w:themeShade="80"/>
          <w:sz w:val="22"/>
          <w:szCs w:val="22"/>
          <w:lang w:val="en-GB"/>
        </w:rPr>
        <w:t xml:space="preserve">arves out a particular protection in regard </w:t>
      </w:r>
      <w:r w:rsidR="00013745">
        <w:rPr>
          <w:rFonts w:ascii="Avenir Next" w:hAnsi="Avenir Next" w:cs="Arial"/>
          <w:color w:val="808080" w:themeColor="background1" w:themeShade="80"/>
          <w:sz w:val="22"/>
          <w:szCs w:val="22"/>
          <w:lang w:val="en-GB"/>
        </w:rPr>
        <w:t xml:space="preserve">to foreign creditors. Claims of foreign creditors may not be ranked lower than a general unsecured claim purely on the basis of the claim-holder being a foreign creditor. </w:t>
      </w:r>
    </w:p>
    <w:p w14:paraId="42F44B29" w14:textId="2BD77C6C" w:rsidR="00013745" w:rsidRDefault="00013745" w:rsidP="00013745">
      <w:pPr>
        <w:jc w:val="both"/>
        <w:rPr>
          <w:rFonts w:ascii="Avenir Next" w:hAnsi="Avenir Next" w:cs="Arial"/>
          <w:color w:val="808080" w:themeColor="background1" w:themeShade="80"/>
          <w:sz w:val="22"/>
          <w:szCs w:val="22"/>
          <w:lang w:val="en-GB"/>
        </w:rPr>
      </w:pPr>
    </w:p>
    <w:p w14:paraId="04CD12AE" w14:textId="7D99EC2F" w:rsidR="00013745" w:rsidRPr="00B77352" w:rsidRDefault="00405C99" w:rsidP="0001374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Due to the above, foreign creditors may be assured that </w:t>
      </w:r>
      <w:r w:rsidR="00E625B0">
        <w:rPr>
          <w:rFonts w:ascii="Avenir Next" w:hAnsi="Avenir Next" w:cs="Arial"/>
          <w:color w:val="808080" w:themeColor="background1" w:themeShade="80"/>
          <w:sz w:val="22"/>
          <w:szCs w:val="22"/>
          <w:lang w:val="en-GB"/>
        </w:rPr>
        <w:t xml:space="preserve">treatment of their claims will not be any worse than </w:t>
      </w:r>
      <w:r w:rsidR="00715AE5">
        <w:rPr>
          <w:rFonts w:ascii="Avenir Next" w:hAnsi="Avenir Next" w:cs="Arial"/>
          <w:color w:val="808080" w:themeColor="background1" w:themeShade="80"/>
          <w:sz w:val="22"/>
          <w:szCs w:val="22"/>
          <w:lang w:val="en-GB"/>
        </w:rPr>
        <w:t xml:space="preserve">those of </w:t>
      </w:r>
      <w:r w:rsidR="00E625B0">
        <w:rPr>
          <w:rFonts w:ascii="Avenir Next" w:hAnsi="Avenir Next" w:cs="Arial"/>
          <w:color w:val="808080" w:themeColor="background1" w:themeShade="80"/>
          <w:sz w:val="22"/>
          <w:szCs w:val="22"/>
          <w:lang w:val="en-GB"/>
        </w:rPr>
        <w:t>local credito</w:t>
      </w:r>
      <w:r w:rsidR="00715AE5">
        <w:rPr>
          <w:rFonts w:ascii="Avenir Next" w:hAnsi="Avenir Next" w:cs="Arial"/>
          <w:color w:val="808080" w:themeColor="background1" w:themeShade="80"/>
          <w:sz w:val="22"/>
          <w:szCs w:val="22"/>
          <w:lang w:val="en-GB"/>
        </w:rPr>
        <w:t xml:space="preserve">rs solely on the basis of the foreign creditor's </w:t>
      </w:r>
      <w:r w:rsidR="00E625B0">
        <w:rPr>
          <w:rFonts w:ascii="Avenir Next" w:hAnsi="Avenir Next" w:cs="Arial"/>
          <w:color w:val="808080" w:themeColor="background1" w:themeShade="80"/>
          <w:sz w:val="22"/>
          <w:szCs w:val="22"/>
          <w:lang w:val="en-GB"/>
        </w:rPr>
        <w:t xml:space="preserve">domicile.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7C1A86A" w14:textId="3F9E5220" w:rsidR="00715AE5" w:rsidRDefault="00715AE5" w:rsidP="00744FA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distinction with respect to available relief in foreign main versus foreign non-main proceedings is the amount of relief available to each proceeding. </w:t>
      </w:r>
    </w:p>
    <w:p w14:paraId="37C17888" w14:textId="0E304976" w:rsidR="00715AE5" w:rsidRDefault="00715AE5" w:rsidP="00744FAC">
      <w:pPr>
        <w:jc w:val="both"/>
        <w:rPr>
          <w:rFonts w:ascii="Avenir Next" w:hAnsi="Avenir Next" w:cs="Arial"/>
          <w:color w:val="808080" w:themeColor="background1" w:themeShade="80"/>
          <w:sz w:val="22"/>
          <w:szCs w:val="22"/>
          <w:lang w:val="en-GB"/>
        </w:rPr>
      </w:pPr>
    </w:p>
    <w:p w14:paraId="6D7EFB7F" w14:textId="5CC2F6DF" w:rsidR="00715AE5" w:rsidRDefault="00715AE5" w:rsidP="00744FA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Prior to recognition, whether </w:t>
      </w:r>
      <w:r w:rsidR="00814E5E">
        <w:rPr>
          <w:rFonts w:ascii="Avenir Next" w:hAnsi="Avenir Next" w:cs="Arial"/>
          <w:color w:val="808080" w:themeColor="background1" w:themeShade="80"/>
          <w:sz w:val="22"/>
          <w:szCs w:val="22"/>
          <w:lang w:val="en-GB"/>
        </w:rPr>
        <w:t xml:space="preserve">the proceedings are </w:t>
      </w:r>
      <w:r>
        <w:rPr>
          <w:rFonts w:ascii="Avenir Next" w:hAnsi="Avenir Next" w:cs="Arial"/>
          <w:color w:val="808080" w:themeColor="background1" w:themeShade="80"/>
          <w:sz w:val="22"/>
          <w:szCs w:val="22"/>
          <w:lang w:val="en-GB"/>
        </w:rPr>
        <w:t>foreign ma</w:t>
      </w:r>
      <w:r w:rsidR="00814E5E">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n or foreign non-main, interim relief under Article 19 of the Model Law may be pursued by a foreign repre</w:t>
      </w:r>
      <w:r w:rsidR="00814E5E">
        <w:rPr>
          <w:rFonts w:ascii="Avenir Next" w:hAnsi="Avenir Next" w:cs="Arial"/>
          <w:color w:val="808080" w:themeColor="background1" w:themeShade="80"/>
          <w:sz w:val="22"/>
          <w:szCs w:val="22"/>
          <w:lang w:val="en-GB"/>
        </w:rPr>
        <w:t>sentative.</w:t>
      </w:r>
    </w:p>
    <w:p w14:paraId="268CCCB7" w14:textId="77777777" w:rsidR="00715AE5" w:rsidRDefault="00715AE5" w:rsidP="00744FAC">
      <w:pPr>
        <w:jc w:val="both"/>
        <w:rPr>
          <w:rFonts w:ascii="Avenir Next" w:hAnsi="Avenir Next" w:cs="Arial"/>
          <w:color w:val="808080" w:themeColor="background1" w:themeShade="80"/>
          <w:sz w:val="22"/>
          <w:szCs w:val="22"/>
          <w:lang w:val="en-GB"/>
        </w:rPr>
      </w:pPr>
    </w:p>
    <w:p w14:paraId="18F91E21" w14:textId="668858C0" w:rsidR="00867A8F" w:rsidRDefault="00744FAC" w:rsidP="00744FA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w:t>
      </w:r>
      <w:r w:rsidR="00FD2025">
        <w:rPr>
          <w:rFonts w:ascii="Avenir Next" w:hAnsi="Avenir Next" w:cs="Arial"/>
          <w:color w:val="808080" w:themeColor="background1" w:themeShade="80"/>
          <w:sz w:val="22"/>
          <w:szCs w:val="22"/>
          <w:lang w:val="en-GB"/>
        </w:rPr>
        <w:t xml:space="preserve">relief </w:t>
      </w:r>
      <w:r>
        <w:rPr>
          <w:rFonts w:ascii="Avenir Next" w:hAnsi="Avenir Next" w:cs="Arial"/>
          <w:color w:val="808080" w:themeColor="background1" w:themeShade="80"/>
          <w:sz w:val="22"/>
          <w:szCs w:val="22"/>
          <w:lang w:val="en-GB"/>
        </w:rPr>
        <w:t xml:space="preserve">at the discretion of the court is available for both foreign main and foreign non-main proceedings following recognition (Article 21 of the Model Law), foreign main proceedings enjoy such discretionary relief </w:t>
      </w:r>
      <w:r>
        <w:rPr>
          <w:rFonts w:ascii="Avenir Next" w:hAnsi="Avenir Next" w:cs="Arial"/>
          <w:color w:val="808080" w:themeColor="background1" w:themeShade="80"/>
          <w:sz w:val="22"/>
          <w:szCs w:val="22"/>
          <w:u w:val="single"/>
          <w:lang w:val="en-GB"/>
        </w:rPr>
        <w:t>in addition</w:t>
      </w:r>
      <w:r>
        <w:rPr>
          <w:rFonts w:ascii="Avenir Next" w:hAnsi="Avenir Next" w:cs="Arial"/>
          <w:color w:val="808080" w:themeColor="background1" w:themeShade="80"/>
          <w:sz w:val="22"/>
          <w:szCs w:val="22"/>
          <w:lang w:val="en-GB"/>
        </w:rPr>
        <w:t xml:space="preserve"> to automatic relief that becomes available upon recognition (i.e. Article 20 of the Model Law). </w:t>
      </w:r>
    </w:p>
    <w:p w14:paraId="6F4B7A9E" w14:textId="72340846" w:rsidR="00744FAC" w:rsidRDefault="00744FAC" w:rsidP="00744FAC">
      <w:pPr>
        <w:jc w:val="both"/>
        <w:rPr>
          <w:rFonts w:ascii="Avenir Next" w:hAnsi="Avenir Next" w:cs="Arial"/>
          <w:color w:val="808080" w:themeColor="background1" w:themeShade="80"/>
          <w:sz w:val="22"/>
          <w:szCs w:val="22"/>
          <w:lang w:val="en-GB"/>
        </w:rPr>
      </w:pPr>
    </w:p>
    <w:p w14:paraId="512E6781" w14:textId="0DDAC26F" w:rsidR="00744FAC" w:rsidRDefault="00744FAC" w:rsidP="00744FA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Following the recognition of foreign main proceedings, the following automatic relief is available: </w:t>
      </w:r>
    </w:p>
    <w:p w14:paraId="1C61C2C4" w14:textId="76ABF32D" w:rsidR="00744FAC" w:rsidRDefault="00744FAC" w:rsidP="00744FAC">
      <w:pPr>
        <w:jc w:val="both"/>
        <w:rPr>
          <w:rFonts w:ascii="Avenir Next" w:hAnsi="Avenir Next" w:cs="Arial"/>
          <w:color w:val="808080" w:themeColor="background1" w:themeShade="80"/>
          <w:sz w:val="22"/>
          <w:szCs w:val="22"/>
          <w:lang w:val="en-GB"/>
        </w:rPr>
      </w:pPr>
    </w:p>
    <w:p w14:paraId="3D9CEF12" w14:textId="2F829B7B" w:rsidR="00744FAC" w:rsidRDefault="00744FAC" w:rsidP="00744FAC">
      <w:pPr>
        <w:ind w:left="720"/>
        <w:jc w:val="both"/>
        <w:rPr>
          <w:rFonts w:ascii="Avenir Next" w:hAnsi="Avenir Next" w:cs="Arial"/>
          <w:i/>
          <w:color w:val="808080" w:themeColor="background1" w:themeShade="80"/>
          <w:sz w:val="22"/>
          <w:szCs w:val="22"/>
          <w:lang w:val="en-GB"/>
        </w:rPr>
      </w:pPr>
      <w:r>
        <w:rPr>
          <w:rFonts w:ascii="Avenir Next" w:hAnsi="Avenir Next" w:cs="Arial"/>
          <w:color w:val="808080" w:themeColor="background1" w:themeShade="80"/>
          <w:sz w:val="22"/>
          <w:szCs w:val="22"/>
          <w:lang w:val="en-GB"/>
        </w:rPr>
        <w:t>"</w:t>
      </w:r>
      <w:r>
        <w:rPr>
          <w:rFonts w:ascii="Avenir Next" w:hAnsi="Avenir Next" w:cs="Arial"/>
          <w:i/>
          <w:color w:val="808080" w:themeColor="background1" w:themeShade="80"/>
          <w:sz w:val="22"/>
          <w:szCs w:val="22"/>
          <w:lang w:val="en-GB"/>
        </w:rPr>
        <w:t>(</w:t>
      </w:r>
      <w:proofErr w:type="gramStart"/>
      <w:r>
        <w:rPr>
          <w:rFonts w:ascii="Avenir Next" w:hAnsi="Avenir Next" w:cs="Arial"/>
          <w:i/>
          <w:color w:val="808080" w:themeColor="background1" w:themeShade="80"/>
          <w:sz w:val="22"/>
          <w:szCs w:val="22"/>
          <w:lang w:val="en-GB"/>
        </w:rPr>
        <w:t>a</w:t>
      </w:r>
      <w:proofErr w:type="gramEnd"/>
      <w:r>
        <w:rPr>
          <w:rFonts w:ascii="Avenir Next" w:hAnsi="Avenir Next" w:cs="Arial"/>
          <w:i/>
          <w:color w:val="808080" w:themeColor="background1" w:themeShade="80"/>
          <w:sz w:val="22"/>
          <w:szCs w:val="22"/>
          <w:lang w:val="en-GB"/>
        </w:rPr>
        <w:t>) commencement or continuation of individual actions or individual proceedings concerning the debtor's assets, rights, obligations or liabilities is stayed;</w:t>
      </w:r>
    </w:p>
    <w:p w14:paraId="40939307" w14:textId="6FB87D3C" w:rsidR="00744FAC" w:rsidRDefault="00744FAC" w:rsidP="00744FAC">
      <w:pPr>
        <w:ind w:left="720"/>
        <w:jc w:val="both"/>
        <w:rPr>
          <w:rFonts w:ascii="Avenir Next" w:hAnsi="Avenir Next" w:cs="Arial"/>
          <w:i/>
          <w:color w:val="808080" w:themeColor="background1" w:themeShade="80"/>
          <w:sz w:val="22"/>
          <w:szCs w:val="22"/>
          <w:lang w:val="en-GB"/>
        </w:rPr>
      </w:pPr>
    </w:p>
    <w:p w14:paraId="13A9473C" w14:textId="220F3F17" w:rsidR="00744FAC" w:rsidRDefault="00744FAC" w:rsidP="00744FAC">
      <w:pPr>
        <w:ind w:left="720"/>
        <w:jc w:val="both"/>
        <w:rPr>
          <w:rFonts w:ascii="Avenir Next" w:hAnsi="Avenir Next" w:cs="Arial"/>
          <w:i/>
          <w:color w:val="808080" w:themeColor="background1" w:themeShade="80"/>
          <w:sz w:val="22"/>
          <w:szCs w:val="22"/>
          <w:lang w:val="en-GB"/>
        </w:rPr>
      </w:pPr>
      <w:r>
        <w:rPr>
          <w:rFonts w:ascii="Avenir Next" w:hAnsi="Avenir Next" w:cs="Arial"/>
          <w:i/>
          <w:color w:val="808080" w:themeColor="background1" w:themeShade="80"/>
          <w:sz w:val="22"/>
          <w:szCs w:val="22"/>
          <w:lang w:val="en-GB"/>
        </w:rPr>
        <w:t xml:space="preserve">(b) </w:t>
      </w:r>
      <w:proofErr w:type="gramStart"/>
      <w:r>
        <w:rPr>
          <w:rFonts w:ascii="Avenir Next" w:hAnsi="Avenir Next" w:cs="Arial"/>
          <w:i/>
          <w:color w:val="808080" w:themeColor="background1" w:themeShade="80"/>
          <w:sz w:val="22"/>
          <w:szCs w:val="22"/>
          <w:lang w:val="en-GB"/>
        </w:rPr>
        <w:t>execution</w:t>
      </w:r>
      <w:proofErr w:type="gramEnd"/>
      <w:r>
        <w:rPr>
          <w:rFonts w:ascii="Avenir Next" w:hAnsi="Avenir Next" w:cs="Arial"/>
          <w:i/>
          <w:color w:val="808080" w:themeColor="background1" w:themeShade="80"/>
          <w:sz w:val="22"/>
          <w:szCs w:val="22"/>
          <w:lang w:val="en-GB"/>
        </w:rPr>
        <w:t xml:space="preserve"> against the debtor's assets is stayed; and</w:t>
      </w:r>
    </w:p>
    <w:p w14:paraId="6BEF41F2" w14:textId="6ABBE7D5" w:rsidR="00744FAC" w:rsidRDefault="00744FAC" w:rsidP="00744FAC">
      <w:pPr>
        <w:ind w:left="720"/>
        <w:jc w:val="both"/>
        <w:rPr>
          <w:rFonts w:ascii="Avenir Next" w:hAnsi="Avenir Next" w:cs="Arial"/>
          <w:i/>
          <w:color w:val="808080" w:themeColor="background1" w:themeShade="80"/>
          <w:sz w:val="22"/>
          <w:szCs w:val="22"/>
          <w:lang w:val="en-GB"/>
        </w:rPr>
      </w:pPr>
    </w:p>
    <w:p w14:paraId="45B9C712" w14:textId="465B706E" w:rsidR="00744FAC" w:rsidRDefault="00744FAC" w:rsidP="00744FAC">
      <w:pPr>
        <w:ind w:left="720"/>
        <w:jc w:val="both"/>
        <w:rPr>
          <w:rFonts w:ascii="Avenir Next" w:hAnsi="Avenir Next" w:cs="Arial"/>
          <w:color w:val="808080" w:themeColor="background1" w:themeShade="80"/>
          <w:sz w:val="22"/>
          <w:szCs w:val="22"/>
          <w:lang w:val="en-GB"/>
        </w:rPr>
      </w:pPr>
      <w:r>
        <w:rPr>
          <w:rFonts w:ascii="Avenir Next" w:hAnsi="Avenir Next" w:cs="Arial"/>
          <w:i/>
          <w:color w:val="808080" w:themeColor="background1" w:themeShade="80"/>
          <w:sz w:val="22"/>
          <w:szCs w:val="22"/>
          <w:lang w:val="en-GB"/>
        </w:rPr>
        <w:t xml:space="preserve">(c) </w:t>
      </w:r>
      <w:proofErr w:type="gramStart"/>
      <w:r>
        <w:rPr>
          <w:rFonts w:ascii="Avenir Next" w:hAnsi="Avenir Next" w:cs="Arial"/>
          <w:i/>
          <w:color w:val="808080" w:themeColor="background1" w:themeShade="80"/>
          <w:sz w:val="22"/>
          <w:szCs w:val="22"/>
          <w:lang w:val="en-GB"/>
        </w:rPr>
        <w:t>the</w:t>
      </w:r>
      <w:proofErr w:type="gramEnd"/>
      <w:r>
        <w:rPr>
          <w:rFonts w:ascii="Avenir Next" w:hAnsi="Avenir Next" w:cs="Arial"/>
          <w:i/>
          <w:color w:val="808080" w:themeColor="background1" w:themeShade="80"/>
          <w:sz w:val="22"/>
          <w:szCs w:val="22"/>
          <w:lang w:val="en-GB"/>
        </w:rPr>
        <w:t xml:space="preserve"> right to transfer, encumber or otherwise dispose of any assets of the debtor is suspended.</w:t>
      </w:r>
      <w:r>
        <w:rPr>
          <w:rFonts w:ascii="Avenir Next" w:hAnsi="Avenir Next" w:cs="Arial"/>
          <w:color w:val="808080" w:themeColor="background1" w:themeShade="80"/>
          <w:sz w:val="22"/>
          <w:szCs w:val="22"/>
          <w:lang w:val="en-GB"/>
        </w:rPr>
        <w:t xml:space="preserve">" </w:t>
      </w:r>
    </w:p>
    <w:p w14:paraId="1661F628" w14:textId="20BC7A69" w:rsidR="001E5522" w:rsidRDefault="001E5522" w:rsidP="001E5522">
      <w:pPr>
        <w:jc w:val="both"/>
        <w:rPr>
          <w:rFonts w:ascii="Avenir Next" w:hAnsi="Avenir Next" w:cs="Arial"/>
          <w:color w:val="808080" w:themeColor="background1" w:themeShade="80"/>
          <w:sz w:val="22"/>
          <w:szCs w:val="22"/>
          <w:lang w:val="en-GB"/>
        </w:rPr>
      </w:pPr>
    </w:p>
    <w:p w14:paraId="4127391E" w14:textId="381167D1" w:rsidR="00100E8F" w:rsidRPr="00B77352" w:rsidRDefault="003A1CA9" w:rsidP="003A1CA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above stays and suspensions are considered mandatory or automatic due to the recognition of the foreign main proceedings. In contrast, foreign non-main proceedings do not enjoy any mandatory or automatic relief; any relief accorded to foreign non-main proceedings is only at the discretion of the court under Article 21. Further, and when considering the granting of discretionary relief under Article 21, a court must consider additional factors in regards to foreign non-main proceedings (</w:t>
      </w:r>
      <w:r w:rsidR="00450D93">
        <w:rPr>
          <w:rFonts w:ascii="Avenir Next" w:hAnsi="Avenir Next" w:cs="Arial"/>
          <w:color w:val="808080" w:themeColor="background1" w:themeShade="80"/>
          <w:sz w:val="22"/>
          <w:szCs w:val="22"/>
          <w:lang w:val="en-GB"/>
        </w:rPr>
        <w:t xml:space="preserve">see </w:t>
      </w:r>
      <w:r>
        <w:rPr>
          <w:rFonts w:ascii="Avenir Next" w:hAnsi="Avenir Next" w:cs="Arial"/>
          <w:color w:val="808080" w:themeColor="background1" w:themeShade="80"/>
          <w:sz w:val="22"/>
          <w:szCs w:val="22"/>
          <w:lang w:val="en-GB"/>
        </w:rPr>
        <w:t xml:space="preserve">Article 21(3)).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1"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1"/>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w:t>
      </w:r>
      <w:proofErr w:type="spellStart"/>
      <w:r w:rsidRPr="001A40F2">
        <w:rPr>
          <w:rFonts w:ascii="Avenir Next" w:hAnsi="Avenir Next" w:cs="Arial"/>
          <w:sz w:val="22"/>
          <w:szCs w:val="28"/>
          <w:lang w:val="en-GB"/>
        </w:rPr>
        <w:t>COMI</w:t>
      </w:r>
      <w:proofErr w:type="spellEnd"/>
      <w:r w:rsidRPr="001A40F2">
        <w:rPr>
          <w:rFonts w:ascii="Avenir Next" w:hAnsi="Avenir Next" w:cs="Arial"/>
          <w:sz w:val="22"/>
          <w:szCs w:val="28"/>
          <w:lang w:val="en-GB"/>
        </w:rPr>
        <w:t xml:space="preserve">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7A5F51D2" w:rsidR="00867A8F" w:rsidRDefault="00814E5E" w:rsidP="00814E5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Under the Model Law, a foreign main proceeding is defined in reference to a debtor's centre of main interests ("</w:t>
      </w:r>
      <w:proofErr w:type="spellStart"/>
      <w:r>
        <w:rPr>
          <w:rFonts w:ascii="Avenir Next" w:hAnsi="Avenir Next" w:cs="Arial"/>
          <w:b/>
          <w:color w:val="808080" w:themeColor="background1" w:themeShade="80"/>
          <w:sz w:val="22"/>
          <w:szCs w:val="22"/>
          <w:lang w:val="en-GB"/>
        </w:rPr>
        <w:t>COMI</w:t>
      </w:r>
      <w:proofErr w:type="spellEnd"/>
      <w:r>
        <w:rPr>
          <w:rFonts w:ascii="Avenir Next" w:hAnsi="Avenir Next" w:cs="Arial"/>
          <w:color w:val="808080" w:themeColor="background1" w:themeShade="80"/>
          <w:sz w:val="22"/>
          <w:szCs w:val="22"/>
          <w:lang w:val="en-GB"/>
        </w:rPr>
        <w:t>"). Although '</w:t>
      </w:r>
      <w:proofErr w:type="spellStart"/>
      <w:r>
        <w:rPr>
          <w:rFonts w:ascii="Avenir Next" w:hAnsi="Avenir Next" w:cs="Arial"/>
          <w:color w:val="808080" w:themeColor="background1" w:themeShade="80"/>
          <w:sz w:val="22"/>
          <w:szCs w:val="22"/>
          <w:lang w:val="en-GB"/>
        </w:rPr>
        <w:t>COMI</w:t>
      </w:r>
      <w:proofErr w:type="spellEnd"/>
      <w:r>
        <w:rPr>
          <w:rFonts w:ascii="Avenir Next" w:hAnsi="Avenir Next" w:cs="Arial"/>
          <w:color w:val="808080" w:themeColor="background1" w:themeShade="80"/>
          <w:sz w:val="22"/>
          <w:szCs w:val="22"/>
          <w:lang w:val="en-GB"/>
        </w:rPr>
        <w:t xml:space="preserve">' is not defined under the Model Law, foreign main proceedings are proceedings opened in the jurisdiction of the debtor's </w:t>
      </w:r>
      <w:proofErr w:type="spellStart"/>
      <w:r>
        <w:rPr>
          <w:rFonts w:ascii="Avenir Next" w:hAnsi="Avenir Next" w:cs="Arial"/>
          <w:color w:val="808080" w:themeColor="background1" w:themeShade="80"/>
          <w:sz w:val="22"/>
          <w:szCs w:val="22"/>
          <w:lang w:val="en-GB"/>
        </w:rPr>
        <w:t>COMI</w:t>
      </w:r>
      <w:proofErr w:type="spellEnd"/>
      <w:r>
        <w:rPr>
          <w:rFonts w:ascii="Avenir Next" w:hAnsi="Avenir Next" w:cs="Arial"/>
          <w:color w:val="808080" w:themeColor="background1" w:themeShade="80"/>
          <w:sz w:val="22"/>
          <w:szCs w:val="22"/>
          <w:lang w:val="en-GB"/>
        </w:rPr>
        <w:t xml:space="preserve">. </w:t>
      </w:r>
    </w:p>
    <w:p w14:paraId="35D2E21F" w14:textId="7735881F" w:rsidR="00814E5E" w:rsidRDefault="00814E5E" w:rsidP="00814E5E">
      <w:pPr>
        <w:jc w:val="both"/>
        <w:rPr>
          <w:rFonts w:ascii="Avenir Next" w:hAnsi="Avenir Next" w:cs="Arial"/>
          <w:color w:val="808080" w:themeColor="background1" w:themeShade="80"/>
          <w:sz w:val="22"/>
          <w:szCs w:val="22"/>
          <w:lang w:val="en-GB"/>
        </w:rPr>
      </w:pPr>
    </w:p>
    <w:p w14:paraId="5BB406B8" w14:textId="2F0064C0" w:rsidR="00814E5E" w:rsidRDefault="00665DBD" w:rsidP="00814E5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non-main proceedings mean "</w:t>
      </w:r>
      <w:r>
        <w:rPr>
          <w:rFonts w:ascii="Avenir Next" w:hAnsi="Avenir Next" w:cs="Arial"/>
          <w:i/>
          <w:color w:val="808080" w:themeColor="background1" w:themeShade="80"/>
          <w:sz w:val="22"/>
          <w:szCs w:val="22"/>
          <w:lang w:val="en-GB"/>
        </w:rPr>
        <w:t xml:space="preserve">a foreign proceeding, other than a foreign main proceeding, taking place in a State where the debtor has an </w:t>
      </w:r>
      <w:r w:rsidRPr="00665DBD">
        <w:rPr>
          <w:rFonts w:ascii="Avenir Next" w:hAnsi="Avenir Next" w:cs="Arial"/>
          <w:i/>
          <w:color w:val="808080" w:themeColor="background1" w:themeShade="80"/>
          <w:sz w:val="22"/>
          <w:szCs w:val="22"/>
          <w:lang w:val="en-GB"/>
        </w:rPr>
        <w:t>establishment</w:t>
      </w:r>
      <w:r>
        <w:rPr>
          <w:rFonts w:ascii="Avenir Next" w:hAnsi="Avenir Next" w:cs="Arial"/>
          <w:i/>
          <w:color w:val="808080" w:themeColor="background1" w:themeShade="80"/>
          <w:sz w:val="22"/>
          <w:szCs w:val="22"/>
          <w:lang w:val="en-GB"/>
        </w:rPr>
        <w:t>…</w:t>
      </w:r>
      <w:proofErr w:type="gramStart"/>
      <w:r>
        <w:rPr>
          <w:rFonts w:ascii="Avenir Next" w:hAnsi="Avenir Next" w:cs="Arial"/>
          <w:color w:val="808080" w:themeColor="background1" w:themeShade="80"/>
          <w:sz w:val="22"/>
          <w:szCs w:val="22"/>
          <w:lang w:val="en-GB"/>
        </w:rPr>
        <w:t>".</w:t>
      </w:r>
      <w:proofErr w:type="gramEnd"/>
      <w:r>
        <w:rPr>
          <w:rFonts w:ascii="Avenir Next" w:hAnsi="Avenir Next" w:cs="Arial"/>
          <w:color w:val="808080" w:themeColor="background1" w:themeShade="80"/>
          <w:sz w:val="22"/>
          <w:szCs w:val="22"/>
          <w:lang w:val="en-GB"/>
        </w:rPr>
        <w:t xml:space="preserve"> </w:t>
      </w:r>
      <w:r w:rsidRPr="00074DC5">
        <w:rPr>
          <w:rFonts w:ascii="Avenir Next" w:hAnsi="Avenir Next" w:cs="Arial"/>
          <w:color w:val="808080" w:themeColor="background1" w:themeShade="80"/>
          <w:sz w:val="22"/>
          <w:szCs w:val="22"/>
          <w:lang w:val="en-GB"/>
        </w:rPr>
        <w:t>An</w:t>
      </w:r>
      <w:r>
        <w:rPr>
          <w:rFonts w:ascii="Avenir Next" w:hAnsi="Avenir Next" w:cs="Arial"/>
          <w:color w:val="808080" w:themeColor="background1" w:themeShade="80"/>
          <w:sz w:val="22"/>
          <w:szCs w:val="22"/>
          <w:lang w:val="en-GB"/>
        </w:rPr>
        <w:t xml:space="preserve"> 'establishment' is defined as "</w:t>
      </w:r>
      <w:r w:rsidRPr="00665DBD">
        <w:rPr>
          <w:rFonts w:ascii="Avenir Next" w:hAnsi="Avenir Next" w:cs="Arial"/>
          <w:i/>
          <w:color w:val="808080" w:themeColor="background1" w:themeShade="80"/>
          <w:sz w:val="22"/>
          <w:szCs w:val="22"/>
          <w:lang w:val="en-GB"/>
        </w:rPr>
        <w:t>any place of operations where the debtor carries out a non-transitory economic activity with human means and goods or services.</w:t>
      </w:r>
      <w:r w:rsidRPr="00665DBD">
        <w:rPr>
          <w:rFonts w:ascii="Avenir Next" w:hAnsi="Avenir Next" w:cs="Arial"/>
          <w:color w:val="808080" w:themeColor="background1" w:themeShade="80"/>
          <w:sz w:val="22"/>
          <w:szCs w:val="22"/>
          <w:lang w:val="en-GB"/>
        </w:rPr>
        <w:t>"</w:t>
      </w:r>
    </w:p>
    <w:p w14:paraId="3D25F1DE" w14:textId="0507BED7" w:rsidR="00665DBD" w:rsidRDefault="00665DBD" w:rsidP="00814E5E">
      <w:pPr>
        <w:jc w:val="both"/>
        <w:rPr>
          <w:rFonts w:ascii="Avenir Next" w:hAnsi="Avenir Next" w:cs="Arial"/>
          <w:color w:val="808080" w:themeColor="background1" w:themeShade="80"/>
          <w:sz w:val="22"/>
          <w:szCs w:val="22"/>
          <w:lang w:val="en-GB"/>
        </w:rPr>
      </w:pPr>
    </w:p>
    <w:p w14:paraId="1530E885" w14:textId="543871F4" w:rsidR="00665DBD" w:rsidRDefault="00665DBD" w:rsidP="00814E5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view of the particular</w:t>
      </w:r>
      <w:r w:rsidR="00320946">
        <w:rPr>
          <w:rFonts w:ascii="Avenir Next" w:hAnsi="Avenir Next" w:cs="Arial"/>
          <w:color w:val="808080" w:themeColor="background1" w:themeShade="80"/>
          <w:sz w:val="22"/>
          <w:szCs w:val="22"/>
          <w:lang w:val="en-GB"/>
        </w:rPr>
        <w:t xml:space="preserve"> facts above, foreign main proceedings have been filed in Germany. Further, foreign non-main proceedings have been filed in Bermuda. </w:t>
      </w:r>
    </w:p>
    <w:p w14:paraId="147872FD" w14:textId="3ACB0804" w:rsidR="00320946" w:rsidRDefault="00320946" w:rsidP="00814E5E">
      <w:pPr>
        <w:jc w:val="both"/>
        <w:rPr>
          <w:rFonts w:ascii="Avenir Next" w:hAnsi="Avenir Next" w:cs="Arial"/>
          <w:color w:val="808080" w:themeColor="background1" w:themeShade="80"/>
          <w:sz w:val="22"/>
          <w:szCs w:val="22"/>
          <w:lang w:val="en-GB"/>
        </w:rPr>
      </w:pPr>
    </w:p>
    <w:p w14:paraId="19FF578C" w14:textId="18942A53" w:rsidR="00320946" w:rsidRDefault="00320946" w:rsidP="00814E5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 German foreign main proceedings or the Bermuda foreign non-main proceedings will be recognised in the U.S. depends on whether the relevant foreign representatives make an application for recognition in adherence to Article 15 of the Model Law. Under Article 15, a foreign representative may apply for recognition of foreign proceedings in which they have been appointed, where such application includes the following: </w:t>
      </w:r>
    </w:p>
    <w:p w14:paraId="07287C8F" w14:textId="59D1845C" w:rsidR="00320946" w:rsidRDefault="00320946" w:rsidP="00814E5E">
      <w:pPr>
        <w:jc w:val="both"/>
        <w:rPr>
          <w:rFonts w:ascii="Avenir Next" w:hAnsi="Avenir Next" w:cs="Arial"/>
          <w:color w:val="808080" w:themeColor="background1" w:themeShade="80"/>
          <w:sz w:val="22"/>
          <w:szCs w:val="22"/>
          <w:lang w:val="en-GB"/>
        </w:rPr>
      </w:pPr>
    </w:p>
    <w:p w14:paraId="55CFAA71" w14:textId="012EE743" w:rsidR="00320946" w:rsidRDefault="00320946" w:rsidP="00320946">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certified copy of the decision commencing the foreign proceedings and appointing the foreign representative; or</w:t>
      </w:r>
    </w:p>
    <w:p w14:paraId="7F6A975B" w14:textId="77777777" w:rsidR="00320946" w:rsidRDefault="00320946" w:rsidP="00320946">
      <w:pPr>
        <w:pStyle w:val="ListParagraph"/>
        <w:jc w:val="both"/>
        <w:rPr>
          <w:rFonts w:ascii="Avenir Next" w:hAnsi="Avenir Next" w:cs="Arial"/>
          <w:color w:val="808080" w:themeColor="background1" w:themeShade="80"/>
          <w:sz w:val="22"/>
          <w:szCs w:val="22"/>
          <w:lang w:val="en-GB"/>
        </w:rPr>
      </w:pPr>
    </w:p>
    <w:p w14:paraId="60C2CA5A" w14:textId="74078E45" w:rsidR="00320946" w:rsidRDefault="00320946" w:rsidP="00320946">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certificate from the foreign court affirming the existence of the foreign proceeding and of the appointment of the foreign representative; or </w:t>
      </w:r>
    </w:p>
    <w:p w14:paraId="60E9EA0C" w14:textId="77777777" w:rsidR="00320946" w:rsidRDefault="00320946" w:rsidP="00320946">
      <w:pPr>
        <w:pStyle w:val="ListParagraph"/>
        <w:jc w:val="both"/>
        <w:rPr>
          <w:rFonts w:ascii="Avenir Next" w:hAnsi="Avenir Next" w:cs="Arial"/>
          <w:color w:val="808080" w:themeColor="background1" w:themeShade="80"/>
          <w:sz w:val="22"/>
          <w:szCs w:val="22"/>
          <w:lang w:val="en-GB"/>
        </w:rPr>
      </w:pPr>
    </w:p>
    <w:p w14:paraId="1AF66C77" w14:textId="5BCB111B" w:rsidR="00320946" w:rsidRDefault="00320946" w:rsidP="00320946">
      <w:pPr>
        <w:pStyle w:val="ListParagraph"/>
        <w:numPr>
          <w:ilvl w:val="0"/>
          <w:numId w:val="23"/>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w:t>
      </w:r>
      <w:proofErr w:type="gramEnd"/>
      <w:r>
        <w:rPr>
          <w:rFonts w:ascii="Avenir Next" w:hAnsi="Avenir Next" w:cs="Arial"/>
          <w:color w:val="808080" w:themeColor="background1" w:themeShade="80"/>
          <w:sz w:val="22"/>
          <w:szCs w:val="22"/>
          <w:lang w:val="en-GB"/>
        </w:rPr>
        <w:t xml:space="preserve"> absence of evidence referred to a (1.) and (2.) above, any other evidence acceptable to the court of the existence of the foreign proceeding and of the appointment of the foreign representative. </w:t>
      </w:r>
    </w:p>
    <w:p w14:paraId="185C3305" w14:textId="76D5869B" w:rsidR="00320946" w:rsidRDefault="00320946" w:rsidP="00320946">
      <w:pPr>
        <w:jc w:val="both"/>
        <w:rPr>
          <w:rFonts w:ascii="Avenir Next" w:hAnsi="Avenir Next" w:cs="Arial"/>
          <w:color w:val="808080" w:themeColor="background1" w:themeShade="80"/>
          <w:sz w:val="22"/>
          <w:szCs w:val="22"/>
          <w:lang w:val="en-GB"/>
        </w:rPr>
      </w:pPr>
    </w:p>
    <w:p w14:paraId="48E54CCC" w14:textId="77777777" w:rsidR="00416BC8" w:rsidRDefault="00320946" w:rsidP="003209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circumstances where the foreign proceeding </w:t>
      </w:r>
      <w:r w:rsidR="00416BC8">
        <w:rPr>
          <w:rFonts w:ascii="Avenir Next" w:hAnsi="Avenir Next" w:cs="Arial"/>
          <w:color w:val="808080" w:themeColor="background1" w:themeShade="80"/>
          <w:sz w:val="22"/>
          <w:szCs w:val="22"/>
          <w:lang w:val="en-GB"/>
        </w:rPr>
        <w:t xml:space="preserve">is: </w:t>
      </w:r>
    </w:p>
    <w:p w14:paraId="4A3CB8EA" w14:textId="77777777" w:rsidR="00416BC8" w:rsidRDefault="00320946" w:rsidP="00416BC8">
      <w:pPr>
        <w:pStyle w:val="ListParagraph"/>
        <w:numPr>
          <w:ilvl w:val="0"/>
          <w:numId w:val="27"/>
        </w:numPr>
        <w:jc w:val="both"/>
        <w:rPr>
          <w:rFonts w:ascii="Avenir Next" w:hAnsi="Avenir Next" w:cs="Arial"/>
          <w:color w:val="808080" w:themeColor="background1" w:themeShade="80"/>
          <w:sz w:val="22"/>
          <w:szCs w:val="22"/>
          <w:lang w:val="en-GB"/>
        </w:rPr>
      </w:pPr>
      <w:r w:rsidRPr="00416BC8">
        <w:rPr>
          <w:rFonts w:ascii="Avenir Next" w:hAnsi="Avenir Next" w:cs="Arial"/>
          <w:color w:val="808080" w:themeColor="background1" w:themeShade="80"/>
          <w:sz w:val="22"/>
          <w:szCs w:val="22"/>
          <w:lang w:val="en-GB"/>
        </w:rPr>
        <w:t xml:space="preserve">within the meaning of subparagraph (a) </w:t>
      </w:r>
      <w:r w:rsidR="00416BC8">
        <w:rPr>
          <w:rFonts w:ascii="Avenir Next" w:hAnsi="Avenir Next" w:cs="Arial"/>
          <w:color w:val="808080" w:themeColor="background1" w:themeShade="80"/>
          <w:sz w:val="22"/>
          <w:szCs w:val="22"/>
          <w:lang w:val="en-GB"/>
        </w:rPr>
        <w:t>of Article 2 (Article 17(1)(a));</w:t>
      </w:r>
      <w:r w:rsidRPr="00416BC8">
        <w:rPr>
          <w:rFonts w:ascii="Avenir Next" w:hAnsi="Avenir Next" w:cs="Arial"/>
          <w:color w:val="808080" w:themeColor="background1" w:themeShade="80"/>
          <w:sz w:val="22"/>
          <w:szCs w:val="22"/>
          <w:lang w:val="en-GB"/>
        </w:rPr>
        <w:t xml:space="preserve"> </w:t>
      </w:r>
    </w:p>
    <w:p w14:paraId="5FF55E6D" w14:textId="77777777" w:rsidR="00416BC8" w:rsidRDefault="00320946" w:rsidP="00416BC8">
      <w:pPr>
        <w:pStyle w:val="ListParagraph"/>
        <w:numPr>
          <w:ilvl w:val="0"/>
          <w:numId w:val="27"/>
        </w:numPr>
        <w:jc w:val="both"/>
        <w:rPr>
          <w:rFonts w:ascii="Avenir Next" w:hAnsi="Avenir Next" w:cs="Arial"/>
          <w:color w:val="808080" w:themeColor="background1" w:themeShade="80"/>
          <w:sz w:val="22"/>
          <w:szCs w:val="22"/>
          <w:lang w:val="en-GB"/>
        </w:rPr>
      </w:pPr>
      <w:r w:rsidRPr="00416BC8">
        <w:rPr>
          <w:rFonts w:ascii="Avenir Next" w:hAnsi="Avenir Next" w:cs="Arial"/>
          <w:color w:val="808080" w:themeColor="background1" w:themeShade="80"/>
          <w:sz w:val="22"/>
          <w:szCs w:val="22"/>
          <w:lang w:val="en-GB"/>
        </w:rPr>
        <w:t>the foreign representative applying for recognition is a person or body within the meaning of subparagraph (d) of Article 2 (Article 17</w:t>
      </w:r>
      <w:r w:rsidR="00416BC8">
        <w:rPr>
          <w:rFonts w:ascii="Avenir Next" w:hAnsi="Avenir Next" w:cs="Arial"/>
          <w:color w:val="808080" w:themeColor="background1" w:themeShade="80"/>
          <w:sz w:val="22"/>
          <w:szCs w:val="22"/>
          <w:lang w:val="en-GB"/>
        </w:rPr>
        <w:t>(1)(b));</w:t>
      </w:r>
      <w:r w:rsidRPr="00416BC8">
        <w:rPr>
          <w:rFonts w:ascii="Avenir Next" w:hAnsi="Avenir Next" w:cs="Arial"/>
          <w:color w:val="808080" w:themeColor="background1" w:themeShade="80"/>
          <w:sz w:val="22"/>
          <w:szCs w:val="22"/>
          <w:lang w:val="en-GB"/>
        </w:rPr>
        <w:t xml:space="preserve"> </w:t>
      </w:r>
    </w:p>
    <w:p w14:paraId="58A287AD" w14:textId="77777777" w:rsidR="00416BC8" w:rsidRDefault="00320946" w:rsidP="00416BC8">
      <w:pPr>
        <w:pStyle w:val="ListParagraph"/>
        <w:numPr>
          <w:ilvl w:val="0"/>
          <w:numId w:val="27"/>
        </w:numPr>
        <w:jc w:val="both"/>
        <w:rPr>
          <w:rFonts w:ascii="Avenir Next" w:hAnsi="Avenir Next" w:cs="Arial"/>
          <w:color w:val="808080" w:themeColor="background1" w:themeShade="80"/>
          <w:sz w:val="22"/>
          <w:szCs w:val="22"/>
          <w:lang w:val="en-GB"/>
        </w:rPr>
      </w:pPr>
      <w:r w:rsidRPr="00416BC8">
        <w:rPr>
          <w:rFonts w:ascii="Avenir Next" w:hAnsi="Avenir Next" w:cs="Arial"/>
          <w:color w:val="808080" w:themeColor="background1" w:themeShade="80"/>
          <w:sz w:val="22"/>
          <w:szCs w:val="22"/>
          <w:lang w:val="en-GB"/>
        </w:rPr>
        <w:t>the application for recognition meets the requirements of paragraph 2 of Article 15 (</w:t>
      </w:r>
      <w:r w:rsidR="009C7144" w:rsidRPr="00416BC8">
        <w:rPr>
          <w:rFonts w:ascii="Avenir Next" w:hAnsi="Avenir Next" w:cs="Arial"/>
          <w:color w:val="808080" w:themeColor="background1" w:themeShade="80"/>
          <w:sz w:val="22"/>
          <w:szCs w:val="22"/>
          <w:lang w:val="en-GB"/>
        </w:rPr>
        <w:t xml:space="preserve">as listed above and pursuant to </w:t>
      </w:r>
      <w:r w:rsidRPr="00416BC8">
        <w:rPr>
          <w:rFonts w:ascii="Avenir Next" w:hAnsi="Avenir Next" w:cs="Arial"/>
          <w:color w:val="808080" w:themeColor="background1" w:themeShade="80"/>
          <w:sz w:val="22"/>
          <w:szCs w:val="22"/>
          <w:lang w:val="en-GB"/>
        </w:rPr>
        <w:t>Article 17(1)(c)</w:t>
      </w:r>
      <w:r w:rsidR="009C7144" w:rsidRPr="00416BC8">
        <w:rPr>
          <w:rFonts w:ascii="Avenir Next" w:hAnsi="Avenir Next" w:cs="Arial"/>
          <w:color w:val="808080" w:themeColor="background1" w:themeShade="80"/>
          <w:sz w:val="22"/>
          <w:szCs w:val="22"/>
          <w:lang w:val="en-GB"/>
        </w:rPr>
        <w:t>)</w:t>
      </w:r>
      <w:r w:rsidR="00416BC8">
        <w:rPr>
          <w:rFonts w:ascii="Avenir Next" w:hAnsi="Avenir Next" w:cs="Arial"/>
          <w:color w:val="808080" w:themeColor="background1" w:themeShade="80"/>
          <w:sz w:val="22"/>
          <w:szCs w:val="22"/>
          <w:lang w:val="en-GB"/>
        </w:rPr>
        <w:t>;</w:t>
      </w:r>
      <w:r w:rsidRPr="00416BC8">
        <w:rPr>
          <w:rFonts w:ascii="Avenir Next" w:hAnsi="Avenir Next" w:cs="Arial"/>
          <w:color w:val="808080" w:themeColor="background1" w:themeShade="80"/>
          <w:sz w:val="22"/>
          <w:szCs w:val="22"/>
          <w:lang w:val="en-GB"/>
        </w:rPr>
        <w:t xml:space="preserve"> and </w:t>
      </w:r>
    </w:p>
    <w:p w14:paraId="7848AEE0" w14:textId="77777777" w:rsidR="00416BC8" w:rsidRDefault="00320946" w:rsidP="00416BC8">
      <w:pPr>
        <w:pStyle w:val="ListParagraph"/>
        <w:numPr>
          <w:ilvl w:val="0"/>
          <w:numId w:val="27"/>
        </w:numPr>
        <w:jc w:val="both"/>
        <w:rPr>
          <w:rFonts w:ascii="Avenir Next" w:hAnsi="Avenir Next" w:cs="Arial"/>
          <w:color w:val="808080" w:themeColor="background1" w:themeShade="80"/>
          <w:sz w:val="22"/>
          <w:szCs w:val="22"/>
          <w:lang w:val="en-GB"/>
        </w:rPr>
      </w:pPr>
      <w:r w:rsidRPr="00416BC8">
        <w:rPr>
          <w:rFonts w:ascii="Avenir Next" w:hAnsi="Avenir Next" w:cs="Arial"/>
          <w:color w:val="808080" w:themeColor="background1" w:themeShade="80"/>
          <w:sz w:val="22"/>
          <w:szCs w:val="22"/>
          <w:lang w:val="en-GB"/>
        </w:rPr>
        <w:t xml:space="preserve">the recognition application has been submitted to the relevant court referred to in Article 2 (Article 17(1)(d)), </w:t>
      </w:r>
    </w:p>
    <w:p w14:paraId="7899E92F" w14:textId="7EDCD0F1" w:rsidR="00320946" w:rsidRPr="00416BC8" w:rsidRDefault="00320946" w:rsidP="00416BC8">
      <w:pPr>
        <w:jc w:val="both"/>
        <w:rPr>
          <w:rFonts w:ascii="Avenir Next" w:hAnsi="Avenir Next" w:cs="Arial"/>
          <w:color w:val="808080" w:themeColor="background1" w:themeShade="80"/>
          <w:sz w:val="22"/>
          <w:szCs w:val="22"/>
          <w:lang w:val="en-GB"/>
        </w:rPr>
      </w:pPr>
      <w:proofErr w:type="gramStart"/>
      <w:r w:rsidRPr="00416BC8">
        <w:rPr>
          <w:rFonts w:ascii="Avenir Next" w:hAnsi="Avenir Next" w:cs="Arial"/>
          <w:color w:val="808080" w:themeColor="background1" w:themeShade="80"/>
          <w:sz w:val="22"/>
          <w:szCs w:val="22"/>
          <w:lang w:val="en-GB"/>
        </w:rPr>
        <w:t>the</w:t>
      </w:r>
      <w:proofErr w:type="gramEnd"/>
      <w:r w:rsidRPr="00416BC8">
        <w:rPr>
          <w:rFonts w:ascii="Avenir Next" w:hAnsi="Avenir Next" w:cs="Arial"/>
          <w:color w:val="808080" w:themeColor="background1" w:themeShade="80"/>
          <w:sz w:val="22"/>
          <w:szCs w:val="22"/>
          <w:lang w:val="en-GB"/>
        </w:rPr>
        <w:t xml:space="preserve"> recognition application will be granted. </w:t>
      </w:r>
    </w:p>
    <w:p w14:paraId="6C12F276" w14:textId="1A18FF79" w:rsidR="00320946" w:rsidRDefault="00320946" w:rsidP="00320946">
      <w:pPr>
        <w:jc w:val="both"/>
        <w:rPr>
          <w:rFonts w:ascii="Avenir Next" w:hAnsi="Avenir Next" w:cs="Arial"/>
          <w:color w:val="808080" w:themeColor="background1" w:themeShade="80"/>
          <w:sz w:val="22"/>
          <w:szCs w:val="22"/>
          <w:lang w:val="en-GB"/>
        </w:rPr>
      </w:pPr>
    </w:p>
    <w:p w14:paraId="4C0D974E" w14:textId="7F310322" w:rsidR="00320946" w:rsidRPr="00320946" w:rsidRDefault="009C7144" w:rsidP="003209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recognition applications of the German foreign main proceedings and the Bermuda foreign non-main proceedings are in adherence to the above requirements (namely, Article 15 and 17 of the Model Law), it is likely that such applications will be granted.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06BB62D4" w:rsidR="00867A8F" w:rsidRDefault="009C7144" w:rsidP="009C714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that the joint provisional liquidators' </w:t>
      </w:r>
      <w:r w:rsidR="00AA0972">
        <w:rPr>
          <w:rFonts w:ascii="Avenir Next" w:hAnsi="Avenir Next" w:cs="Arial"/>
          <w:color w:val="808080" w:themeColor="background1" w:themeShade="80"/>
          <w:sz w:val="22"/>
          <w:szCs w:val="22"/>
          <w:lang w:val="en-GB"/>
        </w:rPr>
        <w:t>(the "</w:t>
      </w:r>
      <w:r w:rsidR="00AA0972">
        <w:rPr>
          <w:rFonts w:ascii="Avenir Next" w:hAnsi="Avenir Next" w:cs="Arial"/>
          <w:b/>
          <w:color w:val="808080" w:themeColor="background1" w:themeShade="80"/>
          <w:sz w:val="22"/>
          <w:szCs w:val="22"/>
          <w:lang w:val="en-GB"/>
        </w:rPr>
        <w:t>JPLs</w:t>
      </w:r>
      <w:r w:rsidR="00AA0972" w:rsidRPr="00AA097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application for recognition has not been determined</w:t>
      </w:r>
      <w:r w:rsidR="00AA0972">
        <w:rPr>
          <w:rFonts w:ascii="Avenir Next" w:hAnsi="Avenir Next" w:cs="Arial"/>
          <w:color w:val="808080" w:themeColor="background1" w:themeShade="80"/>
          <w:sz w:val="22"/>
          <w:szCs w:val="22"/>
          <w:lang w:val="en-GB"/>
        </w:rPr>
        <w:t xml:space="preserve">, any application by the JPLs for relief </w:t>
      </w:r>
      <w:r w:rsidR="00640227">
        <w:rPr>
          <w:rFonts w:ascii="Avenir Next" w:hAnsi="Avenir Next" w:cs="Arial"/>
          <w:color w:val="808080" w:themeColor="background1" w:themeShade="80"/>
          <w:sz w:val="22"/>
          <w:szCs w:val="22"/>
          <w:lang w:val="en-GB"/>
        </w:rPr>
        <w:t xml:space="preserve">from the US-based vendors' suit </w:t>
      </w:r>
      <w:r w:rsidR="00AA0972">
        <w:rPr>
          <w:rFonts w:ascii="Avenir Next" w:hAnsi="Avenir Next" w:cs="Arial"/>
          <w:color w:val="808080" w:themeColor="background1" w:themeShade="80"/>
          <w:sz w:val="22"/>
          <w:szCs w:val="22"/>
          <w:lang w:val="en-GB"/>
        </w:rPr>
        <w:t xml:space="preserve">would be limited to interim relief (i.e. relief capable of remaining in effect from the time </w:t>
      </w:r>
      <w:r w:rsidR="00AA0972">
        <w:rPr>
          <w:rFonts w:ascii="Avenir Next" w:hAnsi="Avenir Next" w:cs="Arial"/>
          <w:color w:val="808080" w:themeColor="background1" w:themeShade="80"/>
          <w:sz w:val="22"/>
          <w:szCs w:val="22"/>
          <w:lang w:val="en-GB"/>
        </w:rPr>
        <w:lastRenderedPageBreak/>
        <w:t xml:space="preserve">the recognition application is filed until a decision of the recognition application is handed down) pursuant to Article 19 of the Model Law. </w:t>
      </w:r>
    </w:p>
    <w:p w14:paraId="5DCB02AE" w14:textId="5772DE40" w:rsidR="00640227" w:rsidRDefault="00640227" w:rsidP="009C7144">
      <w:pPr>
        <w:jc w:val="both"/>
        <w:rPr>
          <w:rFonts w:ascii="Avenir Next" w:hAnsi="Avenir Next" w:cs="Arial"/>
          <w:color w:val="808080" w:themeColor="background1" w:themeShade="80"/>
          <w:sz w:val="22"/>
          <w:szCs w:val="22"/>
          <w:lang w:val="en-GB"/>
        </w:rPr>
      </w:pPr>
    </w:p>
    <w:p w14:paraId="6CC53249" w14:textId="72533561" w:rsidR="00640227" w:rsidRPr="00AF052B" w:rsidRDefault="00640227" w:rsidP="009C714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Article 19 does not specifically note that a foreign representative may apply for interim relief in the form of an injunction </w:t>
      </w:r>
      <w:r w:rsidR="00AF052B">
        <w:rPr>
          <w:rFonts w:ascii="Avenir Next" w:hAnsi="Avenir Next" w:cs="Arial"/>
          <w:color w:val="808080" w:themeColor="background1" w:themeShade="80"/>
          <w:sz w:val="22"/>
          <w:szCs w:val="22"/>
          <w:lang w:val="en-GB"/>
        </w:rPr>
        <w:t>against the suit issued by the US-based vendors, Article 19 can be interpreted as having a non-exhaustive list of available relief due to the use of the word "</w:t>
      </w:r>
      <w:r w:rsidR="00AF052B">
        <w:rPr>
          <w:rFonts w:ascii="Avenir Next" w:hAnsi="Avenir Next" w:cs="Arial"/>
          <w:i/>
          <w:color w:val="808080" w:themeColor="background1" w:themeShade="80"/>
          <w:sz w:val="22"/>
          <w:szCs w:val="22"/>
          <w:lang w:val="en-GB"/>
        </w:rPr>
        <w:t>including</w:t>
      </w:r>
      <w:r w:rsidR="00AF052B">
        <w:rPr>
          <w:rFonts w:ascii="Avenir Next" w:hAnsi="Avenir Next" w:cs="Arial"/>
          <w:color w:val="808080" w:themeColor="background1" w:themeShade="80"/>
          <w:sz w:val="22"/>
          <w:szCs w:val="22"/>
          <w:lang w:val="en-GB"/>
        </w:rPr>
        <w:t>" before the listing of specific relief</w:t>
      </w:r>
      <w:r w:rsidR="00544619">
        <w:rPr>
          <w:rFonts w:ascii="Avenir Next" w:hAnsi="Avenir Next" w:cs="Arial"/>
          <w:color w:val="808080" w:themeColor="background1" w:themeShade="80"/>
          <w:sz w:val="22"/>
          <w:szCs w:val="22"/>
          <w:lang w:val="en-GB"/>
        </w:rPr>
        <w:t xml:space="preserve"> therein</w:t>
      </w:r>
      <w:r w:rsidR="00AF052B">
        <w:rPr>
          <w:rFonts w:ascii="Avenir Next" w:hAnsi="Avenir Next" w:cs="Arial"/>
          <w:color w:val="808080" w:themeColor="background1" w:themeShade="80"/>
          <w:sz w:val="22"/>
          <w:szCs w:val="22"/>
          <w:lang w:val="en-GB"/>
        </w:rPr>
        <w:t>.</w:t>
      </w:r>
      <w:r w:rsidR="00AF052B">
        <w:rPr>
          <w:rStyle w:val="FootnoteReference"/>
          <w:rFonts w:ascii="Avenir Next" w:hAnsi="Avenir Next" w:cs="Arial"/>
          <w:color w:val="808080" w:themeColor="background1" w:themeShade="80"/>
          <w:sz w:val="22"/>
          <w:szCs w:val="22"/>
          <w:lang w:val="en-GB"/>
        </w:rPr>
        <w:footnoteReference w:id="2"/>
      </w:r>
    </w:p>
    <w:p w14:paraId="6C46A847" w14:textId="7CD858F6" w:rsidR="00640227" w:rsidRDefault="00640227" w:rsidP="009C7144">
      <w:pPr>
        <w:jc w:val="both"/>
        <w:rPr>
          <w:rFonts w:ascii="Avenir Next" w:hAnsi="Avenir Next" w:cs="Arial"/>
          <w:color w:val="808080" w:themeColor="background1" w:themeShade="80"/>
          <w:sz w:val="22"/>
          <w:szCs w:val="22"/>
          <w:lang w:val="en-GB"/>
        </w:rPr>
      </w:pPr>
    </w:p>
    <w:p w14:paraId="12D9C371" w14:textId="2FC9E6D5" w:rsidR="00640227" w:rsidRPr="00AF052B" w:rsidRDefault="00F41C84" w:rsidP="009C7144">
      <w:pPr>
        <w:jc w:val="both"/>
        <w:rPr>
          <w:rFonts w:ascii="Avenir Next" w:hAnsi="Avenir Next" w:cs="Arial"/>
          <w:i/>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view of the above and in accordance with the </w:t>
      </w:r>
      <w:proofErr w:type="spellStart"/>
      <w:r>
        <w:rPr>
          <w:rFonts w:ascii="Avenir Next" w:hAnsi="Avenir Next" w:cs="Arial"/>
          <w:color w:val="808080" w:themeColor="background1" w:themeShade="80"/>
          <w:sz w:val="22"/>
          <w:szCs w:val="22"/>
          <w:lang w:val="en-GB"/>
        </w:rPr>
        <w:t>UNCITRAL</w:t>
      </w:r>
      <w:proofErr w:type="spellEnd"/>
      <w:r>
        <w:rPr>
          <w:rFonts w:ascii="Avenir Next" w:hAnsi="Avenir Next" w:cs="Arial"/>
          <w:color w:val="808080" w:themeColor="background1" w:themeShade="80"/>
          <w:sz w:val="22"/>
          <w:szCs w:val="22"/>
          <w:lang w:val="en-GB"/>
        </w:rPr>
        <w:t xml:space="preserve"> guidance texts</w:t>
      </w:r>
      <w:r w:rsidR="00AF052B">
        <w:rPr>
          <w:rFonts w:ascii="Avenir Next" w:hAnsi="Avenir Next" w:cs="Arial"/>
          <w:color w:val="808080" w:themeColor="background1" w:themeShade="80"/>
          <w:sz w:val="22"/>
          <w:szCs w:val="22"/>
          <w:lang w:val="en-GB"/>
        </w:rPr>
        <w:t>, the US-based vendors</w:t>
      </w:r>
      <w:r w:rsidR="00544619">
        <w:rPr>
          <w:rFonts w:ascii="Avenir Next" w:hAnsi="Avenir Next" w:cs="Arial"/>
          <w:color w:val="808080" w:themeColor="background1" w:themeShade="80"/>
          <w:sz w:val="22"/>
          <w:szCs w:val="22"/>
          <w:lang w:val="en-GB"/>
        </w:rPr>
        <w:t>' suit against the JPLs is</w:t>
      </w:r>
      <w:r w:rsidR="00AF052B">
        <w:rPr>
          <w:rFonts w:ascii="Avenir Next" w:hAnsi="Avenir Next" w:cs="Arial"/>
          <w:color w:val="808080" w:themeColor="background1" w:themeShade="80"/>
          <w:sz w:val="22"/>
          <w:szCs w:val="22"/>
          <w:lang w:val="en-GB"/>
        </w:rPr>
        <w:t xml:space="preserve"> likely to amount to a detrimental business action intended to undermine the JPLs' efforts to achieve an equitable result for the benefit of all the d</w:t>
      </w:r>
      <w:r w:rsidR="00544619">
        <w:rPr>
          <w:rFonts w:ascii="Avenir Next" w:hAnsi="Avenir Next" w:cs="Arial"/>
          <w:color w:val="808080" w:themeColor="background1" w:themeShade="80"/>
          <w:sz w:val="22"/>
          <w:szCs w:val="22"/>
          <w:lang w:val="en-GB"/>
        </w:rPr>
        <w:t xml:space="preserve">ebtor's creditors, </w:t>
      </w:r>
      <w:r w:rsidR="00AF052B">
        <w:rPr>
          <w:rFonts w:ascii="Avenir Next" w:hAnsi="Avenir Next" w:cs="Arial"/>
          <w:color w:val="808080" w:themeColor="background1" w:themeShade="80"/>
          <w:sz w:val="22"/>
          <w:szCs w:val="22"/>
          <w:lang w:val="en-GB"/>
        </w:rPr>
        <w:t>causing immediate and irreparable injury</w:t>
      </w:r>
      <w:r w:rsidR="00544619">
        <w:rPr>
          <w:rFonts w:ascii="Avenir Next" w:hAnsi="Avenir Next" w:cs="Arial"/>
          <w:color w:val="808080" w:themeColor="background1" w:themeShade="80"/>
          <w:sz w:val="22"/>
          <w:szCs w:val="22"/>
          <w:lang w:val="en-GB"/>
        </w:rPr>
        <w:t>.</w:t>
      </w:r>
      <w:r w:rsidR="00AF052B">
        <w:rPr>
          <w:rStyle w:val="FootnoteReference"/>
          <w:rFonts w:ascii="Avenir Next" w:hAnsi="Avenir Next" w:cs="Arial"/>
          <w:color w:val="808080" w:themeColor="background1" w:themeShade="80"/>
          <w:sz w:val="22"/>
          <w:szCs w:val="22"/>
          <w:lang w:val="en-GB"/>
        </w:rPr>
        <w:footnoteReference w:id="3"/>
      </w:r>
      <w:r w:rsidR="00544619">
        <w:rPr>
          <w:rFonts w:ascii="Avenir Next" w:hAnsi="Avenir Next" w:cs="Arial"/>
          <w:color w:val="808080" w:themeColor="background1" w:themeShade="80"/>
          <w:sz w:val="22"/>
          <w:szCs w:val="22"/>
          <w:lang w:val="en-GB"/>
        </w:rPr>
        <w:t xml:space="preserve"> In those circumstances, i</w:t>
      </w:r>
      <w:r w:rsidR="00AF052B">
        <w:rPr>
          <w:rFonts w:ascii="Avenir Next" w:hAnsi="Avenir Next" w:cs="Arial"/>
          <w:color w:val="808080" w:themeColor="background1" w:themeShade="80"/>
          <w:sz w:val="22"/>
          <w:szCs w:val="22"/>
          <w:lang w:val="en-GB"/>
        </w:rPr>
        <w:t>t is plainly arguable that assets</w:t>
      </w:r>
      <w:r w:rsidR="00544619">
        <w:rPr>
          <w:rFonts w:ascii="Avenir Next" w:hAnsi="Avenir Next" w:cs="Arial"/>
          <w:color w:val="808080" w:themeColor="background1" w:themeShade="80"/>
          <w:sz w:val="22"/>
          <w:szCs w:val="22"/>
          <w:lang w:val="en-GB"/>
        </w:rPr>
        <w:t xml:space="preserve"> of the debtor are in jeopardy. Therefore, an application by the JPLs for interim relief in the form of an injunction on the US-based vendors' suit should be attempted and would likely have a chance of success.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3E1CB684" w:rsidR="00867A8F" w:rsidRDefault="00FD2025" w:rsidP="00FD20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the US-governed leases and intellectual property licenses contain termination clauses which would not be enforceable under the US Bankruptcy Code, the foreign representative may nevertheless consider obtaining interim collective relief </w:t>
      </w:r>
      <w:r w:rsidR="00814E5E">
        <w:rPr>
          <w:rFonts w:ascii="Avenir Next" w:hAnsi="Avenir Next" w:cs="Arial"/>
          <w:color w:val="808080" w:themeColor="background1" w:themeShade="80"/>
          <w:sz w:val="22"/>
          <w:szCs w:val="22"/>
          <w:lang w:val="en-GB"/>
        </w:rPr>
        <w:t xml:space="preserve">under Article 19 of the Model Law </w:t>
      </w:r>
      <w:r>
        <w:rPr>
          <w:rFonts w:ascii="Avenir Next" w:hAnsi="Avenir Next" w:cs="Arial"/>
          <w:color w:val="808080" w:themeColor="background1" w:themeShade="80"/>
          <w:sz w:val="22"/>
          <w:szCs w:val="22"/>
          <w:lang w:val="en-GB"/>
        </w:rPr>
        <w:t xml:space="preserve">prior to recognition of the foreign proceeding. </w:t>
      </w:r>
    </w:p>
    <w:p w14:paraId="5C2CD85E" w14:textId="3C404859" w:rsidR="00FD2025" w:rsidRDefault="00FD2025" w:rsidP="00FD2025">
      <w:pPr>
        <w:jc w:val="both"/>
        <w:rPr>
          <w:rFonts w:ascii="Avenir Next" w:hAnsi="Avenir Next" w:cs="Arial"/>
          <w:color w:val="808080" w:themeColor="background1" w:themeShade="80"/>
          <w:sz w:val="22"/>
          <w:szCs w:val="22"/>
          <w:lang w:val="en-GB"/>
        </w:rPr>
      </w:pPr>
    </w:p>
    <w:p w14:paraId="092447D7" w14:textId="0669C748" w:rsidR="00FD2025" w:rsidRDefault="0003452C" w:rsidP="00FD20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relief is urgently required in order to protect the assets of a debtor or the interests of creditors, the court of an enac</w:t>
      </w:r>
      <w:r w:rsidR="00814E5E">
        <w:rPr>
          <w:rFonts w:ascii="Avenir Next" w:hAnsi="Avenir Next" w:cs="Arial"/>
          <w:color w:val="808080" w:themeColor="background1" w:themeShade="80"/>
          <w:sz w:val="22"/>
          <w:szCs w:val="22"/>
          <w:lang w:val="en-GB"/>
        </w:rPr>
        <w:t>ting State</w:t>
      </w:r>
      <w:r>
        <w:rPr>
          <w:rFonts w:ascii="Avenir Next" w:hAnsi="Avenir Next" w:cs="Arial"/>
          <w:color w:val="808080" w:themeColor="background1" w:themeShade="80"/>
          <w:sz w:val="22"/>
          <w:szCs w:val="22"/>
          <w:lang w:val="en-GB"/>
        </w:rPr>
        <w:t xml:space="preserve"> (i.e. the US Court in this scenario) may, at the request of the foreign representative, grant provisional relief. Such provisional relief would remain in effect from the time the recognition application is filed until a decision of the recognition application is handed down. This interim relief may include: </w:t>
      </w:r>
    </w:p>
    <w:p w14:paraId="63308297" w14:textId="6D8AC6EC" w:rsidR="0003452C" w:rsidRDefault="0003452C" w:rsidP="00FD2025">
      <w:pPr>
        <w:jc w:val="both"/>
        <w:rPr>
          <w:rFonts w:ascii="Avenir Next" w:hAnsi="Avenir Next" w:cs="Arial"/>
          <w:color w:val="808080" w:themeColor="background1" w:themeShade="80"/>
          <w:sz w:val="22"/>
          <w:szCs w:val="22"/>
          <w:lang w:val="en-GB"/>
        </w:rPr>
      </w:pPr>
    </w:p>
    <w:p w14:paraId="7FFE4FAE" w14:textId="2A78FEB5" w:rsidR="0003452C" w:rsidRDefault="0003452C" w:rsidP="0003452C">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stay of execution against the debtor's assets; and </w:t>
      </w:r>
    </w:p>
    <w:p w14:paraId="7ED03B05" w14:textId="77777777" w:rsidR="0003452C" w:rsidRDefault="0003452C" w:rsidP="0003452C">
      <w:pPr>
        <w:pStyle w:val="ListParagraph"/>
        <w:jc w:val="both"/>
        <w:rPr>
          <w:rFonts w:ascii="Avenir Next" w:hAnsi="Avenir Next" w:cs="Arial"/>
          <w:color w:val="808080" w:themeColor="background1" w:themeShade="80"/>
          <w:sz w:val="22"/>
          <w:szCs w:val="22"/>
          <w:lang w:val="en-GB"/>
        </w:rPr>
      </w:pPr>
    </w:p>
    <w:p w14:paraId="61D0E857" w14:textId="07B89379" w:rsidR="0003452C" w:rsidRDefault="0003452C" w:rsidP="0003452C">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entrusting the administration or realisation of all or part of a debtor's assets within the enacting State to a foreign representative (or any other person) designated by the court, for the purpose of protecting and preserving the value of the assets in circumstances where those very assets are perishable, susceptible to devaluation or otherwise in jeopardy prior to the hearing of the recognition application. </w:t>
      </w:r>
    </w:p>
    <w:p w14:paraId="5734E0B2" w14:textId="6B125E9E" w:rsidR="0003452C" w:rsidRDefault="0003452C" w:rsidP="0003452C">
      <w:pPr>
        <w:jc w:val="both"/>
        <w:rPr>
          <w:rFonts w:ascii="Avenir Next" w:hAnsi="Avenir Next" w:cs="Arial"/>
          <w:color w:val="808080" w:themeColor="background1" w:themeShade="80"/>
          <w:sz w:val="22"/>
          <w:szCs w:val="22"/>
          <w:lang w:val="en-GB"/>
        </w:rPr>
      </w:pPr>
    </w:p>
    <w:p w14:paraId="3849F593" w14:textId="3D87DB71" w:rsidR="006B4687" w:rsidRDefault="00864359" w:rsidP="000345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can be said that assets are in "jeopardy" in circumstances where creditors attempt to control or take possession of assets, terminate unfavourable contracts, require new security, renegotiate credit terms on a stricter basis or take any other unfavourable commercial action that would otherwise obstruct a court's jurisdictional directive under the Model Law. Additionally, any steps taken by creditors to interfere with and/or cause </w:t>
      </w:r>
      <w:r>
        <w:rPr>
          <w:rFonts w:ascii="Avenir Next" w:hAnsi="Avenir Next" w:cs="Arial"/>
          <w:color w:val="808080" w:themeColor="background1" w:themeShade="80"/>
          <w:sz w:val="22"/>
          <w:szCs w:val="22"/>
          <w:lang w:val="en-GB"/>
        </w:rPr>
        <w:lastRenderedPageBreak/>
        <w:t xml:space="preserve">difficulties to the </w:t>
      </w:r>
      <w:r w:rsidR="006B4687">
        <w:rPr>
          <w:rFonts w:ascii="Avenir Next" w:hAnsi="Avenir Next" w:cs="Arial"/>
          <w:color w:val="808080" w:themeColor="background1" w:themeShade="80"/>
          <w:sz w:val="22"/>
          <w:szCs w:val="22"/>
          <w:lang w:val="en-GB"/>
        </w:rPr>
        <w:t>debtor's attempts in administering its assets pursuant to foreign proceedings and/or undercut a foreign representative's efforts to equitably deal with the debtor's creditors as a collective whole may give raise to interim relief under Article 19.</w:t>
      </w:r>
      <w:r w:rsidR="006B4687">
        <w:rPr>
          <w:rStyle w:val="FootnoteReference"/>
          <w:rFonts w:ascii="Avenir Next" w:hAnsi="Avenir Next" w:cs="Arial"/>
          <w:color w:val="808080" w:themeColor="background1" w:themeShade="80"/>
          <w:sz w:val="22"/>
          <w:szCs w:val="22"/>
          <w:lang w:val="en-GB"/>
        </w:rPr>
        <w:footnoteReference w:id="4"/>
      </w:r>
    </w:p>
    <w:p w14:paraId="1FFA5B57" w14:textId="0CEBA570" w:rsidR="006B4687" w:rsidRDefault="006B4687" w:rsidP="0003452C">
      <w:pPr>
        <w:jc w:val="both"/>
        <w:rPr>
          <w:rFonts w:ascii="Avenir Next" w:hAnsi="Avenir Next" w:cs="Arial"/>
          <w:color w:val="808080" w:themeColor="background1" w:themeShade="80"/>
          <w:sz w:val="22"/>
          <w:szCs w:val="22"/>
          <w:lang w:val="en-GB"/>
        </w:rPr>
      </w:pPr>
    </w:p>
    <w:p w14:paraId="473675B4" w14:textId="02F0D8EA" w:rsidR="006B4687" w:rsidRDefault="006B4687" w:rsidP="000345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Despite the above, </w:t>
      </w:r>
      <w:r w:rsidR="005D2C22">
        <w:rPr>
          <w:rFonts w:ascii="Avenir Next" w:hAnsi="Avenir Next" w:cs="Arial"/>
          <w:color w:val="808080" w:themeColor="background1" w:themeShade="80"/>
          <w:sz w:val="22"/>
          <w:szCs w:val="22"/>
          <w:lang w:val="en-GB"/>
        </w:rPr>
        <w:t xml:space="preserve">the foreign </w:t>
      </w:r>
      <w:r w:rsidR="00814E5E">
        <w:rPr>
          <w:rFonts w:ascii="Avenir Next" w:hAnsi="Avenir Next" w:cs="Arial"/>
          <w:color w:val="808080" w:themeColor="background1" w:themeShade="80"/>
          <w:sz w:val="22"/>
          <w:szCs w:val="22"/>
          <w:lang w:val="en-GB"/>
        </w:rPr>
        <w:t>representative may experience difficulties</w:t>
      </w:r>
      <w:r w:rsidR="005D2C22">
        <w:rPr>
          <w:rFonts w:ascii="Avenir Next" w:hAnsi="Avenir Next" w:cs="Arial"/>
          <w:color w:val="808080" w:themeColor="background1" w:themeShade="80"/>
          <w:sz w:val="22"/>
          <w:szCs w:val="22"/>
          <w:lang w:val="en-GB"/>
        </w:rPr>
        <w:t xml:space="preserve"> in establishing an urgent basis for the granting of interim relief as </w:t>
      </w:r>
      <w:r>
        <w:rPr>
          <w:rFonts w:ascii="Avenir Next" w:hAnsi="Avenir Next" w:cs="Arial"/>
          <w:color w:val="808080" w:themeColor="background1" w:themeShade="80"/>
          <w:sz w:val="22"/>
          <w:szCs w:val="22"/>
          <w:lang w:val="en-GB"/>
        </w:rPr>
        <w:t xml:space="preserve">it does not appear that the assets under the US-governed leases and licenses are in </w:t>
      </w:r>
      <w:r w:rsidR="00814E5E">
        <w:rPr>
          <w:rFonts w:ascii="Avenir Next" w:hAnsi="Avenir Next" w:cs="Arial"/>
          <w:color w:val="808080" w:themeColor="background1" w:themeShade="80"/>
          <w:sz w:val="22"/>
          <w:szCs w:val="22"/>
          <w:lang w:val="en-GB"/>
        </w:rPr>
        <w:t>any obvious</w:t>
      </w:r>
      <w:r>
        <w:rPr>
          <w:rFonts w:ascii="Avenir Next" w:hAnsi="Avenir Next" w:cs="Arial"/>
          <w:color w:val="808080" w:themeColor="background1" w:themeShade="80"/>
          <w:sz w:val="22"/>
          <w:szCs w:val="22"/>
          <w:lang w:val="en-GB"/>
        </w:rPr>
        <w:t xml:space="preserve"> jeopardy. No litigation is currently contemplated </w:t>
      </w:r>
      <w:r w:rsidR="005D2C22">
        <w:rPr>
          <w:rFonts w:ascii="Avenir Next" w:hAnsi="Avenir Next" w:cs="Arial"/>
          <w:color w:val="808080" w:themeColor="background1" w:themeShade="80"/>
          <w:sz w:val="22"/>
          <w:szCs w:val="22"/>
          <w:lang w:val="en-GB"/>
        </w:rPr>
        <w:t xml:space="preserve">against the debtor and the US counterparties are not able to terminate the agreements based on a bankruptcy-triggering event. Be that as it may, the assets of the debtor under the US-governed agreements may still be threatened by any requests for additional security or tightened credit terms prior to the recognition hearing. </w:t>
      </w:r>
    </w:p>
    <w:p w14:paraId="266BD7F8" w14:textId="513C1B5B" w:rsidR="005D2C22" w:rsidRDefault="005D2C22" w:rsidP="0003452C">
      <w:pPr>
        <w:jc w:val="both"/>
        <w:rPr>
          <w:rFonts w:ascii="Avenir Next" w:hAnsi="Avenir Next" w:cs="Arial"/>
          <w:color w:val="808080" w:themeColor="background1" w:themeShade="80"/>
          <w:sz w:val="22"/>
          <w:szCs w:val="22"/>
          <w:lang w:val="en-GB"/>
        </w:rPr>
      </w:pPr>
    </w:p>
    <w:p w14:paraId="09F2612F" w14:textId="3AD121C7" w:rsidR="005D2C22" w:rsidRPr="0003452C" w:rsidRDefault="005D2C22" w:rsidP="000345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and separately, interim relief under Article 19 can be pursued for the purpose of ensuring certainty of Article 20 relief following recognition of the foreign proceedings.</w:t>
      </w:r>
      <w:r>
        <w:rPr>
          <w:rStyle w:val="FootnoteReference"/>
          <w:rFonts w:ascii="Avenir Next" w:hAnsi="Avenir Next" w:cs="Arial"/>
          <w:color w:val="808080" w:themeColor="background1" w:themeShade="80"/>
          <w:sz w:val="22"/>
          <w:szCs w:val="22"/>
          <w:lang w:val="en-GB"/>
        </w:rPr>
        <w:footnoteReference w:id="5"/>
      </w:r>
      <w:r>
        <w:rPr>
          <w:rFonts w:ascii="Avenir Next" w:hAnsi="Avenir Next" w:cs="Arial"/>
          <w:color w:val="808080" w:themeColor="background1" w:themeShade="80"/>
          <w:sz w:val="22"/>
          <w:szCs w:val="22"/>
          <w:lang w:val="en-GB"/>
        </w:rPr>
        <w:t xml:space="preserve"> </w:t>
      </w:r>
      <w:r w:rsidR="00081B65">
        <w:rPr>
          <w:rFonts w:ascii="Avenir Next" w:hAnsi="Avenir Next" w:cs="Arial"/>
          <w:color w:val="808080" w:themeColor="background1" w:themeShade="80"/>
          <w:sz w:val="22"/>
          <w:szCs w:val="22"/>
          <w:lang w:val="en-GB"/>
        </w:rPr>
        <w:t xml:space="preserve">As such, the foreign representative may view it necessary to proceed with an application for interim relief under Article 19.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2244C9C1" w14:textId="0E69484A" w:rsidR="00EB0B6D" w:rsidRDefault="000F64F5" w:rsidP="000F64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Ordinarily,</w:t>
      </w:r>
      <w:r w:rsidR="00EB0B6D">
        <w:rPr>
          <w:rFonts w:ascii="Avenir Next" w:hAnsi="Avenir Next" w:cs="Arial"/>
          <w:color w:val="808080" w:themeColor="background1" w:themeShade="80"/>
          <w:sz w:val="22"/>
          <w:szCs w:val="22"/>
          <w:lang w:val="en-GB"/>
        </w:rPr>
        <w:t xml:space="preserve"> a foreign main proceeding</w:t>
      </w:r>
      <w:r>
        <w:rPr>
          <w:rFonts w:ascii="Avenir Next" w:hAnsi="Avenir Next" w:cs="Arial"/>
          <w:color w:val="808080" w:themeColor="background1" w:themeShade="80"/>
          <w:sz w:val="22"/>
          <w:szCs w:val="22"/>
          <w:lang w:val="en-GB"/>
        </w:rPr>
        <w:t xml:space="preserve"> is recognised in circumstances where the proceeding </w:t>
      </w:r>
      <w:r w:rsidR="00EB0B6D">
        <w:rPr>
          <w:rFonts w:ascii="Avenir Next" w:hAnsi="Avenir Next" w:cs="Arial"/>
          <w:color w:val="808080" w:themeColor="background1" w:themeShade="80"/>
          <w:sz w:val="22"/>
          <w:szCs w:val="22"/>
          <w:lang w:val="en-GB"/>
        </w:rPr>
        <w:t>takes</w:t>
      </w:r>
      <w:r>
        <w:rPr>
          <w:rFonts w:ascii="Avenir Next" w:hAnsi="Avenir Next" w:cs="Arial"/>
          <w:color w:val="808080" w:themeColor="background1" w:themeShade="80"/>
          <w:sz w:val="22"/>
          <w:szCs w:val="22"/>
          <w:lang w:val="en-GB"/>
        </w:rPr>
        <w:t xml:space="preserve"> place in the State where the debtor's centre of main interests is established ("</w:t>
      </w:r>
      <w:proofErr w:type="spellStart"/>
      <w:r>
        <w:rPr>
          <w:rFonts w:ascii="Avenir Next" w:hAnsi="Avenir Next" w:cs="Arial"/>
          <w:b/>
          <w:color w:val="808080" w:themeColor="background1" w:themeShade="80"/>
          <w:sz w:val="22"/>
          <w:szCs w:val="22"/>
          <w:lang w:val="en-GB"/>
        </w:rPr>
        <w:t>COMI</w:t>
      </w:r>
      <w:proofErr w:type="spellEnd"/>
      <w:r>
        <w:rPr>
          <w:rFonts w:ascii="Avenir Next" w:hAnsi="Avenir Next" w:cs="Arial"/>
          <w:color w:val="808080" w:themeColor="background1" w:themeShade="80"/>
          <w:sz w:val="22"/>
          <w:szCs w:val="22"/>
          <w:lang w:val="en-GB"/>
        </w:rPr>
        <w:t xml:space="preserve">"). While the Model Law presumes that a debtor's </w:t>
      </w:r>
      <w:proofErr w:type="spellStart"/>
      <w:r>
        <w:rPr>
          <w:rFonts w:ascii="Avenir Next" w:hAnsi="Avenir Next" w:cs="Arial"/>
          <w:color w:val="808080" w:themeColor="background1" w:themeShade="80"/>
          <w:sz w:val="22"/>
          <w:szCs w:val="22"/>
          <w:lang w:val="en-GB"/>
        </w:rPr>
        <w:t>COMI</w:t>
      </w:r>
      <w:proofErr w:type="spellEnd"/>
      <w:r>
        <w:rPr>
          <w:rFonts w:ascii="Avenir Next" w:hAnsi="Avenir Next" w:cs="Arial"/>
          <w:color w:val="808080" w:themeColor="background1" w:themeShade="80"/>
          <w:sz w:val="22"/>
          <w:szCs w:val="22"/>
          <w:lang w:val="en-GB"/>
        </w:rPr>
        <w:t xml:space="preserve"> is ordinarily in the location of the debtor's registered office</w:t>
      </w:r>
      <w:r w:rsidR="00E94BE7">
        <w:rPr>
          <w:rFonts w:ascii="Avenir Next" w:hAnsi="Avenir Next" w:cs="Arial"/>
          <w:color w:val="808080" w:themeColor="background1" w:themeShade="80"/>
          <w:sz w:val="22"/>
          <w:szCs w:val="22"/>
          <w:lang w:val="en-GB"/>
        </w:rPr>
        <w:t xml:space="preserve"> (i.e. Country A in these circumstances)</w:t>
      </w:r>
      <w:r>
        <w:rPr>
          <w:rFonts w:ascii="Avenir Next" w:hAnsi="Avenir Next" w:cs="Arial"/>
          <w:color w:val="808080" w:themeColor="background1" w:themeShade="80"/>
          <w:sz w:val="22"/>
          <w:szCs w:val="22"/>
          <w:lang w:val="en-GB"/>
        </w:rPr>
        <w:t xml:space="preserve">, further considerations of determining a debtor's </w:t>
      </w:r>
      <w:proofErr w:type="spellStart"/>
      <w:r>
        <w:rPr>
          <w:rFonts w:ascii="Avenir Next" w:hAnsi="Avenir Next" w:cs="Arial"/>
          <w:color w:val="808080" w:themeColor="background1" w:themeShade="80"/>
          <w:sz w:val="22"/>
          <w:szCs w:val="22"/>
          <w:lang w:val="en-GB"/>
        </w:rPr>
        <w:t>COMI</w:t>
      </w:r>
      <w:proofErr w:type="spellEnd"/>
      <w:r>
        <w:rPr>
          <w:rFonts w:ascii="Avenir Next" w:hAnsi="Avenir Next" w:cs="Arial"/>
          <w:color w:val="808080" w:themeColor="background1" w:themeShade="80"/>
          <w:sz w:val="22"/>
          <w:szCs w:val="22"/>
          <w:lang w:val="en-GB"/>
        </w:rPr>
        <w:t xml:space="preserve"> are </w:t>
      </w:r>
      <w:r w:rsidR="00EB0B6D">
        <w:rPr>
          <w:rFonts w:ascii="Avenir Next" w:hAnsi="Avenir Next" w:cs="Arial"/>
          <w:color w:val="808080" w:themeColor="background1" w:themeShade="80"/>
          <w:sz w:val="22"/>
          <w:szCs w:val="22"/>
          <w:lang w:val="en-GB"/>
        </w:rPr>
        <w:t xml:space="preserve">sometimes </w:t>
      </w:r>
      <w:r>
        <w:rPr>
          <w:rFonts w:ascii="Avenir Next" w:hAnsi="Avenir Next" w:cs="Arial"/>
          <w:color w:val="808080" w:themeColor="background1" w:themeShade="80"/>
          <w:sz w:val="22"/>
          <w:szCs w:val="22"/>
          <w:lang w:val="en-GB"/>
        </w:rPr>
        <w:t>required under the Model Law.</w:t>
      </w:r>
    </w:p>
    <w:p w14:paraId="34DA3BAA" w14:textId="0DEC2B8D" w:rsidR="00EB0B6D" w:rsidRDefault="00EB0B6D" w:rsidP="000F64F5">
      <w:pPr>
        <w:jc w:val="both"/>
        <w:rPr>
          <w:rFonts w:ascii="Avenir Next" w:hAnsi="Avenir Next" w:cs="Arial"/>
          <w:color w:val="808080" w:themeColor="background1" w:themeShade="80"/>
          <w:sz w:val="22"/>
          <w:szCs w:val="22"/>
          <w:lang w:val="en-GB"/>
        </w:rPr>
      </w:pPr>
    </w:p>
    <w:p w14:paraId="6D5C3011" w14:textId="172C1AF1" w:rsidR="00EB0B6D" w:rsidRDefault="00EB0B6D" w:rsidP="00EB0B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Two essential factors in establishing a debtor's </w:t>
      </w:r>
      <w:proofErr w:type="spellStart"/>
      <w:r>
        <w:rPr>
          <w:rFonts w:ascii="Avenir Next" w:hAnsi="Avenir Next" w:cs="Arial"/>
          <w:color w:val="808080" w:themeColor="background1" w:themeShade="80"/>
          <w:sz w:val="22"/>
          <w:szCs w:val="22"/>
          <w:lang w:val="en-GB"/>
        </w:rPr>
        <w:t>COMI</w:t>
      </w:r>
      <w:proofErr w:type="spellEnd"/>
      <w:r>
        <w:rPr>
          <w:rFonts w:ascii="Avenir Next" w:hAnsi="Avenir Next" w:cs="Arial"/>
          <w:color w:val="808080" w:themeColor="background1" w:themeShade="80"/>
          <w:sz w:val="22"/>
          <w:szCs w:val="22"/>
          <w:lang w:val="en-GB"/>
        </w:rPr>
        <w:t xml:space="preserve"> under the Model Law are: </w:t>
      </w:r>
    </w:p>
    <w:p w14:paraId="04ACEE38" w14:textId="77777777" w:rsidR="00EB0B6D" w:rsidRDefault="00EB0B6D" w:rsidP="00EB0B6D">
      <w:pPr>
        <w:jc w:val="both"/>
        <w:rPr>
          <w:rFonts w:ascii="Avenir Next" w:hAnsi="Avenir Next" w:cs="Arial"/>
          <w:color w:val="808080" w:themeColor="background1" w:themeShade="80"/>
          <w:sz w:val="22"/>
          <w:szCs w:val="22"/>
          <w:lang w:val="en-GB"/>
        </w:rPr>
      </w:pPr>
    </w:p>
    <w:p w14:paraId="793B9F80" w14:textId="77777777" w:rsidR="00EB0B6D" w:rsidRDefault="00EB0B6D" w:rsidP="00EB0B6D">
      <w:pPr>
        <w:pStyle w:val="ListParagraph"/>
        <w:numPr>
          <w:ilvl w:val="0"/>
          <w:numId w:val="21"/>
        </w:numPr>
        <w:jc w:val="both"/>
        <w:rPr>
          <w:rFonts w:ascii="Avenir Next" w:hAnsi="Avenir Next" w:cs="Arial"/>
          <w:color w:val="808080" w:themeColor="background1" w:themeShade="80"/>
          <w:sz w:val="22"/>
          <w:szCs w:val="22"/>
          <w:lang w:val="en-GB"/>
        </w:rPr>
      </w:pPr>
      <w:r w:rsidRPr="00AE416D">
        <w:rPr>
          <w:rFonts w:ascii="Avenir Next" w:hAnsi="Avenir Next" w:cs="Arial"/>
          <w:color w:val="808080" w:themeColor="background1" w:themeShade="80"/>
          <w:sz w:val="22"/>
          <w:szCs w:val="22"/>
          <w:lang w:val="en-GB"/>
        </w:rPr>
        <w:t>the location where the central administration of the debtor takes place; and</w:t>
      </w:r>
    </w:p>
    <w:p w14:paraId="7F62E470" w14:textId="77777777" w:rsidR="00EB0B6D" w:rsidRDefault="00EB0B6D" w:rsidP="00EB0B6D">
      <w:pPr>
        <w:pStyle w:val="ListParagraph"/>
        <w:ind w:left="786"/>
        <w:jc w:val="both"/>
        <w:rPr>
          <w:rFonts w:ascii="Avenir Next" w:hAnsi="Avenir Next" w:cs="Arial"/>
          <w:color w:val="808080" w:themeColor="background1" w:themeShade="80"/>
          <w:sz w:val="22"/>
          <w:szCs w:val="22"/>
          <w:lang w:val="en-GB"/>
        </w:rPr>
      </w:pPr>
    </w:p>
    <w:p w14:paraId="0FE28F1B" w14:textId="77777777" w:rsidR="00EB0B6D" w:rsidRDefault="00EB0B6D" w:rsidP="00EB0B6D">
      <w:pPr>
        <w:pStyle w:val="ListParagraph"/>
        <w:numPr>
          <w:ilvl w:val="0"/>
          <w:numId w:val="21"/>
        </w:numPr>
        <w:jc w:val="both"/>
        <w:rPr>
          <w:rFonts w:ascii="Avenir Next" w:hAnsi="Avenir Next" w:cs="Arial"/>
          <w:color w:val="808080" w:themeColor="background1" w:themeShade="80"/>
          <w:sz w:val="22"/>
          <w:szCs w:val="22"/>
          <w:lang w:val="en-GB"/>
        </w:rPr>
      </w:pPr>
      <w:proofErr w:type="gramStart"/>
      <w:r w:rsidRPr="00AE416D">
        <w:rPr>
          <w:rFonts w:ascii="Avenir Next" w:hAnsi="Avenir Next" w:cs="Arial"/>
          <w:color w:val="808080" w:themeColor="background1" w:themeShade="80"/>
          <w:sz w:val="22"/>
          <w:szCs w:val="22"/>
          <w:lang w:val="en-GB"/>
        </w:rPr>
        <w:t>which</w:t>
      </w:r>
      <w:proofErr w:type="gramEnd"/>
      <w:r w:rsidRPr="00AE416D">
        <w:rPr>
          <w:rFonts w:ascii="Avenir Next" w:hAnsi="Avenir Next" w:cs="Arial"/>
          <w:color w:val="808080" w:themeColor="background1" w:themeShade="80"/>
          <w:sz w:val="22"/>
          <w:szCs w:val="22"/>
          <w:lang w:val="en-GB"/>
        </w:rPr>
        <w:t xml:space="preserve"> is readily ascertainable as such by the creditors of the debtor. </w:t>
      </w:r>
    </w:p>
    <w:p w14:paraId="0198C060" w14:textId="77777777" w:rsidR="00EB0B6D" w:rsidRDefault="00EB0B6D" w:rsidP="00EB0B6D">
      <w:pPr>
        <w:jc w:val="both"/>
        <w:rPr>
          <w:rFonts w:ascii="Avenir Next" w:hAnsi="Avenir Next" w:cs="Arial"/>
          <w:color w:val="808080" w:themeColor="background1" w:themeShade="80"/>
          <w:sz w:val="22"/>
          <w:szCs w:val="22"/>
          <w:lang w:val="en-GB"/>
        </w:rPr>
      </w:pPr>
    </w:p>
    <w:p w14:paraId="5C18D3E0" w14:textId="0F867DF9" w:rsidR="00EB0B6D" w:rsidRDefault="00EB0B6D" w:rsidP="00EB0B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Additionally, it can be said that the determination of a debtor's </w:t>
      </w:r>
      <w:proofErr w:type="spellStart"/>
      <w:r>
        <w:rPr>
          <w:rFonts w:ascii="Avenir Next" w:hAnsi="Avenir Next" w:cs="Arial"/>
          <w:color w:val="808080" w:themeColor="background1" w:themeShade="80"/>
          <w:sz w:val="22"/>
          <w:szCs w:val="22"/>
          <w:lang w:val="en-GB"/>
        </w:rPr>
        <w:t>COMI</w:t>
      </w:r>
      <w:proofErr w:type="spellEnd"/>
      <w:r>
        <w:rPr>
          <w:rFonts w:ascii="Avenir Next" w:hAnsi="Avenir Next" w:cs="Arial"/>
          <w:color w:val="808080" w:themeColor="background1" w:themeShade="80"/>
          <w:sz w:val="22"/>
          <w:szCs w:val="22"/>
          <w:lang w:val="en-GB"/>
        </w:rPr>
        <w:t xml:space="preserve"> under the Model Law is approached in a more holistic manner. In circumstances where a debtor's </w:t>
      </w:r>
      <w:proofErr w:type="spellStart"/>
      <w:r>
        <w:rPr>
          <w:rFonts w:ascii="Avenir Next" w:hAnsi="Avenir Next" w:cs="Arial"/>
          <w:color w:val="808080" w:themeColor="background1" w:themeShade="80"/>
          <w:sz w:val="22"/>
          <w:szCs w:val="22"/>
          <w:lang w:val="en-GB"/>
        </w:rPr>
        <w:t>COMI</w:t>
      </w:r>
      <w:proofErr w:type="spellEnd"/>
      <w:r>
        <w:rPr>
          <w:rFonts w:ascii="Avenir Next" w:hAnsi="Avenir Next" w:cs="Arial"/>
          <w:color w:val="808080" w:themeColor="background1" w:themeShade="80"/>
          <w:sz w:val="22"/>
          <w:szCs w:val="22"/>
          <w:lang w:val="en-GB"/>
        </w:rPr>
        <w:t xml:space="preserve"> is not readily ascertainable following the consideration of the above two factors, the Model Law allows for further factors to be considered, such as</w:t>
      </w:r>
      <w:r>
        <w:rPr>
          <w:rStyle w:val="FootnoteReference"/>
          <w:rFonts w:ascii="Avenir Next" w:hAnsi="Avenir Next" w:cs="Arial"/>
          <w:color w:val="808080" w:themeColor="background1" w:themeShade="80"/>
          <w:sz w:val="22"/>
          <w:szCs w:val="22"/>
          <w:lang w:val="en-GB"/>
        </w:rPr>
        <w:footnoteReference w:id="6"/>
      </w:r>
      <w:r>
        <w:rPr>
          <w:rFonts w:ascii="Avenir Next" w:hAnsi="Avenir Next" w:cs="Arial"/>
          <w:color w:val="808080" w:themeColor="background1" w:themeShade="80"/>
          <w:sz w:val="22"/>
          <w:szCs w:val="22"/>
          <w:lang w:val="en-GB"/>
        </w:rPr>
        <w:t xml:space="preserve">: </w:t>
      </w:r>
    </w:p>
    <w:p w14:paraId="3F8530A3" w14:textId="77777777" w:rsidR="00EB0B6D" w:rsidRDefault="00EB0B6D" w:rsidP="00EB0B6D">
      <w:pPr>
        <w:jc w:val="both"/>
        <w:rPr>
          <w:rFonts w:ascii="Avenir Next" w:hAnsi="Avenir Next" w:cs="Arial"/>
          <w:color w:val="808080" w:themeColor="background1" w:themeShade="80"/>
          <w:sz w:val="22"/>
          <w:szCs w:val="22"/>
          <w:lang w:val="en-GB"/>
        </w:rPr>
      </w:pPr>
    </w:p>
    <w:p w14:paraId="73A7B09B" w14:textId="77777777" w:rsidR="00EB0B6D" w:rsidRDefault="00EB0B6D" w:rsidP="00EB0B6D">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location of the debtor's books and records; </w:t>
      </w:r>
    </w:p>
    <w:p w14:paraId="032F30E2" w14:textId="77777777" w:rsidR="00EB0B6D" w:rsidRDefault="00EB0B6D" w:rsidP="00EB0B6D">
      <w:pPr>
        <w:pStyle w:val="ListParagraph"/>
        <w:jc w:val="both"/>
        <w:rPr>
          <w:rFonts w:ascii="Avenir Next" w:hAnsi="Avenir Next" w:cs="Arial"/>
          <w:color w:val="808080" w:themeColor="background1" w:themeShade="80"/>
          <w:sz w:val="22"/>
          <w:szCs w:val="22"/>
          <w:lang w:val="en-GB"/>
        </w:rPr>
      </w:pPr>
    </w:p>
    <w:p w14:paraId="44730A45" w14:textId="77777777" w:rsidR="00EB0B6D" w:rsidRDefault="00EB0B6D" w:rsidP="00EB0B6D">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location where financing was organised or authorised;</w:t>
      </w:r>
    </w:p>
    <w:p w14:paraId="0C5DCD71" w14:textId="77777777" w:rsidR="00EB0B6D" w:rsidRDefault="00EB0B6D" w:rsidP="00EB0B6D">
      <w:pPr>
        <w:pStyle w:val="ListParagraph"/>
        <w:jc w:val="both"/>
        <w:rPr>
          <w:rFonts w:ascii="Avenir Next" w:hAnsi="Avenir Next" w:cs="Arial"/>
          <w:color w:val="808080" w:themeColor="background1" w:themeShade="80"/>
          <w:sz w:val="22"/>
          <w:szCs w:val="22"/>
          <w:lang w:val="en-GB"/>
        </w:rPr>
      </w:pPr>
    </w:p>
    <w:p w14:paraId="059F2067" w14:textId="77777777" w:rsidR="00EB0B6D" w:rsidRDefault="00EB0B6D" w:rsidP="00EB0B6D">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location from where the cash management system was run;</w:t>
      </w:r>
    </w:p>
    <w:p w14:paraId="44AAB34F" w14:textId="77777777" w:rsidR="00EB0B6D" w:rsidRDefault="00EB0B6D" w:rsidP="00EB0B6D">
      <w:pPr>
        <w:pStyle w:val="ListParagraph"/>
        <w:jc w:val="both"/>
        <w:rPr>
          <w:rFonts w:ascii="Avenir Next" w:hAnsi="Avenir Next" w:cs="Arial"/>
          <w:color w:val="808080" w:themeColor="background1" w:themeShade="80"/>
          <w:sz w:val="22"/>
          <w:szCs w:val="22"/>
          <w:lang w:val="en-GB"/>
        </w:rPr>
      </w:pPr>
    </w:p>
    <w:p w14:paraId="63ADB7C3" w14:textId="77777777" w:rsidR="00EB0B6D" w:rsidRDefault="00EB0B6D" w:rsidP="00EB0B6D">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location in which the debtor's principal assets or operations are found;</w:t>
      </w:r>
    </w:p>
    <w:p w14:paraId="1A6F9A6B" w14:textId="77777777" w:rsidR="00EB0B6D" w:rsidRDefault="00EB0B6D" w:rsidP="00EB0B6D">
      <w:pPr>
        <w:pStyle w:val="ListParagraph"/>
        <w:jc w:val="both"/>
        <w:rPr>
          <w:rFonts w:ascii="Avenir Next" w:hAnsi="Avenir Next" w:cs="Arial"/>
          <w:color w:val="808080" w:themeColor="background1" w:themeShade="80"/>
          <w:sz w:val="22"/>
          <w:szCs w:val="22"/>
          <w:lang w:val="en-GB"/>
        </w:rPr>
      </w:pPr>
    </w:p>
    <w:p w14:paraId="4683C7E6" w14:textId="77777777" w:rsidR="00EB0B6D" w:rsidRDefault="00EB0B6D" w:rsidP="00EB0B6D">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location of the debtor's primary bank;</w:t>
      </w:r>
    </w:p>
    <w:p w14:paraId="489891E7" w14:textId="77777777" w:rsidR="00EB0B6D" w:rsidRDefault="00EB0B6D" w:rsidP="00EB0B6D">
      <w:pPr>
        <w:pStyle w:val="ListParagraph"/>
        <w:jc w:val="both"/>
        <w:rPr>
          <w:rFonts w:ascii="Avenir Next" w:hAnsi="Avenir Next" w:cs="Arial"/>
          <w:color w:val="808080" w:themeColor="background1" w:themeShade="80"/>
          <w:sz w:val="22"/>
          <w:szCs w:val="22"/>
          <w:lang w:val="en-GB"/>
        </w:rPr>
      </w:pPr>
    </w:p>
    <w:p w14:paraId="20223279" w14:textId="77777777" w:rsidR="00EB0B6D" w:rsidRDefault="00EB0B6D" w:rsidP="00EB0B6D">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location of employees;</w:t>
      </w:r>
    </w:p>
    <w:p w14:paraId="5AF7007B" w14:textId="77777777" w:rsidR="00EB0B6D" w:rsidRDefault="00EB0B6D" w:rsidP="00EB0B6D">
      <w:pPr>
        <w:pStyle w:val="ListParagraph"/>
        <w:jc w:val="both"/>
        <w:rPr>
          <w:rFonts w:ascii="Avenir Next" w:hAnsi="Avenir Next" w:cs="Arial"/>
          <w:color w:val="808080" w:themeColor="background1" w:themeShade="80"/>
          <w:sz w:val="22"/>
          <w:szCs w:val="22"/>
          <w:lang w:val="en-GB"/>
        </w:rPr>
      </w:pPr>
    </w:p>
    <w:p w14:paraId="50DA552F" w14:textId="77777777" w:rsidR="00EB0B6D" w:rsidRDefault="00EB0B6D" w:rsidP="00EB0B6D">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location in which commercial policy was determined;</w:t>
      </w:r>
    </w:p>
    <w:p w14:paraId="6302D87E" w14:textId="77777777" w:rsidR="00EB0B6D" w:rsidRDefault="00EB0B6D" w:rsidP="00EB0B6D">
      <w:pPr>
        <w:pStyle w:val="ListParagraph"/>
        <w:jc w:val="both"/>
        <w:rPr>
          <w:rFonts w:ascii="Avenir Next" w:hAnsi="Avenir Next" w:cs="Arial"/>
          <w:color w:val="808080" w:themeColor="background1" w:themeShade="80"/>
          <w:sz w:val="22"/>
          <w:szCs w:val="22"/>
          <w:lang w:val="en-GB"/>
        </w:rPr>
      </w:pPr>
    </w:p>
    <w:p w14:paraId="7F38539A" w14:textId="77777777" w:rsidR="00EB0B6D" w:rsidRDefault="00EB0B6D" w:rsidP="00EB0B6D">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site of the controlling law or the law governing the main contracts of the debtor;</w:t>
      </w:r>
    </w:p>
    <w:p w14:paraId="2EEC487C" w14:textId="77777777" w:rsidR="00EB0B6D" w:rsidRDefault="00EB0B6D" w:rsidP="00EB0B6D">
      <w:pPr>
        <w:pStyle w:val="ListParagraph"/>
        <w:jc w:val="both"/>
        <w:rPr>
          <w:rFonts w:ascii="Avenir Next" w:hAnsi="Avenir Next" w:cs="Arial"/>
          <w:color w:val="808080" w:themeColor="background1" w:themeShade="80"/>
          <w:sz w:val="22"/>
          <w:szCs w:val="22"/>
          <w:lang w:val="en-GB"/>
        </w:rPr>
      </w:pPr>
    </w:p>
    <w:p w14:paraId="39A59B88" w14:textId="77777777" w:rsidR="00EB0B6D" w:rsidRDefault="00EB0B6D" w:rsidP="00EB0B6D">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location from which purchasing and sales policy, staff, accounts payable and computer systems are managed; </w:t>
      </w:r>
    </w:p>
    <w:p w14:paraId="214C8C1F" w14:textId="77777777" w:rsidR="00EB0B6D" w:rsidRDefault="00EB0B6D" w:rsidP="00EB0B6D">
      <w:pPr>
        <w:pStyle w:val="ListParagraph"/>
        <w:jc w:val="both"/>
        <w:rPr>
          <w:rFonts w:ascii="Avenir Next" w:hAnsi="Avenir Next" w:cs="Arial"/>
          <w:color w:val="808080" w:themeColor="background1" w:themeShade="80"/>
          <w:sz w:val="22"/>
          <w:szCs w:val="22"/>
          <w:lang w:val="en-GB"/>
        </w:rPr>
      </w:pPr>
    </w:p>
    <w:p w14:paraId="10A84154" w14:textId="77777777" w:rsidR="00EB0B6D" w:rsidRDefault="00EB0B6D" w:rsidP="00EB0B6D">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location from which contracts (for supply) were organised; </w:t>
      </w:r>
    </w:p>
    <w:p w14:paraId="21DEF29B" w14:textId="77777777" w:rsidR="00EB0B6D" w:rsidRDefault="00EB0B6D" w:rsidP="00EB0B6D">
      <w:pPr>
        <w:pStyle w:val="ListParagraph"/>
        <w:jc w:val="both"/>
        <w:rPr>
          <w:rFonts w:ascii="Avenir Next" w:hAnsi="Avenir Next" w:cs="Arial"/>
          <w:color w:val="808080" w:themeColor="background1" w:themeShade="80"/>
          <w:sz w:val="22"/>
          <w:szCs w:val="22"/>
          <w:lang w:val="en-GB"/>
        </w:rPr>
      </w:pPr>
    </w:p>
    <w:p w14:paraId="010DFBE7" w14:textId="77777777" w:rsidR="00EB0B6D" w:rsidRDefault="00EB0B6D" w:rsidP="00EB0B6D">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location from which reorganisation of the debtor was being conducted;</w:t>
      </w:r>
    </w:p>
    <w:p w14:paraId="10858D5C" w14:textId="77777777" w:rsidR="00EB0B6D" w:rsidRDefault="00EB0B6D" w:rsidP="00EB0B6D">
      <w:pPr>
        <w:pStyle w:val="ListParagraph"/>
        <w:jc w:val="both"/>
        <w:rPr>
          <w:rFonts w:ascii="Avenir Next" w:hAnsi="Avenir Next" w:cs="Arial"/>
          <w:color w:val="808080" w:themeColor="background1" w:themeShade="80"/>
          <w:sz w:val="22"/>
          <w:szCs w:val="22"/>
          <w:lang w:val="en-GB"/>
        </w:rPr>
      </w:pPr>
    </w:p>
    <w:p w14:paraId="6E8CBDFD" w14:textId="77777777" w:rsidR="00EB0B6D" w:rsidRDefault="00EB0B6D" w:rsidP="00EB0B6D">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jurisdiction whose law would apply to most disputes; </w:t>
      </w:r>
    </w:p>
    <w:p w14:paraId="286187C3" w14:textId="77777777" w:rsidR="00EB0B6D" w:rsidRDefault="00EB0B6D" w:rsidP="00EB0B6D">
      <w:pPr>
        <w:pStyle w:val="ListParagraph"/>
        <w:jc w:val="both"/>
        <w:rPr>
          <w:rFonts w:ascii="Avenir Next" w:hAnsi="Avenir Next" w:cs="Arial"/>
          <w:color w:val="808080" w:themeColor="background1" w:themeShade="80"/>
          <w:sz w:val="22"/>
          <w:szCs w:val="22"/>
          <w:lang w:val="en-GB"/>
        </w:rPr>
      </w:pPr>
    </w:p>
    <w:p w14:paraId="1F1F7CE7" w14:textId="4CBE8486" w:rsidR="00EB0B6D" w:rsidRDefault="00EB0B6D" w:rsidP="00EB0B6D">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location in which the debtor was subject to supervision or regulation; and </w:t>
      </w:r>
    </w:p>
    <w:p w14:paraId="43EED615" w14:textId="77777777" w:rsidR="00EB0B6D" w:rsidRDefault="00EB0B6D" w:rsidP="00EB0B6D">
      <w:pPr>
        <w:pStyle w:val="ListParagraph"/>
        <w:jc w:val="both"/>
        <w:rPr>
          <w:rFonts w:ascii="Avenir Next" w:hAnsi="Avenir Next" w:cs="Arial"/>
          <w:color w:val="808080" w:themeColor="background1" w:themeShade="80"/>
          <w:sz w:val="22"/>
          <w:szCs w:val="22"/>
          <w:lang w:val="en-GB"/>
        </w:rPr>
      </w:pPr>
    </w:p>
    <w:p w14:paraId="384F8336" w14:textId="107F589E" w:rsidR="00EB0B6D" w:rsidRDefault="00EB0B6D" w:rsidP="00EB0B6D">
      <w:pPr>
        <w:pStyle w:val="ListParagraph"/>
        <w:numPr>
          <w:ilvl w:val="0"/>
          <w:numId w:val="22"/>
        </w:numPr>
        <w:jc w:val="both"/>
        <w:rPr>
          <w:rFonts w:ascii="Avenir Next" w:hAnsi="Avenir Next" w:cs="Arial"/>
          <w:color w:val="808080" w:themeColor="background1" w:themeShade="80"/>
          <w:sz w:val="22"/>
          <w:szCs w:val="22"/>
          <w:lang w:val="en-GB"/>
        </w:rPr>
      </w:pPr>
      <w:proofErr w:type="gramStart"/>
      <w:r w:rsidRPr="00EB0B6D">
        <w:rPr>
          <w:rFonts w:ascii="Avenir Next" w:hAnsi="Avenir Next" w:cs="Arial"/>
          <w:color w:val="808080" w:themeColor="background1" w:themeShade="80"/>
          <w:sz w:val="22"/>
          <w:szCs w:val="22"/>
          <w:lang w:val="en-GB"/>
        </w:rPr>
        <w:t>the</w:t>
      </w:r>
      <w:proofErr w:type="gramEnd"/>
      <w:r w:rsidRPr="00EB0B6D">
        <w:rPr>
          <w:rFonts w:ascii="Avenir Next" w:hAnsi="Avenir Next" w:cs="Arial"/>
          <w:color w:val="808080" w:themeColor="background1" w:themeShade="80"/>
          <w:sz w:val="22"/>
          <w:szCs w:val="22"/>
          <w:lang w:val="en-GB"/>
        </w:rPr>
        <w:t xml:space="preserve"> location whose law governed the preparation and audit of accounts and in which they were prepared and audited.</w:t>
      </w:r>
    </w:p>
    <w:p w14:paraId="007761A5" w14:textId="7F1E913F" w:rsidR="00EB0B6D" w:rsidRDefault="00EB0B6D" w:rsidP="00EB0B6D">
      <w:pPr>
        <w:jc w:val="both"/>
        <w:rPr>
          <w:rFonts w:ascii="Avenir Next" w:hAnsi="Avenir Next" w:cs="Arial"/>
          <w:color w:val="808080" w:themeColor="background1" w:themeShade="80"/>
          <w:sz w:val="22"/>
          <w:szCs w:val="22"/>
          <w:lang w:val="en-GB"/>
        </w:rPr>
      </w:pPr>
    </w:p>
    <w:p w14:paraId="45C5F006" w14:textId="3111CD6C" w:rsidR="00074DC5" w:rsidRDefault="003767E4" w:rsidP="00EB0B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w:t>
      </w:r>
      <w:r w:rsidR="00EB0B6D">
        <w:rPr>
          <w:rFonts w:ascii="Avenir Next" w:hAnsi="Avenir Next" w:cs="Arial"/>
          <w:color w:val="808080" w:themeColor="background1" w:themeShade="80"/>
          <w:sz w:val="22"/>
          <w:szCs w:val="22"/>
          <w:lang w:val="en-GB"/>
        </w:rPr>
        <w:t>here the debtor's registered office (but not much else) was located in Country A</w:t>
      </w:r>
      <w:r w:rsidR="00074DC5">
        <w:rPr>
          <w:rFonts w:ascii="Avenir Next" w:hAnsi="Avenir Next" w:cs="Arial"/>
          <w:color w:val="808080" w:themeColor="background1" w:themeShade="80"/>
          <w:sz w:val="22"/>
          <w:szCs w:val="22"/>
          <w:lang w:val="en-GB"/>
        </w:rPr>
        <w:t xml:space="preserve"> and in view of the above factors</w:t>
      </w:r>
      <w:r w:rsidR="00EB0B6D">
        <w:rPr>
          <w:rFonts w:ascii="Avenir Next" w:hAnsi="Avenir Next" w:cs="Arial"/>
          <w:color w:val="808080" w:themeColor="background1" w:themeShade="80"/>
          <w:sz w:val="22"/>
          <w:szCs w:val="22"/>
          <w:lang w:val="en-GB"/>
        </w:rPr>
        <w:t>, it is likely that foreign proceedings initiated in Country A would not amount to foreign main</w:t>
      </w:r>
      <w:r w:rsidR="00074DC5">
        <w:rPr>
          <w:rFonts w:ascii="Avenir Next" w:hAnsi="Avenir Next" w:cs="Arial"/>
          <w:color w:val="808080" w:themeColor="background1" w:themeShade="80"/>
          <w:sz w:val="22"/>
          <w:szCs w:val="22"/>
          <w:lang w:val="en-GB"/>
        </w:rPr>
        <w:t xml:space="preserve"> proceedings</w:t>
      </w:r>
      <w:r w:rsidR="00EB0B6D">
        <w:rPr>
          <w:rFonts w:ascii="Avenir Next" w:hAnsi="Avenir Next" w:cs="Arial"/>
          <w:color w:val="808080" w:themeColor="background1" w:themeShade="80"/>
          <w:sz w:val="22"/>
          <w:szCs w:val="22"/>
          <w:lang w:val="en-GB"/>
        </w:rPr>
        <w:t xml:space="preserve">. </w:t>
      </w:r>
    </w:p>
    <w:p w14:paraId="39AE2270" w14:textId="2CBC5F08" w:rsidR="00784D13" w:rsidRDefault="00784D13" w:rsidP="00707FC8">
      <w:pPr>
        <w:jc w:val="both"/>
        <w:rPr>
          <w:rFonts w:ascii="Avenir Next" w:hAnsi="Avenir Next" w:cs="Arial"/>
          <w:color w:val="808080" w:themeColor="background1" w:themeShade="80"/>
          <w:sz w:val="22"/>
          <w:szCs w:val="22"/>
          <w:lang w:val="en-GB"/>
        </w:rPr>
      </w:pPr>
    </w:p>
    <w:p w14:paraId="39D4FA8F" w14:textId="022980EA" w:rsidR="00784D13" w:rsidRPr="00784D13" w:rsidRDefault="00784D13"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Consequently, the foreign representative of the foreign proceedings in Country A should </w:t>
      </w:r>
      <w:r w:rsidRPr="004D3035">
        <w:rPr>
          <w:rFonts w:ascii="Avenir Next" w:hAnsi="Avenir Next" w:cs="Arial"/>
          <w:color w:val="808080" w:themeColor="background1" w:themeShade="80"/>
          <w:sz w:val="22"/>
          <w:szCs w:val="22"/>
          <w:u w:val="single"/>
          <w:lang w:val="en-GB"/>
        </w:rPr>
        <w:t>not</w:t>
      </w:r>
      <w:r>
        <w:rPr>
          <w:rFonts w:ascii="Avenir Next" w:hAnsi="Avenir Next" w:cs="Arial"/>
          <w:color w:val="808080" w:themeColor="background1" w:themeShade="80"/>
          <w:sz w:val="22"/>
          <w:szCs w:val="22"/>
          <w:lang w:val="en-GB"/>
        </w:rPr>
        <w:t xml:space="preserve"> have assessed the debtor's </w:t>
      </w:r>
      <w:proofErr w:type="spellStart"/>
      <w:r>
        <w:rPr>
          <w:rFonts w:ascii="Avenir Next" w:hAnsi="Avenir Next" w:cs="Arial"/>
          <w:color w:val="808080" w:themeColor="background1" w:themeShade="80"/>
          <w:sz w:val="22"/>
          <w:szCs w:val="22"/>
          <w:lang w:val="en-GB"/>
        </w:rPr>
        <w:t>COMI</w:t>
      </w:r>
      <w:proofErr w:type="spellEnd"/>
      <w:r>
        <w:rPr>
          <w:rFonts w:ascii="Avenir Next" w:hAnsi="Avenir Next" w:cs="Arial"/>
          <w:color w:val="808080" w:themeColor="background1" w:themeShade="80"/>
          <w:sz w:val="22"/>
          <w:szCs w:val="22"/>
          <w:lang w:val="en-GB"/>
        </w:rPr>
        <w:t xml:space="preserve"> as Country A (and thus sought Country A as foreign main proceedings) at the outset. Further, and in circumstances where the foreign proceedings in Country A are able to satisfy Article 2(c) and (f) of the Model Law, the foreign representative should seek to have the foreign proceedings in Country A recognised as foreign non-main proceedings. This may be attempted even in circumstances where no other foreign proceedings are on-foot, as it would be contrary to logic for a court to recognise a foreign proceedings as foreign main proceedings merely because those proceedings are the only proceedings in existence.</w:t>
      </w:r>
      <w:r>
        <w:rPr>
          <w:rStyle w:val="FootnoteReference"/>
          <w:rFonts w:ascii="Avenir Next" w:hAnsi="Avenir Next" w:cs="Arial"/>
          <w:color w:val="808080" w:themeColor="background1" w:themeShade="80"/>
          <w:sz w:val="22"/>
          <w:szCs w:val="22"/>
          <w:lang w:val="en-GB"/>
        </w:rPr>
        <w:footnoteReference w:id="7"/>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2"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w:t>
      </w:r>
      <w:proofErr w:type="spellStart"/>
      <w:r>
        <w:rPr>
          <w:rFonts w:ascii="Avenir Next Demi Bold" w:hAnsi="Avenir Next Demi Bold" w:cs="Arial"/>
          <w:b/>
          <w:bCs/>
          <w:color w:val="FF0000"/>
          <w:sz w:val="22"/>
          <w:szCs w:val="22"/>
          <w:lang w:val="en-GB"/>
        </w:rPr>
        <w:t>nonmain</w:t>
      </w:r>
      <w:proofErr w:type="spellEnd"/>
      <w:r>
        <w:rPr>
          <w:rFonts w:ascii="Avenir Next Demi Bold" w:hAnsi="Avenir Next Demi Bold" w:cs="Arial"/>
          <w:b/>
          <w:bCs/>
          <w:color w:val="FF0000"/>
          <w:sz w:val="22"/>
          <w:szCs w:val="22"/>
          <w:lang w:val="en-GB"/>
        </w:rPr>
        <w:t xml:space="preserve"> proceeding or both (in light of </w:t>
      </w:r>
      <w:proofErr w:type="spellStart"/>
      <w:r>
        <w:rPr>
          <w:rFonts w:ascii="Avenir Next Demi Bold" w:hAnsi="Avenir Next Demi Bold" w:cs="Arial"/>
          <w:b/>
          <w:bCs/>
          <w:color w:val="FF0000"/>
          <w:sz w:val="22"/>
          <w:szCs w:val="22"/>
          <w:lang w:val="en-GB"/>
        </w:rPr>
        <w:t>COMI</w:t>
      </w:r>
      <w:proofErr w:type="spellEnd"/>
      <w:r>
        <w:rPr>
          <w:rFonts w:ascii="Avenir Next Demi Bold" w:hAnsi="Avenir Next Demi Bold" w:cs="Arial"/>
          <w:b/>
          <w:bCs/>
          <w:color w:val="FF0000"/>
          <w:sz w:val="22"/>
          <w:szCs w:val="22"/>
          <w:lang w:val="en-GB"/>
        </w:rPr>
        <w:t xml:space="preserve">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w:t>
      </w:r>
      <w:r w:rsidRPr="00E61F6E">
        <w:rPr>
          <w:rFonts w:ascii="Avenir Next" w:hAnsi="Avenir Next"/>
          <w:sz w:val="22"/>
          <w:szCs w:val="28"/>
        </w:rPr>
        <w:lastRenderedPageBreak/>
        <w:t>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3" w:name="_Hlk97111003"/>
      <w:r w:rsidRPr="00E61F6E">
        <w:rPr>
          <w:rFonts w:ascii="Avenir Next" w:hAnsi="Avenir Next"/>
          <w:sz w:val="22"/>
          <w:szCs w:val="28"/>
        </w:rPr>
        <w:t>Globe Holdings</w:t>
      </w:r>
      <w:bookmarkEnd w:id="3"/>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4"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4"/>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5"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5"/>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w:t>
      </w:r>
      <w:proofErr w:type="gramStart"/>
      <w:r w:rsidRPr="00E61F6E">
        <w:rPr>
          <w:rFonts w:ascii="Avenir Next" w:hAnsi="Avenir Next"/>
          <w:sz w:val="22"/>
          <w:szCs w:val="28"/>
        </w:rPr>
        <w:t>advise</w:t>
      </w:r>
      <w:proofErr w:type="gramEnd"/>
      <w:r w:rsidRPr="00E61F6E">
        <w:rPr>
          <w:rFonts w:ascii="Avenir Next" w:hAnsi="Avenir Next"/>
          <w:sz w:val="22"/>
          <w:szCs w:val="28"/>
        </w:rPr>
        <w:t xml:space="preserv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w:t>
      </w:r>
      <w:proofErr w:type="spellStart"/>
      <w:r>
        <w:rPr>
          <w:rFonts w:ascii="Avenir Next" w:hAnsi="Avenir Next"/>
          <w:sz w:val="22"/>
          <w:szCs w:val="28"/>
        </w:rPr>
        <w:t>RSA</w:t>
      </w:r>
      <w:proofErr w:type="spellEnd"/>
      <w:r>
        <w:rPr>
          <w:rFonts w:ascii="Avenir Next" w:hAnsi="Avenir Next"/>
          <w:sz w:val="22"/>
          <w:szCs w:val="28"/>
        </w:rPr>
        <w:t>) governed by the New York law</w:t>
      </w:r>
      <w:r w:rsidRPr="00E61F6E">
        <w:rPr>
          <w:rFonts w:ascii="Avenir Next" w:hAnsi="Avenir Next"/>
          <w:sz w:val="22"/>
          <w:szCs w:val="28"/>
        </w:rPr>
        <w:t xml:space="preserve">.  The </w:t>
      </w:r>
      <w:proofErr w:type="spellStart"/>
      <w:r w:rsidRPr="00E61F6E">
        <w:rPr>
          <w:rFonts w:ascii="Avenir Next" w:hAnsi="Avenir Next"/>
          <w:sz w:val="22"/>
          <w:szCs w:val="28"/>
        </w:rPr>
        <w:t>RSA</w:t>
      </w:r>
      <w:proofErr w:type="spellEnd"/>
      <w:r w:rsidRPr="00E61F6E">
        <w:rPr>
          <w:rFonts w:ascii="Avenir Next" w:hAnsi="Avenir Next"/>
          <w:sz w:val="22"/>
          <w:szCs w:val="28"/>
        </w:rPr>
        <w:t xml:space="preserve">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 xml:space="preserve">approached its largest Noteholders regarding the contemplated restructuring, their expectations were that any such restructuring would take place in the Cayman Islands, which is reflected in the </w:t>
      </w:r>
      <w:proofErr w:type="spellStart"/>
      <w:r w:rsidRPr="00E61F6E">
        <w:rPr>
          <w:rFonts w:ascii="Avenir Next" w:hAnsi="Avenir Next"/>
          <w:sz w:val="22"/>
          <w:szCs w:val="28"/>
        </w:rPr>
        <w:t>RSA</w:t>
      </w:r>
      <w:proofErr w:type="spellEnd"/>
      <w:r w:rsidRPr="00E61F6E">
        <w:rPr>
          <w:rFonts w:ascii="Avenir Next" w:hAnsi="Avenir Next"/>
          <w:sz w:val="22"/>
          <w:szCs w:val="28"/>
        </w:rPr>
        <w:t>.</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lastRenderedPageBreak/>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w:t>
      </w:r>
      <w:proofErr w:type="spellStart"/>
      <w:r w:rsidRPr="00E61F6E">
        <w:rPr>
          <w:rFonts w:ascii="Avenir Next" w:hAnsi="Avenir Next"/>
          <w:sz w:val="22"/>
          <w:szCs w:val="28"/>
        </w:rPr>
        <w:t>RSA</w:t>
      </w:r>
      <w:proofErr w:type="spellEnd"/>
      <w:r w:rsidRPr="00E61F6E">
        <w:rPr>
          <w:rFonts w:ascii="Avenir Next" w:hAnsi="Avenir Next"/>
          <w:sz w:val="22"/>
          <w:szCs w:val="28"/>
        </w:rPr>
        <w:t xml:space="preserve">,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30D7E6F9" w14:textId="49811682" w:rsidR="009E3CA7" w:rsidRDefault="00C77748"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Upon review of the above file, </w:t>
      </w:r>
      <w:r w:rsidR="00A55242">
        <w:rPr>
          <w:rFonts w:ascii="Avenir Next" w:hAnsi="Avenir Next"/>
          <w:color w:val="808080" w:themeColor="background1" w:themeShade="80"/>
          <w:sz w:val="22"/>
          <w:szCs w:val="28"/>
        </w:rPr>
        <w:t>the Cayman proceedings of</w:t>
      </w:r>
      <w:r w:rsidR="00B647D7">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 xml:space="preserve">Globe </w:t>
      </w:r>
      <w:r w:rsidR="003767E4">
        <w:rPr>
          <w:rFonts w:ascii="Avenir Next" w:hAnsi="Avenir Next"/>
          <w:color w:val="808080" w:themeColor="background1" w:themeShade="80"/>
          <w:sz w:val="22"/>
          <w:szCs w:val="28"/>
        </w:rPr>
        <w:t xml:space="preserve">Financial </w:t>
      </w:r>
      <w:r>
        <w:rPr>
          <w:rFonts w:ascii="Avenir Next" w:hAnsi="Avenir Next"/>
          <w:color w:val="808080" w:themeColor="background1" w:themeShade="80"/>
          <w:sz w:val="22"/>
          <w:szCs w:val="28"/>
        </w:rPr>
        <w:t xml:space="preserve">Holdings </w:t>
      </w:r>
      <w:r w:rsidR="003767E4">
        <w:rPr>
          <w:rFonts w:ascii="Avenir Next" w:hAnsi="Avenir Next"/>
          <w:color w:val="808080" w:themeColor="background1" w:themeShade="80"/>
          <w:sz w:val="22"/>
          <w:szCs w:val="28"/>
        </w:rPr>
        <w:t>Inc ("</w:t>
      </w:r>
      <w:proofErr w:type="spellStart"/>
      <w:r w:rsidR="003767E4" w:rsidRPr="003767E4">
        <w:rPr>
          <w:rFonts w:ascii="Avenir Next" w:hAnsi="Avenir Next"/>
          <w:b/>
          <w:color w:val="808080" w:themeColor="background1" w:themeShade="80"/>
          <w:sz w:val="22"/>
          <w:szCs w:val="28"/>
        </w:rPr>
        <w:t>GH</w:t>
      </w:r>
      <w:proofErr w:type="spellEnd"/>
      <w:r w:rsidR="003767E4">
        <w:rPr>
          <w:rFonts w:ascii="Avenir Next" w:hAnsi="Avenir Next"/>
          <w:b/>
          <w:color w:val="808080" w:themeColor="background1" w:themeShade="80"/>
          <w:sz w:val="22"/>
          <w:szCs w:val="28"/>
        </w:rPr>
        <w:t xml:space="preserve">") </w:t>
      </w:r>
      <w:r w:rsidR="00A55242">
        <w:rPr>
          <w:rFonts w:ascii="Avenir Next" w:hAnsi="Avenir Next"/>
          <w:color w:val="808080" w:themeColor="background1" w:themeShade="80"/>
          <w:sz w:val="22"/>
          <w:szCs w:val="28"/>
        </w:rPr>
        <w:t xml:space="preserve">are unlikely to be </w:t>
      </w:r>
      <w:r w:rsidR="0006124F">
        <w:rPr>
          <w:rFonts w:ascii="Avenir Next" w:hAnsi="Avenir Next"/>
          <w:color w:val="808080" w:themeColor="background1" w:themeShade="80"/>
          <w:sz w:val="22"/>
          <w:szCs w:val="28"/>
        </w:rPr>
        <w:t>capable of recognition</w:t>
      </w:r>
      <w:r w:rsidR="00A55242">
        <w:rPr>
          <w:rFonts w:ascii="Avenir Next" w:hAnsi="Avenir Next"/>
          <w:color w:val="808080" w:themeColor="background1" w:themeShade="80"/>
          <w:sz w:val="22"/>
          <w:szCs w:val="28"/>
        </w:rPr>
        <w:t xml:space="preserve"> </w:t>
      </w:r>
      <w:r w:rsidR="002E7A06">
        <w:rPr>
          <w:rFonts w:ascii="Avenir Next" w:hAnsi="Avenir Next"/>
          <w:color w:val="808080" w:themeColor="background1" w:themeShade="80"/>
          <w:sz w:val="22"/>
          <w:szCs w:val="28"/>
        </w:rPr>
        <w:t xml:space="preserve">as </w:t>
      </w:r>
      <w:r w:rsidR="0006124F">
        <w:rPr>
          <w:rFonts w:ascii="Avenir Next" w:hAnsi="Avenir Next"/>
          <w:color w:val="808080" w:themeColor="background1" w:themeShade="80"/>
          <w:sz w:val="22"/>
          <w:szCs w:val="28"/>
        </w:rPr>
        <w:t xml:space="preserve">foreign </w:t>
      </w:r>
      <w:r w:rsidR="002E7A06">
        <w:rPr>
          <w:rFonts w:ascii="Avenir Next" w:hAnsi="Avenir Next"/>
          <w:color w:val="808080" w:themeColor="background1" w:themeShade="80"/>
          <w:sz w:val="22"/>
          <w:szCs w:val="28"/>
        </w:rPr>
        <w:t>proceedings in the US Bankruptcy Court</w:t>
      </w:r>
      <w:r w:rsidR="00C809F8">
        <w:rPr>
          <w:rFonts w:ascii="Avenir Next" w:hAnsi="Avenir Next"/>
          <w:color w:val="808080" w:themeColor="background1" w:themeShade="80"/>
          <w:sz w:val="22"/>
          <w:szCs w:val="28"/>
        </w:rPr>
        <w:t xml:space="preserve"> under Chapter 15 of the Bankruptcy Code</w:t>
      </w:r>
      <w:r w:rsidR="002E7A06">
        <w:rPr>
          <w:rFonts w:ascii="Avenir Next" w:hAnsi="Avenir Next"/>
          <w:color w:val="808080" w:themeColor="background1" w:themeShade="80"/>
          <w:sz w:val="22"/>
          <w:szCs w:val="28"/>
        </w:rPr>
        <w:t xml:space="preserve">. </w:t>
      </w:r>
    </w:p>
    <w:p w14:paraId="4C8643C0" w14:textId="3CEF0D9E" w:rsidR="00B647D7" w:rsidRDefault="00B647D7" w:rsidP="009E3CA7">
      <w:pPr>
        <w:jc w:val="both"/>
        <w:rPr>
          <w:rFonts w:ascii="Avenir Next" w:hAnsi="Avenir Next"/>
          <w:color w:val="808080" w:themeColor="background1" w:themeShade="80"/>
          <w:sz w:val="22"/>
          <w:szCs w:val="28"/>
        </w:rPr>
      </w:pPr>
    </w:p>
    <w:p w14:paraId="39EA4D47" w14:textId="6F4F971B" w:rsidR="00B647D7" w:rsidRDefault="00B647D7"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Cayman proceedings are </w:t>
      </w:r>
      <w:r w:rsidR="0006124F">
        <w:rPr>
          <w:rFonts w:ascii="Avenir Next" w:hAnsi="Avenir Next"/>
          <w:color w:val="808080" w:themeColor="background1" w:themeShade="80"/>
          <w:sz w:val="22"/>
          <w:szCs w:val="28"/>
        </w:rPr>
        <w:t>un</w:t>
      </w:r>
      <w:r>
        <w:rPr>
          <w:rFonts w:ascii="Avenir Next" w:hAnsi="Avenir Next"/>
          <w:color w:val="808080" w:themeColor="background1" w:themeShade="80"/>
          <w:sz w:val="22"/>
          <w:szCs w:val="28"/>
        </w:rPr>
        <w:t xml:space="preserve">likely to be determined as foreign </w:t>
      </w:r>
      <w:r w:rsidR="00A55242">
        <w:rPr>
          <w:rFonts w:ascii="Avenir Next" w:hAnsi="Avenir Next"/>
          <w:color w:val="808080" w:themeColor="background1" w:themeShade="80"/>
          <w:sz w:val="22"/>
          <w:szCs w:val="28"/>
        </w:rPr>
        <w:t xml:space="preserve">main or </w:t>
      </w:r>
      <w:r>
        <w:rPr>
          <w:rFonts w:ascii="Avenir Next" w:hAnsi="Avenir Next"/>
          <w:color w:val="808080" w:themeColor="background1" w:themeShade="80"/>
          <w:sz w:val="22"/>
          <w:szCs w:val="28"/>
        </w:rPr>
        <w:t xml:space="preserve">non-main proceedings in circumstances where </w:t>
      </w:r>
      <w:proofErr w:type="spellStart"/>
      <w:r w:rsidR="003767E4">
        <w:rPr>
          <w:rFonts w:ascii="Avenir Next" w:hAnsi="Avenir Next"/>
          <w:color w:val="808080" w:themeColor="background1" w:themeShade="80"/>
          <w:sz w:val="22"/>
          <w:szCs w:val="28"/>
        </w:rPr>
        <w:t>GH</w:t>
      </w:r>
      <w:proofErr w:type="spellEnd"/>
      <w:r>
        <w:rPr>
          <w:rFonts w:ascii="Avenir Next" w:hAnsi="Avenir Next"/>
          <w:color w:val="808080" w:themeColor="background1" w:themeShade="80"/>
          <w:sz w:val="22"/>
          <w:szCs w:val="28"/>
        </w:rPr>
        <w:t xml:space="preserve"> </w:t>
      </w:r>
      <w:r w:rsidR="00A55242">
        <w:rPr>
          <w:rFonts w:ascii="Avenir Next" w:hAnsi="Avenir Next"/>
          <w:color w:val="808080" w:themeColor="background1" w:themeShade="80"/>
          <w:sz w:val="22"/>
          <w:szCs w:val="28"/>
        </w:rPr>
        <w:t>does not have an</w:t>
      </w:r>
      <w:r>
        <w:rPr>
          <w:rFonts w:ascii="Avenir Next" w:hAnsi="Avenir Next"/>
          <w:color w:val="808080" w:themeColor="background1" w:themeShade="80"/>
          <w:sz w:val="22"/>
          <w:szCs w:val="28"/>
        </w:rPr>
        <w:t xml:space="preserve"> establis</w:t>
      </w:r>
      <w:r w:rsidR="004D3035">
        <w:rPr>
          <w:rFonts w:ascii="Avenir Next" w:hAnsi="Avenir Next"/>
          <w:color w:val="808080" w:themeColor="background1" w:themeShade="80"/>
          <w:sz w:val="22"/>
          <w:szCs w:val="28"/>
        </w:rPr>
        <w:t xml:space="preserve">hment in Cayman, </w:t>
      </w:r>
      <w:r w:rsidR="00A55242">
        <w:rPr>
          <w:rFonts w:ascii="Avenir Next" w:hAnsi="Avenir Next"/>
          <w:color w:val="808080" w:themeColor="background1" w:themeShade="80"/>
          <w:sz w:val="22"/>
          <w:szCs w:val="28"/>
        </w:rPr>
        <w:t xml:space="preserve">and also does not maintain its </w:t>
      </w:r>
      <w:proofErr w:type="spellStart"/>
      <w:r w:rsidR="004D3035">
        <w:rPr>
          <w:rFonts w:ascii="Avenir Next" w:hAnsi="Avenir Next"/>
          <w:color w:val="808080" w:themeColor="background1" w:themeShade="80"/>
          <w:sz w:val="22"/>
          <w:szCs w:val="28"/>
        </w:rPr>
        <w:t>COMI</w:t>
      </w:r>
      <w:proofErr w:type="spellEnd"/>
      <w:r w:rsidR="00A55242">
        <w:rPr>
          <w:rFonts w:ascii="Avenir Next" w:hAnsi="Avenir Next"/>
          <w:color w:val="808080" w:themeColor="background1" w:themeShade="80"/>
          <w:sz w:val="22"/>
          <w:szCs w:val="28"/>
        </w:rPr>
        <w:t xml:space="preserve"> in Cayman</w:t>
      </w:r>
      <w:r w:rsidR="004D3035">
        <w:rPr>
          <w:rFonts w:ascii="Avenir Next" w:hAnsi="Avenir Next"/>
          <w:color w:val="808080" w:themeColor="background1" w:themeShade="80"/>
          <w:sz w:val="22"/>
          <w:szCs w:val="28"/>
        </w:rPr>
        <w:t xml:space="preserve">. The </w:t>
      </w:r>
      <w:proofErr w:type="spellStart"/>
      <w:r w:rsidR="004D3035">
        <w:rPr>
          <w:rFonts w:ascii="Avenir Next" w:hAnsi="Avenir Next"/>
          <w:color w:val="808080" w:themeColor="background1" w:themeShade="80"/>
          <w:sz w:val="22"/>
          <w:szCs w:val="28"/>
        </w:rPr>
        <w:t>COMI</w:t>
      </w:r>
      <w:proofErr w:type="spellEnd"/>
      <w:r w:rsidR="004D3035">
        <w:rPr>
          <w:rFonts w:ascii="Avenir Next" w:hAnsi="Avenir Next"/>
          <w:color w:val="808080" w:themeColor="background1" w:themeShade="80"/>
          <w:sz w:val="22"/>
          <w:szCs w:val="28"/>
        </w:rPr>
        <w:t xml:space="preserve"> of </w:t>
      </w:r>
      <w:proofErr w:type="spellStart"/>
      <w:r w:rsidR="003767E4">
        <w:rPr>
          <w:rFonts w:ascii="Avenir Next" w:hAnsi="Avenir Next"/>
          <w:color w:val="808080" w:themeColor="background1" w:themeShade="80"/>
          <w:sz w:val="22"/>
          <w:szCs w:val="28"/>
        </w:rPr>
        <w:t>GH</w:t>
      </w:r>
      <w:proofErr w:type="spellEnd"/>
      <w:r w:rsidR="004D3035">
        <w:rPr>
          <w:rFonts w:ascii="Avenir Next" w:hAnsi="Avenir Next"/>
          <w:color w:val="808080" w:themeColor="background1" w:themeShade="80"/>
          <w:sz w:val="22"/>
          <w:szCs w:val="28"/>
        </w:rPr>
        <w:t xml:space="preserve"> is likely to be the United States of America due to the following factors: </w:t>
      </w:r>
    </w:p>
    <w:p w14:paraId="11D345C5" w14:textId="6477E7C1" w:rsidR="004D3035" w:rsidRDefault="004D3035" w:rsidP="009E3CA7">
      <w:pPr>
        <w:jc w:val="both"/>
        <w:rPr>
          <w:rFonts w:ascii="Avenir Next" w:hAnsi="Avenir Next"/>
          <w:color w:val="808080" w:themeColor="background1" w:themeShade="80"/>
          <w:sz w:val="22"/>
          <w:szCs w:val="28"/>
        </w:rPr>
      </w:pPr>
    </w:p>
    <w:p w14:paraId="6702CED9" w14:textId="0CF83E05" w:rsidR="004D3035" w:rsidRDefault="003767E4" w:rsidP="004D3035">
      <w:pPr>
        <w:pStyle w:val="ListParagraph"/>
        <w:numPr>
          <w:ilvl w:val="0"/>
          <w:numId w:val="2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headquarters of </w:t>
      </w:r>
      <w:proofErr w:type="spellStart"/>
      <w:r>
        <w:rPr>
          <w:rFonts w:ascii="Avenir Next" w:hAnsi="Avenir Next"/>
          <w:color w:val="808080" w:themeColor="background1" w:themeShade="80"/>
          <w:sz w:val="22"/>
          <w:szCs w:val="28"/>
        </w:rPr>
        <w:t>GH</w:t>
      </w:r>
      <w:proofErr w:type="spellEnd"/>
      <w:r>
        <w:rPr>
          <w:rFonts w:ascii="Avenir Next" w:hAnsi="Avenir Next"/>
          <w:color w:val="808080" w:themeColor="background1" w:themeShade="80"/>
          <w:sz w:val="22"/>
          <w:szCs w:val="28"/>
        </w:rPr>
        <w:t xml:space="preserve"> are located in the U.S.;</w:t>
      </w:r>
    </w:p>
    <w:p w14:paraId="2A70043C" w14:textId="77777777" w:rsidR="003767E4" w:rsidRDefault="003767E4" w:rsidP="003767E4">
      <w:pPr>
        <w:pStyle w:val="ListParagraph"/>
        <w:jc w:val="both"/>
        <w:rPr>
          <w:rFonts w:ascii="Avenir Next" w:hAnsi="Avenir Next"/>
          <w:color w:val="808080" w:themeColor="background1" w:themeShade="80"/>
          <w:sz w:val="22"/>
          <w:szCs w:val="28"/>
        </w:rPr>
      </w:pPr>
    </w:p>
    <w:p w14:paraId="3DC37C4C" w14:textId="4F09ECC1" w:rsidR="003767E4" w:rsidRDefault="003767E4" w:rsidP="004D3035">
      <w:pPr>
        <w:pStyle w:val="ListParagraph"/>
        <w:numPr>
          <w:ilvl w:val="0"/>
          <w:numId w:val="2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location of </w:t>
      </w:r>
      <w:proofErr w:type="spellStart"/>
      <w:r>
        <w:rPr>
          <w:rFonts w:ascii="Avenir Next" w:hAnsi="Avenir Next"/>
          <w:color w:val="808080" w:themeColor="background1" w:themeShade="80"/>
          <w:sz w:val="22"/>
          <w:szCs w:val="28"/>
        </w:rPr>
        <w:t>GH's</w:t>
      </w:r>
      <w:proofErr w:type="spellEnd"/>
      <w:r>
        <w:rPr>
          <w:rFonts w:ascii="Avenir Next" w:hAnsi="Avenir Next"/>
          <w:color w:val="808080" w:themeColor="background1" w:themeShade="80"/>
          <w:sz w:val="22"/>
          <w:szCs w:val="28"/>
        </w:rPr>
        <w:t xml:space="preserve"> management is in the U.S.;</w:t>
      </w:r>
    </w:p>
    <w:p w14:paraId="4ACC8B2B" w14:textId="77777777" w:rsidR="003767E4" w:rsidRDefault="003767E4" w:rsidP="003767E4">
      <w:pPr>
        <w:pStyle w:val="ListParagraph"/>
        <w:jc w:val="both"/>
        <w:rPr>
          <w:rFonts w:ascii="Avenir Next" w:hAnsi="Avenir Next"/>
          <w:color w:val="808080" w:themeColor="background1" w:themeShade="80"/>
          <w:sz w:val="22"/>
          <w:szCs w:val="28"/>
        </w:rPr>
      </w:pPr>
    </w:p>
    <w:p w14:paraId="33FCF0E6" w14:textId="4821ED83" w:rsidR="003767E4" w:rsidRDefault="003767E4" w:rsidP="004D3035">
      <w:pPr>
        <w:pStyle w:val="ListParagraph"/>
        <w:numPr>
          <w:ilvl w:val="0"/>
          <w:numId w:val="2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location of </w:t>
      </w:r>
      <w:proofErr w:type="spellStart"/>
      <w:r>
        <w:rPr>
          <w:rFonts w:ascii="Avenir Next" w:hAnsi="Avenir Next"/>
          <w:color w:val="808080" w:themeColor="background1" w:themeShade="80"/>
          <w:sz w:val="22"/>
          <w:szCs w:val="28"/>
        </w:rPr>
        <w:t>GH's</w:t>
      </w:r>
      <w:proofErr w:type="spellEnd"/>
      <w:r>
        <w:rPr>
          <w:rFonts w:ascii="Avenir Next" w:hAnsi="Avenir Next"/>
          <w:color w:val="808080" w:themeColor="background1" w:themeShade="80"/>
          <w:sz w:val="22"/>
          <w:szCs w:val="28"/>
        </w:rPr>
        <w:t xml:space="preserve"> primary assets are in the U</w:t>
      </w:r>
      <w:r w:rsidR="00731F37">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S</w:t>
      </w:r>
      <w:r w:rsidR="00731F37">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w:t>
      </w:r>
    </w:p>
    <w:p w14:paraId="349E9731" w14:textId="77777777" w:rsidR="003767E4" w:rsidRDefault="003767E4" w:rsidP="003767E4">
      <w:pPr>
        <w:pStyle w:val="ListParagraph"/>
        <w:jc w:val="both"/>
        <w:rPr>
          <w:rFonts w:ascii="Avenir Next" w:hAnsi="Avenir Next"/>
          <w:color w:val="808080" w:themeColor="background1" w:themeShade="80"/>
          <w:sz w:val="22"/>
          <w:szCs w:val="28"/>
        </w:rPr>
      </w:pPr>
    </w:p>
    <w:p w14:paraId="5612A24C" w14:textId="0224EA20" w:rsidR="003767E4" w:rsidRDefault="003767E4" w:rsidP="004D3035">
      <w:pPr>
        <w:pStyle w:val="ListParagraph"/>
        <w:numPr>
          <w:ilvl w:val="0"/>
          <w:numId w:val="2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location of the majority of </w:t>
      </w:r>
      <w:proofErr w:type="spellStart"/>
      <w:r>
        <w:rPr>
          <w:rFonts w:ascii="Avenir Next" w:hAnsi="Avenir Next"/>
          <w:color w:val="808080" w:themeColor="background1" w:themeShade="80"/>
          <w:sz w:val="22"/>
          <w:szCs w:val="28"/>
        </w:rPr>
        <w:t>GH's</w:t>
      </w:r>
      <w:proofErr w:type="spellEnd"/>
      <w:r>
        <w:rPr>
          <w:rFonts w:ascii="Avenir Next" w:hAnsi="Avenir Next"/>
          <w:color w:val="808080" w:themeColor="background1" w:themeShade="80"/>
          <w:sz w:val="22"/>
          <w:szCs w:val="28"/>
        </w:rPr>
        <w:t xml:space="preserve"> creditors are in the U</w:t>
      </w:r>
      <w:r w:rsidR="00731F37">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S</w:t>
      </w:r>
      <w:r w:rsidR="00731F37">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 and</w:t>
      </w:r>
    </w:p>
    <w:p w14:paraId="7EE9F453" w14:textId="77777777" w:rsidR="003767E4" w:rsidRDefault="003767E4" w:rsidP="003767E4">
      <w:pPr>
        <w:pStyle w:val="ListParagraph"/>
        <w:jc w:val="both"/>
        <w:rPr>
          <w:rFonts w:ascii="Avenir Next" w:hAnsi="Avenir Next"/>
          <w:color w:val="808080" w:themeColor="background1" w:themeShade="80"/>
          <w:sz w:val="22"/>
          <w:szCs w:val="28"/>
        </w:rPr>
      </w:pPr>
    </w:p>
    <w:p w14:paraId="5BC97343" w14:textId="4A662D7F" w:rsidR="003767E4" w:rsidRDefault="003767E4" w:rsidP="004D3035">
      <w:pPr>
        <w:pStyle w:val="ListParagraph"/>
        <w:numPr>
          <w:ilvl w:val="0"/>
          <w:numId w:val="24"/>
        </w:numPr>
        <w:jc w:val="both"/>
        <w:rPr>
          <w:rFonts w:ascii="Avenir Next" w:hAnsi="Avenir Next"/>
          <w:color w:val="808080" w:themeColor="background1" w:themeShade="80"/>
          <w:sz w:val="22"/>
          <w:szCs w:val="28"/>
        </w:rPr>
      </w:pPr>
      <w:proofErr w:type="gramStart"/>
      <w:r>
        <w:rPr>
          <w:rFonts w:ascii="Avenir Next" w:hAnsi="Avenir Next"/>
          <w:color w:val="808080" w:themeColor="background1" w:themeShade="80"/>
          <w:sz w:val="22"/>
          <w:szCs w:val="28"/>
        </w:rPr>
        <w:t>disputes</w:t>
      </w:r>
      <w:proofErr w:type="gramEnd"/>
      <w:r>
        <w:rPr>
          <w:rFonts w:ascii="Avenir Next" w:hAnsi="Avenir Next"/>
          <w:color w:val="808080" w:themeColor="background1" w:themeShade="80"/>
          <w:sz w:val="22"/>
          <w:szCs w:val="28"/>
        </w:rPr>
        <w:t xml:space="preserve"> concerning the Notes would be determined in the U</w:t>
      </w:r>
      <w:r w:rsidR="00731F37">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S</w:t>
      </w:r>
      <w:r w:rsidR="00731F37">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 xml:space="preserve"> as the relevant documentation is New York law-governed. </w:t>
      </w:r>
    </w:p>
    <w:p w14:paraId="2EE433F5" w14:textId="7CBCA632" w:rsidR="00A55242" w:rsidRDefault="00A55242" w:rsidP="00A55242">
      <w:pPr>
        <w:jc w:val="both"/>
        <w:rPr>
          <w:rFonts w:ascii="Avenir Next" w:hAnsi="Avenir Next"/>
          <w:color w:val="808080" w:themeColor="background1" w:themeShade="80"/>
          <w:sz w:val="22"/>
          <w:szCs w:val="28"/>
        </w:rPr>
      </w:pPr>
    </w:p>
    <w:p w14:paraId="6C40CF70" w14:textId="5D5762EF" w:rsidR="00A55242" w:rsidRPr="00A55242" w:rsidRDefault="00A55242" w:rsidP="00A55242">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Further and more importantly, creditors of </w:t>
      </w:r>
      <w:proofErr w:type="spellStart"/>
      <w:r>
        <w:rPr>
          <w:rFonts w:ascii="Avenir Next" w:hAnsi="Avenir Next"/>
          <w:color w:val="808080" w:themeColor="background1" w:themeShade="80"/>
          <w:sz w:val="22"/>
          <w:szCs w:val="28"/>
        </w:rPr>
        <w:t>GH</w:t>
      </w:r>
      <w:proofErr w:type="spellEnd"/>
      <w:r>
        <w:rPr>
          <w:rFonts w:ascii="Avenir Next" w:hAnsi="Avenir Next"/>
          <w:color w:val="808080" w:themeColor="background1" w:themeShade="80"/>
          <w:sz w:val="22"/>
          <w:szCs w:val="28"/>
        </w:rPr>
        <w:t xml:space="preserve"> are likely to ascertain the U.S. as </w:t>
      </w:r>
      <w:proofErr w:type="spellStart"/>
      <w:r>
        <w:rPr>
          <w:rFonts w:ascii="Avenir Next" w:hAnsi="Avenir Next"/>
          <w:color w:val="808080" w:themeColor="background1" w:themeShade="80"/>
          <w:sz w:val="22"/>
          <w:szCs w:val="28"/>
        </w:rPr>
        <w:t>GH's</w:t>
      </w:r>
      <w:proofErr w:type="spellEnd"/>
      <w:r>
        <w:rPr>
          <w:rFonts w:ascii="Avenir Next" w:hAnsi="Avenir Next"/>
          <w:color w:val="808080" w:themeColor="background1" w:themeShade="80"/>
          <w:sz w:val="22"/>
          <w:szCs w:val="28"/>
        </w:rPr>
        <w:t xml:space="preserve"> </w:t>
      </w:r>
      <w:proofErr w:type="spellStart"/>
      <w:r>
        <w:rPr>
          <w:rFonts w:ascii="Avenir Next" w:hAnsi="Avenir Next"/>
          <w:color w:val="808080" w:themeColor="background1" w:themeShade="80"/>
          <w:sz w:val="22"/>
          <w:szCs w:val="28"/>
        </w:rPr>
        <w:t>COMI</w:t>
      </w:r>
      <w:proofErr w:type="spellEnd"/>
      <w:r>
        <w:rPr>
          <w:rFonts w:ascii="Avenir Next" w:hAnsi="Avenir Next"/>
          <w:color w:val="808080" w:themeColor="background1" w:themeShade="80"/>
          <w:sz w:val="22"/>
          <w:szCs w:val="28"/>
        </w:rPr>
        <w:t xml:space="preserve"> when all publically available documentation (e.g. the SEC filings)</w:t>
      </w:r>
      <w:r w:rsidR="00ED6614">
        <w:rPr>
          <w:rFonts w:ascii="Avenir Next" w:hAnsi="Avenir Next"/>
          <w:color w:val="808080" w:themeColor="background1" w:themeShade="80"/>
          <w:sz w:val="22"/>
          <w:szCs w:val="28"/>
        </w:rPr>
        <w:t xml:space="preserve"> </w:t>
      </w:r>
      <w:r w:rsidR="00731F37">
        <w:rPr>
          <w:rFonts w:ascii="Avenir Next" w:hAnsi="Avenir Next"/>
          <w:color w:val="808080" w:themeColor="background1" w:themeShade="80"/>
          <w:sz w:val="22"/>
          <w:szCs w:val="28"/>
        </w:rPr>
        <w:t>are</w:t>
      </w:r>
      <w:r>
        <w:rPr>
          <w:rFonts w:ascii="Avenir Next" w:hAnsi="Avenir Next"/>
          <w:color w:val="808080" w:themeColor="background1" w:themeShade="80"/>
          <w:sz w:val="22"/>
          <w:szCs w:val="28"/>
        </w:rPr>
        <w:t xml:space="preserve"> available</w:t>
      </w:r>
      <w:r w:rsidR="00906D27">
        <w:rPr>
          <w:rFonts w:ascii="Avenir Next" w:hAnsi="Avenir Next"/>
          <w:color w:val="808080" w:themeColor="background1" w:themeShade="80"/>
          <w:sz w:val="22"/>
          <w:szCs w:val="28"/>
        </w:rPr>
        <w:t xml:space="preserve"> in the U.S</w:t>
      </w:r>
      <w:r w:rsidR="00ED6614">
        <w:rPr>
          <w:rFonts w:ascii="Avenir Next" w:hAnsi="Avenir Next"/>
          <w:color w:val="808080" w:themeColor="background1" w:themeShade="80"/>
          <w:sz w:val="22"/>
          <w:szCs w:val="28"/>
        </w:rPr>
        <w:t>.</w:t>
      </w:r>
    </w:p>
    <w:p w14:paraId="782A10C5" w14:textId="5068F220" w:rsidR="003767E4" w:rsidRDefault="003767E4" w:rsidP="003767E4">
      <w:pPr>
        <w:jc w:val="both"/>
        <w:rPr>
          <w:rFonts w:ascii="Avenir Next" w:hAnsi="Avenir Next"/>
          <w:color w:val="808080" w:themeColor="background1" w:themeShade="80"/>
          <w:sz w:val="22"/>
          <w:szCs w:val="28"/>
        </w:rPr>
      </w:pPr>
    </w:p>
    <w:p w14:paraId="43A441E9" w14:textId="0E7A5848" w:rsidR="00126E19" w:rsidRDefault="00A55242"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 is also unlikely that </w:t>
      </w:r>
      <w:proofErr w:type="spellStart"/>
      <w:r>
        <w:rPr>
          <w:rFonts w:ascii="Avenir Next" w:hAnsi="Avenir Next"/>
          <w:color w:val="808080" w:themeColor="background1" w:themeShade="80"/>
          <w:sz w:val="22"/>
          <w:szCs w:val="28"/>
        </w:rPr>
        <w:t>GH</w:t>
      </w:r>
      <w:proofErr w:type="spellEnd"/>
      <w:r>
        <w:rPr>
          <w:rFonts w:ascii="Avenir Next" w:hAnsi="Avenir Next"/>
          <w:color w:val="808080" w:themeColor="background1" w:themeShade="80"/>
          <w:sz w:val="22"/>
          <w:szCs w:val="28"/>
        </w:rPr>
        <w:t xml:space="preserve"> would be viewed as maintaining an establishment in the Cayman Islands. 'Establishment' means "</w:t>
      </w:r>
      <w:r>
        <w:rPr>
          <w:rFonts w:ascii="Avenir Next" w:hAnsi="Avenir Next"/>
          <w:i/>
          <w:color w:val="808080" w:themeColor="background1" w:themeShade="80"/>
          <w:sz w:val="22"/>
          <w:szCs w:val="28"/>
        </w:rPr>
        <w:t>any place of operations where the debtor carries out a non-transitory economic activity with human means and goods or services.</w:t>
      </w:r>
      <w:r>
        <w:rPr>
          <w:rFonts w:ascii="Avenir Next" w:hAnsi="Avenir Next"/>
          <w:color w:val="808080" w:themeColor="background1" w:themeShade="80"/>
          <w:sz w:val="22"/>
          <w:szCs w:val="28"/>
        </w:rPr>
        <w:t xml:space="preserve">" </w:t>
      </w:r>
    </w:p>
    <w:p w14:paraId="06998C44" w14:textId="5BF61F27" w:rsidR="00A55242" w:rsidRDefault="00A55242" w:rsidP="00707FC8">
      <w:pPr>
        <w:jc w:val="both"/>
        <w:rPr>
          <w:rFonts w:ascii="Avenir Next" w:hAnsi="Avenir Next"/>
          <w:color w:val="808080" w:themeColor="background1" w:themeShade="80"/>
          <w:sz w:val="22"/>
          <w:szCs w:val="28"/>
        </w:rPr>
      </w:pPr>
    </w:p>
    <w:p w14:paraId="5C261DC9" w14:textId="5AF03E96" w:rsidR="00ED6614" w:rsidRDefault="0006124F" w:rsidP="00707FC8">
      <w:pPr>
        <w:jc w:val="both"/>
        <w:rPr>
          <w:rFonts w:ascii="Avenir Next" w:hAnsi="Avenir Next"/>
          <w:color w:val="808080" w:themeColor="background1" w:themeShade="80"/>
          <w:sz w:val="22"/>
          <w:szCs w:val="28"/>
        </w:rPr>
      </w:pPr>
      <w:proofErr w:type="spellStart"/>
      <w:r>
        <w:rPr>
          <w:rFonts w:ascii="Avenir Next" w:hAnsi="Avenir Next"/>
          <w:color w:val="808080" w:themeColor="background1" w:themeShade="80"/>
          <w:sz w:val="22"/>
          <w:szCs w:val="28"/>
        </w:rPr>
        <w:t>GH's</w:t>
      </w:r>
      <w:proofErr w:type="spellEnd"/>
      <w:r>
        <w:rPr>
          <w:rFonts w:ascii="Avenir Next" w:hAnsi="Avenir Next"/>
          <w:color w:val="808080" w:themeColor="background1" w:themeShade="80"/>
          <w:sz w:val="22"/>
          <w:szCs w:val="28"/>
        </w:rPr>
        <w:t xml:space="preserve"> presence in the Cayman Islands does not amount to economic activities that are exercised on the market</w:t>
      </w:r>
      <w:r w:rsidR="00271C27">
        <w:rPr>
          <w:rFonts w:ascii="Avenir Next" w:hAnsi="Avenir Next"/>
          <w:color w:val="808080" w:themeColor="background1" w:themeShade="80"/>
          <w:sz w:val="22"/>
          <w:szCs w:val="28"/>
        </w:rPr>
        <w:t xml:space="preserve"> externally.</w:t>
      </w:r>
      <w:r>
        <w:rPr>
          <w:rFonts w:ascii="Avenir Next" w:hAnsi="Avenir Next"/>
          <w:color w:val="808080" w:themeColor="background1" w:themeShade="80"/>
          <w:sz w:val="22"/>
          <w:szCs w:val="28"/>
        </w:rPr>
        <w:t xml:space="preserve"> Further, </w:t>
      </w:r>
      <w:proofErr w:type="spellStart"/>
      <w:r>
        <w:rPr>
          <w:rFonts w:ascii="Avenir Next" w:hAnsi="Avenir Next"/>
          <w:color w:val="808080" w:themeColor="background1" w:themeShade="80"/>
          <w:sz w:val="22"/>
          <w:szCs w:val="28"/>
        </w:rPr>
        <w:t>GH</w:t>
      </w:r>
      <w:proofErr w:type="spellEnd"/>
      <w:r>
        <w:rPr>
          <w:rFonts w:ascii="Avenir Next" w:hAnsi="Avenir Next"/>
          <w:color w:val="808080" w:themeColor="background1" w:themeShade="80"/>
          <w:sz w:val="22"/>
          <w:szCs w:val="28"/>
        </w:rPr>
        <w:t xml:space="preserve"> does not maintain human means within the Cayman I</w:t>
      </w:r>
      <w:r w:rsidR="00731F37">
        <w:rPr>
          <w:rFonts w:ascii="Avenir Next" w:hAnsi="Avenir Next"/>
          <w:color w:val="808080" w:themeColor="background1" w:themeShade="80"/>
          <w:sz w:val="22"/>
          <w:szCs w:val="28"/>
        </w:rPr>
        <w:t xml:space="preserve">slands (there are no employees or </w:t>
      </w:r>
      <w:r>
        <w:rPr>
          <w:rFonts w:ascii="Avenir Next" w:hAnsi="Avenir Next"/>
          <w:color w:val="808080" w:themeColor="background1" w:themeShade="80"/>
          <w:sz w:val="22"/>
          <w:szCs w:val="28"/>
        </w:rPr>
        <w:t xml:space="preserve">offices and business meetings of </w:t>
      </w:r>
      <w:proofErr w:type="spellStart"/>
      <w:r>
        <w:rPr>
          <w:rFonts w:ascii="Avenir Next" w:hAnsi="Avenir Next"/>
          <w:color w:val="808080" w:themeColor="background1" w:themeShade="80"/>
          <w:sz w:val="22"/>
          <w:szCs w:val="28"/>
        </w:rPr>
        <w:t>GH</w:t>
      </w:r>
      <w:proofErr w:type="spellEnd"/>
      <w:r>
        <w:rPr>
          <w:rFonts w:ascii="Avenir Next" w:hAnsi="Avenir Next"/>
          <w:color w:val="808080" w:themeColor="background1" w:themeShade="80"/>
          <w:sz w:val="22"/>
          <w:szCs w:val="28"/>
        </w:rPr>
        <w:t xml:space="preserve"> are held virtually) or any goods and services within Cayman.</w:t>
      </w:r>
    </w:p>
    <w:p w14:paraId="4304378F" w14:textId="3ABF9C38" w:rsidR="00ED6614" w:rsidRDefault="00ED6614" w:rsidP="00707FC8">
      <w:pPr>
        <w:jc w:val="both"/>
        <w:rPr>
          <w:rFonts w:ascii="Avenir Next" w:hAnsi="Avenir Next"/>
          <w:color w:val="808080" w:themeColor="background1" w:themeShade="80"/>
          <w:sz w:val="22"/>
          <w:szCs w:val="28"/>
        </w:rPr>
      </w:pPr>
    </w:p>
    <w:p w14:paraId="63D8DD98" w14:textId="2B579C7B" w:rsidR="00ED6614" w:rsidRDefault="00ED6614"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As such, it is likely that concurrent Chapter 11 proceedings in the U.S. would be required to be filed in addition to the Cayman proceedings</w:t>
      </w:r>
      <w:r w:rsidR="00271C27">
        <w:rPr>
          <w:rFonts w:ascii="Avenir Next" w:hAnsi="Avenir Next"/>
          <w:color w:val="808080" w:themeColor="background1" w:themeShade="80"/>
          <w:sz w:val="22"/>
          <w:szCs w:val="28"/>
        </w:rPr>
        <w:t xml:space="preserve"> in order to protect </w:t>
      </w:r>
      <w:proofErr w:type="spellStart"/>
      <w:r w:rsidR="00271C27">
        <w:rPr>
          <w:rFonts w:ascii="Avenir Next" w:hAnsi="Avenir Next"/>
          <w:color w:val="808080" w:themeColor="background1" w:themeShade="80"/>
          <w:sz w:val="22"/>
          <w:szCs w:val="28"/>
        </w:rPr>
        <w:t>GH</w:t>
      </w:r>
      <w:proofErr w:type="spellEnd"/>
      <w:r w:rsidR="00271C27">
        <w:rPr>
          <w:rFonts w:ascii="Avenir Next" w:hAnsi="Avenir Next"/>
          <w:color w:val="808080" w:themeColor="background1" w:themeShade="80"/>
          <w:sz w:val="22"/>
          <w:szCs w:val="28"/>
        </w:rPr>
        <w:t xml:space="preserve"> from a commencement of the US class action litigation</w:t>
      </w:r>
      <w:r>
        <w:rPr>
          <w:rFonts w:ascii="Avenir Next" w:hAnsi="Avenir Next"/>
          <w:color w:val="808080" w:themeColor="background1" w:themeShade="80"/>
          <w:sz w:val="22"/>
          <w:szCs w:val="28"/>
        </w:rPr>
        <w:t>.</w:t>
      </w:r>
    </w:p>
    <w:p w14:paraId="2E6D3973" w14:textId="77777777" w:rsidR="00ED6614" w:rsidRDefault="00ED6614" w:rsidP="00707FC8">
      <w:pPr>
        <w:jc w:val="both"/>
        <w:rPr>
          <w:rFonts w:ascii="Avenir Next" w:hAnsi="Avenir Next"/>
          <w:color w:val="808080" w:themeColor="background1" w:themeShade="80"/>
          <w:sz w:val="22"/>
          <w:szCs w:val="28"/>
        </w:rPr>
      </w:pPr>
    </w:p>
    <w:p w14:paraId="0C15F828" w14:textId="05E4DD5B" w:rsidR="00A55242" w:rsidRDefault="00ED6614"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circumstances where the above analysis is incorrect and </w:t>
      </w:r>
      <w:proofErr w:type="spellStart"/>
      <w:r>
        <w:rPr>
          <w:rFonts w:ascii="Avenir Next" w:hAnsi="Avenir Next"/>
          <w:color w:val="808080" w:themeColor="background1" w:themeShade="80"/>
          <w:sz w:val="22"/>
          <w:szCs w:val="28"/>
        </w:rPr>
        <w:t>GH</w:t>
      </w:r>
      <w:proofErr w:type="spellEnd"/>
      <w:r>
        <w:rPr>
          <w:rFonts w:ascii="Avenir Next" w:hAnsi="Avenir Next"/>
          <w:color w:val="808080" w:themeColor="background1" w:themeShade="80"/>
          <w:sz w:val="22"/>
          <w:szCs w:val="28"/>
        </w:rPr>
        <w:t xml:space="preserve"> is determined to have an establishment in the Cayman Islands, a foreign representative appointed to </w:t>
      </w:r>
      <w:proofErr w:type="spellStart"/>
      <w:r>
        <w:rPr>
          <w:rFonts w:ascii="Avenir Next" w:hAnsi="Avenir Next"/>
          <w:color w:val="808080" w:themeColor="background1" w:themeShade="80"/>
          <w:sz w:val="22"/>
          <w:szCs w:val="28"/>
        </w:rPr>
        <w:t>GH</w:t>
      </w:r>
      <w:proofErr w:type="spellEnd"/>
      <w:r>
        <w:rPr>
          <w:rFonts w:ascii="Avenir Next" w:hAnsi="Avenir Next"/>
          <w:color w:val="808080" w:themeColor="background1" w:themeShade="80"/>
          <w:sz w:val="22"/>
          <w:szCs w:val="28"/>
        </w:rPr>
        <w:t xml:space="preserve"> under the Cayman proceedings should file for recognition of foreign non-main proceedings under Chapter 15 of the US Bankruptcy Code. This would involve the foreign representative making an application under Article 15 of the </w:t>
      </w:r>
      <w:proofErr w:type="spellStart"/>
      <w:r>
        <w:rPr>
          <w:rFonts w:ascii="Avenir Next" w:hAnsi="Avenir Next"/>
          <w:color w:val="808080" w:themeColor="background1" w:themeShade="80"/>
          <w:sz w:val="22"/>
          <w:szCs w:val="28"/>
        </w:rPr>
        <w:t>MLCBI</w:t>
      </w:r>
      <w:proofErr w:type="spellEnd"/>
      <w:r>
        <w:rPr>
          <w:rFonts w:ascii="Avenir Next" w:hAnsi="Avenir Next"/>
          <w:color w:val="808080" w:themeColor="background1" w:themeShade="80"/>
          <w:sz w:val="22"/>
          <w:szCs w:val="28"/>
        </w:rPr>
        <w:t xml:space="preserve"> and obtaining the following evidence in support: </w:t>
      </w:r>
    </w:p>
    <w:p w14:paraId="380C95CB" w14:textId="39C95A9D" w:rsidR="00ED6614" w:rsidRDefault="00ED6614" w:rsidP="00707FC8">
      <w:pPr>
        <w:jc w:val="both"/>
        <w:rPr>
          <w:rFonts w:ascii="Avenir Next" w:hAnsi="Avenir Next"/>
          <w:color w:val="808080" w:themeColor="background1" w:themeShade="80"/>
          <w:sz w:val="22"/>
          <w:szCs w:val="28"/>
        </w:rPr>
      </w:pPr>
    </w:p>
    <w:p w14:paraId="7CA61C76" w14:textId="1E9D1DA2" w:rsidR="00ED6614" w:rsidRDefault="00ED6614" w:rsidP="00ED6614">
      <w:pPr>
        <w:pStyle w:val="ListParagraph"/>
        <w:numPr>
          <w:ilvl w:val="0"/>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certified copy of the decision commencing the Cayman proceedings </w:t>
      </w:r>
      <w:r w:rsidR="00271C27">
        <w:rPr>
          <w:rFonts w:ascii="Avenir Next" w:hAnsi="Avenir Next"/>
          <w:color w:val="808080" w:themeColor="background1" w:themeShade="80"/>
          <w:sz w:val="22"/>
          <w:szCs w:val="28"/>
        </w:rPr>
        <w:t xml:space="preserve">and appointing the foreign representative; or </w:t>
      </w:r>
    </w:p>
    <w:p w14:paraId="0C8680C9" w14:textId="77777777" w:rsidR="00271C27" w:rsidRDefault="00271C27" w:rsidP="00271C27">
      <w:pPr>
        <w:pStyle w:val="ListParagraph"/>
        <w:jc w:val="both"/>
        <w:rPr>
          <w:rFonts w:ascii="Avenir Next" w:hAnsi="Avenir Next"/>
          <w:color w:val="808080" w:themeColor="background1" w:themeShade="80"/>
          <w:sz w:val="22"/>
          <w:szCs w:val="28"/>
        </w:rPr>
      </w:pPr>
    </w:p>
    <w:p w14:paraId="08972A50" w14:textId="2F0DB2E4" w:rsidR="00271C27" w:rsidRDefault="00271C27" w:rsidP="00ED6614">
      <w:pPr>
        <w:pStyle w:val="ListParagraph"/>
        <w:numPr>
          <w:ilvl w:val="0"/>
          <w:numId w:val="26"/>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certificate from the Cayman court affirming the existence of the Cayman proceedings and the appointment of the foreign representative; or </w:t>
      </w:r>
    </w:p>
    <w:p w14:paraId="3B94A35B" w14:textId="77777777" w:rsidR="00271C27" w:rsidRDefault="00271C27" w:rsidP="00271C27">
      <w:pPr>
        <w:pStyle w:val="ListParagraph"/>
        <w:jc w:val="both"/>
        <w:rPr>
          <w:rFonts w:ascii="Avenir Next" w:hAnsi="Avenir Next"/>
          <w:color w:val="808080" w:themeColor="background1" w:themeShade="80"/>
          <w:sz w:val="22"/>
          <w:szCs w:val="28"/>
        </w:rPr>
      </w:pPr>
    </w:p>
    <w:p w14:paraId="3579DD88" w14:textId="32F2F75F" w:rsidR="00271C27" w:rsidRDefault="00271C27" w:rsidP="00ED6614">
      <w:pPr>
        <w:pStyle w:val="ListParagraph"/>
        <w:numPr>
          <w:ilvl w:val="0"/>
          <w:numId w:val="26"/>
        </w:numPr>
        <w:jc w:val="both"/>
        <w:rPr>
          <w:rFonts w:ascii="Avenir Next" w:hAnsi="Avenir Next"/>
          <w:color w:val="808080" w:themeColor="background1" w:themeShade="80"/>
          <w:sz w:val="22"/>
          <w:szCs w:val="28"/>
        </w:rPr>
      </w:pPr>
      <w:proofErr w:type="gramStart"/>
      <w:r>
        <w:rPr>
          <w:rFonts w:ascii="Avenir Next" w:hAnsi="Avenir Next"/>
          <w:color w:val="808080" w:themeColor="background1" w:themeShade="80"/>
          <w:sz w:val="22"/>
          <w:szCs w:val="28"/>
        </w:rPr>
        <w:t>in</w:t>
      </w:r>
      <w:proofErr w:type="gramEnd"/>
      <w:r>
        <w:rPr>
          <w:rFonts w:ascii="Avenir Next" w:hAnsi="Avenir Next"/>
          <w:color w:val="808080" w:themeColor="background1" w:themeShade="80"/>
          <w:sz w:val="22"/>
          <w:szCs w:val="28"/>
        </w:rPr>
        <w:t xml:space="preserve"> the absence of evidence referred to in (1.) and (2.) above, any other evidence acceptable to the court of the existence of the Cayman proceedings and the appointment of foreign representatives. </w:t>
      </w:r>
    </w:p>
    <w:p w14:paraId="2E08C8F6" w14:textId="5397B055" w:rsidR="00271C27" w:rsidRDefault="00271C27" w:rsidP="00271C27">
      <w:pPr>
        <w:jc w:val="both"/>
        <w:rPr>
          <w:rFonts w:ascii="Avenir Next" w:hAnsi="Avenir Next"/>
          <w:color w:val="808080" w:themeColor="background1" w:themeShade="80"/>
          <w:sz w:val="22"/>
          <w:szCs w:val="28"/>
        </w:rPr>
      </w:pPr>
    </w:p>
    <w:p w14:paraId="1A276443" w14:textId="3ECC2EFE" w:rsidR="0006124F" w:rsidRPr="00906D27" w:rsidRDefault="00906D27"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Following any recognition of the Cayman proceedings, the foreign representatives should proceed to obtain relief under Article 20 for a stay of commencement in respect to the U.S. class action litigation.</w:t>
      </w:r>
    </w:p>
    <w:bookmarkEnd w:id="2"/>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4F643" w14:textId="77777777" w:rsidR="00814E5E" w:rsidRDefault="00814E5E" w:rsidP="00241B44">
      <w:r>
        <w:separator/>
      </w:r>
    </w:p>
  </w:endnote>
  <w:endnote w:type="continuationSeparator" w:id="0">
    <w:p w14:paraId="0C2424AD" w14:textId="77777777" w:rsidR="00814E5E" w:rsidRDefault="00814E5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800000AF" w:usb1="5000204A" w:usb2="00000000" w:usb3="00000000" w:csb0="0000009B" w:csb1="00000000"/>
  </w:font>
  <w:font w:name="Avenir Next">
    <w:altName w:val="Trebuchet MS"/>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EndPr>
      <w:rPr>
        <w:rStyle w:val="PageNumber"/>
      </w:rPr>
    </w:sdtEndPr>
    <w:sdtContent>
      <w:p w14:paraId="75DFA1A2" w14:textId="6BA13D30" w:rsidR="00814E5E" w:rsidRDefault="00814E5E"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814E5E" w:rsidRDefault="00814E5E"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814E5E" w:rsidRPr="000300E0" w:rsidRDefault="00814E5E" w:rsidP="00814E5E">
    <w:pPr>
      <w:pStyle w:val="Footer"/>
      <w:framePr w:wrap="none" w:vAnchor="text" w:hAnchor="margin" w:xAlign="right" w:y="1"/>
      <w:rPr>
        <w:rStyle w:val="PageNumber"/>
        <w:rFonts w:ascii="Avenir Next" w:hAnsi="Avenir Next"/>
        <w:sz w:val="22"/>
        <w:szCs w:val="22"/>
      </w:rPr>
    </w:pPr>
  </w:p>
  <w:p w14:paraId="6BA38AA4" w14:textId="0591D1DD" w:rsidR="00814E5E" w:rsidRDefault="00814E5E"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EndPr>
      <w:rPr>
        <w:rStyle w:val="PageNumber"/>
      </w:rPr>
    </w:sdtEndPr>
    <w:sdtContent>
      <w:p w14:paraId="1F7F18A2" w14:textId="560E059B" w:rsidR="00814E5E" w:rsidRDefault="00814E5E" w:rsidP="00814E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814E5E" w:rsidRPr="000300E0" w:rsidRDefault="00814E5E" w:rsidP="000300E0">
    <w:pPr>
      <w:pStyle w:val="Footer"/>
      <w:ind w:right="360"/>
      <w:rPr>
        <w:rFonts w:ascii="Avenir Next" w:hAnsi="Avenir Next" w:cs="Arial"/>
        <w:sz w:val="22"/>
        <w:szCs w:val="22"/>
      </w:rPr>
    </w:pPr>
  </w:p>
  <w:p w14:paraId="01028C96" w14:textId="77777777" w:rsidR="00814E5E" w:rsidRDefault="00814E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5745" w14:textId="057034B2" w:rsidR="00814E5E" w:rsidRPr="00B46CE2" w:rsidRDefault="00690B58" w:rsidP="000300E0">
    <w:pPr>
      <w:pStyle w:val="Footer"/>
      <w:ind w:right="360"/>
      <w:rPr>
        <w:rFonts w:ascii="Avenir Next" w:hAnsi="Avenir Next"/>
        <w:sz w:val="22"/>
        <w:szCs w:val="22"/>
      </w:rPr>
    </w:pPr>
    <w:r>
      <w:rPr>
        <w:rFonts w:ascii="Avenir Next" w:hAnsi="Avenir Next" w:cs="Arial"/>
        <w:sz w:val="22"/>
        <w:szCs w:val="22"/>
      </w:rPr>
      <w:t>FC202324-1409</w:t>
    </w:r>
    <w:r w:rsidR="00814E5E"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194D969C" w:rsidR="00814E5E" w:rsidRPr="000300E0" w:rsidRDefault="00814E5E"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690B58">
          <w:rPr>
            <w:rStyle w:val="PageNumber"/>
            <w:rFonts w:ascii="Avenir Next" w:hAnsi="Avenir Next"/>
            <w:noProof/>
            <w:sz w:val="22"/>
            <w:szCs w:val="22"/>
          </w:rPr>
          <w:t>3</w:t>
        </w:r>
        <w:r w:rsidRPr="000300E0">
          <w:rPr>
            <w:rStyle w:val="PageNumber"/>
            <w:rFonts w:ascii="Avenir Next" w:hAnsi="Avenir Next"/>
            <w:sz w:val="22"/>
            <w:szCs w:val="22"/>
          </w:rPr>
          <w:fldChar w:fldCharType="end"/>
        </w:r>
      </w:p>
    </w:sdtContent>
  </w:sdt>
  <w:p w14:paraId="4C5B12BE" w14:textId="77777777" w:rsidR="00814E5E" w:rsidRPr="000300E0" w:rsidRDefault="00814E5E"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814E5E" w:rsidRDefault="00814E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B2154" w14:textId="77777777" w:rsidR="00814E5E" w:rsidRDefault="00814E5E" w:rsidP="00241B44">
      <w:r>
        <w:separator/>
      </w:r>
    </w:p>
  </w:footnote>
  <w:footnote w:type="continuationSeparator" w:id="0">
    <w:p w14:paraId="300F8B08" w14:textId="77777777" w:rsidR="00814E5E" w:rsidRDefault="00814E5E" w:rsidP="00241B44">
      <w:r>
        <w:continuationSeparator/>
      </w:r>
    </w:p>
  </w:footnote>
  <w:footnote w:id="1">
    <w:p w14:paraId="6BFB7B6D" w14:textId="2CED0024" w:rsidR="00814E5E" w:rsidRPr="00965491" w:rsidRDefault="00814E5E">
      <w:pPr>
        <w:pStyle w:val="FootnoteText"/>
        <w:rPr>
          <w:i/>
        </w:rPr>
      </w:pPr>
      <w:r>
        <w:rPr>
          <w:rStyle w:val="FootnoteReference"/>
        </w:rPr>
        <w:footnoteRef/>
      </w:r>
      <w:r>
        <w:t xml:space="preserve"> According to the </w:t>
      </w:r>
      <w:proofErr w:type="spellStart"/>
      <w:r>
        <w:t>UNCITRAL</w:t>
      </w:r>
      <w:proofErr w:type="spellEnd"/>
      <w:r>
        <w:t xml:space="preserve"> Guide to Enactment, p 24 at para 19.</w:t>
      </w:r>
    </w:p>
  </w:footnote>
  <w:footnote w:id="2">
    <w:p w14:paraId="191FBC84" w14:textId="1B91D8A6" w:rsidR="00AF052B" w:rsidRPr="00AF052B" w:rsidRDefault="00AF052B">
      <w:pPr>
        <w:pStyle w:val="FootnoteText"/>
      </w:pPr>
      <w:r>
        <w:rPr>
          <w:rStyle w:val="FootnoteReference"/>
        </w:rPr>
        <w:footnoteRef/>
      </w:r>
      <w:r>
        <w:t xml:space="preserve"> </w:t>
      </w:r>
      <w:r>
        <w:rPr>
          <w:i/>
        </w:rPr>
        <w:t>New Zealand</w:t>
      </w:r>
      <w:r>
        <w:t xml:space="preserve">: Williams v Simpson (No. 1) [2011] </w:t>
      </w:r>
      <w:proofErr w:type="spellStart"/>
      <w:r>
        <w:t>NZHC</w:t>
      </w:r>
      <w:proofErr w:type="spellEnd"/>
      <w:r>
        <w:t xml:space="preserve"> 1631 (17 September 2010) [para 44].</w:t>
      </w:r>
    </w:p>
  </w:footnote>
  <w:footnote w:id="3">
    <w:p w14:paraId="24546B78" w14:textId="33EF57E5" w:rsidR="00AF052B" w:rsidRDefault="00AF052B">
      <w:pPr>
        <w:pStyle w:val="FootnoteText"/>
      </w:pPr>
      <w:r>
        <w:rPr>
          <w:rStyle w:val="FootnoteReference"/>
        </w:rPr>
        <w:footnoteRef/>
      </w:r>
      <w:r>
        <w:t xml:space="preserve"> </w:t>
      </w:r>
      <w:r>
        <w:rPr>
          <w:i/>
        </w:rPr>
        <w:t>United States</w:t>
      </w:r>
      <w:r>
        <w:t>: Japan Airlines Corp. (</w:t>
      </w:r>
      <w:proofErr w:type="spellStart"/>
      <w:r>
        <w:t>Bankr</w:t>
      </w:r>
      <w:proofErr w:type="spellEnd"/>
      <w:r>
        <w:t xml:space="preserve">. </w:t>
      </w:r>
      <w:proofErr w:type="spellStart"/>
      <w:r>
        <w:t>S.D.N.Y</w:t>
      </w:r>
      <w:proofErr w:type="spellEnd"/>
      <w:r>
        <w:t>. Jan 28, 2010), pp 1-2.</w:t>
      </w:r>
    </w:p>
  </w:footnote>
  <w:footnote w:id="4">
    <w:p w14:paraId="46CAE059" w14:textId="1610D4C6" w:rsidR="00814E5E" w:rsidRPr="00AF052B" w:rsidRDefault="00814E5E">
      <w:pPr>
        <w:pStyle w:val="FootnoteText"/>
      </w:pPr>
      <w:r>
        <w:rPr>
          <w:rStyle w:val="FootnoteReference"/>
        </w:rPr>
        <w:footnoteRef/>
      </w:r>
      <w:r>
        <w:t xml:space="preserve"> </w:t>
      </w:r>
      <w:r w:rsidR="00AF052B">
        <w:t>Ibid.</w:t>
      </w:r>
    </w:p>
  </w:footnote>
  <w:footnote w:id="5">
    <w:p w14:paraId="19884E68" w14:textId="1C302BEA" w:rsidR="00814E5E" w:rsidRPr="005D2C22" w:rsidRDefault="00814E5E">
      <w:pPr>
        <w:pStyle w:val="FootnoteText"/>
      </w:pPr>
      <w:r>
        <w:rPr>
          <w:rStyle w:val="FootnoteReference"/>
        </w:rPr>
        <w:footnoteRef/>
      </w:r>
      <w:r>
        <w:t xml:space="preserve"> </w:t>
      </w:r>
      <w:r>
        <w:rPr>
          <w:i/>
        </w:rPr>
        <w:t>Australia</w:t>
      </w:r>
      <w:r>
        <w:t xml:space="preserve">: Trucker (2009) </w:t>
      </w:r>
      <w:proofErr w:type="spellStart"/>
      <w:r>
        <w:t>FCA</w:t>
      </w:r>
      <w:proofErr w:type="spellEnd"/>
      <w:r>
        <w:t xml:space="preserve"> 1354 [para 22], CLOUT 922 – court referred to relief available under art. 20, </w:t>
      </w:r>
      <w:proofErr w:type="spellStart"/>
      <w:r>
        <w:t>subpara</w:t>
      </w:r>
      <w:proofErr w:type="spellEnd"/>
      <w:r>
        <w:t xml:space="preserve"> 1 (c).</w:t>
      </w:r>
    </w:p>
  </w:footnote>
  <w:footnote w:id="6">
    <w:p w14:paraId="59C4C812" w14:textId="77777777" w:rsidR="00814E5E" w:rsidRDefault="00814E5E" w:rsidP="00EB0B6D">
      <w:pPr>
        <w:pStyle w:val="FootnoteText"/>
      </w:pPr>
      <w:r>
        <w:rPr>
          <w:rStyle w:val="FootnoteReference"/>
        </w:rPr>
        <w:footnoteRef/>
      </w:r>
      <w:r>
        <w:t xml:space="preserve"> </w:t>
      </w:r>
      <w:proofErr w:type="spellStart"/>
      <w:r>
        <w:t>UNCITRAL</w:t>
      </w:r>
      <w:proofErr w:type="spellEnd"/>
      <w:r>
        <w:t xml:space="preserve"> Guide to Enactment, p 44, para 82.</w:t>
      </w:r>
    </w:p>
  </w:footnote>
  <w:footnote w:id="7">
    <w:p w14:paraId="2A77F59C" w14:textId="07F3C541" w:rsidR="00814E5E" w:rsidRPr="00784D13" w:rsidRDefault="00814E5E">
      <w:pPr>
        <w:pStyle w:val="FootnoteText"/>
      </w:pPr>
      <w:r>
        <w:rPr>
          <w:rStyle w:val="FootnoteReference"/>
        </w:rPr>
        <w:footnoteRef/>
      </w:r>
      <w:r>
        <w:t xml:space="preserve"> </w:t>
      </w:r>
      <w:r>
        <w:rPr>
          <w:i/>
        </w:rPr>
        <w:t>Untied States</w:t>
      </w:r>
      <w:r>
        <w:t xml:space="preserve">: </w:t>
      </w:r>
      <w:proofErr w:type="spellStart"/>
      <w:r>
        <w:t>SPhinX</w:t>
      </w:r>
      <w:proofErr w:type="spellEnd"/>
      <w:r>
        <w:t xml:space="preserve">, Ltd. 351 </w:t>
      </w:r>
      <w:proofErr w:type="spellStart"/>
      <w:r>
        <w:t>B.R</w:t>
      </w:r>
      <w:proofErr w:type="spellEnd"/>
      <w:r>
        <w:t>. 103, 122 (</w:t>
      </w:r>
      <w:proofErr w:type="spellStart"/>
      <w:r>
        <w:t>Bankr</w:t>
      </w:r>
      <w:proofErr w:type="spellEnd"/>
      <w:r>
        <w:t xml:space="preserve">. </w:t>
      </w:r>
      <w:proofErr w:type="spellStart"/>
      <w:r>
        <w:t>S.D.N.Y</w:t>
      </w:r>
      <w:proofErr w:type="spellEnd"/>
      <w:r>
        <w:t>. 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2D4364"/>
    <w:multiLevelType w:val="hybridMultilevel"/>
    <w:tmpl w:val="DC28795E"/>
    <w:lvl w:ilvl="0" w:tplc="4154AAD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6C51CCD"/>
    <w:multiLevelType w:val="hybridMultilevel"/>
    <w:tmpl w:val="586A4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8E83188"/>
    <w:multiLevelType w:val="hybridMultilevel"/>
    <w:tmpl w:val="B8D0A98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09B0E5B"/>
    <w:multiLevelType w:val="hybridMultilevel"/>
    <w:tmpl w:val="B8D0A98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5211830"/>
    <w:multiLevelType w:val="hybridMultilevel"/>
    <w:tmpl w:val="30349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3A025C"/>
    <w:multiLevelType w:val="hybridMultilevel"/>
    <w:tmpl w:val="AB264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ED14F13"/>
    <w:multiLevelType w:val="hybridMultilevel"/>
    <w:tmpl w:val="AB264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F91861"/>
    <w:multiLevelType w:val="hybridMultilevel"/>
    <w:tmpl w:val="0AE8D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77318B"/>
    <w:multiLevelType w:val="hybridMultilevel"/>
    <w:tmpl w:val="B978C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C1C21E2"/>
    <w:multiLevelType w:val="hybridMultilevel"/>
    <w:tmpl w:val="48069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7"/>
  </w:num>
  <w:num w:numId="3">
    <w:abstractNumId w:val="3"/>
  </w:num>
  <w:num w:numId="4">
    <w:abstractNumId w:val="26"/>
  </w:num>
  <w:num w:numId="5">
    <w:abstractNumId w:val="24"/>
  </w:num>
  <w:num w:numId="6">
    <w:abstractNumId w:val="23"/>
  </w:num>
  <w:num w:numId="7">
    <w:abstractNumId w:val="5"/>
  </w:num>
  <w:num w:numId="8">
    <w:abstractNumId w:val="6"/>
  </w:num>
  <w:num w:numId="9">
    <w:abstractNumId w:val="13"/>
  </w:num>
  <w:num w:numId="10">
    <w:abstractNumId w:val="12"/>
  </w:num>
  <w:num w:numId="11">
    <w:abstractNumId w:val="4"/>
  </w:num>
  <w:num w:numId="12">
    <w:abstractNumId w:val="10"/>
  </w:num>
  <w:num w:numId="13">
    <w:abstractNumId w:val="11"/>
  </w:num>
  <w:num w:numId="14">
    <w:abstractNumId w:val="1"/>
  </w:num>
  <w:num w:numId="15">
    <w:abstractNumId w:val="0"/>
  </w:num>
  <w:num w:numId="16">
    <w:abstractNumId w:val="9"/>
  </w:num>
  <w:num w:numId="17">
    <w:abstractNumId w:val="19"/>
  </w:num>
  <w:num w:numId="18">
    <w:abstractNumId w:val="14"/>
  </w:num>
  <w:num w:numId="19">
    <w:abstractNumId w:val="20"/>
  </w:num>
  <w:num w:numId="20">
    <w:abstractNumId w:val="25"/>
  </w:num>
  <w:num w:numId="21">
    <w:abstractNumId w:val="15"/>
  </w:num>
  <w:num w:numId="22">
    <w:abstractNumId w:val="18"/>
  </w:num>
  <w:num w:numId="23">
    <w:abstractNumId w:val="22"/>
  </w:num>
  <w:num w:numId="24">
    <w:abstractNumId w:val="8"/>
  </w:num>
  <w:num w:numId="25">
    <w:abstractNumId w:val="16"/>
  </w:num>
  <w:num w:numId="26">
    <w:abstractNumId w:val="21"/>
  </w:num>
  <w:num w:numId="2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1365B"/>
    <w:rsid w:val="00013745"/>
    <w:rsid w:val="00020557"/>
    <w:rsid w:val="000232A1"/>
    <w:rsid w:val="000250C7"/>
    <w:rsid w:val="00025CCF"/>
    <w:rsid w:val="000300E0"/>
    <w:rsid w:val="0003114A"/>
    <w:rsid w:val="0003452C"/>
    <w:rsid w:val="000352C1"/>
    <w:rsid w:val="0003619C"/>
    <w:rsid w:val="0003743B"/>
    <w:rsid w:val="00037621"/>
    <w:rsid w:val="00044D46"/>
    <w:rsid w:val="00045088"/>
    <w:rsid w:val="00045904"/>
    <w:rsid w:val="000464F7"/>
    <w:rsid w:val="0005141D"/>
    <w:rsid w:val="00060E02"/>
    <w:rsid w:val="0006124F"/>
    <w:rsid w:val="00065166"/>
    <w:rsid w:val="00067A88"/>
    <w:rsid w:val="00070B92"/>
    <w:rsid w:val="00073474"/>
    <w:rsid w:val="00074DC5"/>
    <w:rsid w:val="00077D49"/>
    <w:rsid w:val="00081B65"/>
    <w:rsid w:val="00082609"/>
    <w:rsid w:val="00083B38"/>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0F64F5"/>
    <w:rsid w:val="00100E8F"/>
    <w:rsid w:val="00101707"/>
    <w:rsid w:val="00101A9E"/>
    <w:rsid w:val="00107BD0"/>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1A5"/>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25B9"/>
    <w:rsid w:val="001E49E0"/>
    <w:rsid w:val="001E5522"/>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1C27"/>
    <w:rsid w:val="0027299F"/>
    <w:rsid w:val="00276913"/>
    <w:rsid w:val="002803FA"/>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1DD0"/>
    <w:rsid w:val="002E2322"/>
    <w:rsid w:val="002E38E2"/>
    <w:rsid w:val="002E7A06"/>
    <w:rsid w:val="002F1956"/>
    <w:rsid w:val="002F3440"/>
    <w:rsid w:val="002F4EC0"/>
    <w:rsid w:val="002F71BE"/>
    <w:rsid w:val="002F75A3"/>
    <w:rsid w:val="002F78CA"/>
    <w:rsid w:val="00303C2F"/>
    <w:rsid w:val="00312911"/>
    <w:rsid w:val="003144EF"/>
    <w:rsid w:val="003148CA"/>
    <w:rsid w:val="00315506"/>
    <w:rsid w:val="0032094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08D"/>
    <w:rsid w:val="00346B16"/>
    <w:rsid w:val="00361A0A"/>
    <w:rsid w:val="0036565C"/>
    <w:rsid w:val="0036625E"/>
    <w:rsid w:val="0036760B"/>
    <w:rsid w:val="0037465A"/>
    <w:rsid w:val="0037544E"/>
    <w:rsid w:val="003767E4"/>
    <w:rsid w:val="00380BAB"/>
    <w:rsid w:val="00382C98"/>
    <w:rsid w:val="0038533C"/>
    <w:rsid w:val="00386568"/>
    <w:rsid w:val="00387106"/>
    <w:rsid w:val="00391F3E"/>
    <w:rsid w:val="003948D5"/>
    <w:rsid w:val="003963D4"/>
    <w:rsid w:val="00396821"/>
    <w:rsid w:val="00397D3A"/>
    <w:rsid w:val="003A051E"/>
    <w:rsid w:val="003A1CA9"/>
    <w:rsid w:val="003A2FEE"/>
    <w:rsid w:val="003B1310"/>
    <w:rsid w:val="003B170F"/>
    <w:rsid w:val="003B3C5F"/>
    <w:rsid w:val="003C089D"/>
    <w:rsid w:val="003C4471"/>
    <w:rsid w:val="003C66B1"/>
    <w:rsid w:val="003D0A6D"/>
    <w:rsid w:val="003E0B16"/>
    <w:rsid w:val="003E67D1"/>
    <w:rsid w:val="00404350"/>
    <w:rsid w:val="00405C99"/>
    <w:rsid w:val="00405DC1"/>
    <w:rsid w:val="0040710D"/>
    <w:rsid w:val="0041139B"/>
    <w:rsid w:val="004137C3"/>
    <w:rsid w:val="00413D3A"/>
    <w:rsid w:val="00415F1F"/>
    <w:rsid w:val="00416BC8"/>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0D93"/>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035"/>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4619"/>
    <w:rsid w:val="005463A9"/>
    <w:rsid w:val="00547993"/>
    <w:rsid w:val="00553EB2"/>
    <w:rsid w:val="00554EDE"/>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00B9"/>
    <w:rsid w:val="00592F82"/>
    <w:rsid w:val="005A0CCA"/>
    <w:rsid w:val="005A726D"/>
    <w:rsid w:val="005B67AC"/>
    <w:rsid w:val="005C2C94"/>
    <w:rsid w:val="005C36BC"/>
    <w:rsid w:val="005C4865"/>
    <w:rsid w:val="005D2C22"/>
    <w:rsid w:val="005D43E0"/>
    <w:rsid w:val="005D58A3"/>
    <w:rsid w:val="005E1B79"/>
    <w:rsid w:val="005E5C28"/>
    <w:rsid w:val="005F026D"/>
    <w:rsid w:val="005F21F4"/>
    <w:rsid w:val="005F2D0B"/>
    <w:rsid w:val="005F4B31"/>
    <w:rsid w:val="006027A1"/>
    <w:rsid w:val="00610388"/>
    <w:rsid w:val="00612CA5"/>
    <w:rsid w:val="006153EC"/>
    <w:rsid w:val="00621A17"/>
    <w:rsid w:val="00622586"/>
    <w:rsid w:val="00622C2B"/>
    <w:rsid w:val="00622DCB"/>
    <w:rsid w:val="00627CC9"/>
    <w:rsid w:val="00627E7B"/>
    <w:rsid w:val="00630542"/>
    <w:rsid w:val="00632E44"/>
    <w:rsid w:val="00634622"/>
    <w:rsid w:val="00636808"/>
    <w:rsid w:val="00640227"/>
    <w:rsid w:val="00641002"/>
    <w:rsid w:val="00641515"/>
    <w:rsid w:val="00651AE3"/>
    <w:rsid w:val="00652FEB"/>
    <w:rsid w:val="00654C2F"/>
    <w:rsid w:val="00657087"/>
    <w:rsid w:val="0066252C"/>
    <w:rsid w:val="00665DBD"/>
    <w:rsid w:val="006661EF"/>
    <w:rsid w:val="0067294B"/>
    <w:rsid w:val="00677736"/>
    <w:rsid w:val="0067785F"/>
    <w:rsid w:val="00677AEB"/>
    <w:rsid w:val="00680EF2"/>
    <w:rsid w:val="006839C2"/>
    <w:rsid w:val="00687A1D"/>
    <w:rsid w:val="00690B58"/>
    <w:rsid w:val="006920CC"/>
    <w:rsid w:val="00692AB2"/>
    <w:rsid w:val="0069647C"/>
    <w:rsid w:val="00697EA1"/>
    <w:rsid w:val="006A1850"/>
    <w:rsid w:val="006A2646"/>
    <w:rsid w:val="006A3DF0"/>
    <w:rsid w:val="006A6530"/>
    <w:rsid w:val="006B435A"/>
    <w:rsid w:val="006B4687"/>
    <w:rsid w:val="006B4C64"/>
    <w:rsid w:val="006B4FFC"/>
    <w:rsid w:val="006D0E6E"/>
    <w:rsid w:val="006D6BD5"/>
    <w:rsid w:val="006E481A"/>
    <w:rsid w:val="006E5298"/>
    <w:rsid w:val="006E6F55"/>
    <w:rsid w:val="006F2CE3"/>
    <w:rsid w:val="006F734A"/>
    <w:rsid w:val="00700D83"/>
    <w:rsid w:val="00703819"/>
    <w:rsid w:val="00704852"/>
    <w:rsid w:val="00706297"/>
    <w:rsid w:val="00706AD5"/>
    <w:rsid w:val="007074E9"/>
    <w:rsid w:val="00707FC8"/>
    <w:rsid w:val="00713DA4"/>
    <w:rsid w:val="00714BF1"/>
    <w:rsid w:val="00715AE5"/>
    <w:rsid w:val="00721383"/>
    <w:rsid w:val="0072554C"/>
    <w:rsid w:val="00725911"/>
    <w:rsid w:val="00731DBD"/>
    <w:rsid w:val="00731F37"/>
    <w:rsid w:val="007333CC"/>
    <w:rsid w:val="0073399A"/>
    <w:rsid w:val="00744FAC"/>
    <w:rsid w:val="00751F66"/>
    <w:rsid w:val="007603F5"/>
    <w:rsid w:val="00764DB0"/>
    <w:rsid w:val="00766F8A"/>
    <w:rsid w:val="0076764D"/>
    <w:rsid w:val="0077498C"/>
    <w:rsid w:val="00777183"/>
    <w:rsid w:val="00784128"/>
    <w:rsid w:val="00784B4B"/>
    <w:rsid w:val="00784D13"/>
    <w:rsid w:val="007854ED"/>
    <w:rsid w:val="00793173"/>
    <w:rsid w:val="00797AFC"/>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4E5E"/>
    <w:rsid w:val="00817D57"/>
    <w:rsid w:val="00822764"/>
    <w:rsid w:val="008241C4"/>
    <w:rsid w:val="0082483F"/>
    <w:rsid w:val="008264CB"/>
    <w:rsid w:val="008279C0"/>
    <w:rsid w:val="00835FD1"/>
    <w:rsid w:val="0084683C"/>
    <w:rsid w:val="008512FA"/>
    <w:rsid w:val="00853A74"/>
    <w:rsid w:val="00857763"/>
    <w:rsid w:val="0086079B"/>
    <w:rsid w:val="00860E61"/>
    <w:rsid w:val="00864359"/>
    <w:rsid w:val="00867A8F"/>
    <w:rsid w:val="00872275"/>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6D27"/>
    <w:rsid w:val="00907DC2"/>
    <w:rsid w:val="00912C79"/>
    <w:rsid w:val="009260A2"/>
    <w:rsid w:val="00932087"/>
    <w:rsid w:val="009344C1"/>
    <w:rsid w:val="009408DB"/>
    <w:rsid w:val="00942123"/>
    <w:rsid w:val="00951031"/>
    <w:rsid w:val="0095207B"/>
    <w:rsid w:val="00954461"/>
    <w:rsid w:val="00956085"/>
    <w:rsid w:val="00957951"/>
    <w:rsid w:val="00962045"/>
    <w:rsid w:val="00965491"/>
    <w:rsid w:val="00967EDA"/>
    <w:rsid w:val="00970897"/>
    <w:rsid w:val="0097337E"/>
    <w:rsid w:val="00980314"/>
    <w:rsid w:val="009816D0"/>
    <w:rsid w:val="00991428"/>
    <w:rsid w:val="00992676"/>
    <w:rsid w:val="009960BA"/>
    <w:rsid w:val="00996691"/>
    <w:rsid w:val="009A4880"/>
    <w:rsid w:val="009A58D1"/>
    <w:rsid w:val="009A7865"/>
    <w:rsid w:val="009B0723"/>
    <w:rsid w:val="009B07AD"/>
    <w:rsid w:val="009B0883"/>
    <w:rsid w:val="009B15E2"/>
    <w:rsid w:val="009B5832"/>
    <w:rsid w:val="009B6312"/>
    <w:rsid w:val="009B63D9"/>
    <w:rsid w:val="009B640D"/>
    <w:rsid w:val="009C0850"/>
    <w:rsid w:val="009C0B8E"/>
    <w:rsid w:val="009C1BC8"/>
    <w:rsid w:val="009C2442"/>
    <w:rsid w:val="009C7144"/>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55242"/>
    <w:rsid w:val="00A60074"/>
    <w:rsid w:val="00A6627C"/>
    <w:rsid w:val="00A6649C"/>
    <w:rsid w:val="00A70BBC"/>
    <w:rsid w:val="00A71019"/>
    <w:rsid w:val="00A81029"/>
    <w:rsid w:val="00A83CB5"/>
    <w:rsid w:val="00A865A7"/>
    <w:rsid w:val="00A96489"/>
    <w:rsid w:val="00AA0972"/>
    <w:rsid w:val="00AA3A42"/>
    <w:rsid w:val="00AA5311"/>
    <w:rsid w:val="00AA7BAA"/>
    <w:rsid w:val="00AB685C"/>
    <w:rsid w:val="00AB6C2D"/>
    <w:rsid w:val="00AC08F7"/>
    <w:rsid w:val="00AC3839"/>
    <w:rsid w:val="00AC7082"/>
    <w:rsid w:val="00AD0E59"/>
    <w:rsid w:val="00AD3FEA"/>
    <w:rsid w:val="00AD7BBD"/>
    <w:rsid w:val="00AE416D"/>
    <w:rsid w:val="00AF052B"/>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47D7"/>
    <w:rsid w:val="00B66441"/>
    <w:rsid w:val="00B72F5F"/>
    <w:rsid w:val="00B736DF"/>
    <w:rsid w:val="00B74FBD"/>
    <w:rsid w:val="00B77352"/>
    <w:rsid w:val="00B82586"/>
    <w:rsid w:val="00B829A3"/>
    <w:rsid w:val="00B86DB1"/>
    <w:rsid w:val="00B87869"/>
    <w:rsid w:val="00B953BD"/>
    <w:rsid w:val="00BA0E44"/>
    <w:rsid w:val="00BA47C5"/>
    <w:rsid w:val="00BB0F2B"/>
    <w:rsid w:val="00BD0D57"/>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4CDB"/>
    <w:rsid w:val="00C4510C"/>
    <w:rsid w:val="00C46EC1"/>
    <w:rsid w:val="00C504E5"/>
    <w:rsid w:val="00C53E2C"/>
    <w:rsid w:val="00C550C8"/>
    <w:rsid w:val="00C56B61"/>
    <w:rsid w:val="00C606C3"/>
    <w:rsid w:val="00C620F4"/>
    <w:rsid w:val="00C668B6"/>
    <w:rsid w:val="00C67ECE"/>
    <w:rsid w:val="00C7161B"/>
    <w:rsid w:val="00C72848"/>
    <w:rsid w:val="00C7736C"/>
    <w:rsid w:val="00C77748"/>
    <w:rsid w:val="00C809F8"/>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E6EEB"/>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7080A"/>
    <w:rsid w:val="00D7515C"/>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25B0"/>
    <w:rsid w:val="00E6302B"/>
    <w:rsid w:val="00E6452F"/>
    <w:rsid w:val="00E64619"/>
    <w:rsid w:val="00E64F45"/>
    <w:rsid w:val="00E6742D"/>
    <w:rsid w:val="00E71CB0"/>
    <w:rsid w:val="00E73529"/>
    <w:rsid w:val="00E77C3D"/>
    <w:rsid w:val="00E82E22"/>
    <w:rsid w:val="00E850FE"/>
    <w:rsid w:val="00E909F0"/>
    <w:rsid w:val="00E90D47"/>
    <w:rsid w:val="00E93993"/>
    <w:rsid w:val="00E94BE7"/>
    <w:rsid w:val="00E9597C"/>
    <w:rsid w:val="00EA0913"/>
    <w:rsid w:val="00EA0A2F"/>
    <w:rsid w:val="00EA6D31"/>
    <w:rsid w:val="00EB0B6D"/>
    <w:rsid w:val="00EB146B"/>
    <w:rsid w:val="00EB45AC"/>
    <w:rsid w:val="00EC2AEA"/>
    <w:rsid w:val="00EC7B11"/>
    <w:rsid w:val="00EC7F95"/>
    <w:rsid w:val="00ED0BC4"/>
    <w:rsid w:val="00ED3771"/>
    <w:rsid w:val="00ED4AB7"/>
    <w:rsid w:val="00ED6614"/>
    <w:rsid w:val="00ED6A32"/>
    <w:rsid w:val="00EE4971"/>
    <w:rsid w:val="00EF090E"/>
    <w:rsid w:val="00F033DA"/>
    <w:rsid w:val="00F11AAB"/>
    <w:rsid w:val="00F13FB1"/>
    <w:rsid w:val="00F17BC1"/>
    <w:rsid w:val="00F17C87"/>
    <w:rsid w:val="00F20272"/>
    <w:rsid w:val="00F223E7"/>
    <w:rsid w:val="00F2288D"/>
    <w:rsid w:val="00F25779"/>
    <w:rsid w:val="00F26046"/>
    <w:rsid w:val="00F2750A"/>
    <w:rsid w:val="00F27CD8"/>
    <w:rsid w:val="00F30351"/>
    <w:rsid w:val="00F31EE9"/>
    <w:rsid w:val="00F3323E"/>
    <w:rsid w:val="00F341F4"/>
    <w:rsid w:val="00F34F9D"/>
    <w:rsid w:val="00F35CCE"/>
    <w:rsid w:val="00F41C84"/>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2025"/>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7D3FC-E419-47D0-A51C-3E1FB96A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16</Pages>
  <Words>5674</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Walkers</cp:lastModifiedBy>
  <cp:revision>6</cp:revision>
  <cp:lastPrinted>2019-08-27T05:42:00Z</cp:lastPrinted>
  <dcterms:created xsi:type="dcterms:W3CDTF">2024-03-01T05:53:00Z</dcterms:created>
  <dcterms:modified xsi:type="dcterms:W3CDTF">2024-03-01T21:24:00Z</dcterms:modified>
</cp:coreProperties>
</file>