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D1C5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Akapitzlist"/>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Akapitzlist"/>
        <w:ind w:left="426" w:hanging="426"/>
        <w:jc w:val="both"/>
        <w:rPr>
          <w:rFonts w:ascii="Avenir Next" w:hAnsi="Avenir Next" w:cs="Arial"/>
          <w:sz w:val="22"/>
          <w:szCs w:val="22"/>
          <w:lang w:val="en-GB"/>
        </w:rPr>
      </w:pPr>
    </w:p>
    <w:p w14:paraId="0D827F42" w14:textId="77777777" w:rsidR="00B263D0" w:rsidRPr="00375A6B" w:rsidRDefault="00B263D0" w:rsidP="00B263D0">
      <w:pPr>
        <w:pStyle w:val="Akapitzlist"/>
        <w:numPr>
          <w:ilvl w:val="0"/>
          <w:numId w:val="14"/>
        </w:numPr>
        <w:ind w:left="426" w:hanging="426"/>
        <w:jc w:val="both"/>
        <w:rPr>
          <w:rFonts w:ascii="Avenir Next" w:hAnsi="Avenir Next" w:cs="Arial"/>
          <w:sz w:val="22"/>
          <w:szCs w:val="22"/>
          <w:highlight w:val="yellow"/>
          <w:lang w:val="en-GB"/>
        </w:rPr>
      </w:pPr>
      <w:r w:rsidRPr="00375A6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Akapitzlist"/>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Akapitzlist"/>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Akapitzlist"/>
        <w:ind w:left="426" w:hanging="426"/>
        <w:rPr>
          <w:rFonts w:ascii="Avenir Next" w:hAnsi="Avenir Next"/>
          <w:sz w:val="22"/>
          <w:szCs w:val="28"/>
        </w:rPr>
      </w:pPr>
    </w:p>
    <w:p w14:paraId="44D98AEA" w14:textId="77777777" w:rsidR="00AD0E59" w:rsidRDefault="00AD0E59" w:rsidP="00AD0E59">
      <w:pPr>
        <w:pStyle w:val="Akapitzlist"/>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Akapitzlist"/>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Akapitzlist"/>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Akapitzlist"/>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Akapitzlist"/>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Akapitzlist"/>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375A6B" w:rsidRDefault="00AD0E59" w:rsidP="00AD0E59">
      <w:pPr>
        <w:pStyle w:val="Akapitzlist"/>
        <w:numPr>
          <w:ilvl w:val="0"/>
          <w:numId w:val="50"/>
        </w:numPr>
        <w:ind w:left="426" w:hanging="426"/>
        <w:jc w:val="both"/>
        <w:rPr>
          <w:rFonts w:ascii="Avenir Next" w:hAnsi="Avenir Next" w:cs="Arial"/>
          <w:sz w:val="22"/>
          <w:szCs w:val="22"/>
          <w:highlight w:val="yellow"/>
          <w:lang w:val="en-GB"/>
        </w:rPr>
      </w:pPr>
      <w:r w:rsidRPr="00375A6B">
        <w:rPr>
          <w:rFonts w:ascii="Avenir Next" w:hAnsi="Avenir Next" w:cs="Arial"/>
          <w:sz w:val="22"/>
          <w:szCs w:val="22"/>
          <w:highlight w:val="yellow"/>
          <w:lang w:val="en-GB"/>
        </w:rPr>
        <w:lastRenderedPageBreak/>
        <w:t>Options (</w:t>
      </w:r>
      <w:proofErr w:type="spellStart"/>
      <w:r w:rsidRPr="00375A6B">
        <w:rPr>
          <w:rFonts w:ascii="Avenir Next" w:hAnsi="Avenir Next" w:cs="Arial"/>
          <w:sz w:val="22"/>
          <w:szCs w:val="22"/>
          <w:highlight w:val="yellow"/>
          <w:lang w:val="en-GB"/>
        </w:rPr>
        <w:t>i</w:t>
      </w:r>
      <w:proofErr w:type="spellEnd"/>
      <w:r w:rsidRPr="00375A6B">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Akapitzlist"/>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Akapitzlist"/>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Akapitzlist"/>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Akapitzlist"/>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Akapitzlist"/>
        <w:ind w:left="426" w:hanging="426"/>
        <w:jc w:val="both"/>
        <w:rPr>
          <w:rFonts w:ascii="Avenir Next" w:hAnsi="Avenir Next"/>
          <w:sz w:val="22"/>
          <w:szCs w:val="28"/>
        </w:rPr>
      </w:pPr>
    </w:p>
    <w:p w14:paraId="09A2897D" w14:textId="77777777" w:rsidR="00893A03" w:rsidRDefault="00893A03" w:rsidP="00893A03">
      <w:pPr>
        <w:pStyle w:val="Akapitzlist"/>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Akapitzlist"/>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Akapitzlist"/>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Akapitzlist"/>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Akapitzlist"/>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72143" w:rsidRDefault="00893A03" w:rsidP="00893A03">
      <w:pPr>
        <w:pStyle w:val="Akapitzlist"/>
        <w:numPr>
          <w:ilvl w:val="0"/>
          <w:numId w:val="16"/>
        </w:numPr>
        <w:ind w:left="426" w:hanging="426"/>
        <w:jc w:val="both"/>
        <w:rPr>
          <w:rFonts w:ascii="Avenir Next" w:hAnsi="Avenir Next" w:cs="Arial"/>
          <w:sz w:val="22"/>
          <w:szCs w:val="22"/>
          <w:highlight w:val="yellow"/>
          <w:lang w:val="en-GB"/>
        </w:rPr>
      </w:pPr>
      <w:r w:rsidRPr="00D72143">
        <w:rPr>
          <w:rFonts w:ascii="Avenir Next" w:hAnsi="Avenir Next" w:cs="Arial"/>
          <w:sz w:val="22"/>
          <w:szCs w:val="22"/>
          <w:highlight w:val="yellow"/>
          <w:lang w:val="en-GB"/>
        </w:rPr>
        <w:t>Options (</w:t>
      </w:r>
      <w:proofErr w:type="spellStart"/>
      <w:r w:rsidRPr="00D72143">
        <w:rPr>
          <w:rFonts w:ascii="Avenir Next" w:hAnsi="Avenir Next" w:cs="Arial"/>
          <w:sz w:val="22"/>
          <w:szCs w:val="22"/>
          <w:highlight w:val="yellow"/>
          <w:lang w:val="en-GB"/>
        </w:rPr>
        <w:t>i</w:t>
      </w:r>
      <w:proofErr w:type="spellEnd"/>
      <w:r w:rsidRPr="00D72143">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Akapitzlist"/>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Akapitzlist"/>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Akapitzlist"/>
        <w:ind w:left="426" w:hanging="426"/>
        <w:jc w:val="both"/>
        <w:rPr>
          <w:rFonts w:ascii="Avenir Next" w:hAnsi="Avenir Next"/>
          <w:sz w:val="22"/>
          <w:szCs w:val="32"/>
        </w:rPr>
      </w:pPr>
    </w:p>
    <w:p w14:paraId="2AA2541C" w14:textId="3C7E8949" w:rsidR="00812AFE" w:rsidRDefault="00812AFE" w:rsidP="00C00111">
      <w:pPr>
        <w:pStyle w:val="Akapitzlist"/>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Akapitzlist"/>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Akapitzlist"/>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Akapitzlist"/>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72143" w:rsidRDefault="00812AFE" w:rsidP="00C00111">
      <w:pPr>
        <w:pStyle w:val="Akapitzlist"/>
        <w:numPr>
          <w:ilvl w:val="0"/>
          <w:numId w:val="18"/>
        </w:numPr>
        <w:ind w:left="426" w:hanging="426"/>
        <w:jc w:val="both"/>
        <w:rPr>
          <w:rFonts w:ascii="Avenir Next" w:hAnsi="Avenir Next" w:cs="Arial"/>
          <w:sz w:val="22"/>
          <w:szCs w:val="22"/>
          <w:highlight w:val="yellow"/>
          <w:lang w:val="en-GB"/>
        </w:rPr>
      </w:pPr>
      <w:r w:rsidRPr="00D72143">
        <w:rPr>
          <w:rFonts w:ascii="Avenir Next" w:hAnsi="Avenir Next" w:cs="Arial"/>
          <w:sz w:val="22"/>
          <w:szCs w:val="22"/>
          <w:highlight w:val="yellow"/>
          <w:lang w:val="en-GB"/>
        </w:rPr>
        <w:t>Options (</w:t>
      </w:r>
      <w:proofErr w:type="spellStart"/>
      <w:r w:rsidRPr="00D72143">
        <w:rPr>
          <w:rFonts w:ascii="Avenir Next" w:hAnsi="Avenir Next" w:cs="Arial"/>
          <w:sz w:val="22"/>
          <w:szCs w:val="22"/>
          <w:highlight w:val="yellow"/>
          <w:lang w:val="en-GB"/>
        </w:rPr>
        <w:t>i</w:t>
      </w:r>
      <w:proofErr w:type="spellEnd"/>
      <w:r w:rsidRPr="00D72143">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Akapitzlist"/>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Akapitzlist"/>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Akapitzlist"/>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Akapitzlist"/>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Akapitzlist"/>
        <w:ind w:left="426" w:hanging="426"/>
        <w:jc w:val="both"/>
        <w:rPr>
          <w:rFonts w:ascii="Avenir Next" w:hAnsi="Avenir Next"/>
          <w:sz w:val="22"/>
          <w:szCs w:val="28"/>
        </w:rPr>
      </w:pPr>
    </w:p>
    <w:p w14:paraId="4C73762D" w14:textId="77777777" w:rsidR="003220BA" w:rsidRDefault="003220BA" w:rsidP="00C00111">
      <w:pPr>
        <w:pStyle w:val="Akapitzlist"/>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Akapitzlist"/>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Akapitzlist"/>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Akapitzlist"/>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Akapitzlist"/>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Akapitzlist"/>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Akapitzlist"/>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72143" w:rsidRDefault="003220BA" w:rsidP="00C00111">
      <w:pPr>
        <w:pStyle w:val="Akapitzlist"/>
        <w:numPr>
          <w:ilvl w:val="0"/>
          <w:numId w:val="20"/>
        </w:numPr>
        <w:ind w:left="426" w:hanging="426"/>
        <w:jc w:val="both"/>
        <w:rPr>
          <w:rFonts w:ascii="Avenir Next" w:hAnsi="Avenir Next" w:cs="Arial"/>
          <w:sz w:val="22"/>
          <w:szCs w:val="22"/>
          <w:highlight w:val="yellow"/>
          <w:lang w:val="en-GB"/>
        </w:rPr>
      </w:pPr>
      <w:r w:rsidRPr="00D72143">
        <w:rPr>
          <w:rFonts w:ascii="Avenir Next" w:hAnsi="Avenir Next" w:cs="Arial"/>
          <w:sz w:val="22"/>
          <w:szCs w:val="22"/>
          <w:highlight w:val="yellow"/>
          <w:lang w:val="en-GB"/>
        </w:rPr>
        <w:t>Options (</w:t>
      </w:r>
      <w:proofErr w:type="spellStart"/>
      <w:r w:rsidRPr="00D72143">
        <w:rPr>
          <w:rFonts w:ascii="Avenir Next" w:hAnsi="Avenir Next" w:cs="Arial"/>
          <w:sz w:val="22"/>
          <w:szCs w:val="22"/>
          <w:highlight w:val="yellow"/>
          <w:lang w:val="en-GB"/>
        </w:rPr>
        <w:t>i</w:t>
      </w:r>
      <w:proofErr w:type="spellEnd"/>
      <w:r w:rsidRPr="00D72143">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Akapitzlist"/>
        <w:ind w:left="426"/>
        <w:jc w:val="both"/>
        <w:rPr>
          <w:rFonts w:ascii="Avenir Next" w:hAnsi="Avenir Next" w:cs="Arial"/>
          <w:sz w:val="22"/>
          <w:szCs w:val="22"/>
          <w:lang w:val="en-GB"/>
        </w:rPr>
      </w:pPr>
    </w:p>
    <w:p w14:paraId="2F00B741" w14:textId="77777777" w:rsidR="009344C1" w:rsidRDefault="009344C1" w:rsidP="00C00111">
      <w:pPr>
        <w:pStyle w:val="Akapitzlist"/>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Akapitzlist"/>
        <w:ind w:left="426" w:hanging="426"/>
        <w:jc w:val="both"/>
        <w:rPr>
          <w:rFonts w:ascii="Avenir Next" w:hAnsi="Avenir Next" w:cs="Arial"/>
          <w:sz w:val="22"/>
          <w:szCs w:val="22"/>
          <w:lang w:val="en-GB"/>
        </w:rPr>
      </w:pPr>
    </w:p>
    <w:p w14:paraId="45257547" w14:textId="77777777" w:rsidR="009344C1" w:rsidRDefault="009344C1" w:rsidP="00C00111">
      <w:pPr>
        <w:pStyle w:val="Akapitzlist"/>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Akapitzlist"/>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D72143" w:rsidRDefault="009344C1" w:rsidP="00C00111">
      <w:pPr>
        <w:pStyle w:val="Akapitzlist"/>
        <w:numPr>
          <w:ilvl w:val="0"/>
          <w:numId w:val="26"/>
        </w:numPr>
        <w:ind w:left="426" w:hanging="426"/>
        <w:jc w:val="both"/>
        <w:rPr>
          <w:rFonts w:ascii="Avenir Next" w:hAnsi="Avenir Next" w:cs="Arial"/>
          <w:sz w:val="22"/>
          <w:szCs w:val="22"/>
          <w:highlight w:val="yellow"/>
          <w:lang w:val="en-GB"/>
        </w:rPr>
      </w:pPr>
      <w:r w:rsidRPr="00D72143">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Akapitzlist"/>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Akapitzlist"/>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Akapitzlist"/>
        <w:ind w:left="426"/>
        <w:jc w:val="both"/>
        <w:rPr>
          <w:rFonts w:ascii="Avenir Next" w:hAnsi="Avenir Next"/>
          <w:sz w:val="22"/>
          <w:szCs w:val="28"/>
        </w:rPr>
      </w:pPr>
    </w:p>
    <w:p w14:paraId="044236C4" w14:textId="77777777" w:rsidR="00F51EE5" w:rsidRPr="002E1C4D" w:rsidRDefault="00F51EE5" w:rsidP="00F51EE5">
      <w:pPr>
        <w:pStyle w:val="Akapitzlist"/>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Akapitzlist"/>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Akapitzlist"/>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Akapitzlist"/>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72143" w:rsidRDefault="00F51EE5" w:rsidP="00C00111">
      <w:pPr>
        <w:pStyle w:val="Akapitzlist"/>
        <w:numPr>
          <w:ilvl w:val="0"/>
          <w:numId w:val="27"/>
        </w:numPr>
        <w:ind w:left="426" w:hanging="426"/>
        <w:jc w:val="both"/>
        <w:rPr>
          <w:rFonts w:ascii="Avenir Next" w:hAnsi="Avenir Next" w:cs="Arial"/>
          <w:sz w:val="22"/>
          <w:szCs w:val="22"/>
          <w:highlight w:val="yellow"/>
          <w:lang w:val="en-GB"/>
        </w:rPr>
      </w:pPr>
      <w:r w:rsidRPr="00D72143">
        <w:rPr>
          <w:rFonts w:ascii="Avenir Next" w:hAnsi="Avenir Next" w:cs="Arial"/>
          <w:sz w:val="22"/>
          <w:szCs w:val="22"/>
          <w:highlight w:val="yellow"/>
          <w:lang w:val="en-GB"/>
        </w:rPr>
        <w:t>Options (</w:t>
      </w:r>
      <w:proofErr w:type="spellStart"/>
      <w:r w:rsidRPr="00D72143">
        <w:rPr>
          <w:rFonts w:ascii="Avenir Next" w:hAnsi="Avenir Next" w:cs="Arial"/>
          <w:sz w:val="22"/>
          <w:szCs w:val="22"/>
          <w:highlight w:val="yellow"/>
          <w:lang w:val="en-GB"/>
        </w:rPr>
        <w:t>i</w:t>
      </w:r>
      <w:proofErr w:type="spellEnd"/>
      <w:r w:rsidRPr="00D72143">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Akapitzlist"/>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Akapitzlist"/>
        <w:ind w:hanging="426"/>
        <w:rPr>
          <w:rFonts w:ascii="Avenir Next" w:hAnsi="Avenir Next" w:cs="Arial"/>
          <w:sz w:val="22"/>
          <w:szCs w:val="22"/>
          <w:lang w:val="en-GB"/>
        </w:rPr>
      </w:pPr>
    </w:p>
    <w:p w14:paraId="4DC029C8" w14:textId="77777777" w:rsidR="00F51EE5" w:rsidRPr="00E2622D" w:rsidRDefault="00F51EE5" w:rsidP="00C00111">
      <w:pPr>
        <w:pStyle w:val="Akapitzlist"/>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Akapitzlist"/>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Akapitzlist"/>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Akapitzlist"/>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Akapitzlist"/>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Akapitzlist"/>
        <w:rPr>
          <w:rFonts w:ascii="Avenir Next" w:hAnsi="Avenir Next"/>
          <w:sz w:val="22"/>
          <w:szCs w:val="28"/>
        </w:rPr>
      </w:pPr>
    </w:p>
    <w:p w14:paraId="785ABFAE" w14:textId="77777777" w:rsidR="0097337E" w:rsidRPr="007742D6" w:rsidRDefault="0097337E" w:rsidP="0097337E">
      <w:pPr>
        <w:pStyle w:val="Akapitzlist"/>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044649" w:rsidRDefault="0097337E" w:rsidP="0097337E">
      <w:pPr>
        <w:pStyle w:val="Akapitzlist"/>
        <w:numPr>
          <w:ilvl w:val="0"/>
          <w:numId w:val="28"/>
        </w:numPr>
        <w:ind w:left="426" w:hanging="426"/>
        <w:jc w:val="both"/>
        <w:rPr>
          <w:rFonts w:ascii="Avenir Next" w:hAnsi="Avenir Next" w:cs="Arial"/>
          <w:sz w:val="22"/>
          <w:szCs w:val="22"/>
          <w:highlight w:val="yellow"/>
          <w:lang w:val="en-GB"/>
        </w:rPr>
      </w:pPr>
      <w:r w:rsidRPr="00044649">
        <w:rPr>
          <w:rFonts w:ascii="Avenir Next" w:hAnsi="Avenir Next" w:cs="Arial"/>
          <w:sz w:val="22"/>
          <w:szCs w:val="22"/>
          <w:highlight w:val="yellow"/>
          <w:lang w:val="en-GB"/>
        </w:rPr>
        <w:t>Options (</w:t>
      </w:r>
      <w:proofErr w:type="spellStart"/>
      <w:r w:rsidRPr="00044649">
        <w:rPr>
          <w:rFonts w:ascii="Avenir Next" w:hAnsi="Avenir Next" w:cs="Arial"/>
          <w:sz w:val="22"/>
          <w:szCs w:val="22"/>
          <w:highlight w:val="yellow"/>
          <w:lang w:val="en-GB"/>
        </w:rPr>
        <w:t>i</w:t>
      </w:r>
      <w:proofErr w:type="spellEnd"/>
      <w:r w:rsidRPr="00044649">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Akapitzlist"/>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Akapitzlist"/>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Akapitzlist"/>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Akapitzlist"/>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Akapitzlist"/>
        <w:ind w:left="426"/>
        <w:jc w:val="both"/>
        <w:rPr>
          <w:rFonts w:ascii="Avenir Next" w:hAnsi="Avenir Next"/>
          <w:sz w:val="22"/>
          <w:szCs w:val="28"/>
        </w:rPr>
      </w:pPr>
    </w:p>
    <w:p w14:paraId="39086E74" w14:textId="77777777" w:rsidR="009A58D1" w:rsidRDefault="009A58D1" w:rsidP="009A58D1">
      <w:pPr>
        <w:pStyle w:val="Akapitzlist"/>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Akapitzlist"/>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Akapitzlist"/>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Akapitzlist"/>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D0B6D" w:rsidRDefault="009A58D1" w:rsidP="009A58D1">
      <w:pPr>
        <w:pStyle w:val="Akapitzlist"/>
        <w:numPr>
          <w:ilvl w:val="0"/>
          <w:numId w:val="29"/>
        </w:numPr>
        <w:ind w:left="426" w:hanging="426"/>
        <w:jc w:val="both"/>
        <w:rPr>
          <w:rFonts w:ascii="Avenir Next" w:hAnsi="Avenir Next" w:cs="Arial"/>
          <w:sz w:val="22"/>
          <w:szCs w:val="22"/>
          <w:highlight w:val="yellow"/>
          <w:lang w:val="en-GB"/>
        </w:rPr>
      </w:pPr>
      <w:r w:rsidRPr="00CD0B6D">
        <w:rPr>
          <w:rFonts w:ascii="Avenir Next" w:hAnsi="Avenir Next" w:cs="Arial"/>
          <w:sz w:val="22"/>
          <w:szCs w:val="22"/>
          <w:highlight w:val="yellow"/>
          <w:lang w:val="en-GB"/>
        </w:rPr>
        <w:t>Options (iii), (</w:t>
      </w:r>
      <w:proofErr w:type="spellStart"/>
      <w:r w:rsidRPr="00CD0B6D">
        <w:rPr>
          <w:rFonts w:ascii="Avenir Next" w:hAnsi="Avenir Next" w:cs="Arial"/>
          <w:sz w:val="22"/>
          <w:szCs w:val="22"/>
          <w:highlight w:val="yellow"/>
          <w:lang w:val="en-GB"/>
        </w:rPr>
        <w:t>i</w:t>
      </w:r>
      <w:proofErr w:type="spellEnd"/>
      <w:r w:rsidRPr="00CD0B6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Akapitzlist"/>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Akapitzlist"/>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Akapitzlist"/>
        <w:ind w:left="426" w:hanging="426"/>
        <w:jc w:val="both"/>
        <w:rPr>
          <w:rFonts w:ascii="Avenir Next" w:hAnsi="Avenir Next" w:cs="Arial"/>
          <w:sz w:val="22"/>
          <w:szCs w:val="22"/>
          <w:lang w:val="en-GB"/>
        </w:rPr>
      </w:pPr>
    </w:p>
    <w:p w14:paraId="3BCC256A" w14:textId="77777777" w:rsidR="00C4510C" w:rsidRDefault="00C4510C" w:rsidP="00C00111">
      <w:pPr>
        <w:pStyle w:val="Akapitzlist"/>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Akapitzlist"/>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CD0B6D" w:rsidRDefault="00C4510C" w:rsidP="00C00111">
      <w:pPr>
        <w:pStyle w:val="Akapitzlist"/>
        <w:numPr>
          <w:ilvl w:val="0"/>
          <w:numId w:val="30"/>
        </w:numPr>
        <w:ind w:left="426" w:hanging="426"/>
        <w:jc w:val="both"/>
        <w:rPr>
          <w:rFonts w:ascii="Avenir Next" w:hAnsi="Avenir Next" w:cs="Arial"/>
          <w:sz w:val="22"/>
          <w:szCs w:val="22"/>
          <w:highlight w:val="yellow"/>
          <w:lang w:val="en-GB"/>
        </w:rPr>
      </w:pPr>
      <w:r w:rsidRPr="00CD0B6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31F76431" w14:textId="77777777" w:rsidR="00CC42E9" w:rsidRDefault="00CC42E9" w:rsidP="00131185">
      <w:pPr>
        <w:jc w:val="both"/>
        <w:rPr>
          <w:rFonts w:ascii="Avenir Next" w:hAnsi="Avenir Next" w:cs="Arial"/>
          <w:color w:val="808080" w:themeColor="background1" w:themeShade="80"/>
          <w:sz w:val="22"/>
          <w:szCs w:val="22"/>
          <w:lang w:val="en-GB"/>
        </w:rPr>
      </w:pPr>
    </w:p>
    <w:p w14:paraId="5C9A2578" w14:textId="07D92B7A" w:rsidR="00391B4F" w:rsidRPr="00131185" w:rsidRDefault="00391B4F"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Model Law on Cross-Border Insolvency (MLCBI) and the European Union (EU) Regulation on Insolvency Proceedings handle cross-border insolvency cases in very different ways. They also have different enforcement levels and scopes.</w:t>
      </w:r>
    </w:p>
    <w:p w14:paraId="7F1CCBA3" w14:textId="77777777" w:rsidR="00391B4F" w:rsidRPr="00131185" w:rsidRDefault="00391B4F" w:rsidP="00131185">
      <w:pPr>
        <w:ind w:left="720" w:hanging="720"/>
        <w:jc w:val="both"/>
        <w:rPr>
          <w:rFonts w:ascii="Avenir Next" w:hAnsi="Avenir Next" w:cs="Arial"/>
          <w:color w:val="808080" w:themeColor="background1" w:themeShade="80"/>
          <w:sz w:val="22"/>
          <w:szCs w:val="22"/>
          <w:lang w:val="en-GB"/>
        </w:rPr>
      </w:pPr>
    </w:p>
    <w:p w14:paraId="209C44B6" w14:textId="0EBD2B72" w:rsidR="00391B4F" w:rsidRPr="00131185" w:rsidRDefault="00391B4F"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The MLCBI is a framework that countries can use to make their own laws, but it is not required to do so. This organization was made by the UN Commission on International Trade Law (UNCITRAL). This means that it can be used by everyone, and it could be used to solve cross-border bankruptcy problems regardless of whether a country is a member of a certain regional organization. The EU Regulation, on the other hand, is mandatory by law and applies directly in all EU member states. This sets up a standard framework for the EU, but it only applies to these member states. It doesn't cover issues involving countries that aren't in the EU. </w:t>
      </w:r>
    </w:p>
    <w:p w14:paraId="33690B4F" w14:textId="77777777" w:rsidR="00391B4F" w:rsidRPr="00131185" w:rsidRDefault="00391B4F" w:rsidP="00131185">
      <w:pPr>
        <w:ind w:left="720" w:hanging="720"/>
        <w:jc w:val="both"/>
        <w:rPr>
          <w:rFonts w:ascii="Avenir Next" w:hAnsi="Avenir Next" w:cs="Arial"/>
          <w:color w:val="808080" w:themeColor="background1" w:themeShade="80"/>
          <w:sz w:val="22"/>
          <w:szCs w:val="22"/>
          <w:lang w:val="en-GB"/>
        </w:rPr>
      </w:pPr>
    </w:p>
    <w:p w14:paraId="3A59AF42" w14:textId="1434857F" w:rsidR="00391B4F" w:rsidRPr="00131185" w:rsidRDefault="00391B4F" w:rsidP="00131185">
      <w:pPr>
        <w:ind w:left="720" w:hanging="720"/>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Benefits: </w:t>
      </w:r>
    </w:p>
    <w:p w14:paraId="69860BCA" w14:textId="77777777" w:rsidR="00391B4F" w:rsidRPr="00131185" w:rsidRDefault="00391B4F" w:rsidP="00131185">
      <w:pPr>
        <w:pStyle w:val="Akapitzlist"/>
        <w:numPr>
          <w:ilvl w:val="0"/>
          <w:numId w:val="68"/>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The MLCBI </w:t>
      </w:r>
    </w:p>
    <w:p w14:paraId="2604C4F9" w14:textId="4DC724B7" w:rsidR="00391B4F" w:rsidRPr="00131185" w:rsidRDefault="00391B4F" w:rsidP="00131185">
      <w:pPr>
        <w:pStyle w:val="Akapitzlist"/>
        <w:numPr>
          <w:ilvl w:val="1"/>
          <w:numId w:val="68"/>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Flexibility, so each country can change the rules to fit their own legal systems and needs. </w:t>
      </w:r>
    </w:p>
    <w:p w14:paraId="2005498B" w14:textId="4016251C" w:rsidR="00391B4F" w:rsidRPr="00131185" w:rsidRDefault="00391B4F" w:rsidP="00131185">
      <w:pPr>
        <w:pStyle w:val="Akapitzlist"/>
        <w:numPr>
          <w:ilvl w:val="1"/>
          <w:numId w:val="68"/>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Encourages cooperation and coordination: This makes it easier for different areas to work together on issues of cross-border bankruptcy. </w:t>
      </w:r>
    </w:p>
    <w:p w14:paraId="225FE4E2" w14:textId="77777777" w:rsidR="00391B4F" w:rsidRPr="00131185" w:rsidRDefault="00391B4F" w:rsidP="00131185">
      <w:pPr>
        <w:pStyle w:val="Akapitzlist"/>
        <w:numPr>
          <w:ilvl w:val="0"/>
          <w:numId w:val="68"/>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EU Regulation: </w:t>
      </w:r>
    </w:p>
    <w:p w14:paraId="05E31F1C" w14:textId="659AD2A2" w:rsidR="00391B4F" w:rsidRPr="00131185" w:rsidRDefault="00391B4F" w:rsidP="00131185">
      <w:pPr>
        <w:pStyle w:val="Akapitzlist"/>
        <w:numPr>
          <w:ilvl w:val="1"/>
          <w:numId w:val="68"/>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Uniformity and Certainty makes it easier for people to file for bankruptcy in more than one EU country by setting up a standard, predictable bankruptcy process across all EU member states. </w:t>
      </w:r>
    </w:p>
    <w:p w14:paraId="752D1ED4" w14:textId="3883F50B" w:rsidR="00391B4F" w:rsidRPr="00131185" w:rsidRDefault="00391B4F" w:rsidP="00131185">
      <w:pPr>
        <w:ind w:left="720" w:hanging="720"/>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Disadvantages: </w:t>
      </w:r>
    </w:p>
    <w:p w14:paraId="5D986FD2" w14:textId="77777777" w:rsidR="00391B4F" w:rsidRPr="00131185" w:rsidRDefault="00391B4F" w:rsidP="00131185">
      <w:pPr>
        <w:ind w:left="720" w:hanging="720"/>
        <w:jc w:val="both"/>
        <w:rPr>
          <w:rFonts w:ascii="Avenir Next" w:hAnsi="Avenir Next" w:cs="Arial"/>
          <w:color w:val="808080" w:themeColor="background1" w:themeShade="80"/>
          <w:sz w:val="22"/>
          <w:szCs w:val="22"/>
          <w:lang w:val="en-GB"/>
        </w:rPr>
      </w:pPr>
    </w:p>
    <w:p w14:paraId="526B62E2" w14:textId="090D7074" w:rsidR="00391B4F" w:rsidRPr="00131185" w:rsidRDefault="00391B4F" w:rsidP="00131185">
      <w:pPr>
        <w:pStyle w:val="Akapitzlist"/>
        <w:numPr>
          <w:ilvl w:val="0"/>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MLCBI</w:t>
      </w:r>
    </w:p>
    <w:p w14:paraId="7A0BDB01" w14:textId="77777777" w:rsidR="00391B4F" w:rsidRPr="00131185" w:rsidRDefault="00391B4F" w:rsidP="00131185">
      <w:pPr>
        <w:pStyle w:val="Akapitzlist"/>
        <w:numPr>
          <w:ilvl w:val="1"/>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Lack of Uniformity: Different places may have different ideas about how to interpret and apply the MLCBI. </w:t>
      </w:r>
    </w:p>
    <w:p w14:paraId="511DD59B" w14:textId="58A62CA7" w:rsidR="00391B4F" w:rsidRPr="00131185" w:rsidRDefault="00391B4F" w:rsidP="00131185">
      <w:pPr>
        <w:pStyle w:val="Akapitzlist"/>
        <w:numPr>
          <w:ilvl w:val="1"/>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It's not mandatory for countries to follow it, so the way different countries handle cross-border bankruptcy cases may be different. </w:t>
      </w:r>
    </w:p>
    <w:p w14:paraId="56C7C18E" w14:textId="77777777" w:rsidR="00391B4F" w:rsidRPr="00131185" w:rsidRDefault="00391B4F" w:rsidP="00131185">
      <w:pPr>
        <w:pStyle w:val="Akapitzlist"/>
        <w:numPr>
          <w:ilvl w:val="0"/>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EU Regulation: </w:t>
      </w:r>
    </w:p>
    <w:p w14:paraId="1E40F59A" w14:textId="77777777" w:rsidR="00391B4F" w:rsidRPr="00131185" w:rsidRDefault="00391B4F" w:rsidP="00131185">
      <w:pPr>
        <w:pStyle w:val="Akapitzlist"/>
        <w:numPr>
          <w:ilvl w:val="1"/>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Less Flexibility: It's harder for member states to change the rules to fit their own needs.</w:t>
      </w:r>
    </w:p>
    <w:p w14:paraId="77457CC5" w14:textId="255A8F87" w:rsidR="00391B4F" w:rsidRPr="00131185" w:rsidRDefault="00391B4F" w:rsidP="00131185">
      <w:pPr>
        <w:pStyle w:val="Akapitzlist"/>
        <w:numPr>
          <w:ilvl w:val="1"/>
          <w:numId w:val="69"/>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lastRenderedPageBreak/>
        <w:t xml:space="preserve">Limited Use: It doesn't cover cross-border bankruptcy issues for countries that aren't in the EU. </w:t>
      </w:r>
    </w:p>
    <w:p w14:paraId="4A36A9FF" w14:textId="77777777" w:rsidR="00391B4F" w:rsidRPr="00131185" w:rsidRDefault="00391B4F" w:rsidP="00131185">
      <w:pPr>
        <w:ind w:left="720" w:hanging="720"/>
        <w:jc w:val="both"/>
        <w:rPr>
          <w:rFonts w:ascii="Avenir Next" w:hAnsi="Avenir Next" w:cs="Arial"/>
          <w:color w:val="808080" w:themeColor="background1" w:themeShade="80"/>
          <w:sz w:val="22"/>
          <w:szCs w:val="22"/>
          <w:lang w:val="en-GB"/>
        </w:rPr>
      </w:pPr>
    </w:p>
    <w:p w14:paraId="3FD09225" w14:textId="41563675" w:rsidR="00391B4F" w:rsidRPr="00131185" w:rsidRDefault="00391B4F"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When it comes to cross-border bankruptcy, the EU Regulation and the MLCBI have different</w:t>
      </w:r>
      <w:r w:rsidR="00131185" w:rsidRPr="00131185">
        <w:rPr>
          <w:rFonts w:ascii="Avenir Next" w:hAnsi="Avenir Next" w:cs="Arial"/>
          <w:color w:val="808080" w:themeColor="background1" w:themeShade="80"/>
          <w:sz w:val="22"/>
          <w:szCs w:val="22"/>
          <w:lang w:val="en-GB"/>
        </w:rPr>
        <w:t xml:space="preserve"> </w:t>
      </w:r>
      <w:r w:rsidRPr="00131185">
        <w:rPr>
          <w:rFonts w:ascii="Avenir Next" w:hAnsi="Avenir Next" w:cs="Arial"/>
          <w:color w:val="808080" w:themeColor="background1" w:themeShade="80"/>
          <w:sz w:val="22"/>
          <w:szCs w:val="22"/>
          <w:lang w:val="en-GB"/>
        </w:rPr>
        <w:t>approaches. The MLCBI gives a framework that can be changed and used by many people. It encourages people to work together and coordinate, but it doesn't include any legally binding parts. While the EU Regulation only covers a small area, it is more focused on making things clear and consistent across the EU.</w:t>
      </w:r>
    </w:p>
    <w:p w14:paraId="69717D2D" w14:textId="77777777" w:rsidR="00CC42E9" w:rsidRPr="00391B4F" w:rsidRDefault="00CC42E9" w:rsidP="00707FC8">
      <w:pPr>
        <w:ind w:left="720"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7C05925C" w14:textId="38C6C244" w:rsidR="00391B4F" w:rsidRDefault="00131185" w:rsidP="001311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91B4F" w:rsidRPr="00131185">
        <w:rPr>
          <w:rFonts w:ascii="Avenir Next" w:hAnsi="Avenir Next" w:cs="Arial"/>
          <w:color w:val="808080" w:themeColor="background1" w:themeShade="80"/>
          <w:sz w:val="22"/>
          <w:szCs w:val="22"/>
          <w:lang w:val="en-GB"/>
        </w:rPr>
        <w:t xml:space="preserve">he main things should </w:t>
      </w:r>
      <w:r w:rsidR="00C70109" w:rsidRPr="00131185">
        <w:rPr>
          <w:rFonts w:ascii="Avenir Next" w:hAnsi="Avenir Next" w:cs="Arial"/>
          <w:color w:val="808080" w:themeColor="background1" w:themeShade="80"/>
          <w:sz w:val="22"/>
          <w:szCs w:val="22"/>
          <w:lang w:val="en-GB"/>
        </w:rPr>
        <w:t>be thought</w:t>
      </w:r>
      <w:r w:rsidR="00391B4F" w:rsidRPr="00131185">
        <w:rPr>
          <w:rFonts w:ascii="Avenir Next" w:hAnsi="Avenir Next" w:cs="Arial"/>
          <w:color w:val="808080" w:themeColor="background1" w:themeShade="80"/>
          <w:sz w:val="22"/>
          <w:szCs w:val="22"/>
          <w:lang w:val="en-GB"/>
        </w:rPr>
        <w:t xml:space="preserve"> about: </w:t>
      </w:r>
    </w:p>
    <w:p w14:paraId="6ECE6873"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59948AA6" w14:textId="4B5808B0" w:rsidR="00391B4F" w:rsidRPr="00131185" w:rsidRDefault="00C70109" w:rsidP="00131185">
      <w:pPr>
        <w:pStyle w:val="Akapitzlist"/>
        <w:numPr>
          <w:ilvl w:val="0"/>
          <w:numId w:val="70"/>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Fairness: </w:t>
      </w:r>
      <w:r w:rsidR="00391B4F" w:rsidRPr="00131185">
        <w:rPr>
          <w:rFonts w:ascii="Avenir Next" w:hAnsi="Avenir Next" w:cs="Arial"/>
          <w:color w:val="808080" w:themeColor="background1" w:themeShade="80"/>
          <w:sz w:val="22"/>
          <w:szCs w:val="22"/>
          <w:lang w:val="en-GB"/>
        </w:rPr>
        <w:t xml:space="preserve">Finding the balance between different groups' interests means figuring out the pros and cons of giving relief to different groups, such as both domestic and international creditors. Protecting all creditors in the bankruptcy proceedings and making sure that everyone gets a fair outcome. </w:t>
      </w:r>
    </w:p>
    <w:p w14:paraId="4FABC0A2" w14:textId="56DFBE71" w:rsidR="00391B4F" w:rsidRPr="00131185" w:rsidRDefault="00C70109" w:rsidP="00131185">
      <w:pPr>
        <w:pStyle w:val="Akapitzlist"/>
        <w:numPr>
          <w:ilvl w:val="0"/>
          <w:numId w:val="70"/>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Broader consequences: </w:t>
      </w:r>
      <w:r w:rsidR="00391B4F" w:rsidRPr="00131185">
        <w:rPr>
          <w:rFonts w:ascii="Avenir Next" w:hAnsi="Avenir Next" w:cs="Arial"/>
          <w:color w:val="808080" w:themeColor="background1" w:themeShade="80"/>
          <w:sz w:val="22"/>
          <w:szCs w:val="22"/>
          <w:lang w:val="en-GB"/>
        </w:rPr>
        <w:t xml:space="preserve">Doing research on how the relief might affect the debtor's ability to keep running its business. </w:t>
      </w:r>
    </w:p>
    <w:p w14:paraId="082CFA60" w14:textId="18DFB008" w:rsidR="00391B4F" w:rsidRDefault="00C70109" w:rsidP="00131185">
      <w:pPr>
        <w:pStyle w:val="Akapitzlist"/>
        <w:numPr>
          <w:ilvl w:val="0"/>
          <w:numId w:val="70"/>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Protection: </w:t>
      </w:r>
      <w:r w:rsidR="00391B4F" w:rsidRPr="00131185">
        <w:rPr>
          <w:rFonts w:ascii="Avenir Next" w:hAnsi="Avenir Next" w:cs="Arial"/>
          <w:color w:val="808080" w:themeColor="background1" w:themeShade="80"/>
          <w:sz w:val="22"/>
          <w:szCs w:val="22"/>
          <w:lang w:val="en-GB"/>
        </w:rPr>
        <w:t xml:space="preserve">Giving relief shouldn't go against basic legal principles or hurt the interests of other people involved. </w:t>
      </w:r>
      <w:r w:rsidRPr="00131185">
        <w:rPr>
          <w:rFonts w:ascii="Avenir Next" w:hAnsi="Avenir Next" w:cs="Arial"/>
          <w:color w:val="808080" w:themeColor="background1" w:themeShade="80"/>
          <w:sz w:val="22"/>
          <w:szCs w:val="22"/>
          <w:lang w:val="en-GB"/>
        </w:rPr>
        <w:t>How this would affect other parties, for example, the employees of the debtor.</w:t>
      </w:r>
    </w:p>
    <w:p w14:paraId="2884BD8E" w14:textId="77777777" w:rsidR="00131185" w:rsidRPr="00131185" w:rsidRDefault="00131185" w:rsidP="00131185">
      <w:pPr>
        <w:pStyle w:val="Akapitzlist"/>
        <w:jc w:val="both"/>
        <w:rPr>
          <w:rFonts w:ascii="Avenir Next" w:hAnsi="Avenir Next" w:cs="Arial"/>
          <w:color w:val="808080" w:themeColor="background1" w:themeShade="80"/>
          <w:sz w:val="22"/>
          <w:szCs w:val="22"/>
          <w:lang w:val="en-GB"/>
        </w:rPr>
      </w:pPr>
    </w:p>
    <w:p w14:paraId="408DDE76" w14:textId="1BEB7C7A" w:rsidR="00391B4F" w:rsidRDefault="00C70109"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Furthermore, the</w:t>
      </w:r>
      <w:r w:rsidR="00391B4F" w:rsidRPr="00131185">
        <w:rPr>
          <w:rFonts w:ascii="Avenir Next" w:hAnsi="Avenir Next" w:cs="Arial"/>
          <w:color w:val="808080" w:themeColor="background1" w:themeShade="80"/>
          <w:sz w:val="22"/>
          <w:szCs w:val="22"/>
          <w:lang w:val="en-GB"/>
        </w:rPr>
        <w:t xml:space="preserve"> court should decide if the relief being asked for is effective and efficient</w:t>
      </w:r>
      <w:r w:rsidRPr="00131185">
        <w:rPr>
          <w:rFonts w:ascii="Avenir Next" w:hAnsi="Avenir Next" w:cs="Arial"/>
          <w:color w:val="808080" w:themeColor="background1" w:themeShade="80"/>
          <w:sz w:val="22"/>
          <w:szCs w:val="22"/>
          <w:lang w:val="en-GB"/>
        </w:rPr>
        <w:t xml:space="preserve"> based on two factors</w:t>
      </w:r>
      <w:r w:rsidR="00391B4F" w:rsidRPr="00131185">
        <w:rPr>
          <w:rFonts w:ascii="Avenir Next" w:hAnsi="Avenir Next" w:cs="Arial"/>
          <w:color w:val="808080" w:themeColor="background1" w:themeShade="80"/>
          <w:sz w:val="22"/>
          <w:szCs w:val="22"/>
          <w:lang w:val="en-GB"/>
        </w:rPr>
        <w:t xml:space="preserve">: </w:t>
      </w:r>
    </w:p>
    <w:p w14:paraId="68975618"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3F4CA2D0" w14:textId="7BBF16EA" w:rsidR="00211815" w:rsidRPr="00131185" w:rsidRDefault="00211815" w:rsidP="00131185">
      <w:pPr>
        <w:pStyle w:val="Akapitzlist"/>
        <w:numPr>
          <w:ilvl w:val="0"/>
          <w:numId w:val="71"/>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Necessity: </w:t>
      </w:r>
      <w:r w:rsidR="00391B4F" w:rsidRPr="00131185">
        <w:rPr>
          <w:rFonts w:ascii="Avenir Next" w:hAnsi="Avenir Next" w:cs="Arial"/>
          <w:color w:val="808080" w:themeColor="background1" w:themeShade="80"/>
          <w:sz w:val="22"/>
          <w:szCs w:val="22"/>
          <w:lang w:val="en-GB"/>
        </w:rPr>
        <w:t xml:space="preserve">Ascertaining whether the relief is necessary and </w:t>
      </w:r>
      <w:r w:rsidRPr="00131185">
        <w:rPr>
          <w:rFonts w:ascii="Avenir Next" w:hAnsi="Avenir Next" w:cs="Arial"/>
          <w:color w:val="808080" w:themeColor="background1" w:themeShade="80"/>
          <w:sz w:val="22"/>
          <w:szCs w:val="22"/>
          <w:lang w:val="en-GB"/>
        </w:rPr>
        <w:t xml:space="preserve">if </w:t>
      </w:r>
      <w:r w:rsidR="00391B4F" w:rsidRPr="00131185">
        <w:rPr>
          <w:rFonts w:ascii="Avenir Next" w:hAnsi="Avenir Next" w:cs="Arial"/>
          <w:color w:val="808080" w:themeColor="background1" w:themeShade="80"/>
          <w:sz w:val="22"/>
          <w:szCs w:val="22"/>
          <w:lang w:val="en-GB"/>
        </w:rPr>
        <w:t xml:space="preserve">it is essential for safeguarding assets or making the foreign main proceedings run more smoothly. </w:t>
      </w:r>
    </w:p>
    <w:p w14:paraId="48FDC082" w14:textId="77777777" w:rsidR="00131185" w:rsidRDefault="00211815" w:rsidP="00131185">
      <w:pPr>
        <w:pStyle w:val="Akapitzlist"/>
        <w:numPr>
          <w:ilvl w:val="0"/>
          <w:numId w:val="71"/>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Urgency / Time sensitivity</w:t>
      </w:r>
      <w:r w:rsidR="00391B4F" w:rsidRPr="00131185">
        <w:rPr>
          <w:rFonts w:ascii="Avenir Next" w:hAnsi="Avenir Next" w:cs="Arial"/>
          <w:color w:val="808080" w:themeColor="background1" w:themeShade="80"/>
          <w:sz w:val="22"/>
          <w:szCs w:val="22"/>
          <w:lang w:val="en-GB"/>
        </w:rPr>
        <w:t xml:space="preserve">: Because of how quickly the request needs to be met and the possible outcomes of </w:t>
      </w:r>
      <w:r w:rsidRPr="00131185">
        <w:rPr>
          <w:rFonts w:ascii="Avenir Next" w:hAnsi="Avenir Next" w:cs="Arial"/>
          <w:color w:val="808080" w:themeColor="background1" w:themeShade="80"/>
          <w:sz w:val="22"/>
          <w:szCs w:val="22"/>
          <w:lang w:val="en-GB"/>
        </w:rPr>
        <w:t xml:space="preserve">waiting if </w:t>
      </w:r>
      <w:r w:rsidR="00391B4F" w:rsidRPr="00131185">
        <w:rPr>
          <w:rFonts w:ascii="Avenir Next" w:hAnsi="Avenir Next" w:cs="Arial"/>
          <w:color w:val="808080" w:themeColor="background1" w:themeShade="80"/>
          <w:sz w:val="22"/>
          <w:szCs w:val="22"/>
          <w:lang w:val="en-GB"/>
        </w:rPr>
        <w:t>it is urgently needed.</w:t>
      </w:r>
    </w:p>
    <w:p w14:paraId="0AA1D3F9" w14:textId="74785FBD" w:rsidR="00391B4F" w:rsidRPr="00131185" w:rsidRDefault="00391B4F" w:rsidP="00131185">
      <w:pPr>
        <w:pStyle w:val="Akapitzlist"/>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 </w:t>
      </w:r>
    </w:p>
    <w:p w14:paraId="29B4A189" w14:textId="3BC02B15" w:rsidR="00211815" w:rsidRPr="00131185" w:rsidRDefault="00211815"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Moreover, the court should take into consideration the public policy – does it contravene it in the recognizing state, how this would impact the fundamental principles of the legal system there</w:t>
      </w:r>
      <w:r w:rsidR="00C70109" w:rsidRPr="00131185">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0BB93583" w14:textId="77777777" w:rsidR="00C70109" w:rsidRDefault="00C70109" w:rsidP="00131185">
      <w:pPr>
        <w:jc w:val="both"/>
        <w:rPr>
          <w:rFonts w:ascii="Avenir Next" w:hAnsi="Avenir Next" w:cs="Arial"/>
          <w:color w:val="808080" w:themeColor="background1" w:themeShade="80"/>
          <w:sz w:val="22"/>
          <w:szCs w:val="22"/>
          <w:lang w:val="en-GB"/>
        </w:rPr>
      </w:pPr>
    </w:p>
    <w:p w14:paraId="7D075261" w14:textId="2BCA12D4" w:rsidR="00867A8F" w:rsidRPr="00131185" w:rsidRDefault="007A7E80" w:rsidP="00707FC8">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Article 13 protects foreign creditors from being treated less favourably than domestic creditors. The non-discrimination principle states that foreign creditors do not have any </w:t>
      </w:r>
      <w:r w:rsidRPr="00131185">
        <w:rPr>
          <w:rFonts w:ascii="Avenir Next" w:hAnsi="Avenir Next" w:cs="Arial"/>
          <w:color w:val="808080" w:themeColor="background1" w:themeShade="80"/>
          <w:sz w:val="22"/>
          <w:szCs w:val="22"/>
          <w:lang w:val="en-GB"/>
        </w:rPr>
        <w:lastRenderedPageBreak/>
        <w:t xml:space="preserve">disadvantages over local creditors when submitting claims or asking to start an insolvency procedure. Article 13 states that, unless a </w:t>
      </w:r>
      <w:r w:rsidR="00131185" w:rsidRPr="00131185">
        <w:rPr>
          <w:rFonts w:ascii="Avenir Next" w:hAnsi="Avenir Next" w:cs="Arial"/>
          <w:color w:val="808080" w:themeColor="background1" w:themeShade="80"/>
          <w:sz w:val="22"/>
          <w:szCs w:val="22"/>
          <w:lang w:val="en-GB"/>
        </w:rPr>
        <w:t>similar</w:t>
      </w:r>
      <w:r w:rsidRPr="00131185">
        <w:rPr>
          <w:rFonts w:ascii="Avenir Next" w:hAnsi="Avenir Next" w:cs="Arial"/>
          <w:color w:val="808080" w:themeColor="background1" w:themeShade="80"/>
          <w:sz w:val="22"/>
          <w:szCs w:val="22"/>
          <w:lang w:val="en-GB"/>
        </w:rPr>
        <w:t xml:space="preserve"> domestic claim would be rated lower than general unsecured claims under the law of the enacting state, the minimum ranking for foreign creditor claims shall be the rank of general unsecured claims. </w:t>
      </w:r>
      <w:r w:rsidR="00131185" w:rsidRPr="00131185">
        <w:rPr>
          <w:rFonts w:ascii="Avenir Next" w:hAnsi="Avenir Next" w:cs="Arial"/>
          <w:color w:val="808080" w:themeColor="background1" w:themeShade="80"/>
          <w:sz w:val="22"/>
          <w:szCs w:val="22"/>
          <w:lang w:val="en-GB"/>
        </w:rPr>
        <w:t>Furthermore,</w:t>
      </w:r>
      <w:r w:rsidRPr="00131185">
        <w:rPr>
          <w:rFonts w:ascii="Avenir Next" w:hAnsi="Avenir Next" w:cs="Arial"/>
          <w:color w:val="808080" w:themeColor="background1" w:themeShade="80"/>
          <w:sz w:val="22"/>
          <w:szCs w:val="22"/>
          <w:lang w:val="en-GB"/>
        </w:rPr>
        <w:t xml:space="preserve"> it stipulates that claims made by foreign creditors will only be given a lower priority than local claims in cases where local laws specify a different priority for a particular kind of claim, including claims involving fines or postponed payments.</w:t>
      </w:r>
    </w:p>
    <w:p w14:paraId="3D97446E" w14:textId="77777777" w:rsidR="007A7E80" w:rsidRPr="0062272D" w:rsidRDefault="007A7E80" w:rsidP="00707FC8">
      <w:pPr>
        <w:jc w:val="both"/>
        <w:rPr>
          <w:rFonts w:ascii="Avenir Next" w:hAnsi="Avenir Next" w:cs="Arial"/>
          <w:b/>
          <w:sz w:val="22"/>
          <w:szCs w:val="22"/>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4127391E" w14:textId="77777777" w:rsidR="00100E8F" w:rsidRDefault="00100E8F" w:rsidP="00131185">
      <w:pPr>
        <w:jc w:val="both"/>
        <w:rPr>
          <w:rFonts w:ascii="Avenir Next" w:hAnsi="Avenir Next" w:cs="Arial"/>
          <w:color w:val="808080" w:themeColor="background1" w:themeShade="80"/>
          <w:sz w:val="22"/>
          <w:szCs w:val="22"/>
          <w:lang w:val="en-GB"/>
        </w:rPr>
      </w:pPr>
    </w:p>
    <w:p w14:paraId="1B281F81" w14:textId="77777777" w:rsidR="00CC2591" w:rsidRDefault="00CC2591"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Foreign Main Proceedings: The relief given in a foreign main case applies to everyone. This means that the debtor's assets, no matter where they are located, are subject to the orders and decisions made by the foreign court in the main case. The main process is meant to include the main bankruptcy case where the debtor's center of main interests (COMI) is situated. The universal effect of relief in foreign main proceeding makes sure that the actions taken by the foreign court affect all the debtor's assets around the world. Some of the things that can be done are stopping legal moves, selling assets, making reorganization plans, and other steps that affect every part of the debtor's insolvency process. </w:t>
      </w:r>
    </w:p>
    <w:p w14:paraId="2CEE2845"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348F9D21" w14:textId="007C9CB4" w:rsidR="00CC2591" w:rsidRDefault="00CC2591"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These reliefs are automatically given, protecting the debtor right away and making it easier to run the foreign main proceeding smoothly.</w:t>
      </w:r>
    </w:p>
    <w:p w14:paraId="5275D9AA"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30840160" w14:textId="6D4D4FAF" w:rsidR="00CC2591" w:rsidRDefault="00CC2591"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In foreign non-main proceedings, on the other hand, the types of relief that can be given are more restricted. When a foreign court rules on a non-main proceeding, its orders and decisions only affect the debtor's assets that are in the state where the non-main proceeding is taking place. Most of the time, non-main proceedings are used in insolvency cases where the debtor has an entity but not its COMI. Foreign non-main proceedings only allow relief in a small area. This means that the actions taken by the foreign court mostly affect assets located in the country where the non-main proceeding is being held. This can mean that insolvency steps are used in a smaller area than they would be in the main proceedings.</w:t>
      </w:r>
    </w:p>
    <w:p w14:paraId="50D33398"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2E612532" w14:textId="5FDCBD16" w:rsidR="00CC2591" w:rsidRPr="00131185" w:rsidRDefault="00CC2591"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This lets the approach be more tailored, but it can cause delays and uncertainty when compared to the automatic relief in main proceedings.</w:t>
      </w:r>
    </w:p>
    <w:p w14:paraId="6B7EC2E7" w14:textId="77777777" w:rsidR="007A7E80" w:rsidRPr="007A7E80" w:rsidRDefault="007A7E80" w:rsidP="00100E8F">
      <w:pPr>
        <w:ind w:left="720" w:hanging="720"/>
        <w:jc w:val="both"/>
        <w:rPr>
          <w:rFonts w:ascii="Avenir Next" w:hAnsi="Avenir Next" w:cs="Arial"/>
          <w:color w:val="808080" w:themeColor="background1" w:themeShade="80"/>
          <w:sz w:val="22"/>
          <w:szCs w:val="22"/>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 xml:space="preserve">main proceedings as well as the recognition proceedings in the US have </w:t>
      </w:r>
      <w:r w:rsidRPr="001A40F2">
        <w:rPr>
          <w:rFonts w:ascii="Avenir Next" w:hAnsi="Avenir Next" w:cs="Arial"/>
          <w:sz w:val="22"/>
          <w:szCs w:val="28"/>
          <w:lang w:val="en-GB"/>
        </w:rPr>
        <w:lastRenderedPageBreak/>
        <w:t>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6EF20712" w14:textId="77777777" w:rsidR="00162462"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MLCBI states that the main proceeding should start in the country where the debtor has its COMI. In this case, that would be Germany so the foreign main proceeding must be filed there.</w:t>
      </w:r>
    </w:p>
    <w:p w14:paraId="7EEEEA32"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56062BE8" w14:textId="77777777" w:rsidR="00162462" w:rsidRPr="00131185"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Foreign Non-Main Proceeding: should be filed in Bermuda, since that's where the debtor has an establishment, but not COMI.</w:t>
      </w:r>
    </w:p>
    <w:p w14:paraId="45CF528D" w14:textId="77777777" w:rsidR="00162462" w:rsidRPr="00131185" w:rsidRDefault="00162462" w:rsidP="00131185">
      <w:pPr>
        <w:jc w:val="both"/>
        <w:rPr>
          <w:rFonts w:ascii="Avenir Next" w:hAnsi="Avenir Next" w:cs="Arial"/>
          <w:color w:val="808080" w:themeColor="background1" w:themeShade="80"/>
          <w:sz w:val="22"/>
          <w:szCs w:val="22"/>
          <w:lang w:val="en-GB"/>
        </w:rPr>
      </w:pPr>
    </w:p>
    <w:p w14:paraId="3D9EBAF2" w14:textId="77777777" w:rsidR="00162462" w:rsidRPr="00131185"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Most likely outcome: </w:t>
      </w:r>
    </w:p>
    <w:p w14:paraId="0D76B9F2" w14:textId="77777777" w:rsidR="00162462" w:rsidRPr="00131185" w:rsidRDefault="00162462" w:rsidP="00131185">
      <w:pPr>
        <w:jc w:val="both"/>
        <w:rPr>
          <w:rFonts w:ascii="Avenir Next" w:hAnsi="Avenir Next" w:cs="Arial"/>
          <w:color w:val="808080" w:themeColor="background1" w:themeShade="80"/>
          <w:sz w:val="22"/>
          <w:szCs w:val="22"/>
          <w:lang w:val="en-GB"/>
        </w:rPr>
      </w:pPr>
    </w:p>
    <w:p w14:paraId="1EC83F33" w14:textId="7B39FA17" w:rsidR="00162462" w:rsidRPr="00131185"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Foreign main proceeding in Germany would apply to </w:t>
      </w:r>
      <w:r w:rsidR="00131185" w:rsidRPr="00131185">
        <w:rPr>
          <w:rFonts w:ascii="Avenir Next" w:hAnsi="Avenir Next" w:cs="Arial"/>
          <w:color w:val="808080" w:themeColor="background1" w:themeShade="80"/>
          <w:sz w:val="22"/>
          <w:szCs w:val="22"/>
          <w:lang w:val="en-GB"/>
        </w:rPr>
        <w:t>all</w:t>
      </w:r>
      <w:r w:rsidRPr="00131185">
        <w:rPr>
          <w:rFonts w:ascii="Avenir Next" w:hAnsi="Avenir Next" w:cs="Arial"/>
          <w:color w:val="808080" w:themeColor="background1" w:themeShade="80"/>
          <w:sz w:val="22"/>
          <w:szCs w:val="22"/>
          <w:lang w:val="en-GB"/>
        </w:rPr>
        <w:t xml:space="preserve"> the debtor's assets around the world and have control over them. The German court in charge of the main proceeding would be able to make orders and decisions that apply to </w:t>
      </w:r>
      <w:r w:rsidR="00131185" w:rsidRPr="00131185">
        <w:rPr>
          <w:rFonts w:ascii="Avenir Next" w:hAnsi="Avenir Next" w:cs="Arial"/>
          <w:color w:val="808080" w:themeColor="background1" w:themeShade="80"/>
          <w:sz w:val="22"/>
          <w:szCs w:val="22"/>
          <w:lang w:val="en-GB"/>
        </w:rPr>
        <w:t>all</w:t>
      </w:r>
      <w:r w:rsidRPr="00131185">
        <w:rPr>
          <w:rFonts w:ascii="Avenir Next" w:hAnsi="Avenir Next" w:cs="Arial"/>
          <w:color w:val="808080" w:themeColor="background1" w:themeShade="80"/>
          <w:sz w:val="22"/>
          <w:szCs w:val="22"/>
          <w:lang w:val="en-GB"/>
        </w:rPr>
        <w:t xml:space="preserve"> the debtor's assets worldwide.</w:t>
      </w:r>
    </w:p>
    <w:p w14:paraId="032D498B" w14:textId="77777777" w:rsidR="00162462" w:rsidRPr="00131185" w:rsidRDefault="00162462" w:rsidP="00131185">
      <w:pPr>
        <w:jc w:val="both"/>
        <w:rPr>
          <w:rFonts w:ascii="Avenir Next" w:hAnsi="Avenir Next" w:cs="Arial"/>
          <w:color w:val="808080" w:themeColor="background1" w:themeShade="80"/>
          <w:sz w:val="22"/>
          <w:szCs w:val="22"/>
          <w:lang w:val="en-GB"/>
        </w:rPr>
      </w:pPr>
    </w:p>
    <w:p w14:paraId="7B6B0DF1" w14:textId="77777777" w:rsidR="00162462" w:rsidRPr="00131185"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 xml:space="preserve">Foreign Non-Main Proceeding in Bermuda would only look at the debtor's assets that are based in Bermuda, which is where the establishment is located. The relief given in the non-main case would mostly affect the debtor's assets in Bermuda and might not apply to </w:t>
      </w:r>
      <w:proofErr w:type="gramStart"/>
      <w:r w:rsidRPr="00131185">
        <w:rPr>
          <w:rFonts w:ascii="Avenir Next" w:hAnsi="Avenir Next" w:cs="Arial"/>
          <w:color w:val="808080" w:themeColor="background1" w:themeShade="80"/>
          <w:sz w:val="22"/>
          <w:szCs w:val="22"/>
          <w:lang w:val="en-GB"/>
        </w:rPr>
        <w:t>all of</w:t>
      </w:r>
      <w:proofErr w:type="gramEnd"/>
      <w:r w:rsidRPr="00131185">
        <w:rPr>
          <w:rFonts w:ascii="Avenir Next" w:hAnsi="Avenir Next" w:cs="Arial"/>
          <w:color w:val="808080" w:themeColor="background1" w:themeShade="80"/>
          <w:sz w:val="22"/>
          <w:szCs w:val="22"/>
          <w:lang w:val="en-GB"/>
        </w:rPr>
        <w:t xml:space="preserve"> their assets around the world.</w:t>
      </w:r>
    </w:p>
    <w:p w14:paraId="5502DC73" w14:textId="77777777" w:rsidR="00162462" w:rsidRPr="00131185" w:rsidRDefault="00162462" w:rsidP="00131185">
      <w:pPr>
        <w:jc w:val="both"/>
        <w:rPr>
          <w:rFonts w:ascii="Avenir Next" w:hAnsi="Avenir Next" w:cs="Arial"/>
          <w:color w:val="808080" w:themeColor="background1" w:themeShade="80"/>
          <w:sz w:val="22"/>
          <w:szCs w:val="22"/>
          <w:lang w:val="en-GB"/>
        </w:rPr>
      </w:pPr>
    </w:p>
    <w:p w14:paraId="1B758E97" w14:textId="7095AF47" w:rsidR="00162462" w:rsidRPr="00131185" w:rsidRDefault="00162462"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Proceedings for Recognition in the US</w:t>
      </w:r>
      <w:r w:rsidR="00131185">
        <w:rPr>
          <w:rFonts w:ascii="Avenir Next" w:hAnsi="Avenir Next" w:cs="Arial"/>
          <w:color w:val="808080" w:themeColor="background1" w:themeShade="80"/>
          <w:sz w:val="22"/>
          <w:szCs w:val="22"/>
          <w:lang w:val="en-GB"/>
        </w:rPr>
        <w:t xml:space="preserve"> - </w:t>
      </w:r>
      <w:r w:rsidRPr="00131185">
        <w:rPr>
          <w:rFonts w:ascii="Avenir Next" w:hAnsi="Avenir Next" w:cs="Arial"/>
          <w:color w:val="808080" w:themeColor="background1" w:themeShade="80"/>
          <w:sz w:val="22"/>
          <w:szCs w:val="22"/>
          <w:lang w:val="en-GB"/>
        </w:rPr>
        <w:t>the US court would recognize and carry out the main and non-main proceedings that were started in Germany and Bermuda, respectively. The US court would determine the appropriate level of recognition and assistance to provide, based on the nature of the foreign proceedings and their impact on the debtor's assets and operations in the US.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24CD222C" w14:textId="77777777" w:rsidR="0065484D" w:rsidRDefault="0065484D"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action may prevent the US court from recognizing the German main and Bermudan non-main proceedings under Chapter 15. It may delay or interrupt main and non-main processes designation.</w:t>
      </w:r>
    </w:p>
    <w:p w14:paraId="6A806B14" w14:textId="77777777" w:rsidR="00131185" w:rsidRPr="00131185" w:rsidRDefault="00131185" w:rsidP="00131185">
      <w:pPr>
        <w:jc w:val="both"/>
        <w:rPr>
          <w:rFonts w:ascii="Avenir Next" w:hAnsi="Avenir Next" w:cs="Arial"/>
          <w:color w:val="808080" w:themeColor="background1" w:themeShade="80"/>
          <w:sz w:val="22"/>
          <w:szCs w:val="22"/>
          <w:lang w:val="en-GB"/>
        </w:rPr>
      </w:pPr>
    </w:p>
    <w:p w14:paraId="6CA4B7F7" w14:textId="77777777" w:rsidR="0065484D" w:rsidRPr="00131185" w:rsidRDefault="0065484D"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court will look for evidence that liquidators are obstructing or preventing US vendors from fulfilling their contracts with the foreign debtor, while also protecting foreign insolvency proceedings, which could harm domestic and foreign creditors.</w:t>
      </w:r>
    </w:p>
    <w:p w14:paraId="06327199" w14:textId="77777777" w:rsidR="0065484D" w:rsidRPr="00131185" w:rsidRDefault="0065484D" w:rsidP="00131185">
      <w:pPr>
        <w:jc w:val="both"/>
        <w:rPr>
          <w:rFonts w:ascii="Avenir Next" w:hAnsi="Avenir Next" w:cs="Arial"/>
          <w:color w:val="808080" w:themeColor="background1" w:themeShade="80"/>
          <w:sz w:val="22"/>
          <w:szCs w:val="22"/>
          <w:lang w:val="en-GB"/>
        </w:rPr>
      </w:pPr>
    </w:p>
    <w:p w14:paraId="583CBF97" w14:textId="77777777" w:rsidR="0065484D" w:rsidRPr="00131185" w:rsidRDefault="0065484D" w:rsidP="00131185">
      <w:p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I think liquidators will argue that they acted in good faith and in the best interests of the debtor and all creditors and that they worked within their authority, as MCLBI provides foreign representatives with partial, limited immunity from legal action to facilitate cross-border insolvency proceedings. Local US legal counsel is recommended.</w:t>
      </w:r>
    </w:p>
    <w:p w14:paraId="2D8EE8DC" w14:textId="77777777" w:rsidR="0065484D" w:rsidRPr="00131185" w:rsidRDefault="0065484D" w:rsidP="00131185">
      <w:pPr>
        <w:jc w:val="both"/>
        <w:rPr>
          <w:rFonts w:ascii="Avenir Next" w:hAnsi="Avenir Next" w:cs="Arial"/>
          <w:color w:val="808080" w:themeColor="background1" w:themeShade="80"/>
          <w:sz w:val="22"/>
          <w:szCs w:val="22"/>
          <w:lang w:val="en-GB"/>
        </w:rPr>
      </w:pPr>
    </w:p>
    <w:p w14:paraId="5E881411" w14:textId="57D4D33C" w:rsidR="0065484D" w:rsidRPr="00131185" w:rsidRDefault="00131185" w:rsidP="001311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see t</w:t>
      </w:r>
      <w:r w:rsidR="0065484D" w:rsidRPr="00131185">
        <w:rPr>
          <w:rFonts w:ascii="Avenir Next" w:hAnsi="Avenir Next" w:cs="Arial"/>
          <w:color w:val="808080" w:themeColor="background1" w:themeShade="80"/>
          <w:sz w:val="22"/>
          <w:szCs w:val="22"/>
          <w:lang w:val="en-GB"/>
        </w:rPr>
        <w:t>hree possible outcomes:</w:t>
      </w:r>
    </w:p>
    <w:p w14:paraId="2576A958" w14:textId="78C920F2" w:rsidR="0065484D" w:rsidRPr="00131185" w:rsidRDefault="0065484D" w:rsidP="00131185">
      <w:pPr>
        <w:pStyle w:val="Akapitzlist"/>
        <w:numPr>
          <w:ilvl w:val="0"/>
          <w:numId w:val="72"/>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court may reject the complaint due to immunity, recognizing the significance of safeguarding the foreign insolvency process or,</w:t>
      </w:r>
    </w:p>
    <w:p w14:paraId="544B4E4A" w14:textId="26B07E60" w:rsidR="0065484D" w:rsidRPr="00131185" w:rsidRDefault="0065484D" w:rsidP="00131185">
      <w:pPr>
        <w:pStyle w:val="Akapitzlist"/>
        <w:numPr>
          <w:ilvl w:val="0"/>
          <w:numId w:val="72"/>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court may award limited immunity to liquidators for activities within their obligations, while allowing the lawsuit to proceed for actions outside that scope or,</w:t>
      </w:r>
    </w:p>
    <w:p w14:paraId="4B6BCFAB" w14:textId="439C8BFE" w:rsidR="0065484D" w:rsidRPr="00131185" w:rsidRDefault="0065484D" w:rsidP="00131185">
      <w:pPr>
        <w:pStyle w:val="Akapitzlist"/>
        <w:numPr>
          <w:ilvl w:val="0"/>
          <w:numId w:val="72"/>
        </w:numPr>
        <w:jc w:val="both"/>
        <w:rPr>
          <w:rFonts w:ascii="Avenir Next" w:hAnsi="Avenir Next" w:cs="Arial"/>
          <w:color w:val="808080" w:themeColor="background1" w:themeShade="80"/>
          <w:sz w:val="22"/>
          <w:szCs w:val="22"/>
          <w:lang w:val="en-GB"/>
        </w:rPr>
      </w:pPr>
      <w:r w:rsidRPr="00131185">
        <w:rPr>
          <w:rFonts w:ascii="Avenir Next" w:hAnsi="Avenir Next" w:cs="Arial"/>
          <w:color w:val="808080" w:themeColor="background1" w:themeShade="80"/>
          <w:sz w:val="22"/>
          <w:szCs w:val="22"/>
          <w:lang w:val="en-GB"/>
        </w:rPr>
        <w:t>The court may postpone a decision on the lawsuit until the foreign main proceedings progress.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51C6A48" w14:textId="6802CC59" w:rsidR="007D4630" w:rsidRDefault="00936C1A"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 xml:space="preserve">The principal aim is safeguarding the debtor's US assets against possible loss resulting from "ipso facto" clauses. As a result, I would strongly support a prompt recognition procedure during the hearing. I would recommend highlighting the urgency of the situation and outlining the substantial risk of instant asset loss associated with ipso facto clauses during the hearing. </w:t>
      </w:r>
      <w:proofErr w:type="gramStart"/>
      <w:r w:rsidR="007D4630">
        <w:rPr>
          <w:rFonts w:ascii="Avenir Next" w:hAnsi="Avenir Next" w:cs="Arial"/>
          <w:color w:val="808080" w:themeColor="background1" w:themeShade="80"/>
          <w:sz w:val="22"/>
          <w:szCs w:val="22"/>
          <w:lang w:val="en-GB"/>
        </w:rPr>
        <w:t>In order to</w:t>
      </w:r>
      <w:proofErr w:type="gramEnd"/>
      <w:r w:rsidR="007D4630">
        <w:rPr>
          <w:rFonts w:ascii="Avenir Next" w:hAnsi="Avenir Next" w:cs="Arial"/>
          <w:color w:val="808080" w:themeColor="background1" w:themeShade="80"/>
          <w:sz w:val="22"/>
          <w:szCs w:val="22"/>
          <w:lang w:val="en-GB"/>
        </w:rPr>
        <w:t xml:space="preserve"> expedite the recognition process, I would advise negotiating with the judge and stressing the potential consequences of delaying.</w:t>
      </w:r>
    </w:p>
    <w:p w14:paraId="01A4A8D9" w14:textId="77777777" w:rsidR="007D4630" w:rsidRDefault="007D4630" w:rsidP="007D4630">
      <w:pPr>
        <w:jc w:val="both"/>
        <w:rPr>
          <w:rFonts w:ascii="Avenir Next" w:hAnsi="Avenir Next" w:cs="Arial"/>
          <w:color w:val="808080" w:themeColor="background1" w:themeShade="80"/>
          <w:sz w:val="22"/>
          <w:szCs w:val="22"/>
          <w:lang w:val="en-GB"/>
        </w:rPr>
      </w:pPr>
    </w:p>
    <w:p w14:paraId="637384E1" w14:textId="0D1C9BA3" w:rsidR="007D4630" w:rsidRDefault="007D4630" w:rsidP="007D46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936C1A" w:rsidRPr="007D4630">
        <w:rPr>
          <w:rFonts w:ascii="Avenir Next" w:hAnsi="Avenir Next" w:cs="Arial"/>
          <w:color w:val="808080" w:themeColor="background1" w:themeShade="80"/>
          <w:sz w:val="22"/>
          <w:szCs w:val="22"/>
          <w:lang w:val="en-GB"/>
        </w:rPr>
        <w:t xml:space="preserve"> would take into consideration filing an emergency motion for an accelerated hearing if the circumstances are </w:t>
      </w:r>
      <w:proofErr w:type="gramStart"/>
      <w:r w:rsidR="00936C1A" w:rsidRPr="007D4630">
        <w:rPr>
          <w:rFonts w:ascii="Avenir Next" w:hAnsi="Avenir Next" w:cs="Arial"/>
          <w:color w:val="808080" w:themeColor="background1" w:themeShade="80"/>
          <w:sz w:val="22"/>
          <w:szCs w:val="22"/>
          <w:lang w:val="en-GB"/>
        </w:rPr>
        <w:t>really severe</w:t>
      </w:r>
      <w:proofErr w:type="gramEnd"/>
      <w:r w:rsidR="00936C1A" w:rsidRPr="007D4630">
        <w:rPr>
          <w:rFonts w:ascii="Avenir Next" w:hAnsi="Avenir Next" w:cs="Arial"/>
          <w:color w:val="808080" w:themeColor="background1" w:themeShade="80"/>
          <w:sz w:val="22"/>
          <w:szCs w:val="22"/>
          <w:lang w:val="en-GB"/>
        </w:rPr>
        <w:t xml:space="preserve"> and the debtor</w:t>
      </w:r>
      <w:r>
        <w:rPr>
          <w:rFonts w:ascii="Avenir Next" w:hAnsi="Avenir Next" w:cs="Arial"/>
          <w:color w:val="808080" w:themeColor="background1" w:themeShade="80"/>
          <w:sz w:val="22"/>
          <w:szCs w:val="22"/>
          <w:lang w:val="en-GB"/>
        </w:rPr>
        <w:t>’</w:t>
      </w:r>
      <w:r w:rsidR="00936C1A" w:rsidRPr="007D4630">
        <w:rPr>
          <w:rFonts w:ascii="Avenir Next" w:hAnsi="Avenir Next" w:cs="Arial"/>
          <w:color w:val="808080" w:themeColor="background1" w:themeShade="80"/>
          <w:sz w:val="22"/>
          <w:szCs w:val="22"/>
          <w:lang w:val="en-GB"/>
        </w:rPr>
        <w:t>s assets are in immediate danger. This would serve to highlight the extraordinary circumstances and make the case for the court</w:t>
      </w:r>
      <w:r>
        <w:rPr>
          <w:rFonts w:ascii="Avenir Next" w:hAnsi="Avenir Next" w:cs="Arial"/>
          <w:color w:val="808080" w:themeColor="background1" w:themeShade="80"/>
          <w:sz w:val="22"/>
          <w:szCs w:val="22"/>
          <w:lang w:val="en-GB"/>
        </w:rPr>
        <w:t>’</w:t>
      </w:r>
      <w:r w:rsidR="00936C1A" w:rsidRPr="007D4630">
        <w:rPr>
          <w:rFonts w:ascii="Avenir Next" w:hAnsi="Avenir Next" w:cs="Arial"/>
          <w:color w:val="808080" w:themeColor="background1" w:themeShade="80"/>
          <w:sz w:val="22"/>
          <w:szCs w:val="22"/>
          <w:lang w:val="en-GB"/>
        </w:rPr>
        <w:t xml:space="preserve">s prompt response. Once recognized, I would ask the US court to issue a declarative judgment or an injunction to stop counterparties from ending contracts because of ipso facto clauses. This would prohibit counterparties from taking specific actions, such as terminating contracts or leases. </w:t>
      </w:r>
    </w:p>
    <w:p w14:paraId="09E9A3BC" w14:textId="77777777" w:rsidR="007D4630" w:rsidRDefault="007D4630" w:rsidP="007D4630">
      <w:pPr>
        <w:jc w:val="both"/>
        <w:rPr>
          <w:rFonts w:ascii="Avenir Next" w:hAnsi="Avenir Next" w:cs="Arial"/>
          <w:color w:val="808080" w:themeColor="background1" w:themeShade="80"/>
          <w:sz w:val="22"/>
          <w:szCs w:val="22"/>
          <w:lang w:val="en-GB"/>
        </w:rPr>
      </w:pPr>
    </w:p>
    <w:p w14:paraId="6CBD3D69" w14:textId="77777777" w:rsidR="007D4630" w:rsidRDefault="00936C1A" w:rsidP="007D4630">
      <w:pPr>
        <w:jc w:val="both"/>
        <w:rPr>
          <w:rFonts w:ascii="Avenir Next" w:hAnsi="Avenir Next" w:cs="Arial"/>
          <w:color w:val="808080" w:themeColor="background1" w:themeShade="80"/>
          <w:sz w:val="22"/>
          <w:szCs w:val="22"/>
          <w:lang w:val="en-GB"/>
        </w:rPr>
      </w:pPr>
      <w:proofErr w:type="gramStart"/>
      <w:r w:rsidRPr="007D4630">
        <w:rPr>
          <w:rFonts w:ascii="Avenir Next" w:hAnsi="Avenir Next" w:cs="Arial"/>
          <w:color w:val="808080" w:themeColor="background1" w:themeShade="80"/>
          <w:sz w:val="22"/>
          <w:szCs w:val="22"/>
          <w:lang w:val="en-GB"/>
        </w:rPr>
        <w:t>In order to</w:t>
      </w:r>
      <w:proofErr w:type="gramEnd"/>
      <w:r w:rsidRPr="007D4630">
        <w:rPr>
          <w:rFonts w:ascii="Avenir Next" w:hAnsi="Avenir Next" w:cs="Arial"/>
          <w:color w:val="808080" w:themeColor="background1" w:themeShade="80"/>
          <w:sz w:val="22"/>
          <w:szCs w:val="22"/>
          <w:lang w:val="en-GB"/>
        </w:rPr>
        <w:t xml:space="preserve"> provide long-term protection, a declaratory judgment would ask the court to rule that the ipso facto terms are unenforceable under US Bankruptcy Code Section 365(e)(1). While going to court to pursue legal remedies is important, </w:t>
      </w:r>
    </w:p>
    <w:p w14:paraId="4F24FAB4" w14:textId="77777777" w:rsidR="007D4630" w:rsidRDefault="007D4630" w:rsidP="007D4630">
      <w:pPr>
        <w:jc w:val="both"/>
        <w:rPr>
          <w:rFonts w:ascii="Avenir Next" w:hAnsi="Avenir Next" w:cs="Arial"/>
          <w:color w:val="808080" w:themeColor="background1" w:themeShade="80"/>
          <w:sz w:val="22"/>
          <w:szCs w:val="22"/>
          <w:lang w:val="en-GB"/>
        </w:rPr>
      </w:pPr>
    </w:p>
    <w:p w14:paraId="1B85D00D" w14:textId="58B2A90D" w:rsidR="007D4630" w:rsidRDefault="00936C1A"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 xml:space="preserve">I would also aggressively negotiate with counterparties. This might entail proposing amendment agreements as these would align with US bankruptcy law by changing or getting rid of ipso facto terms. I would be transparent about the restructuring plan and my commitment to fulfill contractual obligations also. It's critical to remain aware of any prospective counterparty activities, such as attempts to revoke licenses or leases, that can endanger the debtor's US assets. </w:t>
      </w:r>
    </w:p>
    <w:p w14:paraId="3323CEC5" w14:textId="77777777" w:rsidR="007D4630" w:rsidRDefault="007D4630" w:rsidP="007D4630">
      <w:pPr>
        <w:jc w:val="both"/>
        <w:rPr>
          <w:rFonts w:ascii="Avenir Next" w:hAnsi="Avenir Next" w:cs="Arial"/>
          <w:color w:val="808080" w:themeColor="background1" w:themeShade="80"/>
          <w:sz w:val="22"/>
          <w:szCs w:val="22"/>
          <w:lang w:val="en-GB"/>
        </w:rPr>
      </w:pPr>
    </w:p>
    <w:p w14:paraId="08CB4B1E" w14:textId="710BB596" w:rsidR="007D4630" w:rsidRDefault="007D4630" w:rsidP="007D46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rationale for each stage:</w:t>
      </w:r>
    </w:p>
    <w:p w14:paraId="2BA2DCBA" w14:textId="77777777" w:rsidR="007D4630" w:rsidRDefault="007D4630" w:rsidP="007D4630">
      <w:pPr>
        <w:jc w:val="both"/>
        <w:rPr>
          <w:rFonts w:ascii="Avenir Next" w:hAnsi="Avenir Next" w:cs="Arial"/>
          <w:color w:val="808080" w:themeColor="background1" w:themeShade="80"/>
          <w:sz w:val="22"/>
          <w:szCs w:val="22"/>
          <w:lang w:val="en-GB"/>
        </w:rPr>
      </w:pPr>
    </w:p>
    <w:p w14:paraId="6F7B904A" w14:textId="6A16A137" w:rsidR="007D4630" w:rsidRPr="007D4630" w:rsidRDefault="00936C1A" w:rsidP="007D4630">
      <w:pPr>
        <w:pStyle w:val="Akapitzlist"/>
        <w:numPr>
          <w:ilvl w:val="1"/>
          <w:numId w:val="74"/>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 xml:space="preserve">Accelerated recognition reduces the amount of time that ipso facto provisions could be utilized to break contracts and take assets away. </w:t>
      </w:r>
    </w:p>
    <w:p w14:paraId="3327BB70" w14:textId="4420EF9F" w:rsidR="007D4630" w:rsidRPr="007D4630" w:rsidRDefault="007D4630" w:rsidP="007D4630">
      <w:pPr>
        <w:pStyle w:val="Akapitzlist"/>
        <w:numPr>
          <w:ilvl w:val="1"/>
          <w:numId w:val="7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Filing a request for relief from the court provides a solid legal basis to protect assets and prevent contract terminations.</w:t>
      </w:r>
    </w:p>
    <w:p w14:paraId="5B0FE94E" w14:textId="0992D8B0" w:rsidR="007D4630" w:rsidRPr="007D4630" w:rsidRDefault="007D4630" w:rsidP="007D4630">
      <w:pPr>
        <w:pStyle w:val="Akapitzlist"/>
        <w:numPr>
          <w:ilvl w:val="1"/>
          <w:numId w:val="7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requesting relief from the court, you can stop contract terminations and protect assets with a solid legal base.</w:t>
      </w:r>
    </w:p>
    <w:p w14:paraId="2E101F02" w14:textId="5C4E62E2" w:rsidR="00260585" w:rsidRDefault="007D4630" w:rsidP="007D4630">
      <w:pPr>
        <w:pStyle w:val="Akapitzlist"/>
        <w:numPr>
          <w:ilvl w:val="1"/>
          <w:numId w:val="7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solid legal basis for protecting assets and preventing contract terminations is provided by requesting court relief.</w:t>
      </w:r>
    </w:p>
    <w:p w14:paraId="62D33E38" w14:textId="77777777" w:rsidR="007D4630" w:rsidRPr="007D4630" w:rsidRDefault="007D4630" w:rsidP="007D4630">
      <w:pPr>
        <w:pStyle w:val="Akapitzlist"/>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1D1E3C1A" w14:textId="3DF36710" w:rsidR="00972B4B"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He should start by carefully analyzing the court's decision to reject recognition using the MLCBI's framework. It is crucial to comprehend the precise legal foundation for this decision, and he should consult with legal professionals who are knowledgeable in the MLCBI's rules as well as the insolvency laws of the relevant nations. This study, conducted in accordance with MLCBI principles, might entail a thorough examination of the judgment and possibly a request for clarification from the court.</w:t>
      </w:r>
    </w:p>
    <w:p w14:paraId="100C33BE" w14:textId="77777777" w:rsidR="007D4630" w:rsidRPr="007D4630" w:rsidRDefault="007D4630" w:rsidP="007D4630">
      <w:pPr>
        <w:jc w:val="both"/>
        <w:rPr>
          <w:rFonts w:ascii="Avenir Next" w:hAnsi="Avenir Next" w:cs="Arial"/>
          <w:color w:val="808080" w:themeColor="background1" w:themeShade="80"/>
          <w:sz w:val="22"/>
          <w:szCs w:val="22"/>
          <w:lang w:val="en-GB"/>
        </w:rPr>
      </w:pPr>
    </w:p>
    <w:p w14:paraId="2BF47B53" w14:textId="77777777" w:rsidR="00972B4B" w:rsidRDefault="00972B4B" w:rsidP="007D4630">
      <w:pPr>
        <w:jc w:val="both"/>
        <w:rPr>
          <w:rFonts w:ascii="Avenir Next" w:hAnsi="Avenir Next" w:cs="Arial"/>
          <w:color w:val="808080" w:themeColor="background1" w:themeShade="80"/>
          <w:sz w:val="22"/>
          <w:szCs w:val="22"/>
          <w:lang w:val="en-GB"/>
        </w:rPr>
      </w:pPr>
      <w:proofErr w:type="gramStart"/>
      <w:r w:rsidRPr="007D4630">
        <w:rPr>
          <w:rFonts w:ascii="Avenir Next" w:hAnsi="Avenir Next" w:cs="Arial"/>
          <w:color w:val="808080" w:themeColor="background1" w:themeShade="80"/>
          <w:sz w:val="22"/>
          <w:szCs w:val="22"/>
          <w:lang w:val="en-GB"/>
        </w:rPr>
        <w:t>In light of</w:t>
      </w:r>
      <w:proofErr w:type="gramEnd"/>
      <w:r w:rsidRPr="007D4630">
        <w:rPr>
          <w:rFonts w:ascii="Avenir Next" w:hAnsi="Avenir Next" w:cs="Arial"/>
          <w:color w:val="808080" w:themeColor="background1" w:themeShade="80"/>
          <w:sz w:val="22"/>
          <w:szCs w:val="22"/>
          <w:lang w:val="en-GB"/>
        </w:rPr>
        <w:t xml:space="preserve"> the MLCBI's focus on offering efficient procedures for handling situations involving cross-border insolvency, he would investigate all reasonable means of responding to the denial. This would comprise:</w:t>
      </w:r>
    </w:p>
    <w:p w14:paraId="421C1548" w14:textId="77777777" w:rsidR="007D4630" w:rsidRPr="007D4630" w:rsidRDefault="007D4630" w:rsidP="007D4630">
      <w:pPr>
        <w:jc w:val="both"/>
        <w:rPr>
          <w:rFonts w:ascii="Avenir Next" w:hAnsi="Avenir Next" w:cs="Arial"/>
          <w:color w:val="808080" w:themeColor="background1" w:themeShade="80"/>
          <w:sz w:val="22"/>
          <w:szCs w:val="22"/>
          <w:lang w:val="en-GB"/>
        </w:rPr>
      </w:pPr>
    </w:p>
    <w:p w14:paraId="5D2BFCBC" w14:textId="15CDBFEE" w:rsidR="00972B4B" w:rsidRPr="007D4630" w:rsidRDefault="00972B4B" w:rsidP="007D4630">
      <w:pPr>
        <w:pStyle w:val="Akapitzlist"/>
        <w:numPr>
          <w:ilvl w:val="0"/>
          <w:numId w:val="75"/>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Using the MLCBI's legal remedy mechanisms to appeal the decision if it appears that there was an oversight in procedure or legal misinterpretation.</w:t>
      </w:r>
    </w:p>
    <w:p w14:paraId="7B8BB37A" w14:textId="05E5B90C" w:rsidR="00972B4B" w:rsidRPr="007D4630" w:rsidRDefault="00972B4B" w:rsidP="007D4630">
      <w:pPr>
        <w:pStyle w:val="Akapitzlist"/>
        <w:numPr>
          <w:ilvl w:val="0"/>
          <w:numId w:val="75"/>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If technical or informational deficiencies are the reason for the denial, resubmitting the petition with the necessary alterations and supporting documentation.</w:t>
      </w:r>
    </w:p>
    <w:p w14:paraId="397140D6" w14:textId="1B62A865" w:rsidR="00972B4B" w:rsidRDefault="00972B4B" w:rsidP="007D4630">
      <w:pPr>
        <w:pStyle w:val="Akapitzlist"/>
        <w:numPr>
          <w:ilvl w:val="0"/>
          <w:numId w:val="75"/>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 xml:space="preserve">Pursuing alternate methods of recognition, such as requesting that the proceeding be recognized as a foreign non-main proceeding </w:t>
      </w:r>
      <w:proofErr w:type="gramStart"/>
      <w:r w:rsidRPr="007D4630">
        <w:rPr>
          <w:rFonts w:ascii="Avenir Next" w:hAnsi="Avenir Next" w:cs="Arial"/>
          <w:color w:val="808080" w:themeColor="background1" w:themeShade="80"/>
          <w:sz w:val="22"/>
          <w:szCs w:val="22"/>
          <w:lang w:val="en-GB"/>
        </w:rPr>
        <w:t>in the event that</w:t>
      </w:r>
      <w:proofErr w:type="gramEnd"/>
      <w:r w:rsidRPr="007D4630">
        <w:rPr>
          <w:rFonts w:ascii="Avenir Next" w:hAnsi="Avenir Next" w:cs="Arial"/>
          <w:color w:val="808080" w:themeColor="background1" w:themeShade="80"/>
          <w:sz w:val="22"/>
          <w:szCs w:val="22"/>
          <w:lang w:val="en-GB"/>
        </w:rPr>
        <w:t xml:space="preserve"> the debtor has an establishment in the relevant jurisdiction, as recommended by MLCBI Article 2(c), which provides definitions for such proceedings.</w:t>
      </w:r>
    </w:p>
    <w:p w14:paraId="3CFAB121" w14:textId="77777777" w:rsidR="007D4630" w:rsidRPr="007D4630" w:rsidRDefault="007D4630" w:rsidP="007D4630">
      <w:pPr>
        <w:pStyle w:val="Akapitzlist"/>
        <w:jc w:val="both"/>
        <w:rPr>
          <w:rFonts w:ascii="Avenir Next" w:hAnsi="Avenir Next" w:cs="Arial"/>
          <w:color w:val="808080" w:themeColor="background1" w:themeShade="80"/>
          <w:sz w:val="22"/>
          <w:szCs w:val="22"/>
          <w:lang w:val="en-GB"/>
        </w:rPr>
      </w:pPr>
    </w:p>
    <w:p w14:paraId="48D132C6" w14:textId="556AEB73" w:rsidR="00972B4B" w:rsidRPr="007D4630"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Parallel to this, he should have direct talks with Country B's creditors, looking into potential asset sales or restructuring plans that might not need official recognition. This approach would be in line with MLCBI's mission to promote collaboration and protect the value of the debtor's assets.</w:t>
      </w:r>
    </w:p>
    <w:p w14:paraId="1C95B863" w14:textId="42B2B6C9" w:rsidR="00972B4B"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lastRenderedPageBreak/>
        <w:t>Performing extensive due diligence would have been essential right from the start. This involves determining the possibility of successful recognition considering the MLCBI and the unique legal frameworks of the two jurisdictions. Assessing whether the foreign proceeding meets the criteria to be considered a "foreign main proceeding" in accordance with the MLCBI's definitions would be a crucial component of this due diligence, with an emphasis on the COMI. This preliminary assessment would also include formulating counterarguments and anticipating probable objections based on the MLCBI criteria.</w:t>
      </w:r>
    </w:p>
    <w:p w14:paraId="1AC59D7D" w14:textId="77777777" w:rsidR="007D4630" w:rsidRPr="007D4630" w:rsidRDefault="007D4630" w:rsidP="007D4630">
      <w:pPr>
        <w:jc w:val="both"/>
        <w:rPr>
          <w:rFonts w:ascii="Avenir Next" w:hAnsi="Avenir Next" w:cs="Arial"/>
          <w:color w:val="808080" w:themeColor="background1" w:themeShade="80"/>
          <w:sz w:val="22"/>
          <w:szCs w:val="22"/>
          <w:lang w:val="en-GB"/>
        </w:rPr>
      </w:pPr>
    </w:p>
    <w:p w14:paraId="36CF7B5E" w14:textId="4390B56A" w:rsidR="00972B4B"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He should ensure the initial recognition petition is thorough and well-written, specifically meeting the MLCBI criteria. To meet the MLCBI's standards for recognition as a foreign main proceeding, this would entail supplying comprehensive information about the foreign insolvency proceedings and proof that Country A represents the debtor's COMI.</w:t>
      </w:r>
    </w:p>
    <w:p w14:paraId="3109E295" w14:textId="77777777" w:rsidR="007D4630" w:rsidRPr="007D4630" w:rsidRDefault="007D4630" w:rsidP="007D4630">
      <w:pPr>
        <w:jc w:val="both"/>
        <w:rPr>
          <w:rFonts w:ascii="Avenir Next" w:hAnsi="Avenir Next" w:cs="Arial"/>
          <w:color w:val="808080" w:themeColor="background1" w:themeShade="80"/>
          <w:sz w:val="22"/>
          <w:szCs w:val="22"/>
          <w:lang w:val="en-GB"/>
        </w:rPr>
      </w:pPr>
    </w:p>
    <w:p w14:paraId="50BC90FA" w14:textId="77777777" w:rsidR="00972B4B"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Considering alternative strategies from the beginning, in line with the MLCBI's flexibility, would also be a component of his strategy. This could entail investigating various sale options that might be permitted by Country B's legal framework or collaborating with creditors in that country to effectuate asset sales without formal recognition.</w:t>
      </w:r>
    </w:p>
    <w:p w14:paraId="1655B408" w14:textId="77777777" w:rsidR="007D4630" w:rsidRPr="007D4630" w:rsidRDefault="007D4630" w:rsidP="007D4630">
      <w:pPr>
        <w:jc w:val="both"/>
        <w:rPr>
          <w:rFonts w:ascii="Avenir Next" w:hAnsi="Avenir Next" w:cs="Arial"/>
          <w:color w:val="808080" w:themeColor="background1" w:themeShade="80"/>
          <w:sz w:val="22"/>
          <w:szCs w:val="22"/>
          <w:lang w:val="en-GB"/>
        </w:rPr>
      </w:pPr>
    </w:p>
    <w:p w14:paraId="6D1299C3" w14:textId="77777777" w:rsidR="00972B4B" w:rsidRPr="007D4630" w:rsidRDefault="00972B4B" w:rsidP="007D4630">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Improving communication with all parties concerned would be crucial, making use of the MLCBI's provisions for collaboration and direct court-to-court communication (Article 25). In cross-border insolvency proceedings, this guarantees transparency and promotes a cooperative climate that is advantageous to reaching a satisfactory conclusion.</w:t>
      </w:r>
    </w:p>
    <w:p w14:paraId="372CC88B" w14:textId="77777777" w:rsidR="00972B4B" w:rsidRPr="00B77352" w:rsidRDefault="00972B4B" w:rsidP="00867A8F">
      <w:pPr>
        <w:ind w:left="720" w:hanging="72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w:t>
      </w:r>
      <w:r w:rsidRPr="00E61F6E">
        <w:rPr>
          <w:rFonts w:ascii="Avenir Next" w:hAnsi="Avenir Next"/>
          <w:sz w:val="22"/>
          <w:szCs w:val="28"/>
        </w:rPr>
        <w:lastRenderedPageBreak/>
        <w:t>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43A441E9" w14:textId="77777777" w:rsidR="00126E19" w:rsidRDefault="00126E19" w:rsidP="00707FC8">
      <w:pPr>
        <w:jc w:val="both"/>
        <w:rPr>
          <w:rFonts w:ascii="Avenir Next" w:hAnsi="Avenir Next" w:cs="Arial"/>
          <w:sz w:val="22"/>
          <w:szCs w:val="22"/>
          <w:lang w:val="en-GB"/>
        </w:rPr>
      </w:pPr>
    </w:p>
    <w:p w14:paraId="5DB28E1D" w14:textId="77777777" w:rsidR="002619F3" w:rsidRDefault="002619F3" w:rsidP="00F944CF">
      <w:pPr>
        <w:jc w:val="both"/>
        <w:rPr>
          <w:rFonts w:ascii="Avenir Next" w:hAnsi="Avenir Next" w:cs="Arial"/>
          <w:color w:val="808080" w:themeColor="background1" w:themeShade="80"/>
          <w:sz w:val="22"/>
          <w:szCs w:val="22"/>
          <w:lang w:val="en-GB"/>
        </w:rPr>
      </w:pPr>
    </w:p>
    <w:p w14:paraId="302FE4B0" w14:textId="6ECA3079" w:rsidR="00F944CF" w:rsidRPr="007D4630" w:rsidRDefault="00F944CF" w:rsidP="00F944CF">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The strategy is twofold: it focuses on recognizing both main and non-main proceedings while also exploiting the company's operational and legal relationships to the Cayman Islands and the United States.</w:t>
      </w:r>
    </w:p>
    <w:p w14:paraId="3864FCB2"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153EFA74" w14:textId="77777777" w:rsidR="00F944CF" w:rsidRPr="007D4630" w:rsidRDefault="00F944CF" w:rsidP="002619F3">
      <w:pPr>
        <w:pStyle w:val="Akapitzlist"/>
        <w:numPr>
          <w:ilvl w:val="0"/>
          <w:numId w:val="81"/>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COMI and Establishment Analysis.</w:t>
      </w:r>
    </w:p>
    <w:p w14:paraId="2C1AFA0D"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21F78A42" w14:textId="77777777" w:rsidR="00F944CF" w:rsidRPr="007D4630" w:rsidRDefault="00F944CF" w:rsidP="00F944CF">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Given Globe Holdings' incorporation in the Cayman Islands, the maintenance of its books and records, and the location of its board meetings and legal counsel operations, the COMI is presumed to be in the Cayman Islands. However, the fact that all of Globe Holdings' business activities and staff are based in the United States complicates this analysis, potentially shifting the COMI there.</w:t>
      </w:r>
    </w:p>
    <w:p w14:paraId="307FCF08"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32364391" w14:textId="27B4CB30" w:rsidR="00F944CF" w:rsidRPr="007D4630" w:rsidRDefault="00F944CF" w:rsidP="002619F3">
      <w:pPr>
        <w:pStyle w:val="Akapitzlist"/>
        <w:numPr>
          <w:ilvl w:val="0"/>
          <w:numId w:val="81"/>
        </w:num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Filing Strategy</w:t>
      </w:r>
    </w:p>
    <w:p w14:paraId="66CAED76"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1204B544" w14:textId="4C64A8F1" w:rsidR="00F944CF" w:rsidRPr="007D4630" w:rsidRDefault="00F944CF" w:rsidP="00F944CF">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 xml:space="preserve">The best method would be to file for recognition of the Cayman Islands scheme as a foreign main proceeding in the United States, assuming that the COMI </w:t>
      </w:r>
      <w:proofErr w:type="gramStart"/>
      <w:r w:rsidRPr="007D4630">
        <w:rPr>
          <w:rFonts w:ascii="Avenir Next" w:hAnsi="Avenir Next" w:cs="Arial"/>
          <w:color w:val="808080" w:themeColor="background1" w:themeShade="80"/>
          <w:sz w:val="22"/>
          <w:szCs w:val="22"/>
          <w:lang w:val="en-GB"/>
        </w:rPr>
        <w:t>is located in</w:t>
      </w:r>
      <w:proofErr w:type="gramEnd"/>
      <w:r w:rsidRPr="007D4630">
        <w:rPr>
          <w:rFonts w:ascii="Avenir Next" w:hAnsi="Avenir Next" w:cs="Arial"/>
          <w:color w:val="808080" w:themeColor="background1" w:themeShade="80"/>
          <w:sz w:val="22"/>
          <w:szCs w:val="22"/>
          <w:lang w:val="en-GB"/>
        </w:rPr>
        <w:t xml:space="preserve"> the Cayman Islands. This application would benefit from an automatic stay and aid the restructuring process, giving Globe Holdings the legal foundation it </w:t>
      </w:r>
      <w:r w:rsidR="002619F3" w:rsidRPr="007D4630">
        <w:rPr>
          <w:rFonts w:ascii="Avenir Next" w:hAnsi="Avenir Next" w:cs="Arial"/>
          <w:color w:val="808080" w:themeColor="background1" w:themeShade="80"/>
          <w:sz w:val="22"/>
          <w:szCs w:val="22"/>
          <w:lang w:val="en-GB"/>
        </w:rPr>
        <w:t>needs</w:t>
      </w:r>
      <w:r w:rsidRPr="007D4630">
        <w:rPr>
          <w:rFonts w:ascii="Avenir Next" w:hAnsi="Avenir Next" w:cs="Arial"/>
          <w:color w:val="808080" w:themeColor="background1" w:themeShade="80"/>
          <w:sz w:val="22"/>
          <w:szCs w:val="22"/>
          <w:lang w:val="en-GB"/>
        </w:rPr>
        <w:t xml:space="preserve"> for a successful restructuring.</w:t>
      </w:r>
    </w:p>
    <w:p w14:paraId="59AAACAC"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03AF1A74" w14:textId="77777777" w:rsidR="00F944CF" w:rsidRPr="007D4630" w:rsidRDefault="00F944CF" w:rsidP="00F944CF">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If the COMI is determined to be in the United States, an application to have the proceedings in the Cayman Islands recognized as foreign non-main proceedings may still provide Globe Holdings with certain discretionary reliefs, which are critical for managing its assets and obligations across countries.</w:t>
      </w:r>
    </w:p>
    <w:p w14:paraId="6F96910E"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7E47B9C6" w14:textId="12123FCF" w:rsidR="00F944CF" w:rsidRPr="002619F3" w:rsidRDefault="00F944CF" w:rsidP="002619F3">
      <w:pPr>
        <w:pStyle w:val="Akapitzlist"/>
        <w:numPr>
          <w:ilvl w:val="0"/>
          <w:numId w:val="81"/>
        </w:numPr>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Papers To Be Submitted</w:t>
      </w:r>
    </w:p>
    <w:p w14:paraId="20B6790E"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134EE262" w14:textId="130617AF" w:rsidR="00F944CF" w:rsidRPr="002619F3" w:rsidRDefault="00F944CF" w:rsidP="002619F3">
      <w:pPr>
        <w:pStyle w:val="Akapitzlist"/>
        <w:numPr>
          <w:ilvl w:val="0"/>
          <w:numId w:val="77"/>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A petition for Chapter 15 recognition of the Cayman Islands scheme as the main proceeding, with certified copies of the Cayman Islands court orders (Convening Order and Sanction Order).</w:t>
      </w:r>
    </w:p>
    <w:p w14:paraId="544F8A57" w14:textId="552F2998" w:rsidR="00F944CF" w:rsidRPr="002619F3" w:rsidRDefault="00F944CF" w:rsidP="002619F3">
      <w:pPr>
        <w:pStyle w:val="Akapitzlist"/>
        <w:numPr>
          <w:ilvl w:val="0"/>
          <w:numId w:val="77"/>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Detailed evidence supporting the COMI analysis, emphasizing Globe Holdings' administrative and operational ties to the Cayman Islands.</w:t>
      </w:r>
    </w:p>
    <w:p w14:paraId="2E10A38F" w14:textId="77777777" w:rsidR="002619F3" w:rsidRDefault="00F944CF" w:rsidP="00F944CF">
      <w:pPr>
        <w:pStyle w:val="Akapitzlist"/>
        <w:numPr>
          <w:ilvl w:val="0"/>
          <w:numId w:val="77"/>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The scheme document and accompanying materials, evidence of creditors' support (including the Restructuring Support Agreement), financial statements, and other pertinent facts about Globe Holdings' financial status.</w:t>
      </w:r>
    </w:p>
    <w:p w14:paraId="64B1C0E1" w14:textId="25E06F0A" w:rsidR="00F944CF" w:rsidRPr="002619F3" w:rsidRDefault="00F944CF" w:rsidP="00F944CF">
      <w:pPr>
        <w:pStyle w:val="Akapitzlist"/>
        <w:numPr>
          <w:ilvl w:val="0"/>
          <w:numId w:val="77"/>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Relief will be requested on day one.</w:t>
      </w:r>
    </w:p>
    <w:p w14:paraId="12416057"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7119B2F5" w14:textId="77777777" w:rsidR="00F944CF" w:rsidRPr="007D4630" w:rsidRDefault="00F944CF" w:rsidP="00F944CF">
      <w:pPr>
        <w:jc w:val="both"/>
        <w:rPr>
          <w:rFonts w:ascii="Avenir Next" w:hAnsi="Avenir Next" w:cs="Arial"/>
          <w:color w:val="808080" w:themeColor="background1" w:themeShade="80"/>
          <w:sz w:val="22"/>
          <w:szCs w:val="22"/>
          <w:lang w:val="en-GB"/>
        </w:rPr>
      </w:pPr>
      <w:r w:rsidRPr="007D4630">
        <w:rPr>
          <w:rFonts w:ascii="Avenir Next" w:hAnsi="Avenir Next" w:cs="Arial"/>
          <w:color w:val="808080" w:themeColor="background1" w:themeShade="80"/>
          <w:sz w:val="22"/>
          <w:szCs w:val="22"/>
          <w:lang w:val="en-GB"/>
        </w:rPr>
        <w:t>On the first day of filing, it is necessary to request:</w:t>
      </w:r>
    </w:p>
    <w:p w14:paraId="01F35A8B"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6FE52B6F" w14:textId="256D9101" w:rsidR="00F944CF" w:rsidRPr="002619F3" w:rsidRDefault="00F944CF" w:rsidP="002619F3">
      <w:pPr>
        <w:pStyle w:val="Akapitzlist"/>
        <w:numPr>
          <w:ilvl w:val="0"/>
          <w:numId w:val="78"/>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 xml:space="preserve">An automatic stay </w:t>
      </w:r>
      <w:r w:rsidR="002619F3">
        <w:rPr>
          <w:rFonts w:ascii="Avenir Next" w:hAnsi="Avenir Next" w:cs="Arial"/>
          <w:color w:val="808080" w:themeColor="background1" w:themeShade="80"/>
          <w:sz w:val="22"/>
          <w:szCs w:val="22"/>
          <w:lang w:val="en-GB"/>
        </w:rPr>
        <w:t xml:space="preserve">- </w:t>
      </w:r>
      <w:r w:rsidRPr="002619F3">
        <w:rPr>
          <w:rFonts w:ascii="Avenir Next" w:hAnsi="Avenir Next" w:cs="Arial"/>
          <w:color w:val="808080" w:themeColor="background1" w:themeShade="80"/>
          <w:sz w:val="22"/>
          <w:szCs w:val="22"/>
          <w:lang w:val="en-GB"/>
        </w:rPr>
        <w:t>prevents individual creditor actions against Globe Holdings' assets in the United States, ensuring that the restructuring process runs smoothly.</w:t>
      </w:r>
    </w:p>
    <w:p w14:paraId="45C03038" w14:textId="31F30BB9" w:rsidR="00F944CF" w:rsidRDefault="00F944CF" w:rsidP="002619F3">
      <w:pPr>
        <w:pStyle w:val="Akapitzlist"/>
        <w:numPr>
          <w:ilvl w:val="0"/>
          <w:numId w:val="78"/>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 xml:space="preserve">Recognizing the Cayman Islands plan allows it to be enforced in the United States, extending the maturity of the </w:t>
      </w:r>
      <w:proofErr w:type="gramStart"/>
      <w:r w:rsidRPr="002619F3">
        <w:rPr>
          <w:rFonts w:ascii="Avenir Next" w:hAnsi="Avenir Next" w:cs="Arial"/>
          <w:color w:val="808080" w:themeColor="background1" w:themeShade="80"/>
          <w:sz w:val="22"/>
          <w:szCs w:val="22"/>
          <w:lang w:val="en-GB"/>
        </w:rPr>
        <w:t>Notes</w:t>
      </w:r>
      <w:proofErr w:type="gramEnd"/>
      <w:r w:rsidRPr="002619F3">
        <w:rPr>
          <w:rFonts w:ascii="Avenir Next" w:hAnsi="Avenir Next" w:cs="Arial"/>
          <w:color w:val="808080" w:themeColor="background1" w:themeShade="80"/>
          <w:sz w:val="22"/>
          <w:szCs w:val="22"/>
          <w:lang w:val="en-GB"/>
        </w:rPr>
        <w:t xml:space="preserve"> and facilitating the payment of interest "in kind."</w:t>
      </w:r>
    </w:p>
    <w:p w14:paraId="1D638E20" w14:textId="77777777" w:rsidR="002619F3" w:rsidRPr="002619F3" w:rsidRDefault="002619F3" w:rsidP="002619F3">
      <w:pPr>
        <w:pStyle w:val="Akapitzlist"/>
        <w:jc w:val="both"/>
        <w:rPr>
          <w:rFonts w:ascii="Avenir Next" w:hAnsi="Avenir Next" w:cs="Arial"/>
          <w:color w:val="808080" w:themeColor="background1" w:themeShade="80"/>
          <w:sz w:val="22"/>
          <w:szCs w:val="22"/>
          <w:lang w:val="en-GB"/>
        </w:rPr>
      </w:pPr>
    </w:p>
    <w:p w14:paraId="12C7B68E" w14:textId="28B0EF6D" w:rsidR="00F944CF" w:rsidRPr="002619F3" w:rsidRDefault="00F944CF" w:rsidP="002619F3">
      <w:p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Additional Considerations:</w:t>
      </w:r>
    </w:p>
    <w:p w14:paraId="12B32EF2" w14:textId="77777777" w:rsidR="00F944CF" w:rsidRPr="007D4630" w:rsidRDefault="00F944CF" w:rsidP="00F944CF">
      <w:pPr>
        <w:jc w:val="both"/>
        <w:rPr>
          <w:rFonts w:ascii="Avenir Next" w:hAnsi="Avenir Next" w:cs="Arial"/>
          <w:color w:val="808080" w:themeColor="background1" w:themeShade="80"/>
          <w:sz w:val="22"/>
          <w:szCs w:val="22"/>
          <w:lang w:val="en-GB"/>
        </w:rPr>
      </w:pPr>
    </w:p>
    <w:p w14:paraId="7F1CA6B8" w14:textId="2A8477F3" w:rsidR="00F944CF" w:rsidRPr="002619F3" w:rsidRDefault="00F944CF" w:rsidP="002619F3">
      <w:pPr>
        <w:pStyle w:val="Akapitzlist"/>
        <w:numPr>
          <w:ilvl w:val="0"/>
          <w:numId w:val="80"/>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The possibility for class action litigation in the United States needs a deliberate approach to mitigate its impact on the restructuring process. Initial filings should include full disclosure and a request for a stay of litigation.</w:t>
      </w:r>
    </w:p>
    <w:p w14:paraId="0934D283" w14:textId="0836F1E6" w:rsidR="00F944CF" w:rsidRPr="002619F3" w:rsidRDefault="00F944CF" w:rsidP="002619F3">
      <w:pPr>
        <w:pStyle w:val="Akapitzlist"/>
        <w:numPr>
          <w:ilvl w:val="0"/>
          <w:numId w:val="80"/>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It is critical to hire skilled legal counsel in both jurisdictions to help understand the difficulties of cross-border restructuring and Chapter 15 processes.</w:t>
      </w:r>
    </w:p>
    <w:p w14:paraId="350166D4" w14:textId="15AC7059" w:rsidR="00F944CF" w:rsidRPr="002619F3" w:rsidRDefault="00F944CF" w:rsidP="002619F3">
      <w:pPr>
        <w:pStyle w:val="Akapitzlist"/>
        <w:numPr>
          <w:ilvl w:val="0"/>
          <w:numId w:val="80"/>
        </w:numPr>
        <w:jc w:val="both"/>
        <w:rPr>
          <w:rFonts w:ascii="Avenir Next" w:hAnsi="Avenir Next" w:cs="Arial"/>
          <w:color w:val="808080" w:themeColor="background1" w:themeShade="80"/>
          <w:sz w:val="22"/>
          <w:szCs w:val="22"/>
          <w:lang w:val="en-GB"/>
        </w:rPr>
      </w:pPr>
      <w:r w:rsidRPr="002619F3">
        <w:rPr>
          <w:rFonts w:ascii="Avenir Next" w:hAnsi="Avenir Next" w:cs="Arial"/>
          <w:color w:val="808080" w:themeColor="background1" w:themeShade="80"/>
          <w:sz w:val="22"/>
          <w:szCs w:val="22"/>
          <w:lang w:val="en-GB"/>
        </w:rPr>
        <w:t>Proactive contact with US noteholders and addressing their concerns is critical to gaining broad support for the restructuring process.</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D1C5B">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3365" w14:textId="77777777" w:rsidR="001D1C5B" w:rsidRDefault="001D1C5B" w:rsidP="00241B44">
      <w:r>
        <w:separator/>
      </w:r>
    </w:p>
  </w:endnote>
  <w:endnote w:type="continuationSeparator" w:id="0">
    <w:p w14:paraId="62BAA4C6" w14:textId="77777777" w:rsidR="001D1C5B" w:rsidRDefault="001D1C5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68880920"/>
      <w:docPartObj>
        <w:docPartGallery w:val="Page Numbers (Bottom of Page)"/>
        <w:docPartUnique/>
      </w:docPartObj>
    </w:sdtPr>
    <w:sdtContent>
      <w:p w14:paraId="75DFA1A2" w14:textId="6BA13D30" w:rsidR="00A70BBC" w:rsidRDefault="00A70BBC" w:rsidP="000300E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CB4F9CA" w14:textId="77777777" w:rsidR="00A70BBC" w:rsidRDefault="00A70BBC" w:rsidP="00A70B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Stopka"/>
      <w:framePr w:wrap="none" w:vAnchor="text" w:hAnchor="margin" w:xAlign="right" w:y="1"/>
      <w:rPr>
        <w:rStyle w:val="Numerstrony"/>
        <w:rFonts w:ascii="Avenir Next" w:hAnsi="Avenir Next"/>
        <w:sz w:val="22"/>
        <w:szCs w:val="22"/>
      </w:rPr>
    </w:pPr>
  </w:p>
  <w:p w14:paraId="6BA38AA4" w14:textId="0591D1DD" w:rsidR="00A70BBC" w:rsidRDefault="00A70BBC" w:rsidP="000300E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96495926"/>
      <w:docPartObj>
        <w:docPartGallery w:val="Page Numbers (Bottom of Page)"/>
        <w:docPartUnique/>
      </w:docPartObj>
    </w:sdtPr>
    <w:sdtContent>
      <w:p w14:paraId="1F7F18A2" w14:textId="560E059B" w:rsidR="000300E0" w:rsidRDefault="000300E0" w:rsidP="00B22F9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59D7F596" w14:textId="78E40872" w:rsidR="000300E0" w:rsidRPr="000300E0" w:rsidRDefault="000300E0" w:rsidP="000300E0">
    <w:pPr>
      <w:pStyle w:val="Stopka"/>
      <w:ind w:right="360"/>
      <w:rPr>
        <w:rFonts w:ascii="Avenir Next" w:hAnsi="Avenir Next" w:cs="Arial"/>
        <w:sz w:val="22"/>
        <w:szCs w:val="22"/>
      </w:rPr>
    </w:pPr>
  </w:p>
  <w:p w14:paraId="01028C96" w14:textId="77777777" w:rsidR="000300E0" w:rsidRDefault="000300E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AA16643" w:rsidR="000300E0" w:rsidRPr="00B46CE2" w:rsidRDefault="00840216" w:rsidP="000300E0">
    <w:pPr>
      <w:pStyle w:val="Stopka"/>
      <w:ind w:right="360"/>
      <w:rPr>
        <w:rFonts w:ascii="Avenir Next" w:hAnsi="Avenir Next"/>
        <w:sz w:val="22"/>
        <w:szCs w:val="22"/>
      </w:rPr>
    </w:pPr>
    <w:r w:rsidRPr="00F75B44">
      <w:rPr>
        <w:rFonts w:ascii="Avenir Next" w:hAnsi="Avenir Next" w:cs="Arial"/>
        <w:sz w:val="22"/>
        <w:szCs w:val="22"/>
        <w:lang w:val="en-GB"/>
      </w:rPr>
      <w:t>FC202324-1356</w:t>
    </w:r>
    <w:r w:rsidR="00B46CE2" w:rsidRPr="00B46CE2">
      <w:rPr>
        <w:rFonts w:ascii="Avenir Next" w:hAnsi="Avenir Next"/>
        <w:sz w:val="22"/>
        <w:szCs w:val="22"/>
      </w:rPr>
      <w:t>.assessment2A</w:t>
    </w:r>
  </w:p>
  <w:sdt>
    <w:sdtPr>
      <w:rPr>
        <w:rStyle w:val="Numerstrony"/>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Stopka"/>
          <w:framePr w:w="1071" w:h="331" w:hRule="exact" w:wrap="none" w:vAnchor="text" w:hAnchor="page" w:x="9641" w:y="-303"/>
          <w:rPr>
            <w:rStyle w:val="Numerstrony"/>
            <w:rFonts w:ascii="Avenir Next" w:hAnsi="Avenir Next"/>
            <w:sz w:val="22"/>
            <w:szCs w:val="22"/>
          </w:rPr>
        </w:pPr>
        <w:r w:rsidRPr="000300E0">
          <w:rPr>
            <w:rStyle w:val="Numerstrony"/>
            <w:rFonts w:ascii="Avenir Next" w:hAnsi="Avenir Next"/>
            <w:sz w:val="22"/>
            <w:szCs w:val="22"/>
          </w:rPr>
          <w:t xml:space="preserve">Page </w:t>
        </w:r>
        <w:r w:rsidRPr="000300E0">
          <w:rPr>
            <w:rStyle w:val="Numerstrony"/>
            <w:rFonts w:ascii="Avenir Next" w:hAnsi="Avenir Next"/>
            <w:sz w:val="22"/>
            <w:szCs w:val="22"/>
          </w:rPr>
          <w:fldChar w:fldCharType="begin"/>
        </w:r>
        <w:r w:rsidRPr="000300E0">
          <w:rPr>
            <w:rStyle w:val="Numerstrony"/>
            <w:rFonts w:ascii="Avenir Next" w:hAnsi="Avenir Next"/>
            <w:sz w:val="22"/>
            <w:szCs w:val="22"/>
          </w:rPr>
          <w:instrText xml:space="preserve"> PAGE </w:instrText>
        </w:r>
        <w:r w:rsidRPr="000300E0">
          <w:rPr>
            <w:rStyle w:val="Numerstrony"/>
            <w:rFonts w:ascii="Avenir Next" w:hAnsi="Avenir Next"/>
            <w:sz w:val="22"/>
            <w:szCs w:val="22"/>
          </w:rPr>
          <w:fldChar w:fldCharType="separate"/>
        </w:r>
        <w:r w:rsidRPr="000300E0">
          <w:rPr>
            <w:rStyle w:val="Numerstrony"/>
            <w:rFonts w:ascii="Avenir Next" w:hAnsi="Avenir Next"/>
            <w:noProof/>
            <w:sz w:val="22"/>
            <w:szCs w:val="22"/>
          </w:rPr>
          <w:t>2</w:t>
        </w:r>
        <w:r w:rsidRPr="000300E0">
          <w:rPr>
            <w:rStyle w:val="Numerstrony"/>
            <w:rFonts w:ascii="Avenir Next" w:hAnsi="Avenir Next"/>
            <w:sz w:val="22"/>
            <w:szCs w:val="22"/>
          </w:rPr>
          <w:fldChar w:fldCharType="end"/>
        </w:r>
      </w:p>
    </w:sdtContent>
  </w:sdt>
  <w:p w14:paraId="4C5B12BE" w14:textId="77777777" w:rsidR="00B46CE2" w:rsidRPr="000300E0" w:rsidRDefault="00B46CE2" w:rsidP="00B46CE2">
    <w:pPr>
      <w:pStyle w:val="Stopka"/>
      <w:framePr w:w="1071" w:h="331" w:hRule="exact" w:wrap="none" w:vAnchor="text" w:hAnchor="page" w:x="9641" w:y="-303"/>
      <w:ind w:right="360"/>
      <w:rPr>
        <w:rStyle w:val="Numerstrony"/>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9DF9" w14:textId="77777777" w:rsidR="001D1C5B" w:rsidRDefault="001D1C5B" w:rsidP="00241B44">
      <w:r>
        <w:separator/>
      </w:r>
    </w:p>
  </w:footnote>
  <w:footnote w:type="continuationSeparator" w:id="0">
    <w:p w14:paraId="4F009F63" w14:textId="77777777" w:rsidR="001D1C5B" w:rsidRDefault="001D1C5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410F9C"/>
    <w:multiLevelType w:val="multilevel"/>
    <w:tmpl w:val="1774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9B5C0E"/>
    <w:multiLevelType w:val="hybridMultilevel"/>
    <w:tmpl w:val="7FF09C3E"/>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E661AE"/>
    <w:multiLevelType w:val="hybridMultilevel"/>
    <w:tmpl w:val="754E934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EF4ED4"/>
    <w:multiLevelType w:val="multilevel"/>
    <w:tmpl w:val="BBC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30077A"/>
    <w:multiLevelType w:val="hybridMultilevel"/>
    <w:tmpl w:val="977E362A"/>
    <w:lvl w:ilvl="0" w:tplc="C734C97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6D0B8B"/>
    <w:multiLevelType w:val="hybridMultilevel"/>
    <w:tmpl w:val="F970C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3A268F"/>
    <w:multiLevelType w:val="hybridMultilevel"/>
    <w:tmpl w:val="EC123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5B042E"/>
    <w:multiLevelType w:val="hybridMultilevel"/>
    <w:tmpl w:val="FC2A9282"/>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1792E98"/>
    <w:multiLevelType w:val="hybridMultilevel"/>
    <w:tmpl w:val="09D2326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18910CE"/>
    <w:multiLevelType w:val="hybridMultilevel"/>
    <w:tmpl w:val="CD0A7368"/>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D0150E"/>
    <w:multiLevelType w:val="multilevel"/>
    <w:tmpl w:val="D4B0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35234AC3"/>
    <w:multiLevelType w:val="hybridMultilevel"/>
    <w:tmpl w:val="D34ED894"/>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251B67"/>
    <w:multiLevelType w:val="hybridMultilevel"/>
    <w:tmpl w:val="0E30C522"/>
    <w:lvl w:ilvl="0" w:tplc="C734C97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79335F"/>
    <w:multiLevelType w:val="hybridMultilevel"/>
    <w:tmpl w:val="F440D7DA"/>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2A24A1"/>
    <w:multiLevelType w:val="hybridMultilevel"/>
    <w:tmpl w:val="E01052D6"/>
    <w:lvl w:ilvl="0" w:tplc="42DAF0AE">
      <w:start w:val="3"/>
      <w:numFmt w:val="bullet"/>
      <w:lvlText w:val="-"/>
      <w:lvlJc w:val="left"/>
      <w:pPr>
        <w:ind w:left="720" w:hanging="360"/>
      </w:pPr>
      <w:rPr>
        <w:rFonts w:ascii="Avenir Next" w:eastAsiaTheme="minorHAnsi" w:hAnsi="Avenir Nex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25E4E2D"/>
    <w:multiLevelType w:val="multilevel"/>
    <w:tmpl w:val="9584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4D230A"/>
    <w:multiLevelType w:val="hybridMultilevel"/>
    <w:tmpl w:val="5226D508"/>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D045B4"/>
    <w:multiLevelType w:val="multilevel"/>
    <w:tmpl w:val="B2ECA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FF56F0"/>
    <w:multiLevelType w:val="multilevel"/>
    <w:tmpl w:val="0C1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6F285E"/>
    <w:multiLevelType w:val="hybridMultilevel"/>
    <w:tmpl w:val="C68EC82C"/>
    <w:lvl w:ilvl="0" w:tplc="42DAF0AE">
      <w:start w:val="3"/>
      <w:numFmt w:val="bullet"/>
      <w:lvlText w:val="-"/>
      <w:lvlJc w:val="left"/>
      <w:pPr>
        <w:ind w:left="720" w:hanging="360"/>
      </w:pPr>
      <w:rPr>
        <w:rFonts w:ascii="Avenir Next" w:eastAsiaTheme="minorHAnsi" w:hAnsi="Avenir Nex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8B5E6F"/>
    <w:multiLevelType w:val="hybridMultilevel"/>
    <w:tmpl w:val="8E5609AC"/>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A1D4908"/>
    <w:multiLevelType w:val="multilevel"/>
    <w:tmpl w:val="049E5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3D730B"/>
    <w:multiLevelType w:val="hybridMultilevel"/>
    <w:tmpl w:val="8E12C14E"/>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B43631"/>
    <w:multiLevelType w:val="hybridMultilevel"/>
    <w:tmpl w:val="E9782514"/>
    <w:lvl w:ilvl="0" w:tplc="FFFFFFFF">
      <w:start w:val="1"/>
      <w:numFmt w:val="lowerRoman"/>
      <w:lvlText w:val="(%1)"/>
      <w:lvlJc w:val="left"/>
      <w:pPr>
        <w:ind w:left="720" w:hanging="360"/>
      </w:pPr>
      <w:rPr>
        <w:rFonts w:hint="default"/>
      </w:rPr>
    </w:lvl>
    <w:lvl w:ilvl="1" w:tplc="42DAF0AE">
      <w:start w:val="3"/>
      <w:numFmt w:val="bullet"/>
      <w:lvlText w:val="-"/>
      <w:lvlJc w:val="left"/>
      <w:pPr>
        <w:ind w:left="720" w:hanging="360"/>
      </w:pPr>
      <w:rPr>
        <w:rFonts w:ascii="Avenir Next" w:eastAsiaTheme="minorHAnsi" w:hAnsi="Avenir Next"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E3D0A89"/>
    <w:multiLevelType w:val="hybridMultilevel"/>
    <w:tmpl w:val="AF888266"/>
    <w:lvl w:ilvl="0" w:tplc="4BB23D72">
      <w:start w:val="1"/>
      <w:numFmt w:val="lowerRoman"/>
      <w:lvlText w:val="(%1)"/>
      <w:lvlJc w:val="left"/>
      <w:pPr>
        <w:ind w:left="720" w:hanging="360"/>
      </w:pPr>
      <w:rPr>
        <w:rFonts w:hint="default"/>
      </w:rPr>
    </w:lvl>
    <w:lvl w:ilvl="1" w:tplc="FB688E92">
      <w:numFmt w:val="bullet"/>
      <w:lvlText w:val="•"/>
      <w:lvlJc w:val="left"/>
      <w:pPr>
        <w:ind w:left="1440" w:hanging="360"/>
      </w:pPr>
      <w:rPr>
        <w:rFonts w:ascii="Calibri" w:eastAsia="Times New Roman" w:hAnsi="Calibri" w:cs="Calibr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6E704DC"/>
    <w:multiLevelType w:val="hybridMultilevel"/>
    <w:tmpl w:val="3E6C34C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97501CF"/>
    <w:multiLevelType w:val="hybridMultilevel"/>
    <w:tmpl w:val="4B52ECA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82"/>
  </w:num>
  <w:num w:numId="3" w16cid:durableId="1837500537">
    <w:abstractNumId w:val="65"/>
  </w:num>
  <w:num w:numId="4" w16cid:durableId="577205504">
    <w:abstractNumId w:val="77"/>
  </w:num>
  <w:num w:numId="5" w16cid:durableId="587693970">
    <w:abstractNumId w:val="10"/>
  </w:num>
  <w:num w:numId="6" w16cid:durableId="937175523">
    <w:abstractNumId w:val="75"/>
  </w:num>
  <w:num w:numId="7" w16cid:durableId="1654067440">
    <w:abstractNumId w:val="31"/>
  </w:num>
  <w:num w:numId="8" w16cid:durableId="1105736194">
    <w:abstractNumId w:val="67"/>
  </w:num>
  <w:num w:numId="9" w16cid:durableId="337470287">
    <w:abstractNumId w:val="37"/>
  </w:num>
  <w:num w:numId="10" w16cid:durableId="409736686">
    <w:abstractNumId w:val="18"/>
  </w:num>
  <w:num w:numId="11" w16cid:durableId="2113239495">
    <w:abstractNumId w:val="45"/>
  </w:num>
  <w:num w:numId="12" w16cid:durableId="277688465">
    <w:abstractNumId w:val="73"/>
  </w:num>
  <w:num w:numId="13" w16cid:durableId="2058502388">
    <w:abstractNumId w:val="8"/>
  </w:num>
  <w:num w:numId="14" w16cid:durableId="1848598104">
    <w:abstractNumId w:val="58"/>
  </w:num>
  <w:num w:numId="15" w16cid:durableId="634214434">
    <w:abstractNumId w:val="19"/>
  </w:num>
  <w:num w:numId="16" w16cid:durableId="1164055646">
    <w:abstractNumId w:val="20"/>
  </w:num>
  <w:num w:numId="17" w16cid:durableId="4065661">
    <w:abstractNumId w:val="50"/>
  </w:num>
  <w:num w:numId="18" w16cid:durableId="970591766">
    <w:abstractNumId w:val="9"/>
  </w:num>
  <w:num w:numId="19" w16cid:durableId="1299339140">
    <w:abstractNumId w:val="46"/>
  </w:num>
  <w:num w:numId="20" w16cid:durableId="1327175081">
    <w:abstractNumId w:val="81"/>
  </w:num>
  <w:num w:numId="21" w16cid:durableId="2089498112">
    <w:abstractNumId w:val="27"/>
  </w:num>
  <w:num w:numId="22" w16cid:durableId="221064104">
    <w:abstractNumId w:val="72"/>
  </w:num>
  <w:num w:numId="23" w16cid:durableId="860243873">
    <w:abstractNumId w:val="79"/>
  </w:num>
  <w:num w:numId="24" w16cid:durableId="1555506834">
    <w:abstractNumId w:val="70"/>
  </w:num>
  <w:num w:numId="25" w16cid:durableId="1954677308">
    <w:abstractNumId w:val="55"/>
  </w:num>
  <w:num w:numId="26" w16cid:durableId="998270126">
    <w:abstractNumId w:val="80"/>
  </w:num>
  <w:num w:numId="27" w16cid:durableId="657656171">
    <w:abstractNumId w:val="76"/>
  </w:num>
  <w:num w:numId="28" w16cid:durableId="1116829249">
    <w:abstractNumId w:val="14"/>
  </w:num>
  <w:num w:numId="29" w16cid:durableId="1055274873">
    <w:abstractNumId w:val="15"/>
  </w:num>
  <w:num w:numId="30" w16cid:durableId="790785319">
    <w:abstractNumId w:val="51"/>
  </w:num>
  <w:num w:numId="31" w16cid:durableId="781922295">
    <w:abstractNumId w:val="5"/>
  </w:num>
  <w:num w:numId="32" w16cid:durableId="268047206">
    <w:abstractNumId w:val="53"/>
  </w:num>
  <w:num w:numId="33" w16cid:durableId="198930779">
    <w:abstractNumId w:val="0"/>
  </w:num>
  <w:num w:numId="34" w16cid:durableId="480577945">
    <w:abstractNumId w:val="66"/>
  </w:num>
  <w:num w:numId="35" w16cid:durableId="984242224">
    <w:abstractNumId w:val="33"/>
  </w:num>
  <w:num w:numId="36" w16cid:durableId="485898662">
    <w:abstractNumId w:val="69"/>
  </w:num>
  <w:num w:numId="37" w16cid:durableId="1147433143">
    <w:abstractNumId w:val="39"/>
  </w:num>
  <w:num w:numId="38" w16cid:durableId="827285019">
    <w:abstractNumId w:val="63"/>
  </w:num>
  <w:num w:numId="39" w16cid:durableId="128666775">
    <w:abstractNumId w:val="6"/>
  </w:num>
  <w:num w:numId="40" w16cid:durableId="1339426664">
    <w:abstractNumId w:val="32"/>
  </w:num>
  <w:num w:numId="41" w16cid:durableId="1969971734">
    <w:abstractNumId w:val="74"/>
  </w:num>
  <w:num w:numId="42" w16cid:durableId="368453801">
    <w:abstractNumId w:val="25"/>
  </w:num>
  <w:num w:numId="43" w16cid:durableId="51392340">
    <w:abstractNumId w:val="52"/>
  </w:num>
  <w:num w:numId="44" w16cid:durableId="1531332188">
    <w:abstractNumId w:val="17"/>
  </w:num>
  <w:num w:numId="45" w16cid:durableId="8337133">
    <w:abstractNumId w:val="16"/>
  </w:num>
  <w:num w:numId="46" w16cid:durableId="1612931796">
    <w:abstractNumId w:val="61"/>
  </w:num>
  <w:num w:numId="47" w16cid:durableId="89930162">
    <w:abstractNumId w:val="29"/>
  </w:num>
  <w:num w:numId="48" w16cid:durableId="1477838578">
    <w:abstractNumId w:val="11"/>
  </w:num>
  <w:num w:numId="49" w16cid:durableId="2073384460">
    <w:abstractNumId w:val="78"/>
  </w:num>
  <w:num w:numId="50" w16cid:durableId="59720369">
    <w:abstractNumId w:val="44"/>
  </w:num>
  <w:num w:numId="51" w16cid:durableId="1379276728">
    <w:abstractNumId w:val="12"/>
  </w:num>
  <w:num w:numId="52" w16cid:durableId="921179279">
    <w:abstractNumId w:val="22"/>
  </w:num>
  <w:num w:numId="53" w16cid:durableId="1060514793">
    <w:abstractNumId w:val="38"/>
  </w:num>
  <w:num w:numId="54" w16cid:durableId="64230155">
    <w:abstractNumId w:val="4"/>
  </w:num>
  <w:num w:numId="55" w16cid:durableId="1681084025">
    <w:abstractNumId w:val="2"/>
  </w:num>
  <w:num w:numId="56" w16cid:durableId="1275090443">
    <w:abstractNumId w:val="21"/>
  </w:num>
  <w:num w:numId="57" w16cid:durableId="269969236">
    <w:abstractNumId w:val="64"/>
  </w:num>
  <w:num w:numId="58" w16cid:durableId="597176818">
    <w:abstractNumId w:val="49"/>
  </w:num>
  <w:num w:numId="59" w16cid:durableId="257956525">
    <w:abstractNumId w:val="59"/>
  </w:num>
  <w:num w:numId="60" w16cid:durableId="1318412638">
    <w:abstractNumId w:val="28"/>
  </w:num>
  <w:num w:numId="61" w16cid:durableId="1978291795">
    <w:abstractNumId w:val="24"/>
  </w:num>
  <w:num w:numId="62" w16cid:durableId="956565234">
    <w:abstractNumId w:val="41"/>
  </w:num>
  <w:num w:numId="63" w16cid:durableId="1655987240">
    <w:abstractNumId w:val="47"/>
  </w:num>
  <w:num w:numId="64" w16cid:durableId="901328576">
    <w:abstractNumId w:val="23"/>
  </w:num>
  <w:num w:numId="65" w16cid:durableId="885414501">
    <w:abstractNumId w:val="54"/>
  </w:num>
  <w:num w:numId="66" w16cid:durableId="1504739211">
    <w:abstractNumId w:val="3"/>
  </w:num>
  <w:num w:numId="67" w16cid:durableId="1158423417">
    <w:abstractNumId w:val="36"/>
  </w:num>
  <w:num w:numId="68" w16cid:durableId="802118103">
    <w:abstractNumId w:val="56"/>
  </w:num>
  <w:num w:numId="69" w16cid:durableId="90858200">
    <w:abstractNumId w:val="43"/>
  </w:num>
  <w:num w:numId="70" w16cid:durableId="1882209638">
    <w:abstractNumId w:val="35"/>
  </w:num>
  <w:num w:numId="71" w16cid:durableId="213273135">
    <w:abstractNumId w:val="30"/>
  </w:num>
  <w:num w:numId="72" w16cid:durableId="200747829">
    <w:abstractNumId w:val="60"/>
  </w:num>
  <w:num w:numId="73" w16cid:durableId="159468259">
    <w:abstractNumId w:val="42"/>
  </w:num>
  <w:num w:numId="74" w16cid:durableId="833493296">
    <w:abstractNumId w:val="62"/>
  </w:num>
  <w:num w:numId="75" w16cid:durableId="756050315">
    <w:abstractNumId w:val="40"/>
  </w:num>
  <w:num w:numId="76" w16cid:durableId="1898741613">
    <w:abstractNumId w:val="48"/>
  </w:num>
  <w:num w:numId="77" w16cid:durableId="839462377">
    <w:abstractNumId w:val="34"/>
  </w:num>
  <w:num w:numId="78" w16cid:durableId="651713813">
    <w:abstractNumId w:val="26"/>
  </w:num>
  <w:num w:numId="79" w16cid:durableId="1055205251">
    <w:abstractNumId w:val="7"/>
  </w:num>
  <w:num w:numId="80" w16cid:durableId="626472286">
    <w:abstractNumId w:val="68"/>
  </w:num>
  <w:num w:numId="81" w16cid:durableId="391269399">
    <w:abstractNumId w:val="57"/>
  </w:num>
  <w:num w:numId="82" w16cid:durableId="356278279">
    <w:abstractNumId w:val="71"/>
  </w:num>
  <w:num w:numId="83" w16cid:durableId="2690464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649"/>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1185"/>
    <w:rsid w:val="001374D8"/>
    <w:rsid w:val="00140E0A"/>
    <w:rsid w:val="0014171F"/>
    <w:rsid w:val="0014622C"/>
    <w:rsid w:val="00151F58"/>
    <w:rsid w:val="00152348"/>
    <w:rsid w:val="00152845"/>
    <w:rsid w:val="0015456D"/>
    <w:rsid w:val="0015549B"/>
    <w:rsid w:val="00155FA2"/>
    <w:rsid w:val="001578CB"/>
    <w:rsid w:val="00161F1B"/>
    <w:rsid w:val="00162462"/>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1C5B"/>
    <w:rsid w:val="001D4862"/>
    <w:rsid w:val="001D5A3C"/>
    <w:rsid w:val="001E25B9"/>
    <w:rsid w:val="001E49E0"/>
    <w:rsid w:val="001E60C3"/>
    <w:rsid w:val="001E7B5A"/>
    <w:rsid w:val="001F7412"/>
    <w:rsid w:val="00200FDD"/>
    <w:rsid w:val="00201874"/>
    <w:rsid w:val="00202133"/>
    <w:rsid w:val="0020264E"/>
    <w:rsid w:val="0020725B"/>
    <w:rsid w:val="00211815"/>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0585"/>
    <w:rsid w:val="002619F3"/>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15984"/>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75A6B"/>
    <w:rsid w:val="00380BAB"/>
    <w:rsid w:val="00382C98"/>
    <w:rsid w:val="0038533C"/>
    <w:rsid w:val="00386568"/>
    <w:rsid w:val="00387106"/>
    <w:rsid w:val="00391B4F"/>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2B16"/>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4EE1"/>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72D"/>
    <w:rsid w:val="00622C2B"/>
    <w:rsid w:val="00622DCB"/>
    <w:rsid w:val="00627CC9"/>
    <w:rsid w:val="00627E7B"/>
    <w:rsid w:val="00630542"/>
    <w:rsid w:val="00632E44"/>
    <w:rsid w:val="00634622"/>
    <w:rsid w:val="00636808"/>
    <w:rsid w:val="00641002"/>
    <w:rsid w:val="00641515"/>
    <w:rsid w:val="006428DC"/>
    <w:rsid w:val="00651AE3"/>
    <w:rsid w:val="0065484D"/>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A26C5"/>
    <w:rsid w:val="007A7E80"/>
    <w:rsid w:val="007B3AC7"/>
    <w:rsid w:val="007B497A"/>
    <w:rsid w:val="007C1FCC"/>
    <w:rsid w:val="007C32A8"/>
    <w:rsid w:val="007C3FE5"/>
    <w:rsid w:val="007C6201"/>
    <w:rsid w:val="007C6988"/>
    <w:rsid w:val="007D28A1"/>
    <w:rsid w:val="007D4630"/>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0216"/>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36C1A"/>
    <w:rsid w:val="00942123"/>
    <w:rsid w:val="00951031"/>
    <w:rsid w:val="0095207B"/>
    <w:rsid w:val="00954461"/>
    <w:rsid w:val="00956085"/>
    <w:rsid w:val="00957951"/>
    <w:rsid w:val="00962045"/>
    <w:rsid w:val="00967EDA"/>
    <w:rsid w:val="00970897"/>
    <w:rsid w:val="00972B4B"/>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31918"/>
    <w:rsid w:val="00A407EF"/>
    <w:rsid w:val="00A415D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C403A"/>
    <w:rsid w:val="00BD0D57"/>
    <w:rsid w:val="00BE1A50"/>
    <w:rsid w:val="00BF50F7"/>
    <w:rsid w:val="00C00111"/>
    <w:rsid w:val="00C02F29"/>
    <w:rsid w:val="00C10C13"/>
    <w:rsid w:val="00C17111"/>
    <w:rsid w:val="00C20747"/>
    <w:rsid w:val="00C20AFE"/>
    <w:rsid w:val="00C22A25"/>
    <w:rsid w:val="00C23B79"/>
    <w:rsid w:val="00C33D50"/>
    <w:rsid w:val="00C33D86"/>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0109"/>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2591"/>
    <w:rsid w:val="00CC42E9"/>
    <w:rsid w:val="00CC5335"/>
    <w:rsid w:val="00CC5BA4"/>
    <w:rsid w:val="00CC70BB"/>
    <w:rsid w:val="00CD0B6D"/>
    <w:rsid w:val="00CD3420"/>
    <w:rsid w:val="00CD4998"/>
    <w:rsid w:val="00CE1035"/>
    <w:rsid w:val="00CE2A6A"/>
    <w:rsid w:val="00CF2819"/>
    <w:rsid w:val="00CF4F9D"/>
    <w:rsid w:val="00CF70DC"/>
    <w:rsid w:val="00D14232"/>
    <w:rsid w:val="00D148DC"/>
    <w:rsid w:val="00D17FDC"/>
    <w:rsid w:val="00D444C5"/>
    <w:rsid w:val="00D45AEA"/>
    <w:rsid w:val="00D5244F"/>
    <w:rsid w:val="00D52E4F"/>
    <w:rsid w:val="00D56A37"/>
    <w:rsid w:val="00D57202"/>
    <w:rsid w:val="00D6386E"/>
    <w:rsid w:val="00D63EFD"/>
    <w:rsid w:val="00D64826"/>
    <w:rsid w:val="00D7080A"/>
    <w:rsid w:val="00D72143"/>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44CF"/>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iPriority w:val="99"/>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uiPriority w:val="99"/>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iPriority w:val="99"/>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semiHidden/>
    <w:unhideWhenUsed/>
    <w:rsid w:val="008B5333"/>
    <w:rPr>
      <w:szCs w:val="20"/>
    </w:rPr>
  </w:style>
  <w:style w:type="character" w:customStyle="1" w:styleId="TekstkomentarzaZnak">
    <w:name w:val="Tekst komentarza Znak"/>
    <w:basedOn w:val="Domylnaczcionkaakapitu"/>
    <w:link w:val="Tekstkomentarza"/>
    <w:uiPriority w:val="99"/>
    <w:semiHidden/>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 w:type="paragraph" w:styleId="Poprawka">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96467371">
      <w:bodyDiv w:val="1"/>
      <w:marLeft w:val="0"/>
      <w:marRight w:val="0"/>
      <w:marTop w:val="0"/>
      <w:marBottom w:val="0"/>
      <w:divBdr>
        <w:top w:val="none" w:sz="0" w:space="0" w:color="auto"/>
        <w:left w:val="none" w:sz="0" w:space="0" w:color="auto"/>
        <w:bottom w:val="none" w:sz="0" w:space="0" w:color="auto"/>
        <w:right w:val="none" w:sz="0" w:space="0" w:color="auto"/>
      </w:divBdr>
      <w:divsChild>
        <w:div w:id="1406342848">
          <w:marLeft w:val="0"/>
          <w:marRight w:val="0"/>
          <w:marTop w:val="0"/>
          <w:marBottom w:val="0"/>
          <w:divBdr>
            <w:top w:val="none" w:sz="0" w:space="0" w:color="auto"/>
            <w:left w:val="none" w:sz="0" w:space="0" w:color="auto"/>
            <w:bottom w:val="none" w:sz="0" w:space="0" w:color="auto"/>
            <w:right w:val="none" w:sz="0" w:space="0" w:color="auto"/>
          </w:divBdr>
        </w:div>
      </w:divsChild>
    </w:div>
    <w:div w:id="1590851708">
      <w:bodyDiv w:val="1"/>
      <w:marLeft w:val="0"/>
      <w:marRight w:val="0"/>
      <w:marTop w:val="0"/>
      <w:marBottom w:val="0"/>
      <w:divBdr>
        <w:top w:val="none" w:sz="0" w:space="0" w:color="auto"/>
        <w:left w:val="none" w:sz="0" w:space="0" w:color="auto"/>
        <w:bottom w:val="none" w:sz="0" w:space="0" w:color="auto"/>
        <w:right w:val="none" w:sz="0" w:space="0" w:color="auto"/>
      </w:divBdr>
      <w:divsChild>
        <w:div w:id="416173444">
          <w:marLeft w:val="0"/>
          <w:marRight w:val="0"/>
          <w:marTop w:val="0"/>
          <w:marBottom w:val="0"/>
          <w:divBdr>
            <w:top w:val="none" w:sz="0" w:space="0" w:color="auto"/>
            <w:left w:val="none" w:sz="0" w:space="0" w:color="auto"/>
            <w:bottom w:val="none" w:sz="0" w:space="0" w:color="auto"/>
            <w:right w:val="none" w:sz="0" w:space="0" w:color="auto"/>
          </w:divBdr>
          <w:divsChild>
            <w:div w:id="1924874962">
              <w:marLeft w:val="0"/>
              <w:marRight w:val="0"/>
              <w:marTop w:val="0"/>
              <w:marBottom w:val="0"/>
              <w:divBdr>
                <w:top w:val="none" w:sz="0" w:space="0" w:color="auto"/>
                <w:left w:val="none" w:sz="0" w:space="0" w:color="auto"/>
                <w:bottom w:val="none" w:sz="0" w:space="0" w:color="auto"/>
                <w:right w:val="none" w:sz="0" w:space="0" w:color="auto"/>
              </w:divBdr>
              <w:divsChild>
                <w:div w:id="1221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A08C60-EC98-714E-BD8F-BBEF6DC81AAB}">
  <we:reference id="c48fb390-44b5-4201-a3e4-26377914a574" version="1.0.0.0" store="EXCatalog" storeType="EXCatalog"/>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5101</Words>
  <Characters>30608</Characters>
  <Application>Microsoft Office Word</Application>
  <DocSecurity>0</DocSecurity>
  <Lines>255</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3</cp:revision>
  <cp:lastPrinted>2019-08-27T05:42:00Z</cp:lastPrinted>
  <dcterms:created xsi:type="dcterms:W3CDTF">2024-03-01T20:29:00Z</dcterms:created>
  <dcterms:modified xsi:type="dcterms:W3CDTF">2024-03-01T20:59:00Z</dcterms:modified>
</cp:coreProperties>
</file>