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602AFE">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6D70DA" w:rsidRDefault="00B263D0" w:rsidP="00602AFE">
      <w:pPr>
        <w:pStyle w:val="ListParagraph"/>
        <w:numPr>
          <w:ilvl w:val="0"/>
          <w:numId w:val="1"/>
        </w:numPr>
        <w:ind w:left="426" w:hanging="426"/>
        <w:jc w:val="both"/>
        <w:rPr>
          <w:rFonts w:ascii="Avenir Next" w:hAnsi="Avenir Next" w:cs="Arial"/>
          <w:sz w:val="22"/>
          <w:szCs w:val="22"/>
          <w:highlight w:val="yellow"/>
          <w:lang w:val="en-GB"/>
        </w:rPr>
      </w:pPr>
      <w:r w:rsidRPr="006D70DA">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602AFE">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602AFE">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602AFE">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Internationalisation.</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602AFE">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602AFE">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602AFE">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602AFE">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602AFE">
      <w:pPr>
        <w:pStyle w:val="ListParagraph"/>
        <w:numPr>
          <w:ilvl w:val="0"/>
          <w:numId w:val="1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(i),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602AFE">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6D70DA" w:rsidRDefault="00AD0E59" w:rsidP="00602AFE">
      <w:pPr>
        <w:pStyle w:val="ListParagraph"/>
        <w:numPr>
          <w:ilvl w:val="0"/>
          <w:numId w:val="10"/>
        </w:numPr>
        <w:ind w:left="426" w:hanging="426"/>
        <w:jc w:val="both"/>
        <w:rPr>
          <w:rFonts w:ascii="Avenir Next" w:hAnsi="Avenir Next" w:cs="Arial"/>
          <w:sz w:val="22"/>
          <w:szCs w:val="22"/>
          <w:highlight w:val="yellow"/>
          <w:lang w:val="en-GB"/>
        </w:rPr>
      </w:pPr>
      <w:r w:rsidRPr="006D70DA">
        <w:rPr>
          <w:rFonts w:ascii="Avenir Next" w:hAnsi="Avenir Next" w:cs="Arial"/>
          <w:sz w:val="22"/>
          <w:szCs w:val="22"/>
          <w:highlight w:val="yellow"/>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602AFE">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lastRenderedPageBreak/>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602AFE">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602AFE">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53B37CDE" w:rsidR="00893A03" w:rsidRDefault="00893A03" w:rsidP="00602AFE">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w:t>
      </w:r>
      <w:r w:rsidR="003941E0" w:rsidRPr="003941E0">
        <w:rPr>
          <w:rFonts w:ascii="Avenir Next" w:hAnsi="Avenir Next"/>
          <w:sz w:val="22"/>
          <w:szCs w:val="28"/>
        </w:rPr>
        <w:t xml:space="preserve"> </w:t>
      </w:r>
      <w:r w:rsidR="003941E0" w:rsidRPr="00894D34">
        <w:rPr>
          <w:rFonts w:ascii="Avenir Next" w:hAnsi="Avenir Next"/>
          <w:sz w:val="22"/>
          <w:szCs w:val="28"/>
        </w:rPr>
        <w:t>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602AFE">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602AFE">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602AFE">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3941E0" w:rsidRDefault="00893A03" w:rsidP="00602AFE">
      <w:pPr>
        <w:pStyle w:val="ListParagraph"/>
        <w:numPr>
          <w:ilvl w:val="0"/>
          <w:numId w:val="2"/>
        </w:numPr>
        <w:ind w:left="426" w:hanging="426"/>
        <w:jc w:val="both"/>
        <w:rPr>
          <w:rFonts w:ascii="Avenir Next" w:hAnsi="Avenir Next" w:cs="Arial"/>
          <w:sz w:val="22"/>
          <w:szCs w:val="22"/>
          <w:highlight w:val="yellow"/>
          <w:lang w:val="en-GB"/>
        </w:rPr>
      </w:pPr>
      <w:r w:rsidRPr="003941E0">
        <w:rPr>
          <w:rFonts w:ascii="Avenir Next" w:hAnsi="Avenir Next" w:cs="Arial"/>
          <w:sz w:val="22"/>
          <w:szCs w:val="22"/>
          <w:highlight w:val="yellow"/>
          <w:lang w:val="en-GB"/>
        </w:rPr>
        <w:t xml:space="preserve">Options (i),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602AFE">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602AFE">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602AFE">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602AFE">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602AFE">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602AFE">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A2050F" w:rsidRDefault="00812AFE" w:rsidP="00602AFE">
      <w:pPr>
        <w:pStyle w:val="ListParagraph"/>
        <w:numPr>
          <w:ilvl w:val="0"/>
          <w:numId w:val="3"/>
        </w:numPr>
        <w:ind w:left="426" w:hanging="426"/>
        <w:jc w:val="both"/>
        <w:rPr>
          <w:rFonts w:ascii="Avenir Next" w:hAnsi="Avenir Next" w:cs="Arial"/>
          <w:sz w:val="22"/>
          <w:szCs w:val="22"/>
          <w:highlight w:val="yellow"/>
          <w:lang w:val="en-GB"/>
        </w:rPr>
      </w:pPr>
      <w:r w:rsidRPr="00A2050F">
        <w:rPr>
          <w:rFonts w:ascii="Avenir Next" w:hAnsi="Avenir Next" w:cs="Arial"/>
          <w:sz w:val="22"/>
          <w:szCs w:val="22"/>
          <w:highlight w:val="yellow"/>
          <w:lang w:val="en-GB"/>
        </w:rPr>
        <w:t>Options (i),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602AFE">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602AFE">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602AFE">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602AFE">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602AFE">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602AFE">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602AFE">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602AFE">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rsidP="00602AFE">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602AFE">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602AFE">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A2050F" w:rsidRDefault="003220BA" w:rsidP="00602AFE">
      <w:pPr>
        <w:pStyle w:val="ListParagraph"/>
        <w:numPr>
          <w:ilvl w:val="0"/>
          <w:numId w:val="4"/>
        </w:numPr>
        <w:ind w:left="426" w:hanging="426"/>
        <w:jc w:val="both"/>
        <w:rPr>
          <w:rFonts w:ascii="Avenir Next" w:hAnsi="Avenir Next" w:cs="Arial"/>
          <w:sz w:val="22"/>
          <w:szCs w:val="22"/>
          <w:highlight w:val="yellow"/>
          <w:lang w:val="en-GB"/>
        </w:rPr>
      </w:pPr>
      <w:r w:rsidRPr="00A2050F">
        <w:rPr>
          <w:rFonts w:ascii="Avenir Next" w:hAnsi="Avenir Next" w:cs="Arial"/>
          <w:sz w:val="22"/>
          <w:szCs w:val="22"/>
          <w:highlight w:val="yellow"/>
          <w:lang w:val="en-GB"/>
        </w:rPr>
        <w:t xml:space="preserve">Options (i)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602AFE">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602AFE">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613F1E" w:rsidRDefault="009344C1" w:rsidP="00602AFE">
      <w:pPr>
        <w:pStyle w:val="ListParagraph"/>
        <w:numPr>
          <w:ilvl w:val="0"/>
          <w:numId w:val="5"/>
        </w:numPr>
        <w:ind w:left="426" w:hanging="426"/>
        <w:jc w:val="both"/>
        <w:rPr>
          <w:rFonts w:ascii="Avenir Next" w:hAnsi="Avenir Next" w:cs="Arial"/>
          <w:sz w:val="22"/>
          <w:szCs w:val="22"/>
          <w:highlight w:val="yellow"/>
          <w:lang w:val="en-GB"/>
        </w:rPr>
      </w:pPr>
      <w:r w:rsidRPr="00613F1E">
        <w:rPr>
          <w:rFonts w:ascii="Avenir Next" w:hAnsi="Avenir Next" w:cs="Arial"/>
          <w:sz w:val="22"/>
          <w:szCs w:val="22"/>
          <w:highlight w:val="yellow"/>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602AFE">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602AFE">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602AFE">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602AFE">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602AFE">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602AFE">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602AFE">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613F1E" w:rsidRDefault="00F51EE5" w:rsidP="00602AFE">
      <w:pPr>
        <w:pStyle w:val="ListParagraph"/>
        <w:numPr>
          <w:ilvl w:val="0"/>
          <w:numId w:val="6"/>
        </w:numPr>
        <w:ind w:left="426" w:hanging="426"/>
        <w:jc w:val="both"/>
        <w:rPr>
          <w:rFonts w:ascii="Avenir Next" w:hAnsi="Avenir Next" w:cs="Arial"/>
          <w:sz w:val="22"/>
          <w:szCs w:val="22"/>
          <w:highlight w:val="yellow"/>
          <w:lang w:val="en-GB"/>
        </w:rPr>
      </w:pPr>
      <w:r w:rsidRPr="00613F1E">
        <w:rPr>
          <w:rFonts w:ascii="Avenir Next" w:hAnsi="Avenir Next" w:cs="Arial"/>
          <w:sz w:val="22"/>
          <w:szCs w:val="22"/>
          <w:highlight w:val="yellow"/>
          <w:lang w:val="en-GB"/>
        </w:rPr>
        <w:t>Options (i),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602AFE">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602AFE">
      <w:pPr>
        <w:pStyle w:val="ListParagraph"/>
        <w:numPr>
          <w:ilvl w:val="0"/>
          <w:numId w:val="6"/>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602AFE">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602AFE">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602AFE">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602AFE">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602AFE">
      <w:pPr>
        <w:pStyle w:val="ListParagraph"/>
        <w:numPr>
          <w:ilvl w:val="0"/>
          <w:numId w:val="7"/>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(i),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BD4F04" w:rsidRDefault="0097337E" w:rsidP="00602AFE">
      <w:pPr>
        <w:pStyle w:val="ListParagraph"/>
        <w:numPr>
          <w:ilvl w:val="0"/>
          <w:numId w:val="7"/>
        </w:numPr>
        <w:ind w:left="426" w:hanging="426"/>
        <w:jc w:val="both"/>
        <w:rPr>
          <w:rFonts w:ascii="Avenir Next" w:hAnsi="Avenir Next" w:cs="Arial"/>
          <w:sz w:val="22"/>
          <w:szCs w:val="22"/>
          <w:highlight w:val="yellow"/>
          <w:lang w:val="en-GB"/>
        </w:rPr>
      </w:pPr>
      <w:r w:rsidRPr="00BD4F04">
        <w:rPr>
          <w:rFonts w:ascii="Avenir Next" w:hAnsi="Avenir Next" w:cs="Arial"/>
          <w:sz w:val="22"/>
          <w:szCs w:val="22"/>
          <w:highlight w:val="yellow"/>
          <w:lang w:val="en-GB"/>
        </w:rPr>
        <w:t>Options (ii), (iii) and (iv).</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E2622D" w:rsidRDefault="0097337E" w:rsidP="00602AFE">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602AFE">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602AFE">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602AFE">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602AFE">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602AFE">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(i)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BD4F04" w:rsidRDefault="009A58D1" w:rsidP="00602AFE">
      <w:pPr>
        <w:pStyle w:val="ListParagraph"/>
        <w:numPr>
          <w:ilvl w:val="0"/>
          <w:numId w:val="8"/>
        </w:numPr>
        <w:ind w:left="426" w:hanging="426"/>
        <w:jc w:val="both"/>
        <w:rPr>
          <w:rFonts w:ascii="Avenir Next" w:hAnsi="Avenir Next" w:cs="Arial"/>
          <w:sz w:val="22"/>
          <w:szCs w:val="22"/>
          <w:highlight w:val="yellow"/>
          <w:lang w:val="en-GB"/>
        </w:rPr>
      </w:pPr>
      <w:r w:rsidRPr="00BD4F04">
        <w:rPr>
          <w:rFonts w:ascii="Avenir Next" w:hAnsi="Avenir Next" w:cs="Arial"/>
          <w:sz w:val="22"/>
          <w:szCs w:val="22"/>
          <w:highlight w:val="yellow"/>
          <w:lang w:val="en-GB"/>
        </w:rPr>
        <w:t xml:space="preserve">Options (i), (ii) and then (iii).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227C5E" w:rsidRDefault="009A58D1" w:rsidP="00602AFE">
      <w:pPr>
        <w:pStyle w:val="ListParagraph"/>
        <w:numPr>
          <w:ilvl w:val="0"/>
          <w:numId w:val="8"/>
        </w:numPr>
        <w:ind w:left="426" w:hanging="426"/>
        <w:jc w:val="both"/>
        <w:rPr>
          <w:rFonts w:ascii="Avenir Next" w:hAnsi="Avenir Next" w:cs="Arial"/>
          <w:sz w:val="22"/>
          <w:szCs w:val="22"/>
          <w:lang w:val="en-GB"/>
        </w:rPr>
      </w:pPr>
      <w:r w:rsidRPr="00227C5E">
        <w:rPr>
          <w:rFonts w:ascii="Avenir Next" w:hAnsi="Avenir Next" w:cs="Arial"/>
          <w:sz w:val="22"/>
          <w:szCs w:val="22"/>
          <w:lang w:val="en-GB"/>
        </w:rPr>
        <w:t>Options (iii), (i)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602AFE">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(i)</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602AFE">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602AFE">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602AFE">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BD4F04" w:rsidRDefault="00C4510C" w:rsidP="00602AFE">
      <w:pPr>
        <w:pStyle w:val="ListParagraph"/>
        <w:numPr>
          <w:ilvl w:val="0"/>
          <w:numId w:val="9"/>
        </w:numPr>
        <w:ind w:left="426" w:hanging="426"/>
        <w:jc w:val="both"/>
        <w:rPr>
          <w:rFonts w:ascii="Avenir Next" w:hAnsi="Avenir Next" w:cs="Arial"/>
          <w:sz w:val="22"/>
          <w:szCs w:val="22"/>
          <w:highlight w:val="yellow"/>
          <w:lang w:val="en-GB"/>
        </w:rPr>
      </w:pPr>
      <w:r w:rsidRPr="00BD4F04">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654B0E66" w14:textId="27C26CFF" w:rsidR="00CB56CE" w:rsidRPr="00191C52" w:rsidRDefault="00BD4F04" w:rsidP="00191C52">
      <w:pPr>
        <w:ind w:left="720" w:hanging="720"/>
        <w:jc w:val="both"/>
        <w:rPr>
          <w:rFonts w:ascii="Avenir Next" w:eastAsiaTheme="minorHAnsi" w:hAnsi="Avenir Next" w:cs="Arial"/>
          <w:color w:val="808080" w:themeColor="background1" w:themeShade="80"/>
          <w:sz w:val="22"/>
          <w:szCs w:val="22"/>
          <w:lang w:val="en-GB"/>
        </w:rPr>
      </w:pPr>
      <w:r w:rsidRPr="00191C52">
        <w:rPr>
          <w:rFonts w:ascii="Avenir Next" w:eastAsiaTheme="minorHAnsi" w:hAnsi="Avenir Next" w:cs="Arial"/>
          <w:color w:val="808080" w:themeColor="background1" w:themeShade="80"/>
          <w:sz w:val="22"/>
          <w:szCs w:val="22"/>
          <w:lang w:val="en-GB"/>
        </w:rPr>
        <w:t>The difference between the format of the MLCBI and the EU Regulation provides a key distinction.</w:t>
      </w:r>
    </w:p>
    <w:p w14:paraId="68DC3565" w14:textId="1C09419D" w:rsidR="00BD4F04" w:rsidRPr="00191C52" w:rsidRDefault="00BD4F04" w:rsidP="00191C52">
      <w:pPr>
        <w:pStyle w:val="AODocTxt"/>
        <w:spacing w:before="0" w:line="240" w:lineRule="auto"/>
        <w:rPr>
          <w:rFonts w:ascii="Avenir Next" w:hAnsi="Avenir Next" w:cs="Arial"/>
          <w:color w:val="808080" w:themeColor="background1" w:themeShade="80"/>
          <w:lang w:val="en-GB"/>
        </w:rPr>
      </w:pPr>
      <w:r w:rsidRPr="00191C52">
        <w:rPr>
          <w:rFonts w:ascii="Avenir Next" w:hAnsi="Avenir Next" w:cs="Arial"/>
          <w:color w:val="808080" w:themeColor="background1" w:themeShade="80"/>
          <w:lang w:val="en-GB"/>
        </w:rPr>
        <w:t xml:space="preserve">The MLCBI is a model law which provides a framework for cooperation of insolvency proceedings on a global scale and enables coordination between multiple different jurisdictions. </w:t>
      </w:r>
      <w:r w:rsidR="002F59F2" w:rsidRPr="00191C52">
        <w:rPr>
          <w:rFonts w:ascii="Avenir Next" w:hAnsi="Avenir Next" w:cs="Arial"/>
          <w:color w:val="808080" w:themeColor="background1" w:themeShade="80"/>
          <w:lang w:val="en-GB"/>
        </w:rPr>
        <w:t>Whereas</w:t>
      </w:r>
      <w:r w:rsidRPr="00191C52">
        <w:rPr>
          <w:rFonts w:ascii="Avenir Next" w:hAnsi="Avenir Next" w:cs="Arial"/>
          <w:color w:val="808080" w:themeColor="background1" w:themeShade="80"/>
          <w:lang w:val="en-GB"/>
        </w:rPr>
        <w:t xml:space="preserve"> the EU Regulation applies only to EU member states as a standardized framework and is automatically entered into law in member states of the EU.</w:t>
      </w:r>
      <w:r w:rsidR="00191C52" w:rsidRPr="00191C52">
        <w:rPr>
          <w:rFonts w:ascii="Avenir Next" w:hAnsi="Avenir Next" w:cs="Arial"/>
          <w:color w:val="808080" w:themeColor="background1" w:themeShade="80"/>
          <w:lang w:val="en-GB"/>
        </w:rPr>
        <w:t xml:space="preserve"> This uniformity makes cross-border </w:t>
      </w:r>
      <w:r w:rsidR="00191C52" w:rsidRPr="00191C52">
        <w:rPr>
          <w:rFonts w:ascii="Avenir Next" w:hAnsi="Avenir Next"/>
          <w:color w:val="808080" w:themeColor="background1" w:themeShade="80"/>
        </w:rPr>
        <w:t>insolvency</w:t>
      </w:r>
      <w:r w:rsidR="00191C52" w:rsidRPr="00191C52">
        <w:rPr>
          <w:rFonts w:ascii="Avenir Next" w:hAnsi="Avenir Next" w:cs="Arial"/>
          <w:color w:val="808080" w:themeColor="background1" w:themeShade="80"/>
          <w:lang w:val="en-GB"/>
        </w:rPr>
        <w:t xml:space="preserve"> proceedings within the EU much easier, promoting efficiency.</w:t>
      </w:r>
    </w:p>
    <w:p w14:paraId="1C992020" w14:textId="1A2932B2" w:rsidR="00BD4F04" w:rsidRPr="00191C52" w:rsidRDefault="00BD4F04" w:rsidP="00191C52">
      <w:pPr>
        <w:pStyle w:val="AODocTxt"/>
        <w:spacing w:before="0" w:line="240" w:lineRule="auto"/>
        <w:rPr>
          <w:rFonts w:ascii="Avenir Next" w:hAnsi="Avenir Next" w:cs="Arial"/>
          <w:color w:val="808080" w:themeColor="background1" w:themeShade="80"/>
          <w:lang w:val="en-GB"/>
        </w:rPr>
      </w:pPr>
      <w:r w:rsidRPr="00191C52">
        <w:rPr>
          <w:rFonts w:ascii="Avenir Next" w:hAnsi="Avenir Next" w:cs="Arial"/>
          <w:color w:val="808080" w:themeColor="background1" w:themeShade="80"/>
          <w:lang w:val="en-GB"/>
        </w:rPr>
        <w:t xml:space="preserve">The EU Regulation’s downfall is that it is solely limited to EU member states and therefore cannot be applied </w:t>
      </w:r>
      <w:r w:rsidRPr="00191C52">
        <w:rPr>
          <w:rFonts w:ascii="Avenir Next" w:hAnsi="Avenir Next"/>
          <w:color w:val="808080" w:themeColor="background1" w:themeShade="80"/>
        </w:rPr>
        <w:t>globally</w:t>
      </w:r>
      <w:r w:rsidRPr="00191C52">
        <w:rPr>
          <w:rFonts w:ascii="Avenir Next" w:hAnsi="Avenir Next" w:cs="Arial"/>
          <w:color w:val="808080" w:themeColor="background1" w:themeShade="80"/>
          <w:lang w:val="en-GB"/>
        </w:rPr>
        <w:t xml:space="preserve">, whereas the MLCBI can be, </w:t>
      </w:r>
      <w:r w:rsidR="00191C52" w:rsidRPr="00191C52">
        <w:rPr>
          <w:rFonts w:ascii="Avenir Next" w:hAnsi="Avenir Next" w:cs="Arial"/>
          <w:color w:val="808080" w:themeColor="background1" w:themeShade="80"/>
          <w:lang w:val="en-GB"/>
        </w:rPr>
        <w:t xml:space="preserve">and the global reach of the MLCBI is </w:t>
      </w:r>
      <w:r w:rsidR="002F59F2" w:rsidRPr="00191C52">
        <w:rPr>
          <w:rFonts w:ascii="Avenir Next" w:hAnsi="Avenir Next" w:cs="Arial"/>
          <w:color w:val="808080" w:themeColor="background1" w:themeShade="80"/>
          <w:lang w:val="en-GB"/>
        </w:rPr>
        <w:t>its</w:t>
      </w:r>
      <w:r w:rsidR="00191C52" w:rsidRPr="00191C52">
        <w:rPr>
          <w:rFonts w:ascii="Avenir Next" w:hAnsi="Avenir Next" w:cs="Arial"/>
          <w:color w:val="808080" w:themeColor="background1" w:themeShade="80"/>
          <w:lang w:val="en-GB"/>
        </w:rPr>
        <w:t xml:space="preserve"> main strength.</w:t>
      </w:r>
    </w:p>
    <w:p w14:paraId="0504ECA3" w14:textId="60294CAC" w:rsidR="00191C52" w:rsidRPr="00B77352" w:rsidRDefault="00191C52" w:rsidP="00191C52">
      <w:pPr>
        <w:pStyle w:val="AODocTxt"/>
        <w:spacing w:before="0" w:line="240" w:lineRule="auto"/>
        <w:rPr>
          <w:rFonts w:ascii="Avenir Next" w:hAnsi="Avenir Next" w:cs="Arial"/>
          <w:color w:val="808080" w:themeColor="background1" w:themeShade="80"/>
          <w:lang w:val="en-GB"/>
        </w:rPr>
      </w:pPr>
      <w:r>
        <w:rPr>
          <w:rFonts w:ascii="Avenir Next" w:hAnsi="Avenir Next" w:cs="Arial"/>
          <w:color w:val="808080" w:themeColor="background1" w:themeShade="80"/>
          <w:lang w:val="en-GB"/>
        </w:rPr>
        <w:t>However, as the MLCBI is not binding this can result in different jurisdictions applying the framework in ways they have interpreted, this can make cross-border insolvency proceedings inefficient, even among states which have adopted the MLCBI.</w:t>
      </w:r>
    </w:p>
    <w:p w14:paraId="7716EC51" w14:textId="73673EAE"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428DC0DA" w14:textId="42ADDDB0" w:rsidR="00867A8F" w:rsidRDefault="0007201C" w:rsidP="0007201C">
      <w:pPr>
        <w:pStyle w:val="AODocTxt"/>
        <w:spacing w:before="0" w:line="240" w:lineRule="auto"/>
        <w:rPr>
          <w:rFonts w:ascii="Avenir Next" w:hAnsi="Avenir Next" w:cs="Arial"/>
          <w:color w:val="808080" w:themeColor="background1" w:themeShade="80"/>
          <w:lang w:val="en-GB"/>
        </w:rPr>
      </w:pPr>
      <w:r>
        <w:rPr>
          <w:rFonts w:ascii="Avenir Next" w:hAnsi="Avenir Next" w:cs="Arial"/>
          <w:color w:val="808080" w:themeColor="background1" w:themeShade="80"/>
          <w:lang w:val="en-GB"/>
        </w:rPr>
        <w:t xml:space="preserve">Article 21 empowers the court to provide relief upon recognition of a foreign insolvency proceeding. When considering the granting of this power, the court should consider the need to implement the </w:t>
      </w:r>
      <w:r>
        <w:rPr>
          <w:rFonts w:ascii="Avenir Next" w:hAnsi="Avenir Next" w:cs="Arial"/>
          <w:color w:val="808080" w:themeColor="background1" w:themeShade="80"/>
          <w:lang w:val="en-GB"/>
        </w:rPr>
        <w:lastRenderedPageBreak/>
        <w:t>foreign insolvency proceeding to protect the assets of the debtor and weigh factors which contribute to the success of the foreign insolvency proceeding in the local jurisdiction.</w:t>
      </w:r>
    </w:p>
    <w:p w14:paraId="231E89D2" w14:textId="52D8D8E1" w:rsidR="0007201C" w:rsidRPr="00B77352" w:rsidRDefault="0007201C" w:rsidP="0007201C">
      <w:pPr>
        <w:pStyle w:val="AODocTxt"/>
        <w:spacing w:before="0" w:line="240" w:lineRule="auto"/>
        <w:rPr>
          <w:rFonts w:ascii="Avenir Next" w:hAnsi="Avenir Next" w:cs="Arial"/>
          <w:color w:val="808080" w:themeColor="background1" w:themeShade="80"/>
          <w:lang w:val="en-GB"/>
        </w:rPr>
      </w:pPr>
      <w:r>
        <w:rPr>
          <w:rFonts w:ascii="Avenir Next" w:hAnsi="Avenir Next" w:cs="Arial"/>
          <w:color w:val="808080" w:themeColor="background1" w:themeShade="80"/>
          <w:lang w:val="en-GB"/>
        </w:rPr>
        <w:t>The court should also ensure that they have considered whether granting this relief will not interfere with another insolvency proceeding, and align with the objectives of other proceedings, in particular the main insolvency proceeding, whilst remaining consistent.</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1D1873" w14:textId="27D1E052" w:rsidR="00867A8F" w:rsidRPr="00B77352" w:rsidRDefault="0007201C" w:rsidP="002560A4">
      <w:pPr>
        <w:pStyle w:val="AODocTxt"/>
        <w:spacing w:before="0" w:line="240" w:lineRule="auto"/>
        <w:rPr>
          <w:rFonts w:ascii="Avenir Next" w:hAnsi="Avenir Next" w:cs="Arial"/>
          <w:color w:val="808080" w:themeColor="background1" w:themeShade="80"/>
          <w:lang w:val="en-GB"/>
        </w:rPr>
      </w:pPr>
      <w:r>
        <w:rPr>
          <w:rFonts w:ascii="Avenir Next" w:hAnsi="Avenir Next" w:cs="Arial"/>
          <w:color w:val="808080" w:themeColor="background1" w:themeShade="80"/>
          <w:lang w:val="en-GB"/>
        </w:rPr>
        <w:t xml:space="preserve">Article 13 addresses the rights of foreign creditors, ensuring they’re equal to those of creditors domiciled in the enacting State. </w:t>
      </w:r>
      <w:r w:rsidR="002560A4">
        <w:rPr>
          <w:rFonts w:ascii="Avenir Next" w:hAnsi="Avenir Next" w:cs="Arial"/>
          <w:color w:val="808080" w:themeColor="background1" w:themeShade="80"/>
          <w:lang w:val="en-GB"/>
        </w:rPr>
        <w:t xml:space="preserve">The Article does not </w:t>
      </w:r>
      <w:r w:rsidR="00A078F8">
        <w:rPr>
          <w:rFonts w:ascii="Avenir Next" w:hAnsi="Avenir Next" w:cs="Arial"/>
          <w:color w:val="808080" w:themeColor="background1" w:themeShade="80"/>
          <w:lang w:val="en-GB"/>
        </w:rPr>
        <w:t>affect</w:t>
      </w:r>
      <w:r w:rsidR="002560A4">
        <w:rPr>
          <w:rFonts w:ascii="Avenir Next" w:hAnsi="Avenir Next" w:cs="Arial"/>
          <w:color w:val="808080" w:themeColor="background1" w:themeShade="80"/>
          <w:lang w:val="en-GB"/>
        </w:rPr>
        <w:t xml:space="preserve"> the ranking of claims in the local jurisdiction beyond ensuring that the claim of any foreign creditors is not given a lower priority than those claims of general unsecured creditors for reasons not related to the creditors status of being a foreign creditor</w:t>
      </w:r>
      <w:r w:rsidR="002F0B55">
        <w:rPr>
          <w:rFonts w:ascii="Avenir Next" w:hAnsi="Avenir Next" w:cs="Arial"/>
          <w:color w:val="808080" w:themeColor="background1" w:themeShade="80"/>
          <w:lang w:val="en-GB"/>
        </w:rPr>
        <w:t>, this is also known as the anti-discrimination principle.</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18F91E21" w14:textId="733C2D95" w:rsidR="00867A8F" w:rsidRDefault="006B2EC0" w:rsidP="00C25777">
      <w:pPr>
        <w:pStyle w:val="AODocTxt"/>
        <w:spacing w:before="0" w:line="240" w:lineRule="auto"/>
        <w:rPr>
          <w:rFonts w:ascii="Avenir Next" w:hAnsi="Avenir Next" w:cs="Arial"/>
          <w:color w:val="808080" w:themeColor="background1" w:themeShade="80"/>
          <w:lang w:val="en-GB"/>
        </w:rPr>
      </w:pPr>
      <w:r>
        <w:rPr>
          <w:rFonts w:ascii="Avenir Next" w:hAnsi="Avenir Next" w:cs="Arial"/>
          <w:color w:val="808080" w:themeColor="background1" w:themeShade="80"/>
          <w:lang w:val="en-GB"/>
        </w:rPr>
        <w:t xml:space="preserve">A foreign main proceeding in the principal insolvency proceeding which occurs where the debtor </w:t>
      </w:r>
      <w:r w:rsidR="001021C6">
        <w:rPr>
          <w:rFonts w:ascii="Avenir Next" w:hAnsi="Avenir Next" w:cs="Arial"/>
          <w:color w:val="808080" w:themeColor="background1" w:themeShade="80"/>
          <w:lang w:val="en-GB"/>
        </w:rPr>
        <w:t>COMI is determined to be</w:t>
      </w:r>
      <w:r>
        <w:rPr>
          <w:rFonts w:ascii="Avenir Next" w:hAnsi="Avenir Next" w:cs="Arial"/>
          <w:color w:val="808080" w:themeColor="background1" w:themeShade="80"/>
          <w:lang w:val="en-GB"/>
        </w:rPr>
        <w:t>. Whereas a foreign non-main proceeding is a secondary proceeding which occurs in a State where the debtor’s COMI isn’t.</w:t>
      </w:r>
    </w:p>
    <w:p w14:paraId="3B72FB05" w14:textId="32B25C58" w:rsidR="006B2EC0" w:rsidRDefault="00C25777" w:rsidP="00C25777">
      <w:pPr>
        <w:pStyle w:val="AODocTxt"/>
        <w:spacing w:before="0" w:line="240" w:lineRule="auto"/>
        <w:rPr>
          <w:rFonts w:ascii="Avenir Next" w:hAnsi="Avenir Next" w:cs="Arial"/>
          <w:color w:val="808080" w:themeColor="background1" w:themeShade="80"/>
          <w:lang w:val="en-GB"/>
        </w:rPr>
      </w:pPr>
      <w:r>
        <w:rPr>
          <w:rFonts w:ascii="Avenir Next" w:hAnsi="Avenir Next" w:cs="Arial"/>
          <w:color w:val="808080" w:themeColor="background1" w:themeShade="80"/>
          <w:lang w:val="en-GB"/>
        </w:rPr>
        <w:t>The foreign main proceeding has relief granted which is typically broader than relief granted to non-main processes. One of these is the automatic stay of legal proceedings, this halts legal proceedings and creditors against the debtor, which enables the insolvency process to continue unencumbered or threatened, this relief is not extended the non-main proceedings.</w:t>
      </w:r>
    </w:p>
    <w:p w14:paraId="7F8D6FCF" w14:textId="74E8D62B" w:rsidR="00C25777" w:rsidRDefault="00C25777" w:rsidP="00C25777">
      <w:pPr>
        <w:pStyle w:val="AODocTxt"/>
        <w:spacing w:before="0" w:line="240" w:lineRule="auto"/>
        <w:rPr>
          <w:rFonts w:ascii="Avenir Next" w:hAnsi="Avenir Next" w:cs="Arial"/>
          <w:color w:val="808080" w:themeColor="background1" w:themeShade="80"/>
          <w:lang w:val="en-GB"/>
        </w:rPr>
      </w:pPr>
      <w:r>
        <w:rPr>
          <w:rFonts w:ascii="Avenir Next" w:hAnsi="Avenir Next" w:cs="Arial"/>
          <w:color w:val="808080" w:themeColor="background1" w:themeShade="80"/>
          <w:lang w:val="en-GB"/>
        </w:rPr>
        <w:t>A further relief granted to the main insolvency process is the authority to sell assets or make significant steps to administer the state, which is typically granted to the main proceeding but not the non-main.</w:t>
      </w:r>
    </w:p>
    <w:p w14:paraId="4127391E" w14:textId="77777777" w:rsidR="00100E8F" w:rsidRPr="00B77352" w:rsidRDefault="00100E8F" w:rsidP="00100E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08475351" w14:textId="608AB2A3" w:rsidR="00867A8F" w:rsidRDefault="003B23A7" w:rsidP="003B23A7">
      <w:pPr>
        <w:pStyle w:val="AODocTxt"/>
        <w:spacing w:before="0" w:line="240" w:lineRule="auto"/>
        <w:rPr>
          <w:rFonts w:ascii="Avenir Next" w:hAnsi="Avenir Next" w:cs="Arial"/>
          <w:color w:val="808080" w:themeColor="background1" w:themeShade="80"/>
          <w:lang w:val="en-GB"/>
        </w:rPr>
      </w:pPr>
      <w:r>
        <w:rPr>
          <w:rFonts w:ascii="Avenir Next" w:hAnsi="Avenir Next" w:cs="Arial"/>
          <w:color w:val="808080" w:themeColor="background1" w:themeShade="80"/>
          <w:lang w:val="en-GB"/>
        </w:rPr>
        <w:t>The main proceeding is typically filed where the debtor has its COMI, which in this case would be Germany, and therefore take precedence.</w:t>
      </w:r>
      <w:r w:rsidR="00975E8E">
        <w:rPr>
          <w:rFonts w:ascii="Avenir Next" w:hAnsi="Avenir Next" w:cs="Arial"/>
          <w:color w:val="808080" w:themeColor="background1" w:themeShade="80"/>
          <w:lang w:val="en-GB"/>
        </w:rPr>
        <w:t xml:space="preserve"> This is a fundamental principle of cross-border insolvency, ensuring that the primary proceedings are conducted in the jurisdiction most closely connected to the debtor’s overall administration.</w:t>
      </w:r>
    </w:p>
    <w:p w14:paraId="1456F3DE" w14:textId="22D3C833" w:rsidR="003B23A7" w:rsidRDefault="003B23A7" w:rsidP="003B23A7">
      <w:pPr>
        <w:pStyle w:val="AODocTxt"/>
        <w:spacing w:before="0" w:line="240" w:lineRule="auto"/>
        <w:rPr>
          <w:rFonts w:ascii="Avenir Next" w:hAnsi="Avenir Next" w:cs="Arial"/>
          <w:color w:val="808080" w:themeColor="background1" w:themeShade="80"/>
          <w:lang w:val="en-GB"/>
        </w:rPr>
      </w:pPr>
      <w:r>
        <w:rPr>
          <w:rFonts w:ascii="Avenir Next" w:hAnsi="Avenir Next" w:cs="Arial"/>
          <w:color w:val="808080" w:themeColor="background1" w:themeShade="80"/>
          <w:lang w:val="en-GB"/>
        </w:rPr>
        <w:t>Foreign non-main proceedings could be filed in any State where a debtor holds an establishment, in this example that would likely be Bermuda.</w:t>
      </w:r>
      <w:r w:rsidR="00975E8E">
        <w:rPr>
          <w:rFonts w:ascii="Avenir Next" w:hAnsi="Avenir Next" w:cs="Arial"/>
          <w:color w:val="808080" w:themeColor="background1" w:themeShade="80"/>
          <w:lang w:val="en-GB"/>
        </w:rPr>
        <w:t xml:space="preserve"> This recognition allows for the efficient resolution of local issues and assets without disrupting the main proceedings. These non-main proceedings may operate independently within Bermuda but should align with the broader strategy of the main proceedings.</w:t>
      </w:r>
    </w:p>
    <w:p w14:paraId="4600802F" w14:textId="5A236B5C" w:rsidR="003B23A7" w:rsidRDefault="003B23A7" w:rsidP="003B23A7">
      <w:pPr>
        <w:pStyle w:val="AODocTxt"/>
        <w:spacing w:before="0" w:line="240" w:lineRule="auto"/>
        <w:rPr>
          <w:rFonts w:ascii="Avenir Next" w:hAnsi="Avenir Next" w:cs="Arial"/>
          <w:color w:val="808080" w:themeColor="background1" w:themeShade="80"/>
          <w:lang w:val="en-GB"/>
        </w:rPr>
      </w:pPr>
      <w:r>
        <w:rPr>
          <w:rFonts w:ascii="Avenir Next" w:hAnsi="Avenir Next" w:cs="Arial"/>
          <w:color w:val="808080" w:themeColor="background1" w:themeShade="80"/>
          <w:lang w:val="en-GB"/>
        </w:rPr>
        <w:t>This means that the foreign recognition proceedings would be filed in the U.S., once the main proceeding in German is recognized in the U.S., the court will cooperate with the German proceedings, and providing relief in the U.S.</w:t>
      </w:r>
      <w:r w:rsidR="00975E8E">
        <w:rPr>
          <w:rFonts w:ascii="Avenir Next" w:hAnsi="Avenir Next" w:cs="Arial"/>
          <w:color w:val="808080" w:themeColor="background1" w:themeShade="80"/>
          <w:lang w:val="en-GB"/>
        </w:rPr>
        <w:t xml:space="preserve"> </w:t>
      </w:r>
    </w:p>
    <w:p w14:paraId="29B86B05" w14:textId="77777777" w:rsidR="00975E8E" w:rsidRDefault="003B23A7" w:rsidP="003B23A7">
      <w:pPr>
        <w:pStyle w:val="AODocTxt"/>
        <w:spacing w:before="0" w:line="240" w:lineRule="auto"/>
        <w:rPr>
          <w:rFonts w:ascii="Avenir Next" w:hAnsi="Avenir Next" w:cs="Arial"/>
          <w:color w:val="808080" w:themeColor="background1" w:themeShade="80"/>
          <w:lang w:val="en-GB"/>
        </w:rPr>
      </w:pPr>
      <w:r>
        <w:rPr>
          <w:rFonts w:ascii="Avenir Next" w:hAnsi="Avenir Next" w:cs="Arial"/>
          <w:color w:val="808080" w:themeColor="background1" w:themeShade="80"/>
          <w:lang w:val="en-GB"/>
        </w:rPr>
        <w:lastRenderedPageBreak/>
        <w:t>With the main proceeding in Germany, the German insolvency law would take precedence over the other jurisdictions, therefore the recognition in the U.S. would allow the U.S. proceeding to align with the German proceedings and continue as such.</w:t>
      </w:r>
    </w:p>
    <w:p w14:paraId="0CAE786B" w14:textId="33E3C285" w:rsidR="003B23A7" w:rsidRDefault="003B23A7" w:rsidP="003B23A7">
      <w:pPr>
        <w:pStyle w:val="AODocTxt"/>
        <w:spacing w:before="0" w:line="240" w:lineRule="auto"/>
        <w:rPr>
          <w:rFonts w:ascii="Avenir Next" w:hAnsi="Avenir Next" w:cs="Arial"/>
          <w:color w:val="808080" w:themeColor="background1" w:themeShade="80"/>
          <w:lang w:val="en-GB"/>
        </w:rPr>
      </w:pPr>
      <w:r>
        <w:rPr>
          <w:rFonts w:ascii="Avenir Next" w:hAnsi="Avenir Next" w:cs="Arial"/>
          <w:color w:val="808080" w:themeColor="background1" w:themeShade="80"/>
          <w:lang w:val="en-GB"/>
        </w:rPr>
        <w:t>The non-main proceeding in Bermuda would likely only focus on any matters within the State, including the assets.</w:t>
      </w:r>
      <w:r w:rsidR="00975E8E">
        <w:rPr>
          <w:rFonts w:ascii="Avenir Next" w:hAnsi="Avenir Next" w:cs="Arial"/>
          <w:color w:val="808080" w:themeColor="background1" w:themeShade="80"/>
          <w:lang w:val="en-GB"/>
        </w:rPr>
        <w:t xml:space="preserve"> This dual-track approach, with allows for a comprehensive yet localized resolution where the administration of the process in all States is aligned.</w:t>
      </w:r>
    </w:p>
    <w:p w14:paraId="43AA3D36" w14:textId="0B39D423" w:rsidR="00021F84" w:rsidRPr="00B77352" w:rsidRDefault="00021F84" w:rsidP="003B23A7">
      <w:pPr>
        <w:pStyle w:val="AODocTxt"/>
        <w:spacing w:before="0" w:line="240" w:lineRule="auto"/>
        <w:rPr>
          <w:rFonts w:ascii="Avenir Next" w:hAnsi="Avenir Next" w:cs="Arial"/>
          <w:color w:val="808080" w:themeColor="background1" w:themeShade="80"/>
          <w:lang w:val="en-GB"/>
        </w:rPr>
      </w:pPr>
      <w:r>
        <w:rPr>
          <w:rFonts w:ascii="Avenir Next" w:hAnsi="Avenir Next" w:cs="Arial"/>
          <w:color w:val="808080" w:themeColor="background1" w:themeShade="80"/>
          <w:lang w:val="en-GB"/>
        </w:rPr>
        <w:t>The coordinated recognition and cooperation across the jurisdictions would allow for an effective and harmonized insolvency proceeding.</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0E49888C" w14:textId="4AE07730" w:rsidR="00F525DF" w:rsidRDefault="00F525DF" w:rsidP="00F525DF">
      <w:pPr>
        <w:pStyle w:val="AODocTxt"/>
        <w:spacing w:before="0" w:line="240" w:lineRule="auto"/>
        <w:rPr>
          <w:rFonts w:ascii="Avenir Next" w:hAnsi="Avenir Next" w:cs="Arial"/>
          <w:color w:val="808080" w:themeColor="background1" w:themeShade="80"/>
          <w:lang w:val="en-GB"/>
        </w:rPr>
      </w:pPr>
      <w:r>
        <w:rPr>
          <w:rFonts w:ascii="Avenir Next" w:hAnsi="Avenir Next" w:cs="Arial"/>
          <w:color w:val="808080" w:themeColor="background1" w:themeShade="80"/>
          <w:lang w:val="en-GB"/>
        </w:rPr>
        <w:t>In response to the immediate legal challenge, the j</w:t>
      </w:r>
      <w:r>
        <w:rPr>
          <w:rFonts w:ascii="Avenir Next" w:hAnsi="Avenir Next" w:cs="Arial"/>
          <w:color w:val="808080" w:themeColor="background1" w:themeShade="80"/>
          <w:lang w:val="en-GB"/>
        </w:rPr>
        <w:t>oint provisional liquidators (“JPLs”)</w:t>
      </w:r>
      <w:r>
        <w:rPr>
          <w:rFonts w:ascii="Avenir Next" w:hAnsi="Avenir Next" w:cs="Arial"/>
          <w:color w:val="808080" w:themeColor="background1" w:themeShade="80"/>
          <w:lang w:val="en-GB"/>
        </w:rPr>
        <w:t xml:space="preserve"> may seek relief under article 15 which provides the court with the authority to grant relief, potentially by staying or suspending the tort claim proceedings. This would protect and preserve the debtor’s assets during the insolvency process. By invoking this article, the JPLs would aim to maintain the integrity of the liquidation, safeguarding assets from the </w:t>
      </w:r>
      <w:r w:rsidR="009A7051">
        <w:rPr>
          <w:rFonts w:ascii="Avenir Next" w:hAnsi="Avenir Next" w:cs="Arial"/>
          <w:color w:val="808080" w:themeColor="background1" w:themeShade="80"/>
          <w:lang w:val="en-GB"/>
        </w:rPr>
        <w:t xml:space="preserve">threatened disruption of the suit. </w:t>
      </w:r>
    </w:p>
    <w:p w14:paraId="627297B0" w14:textId="34F09F67" w:rsidR="009A7051" w:rsidRDefault="009A7051" w:rsidP="009A7051">
      <w:pPr>
        <w:pStyle w:val="AODocTxt"/>
        <w:spacing w:before="0" w:line="240" w:lineRule="auto"/>
        <w:rPr>
          <w:rFonts w:ascii="Avenir Next" w:hAnsi="Avenir Next" w:cs="Arial"/>
          <w:color w:val="808080" w:themeColor="background1" w:themeShade="80"/>
          <w:lang w:val="en-GB"/>
        </w:rPr>
      </w:pPr>
      <w:r>
        <w:rPr>
          <w:rFonts w:ascii="Avenir Next" w:hAnsi="Avenir Next" w:cs="Arial"/>
          <w:color w:val="808080" w:themeColor="background1" w:themeShade="80"/>
          <w:lang w:val="en-GB"/>
        </w:rPr>
        <w:t xml:space="preserve">Simultaneously, the JPLs could turn to article 21 to seek relief from the U.S. court. This would coordinate and harmonize actions with the ongoing foreign main proceeding and recognizes the need for a cohesive approach to a global insolvency process. If this application was granted, an automatic stay could be issued which would </w:t>
      </w:r>
      <w:r>
        <w:rPr>
          <w:rFonts w:ascii="Avenir Next" w:hAnsi="Avenir Next" w:cs="Arial"/>
          <w:color w:val="808080" w:themeColor="background1" w:themeShade="80"/>
          <w:lang w:val="en-GB"/>
        </w:rPr>
        <w:t>halt the tort claim proceedings which would allow them to focus on the recognition proceedings and the overall management of the insolvency estate.</w:t>
      </w:r>
    </w:p>
    <w:p w14:paraId="6FD7ACB4" w14:textId="6D99A133" w:rsidR="00F525DF" w:rsidRDefault="00F74063" w:rsidP="00F525DF">
      <w:pPr>
        <w:pStyle w:val="AODocTxt"/>
        <w:spacing w:before="0" w:line="240" w:lineRule="auto"/>
        <w:rPr>
          <w:rFonts w:ascii="Avenir Next" w:hAnsi="Avenir Next" w:cs="Arial"/>
          <w:color w:val="808080" w:themeColor="background1" w:themeShade="80"/>
          <w:lang w:val="en-GB"/>
        </w:rPr>
      </w:pPr>
      <w:r>
        <w:rPr>
          <w:rFonts w:ascii="Avenir Next" w:hAnsi="Avenir Next" w:cs="Arial"/>
          <w:color w:val="808080" w:themeColor="background1" w:themeShade="80"/>
          <w:lang w:val="en-GB"/>
        </w:rPr>
        <w:t>When evaluating the decision of whether to grant relief to the JPLs they would consider whether article 22 is relevant to the case and if cooperation and coordination with the foreign main proceedings will achieve a cohesive resolution for the Liquidation.</w:t>
      </w:r>
    </w:p>
    <w:p w14:paraId="5BA3200D" w14:textId="30240C2B" w:rsidR="00F74063" w:rsidRDefault="00F74063" w:rsidP="00F525DF">
      <w:pPr>
        <w:pStyle w:val="AODocTxt"/>
        <w:spacing w:before="0" w:line="240" w:lineRule="auto"/>
        <w:rPr>
          <w:rFonts w:ascii="Avenir Next" w:hAnsi="Avenir Next" w:cs="Arial"/>
          <w:color w:val="808080" w:themeColor="background1" w:themeShade="80"/>
          <w:lang w:val="en-GB"/>
        </w:rPr>
      </w:pPr>
      <w:r>
        <w:rPr>
          <w:rFonts w:ascii="Avenir Next" w:hAnsi="Avenir Next" w:cs="Arial"/>
          <w:color w:val="808080" w:themeColor="background1" w:themeShade="80"/>
          <w:lang w:val="en-GB"/>
        </w:rPr>
        <w:t>It’s also likely that to achieve a desirable outcome the JPLs would actively engage in communication with the U.S. court providing necessary information under article 27.</w:t>
      </w:r>
    </w:p>
    <w:p w14:paraId="7A09A266" w14:textId="7F7B6C90" w:rsidR="00E8196A" w:rsidRDefault="00975E8E" w:rsidP="00F525DF">
      <w:pPr>
        <w:pStyle w:val="AODocTxt"/>
        <w:spacing w:before="0" w:line="240" w:lineRule="auto"/>
        <w:rPr>
          <w:rFonts w:ascii="Avenir Next" w:hAnsi="Avenir Next" w:cs="Arial"/>
          <w:color w:val="808080" w:themeColor="background1" w:themeShade="80"/>
          <w:lang w:val="en-GB"/>
        </w:rPr>
      </w:pPr>
      <w:r>
        <w:rPr>
          <w:rFonts w:ascii="Avenir Next" w:hAnsi="Avenir Next" w:cs="Arial"/>
          <w:color w:val="808080" w:themeColor="background1" w:themeShade="80"/>
          <w:lang w:val="en-GB"/>
        </w:rPr>
        <w:t xml:space="preserve">If the relief is granted, </w:t>
      </w:r>
      <w:r w:rsidR="00E8196A">
        <w:rPr>
          <w:rFonts w:ascii="Avenir Next" w:hAnsi="Avenir Next" w:cs="Arial"/>
          <w:color w:val="808080" w:themeColor="background1" w:themeShade="80"/>
          <w:lang w:val="en-GB"/>
        </w:rPr>
        <w:t>the U.S. court may coordinate with these proceedings in addressing the claims against the JPLs, this would allow the actions taken in the U.S. to align with the broader strategy of the main proceedings.</w:t>
      </w:r>
    </w:p>
    <w:p w14:paraId="3BF40F6A" w14:textId="760564EF" w:rsidR="00E8196A" w:rsidRDefault="00E8196A" w:rsidP="00F525DF">
      <w:pPr>
        <w:pStyle w:val="AODocTxt"/>
        <w:spacing w:before="0" w:line="240" w:lineRule="auto"/>
        <w:rPr>
          <w:rFonts w:ascii="Avenir Next" w:hAnsi="Avenir Next" w:cs="Arial"/>
          <w:color w:val="808080" w:themeColor="background1" w:themeShade="80"/>
          <w:lang w:val="en-GB"/>
        </w:rPr>
      </w:pPr>
      <w:r>
        <w:rPr>
          <w:rFonts w:ascii="Avenir Next" w:hAnsi="Avenir Next" w:cs="Arial"/>
          <w:color w:val="808080" w:themeColor="background1" w:themeShade="80"/>
          <w:lang w:val="en-GB"/>
        </w:rPr>
        <w:t>The JPLs would likely assert defences which include the protection of their actions under the recognition proceeding, principles of comity of the application of the foreign insolvency law and argue that their actions were within the scope of their authority in the insolvency process.</w:t>
      </w:r>
    </w:p>
    <w:p w14:paraId="47FE12F8" w14:textId="57D73822" w:rsidR="00E8196A" w:rsidRDefault="00E8196A" w:rsidP="00F525DF">
      <w:pPr>
        <w:pStyle w:val="AODocTxt"/>
        <w:spacing w:before="0" w:line="240" w:lineRule="auto"/>
        <w:rPr>
          <w:rFonts w:ascii="Avenir Next" w:hAnsi="Avenir Next" w:cs="Arial"/>
          <w:color w:val="808080" w:themeColor="background1" w:themeShade="80"/>
          <w:lang w:val="en-GB"/>
        </w:rPr>
      </w:pPr>
      <w:r>
        <w:rPr>
          <w:rFonts w:ascii="Avenir Next" w:hAnsi="Avenir Next" w:cs="Arial"/>
          <w:color w:val="808080" w:themeColor="background1" w:themeShade="80"/>
          <w:lang w:val="en-GB"/>
        </w:rPr>
        <w:t xml:space="preserve">As the case progresses, the JPLs may cooperate with the U.S. court’s discovery process so long as it does not conflict with their obligations in the insolvency proceedings, by doing this they would also demonstrate to the </w:t>
      </w:r>
      <w:r w:rsidR="00F525DF">
        <w:rPr>
          <w:rFonts w:ascii="Avenir Next" w:hAnsi="Avenir Next" w:cs="Arial"/>
          <w:color w:val="808080" w:themeColor="background1" w:themeShade="80"/>
          <w:lang w:val="en-GB"/>
        </w:rPr>
        <w:t>U.S. court their transparency and collaboration.</w:t>
      </w:r>
    </w:p>
    <w:p w14:paraId="15EEB76E" w14:textId="42F90C0C" w:rsidR="00F525DF" w:rsidRPr="00B77352" w:rsidRDefault="00F525DF" w:rsidP="00F525DF">
      <w:pPr>
        <w:pStyle w:val="AODocTxt"/>
        <w:spacing w:before="0" w:line="240" w:lineRule="auto"/>
        <w:rPr>
          <w:rFonts w:ascii="Avenir Next" w:hAnsi="Avenir Next" w:cs="Arial"/>
          <w:color w:val="808080" w:themeColor="background1" w:themeShade="80"/>
          <w:lang w:val="en-GB"/>
        </w:rPr>
      </w:pPr>
      <w:r w:rsidRPr="00F525DF">
        <w:rPr>
          <w:rFonts w:ascii="Avenir Next" w:hAnsi="Avenir Next" w:cs="Arial"/>
          <w:color w:val="808080" w:themeColor="background1" w:themeShade="80"/>
          <w:lang w:val="en-GB"/>
        </w:rPr>
        <w:t xml:space="preserve">The U.S. court would </w:t>
      </w:r>
      <w:r w:rsidR="000D4117" w:rsidRPr="00F525DF">
        <w:rPr>
          <w:rFonts w:ascii="Avenir Next" w:hAnsi="Avenir Next" w:cs="Arial"/>
          <w:color w:val="808080" w:themeColor="background1" w:themeShade="80"/>
          <w:lang w:val="en-GB"/>
        </w:rPr>
        <w:t>ultimately</w:t>
      </w:r>
      <w:r w:rsidRPr="00F525DF">
        <w:rPr>
          <w:rFonts w:ascii="Avenir Next" w:hAnsi="Avenir Next" w:cs="Arial"/>
          <w:color w:val="808080" w:themeColor="background1" w:themeShade="80"/>
          <w:lang w:val="en-GB"/>
        </w:rPr>
        <w:t xml:space="preserve"> determine whether the tort claim against the JPLs holds merit and take into account the applicable laws, the</w:t>
      </w:r>
      <w:r>
        <w:rPr>
          <w:rFonts w:ascii="Avenir Next" w:hAnsi="Avenir Next" w:cs="Arial"/>
          <w:color w:val="808080" w:themeColor="background1" w:themeShade="80"/>
          <w:lang w:val="en-GB"/>
        </w:rPr>
        <w:t xml:space="preserve"> scope of their actions and any available defences.</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1BC1F18C" w14:textId="299ECBE8" w:rsidR="000B3FE6" w:rsidRDefault="000B3FE6" w:rsidP="0044563B">
      <w:pPr>
        <w:pStyle w:val="AODocTxt"/>
        <w:spacing w:before="0" w:line="240" w:lineRule="auto"/>
        <w:rPr>
          <w:rFonts w:ascii="Avenir Next" w:hAnsi="Avenir Next" w:cs="Arial"/>
          <w:color w:val="808080" w:themeColor="background1" w:themeShade="80"/>
          <w:lang w:val="en-GB"/>
        </w:rPr>
      </w:pPr>
      <w:r>
        <w:rPr>
          <w:rFonts w:ascii="Avenir Next" w:hAnsi="Avenir Next" w:cs="Arial"/>
          <w:color w:val="808080" w:themeColor="background1" w:themeShade="80"/>
          <w:lang w:val="en-GB"/>
        </w:rPr>
        <w:t xml:space="preserve">Given that ipso facto clauses are not enforceable under US bankruptcy law, it’s likely that the licenses and leases will remain </w:t>
      </w:r>
      <w:r w:rsidR="0044563B">
        <w:rPr>
          <w:rFonts w:ascii="Avenir Next" w:hAnsi="Avenir Next" w:cs="Arial"/>
          <w:color w:val="808080" w:themeColor="background1" w:themeShade="80"/>
          <w:lang w:val="en-GB"/>
        </w:rPr>
        <w:t>intact</w:t>
      </w:r>
      <w:r>
        <w:rPr>
          <w:rFonts w:ascii="Avenir Next" w:hAnsi="Avenir Next" w:cs="Arial"/>
          <w:color w:val="808080" w:themeColor="background1" w:themeShade="80"/>
          <w:lang w:val="en-GB"/>
        </w:rPr>
        <w:t xml:space="preserve"> during the 35 day period between the recognition hearing and petition date.</w:t>
      </w:r>
    </w:p>
    <w:p w14:paraId="4A0E319B" w14:textId="6EB22E09" w:rsidR="00867A8F" w:rsidRDefault="000B3FE6" w:rsidP="0044563B">
      <w:pPr>
        <w:pStyle w:val="AODocTxt"/>
        <w:spacing w:before="0" w:line="240" w:lineRule="auto"/>
        <w:rPr>
          <w:rFonts w:ascii="Avenir Next" w:hAnsi="Avenir Next" w:cs="Arial"/>
          <w:color w:val="808080" w:themeColor="background1" w:themeShade="80"/>
          <w:lang w:val="en-GB"/>
        </w:rPr>
      </w:pPr>
      <w:r>
        <w:rPr>
          <w:rFonts w:ascii="Avenir Next" w:hAnsi="Avenir Next" w:cs="Arial"/>
          <w:color w:val="808080" w:themeColor="background1" w:themeShade="80"/>
          <w:lang w:val="en-GB"/>
        </w:rPr>
        <w:t>However, as p</w:t>
      </w:r>
      <w:r w:rsidR="00B7231B">
        <w:rPr>
          <w:rFonts w:ascii="Avenir Next" w:hAnsi="Avenir Next" w:cs="Arial"/>
          <w:color w:val="808080" w:themeColor="background1" w:themeShade="80"/>
          <w:lang w:val="en-GB"/>
        </w:rPr>
        <w:t xml:space="preserve">reviously demonstrated in Belmond Park v BNY Corporate Trustee Services, the English Supreme Court clarified that ipso facto clauses are in principle valid and enforceable in a UK insolvency. </w:t>
      </w:r>
      <w:r w:rsidR="0044563B">
        <w:rPr>
          <w:rFonts w:ascii="Avenir Next" w:hAnsi="Avenir Next" w:cs="Arial"/>
          <w:color w:val="808080" w:themeColor="background1" w:themeShade="80"/>
          <w:lang w:val="en-GB"/>
        </w:rPr>
        <w:t>Although</w:t>
      </w:r>
      <w:r w:rsidR="00B7231B">
        <w:rPr>
          <w:rFonts w:ascii="Avenir Next" w:hAnsi="Avenir Next" w:cs="Arial"/>
          <w:color w:val="808080" w:themeColor="background1" w:themeShade="80"/>
          <w:lang w:val="en-GB"/>
        </w:rPr>
        <w:t>, the new Corporate Insolvency and Governance Act 2020 which was adopted in the UK in June 2020 in response to Covid-19</w:t>
      </w:r>
      <w:r w:rsidR="001A77C4">
        <w:rPr>
          <w:rFonts w:ascii="Avenir Next" w:hAnsi="Avenir Next" w:cs="Arial"/>
          <w:color w:val="808080" w:themeColor="background1" w:themeShade="80"/>
          <w:lang w:val="en-GB"/>
        </w:rPr>
        <w:t xml:space="preserve"> has reconsidered UK policy in regards to ipso facto clauses, and provides that certain clauses in contracts for the supply of goods or services will cease to have effect under certain UK insolvency proceedings. </w:t>
      </w:r>
    </w:p>
    <w:p w14:paraId="799401A0" w14:textId="0CE249B9" w:rsidR="000B3FE6" w:rsidRDefault="000B3FE6" w:rsidP="0044563B">
      <w:pPr>
        <w:pStyle w:val="AODocTxt"/>
        <w:spacing w:before="0" w:line="240" w:lineRule="auto"/>
        <w:rPr>
          <w:rFonts w:ascii="Avenir Next" w:hAnsi="Avenir Next" w:cs="Arial"/>
          <w:color w:val="808080" w:themeColor="background1" w:themeShade="80"/>
          <w:lang w:val="en-GB"/>
        </w:rPr>
      </w:pPr>
      <w:r>
        <w:rPr>
          <w:rFonts w:ascii="Avenir Next" w:hAnsi="Avenir Next" w:cs="Arial"/>
          <w:color w:val="808080" w:themeColor="background1" w:themeShade="80"/>
          <w:lang w:val="en-GB"/>
        </w:rPr>
        <w:t>Therefore, ahead of the U.S. recognition hearing the foreign representative should research which type of ipso facto clauses are held and whether they will cease to have effect upon recognition</w:t>
      </w:r>
      <w:r w:rsidR="0044563B">
        <w:rPr>
          <w:rFonts w:ascii="Avenir Next" w:hAnsi="Avenir Next" w:cs="Arial"/>
          <w:color w:val="808080" w:themeColor="background1" w:themeShade="80"/>
          <w:lang w:val="en-GB"/>
        </w:rPr>
        <w:t xml:space="preserve"> upon cooperation of the U.S. court. It’s also essential that the foreign representative ensures they are fully prepared for the recognition hearing, if they don’t have the appropriate experience they can engage U.S. legal counsel for this.</w:t>
      </w:r>
    </w:p>
    <w:p w14:paraId="603305C3" w14:textId="5D3A19AA" w:rsidR="0044563B" w:rsidRDefault="0044563B" w:rsidP="0044563B">
      <w:pPr>
        <w:pStyle w:val="AODocTxt"/>
        <w:spacing w:before="0" w:line="240" w:lineRule="auto"/>
        <w:rPr>
          <w:rFonts w:ascii="Avenir Next" w:hAnsi="Avenir Next" w:cs="Arial"/>
          <w:color w:val="808080" w:themeColor="background1" w:themeShade="80"/>
          <w:lang w:val="en-GB"/>
        </w:rPr>
      </w:pPr>
      <w:r>
        <w:rPr>
          <w:rFonts w:ascii="Avenir Next" w:hAnsi="Avenir Next" w:cs="Arial"/>
          <w:color w:val="808080" w:themeColor="background1" w:themeShade="80"/>
          <w:lang w:val="en-GB"/>
        </w:rPr>
        <w:t>Ahead of the recognition hearing, the foreign representative could also seek protective measures from the U.S. court, which may involve requesting a stay or injunction to prevent any adverse actions by U.S. counterparties. This would protect the assets and the overall objective of the insolvency proceeding.</w:t>
      </w:r>
    </w:p>
    <w:p w14:paraId="18F76694" w14:textId="61CF49CC" w:rsidR="0044563B" w:rsidRDefault="0044563B" w:rsidP="0044563B">
      <w:pPr>
        <w:pStyle w:val="AODocTxt"/>
        <w:spacing w:before="0" w:line="240" w:lineRule="auto"/>
        <w:rPr>
          <w:rFonts w:ascii="Avenir Next" w:hAnsi="Avenir Next" w:cs="Arial"/>
          <w:color w:val="808080" w:themeColor="background1" w:themeShade="80"/>
          <w:lang w:val="en-GB"/>
        </w:rPr>
      </w:pPr>
      <w:r>
        <w:rPr>
          <w:rFonts w:ascii="Avenir Next" w:hAnsi="Avenir Next" w:cs="Arial"/>
          <w:color w:val="808080" w:themeColor="background1" w:themeShade="80"/>
          <w:lang w:val="en-GB"/>
        </w:rPr>
        <w:t>The foreign representative could also petition the U.S. court for interim relief and emergency orders to protect the assets ahead of the recognition hearing, which would provide immediate protection and stop counterparties triggering ipso facto clauses to protect the interests of the insolvency proceeding.</w:t>
      </w:r>
    </w:p>
    <w:p w14:paraId="684F149D" w14:textId="655003C0" w:rsidR="0044563B" w:rsidRDefault="0044563B" w:rsidP="0044563B">
      <w:pPr>
        <w:pStyle w:val="AODocTxt"/>
        <w:spacing w:before="0" w:line="240" w:lineRule="auto"/>
        <w:rPr>
          <w:rFonts w:ascii="Avenir Next" w:hAnsi="Avenir Next" w:cs="Arial"/>
          <w:color w:val="808080" w:themeColor="background1" w:themeShade="80"/>
          <w:lang w:val="en-GB"/>
        </w:rPr>
      </w:pPr>
      <w:r>
        <w:rPr>
          <w:rFonts w:ascii="Avenir Next" w:hAnsi="Avenir Next" w:cs="Arial"/>
          <w:color w:val="808080" w:themeColor="background1" w:themeShade="80"/>
          <w:lang w:val="en-GB"/>
        </w:rPr>
        <w:t>Alternatively, the foreign representative could implement asset preservation strategies which are consistent with the objectives of the UK restructuring, which could involve securing assets through legal means which are recognized in both the UK and the U.S., this could include filing for IP protections such as trademarks or patents to ensure that the property remains safeguarded and in the control of the insolvency practitioner to maintain the best outcome for the insolvency proceeding.</w:t>
      </w:r>
    </w:p>
    <w:p w14:paraId="419DC217" w14:textId="77777777" w:rsidR="00E96880" w:rsidRPr="00F31EE9" w:rsidRDefault="00E96880" w:rsidP="00F31EE9">
      <w:pPr>
        <w:ind w:left="720" w:hanging="720"/>
        <w:jc w:val="both"/>
        <w:rPr>
          <w:rFonts w:ascii="Avenir Next" w:hAnsi="Avenir Next" w:cs="Arial"/>
          <w:color w:val="808080" w:themeColor="background1" w:themeShade="80"/>
          <w:sz w:val="22"/>
          <w:szCs w:val="22"/>
          <w:lang w:val="en-GB"/>
        </w:rPr>
      </w:pP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55D111B1" w14:textId="6285FDD3" w:rsidR="00867A8F" w:rsidRDefault="00F763F9" w:rsidP="00363FB4">
      <w:pPr>
        <w:pStyle w:val="AODocTxt"/>
        <w:spacing w:before="0" w:line="240" w:lineRule="auto"/>
        <w:rPr>
          <w:rFonts w:ascii="Avenir Next" w:hAnsi="Avenir Next" w:cs="Arial"/>
          <w:color w:val="808080" w:themeColor="background1" w:themeShade="80"/>
          <w:lang w:val="en-GB"/>
        </w:rPr>
      </w:pPr>
      <w:r>
        <w:rPr>
          <w:rFonts w:ascii="Avenir Next" w:hAnsi="Avenir Next" w:cs="Arial"/>
          <w:color w:val="808080" w:themeColor="background1" w:themeShade="80"/>
          <w:lang w:val="en-GB"/>
        </w:rPr>
        <w:t>After being handed the denial of recognition, the foreign representative could appeal the decision of the court, it would be advisable for the foreign representative to engage local legal counsel to navigate this process and establish whether there are legal grounds to do so.</w:t>
      </w:r>
    </w:p>
    <w:p w14:paraId="49677F63" w14:textId="43ADDEC1" w:rsidR="00F763F9" w:rsidRDefault="001D5B8A" w:rsidP="00363FB4">
      <w:pPr>
        <w:pStyle w:val="AODocTxt"/>
        <w:spacing w:before="0" w:line="240" w:lineRule="auto"/>
        <w:rPr>
          <w:rFonts w:ascii="Avenir Next" w:hAnsi="Avenir Next" w:cs="Arial"/>
          <w:color w:val="808080" w:themeColor="background1" w:themeShade="80"/>
          <w:lang w:val="en-GB"/>
        </w:rPr>
      </w:pPr>
      <w:r>
        <w:rPr>
          <w:rFonts w:ascii="Avenir Next" w:hAnsi="Avenir Next" w:cs="Arial"/>
          <w:color w:val="808080" w:themeColor="background1" w:themeShade="80"/>
          <w:lang w:val="en-GB"/>
        </w:rPr>
        <w:t>If the appeal fails and the denial is upheld, the foreign representative could consider seeking recognition as a foreign non-main proceeding in Country B, this would allow the representative to administer and realize assets within the jurisdiction despite the recognition having a weaker status than that of a main proceeding. This is more likely to be approved and also works for the foreign representative of country A as they’re seeking to sell assets within Country B. The foreign representative should have evaluated which status suited them better and potentially should’ve applied for recognition as a non-main proceeding in the first instance.</w:t>
      </w:r>
    </w:p>
    <w:p w14:paraId="00477CBE" w14:textId="098D69AE" w:rsidR="001D5B8A" w:rsidRDefault="001D5B8A" w:rsidP="00363FB4">
      <w:pPr>
        <w:pStyle w:val="AODocTxt"/>
        <w:spacing w:before="0" w:line="240" w:lineRule="auto"/>
        <w:rPr>
          <w:rFonts w:ascii="Avenir Next" w:hAnsi="Avenir Next" w:cs="Arial"/>
          <w:color w:val="808080" w:themeColor="background1" w:themeShade="80"/>
          <w:lang w:val="en-GB"/>
        </w:rPr>
      </w:pPr>
      <w:r>
        <w:rPr>
          <w:rFonts w:ascii="Avenir Next" w:hAnsi="Avenir Next" w:cs="Arial"/>
          <w:color w:val="808080" w:themeColor="background1" w:themeShade="80"/>
          <w:lang w:val="en-GB"/>
        </w:rPr>
        <w:lastRenderedPageBreak/>
        <w:t>Part of this evaluation could have included a jurisdictional analysis which would have enabled the foreign representative to analyse the insolvency laws and recognition criteria in Country B, which would have informed the foreign representatives strategy</w:t>
      </w:r>
      <w:r w:rsidR="00474154">
        <w:rPr>
          <w:rFonts w:ascii="Avenir Next" w:hAnsi="Avenir Next" w:cs="Arial"/>
          <w:color w:val="808080" w:themeColor="background1" w:themeShade="80"/>
          <w:lang w:val="en-GB"/>
        </w:rPr>
        <w:t>.</w:t>
      </w:r>
    </w:p>
    <w:p w14:paraId="0E1448BD" w14:textId="340C06D2" w:rsidR="00363FB4" w:rsidRPr="00B77352" w:rsidRDefault="00474154" w:rsidP="00363FB4">
      <w:pPr>
        <w:pStyle w:val="AODocTxt"/>
        <w:spacing w:before="0" w:line="240" w:lineRule="auto"/>
        <w:rPr>
          <w:rFonts w:ascii="Avenir Next" w:hAnsi="Avenir Next" w:cs="Arial"/>
          <w:color w:val="808080" w:themeColor="background1" w:themeShade="80"/>
          <w:lang w:val="en-GB"/>
        </w:rPr>
      </w:pPr>
      <w:r>
        <w:rPr>
          <w:rFonts w:ascii="Avenir Next" w:hAnsi="Avenir Next" w:cs="Arial"/>
          <w:color w:val="808080" w:themeColor="background1" w:themeShade="80"/>
          <w:lang w:val="en-GB"/>
        </w:rPr>
        <w:t>If the foreign representative was still unsure of the optimum strategy to take, they could have engaged local legal counsel early to help inform their decision.</w:t>
      </w:r>
      <w:r w:rsidR="00FE5AD6">
        <w:rPr>
          <w:rFonts w:ascii="Avenir Next" w:hAnsi="Avenir Next" w:cs="Arial"/>
          <w:color w:val="808080" w:themeColor="background1" w:themeShade="80"/>
          <w:lang w:val="en-GB"/>
        </w:rPr>
        <w:t xml:space="preserve"> By taking this step they could have tailored the recognition petition to meet the specific criteria outlined in Country B’s insolvency laws.</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bookmarkStart w:id="1" w:name="_Hlk160144291"/>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2"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2D2E8559" w14:textId="77777777" w:rsidR="0080011A" w:rsidRDefault="0080011A" w:rsidP="0080011A">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3" w:name="_Hlk97111003"/>
      <w:r w:rsidRPr="00E61F6E">
        <w:rPr>
          <w:rFonts w:ascii="Avenir Next" w:hAnsi="Avenir Next"/>
          <w:sz w:val="22"/>
          <w:szCs w:val="28"/>
        </w:rPr>
        <w:t>Globe Holdings</w:t>
      </w:r>
      <w:bookmarkEnd w:id="3"/>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4"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4"/>
    </w:p>
    <w:p w14:paraId="6CBE8391" w14:textId="77777777" w:rsidR="0080011A" w:rsidRPr="00E61F6E" w:rsidRDefault="0080011A" w:rsidP="0080011A">
      <w:pPr>
        <w:jc w:val="both"/>
        <w:rPr>
          <w:rFonts w:ascii="Avenir Next" w:hAnsi="Avenir Next"/>
          <w:sz w:val="22"/>
          <w:szCs w:val="28"/>
        </w:rPr>
      </w:pPr>
    </w:p>
    <w:p w14:paraId="63CA4284" w14:textId="77777777" w:rsidR="0080011A" w:rsidRDefault="0080011A" w:rsidP="0080011A">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5"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lastRenderedPageBreak/>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5"/>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bookmarkEnd w:id="1"/>
    <w:p w14:paraId="36BAA1A4" w14:textId="3FC2E2F4" w:rsidR="009E3CA7" w:rsidRDefault="009E3CA7" w:rsidP="009E3CA7">
      <w:pPr>
        <w:jc w:val="both"/>
        <w:rPr>
          <w:rFonts w:ascii="Avenir Next" w:hAnsi="Avenir Next"/>
          <w:sz w:val="22"/>
          <w:szCs w:val="28"/>
        </w:rPr>
      </w:pPr>
    </w:p>
    <w:p w14:paraId="30BC4914" w14:textId="3526F93A" w:rsidR="00F008E1" w:rsidRDefault="00357A8B"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Establishing the COMI for Globe Holdings will inform the decision of whether to file the scheme as a foreign main proceeding or non-main proceeding for recognition in the U.S. under chapter 15.</w:t>
      </w:r>
      <w:r w:rsidR="005259CC">
        <w:rPr>
          <w:rFonts w:ascii="Avenir Next" w:hAnsi="Avenir Next"/>
          <w:color w:val="808080" w:themeColor="background1" w:themeShade="80"/>
          <w:sz w:val="22"/>
          <w:szCs w:val="28"/>
        </w:rPr>
        <w:t xml:space="preserve"> It’s important to note that the COMI is where the center of main operations is, not where the Company is incorporated.</w:t>
      </w:r>
    </w:p>
    <w:p w14:paraId="5C61499F" w14:textId="47BC932A" w:rsidR="00357A8B" w:rsidRDefault="00357A8B"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Identifying the COMI for the Company relied on two main factors: where the central administration of the Company takes place and what is readily ascertainable as such by creditors of the debtor.</w:t>
      </w:r>
    </w:p>
    <w:p w14:paraId="388F4D16" w14:textId="218ECFF2" w:rsidR="00F008E1" w:rsidRDefault="00357A8B"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There are multiple factors which could play into </w:t>
      </w:r>
      <w:r w:rsidR="00F663BD">
        <w:rPr>
          <w:rFonts w:ascii="Avenir Next" w:hAnsi="Avenir Next"/>
          <w:color w:val="808080" w:themeColor="background1" w:themeShade="80"/>
          <w:sz w:val="22"/>
          <w:szCs w:val="28"/>
        </w:rPr>
        <w:t>this,</w:t>
      </w:r>
      <w:r>
        <w:rPr>
          <w:rFonts w:ascii="Avenir Next" w:hAnsi="Avenir Next"/>
          <w:color w:val="808080" w:themeColor="background1" w:themeShade="80"/>
          <w:sz w:val="22"/>
          <w:szCs w:val="28"/>
        </w:rPr>
        <w:t xml:space="preserve"> and we can evaluate these in relation to Globe Holdings. The factors which would align with establishing the COMI as being the Cayman Islands are as follows:</w:t>
      </w:r>
    </w:p>
    <w:p w14:paraId="723F7E39" w14:textId="42A3132A" w:rsidR="00357A8B" w:rsidRDefault="00357A8B" w:rsidP="00602AFE">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books and records are held in the Cayman Islands</w:t>
      </w:r>
      <w:r w:rsidR="00656108">
        <w:rPr>
          <w:rFonts w:ascii="Avenir Next" w:hAnsi="Avenir Next"/>
          <w:color w:val="808080" w:themeColor="background1" w:themeShade="80"/>
          <w:sz w:val="22"/>
          <w:szCs w:val="28"/>
        </w:rPr>
        <w:t>.</w:t>
      </w:r>
    </w:p>
    <w:p w14:paraId="2C27C027" w14:textId="29860FEF" w:rsidR="00357A8B" w:rsidRDefault="00357A8B" w:rsidP="00602AFE">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reorganization of the debtor is being conducted in the </w:t>
      </w:r>
      <w:r>
        <w:rPr>
          <w:rFonts w:ascii="Avenir Next" w:hAnsi="Avenir Next"/>
          <w:color w:val="808080" w:themeColor="background1" w:themeShade="80"/>
          <w:sz w:val="22"/>
          <w:szCs w:val="28"/>
        </w:rPr>
        <w:t>Cayman Islands</w:t>
      </w:r>
      <w:r w:rsidR="00656108">
        <w:rPr>
          <w:rFonts w:ascii="Avenir Next" w:hAnsi="Avenir Next"/>
          <w:color w:val="808080" w:themeColor="background1" w:themeShade="80"/>
          <w:sz w:val="22"/>
          <w:szCs w:val="28"/>
        </w:rPr>
        <w:t>.</w:t>
      </w:r>
    </w:p>
    <w:p w14:paraId="19F35EA0" w14:textId="74D5C8EF" w:rsidR="00F008E1" w:rsidRDefault="00357A8B" w:rsidP="00602AFE">
      <w:pPr>
        <w:pStyle w:val="ListParagraph"/>
        <w:numPr>
          <w:ilvl w:val="0"/>
          <w:numId w:val="18"/>
        </w:numPr>
        <w:jc w:val="both"/>
        <w:rPr>
          <w:rFonts w:ascii="Avenir Next" w:hAnsi="Avenir Next"/>
          <w:color w:val="808080" w:themeColor="background1" w:themeShade="80"/>
          <w:sz w:val="22"/>
          <w:szCs w:val="28"/>
        </w:rPr>
      </w:pPr>
      <w:r w:rsidRPr="00357A8B">
        <w:rPr>
          <w:rFonts w:ascii="Avenir Next" w:hAnsi="Avenir Next"/>
          <w:color w:val="808080" w:themeColor="background1" w:themeShade="80"/>
          <w:sz w:val="22"/>
          <w:szCs w:val="28"/>
        </w:rPr>
        <w:lastRenderedPageBreak/>
        <w:t>As</w:t>
      </w:r>
      <w:r w:rsidR="005259CC">
        <w:rPr>
          <w:rFonts w:ascii="Avenir Next" w:hAnsi="Avenir Next"/>
          <w:color w:val="808080" w:themeColor="background1" w:themeShade="80"/>
          <w:sz w:val="22"/>
          <w:szCs w:val="28"/>
        </w:rPr>
        <w:t xml:space="preserve"> the subsidiaries are not debtors, and the holding company is, the creditors would perceive Global Holdings as being the COMI</w:t>
      </w:r>
      <w:r w:rsidR="00656108">
        <w:rPr>
          <w:rFonts w:ascii="Avenir Next" w:hAnsi="Avenir Next"/>
          <w:color w:val="808080" w:themeColor="background1" w:themeShade="80"/>
          <w:sz w:val="22"/>
          <w:szCs w:val="28"/>
        </w:rPr>
        <w:t>.</w:t>
      </w:r>
    </w:p>
    <w:p w14:paraId="31DD5262" w14:textId="488A69BE" w:rsidR="00F663BD" w:rsidRDefault="00F663BD" w:rsidP="00602AFE">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above is supported by the notices Globe Holdings filed upon it’s re-incorporation to the Cayman Islands, including public filings and with the SEC, leading the public to believe that the COMI is in the U</w:t>
      </w:r>
      <w:r w:rsidR="00B62A53">
        <w:rPr>
          <w:rFonts w:ascii="Avenir Next" w:hAnsi="Avenir Next"/>
          <w:color w:val="808080" w:themeColor="background1" w:themeShade="80"/>
          <w:sz w:val="22"/>
          <w:szCs w:val="28"/>
        </w:rPr>
        <w:t>.S.</w:t>
      </w:r>
    </w:p>
    <w:p w14:paraId="44085FC5" w14:textId="659FB7D7" w:rsidR="00F663BD" w:rsidRPr="00357A8B" w:rsidRDefault="00B62A53" w:rsidP="00602AFE">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Legal counsel retained by the Company is Cedar and Wood, therefore the conclusion could be drawn that most disputes are registered under Cayman Islands law, as this would be Cedar and Wood’s specialty.</w:t>
      </w:r>
    </w:p>
    <w:p w14:paraId="1AFB05F4" w14:textId="4C608387" w:rsidR="00F008E1" w:rsidRDefault="00656108"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Whereas</w:t>
      </w:r>
      <w:r w:rsidR="005259CC">
        <w:rPr>
          <w:rFonts w:ascii="Avenir Next" w:hAnsi="Avenir Next"/>
          <w:color w:val="808080" w:themeColor="background1" w:themeShade="80"/>
          <w:sz w:val="22"/>
          <w:szCs w:val="28"/>
        </w:rPr>
        <w:t xml:space="preserve"> the factors which indicate that the COMI is in the U.S. are as follows:</w:t>
      </w:r>
    </w:p>
    <w:p w14:paraId="48FE9919" w14:textId="3F948CA8" w:rsidR="005259CC" w:rsidRDefault="005259CC" w:rsidP="00602AFE">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business operates through </w:t>
      </w:r>
      <w:r w:rsidR="00656108">
        <w:rPr>
          <w:rFonts w:ascii="Avenir Next" w:hAnsi="Avenir Next"/>
          <w:color w:val="808080" w:themeColor="background1" w:themeShade="80"/>
          <w:sz w:val="22"/>
          <w:szCs w:val="28"/>
        </w:rPr>
        <w:t>its</w:t>
      </w:r>
      <w:r>
        <w:rPr>
          <w:rFonts w:ascii="Avenir Next" w:hAnsi="Avenir Next"/>
          <w:color w:val="808080" w:themeColor="background1" w:themeShade="80"/>
          <w:sz w:val="22"/>
          <w:szCs w:val="28"/>
        </w:rPr>
        <w:t xml:space="preserve"> non-debtor subsidiaries which operate under U.S. </w:t>
      </w:r>
      <w:r w:rsidR="00656108">
        <w:rPr>
          <w:rFonts w:ascii="Avenir Next" w:hAnsi="Avenir Next"/>
          <w:color w:val="808080" w:themeColor="background1" w:themeShade="80"/>
          <w:sz w:val="22"/>
          <w:szCs w:val="28"/>
        </w:rPr>
        <w:t>law;</w:t>
      </w:r>
      <w:r>
        <w:rPr>
          <w:rFonts w:ascii="Avenir Next" w:hAnsi="Avenir Next"/>
          <w:color w:val="808080" w:themeColor="background1" w:themeShade="80"/>
          <w:sz w:val="22"/>
          <w:szCs w:val="28"/>
        </w:rPr>
        <w:t xml:space="preserve"> </w:t>
      </w:r>
      <w:r w:rsidR="00656108">
        <w:rPr>
          <w:rFonts w:ascii="Avenir Next" w:hAnsi="Avenir Next"/>
          <w:color w:val="808080" w:themeColor="background1" w:themeShade="80"/>
          <w:sz w:val="22"/>
          <w:szCs w:val="28"/>
        </w:rPr>
        <w:t>therefore,</w:t>
      </w:r>
      <w:r>
        <w:rPr>
          <w:rFonts w:ascii="Avenir Next" w:hAnsi="Avenir Next"/>
          <w:color w:val="808080" w:themeColor="background1" w:themeShade="80"/>
          <w:sz w:val="22"/>
          <w:szCs w:val="28"/>
        </w:rPr>
        <w:t xml:space="preserve"> it could be assumed that they are subject to U.S. commercial policy</w:t>
      </w:r>
      <w:r w:rsidR="00656108">
        <w:rPr>
          <w:rFonts w:ascii="Avenir Next" w:hAnsi="Avenir Next"/>
          <w:color w:val="808080" w:themeColor="background1" w:themeShade="80"/>
          <w:sz w:val="22"/>
          <w:szCs w:val="28"/>
        </w:rPr>
        <w:t>.</w:t>
      </w:r>
    </w:p>
    <w:p w14:paraId="572ADFA8" w14:textId="508D2F12" w:rsidR="005259CC" w:rsidRDefault="005259CC" w:rsidP="00602AFE">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Continuing the above point, </w:t>
      </w:r>
      <w:r w:rsidR="00F663BD">
        <w:rPr>
          <w:rFonts w:ascii="Avenir Next" w:hAnsi="Avenir Next"/>
          <w:color w:val="808080" w:themeColor="background1" w:themeShade="80"/>
          <w:sz w:val="22"/>
          <w:szCs w:val="28"/>
        </w:rPr>
        <w:t xml:space="preserve">as the operations of the business are carried out in the U.S., and the subsidiaries hold assets, this is the </w:t>
      </w:r>
      <w:r w:rsidR="00656108">
        <w:rPr>
          <w:rFonts w:ascii="Avenir Next" w:hAnsi="Avenir Next"/>
          <w:color w:val="808080" w:themeColor="background1" w:themeShade="80"/>
          <w:sz w:val="22"/>
          <w:szCs w:val="28"/>
        </w:rPr>
        <w:t>principal</w:t>
      </w:r>
      <w:r w:rsidR="00F663BD">
        <w:rPr>
          <w:rFonts w:ascii="Avenir Next" w:hAnsi="Avenir Next"/>
          <w:color w:val="808080" w:themeColor="background1" w:themeShade="80"/>
          <w:sz w:val="22"/>
          <w:szCs w:val="28"/>
        </w:rPr>
        <w:t xml:space="preserve"> place where both these things are found, this is supported by the headquarters being located in the U.S.</w:t>
      </w:r>
    </w:p>
    <w:p w14:paraId="3EC33F5B" w14:textId="58DB1A00" w:rsidR="005259CC" w:rsidRDefault="005259CC" w:rsidP="00602AFE">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employees of the Company are all located in the U.S.</w:t>
      </w:r>
    </w:p>
    <w:p w14:paraId="7C1C028F" w14:textId="445B3C5D" w:rsidR="00F663BD" w:rsidRDefault="00F663BD" w:rsidP="00602AFE">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As the bank account the Company has in the Cayman Island was only opened a few days ago and only pays certain of its operating expenses it can be argued that the primary bank is held elsewhere and further that the majority of the operating expenses are paid from these alternate accounts</w:t>
      </w:r>
      <w:r w:rsidR="00656108">
        <w:rPr>
          <w:rFonts w:ascii="Avenir Next" w:hAnsi="Avenir Next"/>
          <w:color w:val="808080" w:themeColor="background1" w:themeShade="80"/>
          <w:sz w:val="22"/>
          <w:szCs w:val="28"/>
        </w:rPr>
        <w:t>.</w:t>
      </w:r>
    </w:p>
    <w:p w14:paraId="00CA1498" w14:textId="1203B919" w:rsidR="00F663BD" w:rsidRPr="005259CC" w:rsidRDefault="00B62A53" w:rsidP="00602AFE">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Due to the Company’s accounts are filed with the SEC, it’s fair to assume that U.S. laws govern the preparation and audit of accounts.</w:t>
      </w:r>
    </w:p>
    <w:p w14:paraId="08165A3D" w14:textId="77777777" w:rsidR="00F008E1" w:rsidRDefault="00F008E1" w:rsidP="009E3CA7">
      <w:pPr>
        <w:jc w:val="both"/>
        <w:rPr>
          <w:rFonts w:ascii="Avenir Next" w:hAnsi="Avenir Next"/>
          <w:color w:val="808080" w:themeColor="background1" w:themeShade="80"/>
          <w:sz w:val="22"/>
          <w:szCs w:val="28"/>
        </w:rPr>
      </w:pPr>
    </w:p>
    <w:p w14:paraId="310E179A" w14:textId="2321F6EF" w:rsidR="00F008E1" w:rsidRDefault="005259CC"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above factors </w:t>
      </w:r>
      <w:r w:rsidR="00B62A53">
        <w:rPr>
          <w:rFonts w:ascii="Avenir Next" w:hAnsi="Avenir Next"/>
          <w:color w:val="808080" w:themeColor="background1" w:themeShade="80"/>
          <w:sz w:val="22"/>
          <w:szCs w:val="28"/>
        </w:rPr>
        <w:t xml:space="preserve">could be interpreted by the court in different weights in order to agree the COMI. However, Globe Holdings should be conscious that they </w:t>
      </w:r>
      <w:r w:rsidR="00CD0D13">
        <w:rPr>
          <w:rFonts w:ascii="Avenir Next" w:hAnsi="Avenir Next"/>
          <w:color w:val="808080" w:themeColor="background1" w:themeShade="80"/>
          <w:sz w:val="22"/>
          <w:szCs w:val="28"/>
        </w:rPr>
        <w:t xml:space="preserve">hold an obligation to provide full disclosure to the court when establishing their reasoning for where they have indicated the COMI is. For example, by trying to claim that the primary bank is located in the Cayman Islands, it could be argued that the bank account was opened for the purpose of establishing the </w:t>
      </w:r>
      <w:r w:rsidR="00CD0D13">
        <w:rPr>
          <w:rFonts w:ascii="Avenir Next" w:hAnsi="Avenir Next"/>
          <w:color w:val="808080" w:themeColor="background1" w:themeShade="80"/>
          <w:sz w:val="22"/>
          <w:szCs w:val="28"/>
        </w:rPr>
        <w:t>Cayman Islands</w:t>
      </w:r>
      <w:r w:rsidR="00CD0D13">
        <w:rPr>
          <w:rFonts w:ascii="Avenir Next" w:hAnsi="Avenir Next"/>
          <w:color w:val="808080" w:themeColor="background1" w:themeShade="80"/>
          <w:sz w:val="22"/>
          <w:szCs w:val="28"/>
        </w:rPr>
        <w:t xml:space="preserve"> as the COMI for a more favorable outcome and therein be perceived as abusing the process. If they’re found to be doing so this could affect the granting of the recognition application.</w:t>
      </w:r>
    </w:p>
    <w:p w14:paraId="5F32070C" w14:textId="77777777" w:rsidR="00F008E1" w:rsidRDefault="00F008E1" w:rsidP="009E3CA7">
      <w:pPr>
        <w:jc w:val="both"/>
        <w:rPr>
          <w:rFonts w:ascii="Avenir Next" w:hAnsi="Avenir Next"/>
          <w:color w:val="808080" w:themeColor="background1" w:themeShade="80"/>
          <w:sz w:val="22"/>
          <w:szCs w:val="28"/>
        </w:rPr>
      </w:pPr>
    </w:p>
    <w:p w14:paraId="5395F079" w14:textId="25319CCC" w:rsidR="00F008E1" w:rsidRDefault="00B56139" w:rsidP="00B56139">
      <w:pPr>
        <w:pStyle w:val="AODocTxt"/>
        <w:spacing w:before="0" w:line="240" w:lineRule="auto"/>
        <w:rPr>
          <w:rFonts w:ascii="Avenir Next" w:hAnsi="Avenir Next"/>
          <w:i/>
          <w:iCs/>
          <w:color w:val="808080" w:themeColor="background1" w:themeShade="80"/>
          <w:szCs w:val="28"/>
        </w:rPr>
      </w:pPr>
      <w:r>
        <w:rPr>
          <w:rFonts w:ascii="Avenir Next" w:hAnsi="Avenir Next"/>
          <w:color w:val="808080" w:themeColor="background1" w:themeShade="80"/>
          <w:szCs w:val="28"/>
        </w:rPr>
        <w:t xml:space="preserve">The </w:t>
      </w:r>
      <w:r>
        <w:rPr>
          <w:rFonts w:ascii="Avenir Next" w:hAnsi="Avenir Next"/>
          <w:color w:val="808080" w:themeColor="background1" w:themeShade="80"/>
          <w:szCs w:val="28"/>
        </w:rPr>
        <w:t>Cayman Islands</w:t>
      </w:r>
      <w:r>
        <w:rPr>
          <w:rFonts w:ascii="Avenir Next" w:hAnsi="Avenir Next"/>
          <w:color w:val="808080" w:themeColor="background1" w:themeShade="80"/>
          <w:szCs w:val="28"/>
        </w:rPr>
        <w:t xml:space="preserve"> c</w:t>
      </w:r>
      <w:r w:rsidR="005259CC">
        <w:rPr>
          <w:rFonts w:ascii="Avenir Next" w:hAnsi="Avenir Next"/>
          <w:color w:val="808080" w:themeColor="background1" w:themeShade="80"/>
          <w:szCs w:val="28"/>
        </w:rPr>
        <w:t>ould be argue</w:t>
      </w:r>
      <w:r w:rsidR="00CD0D13">
        <w:rPr>
          <w:rFonts w:ascii="Avenir Next" w:hAnsi="Avenir Next"/>
          <w:color w:val="808080" w:themeColor="background1" w:themeShade="80"/>
          <w:szCs w:val="28"/>
        </w:rPr>
        <w:t>d</w:t>
      </w:r>
      <w:r w:rsidR="005259CC">
        <w:rPr>
          <w:rFonts w:ascii="Avenir Next" w:hAnsi="Avenir Next"/>
          <w:color w:val="808080" w:themeColor="background1" w:themeShade="80"/>
          <w:szCs w:val="28"/>
        </w:rPr>
        <w:t xml:space="preserve"> </w:t>
      </w:r>
      <w:r>
        <w:rPr>
          <w:rFonts w:ascii="Avenir Next" w:hAnsi="Avenir Next"/>
          <w:color w:val="808080" w:themeColor="background1" w:themeShade="80"/>
          <w:szCs w:val="28"/>
        </w:rPr>
        <w:t xml:space="preserve">to be only an </w:t>
      </w:r>
      <w:r w:rsidR="005259CC">
        <w:rPr>
          <w:rFonts w:ascii="Avenir Next" w:hAnsi="Avenir Next"/>
          <w:color w:val="808080" w:themeColor="background1" w:themeShade="80"/>
          <w:szCs w:val="28"/>
        </w:rPr>
        <w:t>establishment</w:t>
      </w:r>
      <w:r>
        <w:rPr>
          <w:rFonts w:ascii="Avenir Next" w:hAnsi="Avenir Next"/>
          <w:color w:val="808080" w:themeColor="background1" w:themeShade="80"/>
          <w:szCs w:val="28"/>
        </w:rPr>
        <w:t xml:space="preserve"> of the Company as it could be described as it is in the European Insolvency Regulation: “</w:t>
      </w:r>
      <w:r>
        <w:rPr>
          <w:rFonts w:ascii="Avenir Next" w:hAnsi="Avenir Next"/>
          <w:i/>
          <w:iCs/>
          <w:color w:val="808080" w:themeColor="background1" w:themeShade="80"/>
          <w:szCs w:val="28"/>
        </w:rPr>
        <w:t>any place of operations where the debtor carries out a non-transitory economic activity with human means and goods or services.”</w:t>
      </w:r>
    </w:p>
    <w:p w14:paraId="7B5901D7" w14:textId="20A89D1A" w:rsidR="00B56139" w:rsidRDefault="00B56139" w:rsidP="00B56139">
      <w:pPr>
        <w:pStyle w:val="AODocTxt"/>
        <w:spacing w:before="0" w:line="240" w:lineRule="auto"/>
        <w:rPr>
          <w:rFonts w:ascii="Avenir Next" w:hAnsi="Avenir Next"/>
          <w:i/>
          <w:iCs/>
          <w:color w:val="808080" w:themeColor="background1" w:themeShade="80"/>
          <w:szCs w:val="28"/>
        </w:rPr>
      </w:pPr>
    </w:p>
    <w:p w14:paraId="7F9FBBFE" w14:textId="1FBBAA07" w:rsidR="00B56139" w:rsidRDefault="00B56139" w:rsidP="00B56139">
      <w:pPr>
        <w:pStyle w:val="AODocTxt"/>
        <w:spacing w:before="0" w:line="240" w:lineRule="auto"/>
        <w:rPr>
          <w:rFonts w:ascii="Avenir Next" w:hAnsi="Avenir Next"/>
          <w:color w:val="808080" w:themeColor="background1" w:themeShade="80"/>
          <w:szCs w:val="28"/>
        </w:rPr>
      </w:pPr>
      <w:r>
        <w:rPr>
          <w:rFonts w:ascii="Avenir Next" w:hAnsi="Avenir Next"/>
          <w:color w:val="808080" w:themeColor="background1" w:themeShade="80"/>
          <w:szCs w:val="28"/>
        </w:rPr>
        <w:t xml:space="preserve">The decision to establish the </w:t>
      </w:r>
      <w:r>
        <w:rPr>
          <w:rFonts w:ascii="Avenir Next" w:hAnsi="Avenir Next"/>
          <w:color w:val="808080" w:themeColor="background1" w:themeShade="80"/>
          <w:szCs w:val="28"/>
        </w:rPr>
        <w:t>Cayman Islands</w:t>
      </w:r>
      <w:r>
        <w:rPr>
          <w:rFonts w:ascii="Avenir Next" w:hAnsi="Avenir Next"/>
          <w:color w:val="808080" w:themeColor="background1" w:themeShade="80"/>
          <w:szCs w:val="28"/>
        </w:rPr>
        <w:t xml:space="preserve"> as an establishment or a COMI will </w:t>
      </w:r>
      <w:r w:rsidR="00656108">
        <w:rPr>
          <w:rFonts w:ascii="Avenir Next" w:hAnsi="Avenir Next"/>
          <w:color w:val="808080" w:themeColor="background1" w:themeShade="80"/>
          <w:szCs w:val="28"/>
        </w:rPr>
        <w:t>affect</w:t>
      </w:r>
      <w:r>
        <w:rPr>
          <w:rFonts w:ascii="Avenir Next" w:hAnsi="Avenir Next"/>
          <w:color w:val="808080" w:themeColor="background1" w:themeShade="80"/>
          <w:szCs w:val="28"/>
        </w:rPr>
        <w:t xml:space="preserve"> whether the chapter 15 can be filed as main or non-main proceedings as main proceedings can only be defined as where the company has its COMI, whereas non-main is for establishment. </w:t>
      </w:r>
      <w:r w:rsidR="005523FD">
        <w:rPr>
          <w:rFonts w:ascii="Avenir Next" w:hAnsi="Avenir Next"/>
          <w:color w:val="808080" w:themeColor="background1" w:themeShade="80"/>
          <w:szCs w:val="28"/>
        </w:rPr>
        <w:t>Due to the above factors listed out which feeds into the COMI, it’s more likely that the COMI will be found to be the U.S., and therefore the Company should file for recognition in the US as a non-main foreign proceeding.</w:t>
      </w:r>
      <w:r w:rsidR="00DC7974">
        <w:rPr>
          <w:rFonts w:ascii="Avenir Next" w:hAnsi="Avenir Next"/>
          <w:color w:val="808080" w:themeColor="background1" w:themeShade="80"/>
          <w:szCs w:val="28"/>
        </w:rPr>
        <w:t xml:space="preserve"> If the Company wants further clarity on this </w:t>
      </w:r>
      <w:r w:rsidR="00656108">
        <w:rPr>
          <w:rFonts w:ascii="Avenir Next" w:hAnsi="Avenir Next"/>
          <w:color w:val="808080" w:themeColor="background1" w:themeShade="80"/>
          <w:szCs w:val="28"/>
        </w:rPr>
        <w:t>point,</w:t>
      </w:r>
      <w:r w:rsidR="00DC7974">
        <w:rPr>
          <w:rFonts w:ascii="Avenir Next" w:hAnsi="Avenir Next"/>
          <w:color w:val="808080" w:themeColor="background1" w:themeShade="80"/>
          <w:szCs w:val="28"/>
        </w:rPr>
        <w:t xml:space="preserve"> they should engage local U.S. counsel to advise them on the matter.</w:t>
      </w:r>
    </w:p>
    <w:p w14:paraId="074D5F36" w14:textId="3E4A410E" w:rsidR="005523FD" w:rsidRDefault="005523FD" w:rsidP="00B56139">
      <w:pPr>
        <w:pStyle w:val="AODocTxt"/>
        <w:spacing w:before="0" w:line="240" w:lineRule="auto"/>
        <w:rPr>
          <w:rFonts w:ascii="Avenir Next" w:hAnsi="Avenir Next"/>
          <w:color w:val="808080" w:themeColor="background1" w:themeShade="80"/>
          <w:szCs w:val="28"/>
        </w:rPr>
      </w:pPr>
    </w:p>
    <w:p w14:paraId="0A1CA1FF" w14:textId="77777777" w:rsidR="00DC7974" w:rsidRPr="00DC7974" w:rsidRDefault="00DC7974" w:rsidP="00DC7974">
      <w:pPr>
        <w:jc w:val="both"/>
        <w:rPr>
          <w:rFonts w:ascii="Avenir Next" w:hAnsi="Avenir Next"/>
          <w:color w:val="808080" w:themeColor="background1" w:themeShade="80"/>
          <w:sz w:val="22"/>
          <w:szCs w:val="28"/>
        </w:rPr>
      </w:pPr>
      <w:r w:rsidRPr="00DC7974">
        <w:rPr>
          <w:rFonts w:ascii="Avenir Next" w:hAnsi="Avenir Next"/>
          <w:color w:val="808080" w:themeColor="background1" w:themeShade="80"/>
          <w:sz w:val="22"/>
          <w:szCs w:val="28"/>
        </w:rPr>
        <w:t>To seek recognition of the non-main foreign proceeding in the U.S., Globe Holdings must submit the following documents:</w:t>
      </w:r>
    </w:p>
    <w:p w14:paraId="4B17FD48" w14:textId="77777777" w:rsidR="00DC7974" w:rsidRDefault="00DC7974" w:rsidP="00602AFE">
      <w:pPr>
        <w:pStyle w:val="ListParagraph"/>
        <w:numPr>
          <w:ilvl w:val="0"/>
          <w:numId w:val="18"/>
        </w:numPr>
        <w:jc w:val="both"/>
        <w:rPr>
          <w:rFonts w:ascii="Avenir Next" w:hAnsi="Avenir Next"/>
          <w:color w:val="808080" w:themeColor="background1" w:themeShade="80"/>
          <w:sz w:val="22"/>
          <w:szCs w:val="28"/>
        </w:rPr>
      </w:pPr>
      <w:r w:rsidRPr="00DC7974">
        <w:rPr>
          <w:rFonts w:ascii="Avenir Next" w:hAnsi="Avenir Next"/>
          <w:color w:val="808080" w:themeColor="background1" w:themeShade="80"/>
          <w:sz w:val="22"/>
          <w:szCs w:val="28"/>
        </w:rPr>
        <w:t>A certified copy of the decision initiating the foreign proceeding and designating a foreign representative; OR</w:t>
      </w:r>
    </w:p>
    <w:p w14:paraId="6F5F0D4B" w14:textId="77777777" w:rsidR="00DC7974" w:rsidRDefault="00DC7974" w:rsidP="00602AFE">
      <w:pPr>
        <w:pStyle w:val="ListParagraph"/>
        <w:numPr>
          <w:ilvl w:val="0"/>
          <w:numId w:val="18"/>
        </w:numPr>
        <w:jc w:val="both"/>
        <w:rPr>
          <w:rFonts w:ascii="Avenir Next" w:hAnsi="Avenir Next"/>
          <w:color w:val="808080" w:themeColor="background1" w:themeShade="80"/>
          <w:sz w:val="22"/>
          <w:szCs w:val="28"/>
        </w:rPr>
      </w:pPr>
      <w:r w:rsidRPr="00DC7974">
        <w:rPr>
          <w:rFonts w:ascii="Avenir Next" w:hAnsi="Avenir Next"/>
          <w:color w:val="808080" w:themeColor="background1" w:themeShade="80"/>
          <w:sz w:val="22"/>
          <w:szCs w:val="28"/>
        </w:rPr>
        <w:t>A</w:t>
      </w:r>
      <w:r w:rsidRPr="00DC7974">
        <w:rPr>
          <w:rFonts w:ascii="Avenir Next" w:hAnsi="Avenir Next"/>
          <w:color w:val="808080" w:themeColor="background1" w:themeShade="80"/>
          <w:sz w:val="22"/>
          <w:szCs w:val="28"/>
        </w:rPr>
        <w:t xml:space="preserve"> certificate from the foreign court confirming the existence of the foreign proceeding and the appointment of the foreign representative; OR</w:t>
      </w:r>
    </w:p>
    <w:p w14:paraId="72706DE7" w14:textId="53A4ABC9" w:rsidR="00DC7974" w:rsidRPr="00DC7974" w:rsidRDefault="00DC7974" w:rsidP="00602AFE">
      <w:pPr>
        <w:pStyle w:val="ListParagraph"/>
        <w:numPr>
          <w:ilvl w:val="0"/>
          <w:numId w:val="18"/>
        </w:numPr>
        <w:jc w:val="both"/>
        <w:rPr>
          <w:rFonts w:ascii="Avenir Next" w:hAnsi="Avenir Next"/>
          <w:color w:val="808080" w:themeColor="background1" w:themeShade="80"/>
          <w:sz w:val="22"/>
          <w:szCs w:val="28"/>
        </w:rPr>
      </w:pPr>
      <w:r w:rsidRPr="00DC7974">
        <w:rPr>
          <w:rFonts w:ascii="Avenir Next" w:hAnsi="Avenir Next"/>
          <w:color w:val="808080" w:themeColor="background1" w:themeShade="80"/>
          <w:sz w:val="22"/>
          <w:szCs w:val="28"/>
        </w:rPr>
        <w:t>In the absence of the above evidence, any other admissible evidence demonstrating the existence of the foreign proceeding and the appointment of the foreign representative.</w:t>
      </w:r>
    </w:p>
    <w:p w14:paraId="5E351E51" w14:textId="77777777" w:rsidR="00DC7974" w:rsidRPr="00DC7974" w:rsidRDefault="00DC7974" w:rsidP="00DC7974">
      <w:pPr>
        <w:jc w:val="both"/>
        <w:rPr>
          <w:rFonts w:ascii="Avenir Next" w:hAnsi="Avenir Next"/>
          <w:color w:val="808080" w:themeColor="background1" w:themeShade="80"/>
          <w:sz w:val="22"/>
          <w:szCs w:val="28"/>
        </w:rPr>
      </w:pPr>
      <w:r w:rsidRPr="00DC7974">
        <w:rPr>
          <w:rFonts w:ascii="Avenir Next" w:hAnsi="Avenir Next"/>
          <w:color w:val="808080" w:themeColor="background1" w:themeShade="80"/>
          <w:sz w:val="22"/>
          <w:szCs w:val="28"/>
        </w:rPr>
        <w:t>Additionally:</w:t>
      </w:r>
    </w:p>
    <w:p w14:paraId="5FB659FD" w14:textId="77777777" w:rsidR="00DC7974" w:rsidRDefault="00DC7974" w:rsidP="00602AFE">
      <w:pPr>
        <w:pStyle w:val="ListParagraph"/>
        <w:numPr>
          <w:ilvl w:val="0"/>
          <w:numId w:val="18"/>
        </w:numPr>
        <w:jc w:val="both"/>
        <w:rPr>
          <w:rFonts w:ascii="Avenir Next" w:hAnsi="Avenir Next"/>
          <w:color w:val="808080" w:themeColor="background1" w:themeShade="80"/>
          <w:sz w:val="22"/>
          <w:szCs w:val="28"/>
        </w:rPr>
      </w:pPr>
      <w:r w:rsidRPr="00DC7974">
        <w:rPr>
          <w:rFonts w:ascii="Avenir Next" w:hAnsi="Avenir Next"/>
          <w:color w:val="808080" w:themeColor="background1" w:themeShade="80"/>
          <w:sz w:val="22"/>
          <w:szCs w:val="28"/>
        </w:rPr>
        <w:lastRenderedPageBreak/>
        <w:t>A statement detailing all known foreign proceedings related to the debtor must accompany the recognition application.</w:t>
      </w:r>
    </w:p>
    <w:p w14:paraId="3D64CD68" w14:textId="4FF406D1" w:rsidR="00DC7974" w:rsidRPr="00DC7974" w:rsidRDefault="00DC7974" w:rsidP="00602AFE">
      <w:pPr>
        <w:pStyle w:val="ListParagraph"/>
        <w:numPr>
          <w:ilvl w:val="0"/>
          <w:numId w:val="18"/>
        </w:numPr>
        <w:jc w:val="both"/>
        <w:rPr>
          <w:rFonts w:ascii="Avenir Next" w:hAnsi="Avenir Next"/>
          <w:color w:val="808080" w:themeColor="background1" w:themeShade="80"/>
          <w:sz w:val="22"/>
          <w:szCs w:val="28"/>
        </w:rPr>
      </w:pPr>
      <w:r w:rsidRPr="00DC7974">
        <w:rPr>
          <w:rFonts w:ascii="Avenir Next" w:hAnsi="Avenir Next"/>
          <w:color w:val="808080" w:themeColor="background1" w:themeShade="80"/>
          <w:sz w:val="22"/>
          <w:szCs w:val="28"/>
        </w:rPr>
        <w:t>While the court may request translations of supporting documents into an official language of the enacting State, this is unlikely given that both the Cayman Islands and the U.S. predominantly use English as their main language.</w:t>
      </w:r>
    </w:p>
    <w:p w14:paraId="220EBC60" w14:textId="77777777" w:rsidR="00F008E1" w:rsidRDefault="00F008E1" w:rsidP="009E3CA7">
      <w:pPr>
        <w:jc w:val="both"/>
        <w:rPr>
          <w:rFonts w:ascii="Avenir Next" w:hAnsi="Avenir Next"/>
          <w:color w:val="808080" w:themeColor="background1" w:themeShade="80"/>
          <w:sz w:val="22"/>
          <w:szCs w:val="28"/>
        </w:rPr>
      </w:pPr>
    </w:p>
    <w:p w14:paraId="4F67CF11" w14:textId="5EA1838D" w:rsidR="00656108" w:rsidRDefault="00C65EBA" w:rsidP="00C65EBA">
      <w:pPr>
        <w:pStyle w:val="AODocTxt"/>
        <w:spacing w:before="0" w:line="240" w:lineRule="auto"/>
        <w:rPr>
          <w:rFonts w:ascii="Avenir Next" w:hAnsi="Avenir Next"/>
          <w:color w:val="808080" w:themeColor="background1" w:themeShade="80"/>
          <w:szCs w:val="28"/>
        </w:rPr>
      </w:pPr>
      <w:r>
        <w:rPr>
          <w:rFonts w:ascii="Avenir Next" w:hAnsi="Avenir Next"/>
          <w:color w:val="808080" w:themeColor="background1" w:themeShade="80"/>
          <w:szCs w:val="28"/>
        </w:rPr>
        <w:t>Due to the proceeding being non-main, t</w:t>
      </w:r>
      <w:r>
        <w:rPr>
          <w:rFonts w:ascii="Avenir Next" w:hAnsi="Avenir Next"/>
          <w:color w:val="808080" w:themeColor="background1" w:themeShade="80"/>
          <w:szCs w:val="28"/>
        </w:rPr>
        <w:t xml:space="preserve">his means that the recognition, if granted, would not include automatic relief but only discretionary post-recognition relief granted by the court. Urgent interim relief can be granted before the recognition decision after the application has been filed provided that </w:t>
      </w:r>
      <w:r w:rsidR="00656108">
        <w:rPr>
          <w:rFonts w:ascii="Avenir Next" w:hAnsi="Avenir Next"/>
          <w:color w:val="808080" w:themeColor="background1" w:themeShade="80"/>
          <w:szCs w:val="28"/>
        </w:rPr>
        <w:t>parties’</w:t>
      </w:r>
      <w:r>
        <w:rPr>
          <w:rFonts w:ascii="Avenir Next" w:hAnsi="Avenir Next"/>
          <w:color w:val="808080" w:themeColor="background1" w:themeShade="80"/>
          <w:szCs w:val="28"/>
        </w:rPr>
        <w:t xml:space="preserve"> interests are aligned and protected</w:t>
      </w:r>
      <w:r w:rsidR="00656108">
        <w:rPr>
          <w:rFonts w:ascii="Avenir Next" w:hAnsi="Avenir Next"/>
          <w:color w:val="808080" w:themeColor="background1" w:themeShade="80"/>
          <w:szCs w:val="28"/>
        </w:rPr>
        <w:t xml:space="preserve"> under article 19</w:t>
      </w:r>
      <w:r>
        <w:rPr>
          <w:rFonts w:ascii="Avenir Next" w:hAnsi="Avenir Next"/>
          <w:color w:val="808080" w:themeColor="background1" w:themeShade="80"/>
          <w:szCs w:val="28"/>
        </w:rPr>
        <w:t>.</w:t>
      </w:r>
      <w:r w:rsidR="00176766">
        <w:rPr>
          <w:rFonts w:ascii="Avenir Next" w:hAnsi="Avenir Next"/>
          <w:color w:val="808080" w:themeColor="background1" w:themeShade="80"/>
          <w:szCs w:val="28"/>
        </w:rPr>
        <w:t xml:space="preserve"> </w:t>
      </w:r>
    </w:p>
    <w:p w14:paraId="5FD4575A" w14:textId="77200177" w:rsidR="00F008E1" w:rsidRDefault="00656108"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It should be acknowledged that to grant this the court needs to be satisfied that the interests of the creditors and the parties are protected and can subject relief to conditions it considers appropriate and can also terminate the relief.</w:t>
      </w:r>
    </w:p>
    <w:p w14:paraId="21E538CE" w14:textId="18D3154B" w:rsidR="00656108" w:rsidRDefault="00656108"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This relief can include:</w:t>
      </w:r>
    </w:p>
    <w:p w14:paraId="00DCD757" w14:textId="77777777" w:rsidR="00FE70D3" w:rsidRDefault="00FE70D3" w:rsidP="00602AFE">
      <w:pPr>
        <w:pStyle w:val="ListParagraph"/>
        <w:numPr>
          <w:ilvl w:val="0"/>
          <w:numId w:val="18"/>
        </w:numPr>
        <w:jc w:val="both"/>
        <w:rPr>
          <w:rFonts w:ascii="Avenir Next" w:hAnsi="Avenir Next"/>
          <w:color w:val="808080" w:themeColor="background1" w:themeShade="80"/>
          <w:sz w:val="22"/>
          <w:szCs w:val="28"/>
        </w:rPr>
      </w:pPr>
      <w:r w:rsidRPr="00FE70D3">
        <w:rPr>
          <w:rFonts w:ascii="Avenir Next" w:hAnsi="Avenir Next"/>
          <w:color w:val="808080" w:themeColor="background1" w:themeShade="80"/>
          <w:sz w:val="22"/>
          <w:szCs w:val="28"/>
        </w:rPr>
        <w:t>A stay of execution against the debtor's assets.</w:t>
      </w:r>
    </w:p>
    <w:p w14:paraId="364FD8D4" w14:textId="77777777" w:rsidR="00FE70D3" w:rsidRDefault="00FE70D3" w:rsidP="00602AFE">
      <w:pPr>
        <w:pStyle w:val="ListParagraph"/>
        <w:numPr>
          <w:ilvl w:val="0"/>
          <w:numId w:val="18"/>
        </w:numPr>
        <w:jc w:val="both"/>
        <w:rPr>
          <w:rFonts w:ascii="Avenir Next" w:hAnsi="Avenir Next"/>
          <w:color w:val="808080" w:themeColor="background1" w:themeShade="80"/>
          <w:sz w:val="22"/>
          <w:szCs w:val="28"/>
        </w:rPr>
      </w:pPr>
      <w:r w:rsidRPr="00FE70D3">
        <w:rPr>
          <w:rFonts w:ascii="Avenir Next" w:hAnsi="Avenir Next"/>
          <w:color w:val="808080" w:themeColor="background1" w:themeShade="80"/>
          <w:sz w:val="22"/>
          <w:szCs w:val="28"/>
        </w:rPr>
        <w:t>Suspending the right to transfer, encumber, or otherwise dispose of any assets of the debtor.</w:t>
      </w:r>
    </w:p>
    <w:p w14:paraId="64DD6807" w14:textId="77777777" w:rsidR="00FE70D3" w:rsidRDefault="00FE70D3" w:rsidP="00602AFE">
      <w:pPr>
        <w:pStyle w:val="ListParagraph"/>
        <w:numPr>
          <w:ilvl w:val="0"/>
          <w:numId w:val="18"/>
        </w:numPr>
        <w:jc w:val="both"/>
        <w:rPr>
          <w:rFonts w:ascii="Avenir Next" w:hAnsi="Avenir Next"/>
          <w:color w:val="808080" w:themeColor="background1" w:themeShade="80"/>
          <w:sz w:val="22"/>
          <w:szCs w:val="28"/>
        </w:rPr>
      </w:pPr>
      <w:r w:rsidRPr="00FE70D3">
        <w:rPr>
          <w:rFonts w:ascii="Avenir Next" w:hAnsi="Avenir Next"/>
          <w:color w:val="808080" w:themeColor="background1" w:themeShade="80"/>
          <w:sz w:val="22"/>
          <w:szCs w:val="28"/>
        </w:rPr>
        <w:t>Entrusting the administration or realization of all or part of the debtor's assets located in the enacting State to the foreign representative or another person designated by the court. This is to protect and preserve the value of assets that, by their nature or because of other circumstances, are perishable, susceptible to devaluation, or otherwise in jeopardy.</w:t>
      </w:r>
    </w:p>
    <w:p w14:paraId="1C5F6991" w14:textId="77777777" w:rsidR="00FE70D3" w:rsidRDefault="00FE70D3" w:rsidP="00602AFE">
      <w:pPr>
        <w:pStyle w:val="ListParagraph"/>
        <w:numPr>
          <w:ilvl w:val="0"/>
          <w:numId w:val="18"/>
        </w:numPr>
        <w:jc w:val="both"/>
        <w:rPr>
          <w:rFonts w:ascii="Avenir Next" w:hAnsi="Avenir Next"/>
          <w:color w:val="808080" w:themeColor="background1" w:themeShade="80"/>
          <w:sz w:val="22"/>
          <w:szCs w:val="28"/>
        </w:rPr>
      </w:pPr>
      <w:r w:rsidRPr="00FE70D3">
        <w:rPr>
          <w:rFonts w:ascii="Avenir Next" w:hAnsi="Avenir Next"/>
          <w:color w:val="808080" w:themeColor="background1" w:themeShade="80"/>
          <w:sz w:val="22"/>
          <w:szCs w:val="28"/>
        </w:rPr>
        <w:t>Providing for the examination of witnesses, the taking of evidence, or the delivery of information concerning the debtor's assets, affairs, rights, obligations, and liabilities.</w:t>
      </w:r>
    </w:p>
    <w:p w14:paraId="0190F259" w14:textId="4FB98CE7" w:rsidR="00FE70D3" w:rsidRPr="00FE70D3" w:rsidRDefault="00FE70D3" w:rsidP="00602AFE">
      <w:pPr>
        <w:pStyle w:val="ListParagraph"/>
        <w:numPr>
          <w:ilvl w:val="0"/>
          <w:numId w:val="18"/>
        </w:numPr>
        <w:jc w:val="both"/>
        <w:rPr>
          <w:rFonts w:ascii="Avenir Next" w:hAnsi="Avenir Next"/>
          <w:color w:val="808080" w:themeColor="background1" w:themeShade="80"/>
          <w:sz w:val="22"/>
          <w:szCs w:val="28"/>
        </w:rPr>
      </w:pPr>
      <w:r w:rsidRPr="00FE70D3">
        <w:rPr>
          <w:rFonts w:ascii="Avenir Next" w:hAnsi="Avenir Next"/>
          <w:color w:val="808080" w:themeColor="background1" w:themeShade="80"/>
          <w:sz w:val="22"/>
          <w:szCs w:val="28"/>
        </w:rPr>
        <w:t>Granting any additional relief that may be available to a domestic liquidator or office holder under the laws of the enacting State.</w:t>
      </w:r>
    </w:p>
    <w:p w14:paraId="3AD84D80" w14:textId="5F3CB544" w:rsidR="00FE70D3" w:rsidRPr="00FE70D3" w:rsidRDefault="00FE70D3" w:rsidP="00FE70D3">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stay of execution would enable the Company to stay the class action which is brewing against them, this would protecting the restructuring process and allow for the foreign representative to continue with the process without the risk of outside litigation.</w:t>
      </w:r>
    </w:p>
    <w:p w14:paraId="48FF3435" w14:textId="7D68183C" w:rsidR="00F008E1" w:rsidRDefault="00743EEB"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Alternatively, the foreign representative could apply for a stay of actions which would provide the same protection against the potential class action.</w:t>
      </w:r>
    </w:p>
    <w:p w14:paraId="0C9E07BD" w14:textId="7F433C17" w:rsidR="00F008E1" w:rsidRDefault="00743EEB"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suspension of right to transfer under article 19 will also protect Globe Holdings against any changes which may affect the reorganization, particularly in relation to the sale of any assets which could alter the opinions of those who voted in favor of the reorganization and spur them to file a complaint against it which could affect the court’s decision on relief and recognition granted.</w:t>
      </w:r>
    </w:p>
    <w:p w14:paraId="5F746259" w14:textId="77777777" w:rsidR="00F008E1" w:rsidRDefault="00F008E1" w:rsidP="009E3CA7">
      <w:pPr>
        <w:jc w:val="both"/>
        <w:rPr>
          <w:rFonts w:ascii="Avenir Next" w:hAnsi="Avenir Next"/>
          <w:color w:val="808080" w:themeColor="background1" w:themeShade="80"/>
          <w:sz w:val="22"/>
          <w:szCs w:val="28"/>
        </w:rPr>
      </w:pPr>
    </w:p>
    <w:p w14:paraId="558143F6" w14:textId="7B0AF8EE" w:rsidR="00F008E1" w:rsidRDefault="00FC0697"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Further cohesion of the insolvency proceeding could be gained by invoking article 25 which mandates co-operation from foreign courts and representatives, this would assist Globe Holdings with ensuring communication and assistance form the U.S. court. </w:t>
      </w:r>
    </w:p>
    <w:p w14:paraId="6EFCBBC4" w14:textId="257028D3" w:rsidR="00FC0697" w:rsidRDefault="00FC0697" w:rsidP="009E3CA7">
      <w:pPr>
        <w:jc w:val="both"/>
        <w:rPr>
          <w:rFonts w:ascii="Avenir Next" w:hAnsi="Avenir Next"/>
          <w:color w:val="808080" w:themeColor="background1" w:themeShade="80"/>
          <w:sz w:val="22"/>
          <w:szCs w:val="28"/>
        </w:rPr>
      </w:pPr>
    </w:p>
    <w:p w14:paraId="1C0BB16F" w14:textId="04DB8AAB" w:rsidR="00E2712E" w:rsidRDefault="00370F82" w:rsidP="00E2712E">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completion of all of these steps should ensure a successful outcome of the insolvency proceeding for Globe Holdings.</w:t>
      </w:r>
    </w:p>
    <w:p w14:paraId="0C5BE2EF" w14:textId="5E4B459C" w:rsidR="00E2712E" w:rsidRDefault="00E2712E" w:rsidP="00E2712E">
      <w:pPr>
        <w:jc w:val="both"/>
        <w:rPr>
          <w:rFonts w:ascii="Avenir Next" w:hAnsi="Avenir Next"/>
          <w:color w:val="808080" w:themeColor="background1" w:themeShade="80"/>
          <w:sz w:val="22"/>
          <w:szCs w:val="28"/>
        </w:rPr>
      </w:pPr>
    </w:p>
    <w:bookmarkEnd w:id="2"/>
    <w:p w14:paraId="14B36CEB" w14:textId="42661D55" w:rsidR="002B1AC6" w:rsidRDefault="002B1AC6" w:rsidP="0080011A">
      <w:pPr>
        <w:jc w:val="both"/>
        <w:rPr>
          <w:rFonts w:ascii="Avenir Next" w:hAnsi="Avenir Next"/>
          <w:color w:val="808080" w:themeColor="background1" w:themeShade="80"/>
          <w:sz w:val="22"/>
          <w:szCs w:val="28"/>
        </w:rPr>
      </w:pPr>
    </w:p>
    <w:p w14:paraId="628014ED" w14:textId="66AFBA23" w:rsidR="002B1AC6" w:rsidRDefault="002B1AC6" w:rsidP="0080011A">
      <w:pPr>
        <w:jc w:val="both"/>
        <w:rPr>
          <w:rFonts w:ascii="Avenir Next" w:hAnsi="Avenir Next"/>
          <w:color w:val="808080" w:themeColor="background1" w:themeShade="80"/>
          <w:sz w:val="22"/>
          <w:szCs w:val="28"/>
        </w:rPr>
      </w:pPr>
    </w:p>
    <w:p w14:paraId="7E84BC15" w14:textId="77777777" w:rsidR="002B1AC6" w:rsidRDefault="002B1AC6" w:rsidP="0080011A">
      <w:pPr>
        <w:jc w:val="both"/>
        <w:rPr>
          <w:rFonts w:ascii="Avenir Next" w:hAnsi="Avenir Next"/>
          <w:sz w:val="22"/>
          <w:szCs w:val="28"/>
        </w:rPr>
      </w:pPr>
    </w:p>
    <w:p w14:paraId="6D8F5E51" w14:textId="77777777" w:rsidR="0077498C" w:rsidRPr="0080011A" w:rsidRDefault="0077498C" w:rsidP="00707FC8">
      <w:pPr>
        <w:jc w:val="both"/>
        <w:rPr>
          <w:rFonts w:ascii="Avenir Next" w:hAnsi="Avenir Next" w:cs="Arial"/>
          <w:color w:val="000000" w:themeColor="text1"/>
          <w:sz w:val="22"/>
          <w:szCs w:val="22"/>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2548E" w14:textId="77777777" w:rsidR="00B65609" w:rsidRDefault="00B65609" w:rsidP="00241B44">
      <w:r>
        <w:separator/>
      </w:r>
    </w:p>
  </w:endnote>
  <w:endnote w:type="continuationSeparator" w:id="0">
    <w:p w14:paraId="4C4B9EFE" w14:textId="77777777" w:rsidR="00B65609" w:rsidRDefault="00B6560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0B92E064"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602AFE">
          <w:rPr>
            <w:rStyle w:val="PageNumber"/>
          </w:rPr>
          <w:fldChar w:fldCharType="separate"/>
        </w:r>
        <w:r w:rsidR="00602AFE">
          <w:rPr>
            <w:rStyle w:val="PageNumber"/>
            <w:noProof/>
          </w:rPr>
          <w:t>3</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0E9D0072" w:rsidR="000300E0" w:rsidRPr="00B46CE2" w:rsidRDefault="00602AFE" w:rsidP="000300E0">
    <w:pPr>
      <w:pStyle w:val="Footer"/>
      <w:ind w:right="360"/>
      <w:rPr>
        <w:rFonts w:ascii="Avenir Next" w:hAnsi="Avenir Next"/>
        <w:sz w:val="22"/>
        <w:szCs w:val="22"/>
      </w:rPr>
    </w:pPr>
    <w:r w:rsidRPr="00602AFE">
      <w:rPr>
        <w:rFonts w:ascii="Avenir Next" w:hAnsi="Avenir Next"/>
        <w:sz w:val="22"/>
        <w:szCs w:val="22"/>
      </w:rPr>
      <w:t>FC202324-1465</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353EA" w14:textId="77777777" w:rsidR="00B65609" w:rsidRDefault="00B65609" w:rsidP="00241B44">
      <w:r>
        <w:separator/>
      </w:r>
    </w:p>
  </w:footnote>
  <w:footnote w:type="continuationSeparator" w:id="0">
    <w:p w14:paraId="52AE265A" w14:textId="77777777" w:rsidR="00B65609" w:rsidRDefault="00B6560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217085D"/>
    <w:multiLevelType w:val="hybridMultilevel"/>
    <w:tmpl w:val="518842C4"/>
    <w:lvl w:ilvl="0" w:tplc="A20C3F28">
      <w:numFmt w:val="bullet"/>
      <w:lvlText w:val="-"/>
      <w:lvlJc w:val="left"/>
      <w:pPr>
        <w:ind w:left="720" w:hanging="360"/>
      </w:pPr>
      <w:rPr>
        <w:rFonts w:ascii="Avenir Next" w:eastAsia="Times New Roman" w:hAnsi="Avenir Nex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48598104">
    <w:abstractNumId w:val="13"/>
  </w:num>
  <w:num w:numId="2" w16cid:durableId="1164055646">
    <w:abstractNumId w:val="6"/>
  </w:num>
  <w:num w:numId="3" w16cid:durableId="970591766">
    <w:abstractNumId w:val="2"/>
  </w:num>
  <w:num w:numId="4" w16cid:durableId="1327175081">
    <w:abstractNumId w:val="17"/>
  </w:num>
  <w:num w:numId="5" w16cid:durableId="998270126">
    <w:abstractNumId w:val="16"/>
  </w:num>
  <w:num w:numId="6" w16cid:durableId="657656171">
    <w:abstractNumId w:val="15"/>
  </w:num>
  <w:num w:numId="7" w16cid:durableId="1116829249">
    <w:abstractNumId w:val="4"/>
  </w:num>
  <w:num w:numId="8" w16cid:durableId="1055274873">
    <w:abstractNumId w:val="5"/>
  </w:num>
  <w:num w:numId="9" w16cid:durableId="790785319">
    <w:abstractNumId w:val="11"/>
  </w:num>
  <w:num w:numId="10" w16cid:durableId="59720369">
    <w:abstractNumId w:val="10"/>
  </w:num>
  <w:num w:numId="11" w16cid:durableId="1379276728">
    <w:abstractNumId w:val="3"/>
  </w:num>
  <w:num w:numId="12" w16cid:durableId="921179279">
    <w:abstractNumId w:val="8"/>
  </w:num>
  <w:num w:numId="13" w16cid:durableId="1060514793">
    <w:abstractNumId w:val="9"/>
  </w:num>
  <w:num w:numId="14" w16cid:durableId="64230155">
    <w:abstractNumId w:val="1"/>
  </w:num>
  <w:num w:numId="15" w16cid:durableId="1681084025">
    <w:abstractNumId w:val="0"/>
  </w:num>
  <w:num w:numId="16" w16cid:durableId="1275090443">
    <w:abstractNumId w:val="7"/>
  </w:num>
  <w:num w:numId="17" w16cid:durableId="269969236">
    <w:abstractNumId w:val="14"/>
  </w:num>
  <w:num w:numId="18" w16cid:durableId="357857096">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65B"/>
    <w:rsid w:val="00020557"/>
    <w:rsid w:val="00021F84"/>
    <w:rsid w:val="000232A1"/>
    <w:rsid w:val="000250C7"/>
    <w:rsid w:val="00025CCF"/>
    <w:rsid w:val="000300E0"/>
    <w:rsid w:val="0003114A"/>
    <w:rsid w:val="000352C1"/>
    <w:rsid w:val="0003619C"/>
    <w:rsid w:val="0003743B"/>
    <w:rsid w:val="00037621"/>
    <w:rsid w:val="00044D46"/>
    <w:rsid w:val="00045088"/>
    <w:rsid w:val="00045904"/>
    <w:rsid w:val="000464F7"/>
    <w:rsid w:val="0005141D"/>
    <w:rsid w:val="00060E02"/>
    <w:rsid w:val="00065166"/>
    <w:rsid w:val="00066BBA"/>
    <w:rsid w:val="00067A88"/>
    <w:rsid w:val="00070B92"/>
    <w:rsid w:val="0007201C"/>
    <w:rsid w:val="00073474"/>
    <w:rsid w:val="00077D49"/>
    <w:rsid w:val="00077E38"/>
    <w:rsid w:val="00082609"/>
    <w:rsid w:val="00083B38"/>
    <w:rsid w:val="000851CC"/>
    <w:rsid w:val="00093BE8"/>
    <w:rsid w:val="000A68ED"/>
    <w:rsid w:val="000B3FE6"/>
    <w:rsid w:val="000B4FEB"/>
    <w:rsid w:val="000B5FF1"/>
    <w:rsid w:val="000B609F"/>
    <w:rsid w:val="000C147F"/>
    <w:rsid w:val="000C6BB9"/>
    <w:rsid w:val="000D32A9"/>
    <w:rsid w:val="000D4117"/>
    <w:rsid w:val="000D55A8"/>
    <w:rsid w:val="000E4841"/>
    <w:rsid w:val="000E6325"/>
    <w:rsid w:val="000F1677"/>
    <w:rsid w:val="000F3D6C"/>
    <w:rsid w:val="000F579C"/>
    <w:rsid w:val="00100E8F"/>
    <w:rsid w:val="00101707"/>
    <w:rsid w:val="00101A9E"/>
    <w:rsid w:val="001021C6"/>
    <w:rsid w:val="00114082"/>
    <w:rsid w:val="0011473D"/>
    <w:rsid w:val="00115C85"/>
    <w:rsid w:val="00123855"/>
    <w:rsid w:val="00126A4D"/>
    <w:rsid w:val="00126E19"/>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76766"/>
    <w:rsid w:val="00180548"/>
    <w:rsid w:val="00180AC4"/>
    <w:rsid w:val="00180CCE"/>
    <w:rsid w:val="00182648"/>
    <w:rsid w:val="0018267A"/>
    <w:rsid w:val="00182779"/>
    <w:rsid w:val="001830DF"/>
    <w:rsid w:val="00190FD2"/>
    <w:rsid w:val="00191C52"/>
    <w:rsid w:val="001966D9"/>
    <w:rsid w:val="001A24E7"/>
    <w:rsid w:val="001A2B78"/>
    <w:rsid w:val="001A77C4"/>
    <w:rsid w:val="001A7E9A"/>
    <w:rsid w:val="001B0F70"/>
    <w:rsid w:val="001B5016"/>
    <w:rsid w:val="001C0188"/>
    <w:rsid w:val="001C45FC"/>
    <w:rsid w:val="001D02C5"/>
    <w:rsid w:val="001D4862"/>
    <w:rsid w:val="001D5B8A"/>
    <w:rsid w:val="001E25B9"/>
    <w:rsid w:val="001E49E0"/>
    <w:rsid w:val="001E60C3"/>
    <w:rsid w:val="001E7B5A"/>
    <w:rsid w:val="001F7412"/>
    <w:rsid w:val="00200FDD"/>
    <w:rsid w:val="00201874"/>
    <w:rsid w:val="00202133"/>
    <w:rsid w:val="0020264E"/>
    <w:rsid w:val="0020725B"/>
    <w:rsid w:val="002175BA"/>
    <w:rsid w:val="0022599E"/>
    <w:rsid w:val="00227C5E"/>
    <w:rsid w:val="002305E8"/>
    <w:rsid w:val="0023198D"/>
    <w:rsid w:val="0023317E"/>
    <w:rsid w:val="00234F2C"/>
    <w:rsid w:val="00240B0E"/>
    <w:rsid w:val="00240B46"/>
    <w:rsid w:val="0024116D"/>
    <w:rsid w:val="00241B44"/>
    <w:rsid w:val="00245EFB"/>
    <w:rsid w:val="00250E19"/>
    <w:rsid w:val="0025386E"/>
    <w:rsid w:val="002539D7"/>
    <w:rsid w:val="002560A4"/>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9FB"/>
    <w:rsid w:val="002A2A60"/>
    <w:rsid w:val="002B1AC6"/>
    <w:rsid w:val="002B1C45"/>
    <w:rsid w:val="002C13C8"/>
    <w:rsid w:val="002C3547"/>
    <w:rsid w:val="002D0021"/>
    <w:rsid w:val="002D3473"/>
    <w:rsid w:val="002D5C95"/>
    <w:rsid w:val="002E00F8"/>
    <w:rsid w:val="002E1BB5"/>
    <w:rsid w:val="002E2322"/>
    <w:rsid w:val="002E38E2"/>
    <w:rsid w:val="002F0B55"/>
    <w:rsid w:val="002F1956"/>
    <w:rsid w:val="002F3440"/>
    <w:rsid w:val="002F4EC0"/>
    <w:rsid w:val="002F59F2"/>
    <w:rsid w:val="002F71BE"/>
    <w:rsid w:val="002F75A3"/>
    <w:rsid w:val="002F78CA"/>
    <w:rsid w:val="00303C2F"/>
    <w:rsid w:val="00305CF2"/>
    <w:rsid w:val="00312911"/>
    <w:rsid w:val="003144EF"/>
    <w:rsid w:val="003148CA"/>
    <w:rsid w:val="00315506"/>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6B16"/>
    <w:rsid w:val="00357A8B"/>
    <w:rsid w:val="00361A0A"/>
    <w:rsid w:val="00363FB4"/>
    <w:rsid w:val="0036565C"/>
    <w:rsid w:val="0036625E"/>
    <w:rsid w:val="0036760B"/>
    <w:rsid w:val="00370F82"/>
    <w:rsid w:val="0037465A"/>
    <w:rsid w:val="0037544E"/>
    <w:rsid w:val="00380BAB"/>
    <w:rsid w:val="00382C98"/>
    <w:rsid w:val="0038533C"/>
    <w:rsid w:val="00386568"/>
    <w:rsid w:val="00387106"/>
    <w:rsid w:val="00391F3E"/>
    <w:rsid w:val="003941E0"/>
    <w:rsid w:val="003948D5"/>
    <w:rsid w:val="003963D4"/>
    <w:rsid w:val="00396821"/>
    <w:rsid w:val="00397D3A"/>
    <w:rsid w:val="003A051E"/>
    <w:rsid w:val="003A2FEE"/>
    <w:rsid w:val="003B1310"/>
    <w:rsid w:val="003B170F"/>
    <w:rsid w:val="003B23A7"/>
    <w:rsid w:val="003B3C5F"/>
    <w:rsid w:val="003C089D"/>
    <w:rsid w:val="003C4471"/>
    <w:rsid w:val="003C66B1"/>
    <w:rsid w:val="003D0A6D"/>
    <w:rsid w:val="003E0B16"/>
    <w:rsid w:val="003E67D1"/>
    <w:rsid w:val="00405DC1"/>
    <w:rsid w:val="0040710D"/>
    <w:rsid w:val="0041139B"/>
    <w:rsid w:val="004137C3"/>
    <w:rsid w:val="00413D3A"/>
    <w:rsid w:val="00415F1F"/>
    <w:rsid w:val="00417B0F"/>
    <w:rsid w:val="0042108F"/>
    <w:rsid w:val="00422242"/>
    <w:rsid w:val="00424D07"/>
    <w:rsid w:val="00425195"/>
    <w:rsid w:val="00430FED"/>
    <w:rsid w:val="00432179"/>
    <w:rsid w:val="00434292"/>
    <w:rsid w:val="00434A8C"/>
    <w:rsid w:val="00435583"/>
    <w:rsid w:val="00436884"/>
    <w:rsid w:val="00437297"/>
    <w:rsid w:val="00443403"/>
    <w:rsid w:val="00444284"/>
    <w:rsid w:val="0044563B"/>
    <w:rsid w:val="00445CE6"/>
    <w:rsid w:val="00447FE6"/>
    <w:rsid w:val="004534C2"/>
    <w:rsid w:val="0045446F"/>
    <w:rsid w:val="0045683E"/>
    <w:rsid w:val="0047025B"/>
    <w:rsid w:val="004735D2"/>
    <w:rsid w:val="00474154"/>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40AA"/>
    <w:rsid w:val="004D64F9"/>
    <w:rsid w:val="004E0549"/>
    <w:rsid w:val="004E1674"/>
    <w:rsid w:val="004E2E92"/>
    <w:rsid w:val="004E30B0"/>
    <w:rsid w:val="004E622C"/>
    <w:rsid w:val="004F5FDF"/>
    <w:rsid w:val="0050157D"/>
    <w:rsid w:val="00506803"/>
    <w:rsid w:val="0050682B"/>
    <w:rsid w:val="00507AAC"/>
    <w:rsid w:val="005177FE"/>
    <w:rsid w:val="0052263B"/>
    <w:rsid w:val="00524728"/>
    <w:rsid w:val="005259CC"/>
    <w:rsid w:val="00530003"/>
    <w:rsid w:val="00530E88"/>
    <w:rsid w:val="005331CA"/>
    <w:rsid w:val="0053353F"/>
    <w:rsid w:val="00533739"/>
    <w:rsid w:val="00537970"/>
    <w:rsid w:val="00540B44"/>
    <w:rsid w:val="00540E3A"/>
    <w:rsid w:val="00544127"/>
    <w:rsid w:val="00544273"/>
    <w:rsid w:val="005463A9"/>
    <w:rsid w:val="00547993"/>
    <w:rsid w:val="005523FD"/>
    <w:rsid w:val="00553EB2"/>
    <w:rsid w:val="00556777"/>
    <w:rsid w:val="0055688E"/>
    <w:rsid w:val="00560534"/>
    <w:rsid w:val="0056391B"/>
    <w:rsid w:val="005642AD"/>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D43E0"/>
    <w:rsid w:val="005D58A3"/>
    <w:rsid w:val="005E1B79"/>
    <w:rsid w:val="005E5C28"/>
    <w:rsid w:val="005F026D"/>
    <w:rsid w:val="005F21F4"/>
    <w:rsid w:val="005F2D0B"/>
    <w:rsid w:val="005F4B31"/>
    <w:rsid w:val="00602AFE"/>
    <w:rsid w:val="00610388"/>
    <w:rsid w:val="00612CA5"/>
    <w:rsid w:val="00613F1E"/>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6108"/>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4169"/>
    <w:rsid w:val="006A6530"/>
    <w:rsid w:val="006B2EC0"/>
    <w:rsid w:val="006B435A"/>
    <w:rsid w:val="006B4C64"/>
    <w:rsid w:val="006B4FFC"/>
    <w:rsid w:val="006D0E6E"/>
    <w:rsid w:val="006D6BD5"/>
    <w:rsid w:val="006D70DA"/>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887"/>
    <w:rsid w:val="0073399A"/>
    <w:rsid w:val="0073560D"/>
    <w:rsid w:val="00743EEB"/>
    <w:rsid w:val="00751F66"/>
    <w:rsid w:val="007603F5"/>
    <w:rsid w:val="00764DB0"/>
    <w:rsid w:val="00766F8A"/>
    <w:rsid w:val="0076764D"/>
    <w:rsid w:val="0077498C"/>
    <w:rsid w:val="00777183"/>
    <w:rsid w:val="00784128"/>
    <w:rsid w:val="00784B4B"/>
    <w:rsid w:val="007854ED"/>
    <w:rsid w:val="00793173"/>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011A"/>
    <w:rsid w:val="0080454E"/>
    <w:rsid w:val="00804C32"/>
    <w:rsid w:val="00806302"/>
    <w:rsid w:val="00807119"/>
    <w:rsid w:val="00812AFE"/>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9145D"/>
    <w:rsid w:val="00893A03"/>
    <w:rsid w:val="008A0C6E"/>
    <w:rsid w:val="008A46CF"/>
    <w:rsid w:val="008A4DF2"/>
    <w:rsid w:val="008A6CFE"/>
    <w:rsid w:val="008A7470"/>
    <w:rsid w:val="008B1A08"/>
    <w:rsid w:val="008B2DE3"/>
    <w:rsid w:val="008B5333"/>
    <w:rsid w:val="008B6223"/>
    <w:rsid w:val="008C66E0"/>
    <w:rsid w:val="008E2DFA"/>
    <w:rsid w:val="008E3339"/>
    <w:rsid w:val="008E549B"/>
    <w:rsid w:val="008F0032"/>
    <w:rsid w:val="008F18EF"/>
    <w:rsid w:val="008F20FC"/>
    <w:rsid w:val="008F2B24"/>
    <w:rsid w:val="008F5FFE"/>
    <w:rsid w:val="0090421A"/>
    <w:rsid w:val="00905A43"/>
    <w:rsid w:val="00907DC2"/>
    <w:rsid w:val="00912C79"/>
    <w:rsid w:val="009260A2"/>
    <w:rsid w:val="009344C1"/>
    <w:rsid w:val="00942123"/>
    <w:rsid w:val="00951031"/>
    <w:rsid w:val="0095207B"/>
    <w:rsid w:val="00954461"/>
    <w:rsid w:val="00956085"/>
    <w:rsid w:val="00957951"/>
    <w:rsid w:val="00962045"/>
    <w:rsid w:val="00967EDA"/>
    <w:rsid w:val="00970897"/>
    <w:rsid w:val="0097337E"/>
    <w:rsid w:val="00975E8E"/>
    <w:rsid w:val="00980314"/>
    <w:rsid w:val="009816D0"/>
    <w:rsid w:val="00991428"/>
    <w:rsid w:val="00992676"/>
    <w:rsid w:val="00996691"/>
    <w:rsid w:val="009A4880"/>
    <w:rsid w:val="009A58D1"/>
    <w:rsid w:val="009A7051"/>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3CA7"/>
    <w:rsid w:val="009E4DE3"/>
    <w:rsid w:val="00A047EE"/>
    <w:rsid w:val="00A078F8"/>
    <w:rsid w:val="00A114EA"/>
    <w:rsid w:val="00A153F7"/>
    <w:rsid w:val="00A2050F"/>
    <w:rsid w:val="00A2274A"/>
    <w:rsid w:val="00A235B7"/>
    <w:rsid w:val="00A24A03"/>
    <w:rsid w:val="00A27A7A"/>
    <w:rsid w:val="00A407EF"/>
    <w:rsid w:val="00A46B4C"/>
    <w:rsid w:val="00A5117B"/>
    <w:rsid w:val="00A54000"/>
    <w:rsid w:val="00A54689"/>
    <w:rsid w:val="00A60074"/>
    <w:rsid w:val="00A6627C"/>
    <w:rsid w:val="00A6649C"/>
    <w:rsid w:val="00A70BBC"/>
    <w:rsid w:val="00A71019"/>
    <w:rsid w:val="00A81029"/>
    <w:rsid w:val="00A83CB5"/>
    <w:rsid w:val="00A865A7"/>
    <w:rsid w:val="00A95E0D"/>
    <w:rsid w:val="00A96489"/>
    <w:rsid w:val="00AA3A42"/>
    <w:rsid w:val="00AA5311"/>
    <w:rsid w:val="00AA7BAA"/>
    <w:rsid w:val="00AB685C"/>
    <w:rsid w:val="00AB6C2D"/>
    <w:rsid w:val="00AC08F7"/>
    <w:rsid w:val="00AC3839"/>
    <w:rsid w:val="00AC7082"/>
    <w:rsid w:val="00AD0E59"/>
    <w:rsid w:val="00AD3FEA"/>
    <w:rsid w:val="00AD7BBD"/>
    <w:rsid w:val="00AF228E"/>
    <w:rsid w:val="00AF302B"/>
    <w:rsid w:val="00B04137"/>
    <w:rsid w:val="00B1112C"/>
    <w:rsid w:val="00B11D19"/>
    <w:rsid w:val="00B12936"/>
    <w:rsid w:val="00B12C2D"/>
    <w:rsid w:val="00B14819"/>
    <w:rsid w:val="00B15031"/>
    <w:rsid w:val="00B17AA9"/>
    <w:rsid w:val="00B263D0"/>
    <w:rsid w:val="00B32DE4"/>
    <w:rsid w:val="00B33578"/>
    <w:rsid w:val="00B370C3"/>
    <w:rsid w:val="00B411AE"/>
    <w:rsid w:val="00B413F5"/>
    <w:rsid w:val="00B457BF"/>
    <w:rsid w:val="00B46CE2"/>
    <w:rsid w:val="00B47A97"/>
    <w:rsid w:val="00B56139"/>
    <w:rsid w:val="00B60190"/>
    <w:rsid w:val="00B61419"/>
    <w:rsid w:val="00B62A53"/>
    <w:rsid w:val="00B65609"/>
    <w:rsid w:val="00B66441"/>
    <w:rsid w:val="00B7231B"/>
    <w:rsid w:val="00B72F5F"/>
    <w:rsid w:val="00B736DF"/>
    <w:rsid w:val="00B74FBD"/>
    <w:rsid w:val="00B77352"/>
    <w:rsid w:val="00B82586"/>
    <w:rsid w:val="00B829A3"/>
    <w:rsid w:val="00B86DB1"/>
    <w:rsid w:val="00B87869"/>
    <w:rsid w:val="00B953BD"/>
    <w:rsid w:val="00BA0E44"/>
    <w:rsid w:val="00BA47C5"/>
    <w:rsid w:val="00BB0F2B"/>
    <w:rsid w:val="00BD0D57"/>
    <w:rsid w:val="00BD4F04"/>
    <w:rsid w:val="00BE1A50"/>
    <w:rsid w:val="00BF50F7"/>
    <w:rsid w:val="00C00111"/>
    <w:rsid w:val="00C02F29"/>
    <w:rsid w:val="00C10C13"/>
    <w:rsid w:val="00C17111"/>
    <w:rsid w:val="00C20747"/>
    <w:rsid w:val="00C20AFE"/>
    <w:rsid w:val="00C22A25"/>
    <w:rsid w:val="00C23B79"/>
    <w:rsid w:val="00C25777"/>
    <w:rsid w:val="00C33D50"/>
    <w:rsid w:val="00C35671"/>
    <w:rsid w:val="00C35B77"/>
    <w:rsid w:val="00C370D3"/>
    <w:rsid w:val="00C376EB"/>
    <w:rsid w:val="00C4003A"/>
    <w:rsid w:val="00C4510C"/>
    <w:rsid w:val="00C46EC1"/>
    <w:rsid w:val="00C504E5"/>
    <w:rsid w:val="00C53E2C"/>
    <w:rsid w:val="00C550C8"/>
    <w:rsid w:val="00C56B61"/>
    <w:rsid w:val="00C606C3"/>
    <w:rsid w:val="00C620F4"/>
    <w:rsid w:val="00C62E23"/>
    <w:rsid w:val="00C65EBA"/>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0D13"/>
    <w:rsid w:val="00CD3420"/>
    <w:rsid w:val="00CD4998"/>
    <w:rsid w:val="00CE1035"/>
    <w:rsid w:val="00CE2A6A"/>
    <w:rsid w:val="00CF2819"/>
    <w:rsid w:val="00CF4F9D"/>
    <w:rsid w:val="00CF70DC"/>
    <w:rsid w:val="00D148DC"/>
    <w:rsid w:val="00D17FDC"/>
    <w:rsid w:val="00D444C5"/>
    <w:rsid w:val="00D45AEA"/>
    <w:rsid w:val="00D5244F"/>
    <w:rsid w:val="00D52E4F"/>
    <w:rsid w:val="00D56A37"/>
    <w:rsid w:val="00D57202"/>
    <w:rsid w:val="00D6386E"/>
    <w:rsid w:val="00D63EFD"/>
    <w:rsid w:val="00D64826"/>
    <w:rsid w:val="00D7080A"/>
    <w:rsid w:val="00D80DF2"/>
    <w:rsid w:val="00D84150"/>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07A"/>
    <w:rsid w:val="00DC4420"/>
    <w:rsid w:val="00DC7974"/>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12E"/>
    <w:rsid w:val="00E27E3C"/>
    <w:rsid w:val="00E31DF3"/>
    <w:rsid w:val="00E32814"/>
    <w:rsid w:val="00E33448"/>
    <w:rsid w:val="00E33486"/>
    <w:rsid w:val="00E34181"/>
    <w:rsid w:val="00E450A4"/>
    <w:rsid w:val="00E506BE"/>
    <w:rsid w:val="00E55547"/>
    <w:rsid w:val="00E57410"/>
    <w:rsid w:val="00E61C42"/>
    <w:rsid w:val="00E6302B"/>
    <w:rsid w:val="00E6452F"/>
    <w:rsid w:val="00E64619"/>
    <w:rsid w:val="00E64F45"/>
    <w:rsid w:val="00E6742D"/>
    <w:rsid w:val="00E71CB0"/>
    <w:rsid w:val="00E73529"/>
    <w:rsid w:val="00E77C3D"/>
    <w:rsid w:val="00E8196A"/>
    <w:rsid w:val="00E82E22"/>
    <w:rsid w:val="00E850FE"/>
    <w:rsid w:val="00E909F0"/>
    <w:rsid w:val="00E90D47"/>
    <w:rsid w:val="00E93993"/>
    <w:rsid w:val="00E9597C"/>
    <w:rsid w:val="00E96880"/>
    <w:rsid w:val="00EA0913"/>
    <w:rsid w:val="00EA0A2F"/>
    <w:rsid w:val="00EA1C8D"/>
    <w:rsid w:val="00EA6D31"/>
    <w:rsid w:val="00EB146B"/>
    <w:rsid w:val="00EB45AC"/>
    <w:rsid w:val="00EC2AEA"/>
    <w:rsid w:val="00EC7B11"/>
    <w:rsid w:val="00EC7F95"/>
    <w:rsid w:val="00ED0BC4"/>
    <w:rsid w:val="00ED3771"/>
    <w:rsid w:val="00ED4AB7"/>
    <w:rsid w:val="00ED6A32"/>
    <w:rsid w:val="00EE4971"/>
    <w:rsid w:val="00EF090E"/>
    <w:rsid w:val="00F008E1"/>
    <w:rsid w:val="00F033DA"/>
    <w:rsid w:val="00F11AAB"/>
    <w:rsid w:val="00F13FB1"/>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51EE5"/>
    <w:rsid w:val="00F52416"/>
    <w:rsid w:val="00F525DF"/>
    <w:rsid w:val="00F55241"/>
    <w:rsid w:val="00F5524B"/>
    <w:rsid w:val="00F60538"/>
    <w:rsid w:val="00F61DD2"/>
    <w:rsid w:val="00F6523A"/>
    <w:rsid w:val="00F663BD"/>
    <w:rsid w:val="00F66AFF"/>
    <w:rsid w:val="00F71433"/>
    <w:rsid w:val="00F7241A"/>
    <w:rsid w:val="00F74063"/>
    <w:rsid w:val="00F75406"/>
    <w:rsid w:val="00F763F9"/>
    <w:rsid w:val="00F83E76"/>
    <w:rsid w:val="00F87BEA"/>
    <w:rsid w:val="00F90A57"/>
    <w:rsid w:val="00F97C5B"/>
    <w:rsid w:val="00FA05D2"/>
    <w:rsid w:val="00FA359A"/>
    <w:rsid w:val="00FA3D50"/>
    <w:rsid w:val="00FB009F"/>
    <w:rsid w:val="00FB25B0"/>
    <w:rsid w:val="00FB6136"/>
    <w:rsid w:val="00FC0697"/>
    <w:rsid w:val="00FC374A"/>
    <w:rsid w:val="00FC7B47"/>
    <w:rsid w:val="00FD035C"/>
    <w:rsid w:val="00FD1A35"/>
    <w:rsid w:val="00FD1FE6"/>
    <w:rsid w:val="00FD36C5"/>
    <w:rsid w:val="00FD428C"/>
    <w:rsid w:val="00FD6310"/>
    <w:rsid w:val="00FD7C7B"/>
    <w:rsid w:val="00FD7FD0"/>
    <w:rsid w:val="00FE1D12"/>
    <w:rsid w:val="00FE2122"/>
    <w:rsid w:val="00FE2A86"/>
    <w:rsid w:val="00FE5AD6"/>
    <w:rsid w:val="00FE70D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 w:type="paragraph" w:customStyle="1" w:styleId="AODocTxt">
    <w:name w:val="AODocTxt"/>
    <w:basedOn w:val="Normal"/>
    <w:qFormat/>
    <w:rsid w:val="00191C52"/>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173401">
      <w:bodyDiv w:val="1"/>
      <w:marLeft w:val="0"/>
      <w:marRight w:val="0"/>
      <w:marTop w:val="0"/>
      <w:marBottom w:val="0"/>
      <w:divBdr>
        <w:top w:val="none" w:sz="0" w:space="0" w:color="auto"/>
        <w:left w:val="none" w:sz="0" w:space="0" w:color="auto"/>
        <w:bottom w:val="none" w:sz="0" w:space="0" w:color="auto"/>
        <w:right w:val="none" w:sz="0" w:space="0" w:color="auto"/>
      </w:divBdr>
    </w:div>
    <w:div w:id="41394088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5515</Words>
  <Characters>31441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 Hughes</cp:lastModifiedBy>
  <cp:revision>7</cp:revision>
  <cp:lastPrinted>2019-08-27T05:42:00Z</cp:lastPrinted>
  <dcterms:created xsi:type="dcterms:W3CDTF">2024-03-01T08:57:00Z</dcterms:created>
  <dcterms:modified xsi:type="dcterms:W3CDTF">2024-03-01T09:02:00Z</dcterms:modified>
</cp:coreProperties>
</file>