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5A46BF5B">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w:t>
      </w:r>
      <w:proofErr w:type="gramStart"/>
      <w:r w:rsidRPr="006C65F4">
        <w:rPr>
          <w:rFonts w:ascii="Avenir Next" w:hAnsi="Avenir Next" w:cs="Arial"/>
          <w:sz w:val="22"/>
          <w:szCs w:val="22"/>
          <w:lang w:val="en-GB"/>
        </w:rPr>
        <w:t>be completed</w:t>
      </w:r>
      <w:proofErr w:type="gramEnd"/>
      <w:r w:rsidRPr="006C65F4">
        <w:rPr>
          <w:rFonts w:ascii="Avenir Next" w:hAnsi="Avenir Next" w:cs="Arial"/>
          <w:sz w:val="22"/>
          <w:szCs w:val="22"/>
          <w:lang w:val="en-GB"/>
        </w:rPr>
        <w:t xml:space="preserve">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w:t>
      </w:r>
      <w:proofErr w:type="gramStart"/>
      <w:r w:rsidRPr="006C65F4">
        <w:rPr>
          <w:rFonts w:ascii="Avenir Next" w:hAnsi="Avenir Next" w:cs="Arial"/>
          <w:sz w:val="22"/>
          <w:szCs w:val="22"/>
          <w:lang w:val="en-GB"/>
        </w:rPr>
        <w:t>be submitted</w:t>
      </w:r>
      <w:proofErr w:type="gramEnd"/>
      <w:r w:rsidRPr="006C65F4">
        <w:rPr>
          <w:rFonts w:ascii="Avenir Next" w:hAnsi="Avenir Next" w:cs="Arial"/>
          <w:sz w:val="22"/>
          <w:szCs w:val="22"/>
          <w:lang w:val="en-GB"/>
        </w:rPr>
        <w:t xml:space="preserve">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 xml:space="preserve">submit your assessment in PDF format as it will </w:t>
      </w:r>
      <w:proofErr w:type="gramStart"/>
      <w:r w:rsidRPr="006C65F4">
        <w:rPr>
          <w:rFonts w:ascii="Avenir Next" w:hAnsi="Avenir Next" w:cs="Arial"/>
          <w:sz w:val="22"/>
          <w:szCs w:val="22"/>
          <w:lang w:val="en-GB"/>
        </w:rPr>
        <w:t>be returned</w:t>
      </w:r>
      <w:proofErr w:type="gramEnd"/>
      <w:r w:rsidRPr="006C65F4">
        <w:rPr>
          <w:rFonts w:ascii="Avenir Next" w:hAnsi="Avenir Next" w:cs="Arial"/>
          <w:sz w:val="22"/>
          <w:szCs w:val="22"/>
          <w:lang w:val="en-GB"/>
        </w:rPr>
        <w:t xml:space="preserve">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 xml:space="preserve">Assessments that do not comply with this instruction will </w:t>
      </w:r>
      <w:proofErr w:type="gramStart"/>
      <w:r w:rsidRPr="00D61CC1">
        <w:rPr>
          <w:rFonts w:ascii="Avenir Next Demi Bold" w:hAnsi="Avenir Next Demi Bold" w:cs="Arial"/>
          <w:b/>
          <w:bCs/>
          <w:sz w:val="22"/>
          <w:szCs w:val="22"/>
          <w:lang w:val="en-GB"/>
        </w:rPr>
        <w:t>be returned</w:t>
      </w:r>
      <w:proofErr w:type="gramEnd"/>
      <w:r w:rsidRPr="00D61CC1">
        <w:rPr>
          <w:rFonts w:ascii="Avenir Next Demi Bold" w:hAnsi="Avenir Next Demi Bold" w:cs="Arial"/>
          <w:b/>
          <w:bCs/>
          <w:sz w:val="22"/>
          <w:szCs w:val="22"/>
          <w:lang w:val="en-GB"/>
        </w:rPr>
        <w:t xml:space="preserve">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w:t>
      </w:r>
      <w:proofErr w:type="gramStart"/>
      <w:r w:rsidRPr="006C65F4">
        <w:rPr>
          <w:rFonts w:ascii="Avenir Next" w:hAnsi="Avenir Next" w:cs="Arial"/>
          <w:sz w:val="22"/>
          <w:szCs w:val="22"/>
          <w:lang w:val="en-GB"/>
        </w:rPr>
        <w:t>be allowed</w:t>
      </w:r>
      <w:proofErr w:type="gramEnd"/>
      <w:r w:rsidRPr="006C65F4">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 xml:space="preserve">Please note that copying and pasting from the Guidance Text into your answer </w:t>
      </w:r>
      <w:proofErr w:type="gramStart"/>
      <w:r w:rsidRPr="00D61CC1">
        <w:rPr>
          <w:rFonts w:ascii="Avenir Next Demi Bold" w:hAnsi="Avenir Next Demi Bold" w:cs="Arial"/>
          <w:b/>
          <w:bCs/>
          <w:sz w:val="22"/>
          <w:szCs w:val="22"/>
          <w:lang w:val="en-GB"/>
        </w:rPr>
        <w:t>is prohibited</w:t>
      </w:r>
      <w:proofErr w:type="gramEnd"/>
      <w:r w:rsidRPr="00D61CC1">
        <w:rPr>
          <w:rFonts w:ascii="Avenir Next Demi Bold" w:hAnsi="Avenir Next Demi Bold" w:cs="Arial"/>
          <w:b/>
          <w:bCs/>
          <w:sz w:val="22"/>
          <w:szCs w:val="22"/>
          <w:lang w:val="en-GB"/>
        </w:rPr>
        <w:t xml:space="preserve">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t>
      </w:r>
      <w:proofErr w:type="gramStart"/>
      <w:r w:rsidRPr="006C65F4">
        <w:rPr>
          <w:rFonts w:ascii="Avenir Next" w:hAnsi="Avenir Next" w:cs="Arial"/>
          <w:bCs/>
          <w:sz w:val="22"/>
          <w:szCs w:val="22"/>
          <w:lang w:val="en-GB"/>
        </w:rPr>
        <w:t>was sent</w:t>
      </w:r>
      <w:proofErr w:type="gramEnd"/>
      <w:r w:rsidRPr="006C65F4">
        <w:rPr>
          <w:rFonts w:ascii="Avenir Next" w:hAnsi="Avenir Next" w:cs="Arial"/>
          <w:bCs/>
          <w:sz w:val="22"/>
          <w:szCs w:val="22"/>
          <w:lang w:val="en-GB"/>
        </w:rPr>
        <w:t xml:space="preserve">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xml:space="preserve">. No submissions can </w:t>
      </w:r>
      <w:proofErr w:type="gramStart"/>
      <w:r w:rsidRPr="006C65F4">
        <w:rPr>
          <w:rFonts w:ascii="Avenir Next" w:hAnsi="Avenir Next" w:cs="Arial"/>
          <w:sz w:val="22"/>
          <w:szCs w:val="22"/>
          <w:lang w:val="en-GB"/>
        </w:rPr>
        <w:t>be made</w:t>
      </w:r>
      <w:proofErr w:type="gramEnd"/>
      <w:r w:rsidRPr="006C65F4">
        <w:rPr>
          <w:rFonts w:ascii="Avenir Next" w:hAnsi="Avenir Next" w:cs="Arial"/>
          <w:sz w:val="22"/>
          <w:szCs w:val="22"/>
          <w:lang w:val="en-GB"/>
        </w:rPr>
        <w:t xml:space="preserv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t>
      </w:r>
      <w:proofErr w:type="gramStart"/>
      <w:r w:rsidRPr="006C65F4">
        <w:rPr>
          <w:rFonts w:ascii="Avenir Next" w:hAnsi="Avenir Next" w:cs="Arial"/>
          <w:sz w:val="22"/>
          <w:szCs w:val="22"/>
          <w:lang w:val="en-GB"/>
        </w:rPr>
        <w:t>was sent</w:t>
      </w:r>
      <w:proofErr w:type="gramEnd"/>
      <w:r w:rsidRPr="006C65F4">
        <w:rPr>
          <w:rFonts w:ascii="Avenir Next" w:hAnsi="Avenir Next" w:cs="Arial"/>
          <w:sz w:val="22"/>
          <w:szCs w:val="22"/>
          <w:lang w:val="en-GB"/>
        </w:rPr>
        <w:t xml:space="preserve">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proofErr w:type="gramStart"/>
      <w:r w:rsidR="001D3BAA">
        <w:rPr>
          <w:rFonts w:ascii="Avenir Next Demi Bold" w:hAnsi="Avenir Next Demi Bold" w:cs="Arial"/>
          <w:b/>
          <w:bCs/>
          <w:sz w:val="22"/>
          <w:szCs w:val="22"/>
          <w:lang w:val="en-GB"/>
        </w:rPr>
        <w:t>9</w:t>
      </w:r>
      <w:proofErr w:type="gramEnd"/>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w:t>
      </w:r>
      <w:proofErr w:type="gramStart"/>
      <w:r w:rsidRPr="00CE0ECD">
        <w:rPr>
          <w:rFonts w:ascii="Avenir Next" w:hAnsi="Avenir Next" w:cs="Arial"/>
          <w:sz w:val="22"/>
          <w:szCs w:val="22"/>
          <w:lang w:val="en-GB"/>
        </w:rPr>
        <w:t>some</w:t>
      </w:r>
      <w:proofErr w:type="gramEnd"/>
      <w:r w:rsidRPr="00CE0ECD">
        <w:rPr>
          <w:rFonts w:ascii="Avenir Next" w:hAnsi="Avenir Next" w:cs="Arial"/>
          <w:sz w:val="22"/>
          <w:szCs w:val="22"/>
          <w:lang w:val="en-GB"/>
        </w:rPr>
        <w:t xml:space="preserv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5F6FF0">
        <w:rPr>
          <w:rFonts w:ascii="Avenir Next" w:hAnsi="Avenir Next" w:cs="Arial"/>
          <w:sz w:val="22"/>
          <w:szCs w:val="22"/>
          <w:lang w:val="en-GB"/>
        </w:rPr>
        <w:t>mark your selection on the answer sheet</w:t>
      </w:r>
      <w:r w:rsidR="00397D3A" w:rsidRPr="005F6FF0">
        <w:rPr>
          <w:rFonts w:ascii="Avenir Next" w:hAnsi="Avenir Next" w:cs="Arial"/>
          <w:sz w:val="22"/>
          <w:szCs w:val="22"/>
          <w:lang w:val="en-GB"/>
        </w:rPr>
        <w:t xml:space="preserve"> by highlighting the </w:t>
      </w:r>
      <w:r w:rsidR="0036565C" w:rsidRPr="005F6FF0">
        <w:rPr>
          <w:rFonts w:ascii="Avenir Next" w:hAnsi="Avenir Next" w:cs="Arial"/>
          <w:sz w:val="22"/>
          <w:szCs w:val="22"/>
          <w:lang w:val="en-GB"/>
        </w:rPr>
        <w:t xml:space="preserve">relevant paragraph </w:t>
      </w:r>
      <w:r w:rsidR="0036565C" w:rsidRPr="005F6FF0">
        <w:rPr>
          <w:rFonts w:ascii="Avenir Next Demi Bold" w:hAnsi="Avenir Next Demi Bold" w:cs="Arial"/>
          <w:b/>
          <w:bCs/>
          <w:sz w:val="22"/>
          <w:szCs w:val="22"/>
          <w:lang w:val="en-GB"/>
        </w:rPr>
        <w:t>in yellow</w:t>
      </w:r>
      <w:r w:rsidRPr="005F6FF0">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5F6FF0">
        <w:rPr>
          <w:rFonts w:ascii="Avenir Next" w:hAnsi="Avenir Next"/>
          <w:highlight w:val="yellow"/>
        </w:rPr>
        <w:t>(a)</w:t>
      </w:r>
      <w:r w:rsidRPr="005F6FF0">
        <w:rPr>
          <w:rFonts w:ascii="Avenir Next" w:hAnsi="Avenir Next"/>
          <w:highlight w:val="yellow"/>
        </w:rPr>
        <w:tab/>
        <w:t>Yes</w:t>
      </w:r>
      <w:r w:rsidR="004D36D5" w:rsidRPr="005F6FF0">
        <w:rPr>
          <w:rFonts w:ascii="Avenir Next" w:hAnsi="Avenir Next"/>
          <w:highlight w:val="yellow"/>
        </w:rPr>
        <w:t>,</w:t>
      </w:r>
      <w:r w:rsidR="002A16B3" w:rsidRPr="005F6FF0">
        <w:rPr>
          <w:rFonts w:ascii="Avenir Next" w:hAnsi="Avenir Next"/>
          <w:highlight w:val="yellow"/>
        </w:rPr>
        <w:t xml:space="preserve"> </w:t>
      </w:r>
      <w:r w:rsidR="000968D6" w:rsidRPr="005F6FF0">
        <w:rPr>
          <w:rFonts w:ascii="Avenir Next" w:hAnsi="Avenir Next"/>
          <w:highlight w:val="yellow"/>
        </w:rPr>
        <w:t>regardless</w:t>
      </w:r>
      <w:r w:rsidR="0083721E" w:rsidRPr="005F6FF0">
        <w:rPr>
          <w:rFonts w:ascii="Avenir Next" w:hAnsi="Avenir Next"/>
          <w:highlight w:val="yellow"/>
        </w:rPr>
        <w:t xml:space="preserve"> of</w:t>
      </w:r>
      <w:r w:rsidR="000968D6" w:rsidRPr="005F6FF0">
        <w:rPr>
          <w:rFonts w:ascii="Avenir Next" w:hAnsi="Avenir Next"/>
          <w:highlight w:val="yellow"/>
        </w:rPr>
        <w:t xml:space="preserve"> </w:t>
      </w:r>
      <w:r w:rsidR="0083721E" w:rsidRPr="005F6FF0">
        <w:rPr>
          <w:rFonts w:ascii="Avenir Next" w:hAnsi="Avenir Next"/>
          <w:highlight w:val="yellow"/>
        </w:rPr>
        <w:t xml:space="preserve">the </w:t>
      </w:r>
      <w:r w:rsidR="004D36D5" w:rsidRPr="005F6FF0">
        <w:rPr>
          <w:rFonts w:ascii="Avenir Next" w:hAnsi="Avenir Next"/>
          <w:highlight w:val="yellow"/>
        </w:rPr>
        <w:t>circumstances</w:t>
      </w:r>
      <w:r w:rsidRPr="005F6FF0">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Pr="0025162B" w:rsidRDefault="005F1B2A" w:rsidP="00B77B19">
      <w:pPr>
        <w:pStyle w:val="AODocTxt"/>
        <w:spacing w:before="0" w:line="240" w:lineRule="auto"/>
        <w:rPr>
          <w:rFonts w:ascii="Avenir Next" w:hAnsi="Avenir Next"/>
        </w:rPr>
      </w:pPr>
      <w:r w:rsidRPr="0025162B">
        <w:rPr>
          <w:rFonts w:ascii="Avenir Next" w:hAnsi="Avenir Next"/>
        </w:rPr>
        <w:t xml:space="preserve">Answer this question with reference to the set of facts set out in question 1.1 above: Which of the following is likely to be a </w:t>
      </w:r>
      <w:r w:rsidRPr="0025162B">
        <w:rPr>
          <w:rFonts w:ascii="Avenir Next Demi Bold" w:hAnsi="Avenir Next Demi Bold"/>
          <w:u w:val="single"/>
        </w:rPr>
        <w:t>party in interest</w:t>
      </w:r>
      <w:r w:rsidRPr="0025162B">
        <w:rPr>
          <w:rFonts w:ascii="Avenir Next" w:hAnsi="Avenir Next"/>
        </w:rPr>
        <w:t xml:space="preserve"> in the bankruptcy of Car Corp?</w:t>
      </w:r>
    </w:p>
    <w:p w14:paraId="5F691818" w14:textId="77777777" w:rsidR="00197E4B" w:rsidRPr="0025162B"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25162B">
        <w:rPr>
          <w:rFonts w:ascii="Avenir Next" w:hAnsi="Avenir Next"/>
        </w:rPr>
        <w:t>(a)</w:t>
      </w:r>
      <w:r w:rsidRPr="0025162B">
        <w:rPr>
          <w:rFonts w:ascii="Avenir Next" w:hAnsi="Avenir Next"/>
        </w:rPr>
        <w:tab/>
        <w:t>A shareholder in Parts Inc, to which Car Corp is indebted</w:t>
      </w:r>
      <w:r w:rsidR="00631394" w:rsidRPr="0025162B">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25162B">
        <w:rPr>
          <w:rFonts w:ascii="Avenir Next" w:hAnsi="Avenir Next"/>
          <w:highlight w:val="yellow"/>
        </w:rPr>
        <w:t>(d)</w:t>
      </w:r>
      <w:r w:rsidRPr="0025162B">
        <w:rPr>
          <w:rFonts w:ascii="Avenir Next" w:hAnsi="Avenir Next"/>
          <w:highlight w:val="yellow"/>
        </w:rPr>
        <w:tab/>
        <w:t>A retired employee of Car Corp who receives payments from the company’s pension plan</w:t>
      </w:r>
      <w:r w:rsidR="00631394" w:rsidRPr="0025162B">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5F6FF0">
        <w:rPr>
          <w:rFonts w:ascii="Avenir Next" w:hAnsi="Avenir Next"/>
          <w:highlight w:val="yellow"/>
        </w:rPr>
        <w:t>(d)</w:t>
      </w:r>
      <w:r w:rsidRPr="005F6FF0">
        <w:rPr>
          <w:rFonts w:ascii="Avenir Next" w:hAnsi="Avenir Next"/>
          <w:highlight w:val="yellow"/>
        </w:rPr>
        <w:tab/>
      </w:r>
      <w:r w:rsidR="00B849C5" w:rsidRPr="005F6FF0">
        <w:rPr>
          <w:rFonts w:ascii="Avenir Next" w:hAnsi="Avenir Next"/>
          <w:highlight w:val="yellow"/>
        </w:rPr>
        <w:t xml:space="preserve">Options (a) to (c) </w:t>
      </w:r>
      <w:r w:rsidRPr="005F6FF0">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5F6FF0">
        <w:rPr>
          <w:rFonts w:ascii="Avenir Next" w:hAnsi="Avenir Next"/>
          <w:highlight w:val="yellow"/>
        </w:rPr>
        <w:t>(e)</w:t>
      </w:r>
      <w:r w:rsidRPr="005F6FF0">
        <w:rPr>
          <w:rFonts w:ascii="Avenir Next" w:hAnsi="Avenir Next"/>
          <w:highlight w:val="yellow"/>
        </w:rPr>
        <w:tab/>
        <w:t>All of the above</w:t>
      </w:r>
      <w:r w:rsidR="006A42F8" w:rsidRPr="005F6FF0">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5F6FF0">
        <w:rPr>
          <w:rFonts w:ascii="Avenir Next" w:hAnsi="Avenir Next"/>
          <w:highlight w:val="yellow"/>
        </w:rPr>
        <w:t>(b)</w:t>
      </w:r>
      <w:r w:rsidRPr="005F6FF0">
        <w:rPr>
          <w:rFonts w:ascii="Avenir Next" w:hAnsi="Avenir Next"/>
          <w:highlight w:val="yellow"/>
        </w:rPr>
        <w:tab/>
        <w:t xml:space="preserve">Executory contracts are clearly defined by the </w:t>
      </w:r>
      <w:r w:rsidR="00ED7BF3" w:rsidRPr="005F6FF0">
        <w:rPr>
          <w:rFonts w:ascii="Avenir Next" w:hAnsi="Avenir Next"/>
          <w:highlight w:val="yellow"/>
        </w:rPr>
        <w:t>B</w:t>
      </w:r>
      <w:r w:rsidRPr="005F6FF0">
        <w:rPr>
          <w:rFonts w:ascii="Avenir Next" w:hAnsi="Avenir Next"/>
          <w:highlight w:val="yellow"/>
        </w:rPr>
        <w:t xml:space="preserve">ankruptcy </w:t>
      </w:r>
      <w:r w:rsidR="00ED7BF3" w:rsidRPr="005F6FF0">
        <w:rPr>
          <w:rFonts w:ascii="Avenir Next" w:hAnsi="Avenir Next"/>
          <w:highlight w:val="yellow"/>
        </w:rPr>
        <w:t>C</w:t>
      </w:r>
      <w:r w:rsidRPr="005F6FF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5F6FF0" w:rsidRDefault="000643AB" w:rsidP="00875912">
      <w:pPr>
        <w:pStyle w:val="AODocTxt"/>
        <w:numPr>
          <w:ilvl w:val="0"/>
          <w:numId w:val="24"/>
        </w:numPr>
        <w:spacing w:before="0" w:line="240" w:lineRule="auto"/>
        <w:ind w:left="426" w:hanging="426"/>
        <w:rPr>
          <w:rFonts w:ascii="Avenir Next" w:hAnsi="Avenir Next"/>
          <w:highlight w:val="yellow"/>
        </w:rPr>
      </w:pPr>
      <w:r w:rsidRPr="005F6FF0">
        <w:rPr>
          <w:rFonts w:ascii="Avenir Next" w:hAnsi="Avenir Next"/>
          <w:highlight w:val="yellow"/>
        </w:rPr>
        <w:t>Acceptance of the plan by all classes of secured creditors</w:t>
      </w:r>
      <w:r w:rsidR="006844A8" w:rsidRPr="005F6FF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F6FF0" w:rsidRDefault="00C24FAB" w:rsidP="009017A1">
      <w:pPr>
        <w:pStyle w:val="AODocTxt"/>
        <w:numPr>
          <w:ilvl w:val="0"/>
          <w:numId w:val="33"/>
        </w:numPr>
        <w:spacing w:before="0" w:line="240" w:lineRule="auto"/>
        <w:ind w:left="426" w:hanging="426"/>
        <w:rPr>
          <w:rFonts w:ascii="Avenir Next" w:hAnsi="Avenir Next"/>
          <w:highlight w:val="yellow"/>
        </w:rPr>
      </w:pPr>
      <w:r w:rsidRPr="005F6FF0">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541784D3" w14:textId="77777777" w:rsidR="000A3540" w:rsidRDefault="000A3540" w:rsidP="00B77B19">
      <w:pPr>
        <w:pStyle w:val="AODocTxt"/>
        <w:keepNext/>
        <w:spacing w:before="0" w:line="240" w:lineRule="auto"/>
        <w:rPr>
          <w:rFonts w:ascii="Avenir Next Demi Bold" w:hAnsi="Avenir Next Demi Bold"/>
          <w:b/>
          <w:bCs/>
        </w:rPr>
      </w:pPr>
    </w:p>
    <w:p w14:paraId="2A18FD7D" w14:textId="6B19B3E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542BDBD8" w:rsidR="00853272" w:rsidRPr="00BE7C62" w:rsidRDefault="00853272" w:rsidP="00BA74EF">
      <w:pPr>
        <w:pStyle w:val="AODocTxt"/>
        <w:numPr>
          <w:ilvl w:val="0"/>
          <w:numId w:val="28"/>
        </w:numPr>
        <w:spacing w:before="0" w:line="240" w:lineRule="auto"/>
        <w:ind w:left="426" w:hanging="426"/>
        <w:rPr>
          <w:rFonts w:ascii="Avenir Next" w:hAnsi="Avenir Next"/>
          <w:highlight w:val="yellow"/>
        </w:rPr>
      </w:pPr>
      <w:r w:rsidRPr="00BE7C62">
        <w:rPr>
          <w:rFonts w:ascii="Avenir Next" w:hAnsi="Avenir Next"/>
          <w:highlight w:val="yellow"/>
        </w:rPr>
        <w:t xml:space="preserve">Both </w:t>
      </w:r>
      <w:r w:rsidR="0072569E" w:rsidRPr="00BE7C62">
        <w:rPr>
          <w:rFonts w:ascii="Avenir Next" w:hAnsi="Avenir Next"/>
          <w:highlight w:val="yellow"/>
        </w:rPr>
        <w:t xml:space="preserve">options </w:t>
      </w:r>
      <w:r w:rsidRPr="00BE7C62">
        <w:rPr>
          <w:rFonts w:ascii="Avenir Next" w:hAnsi="Avenir Next"/>
          <w:highlight w:val="yellow"/>
        </w:rPr>
        <w:t>(a) and (c).</w:t>
      </w:r>
      <w:r w:rsidR="00BE7C62">
        <w:rPr>
          <w:rFonts w:ascii="Avenir Next" w:hAnsi="Avenir Next"/>
          <w:highlight w:val="yellow"/>
        </w:rPr>
        <w:t xml:space="preserve"> page 32</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277B54" w:rsidRDefault="00334B98" w:rsidP="00676F12">
      <w:pPr>
        <w:pStyle w:val="AODocTxt"/>
        <w:keepNext/>
        <w:numPr>
          <w:ilvl w:val="0"/>
          <w:numId w:val="30"/>
        </w:numPr>
        <w:spacing w:before="0" w:line="240" w:lineRule="auto"/>
        <w:ind w:left="426" w:hanging="426"/>
        <w:rPr>
          <w:rFonts w:ascii="Avenir Next" w:hAnsi="Avenir Next"/>
          <w:highlight w:val="yellow"/>
        </w:rPr>
      </w:pPr>
      <w:r w:rsidRPr="00277B54">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277B54" w:rsidRDefault="00740655" w:rsidP="00DF5F7C">
      <w:pPr>
        <w:pStyle w:val="AODocTxt"/>
        <w:keepNext/>
        <w:numPr>
          <w:ilvl w:val="0"/>
          <w:numId w:val="35"/>
        </w:numPr>
        <w:spacing w:before="0" w:line="240" w:lineRule="auto"/>
        <w:ind w:left="426" w:hanging="426"/>
        <w:rPr>
          <w:rFonts w:ascii="Avenir Next" w:hAnsi="Avenir Next"/>
          <w:highlight w:val="yellow"/>
        </w:rPr>
      </w:pPr>
      <w:r w:rsidRPr="00277B54">
        <w:rPr>
          <w:rFonts w:ascii="Avenir Next" w:hAnsi="Avenir Next"/>
          <w:highlight w:val="yellow"/>
        </w:rPr>
        <w:t xml:space="preserve">If a creditor can show it extended credit </w:t>
      </w:r>
      <w:proofErr w:type="gramStart"/>
      <w:r w:rsidRPr="00277B54">
        <w:rPr>
          <w:rFonts w:ascii="Avenir Next" w:hAnsi="Avenir Next"/>
          <w:highlight w:val="yellow"/>
        </w:rPr>
        <w:t>on the basis of</w:t>
      </w:r>
      <w:proofErr w:type="gramEnd"/>
      <w:r w:rsidRPr="00277B54">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C1A2B78" w14:textId="38C7BE53" w:rsidR="00123CA2" w:rsidRDefault="00123CA2"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setoff allows a creditor with a claim against a debtor, who also owes money to the debtor, to net out the two (or more) obligations (i.e. set the two or more amounts off against each other).</w:t>
      </w:r>
      <w:r>
        <w:rPr>
          <w:rStyle w:val="FootnoteReference"/>
          <w:rFonts w:ascii="Avenir Next" w:hAnsi="Avenir Next"/>
          <w:color w:val="808080" w:themeColor="background1" w:themeShade="80"/>
        </w:rPr>
        <w:footnoteReference w:id="1"/>
      </w:r>
      <w:r>
        <w:rPr>
          <w:rFonts w:ascii="Avenir Next" w:hAnsi="Avenir Next"/>
          <w:color w:val="808080" w:themeColor="background1" w:themeShade="80"/>
        </w:rPr>
        <w:t xml:space="preserve"> </w:t>
      </w:r>
    </w:p>
    <w:p w14:paraId="0C6B23D7" w14:textId="77777777" w:rsidR="00123CA2" w:rsidRDefault="00123CA2" w:rsidP="00323167">
      <w:pPr>
        <w:pStyle w:val="AODocTxt"/>
        <w:spacing w:before="0" w:line="240" w:lineRule="auto"/>
        <w:rPr>
          <w:rFonts w:ascii="Avenir Next" w:hAnsi="Avenir Next"/>
          <w:color w:val="808080" w:themeColor="background1" w:themeShade="80"/>
        </w:rPr>
      </w:pPr>
    </w:p>
    <w:p w14:paraId="71BA9748" w14:textId="30C03F3C" w:rsidR="00123CA2" w:rsidRPr="00123CA2" w:rsidRDefault="00123CA2"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is not permitted in many circumstances because it can</w:t>
      </w:r>
      <w:r w:rsidR="00ED700C">
        <w:rPr>
          <w:rFonts w:ascii="Avenir Next" w:hAnsi="Avenir Next"/>
          <w:color w:val="808080" w:themeColor="background1" w:themeShade="80"/>
        </w:rPr>
        <w:t xml:space="preserve"> put a particular creditor in a better position compared to other unsecured creditor who are not owed money by the debtor. In essence, </w:t>
      </w:r>
      <w:r w:rsidR="00ED700C">
        <w:rPr>
          <w:rFonts w:ascii="Avenir Next" w:hAnsi="Avenir Next"/>
          <w:i/>
          <w:iCs/>
          <w:color w:val="808080" w:themeColor="background1" w:themeShade="80"/>
        </w:rPr>
        <w:t>"</w:t>
      </w:r>
      <w:r w:rsidR="00ED700C">
        <w:rPr>
          <w:rFonts w:ascii="Avenir Next" w:hAnsi="Avenir Next"/>
          <w:i/>
          <w:iCs/>
          <w:color w:val="808080" w:themeColor="background1" w:themeShade="80"/>
        </w:rPr>
        <w:t>it</w:t>
      </w:r>
      <w:r w:rsidR="00ED700C">
        <w:rPr>
          <w:rFonts w:ascii="Avenir Next" w:hAnsi="Avenir Next"/>
          <w:i/>
          <w:iCs/>
          <w:color w:val="808080" w:themeColor="background1" w:themeShade="80"/>
        </w:rPr>
        <w:t xml:space="preserve"> </w:t>
      </w:r>
      <w:r w:rsidRPr="00123CA2">
        <w:rPr>
          <w:rFonts w:ascii="Avenir Next" w:hAnsi="Avenir Next"/>
          <w:i/>
          <w:iCs/>
          <w:color w:val="808080" w:themeColor="background1" w:themeShade="80"/>
        </w:rPr>
        <w:t>decreases its obligation to the estate by the full amount owed by the debtor rather than the lesser amount the debtor would pay on the unsecured claim."</w:t>
      </w:r>
      <w:r w:rsidRPr="005F6FF0">
        <w:rPr>
          <w:rStyle w:val="FootnoteReference"/>
          <w:rFonts w:ascii="Avenir Next" w:hAnsi="Avenir Next"/>
          <w:color w:val="808080" w:themeColor="background1" w:themeShade="80"/>
        </w:rPr>
        <w:footnoteReference w:id="2"/>
      </w:r>
      <w:r w:rsidR="00A70510" w:rsidRPr="005F6FF0">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91645FE" w14:textId="4F29A452" w:rsidR="00E42E13" w:rsidRDefault="00E42E1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form of security that may be granted by the court to secure post-petition financing. It may be </w:t>
      </w:r>
      <w:r w:rsidRPr="00E42E13">
        <w:rPr>
          <w:rFonts w:ascii="Avenir Next" w:hAnsi="Avenir Next"/>
          <w:color w:val="808080" w:themeColor="background1" w:themeShade="80"/>
        </w:rPr>
        <w:t>senior or equal to a pre-petition lien on estate property</w:t>
      </w:r>
      <w:r>
        <w:rPr>
          <w:rFonts w:ascii="Avenir Next" w:hAnsi="Avenir Next"/>
          <w:color w:val="808080" w:themeColor="background1" w:themeShade="80"/>
        </w:rPr>
        <w:t xml:space="preserve"> and will have </w:t>
      </w:r>
      <w:r w:rsidRPr="00E42E13">
        <w:rPr>
          <w:rFonts w:ascii="Avenir Next" w:hAnsi="Avenir Next"/>
          <w:color w:val="808080" w:themeColor="background1" w:themeShade="80"/>
        </w:rPr>
        <w:t>priority in collateral</w:t>
      </w:r>
      <w:r>
        <w:rPr>
          <w:rFonts w:ascii="Avenir Next" w:hAnsi="Avenir Next"/>
          <w:color w:val="808080" w:themeColor="background1" w:themeShade="80"/>
        </w:rPr>
        <w:t xml:space="preserve"> </w:t>
      </w:r>
      <w:r w:rsidRPr="00E42E13">
        <w:rPr>
          <w:rFonts w:ascii="Avenir Next" w:hAnsi="Avenir Next"/>
          <w:color w:val="808080" w:themeColor="background1" w:themeShade="80"/>
        </w:rPr>
        <w:t>over the pre-petition secured lenders</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
      </w:r>
    </w:p>
    <w:p w14:paraId="3B22E234" w14:textId="77777777" w:rsidR="00E42E13" w:rsidRDefault="00E42E13" w:rsidP="001D3BAA">
      <w:pPr>
        <w:pStyle w:val="AODocTxt"/>
        <w:spacing w:before="0" w:line="240" w:lineRule="auto"/>
        <w:rPr>
          <w:rFonts w:ascii="Avenir Next" w:hAnsi="Avenir Next"/>
          <w:color w:val="808080" w:themeColor="background1" w:themeShade="80"/>
        </w:rPr>
      </w:pPr>
    </w:p>
    <w:p w14:paraId="3FD924BB" w14:textId="2E0B3DFA" w:rsidR="001D3BAA" w:rsidRPr="002B5D64" w:rsidRDefault="00E42E1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will only be granted if post-petition financing cannot be obtained on any other terms and if the</w:t>
      </w:r>
      <w:r w:rsidRPr="00E42E13">
        <w:rPr>
          <w:rFonts w:ascii="Avenir Next" w:hAnsi="Avenir Next"/>
          <w:color w:val="808080" w:themeColor="background1" w:themeShade="80"/>
        </w:rPr>
        <w:t xml:space="preserve"> debtor </w:t>
      </w:r>
      <w:r>
        <w:rPr>
          <w:rFonts w:ascii="Avenir Next" w:hAnsi="Avenir Next"/>
          <w:color w:val="808080" w:themeColor="background1" w:themeShade="80"/>
        </w:rPr>
        <w:t>can</w:t>
      </w:r>
      <w:r w:rsidRPr="00E42E13">
        <w:rPr>
          <w:rFonts w:ascii="Avenir Next" w:hAnsi="Avenir Next"/>
          <w:color w:val="808080" w:themeColor="background1" w:themeShade="80"/>
        </w:rPr>
        <w:t xml:space="preserve"> demonstrate that the interest of the secured creditor being primed is</w:t>
      </w:r>
      <w:r>
        <w:rPr>
          <w:rFonts w:ascii="Avenir Next" w:hAnsi="Avenir Next"/>
          <w:color w:val="808080" w:themeColor="background1" w:themeShade="80"/>
        </w:rPr>
        <w:t xml:space="preserve"> </w:t>
      </w:r>
      <w:r w:rsidRPr="00E42E13">
        <w:rPr>
          <w:rFonts w:ascii="Avenir Next" w:hAnsi="Avenir Next"/>
          <w:color w:val="808080" w:themeColor="background1" w:themeShade="80"/>
        </w:rPr>
        <w:t>adequately protected.</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53E1720C" w14:textId="77777777" w:rsidR="003A5537" w:rsidRDefault="003A5537" w:rsidP="00622C36">
      <w:pPr>
        <w:pStyle w:val="AODocTxt"/>
        <w:spacing w:before="0" w:line="240" w:lineRule="auto"/>
        <w:rPr>
          <w:rFonts w:ascii="Avenir Next" w:hAnsi="Avenir Next"/>
          <w:color w:val="808080" w:themeColor="background1" w:themeShade="80"/>
        </w:rPr>
      </w:pPr>
    </w:p>
    <w:p w14:paraId="04472004" w14:textId="03506552" w:rsidR="00E061D7" w:rsidRDefault="00D53B7D" w:rsidP="00D53B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E45FC3">
        <w:rPr>
          <w:rFonts w:ascii="Avenir Next" w:hAnsi="Avenir Next"/>
          <w:color w:val="808080" w:themeColor="background1" w:themeShade="80"/>
        </w:rPr>
        <w:t xml:space="preserve">key </w:t>
      </w:r>
      <w:r>
        <w:rPr>
          <w:rFonts w:ascii="Avenir Next" w:hAnsi="Avenir Next"/>
          <w:color w:val="808080" w:themeColor="background1" w:themeShade="80"/>
        </w:rPr>
        <w:t xml:space="preserve">potential consequence </w:t>
      </w:r>
      <w:r w:rsidR="005F6FF0" w:rsidRPr="005F6FF0">
        <w:rPr>
          <w:rFonts w:ascii="Avenir Next" w:hAnsi="Avenir Next"/>
          <w:color w:val="808080" w:themeColor="background1" w:themeShade="80"/>
        </w:rPr>
        <w:t xml:space="preserve">of a violation of the automatic stay </w:t>
      </w:r>
      <w:r>
        <w:rPr>
          <w:rFonts w:ascii="Avenir Next" w:hAnsi="Avenir Next"/>
          <w:color w:val="808080" w:themeColor="background1" w:themeShade="80"/>
        </w:rPr>
        <w:t>is that the violator will be in contempt of Court. However, contempt may be void or voidable</w:t>
      </w:r>
      <w:r w:rsidR="00A45448">
        <w:rPr>
          <w:rFonts w:ascii="Avenir Next" w:hAnsi="Avenir Next"/>
          <w:color w:val="808080" w:themeColor="background1" w:themeShade="80"/>
        </w:rPr>
        <w:t xml:space="preserve"> and parties in interest may apply to </w:t>
      </w:r>
      <w:r w:rsidR="00A45448">
        <w:rPr>
          <w:rFonts w:ascii="Avenir Next" w:hAnsi="Avenir Next"/>
          <w:color w:val="808080" w:themeColor="background1" w:themeShade="80"/>
        </w:rPr>
        <w:lastRenderedPageBreak/>
        <w:t xml:space="preserve">lift the stay prospectively or retroactively. If a party in interest fails to seek such relief, then the court may impose contempt sanctions such </w:t>
      </w:r>
      <w:r w:rsidR="005F6FF0">
        <w:rPr>
          <w:rFonts w:ascii="Avenir Next" w:hAnsi="Avenir Next"/>
          <w:color w:val="808080" w:themeColor="background1" w:themeShade="80"/>
        </w:rPr>
        <w:t>as</w:t>
      </w:r>
      <w:r w:rsidR="00A45448">
        <w:rPr>
          <w:rFonts w:ascii="Avenir Next" w:hAnsi="Avenir Next"/>
          <w:color w:val="808080" w:themeColor="background1" w:themeShade="80"/>
        </w:rPr>
        <w:t xml:space="preserve"> </w:t>
      </w:r>
      <w:r w:rsidR="005F6FF0">
        <w:rPr>
          <w:rFonts w:ascii="Avenir Next" w:hAnsi="Avenir Next"/>
          <w:color w:val="808080" w:themeColor="background1" w:themeShade="80"/>
        </w:rPr>
        <w:t>(</w:t>
      </w:r>
      <w:proofErr w:type="spellStart"/>
      <w:r w:rsidR="005F6FF0">
        <w:rPr>
          <w:rFonts w:ascii="Avenir Next" w:hAnsi="Avenir Next"/>
          <w:color w:val="808080" w:themeColor="background1" w:themeShade="80"/>
        </w:rPr>
        <w:t>i</w:t>
      </w:r>
      <w:proofErr w:type="spellEnd"/>
      <w:r w:rsidR="005F6FF0">
        <w:rPr>
          <w:rFonts w:ascii="Avenir Next" w:hAnsi="Avenir Next"/>
          <w:color w:val="808080" w:themeColor="background1" w:themeShade="80"/>
        </w:rPr>
        <w:t xml:space="preserve">) </w:t>
      </w:r>
      <w:r w:rsidR="00A45448" w:rsidRPr="00A45448">
        <w:rPr>
          <w:rFonts w:ascii="Avenir Next" w:hAnsi="Avenir Next"/>
          <w:color w:val="808080" w:themeColor="background1" w:themeShade="80"/>
        </w:rPr>
        <w:t>payment of the debtors’ attorneys’ fees</w:t>
      </w:r>
      <w:r w:rsidR="005F6FF0">
        <w:rPr>
          <w:rFonts w:ascii="Avenir Next" w:hAnsi="Avenir Next"/>
          <w:color w:val="808080" w:themeColor="background1" w:themeShade="80"/>
        </w:rPr>
        <w:t xml:space="preserve">; (ii) </w:t>
      </w:r>
      <w:r w:rsidR="00A45448" w:rsidRPr="00A45448">
        <w:rPr>
          <w:rFonts w:ascii="Avenir Next" w:hAnsi="Avenir Next"/>
          <w:color w:val="808080" w:themeColor="background1" w:themeShade="80"/>
        </w:rPr>
        <w:t xml:space="preserve">requiring the violator to take </w:t>
      </w:r>
      <w:r w:rsidR="00A45448">
        <w:rPr>
          <w:rFonts w:ascii="Avenir Next" w:hAnsi="Avenir Next"/>
          <w:color w:val="808080" w:themeColor="background1" w:themeShade="80"/>
        </w:rPr>
        <w:t>action</w:t>
      </w:r>
      <w:r w:rsidR="00A45448" w:rsidRPr="00A45448">
        <w:rPr>
          <w:rFonts w:ascii="Avenir Next" w:hAnsi="Avenir Next"/>
          <w:color w:val="808080" w:themeColor="background1" w:themeShade="80"/>
        </w:rPr>
        <w:t xml:space="preserve"> to </w:t>
      </w:r>
      <w:r w:rsidR="00A45448">
        <w:rPr>
          <w:rFonts w:ascii="Avenir Next" w:hAnsi="Avenir Next"/>
          <w:color w:val="808080" w:themeColor="background1" w:themeShade="80"/>
        </w:rPr>
        <w:t xml:space="preserve">reverse </w:t>
      </w:r>
      <w:r w:rsidR="00A45448" w:rsidRPr="00A45448">
        <w:rPr>
          <w:rFonts w:ascii="Avenir Next" w:hAnsi="Avenir Next"/>
          <w:color w:val="808080" w:themeColor="background1" w:themeShade="80"/>
        </w:rPr>
        <w:t>the effect of its violation</w:t>
      </w:r>
      <w:r w:rsidR="005F6FF0">
        <w:rPr>
          <w:rFonts w:ascii="Avenir Next" w:hAnsi="Avenir Next"/>
          <w:color w:val="808080" w:themeColor="background1" w:themeShade="80"/>
        </w:rPr>
        <w:t xml:space="preserve">; </w:t>
      </w:r>
      <w:r w:rsidR="00A45448">
        <w:rPr>
          <w:rFonts w:ascii="Avenir Next" w:hAnsi="Avenir Next"/>
          <w:color w:val="808080" w:themeColor="background1" w:themeShade="80"/>
        </w:rPr>
        <w:t xml:space="preserve">or </w:t>
      </w:r>
      <w:r w:rsidR="005F6FF0">
        <w:rPr>
          <w:rFonts w:ascii="Avenir Next" w:hAnsi="Avenir Next"/>
          <w:color w:val="808080" w:themeColor="background1" w:themeShade="80"/>
        </w:rPr>
        <w:t xml:space="preserve">(iii) </w:t>
      </w:r>
      <w:r w:rsidR="00A45448">
        <w:rPr>
          <w:rFonts w:ascii="Avenir Next" w:hAnsi="Avenir Next"/>
          <w:color w:val="808080" w:themeColor="background1" w:themeShade="80"/>
        </w:rPr>
        <w:t xml:space="preserve">even coercive sanctions such as </w:t>
      </w:r>
      <w:r w:rsidR="00A45448" w:rsidRPr="00A45448">
        <w:rPr>
          <w:rFonts w:ascii="Avenir Next" w:hAnsi="Avenir Next"/>
          <w:color w:val="808080" w:themeColor="background1" w:themeShade="80"/>
        </w:rPr>
        <w:t>a daily fine to</w:t>
      </w:r>
      <w:r w:rsidR="00A45448">
        <w:rPr>
          <w:rFonts w:ascii="Avenir Next" w:hAnsi="Avenir Next"/>
          <w:color w:val="808080" w:themeColor="background1" w:themeShade="80"/>
        </w:rPr>
        <w:t xml:space="preserve"> </w:t>
      </w:r>
      <w:r w:rsidR="00A45448" w:rsidRPr="00A45448">
        <w:rPr>
          <w:rFonts w:ascii="Avenir Next" w:hAnsi="Avenir Next"/>
          <w:color w:val="808080" w:themeColor="background1" w:themeShade="80"/>
        </w:rPr>
        <w:t>be paid to the court until the stay violation has been rectified</w:t>
      </w:r>
      <w:r w:rsidR="00A45448">
        <w:rPr>
          <w:rFonts w:ascii="Avenir Next" w:hAnsi="Avenir Next"/>
          <w:color w:val="808080" w:themeColor="background1" w:themeShade="80"/>
        </w:rPr>
        <w:t>.</w:t>
      </w:r>
      <w:r w:rsidR="00A45448">
        <w:rPr>
          <w:rStyle w:val="FootnoteReference"/>
          <w:rFonts w:ascii="Avenir Next" w:hAnsi="Avenir Next"/>
          <w:color w:val="808080" w:themeColor="background1" w:themeShade="80"/>
        </w:rPr>
        <w:footnoteReference w:id="4"/>
      </w:r>
    </w:p>
    <w:p w14:paraId="43D0E697" w14:textId="7CBB903C" w:rsidR="00A45448" w:rsidRDefault="00A45448" w:rsidP="00D53B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br/>
        <w:t xml:space="preserve">As per a recent ruling of the US Supreme Court, there will be no consequences if the action doesn’t impact the </w:t>
      </w:r>
      <w:r w:rsidRPr="001E21C7">
        <w:rPr>
          <w:rFonts w:ascii="Avenir Next" w:hAnsi="Avenir Next"/>
          <w:i/>
          <w:iCs/>
          <w:color w:val="808080" w:themeColor="background1" w:themeShade="80"/>
        </w:rPr>
        <w:t>status quo</w:t>
      </w:r>
      <w:r>
        <w:rPr>
          <w:rFonts w:ascii="Avenir Next" w:hAnsi="Avenir Next"/>
          <w:color w:val="808080" w:themeColor="background1" w:themeShade="80"/>
        </w:rPr>
        <w:t xml:space="preserve"> of the estate's property.</w:t>
      </w:r>
      <w:r>
        <w:rPr>
          <w:rStyle w:val="FootnoteReference"/>
          <w:rFonts w:ascii="Avenir Next" w:hAnsi="Avenir Next"/>
          <w:color w:val="808080" w:themeColor="background1" w:themeShade="80"/>
        </w:rPr>
        <w:footnoteReference w:id="5"/>
      </w:r>
      <w:r>
        <w:rPr>
          <w:rFonts w:ascii="Avenir Next" w:hAnsi="Avenir Next"/>
          <w:color w:val="808080" w:themeColor="background1" w:themeShade="80"/>
        </w:rPr>
        <w:t xml:space="preserve"> </w:t>
      </w:r>
    </w:p>
    <w:p w14:paraId="0653025F" w14:textId="77777777" w:rsidR="00E061D7" w:rsidRPr="00622C36" w:rsidRDefault="00E061D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130FB12E" w14:textId="179451A3" w:rsidR="003946A3" w:rsidRDefault="003946A3" w:rsidP="003946A3">
      <w:pPr>
        <w:pStyle w:val="AODocTxt"/>
        <w:rPr>
          <w:rFonts w:ascii="Avenir Next" w:hAnsi="Avenir Next"/>
          <w:color w:val="808080" w:themeColor="background1" w:themeShade="80"/>
        </w:rPr>
      </w:pPr>
      <w:r w:rsidRPr="003946A3">
        <w:rPr>
          <w:rFonts w:ascii="Avenir Next" w:hAnsi="Avenir Next"/>
          <w:color w:val="808080" w:themeColor="background1" w:themeShade="80"/>
        </w:rPr>
        <w:t xml:space="preserve">An unimpaired class </w:t>
      </w:r>
      <w:r>
        <w:rPr>
          <w:rFonts w:ascii="Avenir Next" w:hAnsi="Avenir Next"/>
          <w:color w:val="808080" w:themeColor="background1" w:themeShade="80"/>
        </w:rPr>
        <w:t>of creditors will be deemed to accept the plan of reorganization.</w:t>
      </w:r>
      <w:r w:rsidR="00943FFA">
        <w:rPr>
          <w:rStyle w:val="FootnoteReference"/>
          <w:rFonts w:ascii="Avenir Next" w:hAnsi="Avenir Next"/>
          <w:color w:val="808080" w:themeColor="background1" w:themeShade="80"/>
        </w:rPr>
        <w:footnoteReference w:id="6"/>
      </w:r>
      <w:r>
        <w:rPr>
          <w:rFonts w:ascii="Avenir Next" w:hAnsi="Avenir Next"/>
          <w:color w:val="808080" w:themeColor="background1" w:themeShade="80"/>
        </w:rPr>
        <w:t xml:space="preserve"> A class of creditors will only be considered unimpaired if </w:t>
      </w:r>
      <w:r w:rsidRPr="003946A3">
        <w:rPr>
          <w:rFonts w:ascii="Avenir Next" w:hAnsi="Avenir Next"/>
          <w:color w:val="808080" w:themeColor="background1" w:themeShade="80"/>
        </w:rPr>
        <w:t xml:space="preserve">the plan </w:t>
      </w:r>
      <w:r>
        <w:rPr>
          <w:rFonts w:ascii="Avenir Next" w:hAnsi="Avenir Next"/>
          <w:color w:val="808080" w:themeColor="background1" w:themeShade="80"/>
        </w:rPr>
        <w:t xml:space="preserve">of reorganization </w:t>
      </w:r>
      <w:r w:rsidRPr="003946A3">
        <w:rPr>
          <w:rFonts w:ascii="Avenir Next" w:hAnsi="Avenir Next"/>
          <w:color w:val="808080" w:themeColor="background1" w:themeShade="80"/>
        </w:rPr>
        <w:t xml:space="preserve">leaves the </w:t>
      </w:r>
      <w:r>
        <w:rPr>
          <w:rFonts w:ascii="Avenir Next" w:hAnsi="Avenir Next"/>
          <w:color w:val="808080" w:themeColor="background1" w:themeShade="80"/>
        </w:rPr>
        <w:t>creditor's</w:t>
      </w:r>
      <w:r w:rsidRPr="003946A3">
        <w:rPr>
          <w:rFonts w:ascii="Avenir Next" w:hAnsi="Avenir Next"/>
          <w:color w:val="808080" w:themeColor="background1" w:themeShade="80"/>
        </w:rPr>
        <w:t xml:space="preserve"> </w:t>
      </w:r>
      <w:r w:rsidRPr="003946A3">
        <w:rPr>
          <w:rFonts w:ascii="Avenir Next" w:hAnsi="Avenir Next"/>
          <w:i/>
          <w:iCs/>
          <w:color w:val="808080" w:themeColor="background1" w:themeShade="80"/>
        </w:rPr>
        <w:t>“legal, equitable, and contractual rights unaltered”</w:t>
      </w:r>
      <w:r>
        <w:rPr>
          <w:rStyle w:val="FootnoteReference"/>
          <w:rFonts w:ascii="Avenir Next" w:hAnsi="Avenir Next"/>
          <w:color w:val="808080" w:themeColor="background1" w:themeShade="80"/>
        </w:rPr>
        <w:footnoteReference w:id="7"/>
      </w:r>
      <w:r>
        <w:rPr>
          <w:rFonts w:ascii="Avenir Next" w:hAnsi="Avenir Next"/>
          <w:color w:val="808080" w:themeColor="background1" w:themeShade="80"/>
        </w:rPr>
        <w:t xml:space="preserve"> or if the </w:t>
      </w:r>
      <w:r w:rsidRPr="003946A3">
        <w:rPr>
          <w:rFonts w:ascii="Avenir Next" w:hAnsi="Avenir Next"/>
          <w:i/>
          <w:iCs/>
          <w:color w:val="808080" w:themeColor="background1" w:themeShade="80"/>
        </w:rPr>
        <w:t>"plan reverses contractual acceleration by curing any monetary default and compensating the holder for any damages"</w:t>
      </w:r>
      <w:r>
        <w:rPr>
          <w:rFonts w:ascii="Avenir Next" w:hAnsi="Avenir Next"/>
          <w:i/>
          <w:iCs/>
          <w:color w:val="808080" w:themeColor="background1" w:themeShade="80"/>
        </w:rPr>
        <w:t>.</w:t>
      </w:r>
      <w:r w:rsidRPr="003946A3">
        <w:rPr>
          <w:rStyle w:val="FootnoteReference"/>
          <w:rFonts w:ascii="Avenir Next" w:hAnsi="Avenir Next"/>
          <w:color w:val="808080" w:themeColor="background1" w:themeShade="80"/>
        </w:rPr>
        <w:footnoteReference w:id="8"/>
      </w:r>
    </w:p>
    <w:p w14:paraId="5E286D5F" w14:textId="71418FAF" w:rsidR="003946A3" w:rsidRDefault="003946A3" w:rsidP="003946A3">
      <w:pPr>
        <w:pStyle w:val="AODocTxt"/>
        <w:rPr>
          <w:rFonts w:ascii="Avenir Next" w:hAnsi="Avenir Next"/>
          <w:color w:val="808080" w:themeColor="background1" w:themeShade="80"/>
        </w:rPr>
      </w:pPr>
      <w:r>
        <w:rPr>
          <w:rFonts w:ascii="Avenir Next" w:hAnsi="Avenir Next"/>
          <w:color w:val="808080" w:themeColor="background1" w:themeShade="80"/>
        </w:rPr>
        <w:t xml:space="preserve">A class of creditors </w:t>
      </w:r>
      <w:r w:rsidR="00943FFA">
        <w:rPr>
          <w:rFonts w:ascii="Avenir Next" w:hAnsi="Avenir Next"/>
          <w:color w:val="808080" w:themeColor="background1" w:themeShade="80"/>
        </w:rPr>
        <w:t xml:space="preserve">who will </w:t>
      </w:r>
      <w:r w:rsidRPr="003946A3">
        <w:rPr>
          <w:rFonts w:ascii="Avenir Next" w:hAnsi="Avenir Next"/>
          <w:color w:val="808080" w:themeColor="background1" w:themeShade="80"/>
        </w:rPr>
        <w:t xml:space="preserve">receive nothing </w:t>
      </w:r>
      <w:r w:rsidR="00943FFA">
        <w:rPr>
          <w:rFonts w:ascii="Avenir Next" w:hAnsi="Avenir Next"/>
          <w:color w:val="808080" w:themeColor="background1" w:themeShade="80"/>
        </w:rPr>
        <w:t xml:space="preserve">following the plan of reorganization will be </w:t>
      </w:r>
      <w:r w:rsidRPr="003946A3">
        <w:rPr>
          <w:rFonts w:ascii="Avenir Next" w:hAnsi="Avenir Next"/>
          <w:color w:val="808080" w:themeColor="background1" w:themeShade="80"/>
        </w:rPr>
        <w:t>deemed to reject the plan</w:t>
      </w:r>
      <w:r w:rsidR="00943FFA">
        <w:rPr>
          <w:rFonts w:ascii="Avenir Next" w:hAnsi="Avenir Next"/>
          <w:color w:val="808080" w:themeColor="background1" w:themeShade="80"/>
        </w:rPr>
        <w:t>.</w:t>
      </w:r>
      <w:r w:rsidR="00943FFA">
        <w:rPr>
          <w:rStyle w:val="FootnoteReference"/>
          <w:rFonts w:ascii="Avenir Next" w:hAnsi="Avenir Next"/>
          <w:color w:val="808080" w:themeColor="background1" w:themeShade="80"/>
        </w:rPr>
        <w:footnoteReference w:id="9"/>
      </w:r>
      <w:r w:rsidR="00943FFA">
        <w:rPr>
          <w:rFonts w:ascii="Avenir Next" w:hAnsi="Avenir Next"/>
          <w:color w:val="808080" w:themeColor="background1" w:themeShade="80"/>
        </w:rPr>
        <w:t xml:space="preserve"> </w:t>
      </w:r>
    </w:p>
    <w:p w14:paraId="037B4B36" w14:textId="3B3C77A4" w:rsidR="001D3BAA" w:rsidRPr="002B5D64" w:rsidRDefault="000B7D6F" w:rsidP="000B7D6F">
      <w:pPr>
        <w:pStyle w:val="AODocTxt"/>
        <w:rPr>
          <w:rFonts w:ascii="Avenir Next" w:hAnsi="Avenir Next"/>
          <w:color w:val="808080" w:themeColor="background1" w:themeShade="80"/>
        </w:rPr>
      </w:pPr>
      <w:r>
        <w:rPr>
          <w:rFonts w:ascii="Avenir Next" w:hAnsi="Avenir Next"/>
          <w:color w:val="808080" w:themeColor="background1" w:themeShade="80"/>
        </w:rPr>
        <w:t xml:space="preserve">The necessary vote for a class of creditors to accept a plan of reorganization is </w:t>
      </w:r>
      <w:r w:rsidR="003946A3" w:rsidRPr="003946A3">
        <w:rPr>
          <w:rFonts w:ascii="Avenir Next" w:hAnsi="Avenir Next"/>
          <w:color w:val="808080" w:themeColor="background1" w:themeShade="80"/>
        </w:rPr>
        <w:t>a simple majority of the creditors in the class,</w:t>
      </w:r>
      <w:r w:rsidR="003946A3">
        <w:rPr>
          <w:rFonts w:ascii="Avenir Next" w:hAnsi="Avenir Next"/>
          <w:color w:val="808080" w:themeColor="background1" w:themeShade="80"/>
        </w:rPr>
        <w:t xml:space="preserve"> </w:t>
      </w:r>
      <w:r w:rsidR="003946A3" w:rsidRPr="003946A3">
        <w:rPr>
          <w:rFonts w:ascii="Avenir Next" w:hAnsi="Avenir Next"/>
          <w:color w:val="808080" w:themeColor="background1" w:themeShade="80"/>
        </w:rPr>
        <w:t>holding at least two-thirds of the value of claims in the class</w:t>
      </w:r>
      <w:r>
        <w:rPr>
          <w:rFonts w:ascii="Avenir Next" w:hAnsi="Avenir Next"/>
          <w:color w:val="808080" w:themeColor="background1" w:themeShade="80"/>
        </w:rPr>
        <w:t xml:space="preserve">; </w:t>
      </w:r>
      <w:r w:rsidR="003946A3" w:rsidRPr="003946A3">
        <w:rPr>
          <w:rFonts w:ascii="Avenir Next" w:hAnsi="Avenir Next"/>
          <w:color w:val="808080" w:themeColor="background1" w:themeShade="80"/>
        </w:rPr>
        <w:t>or</w:t>
      </w:r>
      <w:r w:rsidR="007B1843">
        <w:rPr>
          <w:rFonts w:ascii="Avenir Next" w:hAnsi="Avenir Next"/>
          <w:color w:val="808080" w:themeColor="background1" w:themeShade="80"/>
        </w:rPr>
        <w:t xml:space="preserve"> in the case of </w:t>
      </w:r>
      <w:r w:rsidRPr="003946A3">
        <w:rPr>
          <w:rFonts w:ascii="Avenir Next" w:hAnsi="Avenir Next"/>
          <w:color w:val="808080" w:themeColor="background1" w:themeShade="80"/>
        </w:rPr>
        <w:t>equity interests</w:t>
      </w:r>
      <w:r w:rsidR="007B1843">
        <w:rPr>
          <w:rFonts w:ascii="Avenir Next" w:hAnsi="Avenir Next"/>
          <w:color w:val="808080" w:themeColor="background1" w:themeShade="80"/>
        </w:rPr>
        <w:t xml:space="preserve">, </w:t>
      </w:r>
      <w:r w:rsidR="007B1843" w:rsidRPr="003946A3">
        <w:rPr>
          <w:rFonts w:ascii="Avenir Next" w:hAnsi="Avenir Next"/>
          <w:color w:val="808080" w:themeColor="background1" w:themeShade="80"/>
        </w:rPr>
        <w:t xml:space="preserve">two-thirds in amount </w:t>
      </w:r>
      <w:r w:rsidR="007B1843">
        <w:rPr>
          <w:rFonts w:ascii="Avenir Next" w:hAnsi="Avenir Next"/>
          <w:color w:val="808080" w:themeColor="background1" w:themeShade="80"/>
        </w:rPr>
        <w:t xml:space="preserve">of those interest vote in </w:t>
      </w:r>
      <w:proofErr w:type="spellStart"/>
      <w:r w:rsidR="007B1843">
        <w:rPr>
          <w:rFonts w:ascii="Avenir Next" w:hAnsi="Avenir Next"/>
          <w:color w:val="808080" w:themeColor="background1" w:themeShade="80"/>
        </w:rPr>
        <w:t>favour</w:t>
      </w:r>
      <w:proofErr w:type="spellEnd"/>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10"/>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4A33A70F" w:rsidR="001445EF" w:rsidRPr="00FB2CC9" w:rsidRDefault="001445EF" w:rsidP="00224888">
      <w:pPr>
        <w:pStyle w:val="AODocTxt"/>
        <w:numPr>
          <w:ilvl w:val="0"/>
          <w:numId w:val="36"/>
        </w:numPr>
        <w:spacing w:after="240" w:line="240" w:lineRule="auto"/>
        <w:ind w:left="426" w:hanging="426"/>
        <w:rPr>
          <w:rFonts w:ascii="Avenir Next" w:hAnsi="Avenir Next" w:cstheme="majorHAnsi"/>
        </w:rPr>
      </w:pPr>
      <w:r w:rsidRPr="00FB2CC9">
        <w:rPr>
          <w:rFonts w:ascii="Avenir Next" w:hAnsi="Avenir Next" w:cstheme="majorHAnsi"/>
        </w:rPr>
        <w:t>Which cause of action applies only to transfers made on account of antecedent debt?</w:t>
      </w:r>
      <w:r w:rsidR="00B37E82" w:rsidRPr="00FB2CC9">
        <w:rPr>
          <w:rFonts w:ascii="Avenir Next" w:hAnsi="Avenir Next" w:cstheme="majorHAnsi"/>
        </w:rPr>
        <w:t xml:space="preserve"> </w:t>
      </w:r>
    </w:p>
    <w:p w14:paraId="1D225EBF" w14:textId="17D1B353"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r w:rsidR="001E21C7">
        <w:rPr>
          <w:rFonts w:ascii="Avenir Next" w:hAnsi="Avenir Next" w:cstheme="majorHAnsi"/>
        </w:rPr>
        <w:t xml:space="preserve"> </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31A50571" w14:textId="27984667" w:rsidR="00B37E82" w:rsidRPr="00B37E82" w:rsidRDefault="00224888" w:rsidP="001D3BAA">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r w:rsidR="001E21C7">
        <w:rPr>
          <w:rFonts w:ascii="Avenir Next" w:hAnsi="Avenir Next" w:cstheme="majorHAnsi"/>
        </w:rPr>
        <w:t xml:space="preserve"> </w:t>
      </w:r>
    </w:p>
    <w:p w14:paraId="67D93531" w14:textId="77777777" w:rsidR="00B37E82" w:rsidRDefault="00B37E82" w:rsidP="001D3BAA">
      <w:pPr>
        <w:pStyle w:val="AODocTxt"/>
        <w:spacing w:before="0" w:line="240" w:lineRule="auto"/>
        <w:rPr>
          <w:rFonts w:ascii="Avenir Next" w:hAnsi="Avenir Next"/>
          <w:color w:val="808080" w:themeColor="background1" w:themeShade="80"/>
        </w:rPr>
      </w:pPr>
    </w:p>
    <w:p w14:paraId="10C7EFF3" w14:textId="2495A95F" w:rsidR="00B37E82" w:rsidRDefault="007C672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With respect to (a), t</w:t>
      </w:r>
      <w:r w:rsidR="00FB2CC9">
        <w:rPr>
          <w:rFonts w:ascii="Avenir Next" w:hAnsi="Avenir Next"/>
          <w:color w:val="808080" w:themeColor="background1" w:themeShade="80"/>
        </w:rPr>
        <w:t xml:space="preserve">he cause of action which applies </w:t>
      </w:r>
      <w:r w:rsidR="00FB2CC9" w:rsidRPr="00FB2CC9">
        <w:rPr>
          <w:rFonts w:ascii="Avenir Next" w:hAnsi="Avenir Next"/>
          <w:color w:val="808080" w:themeColor="background1" w:themeShade="80"/>
        </w:rPr>
        <w:t>only to transfers made on account of antecedent debt</w:t>
      </w:r>
      <w:r w:rsidR="00FB2CC9">
        <w:rPr>
          <w:rFonts w:ascii="Avenir Next" w:hAnsi="Avenir Next"/>
          <w:color w:val="808080" w:themeColor="background1" w:themeShade="80"/>
        </w:rPr>
        <w:t xml:space="preserve"> is a preference claim.  </w:t>
      </w:r>
      <w:r w:rsidR="00FB2CC9" w:rsidRPr="00FB2CC9">
        <w:rPr>
          <w:rFonts w:ascii="Avenir Next" w:hAnsi="Avenir Next"/>
          <w:i/>
          <w:iCs/>
          <w:color w:val="808080" w:themeColor="background1" w:themeShade="80"/>
        </w:rPr>
        <w:t>"A preference is a transfer of the debtor’s property made in a suspect period before the petition date that must be returned to the estate if it exceeds the amount the recipient would have received in a chapter 7 liquidation had the transfer not been made."</w:t>
      </w:r>
      <w:r w:rsidR="00FB2CC9">
        <w:rPr>
          <w:rFonts w:ascii="Avenir Next" w:hAnsi="Avenir Next"/>
          <w:i/>
          <w:iCs/>
          <w:color w:val="808080" w:themeColor="background1" w:themeShade="80"/>
        </w:rPr>
        <w:t xml:space="preserve"> </w:t>
      </w:r>
      <w:r w:rsidR="00FB2CC9">
        <w:rPr>
          <w:rStyle w:val="FootnoteReference"/>
          <w:rFonts w:ascii="Avenir Next" w:hAnsi="Avenir Next"/>
          <w:color w:val="808080" w:themeColor="background1" w:themeShade="80"/>
        </w:rPr>
        <w:footnoteReference w:id="11"/>
      </w:r>
      <w:r w:rsidR="00FB2CC9">
        <w:rPr>
          <w:rFonts w:ascii="Avenir Next" w:hAnsi="Avenir Next"/>
          <w:i/>
          <w:iCs/>
          <w:color w:val="808080" w:themeColor="background1" w:themeShade="80"/>
        </w:rPr>
        <w:t xml:space="preserve"> </w:t>
      </w:r>
      <w:r w:rsidR="00FB2CC9">
        <w:rPr>
          <w:rFonts w:ascii="Avenir Next" w:hAnsi="Avenir Next"/>
          <w:color w:val="808080" w:themeColor="background1" w:themeShade="80"/>
        </w:rPr>
        <w:t xml:space="preserve">The suspect period is the 90-day period prior to the petition date.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make out a preference claim, it is necessary </w:t>
      </w:r>
      <w:r>
        <w:rPr>
          <w:rFonts w:ascii="Avenir Next" w:hAnsi="Avenir Next"/>
          <w:color w:val="808080" w:themeColor="background1" w:themeShade="80"/>
        </w:rPr>
        <w:lastRenderedPageBreak/>
        <w:t>to prove that the relevant transfer occurred in that 90-day period and that it was made for or on account of an antecedent debt that was owed by the debtor before that transfer was made. This is because preferences only arise where the debtor is paying a creditor for an existing debt.</w:t>
      </w:r>
      <w:r>
        <w:rPr>
          <w:rStyle w:val="FootnoteReference"/>
          <w:rFonts w:ascii="Avenir Next" w:hAnsi="Avenir Next"/>
          <w:color w:val="808080" w:themeColor="background1" w:themeShade="80"/>
        </w:rPr>
        <w:footnoteReference w:id="12"/>
      </w:r>
      <w:r>
        <w:rPr>
          <w:rFonts w:ascii="Avenir Next" w:hAnsi="Avenir Next"/>
          <w:color w:val="808080" w:themeColor="background1" w:themeShade="80"/>
        </w:rPr>
        <w:t xml:space="preserve"> </w:t>
      </w:r>
      <w:r w:rsidR="005F6FF0">
        <w:rPr>
          <w:rFonts w:ascii="Avenir Next" w:hAnsi="Avenir Next"/>
          <w:color w:val="808080" w:themeColor="background1" w:themeShade="80"/>
        </w:rPr>
        <w:t xml:space="preserve"> </w:t>
      </w:r>
    </w:p>
    <w:p w14:paraId="7E1B5485" w14:textId="77777777" w:rsidR="007C6722" w:rsidRDefault="007C6722" w:rsidP="001D3BAA">
      <w:pPr>
        <w:pStyle w:val="AODocTxt"/>
        <w:spacing w:before="0" w:line="240" w:lineRule="auto"/>
        <w:rPr>
          <w:rFonts w:ascii="Avenir Next" w:hAnsi="Avenir Next"/>
          <w:color w:val="808080" w:themeColor="background1" w:themeShade="80"/>
        </w:rPr>
      </w:pPr>
    </w:p>
    <w:p w14:paraId="5857CBC3" w14:textId="4C008F0B" w:rsidR="000C1A3F" w:rsidRPr="00FB2CC9" w:rsidRDefault="007C672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Similarly, with respect to (b)</w:t>
      </w:r>
      <w:r w:rsidR="000C1A3F">
        <w:rPr>
          <w:rFonts w:ascii="Avenir Next" w:hAnsi="Avenir Next"/>
          <w:color w:val="808080" w:themeColor="background1" w:themeShade="80"/>
        </w:rPr>
        <w:t xml:space="preserve"> a preference claim also requires proof that the debtor was insolvent at the time of making the transfer. </w:t>
      </w:r>
      <w:r w:rsidR="00744CAE">
        <w:rPr>
          <w:rFonts w:ascii="Avenir Next" w:hAnsi="Avenir Next"/>
          <w:color w:val="808080" w:themeColor="background1" w:themeShade="80"/>
        </w:rPr>
        <w:t xml:space="preserve"> </w:t>
      </w:r>
      <w:r w:rsidR="000C1A3F" w:rsidRPr="005F6FF0">
        <w:rPr>
          <w:rFonts w:ascii="Avenir Next" w:hAnsi="Avenir Next"/>
          <w:color w:val="808080" w:themeColor="background1" w:themeShade="80"/>
        </w:rPr>
        <w:t>Pursuant to 11 USC, § 547(f),</w:t>
      </w:r>
      <w:r w:rsidR="000C1A3F">
        <w:rPr>
          <w:rFonts w:ascii="Avenir Next" w:hAnsi="Avenir Next"/>
          <w:color w:val="808080" w:themeColor="background1" w:themeShade="80"/>
        </w:rPr>
        <w:t xml:space="preserve"> a debtor is presumed to </w:t>
      </w:r>
      <w:r w:rsidR="000C1A3F" w:rsidRPr="000C1A3F">
        <w:rPr>
          <w:rFonts w:ascii="Avenir Next" w:hAnsi="Avenir Next"/>
          <w:color w:val="808080" w:themeColor="background1" w:themeShade="80"/>
        </w:rPr>
        <w:t>have been insolvent on and during the 90 days prior to the petition</w:t>
      </w:r>
      <w:r w:rsidR="000C1A3F">
        <w:rPr>
          <w:rFonts w:ascii="Avenir Next" w:hAnsi="Avenir Next"/>
          <w:color w:val="808080" w:themeColor="background1" w:themeShade="80"/>
        </w:rPr>
        <w:t xml:space="preserve"> </w:t>
      </w:r>
      <w:r w:rsidR="000C1A3F" w:rsidRPr="000C1A3F">
        <w:rPr>
          <w:rFonts w:ascii="Avenir Next" w:hAnsi="Avenir Next"/>
          <w:color w:val="808080" w:themeColor="background1" w:themeShade="80"/>
        </w:rPr>
        <w:t>date</w:t>
      </w:r>
      <w:r w:rsidR="000C1A3F">
        <w:rPr>
          <w:rFonts w:ascii="Avenir Next" w:hAnsi="Avenir Next"/>
          <w:color w:val="808080" w:themeColor="background1" w:themeShade="80"/>
        </w:rPr>
        <w:t xml:space="preserve">. Any </w:t>
      </w:r>
      <w:r w:rsidR="000C1A3F" w:rsidRPr="000C1A3F">
        <w:rPr>
          <w:rFonts w:ascii="Avenir Next" w:hAnsi="Avenir Next"/>
          <w:color w:val="808080" w:themeColor="background1" w:themeShade="80"/>
        </w:rPr>
        <w:t>creditor may present evidence to</w:t>
      </w:r>
      <w:r w:rsidR="000D54B7">
        <w:rPr>
          <w:rFonts w:ascii="Avenir Next" w:hAnsi="Avenir Next"/>
          <w:color w:val="808080" w:themeColor="background1" w:themeShade="80"/>
        </w:rPr>
        <w:t xml:space="preserve"> </w:t>
      </w:r>
      <w:r w:rsidR="000C1A3F" w:rsidRPr="000C1A3F">
        <w:rPr>
          <w:rFonts w:ascii="Avenir Next" w:hAnsi="Avenir Next"/>
          <w:color w:val="808080" w:themeColor="background1" w:themeShade="80"/>
        </w:rPr>
        <w:t>rebut the presumption</w:t>
      </w:r>
      <w:r w:rsidR="000D54B7">
        <w:rPr>
          <w:rFonts w:ascii="Avenir Next" w:hAnsi="Avenir Next"/>
          <w:color w:val="808080" w:themeColor="background1" w:themeShade="80"/>
        </w:rPr>
        <w:t xml:space="preserve"> but the</w:t>
      </w:r>
      <w:r w:rsidR="000C1A3F" w:rsidRPr="000C1A3F">
        <w:rPr>
          <w:rFonts w:ascii="Avenir Next" w:hAnsi="Avenir Next"/>
          <w:color w:val="808080" w:themeColor="background1" w:themeShade="80"/>
        </w:rPr>
        <w:t xml:space="preserve"> burden of proving insolvency on a balance sheet basis</w:t>
      </w:r>
      <w:r w:rsidR="000D54B7">
        <w:rPr>
          <w:rFonts w:ascii="Avenir Next" w:hAnsi="Avenir Next"/>
          <w:color w:val="808080" w:themeColor="background1" w:themeShade="80"/>
        </w:rPr>
        <w:t xml:space="preserve"> </w:t>
      </w:r>
      <w:r w:rsidR="000C1A3F" w:rsidRPr="000C1A3F">
        <w:rPr>
          <w:rFonts w:ascii="Avenir Next" w:hAnsi="Avenir Next"/>
          <w:color w:val="808080" w:themeColor="background1" w:themeShade="80"/>
        </w:rPr>
        <w:t>at the time of the transfer is on the trustee or debtor.</w:t>
      </w:r>
      <w:r w:rsidR="000D54B7">
        <w:rPr>
          <w:rStyle w:val="FootnoteReference"/>
          <w:rFonts w:ascii="Avenir Next" w:hAnsi="Avenir Next"/>
          <w:color w:val="808080" w:themeColor="background1" w:themeShade="80"/>
        </w:rPr>
        <w:footnoteReference w:id="13"/>
      </w:r>
    </w:p>
    <w:p w14:paraId="19F67D32" w14:textId="77777777" w:rsidR="00FB2CC9" w:rsidRDefault="00FB2CC9" w:rsidP="001D3BAA">
      <w:pPr>
        <w:pStyle w:val="AODocTxt"/>
        <w:spacing w:before="0" w:line="240" w:lineRule="auto"/>
        <w:rPr>
          <w:rFonts w:ascii="Avenir Next" w:hAnsi="Avenir Next"/>
          <w:color w:val="808080" w:themeColor="background1" w:themeShade="80"/>
        </w:rPr>
      </w:pPr>
    </w:p>
    <w:p w14:paraId="7779A03A" w14:textId="35C366AF" w:rsidR="001D3BAA" w:rsidRPr="00B37E82" w:rsidRDefault="00B37E8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With respect to (c), a</w:t>
      </w:r>
      <w:r w:rsidR="006F3A71" w:rsidRPr="006F3A71">
        <w:rPr>
          <w:rFonts w:ascii="Avenir Next" w:hAnsi="Avenir Next"/>
          <w:color w:val="808080" w:themeColor="background1" w:themeShade="80"/>
        </w:rPr>
        <w:t>ctual fraudulent conveyances</w:t>
      </w:r>
      <w:r>
        <w:rPr>
          <w:rFonts w:ascii="Avenir Next" w:hAnsi="Avenir Next"/>
          <w:color w:val="808080" w:themeColor="background1" w:themeShade="80"/>
        </w:rPr>
        <w:t xml:space="preserve"> require the debtor to be proven to have made a transfer or incurred an obligation</w:t>
      </w:r>
      <w:r w:rsidRPr="00B37E82">
        <w:t xml:space="preserve"> </w:t>
      </w:r>
      <w:r w:rsidRPr="00B37E82">
        <w:rPr>
          <w:rFonts w:ascii="Avenir Next" w:hAnsi="Avenir Next"/>
          <w:i/>
          <w:iCs/>
          <w:color w:val="808080" w:themeColor="background1" w:themeShade="80"/>
        </w:rPr>
        <w:t>“with actual intent to hinder, delay, or defraud any entity to which the debtor was or became . . . indebted."</w:t>
      </w:r>
      <w:r w:rsidRPr="00B37E82">
        <w:rPr>
          <w:rStyle w:val="FootnoteReference"/>
          <w:rFonts w:ascii="Avenir Next" w:hAnsi="Avenir Next"/>
          <w:color w:val="808080" w:themeColor="background1" w:themeShade="80"/>
        </w:rPr>
        <w:footnoteReference w:id="14"/>
      </w:r>
      <w:r>
        <w:rPr>
          <w:rFonts w:ascii="Avenir Next" w:hAnsi="Avenir Next"/>
          <w:i/>
          <w:iCs/>
          <w:color w:val="808080" w:themeColor="background1" w:themeShade="80"/>
        </w:rPr>
        <w:t xml:space="preserve"> </w:t>
      </w:r>
      <w:r>
        <w:rPr>
          <w:rFonts w:ascii="Avenir Next" w:hAnsi="Avenir Next"/>
          <w:color w:val="808080" w:themeColor="background1" w:themeShade="80"/>
        </w:rPr>
        <w:t xml:space="preserve">Intending to hinder, delay or defraud any entity to which the debtor was or became indebted represents frustrating creditors' recoveries.  Such an intention is not required to establish that there has been a </w:t>
      </w:r>
      <w:r w:rsidRPr="00B37E82">
        <w:rPr>
          <w:rFonts w:ascii="Avenir Next" w:hAnsi="Avenir Next"/>
          <w:color w:val="808080" w:themeColor="background1" w:themeShade="80"/>
        </w:rPr>
        <w:t>constructive fraudulent conveyance</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15"/>
      </w:r>
      <w:r>
        <w:rPr>
          <w:rFonts w:ascii="Avenir Next" w:hAnsi="Avenir Next"/>
          <w:color w:val="808080" w:themeColor="background1" w:themeShade="80"/>
        </w:rPr>
        <w:t xml:space="preserve"> </w:t>
      </w:r>
    </w:p>
    <w:p w14:paraId="4CECCF68" w14:textId="77777777" w:rsidR="006F3A71" w:rsidRPr="001B1763" w:rsidRDefault="006F3A71"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52AC4845" w14:textId="77777777" w:rsidR="00E45FC3" w:rsidRDefault="00CC40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US bankruptcy court was created by statute, specifically the </w:t>
      </w:r>
      <w:r w:rsidRPr="00CC407F">
        <w:rPr>
          <w:rFonts w:ascii="Avenir Next" w:hAnsi="Avenir Next"/>
          <w:color w:val="808080" w:themeColor="background1" w:themeShade="80"/>
        </w:rPr>
        <w:t>1978 Bankruptcy Code</w:t>
      </w:r>
      <w:r>
        <w:rPr>
          <w:rFonts w:ascii="Avenir Next" w:hAnsi="Avenir Next"/>
          <w:color w:val="808080" w:themeColor="background1" w:themeShade="80"/>
        </w:rPr>
        <w:t xml:space="preserve">, </w:t>
      </w:r>
      <w:r w:rsidRPr="00FE2252">
        <w:rPr>
          <w:rFonts w:ascii="Avenir Next" w:hAnsi="Avenir Next"/>
          <w:color w:val="808080" w:themeColor="background1" w:themeShade="80"/>
        </w:rPr>
        <w:t xml:space="preserve">rather </w:t>
      </w:r>
      <w:r>
        <w:rPr>
          <w:rFonts w:ascii="Avenir Next" w:hAnsi="Avenir Next"/>
          <w:color w:val="808080" w:themeColor="background1" w:themeShade="80"/>
        </w:rPr>
        <w:t xml:space="preserve">than </w:t>
      </w:r>
      <w:r w:rsidRPr="00FE2252">
        <w:rPr>
          <w:rFonts w:ascii="Avenir Next" w:hAnsi="Avenir Next"/>
          <w:color w:val="808080" w:themeColor="background1" w:themeShade="80"/>
        </w:rPr>
        <w:t>directly by Article III of the US Constitution</w:t>
      </w:r>
      <w:r>
        <w:rPr>
          <w:rFonts w:ascii="Avenir Next" w:hAnsi="Avenir Next"/>
          <w:color w:val="808080" w:themeColor="background1" w:themeShade="80"/>
        </w:rPr>
        <w:t xml:space="preserve"> which established most other US federal courts.</w:t>
      </w:r>
      <w:r>
        <w:rPr>
          <w:rStyle w:val="FootnoteReference"/>
          <w:rFonts w:ascii="Avenir Next" w:hAnsi="Avenir Next"/>
          <w:color w:val="808080" w:themeColor="background1" w:themeShade="80"/>
        </w:rPr>
        <w:footnoteReference w:id="16"/>
      </w:r>
      <w:r>
        <w:rPr>
          <w:rFonts w:ascii="Avenir Next" w:hAnsi="Avenir Next"/>
          <w:color w:val="808080" w:themeColor="background1" w:themeShade="80"/>
        </w:rPr>
        <w:t xml:space="preserve"> </w:t>
      </w:r>
      <w:r w:rsidR="00A861AD">
        <w:rPr>
          <w:rFonts w:ascii="Avenir Next" w:hAnsi="Avenir Next"/>
          <w:color w:val="808080" w:themeColor="background1" w:themeShade="80"/>
        </w:rPr>
        <w:t xml:space="preserve">A result of this is that the bankruptcy courts have </w:t>
      </w:r>
      <w:r w:rsidR="003A2A0F">
        <w:rPr>
          <w:rFonts w:ascii="Avenir Next" w:hAnsi="Avenir Next"/>
          <w:color w:val="808080" w:themeColor="background1" w:themeShade="80"/>
        </w:rPr>
        <w:t xml:space="preserve">limited </w:t>
      </w:r>
      <w:r w:rsidR="00A861AD" w:rsidRPr="00FE2252">
        <w:rPr>
          <w:rFonts w:ascii="Avenir Next" w:hAnsi="Avenir Next"/>
          <w:color w:val="808080" w:themeColor="background1" w:themeShade="80"/>
        </w:rPr>
        <w:t xml:space="preserve">jurisdiction to enter final orders other than on </w:t>
      </w:r>
      <w:r w:rsidR="00A861AD" w:rsidRPr="00EF2E22">
        <w:rPr>
          <w:rFonts w:ascii="Avenir Next" w:hAnsi="Avenir Next"/>
          <w:b/>
          <w:bCs/>
          <w:color w:val="808080" w:themeColor="background1" w:themeShade="80"/>
        </w:rPr>
        <w:t xml:space="preserve">core </w:t>
      </w:r>
      <w:r w:rsidR="00A861AD" w:rsidRPr="00FE2252">
        <w:rPr>
          <w:rFonts w:ascii="Avenir Next" w:hAnsi="Avenir Next"/>
          <w:color w:val="808080" w:themeColor="background1" w:themeShade="80"/>
        </w:rPr>
        <w:t>bankruptcy</w:t>
      </w:r>
      <w:r w:rsidR="00A861AD">
        <w:rPr>
          <w:rFonts w:ascii="Avenir Next" w:hAnsi="Avenir Next"/>
          <w:color w:val="808080" w:themeColor="background1" w:themeShade="80"/>
        </w:rPr>
        <w:t xml:space="preserve"> </w:t>
      </w:r>
      <w:r w:rsidR="00A861AD" w:rsidRPr="00FE2252">
        <w:rPr>
          <w:rFonts w:ascii="Avenir Next" w:hAnsi="Avenir Next"/>
          <w:color w:val="808080" w:themeColor="background1" w:themeShade="80"/>
        </w:rPr>
        <w:t>issues.</w:t>
      </w:r>
      <w:r w:rsidR="00A17C3C">
        <w:rPr>
          <w:rStyle w:val="FootnoteReference"/>
          <w:rFonts w:ascii="Avenir Next" w:hAnsi="Avenir Next"/>
          <w:color w:val="808080" w:themeColor="background1" w:themeShade="80"/>
        </w:rPr>
        <w:footnoteReference w:id="17"/>
      </w:r>
      <w:r w:rsidR="003A2A0F">
        <w:rPr>
          <w:rFonts w:ascii="Avenir Next" w:hAnsi="Avenir Next"/>
          <w:color w:val="808080" w:themeColor="background1" w:themeShade="80"/>
        </w:rPr>
        <w:t xml:space="preserve"> </w:t>
      </w:r>
    </w:p>
    <w:p w14:paraId="34C13E1F" w14:textId="77777777" w:rsidR="00E45FC3" w:rsidRDefault="00E45FC3" w:rsidP="001D3BAA">
      <w:pPr>
        <w:pStyle w:val="AODocTxt"/>
        <w:spacing w:before="0" w:line="240" w:lineRule="auto"/>
        <w:rPr>
          <w:rFonts w:ascii="Avenir Next" w:hAnsi="Avenir Next"/>
          <w:color w:val="808080" w:themeColor="background1" w:themeShade="80"/>
        </w:rPr>
      </w:pPr>
    </w:p>
    <w:p w14:paraId="65A25A75" w14:textId="365D4F8A" w:rsidR="00E45FC3" w:rsidRDefault="00EF2E2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Section 157 of the Bankruptcy Code sets out a non-exhaustive list of core proceedings, which include for example, matters concerning the administration of estates, preference claims and determinations as to the discharge of debts, among many other things.</w:t>
      </w:r>
      <w:r>
        <w:rPr>
          <w:rStyle w:val="FootnoteReference"/>
          <w:rFonts w:ascii="Avenir Next" w:hAnsi="Avenir Next"/>
          <w:color w:val="808080" w:themeColor="background1" w:themeShade="80"/>
        </w:rPr>
        <w:footnoteReference w:id="18"/>
      </w:r>
      <w:r>
        <w:rPr>
          <w:rFonts w:ascii="Avenir Next" w:hAnsi="Avenir Next"/>
          <w:color w:val="808080" w:themeColor="background1" w:themeShade="80"/>
        </w:rPr>
        <w:t xml:space="preserve">  </w:t>
      </w:r>
    </w:p>
    <w:p w14:paraId="49A54298" w14:textId="77777777" w:rsidR="00E45FC3" w:rsidRDefault="00E45FC3" w:rsidP="001D3BAA">
      <w:pPr>
        <w:pStyle w:val="AODocTxt"/>
        <w:spacing w:before="0" w:line="240" w:lineRule="auto"/>
        <w:rPr>
          <w:rFonts w:ascii="Avenir Next" w:hAnsi="Avenir Next"/>
          <w:color w:val="808080" w:themeColor="background1" w:themeShade="80"/>
        </w:rPr>
      </w:pPr>
    </w:p>
    <w:p w14:paraId="3262DF84" w14:textId="207528A7" w:rsidR="00EF2E22" w:rsidRDefault="00EF2E2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matter in issue is a non-core matter, the bankruptcy court may only</w:t>
      </w:r>
      <w:r w:rsidR="002A6BA5">
        <w:rPr>
          <w:rFonts w:ascii="Avenir Next" w:hAnsi="Avenir Next"/>
          <w:color w:val="808080" w:themeColor="background1" w:themeShade="80"/>
        </w:rPr>
        <w:t xml:space="preserve"> hear the matter if it is sufficiently connected to a bankruptcy proceeding and cannot make a final determination and instead must submit its determination to the district court at which any interested parties may participate and object before the district court makes the final decision on the matter. </w:t>
      </w:r>
      <w:r>
        <w:rPr>
          <w:rFonts w:ascii="Avenir Next" w:hAnsi="Avenir Next"/>
          <w:color w:val="808080" w:themeColor="background1" w:themeShade="80"/>
        </w:rPr>
        <w:t xml:space="preserve"> </w:t>
      </w:r>
    </w:p>
    <w:p w14:paraId="3BF39FA5" w14:textId="77777777" w:rsidR="00EF2E22" w:rsidRDefault="00EF2E22" w:rsidP="001D3BAA">
      <w:pPr>
        <w:pStyle w:val="AODocTxt"/>
        <w:spacing w:before="0" w:line="240" w:lineRule="auto"/>
        <w:rPr>
          <w:rFonts w:ascii="Avenir Next" w:hAnsi="Avenir Next"/>
          <w:color w:val="808080" w:themeColor="background1" w:themeShade="80"/>
        </w:rPr>
      </w:pPr>
    </w:p>
    <w:p w14:paraId="41284EC0" w14:textId="57C71469" w:rsidR="001D3BAA" w:rsidRDefault="003A2A0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Due to various jurisdictional challenges over the years, and conflicts between the kinds of orders that the bankruptcy courts can make as opposed to the Article III Courts, the Bankruptcy Code has been amended from time to time to clarify the bankruptcy court's jurisdiction and powers. </w:t>
      </w:r>
      <w:r w:rsidR="003E1BAC">
        <w:rPr>
          <w:rFonts w:ascii="Avenir Next" w:hAnsi="Avenir Next"/>
          <w:color w:val="808080" w:themeColor="background1" w:themeShade="80"/>
        </w:rPr>
        <w:t>One case which caused controversy was</w:t>
      </w:r>
      <w:r w:rsidR="002A6BA5">
        <w:rPr>
          <w:rFonts w:ascii="Avenir Next" w:hAnsi="Avenir Next"/>
          <w:color w:val="808080" w:themeColor="background1" w:themeShade="80"/>
        </w:rPr>
        <w:t xml:space="preserve">, </w:t>
      </w:r>
      <w:r w:rsidR="002A6BA5" w:rsidRPr="002A6BA5">
        <w:rPr>
          <w:rFonts w:ascii="Avenir Next" w:hAnsi="Avenir Next"/>
          <w:i/>
          <w:iCs/>
          <w:color w:val="808080" w:themeColor="background1" w:themeShade="80"/>
        </w:rPr>
        <w:t>Stern v Marshall</w:t>
      </w:r>
      <w:r w:rsidR="002A6BA5" w:rsidRPr="002A6BA5">
        <w:rPr>
          <w:rFonts w:ascii="Avenir Next" w:hAnsi="Avenir Next"/>
          <w:color w:val="808080" w:themeColor="background1" w:themeShade="80"/>
        </w:rPr>
        <w:t xml:space="preserve"> 564 US 462 (2011)</w:t>
      </w:r>
      <w:r w:rsidR="003E1BAC">
        <w:rPr>
          <w:rFonts w:ascii="Avenir Next" w:hAnsi="Avenir Next"/>
          <w:color w:val="808080" w:themeColor="background1" w:themeShade="80"/>
        </w:rPr>
        <w:t xml:space="preserve">, which </w:t>
      </w:r>
      <w:r w:rsidR="002A6BA5">
        <w:rPr>
          <w:rFonts w:ascii="Avenir Next" w:hAnsi="Avenir Next"/>
          <w:color w:val="808080" w:themeColor="background1" w:themeShade="80"/>
        </w:rPr>
        <w:t xml:space="preserve">held that </w:t>
      </w:r>
      <w:r w:rsidR="002A6BA5" w:rsidRPr="002A6BA5">
        <w:rPr>
          <w:rFonts w:ascii="Avenir Next" w:hAnsi="Avenir Next"/>
          <w:color w:val="808080" w:themeColor="background1" w:themeShade="80"/>
        </w:rPr>
        <w:t>the bankruptcy court’s issuance of a final order</w:t>
      </w:r>
      <w:r w:rsidR="002A6BA5">
        <w:rPr>
          <w:rFonts w:ascii="Avenir Next" w:hAnsi="Avenir Next"/>
          <w:color w:val="808080" w:themeColor="background1" w:themeShade="80"/>
        </w:rPr>
        <w:t xml:space="preserve"> in respect of a counterclaim </w:t>
      </w:r>
      <w:r w:rsidR="002A6BA5" w:rsidRPr="002A6BA5">
        <w:rPr>
          <w:rFonts w:ascii="Avenir Next" w:hAnsi="Avenir Next"/>
          <w:color w:val="808080" w:themeColor="background1" w:themeShade="80"/>
        </w:rPr>
        <w:t xml:space="preserve">over a state law claim was unconstitutional under </w:t>
      </w:r>
      <w:r w:rsidR="002A6BA5" w:rsidRPr="002A6BA5">
        <w:rPr>
          <w:rFonts w:ascii="Avenir Next" w:hAnsi="Avenir Next"/>
          <w:color w:val="808080" w:themeColor="background1" w:themeShade="80"/>
        </w:rPr>
        <w:lastRenderedPageBreak/>
        <w:t>Article III.</w:t>
      </w:r>
      <w:r w:rsidR="002A6BA5">
        <w:rPr>
          <w:rFonts w:ascii="Avenir Next" w:hAnsi="Avenir Next"/>
          <w:color w:val="808080" w:themeColor="background1" w:themeShade="80"/>
        </w:rPr>
        <w:t xml:space="preserve"> This decision was made, notwithstanding that </w:t>
      </w:r>
      <w:r w:rsidR="002A6BA5" w:rsidRPr="002A6BA5">
        <w:rPr>
          <w:rFonts w:ascii="Avenir Next" w:hAnsi="Avenir Next"/>
          <w:color w:val="808080" w:themeColor="background1" w:themeShade="80"/>
        </w:rPr>
        <w:t>28 USC</w:t>
      </w:r>
      <w:r w:rsidR="002A6BA5">
        <w:rPr>
          <w:rFonts w:ascii="Avenir Next" w:hAnsi="Avenir Next"/>
          <w:color w:val="808080" w:themeColor="background1" w:themeShade="80"/>
        </w:rPr>
        <w:t xml:space="preserve"> </w:t>
      </w:r>
      <w:r w:rsidR="002A6BA5" w:rsidRPr="002A6BA5">
        <w:rPr>
          <w:rFonts w:ascii="Avenir Next" w:hAnsi="Avenir Next"/>
          <w:color w:val="808080" w:themeColor="background1" w:themeShade="80"/>
        </w:rPr>
        <w:t>§ 157 provides that a counterclaim is a core proceeding as to which a bankruptcy court can issue</w:t>
      </w:r>
      <w:r w:rsidR="002A6BA5">
        <w:rPr>
          <w:rFonts w:ascii="Avenir Next" w:hAnsi="Avenir Next"/>
          <w:color w:val="808080" w:themeColor="background1" w:themeShade="80"/>
        </w:rPr>
        <w:t xml:space="preserve"> </w:t>
      </w:r>
      <w:r w:rsidR="002A6BA5" w:rsidRPr="002A6BA5">
        <w:rPr>
          <w:rFonts w:ascii="Avenir Next" w:hAnsi="Avenir Next"/>
          <w:color w:val="808080" w:themeColor="background1" w:themeShade="80"/>
        </w:rPr>
        <w:t>a final order</w:t>
      </w:r>
      <w:r w:rsidR="002A6BA5">
        <w:rPr>
          <w:rFonts w:ascii="Avenir Next" w:hAnsi="Avenir Next"/>
          <w:color w:val="808080" w:themeColor="background1" w:themeShade="80"/>
        </w:rPr>
        <w:t>.</w:t>
      </w:r>
    </w:p>
    <w:p w14:paraId="74615A52" w14:textId="77777777" w:rsidR="00CA673D" w:rsidRDefault="00CA673D" w:rsidP="001D3BAA">
      <w:pPr>
        <w:pStyle w:val="AODocTxt"/>
        <w:spacing w:before="0" w:line="240" w:lineRule="auto"/>
        <w:rPr>
          <w:rFonts w:ascii="Avenir Next" w:hAnsi="Avenir Next"/>
          <w:color w:val="808080" w:themeColor="background1" w:themeShade="80"/>
        </w:rPr>
      </w:pPr>
    </w:p>
    <w:p w14:paraId="2C5890EB" w14:textId="55451128" w:rsidR="00FE2252" w:rsidRDefault="00CA67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Similar to the circumstances that apply to a bankruptcy court's determination of a non-core proceeding, the </w:t>
      </w:r>
      <w:r w:rsidRPr="00CA673D">
        <w:rPr>
          <w:rFonts w:ascii="Avenir Next" w:hAnsi="Avenir Next"/>
          <w:color w:val="808080" w:themeColor="background1" w:themeShade="80"/>
        </w:rPr>
        <w:t>US Supreme Court has held that</w:t>
      </w:r>
      <w:r>
        <w:rPr>
          <w:rFonts w:ascii="Avenir Next" w:hAnsi="Avenir Next"/>
          <w:color w:val="808080" w:themeColor="background1" w:themeShade="80"/>
        </w:rPr>
        <w:t xml:space="preserve"> the</w:t>
      </w:r>
      <w:r w:rsidRPr="00CA673D">
        <w:rPr>
          <w:rFonts w:ascii="Avenir Next" w:hAnsi="Avenir Next"/>
          <w:color w:val="808080" w:themeColor="background1" w:themeShade="80"/>
        </w:rPr>
        <w:t xml:space="preserve"> bankruptcy</w:t>
      </w:r>
      <w:r>
        <w:rPr>
          <w:rFonts w:ascii="Avenir Next" w:hAnsi="Avenir Next"/>
          <w:color w:val="808080" w:themeColor="background1" w:themeShade="80"/>
        </w:rPr>
        <w:t xml:space="preserve"> court may</w:t>
      </w:r>
      <w:r w:rsidRPr="00CA673D">
        <w:rPr>
          <w:rFonts w:ascii="Avenir Next" w:hAnsi="Avenir Next"/>
          <w:color w:val="808080" w:themeColor="background1" w:themeShade="80"/>
        </w:rPr>
        <w:t xml:space="preserve"> determine a core proceeding over which they lack constitutional authority by issuing</w:t>
      </w:r>
      <w:r>
        <w:rPr>
          <w:rFonts w:ascii="Avenir Next" w:hAnsi="Avenir Next"/>
          <w:color w:val="808080" w:themeColor="background1" w:themeShade="80"/>
        </w:rPr>
        <w:t xml:space="preserve"> </w:t>
      </w:r>
      <w:r w:rsidRPr="00CA673D">
        <w:rPr>
          <w:rFonts w:ascii="Avenir Next" w:hAnsi="Avenir Next"/>
          <w:color w:val="808080" w:themeColor="background1" w:themeShade="80"/>
        </w:rPr>
        <w:t>a report and recommendation for review by the district</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19"/>
      </w:r>
      <w:r w:rsidRPr="00CA673D">
        <w:rPr>
          <w:rFonts w:ascii="Avenir Next" w:hAnsi="Avenir Next"/>
          <w:color w:val="808080" w:themeColor="background1" w:themeShade="80"/>
        </w:rPr>
        <w:t xml:space="preserve"> The Bankruptcy</w:t>
      </w:r>
      <w:r>
        <w:rPr>
          <w:rFonts w:ascii="Avenir Next" w:hAnsi="Avenir Next"/>
          <w:color w:val="808080" w:themeColor="background1" w:themeShade="80"/>
        </w:rPr>
        <w:t xml:space="preserve"> </w:t>
      </w:r>
      <w:r w:rsidRPr="00CA673D">
        <w:rPr>
          <w:rFonts w:ascii="Avenir Next" w:hAnsi="Avenir Next"/>
          <w:color w:val="808080" w:themeColor="background1" w:themeShade="80"/>
        </w:rPr>
        <w:t xml:space="preserve">Rules have </w:t>
      </w:r>
      <w:r>
        <w:rPr>
          <w:rFonts w:ascii="Avenir Next" w:hAnsi="Avenir Next"/>
          <w:color w:val="808080" w:themeColor="background1" w:themeShade="80"/>
        </w:rPr>
        <w:t xml:space="preserve">codified this decision to some extent by </w:t>
      </w:r>
      <w:r w:rsidRPr="00CA673D">
        <w:rPr>
          <w:rFonts w:ascii="Avenir Next" w:hAnsi="Avenir Next"/>
          <w:color w:val="808080" w:themeColor="background1" w:themeShade="80"/>
        </w:rPr>
        <w:t xml:space="preserve">requiring </w:t>
      </w:r>
      <w:r>
        <w:rPr>
          <w:rFonts w:ascii="Avenir Next" w:hAnsi="Avenir Next"/>
          <w:color w:val="808080" w:themeColor="background1" w:themeShade="80"/>
        </w:rPr>
        <w:t>parties</w:t>
      </w:r>
      <w:r w:rsidRPr="00CA673D">
        <w:rPr>
          <w:rFonts w:ascii="Avenir Next" w:hAnsi="Avenir Next"/>
          <w:color w:val="808080" w:themeColor="background1" w:themeShade="80"/>
        </w:rPr>
        <w:t xml:space="preserve"> to </w:t>
      </w:r>
      <w:r>
        <w:rPr>
          <w:rFonts w:ascii="Avenir Next" w:hAnsi="Avenir Next"/>
          <w:color w:val="808080" w:themeColor="background1" w:themeShade="80"/>
        </w:rPr>
        <w:t>specify</w:t>
      </w:r>
      <w:r w:rsidRPr="00CA673D">
        <w:rPr>
          <w:rFonts w:ascii="Avenir Next" w:hAnsi="Avenir Next"/>
          <w:color w:val="808080" w:themeColor="background1" w:themeShade="80"/>
        </w:rPr>
        <w:t xml:space="preserve"> in their pleadings whether</w:t>
      </w:r>
      <w:r>
        <w:rPr>
          <w:rFonts w:ascii="Avenir Next" w:hAnsi="Avenir Next"/>
          <w:color w:val="808080" w:themeColor="background1" w:themeShade="80"/>
        </w:rPr>
        <w:t xml:space="preserve"> </w:t>
      </w:r>
      <w:r w:rsidRPr="00CA673D">
        <w:rPr>
          <w:rFonts w:ascii="Avenir Next" w:hAnsi="Avenir Next"/>
          <w:color w:val="808080" w:themeColor="background1" w:themeShade="80"/>
        </w:rPr>
        <w:t>they consent to the entry of final orders or judgment by the bankruptcy court</w:t>
      </w:r>
      <w:r>
        <w:rPr>
          <w:rFonts w:ascii="Avenir Next" w:hAnsi="Avenir Next"/>
          <w:color w:val="808080" w:themeColor="background1" w:themeShade="80"/>
        </w:rPr>
        <w:t xml:space="preserve"> and</w:t>
      </w:r>
      <w:r w:rsidRPr="00CA673D">
        <w:rPr>
          <w:rFonts w:ascii="Avenir Next" w:hAnsi="Avenir Next"/>
          <w:color w:val="808080" w:themeColor="background1" w:themeShade="80"/>
        </w:rPr>
        <w:t xml:space="preserve"> by</w:t>
      </w:r>
      <w:r>
        <w:rPr>
          <w:rFonts w:ascii="Avenir Next" w:hAnsi="Avenir Next"/>
          <w:color w:val="808080" w:themeColor="background1" w:themeShade="80"/>
        </w:rPr>
        <w:t xml:space="preserve"> allowing a </w:t>
      </w:r>
      <w:r w:rsidRPr="00CA673D">
        <w:rPr>
          <w:rFonts w:ascii="Avenir Next" w:hAnsi="Avenir Next"/>
          <w:color w:val="808080" w:themeColor="background1" w:themeShade="80"/>
        </w:rPr>
        <w:t>district court that determines that a bankruptcy court did not have jurisdiction to</w:t>
      </w:r>
      <w:r>
        <w:rPr>
          <w:rFonts w:ascii="Avenir Next" w:hAnsi="Avenir Next"/>
          <w:color w:val="808080" w:themeColor="background1" w:themeShade="80"/>
        </w:rPr>
        <w:t xml:space="preserve"> </w:t>
      </w:r>
      <w:r w:rsidRPr="00CA673D">
        <w:rPr>
          <w:rFonts w:ascii="Avenir Next" w:hAnsi="Avenir Next"/>
          <w:color w:val="808080" w:themeColor="background1" w:themeShade="80"/>
        </w:rPr>
        <w:t>enter a final order to treat that its order as proposed findings of fact and conclusions of law.</w:t>
      </w:r>
      <w:r>
        <w:rPr>
          <w:rStyle w:val="FootnoteReference"/>
          <w:rFonts w:ascii="Avenir Next" w:hAnsi="Avenir Next"/>
          <w:color w:val="808080" w:themeColor="background1" w:themeShade="80"/>
        </w:rPr>
        <w:footnoteReference w:id="20"/>
      </w:r>
      <w:r>
        <w:rPr>
          <w:rFonts w:ascii="Avenir Next" w:hAnsi="Avenir Next"/>
          <w:color w:val="808080" w:themeColor="background1" w:themeShade="80"/>
        </w:rPr>
        <w:t xml:space="preserve"> This essentially provides a process </w:t>
      </w:r>
      <w:r w:rsidR="00336B68">
        <w:rPr>
          <w:rFonts w:ascii="Avenir Next" w:hAnsi="Avenir Next"/>
          <w:color w:val="808080" w:themeColor="background1" w:themeShade="80"/>
        </w:rPr>
        <w:t xml:space="preserve">for </w:t>
      </w:r>
      <w:r w:rsidR="00336B68" w:rsidRPr="00336B68">
        <w:rPr>
          <w:rFonts w:ascii="Avenir Next" w:hAnsi="Avenir Next"/>
          <w:color w:val="808080" w:themeColor="background1" w:themeShade="80"/>
        </w:rPr>
        <w:t>how orders that are not constitutionally final are reviewed</w:t>
      </w:r>
      <w:r w:rsidR="00336B68">
        <w:rPr>
          <w:rFonts w:ascii="Avenir Next" w:hAnsi="Avenir Next"/>
          <w:color w:val="808080" w:themeColor="background1" w:themeShade="80"/>
        </w:rPr>
        <w:t xml:space="preserve"> and approved. </w:t>
      </w:r>
    </w:p>
    <w:p w14:paraId="3DFDA492" w14:textId="77777777" w:rsidR="004F45BA" w:rsidRDefault="00336B68" w:rsidP="00336B68">
      <w:pPr>
        <w:pStyle w:val="AODocTxt"/>
        <w:rPr>
          <w:rFonts w:ascii="Avenir Next" w:hAnsi="Avenir Next"/>
          <w:color w:val="808080" w:themeColor="background1" w:themeShade="80"/>
        </w:rPr>
      </w:pPr>
      <w:r>
        <w:rPr>
          <w:rFonts w:ascii="Avenir Next" w:hAnsi="Avenir Next"/>
          <w:color w:val="808080" w:themeColor="background1" w:themeShade="80"/>
        </w:rPr>
        <w:t xml:space="preserve">With respect to </w:t>
      </w:r>
      <w:r w:rsidRPr="00336B68">
        <w:rPr>
          <w:rFonts w:ascii="Avenir Next" w:hAnsi="Avenir Next"/>
          <w:color w:val="808080" w:themeColor="background1" w:themeShade="80"/>
        </w:rPr>
        <w:t>appeals from bankruptcy court orders</w:t>
      </w:r>
      <w:r>
        <w:rPr>
          <w:rFonts w:ascii="Avenir Next" w:hAnsi="Avenir Next"/>
          <w:color w:val="808080" w:themeColor="background1" w:themeShade="80"/>
        </w:rPr>
        <w:t xml:space="preserve">, those matters are typically heard and determined by the </w:t>
      </w:r>
      <w:r w:rsidRPr="00336B68">
        <w:rPr>
          <w:rFonts w:ascii="Avenir Next" w:hAnsi="Avenir Next"/>
          <w:color w:val="808080" w:themeColor="background1" w:themeShade="80"/>
        </w:rPr>
        <w:t>district court for the district</w:t>
      </w:r>
      <w:r>
        <w:rPr>
          <w:rFonts w:ascii="Avenir Next" w:hAnsi="Avenir Next"/>
          <w:color w:val="808080" w:themeColor="background1" w:themeShade="80"/>
        </w:rPr>
        <w:t xml:space="preserve"> of the relevant bankruptcy court.</w:t>
      </w:r>
      <w:r>
        <w:rPr>
          <w:rStyle w:val="FootnoteReference"/>
          <w:rFonts w:ascii="Avenir Next" w:hAnsi="Avenir Next"/>
          <w:color w:val="808080" w:themeColor="background1" w:themeShade="80"/>
        </w:rPr>
        <w:footnoteReference w:id="21"/>
      </w:r>
      <w:r>
        <w:rPr>
          <w:rFonts w:ascii="Avenir Next" w:hAnsi="Avenir Next"/>
          <w:color w:val="808080" w:themeColor="background1" w:themeShade="80"/>
        </w:rPr>
        <w:t xml:space="preserve"> However, the</w:t>
      </w:r>
      <w:r w:rsidRPr="00336B68">
        <w:rPr>
          <w:rFonts w:ascii="Avenir Next" w:hAnsi="Avenir Next"/>
          <w:color w:val="808080" w:themeColor="background1" w:themeShade="80"/>
        </w:rPr>
        <w:t xml:space="preserve"> First, Sixth, Eighth, Ninth and Tenth Circuits have elected, pursuant to 28 USC, § 158(b), to form Bankruptcy</w:t>
      </w:r>
      <w:r>
        <w:rPr>
          <w:rFonts w:ascii="Avenir Next" w:hAnsi="Avenir Next"/>
          <w:color w:val="808080" w:themeColor="background1" w:themeShade="80"/>
        </w:rPr>
        <w:t xml:space="preserve"> </w:t>
      </w:r>
      <w:r w:rsidRPr="00336B68">
        <w:rPr>
          <w:rFonts w:ascii="Avenir Next" w:hAnsi="Avenir Next"/>
          <w:color w:val="808080" w:themeColor="background1" w:themeShade="80"/>
        </w:rPr>
        <w:t>Appellate Panels</w:t>
      </w:r>
      <w:r>
        <w:rPr>
          <w:rFonts w:ascii="Avenir Next" w:hAnsi="Avenir Next"/>
          <w:color w:val="808080" w:themeColor="background1" w:themeShade="80"/>
        </w:rPr>
        <w:t xml:space="preserve"> (</w:t>
      </w:r>
      <w:r w:rsidRPr="00336B68">
        <w:rPr>
          <w:rFonts w:ascii="Avenir Next" w:hAnsi="Avenir Next"/>
          <w:b/>
          <w:bCs/>
          <w:color w:val="808080" w:themeColor="background1" w:themeShade="80"/>
        </w:rPr>
        <w:t>BAP</w:t>
      </w:r>
      <w:r>
        <w:rPr>
          <w:rFonts w:ascii="Avenir Next" w:hAnsi="Avenir Next"/>
          <w:color w:val="808080" w:themeColor="background1" w:themeShade="80"/>
        </w:rPr>
        <w:t>), of the judges of the bankruptcy court in those circuits, which hear appeals from the bankruptcy courts in those circuits</w:t>
      </w:r>
      <w:r w:rsidR="00A816D1">
        <w:rPr>
          <w:rFonts w:ascii="Avenir Next" w:hAnsi="Avenir Next"/>
          <w:color w:val="808080" w:themeColor="background1" w:themeShade="80"/>
        </w:rPr>
        <w:t>.</w:t>
      </w:r>
      <w:r>
        <w:rPr>
          <w:rFonts w:ascii="Avenir Next" w:hAnsi="Avenir Next"/>
          <w:color w:val="808080" w:themeColor="background1" w:themeShade="80"/>
        </w:rPr>
        <w:t xml:space="preserve"> Parties in those circuits still have the right to request that the appeal be heard by the relevant district court instead. </w:t>
      </w:r>
    </w:p>
    <w:p w14:paraId="47E791DD" w14:textId="469F4B6E" w:rsidR="00291214" w:rsidRPr="00336B68" w:rsidRDefault="00336B68" w:rsidP="00336B68">
      <w:pPr>
        <w:pStyle w:val="AODocTxt"/>
        <w:rPr>
          <w:rFonts w:ascii="Avenir Next" w:hAnsi="Avenir Next"/>
          <w:color w:val="808080" w:themeColor="background1" w:themeShade="80"/>
        </w:rPr>
      </w:pPr>
      <w:r>
        <w:rPr>
          <w:rFonts w:ascii="Avenir Next" w:hAnsi="Avenir Next"/>
          <w:color w:val="808080" w:themeColor="background1" w:themeShade="80"/>
        </w:rPr>
        <w:t xml:space="preserve">Following an appeal decision by a BAP or district court, there is a further right of appeal to the </w:t>
      </w:r>
      <w:r w:rsidRPr="00336B68">
        <w:rPr>
          <w:rFonts w:ascii="Avenir Next" w:hAnsi="Avenir Next"/>
          <w:color w:val="808080" w:themeColor="background1" w:themeShade="80"/>
        </w:rPr>
        <w:t>circuit court of appeals.</w:t>
      </w:r>
      <w:r>
        <w:rPr>
          <w:rStyle w:val="FootnoteReference"/>
          <w:rFonts w:ascii="Avenir Next" w:hAnsi="Avenir Next"/>
          <w:color w:val="808080" w:themeColor="background1" w:themeShade="80"/>
        </w:rPr>
        <w:footnoteReference w:id="22"/>
      </w:r>
      <w:r>
        <w:rPr>
          <w:rFonts w:ascii="Avenir Next" w:hAnsi="Avenir Next"/>
          <w:color w:val="808080" w:themeColor="background1" w:themeShade="80"/>
        </w:rPr>
        <w:t xml:space="preserve"> Sometimes a case will go directly from the first instance court to the court of appeals, but only if </w:t>
      </w:r>
      <w:r w:rsidRPr="00336B68">
        <w:rPr>
          <w:rFonts w:ascii="Avenir Next" w:hAnsi="Avenir Next"/>
          <w:i/>
          <w:iCs/>
          <w:color w:val="808080" w:themeColor="background1" w:themeShade="80"/>
        </w:rPr>
        <w:t>"(</w:t>
      </w:r>
      <w:proofErr w:type="spellStart"/>
      <w:r w:rsidRPr="00336B68">
        <w:rPr>
          <w:rFonts w:ascii="Avenir Next" w:hAnsi="Avenir Next"/>
          <w:i/>
          <w:iCs/>
          <w:color w:val="808080" w:themeColor="background1" w:themeShade="80"/>
        </w:rPr>
        <w:t>i</w:t>
      </w:r>
      <w:proofErr w:type="spellEnd"/>
      <w:r w:rsidRPr="00336B68">
        <w:rPr>
          <w:rFonts w:ascii="Avenir Next" w:hAnsi="Avenir Next"/>
          <w:i/>
          <w:iCs/>
          <w:color w:val="808080" w:themeColor="background1" w:themeShade="80"/>
        </w:rPr>
        <w:t>) the appeal raises a question of law as to which there is no controlling decision of the circuit or the US Supreme Court, or requires resolving conflicting controlling decisions, or (ii) immediate appeal may materially advance the progress of the case."</w:t>
      </w:r>
      <w:r w:rsidRPr="004F45BA">
        <w:rPr>
          <w:rStyle w:val="FootnoteReference"/>
          <w:rFonts w:ascii="Avenir Next" w:hAnsi="Avenir Next"/>
          <w:color w:val="808080" w:themeColor="background1" w:themeShade="80"/>
        </w:rPr>
        <w:footnoteReference w:id="23"/>
      </w:r>
      <w:r w:rsidRPr="004F45BA">
        <w:rPr>
          <w:rFonts w:ascii="Avenir Next" w:hAnsi="Avenir Next"/>
          <w:color w:val="808080" w:themeColor="background1" w:themeShade="80"/>
        </w:rPr>
        <w:t xml:space="preserve"> </w:t>
      </w:r>
      <w:r>
        <w:rPr>
          <w:rFonts w:ascii="Avenir Next" w:hAnsi="Avenir Next"/>
          <w:color w:val="808080" w:themeColor="background1" w:themeShade="80"/>
        </w:rPr>
        <w:t xml:space="preserve">and the appeal court accepts that the case meets those criteria.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6F9D844D" w14:textId="54C7489C" w:rsidR="007A3CC1" w:rsidRDefault="002B58CF" w:rsidP="002B58CF">
      <w:pPr>
        <w:pStyle w:val="AODocTxt"/>
        <w:rPr>
          <w:rFonts w:ascii="Avenir Next" w:hAnsi="Avenir Next"/>
          <w:color w:val="808080" w:themeColor="background1" w:themeShade="80"/>
        </w:rPr>
      </w:pPr>
      <w:r w:rsidRPr="002B58CF">
        <w:rPr>
          <w:rFonts w:ascii="Avenir Next" w:hAnsi="Avenir Next"/>
          <w:color w:val="808080" w:themeColor="background1" w:themeShade="80"/>
        </w:rPr>
        <w:t xml:space="preserve">Chapter 15 of the Bankruptcy Code closely follows the UNCITRAL Model Law on Cross Border Insolvency (the </w:t>
      </w:r>
      <w:r w:rsidRPr="002B58CF">
        <w:rPr>
          <w:rFonts w:ascii="Avenir Next" w:hAnsi="Avenir Next"/>
          <w:b/>
          <w:bCs/>
          <w:color w:val="808080" w:themeColor="background1" w:themeShade="80"/>
        </w:rPr>
        <w:t>MLCBI</w:t>
      </w:r>
      <w:r w:rsidRPr="002B58CF">
        <w:rPr>
          <w:rFonts w:ascii="Avenir Next" w:hAnsi="Avenir Next"/>
          <w:color w:val="808080" w:themeColor="background1" w:themeShade="80"/>
        </w:rPr>
        <w:t>), however, it does specifically exclude from the rights that are granted to foreign representatives, the use of avoidance powers that are provided for in the Bankruptcy Code.</w:t>
      </w:r>
      <w:r>
        <w:rPr>
          <w:rStyle w:val="FootnoteReference"/>
          <w:rFonts w:ascii="Avenir Next" w:hAnsi="Avenir Next"/>
          <w:color w:val="808080" w:themeColor="background1" w:themeShade="80"/>
        </w:rPr>
        <w:footnoteReference w:id="24"/>
      </w:r>
      <w:r w:rsidRPr="002B58CF">
        <w:rPr>
          <w:rFonts w:ascii="Avenir Next" w:hAnsi="Avenir Next"/>
          <w:color w:val="808080" w:themeColor="background1" w:themeShade="80"/>
        </w:rPr>
        <w:t xml:space="preserve"> </w:t>
      </w:r>
    </w:p>
    <w:p w14:paraId="0032DAC1" w14:textId="403696EB" w:rsidR="007A3CC1" w:rsidRDefault="002B58CF" w:rsidP="002B58CF">
      <w:pPr>
        <w:pStyle w:val="AODocTxt"/>
        <w:rPr>
          <w:rFonts w:ascii="Avenir Next" w:hAnsi="Avenir Next"/>
          <w:color w:val="808080" w:themeColor="background1" w:themeShade="80"/>
        </w:rPr>
      </w:pPr>
      <w:r w:rsidRPr="002B58CF">
        <w:rPr>
          <w:rFonts w:ascii="Avenir Next" w:hAnsi="Avenir Next"/>
          <w:color w:val="808080" w:themeColor="background1" w:themeShade="80"/>
        </w:rPr>
        <w:t>§ 1521(a)(7)</w:t>
      </w:r>
      <w:r>
        <w:rPr>
          <w:rFonts w:ascii="Avenir Next" w:hAnsi="Avenir Next"/>
          <w:color w:val="808080" w:themeColor="background1" w:themeShade="80"/>
        </w:rPr>
        <w:t xml:space="preserve"> has generally been interpreted to only restrict the use of the </w:t>
      </w:r>
      <w:r w:rsidRPr="002B58CF">
        <w:rPr>
          <w:rFonts w:ascii="Avenir Next" w:hAnsi="Avenir Next"/>
          <w:color w:val="808080" w:themeColor="background1" w:themeShade="80"/>
        </w:rPr>
        <w:t>Bankruptcy Code’s powers of avoidance of preferences and fraudulent conveyances</w:t>
      </w:r>
      <w:r>
        <w:rPr>
          <w:rFonts w:ascii="Avenir Next" w:hAnsi="Avenir Next"/>
          <w:color w:val="808080" w:themeColor="background1" w:themeShade="80"/>
        </w:rPr>
        <w:t xml:space="preserve"> </w:t>
      </w:r>
      <w:r w:rsidRPr="002B58CF">
        <w:rPr>
          <w:rFonts w:ascii="Avenir Next" w:hAnsi="Avenir Next"/>
          <w:color w:val="808080" w:themeColor="background1" w:themeShade="80"/>
        </w:rPr>
        <w:t xml:space="preserve">and not </w:t>
      </w:r>
      <w:r>
        <w:rPr>
          <w:rFonts w:ascii="Avenir Next" w:hAnsi="Avenir Next"/>
          <w:color w:val="808080" w:themeColor="background1" w:themeShade="80"/>
        </w:rPr>
        <w:t xml:space="preserve">to prevent a </w:t>
      </w:r>
      <w:r w:rsidRPr="002B58CF">
        <w:rPr>
          <w:rFonts w:ascii="Avenir Next" w:hAnsi="Avenir Next"/>
          <w:color w:val="808080" w:themeColor="background1" w:themeShade="80"/>
        </w:rPr>
        <w:t>foreign representative from seeking to avoid pre-petition transactions under other</w:t>
      </w:r>
      <w:r>
        <w:rPr>
          <w:rFonts w:ascii="Avenir Next" w:hAnsi="Avenir Next"/>
          <w:color w:val="808080" w:themeColor="background1" w:themeShade="80"/>
        </w:rPr>
        <w:t xml:space="preserve"> </w:t>
      </w:r>
      <w:r w:rsidRPr="002B58CF">
        <w:rPr>
          <w:rFonts w:ascii="Avenir Next" w:hAnsi="Avenir Next"/>
          <w:color w:val="808080" w:themeColor="background1" w:themeShade="80"/>
        </w:rPr>
        <w:t>applicable US or foreign law</w:t>
      </w:r>
      <w:r>
        <w:rPr>
          <w:rFonts w:ascii="Avenir Next" w:hAnsi="Avenir Next"/>
          <w:color w:val="808080" w:themeColor="background1" w:themeShade="80"/>
        </w:rPr>
        <w:t>s.</w:t>
      </w:r>
      <w:r>
        <w:rPr>
          <w:rStyle w:val="FootnoteReference"/>
          <w:rFonts w:ascii="Avenir Next" w:hAnsi="Avenir Next"/>
          <w:color w:val="808080" w:themeColor="background1" w:themeShade="80"/>
        </w:rPr>
        <w:footnoteReference w:id="25"/>
      </w:r>
      <w:r>
        <w:rPr>
          <w:rFonts w:ascii="Avenir Next" w:hAnsi="Avenir Next"/>
          <w:color w:val="808080" w:themeColor="background1" w:themeShade="80"/>
        </w:rPr>
        <w:t xml:space="preserve"> </w:t>
      </w:r>
      <w:r w:rsidRPr="002B58CF">
        <w:rPr>
          <w:rFonts w:ascii="Avenir Next" w:hAnsi="Avenir Next"/>
          <w:color w:val="808080" w:themeColor="background1" w:themeShade="80"/>
        </w:rPr>
        <w:t>This i</w:t>
      </w:r>
      <w:r>
        <w:rPr>
          <w:rFonts w:ascii="Avenir Next" w:hAnsi="Avenir Next"/>
          <w:color w:val="808080" w:themeColor="background1" w:themeShade="80"/>
        </w:rPr>
        <w:t xml:space="preserve">nterpretation aligns with cases that were </w:t>
      </w:r>
      <w:r w:rsidR="00727705">
        <w:rPr>
          <w:rFonts w:ascii="Avenir Next" w:hAnsi="Avenir Next"/>
          <w:color w:val="808080" w:themeColor="background1" w:themeShade="80"/>
        </w:rPr>
        <w:t>brought</w:t>
      </w:r>
      <w:r w:rsidRPr="002B58CF">
        <w:rPr>
          <w:rFonts w:ascii="Avenir Next" w:hAnsi="Avenir Next"/>
          <w:color w:val="808080" w:themeColor="background1" w:themeShade="80"/>
        </w:rPr>
        <w:t xml:space="preserve"> under section 304 of the</w:t>
      </w:r>
      <w:r w:rsidR="00727705">
        <w:rPr>
          <w:rFonts w:ascii="Avenir Next" w:hAnsi="Avenir Next"/>
          <w:color w:val="808080" w:themeColor="background1" w:themeShade="80"/>
        </w:rPr>
        <w:t xml:space="preserve"> </w:t>
      </w:r>
      <w:r w:rsidRPr="002B58CF">
        <w:rPr>
          <w:rFonts w:ascii="Avenir Next" w:hAnsi="Avenir Next"/>
          <w:color w:val="808080" w:themeColor="background1" w:themeShade="80"/>
        </w:rPr>
        <w:t>Bankruptcy Code</w:t>
      </w:r>
      <w:r w:rsidR="00727705">
        <w:rPr>
          <w:rFonts w:ascii="Avenir Next" w:hAnsi="Avenir Next"/>
          <w:color w:val="808080" w:themeColor="background1" w:themeShade="80"/>
        </w:rPr>
        <w:t xml:space="preserve"> which governed the </w:t>
      </w:r>
      <w:r w:rsidR="00727705" w:rsidRPr="00727705">
        <w:rPr>
          <w:rFonts w:ascii="Avenir Next" w:hAnsi="Avenir Next"/>
          <w:color w:val="808080" w:themeColor="background1" w:themeShade="80"/>
        </w:rPr>
        <w:t>recognition and enforcement of foreign insolvency proceedings</w:t>
      </w:r>
      <w:r w:rsidR="00727705">
        <w:rPr>
          <w:rFonts w:ascii="Avenir Next" w:hAnsi="Avenir Next"/>
          <w:color w:val="808080" w:themeColor="background1" w:themeShade="80"/>
        </w:rPr>
        <w:t xml:space="preserve"> </w:t>
      </w:r>
      <w:r w:rsidRPr="002B58CF">
        <w:rPr>
          <w:rFonts w:ascii="Avenir Next" w:hAnsi="Avenir Next"/>
          <w:color w:val="808080" w:themeColor="background1" w:themeShade="80"/>
        </w:rPr>
        <w:t xml:space="preserve">prior to the enactment of </w:t>
      </w:r>
      <w:r w:rsidR="00727705">
        <w:rPr>
          <w:rFonts w:ascii="Avenir Next" w:hAnsi="Avenir Next"/>
          <w:color w:val="808080" w:themeColor="background1" w:themeShade="80"/>
        </w:rPr>
        <w:t>C</w:t>
      </w:r>
      <w:r w:rsidRPr="002B58CF">
        <w:rPr>
          <w:rFonts w:ascii="Avenir Next" w:hAnsi="Avenir Next"/>
          <w:color w:val="808080" w:themeColor="background1" w:themeShade="80"/>
        </w:rPr>
        <w:t>hapter 15</w:t>
      </w:r>
      <w:r w:rsidR="00727705">
        <w:rPr>
          <w:rFonts w:ascii="Avenir Next" w:hAnsi="Avenir Next"/>
          <w:color w:val="808080" w:themeColor="background1" w:themeShade="80"/>
        </w:rPr>
        <w:t>.</w:t>
      </w:r>
      <w:r w:rsidR="00727705">
        <w:rPr>
          <w:rStyle w:val="FootnoteReference"/>
          <w:rFonts w:ascii="Avenir Next" w:hAnsi="Avenir Next"/>
          <w:color w:val="808080" w:themeColor="background1" w:themeShade="80"/>
        </w:rPr>
        <w:footnoteReference w:id="26"/>
      </w:r>
    </w:p>
    <w:p w14:paraId="069AAE9F" w14:textId="7653CC4A" w:rsidR="00727705" w:rsidRDefault="00727705" w:rsidP="002B58CF">
      <w:pPr>
        <w:pStyle w:val="AODocTxt"/>
        <w:rPr>
          <w:rFonts w:ascii="Avenir Next" w:hAnsi="Avenir Next"/>
          <w:color w:val="808080" w:themeColor="background1" w:themeShade="80"/>
        </w:rPr>
      </w:pPr>
      <w:r>
        <w:rPr>
          <w:rFonts w:ascii="Avenir Next" w:hAnsi="Avenir Next"/>
          <w:color w:val="808080" w:themeColor="background1" w:themeShade="80"/>
        </w:rPr>
        <w:lastRenderedPageBreak/>
        <w:t>A foreign representative is able to i</w:t>
      </w:r>
      <w:r w:rsidRPr="00727705">
        <w:rPr>
          <w:rFonts w:ascii="Avenir Next" w:hAnsi="Avenir Next"/>
          <w:color w:val="808080" w:themeColor="background1" w:themeShade="80"/>
        </w:rPr>
        <w:t>nvoke the Bankruptcy Code</w:t>
      </w:r>
      <w:r>
        <w:rPr>
          <w:rFonts w:ascii="Avenir Next" w:hAnsi="Avenir Next"/>
          <w:color w:val="808080" w:themeColor="background1" w:themeShade="80"/>
        </w:rPr>
        <w:t>'s</w:t>
      </w:r>
      <w:r w:rsidRPr="00727705">
        <w:rPr>
          <w:rFonts w:ascii="Avenir Next" w:hAnsi="Avenir Next"/>
          <w:color w:val="808080" w:themeColor="background1" w:themeShade="80"/>
        </w:rPr>
        <w:t xml:space="preserve"> avoidance powers in plenary</w:t>
      </w:r>
      <w:r>
        <w:rPr>
          <w:rFonts w:ascii="Avenir Next" w:hAnsi="Avenir Next"/>
          <w:color w:val="808080" w:themeColor="background1" w:themeShade="80"/>
        </w:rPr>
        <w:t xml:space="preserve"> </w:t>
      </w:r>
      <w:r w:rsidRPr="00727705">
        <w:rPr>
          <w:rFonts w:ascii="Avenir Next" w:hAnsi="Avenir Next"/>
          <w:color w:val="808080" w:themeColor="background1" w:themeShade="80"/>
        </w:rPr>
        <w:t>proceeding</w:t>
      </w:r>
      <w:r>
        <w:rPr>
          <w:rFonts w:ascii="Avenir Next" w:hAnsi="Avenir Next"/>
          <w:color w:val="808080" w:themeColor="background1" w:themeShade="80"/>
        </w:rPr>
        <w:t>s</w:t>
      </w:r>
      <w:r w:rsidRPr="00727705">
        <w:rPr>
          <w:rFonts w:ascii="Avenir Next" w:hAnsi="Avenir Next"/>
          <w:color w:val="808080" w:themeColor="background1" w:themeShade="80"/>
        </w:rPr>
        <w:t xml:space="preserve"> </w:t>
      </w:r>
      <w:r>
        <w:rPr>
          <w:rFonts w:ascii="Avenir Next" w:hAnsi="Avenir Next"/>
          <w:color w:val="808080" w:themeColor="background1" w:themeShade="80"/>
        </w:rPr>
        <w:t>pursuant to</w:t>
      </w:r>
      <w:r w:rsidRPr="00727705">
        <w:rPr>
          <w:rFonts w:ascii="Avenir Next" w:hAnsi="Avenir Next"/>
          <w:color w:val="808080" w:themeColor="background1" w:themeShade="80"/>
        </w:rPr>
        <w:t xml:space="preserve"> chapter 7 or 11</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27"/>
      </w:r>
      <w:r>
        <w:rPr>
          <w:rFonts w:ascii="Avenir Next" w:hAnsi="Avenir Next"/>
          <w:color w:val="808080" w:themeColor="background1" w:themeShade="80"/>
        </w:rPr>
        <w:t xml:space="preserve"> however, that can only be done after recognition of the foreign proceedings under chapter 15.</w:t>
      </w:r>
      <w:r>
        <w:rPr>
          <w:rStyle w:val="FootnoteReference"/>
          <w:rFonts w:ascii="Avenir Next" w:hAnsi="Avenir Next"/>
          <w:color w:val="808080" w:themeColor="background1" w:themeShade="80"/>
        </w:rPr>
        <w:footnoteReference w:id="28"/>
      </w:r>
      <w:r>
        <w:rPr>
          <w:rFonts w:ascii="Avenir Next" w:hAnsi="Avenir Next"/>
          <w:color w:val="808080" w:themeColor="background1" w:themeShade="80"/>
        </w:rPr>
        <w:t xml:space="preserve">  C</w:t>
      </w:r>
      <w:r w:rsidRPr="00727705">
        <w:rPr>
          <w:rFonts w:ascii="Avenir Next" w:hAnsi="Avenir Next"/>
          <w:color w:val="808080" w:themeColor="background1" w:themeShade="80"/>
        </w:rPr>
        <w:t xml:space="preserve">hapter 7 </w:t>
      </w:r>
      <w:r>
        <w:rPr>
          <w:rFonts w:ascii="Avenir Next" w:hAnsi="Avenir Next"/>
          <w:color w:val="808080" w:themeColor="background1" w:themeShade="80"/>
        </w:rPr>
        <w:t>are in essence typical insolvency proceedings which involve</w:t>
      </w:r>
      <w:r w:rsidRPr="00727705">
        <w:rPr>
          <w:rFonts w:ascii="Avenir Next" w:hAnsi="Avenir Next"/>
          <w:color w:val="808080" w:themeColor="background1" w:themeShade="80"/>
        </w:rPr>
        <w:t xml:space="preserve"> app</w:t>
      </w:r>
      <w:r>
        <w:rPr>
          <w:rFonts w:ascii="Avenir Next" w:hAnsi="Avenir Next"/>
          <w:color w:val="808080" w:themeColor="background1" w:themeShade="80"/>
        </w:rPr>
        <w:t>ointing</w:t>
      </w:r>
      <w:r w:rsidRPr="00727705">
        <w:rPr>
          <w:rFonts w:ascii="Avenir Next" w:hAnsi="Avenir Next"/>
          <w:color w:val="808080" w:themeColor="background1" w:themeShade="80"/>
        </w:rPr>
        <w:t xml:space="preserve"> a trustee to take control of the</w:t>
      </w:r>
      <w:r>
        <w:rPr>
          <w:rFonts w:ascii="Avenir Next" w:hAnsi="Avenir Next"/>
          <w:color w:val="808080" w:themeColor="background1" w:themeShade="80"/>
        </w:rPr>
        <w:t xml:space="preserve"> debtor's</w:t>
      </w:r>
      <w:r w:rsidRPr="00727705">
        <w:rPr>
          <w:rFonts w:ascii="Avenir Next" w:hAnsi="Avenir Next"/>
          <w:color w:val="808080" w:themeColor="background1" w:themeShade="80"/>
        </w:rPr>
        <w:t xml:space="preserve"> estate, collect</w:t>
      </w:r>
      <w:r>
        <w:rPr>
          <w:rFonts w:ascii="Avenir Next" w:hAnsi="Avenir Next"/>
          <w:color w:val="808080" w:themeColor="background1" w:themeShade="80"/>
        </w:rPr>
        <w:t xml:space="preserve"> </w:t>
      </w:r>
      <w:r w:rsidRPr="00727705">
        <w:rPr>
          <w:rFonts w:ascii="Avenir Next" w:hAnsi="Avenir Next"/>
          <w:color w:val="808080" w:themeColor="background1" w:themeShade="80"/>
        </w:rPr>
        <w:t xml:space="preserve">and liquidate property </w:t>
      </w:r>
      <w:r>
        <w:rPr>
          <w:rFonts w:ascii="Avenir Next" w:hAnsi="Avenir Next"/>
          <w:color w:val="808080" w:themeColor="background1" w:themeShade="80"/>
        </w:rPr>
        <w:t xml:space="preserve">including </w:t>
      </w:r>
      <w:r w:rsidRPr="00727705">
        <w:rPr>
          <w:rFonts w:ascii="Avenir Next" w:hAnsi="Avenir Next"/>
          <w:color w:val="808080" w:themeColor="background1" w:themeShade="80"/>
        </w:rPr>
        <w:t>prosecuting claims the estate possesses against</w:t>
      </w:r>
      <w:r>
        <w:rPr>
          <w:rFonts w:ascii="Avenir Next" w:hAnsi="Avenir Next"/>
          <w:color w:val="808080" w:themeColor="background1" w:themeShade="80"/>
        </w:rPr>
        <w:t xml:space="preserve"> </w:t>
      </w:r>
      <w:r w:rsidRPr="00727705">
        <w:rPr>
          <w:rFonts w:ascii="Avenir Next" w:hAnsi="Avenir Next"/>
          <w:color w:val="808080" w:themeColor="background1" w:themeShade="80"/>
        </w:rPr>
        <w:t>others, and distribut</w:t>
      </w:r>
      <w:r>
        <w:rPr>
          <w:rFonts w:ascii="Avenir Next" w:hAnsi="Avenir Next"/>
          <w:color w:val="808080" w:themeColor="background1" w:themeShade="80"/>
        </w:rPr>
        <w:t>ing</w:t>
      </w:r>
      <w:r w:rsidRPr="00727705">
        <w:rPr>
          <w:rFonts w:ascii="Avenir Next" w:hAnsi="Avenir Next"/>
          <w:color w:val="808080" w:themeColor="background1" w:themeShade="80"/>
        </w:rPr>
        <w:t xml:space="preserve"> the proceeds to creditors in accordance with statutory priorities</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29"/>
      </w:r>
      <w:r>
        <w:rPr>
          <w:rFonts w:ascii="Avenir Next" w:hAnsi="Avenir Next"/>
          <w:color w:val="808080" w:themeColor="background1" w:themeShade="80"/>
        </w:rPr>
        <w:t xml:space="preserve"> Chapter 11 proceedings are essentially a US form of restructuring with a set process for the plan and </w:t>
      </w:r>
      <w:r w:rsidR="004F45BA">
        <w:rPr>
          <w:rFonts w:ascii="Avenir Next" w:hAnsi="Avenir Next"/>
          <w:color w:val="808080" w:themeColor="background1" w:themeShade="80"/>
        </w:rPr>
        <w:t>reorganization</w:t>
      </w:r>
      <w:r>
        <w:rPr>
          <w:rFonts w:ascii="Avenir Next" w:hAnsi="Avenir Next"/>
          <w:color w:val="808080" w:themeColor="background1" w:themeShade="80"/>
        </w:rPr>
        <w:t xml:space="preserve"> of a debtor's business. </w:t>
      </w:r>
    </w:p>
    <w:p w14:paraId="7F45402C" w14:textId="5872F750" w:rsidR="00347DD2" w:rsidRDefault="00347DD2" w:rsidP="002B58CF">
      <w:pPr>
        <w:pStyle w:val="AODocTxt"/>
        <w:rPr>
          <w:rFonts w:ascii="Avenir Next" w:hAnsi="Avenir Next"/>
          <w:color w:val="808080" w:themeColor="background1" w:themeShade="80"/>
        </w:rPr>
      </w:pPr>
      <w:r>
        <w:rPr>
          <w:rFonts w:ascii="Avenir Next" w:hAnsi="Avenir Next"/>
          <w:color w:val="808080" w:themeColor="background1" w:themeShade="80"/>
        </w:rPr>
        <w:t xml:space="preserve">If a foreign representative commences chapter 7 or 11 plenary proceedings after recognition of the foreign proceedings under chapter 15, </w:t>
      </w:r>
      <w:r w:rsidRPr="00347DD2">
        <w:rPr>
          <w:rFonts w:ascii="Avenir Next" w:hAnsi="Avenir Next"/>
          <w:color w:val="808080" w:themeColor="background1" w:themeShade="80"/>
        </w:rPr>
        <w:t>the scope of th</w:t>
      </w:r>
      <w:r>
        <w:rPr>
          <w:rFonts w:ascii="Avenir Next" w:hAnsi="Avenir Next"/>
          <w:color w:val="808080" w:themeColor="background1" w:themeShade="80"/>
        </w:rPr>
        <w:t>ose</w:t>
      </w:r>
      <w:r w:rsidRPr="00347DD2">
        <w:rPr>
          <w:rFonts w:ascii="Avenir Next" w:hAnsi="Avenir Next"/>
          <w:color w:val="808080" w:themeColor="background1" w:themeShade="80"/>
        </w:rPr>
        <w:t xml:space="preserve"> plenary proceeding </w:t>
      </w:r>
      <w:r>
        <w:rPr>
          <w:rFonts w:ascii="Avenir Next" w:hAnsi="Avenir Next"/>
          <w:color w:val="808080" w:themeColor="background1" w:themeShade="80"/>
        </w:rPr>
        <w:t>would be</w:t>
      </w:r>
      <w:r w:rsidRPr="00347DD2">
        <w:rPr>
          <w:rFonts w:ascii="Avenir Next" w:hAnsi="Avenir Next"/>
          <w:color w:val="808080" w:themeColor="background1" w:themeShade="80"/>
        </w:rPr>
        <w:t xml:space="preserve"> limited to the</w:t>
      </w:r>
      <w:r>
        <w:rPr>
          <w:rFonts w:ascii="Avenir Next" w:hAnsi="Avenir Next"/>
          <w:color w:val="808080" w:themeColor="background1" w:themeShade="80"/>
        </w:rPr>
        <w:t xml:space="preserve"> </w:t>
      </w:r>
      <w:r w:rsidRPr="00347DD2">
        <w:rPr>
          <w:rFonts w:ascii="Avenir Next" w:hAnsi="Avenir Next"/>
          <w:color w:val="808080" w:themeColor="background1" w:themeShade="80"/>
        </w:rPr>
        <w:t>debtor’s US assets and will be coordinated with the foreign proceeding</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0"/>
      </w:r>
      <w:r>
        <w:rPr>
          <w:rFonts w:ascii="Avenir Next" w:hAnsi="Avenir Next"/>
          <w:color w:val="808080" w:themeColor="background1" w:themeShade="80"/>
        </w:rPr>
        <w:t xml:space="preserve"> Foreign representatives may choose to commence plenary proceedings if it is apparent that the foreign laws do not allow for certain claims, such as </w:t>
      </w:r>
      <w:r w:rsidRPr="00347DD2">
        <w:rPr>
          <w:rFonts w:ascii="Avenir Next" w:hAnsi="Avenir Next"/>
          <w:color w:val="808080" w:themeColor="background1" w:themeShade="80"/>
        </w:rPr>
        <w:t>claims for constructive</w:t>
      </w:r>
      <w:r>
        <w:rPr>
          <w:rFonts w:ascii="Avenir Next" w:hAnsi="Avenir Next"/>
          <w:color w:val="808080" w:themeColor="background1" w:themeShade="80"/>
        </w:rPr>
        <w:t xml:space="preserve"> </w:t>
      </w:r>
      <w:r w:rsidRPr="00347DD2">
        <w:rPr>
          <w:rFonts w:ascii="Avenir Next" w:hAnsi="Avenir Next"/>
          <w:color w:val="808080" w:themeColor="background1" w:themeShade="80"/>
        </w:rPr>
        <w:t>fraudulent conveyance</w:t>
      </w:r>
      <w:r>
        <w:rPr>
          <w:rFonts w:ascii="Avenir Next" w:hAnsi="Avenir Next"/>
          <w:color w:val="808080" w:themeColor="background1" w:themeShade="80"/>
        </w:rPr>
        <w:t>s, or if there are statute of limitations issues which would preclude a necessary claim.</w:t>
      </w:r>
      <w:r>
        <w:rPr>
          <w:rStyle w:val="FootnoteReference"/>
          <w:rFonts w:ascii="Avenir Next" w:hAnsi="Avenir Next"/>
          <w:color w:val="808080" w:themeColor="background1" w:themeShade="80"/>
        </w:rPr>
        <w:footnoteReference w:id="31"/>
      </w:r>
      <w:r>
        <w:rPr>
          <w:rFonts w:ascii="Avenir Next" w:hAnsi="Avenir Next"/>
          <w:color w:val="808080" w:themeColor="background1" w:themeShade="80"/>
        </w:rPr>
        <w:t xml:space="preserve">  </w:t>
      </w:r>
    </w:p>
    <w:p w14:paraId="14DED8E9" w14:textId="77777777" w:rsidR="00291214" w:rsidRPr="00E01803" w:rsidRDefault="00291214"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5A0AC4B6" w14:textId="77777777" w:rsidR="00250430" w:rsidRDefault="001901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preparing a filing for a bankruptcy court, the</w:t>
      </w:r>
      <w:r w:rsidR="00250430">
        <w:rPr>
          <w:rFonts w:ascii="Avenir Next" w:hAnsi="Avenir Next"/>
          <w:color w:val="808080" w:themeColor="background1" w:themeShade="80"/>
        </w:rPr>
        <w:t xml:space="preserve">re are </w:t>
      </w:r>
      <w:proofErr w:type="gramStart"/>
      <w:r w:rsidR="00250430">
        <w:rPr>
          <w:rFonts w:ascii="Avenir Next" w:hAnsi="Avenir Next"/>
          <w:color w:val="808080" w:themeColor="background1" w:themeShade="80"/>
        </w:rPr>
        <w:t>a number of</w:t>
      </w:r>
      <w:proofErr w:type="gramEnd"/>
      <w:r w:rsidR="00250430">
        <w:rPr>
          <w:rFonts w:ascii="Avenir Next" w:hAnsi="Avenir Next"/>
          <w:color w:val="808080" w:themeColor="background1" w:themeShade="80"/>
        </w:rPr>
        <w:t xml:space="preserve"> </w:t>
      </w:r>
      <w:r>
        <w:rPr>
          <w:rFonts w:ascii="Avenir Next" w:hAnsi="Avenir Next"/>
          <w:color w:val="808080" w:themeColor="background1" w:themeShade="80"/>
        </w:rPr>
        <w:t>relevant rules that one should review</w:t>
      </w:r>
      <w:r w:rsidR="00250430">
        <w:rPr>
          <w:rFonts w:ascii="Avenir Next" w:hAnsi="Avenir Next"/>
          <w:color w:val="808080" w:themeColor="background1" w:themeShade="80"/>
        </w:rPr>
        <w:t>.</w:t>
      </w:r>
    </w:p>
    <w:p w14:paraId="6A708EC2" w14:textId="77777777" w:rsidR="00250430" w:rsidRDefault="00250430" w:rsidP="001D3BAA">
      <w:pPr>
        <w:pStyle w:val="AODocTxt"/>
        <w:spacing w:before="0" w:line="240" w:lineRule="auto"/>
        <w:rPr>
          <w:rFonts w:ascii="Avenir Next" w:hAnsi="Avenir Next"/>
          <w:color w:val="808080" w:themeColor="background1" w:themeShade="80"/>
        </w:rPr>
      </w:pPr>
    </w:p>
    <w:p w14:paraId="78E40806" w14:textId="2FDEEEF8" w:rsidR="00F07D93" w:rsidRDefault="002504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 the</w:t>
      </w:r>
      <w:r w:rsidR="0019013F" w:rsidRPr="0019013F">
        <w:rPr>
          <w:rFonts w:ascii="Avenir Next" w:hAnsi="Avenir Next"/>
          <w:color w:val="808080" w:themeColor="background1" w:themeShade="80"/>
        </w:rPr>
        <w:t xml:space="preserve"> </w:t>
      </w:r>
      <w:r w:rsidRPr="00250430">
        <w:rPr>
          <w:rFonts w:ascii="Avenir Next" w:hAnsi="Avenir Next"/>
          <w:color w:val="808080" w:themeColor="background1" w:themeShade="80"/>
        </w:rPr>
        <w:t>Federal Rules of Bankruptcy</w:t>
      </w:r>
      <w:r>
        <w:rPr>
          <w:rFonts w:ascii="Avenir Next" w:hAnsi="Avenir Next"/>
          <w:color w:val="808080" w:themeColor="background1" w:themeShade="80"/>
        </w:rPr>
        <w:t xml:space="preserve"> </w:t>
      </w:r>
      <w:r w:rsidRPr="00250430">
        <w:rPr>
          <w:rFonts w:ascii="Avenir Next" w:hAnsi="Avenir Next"/>
          <w:color w:val="808080" w:themeColor="background1" w:themeShade="80"/>
        </w:rPr>
        <w:t xml:space="preserve">Procedure (the </w:t>
      </w:r>
      <w:r w:rsidRPr="00250430">
        <w:rPr>
          <w:rFonts w:ascii="Avenir Next" w:hAnsi="Avenir Next"/>
          <w:b/>
          <w:bCs/>
          <w:color w:val="808080" w:themeColor="background1" w:themeShade="80"/>
        </w:rPr>
        <w:t>Bankruptcy Rules</w:t>
      </w:r>
      <w:r w:rsidRPr="00250430">
        <w:rPr>
          <w:rFonts w:ascii="Avenir Next" w:hAnsi="Avenir Next"/>
          <w:color w:val="808080" w:themeColor="background1" w:themeShade="80"/>
        </w:rPr>
        <w:t>)</w:t>
      </w:r>
      <w:r>
        <w:rPr>
          <w:rFonts w:ascii="Avenir Next" w:hAnsi="Avenir Next"/>
          <w:color w:val="808080" w:themeColor="background1" w:themeShade="80"/>
        </w:rPr>
        <w:t xml:space="preserve"> are critical because the</w:t>
      </w:r>
      <w:r w:rsidR="009876C8">
        <w:rPr>
          <w:rFonts w:ascii="Avenir Next" w:hAnsi="Avenir Next"/>
          <w:color w:val="808080" w:themeColor="background1" w:themeShade="80"/>
        </w:rPr>
        <w:t>y</w:t>
      </w:r>
      <w:r>
        <w:rPr>
          <w:rFonts w:ascii="Avenir Next" w:hAnsi="Avenir Next"/>
          <w:color w:val="808080" w:themeColor="background1" w:themeShade="80"/>
        </w:rPr>
        <w:t xml:space="preserve"> are the primary rules governing bankruptcy proceedings.</w:t>
      </w:r>
      <w:r>
        <w:rPr>
          <w:rStyle w:val="FootnoteReference"/>
          <w:rFonts w:ascii="Avenir Next" w:hAnsi="Avenir Next"/>
          <w:color w:val="808080" w:themeColor="background1" w:themeShade="80"/>
        </w:rPr>
        <w:footnoteReference w:id="32"/>
      </w:r>
      <w:r>
        <w:rPr>
          <w:rFonts w:ascii="Avenir Next" w:hAnsi="Avenir Next"/>
          <w:color w:val="808080" w:themeColor="background1" w:themeShade="80"/>
        </w:rPr>
        <w:t xml:space="preserve">  </w:t>
      </w:r>
      <w:r w:rsidR="00F07D93">
        <w:rPr>
          <w:rFonts w:ascii="Avenir Next" w:hAnsi="Avenir Next"/>
          <w:color w:val="808080" w:themeColor="background1" w:themeShade="80"/>
        </w:rPr>
        <w:t xml:space="preserve">As set out above in question 3.1, these rules have been amended various times </w:t>
      </w:r>
      <w:proofErr w:type="gramStart"/>
      <w:r w:rsidR="00F07D93">
        <w:rPr>
          <w:rFonts w:ascii="Avenir Next" w:hAnsi="Avenir Next"/>
          <w:color w:val="808080" w:themeColor="background1" w:themeShade="80"/>
        </w:rPr>
        <w:t>in order to</w:t>
      </w:r>
      <w:proofErr w:type="gramEnd"/>
      <w:r w:rsidR="00F07D93">
        <w:rPr>
          <w:rFonts w:ascii="Avenir Next" w:hAnsi="Avenir Next"/>
          <w:color w:val="808080" w:themeColor="background1" w:themeShade="80"/>
        </w:rPr>
        <w:t xml:space="preserve"> guide practitioners following confusion with respect to jurisdictional issues. The Bankruptcy Rules obviously deal with all aspects of bankruptcy proceedings in the United States. </w:t>
      </w:r>
    </w:p>
    <w:p w14:paraId="5357DA15" w14:textId="77777777" w:rsidR="00250430" w:rsidRDefault="00250430" w:rsidP="001D3BAA">
      <w:pPr>
        <w:pStyle w:val="AODocTxt"/>
        <w:spacing w:before="0" w:line="240" w:lineRule="auto"/>
        <w:rPr>
          <w:rFonts w:ascii="Avenir Next" w:hAnsi="Avenir Next"/>
          <w:color w:val="808080" w:themeColor="background1" w:themeShade="80"/>
        </w:rPr>
      </w:pPr>
    </w:p>
    <w:p w14:paraId="66A0F905" w14:textId="52B6778D" w:rsidR="00F07D93" w:rsidRDefault="002504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Second, and relatedly, the </w:t>
      </w:r>
      <w:r w:rsidR="0019013F" w:rsidRPr="0019013F">
        <w:rPr>
          <w:rFonts w:ascii="Avenir Next" w:hAnsi="Avenir Next"/>
          <w:color w:val="808080" w:themeColor="background1" w:themeShade="80"/>
        </w:rPr>
        <w:t>Federal Rules of Civil Procedure</w:t>
      </w:r>
      <w:r>
        <w:rPr>
          <w:rFonts w:ascii="Avenir Next" w:hAnsi="Avenir Next"/>
          <w:color w:val="808080" w:themeColor="background1" w:themeShade="80"/>
        </w:rPr>
        <w:t xml:space="preserve"> are relevant </w:t>
      </w:r>
      <w:r w:rsidRPr="00250430">
        <w:rPr>
          <w:rFonts w:ascii="Avenir Next" w:hAnsi="Avenir Next"/>
          <w:color w:val="808080" w:themeColor="background1" w:themeShade="80"/>
        </w:rPr>
        <w:t xml:space="preserve">particularly </w:t>
      </w:r>
      <w:r>
        <w:rPr>
          <w:rFonts w:ascii="Avenir Next" w:hAnsi="Avenir Next"/>
          <w:color w:val="808080" w:themeColor="background1" w:themeShade="80"/>
        </w:rPr>
        <w:t xml:space="preserve">in relation </w:t>
      </w:r>
      <w:r w:rsidRPr="00250430">
        <w:rPr>
          <w:rFonts w:ascii="Avenir Next" w:hAnsi="Avenir Next"/>
          <w:color w:val="808080" w:themeColor="background1" w:themeShade="80"/>
        </w:rPr>
        <w:t xml:space="preserve">to </w:t>
      </w:r>
      <w:r>
        <w:rPr>
          <w:rFonts w:ascii="Avenir Next" w:hAnsi="Avenir Next"/>
          <w:color w:val="808080" w:themeColor="background1" w:themeShade="80"/>
        </w:rPr>
        <w:t>litigious matters and are frequently incorporated in the Bankruptcy Rules</w:t>
      </w:r>
      <w:r w:rsidR="00F07D93">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3"/>
      </w:r>
      <w:r w:rsidR="0019013F" w:rsidRPr="0019013F">
        <w:rPr>
          <w:rFonts w:ascii="Avenir Next" w:hAnsi="Avenir Next"/>
          <w:color w:val="808080" w:themeColor="background1" w:themeShade="80"/>
        </w:rPr>
        <w:t xml:space="preserve"> </w:t>
      </w:r>
    </w:p>
    <w:p w14:paraId="302131DD" w14:textId="06450479" w:rsidR="00F07D93" w:rsidRDefault="00F07D93" w:rsidP="00F07D93">
      <w:pPr>
        <w:pStyle w:val="AODocTxt"/>
        <w:rPr>
          <w:rFonts w:ascii="Avenir Next" w:hAnsi="Avenir Next"/>
          <w:color w:val="808080" w:themeColor="background1" w:themeShade="80"/>
        </w:rPr>
      </w:pPr>
      <w:r>
        <w:rPr>
          <w:rFonts w:ascii="Avenir Next" w:hAnsi="Avenir Next"/>
          <w:color w:val="808080" w:themeColor="background1" w:themeShade="80"/>
        </w:rPr>
        <w:t xml:space="preserve">Third, it is important to have regard to </w:t>
      </w:r>
      <w:r w:rsidR="0019013F" w:rsidRPr="0019013F">
        <w:rPr>
          <w:rFonts w:ascii="Avenir Next" w:hAnsi="Avenir Next"/>
          <w:color w:val="808080" w:themeColor="background1" w:themeShade="80"/>
        </w:rPr>
        <w:t>the local rules of</w:t>
      </w:r>
      <w:r>
        <w:rPr>
          <w:rFonts w:ascii="Avenir Next" w:hAnsi="Avenir Next"/>
          <w:color w:val="808080" w:themeColor="background1" w:themeShade="80"/>
        </w:rPr>
        <w:t xml:space="preserve"> procedure in the district of</w:t>
      </w:r>
      <w:r w:rsidR="0019013F">
        <w:rPr>
          <w:rFonts w:ascii="Avenir Next" w:hAnsi="Avenir Next"/>
          <w:color w:val="808080" w:themeColor="background1" w:themeShade="80"/>
        </w:rPr>
        <w:t xml:space="preserve"> </w:t>
      </w:r>
      <w:r w:rsidR="0019013F" w:rsidRPr="0019013F">
        <w:rPr>
          <w:rFonts w:ascii="Avenir Next" w:hAnsi="Avenir Next"/>
          <w:color w:val="808080" w:themeColor="background1" w:themeShade="80"/>
        </w:rPr>
        <w:t>the bankruptcy court</w:t>
      </w:r>
      <w:r>
        <w:rPr>
          <w:rFonts w:ascii="Avenir Next" w:hAnsi="Avenir Next"/>
          <w:color w:val="808080" w:themeColor="background1" w:themeShade="80"/>
        </w:rPr>
        <w:t xml:space="preserve">. For example, </w:t>
      </w:r>
      <w:r w:rsidRPr="00F07D93">
        <w:rPr>
          <w:rFonts w:ascii="Avenir Next" w:hAnsi="Avenir Next"/>
          <w:color w:val="808080" w:themeColor="background1" w:themeShade="80"/>
        </w:rPr>
        <w:t>the local rules of the Bankruptcy Court for the District of Delaware are available at</w:t>
      </w:r>
      <w:r>
        <w:rPr>
          <w:rFonts w:ascii="Avenir Next" w:hAnsi="Avenir Next"/>
          <w:color w:val="808080" w:themeColor="background1" w:themeShade="80"/>
        </w:rPr>
        <w:t xml:space="preserve"> </w:t>
      </w:r>
      <w:hyperlink r:id="rId9" w:history="1">
        <w:r w:rsidRPr="00ED796C">
          <w:rPr>
            <w:rStyle w:val="Hyperlink"/>
            <w:rFonts w:ascii="Avenir Next" w:hAnsi="Avenir Next"/>
          </w:rPr>
          <w:t>http://www.deb.uscourts.gov/local-rules-and-orders</w:t>
        </w:r>
      </w:hyperlink>
      <w:r>
        <w:rPr>
          <w:rFonts w:ascii="Avenir Next" w:hAnsi="Avenir Next"/>
          <w:color w:val="808080" w:themeColor="background1" w:themeShade="80"/>
        </w:rPr>
        <w:t>.</w:t>
      </w:r>
    </w:p>
    <w:p w14:paraId="20212EDB" w14:textId="48ED081C" w:rsidR="0019013F" w:rsidRDefault="00F07D93" w:rsidP="00F07D93">
      <w:pPr>
        <w:pStyle w:val="AODocTxt"/>
        <w:rPr>
          <w:rFonts w:ascii="Avenir Next" w:hAnsi="Avenir Next"/>
          <w:color w:val="808080" w:themeColor="background1" w:themeShade="80"/>
        </w:rPr>
      </w:pPr>
      <w:r>
        <w:rPr>
          <w:rFonts w:ascii="Avenir Next" w:hAnsi="Avenir Next"/>
          <w:color w:val="808080" w:themeColor="background1" w:themeShade="80"/>
        </w:rPr>
        <w:t xml:space="preserve">Fourth, regard should be had to the relevant </w:t>
      </w:r>
      <w:r w:rsidR="0019013F" w:rsidRPr="0019013F">
        <w:rPr>
          <w:rFonts w:ascii="Avenir Next" w:hAnsi="Avenir Next"/>
          <w:color w:val="808080" w:themeColor="background1" w:themeShade="80"/>
        </w:rPr>
        <w:t>judge’s personal practices.</w:t>
      </w:r>
      <w:r>
        <w:rPr>
          <w:rFonts w:ascii="Avenir Next" w:hAnsi="Avenir Next"/>
          <w:color w:val="808080" w:themeColor="background1" w:themeShade="80"/>
        </w:rPr>
        <w:t xml:space="preserve"> This may be drawn from personal experience, or it may be </w:t>
      </w:r>
      <w:r w:rsidR="00CB4B53">
        <w:rPr>
          <w:rFonts w:ascii="Avenir Next" w:hAnsi="Avenir Next"/>
          <w:color w:val="808080" w:themeColor="background1" w:themeShade="80"/>
        </w:rPr>
        <w:t>drawn from Court sources such as the relevant district court's website.</w:t>
      </w:r>
    </w:p>
    <w:p w14:paraId="671A424A" w14:textId="1BF86AB7" w:rsidR="001D3BAA" w:rsidRPr="002B5D64" w:rsidRDefault="00CB4B53" w:rsidP="00CB4B53">
      <w:pPr>
        <w:pStyle w:val="AODocTxt"/>
        <w:rPr>
          <w:rFonts w:ascii="Avenir Next" w:hAnsi="Avenir Next"/>
          <w:color w:val="808080" w:themeColor="background1" w:themeShade="80"/>
        </w:rPr>
      </w:pPr>
      <w:r>
        <w:rPr>
          <w:rFonts w:ascii="Avenir Next" w:hAnsi="Avenir Next"/>
          <w:color w:val="808080" w:themeColor="background1" w:themeShade="80"/>
        </w:rPr>
        <w:t xml:space="preserve">The local rules and the judges' personal practices can be critical in terms of procedure but can also specify unique deadlines and timeframes for filings etc. Seeking advice from a local practitioner on any unwritten rules of preferred practices is recommended for practitioners who do not </w:t>
      </w:r>
      <w:r w:rsidR="0019013F" w:rsidRPr="0019013F">
        <w:rPr>
          <w:rFonts w:ascii="Avenir Next" w:hAnsi="Avenir Next"/>
          <w:color w:val="808080" w:themeColor="background1" w:themeShade="80"/>
        </w:rPr>
        <w:t>practice regularly in a</w:t>
      </w:r>
      <w:r>
        <w:rPr>
          <w:rFonts w:ascii="Avenir Next" w:hAnsi="Avenir Next"/>
          <w:color w:val="808080" w:themeColor="background1" w:themeShade="80"/>
        </w:rPr>
        <w:t xml:space="preserve"> </w:t>
      </w:r>
      <w:r w:rsidR="0019013F" w:rsidRPr="0019013F">
        <w:rPr>
          <w:rFonts w:ascii="Avenir Next" w:hAnsi="Avenir Next"/>
          <w:color w:val="808080" w:themeColor="background1" w:themeShade="80"/>
        </w:rPr>
        <w:t>jurisdiction</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4"/>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63D0539D" w14:textId="63ECB661" w:rsidR="008141E2" w:rsidRDefault="008141E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Although directors' duties are a matter for state law, </w:t>
      </w:r>
      <w:r w:rsidR="009876C8">
        <w:rPr>
          <w:rFonts w:ascii="Avenir Next" w:hAnsi="Avenir Next"/>
          <w:color w:val="808080" w:themeColor="background1" w:themeShade="80"/>
        </w:rPr>
        <w:t xml:space="preserve">it </w:t>
      </w:r>
      <w:r>
        <w:rPr>
          <w:rFonts w:ascii="Avenir Next" w:hAnsi="Avenir Next"/>
          <w:color w:val="808080" w:themeColor="background1" w:themeShade="80"/>
        </w:rPr>
        <w:t xml:space="preserve">is useful to focus on the duties of directors of corporations </w:t>
      </w:r>
      <w:r w:rsidR="009D1D5B">
        <w:rPr>
          <w:rFonts w:ascii="Avenir Next" w:hAnsi="Avenir Next"/>
          <w:color w:val="808080" w:themeColor="background1" w:themeShade="80"/>
        </w:rPr>
        <w:t xml:space="preserve">in </w:t>
      </w:r>
      <w:r>
        <w:rPr>
          <w:rFonts w:ascii="Avenir Next" w:hAnsi="Avenir Next"/>
          <w:color w:val="808080" w:themeColor="background1" w:themeShade="80"/>
        </w:rPr>
        <w:t xml:space="preserve">Delaware considering that it is the </w:t>
      </w:r>
      <w:r w:rsidRPr="008141E2">
        <w:rPr>
          <w:rFonts w:ascii="Avenir Next" w:hAnsi="Avenir Next"/>
          <w:color w:val="808080" w:themeColor="background1" w:themeShade="80"/>
        </w:rPr>
        <w:t>pre-eminent US jurisdiction for corporate</w:t>
      </w:r>
      <w:r>
        <w:rPr>
          <w:rFonts w:ascii="Avenir Next" w:hAnsi="Avenir Next"/>
          <w:color w:val="808080" w:themeColor="background1" w:themeShade="80"/>
        </w:rPr>
        <w:t xml:space="preserve"> </w:t>
      </w:r>
      <w:r w:rsidRPr="008141E2">
        <w:rPr>
          <w:rFonts w:ascii="Avenir Next" w:hAnsi="Avenir Next"/>
          <w:color w:val="808080" w:themeColor="background1" w:themeShade="80"/>
        </w:rPr>
        <w:t>law</w:t>
      </w:r>
      <w:r>
        <w:rPr>
          <w:rFonts w:ascii="Avenir Next" w:hAnsi="Avenir Next"/>
          <w:color w:val="808080" w:themeColor="background1" w:themeShade="80"/>
        </w:rPr>
        <w:t xml:space="preserve">.  In addition, many other US </w:t>
      </w:r>
      <w:r w:rsidRPr="008141E2">
        <w:rPr>
          <w:rFonts w:ascii="Avenir Next" w:hAnsi="Avenir Next"/>
          <w:color w:val="808080" w:themeColor="background1" w:themeShade="80"/>
        </w:rPr>
        <w:t>states have modeled their corporate laws on Delaware’s legislation</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5"/>
      </w:r>
    </w:p>
    <w:p w14:paraId="04A2379D" w14:textId="77777777" w:rsidR="008141E2" w:rsidRDefault="008141E2" w:rsidP="001D3BAA">
      <w:pPr>
        <w:pStyle w:val="AODocTxt"/>
        <w:spacing w:before="0" w:line="240" w:lineRule="auto"/>
        <w:rPr>
          <w:rFonts w:ascii="Avenir Next" w:hAnsi="Avenir Next"/>
          <w:color w:val="808080" w:themeColor="background1" w:themeShade="80"/>
        </w:rPr>
      </w:pPr>
    </w:p>
    <w:p w14:paraId="3D0AFF48" w14:textId="23CEF522" w:rsidR="009D1D5B" w:rsidRDefault="00E02559"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the ordinary course of business, d</w:t>
      </w:r>
      <w:r w:rsidR="009D1D5B" w:rsidRPr="009D1D5B">
        <w:rPr>
          <w:rFonts w:ascii="Avenir Next" w:hAnsi="Avenir Next"/>
          <w:color w:val="808080" w:themeColor="background1" w:themeShade="80"/>
        </w:rPr>
        <w:t xml:space="preserve">irectors </w:t>
      </w:r>
      <w:r>
        <w:rPr>
          <w:rFonts w:ascii="Avenir Next" w:hAnsi="Avenir Next"/>
          <w:color w:val="808080" w:themeColor="background1" w:themeShade="80"/>
        </w:rPr>
        <w:t xml:space="preserve">of </w:t>
      </w:r>
      <w:r w:rsidR="009D1D5B">
        <w:rPr>
          <w:rFonts w:ascii="Avenir Next" w:hAnsi="Avenir Next"/>
          <w:color w:val="808080" w:themeColor="background1" w:themeShade="80"/>
        </w:rPr>
        <w:t xml:space="preserve">Delaware </w:t>
      </w:r>
      <w:r>
        <w:rPr>
          <w:rFonts w:ascii="Avenir Next" w:hAnsi="Avenir Next"/>
          <w:color w:val="808080" w:themeColor="background1" w:themeShade="80"/>
        </w:rPr>
        <w:t xml:space="preserve">corporations </w:t>
      </w:r>
      <w:r w:rsidR="009D1D5B">
        <w:rPr>
          <w:rFonts w:ascii="Avenir Next" w:hAnsi="Avenir Next"/>
          <w:color w:val="808080" w:themeColor="background1" w:themeShade="80"/>
        </w:rPr>
        <w:t>owe:</w:t>
      </w:r>
    </w:p>
    <w:p w14:paraId="3F7951FC" w14:textId="77777777" w:rsidR="009D1D5B" w:rsidRDefault="009D1D5B" w:rsidP="000778B1">
      <w:pPr>
        <w:pStyle w:val="AODocTxt"/>
        <w:spacing w:before="0" w:line="240" w:lineRule="auto"/>
        <w:rPr>
          <w:rFonts w:ascii="Avenir Next" w:hAnsi="Avenir Next"/>
          <w:color w:val="808080" w:themeColor="background1" w:themeShade="80"/>
        </w:rPr>
      </w:pPr>
    </w:p>
    <w:p w14:paraId="797112AF" w14:textId="1D3238C7" w:rsidR="009D1D5B" w:rsidRDefault="009D1D5B" w:rsidP="009D1D5B">
      <w:pPr>
        <w:pStyle w:val="AODocTxt"/>
        <w:numPr>
          <w:ilvl w:val="0"/>
          <w:numId w:val="39"/>
        </w:numPr>
        <w:spacing w:before="0" w:line="240" w:lineRule="auto"/>
        <w:rPr>
          <w:rFonts w:ascii="Avenir Next" w:hAnsi="Avenir Next"/>
          <w:color w:val="808080" w:themeColor="background1" w:themeShade="80"/>
        </w:rPr>
      </w:pPr>
      <w:r w:rsidRPr="009D1D5B">
        <w:rPr>
          <w:rFonts w:ascii="Avenir Next" w:hAnsi="Avenir Next"/>
          <w:color w:val="808080" w:themeColor="background1" w:themeShade="80"/>
        </w:rPr>
        <w:t>a</w:t>
      </w:r>
      <w:r>
        <w:rPr>
          <w:rFonts w:ascii="Avenir Next" w:hAnsi="Avenir Next"/>
          <w:color w:val="808080" w:themeColor="background1" w:themeShade="80"/>
        </w:rPr>
        <w:t xml:space="preserve"> </w:t>
      </w:r>
      <w:r w:rsidRPr="009D1D5B">
        <w:rPr>
          <w:rFonts w:ascii="Avenir Next" w:hAnsi="Avenir Next"/>
          <w:color w:val="808080" w:themeColor="background1" w:themeShade="80"/>
        </w:rPr>
        <w:t xml:space="preserve">fiduciary </w:t>
      </w:r>
      <w:r>
        <w:rPr>
          <w:rFonts w:ascii="Avenir Next" w:hAnsi="Avenir Next"/>
          <w:color w:val="808080" w:themeColor="background1" w:themeShade="80"/>
        </w:rPr>
        <w:t>"</w:t>
      </w:r>
      <w:r w:rsidRPr="009D1D5B">
        <w:rPr>
          <w:rFonts w:ascii="Avenir Next" w:hAnsi="Avenir Next"/>
          <w:color w:val="808080" w:themeColor="background1" w:themeShade="80"/>
        </w:rPr>
        <w:t>duty of loyalty</w:t>
      </w:r>
      <w:r>
        <w:rPr>
          <w:rFonts w:ascii="Avenir Next" w:hAnsi="Avenir Next"/>
          <w:color w:val="808080" w:themeColor="background1" w:themeShade="80"/>
        </w:rPr>
        <w:t>"</w:t>
      </w:r>
      <w:r w:rsidRPr="009D1D5B">
        <w:rPr>
          <w:rFonts w:ascii="Avenir Next" w:hAnsi="Avenir Next"/>
          <w:color w:val="808080" w:themeColor="background1" w:themeShade="80"/>
        </w:rPr>
        <w:t xml:space="preserve"> to the corporation’s best interest</w:t>
      </w:r>
      <w:r>
        <w:rPr>
          <w:rFonts w:ascii="Avenir Next" w:hAnsi="Avenir Next"/>
          <w:color w:val="808080" w:themeColor="background1" w:themeShade="80"/>
        </w:rPr>
        <w:t xml:space="preserve">; and </w:t>
      </w:r>
    </w:p>
    <w:p w14:paraId="30B2F813" w14:textId="77777777" w:rsidR="009D1D5B" w:rsidRDefault="009D1D5B" w:rsidP="009D1D5B">
      <w:pPr>
        <w:pStyle w:val="AODocTxt"/>
        <w:spacing w:before="0" w:line="240" w:lineRule="auto"/>
        <w:ind w:left="720"/>
        <w:rPr>
          <w:rFonts w:ascii="Avenir Next" w:hAnsi="Avenir Next"/>
          <w:color w:val="808080" w:themeColor="background1" w:themeShade="80"/>
        </w:rPr>
      </w:pPr>
    </w:p>
    <w:p w14:paraId="4852544B" w14:textId="59484036" w:rsidR="005E7F7E" w:rsidRPr="005E7F7E" w:rsidRDefault="009D1D5B" w:rsidP="005E7F7E">
      <w:pPr>
        <w:pStyle w:val="AODocTxt"/>
        <w:numPr>
          <w:ilvl w:val="0"/>
          <w:numId w:val="39"/>
        </w:numPr>
        <w:spacing w:before="0" w:line="240" w:lineRule="auto"/>
        <w:rPr>
          <w:rFonts w:ascii="Avenir Next" w:hAnsi="Avenir Next"/>
          <w:color w:val="808080" w:themeColor="background1" w:themeShade="80"/>
        </w:rPr>
      </w:pPr>
      <w:r w:rsidRPr="009D1D5B">
        <w:rPr>
          <w:rFonts w:ascii="Avenir Next" w:hAnsi="Avenir Next"/>
          <w:color w:val="808080" w:themeColor="background1" w:themeShade="80"/>
        </w:rPr>
        <w:t xml:space="preserve">a </w:t>
      </w:r>
      <w:r>
        <w:rPr>
          <w:rFonts w:ascii="Avenir Next" w:hAnsi="Avenir Next"/>
          <w:color w:val="808080" w:themeColor="background1" w:themeShade="80"/>
        </w:rPr>
        <w:t>"</w:t>
      </w:r>
      <w:r w:rsidRPr="009D1D5B">
        <w:rPr>
          <w:rFonts w:ascii="Avenir Next" w:hAnsi="Avenir Next"/>
          <w:color w:val="808080" w:themeColor="background1" w:themeShade="80"/>
        </w:rPr>
        <w:t>duty of care</w:t>
      </w:r>
      <w:r>
        <w:rPr>
          <w:rFonts w:ascii="Avenir Next" w:hAnsi="Avenir Next"/>
          <w:color w:val="808080" w:themeColor="background1" w:themeShade="80"/>
        </w:rPr>
        <w:t>"</w:t>
      </w:r>
      <w:r w:rsidRPr="009D1D5B">
        <w:rPr>
          <w:rFonts w:ascii="Avenir Next" w:hAnsi="Avenir Next"/>
          <w:color w:val="808080" w:themeColor="background1" w:themeShade="80"/>
        </w:rPr>
        <w:t xml:space="preserve"> in educated</w:t>
      </w:r>
      <w:r>
        <w:rPr>
          <w:rFonts w:ascii="Avenir Next" w:hAnsi="Avenir Next"/>
          <w:color w:val="808080" w:themeColor="background1" w:themeShade="80"/>
        </w:rPr>
        <w:t xml:space="preserve"> </w:t>
      </w:r>
      <w:proofErr w:type="gramStart"/>
      <w:r w:rsidRPr="009D1D5B">
        <w:rPr>
          <w:rFonts w:ascii="Avenir Next" w:hAnsi="Avenir Next"/>
          <w:color w:val="808080" w:themeColor="background1" w:themeShade="80"/>
        </w:rPr>
        <w:t>decision-making, but</w:t>
      </w:r>
      <w:proofErr w:type="gramEnd"/>
      <w:r w:rsidRPr="009D1D5B">
        <w:rPr>
          <w:rFonts w:ascii="Avenir Next" w:hAnsi="Avenir Next"/>
          <w:color w:val="808080" w:themeColor="background1" w:themeShade="80"/>
        </w:rPr>
        <w:t xml:space="preserve"> are protected from liability for errors of judgment by the business</w:t>
      </w:r>
      <w:r>
        <w:rPr>
          <w:rFonts w:ascii="Avenir Next" w:hAnsi="Avenir Next"/>
          <w:color w:val="808080" w:themeColor="background1" w:themeShade="80"/>
        </w:rPr>
        <w:t xml:space="preserve"> </w:t>
      </w:r>
      <w:r w:rsidRPr="009D1D5B">
        <w:rPr>
          <w:rFonts w:ascii="Avenir Next" w:hAnsi="Avenir Next"/>
          <w:color w:val="808080" w:themeColor="background1" w:themeShade="80"/>
        </w:rPr>
        <w:t>judgment rule.</w:t>
      </w:r>
      <w:r>
        <w:rPr>
          <w:rStyle w:val="FootnoteReference"/>
          <w:rFonts w:ascii="Avenir Next" w:hAnsi="Avenir Next"/>
          <w:color w:val="808080" w:themeColor="background1" w:themeShade="80"/>
        </w:rPr>
        <w:footnoteReference w:id="36"/>
      </w:r>
      <w:r w:rsidRPr="009D1D5B">
        <w:rPr>
          <w:rFonts w:ascii="Avenir Next" w:hAnsi="Avenir Next"/>
          <w:color w:val="808080" w:themeColor="background1" w:themeShade="80"/>
        </w:rPr>
        <w:t xml:space="preserve"> </w:t>
      </w:r>
    </w:p>
    <w:p w14:paraId="19789D09" w14:textId="77777777" w:rsidR="005E7F7E" w:rsidRDefault="005E7F7E" w:rsidP="005E7F7E">
      <w:pPr>
        <w:pStyle w:val="ListParagraph"/>
        <w:rPr>
          <w:rFonts w:ascii="Avenir Next" w:hAnsi="Avenir Next"/>
          <w:color w:val="808080" w:themeColor="background1" w:themeShade="80"/>
        </w:rPr>
      </w:pPr>
    </w:p>
    <w:p w14:paraId="3D80B4BC" w14:textId="47FC7A97" w:rsidR="009D1D5B" w:rsidRDefault="009D1D5B" w:rsidP="005E7F7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accordance with the business judgment rule, a </w:t>
      </w:r>
      <w:r w:rsidRPr="009D1D5B">
        <w:rPr>
          <w:rFonts w:ascii="Avenir Next" w:hAnsi="Avenir Next"/>
          <w:color w:val="808080" w:themeColor="background1" w:themeShade="80"/>
        </w:rPr>
        <w:t xml:space="preserve">board of directors </w:t>
      </w:r>
      <w:r>
        <w:rPr>
          <w:rFonts w:ascii="Avenir Next" w:hAnsi="Avenir Next"/>
          <w:color w:val="808080" w:themeColor="background1" w:themeShade="80"/>
        </w:rPr>
        <w:t>will be</w:t>
      </w:r>
      <w:r w:rsidRPr="009D1D5B">
        <w:rPr>
          <w:rFonts w:ascii="Avenir Next" w:hAnsi="Avenir Next"/>
          <w:color w:val="808080" w:themeColor="background1" w:themeShade="80"/>
        </w:rPr>
        <w:t xml:space="preserve"> presumed to have acted in good faith </w:t>
      </w:r>
      <w:r>
        <w:rPr>
          <w:rFonts w:ascii="Avenir Next" w:hAnsi="Avenir Next"/>
          <w:color w:val="808080" w:themeColor="background1" w:themeShade="80"/>
        </w:rPr>
        <w:t xml:space="preserve">if they acted on the basis </w:t>
      </w:r>
      <w:r w:rsidRPr="009D1D5B">
        <w:rPr>
          <w:rFonts w:ascii="Avenir Next" w:hAnsi="Avenir Next"/>
          <w:color w:val="808080" w:themeColor="background1" w:themeShade="80"/>
        </w:rPr>
        <w:t>reasonable information.</w:t>
      </w:r>
      <w:r>
        <w:rPr>
          <w:rFonts w:ascii="Avenir Next" w:hAnsi="Avenir Next"/>
          <w:color w:val="808080" w:themeColor="background1" w:themeShade="80"/>
        </w:rPr>
        <w:t xml:space="preserve"> On the contrary, if it can be shown that they acted without reasonable information or were not reasonably informed, did not act in good faith or did not truly believe that their decision was in the best interests of the company, then </w:t>
      </w:r>
      <w:r w:rsidR="005E7F7E">
        <w:rPr>
          <w:rFonts w:ascii="Avenir Next" w:hAnsi="Avenir Next"/>
          <w:color w:val="808080" w:themeColor="background1" w:themeShade="80"/>
        </w:rPr>
        <w:t>the presumption can be rebutted. Directors will not be liable unless the presumption is rebutted, or they are found to have been grossly negligent in their actions.</w:t>
      </w:r>
      <w:r w:rsidR="005E7F7E">
        <w:rPr>
          <w:rStyle w:val="FootnoteReference"/>
          <w:rFonts w:ascii="Avenir Next" w:hAnsi="Avenir Next"/>
          <w:color w:val="808080" w:themeColor="background1" w:themeShade="80"/>
        </w:rPr>
        <w:footnoteReference w:id="37"/>
      </w:r>
      <w:r w:rsidR="005E7F7E">
        <w:rPr>
          <w:rFonts w:ascii="Avenir Next" w:hAnsi="Avenir Next"/>
          <w:color w:val="808080" w:themeColor="background1" w:themeShade="80"/>
        </w:rPr>
        <w:t xml:space="preserve">  </w:t>
      </w:r>
    </w:p>
    <w:p w14:paraId="5FCB66B1" w14:textId="492D26CA" w:rsidR="005E7F7E" w:rsidRDefault="005E7F7E" w:rsidP="005E7F7E">
      <w:pPr>
        <w:pStyle w:val="AODocTxt"/>
        <w:rPr>
          <w:rFonts w:ascii="Avenir Next" w:hAnsi="Avenir Next"/>
          <w:color w:val="808080" w:themeColor="background1" w:themeShade="80"/>
        </w:rPr>
      </w:pPr>
      <w:r>
        <w:rPr>
          <w:rFonts w:ascii="Avenir Next" w:hAnsi="Avenir Next"/>
          <w:color w:val="808080" w:themeColor="background1" w:themeShade="80"/>
        </w:rPr>
        <w:t xml:space="preserve">The </w:t>
      </w:r>
      <w:r w:rsidR="00E02559">
        <w:rPr>
          <w:rFonts w:ascii="Avenir Next" w:hAnsi="Avenir Next"/>
          <w:color w:val="808080" w:themeColor="background1" w:themeShade="80"/>
        </w:rPr>
        <w:t>above-mentioned</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directors</w:t>
      </w:r>
      <w:proofErr w:type="gramEnd"/>
      <w:r>
        <w:rPr>
          <w:rFonts w:ascii="Avenir Next" w:hAnsi="Avenir Next"/>
          <w:color w:val="808080" w:themeColor="background1" w:themeShade="80"/>
        </w:rPr>
        <w:t xml:space="preserve"> duties are </w:t>
      </w:r>
      <w:r w:rsidRPr="005E7F7E">
        <w:rPr>
          <w:rFonts w:ascii="Avenir Next" w:hAnsi="Avenir Next"/>
          <w:color w:val="808080" w:themeColor="background1" w:themeShade="80"/>
        </w:rPr>
        <w:t>owed to the corporation and its shareholders</w:t>
      </w:r>
      <w:r>
        <w:rPr>
          <w:rFonts w:ascii="Avenir Next" w:hAnsi="Avenir Next"/>
          <w:color w:val="808080" w:themeColor="background1" w:themeShade="80"/>
        </w:rPr>
        <w:t xml:space="preserve">. Directors do not owe these duties to creditors of the corporation, even if the </w:t>
      </w:r>
      <w:r w:rsidRPr="005E7F7E">
        <w:rPr>
          <w:rFonts w:ascii="Avenir Next" w:hAnsi="Avenir Next"/>
          <w:color w:val="808080" w:themeColor="background1" w:themeShade="80"/>
        </w:rPr>
        <w:t>corporation is potentially insolvent</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38"/>
      </w:r>
      <w:r>
        <w:rPr>
          <w:rFonts w:ascii="Avenir Next" w:hAnsi="Avenir Next"/>
          <w:color w:val="808080" w:themeColor="background1" w:themeShade="80"/>
        </w:rPr>
        <w:t xml:space="preserve"> </w:t>
      </w:r>
    </w:p>
    <w:p w14:paraId="472063D8" w14:textId="60080BBE" w:rsidR="009D1D5B" w:rsidRDefault="005C4FF8" w:rsidP="005E7F7E">
      <w:pPr>
        <w:pStyle w:val="AODocTxt"/>
        <w:rPr>
          <w:rFonts w:ascii="Avenir Next" w:hAnsi="Avenir Next"/>
          <w:color w:val="808080" w:themeColor="background1" w:themeShade="80"/>
        </w:rPr>
      </w:pPr>
      <w:r>
        <w:rPr>
          <w:rFonts w:ascii="Avenir Next" w:hAnsi="Avenir Next"/>
          <w:color w:val="808080" w:themeColor="background1" w:themeShade="80"/>
        </w:rPr>
        <w:t>Similarly, the</w:t>
      </w:r>
      <w:r w:rsidR="005E7F7E" w:rsidRPr="005E7F7E">
        <w:rPr>
          <w:rFonts w:ascii="Avenir Next" w:hAnsi="Avenir Next"/>
          <w:color w:val="808080" w:themeColor="background1" w:themeShade="80"/>
        </w:rPr>
        <w:t xml:space="preserve"> Delaware Supreme Court </w:t>
      </w:r>
      <w:r w:rsidR="005E7F7E">
        <w:rPr>
          <w:rFonts w:ascii="Avenir Next" w:hAnsi="Avenir Next"/>
          <w:color w:val="808080" w:themeColor="background1" w:themeShade="80"/>
        </w:rPr>
        <w:t xml:space="preserve">in the case of </w:t>
      </w:r>
      <w:r w:rsidR="005E7F7E" w:rsidRPr="005E7F7E">
        <w:rPr>
          <w:rFonts w:ascii="Avenir Next" w:hAnsi="Avenir Next"/>
          <w:i/>
          <w:iCs/>
          <w:color w:val="808080" w:themeColor="background1" w:themeShade="80"/>
        </w:rPr>
        <w:t xml:space="preserve">North Am Catholic Educational Programming Foundation, Inc v </w:t>
      </w:r>
      <w:proofErr w:type="spellStart"/>
      <w:r w:rsidR="005E7F7E" w:rsidRPr="005E7F7E">
        <w:rPr>
          <w:rFonts w:ascii="Avenir Next" w:hAnsi="Avenir Next"/>
          <w:i/>
          <w:iCs/>
          <w:color w:val="808080" w:themeColor="background1" w:themeShade="80"/>
        </w:rPr>
        <w:t>Gheewalla</w:t>
      </w:r>
      <w:proofErr w:type="spellEnd"/>
      <w:r w:rsidR="005E7F7E" w:rsidRPr="005E7F7E">
        <w:rPr>
          <w:rFonts w:ascii="Avenir Next" w:hAnsi="Avenir Next"/>
          <w:color w:val="808080" w:themeColor="background1" w:themeShade="80"/>
        </w:rPr>
        <w:t>, 930 A.2d 92, 103 (Del 2007)</w:t>
      </w:r>
      <w:r w:rsidR="005E7F7E">
        <w:rPr>
          <w:rFonts w:ascii="Avenir Next" w:hAnsi="Avenir Next"/>
          <w:color w:val="808080" w:themeColor="background1" w:themeShade="80"/>
        </w:rPr>
        <w:t xml:space="preserve"> has confirmed that directors do not owe duties to creditors </w:t>
      </w:r>
      <w:r w:rsidR="005E7F7E" w:rsidRPr="005E7F7E">
        <w:rPr>
          <w:rFonts w:ascii="Avenir Next" w:hAnsi="Avenir Next"/>
          <w:color w:val="808080" w:themeColor="background1" w:themeShade="80"/>
        </w:rPr>
        <w:t>when a company is operating “in the zone of</w:t>
      </w:r>
      <w:r w:rsidR="005E7F7E">
        <w:rPr>
          <w:rFonts w:ascii="Avenir Next" w:hAnsi="Avenir Next"/>
          <w:color w:val="808080" w:themeColor="background1" w:themeShade="80"/>
        </w:rPr>
        <w:t xml:space="preserve"> </w:t>
      </w:r>
      <w:r w:rsidR="005E7F7E" w:rsidRPr="005E7F7E">
        <w:rPr>
          <w:rFonts w:ascii="Avenir Next" w:hAnsi="Avenir Next"/>
          <w:color w:val="808080" w:themeColor="background1" w:themeShade="80"/>
        </w:rPr>
        <w:t xml:space="preserve">insolvency”, or </w:t>
      </w:r>
      <w:proofErr w:type="gramStart"/>
      <w:r w:rsidR="005E7F7E" w:rsidRPr="005E7F7E">
        <w:rPr>
          <w:rFonts w:ascii="Avenir Next" w:hAnsi="Avenir Next"/>
          <w:color w:val="808080" w:themeColor="background1" w:themeShade="80"/>
        </w:rPr>
        <w:t>actually insolvent</w:t>
      </w:r>
      <w:proofErr w:type="gramEnd"/>
      <w:r w:rsidR="005E7F7E" w:rsidRPr="005E7F7E">
        <w:rPr>
          <w:rFonts w:ascii="Avenir Next" w:hAnsi="Avenir Next"/>
          <w:color w:val="808080" w:themeColor="background1" w:themeShade="80"/>
        </w:rPr>
        <w:t>.</w:t>
      </w:r>
      <w:r w:rsidR="005E7F7E">
        <w:rPr>
          <w:rFonts w:ascii="Avenir Next" w:hAnsi="Avenir Next"/>
          <w:color w:val="808080" w:themeColor="background1" w:themeShade="80"/>
        </w:rPr>
        <w:t xml:space="preserve"> The Court said that </w:t>
      </w:r>
      <w:r w:rsidR="005E7F7E" w:rsidRPr="005E7F7E">
        <w:rPr>
          <w:rFonts w:ascii="Avenir Next" w:hAnsi="Avenir Next"/>
          <w:i/>
          <w:iCs/>
          <w:color w:val="808080" w:themeColor="background1" w:themeShade="80"/>
        </w:rPr>
        <w:t>“[I]</w:t>
      </w:r>
      <w:proofErr w:type="spellStart"/>
      <w:r w:rsidR="005E7F7E" w:rsidRPr="005E7F7E">
        <w:rPr>
          <w:rFonts w:ascii="Avenir Next" w:hAnsi="Avenir Next"/>
          <w:i/>
          <w:iCs/>
          <w:color w:val="808080" w:themeColor="background1" w:themeShade="80"/>
        </w:rPr>
        <w:t>ndividual</w:t>
      </w:r>
      <w:proofErr w:type="spellEnd"/>
      <w:r w:rsidR="005E7F7E" w:rsidRPr="005E7F7E">
        <w:rPr>
          <w:rFonts w:ascii="Avenir Next" w:hAnsi="Avenir Next"/>
          <w:i/>
          <w:iCs/>
          <w:color w:val="808080" w:themeColor="background1" w:themeShade="80"/>
        </w:rPr>
        <w:t xml:space="preserve"> creditors of an insolvent corporation have no right to assert direct claims for breach of fiduciary duty against corporate directors. Creditors may nonetheless protect their interest by bringing derivative claims on behalf of the insolvent corporation . . . .”</w:t>
      </w:r>
      <w:r w:rsidR="005E7F7E">
        <w:rPr>
          <w:rFonts w:ascii="Avenir Next" w:hAnsi="Avenir Next"/>
          <w:color w:val="808080" w:themeColor="background1" w:themeShade="80"/>
        </w:rPr>
        <w:t>.</w:t>
      </w:r>
      <w:r w:rsidR="004F45BA">
        <w:rPr>
          <w:rStyle w:val="FootnoteReference"/>
          <w:rFonts w:ascii="Avenir Next" w:hAnsi="Avenir Next"/>
          <w:color w:val="808080" w:themeColor="background1" w:themeShade="80"/>
        </w:rPr>
        <w:footnoteReference w:id="39"/>
      </w:r>
      <w:r w:rsidR="005E7F7E">
        <w:rPr>
          <w:rFonts w:ascii="Avenir Next" w:hAnsi="Avenir Next"/>
          <w:color w:val="808080" w:themeColor="background1" w:themeShade="80"/>
        </w:rPr>
        <w:t xml:space="preserve"> </w:t>
      </w:r>
      <w:r w:rsidR="005E7F7E" w:rsidRPr="005E7F7E">
        <w:rPr>
          <w:rFonts w:ascii="Avenir Next" w:hAnsi="Avenir Next"/>
          <w:color w:val="808080" w:themeColor="background1" w:themeShade="80"/>
        </w:rPr>
        <w:t xml:space="preserve"> </w:t>
      </w:r>
    </w:p>
    <w:p w14:paraId="1D5BF7F7" w14:textId="77777777" w:rsidR="009D1D5B" w:rsidRPr="00E01803" w:rsidRDefault="009D1D5B"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324F5439" w14:textId="1D4BAEAB" w:rsidR="00C05402" w:rsidRDefault="00C05402" w:rsidP="001D3BAA">
      <w:pPr>
        <w:pStyle w:val="AODocTxt"/>
        <w:spacing w:before="0" w:line="240" w:lineRule="auto"/>
        <w:rPr>
          <w:rFonts w:ascii="Avenir Next" w:hAnsi="Avenir Next"/>
          <w:color w:val="808080" w:themeColor="background1" w:themeShade="80"/>
        </w:rPr>
      </w:pPr>
      <w:proofErr w:type="gramStart"/>
      <w:r>
        <w:rPr>
          <w:rFonts w:ascii="Avenir Next" w:hAnsi="Avenir Next"/>
          <w:color w:val="808080" w:themeColor="background1" w:themeShade="80"/>
        </w:rPr>
        <w:t>In view of the fact that</w:t>
      </w:r>
      <w:proofErr w:type="gramEnd"/>
      <w:r>
        <w:rPr>
          <w:rFonts w:ascii="Avenir Next" w:hAnsi="Avenir Next"/>
          <w:color w:val="808080" w:themeColor="background1" w:themeShade="80"/>
        </w:rPr>
        <w:t xml:space="preserve"> </w:t>
      </w:r>
      <w:r w:rsidRPr="00C05402">
        <w:rPr>
          <w:rFonts w:ascii="Avenir Next" w:hAnsi="Avenir Next"/>
          <w:color w:val="808080" w:themeColor="background1" w:themeShade="80"/>
        </w:rPr>
        <w:t>iWork Ltd</w:t>
      </w:r>
      <w:r>
        <w:rPr>
          <w:rFonts w:ascii="Avenir Next" w:hAnsi="Avenir Next"/>
          <w:color w:val="808080" w:themeColor="background1" w:themeShade="80"/>
        </w:rPr>
        <w:t xml:space="preserve"> (</w:t>
      </w:r>
      <w:r w:rsidRPr="00C05402">
        <w:rPr>
          <w:rFonts w:ascii="Avenir Next" w:hAnsi="Avenir Next"/>
          <w:b/>
          <w:bCs/>
          <w:color w:val="808080" w:themeColor="background1" w:themeShade="80"/>
        </w:rPr>
        <w:t>iWork</w:t>
      </w:r>
      <w:r>
        <w:rPr>
          <w:rFonts w:ascii="Avenir Next" w:hAnsi="Avenir Next"/>
          <w:color w:val="808080" w:themeColor="background1" w:themeShade="80"/>
        </w:rPr>
        <w:t xml:space="preserve">) has failed to </w:t>
      </w:r>
      <w:r w:rsidRPr="00C05402">
        <w:rPr>
          <w:rFonts w:ascii="Avenir Next" w:hAnsi="Avenir Next"/>
          <w:color w:val="808080" w:themeColor="background1" w:themeShade="80"/>
        </w:rPr>
        <w:t>pay rent on some of its office space leases</w:t>
      </w:r>
      <w:r>
        <w:rPr>
          <w:rFonts w:ascii="Avenir Next" w:hAnsi="Avenir Next"/>
          <w:color w:val="808080" w:themeColor="background1" w:themeShade="80"/>
        </w:rPr>
        <w:t xml:space="preserve"> the first consideration is whether these leases are unexpired leases</w:t>
      </w:r>
      <w:r w:rsidR="006A2CA8">
        <w:rPr>
          <w:rFonts w:ascii="Avenir Next" w:hAnsi="Avenir Next"/>
          <w:color w:val="808080" w:themeColor="background1" w:themeShade="80"/>
        </w:rPr>
        <w:t xml:space="preserve"> are executory contracts for the purpose of the Bankruptcy Code.  On the basis that these leases are ongoing and unexpired it is likely </w:t>
      </w:r>
      <w:r w:rsidR="006A2CA8">
        <w:rPr>
          <w:rFonts w:ascii="Avenir Next" w:hAnsi="Avenir Next"/>
          <w:color w:val="808080" w:themeColor="background1" w:themeShade="80"/>
        </w:rPr>
        <w:lastRenderedPageBreak/>
        <w:t xml:space="preserve">that they are executory on the basis that there are </w:t>
      </w:r>
      <w:r w:rsidR="006A2CA8" w:rsidRPr="006A2CA8">
        <w:rPr>
          <w:rFonts w:ascii="Avenir Next" w:hAnsi="Avenir Next"/>
          <w:color w:val="808080" w:themeColor="background1" w:themeShade="80"/>
        </w:rPr>
        <w:t>material</w:t>
      </w:r>
      <w:r w:rsidR="006A2CA8">
        <w:rPr>
          <w:rFonts w:ascii="Avenir Next" w:hAnsi="Avenir Next"/>
          <w:color w:val="808080" w:themeColor="background1" w:themeShade="80"/>
        </w:rPr>
        <w:t xml:space="preserve"> </w:t>
      </w:r>
      <w:r w:rsidR="006A2CA8" w:rsidRPr="006A2CA8">
        <w:rPr>
          <w:rFonts w:ascii="Avenir Next" w:hAnsi="Avenir Next"/>
          <w:color w:val="808080" w:themeColor="background1" w:themeShade="80"/>
        </w:rPr>
        <w:t>unperformed obligations on both sides</w:t>
      </w:r>
      <w:r w:rsidR="006A2CA8">
        <w:rPr>
          <w:rFonts w:ascii="Avenir Next" w:hAnsi="Avenir Next"/>
          <w:color w:val="808080" w:themeColor="background1" w:themeShade="80"/>
        </w:rPr>
        <w:t>.</w:t>
      </w:r>
      <w:r w:rsidR="006A2CA8">
        <w:rPr>
          <w:rStyle w:val="FootnoteReference"/>
          <w:rFonts w:ascii="Avenir Next" w:hAnsi="Avenir Next"/>
          <w:color w:val="808080" w:themeColor="background1" w:themeShade="80"/>
        </w:rPr>
        <w:footnoteReference w:id="40"/>
      </w:r>
      <w:r w:rsidR="006A2CA8">
        <w:rPr>
          <w:rFonts w:ascii="Avenir Next" w:hAnsi="Avenir Next"/>
          <w:color w:val="808080" w:themeColor="background1" w:themeShade="80"/>
        </w:rPr>
        <w:t xml:space="preserve"> In particular, iWork owes </w:t>
      </w:r>
      <w:r w:rsidR="005125AA">
        <w:rPr>
          <w:rFonts w:ascii="Avenir Next" w:hAnsi="Avenir Next"/>
          <w:color w:val="808080" w:themeColor="background1" w:themeShade="80"/>
        </w:rPr>
        <w:t>rent,</w:t>
      </w:r>
      <w:r w:rsidR="006A2CA8">
        <w:rPr>
          <w:rFonts w:ascii="Avenir Next" w:hAnsi="Avenir Next"/>
          <w:color w:val="808080" w:themeColor="background1" w:themeShade="80"/>
        </w:rPr>
        <w:t xml:space="preserve"> and the lessors are obligated to provide the premises </w:t>
      </w:r>
      <w:r w:rsidR="005125AA">
        <w:rPr>
          <w:rFonts w:ascii="Avenir Next" w:hAnsi="Avenir Next"/>
          <w:color w:val="808080" w:themeColor="background1" w:themeShade="80"/>
        </w:rPr>
        <w:t xml:space="preserve">until the end of the term, </w:t>
      </w:r>
      <w:r w:rsidR="006A2CA8">
        <w:rPr>
          <w:rFonts w:ascii="Avenir Next" w:hAnsi="Avenir Next"/>
          <w:color w:val="808080" w:themeColor="background1" w:themeShade="80"/>
        </w:rPr>
        <w:t xml:space="preserve">under certain conditions, payment of rent usually being a critical one. </w:t>
      </w:r>
    </w:p>
    <w:p w14:paraId="5C460D1A" w14:textId="77777777" w:rsidR="005125AA" w:rsidRDefault="005125AA" w:rsidP="001D3BAA">
      <w:pPr>
        <w:pStyle w:val="AODocTxt"/>
        <w:spacing w:before="0" w:line="240" w:lineRule="auto"/>
        <w:rPr>
          <w:rFonts w:ascii="Avenir Next" w:hAnsi="Avenir Next"/>
          <w:color w:val="808080" w:themeColor="background1" w:themeShade="80"/>
        </w:rPr>
      </w:pPr>
    </w:p>
    <w:p w14:paraId="4E8167C1" w14:textId="00F3AD9E" w:rsidR="005125AA" w:rsidRDefault="005125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Another aspect to consider is the nature of the property, in this case we are told that they are office buildings, so it would be safe to assume that they are non-residential properties. </w:t>
      </w:r>
    </w:p>
    <w:p w14:paraId="5A8AE5DC" w14:textId="77777777" w:rsidR="00C05402" w:rsidRDefault="00C05402" w:rsidP="001D3BAA">
      <w:pPr>
        <w:pStyle w:val="AODocTxt"/>
        <w:spacing w:before="0" w:line="240" w:lineRule="auto"/>
        <w:rPr>
          <w:rFonts w:ascii="Avenir Next" w:hAnsi="Avenir Next"/>
          <w:color w:val="808080" w:themeColor="background1" w:themeShade="80"/>
        </w:rPr>
      </w:pPr>
    </w:p>
    <w:p w14:paraId="19ADFEC3" w14:textId="5D35757B" w:rsidR="006A2CA8" w:rsidRDefault="006A2CA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Although we haven’t been told whether there are proceedings on foot or what iWork's plan is, for example, does it wish file </w:t>
      </w:r>
      <w:r w:rsidR="004F45BA">
        <w:rPr>
          <w:rFonts w:ascii="Avenir Next" w:hAnsi="Avenir Next"/>
          <w:color w:val="808080" w:themeColor="background1" w:themeShade="80"/>
        </w:rPr>
        <w:t>c</w:t>
      </w:r>
      <w:r>
        <w:rPr>
          <w:rFonts w:ascii="Avenir Next" w:hAnsi="Avenir Next"/>
          <w:color w:val="808080" w:themeColor="background1" w:themeShade="80"/>
        </w:rPr>
        <w:t>hapter 11 proceedings to reorganize. Both chapter 11 and chapter 7 provide the trustee (</w:t>
      </w:r>
      <w:r w:rsidR="004F45BA">
        <w:rPr>
          <w:rFonts w:ascii="Avenir Next" w:hAnsi="Avenir Next"/>
          <w:color w:val="808080" w:themeColor="background1" w:themeShade="80"/>
        </w:rPr>
        <w:t>c</w:t>
      </w:r>
      <w:r>
        <w:rPr>
          <w:rFonts w:ascii="Avenir Next" w:hAnsi="Avenir Next"/>
          <w:color w:val="808080" w:themeColor="background1" w:themeShade="80"/>
        </w:rPr>
        <w:t>hapter 7) or the debtor in this case iWork (</w:t>
      </w:r>
      <w:r w:rsidR="004F45BA">
        <w:rPr>
          <w:rFonts w:ascii="Avenir Next" w:hAnsi="Avenir Next"/>
          <w:color w:val="808080" w:themeColor="background1" w:themeShade="80"/>
        </w:rPr>
        <w:t>c</w:t>
      </w:r>
      <w:r>
        <w:rPr>
          <w:rFonts w:ascii="Avenir Next" w:hAnsi="Avenir Next"/>
          <w:color w:val="808080" w:themeColor="background1" w:themeShade="80"/>
        </w:rPr>
        <w:t xml:space="preserve">hapter 11) with the ability to make decisions about the </w:t>
      </w:r>
      <w:r w:rsidRPr="006A2CA8">
        <w:rPr>
          <w:rFonts w:ascii="Avenir Next" w:hAnsi="Avenir Next"/>
          <w:color w:val="808080" w:themeColor="background1" w:themeShade="80"/>
        </w:rPr>
        <w:t>assumption and assignment or</w:t>
      </w:r>
      <w:r>
        <w:rPr>
          <w:rFonts w:ascii="Avenir Next" w:hAnsi="Avenir Next"/>
          <w:color w:val="808080" w:themeColor="background1" w:themeShade="80"/>
        </w:rPr>
        <w:t xml:space="preserve"> </w:t>
      </w:r>
      <w:r w:rsidRPr="006A2CA8">
        <w:rPr>
          <w:rFonts w:ascii="Avenir Next" w:hAnsi="Avenir Next"/>
          <w:color w:val="808080" w:themeColor="background1" w:themeShade="80"/>
        </w:rPr>
        <w:t>rejection of executory contracts</w:t>
      </w:r>
      <w:r>
        <w:rPr>
          <w:rFonts w:ascii="Avenir Next" w:hAnsi="Avenir Next"/>
          <w:color w:val="808080" w:themeColor="background1" w:themeShade="80"/>
        </w:rPr>
        <w:t xml:space="preserve">. </w:t>
      </w:r>
    </w:p>
    <w:p w14:paraId="5FB34FAD" w14:textId="6C7E5A7E" w:rsidR="005125AA" w:rsidRDefault="006A2CA8" w:rsidP="005125AA">
      <w:pPr>
        <w:pStyle w:val="AODocTxt"/>
        <w:rPr>
          <w:rFonts w:ascii="Avenir Next" w:hAnsi="Avenir Next"/>
          <w:color w:val="808080" w:themeColor="background1" w:themeShade="80"/>
        </w:rPr>
      </w:pPr>
      <w:r>
        <w:rPr>
          <w:rFonts w:ascii="Avenir Next" w:hAnsi="Avenir Next"/>
          <w:color w:val="808080" w:themeColor="background1" w:themeShade="80"/>
        </w:rPr>
        <w:t>In a Chapter 7 proceeding, the trustee would have 60 days from the date of the petition to decide whether to assign, assume or reject</w:t>
      </w:r>
      <w:r w:rsidR="004F45BA">
        <w:rPr>
          <w:rFonts w:ascii="Avenir Next" w:hAnsi="Avenir Next"/>
          <w:color w:val="808080" w:themeColor="background1" w:themeShade="80"/>
        </w:rPr>
        <w:t xml:space="preserve"> the leases</w:t>
      </w:r>
      <w:r>
        <w:rPr>
          <w:rFonts w:ascii="Avenir Next" w:hAnsi="Avenir Next"/>
          <w:color w:val="808080" w:themeColor="background1" w:themeShade="80"/>
        </w:rPr>
        <w:t xml:space="preserve">, whereas iWork would have 120 days in a Chapter 11 </w:t>
      </w:r>
      <w:proofErr w:type="spellStart"/>
      <w:r>
        <w:rPr>
          <w:rFonts w:ascii="Avenir Next" w:hAnsi="Avenir Next"/>
          <w:color w:val="808080" w:themeColor="background1" w:themeShade="80"/>
        </w:rPr>
        <w:t>reor</w:t>
      </w:r>
      <w:r w:rsidR="00EC7CAC">
        <w:rPr>
          <w:rFonts w:ascii="Avenir Next" w:hAnsi="Avenir Next"/>
          <w:color w:val="808080" w:themeColor="background1" w:themeShade="80"/>
        </w:rPr>
        <w:t>g</w:t>
      </w:r>
      <w:r>
        <w:rPr>
          <w:rFonts w:ascii="Avenir Next" w:hAnsi="Avenir Next"/>
          <w:color w:val="808080" w:themeColor="background1" w:themeShade="80"/>
        </w:rPr>
        <w:t>anisation</w:t>
      </w:r>
      <w:proofErr w:type="spellEnd"/>
      <w:r>
        <w:rPr>
          <w:rFonts w:ascii="Avenir Next" w:hAnsi="Avenir Next"/>
          <w:color w:val="808080" w:themeColor="background1" w:themeShade="80"/>
        </w:rPr>
        <w:t xml:space="preserve"> scenario. </w:t>
      </w:r>
      <w:r w:rsidR="005125AA">
        <w:rPr>
          <w:rFonts w:ascii="Avenir Next" w:hAnsi="Avenir Next"/>
          <w:color w:val="808080" w:themeColor="background1" w:themeShade="80"/>
        </w:rPr>
        <w:t xml:space="preserve">The 120 limit flows from </w:t>
      </w:r>
      <w:r w:rsidR="005125AA" w:rsidRPr="005125AA">
        <w:rPr>
          <w:rFonts w:ascii="Avenir Next" w:hAnsi="Avenir Next"/>
          <w:color w:val="808080" w:themeColor="background1" w:themeShade="80"/>
        </w:rPr>
        <w:t>11 USC, § 365(d)(4)</w:t>
      </w:r>
      <w:r w:rsidR="005125AA">
        <w:rPr>
          <w:rFonts w:ascii="Avenir Next" w:hAnsi="Avenir Next"/>
          <w:color w:val="808080" w:themeColor="background1" w:themeShade="80"/>
        </w:rPr>
        <w:t xml:space="preserve"> and the</w:t>
      </w:r>
      <w:r w:rsidR="004F45BA">
        <w:rPr>
          <w:rFonts w:ascii="Avenir Next" w:hAnsi="Avenir Next"/>
          <w:color w:val="808080" w:themeColor="background1" w:themeShade="80"/>
        </w:rPr>
        <w:t xml:space="preserve"> above</w:t>
      </w:r>
      <w:r w:rsidR="005125AA">
        <w:rPr>
          <w:rFonts w:ascii="Avenir Next" w:hAnsi="Avenir Next"/>
          <w:color w:val="808080" w:themeColor="background1" w:themeShade="80"/>
        </w:rPr>
        <w:t xml:space="preserve"> assessment that the property is non-residential. The</w:t>
      </w:r>
      <w:r w:rsidR="005125AA" w:rsidRPr="005125AA">
        <w:rPr>
          <w:rFonts w:ascii="Avenir Next" w:hAnsi="Avenir Next"/>
          <w:color w:val="808080" w:themeColor="background1" w:themeShade="80"/>
        </w:rPr>
        <w:t xml:space="preserve"> period can be extended for </w:t>
      </w:r>
      <w:r w:rsidR="004F45BA" w:rsidRPr="005125AA">
        <w:rPr>
          <w:rFonts w:ascii="Avenir Next" w:hAnsi="Avenir Next"/>
          <w:color w:val="808080" w:themeColor="background1" w:themeShade="80"/>
        </w:rPr>
        <w:t>cause;</w:t>
      </w:r>
      <w:r w:rsidR="005125AA" w:rsidRPr="005125AA">
        <w:rPr>
          <w:rFonts w:ascii="Avenir Next" w:hAnsi="Avenir Next"/>
          <w:color w:val="808080" w:themeColor="background1" w:themeShade="80"/>
        </w:rPr>
        <w:t xml:space="preserve"> </w:t>
      </w:r>
      <w:r w:rsidR="005125AA">
        <w:rPr>
          <w:rFonts w:ascii="Avenir Next" w:hAnsi="Avenir Next"/>
          <w:color w:val="808080" w:themeColor="background1" w:themeShade="80"/>
        </w:rPr>
        <w:t>however, a</w:t>
      </w:r>
      <w:r w:rsidR="005125AA" w:rsidRPr="005125AA">
        <w:rPr>
          <w:rFonts w:ascii="Avenir Next" w:hAnsi="Avenir Next"/>
          <w:color w:val="808080" w:themeColor="background1" w:themeShade="80"/>
        </w:rPr>
        <w:t xml:space="preserve">ny subsequent extension </w:t>
      </w:r>
      <w:r w:rsidR="005125AA">
        <w:rPr>
          <w:rFonts w:ascii="Avenir Next" w:hAnsi="Avenir Next"/>
          <w:color w:val="808080" w:themeColor="background1" w:themeShade="80"/>
        </w:rPr>
        <w:t xml:space="preserve">would </w:t>
      </w:r>
      <w:r w:rsidR="005125AA" w:rsidRPr="005125AA">
        <w:rPr>
          <w:rFonts w:ascii="Avenir Next" w:hAnsi="Avenir Next"/>
          <w:color w:val="808080" w:themeColor="background1" w:themeShade="80"/>
        </w:rPr>
        <w:t>require</w:t>
      </w:r>
      <w:r w:rsidR="005125AA">
        <w:rPr>
          <w:rFonts w:ascii="Avenir Next" w:hAnsi="Avenir Next"/>
          <w:color w:val="808080" w:themeColor="background1" w:themeShade="80"/>
        </w:rPr>
        <w:t xml:space="preserve"> </w:t>
      </w:r>
      <w:r w:rsidR="005125AA" w:rsidRPr="005125AA">
        <w:rPr>
          <w:rFonts w:ascii="Avenir Next" w:hAnsi="Avenir Next"/>
          <w:color w:val="808080" w:themeColor="background1" w:themeShade="80"/>
        </w:rPr>
        <w:t>the consent of the lessor</w:t>
      </w:r>
      <w:r w:rsidR="005125AA">
        <w:rPr>
          <w:rFonts w:ascii="Avenir Next" w:hAnsi="Avenir Next"/>
          <w:color w:val="808080" w:themeColor="background1" w:themeShade="80"/>
        </w:rPr>
        <w:t>. Both this time limit and extension provision gives the lessors, more protection and power with respect to the process and means that the process can't draw on</w:t>
      </w:r>
      <w:r w:rsidR="004F45BA">
        <w:rPr>
          <w:rFonts w:ascii="Avenir Next" w:hAnsi="Avenir Next"/>
          <w:color w:val="808080" w:themeColor="background1" w:themeShade="80"/>
        </w:rPr>
        <w:t xml:space="preserve"> for</w:t>
      </w:r>
      <w:r w:rsidR="005125AA">
        <w:rPr>
          <w:rFonts w:ascii="Avenir Next" w:hAnsi="Avenir Next"/>
          <w:color w:val="808080" w:themeColor="background1" w:themeShade="80"/>
        </w:rPr>
        <w:t xml:space="preserve"> too long. In a </w:t>
      </w:r>
      <w:r w:rsidR="004F45BA">
        <w:rPr>
          <w:rFonts w:ascii="Avenir Next" w:hAnsi="Avenir Next"/>
          <w:color w:val="808080" w:themeColor="background1" w:themeShade="80"/>
        </w:rPr>
        <w:t>c</w:t>
      </w:r>
      <w:r w:rsidR="005125AA">
        <w:rPr>
          <w:rFonts w:ascii="Avenir Next" w:hAnsi="Avenir Next"/>
          <w:color w:val="808080" w:themeColor="background1" w:themeShade="80"/>
        </w:rPr>
        <w:t xml:space="preserve">hapter 7 scenario, where the outcome is liquidation, it seems more likely that the leases would be rejected offering less protection to the lessors. </w:t>
      </w:r>
    </w:p>
    <w:p w14:paraId="1B9300CE" w14:textId="77777777" w:rsidR="006A2CA8" w:rsidRDefault="006A2CA8" w:rsidP="001D3BAA">
      <w:pPr>
        <w:pStyle w:val="AODocTxt"/>
        <w:spacing w:before="0" w:line="240" w:lineRule="auto"/>
        <w:rPr>
          <w:rFonts w:ascii="Avenir Next" w:hAnsi="Avenir Next"/>
          <w:color w:val="808080" w:themeColor="background1" w:themeShade="80"/>
        </w:rPr>
      </w:pPr>
    </w:p>
    <w:p w14:paraId="53C2C279" w14:textId="4B613732" w:rsidR="001D3BAA" w:rsidRPr="002B5D64" w:rsidRDefault="005125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Pr="005125AA">
        <w:rPr>
          <w:rFonts w:ascii="Avenir Next" w:hAnsi="Avenir Next"/>
          <w:color w:val="808080" w:themeColor="background1" w:themeShade="80"/>
        </w:rPr>
        <w:t>worldwide automatic stay</w:t>
      </w:r>
      <w:r>
        <w:rPr>
          <w:rFonts w:ascii="Avenir Next" w:hAnsi="Avenir Next"/>
          <w:color w:val="808080" w:themeColor="background1" w:themeShade="80"/>
        </w:rPr>
        <w:t xml:space="preserve"> would</w:t>
      </w:r>
      <w:r w:rsidRPr="005125AA">
        <w:rPr>
          <w:rFonts w:ascii="Avenir Next" w:hAnsi="Avenir Next"/>
          <w:color w:val="808080" w:themeColor="background1" w:themeShade="80"/>
        </w:rPr>
        <w:t xml:space="preserve"> come into effect immediately on the filing of any plenary</w:t>
      </w:r>
      <w:r>
        <w:rPr>
          <w:rFonts w:ascii="Avenir Next" w:hAnsi="Avenir Next"/>
          <w:color w:val="808080" w:themeColor="background1" w:themeShade="80"/>
        </w:rPr>
        <w:t xml:space="preserve"> </w:t>
      </w:r>
      <w:r w:rsidRPr="005125AA">
        <w:rPr>
          <w:rFonts w:ascii="Avenir Next" w:hAnsi="Avenir Next"/>
          <w:color w:val="808080" w:themeColor="background1" w:themeShade="80"/>
        </w:rPr>
        <w:t>petition</w:t>
      </w:r>
      <w:r>
        <w:rPr>
          <w:rFonts w:ascii="Avenir Next" w:hAnsi="Avenir Next"/>
          <w:color w:val="808080" w:themeColor="background1" w:themeShade="80"/>
        </w:rPr>
        <w:t xml:space="preserve"> under </w:t>
      </w:r>
      <w:r w:rsidR="004F45BA">
        <w:rPr>
          <w:rFonts w:ascii="Avenir Next" w:hAnsi="Avenir Next"/>
          <w:color w:val="808080" w:themeColor="background1" w:themeShade="80"/>
        </w:rPr>
        <w:t>c</w:t>
      </w:r>
      <w:r>
        <w:rPr>
          <w:rFonts w:ascii="Avenir Next" w:hAnsi="Avenir Next"/>
          <w:color w:val="808080" w:themeColor="background1" w:themeShade="80"/>
        </w:rPr>
        <w:t xml:space="preserve">hapter 7 or 11, however, </w:t>
      </w:r>
      <w:r w:rsidR="0056046B">
        <w:rPr>
          <w:rFonts w:ascii="Avenir Next" w:hAnsi="Avenir Next"/>
          <w:color w:val="808080" w:themeColor="background1" w:themeShade="80"/>
        </w:rPr>
        <w:t xml:space="preserve">it </w:t>
      </w:r>
      <w:r w:rsidR="0056046B" w:rsidRPr="0056046B">
        <w:rPr>
          <w:rFonts w:ascii="Avenir Next" w:hAnsi="Avenir Next"/>
          <w:color w:val="808080" w:themeColor="background1" w:themeShade="80"/>
        </w:rPr>
        <w:t>may be lifted on creditor request</w:t>
      </w:r>
      <w:r w:rsidR="0056046B">
        <w:rPr>
          <w:rFonts w:ascii="Avenir Next" w:hAnsi="Avenir Next"/>
          <w:color w:val="808080" w:themeColor="background1" w:themeShade="80"/>
        </w:rPr>
        <w:t xml:space="preserve">. The lessors could make such an application under s 362(d) to </w:t>
      </w:r>
      <w:r w:rsidR="0056046B" w:rsidRPr="0056046B">
        <w:rPr>
          <w:rFonts w:ascii="Avenir Next" w:hAnsi="Avenir Next"/>
          <w:color w:val="808080" w:themeColor="background1" w:themeShade="80"/>
        </w:rPr>
        <w:t xml:space="preserve">permit otherwise prohibited </w:t>
      </w:r>
      <w:r w:rsidR="0056046B">
        <w:rPr>
          <w:rFonts w:ascii="Avenir Next" w:hAnsi="Avenir Next"/>
          <w:color w:val="808080" w:themeColor="background1" w:themeShade="80"/>
        </w:rPr>
        <w:t xml:space="preserve">action by them.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0F321C81" w14:textId="77777777" w:rsidR="00D20998" w:rsidRDefault="00D20998" w:rsidP="000778B1">
      <w:pPr>
        <w:pStyle w:val="AODocTxt"/>
        <w:spacing w:before="0" w:line="240" w:lineRule="auto"/>
        <w:rPr>
          <w:rFonts w:ascii="Avenir Next" w:hAnsi="Avenir Next"/>
          <w:color w:val="808080" w:themeColor="background1" w:themeShade="80"/>
        </w:rPr>
      </w:pPr>
    </w:p>
    <w:p w14:paraId="0A57E39B" w14:textId="0222F20B" w:rsidR="00D20998" w:rsidRDefault="00D20998"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w:t>
      </w:r>
      <w:r w:rsidRPr="00D20998">
        <w:rPr>
          <w:rFonts w:ascii="Avenir Next" w:hAnsi="Avenir Next"/>
          <w:color w:val="808080" w:themeColor="background1" w:themeShade="80"/>
        </w:rPr>
        <w:t>Skin Luxe</w:t>
      </w:r>
      <w:r w:rsidR="00406E71">
        <w:rPr>
          <w:rFonts w:ascii="Avenir Next" w:hAnsi="Avenir Next"/>
          <w:color w:val="808080" w:themeColor="background1" w:themeShade="80"/>
        </w:rPr>
        <w:t xml:space="preserve"> </w:t>
      </w:r>
      <w:r w:rsidR="00B9132B">
        <w:rPr>
          <w:rFonts w:ascii="Avenir Next" w:hAnsi="Avenir Next"/>
          <w:color w:val="808080" w:themeColor="background1" w:themeShade="80"/>
        </w:rPr>
        <w:t>(</w:t>
      </w:r>
      <w:r w:rsidR="00B9132B" w:rsidRPr="00B9132B">
        <w:rPr>
          <w:rFonts w:ascii="Avenir Next" w:hAnsi="Avenir Next"/>
          <w:b/>
          <w:bCs/>
          <w:color w:val="808080" w:themeColor="background1" w:themeShade="80"/>
        </w:rPr>
        <w:t>SL</w:t>
      </w:r>
      <w:r w:rsidR="00B9132B">
        <w:rPr>
          <w:rFonts w:ascii="Avenir Next" w:hAnsi="Avenir Next"/>
          <w:color w:val="808080" w:themeColor="background1" w:themeShade="80"/>
        </w:rPr>
        <w:t xml:space="preserve">) </w:t>
      </w:r>
      <w:r w:rsidR="00406E71">
        <w:rPr>
          <w:rFonts w:ascii="Avenir Next" w:hAnsi="Avenir Next"/>
          <w:color w:val="808080" w:themeColor="background1" w:themeShade="80"/>
        </w:rPr>
        <w:t xml:space="preserve">commences an </w:t>
      </w:r>
      <w:r w:rsidR="00406E71" w:rsidRPr="00406E71">
        <w:rPr>
          <w:rFonts w:ascii="Avenir Next" w:hAnsi="Avenir Next"/>
          <w:color w:val="808080" w:themeColor="background1" w:themeShade="80"/>
        </w:rPr>
        <w:t xml:space="preserve">English scheme of arrangement to restructure </w:t>
      </w:r>
      <w:r w:rsidR="00406E71">
        <w:rPr>
          <w:rFonts w:ascii="Avenir Next" w:hAnsi="Avenir Next"/>
          <w:color w:val="808080" w:themeColor="background1" w:themeShade="80"/>
        </w:rPr>
        <w:t xml:space="preserve">its </w:t>
      </w:r>
      <w:r w:rsidR="00406E71" w:rsidRPr="00406E71">
        <w:rPr>
          <w:rFonts w:ascii="Avenir Next" w:hAnsi="Avenir Next"/>
          <w:color w:val="808080" w:themeColor="background1" w:themeShade="80"/>
        </w:rPr>
        <w:t>bonds</w:t>
      </w:r>
      <w:r w:rsidR="00031D71">
        <w:rPr>
          <w:rFonts w:ascii="Avenir Next" w:hAnsi="Avenir Next"/>
          <w:color w:val="808080" w:themeColor="background1" w:themeShade="80"/>
        </w:rPr>
        <w:t xml:space="preserve">, the foreign representative may commence a proceeding under </w:t>
      </w:r>
      <w:r w:rsidR="00031D71" w:rsidRPr="00D20998">
        <w:rPr>
          <w:rFonts w:ascii="Avenir Next" w:hAnsi="Avenir Next"/>
          <w:color w:val="808080" w:themeColor="background1" w:themeShade="80"/>
        </w:rPr>
        <w:t>chapter 15</w:t>
      </w:r>
      <w:r w:rsidR="00031D71">
        <w:rPr>
          <w:rFonts w:ascii="Avenir Next" w:hAnsi="Avenir Next"/>
          <w:color w:val="808080" w:themeColor="background1" w:themeShade="80"/>
        </w:rPr>
        <w:t xml:space="preserve"> by filing a petition. </w:t>
      </w:r>
      <w:proofErr w:type="gramStart"/>
      <w:r w:rsidR="00031D71">
        <w:rPr>
          <w:rFonts w:ascii="Avenir Next" w:hAnsi="Avenir Next"/>
          <w:color w:val="808080" w:themeColor="background1" w:themeShade="80"/>
        </w:rPr>
        <w:t>In order to</w:t>
      </w:r>
      <w:proofErr w:type="gramEnd"/>
      <w:r w:rsidR="00031D71">
        <w:rPr>
          <w:rFonts w:ascii="Avenir Next" w:hAnsi="Avenir Next"/>
          <w:color w:val="808080" w:themeColor="background1" w:themeShade="80"/>
        </w:rPr>
        <w:t xml:space="preserve"> obtain recognition, all that the </w:t>
      </w:r>
      <w:r w:rsidR="00B9132B">
        <w:rPr>
          <w:rFonts w:ascii="Avenir Next" w:hAnsi="Avenir Next"/>
          <w:color w:val="808080" w:themeColor="background1" w:themeShade="80"/>
        </w:rPr>
        <w:t xml:space="preserve">foreign representative needs to be able to establish is that </w:t>
      </w:r>
      <w:r w:rsidR="00B9132B" w:rsidRPr="00B9132B">
        <w:rPr>
          <w:rFonts w:ascii="Avenir Next" w:hAnsi="Avenir Next"/>
          <w:color w:val="808080" w:themeColor="background1" w:themeShade="80"/>
        </w:rPr>
        <w:t>that a</w:t>
      </w:r>
      <w:r w:rsidR="00B9132B">
        <w:rPr>
          <w:rFonts w:ascii="Avenir Next" w:hAnsi="Avenir Next"/>
          <w:color w:val="808080" w:themeColor="background1" w:themeShade="80"/>
        </w:rPr>
        <w:t xml:space="preserve"> </w:t>
      </w:r>
      <w:r w:rsidR="00B9132B" w:rsidRPr="00B9132B">
        <w:rPr>
          <w:rFonts w:ascii="Avenir Next" w:hAnsi="Avenir Next"/>
          <w:color w:val="808080" w:themeColor="background1" w:themeShade="80"/>
        </w:rPr>
        <w:t xml:space="preserve">foreign court or administrative proceeding with respect </w:t>
      </w:r>
      <w:r w:rsidR="00B9132B">
        <w:rPr>
          <w:rFonts w:ascii="Avenir Next" w:hAnsi="Avenir Next"/>
          <w:color w:val="808080" w:themeColor="background1" w:themeShade="80"/>
        </w:rPr>
        <w:t>to SL</w:t>
      </w:r>
      <w:r w:rsidR="00B9132B" w:rsidRPr="00B9132B">
        <w:rPr>
          <w:rFonts w:ascii="Avenir Next" w:hAnsi="Avenir Next"/>
          <w:color w:val="808080" w:themeColor="background1" w:themeShade="80"/>
        </w:rPr>
        <w:t xml:space="preserve"> is pending </w:t>
      </w:r>
      <w:r w:rsidR="00B9132B">
        <w:rPr>
          <w:rFonts w:ascii="Avenir Next" w:hAnsi="Avenir Next"/>
          <w:color w:val="808080" w:themeColor="background1" w:themeShade="80"/>
        </w:rPr>
        <w:t xml:space="preserve">in England </w:t>
      </w:r>
      <w:r w:rsidR="00B9132B" w:rsidRPr="00B9132B">
        <w:rPr>
          <w:rFonts w:ascii="Avenir Next" w:hAnsi="Avenir Next"/>
          <w:color w:val="808080" w:themeColor="background1" w:themeShade="80"/>
        </w:rPr>
        <w:t>and that the</w:t>
      </w:r>
      <w:r w:rsidR="00B9132B">
        <w:rPr>
          <w:rFonts w:ascii="Avenir Next" w:hAnsi="Avenir Next"/>
          <w:color w:val="808080" w:themeColor="background1" w:themeShade="80"/>
        </w:rPr>
        <w:t xml:space="preserve"> </w:t>
      </w:r>
      <w:r w:rsidR="00B9132B" w:rsidRPr="00B9132B">
        <w:rPr>
          <w:rFonts w:ascii="Avenir Next" w:hAnsi="Avenir Next"/>
          <w:color w:val="808080" w:themeColor="background1" w:themeShade="80"/>
        </w:rPr>
        <w:t>foreign representative is empowered to act by the proceeding.</w:t>
      </w:r>
      <w:r w:rsidR="00B9132B">
        <w:rPr>
          <w:rStyle w:val="FootnoteReference"/>
          <w:rFonts w:ascii="Avenir Next" w:hAnsi="Avenir Next"/>
          <w:color w:val="808080" w:themeColor="background1" w:themeShade="80"/>
        </w:rPr>
        <w:footnoteReference w:id="41"/>
      </w:r>
    </w:p>
    <w:p w14:paraId="2F5B1388" w14:textId="77777777" w:rsidR="00B9132B" w:rsidRDefault="00B9132B" w:rsidP="000778B1">
      <w:pPr>
        <w:pStyle w:val="AODocTxt"/>
        <w:spacing w:before="0" w:line="240" w:lineRule="auto"/>
        <w:rPr>
          <w:rFonts w:ascii="Avenir Next" w:hAnsi="Avenir Next"/>
          <w:color w:val="808080" w:themeColor="background1" w:themeShade="80"/>
        </w:rPr>
      </w:pPr>
    </w:p>
    <w:p w14:paraId="031A2D7B" w14:textId="1FF9A0B0" w:rsidR="00B9132B" w:rsidRDefault="00B9132B"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Pursuant to the </w:t>
      </w:r>
      <w:r w:rsidRPr="00B9132B">
        <w:rPr>
          <w:rFonts w:ascii="Avenir Next" w:hAnsi="Avenir Next"/>
          <w:color w:val="808080" w:themeColor="background1" w:themeShade="80"/>
        </w:rPr>
        <w:t>Bankruptcy Code</w:t>
      </w:r>
      <w:r>
        <w:rPr>
          <w:rFonts w:ascii="Avenir Next" w:hAnsi="Avenir Next"/>
          <w:color w:val="808080" w:themeColor="background1" w:themeShade="80"/>
        </w:rPr>
        <w:t xml:space="preserve">, a foreign proceeding is defined </w:t>
      </w:r>
      <w:r w:rsidRPr="00B9132B">
        <w:rPr>
          <w:rFonts w:ascii="Avenir Next" w:hAnsi="Avenir Next"/>
          <w:color w:val="808080" w:themeColor="background1" w:themeShade="80"/>
        </w:rPr>
        <w:t xml:space="preserve">as </w:t>
      </w:r>
      <w:r w:rsidRPr="00B9132B">
        <w:rPr>
          <w:rFonts w:ascii="Avenir Next" w:hAnsi="Avenir Next"/>
          <w:i/>
          <w:iCs/>
          <w:color w:val="808080" w:themeColor="background1" w:themeShade="80"/>
        </w:rPr>
        <w:t xml:space="preserve">“a collective judicial or administrative proceeding in a foreign country </w:t>
      </w:r>
      <w:proofErr w:type="gramStart"/>
      <w:r w:rsidRPr="00B9132B">
        <w:rPr>
          <w:rFonts w:ascii="Avenir Next" w:hAnsi="Avenir Next"/>
          <w:i/>
          <w:iCs/>
          <w:color w:val="808080" w:themeColor="background1" w:themeShade="80"/>
        </w:rPr>
        <w:t>. . . .</w:t>
      </w:r>
      <w:proofErr w:type="gramEnd"/>
      <w:r w:rsidRPr="00B9132B">
        <w:rPr>
          <w:rFonts w:ascii="Avenir Next" w:hAnsi="Avenir Next"/>
          <w:i/>
          <w:iCs/>
          <w:color w:val="808080" w:themeColor="background1" w:themeShade="80"/>
        </w:rPr>
        <w:t xml:space="preserve"> under a law relating to insolvency or adjustment of debt in which proceeding the assets and affairs of the debtor are subject to control or supervision by a foreign court, for the purpose of reorganization or liquidation.”</w:t>
      </w:r>
      <w:r>
        <w:rPr>
          <w:rStyle w:val="FootnoteReference"/>
          <w:rFonts w:ascii="Avenir Next" w:hAnsi="Avenir Next"/>
          <w:i/>
          <w:iCs/>
          <w:color w:val="808080" w:themeColor="background1" w:themeShade="80"/>
        </w:rPr>
        <w:footnoteReference w:id="42"/>
      </w:r>
      <w:r>
        <w:rPr>
          <w:rFonts w:ascii="Avenir Next" w:hAnsi="Avenir Next"/>
          <w:color w:val="808080" w:themeColor="background1" w:themeShade="80"/>
        </w:rPr>
        <w:t xml:space="preserve"> This definition is broad and have been deemed to cover </w:t>
      </w:r>
      <w:r w:rsidRPr="00B9132B">
        <w:rPr>
          <w:rFonts w:ascii="Avenir Next" w:hAnsi="Avenir Next"/>
          <w:color w:val="808080" w:themeColor="background1" w:themeShade="80"/>
        </w:rPr>
        <w:t xml:space="preserve">proceedings </w:t>
      </w:r>
      <w:r>
        <w:rPr>
          <w:rFonts w:ascii="Avenir Next" w:hAnsi="Avenir Next"/>
          <w:color w:val="808080" w:themeColor="background1" w:themeShade="80"/>
        </w:rPr>
        <w:t>such as</w:t>
      </w:r>
      <w:r w:rsidRPr="00B9132B">
        <w:rPr>
          <w:rFonts w:ascii="Avenir Next" w:hAnsi="Avenir Next"/>
          <w:color w:val="808080" w:themeColor="background1" w:themeShade="80"/>
        </w:rPr>
        <w:t xml:space="preserve"> English</w:t>
      </w:r>
      <w:r>
        <w:rPr>
          <w:rFonts w:ascii="Avenir Next" w:hAnsi="Avenir Next"/>
          <w:color w:val="808080" w:themeColor="background1" w:themeShade="80"/>
        </w:rPr>
        <w:t xml:space="preserve"> </w:t>
      </w:r>
      <w:r w:rsidRPr="00B9132B">
        <w:rPr>
          <w:rFonts w:ascii="Avenir Next" w:hAnsi="Avenir Next"/>
          <w:color w:val="808080" w:themeColor="background1" w:themeShade="80"/>
        </w:rPr>
        <w:t>schemes of arrangement</w:t>
      </w:r>
      <w:r>
        <w:rPr>
          <w:rFonts w:ascii="Avenir Next" w:hAnsi="Avenir Next"/>
          <w:color w:val="808080" w:themeColor="background1" w:themeShade="80"/>
        </w:rPr>
        <w:t xml:space="preserve">. </w:t>
      </w:r>
      <w:r w:rsidRPr="00B9132B">
        <w:rPr>
          <w:rFonts w:ascii="Avenir Next" w:hAnsi="Avenir Next"/>
          <w:color w:val="808080" w:themeColor="background1" w:themeShade="80"/>
        </w:rPr>
        <w:t xml:space="preserve"> </w:t>
      </w:r>
    </w:p>
    <w:p w14:paraId="0337905C" w14:textId="77777777" w:rsidR="00406E71" w:rsidRDefault="00406E71" w:rsidP="000778B1">
      <w:pPr>
        <w:pStyle w:val="AODocTxt"/>
        <w:spacing w:before="0" w:line="240" w:lineRule="auto"/>
        <w:rPr>
          <w:rFonts w:ascii="Avenir Next" w:hAnsi="Avenir Next"/>
          <w:color w:val="808080" w:themeColor="background1" w:themeShade="80"/>
        </w:rPr>
      </w:pPr>
    </w:p>
    <w:p w14:paraId="06905931" w14:textId="743F413B" w:rsidR="005A4E40" w:rsidRDefault="00B9132B"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As such, it doesn’t seem controversial that an English scheme of arrangement, if commenced, would be capable of being </w:t>
      </w:r>
      <w:r w:rsidR="004F45BA">
        <w:rPr>
          <w:rFonts w:ascii="Avenir Next" w:hAnsi="Avenir Next"/>
          <w:color w:val="808080" w:themeColor="background1" w:themeShade="80"/>
        </w:rPr>
        <w:t>recognized</w:t>
      </w:r>
      <w:r>
        <w:rPr>
          <w:rFonts w:ascii="Avenir Next" w:hAnsi="Avenir Next"/>
          <w:color w:val="808080" w:themeColor="background1" w:themeShade="80"/>
        </w:rPr>
        <w:t xml:space="preserve"> in the US, however, the question of whether the scheme would be considered a </w:t>
      </w:r>
      <w:r w:rsidRPr="00B9132B">
        <w:rPr>
          <w:rFonts w:ascii="Avenir Next" w:hAnsi="Avenir Next"/>
          <w:color w:val="808080" w:themeColor="background1" w:themeShade="80"/>
        </w:rPr>
        <w:t>foreign main or foreign non-main</w:t>
      </w:r>
      <w:r>
        <w:rPr>
          <w:rFonts w:ascii="Avenir Next" w:hAnsi="Avenir Next"/>
          <w:color w:val="808080" w:themeColor="background1" w:themeShade="80"/>
        </w:rPr>
        <w:t xml:space="preserve"> proceeding is more complex and important as it would </w:t>
      </w:r>
      <w:r w:rsidR="005A4E40">
        <w:rPr>
          <w:rFonts w:ascii="Avenir Next" w:hAnsi="Avenir Next"/>
          <w:color w:val="808080" w:themeColor="background1" w:themeShade="80"/>
        </w:rPr>
        <w:t xml:space="preserve">determine the scope of relief available following recognition. </w:t>
      </w:r>
    </w:p>
    <w:p w14:paraId="7FB7174D" w14:textId="77777777" w:rsidR="005A4E40" w:rsidRDefault="005A4E40" w:rsidP="000778B1">
      <w:pPr>
        <w:pStyle w:val="AODocTxt"/>
        <w:spacing w:before="0" w:line="240" w:lineRule="auto"/>
        <w:rPr>
          <w:rFonts w:ascii="Avenir Next" w:hAnsi="Avenir Next"/>
          <w:color w:val="808080" w:themeColor="background1" w:themeShade="80"/>
        </w:rPr>
      </w:pPr>
    </w:p>
    <w:p w14:paraId="46926789" w14:textId="660ABE67" w:rsidR="008C45A7" w:rsidRDefault="005A4E40"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w:t>
      </w:r>
      <w:r w:rsidRPr="005A4E40">
        <w:rPr>
          <w:rFonts w:ascii="Avenir Next" w:hAnsi="Avenir Next"/>
          <w:color w:val="808080" w:themeColor="background1" w:themeShade="80"/>
        </w:rPr>
        <w:t>oreign main proceedings are those that are</w:t>
      </w:r>
      <w:r>
        <w:rPr>
          <w:rFonts w:ascii="Avenir Next" w:hAnsi="Avenir Next"/>
          <w:color w:val="808080" w:themeColor="background1" w:themeShade="80"/>
        </w:rPr>
        <w:t xml:space="preserve"> </w:t>
      </w:r>
      <w:r w:rsidRPr="005A4E40">
        <w:rPr>
          <w:rFonts w:ascii="Avenir Next" w:hAnsi="Avenir Next"/>
          <w:color w:val="808080" w:themeColor="background1" w:themeShade="80"/>
        </w:rPr>
        <w:t>commenced in the debtor’s center of main interest</w:t>
      </w:r>
      <w:r>
        <w:rPr>
          <w:rFonts w:ascii="Avenir Next" w:hAnsi="Avenir Next"/>
          <w:color w:val="808080" w:themeColor="background1" w:themeShade="80"/>
        </w:rPr>
        <w:t xml:space="preserve"> </w:t>
      </w:r>
      <w:r w:rsidRPr="005A4E40">
        <w:rPr>
          <w:rFonts w:ascii="Avenir Next" w:hAnsi="Avenir Next"/>
          <w:color w:val="808080" w:themeColor="background1" w:themeShade="80"/>
        </w:rPr>
        <w:t>(</w:t>
      </w:r>
      <w:r w:rsidRPr="005A4E40">
        <w:rPr>
          <w:rFonts w:ascii="Avenir Next" w:hAnsi="Avenir Next"/>
          <w:b/>
          <w:bCs/>
          <w:color w:val="808080" w:themeColor="background1" w:themeShade="80"/>
        </w:rPr>
        <w:t>COMI</w:t>
      </w:r>
      <w:r w:rsidRPr="005A4E40">
        <w:rPr>
          <w:rFonts w:ascii="Avenir Next" w:hAnsi="Avenir Next"/>
          <w:color w:val="808080" w:themeColor="background1" w:themeShade="80"/>
        </w:rPr>
        <w:t xml:space="preserve">). </w:t>
      </w:r>
      <w:r>
        <w:rPr>
          <w:rFonts w:ascii="Avenir Next" w:hAnsi="Avenir Next"/>
          <w:color w:val="808080" w:themeColor="background1" w:themeShade="80"/>
        </w:rPr>
        <w:t xml:space="preserve">A debtor's </w:t>
      </w:r>
      <w:r w:rsidRPr="005A4E40">
        <w:rPr>
          <w:rFonts w:ascii="Avenir Next" w:hAnsi="Avenir Next"/>
          <w:color w:val="808080" w:themeColor="background1" w:themeShade="80"/>
        </w:rPr>
        <w:t xml:space="preserve">COMI is </w:t>
      </w:r>
      <w:r>
        <w:rPr>
          <w:rFonts w:ascii="Avenir Next" w:hAnsi="Avenir Next"/>
          <w:color w:val="808080" w:themeColor="background1" w:themeShade="80"/>
        </w:rPr>
        <w:t>presumed to be its place of incorporation but that may be rebutted.</w:t>
      </w:r>
      <w:r>
        <w:rPr>
          <w:rStyle w:val="FootnoteReference"/>
          <w:rFonts w:ascii="Avenir Next" w:hAnsi="Avenir Next"/>
          <w:color w:val="808080" w:themeColor="background1" w:themeShade="80"/>
        </w:rPr>
        <w:footnoteReference w:id="43"/>
      </w:r>
      <w:r>
        <w:rPr>
          <w:rFonts w:ascii="Avenir Next" w:hAnsi="Avenir Next"/>
          <w:color w:val="808080" w:themeColor="background1" w:themeShade="80"/>
        </w:rPr>
        <w:t xml:space="preserve"> With respect to SL, we are told that it is incorporated in France</w:t>
      </w:r>
      <w:r w:rsidR="00632256">
        <w:rPr>
          <w:rFonts w:ascii="Avenir Next" w:hAnsi="Avenir Next"/>
          <w:color w:val="808080" w:themeColor="background1" w:themeShade="80"/>
        </w:rPr>
        <w:t xml:space="preserve"> which gives us a starting position that France will be SL's COMI unless that can be rebutted due to other factors. </w:t>
      </w:r>
    </w:p>
    <w:p w14:paraId="0CB4D96E" w14:textId="77777777" w:rsidR="005A4E40" w:rsidRDefault="005A4E40" w:rsidP="000778B1">
      <w:pPr>
        <w:pStyle w:val="AODocTxt"/>
        <w:spacing w:before="0" w:line="240" w:lineRule="auto"/>
        <w:rPr>
          <w:rFonts w:ascii="Avenir Next" w:hAnsi="Avenir Next"/>
          <w:color w:val="808080" w:themeColor="background1" w:themeShade="80"/>
        </w:rPr>
      </w:pPr>
    </w:p>
    <w:p w14:paraId="3220E91D" w14:textId="237F070D" w:rsidR="005A4E40" w:rsidRDefault="005A4E40"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Other factors that are relevant to determine COMI include, the:</w:t>
      </w:r>
    </w:p>
    <w:p w14:paraId="4AB6EB02" w14:textId="77777777" w:rsidR="005A4E40" w:rsidRDefault="005A4E40" w:rsidP="005A4E40">
      <w:pPr>
        <w:pStyle w:val="AODocTxt"/>
        <w:numPr>
          <w:ilvl w:val="0"/>
          <w:numId w:val="40"/>
        </w:numPr>
        <w:rPr>
          <w:rFonts w:ascii="Avenir Next" w:hAnsi="Avenir Next"/>
          <w:color w:val="808080" w:themeColor="background1" w:themeShade="80"/>
        </w:rPr>
      </w:pPr>
      <w:r w:rsidRPr="005A4E40">
        <w:rPr>
          <w:rFonts w:ascii="Avenir Next" w:hAnsi="Avenir Next"/>
          <w:color w:val="808080" w:themeColor="background1" w:themeShade="80"/>
        </w:rPr>
        <w:t xml:space="preserve">location of </w:t>
      </w:r>
      <w:proofErr w:type="gramStart"/>
      <w:r w:rsidRPr="005A4E40">
        <w:rPr>
          <w:rFonts w:ascii="Avenir Next" w:hAnsi="Avenir Next"/>
          <w:color w:val="808080" w:themeColor="background1" w:themeShade="80"/>
        </w:rPr>
        <w:t>headquarters;</w:t>
      </w:r>
      <w:proofErr w:type="gramEnd"/>
    </w:p>
    <w:p w14:paraId="0CD0C2B9" w14:textId="77777777" w:rsidR="005A4E40" w:rsidRDefault="005A4E40" w:rsidP="005A4E40">
      <w:pPr>
        <w:pStyle w:val="AODocTxt"/>
        <w:numPr>
          <w:ilvl w:val="0"/>
          <w:numId w:val="40"/>
        </w:numPr>
        <w:rPr>
          <w:rFonts w:ascii="Avenir Next" w:hAnsi="Avenir Next"/>
          <w:color w:val="808080" w:themeColor="background1" w:themeShade="80"/>
        </w:rPr>
      </w:pPr>
      <w:r w:rsidRPr="005A4E40">
        <w:rPr>
          <w:rFonts w:ascii="Avenir Next" w:hAnsi="Avenir Next"/>
          <w:color w:val="808080" w:themeColor="background1" w:themeShade="80"/>
        </w:rPr>
        <w:t xml:space="preserve">location of </w:t>
      </w:r>
      <w:proofErr w:type="gramStart"/>
      <w:r w:rsidRPr="005A4E40">
        <w:rPr>
          <w:rFonts w:ascii="Avenir Next" w:hAnsi="Avenir Next"/>
          <w:color w:val="808080" w:themeColor="background1" w:themeShade="80"/>
        </w:rPr>
        <w:t>management;</w:t>
      </w:r>
      <w:proofErr w:type="gramEnd"/>
    </w:p>
    <w:p w14:paraId="272A19EF" w14:textId="77777777" w:rsidR="005A4E40" w:rsidRDefault="005A4E40" w:rsidP="005A4E40">
      <w:pPr>
        <w:pStyle w:val="AODocTxt"/>
        <w:numPr>
          <w:ilvl w:val="0"/>
          <w:numId w:val="40"/>
        </w:numPr>
        <w:rPr>
          <w:rFonts w:ascii="Avenir Next" w:hAnsi="Avenir Next"/>
          <w:color w:val="808080" w:themeColor="background1" w:themeShade="80"/>
        </w:rPr>
      </w:pPr>
      <w:r w:rsidRPr="005A4E40">
        <w:rPr>
          <w:rFonts w:ascii="Avenir Next" w:hAnsi="Avenir Next"/>
          <w:color w:val="808080" w:themeColor="background1" w:themeShade="80"/>
        </w:rPr>
        <w:t xml:space="preserve">location of primary </w:t>
      </w:r>
      <w:proofErr w:type="gramStart"/>
      <w:r w:rsidRPr="005A4E40">
        <w:rPr>
          <w:rFonts w:ascii="Avenir Next" w:hAnsi="Avenir Next"/>
          <w:color w:val="808080" w:themeColor="background1" w:themeShade="80"/>
        </w:rPr>
        <w:t>assets;</w:t>
      </w:r>
      <w:proofErr w:type="gramEnd"/>
    </w:p>
    <w:p w14:paraId="30C9B1B2" w14:textId="6DB8AE46" w:rsidR="005A4E40" w:rsidRDefault="005A4E40" w:rsidP="005A4E40">
      <w:pPr>
        <w:pStyle w:val="AODocTxt"/>
        <w:numPr>
          <w:ilvl w:val="0"/>
          <w:numId w:val="40"/>
        </w:numPr>
        <w:rPr>
          <w:rFonts w:ascii="Avenir Next" w:hAnsi="Avenir Next"/>
          <w:color w:val="808080" w:themeColor="background1" w:themeShade="80"/>
        </w:rPr>
      </w:pPr>
      <w:r w:rsidRPr="005A4E40">
        <w:rPr>
          <w:rFonts w:ascii="Avenir Next" w:hAnsi="Avenir Next"/>
          <w:color w:val="808080" w:themeColor="background1" w:themeShade="80"/>
        </w:rPr>
        <w:t xml:space="preserve">location of </w:t>
      </w:r>
      <w:proofErr w:type="gramStart"/>
      <w:r w:rsidRPr="005A4E40">
        <w:rPr>
          <w:rFonts w:ascii="Avenir Next" w:hAnsi="Avenir Next"/>
          <w:color w:val="808080" w:themeColor="background1" w:themeShade="80"/>
        </w:rPr>
        <w:t>a majority of</w:t>
      </w:r>
      <w:proofErr w:type="gramEnd"/>
      <w:r w:rsidRPr="005A4E40">
        <w:rPr>
          <w:rFonts w:ascii="Avenir Next" w:hAnsi="Avenir Next"/>
          <w:color w:val="808080" w:themeColor="background1" w:themeShade="80"/>
        </w:rPr>
        <w:t xml:space="preserve"> debtor’s creditors or a majority of the creditors that will be affecte</w:t>
      </w:r>
      <w:r>
        <w:rPr>
          <w:rFonts w:ascii="Avenir Next" w:hAnsi="Avenir Next"/>
          <w:color w:val="808080" w:themeColor="background1" w:themeShade="80"/>
        </w:rPr>
        <w:t xml:space="preserve">d </w:t>
      </w:r>
      <w:r w:rsidRPr="005A4E40">
        <w:rPr>
          <w:rFonts w:ascii="Avenir Next" w:hAnsi="Avenir Next"/>
          <w:color w:val="808080" w:themeColor="background1" w:themeShade="80"/>
        </w:rPr>
        <w:t>by the relief requested by the foreign representative; and</w:t>
      </w:r>
    </w:p>
    <w:p w14:paraId="63189A72" w14:textId="2F2E4610" w:rsidR="005A4E40" w:rsidRDefault="005A4E40" w:rsidP="005A4E40">
      <w:pPr>
        <w:pStyle w:val="AODocTxt"/>
        <w:numPr>
          <w:ilvl w:val="0"/>
          <w:numId w:val="40"/>
        </w:numPr>
        <w:rPr>
          <w:rFonts w:ascii="Avenir Next" w:hAnsi="Avenir Next"/>
          <w:color w:val="808080" w:themeColor="background1" w:themeShade="80"/>
        </w:rPr>
      </w:pPr>
      <w:r w:rsidRPr="005A4E40">
        <w:rPr>
          <w:rFonts w:ascii="Avenir Next" w:hAnsi="Avenir Next"/>
          <w:color w:val="808080" w:themeColor="background1" w:themeShade="80"/>
        </w:rPr>
        <w:t>jurisdiction whose law will apply to most disputes.</w:t>
      </w:r>
      <w:r>
        <w:rPr>
          <w:rStyle w:val="FootnoteReference"/>
          <w:rFonts w:ascii="Avenir Next" w:hAnsi="Avenir Next"/>
          <w:color w:val="808080" w:themeColor="background1" w:themeShade="80"/>
        </w:rPr>
        <w:footnoteReference w:id="44"/>
      </w:r>
    </w:p>
    <w:p w14:paraId="4998939D" w14:textId="0076D19E" w:rsidR="005A4E40" w:rsidRDefault="005A4E40" w:rsidP="005A4E40">
      <w:pPr>
        <w:pStyle w:val="AODocTxt"/>
        <w:rPr>
          <w:rFonts w:ascii="Avenir Next" w:hAnsi="Avenir Next"/>
          <w:color w:val="808080" w:themeColor="background1" w:themeShade="80"/>
        </w:rPr>
      </w:pPr>
      <w:r>
        <w:rPr>
          <w:rFonts w:ascii="Avenir Next" w:hAnsi="Avenir Next"/>
          <w:color w:val="808080" w:themeColor="background1" w:themeShade="80"/>
        </w:rPr>
        <w:t xml:space="preserve">Taking each of these matters in turn, </w:t>
      </w:r>
      <w:r w:rsidR="00632256">
        <w:rPr>
          <w:rFonts w:ascii="Avenir Next" w:hAnsi="Avenir Next"/>
          <w:color w:val="808080" w:themeColor="background1" w:themeShade="80"/>
        </w:rPr>
        <w:t xml:space="preserve">although we aren’t told specifically, it appears that SL's headquarters may also be in France on the basis that SL has a </w:t>
      </w:r>
      <w:r w:rsidR="00632256" w:rsidRPr="00632256">
        <w:rPr>
          <w:rFonts w:ascii="Avenir Next" w:hAnsi="Avenir Next"/>
          <w:color w:val="808080" w:themeColor="background1" w:themeShade="80"/>
        </w:rPr>
        <w:t xml:space="preserve">principal place of business </w:t>
      </w:r>
      <w:r w:rsidR="00632256">
        <w:rPr>
          <w:rFonts w:ascii="Avenir Next" w:hAnsi="Avenir Next"/>
          <w:color w:val="808080" w:themeColor="background1" w:themeShade="80"/>
        </w:rPr>
        <w:t>there and that is where it</w:t>
      </w:r>
      <w:r w:rsidR="00632256" w:rsidRPr="00632256">
        <w:rPr>
          <w:rFonts w:ascii="Avenir Next" w:hAnsi="Avenir Next"/>
          <w:color w:val="808080" w:themeColor="background1" w:themeShade="80"/>
        </w:rPr>
        <w:t xml:space="preserve"> develops and manufactures high end skincare products</w:t>
      </w:r>
      <w:r w:rsidR="00632256">
        <w:rPr>
          <w:rFonts w:ascii="Avenir Next" w:hAnsi="Avenir Next"/>
          <w:color w:val="808080" w:themeColor="background1" w:themeShade="80"/>
        </w:rPr>
        <w:t xml:space="preserve">. </w:t>
      </w:r>
      <w:r w:rsidR="004F45BA">
        <w:rPr>
          <w:rFonts w:ascii="Avenir Next" w:hAnsi="Avenir Next"/>
          <w:color w:val="808080" w:themeColor="background1" w:themeShade="80"/>
        </w:rPr>
        <w:t>Similarly,</w:t>
      </w:r>
      <w:r w:rsidR="00632256">
        <w:rPr>
          <w:rFonts w:ascii="Avenir Next" w:hAnsi="Avenir Next"/>
          <w:color w:val="808080" w:themeColor="background1" w:themeShade="80"/>
        </w:rPr>
        <w:t xml:space="preserve"> we don’t have enough facts in relation to the </w:t>
      </w:r>
      <w:r w:rsidR="00632256" w:rsidRPr="005A4E40">
        <w:rPr>
          <w:rFonts w:ascii="Avenir Next" w:hAnsi="Avenir Next"/>
          <w:color w:val="808080" w:themeColor="background1" w:themeShade="80"/>
        </w:rPr>
        <w:t>location of</w:t>
      </w:r>
      <w:r w:rsidR="00632256">
        <w:rPr>
          <w:rFonts w:ascii="Avenir Next" w:hAnsi="Avenir Next"/>
          <w:color w:val="808080" w:themeColor="background1" w:themeShade="80"/>
        </w:rPr>
        <w:t xml:space="preserve"> SL's</w:t>
      </w:r>
      <w:r w:rsidR="00632256" w:rsidRPr="005A4E40">
        <w:rPr>
          <w:rFonts w:ascii="Avenir Next" w:hAnsi="Avenir Next"/>
          <w:color w:val="808080" w:themeColor="background1" w:themeShade="80"/>
        </w:rPr>
        <w:t xml:space="preserve"> management</w:t>
      </w:r>
      <w:r w:rsidR="00632256">
        <w:rPr>
          <w:rFonts w:ascii="Avenir Next" w:hAnsi="Avenir Next"/>
          <w:color w:val="808080" w:themeColor="background1" w:themeShade="80"/>
        </w:rPr>
        <w:t xml:space="preserve">. With regards to SL's assets, we know that SL has a manufacturing facility in France </w:t>
      </w:r>
      <w:proofErr w:type="gramStart"/>
      <w:r w:rsidR="00632256">
        <w:rPr>
          <w:rFonts w:ascii="Avenir Next" w:hAnsi="Avenir Next"/>
          <w:color w:val="808080" w:themeColor="background1" w:themeShade="80"/>
        </w:rPr>
        <w:t>and also</w:t>
      </w:r>
      <w:proofErr w:type="gramEnd"/>
      <w:r w:rsidR="00632256">
        <w:rPr>
          <w:rFonts w:ascii="Avenir Next" w:hAnsi="Avenir Next"/>
          <w:color w:val="808080" w:themeColor="background1" w:themeShade="80"/>
        </w:rPr>
        <w:t xml:space="preserve"> a boutique. It also has boutiques in other major cities including London in England. However, we do not know the location of the English law governed bonds, it may be that they are also in England and that would be a sensible assumption given that they are governed by English law, but we would need to find out. In relation to the </w:t>
      </w:r>
      <w:r w:rsidR="00632256" w:rsidRPr="005A4E40">
        <w:rPr>
          <w:rFonts w:ascii="Avenir Next" w:hAnsi="Avenir Next"/>
          <w:color w:val="808080" w:themeColor="background1" w:themeShade="80"/>
        </w:rPr>
        <w:t xml:space="preserve">location of a majority of </w:t>
      </w:r>
      <w:r w:rsidR="00632256">
        <w:rPr>
          <w:rFonts w:ascii="Avenir Next" w:hAnsi="Avenir Next"/>
          <w:color w:val="808080" w:themeColor="background1" w:themeShade="80"/>
        </w:rPr>
        <w:t xml:space="preserve">SL's </w:t>
      </w:r>
      <w:r w:rsidR="00632256" w:rsidRPr="005A4E40">
        <w:rPr>
          <w:rFonts w:ascii="Avenir Next" w:hAnsi="Avenir Next"/>
          <w:color w:val="808080" w:themeColor="background1" w:themeShade="80"/>
        </w:rPr>
        <w:t>creditors</w:t>
      </w:r>
      <w:r w:rsidR="00632256">
        <w:rPr>
          <w:rFonts w:ascii="Avenir Next" w:hAnsi="Avenir Next"/>
          <w:color w:val="808080" w:themeColor="background1" w:themeShade="80"/>
        </w:rPr>
        <w:t xml:space="preserve">, again we need more information, but it is possibly also England on the basis that the bonds are English law governed, however, it </w:t>
      </w:r>
      <w:proofErr w:type="gramStart"/>
      <w:r w:rsidR="00632256">
        <w:rPr>
          <w:rFonts w:ascii="Avenir Next" w:hAnsi="Avenir Next"/>
          <w:color w:val="808080" w:themeColor="background1" w:themeShade="80"/>
        </w:rPr>
        <w:t>could also be equally be</w:t>
      </w:r>
      <w:proofErr w:type="gramEnd"/>
      <w:r w:rsidR="00632256">
        <w:rPr>
          <w:rFonts w:ascii="Avenir Next" w:hAnsi="Avenir Next"/>
          <w:color w:val="808080" w:themeColor="background1" w:themeShade="80"/>
        </w:rPr>
        <w:t xml:space="preserve"> France in view of the operations there. Finally, based on the facts we know that English law governs the bonds but that is it. </w:t>
      </w:r>
    </w:p>
    <w:p w14:paraId="04CB4F74" w14:textId="7B29C83E" w:rsidR="005C2171" w:rsidRDefault="00632256" w:rsidP="005A4E40">
      <w:pPr>
        <w:pStyle w:val="AODocTxt"/>
        <w:rPr>
          <w:rFonts w:ascii="Avenir Next" w:hAnsi="Avenir Next"/>
          <w:color w:val="808080" w:themeColor="background1" w:themeShade="80"/>
        </w:rPr>
      </w:pPr>
      <w:r>
        <w:rPr>
          <w:rFonts w:ascii="Avenir Next" w:hAnsi="Avenir Next"/>
          <w:color w:val="808080" w:themeColor="background1" w:themeShade="80"/>
        </w:rPr>
        <w:t xml:space="preserve">In view of the above, it is arguable that SL's COMI could be in France (due to its incorporation and principal manufacturing) but there are also good arguments that SL's COMI is in England by reason of its boutique there, the bonds, potential location of creditors pursuant to the bonds and the fact that English law applies to the bonds at least. </w:t>
      </w:r>
      <w:r w:rsidR="005C2171">
        <w:rPr>
          <w:rFonts w:ascii="Avenir Next" w:hAnsi="Avenir Next"/>
          <w:color w:val="808080" w:themeColor="background1" w:themeShade="80"/>
        </w:rPr>
        <w:t xml:space="preserve">In view of this, it is arguable that an English Scheme would be a foreign main proceeding for which the foreign representative could seek recognition of in the US. </w:t>
      </w:r>
    </w:p>
    <w:p w14:paraId="3EEEF916" w14:textId="63E5DFE5" w:rsidR="005C2171" w:rsidRDefault="005C2171" w:rsidP="005A4E40">
      <w:pPr>
        <w:pStyle w:val="AODocTxt"/>
        <w:rPr>
          <w:rFonts w:ascii="Avenir Next" w:hAnsi="Avenir Next"/>
          <w:color w:val="808080" w:themeColor="background1" w:themeShade="80"/>
        </w:rPr>
      </w:pPr>
      <w:r>
        <w:rPr>
          <w:rFonts w:ascii="Avenir Next" w:hAnsi="Avenir Next"/>
          <w:color w:val="808080" w:themeColor="background1" w:themeShade="80"/>
        </w:rPr>
        <w:t xml:space="preserve">It would still be possible to seek recognition under chapter 15 of the Scheme proceedings in England on the basis that they are </w:t>
      </w:r>
      <w:r w:rsidRPr="005C2171">
        <w:rPr>
          <w:rFonts w:ascii="Avenir Next" w:hAnsi="Avenir Next"/>
          <w:color w:val="808080" w:themeColor="background1" w:themeShade="80"/>
        </w:rPr>
        <w:t xml:space="preserve">foreign non-main proceedings </w:t>
      </w:r>
      <w:r>
        <w:rPr>
          <w:rFonts w:ascii="Avenir Next" w:hAnsi="Avenir Next"/>
          <w:color w:val="808080" w:themeColor="background1" w:themeShade="80"/>
        </w:rPr>
        <w:t xml:space="preserve">if it can be shown that SL has an </w:t>
      </w:r>
      <w:r w:rsidRPr="005C2171">
        <w:rPr>
          <w:rFonts w:ascii="Avenir Next" w:hAnsi="Avenir Next"/>
          <w:color w:val="808080" w:themeColor="background1" w:themeShade="80"/>
        </w:rPr>
        <w:t xml:space="preserve">establishment </w:t>
      </w:r>
      <w:r>
        <w:rPr>
          <w:rFonts w:ascii="Avenir Next" w:hAnsi="Avenir Next"/>
          <w:color w:val="808080" w:themeColor="background1" w:themeShade="80"/>
        </w:rPr>
        <w:t xml:space="preserve">in England. An establishment constitutes </w:t>
      </w:r>
      <w:r w:rsidRPr="005C2171">
        <w:rPr>
          <w:rFonts w:ascii="Avenir Next" w:hAnsi="Avenir Next"/>
          <w:color w:val="808080" w:themeColor="background1" w:themeShade="80"/>
        </w:rPr>
        <w:t xml:space="preserve">a place where </w:t>
      </w:r>
      <w:r>
        <w:rPr>
          <w:rFonts w:ascii="Avenir Next" w:hAnsi="Avenir Next"/>
          <w:color w:val="808080" w:themeColor="background1" w:themeShade="80"/>
        </w:rPr>
        <w:t>the debtor</w:t>
      </w:r>
      <w:r w:rsidRPr="005C2171">
        <w:rPr>
          <w:rFonts w:ascii="Avenir Next" w:hAnsi="Avenir Next"/>
          <w:color w:val="808080" w:themeColor="background1" w:themeShade="80"/>
        </w:rPr>
        <w:t xml:space="preserve"> carrie</w:t>
      </w:r>
      <w:r>
        <w:rPr>
          <w:rFonts w:ascii="Avenir Next" w:hAnsi="Avenir Next"/>
          <w:color w:val="808080" w:themeColor="background1" w:themeShade="80"/>
        </w:rPr>
        <w:t>s</w:t>
      </w:r>
      <w:r w:rsidRPr="005C2171">
        <w:rPr>
          <w:rFonts w:ascii="Avenir Next" w:hAnsi="Avenir Next"/>
          <w:color w:val="808080" w:themeColor="background1" w:themeShade="80"/>
        </w:rPr>
        <w:t xml:space="preserve"> out non-transitory economic activity – prior to the</w:t>
      </w:r>
      <w:r>
        <w:rPr>
          <w:rFonts w:ascii="Avenir Next" w:hAnsi="Avenir Next"/>
          <w:color w:val="808080" w:themeColor="background1" w:themeShade="80"/>
        </w:rPr>
        <w:t xml:space="preserve"> </w:t>
      </w:r>
      <w:r w:rsidRPr="005C2171">
        <w:rPr>
          <w:rFonts w:ascii="Avenir Next" w:hAnsi="Avenir Next"/>
          <w:color w:val="808080" w:themeColor="background1" w:themeShade="80"/>
        </w:rPr>
        <w:t>commencement of chapter 15 proceedings</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45"/>
      </w:r>
    </w:p>
    <w:p w14:paraId="38FC1464" w14:textId="1340F111" w:rsidR="005C2171" w:rsidRDefault="005C2171" w:rsidP="005A4E40">
      <w:pPr>
        <w:pStyle w:val="AODocTxt"/>
        <w:rPr>
          <w:rFonts w:ascii="Avenir Next" w:hAnsi="Avenir Next"/>
          <w:color w:val="808080" w:themeColor="background1" w:themeShade="80"/>
        </w:rPr>
      </w:pPr>
      <w:r>
        <w:rPr>
          <w:rFonts w:ascii="Avenir Next" w:hAnsi="Avenir Next"/>
          <w:color w:val="808080" w:themeColor="background1" w:themeShade="80"/>
        </w:rPr>
        <w:t xml:space="preserve">On the basis that SL has a boutique in London, it seems that SL is trading in England and carrying out </w:t>
      </w:r>
      <w:r w:rsidRPr="005C2171">
        <w:rPr>
          <w:rFonts w:ascii="Avenir Next" w:hAnsi="Avenir Next"/>
          <w:color w:val="808080" w:themeColor="background1" w:themeShade="80"/>
        </w:rPr>
        <w:t>non-transitory economic activity</w:t>
      </w:r>
      <w:r>
        <w:rPr>
          <w:rFonts w:ascii="Avenir Next" w:hAnsi="Avenir Next"/>
          <w:color w:val="808080" w:themeColor="background1" w:themeShade="80"/>
        </w:rPr>
        <w:t xml:space="preserve"> that has been ongoing before the commencement of the chapter 15 </w:t>
      </w:r>
      <w:r>
        <w:rPr>
          <w:rFonts w:ascii="Avenir Next" w:hAnsi="Avenir Next"/>
          <w:color w:val="808080" w:themeColor="background1" w:themeShade="80"/>
        </w:rPr>
        <w:lastRenderedPageBreak/>
        <w:t xml:space="preserve">proceedings. In view of this, the foreign representative could apply for recognition of the English scheme as foreign non main proceedings in the alternative. </w:t>
      </w:r>
    </w:p>
    <w:p w14:paraId="148ED657" w14:textId="47FF6C45" w:rsidR="005C2171" w:rsidRDefault="005C2171" w:rsidP="005A4E40">
      <w:pPr>
        <w:pStyle w:val="AODocTxt"/>
        <w:rPr>
          <w:rFonts w:ascii="Avenir Next" w:hAnsi="Avenir Next"/>
          <w:color w:val="808080" w:themeColor="background1" w:themeShade="80"/>
        </w:rPr>
      </w:pPr>
      <w:r>
        <w:rPr>
          <w:rFonts w:ascii="Avenir Next" w:hAnsi="Avenir Next"/>
          <w:color w:val="808080" w:themeColor="background1" w:themeShade="80"/>
        </w:rPr>
        <w:t xml:space="preserve">Further information is required to make a firm assessment regarding which option would be best. </w:t>
      </w:r>
    </w:p>
    <w:p w14:paraId="76505B24" w14:textId="77777777" w:rsidR="00406E71" w:rsidRDefault="00406E7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4053F341" w14:textId="3D1491E4" w:rsidR="008B0412" w:rsidRDefault="008B0412" w:rsidP="008B0412">
      <w:pPr>
        <w:pStyle w:val="AODocTxt"/>
        <w:numPr>
          <w:ilvl w:val="0"/>
          <w:numId w:val="41"/>
        </w:numPr>
        <w:spacing w:before="0" w:line="240" w:lineRule="auto"/>
        <w:rPr>
          <w:rFonts w:ascii="Avenir Next" w:hAnsi="Avenir Next"/>
          <w:color w:val="808080" w:themeColor="background1" w:themeShade="80"/>
        </w:rPr>
      </w:pPr>
      <w:r w:rsidRPr="008B0412">
        <w:rPr>
          <w:rFonts w:ascii="Avenir Next" w:hAnsi="Avenir Next"/>
          <w:b/>
          <w:bCs/>
          <w:color w:val="808080" w:themeColor="background1" w:themeShade="80"/>
        </w:rPr>
        <w:t>The DOJ investigation</w:t>
      </w:r>
      <w:r>
        <w:rPr>
          <w:rFonts w:ascii="Avenir Next" w:hAnsi="Avenir Next"/>
          <w:color w:val="808080" w:themeColor="background1" w:themeShade="80"/>
        </w:rPr>
        <w:t xml:space="preserve">: </w:t>
      </w:r>
      <w:r w:rsidR="004139DA">
        <w:rPr>
          <w:rFonts w:ascii="Avenir Next" w:hAnsi="Avenir Next"/>
          <w:color w:val="808080" w:themeColor="background1" w:themeShade="80"/>
        </w:rPr>
        <w:t xml:space="preserve">A worldwide </w:t>
      </w:r>
      <w:r>
        <w:rPr>
          <w:rFonts w:ascii="Avenir Next" w:hAnsi="Avenir Next"/>
          <w:color w:val="808080" w:themeColor="background1" w:themeShade="80"/>
        </w:rPr>
        <w:t>auto</w:t>
      </w:r>
      <w:r w:rsidR="004139DA">
        <w:rPr>
          <w:rFonts w:ascii="Avenir Next" w:hAnsi="Avenir Next"/>
          <w:color w:val="808080" w:themeColor="background1" w:themeShade="80"/>
        </w:rPr>
        <w:t>matic</w:t>
      </w:r>
      <w:r>
        <w:rPr>
          <w:rFonts w:ascii="Avenir Next" w:hAnsi="Avenir Next"/>
          <w:color w:val="808080" w:themeColor="background1" w:themeShade="80"/>
        </w:rPr>
        <w:t xml:space="preserve"> stay </w:t>
      </w:r>
      <w:r w:rsidR="004139DA" w:rsidRPr="004139DA">
        <w:rPr>
          <w:rFonts w:ascii="Avenir Next" w:hAnsi="Avenir Next"/>
          <w:color w:val="808080" w:themeColor="background1" w:themeShade="80"/>
        </w:rPr>
        <w:t>of any proceeding</w:t>
      </w:r>
      <w:r w:rsidR="004139DA">
        <w:rPr>
          <w:rFonts w:ascii="Avenir Next" w:hAnsi="Avenir Next"/>
          <w:color w:val="808080" w:themeColor="background1" w:themeShade="80"/>
        </w:rPr>
        <w:t xml:space="preserve"> </w:t>
      </w:r>
      <w:r w:rsidR="004139DA" w:rsidRPr="004139DA">
        <w:rPr>
          <w:rFonts w:ascii="Avenir Next" w:hAnsi="Avenir Next"/>
          <w:color w:val="808080" w:themeColor="background1" w:themeShade="80"/>
        </w:rPr>
        <w:t xml:space="preserve">against the debtor or its property </w:t>
      </w:r>
      <w:r w:rsidR="004139DA">
        <w:rPr>
          <w:rFonts w:ascii="Avenir Next" w:hAnsi="Avenir Next"/>
          <w:color w:val="808080" w:themeColor="background1" w:themeShade="80"/>
        </w:rPr>
        <w:t xml:space="preserve">immediately on the filing of a Chapter 11 restructuring proceeding. The stay is extremely </w:t>
      </w:r>
      <w:proofErr w:type="gramStart"/>
      <w:r w:rsidR="004139DA">
        <w:rPr>
          <w:rFonts w:ascii="Avenir Next" w:hAnsi="Avenir Next"/>
          <w:color w:val="808080" w:themeColor="background1" w:themeShade="80"/>
        </w:rPr>
        <w:t>b</w:t>
      </w:r>
      <w:r w:rsidR="00D429D0">
        <w:rPr>
          <w:rFonts w:ascii="Avenir Next" w:hAnsi="Avenir Next"/>
          <w:color w:val="808080" w:themeColor="background1" w:themeShade="80"/>
        </w:rPr>
        <w:t>r</w:t>
      </w:r>
      <w:r w:rsidR="004139DA">
        <w:rPr>
          <w:rFonts w:ascii="Avenir Next" w:hAnsi="Avenir Next"/>
          <w:color w:val="808080" w:themeColor="background1" w:themeShade="80"/>
        </w:rPr>
        <w:t>oad</w:t>
      </w:r>
      <w:proofErr w:type="gramEnd"/>
      <w:r w:rsidR="004139DA">
        <w:rPr>
          <w:rFonts w:ascii="Avenir Next" w:hAnsi="Avenir Next"/>
          <w:color w:val="808080" w:themeColor="background1" w:themeShade="80"/>
        </w:rPr>
        <w:t xml:space="preserve"> and its purpose is to allow the debtor, in this case Speculation Inc (</w:t>
      </w:r>
      <w:r w:rsidR="004139DA" w:rsidRPr="004F45BA">
        <w:rPr>
          <w:rFonts w:ascii="Avenir Next" w:hAnsi="Avenir Next"/>
          <w:b/>
          <w:bCs/>
          <w:color w:val="808080" w:themeColor="background1" w:themeShade="80"/>
        </w:rPr>
        <w:t>Speculation</w:t>
      </w:r>
      <w:r w:rsidR="004139DA">
        <w:rPr>
          <w:rFonts w:ascii="Avenir Next" w:hAnsi="Avenir Next"/>
          <w:color w:val="808080" w:themeColor="background1" w:themeShade="80"/>
        </w:rPr>
        <w:t xml:space="preserve">) breathing space to continue operating whilst it proposes a plan of </w:t>
      </w:r>
      <w:proofErr w:type="spellStart"/>
      <w:r w:rsidR="004139DA">
        <w:rPr>
          <w:rFonts w:ascii="Avenir Next" w:hAnsi="Avenir Next"/>
          <w:color w:val="808080" w:themeColor="background1" w:themeShade="80"/>
        </w:rPr>
        <w:t>reorganisation</w:t>
      </w:r>
      <w:proofErr w:type="spellEnd"/>
      <w:r w:rsidR="004139DA">
        <w:rPr>
          <w:rFonts w:ascii="Avenir Next" w:hAnsi="Avenir Next"/>
          <w:color w:val="808080" w:themeColor="background1" w:themeShade="80"/>
        </w:rPr>
        <w:t xml:space="preserve"> to restructure its debt.  However, unfortunately for Speculation, the automatic stay would have impact on the </w:t>
      </w:r>
      <w:r w:rsidR="004139DA" w:rsidRPr="004139DA">
        <w:rPr>
          <w:rFonts w:ascii="Avenir Next" w:hAnsi="Avenir Next"/>
          <w:color w:val="808080" w:themeColor="background1" w:themeShade="80"/>
        </w:rPr>
        <w:t xml:space="preserve">DOJ investigation </w:t>
      </w:r>
      <w:r w:rsidR="004139DA">
        <w:rPr>
          <w:rFonts w:ascii="Avenir Next" w:hAnsi="Avenir Next"/>
          <w:color w:val="808080" w:themeColor="background1" w:themeShade="80"/>
        </w:rPr>
        <w:t xml:space="preserve">because the automatic stay is subject to certain statutory exceptions, regulatory investigations being one of them. As a </w:t>
      </w:r>
      <w:r w:rsidR="004F45BA">
        <w:rPr>
          <w:rFonts w:ascii="Avenir Next" w:hAnsi="Avenir Next"/>
          <w:color w:val="808080" w:themeColor="background1" w:themeShade="80"/>
        </w:rPr>
        <w:t>result,</w:t>
      </w:r>
      <w:r w:rsidR="004139DA">
        <w:rPr>
          <w:rFonts w:ascii="Avenir Next" w:hAnsi="Avenir Next"/>
          <w:color w:val="808080" w:themeColor="background1" w:themeShade="80"/>
        </w:rPr>
        <w:t xml:space="preserve"> the Chapter 11 proceedings would have no effect on the </w:t>
      </w:r>
      <w:r w:rsidR="004139DA" w:rsidRPr="004139DA">
        <w:rPr>
          <w:rFonts w:ascii="Avenir Next" w:hAnsi="Avenir Next"/>
          <w:color w:val="808080" w:themeColor="background1" w:themeShade="80"/>
        </w:rPr>
        <w:t xml:space="preserve">DOJ </w:t>
      </w:r>
      <w:r w:rsidR="004F45BA" w:rsidRPr="004139DA">
        <w:rPr>
          <w:rFonts w:ascii="Avenir Next" w:hAnsi="Avenir Next"/>
          <w:color w:val="808080" w:themeColor="background1" w:themeShade="80"/>
        </w:rPr>
        <w:t>investigation,</w:t>
      </w:r>
      <w:r w:rsidR="004139DA">
        <w:rPr>
          <w:rFonts w:ascii="Avenir Next" w:hAnsi="Avenir Next"/>
          <w:color w:val="808080" w:themeColor="background1" w:themeShade="80"/>
        </w:rPr>
        <w:t xml:space="preserve"> and it would be allowed to continue. </w:t>
      </w:r>
    </w:p>
    <w:p w14:paraId="1791E85B" w14:textId="77777777" w:rsidR="008B0412" w:rsidRDefault="008B0412" w:rsidP="008B0412">
      <w:pPr>
        <w:pStyle w:val="AODocTxt"/>
        <w:spacing w:before="0" w:line="240" w:lineRule="auto"/>
        <w:ind w:left="1080"/>
        <w:rPr>
          <w:rFonts w:ascii="Avenir Next" w:hAnsi="Avenir Next"/>
          <w:color w:val="808080" w:themeColor="background1" w:themeShade="80"/>
        </w:rPr>
      </w:pPr>
    </w:p>
    <w:p w14:paraId="14C358AB" w14:textId="3A2D1AE6" w:rsidR="008B0412" w:rsidRDefault="008B0412" w:rsidP="008B0412">
      <w:pPr>
        <w:pStyle w:val="AODocTxt"/>
        <w:numPr>
          <w:ilvl w:val="0"/>
          <w:numId w:val="41"/>
        </w:numPr>
        <w:spacing w:before="0" w:line="240" w:lineRule="auto"/>
        <w:rPr>
          <w:rFonts w:ascii="Avenir Next" w:hAnsi="Avenir Next"/>
          <w:color w:val="808080" w:themeColor="background1" w:themeShade="80"/>
        </w:rPr>
      </w:pPr>
      <w:r w:rsidRPr="004139DA">
        <w:rPr>
          <w:rFonts w:ascii="Avenir Next" w:hAnsi="Avenir Next"/>
          <w:b/>
          <w:bCs/>
          <w:color w:val="808080" w:themeColor="background1" w:themeShade="80"/>
        </w:rPr>
        <w:t>Margin loan default</w:t>
      </w:r>
      <w:r>
        <w:rPr>
          <w:rFonts w:ascii="Avenir Next" w:hAnsi="Avenir Next"/>
          <w:color w:val="808080" w:themeColor="background1" w:themeShade="80"/>
        </w:rPr>
        <w:t xml:space="preserve">: </w:t>
      </w:r>
      <w:r w:rsidR="004139DA">
        <w:rPr>
          <w:rFonts w:ascii="Avenir Next" w:hAnsi="Avenir Next"/>
          <w:color w:val="808080" w:themeColor="background1" w:themeShade="80"/>
        </w:rPr>
        <w:t xml:space="preserve">The automatic stay will prevent the broker from being able to commence any proceedings against Speculation in respect of the margin loan default. This will give Speculation time to work with the broker (and other creditors) and decide how it wishes to adjust its debt. Depending on the other creditors and what's in the plan, it might be necessary to consider whether a cramdown of any dissenting impaired classes of creditors is a tool that could be used in Spectrum's </w:t>
      </w:r>
      <w:proofErr w:type="spellStart"/>
      <w:r w:rsidR="004139DA">
        <w:rPr>
          <w:rFonts w:ascii="Avenir Next" w:hAnsi="Avenir Next"/>
          <w:color w:val="808080" w:themeColor="background1" w:themeShade="80"/>
        </w:rPr>
        <w:t>favour</w:t>
      </w:r>
      <w:proofErr w:type="spellEnd"/>
      <w:r w:rsidR="004139DA">
        <w:rPr>
          <w:rFonts w:ascii="Avenir Next" w:hAnsi="Avenir Next"/>
          <w:color w:val="808080" w:themeColor="background1" w:themeShade="80"/>
        </w:rPr>
        <w:t xml:space="preserve">. </w:t>
      </w:r>
      <w:r w:rsidR="004F45BA">
        <w:rPr>
          <w:rFonts w:ascii="Avenir Next" w:hAnsi="Avenir Next"/>
          <w:color w:val="808080" w:themeColor="background1" w:themeShade="80"/>
        </w:rPr>
        <w:t>Any cramdown plan must be proposed in good faith.</w:t>
      </w:r>
      <w:r w:rsidR="00565FD5">
        <w:rPr>
          <w:rStyle w:val="FootnoteReference"/>
          <w:rFonts w:ascii="Avenir Next" w:hAnsi="Avenir Next"/>
          <w:color w:val="808080" w:themeColor="background1" w:themeShade="80"/>
        </w:rPr>
        <w:footnoteReference w:id="46"/>
      </w:r>
      <w:r w:rsidR="004F45BA">
        <w:rPr>
          <w:rFonts w:ascii="Avenir Next" w:hAnsi="Avenir Next"/>
          <w:color w:val="808080" w:themeColor="background1" w:themeShade="80"/>
        </w:rPr>
        <w:t xml:space="preserve"> </w:t>
      </w:r>
    </w:p>
    <w:p w14:paraId="7C05AC72" w14:textId="77777777" w:rsidR="008B0412" w:rsidRDefault="008B0412" w:rsidP="008B0412">
      <w:pPr>
        <w:pStyle w:val="ListParagraph"/>
        <w:rPr>
          <w:rFonts w:ascii="Avenir Next" w:hAnsi="Avenir Next"/>
          <w:color w:val="808080" w:themeColor="background1" w:themeShade="80"/>
        </w:rPr>
      </w:pPr>
    </w:p>
    <w:p w14:paraId="78944315" w14:textId="1AEBB10A" w:rsidR="002238E0" w:rsidRDefault="008B0412" w:rsidP="008B0412">
      <w:pPr>
        <w:pStyle w:val="AODocTxt"/>
        <w:numPr>
          <w:ilvl w:val="0"/>
          <w:numId w:val="41"/>
        </w:numPr>
        <w:spacing w:before="0" w:line="240" w:lineRule="auto"/>
        <w:rPr>
          <w:rFonts w:ascii="Avenir Next" w:hAnsi="Avenir Next"/>
          <w:color w:val="808080" w:themeColor="background1" w:themeShade="80"/>
        </w:rPr>
      </w:pPr>
      <w:r w:rsidRPr="00C05402">
        <w:rPr>
          <w:rFonts w:ascii="Avenir Next" w:hAnsi="Avenir Next"/>
          <w:b/>
          <w:bCs/>
          <w:color w:val="808080" w:themeColor="background1" w:themeShade="80"/>
        </w:rPr>
        <w:t>The delinquent lease</w:t>
      </w:r>
      <w:r>
        <w:rPr>
          <w:rFonts w:ascii="Avenir Next" w:hAnsi="Avenir Next"/>
          <w:color w:val="808080" w:themeColor="background1" w:themeShade="80"/>
        </w:rPr>
        <w:t xml:space="preserve">: </w:t>
      </w:r>
      <w:r w:rsidR="002238E0">
        <w:rPr>
          <w:rFonts w:ascii="Avenir Next" w:hAnsi="Avenir Next"/>
          <w:color w:val="808080" w:themeColor="background1" w:themeShade="80"/>
        </w:rPr>
        <w:t xml:space="preserve">Pursuant to </w:t>
      </w:r>
      <w:r w:rsidR="002238E0" w:rsidRPr="002238E0">
        <w:rPr>
          <w:rFonts w:ascii="Avenir Next" w:hAnsi="Avenir Next"/>
          <w:color w:val="808080" w:themeColor="background1" w:themeShade="80"/>
        </w:rPr>
        <w:t>§ 1121</w:t>
      </w:r>
      <w:r w:rsidR="002238E0">
        <w:rPr>
          <w:rFonts w:ascii="Avenir Next" w:hAnsi="Avenir Next"/>
          <w:color w:val="808080" w:themeColor="background1" w:themeShade="80"/>
        </w:rPr>
        <w:t xml:space="preserve"> of the Bankruptcy Code, Spectrum would have 120 days from the date of the petition in which to propose its plan of </w:t>
      </w:r>
      <w:proofErr w:type="spellStart"/>
      <w:r w:rsidR="002238E0">
        <w:rPr>
          <w:rFonts w:ascii="Avenir Next" w:hAnsi="Avenir Next"/>
          <w:color w:val="808080" w:themeColor="background1" w:themeShade="80"/>
        </w:rPr>
        <w:t>reorganisation</w:t>
      </w:r>
      <w:proofErr w:type="spellEnd"/>
      <w:r w:rsidR="002238E0">
        <w:rPr>
          <w:rFonts w:ascii="Avenir Next" w:hAnsi="Avenir Next"/>
          <w:color w:val="808080" w:themeColor="background1" w:themeShade="80"/>
        </w:rPr>
        <w:t xml:space="preserve">. Pursuant to </w:t>
      </w:r>
      <w:r w:rsidR="002238E0" w:rsidRPr="002238E0">
        <w:rPr>
          <w:rFonts w:ascii="Avenir Next" w:hAnsi="Avenir Next"/>
          <w:color w:val="808080" w:themeColor="background1" w:themeShade="80"/>
        </w:rPr>
        <w:t>11 USC, § 365(d)(4)</w:t>
      </w:r>
      <w:r w:rsidR="002238E0">
        <w:rPr>
          <w:rFonts w:ascii="Avenir Next" w:hAnsi="Avenir Next"/>
          <w:color w:val="808080" w:themeColor="background1" w:themeShade="80"/>
        </w:rPr>
        <w:t xml:space="preserve">, it will also have 120 days to make any decisions with respect to unexpired leases including the assumption, </w:t>
      </w:r>
      <w:proofErr w:type="gramStart"/>
      <w:r w:rsidR="002238E0">
        <w:rPr>
          <w:rFonts w:ascii="Avenir Next" w:hAnsi="Avenir Next"/>
          <w:color w:val="808080" w:themeColor="background1" w:themeShade="80"/>
        </w:rPr>
        <w:t>assignment</w:t>
      </w:r>
      <w:proofErr w:type="gramEnd"/>
      <w:r w:rsidR="002238E0">
        <w:rPr>
          <w:rFonts w:ascii="Avenir Next" w:hAnsi="Avenir Next"/>
          <w:color w:val="808080" w:themeColor="background1" w:themeShade="80"/>
        </w:rPr>
        <w:t xml:space="preserve"> or rejection of the delinquent unexpired lease of the property. This period can be extended for cause.  Spectrum's decision will likely depend on the rest of its plan for </w:t>
      </w:r>
      <w:proofErr w:type="spellStart"/>
      <w:r w:rsidR="002238E0">
        <w:rPr>
          <w:rFonts w:ascii="Avenir Next" w:hAnsi="Avenir Next"/>
          <w:color w:val="808080" w:themeColor="background1" w:themeShade="80"/>
        </w:rPr>
        <w:t>reorganisation</w:t>
      </w:r>
      <w:proofErr w:type="spellEnd"/>
      <w:r w:rsidR="002238E0">
        <w:rPr>
          <w:rFonts w:ascii="Avenir Next" w:hAnsi="Avenir Next"/>
          <w:color w:val="808080" w:themeColor="background1" w:themeShade="80"/>
        </w:rPr>
        <w:t xml:space="preserve">. Pursuant to </w:t>
      </w:r>
      <w:r w:rsidR="002238E0" w:rsidRPr="002238E0">
        <w:rPr>
          <w:rFonts w:ascii="Avenir Next" w:hAnsi="Avenir Next"/>
          <w:color w:val="808080" w:themeColor="background1" w:themeShade="80"/>
        </w:rPr>
        <w:t>11 USC, § 521</w:t>
      </w:r>
      <w:r w:rsidR="002238E0">
        <w:rPr>
          <w:rFonts w:ascii="Avenir Next" w:hAnsi="Avenir Next"/>
          <w:color w:val="808080" w:themeColor="background1" w:themeShade="80"/>
        </w:rPr>
        <w:t xml:space="preserve">, Spectrum is also required to file a schedule of information in relation to various matters including executory contracts and unexpired leases. The Delinquent lease would fall into this category and would be included in the schedule for public filing on the proceeding. </w:t>
      </w:r>
    </w:p>
    <w:p w14:paraId="15B6829D" w14:textId="77777777" w:rsidR="008B0412" w:rsidRPr="00C05402" w:rsidRDefault="008B0412" w:rsidP="001D3BAA">
      <w:pPr>
        <w:pStyle w:val="AODocTxt"/>
        <w:spacing w:before="0" w:line="240" w:lineRule="auto"/>
        <w:rPr>
          <w:rFonts w:ascii="Avenir Next" w:hAnsi="Avenir Next"/>
          <w:b/>
          <w:bCs/>
          <w:color w:val="808080" w:themeColor="background1" w:themeShade="80"/>
        </w:rPr>
      </w:pPr>
    </w:p>
    <w:p w14:paraId="14E04402" w14:textId="0A3E250C" w:rsidR="008B0412" w:rsidRPr="008B0412" w:rsidRDefault="008B0412" w:rsidP="001D3BAA">
      <w:pPr>
        <w:pStyle w:val="AODocTxt"/>
        <w:numPr>
          <w:ilvl w:val="0"/>
          <w:numId w:val="41"/>
        </w:numPr>
        <w:spacing w:before="0" w:line="240" w:lineRule="auto"/>
        <w:rPr>
          <w:rFonts w:ascii="Avenir Next" w:hAnsi="Avenir Next"/>
          <w:color w:val="808080" w:themeColor="background1" w:themeShade="80"/>
        </w:rPr>
      </w:pPr>
      <w:r w:rsidRPr="00C05402">
        <w:rPr>
          <w:rFonts w:ascii="Avenir Next" w:hAnsi="Avenir Next"/>
          <w:b/>
          <w:bCs/>
          <w:color w:val="808080" w:themeColor="background1" w:themeShade="80"/>
        </w:rPr>
        <w:t>The employment discrimination lawsuit</w:t>
      </w:r>
      <w:r>
        <w:rPr>
          <w:rFonts w:ascii="Avenir Next" w:hAnsi="Avenir Next"/>
          <w:color w:val="808080" w:themeColor="background1" w:themeShade="80"/>
        </w:rPr>
        <w:t xml:space="preserve">: </w:t>
      </w:r>
      <w:r w:rsidR="002238E0">
        <w:rPr>
          <w:rFonts w:ascii="Avenir Next" w:hAnsi="Avenir Next"/>
          <w:color w:val="808080" w:themeColor="background1" w:themeShade="80"/>
        </w:rPr>
        <w:t>On the basis that</w:t>
      </w:r>
      <w:r w:rsidR="0060632B">
        <w:rPr>
          <w:rFonts w:ascii="Avenir Next" w:hAnsi="Avenir Next"/>
          <w:color w:val="808080" w:themeColor="background1" w:themeShade="80"/>
        </w:rPr>
        <w:t xml:space="preserve"> the employment discrimination lawsuit is not a </w:t>
      </w:r>
      <w:r w:rsidR="0060632B" w:rsidRPr="0060632B">
        <w:rPr>
          <w:rFonts w:ascii="Avenir Next" w:hAnsi="Avenir Next"/>
          <w:color w:val="808080" w:themeColor="background1" w:themeShade="80"/>
        </w:rPr>
        <w:t>creditor</w:t>
      </w:r>
      <w:r w:rsidR="0060632B">
        <w:rPr>
          <w:rFonts w:ascii="Avenir Next" w:hAnsi="Avenir Next"/>
          <w:color w:val="808080" w:themeColor="background1" w:themeShade="80"/>
        </w:rPr>
        <w:t xml:space="preserve"> </w:t>
      </w:r>
      <w:r w:rsidR="0060632B" w:rsidRPr="0060632B">
        <w:rPr>
          <w:rFonts w:ascii="Avenir Next" w:hAnsi="Avenir Next"/>
          <w:color w:val="808080" w:themeColor="background1" w:themeShade="80"/>
        </w:rPr>
        <w:t xml:space="preserve">action, </w:t>
      </w:r>
      <w:r w:rsidR="0060632B">
        <w:rPr>
          <w:rFonts w:ascii="Avenir Next" w:hAnsi="Avenir Next"/>
          <w:color w:val="808080" w:themeColor="background1" w:themeShade="80"/>
        </w:rPr>
        <w:t xml:space="preserve">it likely wouldn’t be prevented by the </w:t>
      </w:r>
      <w:r w:rsidR="0060632B">
        <w:rPr>
          <w:rFonts w:ascii="Avenir Next" w:hAnsi="Avenir Next"/>
          <w:color w:val="808080" w:themeColor="background1" w:themeShade="80"/>
        </w:rPr>
        <w:lastRenderedPageBreak/>
        <w:t xml:space="preserve">automatic stay because its unlikely cause </w:t>
      </w:r>
      <w:r w:rsidR="0060632B" w:rsidRPr="0060632B">
        <w:rPr>
          <w:rFonts w:ascii="Avenir Next" w:hAnsi="Avenir Next"/>
          <w:color w:val="808080" w:themeColor="background1" w:themeShade="80"/>
        </w:rPr>
        <w:t>irreparable harm to the estate</w:t>
      </w:r>
      <w:r w:rsidR="002238E0">
        <w:rPr>
          <w:rFonts w:ascii="Avenir Next" w:hAnsi="Avenir Next"/>
          <w:color w:val="808080" w:themeColor="background1" w:themeShade="80"/>
        </w:rPr>
        <w:t xml:space="preserve"> </w:t>
      </w:r>
      <w:r w:rsidR="0060632B">
        <w:rPr>
          <w:rFonts w:ascii="Avenir Next" w:hAnsi="Avenir Next"/>
          <w:color w:val="808080" w:themeColor="background1" w:themeShade="80"/>
        </w:rPr>
        <w:t xml:space="preserve">of Spectrum. </w:t>
      </w:r>
      <w:r w:rsidR="00BD2CE0">
        <w:rPr>
          <w:rFonts w:ascii="Avenir Next" w:hAnsi="Avenir Next"/>
          <w:color w:val="808080" w:themeColor="background1" w:themeShade="80"/>
        </w:rPr>
        <w:t xml:space="preserve">It would not be in the public interest if </w:t>
      </w:r>
      <w:r w:rsidR="00BD2CE0" w:rsidRPr="008B0412">
        <w:rPr>
          <w:rFonts w:ascii="Avenir Next" w:hAnsi="Avenir Next"/>
          <w:color w:val="808080" w:themeColor="background1" w:themeShade="80"/>
        </w:rPr>
        <w:t xml:space="preserve">employment discrimination </w:t>
      </w:r>
      <w:r w:rsidR="00BD2CE0">
        <w:rPr>
          <w:rFonts w:ascii="Avenir Next" w:hAnsi="Avenir Next"/>
          <w:color w:val="808080" w:themeColor="background1" w:themeShade="80"/>
        </w:rPr>
        <w:t xml:space="preserve">claims could not be brought if there was an ongoing chapter 11 proceeding. </w:t>
      </w:r>
      <w:r w:rsidR="0060632B">
        <w:rPr>
          <w:rFonts w:ascii="Avenir Next" w:hAnsi="Avenir Next"/>
          <w:color w:val="808080" w:themeColor="background1" w:themeShade="80"/>
        </w:rPr>
        <w:t>However, it might be relevant to consider what relief / damages are claimed because if those are significant the</w:t>
      </w:r>
      <w:r w:rsidR="00BD2CE0">
        <w:rPr>
          <w:rFonts w:ascii="Avenir Next" w:hAnsi="Avenir Next"/>
          <w:color w:val="808080" w:themeColor="background1" w:themeShade="80"/>
        </w:rPr>
        <w:t>n</w:t>
      </w:r>
      <w:r w:rsidR="0060632B">
        <w:rPr>
          <w:rFonts w:ascii="Avenir Next" w:hAnsi="Avenir Next"/>
          <w:color w:val="808080" w:themeColor="background1" w:themeShade="80"/>
        </w:rPr>
        <w:t xml:space="preserve"> </w:t>
      </w:r>
      <w:r w:rsidR="00BD2CE0">
        <w:rPr>
          <w:rFonts w:ascii="Avenir Next" w:hAnsi="Avenir Next"/>
          <w:color w:val="808080" w:themeColor="background1" w:themeShade="80"/>
        </w:rPr>
        <w:t xml:space="preserve">that might have an impact. </w:t>
      </w:r>
      <w:r w:rsidR="0060632B">
        <w:rPr>
          <w:rFonts w:ascii="Avenir Next" w:hAnsi="Avenir Next"/>
          <w:color w:val="808080" w:themeColor="background1" w:themeShade="80"/>
        </w:rPr>
        <w:t xml:space="preserve">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2208A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4349" w14:textId="77777777" w:rsidR="002208A8" w:rsidRDefault="002208A8" w:rsidP="00241B44">
      <w:r>
        <w:separator/>
      </w:r>
    </w:p>
  </w:endnote>
  <w:endnote w:type="continuationSeparator" w:id="0">
    <w:p w14:paraId="04BF5BFA" w14:textId="77777777" w:rsidR="002208A8" w:rsidRDefault="002208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FBBF69CC8-Roman">
    <w:altName w:val="Cambria"/>
    <w:panose1 w:val="00000000000000000000"/>
    <w:charset w:val="00"/>
    <w:family w:val="roman"/>
    <w:notTrueType/>
    <w:pitch w:val="default"/>
  </w:font>
  <w:font w:name="FEF96538272-Roman">
    <w:altName w:val="Cambria"/>
    <w:panose1 w:val="00000000000000000000"/>
    <w:charset w:val="00"/>
    <w:family w:val="roman"/>
    <w:notTrueType/>
    <w:pitch w:val="default"/>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D20496D" w:rsidR="00241FA3" w:rsidRPr="00494B81" w:rsidRDefault="003C0015" w:rsidP="009B4976">
    <w:pPr>
      <w:pStyle w:val="Footer"/>
      <w:ind w:right="360"/>
      <w:rPr>
        <w:rFonts w:ascii="Avenir Next" w:hAnsi="Avenir Next" w:cs="Arial"/>
        <w:sz w:val="22"/>
        <w:szCs w:val="22"/>
        <w:lang w:val="en-GB"/>
      </w:rPr>
    </w:pPr>
    <w:r w:rsidRPr="00DD7F13">
      <w:rPr>
        <w:rFonts w:ascii="Avenir Next" w:hAnsi="Avenir Next"/>
        <w:sz w:val="22"/>
        <w:szCs w:val="22"/>
      </w:rPr>
      <w:t>FC202324-1328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B33" w14:textId="77777777" w:rsidR="00685660" w:rsidRDefault="0068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C7CA" w14:textId="77777777" w:rsidR="002208A8" w:rsidRDefault="002208A8" w:rsidP="00241B44">
      <w:r>
        <w:separator/>
      </w:r>
    </w:p>
  </w:footnote>
  <w:footnote w:type="continuationSeparator" w:id="0">
    <w:p w14:paraId="3497165D" w14:textId="77777777" w:rsidR="002208A8" w:rsidRDefault="002208A8" w:rsidP="00241B44">
      <w:r>
        <w:continuationSeparator/>
      </w:r>
    </w:p>
  </w:footnote>
  <w:footnote w:id="1">
    <w:p w14:paraId="61DD52E9" w14:textId="64BE8011" w:rsidR="00123CA2" w:rsidRDefault="00123CA2">
      <w:pPr>
        <w:pStyle w:val="FootnoteText"/>
      </w:pPr>
      <w:r>
        <w:rPr>
          <w:rStyle w:val="FootnoteReference"/>
        </w:rPr>
        <w:footnoteRef/>
      </w:r>
      <w:r>
        <w:t xml:space="preserve"> </w:t>
      </w:r>
      <w:r w:rsidR="005F6FF0" w:rsidRPr="005F6FF0">
        <w:t>Module 3A Guidance Text</w:t>
      </w:r>
      <w:r w:rsidR="005F6FF0">
        <w:t xml:space="preserve"> </w:t>
      </w:r>
      <w:r w:rsidR="005F6FF0" w:rsidRPr="005F6FF0">
        <w:t>Insolvency System of the United States</w:t>
      </w:r>
      <w:r w:rsidR="005F6FF0">
        <w:t xml:space="preserve"> (</w:t>
      </w:r>
      <w:r w:rsidR="005F6FF0" w:rsidRPr="005F6FF0">
        <w:rPr>
          <w:b/>
          <w:bCs/>
        </w:rPr>
        <w:t>Guidance Text</w:t>
      </w:r>
      <w:r w:rsidR="005F6FF0">
        <w:t xml:space="preserve">), Section </w:t>
      </w:r>
      <w:r>
        <w:t>5.7.4</w:t>
      </w:r>
      <w:r w:rsidR="005F6FF0">
        <w:t>.</w:t>
      </w:r>
    </w:p>
  </w:footnote>
  <w:footnote w:id="2">
    <w:p w14:paraId="46A9794D" w14:textId="3AF7A6F7" w:rsidR="00123CA2" w:rsidRDefault="00123CA2">
      <w:pPr>
        <w:pStyle w:val="FootnoteText"/>
      </w:pPr>
      <w:r>
        <w:rPr>
          <w:rStyle w:val="FootnoteReference"/>
        </w:rPr>
        <w:footnoteRef/>
      </w:r>
      <w:r>
        <w:t xml:space="preserve"> Ibid. </w:t>
      </w:r>
    </w:p>
  </w:footnote>
  <w:footnote w:id="3">
    <w:p w14:paraId="0B91C605" w14:textId="13503FD9" w:rsidR="00E42E13" w:rsidRDefault="00E42E13">
      <w:pPr>
        <w:pStyle w:val="FootnoteText"/>
      </w:pPr>
      <w:r>
        <w:rPr>
          <w:rStyle w:val="FootnoteReference"/>
        </w:rPr>
        <w:footnoteRef/>
      </w:r>
      <w:r>
        <w:t xml:space="preserve"> </w:t>
      </w:r>
      <w:r w:rsidR="005F6FF0">
        <w:t>Guidance Text</w:t>
      </w:r>
      <w:r w:rsidR="009E70DA">
        <w:t>,</w:t>
      </w:r>
      <w:r w:rsidR="005F6FF0">
        <w:t xml:space="preserve"> Sections </w:t>
      </w:r>
      <w:r>
        <w:t>5.4.4 and 5.6.1</w:t>
      </w:r>
      <w:r w:rsidR="005F6FF0">
        <w:t>.</w:t>
      </w:r>
    </w:p>
  </w:footnote>
  <w:footnote w:id="4">
    <w:p w14:paraId="4462C043" w14:textId="718879B7" w:rsidR="00A45448" w:rsidRDefault="00A45448">
      <w:pPr>
        <w:pStyle w:val="FootnoteText"/>
      </w:pPr>
      <w:r>
        <w:rPr>
          <w:rStyle w:val="FootnoteReference"/>
        </w:rPr>
        <w:footnoteRef/>
      </w:r>
      <w:r>
        <w:t xml:space="preserve"> </w:t>
      </w:r>
      <w:r w:rsidR="00223BA8">
        <w:t xml:space="preserve">Guidance Text, Section </w:t>
      </w:r>
      <w:r w:rsidRPr="005F6FF0">
        <w:t>5.4.2.2</w:t>
      </w:r>
      <w:r w:rsidR="00223BA8">
        <w:t>.</w:t>
      </w:r>
    </w:p>
  </w:footnote>
  <w:footnote w:id="5">
    <w:p w14:paraId="429953EB" w14:textId="0B1CBC0B" w:rsidR="00A45448" w:rsidRDefault="00A45448">
      <w:pPr>
        <w:pStyle w:val="FootnoteText"/>
      </w:pPr>
      <w:r>
        <w:rPr>
          <w:rStyle w:val="FootnoteReference"/>
        </w:rPr>
        <w:footnoteRef/>
      </w:r>
      <w:r>
        <w:t xml:space="preserve"> </w:t>
      </w:r>
      <w:r w:rsidRPr="00223BA8">
        <w:rPr>
          <w:i/>
          <w:iCs/>
        </w:rPr>
        <w:t>City of Chicago v Fulton</w:t>
      </w:r>
      <w:r w:rsidRPr="00A45448">
        <w:t>, 529 US 140 (2021)</w:t>
      </w:r>
      <w:r>
        <w:t>.</w:t>
      </w:r>
    </w:p>
  </w:footnote>
  <w:footnote w:id="6">
    <w:p w14:paraId="5CC5C26F" w14:textId="6720F12C" w:rsidR="00943FFA" w:rsidRDefault="00943FFA">
      <w:pPr>
        <w:pStyle w:val="FootnoteText"/>
      </w:pPr>
      <w:r>
        <w:rPr>
          <w:rStyle w:val="FootnoteReference"/>
        </w:rPr>
        <w:footnoteRef/>
      </w:r>
      <w:r>
        <w:t xml:space="preserve"> </w:t>
      </w:r>
      <w:r w:rsidR="00223BA8">
        <w:t xml:space="preserve">Guidance Text, Section </w:t>
      </w:r>
      <w:r w:rsidRPr="00223BA8">
        <w:t>5.5.4.1</w:t>
      </w:r>
      <w:r w:rsidR="00223BA8">
        <w:t>.</w:t>
      </w:r>
    </w:p>
  </w:footnote>
  <w:footnote w:id="7">
    <w:p w14:paraId="7140F7F4" w14:textId="35A1074B" w:rsidR="003946A3" w:rsidRDefault="003946A3">
      <w:pPr>
        <w:pStyle w:val="FootnoteText"/>
      </w:pPr>
      <w:r>
        <w:rPr>
          <w:rStyle w:val="FootnoteReference"/>
        </w:rPr>
        <w:footnoteRef/>
      </w:r>
      <w:r>
        <w:t xml:space="preserve"> </w:t>
      </w:r>
      <w:r w:rsidR="00223BA8">
        <w:t xml:space="preserve">Guidance Text, Section </w:t>
      </w:r>
      <w:r>
        <w:t>5.5.3.1</w:t>
      </w:r>
      <w:r w:rsidR="00223BA8">
        <w:t>.</w:t>
      </w:r>
    </w:p>
  </w:footnote>
  <w:footnote w:id="8">
    <w:p w14:paraId="0593891B" w14:textId="7FB9C2B8" w:rsidR="003946A3" w:rsidRDefault="003946A3">
      <w:pPr>
        <w:pStyle w:val="FootnoteText"/>
      </w:pPr>
      <w:r>
        <w:rPr>
          <w:rStyle w:val="FootnoteReference"/>
        </w:rPr>
        <w:footnoteRef/>
      </w:r>
      <w:r>
        <w:t xml:space="preserve"> Ibid and </w:t>
      </w:r>
      <w:r w:rsidR="00223BA8">
        <w:t>the United States Code (</w:t>
      </w:r>
      <w:r w:rsidR="00223BA8" w:rsidRPr="00223BA8">
        <w:rPr>
          <w:b/>
          <w:bCs/>
        </w:rPr>
        <w:t>USC</w:t>
      </w:r>
      <w:r w:rsidR="00223BA8">
        <w:t xml:space="preserve">) </w:t>
      </w:r>
      <w:r w:rsidR="00223BA8" w:rsidRPr="00223BA8">
        <w:t>§ 1124</w:t>
      </w:r>
      <w:r w:rsidR="00223BA8">
        <w:t>.</w:t>
      </w:r>
    </w:p>
  </w:footnote>
  <w:footnote w:id="9">
    <w:p w14:paraId="7B322342" w14:textId="006B762B" w:rsidR="00943FFA" w:rsidRDefault="00943FFA">
      <w:pPr>
        <w:pStyle w:val="FootnoteText"/>
      </w:pPr>
      <w:r>
        <w:rPr>
          <w:rStyle w:val="FootnoteReference"/>
        </w:rPr>
        <w:footnoteRef/>
      </w:r>
      <w:r>
        <w:t xml:space="preserve"> </w:t>
      </w:r>
      <w:r w:rsidR="00223BA8">
        <w:t xml:space="preserve">Guidance Text, Section </w:t>
      </w:r>
      <w:r w:rsidRPr="00223BA8">
        <w:t xml:space="preserve">5.5.4.1 </w:t>
      </w:r>
      <w:r w:rsidR="00223BA8">
        <w:t xml:space="preserve">USC </w:t>
      </w:r>
      <w:r w:rsidR="00223BA8" w:rsidRPr="00223BA8">
        <w:t>§§ 1126(f) and (g)</w:t>
      </w:r>
      <w:r w:rsidR="00223BA8">
        <w:t>.</w:t>
      </w:r>
    </w:p>
  </w:footnote>
  <w:footnote w:id="10">
    <w:p w14:paraId="0F1EEAE1" w14:textId="24490A8F" w:rsidR="000B7D6F" w:rsidRDefault="000B7D6F">
      <w:pPr>
        <w:pStyle w:val="FootnoteText"/>
      </w:pPr>
      <w:r>
        <w:rPr>
          <w:rStyle w:val="FootnoteReference"/>
        </w:rPr>
        <w:footnoteRef/>
      </w:r>
      <w:r>
        <w:t xml:space="preserve"> </w:t>
      </w:r>
      <w:r w:rsidR="00223BA8">
        <w:t xml:space="preserve">Guidance Text, Section </w:t>
      </w:r>
      <w:r>
        <w:t>5.5.4.1</w:t>
      </w:r>
      <w:r w:rsidR="008245E3">
        <w:t xml:space="preserve"> and </w:t>
      </w:r>
      <w:r w:rsidR="00223BA8" w:rsidRPr="00223BA8">
        <w:t>11 USC, §§ 1126(c) and (d).</w:t>
      </w:r>
    </w:p>
  </w:footnote>
  <w:footnote w:id="11">
    <w:p w14:paraId="0FE45DE6" w14:textId="26C20A23" w:rsidR="00FB2CC9" w:rsidRDefault="00FB2CC9">
      <w:pPr>
        <w:pStyle w:val="FootnoteText"/>
      </w:pPr>
      <w:r>
        <w:rPr>
          <w:rStyle w:val="FootnoteReference"/>
        </w:rPr>
        <w:footnoteRef/>
      </w:r>
      <w:r>
        <w:t xml:space="preserve"> </w:t>
      </w:r>
      <w:r w:rsidR="00223BA8">
        <w:t xml:space="preserve">Guidance Text, Section </w:t>
      </w:r>
      <w:r w:rsidR="00223BA8" w:rsidRPr="00223BA8">
        <w:t xml:space="preserve">5.7.2.1 </w:t>
      </w:r>
      <w:r w:rsidR="00223BA8">
        <w:t xml:space="preserve">and </w:t>
      </w:r>
      <w:r w:rsidR="00223BA8" w:rsidRPr="00223BA8">
        <w:t>11 USC, § 547.</w:t>
      </w:r>
    </w:p>
  </w:footnote>
  <w:footnote w:id="12">
    <w:p w14:paraId="6383FA98" w14:textId="2D39ED91" w:rsidR="007C6722" w:rsidRDefault="007C6722">
      <w:pPr>
        <w:pStyle w:val="FootnoteText"/>
      </w:pPr>
      <w:r>
        <w:rPr>
          <w:rStyle w:val="FootnoteReference"/>
        </w:rPr>
        <w:footnoteRef/>
      </w:r>
      <w:r>
        <w:t xml:space="preserve"> </w:t>
      </w:r>
      <w:r w:rsidR="003E1BAC">
        <w:t xml:space="preserve">Guidance Text, </w:t>
      </w:r>
      <w:r>
        <w:t>5.7.2.1, page 52</w:t>
      </w:r>
      <w:r w:rsidR="003E1BAC">
        <w:t>.</w:t>
      </w:r>
    </w:p>
  </w:footnote>
  <w:footnote w:id="13">
    <w:p w14:paraId="3ECF8F11" w14:textId="125937E9" w:rsidR="000D54B7" w:rsidRDefault="000D54B7">
      <w:pPr>
        <w:pStyle w:val="FootnoteText"/>
      </w:pPr>
      <w:r>
        <w:rPr>
          <w:rStyle w:val="FootnoteReference"/>
        </w:rPr>
        <w:footnoteRef/>
      </w:r>
      <w:r>
        <w:t xml:space="preserve"> </w:t>
      </w:r>
      <w:r w:rsidR="003E1BAC">
        <w:t xml:space="preserve">USC </w:t>
      </w:r>
      <w:r w:rsidRPr="000D54B7">
        <w:t>§ 101(32)</w:t>
      </w:r>
      <w:r w:rsidR="003E1BAC">
        <w:t>.</w:t>
      </w:r>
    </w:p>
  </w:footnote>
  <w:footnote w:id="14">
    <w:p w14:paraId="219535E7" w14:textId="7B96EE2D" w:rsidR="00B37E82" w:rsidRDefault="00B37E82">
      <w:pPr>
        <w:pStyle w:val="FootnoteText"/>
      </w:pPr>
      <w:r>
        <w:rPr>
          <w:rStyle w:val="FootnoteReference"/>
        </w:rPr>
        <w:footnoteRef/>
      </w:r>
      <w:r>
        <w:t xml:space="preserve"> </w:t>
      </w:r>
      <w:r w:rsidR="00E45FC3" w:rsidRPr="00E45FC3">
        <w:rPr>
          <w:i/>
          <w:iCs/>
        </w:rPr>
        <w:t xml:space="preserve">Ritchie Capital </w:t>
      </w:r>
      <w:proofErr w:type="spellStart"/>
      <w:r w:rsidR="00E45FC3" w:rsidRPr="00E45FC3">
        <w:rPr>
          <w:i/>
          <w:iCs/>
        </w:rPr>
        <w:t>Mgmt</w:t>
      </w:r>
      <w:proofErr w:type="spellEnd"/>
      <w:r w:rsidR="00E45FC3" w:rsidRPr="00E45FC3">
        <w:rPr>
          <w:i/>
          <w:iCs/>
        </w:rPr>
        <w:t>, LLC v Stoebner,</w:t>
      </w:r>
      <w:r w:rsidR="00E45FC3" w:rsidRPr="00E45FC3">
        <w:t xml:space="preserve"> 779 F.3d 857 (8th Cir 2015)</w:t>
      </w:r>
      <w:r w:rsidR="00E45FC3">
        <w:t xml:space="preserve"> and </w:t>
      </w:r>
      <w:r w:rsidR="00E45FC3">
        <w:t>USC</w:t>
      </w:r>
      <w:r w:rsidRPr="00B37E82">
        <w:t xml:space="preserve"> § 548(a).</w:t>
      </w:r>
    </w:p>
  </w:footnote>
  <w:footnote w:id="15">
    <w:p w14:paraId="24471461" w14:textId="77F674F5" w:rsidR="00B37E82" w:rsidRDefault="00B37E82">
      <w:pPr>
        <w:pStyle w:val="FootnoteText"/>
      </w:pPr>
      <w:r>
        <w:rPr>
          <w:rStyle w:val="FootnoteReference"/>
        </w:rPr>
        <w:footnoteRef/>
      </w:r>
      <w:r>
        <w:t xml:space="preserve"> Guidance Text, page 58. </w:t>
      </w:r>
    </w:p>
  </w:footnote>
  <w:footnote w:id="16">
    <w:p w14:paraId="3FD5BB2A" w14:textId="1BF4D00B" w:rsidR="00CC407F" w:rsidRDefault="00CC407F">
      <w:pPr>
        <w:pStyle w:val="FootnoteText"/>
      </w:pPr>
      <w:r>
        <w:rPr>
          <w:rStyle w:val="FootnoteReference"/>
        </w:rPr>
        <w:footnoteRef/>
      </w:r>
      <w:r>
        <w:t xml:space="preserve"> </w:t>
      </w:r>
      <w:r w:rsidR="00E45FC3">
        <w:t xml:space="preserve">Guidance Text, </w:t>
      </w:r>
      <w:r>
        <w:t>5.3.4.4</w:t>
      </w:r>
      <w:r w:rsidR="00E45FC3">
        <w:t>.</w:t>
      </w:r>
    </w:p>
  </w:footnote>
  <w:footnote w:id="17">
    <w:p w14:paraId="67929B75" w14:textId="33404E3F" w:rsidR="00A17C3C" w:rsidRDefault="00A17C3C">
      <w:pPr>
        <w:pStyle w:val="FootnoteText"/>
      </w:pPr>
      <w:r>
        <w:rPr>
          <w:rStyle w:val="FootnoteReference"/>
        </w:rPr>
        <w:footnoteRef/>
      </w:r>
      <w:r>
        <w:t xml:space="preserve"> </w:t>
      </w:r>
      <w:r w:rsidR="003E1BAC">
        <w:t xml:space="preserve">Guidance Text, Section </w:t>
      </w:r>
      <w:r>
        <w:t>5.1</w:t>
      </w:r>
      <w:r w:rsidR="003E1BAC">
        <w:t>.</w:t>
      </w:r>
    </w:p>
  </w:footnote>
  <w:footnote w:id="18">
    <w:p w14:paraId="4F1F9264" w14:textId="0E2840EA" w:rsidR="00EF2E22" w:rsidRDefault="00EF2E22">
      <w:pPr>
        <w:pStyle w:val="FootnoteText"/>
      </w:pPr>
      <w:r>
        <w:rPr>
          <w:rStyle w:val="FootnoteReference"/>
        </w:rPr>
        <w:footnoteRef/>
      </w:r>
      <w:r>
        <w:t xml:space="preserve"> Bankruptcy Code, </w:t>
      </w:r>
      <w:r w:rsidR="00E45FC3">
        <w:t>s</w:t>
      </w:r>
      <w:r>
        <w:t>ection 157.</w:t>
      </w:r>
    </w:p>
  </w:footnote>
  <w:footnote w:id="19">
    <w:p w14:paraId="6F37540E" w14:textId="11304878" w:rsidR="00CA673D" w:rsidRDefault="00CA673D">
      <w:pPr>
        <w:pStyle w:val="FootnoteText"/>
      </w:pPr>
      <w:r>
        <w:rPr>
          <w:rStyle w:val="FootnoteReference"/>
        </w:rPr>
        <w:footnoteRef/>
      </w:r>
      <w:r>
        <w:t xml:space="preserve"> </w:t>
      </w:r>
      <w:r w:rsidRPr="004F45BA">
        <w:rPr>
          <w:i/>
          <w:iCs/>
        </w:rPr>
        <w:t>Executive Benefits Ins Agency v Arkinson</w:t>
      </w:r>
      <w:r w:rsidRPr="00CA673D">
        <w:t>, 134 S. Ct. 2165 (2014)</w:t>
      </w:r>
    </w:p>
  </w:footnote>
  <w:footnote w:id="20">
    <w:p w14:paraId="1BD024B8" w14:textId="7715EF8D" w:rsidR="00CA673D" w:rsidRDefault="00CA673D">
      <w:pPr>
        <w:pStyle w:val="FootnoteText"/>
      </w:pPr>
      <w:r>
        <w:rPr>
          <w:rStyle w:val="FootnoteReference"/>
        </w:rPr>
        <w:footnoteRef/>
      </w:r>
      <w:r>
        <w:t xml:space="preserve"> </w:t>
      </w:r>
      <w:r w:rsidRPr="00CA673D">
        <w:t xml:space="preserve">Fed R </w:t>
      </w:r>
      <w:proofErr w:type="spellStart"/>
      <w:r w:rsidRPr="00CA673D">
        <w:t>Bankr</w:t>
      </w:r>
      <w:proofErr w:type="spellEnd"/>
      <w:r w:rsidRPr="00CA673D">
        <w:t xml:space="preserve"> P 8018.1</w:t>
      </w:r>
    </w:p>
  </w:footnote>
  <w:footnote w:id="21">
    <w:p w14:paraId="1B19FED4" w14:textId="24DECA31" w:rsidR="00336B68" w:rsidRDefault="00336B68">
      <w:pPr>
        <w:pStyle w:val="FootnoteText"/>
      </w:pPr>
      <w:r>
        <w:rPr>
          <w:rStyle w:val="FootnoteReference"/>
        </w:rPr>
        <w:footnoteRef/>
      </w:r>
      <w:r>
        <w:t xml:space="preserve"> </w:t>
      </w:r>
      <w:r w:rsidR="004F45BA">
        <w:t xml:space="preserve">Guidance Text, Section </w:t>
      </w:r>
      <w:r w:rsidRPr="00336B68">
        <w:t>5.3.5.3</w:t>
      </w:r>
      <w:r w:rsidR="004F45BA">
        <w:t>.</w:t>
      </w:r>
    </w:p>
  </w:footnote>
  <w:footnote w:id="22">
    <w:p w14:paraId="15A95F3D" w14:textId="3951F8C7" w:rsidR="00336B68" w:rsidRDefault="00336B68">
      <w:pPr>
        <w:pStyle w:val="FootnoteText"/>
      </w:pPr>
      <w:r>
        <w:rPr>
          <w:rStyle w:val="FootnoteReference"/>
        </w:rPr>
        <w:footnoteRef/>
      </w:r>
      <w:r>
        <w:t xml:space="preserve"> Ibid.</w:t>
      </w:r>
    </w:p>
  </w:footnote>
  <w:footnote w:id="23">
    <w:p w14:paraId="3171E3A9" w14:textId="7EE33D3C" w:rsidR="00336B68" w:rsidRDefault="00336B68">
      <w:pPr>
        <w:pStyle w:val="FootnoteText"/>
      </w:pPr>
      <w:r>
        <w:rPr>
          <w:rStyle w:val="FootnoteReference"/>
        </w:rPr>
        <w:footnoteRef/>
      </w:r>
      <w:r>
        <w:t xml:space="preserve"> Ibid and </w:t>
      </w:r>
      <w:r w:rsidRPr="00336B68">
        <w:t>28 USC, § 158(d)</w:t>
      </w:r>
      <w:r>
        <w:t>.</w:t>
      </w:r>
    </w:p>
  </w:footnote>
  <w:footnote w:id="24">
    <w:p w14:paraId="7C3966BE" w14:textId="4541C2E0" w:rsidR="002B58CF" w:rsidRDefault="002B58CF">
      <w:pPr>
        <w:pStyle w:val="FootnoteText"/>
      </w:pPr>
      <w:r>
        <w:rPr>
          <w:rStyle w:val="FootnoteReference"/>
        </w:rPr>
        <w:footnoteRef/>
      </w:r>
      <w:r>
        <w:t xml:space="preserve"> </w:t>
      </w:r>
      <w:r w:rsidRPr="002B58CF">
        <w:t>§ 1521(a)(7)</w:t>
      </w:r>
    </w:p>
  </w:footnote>
  <w:footnote w:id="25">
    <w:p w14:paraId="03051E64" w14:textId="35230DA7" w:rsidR="002B58CF" w:rsidRPr="004F45BA" w:rsidRDefault="002B58CF">
      <w:pPr>
        <w:pStyle w:val="FootnoteText"/>
      </w:pPr>
      <w:r>
        <w:rPr>
          <w:rStyle w:val="FootnoteReference"/>
        </w:rPr>
        <w:footnoteRef/>
      </w:r>
      <w:r>
        <w:t xml:space="preserve"> </w:t>
      </w:r>
      <w:r w:rsidRPr="002B58CF">
        <w:rPr>
          <w:i/>
          <w:iCs/>
        </w:rPr>
        <w:t>I</w:t>
      </w:r>
      <w:r w:rsidRPr="004F45BA">
        <w:rPr>
          <w:i/>
          <w:iCs/>
        </w:rPr>
        <w:t xml:space="preserve">n re Condor </w:t>
      </w:r>
      <w:proofErr w:type="gramStart"/>
      <w:r w:rsidRPr="004F45BA">
        <w:rPr>
          <w:i/>
          <w:iCs/>
        </w:rPr>
        <w:t>Ins</w:t>
      </w:r>
      <w:proofErr w:type="gramEnd"/>
      <w:r w:rsidRPr="004F45BA">
        <w:rPr>
          <w:i/>
          <w:iCs/>
        </w:rPr>
        <w:t xml:space="preserve"> Ltd, </w:t>
      </w:r>
      <w:r w:rsidRPr="004F45BA">
        <w:t>601 F.3d 319, 329 (5th Cir 2010)</w:t>
      </w:r>
      <w:r w:rsidR="004F45BA">
        <w:t>.</w:t>
      </w:r>
    </w:p>
  </w:footnote>
  <w:footnote w:id="26">
    <w:p w14:paraId="0948968F" w14:textId="31958068" w:rsidR="00727705" w:rsidRDefault="00727705">
      <w:pPr>
        <w:pStyle w:val="FootnoteText"/>
      </w:pPr>
      <w:r>
        <w:rPr>
          <w:rStyle w:val="FootnoteReference"/>
        </w:rPr>
        <w:footnoteRef/>
      </w:r>
      <w:r>
        <w:t xml:space="preserve"> </w:t>
      </w:r>
      <w:r w:rsidR="004F45BA">
        <w:t>Guidance Text, Section</w:t>
      </w:r>
      <w:r w:rsidR="004F45BA">
        <w:t xml:space="preserve">s </w:t>
      </w:r>
      <w:r>
        <w:t>6.2.4 and 6.1</w:t>
      </w:r>
      <w:r w:rsidR="004F45BA">
        <w:t>.</w:t>
      </w:r>
    </w:p>
  </w:footnote>
  <w:footnote w:id="27">
    <w:p w14:paraId="145B1A4E" w14:textId="79173817" w:rsidR="00727705" w:rsidRDefault="00727705">
      <w:pPr>
        <w:pStyle w:val="FootnoteText"/>
      </w:pPr>
      <w:r>
        <w:rPr>
          <w:rStyle w:val="FootnoteReference"/>
        </w:rPr>
        <w:footnoteRef/>
      </w:r>
      <w:r>
        <w:t xml:space="preserve"> </w:t>
      </w:r>
      <w:r w:rsidRPr="00727705">
        <w:t>11 USC, § 1523(a)</w:t>
      </w:r>
      <w:r>
        <w:t>.</w:t>
      </w:r>
    </w:p>
  </w:footnote>
  <w:footnote w:id="28">
    <w:p w14:paraId="2CD41AF3" w14:textId="3E9C432A" w:rsidR="00727705" w:rsidRDefault="00727705">
      <w:pPr>
        <w:pStyle w:val="FootnoteText"/>
      </w:pPr>
      <w:r>
        <w:rPr>
          <w:rStyle w:val="FootnoteReference"/>
        </w:rPr>
        <w:footnoteRef/>
      </w:r>
      <w:r>
        <w:t xml:space="preserve"> </w:t>
      </w:r>
      <w:r w:rsidRPr="00727705">
        <w:t>§ 1511</w:t>
      </w:r>
    </w:p>
  </w:footnote>
  <w:footnote w:id="29">
    <w:p w14:paraId="3D828A44" w14:textId="52F837BE" w:rsidR="00727705" w:rsidRDefault="00727705">
      <w:pPr>
        <w:pStyle w:val="FootnoteText"/>
      </w:pPr>
      <w:r>
        <w:rPr>
          <w:rStyle w:val="FootnoteReference"/>
        </w:rPr>
        <w:footnoteRef/>
      </w:r>
      <w:r>
        <w:t xml:space="preserve"> 5.2</w:t>
      </w:r>
    </w:p>
  </w:footnote>
  <w:footnote w:id="30">
    <w:p w14:paraId="15E25ED6" w14:textId="5A80DF57" w:rsidR="00347DD2" w:rsidRDefault="00347DD2">
      <w:pPr>
        <w:pStyle w:val="FootnoteText"/>
      </w:pPr>
      <w:r>
        <w:rPr>
          <w:rStyle w:val="FootnoteReference"/>
        </w:rPr>
        <w:footnoteRef/>
      </w:r>
      <w:r>
        <w:t xml:space="preserve"> </w:t>
      </w:r>
      <w:r w:rsidRPr="00347DD2">
        <w:t xml:space="preserve"> § 1528</w:t>
      </w:r>
    </w:p>
  </w:footnote>
  <w:footnote w:id="31">
    <w:p w14:paraId="4D869533" w14:textId="163226F9" w:rsidR="00347DD2" w:rsidRDefault="00347DD2">
      <w:pPr>
        <w:pStyle w:val="FootnoteText"/>
      </w:pPr>
      <w:r>
        <w:rPr>
          <w:rStyle w:val="FootnoteReference"/>
        </w:rPr>
        <w:footnoteRef/>
      </w:r>
      <w:r>
        <w:t xml:space="preserve"> 6.2.4</w:t>
      </w:r>
    </w:p>
  </w:footnote>
  <w:footnote w:id="32">
    <w:p w14:paraId="4508086D" w14:textId="2AD44B98" w:rsidR="00250430" w:rsidRDefault="00250430">
      <w:pPr>
        <w:pStyle w:val="FootnoteText"/>
      </w:pPr>
      <w:r>
        <w:rPr>
          <w:rStyle w:val="FootnoteReference"/>
        </w:rPr>
        <w:footnoteRef/>
      </w:r>
      <w:r>
        <w:t xml:space="preserve"> 4.1, page 5.</w:t>
      </w:r>
    </w:p>
  </w:footnote>
  <w:footnote w:id="33">
    <w:p w14:paraId="504E946C" w14:textId="7FF2AD89" w:rsidR="00250430" w:rsidRDefault="00250430">
      <w:pPr>
        <w:pStyle w:val="FootnoteText"/>
      </w:pPr>
      <w:r>
        <w:rPr>
          <w:rStyle w:val="FootnoteReference"/>
        </w:rPr>
        <w:footnoteRef/>
      </w:r>
      <w:r>
        <w:t xml:space="preserve"> </w:t>
      </w:r>
      <w:r w:rsidR="00CB4B53">
        <w:t>Ibid.</w:t>
      </w:r>
      <w:r>
        <w:t xml:space="preserve"> </w:t>
      </w:r>
    </w:p>
  </w:footnote>
  <w:footnote w:id="34">
    <w:p w14:paraId="2422B165" w14:textId="665CE697" w:rsidR="00CB4B53" w:rsidRDefault="00CB4B53">
      <w:pPr>
        <w:pStyle w:val="FootnoteText"/>
      </w:pPr>
      <w:r>
        <w:rPr>
          <w:rStyle w:val="FootnoteReference"/>
        </w:rPr>
        <w:footnoteRef/>
      </w:r>
      <w:r>
        <w:t xml:space="preserve"> Ibid. </w:t>
      </w:r>
    </w:p>
  </w:footnote>
  <w:footnote w:id="35">
    <w:p w14:paraId="645EFE80" w14:textId="0A1E871C" w:rsidR="008141E2" w:rsidRDefault="008141E2">
      <w:pPr>
        <w:pStyle w:val="FootnoteText"/>
      </w:pPr>
      <w:r>
        <w:rPr>
          <w:rStyle w:val="FootnoteReference"/>
        </w:rPr>
        <w:footnoteRef/>
      </w:r>
      <w:r>
        <w:t xml:space="preserve"> </w:t>
      </w:r>
      <w:r w:rsidR="00E02559">
        <w:t>Guidance Text, footnote 182.</w:t>
      </w:r>
    </w:p>
  </w:footnote>
  <w:footnote w:id="36">
    <w:p w14:paraId="25EEFA59" w14:textId="74A3D7C7" w:rsidR="009D1D5B" w:rsidRDefault="009D1D5B">
      <w:pPr>
        <w:pStyle w:val="FootnoteText"/>
      </w:pPr>
      <w:r>
        <w:rPr>
          <w:rStyle w:val="FootnoteReference"/>
        </w:rPr>
        <w:footnoteRef/>
      </w:r>
      <w:r>
        <w:t xml:space="preserve"> Guidance Text, Section 5.7.5. </w:t>
      </w:r>
    </w:p>
  </w:footnote>
  <w:footnote w:id="37">
    <w:p w14:paraId="3BF7C8CC" w14:textId="01EE12D5" w:rsidR="005E7F7E" w:rsidRDefault="005E7F7E">
      <w:pPr>
        <w:pStyle w:val="FootnoteText"/>
      </w:pPr>
      <w:r>
        <w:rPr>
          <w:rStyle w:val="FootnoteReference"/>
        </w:rPr>
        <w:footnoteRef/>
      </w:r>
      <w:r>
        <w:t xml:space="preserve"> Ibid. </w:t>
      </w:r>
    </w:p>
  </w:footnote>
  <w:footnote w:id="38">
    <w:p w14:paraId="6875DA9B" w14:textId="2E237317" w:rsidR="005E7F7E" w:rsidRDefault="005E7F7E">
      <w:pPr>
        <w:pStyle w:val="FootnoteText"/>
      </w:pPr>
      <w:r>
        <w:rPr>
          <w:rStyle w:val="FootnoteReference"/>
        </w:rPr>
        <w:footnoteRef/>
      </w:r>
      <w:r>
        <w:t xml:space="preserve"> Ibid. </w:t>
      </w:r>
    </w:p>
  </w:footnote>
  <w:footnote w:id="39">
    <w:p w14:paraId="2FB75709" w14:textId="4DAA964E" w:rsidR="004F45BA" w:rsidRDefault="004F45BA">
      <w:pPr>
        <w:pStyle w:val="FootnoteText"/>
      </w:pPr>
      <w:r>
        <w:rPr>
          <w:rStyle w:val="FootnoteReference"/>
        </w:rPr>
        <w:footnoteRef/>
      </w:r>
      <w:r>
        <w:t xml:space="preserve"> </w:t>
      </w:r>
      <w:r w:rsidRPr="004F45BA">
        <w:t xml:space="preserve">North Am Catholic Educational Programming Foundation, Inc v </w:t>
      </w:r>
      <w:proofErr w:type="spellStart"/>
      <w:r w:rsidRPr="004F45BA">
        <w:t>Gheewalla</w:t>
      </w:r>
      <w:proofErr w:type="spellEnd"/>
      <w:r w:rsidRPr="004F45BA">
        <w:t>, 930 A.2d 92, 103 (Del 2007)</w:t>
      </w:r>
      <w:r>
        <w:t>.</w:t>
      </w:r>
    </w:p>
  </w:footnote>
  <w:footnote w:id="40">
    <w:p w14:paraId="62117610" w14:textId="03D1F129" w:rsidR="006A2CA8" w:rsidRDefault="006A2CA8">
      <w:pPr>
        <w:pStyle w:val="FootnoteText"/>
      </w:pPr>
      <w:r>
        <w:rPr>
          <w:rStyle w:val="FootnoteReference"/>
        </w:rPr>
        <w:footnoteRef/>
      </w:r>
      <w:r>
        <w:t xml:space="preserve"> Guidance Text, 5.4.5.</w:t>
      </w:r>
    </w:p>
  </w:footnote>
  <w:footnote w:id="41">
    <w:p w14:paraId="11AC3F34" w14:textId="56ECD9DD" w:rsidR="00B9132B" w:rsidRDefault="00B9132B">
      <w:pPr>
        <w:pStyle w:val="FootnoteText"/>
      </w:pPr>
      <w:r>
        <w:rPr>
          <w:rStyle w:val="FootnoteReference"/>
        </w:rPr>
        <w:footnoteRef/>
      </w:r>
      <w:r>
        <w:t xml:space="preserve"> Guidance Text, 6.2.2. </w:t>
      </w:r>
    </w:p>
  </w:footnote>
  <w:footnote w:id="42">
    <w:p w14:paraId="5327826C" w14:textId="47147AA0" w:rsidR="00B9132B" w:rsidRDefault="00B9132B">
      <w:pPr>
        <w:pStyle w:val="FootnoteText"/>
      </w:pPr>
      <w:r>
        <w:rPr>
          <w:rStyle w:val="FootnoteReference"/>
        </w:rPr>
        <w:footnoteRef/>
      </w:r>
      <w:r>
        <w:t xml:space="preserve"> USC </w:t>
      </w:r>
      <w:r w:rsidRPr="00B9132B">
        <w:t>§ 101(23)</w:t>
      </w:r>
      <w:r>
        <w:t xml:space="preserve">. </w:t>
      </w:r>
    </w:p>
  </w:footnote>
  <w:footnote w:id="43">
    <w:p w14:paraId="1692E9FF" w14:textId="77777777" w:rsidR="005A4E40" w:rsidRDefault="005A4E40" w:rsidP="005A4E40">
      <w:pPr>
        <w:pStyle w:val="FootnoteText"/>
      </w:pPr>
      <w:r>
        <w:rPr>
          <w:rStyle w:val="FootnoteReference"/>
        </w:rPr>
        <w:footnoteRef/>
      </w:r>
      <w:r>
        <w:t xml:space="preserve"> </w:t>
      </w:r>
      <w:r w:rsidRPr="005A4E40">
        <w:rPr>
          <w:i/>
          <w:iCs/>
        </w:rPr>
        <w:t>Morning Mist Holdings Ltd v Krys (In re Fairfield Sentry Ltd),</w:t>
      </w:r>
      <w:r>
        <w:t xml:space="preserve"> 714 F.3d 127, 133-34 (2d Cir 2013) (determining</w:t>
      </w:r>
    </w:p>
    <w:p w14:paraId="5EE2B3C6" w14:textId="10C4278E" w:rsidR="005A4E40" w:rsidRDefault="005A4E40" w:rsidP="005A4E40">
      <w:pPr>
        <w:pStyle w:val="FootnoteText"/>
      </w:pPr>
      <w:r>
        <w:t xml:space="preserve">COMI as of filing of </w:t>
      </w:r>
      <w:proofErr w:type="spellStart"/>
      <w:r>
        <w:t>ch</w:t>
      </w:r>
      <w:proofErr w:type="spellEnd"/>
      <w:r>
        <w:t xml:space="preserve"> 15)).</w:t>
      </w:r>
    </w:p>
  </w:footnote>
  <w:footnote w:id="44">
    <w:p w14:paraId="1D42A8DC" w14:textId="4039988A" w:rsidR="005A4E40" w:rsidRDefault="005A4E40">
      <w:pPr>
        <w:pStyle w:val="FootnoteText"/>
      </w:pPr>
      <w:r>
        <w:rPr>
          <w:rStyle w:val="FootnoteReference"/>
        </w:rPr>
        <w:footnoteRef/>
      </w:r>
      <w:r>
        <w:t xml:space="preserve"> </w:t>
      </w:r>
      <w:r w:rsidRPr="005A4E40">
        <w:rPr>
          <w:i/>
          <w:iCs/>
        </w:rPr>
        <w:t xml:space="preserve">In re </w:t>
      </w:r>
      <w:proofErr w:type="spellStart"/>
      <w:r w:rsidRPr="005A4E40">
        <w:rPr>
          <w:i/>
          <w:iCs/>
        </w:rPr>
        <w:t>SPhinX</w:t>
      </w:r>
      <w:proofErr w:type="spellEnd"/>
      <w:r w:rsidRPr="005A4E40">
        <w:rPr>
          <w:i/>
          <w:iCs/>
        </w:rPr>
        <w:t>, Ltd</w:t>
      </w:r>
      <w:r w:rsidRPr="005A4E40">
        <w:t>, 351 BR 103, 117 (</w:t>
      </w:r>
      <w:proofErr w:type="spellStart"/>
      <w:r w:rsidRPr="005A4E40">
        <w:t>Bankr</w:t>
      </w:r>
      <w:proofErr w:type="spellEnd"/>
      <w:r w:rsidRPr="005A4E40">
        <w:t xml:space="preserve"> SDNY 2006)</w:t>
      </w:r>
      <w:r>
        <w:t>.</w:t>
      </w:r>
    </w:p>
  </w:footnote>
  <w:footnote w:id="45">
    <w:p w14:paraId="5B5CD9DF" w14:textId="3FF2CD2B" w:rsidR="005C2171" w:rsidRDefault="005C2171">
      <w:pPr>
        <w:pStyle w:val="FootnoteText"/>
      </w:pPr>
      <w:r>
        <w:rPr>
          <w:rStyle w:val="FootnoteReference"/>
        </w:rPr>
        <w:footnoteRef/>
      </w:r>
      <w:r>
        <w:t xml:space="preserve"> </w:t>
      </w:r>
      <w:r w:rsidRPr="005C2171">
        <w:t>11 USC, § 1502(2)</w:t>
      </w:r>
      <w:r>
        <w:t xml:space="preserve">. </w:t>
      </w:r>
    </w:p>
  </w:footnote>
  <w:footnote w:id="46">
    <w:p w14:paraId="6F6DBC6C" w14:textId="39B7ABA9" w:rsidR="00565FD5" w:rsidRDefault="00565FD5">
      <w:pPr>
        <w:pStyle w:val="FootnoteText"/>
      </w:pPr>
      <w:r>
        <w:rPr>
          <w:rStyle w:val="FootnoteReference"/>
        </w:rPr>
        <w:footnoteRef/>
      </w:r>
      <w:r>
        <w:t xml:space="preserve"> </w:t>
      </w:r>
      <w:r w:rsidRPr="00565FD5">
        <w:rPr>
          <w:i/>
          <w:iCs/>
        </w:rPr>
        <w:t>I</w:t>
      </w:r>
      <w:r w:rsidRPr="00565FD5">
        <w:rPr>
          <w:i/>
          <w:iCs/>
        </w:rPr>
        <w:t>n re Village Green I, GP,</w:t>
      </w:r>
      <w:r w:rsidRPr="00565FD5">
        <w:t xml:space="preserve"> 811 F.3d 816, 819 (6th Cir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AB61" w14:textId="77777777" w:rsidR="00685660" w:rsidRDefault="00685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776" w14:textId="77777777" w:rsidR="00685660" w:rsidRDefault="00685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72C" w14:textId="77777777" w:rsidR="00685660" w:rsidRDefault="0068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E637E"/>
    <w:multiLevelType w:val="hybridMultilevel"/>
    <w:tmpl w:val="53402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BB0F5C"/>
    <w:multiLevelType w:val="hybridMultilevel"/>
    <w:tmpl w:val="851AD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B1C25"/>
    <w:multiLevelType w:val="hybridMultilevel"/>
    <w:tmpl w:val="D486CF5E"/>
    <w:lvl w:ilvl="0" w:tplc="6B228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373869"/>
    <w:multiLevelType w:val="hybridMultilevel"/>
    <w:tmpl w:val="9C9A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7"/>
  </w:num>
  <w:num w:numId="2" w16cid:durableId="1783306908">
    <w:abstractNumId w:val="30"/>
  </w:num>
  <w:num w:numId="3" w16cid:durableId="1942764495">
    <w:abstractNumId w:val="5"/>
  </w:num>
  <w:num w:numId="4" w16cid:durableId="298269076">
    <w:abstractNumId w:val="10"/>
  </w:num>
  <w:num w:numId="5" w16cid:durableId="730929724">
    <w:abstractNumId w:val="14"/>
  </w:num>
  <w:num w:numId="6" w16cid:durableId="1594360553">
    <w:abstractNumId w:val="33"/>
  </w:num>
  <w:num w:numId="7" w16cid:durableId="1661152946">
    <w:abstractNumId w:val="6"/>
  </w:num>
  <w:num w:numId="8" w16cid:durableId="45877589">
    <w:abstractNumId w:val="36"/>
  </w:num>
  <w:num w:numId="9" w16cid:durableId="876742117">
    <w:abstractNumId w:val="15"/>
  </w:num>
  <w:num w:numId="10" w16cid:durableId="1035689165">
    <w:abstractNumId w:val="29"/>
  </w:num>
  <w:num w:numId="11" w16cid:durableId="926307185">
    <w:abstractNumId w:val="17"/>
  </w:num>
  <w:num w:numId="12" w16cid:durableId="621232781">
    <w:abstractNumId w:val="25"/>
  </w:num>
  <w:num w:numId="13" w16cid:durableId="1204442417">
    <w:abstractNumId w:val="0"/>
  </w:num>
  <w:num w:numId="14" w16cid:durableId="1001467812">
    <w:abstractNumId w:val="13"/>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1"/>
  </w:num>
  <w:num w:numId="20" w16cid:durableId="1471096614">
    <w:abstractNumId w:val="8"/>
  </w:num>
  <w:num w:numId="21" w16cid:durableId="398864111">
    <w:abstractNumId w:val="28"/>
  </w:num>
  <w:num w:numId="22" w16cid:durableId="2133940203">
    <w:abstractNumId w:val="39"/>
  </w:num>
  <w:num w:numId="23" w16cid:durableId="950893894">
    <w:abstractNumId w:val="16"/>
  </w:num>
  <w:num w:numId="24" w16cid:durableId="1962497721">
    <w:abstractNumId w:val="32"/>
  </w:num>
  <w:num w:numId="25" w16cid:durableId="869756453">
    <w:abstractNumId w:val="22"/>
  </w:num>
  <w:num w:numId="26" w16cid:durableId="1092049203">
    <w:abstractNumId w:val="23"/>
  </w:num>
  <w:num w:numId="27" w16cid:durableId="1146704350">
    <w:abstractNumId w:val="19"/>
  </w:num>
  <w:num w:numId="28" w16cid:durableId="937979478">
    <w:abstractNumId w:val="34"/>
  </w:num>
  <w:num w:numId="29" w16cid:durableId="1970553734">
    <w:abstractNumId w:val="1"/>
  </w:num>
  <w:num w:numId="30" w16cid:durableId="293563849">
    <w:abstractNumId w:val="20"/>
  </w:num>
  <w:num w:numId="31" w16cid:durableId="2126381093">
    <w:abstractNumId w:val="24"/>
  </w:num>
  <w:num w:numId="32" w16cid:durableId="1605572703">
    <w:abstractNumId w:val="40"/>
  </w:num>
  <w:num w:numId="33" w16cid:durableId="1203253494">
    <w:abstractNumId w:val="18"/>
  </w:num>
  <w:num w:numId="34" w16cid:durableId="1104031608">
    <w:abstractNumId w:val="2"/>
  </w:num>
  <w:num w:numId="35" w16cid:durableId="2144806674">
    <w:abstractNumId w:val="35"/>
  </w:num>
  <w:num w:numId="36" w16cid:durableId="1673992024">
    <w:abstractNumId w:val="37"/>
  </w:num>
  <w:num w:numId="37" w16cid:durableId="2022775299">
    <w:abstractNumId w:val="11"/>
  </w:num>
  <w:num w:numId="38" w16cid:durableId="51274239">
    <w:abstractNumId w:val="12"/>
  </w:num>
  <w:num w:numId="39" w16cid:durableId="1120803574">
    <w:abstractNumId w:val="38"/>
  </w:num>
  <w:num w:numId="40" w16cid:durableId="1399865722">
    <w:abstractNumId w:val="7"/>
  </w:num>
  <w:num w:numId="41" w16cid:durableId="145097695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B5E"/>
    <w:rsid w:val="000106A0"/>
    <w:rsid w:val="00010BA0"/>
    <w:rsid w:val="00020557"/>
    <w:rsid w:val="00021FC2"/>
    <w:rsid w:val="00022E00"/>
    <w:rsid w:val="000250C7"/>
    <w:rsid w:val="00026F16"/>
    <w:rsid w:val="00031D71"/>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3540"/>
    <w:rsid w:val="000A407B"/>
    <w:rsid w:val="000A636A"/>
    <w:rsid w:val="000A68ED"/>
    <w:rsid w:val="000A7A3D"/>
    <w:rsid w:val="000B2B06"/>
    <w:rsid w:val="000B5FF1"/>
    <w:rsid w:val="000B609F"/>
    <w:rsid w:val="000B7D6F"/>
    <w:rsid w:val="000C1A3F"/>
    <w:rsid w:val="000C4C5B"/>
    <w:rsid w:val="000D54B7"/>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3CA2"/>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013F"/>
    <w:rsid w:val="001966D9"/>
    <w:rsid w:val="00197E4B"/>
    <w:rsid w:val="001A7E9A"/>
    <w:rsid w:val="001B0F70"/>
    <w:rsid w:val="001B1763"/>
    <w:rsid w:val="001B33F5"/>
    <w:rsid w:val="001B5016"/>
    <w:rsid w:val="001C45FC"/>
    <w:rsid w:val="001D0469"/>
    <w:rsid w:val="001D3BAA"/>
    <w:rsid w:val="001D4862"/>
    <w:rsid w:val="001E21C7"/>
    <w:rsid w:val="001E25B9"/>
    <w:rsid w:val="001E49E0"/>
    <w:rsid w:val="001E7B5A"/>
    <w:rsid w:val="001F7412"/>
    <w:rsid w:val="00202DFE"/>
    <w:rsid w:val="0020725B"/>
    <w:rsid w:val="002110F1"/>
    <w:rsid w:val="002204B8"/>
    <w:rsid w:val="002208A8"/>
    <w:rsid w:val="002238E0"/>
    <w:rsid w:val="00223917"/>
    <w:rsid w:val="00223BA8"/>
    <w:rsid w:val="00224888"/>
    <w:rsid w:val="0024116D"/>
    <w:rsid w:val="00241B44"/>
    <w:rsid w:val="00241FA3"/>
    <w:rsid w:val="00245EFB"/>
    <w:rsid w:val="00247B9D"/>
    <w:rsid w:val="00250430"/>
    <w:rsid w:val="0025162B"/>
    <w:rsid w:val="0025386E"/>
    <w:rsid w:val="00256B74"/>
    <w:rsid w:val="002638B0"/>
    <w:rsid w:val="0026647A"/>
    <w:rsid w:val="002668D3"/>
    <w:rsid w:val="0027299F"/>
    <w:rsid w:val="00274119"/>
    <w:rsid w:val="00275394"/>
    <w:rsid w:val="00277B54"/>
    <w:rsid w:val="00284EBE"/>
    <w:rsid w:val="002903A7"/>
    <w:rsid w:val="00291214"/>
    <w:rsid w:val="00291367"/>
    <w:rsid w:val="0029433F"/>
    <w:rsid w:val="00294829"/>
    <w:rsid w:val="0029690F"/>
    <w:rsid w:val="00297C8A"/>
    <w:rsid w:val="002A16B3"/>
    <w:rsid w:val="002A2A60"/>
    <w:rsid w:val="002A37BB"/>
    <w:rsid w:val="002A6BA5"/>
    <w:rsid w:val="002B1C45"/>
    <w:rsid w:val="002B58CF"/>
    <w:rsid w:val="002B5D64"/>
    <w:rsid w:val="002C13C8"/>
    <w:rsid w:val="002C3547"/>
    <w:rsid w:val="002D0021"/>
    <w:rsid w:val="002D10A2"/>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6B68"/>
    <w:rsid w:val="0033768C"/>
    <w:rsid w:val="00337938"/>
    <w:rsid w:val="00340769"/>
    <w:rsid w:val="00341AA6"/>
    <w:rsid w:val="00347DD2"/>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6A3"/>
    <w:rsid w:val="003948D5"/>
    <w:rsid w:val="00396821"/>
    <w:rsid w:val="00397D3A"/>
    <w:rsid w:val="003A051E"/>
    <w:rsid w:val="003A2A0F"/>
    <w:rsid w:val="003A5537"/>
    <w:rsid w:val="003A75F4"/>
    <w:rsid w:val="003B170F"/>
    <w:rsid w:val="003B3C5F"/>
    <w:rsid w:val="003B7184"/>
    <w:rsid w:val="003C0015"/>
    <w:rsid w:val="003C0F8C"/>
    <w:rsid w:val="003C1190"/>
    <w:rsid w:val="003C3388"/>
    <w:rsid w:val="003C4471"/>
    <w:rsid w:val="003C53FE"/>
    <w:rsid w:val="003D0A6D"/>
    <w:rsid w:val="003D450D"/>
    <w:rsid w:val="003E0B16"/>
    <w:rsid w:val="003E1BAC"/>
    <w:rsid w:val="003E67D1"/>
    <w:rsid w:val="00404329"/>
    <w:rsid w:val="00405DC1"/>
    <w:rsid w:val="00406E71"/>
    <w:rsid w:val="004139DA"/>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3A98"/>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5BA"/>
    <w:rsid w:val="004F49B5"/>
    <w:rsid w:val="004F5FDF"/>
    <w:rsid w:val="004F7B99"/>
    <w:rsid w:val="005125AA"/>
    <w:rsid w:val="00515810"/>
    <w:rsid w:val="005177FE"/>
    <w:rsid w:val="0052263B"/>
    <w:rsid w:val="00524728"/>
    <w:rsid w:val="00524AC2"/>
    <w:rsid w:val="005331CA"/>
    <w:rsid w:val="005344F8"/>
    <w:rsid w:val="00537970"/>
    <w:rsid w:val="00540E3A"/>
    <w:rsid w:val="00543CCE"/>
    <w:rsid w:val="00544127"/>
    <w:rsid w:val="005463A9"/>
    <w:rsid w:val="00553EB2"/>
    <w:rsid w:val="0056046B"/>
    <w:rsid w:val="00560534"/>
    <w:rsid w:val="0056272C"/>
    <w:rsid w:val="0056391B"/>
    <w:rsid w:val="005650E2"/>
    <w:rsid w:val="00565FD5"/>
    <w:rsid w:val="00567AD7"/>
    <w:rsid w:val="00575B2D"/>
    <w:rsid w:val="00580B65"/>
    <w:rsid w:val="005833D0"/>
    <w:rsid w:val="00583D8E"/>
    <w:rsid w:val="005846F3"/>
    <w:rsid w:val="0058622F"/>
    <w:rsid w:val="00587019"/>
    <w:rsid w:val="00592F82"/>
    <w:rsid w:val="005A0CCA"/>
    <w:rsid w:val="005A4E40"/>
    <w:rsid w:val="005A6FF2"/>
    <w:rsid w:val="005A726D"/>
    <w:rsid w:val="005B67AC"/>
    <w:rsid w:val="005B79F4"/>
    <w:rsid w:val="005C1C1C"/>
    <w:rsid w:val="005C2171"/>
    <w:rsid w:val="005C4FF8"/>
    <w:rsid w:val="005D1293"/>
    <w:rsid w:val="005D1C10"/>
    <w:rsid w:val="005D27A5"/>
    <w:rsid w:val="005D4357"/>
    <w:rsid w:val="005D43E0"/>
    <w:rsid w:val="005D58A3"/>
    <w:rsid w:val="005D6642"/>
    <w:rsid w:val="005E1B79"/>
    <w:rsid w:val="005E6076"/>
    <w:rsid w:val="005E7008"/>
    <w:rsid w:val="005E7F7E"/>
    <w:rsid w:val="005F026D"/>
    <w:rsid w:val="005F1B2A"/>
    <w:rsid w:val="005F2AEA"/>
    <w:rsid w:val="005F2D0B"/>
    <w:rsid w:val="005F4B31"/>
    <w:rsid w:val="005F6FF0"/>
    <w:rsid w:val="0060632B"/>
    <w:rsid w:val="00610388"/>
    <w:rsid w:val="00610AC7"/>
    <w:rsid w:val="0061213D"/>
    <w:rsid w:val="00612CA5"/>
    <w:rsid w:val="006153EC"/>
    <w:rsid w:val="00621A17"/>
    <w:rsid w:val="00622C36"/>
    <w:rsid w:val="006245E3"/>
    <w:rsid w:val="00627CC9"/>
    <w:rsid w:val="00627E7B"/>
    <w:rsid w:val="00630542"/>
    <w:rsid w:val="00631394"/>
    <w:rsid w:val="00632256"/>
    <w:rsid w:val="00632E44"/>
    <w:rsid w:val="00634622"/>
    <w:rsid w:val="00635ACC"/>
    <w:rsid w:val="00636808"/>
    <w:rsid w:val="00641515"/>
    <w:rsid w:val="00654C2F"/>
    <w:rsid w:val="00657087"/>
    <w:rsid w:val="006639DB"/>
    <w:rsid w:val="006661EF"/>
    <w:rsid w:val="00676F12"/>
    <w:rsid w:val="00677AEB"/>
    <w:rsid w:val="00680EF2"/>
    <w:rsid w:val="006844A8"/>
    <w:rsid w:val="00685660"/>
    <w:rsid w:val="00687A1D"/>
    <w:rsid w:val="0069730B"/>
    <w:rsid w:val="00697EA1"/>
    <w:rsid w:val="006A2646"/>
    <w:rsid w:val="006A2CA8"/>
    <w:rsid w:val="006A42F8"/>
    <w:rsid w:val="006A6530"/>
    <w:rsid w:val="006B3571"/>
    <w:rsid w:val="006B435A"/>
    <w:rsid w:val="006B4C64"/>
    <w:rsid w:val="006C64C3"/>
    <w:rsid w:val="006C65F4"/>
    <w:rsid w:val="006D6BD5"/>
    <w:rsid w:val="006E481A"/>
    <w:rsid w:val="006E5298"/>
    <w:rsid w:val="006F3A71"/>
    <w:rsid w:val="006F4A78"/>
    <w:rsid w:val="006F734A"/>
    <w:rsid w:val="00700D83"/>
    <w:rsid w:val="00704852"/>
    <w:rsid w:val="007074E9"/>
    <w:rsid w:val="00713DA4"/>
    <w:rsid w:val="00714BF1"/>
    <w:rsid w:val="00717C2C"/>
    <w:rsid w:val="00721383"/>
    <w:rsid w:val="0072569E"/>
    <w:rsid w:val="00727705"/>
    <w:rsid w:val="00730B0A"/>
    <w:rsid w:val="0073158B"/>
    <w:rsid w:val="007333CC"/>
    <w:rsid w:val="0073399A"/>
    <w:rsid w:val="00740655"/>
    <w:rsid w:val="00740C46"/>
    <w:rsid w:val="00741CBF"/>
    <w:rsid w:val="00744CAE"/>
    <w:rsid w:val="0074778D"/>
    <w:rsid w:val="007603F5"/>
    <w:rsid w:val="00764DB0"/>
    <w:rsid w:val="0076764D"/>
    <w:rsid w:val="00767C70"/>
    <w:rsid w:val="0077498C"/>
    <w:rsid w:val="00776E08"/>
    <w:rsid w:val="00777C53"/>
    <w:rsid w:val="007809BC"/>
    <w:rsid w:val="00784128"/>
    <w:rsid w:val="00787BCC"/>
    <w:rsid w:val="00793173"/>
    <w:rsid w:val="007936CE"/>
    <w:rsid w:val="007A2A33"/>
    <w:rsid w:val="007A3CC1"/>
    <w:rsid w:val="007B0809"/>
    <w:rsid w:val="007B1843"/>
    <w:rsid w:val="007B5C89"/>
    <w:rsid w:val="007C1FCC"/>
    <w:rsid w:val="007C6201"/>
    <w:rsid w:val="007C6722"/>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141E2"/>
    <w:rsid w:val="00821F0A"/>
    <w:rsid w:val="008245E3"/>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0412"/>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43FFA"/>
    <w:rsid w:val="0095207B"/>
    <w:rsid w:val="00962045"/>
    <w:rsid w:val="00963D77"/>
    <w:rsid w:val="00980E61"/>
    <w:rsid w:val="009876C8"/>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1D5B"/>
    <w:rsid w:val="009D5B73"/>
    <w:rsid w:val="009E2AEB"/>
    <w:rsid w:val="009E2E27"/>
    <w:rsid w:val="009E45DF"/>
    <w:rsid w:val="009E4DE3"/>
    <w:rsid w:val="009E70DA"/>
    <w:rsid w:val="009F275E"/>
    <w:rsid w:val="00A024E7"/>
    <w:rsid w:val="00A047EE"/>
    <w:rsid w:val="00A04D79"/>
    <w:rsid w:val="00A17C3C"/>
    <w:rsid w:val="00A2274A"/>
    <w:rsid w:val="00A235B7"/>
    <w:rsid w:val="00A27A7A"/>
    <w:rsid w:val="00A3165E"/>
    <w:rsid w:val="00A34ABE"/>
    <w:rsid w:val="00A407EF"/>
    <w:rsid w:val="00A45448"/>
    <w:rsid w:val="00A45AE5"/>
    <w:rsid w:val="00A46B4C"/>
    <w:rsid w:val="00A5117B"/>
    <w:rsid w:val="00A56D34"/>
    <w:rsid w:val="00A60074"/>
    <w:rsid w:val="00A6313C"/>
    <w:rsid w:val="00A6627C"/>
    <w:rsid w:val="00A67795"/>
    <w:rsid w:val="00A70510"/>
    <w:rsid w:val="00A71019"/>
    <w:rsid w:val="00A75D43"/>
    <w:rsid w:val="00A77C98"/>
    <w:rsid w:val="00A81029"/>
    <w:rsid w:val="00A816D1"/>
    <w:rsid w:val="00A81F08"/>
    <w:rsid w:val="00A82B32"/>
    <w:rsid w:val="00A861AD"/>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7E82"/>
    <w:rsid w:val="00B44713"/>
    <w:rsid w:val="00B55391"/>
    <w:rsid w:val="00B56103"/>
    <w:rsid w:val="00B63E83"/>
    <w:rsid w:val="00B64929"/>
    <w:rsid w:val="00B736DF"/>
    <w:rsid w:val="00B73E0A"/>
    <w:rsid w:val="00B743D6"/>
    <w:rsid w:val="00B74FBD"/>
    <w:rsid w:val="00B77B19"/>
    <w:rsid w:val="00B77F46"/>
    <w:rsid w:val="00B82586"/>
    <w:rsid w:val="00B829A3"/>
    <w:rsid w:val="00B849C5"/>
    <w:rsid w:val="00B86DB1"/>
    <w:rsid w:val="00B87869"/>
    <w:rsid w:val="00B9132B"/>
    <w:rsid w:val="00B9639B"/>
    <w:rsid w:val="00BA74EF"/>
    <w:rsid w:val="00BB0F2B"/>
    <w:rsid w:val="00BD2CE0"/>
    <w:rsid w:val="00BD4A58"/>
    <w:rsid w:val="00BD7337"/>
    <w:rsid w:val="00BE4FF3"/>
    <w:rsid w:val="00BE7C62"/>
    <w:rsid w:val="00BF0003"/>
    <w:rsid w:val="00BF1B3E"/>
    <w:rsid w:val="00BF50F7"/>
    <w:rsid w:val="00BF6B84"/>
    <w:rsid w:val="00C02F29"/>
    <w:rsid w:val="00C05402"/>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673D"/>
    <w:rsid w:val="00CB1983"/>
    <w:rsid w:val="00CB2CBB"/>
    <w:rsid w:val="00CB4B53"/>
    <w:rsid w:val="00CB6578"/>
    <w:rsid w:val="00CB7CAC"/>
    <w:rsid w:val="00CC407F"/>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0998"/>
    <w:rsid w:val="00D21021"/>
    <w:rsid w:val="00D21D8C"/>
    <w:rsid w:val="00D221F8"/>
    <w:rsid w:val="00D2621C"/>
    <w:rsid w:val="00D316F2"/>
    <w:rsid w:val="00D34584"/>
    <w:rsid w:val="00D429D0"/>
    <w:rsid w:val="00D53719"/>
    <w:rsid w:val="00D53B7D"/>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2559"/>
    <w:rsid w:val="00E061D7"/>
    <w:rsid w:val="00E07C5A"/>
    <w:rsid w:val="00E15ACE"/>
    <w:rsid w:val="00E15BA9"/>
    <w:rsid w:val="00E239B8"/>
    <w:rsid w:val="00E26E10"/>
    <w:rsid w:val="00E26E19"/>
    <w:rsid w:val="00E30E60"/>
    <w:rsid w:val="00E31DF3"/>
    <w:rsid w:val="00E421C6"/>
    <w:rsid w:val="00E42E13"/>
    <w:rsid w:val="00E450A4"/>
    <w:rsid w:val="00E45FC3"/>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B6311"/>
    <w:rsid w:val="00EC441F"/>
    <w:rsid w:val="00EC4755"/>
    <w:rsid w:val="00EC48D0"/>
    <w:rsid w:val="00EC6918"/>
    <w:rsid w:val="00EC7CAC"/>
    <w:rsid w:val="00ED0181"/>
    <w:rsid w:val="00ED0BC4"/>
    <w:rsid w:val="00ED447D"/>
    <w:rsid w:val="00ED700C"/>
    <w:rsid w:val="00ED738F"/>
    <w:rsid w:val="00ED74BC"/>
    <w:rsid w:val="00ED7BF3"/>
    <w:rsid w:val="00EE4971"/>
    <w:rsid w:val="00EF090E"/>
    <w:rsid w:val="00EF2E22"/>
    <w:rsid w:val="00EF37CB"/>
    <w:rsid w:val="00EF5572"/>
    <w:rsid w:val="00F033DA"/>
    <w:rsid w:val="00F07D93"/>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2CC9"/>
    <w:rsid w:val="00FB7FBD"/>
    <w:rsid w:val="00FC374A"/>
    <w:rsid w:val="00FC43EC"/>
    <w:rsid w:val="00FC7AC7"/>
    <w:rsid w:val="00FC7B47"/>
    <w:rsid w:val="00FD035C"/>
    <w:rsid w:val="00FD1A35"/>
    <w:rsid w:val="00FD2EA4"/>
    <w:rsid w:val="00FD36C5"/>
    <w:rsid w:val="00FD6310"/>
    <w:rsid w:val="00FD7C7B"/>
    <w:rsid w:val="00FE07B1"/>
    <w:rsid w:val="00FE1D12"/>
    <w:rsid w:val="00FE2122"/>
    <w:rsid w:val="00FE225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F6ADD011-4F81-4164-8623-3C925748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fontstyle01">
    <w:name w:val="fontstyle01"/>
    <w:basedOn w:val="DefaultParagraphFont"/>
    <w:rsid w:val="00A45448"/>
    <w:rPr>
      <w:rFonts w:ascii="FEFBBF69CC8-Roman" w:hAnsi="FEFBBF69CC8-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F07D93"/>
    <w:rPr>
      <w:color w:val="605E5C"/>
      <w:shd w:val="clear" w:color="auto" w:fill="E1DFDD"/>
    </w:rPr>
  </w:style>
  <w:style w:type="character" w:customStyle="1" w:styleId="fontstyle21">
    <w:name w:val="fontstyle21"/>
    <w:basedOn w:val="DefaultParagraphFont"/>
    <w:rsid w:val="002B58CF"/>
    <w:rPr>
      <w:rFonts w:ascii="FEF96538272-Roman" w:hAnsi="FEF96538272-Roman" w:hint="default"/>
      <w:b w:val="0"/>
      <w:bCs w:val="0"/>
      <w:i w:val="0"/>
      <w:iCs w:val="0"/>
      <w:color w:val="000000"/>
      <w:sz w:val="18"/>
      <w:szCs w:val="18"/>
    </w:rPr>
  </w:style>
  <w:style w:type="paragraph" w:styleId="Revision">
    <w:name w:val="Revision"/>
    <w:hidden/>
    <w:uiPriority w:val="99"/>
    <w:semiHidden/>
    <w:rsid w:val="009876C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137">
      <w:bodyDiv w:val="1"/>
      <w:marLeft w:val="0"/>
      <w:marRight w:val="0"/>
      <w:marTop w:val="0"/>
      <w:marBottom w:val="0"/>
      <w:divBdr>
        <w:top w:val="none" w:sz="0" w:space="0" w:color="auto"/>
        <w:left w:val="none" w:sz="0" w:space="0" w:color="auto"/>
        <w:bottom w:val="none" w:sz="0" w:space="0" w:color="auto"/>
        <w:right w:val="none" w:sz="0" w:space="0" w:color="auto"/>
      </w:divBdr>
    </w:div>
    <w:div w:id="224142057">
      <w:bodyDiv w:val="1"/>
      <w:marLeft w:val="0"/>
      <w:marRight w:val="0"/>
      <w:marTop w:val="0"/>
      <w:marBottom w:val="0"/>
      <w:divBdr>
        <w:top w:val="none" w:sz="0" w:space="0" w:color="auto"/>
        <w:left w:val="none" w:sz="0" w:space="0" w:color="auto"/>
        <w:bottom w:val="none" w:sz="0" w:space="0" w:color="auto"/>
        <w:right w:val="none" w:sz="0" w:space="0" w:color="auto"/>
      </w:divBdr>
    </w:div>
    <w:div w:id="434792004">
      <w:bodyDiv w:val="1"/>
      <w:marLeft w:val="0"/>
      <w:marRight w:val="0"/>
      <w:marTop w:val="0"/>
      <w:marBottom w:val="0"/>
      <w:divBdr>
        <w:top w:val="none" w:sz="0" w:space="0" w:color="auto"/>
        <w:left w:val="none" w:sz="0" w:space="0" w:color="auto"/>
        <w:bottom w:val="none" w:sz="0" w:space="0" w:color="auto"/>
        <w:right w:val="none" w:sz="0" w:space="0" w:color="auto"/>
      </w:divBdr>
    </w:div>
    <w:div w:id="48053642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9286757">
      <w:bodyDiv w:val="1"/>
      <w:marLeft w:val="0"/>
      <w:marRight w:val="0"/>
      <w:marTop w:val="0"/>
      <w:marBottom w:val="0"/>
      <w:divBdr>
        <w:top w:val="none" w:sz="0" w:space="0" w:color="auto"/>
        <w:left w:val="none" w:sz="0" w:space="0" w:color="auto"/>
        <w:bottom w:val="none" w:sz="0" w:space="0" w:color="auto"/>
        <w:right w:val="none" w:sz="0" w:space="0" w:color="auto"/>
      </w:divBdr>
    </w:div>
    <w:div w:id="60164518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8760185">
      <w:bodyDiv w:val="1"/>
      <w:marLeft w:val="0"/>
      <w:marRight w:val="0"/>
      <w:marTop w:val="0"/>
      <w:marBottom w:val="0"/>
      <w:divBdr>
        <w:top w:val="none" w:sz="0" w:space="0" w:color="auto"/>
        <w:left w:val="none" w:sz="0" w:space="0" w:color="auto"/>
        <w:bottom w:val="none" w:sz="0" w:space="0" w:color="auto"/>
        <w:right w:val="none" w:sz="0" w:space="0" w:color="auto"/>
      </w:divBdr>
    </w:div>
    <w:div w:id="1292710019">
      <w:bodyDiv w:val="1"/>
      <w:marLeft w:val="0"/>
      <w:marRight w:val="0"/>
      <w:marTop w:val="0"/>
      <w:marBottom w:val="0"/>
      <w:divBdr>
        <w:top w:val="none" w:sz="0" w:space="0" w:color="auto"/>
        <w:left w:val="none" w:sz="0" w:space="0" w:color="auto"/>
        <w:bottom w:val="none" w:sz="0" w:space="0" w:color="auto"/>
        <w:right w:val="none" w:sz="0" w:space="0" w:color="auto"/>
      </w:divBdr>
    </w:div>
    <w:div w:id="138510456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104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b.uscourts.gov/local-rules-and-ord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van der Schans</cp:lastModifiedBy>
  <cp:revision>2</cp:revision>
  <cp:lastPrinted>2019-08-27T05:42:00Z</cp:lastPrinted>
  <dcterms:created xsi:type="dcterms:W3CDTF">2024-03-01T20:26:00Z</dcterms:created>
  <dcterms:modified xsi:type="dcterms:W3CDTF">2024-03-01T20:26:00Z</dcterms:modified>
</cp:coreProperties>
</file>