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E3432E" w:rsidRDefault="00AE5B6F" w:rsidP="00B04033">
      <w:pPr>
        <w:pStyle w:val="ListParagraph"/>
        <w:numPr>
          <w:ilvl w:val="0"/>
          <w:numId w:val="1"/>
        </w:numPr>
        <w:ind w:left="426"/>
        <w:jc w:val="both"/>
        <w:rPr>
          <w:rFonts w:ascii="Avenir Next" w:hAnsi="Avenir Next" w:cs="Arial"/>
          <w:sz w:val="22"/>
          <w:szCs w:val="22"/>
          <w:highlight w:val="yellow"/>
          <w:lang w:val="en-GB"/>
        </w:rPr>
      </w:pPr>
      <w:r w:rsidRPr="00E3432E">
        <w:rPr>
          <w:rFonts w:ascii="Avenir Next" w:hAnsi="Avenir Next" w:cs="Arial"/>
          <w:sz w:val="22"/>
          <w:szCs w:val="22"/>
          <w:highlight w:val="yellow"/>
          <w:lang w:val="en-GB"/>
        </w:rPr>
        <w:t>w</w:t>
      </w:r>
      <w:r w:rsidR="00C91062" w:rsidRPr="00E3432E">
        <w:rPr>
          <w:rFonts w:ascii="Avenir Next" w:hAnsi="Avenir Next" w:cs="Arial"/>
          <w:sz w:val="22"/>
          <w:szCs w:val="22"/>
          <w:highlight w:val="yellow"/>
          <w:lang w:val="en-GB"/>
        </w:rPr>
        <w:t xml:space="preserve">ithin </w:t>
      </w:r>
      <w:r w:rsidR="00733A34" w:rsidRPr="00E3432E">
        <w:rPr>
          <w:rFonts w:ascii="Avenir Next" w:hAnsi="Avenir Next" w:cs="Arial"/>
          <w:sz w:val="22"/>
          <w:szCs w:val="22"/>
          <w:highlight w:val="yellow"/>
          <w:lang w:val="en-GB"/>
        </w:rPr>
        <w:t>eight</w:t>
      </w:r>
      <w:r w:rsidR="00C91062" w:rsidRPr="00E3432E">
        <w:rPr>
          <w:rFonts w:ascii="Avenir Next" w:hAnsi="Avenir Next" w:cs="Arial"/>
          <w:sz w:val="22"/>
          <w:szCs w:val="22"/>
          <w:highlight w:val="yellow"/>
          <w:lang w:val="en-GB"/>
        </w:rPr>
        <w:t xml:space="preserve"> weeks of the commencement of the administration</w:t>
      </w:r>
      <w:r w:rsidR="00763348" w:rsidRPr="00E3432E">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E3432E" w:rsidRDefault="00E443D7" w:rsidP="00B04033">
      <w:pPr>
        <w:pStyle w:val="ListParagraph"/>
        <w:numPr>
          <w:ilvl w:val="0"/>
          <w:numId w:val="2"/>
        </w:numPr>
        <w:ind w:left="426"/>
        <w:jc w:val="both"/>
        <w:rPr>
          <w:rFonts w:ascii="Avenir Next" w:hAnsi="Avenir Next" w:cs="Arial"/>
          <w:sz w:val="22"/>
          <w:szCs w:val="22"/>
          <w:highlight w:val="yellow"/>
          <w:lang w:val="en-GB"/>
        </w:rPr>
      </w:pPr>
      <w:r w:rsidRPr="00E3432E">
        <w:rPr>
          <w:rFonts w:ascii="Avenir Next" w:hAnsi="Avenir Next" w:cs="Arial"/>
          <w:sz w:val="22"/>
          <w:szCs w:val="22"/>
          <w:highlight w:val="yellow"/>
          <w:lang w:val="en-GB"/>
        </w:rPr>
        <w:t>One year and 40 business days</w:t>
      </w:r>
      <w:r w:rsidR="00763348" w:rsidRPr="00E3432E">
        <w:rPr>
          <w:rFonts w:ascii="Avenir Next" w:hAnsi="Avenir Next" w:cs="Arial"/>
          <w:sz w:val="22"/>
          <w:szCs w:val="22"/>
          <w:highlight w:val="yellow"/>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197F24" w:rsidRDefault="00E443D7" w:rsidP="00C55824">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w:t>
      </w:r>
      <w:r w:rsidR="00763348" w:rsidRPr="00197F24">
        <w:rPr>
          <w:rFonts w:ascii="Avenir Next" w:hAnsi="Avenir Next" w:cs="Arial"/>
          <w:sz w:val="22"/>
          <w:szCs w:val="22"/>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E3432E" w:rsidRDefault="00AE5B6F" w:rsidP="00B04033">
      <w:pPr>
        <w:pStyle w:val="ListParagraph"/>
        <w:numPr>
          <w:ilvl w:val="0"/>
          <w:numId w:val="3"/>
        </w:numPr>
        <w:ind w:left="426"/>
        <w:jc w:val="both"/>
        <w:rPr>
          <w:rFonts w:ascii="Avenir Next" w:hAnsi="Avenir Next" w:cs="Arial"/>
          <w:sz w:val="22"/>
          <w:szCs w:val="22"/>
          <w:highlight w:val="yellow"/>
          <w:lang w:val="en-GB"/>
        </w:rPr>
      </w:pPr>
      <w:r w:rsidRPr="00E3432E">
        <w:rPr>
          <w:rFonts w:ascii="Avenir Next" w:hAnsi="Avenir Next" w:cs="Arial"/>
          <w:sz w:val="22"/>
          <w:szCs w:val="22"/>
          <w:highlight w:val="yellow"/>
          <w:lang w:val="en-GB"/>
        </w:rPr>
        <w:t>T</w:t>
      </w:r>
      <w:r w:rsidR="008D1616" w:rsidRPr="00E3432E">
        <w:rPr>
          <w:rFonts w:ascii="Avenir Next" w:hAnsi="Avenir Next" w:cs="Arial"/>
          <w:sz w:val="22"/>
          <w:szCs w:val="22"/>
          <w:highlight w:val="yellow"/>
          <w:lang w:val="en-GB"/>
        </w:rPr>
        <w:t>he company is, or is likely to become, unable to pay their debts, as defined under s</w:t>
      </w:r>
      <w:r w:rsidR="00E833F4" w:rsidRPr="00E3432E">
        <w:rPr>
          <w:rFonts w:ascii="Avenir Next" w:hAnsi="Avenir Next" w:cs="Arial"/>
          <w:sz w:val="22"/>
          <w:szCs w:val="22"/>
          <w:highlight w:val="yellow"/>
          <w:lang w:val="en-GB"/>
        </w:rPr>
        <w:t>ection</w:t>
      </w:r>
      <w:r w:rsidR="008D1616" w:rsidRPr="00E3432E">
        <w:rPr>
          <w:rFonts w:ascii="Avenir Next" w:hAnsi="Avenir Next" w:cs="Arial"/>
          <w:sz w:val="22"/>
          <w:szCs w:val="22"/>
          <w:highlight w:val="yellow"/>
          <w:lang w:val="en-GB"/>
        </w:rPr>
        <w:t xml:space="preserve"> 123 of the Insolvency Act 1986</w:t>
      </w:r>
      <w:r w:rsidR="00763348" w:rsidRPr="00E3432E">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E3432E" w:rsidRDefault="00C91062" w:rsidP="00B04033">
      <w:pPr>
        <w:pStyle w:val="ListParagraph"/>
        <w:numPr>
          <w:ilvl w:val="0"/>
          <w:numId w:val="4"/>
        </w:numPr>
        <w:ind w:left="426"/>
        <w:jc w:val="both"/>
        <w:rPr>
          <w:rFonts w:ascii="Avenir Next" w:hAnsi="Avenir Next" w:cs="Arial"/>
          <w:sz w:val="22"/>
          <w:szCs w:val="22"/>
          <w:highlight w:val="yellow"/>
          <w:lang w:val="en-GB"/>
        </w:rPr>
      </w:pPr>
      <w:r w:rsidRPr="00E3432E">
        <w:rPr>
          <w:rFonts w:ascii="Avenir Next" w:hAnsi="Avenir Next" w:cs="Arial"/>
          <w:sz w:val="22"/>
          <w:szCs w:val="22"/>
          <w:highlight w:val="yellow"/>
          <w:lang w:val="en-GB"/>
        </w:rPr>
        <w:t>The administrator</w:t>
      </w:r>
      <w:r w:rsidR="00763348" w:rsidRPr="00E3432E">
        <w:rPr>
          <w:rFonts w:ascii="Avenir Next" w:hAnsi="Avenir Next" w:cs="Arial"/>
          <w:sz w:val="22"/>
          <w:szCs w:val="22"/>
          <w:highlight w:val="yellow"/>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purchaser</w:t>
      </w:r>
      <w:r w:rsidR="00763348" w:rsidRPr="00197F24">
        <w:rPr>
          <w:rFonts w:ascii="Avenir Next" w:hAnsi="Avenir Next" w:cs="Arial"/>
          <w:sz w:val="22"/>
          <w:szCs w:val="22"/>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Administration</w:t>
      </w:r>
      <w:r w:rsidR="00763348" w:rsidRPr="00197F24">
        <w:rPr>
          <w:rFonts w:ascii="Avenir Next" w:hAnsi="Avenir Next" w:cs="Arial"/>
          <w:sz w:val="22"/>
          <w:szCs w:val="22"/>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E841BD" w:rsidRDefault="00BA1CFD" w:rsidP="00B04033">
      <w:pPr>
        <w:pStyle w:val="ListParagraph"/>
        <w:numPr>
          <w:ilvl w:val="0"/>
          <w:numId w:val="5"/>
        </w:numPr>
        <w:ind w:left="426"/>
        <w:jc w:val="both"/>
        <w:rPr>
          <w:rFonts w:ascii="Avenir Next" w:hAnsi="Avenir Next" w:cs="Arial"/>
          <w:sz w:val="22"/>
          <w:szCs w:val="22"/>
          <w:highlight w:val="yellow"/>
          <w:lang w:val="en-GB"/>
        </w:rPr>
      </w:pPr>
      <w:r w:rsidRPr="00E841BD">
        <w:rPr>
          <w:rFonts w:ascii="Avenir Next" w:hAnsi="Avenir Next" w:cs="Arial"/>
          <w:sz w:val="22"/>
          <w:szCs w:val="22"/>
          <w:highlight w:val="yellow"/>
          <w:lang w:val="en-GB"/>
        </w:rPr>
        <w:t>Company Voluntary Arrangement</w:t>
      </w:r>
      <w:r w:rsidR="00763348" w:rsidRPr="00E841BD">
        <w:rPr>
          <w:rFonts w:ascii="Avenir Next" w:hAnsi="Avenir Next" w:cs="Arial"/>
          <w:sz w:val="22"/>
          <w:szCs w:val="22"/>
          <w:highlight w:val="yellow"/>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E841BD" w:rsidRDefault="00221444" w:rsidP="00221444">
      <w:pPr>
        <w:pStyle w:val="ListParagraph"/>
        <w:numPr>
          <w:ilvl w:val="0"/>
          <w:numId w:val="6"/>
        </w:numPr>
        <w:ind w:left="426"/>
        <w:jc w:val="both"/>
        <w:rPr>
          <w:rFonts w:ascii="Avenir Next" w:hAnsi="Avenir Next" w:cs="Arial"/>
          <w:sz w:val="22"/>
          <w:szCs w:val="22"/>
          <w:highlight w:val="yellow"/>
          <w:lang w:val="en-GB"/>
        </w:rPr>
      </w:pPr>
      <w:r w:rsidRPr="00E841BD">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Breach of fiduciary duty</w:t>
      </w:r>
      <w:r w:rsidR="00763348" w:rsidRPr="00197F24">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E841BD" w:rsidRDefault="00BA1CFD" w:rsidP="00B04033">
      <w:pPr>
        <w:pStyle w:val="ListParagraph"/>
        <w:numPr>
          <w:ilvl w:val="0"/>
          <w:numId w:val="7"/>
        </w:numPr>
        <w:ind w:left="426"/>
        <w:jc w:val="both"/>
        <w:rPr>
          <w:rFonts w:ascii="Avenir Next" w:hAnsi="Avenir Next" w:cs="Arial"/>
          <w:sz w:val="22"/>
          <w:szCs w:val="22"/>
          <w:highlight w:val="yellow"/>
          <w:lang w:val="en-GB"/>
        </w:rPr>
      </w:pPr>
      <w:r w:rsidRPr="00E841BD">
        <w:rPr>
          <w:rFonts w:ascii="Avenir Next" w:hAnsi="Avenir Next" w:cs="Arial"/>
          <w:sz w:val="22"/>
          <w:szCs w:val="22"/>
          <w:highlight w:val="yellow"/>
          <w:lang w:val="en-GB"/>
        </w:rPr>
        <w:t>Being found guilty of an indictable offence overseas</w:t>
      </w:r>
      <w:r w:rsidR="00763348" w:rsidRPr="00E841BD">
        <w:rPr>
          <w:rFonts w:ascii="Avenir Next" w:hAnsi="Avenir Next" w:cs="Arial"/>
          <w:sz w:val="22"/>
          <w:szCs w:val="22"/>
          <w:highlight w:val="yellow"/>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FF74D4" w:rsidRDefault="00450393" w:rsidP="00450393">
      <w:pPr>
        <w:pStyle w:val="ListParagraph"/>
        <w:numPr>
          <w:ilvl w:val="0"/>
          <w:numId w:val="8"/>
        </w:numPr>
        <w:ind w:left="426"/>
        <w:jc w:val="both"/>
        <w:rPr>
          <w:rFonts w:ascii="Avenir Next" w:hAnsi="Avenir Next" w:cs="Arial"/>
          <w:sz w:val="22"/>
          <w:szCs w:val="22"/>
          <w:highlight w:val="yellow"/>
          <w:lang w:val="en-GB"/>
        </w:rPr>
      </w:pPr>
      <w:r w:rsidRPr="00FF74D4">
        <w:rPr>
          <w:rFonts w:ascii="Avenir Next" w:hAnsi="Avenir Next" w:cs="Arial"/>
          <w:sz w:val="22"/>
          <w:szCs w:val="22"/>
          <w:highlight w:val="yellow"/>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197F24" w:rsidRDefault="00E833F4" w:rsidP="00B04033">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0D10C6" w:rsidRPr="00197F24">
        <w:rPr>
          <w:rFonts w:ascii="Avenir Next" w:hAnsi="Avenir Next" w:cs="Arial"/>
          <w:sz w:val="22"/>
          <w:szCs w:val="22"/>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FF74D4" w:rsidRDefault="00AC317D" w:rsidP="00AE5B6F">
      <w:pPr>
        <w:pStyle w:val="ListParagraph"/>
        <w:numPr>
          <w:ilvl w:val="0"/>
          <w:numId w:val="9"/>
        </w:numPr>
        <w:ind w:left="426"/>
        <w:jc w:val="both"/>
        <w:rPr>
          <w:rFonts w:ascii="Avenir Next" w:hAnsi="Avenir Next" w:cs="Arial"/>
          <w:sz w:val="22"/>
          <w:szCs w:val="22"/>
          <w:highlight w:val="yellow"/>
          <w:lang w:val="en-GB"/>
        </w:rPr>
      </w:pPr>
      <w:r w:rsidRPr="00FF74D4">
        <w:rPr>
          <w:rFonts w:ascii="Avenir Next" w:hAnsi="Avenir Next" w:cs="Arial"/>
          <w:sz w:val="22"/>
          <w:szCs w:val="22"/>
          <w:highlight w:val="yellow"/>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FF74D4" w:rsidRDefault="000D4CFA" w:rsidP="004C7A8F">
      <w:pPr>
        <w:pStyle w:val="ListParagraph"/>
        <w:numPr>
          <w:ilvl w:val="0"/>
          <w:numId w:val="10"/>
        </w:numPr>
        <w:ind w:left="426"/>
        <w:jc w:val="both"/>
        <w:rPr>
          <w:rFonts w:ascii="Avenir Next" w:hAnsi="Avenir Next" w:cs="Arial"/>
          <w:sz w:val="22"/>
          <w:szCs w:val="22"/>
          <w:highlight w:val="yellow"/>
          <w:lang w:val="en-GB"/>
        </w:rPr>
      </w:pPr>
      <w:r w:rsidRPr="00FF74D4">
        <w:rPr>
          <w:rFonts w:ascii="Avenir Next" w:hAnsi="Avenir Next" w:cs="Arial"/>
          <w:sz w:val="22"/>
          <w:szCs w:val="22"/>
          <w:highlight w:val="yellow"/>
          <w:lang w:val="en-GB"/>
        </w:rPr>
        <w:lastRenderedPageBreak/>
        <w:t>Two</w:t>
      </w:r>
      <w:r w:rsidR="004C7A8F" w:rsidRPr="00FF74D4">
        <w:rPr>
          <w:rFonts w:ascii="Avenir Next" w:hAnsi="Avenir Next" w:cs="Arial"/>
          <w:sz w:val="22"/>
          <w:szCs w:val="22"/>
          <w:highlight w:val="yellow"/>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Twelve</w:t>
      </w:r>
      <w:r w:rsidR="004C7A8F" w:rsidRPr="00197F24">
        <w:rPr>
          <w:rFonts w:ascii="Avenir Next" w:hAnsi="Avenir Next" w:cs="Arial"/>
          <w:sz w:val="22"/>
          <w:szCs w:val="22"/>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5667EE3C" w14:textId="77777777" w:rsidR="00305D8B" w:rsidRDefault="00D267BD" w:rsidP="00775BD2">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section 245 of the Insolvency Act 1986, </w:t>
      </w:r>
      <w:r w:rsidR="00E739CD">
        <w:rPr>
          <w:rFonts w:ascii="Avenir Next" w:hAnsi="Avenir Next" w:cs="Arial"/>
          <w:color w:val="7B7B7B" w:themeColor="accent3" w:themeShade="BF"/>
          <w:sz w:val="22"/>
          <w:szCs w:val="22"/>
          <w:lang w:val="en-GB"/>
        </w:rPr>
        <w:t>the liquidator or the official receiver can bring action against</w:t>
      </w:r>
      <w:r w:rsidR="00775BD2">
        <w:rPr>
          <w:rFonts w:ascii="Avenir Next" w:hAnsi="Avenir Next" w:cs="Arial"/>
          <w:color w:val="7B7B7B" w:themeColor="accent3" w:themeShade="BF"/>
          <w:sz w:val="22"/>
          <w:szCs w:val="22"/>
          <w:lang w:val="en-GB"/>
        </w:rPr>
        <w:t xml:space="preserve"> the directors or officers of the company. This section</w:t>
      </w:r>
      <w:r w:rsidR="00D13315">
        <w:rPr>
          <w:rFonts w:ascii="Avenir Next" w:hAnsi="Avenir Next" w:cs="Arial"/>
          <w:color w:val="7B7B7B" w:themeColor="accent3" w:themeShade="BF"/>
          <w:sz w:val="22"/>
          <w:szCs w:val="22"/>
          <w:lang w:val="en-GB"/>
        </w:rPr>
        <w:t xml:space="preserve"> is to place personal liability on the directors and officers of the company </w:t>
      </w:r>
      <w:r w:rsidR="00305D8B">
        <w:rPr>
          <w:rFonts w:ascii="Avenir Next" w:hAnsi="Avenir Next" w:cs="Arial"/>
          <w:color w:val="7B7B7B" w:themeColor="accent3" w:themeShade="BF"/>
          <w:sz w:val="22"/>
          <w:szCs w:val="22"/>
          <w:lang w:val="en-GB"/>
        </w:rPr>
        <w:t>if they committed fraud of defrauded investors in the company.</w:t>
      </w:r>
    </w:p>
    <w:p w14:paraId="53798175" w14:textId="77777777" w:rsidR="00305D8B" w:rsidRDefault="00305D8B" w:rsidP="00775BD2">
      <w:pPr>
        <w:ind w:left="720"/>
        <w:jc w:val="both"/>
        <w:rPr>
          <w:rFonts w:ascii="Avenir Next" w:hAnsi="Avenir Next" w:cs="Arial"/>
          <w:color w:val="7B7B7B" w:themeColor="accent3" w:themeShade="BF"/>
          <w:sz w:val="22"/>
          <w:szCs w:val="22"/>
          <w:lang w:val="en-GB"/>
        </w:rPr>
      </w:pPr>
    </w:p>
    <w:p w14:paraId="613DA48C" w14:textId="77777777" w:rsidR="00D11003" w:rsidRDefault="00305D8B" w:rsidP="00775BD2">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section 6 of the Company Directors Disqualification Act 1986, </w:t>
      </w:r>
      <w:r w:rsidR="005A7536">
        <w:rPr>
          <w:rFonts w:ascii="Avenir Next" w:hAnsi="Avenir Next" w:cs="Arial"/>
          <w:color w:val="7B7B7B" w:themeColor="accent3" w:themeShade="BF"/>
          <w:sz w:val="22"/>
          <w:szCs w:val="22"/>
          <w:lang w:val="en-GB"/>
        </w:rPr>
        <w:t xml:space="preserve">an official receiver of the secretary of state can bring action against the directors of the company to disqualify them. </w:t>
      </w:r>
      <w:r w:rsidR="00B67446">
        <w:rPr>
          <w:rFonts w:ascii="Avenir Next" w:hAnsi="Avenir Next" w:cs="Arial"/>
          <w:color w:val="7B7B7B" w:themeColor="accent3" w:themeShade="BF"/>
          <w:sz w:val="22"/>
          <w:szCs w:val="22"/>
          <w:lang w:val="en-GB"/>
        </w:rPr>
        <w:t>This action can be brought upon directors of a company if they are deemed to be unfit to perform their duties as director of the company.</w:t>
      </w:r>
    </w:p>
    <w:p w14:paraId="36714986" w14:textId="77777777" w:rsidR="00D11003" w:rsidRDefault="00D11003" w:rsidP="00775BD2">
      <w:pPr>
        <w:ind w:left="720"/>
        <w:jc w:val="both"/>
        <w:rPr>
          <w:rFonts w:ascii="Avenir Next" w:hAnsi="Avenir Next" w:cs="Arial"/>
          <w:color w:val="7B7B7B" w:themeColor="accent3" w:themeShade="BF"/>
          <w:sz w:val="22"/>
          <w:szCs w:val="22"/>
          <w:lang w:val="en-GB"/>
        </w:rPr>
      </w:pPr>
    </w:p>
    <w:p w14:paraId="22C610C9" w14:textId="3746FC4E" w:rsidR="00DE03AF" w:rsidRDefault="00D11003" w:rsidP="00775BD2">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section 246ZB of the Insolvency Act 1986, </w:t>
      </w:r>
      <w:r w:rsidR="00B778F2">
        <w:rPr>
          <w:rFonts w:ascii="Avenir Next" w:hAnsi="Avenir Next" w:cs="Arial"/>
          <w:color w:val="7B7B7B" w:themeColor="accent3" w:themeShade="BF"/>
          <w:sz w:val="22"/>
          <w:szCs w:val="22"/>
          <w:lang w:val="en-GB"/>
        </w:rPr>
        <w:t>action can be brought forth by the liquidator</w:t>
      </w:r>
      <w:r w:rsidR="008914A4">
        <w:rPr>
          <w:rFonts w:ascii="Avenir Next" w:hAnsi="Avenir Next" w:cs="Arial"/>
          <w:color w:val="7B7B7B" w:themeColor="accent3" w:themeShade="BF"/>
          <w:sz w:val="22"/>
          <w:szCs w:val="22"/>
          <w:lang w:val="en-GB"/>
        </w:rPr>
        <w:t xml:space="preserve"> </w:t>
      </w:r>
      <w:r w:rsidR="00B778F2">
        <w:rPr>
          <w:rFonts w:ascii="Avenir Next" w:hAnsi="Avenir Next" w:cs="Arial"/>
          <w:color w:val="7B7B7B" w:themeColor="accent3" w:themeShade="BF"/>
          <w:sz w:val="22"/>
          <w:szCs w:val="22"/>
          <w:lang w:val="en-GB"/>
        </w:rPr>
        <w:t xml:space="preserve"> </w:t>
      </w:r>
      <w:r w:rsidR="008914A4">
        <w:rPr>
          <w:rFonts w:ascii="Avenir Next" w:hAnsi="Avenir Next" w:cs="Arial"/>
          <w:color w:val="7B7B7B" w:themeColor="accent3" w:themeShade="BF"/>
          <w:sz w:val="22"/>
          <w:szCs w:val="22"/>
          <w:lang w:val="en-GB"/>
        </w:rPr>
        <w:t xml:space="preserve">or </w:t>
      </w:r>
      <w:r w:rsidR="00B778F2">
        <w:rPr>
          <w:rFonts w:ascii="Avenir Next" w:hAnsi="Avenir Next" w:cs="Arial"/>
          <w:color w:val="7B7B7B" w:themeColor="accent3" w:themeShade="BF"/>
          <w:sz w:val="22"/>
          <w:szCs w:val="22"/>
          <w:lang w:val="en-GB"/>
        </w:rPr>
        <w:t>official receiver</w:t>
      </w:r>
      <w:r w:rsidR="00E739CD">
        <w:rPr>
          <w:rFonts w:ascii="Avenir Next" w:hAnsi="Avenir Next" w:cs="Arial"/>
          <w:color w:val="7B7B7B" w:themeColor="accent3" w:themeShade="BF"/>
          <w:sz w:val="22"/>
          <w:szCs w:val="22"/>
          <w:lang w:val="en-GB"/>
        </w:rPr>
        <w:t xml:space="preserve"> </w:t>
      </w:r>
      <w:r w:rsidR="008914A4">
        <w:rPr>
          <w:rFonts w:ascii="Avenir Next" w:hAnsi="Avenir Next" w:cs="Arial"/>
          <w:color w:val="7B7B7B" w:themeColor="accent3" w:themeShade="BF"/>
          <w:sz w:val="22"/>
          <w:szCs w:val="22"/>
          <w:lang w:val="en-GB"/>
        </w:rPr>
        <w:t xml:space="preserve">if wrongful trading of a company has occurred. </w:t>
      </w:r>
      <w:r w:rsidR="0063586A">
        <w:rPr>
          <w:rFonts w:ascii="Avenir Next" w:hAnsi="Avenir Next" w:cs="Arial"/>
          <w:color w:val="7B7B7B" w:themeColor="accent3" w:themeShade="BF"/>
          <w:sz w:val="22"/>
          <w:szCs w:val="22"/>
          <w:lang w:val="en-GB"/>
        </w:rPr>
        <w:t xml:space="preserve">Under this section legal action should be brought forth if the liquidator or the official receiver believes that </w:t>
      </w:r>
      <w:r w:rsidR="00B35F34">
        <w:rPr>
          <w:rFonts w:ascii="Avenir Next" w:hAnsi="Avenir Next" w:cs="Arial"/>
          <w:color w:val="7B7B7B" w:themeColor="accent3" w:themeShade="BF"/>
          <w:sz w:val="22"/>
          <w:szCs w:val="22"/>
          <w:lang w:val="en-GB"/>
        </w:rPr>
        <w:t xml:space="preserve">the director or directors of a company continued to trade a company </w:t>
      </w:r>
      <w:r w:rsidR="001519EF">
        <w:rPr>
          <w:rFonts w:ascii="Avenir Next" w:hAnsi="Avenir Next" w:cs="Arial"/>
          <w:color w:val="7B7B7B" w:themeColor="accent3" w:themeShade="BF"/>
          <w:sz w:val="22"/>
          <w:szCs w:val="22"/>
          <w:lang w:val="en-GB"/>
        </w:rPr>
        <w:t xml:space="preserve">past the point of which they knew that the company they are currently directors on, </w:t>
      </w:r>
      <w:r w:rsidR="007D4640">
        <w:rPr>
          <w:rFonts w:ascii="Avenir Next" w:hAnsi="Avenir Next" w:cs="Arial"/>
          <w:color w:val="7B7B7B" w:themeColor="accent3" w:themeShade="BF"/>
          <w:sz w:val="22"/>
          <w:szCs w:val="22"/>
          <w:lang w:val="en-GB"/>
        </w:rPr>
        <w:t>could not avoid liquidation.</w:t>
      </w:r>
    </w:p>
    <w:p w14:paraId="6778AE17" w14:textId="77777777" w:rsidR="007D4640" w:rsidRDefault="007D4640" w:rsidP="00775BD2">
      <w:pPr>
        <w:ind w:left="720"/>
        <w:jc w:val="both"/>
        <w:rPr>
          <w:rFonts w:ascii="Avenir Next" w:hAnsi="Avenir Next" w:cs="Arial"/>
          <w:color w:val="7B7B7B" w:themeColor="accent3" w:themeShade="BF"/>
          <w:sz w:val="22"/>
          <w:szCs w:val="22"/>
          <w:lang w:val="en-GB"/>
        </w:rPr>
      </w:pPr>
    </w:p>
    <w:p w14:paraId="071C2032" w14:textId="028416CD" w:rsidR="007D4640" w:rsidRPr="00197F24" w:rsidRDefault="007D4640" w:rsidP="00775BD2">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section 127 of the Insolvency Act 1986, </w:t>
      </w:r>
      <w:r w:rsidR="00F129A5">
        <w:rPr>
          <w:rFonts w:ascii="Avenir Next" w:hAnsi="Avenir Next" w:cs="Arial"/>
          <w:color w:val="7B7B7B" w:themeColor="accent3" w:themeShade="BF"/>
          <w:sz w:val="22"/>
          <w:szCs w:val="22"/>
          <w:lang w:val="en-GB"/>
        </w:rPr>
        <w:t>actions can be brought forth if the</w:t>
      </w:r>
      <w:r w:rsidR="00BA6824">
        <w:rPr>
          <w:rFonts w:ascii="Avenir Next" w:hAnsi="Avenir Next" w:cs="Arial"/>
          <w:color w:val="7B7B7B" w:themeColor="accent3" w:themeShade="BF"/>
          <w:sz w:val="22"/>
          <w:szCs w:val="22"/>
          <w:lang w:val="en-GB"/>
        </w:rPr>
        <w:t xml:space="preserve"> company gave preferential treatment towards certain creditors prior to liquidation</w:t>
      </w:r>
      <w:r w:rsidR="00E811FD">
        <w:rPr>
          <w:rFonts w:ascii="Avenir Next" w:hAnsi="Avenir Next" w:cs="Arial"/>
          <w:color w:val="7B7B7B" w:themeColor="accent3" w:themeShade="BF"/>
          <w:sz w:val="22"/>
          <w:szCs w:val="22"/>
          <w:lang w:val="en-GB"/>
        </w:rPr>
        <w:t xml:space="preserve"> of the company. These actions can be brought forth by the liquidator or an official receiver appointed to oversee the company and its estate.</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4FF5947" w14:textId="63AD52AD" w:rsidR="00197F24" w:rsidRDefault="00B57EA3" w:rsidP="00113BD0">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Five of the debts that do not form part of the payment holiday under Part 1A of the Insolvency Act 1986 when a company is subject to a moratorium are:</w:t>
      </w:r>
    </w:p>
    <w:p w14:paraId="55B9A675" w14:textId="77777777" w:rsidR="00B57EA3" w:rsidRDefault="00B57EA3" w:rsidP="00197F24">
      <w:pPr>
        <w:jc w:val="both"/>
        <w:rPr>
          <w:rFonts w:ascii="Avenir Next" w:hAnsi="Avenir Next" w:cs="Arial"/>
          <w:color w:val="7B7B7B" w:themeColor="accent3" w:themeShade="BF"/>
          <w:sz w:val="22"/>
          <w:szCs w:val="22"/>
          <w:lang w:val="en-GB"/>
        </w:rPr>
      </w:pPr>
    </w:p>
    <w:p w14:paraId="33A73E9D" w14:textId="63DB688B" w:rsidR="00B57EA3" w:rsidRDefault="00FB0DC7" w:rsidP="00B57EA3">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Goods or services supplied during the </w:t>
      </w:r>
      <w:r w:rsidR="00786F00">
        <w:rPr>
          <w:rFonts w:ascii="Avenir Next" w:hAnsi="Avenir Next" w:cs="Arial"/>
          <w:color w:val="7B7B7B" w:themeColor="accent3" w:themeShade="BF"/>
          <w:sz w:val="22"/>
          <w:szCs w:val="22"/>
          <w:lang w:val="en-GB"/>
        </w:rPr>
        <w:t>m</w:t>
      </w:r>
      <w:r>
        <w:rPr>
          <w:rFonts w:ascii="Avenir Next" w:hAnsi="Avenir Next" w:cs="Arial"/>
          <w:color w:val="7B7B7B" w:themeColor="accent3" w:themeShade="BF"/>
          <w:sz w:val="22"/>
          <w:szCs w:val="22"/>
          <w:lang w:val="en-GB"/>
        </w:rPr>
        <w:t>oratorium</w:t>
      </w:r>
      <w:r w:rsidR="00786F00">
        <w:rPr>
          <w:rFonts w:ascii="Avenir Next" w:hAnsi="Avenir Next" w:cs="Arial"/>
          <w:color w:val="7B7B7B" w:themeColor="accent3" w:themeShade="BF"/>
          <w:sz w:val="22"/>
          <w:szCs w:val="22"/>
          <w:lang w:val="en-GB"/>
        </w:rPr>
        <w:t>;</w:t>
      </w:r>
    </w:p>
    <w:p w14:paraId="65533E4A" w14:textId="10E96AF0" w:rsidR="00A6717D" w:rsidRDefault="00A6717D" w:rsidP="00A6717D">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Wages and salaries arising under a contract of employment</w:t>
      </w:r>
      <w:r w:rsidR="00786F00">
        <w:rPr>
          <w:rFonts w:ascii="Avenir Next" w:hAnsi="Avenir Next" w:cs="Arial"/>
          <w:color w:val="7B7B7B" w:themeColor="accent3" w:themeShade="BF"/>
          <w:sz w:val="22"/>
          <w:szCs w:val="22"/>
          <w:lang w:val="en-GB"/>
        </w:rPr>
        <w:t>;</w:t>
      </w:r>
    </w:p>
    <w:p w14:paraId="5A5577C4" w14:textId="0A860E56" w:rsidR="00A6717D" w:rsidRDefault="00A6717D" w:rsidP="00A6717D">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Redundant payments</w:t>
      </w:r>
      <w:r w:rsidR="00786F00">
        <w:rPr>
          <w:rFonts w:ascii="Avenir Next" w:hAnsi="Avenir Next" w:cs="Arial"/>
          <w:color w:val="7B7B7B" w:themeColor="accent3" w:themeShade="BF"/>
          <w:sz w:val="22"/>
          <w:szCs w:val="22"/>
          <w:lang w:val="en-GB"/>
        </w:rPr>
        <w:t>;</w:t>
      </w:r>
    </w:p>
    <w:p w14:paraId="25C3BB2F" w14:textId="42AF8F75" w:rsidR="00A6717D" w:rsidRDefault="00EA36F1" w:rsidP="00A6717D">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Liabilities relating to Financial Services contracts</w:t>
      </w:r>
      <w:r w:rsidR="00786F00">
        <w:rPr>
          <w:rFonts w:ascii="Avenir Next" w:hAnsi="Avenir Next" w:cs="Arial"/>
          <w:color w:val="7B7B7B" w:themeColor="accent3" w:themeShade="BF"/>
          <w:sz w:val="22"/>
          <w:szCs w:val="22"/>
          <w:lang w:val="en-GB"/>
        </w:rPr>
        <w:t>; and</w:t>
      </w:r>
    </w:p>
    <w:p w14:paraId="233A384E" w14:textId="7E890124" w:rsidR="00EA36F1" w:rsidRPr="00A6717D" w:rsidRDefault="00786F00" w:rsidP="00A6717D">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Rent in respect of a period during the moratorium.</w:t>
      </w:r>
    </w:p>
    <w:p w14:paraId="572227E7" w14:textId="10041403" w:rsidR="0045683E" w:rsidRDefault="0045683E" w:rsidP="002A37BB">
      <w:pPr>
        <w:jc w:val="both"/>
        <w:rPr>
          <w:rFonts w:ascii="Avenir Next" w:hAnsi="Avenir Next" w:cs="Arial"/>
          <w:bCs/>
          <w:sz w:val="22"/>
          <w:szCs w:val="22"/>
          <w:lang w:val="en-GB"/>
        </w:rPr>
      </w:pPr>
    </w:p>
    <w:p w14:paraId="3A26E264" w14:textId="77777777" w:rsidR="00D62E3F" w:rsidRPr="006925C1" w:rsidRDefault="00D62E3F"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71A5B85A" w14:textId="77777777" w:rsidR="005B0FEC" w:rsidRDefault="005B0FEC" w:rsidP="00197F24">
      <w:pPr>
        <w:jc w:val="both"/>
        <w:rPr>
          <w:rFonts w:ascii="Avenir Next" w:hAnsi="Avenir Next" w:cs="Arial"/>
          <w:color w:val="7B7B7B" w:themeColor="accent3" w:themeShade="BF"/>
          <w:sz w:val="22"/>
          <w:szCs w:val="22"/>
          <w:lang w:val="en-GB"/>
        </w:rPr>
      </w:pPr>
    </w:p>
    <w:p w14:paraId="2E92BE25" w14:textId="1EAEAC36" w:rsidR="00197F24" w:rsidRPr="00197F24" w:rsidRDefault="005B705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administrator </w:t>
      </w:r>
      <w:r w:rsidR="00885ABE">
        <w:rPr>
          <w:rFonts w:ascii="Avenir Next" w:hAnsi="Avenir Next" w:cs="Arial"/>
          <w:color w:val="7B7B7B" w:themeColor="accent3" w:themeShade="BF"/>
          <w:sz w:val="22"/>
          <w:szCs w:val="22"/>
          <w:lang w:val="en-GB"/>
        </w:rPr>
        <w:t xml:space="preserve">who wishes to continue to operate the business of the company in administration </w:t>
      </w:r>
      <w:r w:rsidR="00747FE1">
        <w:rPr>
          <w:rFonts w:ascii="Avenir Next" w:hAnsi="Avenir Next" w:cs="Arial"/>
          <w:color w:val="7B7B7B" w:themeColor="accent3" w:themeShade="BF"/>
          <w:sz w:val="22"/>
          <w:szCs w:val="22"/>
          <w:lang w:val="en-GB"/>
        </w:rPr>
        <w:t xml:space="preserve">is allowed to </w:t>
      </w:r>
      <w:r w:rsidR="005C11FB">
        <w:rPr>
          <w:rFonts w:ascii="Avenir Next" w:hAnsi="Avenir Next" w:cs="Arial"/>
          <w:color w:val="7B7B7B" w:themeColor="accent3" w:themeShade="BF"/>
          <w:sz w:val="22"/>
          <w:szCs w:val="22"/>
          <w:lang w:val="en-GB"/>
        </w:rPr>
        <w:t xml:space="preserve">require suppliers to continue providing goods and services to the company during the </w:t>
      </w:r>
      <w:r w:rsidR="008376B7">
        <w:rPr>
          <w:rFonts w:ascii="Avenir Next" w:hAnsi="Avenir Next" w:cs="Arial"/>
          <w:color w:val="7B7B7B" w:themeColor="accent3" w:themeShade="BF"/>
          <w:sz w:val="22"/>
          <w:szCs w:val="22"/>
          <w:lang w:val="en-GB"/>
        </w:rPr>
        <w:t xml:space="preserve">administration process under certain conditions </w:t>
      </w:r>
      <w:r w:rsidR="00FD519C">
        <w:rPr>
          <w:rFonts w:ascii="Avenir Next" w:hAnsi="Avenir Next" w:cs="Arial"/>
          <w:color w:val="7B7B7B" w:themeColor="accent3" w:themeShade="BF"/>
          <w:sz w:val="22"/>
          <w:szCs w:val="22"/>
          <w:lang w:val="en-GB"/>
        </w:rPr>
        <w:t xml:space="preserve">and provisions in the Insolvency Act 1986. </w:t>
      </w:r>
      <w:r w:rsidR="001D05D6">
        <w:rPr>
          <w:rFonts w:ascii="Avenir Next" w:hAnsi="Avenir Next" w:cs="Arial"/>
          <w:color w:val="7B7B7B" w:themeColor="accent3" w:themeShade="BF"/>
          <w:sz w:val="22"/>
          <w:szCs w:val="22"/>
          <w:lang w:val="en-GB"/>
        </w:rPr>
        <w:t xml:space="preserve">The administrator </w:t>
      </w:r>
      <w:r w:rsidR="00277C4A">
        <w:rPr>
          <w:rFonts w:ascii="Avenir Next" w:hAnsi="Avenir Next" w:cs="Arial"/>
          <w:color w:val="7B7B7B" w:themeColor="accent3" w:themeShade="BF"/>
          <w:sz w:val="22"/>
          <w:szCs w:val="22"/>
          <w:lang w:val="en-GB"/>
        </w:rPr>
        <w:t xml:space="preserve">is allowed to enter into contracts with suppliers </w:t>
      </w:r>
      <w:r w:rsidR="000674F0">
        <w:rPr>
          <w:rFonts w:ascii="Avenir Next" w:hAnsi="Avenir Next" w:cs="Arial"/>
          <w:color w:val="7B7B7B" w:themeColor="accent3" w:themeShade="BF"/>
          <w:sz w:val="22"/>
          <w:szCs w:val="22"/>
          <w:lang w:val="en-GB"/>
        </w:rPr>
        <w:t xml:space="preserve">on behalf of the </w:t>
      </w:r>
      <w:r w:rsidR="00807C8C">
        <w:rPr>
          <w:rFonts w:ascii="Avenir Next" w:hAnsi="Avenir Next" w:cs="Arial"/>
          <w:color w:val="7B7B7B" w:themeColor="accent3" w:themeShade="BF"/>
          <w:sz w:val="22"/>
          <w:szCs w:val="22"/>
          <w:lang w:val="en-GB"/>
        </w:rPr>
        <w:t>company but</w:t>
      </w:r>
      <w:r w:rsidR="000674F0">
        <w:rPr>
          <w:rFonts w:ascii="Avenir Next" w:hAnsi="Avenir Next" w:cs="Arial"/>
          <w:color w:val="7B7B7B" w:themeColor="accent3" w:themeShade="BF"/>
          <w:sz w:val="22"/>
          <w:szCs w:val="22"/>
          <w:lang w:val="en-GB"/>
        </w:rPr>
        <w:t xml:space="preserve"> must do so in good faith and not at the detriment of the creditors of the company.</w:t>
      </w:r>
      <w:r w:rsidR="00EB15C2">
        <w:rPr>
          <w:rFonts w:ascii="Avenir Next" w:hAnsi="Avenir Next" w:cs="Arial"/>
          <w:color w:val="7B7B7B" w:themeColor="accent3" w:themeShade="BF"/>
          <w:sz w:val="22"/>
          <w:szCs w:val="22"/>
          <w:lang w:val="en-GB"/>
        </w:rPr>
        <w:t xml:space="preserve"> </w:t>
      </w:r>
      <w:r w:rsidR="003D23E9">
        <w:rPr>
          <w:rFonts w:ascii="Avenir Next" w:hAnsi="Avenir Next" w:cs="Arial"/>
          <w:color w:val="7B7B7B" w:themeColor="accent3" w:themeShade="BF"/>
          <w:sz w:val="22"/>
          <w:szCs w:val="22"/>
          <w:lang w:val="en-GB"/>
        </w:rPr>
        <w:t>Paragraph 64 of Schedule 1B of the Insolvency Act 1986 outlines that the administrator mus</w:t>
      </w:r>
      <w:r w:rsidR="00EC5008">
        <w:rPr>
          <w:rFonts w:ascii="Avenir Next" w:hAnsi="Avenir Next" w:cs="Arial"/>
          <w:color w:val="7B7B7B" w:themeColor="accent3" w:themeShade="BF"/>
          <w:sz w:val="22"/>
          <w:szCs w:val="22"/>
          <w:lang w:val="en-GB"/>
        </w:rPr>
        <w:t>t ensure</w:t>
      </w:r>
      <w:r w:rsidR="0033464F">
        <w:rPr>
          <w:rFonts w:ascii="Avenir Next" w:hAnsi="Avenir Next" w:cs="Arial"/>
          <w:color w:val="7B7B7B" w:themeColor="accent3" w:themeShade="BF"/>
          <w:sz w:val="22"/>
          <w:szCs w:val="22"/>
          <w:lang w:val="en-GB"/>
        </w:rPr>
        <w:t xml:space="preserve"> there is a</w:t>
      </w:r>
      <w:r w:rsidR="00EC5008">
        <w:rPr>
          <w:rFonts w:ascii="Avenir Next" w:hAnsi="Avenir Next" w:cs="Arial"/>
          <w:color w:val="7B7B7B" w:themeColor="accent3" w:themeShade="BF"/>
          <w:sz w:val="22"/>
          <w:szCs w:val="22"/>
          <w:lang w:val="en-GB"/>
        </w:rPr>
        <w:t>dequate protection</w:t>
      </w:r>
      <w:r w:rsidR="00F05EBD">
        <w:rPr>
          <w:rFonts w:ascii="Avenir Next" w:hAnsi="Avenir Next" w:cs="Arial"/>
          <w:color w:val="7B7B7B" w:themeColor="accent3" w:themeShade="BF"/>
          <w:sz w:val="22"/>
          <w:szCs w:val="22"/>
          <w:lang w:val="en-GB"/>
        </w:rPr>
        <w:t xml:space="preserve"> provided</w:t>
      </w:r>
      <w:r w:rsidR="00EC5008">
        <w:rPr>
          <w:rFonts w:ascii="Avenir Next" w:hAnsi="Avenir Next" w:cs="Arial"/>
          <w:color w:val="7B7B7B" w:themeColor="accent3" w:themeShade="BF"/>
          <w:sz w:val="22"/>
          <w:szCs w:val="22"/>
          <w:lang w:val="en-GB"/>
        </w:rPr>
        <w:t xml:space="preserve"> to all creditors of the company</w:t>
      </w:r>
      <w:r w:rsidR="0033464F">
        <w:rPr>
          <w:rFonts w:ascii="Avenir Next" w:hAnsi="Avenir Next" w:cs="Arial"/>
          <w:color w:val="7B7B7B" w:themeColor="accent3" w:themeShade="BF"/>
          <w:sz w:val="22"/>
          <w:szCs w:val="22"/>
          <w:lang w:val="en-GB"/>
        </w:rPr>
        <w:t xml:space="preserve"> and</w:t>
      </w:r>
      <w:r w:rsidR="00F05EBD">
        <w:rPr>
          <w:rFonts w:ascii="Avenir Next" w:hAnsi="Avenir Next" w:cs="Arial"/>
          <w:color w:val="7B7B7B" w:themeColor="accent3" w:themeShade="BF"/>
          <w:sz w:val="22"/>
          <w:szCs w:val="22"/>
          <w:lang w:val="en-GB"/>
        </w:rPr>
        <w:t xml:space="preserve"> </w:t>
      </w:r>
      <w:r w:rsidR="000D5DDC">
        <w:rPr>
          <w:rFonts w:ascii="Avenir Next" w:hAnsi="Avenir Next" w:cs="Arial"/>
          <w:color w:val="7B7B7B" w:themeColor="accent3" w:themeShade="BF"/>
          <w:sz w:val="22"/>
          <w:szCs w:val="22"/>
          <w:lang w:val="en-GB"/>
        </w:rPr>
        <w:t>suppliers are paid for their goods and services in full</w:t>
      </w:r>
      <w:r w:rsidR="0000558B">
        <w:rPr>
          <w:rFonts w:ascii="Avenir Next" w:hAnsi="Avenir Next" w:cs="Arial"/>
          <w:color w:val="7B7B7B" w:themeColor="accent3" w:themeShade="BF"/>
          <w:sz w:val="22"/>
          <w:szCs w:val="22"/>
          <w:lang w:val="en-GB"/>
        </w:rPr>
        <w:t xml:space="preserve">, and are treated as an expense to the administration, which means that it would rank higher than any claim submitted by an unsecured creditor of the company. </w:t>
      </w:r>
      <w:r w:rsidR="00EE4CC3">
        <w:rPr>
          <w:rFonts w:ascii="Avenir Next" w:hAnsi="Avenir Next" w:cs="Arial"/>
          <w:color w:val="7B7B7B" w:themeColor="accent3" w:themeShade="BF"/>
          <w:sz w:val="22"/>
          <w:szCs w:val="22"/>
          <w:lang w:val="en-GB"/>
        </w:rPr>
        <w:t>This provision allows for the ad</w:t>
      </w:r>
      <w:r w:rsidR="00A61AE0">
        <w:rPr>
          <w:rFonts w:ascii="Avenir Next" w:hAnsi="Avenir Next" w:cs="Arial"/>
          <w:color w:val="7B7B7B" w:themeColor="accent3" w:themeShade="BF"/>
          <w:sz w:val="22"/>
          <w:szCs w:val="22"/>
          <w:lang w:val="en-GB"/>
        </w:rPr>
        <w:t>ministrator to continue operating the business to try and maximise the return for the creditors of the company</w:t>
      </w:r>
      <w:r w:rsidR="00FC7300">
        <w:rPr>
          <w:rFonts w:ascii="Avenir Next" w:hAnsi="Avenir Next" w:cs="Arial"/>
          <w:color w:val="7B7B7B" w:themeColor="accent3" w:themeShade="BF"/>
          <w:sz w:val="22"/>
          <w:szCs w:val="22"/>
          <w:lang w:val="en-GB"/>
        </w:rPr>
        <w:t>, but the administrator must first ensure it will not be detrimental to the creditors prior to entering arrangements with the suppliers of good and services.</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2D76528D" w14:textId="22DB00FF" w:rsidR="00197F24" w:rsidRDefault="00E4092C"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order of priority of payments in a liquidation are as follows:</w:t>
      </w:r>
    </w:p>
    <w:p w14:paraId="1CD9B730" w14:textId="3E278DC7" w:rsidR="00E4092C" w:rsidRDefault="00846478" w:rsidP="00E4092C">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Creditors</w:t>
      </w:r>
      <w:r w:rsidR="002540B2">
        <w:rPr>
          <w:rFonts w:ascii="Avenir Next" w:hAnsi="Avenir Next" w:cs="Arial"/>
          <w:color w:val="7B7B7B" w:themeColor="accent3" w:themeShade="BF"/>
          <w:sz w:val="22"/>
          <w:szCs w:val="22"/>
          <w:lang w:val="en-GB"/>
        </w:rPr>
        <w:t xml:space="preserve"> of f</w:t>
      </w:r>
      <w:r w:rsidR="00BE6B44">
        <w:rPr>
          <w:rFonts w:ascii="Avenir Next" w:hAnsi="Avenir Next" w:cs="Arial"/>
          <w:color w:val="7B7B7B" w:themeColor="accent3" w:themeShade="BF"/>
          <w:sz w:val="22"/>
          <w:szCs w:val="22"/>
          <w:lang w:val="en-GB"/>
        </w:rPr>
        <w:t>ixed charges;</w:t>
      </w:r>
    </w:p>
    <w:p w14:paraId="59443EA2" w14:textId="5641CBE0" w:rsidR="00BE6B44" w:rsidRDefault="00BE6B44" w:rsidP="00E4092C">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Expenses of the liquidation;</w:t>
      </w:r>
    </w:p>
    <w:p w14:paraId="20DCABD6" w14:textId="7A127826" w:rsidR="00BE6B44" w:rsidRDefault="006A4CCD" w:rsidP="00E4092C">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Preferential creditors;</w:t>
      </w:r>
    </w:p>
    <w:p w14:paraId="3BC91020" w14:textId="0A2B353F" w:rsidR="006A4CCD" w:rsidRDefault="006A4CCD" w:rsidP="00E4092C">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Floating charge</w:t>
      </w:r>
      <w:r w:rsidR="00846478">
        <w:rPr>
          <w:rFonts w:ascii="Avenir Next" w:hAnsi="Avenir Next" w:cs="Arial"/>
          <w:color w:val="7B7B7B" w:themeColor="accent3" w:themeShade="BF"/>
          <w:sz w:val="22"/>
          <w:szCs w:val="22"/>
          <w:lang w:val="en-GB"/>
        </w:rPr>
        <w:t xml:space="preserve"> creditors</w:t>
      </w:r>
      <w:r>
        <w:rPr>
          <w:rFonts w:ascii="Avenir Next" w:hAnsi="Avenir Next" w:cs="Arial"/>
          <w:color w:val="7B7B7B" w:themeColor="accent3" w:themeShade="BF"/>
          <w:sz w:val="22"/>
          <w:szCs w:val="22"/>
          <w:lang w:val="en-GB"/>
        </w:rPr>
        <w:t>; and</w:t>
      </w:r>
    </w:p>
    <w:p w14:paraId="16FC1F20" w14:textId="54E661E5" w:rsidR="009E1544" w:rsidRDefault="006A4CCD" w:rsidP="002A37BB">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Unsecured creditors.</w:t>
      </w:r>
    </w:p>
    <w:p w14:paraId="57C0464C" w14:textId="77777777" w:rsidR="009E1544" w:rsidRDefault="009E1544" w:rsidP="009E1544">
      <w:pPr>
        <w:jc w:val="both"/>
        <w:rPr>
          <w:rFonts w:ascii="Avenir Next" w:hAnsi="Avenir Next" w:cs="Arial"/>
          <w:color w:val="7B7B7B" w:themeColor="accent3" w:themeShade="BF"/>
          <w:sz w:val="22"/>
          <w:szCs w:val="22"/>
          <w:lang w:val="en-GB"/>
        </w:rPr>
      </w:pPr>
    </w:p>
    <w:p w14:paraId="182EB6CC" w14:textId="741D4F2A" w:rsidR="009E1544" w:rsidRDefault="009E1544" w:rsidP="009E154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Fixed charge creditors </w:t>
      </w:r>
      <w:r w:rsidR="00AD38C2">
        <w:rPr>
          <w:rFonts w:ascii="Avenir Next" w:hAnsi="Avenir Next" w:cs="Arial"/>
          <w:color w:val="7B7B7B" w:themeColor="accent3" w:themeShade="BF"/>
          <w:sz w:val="22"/>
          <w:szCs w:val="22"/>
          <w:lang w:val="en-GB"/>
        </w:rPr>
        <w:t xml:space="preserve">have </w:t>
      </w:r>
      <w:r w:rsidR="009B4156">
        <w:rPr>
          <w:rFonts w:ascii="Avenir Next" w:hAnsi="Avenir Next" w:cs="Arial"/>
          <w:color w:val="7B7B7B" w:themeColor="accent3" w:themeShade="BF"/>
          <w:sz w:val="22"/>
          <w:szCs w:val="22"/>
          <w:lang w:val="en-GB"/>
        </w:rPr>
        <w:t xml:space="preserve">security interest over </w:t>
      </w:r>
      <w:r w:rsidR="00C44CC8">
        <w:rPr>
          <w:rFonts w:ascii="Avenir Next" w:hAnsi="Avenir Next" w:cs="Arial"/>
          <w:color w:val="7B7B7B" w:themeColor="accent3" w:themeShade="BF"/>
          <w:sz w:val="22"/>
          <w:szCs w:val="22"/>
          <w:lang w:val="en-GB"/>
        </w:rPr>
        <w:t>specific assets of the debtors estate which can either be some form of mortgage or charge against those specific assets.</w:t>
      </w:r>
      <w:r w:rsidR="00D552AD">
        <w:rPr>
          <w:rFonts w:ascii="Avenir Next" w:hAnsi="Avenir Next" w:cs="Arial"/>
          <w:color w:val="7B7B7B" w:themeColor="accent3" w:themeShade="BF"/>
          <w:sz w:val="22"/>
          <w:szCs w:val="22"/>
          <w:lang w:val="en-GB"/>
        </w:rPr>
        <w:t xml:space="preserve"> These assets typically cannot be dealt or sold without prior consent of the fixed charge creditor</w:t>
      </w:r>
      <w:r w:rsidR="00505D34">
        <w:rPr>
          <w:rFonts w:ascii="Avenir Next" w:hAnsi="Avenir Next" w:cs="Arial"/>
          <w:color w:val="7B7B7B" w:themeColor="accent3" w:themeShade="BF"/>
          <w:sz w:val="22"/>
          <w:szCs w:val="22"/>
          <w:lang w:val="en-GB"/>
        </w:rPr>
        <w:t xml:space="preserve">. If these assets are sold, the proceeds would be dealt to the fixed charge creditor, or as part of the arrangement made, the fixed charge creditor </w:t>
      </w:r>
      <w:r w:rsidR="007B5323">
        <w:rPr>
          <w:rFonts w:ascii="Avenir Next" w:hAnsi="Avenir Next" w:cs="Arial"/>
          <w:color w:val="7B7B7B" w:themeColor="accent3" w:themeShade="BF"/>
          <w:sz w:val="22"/>
          <w:szCs w:val="22"/>
          <w:lang w:val="en-GB"/>
        </w:rPr>
        <w:t>will take possession of the asset they have a charge over.</w:t>
      </w:r>
    </w:p>
    <w:p w14:paraId="0A686B59" w14:textId="77777777" w:rsidR="007B5323" w:rsidRDefault="007B5323" w:rsidP="009E1544">
      <w:pPr>
        <w:jc w:val="both"/>
        <w:rPr>
          <w:rFonts w:ascii="Avenir Next" w:hAnsi="Avenir Next" w:cs="Arial"/>
          <w:color w:val="7B7B7B" w:themeColor="accent3" w:themeShade="BF"/>
          <w:sz w:val="22"/>
          <w:szCs w:val="22"/>
          <w:lang w:val="en-GB"/>
        </w:rPr>
      </w:pPr>
    </w:p>
    <w:p w14:paraId="6717D435" w14:textId="459AA00B" w:rsidR="007B5323" w:rsidRDefault="007B5323" w:rsidP="009E154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Service providers and the liquidator’s fees </w:t>
      </w:r>
      <w:r w:rsidR="00F02263">
        <w:rPr>
          <w:rFonts w:ascii="Avenir Next" w:hAnsi="Avenir Next" w:cs="Arial"/>
          <w:color w:val="7B7B7B" w:themeColor="accent3" w:themeShade="BF"/>
          <w:sz w:val="22"/>
          <w:szCs w:val="22"/>
          <w:lang w:val="en-GB"/>
        </w:rPr>
        <w:t xml:space="preserve">that relate to the liquidation process are given priority after fixed charge creditors. </w:t>
      </w:r>
      <w:r w:rsidR="008B5625">
        <w:rPr>
          <w:rFonts w:ascii="Avenir Next" w:hAnsi="Avenir Next" w:cs="Arial"/>
          <w:color w:val="7B7B7B" w:themeColor="accent3" w:themeShade="BF"/>
          <w:sz w:val="22"/>
          <w:szCs w:val="22"/>
          <w:lang w:val="en-GB"/>
        </w:rPr>
        <w:t>This includes costs of the liquidation</w:t>
      </w:r>
      <w:r w:rsidR="0083504A">
        <w:rPr>
          <w:rFonts w:ascii="Avenir Next" w:hAnsi="Avenir Next" w:cs="Arial"/>
          <w:color w:val="7B7B7B" w:themeColor="accent3" w:themeShade="BF"/>
          <w:sz w:val="22"/>
          <w:szCs w:val="22"/>
          <w:lang w:val="en-GB"/>
        </w:rPr>
        <w:t xml:space="preserve"> (insolvency practitioner and legal costs)</w:t>
      </w:r>
      <w:r w:rsidR="008B5625">
        <w:rPr>
          <w:rFonts w:ascii="Avenir Next" w:hAnsi="Avenir Next" w:cs="Arial"/>
          <w:color w:val="7B7B7B" w:themeColor="accent3" w:themeShade="BF"/>
          <w:sz w:val="22"/>
          <w:szCs w:val="22"/>
          <w:lang w:val="en-GB"/>
        </w:rPr>
        <w:t>, the administration, and any insolvency proceedings related to the liquidation.</w:t>
      </w:r>
    </w:p>
    <w:p w14:paraId="432EF94C" w14:textId="77777777" w:rsidR="0083504A" w:rsidRDefault="0083504A" w:rsidP="009E1544">
      <w:pPr>
        <w:jc w:val="both"/>
        <w:rPr>
          <w:rFonts w:ascii="Avenir Next" w:hAnsi="Avenir Next" w:cs="Arial"/>
          <w:color w:val="7B7B7B" w:themeColor="accent3" w:themeShade="BF"/>
          <w:sz w:val="22"/>
          <w:szCs w:val="22"/>
          <w:lang w:val="en-GB"/>
        </w:rPr>
      </w:pPr>
    </w:p>
    <w:p w14:paraId="3ECDCD2D" w14:textId="147C8C93" w:rsidR="0083504A" w:rsidRDefault="00860A2B" w:rsidP="009E154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After </w:t>
      </w:r>
      <w:r w:rsidR="00307366">
        <w:rPr>
          <w:rFonts w:ascii="Avenir Next" w:hAnsi="Avenir Next" w:cs="Arial"/>
          <w:color w:val="7B7B7B" w:themeColor="accent3" w:themeShade="BF"/>
          <w:sz w:val="22"/>
          <w:szCs w:val="22"/>
          <w:lang w:val="en-GB"/>
        </w:rPr>
        <w:t xml:space="preserve">expenses of the liquidation are paid, preferential creditors are next in line. Preferential creditors </w:t>
      </w:r>
      <w:r w:rsidR="00E12234">
        <w:rPr>
          <w:rFonts w:ascii="Avenir Next" w:hAnsi="Avenir Next" w:cs="Arial"/>
          <w:color w:val="7B7B7B" w:themeColor="accent3" w:themeShade="BF"/>
          <w:sz w:val="22"/>
          <w:szCs w:val="22"/>
          <w:lang w:val="en-GB"/>
        </w:rPr>
        <w:t>typically include employee expenses such as wages, salaries, holiday pay, and contributions the company was supposed to pay on behalf of the employee</w:t>
      </w:r>
      <w:r w:rsidR="00034ABA">
        <w:rPr>
          <w:rFonts w:ascii="Avenir Next" w:hAnsi="Avenir Next" w:cs="Arial"/>
          <w:color w:val="7B7B7B" w:themeColor="accent3" w:themeShade="BF"/>
          <w:sz w:val="22"/>
          <w:szCs w:val="22"/>
          <w:lang w:val="en-GB"/>
        </w:rPr>
        <w:t>, such as retirement plans and health benefits.</w:t>
      </w:r>
    </w:p>
    <w:p w14:paraId="1A3AD6AC" w14:textId="77777777" w:rsidR="00034ABA" w:rsidRDefault="00034ABA" w:rsidP="009E1544">
      <w:pPr>
        <w:jc w:val="both"/>
        <w:rPr>
          <w:rFonts w:ascii="Avenir Next" w:hAnsi="Avenir Next" w:cs="Arial"/>
          <w:color w:val="7B7B7B" w:themeColor="accent3" w:themeShade="BF"/>
          <w:sz w:val="22"/>
          <w:szCs w:val="22"/>
          <w:lang w:val="en-GB"/>
        </w:rPr>
      </w:pPr>
    </w:p>
    <w:p w14:paraId="6422FE11" w14:textId="13DC83C6" w:rsidR="00034ABA" w:rsidRDefault="00034ABA" w:rsidP="009E154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Once </w:t>
      </w:r>
      <w:r w:rsidR="001E1863">
        <w:rPr>
          <w:rFonts w:ascii="Avenir Next" w:hAnsi="Avenir Next" w:cs="Arial"/>
          <w:color w:val="7B7B7B" w:themeColor="accent3" w:themeShade="BF"/>
          <w:sz w:val="22"/>
          <w:szCs w:val="22"/>
          <w:lang w:val="en-GB"/>
        </w:rPr>
        <w:t xml:space="preserve">preferential creditors are paid, floating charge creditors are paid next. Floating charge creditors </w:t>
      </w:r>
      <w:r w:rsidR="00AD1055">
        <w:rPr>
          <w:rFonts w:ascii="Avenir Next" w:hAnsi="Avenir Next" w:cs="Arial"/>
          <w:color w:val="7B7B7B" w:themeColor="accent3" w:themeShade="BF"/>
          <w:sz w:val="22"/>
          <w:szCs w:val="22"/>
          <w:lang w:val="en-GB"/>
        </w:rPr>
        <w:t xml:space="preserve">“float or hover” </w:t>
      </w:r>
      <w:r w:rsidR="001202E6">
        <w:rPr>
          <w:rFonts w:ascii="Avenir Next" w:hAnsi="Avenir Next" w:cs="Arial"/>
          <w:color w:val="7B7B7B" w:themeColor="accent3" w:themeShade="BF"/>
          <w:sz w:val="22"/>
          <w:szCs w:val="22"/>
          <w:lang w:val="en-GB"/>
        </w:rPr>
        <w:t>above an asset or asset class until the security</w:t>
      </w:r>
      <w:r w:rsidR="008A08F8">
        <w:rPr>
          <w:rFonts w:ascii="Avenir Next" w:hAnsi="Avenir Next" w:cs="Arial"/>
          <w:color w:val="7B7B7B" w:themeColor="accent3" w:themeShade="BF"/>
          <w:sz w:val="22"/>
          <w:szCs w:val="22"/>
          <w:lang w:val="en-GB"/>
        </w:rPr>
        <w:t xml:space="preserve"> over the asset or asset class </w:t>
      </w:r>
      <w:r w:rsidR="006600A3">
        <w:rPr>
          <w:rFonts w:ascii="Avenir Next" w:hAnsi="Avenir Next" w:cs="Arial"/>
          <w:color w:val="7B7B7B" w:themeColor="accent3" w:themeShade="BF"/>
          <w:sz w:val="22"/>
          <w:szCs w:val="22"/>
          <w:lang w:val="en-GB"/>
        </w:rPr>
        <w:t>becomes a fixed charg</w:t>
      </w:r>
      <w:r w:rsidR="00405368">
        <w:rPr>
          <w:rFonts w:ascii="Avenir Next" w:hAnsi="Avenir Next" w:cs="Arial"/>
          <w:color w:val="7B7B7B" w:themeColor="accent3" w:themeShade="BF"/>
          <w:sz w:val="22"/>
          <w:szCs w:val="22"/>
          <w:lang w:val="en-GB"/>
        </w:rPr>
        <w:t>e, which in turn crystallises the security charge.</w:t>
      </w:r>
    </w:p>
    <w:p w14:paraId="64B70DFD" w14:textId="77777777" w:rsidR="00A32341" w:rsidRDefault="00A32341" w:rsidP="009E1544">
      <w:pPr>
        <w:jc w:val="both"/>
        <w:rPr>
          <w:rFonts w:ascii="Avenir Next" w:hAnsi="Avenir Next" w:cs="Arial"/>
          <w:color w:val="7B7B7B" w:themeColor="accent3" w:themeShade="BF"/>
          <w:sz w:val="22"/>
          <w:szCs w:val="22"/>
          <w:lang w:val="en-GB"/>
        </w:rPr>
      </w:pPr>
    </w:p>
    <w:p w14:paraId="71519E3F" w14:textId="217CAD50" w:rsidR="00A32341" w:rsidRDefault="00A32341" w:rsidP="009E154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Unsecured creditors then are paid last. </w:t>
      </w:r>
      <w:r w:rsidR="00470E07">
        <w:rPr>
          <w:rFonts w:ascii="Avenir Next" w:hAnsi="Avenir Next" w:cs="Arial"/>
          <w:color w:val="7B7B7B" w:themeColor="accent3" w:themeShade="BF"/>
          <w:sz w:val="22"/>
          <w:szCs w:val="22"/>
          <w:lang w:val="en-GB"/>
        </w:rPr>
        <w:t>These include service providers of the company prior to liquidation, suppliers of the company, and any other creditor that does not have security over any assets of the company.</w:t>
      </w:r>
      <w:r w:rsidR="00010EA8">
        <w:rPr>
          <w:rFonts w:ascii="Avenir Next" w:hAnsi="Avenir Next" w:cs="Arial"/>
          <w:color w:val="7B7B7B" w:themeColor="accent3" w:themeShade="BF"/>
          <w:sz w:val="22"/>
          <w:szCs w:val="22"/>
          <w:lang w:val="en-GB"/>
        </w:rPr>
        <w:t xml:space="preserve"> Whatever is remaining the debtor’s estate after prior payments are made, are distributed to the </w:t>
      </w:r>
      <w:r w:rsidR="00814E1C">
        <w:rPr>
          <w:rFonts w:ascii="Avenir Next" w:hAnsi="Avenir Next" w:cs="Arial"/>
          <w:color w:val="7B7B7B" w:themeColor="accent3" w:themeShade="BF"/>
          <w:sz w:val="22"/>
          <w:szCs w:val="22"/>
          <w:lang w:val="en-GB"/>
        </w:rPr>
        <w:t xml:space="preserve">unsecured creditor on a </w:t>
      </w:r>
      <w:proofErr w:type="spellStart"/>
      <w:r w:rsidR="00814E1C" w:rsidRPr="00B373BB">
        <w:rPr>
          <w:rFonts w:ascii="Avenir Next" w:hAnsi="Avenir Next" w:cs="Arial"/>
          <w:i/>
          <w:iCs/>
          <w:color w:val="7B7B7B" w:themeColor="accent3" w:themeShade="BF"/>
          <w:sz w:val="22"/>
          <w:szCs w:val="22"/>
          <w:lang w:val="en-GB"/>
        </w:rPr>
        <w:t>pari</w:t>
      </w:r>
      <w:proofErr w:type="spellEnd"/>
      <w:r w:rsidR="00814E1C" w:rsidRPr="00B373BB">
        <w:rPr>
          <w:rFonts w:ascii="Avenir Next" w:hAnsi="Avenir Next" w:cs="Arial"/>
          <w:i/>
          <w:iCs/>
          <w:color w:val="7B7B7B" w:themeColor="accent3" w:themeShade="BF"/>
          <w:sz w:val="22"/>
          <w:szCs w:val="22"/>
          <w:lang w:val="en-GB"/>
        </w:rPr>
        <w:t xml:space="preserve"> passu</w:t>
      </w:r>
      <w:r w:rsidR="00814E1C">
        <w:rPr>
          <w:rFonts w:ascii="Avenir Next" w:hAnsi="Avenir Next" w:cs="Arial"/>
          <w:color w:val="7B7B7B" w:themeColor="accent3" w:themeShade="BF"/>
          <w:sz w:val="22"/>
          <w:szCs w:val="22"/>
          <w:lang w:val="en-GB"/>
        </w:rPr>
        <w:t xml:space="preserve"> basis.</w:t>
      </w:r>
    </w:p>
    <w:p w14:paraId="068C3D80" w14:textId="77777777" w:rsidR="00B8541F" w:rsidRDefault="00B8541F" w:rsidP="009E1544">
      <w:pPr>
        <w:jc w:val="both"/>
        <w:rPr>
          <w:rFonts w:ascii="Avenir Next" w:hAnsi="Avenir Next" w:cs="Arial"/>
          <w:color w:val="7B7B7B" w:themeColor="accent3" w:themeShade="BF"/>
          <w:sz w:val="22"/>
          <w:szCs w:val="22"/>
          <w:lang w:val="en-GB"/>
        </w:rPr>
      </w:pPr>
    </w:p>
    <w:p w14:paraId="5F0D449D" w14:textId="772D3C4E" w:rsidR="00B8541F" w:rsidRPr="009E1544" w:rsidRDefault="006612B6" w:rsidP="009E154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 company was</w:t>
      </w:r>
      <w:r w:rsidR="004046AA">
        <w:rPr>
          <w:rFonts w:ascii="Avenir Next" w:hAnsi="Avenir Next" w:cs="Arial"/>
          <w:color w:val="7B7B7B" w:themeColor="accent3" w:themeShade="BF"/>
          <w:sz w:val="22"/>
          <w:szCs w:val="22"/>
          <w:lang w:val="en-GB"/>
        </w:rPr>
        <w:t xml:space="preserve"> subject to </w:t>
      </w:r>
      <w:r w:rsidR="00461979">
        <w:rPr>
          <w:rFonts w:ascii="Avenir Next" w:hAnsi="Avenir Next" w:cs="Arial"/>
          <w:color w:val="7B7B7B" w:themeColor="accent3" w:themeShade="BF"/>
          <w:sz w:val="22"/>
          <w:szCs w:val="22"/>
          <w:lang w:val="en-GB"/>
        </w:rPr>
        <w:t xml:space="preserve">a </w:t>
      </w:r>
      <w:r w:rsidR="00B0100F">
        <w:rPr>
          <w:rFonts w:ascii="Avenir Next" w:hAnsi="Avenir Next" w:cs="Arial"/>
          <w:color w:val="7B7B7B" w:themeColor="accent3" w:themeShade="BF"/>
          <w:sz w:val="22"/>
          <w:szCs w:val="22"/>
          <w:lang w:val="en-GB"/>
        </w:rPr>
        <w:t>m</w:t>
      </w:r>
      <w:r w:rsidR="00461979">
        <w:rPr>
          <w:rFonts w:ascii="Avenir Next" w:hAnsi="Avenir Next" w:cs="Arial"/>
          <w:color w:val="7B7B7B" w:themeColor="accent3" w:themeShade="BF"/>
          <w:sz w:val="22"/>
          <w:szCs w:val="22"/>
          <w:lang w:val="en-GB"/>
        </w:rPr>
        <w:t>oratorium under Part A1 of the Insolvency Act 1986</w:t>
      </w:r>
      <w:r w:rsidR="00EF3650">
        <w:rPr>
          <w:rFonts w:ascii="Avenir Next" w:hAnsi="Avenir Next" w:cs="Arial"/>
          <w:color w:val="7B7B7B" w:themeColor="accent3" w:themeShade="BF"/>
          <w:sz w:val="22"/>
          <w:szCs w:val="22"/>
          <w:lang w:val="en-GB"/>
        </w:rPr>
        <w:t xml:space="preserve"> during the 12-week period prior to the commencement of the liquidation, the priority of payments may </w:t>
      </w:r>
      <w:r w:rsidR="00CF6F18">
        <w:rPr>
          <w:rFonts w:ascii="Avenir Next" w:hAnsi="Avenir Next" w:cs="Arial"/>
          <w:color w:val="7B7B7B" w:themeColor="accent3" w:themeShade="BF"/>
          <w:sz w:val="22"/>
          <w:szCs w:val="22"/>
          <w:lang w:val="en-GB"/>
        </w:rPr>
        <w:t>change during a liquidation pro</w:t>
      </w:r>
      <w:r w:rsidR="004B0063">
        <w:rPr>
          <w:rFonts w:ascii="Avenir Next" w:hAnsi="Avenir Next" w:cs="Arial"/>
          <w:color w:val="7B7B7B" w:themeColor="accent3" w:themeShade="BF"/>
          <w:sz w:val="22"/>
          <w:szCs w:val="22"/>
          <w:lang w:val="en-GB"/>
        </w:rPr>
        <w:t xml:space="preserve">cess. </w:t>
      </w:r>
      <w:r w:rsidR="002379A5">
        <w:rPr>
          <w:rFonts w:ascii="Avenir Next" w:hAnsi="Avenir Next" w:cs="Arial"/>
          <w:color w:val="7B7B7B" w:themeColor="accent3" w:themeShade="BF"/>
          <w:sz w:val="22"/>
          <w:szCs w:val="22"/>
          <w:lang w:val="en-GB"/>
        </w:rPr>
        <w:t>D</w:t>
      </w:r>
      <w:r w:rsidR="00AD6F52">
        <w:rPr>
          <w:rFonts w:ascii="Avenir Next" w:hAnsi="Avenir Next" w:cs="Arial"/>
          <w:color w:val="7B7B7B" w:themeColor="accent3" w:themeShade="BF"/>
          <w:sz w:val="22"/>
          <w:szCs w:val="22"/>
          <w:lang w:val="en-GB"/>
        </w:rPr>
        <w:t xml:space="preserve">ebts under the payment holiday </w:t>
      </w:r>
      <w:r w:rsidR="002379A5">
        <w:rPr>
          <w:rFonts w:ascii="Avenir Next" w:hAnsi="Avenir Next" w:cs="Arial"/>
          <w:color w:val="7B7B7B" w:themeColor="accent3" w:themeShade="BF"/>
          <w:sz w:val="22"/>
          <w:szCs w:val="22"/>
          <w:lang w:val="en-GB"/>
        </w:rPr>
        <w:t>would be</w:t>
      </w:r>
      <w:r w:rsidR="00AD6F52">
        <w:rPr>
          <w:rFonts w:ascii="Avenir Next" w:hAnsi="Avenir Next" w:cs="Arial"/>
          <w:color w:val="7B7B7B" w:themeColor="accent3" w:themeShade="BF"/>
          <w:sz w:val="22"/>
          <w:szCs w:val="22"/>
          <w:lang w:val="en-GB"/>
        </w:rPr>
        <w:t xml:space="preserve"> excluded </w:t>
      </w:r>
      <w:r w:rsidR="00B0100F">
        <w:rPr>
          <w:rFonts w:ascii="Avenir Next" w:hAnsi="Avenir Next" w:cs="Arial"/>
          <w:color w:val="7B7B7B" w:themeColor="accent3" w:themeShade="BF"/>
          <w:sz w:val="22"/>
          <w:szCs w:val="22"/>
          <w:lang w:val="en-GB"/>
        </w:rPr>
        <w:t>from the moratorium</w:t>
      </w:r>
      <w:r w:rsidR="007565C2">
        <w:rPr>
          <w:rFonts w:ascii="Avenir Next" w:hAnsi="Avenir Next" w:cs="Arial"/>
          <w:color w:val="7B7B7B" w:themeColor="accent3" w:themeShade="BF"/>
          <w:sz w:val="22"/>
          <w:szCs w:val="22"/>
          <w:lang w:val="en-GB"/>
        </w:rPr>
        <w:t xml:space="preserve"> and therefore some debts would not be paid.</w:t>
      </w:r>
      <w:r w:rsidR="000C2439">
        <w:rPr>
          <w:rFonts w:ascii="Avenir Next" w:hAnsi="Avenir Next" w:cs="Arial"/>
          <w:color w:val="7B7B7B" w:themeColor="accent3" w:themeShade="BF"/>
          <w:sz w:val="22"/>
          <w:szCs w:val="22"/>
          <w:lang w:val="en-GB"/>
        </w:rPr>
        <w:t xml:space="preserve"> Generally speaking though, the priority of payments would remain the same, with the exclusion of debts under the payment holiday.</w:t>
      </w:r>
    </w:p>
    <w:p w14:paraId="6258D14A" w14:textId="77777777" w:rsidR="006A4CCD" w:rsidRDefault="006A4CCD" w:rsidP="002A37BB">
      <w:pPr>
        <w:jc w:val="both"/>
        <w:rPr>
          <w:rFonts w:ascii="Avenir Next" w:hAnsi="Avenir Next" w:cs="Arial"/>
          <w:sz w:val="22"/>
          <w:szCs w:val="22"/>
          <w:shd w:val="clear" w:color="auto" w:fill="FFFFFF"/>
        </w:rPr>
      </w:pPr>
    </w:p>
    <w:p w14:paraId="3C80717B" w14:textId="77777777" w:rsidR="006A4CCD" w:rsidRPr="006925C1" w:rsidRDefault="006A4CCD"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596D7EA6" w14:textId="47D59C62" w:rsidR="003C60E9" w:rsidRDefault="00F64DDA" w:rsidP="00F64DD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Firstly,</w:t>
      </w:r>
      <w:r w:rsidR="009E5434">
        <w:rPr>
          <w:rFonts w:ascii="Avenir Next" w:hAnsi="Avenir Next" w:cs="Arial"/>
          <w:color w:val="7B7B7B" w:themeColor="accent3" w:themeShade="BF"/>
          <w:sz w:val="22"/>
          <w:szCs w:val="22"/>
          <w:lang w:val="en-GB"/>
        </w:rPr>
        <w:t xml:space="preserve"> the liquidator should consider</w:t>
      </w:r>
      <w:r>
        <w:rPr>
          <w:rFonts w:ascii="Avenir Next" w:hAnsi="Avenir Next" w:cs="Arial"/>
          <w:color w:val="7B7B7B" w:themeColor="accent3" w:themeShade="BF"/>
          <w:sz w:val="22"/>
          <w:szCs w:val="22"/>
          <w:lang w:val="en-GB"/>
        </w:rPr>
        <w:t xml:space="preserve"> t</w:t>
      </w:r>
      <w:r w:rsidR="003C60E9" w:rsidRPr="00F64DDA">
        <w:rPr>
          <w:rFonts w:ascii="Avenir Next" w:hAnsi="Avenir Next" w:cs="Arial"/>
          <w:color w:val="7B7B7B" w:themeColor="accent3" w:themeShade="BF"/>
          <w:sz w:val="22"/>
          <w:szCs w:val="22"/>
          <w:lang w:val="en-GB"/>
        </w:rPr>
        <w:t xml:space="preserve">he floating charge in favour of </w:t>
      </w:r>
      <w:r w:rsidRPr="00F64DDA">
        <w:rPr>
          <w:rFonts w:ascii="Avenir Next" w:hAnsi="Avenir Next" w:cs="Arial"/>
          <w:color w:val="7B7B7B" w:themeColor="accent3" w:themeShade="BF"/>
          <w:sz w:val="22"/>
          <w:szCs w:val="22"/>
          <w:lang w:val="en-GB"/>
        </w:rPr>
        <w:t>Ambitus Bank plc</w:t>
      </w:r>
      <w:r w:rsidR="003461FC">
        <w:rPr>
          <w:rFonts w:ascii="Avenir Next" w:hAnsi="Avenir Next" w:cs="Arial"/>
          <w:color w:val="7B7B7B" w:themeColor="accent3" w:themeShade="BF"/>
          <w:sz w:val="22"/>
          <w:szCs w:val="22"/>
          <w:lang w:val="en-GB"/>
        </w:rPr>
        <w:t xml:space="preserve"> as a debenture was granted by Blazer Laser Limited</w:t>
      </w:r>
      <w:r w:rsidR="00FC79E3">
        <w:rPr>
          <w:rFonts w:ascii="Avenir Next" w:hAnsi="Avenir Next" w:cs="Arial"/>
          <w:color w:val="7B7B7B" w:themeColor="accent3" w:themeShade="BF"/>
          <w:sz w:val="22"/>
          <w:szCs w:val="22"/>
          <w:lang w:val="en-GB"/>
        </w:rPr>
        <w:t>, which created a floating charge over the whole of the company’s undertaking.</w:t>
      </w:r>
      <w:r w:rsidR="00D95AC9">
        <w:rPr>
          <w:rFonts w:ascii="Avenir Next" w:hAnsi="Avenir Next" w:cs="Arial"/>
          <w:color w:val="7B7B7B" w:themeColor="accent3" w:themeShade="BF"/>
          <w:sz w:val="22"/>
          <w:szCs w:val="22"/>
          <w:lang w:val="en-GB"/>
        </w:rPr>
        <w:t xml:space="preserve"> This debenture was granted prior to the winding-up </w:t>
      </w:r>
      <w:r w:rsidR="007E1BB7">
        <w:rPr>
          <w:rFonts w:ascii="Avenir Next" w:hAnsi="Avenir Next" w:cs="Arial"/>
          <w:color w:val="7B7B7B" w:themeColor="accent3" w:themeShade="BF"/>
          <w:sz w:val="22"/>
          <w:szCs w:val="22"/>
          <w:lang w:val="en-GB"/>
        </w:rPr>
        <w:t>petition</w:t>
      </w:r>
      <w:r w:rsidR="00D95AC9">
        <w:rPr>
          <w:rFonts w:ascii="Avenir Next" w:hAnsi="Avenir Next" w:cs="Arial"/>
          <w:color w:val="7B7B7B" w:themeColor="accent3" w:themeShade="BF"/>
          <w:sz w:val="22"/>
          <w:szCs w:val="22"/>
          <w:lang w:val="en-GB"/>
        </w:rPr>
        <w:t xml:space="preserve"> that was issued on 13 January 2024.</w:t>
      </w:r>
      <w:r w:rsidR="00331888">
        <w:rPr>
          <w:rFonts w:ascii="Avenir Next" w:hAnsi="Avenir Next" w:cs="Arial"/>
          <w:color w:val="7B7B7B" w:themeColor="accent3" w:themeShade="BF"/>
          <w:sz w:val="22"/>
          <w:szCs w:val="22"/>
          <w:lang w:val="en-GB"/>
        </w:rPr>
        <w:t xml:space="preserve"> This floating charge gives Ambitus Bank security over the company’s asset</w:t>
      </w:r>
      <w:r w:rsidR="006E6B0A">
        <w:rPr>
          <w:rFonts w:ascii="Avenir Next" w:hAnsi="Avenir Next" w:cs="Arial"/>
          <w:color w:val="7B7B7B" w:themeColor="accent3" w:themeShade="BF"/>
          <w:sz w:val="22"/>
          <w:szCs w:val="22"/>
          <w:lang w:val="en-GB"/>
        </w:rPr>
        <w:t xml:space="preserve">s, which also allows the company to deal with </w:t>
      </w:r>
      <w:r w:rsidR="009505D5">
        <w:rPr>
          <w:rFonts w:ascii="Avenir Next" w:hAnsi="Avenir Next" w:cs="Arial"/>
          <w:color w:val="7B7B7B" w:themeColor="accent3" w:themeShade="BF"/>
          <w:sz w:val="22"/>
          <w:szCs w:val="22"/>
          <w:lang w:val="en-GB"/>
        </w:rPr>
        <w:t xml:space="preserve">its assets until </w:t>
      </w:r>
      <w:r w:rsidR="00FB221B">
        <w:rPr>
          <w:rFonts w:ascii="Avenir Next" w:hAnsi="Avenir Next" w:cs="Arial"/>
          <w:color w:val="7B7B7B" w:themeColor="accent3" w:themeShade="BF"/>
          <w:sz w:val="22"/>
          <w:szCs w:val="22"/>
          <w:lang w:val="en-GB"/>
        </w:rPr>
        <w:t>they</w:t>
      </w:r>
      <w:r w:rsidR="00230C30">
        <w:rPr>
          <w:rFonts w:ascii="Avenir Next" w:hAnsi="Avenir Next" w:cs="Arial"/>
          <w:color w:val="7B7B7B" w:themeColor="accent3" w:themeShade="BF"/>
          <w:sz w:val="22"/>
          <w:szCs w:val="22"/>
          <w:lang w:val="en-GB"/>
        </w:rPr>
        <w:t xml:space="preserve"> crystallise.</w:t>
      </w:r>
      <w:r w:rsidR="00FB221B">
        <w:rPr>
          <w:rFonts w:ascii="Avenir Next" w:hAnsi="Avenir Next" w:cs="Arial"/>
          <w:color w:val="7B7B7B" w:themeColor="accent3" w:themeShade="BF"/>
          <w:sz w:val="22"/>
          <w:szCs w:val="22"/>
          <w:lang w:val="en-GB"/>
        </w:rPr>
        <w:t xml:space="preserve"> </w:t>
      </w:r>
      <w:r w:rsidR="003C6BF7">
        <w:rPr>
          <w:rFonts w:ascii="Avenir Next" w:hAnsi="Avenir Next" w:cs="Arial"/>
          <w:color w:val="7B7B7B" w:themeColor="accent3" w:themeShade="BF"/>
          <w:sz w:val="22"/>
          <w:szCs w:val="22"/>
          <w:lang w:val="en-GB"/>
        </w:rPr>
        <w:t>The liquidator should consider the Companies Act 2006 and the Insolvency Act 1986</w:t>
      </w:r>
      <w:r w:rsidR="000713BD">
        <w:rPr>
          <w:rFonts w:ascii="Avenir Next" w:hAnsi="Avenir Next" w:cs="Arial"/>
          <w:color w:val="7B7B7B" w:themeColor="accent3" w:themeShade="BF"/>
          <w:sz w:val="22"/>
          <w:szCs w:val="22"/>
          <w:lang w:val="en-GB"/>
        </w:rPr>
        <w:t xml:space="preserve"> as it contains provisions related to floating charges, </w:t>
      </w:r>
      <w:r w:rsidR="000713BD">
        <w:rPr>
          <w:rFonts w:ascii="Avenir Next" w:hAnsi="Avenir Next" w:cs="Arial"/>
          <w:color w:val="7B7B7B" w:themeColor="accent3" w:themeShade="BF"/>
          <w:sz w:val="22"/>
          <w:szCs w:val="22"/>
          <w:lang w:val="en-GB"/>
        </w:rPr>
        <w:lastRenderedPageBreak/>
        <w:t>debentures, and actions that the liquidator can take regarding the same.</w:t>
      </w:r>
      <w:r w:rsidR="00AA3B5E">
        <w:rPr>
          <w:rFonts w:ascii="Avenir Next" w:hAnsi="Avenir Next" w:cs="Arial"/>
          <w:color w:val="7B7B7B" w:themeColor="accent3" w:themeShade="BF"/>
          <w:sz w:val="22"/>
          <w:szCs w:val="22"/>
          <w:lang w:val="en-GB"/>
        </w:rPr>
        <w:t xml:space="preserve"> </w:t>
      </w:r>
      <w:r w:rsidR="000A6B44">
        <w:rPr>
          <w:rFonts w:ascii="Avenir Next" w:hAnsi="Avenir Next" w:cs="Arial"/>
          <w:color w:val="7B7B7B" w:themeColor="accent3" w:themeShade="BF"/>
          <w:sz w:val="22"/>
          <w:szCs w:val="22"/>
          <w:lang w:val="en-GB"/>
        </w:rPr>
        <w:t xml:space="preserve">Section 245 of the Insolvency Act 1986 should </w:t>
      </w:r>
      <w:r w:rsidR="00C35311">
        <w:rPr>
          <w:rFonts w:ascii="Avenir Next" w:hAnsi="Avenir Next" w:cs="Arial"/>
          <w:color w:val="7B7B7B" w:themeColor="accent3" w:themeShade="BF"/>
          <w:sz w:val="22"/>
          <w:szCs w:val="22"/>
          <w:lang w:val="en-GB"/>
        </w:rPr>
        <w:t xml:space="preserve">be investigated as it deals </w:t>
      </w:r>
      <w:r w:rsidR="00700314">
        <w:rPr>
          <w:rFonts w:ascii="Avenir Next" w:hAnsi="Avenir Next" w:cs="Arial"/>
          <w:color w:val="7B7B7B" w:themeColor="accent3" w:themeShade="BF"/>
          <w:sz w:val="22"/>
          <w:szCs w:val="22"/>
          <w:lang w:val="en-GB"/>
        </w:rPr>
        <w:t>strictly with</w:t>
      </w:r>
      <w:r w:rsidR="00C35311">
        <w:rPr>
          <w:rFonts w:ascii="Avenir Next" w:hAnsi="Avenir Next" w:cs="Arial"/>
          <w:color w:val="7B7B7B" w:themeColor="accent3" w:themeShade="BF"/>
          <w:sz w:val="22"/>
          <w:szCs w:val="22"/>
          <w:lang w:val="en-GB"/>
        </w:rPr>
        <w:t xml:space="preserve"> floating charges </w:t>
      </w:r>
      <w:r w:rsidR="008F4086">
        <w:rPr>
          <w:rFonts w:ascii="Avenir Next" w:hAnsi="Avenir Next" w:cs="Arial"/>
          <w:color w:val="7B7B7B" w:themeColor="accent3" w:themeShade="BF"/>
          <w:sz w:val="22"/>
          <w:szCs w:val="22"/>
          <w:lang w:val="en-GB"/>
        </w:rPr>
        <w:t xml:space="preserve">being invalidly given by a company </w:t>
      </w:r>
      <w:r w:rsidR="000C2B6B">
        <w:rPr>
          <w:rFonts w:ascii="Avenir Next" w:hAnsi="Avenir Next" w:cs="Arial"/>
          <w:color w:val="7B7B7B" w:themeColor="accent3" w:themeShade="BF"/>
          <w:sz w:val="22"/>
          <w:szCs w:val="22"/>
          <w:lang w:val="en-GB"/>
        </w:rPr>
        <w:t xml:space="preserve">that </w:t>
      </w:r>
      <w:r w:rsidR="0017210C">
        <w:rPr>
          <w:rFonts w:ascii="Avenir Next" w:hAnsi="Avenir Next" w:cs="Arial"/>
          <w:color w:val="7B7B7B" w:themeColor="accent3" w:themeShade="BF"/>
          <w:sz w:val="22"/>
          <w:szCs w:val="22"/>
          <w:lang w:val="en-GB"/>
        </w:rPr>
        <w:t>gives unsecured creditors a floating charge shortly before a company enters a liquidation process.</w:t>
      </w:r>
      <w:r w:rsidR="00935720">
        <w:rPr>
          <w:rFonts w:ascii="Avenir Next" w:hAnsi="Avenir Next" w:cs="Arial"/>
          <w:color w:val="7B7B7B" w:themeColor="accent3" w:themeShade="BF"/>
          <w:sz w:val="22"/>
          <w:szCs w:val="22"/>
          <w:lang w:val="en-GB"/>
        </w:rPr>
        <w:t xml:space="preserve"> The liquidator should investigate whether </w:t>
      </w:r>
      <w:r w:rsidR="00AB0E8E">
        <w:rPr>
          <w:rFonts w:ascii="Avenir Next" w:hAnsi="Avenir Next" w:cs="Arial"/>
          <w:color w:val="7B7B7B" w:themeColor="accent3" w:themeShade="BF"/>
          <w:sz w:val="22"/>
          <w:szCs w:val="22"/>
          <w:lang w:val="en-GB"/>
        </w:rPr>
        <w:t>Blazer Lazer Limited is related to Ambitus Bank plc, as</w:t>
      </w:r>
      <w:r w:rsidR="00D953BC">
        <w:rPr>
          <w:rFonts w:ascii="Avenir Next" w:hAnsi="Avenir Next" w:cs="Arial"/>
          <w:color w:val="7B7B7B" w:themeColor="accent3" w:themeShade="BF"/>
          <w:sz w:val="22"/>
          <w:szCs w:val="22"/>
          <w:lang w:val="en-GB"/>
        </w:rPr>
        <w:t xml:space="preserve"> there is a </w:t>
      </w:r>
      <w:r w:rsidR="00FA4D09">
        <w:rPr>
          <w:rFonts w:ascii="Avenir Next" w:hAnsi="Avenir Next" w:cs="Arial"/>
          <w:color w:val="7B7B7B" w:themeColor="accent3" w:themeShade="BF"/>
          <w:sz w:val="22"/>
          <w:szCs w:val="22"/>
          <w:lang w:val="en-GB"/>
        </w:rPr>
        <w:t>24-month</w:t>
      </w:r>
      <w:r w:rsidR="00D953BC">
        <w:rPr>
          <w:rFonts w:ascii="Avenir Next" w:hAnsi="Avenir Next" w:cs="Arial"/>
          <w:color w:val="7B7B7B" w:themeColor="accent3" w:themeShade="BF"/>
          <w:sz w:val="22"/>
          <w:szCs w:val="22"/>
          <w:lang w:val="en-GB"/>
        </w:rPr>
        <w:t xml:space="preserve"> period where a floating charge may not be given</w:t>
      </w:r>
      <w:r w:rsidR="00EB0F1E">
        <w:rPr>
          <w:rFonts w:ascii="Avenir Next" w:hAnsi="Avenir Next" w:cs="Arial"/>
          <w:color w:val="7B7B7B" w:themeColor="accent3" w:themeShade="BF"/>
          <w:sz w:val="22"/>
          <w:szCs w:val="22"/>
          <w:lang w:val="en-GB"/>
        </w:rPr>
        <w:t xml:space="preserve"> if </w:t>
      </w:r>
      <w:r w:rsidR="00FB7BA6">
        <w:rPr>
          <w:rFonts w:ascii="Avenir Next" w:hAnsi="Avenir Next" w:cs="Arial"/>
          <w:color w:val="7B7B7B" w:themeColor="accent3" w:themeShade="BF"/>
          <w:sz w:val="22"/>
          <w:szCs w:val="22"/>
          <w:lang w:val="en-GB"/>
        </w:rPr>
        <w:t>funding was already in place and is not considered new funding</w:t>
      </w:r>
      <w:r w:rsidR="00D953BC">
        <w:rPr>
          <w:rFonts w:ascii="Avenir Next" w:hAnsi="Avenir Next" w:cs="Arial"/>
          <w:color w:val="7B7B7B" w:themeColor="accent3" w:themeShade="BF"/>
          <w:sz w:val="22"/>
          <w:szCs w:val="22"/>
          <w:lang w:val="en-GB"/>
        </w:rPr>
        <w:t xml:space="preserve">. If they are not </w:t>
      </w:r>
      <w:r w:rsidR="00FA4D09">
        <w:rPr>
          <w:rFonts w:ascii="Avenir Next" w:hAnsi="Avenir Next" w:cs="Arial"/>
          <w:color w:val="7B7B7B" w:themeColor="accent3" w:themeShade="BF"/>
          <w:sz w:val="22"/>
          <w:szCs w:val="22"/>
          <w:lang w:val="en-GB"/>
        </w:rPr>
        <w:t>related,</w:t>
      </w:r>
      <w:r w:rsidR="00D953BC">
        <w:rPr>
          <w:rFonts w:ascii="Avenir Next" w:hAnsi="Avenir Next" w:cs="Arial"/>
          <w:color w:val="7B7B7B" w:themeColor="accent3" w:themeShade="BF"/>
          <w:sz w:val="22"/>
          <w:szCs w:val="22"/>
          <w:lang w:val="en-GB"/>
        </w:rPr>
        <w:t xml:space="preserve"> then a </w:t>
      </w:r>
      <w:r w:rsidR="00FA4D09">
        <w:rPr>
          <w:rFonts w:ascii="Avenir Next" w:hAnsi="Avenir Next" w:cs="Arial"/>
          <w:color w:val="7B7B7B" w:themeColor="accent3" w:themeShade="BF"/>
          <w:sz w:val="22"/>
          <w:szCs w:val="22"/>
          <w:lang w:val="en-GB"/>
        </w:rPr>
        <w:t>12-month</w:t>
      </w:r>
      <w:r w:rsidR="00D953BC">
        <w:rPr>
          <w:rFonts w:ascii="Avenir Next" w:hAnsi="Avenir Next" w:cs="Arial"/>
          <w:color w:val="7B7B7B" w:themeColor="accent3" w:themeShade="BF"/>
          <w:sz w:val="22"/>
          <w:szCs w:val="22"/>
          <w:lang w:val="en-GB"/>
        </w:rPr>
        <w:t xml:space="preserve"> period is in place.</w:t>
      </w:r>
      <w:r w:rsidR="00700314">
        <w:rPr>
          <w:rFonts w:ascii="Avenir Next" w:hAnsi="Avenir Next" w:cs="Arial"/>
          <w:color w:val="7B7B7B" w:themeColor="accent3" w:themeShade="BF"/>
          <w:sz w:val="22"/>
          <w:szCs w:val="22"/>
          <w:lang w:val="en-GB"/>
        </w:rPr>
        <w:t xml:space="preserve"> As the </w:t>
      </w:r>
      <w:r w:rsidR="00E1695E">
        <w:rPr>
          <w:rFonts w:ascii="Avenir Next" w:hAnsi="Avenir Next" w:cs="Arial"/>
          <w:color w:val="7B7B7B" w:themeColor="accent3" w:themeShade="BF"/>
          <w:sz w:val="22"/>
          <w:szCs w:val="22"/>
          <w:lang w:val="en-GB"/>
        </w:rPr>
        <w:t xml:space="preserve">above falls within both categories, </w:t>
      </w:r>
      <w:r w:rsidR="00486B80">
        <w:rPr>
          <w:rFonts w:ascii="Avenir Next" w:hAnsi="Avenir Next" w:cs="Arial"/>
          <w:color w:val="7B7B7B" w:themeColor="accent3" w:themeShade="BF"/>
          <w:sz w:val="22"/>
          <w:szCs w:val="22"/>
          <w:lang w:val="en-GB"/>
        </w:rPr>
        <w:t>the floating charge would be deemed to be invalid</w:t>
      </w:r>
      <w:r w:rsidR="004E4847">
        <w:rPr>
          <w:rFonts w:ascii="Avenir Next" w:hAnsi="Avenir Next" w:cs="Arial"/>
          <w:color w:val="7B7B7B" w:themeColor="accent3" w:themeShade="BF"/>
          <w:sz w:val="22"/>
          <w:szCs w:val="22"/>
          <w:lang w:val="en-GB"/>
        </w:rPr>
        <w:t>.</w:t>
      </w:r>
      <w:r w:rsidR="00486B80">
        <w:rPr>
          <w:rFonts w:ascii="Avenir Next" w:hAnsi="Avenir Next" w:cs="Arial"/>
          <w:color w:val="7B7B7B" w:themeColor="accent3" w:themeShade="BF"/>
          <w:sz w:val="22"/>
          <w:szCs w:val="22"/>
          <w:lang w:val="en-GB"/>
        </w:rPr>
        <w:t xml:space="preserve"> </w:t>
      </w:r>
      <w:r w:rsidR="00A9437C">
        <w:rPr>
          <w:rFonts w:ascii="Avenir Next" w:hAnsi="Avenir Next" w:cs="Arial"/>
          <w:color w:val="7B7B7B" w:themeColor="accent3" w:themeShade="BF"/>
          <w:sz w:val="22"/>
          <w:szCs w:val="22"/>
          <w:lang w:val="en-GB"/>
        </w:rPr>
        <w:t>Additionally,</w:t>
      </w:r>
      <w:r w:rsidR="00AE1B24">
        <w:rPr>
          <w:rFonts w:ascii="Avenir Next" w:hAnsi="Avenir Next" w:cs="Arial"/>
          <w:color w:val="7B7B7B" w:themeColor="accent3" w:themeShade="BF"/>
          <w:sz w:val="22"/>
          <w:szCs w:val="22"/>
          <w:lang w:val="en-GB"/>
        </w:rPr>
        <w:t xml:space="preserve"> the liquidators should investigate whether t</w:t>
      </w:r>
      <w:r w:rsidR="005A141D">
        <w:rPr>
          <w:rFonts w:ascii="Avenir Next" w:hAnsi="Avenir Next" w:cs="Arial"/>
          <w:color w:val="7B7B7B" w:themeColor="accent3" w:themeShade="BF"/>
          <w:sz w:val="22"/>
          <w:szCs w:val="22"/>
          <w:lang w:val="en-GB"/>
        </w:rPr>
        <w:t xml:space="preserve">he funding was pre-existing or if it relates to new funding. Based on the above information, it </w:t>
      </w:r>
      <w:r w:rsidR="00391BB5">
        <w:rPr>
          <w:rFonts w:ascii="Avenir Next" w:hAnsi="Avenir Next" w:cs="Arial"/>
          <w:color w:val="7B7B7B" w:themeColor="accent3" w:themeShade="BF"/>
          <w:sz w:val="22"/>
          <w:szCs w:val="22"/>
          <w:lang w:val="en-GB"/>
        </w:rPr>
        <w:t xml:space="preserve">seems like it is pre-existing funding, and therefore a floating charge </w:t>
      </w:r>
      <w:r w:rsidR="001C34A8">
        <w:rPr>
          <w:rFonts w:ascii="Avenir Next" w:hAnsi="Avenir Next" w:cs="Arial"/>
          <w:color w:val="7B7B7B" w:themeColor="accent3" w:themeShade="BF"/>
          <w:sz w:val="22"/>
          <w:szCs w:val="22"/>
          <w:lang w:val="en-GB"/>
        </w:rPr>
        <w:t>would be invalid</w:t>
      </w:r>
      <w:r w:rsidR="00391BB5">
        <w:rPr>
          <w:rFonts w:ascii="Avenir Next" w:hAnsi="Avenir Next" w:cs="Arial"/>
          <w:color w:val="7B7B7B" w:themeColor="accent3" w:themeShade="BF"/>
          <w:sz w:val="22"/>
          <w:szCs w:val="22"/>
          <w:lang w:val="en-GB"/>
        </w:rPr>
        <w:t xml:space="preserve"> under Section 245 of the Insolvency Act 1986.</w:t>
      </w:r>
      <w:r w:rsidR="004E4847">
        <w:rPr>
          <w:rFonts w:ascii="Avenir Next" w:hAnsi="Avenir Next" w:cs="Arial"/>
          <w:color w:val="7B7B7B" w:themeColor="accent3" w:themeShade="BF"/>
          <w:sz w:val="22"/>
          <w:szCs w:val="22"/>
          <w:lang w:val="en-GB"/>
        </w:rPr>
        <w:t xml:space="preserve"> Therefore, the floating charge would not be considered during the liquidation process. Section 245 </w:t>
      </w:r>
      <w:r w:rsidR="007E6B9C">
        <w:rPr>
          <w:rFonts w:ascii="Avenir Next" w:hAnsi="Avenir Next" w:cs="Arial"/>
          <w:color w:val="7B7B7B" w:themeColor="accent3" w:themeShade="BF"/>
          <w:sz w:val="22"/>
          <w:szCs w:val="22"/>
          <w:lang w:val="en-GB"/>
        </w:rPr>
        <w:t xml:space="preserve">is put into place in order to prevent creditors from receiving higher priority </w:t>
      </w:r>
      <w:r w:rsidR="0058032B">
        <w:rPr>
          <w:rFonts w:ascii="Avenir Next" w:hAnsi="Avenir Next" w:cs="Arial"/>
          <w:color w:val="7B7B7B" w:themeColor="accent3" w:themeShade="BF"/>
          <w:sz w:val="22"/>
          <w:szCs w:val="22"/>
          <w:lang w:val="en-GB"/>
        </w:rPr>
        <w:t>prior to the company entering an insolvency process as it would not be beneficial to all creditors, particularly unsecured creditors.</w:t>
      </w:r>
      <w:r w:rsidR="00123B52">
        <w:rPr>
          <w:rFonts w:ascii="Avenir Next" w:hAnsi="Avenir Next" w:cs="Arial"/>
          <w:color w:val="7B7B7B" w:themeColor="accent3" w:themeShade="BF"/>
          <w:sz w:val="22"/>
          <w:szCs w:val="22"/>
          <w:lang w:val="en-GB"/>
        </w:rPr>
        <w:t xml:space="preserve"> Lastly, even with the floating charge becoming invalid, the debt of the company would </w:t>
      </w:r>
      <w:r w:rsidR="00364D2B">
        <w:rPr>
          <w:rFonts w:ascii="Avenir Next" w:hAnsi="Avenir Next" w:cs="Arial"/>
          <w:color w:val="7B7B7B" w:themeColor="accent3" w:themeShade="BF"/>
          <w:sz w:val="22"/>
          <w:szCs w:val="22"/>
          <w:lang w:val="en-GB"/>
        </w:rPr>
        <w:t>remain</w:t>
      </w:r>
      <w:r w:rsidR="00123B52">
        <w:rPr>
          <w:rFonts w:ascii="Avenir Next" w:hAnsi="Avenir Next" w:cs="Arial"/>
          <w:color w:val="7B7B7B" w:themeColor="accent3" w:themeShade="BF"/>
          <w:sz w:val="22"/>
          <w:szCs w:val="22"/>
          <w:lang w:val="en-GB"/>
        </w:rPr>
        <w:t xml:space="preserve"> valid for the creditor to put a claim in</w:t>
      </w:r>
      <w:r w:rsidR="00510EB1">
        <w:rPr>
          <w:rFonts w:ascii="Avenir Next" w:hAnsi="Avenir Next" w:cs="Arial"/>
          <w:color w:val="7B7B7B" w:themeColor="accent3" w:themeShade="BF"/>
          <w:sz w:val="22"/>
          <w:szCs w:val="22"/>
          <w:lang w:val="en-GB"/>
        </w:rPr>
        <w:t xml:space="preserve"> during the liquidation process.</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664672CA" w14:textId="49D1C3CA" w:rsidR="0079743B" w:rsidRDefault="00172E47" w:rsidP="00172E4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Additionally, under section 127</w:t>
      </w:r>
      <w:r w:rsidR="00D91BEF">
        <w:rPr>
          <w:rFonts w:ascii="Avenir Next" w:hAnsi="Avenir Next" w:cs="Arial"/>
          <w:color w:val="7B7B7B" w:themeColor="accent3" w:themeShade="BF"/>
          <w:sz w:val="22"/>
          <w:szCs w:val="22"/>
          <w:lang w:val="en-GB"/>
        </w:rPr>
        <w:t xml:space="preserve"> and 238</w:t>
      </w:r>
      <w:r>
        <w:rPr>
          <w:rFonts w:ascii="Avenir Next" w:hAnsi="Avenir Next" w:cs="Arial"/>
          <w:color w:val="7B7B7B" w:themeColor="accent3" w:themeShade="BF"/>
          <w:sz w:val="22"/>
          <w:szCs w:val="22"/>
          <w:lang w:val="en-GB"/>
        </w:rPr>
        <w:t xml:space="preserve"> of the Insolvency Act 1986, it allows the liquidator to retrieve assets that may have been disposed of after the winding up petition had been presented</w:t>
      </w:r>
      <w:r w:rsidR="002A2423">
        <w:rPr>
          <w:rFonts w:ascii="Avenir Next" w:hAnsi="Avenir Next" w:cs="Arial"/>
          <w:color w:val="7B7B7B" w:themeColor="accent3" w:themeShade="BF"/>
          <w:sz w:val="22"/>
          <w:szCs w:val="22"/>
          <w:lang w:val="en-GB"/>
        </w:rPr>
        <w:t xml:space="preserve"> or take legal action if proper consideration was not given</w:t>
      </w:r>
      <w:r>
        <w:rPr>
          <w:rFonts w:ascii="Avenir Next" w:hAnsi="Avenir Next" w:cs="Arial"/>
          <w:color w:val="7B7B7B" w:themeColor="accent3" w:themeShade="BF"/>
          <w:sz w:val="22"/>
          <w:szCs w:val="22"/>
          <w:lang w:val="en-GB"/>
        </w:rPr>
        <w:t xml:space="preserve">. The liquidators should investigate as to when the two laser cutting machines were sold and if they were sold subsequent to 13 January 2024, </w:t>
      </w:r>
      <w:r w:rsidR="005E76DF">
        <w:rPr>
          <w:rFonts w:ascii="Avenir Next" w:hAnsi="Avenir Next" w:cs="Arial"/>
          <w:color w:val="7B7B7B" w:themeColor="accent3" w:themeShade="BF"/>
          <w:sz w:val="22"/>
          <w:szCs w:val="22"/>
          <w:lang w:val="en-GB"/>
        </w:rPr>
        <w:t>the transaction would be considered void</w:t>
      </w:r>
      <w:r>
        <w:rPr>
          <w:rFonts w:ascii="Avenir Next" w:hAnsi="Avenir Next" w:cs="Arial"/>
          <w:color w:val="7B7B7B" w:themeColor="accent3" w:themeShade="BF"/>
          <w:sz w:val="22"/>
          <w:szCs w:val="22"/>
          <w:lang w:val="en-GB"/>
        </w:rPr>
        <w:t>.</w:t>
      </w:r>
      <w:r w:rsidR="00D31967">
        <w:rPr>
          <w:rFonts w:ascii="Avenir Next" w:hAnsi="Avenir Next" w:cs="Arial"/>
          <w:color w:val="7B7B7B" w:themeColor="accent3" w:themeShade="BF"/>
          <w:sz w:val="22"/>
          <w:szCs w:val="22"/>
          <w:lang w:val="en-GB"/>
        </w:rPr>
        <w:t xml:space="preserve"> Legal action can be taken in order to retrieve the two laser cutters that were sold to the director</w:t>
      </w:r>
      <w:r w:rsidR="0079743B">
        <w:rPr>
          <w:rFonts w:ascii="Avenir Next" w:hAnsi="Avenir Next" w:cs="Arial"/>
          <w:color w:val="7B7B7B" w:themeColor="accent3" w:themeShade="BF"/>
          <w:sz w:val="22"/>
          <w:szCs w:val="22"/>
          <w:lang w:val="en-GB"/>
        </w:rPr>
        <w:t xml:space="preserve"> if the sale occurred after 13 January 2024</w:t>
      </w:r>
      <w:r w:rsidR="00D31967">
        <w:rPr>
          <w:rFonts w:ascii="Avenir Next" w:hAnsi="Avenir Next" w:cs="Arial"/>
          <w:color w:val="7B7B7B" w:themeColor="accent3" w:themeShade="BF"/>
          <w:sz w:val="22"/>
          <w:szCs w:val="22"/>
          <w:lang w:val="en-GB"/>
        </w:rPr>
        <w:t>.</w:t>
      </w:r>
    </w:p>
    <w:p w14:paraId="43847FD0" w14:textId="77777777" w:rsidR="0079743B" w:rsidRDefault="0079743B" w:rsidP="00172E47">
      <w:pPr>
        <w:jc w:val="both"/>
        <w:rPr>
          <w:rFonts w:ascii="Avenir Next" w:hAnsi="Avenir Next" w:cs="Arial"/>
          <w:color w:val="7B7B7B" w:themeColor="accent3" w:themeShade="BF"/>
          <w:sz w:val="22"/>
          <w:szCs w:val="22"/>
          <w:lang w:val="en-GB"/>
        </w:rPr>
      </w:pPr>
    </w:p>
    <w:p w14:paraId="6FD0FF12" w14:textId="2B221A48" w:rsidR="00172E47" w:rsidRDefault="002A2423" w:rsidP="00172E4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Additionally,</w:t>
      </w:r>
      <w:r w:rsidR="00172E47">
        <w:rPr>
          <w:rFonts w:ascii="Avenir Next" w:hAnsi="Avenir Next" w:cs="Arial"/>
          <w:color w:val="7B7B7B" w:themeColor="accent3" w:themeShade="BF"/>
          <w:sz w:val="22"/>
          <w:szCs w:val="22"/>
          <w:lang w:val="en-GB"/>
        </w:rPr>
        <w:t xml:space="preserve"> the liquidators should investigate whether proper consideration was given for the two laser cutting machines. </w:t>
      </w:r>
      <w:r w:rsidR="00D31967">
        <w:rPr>
          <w:rFonts w:ascii="Avenir Next" w:hAnsi="Avenir Next" w:cs="Arial"/>
          <w:color w:val="7B7B7B" w:themeColor="accent3" w:themeShade="BF"/>
          <w:sz w:val="22"/>
          <w:szCs w:val="22"/>
          <w:lang w:val="en-GB"/>
        </w:rPr>
        <w:t xml:space="preserve">If improper consideration was given, the liquidators can take action </w:t>
      </w:r>
      <w:r w:rsidR="00E81AF3">
        <w:rPr>
          <w:rFonts w:ascii="Avenir Next" w:hAnsi="Avenir Next" w:cs="Arial"/>
          <w:color w:val="7B7B7B" w:themeColor="accent3" w:themeShade="BF"/>
          <w:sz w:val="22"/>
          <w:szCs w:val="22"/>
          <w:lang w:val="en-GB"/>
        </w:rPr>
        <w:t xml:space="preserve">to retrieve the laser cutters. The liquidators must prove that improper consideration was given, and that the sale occurred within the relevant period, being 2 years from </w:t>
      </w:r>
      <w:r w:rsidR="001B7A6F">
        <w:rPr>
          <w:rFonts w:ascii="Avenir Next" w:hAnsi="Avenir Next" w:cs="Arial"/>
          <w:color w:val="7B7B7B" w:themeColor="accent3" w:themeShade="BF"/>
          <w:sz w:val="22"/>
          <w:szCs w:val="22"/>
          <w:lang w:val="en-GB"/>
        </w:rPr>
        <w:t xml:space="preserve">the commencement of the liquidation. As the transaction falls within the </w:t>
      </w:r>
      <w:r w:rsidR="002D033E">
        <w:rPr>
          <w:rFonts w:ascii="Avenir Next" w:hAnsi="Avenir Next" w:cs="Arial"/>
          <w:color w:val="7B7B7B" w:themeColor="accent3" w:themeShade="BF"/>
          <w:sz w:val="22"/>
          <w:szCs w:val="22"/>
          <w:lang w:val="en-GB"/>
        </w:rPr>
        <w:t>two-year</w:t>
      </w:r>
      <w:r w:rsidR="001B7A6F">
        <w:rPr>
          <w:rFonts w:ascii="Avenir Next" w:hAnsi="Avenir Next" w:cs="Arial"/>
          <w:color w:val="7B7B7B" w:themeColor="accent3" w:themeShade="BF"/>
          <w:sz w:val="22"/>
          <w:szCs w:val="22"/>
          <w:lang w:val="en-GB"/>
        </w:rPr>
        <w:t xml:space="preserve"> period, the liquidators must be able to prove that improper consideration was given, and if so, Section 238 of the Insolvency Act 1986 would apply and </w:t>
      </w:r>
      <w:r w:rsidR="0061090F">
        <w:rPr>
          <w:rFonts w:ascii="Avenir Next" w:hAnsi="Avenir Next" w:cs="Arial"/>
          <w:color w:val="7B7B7B" w:themeColor="accent3" w:themeShade="BF"/>
          <w:sz w:val="22"/>
          <w:szCs w:val="22"/>
          <w:lang w:val="en-GB"/>
        </w:rPr>
        <w:t>an order can be handed down under Section 238 by the court.</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0DE94CA6" w14:textId="75351F5B" w:rsidR="001C02E1" w:rsidRDefault="00A858A9" w:rsidP="00172E4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172E47">
        <w:rPr>
          <w:rFonts w:ascii="Avenir Next" w:hAnsi="Avenir Next" w:cs="Arial"/>
          <w:color w:val="7B7B7B" w:themeColor="accent3" w:themeShade="BF"/>
          <w:sz w:val="22"/>
          <w:szCs w:val="22"/>
          <w:lang w:val="en-GB"/>
        </w:rPr>
        <w:t xml:space="preserve">he liquidator should investigate whether the GBP20,000 payment made to Aluminium </w:t>
      </w:r>
      <w:proofErr w:type="spellStart"/>
      <w:r w:rsidR="00172E47">
        <w:rPr>
          <w:rFonts w:ascii="Avenir Next" w:hAnsi="Avenir Next" w:cs="Arial"/>
          <w:color w:val="7B7B7B" w:themeColor="accent3" w:themeShade="BF"/>
          <w:sz w:val="22"/>
          <w:szCs w:val="22"/>
          <w:lang w:val="en-GB"/>
        </w:rPr>
        <w:t>Alumini</w:t>
      </w:r>
      <w:proofErr w:type="spellEnd"/>
      <w:r w:rsidR="00172E47">
        <w:rPr>
          <w:rFonts w:ascii="Avenir Next" w:hAnsi="Avenir Next" w:cs="Arial"/>
          <w:color w:val="7B7B7B" w:themeColor="accent3" w:themeShade="BF"/>
          <w:sz w:val="22"/>
          <w:szCs w:val="22"/>
          <w:lang w:val="en-GB"/>
        </w:rPr>
        <w:t xml:space="preserve"> Ltd should have been made and if it was at the benefit of all creditors of the company in order to continue business operations. </w:t>
      </w:r>
      <w:r>
        <w:rPr>
          <w:rFonts w:ascii="Avenir Next" w:hAnsi="Avenir Next" w:cs="Arial"/>
          <w:color w:val="7B7B7B" w:themeColor="accent3" w:themeShade="BF"/>
          <w:sz w:val="22"/>
          <w:szCs w:val="22"/>
          <w:lang w:val="en-GB"/>
        </w:rPr>
        <w:t>The relevant section related to this matter is Section 1</w:t>
      </w:r>
      <w:r w:rsidR="00B4445C">
        <w:rPr>
          <w:rFonts w:ascii="Avenir Next" w:hAnsi="Avenir Next" w:cs="Arial"/>
          <w:color w:val="7B7B7B" w:themeColor="accent3" w:themeShade="BF"/>
          <w:sz w:val="22"/>
          <w:szCs w:val="22"/>
          <w:lang w:val="en-GB"/>
        </w:rPr>
        <w:t>27</w:t>
      </w:r>
      <w:r w:rsidR="00476938">
        <w:rPr>
          <w:rFonts w:ascii="Avenir Next" w:hAnsi="Avenir Next" w:cs="Arial"/>
          <w:color w:val="7B7B7B" w:themeColor="accent3" w:themeShade="BF"/>
          <w:sz w:val="22"/>
          <w:szCs w:val="22"/>
          <w:lang w:val="en-GB"/>
        </w:rPr>
        <w:t xml:space="preserve"> and 23</w:t>
      </w:r>
      <w:r w:rsidR="00A21501">
        <w:rPr>
          <w:rFonts w:ascii="Avenir Next" w:hAnsi="Avenir Next" w:cs="Arial"/>
          <w:color w:val="7B7B7B" w:themeColor="accent3" w:themeShade="BF"/>
          <w:sz w:val="22"/>
          <w:szCs w:val="22"/>
          <w:lang w:val="en-GB"/>
        </w:rPr>
        <w:t>9</w:t>
      </w:r>
      <w:r w:rsidR="00B4445C">
        <w:rPr>
          <w:rFonts w:ascii="Avenir Next" w:hAnsi="Avenir Next" w:cs="Arial"/>
          <w:color w:val="7B7B7B" w:themeColor="accent3" w:themeShade="BF"/>
          <w:sz w:val="22"/>
          <w:szCs w:val="22"/>
          <w:lang w:val="en-GB"/>
        </w:rPr>
        <w:t xml:space="preserve"> of the Insolvency Act 1986. </w:t>
      </w:r>
      <w:r w:rsidR="00172E47">
        <w:rPr>
          <w:rFonts w:ascii="Avenir Next" w:hAnsi="Avenir Next" w:cs="Arial"/>
          <w:color w:val="7B7B7B" w:themeColor="accent3" w:themeShade="BF"/>
          <w:sz w:val="22"/>
          <w:szCs w:val="22"/>
          <w:lang w:val="en-GB"/>
        </w:rPr>
        <w:t xml:space="preserve">There may be potential legal action that the liquidators can take in order to retrieve those </w:t>
      </w:r>
      <w:r w:rsidR="001C02E1">
        <w:rPr>
          <w:rFonts w:ascii="Avenir Next" w:hAnsi="Avenir Next" w:cs="Arial"/>
          <w:color w:val="7B7B7B" w:themeColor="accent3" w:themeShade="BF"/>
          <w:sz w:val="22"/>
          <w:szCs w:val="22"/>
          <w:lang w:val="en-GB"/>
        </w:rPr>
        <w:t>payments or</w:t>
      </w:r>
      <w:r w:rsidR="00172E47">
        <w:rPr>
          <w:rFonts w:ascii="Avenir Next" w:hAnsi="Avenir Next" w:cs="Arial"/>
          <w:color w:val="7B7B7B" w:themeColor="accent3" w:themeShade="BF"/>
          <w:sz w:val="22"/>
          <w:szCs w:val="22"/>
          <w:lang w:val="en-GB"/>
        </w:rPr>
        <w:t xml:space="preserve"> recover the assets by taking action against the directors for approving these payments as it was not in the benefit of all creditors and could be seen as preferential treatment</w:t>
      </w:r>
      <w:r w:rsidR="00917BBD">
        <w:rPr>
          <w:rFonts w:ascii="Avenir Next" w:hAnsi="Avenir Next" w:cs="Arial"/>
          <w:color w:val="7B7B7B" w:themeColor="accent3" w:themeShade="BF"/>
          <w:sz w:val="22"/>
          <w:szCs w:val="22"/>
          <w:lang w:val="en-GB"/>
        </w:rPr>
        <w:t xml:space="preserve">. </w:t>
      </w:r>
    </w:p>
    <w:p w14:paraId="6AF425EB" w14:textId="77777777" w:rsidR="001C02E1" w:rsidRDefault="001C02E1" w:rsidP="00172E47">
      <w:pPr>
        <w:jc w:val="both"/>
        <w:rPr>
          <w:rFonts w:ascii="Avenir Next" w:hAnsi="Avenir Next" w:cs="Arial"/>
          <w:color w:val="7B7B7B" w:themeColor="accent3" w:themeShade="BF"/>
          <w:sz w:val="22"/>
          <w:szCs w:val="22"/>
          <w:lang w:val="en-GB"/>
        </w:rPr>
      </w:pPr>
    </w:p>
    <w:p w14:paraId="2BA1B9A1" w14:textId="1B743B2B" w:rsidR="00172E47" w:rsidRPr="00F64DDA" w:rsidRDefault="00917BBD" w:rsidP="00172E4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section 239, The application must show that </w:t>
      </w:r>
      <w:r w:rsidR="003F730C">
        <w:rPr>
          <w:rFonts w:ascii="Avenir Next" w:hAnsi="Avenir Next" w:cs="Arial"/>
          <w:color w:val="7B7B7B" w:themeColor="accent3" w:themeShade="BF"/>
          <w:sz w:val="22"/>
          <w:szCs w:val="22"/>
          <w:lang w:val="en-GB"/>
        </w:rPr>
        <w:t xml:space="preserve">the alleged person or company was a creditor at the time, that the alleged person or company is in a better position than they were before, </w:t>
      </w:r>
      <w:r w:rsidR="008E01FB">
        <w:rPr>
          <w:rFonts w:ascii="Avenir Next" w:hAnsi="Avenir Next" w:cs="Arial"/>
          <w:color w:val="7B7B7B" w:themeColor="accent3" w:themeShade="BF"/>
          <w:sz w:val="22"/>
          <w:szCs w:val="22"/>
          <w:lang w:val="en-GB"/>
        </w:rPr>
        <w:t>that the company was influenced to give preferential treatment to the person or company</w:t>
      </w:r>
      <w:r w:rsidR="00391202">
        <w:rPr>
          <w:rFonts w:ascii="Avenir Next" w:hAnsi="Avenir Next" w:cs="Arial"/>
          <w:color w:val="7B7B7B" w:themeColor="accent3" w:themeShade="BF"/>
          <w:sz w:val="22"/>
          <w:szCs w:val="22"/>
          <w:lang w:val="en-GB"/>
        </w:rPr>
        <w:t>, and that it occurred within the relevant period.</w:t>
      </w:r>
      <w:r w:rsidR="00AD4DDD">
        <w:rPr>
          <w:rFonts w:ascii="Avenir Next" w:hAnsi="Avenir Next" w:cs="Arial"/>
          <w:color w:val="7B7B7B" w:themeColor="accent3" w:themeShade="BF"/>
          <w:sz w:val="22"/>
          <w:szCs w:val="22"/>
          <w:lang w:val="en-GB"/>
        </w:rPr>
        <w:t xml:space="preserve"> Given the facts above that the company was a creditor at the time, that they were paid in full and would no longer be a creditor of the company due to cash first payments </w:t>
      </w:r>
      <w:r w:rsidR="00AD4DDD">
        <w:rPr>
          <w:rFonts w:ascii="Avenir Next" w:hAnsi="Avenir Next" w:cs="Arial"/>
          <w:color w:val="7B7B7B" w:themeColor="accent3" w:themeShade="BF"/>
          <w:sz w:val="22"/>
          <w:szCs w:val="22"/>
          <w:lang w:val="en-GB"/>
        </w:rPr>
        <w:lastRenderedPageBreak/>
        <w:t xml:space="preserve">before providing supplies, </w:t>
      </w:r>
      <w:r w:rsidR="006E71BB">
        <w:rPr>
          <w:rFonts w:ascii="Avenir Next" w:hAnsi="Avenir Next" w:cs="Arial"/>
          <w:color w:val="7B7B7B" w:themeColor="accent3" w:themeShade="BF"/>
          <w:sz w:val="22"/>
          <w:szCs w:val="22"/>
          <w:lang w:val="en-GB"/>
        </w:rPr>
        <w:t xml:space="preserve">that the company also required the supplier in order to continue business operations (influenced), and that it occurred within the relevant </w:t>
      </w:r>
      <w:r w:rsidR="006252A1">
        <w:rPr>
          <w:rFonts w:ascii="Avenir Next" w:hAnsi="Avenir Next" w:cs="Arial"/>
          <w:color w:val="7B7B7B" w:themeColor="accent3" w:themeShade="BF"/>
          <w:sz w:val="22"/>
          <w:szCs w:val="22"/>
          <w:lang w:val="en-GB"/>
        </w:rPr>
        <w:t>6-month</w:t>
      </w:r>
      <w:r w:rsidR="006E71BB">
        <w:rPr>
          <w:rFonts w:ascii="Avenir Next" w:hAnsi="Avenir Next" w:cs="Arial"/>
          <w:color w:val="7B7B7B" w:themeColor="accent3" w:themeShade="BF"/>
          <w:sz w:val="22"/>
          <w:szCs w:val="22"/>
          <w:lang w:val="en-GB"/>
        </w:rPr>
        <w:t xml:space="preserve"> time frame, an order under section 239 can be made.</w:t>
      </w:r>
      <w:r w:rsidR="006252A1">
        <w:rPr>
          <w:rFonts w:ascii="Avenir Next" w:hAnsi="Avenir Next" w:cs="Arial"/>
          <w:color w:val="7B7B7B" w:themeColor="accent3" w:themeShade="BF"/>
          <w:sz w:val="22"/>
          <w:szCs w:val="22"/>
          <w:lang w:val="en-GB"/>
        </w:rPr>
        <w:t xml:space="preserve"> The relevant time frame must be considered as it differs between connected and non-connected persons or company. If the persons or company is connected, then a </w:t>
      </w:r>
      <w:r w:rsidR="00701C5C">
        <w:rPr>
          <w:rFonts w:ascii="Avenir Next" w:hAnsi="Avenir Next" w:cs="Arial"/>
          <w:color w:val="7B7B7B" w:themeColor="accent3" w:themeShade="BF"/>
          <w:sz w:val="22"/>
          <w:szCs w:val="22"/>
          <w:lang w:val="en-GB"/>
        </w:rPr>
        <w:t>2-year</w:t>
      </w:r>
      <w:r w:rsidR="006252A1">
        <w:rPr>
          <w:rFonts w:ascii="Avenir Next" w:hAnsi="Avenir Next" w:cs="Arial"/>
          <w:color w:val="7B7B7B" w:themeColor="accent3" w:themeShade="BF"/>
          <w:sz w:val="22"/>
          <w:szCs w:val="22"/>
          <w:lang w:val="en-GB"/>
        </w:rPr>
        <w:t xml:space="preserve"> period </w:t>
      </w:r>
      <w:r w:rsidR="00701C5C">
        <w:rPr>
          <w:rFonts w:ascii="Avenir Next" w:hAnsi="Avenir Next" w:cs="Arial"/>
          <w:color w:val="7B7B7B" w:themeColor="accent3" w:themeShade="BF"/>
          <w:sz w:val="22"/>
          <w:szCs w:val="22"/>
          <w:lang w:val="en-GB"/>
        </w:rPr>
        <w:t xml:space="preserve">prior to the onset of insolvency </w:t>
      </w:r>
      <w:r w:rsidR="006252A1">
        <w:rPr>
          <w:rFonts w:ascii="Avenir Next" w:hAnsi="Avenir Next" w:cs="Arial"/>
          <w:color w:val="7B7B7B" w:themeColor="accent3" w:themeShade="BF"/>
          <w:sz w:val="22"/>
          <w:szCs w:val="22"/>
          <w:lang w:val="en-GB"/>
        </w:rPr>
        <w:t xml:space="preserve">is considered to be relevant. If it is a non-connected person or company, then the relevant period is </w:t>
      </w:r>
      <w:r w:rsidR="00701C5C">
        <w:rPr>
          <w:rFonts w:ascii="Avenir Next" w:hAnsi="Avenir Next" w:cs="Arial"/>
          <w:color w:val="7B7B7B" w:themeColor="accent3" w:themeShade="BF"/>
          <w:sz w:val="22"/>
          <w:szCs w:val="22"/>
          <w:lang w:val="en-GB"/>
        </w:rPr>
        <w:t>6-month</w:t>
      </w:r>
      <w:r w:rsidR="004E2A9F">
        <w:rPr>
          <w:rFonts w:ascii="Avenir Next" w:hAnsi="Avenir Next" w:cs="Arial"/>
          <w:color w:val="7B7B7B" w:themeColor="accent3" w:themeShade="BF"/>
          <w:sz w:val="22"/>
          <w:szCs w:val="22"/>
          <w:lang w:val="en-GB"/>
        </w:rPr>
        <w:t xml:space="preserve"> period prior to the onset of insolvency.</w:t>
      </w:r>
      <w:r w:rsidR="006252A1">
        <w:rPr>
          <w:rFonts w:ascii="Avenir Next" w:hAnsi="Avenir Next" w:cs="Arial"/>
          <w:color w:val="7B7B7B" w:themeColor="accent3" w:themeShade="BF"/>
          <w:sz w:val="22"/>
          <w:szCs w:val="22"/>
          <w:lang w:val="en-GB"/>
        </w:rPr>
        <w:t xml:space="preserve"> </w:t>
      </w:r>
      <w:r w:rsidR="00502B42">
        <w:rPr>
          <w:rFonts w:ascii="Avenir Next" w:hAnsi="Avenir Next" w:cs="Arial"/>
          <w:color w:val="7B7B7B" w:themeColor="accent3" w:themeShade="BF"/>
          <w:sz w:val="22"/>
          <w:szCs w:val="22"/>
          <w:lang w:val="en-GB"/>
        </w:rPr>
        <w:t xml:space="preserve"> As the payment was made a month prior to the winding up order, it would fall into both categories and therefore would be within either relevant period</w:t>
      </w:r>
      <w:r w:rsidR="003433FD">
        <w:rPr>
          <w:rFonts w:ascii="Avenir Next" w:hAnsi="Avenir Next" w:cs="Arial"/>
          <w:color w:val="7B7B7B" w:themeColor="accent3" w:themeShade="BF"/>
          <w:sz w:val="22"/>
          <w:szCs w:val="22"/>
          <w:lang w:val="en-GB"/>
        </w:rPr>
        <w:t>.</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2F3039">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58711" w14:textId="77777777" w:rsidR="002F3039" w:rsidRDefault="002F3039" w:rsidP="00241B44">
      <w:r>
        <w:separator/>
      </w:r>
    </w:p>
  </w:endnote>
  <w:endnote w:type="continuationSeparator" w:id="0">
    <w:p w14:paraId="7AD38ACD" w14:textId="77777777" w:rsidR="002F3039" w:rsidRDefault="002F303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35392024" w:rsidR="00241FA3" w:rsidRPr="00A84235" w:rsidRDefault="00AC7B09" w:rsidP="009B4976">
    <w:pPr>
      <w:pStyle w:val="Footer"/>
      <w:ind w:right="360"/>
      <w:rPr>
        <w:rFonts w:ascii="Avenir Next" w:hAnsi="Avenir Next" w:cs="Arial"/>
        <w:sz w:val="22"/>
        <w:szCs w:val="22"/>
        <w:lang w:val="en-GB"/>
      </w:rPr>
    </w:pPr>
    <w:r>
      <w:rPr>
        <w:rFonts w:ascii="Avenir Next" w:hAnsi="Avenir Next" w:cs="Arial"/>
        <w:sz w:val="22"/>
        <w:szCs w:val="22"/>
        <w:lang w:val="en-GB"/>
      </w:rPr>
      <w:t>202324-1404</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D2E0" w14:textId="77777777" w:rsidR="00AC7B09" w:rsidRDefault="00AC7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23E5" w14:textId="77777777" w:rsidR="002F3039" w:rsidRDefault="002F3039" w:rsidP="00241B44">
      <w:r>
        <w:separator/>
      </w:r>
    </w:p>
  </w:footnote>
  <w:footnote w:type="continuationSeparator" w:id="0">
    <w:p w14:paraId="7EA61C73" w14:textId="77777777" w:rsidR="002F3039" w:rsidRDefault="002F3039"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8A46" w14:textId="77777777" w:rsidR="00AC7B09" w:rsidRDefault="00AC7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CD1E" w14:textId="77777777" w:rsidR="00AC7B09" w:rsidRDefault="00AC7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6A5E" w14:textId="77777777" w:rsidR="00AC7B09" w:rsidRDefault="00AC7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2136D"/>
    <w:multiLevelType w:val="hybridMultilevel"/>
    <w:tmpl w:val="C22236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526A5B"/>
    <w:multiLevelType w:val="hybridMultilevel"/>
    <w:tmpl w:val="770A4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5" w15:restartNumberingAfterBreak="0">
    <w:nsid w:val="639F0F1F"/>
    <w:multiLevelType w:val="hybridMultilevel"/>
    <w:tmpl w:val="960A6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4"/>
  </w:num>
  <w:num w:numId="2" w16cid:durableId="1279876417">
    <w:abstractNumId w:val="1"/>
  </w:num>
  <w:num w:numId="3" w16cid:durableId="100541089">
    <w:abstractNumId w:val="0"/>
  </w:num>
  <w:num w:numId="4" w16cid:durableId="14042412">
    <w:abstractNumId w:val="8"/>
  </w:num>
  <w:num w:numId="5" w16cid:durableId="1338728706">
    <w:abstractNumId w:val="11"/>
  </w:num>
  <w:num w:numId="6" w16cid:durableId="376245857">
    <w:abstractNumId w:val="3"/>
  </w:num>
  <w:num w:numId="7" w16cid:durableId="1396392877">
    <w:abstractNumId w:val="12"/>
  </w:num>
  <w:num w:numId="8" w16cid:durableId="1599950421">
    <w:abstractNumId w:val="18"/>
  </w:num>
  <w:num w:numId="9" w16cid:durableId="858857530">
    <w:abstractNumId w:val="9"/>
  </w:num>
  <w:num w:numId="10" w16cid:durableId="619802517">
    <w:abstractNumId w:val="19"/>
  </w:num>
  <w:num w:numId="11" w16cid:durableId="1831171333">
    <w:abstractNumId w:val="6"/>
  </w:num>
  <w:num w:numId="12" w16cid:durableId="84155222">
    <w:abstractNumId w:val="16"/>
  </w:num>
  <w:num w:numId="13" w16cid:durableId="1163352382">
    <w:abstractNumId w:val="10"/>
  </w:num>
  <w:num w:numId="14" w16cid:durableId="19356955">
    <w:abstractNumId w:val="5"/>
  </w:num>
  <w:num w:numId="15" w16cid:durableId="439304345">
    <w:abstractNumId w:val="14"/>
  </w:num>
  <w:num w:numId="16" w16cid:durableId="1126969584">
    <w:abstractNumId w:val="17"/>
  </w:num>
  <w:num w:numId="17" w16cid:durableId="1710716489">
    <w:abstractNumId w:val="7"/>
  </w:num>
  <w:num w:numId="18" w16cid:durableId="2104764200">
    <w:abstractNumId w:val="2"/>
  </w:num>
  <w:num w:numId="19" w16cid:durableId="20321359">
    <w:abstractNumId w:val="15"/>
  </w:num>
  <w:num w:numId="20" w16cid:durableId="119383614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558B"/>
    <w:rsid w:val="00010BA0"/>
    <w:rsid w:val="00010EA8"/>
    <w:rsid w:val="00020557"/>
    <w:rsid w:val="00020CB1"/>
    <w:rsid w:val="00021FC2"/>
    <w:rsid w:val="0002443E"/>
    <w:rsid w:val="000250C7"/>
    <w:rsid w:val="00026969"/>
    <w:rsid w:val="00026F16"/>
    <w:rsid w:val="00034ABA"/>
    <w:rsid w:val="00037621"/>
    <w:rsid w:val="0004444C"/>
    <w:rsid w:val="00044D46"/>
    <w:rsid w:val="00045088"/>
    <w:rsid w:val="00045904"/>
    <w:rsid w:val="000502FD"/>
    <w:rsid w:val="00065166"/>
    <w:rsid w:val="000674F0"/>
    <w:rsid w:val="000713BD"/>
    <w:rsid w:val="00082609"/>
    <w:rsid w:val="000851CC"/>
    <w:rsid w:val="00086C55"/>
    <w:rsid w:val="00087F21"/>
    <w:rsid w:val="00093BE8"/>
    <w:rsid w:val="000A407B"/>
    <w:rsid w:val="000A68ED"/>
    <w:rsid w:val="000A6B44"/>
    <w:rsid w:val="000B5FF1"/>
    <w:rsid w:val="000B609F"/>
    <w:rsid w:val="000C2439"/>
    <w:rsid w:val="000C2B6B"/>
    <w:rsid w:val="000D10C6"/>
    <w:rsid w:val="000D4CFA"/>
    <w:rsid w:val="000D55A8"/>
    <w:rsid w:val="000D5DDC"/>
    <w:rsid w:val="000E4841"/>
    <w:rsid w:val="000F1677"/>
    <w:rsid w:val="000F3D6C"/>
    <w:rsid w:val="00101694"/>
    <w:rsid w:val="00101707"/>
    <w:rsid w:val="00102CC9"/>
    <w:rsid w:val="0010593A"/>
    <w:rsid w:val="00113BD0"/>
    <w:rsid w:val="0011473D"/>
    <w:rsid w:val="00115C85"/>
    <w:rsid w:val="00115FCB"/>
    <w:rsid w:val="00117839"/>
    <w:rsid w:val="001202E6"/>
    <w:rsid w:val="00123855"/>
    <w:rsid w:val="00123B52"/>
    <w:rsid w:val="00126A4D"/>
    <w:rsid w:val="0014171F"/>
    <w:rsid w:val="0014622C"/>
    <w:rsid w:val="001519EF"/>
    <w:rsid w:val="00152348"/>
    <w:rsid w:val="0015456D"/>
    <w:rsid w:val="00155FA2"/>
    <w:rsid w:val="00161F1B"/>
    <w:rsid w:val="00162829"/>
    <w:rsid w:val="0017210C"/>
    <w:rsid w:val="00172AE1"/>
    <w:rsid w:val="00172E47"/>
    <w:rsid w:val="00174DB5"/>
    <w:rsid w:val="00180548"/>
    <w:rsid w:val="00180AC4"/>
    <w:rsid w:val="00180CCE"/>
    <w:rsid w:val="0018267A"/>
    <w:rsid w:val="00182779"/>
    <w:rsid w:val="00182788"/>
    <w:rsid w:val="001830DF"/>
    <w:rsid w:val="001966D9"/>
    <w:rsid w:val="00197F24"/>
    <w:rsid w:val="001A007A"/>
    <w:rsid w:val="001A7E9A"/>
    <w:rsid w:val="001B0F70"/>
    <w:rsid w:val="001B5016"/>
    <w:rsid w:val="001B7A6F"/>
    <w:rsid w:val="001C02E1"/>
    <w:rsid w:val="001C34A8"/>
    <w:rsid w:val="001C45FC"/>
    <w:rsid w:val="001D0469"/>
    <w:rsid w:val="001D05D6"/>
    <w:rsid w:val="001D29C0"/>
    <w:rsid w:val="001D4862"/>
    <w:rsid w:val="001E1863"/>
    <w:rsid w:val="001E25B9"/>
    <w:rsid w:val="001E49E0"/>
    <w:rsid w:val="001E7B5A"/>
    <w:rsid w:val="001F3C98"/>
    <w:rsid w:val="001F7412"/>
    <w:rsid w:val="0020090A"/>
    <w:rsid w:val="0020204E"/>
    <w:rsid w:val="00202DFE"/>
    <w:rsid w:val="0020725B"/>
    <w:rsid w:val="002110F1"/>
    <w:rsid w:val="00221444"/>
    <w:rsid w:val="00230C30"/>
    <w:rsid w:val="002356EA"/>
    <w:rsid w:val="002379A5"/>
    <w:rsid w:val="00237A00"/>
    <w:rsid w:val="0024116D"/>
    <w:rsid w:val="00241B44"/>
    <w:rsid w:val="00241FA3"/>
    <w:rsid w:val="00245EFB"/>
    <w:rsid w:val="0025386E"/>
    <w:rsid w:val="002540B2"/>
    <w:rsid w:val="002638B0"/>
    <w:rsid w:val="0026647A"/>
    <w:rsid w:val="002668D3"/>
    <w:rsid w:val="00272430"/>
    <w:rsid w:val="0027299F"/>
    <w:rsid w:val="00277C4A"/>
    <w:rsid w:val="00284EBE"/>
    <w:rsid w:val="0028757B"/>
    <w:rsid w:val="002903A7"/>
    <w:rsid w:val="0029433F"/>
    <w:rsid w:val="00294829"/>
    <w:rsid w:val="0029690F"/>
    <w:rsid w:val="00297C8A"/>
    <w:rsid w:val="002A2423"/>
    <w:rsid w:val="002A2A60"/>
    <w:rsid w:val="002A37BB"/>
    <w:rsid w:val="002B1C45"/>
    <w:rsid w:val="002C13C8"/>
    <w:rsid w:val="002C3547"/>
    <w:rsid w:val="002C46CB"/>
    <w:rsid w:val="002D0021"/>
    <w:rsid w:val="002D033E"/>
    <w:rsid w:val="002D299D"/>
    <w:rsid w:val="002D3473"/>
    <w:rsid w:val="002F1956"/>
    <w:rsid w:val="002F3039"/>
    <w:rsid w:val="002F3440"/>
    <w:rsid w:val="002F75A3"/>
    <w:rsid w:val="002F77D6"/>
    <w:rsid w:val="00303C2F"/>
    <w:rsid w:val="00305D8B"/>
    <w:rsid w:val="00307366"/>
    <w:rsid w:val="00311816"/>
    <w:rsid w:val="003144EF"/>
    <w:rsid w:val="00314F32"/>
    <w:rsid w:val="00315F43"/>
    <w:rsid w:val="00326292"/>
    <w:rsid w:val="00326415"/>
    <w:rsid w:val="00330937"/>
    <w:rsid w:val="00330F31"/>
    <w:rsid w:val="00331888"/>
    <w:rsid w:val="00334648"/>
    <w:rsid w:val="0033464F"/>
    <w:rsid w:val="0033768C"/>
    <w:rsid w:val="00337938"/>
    <w:rsid w:val="00340769"/>
    <w:rsid w:val="00341AA6"/>
    <w:rsid w:val="003433FD"/>
    <w:rsid w:val="003461FC"/>
    <w:rsid w:val="00352817"/>
    <w:rsid w:val="00361A0A"/>
    <w:rsid w:val="00363DE2"/>
    <w:rsid w:val="00364836"/>
    <w:rsid w:val="00364D2B"/>
    <w:rsid w:val="0036565C"/>
    <w:rsid w:val="0036625E"/>
    <w:rsid w:val="0037465A"/>
    <w:rsid w:val="00382C98"/>
    <w:rsid w:val="0038410E"/>
    <w:rsid w:val="0038533C"/>
    <w:rsid w:val="00386568"/>
    <w:rsid w:val="00390B57"/>
    <w:rsid w:val="00391202"/>
    <w:rsid w:val="00391BB5"/>
    <w:rsid w:val="003948D5"/>
    <w:rsid w:val="00396821"/>
    <w:rsid w:val="00397D3A"/>
    <w:rsid w:val="003A051E"/>
    <w:rsid w:val="003A4482"/>
    <w:rsid w:val="003B170F"/>
    <w:rsid w:val="003B3C5F"/>
    <w:rsid w:val="003C3A97"/>
    <w:rsid w:val="003C4471"/>
    <w:rsid w:val="003C60E9"/>
    <w:rsid w:val="003C6BF7"/>
    <w:rsid w:val="003D0A6D"/>
    <w:rsid w:val="003D23E9"/>
    <w:rsid w:val="003E0B16"/>
    <w:rsid w:val="003E1BBF"/>
    <w:rsid w:val="003E67D1"/>
    <w:rsid w:val="003F730C"/>
    <w:rsid w:val="00404329"/>
    <w:rsid w:val="004046AA"/>
    <w:rsid w:val="00405368"/>
    <w:rsid w:val="00405DC1"/>
    <w:rsid w:val="00415F1F"/>
    <w:rsid w:val="0042108F"/>
    <w:rsid w:val="00430FED"/>
    <w:rsid w:val="00434A8C"/>
    <w:rsid w:val="00435114"/>
    <w:rsid w:val="00435827"/>
    <w:rsid w:val="00437297"/>
    <w:rsid w:val="00444284"/>
    <w:rsid w:val="00445CE6"/>
    <w:rsid w:val="00450393"/>
    <w:rsid w:val="004534C2"/>
    <w:rsid w:val="0045446F"/>
    <w:rsid w:val="0045683E"/>
    <w:rsid w:val="00461979"/>
    <w:rsid w:val="00461F95"/>
    <w:rsid w:val="00470E07"/>
    <w:rsid w:val="00474C2B"/>
    <w:rsid w:val="00476938"/>
    <w:rsid w:val="00477C72"/>
    <w:rsid w:val="00486B80"/>
    <w:rsid w:val="00491675"/>
    <w:rsid w:val="00493855"/>
    <w:rsid w:val="00495E79"/>
    <w:rsid w:val="004A2D83"/>
    <w:rsid w:val="004A57DD"/>
    <w:rsid w:val="004A7B51"/>
    <w:rsid w:val="004A7D71"/>
    <w:rsid w:val="004A7EF3"/>
    <w:rsid w:val="004B0063"/>
    <w:rsid w:val="004B11FD"/>
    <w:rsid w:val="004B23A2"/>
    <w:rsid w:val="004C7A8F"/>
    <w:rsid w:val="004D1A5A"/>
    <w:rsid w:val="004D1DDC"/>
    <w:rsid w:val="004D2FFF"/>
    <w:rsid w:val="004D3721"/>
    <w:rsid w:val="004D64F9"/>
    <w:rsid w:val="004E2A9F"/>
    <w:rsid w:val="004E3A6B"/>
    <w:rsid w:val="004E4847"/>
    <w:rsid w:val="004E622C"/>
    <w:rsid w:val="004F5FDF"/>
    <w:rsid w:val="00502B42"/>
    <w:rsid w:val="005038A9"/>
    <w:rsid w:val="00505D34"/>
    <w:rsid w:val="00510EB1"/>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032B"/>
    <w:rsid w:val="005833D0"/>
    <w:rsid w:val="005842C9"/>
    <w:rsid w:val="005846F3"/>
    <w:rsid w:val="0058622F"/>
    <w:rsid w:val="00586F91"/>
    <w:rsid w:val="005925B5"/>
    <w:rsid w:val="00592F82"/>
    <w:rsid w:val="005A0CCA"/>
    <w:rsid w:val="005A1083"/>
    <w:rsid w:val="005A141D"/>
    <w:rsid w:val="005A6FF2"/>
    <w:rsid w:val="005A726D"/>
    <w:rsid w:val="005A7536"/>
    <w:rsid w:val="005B0FEC"/>
    <w:rsid w:val="005B67AC"/>
    <w:rsid w:val="005B6BCE"/>
    <w:rsid w:val="005B7056"/>
    <w:rsid w:val="005B79F4"/>
    <w:rsid w:val="005C11FB"/>
    <w:rsid w:val="005D09BD"/>
    <w:rsid w:val="005D16DD"/>
    <w:rsid w:val="005D43E0"/>
    <w:rsid w:val="005D58A3"/>
    <w:rsid w:val="005E1B79"/>
    <w:rsid w:val="005E6076"/>
    <w:rsid w:val="005E7008"/>
    <w:rsid w:val="005E76DF"/>
    <w:rsid w:val="005F026D"/>
    <w:rsid w:val="005F2AEA"/>
    <w:rsid w:val="005F2D0B"/>
    <w:rsid w:val="005F4B31"/>
    <w:rsid w:val="006039EB"/>
    <w:rsid w:val="00610388"/>
    <w:rsid w:val="0061090F"/>
    <w:rsid w:val="00610AC7"/>
    <w:rsid w:val="00612CA5"/>
    <w:rsid w:val="006153EC"/>
    <w:rsid w:val="00621A17"/>
    <w:rsid w:val="006252A1"/>
    <w:rsid w:val="00627CC9"/>
    <w:rsid w:val="00627E7B"/>
    <w:rsid w:val="00630542"/>
    <w:rsid w:val="00632E44"/>
    <w:rsid w:val="0063381C"/>
    <w:rsid w:val="00634622"/>
    <w:rsid w:val="0063586A"/>
    <w:rsid w:val="00636808"/>
    <w:rsid w:val="00641515"/>
    <w:rsid w:val="00654C2F"/>
    <w:rsid w:val="00657087"/>
    <w:rsid w:val="00657F61"/>
    <w:rsid w:val="006600A3"/>
    <w:rsid w:val="006612B6"/>
    <w:rsid w:val="006624AB"/>
    <w:rsid w:val="006639DB"/>
    <w:rsid w:val="006661EF"/>
    <w:rsid w:val="00677AEB"/>
    <w:rsid w:val="00680EF2"/>
    <w:rsid w:val="00687A1D"/>
    <w:rsid w:val="006925C1"/>
    <w:rsid w:val="00697EA1"/>
    <w:rsid w:val="006A2646"/>
    <w:rsid w:val="006A4CCD"/>
    <w:rsid w:val="006A6530"/>
    <w:rsid w:val="006B31CE"/>
    <w:rsid w:val="006B435A"/>
    <w:rsid w:val="006B4C64"/>
    <w:rsid w:val="006D282B"/>
    <w:rsid w:val="006D65FD"/>
    <w:rsid w:val="006D697E"/>
    <w:rsid w:val="006D6BD5"/>
    <w:rsid w:val="006E0D3B"/>
    <w:rsid w:val="006E481A"/>
    <w:rsid w:val="006E5298"/>
    <w:rsid w:val="006E6B0A"/>
    <w:rsid w:val="006E71BB"/>
    <w:rsid w:val="006F4A78"/>
    <w:rsid w:val="006F734A"/>
    <w:rsid w:val="00700314"/>
    <w:rsid w:val="00700D83"/>
    <w:rsid w:val="00701C5C"/>
    <w:rsid w:val="00704852"/>
    <w:rsid w:val="0070524B"/>
    <w:rsid w:val="007074E9"/>
    <w:rsid w:val="00713DA4"/>
    <w:rsid w:val="00714BF1"/>
    <w:rsid w:val="00721383"/>
    <w:rsid w:val="0072169A"/>
    <w:rsid w:val="0073158B"/>
    <w:rsid w:val="007333CC"/>
    <w:rsid w:val="0073399A"/>
    <w:rsid w:val="00733A34"/>
    <w:rsid w:val="00740DAD"/>
    <w:rsid w:val="00741E85"/>
    <w:rsid w:val="00742AF3"/>
    <w:rsid w:val="00747FE1"/>
    <w:rsid w:val="007565C2"/>
    <w:rsid w:val="007603F5"/>
    <w:rsid w:val="00763348"/>
    <w:rsid w:val="00764DB0"/>
    <w:rsid w:val="00766D86"/>
    <w:rsid w:val="0076764D"/>
    <w:rsid w:val="0077498C"/>
    <w:rsid w:val="00774AD3"/>
    <w:rsid w:val="00775BD2"/>
    <w:rsid w:val="007809BC"/>
    <w:rsid w:val="00784128"/>
    <w:rsid w:val="00786F00"/>
    <w:rsid w:val="00787BCC"/>
    <w:rsid w:val="00793173"/>
    <w:rsid w:val="0079743B"/>
    <w:rsid w:val="007A2A33"/>
    <w:rsid w:val="007A5171"/>
    <w:rsid w:val="007B5323"/>
    <w:rsid w:val="007B5C89"/>
    <w:rsid w:val="007C1FCC"/>
    <w:rsid w:val="007C6201"/>
    <w:rsid w:val="007D4640"/>
    <w:rsid w:val="007D7C92"/>
    <w:rsid w:val="007E1154"/>
    <w:rsid w:val="007E1BB7"/>
    <w:rsid w:val="007E2919"/>
    <w:rsid w:val="007E46A8"/>
    <w:rsid w:val="007E6B9C"/>
    <w:rsid w:val="007E6BA4"/>
    <w:rsid w:val="007E6BD0"/>
    <w:rsid w:val="007F41F8"/>
    <w:rsid w:val="007F659B"/>
    <w:rsid w:val="0080441E"/>
    <w:rsid w:val="0080454E"/>
    <w:rsid w:val="00804C32"/>
    <w:rsid w:val="00806302"/>
    <w:rsid w:val="00807119"/>
    <w:rsid w:val="00807C8C"/>
    <w:rsid w:val="00814E1C"/>
    <w:rsid w:val="0082483F"/>
    <w:rsid w:val="008279C0"/>
    <w:rsid w:val="00831550"/>
    <w:rsid w:val="0083504A"/>
    <w:rsid w:val="008376B7"/>
    <w:rsid w:val="00846478"/>
    <w:rsid w:val="008605A7"/>
    <w:rsid w:val="00860A2B"/>
    <w:rsid w:val="00867701"/>
    <w:rsid w:val="00871C74"/>
    <w:rsid w:val="008723F3"/>
    <w:rsid w:val="00876F56"/>
    <w:rsid w:val="00880059"/>
    <w:rsid w:val="00881DE6"/>
    <w:rsid w:val="008837A6"/>
    <w:rsid w:val="00885ABE"/>
    <w:rsid w:val="0089145D"/>
    <w:rsid w:val="008914A4"/>
    <w:rsid w:val="00891690"/>
    <w:rsid w:val="008A08F8"/>
    <w:rsid w:val="008A4DF2"/>
    <w:rsid w:val="008A6CFE"/>
    <w:rsid w:val="008B5333"/>
    <w:rsid w:val="008B5625"/>
    <w:rsid w:val="008B58D5"/>
    <w:rsid w:val="008B6223"/>
    <w:rsid w:val="008B72B8"/>
    <w:rsid w:val="008C66E0"/>
    <w:rsid w:val="008D1616"/>
    <w:rsid w:val="008D613A"/>
    <w:rsid w:val="008E01FB"/>
    <w:rsid w:val="008E3339"/>
    <w:rsid w:val="008F20FC"/>
    <w:rsid w:val="008F4086"/>
    <w:rsid w:val="008F5FFE"/>
    <w:rsid w:val="008F72D6"/>
    <w:rsid w:val="00905A43"/>
    <w:rsid w:val="00912C79"/>
    <w:rsid w:val="00917BBD"/>
    <w:rsid w:val="00921B8C"/>
    <w:rsid w:val="00924DAF"/>
    <w:rsid w:val="00931D14"/>
    <w:rsid w:val="00935720"/>
    <w:rsid w:val="00942123"/>
    <w:rsid w:val="009505D5"/>
    <w:rsid w:val="00951AA8"/>
    <w:rsid w:val="0095207B"/>
    <w:rsid w:val="00962045"/>
    <w:rsid w:val="00980E61"/>
    <w:rsid w:val="00991428"/>
    <w:rsid w:val="009918FD"/>
    <w:rsid w:val="00992676"/>
    <w:rsid w:val="009954B2"/>
    <w:rsid w:val="00996691"/>
    <w:rsid w:val="009A2F8F"/>
    <w:rsid w:val="009A3AB7"/>
    <w:rsid w:val="009A652D"/>
    <w:rsid w:val="009B0723"/>
    <w:rsid w:val="009B07AD"/>
    <w:rsid w:val="009B0883"/>
    <w:rsid w:val="009B15E2"/>
    <w:rsid w:val="009B4156"/>
    <w:rsid w:val="009B4976"/>
    <w:rsid w:val="009C0B8E"/>
    <w:rsid w:val="009C1BC8"/>
    <w:rsid w:val="009C2442"/>
    <w:rsid w:val="009C6C6B"/>
    <w:rsid w:val="009D0811"/>
    <w:rsid w:val="009D0EE1"/>
    <w:rsid w:val="009D3AF0"/>
    <w:rsid w:val="009E1544"/>
    <w:rsid w:val="009E2AEB"/>
    <w:rsid w:val="009E2E27"/>
    <w:rsid w:val="009E45DF"/>
    <w:rsid w:val="009E4DE3"/>
    <w:rsid w:val="009E5434"/>
    <w:rsid w:val="009F275E"/>
    <w:rsid w:val="00A047EE"/>
    <w:rsid w:val="00A14496"/>
    <w:rsid w:val="00A21501"/>
    <w:rsid w:val="00A2274A"/>
    <w:rsid w:val="00A235B7"/>
    <w:rsid w:val="00A27A7A"/>
    <w:rsid w:val="00A32341"/>
    <w:rsid w:val="00A34ABE"/>
    <w:rsid w:val="00A407EF"/>
    <w:rsid w:val="00A46B4C"/>
    <w:rsid w:val="00A5117B"/>
    <w:rsid w:val="00A56D34"/>
    <w:rsid w:val="00A60074"/>
    <w:rsid w:val="00A61AE0"/>
    <w:rsid w:val="00A6627C"/>
    <w:rsid w:val="00A6717D"/>
    <w:rsid w:val="00A71019"/>
    <w:rsid w:val="00A81029"/>
    <w:rsid w:val="00A84235"/>
    <w:rsid w:val="00A845F5"/>
    <w:rsid w:val="00A858A9"/>
    <w:rsid w:val="00A9437C"/>
    <w:rsid w:val="00A96489"/>
    <w:rsid w:val="00AA2435"/>
    <w:rsid w:val="00AA3B5E"/>
    <w:rsid w:val="00AB0E8E"/>
    <w:rsid w:val="00AB2425"/>
    <w:rsid w:val="00AB685C"/>
    <w:rsid w:val="00AB6C2D"/>
    <w:rsid w:val="00AC08F7"/>
    <w:rsid w:val="00AC317D"/>
    <w:rsid w:val="00AC3839"/>
    <w:rsid w:val="00AC7082"/>
    <w:rsid w:val="00AC7B09"/>
    <w:rsid w:val="00AD1055"/>
    <w:rsid w:val="00AD38C2"/>
    <w:rsid w:val="00AD4BE8"/>
    <w:rsid w:val="00AD4CE6"/>
    <w:rsid w:val="00AD4DDD"/>
    <w:rsid w:val="00AD6F52"/>
    <w:rsid w:val="00AE1B24"/>
    <w:rsid w:val="00AE5B6F"/>
    <w:rsid w:val="00AF228E"/>
    <w:rsid w:val="00B0100F"/>
    <w:rsid w:val="00B016A8"/>
    <w:rsid w:val="00B04033"/>
    <w:rsid w:val="00B14819"/>
    <w:rsid w:val="00B15E2F"/>
    <w:rsid w:val="00B17AA9"/>
    <w:rsid w:val="00B35F34"/>
    <w:rsid w:val="00B373BB"/>
    <w:rsid w:val="00B4445C"/>
    <w:rsid w:val="00B44713"/>
    <w:rsid w:val="00B455E5"/>
    <w:rsid w:val="00B51B95"/>
    <w:rsid w:val="00B56103"/>
    <w:rsid w:val="00B57EA3"/>
    <w:rsid w:val="00B64929"/>
    <w:rsid w:val="00B67446"/>
    <w:rsid w:val="00B736DF"/>
    <w:rsid w:val="00B743D6"/>
    <w:rsid w:val="00B74FBD"/>
    <w:rsid w:val="00B778F2"/>
    <w:rsid w:val="00B77F46"/>
    <w:rsid w:val="00B82586"/>
    <w:rsid w:val="00B829A3"/>
    <w:rsid w:val="00B8541F"/>
    <w:rsid w:val="00B86DB1"/>
    <w:rsid w:val="00B87869"/>
    <w:rsid w:val="00B9639B"/>
    <w:rsid w:val="00BA1CFD"/>
    <w:rsid w:val="00BA6824"/>
    <w:rsid w:val="00BB0F2B"/>
    <w:rsid w:val="00BC231B"/>
    <w:rsid w:val="00BD5EB3"/>
    <w:rsid w:val="00BE4FF3"/>
    <w:rsid w:val="00BE6B44"/>
    <w:rsid w:val="00BF2C93"/>
    <w:rsid w:val="00BF3C3A"/>
    <w:rsid w:val="00BF50F7"/>
    <w:rsid w:val="00BF6641"/>
    <w:rsid w:val="00C02F29"/>
    <w:rsid w:val="00C17718"/>
    <w:rsid w:val="00C20AFE"/>
    <w:rsid w:val="00C22A25"/>
    <w:rsid w:val="00C305F5"/>
    <w:rsid w:val="00C35311"/>
    <w:rsid w:val="00C35671"/>
    <w:rsid w:val="00C35B77"/>
    <w:rsid w:val="00C376EB"/>
    <w:rsid w:val="00C44CC8"/>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09F0"/>
    <w:rsid w:val="00CB1983"/>
    <w:rsid w:val="00CB2CBB"/>
    <w:rsid w:val="00CB701D"/>
    <w:rsid w:val="00CB7CAC"/>
    <w:rsid w:val="00CC5335"/>
    <w:rsid w:val="00CC5BA4"/>
    <w:rsid w:val="00CD4998"/>
    <w:rsid w:val="00CE1035"/>
    <w:rsid w:val="00CE6E50"/>
    <w:rsid w:val="00CF1DD8"/>
    <w:rsid w:val="00CF2819"/>
    <w:rsid w:val="00CF3708"/>
    <w:rsid w:val="00CF4F9D"/>
    <w:rsid w:val="00CF6F18"/>
    <w:rsid w:val="00CF70DC"/>
    <w:rsid w:val="00D01697"/>
    <w:rsid w:val="00D11003"/>
    <w:rsid w:val="00D13315"/>
    <w:rsid w:val="00D148DC"/>
    <w:rsid w:val="00D17FDC"/>
    <w:rsid w:val="00D21D8C"/>
    <w:rsid w:val="00D267BD"/>
    <w:rsid w:val="00D31967"/>
    <w:rsid w:val="00D53719"/>
    <w:rsid w:val="00D552AD"/>
    <w:rsid w:val="00D62E3F"/>
    <w:rsid w:val="00D63EFD"/>
    <w:rsid w:val="00D84752"/>
    <w:rsid w:val="00D86B3B"/>
    <w:rsid w:val="00D8748A"/>
    <w:rsid w:val="00D91BEF"/>
    <w:rsid w:val="00D93196"/>
    <w:rsid w:val="00D953BC"/>
    <w:rsid w:val="00D95AC9"/>
    <w:rsid w:val="00D97806"/>
    <w:rsid w:val="00DA0DC0"/>
    <w:rsid w:val="00DA1B0B"/>
    <w:rsid w:val="00DA3B40"/>
    <w:rsid w:val="00DB243C"/>
    <w:rsid w:val="00DB482A"/>
    <w:rsid w:val="00DB50FB"/>
    <w:rsid w:val="00DB56F2"/>
    <w:rsid w:val="00DB6EF5"/>
    <w:rsid w:val="00DC3089"/>
    <w:rsid w:val="00DC4420"/>
    <w:rsid w:val="00DD0802"/>
    <w:rsid w:val="00DD2E11"/>
    <w:rsid w:val="00DD57B3"/>
    <w:rsid w:val="00DE03AF"/>
    <w:rsid w:val="00DE121C"/>
    <w:rsid w:val="00DE6633"/>
    <w:rsid w:val="00DF75F8"/>
    <w:rsid w:val="00DF7A3A"/>
    <w:rsid w:val="00E00C00"/>
    <w:rsid w:val="00E07C5A"/>
    <w:rsid w:val="00E12234"/>
    <w:rsid w:val="00E15BA9"/>
    <w:rsid w:val="00E1695E"/>
    <w:rsid w:val="00E26E19"/>
    <w:rsid w:val="00E31DF3"/>
    <w:rsid w:val="00E3432E"/>
    <w:rsid w:val="00E4092C"/>
    <w:rsid w:val="00E443D7"/>
    <w:rsid w:val="00E450A4"/>
    <w:rsid w:val="00E506BE"/>
    <w:rsid w:val="00E51AF2"/>
    <w:rsid w:val="00E55547"/>
    <w:rsid w:val="00E56312"/>
    <w:rsid w:val="00E6302B"/>
    <w:rsid w:val="00E6452F"/>
    <w:rsid w:val="00E64F45"/>
    <w:rsid w:val="00E6742D"/>
    <w:rsid w:val="00E71CB0"/>
    <w:rsid w:val="00E739CD"/>
    <w:rsid w:val="00E76DCE"/>
    <w:rsid w:val="00E77C3D"/>
    <w:rsid w:val="00E811FD"/>
    <w:rsid w:val="00E81AF3"/>
    <w:rsid w:val="00E833F4"/>
    <w:rsid w:val="00E841BD"/>
    <w:rsid w:val="00E90991"/>
    <w:rsid w:val="00E909F0"/>
    <w:rsid w:val="00E90D47"/>
    <w:rsid w:val="00E93993"/>
    <w:rsid w:val="00E94797"/>
    <w:rsid w:val="00E9597C"/>
    <w:rsid w:val="00EA0913"/>
    <w:rsid w:val="00EA36F1"/>
    <w:rsid w:val="00EA5B00"/>
    <w:rsid w:val="00EB0F1E"/>
    <w:rsid w:val="00EB146B"/>
    <w:rsid w:val="00EB15C2"/>
    <w:rsid w:val="00EB3A44"/>
    <w:rsid w:val="00EB45AC"/>
    <w:rsid w:val="00EC441F"/>
    <w:rsid w:val="00EC4755"/>
    <w:rsid w:val="00EC5008"/>
    <w:rsid w:val="00ED0BC4"/>
    <w:rsid w:val="00ED447D"/>
    <w:rsid w:val="00EE4971"/>
    <w:rsid w:val="00EE4CC3"/>
    <w:rsid w:val="00EE6CB0"/>
    <w:rsid w:val="00EF090E"/>
    <w:rsid w:val="00EF3650"/>
    <w:rsid w:val="00EF5572"/>
    <w:rsid w:val="00F01D7D"/>
    <w:rsid w:val="00F02263"/>
    <w:rsid w:val="00F033DA"/>
    <w:rsid w:val="00F05EBD"/>
    <w:rsid w:val="00F129A5"/>
    <w:rsid w:val="00F13299"/>
    <w:rsid w:val="00F13691"/>
    <w:rsid w:val="00F13FB1"/>
    <w:rsid w:val="00F17F23"/>
    <w:rsid w:val="00F27CD8"/>
    <w:rsid w:val="00F30351"/>
    <w:rsid w:val="00F3323E"/>
    <w:rsid w:val="00F341F4"/>
    <w:rsid w:val="00F34F9D"/>
    <w:rsid w:val="00F35CCE"/>
    <w:rsid w:val="00F41146"/>
    <w:rsid w:val="00F422E3"/>
    <w:rsid w:val="00F52066"/>
    <w:rsid w:val="00F5524B"/>
    <w:rsid w:val="00F60538"/>
    <w:rsid w:val="00F61DD2"/>
    <w:rsid w:val="00F62E7A"/>
    <w:rsid w:val="00F64DDA"/>
    <w:rsid w:val="00F66AFF"/>
    <w:rsid w:val="00F70126"/>
    <w:rsid w:val="00F71433"/>
    <w:rsid w:val="00F87B04"/>
    <w:rsid w:val="00F97C5B"/>
    <w:rsid w:val="00FA12B9"/>
    <w:rsid w:val="00FA3D50"/>
    <w:rsid w:val="00FA417D"/>
    <w:rsid w:val="00FA4D09"/>
    <w:rsid w:val="00FB0DC7"/>
    <w:rsid w:val="00FB221B"/>
    <w:rsid w:val="00FB31D6"/>
    <w:rsid w:val="00FB7BA6"/>
    <w:rsid w:val="00FB7FBD"/>
    <w:rsid w:val="00FC0C5E"/>
    <w:rsid w:val="00FC374A"/>
    <w:rsid w:val="00FC7300"/>
    <w:rsid w:val="00FC74C8"/>
    <w:rsid w:val="00FC79E3"/>
    <w:rsid w:val="00FC7B47"/>
    <w:rsid w:val="00FD035C"/>
    <w:rsid w:val="00FD1A35"/>
    <w:rsid w:val="00FD2EA4"/>
    <w:rsid w:val="00FD36C5"/>
    <w:rsid w:val="00FD519C"/>
    <w:rsid w:val="00FD6310"/>
    <w:rsid w:val="00FD7C7B"/>
    <w:rsid w:val="00FE1D12"/>
    <w:rsid w:val="00FE2122"/>
    <w:rsid w:val="00FE2A86"/>
    <w:rsid w:val="00FE2DE2"/>
    <w:rsid w:val="00FF296F"/>
    <w:rsid w:val="00FF5E23"/>
    <w:rsid w:val="00FF74D4"/>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10</Pages>
  <Words>3320</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Potgieter, Nic</cp:lastModifiedBy>
  <cp:revision>198</cp:revision>
  <cp:lastPrinted>2019-08-27T05:42:00Z</cp:lastPrinted>
  <dcterms:created xsi:type="dcterms:W3CDTF">2023-07-12T10:10:00Z</dcterms:created>
  <dcterms:modified xsi:type="dcterms:W3CDTF">2024-02-28T23:50:00Z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